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651D1" w:rsidRPr="006764DF" w:rsidTr="000600DA">
        <w:trPr>
          <w:trHeight w:val="1760"/>
        </w:trPr>
        <w:tc>
          <w:tcPr>
            <w:tcW w:w="4243" w:type="dxa"/>
          </w:tcPr>
          <w:p w:rsidR="00B33D4E" w:rsidRPr="008651D1" w:rsidRDefault="00B33D4E" w:rsidP="008651D1">
            <w:pPr>
              <w:rPr>
                <w:lang w:val="fr-FR"/>
              </w:rPr>
            </w:pPr>
            <w:bookmarkStart w:id="0" w:name="_Toc374716168"/>
            <w:bookmarkStart w:id="1" w:name="_GoBack"/>
            <w:bookmarkEnd w:id="1"/>
          </w:p>
        </w:tc>
        <w:tc>
          <w:tcPr>
            <w:tcW w:w="1646" w:type="dxa"/>
            <w:vAlign w:val="center"/>
          </w:tcPr>
          <w:p w:rsidR="00B33D4E" w:rsidRPr="008651D1" w:rsidRDefault="00B33D4E" w:rsidP="008651D1">
            <w:pPr>
              <w:pStyle w:val="LogoUPOV"/>
              <w:rPr>
                <w:lang w:val="fr-FR"/>
              </w:rPr>
            </w:pPr>
            <w:r w:rsidRPr="008651D1">
              <w:rPr>
                <w:noProof/>
              </w:rPr>
              <w:drawing>
                <wp:inline distT="0" distB="0" distL="0" distR="0" wp14:anchorId="3DB0134F" wp14:editId="26E1864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F61EE" w:rsidRPr="008651D1" w:rsidRDefault="00B33D4E" w:rsidP="008651D1">
            <w:pPr>
              <w:pStyle w:val="Lettrine"/>
              <w:spacing w:line="240" w:lineRule="auto"/>
              <w:rPr>
                <w:lang w:val="fr-FR"/>
              </w:rPr>
            </w:pPr>
            <w:r w:rsidRPr="008651D1">
              <w:rPr>
                <w:lang w:val="fr-FR"/>
              </w:rPr>
              <w:t>F</w:t>
            </w:r>
          </w:p>
          <w:p w:rsidR="00DF61EE" w:rsidRPr="008651D1" w:rsidRDefault="00B33D4E" w:rsidP="008651D1">
            <w:pPr>
              <w:pStyle w:val="Docoriginal"/>
              <w:spacing w:line="240" w:lineRule="auto"/>
              <w:rPr>
                <w:lang w:val="fr-FR"/>
              </w:rPr>
            </w:pPr>
            <w:r w:rsidRPr="008651D1">
              <w:rPr>
                <w:lang w:val="fr-FR"/>
              </w:rPr>
              <w:t>TC/51/</w:t>
            </w:r>
            <w:bookmarkStart w:id="2" w:name="Code"/>
            <w:bookmarkEnd w:id="2"/>
            <w:r w:rsidRPr="008651D1">
              <w:rPr>
                <w:lang w:val="fr-FR"/>
              </w:rPr>
              <w:t>11</w:t>
            </w:r>
            <w:r w:rsidR="006764DF">
              <w:rPr>
                <w:lang w:val="fr-FR"/>
              </w:rPr>
              <w:t xml:space="preserve"> Rev.</w:t>
            </w:r>
          </w:p>
          <w:p w:rsidR="00DF61EE" w:rsidRPr="008651D1" w:rsidRDefault="00B33D4E" w:rsidP="008651D1">
            <w:pPr>
              <w:pStyle w:val="Docoriginal"/>
              <w:spacing w:line="240" w:lineRule="auto"/>
              <w:rPr>
                <w:b w:val="0"/>
                <w:spacing w:val="0"/>
                <w:lang w:val="fr-FR"/>
              </w:rPr>
            </w:pPr>
            <w:r w:rsidRPr="008651D1">
              <w:rPr>
                <w:rStyle w:val="StyleDoclangBold"/>
                <w:b/>
                <w:bCs/>
                <w:spacing w:val="0"/>
                <w:lang w:val="fr-FR"/>
              </w:rPr>
              <w:t>ORIGINAL</w:t>
            </w:r>
            <w:r w:rsidR="00DE6D2B" w:rsidRPr="008651D1">
              <w:rPr>
                <w:rStyle w:val="StyleDoclangBold"/>
                <w:b/>
                <w:bCs/>
                <w:spacing w:val="0"/>
                <w:lang w:val="fr-FR"/>
              </w:rPr>
              <w:t> </w:t>
            </w:r>
            <w:r w:rsidRPr="008651D1">
              <w:rPr>
                <w:rStyle w:val="StyleDoclangBold"/>
                <w:b/>
                <w:bCs/>
                <w:spacing w:val="0"/>
                <w:lang w:val="fr-FR"/>
              </w:rPr>
              <w:t>:</w:t>
            </w:r>
            <w:r w:rsidRPr="008651D1">
              <w:rPr>
                <w:rStyle w:val="StyleDocoriginalNotBold1"/>
                <w:spacing w:val="0"/>
                <w:lang w:val="fr-FR"/>
              </w:rPr>
              <w:t xml:space="preserve"> </w:t>
            </w:r>
            <w:bookmarkStart w:id="3" w:name="Original"/>
            <w:bookmarkEnd w:id="3"/>
            <w:r w:rsidRPr="008651D1">
              <w:rPr>
                <w:b w:val="0"/>
                <w:spacing w:val="0"/>
                <w:lang w:val="fr-FR"/>
              </w:rPr>
              <w:t>anglais</w:t>
            </w:r>
          </w:p>
          <w:p w:rsidR="00B33D4E" w:rsidRPr="008651D1" w:rsidRDefault="00B33D4E" w:rsidP="006764DF">
            <w:pPr>
              <w:pStyle w:val="Docoriginal"/>
              <w:spacing w:line="240" w:lineRule="auto"/>
              <w:rPr>
                <w:lang w:val="fr-FR"/>
              </w:rPr>
            </w:pPr>
            <w:r w:rsidRPr="008651D1">
              <w:rPr>
                <w:spacing w:val="0"/>
                <w:lang w:val="fr-FR"/>
              </w:rPr>
              <w:t>DATE</w:t>
            </w:r>
            <w:r w:rsidR="00DE6D2B" w:rsidRPr="008651D1">
              <w:rPr>
                <w:spacing w:val="0"/>
                <w:lang w:val="fr-FR"/>
              </w:rPr>
              <w:t> </w:t>
            </w:r>
            <w:r w:rsidRPr="008651D1">
              <w:rPr>
                <w:spacing w:val="0"/>
                <w:lang w:val="fr-FR"/>
              </w:rPr>
              <w:t>:</w:t>
            </w:r>
            <w:bookmarkStart w:id="4" w:name="Date"/>
            <w:bookmarkEnd w:id="4"/>
            <w:r w:rsidRPr="00113EDF">
              <w:rPr>
                <w:b w:val="0"/>
                <w:spacing w:val="0"/>
                <w:lang w:val="fr-FR"/>
              </w:rPr>
              <w:t xml:space="preserve"> </w:t>
            </w:r>
            <w:r w:rsidR="006764DF">
              <w:rPr>
                <w:b w:val="0"/>
                <w:spacing w:val="0"/>
                <w:lang w:val="fr-FR"/>
              </w:rPr>
              <w:t>25</w:t>
            </w:r>
            <w:r w:rsidR="00C72A57" w:rsidRPr="00113EDF">
              <w:rPr>
                <w:b w:val="0"/>
                <w:spacing w:val="0"/>
                <w:lang w:val="fr-FR"/>
              </w:rPr>
              <w:t> février 20</w:t>
            </w:r>
            <w:r w:rsidRPr="00113EDF">
              <w:rPr>
                <w:b w:val="0"/>
                <w:spacing w:val="0"/>
                <w:lang w:val="fr-FR"/>
              </w:rPr>
              <w:t>15</w:t>
            </w:r>
          </w:p>
        </w:tc>
      </w:tr>
      <w:tr w:rsidR="008651D1" w:rsidRPr="006764DF" w:rsidTr="000600DA">
        <w:tc>
          <w:tcPr>
            <w:tcW w:w="10131" w:type="dxa"/>
            <w:gridSpan w:val="3"/>
          </w:tcPr>
          <w:p w:rsidR="00B33D4E" w:rsidRPr="008651D1" w:rsidRDefault="00B33D4E" w:rsidP="008651D1">
            <w:pPr>
              <w:pStyle w:val="upove"/>
              <w:rPr>
                <w:sz w:val="28"/>
                <w:lang w:val="fr-FR"/>
              </w:rPr>
            </w:pPr>
            <w:r w:rsidRPr="008651D1">
              <w:rPr>
                <w:spacing w:val="6"/>
                <w:lang w:val="fr-FR"/>
              </w:rPr>
              <w:t>UNION INTERNATIONALE POUR LA PROTECTION DES OBTENTIONS VÉGÉTALES</w:t>
            </w:r>
          </w:p>
        </w:tc>
      </w:tr>
      <w:tr w:rsidR="008651D1" w:rsidRPr="008651D1" w:rsidTr="000600DA">
        <w:tc>
          <w:tcPr>
            <w:tcW w:w="10131" w:type="dxa"/>
            <w:gridSpan w:val="3"/>
          </w:tcPr>
          <w:p w:rsidR="00B33D4E" w:rsidRPr="008651D1" w:rsidRDefault="00B33D4E" w:rsidP="008651D1">
            <w:pPr>
              <w:pStyle w:val="Country"/>
              <w:rPr>
                <w:lang w:val="fr-FR"/>
              </w:rPr>
            </w:pPr>
            <w:r w:rsidRPr="008651D1">
              <w:rPr>
                <w:lang w:val="fr-FR"/>
              </w:rPr>
              <w:t>Genève</w:t>
            </w:r>
          </w:p>
        </w:tc>
      </w:tr>
    </w:tbl>
    <w:p w:rsidR="00DF61EE" w:rsidRPr="008651D1" w:rsidRDefault="00B33D4E" w:rsidP="008651D1">
      <w:pPr>
        <w:pStyle w:val="Sessiontc"/>
        <w:rPr>
          <w:lang w:val="fr-FR"/>
        </w:rPr>
      </w:pPr>
      <w:r w:rsidRPr="008651D1">
        <w:rPr>
          <w:lang w:val="fr-FR"/>
        </w:rPr>
        <w:t>Comité TECHNIQUE</w:t>
      </w:r>
    </w:p>
    <w:p w:rsidR="00DF61EE" w:rsidRPr="008651D1" w:rsidRDefault="00B33D4E" w:rsidP="008651D1">
      <w:pPr>
        <w:pStyle w:val="Sessiontcplacedate"/>
        <w:rPr>
          <w:lang w:val="fr-FR"/>
        </w:rPr>
      </w:pPr>
      <w:r w:rsidRPr="008651D1">
        <w:rPr>
          <w:lang w:val="fr-FR"/>
        </w:rPr>
        <w:t>Cinquante</w:t>
      </w:r>
      <w:r w:rsidR="00DC14F9" w:rsidRPr="008651D1">
        <w:rPr>
          <w:lang w:val="fr-FR"/>
        </w:rPr>
        <w:t> et </w:t>
      </w:r>
      <w:r w:rsidRPr="008651D1">
        <w:rPr>
          <w:lang w:val="fr-FR"/>
        </w:rPr>
        <w:t>unième</w:t>
      </w:r>
      <w:r w:rsidR="00DE6D2B" w:rsidRPr="008651D1">
        <w:rPr>
          <w:lang w:val="fr-FR"/>
        </w:rPr>
        <w:t> </w:t>
      </w:r>
      <w:r w:rsidRPr="008651D1">
        <w:rPr>
          <w:lang w:val="fr-FR"/>
        </w:rPr>
        <w:t xml:space="preserve">session </w:t>
      </w:r>
      <w:r w:rsidRPr="008651D1">
        <w:rPr>
          <w:lang w:val="fr-FR"/>
        </w:rPr>
        <w:br/>
        <w:t>Genève, 23</w:t>
      </w:r>
      <w:r w:rsidR="007008CF">
        <w:rPr>
          <w:lang w:val="fr-FR"/>
        </w:rPr>
        <w:t>–</w:t>
      </w:r>
      <w:r w:rsidRPr="008651D1">
        <w:rPr>
          <w:lang w:val="fr-FR"/>
        </w:rPr>
        <w:t>2</w:t>
      </w:r>
      <w:r w:rsidR="00C72A57" w:rsidRPr="008651D1">
        <w:rPr>
          <w:lang w:val="fr-FR"/>
        </w:rPr>
        <w:t>5 mars 20</w:t>
      </w:r>
      <w:r w:rsidRPr="008651D1">
        <w:rPr>
          <w:lang w:val="fr-FR"/>
        </w:rPr>
        <w:t>15</w:t>
      </w:r>
    </w:p>
    <w:p w:rsidR="00DF61EE" w:rsidRPr="008651D1" w:rsidRDefault="00B33D4E" w:rsidP="008651D1">
      <w:pPr>
        <w:pStyle w:val="Titleofdoc0"/>
        <w:rPr>
          <w:lang w:val="fr-FR"/>
        </w:rPr>
      </w:pPr>
      <w:bookmarkStart w:id="5" w:name="TitleOfDoc"/>
      <w:bookmarkEnd w:id="5"/>
      <w:r w:rsidRPr="008651D1">
        <w:rPr>
          <w:lang w:val="fr-FR"/>
        </w:rPr>
        <w:t>TECHNIQUES MOLéCULAIRES</w:t>
      </w:r>
    </w:p>
    <w:p w:rsidR="00DF61EE" w:rsidRPr="008651D1" w:rsidRDefault="00B33D4E" w:rsidP="008651D1">
      <w:pPr>
        <w:pStyle w:val="preparedby1"/>
        <w:rPr>
          <w:lang w:val="fr-FR"/>
        </w:rPr>
      </w:pPr>
      <w:bookmarkStart w:id="6" w:name="Prepared"/>
      <w:bookmarkEnd w:id="6"/>
      <w:r w:rsidRPr="008651D1">
        <w:rPr>
          <w:lang w:val="fr-FR"/>
        </w:rPr>
        <w:t>Document établi par le Bureau de l</w:t>
      </w:r>
      <w:r w:rsidR="00016C98" w:rsidRPr="008651D1">
        <w:rPr>
          <w:lang w:val="fr-FR"/>
        </w:rPr>
        <w:t>’</w:t>
      </w:r>
      <w:r w:rsidRPr="008651D1">
        <w:rPr>
          <w:lang w:val="fr-FR"/>
        </w:rPr>
        <w:t>Union</w:t>
      </w:r>
      <w:r w:rsidRPr="008651D1">
        <w:rPr>
          <w:lang w:val="fr-FR"/>
        </w:rPr>
        <w:br/>
      </w:r>
      <w:r w:rsidRPr="008651D1">
        <w:rPr>
          <w:lang w:val="fr-FR"/>
        </w:rPr>
        <w:br/>
        <w:t>Avertissement : le présent document ne représente pas les principes ou les orientations de l</w:t>
      </w:r>
      <w:r w:rsidR="00016C98" w:rsidRPr="008651D1">
        <w:rPr>
          <w:lang w:val="fr-FR"/>
        </w:rPr>
        <w:t>’</w:t>
      </w:r>
      <w:r w:rsidRPr="008651D1">
        <w:rPr>
          <w:lang w:val="fr-FR"/>
        </w:rPr>
        <w:t>UPOV</w:t>
      </w:r>
    </w:p>
    <w:p w:rsidR="00C72A57" w:rsidRPr="008651D1" w:rsidRDefault="000F7E6A"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BF5F4E" w:rsidRPr="008651D1">
        <w:rPr>
          <w:lang w:val="fr-FR"/>
        </w:rPr>
        <w:t>L</w:t>
      </w:r>
      <w:r w:rsidR="00016C98" w:rsidRPr="008651D1">
        <w:rPr>
          <w:lang w:val="fr-FR"/>
        </w:rPr>
        <w:t>’</w:t>
      </w:r>
      <w:r w:rsidR="00BF5F4E" w:rsidRPr="008651D1">
        <w:rPr>
          <w:lang w:val="fr-FR"/>
        </w:rPr>
        <w:t xml:space="preserve">objet du présent document est de </w:t>
      </w:r>
      <w:r w:rsidR="00064B87" w:rsidRPr="008651D1">
        <w:rPr>
          <w:lang w:val="fr-FR"/>
        </w:rPr>
        <w:t>rendre compte des faits nouveaux survenus dans le domaine des</w:t>
      </w:r>
      <w:r w:rsidR="00BF5F4E" w:rsidRPr="008651D1">
        <w:rPr>
          <w:lang w:val="fr-FR"/>
        </w:rPr>
        <w:t xml:space="preserve"> techniques moléculaires </w:t>
      </w:r>
      <w:r w:rsidR="00064B87" w:rsidRPr="008651D1">
        <w:rPr>
          <w:lang w:val="fr-FR"/>
        </w:rPr>
        <w:t>en rapport avec</w:t>
      </w:r>
      <w:r w:rsidR="00BF5F4E" w:rsidRPr="008651D1">
        <w:rPr>
          <w:lang w:val="fr-FR"/>
        </w:rPr>
        <w:t> :</w:t>
      </w:r>
    </w:p>
    <w:p w:rsidR="00DF61EE" w:rsidRPr="008651D1" w:rsidRDefault="00DF61EE" w:rsidP="008651D1">
      <w:pPr>
        <w:rPr>
          <w:lang w:val="fr-FR" w:eastAsia="ja-JP"/>
        </w:rPr>
      </w:pPr>
    </w:p>
    <w:p w:rsidR="00DF61EE" w:rsidRPr="008651D1" w:rsidRDefault="00FC12D3" w:rsidP="008651D1">
      <w:pPr>
        <w:ind w:left="1170" w:hanging="603"/>
        <w:rPr>
          <w:lang w:val="fr-FR" w:eastAsia="ja-JP"/>
        </w:rPr>
      </w:pPr>
      <w:r w:rsidRPr="008651D1">
        <w:rPr>
          <w:lang w:val="fr-FR" w:eastAsia="ja-JP"/>
        </w:rPr>
        <w:t>a)</w:t>
      </w:r>
      <w:r w:rsidRPr="008651D1">
        <w:rPr>
          <w:lang w:val="fr-FR" w:eastAsia="ja-JP"/>
        </w:rPr>
        <w:tab/>
      </w:r>
      <w:r w:rsidR="00064B87" w:rsidRPr="008651D1">
        <w:rPr>
          <w:lang w:val="fr-FR" w:eastAsia="ja-JP"/>
        </w:rPr>
        <w:t>le</w:t>
      </w:r>
      <w:r w:rsidR="00BF5F4E" w:rsidRPr="008651D1">
        <w:rPr>
          <w:lang w:val="fr-FR" w:eastAsia="ja-JP"/>
        </w:rPr>
        <w:t xml:space="preserve"> Comité technique</w:t>
      </w:r>
    </w:p>
    <w:p w:rsidR="00DF61EE" w:rsidRPr="008651D1" w:rsidRDefault="008D6750" w:rsidP="008651D1">
      <w:pPr>
        <w:ind w:left="1170" w:hanging="603"/>
        <w:rPr>
          <w:lang w:val="fr-FR" w:eastAsia="ja-JP"/>
        </w:rPr>
      </w:pPr>
      <w:r w:rsidRPr="008651D1">
        <w:rPr>
          <w:lang w:val="fr-FR" w:eastAsia="ja-JP"/>
        </w:rPr>
        <w:t>b)</w:t>
      </w:r>
      <w:r w:rsidRPr="008651D1">
        <w:rPr>
          <w:lang w:val="fr-FR" w:eastAsia="ja-JP"/>
        </w:rPr>
        <w:tab/>
      </w:r>
      <w:r w:rsidR="00064B87" w:rsidRPr="008651D1">
        <w:rPr>
          <w:lang w:val="fr-FR" w:eastAsia="ja-JP"/>
        </w:rPr>
        <w:t>les</w:t>
      </w:r>
      <w:r w:rsidR="00BF5F4E" w:rsidRPr="008651D1">
        <w:rPr>
          <w:lang w:val="fr-FR" w:eastAsia="ja-JP"/>
        </w:rPr>
        <w:t xml:space="preserve"> groupes de travail techniques</w:t>
      </w:r>
    </w:p>
    <w:p w:rsidR="00DF61EE" w:rsidRPr="008651D1" w:rsidRDefault="0033342F" w:rsidP="008651D1">
      <w:pPr>
        <w:ind w:left="1170" w:hanging="603"/>
        <w:rPr>
          <w:lang w:val="fr-FR" w:eastAsia="ja-JP"/>
        </w:rPr>
      </w:pPr>
      <w:r w:rsidRPr="008651D1">
        <w:rPr>
          <w:lang w:val="fr-FR" w:eastAsia="ja-JP"/>
        </w:rPr>
        <w:t>c)</w:t>
      </w:r>
      <w:r w:rsidRPr="008651D1">
        <w:rPr>
          <w:lang w:val="fr-FR" w:eastAsia="ja-JP"/>
        </w:rPr>
        <w:tab/>
      </w:r>
      <w:r w:rsidR="00064B87" w:rsidRPr="008651D1">
        <w:rPr>
          <w:lang w:val="fr-FR" w:eastAsia="ja-JP"/>
        </w:rPr>
        <w:t>le</w:t>
      </w:r>
      <w:r w:rsidR="00BF5F4E" w:rsidRPr="008651D1">
        <w:rPr>
          <w:lang w:val="fr-FR" w:eastAsia="ja-JP"/>
        </w:rPr>
        <w:t xml:space="preserve"> </w:t>
      </w:r>
      <w:r w:rsidRPr="008651D1">
        <w:rPr>
          <w:lang w:val="fr-FR" w:eastAsia="ja-JP"/>
        </w:rPr>
        <w:t>Groupe de travail sur les techniques biochimiques et moléculaires, notamment les profils d</w:t>
      </w:r>
      <w:r w:rsidR="00016C98" w:rsidRPr="008651D1">
        <w:rPr>
          <w:lang w:val="fr-FR" w:eastAsia="ja-JP"/>
        </w:rPr>
        <w:t>’</w:t>
      </w:r>
      <w:r w:rsidRPr="008651D1">
        <w:rPr>
          <w:lang w:val="fr-FR" w:eastAsia="ja-JP"/>
        </w:rPr>
        <w:t>ADN</w:t>
      </w:r>
    </w:p>
    <w:p w:rsidR="00DF61EE" w:rsidRPr="008651D1" w:rsidRDefault="008D6750" w:rsidP="008651D1">
      <w:pPr>
        <w:ind w:left="1170" w:hanging="603"/>
        <w:rPr>
          <w:lang w:val="fr-FR" w:eastAsia="ja-JP"/>
        </w:rPr>
      </w:pPr>
      <w:r w:rsidRPr="008651D1">
        <w:rPr>
          <w:lang w:val="fr-FR" w:eastAsia="ja-JP"/>
        </w:rPr>
        <w:t>d)</w:t>
      </w:r>
      <w:r w:rsidRPr="008651D1">
        <w:rPr>
          <w:lang w:val="fr-FR" w:eastAsia="ja-JP"/>
        </w:rPr>
        <w:tab/>
      </w:r>
      <w:r w:rsidR="00D05B03" w:rsidRPr="008651D1">
        <w:rPr>
          <w:lang w:val="fr-FR" w:eastAsia="ja-JP"/>
        </w:rPr>
        <w:t>l</w:t>
      </w:r>
      <w:r w:rsidR="00016C98" w:rsidRPr="008651D1">
        <w:rPr>
          <w:lang w:val="fr-FR" w:eastAsia="ja-JP"/>
        </w:rPr>
        <w:t>’</w:t>
      </w:r>
      <w:r w:rsidR="00BF5F4E" w:rsidRPr="008651D1">
        <w:rPr>
          <w:lang w:val="fr-FR" w:eastAsia="ja-JP"/>
        </w:rPr>
        <w:t>Atelier conjoint de l</w:t>
      </w:r>
      <w:r w:rsidR="00016C98" w:rsidRPr="008651D1">
        <w:rPr>
          <w:lang w:val="fr-FR" w:eastAsia="ja-JP"/>
        </w:rPr>
        <w:t>’</w:t>
      </w:r>
      <w:r w:rsidRPr="008651D1">
        <w:rPr>
          <w:lang w:val="fr-FR" w:eastAsia="ja-JP"/>
        </w:rPr>
        <w:t>O</w:t>
      </w:r>
      <w:r w:rsidR="00BF5F4E" w:rsidRPr="008651D1">
        <w:rPr>
          <w:lang w:val="fr-FR" w:eastAsia="ja-JP"/>
        </w:rPr>
        <w:t>CDE, de l</w:t>
      </w:r>
      <w:r w:rsidR="00016C98" w:rsidRPr="008651D1">
        <w:rPr>
          <w:lang w:val="fr-FR" w:eastAsia="ja-JP"/>
        </w:rPr>
        <w:t>’</w:t>
      </w:r>
      <w:r w:rsidRPr="008651D1">
        <w:rPr>
          <w:lang w:val="fr-FR" w:eastAsia="ja-JP"/>
        </w:rPr>
        <w:t>UPOV</w:t>
      </w:r>
      <w:r w:rsidR="00BF5F4E" w:rsidRPr="008651D1">
        <w:rPr>
          <w:lang w:val="fr-FR" w:eastAsia="ja-JP"/>
        </w:rPr>
        <w:t xml:space="preserve"> et de l</w:t>
      </w:r>
      <w:r w:rsidR="00016C98" w:rsidRPr="008651D1">
        <w:rPr>
          <w:lang w:val="fr-FR" w:eastAsia="ja-JP"/>
        </w:rPr>
        <w:t>’</w:t>
      </w:r>
      <w:r w:rsidRPr="008651D1">
        <w:rPr>
          <w:lang w:val="fr-FR" w:eastAsia="ja-JP"/>
        </w:rPr>
        <w:t xml:space="preserve">ISTA </w:t>
      </w:r>
      <w:r w:rsidR="00BF5F4E" w:rsidRPr="008651D1">
        <w:rPr>
          <w:lang w:val="fr-FR" w:eastAsia="ja-JP"/>
        </w:rPr>
        <w:t>sur les techniques moléculaires</w:t>
      </w:r>
    </w:p>
    <w:p w:rsidR="00DF61EE" w:rsidRPr="008651D1" w:rsidRDefault="001873AF" w:rsidP="008651D1">
      <w:pPr>
        <w:ind w:left="1170" w:hanging="603"/>
        <w:rPr>
          <w:lang w:val="fr-FR" w:eastAsia="ja-JP"/>
        </w:rPr>
      </w:pPr>
      <w:r w:rsidRPr="008651D1">
        <w:rPr>
          <w:lang w:val="fr-FR" w:eastAsia="ja-JP"/>
        </w:rPr>
        <w:t>e)</w:t>
      </w:r>
      <w:r w:rsidRPr="008651D1">
        <w:rPr>
          <w:lang w:val="fr-FR" w:eastAsia="ja-JP"/>
        </w:rPr>
        <w:tab/>
      </w:r>
      <w:r w:rsidR="00064B87" w:rsidRPr="008651D1">
        <w:rPr>
          <w:lang w:val="fr-FR" w:eastAsia="ja-JP"/>
        </w:rPr>
        <w:t>le</w:t>
      </w:r>
      <w:r w:rsidR="000472BF" w:rsidRPr="008651D1">
        <w:rPr>
          <w:lang w:val="fr-FR" w:eastAsia="ja-JP"/>
        </w:rPr>
        <w:t xml:space="preserve"> débat sur les techniques moléculaires à la cinquantième</w:t>
      </w:r>
      <w:r w:rsidR="00DE6D2B" w:rsidRPr="008651D1">
        <w:rPr>
          <w:lang w:val="fr-FR" w:eastAsia="ja-JP"/>
        </w:rPr>
        <w:t> </w:t>
      </w:r>
      <w:r w:rsidR="000472BF" w:rsidRPr="008651D1">
        <w:rPr>
          <w:lang w:val="fr-FR" w:eastAsia="ja-JP"/>
        </w:rPr>
        <w:t>session du</w:t>
      </w:r>
      <w:r w:rsidR="00016C98" w:rsidRPr="008651D1">
        <w:rPr>
          <w:lang w:val="fr-FR" w:eastAsia="ja-JP"/>
        </w:rPr>
        <w:t> TC</w:t>
      </w:r>
    </w:p>
    <w:p w:rsidR="00DF61EE" w:rsidRPr="008651D1" w:rsidRDefault="007520E2" w:rsidP="008651D1">
      <w:pPr>
        <w:ind w:left="1170" w:hanging="603"/>
        <w:rPr>
          <w:lang w:val="fr-FR" w:eastAsia="ja-JP"/>
        </w:rPr>
      </w:pPr>
      <w:r w:rsidRPr="008651D1">
        <w:rPr>
          <w:lang w:val="fr-FR" w:eastAsia="ja-JP"/>
        </w:rPr>
        <w:t>f</w:t>
      </w:r>
      <w:r w:rsidR="008D6750" w:rsidRPr="008651D1">
        <w:rPr>
          <w:lang w:val="fr-FR" w:eastAsia="ja-JP"/>
        </w:rPr>
        <w:t>)</w:t>
      </w:r>
      <w:r w:rsidR="008D6750" w:rsidRPr="008651D1">
        <w:rPr>
          <w:lang w:val="fr-FR" w:eastAsia="ja-JP"/>
        </w:rPr>
        <w:tab/>
      </w:r>
      <w:r w:rsidR="000472BF" w:rsidRPr="008651D1">
        <w:rPr>
          <w:lang w:val="fr-FR" w:eastAsia="ja-JP"/>
        </w:rPr>
        <w:t>la diffusion d</w:t>
      </w:r>
      <w:r w:rsidR="00016C98" w:rsidRPr="008651D1">
        <w:rPr>
          <w:lang w:val="fr-FR" w:eastAsia="ja-JP"/>
        </w:rPr>
        <w:t>’</w:t>
      </w:r>
      <w:r w:rsidR="000472BF" w:rsidRPr="008651D1">
        <w:rPr>
          <w:lang w:val="fr-FR" w:eastAsia="ja-JP"/>
        </w:rPr>
        <w:t>informations sur la situation à l</w:t>
      </w:r>
      <w:r w:rsidR="00016C98" w:rsidRPr="008651D1">
        <w:rPr>
          <w:lang w:val="fr-FR" w:eastAsia="ja-JP"/>
        </w:rPr>
        <w:t>’</w:t>
      </w:r>
      <w:r w:rsidR="000472BF" w:rsidRPr="008651D1">
        <w:rPr>
          <w:lang w:val="fr-FR" w:eastAsia="ja-JP"/>
        </w:rPr>
        <w:t>UPOV concernant l</w:t>
      </w:r>
      <w:r w:rsidR="00016C98" w:rsidRPr="008651D1">
        <w:rPr>
          <w:lang w:val="fr-FR" w:eastAsia="ja-JP"/>
        </w:rPr>
        <w:t>’</w:t>
      </w:r>
      <w:r w:rsidR="000472BF" w:rsidRPr="008651D1">
        <w:rPr>
          <w:lang w:val="fr-FR" w:eastAsia="ja-JP"/>
        </w:rPr>
        <w:t>utilisation de techniques moléculaires</w:t>
      </w:r>
    </w:p>
    <w:p w:rsidR="00DF61EE" w:rsidRPr="008651D1" w:rsidRDefault="001873AF" w:rsidP="008651D1">
      <w:pPr>
        <w:jc w:val="left"/>
        <w:rPr>
          <w:lang w:val="fr-FR" w:eastAsia="ja-JP"/>
        </w:rPr>
      </w:pPr>
      <w:r w:rsidRPr="008651D1">
        <w:rPr>
          <w:lang w:val="fr-FR" w:eastAsia="ja-JP"/>
        </w:rPr>
        <w:br w:type="page"/>
      </w:r>
    </w:p>
    <w:bookmarkEnd w:id="0"/>
    <w:p w:rsidR="00DF61EE" w:rsidRPr="008651D1" w:rsidRDefault="00C65728" w:rsidP="008651D1">
      <w:pPr>
        <w:keepNext/>
        <w:rPr>
          <w:lang w:val="fr-FR"/>
        </w:rPr>
      </w:pPr>
      <w:r w:rsidRPr="008651D1">
        <w:rPr>
          <w:lang w:val="fr-FR"/>
        </w:rPr>
        <w:lastRenderedPageBreak/>
        <w:fldChar w:fldCharType="begin"/>
      </w:r>
      <w:r w:rsidRPr="008651D1">
        <w:rPr>
          <w:lang w:val="fr-FR"/>
        </w:rPr>
        <w:instrText xml:space="preserve"> AUTONUM  </w:instrText>
      </w:r>
      <w:r w:rsidRPr="008651D1">
        <w:rPr>
          <w:lang w:val="fr-FR"/>
        </w:rPr>
        <w:fldChar w:fldCharType="end"/>
      </w:r>
      <w:r w:rsidR="00195A44" w:rsidRPr="008651D1">
        <w:rPr>
          <w:lang w:val="fr-FR"/>
        </w:rPr>
        <w:tab/>
      </w:r>
      <w:r w:rsidR="0033342F" w:rsidRPr="008651D1">
        <w:rPr>
          <w:lang w:val="fr-FR"/>
        </w:rPr>
        <w:t>Les abréviations ci</w:t>
      </w:r>
      <w:r w:rsidR="00016C98" w:rsidRPr="008651D1">
        <w:rPr>
          <w:lang w:val="fr-FR"/>
        </w:rPr>
        <w:t>-</w:t>
      </w:r>
      <w:r w:rsidR="0033342F" w:rsidRPr="008651D1">
        <w:rPr>
          <w:lang w:val="fr-FR"/>
        </w:rPr>
        <w:t>après sont utilisées dans le présent document :</w:t>
      </w:r>
    </w:p>
    <w:p w:rsidR="00DF61EE" w:rsidRPr="008651D1" w:rsidRDefault="00DF61EE" w:rsidP="008651D1">
      <w:pPr>
        <w:keepNext/>
        <w:ind w:left="1692" w:hanging="1125"/>
        <w:jc w:val="left"/>
        <w:rPr>
          <w:lang w:val="fr-FR"/>
        </w:rPr>
      </w:pPr>
    </w:p>
    <w:p w:rsidR="00C72A57" w:rsidRPr="008651D1" w:rsidRDefault="0033342F" w:rsidP="008651D1">
      <w:pPr>
        <w:keepNext/>
        <w:tabs>
          <w:tab w:val="left" w:pos="567"/>
          <w:tab w:val="left" w:pos="1701"/>
        </w:tabs>
        <w:ind w:left="1701" w:hanging="1134"/>
        <w:rPr>
          <w:lang w:val="fr-FR"/>
        </w:rPr>
      </w:pPr>
      <w:r w:rsidRPr="008651D1">
        <w:rPr>
          <w:lang w:val="fr-FR"/>
        </w:rPr>
        <w:t>BMT</w:t>
      </w:r>
      <w:r w:rsidR="00DE6D2B" w:rsidRPr="008651D1">
        <w:rPr>
          <w:lang w:val="fr-FR"/>
        </w:rPr>
        <w:t> </w:t>
      </w:r>
      <w:r w:rsidRPr="008651D1">
        <w:rPr>
          <w:lang w:val="fr-FR"/>
        </w:rPr>
        <w:t xml:space="preserve">: </w:t>
      </w:r>
      <w:r w:rsidR="00B33D4E" w:rsidRPr="008651D1">
        <w:rPr>
          <w:lang w:val="fr-FR"/>
        </w:rPr>
        <w:tab/>
      </w:r>
      <w:r w:rsidRPr="008651D1">
        <w:rPr>
          <w:lang w:val="fr-FR"/>
        </w:rPr>
        <w:t>Groupe de travail sur les techniques biochimiques et moléculaires, notamment les profils d</w:t>
      </w:r>
      <w:r w:rsidR="00016C98" w:rsidRPr="008651D1">
        <w:rPr>
          <w:lang w:val="fr-FR"/>
        </w:rPr>
        <w:t>’</w:t>
      </w:r>
      <w:r w:rsidRPr="008651D1">
        <w:rPr>
          <w:lang w:val="fr-FR"/>
        </w:rPr>
        <w:t>ADN</w:t>
      </w:r>
    </w:p>
    <w:p w:rsidR="00DF61EE" w:rsidRPr="008651D1" w:rsidRDefault="0033342F" w:rsidP="008651D1">
      <w:pPr>
        <w:keepNext/>
        <w:tabs>
          <w:tab w:val="left" w:pos="567"/>
          <w:tab w:val="left" w:pos="1701"/>
        </w:tabs>
        <w:ind w:firstLine="567"/>
        <w:rPr>
          <w:lang w:val="fr-FR"/>
        </w:rPr>
      </w:pPr>
      <w:r w:rsidRPr="008651D1">
        <w:rPr>
          <w:lang w:val="fr-FR"/>
        </w:rPr>
        <w:t>CAJ</w:t>
      </w:r>
      <w:r w:rsidR="00DE6D2B" w:rsidRPr="008651D1">
        <w:rPr>
          <w:lang w:val="fr-FR"/>
        </w:rPr>
        <w:t> :</w:t>
      </w:r>
      <w:r w:rsidRPr="008651D1">
        <w:rPr>
          <w:lang w:val="fr-FR"/>
        </w:rPr>
        <w:t xml:space="preserve"> </w:t>
      </w:r>
      <w:r w:rsidR="00B33D4E" w:rsidRPr="008651D1">
        <w:rPr>
          <w:lang w:val="fr-FR"/>
        </w:rPr>
        <w:tab/>
      </w:r>
      <w:r w:rsidRPr="008651D1">
        <w:rPr>
          <w:lang w:val="fr-FR"/>
        </w:rPr>
        <w:t>Comité administratif et juridique</w:t>
      </w:r>
    </w:p>
    <w:p w:rsidR="00DF61EE" w:rsidRPr="008651D1" w:rsidRDefault="0033342F" w:rsidP="008651D1">
      <w:pPr>
        <w:keepNext/>
        <w:tabs>
          <w:tab w:val="left" w:pos="567"/>
          <w:tab w:val="left" w:pos="1701"/>
        </w:tabs>
        <w:ind w:firstLine="567"/>
        <w:rPr>
          <w:lang w:val="fr-FR"/>
        </w:rPr>
      </w:pPr>
      <w:r w:rsidRPr="008651D1">
        <w:rPr>
          <w:lang w:val="fr-FR"/>
        </w:rPr>
        <w:t>TC</w:t>
      </w:r>
      <w:r w:rsidR="00DE6D2B" w:rsidRPr="008651D1">
        <w:rPr>
          <w:lang w:val="fr-FR"/>
        </w:rPr>
        <w:t> :</w:t>
      </w:r>
      <w:r w:rsidRPr="008651D1">
        <w:rPr>
          <w:lang w:val="fr-FR"/>
        </w:rPr>
        <w:t xml:space="preserve"> </w:t>
      </w:r>
      <w:r w:rsidR="00B33D4E" w:rsidRPr="008651D1">
        <w:rPr>
          <w:lang w:val="fr-FR"/>
        </w:rPr>
        <w:tab/>
      </w:r>
      <w:r w:rsidRPr="008651D1">
        <w:rPr>
          <w:lang w:val="fr-FR"/>
        </w:rPr>
        <w:t>Comité technique</w:t>
      </w:r>
    </w:p>
    <w:p w:rsidR="00DF61EE" w:rsidRPr="008651D1" w:rsidRDefault="0033342F" w:rsidP="008651D1">
      <w:pPr>
        <w:keepNext/>
        <w:tabs>
          <w:tab w:val="left" w:pos="567"/>
          <w:tab w:val="left" w:pos="1701"/>
        </w:tabs>
        <w:ind w:firstLine="567"/>
        <w:rPr>
          <w:rFonts w:eastAsia="PMingLiU" w:cs="Arial"/>
          <w:szCs w:val="24"/>
          <w:lang w:val="fr-FR"/>
        </w:rPr>
      </w:pPr>
      <w:r w:rsidRPr="008651D1">
        <w:rPr>
          <w:rFonts w:eastAsia="PMingLiU" w:cs="Arial"/>
          <w:szCs w:val="24"/>
          <w:lang w:val="fr-FR"/>
        </w:rPr>
        <w:t>TC</w:t>
      </w:r>
      <w:r w:rsidR="00016C98" w:rsidRPr="008651D1">
        <w:rPr>
          <w:rFonts w:eastAsia="PMingLiU" w:cs="Arial"/>
          <w:szCs w:val="24"/>
          <w:lang w:val="fr-FR"/>
        </w:rPr>
        <w:t>-</w:t>
      </w:r>
      <w:r w:rsidRPr="008651D1">
        <w:rPr>
          <w:rFonts w:eastAsia="PMingLiU" w:cs="Arial"/>
          <w:szCs w:val="24"/>
          <w:lang w:val="fr-FR"/>
        </w:rPr>
        <w:t>EDC</w:t>
      </w:r>
      <w:r w:rsidR="00DE6D2B" w:rsidRPr="008651D1">
        <w:rPr>
          <w:rFonts w:eastAsia="PMingLiU" w:cs="Arial"/>
          <w:szCs w:val="24"/>
          <w:lang w:val="fr-FR"/>
        </w:rPr>
        <w:t xml:space="preserve"> : </w:t>
      </w:r>
      <w:r w:rsidR="00B33D4E" w:rsidRPr="008651D1">
        <w:rPr>
          <w:rFonts w:eastAsia="PMingLiU" w:cs="Arial"/>
          <w:szCs w:val="24"/>
          <w:lang w:val="fr-FR"/>
        </w:rPr>
        <w:tab/>
      </w:r>
      <w:r w:rsidRPr="008651D1">
        <w:rPr>
          <w:rFonts w:eastAsia="PMingLiU" w:cs="Arial"/>
          <w:szCs w:val="24"/>
          <w:lang w:val="fr-FR"/>
        </w:rPr>
        <w:t>Comité de rédaction élargi</w:t>
      </w:r>
    </w:p>
    <w:p w:rsidR="00DF61EE" w:rsidRPr="008651D1" w:rsidRDefault="00554D3E" w:rsidP="008651D1">
      <w:pPr>
        <w:rPr>
          <w:rFonts w:eastAsia="PMingLiU" w:cs="Arial"/>
          <w:szCs w:val="24"/>
          <w:lang w:val="fr-FR"/>
        </w:rPr>
      </w:pPr>
      <w:r w:rsidRPr="008651D1">
        <w:rPr>
          <w:rFonts w:eastAsia="PMingLiU" w:cs="Arial"/>
          <w:szCs w:val="24"/>
          <w:lang w:val="fr-FR"/>
        </w:rPr>
        <w:tab/>
      </w:r>
      <w:r w:rsidR="0033342F" w:rsidRPr="008651D1">
        <w:rPr>
          <w:rFonts w:eastAsia="PMingLiU" w:cs="Arial"/>
          <w:szCs w:val="24"/>
          <w:lang w:val="fr-FR"/>
        </w:rPr>
        <w:t>TWA</w:t>
      </w:r>
      <w:r w:rsidR="00DE6D2B" w:rsidRPr="008651D1">
        <w:rPr>
          <w:rFonts w:eastAsia="PMingLiU" w:cs="Arial"/>
          <w:szCs w:val="24"/>
          <w:lang w:val="fr-FR"/>
        </w:rPr>
        <w:t> :</w:t>
      </w:r>
      <w:r w:rsidR="0033342F" w:rsidRPr="008651D1">
        <w:rPr>
          <w:rFonts w:eastAsia="PMingLiU" w:cs="Arial"/>
          <w:szCs w:val="24"/>
          <w:lang w:val="fr-FR"/>
        </w:rPr>
        <w:t xml:space="preserve"> </w:t>
      </w:r>
      <w:r w:rsidR="00B33D4E" w:rsidRPr="008651D1">
        <w:rPr>
          <w:rFonts w:eastAsia="PMingLiU" w:cs="Arial"/>
          <w:szCs w:val="24"/>
          <w:lang w:val="fr-FR"/>
        </w:rPr>
        <w:tab/>
      </w:r>
      <w:r w:rsidR="0033342F" w:rsidRPr="008651D1">
        <w:rPr>
          <w:rFonts w:eastAsia="PMingLiU" w:cs="Arial"/>
          <w:szCs w:val="24"/>
          <w:lang w:val="fr-FR"/>
        </w:rPr>
        <w:t>Groupe de travail technique sur les plantes agricoles</w:t>
      </w:r>
    </w:p>
    <w:p w:rsidR="00DF61EE" w:rsidRPr="008651D1" w:rsidRDefault="0033342F" w:rsidP="008651D1">
      <w:pPr>
        <w:ind w:left="1695" w:hanging="1128"/>
        <w:rPr>
          <w:rFonts w:eastAsia="PMingLiU" w:cs="Arial"/>
          <w:szCs w:val="24"/>
          <w:lang w:val="fr-FR"/>
        </w:rPr>
      </w:pPr>
      <w:r w:rsidRPr="008651D1">
        <w:rPr>
          <w:rFonts w:eastAsia="PMingLiU" w:cs="Arial"/>
          <w:szCs w:val="24"/>
          <w:lang w:val="fr-FR"/>
        </w:rPr>
        <w:t>TWC</w:t>
      </w:r>
      <w:r w:rsidR="00DE6D2B" w:rsidRPr="008651D1">
        <w:rPr>
          <w:rFonts w:eastAsia="PMingLiU" w:cs="Arial"/>
          <w:szCs w:val="24"/>
          <w:lang w:val="fr-FR"/>
        </w:rPr>
        <w:t> :</w:t>
      </w:r>
      <w:r w:rsidRPr="008651D1">
        <w:rPr>
          <w:rFonts w:eastAsia="PMingLiU" w:cs="Arial"/>
          <w:szCs w:val="24"/>
          <w:lang w:val="fr-FR"/>
        </w:rPr>
        <w:t xml:space="preserve"> </w:t>
      </w:r>
      <w:r w:rsidR="00B33D4E" w:rsidRPr="008651D1">
        <w:rPr>
          <w:rFonts w:eastAsia="PMingLiU" w:cs="Arial"/>
          <w:szCs w:val="24"/>
          <w:lang w:val="fr-FR"/>
        </w:rPr>
        <w:tab/>
      </w:r>
      <w:r w:rsidRPr="008651D1">
        <w:rPr>
          <w:rFonts w:eastAsia="PMingLiU" w:cs="Arial"/>
          <w:szCs w:val="24"/>
          <w:lang w:val="fr-FR"/>
        </w:rPr>
        <w:t>Groupe de travail technique sur les systèmes d</w:t>
      </w:r>
      <w:r w:rsidR="00016C98" w:rsidRPr="008651D1">
        <w:rPr>
          <w:rFonts w:eastAsia="PMingLiU" w:cs="Arial"/>
          <w:szCs w:val="24"/>
          <w:lang w:val="fr-FR"/>
        </w:rPr>
        <w:t>’</w:t>
      </w:r>
      <w:r w:rsidRPr="008651D1">
        <w:rPr>
          <w:rFonts w:eastAsia="PMingLiU" w:cs="Arial"/>
          <w:szCs w:val="24"/>
          <w:lang w:val="fr-FR"/>
        </w:rPr>
        <w:t>automatisation et les programmes d</w:t>
      </w:r>
      <w:r w:rsidR="00016C98" w:rsidRPr="008651D1">
        <w:rPr>
          <w:rFonts w:eastAsia="PMingLiU" w:cs="Arial"/>
          <w:szCs w:val="24"/>
          <w:lang w:val="fr-FR"/>
        </w:rPr>
        <w:t>’</w:t>
      </w:r>
      <w:r w:rsidRPr="008651D1">
        <w:rPr>
          <w:rFonts w:eastAsia="PMingLiU" w:cs="Arial"/>
          <w:szCs w:val="24"/>
          <w:lang w:val="fr-FR"/>
        </w:rPr>
        <w:t>ordinateur</w:t>
      </w:r>
    </w:p>
    <w:p w:rsidR="00DF61EE" w:rsidRPr="008651D1" w:rsidRDefault="00554D3E" w:rsidP="008651D1">
      <w:pPr>
        <w:rPr>
          <w:rFonts w:eastAsia="PMingLiU" w:cs="Arial"/>
          <w:szCs w:val="24"/>
          <w:lang w:val="fr-FR"/>
        </w:rPr>
      </w:pPr>
      <w:r w:rsidRPr="008651D1">
        <w:rPr>
          <w:rFonts w:eastAsia="PMingLiU" w:cs="Arial"/>
          <w:szCs w:val="24"/>
          <w:lang w:val="fr-FR"/>
        </w:rPr>
        <w:tab/>
      </w:r>
      <w:r w:rsidR="0033342F" w:rsidRPr="008651D1">
        <w:rPr>
          <w:rFonts w:eastAsia="PMingLiU" w:cs="Arial"/>
          <w:szCs w:val="24"/>
          <w:lang w:val="fr-FR"/>
        </w:rPr>
        <w:t>TWF</w:t>
      </w:r>
      <w:r w:rsidR="00DE6D2B" w:rsidRPr="008651D1">
        <w:rPr>
          <w:rFonts w:eastAsia="PMingLiU" w:cs="Arial"/>
          <w:szCs w:val="24"/>
          <w:lang w:val="fr-FR"/>
        </w:rPr>
        <w:t> </w:t>
      </w:r>
      <w:r w:rsidR="0033342F" w:rsidRPr="008651D1">
        <w:rPr>
          <w:rFonts w:eastAsia="PMingLiU" w:cs="Arial"/>
          <w:szCs w:val="24"/>
          <w:lang w:val="fr-FR"/>
        </w:rPr>
        <w:t xml:space="preserve">: </w:t>
      </w:r>
      <w:r w:rsidR="00B33D4E" w:rsidRPr="008651D1">
        <w:rPr>
          <w:rFonts w:eastAsia="PMingLiU" w:cs="Arial"/>
          <w:szCs w:val="24"/>
          <w:lang w:val="fr-FR"/>
        </w:rPr>
        <w:tab/>
      </w:r>
      <w:r w:rsidR="0033342F" w:rsidRPr="008651D1">
        <w:rPr>
          <w:rFonts w:eastAsia="PMingLiU" w:cs="Arial"/>
          <w:szCs w:val="24"/>
          <w:lang w:val="fr-FR"/>
        </w:rPr>
        <w:t>Groupe de travail technique sur les plantes fruitières</w:t>
      </w:r>
    </w:p>
    <w:p w:rsidR="00DF61EE" w:rsidRPr="008651D1" w:rsidRDefault="00554D3E" w:rsidP="008651D1">
      <w:pPr>
        <w:rPr>
          <w:rFonts w:eastAsia="PMingLiU" w:cs="Arial"/>
          <w:szCs w:val="24"/>
          <w:lang w:val="fr-FR"/>
        </w:rPr>
      </w:pPr>
      <w:r w:rsidRPr="008651D1">
        <w:rPr>
          <w:rFonts w:eastAsia="PMingLiU" w:cs="Arial"/>
          <w:szCs w:val="24"/>
          <w:lang w:val="fr-FR"/>
        </w:rPr>
        <w:tab/>
      </w:r>
      <w:r w:rsidR="0033342F" w:rsidRPr="008651D1">
        <w:rPr>
          <w:rFonts w:eastAsia="PMingLiU" w:cs="Arial"/>
          <w:szCs w:val="24"/>
          <w:lang w:val="fr-FR"/>
        </w:rPr>
        <w:t>TWO</w:t>
      </w:r>
      <w:r w:rsidR="00DE6D2B" w:rsidRPr="008651D1">
        <w:rPr>
          <w:rFonts w:eastAsia="PMingLiU" w:cs="Arial"/>
          <w:szCs w:val="24"/>
          <w:lang w:val="fr-FR"/>
        </w:rPr>
        <w:t xml:space="preserve"> : </w:t>
      </w:r>
      <w:r w:rsidR="00B33D4E" w:rsidRPr="008651D1">
        <w:rPr>
          <w:rFonts w:eastAsia="PMingLiU" w:cs="Arial"/>
          <w:szCs w:val="24"/>
          <w:lang w:val="fr-FR"/>
        </w:rPr>
        <w:tab/>
      </w:r>
      <w:r w:rsidR="0033342F" w:rsidRPr="008651D1">
        <w:rPr>
          <w:rFonts w:eastAsia="PMingLiU" w:cs="Arial"/>
          <w:szCs w:val="24"/>
          <w:lang w:val="fr-FR"/>
        </w:rPr>
        <w:t>Groupe de travail technique sur les plantes ornementales et les arbres forestiers</w:t>
      </w:r>
    </w:p>
    <w:p w:rsidR="00DF61EE" w:rsidRPr="008651D1" w:rsidRDefault="00554D3E" w:rsidP="008651D1">
      <w:pPr>
        <w:rPr>
          <w:rFonts w:eastAsia="PMingLiU" w:cs="Arial"/>
          <w:szCs w:val="24"/>
          <w:lang w:val="fr-FR"/>
        </w:rPr>
      </w:pPr>
      <w:r w:rsidRPr="008651D1">
        <w:rPr>
          <w:rFonts w:eastAsia="PMingLiU" w:cs="Arial"/>
          <w:szCs w:val="24"/>
          <w:lang w:val="fr-FR"/>
        </w:rPr>
        <w:tab/>
      </w:r>
      <w:r w:rsidR="0033342F" w:rsidRPr="008651D1">
        <w:rPr>
          <w:rFonts w:eastAsia="PMingLiU" w:cs="Arial"/>
          <w:szCs w:val="24"/>
          <w:lang w:val="fr-FR"/>
        </w:rPr>
        <w:t>TWP</w:t>
      </w:r>
      <w:r w:rsidR="00DE6D2B" w:rsidRPr="008651D1">
        <w:rPr>
          <w:rFonts w:eastAsia="PMingLiU" w:cs="Arial"/>
          <w:szCs w:val="24"/>
          <w:lang w:val="fr-FR"/>
        </w:rPr>
        <w:t> </w:t>
      </w:r>
      <w:r w:rsidR="0033342F" w:rsidRPr="008651D1">
        <w:rPr>
          <w:rFonts w:eastAsia="PMingLiU" w:cs="Arial"/>
          <w:szCs w:val="24"/>
          <w:lang w:val="fr-FR"/>
        </w:rPr>
        <w:t xml:space="preserve">: </w:t>
      </w:r>
      <w:r w:rsidR="00B33D4E" w:rsidRPr="008651D1">
        <w:rPr>
          <w:rFonts w:eastAsia="PMingLiU" w:cs="Arial"/>
          <w:szCs w:val="24"/>
          <w:lang w:val="fr-FR"/>
        </w:rPr>
        <w:tab/>
      </w:r>
      <w:r w:rsidR="0033342F" w:rsidRPr="008651D1">
        <w:rPr>
          <w:rFonts w:eastAsia="PMingLiU" w:cs="Arial"/>
          <w:szCs w:val="24"/>
          <w:lang w:val="fr-FR"/>
        </w:rPr>
        <w:t>Groupes de travail techniques</w:t>
      </w:r>
    </w:p>
    <w:p w:rsidR="00DF61EE" w:rsidRPr="008651D1" w:rsidRDefault="00554D3E" w:rsidP="008651D1">
      <w:pPr>
        <w:rPr>
          <w:rFonts w:eastAsia="PMingLiU" w:cs="Arial"/>
          <w:szCs w:val="24"/>
          <w:lang w:val="fr-FR"/>
        </w:rPr>
      </w:pPr>
      <w:r w:rsidRPr="008651D1">
        <w:rPr>
          <w:rFonts w:eastAsia="PMingLiU" w:cs="Arial"/>
          <w:szCs w:val="24"/>
          <w:lang w:val="fr-FR"/>
        </w:rPr>
        <w:tab/>
      </w:r>
      <w:r w:rsidR="0033342F" w:rsidRPr="008651D1">
        <w:rPr>
          <w:rFonts w:eastAsia="PMingLiU" w:cs="Arial"/>
          <w:szCs w:val="24"/>
          <w:lang w:val="fr-FR"/>
        </w:rPr>
        <w:t>TWV</w:t>
      </w:r>
      <w:r w:rsidR="00DE6D2B" w:rsidRPr="008651D1">
        <w:rPr>
          <w:rFonts w:eastAsia="PMingLiU" w:cs="Arial"/>
          <w:szCs w:val="24"/>
          <w:lang w:val="fr-FR"/>
        </w:rPr>
        <w:t> :</w:t>
      </w:r>
      <w:r w:rsidR="0033342F" w:rsidRPr="008651D1">
        <w:rPr>
          <w:rFonts w:eastAsia="PMingLiU" w:cs="Arial"/>
          <w:szCs w:val="24"/>
          <w:lang w:val="fr-FR"/>
        </w:rPr>
        <w:t xml:space="preserve"> </w:t>
      </w:r>
      <w:r w:rsidR="00B33D4E" w:rsidRPr="008651D1">
        <w:rPr>
          <w:rFonts w:eastAsia="PMingLiU" w:cs="Arial"/>
          <w:szCs w:val="24"/>
          <w:lang w:val="fr-FR"/>
        </w:rPr>
        <w:tab/>
      </w:r>
      <w:r w:rsidR="0033342F" w:rsidRPr="008651D1">
        <w:rPr>
          <w:rFonts w:eastAsia="PMingLiU" w:cs="Arial"/>
          <w:szCs w:val="24"/>
          <w:lang w:val="fr-FR"/>
        </w:rPr>
        <w:t>Groupe de travail technique sur les plantes potagères</w:t>
      </w:r>
    </w:p>
    <w:p w:rsidR="00DF61EE" w:rsidRPr="008651D1" w:rsidRDefault="00DF61EE" w:rsidP="008651D1">
      <w:pPr>
        <w:rPr>
          <w:lang w:val="fr-FR"/>
        </w:rPr>
      </w:pPr>
    </w:p>
    <w:p w:rsidR="00DF61EE" w:rsidRPr="008651D1" w:rsidRDefault="003D27DD" w:rsidP="008651D1">
      <w:pPr>
        <w:keepNext/>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Le présent document est structuré comme suit :</w:t>
      </w:r>
    </w:p>
    <w:sdt>
      <w:sdtPr>
        <w:rPr>
          <w:lang w:val="fr-FR"/>
        </w:rPr>
        <w:id w:val="-1800911247"/>
        <w:docPartObj>
          <w:docPartGallery w:val="Table of Contents"/>
          <w:docPartUnique/>
        </w:docPartObj>
      </w:sdtPr>
      <w:sdtEndPr>
        <w:rPr>
          <w:b/>
          <w:bCs/>
          <w:noProof/>
        </w:rPr>
      </w:sdtEndPr>
      <w:sdtContent>
        <w:p w:rsidR="00DF61EE" w:rsidRPr="008651D1" w:rsidRDefault="00DF61EE" w:rsidP="008651D1">
          <w:pPr>
            <w:keepNext/>
            <w:rPr>
              <w:rFonts w:cs="Arial"/>
              <w:b/>
              <w:lang w:val="fr-FR"/>
            </w:rPr>
          </w:pPr>
        </w:p>
        <w:p w:rsidR="00064B87" w:rsidRPr="008651D1" w:rsidRDefault="00DC6260" w:rsidP="008651D1">
          <w:pPr>
            <w:pStyle w:val="TOC1"/>
            <w:rPr>
              <w:rFonts w:asciiTheme="minorHAnsi" w:hAnsiTheme="minorHAnsi" w:cstheme="minorBidi"/>
              <w:caps w:val="0"/>
              <w:sz w:val="22"/>
              <w:szCs w:val="22"/>
            </w:rPr>
          </w:pPr>
          <w:r w:rsidRPr="008651D1">
            <w:rPr>
              <w:lang w:val="fr-FR"/>
            </w:rPr>
            <w:fldChar w:fldCharType="begin"/>
          </w:r>
          <w:r w:rsidRPr="008651D1">
            <w:rPr>
              <w:lang w:val="fr-FR"/>
            </w:rPr>
            <w:instrText xml:space="preserve"> TOC \o "1-3" \h \z \u </w:instrText>
          </w:r>
          <w:r w:rsidRPr="008651D1">
            <w:rPr>
              <w:lang w:val="fr-FR"/>
            </w:rPr>
            <w:fldChar w:fldCharType="separate"/>
          </w:r>
          <w:hyperlink w:anchor="_Toc411603112" w:history="1">
            <w:r w:rsidR="00064B87" w:rsidRPr="008651D1">
              <w:rPr>
                <w:rStyle w:val="Hyperlink"/>
                <w:color w:val="auto"/>
                <w:lang w:val="fr-FR"/>
              </w:rPr>
              <w:t>Comité technique</w:t>
            </w:r>
            <w:r w:rsidR="00064B87" w:rsidRPr="008651D1">
              <w:rPr>
                <w:webHidden/>
              </w:rPr>
              <w:tab/>
            </w:r>
            <w:r w:rsidR="00064B87" w:rsidRPr="008651D1">
              <w:rPr>
                <w:webHidden/>
              </w:rPr>
              <w:fldChar w:fldCharType="begin"/>
            </w:r>
            <w:r w:rsidR="00064B87" w:rsidRPr="008651D1">
              <w:rPr>
                <w:webHidden/>
              </w:rPr>
              <w:instrText xml:space="preserve"> PAGEREF _Toc411603112 \h </w:instrText>
            </w:r>
            <w:r w:rsidR="00064B87" w:rsidRPr="008651D1">
              <w:rPr>
                <w:webHidden/>
              </w:rPr>
            </w:r>
            <w:r w:rsidR="00064B87" w:rsidRPr="008651D1">
              <w:rPr>
                <w:webHidden/>
              </w:rPr>
              <w:fldChar w:fldCharType="separate"/>
            </w:r>
            <w:r w:rsidR="00F31EC3">
              <w:rPr>
                <w:webHidden/>
              </w:rPr>
              <w:t>3</w:t>
            </w:r>
            <w:r w:rsidR="00064B87" w:rsidRPr="008651D1">
              <w:rPr>
                <w:webHidden/>
              </w:rPr>
              <w:fldChar w:fldCharType="end"/>
            </w:r>
          </w:hyperlink>
        </w:p>
        <w:p w:rsidR="00064B87" w:rsidRPr="008651D1" w:rsidRDefault="00F31EC3" w:rsidP="008651D1">
          <w:pPr>
            <w:pStyle w:val="TOC1"/>
            <w:rPr>
              <w:rFonts w:asciiTheme="minorHAnsi" w:hAnsiTheme="minorHAnsi" w:cstheme="minorBidi"/>
              <w:caps w:val="0"/>
              <w:sz w:val="22"/>
              <w:szCs w:val="22"/>
            </w:rPr>
          </w:pPr>
          <w:hyperlink w:anchor="_Toc411603113" w:history="1">
            <w:r w:rsidR="00064B87" w:rsidRPr="008651D1">
              <w:rPr>
                <w:rStyle w:val="Hyperlink"/>
                <w:snapToGrid w:val="0"/>
                <w:color w:val="auto"/>
                <w:lang w:val="fr-FR"/>
              </w:rPr>
              <w:t>Groupes de travail techniques</w:t>
            </w:r>
            <w:r w:rsidR="00064B87" w:rsidRPr="008651D1">
              <w:rPr>
                <w:webHidden/>
              </w:rPr>
              <w:tab/>
            </w:r>
            <w:r w:rsidR="00064B87" w:rsidRPr="008651D1">
              <w:rPr>
                <w:webHidden/>
              </w:rPr>
              <w:fldChar w:fldCharType="begin"/>
            </w:r>
            <w:r w:rsidR="00064B87" w:rsidRPr="008651D1">
              <w:rPr>
                <w:webHidden/>
              </w:rPr>
              <w:instrText xml:space="preserve"> PAGEREF _Toc411603113 \h </w:instrText>
            </w:r>
            <w:r w:rsidR="00064B87" w:rsidRPr="008651D1">
              <w:rPr>
                <w:webHidden/>
              </w:rPr>
            </w:r>
            <w:r w:rsidR="00064B87" w:rsidRPr="008651D1">
              <w:rPr>
                <w:webHidden/>
              </w:rPr>
              <w:fldChar w:fldCharType="separate"/>
            </w:r>
            <w:r>
              <w:rPr>
                <w:webHidden/>
              </w:rPr>
              <w:t>3</w:t>
            </w:r>
            <w:r w:rsidR="00064B87" w:rsidRPr="008651D1">
              <w:rPr>
                <w:webHidden/>
              </w:rPr>
              <w:fldChar w:fldCharType="end"/>
            </w:r>
          </w:hyperlink>
        </w:p>
        <w:p w:rsidR="00064B87" w:rsidRPr="008651D1" w:rsidRDefault="00F31EC3" w:rsidP="008651D1">
          <w:pPr>
            <w:pStyle w:val="TOC1"/>
            <w:rPr>
              <w:rFonts w:asciiTheme="minorHAnsi" w:hAnsiTheme="minorHAnsi" w:cstheme="minorBidi"/>
              <w:caps w:val="0"/>
              <w:sz w:val="22"/>
              <w:szCs w:val="22"/>
            </w:rPr>
          </w:pPr>
          <w:hyperlink w:anchor="_Toc411603114" w:history="1">
            <w:r w:rsidR="00064B87" w:rsidRPr="008651D1">
              <w:rPr>
                <w:rStyle w:val="Hyperlink"/>
                <w:color w:val="auto"/>
                <w:lang w:val="fr-FR"/>
              </w:rPr>
              <w:t>quatorzième session du Groupe de travail sur les techniques biochimiques et moléculaires, notamment les profils d’ADN</w:t>
            </w:r>
            <w:r w:rsidR="00064B87" w:rsidRPr="008651D1">
              <w:rPr>
                <w:webHidden/>
              </w:rPr>
              <w:tab/>
            </w:r>
            <w:r w:rsidR="00064B87" w:rsidRPr="008651D1">
              <w:rPr>
                <w:webHidden/>
              </w:rPr>
              <w:fldChar w:fldCharType="begin"/>
            </w:r>
            <w:r w:rsidR="00064B87" w:rsidRPr="008651D1">
              <w:rPr>
                <w:webHidden/>
              </w:rPr>
              <w:instrText xml:space="preserve"> PAGEREF _Toc411603114 \h </w:instrText>
            </w:r>
            <w:r w:rsidR="00064B87" w:rsidRPr="008651D1">
              <w:rPr>
                <w:webHidden/>
              </w:rPr>
            </w:r>
            <w:r w:rsidR="00064B87" w:rsidRPr="008651D1">
              <w:rPr>
                <w:webHidden/>
              </w:rPr>
              <w:fldChar w:fldCharType="separate"/>
            </w:r>
            <w:r>
              <w:rPr>
                <w:webHidden/>
              </w:rPr>
              <w:t>4</w:t>
            </w:r>
            <w:r w:rsidR="00064B87" w:rsidRPr="008651D1">
              <w:rPr>
                <w:webHidden/>
              </w:rPr>
              <w:fldChar w:fldCharType="end"/>
            </w:r>
          </w:hyperlink>
        </w:p>
        <w:p w:rsidR="00064B87" w:rsidRPr="008651D1" w:rsidRDefault="00F31EC3" w:rsidP="008651D1">
          <w:pPr>
            <w:pStyle w:val="TOC1"/>
            <w:rPr>
              <w:rFonts w:asciiTheme="minorHAnsi" w:hAnsiTheme="minorHAnsi" w:cstheme="minorBidi"/>
              <w:caps w:val="0"/>
              <w:sz w:val="22"/>
              <w:szCs w:val="22"/>
            </w:rPr>
          </w:pPr>
          <w:hyperlink w:anchor="_Toc411603115" w:history="1">
            <w:r w:rsidR="00064B87" w:rsidRPr="008651D1">
              <w:rPr>
                <w:rStyle w:val="Hyperlink"/>
                <w:color w:val="auto"/>
                <w:lang w:val="fr-FR"/>
              </w:rPr>
              <w:t>Atelier conjoint de l’OCDE, de l’UPOV et de l’ISTA sur les techniques moléculaires</w:t>
            </w:r>
            <w:r w:rsidR="00064B87" w:rsidRPr="008651D1">
              <w:rPr>
                <w:webHidden/>
              </w:rPr>
              <w:tab/>
            </w:r>
            <w:r w:rsidR="00064B87" w:rsidRPr="008651D1">
              <w:rPr>
                <w:webHidden/>
              </w:rPr>
              <w:fldChar w:fldCharType="begin"/>
            </w:r>
            <w:r w:rsidR="00064B87" w:rsidRPr="008651D1">
              <w:rPr>
                <w:webHidden/>
              </w:rPr>
              <w:instrText xml:space="preserve"> PAGEREF _Toc411603115 \h </w:instrText>
            </w:r>
            <w:r w:rsidR="00064B87" w:rsidRPr="008651D1">
              <w:rPr>
                <w:webHidden/>
              </w:rPr>
            </w:r>
            <w:r w:rsidR="00064B87" w:rsidRPr="008651D1">
              <w:rPr>
                <w:webHidden/>
              </w:rPr>
              <w:fldChar w:fldCharType="separate"/>
            </w:r>
            <w:r>
              <w:rPr>
                <w:webHidden/>
              </w:rPr>
              <w:t>6</w:t>
            </w:r>
            <w:r w:rsidR="00064B87" w:rsidRPr="008651D1">
              <w:rPr>
                <w:webHidden/>
              </w:rPr>
              <w:fldChar w:fldCharType="end"/>
            </w:r>
          </w:hyperlink>
        </w:p>
        <w:p w:rsidR="00064B87" w:rsidRPr="008651D1" w:rsidRDefault="00F31EC3" w:rsidP="008651D1">
          <w:pPr>
            <w:pStyle w:val="TOC1"/>
            <w:rPr>
              <w:rFonts w:asciiTheme="minorHAnsi" w:hAnsiTheme="minorHAnsi" w:cstheme="minorBidi"/>
              <w:caps w:val="0"/>
              <w:sz w:val="22"/>
              <w:szCs w:val="22"/>
            </w:rPr>
          </w:pPr>
          <w:hyperlink w:anchor="_Toc411603116" w:history="1">
            <w:r w:rsidR="00064B87" w:rsidRPr="008651D1">
              <w:rPr>
                <w:rStyle w:val="Hyperlink"/>
                <w:color w:val="auto"/>
                <w:lang w:val="fr-FR" w:eastAsia="ja-JP"/>
              </w:rPr>
              <w:t>débat sur les techniques moléculaires à la cinquantième session du TC</w:t>
            </w:r>
            <w:r w:rsidR="00064B87" w:rsidRPr="008651D1">
              <w:rPr>
                <w:webHidden/>
              </w:rPr>
              <w:tab/>
            </w:r>
            <w:r w:rsidR="00064B87" w:rsidRPr="008651D1">
              <w:rPr>
                <w:webHidden/>
              </w:rPr>
              <w:fldChar w:fldCharType="begin"/>
            </w:r>
            <w:r w:rsidR="00064B87" w:rsidRPr="008651D1">
              <w:rPr>
                <w:webHidden/>
              </w:rPr>
              <w:instrText xml:space="preserve"> PAGEREF _Toc411603116 \h </w:instrText>
            </w:r>
            <w:r w:rsidR="00064B87" w:rsidRPr="008651D1">
              <w:rPr>
                <w:webHidden/>
              </w:rPr>
            </w:r>
            <w:r w:rsidR="00064B87" w:rsidRPr="008651D1">
              <w:rPr>
                <w:webHidden/>
              </w:rPr>
              <w:fldChar w:fldCharType="separate"/>
            </w:r>
            <w:r>
              <w:rPr>
                <w:webHidden/>
              </w:rPr>
              <w:t>7</w:t>
            </w:r>
            <w:r w:rsidR="00064B87" w:rsidRPr="008651D1">
              <w:rPr>
                <w:webHidden/>
              </w:rPr>
              <w:fldChar w:fldCharType="end"/>
            </w:r>
          </w:hyperlink>
        </w:p>
        <w:p w:rsidR="00064B87" w:rsidRPr="008651D1" w:rsidRDefault="00F31EC3" w:rsidP="008651D1">
          <w:pPr>
            <w:pStyle w:val="TOC1"/>
            <w:rPr>
              <w:rFonts w:asciiTheme="minorHAnsi" w:hAnsiTheme="minorHAnsi" w:cstheme="minorBidi"/>
              <w:caps w:val="0"/>
              <w:sz w:val="22"/>
              <w:szCs w:val="22"/>
            </w:rPr>
          </w:pPr>
          <w:hyperlink w:anchor="_Toc411603117" w:history="1">
            <w:r w:rsidR="00064B87" w:rsidRPr="008651D1">
              <w:rPr>
                <w:rStyle w:val="Hyperlink"/>
                <w:color w:val="auto"/>
                <w:lang w:val="fr-FR" w:eastAsia="ja-JP"/>
              </w:rPr>
              <w:t>diffusion d’informations sur la situation à l’UPOV concernant l’utilisation de techniques moléculaires</w:t>
            </w:r>
            <w:r w:rsidR="00064B87" w:rsidRPr="008651D1">
              <w:rPr>
                <w:webHidden/>
              </w:rPr>
              <w:tab/>
            </w:r>
            <w:r w:rsidR="00064B87" w:rsidRPr="008651D1">
              <w:rPr>
                <w:webHidden/>
              </w:rPr>
              <w:fldChar w:fldCharType="begin"/>
            </w:r>
            <w:r w:rsidR="00064B87" w:rsidRPr="008651D1">
              <w:rPr>
                <w:webHidden/>
              </w:rPr>
              <w:instrText xml:space="preserve"> PAGEREF _Toc411603117 \h </w:instrText>
            </w:r>
            <w:r w:rsidR="00064B87" w:rsidRPr="008651D1">
              <w:rPr>
                <w:webHidden/>
              </w:rPr>
            </w:r>
            <w:r w:rsidR="00064B87" w:rsidRPr="008651D1">
              <w:rPr>
                <w:webHidden/>
              </w:rPr>
              <w:fldChar w:fldCharType="separate"/>
            </w:r>
            <w:r>
              <w:rPr>
                <w:webHidden/>
              </w:rPr>
              <w:t>7</w:t>
            </w:r>
            <w:r w:rsidR="00064B87" w:rsidRPr="008651D1">
              <w:rPr>
                <w:webHidden/>
              </w:rPr>
              <w:fldChar w:fldCharType="end"/>
            </w:r>
          </w:hyperlink>
        </w:p>
        <w:p w:rsidR="00064B87" w:rsidRPr="008651D1" w:rsidRDefault="00F31EC3" w:rsidP="008651D1">
          <w:pPr>
            <w:pStyle w:val="TOC2"/>
            <w:rPr>
              <w:rFonts w:asciiTheme="minorHAnsi" w:hAnsiTheme="minorHAnsi" w:cstheme="minorBidi"/>
              <w:smallCaps w:val="0"/>
              <w:sz w:val="22"/>
              <w:szCs w:val="22"/>
            </w:rPr>
          </w:pPr>
          <w:hyperlink w:anchor="_Toc411603118" w:history="1">
            <w:r w:rsidR="00064B87" w:rsidRPr="008651D1">
              <w:rPr>
                <w:rStyle w:val="Hyperlink"/>
                <w:color w:val="auto"/>
                <w:lang w:val="fr-FR" w:eastAsia="ja-JP"/>
              </w:rPr>
              <w:t>Rappel</w:t>
            </w:r>
            <w:r w:rsidR="00064B87" w:rsidRPr="008651D1">
              <w:rPr>
                <w:webHidden/>
              </w:rPr>
              <w:tab/>
            </w:r>
            <w:r w:rsidR="00064B87" w:rsidRPr="008651D1">
              <w:rPr>
                <w:webHidden/>
              </w:rPr>
              <w:fldChar w:fldCharType="begin"/>
            </w:r>
            <w:r w:rsidR="00064B87" w:rsidRPr="008651D1">
              <w:rPr>
                <w:webHidden/>
              </w:rPr>
              <w:instrText xml:space="preserve"> PAGEREF _Toc411603118 \h </w:instrText>
            </w:r>
            <w:r w:rsidR="00064B87" w:rsidRPr="008651D1">
              <w:rPr>
                <w:webHidden/>
              </w:rPr>
            </w:r>
            <w:r w:rsidR="00064B87" w:rsidRPr="008651D1">
              <w:rPr>
                <w:webHidden/>
              </w:rPr>
              <w:fldChar w:fldCharType="separate"/>
            </w:r>
            <w:r>
              <w:rPr>
                <w:webHidden/>
              </w:rPr>
              <w:t>7</w:t>
            </w:r>
            <w:r w:rsidR="00064B87" w:rsidRPr="008651D1">
              <w:rPr>
                <w:webHidden/>
              </w:rPr>
              <w:fldChar w:fldCharType="end"/>
            </w:r>
          </w:hyperlink>
        </w:p>
        <w:p w:rsidR="00DF61EE" w:rsidRPr="008651D1" w:rsidRDefault="00DC6260" w:rsidP="008651D1">
          <w:pPr>
            <w:keepNext/>
            <w:rPr>
              <w:lang w:val="fr-FR"/>
            </w:rPr>
          </w:pPr>
          <w:r w:rsidRPr="008651D1">
            <w:rPr>
              <w:b/>
              <w:bCs/>
              <w:noProof/>
              <w:lang w:val="fr-FR"/>
            </w:rPr>
            <w:fldChar w:fldCharType="end"/>
          </w:r>
        </w:p>
      </w:sdtContent>
    </w:sdt>
    <w:p w:rsidR="00DF61EE" w:rsidRPr="008651D1" w:rsidRDefault="001873AF" w:rsidP="008651D1">
      <w:pPr>
        <w:jc w:val="left"/>
        <w:rPr>
          <w:rFonts w:eastAsia="PMingLiU" w:cs="Arial"/>
          <w:szCs w:val="24"/>
          <w:lang w:val="fr-FR"/>
        </w:rPr>
      </w:pPr>
      <w:r w:rsidRPr="008651D1">
        <w:rPr>
          <w:rFonts w:eastAsia="PMingLiU" w:cs="Arial"/>
          <w:szCs w:val="24"/>
          <w:lang w:val="fr-FR"/>
        </w:rPr>
        <w:br w:type="page"/>
      </w:r>
    </w:p>
    <w:p w:rsidR="00DF61EE" w:rsidRPr="008651D1" w:rsidRDefault="0033342F" w:rsidP="008651D1">
      <w:pPr>
        <w:pStyle w:val="Heading1"/>
        <w:rPr>
          <w:lang w:val="fr-FR"/>
        </w:rPr>
      </w:pPr>
      <w:bookmarkStart w:id="7" w:name="_Toc411603112"/>
      <w:r w:rsidRPr="008651D1">
        <w:rPr>
          <w:lang w:val="fr-FR"/>
        </w:rPr>
        <w:lastRenderedPageBreak/>
        <w:t>Comité technique</w:t>
      </w:r>
      <w:bookmarkEnd w:id="7"/>
    </w:p>
    <w:p w:rsidR="00DF61EE" w:rsidRPr="008651D1" w:rsidRDefault="00DF61EE" w:rsidP="008651D1">
      <w:pPr>
        <w:rPr>
          <w:lang w:val="fr-FR" w:eastAsia="ja-JP"/>
        </w:rPr>
      </w:pPr>
    </w:p>
    <w:p w:rsidR="00DF61EE" w:rsidRPr="008651D1" w:rsidRDefault="009D4F14" w:rsidP="008651D1">
      <w:pPr>
        <w:rPr>
          <w:lang w:val="fr-FR" w:eastAsia="ja-JP"/>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0472BF" w:rsidRPr="008651D1">
        <w:rPr>
          <w:lang w:val="fr-FR"/>
        </w:rPr>
        <w:t>À sa cinquantième</w:t>
      </w:r>
      <w:r w:rsidR="00DE6D2B" w:rsidRPr="008651D1">
        <w:rPr>
          <w:lang w:val="fr-FR"/>
        </w:rPr>
        <w:t> </w:t>
      </w:r>
      <w:r w:rsidR="000472BF" w:rsidRPr="008651D1">
        <w:rPr>
          <w:lang w:val="fr-FR"/>
        </w:rPr>
        <w:t xml:space="preserve">session tenue à Genève du 7 au </w:t>
      </w:r>
      <w:r w:rsidR="00C72A57" w:rsidRPr="008651D1">
        <w:rPr>
          <w:lang w:val="fr-FR"/>
        </w:rPr>
        <w:t>9 avril 20</w:t>
      </w:r>
      <w:r w:rsidR="000472BF" w:rsidRPr="008651D1">
        <w:rPr>
          <w:lang w:val="fr-FR"/>
        </w:rPr>
        <w:t>14, le</w:t>
      </w:r>
      <w:r w:rsidR="00016C98" w:rsidRPr="008651D1">
        <w:rPr>
          <w:lang w:val="fr-FR"/>
        </w:rPr>
        <w:t> TC</w:t>
      </w:r>
      <w:r w:rsidR="000472BF" w:rsidRPr="008651D1">
        <w:rPr>
          <w:lang w:val="fr-FR"/>
        </w:rPr>
        <w:t xml:space="preserve"> a examiné le</w:t>
      </w:r>
      <w:r w:rsidR="00F449CD" w:rsidRPr="008651D1">
        <w:rPr>
          <w:lang w:val="fr-FR"/>
        </w:rPr>
        <w:t xml:space="preserve"> </w:t>
      </w:r>
      <w:r w:rsidR="00016C98" w:rsidRPr="008651D1">
        <w:rPr>
          <w:lang w:val="fr-FR"/>
        </w:rPr>
        <w:t>document TC</w:t>
      </w:r>
      <w:r w:rsidRPr="008651D1">
        <w:rPr>
          <w:rFonts w:cs="Arial"/>
          <w:snapToGrid w:val="0"/>
          <w:lang w:val="fr-FR"/>
        </w:rPr>
        <w:t>/50/13</w:t>
      </w:r>
      <w:r w:rsidRPr="008651D1">
        <w:rPr>
          <w:rFonts w:cs="Arial"/>
          <w:snapToGrid w:val="0"/>
          <w:lang w:val="fr-FR" w:eastAsia="ja-JP"/>
        </w:rPr>
        <w:t>.</w:t>
      </w:r>
    </w:p>
    <w:p w:rsidR="00DF61EE" w:rsidRPr="008651D1" w:rsidRDefault="00DF61EE" w:rsidP="008651D1">
      <w:pPr>
        <w:rPr>
          <w:lang w:val="fr-FR"/>
        </w:rPr>
      </w:pPr>
    </w:p>
    <w:p w:rsidR="00DF61EE" w:rsidRPr="008651D1" w:rsidRDefault="009D4F14"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Le</w:t>
      </w:r>
      <w:r w:rsidR="00016C98" w:rsidRPr="008651D1">
        <w:rPr>
          <w:lang w:val="fr-FR"/>
        </w:rPr>
        <w:t> TC</w:t>
      </w:r>
      <w:r w:rsidR="0033342F" w:rsidRPr="008651D1">
        <w:rPr>
          <w:lang w:val="fr-FR"/>
        </w:rPr>
        <w:t xml:space="preserve"> a </w:t>
      </w:r>
      <w:r w:rsidR="00386209" w:rsidRPr="008651D1">
        <w:rPr>
          <w:lang w:val="fr-FR"/>
        </w:rPr>
        <w:t>noté</w:t>
      </w:r>
      <w:r w:rsidR="0033342F" w:rsidRPr="008651D1">
        <w:rPr>
          <w:lang w:val="fr-FR"/>
        </w:rPr>
        <w:t xml:space="preserve"> que la quatorzième</w:t>
      </w:r>
      <w:r w:rsidR="00DE6D2B" w:rsidRPr="008651D1">
        <w:rPr>
          <w:lang w:val="fr-FR"/>
        </w:rPr>
        <w:t> </w:t>
      </w:r>
      <w:r w:rsidR="0033342F" w:rsidRPr="008651D1">
        <w:rPr>
          <w:lang w:val="fr-FR"/>
        </w:rPr>
        <w:t>session</w:t>
      </w:r>
      <w:r w:rsidR="00C72A57" w:rsidRPr="008651D1">
        <w:rPr>
          <w:lang w:val="fr-FR"/>
        </w:rPr>
        <w:t xml:space="preserve"> du BMT</w:t>
      </w:r>
      <w:r w:rsidR="0033342F" w:rsidRPr="008651D1">
        <w:rPr>
          <w:lang w:val="fr-FR"/>
        </w:rPr>
        <w:t xml:space="preserve"> se tiendrait à Séo</w:t>
      </w:r>
      <w:r w:rsidR="00064B87" w:rsidRPr="008651D1">
        <w:rPr>
          <w:lang w:val="fr-FR"/>
        </w:rPr>
        <w:t>ul (République de Corée)</w:t>
      </w:r>
      <w:r w:rsidR="00DC14F9" w:rsidRPr="008651D1">
        <w:rPr>
          <w:lang w:val="fr-FR"/>
        </w:rPr>
        <w:t xml:space="preserve"> du 10 </w:t>
      </w:r>
      <w:r w:rsidR="0033342F" w:rsidRPr="008651D1">
        <w:rPr>
          <w:lang w:val="fr-FR"/>
        </w:rPr>
        <w:t>au 1</w:t>
      </w:r>
      <w:r w:rsidR="00C72A57" w:rsidRPr="008651D1">
        <w:rPr>
          <w:lang w:val="fr-FR"/>
        </w:rPr>
        <w:t>3 novembre 20</w:t>
      </w:r>
      <w:r w:rsidR="0033342F" w:rsidRPr="008651D1">
        <w:rPr>
          <w:lang w:val="fr-FR"/>
        </w:rPr>
        <w:t>14.</w:t>
      </w:r>
    </w:p>
    <w:p w:rsidR="00DF61EE" w:rsidRPr="008651D1" w:rsidRDefault="00DF61EE" w:rsidP="008651D1">
      <w:pPr>
        <w:rPr>
          <w:lang w:val="fr-FR"/>
        </w:rPr>
      </w:pPr>
    </w:p>
    <w:p w:rsidR="00DF61EE" w:rsidRPr="008651D1" w:rsidRDefault="009D4F14"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0472BF" w:rsidRPr="008651D1">
        <w:rPr>
          <w:lang w:val="fr-FR"/>
        </w:rPr>
        <w:t>Le</w:t>
      </w:r>
      <w:r w:rsidR="00016C98" w:rsidRPr="008651D1">
        <w:rPr>
          <w:lang w:val="fr-FR"/>
        </w:rPr>
        <w:t> TC</w:t>
      </w:r>
      <w:r w:rsidR="000472BF" w:rsidRPr="008651D1">
        <w:rPr>
          <w:lang w:val="fr-FR"/>
        </w:rPr>
        <w:t xml:space="preserve"> a donné son aval à la modification proposée du programme de la quatorzième</w:t>
      </w:r>
      <w:r w:rsidR="00DE6D2B" w:rsidRPr="008651D1">
        <w:rPr>
          <w:lang w:val="fr-FR"/>
        </w:rPr>
        <w:t> </w:t>
      </w:r>
      <w:r w:rsidR="000472BF" w:rsidRPr="008651D1">
        <w:rPr>
          <w:lang w:val="fr-FR"/>
        </w:rPr>
        <w:t>session</w:t>
      </w:r>
      <w:r w:rsidR="00C72A57" w:rsidRPr="008651D1">
        <w:rPr>
          <w:lang w:val="fr-FR"/>
        </w:rPr>
        <w:t xml:space="preserve"> du BMT</w:t>
      </w:r>
      <w:r w:rsidR="000472BF" w:rsidRPr="008651D1">
        <w:rPr>
          <w:lang w:val="fr-FR"/>
        </w:rPr>
        <w:t xml:space="preserve"> </w:t>
      </w:r>
      <w:r w:rsidRPr="008651D1">
        <w:rPr>
          <w:lang w:val="fr-FR" w:eastAsia="ja-JP"/>
        </w:rPr>
        <w:t>(</w:t>
      </w:r>
      <w:r w:rsidR="000472BF" w:rsidRPr="008651D1">
        <w:rPr>
          <w:lang w:val="fr-FR" w:eastAsia="ja-JP"/>
        </w:rPr>
        <w:t>voir le paragraphe</w:t>
      </w:r>
      <w:r w:rsidR="00DE6D2B" w:rsidRPr="008651D1">
        <w:rPr>
          <w:lang w:val="fr-FR" w:eastAsia="ja-JP"/>
        </w:rPr>
        <w:t> </w:t>
      </w:r>
      <w:r w:rsidR="000472BF" w:rsidRPr="008651D1">
        <w:rPr>
          <w:lang w:val="fr-FR" w:eastAsia="ja-JP"/>
        </w:rPr>
        <w:t>20 du</w:t>
      </w:r>
      <w:r w:rsidR="005D5881" w:rsidRPr="008651D1">
        <w:rPr>
          <w:lang w:val="fr-FR" w:eastAsia="ja-JP"/>
        </w:rPr>
        <w:t> </w:t>
      </w:r>
      <w:r w:rsidR="00016C98" w:rsidRPr="008651D1">
        <w:rPr>
          <w:lang w:val="fr-FR" w:eastAsia="ja-JP"/>
        </w:rPr>
        <w:t>document TC</w:t>
      </w:r>
      <w:r w:rsidRPr="008651D1">
        <w:rPr>
          <w:lang w:val="fr-FR" w:eastAsia="ja-JP"/>
        </w:rPr>
        <w:t>/50/13)</w:t>
      </w:r>
      <w:r w:rsidRPr="008651D1">
        <w:rPr>
          <w:lang w:val="fr-FR"/>
        </w:rPr>
        <w:t>.</w:t>
      </w:r>
    </w:p>
    <w:p w:rsidR="00DF61EE" w:rsidRPr="008651D1" w:rsidRDefault="00DF61EE" w:rsidP="008651D1">
      <w:pPr>
        <w:rPr>
          <w:lang w:val="fr-FR"/>
        </w:rPr>
      </w:pPr>
    </w:p>
    <w:p w:rsidR="00DF61EE" w:rsidRPr="008651D1" w:rsidRDefault="009D4F14" w:rsidP="008651D1">
      <w:pPr>
        <w:rPr>
          <w:lang w:val="fr-FR"/>
        </w:rPr>
      </w:pPr>
      <w:r w:rsidRPr="008651D1">
        <w:rPr>
          <w:rFonts w:eastAsia="MS Mincho"/>
          <w:snapToGrid w:val="0"/>
          <w:lang w:val="fr-FR"/>
        </w:rPr>
        <w:fldChar w:fldCharType="begin"/>
      </w:r>
      <w:r w:rsidRPr="008651D1">
        <w:rPr>
          <w:rFonts w:eastAsia="MS Mincho"/>
          <w:snapToGrid w:val="0"/>
          <w:lang w:val="fr-FR"/>
        </w:rPr>
        <w:instrText xml:space="preserve"> AUTONUM  </w:instrText>
      </w:r>
      <w:r w:rsidRPr="008651D1">
        <w:rPr>
          <w:rFonts w:eastAsia="MS Mincho"/>
          <w:snapToGrid w:val="0"/>
          <w:lang w:val="fr-FR"/>
        </w:rPr>
        <w:fldChar w:fldCharType="end"/>
      </w:r>
      <w:r w:rsidRPr="008651D1">
        <w:rPr>
          <w:rFonts w:eastAsia="MS Mincho"/>
          <w:snapToGrid w:val="0"/>
          <w:lang w:val="fr-FR"/>
        </w:rPr>
        <w:tab/>
      </w:r>
      <w:r w:rsidR="0033342F" w:rsidRPr="008651D1">
        <w:rPr>
          <w:rFonts w:eastAsia="MS Mincho"/>
          <w:snapToGrid w:val="0"/>
          <w:lang w:val="fr-FR"/>
        </w:rPr>
        <w:t>Le</w:t>
      </w:r>
      <w:r w:rsidR="00016C98" w:rsidRPr="008651D1">
        <w:rPr>
          <w:rFonts w:eastAsia="MS Mincho"/>
          <w:snapToGrid w:val="0"/>
          <w:lang w:val="fr-FR"/>
        </w:rPr>
        <w:t> TC</w:t>
      </w:r>
      <w:r w:rsidR="0033342F" w:rsidRPr="008651D1">
        <w:rPr>
          <w:rFonts w:eastAsia="MS Mincho"/>
          <w:snapToGrid w:val="0"/>
          <w:lang w:val="fr-FR"/>
        </w:rPr>
        <w:t xml:space="preserve"> a </w:t>
      </w:r>
      <w:r w:rsidR="000472BF" w:rsidRPr="008651D1">
        <w:rPr>
          <w:rFonts w:eastAsia="MS Mincho"/>
          <w:snapToGrid w:val="0"/>
          <w:lang w:val="fr-FR"/>
        </w:rPr>
        <w:t>donné son aval à la</w:t>
      </w:r>
      <w:r w:rsidR="0033342F" w:rsidRPr="008651D1">
        <w:rPr>
          <w:rFonts w:eastAsia="MS Mincho"/>
          <w:snapToGrid w:val="0"/>
          <w:lang w:val="fr-FR"/>
        </w:rPr>
        <w:t xml:space="preserve"> proposition de jumeler la quatorzième</w:t>
      </w:r>
      <w:r w:rsidR="00DE6D2B" w:rsidRPr="008651D1">
        <w:rPr>
          <w:rFonts w:eastAsia="MS Mincho"/>
          <w:snapToGrid w:val="0"/>
          <w:lang w:val="fr-FR"/>
        </w:rPr>
        <w:t> </w:t>
      </w:r>
      <w:r w:rsidR="0033342F" w:rsidRPr="008651D1">
        <w:rPr>
          <w:rFonts w:eastAsia="MS Mincho"/>
          <w:snapToGrid w:val="0"/>
          <w:lang w:val="fr-FR"/>
        </w:rPr>
        <w:t>session</w:t>
      </w:r>
      <w:r w:rsidR="00C72A57" w:rsidRPr="008651D1">
        <w:rPr>
          <w:rFonts w:eastAsia="MS Mincho"/>
          <w:snapToGrid w:val="0"/>
          <w:lang w:val="fr-FR"/>
        </w:rPr>
        <w:t xml:space="preserve"> du BMT</w:t>
      </w:r>
      <w:r w:rsidR="0033342F" w:rsidRPr="008651D1">
        <w:rPr>
          <w:rFonts w:eastAsia="MS Mincho"/>
          <w:snapToGrid w:val="0"/>
          <w:lang w:val="fr-FR"/>
        </w:rPr>
        <w:t xml:space="preserve"> avec l</w:t>
      </w:r>
      <w:r w:rsidR="00016C98" w:rsidRPr="008651D1">
        <w:rPr>
          <w:rFonts w:eastAsia="MS Mincho"/>
          <w:snapToGrid w:val="0"/>
          <w:lang w:val="fr-FR"/>
        </w:rPr>
        <w:t>’</w:t>
      </w:r>
      <w:r w:rsidR="000472BF" w:rsidRPr="008651D1">
        <w:rPr>
          <w:rFonts w:eastAsia="MS Mincho"/>
          <w:snapToGrid w:val="0"/>
          <w:lang w:val="fr-FR"/>
        </w:rPr>
        <w:t>A</w:t>
      </w:r>
      <w:r w:rsidR="0033342F" w:rsidRPr="008651D1">
        <w:rPr>
          <w:rFonts w:eastAsia="MS Mincho"/>
          <w:snapToGrid w:val="0"/>
          <w:lang w:val="fr-FR"/>
        </w:rPr>
        <w:t>telier conjoint de l</w:t>
      </w:r>
      <w:r w:rsidR="00016C98" w:rsidRPr="008651D1">
        <w:rPr>
          <w:rFonts w:eastAsia="MS Mincho"/>
          <w:snapToGrid w:val="0"/>
          <w:lang w:val="fr-FR"/>
        </w:rPr>
        <w:t>’</w:t>
      </w:r>
      <w:r w:rsidR="0033342F" w:rsidRPr="008651D1">
        <w:rPr>
          <w:rFonts w:eastAsia="MS Mincho"/>
          <w:snapToGrid w:val="0"/>
          <w:lang w:val="fr-FR"/>
        </w:rPr>
        <w:t>ISTA et de l</w:t>
      </w:r>
      <w:r w:rsidR="00016C98" w:rsidRPr="008651D1">
        <w:rPr>
          <w:rFonts w:eastAsia="MS Mincho"/>
          <w:snapToGrid w:val="0"/>
          <w:lang w:val="fr-FR"/>
        </w:rPr>
        <w:t>’</w:t>
      </w:r>
      <w:r w:rsidR="0033342F" w:rsidRPr="008651D1">
        <w:rPr>
          <w:rFonts w:eastAsia="MS Mincho"/>
          <w:snapToGrid w:val="0"/>
          <w:lang w:val="fr-FR"/>
        </w:rPr>
        <w:t>OCDE qui se tiendrait le 1</w:t>
      </w:r>
      <w:r w:rsidR="00C72A57" w:rsidRPr="008651D1">
        <w:rPr>
          <w:rFonts w:eastAsia="MS Mincho"/>
          <w:snapToGrid w:val="0"/>
          <w:lang w:val="fr-FR"/>
        </w:rPr>
        <w:t>2 novembre 20</w:t>
      </w:r>
      <w:r w:rsidR="0033342F" w:rsidRPr="008651D1">
        <w:rPr>
          <w:rFonts w:eastAsia="MS Mincho"/>
          <w:snapToGrid w:val="0"/>
          <w:lang w:val="fr-FR"/>
        </w:rPr>
        <w:t>14, comme indiqué au paragraphe</w:t>
      </w:r>
      <w:r w:rsidR="00DE6D2B" w:rsidRPr="008651D1">
        <w:rPr>
          <w:rFonts w:eastAsia="MS Mincho"/>
          <w:snapToGrid w:val="0"/>
          <w:lang w:val="fr-FR"/>
        </w:rPr>
        <w:t> </w:t>
      </w:r>
      <w:r w:rsidR="0033342F" w:rsidRPr="008651D1">
        <w:rPr>
          <w:rFonts w:eastAsia="MS Mincho"/>
          <w:snapToGrid w:val="0"/>
          <w:lang w:val="fr-FR"/>
        </w:rPr>
        <w:t xml:space="preserve">21 du </w:t>
      </w:r>
      <w:r w:rsidR="00016C98" w:rsidRPr="008651D1">
        <w:rPr>
          <w:rFonts w:eastAsia="MS Mincho"/>
          <w:snapToGrid w:val="0"/>
          <w:lang w:val="fr-FR"/>
        </w:rPr>
        <w:t>document TC</w:t>
      </w:r>
      <w:r w:rsidR="0033342F" w:rsidRPr="008651D1">
        <w:rPr>
          <w:rFonts w:eastAsia="MS Mincho"/>
          <w:snapToGrid w:val="0"/>
          <w:lang w:val="fr-FR"/>
        </w:rPr>
        <w:t>/50/13.</w:t>
      </w:r>
    </w:p>
    <w:p w:rsidR="00DF61EE" w:rsidRPr="008651D1" w:rsidRDefault="00DF61EE" w:rsidP="008651D1">
      <w:pPr>
        <w:rPr>
          <w:lang w:val="fr-FR"/>
        </w:rPr>
      </w:pPr>
    </w:p>
    <w:p w:rsidR="00DF61EE" w:rsidRPr="008651D1" w:rsidRDefault="009D4F14" w:rsidP="008651D1">
      <w:pPr>
        <w:rPr>
          <w:rFonts w:eastAsia="MS Mincho"/>
          <w:snapToGrid w:val="0"/>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Le</w:t>
      </w:r>
      <w:r w:rsidR="00016C98" w:rsidRPr="008651D1">
        <w:rPr>
          <w:lang w:val="fr-FR"/>
        </w:rPr>
        <w:t> TC</w:t>
      </w:r>
      <w:r w:rsidR="0033342F" w:rsidRPr="008651D1">
        <w:rPr>
          <w:lang w:val="fr-FR"/>
        </w:rPr>
        <w:t xml:space="preserve"> est convenu que l</w:t>
      </w:r>
      <w:r w:rsidR="00016C98" w:rsidRPr="008651D1">
        <w:rPr>
          <w:lang w:val="fr-FR"/>
        </w:rPr>
        <w:t>’</w:t>
      </w:r>
      <w:r w:rsidR="0033342F" w:rsidRPr="008651D1">
        <w:rPr>
          <w:lang w:val="fr-FR"/>
        </w:rPr>
        <w:t>état d</w:t>
      </w:r>
      <w:r w:rsidR="00016C98" w:rsidRPr="008651D1">
        <w:rPr>
          <w:lang w:val="fr-FR"/>
        </w:rPr>
        <w:t>’</w:t>
      </w:r>
      <w:r w:rsidR="0033342F" w:rsidRPr="008651D1">
        <w:rPr>
          <w:lang w:val="fr-FR"/>
        </w:rPr>
        <w:t>avancement des travaux</w:t>
      </w:r>
      <w:r w:rsidR="00C72A57" w:rsidRPr="008651D1">
        <w:rPr>
          <w:lang w:val="fr-FR"/>
        </w:rPr>
        <w:t xml:space="preserve"> du BMT</w:t>
      </w:r>
      <w:r w:rsidR="0033342F" w:rsidRPr="008651D1">
        <w:rPr>
          <w:lang w:val="fr-FR"/>
        </w:rPr>
        <w:t xml:space="preserve"> et les résultats de l</w:t>
      </w:r>
      <w:r w:rsidR="00016C98" w:rsidRPr="008651D1">
        <w:rPr>
          <w:lang w:val="fr-FR"/>
        </w:rPr>
        <w:t>’</w:t>
      </w:r>
      <w:r w:rsidR="0033342F" w:rsidRPr="008651D1">
        <w:rPr>
          <w:lang w:val="fr-FR"/>
        </w:rPr>
        <w:t>atelier conjoint avec l</w:t>
      </w:r>
      <w:r w:rsidR="00016C98" w:rsidRPr="008651D1">
        <w:rPr>
          <w:lang w:val="fr-FR"/>
        </w:rPr>
        <w:t>’</w:t>
      </w:r>
      <w:r w:rsidR="0033342F" w:rsidRPr="008651D1">
        <w:rPr>
          <w:lang w:val="fr-FR"/>
        </w:rPr>
        <w:t>ISTA et l</w:t>
      </w:r>
      <w:r w:rsidR="00016C98" w:rsidRPr="008651D1">
        <w:rPr>
          <w:lang w:val="fr-FR"/>
        </w:rPr>
        <w:t>’</w:t>
      </w:r>
      <w:r w:rsidR="0033342F" w:rsidRPr="008651D1">
        <w:rPr>
          <w:lang w:val="fr-FR"/>
        </w:rPr>
        <w:t>OCDE devraient être c</w:t>
      </w:r>
      <w:r w:rsidR="00D12FFE" w:rsidRPr="008651D1">
        <w:rPr>
          <w:lang w:val="fr-FR"/>
        </w:rPr>
        <w:t>ommuniqués au</w:t>
      </w:r>
      <w:r w:rsidR="00016C98" w:rsidRPr="008651D1">
        <w:rPr>
          <w:lang w:val="fr-FR"/>
        </w:rPr>
        <w:t> TC</w:t>
      </w:r>
      <w:r w:rsidR="00D12FFE" w:rsidRPr="008651D1">
        <w:rPr>
          <w:lang w:val="fr-FR"/>
        </w:rPr>
        <w:t xml:space="preserve"> à sa cinquante </w:t>
      </w:r>
      <w:r w:rsidR="0033342F" w:rsidRPr="008651D1">
        <w:rPr>
          <w:lang w:val="fr-FR"/>
        </w:rPr>
        <w:t>et</w:t>
      </w:r>
      <w:r w:rsidR="00D12FFE" w:rsidRPr="008651D1">
        <w:rPr>
          <w:lang w:val="fr-FR"/>
        </w:rPr>
        <w:t> </w:t>
      </w:r>
      <w:r w:rsidR="0033342F" w:rsidRPr="008651D1">
        <w:rPr>
          <w:lang w:val="fr-FR"/>
        </w:rPr>
        <w:t>unième</w:t>
      </w:r>
      <w:r w:rsidR="00D12FFE" w:rsidRPr="008651D1">
        <w:rPr>
          <w:lang w:val="fr-FR"/>
        </w:rPr>
        <w:t> </w:t>
      </w:r>
      <w:r w:rsidR="0033342F" w:rsidRPr="008651D1">
        <w:rPr>
          <w:lang w:val="fr-FR"/>
        </w:rPr>
        <w:t>session.</w:t>
      </w:r>
    </w:p>
    <w:p w:rsidR="00DF61EE" w:rsidRPr="008651D1" w:rsidRDefault="00DF61EE" w:rsidP="008651D1">
      <w:pPr>
        <w:rPr>
          <w:rFonts w:eastAsia="MS Mincho"/>
          <w:snapToGrid w:val="0"/>
          <w:lang w:val="fr-FR"/>
        </w:rPr>
      </w:pPr>
    </w:p>
    <w:p w:rsidR="00DF61EE" w:rsidRPr="008651D1" w:rsidRDefault="00DF61EE" w:rsidP="008651D1">
      <w:pPr>
        <w:rPr>
          <w:rFonts w:eastAsia="MS Mincho"/>
          <w:snapToGrid w:val="0"/>
          <w:lang w:val="fr-FR" w:eastAsia="ja-JP"/>
        </w:rPr>
      </w:pPr>
    </w:p>
    <w:p w:rsidR="00DF61EE" w:rsidRPr="008651D1" w:rsidRDefault="0033342F" w:rsidP="008651D1">
      <w:pPr>
        <w:pStyle w:val="Heading1"/>
        <w:rPr>
          <w:snapToGrid w:val="0"/>
          <w:lang w:val="fr-FR"/>
        </w:rPr>
      </w:pPr>
      <w:bookmarkStart w:id="8" w:name="_Toc411603113"/>
      <w:r w:rsidRPr="008651D1">
        <w:rPr>
          <w:snapToGrid w:val="0"/>
          <w:lang w:val="fr-FR"/>
        </w:rPr>
        <w:t>Groupes de travail techniques</w:t>
      </w:r>
      <w:bookmarkEnd w:id="8"/>
    </w:p>
    <w:p w:rsidR="00DF61EE" w:rsidRPr="008651D1" w:rsidRDefault="00DF61EE" w:rsidP="008651D1">
      <w:pPr>
        <w:rPr>
          <w:rFonts w:eastAsia="MS Mincho"/>
          <w:snapToGrid w:val="0"/>
          <w:lang w:val="fr-FR" w:eastAsia="ja-JP"/>
        </w:rPr>
      </w:pPr>
    </w:p>
    <w:p w:rsidR="00DF61EE" w:rsidRPr="008651D1" w:rsidRDefault="009A5CC2" w:rsidP="008651D1">
      <w:pPr>
        <w:rPr>
          <w:snapToGrid w:val="0"/>
          <w:lang w:val="fr-FR" w:eastAsia="ja-JP"/>
        </w:rPr>
      </w:pPr>
      <w:r w:rsidRPr="008651D1">
        <w:rPr>
          <w:rFonts w:cs="Arial"/>
          <w:lang w:val="fr-FR"/>
        </w:rPr>
        <w:fldChar w:fldCharType="begin"/>
      </w:r>
      <w:r w:rsidRPr="008651D1">
        <w:rPr>
          <w:rFonts w:cs="Arial"/>
          <w:lang w:val="fr-FR"/>
        </w:rPr>
        <w:instrText xml:space="preserve"> AUTONUM  </w:instrText>
      </w:r>
      <w:r w:rsidRPr="008651D1">
        <w:rPr>
          <w:rFonts w:cs="Arial"/>
          <w:lang w:val="fr-FR"/>
        </w:rPr>
        <w:fldChar w:fldCharType="end"/>
      </w:r>
      <w:r w:rsidRPr="008651D1">
        <w:rPr>
          <w:rFonts w:cs="Arial"/>
          <w:lang w:val="fr-FR"/>
        </w:rPr>
        <w:tab/>
      </w:r>
      <w:r w:rsidR="00A628BD" w:rsidRPr="008651D1">
        <w:rPr>
          <w:rFonts w:cs="Arial"/>
          <w:lang w:val="fr-FR"/>
        </w:rPr>
        <w:t>À leurs sessions en</w:t>
      </w:r>
      <w:r w:rsidR="00DE6D2B" w:rsidRPr="008651D1">
        <w:rPr>
          <w:rFonts w:cs="Arial"/>
          <w:lang w:val="fr-FR"/>
        </w:rPr>
        <w:t> </w:t>
      </w:r>
      <w:r w:rsidRPr="008651D1">
        <w:rPr>
          <w:lang w:val="fr-FR" w:eastAsia="ja-JP"/>
        </w:rPr>
        <w:t>2014,</w:t>
      </w:r>
      <w:r w:rsidR="00C72A57" w:rsidRPr="008651D1">
        <w:rPr>
          <w:lang w:val="fr-FR" w:eastAsia="ja-JP"/>
        </w:rPr>
        <w:t xml:space="preserve"> le TWO</w:t>
      </w:r>
      <w:r w:rsidRPr="008651D1">
        <w:rPr>
          <w:lang w:val="fr-FR" w:eastAsia="ja-JP"/>
        </w:rPr>
        <w:t>,</w:t>
      </w:r>
      <w:r w:rsidR="00C72A57" w:rsidRPr="008651D1">
        <w:rPr>
          <w:lang w:val="fr-FR" w:eastAsia="ja-JP"/>
        </w:rPr>
        <w:t xml:space="preserve"> le TWF</w:t>
      </w:r>
      <w:r w:rsidRPr="008651D1">
        <w:rPr>
          <w:lang w:val="fr-FR" w:eastAsia="ja-JP"/>
        </w:rPr>
        <w:t>,</w:t>
      </w:r>
      <w:r w:rsidR="00C72A57" w:rsidRPr="008651D1">
        <w:rPr>
          <w:lang w:val="fr-FR" w:eastAsia="ja-JP"/>
        </w:rPr>
        <w:t xml:space="preserve"> le TWC</w:t>
      </w:r>
      <w:r w:rsidRPr="008651D1">
        <w:rPr>
          <w:lang w:val="fr-FR" w:eastAsia="ja-JP"/>
        </w:rPr>
        <w:t>,</w:t>
      </w:r>
      <w:r w:rsidR="00C72A57" w:rsidRPr="008651D1">
        <w:rPr>
          <w:lang w:val="fr-FR" w:eastAsia="ja-JP"/>
        </w:rPr>
        <w:t xml:space="preserve"> le TWV</w:t>
      </w:r>
      <w:r w:rsidRPr="008651D1">
        <w:rPr>
          <w:lang w:val="fr-FR" w:eastAsia="ja-JP"/>
        </w:rPr>
        <w:t xml:space="preserve"> </w:t>
      </w:r>
      <w:r w:rsidR="00A628BD" w:rsidRPr="008651D1">
        <w:rPr>
          <w:lang w:val="fr-FR" w:eastAsia="ja-JP"/>
        </w:rPr>
        <w:t>et</w:t>
      </w:r>
      <w:r w:rsidR="00C72A57" w:rsidRPr="008651D1">
        <w:rPr>
          <w:lang w:val="fr-FR" w:eastAsia="ja-JP"/>
        </w:rPr>
        <w:t xml:space="preserve"> le TWA</w:t>
      </w:r>
      <w:r w:rsidRPr="008651D1">
        <w:rPr>
          <w:lang w:val="fr-FR" w:eastAsia="ja-JP"/>
        </w:rPr>
        <w:t xml:space="preserve"> </w:t>
      </w:r>
      <w:r w:rsidR="00A628BD" w:rsidRPr="008651D1">
        <w:rPr>
          <w:lang w:val="fr-FR" w:eastAsia="ja-JP"/>
        </w:rPr>
        <w:t>ont examiné les documents</w:t>
      </w:r>
      <w:r w:rsidRPr="008651D1">
        <w:rPr>
          <w:snapToGrid w:val="0"/>
          <w:lang w:val="fr-FR"/>
        </w:rPr>
        <w:t xml:space="preserve"> TWO/4</w:t>
      </w:r>
      <w:r w:rsidRPr="008651D1">
        <w:rPr>
          <w:snapToGrid w:val="0"/>
          <w:lang w:val="fr-FR" w:eastAsia="ja-JP"/>
        </w:rPr>
        <w:t>7</w:t>
      </w:r>
      <w:r w:rsidRPr="008651D1">
        <w:rPr>
          <w:snapToGrid w:val="0"/>
          <w:lang w:val="fr-FR"/>
        </w:rPr>
        <w:t>/</w:t>
      </w:r>
      <w:r w:rsidRPr="008651D1">
        <w:rPr>
          <w:snapToGrid w:val="0"/>
          <w:lang w:val="fr-FR" w:eastAsia="ja-JP"/>
        </w:rPr>
        <w:t>2</w:t>
      </w:r>
      <w:r w:rsidRPr="008651D1">
        <w:rPr>
          <w:snapToGrid w:val="0"/>
          <w:lang w:val="fr-FR"/>
        </w:rPr>
        <w:t>, TWF/4</w:t>
      </w:r>
      <w:r w:rsidRPr="008651D1">
        <w:rPr>
          <w:snapToGrid w:val="0"/>
          <w:lang w:val="fr-FR" w:eastAsia="ja-JP"/>
        </w:rPr>
        <w:t>5</w:t>
      </w:r>
      <w:r w:rsidRPr="008651D1">
        <w:rPr>
          <w:snapToGrid w:val="0"/>
          <w:lang w:val="fr-FR"/>
        </w:rPr>
        <w:t>/</w:t>
      </w:r>
      <w:r w:rsidRPr="008651D1">
        <w:rPr>
          <w:snapToGrid w:val="0"/>
          <w:lang w:val="fr-FR" w:eastAsia="ja-JP"/>
        </w:rPr>
        <w:t>2</w:t>
      </w:r>
      <w:r w:rsidRPr="008651D1">
        <w:rPr>
          <w:snapToGrid w:val="0"/>
          <w:lang w:val="fr-FR"/>
        </w:rPr>
        <w:t>, TWC/3</w:t>
      </w:r>
      <w:r w:rsidRPr="008651D1">
        <w:rPr>
          <w:snapToGrid w:val="0"/>
          <w:lang w:val="fr-FR" w:eastAsia="ja-JP"/>
        </w:rPr>
        <w:t>2</w:t>
      </w:r>
      <w:r w:rsidRPr="008651D1">
        <w:rPr>
          <w:snapToGrid w:val="0"/>
          <w:lang w:val="fr-FR"/>
        </w:rPr>
        <w:t>/</w:t>
      </w:r>
      <w:r w:rsidRPr="008651D1">
        <w:rPr>
          <w:snapToGrid w:val="0"/>
          <w:lang w:val="fr-FR" w:eastAsia="ja-JP"/>
        </w:rPr>
        <w:t xml:space="preserve">2, </w:t>
      </w:r>
      <w:r w:rsidRPr="008651D1">
        <w:rPr>
          <w:snapToGrid w:val="0"/>
          <w:lang w:val="fr-FR"/>
        </w:rPr>
        <w:t>TWV/4</w:t>
      </w:r>
      <w:r w:rsidRPr="008651D1">
        <w:rPr>
          <w:snapToGrid w:val="0"/>
          <w:lang w:val="fr-FR" w:eastAsia="ja-JP"/>
        </w:rPr>
        <w:t>8</w:t>
      </w:r>
      <w:r w:rsidRPr="008651D1">
        <w:rPr>
          <w:snapToGrid w:val="0"/>
          <w:lang w:val="fr-FR"/>
        </w:rPr>
        <w:t>/</w:t>
      </w:r>
      <w:r w:rsidRPr="008651D1">
        <w:rPr>
          <w:snapToGrid w:val="0"/>
          <w:lang w:val="fr-FR" w:eastAsia="ja-JP"/>
        </w:rPr>
        <w:t>2</w:t>
      </w:r>
      <w:r w:rsidRPr="008651D1">
        <w:rPr>
          <w:snapToGrid w:val="0"/>
          <w:lang w:val="fr-FR"/>
        </w:rPr>
        <w:t xml:space="preserve"> </w:t>
      </w:r>
      <w:r w:rsidR="00A628BD" w:rsidRPr="008651D1">
        <w:rPr>
          <w:snapToGrid w:val="0"/>
          <w:lang w:val="fr-FR"/>
        </w:rPr>
        <w:t>et</w:t>
      </w:r>
      <w:r w:rsidRPr="008651D1">
        <w:rPr>
          <w:snapToGrid w:val="0"/>
          <w:lang w:val="fr-FR"/>
        </w:rPr>
        <w:t xml:space="preserve"> TWA/4</w:t>
      </w:r>
      <w:r w:rsidRPr="008651D1">
        <w:rPr>
          <w:snapToGrid w:val="0"/>
          <w:lang w:val="fr-FR" w:eastAsia="ja-JP"/>
        </w:rPr>
        <w:t>3</w:t>
      </w:r>
      <w:r w:rsidRPr="008651D1">
        <w:rPr>
          <w:snapToGrid w:val="0"/>
          <w:lang w:val="fr-FR"/>
        </w:rPr>
        <w:t>/</w:t>
      </w:r>
      <w:r w:rsidRPr="008651D1">
        <w:rPr>
          <w:snapToGrid w:val="0"/>
          <w:lang w:val="fr-FR" w:eastAsia="ja-JP"/>
        </w:rPr>
        <w:t>2</w:t>
      </w:r>
      <w:r w:rsidR="000E5EE5" w:rsidRPr="008651D1">
        <w:rPr>
          <w:snapToGrid w:val="0"/>
          <w:lang w:val="fr-FR" w:eastAsia="ja-JP"/>
        </w:rPr>
        <w:t xml:space="preserve"> “Molecular Techniques”</w:t>
      </w:r>
      <w:r w:rsidRPr="008651D1">
        <w:rPr>
          <w:snapToGrid w:val="0"/>
          <w:lang w:val="fr-FR" w:eastAsia="ja-JP"/>
        </w:rPr>
        <w:t>,</w:t>
      </w:r>
      <w:r w:rsidRPr="008651D1">
        <w:rPr>
          <w:snapToGrid w:val="0"/>
          <w:lang w:val="fr-FR"/>
        </w:rPr>
        <w:t xml:space="preserve"> </w:t>
      </w:r>
      <w:r w:rsidR="00A628BD" w:rsidRPr="008651D1">
        <w:rPr>
          <w:snapToGrid w:val="0"/>
          <w:lang w:val="fr-FR"/>
        </w:rPr>
        <w:t>respectivement</w:t>
      </w:r>
      <w:r w:rsidRPr="008651D1">
        <w:rPr>
          <w:snapToGrid w:val="0"/>
          <w:lang w:val="fr-FR"/>
        </w:rPr>
        <w:t>.</w:t>
      </w:r>
    </w:p>
    <w:p w:rsidR="00DF61EE" w:rsidRPr="008651D1" w:rsidRDefault="00DF61EE" w:rsidP="008651D1">
      <w:pPr>
        <w:keepNext/>
        <w:keepLines/>
        <w:rPr>
          <w:lang w:val="fr-FR" w:eastAsia="ja-JP"/>
        </w:rPr>
      </w:pPr>
    </w:p>
    <w:p w:rsidR="00DF61EE" w:rsidRPr="008651D1" w:rsidRDefault="009A5CC2" w:rsidP="008651D1">
      <w:pPr>
        <w:rPr>
          <w:lang w:val="fr-FR" w:eastAsia="ja-JP"/>
        </w:rPr>
      </w:pPr>
      <w:r w:rsidRPr="008651D1">
        <w:rPr>
          <w:snapToGrid w:val="0"/>
          <w:lang w:val="fr-FR"/>
        </w:rPr>
        <w:fldChar w:fldCharType="begin"/>
      </w:r>
      <w:r w:rsidRPr="008651D1">
        <w:rPr>
          <w:snapToGrid w:val="0"/>
          <w:lang w:val="fr-FR"/>
        </w:rPr>
        <w:instrText xml:space="preserve"> AUTONUM  </w:instrText>
      </w:r>
      <w:r w:rsidRPr="008651D1">
        <w:rPr>
          <w:snapToGrid w:val="0"/>
          <w:lang w:val="fr-FR"/>
        </w:rPr>
        <w:fldChar w:fldCharType="end"/>
      </w:r>
      <w:r w:rsidRPr="008651D1">
        <w:rPr>
          <w:snapToGrid w:val="0"/>
          <w:lang w:val="fr-FR"/>
        </w:rPr>
        <w:tab/>
      </w:r>
      <w:r w:rsidR="00A628BD" w:rsidRPr="008651D1">
        <w:rPr>
          <w:snapToGrid w:val="0"/>
          <w:lang w:val="fr-FR"/>
        </w:rPr>
        <w:t>Le</w:t>
      </w:r>
      <w:r w:rsidRPr="008651D1">
        <w:rPr>
          <w:snapToGrid w:val="0"/>
          <w:lang w:val="fr-FR"/>
        </w:rPr>
        <w:t xml:space="preserve"> TWO</w:t>
      </w:r>
      <w:r w:rsidRPr="008651D1">
        <w:rPr>
          <w:snapToGrid w:val="0"/>
          <w:lang w:val="fr-FR" w:eastAsia="ja-JP"/>
        </w:rPr>
        <w:t>,</w:t>
      </w:r>
      <w:r w:rsidR="00C72A57" w:rsidRPr="008651D1">
        <w:rPr>
          <w:snapToGrid w:val="0"/>
          <w:lang w:val="fr-FR" w:eastAsia="ja-JP"/>
        </w:rPr>
        <w:t xml:space="preserve"> le TWF</w:t>
      </w:r>
      <w:r w:rsidRPr="008651D1">
        <w:rPr>
          <w:snapToGrid w:val="0"/>
          <w:lang w:val="fr-FR" w:eastAsia="ja-JP"/>
        </w:rPr>
        <w:t>,</w:t>
      </w:r>
      <w:r w:rsidR="00C72A57" w:rsidRPr="008651D1">
        <w:rPr>
          <w:snapToGrid w:val="0"/>
          <w:lang w:val="fr-FR" w:eastAsia="ja-JP"/>
        </w:rPr>
        <w:t xml:space="preserve"> le TWC</w:t>
      </w:r>
      <w:r w:rsidRPr="008651D1">
        <w:rPr>
          <w:snapToGrid w:val="0"/>
          <w:lang w:val="fr-FR" w:eastAsia="ja-JP"/>
        </w:rPr>
        <w:t>,</w:t>
      </w:r>
      <w:r w:rsidR="00C72A57" w:rsidRPr="008651D1">
        <w:rPr>
          <w:snapToGrid w:val="0"/>
          <w:lang w:val="fr-FR" w:eastAsia="ja-JP"/>
        </w:rPr>
        <w:t xml:space="preserve"> le TWV</w:t>
      </w:r>
      <w:r w:rsidRPr="008651D1">
        <w:rPr>
          <w:snapToGrid w:val="0"/>
          <w:lang w:val="fr-FR" w:eastAsia="ja-JP"/>
        </w:rPr>
        <w:t xml:space="preserve"> </w:t>
      </w:r>
      <w:r w:rsidR="00A628BD" w:rsidRPr="008651D1">
        <w:rPr>
          <w:snapToGrid w:val="0"/>
          <w:lang w:val="fr-FR" w:eastAsia="ja-JP"/>
        </w:rPr>
        <w:t>et</w:t>
      </w:r>
      <w:r w:rsidR="00C72A57" w:rsidRPr="008651D1">
        <w:rPr>
          <w:snapToGrid w:val="0"/>
          <w:lang w:val="fr-FR" w:eastAsia="ja-JP"/>
        </w:rPr>
        <w:t xml:space="preserve"> le TWA</w:t>
      </w:r>
      <w:r w:rsidRPr="008651D1">
        <w:rPr>
          <w:snapToGrid w:val="0"/>
          <w:lang w:val="fr-FR"/>
        </w:rPr>
        <w:t xml:space="preserve"> </w:t>
      </w:r>
      <w:r w:rsidR="00A628BD" w:rsidRPr="008651D1">
        <w:rPr>
          <w:snapToGrid w:val="0"/>
          <w:lang w:val="fr-FR"/>
        </w:rPr>
        <w:t>ont pris note des faits nouveaux concernant :</w:t>
      </w:r>
    </w:p>
    <w:p w:rsidR="00DF61EE" w:rsidRPr="008651D1" w:rsidRDefault="00DF61EE" w:rsidP="008651D1">
      <w:pPr>
        <w:rPr>
          <w:lang w:val="fr-FR" w:eastAsia="ja-JP"/>
        </w:rPr>
      </w:pPr>
    </w:p>
    <w:p w:rsidR="00DF61EE" w:rsidRPr="008651D1" w:rsidRDefault="009A5CC2" w:rsidP="008651D1">
      <w:pPr>
        <w:rPr>
          <w:lang w:val="fr-FR"/>
        </w:rPr>
      </w:pPr>
      <w:r w:rsidRPr="008651D1">
        <w:rPr>
          <w:lang w:val="fr-FR"/>
        </w:rPr>
        <w:tab/>
      </w:r>
      <w:r w:rsidR="00B33D4E" w:rsidRPr="008651D1">
        <w:rPr>
          <w:lang w:val="fr-FR"/>
        </w:rPr>
        <w:t>a)</w:t>
      </w:r>
      <w:r w:rsidR="00B33D4E" w:rsidRPr="008651D1">
        <w:rPr>
          <w:lang w:val="fr-FR"/>
        </w:rPr>
        <w:tab/>
      </w:r>
      <w:r w:rsidR="0033342F" w:rsidRPr="008651D1">
        <w:rPr>
          <w:lang w:val="fr-FR"/>
        </w:rPr>
        <w:t>l</w:t>
      </w:r>
      <w:r w:rsidR="00016C98" w:rsidRPr="008651D1">
        <w:rPr>
          <w:lang w:val="fr-FR"/>
        </w:rPr>
        <w:t>’</w:t>
      </w:r>
      <w:r w:rsidR="0033342F" w:rsidRPr="008651D1">
        <w:rPr>
          <w:lang w:val="fr-FR"/>
        </w:rPr>
        <w:t>utilisation des marqueurs biochimiques et moléculaires dans l</w:t>
      </w:r>
      <w:r w:rsidR="00016C98" w:rsidRPr="008651D1">
        <w:rPr>
          <w:lang w:val="fr-FR"/>
        </w:rPr>
        <w:t>’</w:t>
      </w:r>
      <w:r w:rsidR="0033342F" w:rsidRPr="008651D1">
        <w:rPr>
          <w:lang w:val="fr-FR"/>
        </w:rPr>
        <w:t>examen de la distinction, de l</w:t>
      </w:r>
      <w:r w:rsidR="00016C98" w:rsidRPr="008651D1">
        <w:rPr>
          <w:lang w:val="fr-FR"/>
        </w:rPr>
        <w:t>’</w:t>
      </w:r>
      <w:r w:rsidR="0033342F" w:rsidRPr="008651D1">
        <w:rPr>
          <w:lang w:val="fr-FR"/>
        </w:rPr>
        <w:t>homogénéité et de la stabilité (DHS);</w:t>
      </w:r>
    </w:p>
    <w:p w:rsidR="00DF61EE" w:rsidRPr="008651D1" w:rsidRDefault="00DF61EE" w:rsidP="008651D1">
      <w:pPr>
        <w:rPr>
          <w:lang w:val="fr-FR"/>
        </w:rPr>
      </w:pPr>
    </w:p>
    <w:p w:rsidR="00DF61EE" w:rsidRPr="008651D1" w:rsidRDefault="009A5CC2" w:rsidP="008651D1">
      <w:pPr>
        <w:rPr>
          <w:lang w:val="fr-FR"/>
        </w:rPr>
      </w:pPr>
      <w:r w:rsidRPr="008651D1">
        <w:rPr>
          <w:lang w:val="fr-FR"/>
        </w:rPr>
        <w:tab/>
      </w:r>
      <w:r w:rsidR="008C381D" w:rsidRPr="008651D1">
        <w:rPr>
          <w:lang w:val="fr-FR"/>
        </w:rPr>
        <w:t xml:space="preserve">b) </w:t>
      </w:r>
      <w:r w:rsidR="008C381D" w:rsidRPr="008651D1">
        <w:rPr>
          <w:lang w:val="fr-FR"/>
        </w:rPr>
        <w:tab/>
        <w:t>le Groupe de travail sur les techniques biochimiques et moléculaires, no</w:t>
      </w:r>
      <w:r w:rsidR="00A628BD" w:rsidRPr="008651D1">
        <w:rPr>
          <w:lang w:val="fr-FR"/>
        </w:rPr>
        <w:t>tamment les profils d</w:t>
      </w:r>
      <w:r w:rsidR="00016C98" w:rsidRPr="008651D1">
        <w:rPr>
          <w:lang w:val="fr-FR"/>
        </w:rPr>
        <w:t>’</w:t>
      </w:r>
      <w:r w:rsidR="00933AF0">
        <w:rPr>
          <w:lang w:val="fr-FR"/>
        </w:rPr>
        <w:t xml:space="preserve">ADN (BMT); </w:t>
      </w:r>
      <w:r w:rsidR="00A628BD" w:rsidRPr="008651D1">
        <w:rPr>
          <w:lang w:val="fr-FR"/>
        </w:rPr>
        <w:t>et</w:t>
      </w:r>
    </w:p>
    <w:p w:rsidR="00DF61EE" w:rsidRPr="008651D1" w:rsidRDefault="00DF61EE" w:rsidP="008651D1">
      <w:pPr>
        <w:rPr>
          <w:rFonts w:cs="Arial"/>
          <w:shd w:val="clear" w:color="auto" w:fill="FFFFFF"/>
          <w:lang w:val="fr-FR"/>
        </w:rPr>
      </w:pPr>
    </w:p>
    <w:p w:rsidR="00DF61EE" w:rsidRPr="008651D1" w:rsidRDefault="008C381D" w:rsidP="008651D1">
      <w:pPr>
        <w:rPr>
          <w:lang w:val="fr-FR"/>
        </w:rPr>
      </w:pPr>
      <w:r w:rsidRPr="008651D1">
        <w:rPr>
          <w:lang w:val="fr-FR"/>
        </w:rPr>
        <w:tab/>
        <w:t>c)</w:t>
      </w:r>
      <w:r w:rsidRPr="008651D1">
        <w:rPr>
          <w:lang w:val="fr-FR"/>
        </w:rPr>
        <w:tab/>
        <w:t>la diffusion d</w:t>
      </w:r>
      <w:r w:rsidR="00016C98" w:rsidRPr="008651D1">
        <w:rPr>
          <w:lang w:val="fr-FR"/>
        </w:rPr>
        <w:t>’</w:t>
      </w:r>
      <w:r w:rsidRPr="008651D1">
        <w:rPr>
          <w:lang w:val="fr-FR"/>
        </w:rPr>
        <w:t xml:space="preserve">informations à un plus large public, </w:t>
      </w:r>
      <w:r w:rsidR="00016C98" w:rsidRPr="008651D1">
        <w:rPr>
          <w:lang w:val="fr-FR"/>
        </w:rPr>
        <w:t>y compris</w:t>
      </w:r>
      <w:r w:rsidRPr="008651D1">
        <w:rPr>
          <w:lang w:val="fr-FR"/>
        </w:rPr>
        <w:t xml:space="preserve"> les obtenteurs et le public en général, sur la situation à l</w:t>
      </w:r>
      <w:r w:rsidR="00016C98" w:rsidRPr="008651D1">
        <w:rPr>
          <w:lang w:val="fr-FR"/>
        </w:rPr>
        <w:t>’</w:t>
      </w:r>
      <w:r w:rsidRPr="008651D1">
        <w:rPr>
          <w:lang w:val="fr-FR"/>
        </w:rPr>
        <w:t>UPOV concernant l</w:t>
      </w:r>
      <w:r w:rsidR="00016C98" w:rsidRPr="008651D1">
        <w:rPr>
          <w:lang w:val="fr-FR"/>
        </w:rPr>
        <w:t>’</w:t>
      </w:r>
      <w:r w:rsidRPr="008651D1">
        <w:rPr>
          <w:lang w:val="fr-FR"/>
        </w:rPr>
        <w:t>utilisation de techniques moléculaires.</w:t>
      </w:r>
    </w:p>
    <w:p w:rsidR="00DF61EE" w:rsidRPr="008651D1" w:rsidRDefault="00DF61EE" w:rsidP="008651D1">
      <w:pPr>
        <w:rPr>
          <w:snapToGrid w:val="0"/>
          <w:lang w:val="fr-FR"/>
        </w:rPr>
      </w:pPr>
    </w:p>
    <w:p w:rsidR="00DF61EE" w:rsidRPr="008651D1" w:rsidRDefault="00DE14E4" w:rsidP="008651D1">
      <w:pPr>
        <w:rPr>
          <w:shd w:val="clear" w:color="auto" w:fill="FFFFFF"/>
          <w:lang w:val="fr-FR"/>
        </w:rPr>
      </w:pPr>
      <w:r w:rsidRPr="008651D1">
        <w:rPr>
          <w:snapToGrid w:val="0"/>
          <w:lang w:val="fr-FR"/>
        </w:rPr>
        <w:fldChar w:fldCharType="begin"/>
      </w:r>
      <w:r w:rsidRPr="008651D1">
        <w:rPr>
          <w:snapToGrid w:val="0"/>
          <w:lang w:val="fr-FR"/>
        </w:rPr>
        <w:instrText xml:space="preserve"> AUTONUM  </w:instrText>
      </w:r>
      <w:r w:rsidRPr="008651D1">
        <w:rPr>
          <w:snapToGrid w:val="0"/>
          <w:lang w:val="fr-FR"/>
        </w:rPr>
        <w:fldChar w:fldCharType="end"/>
      </w:r>
      <w:r w:rsidR="00B33D4E" w:rsidRPr="008651D1">
        <w:rPr>
          <w:rFonts w:cs="Arial"/>
          <w:shd w:val="clear" w:color="auto" w:fill="FFFFFF"/>
          <w:lang w:val="fr-FR"/>
        </w:rPr>
        <w:tab/>
      </w:r>
      <w:r w:rsidR="00A628BD" w:rsidRPr="008651D1">
        <w:rPr>
          <w:rFonts w:cs="Arial"/>
          <w:shd w:val="clear" w:color="auto" w:fill="FFFFFF"/>
          <w:lang w:val="fr-FR"/>
        </w:rPr>
        <w:t>Le TWO est convenu qu</w:t>
      </w:r>
      <w:r w:rsidR="00016C98" w:rsidRPr="008651D1">
        <w:rPr>
          <w:rFonts w:cs="Arial"/>
          <w:shd w:val="clear" w:color="auto" w:fill="FFFFFF"/>
          <w:lang w:val="fr-FR"/>
        </w:rPr>
        <w:t>’</w:t>
      </w:r>
      <w:r w:rsidR="00A628BD" w:rsidRPr="008651D1">
        <w:rPr>
          <w:rFonts w:cs="Arial"/>
          <w:shd w:val="clear" w:color="auto" w:fill="FFFFFF"/>
          <w:lang w:val="fr-FR"/>
        </w:rPr>
        <w:t>il était important de garder à l</w:t>
      </w:r>
      <w:r w:rsidR="00016C98" w:rsidRPr="008651D1">
        <w:rPr>
          <w:rFonts w:cs="Arial"/>
          <w:shd w:val="clear" w:color="auto" w:fill="FFFFFF"/>
          <w:lang w:val="fr-FR"/>
        </w:rPr>
        <w:t>’</w:t>
      </w:r>
      <w:r w:rsidR="00A628BD" w:rsidRPr="008651D1">
        <w:rPr>
          <w:rFonts w:cs="Arial"/>
          <w:shd w:val="clear" w:color="auto" w:fill="FFFFFF"/>
          <w:lang w:val="fr-FR"/>
        </w:rPr>
        <w:t>esprit que les offices d</w:t>
      </w:r>
      <w:r w:rsidR="00016C98" w:rsidRPr="008651D1">
        <w:rPr>
          <w:rFonts w:cs="Arial"/>
          <w:shd w:val="clear" w:color="auto" w:fill="FFFFFF"/>
          <w:lang w:val="fr-FR"/>
        </w:rPr>
        <w:t>’</w:t>
      </w:r>
      <w:r w:rsidR="00A628BD" w:rsidRPr="008651D1">
        <w:rPr>
          <w:rFonts w:cs="Arial"/>
          <w:shd w:val="clear" w:color="auto" w:fill="FFFFFF"/>
          <w:lang w:val="fr-FR"/>
        </w:rPr>
        <w:t>examen ne disposaient pas tous de l</w:t>
      </w:r>
      <w:r w:rsidR="00016C98" w:rsidRPr="008651D1">
        <w:rPr>
          <w:rFonts w:cs="Arial"/>
          <w:shd w:val="clear" w:color="auto" w:fill="FFFFFF"/>
          <w:lang w:val="fr-FR"/>
        </w:rPr>
        <w:t>’</w:t>
      </w:r>
      <w:r w:rsidR="00A628BD" w:rsidRPr="008651D1">
        <w:rPr>
          <w:rFonts w:cs="Arial"/>
          <w:shd w:val="clear" w:color="auto" w:fill="FFFFFF"/>
          <w:lang w:val="fr-FR"/>
        </w:rPr>
        <w:t>équipement et des ressources permettant l</w:t>
      </w:r>
      <w:r w:rsidR="00016C98" w:rsidRPr="008651D1">
        <w:rPr>
          <w:rFonts w:cs="Arial"/>
          <w:shd w:val="clear" w:color="auto" w:fill="FFFFFF"/>
          <w:lang w:val="fr-FR"/>
        </w:rPr>
        <w:t>’</w:t>
      </w:r>
      <w:r w:rsidR="00A628BD" w:rsidRPr="008651D1">
        <w:rPr>
          <w:rFonts w:cs="Arial"/>
          <w:shd w:val="clear" w:color="auto" w:fill="FFFFFF"/>
          <w:lang w:val="fr-FR"/>
        </w:rPr>
        <w:t>utilisation de techniques moléculaires.</w:t>
      </w:r>
      <w:r w:rsidR="00554D3E" w:rsidRPr="008651D1">
        <w:rPr>
          <w:rFonts w:cs="Arial"/>
          <w:shd w:val="clear" w:color="auto" w:fill="FFFFFF"/>
          <w:lang w:val="fr-FR"/>
        </w:rPr>
        <w:t xml:space="preserve"> </w:t>
      </w:r>
      <w:r w:rsidR="00A628BD" w:rsidRPr="008651D1">
        <w:rPr>
          <w:rFonts w:cs="Arial"/>
          <w:shd w:val="clear" w:color="auto" w:fill="FFFFFF"/>
          <w:lang w:val="fr-FR"/>
        </w:rPr>
        <w:t>Il a rappelé que</w:t>
      </w:r>
      <w:r w:rsidR="00D05B03" w:rsidRPr="008651D1">
        <w:rPr>
          <w:rFonts w:cs="Arial"/>
          <w:shd w:val="clear" w:color="auto" w:fill="FFFFFF"/>
          <w:lang w:val="fr-FR"/>
        </w:rPr>
        <w:t>,</w:t>
      </w:r>
      <w:r w:rsidR="00A628BD" w:rsidRPr="008651D1">
        <w:rPr>
          <w:rFonts w:cs="Arial"/>
          <w:shd w:val="clear" w:color="auto" w:fill="FFFFFF"/>
          <w:lang w:val="fr-FR"/>
        </w:rPr>
        <w:t xml:space="preserve"> </w:t>
      </w:r>
      <w:r w:rsidR="00551E6B" w:rsidRPr="008651D1">
        <w:rPr>
          <w:rFonts w:cs="Arial"/>
          <w:shd w:val="clear" w:color="auto" w:fill="FFFFFF"/>
          <w:lang w:val="fr-FR"/>
        </w:rPr>
        <w:t xml:space="preserve">selon </w:t>
      </w:r>
      <w:r w:rsidR="00A628BD" w:rsidRPr="008651D1">
        <w:rPr>
          <w:rFonts w:cs="Arial"/>
          <w:shd w:val="clear" w:color="auto" w:fill="FFFFFF"/>
          <w:lang w:val="fr-FR"/>
        </w:rPr>
        <w:t>la situation à l</w:t>
      </w:r>
      <w:r w:rsidR="00016C98" w:rsidRPr="008651D1">
        <w:rPr>
          <w:rFonts w:cs="Arial"/>
          <w:shd w:val="clear" w:color="auto" w:fill="FFFFFF"/>
          <w:lang w:val="fr-FR"/>
        </w:rPr>
        <w:t>’</w:t>
      </w:r>
      <w:r w:rsidR="00A628BD" w:rsidRPr="008651D1">
        <w:rPr>
          <w:rFonts w:cs="Arial"/>
          <w:shd w:val="clear" w:color="auto" w:fill="FFFFFF"/>
          <w:lang w:val="fr-FR"/>
        </w:rPr>
        <w:t>UPOV concernant l</w:t>
      </w:r>
      <w:r w:rsidR="00016C98" w:rsidRPr="008651D1">
        <w:rPr>
          <w:rFonts w:cs="Arial"/>
          <w:shd w:val="clear" w:color="auto" w:fill="FFFFFF"/>
          <w:lang w:val="fr-FR"/>
        </w:rPr>
        <w:t>’</w:t>
      </w:r>
      <w:r w:rsidR="00A628BD" w:rsidRPr="008651D1">
        <w:rPr>
          <w:rFonts w:cs="Arial"/>
          <w:shd w:val="clear" w:color="auto" w:fill="FFFFFF"/>
          <w:lang w:val="fr-FR"/>
        </w:rPr>
        <w:t>utilisat</w:t>
      </w:r>
      <w:r w:rsidR="00551E6B" w:rsidRPr="008651D1">
        <w:rPr>
          <w:rFonts w:cs="Arial"/>
          <w:shd w:val="clear" w:color="auto" w:fill="FFFFFF"/>
          <w:lang w:val="fr-FR"/>
        </w:rPr>
        <w:t>ion des techniques moléculaires</w:t>
      </w:r>
      <w:r w:rsidR="00A628BD" w:rsidRPr="008651D1">
        <w:rPr>
          <w:rFonts w:cs="Arial"/>
          <w:shd w:val="clear" w:color="auto" w:fill="FFFFFF"/>
          <w:lang w:val="fr-FR"/>
        </w:rPr>
        <w:t xml:space="preserve"> exposée dans le </w:t>
      </w:r>
      <w:r w:rsidR="00554D3E" w:rsidRPr="008651D1">
        <w:rPr>
          <w:rFonts w:cs="Arial"/>
          <w:shd w:val="clear" w:color="auto" w:fill="FFFFFF"/>
          <w:lang w:val="fr-FR"/>
        </w:rPr>
        <w:t>document TGP/15 “</w:t>
      </w:r>
      <w:r w:rsidR="00A628BD" w:rsidRPr="008651D1">
        <w:rPr>
          <w:rFonts w:cs="Arial"/>
          <w:shd w:val="clear" w:color="auto" w:fill="FFFFFF"/>
          <w:lang w:val="fr-FR"/>
        </w:rPr>
        <w:t>Conseils en ce qui concerne l</w:t>
      </w:r>
      <w:r w:rsidR="00016C98" w:rsidRPr="008651D1">
        <w:rPr>
          <w:rFonts w:cs="Arial"/>
          <w:shd w:val="clear" w:color="auto" w:fill="FFFFFF"/>
          <w:lang w:val="fr-FR"/>
        </w:rPr>
        <w:t>’</w:t>
      </w:r>
      <w:r w:rsidR="00A628BD" w:rsidRPr="008651D1">
        <w:rPr>
          <w:rFonts w:cs="Arial"/>
          <w:shd w:val="clear" w:color="auto" w:fill="FFFFFF"/>
          <w:lang w:val="fr-FR"/>
        </w:rPr>
        <w:t>utilisation des marqueurs biochimiques et moléculaires dans l</w:t>
      </w:r>
      <w:r w:rsidR="00016C98" w:rsidRPr="008651D1">
        <w:rPr>
          <w:rFonts w:cs="Arial"/>
          <w:shd w:val="clear" w:color="auto" w:fill="FFFFFF"/>
          <w:lang w:val="fr-FR"/>
        </w:rPr>
        <w:t>’</w:t>
      </w:r>
      <w:r w:rsidR="00A628BD" w:rsidRPr="008651D1">
        <w:rPr>
          <w:rFonts w:cs="Arial"/>
          <w:shd w:val="clear" w:color="auto" w:fill="FFFFFF"/>
          <w:lang w:val="fr-FR"/>
        </w:rPr>
        <w:t>examen de la distinction, de l</w:t>
      </w:r>
      <w:r w:rsidR="00016C98" w:rsidRPr="008651D1">
        <w:rPr>
          <w:rFonts w:cs="Arial"/>
          <w:shd w:val="clear" w:color="auto" w:fill="FFFFFF"/>
          <w:lang w:val="fr-FR"/>
        </w:rPr>
        <w:t>’</w:t>
      </w:r>
      <w:r w:rsidR="00A628BD" w:rsidRPr="008651D1">
        <w:rPr>
          <w:rFonts w:cs="Arial"/>
          <w:shd w:val="clear" w:color="auto" w:fill="FFFFFF"/>
          <w:lang w:val="fr-FR"/>
        </w:rPr>
        <w:t>homogénéité et de la stabilité (DHS)</w:t>
      </w:r>
      <w:r w:rsidR="00554D3E" w:rsidRPr="008651D1">
        <w:rPr>
          <w:rFonts w:cs="Arial"/>
          <w:shd w:val="clear" w:color="auto" w:fill="FFFFFF"/>
          <w:lang w:val="fr-FR"/>
        </w:rPr>
        <w:t xml:space="preserve">”, </w:t>
      </w:r>
      <w:r w:rsidR="00551E6B" w:rsidRPr="008651D1">
        <w:rPr>
          <w:rFonts w:cs="Arial"/>
          <w:shd w:val="clear" w:color="auto" w:fill="FFFFFF"/>
          <w:lang w:val="fr-FR"/>
        </w:rPr>
        <w:t>les offices d</w:t>
      </w:r>
      <w:r w:rsidR="00016C98" w:rsidRPr="008651D1">
        <w:rPr>
          <w:rFonts w:cs="Arial"/>
          <w:shd w:val="clear" w:color="auto" w:fill="FFFFFF"/>
          <w:lang w:val="fr-FR"/>
        </w:rPr>
        <w:t>’</w:t>
      </w:r>
      <w:r w:rsidR="00551E6B" w:rsidRPr="008651D1">
        <w:rPr>
          <w:rFonts w:cs="Arial"/>
          <w:shd w:val="clear" w:color="auto" w:fill="FFFFFF"/>
          <w:lang w:val="fr-FR"/>
        </w:rPr>
        <w:t>examen n</w:t>
      </w:r>
      <w:r w:rsidR="00016C98" w:rsidRPr="008651D1">
        <w:rPr>
          <w:rFonts w:cs="Arial"/>
          <w:shd w:val="clear" w:color="auto" w:fill="FFFFFF"/>
          <w:lang w:val="fr-FR"/>
        </w:rPr>
        <w:t>’</w:t>
      </w:r>
      <w:r w:rsidR="00551E6B" w:rsidRPr="008651D1">
        <w:rPr>
          <w:rFonts w:cs="Arial"/>
          <w:shd w:val="clear" w:color="auto" w:fill="FFFFFF"/>
          <w:lang w:val="fr-FR"/>
        </w:rPr>
        <w:t>étaient pas tenus d</w:t>
      </w:r>
      <w:r w:rsidR="00016C98" w:rsidRPr="008651D1">
        <w:rPr>
          <w:rFonts w:cs="Arial"/>
          <w:shd w:val="clear" w:color="auto" w:fill="FFFFFF"/>
          <w:lang w:val="fr-FR"/>
        </w:rPr>
        <w:t>’</w:t>
      </w:r>
      <w:r w:rsidR="00551E6B" w:rsidRPr="008651D1">
        <w:rPr>
          <w:rFonts w:cs="Arial"/>
          <w:shd w:val="clear" w:color="auto" w:fill="FFFFFF"/>
          <w:lang w:val="fr-FR"/>
        </w:rPr>
        <w:t>utiliser ces techniques pour conduire un examen</w:t>
      </w:r>
      <w:r w:rsidR="00DE6D2B" w:rsidRPr="008651D1">
        <w:rPr>
          <w:rFonts w:cs="Arial"/>
          <w:shd w:val="clear" w:color="auto" w:fill="FFFFFF"/>
          <w:lang w:val="fr-FR"/>
        </w:rPr>
        <w:t> </w:t>
      </w:r>
      <w:r w:rsidR="00551E6B" w:rsidRPr="008651D1">
        <w:rPr>
          <w:rFonts w:cs="Arial"/>
          <w:shd w:val="clear" w:color="auto" w:fill="FFFFFF"/>
          <w:lang w:val="fr-FR"/>
        </w:rPr>
        <w:t>DHS</w:t>
      </w:r>
      <w:r w:rsidR="00554D3E" w:rsidRPr="008651D1">
        <w:rPr>
          <w:rFonts w:cs="Arial"/>
          <w:shd w:val="clear" w:color="auto" w:fill="FFFFFF"/>
          <w:lang w:val="fr-FR"/>
        </w:rPr>
        <w:t xml:space="preserve">, </w:t>
      </w:r>
      <w:r w:rsidR="00551E6B" w:rsidRPr="008651D1">
        <w:rPr>
          <w:rFonts w:cs="Arial"/>
          <w:shd w:val="clear" w:color="auto" w:fill="FFFFFF"/>
          <w:lang w:val="fr-FR"/>
        </w:rPr>
        <w:t>mais qu</w:t>
      </w:r>
      <w:r w:rsidR="00016C98" w:rsidRPr="008651D1">
        <w:rPr>
          <w:rFonts w:cs="Arial"/>
          <w:shd w:val="clear" w:color="auto" w:fill="FFFFFF"/>
          <w:lang w:val="fr-FR"/>
        </w:rPr>
        <w:t>’</w:t>
      </w:r>
      <w:r w:rsidR="00551E6B" w:rsidRPr="008651D1">
        <w:rPr>
          <w:rFonts w:cs="Arial"/>
          <w:shd w:val="clear" w:color="auto" w:fill="FFFFFF"/>
          <w:lang w:val="fr-FR"/>
        </w:rPr>
        <w:t>ils pouvaient les utiliser de certaines façons si celles</w:t>
      </w:r>
      <w:r w:rsidR="00DC14F9" w:rsidRPr="008651D1">
        <w:rPr>
          <w:rFonts w:cs="Arial"/>
          <w:shd w:val="clear" w:color="auto" w:fill="FFFFFF"/>
          <w:lang w:val="fr-FR"/>
        </w:rPr>
        <w:noBreakHyphen/>
      </w:r>
      <w:r w:rsidR="00551E6B" w:rsidRPr="008651D1">
        <w:rPr>
          <w:rFonts w:cs="Arial"/>
          <w:shd w:val="clear" w:color="auto" w:fill="FFFFFF"/>
          <w:lang w:val="fr-FR"/>
        </w:rPr>
        <w:t>ci étaient jugées pertinentes compte tenu des circonstances</w:t>
      </w:r>
      <w:r w:rsidR="000E5EE5" w:rsidRPr="008651D1">
        <w:rPr>
          <w:rFonts w:cs="Arial"/>
          <w:shd w:val="clear" w:color="auto" w:fill="FFFFFF"/>
          <w:lang w:val="fr-FR" w:eastAsia="ja-JP"/>
        </w:rPr>
        <w:t xml:space="preserve"> (</w:t>
      </w:r>
      <w:r w:rsidR="00551E6B" w:rsidRPr="008651D1">
        <w:rPr>
          <w:rFonts w:cs="Arial"/>
          <w:shd w:val="clear" w:color="auto" w:fill="FFFFFF"/>
          <w:lang w:val="fr-FR" w:eastAsia="ja-JP"/>
        </w:rPr>
        <w:t>voir le paragraphe</w:t>
      </w:r>
      <w:r w:rsidR="00DE6D2B" w:rsidRPr="008651D1">
        <w:rPr>
          <w:rFonts w:cs="Arial"/>
          <w:shd w:val="clear" w:color="auto" w:fill="FFFFFF"/>
          <w:lang w:val="fr-FR" w:eastAsia="ja-JP"/>
        </w:rPr>
        <w:t> </w:t>
      </w:r>
      <w:r w:rsidR="00551E6B" w:rsidRPr="008651D1">
        <w:rPr>
          <w:rFonts w:cs="Arial"/>
          <w:shd w:val="clear" w:color="auto" w:fill="FFFFFF"/>
          <w:lang w:val="fr-FR" w:eastAsia="ja-JP"/>
        </w:rPr>
        <w:t xml:space="preserve">15 du </w:t>
      </w:r>
      <w:r w:rsidR="00C72A57" w:rsidRPr="008651D1">
        <w:rPr>
          <w:rFonts w:cs="Arial"/>
          <w:shd w:val="clear" w:color="auto" w:fill="FFFFFF"/>
          <w:lang w:val="fr-FR" w:eastAsia="ja-JP"/>
        </w:rPr>
        <w:t>document TW</w:t>
      </w:r>
      <w:r w:rsidR="000E5EE5" w:rsidRPr="008651D1">
        <w:rPr>
          <w:rFonts w:cs="Arial"/>
          <w:shd w:val="clear" w:color="auto" w:fill="FFFFFF"/>
          <w:lang w:val="fr-FR" w:eastAsia="ja-JP"/>
        </w:rPr>
        <w:t>O/47/28 “Report</w:t>
      </w:r>
      <w:r w:rsidR="00DE6D2B" w:rsidRPr="008651D1">
        <w:rPr>
          <w:rFonts w:cs="Arial"/>
          <w:shd w:val="clear" w:color="auto" w:fill="FFFFFF"/>
          <w:lang w:val="fr-FR" w:eastAsia="ja-JP"/>
        </w:rPr>
        <w:t>”</w:t>
      </w:r>
      <w:r w:rsidR="000E5EE5" w:rsidRPr="008651D1">
        <w:rPr>
          <w:rFonts w:cs="Arial"/>
          <w:shd w:val="clear" w:color="auto" w:fill="FFFFFF"/>
          <w:lang w:val="fr-FR" w:eastAsia="ja-JP"/>
        </w:rPr>
        <w:t>)</w:t>
      </w:r>
      <w:r w:rsidR="00DE6D2B" w:rsidRPr="008651D1">
        <w:rPr>
          <w:rFonts w:cs="Arial"/>
          <w:shd w:val="clear" w:color="auto" w:fill="FFFFFF"/>
          <w:lang w:val="fr-FR" w:eastAsia="ja-JP"/>
        </w:rPr>
        <w:t>.</w:t>
      </w:r>
    </w:p>
    <w:p w:rsidR="00DF61EE" w:rsidRPr="008651D1" w:rsidRDefault="00DF61EE" w:rsidP="008651D1">
      <w:pPr>
        <w:rPr>
          <w:lang w:val="fr-FR"/>
        </w:rPr>
      </w:pPr>
    </w:p>
    <w:p w:rsidR="00DF61EE" w:rsidRPr="008651D1" w:rsidRDefault="00554D3E" w:rsidP="008651D1">
      <w:pPr>
        <w:rPr>
          <w:lang w:val="fr-FR"/>
        </w:rPr>
      </w:pPr>
      <w:r w:rsidRPr="008651D1">
        <w:rPr>
          <w:iCs/>
          <w:snapToGrid w:val="0"/>
          <w:lang w:val="fr-FR"/>
        </w:rPr>
        <w:fldChar w:fldCharType="begin"/>
      </w:r>
      <w:r w:rsidRPr="008651D1">
        <w:rPr>
          <w:iCs/>
          <w:snapToGrid w:val="0"/>
          <w:lang w:val="fr-FR"/>
        </w:rPr>
        <w:instrText xml:space="preserve"> AUTONUM  </w:instrText>
      </w:r>
      <w:r w:rsidRPr="008651D1">
        <w:rPr>
          <w:snapToGrid w:val="0"/>
          <w:lang w:val="fr-FR"/>
        </w:rPr>
        <w:fldChar w:fldCharType="end"/>
      </w:r>
      <w:r w:rsidRPr="008651D1">
        <w:rPr>
          <w:snapToGrid w:val="0"/>
          <w:lang w:val="fr-FR"/>
        </w:rPr>
        <w:tab/>
      </w:r>
      <w:r w:rsidR="0033342F" w:rsidRPr="008651D1">
        <w:rPr>
          <w:snapToGrid w:val="0"/>
          <w:lang w:val="fr-FR"/>
        </w:rPr>
        <w:t>Le TWF est convenu qu</w:t>
      </w:r>
      <w:r w:rsidR="00016C98" w:rsidRPr="008651D1">
        <w:rPr>
          <w:snapToGrid w:val="0"/>
          <w:lang w:val="fr-FR"/>
        </w:rPr>
        <w:t>’</w:t>
      </w:r>
      <w:r w:rsidR="0033342F" w:rsidRPr="008651D1">
        <w:rPr>
          <w:snapToGrid w:val="0"/>
          <w:lang w:val="fr-FR"/>
        </w:rPr>
        <w:t>il serait utile de disposer de plus d</w:t>
      </w:r>
      <w:r w:rsidR="00016C98" w:rsidRPr="008651D1">
        <w:rPr>
          <w:snapToGrid w:val="0"/>
          <w:lang w:val="fr-FR"/>
        </w:rPr>
        <w:t>’</w:t>
      </w:r>
      <w:r w:rsidR="0033342F" w:rsidRPr="008651D1">
        <w:rPr>
          <w:snapToGrid w:val="0"/>
          <w:lang w:val="fr-FR"/>
        </w:rPr>
        <w:t>informations concernant l</w:t>
      </w:r>
      <w:r w:rsidR="00016C98" w:rsidRPr="008651D1">
        <w:rPr>
          <w:snapToGrid w:val="0"/>
          <w:lang w:val="fr-FR"/>
        </w:rPr>
        <w:t>’</w:t>
      </w:r>
      <w:r w:rsidR="0033342F" w:rsidRPr="008651D1">
        <w:rPr>
          <w:snapToGrid w:val="0"/>
          <w:lang w:val="fr-FR"/>
        </w:rPr>
        <w:t>utilisation de techniques moléculaires dans l</w:t>
      </w:r>
      <w:r w:rsidR="00016C98" w:rsidRPr="008651D1">
        <w:rPr>
          <w:snapToGrid w:val="0"/>
          <w:lang w:val="fr-FR"/>
        </w:rPr>
        <w:t>’</w:t>
      </w:r>
      <w:r w:rsidR="0033342F" w:rsidRPr="008651D1">
        <w:rPr>
          <w:snapToGrid w:val="0"/>
          <w:lang w:val="fr-FR"/>
        </w:rPr>
        <w:t>examen</w:t>
      </w:r>
      <w:r w:rsidR="00DE6D2B" w:rsidRPr="008651D1">
        <w:rPr>
          <w:snapToGrid w:val="0"/>
          <w:lang w:val="fr-FR"/>
        </w:rPr>
        <w:t> </w:t>
      </w:r>
      <w:r w:rsidR="0033342F" w:rsidRPr="008651D1">
        <w:rPr>
          <w:snapToGrid w:val="0"/>
          <w:lang w:val="fr-FR"/>
        </w:rPr>
        <w:t xml:space="preserve">DHS et, à cet égard, </w:t>
      </w:r>
      <w:r w:rsidR="00551E6B" w:rsidRPr="008651D1">
        <w:rPr>
          <w:snapToGrid w:val="0"/>
          <w:lang w:val="fr-FR"/>
        </w:rPr>
        <w:t>a invité</w:t>
      </w:r>
      <w:r w:rsidR="0033342F" w:rsidRPr="008651D1">
        <w:rPr>
          <w:snapToGrid w:val="0"/>
          <w:lang w:val="fr-FR"/>
        </w:rPr>
        <w:t xml:space="preserve"> les experts de l</w:t>
      </w:r>
      <w:r w:rsidR="00016C98" w:rsidRPr="008651D1">
        <w:rPr>
          <w:snapToGrid w:val="0"/>
          <w:lang w:val="fr-FR"/>
        </w:rPr>
        <w:t>’</w:t>
      </w:r>
      <w:r w:rsidR="0033342F" w:rsidRPr="008651D1">
        <w:rPr>
          <w:snapToGrid w:val="0"/>
          <w:lang w:val="fr-FR"/>
        </w:rPr>
        <w:t>Espagne à fournir des renseignements sur l</w:t>
      </w:r>
      <w:r w:rsidR="00016C98" w:rsidRPr="008651D1">
        <w:rPr>
          <w:snapToGrid w:val="0"/>
          <w:lang w:val="fr-FR"/>
        </w:rPr>
        <w:t>’</w:t>
      </w:r>
      <w:r w:rsidR="0033342F" w:rsidRPr="008651D1">
        <w:rPr>
          <w:snapToGrid w:val="0"/>
          <w:lang w:val="fr-FR"/>
        </w:rPr>
        <w:t xml:space="preserve">utilisation </w:t>
      </w:r>
      <w:r w:rsidR="00551E6B" w:rsidRPr="008651D1">
        <w:rPr>
          <w:snapToGrid w:val="0"/>
          <w:lang w:val="fr-FR"/>
        </w:rPr>
        <w:t xml:space="preserve">faite </w:t>
      </w:r>
      <w:r w:rsidR="0033342F" w:rsidRPr="008651D1">
        <w:rPr>
          <w:snapToGrid w:val="0"/>
          <w:lang w:val="fr-FR"/>
        </w:rPr>
        <w:t>de ces outils par l</w:t>
      </w:r>
      <w:r w:rsidR="00016C98" w:rsidRPr="008651D1">
        <w:rPr>
          <w:snapToGrid w:val="0"/>
          <w:lang w:val="fr-FR"/>
        </w:rPr>
        <w:t>’</w:t>
      </w:r>
      <w:r w:rsidR="0033342F" w:rsidRPr="009F762F">
        <w:rPr>
          <w:snapToGrid w:val="0"/>
          <w:lang w:val="fr-FR"/>
        </w:rPr>
        <w:t>Oficina Española de Variedades Vegetales</w:t>
      </w:r>
      <w:r w:rsidR="0033342F" w:rsidRPr="008651D1">
        <w:rPr>
          <w:snapToGrid w:val="0"/>
          <w:lang w:val="fr-FR"/>
        </w:rPr>
        <w:t xml:space="preserve"> (OEVV).</w:t>
      </w:r>
      <w:r w:rsidRPr="008651D1">
        <w:rPr>
          <w:lang w:val="fr-FR"/>
        </w:rPr>
        <w:t xml:space="preserve"> </w:t>
      </w:r>
      <w:r w:rsidR="00C72A57" w:rsidRPr="008651D1">
        <w:rPr>
          <w:lang w:val="fr-FR"/>
        </w:rPr>
        <w:t xml:space="preserve"> Le TWV</w:t>
      </w:r>
      <w:r w:rsidR="00551E6B" w:rsidRPr="008651D1">
        <w:rPr>
          <w:lang w:val="fr-FR"/>
        </w:rPr>
        <w:t xml:space="preserve"> a invité également d</w:t>
      </w:r>
      <w:r w:rsidR="00016C98" w:rsidRPr="008651D1">
        <w:rPr>
          <w:lang w:val="fr-FR"/>
        </w:rPr>
        <w:t>’</w:t>
      </w:r>
      <w:r w:rsidR="00551E6B" w:rsidRPr="008651D1">
        <w:rPr>
          <w:lang w:val="fr-FR"/>
        </w:rPr>
        <w:t>autres participants à présenter leurs données d</w:t>
      </w:r>
      <w:r w:rsidR="00016C98" w:rsidRPr="008651D1">
        <w:rPr>
          <w:lang w:val="fr-FR"/>
        </w:rPr>
        <w:t>’</w:t>
      </w:r>
      <w:r w:rsidR="00551E6B" w:rsidRPr="008651D1">
        <w:rPr>
          <w:lang w:val="fr-FR"/>
        </w:rPr>
        <w:t>expérience relatives à l</w:t>
      </w:r>
      <w:r w:rsidR="00016C98" w:rsidRPr="008651D1">
        <w:rPr>
          <w:lang w:val="fr-FR"/>
        </w:rPr>
        <w:t>’</w:t>
      </w:r>
      <w:r w:rsidR="00551E6B" w:rsidRPr="008651D1">
        <w:rPr>
          <w:lang w:val="fr-FR"/>
        </w:rPr>
        <w:t>utilisation des techniques biochimiques et moléculaires dans le domaine des plantes fruitières à la session</w:t>
      </w:r>
      <w:r w:rsidR="00C72A57" w:rsidRPr="008651D1">
        <w:rPr>
          <w:lang w:val="fr-FR"/>
        </w:rPr>
        <w:t xml:space="preserve"> du TWF</w:t>
      </w:r>
      <w:r w:rsidR="00551E6B" w:rsidRPr="008651D1">
        <w:rPr>
          <w:lang w:val="fr-FR"/>
        </w:rPr>
        <w:t xml:space="preserve"> en</w:t>
      </w:r>
      <w:r w:rsidR="00DE6D2B" w:rsidRPr="008651D1">
        <w:rPr>
          <w:lang w:val="fr-FR"/>
        </w:rPr>
        <w:t> </w:t>
      </w:r>
      <w:r w:rsidR="00551E6B" w:rsidRPr="008651D1">
        <w:rPr>
          <w:lang w:val="fr-FR"/>
        </w:rPr>
        <w:t>2015</w:t>
      </w:r>
      <w:r w:rsidR="000E5EE5" w:rsidRPr="008651D1">
        <w:rPr>
          <w:lang w:val="fr-FR" w:eastAsia="ja-JP"/>
        </w:rPr>
        <w:t xml:space="preserve"> (</w:t>
      </w:r>
      <w:r w:rsidR="00551E6B" w:rsidRPr="008651D1">
        <w:rPr>
          <w:lang w:val="fr-FR" w:eastAsia="ja-JP"/>
        </w:rPr>
        <w:t>voir le paragraphe</w:t>
      </w:r>
      <w:r w:rsidR="00DE6D2B" w:rsidRPr="008651D1">
        <w:rPr>
          <w:lang w:val="fr-FR" w:eastAsia="ja-JP"/>
        </w:rPr>
        <w:t> </w:t>
      </w:r>
      <w:r w:rsidR="00551E6B" w:rsidRPr="008651D1">
        <w:rPr>
          <w:lang w:val="fr-FR" w:eastAsia="ja-JP"/>
        </w:rPr>
        <w:t>14 du</w:t>
      </w:r>
      <w:r w:rsidR="000E5EE5" w:rsidRPr="008651D1">
        <w:rPr>
          <w:lang w:val="fr-FR" w:eastAsia="ja-JP"/>
        </w:rPr>
        <w:t xml:space="preserve"> document TWF/45/32 “Report”)</w:t>
      </w:r>
      <w:r w:rsidRPr="008651D1">
        <w:rPr>
          <w:lang w:val="fr-FR"/>
        </w:rPr>
        <w:t>.</w:t>
      </w:r>
    </w:p>
    <w:p w:rsidR="00DF61EE" w:rsidRPr="008651D1" w:rsidRDefault="00DF61EE" w:rsidP="008651D1">
      <w:pPr>
        <w:rPr>
          <w:lang w:val="fr-FR"/>
        </w:rPr>
      </w:pPr>
    </w:p>
    <w:p w:rsidR="00DF61EE" w:rsidRPr="008651D1" w:rsidRDefault="00554D3E" w:rsidP="008651D1">
      <w:pPr>
        <w:rPr>
          <w:snapToGrid w:val="0"/>
          <w:lang w:val="fr-FR" w:eastAsia="ja-JP"/>
        </w:rPr>
      </w:pPr>
      <w:r w:rsidRPr="008651D1">
        <w:rPr>
          <w:iCs/>
          <w:snapToGrid w:val="0"/>
          <w:lang w:val="fr-FR"/>
        </w:rPr>
        <w:fldChar w:fldCharType="begin"/>
      </w:r>
      <w:r w:rsidRPr="008651D1">
        <w:rPr>
          <w:iCs/>
          <w:snapToGrid w:val="0"/>
          <w:lang w:val="fr-FR"/>
        </w:rPr>
        <w:instrText xml:space="preserve"> AUTONUM  </w:instrText>
      </w:r>
      <w:r w:rsidRPr="008651D1">
        <w:rPr>
          <w:snapToGrid w:val="0"/>
          <w:lang w:val="fr-FR"/>
        </w:rPr>
        <w:fldChar w:fldCharType="end"/>
      </w:r>
      <w:r w:rsidRPr="008651D1">
        <w:rPr>
          <w:snapToGrid w:val="0"/>
          <w:lang w:val="fr-FR"/>
        </w:rPr>
        <w:tab/>
      </w:r>
      <w:r w:rsidR="00751FC6" w:rsidRPr="008651D1">
        <w:rPr>
          <w:snapToGrid w:val="0"/>
          <w:lang w:val="fr-FR"/>
        </w:rPr>
        <w:t>Le TWF a suivi un exposé présenté par l</w:t>
      </w:r>
      <w:r w:rsidR="00016C98" w:rsidRPr="008651D1">
        <w:rPr>
          <w:snapToGrid w:val="0"/>
          <w:lang w:val="fr-FR"/>
        </w:rPr>
        <w:t>’</w:t>
      </w:r>
      <w:r w:rsidR="00751FC6" w:rsidRPr="008651D1">
        <w:rPr>
          <w:snapToGrid w:val="0"/>
          <w:lang w:val="fr-FR"/>
        </w:rPr>
        <w:t>expert de la France sur l</w:t>
      </w:r>
      <w:r w:rsidR="00016C98" w:rsidRPr="008651D1">
        <w:rPr>
          <w:snapToGrid w:val="0"/>
          <w:lang w:val="fr-FR"/>
        </w:rPr>
        <w:t>’</w:t>
      </w:r>
      <w:r w:rsidR="00751FC6" w:rsidRPr="008651D1">
        <w:rPr>
          <w:snapToGrid w:val="0"/>
          <w:lang w:val="fr-FR"/>
        </w:rPr>
        <w:t>étude concernant les techniques moléculaires et l</w:t>
      </w:r>
      <w:r w:rsidR="00016C98" w:rsidRPr="008651D1">
        <w:rPr>
          <w:snapToGrid w:val="0"/>
          <w:lang w:val="fr-FR"/>
        </w:rPr>
        <w:t>’</w:t>
      </w:r>
      <w:r w:rsidR="00751FC6" w:rsidRPr="008651D1">
        <w:rPr>
          <w:snapToGrid w:val="0"/>
          <w:lang w:val="fr-FR"/>
        </w:rPr>
        <w:t>examen</w:t>
      </w:r>
      <w:r w:rsidR="00DE6D2B" w:rsidRPr="008651D1">
        <w:rPr>
          <w:snapToGrid w:val="0"/>
          <w:lang w:val="fr-FR"/>
        </w:rPr>
        <w:t> </w:t>
      </w:r>
      <w:r w:rsidR="00751FC6" w:rsidRPr="008651D1">
        <w:rPr>
          <w:snapToGrid w:val="0"/>
          <w:lang w:val="fr-FR"/>
        </w:rPr>
        <w:t>DHS réalisé</w:t>
      </w:r>
      <w:r w:rsidR="00D05B03" w:rsidRPr="008651D1">
        <w:rPr>
          <w:snapToGrid w:val="0"/>
          <w:lang w:val="fr-FR"/>
        </w:rPr>
        <w:t>e</w:t>
      </w:r>
      <w:r w:rsidR="00751FC6" w:rsidRPr="008651D1">
        <w:rPr>
          <w:snapToGrid w:val="0"/>
          <w:lang w:val="fr-FR"/>
        </w:rPr>
        <w:t xml:space="preserve"> par le Groupe d</w:t>
      </w:r>
      <w:r w:rsidR="00016C98" w:rsidRPr="008651D1">
        <w:rPr>
          <w:snapToGrid w:val="0"/>
          <w:lang w:val="fr-FR"/>
        </w:rPr>
        <w:t>’</w:t>
      </w:r>
      <w:r w:rsidR="00751FC6" w:rsidRPr="008651D1">
        <w:rPr>
          <w:snapToGrid w:val="0"/>
          <w:lang w:val="fr-FR"/>
        </w:rPr>
        <w:t>étude et de contrôle des variétés et des semences (GEVES)</w:t>
      </w:r>
      <w:r w:rsidR="00D05B03" w:rsidRPr="008651D1">
        <w:rPr>
          <w:snapToGrid w:val="0"/>
          <w:lang w:val="fr-FR"/>
        </w:rPr>
        <w:t>.</w:t>
      </w:r>
      <w:r w:rsidR="00933AF0">
        <w:rPr>
          <w:rFonts w:cs="Arial"/>
          <w:lang w:val="fr-FR"/>
        </w:rPr>
        <w:t xml:space="preserve"> </w:t>
      </w:r>
      <w:r w:rsidR="00D05B03" w:rsidRPr="008651D1">
        <w:rPr>
          <w:rFonts w:cs="Arial"/>
          <w:lang w:val="fr-FR"/>
        </w:rPr>
        <w:t>Au cours d</w:t>
      </w:r>
      <w:r w:rsidR="001E401F" w:rsidRPr="008651D1">
        <w:rPr>
          <w:rFonts w:cs="Arial"/>
          <w:lang w:val="fr-FR"/>
        </w:rPr>
        <w:t>e</w:t>
      </w:r>
      <w:r w:rsidR="00D05B03" w:rsidRPr="008651D1">
        <w:rPr>
          <w:rFonts w:cs="Arial"/>
          <w:lang w:val="fr-FR"/>
        </w:rPr>
        <w:t xml:space="preserve"> cet exposé,</w:t>
      </w:r>
      <w:r w:rsidR="001E401F" w:rsidRPr="008651D1">
        <w:rPr>
          <w:rFonts w:cs="Arial"/>
          <w:lang w:val="fr-FR"/>
        </w:rPr>
        <w:t xml:space="preserve"> l</w:t>
      </w:r>
      <w:r w:rsidR="00016C98" w:rsidRPr="008651D1">
        <w:rPr>
          <w:rFonts w:cs="Arial"/>
          <w:lang w:val="fr-FR"/>
        </w:rPr>
        <w:t>’</w:t>
      </w:r>
      <w:r w:rsidR="001E401F" w:rsidRPr="008651D1">
        <w:rPr>
          <w:rFonts w:cs="Arial"/>
          <w:lang w:val="fr-FR"/>
        </w:rPr>
        <w:t xml:space="preserve">expert a </w:t>
      </w:r>
      <w:r w:rsidR="00D05B03" w:rsidRPr="008651D1">
        <w:rPr>
          <w:rFonts w:cs="Arial"/>
          <w:lang w:val="fr-FR"/>
        </w:rPr>
        <w:t>expliqué comment</w:t>
      </w:r>
      <w:r w:rsidR="001E401F" w:rsidRPr="008651D1">
        <w:rPr>
          <w:rFonts w:cs="Arial"/>
          <w:lang w:val="fr-FR"/>
        </w:rPr>
        <w:t xml:space="preserve"> ces techniques sont utilisées en France notamment aux fins de la détection de gènes de résistance, </w:t>
      </w:r>
      <w:r w:rsidR="00D05B03" w:rsidRPr="008651D1">
        <w:rPr>
          <w:rFonts w:cs="Arial"/>
          <w:lang w:val="fr-FR"/>
        </w:rPr>
        <w:t>et</w:t>
      </w:r>
      <w:r w:rsidR="001E401F" w:rsidRPr="008651D1">
        <w:rPr>
          <w:rFonts w:cs="Arial"/>
          <w:lang w:val="fr-FR"/>
        </w:rPr>
        <w:t xml:space="preserve"> aussi sur les arbres fruitiers</w:t>
      </w:r>
      <w:r w:rsidRPr="008651D1">
        <w:rPr>
          <w:rFonts w:cs="Arial"/>
          <w:lang w:val="fr-FR"/>
        </w:rPr>
        <w:t xml:space="preserve">. </w:t>
      </w:r>
      <w:r w:rsidR="001E401F" w:rsidRPr="008651D1">
        <w:rPr>
          <w:rFonts w:cs="Arial"/>
          <w:lang w:val="fr-FR"/>
        </w:rPr>
        <w:t>Une copie de l</w:t>
      </w:r>
      <w:r w:rsidR="00016C98" w:rsidRPr="008651D1">
        <w:rPr>
          <w:rFonts w:cs="Arial"/>
          <w:lang w:val="fr-FR"/>
        </w:rPr>
        <w:t>’</w:t>
      </w:r>
      <w:r w:rsidR="001E401F" w:rsidRPr="008651D1">
        <w:rPr>
          <w:rFonts w:cs="Arial"/>
          <w:lang w:val="fr-FR"/>
        </w:rPr>
        <w:t>exposé présenté par l</w:t>
      </w:r>
      <w:r w:rsidR="00016C98" w:rsidRPr="008651D1">
        <w:rPr>
          <w:rFonts w:cs="Arial"/>
          <w:lang w:val="fr-FR"/>
        </w:rPr>
        <w:t>’</w:t>
      </w:r>
      <w:r w:rsidR="001E401F" w:rsidRPr="008651D1">
        <w:rPr>
          <w:rFonts w:cs="Arial"/>
          <w:lang w:val="fr-FR"/>
        </w:rPr>
        <w:t xml:space="preserve">expert de la France </w:t>
      </w:r>
      <w:r w:rsidR="008D4347" w:rsidRPr="008651D1">
        <w:rPr>
          <w:rFonts w:cs="Arial"/>
          <w:lang w:val="fr-FR"/>
        </w:rPr>
        <w:t>figure</w:t>
      </w:r>
      <w:r w:rsidR="001E401F" w:rsidRPr="008651D1">
        <w:rPr>
          <w:rFonts w:cs="Arial"/>
          <w:lang w:val="fr-FR"/>
        </w:rPr>
        <w:t xml:space="preserve"> dans le </w:t>
      </w:r>
      <w:r w:rsidRPr="008651D1">
        <w:rPr>
          <w:rFonts w:cs="Arial"/>
          <w:lang w:val="fr-FR"/>
        </w:rPr>
        <w:t>document TWF/45/2</w:t>
      </w:r>
      <w:r w:rsidR="00DE6D2B" w:rsidRPr="008651D1">
        <w:rPr>
          <w:rFonts w:cs="Arial"/>
          <w:lang w:val="fr-FR"/>
        </w:rPr>
        <w:t> </w:t>
      </w:r>
      <w:r w:rsidRPr="008651D1">
        <w:rPr>
          <w:rFonts w:cs="Arial"/>
          <w:lang w:val="fr-FR"/>
        </w:rPr>
        <w:t>Add.</w:t>
      </w:r>
      <w:r w:rsidR="000E5EE5" w:rsidRPr="008651D1">
        <w:rPr>
          <w:rFonts w:cs="Arial"/>
          <w:lang w:val="fr-FR" w:eastAsia="ja-JP"/>
        </w:rPr>
        <w:t xml:space="preserve"> </w:t>
      </w:r>
      <w:r w:rsidR="006B0161" w:rsidRPr="008651D1">
        <w:rPr>
          <w:rFonts w:cs="Arial"/>
          <w:lang w:val="fr-FR" w:eastAsia="ja-JP"/>
        </w:rPr>
        <w:t xml:space="preserve">“Addendum to TWF/45/2 Molecular Techniques” </w:t>
      </w:r>
      <w:r w:rsidR="000E5EE5" w:rsidRPr="008651D1">
        <w:rPr>
          <w:lang w:val="fr-FR" w:eastAsia="ja-JP"/>
        </w:rPr>
        <w:t>(</w:t>
      </w:r>
      <w:r w:rsidR="001E401F" w:rsidRPr="008651D1">
        <w:rPr>
          <w:lang w:val="fr-FR" w:eastAsia="ja-JP"/>
        </w:rPr>
        <w:t>voir le paragraphe</w:t>
      </w:r>
      <w:r w:rsidR="00DE6D2B" w:rsidRPr="008651D1">
        <w:rPr>
          <w:lang w:val="fr-FR" w:eastAsia="ja-JP"/>
        </w:rPr>
        <w:t> </w:t>
      </w:r>
      <w:r w:rsidR="001E401F" w:rsidRPr="008651D1">
        <w:rPr>
          <w:lang w:val="fr-FR" w:eastAsia="ja-JP"/>
        </w:rPr>
        <w:t>15 du</w:t>
      </w:r>
      <w:r w:rsidR="000E5EE5" w:rsidRPr="008651D1">
        <w:rPr>
          <w:lang w:val="fr-FR" w:eastAsia="ja-JP"/>
        </w:rPr>
        <w:t xml:space="preserve"> document TWF/45/32).</w:t>
      </w:r>
    </w:p>
    <w:p w:rsidR="00DF61EE" w:rsidRPr="008651D1" w:rsidRDefault="00DF61EE" w:rsidP="008651D1">
      <w:pPr>
        <w:rPr>
          <w:lang w:val="fr-FR" w:eastAsia="ja-JP"/>
        </w:rPr>
      </w:pPr>
    </w:p>
    <w:p w:rsidR="00DF61EE" w:rsidRPr="008651D1" w:rsidRDefault="009A5CC2" w:rsidP="008651D1">
      <w:pPr>
        <w:ind w:right="9"/>
        <w:rPr>
          <w:rFonts w:eastAsia="MS Mincho"/>
          <w:snapToGrid w:val="0"/>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0600DA" w:rsidRPr="008651D1">
        <w:rPr>
          <w:lang w:val="fr-FR"/>
        </w:rPr>
        <w:t>Le TWV a pris note du rapport présenté par un expert de l</w:t>
      </w:r>
      <w:r w:rsidR="00016C98" w:rsidRPr="008651D1">
        <w:rPr>
          <w:lang w:val="fr-FR"/>
        </w:rPr>
        <w:t>’</w:t>
      </w:r>
      <w:r w:rsidR="000600DA" w:rsidRPr="008651D1">
        <w:rPr>
          <w:lang w:val="fr-FR"/>
        </w:rPr>
        <w:t>European Seed Association (ESA), selon lequel l</w:t>
      </w:r>
      <w:r w:rsidR="00016C98" w:rsidRPr="008651D1">
        <w:rPr>
          <w:lang w:val="fr-FR"/>
        </w:rPr>
        <w:t>’</w:t>
      </w:r>
      <w:r w:rsidR="00DA05B2" w:rsidRPr="008651D1">
        <w:rPr>
          <w:lang w:val="fr-FR"/>
        </w:rPr>
        <w:t xml:space="preserve">ESA </w:t>
      </w:r>
      <w:r w:rsidR="000600DA" w:rsidRPr="008651D1">
        <w:rPr>
          <w:lang w:val="fr-FR"/>
        </w:rPr>
        <w:t>prévoyait de présenter un exposé sur l</w:t>
      </w:r>
      <w:r w:rsidR="00016C98" w:rsidRPr="008651D1">
        <w:rPr>
          <w:lang w:val="fr-FR"/>
        </w:rPr>
        <w:t>’</w:t>
      </w:r>
      <w:r w:rsidR="000600DA" w:rsidRPr="008651D1">
        <w:rPr>
          <w:lang w:val="fr-FR"/>
        </w:rPr>
        <w:t>application de techniques moléculaires à la pomme de terre à la quatorzième</w:t>
      </w:r>
      <w:r w:rsidR="00DE6D2B" w:rsidRPr="008651D1">
        <w:rPr>
          <w:lang w:val="fr-FR"/>
        </w:rPr>
        <w:t> </w:t>
      </w:r>
      <w:r w:rsidR="000600DA" w:rsidRPr="008651D1">
        <w:rPr>
          <w:lang w:val="fr-FR"/>
        </w:rPr>
        <w:t>session</w:t>
      </w:r>
      <w:r w:rsidR="00C72A57" w:rsidRPr="008651D1">
        <w:rPr>
          <w:lang w:val="fr-FR"/>
        </w:rPr>
        <w:t xml:space="preserve"> du BMT</w:t>
      </w:r>
      <w:r w:rsidR="000600DA" w:rsidRPr="008651D1">
        <w:rPr>
          <w:lang w:val="fr-FR"/>
        </w:rPr>
        <w:t xml:space="preserve"> qui se tiendrait à Séoul (République de Corée) du 10 au 1</w:t>
      </w:r>
      <w:r w:rsidR="00C72A57" w:rsidRPr="008651D1">
        <w:rPr>
          <w:lang w:val="fr-FR"/>
        </w:rPr>
        <w:t>3 novembre 20</w:t>
      </w:r>
      <w:r w:rsidR="000600DA" w:rsidRPr="008651D1">
        <w:rPr>
          <w:lang w:val="fr-FR"/>
        </w:rPr>
        <w:t>14</w:t>
      </w:r>
      <w:r w:rsidR="002275B8" w:rsidRPr="008651D1">
        <w:rPr>
          <w:rFonts w:eastAsia="MS Mincho"/>
          <w:snapToGrid w:val="0"/>
          <w:lang w:val="fr-FR" w:eastAsia="ja-JP"/>
        </w:rPr>
        <w:t xml:space="preserve"> (</w:t>
      </w:r>
      <w:r w:rsidR="005C534C" w:rsidRPr="008651D1">
        <w:rPr>
          <w:rFonts w:eastAsia="MS Mincho"/>
          <w:snapToGrid w:val="0"/>
          <w:lang w:val="fr-FR" w:eastAsia="ja-JP"/>
        </w:rPr>
        <w:t>voir le paragraphe</w:t>
      </w:r>
      <w:r w:rsidR="00DE6D2B" w:rsidRPr="008651D1">
        <w:rPr>
          <w:rFonts w:eastAsia="MS Mincho"/>
          <w:snapToGrid w:val="0"/>
          <w:lang w:val="fr-FR" w:eastAsia="ja-JP"/>
        </w:rPr>
        <w:t> </w:t>
      </w:r>
      <w:r w:rsidR="005C534C" w:rsidRPr="008651D1">
        <w:rPr>
          <w:rFonts w:eastAsia="MS Mincho"/>
          <w:snapToGrid w:val="0"/>
          <w:lang w:val="fr-FR" w:eastAsia="ja-JP"/>
        </w:rPr>
        <w:t>13 du</w:t>
      </w:r>
      <w:r w:rsidR="002275B8" w:rsidRPr="008651D1">
        <w:rPr>
          <w:rFonts w:eastAsia="MS Mincho"/>
          <w:snapToGrid w:val="0"/>
          <w:lang w:val="fr-FR" w:eastAsia="ja-JP"/>
        </w:rPr>
        <w:t xml:space="preserve"> document TWV/48/43 “Report”)</w:t>
      </w:r>
      <w:r w:rsidR="00DA05B2" w:rsidRPr="008651D1">
        <w:rPr>
          <w:rFonts w:eastAsia="MS Mincho"/>
          <w:snapToGrid w:val="0"/>
          <w:lang w:val="fr-FR"/>
        </w:rPr>
        <w:t>.</w:t>
      </w:r>
    </w:p>
    <w:p w:rsidR="00DF61EE" w:rsidRPr="008651D1" w:rsidRDefault="00DA05B2" w:rsidP="008651D1">
      <w:pPr>
        <w:ind w:right="9"/>
        <w:rPr>
          <w:rFonts w:cs="Arial"/>
          <w:lang w:val="fr-FR"/>
        </w:rPr>
      </w:pPr>
      <w:r w:rsidRPr="008651D1">
        <w:rPr>
          <w:lang w:val="fr-FR"/>
        </w:rPr>
        <w:lastRenderedPageBreak/>
        <w:fldChar w:fldCharType="begin"/>
      </w:r>
      <w:r w:rsidRPr="008651D1">
        <w:rPr>
          <w:lang w:val="fr-FR"/>
        </w:rPr>
        <w:instrText xml:space="preserve"> AUTONUM  </w:instrText>
      </w:r>
      <w:r w:rsidRPr="008651D1">
        <w:rPr>
          <w:lang w:val="fr-FR"/>
        </w:rPr>
        <w:fldChar w:fldCharType="end"/>
      </w:r>
      <w:r w:rsidRPr="008651D1">
        <w:rPr>
          <w:lang w:val="fr-FR"/>
        </w:rPr>
        <w:tab/>
      </w:r>
      <w:r w:rsidR="008D4347" w:rsidRPr="008651D1">
        <w:rPr>
          <w:lang w:val="fr-FR"/>
        </w:rPr>
        <w:t>Le TWV a noté que l</w:t>
      </w:r>
      <w:r w:rsidR="00016C98" w:rsidRPr="008651D1">
        <w:rPr>
          <w:lang w:val="fr-FR"/>
        </w:rPr>
        <w:t>’</w:t>
      </w:r>
      <w:r w:rsidR="008D4347" w:rsidRPr="008651D1">
        <w:rPr>
          <w:lang w:val="fr-FR"/>
        </w:rPr>
        <w:t>expert de l</w:t>
      </w:r>
      <w:r w:rsidR="00016C98" w:rsidRPr="008651D1">
        <w:rPr>
          <w:lang w:val="fr-FR"/>
        </w:rPr>
        <w:t>’</w:t>
      </w:r>
      <w:r w:rsidR="008D4347" w:rsidRPr="008651D1">
        <w:rPr>
          <w:lang w:val="fr-FR"/>
        </w:rPr>
        <w:t>ESA était favorable à la méthode suivie par le</w:t>
      </w:r>
      <w:r w:rsidR="00016C98" w:rsidRPr="008651D1">
        <w:rPr>
          <w:lang w:val="fr-FR"/>
        </w:rPr>
        <w:t> TC</w:t>
      </w:r>
      <w:r w:rsidR="008D4347" w:rsidRPr="008651D1">
        <w:rPr>
          <w:lang w:val="fr-FR"/>
        </w:rPr>
        <w:t xml:space="preserve"> à sa cinquantième</w:t>
      </w:r>
      <w:r w:rsidR="00DE6D2B" w:rsidRPr="008651D1">
        <w:rPr>
          <w:lang w:val="fr-FR"/>
        </w:rPr>
        <w:t> </w:t>
      </w:r>
      <w:r w:rsidR="008D4347" w:rsidRPr="008651D1">
        <w:rPr>
          <w:lang w:val="fr-FR"/>
        </w:rPr>
        <w:t>session eu égard aux questions fréquemment posées concernant l</w:t>
      </w:r>
      <w:r w:rsidR="00016C98" w:rsidRPr="008651D1">
        <w:rPr>
          <w:lang w:val="fr-FR"/>
        </w:rPr>
        <w:t>’</w:t>
      </w:r>
      <w:r w:rsidR="008D4347" w:rsidRPr="008651D1">
        <w:rPr>
          <w:lang w:val="fr-FR"/>
        </w:rPr>
        <w:t xml:space="preserve">utilisation de techniques moléculaires </w:t>
      </w:r>
      <w:r w:rsidRPr="008651D1">
        <w:rPr>
          <w:lang w:val="fr-FR"/>
        </w:rPr>
        <w:t>(</w:t>
      </w:r>
      <w:r w:rsidR="008D4347" w:rsidRPr="008651D1">
        <w:rPr>
          <w:lang w:val="fr-FR"/>
        </w:rPr>
        <w:t>profils d</w:t>
      </w:r>
      <w:r w:rsidR="00016C98" w:rsidRPr="008651D1">
        <w:rPr>
          <w:lang w:val="fr-FR"/>
        </w:rPr>
        <w:t>’</w:t>
      </w:r>
      <w:r w:rsidR="008D4347" w:rsidRPr="008651D1">
        <w:rPr>
          <w:lang w:val="fr-FR"/>
        </w:rPr>
        <w:t>ADN</w:t>
      </w:r>
      <w:r w:rsidRPr="008651D1">
        <w:rPr>
          <w:lang w:val="fr-FR"/>
        </w:rPr>
        <w:t>)</w:t>
      </w:r>
      <w:r w:rsidR="008D4347" w:rsidRPr="008651D1">
        <w:rPr>
          <w:lang w:val="fr-FR"/>
        </w:rPr>
        <w:t xml:space="preserve"> dans le cadre de l</w:t>
      </w:r>
      <w:r w:rsidR="00016C98" w:rsidRPr="008651D1">
        <w:rPr>
          <w:lang w:val="fr-FR"/>
        </w:rPr>
        <w:t>’</w:t>
      </w:r>
      <w:r w:rsidR="008D4347" w:rsidRPr="008651D1">
        <w:rPr>
          <w:lang w:val="fr-FR"/>
        </w:rPr>
        <w:t>examen</w:t>
      </w:r>
      <w:r w:rsidR="00DE6D2B" w:rsidRPr="008651D1">
        <w:rPr>
          <w:lang w:val="fr-FR"/>
        </w:rPr>
        <w:t> </w:t>
      </w:r>
      <w:r w:rsidR="008D4347" w:rsidRPr="008651D1">
        <w:rPr>
          <w:lang w:val="fr-FR"/>
        </w:rPr>
        <w:t>DHS</w:t>
      </w:r>
      <w:r w:rsidRPr="008651D1">
        <w:rPr>
          <w:lang w:val="fr-FR"/>
        </w:rPr>
        <w:t xml:space="preserve">, </w:t>
      </w:r>
      <w:r w:rsidR="008D4347" w:rsidRPr="008651D1">
        <w:rPr>
          <w:lang w:val="fr-FR"/>
        </w:rPr>
        <w:t>comme indiqué au paragraphe</w:t>
      </w:r>
      <w:r w:rsidR="00DE6D2B" w:rsidRPr="008651D1">
        <w:rPr>
          <w:lang w:val="fr-FR"/>
        </w:rPr>
        <w:t> </w:t>
      </w:r>
      <w:r w:rsidR="008D4347" w:rsidRPr="008651D1">
        <w:rPr>
          <w:lang w:val="fr-FR"/>
        </w:rPr>
        <w:t xml:space="preserve">15 du </w:t>
      </w:r>
      <w:r w:rsidRPr="008651D1">
        <w:rPr>
          <w:lang w:val="fr-FR"/>
        </w:rPr>
        <w:t xml:space="preserve">document </w:t>
      </w:r>
      <w:r w:rsidRPr="008651D1">
        <w:rPr>
          <w:rFonts w:cs="Arial"/>
          <w:lang w:val="fr-FR"/>
        </w:rPr>
        <w:t>TWV/48/2</w:t>
      </w:r>
      <w:r w:rsidR="002275B8" w:rsidRPr="008651D1">
        <w:rPr>
          <w:lang w:val="fr-FR" w:eastAsia="ja-JP"/>
        </w:rPr>
        <w:t xml:space="preserve"> </w:t>
      </w:r>
      <w:r w:rsidR="002275B8" w:rsidRPr="008651D1">
        <w:rPr>
          <w:rFonts w:eastAsia="MS Mincho"/>
          <w:snapToGrid w:val="0"/>
          <w:lang w:val="fr-FR" w:eastAsia="ja-JP"/>
        </w:rPr>
        <w:t>(</w:t>
      </w:r>
      <w:r w:rsidR="008D4347" w:rsidRPr="008651D1">
        <w:rPr>
          <w:rFonts w:eastAsia="MS Mincho"/>
          <w:snapToGrid w:val="0"/>
          <w:lang w:val="fr-FR" w:eastAsia="ja-JP"/>
        </w:rPr>
        <w:t>voir le paragraphe</w:t>
      </w:r>
      <w:r w:rsidR="00DE6D2B" w:rsidRPr="008651D1">
        <w:rPr>
          <w:rFonts w:eastAsia="MS Mincho"/>
          <w:snapToGrid w:val="0"/>
          <w:lang w:val="fr-FR" w:eastAsia="ja-JP"/>
        </w:rPr>
        <w:t> </w:t>
      </w:r>
      <w:r w:rsidR="008D4347" w:rsidRPr="008651D1">
        <w:rPr>
          <w:rFonts w:eastAsia="MS Mincho"/>
          <w:snapToGrid w:val="0"/>
          <w:lang w:val="fr-FR" w:eastAsia="ja-JP"/>
        </w:rPr>
        <w:t>15 du</w:t>
      </w:r>
      <w:r w:rsidR="002275B8" w:rsidRPr="008651D1">
        <w:rPr>
          <w:rFonts w:eastAsia="MS Mincho"/>
          <w:snapToGrid w:val="0"/>
          <w:lang w:val="fr-FR" w:eastAsia="ja-JP"/>
        </w:rPr>
        <w:t xml:space="preserve"> document TWV/48/43)</w:t>
      </w:r>
      <w:r w:rsidRPr="008651D1">
        <w:rPr>
          <w:rFonts w:cs="Arial"/>
          <w:lang w:val="fr-FR"/>
        </w:rPr>
        <w:t>.</w:t>
      </w:r>
    </w:p>
    <w:p w:rsidR="00DF61EE" w:rsidRPr="008651D1" w:rsidRDefault="00DF61EE" w:rsidP="008651D1">
      <w:pPr>
        <w:ind w:right="-425"/>
        <w:rPr>
          <w:rFonts w:cs="Arial"/>
          <w:lang w:val="fr-FR"/>
        </w:rPr>
      </w:pPr>
    </w:p>
    <w:p w:rsidR="00DF61EE" w:rsidRPr="008651D1" w:rsidRDefault="00DA05B2" w:rsidP="008651D1">
      <w:pPr>
        <w:ind w:right="9"/>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8D4347" w:rsidRPr="008651D1">
        <w:rPr>
          <w:lang w:val="fr-FR"/>
        </w:rPr>
        <w:t>Le TWV a suivi un exposé présenté par un expert des Pays</w:t>
      </w:r>
      <w:r w:rsidR="00DC14F9" w:rsidRPr="008651D1">
        <w:rPr>
          <w:lang w:val="fr-FR"/>
        </w:rPr>
        <w:noBreakHyphen/>
      </w:r>
      <w:r w:rsidR="008D4347" w:rsidRPr="008651D1">
        <w:rPr>
          <w:lang w:val="fr-FR"/>
        </w:rPr>
        <w:t xml:space="preserve">Bas sur le thème </w:t>
      </w:r>
      <w:r w:rsidRPr="008651D1">
        <w:rPr>
          <w:lang w:val="fr-FR"/>
        </w:rPr>
        <w:t>“DNA in DUS examination for Registration and PBR/PVP”</w:t>
      </w:r>
      <w:r w:rsidR="008D4347" w:rsidRPr="008651D1">
        <w:rPr>
          <w:lang w:val="fr-FR"/>
        </w:rPr>
        <w:t xml:space="preserve">, dont une copie figure dans un additif au </w:t>
      </w:r>
      <w:r w:rsidRPr="008651D1">
        <w:rPr>
          <w:lang w:val="fr-FR"/>
        </w:rPr>
        <w:t>document TWV/48/2</w:t>
      </w:r>
      <w:r w:rsidR="006B0161" w:rsidRPr="008651D1">
        <w:rPr>
          <w:lang w:val="fr-FR" w:eastAsia="ja-JP"/>
        </w:rPr>
        <w:t xml:space="preserve"> “Addendum to TWV/48/2 Molecular Techniques”</w:t>
      </w:r>
      <w:r w:rsidR="002275B8" w:rsidRPr="008651D1">
        <w:rPr>
          <w:lang w:val="fr-FR" w:eastAsia="ja-JP"/>
        </w:rPr>
        <w:t xml:space="preserve"> </w:t>
      </w:r>
      <w:r w:rsidR="002275B8" w:rsidRPr="008651D1">
        <w:rPr>
          <w:rFonts w:eastAsia="MS Mincho"/>
          <w:snapToGrid w:val="0"/>
          <w:lang w:val="fr-FR" w:eastAsia="ja-JP"/>
        </w:rPr>
        <w:t>(</w:t>
      </w:r>
      <w:r w:rsidR="008D4347" w:rsidRPr="008651D1">
        <w:rPr>
          <w:rFonts w:eastAsia="MS Mincho"/>
          <w:snapToGrid w:val="0"/>
          <w:lang w:val="fr-FR" w:eastAsia="ja-JP"/>
        </w:rPr>
        <w:t>voir le paragraphe</w:t>
      </w:r>
      <w:r w:rsidR="00DE6D2B" w:rsidRPr="008651D1">
        <w:rPr>
          <w:rFonts w:eastAsia="MS Mincho"/>
          <w:snapToGrid w:val="0"/>
          <w:lang w:val="fr-FR" w:eastAsia="ja-JP"/>
        </w:rPr>
        <w:t> </w:t>
      </w:r>
      <w:r w:rsidR="008D4347" w:rsidRPr="008651D1">
        <w:rPr>
          <w:rFonts w:eastAsia="MS Mincho"/>
          <w:snapToGrid w:val="0"/>
          <w:lang w:val="fr-FR" w:eastAsia="ja-JP"/>
        </w:rPr>
        <w:t>16 du</w:t>
      </w:r>
      <w:r w:rsidR="002275B8" w:rsidRPr="008651D1">
        <w:rPr>
          <w:rFonts w:eastAsia="MS Mincho"/>
          <w:snapToGrid w:val="0"/>
          <w:lang w:val="fr-FR" w:eastAsia="ja-JP"/>
        </w:rPr>
        <w:t xml:space="preserve"> </w:t>
      </w:r>
      <w:r w:rsidR="00C72A57" w:rsidRPr="008651D1">
        <w:rPr>
          <w:rFonts w:eastAsia="MS Mincho"/>
          <w:snapToGrid w:val="0"/>
          <w:lang w:val="fr-FR" w:eastAsia="ja-JP"/>
        </w:rPr>
        <w:t>document TW</w:t>
      </w:r>
      <w:r w:rsidR="002275B8" w:rsidRPr="008651D1">
        <w:rPr>
          <w:rFonts w:eastAsia="MS Mincho"/>
          <w:snapToGrid w:val="0"/>
          <w:lang w:val="fr-FR" w:eastAsia="ja-JP"/>
        </w:rPr>
        <w:t>V/48/43)</w:t>
      </w:r>
      <w:r w:rsidRPr="008651D1">
        <w:rPr>
          <w:lang w:val="fr-FR"/>
        </w:rPr>
        <w:t>.</w:t>
      </w:r>
    </w:p>
    <w:p w:rsidR="00DF61EE" w:rsidRPr="008651D1" w:rsidRDefault="00DF61EE" w:rsidP="008651D1">
      <w:pPr>
        <w:rPr>
          <w:rFonts w:eastAsia="MS Mincho"/>
          <w:snapToGrid w:val="0"/>
          <w:lang w:val="fr-FR" w:eastAsia="ja-JP"/>
        </w:rPr>
      </w:pPr>
    </w:p>
    <w:p w:rsidR="00C72A57" w:rsidRPr="008651D1" w:rsidRDefault="00DA05B2"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F87C82" w:rsidRPr="008651D1">
        <w:rPr>
          <w:lang w:val="fr-FR"/>
        </w:rPr>
        <w:t xml:space="preserve">Le TWA a suivi un exposé présenté </w:t>
      </w:r>
      <w:r w:rsidR="00F03802" w:rsidRPr="008651D1">
        <w:rPr>
          <w:lang w:val="fr-FR"/>
        </w:rPr>
        <w:t xml:space="preserve">par voie électronique </w:t>
      </w:r>
      <w:r w:rsidR="00F87C82" w:rsidRPr="008651D1">
        <w:rPr>
          <w:lang w:val="fr-FR"/>
        </w:rPr>
        <w:t>par un expert du Royaume</w:t>
      </w:r>
      <w:r w:rsidR="00DC14F9" w:rsidRPr="008651D1">
        <w:rPr>
          <w:lang w:val="fr-FR"/>
        </w:rPr>
        <w:noBreakHyphen/>
      </w:r>
      <w:r w:rsidR="00F87C82" w:rsidRPr="008651D1">
        <w:rPr>
          <w:lang w:val="fr-FR"/>
        </w:rPr>
        <w:t>Uni sur le thème</w:t>
      </w:r>
      <w:r w:rsidRPr="008651D1">
        <w:rPr>
          <w:lang w:val="fr-FR"/>
        </w:rPr>
        <w:t xml:space="preserve"> “</w:t>
      </w:r>
      <w:r w:rsidR="006764DF">
        <w:rPr>
          <w:lang w:val="fr-FR"/>
        </w:rPr>
        <w:t>A</w:t>
      </w:r>
      <w:r w:rsidR="005D5881" w:rsidRPr="008651D1">
        <w:rPr>
          <w:lang w:val="fr-FR"/>
        </w:rPr>
        <w:t> </w:t>
      </w:r>
      <w:proofErr w:type="spellStart"/>
      <w:r w:rsidR="006764DF">
        <w:rPr>
          <w:lang w:val="fr-FR"/>
        </w:rPr>
        <w:t>European</w:t>
      </w:r>
      <w:proofErr w:type="spellEnd"/>
      <w:r w:rsidR="006764DF">
        <w:rPr>
          <w:lang w:val="fr-FR"/>
        </w:rPr>
        <w:t xml:space="preserve"> </w:t>
      </w:r>
      <w:proofErr w:type="spellStart"/>
      <w:r w:rsidR="006764DF">
        <w:rPr>
          <w:lang w:val="fr-FR"/>
        </w:rPr>
        <w:t>p</w:t>
      </w:r>
      <w:r w:rsidRPr="008651D1">
        <w:rPr>
          <w:lang w:val="fr-FR"/>
        </w:rPr>
        <w:t>otato</w:t>
      </w:r>
      <w:proofErr w:type="spellEnd"/>
      <w:r w:rsidRPr="008651D1">
        <w:rPr>
          <w:lang w:val="fr-FR"/>
        </w:rPr>
        <w:t xml:space="preserve"> </w:t>
      </w:r>
      <w:proofErr w:type="spellStart"/>
      <w:r w:rsidRPr="008651D1">
        <w:rPr>
          <w:lang w:val="fr-FR"/>
        </w:rPr>
        <w:t>database</w:t>
      </w:r>
      <w:proofErr w:type="spellEnd"/>
      <w:r w:rsidRPr="008651D1">
        <w:rPr>
          <w:lang w:val="fr-FR"/>
        </w:rPr>
        <w:t xml:space="preserve"> as a centralized collection of varieties of common knowledge”, </w:t>
      </w:r>
      <w:r w:rsidR="00F03802" w:rsidRPr="008651D1">
        <w:rPr>
          <w:lang w:val="fr-FR"/>
        </w:rPr>
        <w:t xml:space="preserve">dont une copie figure dans </w:t>
      </w:r>
      <w:r w:rsidR="006764DF">
        <w:rPr>
          <w:lang w:val="fr-FR"/>
        </w:rPr>
        <w:t>le</w:t>
      </w:r>
      <w:r w:rsidRPr="008651D1">
        <w:rPr>
          <w:lang w:val="fr-FR"/>
        </w:rPr>
        <w:t xml:space="preserve"> document TWA/43/2</w:t>
      </w:r>
      <w:r w:rsidR="006764DF">
        <w:rPr>
          <w:lang w:val="fr-FR"/>
        </w:rPr>
        <w:t xml:space="preserve"> </w:t>
      </w:r>
      <w:proofErr w:type="spellStart"/>
      <w:r w:rsidR="006764DF">
        <w:rPr>
          <w:lang w:val="fr-FR"/>
        </w:rPr>
        <w:t>Add</w:t>
      </w:r>
      <w:proofErr w:type="spellEnd"/>
      <w:r w:rsidR="006764DF">
        <w:rPr>
          <w:lang w:val="fr-FR"/>
        </w:rPr>
        <w:t>.</w:t>
      </w:r>
      <w:r w:rsidRPr="008651D1">
        <w:rPr>
          <w:lang w:val="fr-FR"/>
        </w:rPr>
        <w:t xml:space="preserve"> “</w:t>
      </w:r>
      <w:r w:rsidR="00121AA6" w:rsidRPr="008651D1">
        <w:rPr>
          <w:lang w:val="fr-FR" w:eastAsia="ja-JP"/>
        </w:rPr>
        <w:t xml:space="preserve">Addendum to </w:t>
      </w:r>
      <w:r w:rsidR="00C72A57" w:rsidRPr="008651D1">
        <w:rPr>
          <w:lang w:val="fr-FR" w:eastAsia="ja-JP"/>
        </w:rPr>
        <w:t>document TW</w:t>
      </w:r>
      <w:r w:rsidR="006B0161" w:rsidRPr="008651D1">
        <w:rPr>
          <w:lang w:val="fr-FR" w:eastAsia="ja-JP"/>
        </w:rPr>
        <w:t xml:space="preserve">A/43/2 </w:t>
      </w:r>
      <w:r w:rsidRPr="008651D1">
        <w:rPr>
          <w:lang w:val="fr-FR"/>
        </w:rPr>
        <w:t>Molecular</w:t>
      </w:r>
      <w:r w:rsidR="005D5881" w:rsidRPr="008651D1">
        <w:rPr>
          <w:lang w:val="fr-FR"/>
        </w:rPr>
        <w:t> </w:t>
      </w:r>
      <w:r w:rsidR="009F762F">
        <w:rPr>
          <w:lang w:val="fr-FR"/>
        </w:rPr>
        <w:t>T</w:t>
      </w:r>
      <w:r w:rsidRPr="008651D1">
        <w:rPr>
          <w:lang w:val="fr-FR"/>
        </w:rPr>
        <w:t>echniques”</w:t>
      </w:r>
      <w:r w:rsidR="002275B8" w:rsidRPr="008651D1">
        <w:rPr>
          <w:lang w:val="fr-FR" w:eastAsia="ja-JP"/>
        </w:rPr>
        <w:t xml:space="preserve"> (</w:t>
      </w:r>
      <w:proofErr w:type="gramStart"/>
      <w:r w:rsidR="00F03802" w:rsidRPr="008651D1">
        <w:rPr>
          <w:lang w:val="fr-FR" w:eastAsia="ja-JP"/>
        </w:rPr>
        <w:t>voir</w:t>
      </w:r>
      <w:proofErr w:type="gramEnd"/>
      <w:r w:rsidR="00F03802" w:rsidRPr="008651D1">
        <w:rPr>
          <w:lang w:val="fr-FR" w:eastAsia="ja-JP"/>
        </w:rPr>
        <w:t xml:space="preserve"> le paragraphe</w:t>
      </w:r>
      <w:r w:rsidR="00DE6D2B" w:rsidRPr="008651D1">
        <w:rPr>
          <w:lang w:val="fr-FR" w:eastAsia="ja-JP"/>
        </w:rPr>
        <w:t> </w:t>
      </w:r>
      <w:r w:rsidR="00F03802" w:rsidRPr="008651D1">
        <w:rPr>
          <w:lang w:val="fr-FR" w:eastAsia="ja-JP"/>
        </w:rPr>
        <w:t>88 du</w:t>
      </w:r>
      <w:r w:rsidR="002275B8" w:rsidRPr="008651D1">
        <w:rPr>
          <w:lang w:val="fr-FR" w:eastAsia="ja-JP"/>
        </w:rPr>
        <w:t xml:space="preserve"> document TWA/43/27 “Report”)</w:t>
      </w:r>
      <w:r w:rsidRPr="008651D1">
        <w:rPr>
          <w:lang w:val="fr-FR"/>
        </w:rPr>
        <w:t>.</w:t>
      </w:r>
    </w:p>
    <w:p w:rsidR="00DF61EE" w:rsidRPr="008651D1" w:rsidRDefault="00DF61EE" w:rsidP="008651D1">
      <w:pPr>
        <w:rPr>
          <w:lang w:val="fr-FR"/>
        </w:rPr>
      </w:pPr>
    </w:p>
    <w:p w:rsidR="00DF61EE" w:rsidRPr="008651D1" w:rsidRDefault="00DA05B2"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017FE8" w:rsidRPr="008651D1">
        <w:rPr>
          <w:lang w:val="fr-FR"/>
        </w:rPr>
        <w:t>Le TWA a pris note des informations présentées par voie électronique par l</w:t>
      </w:r>
      <w:r w:rsidR="00016C98" w:rsidRPr="008651D1">
        <w:rPr>
          <w:lang w:val="fr-FR"/>
        </w:rPr>
        <w:t>’</w:t>
      </w:r>
      <w:r w:rsidR="00017FE8" w:rsidRPr="008651D1">
        <w:rPr>
          <w:lang w:val="fr-FR"/>
        </w:rPr>
        <w:t>expert du Royaume</w:t>
      </w:r>
      <w:r w:rsidR="00DC14F9" w:rsidRPr="008651D1">
        <w:rPr>
          <w:lang w:val="fr-FR"/>
        </w:rPr>
        <w:noBreakHyphen/>
      </w:r>
      <w:r w:rsidR="00017FE8" w:rsidRPr="008651D1">
        <w:rPr>
          <w:lang w:val="fr-FR"/>
        </w:rPr>
        <w:t>Uni et des recherches menées concernant l</w:t>
      </w:r>
      <w:r w:rsidR="00016C98" w:rsidRPr="008651D1">
        <w:rPr>
          <w:lang w:val="fr-FR"/>
        </w:rPr>
        <w:t>’</w:t>
      </w:r>
      <w:r w:rsidR="00017FE8" w:rsidRPr="008651D1">
        <w:rPr>
          <w:lang w:val="fr-FR"/>
        </w:rPr>
        <w:t>utilisation de données moléculaires dans la gestion des collections de variétés</w:t>
      </w:r>
      <w:r w:rsidR="00121AA6" w:rsidRPr="008651D1">
        <w:rPr>
          <w:lang w:val="fr-FR" w:eastAsia="ja-JP"/>
        </w:rPr>
        <w:t xml:space="preserve"> (</w:t>
      </w:r>
      <w:r w:rsidR="00017FE8" w:rsidRPr="008651D1">
        <w:rPr>
          <w:lang w:val="fr-FR" w:eastAsia="ja-JP"/>
        </w:rPr>
        <w:t>voir le paragraphe</w:t>
      </w:r>
      <w:r w:rsidR="00DE6D2B" w:rsidRPr="008651D1">
        <w:rPr>
          <w:lang w:val="fr-FR" w:eastAsia="ja-JP"/>
        </w:rPr>
        <w:t> </w:t>
      </w:r>
      <w:r w:rsidR="00017FE8" w:rsidRPr="008651D1">
        <w:rPr>
          <w:lang w:val="fr-FR" w:eastAsia="ja-JP"/>
        </w:rPr>
        <w:t>89 du</w:t>
      </w:r>
      <w:r w:rsidR="00642A4B" w:rsidRPr="008651D1">
        <w:rPr>
          <w:lang w:val="fr-FR" w:eastAsia="ja-JP"/>
        </w:rPr>
        <w:t> </w:t>
      </w:r>
      <w:r w:rsidR="00C72A57" w:rsidRPr="008651D1">
        <w:rPr>
          <w:lang w:val="fr-FR" w:eastAsia="ja-JP"/>
        </w:rPr>
        <w:t>document TW</w:t>
      </w:r>
      <w:r w:rsidR="002275B8" w:rsidRPr="008651D1">
        <w:rPr>
          <w:lang w:val="fr-FR" w:eastAsia="ja-JP"/>
        </w:rPr>
        <w:t>A/43/27)</w:t>
      </w:r>
      <w:r w:rsidRPr="008651D1">
        <w:rPr>
          <w:lang w:val="fr-FR"/>
        </w:rPr>
        <w:t>.</w:t>
      </w:r>
    </w:p>
    <w:p w:rsidR="00DF61EE" w:rsidRPr="008651D1" w:rsidRDefault="00DF61EE" w:rsidP="008651D1">
      <w:pPr>
        <w:rPr>
          <w:lang w:val="fr-FR" w:eastAsia="ja-JP"/>
        </w:rPr>
      </w:pPr>
    </w:p>
    <w:p w:rsidR="00DF61EE" w:rsidRPr="008651D1" w:rsidRDefault="00DF61EE" w:rsidP="008651D1">
      <w:pPr>
        <w:rPr>
          <w:lang w:val="fr-FR"/>
        </w:rPr>
      </w:pPr>
    </w:p>
    <w:p w:rsidR="00DF61EE" w:rsidRPr="008651D1" w:rsidRDefault="004E5720" w:rsidP="008651D1">
      <w:pPr>
        <w:pStyle w:val="Heading1"/>
        <w:rPr>
          <w:lang w:val="fr-FR"/>
        </w:rPr>
      </w:pPr>
      <w:bookmarkStart w:id="9" w:name="_Toc410822403"/>
      <w:bookmarkStart w:id="10" w:name="_Toc410822807"/>
      <w:bookmarkStart w:id="11" w:name="_Toc410823314"/>
      <w:bookmarkStart w:id="12" w:name="_Toc410899582"/>
      <w:bookmarkStart w:id="13" w:name="_Toc411603114"/>
      <w:r w:rsidRPr="008651D1">
        <w:rPr>
          <w:lang w:val="fr-FR"/>
        </w:rPr>
        <w:t>quatorzième</w:t>
      </w:r>
      <w:r w:rsidR="00DE6D2B" w:rsidRPr="008651D1">
        <w:rPr>
          <w:lang w:val="fr-FR"/>
        </w:rPr>
        <w:t> </w:t>
      </w:r>
      <w:r w:rsidRPr="008651D1">
        <w:rPr>
          <w:lang w:val="fr-FR"/>
        </w:rPr>
        <w:t>session</w:t>
      </w:r>
      <w:r w:rsidR="00AF0440" w:rsidRPr="008651D1">
        <w:rPr>
          <w:lang w:val="fr-FR"/>
        </w:rPr>
        <w:t xml:space="preserve"> du Groupe de travail sur les techniques biochimiques et moléculaires, notamment les profils d</w:t>
      </w:r>
      <w:r w:rsidR="00016C98" w:rsidRPr="008651D1">
        <w:rPr>
          <w:lang w:val="fr-FR"/>
        </w:rPr>
        <w:t>’</w:t>
      </w:r>
      <w:r w:rsidR="00AF0440" w:rsidRPr="008651D1">
        <w:rPr>
          <w:lang w:val="fr-FR"/>
        </w:rPr>
        <w:t>ADN</w:t>
      </w:r>
      <w:bookmarkEnd w:id="9"/>
      <w:bookmarkEnd w:id="10"/>
      <w:bookmarkEnd w:id="11"/>
      <w:bookmarkEnd w:id="12"/>
      <w:bookmarkEnd w:id="13"/>
    </w:p>
    <w:p w:rsidR="00DF61EE" w:rsidRPr="008651D1" w:rsidRDefault="00DF61EE" w:rsidP="008651D1">
      <w:pPr>
        <w:rPr>
          <w:lang w:val="fr-FR" w:eastAsia="ja-JP"/>
        </w:rPr>
      </w:pPr>
    </w:p>
    <w:p w:rsidR="00DF61EE" w:rsidRPr="008651D1" w:rsidRDefault="008D6750" w:rsidP="008651D1">
      <w:pPr>
        <w:rPr>
          <w:lang w:val="fr-FR" w:eastAsia="ja-JP"/>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Le mandat</w:t>
      </w:r>
      <w:r w:rsidR="00C72A57" w:rsidRPr="008651D1">
        <w:rPr>
          <w:lang w:val="fr-FR"/>
        </w:rPr>
        <w:t xml:space="preserve"> du BMT</w:t>
      </w:r>
      <w:r w:rsidR="0033342F" w:rsidRPr="008651D1">
        <w:rPr>
          <w:lang w:val="fr-FR"/>
        </w:rPr>
        <w:t xml:space="preserve"> est indiqué dan</w:t>
      </w:r>
      <w:r w:rsidR="0033342F" w:rsidRPr="009F762F">
        <w:rPr>
          <w:lang w:val="fr-FR"/>
        </w:rPr>
        <w:t xml:space="preserve">s </w:t>
      </w:r>
      <w:r w:rsidR="00D12FFE" w:rsidRPr="009F762F">
        <w:rPr>
          <w:lang w:val="fr-FR"/>
        </w:rPr>
        <w:t>l</w:t>
      </w:r>
      <w:r w:rsidR="00016C98" w:rsidRPr="009F762F">
        <w:rPr>
          <w:lang w:val="fr-FR"/>
        </w:rPr>
        <w:t>’</w:t>
      </w:r>
      <w:r w:rsidR="00D12FFE" w:rsidRPr="009F762F">
        <w:rPr>
          <w:lang w:val="fr-FR"/>
        </w:rPr>
        <w:t>annexe</w:t>
      </w:r>
      <w:r w:rsidR="00DE6D2B" w:rsidRPr="009F762F">
        <w:rPr>
          <w:lang w:val="fr-FR"/>
        </w:rPr>
        <w:t> </w:t>
      </w:r>
      <w:r w:rsidR="00D12FFE" w:rsidRPr="009F762F">
        <w:rPr>
          <w:lang w:val="fr-FR"/>
        </w:rPr>
        <w:t>I</w:t>
      </w:r>
      <w:r w:rsidR="0033342F" w:rsidRPr="009F762F">
        <w:rPr>
          <w:lang w:val="fr-FR"/>
        </w:rPr>
        <w:t xml:space="preserve"> du pré</w:t>
      </w:r>
      <w:r w:rsidR="0033342F" w:rsidRPr="008651D1">
        <w:rPr>
          <w:lang w:val="fr-FR"/>
        </w:rPr>
        <w:t>sent document.</w:t>
      </w:r>
    </w:p>
    <w:p w:rsidR="00DF61EE" w:rsidRPr="008651D1" w:rsidRDefault="00DF61EE" w:rsidP="008651D1">
      <w:pPr>
        <w:rPr>
          <w:lang w:val="fr-FR" w:eastAsia="ja-JP"/>
        </w:rPr>
      </w:pPr>
    </w:p>
    <w:p w:rsidR="00DF61EE" w:rsidRPr="008651D1" w:rsidRDefault="00041D2D"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097F51" w:rsidRPr="008651D1">
        <w:rPr>
          <w:lang w:val="fr-FR"/>
        </w:rPr>
        <w:t>La quatorzième</w:t>
      </w:r>
      <w:r w:rsidR="00DE6D2B" w:rsidRPr="008651D1">
        <w:rPr>
          <w:lang w:val="fr-FR"/>
        </w:rPr>
        <w:t> </w:t>
      </w:r>
      <w:r w:rsidR="00097F51" w:rsidRPr="008651D1">
        <w:rPr>
          <w:lang w:val="fr-FR"/>
        </w:rPr>
        <w:t>session</w:t>
      </w:r>
      <w:r w:rsidR="006A3EE3">
        <w:rPr>
          <w:lang w:val="fr-FR"/>
        </w:rPr>
        <w:t xml:space="preserve"> du </w:t>
      </w:r>
      <w:r w:rsidR="00C72A57" w:rsidRPr="008651D1">
        <w:rPr>
          <w:lang w:val="fr-FR"/>
        </w:rPr>
        <w:t>BMT</w:t>
      </w:r>
      <w:r w:rsidR="00097F51" w:rsidRPr="008651D1">
        <w:rPr>
          <w:lang w:val="fr-FR"/>
        </w:rPr>
        <w:t xml:space="preserve"> s</w:t>
      </w:r>
      <w:r w:rsidR="00016C98" w:rsidRPr="008651D1">
        <w:rPr>
          <w:lang w:val="fr-FR"/>
        </w:rPr>
        <w:t>’</w:t>
      </w:r>
      <w:r w:rsidR="00097F51" w:rsidRPr="008651D1">
        <w:rPr>
          <w:lang w:val="fr-FR"/>
        </w:rPr>
        <w:t>est tenue à Séoul (République de Corée) du 10 au 1</w:t>
      </w:r>
      <w:r w:rsidR="00C72A57" w:rsidRPr="008651D1">
        <w:rPr>
          <w:lang w:val="fr-FR"/>
        </w:rPr>
        <w:t>3 novembre 20</w:t>
      </w:r>
      <w:r w:rsidR="00097F51" w:rsidRPr="008651D1">
        <w:rPr>
          <w:lang w:val="fr-FR"/>
        </w:rPr>
        <w:t xml:space="preserve">14, son atelier préparatoire se tenant le </w:t>
      </w:r>
      <w:r w:rsidR="00C72A57" w:rsidRPr="008651D1">
        <w:rPr>
          <w:lang w:val="fr-FR"/>
        </w:rPr>
        <w:t>9 novembre 20</w:t>
      </w:r>
      <w:r w:rsidR="00097F51" w:rsidRPr="008651D1">
        <w:rPr>
          <w:lang w:val="fr-FR"/>
        </w:rPr>
        <w:t xml:space="preserve">14 et </w:t>
      </w:r>
      <w:r w:rsidR="00097F51" w:rsidRPr="008651D1">
        <w:rPr>
          <w:lang w:val="fr-FR" w:eastAsia="ja-JP"/>
        </w:rPr>
        <w:t>l</w:t>
      </w:r>
      <w:r w:rsidR="00016C98" w:rsidRPr="008651D1">
        <w:rPr>
          <w:lang w:val="fr-FR" w:eastAsia="ja-JP"/>
        </w:rPr>
        <w:t>’</w:t>
      </w:r>
      <w:r w:rsidR="00097F51" w:rsidRPr="008651D1">
        <w:rPr>
          <w:lang w:val="fr-FR" w:eastAsia="ja-JP"/>
        </w:rPr>
        <w:t>Atelier conjoint de l</w:t>
      </w:r>
      <w:r w:rsidR="00016C98" w:rsidRPr="008651D1">
        <w:rPr>
          <w:lang w:val="fr-FR" w:eastAsia="ja-JP"/>
        </w:rPr>
        <w:t>’</w:t>
      </w:r>
      <w:r w:rsidR="00097F51" w:rsidRPr="008651D1">
        <w:rPr>
          <w:lang w:val="fr-FR" w:eastAsia="ja-JP"/>
        </w:rPr>
        <w:t>OCDE, de l</w:t>
      </w:r>
      <w:r w:rsidR="00016C98" w:rsidRPr="008651D1">
        <w:rPr>
          <w:lang w:val="fr-FR" w:eastAsia="ja-JP"/>
        </w:rPr>
        <w:t>’</w:t>
      </w:r>
      <w:r w:rsidR="00097F51" w:rsidRPr="008651D1">
        <w:rPr>
          <w:lang w:val="fr-FR" w:eastAsia="ja-JP"/>
        </w:rPr>
        <w:t>UPOV et de l</w:t>
      </w:r>
      <w:r w:rsidR="00016C98" w:rsidRPr="008651D1">
        <w:rPr>
          <w:lang w:val="fr-FR" w:eastAsia="ja-JP"/>
        </w:rPr>
        <w:t>’</w:t>
      </w:r>
      <w:r w:rsidR="00097F51" w:rsidRPr="008651D1">
        <w:rPr>
          <w:lang w:val="fr-FR" w:eastAsia="ja-JP"/>
        </w:rPr>
        <w:t>ISTA sur les techniques moléculaires le 1</w:t>
      </w:r>
      <w:r w:rsidR="00C72A57" w:rsidRPr="008651D1">
        <w:rPr>
          <w:lang w:val="fr-FR" w:eastAsia="ja-JP"/>
        </w:rPr>
        <w:t>2 novembre 20</w:t>
      </w:r>
      <w:r w:rsidR="00097F51" w:rsidRPr="008651D1">
        <w:rPr>
          <w:lang w:val="fr-FR" w:eastAsia="ja-JP"/>
        </w:rPr>
        <w:t>14</w:t>
      </w:r>
      <w:r w:rsidRPr="008651D1">
        <w:rPr>
          <w:lang w:val="fr-FR"/>
        </w:rPr>
        <w:t xml:space="preserve">. </w:t>
      </w:r>
      <w:r w:rsidR="00097F51" w:rsidRPr="008651D1">
        <w:rPr>
          <w:lang w:val="fr-FR"/>
        </w:rPr>
        <w:t xml:space="preserve"> La journée spéciale consacrée aux points de l</w:t>
      </w:r>
      <w:r w:rsidR="00016C98" w:rsidRPr="008651D1">
        <w:rPr>
          <w:lang w:val="fr-FR"/>
        </w:rPr>
        <w:t>’</w:t>
      </w:r>
      <w:r w:rsidR="00097F51" w:rsidRPr="008651D1">
        <w:rPr>
          <w:lang w:val="fr-FR"/>
        </w:rPr>
        <w:t>ordre du jour intitulés</w:t>
      </w:r>
      <w:r w:rsidR="007C42CA" w:rsidRPr="008651D1">
        <w:rPr>
          <w:lang w:val="fr-FR"/>
        </w:rPr>
        <w:t xml:space="preserve"> </w:t>
      </w:r>
      <w:r w:rsidRPr="008651D1">
        <w:rPr>
          <w:lang w:val="fr-FR"/>
        </w:rPr>
        <w:t>“</w:t>
      </w:r>
      <w:r w:rsidR="00D05B03" w:rsidRPr="008651D1">
        <w:rPr>
          <w:lang w:val="fr-FR"/>
        </w:rPr>
        <w:t>Compte rendu des travaux sur l</w:t>
      </w:r>
      <w:r w:rsidR="00016C98" w:rsidRPr="008651D1">
        <w:rPr>
          <w:lang w:val="fr-FR"/>
        </w:rPr>
        <w:t>’</w:t>
      </w:r>
      <w:r w:rsidR="00D05B03" w:rsidRPr="008651D1">
        <w:rPr>
          <w:lang w:val="fr-FR"/>
        </w:rPr>
        <w:t>utilisation des techniques moléculaires dans le cadre de l</w:t>
      </w:r>
      <w:r w:rsidR="00016C98" w:rsidRPr="008651D1">
        <w:rPr>
          <w:lang w:val="fr-FR"/>
        </w:rPr>
        <w:t>’</w:t>
      </w:r>
      <w:r w:rsidR="00D05B03" w:rsidRPr="008651D1">
        <w:rPr>
          <w:lang w:val="fr-FR"/>
        </w:rPr>
        <w:t>examen</w:t>
      </w:r>
      <w:r w:rsidR="00EF4C62" w:rsidRPr="008651D1">
        <w:rPr>
          <w:lang w:val="fr-FR"/>
        </w:rPr>
        <w:t> </w:t>
      </w:r>
      <w:r w:rsidR="00D05B03" w:rsidRPr="008651D1">
        <w:rPr>
          <w:lang w:val="fr-FR"/>
        </w:rPr>
        <w:t>DHS</w:t>
      </w:r>
      <w:r w:rsidRPr="008651D1">
        <w:rPr>
          <w:lang w:val="fr-FR"/>
        </w:rPr>
        <w:t xml:space="preserve">” </w:t>
      </w:r>
      <w:r w:rsidR="007C42CA" w:rsidRPr="008651D1">
        <w:rPr>
          <w:lang w:val="fr-FR"/>
        </w:rPr>
        <w:t xml:space="preserve">et </w:t>
      </w:r>
      <w:r w:rsidRPr="008651D1">
        <w:rPr>
          <w:lang w:val="fr-FR"/>
        </w:rPr>
        <w:t>“</w:t>
      </w:r>
      <w:r w:rsidR="00D05B03" w:rsidRPr="008651D1">
        <w:rPr>
          <w:lang w:val="fr-FR"/>
        </w:rPr>
        <w:t>Utilisation des techniques moléculaires pour l</w:t>
      </w:r>
      <w:r w:rsidR="00016C98" w:rsidRPr="008651D1">
        <w:rPr>
          <w:lang w:val="fr-FR"/>
        </w:rPr>
        <w:t>’</w:t>
      </w:r>
      <w:r w:rsidR="00D05B03" w:rsidRPr="008651D1">
        <w:rPr>
          <w:lang w:val="fr-FR"/>
        </w:rPr>
        <w:t>identification des variétés</w:t>
      </w:r>
      <w:r w:rsidRPr="008651D1">
        <w:rPr>
          <w:lang w:val="fr-FR"/>
        </w:rPr>
        <w:t>” (</w:t>
      </w:r>
      <w:r w:rsidR="00097F51" w:rsidRPr="008651D1">
        <w:rPr>
          <w:lang w:val="fr-FR"/>
        </w:rPr>
        <w:t xml:space="preserve">la </w:t>
      </w:r>
      <w:r w:rsidR="00337523" w:rsidRPr="008651D1">
        <w:rPr>
          <w:lang w:val="fr-FR"/>
        </w:rPr>
        <w:t>“</w:t>
      </w:r>
      <w:r w:rsidR="00097F51" w:rsidRPr="008651D1">
        <w:rPr>
          <w:lang w:val="fr-FR"/>
        </w:rPr>
        <w:t>Journée des obtenteurs</w:t>
      </w:r>
      <w:r w:rsidR="00337523" w:rsidRPr="008651D1">
        <w:rPr>
          <w:lang w:val="fr-FR"/>
        </w:rPr>
        <w:t>”)</w:t>
      </w:r>
      <w:r w:rsidR="00097F51" w:rsidRPr="008651D1">
        <w:rPr>
          <w:lang w:val="fr-FR"/>
        </w:rPr>
        <w:t xml:space="preserve"> s</w:t>
      </w:r>
      <w:r w:rsidR="00016C98" w:rsidRPr="008651D1">
        <w:rPr>
          <w:lang w:val="fr-FR"/>
        </w:rPr>
        <w:t>’</w:t>
      </w:r>
      <w:r w:rsidR="00097F51" w:rsidRPr="008651D1">
        <w:rPr>
          <w:lang w:val="fr-FR"/>
        </w:rPr>
        <w:t>est tenue le 1</w:t>
      </w:r>
      <w:r w:rsidR="00C72A57" w:rsidRPr="008651D1">
        <w:rPr>
          <w:lang w:val="fr-FR"/>
        </w:rPr>
        <w:t>2 novembre 20</w:t>
      </w:r>
      <w:r w:rsidR="00097F51" w:rsidRPr="008651D1">
        <w:rPr>
          <w:lang w:val="fr-FR"/>
        </w:rPr>
        <w:t>14</w:t>
      </w:r>
      <w:r w:rsidRPr="008651D1">
        <w:rPr>
          <w:lang w:val="fr-FR"/>
        </w:rPr>
        <w:t>.</w:t>
      </w:r>
    </w:p>
    <w:p w:rsidR="00DF61EE" w:rsidRPr="008651D1" w:rsidRDefault="00DF61EE" w:rsidP="008651D1">
      <w:pPr>
        <w:rPr>
          <w:lang w:val="fr-FR"/>
        </w:rPr>
      </w:pPr>
    </w:p>
    <w:p w:rsidR="00DF61EE" w:rsidRPr="008651D1" w:rsidRDefault="00041D2D" w:rsidP="008651D1">
      <w:pPr>
        <w:autoSpaceDE w:val="0"/>
        <w:autoSpaceDN w:val="0"/>
        <w:adjustRightInd w:val="0"/>
        <w:rPr>
          <w:rFonts w:cs="Arial"/>
          <w:lang w:val="fr-FR" w:eastAsia="ja-JP"/>
        </w:rPr>
      </w:pPr>
      <w:r w:rsidRPr="008651D1">
        <w:rPr>
          <w:rFonts w:cs="Arial"/>
          <w:lang w:val="fr-FR" w:eastAsia="ja-JP"/>
        </w:rPr>
        <w:fldChar w:fldCharType="begin"/>
      </w:r>
      <w:r w:rsidRPr="008651D1">
        <w:rPr>
          <w:rFonts w:cs="Arial"/>
          <w:lang w:val="fr-FR" w:eastAsia="ja-JP"/>
        </w:rPr>
        <w:instrText xml:space="preserve"> AUTONUM  </w:instrText>
      </w:r>
      <w:r w:rsidRPr="008651D1">
        <w:rPr>
          <w:rFonts w:cs="Arial"/>
          <w:lang w:val="fr-FR" w:eastAsia="ja-JP"/>
        </w:rPr>
        <w:fldChar w:fldCharType="end"/>
      </w:r>
      <w:r w:rsidRPr="008651D1">
        <w:rPr>
          <w:rFonts w:cs="Arial"/>
          <w:lang w:val="fr-FR" w:eastAsia="ja-JP"/>
        </w:rPr>
        <w:tab/>
      </w:r>
      <w:r w:rsidR="0033342F" w:rsidRPr="008651D1">
        <w:rPr>
          <w:rFonts w:cs="Arial"/>
          <w:lang w:val="fr-FR" w:eastAsia="ja-JP"/>
        </w:rPr>
        <w:t>Les documents présentés au titre des points de l</w:t>
      </w:r>
      <w:r w:rsidR="00016C98" w:rsidRPr="008651D1">
        <w:rPr>
          <w:rFonts w:cs="Arial"/>
          <w:lang w:val="fr-FR" w:eastAsia="ja-JP"/>
        </w:rPr>
        <w:t>’</w:t>
      </w:r>
      <w:r w:rsidR="0033342F" w:rsidRPr="008651D1">
        <w:rPr>
          <w:rFonts w:cs="Arial"/>
          <w:lang w:val="fr-FR" w:eastAsia="ja-JP"/>
        </w:rPr>
        <w:t xml:space="preserve">ordre du jour de la </w:t>
      </w:r>
      <w:r w:rsidR="007C42CA" w:rsidRPr="008651D1">
        <w:rPr>
          <w:rFonts w:cs="Arial"/>
          <w:lang w:val="fr-FR" w:eastAsia="ja-JP"/>
        </w:rPr>
        <w:t>quatorzième</w:t>
      </w:r>
      <w:r w:rsidR="0033342F" w:rsidRPr="008651D1">
        <w:rPr>
          <w:rFonts w:cs="Arial"/>
          <w:lang w:val="fr-FR" w:eastAsia="ja-JP"/>
        </w:rPr>
        <w:t> session du BMT sont les suivants :</w:t>
      </w:r>
    </w:p>
    <w:p w:rsidR="00DF61EE" w:rsidRPr="008651D1" w:rsidRDefault="00DF61EE" w:rsidP="008651D1">
      <w:pPr>
        <w:autoSpaceDE w:val="0"/>
        <w:autoSpaceDN w:val="0"/>
        <w:adjustRightInd w:val="0"/>
        <w:rPr>
          <w:rFonts w:cs="Arial"/>
          <w:lang w:val="fr-FR" w:eastAsia="ja-JP"/>
        </w:rPr>
      </w:pPr>
    </w:p>
    <w:p w:rsidR="00990AC1" w:rsidRDefault="00990AC1" w:rsidP="008651D1">
      <w:pPr>
        <w:ind w:left="567"/>
        <w:rPr>
          <w:rFonts w:cs="Arial"/>
          <w:i/>
          <w:lang w:val="fr-FR"/>
        </w:rPr>
      </w:pPr>
      <w:r w:rsidRPr="00990AC1">
        <w:rPr>
          <w:rFonts w:cs="Arial"/>
          <w:i/>
          <w:lang w:val="fr-FR"/>
        </w:rPr>
        <w:t>Comptes rendus des faits nouveaux survenus au sein de l’UPOV et concernant les techniques biochimiques et moléculaires</w:t>
      </w:r>
    </w:p>
    <w:p w:rsidR="00DF61EE" w:rsidRPr="00990AC1" w:rsidRDefault="00F449CD" w:rsidP="008651D1">
      <w:pPr>
        <w:ind w:left="567"/>
        <w:rPr>
          <w:rFonts w:cs="Arial"/>
          <w:i/>
          <w:lang w:val="fr-CH" w:eastAsia="ja-JP"/>
        </w:rPr>
      </w:pPr>
      <w:bookmarkStart w:id="14" w:name="_Toc410822405"/>
      <w:r w:rsidRPr="00990AC1">
        <w:rPr>
          <w:rFonts w:cs="Arial"/>
          <w:i/>
          <w:lang w:val="fr-CH"/>
        </w:rPr>
        <w:t>(</w:t>
      </w:r>
      <w:r w:rsidR="00C72A57" w:rsidRPr="00990AC1">
        <w:rPr>
          <w:rFonts w:cs="Arial"/>
          <w:i/>
          <w:lang w:val="fr-CH"/>
        </w:rPr>
        <w:t>document</w:t>
      </w:r>
      <w:r w:rsidR="007008CF" w:rsidRPr="00990AC1">
        <w:rPr>
          <w:rFonts w:cs="Arial"/>
          <w:i/>
          <w:lang w:val="fr-CH"/>
        </w:rPr>
        <w:t> </w:t>
      </w:r>
      <w:r w:rsidR="00C72A57" w:rsidRPr="00990AC1">
        <w:rPr>
          <w:rFonts w:cs="Arial"/>
          <w:i/>
          <w:lang w:val="fr-CH"/>
        </w:rPr>
        <w:t>BM</w:t>
      </w:r>
      <w:r w:rsidR="00337523" w:rsidRPr="00990AC1">
        <w:rPr>
          <w:rFonts w:cs="Arial"/>
          <w:i/>
          <w:lang w:val="fr-CH"/>
        </w:rPr>
        <w:t>T/14/2</w:t>
      </w:r>
      <w:r w:rsidRPr="00990AC1">
        <w:rPr>
          <w:rFonts w:cs="Arial"/>
          <w:i/>
          <w:lang w:val="fr-CH" w:eastAsia="ja-JP"/>
        </w:rPr>
        <w:t> </w:t>
      </w:r>
      <w:r w:rsidR="00596251" w:rsidRPr="00990AC1">
        <w:rPr>
          <w:rFonts w:cs="Arial"/>
          <w:i/>
          <w:lang w:val="fr-CH" w:eastAsia="ja-JP"/>
        </w:rPr>
        <w:t>Rev</w:t>
      </w:r>
      <w:r w:rsidR="00337523" w:rsidRPr="00990AC1">
        <w:rPr>
          <w:rFonts w:cs="Arial"/>
          <w:i/>
          <w:lang w:val="fr-CH"/>
        </w:rPr>
        <w:t>.)</w:t>
      </w:r>
      <w:bookmarkEnd w:id="14"/>
    </w:p>
    <w:p w:rsidR="00DF61EE" w:rsidRPr="00990AC1" w:rsidRDefault="00DF61EE" w:rsidP="008651D1">
      <w:pPr>
        <w:rPr>
          <w:rFonts w:cs="Arial"/>
          <w:i/>
          <w:lang w:val="fr-CH" w:eastAsia="ja-JP"/>
        </w:rPr>
      </w:pPr>
    </w:p>
    <w:p w:rsidR="00DF61EE" w:rsidRPr="008651D1" w:rsidRDefault="001B485F" w:rsidP="008651D1">
      <w:pPr>
        <w:ind w:left="540"/>
        <w:rPr>
          <w:rFonts w:cs="Arial"/>
          <w:i/>
          <w:lang w:val="fr-FR"/>
        </w:rPr>
      </w:pPr>
      <w:bookmarkStart w:id="15" w:name="_Toc410822406"/>
      <w:r w:rsidRPr="008651D1">
        <w:rPr>
          <w:rFonts w:cs="Arial"/>
          <w:i/>
          <w:lang w:val="fr-FR"/>
        </w:rPr>
        <w:t>Exposés succincts sur les faits nouveaux survenus en matière de techniques biochimiques et moléculaires, présentés par les spécialistes de l</w:t>
      </w:r>
      <w:r w:rsidR="00016C98" w:rsidRPr="008651D1">
        <w:rPr>
          <w:rFonts w:cs="Arial"/>
          <w:i/>
          <w:lang w:val="fr-FR"/>
        </w:rPr>
        <w:t>’</w:t>
      </w:r>
      <w:r w:rsidRPr="008651D1">
        <w:rPr>
          <w:rFonts w:cs="Arial"/>
          <w:i/>
          <w:lang w:val="fr-FR"/>
        </w:rPr>
        <w:t>examen</w:t>
      </w:r>
      <w:r w:rsidR="00DE6D2B" w:rsidRPr="008651D1">
        <w:rPr>
          <w:rFonts w:cs="Arial"/>
          <w:i/>
          <w:lang w:val="fr-FR"/>
        </w:rPr>
        <w:t> </w:t>
      </w:r>
      <w:r w:rsidRPr="008651D1">
        <w:rPr>
          <w:rFonts w:cs="Arial"/>
          <w:i/>
          <w:lang w:val="fr-FR"/>
        </w:rPr>
        <w:t>DHS, des spécialistes des techniques biochimiques et moléculaires, des obtenteurs et les organisations internationales concernées</w:t>
      </w:r>
      <w:bookmarkEnd w:id="15"/>
      <w:r w:rsidR="00E5782A" w:rsidRPr="008651D1">
        <w:rPr>
          <w:rFonts w:cs="Arial"/>
          <w:i/>
          <w:lang w:val="fr-FR"/>
        </w:rPr>
        <w:t xml:space="preserve"> </w:t>
      </w:r>
      <w:r w:rsidR="00337523" w:rsidRPr="008651D1">
        <w:rPr>
          <w:rFonts w:cs="Arial"/>
          <w:i/>
          <w:lang w:val="fr-FR"/>
        </w:rPr>
        <w:t xml:space="preserve">(document BMT/14/15 </w:t>
      </w:r>
      <w:r w:rsidR="0075779C" w:rsidRPr="008651D1">
        <w:rPr>
          <w:rFonts w:cs="Arial"/>
          <w:i/>
          <w:lang w:val="fr-FR"/>
        </w:rPr>
        <w:t>Annexe</w:t>
      </w:r>
      <w:r w:rsidR="00DE6D2B" w:rsidRPr="008651D1">
        <w:rPr>
          <w:rFonts w:cs="Arial"/>
          <w:i/>
          <w:lang w:val="fr-FR"/>
        </w:rPr>
        <w:t> </w:t>
      </w:r>
      <w:r w:rsidR="00337523" w:rsidRPr="008651D1">
        <w:rPr>
          <w:rFonts w:cs="Arial"/>
          <w:i/>
          <w:lang w:val="fr-FR"/>
        </w:rPr>
        <w:t>I</w:t>
      </w:r>
      <w:r w:rsidRPr="008651D1">
        <w:rPr>
          <w:rFonts w:cs="Arial"/>
          <w:i/>
          <w:lang w:val="fr-FR"/>
        </w:rPr>
        <w:t> :</w:t>
      </w:r>
      <w:r w:rsidR="00337523" w:rsidRPr="008651D1">
        <w:rPr>
          <w:rFonts w:cs="Arial"/>
          <w:i/>
          <w:lang w:val="fr-FR"/>
        </w:rPr>
        <w:t xml:space="preserve"> France, Annex</w:t>
      </w:r>
      <w:r w:rsidRPr="008651D1">
        <w:rPr>
          <w:rFonts w:cs="Arial"/>
          <w:i/>
          <w:lang w:val="fr-FR"/>
        </w:rPr>
        <w:t>e</w:t>
      </w:r>
      <w:r w:rsidR="00DE6D2B" w:rsidRPr="008651D1">
        <w:rPr>
          <w:rFonts w:cs="Arial"/>
          <w:i/>
          <w:lang w:val="fr-FR"/>
        </w:rPr>
        <w:t> </w:t>
      </w:r>
      <w:r w:rsidR="00337523" w:rsidRPr="008651D1">
        <w:rPr>
          <w:rFonts w:cs="Arial"/>
          <w:i/>
          <w:lang w:val="fr-FR"/>
        </w:rPr>
        <w:t>II</w:t>
      </w:r>
      <w:r w:rsidRPr="008651D1">
        <w:rPr>
          <w:rFonts w:cs="Arial"/>
          <w:i/>
          <w:lang w:val="fr-FR"/>
        </w:rPr>
        <w:t> :</w:t>
      </w:r>
      <w:r w:rsidR="00337523" w:rsidRPr="008651D1">
        <w:rPr>
          <w:rFonts w:cs="Arial"/>
          <w:i/>
          <w:lang w:val="fr-FR"/>
        </w:rPr>
        <w:t xml:space="preserve"> </w:t>
      </w:r>
      <w:r w:rsidRPr="008651D1">
        <w:rPr>
          <w:rFonts w:cs="Arial"/>
          <w:i/>
          <w:lang w:val="fr-FR"/>
        </w:rPr>
        <w:t>États</w:t>
      </w:r>
      <w:r w:rsidR="00DC14F9" w:rsidRPr="008651D1">
        <w:rPr>
          <w:rFonts w:cs="Arial"/>
          <w:i/>
          <w:lang w:val="fr-FR"/>
        </w:rPr>
        <w:noBreakHyphen/>
      </w:r>
      <w:r w:rsidR="00DC14F9" w:rsidRPr="008651D1">
        <w:rPr>
          <w:rFonts w:cs="Arial"/>
          <w:i/>
          <w:lang w:val="fr-FR"/>
        </w:rPr>
        <w:noBreakHyphen/>
      </w:r>
      <w:r w:rsidRPr="008651D1">
        <w:rPr>
          <w:rFonts w:cs="Arial"/>
          <w:i/>
          <w:lang w:val="fr-FR"/>
        </w:rPr>
        <w:t>Unis d</w:t>
      </w:r>
      <w:r w:rsidR="00016C98" w:rsidRPr="008651D1">
        <w:rPr>
          <w:rFonts w:cs="Arial"/>
          <w:i/>
          <w:lang w:val="fr-FR"/>
        </w:rPr>
        <w:t>’</w:t>
      </w:r>
      <w:r w:rsidRPr="008651D1">
        <w:rPr>
          <w:rFonts w:cs="Arial"/>
          <w:i/>
          <w:lang w:val="fr-FR"/>
        </w:rPr>
        <w:t>Amérique</w:t>
      </w:r>
      <w:r w:rsidR="00337523" w:rsidRPr="008651D1">
        <w:rPr>
          <w:rFonts w:cs="Arial"/>
          <w:i/>
          <w:lang w:val="fr-FR"/>
        </w:rPr>
        <w:t>, Annex</w:t>
      </w:r>
      <w:r w:rsidRPr="008651D1">
        <w:rPr>
          <w:rFonts w:cs="Arial"/>
          <w:i/>
          <w:lang w:val="fr-FR"/>
        </w:rPr>
        <w:t>e</w:t>
      </w:r>
      <w:r w:rsidR="00DE6D2B" w:rsidRPr="008651D1">
        <w:rPr>
          <w:rFonts w:cs="Arial"/>
          <w:i/>
          <w:lang w:val="fr-FR"/>
        </w:rPr>
        <w:t> </w:t>
      </w:r>
      <w:r w:rsidR="00337523" w:rsidRPr="008651D1">
        <w:rPr>
          <w:rFonts w:cs="Arial"/>
          <w:i/>
          <w:lang w:val="fr-FR"/>
        </w:rPr>
        <w:t>III</w:t>
      </w:r>
      <w:r w:rsidRPr="008651D1">
        <w:rPr>
          <w:rFonts w:cs="Arial"/>
          <w:i/>
          <w:lang w:val="fr-FR"/>
        </w:rPr>
        <w:t> :</w:t>
      </w:r>
      <w:r w:rsidR="00337523" w:rsidRPr="008651D1">
        <w:rPr>
          <w:rFonts w:cs="Arial"/>
          <w:i/>
          <w:lang w:val="fr-FR"/>
        </w:rPr>
        <w:t xml:space="preserve"> Iran (</w:t>
      </w:r>
      <w:r w:rsidRPr="008651D1">
        <w:rPr>
          <w:rFonts w:cs="Arial"/>
          <w:i/>
          <w:lang w:val="fr-FR"/>
        </w:rPr>
        <w:t>République islamique d</w:t>
      </w:r>
      <w:r w:rsidR="00016C98" w:rsidRPr="008651D1">
        <w:rPr>
          <w:rFonts w:cs="Arial"/>
          <w:i/>
          <w:lang w:val="fr-FR"/>
        </w:rPr>
        <w:t>’</w:t>
      </w:r>
      <w:r w:rsidR="00337523" w:rsidRPr="008651D1">
        <w:rPr>
          <w:rFonts w:cs="Arial"/>
          <w:i/>
          <w:lang w:val="fr-FR"/>
        </w:rPr>
        <w:t>)</w:t>
      </w:r>
      <w:r w:rsidR="007008CF">
        <w:rPr>
          <w:rFonts w:cs="Arial"/>
          <w:i/>
          <w:lang w:val="fr-FR"/>
        </w:rPr>
        <w:t>)</w:t>
      </w:r>
    </w:p>
    <w:p w:rsidR="00DF61EE" w:rsidRPr="008651D1" w:rsidRDefault="00DF61EE" w:rsidP="008651D1">
      <w:pPr>
        <w:rPr>
          <w:rFonts w:cs="Arial"/>
          <w:i/>
          <w:lang w:val="fr-FR" w:eastAsia="ja-JP"/>
        </w:rPr>
      </w:pPr>
    </w:p>
    <w:p w:rsidR="00C72A57" w:rsidRPr="008651D1" w:rsidRDefault="001B485F" w:rsidP="008651D1">
      <w:pPr>
        <w:keepNext/>
        <w:ind w:left="540" w:firstLine="27"/>
        <w:rPr>
          <w:rFonts w:cs="Arial"/>
          <w:i/>
          <w:lang w:val="fr-FR"/>
        </w:rPr>
      </w:pPr>
      <w:bookmarkStart w:id="16" w:name="_Toc410822407"/>
      <w:r w:rsidRPr="008651D1">
        <w:rPr>
          <w:rFonts w:cs="Arial"/>
          <w:i/>
          <w:lang w:val="fr-FR"/>
        </w:rPr>
        <w:t>Compte rendu des travaux sur l</w:t>
      </w:r>
      <w:r w:rsidR="00016C98" w:rsidRPr="008651D1">
        <w:rPr>
          <w:rFonts w:cs="Arial"/>
          <w:i/>
          <w:lang w:val="fr-FR"/>
        </w:rPr>
        <w:t>’</w:t>
      </w:r>
      <w:r w:rsidRPr="008651D1">
        <w:rPr>
          <w:rFonts w:cs="Arial"/>
          <w:i/>
          <w:lang w:val="fr-FR"/>
        </w:rPr>
        <w:t>utilisation des techniques moléculaires dans le cadre de l</w:t>
      </w:r>
      <w:r w:rsidR="00016C98" w:rsidRPr="008651D1">
        <w:rPr>
          <w:rFonts w:cs="Arial"/>
          <w:i/>
          <w:lang w:val="fr-FR"/>
        </w:rPr>
        <w:t>’</w:t>
      </w:r>
      <w:r w:rsidRPr="008651D1">
        <w:rPr>
          <w:rFonts w:cs="Arial"/>
          <w:i/>
          <w:lang w:val="fr-FR"/>
        </w:rPr>
        <w:t>examen DHS</w:t>
      </w:r>
      <w:bookmarkEnd w:id="16"/>
    </w:p>
    <w:p w:rsidR="00DF61EE" w:rsidRPr="008651D1" w:rsidRDefault="00DF61EE" w:rsidP="008651D1">
      <w:pPr>
        <w:keepNext/>
        <w:rPr>
          <w:rFonts w:cs="Arial"/>
          <w:i/>
          <w:lang w:val="fr-FR" w:eastAsia="ja-JP"/>
        </w:rPr>
      </w:pPr>
    </w:p>
    <w:p w:rsidR="00DF61EE" w:rsidRPr="00394AF7" w:rsidRDefault="00337523" w:rsidP="008651D1">
      <w:pPr>
        <w:keepNext/>
        <w:ind w:left="540"/>
        <w:rPr>
          <w:rFonts w:cs="Arial"/>
          <w:i/>
          <w:iCs/>
          <w:lang w:eastAsia="ja-JP"/>
        </w:rPr>
      </w:pPr>
      <w:r w:rsidRPr="00394AF7">
        <w:rPr>
          <w:rFonts w:cs="Arial"/>
          <w:i/>
          <w:iCs/>
        </w:rPr>
        <w:t xml:space="preserve">The Use of Reference Varieties in Varietal </w:t>
      </w:r>
      <w:proofErr w:type="gramStart"/>
      <w:r w:rsidR="00995397" w:rsidRPr="00394AF7">
        <w:rPr>
          <w:rFonts w:cs="Arial"/>
          <w:i/>
          <w:iCs/>
        </w:rPr>
        <w:t>Distinctness</w:t>
      </w:r>
      <w:r w:rsidR="00DE6D2B" w:rsidRPr="00394AF7">
        <w:rPr>
          <w:rFonts w:cs="Arial"/>
          <w:i/>
          <w:iCs/>
        </w:rPr>
        <w:t> </w:t>
      </w:r>
      <w:r w:rsidR="00995397" w:rsidRPr="00394AF7">
        <w:rPr>
          <w:rFonts w:cs="Arial"/>
          <w:i/>
          <w:iCs/>
        </w:rPr>
        <w:t>:</w:t>
      </w:r>
      <w:proofErr w:type="gramEnd"/>
      <w:r w:rsidRPr="00394AF7">
        <w:rPr>
          <w:rFonts w:cs="Arial"/>
          <w:i/>
          <w:iCs/>
        </w:rPr>
        <w:t xml:space="preserve"> An Approach under Investigation in the</w:t>
      </w:r>
      <w:r w:rsidRPr="00394AF7">
        <w:rPr>
          <w:rFonts w:cs="Arial"/>
          <w:i/>
          <w:iCs/>
          <w:lang w:eastAsia="ja-JP"/>
        </w:rPr>
        <w:t xml:space="preserve"> </w:t>
      </w:r>
      <w:r w:rsidRPr="00394AF7">
        <w:rPr>
          <w:rFonts w:cs="Arial"/>
          <w:i/>
          <w:iCs/>
        </w:rPr>
        <w:t>United States of America for Potential Application in Plant Variety Protection</w:t>
      </w:r>
    </w:p>
    <w:p w:rsidR="00DF61EE" w:rsidRPr="008651D1" w:rsidRDefault="00E5782A" w:rsidP="008651D1">
      <w:pPr>
        <w:keepNext/>
        <w:ind w:left="540"/>
        <w:rPr>
          <w:rFonts w:cs="Arial"/>
          <w:i/>
          <w:iCs/>
          <w:lang w:val="fr-FR"/>
        </w:rPr>
      </w:pPr>
      <w:r w:rsidRPr="008651D1">
        <w:rPr>
          <w:rFonts w:cs="Arial"/>
          <w:i/>
          <w:iCs/>
          <w:lang w:val="fr-FR" w:eastAsia="ja-JP"/>
        </w:rPr>
        <w:t>(</w:t>
      </w:r>
      <w:r w:rsidR="00337523" w:rsidRPr="008651D1">
        <w:rPr>
          <w:rFonts w:cs="Arial"/>
          <w:i/>
          <w:iCs/>
          <w:lang w:val="fr-FR"/>
        </w:rPr>
        <w:t>document</w:t>
      </w:r>
      <w:r w:rsidR="007C42CA" w:rsidRPr="008651D1">
        <w:rPr>
          <w:rFonts w:cs="Arial"/>
          <w:i/>
          <w:iCs/>
          <w:lang w:val="fr-FR"/>
        </w:rPr>
        <w:t>s</w:t>
      </w:r>
      <w:r w:rsidR="00337523" w:rsidRPr="008651D1">
        <w:rPr>
          <w:rFonts w:cs="Arial"/>
          <w:i/>
          <w:iCs/>
          <w:lang w:val="fr-FR"/>
        </w:rPr>
        <w:t xml:space="preserve"> BMT/14/5</w:t>
      </w:r>
      <w:r w:rsidR="00596251" w:rsidRPr="008651D1">
        <w:rPr>
          <w:rFonts w:cs="Arial"/>
          <w:i/>
          <w:iCs/>
          <w:lang w:val="fr-FR" w:eastAsia="ja-JP"/>
        </w:rPr>
        <w:t xml:space="preserve"> </w:t>
      </w:r>
      <w:r w:rsidR="007C42CA" w:rsidRPr="008651D1">
        <w:rPr>
          <w:rFonts w:cs="Arial"/>
          <w:i/>
          <w:iCs/>
          <w:lang w:val="fr-FR" w:eastAsia="ja-JP"/>
        </w:rPr>
        <w:t>et</w:t>
      </w:r>
      <w:r w:rsidR="00596251" w:rsidRPr="008651D1">
        <w:rPr>
          <w:rFonts w:cs="Arial"/>
          <w:i/>
          <w:iCs/>
          <w:lang w:val="fr-FR" w:eastAsia="ja-JP"/>
        </w:rPr>
        <w:t xml:space="preserve"> BMT/14/5</w:t>
      </w:r>
      <w:r w:rsidR="00DE6D2B" w:rsidRPr="008651D1">
        <w:rPr>
          <w:rFonts w:cs="Arial"/>
          <w:i/>
          <w:iCs/>
          <w:lang w:val="fr-FR" w:eastAsia="ja-JP"/>
        </w:rPr>
        <w:t> </w:t>
      </w:r>
      <w:r w:rsidR="00596251" w:rsidRPr="008651D1">
        <w:rPr>
          <w:rFonts w:cs="Arial"/>
          <w:i/>
          <w:iCs/>
          <w:lang w:val="fr-FR" w:eastAsia="ja-JP"/>
        </w:rPr>
        <w:t>Add.</w:t>
      </w:r>
      <w:r w:rsidR="00337523" w:rsidRPr="008651D1">
        <w:rPr>
          <w:rFonts w:cs="Arial"/>
          <w:i/>
          <w:iCs/>
          <w:lang w:val="fr-FR"/>
        </w:rPr>
        <w:t>)</w:t>
      </w:r>
    </w:p>
    <w:p w:rsidR="00DF61EE" w:rsidRPr="008651D1" w:rsidRDefault="00DF61EE" w:rsidP="008651D1">
      <w:pPr>
        <w:rPr>
          <w:rFonts w:cs="Arial"/>
          <w:i/>
          <w:iCs/>
          <w:lang w:val="fr-FR" w:eastAsia="ja-JP"/>
        </w:rPr>
      </w:pPr>
    </w:p>
    <w:p w:rsidR="00C72A57" w:rsidRPr="00394AF7" w:rsidRDefault="00337523" w:rsidP="008651D1">
      <w:pPr>
        <w:ind w:left="540"/>
        <w:rPr>
          <w:rFonts w:cs="Arial"/>
          <w:i/>
          <w:iCs/>
          <w:lang w:eastAsia="ja-JP"/>
        </w:rPr>
      </w:pPr>
      <w:r w:rsidRPr="00394AF7">
        <w:rPr>
          <w:rFonts w:cs="Arial"/>
          <w:i/>
          <w:iCs/>
        </w:rPr>
        <w:t>Identification of Rice Varieties Using Genic Markers for Three DUS Characteristics</w:t>
      </w:r>
    </w:p>
    <w:p w:rsidR="00DF61EE" w:rsidRPr="008651D1" w:rsidRDefault="00337523" w:rsidP="008651D1">
      <w:pPr>
        <w:ind w:left="540"/>
        <w:rPr>
          <w:rFonts w:cs="Arial"/>
          <w:i/>
          <w:iCs/>
          <w:lang w:val="fr-FR"/>
        </w:rPr>
      </w:pPr>
      <w:r w:rsidRPr="008651D1">
        <w:rPr>
          <w:rFonts w:cs="Arial"/>
          <w:i/>
          <w:iCs/>
          <w:lang w:val="fr-FR"/>
        </w:rPr>
        <w:t>(document</w:t>
      </w:r>
      <w:r w:rsidR="007C42CA" w:rsidRPr="008651D1">
        <w:rPr>
          <w:rFonts w:cs="Arial"/>
          <w:i/>
          <w:iCs/>
          <w:lang w:val="fr-FR"/>
        </w:rPr>
        <w:t>s</w:t>
      </w:r>
      <w:r w:rsidRPr="008651D1">
        <w:rPr>
          <w:rFonts w:cs="Arial"/>
          <w:i/>
          <w:iCs/>
          <w:lang w:val="fr-FR"/>
        </w:rPr>
        <w:t xml:space="preserve"> BMT/14/8</w:t>
      </w:r>
      <w:r w:rsidR="00596251" w:rsidRPr="008651D1">
        <w:rPr>
          <w:rFonts w:cs="Arial"/>
          <w:i/>
          <w:iCs/>
          <w:lang w:val="fr-FR" w:eastAsia="ja-JP"/>
        </w:rPr>
        <w:t xml:space="preserve"> </w:t>
      </w:r>
      <w:r w:rsidR="007C42CA" w:rsidRPr="008651D1">
        <w:rPr>
          <w:rFonts w:cs="Arial"/>
          <w:i/>
          <w:iCs/>
          <w:lang w:val="fr-FR" w:eastAsia="ja-JP"/>
        </w:rPr>
        <w:t>et</w:t>
      </w:r>
      <w:r w:rsidR="00596251" w:rsidRPr="008651D1">
        <w:rPr>
          <w:rFonts w:cs="Arial"/>
          <w:i/>
          <w:iCs/>
          <w:lang w:val="fr-FR" w:eastAsia="ja-JP"/>
        </w:rPr>
        <w:t xml:space="preserve"> BMT/14/8</w:t>
      </w:r>
      <w:r w:rsidR="00DE6D2B" w:rsidRPr="008651D1">
        <w:rPr>
          <w:rFonts w:cs="Arial"/>
          <w:i/>
          <w:iCs/>
          <w:lang w:val="fr-FR" w:eastAsia="ja-JP"/>
        </w:rPr>
        <w:t> </w:t>
      </w:r>
      <w:r w:rsidR="00596251" w:rsidRPr="008651D1">
        <w:rPr>
          <w:rFonts w:cs="Arial"/>
          <w:i/>
          <w:iCs/>
          <w:lang w:val="fr-FR" w:eastAsia="ja-JP"/>
        </w:rPr>
        <w:t>Add.</w:t>
      </w:r>
      <w:r w:rsidRPr="008651D1">
        <w:rPr>
          <w:rFonts w:cs="Arial"/>
          <w:i/>
          <w:iCs/>
          <w:lang w:val="fr-FR"/>
        </w:rPr>
        <w:t>)</w:t>
      </w:r>
    </w:p>
    <w:p w:rsidR="00DF61EE" w:rsidRPr="008651D1" w:rsidRDefault="00DF61EE" w:rsidP="008651D1">
      <w:pPr>
        <w:ind w:left="567"/>
        <w:rPr>
          <w:rFonts w:cs="Arial"/>
          <w:i/>
          <w:iCs/>
          <w:lang w:val="fr-FR" w:eastAsia="ja-JP"/>
        </w:rPr>
      </w:pPr>
    </w:p>
    <w:p w:rsidR="00C72A57" w:rsidRPr="00394AF7" w:rsidRDefault="00337523" w:rsidP="008651D1">
      <w:pPr>
        <w:ind w:left="540"/>
        <w:rPr>
          <w:rFonts w:cs="Arial"/>
          <w:i/>
          <w:iCs/>
        </w:rPr>
      </w:pPr>
      <w:r w:rsidRPr="00394AF7">
        <w:rPr>
          <w:rFonts w:cs="Arial"/>
          <w:i/>
          <w:iCs/>
        </w:rPr>
        <w:t>The Use of Molecular markers (SNP) for Maize DUS Testing</w:t>
      </w:r>
    </w:p>
    <w:p w:rsidR="00DF61EE" w:rsidRPr="008651D1" w:rsidRDefault="00337523" w:rsidP="008651D1">
      <w:pPr>
        <w:ind w:left="540"/>
        <w:rPr>
          <w:rFonts w:cs="Arial"/>
          <w:i/>
          <w:iCs/>
          <w:lang w:val="fr-FR"/>
        </w:rPr>
      </w:pPr>
      <w:r w:rsidRPr="008651D1">
        <w:rPr>
          <w:rFonts w:cs="Arial"/>
          <w:i/>
          <w:iCs/>
          <w:lang w:val="fr-FR"/>
        </w:rPr>
        <w:t>(document</w:t>
      </w:r>
      <w:r w:rsidR="007C42CA" w:rsidRPr="008651D1">
        <w:rPr>
          <w:rFonts w:cs="Arial"/>
          <w:i/>
          <w:iCs/>
          <w:lang w:val="fr-FR"/>
        </w:rPr>
        <w:t>s</w:t>
      </w:r>
      <w:r w:rsidRPr="008651D1">
        <w:rPr>
          <w:rFonts w:cs="Arial"/>
          <w:i/>
          <w:iCs/>
          <w:lang w:val="fr-FR"/>
        </w:rPr>
        <w:t xml:space="preserve"> BMT/14/10</w:t>
      </w:r>
      <w:r w:rsidR="00596251" w:rsidRPr="008651D1">
        <w:rPr>
          <w:rFonts w:cs="Arial"/>
          <w:i/>
          <w:iCs/>
          <w:lang w:val="fr-FR" w:eastAsia="ja-JP"/>
        </w:rPr>
        <w:t xml:space="preserve"> </w:t>
      </w:r>
      <w:r w:rsidR="007C42CA" w:rsidRPr="008651D1">
        <w:rPr>
          <w:rFonts w:cs="Arial"/>
          <w:i/>
          <w:iCs/>
          <w:lang w:val="fr-FR" w:eastAsia="ja-JP"/>
        </w:rPr>
        <w:t>et</w:t>
      </w:r>
      <w:r w:rsidR="00596251" w:rsidRPr="008651D1">
        <w:rPr>
          <w:rFonts w:cs="Arial"/>
          <w:i/>
          <w:iCs/>
          <w:lang w:val="fr-FR" w:eastAsia="ja-JP"/>
        </w:rPr>
        <w:t xml:space="preserve"> BMT/14/10</w:t>
      </w:r>
      <w:r w:rsidR="00DE6D2B" w:rsidRPr="008651D1">
        <w:rPr>
          <w:rFonts w:cs="Arial"/>
          <w:i/>
          <w:iCs/>
          <w:lang w:val="fr-FR" w:eastAsia="ja-JP"/>
        </w:rPr>
        <w:t> </w:t>
      </w:r>
      <w:r w:rsidR="00596251" w:rsidRPr="008651D1">
        <w:rPr>
          <w:rFonts w:cs="Arial"/>
          <w:i/>
          <w:iCs/>
          <w:lang w:val="fr-FR" w:eastAsia="ja-JP"/>
        </w:rPr>
        <w:t>Add.</w:t>
      </w:r>
      <w:r w:rsidRPr="008651D1">
        <w:rPr>
          <w:rFonts w:cs="Arial"/>
          <w:i/>
          <w:iCs/>
          <w:lang w:val="fr-FR"/>
        </w:rPr>
        <w:t>)</w:t>
      </w:r>
    </w:p>
    <w:p w:rsidR="00DF61EE" w:rsidRPr="008651D1" w:rsidRDefault="00DF61EE" w:rsidP="008651D1">
      <w:pPr>
        <w:ind w:left="567"/>
        <w:rPr>
          <w:rFonts w:cs="Arial"/>
          <w:i/>
          <w:iCs/>
          <w:lang w:val="fr-FR" w:eastAsia="ja-JP"/>
        </w:rPr>
      </w:pPr>
    </w:p>
    <w:p w:rsidR="00DF61EE" w:rsidRPr="00394AF7" w:rsidRDefault="00337523" w:rsidP="008651D1">
      <w:pPr>
        <w:ind w:left="540"/>
        <w:rPr>
          <w:rFonts w:cs="Arial"/>
          <w:i/>
          <w:iCs/>
          <w:lang w:eastAsia="ja-JP"/>
        </w:rPr>
      </w:pPr>
      <w:r w:rsidRPr="00394AF7">
        <w:rPr>
          <w:rFonts w:cs="Arial"/>
          <w:i/>
          <w:iCs/>
        </w:rPr>
        <w:t>Potential Uses of Molecular Markers in Management of Rose Varieties for the PVP System</w:t>
      </w:r>
    </w:p>
    <w:p w:rsidR="00DF61EE" w:rsidRPr="008651D1" w:rsidRDefault="00337523" w:rsidP="008651D1">
      <w:pPr>
        <w:ind w:left="540"/>
        <w:rPr>
          <w:rFonts w:cs="Arial"/>
          <w:i/>
          <w:iCs/>
          <w:lang w:val="fr-FR"/>
        </w:rPr>
      </w:pPr>
      <w:r w:rsidRPr="008651D1">
        <w:rPr>
          <w:rFonts w:cs="Arial"/>
          <w:i/>
          <w:iCs/>
          <w:lang w:val="fr-FR"/>
        </w:rPr>
        <w:t>(document</w:t>
      </w:r>
      <w:r w:rsidR="007C42CA" w:rsidRPr="008651D1">
        <w:rPr>
          <w:rFonts w:cs="Arial"/>
          <w:i/>
          <w:iCs/>
          <w:lang w:val="fr-FR"/>
        </w:rPr>
        <w:t>s</w:t>
      </w:r>
      <w:r w:rsidRPr="008651D1">
        <w:rPr>
          <w:rFonts w:cs="Arial"/>
          <w:i/>
          <w:iCs/>
          <w:lang w:val="fr-FR"/>
        </w:rPr>
        <w:t xml:space="preserve"> BMT/14/12</w:t>
      </w:r>
      <w:r w:rsidR="00596251" w:rsidRPr="008651D1">
        <w:rPr>
          <w:rFonts w:cs="Arial"/>
          <w:i/>
          <w:iCs/>
          <w:lang w:val="fr-FR" w:eastAsia="ja-JP"/>
        </w:rPr>
        <w:t xml:space="preserve"> </w:t>
      </w:r>
      <w:r w:rsidR="007C42CA" w:rsidRPr="008651D1">
        <w:rPr>
          <w:rFonts w:cs="Arial"/>
          <w:i/>
          <w:iCs/>
          <w:lang w:val="fr-FR" w:eastAsia="ja-JP"/>
        </w:rPr>
        <w:t>et</w:t>
      </w:r>
      <w:r w:rsidR="00596251" w:rsidRPr="008651D1">
        <w:rPr>
          <w:rFonts w:cs="Arial"/>
          <w:i/>
          <w:iCs/>
          <w:lang w:val="fr-FR" w:eastAsia="ja-JP"/>
        </w:rPr>
        <w:t xml:space="preserve"> BMT/14/12</w:t>
      </w:r>
      <w:r w:rsidR="00DE6D2B" w:rsidRPr="008651D1">
        <w:rPr>
          <w:rFonts w:cs="Arial"/>
          <w:i/>
          <w:iCs/>
          <w:lang w:val="fr-FR" w:eastAsia="ja-JP"/>
        </w:rPr>
        <w:t> </w:t>
      </w:r>
      <w:r w:rsidR="00596251" w:rsidRPr="008651D1">
        <w:rPr>
          <w:rFonts w:cs="Arial"/>
          <w:i/>
          <w:iCs/>
          <w:lang w:val="fr-FR" w:eastAsia="ja-JP"/>
        </w:rPr>
        <w:t>Add.</w:t>
      </w:r>
      <w:r w:rsidRPr="008651D1">
        <w:rPr>
          <w:rFonts w:cs="Arial"/>
          <w:i/>
          <w:iCs/>
          <w:lang w:val="fr-FR"/>
        </w:rPr>
        <w:t>)</w:t>
      </w:r>
    </w:p>
    <w:p w:rsidR="00DF61EE" w:rsidRPr="008651D1" w:rsidRDefault="00DF61EE" w:rsidP="008651D1">
      <w:pPr>
        <w:ind w:left="567"/>
        <w:rPr>
          <w:rFonts w:cs="Arial"/>
          <w:i/>
          <w:iCs/>
          <w:lang w:val="fr-FR" w:eastAsia="ja-JP"/>
        </w:rPr>
      </w:pPr>
    </w:p>
    <w:p w:rsidR="00DF61EE" w:rsidRPr="00394AF7" w:rsidRDefault="00337523" w:rsidP="008651D1">
      <w:pPr>
        <w:ind w:left="540"/>
        <w:rPr>
          <w:rFonts w:cs="Arial"/>
          <w:i/>
          <w:iCs/>
          <w:lang w:eastAsia="ja-JP"/>
        </w:rPr>
      </w:pPr>
      <w:r w:rsidRPr="00394AF7">
        <w:rPr>
          <w:rFonts w:cs="Arial"/>
          <w:i/>
          <w:iCs/>
        </w:rPr>
        <w:t>Development of EST</w:t>
      </w:r>
      <w:r w:rsidR="00DC14F9" w:rsidRPr="00394AF7">
        <w:rPr>
          <w:rFonts w:cs="Arial"/>
          <w:i/>
          <w:iCs/>
        </w:rPr>
        <w:noBreakHyphen/>
      </w:r>
      <w:r w:rsidRPr="00394AF7">
        <w:rPr>
          <w:rFonts w:cs="Arial"/>
          <w:i/>
          <w:iCs/>
        </w:rPr>
        <w:t>SSR Markers of Lettuce and Variety Identification Using EST</w:t>
      </w:r>
      <w:r w:rsidR="00DC14F9" w:rsidRPr="00394AF7">
        <w:rPr>
          <w:rFonts w:cs="Arial"/>
          <w:i/>
          <w:iCs/>
        </w:rPr>
        <w:noBreakHyphen/>
      </w:r>
      <w:r w:rsidRPr="00394AF7">
        <w:rPr>
          <w:rFonts w:cs="Arial"/>
          <w:i/>
          <w:iCs/>
        </w:rPr>
        <w:t>SSR Markers</w:t>
      </w:r>
    </w:p>
    <w:p w:rsidR="00DF61EE" w:rsidRPr="00394AF7" w:rsidRDefault="00337523" w:rsidP="008651D1">
      <w:pPr>
        <w:ind w:left="540"/>
        <w:rPr>
          <w:rFonts w:cs="Arial"/>
          <w:i/>
          <w:iCs/>
        </w:rPr>
      </w:pPr>
      <w:r w:rsidRPr="00394AF7">
        <w:rPr>
          <w:rFonts w:cs="Arial"/>
          <w:i/>
          <w:iCs/>
        </w:rPr>
        <w:t>(document BMT/14/13</w:t>
      </w:r>
      <w:r w:rsidR="00DE6D2B" w:rsidRPr="00394AF7">
        <w:rPr>
          <w:rFonts w:cs="Arial"/>
          <w:i/>
          <w:iCs/>
          <w:lang w:eastAsia="ja-JP"/>
        </w:rPr>
        <w:t> </w:t>
      </w:r>
      <w:r w:rsidR="00596251" w:rsidRPr="00394AF7">
        <w:rPr>
          <w:rFonts w:cs="Arial"/>
          <w:i/>
          <w:iCs/>
          <w:lang w:eastAsia="ja-JP"/>
        </w:rPr>
        <w:t>Rev.</w:t>
      </w:r>
      <w:r w:rsidRPr="00394AF7">
        <w:rPr>
          <w:rFonts w:cs="Arial"/>
          <w:i/>
          <w:iCs/>
        </w:rPr>
        <w:t>)</w:t>
      </w:r>
    </w:p>
    <w:p w:rsidR="00D3509B" w:rsidRPr="00394AF7" w:rsidRDefault="00D3509B" w:rsidP="008651D1">
      <w:pPr>
        <w:jc w:val="left"/>
        <w:rPr>
          <w:rFonts w:cs="Arial"/>
          <w:i/>
          <w:iCs/>
        </w:rPr>
      </w:pPr>
      <w:r w:rsidRPr="00394AF7">
        <w:rPr>
          <w:rFonts w:cs="Arial"/>
          <w:i/>
          <w:iCs/>
        </w:rPr>
        <w:br w:type="page"/>
      </w:r>
    </w:p>
    <w:p w:rsidR="00C72A57" w:rsidRPr="00394AF7" w:rsidRDefault="00337523" w:rsidP="008651D1">
      <w:pPr>
        <w:ind w:left="540"/>
        <w:rPr>
          <w:rFonts w:cs="Arial"/>
          <w:i/>
          <w:iCs/>
          <w:lang w:eastAsia="ja-JP"/>
        </w:rPr>
      </w:pPr>
      <w:r w:rsidRPr="00394AF7">
        <w:rPr>
          <w:rFonts w:cs="Arial"/>
          <w:i/>
          <w:iCs/>
        </w:rPr>
        <w:lastRenderedPageBreak/>
        <w:t>Construction of DNA Profile Database of Strawberry Varieties Using SSR Markers</w:t>
      </w:r>
    </w:p>
    <w:p w:rsidR="00DF61EE" w:rsidRPr="00394AF7" w:rsidRDefault="00337523" w:rsidP="008651D1">
      <w:pPr>
        <w:ind w:left="540"/>
        <w:rPr>
          <w:rFonts w:cs="Arial"/>
          <w:i/>
          <w:iCs/>
        </w:rPr>
      </w:pPr>
      <w:r w:rsidRPr="00394AF7">
        <w:rPr>
          <w:rFonts w:cs="Arial"/>
          <w:i/>
          <w:iCs/>
        </w:rPr>
        <w:t>(</w:t>
      </w:r>
      <w:proofErr w:type="gramStart"/>
      <w:r w:rsidRPr="00394AF7">
        <w:rPr>
          <w:rFonts w:cs="Arial"/>
          <w:i/>
          <w:iCs/>
        </w:rPr>
        <w:t>document</w:t>
      </w:r>
      <w:proofErr w:type="gramEnd"/>
      <w:r w:rsidRPr="00394AF7">
        <w:rPr>
          <w:rFonts w:cs="Arial"/>
          <w:i/>
          <w:iCs/>
        </w:rPr>
        <w:t xml:space="preserve"> BMT/14/14</w:t>
      </w:r>
      <w:r w:rsidR="00DE6D2B" w:rsidRPr="00394AF7">
        <w:rPr>
          <w:rFonts w:cs="Arial"/>
          <w:i/>
          <w:iCs/>
          <w:lang w:eastAsia="ja-JP"/>
        </w:rPr>
        <w:t> </w:t>
      </w:r>
      <w:r w:rsidR="00596251" w:rsidRPr="00394AF7">
        <w:rPr>
          <w:rFonts w:cs="Arial"/>
          <w:i/>
          <w:iCs/>
          <w:lang w:eastAsia="ja-JP"/>
        </w:rPr>
        <w:t>Rev.</w:t>
      </w:r>
      <w:r w:rsidRPr="00394AF7">
        <w:rPr>
          <w:rFonts w:cs="Arial"/>
          <w:i/>
          <w:iCs/>
        </w:rPr>
        <w:t>)</w:t>
      </w:r>
    </w:p>
    <w:p w:rsidR="00DF61EE" w:rsidRPr="00394AF7" w:rsidRDefault="00DF61EE" w:rsidP="008651D1">
      <w:pPr>
        <w:ind w:left="567"/>
        <w:rPr>
          <w:rFonts w:cs="Arial"/>
          <w:i/>
          <w:iCs/>
          <w:lang w:eastAsia="ja-JP"/>
        </w:rPr>
      </w:pPr>
    </w:p>
    <w:p w:rsidR="00DF61EE" w:rsidRPr="00394AF7" w:rsidRDefault="00337523" w:rsidP="008651D1">
      <w:pPr>
        <w:ind w:left="540"/>
        <w:rPr>
          <w:rFonts w:cs="Arial"/>
          <w:i/>
          <w:iCs/>
          <w:lang w:eastAsia="ja-JP"/>
        </w:rPr>
      </w:pPr>
      <w:r w:rsidRPr="00394AF7">
        <w:rPr>
          <w:rFonts w:cs="Arial"/>
          <w:i/>
          <w:iCs/>
        </w:rPr>
        <w:t xml:space="preserve">Use of Molecular Marker Techniques for Selection of </w:t>
      </w:r>
      <w:r w:rsidR="00016C98" w:rsidRPr="00394AF7">
        <w:rPr>
          <w:rFonts w:cs="Arial"/>
          <w:i/>
          <w:iCs/>
        </w:rPr>
        <w:t>‘</w:t>
      </w:r>
      <w:r w:rsidRPr="00394AF7">
        <w:rPr>
          <w:rFonts w:cs="Arial"/>
          <w:i/>
          <w:iCs/>
        </w:rPr>
        <w:t>Similar Variety</w:t>
      </w:r>
      <w:r w:rsidR="00016C98" w:rsidRPr="00394AF7">
        <w:rPr>
          <w:rFonts w:cs="Arial"/>
          <w:i/>
          <w:iCs/>
        </w:rPr>
        <w:t>’</w:t>
      </w:r>
      <w:r w:rsidRPr="00394AF7">
        <w:rPr>
          <w:rFonts w:cs="Arial"/>
          <w:i/>
          <w:iCs/>
        </w:rPr>
        <w:t xml:space="preserve"> about </w:t>
      </w:r>
      <w:r w:rsidR="00016C98" w:rsidRPr="00394AF7">
        <w:rPr>
          <w:rFonts w:cs="Arial"/>
          <w:i/>
          <w:iCs/>
        </w:rPr>
        <w:t>‘</w:t>
      </w:r>
      <w:r w:rsidRPr="00394AF7">
        <w:rPr>
          <w:rFonts w:cs="Arial"/>
          <w:i/>
          <w:iCs/>
        </w:rPr>
        <w:t>Candidate Variety</w:t>
      </w:r>
      <w:r w:rsidR="00016C98" w:rsidRPr="00394AF7">
        <w:rPr>
          <w:rFonts w:cs="Arial"/>
          <w:i/>
          <w:iCs/>
        </w:rPr>
        <w:t>’</w:t>
      </w:r>
    </w:p>
    <w:p w:rsidR="00DF61EE" w:rsidRPr="00394AF7" w:rsidRDefault="00337523" w:rsidP="008651D1">
      <w:pPr>
        <w:ind w:left="540"/>
        <w:rPr>
          <w:rFonts w:cs="Arial"/>
          <w:i/>
          <w:iCs/>
        </w:rPr>
      </w:pPr>
      <w:r w:rsidRPr="00394AF7">
        <w:rPr>
          <w:rFonts w:cs="Arial"/>
          <w:i/>
          <w:iCs/>
        </w:rPr>
        <w:t>(</w:t>
      </w:r>
      <w:proofErr w:type="gramStart"/>
      <w:r w:rsidRPr="00394AF7">
        <w:rPr>
          <w:rFonts w:cs="Arial"/>
          <w:i/>
          <w:iCs/>
        </w:rPr>
        <w:t>document</w:t>
      </w:r>
      <w:proofErr w:type="gramEnd"/>
      <w:r w:rsidRPr="00394AF7">
        <w:rPr>
          <w:rFonts w:cs="Arial"/>
          <w:i/>
          <w:iCs/>
        </w:rPr>
        <w:t xml:space="preserve"> BMT/14/16</w:t>
      </w:r>
      <w:r w:rsidR="00596251" w:rsidRPr="00394AF7">
        <w:rPr>
          <w:rFonts w:cs="Arial"/>
          <w:i/>
          <w:iCs/>
          <w:lang w:eastAsia="ja-JP"/>
        </w:rPr>
        <w:t xml:space="preserve"> </w:t>
      </w:r>
      <w:proofErr w:type="spellStart"/>
      <w:r w:rsidR="00596251" w:rsidRPr="00394AF7">
        <w:rPr>
          <w:rFonts w:cs="Arial"/>
          <w:i/>
          <w:iCs/>
          <w:lang w:eastAsia="ja-JP"/>
        </w:rPr>
        <w:t>Rev2</w:t>
      </w:r>
      <w:proofErr w:type="spellEnd"/>
      <w:r w:rsidR="00596251" w:rsidRPr="00394AF7">
        <w:rPr>
          <w:rFonts w:cs="Arial"/>
          <w:i/>
          <w:iCs/>
          <w:lang w:eastAsia="ja-JP"/>
        </w:rPr>
        <w:t>.</w:t>
      </w:r>
    </w:p>
    <w:p w:rsidR="00D05B03" w:rsidRPr="00394AF7" w:rsidRDefault="00D05B03" w:rsidP="008651D1">
      <w:pPr>
        <w:ind w:left="540"/>
        <w:rPr>
          <w:rFonts w:cs="Arial"/>
          <w:i/>
          <w:lang w:eastAsia="ja-JP"/>
        </w:rPr>
      </w:pPr>
    </w:p>
    <w:p w:rsidR="00DF61EE" w:rsidRPr="00394AF7" w:rsidRDefault="00337523" w:rsidP="008651D1">
      <w:pPr>
        <w:ind w:left="540"/>
        <w:rPr>
          <w:rFonts w:cs="Arial"/>
          <w:i/>
          <w:iCs/>
        </w:rPr>
      </w:pPr>
      <w:r w:rsidRPr="00394AF7">
        <w:rPr>
          <w:rFonts w:cs="Arial"/>
          <w:i/>
          <w:iCs/>
        </w:rPr>
        <w:t>Improving Efficiency of DUS Testin</w:t>
      </w:r>
      <w:r w:rsidR="009D08D3" w:rsidRPr="00394AF7">
        <w:rPr>
          <w:rFonts w:cs="Arial"/>
          <w:i/>
          <w:iCs/>
        </w:rPr>
        <w:t>g of Perennial Ryegrass by Combi</w:t>
      </w:r>
      <w:r w:rsidRPr="00394AF7">
        <w:rPr>
          <w:rFonts w:cs="Arial"/>
          <w:i/>
          <w:iCs/>
        </w:rPr>
        <w:t>ning Morphological and</w:t>
      </w:r>
      <w:r w:rsidRPr="00394AF7">
        <w:rPr>
          <w:rFonts w:cs="Arial"/>
          <w:i/>
          <w:iCs/>
          <w:lang w:eastAsia="ja-JP"/>
        </w:rPr>
        <w:t xml:space="preserve"> </w:t>
      </w:r>
      <w:r w:rsidRPr="00394AF7">
        <w:rPr>
          <w:rFonts w:cs="Arial"/>
          <w:i/>
          <w:iCs/>
        </w:rPr>
        <w:t>Molecular Variety Distances (document</w:t>
      </w:r>
      <w:r w:rsidR="007C42CA" w:rsidRPr="00394AF7">
        <w:rPr>
          <w:rFonts w:cs="Arial"/>
          <w:i/>
          <w:iCs/>
        </w:rPr>
        <w:t>s</w:t>
      </w:r>
      <w:r w:rsidRPr="00394AF7">
        <w:rPr>
          <w:rFonts w:cs="Arial"/>
          <w:i/>
          <w:iCs/>
        </w:rPr>
        <w:t xml:space="preserve"> BMT/14/17</w:t>
      </w:r>
      <w:r w:rsidR="00596251" w:rsidRPr="00394AF7">
        <w:rPr>
          <w:rFonts w:cs="Arial"/>
          <w:i/>
          <w:iCs/>
          <w:lang w:eastAsia="ja-JP"/>
        </w:rPr>
        <w:t xml:space="preserve"> </w:t>
      </w:r>
      <w:proofErr w:type="gramStart"/>
      <w:r w:rsidR="007C42CA" w:rsidRPr="00394AF7">
        <w:rPr>
          <w:rFonts w:cs="Arial"/>
          <w:i/>
          <w:iCs/>
          <w:lang w:eastAsia="ja-JP"/>
        </w:rPr>
        <w:t>et</w:t>
      </w:r>
      <w:proofErr w:type="gramEnd"/>
      <w:r w:rsidR="00596251" w:rsidRPr="00394AF7">
        <w:rPr>
          <w:rFonts w:cs="Arial"/>
          <w:i/>
          <w:iCs/>
          <w:lang w:eastAsia="ja-JP"/>
        </w:rPr>
        <w:t xml:space="preserve"> BMT/14/17</w:t>
      </w:r>
      <w:r w:rsidR="00DE6D2B" w:rsidRPr="00394AF7">
        <w:rPr>
          <w:rFonts w:cs="Arial"/>
          <w:i/>
          <w:iCs/>
          <w:lang w:eastAsia="ja-JP"/>
        </w:rPr>
        <w:t> </w:t>
      </w:r>
      <w:r w:rsidR="00596251" w:rsidRPr="00394AF7">
        <w:rPr>
          <w:rFonts w:cs="Arial"/>
          <w:i/>
          <w:iCs/>
          <w:lang w:eastAsia="ja-JP"/>
        </w:rPr>
        <w:t>Add.</w:t>
      </w:r>
      <w:r w:rsidRPr="00394AF7">
        <w:rPr>
          <w:rFonts w:cs="Arial"/>
          <w:i/>
          <w:iCs/>
        </w:rPr>
        <w:t>)</w:t>
      </w:r>
    </w:p>
    <w:p w:rsidR="00DF61EE" w:rsidRPr="00394AF7" w:rsidRDefault="00DF61EE" w:rsidP="008651D1">
      <w:pPr>
        <w:ind w:left="567"/>
        <w:rPr>
          <w:rFonts w:cs="Arial"/>
          <w:i/>
          <w:iCs/>
          <w:lang w:eastAsia="ja-JP"/>
        </w:rPr>
      </w:pPr>
    </w:p>
    <w:p w:rsidR="00DF61EE" w:rsidRPr="00394AF7" w:rsidRDefault="007C42CA" w:rsidP="008651D1">
      <w:pPr>
        <w:ind w:left="567"/>
        <w:rPr>
          <w:rFonts w:cs="Arial"/>
          <w:i/>
          <w:iCs/>
        </w:rPr>
      </w:pPr>
      <w:r w:rsidRPr="00394AF7">
        <w:rPr>
          <w:rFonts w:cs="Arial"/>
          <w:i/>
          <w:iCs/>
          <w:lang w:eastAsia="ja-JP"/>
        </w:rPr>
        <w:t>A European Potato Database as Centralized Collection of Varieties of Common Knowledge</w:t>
      </w:r>
      <w:r w:rsidR="00D12FFE" w:rsidRPr="00394AF7">
        <w:rPr>
          <w:rFonts w:cs="Arial"/>
          <w:i/>
          <w:iCs/>
          <w:lang w:eastAsia="ja-JP"/>
        </w:rPr>
        <w:t xml:space="preserve"> </w:t>
      </w:r>
      <w:r w:rsidR="00337523" w:rsidRPr="00394AF7">
        <w:rPr>
          <w:rFonts w:cs="Arial"/>
          <w:i/>
          <w:iCs/>
        </w:rPr>
        <w:t>(document</w:t>
      </w:r>
      <w:r w:rsidRPr="00394AF7">
        <w:rPr>
          <w:rFonts w:cs="Arial"/>
          <w:i/>
          <w:iCs/>
        </w:rPr>
        <w:t>s</w:t>
      </w:r>
      <w:r w:rsidR="00337523" w:rsidRPr="00394AF7">
        <w:rPr>
          <w:rFonts w:cs="Arial"/>
          <w:i/>
          <w:iCs/>
        </w:rPr>
        <w:t xml:space="preserve"> BMT/14/18</w:t>
      </w:r>
      <w:r w:rsidR="00596251" w:rsidRPr="00394AF7">
        <w:rPr>
          <w:rFonts w:cs="Arial"/>
          <w:i/>
          <w:iCs/>
          <w:lang w:eastAsia="ja-JP"/>
        </w:rPr>
        <w:t xml:space="preserve"> </w:t>
      </w:r>
      <w:proofErr w:type="gramStart"/>
      <w:r w:rsidR="00DF61EE" w:rsidRPr="00394AF7">
        <w:rPr>
          <w:rFonts w:cs="Arial"/>
          <w:i/>
          <w:iCs/>
          <w:lang w:eastAsia="ja-JP"/>
        </w:rPr>
        <w:t>et</w:t>
      </w:r>
      <w:proofErr w:type="gramEnd"/>
      <w:r w:rsidR="00596251" w:rsidRPr="00394AF7">
        <w:rPr>
          <w:rFonts w:cs="Arial"/>
          <w:i/>
          <w:iCs/>
          <w:lang w:eastAsia="ja-JP"/>
        </w:rPr>
        <w:t xml:space="preserve"> BMT/14/18</w:t>
      </w:r>
      <w:r w:rsidR="00DE6D2B" w:rsidRPr="00394AF7">
        <w:rPr>
          <w:rFonts w:cs="Arial"/>
          <w:i/>
          <w:iCs/>
          <w:lang w:eastAsia="ja-JP"/>
        </w:rPr>
        <w:t> </w:t>
      </w:r>
      <w:r w:rsidR="00596251" w:rsidRPr="00394AF7">
        <w:rPr>
          <w:rFonts w:cs="Arial"/>
          <w:i/>
          <w:iCs/>
          <w:lang w:eastAsia="ja-JP"/>
        </w:rPr>
        <w:t>Add.</w:t>
      </w:r>
      <w:r w:rsidR="00337523" w:rsidRPr="00394AF7">
        <w:rPr>
          <w:rFonts w:cs="Arial"/>
          <w:i/>
          <w:iCs/>
        </w:rPr>
        <w:t>)</w:t>
      </w:r>
    </w:p>
    <w:p w:rsidR="00DF61EE" w:rsidRPr="00394AF7" w:rsidRDefault="00DF61EE" w:rsidP="008651D1">
      <w:pPr>
        <w:ind w:left="567"/>
        <w:rPr>
          <w:rFonts w:cs="Arial"/>
          <w:i/>
          <w:iCs/>
          <w:lang w:eastAsia="ja-JP"/>
        </w:rPr>
      </w:pPr>
    </w:p>
    <w:p w:rsidR="00DF61EE" w:rsidRPr="00394AF7" w:rsidRDefault="00337523" w:rsidP="008651D1">
      <w:pPr>
        <w:ind w:left="540"/>
        <w:rPr>
          <w:rFonts w:cs="Arial"/>
          <w:i/>
          <w:lang w:eastAsia="ja-JP"/>
        </w:rPr>
      </w:pPr>
      <w:r w:rsidRPr="00394AF7">
        <w:rPr>
          <w:rFonts w:cs="Arial"/>
          <w:i/>
          <w:iCs/>
        </w:rPr>
        <w:t xml:space="preserve">Molecular Markers as Predictors for </w:t>
      </w:r>
      <w:r w:rsidR="00016C98" w:rsidRPr="00394AF7">
        <w:rPr>
          <w:rFonts w:cs="Arial"/>
          <w:i/>
          <w:iCs/>
        </w:rPr>
        <w:t>‘</w:t>
      </w:r>
      <w:r w:rsidRPr="00394AF7">
        <w:rPr>
          <w:rFonts w:cs="Arial"/>
          <w:i/>
          <w:iCs/>
        </w:rPr>
        <w:t>Traditional</w:t>
      </w:r>
      <w:r w:rsidR="00016C98" w:rsidRPr="00394AF7">
        <w:rPr>
          <w:rFonts w:cs="Arial"/>
          <w:i/>
          <w:iCs/>
        </w:rPr>
        <w:t>’</w:t>
      </w:r>
      <w:r w:rsidRPr="00394AF7">
        <w:rPr>
          <w:rFonts w:cs="Arial"/>
          <w:i/>
          <w:iCs/>
        </w:rPr>
        <w:t xml:space="preserve"> Characteristics (document BMT/14/19</w:t>
      </w:r>
      <w:r w:rsidR="00DE6D2B" w:rsidRPr="00394AF7">
        <w:rPr>
          <w:rFonts w:cs="Arial"/>
          <w:i/>
          <w:iCs/>
          <w:lang w:eastAsia="ja-JP"/>
        </w:rPr>
        <w:t> </w:t>
      </w:r>
      <w:r w:rsidR="00596251" w:rsidRPr="00394AF7">
        <w:rPr>
          <w:rFonts w:cs="Arial"/>
          <w:i/>
          <w:iCs/>
          <w:lang w:eastAsia="ja-JP"/>
        </w:rPr>
        <w:t>Rev.</w:t>
      </w:r>
      <w:r w:rsidRPr="00394AF7">
        <w:rPr>
          <w:rFonts w:cs="Arial"/>
          <w:i/>
          <w:iCs/>
        </w:rPr>
        <w:t>)</w:t>
      </w:r>
    </w:p>
    <w:p w:rsidR="00DF61EE" w:rsidRPr="00394AF7" w:rsidRDefault="00DF61EE" w:rsidP="008651D1">
      <w:pPr>
        <w:ind w:left="567"/>
        <w:rPr>
          <w:rFonts w:cs="Arial"/>
          <w:i/>
          <w:lang w:eastAsia="ja-JP"/>
        </w:rPr>
      </w:pPr>
    </w:p>
    <w:p w:rsidR="00DF61EE" w:rsidRPr="008651D1" w:rsidRDefault="001B485F" w:rsidP="008651D1">
      <w:pPr>
        <w:ind w:left="567"/>
        <w:rPr>
          <w:rFonts w:cs="Arial"/>
          <w:i/>
          <w:lang w:val="fr-FR" w:eastAsia="ja-JP"/>
        </w:rPr>
      </w:pPr>
      <w:bookmarkStart w:id="17" w:name="_Toc410822408"/>
      <w:r w:rsidRPr="008651D1">
        <w:rPr>
          <w:rFonts w:cs="Arial"/>
          <w:i/>
          <w:lang w:val="fr-FR"/>
        </w:rPr>
        <w:t>Directives internationales en matière de techniques moléculaires</w:t>
      </w:r>
      <w:r w:rsidR="00596251" w:rsidRPr="008651D1">
        <w:rPr>
          <w:rFonts w:cs="Arial"/>
          <w:i/>
          <w:lang w:val="fr-FR"/>
        </w:rPr>
        <w:t xml:space="preserve"> (document BMT/14/3)</w:t>
      </w:r>
      <w:bookmarkEnd w:id="17"/>
    </w:p>
    <w:p w:rsidR="00DF61EE" w:rsidRPr="008651D1" w:rsidRDefault="00DF61EE" w:rsidP="008651D1">
      <w:pPr>
        <w:ind w:left="567"/>
        <w:rPr>
          <w:rFonts w:cs="Arial"/>
          <w:i/>
          <w:lang w:val="fr-FR" w:eastAsia="ja-JP"/>
        </w:rPr>
      </w:pPr>
    </w:p>
    <w:p w:rsidR="00DF61EE" w:rsidRPr="008651D1" w:rsidRDefault="001B485F" w:rsidP="008651D1">
      <w:pPr>
        <w:ind w:left="567"/>
        <w:rPr>
          <w:rFonts w:cs="Arial"/>
          <w:i/>
          <w:lang w:val="fr-FR"/>
        </w:rPr>
      </w:pPr>
      <w:bookmarkStart w:id="18" w:name="_Toc410822409"/>
      <w:r w:rsidRPr="008651D1">
        <w:rPr>
          <w:rFonts w:cs="Arial"/>
          <w:i/>
          <w:lang w:val="fr-FR"/>
        </w:rPr>
        <w:t>Bases de données des descriptions variétales</w:t>
      </w:r>
      <w:r w:rsidR="00596251" w:rsidRPr="008651D1">
        <w:rPr>
          <w:rFonts w:cs="Arial"/>
          <w:i/>
          <w:lang w:val="fr-FR"/>
        </w:rPr>
        <w:t xml:space="preserve"> (document BMT/14/4)</w:t>
      </w:r>
      <w:bookmarkEnd w:id="18"/>
    </w:p>
    <w:p w:rsidR="00DF61EE" w:rsidRPr="008651D1" w:rsidRDefault="00DF61EE" w:rsidP="008651D1">
      <w:pPr>
        <w:ind w:left="567"/>
        <w:rPr>
          <w:rFonts w:cs="Arial"/>
          <w:i/>
          <w:iCs/>
          <w:lang w:val="fr-FR" w:eastAsia="ja-JP"/>
        </w:rPr>
      </w:pPr>
    </w:p>
    <w:p w:rsidR="00DF61EE" w:rsidRPr="00394AF7" w:rsidRDefault="00596251" w:rsidP="008651D1">
      <w:pPr>
        <w:ind w:left="540"/>
        <w:rPr>
          <w:rFonts w:cs="Arial"/>
          <w:i/>
          <w:iCs/>
          <w:lang w:eastAsia="ja-JP"/>
        </w:rPr>
      </w:pPr>
      <w:r w:rsidRPr="00394AF7">
        <w:rPr>
          <w:rFonts w:cs="Arial"/>
          <w:i/>
          <w:iCs/>
        </w:rPr>
        <w:t>Ownership and Use of DUS Samples and of DNA and DNA Data During and After the DUS Tests</w:t>
      </w:r>
      <w:r w:rsidRPr="00394AF7">
        <w:rPr>
          <w:rFonts w:cs="Arial"/>
          <w:i/>
          <w:iCs/>
          <w:lang w:eastAsia="ja-JP"/>
        </w:rPr>
        <w:t xml:space="preserve"> </w:t>
      </w:r>
      <w:r w:rsidR="00121AA6" w:rsidRPr="00394AF7">
        <w:rPr>
          <w:rFonts w:cs="Arial"/>
          <w:i/>
          <w:iCs/>
        </w:rPr>
        <w:t>(</w:t>
      </w:r>
      <w:r w:rsidR="00C72A57" w:rsidRPr="00394AF7">
        <w:rPr>
          <w:rFonts w:cs="Arial"/>
          <w:i/>
          <w:iCs/>
        </w:rPr>
        <w:t>document BM</w:t>
      </w:r>
      <w:r w:rsidRPr="00394AF7">
        <w:rPr>
          <w:rFonts w:cs="Arial"/>
          <w:i/>
          <w:iCs/>
        </w:rPr>
        <w:t>T/14/11)</w:t>
      </w:r>
    </w:p>
    <w:p w:rsidR="00DF61EE" w:rsidRPr="00394AF7" w:rsidRDefault="00DF61EE" w:rsidP="008651D1">
      <w:pPr>
        <w:ind w:left="567"/>
        <w:rPr>
          <w:rFonts w:cs="Arial"/>
          <w:i/>
          <w:iCs/>
          <w:lang w:eastAsia="ja-JP"/>
        </w:rPr>
      </w:pPr>
    </w:p>
    <w:p w:rsidR="00DF61EE" w:rsidRPr="008651D1" w:rsidRDefault="001B485F" w:rsidP="008651D1">
      <w:pPr>
        <w:ind w:left="567"/>
        <w:rPr>
          <w:rFonts w:cs="Arial"/>
          <w:i/>
          <w:lang w:val="fr-FR"/>
        </w:rPr>
      </w:pPr>
      <w:r w:rsidRPr="008651D1">
        <w:rPr>
          <w:rFonts w:cs="Arial"/>
          <w:i/>
          <w:iCs/>
          <w:lang w:val="fr-FR" w:eastAsia="ja-JP"/>
        </w:rPr>
        <w:t>Utilisation des techniques moléculaires pour l</w:t>
      </w:r>
      <w:r w:rsidR="00016C98" w:rsidRPr="008651D1">
        <w:rPr>
          <w:rFonts w:cs="Arial"/>
          <w:i/>
          <w:iCs/>
          <w:lang w:val="fr-FR" w:eastAsia="ja-JP"/>
        </w:rPr>
        <w:t>’</w:t>
      </w:r>
      <w:r w:rsidRPr="008651D1">
        <w:rPr>
          <w:rFonts w:cs="Arial"/>
          <w:i/>
          <w:iCs/>
          <w:lang w:val="fr-FR" w:eastAsia="ja-JP"/>
        </w:rPr>
        <w:t>appréciation de la notion de variété essentiellement dérivée</w:t>
      </w:r>
      <w:r w:rsidR="00DF61EE" w:rsidRPr="008651D1">
        <w:rPr>
          <w:rStyle w:val="FootnoteReference"/>
          <w:rFonts w:cs="Arial"/>
          <w:i/>
          <w:lang w:val="fr-FR"/>
        </w:rPr>
        <w:footnoteReference w:id="2"/>
      </w:r>
    </w:p>
    <w:p w:rsidR="00DF61EE" w:rsidRPr="008651D1" w:rsidRDefault="00DF61EE" w:rsidP="008651D1">
      <w:pPr>
        <w:rPr>
          <w:rFonts w:cs="Arial"/>
          <w:i/>
          <w:iCs/>
          <w:lang w:val="fr-FR" w:eastAsia="ja-JP"/>
        </w:rPr>
      </w:pPr>
    </w:p>
    <w:p w:rsidR="00DF61EE" w:rsidRPr="00394AF7" w:rsidRDefault="00596251" w:rsidP="008651D1">
      <w:pPr>
        <w:ind w:left="540"/>
        <w:rPr>
          <w:rFonts w:cs="Arial"/>
          <w:i/>
          <w:iCs/>
          <w:lang w:eastAsia="ja-JP"/>
        </w:rPr>
      </w:pPr>
      <w:r w:rsidRPr="00394AF7">
        <w:rPr>
          <w:rFonts w:cs="Arial"/>
          <w:i/>
          <w:iCs/>
        </w:rPr>
        <w:t>Identification of SNP Markers to aid Assessment of Essential Derivation in Maize</w:t>
      </w:r>
    </w:p>
    <w:p w:rsidR="00DF61EE" w:rsidRPr="008651D1" w:rsidRDefault="00596251" w:rsidP="008651D1">
      <w:pPr>
        <w:ind w:left="540"/>
        <w:rPr>
          <w:rFonts w:cs="Arial"/>
          <w:i/>
          <w:iCs/>
          <w:lang w:val="fr-FR"/>
        </w:rPr>
      </w:pPr>
      <w:r w:rsidRPr="008651D1">
        <w:rPr>
          <w:rFonts w:cs="Arial"/>
          <w:i/>
          <w:iCs/>
          <w:lang w:val="fr-FR"/>
        </w:rPr>
        <w:t>(</w:t>
      </w:r>
      <w:proofErr w:type="gramStart"/>
      <w:r w:rsidRPr="008651D1">
        <w:rPr>
          <w:rFonts w:cs="Arial"/>
          <w:i/>
          <w:iCs/>
          <w:lang w:val="fr-FR"/>
        </w:rPr>
        <w:t>document</w:t>
      </w:r>
      <w:proofErr w:type="gramEnd"/>
      <w:r w:rsidRPr="008651D1">
        <w:rPr>
          <w:rFonts w:cs="Arial"/>
          <w:i/>
          <w:iCs/>
          <w:lang w:val="fr-FR"/>
        </w:rPr>
        <w:t xml:space="preserve"> BMT/14/7</w:t>
      </w:r>
      <w:r w:rsidR="00DE6D2B" w:rsidRPr="008651D1">
        <w:rPr>
          <w:rFonts w:cs="Arial"/>
          <w:i/>
          <w:iCs/>
          <w:lang w:val="fr-FR"/>
        </w:rPr>
        <w:t> </w:t>
      </w:r>
      <w:r w:rsidRPr="008651D1">
        <w:rPr>
          <w:rFonts w:cs="Arial"/>
          <w:i/>
          <w:iCs/>
          <w:lang w:val="fr-FR"/>
        </w:rPr>
        <w:t>Rev.)</w:t>
      </w:r>
    </w:p>
    <w:p w:rsidR="007C42CA" w:rsidRPr="008651D1" w:rsidRDefault="007C42CA" w:rsidP="008651D1">
      <w:pPr>
        <w:rPr>
          <w:rFonts w:cs="Arial"/>
          <w:i/>
          <w:lang w:val="fr-FR" w:eastAsia="ja-JP"/>
        </w:rPr>
      </w:pPr>
    </w:p>
    <w:p w:rsidR="00DF61EE" w:rsidRPr="008651D1" w:rsidRDefault="001B485F" w:rsidP="008651D1">
      <w:pPr>
        <w:ind w:firstLine="567"/>
        <w:rPr>
          <w:rFonts w:cs="Arial"/>
          <w:i/>
          <w:lang w:val="fr-FR" w:eastAsia="ja-JP"/>
        </w:rPr>
      </w:pPr>
      <w:r w:rsidRPr="008651D1">
        <w:rPr>
          <w:rFonts w:cs="Arial"/>
          <w:i/>
          <w:lang w:val="fr-FR" w:eastAsia="ja-JP"/>
        </w:rPr>
        <w:t>Utilisation des techniques moléculaires pour l</w:t>
      </w:r>
      <w:r w:rsidR="00016C98" w:rsidRPr="008651D1">
        <w:rPr>
          <w:rFonts w:cs="Arial"/>
          <w:i/>
          <w:lang w:val="fr-FR" w:eastAsia="ja-JP"/>
        </w:rPr>
        <w:t>’</w:t>
      </w:r>
      <w:r w:rsidRPr="008651D1">
        <w:rPr>
          <w:rFonts w:cs="Arial"/>
          <w:i/>
          <w:lang w:val="fr-FR" w:eastAsia="ja-JP"/>
        </w:rPr>
        <w:t xml:space="preserve">identification des </w:t>
      </w:r>
      <w:proofErr w:type="spellStart"/>
      <w:r w:rsidRPr="008651D1">
        <w:rPr>
          <w:rFonts w:cs="Arial"/>
          <w:i/>
          <w:lang w:val="fr-FR" w:eastAsia="ja-JP"/>
        </w:rPr>
        <w:t>variétés</w:t>
      </w:r>
      <w:r w:rsidR="00D12FFE" w:rsidRPr="008651D1">
        <w:rPr>
          <w:rFonts w:cs="Arial"/>
          <w:i/>
          <w:vertAlign w:val="superscript"/>
          <w:lang w:val="fr-FR" w:eastAsia="ja-JP"/>
        </w:rPr>
        <w:t>1</w:t>
      </w:r>
      <w:proofErr w:type="spellEnd"/>
    </w:p>
    <w:p w:rsidR="00DF61EE" w:rsidRPr="008651D1" w:rsidRDefault="00DF61EE" w:rsidP="008651D1">
      <w:pPr>
        <w:rPr>
          <w:rFonts w:cs="Arial"/>
          <w:i/>
          <w:iCs/>
          <w:lang w:val="fr-FR" w:eastAsia="ja-JP"/>
        </w:rPr>
      </w:pPr>
    </w:p>
    <w:p w:rsidR="00DF61EE" w:rsidRPr="008651D1" w:rsidRDefault="00596251" w:rsidP="008651D1">
      <w:pPr>
        <w:tabs>
          <w:tab w:val="left" w:pos="540"/>
        </w:tabs>
        <w:ind w:left="540" w:firstLine="27"/>
        <w:rPr>
          <w:rFonts w:cs="Arial"/>
          <w:i/>
          <w:iCs/>
          <w:lang w:val="fr-FR"/>
        </w:rPr>
      </w:pPr>
      <w:r w:rsidRPr="00394AF7">
        <w:rPr>
          <w:rFonts w:cs="Arial"/>
          <w:i/>
          <w:iCs/>
        </w:rPr>
        <w:t xml:space="preserve">Use of DNA Variety Identification Technique for Measures </w:t>
      </w:r>
      <w:proofErr w:type="gramStart"/>
      <w:r w:rsidRPr="00394AF7">
        <w:rPr>
          <w:rFonts w:cs="Arial"/>
          <w:i/>
          <w:iCs/>
        </w:rPr>
        <w:t>Against</w:t>
      </w:r>
      <w:proofErr w:type="gramEnd"/>
      <w:r w:rsidRPr="00394AF7">
        <w:rPr>
          <w:rFonts w:cs="Arial"/>
          <w:i/>
          <w:iCs/>
        </w:rPr>
        <w:t xml:space="preserve"> the Infringement of Plant</w:t>
      </w:r>
      <w:r w:rsidRPr="00394AF7">
        <w:rPr>
          <w:rFonts w:cs="Arial"/>
          <w:i/>
          <w:iCs/>
          <w:lang w:eastAsia="ja-JP"/>
        </w:rPr>
        <w:t xml:space="preserve"> </w:t>
      </w:r>
      <w:r w:rsidRPr="00394AF7">
        <w:rPr>
          <w:rFonts w:cs="Arial"/>
          <w:i/>
          <w:iCs/>
        </w:rPr>
        <w:t>Breeders</w:t>
      </w:r>
      <w:r w:rsidR="00016C98" w:rsidRPr="00394AF7">
        <w:rPr>
          <w:rFonts w:cs="Arial"/>
          <w:i/>
          <w:iCs/>
        </w:rPr>
        <w:t>’</w:t>
      </w:r>
      <w:r w:rsidRPr="00394AF7">
        <w:rPr>
          <w:rFonts w:cs="Arial"/>
          <w:i/>
          <w:iCs/>
        </w:rPr>
        <w:t xml:space="preserve"> Rights in Japan (document</w:t>
      </w:r>
      <w:r w:rsidR="00D54EAB" w:rsidRPr="00394AF7">
        <w:rPr>
          <w:rFonts w:cs="Arial"/>
          <w:i/>
          <w:iCs/>
        </w:rPr>
        <w:t>s</w:t>
      </w:r>
      <w:r w:rsidRPr="00394AF7">
        <w:rPr>
          <w:rFonts w:cs="Arial"/>
          <w:i/>
          <w:iCs/>
        </w:rPr>
        <w:t xml:space="preserve"> BMT/14/6 </w:t>
      </w:r>
      <w:r w:rsidR="00D54EAB" w:rsidRPr="00394AF7">
        <w:rPr>
          <w:rFonts w:cs="Arial"/>
          <w:i/>
          <w:iCs/>
        </w:rPr>
        <w:t>et</w:t>
      </w:r>
      <w:r w:rsidRPr="00394AF7">
        <w:rPr>
          <w:rFonts w:cs="Arial"/>
          <w:i/>
          <w:iCs/>
        </w:rPr>
        <w:t xml:space="preserve"> BMT/14/6</w:t>
      </w:r>
      <w:r w:rsidR="00DE6D2B" w:rsidRPr="00394AF7">
        <w:rPr>
          <w:rFonts w:cs="Arial"/>
          <w:i/>
          <w:iCs/>
        </w:rPr>
        <w:t> </w:t>
      </w:r>
      <w:r w:rsidRPr="00394AF7">
        <w:rPr>
          <w:rFonts w:cs="Arial"/>
          <w:i/>
          <w:iCs/>
        </w:rPr>
        <w:t>Add.</w:t>
      </w:r>
      <w:r w:rsidR="00DE6D2B" w:rsidRPr="00394AF7">
        <w:rPr>
          <w:rFonts w:cs="Arial"/>
          <w:i/>
          <w:iCs/>
        </w:rPr>
        <w:t> </w:t>
      </w:r>
      <w:r w:rsidRPr="008651D1">
        <w:rPr>
          <w:rFonts w:cs="Arial"/>
          <w:i/>
          <w:iCs/>
          <w:lang w:val="fr-FR" w:eastAsia="ja-JP"/>
        </w:rPr>
        <w:t>Rev.</w:t>
      </w:r>
      <w:r w:rsidRPr="008651D1">
        <w:rPr>
          <w:rFonts w:cs="Arial"/>
          <w:i/>
          <w:iCs/>
          <w:lang w:val="fr-FR"/>
        </w:rPr>
        <w:t>)</w:t>
      </w:r>
    </w:p>
    <w:p w:rsidR="00DF61EE" w:rsidRPr="008651D1" w:rsidRDefault="00DF61EE" w:rsidP="008651D1">
      <w:pPr>
        <w:rPr>
          <w:rFonts w:cs="Arial"/>
          <w:i/>
          <w:iCs/>
          <w:lang w:val="fr-FR" w:eastAsia="ja-JP"/>
        </w:rPr>
      </w:pPr>
    </w:p>
    <w:p w:rsidR="00C72A57" w:rsidRPr="008651D1" w:rsidRDefault="00596251" w:rsidP="008651D1">
      <w:pPr>
        <w:ind w:firstLine="540"/>
        <w:rPr>
          <w:rFonts w:cs="Arial"/>
          <w:i/>
          <w:iCs/>
          <w:lang w:val="fr-FR"/>
        </w:rPr>
      </w:pPr>
      <w:proofErr w:type="spellStart"/>
      <w:r w:rsidRPr="008651D1">
        <w:rPr>
          <w:rFonts w:cs="Arial"/>
          <w:i/>
          <w:iCs/>
          <w:lang w:val="fr-FR"/>
        </w:rPr>
        <w:t>Determining</w:t>
      </w:r>
      <w:proofErr w:type="spellEnd"/>
      <w:r w:rsidRPr="008651D1">
        <w:rPr>
          <w:rFonts w:cs="Arial"/>
          <w:i/>
          <w:iCs/>
          <w:lang w:val="fr-FR"/>
        </w:rPr>
        <w:t xml:space="preserve"> a </w:t>
      </w:r>
      <w:proofErr w:type="spellStart"/>
      <w:r w:rsidRPr="008651D1">
        <w:rPr>
          <w:rFonts w:cs="Arial"/>
          <w:i/>
          <w:iCs/>
          <w:lang w:val="fr-FR"/>
        </w:rPr>
        <w:t>Threshold</w:t>
      </w:r>
      <w:proofErr w:type="spellEnd"/>
      <w:r w:rsidRPr="008651D1">
        <w:rPr>
          <w:rFonts w:cs="Arial"/>
          <w:i/>
          <w:iCs/>
          <w:lang w:val="fr-FR"/>
        </w:rPr>
        <w:t xml:space="preserve"> for </w:t>
      </w:r>
      <w:proofErr w:type="spellStart"/>
      <w:r w:rsidRPr="008651D1">
        <w:rPr>
          <w:rFonts w:cs="Arial"/>
          <w:i/>
          <w:iCs/>
          <w:lang w:val="fr-FR"/>
        </w:rPr>
        <w:t>Genetic</w:t>
      </w:r>
      <w:proofErr w:type="spellEnd"/>
      <w:r w:rsidRPr="008651D1">
        <w:rPr>
          <w:rFonts w:cs="Arial"/>
          <w:i/>
          <w:iCs/>
          <w:lang w:val="fr-FR"/>
        </w:rPr>
        <w:t xml:space="preserve"> </w:t>
      </w:r>
      <w:proofErr w:type="spellStart"/>
      <w:r w:rsidRPr="008651D1">
        <w:rPr>
          <w:rFonts w:cs="Arial"/>
          <w:i/>
          <w:iCs/>
          <w:lang w:val="fr-FR"/>
        </w:rPr>
        <w:t>Conformity</w:t>
      </w:r>
      <w:proofErr w:type="spellEnd"/>
      <w:r w:rsidRPr="008651D1">
        <w:rPr>
          <w:rFonts w:cs="Arial"/>
          <w:i/>
          <w:iCs/>
          <w:lang w:val="fr-FR"/>
        </w:rPr>
        <w:t xml:space="preserve"> </w:t>
      </w:r>
      <w:r w:rsidR="0063559D" w:rsidRPr="008651D1">
        <w:rPr>
          <w:rFonts w:cs="Arial"/>
          <w:i/>
          <w:iCs/>
          <w:lang w:val="fr-FR"/>
        </w:rPr>
        <w:t>i</w:t>
      </w:r>
      <w:r w:rsidRPr="008651D1">
        <w:rPr>
          <w:rFonts w:cs="Arial"/>
          <w:i/>
          <w:iCs/>
          <w:lang w:val="fr-FR"/>
        </w:rPr>
        <w:t xml:space="preserve">n </w:t>
      </w:r>
      <w:proofErr w:type="spellStart"/>
      <w:r w:rsidRPr="008651D1">
        <w:rPr>
          <w:rFonts w:cs="Arial"/>
          <w:i/>
          <w:iCs/>
          <w:lang w:val="fr-FR"/>
        </w:rPr>
        <w:t>Potato</w:t>
      </w:r>
      <w:proofErr w:type="spellEnd"/>
      <w:r w:rsidRPr="008651D1">
        <w:rPr>
          <w:rFonts w:cs="Arial"/>
          <w:i/>
          <w:iCs/>
          <w:lang w:val="fr-FR"/>
        </w:rPr>
        <w:t xml:space="preserve"> </w:t>
      </w:r>
      <w:proofErr w:type="spellStart"/>
      <w:r w:rsidRPr="008651D1">
        <w:rPr>
          <w:rFonts w:cs="Arial"/>
          <w:i/>
          <w:iCs/>
          <w:lang w:val="fr-FR"/>
        </w:rPr>
        <w:t>Seedlings</w:t>
      </w:r>
      <w:proofErr w:type="spellEnd"/>
    </w:p>
    <w:p w:rsidR="00DF61EE" w:rsidRPr="008651D1" w:rsidRDefault="00596251" w:rsidP="008651D1">
      <w:pPr>
        <w:ind w:firstLine="540"/>
        <w:rPr>
          <w:rFonts w:cs="Arial"/>
          <w:i/>
          <w:lang w:val="fr-FR" w:eastAsia="ja-JP"/>
        </w:rPr>
      </w:pPr>
      <w:r w:rsidRPr="008651D1">
        <w:rPr>
          <w:rFonts w:cs="Arial"/>
          <w:i/>
          <w:iCs/>
          <w:lang w:val="fr-FR"/>
        </w:rPr>
        <w:t>(</w:t>
      </w:r>
      <w:proofErr w:type="gramStart"/>
      <w:r w:rsidRPr="008651D1">
        <w:rPr>
          <w:rFonts w:cs="Arial"/>
          <w:i/>
          <w:iCs/>
          <w:lang w:val="fr-FR"/>
        </w:rPr>
        <w:t>document</w:t>
      </w:r>
      <w:r w:rsidR="00D54EAB" w:rsidRPr="008651D1">
        <w:rPr>
          <w:rFonts w:cs="Arial"/>
          <w:i/>
          <w:iCs/>
          <w:lang w:val="fr-FR"/>
        </w:rPr>
        <w:t>s</w:t>
      </w:r>
      <w:proofErr w:type="gramEnd"/>
      <w:r w:rsidRPr="008651D1">
        <w:rPr>
          <w:rFonts w:cs="Arial"/>
          <w:i/>
          <w:iCs/>
          <w:lang w:val="fr-FR"/>
        </w:rPr>
        <w:t xml:space="preserve"> BMT/14/9</w:t>
      </w:r>
      <w:r w:rsidRPr="008651D1">
        <w:rPr>
          <w:rFonts w:cs="Arial"/>
          <w:i/>
          <w:iCs/>
          <w:lang w:val="fr-FR" w:eastAsia="ja-JP"/>
        </w:rPr>
        <w:t xml:space="preserve"> </w:t>
      </w:r>
      <w:r w:rsidR="00D54EAB" w:rsidRPr="008651D1">
        <w:rPr>
          <w:rFonts w:cs="Arial"/>
          <w:i/>
          <w:iCs/>
          <w:lang w:val="fr-FR" w:eastAsia="ja-JP"/>
        </w:rPr>
        <w:t>et</w:t>
      </w:r>
      <w:r w:rsidRPr="008651D1">
        <w:rPr>
          <w:rFonts w:cs="Arial"/>
          <w:i/>
          <w:iCs/>
          <w:lang w:val="fr-FR" w:eastAsia="ja-JP"/>
        </w:rPr>
        <w:t xml:space="preserve"> BMT/14/9</w:t>
      </w:r>
      <w:r w:rsidR="00DE6D2B" w:rsidRPr="008651D1">
        <w:rPr>
          <w:rFonts w:cs="Arial"/>
          <w:i/>
          <w:iCs/>
          <w:lang w:val="fr-FR" w:eastAsia="ja-JP"/>
        </w:rPr>
        <w:t> </w:t>
      </w:r>
      <w:r w:rsidRPr="008651D1">
        <w:rPr>
          <w:rFonts w:cs="Arial"/>
          <w:i/>
          <w:iCs/>
          <w:lang w:val="fr-FR" w:eastAsia="ja-JP"/>
        </w:rPr>
        <w:t>Add.</w:t>
      </w:r>
      <w:r w:rsidRPr="008651D1">
        <w:rPr>
          <w:rFonts w:cs="Arial"/>
          <w:i/>
          <w:iCs/>
          <w:lang w:val="fr-FR"/>
        </w:rPr>
        <w:t>)</w:t>
      </w:r>
    </w:p>
    <w:p w:rsidR="00DF61EE" w:rsidRPr="008651D1" w:rsidRDefault="00DF61EE" w:rsidP="008651D1">
      <w:pPr>
        <w:rPr>
          <w:rFonts w:cs="Arial"/>
          <w:lang w:val="fr-FR" w:eastAsia="ja-JP"/>
        </w:rPr>
      </w:pPr>
    </w:p>
    <w:p w:rsidR="00DF61EE" w:rsidRPr="008651D1" w:rsidRDefault="00BB63EA" w:rsidP="008651D1">
      <w:pPr>
        <w:keepNext/>
        <w:rPr>
          <w:rFonts w:cs="Arial"/>
          <w:lang w:val="fr-FR"/>
        </w:rPr>
      </w:pPr>
      <w:r w:rsidRPr="008651D1">
        <w:rPr>
          <w:rFonts w:cs="Arial"/>
          <w:iCs/>
          <w:snapToGrid w:val="0"/>
          <w:lang w:val="fr-FR"/>
        </w:rPr>
        <w:fldChar w:fldCharType="begin"/>
      </w:r>
      <w:r w:rsidRPr="008651D1">
        <w:rPr>
          <w:rFonts w:cs="Arial"/>
          <w:iCs/>
          <w:snapToGrid w:val="0"/>
          <w:lang w:val="fr-FR"/>
        </w:rPr>
        <w:instrText xml:space="preserve"> AUTONUM  </w:instrText>
      </w:r>
      <w:r w:rsidRPr="008651D1">
        <w:rPr>
          <w:rFonts w:cs="Arial"/>
          <w:iCs/>
          <w:snapToGrid w:val="0"/>
          <w:lang w:val="fr-FR"/>
        </w:rPr>
        <w:fldChar w:fldCharType="end"/>
      </w:r>
      <w:r w:rsidRPr="008651D1">
        <w:rPr>
          <w:rFonts w:cs="Arial"/>
          <w:iCs/>
          <w:snapToGrid w:val="0"/>
          <w:lang w:val="fr-FR"/>
        </w:rPr>
        <w:tab/>
      </w:r>
      <w:r w:rsidR="00D54EAB" w:rsidRPr="008651D1">
        <w:rPr>
          <w:rFonts w:cs="Arial"/>
          <w:iCs/>
          <w:snapToGrid w:val="0"/>
          <w:lang w:val="fr-FR"/>
        </w:rPr>
        <w:t>À la suite de l</w:t>
      </w:r>
      <w:r w:rsidR="00016C98" w:rsidRPr="008651D1">
        <w:rPr>
          <w:rFonts w:cs="Arial"/>
          <w:iCs/>
          <w:snapToGrid w:val="0"/>
          <w:lang w:val="fr-FR"/>
        </w:rPr>
        <w:t>’</w:t>
      </w:r>
      <w:r w:rsidR="00D54EAB" w:rsidRPr="008651D1">
        <w:rPr>
          <w:rFonts w:cs="Arial"/>
          <w:iCs/>
          <w:snapToGrid w:val="0"/>
          <w:lang w:val="fr-FR"/>
        </w:rPr>
        <w:t>invitation de la Fédération de Russie,</w:t>
      </w:r>
      <w:r w:rsidR="00C72A57" w:rsidRPr="008651D1">
        <w:rPr>
          <w:rFonts w:cs="Arial"/>
          <w:iCs/>
          <w:snapToGrid w:val="0"/>
          <w:lang w:val="fr-FR"/>
        </w:rPr>
        <w:t xml:space="preserve"> le BMT</w:t>
      </w:r>
      <w:r w:rsidR="00D54EAB" w:rsidRPr="008651D1">
        <w:rPr>
          <w:rFonts w:cs="Arial"/>
          <w:iCs/>
          <w:snapToGrid w:val="0"/>
          <w:lang w:val="fr-FR"/>
        </w:rPr>
        <w:t xml:space="preserve"> est convenu de tenir sa quinzième</w:t>
      </w:r>
      <w:r w:rsidR="00DE6D2B" w:rsidRPr="008651D1">
        <w:rPr>
          <w:rFonts w:cs="Arial"/>
          <w:iCs/>
          <w:snapToGrid w:val="0"/>
          <w:lang w:val="fr-FR"/>
        </w:rPr>
        <w:t> </w:t>
      </w:r>
      <w:r w:rsidR="00D54EAB" w:rsidRPr="008651D1">
        <w:rPr>
          <w:rFonts w:cs="Arial"/>
          <w:iCs/>
          <w:snapToGrid w:val="0"/>
          <w:lang w:val="fr-FR"/>
        </w:rPr>
        <w:t xml:space="preserve">session à Moscou en </w:t>
      </w:r>
      <w:r w:rsidR="00C72A57" w:rsidRPr="008651D1">
        <w:rPr>
          <w:rFonts w:cs="Arial"/>
          <w:iCs/>
          <w:snapToGrid w:val="0"/>
          <w:lang w:val="fr-FR"/>
        </w:rPr>
        <w:t>mai 20</w:t>
      </w:r>
      <w:r w:rsidR="00D54EAB" w:rsidRPr="008651D1">
        <w:rPr>
          <w:rFonts w:cs="Arial"/>
          <w:iCs/>
          <w:snapToGrid w:val="0"/>
          <w:lang w:val="fr-FR"/>
        </w:rPr>
        <w:t xml:space="preserve">16, un atelier préparatoire étant prévu en </w:t>
      </w:r>
      <w:r w:rsidR="00C72A57" w:rsidRPr="008651D1">
        <w:rPr>
          <w:rFonts w:cs="Arial"/>
          <w:iCs/>
          <w:snapToGrid w:val="0"/>
          <w:lang w:val="fr-FR"/>
        </w:rPr>
        <w:t>mai 20</w:t>
      </w:r>
      <w:r w:rsidR="00D54EAB" w:rsidRPr="008651D1">
        <w:rPr>
          <w:rFonts w:cs="Arial"/>
          <w:iCs/>
          <w:snapToGrid w:val="0"/>
          <w:lang w:val="fr-FR"/>
        </w:rPr>
        <w:t>16</w:t>
      </w:r>
      <w:r w:rsidR="00DB71F7" w:rsidRPr="008651D1">
        <w:rPr>
          <w:rFonts w:cs="Arial"/>
          <w:iCs/>
          <w:snapToGrid w:val="0"/>
          <w:lang w:val="fr-FR"/>
        </w:rPr>
        <w:t xml:space="preserve">.  </w:t>
      </w:r>
      <w:r w:rsidR="0033342F" w:rsidRPr="008651D1">
        <w:rPr>
          <w:rFonts w:cs="Arial"/>
          <w:iCs/>
          <w:snapToGrid w:val="0"/>
          <w:lang w:val="fr-FR"/>
        </w:rPr>
        <w:t>Le BMT a prévu d</w:t>
      </w:r>
      <w:r w:rsidR="00016C98" w:rsidRPr="008651D1">
        <w:rPr>
          <w:rFonts w:cs="Arial"/>
          <w:iCs/>
          <w:snapToGrid w:val="0"/>
          <w:lang w:val="fr-FR"/>
        </w:rPr>
        <w:t>’</w:t>
      </w:r>
      <w:r w:rsidR="0033342F" w:rsidRPr="008651D1">
        <w:rPr>
          <w:rFonts w:cs="Arial"/>
          <w:iCs/>
          <w:snapToGrid w:val="0"/>
          <w:lang w:val="fr-FR"/>
        </w:rPr>
        <w:t>examiner les questions suivantes :</w:t>
      </w:r>
    </w:p>
    <w:p w:rsidR="00DF61EE" w:rsidRPr="008651D1" w:rsidRDefault="00DF61EE" w:rsidP="008651D1">
      <w:pPr>
        <w:keepNext/>
        <w:rPr>
          <w:rFonts w:cs="Arial"/>
          <w:lang w:val="fr-FR"/>
        </w:rPr>
      </w:pPr>
    </w:p>
    <w:p w:rsidR="00DF61EE" w:rsidRPr="008651D1" w:rsidRDefault="00DF61EE" w:rsidP="008651D1">
      <w:pPr>
        <w:pStyle w:val="BodyTextIndent"/>
        <w:keepNext/>
        <w:spacing w:after="240"/>
        <w:ind w:firstLine="284"/>
        <w:rPr>
          <w:rFonts w:cs="Arial"/>
          <w:lang w:val="fr-FR"/>
        </w:rPr>
      </w:pPr>
      <w:r w:rsidRPr="008651D1">
        <w:rPr>
          <w:rFonts w:cs="Arial"/>
          <w:lang w:val="fr-FR"/>
        </w:rPr>
        <w:t>1.</w:t>
      </w:r>
      <w:r w:rsidRPr="008651D1">
        <w:rPr>
          <w:rFonts w:cs="Arial"/>
          <w:lang w:val="fr-FR"/>
        </w:rPr>
        <w:tab/>
      </w:r>
      <w:r w:rsidR="001B485F" w:rsidRPr="008651D1">
        <w:rPr>
          <w:rFonts w:cs="Arial"/>
          <w:lang w:val="fr-FR"/>
        </w:rPr>
        <w:t>Ouverture de la</w:t>
      </w:r>
      <w:r w:rsidR="00AF1FD5" w:rsidRPr="008651D1">
        <w:rPr>
          <w:rFonts w:cs="Arial"/>
          <w:lang w:val="fr-FR"/>
        </w:rPr>
        <w:t xml:space="preserve"> session</w:t>
      </w:r>
    </w:p>
    <w:p w:rsidR="00DF61EE" w:rsidRPr="008651D1" w:rsidRDefault="00DF61EE" w:rsidP="008651D1">
      <w:pPr>
        <w:pStyle w:val="BodyTextIndent"/>
        <w:keepNext/>
        <w:spacing w:after="240"/>
        <w:ind w:firstLine="284"/>
        <w:rPr>
          <w:rFonts w:cs="Arial"/>
          <w:lang w:val="fr-FR"/>
        </w:rPr>
      </w:pPr>
      <w:r w:rsidRPr="008651D1">
        <w:rPr>
          <w:rFonts w:cs="Arial"/>
          <w:lang w:val="fr-FR"/>
        </w:rPr>
        <w:t>2.</w:t>
      </w:r>
      <w:r w:rsidRPr="008651D1">
        <w:rPr>
          <w:rFonts w:cs="Arial"/>
          <w:lang w:val="fr-FR"/>
        </w:rPr>
        <w:tab/>
      </w:r>
      <w:r w:rsidR="00AF1FD5" w:rsidRPr="008651D1">
        <w:rPr>
          <w:rFonts w:cs="Arial"/>
          <w:lang w:val="fr-FR"/>
        </w:rPr>
        <w:t xml:space="preserve">Adoption </w:t>
      </w:r>
      <w:r w:rsidR="001B485F" w:rsidRPr="008651D1">
        <w:rPr>
          <w:rFonts w:cs="Arial"/>
          <w:lang w:val="fr-FR"/>
        </w:rPr>
        <w:t>de l</w:t>
      </w:r>
      <w:r w:rsidR="00016C98" w:rsidRPr="008651D1">
        <w:rPr>
          <w:rFonts w:cs="Arial"/>
          <w:lang w:val="fr-FR"/>
        </w:rPr>
        <w:t>’</w:t>
      </w:r>
      <w:r w:rsidR="001B485F" w:rsidRPr="008651D1">
        <w:rPr>
          <w:rFonts w:cs="Arial"/>
          <w:lang w:val="fr-FR"/>
        </w:rPr>
        <w:t>ordre du jour</w:t>
      </w:r>
    </w:p>
    <w:p w:rsidR="00DF61EE" w:rsidRPr="008651D1" w:rsidRDefault="0033342F" w:rsidP="008651D1">
      <w:pPr>
        <w:pStyle w:val="BodyTextIndent"/>
        <w:keepNext/>
        <w:spacing w:after="240"/>
        <w:ind w:left="1134" w:hanging="567"/>
        <w:rPr>
          <w:rFonts w:cs="Arial"/>
          <w:lang w:val="fr-FR"/>
        </w:rPr>
      </w:pPr>
      <w:r w:rsidRPr="008651D1">
        <w:rPr>
          <w:rFonts w:cs="Arial"/>
          <w:lang w:val="fr-FR"/>
        </w:rPr>
        <w:t xml:space="preserve">3. </w:t>
      </w:r>
      <w:r w:rsidR="00DE6D2B" w:rsidRPr="008651D1">
        <w:rPr>
          <w:rFonts w:cs="Arial"/>
          <w:lang w:val="fr-FR"/>
        </w:rPr>
        <w:t xml:space="preserve"> </w:t>
      </w:r>
      <w:r w:rsidR="00DF61EE" w:rsidRPr="008651D1">
        <w:rPr>
          <w:rFonts w:cs="Arial"/>
          <w:lang w:val="fr-FR"/>
        </w:rPr>
        <w:tab/>
      </w:r>
      <w:r w:rsidR="001B485F" w:rsidRPr="008651D1">
        <w:rPr>
          <w:rFonts w:cs="Arial"/>
          <w:lang w:val="fr-FR"/>
        </w:rPr>
        <w:t>Comptes rendus des faits nouveaux survenus au sein de l</w:t>
      </w:r>
      <w:r w:rsidR="00016C98" w:rsidRPr="008651D1">
        <w:rPr>
          <w:rFonts w:cs="Arial"/>
          <w:lang w:val="fr-FR"/>
        </w:rPr>
        <w:t>’</w:t>
      </w:r>
      <w:r w:rsidR="001B485F" w:rsidRPr="008651D1">
        <w:rPr>
          <w:rFonts w:cs="Arial"/>
          <w:lang w:val="fr-FR"/>
        </w:rPr>
        <w:t>UPOV et concernant les techniques biochimiques et moléculaires</w:t>
      </w:r>
    </w:p>
    <w:p w:rsidR="00DF61EE" w:rsidRPr="008651D1" w:rsidRDefault="0033342F" w:rsidP="008651D1">
      <w:pPr>
        <w:pStyle w:val="BodyTextIndent"/>
        <w:keepNext/>
        <w:spacing w:after="240"/>
        <w:ind w:left="1170" w:hanging="603"/>
        <w:rPr>
          <w:rFonts w:cs="Arial"/>
          <w:lang w:val="fr-FR"/>
        </w:rPr>
      </w:pPr>
      <w:r w:rsidRPr="008651D1">
        <w:rPr>
          <w:rFonts w:cs="Arial"/>
          <w:lang w:val="fr-FR"/>
        </w:rPr>
        <w:t xml:space="preserve">4. </w:t>
      </w:r>
      <w:r w:rsidR="00DE6D2B" w:rsidRPr="008651D1">
        <w:rPr>
          <w:rFonts w:cs="Arial"/>
          <w:lang w:val="fr-FR"/>
        </w:rPr>
        <w:t xml:space="preserve"> </w:t>
      </w:r>
      <w:r w:rsidR="00DF61EE" w:rsidRPr="008651D1">
        <w:rPr>
          <w:rFonts w:cs="Arial"/>
          <w:lang w:val="fr-FR"/>
        </w:rPr>
        <w:tab/>
      </w:r>
      <w:r w:rsidR="001B485F" w:rsidRPr="008651D1">
        <w:rPr>
          <w:rFonts w:cs="Arial"/>
          <w:lang w:val="fr-FR"/>
        </w:rPr>
        <w:t>Exposés succincts sur les faits nouveaux survenus en matière de techniques biochimiques et moléculaires, présentés par les spécialistes de l</w:t>
      </w:r>
      <w:r w:rsidR="00016C98" w:rsidRPr="008651D1">
        <w:rPr>
          <w:rFonts w:cs="Arial"/>
          <w:lang w:val="fr-FR"/>
        </w:rPr>
        <w:t>’</w:t>
      </w:r>
      <w:r w:rsidR="001B485F" w:rsidRPr="008651D1">
        <w:rPr>
          <w:rFonts w:cs="Arial"/>
          <w:lang w:val="fr-FR"/>
        </w:rPr>
        <w:t>examen</w:t>
      </w:r>
      <w:r w:rsidR="00DE6D2B" w:rsidRPr="008651D1">
        <w:rPr>
          <w:rFonts w:cs="Arial"/>
          <w:lang w:val="fr-FR"/>
        </w:rPr>
        <w:t> </w:t>
      </w:r>
      <w:r w:rsidR="001B485F" w:rsidRPr="008651D1">
        <w:rPr>
          <w:rFonts w:cs="Arial"/>
          <w:lang w:val="fr-FR"/>
        </w:rPr>
        <w:t>DHS, des spécialistes des techniques biochimiques et moléculaires, des obtenteurs et les organisations internationales concernées</w:t>
      </w:r>
    </w:p>
    <w:p w:rsidR="00DF61EE" w:rsidRPr="008651D1" w:rsidRDefault="00BB63EA" w:rsidP="008651D1">
      <w:pPr>
        <w:pStyle w:val="BodyTextIndent"/>
        <w:keepNext/>
        <w:spacing w:after="240"/>
        <w:ind w:left="1134" w:hanging="567"/>
        <w:rPr>
          <w:rFonts w:cs="Arial"/>
          <w:lang w:val="fr-FR"/>
        </w:rPr>
      </w:pPr>
      <w:r w:rsidRPr="008651D1">
        <w:rPr>
          <w:rFonts w:cs="Arial"/>
          <w:lang w:val="fr-FR" w:eastAsia="ja-JP"/>
        </w:rPr>
        <w:t>5</w:t>
      </w:r>
      <w:r w:rsidRPr="008651D1">
        <w:rPr>
          <w:rFonts w:cs="Arial"/>
          <w:lang w:val="fr-FR"/>
        </w:rPr>
        <w:t>.</w:t>
      </w:r>
      <w:r w:rsidRPr="008651D1">
        <w:rPr>
          <w:rFonts w:cs="Arial"/>
          <w:lang w:val="fr-FR"/>
        </w:rPr>
        <w:tab/>
      </w:r>
      <w:r w:rsidR="001B485F" w:rsidRPr="008651D1">
        <w:rPr>
          <w:lang w:val="fr-FR"/>
        </w:rPr>
        <w:t>Compte rendu des travaux sur l</w:t>
      </w:r>
      <w:r w:rsidR="00016C98" w:rsidRPr="008651D1">
        <w:rPr>
          <w:lang w:val="fr-FR"/>
        </w:rPr>
        <w:t>’</w:t>
      </w:r>
      <w:r w:rsidR="001B485F" w:rsidRPr="008651D1">
        <w:rPr>
          <w:lang w:val="fr-FR"/>
        </w:rPr>
        <w:t>utilisation des techniques moléculaires dans le cadre de l</w:t>
      </w:r>
      <w:r w:rsidR="00016C98" w:rsidRPr="008651D1">
        <w:rPr>
          <w:lang w:val="fr-FR"/>
        </w:rPr>
        <w:t>’</w:t>
      </w:r>
      <w:r w:rsidR="001B485F" w:rsidRPr="008651D1">
        <w:rPr>
          <w:lang w:val="fr-FR"/>
        </w:rPr>
        <w:t>examen</w:t>
      </w:r>
      <w:r w:rsidR="00DE6D2B" w:rsidRPr="008651D1">
        <w:rPr>
          <w:lang w:val="fr-FR"/>
        </w:rPr>
        <w:t> </w:t>
      </w:r>
      <w:r w:rsidR="001B485F" w:rsidRPr="008651D1">
        <w:rPr>
          <w:lang w:val="fr-FR"/>
        </w:rPr>
        <w:t>DHS</w:t>
      </w:r>
    </w:p>
    <w:p w:rsidR="00DF61EE" w:rsidRPr="008651D1" w:rsidRDefault="0033342F" w:rsidP="008651D1">
      <w:pPr>
        <w:pStyle w:val="BodyTextIndent"/>
        <w:spacing w:after="240"/>
        <w:ind w:firstLine="284"/>
        <w:rPr>
          <w:rFonts w:cs="Arial"/>
          <w:lang w:val="fr-FR"/>
        </w:rPr>
      </w:pPr>
      <w:r w:rsidRPr="008651D1">
        <w:rPr>
          <w:rFonts w:cs="Arial"/>
          <w:lang w:val="fr-FR"/>
        </w:rPr>
        <w:t>6.</w:t>
      </w:r>
      <w:r w:rsidR="00DE6D2B" w:rsidRPr="008651D1">
        <w:rPr>
          <w:rFonts w:cs="Arial"/>
          <w:lang w:val="fr-FR"/>
        </w:rPr>
        <w:t xml:space="preserve"> </w:t>
      </w:r>
      <w:r w:rsidRPr="008651D1">
        <w:rPr>
          <w:rFonts w:cs="Arial"/>
          <w:lang w:val="fr-FR"/>
        </w:rPr>
        <w:t xml:space="preserve"> </w:t>
      </w:r>
      <w:r w:rsidR="00DF61EE" w:rsidRPr="008651D1">
        <w:rPr>
          <w:rFonts w:cs="Arial"/>
          <w:lang w:val="fr-FR"/>
        </w:rPr>
        <w:tab/>
      </w:r>
      <w:r w:rsidR="001B485F" w:rsidRPr="008651D1">
        <w:rPr>
          <w:rFonts w:cs="Arial"/>
          <w:lang w:val="fr-FR"/>
        </w:rPr>
        <w:t>Directives internationales en matière de techniques moléculaires</w:t>
      </w:r>
    </w:p>
    <w:p w:rsidR="00DF61EE" w:rsidRPr="008651D1" w:rsidRDefault="0033342F" w:rsidP="008651D1">
      <w:pPr>
        <w:pStyle w:val="BodyTextIndent"/>
        <w:spacing w:after="240"/>
        <w:ind w:firstLine="284"/>
        <w:rPr>
          <w:rFonts w:cs="Arial"/>
          <w:lang w:val="fr-FR"/>
        </w:rPr>
      </w:pPr>
      <w:r w:rsidRPr="008651D1">
        <w:rPr>
          <w:rFonts w:cs="Arial"/>
          <w:lang w:val="fr-FR"/>
        </w:rPr>
        <w:t xml:space="preserve">7. </w:t>
      </w:r>
      <w:r w:rsidR="00DE6D2B" w:rsidRPr="008651D1">
        <w:rPr>
          <w:rFonts w:cs="Arial"/>
          <w:lang w:val="fr-FR"/>
        </w:rPr>
        <w:t xml:space="preserve"> </w:t>
      </w:r>
      <w:r w:rsidR="00DF61EE" w:rsidRPr="008651D1">
        <w:rPr>
          <w:rFonts w:cs="Arial"/>
          <w:lang w:val="fr-FR"/>
        </w:rPr>
        <w:tab/>
      </w:r>
      <w:r w:rsidR="001B485F" w:rsidRPr="008651D1">
        <w:rPr>
          <w:rFonts w:cs="Arial"/>
          <w:lang w:val="fr-FR"/>
        </w:rPr>
        <w:t>Bases de données des descriptions variétales</w:t>
      </w:r>
    </w:p>
    <w:p w:rsidR="00C72A57" w:rsidRPr="008651D1" w:rsidRDefault="0033342F" w:rsidP="008651D1">
      <w:pPr>
        <w:pStyle w:val="BodyTextIndent"/>
        <w:spacing w:after="240"/>
        <w:ind w:firstLine="284"/>
        <w:rPr>
          <w:rFonts w:cs="Arial"/>
          <w:lang w:val="fr-FR"/>
        </w:rPr>
      </w:pPr>
      <w:r w:rsidRPr="008651D1">
        <w:rPr>
          <w:rFonts w:cs="Arial"/>
          <w:lang w:val="fr-FR"/>
        </w:rPr>
        <w:t xml:space="preserve">8. </w:t>
      </w:r>
      <w:r w:rsidR="00DE6D2B" w:rsidRPr="008651D1">
        <w:rPr>
          <w:rFonts w:cs="Arial"/>
          <w:lang w:val="fr-FR"/>
        </w:rPr>
        <w:t xml:space="preserve"> </w:t>
      </w:r>
      <w:r w:rsidR="00DF61EE" w:rsidRPr="008651D1">
        <w:rPr>
          <w:rFonts w:cs="Arial"/>
          <w:lang w:val="fr-FR"/>
        </w:rPr>
        <w:tab/>
      </w:r>
      <w:r w:rsidR="00AF1FD5" w:rsidRPr="008651D1">
        <w:rPr>
          <w:rFonts w:cs="Arial"/>
          <w:lang w:val="fr-FR"/>
        </w:rPr>
        <w:t>M</w:t>
      </w:r>
      <w:r w:rsidR="001B485F" w:rsidRPr="008651D1">
        <w:rPr>
          <w:rFonts w:cs="Arial"/>
          <w:lang w:val="fr-FR"/>
        </w:rPr>
        <w:t>éthodes d</w:t>
      </w:r>
      <w:r w:rsidR="00016C98" w:rsidRPr="008651D1">
        <w:rPr>
          <w:rFonts w:cs="Arial"/>
          <w:lang w:val="fr-FR"/>
        </w:rPr>
        <w:t>’</w:t>
      </w:r>
      <w:r w:rsidR="001B485F" w:rsidRPr="008651D1">
        <w:rPr>
          <w:rFonts w:cs="Arial"/>
          <w:lang w:val="fr-FR"/>
        </w:rPr>
        <w:t>analyse des données moléculaires</w:t>
      </w:r>
    </w:p>
    <w:p w:rsidR="00C72A57" w:rsidRPr="008651D1" w:rsidRDefault="00DF61EE" w:rsidP="008651D1">
      <w:pPr>
        <w:pStyle w:val="BodyTextIndent"/>
        <w:spacing w:after="240"/>
        <w:ind w:left="1134" w:hanging="567"/>
        <w:rPr>
          <w:rFonts w:cs="Arial"/>
          <w:lang w:val="fr-FR"/>
        </w:rPr>
      </w:pPr>
      <w:r w:rsidRPr="008651D1">
        <w:rPr>
          <w:rFonts w:cs="Arial"/>
          <w:lang w:val="fr-FR"/>
        </w:rPr>
        <w:lastRenderedPageBreak/>
        <w:t>9.</w:t>
      </w:r>
      <w:r w:rsidR="00DE6D2B" w:rsidRPr="008651D1">
        <w:rPr>
          <w:rFonts w:cs="Arial"/>
          <w:lang w:val="fr-FR"/>
        </w:rPr>
        <w:t xml:space="preserve"> </w:t>
      </w:r>
      <w:r w:rsidRPr="008651D1">
        <w:rPr>
          <w:rFonts w:cs="Arial"/>
          <w:lang w:val="fr-FR"/>
        </w:rPr>
        <w:t xml:space="preserve"> </w:t>
      </w:r>
      <w:r w:rsidRPr="008651D1">
        <w:rPr>
          <w:rFonts w:cs="Arial"/>
          <w:lang w:val="fr-FR"/>
        </w:rPr>
        <w:tab/>
      </w:r>
      <w:r w:rsidR="00AF5959" w:rsidRPr="008651D1">
        <w:rPr>
          <w:rFonts w:cs="Arial"/>
          <w:lang w:val="fr-FR"/>
        </w:rPr>
        <w:t>Utilisation des techniques moléculaires pour l</w:t>
      </w:r>
      <w:r w:rsidR="00016C98" w:rsidRPr="008651D1">
        <w:rPr>
          <w:rFonts w:cs="Arial"/>
          <w:lang w:val="fr-FR"/>
        </w:rPr>
        <w:t>’</w:t>
      </w:r>
      <w:r w:rsidR="00AF5959" w:rsidRPr="008651D1">
        <w:rPr>
          <w:rFonts w:cs="Arial"/>
          <w:lang w:val="fr-FR"/>
        </w:rPr>
        <w:t>appréciation de la notion de variété essentiellement dérivée</w:t>
      </w:r>
      <w:r w:rsidRPr="008651D1">
        <w:rPr>
          <w:rStyle w:val="FootnoteReference"/>
          <w:rFonts w:cs="Arial"/>
          <w:lang w:val="fr-FR"/>
        </w:rPr>
        <w:footnoteReference w:id="3"/>
      </w:r>
    </w:p>
    <w:p w:rsidR="00DF61EE" w:rsidRPr="008651D1" w:rsidRDefault="00BB63EA" w:rsidP="008651D1">
      <w:pPr>
        <w:pStyle w:val="BodyTextIndent"/>
        <w:spacing w:after="240"/>
        <w:ind w:firstLine="284"/>
        <w:rPr>
          <w:rFonts w:cs="Arial"/>
          <w:lang w:val="fr-FR" w:eastAsia="ja-JP"/>
        </w:rPr>
      </w:pPr>
      <w:r w:rsidRPr="008651D1">
        <w:rPr>
          <w:rFonts w:cs="Arial"/>
          <w:lang w:val="fr-FR"/>
        </w:rPr>
        <w:t>1</w:t>
      </w:r>
      <w:r w:rsidRPr="008651D1">
        <w:rPr>
          <w:rFonts w:cs="Arial"/>
          <w:lang w:val="fr-FR" w:eastAsia="ja-JP"/>
        </w:rPr>
        <w:t>0</w:t>
      </w:r>
      <w:r w:rsidR="00AF5959" w:rsidRPr="008651D1">
        <w:rPr>
          <w:rFonts w:cs="Arial"/>
          <w:lang w:val="fr-FR"/>
        </w:rPr>
        <w:t>.</w:t>
      </w:r>
      <w:r w:rsidR="00AF5959" w:rsidRPr="008651D1">
        <w:rPr>
          <w:rFonts w:cs="Arial"/>
          <w:lang w:val="fr-FR"/>
        </w:rPr>
        <w:tab/>
        <w:t>Utilisation des techniques moléculaires pour l</w:t>
      </w:r>
      <w:r w:rsidR="00016C98" w:rsidRPr="008651D1">
        <w:rPr>
          <w:rFonts w:cs="Arial"/>
          <w:lang w:val="fr-FR"/>
        </w:rPr>
        <w:t>’</w:t>
      </w:r>
      <w:r w:rsidR="007E43A3" w:rsidRPr="008651D1">
        <w:rPr>
          <w:rFonts w:cs="Arial"/>
          <w:lang w:val="fr-FR"/>
        </w:rPr>
        <w:t>identification des variété</w:t>
      </w:r>
      <w:r w:rsidR="00AF5959" w:rsidRPr="008651D1">
        <w:rPr>
          <w:rFonts w:cs="Arial"/>
          <w:lang w:val="fr-FR"/>
        </w:rPr>
        <w:t>s</w:t>
      </w:r>
      <w:r w:rsidR="00D05B03" w:rsidRPr="008651D1">
        <w:rPr>
          <w:rFonts w:cs="Arial"/>
          <w:vertAlign w:val="superscript"/>
          <w:lang w:val="fr-FR"/>
        </w:rPr>
        <w:t>2</w:t>
      </w:r>
    </w:p>
    <w:p w:rsidR="00DF61EE" w:rsidRPr="008651D1" w:rsidRDefault="00BB63EA" w:rsidP="008651D1">
      <w:pPr>
        <w:pStyle w:val="BodyTextIndent"/>
        <w:spacing w:after="240"/>
        <w:ind w:firstLine="284"/>
        <w:rPr>
          <w:rFonts w:cs="Arial"/>
          <w:lang w:val="fr-FR" w:eastAsia="ja-JP"/>
        </w:rPr>
      </w:pPr>
      <w:r w:rsidRPr="008651D1">
        <w:rPr>
          <w:rFonts w:cs="Arial"/>
          <w:lang w:val="fr-FR" w:eastAsia="ja-JP"/>
        </w:rPr>
        <w:t>11.</w:t>
      </w:r>
      <w:r w:rsidRPr="008651D1">
        <w:rPr>
          <w:rFonts w:cs="Arial"/>
          <w:lang w:val="fr-FR" w:eastAsia="ja-JP"/>
        </w:rPr>
        <w:tab/>
        <w:t>Coo</w:t>
      </w:r>
      <w:r w:rsidR="00AF5959" w:rsidRPr="008651D1">
        <w:rPr>
          <w:rFonts w:cs="Arial"/>
          <w:lang w:val="fr-FR" w:eastAsia="ja-JP"/>
        </w:rPr>
        <w:t>pération entre l</w:t>
      </w:r>
      <w:r w:rsidR="00016C98" w:rsidRPr="008651D1">
        <w:rPr>
          <w:rFonts w:cs="Arial"/>
          <w:lang w:val="fr-FR" w:eastAsia="ja-JP"/>
        </w:rPr>
        <w:t>’</w:t>
      </w:r>
      <w:r w:rsidR="00AF5959" w:rsidRPr="008651D1">
        <w:rPr>
          <w:rFonts w:cs="Arial"/>
          <w:lang w:val="fr-FR" w:eastAsia="ja-JP"/>
        </w:rPr>
        <w:t>OCDE, l</w:t>
      </w:r>
      <w:r w:rsidR="00016C98" w:rsidRPr="008651D1">
        <w:rPr>
          <w:rFonts w:cs="Arial"/>
          <w:lang w:val="fr-FR" w:eastAsia="ja-JP"/>
        </w:rPr>
        <w:t>’</w:t>
      </w:r>
      <w:r w:rsidR="00AF5959" w:rsidRPr="008651D1">
        <w:rPr>
          <w:rFonts w:cs="Arial"/>
          <w:lang w:val="fr-FR" w:eastAsia="ja-JP"/>
        </w:rPr>
        <w:t>UPOV, l</w:t>
      </w:r>
      <w:r w:rsidR="00016C98" w:rsidRPr="008651D1">
        <w:rPr>
          <w:rFonts w:cs="Arial"/>
          <w:lang w:val="fr-FR" w:eastAsia="ja-JP"/>
        </w:rPr>
        <w:t>’</w:t>
      </w:r>
      <w:r w:rsidR="00AF5959" w:rsidRPr="008651D1">
        <w:rPr>
          <w:rFonts w:cs="Arial"/>
          <w:lang w:val="fr-FR" w:eastAsia="ja-JP"/>
        </w:rPr>
        <w:t>ISTA et l</w:t>
      </w:r>
      <w:r w:rsidR="00016C98" w:rsidRPr="008651D1">
        <w:rPr>
          <w:rFonts w:cs="Arial"/>
          <w:lang w:val="fr-FR" w:eastAsia="ja-JP"/>
        </w:rPr>
        <w:t>’</w:t>
      </w:r>
      <w:r w:rsidR="00AF5959" w:rsidRPr="008651D1">
        <w:rPr>
          <w:rFonts w:cs="Arial"/>
          <w:lang w:val="fr-FR" w:eastAsia="ja-JP"/>
        </w:rPr>
        <w:t>ISO</w:t>
      </w:r>
    </w:p>
    <w:p w:rsidR="00DF61EE" w:rsidRPr="008651D1" w:rsidRDefault="0033342F" w:rsidP="008651D1">
      <w:pPr>
        <w:pStyle w:val="BodyTextIndent"/>
        <w:spacing w:after="240"/>
        <w:ind w:firstLine="284"/>
        <w:rPr>
          <w:rFonts w:cs="Arial"/>
          <w:lang w:val="fr-FR"/>
        </w:rPr>
      </w:pPr>
      <w:r w:rsidRPr="008651D1">
        <w:rPr>
          <w:rFonts w:cs="Arial"/>
          <w:lang w:val="fr-FR"/>
        </w:rPr>
        <w:t xml:space="preserve">12. </w:t>
      </w:r>
      <w:r w:rsidR="00DE6D2B" w:rsidRPr="008651D1">
        <w:rPr>
          <w:rFonts w:cs="Arial"/>
          <w:lang w:val="fr-FR"/>
        </w:rPr>
        <w:t xml:space="preserve"> </w:t>
      </w:r>
      <w:r w:rsidR="005F3831" w:rsidRPr="008651D1">
        <w:rPr>
          <w:rFonts w:cs="Arial"/>
          <w:lang w:val="fr-FR"/>
        </w:rPr>
        <w:tab/>
      </w:r>
      <w:r w:rsidR="00AF1FD5" w:rsidRPr="008651D1">
        <w:rPr>
          <w:rFonts w:cs="Arial"/>
          <w:lang w:val="fr-FR"/>
        </w:rPr>
        <w:t xml:space="preserve">Date </w:t>
      </w:r>
      <w:r w:rsidR="00AF5959" w:rsidRPr="008651D1">
        <w:rPr>
          <w:rFonts w:cs="Arial"/>
          <w:lang w:val="fr-FR"/>
        </w:rPr>
        <w:t>et lieu de la prochaine session</w:t>
      </w:r>
    </w:p>
    <w:p w:rsidR="00DF61EE" w:rsidRPr="008651D1" w:rsidRDefault="0033342F" w:rsidP="008651D1">
      <w:pPr>
        <w:pStyle w:val="BodyTextIndent"/>
        <w:spacing w:after="240"/>
        <w:ind w:firstLine="284"/>
        <w:rPr>
          <w:rFonts w:cs="Arial"/>
          <w:lang w:val="fr-FR"/>
        </w:rPr>
      </w:pPr>
      <w:r w:rsidRPr="008651D1">
        <w:rPr>
          <w:rFonts w:cs="Arial"/>
          <w:lang w:val="fr-FR"/>
        </w:rPr>
        <w:t xml:space="preserve">13. </w:t>
      </w:r>
      <w:r w:rsidR="00DE6D2B" w:rsidRPr="008651D1">
        <w:rPr>
          <w:rFonts w:cs="Arial"/>
          <w:lang w:val="fr-FR"/>
        </w:rPr>
        <w:t xml:space="preserve"> </w:t>
      </w:r>
      <w:r w:rsidR="005F3831" w:rsidRPr="008651D1">
        <w:rPr>
          <w:rFonts w:cs="Arial"/>
          <w:lang w:val="fr-FR"/>
        </w:rPr>
        <w:tab/>
      </w:r>
      <w:r w:rsidR="00AF5959" w:rsidRPr="008651D1">
        <w:rPr>
          <w:rFonts w:cs="Arial"/>
          <w:lang w:val="fr-FR"/>
        </w:rPr>
        <w:t>Programme futur</w:t>
      </w:r>
    </w:p>
    <w:p w:rsidR="00DF61EE" w:rsidRPr="008651D1" w:rsidRDefault="0033342F" w:rsidP="008651D1">
      <w:pPr>
        <w:pStyle w:val="BodyTextIndent"/>
        <w:spacing w:after="240"/>
        <w:ind w:firstLine="284"/>
        <w:rPr>
          <w:rFonts w:cs="Arial"/>
          <w:lang w:val="fr-FR"/>
        </w:rPr>
      </w:pPr>
      <w:r w:rsidRPr="008651D1">
        <w:rPr>
          <w:rFonts w:cs="Arial"/>
          <w:lang w:val="fr-FR"/>
        </w:rPr>
        <w:t>14.</w:t>
      </w:r>
      <w:r w:rsidR="00DE6D2B" w:rsidRPr="008651D1">
        <w:rPr>
          <w:rFonts w:cs="Arial"/>
          <w:lang w:val="fr-FR"/>
        </w:rPr>
        <w:t xml:space="preserve"> </w:t>
      </w:r>
      <w:r w:rsidRPr="008651D1">
        <w:rPr>
          <w:rFonts w:cs="Arial"/>
          <w:lang w:val="fr-FR"/>
        </w:rPr>
        <w:t xml:space="preserve"> </w:t>
      </w:r>
      <w:r w:rsidR="005F3831" w:rsidRPr="008651D1">
        <w:rPr>
          <w:rFonts w:cs="Arial"/>
          <w:lang w:val="fr-FR"/>
        </w:rPr>
        <w:tab/>
      </w:r>
      <w:r w:rsidR="00AF5959" w:rsidRPr="008651D1">
        <w:rPr>
          <w:rFonts w:cs="Arial"/>
          <w:lang w:val="fr-FR"/>
        </w:rPr>
        <w:t>Compte rendu de la session (si le temps imparti le permet)</w:t>
      </w:r>
    </w:p>
    <w:p w:rsidR="00DF61EE" w:rsidRPr="008651D1" w:rsidRDefault="0033342F" w:rsidP="008651D1">
      <w:pPr>
        <w:pStyle w:val="BodyTextIndent"/>
        <w:spacing w:after="0"/>
        <w:ind w:firstLine="284"/>
        <w:rPr>
          <w:rFonts w:cs="Arial"/>
          <w:lang w:val="fr-FR"/>
        </w:rPr>
      </w:pPr>
      <w:r w:rsidRPr="008651D1">
        <w:rPr>
          <w:rFonts w:cs="Arial"/>
          <w:lang w:val="fr-FR"/>
        </w:rPr>
        <w:t>15.</w:t>
      </w:r>
      <w:r w:rsidR="005F3831" w:rsidRPr="008651D1">
        <w:rPr>
          <w:rFonts w:cs="Arial"/>
          <w:lang w:val="fr-FR"/>
        </w:rPr>
        <w:tab/>
      </w:r>
      <w:r w:rsidR="00AF5959" w:rsidRPr="008651D1">
        <w:rPr>
          <w:rFonts w:cs="Arial"/>
          <w:lang w:val="fr-FR"/>
        </w:rPr>
        <w:t>Clôture de la session</w:t>
      </w:r>
    </w:p>
    <w:p w:rsidR="00DF61EE" w:rsidRPr="008651D1" w:rsidRDefault="00DF61EE" w:rsidP="008651D1">
      <w:pPr>
        <w:pStyle w:val="BodyTextIndent"/>
        <w:spacing w:after="0"/>
        <w:ind w:firstLine="284"/>
        <w:rPr>
          <w:rFonts w:cs="Arial"/>
          <w:lang w:val="fr-FR"/>
        </w:rPr>
      </w:pPr>
    </w:p>
    <w:p w:rsidR="00DF61EE" w:rsidRPr="008651D1" w:rsidRDefault="00DF61EE" w:rsidP="008651D1">
      <w:pPr>
        <w:pStyle w:val="Heading1"/>
        <w:rPr>
          <w:rFonts w:cs="Arial"/>
          <w:lang w:val="fr-FR"/>
        </w:rPr>
      </w:pPr>
    </w:p>
    <w:p w:rsidR="00DF61EE" w:rsidRPr="008651D1" w:rsidRDefault="0033342F" w:rsidP="008651D1">
      <w:pPr>
        <w:pStyle w:val="Heading1"/>
        <w:rPr>
          <w:lang w:val="fr-FR"/>
        </w:rPr>
      </w:pPr>
      <w:bookmarkStart w:id="19" w:name="_Toc411603115"/>
      <w:r w:rsidRPr="008651D1">
        <w:rPr>
          <w:lang w:val="fr-FR"/>
        </w:rPr>
        <w:t xml:space="preserve">Atelier conjoint </w:t>
      </w:r>
      <w:r w:rsidR="00AF1FD5" w:rsidRPr="008651D1">
        <w:rPr>
          <w:lang w:val="fr-FR"/>
        </w:rPr>
        <w:t>de l</w:t>
      </w:r>
      <w:r w:rsidR="00016C98" w:rsidRPr="008651D1">
        <w:rPr>
          <w:lang w:val="fr-FR"/>
        </w:rPr>
        <w:t>’</w:t>
      </w:r>
      <w:r w:rsidRPr="008651D1">
        <w:rPr>
          <w:lang w:val="fr-FR"/>
        </w:rPr>
        <w:t>OCDE</w:t>
      </w:r>
      <w:r w:rsidR="00AF1FD5" w:rsidRPr="008651D1">
        <w:rPr>
          <w:lang w:val="fr-FR"/>
        </w:rPr>
        <w:t>, de l</w:t>
      </w:r>
      <w:r w:rsidR="00016C98" w:rsidRPr="008651D1">
        <w:rPr>
          <w:lang w:val="fr-FR"/>
        </w:rPr>
        <w:t>’</w:t>
      </w:r>
      <w:r w:rsidRPr="008651D1">
        <w:rPr>
          <w:lang w:val="fr-FR"/>
        </w:rPr>
        <w:t>UPOV</w:t>
      </w:r>
      <w:r w:rsidR="00AF1FD5" w:rsidRPr="008651D1">
        <w:rPr>
          <w:lang w:val="fr-FR"/>
        </w:rPr>
        <w:t xml:space="preserve"> et de l</w:t>
      </w:r>
      <w:r w:rsidR="00016C98" w:rsidRPr="008651D1">
        <w:rPr>
          <w:lang w:val="fr-FR"/>
        </w:rPr>
        <w:t>’</w:t>
      </w:r>
      <w:r w:rsidRPr="008651D1">
        <w:rPr>
          <w:lang w:val="fr-FR"/>
        </w:rPr>
        <w:t>ISTA sur les techniques moléculaires</w:t>
      </w:r>
      <w:bookmarkEnd w:id="19"/>
    </w:p>
    <w:p w:rsidR="00DF61EE" w:rsidRPr="008651D1" w:rsidRDefault="00DF61EE" w:rsidP="008651D1">
      <w:pPr>
        <w:autoSpaceDE w:val="0"/>
        <w:autoSpaceDN w:val="0"/>
        <w:adjustRightInd w:val="0"/>
        <w:rPr>
          <w:rFonts w:cs="Arial"/>
          <w:lang w:val="fr-FR" w:eastAsia="ja-JP"/>
        </w:rPr>
      </w:pPr>
    </w:p>
    <w:p w:rsidR="00DF61EE" w:rsidRPr="008651D1" w:rsidRDefault="007330DD" w:rsidP="008651D1">
      <w:pPr>
        <w:autoSpaceDE w:val="0"/>
        <w:autoSpaceDN w:val="0"/>
        <w:adjustRightInd w:val="0"/>
        <w:rPr>
          <w:rFonts w:cs="Arial"/>
          <w:lang w:val="fr-FR" w:eastAsia="ja-JP"/>
        </w:rPr>
      </w:pPr>
      <w:r w:rsidRPr="008651D1">
        <w:rPr>
          <w:rFonts w:cs="Arial"/>
          <w:lang w:val="fr-FR" w:eastAsia="ja-JP"/>
        </w:rPr>
        <w:fldChar w:fldCharType="begin"/>
      </w:r>
      <w:r w:rsidRPr="008651D1">
        <w:rPr>
          <w:rFonts w:cs="Arial"/>
          <w:lang w:val="fr-FR" w:eastAsia="ja-JP"/>
        </w:rPr>
        <w:instrText xml:space="preserve"> AUTONUM  </w:instrText>
      </w:r>
      <w:r w:rsidRPr="008651D1">
        <w:rPr>
          <w:rFonts w:cs="Arial"/>
          <w:lang w:val="fr-FR" w:eastAsia="ja-JP"/>
        </w:rPr>
        <w:fldChar w:fldCharType="end"/>
      </w:r>
      <w:r w:rsidRPr="008651D1">
        <w:rPr>
          <w:rFonts w:cs="Arial"/>
          <w:lang w:val="fr-FR" w:eastAsia="ja-JP"/>
        </w:rPr>
        <w:tab/>
      </w:r>
      <w:r w:rsidR="004F5F2F" w:rsidRPr="008651D1">
        <w:rPr>
          <w:rFonts w:cs="Arial"/>
          <w:lang w:val="fr-FR" w:eastAsia="ja-JP"/>
        </w:rPr>
        <w:t>L</w:t>
      </w:r>
      <w:r w:rsidR="00016C98" w:rsidRPr="008651D1">
        <w:rPr>
          <w:rFonts w:cs="Arial"/>
          <w:lang w:val="fr-FR" w:eastAsia="ja-JP"/>
        </w:rPr>
        <w:t>’</w:t>
      </w:r>
      <w:r w:rsidR="004F5F2F" w:rsidRPr="008651D1">
        <w:rPr>
          <w:rFonts w:cs="Arial"/>
          <w:lang w:val="fr-FR" w:eastAsia="ja-JP"/>
        </w:rPr>
        <w:t>Atelier conjoint de l</w:t>
      </w:r>
      <w:r w:rsidR="00016C98" w:rsidRPr="008651D1">
        <w:rPr>
          <w:rFonts w:cs="Arial"/>
          <w:lang w:val="fr-FR" w:eastAsia="ja-JP"/>
        </w:rPr>
        <w:t>’</w:t>
      </w:r>
      <w:r w:rsidR="004F5F2F" w:rsidRPr="008651D1">
        <w:rPr>
          <w:rFonts w:cs="Arial"/>
          <w:lang w:val="fr-FR" w:eastAsia="ja-JP"/>
        </w:rPr>
        <w:t>OCDE, de l</w:t>
      </w:r>
      <w:r w:rsidR="00016C98" w:rsidRPr="008651D1">
        <w:rPr>
          <w:rFonts w:cs="Arial"/>
          <w:lang w:val="fr-FR" w:eastAsia="ja-JP"/>
        </w:rPr>
        <w:t>’</w:t>
      </w:r>
      <w:r w:rsidR="004F5F2F" w:rsidRPr="008651D1">
        <w:rPr>
          <w:rFonts w:cs="Arial"/>
          <w:lang w:val="fr-FR" w:eastAsia="ja-JP"/>
        </w:rPr>
        <w:t>UPOV et de l</w:t>
      </w:r>
      <w:r w:rsidR="00016C98" w:rsidRPr="008651D1">
        <w:rPr>
          <w:rFonts w:cs="Arial"/>
          <w:lang w:val="fr-FR" w:eastAsia="ja-JP"/>
        </w:rPr>
        <w:t>’</w:t>
      </w:r>
      <w:r w:rsidR="004F5F2F" w:rsidRPr="008651D1">
        <w:rPr>
          <w:rFonts w:cs="Arial"/>
          <w:lang w:val="fr-FR" w:eastAsia="ja-JP"/>
        </w:rPr>
        <w:t>ISTA sur les techniques moléculaires s</w:t>
      </w:r>
      <w:r w:rsidR="00016C98" w:rsidRPr="008651D1">
        <w:rPr>
          <w:rFonts w:cs="Arial"/>
          <w:lang w:val="fr-FR" w:eastAsia="ja-JP"/>
        </w:rPr>
        <w:t>’</w:t>
      </w:r>
      <w:r w:rsidR="004F5F2F" w:rsidRPr="008651D1">
        <w:rPr>
          <w:rFonts w:cs="Arial"/>
          <w:lang w:val="fr-FR" w:eastAsia="ja-JP"/>
        </w:rPr>
        <w:t>est tenu à Séoul (République de Corée) le 1</w:t>
      </w:r>
      <w:r w:rsidR="00C72A57" w:rsidRPr="008651D1">
        <w:rPr>
          <w:rFonts w:cs="Arial"/>
          <w:lang w:val="fr-FR" w:eastAsia="ja-JP"/>
        </w:rPr>
        <w:t>2 novembre 20</w:t>
      </w:r>
      <w:r w:rsidR="004F5F2F" w:rsidRPr="008651D1">
        <w:rPr>
          <w:rFonts w:cs="Arial"/>
          <w:lang w:val="fr-FR" w:eastAsia="ja-JP"/>
        </w:rPr>
        <w:t>14, dans le cadre de la quatorzième</w:t>
      </w:r>
      <w:r w:rsidR="00DE6D2B" w:rsidRPr="008651D1">
        <w:rPr>
          <w:rFonts w:cs="Arial"/>
          <w:lang w:val="fr-FR" w:eastAsia="ja-JP"/>
        </w:rPr>
        <w:t> </w:t>
      </w:r>
      <w:r w:rsidR="004F5F2F" w:rsidRPr="008651D1">
        <w:rPr>
          <w:rFonts w:cs="Arial"/>
          <w:lang w:val="fr-FR" w:eastAsia="ja-JP"/>
        </w:rPr>
        <w:t>session</w:t>
      </w:r>
      <w:r w:rsidR="00C72A57" w:rsidRPr="008651D1">
        <w:rPr>
          <w:rFonts w:cs="Arial"/>
          <w:lang w:val="fr-FR" w:eastAsia="ja-JP"/>
        </w:rPr>
        <w:t xml:space="preserve"> du BMT</w:t>
      </w:r>
      <w:r w:rsidR="004F5F2F" w:rsidRPr="008651D1">
        <w:rPr>
          <w:rFonts w:cs="Arial"/>
          <w:lang w:val="fr-FR" w:eastAsia="ja-JP"/>
        </w:rPr>
        <w:t xml:space="preserve"> tenue à Séoul (République de Corée) du 10 au 1</w:t>
      </w:r>
      <w:r w:rsidR="00C72A57" w:rsidRPr="008651D1">
        <w:rPr>
          <w:rFonts w:cs="Arial"/>
          <w:lang w:val="fr-FR" w:eastAsia="ja-JP"/>
        </w:rPr>
        <w:t>3 novembre 20</w:t>
      </w:r>
      <w:r w:rsidR="004F5F2F" w:rsidRPr="008651D1">
        <w:rPr>
          <w:rFonts w:cs="Arial"/>
          <w:lang w:val="fr-FR" w:eastAsia="ja-JP"/>
        </w:rPr>
        <w:t>14</w:t>
      </w:r>
      <w:r w:rsidR="00881D81" w:rsidRPr="008651D1">
        <w:rPr>
          <w:lang w:val="fr-FR" w:eastAsia="ja-JP"/>
        </w:rPr>
        <w:t>.</w:t>
      </w:r>
    </w:p>
    <w:p w:rsidR="00DF61EE" w:rsidRPr="008651D1" w:rsidRDefault="00DF61EE" w:rsidP="008651D1">
      <w:pPr>
        <w:autoSpaceDE w:val="0"/>
        <w:autoSpaceDN w:val="0"/>
        <w:adjustRightInd w:val="0"/>
        <w:rPr>
          <w:rFonts w:cs="Arial"/>
          <w:lang w:val="fr-FR" w:eastAsia="ja-JP"/>
        </w:rPr>
      </w:pPr>
    </w:p>
    <w:p w:rsidR="00DF61EE" w:rsidRPr="008651D1" w:rsidRDefault="00D37975" w:rsidP="008651D1">
      <w:pPr>
        <w:autoSpaceDE w:val="0"/>
        <w:autoSpaceDN w:val="0"/>
        <w:adjustRightInd w:val="0"/>
        <w:rPr>
          <w:rFonts w:cs="Arial"/>
          <w:lang w:val="fr-FR" w:eastAsia="ja-JP"/>
        </w:rPr>
      </w:pPr>
      <w:r w:rsidRPr="008651D1">
        <w:rPr>
          <w:rFonts w:cs="Arial"/>
          <w:lang w:val="fr-FR" w:eastAsia="ja-JP"/>
        </w:rPr>
        <w:fldChar w:fldCharType="begin"/>
      </w:r>
      <w:r w:rsidRPr="008651D1">
        <w:rPr>
          <w:rFonts w:cs="Arial"/>
          <w:lang w:val="fr-FR" w:eastAsia="ja-JP"/>
        </w:rPr>
        <w:instrText xml:space="preserve"> AUTONUM  </w:instrText>
      </w:r>
      <w:r w:rsidRPr="008651D1">
        <w:rPr>
          <w:rFonts w:cs="Arial"/>
          <w:lang w:val="fr-FR" w:eastAsia="ja-JP"/>
        </w:rPr>
        <w:fldChar w:fldCharType="end"/>
      </w:r>
      <w:r w:rsidRPr="008651D1">
        <w:rPr>
          <w:rFonts w:cs="Arial"/>
          <w:lang w:val="fr-FR" w:eastAsia="ja-JP"/>
        </w:rPr>
        <w:tab/>
      </w:r>
      <w:r w:rsidR="004F5F2F" w:rsidRPr="008651D1">
        <w:rPr>
          <w:rFonts w:cs="Arial"/>
          <w:lang w:val="fr-FR" w:eastAsia="ja-JP"/>
        </w:rPr>
        <w:t>Les documents présentés au titre des points de l</w:t>
      </w:r>
      <w:r w:rsidR="00016C98" w:rsidRPr="008651D1">
        <w:rPr>
          <w:rFonts w:cs="Arial"/>
          <w:lang w:val="fr-FR" w:eastAsia="ja-JP"/>
        </w:rPr>
        <w:t>’</w:t>
      </w:r>
      <w:r w:rsidR="004F5F2F" w:rsidRPr="008651D1">
        <w:rPr>
          <w:rFonts w:cs="Arial"/>
          <w:lang w:val="fr-FR" w:eastAsia="ja-JP"/>
        </w:rPr>
        <w:t>ordre du jour de l</w:t>
      </w:r>
      <w:r w:rsidR="00016C98" w:rsidRPr="008651D1">
        <w:rPr>
          <w:rFonts w:cs="Arial"/>
          <w:lang w:val="fr-FR" w:eastAsia="ja-JP"/>
        </w:rPr>
        <w:t>’</w:t>
      </w:r>
      <w:r w:rsidR="004F5F2F" w:rsidRPr="008651D1">
        <w:rPr>
          <w:rFonts w:cs="Arial"/>
          <w:lang w:val="fr-FR" w:eastAsia="ja-JP"/>
        </w:rPr>
        <w:t>Atelier conjoint de l</w:t>
      </w:r>
      <w:r w:rsidR="00016C98" w:rsidRPr="008651D1">
        <w:rPr>
          <w:rFonts w:cs="Arial"/>
          <w:lang w:val="fr-FR" w:eastAsia="ja-JP"/>
        </w:rPr>
        <w:t>’</w:t>
      </w:r>
      <w:r w:rsidR="004F5F2F" w:rsidRPr="008651D1">
        <w:rPr>
          <w:rFonts w:cs="Arial"/>
          <w:lang w:val="fr-FR" w:eastAsia="ja-JP"/>
        </w:rPr>
        <w:t>OCDE, de l</w:t>
      </w:r>
      <w:r w:rsidR="00016C98" w:rsidRPr="008651D1">
        <w:rPr>
          <w:rFonts w:cs="Arial"/>
          <w:lang w:val="fr-FR" w:eastAsia="ja-JP"/>
        </w:rPr>
        <w:t>’</w:t>
      </w:r>
      <w:r w:rsidR="004F5F2F" w:rsidRPr="008651D1">
        <w:rPr>
          <w:rFonts w:cs="Arial"/>
          <w:lang w:val="fr-FR" w:eastAsia="ja-JP"/>
        </w:rPr>
        <w:t>UPOV et de l</w:t>
      </w:r>
      <w:r w:rsidR="00016C98" w:rsidRPr="008651D1">
        <w:rPr>
          <w:rFonts w:cs="Arial"/>
          <w:lang w:val="fr-FR" w:eastAsia="ja-JP"/>
        </w:rPr>
        <w:t>’</w:t>
      </w:r>
      <w:r w:rsidR="004F5F2F" w:rsidRPr="008651D1">
        <w:rPr>
          <w:rFonts w:cs="Arial"/>
          <w:lang w:val="fr-FR" w:eastAsia="ja-JP"/>
        </w:rPr>
        <w:t>ISTA étaient les suivants :</w:t>
      </w:r>
    </w:p>
    <w:p w:rsidR="00DF61EE" w:rsidRPr="008651D1" w:rsidRDefault="00DF61EE" w:rsidP="008651D1">
      <w:pPr>
        <w:rPr>
          <w:lang w:val="fr-FR" w:eastAsia="ja-JP"/>
        </w:rPr>
      </w:pPr>
    </w:p>
    <w:p w:rsidR="00C72A57" w:rsidRPr="00394AF7" w:rsidRDefault="004F5F2F" w:rsidP="008651D1">
      <w:pPr>
        <w:ind w:left="567"/>
        <w:rPr>
          <w:i/>
        </w:rPr>
      </w:pPr>
      <w:bookmarkStart w:id="20" w:name="_Toc410822413"/>
      <w:bookmarkStart w:id="21" w:name="_Toc410822809"/>
      <w:bookmarkStart w:id="22" w:name="_Toc410823316"/>
      <w:r w:rsidRPr="00394AF7">
        <w:rPr>
          <w:i/>
        </w:rPr>
        <w:t>Introduction to the OECD Seed Schemes and the Situation with Regard to Molecular Techniques</w:t>
      </w:r>
      <w:bookmarkEnd w:id="20"/>
      <w:bookmarkEnd w:id="21"/>
      <w:bookmarkEnd w:id="22"/>
    </w:p>
    <w:p w:rsidR="004F5F2F" w:rsidRPr="00394AF7" w:rsidRDefault="004F5F2F" w:rsidP="008651D1">
      <w:pPr>
        <w:ind w:left="567"/>
        <w:rPr>
          <w:i/>
        </w:rPr>
      </w:pPr>
      <w:bookmarkStart w:id="23" w:name="_Toc410822414"/>
      <w:bookmarkStart w:id="24" w:name="_Toc410822810"/>
      <w:bookmarkStart w:id="25" w:name="_Toc410823317"/>
      <w:r w:rsidRPr="00394AF7">
        <w:rPr>
          <w:i/>
        </w:rPr>
        <w:t>(</w:t>
      </w:r>
      <w:proofErr w:type="gramStart"/>
      <w:r w:rsidR="00C72A57" w:rsidRPr="00394AF7">
        <w:rPr>
          <w:i/>
        </w:rPr>
        <w:t>document</w:t>
      </w:r>
      <w:proofErr w:type="gramEnd"/>
      <w:r w:rsidR="00C72A57" w:rsidRPr="00394AF7">
        <w:rPr>
          <w:i/>
        </w:rPr>
        <w:t xml:space="preserve"> BM</w:t>
      </w:r>
      <w:r w:rsidRPr="00394AF7">
        <w:rPr>
          <w:i/>
        </w:rPr>
        <w:t>T/14/Joint/6)</w:t>
      </w:r>
      <w:bookmarkEnd w:id="23"/>
      <w:bookmarkEnd w:id="24"/>
      <w:bookmarkEnd w:id="25"/>
    </w:p>
    <w:p w:rsidR="004F5F2F" w:rsidRPr="00394AF7" w:rsidRDefault="004F5F2F" w:rsidP="008651D1">
      <w:pPr>
        <w:ind w:left="567"/>
        <w:rPr>
          <w:i/>
        </w:rPr>
      </w:pPr>
    </w:p>
    <w:p w:rsidR="00C72A57" w:rsidRPr="00394AF7" w:rsidRDefault="004F5F2F" w:rsidP="008651D1">
      <w:pPr>
        <w:ind w:left="567"/>
        <w:rPr>
          <w:i/>
        </w:rPr>
      </w:pPr>
      <w:bookmarkStart w:id="26" w:name="_Toc410822415"/>
      <w:bookmarkStart w:id="27" w:name="_Toc410822811"/>
      <w:bookmarkStart w:id="28" w:name="_Toc410823318"/>
      <w:r w:rsidRPr="00394AF7">
        <w:rPr>
          <w:i/>
        </w:rPr>
        <w:t>Introduction to UPOV and the Situation with Regard to Molecular Techniques</w:t>
      </w:r>
      <w:bookmarkEnd w:id="26"/>
      <w:bookmarkEnd w:id="27"/>
      <w:bookmarkEnd w:id="28"/>
    </w:p>
    <w:p w:rsidR="004F5F2F" w:rsidRPr="00394AF7" w:rsidRDefault="004F5F2F" w:rsidP="008651D1">
      <w:pPr>
        <w:ind w:left="567"/>
        <w:rPr>
          <w:i/>
        </w:rPr>
      </w:pPr>
      <w:bookmarkStart w:id="29" w:name="_Toc410822416"/>
      <w:bookmarkStart w:id="30" w:name="_Toc410822812"/>
      <w:bookmarkStart w:id="31" w:name="_Toc410823319"/>
      <w:r w:rsidRPr="00394AF7">
        <w:rPr>
          <w:i/>
        </w:rPr>
        <w:t>(</w:t>
      </w:r>
      <w:proofErr w:type="gramStart"/>
      <w:r w:rsidR="00C72A57" w:rsidRPr="00394AF7">
        <w:rPr>
          <w:i/>
        </w:rPr>
        <w:t>document</w:t>
      </w:r>
      <w:proofErr w:type="gramEnd"/>
      <w:r w:rsidR="00C72A57" w:rsidRPr="00394AF7">
        <w:rPr>
          <w:i/>
        </w:rPr>
        <w:t xml:space="preserve"> BM</w:t>
      </w:r>
      <w:r w:rsidRPr="00394AF7">
        <w:rPr>
          <w:i/>
        </w:rPr>
        <w:t>T/14/Joint/4</w:t>
      </w:r>
      <w:r w:rsidR="00DE6D2B" w:rsidRPr="00394AF7">
        <w:rPr>
          <w:i/>
        </w:rPr>
        <w:t> </w:t>
      </w:r>
      <w:r w:rsidRPr="00394AF7">
        <w:rPr>
          <w:i/>
        </w:rPr>
        <w:t>Rev.)</w:t>
      </w:r>
      <w:bookmarkEnd w:id="29"/>
      <w:bookmarkEnd w:id="30"/>
      <w:bookmarkEnd w:id="31"/>
    </w:p>
    <w:p w:rsidR="004F5F2F" w:rsidRPr="00394AF7" w:rsidRDefault="004F5F2F" w:rsidP="008651D1">
      <w:pPr>
        <w:ind w:left="567"/>
        <w:rPr>
          <w:i/>
        </w:rPr>
      </w:pPr>
    </w:p>
    <w:p w:rsidR="00C72A57" w:rsidRPr="00394AF7" w:rsidRDefault="004F5F2F" w:rsidP="008651D1">
      <w:pPr>
        <w:ind w:left="567"/>
        <w:rPr>
          <w:i/>
        </w:rPr>
      </w:pPr>
      <w:bookmarkStart w:id="32" w:name="_Toc410822417"/>
      <w:bookmarkStart w:id="33" w:name="_Toc410822813"/>
      <w:bookmarkStart w:id="34" w:name="_Toc410823320"/>
      <w:r w:rsidRPr="00394AF7">
        <w:rPr>
          <w:i/>
        </w:rPr>
        <w:t>Introduction to ISTA and the Situation with Regard to Molecular Techniques</w:t>
      </w:r>
    </w:p>
    <w:p w:rsidR="004F5F2F" w:rsidRPr="00394AF7" w:rsidRDefault="004F5F2F" w:rsidP="008651D1">
      <w:pPr>
        <w:ind w:left="567"/>
        <w:rPr>
          <w:i/>
        </w:rPr>
      </w:pPr>
      <w:r w:rsidRPr="00394AF7">
        <w:rPr>
          <w:i/>
        </w:rPr>
        <w:t>(</w:t>
      </w:r>
      <w:proofErr w:type="gramStart"/>
      <w:r w:rsidRPr="00394AF7">
        <w:rPr>
          <w:i/>
        </w:rPr>
        <w:t>document/BMT/14/Joint/3</w:t>
      </w:r>
      <w:proofErr w:type="gramEnd"/>
      <w:r w:rsidRPr="00394AF7">
        <w:rPr>
          <w:i/>
        </w:rPr>
        <w:t> Rev.)</w:t>
      </w:r>
      <w:bookmarkEnd w:id="32"/>
      <w:bookmarkEnd w:id="33"/>
      <w:bookmarkEnd w:id="34"/>
    </w:p>
    <w:p w:rsidR="004F5F2F" w:rsidRPr="00394AF7" w:rsidRDefault="004F5F2F" w:rsidP="008651D1">
      <w:pPr>
        <w:ind w:left="567"/>
        <w:rPr>
          <w:i/>
        </w:rPr>
      </w:pPr>
    </w:p>
    <w:p w:rsidR="004F5F2F" w:rsidRPr="00394AF7" w:rsidRDefault="004F5F2F" w:rsidP="008651D1">
      <w:pPr>
        <w:ind w:left="567"/>
        <w:rPr>
          <w:i/>
        </w:rPr>
      </w:pPr>
      <w:bookmarkStart w:id="35" w:name="_Toc410822418"/>
      <w:bookmarkStart w:id="36" w:name="_Toc410822814"/>
      <w:bookmarkStart w:id="37" w:name="_Toc410823321"/>
      <w:r w:rsidRPr="00394AF7">
        <w:rPr>
          <w:i/>
        </w:rPr>
        <w:t>Introduction to ISO and the Situation with Regard to Molecular Techniques (document BMT/14/Joint/2)</w:t>
      </w:r>
      <w:bookmarkEnd w:id="35"/>
      <w:bookmarkEnd w:id="36"/>
      <w:bookmarkEnd w:id="37"/>
    </w:p>
    <w:p w:rsidR="004F5F2F" w:rsidRPr="00394AF7" w:rsidRDefault="004F5F2F" w:rsidP="008651D1">
      <w:pPr>
        <w:ind w:left="567"/>
        <w:rPr>
          <w:i/>
        </w:rPr>
      </w:pPr>
    </w:p>
    <w:p w:rsidR="00DF61EE" w:rsidRPr="00394AF7" w:rsidRDefault="004F5F2F" w:rsidP="008651D1">
      <w:pPr>
        <w:ind w:left="567"/>
        <w:rPr>
          <w:i/>
        </w:rPr>
      </w:pPr>
      <w:bookmarkStart w:id="38" w:name="_Toc410822419"/>
      <w:bookmarkStart w:id="39" w:name="_Toc410822815"/>
      <w:bookmarkStart w:id="40" w:name="_Toc410823322"/>
      <w:r w:rsidRPr="00394AF7">
        <w:rPr>
          <w:i/>
        </w:rPr>
        <w:t>Existing Areas of Cooperation between OECD, UPOV and ISTA (document/BMT/14/Joint/5)</w:t>
      </w:r>
      <w:bookmarkEnd w:id="38"/>
      <w:bookmarkEnd w:id="39"/>
      <w:bookmarkEnd w:id="40"/>
    </w:p>
    <w:p w:rsidR="00DF61EE" w:rsidRPr="00394AF7" w:rsidRDefault="00DF61EE" w:rsidP="008651D1">
      <w:pPr>
        <w:rPr>
          <w:lang w:eastAsia="ja-JP"/>
        </w:rPr>
      </w:pPr>
    </w:p>
    <w:p w:rsidR="00C72A57" w:rsidRPr="008651D1" w:rsidRDefault="009A5CC2" w:rsidP="008651D1">
      <w:pPr>
        <w:rPr>
          <w:rFonts w:cs="Arial"/>
          <w:lang w:val="fr-FR" w:eastAsia="ja-JP"/>
        </w:rPr>
      </w:pPr>
      <w:r w:rsidRPr="008651D1">
        <w:rPr>
          <w:rFonts w:cs="Arial"/>
          <w:lang w:val="fr-FR"/>
        </w:rPr>
        <w:fldChar w:fldCharType="begin"/>
      </w:r>
      <w:r w:rsidRPr="008651D1">
        <w:rPr>
          <w:rFonts w:cs="Arial"/>
          <w:lang w:val="fr-FR"/>
        </w:rPr>
        <w:instrText xml:space="preserve"> AUTONUM  </w:instrText>
      </w:r>
      <w:r w:rsidRPr="008651D1">
        <w:rPr>
          <w:rFonts w:cs="Arial"/>
          <w:lang w:val="fr-FR"/>
        </w:rPr>
        <w:fldChar w:fldCharType="end"/>
      </w:r>
      <w:r w:rsidRPr="008651D1">
        <w:rPr>
          <w:rFonts w:cs="Arial"/>
          <w:lang w:val="fr-FR"/>
        </w:rPr>
        <w:tab/>
      </w:r>
      <w:r w:rsidR="00A33531" w:rsidRPr="008651D1">
        <w:rPr>
          <w:rFonts w:cs="Arial"/>
          <w:lang w:val="fr-FR"/>
        </w:rPr>
        <w:t>Les participants ont convenu qu</w:t>
      </w:r>
      <w:r w:rsidR="00016C98" w:rsidRPr="008651D1">
        <w:rPr>
          <w:rFonts w:cs="Arial"/>
          <w:lang w:val="fr-FR"/>
        </w:rPr>
        <w:t>’</w:t>
      </w:r>
      <w:r w:rsidR="00A33531" w:rsidRPr="008651D1">
        <w:rPr>
          <w:rFonts w:cs="Arial"/>
          <w:lang w:val="fr-FR"/>
        </w:rPr>
        <w:t>il serait utile d</w:t>
      </w:r>
      <w:r w:rsidR="00016C98" w:rsidRPr="008651D1">
        <w:rPr>
          <w:rFonts w:cs="Arial"/>
          <w:lang w:val="fr-FR"/>
        </w:rPr>
        <w:t>’</w:t>
      </w:r>
      <w:r w:rsidR="00A33531" w:rsidRPr="008651D1">
        <w:rPr>
          <w:rFonts w:cs="Arial"/>
          <w:lang w:val="fr-FR"/>
        </w:rPr>
        <w:t>élaborer un document commun présentant les particularités (p.</w:t>
      </w:r>
      <w:r w:rsidR="00DE6D2B" w:rsidRPr="008651D1">
        <w:rPr>
          <w:rFonts w:cs="Arial"/>
          <w:lang w:val="fr-FR"/>
        </w:rPr>
        <w:t> </w:t>
      </w:r>
      <w:r w:rsidR="00A33531" w:rsidRPr="008651D1">
        <w:rPr>
          <w:rFonts w:cs="Arial"/>
          <w:lang w:val="fr-FR"/>
        </w:rPr>
        <w:t>ex. en matière d</w:t>
      </w:r>
      <w:r w:rsidR="00016C98" w:rsidRPr="008651D1">
        <w:rPr>
          <w:rFonts w:cs="Arial"/>
          <w:lang w:val="fr-FR"/>
        </w:rPr>
        <w:t>’</w:t>
      </w:r>
      <w:r w:rsidR="00A33531" w:rsidRPr="008651D1">
        <w:rPr>
          <w:rFonts w:cs="Arial"/>
          <w:lang w:val="fr-FR"/>
        </w:rPr>
        <w:t>examen</w:t>
      </w:r>
      <w:r w:rsidR="00DE6D2B" w:rsidRPr="008651D1">
        <w:rPr>
          <w:rFonts w:cs="Arial"/>
          <w:lang w:val="fr-FR"/>
        </w:rPr>
        <w:t> </w:t>
      </w:r>
      <w:r w:rsidR="00A33531" w:rsidRPr="008651D1">
        <w:rPr>
          <w:rFonts w:cs="Arial"/>
          <w:lang w:val="fr-FR"/>
        </w:rPr>
        <w:t>DHS, d</w:t>
      </w:r>
      <w:r w:rsidR="00016C98" w:rsidRPr="008651D1">
        <w:rPr>
          <w:rFonts w:cs="Arial"/>
          <w:lang w:val="fr-FR"/>
        </w:rPr>
        <w:t>’</w:t>
      </w:r>
      <w:r w:rsidR="00A33531" w:rsidRPr="008651D1">
        <w:rPr>
          <w:rFonts w:cs="Arial"/>
          <w:lang w:val="fr-FR"/>
        </w:rPr>
        <w:t>identification des variétés, de pureté des variétés, etc.) de chacun des systèmes de l</w:t>
      </w:r>
      <w:r w:rsidR="00016C98" w:rsidRPr="008651D1">
        <w:rPr>
          <w:rFonts w:cs="Arial"/>
          <w:lang w:val="fr-FR"/>
        </w:rPr>
        <w:t>’</w:t>
      </w:r>
      <w:r w:rsidR="00A33531" w:rsidRPr="008651D1">
        <w:rPr>
          <w:rFonts w:cs="Arial"/>
          <w:lang w:val="fr-FR"/>
        </w:rPr>
        <w:t>OCDE, de l</w:t>
      </w:r>
      <w:r w:rsidR="00016C98" w:rsidRPr="008651D1">
        <w:rPr>
          <w:rFonts w:cs="Arial"/>
          <w:lang w:val="fr-FR"/>
        </w:rPr>
        <w:t>’</w:t>
      </w:r>
      <w:r w:rsidR="00A33531" w:rsidRPr="008651D1">
        <w:rPr>
          <w:rFonts w:cs="Arial"/>
          <w:lang w:val="fr-FR"/>
        </w:rPr>
        <w:t>UPOV et de l</w:t>
      </w:r>
      <w:r w:rsidR="00016C98" w:rsidRPr="008651D1">
        <w:rPr>
          <w:rFonts w:cs="Arial"/>
          <w:lang w:val="fr-FR"/>
        </w:rPr>
        <w:t>’</w:t>
      </w:r>
      <w:r w:rsidR="00A33531" w:rsidRPr="008651D1">
        <w:rPr>
          <w:rFonts w:cs="Arial"/>
          <w:lang w:val="fr-FR"/>
        </w:rPr>
        <w:t>ISTA</w:t>
      </w:r>
      <w:r w:rsidRPr="008651D1">
        <w:rPr>
          <w:rFonts w:cs="Arial"/>
          <w:lang w:val="fr-FR" w:eastAsia="ja-JP"/>
        </w:rPr>
        <w:t xml:space="preserve">.  </w:t>
      </w:r>
      <w:r w:rsidR="00A33531" w:rsidRPr="008651D1">
        <w:rPr>
          <w:rFonts w:cs="Arial"/>
          <w:lang w:val="fr-FR" w:eastAsia="ja-JP"/>
        </w:rPr>
        <w:t>Il a également été convenu qu</w:t>
      </w:r>
      <w:r w:rsidR="00016C98" w:rsidRPr="008651D1">
        <w:rPr>
          <w:rFonts w:cs="Arial"/>
          <w:lang w:val="fr-FR" w:eastAsia="ja-JP"/>
        </w:rPr>
        <w:t>’</w:t>
      </w:r>
      <w:r w:rsidR="00A33531" w:rsidRPr="008651D1">
        <w:rPr>
          <w:rFonts w:cs="Arial"/>
          <w:lang w:val="fr-FR" w:eastAsia="ja-JP"/>
        </w:rPr>
        <w:t>il serait utile, aux fins d</w:t>
      </w:r>
      <w:r w:rsidR="00016C98" w:rsidRPr="008651D1">
        <w:rPr>
          <w:rFonts w:cs="Arial"/>
          <w:lang w:val="fr-FR" w:eastAsia="ja-JP"/>
        </w:rPr>
        <w:t>’</w:t>
      </w:r>
      <w:r w:rsidR="00A33531" w:rsidRPr="008651D1">
        <w:rPr>
          <w:rFonts w:cs="Arial"/>
          <w:lang w:val="fr-FR" w:eastAsia="ja-JP"/>
        </w:rPr>
        <w:t>une bonne compréhension mutuelle</w:t>
      </w:r>
      <w:r w:rsidRPr="008651D1">
        <w:rPr>
          <w:rFonts w:cs="Arial"/>
          <w:lang w:val="fr-FR" w:eastAsia="ja-JP"/>
        </w:rPr>
        <w:t xml:space="preserve">, </w:t>
      </w:r>
      <w:r w:rsidR="00E6337A" w:rsidRPr="008651D1">
        <w:rPr>
          <w:rFonts w:cs="Arial"/>
          <w:lang w:val="fr-FR" w:eastAsia="ja-JP"/>
        </w:rPr>
        <w:t>d</w:t>
      </w:r>
      <w:r w:rsidR="00016C98" w:rsidRPr="008651D1">
        <w:rPr>
          <w:rFonts w:cs="Arial"/>
          <w:lang w:val="fr-FR" w:eastAsia="ja-JP"/>
        </w:rPr>
        <w:t>’</w:t>
      </w:r>
      <w:r w:rsidR="00E6337A" w:rsidRPr="008651D1">
        <w:rPr>
          <w:rFonts w:cs="Arial"/>
          <w:lang w:val="fr-FR" w:eastAsia="ja-JP"/>
        </w:rPr>
        <w:t xml:space="preserve">organiser à nouveau </w:t>
      </w:r>
      <w:r w:rsidR="00A33531" w:rsidRPr="008651D1">
        <w:rPr>
          <w:rFonts w:cs="Arial"/>
          <w:lang w:val="fr-FR" w:eastAsia="ja-JP"/>
        </w:rPr>
        <w:t xml:space="preserve">cet atelier conjoint </w:t>
      </w:r>
      <w:r w:rsidR="00E6337A" w:rsidRPr="008651D1">
        <w:rPr>
          <w:rFonts w:cs="Arial"/>
          <w:lang w:val="fr-FR" w:eastAsia="ja-JP"/>
        </w:rPr>
        <w:t>dans le cadre des</w:t>
      </w:r>
      <w:r w:rsidR="00A33531" w:rsidRPr="008651D1">
        <w:rPr>
          <w:rFonts w:cs="Arial"/>
          <w:lang w:val="fr-FR" w:eastAsia="ja-JP"/>
        </w:rPr>
        <w:t xml:space="preserve"> réunions pertinentes de l</w:t>
      </w:r>
      <w:r w:rsidR="00016C98" w:rsidRPr="008651D1">
        <w:rPr>
          <w:rFonts w:cs="Arial"/>
          <w:lang w:val="fr-FR" w:eastAsia="ja-JP"/>
        </w:rPr>
        <w:t>’</w:t>
      </w:r>
      <w:r w:rsidR="00A33531" w:rsidRPr="008651D1">
        <w:rPr>
          <w:rFonts w:cs="Arial"/>
          <w:lang w:val="fr-FR" w:eastAsia="ja-JP"/>
        </w:rPr>
        <w:t>OCDE et de l</w:t>
      </w:r>
      <w:r w:rsidR="00016C98" w:rsidRPr="008651D1">
        <w:rPr>
          <w:rFonts w:cs="Arial"/>
          <w:lang w:val="fr-FR" w:eastAsia="ja-JP"/>
        </w:rPr>
        <w:t>’</w:t>
      </w:r>
      <w:r w:rsidR="00A33531" w:rsidRPr="008651D1">
        <w:rPr>
          <w:rFonts w:cs="Arial"/>
          <w:lang w:val="fr-FR" w:eastAsia="ja-JP"/>
        </w:rPr>
        <w:t xml:space="preserve">ISTA </w:t>
      </w:r>
      <w:r w:rsidR="004723C0" w:rsidRPr="008651D1">
        <w:rPr>
          <w:rFonts w:cs="Arial"/>
          <w:lang w:val="fr-FR" w:eastAsia="ja-JP"/>
        </w:rPr>
        <w:t>(</w:t>
      </w:r>
      <w:r w:rsidR="00A33531" w:rsidRPr="008651D1">
        <w:rPr>
          <w:rFonts w:cs="Arial"/>
          <w:lang w:val="fr-FR" w:eastAsia="ja-JP"/>
        </w:rPr>
        <w:t>voir le paragraphe</w:t>
      </w:r>
      <w:r w:rsidR="00DE6D2B" w:rsidRPr="008651D1">
        <w:rPr>
          <w:rFonts w:cs="Arial"/>
          <w:lang w:val="fr-FR" w:eastAsia="ja-JP"/>
        </w:rPr>
        <w:t> </w:t>
      </w:r>
      <w:r w:rsidR="00A33531" w:rsidRPr="008651D1">
        <w:rPr>
          <w:rFonts w:cs="Arial"/>
          <w:lang w:val="fr-FR" w:eastAsia="ja-JP"/>
        </w:rPr>
        <w:t>54 du</w:t>
      </w:r>
      <w:r w:rsidR="004723C0" w:rsidRPr="008651D1">
        <w:rPr>
          <w:rFonts w:cs="Arial"/>
          <w:lang w:val="fr-FR" w:eastAsia="ja-JP"/>
        </w:rPr>
        <w:t xml:space="preserve"> document BMT/14/20 “Report”)</w:t>
      </w:r>
      <w:r w:rsidRPr="008651D1">
        <w:rPr>
          <w:rFonts w:cs="Arial"/>
          <w:lang w:val="fr-FR" w:eastAsia="ja-JP"/>
        </w:rPr>
        <w:t>.</w:t>
      </w:r>
    </w:p>
    <w:p w:rsidR="00DF61EE" w:rsidRPr="008651D1" w:rsidRDefault="00DF61EE" w:rsidP="008651D1">
      <w:pPr>
        <w:rPr>
          <w:rFonts w:cs="Arial"/>
          <w:lang w:val="fr-FR" w:eastAsia="ja-JP"/>
        </w:rPr>
      </w:pPr>
    </w:p>
    <w:p w:rsidR="00DF61EE" w:rsidRPr="008651D1" w:rsidRDefault="009A5CC2" w:rsidP="008651D1">
      <w:pPr>
        <w:keepNext/>
        <w:keepLines/>
        <w:rPr>
          <w:rFonts w:cs="Arial"/>
          <w:lang w:val="fr-FR" w:eastAsia="ja-JP"/>
        </w:rPr>
      </w:pPr>
      <w:r w:rsidRPr="008651D1">
        <w:rPr>
          <w:rFonts w:cs="Arial"/>
          <w:lang w:val="fr-FR"/>
        </w:rPr>
        <w:fldChar w:fldCharType="begin"/>
      </w:r>
      <w:r w:rsidRPr="008651D1">
        <w:rPr>
          <w:rFonts w:cs="Arial"/>
          <w:lang w:val="fr-FR"/>
        </w:rPr>
        <w:instrText xml:space="preserve"> AUTONUM  </w:instrText>
      </w:r>
      <w:r w:rsidRPr="008651D1">
        <w:rPr>
          <w:rFonts w:cs="Arial"/>
          <w:lang w:val="fr-FR"/>
        </w:rPr>
        <w:fldChar w:fldCharType="end"/>
      </w:r>
      <w:r w:rsidRPr="008651D1">
        <w:rPr>
          <w:rFonts w:cs="Arial"/>
          <w:lang w:val="fr-FR"/>
        </w:rPr>
        <w:tab/>
      </w:r>
      <w:r w:rsidR="004F45B6" w:rsidRPr="008651D1">
        <w:rPr>
          <w:rFonts w:cs="Arial"/>
          <w:lang w:val="fr-FR"/>
        </w:rPr>
        <w:t xml:space="preserve">Les participants sont convenus </w:t>
      </w:r>
      <w:r w:rsidR="00E5661E" w:rsidRPr="008651D1">
        <w:rPr>
          <w:rFonts w:cs="Arial"/>
          <w:lang w:val="fr-FR"/>
        </w:rPr>
        <w:t>de proposer que l</w:t>
      </w:r>
      <w:r w:rsidR="00016C98" w:rsidRPr="008651D1">
        <w:rPr>
          <w:rFonts w:cs="Arial"/>
          <w:lang w:val="fr-FR"/>
        </w:rPr>
        <w:t>’</w:t>
      </w:r>
      <w:r w:rsidR="004F45B6" w:rsidRPr="008651D1">
        <w:rPr>
          <w:rFonts w:cs="Arial"/>
          <w:lang w:val="fr-FR"/>
        </w:rPr>
        <w:t>UPOV, l</w:t>
      </w:r>
      <w:r w:rsidR="00016C98" w:rsidRPr="008651D1">
        <w:rPr>
          <w:rFonts w:cs="Arial"/>
          <w:lang w:val="fr-FR"/>
        </w:rPr>
        <w:t>’</w:t>
      </w:r>
      <w:r w:rsidR="004F45B6" w:rsidRPr="008651D1">
        <w:rPr>
          <w:rFonts w:cs="Arial"/>
          <w:lang w:val="fr-FR"/>
        </w:rPr>
        <w:t>OCDE et l</w:t>
      </w:r>
      <w:r w:rsidR="00016C98" w:rsidRPr="008651D1">
        <w:rPr>
          <w:rFonts w:cs="Arial"/>
          <w:lang w:val="fr-FR"/>
        </w:rPr>
        <w:t>’</w:t>
      </w:r>
      <w:r w:rsidR="004F45B6" w:rsidRPr="008651D1">
        <w:rPr>
          <w:rFonts w:cs="Arial"/>
          <w:lang w:val="fr-FR"/>
        </w:rPr>
        <w:t>ISTA dressent un inventaire</w:t>
      </w:r>
      <w:r w:rsidR="00E5661E" w:rsidRPr="008651D1">
        <w:rPr>
          <w:rFonts w:cs="Arial"/>
          <w:lang w:val="fr-FR"/>
        </w:rPr>
        <w:t>,</w:t>
      </w:r>
      <w:r w:rsidR="004F45B6" w:rsidRPr="008651D1">
        <w:rPr>
          <w:rFonts w:cs="Arial"/>
          <w:lang w:val="fr-FR"/>
        </w:rPr>
        <w:t xml:space="preserve"> </w:t>
      </w:r>
      <w:r w:rsidR="00E5661E" w:rsidRPr="008651D1">
        <w:rPr>
          <w:rFonts w:cs="Arial"/>
          <w:lang w:val="fr-FR"/>
        </w:rPr>
        <w:t>par plante</w:t>
      </w:r>
      <w:r w:rsidR="00E5661E" w:rsidRPr="008651D1">
        <w:rPr>
          <w:rFonts w:cs="Arial"/>
          <w:lang w:val="fr-FR" w:eastAsia="ja-JP"/>
        </w:rPr>
        <w:t xml:space="preserve">, </w:t>
      </w:r>
      <w:r w:rsidR="00E5661E" w:rsidRPr="008651D1">
        <w:rPr>
          <w:rFonts w:cs="Arial"/>
          <w:lang w:val="fr-FR"/>
        </w:rPr>
        <w:t>de</w:t>
      </w:r>
      <w:r w:rsidR="004F45B6" w:rsidRPr="008651D1">
        <w:rPr>
          <w:rFonts w:cs="Arial"/>
          <w:lang w:val="fr-FR"/>
        </w:rPr>
        <w:t xml:space="preserve"> l</w:t>
      </w:r>
      <w:r w:rsidR="00016C98" w:rsidRPr="008651D1">
        <w:rPr>
          <w:rFonts w:cs="Arial"/>
          <w:lang w:val="fr-FR"/>
        </w:rPr>
        <w:t>’</w:t>
      </w:r>
      <w:r w:rsidR="004F45B6" w:rsidRPr="008651D1">
        <w:rPr>
          <w:rFonts w:cs="Arial"/>
          <w:lang w:val="fr-FR"/>
        </w:rPr>
        <w:t xml:space="preserve">utilisation </w:t>
      </w:r>
      <w:r w:rsidR="00E5661E" w:rsidRPr="008651D1">
        <w:rPr>
          <w:rFonts w:cs="Arial"/>
          <w:lang w:val="fr-FR"/>
        </w:rPr>
        <w:t>qu</w:t>
      </w:r>
      <w:r w:rsidR="00016C98" w:rsidRPr="008651D1">
        <w:rPr>
          <w:rFonts w:cs="Arial"/>
          <w:lang w:val="fr-FR"/>
        </w:rPr>
        <w:t>’</w:t>
      </w:r>
      <w:r w:rsidR="00E5661E" w:rsidRPr="008651D1">
        <w:rPr>
          <w:rFonts w:cs="Arial"/>
          <w:lang w:val="fr-FR"/>
        </w:rPr>
        <w:t>ils font des</w:t>
      </w:r>
      <w:r w:rsidR="004F45B6" w:rsidRPr="008651D1">
        <w:rPr>
          <w:rFonts w:cs="Arial"/>
          <w:lang w:val="fr-FR"/>
        </w:rPr>
        <w:t xml:space="preserve"> techniques </w:t>
      </w:r>
      <w:r w:rsidR="00B10488" w:rsidRPr="008651D1">
        <w:rPr>
          <w:rFonts w:cs="Arial"/>
          <w:lang w:val="fr-FR"/>
        </w:rPr>
        <w:t>faisant intervenir des</w:t>
      </w:r>
      <w:r w:rsidR="00E5661E" w:rsidRPr="008651D1">
        <w:rPr>
          <w:rFonts w:cs="Arial"/>
          <w:lang w:val="fr-FR"/>
        </w:rPr>
        <w:t xml:space="preserve"> marqueurs moléculaires</w:t>
      </w:r>
      <w:r w:rsidR="00D05B03" w:rsidRPr="008651D1">
        <w:rPr>
          <w:rFonts w:cs="Arial"/>
          <w:lang w:val="fr-FR"/>
        </w:rPr>
        <w:t>,</w:t>
      </w:r>
      <w:r w:rsidR="00E5661E" w:rsidRPr="008651D1">
        <w:rPr>
          <w:rFonts w:cs="Arial"/>
          <w:lang w:val="fr-FR"/>
        </w:rPr>
        <w:t xml:space="preserve"> </w:t>
      </w:r>
      <w:r w:rsidR="00E5661E" w:rsidRPr="008651D1">
        <w:rPr>
          <w:rFonts w:cs="Arial"/>
          <w:lang w:val="fr-FR" w:eastAsia="ja-JP"/>
        </w:rPr>
        <w:t>en vue de l</w:t>
      </w:r>
      <w:r w:rsidR="00016C98" w:rsidRPr="008651D1">
        <w:rPr>
          <w:rFonts w:cs="Arial"/>
          <w:lang w:val="fr-FR" w:eastAsia="ja-JP"/>
        </w:rPr>
        <w:t>’</w:t>
      </w:r>
      <w:r w:rsidR="00E5661E" w:rsidRPr="008651D1">
        <w:rPr>
          <w:rFonts w:cs="Arial"/>
          <w:lang w:val="fr-FR" w:eastAsia="ja-JP"/>
        </w:rPr>
        <w:t>élaboration d</w:t>
      </w:r>
      <w:r w:rsidR="00016C98" w:rsidRPr="008651D1">
        <w:rPr>
          <w:rFonts w:cs="Arial"/>
          <w:lang w:val="fr-FR" w:eastAsia="ja-JP"/>
        </w:rPr>
        <w:t>’</w:t>
      </w:r>
      <w:r w:rsidR="00E5661E" w:rsidRPr="008651D1">
        <w:rPr>
          <w:rFonts w:cs="Arial"/>
          <w:lang w:val="fr-FR" w:eastAsia="ja-JP"/>
        </w:rPr>
        <w:t>un document contenant ces informations,</w:t>
      </w:r>
      <w:r w:rsidRPr="008651D1">
        <w:rPr>
          <w:rFonts w:cs="Arial"/>
          <w:lang w:val="fr-FR" w:eastAsia="ja-JP"/>
        </w:rPr>
        <w:t xml:space="preserve"> </w:t>
      </w:r>
      <w:r w:rsidR="00E5661E" w:rsidRPr="008651D1">
        <w:rPr>
          <w:rFonts w:cs="Arial"/>
          <w:lang w:val="fr-FR" w:eastAsia="ja-JP"/>
        </w:rPr>
        <w:t>dans un format semblable à celui du document</w:t>
      </w:r>
      <w:r w:rsidRPr="008651D1">
        <w:rPr>
          <w:rFonts w:cs="Arial"/>
          <w:lang w:val="fr-FR" w:eastAsia="ja-JP"/>
        </w:rPr>
        <w:t xml:space="preserve"> UPOV/INF/16 “</w:t>
      </w:r>
      <w:r w:rsidR="00E5661E" w:rsidRPr="008651D1">
        <w:rPr>
          <w:rFonts w:cs="Arial"/>
          <w:lang w:val="fr-FR" w:eastAsia="ja-JP"/>
        </w:rPr>
        <w:t>Logiciels échangeables</w:t>
      </w:r>
      <w:r w:rsidRPr="008651D1">
        <w:rPr>
          <w:rFonts w:cs="Arial"/>
          <w:lang w:val="fr-FR" w:eastAsia="ja-JP"/>
        </w:rPr>
        <w:t xml:space="preserve">”.  </w:t>
      </w:r>
      <w:r w:rsidR="00E5661E" w:rsidRPr="008651D1">
        <w:rPr>
          <w:rFonts w:cs="Arial"/>
          <w:lang w:val="fr-FR" w:eastAsia="ja-JP"/>
        </w:rPr>
        <w:t>Il a été relevé que l</w:t>
      </w:r>
      <w:r w:rsidR="00016C98" w:rsidRPr="008651D1">
        <w:rPr>
          <w:rFonts w:cs="Arial"/>
          <w:lang w:val="fr-FR" w:eastAsia="ja-JP"/>
        </w:rPr>
        <w:t>’</w:t>
      </w:r>
      <w:r w:rsidR="00E5661E" w:rsidRPr="008651D1">
        <w:rPr>
          <w:rFonts w:cs="Arial"/>
          <w:lang w:val="fr-FR" w:eastAsia="ja-JP"/>
        </w:rPr>
        <w:t>OCDE avait déjà recueilli des informations sur l</w:t>
      </w:r>
      <w:r w:rsidR="00016C98" w:rsidRPr="008651D1">
        <w:rPr>
          <w:rFonts w:cs="Arial"/>
          <w:lang w:val="fr-FR" w:eastAsia="ja-JP"/>
        </w:rPr>
        <w:t>’</w:t>
      </w:r>
      <w:r w:rsidR="00E5661E" w:rsidRPr="008651D1">
        <w:rPr>
          <w:rFonts w:cs="Arial"/>
          <w:lang w:val="fr-FR" w:eastAsia="ja-JP"/>
        </w:rPr>
        <w:t>utilisation faite par ses autorités désignées des techniques moléculaires (voir le paragraphe</w:t>
      </w:r>
      <w:r w:rsidR="00DE6D2B" w:rsidRPr="008651D1">
        <w:rPr>
          <w:rFonts w:cs="Arial"/>
          <w:lang w:val="fr-FR" w:eastAsia="ja-JP"/>
        </w:rPr>
        <w:t> </w:t>
      </w:r>
      <w:r w:rsidR="00E5661E" w:rsidRPr="008651D1">
        <w:rPr>
          <w:rFonts w:cs="Arial"/>
          <w:lang w:val="fr-FR" w:eastAsia="ja-JP"/>
        </w:rPr>
        <w:t>55 du</w:t>
      </w:r>
      <w:r w:rsidR="00121AA6" w:rsidRPr="008651D1">
        <w:rPr>
          <w:rFonts w:cs="Arial"/>
          <w:lang w:val="fr-FR" w:eastAsia="ja-JP"/>
        </w:rPr>
        <w:t> </w:t>
      </w:r>
      <w:r w:rsidR="004723C0" w:rsidRPr="008651D1">
        <w:rPr>
          <w:rFonts w:cs="Arial"/>
          <w:lang w:val="fr-FR" w:eastAsia="ja-JP"/>
        </w:rPr>
        <w:t>document BMT/14/20 “Report”).</w:t>
      </w:r>
    </w:p>
    <w:p w:rsidR="00DF61EE" w:rsidRPr="008651D1" w:rsidRDefault="00DF61EE" w:rsidP="008651D1">
      <w:pPr>
        <w:keepNext/>
        <w:keepLines/>
        <w:rPr>
          <w:rFonts w:cs="Arial"/>
          <w:lang w:val="fr-FR" w:eastAsia="ja-JP"/>
        </w:rPr>
      </w:pPr>
    </w:p>
    <w:p w:rsidR="00DF61EE" w:rsidRPr="008651D1" w:rsidRDefault="009A5CC2" w:rsidP="008651D1">
      <w:pPr>
        <w:rPr>
          <w:rFonts w:cs="Arial"/>
          <w:lang w:val="fr-FR" w:eastAsia="ja-JP"/>
        </w:rPr>
      </w:pPr>
      <w:r w:rsidRPr="008651D1">
        <w:rPr>
          <w:rFonts w:cs="Arial"/>
          <w:lang w:val="fr-FR"/>
        </w:rPr>
        <w:fldChar w:fldCharType="begin"/>
      </w:r>
      <w:r w:rsidRPr="008651D1">
        <w:rPr>
          <w:rFonts w:cs="Arial"/>
          <w:lang w:val="fr-FR"/>
        </w:rPr>
        <w:instrText xml:space="preserve"> AUTONUM  </w:instrText>
      </w:r>
      <w:r w:rsidRPr="008651D1">
        <w:rPr>
          <w:rFonts w:cs="Arial"/>
          <w:lang w:val="fr-FR"/>
        </w:rPr>
        <w:fldChar w:fldCharType="end"/>
      </w:r>
      <w:r w:rsidRPr="008651D1">
        <w:rPr>
          <w:rFonts w:cs="Arial"/>
          <w:lang w:val="fr-FR"/>
        </w:rPr>
        <w:tab/>
      </w:r>
      <w:r w:rsidR="00E5661E" w:rsidRPr="008651D1">
        <w:rPr>
          <w:rFonts w:cs="Arial"/>
          <w:lang w:val="fr-FR"/>
        </w:rPr>
        <w:t>Les participants sont également convenus de proposer d</w:t>
      </w:r>
      <w:r w:rsidR="00016C98" w:rsidRPr="008651D1">
        <w:rPr>
          <w:rFonts w:cs="Arial"/>
          <w:lang w:val="fr-FR"/>
        </w:rPr>
        <w:t>’</w:t>
      </w:r>
      <w:r w:rsidR="00E5661E" w:rsidRPr="008651D1">
        <w:rPr>
          <w:rFonts w:cs="Arial"/>
          <w:lang w:val="fr-FR"/>
        </w:rPr>
        <w:t xml:space="preserve">inviter </w:t>
      </w:r>
      <w:r w:rsidR="00E5661E" w:rsidRPr="008651D1">
        <w:rPr>
          <w:rFonts w:cs="Arial"/>
          <w:lang w:val="fr-FR" w:eastAsia="ja-JP"/>
        </w:rPr>
        <w:t>l</w:t>
      </w:r>
      <w:r w:rsidR="00016C98" w:rsidRPr="008651D1">
        <w:rPr>
          <w:rFonts w:cs="Arial"/>
          <w:lang w:val="fr-FR" w:eastAsia="ja-JP"/>
        </w:rPr>
        <w:t>’</w:t>
      </w:r>
      <w:r w:rsidRPr="008651D1">
        <w:rPr>
          <w:rFonts w:cs="Arial"/>
          <w:lang w:val="fr-FR" w:eastAsia="ja-JP"/>
        </w:rPr>
        <w:t xml:space="preserve">UPOV, </w:t>
      </w:r>
      <w:r w:rsidR="00E5661E" w:rsidRPr="008651D1">
        <w:rPr>
          <w:rFonts w:cs="Arial"/>
          <w:lang w:val="fr-FR" w:eastAsia="ja-JP"/>
        </w:rPr>
        <w:t>l</w:t>
      </w:r>
      <w:r w:rsidR="00016C98" w:rsidRPr="008651D1">
        <w:rPr>
          <w:rFonts w:cs="Arial"/>
          <w:lang w:val="fr-FR" w:eastAsia="ja-JP"/>
        </w:rPr>
        <w:t>’</w:t>
      </w:r>
      <w:r w:rsidR="00E5661E" w:rsidRPr="008651D1">
        <w:rPr>
          <w:rFonts w:cs="Arial"/>
          <w:lang w:val="fr-FR" w:eastAsia="ja-JP"/>
        </w:rPr>
        <w:t>OCDE et l</w:t>
      </w:r>
      <w:r w:rsidR="00016C98" w:rsidRPr="008651D1">
        <w:rPr>
          <w:rFonts w:cs="Arial"/>
          <w:lang w:val="fr-FR" w:eastAsia="ja-JP"/>
        </w:rPr>
        <w:t>’</w:t>
      </w:r>
      <w:r w:rsidRPr="008651D1">
        <w:rPr>
          <w:rFonts w:cs="Arial"/>
          <w:lang w:val="fr-FR" w:eastAsia="ja-JP"/>
        </w:rPr>
        <w:t xml:space="preserve">ISTA </w:t>
      </w:r>
      <w:r w:rsidR="00E5661E" w:rsidRPr="008651D1">
        <w:rPr>
          <w:rFonts w:cs="Arial"/>
          <w:lang w:val="fr-FR" w:eastAsia="ja-JP"/>
        </w:rPr>
        <w:t>à dresser des listes d</w:t>
      </w:r>
      <w:r w:rsidR="00016C98" w:rsidRPr="008651D1">
        <w:rPr>
          <w:rFonts w:cs="Arial"/>
          <w:lang w:val="fr-FR" w:eastAsia="ja-JP"/>
        </w:rPr>
        <w:t>’</w:t>
      </w:r>
      <w:r w:rsidR="00E5661E" w:rsidRPr="008651D1">
        <w:rPr>
          <w:rFonts w:cs="Arial"/>
          <w:lang w:val="fr-FR" w:eastAsia="ja-JP"/>
        </w:rPr>
        <w:t>initiatives conjointes possibles dans le domaine des techniques moléculaires</w:t>
      </w:r>
      <w:r w:rsidRPr="008651D1">
        <w:rPr>
          <w:rFonts w:cs="Arial"/>
          <w:lang w:val="fr-FR" w:eastAsia="ja-JP"/>
        </w:rPr>
        <w:t xml:space="preserve">.  </w:t>
      </w:r>
      <w:r w:rsidR="00E5661E" w:rsidRPr="008651D1">
        <w:rPr>
          <w:rFonts w:cs="Arial"/>
          <w:lang w:val="fr-FR" w:eastAsia="ja-JP"/>
        </w:rPr>
        <w:t xml:space="preserve">Il a été relevé que, </w:t>
      </w:r>
      <w:r w:rsidR="0019639F" w:rsidRPr="008651D1">
        <w:rPr>
          <w:rFonts w:cs="Arial"/>
          <w:lang w:val="fr-FR" w:eastAsia="ja-JP"/>
        </w:rPr>
        <w:t>dans le cas de l</w:t>
      </w:r>
      <w:r w:rsidR="00016C98" w:rsidRPr="008651D1">
        <w:rPr>
          <w:rFonts w:cs="Arial"/>
          <w:lang w:val="fr-FR" w:eastAsia="ja-JP"/>
        </w:rPr>
        <w:t>’</w:t>
      </w:r>
      <w:r w:rsidR="0019639F" w:rsidRPr="008651D1">
        <w:rPr>
          <w:rFonts w:cs="Arial"/>
          <w:lang w:val="fr-FR" w:eastAsia="ja-JP"/>
        </w:rPr>
        <w:t>UPOV, la liste pourrait être rédigée par</w:t>
      </w:r>
      <w:r w:rsidR="00C72A57" w:rsidRPr="008651D1">
        <w:rPr>
          <w:rFonts w:cs="Arial"/>
          <w:lang w:val="fr-FR" w:eastAsia="ja-JP"/>
        </w:rPr>
        <w:t xml:space="preserve"> le BMT</w:t>
      </w:r>
      <w:r w:rsidR="0019639F" w:rsidRPr="008651D1">
        <w:rPr>
          <w:rFonts w:cs="Arial"/>
          <w:lang w:val="fr-FR" w:eastAsia="ja-JP"/>
        </w:rPr>
        <w:t xml:space="preserve"> à sa quinzième</w:t>
      </w:r>
      <w:r w:rsidR="00DE6D2B" w:rsidRPr="008651D1">
        <w:rPr>
          <w:rFonts w:cs="Arial"/>
          <w:lang w:val="fr-FR" w:eastAsia="ja-JP"/>
        </w:rPr>
        <w:t> </w:t>
      </w:r>
      <w:r w:rsidR="0019639F" w:rsidRPr="008651D1">
        <w:rPr>
          <w:rFonts w:cs="Arial"/>
          <w:lang w:val="fr-FR" w:eastAsia="ja-JP"/>
        </w:rPr>
        <w:t>session, sous réserve de l</w:t>
      </w:r>
      <w:r w:rsidR="00016C98" w:rsidRPr="008651D1">
        <w:rPr>
          <w:rFonts w:cs="Arial"/>
          <w:lang w:val="fr-FR" w:eastAsia="ja-JP"/>
        </w:rPr>
        <w:t>’</w:t>
      </w:r>
      <w:r w:rsidR="0019639F" w:rsidRPr="008651D1">
        <w:rPr>
          <w:rFonts w:cs="Arial"/>
          <w:lang w:val="fr-FR" w:eastAsia="ja-JP"/>
        </w:rPr>
        <w:t xml:space="preserve">approbation du Comité technique </w:t>
      </w:r>
      <w:r w:rsidR="00121AA6" w:rsidRPr="008651D1">
        <w:rPr>
          <w:rFonts w:cs="Arial"/>
          <w:lang w:val="fr-FR" w:eastAsia="ja-JP"/>
        </w:rPr>
        <w:t>(</w:t>
      </w:r>
      <w:r w:rsidR="0019639F" w:rsidRPr="008651D1">
        <w:rPr>
          <w:rFonts w:cs="Arial"/>
          <w:lang w:val="fr-FR" w:eastAsia="ja-JP"/>
        </w:rPr>
        <w:t>voir le paragraphe</w:t>
      </w:r>
      <w:r w:rsidR="00DE6D2B" w:rsidRPr="008651D1">
        <w:rPr>
          <w:rFonts w:cs="Arial"/>
          <w:lang w:val="fr-FR" w:eastAsia="ja-JP"/>
        </w:rPr>
        <w:t> </w:t>
      </w:r>
      <w:r w:rsidR="0019639F" w:rsidRPr="008651D1">
        <w:rPr>
          <w:rFonts w:cs="Arial"/>
          <w:lang w:val="fr-FR" w:eastAsia="ja-JP"/>
        </w:rPr>
        <w:t>56 du</w:t>
      </w:r>
      <w:r w:rsidR="00121AA6" w:rsidRPr="008651D1">
        <w:rPr>
          <w:rFonts w:cs="Arial"/>
          <w:lang w:val="fr-FR" w:eastAsia="ja-JP"/>
        </w:rPr>
        <w:t> </w:t>
      </w:r>
      <w:r w:rsidR="00C72A57" w:rsidRPr="008651D1">
        <w:rPr>
          <w:rFonts w:cs="Arial"/>
          <w:lang w:val="fr-FR" w:eastAsia="ja-JP"/>
        </w:rPr>
        <w:t>document BM</w:t>
      </w:r>
      <w:r w:rsidR="004723C0" w:rsidRPr="008651D1">
        <w:rPr>
          <w:rFonts w:cs="Arial"/>
          <w:lang w:val="fr-FR" w:eastAsia="ja-JP"/>
        </w:rPr>
        <w:t>T/14/20 “Report”)</w:t>
      </w:r>
      <w:r w:rsidRPr="008651D1">
        <w:rPr>
          <w:rFonts w:cs="Arial"/>
          <w:lang w:val="fr-FR" w:eastAsia="ja-JP"/>
        </w:rPr>
        <w:t>.</w:t>
      </w:r>
    </w:p>
    <w:p w:rsidR="00DF61EE" w:rsidRPr="008651D1" w:rsidRDefault="00DF61EE" w:rsidP="008651D1">
      <w:pPr>
        <w:rPr>
          <w:rFonts w:cs="Arial"/>
          <w:lang w:val="fr-FR" w:eastAsia="ja-JP"/>
        </w:rPr>
      </w:pPr>
    </w:p>
    <w:p w:rsidR="00DF61EE" w:rsidRPr="008651D1" w:rsidRDefault="007520E2" w:rsidP="008651D1">
      <w:pPr>
        <w:keepNext/>
        <w:rPr>
          <w:snapToGrid w:val="0"/>
          <w:lang w:val="fr-FR"/>
        </w:rPr>
      </w:pPr>
      <w:r w:rsidRPr="008651D1">
        <w:rPr>
          <w:snapToGrid w:val="0"/>
          <w:lang w:val="fr-FR"/>
        </w:rPr>
        <w:fldChar w:fldCharType="begin"/>
      </w:r>
      <w:r w:rsidRPr="008651D1">
        <w:rPr>
          <w:snapToGrid w:val="0"/>
          <w:lang w:val="fr-FR"/>
        </w:rPr>
        <w:instrText xml:space="preserve"> AUTONUM  </w:instrText>
      </w:r>
      <w:r w:rsidRPr="008651D1">
        <w:rPr>
          <w:snapToGrid w:val="0"/>
          <w:lang w:val="fr-FR"/>
        </w:rPr>
        <w:fldChar w:fldCharType="end"/>
      </w:r>
      <w:r w:rsidRPr="008651D1">
        <w:rPr>
          <w:snapToGrid w:val="0"/>
          <w:lang w:val="fr-FR"/>
        </w:rPr>
        <w:tab/>
      </w:r>
      <w:r w:rsidR="00D05B03" w:rsidRPr="008651D1">
        <w:rPr>
          <w:snapToGrid w:val="0"/>
          <w:lang w:val="fr-FR"/>
        </w:rPr>
        <w:t>Le</w:t>
      </w:r>
      <w:r w:rsidR="00AB3232" w:rsidRPr="008651D1">
        <w:rPr>
          <w:snapToGrid w:val="0"/>
          <w:lang w:val="fr-FR"/>
        </w:rPr>
        <w:t xml:space="preserve"> </w:t>
      </w:r>
      <w:r w:rsidR="0019639F" w:rsidRPr="008651D1">
        <w:rPr>
          <w:snapToGrid w:val="0"/>
          <w:lang w:val="fr-FR"/>
        </w:rPr>
        <w:t xml:space="preserve">Groupe de travail technique </w:t>
      </w:r>
      <w:r w:rsidR="00AB3232" w:rsidRPr="008651D1">
        <w:rPr>
          <w:snapToGrid w:val="0"/>
          <w:lang w:val="fr-FR"/>
        </w:rPr>
        <w:t>des</w:t>
      </w:r>
      <w:r w:rsidR="0019639F" w:rsidRPr="008651D1">
        <w:rPr>
          <w:snapToGrid w:val="0"/>
          <w:lang w:val="fr-FR"/>
        </w:rPr>
        <w:t xml:space="preserve"> Systèmes des semences de l</w:t>
      </w:r>
      <w:r w:rsidR="00016C98" w:rsidRPr="008651D1">
        <w:rPr>
          <w:snapToGrid w:val="0"/>
          <w:lang w:val="fr-FR"/>
        </w:rPr>
        <w:t>’</w:t>
      </w:r>
      <w:r w:rsidR="0019639F" w:rsidRPr="008651D1">
        <w:rPr>
          <w:snapToGrid w:val="0"/>
          <w:lang w:val="fr-FR"/>
        </w:rPr>
        <w:t>OCDE</w:t>
      </w:r>
      <w:r w:rsidR="00D05B03" w:rsidRPr="008651D1">
        <w:rPr>
          <w:snapToGrid w:val="0"/>
          <w:lang w:val="fr-FR"/>
        </w:rPr>
        <w:t>, à sa réunion</w:t>
      </w:r>
      <w:r w:rsidR="0019639F" w:rsidRPr="008651D1">
        <w:rPr>
          <w:snapToGrid w:val="0"/>
          <w:lang w:val="fr-FR"/>
        </w:rPr>
        <w:t xml:space="preserve"> </w:t>
      </w:r>
      <w:r w:rsidR="00AB3232" w:rsidRPr="008651D1">
        <w:rPr>
          <w:snapToGrid w:val="0"/>
          <w:lang w:val="fr-FR"/>
        </w:rPr>
        <w:t>tenue à Paris (France) les 28 et 2</w:t>
      </w:r>
      <w:r w:rsidR="00C72A57" w:rsidRPr="008651D1">
        <w:rPr>
          <w:snapToGrid w:val="0"/>
          <w:lang w:val="fr-FR"/>
        </w:rPr>
        <w:t>9 janvier 20</w:t>
      </w:r>
      <w:r w:rsidR="00AB3232" w:rsidRPr="008651D1">
        <w:rPr>
          <w:snapToGrid w:val="0"/>
          <w:lang w:val="fr-FR"/>
        </w:rPr>
        <w:t xml:space="preserve">15, </w:t>
      </w:r>
      <w:r w:rsidR="00D05B03" w:rsidRPr="008651D1">
        <w:rPr>
          <w:snapToGrid w:val="0"/>
          <w:lang w:val="fr-FR"/>
        </w:rPr>
        <w:t>a</w:t>
      </w:r>
      <w:r w:rsidR="0019639F" w:rsidRPr="008651D1">
        <w:rPr>
          <w:snapToGrid w:val="0"/>
          <w:lang w:val="fr-FR"/>
        </w:rPr>
        <w:t xml:space="preserve"> entendu un rapport verbal de</w:t>
      </w:r>
      <w:r w:rsidRPr="008651D1">
        <w:rPr>
          <w:snapToGrid w:val="0"/>
          <w:lang w:val="fr-FR"/>
        </w:rPr>
        <w:t xml:space="preserve"> M.</w:t>
      </w:r>
      <w:r w:rsidR="00DE6D2B" w:rsidRPr="008651D1">
        <w:rPr>
          <w:snapToGrid w:val="0"/>
          <w:lang w:val="fr-FR"/>
        </w:rPr>
        <w:t> </w:t>
      </w:r>
      <w:r w:rsidR="0075779C" w:rsidRPr="008651D1">
        <w:rPr>
          <w:snapToGrid w:val="0"/>
          <w:lang w:val="fr-FR"/>
        </w:rPr>
        <w:t>Gerry </w:t>
      </w:r>
      <w:r w:rsidRPr="008651D1">
        <w:rPr>
          <w:snapToGrid w:val="0"/>
          <w:lang w:val="fr-FR"/>
        </w:rPr>
        <w:t>Hall (</w:t>
      </w:r>
      <w:r w:rsidR="0019639F" w:rsidRPr="008651D1">
        <w:rPr>
          <w:snapToGrid w:val="0"/>
          <w:lang w:val="fr-FR"/>
        </w:rPr>
        <w:t>Royaume</w:t>
      </w:r>
      <w:r w:rsidR="00DC14F9" w:rsidRPr="008651D1">
        <w:rPr>
          <w:snapToGrid w:val="0"/>
          <w:lang w:val="fr-FR"/>
        </w:rPr>
        <w:noBreakHyphen/>
      </w:r>
      <w:r w:rsidR="0019639F" w:rsidRPr="008651D1">
        <w:rPr>
          <w:snapToGrid w:val="0"/>
          <w:lang w:val="fr-FR"/>
        </w:rPr>
        <w:t>Uni)</w:t>
      </w:r>
      <w:r w:rsidRPr="008651D1">
        <w:rPr>
          <w:snapToGrid w:val="0"/>
          <w:lang w:val="fr-FR"/>
        </w:rPr>
        <w:t xml:space="preserve">, </w:t>
      </w:r>
      <w:r w:rsidR="0019639F" w:rsidRPr="008651D1">
        <w:rPr>
          <w:snapToGrid w:val="0"/>
          <w:lang w:val="fr-FR"/>
        </w:rPr>
        <w:t xml:space="preserve">président du Groupe de </w:t>
      </w:r>
      <w:r w:rsidR="00AB3232" w:rsidRPr="008651D1">
        <w:rPr>
          <w:snapToGrid w:val="0"/>
          <w:lang w:val="fr-FR"/>
        </w:rPr>
        <w:t>travail ad</w:t>
      </w:r>
      <w:r w:rsidR="00DE6D2B" w:rsidRPr="008651D1">
        <w:rPr>
          <w:snapToGrid w:val="0"/>
          <w:lang w:val="fr-FR"/>
        </w:rPr>
        <w:t> </w:t>
      </w:r>
      <w:r w:rsidR="00AB3232" w:rsidRPr="008651D1">
        <w:rPr>
          <w:snapToGrid w:val="0"/>
          <w:lang w:val="fr-FR"/>
        </w:rPr>
        <w:t xml:space="preserve">hoc sur les techniques biochimiques et moléculaires relevant des Systèmes des </w:t>
      </w:r>
      <w:r w:rsidR="00AB3232" w:rsidRPr="008651D1">
        <w:rPr>
          <w:snapToGrid w:val="0"/>
          <w:lang w:val="fr-FR"/>
        </w:rPr>
        <w:lastRenderedPageBreak/>
        <w:t>semences de l</w:t>
      </w:r>
      <w:r w:rsidR="00016C98" w:rsidRPr="008651D1">
        <w:rPr>
          <w:snapToGrid w:val="0"/>
          <w:lang w:val="fr-FR"/>
        </w:rPr>
        <w:t>’</w:t>
      </w:r>
      <w:r w:rsidR="00AB3232" w:rsidRPr="008651D1">
        <w:rPr>
          <w:snapToGrid w:val="0"/>
          <w:lang w:val="fr-FR"/>
        </w:rPr>
        <w:t xml:space="preserve">OCDE, </w:t>
      </w:r>
      <w:r w:rsidR="00D05B03" w:rsidRPr="008651D1">
        <w:rPr>
          <w:snapToGrid w:val="0"/>
          <w:lang w:val="fr-FR"/>
        </w:rPr>
        <w:t>concernant</w:t>
      </w:r>
      <w:r w:rsidR="00AB3232" w:rsidRPr="008651D1">
        <w:rPr>
          <w:snapToGrid w:val="0"/>
          <w:lang w:val="fr-FR"/>
        </w:rPr>
        <w:t xml:space="preserve"> l</w:t>
      </w:r>
      <w:r w:rsidR="00016C98" w:rsidRPr="008651D1">
        <w:rPr>
          <w:snapToGrid w:val="0"/>
          <w:lang w:val="fr-FR"/>
        </w:rPr>
        <w:t>’</w:t>
      </w:r>
      <w:r w:rsidR="00AB3232" w:rsidRPr="008651D1">
        <w:rPr>
          <w:snapToGrid w:val="0"/>
          <w:lang w:val="fr-FR"/>
        </w:rPr>
        <w:t>Atelier conjoint de l</w:t>
      </w:r>
      <w:r w:rsidR="00016C98" w:rsidRPr="008651D1">
        <w:rPr>
          <w:snapToGrid w:val="0"/>
          <w:lang w:val="fr-FR"/>
        </w:rPr>
        <w:t>’</w:t>
      </w:r>
      <w:r w:rsidR="00AB3232" w:rsidRPr="008651D1">
        <w:rPr>
          <w:snapToGrid w:val="0"/>
          <w:lang w:val="fr-FR"/>
        </w:rPr>
        <w:t>OCDE, de l</w:t>
      </w:r>
      <w:r w:rsidR="00016C98" w:rsidRPr="008651D1">
        <w:rPr>
          <w:snapToGrid w:val="0"/>
          <w:lang w:val="fr-FR"/>
        </w:rPr>
        <w:t>’</w:t>
      </w:r>
      <w:r w:rsidR="00AB3232" w:rsidRPr="008651D1">
        <w:rPr>
          <w:snapToGrid w:val="0"/>
          <w:lang w:val="fr-FR"/>
        </w:rPr>
        <w:t>UPOV et de l</w:t>
      </w:r>
      <w:r w:rsidR="00016C98" w:rsidRPr="008651D1">
        <w:rPr>
          <w:snapToGrid w:val="0"/>
          <w:lang w:val="fr-FR"/>
        </w:rPr>
        <w:t>’</w:t>
      </w:r>
      <w:r w:rsidR="00AB3232" w:rsidRPr="008651D1">
        <w:rPr>
          <w:snapToGrid w:val="0"/>
          <w:lang w:val="fr-FR"/>
        </w:rPr>
        <w:t xml:space="preserve">ISTA </w:t>
      </w:r>
      <w:r w:rsidR="00D05B03" w:rsidRPr="008651D1">
        <w:rPr>
          <w:snapToGrid w:val="0"/>
          <w:lang w:val="fr-FR"/>
        </w:rPr>
        <w:t>sur les techniques moléculaires qui s</w:t>
      </w:r>
      <w:r w:rsidR="00016C98" w:rsidRPr="008651D1">
        <w:rPr>
          <w:snapToGrid w:val="0"/>
          <w:lang w:val="fr-FR"/>
        </w:rPr>
        <w:t>’</w:t>
      </w:r>
      <w:r w:rsidR="00D05B03" w:rsidRPr="008651D1">
        <w:rPr>
          <w:snapToGrid w:val="0"/>
          <w:lang w:val="fr-FR"/>
        </w:rPr>
        <w:t xml:space="preserve">était </w:t>
      </w:r>
      <w:r w:rsidR="00AB3232" w:rsidRPr="008651D1">
        <w:rPr>
          <w:snapToGrid w:val="0"/>
          <w:lang w:val="fr-FR"/>
        </w:rPr>
        <w:t>tenu le 1</w:t>
      </w:r>
      <w:r w:rsidR="00C72A57" w:rsidRPr="008651D1">
        <w:rPr>
          <w:snapToGrid w:val="0"/>
          <w:lang w:val="fr-FR"/>
        </w:rPr>
        <w:t>3 novembre 20</w:t>
      </w:r>
      <w:r w:rsidR="00AB3232" w:rsidRPr="008651D1">
        <w:rPr>
          <w:snapToGrid w:val="0"/>
          <w:lang w:val="fr-FR"/>
        </w:rPr>
        <w:t>14 dans le cadre de la quatorzième</w:t>
      </w:r>
      <w:r w:rsidR="00DE6D2B" w:rsidRPr="008651D1">
        <w:rPr>
          <w:snapToGrid w:val="0"/>
          <w:lang w:val="fr-FR"/>
        </w:rPr>
        <w:t> </w:t>
      </w:r>
      <w:r w:rsidR="00AB3232" w:rsidRPr="008651D1">
        <w:rPr>
          <w:snapToGrid w:val="0"/>
          <w:lang w:val="fr-FR"/>
        </w:rPr>
        <w:t>session</w:t>
      </w:r>
      <w:r w:rsidR="00C72A57" w:rsidRPr="008651D1">
        <w:rPr>
          <w:snapToGrid w:val="0"/>
          <w:lang w:val="fr-FR"/>
        </w:rPr>
        <w:t xml:space="preserve"> du BMT</w:t>
      </w:r>
      <w:r w:rsidRPr="008651D1">
        <w:rPr>
          <w:snapToGrid w:val="0"/>
          <w:lang w:val="fr-FR"/>
        </w:rPr>
        <w:t>.</w:t>
      </w:r>
    </w:p>
    <w:p w:rsidR="00DF61EE" w:rsidRPr="008651D1" w:rsidRDefault="00DF61EE" w:rsidP="008651D1">
      <w:pPr>
        <w:rPr>
          <w:snapToGrid w:val="0"/>
          <w:lang w:val="fr-FR"/>
        </w:rPr>
      </w:pPr>
    </w:p>
    <w:p w:rsidR="00DF61EE" w:rsidRPr="008651D1" w:rsidRDefault="007520E2" w:rsidP="008651D1">
      <w:pPr>
        <w:rPr>
          <w:snapToGrid w:val="0"/>
          <w:lang w:val="fr-FR"/>
        </w:rPr>
      </w:pPr>
      <w:r w:rsidRPr="008651D1">
        <w:rPr>
          <w:snapToGrid w:val="0"/>
          <w:lang w:val="fr-FR"/>
        </w:rPr>
        <w:fldChar w:fldCharType="begin"/>
      </w:r>
      <w:r w:rsidRPr="008651D1">
        <w:rPr>
          <w:snapToGrid w:val="0"/>
          <w:lang w:val="fr-FR"/>
        </w:rPr>
        <w:instrText xml:space="preserve"> AUTONUM  </w:instrText>
      </w:r>
      <w:r w:rsidRPr="008651D1">
        <w:rPr>
          <w:snapToGrid w:val="0"/>
          <w:lang w:val="fr-FR"/>
        </w:rPr>
        <w:fldChar w:fldCharType="end"/>
      </w:r>
      <w:r w:rsidRPr="008651D1">
        <w:rPr>
          <w:snapToGrid w:val="0"/>
          <w:lang w:val="fr-FR"/>
        </w:rPr>
        <w:tab/>
      </w:r>
      <w:r w:rsidR="00B8399C" w:rsidRPr="008651D1">
        <w:rPr>
          <w:snapToGrid w:val="0"/>
          <w:lang w:val="fr-FR"/>
        </w:rPr>
        <w:t>Le Groupe de travail technique est convenu qu</w:t>
      </w:r>
      <w:r w:rsidR="00016C98" w:rsidRPr="008651D1">
        <w:rPr>
          <w:snapToGrid w:val="0"/>
          <w:lang w:val="fr-FR"/>
        </w:rPr>
        <w:t>’</w:t>
      </w:r>
      <w:r w:rsidR="00B8399C" w:rsidRPr="008651D1">
        <w:rPr>
          <w:snapToGrid w:val="0"/>
          <w:lang w:val="fr-FR"/>
        </w:rPr>
        <w:t>un autre Atelier conjoint de l</w:t>
      </w:r>
      <w:r w:rsidR="00016C98" w:rsidRPr="008651D1">
        <w:rPr>
          <w:snapToGrid w:val="0"/>
          <w:lang w:val="fr-FR"/>
        </w:rPr>
        <w:t>’</w:t>
      </w:r>
      <w:r w:rsidR="00B8399C" w:rsidRPr="008651D1">
        <w:rPr>
          <w:snapToGrid w:val="0"/>
          <w:lang w:val="fr-FR"/>
        </w:rPr>
        <w:t>OCDE, de l</w:t>
      </w:r>
      <w:r w:rsidR="00016C98" w:rsidRPr="008651D1">
        <w:rPr>
          <w:snapToGrid w:val="0"/>
          <w:lang w:val="fr-FR"/>
        </w:rPr>
        <w:t>’</w:t>
      </w:r>
      <w:r w:rsidR="00B8399C" w:rsidRPr="008651D1">
        <w:rPr>
          <w:snapToGrid w:val="0"/>
          <w:lang w:val="fr-FR"/>
        </w:rPr>
        <w:t>UPOV et de l</w:t>
      </w:r>
      <w:r w:rsidR="00016C98" w:rsidRPr="008651D1">
        <w:rPr>
          <w:snapToGrid w:val="0"/>
          <w:lang w:val="fr-FR"/>
        </w:rPr>
        <w:t>’</w:t>
      </w:r>
      <w:r w:rsidR="00B8399C" w:rsidRPr="008651D1">
        <w:rPr>
          <w:snapToGrid w:val="0"/>
          <w:lang w:val="fr-FR"/>
        </w:rPr>
        <w:t xml:space="preserve">ISTA sur les techniques moléculaires devrait être organisé </w:t>
      </w:r>
      <w:r w:rsidR="00DC14F9" w:rsidRPr="008651D1">
        <w:rPr>
          <w:snapToGrid w:val="0"/>
          <w:lang w:val="fr-FR"/>
        </w:rPr>
        <w:t xml:space="preserve">soit </w:t>
      </w:r>
      <w:r w:rsidR="00B8399C" w:rsidRPr="008651D1">
        <w:rPr>
          <w:snapToGrid w:val="0"/>
          <w:lang w:val="fr-FR"/>
        </w:rPr>
        <w:t>immédiatement avant ou après la Réunion annuelle des Systèmes de semences de l</w:t>
      </w:r>
      <w:r w:rsidR="00016C98" w:rsidRPr="008651D1">
        <w:rPr>
          <w:snapToGrid w:val="0"/>
          <w:lang w:val="fr-FR"/>
        </w:rPr>
        <w:t>’</w:t>
      </w:r>
      <w:r w:rsidR="00B8399C" w:rsidRPr="008651D1">
        <w:rPr>
          <w:snapToGrid w:val="0"/>
          <w:lang w:val="fr-FR"/>
        </w:rPr>
        <w:t xml:space="preserve">OCDE qui se tiendra à Paris en </w:t>
      </w:r>
      <w:r w:rsidR="00C72A57" w:rsidRPr="008651D1">
        <w:rPr>
          <w:snapToGrid w:val="0"/>
          <w:lang w:val="fr-FR"/>
        </w:rPr>
        <w:t>juin 20</w:t>
      </w:r>
      <w:r w:rsidR="00B8399C" w:rsidRPr="008651D1">
        <w:rPr>
          <w:snapToGrid w:val="0"/>
          <w:lang w:val="fr-FR"/>
        </w:rPr>
        <w:t>15</w:t>
      </w:r>
      <w:r w:rsidR="00D05B03" w:rsidRPr="008651D1">
        <w:rPr>
          <w:snapToGrid w:val="0"/>
          <w:lang w:val="fr-FR"/>
        </w:rPr>
        <w:t>, soit</w:t>
      </w:r>
      <w:r w:rsidR="00B8399C" w:rsidRPr="008651D1">
        <w:rPr>
          <w:snapToGrid w:val="0"/>
          <w:lang w:val="fr-FR"/>
        </w:rPr>
        <w:t xml:space="preserve"> en même temps que la Réunion du Groupe de travail technique qui se tiendra en </w:t>
      </w:r>
      <w:r w:rsidR="00C72A57" w:rsidRPr="008651D1">
        <w:rPr>
          <w:snapToGrid w:val="0"/>
          <w:lang w:val="fr-FR"/>
        </w:rPr>
        <w:t>janvier 20</w:t>
      </w:r>
      <w:r w:rsidR="00B8399C" w:rsidRPr="008651D1">
        <w:rPr>
          <w:snapToGrid w:val="0"/>
          <w:lang w:val="fr-FR"/>
        </w:rPr>
        <w:t>16</w:t>
      </w:r>
      <w:r w:rsidRPr="008651D1">
        <w:rPr>
          <w:snapToGrid w:val="0"/>
          <w:lang w:val="fr-FR"/>
        </w:rPr>
        <w:t>.</w:t>
      </w:r>
    </w:p>
    <w:p w:rsidR="00DF61EE" w:rsidRPr="008651D1" w:rsidRDefault="00DF61EE" w:rsidP="008651D1">
      <w:pPr>
        <w:pStyle w:val="DecisionParagraphs"/>
        <w:ind w:left="4536"/>
        <w:rPr>
          <w:lang w:val="fr-FR"/>
        </w:rPr>
      </w:pPr>
    </w:p>
    <w:p w:rsidR="00DF61EE" w:rsidRPr="008651D1" w:rsidRDefault="00DF61EE" w:rsidP="008651D1">
      <w:pPr>
        <w:rPr>
          <w:lang w:val="fr-FR" w:eastAsia="ja-JP"/>
        </w:rPr>
      </w:pPr>
    </w:p>
    <w:p w:rsidR="00DF61EE" w:rsidRPr="008651D1" w:rsidRDefault="00CD524E" w:rsidP="008651D1">
      <w:pPr>
        <w:pStyle w:val="Heading1"/>
        <w:rPr>
          <w:lang w:val="fr-FR"/>
        </w:rPr>
      </w:pPr>
      <w:bookmarkStart w:id="41" w:name="_Toc411603116"/>
      <w:bookmarkStart w:id="42" w:name="_Toc410822422"/>
      <w:bookmarkStart w:id="43" w:name="_Toc410822818"/>
      <w:bookmarkStart w:id="44" w:name="_Toc410823325"/>
      <w:bookmarkStart w:id="45" w:name="_Toc410899586"/>
      <w:r w:rsidRPr="008651D1">
        <w:rPr>
          <w:lang w:val="fr-FR" w:eastAsia="ja-JP"/>
        </w:rPr>
        <w:t>débat sur les techniques moléculaires à la cinquantième</w:t>
      </w:r>
      <w:r w:rsidR="00DE6D2B" w:rsidRPr="008651D1">
        <w:rPr>
          <w:lang w:val="fr-FR" w:eastAsia="ja-JP"/>
        </w:rPr>
        <w:t> </w:t>
      </w:r>
      <w:r w:rsidRPr="008651D1">
        <w:rPr>
          <w:lang w:val="fr-FR" w:eastAsia="ja-JP"/>
        </w:rPr>
        <w:t>session du</w:t>
      </w:r>
      <w:r w:rsidR="00016C98" w:rsidRPr="008651D1">
        <w:rPr>
          <w:lang w:val="fr-FR" w:eastAsia="ja-JP"/>
        </w:rPr>
        <w:t> TC</w:t>
      </w:r>
      <w:bookmarkEnd w:id="41"/>
    </w:p>
    <w:p w:rsidR="00DF61EE" w:rsidRPr="008651D1" w:rsidRDefault="00DF61EE" w:rsidP="008651D1">
      <w:pPr>
        <w:keepNext/>
        <w:rPr>
          <w:lang w:val="fr-FR" w:eastAsia="ja-JP"/>
        </w:rPr>
      </w:pPr>
    </w:p>
    <w:p w:rsidR="00DF61EE" w:rsidRPr="008651D1" w:rsidRDefault="00A20CD7" w:rsidP="008651D1">
      <w:pPr>
        <w:keepNext/>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736BD" w:rsidRPr="008651D1">
        <w:rPr>
          <w:lang w:val="fr-FR"/>
        </w:rPr>
        <w:t>À sa cinquantième</w:t>
      </w:r>
      <w:r w:rsidR="00DE6D2B" w:rsidRPr="008651D1">
        <w:rPr>
          <w:lang w:val="fr-FR"/>
        </w:rPr>
        <w:t> </w:t>
      </w:r>
      <w:r w:rsidR="003736BD" w:rsidRPr="008651D1">
        <w:rPr>
          <w:lang w:val="fr-FR"/>
        </w:rPr>
        <w:t xml:space="preserve">session tenue à Genève du 7 au </w:t>
      </w:r>
      <w:r w:rsidR="00C72A57" w:rsidRPr="008651D1">
        <w:rPr>
          <w:lang w:val="fr-FR"/>
        </w:rPr>
        <w:t>9 avril 20</w:t>
      </w:r>
      <w:r w:rsidR="003736BD" w:rsidRPr="008651D1">
        <w:rPr>
          <w:lang w:val="fr-FR"/>
        </w:rPr>
        <w:t>14, le</w:t>
      </w:r>
      <w:r w:rsidR="00016C98" w:rsidRPr="008651D1">
        <w:rPr>
          <w:lang w:val="fr-FR"/>
        </w:rPr>
        <w:t> TC</w:t>
      </w:r>
      <w:r w:rsidR="003736BD" w:rsidRPr="008651D1">
        <w:rPr>
          <w:lang w:val="fr-FR"/>
        </w:rPr>
        <w:t xml:space="preserve"> est convenu qu</w:t>
      </w:r>
      <w:r w:rsidR="00016C98" w:rsidRPr="008651D1">
        <w:rPr>
          <w:lang w:val="fr-FR"/>
        </w:rPr>
        <w:t>’</w:t>
      </w:r>
      <w:r w:rsidR="00B800C4" w:rsidRPr="008651D1">
        <w:rPr>
          <w:lang w:val="fr-FR"/>
        </w:rPr>
        <w:t>un</w:t>
      </w:r>
      <w:r w:rsidR="00D05B03" w:rsidRPr="008651D1">
        <w:rPr>
          <w:lang w:val="fr-FR"/>
        </w:rPr>
        <w:t xml:space="preserve"> des</w:t>
      </w:r>
      <w:r w:rsidR="00B800C4" w:rsidRPr="008651D1">
        <w:rPr>
          <w:lang w:val="fr-FR"/>
        </w:rPr>
        <w:t xml:space="preserve"> point</w:t>
      </w:r>
      <w:r w:rsidR="00D05B03" w:rsidRPr="008651D1">
        <w:rPr>
          <w:lang w:val="fr-FR"/>
        </w:rPr>
        <w:t>s</w:t>
      </w:r>
      <w:r w:rsidR="00B800C4" w:rsidRPr="008651D1">
        <w:rPr>
          <w:lang w:val="fr-FR"/>
        </w:rPr>
        <w:t xml:space="preserve"> du</w:t>
      </w:r>
      <w:r w:rsidR="003736BD" w:rsidRPr="008651D1">
        <w:rPr>
          <w:lang w:val="fr-FR"/>
        </w:rPr>
        <w:t xml:space="preserve"> projet d</w:t>
      </w:r>
      <w:r w:rsidR="00016C98" w:rsidRPr="008651D1">
        <w:rPr>
          <w:lang w:val="fr-FR"/>
        </w:rPr>
        <w:t>’</w:t>
      </w:r>
      <w:r w:rsidR="003736BD" w:rsidRPr="008651D1">
        <w:rPr>
          <w:lang w:val="fr-FR"/>
        </w:rPr>
        <w:t>o</w:t>
      </w:r>
      <w:r w:rsidR="0075779C" w:rsidRPr="008651D1">
        <w:rPr>
          <w:lang w:val="fr-FR"/>
        </w:rPr>
        <w:t>rdre du jour de sa cinquante et </w:t>
      </w:r>
      <w:r w:rsidR="003736BD" w:rsidRPr="008651D1">
        <w:rPr>
          <w:lang w:val="fr-FR"/>
        </w:rPr>
        <w:t>unième</w:t>
      </w:r>
      <w:r w:rsidR="00DE6D2B" w:rsidRPr="008651D1">
        <w:rPr>
          <w:lang w:val="fr-FR"/>
        </w:rPr>
        <w:t> </w:t>
      </w:r>
      <w:r w:rsidR="003736BD" w:rsidRPr="008651D1">
        <w:rPr>
          <w:lang w:val="fr-FR"/>
        </w:rPr>
        <w:t xml:space="preserve">session devrait </w:t>
      </w:r>
      <w:r w:rsidR="00B800C4" w:rsidRPr="008651D1">
        <w:rPr>
          <w:lang w:val="fr-FR"/>
        </w:rPr>
        <w:t xml:space="preserve">être </w:t>
      </w:r>
      <w:r w:rsidR="003736BD" w:rsidRPr="008651D1">
        <w:rPr>
          <w:lang w:val="fr-FR"/>
        </w:rPr>
        <w:t xml:space="preserve">consacré à un débat sur les techniques </w:t>
      </w:r>
      <w:r w:rsidR="00B800C4" w:rsidRPr="008651D1">
        <w:rPr>
          <w:lang w:val="fr-FR"/>
        </w:rPr>
        <w:t>moléculaires</w:t>
      </w:r>
      <w:r w:rsidR="00CD720B" w:rsidRPr="008651D1">
        <w:rPr>
          <w:lang w:val="fr-FR"/>
        </w:rPr>
        <w:t xml:space="preserve"> (</w:t>
      </w:r>
      <w:r w:rsidR="00B800C4" w:rsidRPr="008651D1">
        <w:rPr>
          <w:lang w:val="fr-FR"/>
        </w:rPr>
        <w:t>voir le paragraphe</w:t>
      </w:r>
      <w:r w:rsidR="00DE6D2B" w:rsidRPr="008651D1">
        <w:rPr>
          <w:lang w:val="fr-FR"/>
        </w:rPr>
        <w:t> </w:t>
      </w:r>
      <w:r w:rsidR="00B800C4" w:rsidRPr="008651D1">
        <w:rPr>
          <w:lang w:val="fr-FR"/>
        </w:rPr>
        <w:t>164 du</w:t>
      </w:r>
      <w:r w:rsidR="00CD720B" w:rsidRPr="008651D1">
        <w:rPr>
          <w:lang w:val="fr-FR"/>
        </w:rPr>
        <w:t> </w:t>
      </w:r>
      <w:r w:rsidR="00016C98" w:rsidRPr="008651D1">
        <w:rPr>
          <w:lang w:val="fr-FR"/>
        </w:rPr>
        <w:t>document TC</w:t>
      </w:r>
      <w:r w:rsidRPr="008651D1">
        <w:rPr>
          <w:lang w:val="fr-FR"/>
        </w:rPr>
        <w:t>/50/</w:t>
      </w:r>
      <w:r w:rsidR="00B800C4" w:rsidRPr="008651D1">
        <w:rPr>
          <w:lang w:val="fr-FR"/>
        </w:rPr>
        <w:t>3</w:t>
      </w:r>
      <w:r w:rsidRPr="008651D1">
        <w:rPr>
          <w:lang w:val="fr-FR"/>
        </w:rPr>
        <w:t>6 “</w:t>
      </w:r>
      <w:r w:rsidR="00B800C4" w:rsidRPr="008651D1">
        <w:rPr>
          <w:lang w:val="fr-FR"/>
        </w:rPr>
        <w:t>Compte rendu des co</w:t>
      </w:r>
      <w:r w:rsidRPr="008651D1">
        <w:rPr>
          <w:lang w:val="fr-FR"/>
        </w:rPr>
        <w:t>nclusions”).</w:t>
      </w:r>
    </w:p>
    <w:p w:rsidR="00DF61EE" w:rsidRPr="008651D1" w:rsidRDefault="00DF61EE" w:rsidP="008651D1">
      <w:pPr>
        <w:rPr>
          <w:lang w:val="fr-FR"/>
        </w:rPr>
      </w:pPr>
    </w:p>
    <w:p w:rsidR="00DF61EE" w:rsidRPr="008651D1" w:rsidRDefault="00A20CD7" w:rsidP="008651D1">
      <w:pPr>
        <w:rPr>
          <w:rFonts w:cs="Arial"/>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ED61B9" w:rsidRPr="008651D1">
        <w:rPr>
          <w:lang w:val="fr-FR"/>
        </w:rPr>
        <w:t xml:space="preserve">Lors de leur réunion tenue à Genève le </w:t>
      </w:r>
      <w:r w:rsidR="00C72A57" w:rsidRPr="008651D1">
        <w:rPr>
          <w:lang w:val="fr-FR"/>
        </w:rPr>
        <w:t>9 janvier 20</w:t>
      </w:r>
      <w:r w:rsidR="00ED61B9" w:rsidRPr="008651D1">
        <w:rPr>
          <w:lang w:val="fr-FR"/>
        </w:rPr>
        <w:t>15, les présidents</w:t>
      </w:r>
      <w:r w:rsidR="00C72A57" w:rsidRPr="008651D1">
        <w:rPr>
          <w:lang w:val="fr-FR"/>
        </w:rPr>
        <w:t xml:space="preserve"> des TWP</w:t>
      </w:r>
      <w:r w:rsidR="00ED61B9" w:rsidRPr="008651D1">
        <w:rPr>
          <w:lang w:val="fr-FR"/>
        </w:rPr>
        <w:t xml:space="preserve"> et du</w:t>
      </w:r>
      <w:r w:rsidR="00016C98" w:rsidRPr="008651D1">
        <w:rPr>
          <w:lang w:val="fr-FR"/>
        </w:rPr>
        <w:t> TC</w:t>
      </w:r>
      <w:r w:rsidR="00D05B03" w:rsidRPr="008651D1">
        <w:rPr>
          <w:lang w:val="fr-FR"/>
        </w:rPr>
        <w:t xml:space="preserve"> ont proposé de fonder c</w:t>
      </w:r>
      <w:r w:rsidR="00ED61B9" w:rsidRPr="008651D1">
        <w:rPr>
          <w:lang w:val="fr-FR"/>
        </w:rPr>
        <w:t>e débat sur un exposé des temps forts de la quatorzième</w:t>
      </w:r>
      <w:r w:rsidR="00DE6D2B" w:rsidRPr="008651D1">
        <w:rPr>
          <w:lang w:val="fr-FR"/>
        </w:rPr>
        <w:t> </w:t>
      </w:r>
      <w:r w:rsidR="00ED61B9" w:rsidRPr="008651D1">
        <w:rPr>
          <w:lang w:val="fr-FR"/>
        </w:rPr>
        <w:t>session</w:t>
      </w:r>
      <w:r w:rsidR="00C72A57" w:rsidRPr="008651D1">
        <w:rPr>
          <w:lang w:val="fr-FR"/>
        </w:rPr>
        <w:t xml:space="preserve"> du BMT</w:t>
      </w:r>
      <w:r w:rsidR="00ED61B9" w:rsidRPr="008651D1">
        <w:rPr>
          <w:lang w:val="fr-FR"/>
        </w:rPr>
        <w:t xml:space="preserve"> tenue à Séoul (République de Corée) du 10 au 1</w:t>
      </w:r>
      <w:r w:rsidR="00C72A57" w:rsidRPr="008651D1">
        <w:rPr>
          <w:lang w:val="fr-FR"/>
        </w:rPr>
        <w:t>3 novembre 20</w:t>
      </w:r>
      <w:r w:rsidR="00ED61B9" w:rsidRPr="008651D1">
        <w:rPr>
          <w:lang w:val="fr-FR"/>
        </w:rPr>
        <w:t>14, ainsi que sur l</w:t>
      </w:r>
      <w:r w:rsidR="00016C98" w:rsidRPr="008651D1">
        <w:rPr>
          <w:lang w:val="fr-FR"/>
        </w:rPr>
        <w:t>’</w:t>
      </w:r>
      <w:r w:rsidR="00ED61B9" w:rsidRPr="008651D1">
        <w:rPr>
          <w:snapToGrid w:val="0"/>
          <w:lang w:val="fr-FR"/>
        </w:rPr>
        <w:t>Atelier conjoint de l</w:t>
      </w:r>
      <w:r w:rsidR="00016C98" w:rsidRPr="008651D1">
        <w:rPr>
          <w:snapToGrid w:val="0"/>
          <w:lang w:val="fr-FR"/>
        </w:rPr>
        <w:t>’</w:t>
      </w:r>
      <w:r w:rsidR="00ED61B9" w:rsidRPr="008651D1">
        <w:rPr>
          <w:snapToGrid w:val="0"/>
          <w:lang w:val="fr-FR"/>
        </w:rPr>
        <w:t>OCDE, de l</w:t>
      </w:r>
      <w:r w:rsidR="00016C98" w:rsidRPr="008651D1">
        <w:rPr>
          <w:snapToGrid w:val="0"/>
          <w:lang w:val="fr-FR"/>
        </w:rPr>
        <w:t>’</w:t>
      </w:r>
      <w:r w:rsidR="00ED61B9" w:rsidRPr="008651D1">
        <w:rPr>
          <w:snapToGrid w:val="0"/>
          <w:lang w:val="fr-FR"/>
        </w:rPr>
        <w:t>UPOV et de l</w:t>
      </w:r>
      <w:r w:rsidR="00016C98" w:rsidRPr="008651D1">
        <w:rPr>
          <w:snapToGrid w:val="0"/>
          <w:lang w:val="fr-FR"/>
        </w:rPr>
        <w:t>’</w:t>
      </w:r>
      <w:r w:rsidR="00ED61B9" w:rsidRPr="008651D1">
        <w:rPr>
          <w:snapToGrid w:val="0"/>
          <w:lang w:val="fr-FR"/>
        </w:rPr>
        <w:t>ISTA sur les techniques moléculaires</w:t>
      </w:r>
      <w:r w:rsidR="00ED61B9" w:rsidRPr="008651D1">
        <w:rPr>
          <w:lang w:val="fr-FR"/>
        </w:rPr>
        <w:t xml:space="preserve"> tenu à</w:t>
      </w:r>
      <w:r w:rsidR="002C3CBE" w:rsidRPr="008651D1">
        <w:rPr>
          <w:lang w:val="fr-FR"/>
        </w:rPr>
        <w:t xml:space="preserve"> S</w:t>
      </w:r>
      <w:r w:rsidR="00ED61B9" w:rsidRPr="008651D1">
        <w:rPr>
          <w:lang w:val="fr-FR"/>
        </w:rPr>
        <w:t>é</w:t>
      </w:r>
      <w:r w:rsidR="002C3CBE" w:rsidRPr="008651D1">
        <w:rPr>
          <w:lang w:val="fr-FR"/>
        </w:rPr>
        <w:t>oul</w:t>
      </w:r>
      <w:r w:rsidR="00ED61B9" w:rsidRPr="008651D1">
        <w:rPr>
          <w:lang w:val="fr-FR"/>
        </w:rPr>
        <w:t xml:space="preserve"> (</w:t>
      </w:r>
      <w:r w:rsidR="002C3CBE" w:rsidRPr="008651D1">
        <w:rPr>
          <w:lang w:val="fr-FR"/>
        </w:rPr>
        <w:t>R</w:t>
      </w:r>
      <w:r w:rsidR="00ED61B9" w:rsidRPr="008651D1">
        <w:rPr>
          <w:lang w:val="fr-FR"/>
        </w:rPr>
        <w:t>é</w:t>
      </w:r>
      <w:r w:rsidR="002C3CBE" w:rsidRPr="008651D1">
        <w:rPr>
          <w:lang w:val="fr-FR"/>
        </w:rPr>
        <w:t>publi</w:t>
      </w:r>
      <w:r w:rsidR="00ED61B9" w:rsidRPr="008651D1">
        <w:rPr>
          <w:lang w:val="fr-FR"/>
        </w:rPr>
        <w:t>que de C</w:t>
      </w:r>
      <w:r w:rsidR="002C3CBE" w:rsidRPr="008651D1">
        <w:rPr>
          <w:lang w:val="fr-FR"/>
        </w:rPr>
        <w:t>or</w:t>
      </w:r>
      <w:r w:rsidR="00ED61B9" w:rsidRPr="008651D1">
        <w:rPr>
          <w:lang w:val="fr-FR"/>
        </w:rPr>
        <w:t>ée) le 1</w:t>
      </w:r>
      <w:r w:rsidR="00C72A57" w:rsidRPr="008651D1">
        <w:rPr>
          <w:lang w:val="fr-FR"/>
        </w:rPr>
        <w:t>2 novembre 20</w:t>
      </w:r>
      <w:r w:rsidR="00DB71F7" w:rsidRPr="008651D1">
        <w:rPr>
          <w:lang w:val="fr-FR"/>
        </w:rPr>
        <w:t>14</w:t>
      </w:r>
      <w:r w:rsidR="002C3CBE" w:rsidRPr="008651D1">
        <w:rPr>
          <w:rFonts w:cs="Arial"/>
          <w:lang w:val="fr-FR"/>
        </w:rPr>
        <w:t>.</w:t>
      </w:r>
    </w:p>
    <w:p w:rsidR="00DF61EE" w:rsidRPr="008651D1" w:rsidRDefault="00DF61EE" w:rsidP="008651D1">
      <w:pPr>
        <w:rPr>
          <w:rFonts w:cs="Arial"/>
          <w:lang w:val="fr-FR"/>
        </w:rPr>
      </w:pPr>
    </w:p>
    <w:p w:rsidR="00DF61EE" w:rsidRPr="008651D1" w:rsidRDefault="002C3CBE"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ED61B9" w:rsidRPr="008651D1">
        <w:rPr>
          <w:lang w:val="fr-FR"/>
        </w:rPr>
        <w:t>À cet égard, il a été proposé d</w:t>
      </w:r>
      <w:r w:rsidR="00016C98" w:rsidRPr="008651D1">
        <w:rPr>
          <w:lang w:val="fr-FR"/>
        </w:rPr>
        <w:t>’</w:t>
      </w:r>
      <w:r w:rsidR="00ED61B9" w:rsidRPr="008651D1">
        <w:rPr>
          <w:lang w:val="fr-FR"/>
        </w:rPr>
        <w:t>organiser des exposés sur les points suivants en vue du débat sur les techniques moléculaires prévu dans le cadre de la cinquante</w:t>
      </w:r>
      <w:r w:rsidR="0075779C" w:rsidRPr="008651D1">
        <w:rPr>
          <w:lang w:val="fr-FR"/>
        </w:rPr>
        <w:t> </w:t>
      </w:r>
      <w:r w:rsidR="00ED61B9" w:rsidRPr="008651D1">
        <w:rPr>
          <w:lang w:val="fr-FR"/>
        </w:rPr>
        <w:t>et</w:t>
      </w:r>
      <w:r w:rsidR="0075779C" w:rsidRPr="008651D1">
        <w:rPr>
          <w:lang w:val="fr-FR"/>
        </w:rPr>
        <w:t> </w:t>
      </w:r>
      <w:r w:rsidR="00ED61B9" w:rsidRPr="008651D1">
        <w:rPr>
          <w:lang w:val="fr-FR"/>
        </w:rPr>
        <w:t>unième</w:t>
      </w:r>
      <w:r w:rsidR="00DE6D2B" w:rsidRPr="008651D1">
        <w:rPr>
          <w:lang w:val="fr-FR"/>
        </w:rPr>
        <w:t> </w:t>
      </w:r>
      <w:r w:rsidR="00ED61B9" w:rsidRPr="008651D1">
        <w:rPr>
          <w:lang w:val="fr-FR"/>
        </w:rPr>
        <w:t>session du</w:t>
      </w:r>
      <w:r w:rsidR="00016C98" w:rsidRPr="008651D1">
        <w:rPr>
          <w:lang w:val="fr-FR"/>
        </w:rPr>
        <w:t> TC</w:t>
      </w:r>
      <w:r w:rsidR="00ED61B9" w:rsidRPr="008651D1">
        <w:rPr>
          <w:lang w:val="fr-FR"/>
        </w:rPr>
        <w:t> :</w:t>
      </w:r>
    </w:p>
    <w:p w:rsidR="00DF61EE" w:rsidRPr="008651D1" w:rsidRDefault="00DF61EE" w:rsidP="008651D1">
      <w:pPr>
        <w:rPr>
          <w:lang w:val="fr-FR"/>
        </w:rPr>
      </w:pPr>
    </w:p>
    <w:p w:rsidR="00DF61EE" w:rsidRPr="008651D1" w:rsidRDefault="00B10488" w:rsidP="008651D1">
      <w:pPr>
        <w:ind w:left="567"/>
        <w:rPr>
          <w:i/>
          <w:lang w:val="fr-FR"/>
        </w:rPr>
      </w:pPr>
      <w:r w:rsidRPr="008651D1">
        <w:rPr>
          <w:i/>
          <w:lang w:val="fr-FR"/>
        </w:rPr>
        <w:t>Comptes rendus des faits nouveaux survenus au sein de l</w:t>
      </w:r>
      <w:r w:rsidR="00016C98" w:rsidRPr="008651D1">
        <w:rPr>
          <w:i/>
          <w:lang w:val="fr-FR"/>
        </w:rPr>
        <w:t>’</w:t>
      </w:r>
      <w:r w:rsidRPr="008651D1">
        <w:rPr>
          <w:i/>
          <w:lang w:val="fr-FR"/>
        </w:rPr>
        <w:t>UPOV et concernant les techniques biochimiques et moléculaires</w:t>
      </w:r>
      <w:r w:rsidR="002C3CBE" w:rsidRPr="008651D1">
        <w:rPr>
          <w:i/>
          <w:lang w:val="fr-FR"/>
        </w:rPr>
        <w:t xml:space="preserve"> (</w:t>
      </w:r>
      <w:r w:rsidRPr="008651D1">
        <w:rPr>
          <w:i/>
          <w:lang w:val="fr-FR"/>
        </w:rPr>
        <w:t>voir également le</w:t>
      </w:r>
      <w:r w:rsidR="009676F5" w:rsidRPr="008651D1">
        <w:rPr>
          <w:i/>
          <w:lang w:val="fr-FR"/>
        </w:rPr>
        <w:t xml:space="preserve"> document</w:t>
      </w:r>
      <w:r w:rsidR="002C3CBE" w:rsidRPr="008651D1">
        <w:rPr>
          <w:i/>
          <w:lang w:val="fr-FR"/>
        </w:rPr>
        <w:t xml:space="preserve"> BMT/14/2 </w:t>
      </w:r>
      <w:proofErr w:type="spellStart"/>
      <w:r w:rsidR="002C3CBE" w:rsidRPr="008651D1">
        <w:rPr>
          <w:i/>
          <w:lang w:val="fr-FR"/>
        </w:rPr>
        <w:t>Rev2</w:t>
      </w:r>
      <w:proofErr w:type="spellEnd"/>
      <w:r w:rsidR="002C3CBE" w:rsidRPr="008651D1">
        <w:rPr>
          <w:i/>
          <w:lang w:val="fr-FR"/>
        </w:rPr>
        <w:t>.)</w:t>
      </w:r>
    </w:p>
    <w:p w:rsidR="00DF61EE" w:rsidRPr="008651D1" w:rsidRDefault="00DF61EE" w:rsidP="008651D1">
      <w:pPr>
        <w:ind w:left="567"/>
        <w:rPr>
          <w:i/>
          <w:lang w:val="fr-FR"/>
        </w:rPr>
      </w:pPr>
    </w:p>
    <w:p w:rsidR="00DF61EE" w:rsidRPr="008651D1" w:rsidRDefault="00B10488" w:rsidP="008651D1">
      <w:pPr>
        <w:ind w:left="540" w:firstLine="27"/>
        <w:rPr>
          <w:i/>
          <w:lang w:val="fr-FR"/>
        </w:rPr>
      </w:pPr>
      <w:r w:rsidRPr="008651D1">
        <w:rPr>
          <w:i/>
          <w:lang w:val="fr-FR"/>
        </w:rPr>
        <w:t>Utilisation de techniques faisant intervenir des marque</w:t>
      </w:r>
      <w:r w:rsidR="009E6E8C" w:rsidRPr="008651D1">
        <w:rPr>
          <w:i/>
          <w:lang w:val="fr-FR"/>
        </w:rPr>
        <w:t>urs moléculaires aux fins de la sélection d</w:t>
      </w:r>
      <w:r w:rsidR="00016C98" w:rsidRPr="008651D1">
        <w:rPr>
          <w:i/>
          <w:lang w:val="fr-FR"/>
        </w:rPr>
        <w:t>’</w:t>
      </w:r>
      <w:r w:rsidR="009E6E8C" w:rsidRPr="008651D1">
        <w:rPr>
          <w:i/>
          <w:lang w:val="fr-FR"/>
        </w:rPr>
        <w:t xml:space="preserve">une </w:t>
      </w:r>
      <w:r w:rsidR="0075779C" w:rsidRPr="008651D1">
        <w:rPr>
          <w:i/>
          <w:lang w:val="fr-FR"/>
        </w:rPr>
        <w:t>“</w:t>
      </w:r>
      <w:r w:rsidR="009E6E8C" w:rsidRPr="008651D1">
        <w:rPr>
          <w:i/>
          <w:lang w:val="fr-FR"/>
        </w:rPr>
        <w:t>variété voisine</w:t>
      </w:r>
      <w:r w:rsidR="00D05B03" w:rsidRPr="008651D1">
        <w:rPr>
          <w:i/>
          <w:lang w:val="fr-FR"/>
        </w:rPr>
        <w:t>”</w:t>
      </w:r>
      <w:r w:rsidR="00EB2A97" w:rsidRPr="008651D1">
        <w:rPr>
          <w:i/>
          <w:lang w:val="fr-FR"/>
        </w:rPr>
        <w:t xml:space="preserve"> </w:t>
      </w:r>
      <w:r w:rsidR="009E6E8C" w:rsidRPr="008651D1">
        <w:rPr>
          <w:i/>
          <w:lang w:val="fr-FR"/>
        </w:rPr>
        <w:t>d</w:t>
      </w:r>
      <w:r w:rsidR="00016C98" w:rsidRPr="008651D1">
        <w:rPr>
          <w:i/>
          <w:lang w:val="fr-FR"/>
        </w:rPr>
        <w:t>’</w:t>
      </w:r>
      <w:r w:rsidR="009E6E8C" w:rsidRPr="008651D1">
        <w:rPr>
          <w:i/>
          <w:lang w:val="fr-FR"/>
        </w:rPr>
        <w:t xml:space="preserve">une </w:t>
      </w:r>
      <w:r w:rsidR="00D05B03" w:rsidRPr="008651D1">
        <w:rPr>
          <w:i/>
          <w:lang w:val="fr-FR"/>
        </w:rPr>
        <w:t>“</w:t>
      </w:r>
      <w:r w:rsidR="009E6E8C" w:rsidRPr="008651D1">
        <w:rPr>
          <w:i/>
          <w:lang w:val="fr-FR"/>
        </w:rPr>
        <w:t>variété candidate</w:t>
      </w:r>
      <w:r w:rsidR="0075779C" w:rsidRPr="008651D1">
        <w:rPr>
          <w:i/>
          <w:lang w:val="fr-FR"/>
        </w:rPr>
        <w:t>”</w:t>
      </w:r>
      <w:r w:rsidR="00EB2A97" w:rsidRPr="008651D1">
        <w:rPr>
          <w:i/>
          <w:lang w:val="fr-FR"/>
        </w:rPr>
        <w:t xml:space="preserve"> (</w:t>
      </w:r>
      <w:r w:rsidR="009E6E8C" w:rsidRPr="008651D1">
        <w:rPr>
          <w:i/>
          <w:lang w:val="fr-FR"/>
        </w:rPr>
        <w:t>voir également le</w:t>
      </w:r>
      <w:r w:rsidR="00EB2A97" w:rsidRPr="008651D1">
        <w:rPr>
          <w:i/>
          <w:lang w:val="fr-FR"/>
        </w:rPr>
        <w:t xml:space="preserve"> </w:t>
      </w:r>
      <w:r w:rsidR="00C72A57" w:rsidRPr="008651D1">
        <w:rPr>
          <w:i/>
          <w:lang w:val="fr-FR"/>
        </w:rPr>
        <w:t>document BM</w:t>
      </w:r>
      <w:r w:rsidR="00EB2A97" w:rsidRPr="008651D1">
        <w:rPr>
          <w:i/>
          <w:lang w:val="fr-FR"/>
        </w:rPr>
        <w:t xml:space="preserve">T/14/16 </w:t>
      </w:r>
      <w:proofErr w:type="spellStart"/>
      <w:r w:rsidR="00EB2A97" w:rsidRPr="008651D1">
        <w:rPr>
          <w:i/>
          <w:lang w:val="fr-FR"/>
        </w:rPr>
        <w:t>Rev2</w:t>
      </w:r>
      <w:proofErr w:type="spellEnd"/>
      <w:r w:rsidR="00EB2A97" w:rsidRPr="008651D1">
        <w:rPr>
          <w:i/>
          <w:lang w:val="fr-FR"/>
        </w:rPr>
        <w:t>.)</w:t>
      </w:r>
    </w:p>
    <w:p w:rsidR="00DF61EE" w:rsidRPr="008651D1" w:rsidRDefault="00DF61EE" w:rsidP="008651D1">
      <w:pPr>
        <w:ind w:left="540" w:firstLine="27"/>
        <w:rPr>
          <w:i/>
          <w:lang w:val="fr-FR"/>
        </w:rPr>
      </w:pPr>
    </w:p>
    <w:p w:rsidR="00DF61EE" w:rsidRPr="008651D1" w:rsidRDefault="00D05B03" w:rsidP="008651D1">
      <w:pPr>
        <w:ind w:left="540" w:firstLine="27"/>
        <w:rPr>
          <w:rFonts w:cs="Arial"/>
          <w:i/>
          <w:lang w:val="fr-FR"/>
        </w:rPr>
      </w:pPr>
      <w:r w:rsidRPr="008651D1">
        <w:rPr>
          <w:i/>
          <w:lang w:val="fr-FR"/>
        </w:rPr>
        <w:t>Utilisation</w:t>
      </w:r>
      <w:r w:rsidR="009E6E8C" w:rsidRPr="008651D1">
        <w:rPr>
          <w:i/>
          <w:lang w:val="fr-FR"/>
        </w:rPr>
        <w:t xml:space="preserve"> de variétés de référence pour l</w:t>
      </w:r>
      <w:r w:rsidR="00016C98" w:rsidRPr="008651D1">
        <w:rPr>
          <w:i/>
          <w:lang w:val="fr-FR"/>
        </w:rPr>
        <w:t>’</w:t>
      </w:r>
      <w:r w:rsidR="009E6E8C" w:rsidRPr="008651D1">
        <w:rPr>
          <w:i/>
          <w:lang w:val="fr-FR"/>
        </w:rPr>
        <w:t>examen de la distinction de variétés</w:t>
      </w:r>
      <w:r w:rsidR="002C3CBE" w:rsidRPr="008651D1">
        <w:rPr>
          <w:i/>
          <w:lang w:val="fr-FR"/>
        </w:rPr>
        <w:t xml:space="preserve"> : </w:t>
      </w:r>
      <w:r w:rsidR="009E6E8C" w:rsidRPr="008651D1">
        <w:rPr>
          <w:i/>
          <w:lang w:val="fr-FR"/>
        </w:rPr>
        <w:t>méthode étudiée aux États</w:t>
      </w:r>
      <w:r w:rsidR="00DC14F9" w:rsidRPr="008651D1">
        <w:rPr>
          <w:i/>
          <w:lang w:val="fr-FR"/>
        </w:rPr>
        <w:noBreakHyphen/>
      </w:r>
      <w:r w:rsidR="00DC14F9" w:rsidRPr="008651D1">
        <w:rPr>
          <w:i/>
          <w:lang w:val="fr-FR"/>
        </w:rPr>
        <w:noBreakHyphen/>
      </w:r>
      <w:r w:rsidR="009E6E8C" w:rsidRPr="008651D1">
        <w:rPr>
          <w:i/>
          <w:lang w:val="fr-FR"/>
        </w:rPr>
        <w:t>Unis d</w:t>
      </w:r>
      <w:r w:rsidR="00016C98" w:rsidRPr="008651D1">
        <w:rPr>
          <w:i/>
          <w:lang w:val="fr-FR"/>
        </w:rPr>
        <w:t>’</w:t>
      </w:r>
      <w:r w:rsidR="009E6E8C" w:rsidRPr="008651D1">
        <w:rPr>
          <w:i/>
          <w:lang w:val="fr-FR"/>
        </w:rPr>
        <w:t>Amérique potentiellement applicable à la protection des obtentions végétales</w:t>
      </w:r>
      <w:r w:rsidR="002C3CBE" w:rsidRPr="008651D1">
        <w:rPr>
          <w:i/>
          <w:lang w:val="fr-FR"/>
        </w:rPr>
        <w:t xml:space="preserve"> </w:t>
      </w:r>
      <w:r w:rsidR="002C3CBE" w:rsidRPr="008651D1">
        <w:rPr>
          <w:rFonts w:cs="Arial"/>
          <w:i/>
          <w:lang w:val="fr-FR"/>
        </w:rPr>
        <w:t>(</w:t>
      </w:r>
      <w:r w:rsidR="009E6E8C" w:rsidRPr="008651D1">
        <w:rPr>
          <w:rFonts w:cs="Arial"/>
          <w:i/>
          <w:lang w:val="fr-FR"/>
        </w:rPr>
        <w:t xml:space="preserve">voir également les </w:t>
      </w:r>
      <w:r w:rsidR="00C72A57" w:rsidRPr="008651D1">
        <w:rPr>
          <w:rFonts w:cs="Arial"/>
          <w:i/>
          <w:lang w:val="fr-FR"/>
        </w:rPr>
        <w:t>documents BM</w:t>
      </w:r>
      <w:r w:rsidR="002C3CBE" w:rsidRPr="008651D1">
        <w:rPr>
          <w:rFonts w:cs="Arial"/>
          <w:i/>
          <w:lang w:val="fr-FR"/>
        </w:rPr>
        <w:t xml:space="preserve">T/14/5 </w:t>
      </w:r>
      <w:r w:rsidR="009E6E8C" w:rsidRPr="008651D1">
        <w:rPr>
          <w:rFonts w:cs="Arial"/>
          <w:i/>
          <w:lang w:val="fr-FR"/>
        </w:rPr>
        <w:t>et</w:t>
      </w:r>
      <w:r w:rsidR="002C3CBE" w:rsidRPr="008651D1">
        <w:rPr>
          <w:rFonts w:cs="Arial"/>
          <w:i/>
          <w:lang w:val="fr-FR"/>
        </w:rPr>
        <w:t xml:space="preserve"> BMT/14/5 Add.)</w:t>
      </w:r>
    </w:p>
    <w:p w:rsidR="00DF61EE" w:rsidRPr="008651D1" w:rsidRDefault="00DF61EE" w:rsidP="008651D1">
      <w:pPr>
        <w:rPr>
          <w:i/>
          <w:lang w:val="fr-FR"/>
        </w:rPr>
      </w:pPr>
    </w:p>
    <w:p w:rsidR="00DF61EE" w:rsidRPr="008651D1" w:rsidRDefault="009E6E8C" w:rsidP="008651D1">
      <w:pPr>
        <w:ind w:left="540" w:firstLine="27"/>
        <w:rPr>
          <w:i/>
          <w:lang w:val="fr-FR"/>
        </w:rPr>
      </w:pPr>
      <w:r w:rsidRPr="008651D1">
        <w:rPr>
          <w:i/>
          <w:lang w:val="fr-FR"/>
        </w:rPr>
        <w:t xml:space="preserve">Base de données européenne sur la pomme de terre </w:t>
      </w:r>
      <w:r w:rsidR="00B17A36" w:rsidRPr="008651D1">
        <w:rPr>
          <w:i/>
          <w:lang w:val="fr-FR"/>
        </w:rPr>
        <w:t>faisant office de système centralisé de collecte de données sur les</w:t>
      </w:r>
      <w:r w:rsidRPr="008651D1">
        <w:rPr>
          <w:i/>
          <w:lang w:val="fr-FR"/>
        </w:rPr>
        <w:t xml:space="preserve"> variétés notoirement connues</w:t>
      </w:r>
      <w:r w:rsidR="002C3CBE" w:rsidRPr="008651D1">
        <w:rPr>
          <w:i/>
          <w:lang w:val="fr-FR"/>
        </w:rPr>
        <w:t xml:space="preserve"> </w:t>
      </w:r>
      <w:r w:rsidR="002C3CBE" w:rsidRPr="008651D1">
        <w:rPr>
          <w:rFonts w:cs="Arial"/>
          <w:i/>
          <w:lang w:val="fr-FR"/>
        </w:rPr>
        <w:t>(</w:t>
      </w:r>
      <w:r w:rsidRPr="008651D1">
        <w:rPr>
          <w:rFonts w:cs="Arial"/>
          <w:i/>
          <w:lang w:val="fr-FR"/>
        </w:rPr>
        <w:t>voir également les</w:t>
      </w:r>
      <w:r w:rsidR="009676F5" w:rsidRPr="008651D1">
        <w:rPr>
          <w:rFonts w:cs="Arial"/>
          <w:i/>
          <w:lang w:val="fr-FR"/>
        </w:rPr>
        <w:t xml:space="preserve"> </w:t>
      </w:r>
      <w:r w:rsidR="00C72A57" w:rsidRPr="008651D1">
        <w:rPr>
          <w:rFonts w:cs="Arial"/>
          <w:i/>
          <w:lang w:val="fr-FR"/>
        </w:rPr>
        <w:t>documents BM</w:t>
      </w:r>
      <w:r w:rsidR="002C3CBE" w:rsidRPr="008651D1">
        <w:rPr>
          <w:rFonts w:cs="Arial"/>
          <w:i/>
          <w:lang w:val="fr-FR"/>
        </w:rPr>
        <w:t xml:space="preserve">T/14/18 </w:t>
      </w:r>
      <w:r w:rsidRPr="008651D1">
        <w:rPr>
          <w:rFonts w:cs="Arial"/>
          <w:i/>
          <w:lang w:val="fr-FR"/>
        </w:rPr>
        <w:t>et</w:t>
      </w:r>
      <w:r w:rsidR="002C3CBE" w:rsidRPr="008651D1">
        <w:rPr>
          <w:rFonts w:cs="Arial"/>
          <w:i/>
          <w:lang w:val="fr-FR"/>
        </w:rPr>
        <w:t xml:space="preserve"> BMT/14/18 Add)</w:t>
      </w:r>
    </w:p>
    <w:p w:rsidR="00DF61EE" w:rsidRPr="008651D1" w:rsidRDefault="00DF61EE" w:rsidP="008651D1">
      <w:pPr>
        <w:rPr>
          <w:i/>
          <w:lang w:val="fr-FR"/>
        </w:rPr>
      </w:pPr>
    </w:p>
    <w:p w:rsidR="00DF61EE" w:rsidRPr="008651D1" w:rsidRDefault="00B17A36" w:rsidP="008651D1">
      <w:pPr>
        <w:ind w:left="540" w:firstLine="27"/>
        <w:rPr>
          <w:i/>
          <w:lang w:val="fr-FR"/>
        </w:rPr>
      </w:pPr>
      <w:r w:rsidRPr="008651D1">
        <w:rPr>
          <w:i/>
          <w:lang w:val="fr-FR"/>
        </w:rPr>
        <w:t>Mise au point de marqueurs</w:t>
      </w:r>
      <w:r w:rsidR="002C3CBE" w:rsidRPr="008651D1">
        <w:rPr>
          <w:i/>
          <w:lang w:val="fr-FR"/>
        </w:rPr>
        <w:t xml:space="preserve"> EST</w:t>
      </w:r>
      <w:r w:rsidR="00DC14F9" w:rsidRPr="008651D1">
        <w:rPr>
          <w:i/>
          <w:lang w:val="fr-FR"/>
        </w:rPr>
        <w:noBreakHyphen/>
      </w:r>
      <w:r w:rsidR="002C3CBE" w:rsidRPr="008651D1">
        <w:rPr>
          <w:i/>
          <w:lang w:val="fr-FR"/>
        </w:rPr>
        <w:t xml:space="preserve">SSR </w:t>
      </w:r>
      <w:r w:rsidRPr="008651D1">
        <w:rPr>
          <w:i/>
          <w:lang w:val="fr-FR"/>
        </w:rPr>
        <w:t>chez la laitue et identification de variétés au moyen de ces marqueurs</w:t>
      </w:r>
      <w:r w:rsidR="002C3CBE" w:rsidRPr="008651D1">
        <w:rPr>
          <w:i/>
          <w:lang w:val="fr-FR"/>
        </w:rPr>
        <w:t xml:space="preserve"> (</w:t>
      </w:r>
      <w:r w:rsidRPr="008651D1">
        <w:rPr>
          <w:i/>
          <w:lang w:val="fr-FR"/>
        </w:rPr>
        <w:t>voir également le</w:t>
      </w:r>
      <w:r w:rsidR="009676F5" w:rsidRPr="008651D1">
        <w:rPr>
          <w:i/>
          <w:lang w:val="fr-FR"/>
        </w:rPr>
        <w:t xml:space="preserve"> </w:t>
      </w:r>
      <w:r w:rsidR="00C72A57" w:rsidRPr="008651D1">
        <w:rPr>
          <w:i/>
          <w:lang w:val="fr-FR"/>
        </w:rPr>
        <w:t>document BM</w:t>
      </w:r>
      <w:r w:rsidR="002C3CBE" w:rsidRPr="008651D1">
        <w:rPr>
          <w:i/>
          <w:lang w:val="fr-FR"/>
        </w:rPr>
        <w:t>T/14/13</w:t>
      </w:r>
      <w:r w:rsidR="00DE6D2B" w:rsidRPr="008651D1">
        <w:rPr>
          <w:i/>
          <w:lang w:val="fr-FR"/>
        </w:rPr>
        <w:t> </w:t>
      </w:r>
      <w:r w:rsidR="002C3CBE" w:rsidRPr="008651D1">
        <w:rPr>
          <w:i/>
          <w:lang w:val="fr-FR"/>
        </w:rPr>
        <w:t>Rev.)</w:t>
      </w:r>
    </w:p>
    <w:p w:rsidR="00DF61EE" w:rsidRPr="008651D1" w:rsidRDefault="00DF61EE" w:rsidP="008651D1">
      <w:pPr>
        <w:rPr>
          <w:i/>
          <w:lang w:val="fr-FR"/>
        </w:rPr>
      </w:pPr>
    </w:p>
    <w:p w:rsidR="00DF61EE" w:rsidRPr="008651D1" w:rsidRDefault="00B17A36" w:rsidP="008651D1">
      <w:pPr>
        <w:ind w:left="540"/>
        <w:rPr>
          <w:i/>
          <w:lang w:val="fr-FR"/>
        </w:rPr>
      </w:pPr>
      <w:r w:rsidRPr="008651D1">
        <w:rPr>
          <w:i/>
          <w:lang w:val="fr-FR"/>
        </w:rPr>
        <w:t>Propriété et utilisation d</w:t>
      </w:r>
      <w:r w:rsidR="00016C98" w:rsidRPr="008651D1">
        <w:rPr>
          <w:i/>
          <w:lang w:val="fr-FR"/>
        </w:rPr>
        <w:t>’</w:t>
      </w:r>
      <w:r w:rsidRPr="008651D1">
        <w:rPr>
          <w:i/>
          <w:lang w:val="fr-FR"/>
        </w:rPr>
        <w:t>échantillons utilisés dans un examen</w:t>
      </w:r>
      <w:r w:rsidR="00DE6D2B" w:rsidRPr="008651D1">
        <w:rPr>
          <w:i/>
          <w:lang w:val="fr-FR"/>
        </w:rPr>
        <w:t> </w:t>
      </w:r>
      <w:r w:rsidRPr="008651D1">
        <w:rPr>
          <w:i/>
          <w:lang w:val="fr-FR"/>
        </w:rPr>
        <w:t>DHS, de l</w:t>
      </w:r>
      <w:r w:rsidR="00016C98" w:rsidRPr="008651D1">
        <w:rPr>
          <w:i/>
          <w:lang w:val="fr-FR"/>
        </w:rPr>
        <w:t>’</w:t>
      </w:r>
      <w:r w:rsidRPr="008651D1">
        <w:rPr>
          <w:i/>
          <w:lang w:val="fr-FR"/>
        </w:rPr>
        <w:t>ADN et des données relatives à l</w:t>
      </w:r>
      <w:r w:rsidR="00016C98" w:rsidRPr="008651D1">
        <w:rPr>
          <w:i/>
          <w:lang w:val="fr-FR"/>
        </w:rPr>
        <w:t>’</w:t>
      </w:r>
      <w:r w:rsidRPr="008651D1">
        <w:rPr>
          <w:i/>
          <w:lang w:val="fr-FR"/>
        </w:rPr>
        <w:t>ADN pendant et après un examen</w:t>
      </w:r>
      <w:r w:rsidR="00DE6D2B" w:rsidRPr="008651D1">
        <w:rPr>
          <w:i/>
          <w:lang w:val="fr-FR"/>
        </w:rPr>
        <w:t> </w:t>
      </w:r>
      <w:r w:rsidRPr="008651D1">
        <w:rPr>
          <w:i/>
          <w:lang w:val="fr-FR"/>
        </w:rPr>
        <w:t>DHS</w:t>
      </w:r>
      <w:r w:rsidR="002C3CBE" w:rsidRPr="008651D1">
        <w:rPr>
          <w:i/>
          <w:lang w:val="fr-FR"/>
        </w:rPr>
        <w:t xml:space="preserve"> (</w:t>
      </w:r>
      <w:r w:rsidRPr="008651D1">
        <w:rPr>
          <w:i/>
          <w:lang w:val="fr-FR"/>
        </w:rPr>
        <w:t>voir également le</w:t>
      </w:r>
      <w:r w:rsidR="009676F5" w:rsidRPr="008651D1">
        <w:rPr>
          <w:i/>
          <w:lang w:val="fr-FR"/>
        </w:rPr>
        <w:t xml:space="preserve"> </w:t>
      </w:r>
      <w:r w:rsidR="00C72A57" w:rsidRPr="008651D1">
        <w:rPr>
          <w:i/>
          <w:lang w:val="fr-FR"/>
        </w:rPr>
        <w:t>document BM</w:t>
      </w:r>
      <w:r w:rsidR="002C3CBE" w:rsidRPr="008651D1">
        <w:rPr>
          <w:i/>
          <w:lang w:val="fr-FR"/>
        </w:rPr>
        <w:t>T/14/11</w:t>
      </w:r>
      <w:r w:rsidR="00DE6D2B" w:rsidRPr="008651D1">
        <w:rPr>
          <w:i/>
          <w:lang w:val="fr-FR"/>
        </w:rPr>
        <w:t> </w:t>
      </w:r>
      <w:r w:rsidR="002C3CBE" w:rsidRPr="008651D1">
        <w:rPr>
          <w:i/>
          <w:lang w:val="fr-FR"/>
        </w:rPr>
        <w:t>Rev.)</w:t>
      </w:r>
    </w:p>
    <w:p w:rsidR="00DF61EE" w:rsidRPr="008651D1" w:rsidRDefault="00DF61EE" w:rsidP="008651D1">
      <w:pPr>
        <w:rPr>
          <w:rFonts w:cs="Arial"/>
          <w:i/>
          <w:lang w:val="fr-FR"/>
        </w:rPr>
      </w:pPr>
    </w:p>
    <w:p w:rsidR="00DF61EE" w:rsidRPr="008651D1" w:rsidRDefault="00B17A36" w:rsidP="008651D1">
      <w:pPr>
        <w:ind w:left="540" w:firstLine="27"/>
        <w:rPr>
          <w:i/>
          <w:lang w:val="fr-FR"/>
        </w:rPr>
      </w:pPr>
      <w:r w:rsidRPr="008651D1">
        <w:rPr>
          <w:i/>
          <w:lang w:val="fr-FR"/>
        </w:rPr>
        <w:t>Possibilités de coopération entre l</w:t>
      </w:r>
      <w:r w:rsidR="00016C98" w:rsidRPr="008651D1">
        <w:rPr>
          <w:i/>
          <w:lang w:val="fr-FR"/>
        </w:rPr>
        <w:t>’</w:t>
      </w:r>
      <w:r w:rsidRPr="008651D1">
        <w:rPr>
          <w:i/>
          <w:lang w:val="fr-FR"/>
        </w:rPr>
        <w:t>OCDE, l</w:t>
      </w:r>
      <w:r w:rsidR="00016C98" w:rsidRPr="008651D1">
        <w:rPr>
          <w:i/>
          <w:lang w:val="fr-FR"/>
        </w:rPr>
        <w:t>’</w:t>
      </w:r>
      <w:r w:rsidRPr="008651D1">
        <w:rPr>
          <w:i/>
          <w:lang w:val="fr-FR"/>
        </w:rPr>
        <w:t>UPOV, l</w:t>
      </w:r>
      <w:r w:rsidR="00016C98" w:rsidRPr="008651D1">
        <w:rPr>
          <w:i/>
          <w:lang w:val="fr-FR"/>
        </w:rPr>
        <w:t>’</w:t>
      </w:r>
      <w:r w:rsidRPr="008651D1">
        <w:rPr>
          <w:i/>
          <w:lang w:val="fr-FR"/>
        </w:rPr>
        <w:t>ISO et l</w:t>
      </w:r>
      <w:r w:rsidR="00016C98" w:rsidRPr="008651D1">
        <w:rPr>
          <w:i/>
          <w:lang w:val="fr-FR"/>
        </w:rPr>
        <w:t>’</w:t>
      </w:r>
      <w:r w:rsidRPr="008651D1">
        <w:rPr>
          <w:i/>
          <w:lang w:val="fr-FR"/>
        </w:rPr>
        <w:t>ISTA concernant les techniques moléculaires</w:t>
      </w:r>
      <w:r w:rsidR="00597583" w:rsidRPr="008651D1">
        <w:rPr>
          <w:i/>
          <w:lang w:val="fr-FR"/>
        </w:rPr>
        <w:t xml:space="preserve"> </w:t>
      </w:r>
      <w:r w:rsidR="002C3CBE" w:rsidRPr="008651D1">
        <w:rPr>
          <w:i/>
          <w:lang w:val="fr-FR"/>
        </w:rPr>
        <w:t>(</w:t>
      </w:r>
      <w:r w:rsidRPr="008651D1">
        <w:rPr>
          <w:i/>
          <w:lang w:val="fr-FR"/>
        </w:rPr>
        <w:t>voir également le</w:t>
      </w:r>
      <w:r w:rsidR="009676F5" w:rsidRPr="008651D1">
        <w:rPr>
          <w:i/>
          <w:lang w:val="fr-FR"/>
        </w:rPr>
        <w:t xml:space="preserve"> </w:t>
      </w:r>
      <w:r w:rsidR="002C3CBE" w:rsidRPr="008651D1">
        <w:rPr>
          <w:i/>
          <w:lang w:val="fr-FR"/>
        </w:rPr>
        <w:t>document BMT/14/Joint/5)</w:t>
      </w:r>
    </w:p>
    <w:p w:rsidR="00DF61EE" w:rsidRPr="008651D1" w:rsidRDefault="00DF61EE" w:rsidP="008651D1">
      <w:pPr>
        <w:rPr>
          <w:lang w:val="fr-FR"/>
        </w:rPr>
      </w:pPr>
    </w:p>
    <w:p w:rsidR="00DF61EE" w:rsidRPr="008651D1" w:rsidRDefault="00597583" w:rsidP="008651D1">
      <w:pPr>
        <w:rPr>
          <w:lang w:val="fr-FR" w:eastAsia="ja-JP"/>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4458B1" w:rsidRPr="008651D1">
        <w:rPr>
          <w:lang w:val="fr-FR"/>
        </w:rPr>
        <w:t>U</w:t>
      </w:r>
      <w:r w:rsidR="00B17A36" w:rsidRPr="008651D1">
        <w:rPr>
          <w:lang w:val="fr-FR"/>
        </w:rPr>
        <w:t>n projet de programme pour le débat</w:t>
      </w:r>
      <w:r w:rsidR="004458B1" w:rsidRPr="008651D1">
        <w:rPr>
          <w:lang w:val="fr-FR"/>
        </w:rPr>
        <w:t>, soumis à l</w:t>
      </w:r>
      <w:r w:rsidR="00016C98" w:rsidRPr="008651D1">
        <w:rPr>
          <w:lang w:val="fr-FR"/>
        </w:rPr>
        <w:t>’</w:t>
      </w:r>
      <w:r w:rsidR="004458B1" w:rsidRPr="008651D1">
        <w:rPr>
          <w:lang w:val="fr-FR"/>
        </w:rPr>
        <w:t>approbation du</w:t>
      </w:r>
      <w:r w:rsidR="00016C98" w:rsidRPr="008651D1">
        <w:rPr>
          <w:lang w:val="fr-FR"/>
        </w:rPr>
        <w:t> TC</w:t>
      </w:r>
      <w:r w:rsidR="004458B1" w:rsidRPr="008651D1">
        <w:rPr>
          <w:lang w:val="fr-FR"/>
        </w:rPr>
        <w:t xml:space="preserve">, </w:t>
      </w:r>
      <w:r w:rsidR="00B17A36" w:rsidRPr="008651D1">
        <w:rPr>
          <w:lang w:val="fr-FR"/>
        </w:rPr>
        <w:t>figure à l</w:t>
      </w:r>
      <w:r w:rsidR="00016C98" w:rsidRPr="008651D1">
        <w:rPr>
          <w:lang w:val="fr-FR"/>
        </w:rPr>
        <w:t>’</w:t>
      </w:r>
      <w:r w:rsidR="00B17A36" w:rsidRPr="00BF7CC1">
        <w:rPr>
          <w:lang w:val="fr-FR"/>
        </w:rPr>
        <w:t>a</w:t>
      </w:r>
      <w:r w:rsidR="002D59C1" w:rsidRPr="00BF7CC1">
        <w:rPr>
          <w:lang w:val="fr-FR"/>
        </w:rPr>
        <w:t>n</w:t>
      </w:r>
      <w:r w:rsidR="00B17A36" w:rsidRPr="00BF7CC1">
        <w:rPr>
          <w:lang w:val="fr-FR"/>
        </w:rPr>
        <w:t>n</w:t>
      </w:r>
      <w:r w:rsidR="002D59C1" w:rsidRPr="00BF7CC1">
        <w:rPr>
          <w:lang w:val="fr-FR"/>
        </w:rPr>
        <w:t>ex</w:t>
      </w:r>
      <w:r w:rsidR="00B17A36" w:rsidRPr="00BF7CC1">
        <w:rPr>
          <w:lang w:val="fr-FR"/>
        </w:rPr>
        <w:t>e</w:t>
      </w:r>
      <w:r w:rsidR="00DE6D2B" w:rsidRPr="00BF7CC1">
        <w:rPr>
          <w:lang w:val="fr-FR"/>
        </w:rPr>
        <w:t> </w:t>
      </w:r>
      <w:r w:rsidR="0088336D" w:rsidRPr="00BF7CC1">
        <w:rPr>
          <w:lang w:val="fr-FR"/>
        </w:rPr>
        <w:t>II</w:t>
      </w:r>
      <w:r w:rsidR="002D59C1" w:rsidRPr="00BF7CC1">
        <w:rPr>
          <w:lang w:val="fr-FR"/>
        </w:rPr>
        <w:t xml:space="preserve"> </w:t>
      </w:r>
      <w:r w:rsidR="004458B1" w:rsidRPr="00BF7CC1">
        <w:rPr>
          <w:lang w:val="fr-FR"/>
        </w:rPr>
        <w:t>d</w:t>
      </w:r>
      <w:r w:rsidR="004458B1" w:rsidRPr="008651D1">
        <w:rPr>
          <w:lang w:val="fr-FR"/>
        </w:rPr>
        <w:t>u présent document, ainsi que des indications sur la manière dont ce débat sera coordonné avec le point de l</w:t>
      </w:r>
      <w:r w:rsidR="00016C98" w:rsidRPr="008651D1">
        <w:rPr>
          <w:lang w:val="fr-FR"/>
        </w:rPr>
        <w:t>’</w:t>
      </w:r>
      <w:r w:rsidR="004458B1" w:rsidRPr="008651D1">
        <w:rPr>
          <w:lang w:val="fr-FR"/>
        </w:rPr>
        <w:t>ordre du jour intitulé</w:t>
      </w:r>
      <w:r w:rsidR="002D59C1" w:rsidRPr="008651D1">
        <w:rPr>
          <w:lang w:val="fr-FR"/>
        </w:rPr>
        <w:t xml:space="preserve"> “</w:t>
      </w:r>
      <w:r w:rsidR="004458B1" w:rsidRPr="008651D1">
        <w:rPr>
          <w:lang w:val="fr-FR"/>
        </w:rPr>
        <w:t>Techniques moléculaires</w:t>
      </w:r>
      <w:r w:rsidR="002D59C1" w:rsidRPr="008651D1">
        <w:rPr>
          <w:lang w:val="fr-FR"/>
        </w:rPr>
        <w:t>”</w:t>
      </w:r>
      <w:r w:rsidRPr="008651D1">
        <w:rPr>
          <w:lang w:val="fr-FR"/>
        </w:rPr>
        <w:t>.</w:t>
      </w:r>
    </w:p>
    <w:p w:rsidR="00DF61EE" w:rsidRPr="008651D1" w:rsidRDefault="00DF61EE" w:rsidP="008651D1">
      <w:pPr>
        <w:rPr>
          <w:rFonts w:cs="Arial"/>
          <w:lang w:val="fr-FR" w:eastAsia="ja-JP"/>
        </w:rPr>
      </w:pPr>
    </w:p>
    <w:p w:rsidR="00DF61EE" w:rsidRPr="008651D1" w:rsidRDefault="00DF61EE" w:rsidP="008651D1">
      <w:pPr>
        <w:rPr>
          <w:lang w:val="fr-FR" w:eastAsia="ja-JP"/>
        </w:rPr>
      </w:pPr>
    </w:p>
    <w:p w:rsidR="00DF61EE" w:rsidRPr="008651D1" w:rsidRDefault="002317DE" w:rsidP="008651D1">
      <w:pPr>
        <w:pStyle w:val="Heading1"/>
        <w:rPr>
          <w:lang w:val="fr-FR"/>
        </w:rPr>
      </w:pPr>
      <w:bookmarkStart w:id="46" w:name="_Toc411603117"/>
      <w:bookmarkEnd w:id="42"/>
      <w:bookmarkEnd w:id="43"/>
      <w:bookmarkEnd w:id="44"/>
      <w:bookmarkEnd w:id="45"/>
      <w:r w:rsidRPr="008651D1">
        <w:rPr>
          <w:lang w:val="fr-FR" w:eastAsia="ja-JP"/>
        </w:rPr>
        <w:t>diffusion d</w:t>
      </w:r>
      <w:r w:rsidR="00016C98" w:rsidRPr="008651D1">
        <w:rPr>
          <w:lang w:val="fr-FR" w:eastAsia="ja-JP"/>
        </w:rPr>
        <w:t>’</w:t>
      </w:r>
      <w:r w:rsidRPr="008651D1">
        <w:rPr>
          <w:lang w:val="fr-FR" w:eastAsia="ja-JP"/>
        </w:rPr>
        <w:t>informations sur la situation à l</w:t>
      </w:r>
      <w:r w:rsidR="00016C98" w:rsidRPr="008651D1">
        <w:rPr>
          <w:lang w:val="fr-FR" w:eastAsia="ja-JP"/>
        </w:rPr>
        <w:t>’</w:t>
      </w:r>
      <w:r w:rsidRPr="008651D1">
        <w:rPr>
          <w:lang w:val="fr-FR" w:eastAsia="ja-JP"/>
        </w:rPr>
        <w:t>UPOV concernant l</w:t>
      </w:r>
      <w:r w:rsidR="00016C98" w:rsidRPr="008651D1">
        <w:rPr>
          <w:lang w:val="fr-FR" w:eastAsia="ja-JP"/>
        </w:rPr>
        <w:t>’</w:t>
      </w:r>
      <w:r w:rsidRPr="008651D1">
        <w:rPr>
          <w:lang w:val="fr-FR" w:eastAsia="ja-JP"/>
        </w:rPr>
        <w:t>utilisation de techniques moléculaires</w:t>
      </w:r>
      <w:bookmarkEnd w:id="46"/>
    </w:p>
    <w:p w:rsidR="00DF61EE" w:rsidRPr="008651D1" w:rsidRDefault="00DF61EE" w:rsidP="008651D1">
      <w:pPr>
        <w:rPr>
          <w:lang w:val="fr-FR" w:eastAsia="ja-JP"/>
        </w:rPr>
      </w:pPr>
    </w:p>
    <w:p w:rsidR="00DF61EE" w:rsidRPr="008651D1" w:rsidRDefault="0033342F" w:rsidP="008651D1">
      <w:pPr>
        <w:pStyle w:val="Heading2"/>
        <w:rPr>
          <w:lang w:val="fr-FR" w:eastAsia="ja-JP"/>
        </w:rPr>
      </w:pPr>
      <w:bookmarkStart w:id="47" w:name="_Toc411603118"/>
      <w:r w:rsidRPr="008651D1">
        <w:rPr>
          <w:lang w:val="fr-FR" w:eastAsia="ja-JP"/>
        </w:rPr>
        <w:t>Rappel</w:t>
      </w:r>
      <w:bookmarkEnd w:id="47"/>
    </w:p>
    <w:p w:rsidR="00DF61EE" w:rsidRPr="008651D1" w:rsidRDefault="00DF61EE" w:rsidP="008651D1">
      <w:pPr>
        <w:rPr>
          <w:lang w:val="fr-FR"/>
        </w:rPr>
      </w:pPr>
    </w:p>
    <w:p w:rsidR="00DF61EE" w:rsidRPr="008651D1" w:rsidRDefault="0036170D" w:rsidP="008651D1">
      <w:pPr>
        <w:autoSpaceDE w:val="0"/>
        <w:autoSpaceDN w:val="0"/>
        <w:adjustRightInd w:val="0"/>
        <w:rPr>
          <w:rFonts w:cs="Arial"/>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À sa quarante</w:t>
      </w:r>
      <w:r w:rsidR="00DC14F9" w:rsidRPr="008651D1">
        <w:rPr>
          <w:lang w:val="fr-FR"/>
        </w:rPr>
        <w:noBreakHyphen/>
      </w:r>
      <w:r w:rsidR="0033342F" w:rsidRPr="008651D1">
        <w:rPr>
          <w:lang w:val="fr-FR"/>
        </w:rPr>
        <w:t>neuvième session tenue à Genève du 18 au 20 mars 2013, le</w:t>
      </w:r>
      <w:r w:rsidR="00016C98" w:rsidRPr="008651D1">
        <w:rPr>
          <w:lang w:val="fr-FR"/>
        </w:rPr>
        <w:t> TC</w:t>
      </w:r>
      <w:r w:rsidR="0033342F" w:rsidRPr="008651D1">
        <w:rPr>
          <w:lang w:val="fr-FR"/>
        </w:rPr>
        <w:t xml:space="preserve"> est convenu qu</w:t>
      </w:r>
      <w:r w:rsidR="00016C98" w:rsidRPr="008651D1">
        <w:rPr>
          <w:lang w:val="fr-FR"/>
        </w:rPr>
        <w:t>’</w:t>
      </w:r>
      <w:r w:rsidR="0033342F" w:rsidRPr="008651D1">
        <w:rPr>
          <w:lang w:val="fr-FR"/>
        </w:rPr>
        <w:t xml:space="preserve">il était nécessaire de </w:t>
      </w:r>
      <w:r w:rsidR="00211DDC" w:rsidRPr="008651D1">
        <w:rPr>
          <w:lang w:val="fr-FR"/>
        </w:rPr>
        <w:t>fournir des informations appropriées sur la situation à l</w:t>
      </w:r>
      <w:r w:rsidR="00016C98" w:rsidRPr="008651D1">
        <w:rPr>
          <w:lang w:val="fr-FR"/>
        </w:rPr>
        <w:t>’</w:t>
      </w:r>
      <w:r w:rsidR="00211DDC" w:rsidRPr="008651D1">
        <w:rPr>
          <w:lang w:val="fr-FR"/>
        </w:rPr>
        <w:t xml:space="preserve">UPOV concernant </w:t>
      </w:r>
      <w:r w:rsidR="0033342F" w:rsidRPr="008651D1">
        <w:rPr>
          <w:lang w:val="fr-FR"/>
        </w:rPr>
        <w:t>l</w:t>
      </w:r>
      <w:r w:rsidR="00016C98" w:rsidRPr="008651D1">
        <w:rPr>
          <w:lang w:val="fr-FR"/>
        </w:rPr>
        <w:t>’</w:t>
      </w:r>
      <w:r w:rsidR="0033342F" w:rsidRPr="008651D1">
        <w:rPr>
          <w:lang w:val="fr-FR"/>
        </w:rPr>
        <w:t>utilisation de techniques moléculaires</w:t>
      </w:r>
      <w:r w:rsidR="00211DDC" w:rsidRPr="008651D1">
        <w:rPr>
          <w:lang w:val="fr-FR"/>
        </w:rPr>
        <w:t xml:space="preserve"> à un plus large public, </w:t>
      </w:r>
      <w:r w:rsidR="00016C98" w:rsidRPr="008651D1">
        <w:rPr>
          <w:lang w:val="fr-FR"/>
        </w:rPr>
        <w:t>y compris</w:t>
      </w:r>
      <w:r w:rsidR="00211DDC" w:rsidRPr="008651D1">
        <w:rPr>
          <w:lang w:val="fr-FR"/>
        </w:rPr>
        <w:t xml:space="preserve"> les obtenteurs et le public en général</w:t>
      </w:r>
      <w:r w:rsidR="0033342F" w:rsidRPr="008651D1">
        <w:rPr>
          <w:lang w:val="fr-FR"/>
        </w:rPr>
        <w:t>.</w:t>
      </w:r>
      <w:r w:rsidR="00BF7CC1">
        <w:rPr>
          <w:lang w:val="fr-FR"/>
        </w:rPr>
        <w:t xml:space="preserve"> </w:t>
      </w:r>
      <w:r w:rsidR="0033342F" w:rsidRPr="008651D1">
        <w:rPr>
          <w:rFonts w:cs="Arial"/>
          <w:lang w:val="fr-FR"/>
        </w:rPr>
        <w:t>Ces</w:t>
      </w:r>
      <w:r w:rsidR="00BF7CC1">
        <w:rPr>
          <w:rFonts w:cs="Arial"/>
          <w:lang w:val="fr-FR"/>
        </w:rPr>
        <w:t> </w:t>
      </w:r>
      <w:r w:rsidR="0033342F" w:rsidRPr="008651D1">
        <w:rPr>
          <w:rFonts w:cs="Arial"/>
          <w:lang w:val="fr-FR"/>
        </w:rPr>
        <w:t>informations devraient expliquer les avantages et les inconvénients potentiels de ces techniques ainsi que le lien entre génotype et phénotype, qui sont l</w:t>
      </w:r>
      <w:r w:rsidR="00016C98" w:rsidRPr="008651D1">
        <w:rPr>
          <w:rFonts w:cs="Arial"/>
          <w:lang w:val="fr-FR"/>
        </w:rPr>
        <w:t>’</w:t>
      </w:r>
      <w:r w:rsidR="0033342F" w:rsidRPr="008651D1">
        <w:rPr>
          <w:rFonts w:cs="Arial"/>
          <w:lang w:val="fr-FR"/>
        </w:rPr>
        <w:t>assise de la situation à l</w:t>
      </w:r>
      <w:r w:rsidR="00016C98" w:rsidRPr="008651D1">
        <w:rPr>
          <w:rFonts w:cs="Arial"/>
          <w:lang w:val="fr-FR"/>
        </w:rPr>
        <w:t>’</w:t>
      </w:r>
      <w:r w:rsidR="0033342F" w:rsidRPr="008651D1">
        <w:rPr>
          <w:rFonts w:cs="Arial"/>
          <w:lang w:val="fr-FR"/>
        </w:rPr>
        <w:t xml:space="preserve">UPOV (voir le paragraphe 136 du </w:t>
      </w:r>
      <w:r w:rsidR="00016C98" w:rsidRPr="008651D1">
        <w:rPr>
          <w:rFonts w:cs="Arial"/>
          <w:lang w:val="fr-FR"/>
        </w:rPr>
        <w:t>document TC</w:t>
      </w:r>
      <w:r w:rsidR="0033342F" w:rsidRPr="008651D1">
        <w:rPr>
          <w:rFonts w:cs="Arial"/>
          <w:lang w:val="fr-FR"/>
        </w:rPr>
        <w:t>/49/41 “Compte rendu des conclusions”).</w:t>
      </w:r>
    </w:p>
    <w:p w:rsidR="00DF61EE" w:rsidRPr="008651D1" w:rsidRDefault="00DF61EE" w:rsidP="008651D1">
      <w:pPr>
        <w:autoSpaceDE w:val="0"/>
        <w:autoSpaceDN w:val="0"/>
        <w:adjustRightInd w:val="0"/>
        <w:jc w:val="left"/>
        <w:rPr>
          <w:rFonts w:cs="Arial"/>
          <w:lang w:val="fr-FR"/>
        </w:rPr>
      </w:pPr>
    </w:p>
    <w:p w:rsidR="00DF61EE" w:rsidRPr="008651D1" w:rsidRDefault="0036170D" w:rsidP="008651D1">
      <w:pPr>
        <w:autoSpaceDE w:val="0"/>
        <w:autoSpaceDN w:val="0"/>
        <w:adjustRightInd w:val="0"/>
        <w:rPr>
          <w:lang w:val="fr-FR"/>
        </w:rPr>
      </w:pPr>
      <w:r w:rsidRPr="008651D1">
        <w:rPr>
          <w:lang w:val="fr-FR"/>
        </w:rPr>
        <w:lastRenderedPageBreak/>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À sa quatre</w:t>
      </w:r>
      <w:r w:rsidR="00DC14F9" w:rsidRPr="008651D1">
        <w:rPr>
          <w:lang w:val="fr-FR"/>
        </w:rPr>
        <w:noBreakHyphen/>
      </w:r>
      <w:r w:rsidR="0033342F" w:rsidRPr="008651D1">
        <w:rPr>
          <w:lang w:val="fr-FR"/>
        </w:rPr>
        <w:t>vingt</w:t>
      </w:r>
      <w:r w:rsidR="00DC14F9" w:rsidRPr="008651D1">
        <w:rPr>
          <w:lang w:val="fr-FR"/>
        </w:rPr>
        <w:noBreakHyphen/>
      </w:r>
      <w:r w:rsidR="0033342F" w:rsidRPr="008651D1">
        <w:rPr>
          <w:lang w:val="fr-FR"/>
        </w:rPr>
        <w:t>sixième session tenue à Genève le</w:t>
      </w:r>
      <w:r w:rsidR="00211DDC" w:rsidRPr="008651D1">
        <w:rPr>
          <w:lang w:val="fr-FR"/>
        </w:rPr>
        <w:t>s</w:t>
      </w:r>
      <w:r w:rsidR="0033342F" w:rsidRPr="008651D1">
        <w:rPr>
          <w:lang w:val="fr-FR"/>
        </w:rPr>
        <w:t xml:space="preserve"> 23</w:t>
      </w:r>
      <w:r w:rsidR="00211DDC" w:rsidRPr="008651D1">
        <w:rPr>
          <w:lang w:val="fr-FR"/>
        </w:rPr>
        <w:t xml:space="preserve"> et 24</w:t>
      </w:r>
      <w:r w:rsidR="0033342F" w:rsidRPr="008651D1">
        <w:rPr>
          <w:lang w:val="fr-FR"/>
        </w:rPr>
        <w:t> octobre 2013, le Comité consultatif a examiné une série de réponses à des questions fréquemment posées.</w:t>
      </w:r>
      <w:r w:rsidRPr="008651D1">
        <w:rPr>
          <w:lang w:val="fr-FR"/>
        </w:rPr>
        <w:t xml:space="preserve">  </w:t>
      </w:r>
      <w:r w:rsidR="0033342F" w:rsidRPr="008651D1">
        <w:rPr>
          <w:rFonts w:cs="Arial"/>
          <w:lang w:val="fr-FR"/>
        </w:rPr>
        <w:t>L</w:t>
      </w:r>
      <w:r w:rsidR="00016C98" w:rsidRPr="008651D1">
        <w:rPr>
          <w:rFonts w:cs="Arial"/>
          <w:lang w:val="fr-FR"/>
        </w:rPr>
        <w:t>’</w:t>
      </w:r>
      <w:r w:rsidR="0033342F" w:rsidRPr="008651D1">
        <w:rPr>
          <w:rFonts w:cs="Arial"/>
          <w:lang w:val="fr-FR"/>
        </w:rPr>
        <w:t>une de ces questions était la suivante</w:t>
      </w:r>
      <w:r w:rsidR="00DE6D2B" w:rsidRPr="008651D1">
        <w:rPr>
          <w:rFonts w:cs="Arial"/>
          <w:lang w:val="fr-FR"/>
        </w:rPr>
        <w:t> </w:t>
      </w:r>
      <w:r w:rsidR="0033342F" w:rsidRPr="008651D1">
        <w:rPr>
          <w:rFonts w:cs="Arial"/>
          <w:lang w:val="fr-FR"/>
        </w:rPr>
        <w:t>: “L</w:t>
      </w:r>
      <w:r w:rsidR="00016C98" w:rsidRPr="008651D1">
        <w:rPr>
          <w:rFonts w:cs="Arial"/>
          <w:lang w:val="fr-FR"/>
        </w:rPr>
        <w:t>’</w:t>
      </w:r>
      <w:r w:rsidR="0033342F" w:rsidRPr="008651D1">
        <w:rPr>
          <w:rFonts w:cs="Arial"/>
          <w:lang w:val="fr-FR"/>
        </w:rPr>
        <w:t>UPOV autorise</w:t>
      </w:r>
      <w:r w:rsidR="00DC14F9" w:rsidRPr="008651D1">
        <w:rPr>
          <w:rFonts w:cs="Arial"/>
          <w:lang w:val="fr-FR"/>
        </w:rPr>
        <w:noBreakHyphen/>
      </w:r>
      <w:r w:rsidR="0033342F" w:rsidRPr="008651D1">
        <w:rPr>
          <w:rFonts w:cs="Arial"/>
          <w:lang w:val="fr-FR"/>
        </w:rPr>
        <w:t>t</w:t>
      </w:r>
      <w:r w:rsidR="00DC14F9" w:rsidRPr="008651D1">
        <w:rPr>
          <w:rFonts w:cs="Arial"/>
          <w:lang w:val="fr-FR"/>
        </w:rPr>
        <w:noBreakHyphen/>
      </w:r>
      <w:r w:rsidR="0033342F" w:rsidRPr="008651D1">
        <w:rPr>
          <w:rFonts w:cs="Arial"/>
          <w:lang w:val="fr-FR"/>
        </w:rPr>
        <w:t>elle l</w:t>
      </w:r>
      <w:r w:rsidR="00016C98" w:rsidRPr="008651D1">
        <w:rPr>
          <w:rFonts w:cs="Arial"/>
          <w:lang w:val="fr-FR"/>
        </w:rPr>
        <w:t>’</w:t>
      </w:r>
      <w:r w:rsidR="0033342F" w:rsidRPr="008651D1">
        <w:rPr>
          <w:rFonts w:cs="Arial"/>
          <w:lang w:val="fr-FR"/>
        </w:rPr>
        <w:t>utilisation de techniques moléculaires (profils d</w:t>
      </w:r>
      <w:r w:rsidR="00016C98" w:rsidRPr="008651D1">
        <w:rPr>
          <w:rFonts w:cs="Arial"/>
          <w:lang w:val="fr-FR"/>
        </w:rPr>
        <w:t>’</w:t>
      </w:r>
      <w:r w:rsidR="0033342F" w:rsidRPr="008651D1">
        <w:rPr>
          <w:rFonts w:cs="Arial"/>
          <w:lang w:val="fr-FR"/>
        </w:rPr>
        <w:t>ADN) dans le cadre de l</w:t>
      </w:r>
      <w:r w:rsidR="00016C98" w:rsidRPr="008651D1">
        <w:rPr>
          <w:rFonts w:cs="Arial"/>
          <w:lang w:val="fr-FR"/>
        </w:rPr>
        <w:t>’</w:t>
      </w:r>
      <w:r w:rsidR="0033342F" w:rsidRPr="008651D1">
        <w:rPr>
          <w:rFonts w:cs="Arial"/>
          <w:lang w:val="fr-FR"/>
        </w:rPr>
        <w:t>examen</w:t>
      </w:r>
      <w:r w:rsidR="00DE6D2B" w:rsidRPr="008651D1">
        <w:rPr>
          <w:rFonts w:cs="Arial"/>
          <w:lang w:val="fr-FR"/>
        </w:rPr>
        <w:t> </w:t>
      </w:r>
      <w:r w:rsidR="0033342F" w:rsidRPr="008651D1">
        <w:rPr>
          <w:rFonts w:cs="Arial"/>
          <w:lang w:val="fr-FR"/>
        </w:rPr>
        <w:t>DHS?”</w:t>
      </w:r>
      <w:r w:rsidR="00211DDC" w:rsidRPr="008651D1">
        <w:rPr>
          <w:rFonts w:cs="Arial"/>
          <w:lang w:val="fr-FR"/>
        </w:rPr>
        <w:t xml:space="preserve"> À cet égard, le Comité consultatif est convenu que la réponse à cette question serait élaborée par le Comité technique</w:t>
      </w:r>
      <w:r w:rsidRPr="008651D1">
        <w:rPr>
          <w:rFonts w:cs="Arial"/>
          <w:lang w:val="fr-FR"/>
        </w:rPr>
        <w:t xml:space="preserve">. </w:t>
      </w:r>
      <w:r w:rsidR="00211DDC" w:rsidRPr="008651D1">
        <w:rPr>
          <w:rFonts w:cs="Arial"/>
          <w:lang w:val="fr-FR"/>
        </w:rPr>
        <w:t xml:space="preserve"> </w:t>
      </w:r>
      <w:r w:rsidR="0033342F" w:rsidRPr="008651D1">
        <w:rPr>
          <w:rFonts w:cs="Arial"/>
          <w:lang w:val="fr-FR"/>
        </w:rPr>
        <w:t>Le Comité consultatif est convenu d</w:t>
      </w:r>
      <w:r w:rsidR="00016C98" w:rsidRPr="008651D1">
        <w:rPr>
          <w:rFonts w:cs="Arial"/>
          <w:lang w:val="fr-FR"/>
        </w:rPr>
        <w:t>’</w:t>
      </w:r>
      <w:r w:rsidR="0033342F" w:rsidRPr="008651D1">
        <w:rPr>
          <w:rFonts w:cs="Arial"/>
          <w:lang w:val="fr-FR"/>
        </w:rPr>
        <w:t>examiner les projets de réponses à cette question et d</w:t>
      </w:r>
      <w:r w:rsidR="00016C98" w:rsidRPr="008651D1">
        <w:rPr>
          <w:rFonts w:cs="Arial"/>
          <w:lang w:val="fr-FR"/>
        </w:rPr>
        <w:t>’</w:t>
      </w:r>
      <w:r w:rsidR="0033342F" w:rsidRPr="008651D1">
        <w:rPr>
          <w:rFonts w:cs="Arial"/>
          <w:lang w:val="fr-FR"/>
        </w:rPr>
        <w:t>autres questions fréquemment posées lors de sa quatre</w:t>
      </w:r>
      <w:r w:rsidR="00DC14F9" w:rsidRPr="008651D1">
        <w:rPr>
          <w:rFonts w:cs="Arial"/>
          <w:lang w:val="fr-FR"/>
        </w:rPr>
        <w:noBreakHyphen/>
      </w:r>
      <w:r w:rsidR="0033342F" w:rsidRPr="008651D1">
        <w:rPr>
          <w:rFonts w:cs="Arial"/>
          <w:lang w:val="fr-FR"/>
        </w:rPr>
        <w:t>vingt</w:t>
      </w:r>
      <w:r w:rsidR="00DC14F9" w:rsidRPr="008651D1">
        <w:rPr>
          <w:rFonts w:cs="Arial"/>
          <w:lang w:val="fr-FR"/>
        </w:rPr>
        <w:noBreakHyphen/>
      </w:r>
      <w:r w:rsidR="0033342F" w:rsidRPr="008651D1">
        <w:rPr>
          <w:rFonts w:cs="Arial"/>
          <w:lang w:val="fr-FR"/>
        </w:rPr>
        <w:t>septième session prévue le 11 avril 2014 à Genève.</w:t>
      </w:r>
    </w:p>
    <w:p w:rsidR="00DF61EE" w:rsidRPr="008651D1" w:rsidRDefault="00DF61EE" w:rsidP="008651D1">
      <w:pPr>
        <w:rPr>
          <w:lang w:val="fr-FR"/>
        </w:rPr>
      </w:pPr>
    </w:p>
    <w:p w:rsidR="00DF61EE" w:rsidRPr="008651D1" w:rsidRDefault="003423DF" w:rsidP="008651D1">
      <w:pPr>
        <w:rPr>
          <w:rFonts w:cs="Arial"/>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754BD8" w:rsidRPr="008651D1">
        <w:rPr>
          <w:lang w:val="fr-FR"/>
        </w:rPr>
        <w:t>Le</w:t>
      </w:r>
      <w:r w:rsidR="00016C98" w:rsidRPr="008651D1">
        <w:rPr>
          <w:lang w:val="fr-FR"/>
        </w:rPr>
        <w:t> TC</w:t>
      </w:r>
      <w:r w:rsidR="00754BD8" w:rsidRPr="008651D1">
        <w:rPr>
          <w:lang w:val="fr-FR"/>
        </w:rPr>
        <w:t>, à sa cinquantième</w:t>
      </w:r>
      <w:r w:rsidR="00DE6D2B" w:rsidRPr="008651D1">
        <w:rPr>
          <w:lang w:val="fr-FR"/>
        </w:rPr>
        <w:t> </w:t>
      </w:r>
      <w:r w:rsidR="00754BD8" w:rsidRPr="008651D1">
        <w:rPr>
          <w:lang w:val="fr-FR"/>
        </w:rPr>
        <w:t xml:space="preserve">session tenue à Genève du 7 au </w:t>
      </w:r>
      <w:r w:rsidR="00C72A57" w:rsidRPr="008651D1">
        <w:rPr>
          <w:lang w:val="fr-FR"/>
        </w:rPr>
        <w:t>9 avril 20</w:t>
      </w:r>
      <w:r w:rsidR="00754BD8" w:rsidRPr="008651D1">
        <w:rPr>
          <w:lang w:val="fr-FR"/>
        </w:rPr>
        <w:t>14 et</w:t>
      </w:r>
      <w:r w:rsidR="00C72A57" w:rsidRPr="008651D1">
        <w:rPr>
          <w:lang w:val="fr-FR"/>
        </w:rPr>
        <w:t xml:space="preserve"> le CAJ</w:t>
      </w:r>
      <w:r w:rsidR="00754BD8" w:rsidRPr="008651D1">
        <w:rPr>
          <w:lang w:val="fr-FR"/>
        </w:rPr>
        <w:t>, à sa soixante</w:t>
      </w:r>
      <w:r w:rsidR="00DC14F9" w:rsidRPr="008651D1">
        <w:rPr>
          <w:lang w:val="fr-FR"/>
        </w:rPr>
        <w:noBreakHyphen/>
      </w:r>
      <w:r w:rsidR="00754BD8" w:rsidRPr="008651D1">
        <w:rPr>
          <w:lang w:val="fr-FR"/>
        </w:rPr>
        <w:t>neuvième</w:t>
      </w:r>
      <w:r w:rsidR="00DE6D2B" w:rsidRPr="008651D1">
        <w:rPr>
          <w:lang w:val="fr-FR"/>
        </w:rPr>
        <w:t> </w:t>
      </w:r>
      <w:r w:rsidR="00754BD8" w:rsidRPr="008651D1">
        <w:rPr>
          <w:lang w:val="fr-FR"/>
        </w:rPr>
        <w:t>session tenue à Genève le 1</w:t>
      </w:r>
      <w:r w:rsidR="00C72A57" w:rsidRPr="008651D1">
        <w:rPr>
          <w:lang w:val="fr-FR"/>
        </w:rPr>
        <w:t>0 avril 20</w:t>
      </w:r>
      <w:r w:rsidR="00754BD8" w:rsidRPr="008651D1">
        <w:rPr>
          <w:lang w:val="fr-FR"/>
        </w:rPr>
        <w:t>14</w:t>
      </w:r>
      <w:r w:rsidR="00D05B03" w:rsidRPr="008651D1">
        <w:rPr>
          <w:lang w:val="fr-FR"/>
        </w:rPr>
        <w:t>,</w:t>
      </w:r>
      <w:r w:rsidR="00754BD8" w:rsidRPr="008651D1">
        <w:rPr>
          <w:lang w:val="fr-FR"/>
        </w:rPr>
        <w:t xml:space="preserve"> ont approuvé l</w:t>
      </w:r>
      <w:r w:rsidR="00016C98" w:rsidRPr="008651D1">
        <w:rPr>
          <w:lang w:val="fr-FR"/>
        </w:rPr>
        <w:t>’</w:t>
      </w:r>
      <w:r w:rsidR="00754BD8" w:rsidRPr="008651D1">
        <w:rPr>
          <w:lang w:val="fr-FR"/>
        </w:rPr>
        <w:t>explication proposée de la situation à l</w:t>
      </w:r>
      <w:r w:rsidR="00016C98" w:rsidRPr="008651D1">
        <w:rPr>
          <w:lang w:val="fr-FR"/>
        </w:rPr>
        <w:t>’</w:t>
      </w:r>
      <w:r w:rsidR="00754BD8" w:rsidRPr="008651D1">
        <w:rPr>
          <w:lang w:val="fr-FR"/>
        </w:rPr>
        <w:t>UPOV en ce qui concerne l</w:t>
      </w:r>
      <w:r w:rsidR="00016C98" w:rsidRPr="008651D1">
        <w:rPr>
          <w:lang w:val="fr-FR"/>
        </w:rPr>
        <w:t>’</w:t>
      </w:r>
      <w:r w:rsidR="00754BD8" w:rsidRPr="008651D1">
        <w:rPr>
          <w:lang w:val="fr-FR"/>
        </w:rPr>
        <w:t>utilisation de techniques moléculaires, comme suit </w:t>
      </w:r>
      <w:r w:rsidR="00754BD8" w:rsidRPr="008651D1">
        <w:rPr>
          <w:rFonts w:cs="Arial"/>
          <w:lang w:val="fr-FR"/>
        </w:rPr>
        <w:t>:</w:t>
      </w:r>
    </w:p>
    <w:p w:rsidR="00DF61EE" w:rsidRPr="008651D1" w:rsidRDefault="00DF61EE" w:rsidP="008651D1">
      <w:pPr>
        <w:rPr>
          <w:rFonts w:cs="Arial"/>
          <w:lang w:val="fr-FR"/>
        </w:rPr>
      </w:pPr>
    </w:p>
    <w:p w:rsidR="00DF61EE" w:rsidRPr="008651D1" w:rsidRDefault="0033342F" w:rsidP="008651D1">
      <w:pPr>
        <w:ind w:left="567" w:right="567"/>
        <w:rPr>
          <w:lang w:val="fr-FR"/>
        </w:rPr>
      </w:pPr>
      <w:r w:rsidRPr="008651D1">
        <w:rPr>
          <w:lang w:val="fr-FR"/>
        </w:rPr>
        <w:t>Question : L</w:t>
      </w:r>
      <w:r w:rsidR="00016C98" w:rsidRPr="008651D1">
        <w:rPr>
          <w:lang w:val="fr-FR"/>
        </w:rPr>
        <w:t>’</w:t>
      </w:r>
      <w:r w:rsidRPr="008651D1">
        <w:rPr>
          <w:lang w:val="fr-FR"/>
        </w:rPr>
        <w:t>UPOV autorise</w:t>
      </w:r>
      <w:r w:rsidR="00DC14F9" w:rsidRPr="008651D1">
        <w:rPr>
          <w:lang w:val="fr-FR"/>
        </w:rPr>
        <w:noBreakHyphen/>
      </w:r>
      <w:r w:rsidRPr="008651D1">
        <w:rPr>
          <w:lang w:val="fr-FR"/>
        </w:rPr>
        <w:t>t</w:t>
      </w:r>
      <w:r w:rsidR="00DC14F9" w:rsidRPr="008651D1">
        <w:rPr>
          <w:lang w:val="fr-FR"/>
        </w:rPr>
        <w:noBreakHyphen/>
      </w:r>
      <w:r w:rsidRPr="008651D1">
        <w:rPr>
          <w:lang w:val="fr-FR"/>
        </w:rPr>
        <w:t>elle l</w:t>
      </w:r>
      <w:r w:rsidR="00016C98" w:rsidRPr="008651D1">
        <w:rPr>
          <w:lang w:val="fr-FR"/>
        </w:rPr>
        <w:t>’</w:t>
      </w:r>
      <w:r w:rsidRPr="008651D1">
        <w:rPr>
          <w:lang w:val="fr-FR"/>
        </w:rPr>
        <w:t>utilisation de techniques moléculaires (profils d</w:t>
      </w:r>
      <w:r w:rsidR="00016C98" w:rsidRPr="008651D1">
        <w:rPr>
          <w:lang w:val="fr-FR"/>
        </w:rPr>
        <w:t>’</w:t>
      </w:r>
      <w:r w:rsidRPr="008651D1">
        <w:rPr>
          <w:lang w:val="fr-FR"/>
        </w:rPr>
        <w:t>ADN) dans le cadre de l</w:t>
      </w:r>
      <w:r w:rsidR="00016C98" w:rsidRPr="008651D1">
        <w:rPr>
          <w:lang w:val="fr-FR"/>
        </w:rPr>
        <w:t>’</w:t>
      </w:r>
      <w:r w:rsidRPr="008651D1">
        <w:rPr>
          <w:lang w:val="fr-FR"/>
        </w:rPr>
        <w:t>examen DHS?</w:t>
      </w:r>
    </w:p>
    <w:p w:rsidR="00DF61EE" w:rsidRPr="008651D1" w:rsidRDefault="00DF61EE" w:rsidP="008651D1">
      <w:pPr>
        <w:ind w:left="567" w:right="567"/>
        <w:rPr>
          <w:lang w:val="fr-FR"/>
        </w:rPr>
      </w:pPr>
    </w:p>
    <w:p w:rsidR="00DF61EE" w:rsidRPr="008651D1" w:rsidRDefault="0033342F" w:rsidP="008651D1">
      <w:pPr>
        <w:ind w:left="567" w:right="567"/>
        <w:rPr>
          <w:snapToGrid w:val="0"/>
          <w:lang w:val="fr-FR"/>
        </w:rPr>
      </w:pPr>
      <w:r w:rsidRPr="008651D1">
        <w:rPr>
          <w:snapToGrid w:val="0"/>
          <w:lang w:val="fr-FR"/>
        </w:rPr>
        <w:t>Réponse</w:t>
      </w:r>
      <w:r w:rsidR="00DE6D2B" w:rsidRPr="008651D1">
        <w:rPr>
          <w:snapToGrid w:val="0"/>
          <w:lang w:val="fr-FR"/>
        </w:rPr>
        <w:t> </w:t>
      </w:r>
      <w:r w:rsidRPr="008651D1">
        <w:rPr>
          <w:snapToGrid w:val="0"/>
          <w:lang w:val="fr-FR"/>
        </w:rPr>
        <w:t>: “Il importe de noter que, dans certains cas, des variétés peuvent présenter un profil d</w:t>
      </w:r>
      <w:r w:rsidR="00016C98" w:rsidRPr="008651D1">
        <w:rPr>
          <w:snapToGrid w:val="0"/>
          <w:lang w:val="fr-FR"/>
        </w:rPr>
        <w:t>’</w:t>
      </w:r>
      <w:r w:rsidRPr="008651D1">
        <w:rPr>
          <w:snapToGrid w:val="0"/>
          <w:lang w:val="fr-FR"/>
        </w:rPr>
        <w:t>ADN différent mais être identiques du point de vue phénotypique;  dans d</w:t>
      </w:r>
      <w:r w:rsidR="00016C98" w:rsidRPr="008651D1">
        <w:rPr>
          <w:snapToGrid w:val="0"/>
          <w:lang w:val="fr-FR"/>
        </w:rPr>
        <w:t>’</w:t>
      </w:r>
      <w:r w:rsidRPr="008651D1">
        <w:rPr>
          <w:snapToGrid w:val="0"/>
          <w:lang w:val="fr-FR"/>
        </w:rPr>
        <w:t xml:space="preserve">autres cas, en revanche, des variétés ayant une grande </w:t>
      </w:r>
      <w:r w:rsidR="00754BD8" w:rsidRPr="008651D1">
        <w:rPr>
          <w:snapToGrid w:val="0"/>
          <w:lang w:val="fr-FR"/>
        </w:rPr>
        <w:t>distance</w:t>
      </w:r>
      <w:r w:rsidRPr="008651D1">
        <w:rPr>
          <w:snapToGrid w:val="0"/>
          <w:lang w:val="fr-FR"/>
        </w:rPr>
        <w:t xml:space="preserve"> phénotypique peuvent présenter le même profil d</w:t>
      </w:r>
      <w:r w:rsidR="00016C98" w:rsidRPr="008651D1">
        <w:rPr>
          <w:snapToGrid w:val="0"/>
          <w:lang w:val="fr-FR"/>
        </w:rPr>
        <w:t>’</w:t>
      </w:r>
      <w:r w:rsidRPr="008651D1">
        <w:rPr>
          <w:snapToGrid w:val="0"/>
          <w:lang w:val="fr-FR"/>
        </w:rPr>
        <w:t>ADN pour un ensemble particulier de marqueurs moléculaires (cas de certaines mutations, par exemple).</w:t>
      </w:r>
    </w:p>
    <w:p w:rsidR="00DF61EE" w:rsidRPr="008651D1" w:rsidRDefault="00DF61EE" w:rsidP="008651D1">
      <w:pPr>
        <w:ind w:left="567" w:right="567"/>
        <w:rPr>
          <w:snapToGrid w:val="0"/>
          <w:lang w:val="fr-FR"/>
        </w:rPr>
      </w:pPr>
    </w:p>
    <w:p w:rsidR="00DF61EE" w:rsidRPr="008651D1" w:rsidRDefault="0033342F" w:rsidP="008651D1">
      <w:pPr>
        <w:ind w:left="567" w:right="567"/>
        <w:rPr>
          <w:snapToGrid w:val="0"/>
          <w:lang w:val="fr-FR"/>
        </w:rPr>
      </w:pPr>
      <w:r w:rsidRPr="008651D1">
        <w:rPr>
          <w:snapToGrid w:val="0"/>
          <w:lang w:val="fr-FR"/>
        </w:rPr>
        <w:t>“</w:t>
      </w:r>
      <w:r w:rsidR="00754BD8" w:rsidRPr="008651D1">
        <w:rPr>
          <w:snapToGrid w:val="0"/>
          <w:lang w:val="fr-FR"/>
        </w:rPr>
        <w:t>S</w:t>
      </w:r>
      <w:r w:rsidR="00016C98" w:rsidRPr="008651D1">
        <w:rPr>
          <w:snapToGrid w:val="0"/>
          <w:lang w:val="fr-FR"/>
        </w:rPr>
        <w:t>’</w:t>
      </w:r>
      <w:r w:rsidR="00754BD8" w:rsidRPr="008651D1">
        <w:rPr>
          <w:snapToGrid w:val="0"/>
          <w:lang w:val="fr-FR"/>
        </w:rPr>
        <w:t>agissant de l</w:t>
      </w:r>
      <w:r w:rsidR="00016C98" w:rsidRPr="008651D1">
        <w:rPr>
          <w:snapToGrid w:val="0"/>
          <w:lang w:val="fr-FR"/>
        </w:rPr>
        <w:t>’</w:t>
      </w:r>
      <w:r w:rsidR="00754BD8" w:rsidRPr="008651D1">
        <w:rPr>
          <w:snapToGrid w:val="0"/>
          <w:lang w:val="fr-FR"/>
        </w:rPr>
        <w:t>utilisation de</w:t>
      </w:r>
      <w:r w:rsidRPr="008651D1">
        <w:rPr>
          <w:snapToGrid w:val="0"/>
          <w:lang w:val="fr-FR"/>
        </w:rPr>
        <w:t xml:space="preserve"> marqueurs moléculaires qui </w:t>
      </w:r>
      <w:r w:rsidR="00754BD8" w:rsidRPr="008651D1">
        <w:rPr>
          <w:snapToGrid w:val="0"/>
          <w:lang w:val="fr-FR"/>
        </w:rPr>
        <w:t>n</w:t>
      </w:r>
      <w:r w:rsidR="00016C98" w:rsidRPr="008651D1">
        <w:rPr>
          <w:snapToGrid w:val="0"/>
          <w:lang w:val="fr-FR"/>
        </w:rPr>
        <w:t>’</w:t>
      </w:r>
      <w:r w:rsidR="00754BD8" w:rsidRPr="008651D1">
        <w:rPr>
          <w:snapToGrid w:val="0"/>
          <w:lang w:val="fr-FR"/>
        </w:rPr>
        <w:t>ont pas de rapport aux distances</w:t>
      </w:r>
      <w:r w:rsidRPr="008651D1">
        <w:rPr>
          <w:snapToGrid w:val="0"/>
          <w:lang w:val="fr-FR"/>
        </w:rPr>
        <w:t xml:space="preserve"> phénotypiques, le problème est qu</w:t>
      </w:r>
      <w:r w:rsidR="00016C98" w:rsidRPr="008651D1">
        <w:rPr>
          <w:snapToGrid w:val="0"/>
          <w:lang w:val="fr-FR"/>
        </w:rPr>
        <w:t>’</w:t>
      </w:r>
      <w:r w:rsidRPr="008651D1">
        <w:rPr>
          <w:snapToGrid w:val="0"/>
          <w:lang w:val="fr-FR"/>
        </w:rPr>
        <w:t>il peut s</w:t>
      </w:r>
      <w:r w:rsidR="00016C98" w:rsidRPr="008651D1">
        <w:rPr>
          <w:snapToGrid w:val="0"/>
          <w:lang w:val="fr-FR"/>
        </w:rPr>
        <w:t>’</w:t>
      </w:r>
      <w:r w:rsidRPr="008651D1">
        <w:rPr>
          <w:snapToGrid w:val="0"/>
          <w:lang w:val="fr-FR"/>
        </w:rPr>
        <w:t>avérer possible d</w:t>
      </w:r>
      <w:r w:rsidR="00016C98" w:rsidRPr="008651D1">
        <w:rPr>
          <w:snapToGrid w:val="0"/>
          <w:lang w:val="fr-FR"/>
        </w:rPr>
        <w:t>’</w:t>
      </w:r>
      <w:r w:rsidRPr="008651D1">
        <w:rPr>
          <w:snapToGrid w:val="0"/>
          <w:lang w:val="fr-FR"/>
        </w:rPr>
        <w:t xml:space="preserve">utiliser un nombre illimité de marqueurs pour trouver des différences entre les variétés au niveau génétique qui </w:t>
      </w:r>
      <w:r w:rsidR="00754BD8" w:rsidRPr="008651D1">
        <w:rPr>
          <w:snapToGrid w:val="0"/>
          <w:lang w:val="fr-FR"/>
        </w:rPr>
        <w:t>peuvent ne pas apparaître</w:t>
      </w:r>
      <w:r w:rsidRPr="008651D1">
        <w:rPr>
          <w:snapToGrid w:val="0"/>
          <w:lang w:val="fr-FR"/>
        </w:rPr>
        <w:t xml:space="preserve"> dans les caractères </w:t>
      </w:r>
      <w:r w:rsidR="00754BD8" w:rsidRPr="008651D1">
        <w:rPr>
          <w:snapToGrid w:val="0"/>
          <w:lang w:val="fr-FR"/>
        </w:rPr>
        <w:t>phénotypiques</w:t>
      </w:r>
      <w:r w:rsidRPr="008651D1">
        <w:rPr>
          <w:snapToGrid w:val="0"/>
          <w:lang w:val="fr-FR"/>
        </w:rPr>
        <w:t>.</w:t>
      </w:r>
    </w:p>
    <w:p w:rsidR="00DF61EE" w:rsidRPr="008651D1" w:rsidRDefault="00DF61EE" w:rsidP="008651D1">
      <w:pPr>
        <w:ind w:left="567" w:right="567"/>
        <w:rPr>
          <w:snapToGrid w:val="0"/>
          <w:lang w:val="fr-FR"/>
        </w:rPr>
      </w:pPr>
    </w:p>
    <w:p w:rsidR="00C72A57" w:rsidRPr="008651D1" w:rsidRDefault="0033342F" w:rsidP="008651D1">
      <w:pPr>
        <w:ind w:left="567" w:right="567"/>
        <w:rPr>
          <w:snapToGrid w:val="0"/>
          <w:lang w:val="fr-FR"/>
        </w:rPr>
      </w:pPr>
      <w:r w:rsidRPr="008651D1">
        <w:rPr>
          <w:snapToGrid w:val="0"/>
          <w:lang w:val="fr-FR"/>
        </w:rPr>
        <w:t>“Sur cette base, l</w:t>
      </w:r>
      <w:r w:rsidR="00016C98" w:rsidRPr="008651D1">
        <w:rPr>
          <w:snapToGrid w:val="0"/>
          <w:lang w:val="fr-FR"/>
        </w:rPr>
        <w:t>’</w:t>
      </w:r>
      <w:r w:rsidRPr="008651D1">
        <w:rPr>
          <w:snapToGrid w:val="0"/>
          <w:lang w:val="fr-FR"/>
        </w:rPr>
        <w:t>UPOV est convenue des utilisations suivantes de marqueurs moléculaires dans le cadre de l</w:t>
      </w:r>
      <w:r w:rsidR="00016C98" w:rsidRPr="008651D1">
        <w:rPr>
          <w:snapToGrid w:val="0"/>
          <w:lang w:val="fr-FR"/>
        </w:rPr>
        <w:t>’</w:t>
      </w:r>
      <w:r w:rsidRPr="008651D1">
        <w:rPr>
          <w:snapToGrid w:val="0"/>
          <w:lang w:val="fr-FR"/>
        </w:rPr>
        <w:t>examen DHS :</w:t>
      </w:r>
    </w:p>
    <w:p w:rsidR="00DF61EE" w:rsidRPr="008651D1" w:rsidRDefault="00DF61EE" w:rsidP="008651D1">
      <w:pPr>
        <w:ind w:left="567" w:right="567"/>
        <w:rPr>
          <w:snapToGrid w:val="0"/>
          <w:lang w:val="fr-FR"/>
        </w:rPr>
      </w:pPr>
    </w:p>
    <w:p w:rsidR="00C72A57" w:rsidRPr="008651D1" w:rsidRDefault="0033342F" w:rsidP="008651D1">
      <w:pPr>
        <w:ind w:left="567" w:right="567"/>
        <w:rPr>
          <w:snapToGrid w:val="0"/>
          <w:lang w:val="fr-FR"/>
        </w:rPr>
      </w:pPr>
      <w:r w:rsidRPr="008651D1">
        <w:rPr>
          <w:snapToGrid w:val="0"/>
          <w:lang w:val="fr-FR"/>
        </w:rPr>
        <w:t>“</w:t>
      </w:r>
      <w:proofErr w:type="gramStart"/>
      <w:r w:rsidRPr="008651D1">
        <w:rPr>
          <w:snapToGrid w:val="0"/>
          <w:lang w:val="fr-FR"/>
        </w:rPr>
        <w:t>a</w:t>
      </w:r>
      <w:proofErr w:type="gramEnd"/>
      <w:r w:rsidRPr="008651D1">
        <w:rPr>
          <w:snapToGrid w:val="0"/>
          <w:lang w:val="fr-FR"/>
        </w:rPr>
        <w:t xml:space="preserve">) </w:t>
      </w:r>
      <w:r w:rsidR="005F3831" w:rsidRPr="008651D1">
        <w:rPr>
          <w:snapToGrid w:val="0"/>
          <w:lang w:val="fr-FR"/>
        </w:rPr>
        <w:tab/>
      </w:r>
      <w:r w:rsidRPr="008651D1">
        <w:rPr>
          <w:snapToGrid w:val="0"/>
          <w:lang w:val="fr-FR"/>
        </w:rPr>
        <w:t>Les marqueurs moléculaires peuvent être utilisés pour examiner les caractères DHS qui répondent aux critères des caractères tels qu</w:t>
      </w:r>
      <w:r w:rsidR="00016C98" w:rsidRPr="008651D1">
        <w:rPr>
          <w:snapToGrid w:val="0"/>
          <w:lang w:val="fr-FR"/>
        </w:rPr>
        <w:t>’</w:t>
      </w:r>
      <w:r w:rsidRPr="008651D1">
        <w:rPr>
          <w:snapToGrid w:val="0"/>
          <w:lang w:val="fr-FR"/>
        </w:rPr>
        <w:t>ils sont indiqués dans l</w:t>
      </w:r>
      <w:r w:rsidR="00016C98" w:rsidRPr="008651D1">
        <w:rPr>
          <w:snapToGrid w:val="0"/>
          <w:lang w:val="fr-FR"/>
        </w:rPr>
        <w:t>’</w:t>
      </w:r>
      <w:r w:rsidRPr="008651D1">
        <w:rPr>
          <w:snapToGrid w:val="0"/>
          <w:lang w:val="fr-FR"/>
        </w:rPr>
        <w:t>Introduction générale à condition qu</w:t>
      </w:r>
      <w:r w:rsidR="00016C98" w:rsidRPr="008651D1">
        <w:rPr>
          <w:snapToGrid w:val="0"/>
          <w:lang w:val="fr-FR"/>
        </w:rPr>
        <w:t>’</w:t>
      </w:r>
      <w:r w:rsidRPr="008651D1">
        <w:rPr>
          <w:snapToGrid w:val="0"/>
          <w:lang w:val="fr-FR"/>
        </w:rPr>
        <w:t>il existe une corrélation fiable entre le marqueur et le caractère.</w:t>
      </w:r>
    </w:p>
    <w:p w:rsidR="00DF61EE" w:rsidRPr="008651D1" w:rsidRDefault="00DF61EE" w:rsidP="008651D1">
      <w:pPr>
        <w:ind w:left="567" w:right="567"/>
        <w:rPr>
          <w:snapToGrid w:val="0"/>
          <w:lang w:val="fr-FR"/>
        </w:rPr>
      </w:pPr>
    </w:p>
    <w:p w:rsidR="00DF61EE" w:rsidRPr="008651D1" w:rsidRDefault="0033342F" w:rsidP="008651D1">
      <w:pPr>
        <w:ind w:left="567" w:right="567"/>
        <w:rPr>
          <w:snapToGrid w:val="0"/>
          <w:lang w:val="fr-FR"/>
        </w:rPr>
      </w:pPr>
      <w:r w:rsidRPr="008651D1">
        <w:rPr>
          <w:snapToGrid w:val="0"/>
          <w:lang w:val="fr-FR"/>
        </w:rPr>
        <w:t xml:space="preserve">“b) </w:t>
      </w:r>
      <w:r w:rsidR="005F3831" w:rsidRPr="008651D1">
        <w:rPr>
          <w:snapToGrid w:val="0"/>
          <w:lang w:val="fr-FR"/>
        </w:rPr>
        <w:tab/>
      </w:r>
      <w:r w:rsidRPr="008651D1">
        <w:rPr>
          <w:snapToGrid w:val="0"/>
          <w:lang w:val="fr-FR"/>
        </w:rPr>
        <w:t>Une combinaison de distances phénotypiques et moléculaires peut être utilisée pour améliorer la sélection des variétés qu</w:t>
      </w:r>
      <w:r w:rsidR="00016C98" w:rsidRPr="008651D1">
        <w:rPr>
          <w:snapToGrid w:val="0"/>
          <w:lang w:val="fr-FR"/>
        </w:rPr>
        <w:t>’</w:t>
      </w:r>
      <w:r w:rsidRPr="008651D1">
        <w:rPr>
          <w:snapToGrid w:val="0"/>
          <w:lang w:val="fr-FR"/>
        </w:rPr>
        <w:t>il y a lieu de comparer dans le cadre de l</w:t>
      </w:r>
      <w:r w:rsidR="00016C98" w:rsidRPr="008651D1">
        <w:rPr>
          <w:snapToGrid w:val="0"/>
          <w:lang w:val="fr-FR"/>
        </w:rPr>
        <w:t>’</w:t>
      </w:r>
      <w:r w:rsidRPr="008651D1">
        <w:rPr>
          <w:snapToGrid w:val="0"/>
          <w:lang w:val="fr-FR"/>
        </w:rPr>
        <w:t>essai en culture si les distances moléculaires sont suffisamment liées aux différences phénotypiques, et si la méthode ne crée pas un risque accru de ne pas sélectionner une variété figurant dans la collection de variétés qu</w:t>
      </w:r>
      <w:r w:rsidR="00016C98" w:rsidRPr="008651D1">
        <w:rPr>
          <w:snapToGrid w:val="0"/>
          <w:lang w:val="fr-FR"/>
        </w:rPr>
        <w:t>’</w:t>
      </w:r>
      <w:r w:rsidRPr="008651D1">
        <w:rPr>
          <w:snapToGrid w:val="0"/>
          <w:lang w:val="fr-FR"/>
        </w:rPr>
        <w:t>il faut comparer aux variétés candidates dans le cadre de l</w:t>
      </w:r>
      <w:r w:rsidR="00016C98" w:rsidRPr="008651D1">
        <w:rPr>
          <w:snapToGrid w:val="0"/>
          <w:lang w:val="fr-FR"/>
        </w:rPr>
        <w:t>’</w:t>
      </w:r>
      <w:r w:rsidRPr="008651D1">
        <w:rPr>
          <w:snapToGrid w:val="0"/>
          <w:lang w:val="fr-FR"/>
        </w:rPr>
        <w:t>essai DHS en culture.</w:t>
      </w:r>
    </w:p>
    <w:p w:rsidR="00DF61EE" w:rsidRPr="008651D1" w:rsidRDefault="00DF61EE" w:rsidP="008651D1">
      <w:pPr>
        <w:ind w:left="567" w:right="567"/>
        <w:rPr>
          <w:snapToGrid w:val="0"/>
          <w:lang w:val="fr-FR" w:eastAsia="ja-JP"/>
        </w:rPr>
      </w:pPr>
    </w:p>
    <w:p w:rsidR="00C72A57" w:rsidRPr="008651D1" w:rsidRDefault="0033342F" w:rsidP="008651D1">
      <w:pPr>
        <w:ind w:left="567" w:right="567"/>
        <w:rPr>
          <w:rFonts w:cs="Arial"/>
          <w:lang w:val="fr-FR"/>
        </w:rPr>
      </w:pPr>
      <w:r w:rsidRPr="008651D1">
        <w:rPr>
          <w:rFonts w:cs="Arial"/>
          <w:lang w:val="fr-FR"/>
        </w:rPr>
        <w:t>“La situation à l</w:t>
      </w:r>
      <w:r w:rsidR="00016C98" w:rsidRPr="008651D1">
        <w:rPr>
          <w:rFonts w:cs="Arial"/>
          <w:lang w:val="fr-FR"/>
        </w:rPr>
        <w:t>’</w:t>
      </w:r>
      <w:r w:rsidRPr="008651D1">
        <w:rPr>
          <w:rFonts w:cs="Arial"/>
          <w:lang w:val="fr-FR"/>
        </w:rPr>
        <w:t xml:space="preserve">UPOV est exposée dans les documents TGP/15 </w:t>
      </w:r>
      <w:r w:rsidR="00016C98" w:rsidRPr="008651D1">
        <w:rPr>
          <w:rFonts w:cs="Arial"/>
          <w:lang w:val="fr-FR"/>
        </w:rPr>
        <w:t>‘</w:t>
      </w:r>
      <w:r w:rsidRPr="008651D1">
        <w:rPr>
          <w:rFonts w:cs="Arial"/>
          <w:lang w:val="fr-FR"/>
        </w:rPr>
        <w:t>Conseils en ce qui concerne l</w:t>
      </w:r>
      <w:r w:rsidR="00016C98" w:rsidRPr="008651D1">
        <w:rPr>
          <w:rFonts w:cs="Arial"/>
          <w:lang w:val="fr-FR"/>
        </w:rPr>
        <w:t>’</w:t>
      </w:r>
      <w:r w:rsidRPr="008651D1">
        <w:rPr>
          <w:rFonts w:cs="Arial"/>
          <w:lang w:val="fr-FR"/>
        </w:rPr>
        <w:t>utilisation des marqueurs biochimiques et moléculaires dans l</w:t>
      </w:r>
      <w:r w:rsidR="00016C98" w:rsidRPr="008651D1">
        <w:rPr>
          <w:rFonts w:cs="Arial"/>
          <w:lang w:val="fr-FR"/>
        </w:rPr>
        <w:t>’</w:t>
      </w:r>
      <w:r w:rsidRPr="008651D1">
        <w:rPr>
          <w:rFonts w:cs="Arial"/>
          <w:lang w:val="fr-FR"/>
        </w:rPr>
        <w:t>examen de la distinction, de l</w:t>
      </w:r>
      <w:r w:rsidR="00016C98" w:rsidRPr="008651D1">
        <w:rPr>
          <w:rFonts w:cs="Arial"/>
          <w:lang w:val="fr-FR"/>
        </w:rPr>
        <w:t>’</w:t>
      </w:r>
      <w:r w:rsidRPr="008651D1">
        <w:rPr>
          <w:rFonts w:cs="Arial"/>
          <w:lang w:val="fr-FR"/>
        </w:rPr>
        <w:t>homogénéité et de la stabilité (DHS)</w:t>
      </w:r>
      <w:r w:rsidR="00016C98" w:rsidRPr="008651D1">
        <w:rPr>
          <w:rFonts w:cs="Arial"/>
          <w:lang w:val="fr-FR"/>
        </w:rPr>
        <w:t>’</w:t>
      </w:r>
      <w:r w:rsidRPr="008651D1">
        <w:rPr>
          <w:rFonts w:cs="Arial"/>
          <w:lang w:val="fr-FR"/>
        </w:rPr>
        <w:t xml:space="preserve"> et UPOV/INF/18 </w:t>
      </w:r>
      <w:r w:rsidR="00016C98" w:rsidRPr="008651D1">
        <w:rPr>
          <w:rFonts w:cs="Arial"/>
          <w:lang w:val="fr-FR"/>
        </w:rPr>
        <w:t>‘</w:t>
      </w:r>
      <w:r w:rsidRPr="008651D1">
        <w:rPr>
          <w:rFonts w:cs="Arial"/>
          <w:lang w:val="fr-FR"/>
        </w:rPr>
        <w:t>Utilisation possible des marqueurs moléculaires dans l</w:t>
      </w:r>
      <w:r w:rsidR="00016C98" w:rsidRPr="008651D1">
        <w:rPr>
          <w:rFonts w:cs="Arial"/>
          <w:lang w:val="fr-FR"/>
        </w:rPr>
        <w:t>’</w:t>
      </w:r>
      <w:r w:rsidRPr="008651D1">
        <w:rPr>
          <w:rFonts w:cs="Arial"/>
          <w:lang w:val="fr-FR"/>
        </w:rPr>
        <w:t>examen de la distinction, de l</w:t>
      </w:r>
      <w:r w:rsidR="00016C98" w:rsidRPr="008651D1">
        <w:rPr>
          <w:rFonts w:cs="Arial"/>
          <w:lang w:val="fr-FR"/>
        </w:rPr>
        <w:t>’</w:t>
      </w:r>
      <w:r w:rsidRPr="008651D1">
        <w:rPr>
          <w:rFonts w:cs="Arial"/>
          <w:lang w:val="fr-FR"/>
        </w:rPr>
        <w:t>homogénéité et de la stabilité (DHS)</w:t>
      </w:r>
      <w:r w:rsidR="00016C98" w:rsidRPr="008651D1">
        <w:rPr>
          <w:rFonts w:cs="Arial"/>
          <w:lang w:val="fr-FR"/>
        </w:rPr>
        <w:t>’</w:t>
      </w:r>
      <w:r w:rsidRPr="008651D1">
        <w:rPr>
          <w:rFonts w:cs="Arial"/>
          <w:lang w:val="fr-FR"/>
        </w:rPr>
        <w:t>”.</w:t>
      </w:r>
    </w:p>
    <w:p w:rsidR="00DF61EE" w:rsidRPr="008651D1" w:rsidRDefault="00DF61EE" w:rsidP="008651D1">
      <w:pPr>
        <w:rPr>
          <w:lang w:val="fr-FR"/>
        </w:rPr>
      </w:pPr>
    </w:p>
    <w:p w:rsidR="00DF61EE" w:rsidRPr="008651D1" w:rsidRDefault="003423DF"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En ce qui concerne un plus large public, le</w:t>
      </w:r>
      <w:r w:rsidR="00016C98" w:rsidRPr="008651D1">
        <w:rPr>
          <w:lang w:val="fr-FR"/>
        </w:rPr>
        <w:t> TC</w:t>
      </w:r>
      <w:r w:rsidR="0033342F" w:rsidRPr="008651D1">
        <w:rPr>
          <w:lang w:val="fr-FR"/>
        </w:rPr>
        <w:t xml:space="preserve"> est convenu que la question n</w:t>
      </w:r>
      <w:r w:rsidR="00016C98" w:rsidRPr="008651D1">
        <w:rPr>
          <w:lang w:val="fr-FR"/>
        </w:rPr>
        <w:t>’</w:t>
      </w:r>
      <w:r w:rsidR="0033342F" w:rsidRPr="008651D1">
        <w:rPr>
          <w:lang w:val="fr-FR"/>
        </w:rPr>
        <w:t>a</w:t>
      </w:r>
      <w:r w:rsidR="0027732C" w:rsidRPr="008651D1">
        <w:rPr>
          <w:lang w:val="fr-FR"/>
        </w:rPr>
        <w:t>vait</w:t>
      </w:r>
      <w:r w:rsidR="0033342F" w:rsidRPr="008651D1">
        <w:rPr>
          <w:lang w:val="fr-FR"/>
        </w:rPr>
        <w:t xml:space="preserve"> pas été posée de manière appropriée et qu</w:t>
      </w:r>
      <w:r w:rsidR="00016C98" w:rsidRPr="008651D1">
        <w:rPr>
          <w:lang w:val="fr-FR"/>
        </w:rPr>
        <w:t>’</w:t>
      </w:r>
      <w:r w:rsidR="0033342F" w:rsidRPr="008651D1">
        <w:rPr>
          <w:lang w:val="fr-FR"/>
        </w:rPr>
        <w:t>il ne serait donc pas pertinent de chercher à y donner une réponse.</w:t>
      </w:r>
      <w:r w:rsidRPr="008651D1">
        <w:rPr>
          <w:lang w:val="fr-FR"/>
        </w:rPr>
        <w:t xml:space="preserve"> </w:t>
      </w:r>
      <w:r w:rsidR="0027732C" w:rsidRPr="008651D1">
        <w:rPr>
          <w:lang w:val="fr-FR"/>
        </w:rPr>
        <w:t xml:space="preserve"> </w:t>
      </w:r>
      <w:r w:rsidR="0033342F" w:rsidRPr="008651D1">
        <w:rPr>
          <w:lang w:val="fr-FR"/>
        </w:rPr>
        <w:t>Le</w:t>
      </w:r>
      <w:r w:rsidR="00016C98" w:rsidRPr="008651D1">
        <w:rPr>
          <w:lang w:val="fr-FR"/>
        </w:rPr>
        <w:t> TC</w:t>
      </w:r>
      <w:r w:rsidR="0033342F" w:rsidRPr="008651D1">
        <w:rPr>
          <w:lang w:val="fr-FR"/>
        </w:rPr>
        <w:t xml:space="preserve"> est convenu que cette question devra</w:t>
      </w:r>
      <w:r w:rsidR="0027732C" w:rsidRPr="008651D1">
        <w:rPr>
          <w:lang w:val="fr-FR"/>
        </w:rPr>
        <w:t>it</w:t>
      </w:r>
      <w:r w:rsidR="0033342F" w:rsidRPr="008651D1">
        <w:rPr>
          <w:lang w:val="fr-FR"/>
        </w:rPr>
        <w:t xml:space="preserve"> être remaniée une fois précisées les questions revêtant un intérêt pour un plus large public (voir le</w:t>
      </w:r>
      <w:r w:rsidR="005F3831" w:rsidRPr="008651D1">
        <w:rPr>
          <w:lang w:val="fr-FR"/>
        </w:rPr>
        <w:t>s</w:t>
      </w:r>
      <w:r w:rsidR="0033342F" w:rsidRPr="008651D1">
        <w:rPr>
          <w:lang w:val="fr-FR"/>
        </w:rPr>
        <w:t xml:space="preserve"> paragraphe</w:t>
      </w:r>
      <w:r w:rsidR="005F3831" w:rsidRPr="008651D1">
        <w:rPr>
          <w:lang w:val="fr-FR"/>
        </w:rPr>
        <w:t>s</w:t>
      </w:r>
      <w:r w:rsidR="00DE6D2B" w:rsidRPr="008651D1">
        <w:rPr>
          <w:lang w:val="fr-FR"/>
        </w:rPr>
        <w:t> </w:t>
      </w:r>
      <w:r w:rsidR="005F3831" w:rsidRPr="008651D1">
        <w:rPr>
          <w:lang w:val="fr-FR"/>
        </w:rPr>
        <w:t xml:space="preserve">83 à </w:t>
      </w:r>
      <w:r w:rsidR="0033342F" w:rsidRPr="008651D1">
        <w:rPr>
          <w:lang w:val="fr-FR"/>
        </w:rPr>
        <w:t xml:space="preserve">85 du </w:t>
      </w:r>
      <w:r w:rsidR="00016C98" w:rsidRPr="008651D1">
        <w:rPr>
          <w:lang w:val="fr-FR"/>
        </w:rPr>
        <w:t>document TC</w:t>
      </w:r>
      <w:r w:rsidR="0033342F" w:rsidRPr="008651D1">
        <w:rPr>
          <w:lang w:val="fr-FR"/>
        </w:rPr>
        <w:t>/50/36 “Compte rendu des conclusions”).</w:t>
      </w:r>
    </w:p>
    <w:p w:rsidR="00DF61EE" w:rsidRPr="008651D1" w:rsidRDefault="00DF61EE" w:rsidP="008651D1">
      <w:pPr>
        <w:rPr>
          <w:lang w:val="fr-FR"/>
        </w:rPr>
      </w:pPr>
    </w:p>
    <w:p w:rsidR="00DF61EE" w:rsidRPr="008651D1" w:rsidRDefault="003423DF" w:rsidP="008651D1">
      <w:pPr>
        <w:rPr>
          <w:lang w:val="fr-FR" w:eastAsia="ja-JP"/>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102E69" w:rsidRPr="008651D1">
        <w:rPr>
          <w:lang w:val="fr-FR"/>
        </w:rPr>
        <w:t>À sa t</w:t>
      </w:r>
      <w:r w:rsidR="00882CF1" w:rsidRPr="008651D1">
        <w:rPr>
          <w:lang w:val="fr-FR"/>
        </w:rPr>
        <w:t>r</w:t>
      </w:r>
      <w:r w:rsidR="00102E69" w:rsidRPr="008651D1">
        <w:rPr>
          <w:lang w:val="fr-FR"/>
        </w:rPr>
        <w:t>ente</w:t>
      </w:r>
      <w:r w:rsidR="00882CF1" w:rsidRPr="008651D1">
        <w:rPr>
          <w:lang w:val="fr-FR"/>
        </w:rPr>
        <w:t> </w:t>
      </w:r>
      <w:r w:rsidR="00102E69" w:rsidRPr="008651D1">
        <w:rPr>
          <w:lang w:val="fr-FR"/>
        </w:rPr>
        <w:t>et</w:t>
      </w:r>
      <w:r w:rsidR="00882CF1" w:rsidRPr="008651D1">
        <w:rPr>
          <w:lang w:val="fr-FR"/>
        </w:rPr>
        <w:t> </w:t>
      </w:r>
      <w:r w:rsidR="00102E69" w:rsidRPr="008651D1">
        <w:rPr>
          <w:lang w:val="fr-FR"/>
        </w:rPr>
        <w:t>unième</w:t>
      </w:r>
      <w:r w:rsidR="00DE6D2B" w:rsidRPr="008651D1">
        <w:rPr>
          <w:lang w:val="fr-FR"/>
        </w:rPr>
        <w:t> </w:t>
      </w:r>
      <w:r w:rsidR="00102E69" w:rsidRPr="008651D1">
        <w:rPr>
          <w:lang w:val="fr-FR"/>
        </w:rPr>
        <w:t>session extraordinaire tenue à Genève le 1</w:t>
      </w:r>
      <w:r w:rsidR="00C72A57" w:rsidRPr="008651D1">
        <w:rPr>
          <w:lang w:val="fr-FR"/>
        </w:rPr>
        <w:t>1 avril 20</w:t>
      </w:r>
      <w:r w:rsidR="00102E69" w:rsidRPr="008651D1">
        <w:rPr>
          <w:lang w:val="fr-FR"/>
        </w:rPr>
        <w:t xml:space="preserve">14, le Conseil a adopté les réponses aux questions fréquemment posées, </w:t>
      </w:r>
      <w:r w:rsidR="00C72A57" w:rsidRPr="008651D1">
        <w:rPr>
          <w:lang w:val="fr-FR"/>
        </w:rPr>
        <w:t>y compris</w:t>
      </w:r>
      <w:r w:rsidR="00102E69" w:rsidRPr="008651D1">
        <w:rPr>
          <w:lang w:val="fr-FR"/>
        </w:rPr>
        <w:t xml:space="preserve"> celle indiquée au paragraphe</w:t>
      </w:r>
      <w:r w:rsidR="00DE6D2B" w:rsidRPr="008651D1">
        <w:rPr>
          <w:lang w:val="fr-FR"/>
        </w:rPr>
        <w:t> </w:t>
      </w:r>
      <w:r w:rsidR="007520E2" w:rsidRPr="00BF7CC1">
        <w:rPr>
          <w:lang w:val="fr-FR" w:eastAsia="ja-JP"/>
        </w:rPr>
        <w:t>3</w:t>
      </w:r>
      <w:r w:rsidR="000552A7" w:rsidRPr="00BF7CC1">
        <w:rPr>
          <w:lang w:val="fr-FR" w:eastAsia="ja-JP"/>
        </w:rPr>
        <w:t>6</w:t>
      </w:r>
      <w:r w:rsidRPr="008651D1">
        <w:rPr>
          <w:lang w:val="fr-FR" w:eastAsia="ja-JP"/>
        </w:rPr>
        <w:t xml:space="preserve"> </w:t>
      </w:r>
      <w:r w:rsidR="00102E69" w:rsidRPr="008651D1">
        <w:rPr>
          <w:lang w:val="fr-FR" w:eastAsia="ja-JP"/>
        </w:rPr>
        <w:t>ci</w:t>
      </w:r>
      <w:r w:rsidR="00DC14F9" w:rsidRPr="008651D1">
        <w:rPr>
          <w:lang w:val="fr-FR" w:eastAsia="ja-JP"/>
        </w:rPr>
        <w:noBreakHyphen/>
      </w:r>
      <w:r w:rsidR="00102E69" w:rsidRPr="008651D1">
        <w:rPr>
          <w:lang w:val="fr-FR" w:eastAsia="ja-JP"/>
        </w:rPr>
        <w:t>dessus</w:t>
      </w:r>
      <w:r w:rsidR="008B026A" w:rsidRPr="008651D1">
        <w:rPr>
          <w:lang w:val="fr-FR" w:eastAsia="ja-JP"/>
        </w:rPr>
        <w:t xml:space="preserve"> </w:t>
      </w:r>
      <w:r w:rsidR="008B026A" w:rsidRPr="008651D1">
        <w:rPr>
          <w:lang w:val="fr-FR"/>
        </w:rPr>
        <w:t>(</w:t>
      </w:r>
      <w:r w:rsidR="00102E69" w:rsidRPr="008651D1">
        <w:rPr>
          <w:lang w:val="fr-FR"/>
        </w:rPr>
        <w:t>voir le paragraphe</w:t>
      </w:r>
      <w:r w:rsidR="00DE6D2B" w:rsidRPr="008651D1">
        <w:rPr>
          <w:lang w:val="fr-FR"/>
        </w:rPr>
        <w:t> </w:t>
      </w:r>
      <w:r w:rsidR="00102E69" w:rsidRPr="008651D1">
        <w:rPr>
          <w:lang w:val="fr-FR"/>
        </w:rPr>
        <w:t>15 du</w:t>
      </w:r>
      <w:r w:rsidR="000816AB" w:rsidRPr="008651D1">
        <w:rPr>
          <w:lang w:val="fr-FR"/>
        </w:rPr>
        <w:t> </w:t>
      </w:r>
      <w:r w:rsidR="008B026A" w:rsidRPr="008651D1">
        <w:rPr>
          <w:lang w:val="fr-FR"/>
        </w:rPr>
        <w:t xml:space="preserve">document </w:t>
      </w:r>
      <w:proofErr w:type="gramStart"/>
      <w:r w:rsidR="008B026A" w:rsidRPr="008651D1">
        <w:rPr>
          <w:lang w:val="fr-FR"/>
        </w:rPr>
        <w:t>C(</w:t>
      </w:r>
      <w:proofErr w:type="spellStart"/>
      <w:proofErr w:type="gramEnd"/>
      <w:r w:rsidR="008B026A" w:rsidRPr="008651D1">
        <w:rPr>
          <w:lang w:val="fr-FR"/>
        </w:rPr>
        <w:t>Extr</w:t>
      </w:r>
      <w:proofErr w:type="spellEnd"/>
      <w:r w:rsidR="008B026A" w:rsidRPr="008651D1">
        <w:rPr>
          <w:lang w:val="fr-FR"/>
        </w:rPr>
        <w:t>.)/31/5 “</w:t>
      </w:r>
      <w:r w:rsidR="00102E69" w:rsidRPr="008651D1">
        <w:rPr>
          <w:lang w:val="fr-FR"/>
        </w:rPr>
        <w:t>Compte rendu des décisions</w:t>
      </w:r>
      <w:r w:rsidR="008B026A" w:rsidRPr="008651D1">
        <w:rPr>
          <w:lang w:val="fr-FR"/>
        </w:rPr>
        <w:t>”</w:t>
      </w:r>
      <w:r w:rsidR="00102E69" w:rsidRPr="008651D1">
        <w:rPr>
          <w:lang w:val="fr-FR"/>
        </w:rPr>
        <w:t>)</w:t>
      </w:r>
      <w:r w:rsidRPr="008651D1">
        <w:rPr>
          <w:lang w:val="fr-FR" w:eastAsia="ja-JP"/>
        </w:rPr>
        <w:t>.</w:t>
      </w:r>
    </w:p>
    <w:p w:rsidR="00DF61EE" w:rsidRPr="008651D1" w:rsidRDefault="00DF61EE" w:rsidP="008651D1">
      <w:pPr>
        <w:rPr>
          <w:snapToGrid w:val="0"/>
          <w:lang w:val="fr-FR" w:eastAsia="ja-JP"/>
        </w:rPr>
      </w:pPr>
    </w:p>
    <w:p w:rsidR="00DF61EE" w:rsidRPr="008651D1" w:rsidRDefault="003423DF" w:rsidP="008651D1">
      <w:pPr>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102E69" w:rsidRPr="008651D1">
        <w:rPr>
          <w:lang w:val="fr-FR"/>
        </w:rPr>
        <w:t>Les réponses aux questions fréquemment posées sont publiées sur le site</w:t>
      </w:r>
      <w:r w:rsidR="00DE6D2B" w:rsidRPr="008651D1">
        <w:rPr>
          <w:lang w:val="fr-FR"/>
        </w:rPr>
        <w:t> </w:t>
      </w:r>
      <w:r w:rsidR="00102E69" w:rsidRPr="008651D1">
        <w:rPr>
          <w:lang w:val="fr-FR"/>
        </w:rPr>
        <w:t>Web de l</w:t>
      </w:r>
      <w:r w:rsidR="00016C98" w:rsidRPr="008651D1">
        <w:rPr>
          <w:lang w:val="fr-FR"/>
        </w:rPr>
        <w:t>’</w:t>
      </w:r>
      <w:r w:rsidR="00102E69" w:rsidRPr="008651D1">
        <w:rPr>
          <w:lang w:val="fr-FR"/>
        </w:rPr>
        <w:t>UPOV, à l</w:t>
      </w:r>
      <w:r w:rsidR="00016C98" w:rsidRPr="008651D1">
        <w:rPr>
          <w:lang w:val="fr-FR"/>
        </w:rPr>
        <w:t>’</w:t>
      </w:r>
      <w:r w:rsidR="00102E69" w:rsidRPr="008651D1">
        <w:rPr>
          <w:lang w:val="fr-FR"/>
        </w:rPr>
        <w:t>adresse suivante :</w:t>
      </w:r>
      <w:r w:rsidRPr="008651D1">
        <w:rPr>
          <w:lang w:val="fr-FR"/>
        </w:rPr>
        <w:t xml:space="preserve"> </w:t>
      </w:r>
      <w:hyperlink r:id="rId13" w:history="1">
        <w:r w:rsidRPr="008651D1">
          <w:rPr>
            <w:lang w:val="fr-FR"/>
          </w:rPr>
          <w:t>http://www.upov.int/about/en/faq/</w:t>
        </w:r>
      </w:hyperlink>
      <w:r w:rsidRPr="008651D1">
        <w:rPr>
          <w:lang w:val="fr-FR"/>
        </w:rPr>
        <w:t>.</w:t>
      </w:r>
    </w:p>
    <w:p w:rsidR="00DF61EE" w:rsidRPr="008651D1" w:rsidRDefault="00DF61EE" w:rsidP="008651D1">
      <w:pPr>
        <w:rPr>
          <w:lang w:val="fr-FR" w:eastAsia="ja-JP"/>
        </w:rPr>
      </w:pPr>
    </w:p>
    <w:p w:rsidR="00DF61EE" w:rsidRPr="008651D1" w:rsidRDefault="002D3575" w:rsidP="008651D1">
      <w:pPr>
        <w:rPr>
          <w:snapToGrid w:val="0"/>
          <w:lang w:val="fr-FR"/>
        </w:rPr>
      </w:pPr>
      <w:r w:rsidRPr="008651D1">
        <w:rPr>
          <w:snapToGrid w:val="0"/>
          <w:lang w:val="fr-FR"/>
        </w:rPr>
        <w:fldChar w:fldCharType="begin"/>
      </w:r>
      <w:r w:rsidRPr="008651D1">
        <w:rPr>
          <w:snapToGrid w:val="0"/>
          <w:lang w:val="fr-FR"/>
        </w:rPr>
        <w:instrText xml:space="preserve"> AUTONUM  </w:instrText>
      </w:r>
      <w:r w:rsidRPr="008651D1">
        <w:rPr>
          <w:snapToGrid w:val="0"/>
          <w:lang w:val="fr-FR"/>
        </w:rPr>
        <w:fldChar w:fldCharType="end"/>
      </w:r>
      <w:r w:rsidRPr="008651D1">
        <w:rPr>
          <w:snapToGrid w:val="0"/>
          <w:lang w:val="fr-FR"/>
        </w:rPr>
        <w:tab/>
      </w:r>
      <w:r w:rsidR="00102E69" w:rsidRPr="008651D1">
        <w:rPr>
          <w:snapToGrid w:val="0"/>
          <w:lang w:val="fr-FR"/>
        </w:rPr>
        <w:t>À sa quatre</w:t>
      </w:r>
      <w:r w:rsidR="00DC14F9" w:rsidRPr="008651D1">
        <w:rPr>
          <w:snapToGrid w:val="0"/>
          <w:lang w:val="fr-FR"/>
        </w:rPr>
        <w:noBreakHyphen/>
      </w:r>
      <w:r w:rsidR="00102E69" w:rsidRPr="008651D1">
        <w:rPr>
          <w:snapToGrid w:val="0"/>
          <w:lang w:val="fr-FR"/>
        </w:rPr>
        <w:t>vingt</w:t>
      </w:r>
      <w:r w:rsidR="00DC14F9" w:rsidRPr="008651D1">
        <w:rPr>
          <w:snapToGrid w:val="0"/>
          <w:lang w:val="fr-FR"/>
        </w:rPr>
        <w:noBreakHyphen/>
      </w:r>
      <w:r w:rsidR="00102E69" w:rsidRPr="008651D1">
        <w:rPr>
          <w:snapToGrid w:val="0"/>
          <w:lang w:val="fr-FR"/>
        </w:rPr>
        <w:t>huitième</w:t>
      </w:r>
      <w:r w:rsidR="00DE6D2B" w:rsidRPr="008651D1">
        <w:rPr>
          <w:snapToGrid w:val="0"/>
          <w:lang w:val="fr-FR"/>
        </w:rPr>
        <w:t> </w:t>
      </w:r>
      <w:r w:rsidR="00102E69" w:rsidRPr="008651D1">
        <w:rPr>
          <w:snapToGrid w:val="0"/>
          <w:lang w:val="fr-FR"/>
        </w:rPr>
        <w:t>session tenue à Genève le 1</w:t>
      </w:r>
      <w:r w:rsidR="00C72A57" w:rsidRPr="008651D1">
        <w:rPr>
          <w:snapToGrid w:val="0"/>
          <w:lang w:val="fr-FR"/>
        </w:rPr>
        <w:t>5 octobre 20</w:t>
      </w:r>
      <w:r w:rsidR="00102E69" w:rsidRPr="008651D1">
        <w:rPr>
          <w:snapToGrid w:val="0"/>
          <w:lang w:val="fr-FR"/>
        </w:rPr>
        <w:t>14, le Comité consultatif est convenu que le projet de questions et réponses concernant la diffusion d</w:t>
      </w:r>
      <w:r w:rsidR="00016C98" w:rsidRPr="008651D1">
        <w:rPr>
          <w:snapToGrid w:val="0"/>
          <w:lang w:val="fr-FR"/>
        </w:rPr>
        <w:t>’</w:t>
      </w:r>
      <w:r w:rsidR="00102E69" w:rsidRPr="008651D1">
        <w:rPr>
          <w:snapToGrid w:val="0"/>
          <w:lang w:val="fr-FR"/>
        </w:rPr>
        <w:t xml:space="preserve">informations à un large public, </w:t>
      </w:r>
      <w:r w:rsidR="00C72A57" w:rsidRPr="008651D1">
        <w:rPr>
          <w:snapToGrid w:val="0"/>
          <w:lang w:val="fr-FR"/>
        </w:rPr>
        <w:t>y compris</w:t>
      </w:r>
      <w:r w:rsidR="00102E69" w:rsidRPr="008651D1">
        <w:rPr>
          <w:snapToGrid w:val="0"/>
          <w:lang w:val="fr-FR"/>
        </w:rPr>
        <w:t xml:space="preserve"> le public en général, sur la situation à l</w:t>
      </w:r>
      <w:r w:rsidR="00016C98" w:rsidRPr="008651D1">
        <w:rPr>
          <w:snapToGrid w:val="0"/>
          <w:lang w:val="fr-FR"/>
        </w:rPr>
        <w:t>’</w:t>
      </w:r>
      <w:r w:rsidR="00102E69" w:rsidRPr="008651D1">
        <w:rPr>
          <w:snapToGrid w:val="0"/>
          <w:lang w:val="fr-FR"/>
        </w:rPr>
        <w:t>UPOV concernant l</w:t>
      </w:r>
      <w:r w:rsidR="00016C98" w:rsidRPr="008651D1">
        <w:rPr>
          <w:snapToGrid w:val="0"/>
          <w:lang w:val="fr-FR"/>
        </w:rPr>
        <w:t>’</w:t>
      </w:r>
      <w:r w:rsidR="00102E69" w:rsidRPr="008651D1">
        <w:rPr>
          <w:snapToGrid w:val="0"/>
          <w:lang w:val="fr-FR"/>
        </w:rPr>
        <w:t xml:space="preserve">utilisation de techniques moléculaires, devrait être soumis pour examen au Comité technique </w:t>
      </w:r>
      <w:r w:rsidRPr="008651D1">
        <w:rPr>
          <w:snapToGrid w:val="0"/>
          <w:lang w:val="fr-FR"/>
        </w:rPr>
        <w:t>(</w:t>
      </w:r>
      <w:r w:rsidR="00102E69" w:rsidRPr="008651D1">
        <w:rPr>
          <w:snapToGrid w:val="0"/>
          <w:lang w:val="fr-FR"/>
        </w:rPr>
        <w:t>voir le paragraphe</w:t>
      </w:r>
      <w:r w:rsidR="00DE6D2B" w:rsidRPr="008651D1">
        <w:rPr>
          <w:snapToGrid w:val="0"/>
          <w:lang w:val="fr-FR"/>
        </w:rPr>
        <w:t> </w:t>
      </w:r>
      <w:r w:rsidR="00102E69" w:rsidRPr="008651D1">
        <w:rPr>
          <w:snapToGrid w:val="0"/>
          <w:lang w:val="fr-FR"/>
        </w:rPr>
        <w:t xml:space="preserve">48 du </w:t>
      </w:r>
      <w:r w:rsidRPr="008651D1">
        <w:rPr>
          <w:snapToGrid w:val="0"/>
          <w:lang w:val="fr-FR"/>
        </w:rPr>
        <w:t>document C/48/19 “Report by the President on the work of the eighty</w:t>
      </w:r>
      <w:r w:rsidR="00DC14F9" w:rsidRPr="008651D1">
        <w:rPr>
          <w:snapToGrid w:val="0"/>
          <w:lang w:val="fr-FR"/>
        </w:rPr>
        <w:noBreakHyphen/>
      </w:r>
      <w:r w:rsidRPr="008651D1">
        <w:rPr>
          <w:snapToGrid w:val="0"/>
          <w:lang w:val="fr-FR"/>
        </w:rPr>
        <w:t>sixth session of the Consultative Committee; adoption of recommendations, if any, prepared by that Committee”).</w:t>
      </w:r>
    </w:p>
    <w:p w:rsidR="00DF61EE" w:rsidRPr="008651D1" w:rsidRDefault="00DF61EE" w:rsidP="008651D1">
      <w:pPr>
        <w:rPr>
          <w:snapToGrid w:val="0"/>
          <w:lang w:val="fr-FR"/>
        </w:rPr>
      </w:pPr>
    </w:p>
    <w:p w:rsidR="00C72A57" w:rsidRPr="008651D1" w:rsidRDefault="006C418D" w:rsidP="008651D1">
      <w:pPr>
        <w:pStyle w:val="DecisionParagraphs"/>
        <w:tabs>
          <w:tab w:val="clear" w:pos="5387"/>
          <w:tab w:val="left" w:pos="5103"/>
        </w:tabs>
        <w:ind w:left="4536"/>
        <w:rPr>
          <w:lang w:val="fr-FR"/>
        </w:rPr>
      </w:pPr>
      <w:r w:rsidRPr="008651D1">
        <w:rPr>
          <w:lang w:val="fr-FR"/>
        </w:rPr>
        <w:fldChar w:fldCharType="begin"/>
      </w:r>
      <w:r w:rsidRPr="008651D1">
        <w:rPr>
          <w:lang w:val="fr-FR"/>
        </w:rPr>
        <w:instrText xml:space="preserve"> AUTONUM  </w:instrText>
      </w:r>
      <w:r w:rsidRPr="008651D1">
        <w:rPr>
          <w:lang w:val="fr-FR"/>
        </w:rPr>
        <w:fldChar w:fldCharType="end"/>
      </w:r>
      <w:r w:rsidRPr="008651D1">
        <w:rPr>
          <w:lang w:val="fr-FR"/>
        </w:rPr>
        <w:tab/>
      </w:r>
      <w:r w:rsidR="0033342F" w:rsidRPr="008651D1">
        <w:rPr>
          <w:lang w:val="fr-FR"/>
        </w:rPr>
        <w:t>Le</w:t>
      </w:r>
      <w:r w:rsidR="00016C98" w:rsidRPr="008651D1">
        <w:rPr>
          <w:lang w:val="fr-FR"/>
        </w:rPr>
        <w:t> TC</w:t>
      </w:r>
      <w:r w:rsidR="0033342F" w:rsidRPr="008651D1">
        <w:rPr>
          <w:lang w:val="fr-FR"/>
        </w:rPr>
        <w:t xml:space="preserve"> est invité</w:t>
      </w:r>
    </w:p>
    <w:p w:rsidR="00DF61EE" w:rsidRPr="008651D1" w:rsidRDefault="00DF61EE" w:rsidP="008651D1">
      <w:pPr>
        <w:pStyle w:val="DecisionParagraphs"/>
        <w:ind w:left="4536"/>
        <w:rPr>
          <w:lang w:val="fr-FR"/>
        </w:rPr>
      </w:pPr>
    </w:p>
    <w:p w:rsidR="00DF61EE" w:rsidRPr="008651D1" w:rsidRDefault="006C418D" w:rsidP="008651D1">
      <w:pPr>
        <w:pStyle w:val="DecisionParagraphs"/>
        <w:tabs>
          <w:tab w:val="clear" w:pos="5387"/>
          <w:tab w:val="left" w:pos="5103"/>
          <w:tab w:val="left" w:pos="5670"/>
        </w:tabs>
        <w:ind w:left="4536" w:firstLine="567"/>
        <w:rPr>
          <w:lang w:val="fr-FR"/>
        </w:rPr>
      </w:pPr>
      <w:r w:rsidRPr="008651D1">
        <w:rPr>
          <w:snapToGrid w:val="0"/>
          <w:lang w:val="fr-FR"/>
        </w:rPr>
        <w:t>a)</w:t>
      </w:r>
      <w:r w:rsidRPr="008651D1">
        <w:rPr>
          <w:snapToGrid w:val="0"/>
          <w:lang w:val="fr-FR"/>
        </w:rPr>
        <w:tab/>
      </w:r>
      <w:r w:rsidR="00E6337A" w:rsidRPr="008651D1">
        <w:rPr>
          <w:snapToGrid w:val="0"/>
          <w:lang w:val="fr-FR"/>
        </w:rPr>
        <w:t xml:space="preserve">à </w:t>
      </w:r>
      <w:r w:rsidR="00102E69" w:rsidRPr="008651D1">
        <w:rPr>
          <w:snapToGrid w:val="0"/>
          <w:lang w:val="fr-FR"/>
        </w:rPr>
        <w:t>prendre note du rapport sur les faits nouveaux survenus au sein du</w:t>
      </w:r>
      <w:r w:rsidR="00016C98" w:rsidRPr="008651D1">
        <w:rPr>
          <w:snapToGrid w:val="0"/>
          <w:lang w:val="fr-FR"/>
        </w:rPr>
        <w:t> TC</w:t>
      </w:r>
      <w:r w:rsidR="00102E69" w:rsidRPr="008651D1">
        <w:rPr>
          <w:snapToGrid w:val="0"/>
          <w:lang w:val="fr-FR"/>
        </w:rPr>
        <w:t>,</w:t>
      </w:r>
      <w:r w:rsidR="00C72A57" w:rsidRPr="008651D1">
        <w:rPr>
          <w:snapToGrid w:val="0"/>
          <w:lang w:val="fr-FR"/>
        </w:rPr>
        <w:t xml:space="preserve"> des TWP</w:t>
      </w:r>
      <w:r w:rsidR="00102E69" w:rsidRPr="008651D1">
        <w:rPr>
          <w:snapToGrid w:val="0"/>
          <w:lang w:val="fr-FR"/>
        </w:rPr>
        <w:t xml:space="preserve"> et</w:t>
      </w:r>
      <w:r w:rsidR="00C72A57" w:rsidRPr="008651D1">
        <w:rPr>
          <w:snapToGrid w:val="0"/>
          <w:lang w:val="fr-FR"/>
        </w:rPr>
        <w:t xml:space="preserve"> du BMT</w:t>
      </w:r>
      <w:r w:rsidR="00102E69" w:rsidRPr="008651D1">
        <w:rPr>
          <w:snapToGrid w:val="0"/>
          <w:lang w:val="fr-FR"/>
        </w:rPr>
        <w:t xml:space="preserve">, </w:t>
      </w:r>
      <w:r w:rsidR="00D05B03" w:rsidRPr="008651D1">
        <w:rPr>
          <w:snapToGrid w:val="0"/>
          <w:lang w:val="fr-FR"/>
        </w:rPr>
        <w:t>présenté</w:t>
      </w:r>
      <w:r w:rsidR="00E6337A" w:rsidRPr="008651D1">
        <w:rPr>
          <w:snapToGrid w:val="0"/>
          <w:lang w:val="fr-FR"/>
        </w:rPr>
        <w:t xml:space="preserve"> aux paragraphe</w:t>
      </w:r>
      <w:r w:rsidR="00E6337A" w:rsidRPr="002B0283">
        <w:rPr>
          <w:snapToGrid w:val="0"/>
          <w:lang w:val="fr-FR"/>
        </w:rPr>
        <w:t>s</w:t>
      </w:r>
      <w:r w:rsidR="00DE6D2B" w:rsidRPr="002B0283">
        <w:rPr>
          <w:snapToGrid w:val="0"/>
          <w:lang w:val="fr-FR"/>
        </w:rPr>
        <w:t> </w:t>
      </w:r>
      <w:r w:rsidRPr="002B0283">
        <w:rPr>
          <w:lang w:val="fr-FR" w:eastAsia="ja-JP"/>
        </w:rPr>
        <w:t>4</w:t>
      </w:r>
      <w:r w:rsidRPr="002B0283">
        <w:rPr>
          <w:lang w:val="fr-FR"/>
        </w:rPr>
        <w:t xml:space="preserve"> </w:t>
      </w:r>
      <w:r w:rsidR="00E6337A" w:rsidRPr="002B0283">
        <w:rPr>
          <w:lang w:val="fr-FR"/>
        </w:rPr>
        <w:t>à</w:t>
      </w:r>
      <w:r w:rsidRPr="002B0283">
        <w:rPr>
          <w:lang w:val="fr-FR"/>
        </w:rPr>
        <w:t xml:space="preserve"> 22 </w:t>
      </w:r>
      <w:r w:rsidR="00E6337A" w:rsidRPr="002B0283">
        <w:rPr>
          <w:lang w:val="fr-FR"/>
        </w:rPr>
        <w:t>du</w:t>
      </w:r>
      <w:r w:rsidR="00E6337A" w:rsidRPr="008651D1">
        <w:rPr>
          <w:lang w:val="fr-FR"/>
        </w:rPr>
        <w:t xml:space="preserve"> présent document</w:t>
      </w:r>
      <w:r w:rsidRPr="008651D1">
        <w:rPr>
          <w:lang w:val="fr-FR"/>
        </w:rPr>
        <w:t>;</w:t>
      </w:r>
    </w:p>
    <w:p w:rsidR="00DF61EE" w:rsidRPr="008651D1" w:rsidRDefault="00DF61EE" w:rsidP="008651D1">
      <w:pPr>
        <w:pStyle w:val="DecisionParagraphs"/>
        <w:tabs>
          <w:tab w:val="clear" w:pos="5387"/>
          <w:tab w:val="left" w:pos="5670"/>
        </w:tabs>
        <w:ind w:left="4536" w:firstLine="567"/>
        <w:rPr>
          <w:lang w:val="fr-FR"/>
        </w:rPr>
      </w:pPr>
    </w:p>
    <w:p w:rsidR="00DF61EE" w:rsidRPr="002B0283" w:rsidRDefault="002D74E7" w:rsidP="008651D1">
      <w:pPr>
        <w:pStyle w:val="DecisionParagraphs"/>
        <w:tabs>
          <w:tab w:val="clear" w:pos="5387"/>
          <w:tab w:val="left" w:pos="5670"/>
        </w:tabs>
        <w:ind w:left="4536" w:firstLine="567"/>
        <w:rPr>
          <w:lang w:val="fr-FR"/>
        </w:rPr>
      </w:pPr>
      <w:r w:rsidRPr="008651D1">
        <w:rPr>
          <w:lang w:val="fr-FR" w:eastAsia="ja-JP"/>
        </w:rPr>
        <w:t>b</w:t>
      </w:r>
      <w:r w:rsidR="006C418D" w:rsidRPr="008651D1">
        <w:rPr>
          <w:lang w:val="fr-FR" w:eastAsia="ja-JP"/>
        </w:rPr>
        <w:t>)</w:t>
      </w:r>
      <w:r w:rsidR="006C418D" w:rsidRPr="008651D1">
        <w:rPr>
          <w:lang w:val="fr-FR" w:eastAsia="ja-JP"/>
        </w:rPr>
        <w:tab/>
      </w:r>
      <w:r w:rsidR="00E6337A" w:rsidRPr="008651D1">
        <w:rPr>
          <w:lang w:val="fr-FR" w:eastAsia="ja-JP"/>
        </w:rPr>
        <w:t>à approuver le programme de la quinzième</w:t>
      </w:r>
      <w:r w:rsidR="00DE6D2B" w:rsidRPr="008651D1">
        <w:rPr>
          <w:lang w:val="fr-FR" w:eastAsia="ja-JP"/>
        </w:rPr>
        <w:t> </w:t>
      </w:r>
      <w:r w:rsidR="00E6337A" w:rsidRPr="008651D1">
        <w:rPr>
          <w:lang w:val="fr-FR" w:eastAsia="ja-JP"/>
        </w:rPr>
        <w:t>session</w:t>
      </w:r>
      <w:r w:rsidR="00C72A57" w:rsidRPr="008651D1">
        <w:rPr>
          <w:lang w:val="fr-FR" w:eastAsia="ja-JP"/>
        </w:rPr>
        <w:t xml:space="preserve"> du BMT</w:t>
      </w:r>
      <w:r w:rsidR="00E6337A" w:rsidRPr="008651D1">
        <w:rPr>
          <w:lang w:val="fr-FR" w:eastAsia="ja-JP"/>
        </w:rPr>
        <w:t>, prévue en</w:t>
      </w:r>
      <w:r w:rsidR="00DE6D2B" w:rsidRPr="008651D1">
        <w:rPr>
          <w:lang w:val="fr-FR" w:eastAsia="ja-JP"/>
        </w:rPr>
        <w:t> </w:t>
      </w:r>
      <w:r w:rsidR="00E6337A" w:rsidRPr="008651D1">
        <w:rPr>
          <w:lang w:val="fr-FR" w:eastAsia="ja-JP"/>
        </w:rPr>
        <w:t>2016</w:t>
      </w:r>
      <w:r w:rsidR="006C418D" w:rsidRPr="008651D1">
        <w:rPr>
          <w:lang w:val="fr-FR"/>
        </w:rPr>
        <w:t xml:space="preserve">, </w:t>
      </w:r>
      <w:r w:rsidR="00C72A57" w:rsidRPr="008651D1">
        <w:rPr>
          <w:lang w:val="fr-FR"/>
        </w:rPr>
        <w:t>y compris</w:t>
      </w:r>
      <w:r w:rsidR="00E6337A" w:rsidRPr="008651D1">
        <w:rPr>
          <w:lang w:val="fr-FR"/>
        </w:rPr>
        <w:t xml:space="preserve"> la tenue d</w:t>
      </w:r>
      <w:r w:rsidR="00016C98" w:rsidRPr="008651D1">
        <w:rPr>
          <w:lang w:val="fr-FR"/>
        </w:rPr>
        <w:t>’</w:t>
      </w:r>
      <w:r w:rsidR="00E6337A" w:rsidRPr="008651D1">
        <w:rPr>
          <w:lang w:val="fr-FR"/>
        </w:rPr>
        <w:t>une journée spéciale</w:t>
      </w:r>
      <w:r w:rsidR="006C418D" w:rsidRPr="008651D1">
        <w:rPr>
          <w:lang w:val="fr-FR"/>
        </w:rPr>
        <w:t xml:space="preserve"> (“</w:t>
      </w:r>
      <w:r w:rsidR="00E6337A" w:rsidRPr="008651D1">
        <w:rPr>
          <w:lang w:val="fr-FR"/>
        </w:rPr>
        <w:t>Journée des obtenteurs</w:t>
      </w:r>
      <w:r w:rsidR="006C418D" w:rsidRPr="008651D1">
        <w:rPr>
          <w:lang w:val="fr-FR"/>
        </w:rPr>
        <w:t xml:space="preserve">”), </w:t>
      </w:r>
      <w:r w:rsidR="00E6337A" w:rsidRPr="008651D1">
        <w:rPr>
          <w:lang w:val="fr-FR"/>
        </w:rPr>
        <w:t>en ce qui concerne les points de l</w:t>
      </w:r>
      <w:r w:rsidR="00016C98" w:rsidRPr="008651D1">
        <w:rPr>
          <w:lang w:val="fr-FR"/>
        </w:rPr>
        <w:t>’</w:t>
      </w:r>
      <w:r w:rsidR="00E6337A" w:rsidRPr="008651D1">
        <w:rPr>
          <w:lang w:val="fr-FR"/>
        </w:rPr>
        <w:t>ordre du jour relatifs à l</w:t>
      </w:r>
      <w:r w:rsidR="00016C98" w:rsidRPr="008651D1">
        <w:rPr>
          <w:lang w:val="fr-FR"/>
        </w:rPr>
        <w:t>’</w:t>
      </w:r>
      <w:r w:rsidR="00E6337A" w:rsidRPr="008651D1">
        <w:rPr>
          <w:lang w:val="fr-FR"/>
        </w:rPr>
        <w:t>utilisation de techniques moléculaires pour l</w:t>
      </w:r>
      <w:r w:rsidR="00016C98" w:rsidRPr="008651D1">
        <w:rPr>
          <w:lang w:val="fr-FR"/>
        </w:rPr>
        <w:t>’</w:t>
      </w:r>
      <w:r w:rsidR="00E6337A" w:rsidRPr="008651D1">
        <w:rPr>
          <w:lang w:val="fr-FR"/>
        </w:rPr>
        <w:t>appréciation de la notion de variété essentiellement dérivée et pour l</w:t>
      </w:r>
      <w:r w:rsidR="00016C98" w:rsidRPr="008651D1">
        <w:rPr>
          <w:lang w:val="fr-FR"/>
        </w:rPr>
        <w:t>’</w:t>
      </w:r>
      <w:r w:rsidR="00E6337A" w:rsidRPr="008651D1">
        <w:rPr>
          <w:lang w:val="fr-FR"/>
        </w:rPr>
        <w:t>identification des variétés</w:t>
      </w:r>
      <w:r w:rsidR="006C418D" w:rsidRPr="008651D1">
        <w:rPr>
          <w:lang w:val="fr-FR"/>
        </w:rPr>
        <w:t xml:space="preserve">, </w:t>
      </w:r>
      <w:r w:rsidR="00E6337A" w:rsidRPr="008651D1">
        <w:rPr>
          <w:lang w:val="fr-FR"/>
        </w:rPr>
        <w:t>ainsi qu</w:t>
      </w:r>
      <w:r w:rsidR="00016C98" w:rsidRPr="008651D1">
        <w:rPr>
          <w:lang w:val="fr-FR"/>
        </w:rPr>
        <w:t>’</w:t>
      </w:r>
      <w:r w:rsidR="00E6337A" w:rsidRPr="008651D1">
        <w:rPr>
          <w:lang w:val="fr-FR"/>
        </w:rPr>
        <w:t>il est indiqué au paragrap</w:t>
      </w:r>
      <w:r w:rsidR="00E6337A" w:rsidRPr="002B0283">
        <w:rPr>
          <w:lang w:val="fr-FR"/>
        </w:rPr>
        <w:t>he</w:t>
      </w:r>
      <w:r w:rsidR="00DE6D2B" w:rsidRPr="002B0283">
        <w:rPr>
          <w:lang w:val="fr-FR"/>
        </w:rPr>
        <w:t> </w:t>
      </w:r>
      <w:r w:rsidR="006C418D" w:rsidRPr="002B0283">
        <w:rPr>
          <w:lang w:val="fr-FR"/>
        </w:rPr>
        <w:t xml:space="preserve">22 </w:t>
      </w:r>
      <w:r w:rsidR="00E6337A" w:rsidRPr="002B0283">
        <w:rPr>
          <w:lang w:val="fr-FR"/>
        </w:rPr>
        <w:t>ci</w:t>
      </w:r>
      <w:r w:rsidR="00DC14F9" w:rsidRPr="002B0283">
        <w:rPr>
          <w:lang w:val="fr-FR"/>
        </w:rPr>
        <w:noBreakHyphen/>
      </w:r>
      <w:r w:rsidR="00E6337A" w:rsidRPr="002B0283">
        <w:rPr>
          <w:lang w:val="fr-FR"/>
        </w:rPr>
        <w:t>dessus;</w:t>
      </w:r>
    </w:p>
    <w:p w:rsidR="00DF61EE" w:rsidRPr="002B0283" w:rsidRDefault="00DF61EE" w:rsidP="008651D1">
      <w:pPr>
        <w:pStyle w:val="DecisionParagraphs"/>
        <w:ind w:left="4536"/>
        <w:rPr>
          <w:lang w:val="fr-FR"/>
        </w:rPr>
      </w:pPr>
    </w:p>
    <w:p w:rsidR="00C72A57" w:rsidRPr="008651D1" w:rsidRDefault="002D74E7" w:rsidP="008651D1">
      <w:pPr>
        <w:pStyle w:val="DecisionParagraphs"/>
        <w:tabs>
          <w:tab w:val="clear" w:pos="5387"/>
          <w:tab w:val="left" w:pos="5670"/>
        </w:tabs>
        <w:ind w:left="4536" w:firstLine="567"/>
        <w:rPr>
          <w:lang w:val="fr-FR" w:eastAsia="ja-JP"/>
        </w:rPr>
      </w:pPr>
      <w:r w:rsidRPr="002B0283">
        <w:rPr>
          <w:lang w:val="fr-FR" w:eastAsia="ja-JP"/>
        </w:rPr>
        <w:t>c</w:t>
      </w:r>
      <w:r w:rsidR="006C418D" w:rsidRPr="002B0283">
        <w:rPr>
          <w:lang w:val="fr-FR" w:eastAsia="ja-JP"/>
        </w:rPr>
        <w:t>)</w:t>
      </w:r>
      <w:r w:rsidR="006C418D" w:rsidRPr="002B0283">
        <w:rPr>
          <w:lang w:val="fr-FR" w:eastAsia="ja-JP"/>
        </w:rPr>
        <w:tab/>
      </w:r>
      <w:r w:rsidR="00E6337A" w:rsidRPr="002B0283">
        <w:rPr>
          <w:lang w:val="fr-FR" w:eastAsia="ja-JP"/>
        </w:rPr>
        <w:t xml:space="preserve">à </w:t>
      </w:r>
      <w:r w:rsidR="00E43D9F" w:rsidRPr="002B0283">
        <w:rPr>
          <w:lang w:val="fr-FR" w:eastAsia="ja-JP"/>
        </w:rPr>
        <w:t>étudier</w:t>
      </w:r>
      <w:r w:rsidR="00E6337A" w:rsidRPr="002B0283">
        <w:rPr>
          <w:lang w:val="fr-FR" w:eastAsia="ja-JP"/>
        </w:rPr>
        <w:t xml:space="preserve"> la possibilité d</w:t>
      </w:r>
      <w:r w:rsidR="00016C98" w:rsidRPr="002B0283">
        <w:rPr>
          <w:lang w:val="fr-FR" w:eastAsia="ja-JP"/>
        </w:rPr>
        <w:t>’</w:t>
      </w:r>
      <w:r w:rsidR="00E6337A" w:rsidRPr="002B0283">
        <w:rPr>
          <w:lang w:val="fr-FR" w:eastAsia="ja-JP"/>
        </w:rPr>
        <w:t>élaborer un document commun présentant les particularités des systèmes de l</w:t>
      </w:r>
      <w:r w:rsidR="00016C98" w:rsidRPr="002B0283">
        <w:rPr>
          <w:lang w:val="fr-FR" w:eastAsia="ja-JP"/>
        </w:rPr>
        <w:t>’</w:t>
      </w:r>
      <w:r w:rsidR="00E6337A" w:rsidRPr="002B0283">
        <w:rPr>
          <w:lang w:val="fr-FR" w:eastAsia="ja-JP"/>
        </w:rPr>
        <w:t>OCDE, de l</w:t>
      </w:r>
      <w:r w:rsidR="00016C98" w:rsidRPr="002B0283">
        <w:rPr>
          <w:lang w:val="fr-FR" w:eastAsia="ja-JP"/>
        </w:rPr>
        <w:t>’</w:t>
      </w:r>
      <w:r w:rsidR="00E6337A" w:rsidRPr="002B0283">
        <w:rPr>
          <w:lang w:val="fr-FR" w:eastAsia="ja-JP"/>
        </w:rPr>
        <w:t>UPOV et de l</w:t>
      </w:r>
      <w:r w:rsidR="00016C98" w:rsidRPr="002B0283">
        <w:rPr>
          <w:lang w:val="fr-FR" w:eastAsia="ja-JP"/>
        </w:rPr>
        <w:t>’</w:t>
      </w:r>
      <w:r w:rsidR="00E6337A" w:rsidRPr="002B0283">
        <w:rPr>
          <w:lang w:val="fr-FR" w:eastAsia="ja-JP"/>
        </w:rPr>
        <w:t>ISTA</w:t>
      </w:r>
      <w:r w:rsidR="006C418D" w:rsidRPr="002B0283">
        <w:rPr>
          <w:rFonts w:cs="Arial"/>
          <w:lang w:val="fr-FR" w:eastAsia="ja-JP"/>
        </w:rPr>
        <w:t xml:space="preserve">, </w:t>
      </w:r>
      <w:r w:rsidR="00E6337A" w:rsidRPr="002B0283">
        <w:rPr>
          <w:rFonts w:cs="Arial"/>
          <w:lang w:val="fr-FR" w:eastAsia="ja-JP"/>
        </w:rPr>
        <w:t>comme indiqué au paragraphe</w:t>
      </w:r>
      <w:r w:rsidR="00DE6D2B" w:rsidRPr="002B0283">
        <w:rPr>
          <w:rFonts w:cs="Arial"/>
          <w:lang w:val="fr-FR" w:eastAsia="ja-JP"/>
        </w:rPr>
        <w:t> </w:t>
      </w:r>
      <w:r w:rsidR="006C418D" w:rsidRPr="002B0283">
        <w:rPr>
          <w:rFonts w:cs="Arial"/>
          <w:lang w:val="fr-FR" w:eastAsia="ja-JP"/>
        </w:rPr>
        <w:t xml:space="preserve">25 </w:t>
      </w:r>
      <w:r w:rsidR="00E6337A" w:rsidRPr="002B0283">
        <w:rPr>
          <w:rFonts w:cs="Arial"/>
          <w:lang w:val="fr-FR" w:eastAsia="ja-JP"/>
        </w:rPr>
        <w:t>ci</w:t>
      </w:r>
      <w:r w:rsidR="00DC14F9" w:rsidRPr="008651D1">
        <w:rPr>
          <w:rFonts w:cs="Arial"/>
          <w:lang w:val="fr-FR" w:eastAsia="ja-JP"/>
        </w:rPr>
        <w:noBreakHyphen/>
      </w:r>
      <w:r w:rsidR="00E6337A" w:rsidRPr="008651D1">
        <w:rPr>
          <w:rFonts w:cs="Arial"/>
          <w:lang w:val="fr-FR" w:eastAsia="ja-JP"/>
        </w:rPr>
        <w:t>dessus</w:t>
      </w:r>
      <w:r w:rsidR="006C418D" w:rsidRPr="008651D1">
        <w:rPr>
          <w:lang w:val="fr-FR" w:eastAsia="ja-JP"/>
        </w:rPr>
        <w:t>;</w:t>
      </w:r>
    </w:p>
    <w:p w:rsidR="00DF61EE" w:rsidRPr="008651D1" w:rsidRDefault="00DF61EE" w:rsidP="008651D1">
      <w:pPr>
        <w:pStyle w:val="DecisionParagraphs"/>
        <w:ind w:left="4536"/>
        <w:rPr>
          <w:lang w:val="fr-FR" w:eastAsia="ja-JP"/>
        </w:rPr>
      </w:pPr>
    </w:p>
    <w:p w:rsidR="00DF61EE" w:rsidRPr="008651D1" w:rsidRDefault="002D74E7" w:rsidP="008651D1">
      <w:pPr>
        <w:pStyle w:val="DecisionParagraphs"/>
        <w:tabs>
          <w:tab w:val="left" w:pos="5670"/>
        </w:tabs>
        <w:ind w:left="4536" w:firstLine="567"/>
        <w:rPr>
          <w:lang w:val="fr-FR" w:eastAsia="ja-JP"/>
        </w:rPr>
      </w:pPr>
      <w:r w:rsidRPr="008651D1">
        <w:rPr>
          <w:lang w:val="fr-FR" w:eastAsia="ja-JP"/>
        </w:rPr>
        <w:t>d</w:t>
      </w:r>
      <w:r w:rsidR="006C418D" w:rsidRPr="008651D1">
        <w:rPr>
          <w:lang w:val="fr-FR" w:eastAsia="ja-JP"/>
        </w:rPr>
        <w:t>)</w:t>
      </w:r>
      <w:r w:rsidR="006C418D" w:rsidRPr="008651D1">
        <w:rPr>
          <w:lang w:val="fr-FR" w:eastAsia="ja-JP"/>
        </w:rPr>
        <w:tab/>
      </w:r>
      <w:r w:rsidR="00E6337A" w:rsidRPr="008651D1">
        <w:rPr>
          <w:lang w:val="fr-FR" w:eastAsia="ja-JP"/>
        </w:rPr>
        <w:t>à noter qu</w:t>
      </w:r>
      <w:r w:rsidR="00016C98" w:rsidRPr="008651D1">
        <w:rPr>
          <w:lang w:val="fr-FR" w:eastAsia="ja-JP"/>
        </w:rPr>
        <w:t>’</w:t>
      </w:r>
      <w:r w:rsidR="00E6337A" w:rsidRPr="008651D1">
        <w:rPr>
          <w:lang w:val="fr-FR" w:eastAsia="ja-JP"/>
        </w:rPr>
        <w:t>il avait</w:t>
      </w:r>
      <w:r w:rsidR="00E6337A" w:rsidRPr="008651D1">
        <w:rPr>
          <w:rFonts w:cs="Arial"/>
          <w:lang w:val="fr-FR" w:eastAsia="ja-JP"/>
        </w:rPr>
        <w:t xml:space="preserve"> été convenu</w:t>
      </w:r>
      <w:r w:rsidR="00097467" w:rsidRPr="008651D1">
        <w:rPr>
          <w:rFonts w:cs="Arial"/>
          <w:lang w:val="fr-FR" w:eastAsia="ja-JP"/>
        </w:rPr>
        <w:t xml:space="preserve"> à l</w:t>
      </w:r>
      <w:r w:rsidR="00016C98" w:rsidRPr="008651D1">
        <w:rPr>
          <w:rFonts w:cs="Arial"/>
          <w:lang w:val="fr-FR" w:eastAsia="ja-JP"/>
        </w:rPr>
        <w:t>’</w:t>
      </w:r>
      <w:r w:rsidR="00097467" w:rsidRPr="008651D1">
        <w:rPr>
          <w:rFonts w:cs="Arial"/>
          <w:lang w:val="fr-FR" w:eastAsia="ja-JP"/>
        </w:rPr>
        <w:t xml:space="preserve">atelier </w:t>
      </w:r>
      <w:r w:rsidR="00E6337A" w:rsidRPr="008651D1">
        <w:rPr>
          <w:rFonts w:cs="Arial"/>
          <w:lang w:val="fr-FR" w:eastAsia="ja-JP"/>
        </w:rPr>
        <w:t>qu</w:t>
      </w:r>
      <w:r w:rsidR="00016C98" w:rsidRPr="008651D1">
        <w:rPr>
          <w:rFonts w:cs="Arial"/>
          <w:lang w:val="fr-FR" w:eastAsia="ja-JP"/>
        </w:rPr>
        <w:t>’</w:t>
      </w:r>
      <w:r w:rsidR="00E6337A" w:rsidRPr="008651D1">
        <w:rPr>
          <w:rFonts w:cs="Arial"/>
          <w:lang w:val="fr-FR" w:eastAsia="ja-JP"/>
        </w:rPr>
        <w:t xml:space="preserve">il serait utile </w:t>
      </w:r>
      <w:r w:rsidR="00097467" w:rsidRPr="008651D1">
        <w:rPr>
          <w:rFonts w:cs="Arial"/>
          <w:lang w:val="fr-FR" w:eastAsia="ja-JP"/>
        </w:rPr>
        <w:t>d</w:t>
      </w:r>
      <w:r w:rsidR="00016C98" w:rsidRPr="008651D1">
        <w:rPr>
          <w:rFonts w:cs="Arial"/>
          <w:lang w:val="fr-FR" w:eastAsia="ja-JP"/>
        </w:rPr>
        <w:t>’</w:t>
      </w:r>
      <w:r w:rsidR="00097467" w:rsidRPr="008651D1">
        <w:rPr>
          <w:rFonts w:cs="Arial"/>
          <w:lang w:val="fr-FR" w:eastAsia="ja-JP"/>
        </w:rPr>
        <w:t xml:space="preserve">organiser à nouveau </w:t>
      </w:r>
      <w:r w:rsidR="00E6337A" w:rsidRPr="008651D1">
        <w:rPr>
          <w:rFonts w:cs="Arial"/>
          <w:lang w:val="fr-FR" w:eastAsia="ja-JP"/>
        </w:rPr>
        <w:t xml:space="preserve">cet atelier conjoint </w:t>
      </w:r>
      <w:r w:rsidR="00097467" w:rsidRPr="008651D1">
        <w:rPr>
          <w:rFonts w:cs="Arial"/>
          <w:lang w:val="fr-FR" w:eastAsia="ja-JP"/>
        </w:rPr>
        <w:t>dans le cadre des</w:t>
      </w:r>
      <w:r w:rsidR="00E6337A" w:rsidRPr="008651D1">
        <w:rPr>
          <w:rFonts w:cs="Arial"/>
          <w:lang w:val="fr-FR" w:eastAsia="ja-JP"/>
        </w:rPr>
        <w:t xml:space="preserve"> réunions pertinentes de l</w:t>
      </w:r>
      <w:r w:rsidR="00016C98" w:rsidRPr="008651D1">
        <w:rPr>
          <w:rFonts w:cs="Arial"/>
          <w:lang w:val="fr-FR" w:eastAsia="ja-JP"/>
        </w:rPr>
        <w:t>’</w:t>
      </w:r>
      <w:r w:rsidR="00E6337A" w:rsidRPr="008651D1">
        <w:rPr>
          <w:rFonts w:cs="Arial"/>
          <w:lang w:val="fr-FR" w:eastAsia="ja-JP"/>
        </w:rPr>
        <w:t>OCDE et de l</w:t>
      </w:r>
      <w:r w:rsidR="00016C98" w:rsidRPr="008651D1">
        <w:rPr>
          <w:rFonts w:cs="Arial"/>
          <w:lang w:val="fr-FR" w:eastAsia="ja-JP"/>
        </w:rPr>
        <w:t>’</w:t>
      </w:r>
      <w:r w:rsidR="00E6337A" w:rsidRPr="008651D1">
        <w:rPr>
          <w:rFonts w:cs="Arial"/>
          <w:lang w:val="fr-FR" w:eastAsia="ja-JP"/>
        </w:rPr>
        <w:t>ISTA</w:t>
      </w:r>
      <w:r w:rsidR="00097467" w:rsidRPr="008651D1">
        <w:rPr>
          <w:lang w:val="fr-FR" w:eastAsia="ja-JP"/>
        </w:rPr>
        <w:t xml:space="preserve"> </w:t>
      </w:r>
      <w:r w:rsidR="00E6337A" w:rsidRPr="008651D1">
        <w:rPr>
          <w:lang w:val="fr-FR" w:eastAsia="ja-JP"/>
        </w:rPr>
        <w:t>et que, à cet égard,</w:t>
      </w:r>
      <w:r w:rsidRPr="008651D1">
        <w:rPr>
          <w:lang w:val="fr-FR" w:eastAsia="ja-JP"/>
        </w:rPr>
        <w:t xml:space="preserve"> </w:t>
      </w:r>
      <w:r w:rsidR="00E6337A" w:rsidRPr="008651D1">
        <w:rPr>
          <w:lang w:val="fr-FR" w:eastAsia="ja-JP"/>
        </w:rPr>
        <w:t>le</w:t>
      </w:r>
      <w:r w:rsidR="00E6337A" w:rsidRPr="008651D1">
        <w:rPr>
          <w:snapToGrid w:val="0"/>
          <w:lang w:val="fr-FR"/>
        </w:rPr>
        <w:t xml:space="preserve"> Groupe de travail technique était convenu qu</w:t>
      </w:r>
      <w:r w:rsidR="00016C98" w:rsidRPr="008651D1">
        <w:rPr>
          <w:snapToGrid w:val="0"/>
          <w:lang w:val="fr-FR"/>
        </w:rPr>
        <w:t>’</w:t>
      </w:r>
      <w:r w:rsidR="00E6337A" w:rsidRPr="008651D1">
        <w:rPr>
          <w:snapToGrid w:val="0"/>
          <w:lang w:val="fr-FR"/>
        </w:rPr>
        <w:t>un autre Atelier conjoint de l</w:t>
      </w:r>
      <w:r w:rsidR="00016C98" w:rsidRPr="008651D1">
        <w:rPr>
          <w:snapToGrid w:val="0"/>
          <w:lang w:val="fr-FR"/>
        </w:rPr>
        <w:t>’</w:t>
      </w:r>
      <w:r w:rsidR="00E6337A" w:rsidRPr="008651D1">
        <w:rPr>
          <w:snapToGrid w:val="0"/>
          <w:lang w:val="fr-FR"/>
        </w:rPr>
        <w:t>OCDE, de l</w:t>
      </w:r>
      <w:r w:rsidR="00016C98" w:rsidRPr="008651D1">
        <w:rPr>
          <w:snapToGrid w:val="0"/>
          <w:lang w:val="fr-FR"/>
        </w:rPr>
        <w:t>’</w:t>
      </w:r>
      <w:r w:rsidR="00E6337A" w:rsidRPr="008651D1">
        <w:rPr>
          <w:snapToGrid w:val="0"/>
          <w:lang w:val="fr-FR"/>
        </w:rPr>
        <w:t>UPOV et de l</w:t>
      </w:r>
      <w:r w:rsidR="00016C98" w:rsidRPr="008651D1">
        <w:rPr>
          <w:snapToGrid w:val="0"/>
          <w:lang w:val="fr-FR"/>
        </w:rPr>
        <w:t>’</w:t>
      </w:r>
      <w:r w:rsidR="00E6337A" w:rsidRPr="008651D1">
        <w:rPr>
          <w:snapToGrid w:val="0"/>
          <w:lang w:val="fr-FR"/>
        </w:rPr>
        <w:t xml:space="preserve">ISTA sur les techniques moléculaires devrait être organisé </w:t>
      </w:r>
      <w:r w:rsidR="00D05B03" w:rsidRPr="008651D1">
        <w:rPr>
          <w:snapToGrid w:val="0"/>
          <w:lang w:val="fr-FR"/>
        </w:rPr>
        <w:t xml:space="preserve">soit </w:t>
      </w:r>
      <w:r w:rsidR="00E6337A" w:rsidRPr="008651D1">
        <w:rPr>
          <w:snapToGrid w:val="0"/>
          <w:lang w:val="fr-FR"/>
        </w:rPr>
        <w:t>immédiatement avant ou après la Réunion annuelle des Systèmes de semences de l</w:t>
      </w:r>
      <w:r w:rsidR="00016C98" w:rsidRPr="008651D1">
        <w:rPr>
          <w:snapToGrid w:val="0"/>
          <w:lang w:val="fr-FR"/>
        </w:rPr>
        <w:t>’</w:t>
      </w:r>
      <w:r w:rsidR="00E6337A" w:rsidRPr="008651D1">
        <w:rPr>
          <w:snapToGrid w:val="0"/>
          <w:lang w:val="fr-FR"/>
        </w:rPr>
        <w:t xml:space="preserve">OCDE qui se tiendra à Paris en </w:t>
      </w:r>
      <w:r w:rsidR="00C72A57" w:rsidRPr="008651D1">
        <w:rPr>
          <w:snapToGrid w:val="0"/>
          <w:lang w:val="fr-FR"/>
        </w:rPr>
        <w:t>juin 20</w:t>
      </w:r>
      <w:r w:rsidR="00E6337A" w:rsidRPr="008651D1">
        <w:rPr>
          <w:snapToGrid w:val="0"/>
          <w:lang w:val="fr-FR"/>
        </w:rPr>
        <w:t>15</w:t>
      </w:r>
      <w:r w:rsidR="00D05B03" w:rsidRPr="008651D1">
        <w:rPr>
          <w:snapToGrid w:val="0"/>
          <w:lang w:val="fr-FR"/>
        </w:rPr>
        <w:t>, soit</w:t>
      </w:r>
      <w:r w:rsidR="00E6337A" w:rsidRPr="008651D1">
        <w:rPr>
          <w:snapToGrid w:val="0"/>
          <w:lang w:val="fr-FR"/>
        </w:rPr>
        <w:t xml:space="preserve"> en même temps que la Réunion du Groupe de travail technique qui se tiendra en </w:t>
      </w:r>
      <w:r w:rsidR="00C72A57" w:rsidRPr="008651D1">
        <w:rPr>
          <w:snapToGrid w:val="0"/>
          <w:lang w:val="fr-FR"/>
        </w:rPr>
        <w:t>janvier 20</w:t>
      </w:r>
      <w:r w:rsidR="00E6337A" w:rsidRPr="008651D1">
        <w:rPr>
          <w:snapToGrid w:val="0"/>
          <w:lang w:val="fr-FR"/>
        </w:rPr>
        <w:t>16</w:t>
      </w:r>
      <w:r w:rsidR="006C418D" w:rsidRPr="008651D1">
        <w:rPr>
          <w:lang w:val="fr-FR" w:eastAsia="ja-JP"/>
        </w:rPr>
        <w:t>;</w:t>
      </w:r>
    </w:p>
    <w:p w:rsidR="00DF61EE" w:rsidRPr="008651D1" w:rsidRDefault="00DF61EE" w:rsidP="008651D1">
      <w:pPr>
        <w:pStyle w:val="DecisionParagraphs"/>
        <w:tabs>
          <w:tab w:val="clear" w:pos="5387"/>
          <w:tab w:val="left" w:pos="5670"/>
        </w:tabs>
        <w:ind w:left="4536" w:firstLine="567"/>
        <w:rPr>
          <w:lang w:val="fr-FR" w:eastAsia="ja-JP"/>
        </w:rPr>
      </w:pPr>
    </w:p>
    <w:p w:rsidR="00DF61EE" w:rsidRPr="002B0283" w:rsidRDefault="002D74E7" w:rsidP="008651D1">
      <w:pPr>
        <w:pStyle w:val="DecisionParagraphs"/>
        <w:tabs>
          <w:tab w:val="clear" w:pos="5387"/>
          <w:tab w:val="left" w:pos="5670"/>
        </w:tabs>
        <w:ind w:left="4536" w:firstLine="567"/>
        <w:rPr>
          <w:lang w:val="fr-FR"/>
        </w:rPr>
      </w:pPr>
      <w:r w:rsidRPr="008651D1">
        <w:rPr>
          <w:lang w:val="fr-FR" w:eastAsia="ja-JP"/>
        </w:rPr>
        <w:t>e</w:t>
      </w:r>
      <w:r w:rsidR="006C418D" w:rsidRPr="008651D1">
        <w:rPr>
          <w:lang w:val="fr-FR" w:eastAsia="ja-JP"/>
        </w:rPr>
        <w:t>)</w:t>
      </w:r>
      <w:r w:rsidR="006C418D" w:rsidRPr="008651D1">
        <w:rPr>
          <w:lang w:val="fr-FR" w:eastAsia="ja-JP"/>
        </w:rPr>
        <w:tab/>
      </w:r>
      <w:r w:rsidR="00E43D9F" w:rsidRPr="008651D1">
        <w:rPr>
          <w:lang w:val="fr-FR" w:eastAsia="ja-JP"/>
        </w:rPr>
        <w:t>à étudier la possibilité de dresser un inventaire</w:t>
      </w:r>
      <w:r w:rsidR="00E43D9F" w:rsidRPr="008651D1">
        <w:rPr>
          <w:rFonts w:cs="Arial"/>
          <w:lang w:val="fr-FR"/>
        </w:rPr>
        <w:t>, par plante</w:t>
      </w:r>
      <w:r w:rsidR="00E43D9F" w:rsidRPr="008651D1">
        <w:rPr>
          <w:rFonts w:cs="Arial"/>
          <w:lang w:val="fr-FR" w:eastAsia="ja-JP"/>
        </w:rPr>
        <w:t xml:space="preserve">, </w:t>
      </w:r>
      <w:r w:rsidR="00E43D9F" w:rsidRPr="008651D1">
        <w:rPr>
          <w:rFonts w:cs="Arial"/>
          <w:lang w:val="fr-FR"/>
        </w:rPr>
        <w:t>de l</w:t>
      </w:r>
      <w:r w:rsidR="00016C98" w:rsidRPr="008651D1">
        <w:rPr>
          <w:rFonts w:cs="Arial"/>
          <w:lang w:val="fr-FR"/>
        </w:rPr>
        <w:t>’</w:t>
      </w:r>
      <w:r w:rsidR="00E43D9F" w:rsidRPr="008651D1">
        <w:rPr>
          <w:rFonts w:cs="Arial"/>
          <w:lang w:val="fr-FR"/>
        </w:rPr>
        <w:t>utilisation qui est faite par l</w:t>
      </w:r>
      <w:r w:rsidR="00016C98" w:rsidRPr="008651D1">
        <w:rPr>
          <w:rFonts w:cs="Arial"/>
          <w:lang w:val="fr-FR"/>
        </w:rPr>
        <w:t>’</w:t>
      </w:r>
      <w:r w:rsidR="00E43D9F" w:rsidRPr="008651D1">
        <w:rPr>
          <w:rFonts w:cs="Arial"/>
          <w:lang w:val="fr-FR"/>
        </w:rPr>
        <w:t>UPOV des techniques faisant intervenir des marqueurs moléculaires</w:t>
      </w:r>
      <w:r w:rsidR="00231AAC" w:rsidRPr="008651D1">
        <w:rPr>
          <w:rFonts w:cs="Arial"/>
          <w:lang w:val="fr-FR"/>
        </w:rPr>
        <w:t>,</w:t>
      </w:r>
      <w:r w:rsidR="00E43D9F" w:rsidRPr="008651D1">
        <w:rPr>
          <w:rFonts w:cs="Arial"/>
          <w:lang w:val="fr-FR"/>
        </w:rPr>
        <w:t xml:space="preserve"> </w:t>
      </w:r>
      <w:r w:rsidR="00E43D9F" w:rsidRPr="008651D1">
        <w:rPr>
          <w:rFonts w:cs="Arial"/>
          <w:lang w:val="fr-FR" w:eastAsia="ja-JP"/>
        </w:rPr>
        <w:t>en vue de l</w:t>
      </w:r>
      <w:r w:rsidR="00016C98" w:rsidRPr="008651D1">
        <w:rPr>
          <w:rFonts w:cs="Arial"/>
          <w:lang w:val="fr-FR" w:eastAsia="ja-JP"/>
        </w:rPr>
        <w:t>’</w:t>
      </w:r>
      <w:r w:rsidR="00E43D9F" w:rsidRPr="008651D1">
        <w:rPr>
          <w:rFonts w:cs="Arial"/>
          <w:lang w:val="fr-FR" w:eastAsia="ja-JP"/>
        </w:rPr>
        <w:t>élaboration d</w:t>
      </w:r>
      <w:r w:rsidR="00016C98" w:rsidRPr="008651D1">
        <w:rPr>
          <w:rFonts w:cs="Arial"/>
          <w:lang w:val="fr-FR" w:eastAsia="ja-JP"/>
        </w:rPr>
        <w:t>’</w:t>
      </w:r>
      <w:r w:rsidR="00E43D9F" w:rsidRPr="008651D1">
        <w:rPr>
          <w:rFonts w:cs="Arial"/>
          <w:lang w:val="fr-FR" w:eastAsia="ja-JP"/>
        </w:rPr>
        <w:t>un document commun à l</w:t>
      </w:r>
      <w:r w:rsidR="00016C98" w:rsidRPr="008651D1">
        <w:rPr>
          <w:rFonts w:cs="Arial"/>
          <w:lang w:val="fr-FR" w:eastAsia="ja-JP"/>
        </w:rPr>
        <w:t>’</w:t>
      </w:r>
      <w:r w:rsidR="00E43D9F" w:rsidRPr="008651D1">
        <w:rPr>
          <w:rFonts w:cs="Arial"/>
          <w:lang w:val="fr-FR" w:eastAsia="ja-JP"/>
        </w:rPr>
        <w:t>OCDE, à l</w:t>
      </w:r>
      <w:r w:rsidR="00016C98" w:rsidRPr="008651D1">
        <w:rPr>
          <w:rFonts w:cs="Arial"/>
          <w:lang w:val="fr-FR" w:eastAsia="ja-JP"/>
        </w:rPr>
        <w:t>’</w:t>
      </w:r>
      <w:r w:rsidR="00E43D9F" w:rsidRPr="008651D1">
        <w:rPr>
          <w:rFonts w:cs="Arial"/>
          <w:lang w:val="fr-FR" w:eastAsia="ja-JP"/>
        </w:rPr>
        <w:t>UPOV et à l</w:t>
      </w:r>
      <w:r w:rsidR="00016C98" w:rsidRPr="008651D1">
        <w:rPr>
          <w:rFonts w:cs="Arial"/>
          <w:lang w:val="fr-FR" w:eastAsia="ja-JP"/>
        </w:rPr>
        <w:t>’</w:t>
      </w:r>
      <w:r w:rsidR="00E43D9F" w:rsidRPr="008651D1">
        <w:rPr>
          <w:rFonts w:cs="Arial"/>
          <w:lang w:val="fr-FR" w:eastAsia="ja-JP"/>
        </w:rPr>
        <w:t>ISTA contenant ces informations, dans un format semblable à celui du document UPOV/INF/16 “Logiciels échangeables”, comme indiqué au para</w:t>
      </w:r>
      <w:r w:rsidR="00E43D9F" w:rsidRPr="002B0283">
        <w:rPr>
          <w:rFonts w:cs="Arial"/>
          <w:lang w:val="fr-FR" w:eastAsia="ja-JP"/>
        </w:rPr>
        <w:t>graphe</w:t>
      </w:r>
      <w:r w:rsidR="00DE6D2B" w:rsidRPr="002B0283">
        <w:rPr>
          <w:rFonts w:cs="Arial"/>
          <w:lang w:val="fr-FR" w:eastAsia="ja-JP"/>
        </w:rPr>
        <w:t> </w:t>
      </w:r>
      <w:r w:rsidR="006C418D" w:rsidRPr="002B0283">
        <w:rPr>
          <w:rFonts w:cs="Arial"/>
          <w:lang w:val="fr-FR" w:eastAsia="ja-JP"/>
        </w:rPr>
        <w:t xml:space="preserve">26 </w:t>
      </w:r>
      <w:r w:rsidR="00E43D9F" w:rsidRPr="002B0283">
        <w:rPr>
          <w:rFonts w:cs="Arial"/>
          <w:lang w:val="fr-FR" w:eastAsia="ja-JP"/>
        </w:rPr>
        <w:t>ci</w:t>
      </w:r>
      <w:r w:rsidR="00DC14F9" w:rsidRPr="002B0283">
        <w:rPr>
          <w:rFonts w:cs="Arial"/>
          <w:lang w:val="fr-FR" w:eastAsia="ja-JP"/>
        </w:rPr>
        <w:noBreakHyphen/>
      </w:r>
      <w:r w:rsidR="00E43D9F" w:rsidRPr="002B0283">
        <w:rPr>
          <w:rFonts w:cs="Arial"/>
          <w:lang w:val="fr-FR" w:eastAsia="ja-JP"/>
        </w:rPr>
        <w:t>dessus</w:t>
      </w:r>
      <w:r w:rsidR="006C418D" w:rsidRPr="002B0283">
        <w:rPr>
          <w:rFonts w:cs="Arial"/>
          <w:lang w:val="fr-FR" w:eastAsia="ja-JP"/>
        </w:rPr>
        <w:t>;</w:t>
      </w:r>
    </w:p>
    <w:p w:rsidR="00DF61EE" w:rsidRPr="002B0283" w:rsidRDefault="00DF61EE" w:rsidP="008651D1">
      <w:pPr>
        <w:pStyle w:val="DecisionParagraphs"/>
        <w:ind w:left="4536"/>
        <w:rPr>
          <w:lang w:val="fr-FR"/>
        </w:rPr>
      </w:pPr>
    </w:p>
    <w:p w:rsidR="00C72A57" w:rsidRPr="00F407FC" w:rsidRDefault="002D74E7" w:rsidP="008651D1">
      <w:pPr>
        <w:pStyle w:val="DecisionParagraphs"/>
        <w:tabs>
          <w:tab w:val="clear" w:pos="5387"/>
          <w:tab w:val="left" w:pos="5670"/>
        </w:tabs>
        <w:ind w:left="4536" w:firstLine="567"/>
        <w:rPr>
          <w:rFonts w:cs="Arial"/>
          <w:lang w:val="fr-FR" w:eastAsia="ja-JP"/>
        </w:rPr>
      </w:pPr>
      <w:r w:rsidRPr="002B0283">
        <w:rPr>
          <w:lang w:val="fr-FR" w:eastAsia="ja-JP"/>
        </w:rPr>
        <w:t>f</w:t>
      </w:r>
      <w:r w:rsidR="006C418D" w:rsidRPr="002B0283">
        <w:rPr>
          <w:lang w:val="fr-FR" w:eastAsia="ja-JP"/>
        </w:rPr>
        <w:t>)</w:t>
      </w:r>
      <w:r w:rsidR="006C418D" w:rsidRPr="002B0283">
        <w:rPr>
          <w:lang w:val="fr-FR" w:eastAsia="ja-JP"/>
        </w:rPr>
        <w:tab/>
      </w:r>
      <w:r w:rsidR="00E43D9F" w:rsidRPr="002B0283">
        <w:rPr>
          <w:lang w:val="fr-FR" w:eastAsia="ja-JP"/>
        </w:rPr>
        <w:t>à examiner la proposition tendant à ce que</w:t>
      </w:r>
      <w:r w:rsidR="00C72A57" w:rsidRPr="002B0283">
        <w:rPr>
          <w:lang w:val="fr-FR" w:eastAsia="ja-JP"/>
        </w:rPr>
        <w:t xml:space="preserve"> le BMT</w:t>
      </w:r>
      <w:r w:rsidR="00E43D9F" w:rsidRPr="002B0283">
        <w:rPr>
          <w:lang w:val="fr-FR" w:eastAsia="ja-JP"/>
        </w:rPr>
        <w:t>, à sa quinzième</w:t>
      </w:r>
      <w:r w:rsidR="00DE6D2B" w:rsidRPr="002B0283">
        <w:rPr>
          <w:lang w:val="fr-FR" w:eastAsia="ja-JP"/>
        </w:rPr>
        <w:t> </w:t>
      </w:r>
      <w:r w:rsidR="00E43D9F" w:rsidRPr="002B0283">
        <w:rPr>
          <w:lang w:val="fr-FR" w:eastAsia="ja-JP"/>
        </w:rPr>
        <w:t>session,</w:t>
      </w:r>
      <w:r w:rsidR="00E43D9F" w:rsidRPr="002B0283">
        <w:rPr>
          <w:rFonts w:cs="Arial"/>
          <w:lang w:val="fr-FR" w:eastAsia="ja-JP"/>
        </w:rPr>
        <w:t xml:space="preserve"> dresse des listes d</w:t>
      </w:r>
      <w:r w:rsidR="00016C98" w:rsidRPr="002B0283">
        <w:rPr>
          <w:rFonts w:cs="Arial"/>
          <w:lang w:val="fr-FR" w:eastAsia="ja-JP"/>
        </w:rPr>
        <w:t>’</w:t>
      </w:r>
      <w:r w:rsidR="00E43D9F" w:rsidRPr="002B0283">
        <w:rPr>
          <w:rFonts w:cs="Arial"/>
          <w:lang w:val="fr-FR" w:eastAsia="ja-JP"/>
        </w:rPr>
        <w:t>initiatives conjointes possibles avec l</w:t>
      </w:r>
      <w:r w:rsidR="00016C98" w:rsidRPr="002B0283">
        <w:rPr>
          <w:rFonts w:cs="Arial"/>
          <w:lang w:val="fr-FR" w:eastAsia="ja-JP"/>
        </w:rPr>
        <w:t>’</w:t>
      </w:r>
      <w:r w:rsidR="00E43D9F" w:rsidRPr="002B0283">
        <w:rPr>
          <w:rFonts w:cs="Arial"/>
          <w:lang w:val="fr-FR" w:eastAsia="ja-JP"/>
        </w:rPr>
        <w:t>OCDE et l</w:t>
      </w:r>
      <w:r w:rsidR="00016C98" w:rsidRPr="002B0283">
        <w:rPr>
          <w:rFonts w:cs="Arial"/>
          <w:lang w:val="fr-FR" w:eastAsia="ja-JP"/>
        </w:rPr>
        <w:t>’</w:t>
      </w:r>
      <w:r w:rsidR="00E43D9F" w:rsidRPr="002B0283">
        <w:rPr>
          <w:rFonts w:cs="Arial"/>
          <w:lang w:val="fr-FR" w:eastAsia="ja-JP"/>
        </w:rPr>
        <w:t xml:space="preserve">ISTA dans le domaine </w:t>
      </w:r>
      <w:r w:rsidR="00E43D9F" w:rsidRPr="00F407FC">
        <w:rPr>
          <w:rFonts w:cs="Arial"/>
          <w:lang w:val="fr-FR" w:eastAsia="ja-JP"/>
        </w:rPr>
        <w:t>des techniques moléculaires, comme indiqué au paragraphe</w:t>
      </w:r>
      <w:r w:rsidR="00DE6D2B" w:rsidRPr="00F407FC">
        <w:rPr>
          <w:rFonts w:cs="Arial"/>
          <w:lang w:val="fr-FR" w:eastAsia="ja-JP"/>
        </w:rPr>
        <w:t> </w:t>
      </w:r>
      <w:r w:rsidR="002B0283" w:rsidRPr="00F407FC">
        <w:rPr>
          <w:rFonts w:cs="Arial"/>
          <w:lang w:val="fr-FR" w:eastAsia="ja-JP"/>
        </w:rPr>
        <w:t>27</w:t>
      </w:r>
      <w:r w:rsidR="006C418D" w:rsidRPr="00F407FC">
        <w:rPr>
          <w:rFonts w:cs="Arial"/>
          <w:lang w:val="fr-FR" w:eastAsia="ja-JP"/>
        </w:rPr>
        <w:t xml:space="preserve"> </w:t>
      </w:r>
      <w:r w:rsidR="00E43D9F" w:rsidRPr="00F407FC">
        <w:rPr>
          <w:rFonts w:cs="Arial"/>
          <w:lang w:val="fr-FR" w:eastAsia="ja-JP"/>
        </w:rPr>
        <w:t>ci</w:t>
      </w:r>
      <w:r w:rsidR="00DC14F9" w:rsidRPr="00F407FC">
        <w:rPr>
          <w:rFonts w:cs="Arial"/>
          <w:lang w:val="fr-FR" w:eastAsia="ja-JP"/>
        </w:rPr>
        <w:noBreakHyphen/>
      </w:r>
      <w:r w:rsidR="00E43D9F" w:rsidRPr="00F407FC">
        <w:rPr>
          <w:rFonts w:cs="Arial"/>
          <w:lang w:val="fr-FR" w:eastAsia="ja-JP"/>
        </w:rPr>
        <w:t>dessus</w:t>
      </w:r>
      <w:r w:rsidR="006C418D" w:rsidRPr="00F407FC">
        <w:rPr>
          <w:rFonts w:cs="Arial"/>
          <w:lang w:val="fr-FR" w:eastAsia="ja-JP"/>
        </w:rPr>
        <w:t>;</w:t>
      </w:r>
    </w:p>
    <w:p w:rsidR="00DF61EE" w:rsidRPr="00F407FC" w:rsidRDefault="00DF61EE" w:rsidP="008651D1">
      <w:pPr>
        <w:pStyle w:val="DecisionParagraphs"/>
        <w:tabs>
          <w:tab w:val="clear" w:pos="5387"/>
          <w:tab w:val="left" w:pos="5670"/>
        </w:tabs>
        <w:ind w:left="4536" w:firstLine="567"/>
        <w:rPr>
          <w:rFonts w:cs="Arial"/>
          <w:lang w:val="fr-FR" w:eastAsia="ja-JP"/>
        </w:rPr>
      </w:pPr>
    </w:p>
    <w:p w:rsidR="00C72A57" w:rsidRPr="002B0283" w:rsidRDefault="00E43D9F" w:rsidP="008651D1">
      <w:pPr>
        <w:pStyle w:val="DecisionParagraphs"/>
        <w:tabs>
          <w:tab w:val="clear" w:pos="5387"/>
          <w:tab w:val="left" w:pos="5670"/>
        </w:tabs>
        <w:ind w:left="4536" w:firstLine="567"/>
        <w:rPr>
          <w:lang w:val="fr-FR"/>
        </w:rPr>
      </w:pPr>
      <w:r w:rsidRPr="00F407FC">
        <w:rPr>
          <w:lang w:val="fr-FR"/>
        </w:rPr>
        <w:t>g</w:t>
      </w:r>
      <w:r w:rsidR="006C418D" w:rsidRPr="00F407FC">
        <w:rPr>
          <w:lang w:val="fr-FR"/>
        </w:rPr>
        <w:t>)</w:t>
      </w:r>
      <w:r w:rsidR="006C418D" w:rsidRPr="00F407FC">
        <w:rPr>
          <w:lang w:val="fr-FR"/>
        </w:rPr>
        <w:tab/>
      </w:r>
      <w:r w:rsidRPr="00F407FC">
        <w:rPr>
          <w:lang w:val="fr-FR"/>
        </w:rPr>
        <w:t>à étudier la possibilité de fonder le débat sur les techniques moléculaires sur un exposé des temps forts de la quatorzième</w:t>
      </w:r>
      <w:r w:rsidR="00DE6D2B" w:rsidRPr="00F407FC">
        <w:rPr>
          <w:lang w:val="fr-FR"/>
        </w:rPr>
        <w:t> </w:t>
      </w:r>
      <w:r w:rsidRPr="00F407FC">
        <w:rPr>
          <w:lang w:val="fr-FR"/>
        </w:rPr>
        <w:t>session</w:t>
      </w:r>
      <w:r w:rsidR="00C72A57" w:rsidRPr="00F407FC">
        <w:rPr>
          <w:lang w:val="fr-FR"/>
        </w:rPr>
        <w:t xml:space="preserve"> du BMT</w:t>
      </w:r>
      <w:r w:rsidRPr="00F407FC">
        <w:rPr>
          <w:lang w:val="fr-FR"/>
        </w:rPr>
        <w:t xml:space="preserve"> tenue à Séoul (République de Corée) du 10 au 1</w:t>
      </w:r>
      <w:r w:rsidR="00C72A57" w:rsidRPr="00F407FC">
        <w:rPr>
          <w:lang w:val="fr-FR"/>
        </w:rPr>
        <w:t>3 novembre 20</w:t>
      </w:r>
      <w:r w:rsidRPr="00F407FC">
        <w:rPr>
          <w:lang w:val="fr-FR"/>
        </w:rPr>
        <w:t>14, ainsi que sur l</w:t>
      </w:r>
      <w:r w:rsidR="00016C98" w:rsidRPr="00F407FC">
        <w:rPr>
          <w:lang w:val="fr-FR"/>
        </w:rPr>
        <w:t>’</w:t>
      </w:r>
      <w:r w:rsidRPr="00F407FC">
        <w:rPr>
          <w:snapToGrid w:val="0"/>
          <w:lang w:val="fr-FR"/>
        </w:rPr>
        <w:t>Atelier conjoint de l</w:t>
      </w:r>
      <w:r w:rsidR="00016C98" w:rsidRPr="00F407FC">
        <w:rPr>
          <w:snapToGrid w:val="0"/>
          <w:lang w:val="fr-FR"/>
        </w:rPr>
        <w:t>’</w:t>
      </w:r>
      <w:r w:rsidRPr="00F407FC">
        <w:rPr>
          <w:snapToGrid w:val="0"/>
          <w:lang w:val="fr-FR"/>
        </w:rPr>
        <w:t>OCDE, de l</w:t>
      </w:r>
      <w:r w:rsidR="00016C98" w:rsidRPr="00F407FC">
        <w:rPr>
          <w:snapToGrid w:val="0"/>
          <w:lang w:val="fr-FR"/>
        </w:rPr>
        <w:t>’</w:t>
      </w:r>
      <w:r w:rsidRPr="00F407FC">
        <w:rPr>
          <w:snapToGrid w:val="0"/>
          <w:lang w:val="fr-FR"/>
        </w:rPr>
        <w:t>UPOV et de l</w:t>
      </w:r>
      <w:r w:rsidR="00016C98" w:rsidRPr="00F407FC">
        <w:rPr>
          <w:snapToGrid w:val="0"/>
          <w:lang w:val="fr-FR"/>
        </w:rPr>
        <w:t>’</w:t>
      </w:r>
      <w:r w:rsidRPr="00F407FC">
        <w:rPr>
          <w:snapToGrid w:val="0"/>
          <w:lang w:val="fr-FR"/>
        </w:rPr>
        <w:t>ISTA sur les techniques moléculaires</w:t>
      </w:r>
      <w:r w:rsidRPr="00F407FC">
        <w:rPr>
          <w:lang w:val="fr-FR"/>
        </w:rPr>
        <w:t xml:space="preserve"> tenu à Séoul (République de Corée) le 1</w:t>
      </w:r>
      <w:r w:rsidR="00C72A57" w:rsidRPr="00F407FC">
        <w:rPr>
          <w:lang w:val="fr-FR"/>
        </w:rPr>
        <w:t>2 novembre 20</w:t>
      </w:r>
      <w:r w:rsidRPr="00F407FC">
        <w:rPr>
          <w:lang w:val="fr-FR"/>
        </w:rPr>
        <w:t>14, comme indiqué aux paragraphes</w:t>
      </w:r>
      <w:r w:rsidR="00DE6D2B" w:rsidRPr="00F407FC">
        <w:rPr>
          <w:lang w:val="fr-FR"/>
        </w:rPr>
        <w:t> </w:t>
      </w:r>
      <w:r w:rsidR="002B0283" w:rsidRPr="00F407FC">
        <w:rPr>
          <w:lang w:val="fr-FR"/>
        </w:rPr>
        <w:t>30</w:t>
      </w:r>
      <w:r w:rsidRPr="00F407FC">
        <w:rPr>
          <w:lang w:val="fr-FR"/>
        </w:rPr>
        <w:t xml:space="preserve"> à 3</w:t>
      </w:r>
      <w:r w:rsidR="002B0283" w:rsidRPr="00F407FC">
        <w:rPr>
          <w:lang w:val="fr-FR"/>
        </w:rPr>
        <w:t>2</w:t>
      </w:r>
      <w:r w:rsidRPr="00F407FC">
        <w:rPr>
          <w:lang w:val="fr-FR"/>
        </w:rPr>
        <w:t xml:space="preserve"> et à l</w:t>
      </w:r>
      <w:r w:rsidR="00016C98" w:rsidRPr="00F407FC">
        <w:rPr>
          <w:lang w:val="fr-FR"/>
        </w:rPr>
        <w:t>’</w:t>
      </w:r>
      <w:r w:rsidRPr="00F407FC">
        <w:rPr>
          <w:lang w:val="fr-FR"/>
        </w:rPr>
        <w:t>a</w:t>
      </w:r>
      <w:r w:rsidR="006C418D" w:rsidRPr="00F407FC">
        <w:rPr>
          <w:lang w:val="fr-FR"/>
        </w:rPr>
        <w:t>nnex</w:t>
      </w:r>
      <w:r w:rsidRPr="00F407FC">
        <w:rPr>
          <w:lang w:val="fr-FR"/>
        </w:rPr>
        <w:t>e</w:t>
      </w:r>
      <w:r w:rsidR="00DE6D2B" w:rsidRPr="00F407FC">
        <w:rPr>
          <w:lang w:val="fr-FR"/>
        </w:rPr>
        <w:t> </w:t>
      </w:r>
      <w:r w:rsidR="006C418D" w:rsidRPr="00F407FC">
        <w:rPr>
          <w:lang w:val="fr-FR"/>
        </w:rPr>
        <w:t xml:space="preserve">II </w:t>
      </w:r>
      <w:r w:rsidRPr="00F407FC">
        <w:rPr>
          <w:lang w:val="fr-FR"/>
        </w:rPr>
        <w:t>du présent document;</w:t>
      </w:r>
      <w:r w:rsidR="00231AAC" w:rsidRPr="00F407FC">
        <w:rPr>
          <w:lang w:val="fr-FR"/>
        </w:rPr>
        <w:t xml:space="preserve">  et</w:t>
      </w:r>
    </w:p>
    <w:p w:rsidR="00DF61EE" w:rsidRPr="002B0283" w:rsidRDefault="00DF61EE" w:rsidP="008651D1">
      <w:pPr>
        <w:pStyle w:val="DecisionParagraphs"/>
        <w:tabs>
          <w:tab w:val="clear" w:pos="5387"/>
          <w:tab w:val="left" w:pos="5670"/>
        </w:tabs>
        <w:ind w:left="4536" w:firstLine="567"/>
        <w:rPr>
          <w:lang w:val="fr-FR"/>
        </w:rPr>
      </w:pPr>
    </w:p>
    <w:p w:rsidR="00DF61EE" w:rsidRPr="008651D1" w:rsidRDefault="00E43D9F" w:rsidP="008651D1">
      <w:pPr>
        <w:pStyle w:val="DecisionParagraphs"/>
        <w:tabs>
          <w:tab w:val="clear" w:pos="5387"/>
          <w:tab w:val="left" w:pos="5670"/>
        </w:tabs>
        <w:ind w:left="4536" w:firstLine="567"/>
        <w:rPr>
          <w:lang w:val="fr-FR"/>
        </w:rPr>
      </w:pPr>
      <w:r w:rsidRPr="002B0283">
        <w:rPr>
          <w:lang w:val="fr-FR"/>
        </w:rPr>
        <w:t>h</w:t>
      </w:r>
      <w:r w:rsidR="006C418D" w:rsidRPr="002B0283">
        <w:rPr>
          <w:lang w:val="fr-FR"/>
        </w:rPr>
        <w:t>)</w:t>
      </w:r>
      <w:r w:rsidR="006C418D" w:rsidRPr="002B0283">
        <w:rPr>
          <w:lang w:val="fr-FR"/>
        </w:rPr>
        <w:tab/>
      </w:r>
      <w:r w:rsidR="00B27354" w:rsidRPr="002B0283">
        <w:rPr>
          <w:lang w:val="fr-FR"/>
        </w:rPr>
        <w:t xml:space="preserve">à élaborer un </w:t>
      </w:r>
      <w:r w:rsidR="00B27354" w:rsidRPr="002B0283">
        <w:rPr>
          <w:snapToGrid w:val="0"/>
          <w:lang w:val="fr-FR"/>
        </w:rPr>
        <w:t>projet de questions et réponses concernant la diffusion d</w:t>
      </w:r>
      <w:r w:rsidR="00016C98" w:rsidRPr="002B0283">
        <w:rPr>
          <w:snapToGrid w:val="0"/>
          <w:lang w:val="fr-FR"/>
        </w:rPr>
        <w:t>’</w:t>
      </w:r>
      <w:r w:rsidR="00B27354" w:rsidRPr="002B0283">
        <w:rPr>
          <w:snapToGrid w:val="0"/>
          <w:lang w:val="fr-FR"/>
        </w:rPr>
        <w:t xml:space="preserve">informations à un large public, </w:t>
      </w:r>
      <w:r w:rsidR="00C72A57" w:rsidRPr="002B0283">
        <w:rPr>
          <w:snapToGrid w:val="0"/>
          <w:lang w:val="fr-FR"/>
        </w:rPr>
        <w:t>y compris</w:t>
      </w:r>
      <w:r w:rsidR="00B27354" w:rsidRPr="002B0283">
        <w:rPr>
          <w:snapToGrid w:val="0"/>
          <w:lang w:val="fr-FR"/>
        </w:rPr>
        <w:t xml:space="preserve"> le public en général, sur la situation à l</w:t>
      </w:r>
      <w:r w:rsidR="00016C98" w:rsidRPr="002B0283">
        <w:rPr>
          <w:snapToGrid w:val="0"/>
          <w:lang w:val="fr-FR"/>
        </w:rPr>
        <w:t>’</w:t>
      </w:r>
      <w:r w:rsidR="00B27354" w:rsidRPr="002B0283">
        <w:rPr>
          <w:snapToGrid w:val="0"/>
          <w:lang w:val="fr-FR"/>
        </w:rPr>
        <w:t>UPOV concernant l</w:t>
      </w:r>
      <w:r w:rsidR="00016C98" w:rsidRPr="002B0283">
        <w:rPr>
          <w:snapToGrid w:val="0"/>
          <w:lang w:val="fr-FR"/>
        </w:rPr>
        <w:t>’</w:t>
      </w:r>
      <w:r w:rsidR="00B27354" w:rsidRPr="002B0283">
        <w:rPr>
          <w:snapToGrid w:val="0"/>
          <w:lang w:val="fr-FR"/>
        </w:rPr>
        <w:t xml:space="preserve">utilisation de techniques </w:t>
      </w:r>
      <w:r w:rsidR="00B27354" w:rsidRPr="002B0283">
        <w:rPr>
          <w:snapToGrid w:val="0"/>
          <w:lang w:val="fr-FR"/>
        </w:rPr>
        <w:lastRenderedPageBreak/>
        <w:t>moléculaires</w:t>
      </w:r>
      <w:r w:rsidR="00B27354" w:rsidRPr="002B0283">
        <w:rPr>
          <w:lang w:val="fr-FR"/>
        </w:rPr>
        <w:t>, comme indiqué au paragraphe</w:t>
      </w:r>
      <w:r w:rsidR="00DE6D2B" w:rsidRPr="002B0283">
        <w:rPr>
          <w:lang w:val="fr-FR"/>
        </w:rPr>
        <w:t> </w:t>
      </w:r>
      <w:r w:rsidR="000552A7" w:rsidRPr="002B0283">
        <w:rPr>
          <w:rFonts w:cs="Arial"/>
          <w:lang w:val="fr-FR" w:eastAsia="ja-JP"/>
        </w:rPr>
        <w:t>4</w:t>
      </w:r>
      <w:r w:rsidR="00055042" w:rsidRPr="002B0283">
        <w:rPr>
          <w:rFonts w:cs="Arial"/>
          <w:lang w:val="fr-FR" w:eastAsia="ja-JP"/>
        </w:rPr>
        <w:t>0</w:t>
      </w:r>
      <w:r w:rsidR="000552A7" w:rsidRPr="008651D1">
        <w:rPr>
          <w:rFonts w:cs="Arial"/>
          <w:lang w:val="fr-FR" w:eastAsia="ja-JP"/>
        </w:rPr>
        <w:t xml:space="preserve"> </w:t>
      </w:r>
      <w:r w:rsidR="00B27354" w:rsidRPr="008651D1">
        <w:rPr>
          <w:rFonts w:cs="Arial"/>
          <w:lang w:val="fr-FR" w:eastAsia="ja-JP"/>
        </w:rPr>
        <w:t>ci</w:t>
      </w:r>
      <w:r w:rsidR="00DC14F9" w:rsidRPr="008651D1">
        <w:rPr>
          <w:rFonts w:cs="Arial"/>
          <w:lang w:val="fr-FR" w:eastAsia="ja-JP"/>
        </w:rPr>
        <w:noBreakHyphen/>
      </w:r>
      <w:r w:rsidR="00B27354" w:rsidRPr="008651D1">
        <w:rPr>
          <w:rFonts w:cs="Arial"/>
          <w:lang w:val="fr-FR" w:eastAsia="ja-JP"/>
        </w:rPr>
        <w:t>dessus</w:t>
      </w:r>
      <w:r w:rsidR="00F617CC" w:rsidRPr="008651D1">
        <w:rPr>
          <w:lang w:val="fr-FR"/>
        </w:rPr>
        <w:t>.</w:t>
      </w:r>
    </w:p>
    <w:p w:rsidR="00DF61EE" w:rsidRPr="008651D1" w:rsidRDefault="00DF61EE" w:rsidP="008651D1">
      <w:pPr>
        <w:pStyle w:val="DecisionInvitingPara"/>
        <w:ind w:left="0"/>
        <w:jc w:val="left"/>
        <w:rPr>
          <w:rFonts w:eastAsiaTheme="minorEastAsia"/>
          <w:i w:val="0"/>
          <w:lang w:val="fr-FR" w:eastAsia="ja-JP"/>
        </w:rPr>
      </w:pPr>
    </w:p>
    <w:p w:rsidR="00DF61EE" w:rsidRPr="008651D1" w:rsidRDefault="0033342F" w:rsidP="008651D1">
      <w:pPr>
        <w:pStyle w:val="endofdoc"/>
        <w:rPr>
          <w:rFonts w:cs="Arial"/>
          <w:lang w:val="fr-FR"/>
        </w:rPr>
      </w:pPr>
      <w:r w:rsidRPr="008651D1">
        <w:rPr>
          <w:rFonts w:cs="Arial"/>
          <w:lang w:val="fr-FR"/>
        </w:rPr>
        <w:t>[Les annexes suivent]</w:t>
      </w:r>
    </w:p>
    <w:p w:rsidR="00DF61EE" w:rsidRPr="008651D1" w:rsidRDefault="00DF61EE" w:rsidP="008651D1">
      <w:pPr>
        <w:pStyle w:val="Header"/>
      </w:pPr>
    </w:p>
    <w:p w:rsidR="00182CF6" w:rsidRPr="008651D1" w:rsidRDefault="00182CF6" w:rsidP="008651D1">
      <w:pPr>
        <w:pStyle w:val="Header"/>
        <w:jc w:val="left"/>
        <w:sectPr w:rsidR="00182CF6" w:rsidRPr="008651D1" w:rsidSect="00E71894">
          <w:headerReference w:type="default" r:id="rId14"/>
          <w:pgSz w:w="11907" w:h="16840" w:code="9"/>
          <w:pgMar w:top="510" w:right="1134" w:bottom="1134" w:left="1134" w:header="510" w:footer="680" w:gutter="0"/>
          <w:cols w:space="720"/>
          <w:titlePg/>
        </w:sectPr>
      </w:pPr>
    </w:p>
    <w:p w:rsidR="00DF61EE" w:rsidRPr="008651D1" w:rsidRDefault="00DF61EE" w:rsidP="008651D1">
      <w:pPr>
        <w:pStyle w:val="Header"/>
        <w:jc w:val="left"/>
      </w:pPr>
    </w:p>
    <w:p w:rsidR="00DF61EE" w:rsidRPr="008651D1" w:rsidRDefault="0033342F" w:rsidP="008651D1">
      <w:pPr>
        <w:spacing w:before="60" w:after="120"/>
        <w:jc w:val="center"/>
        <w:rPr>
          <w:lang w:val="fr-FR"/>
        </w:rPr>
      </w:pPr>
      <w:r w:rsidRPr="008651D1">
        <w:rPr>
          <w:lang w:val="fr-FR"/>
        </w:rPr>
        <w:t>MANDAT DU GROUPE DE TRAVAIL SUR LES TECHNIQUES BIOCHIMIQUES ET MOLÉCULAIRES, NOTAMMENT LES PROFILS D</w:t>
      </w:r>
      <w:r w:rsidR="00016C98" w:rsidRPr="008651D1">
        <w:rPr>
          <w:lang w:val="fr-FR"/>
        </w:rPr>
        <w:t>’</w:t>
      </w:r>
      <w:r w:rsidRPr="008651D1">
        <w:rPr>
          <w:lang w:val="fr-FR"/>
        </w:rPr>
        <w:t>ADN (BMT)</w:t>
      </w:r>
    </w:p>
    <w:p w:rsidR="00DF61EE" w:rsidRPr="008651D1" w:rsidRDefault="0033342F" w:rsidP="008651D1">
      <w:pPr>
        <w:spacing w:before="60" w:after="120"/>
        <w:jc w:val="center"/>
        <w:rPr>
          <w:i/>
          <w:lang w:val="fr-FR"/>
        </w:rPr>
      </w:pPr>
      <w:r w:rsidRPr="008651D1">
        <w:rPr>
          <w:i/>
          <w:lang w:val="fr-FR"/>
        </w:rPr>
        <w:t>(tel qu</w:t>
      </w:r>
      <w:r w:rsidR="00016C98" w:rsidRPr="008651D1">
        <w:rPr>
          <w:i/>
          <w:lang w:val="fr-FR"/>
        </w:rPr>
        <w:t>’</w:t>
      </w:r>
      <w:r w:rsidRPr="008651D1">
        <w:rPr>
          <w:i/>
          <w:lang w:val="fr-FR"/>
        </w:rPr>
        <w:t>il a été défini par le Comité technique à sa trente</w:t>
      </w:r>
      <w:r w:rsidR="00DC14F9" w:rsidRPr="008651D1">
        <w:rPr>
          <w:lang w:val="fr-FR"/>
        </w:rPr>
        <w:noBreakHyphen/>
      </w:r>
      <w:r w:rsidRPr="008651D1">
        <w:rPr>
          <w:i/>
          <w:lang w:val="fr-FR"/>
        </w:rPr>
        <w:t>huitième</w:t>
      </w:r>
      <w:r w:rsidR="00DE6D2B" w:rsidRPr="008651D1">
        <w:rPr>
          <w:i/>
          <w:lang w:val="fr-FR"/>
        </w:rPr>
        <w:t> </w:t>
      </w:r>
      <w:r w:rsidR="00231AAC" w:rsidRPr="008651D1">
        <w:rPr>
          <w:i/>
          <w:lang w:val="fr-FR"/>
        </w:rPr>
        <w:t>session</w:t>
      </w:r>
      <w:r w:rsidRPr="008651D1">
        <w:rPr>
          <w:i/>
          <w:lang w:val="fr-FR"/>
        </w:rPr>
        <w:t xml:space="preserve"> </w:t>
      </w:r>
      <w:r w:rsidR="005F3831" w:rsidRPr="008651D1">
        <w:rPr>
          <w:i/>
          <w:lang w:val="fr-FR"/>
        </w:rPr>
        <w:br/>
      </w:r>
      <w:r w:rsidRPr="008651D1">
        <w:rPr>
          <w:i/>
          <w:lang w:val="fr-FR"/>
        </w:rPr>
        <w:t>tenue à Genève</w:t>
      </w:r>
      <w:r w:rsidR="005F3831" w:rsidRPr="008651D1">
        <w:rPr>
          <w:i/>
          <w:lang w:val="fr-FR"/>
        </w:rPr>
        <w:t xml:space="preserve"> </w:t>
      </w:r>
      <w:r w:rsidRPr="008651D1">
        <w:rPr>
          <w:i/>
          <w:lang w:val="fr-FR"/>
        </w:rPr>
        <w:t xml:space="preserve">du 15 au 17 avril 2002 (voir le paragraphe 204 du </w:t>
      </w:r>
      <w:r w:rsidR="00016C98" w:rsidRPr="008651D1">
        <w:rPr>
          <w:i/>
          <w:lang w:val="fr-FR"/>
        </w:rPr>
        <w:t>document TC</w:t>
      </w:r>
      <w:r w:rsidRPr="008651D1">
        <w:rPr>
          <w:i/>
          <w:lang w:val="fr-FR"/>
        </w:rPr>
        <w:t>/38/16))</w:t>
      </w:r>
    </w:p>
    <w:p w:rsidR="00DF61EE" w:rsidRPr="008651D1" w:rsidRDefault="00DF61EE" w:rsidP="008651D1">
      <w:pPr>
        <w:spacing w:before="60" w:after="60"/>
        <w:rPr>
          <w:lang w:val="fr-FR"/>
        </w:rPr>
      </w:pPr>
    </w:p>
    <w:p w:rsidR="00DF61EE" w:rsidRPr="008651D1" w:rsidRDefault="00B33D4E" w:rsidP="008651D1">
      <w:pPr>
        <w:spacing w:before="60" w:after="60"/>
        <w:rPr>
          <w:lang w:val="fr-FR"/>
        </w:rPr>
      </w:pPr>
      <w:r w:rsidRPr="008651D1">
        <w:rPr>
          <w:lang w:val="fr-FR"/>
        </w:rPr>
        <w:t xml:space="preserve">Le BMT est un groupe ouvert aux experts </w:t>
      </w:r>
      <w:r w:rsidR="007C0A7D" w:rsidRPr="008651D1">
        <w:rPr>
          <w:lang w:val="fr-FR"/>
        </w:rPr>
        <w:t>de l</w:t>
      </w:r>
      <w:r w:rsidR="00016C98" w:rsidRPr="008651D1">
        <w:rPr>
          <w:lang w:val="fr-FR"/>
        </w:rPr>
        <w:t>’</w:t>
      </w:r>
      <w:r w:rsidR="007C0A7D" w:rsidRPr="008651D1">
        <w:rPr>
          <w:lang w:val="fr-FR"/>
        </w:rPr>
        <w:t>examen</w:t>
      </w:r>
      <w:r w:rsidRPr="008651D1">
        <w:rPr>
          <w:lang w:val="fr-FR"/>
        </w:rPr>
        <w:t xml:space="preserve"> DHS, aux spécialistes </w:t>
      </w:r>
      <w:r w:rsidR="007C0A7D" w:rsidRPr="008651D1">
        <w:rPr>
          <w:lang w:val="fr-FR"/>
        </w:rPr>
        <w:t>en</w:t>
      </w:r>
      <w:r w:rsidRPr="008651D1">
        <w:rPr>
          <w:lang w:val="fr-FR"/>
        </w:rPr>
        <w:t xml:space="preserve"> techniques biochimiques et moléculaires et aux obtenteurs, dont le rôle </w:t>
      </w:r>
      <w:r w:rsidR="007C0A7D" w:rsidRPr="008651D1">
        <w:rPr>
          <w:lang w:val="fr-FR"/>
        </w:rPr>
        <w:t>consiste</w:t>
      </w:r>
      <w:r w:rsidR="005F3831" w:rsidRPr="008651D1">
        <w:rPr>
          <w:lang w:val="fr-FR"/>
        </w:rPr>
        <w:t> :</w:t>
      </w:r>
    </w:p>
    <w:p w:rsidR="00DF61EE" w:rsidRPr="008651D1" w:rsidRDefault="00DF61EE" w:rsidP="008651D1">
      <w:pPr>
        <w:spacing w:before="60" w:after="60"/>
        <w:rPr>
          <w:lang w:val="fr-FR"/>
        </w:rPr>
      </w:pPr>
    </w:p>
    <w:p w:rsidR="00DF61EE"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à suivre l</w:t>
      </w:r>
      <w:r w:rsidR="00016C98" w:rsidRPr="008651D1">
        <w:rPr>
          <w:lang w:val="fr-FR"/>
        </w:rPr>
        <w:t>’</w:t>
      </w:r>
      <w:r w:rsidRPr="008651D1">
        <w:rPr>
          <w:lang w:val="fr-FR"/>
        </w:rPr>
        <w:t xml:space="preserve">évolution générale des </w:t>
      </w:r>
      <w:r w:rsidR="00B33D4E" w:rsidRPr="008651D1">
        <w:rPr>
          <w:lang w:val="fr-FR"/>
        </w:rPr>
        <w:t>techniques biochimiques et moléculaires;</w:t>
      </w:r>
    </w:p>
    <w:p w:rsidR="00DF61EE" w:rsidRPr="008651D1" w:rsidRDefault="00DF61EE" w:rsidP="008651D1">
      <w:pPr>
        <w:pStyle w:val="ListParagraph"/>
        <w:tabs>
          <w:tab w:val="left" w:pos="1134"/>
        </w:tabs>
        <w:spacing w:before="60" w:after="60"/>
        <w:ind w:left="1134" w:hanging="708"/>
        <w:rPr>
          <w:lang w:val="fr-FR"/>
        </w:rPr>
      </w:pPr>
    </w:p>
    <w:p w:rsidR="00C72A57"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 xml:space="preserve">à </w:t>
      </w:r>
      <w:r w:rsidR="00B33D4E" w:rsidRPr="008651D1">
        <w:rPr>
          <w:lang w:val="fr-FR"/>
        </w:rPr>
        <w:t>se teni</w:t>
      </w:r>
      <w:r w:rsidRPr="008651D1">
        <w:rPr>
          <w:lang w:val="fr-FR"/>
        </w:rPr>
        <w:t>r au courant des applications</w:t>
      </w:r>
      <w:r w:rsidR="00B33D4E" w:rsidRPr="008651D1">
        <w:rPr>
          <w:lang w:val="fr-FR"/>
        </w:rPr>
        <w:t xml:space="preserve"> des techniques biochimiques et moléculaires </w:t>
      </w:r>
      <w:r w:rsidRPr="008651D1">
        <w:rPr>
          <w:lang w:val="fr-FR"/>
        </w:rPr>
        <w:t xml:space="preserve">à </w:t>
      </w:r>
      <w:r w:rsidR="00B33D4E" w:rsidRPr="008651D1">
        <w:rPr>
          <w:lang w:val="fr-FR"/>
        </w:rPr>
        <w:t>l</w:t>
      </w:r>
      <w:r w:rsidR="00016C98" w:rsidRPr="008651D1">
        <w:rPr>
          <w:lang w:val="fr-FR"/>
        </w:rPr>
        <w:t>’</w:t>
      </w:r>
      <w:r w:rsidR="00B33D4E" w:rsidRPr="008651D1">
        <w:rPr>
          <w:lang w:val="fr-FR"/>
        </w:rPr>
        <w:t>amélioration des plantes;</w:t>
      </w:r>
    </w:p>
    <w:p w:rsidR="00DF61EE" w:rsidRPr="008651D1" w:rsidRDefault="00DF61EE" w:rsidP="008651D1">
      <w:pPr>
        <w:pStyle w:val="ListParagraph"/>
        <w:tabs>
          <w:tab w:val="left" w:pos="1134"/>
        </w:tabs>
        <w:ind w:left="1134" w:hanging="708"/>
        <w:rPr>
          <w:lang w:val="fr-FR"/>
        </w:rPr>
      </w:pPr>
    </w:p>
    <w:p w:rsidR="00DF61EE"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 xml:space="preserve">à </w:t>
      </w:r>
      <w:r w:rsidR="0023266C" w:rsidRPr="008651D1">
        <w:rPr>
          <w:lang w:val="fr-FR"/>
        </w:rPr>
        <w:t xml:space="preserve">examiner </w:t>
      </w:r>
      <w:r w:rsidRPr="008651D1">
        <w:rPr>
          <w:lang w:val="fr-FR"/>
        </w:rPr>
        <w:t>les possibilités d</w:t>
      </w:r>
      <w:r w:rsidR="00016C98" w:rsidRPr="008651D1">
        <w:rPr>
          <w:lang w:val="fr-FR"/>
        </w:rPr>
        <w:t>’</w:t>
      </w:r>
      <w:r w:rsidR="00B33D4E" w:rsidRPr="008651D1">
        <w:rPr>
          <w:lang w:val="fr-FR"/>
        </w:rPr>
        <w:t>application de</w:t>
      </w:r>
      <w:r w:rsidRPr="008651D1">
        <w:rPr>
          <w:lang w:val="fr-FR"/>
        </w:rPr>
        <w:t>s</w:t>
      </w:r>
      <w:r w:rsidR="00B33D4E" w:rsidRPr="008651D1">
        <w:rPr>
          <w:lang w:val="fr-FR"/>
        </w:rPr>
        <w:t xml:space="preserve"> techniques biochimiques et moléculaires </w:t>
      </w:r>
      <w:r w:rsidRPr="008651D1">
        <w:rPr>
          <w:lang w:val="fr-FR"/>
        </w:rPr>
        <w:t>à</w:t>
      </w:r>
      <w:r w:rsidR="00B33D4E" w:rsidRPr="008651D1">
        <w:rPr>
          <w:lang w:val="fr-FR"/>
        </w:rPr>
        <w:t xml:space="preserve"> l</w:t>
      </w:r>
      <w:r w:rsidR="00016C98" w:rsidRPr="008651D1">
        <w:rPr>
          <w:lang w:val="fr-FR"/>
        </w:rPr>
        <w:t>’</w:t>
      </w:r>
      <w:r w:rsidR="00B33D4E" w:rsidRPr="008651D1">
        <w:rPr>
          <w:lang w:val="fr-FR"/>
        </w:rPr>
        <w:t xml:space="preserve">examen DHS et </w:t>
      </w:r>
      <w:r w:rsidRPr="008651D1">
        <w:rPr>
          <w:lang w:val="fr-FR"/>
        </w:rPr>
        <w:t>à</w:t>
      </w:r>
      <w:r w:rsidR="00B33D4E" w:rsidRPr="008651D1">
        <w:rPr>
          <w:lang w:val="fr-FR"/>
        </w:rPr>
        <w:t xml:space="preserve"> rendre compte de ses réflexions au Comité technique;</w:t>
      </w:r>
    </w:p>
    <w:p w:rsidR="00DF61EE" w:rsidRPr="008651D1" w:rsidRDefault="00DF61EE" w:rsidP="008651D1">
      <w:pPr>
        <w:pStyle w:val="ListParagraph"/>
        <w:tabs>
          <w:tab w:val="left" w:pos="1134"/>
        </w:tabs>
        <w:spacing w:before="60" w:after="60"/>
        <w:ind w:left="1134" w:hanging="708"/>
        <w:rPr>
          <w:lang w:val="fr-FR"/>
        </w:rPr>
      </w:pPr>
    </w:p>
    <w:p w:rsidR="00C72A57"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le cas échéant, à élaborer des directives relatives aux méthodes biochimiques et moléculaires et à leur harmonisation et, en particulier, à contribuer à l</w:t>
      </w:r>
      <w:r w:rsidR="00016C98" w:rsidRPr="008651D1">
        <w:rPr>
          <w:lang w:val="fr-FR"/>
        </w:rPr>
        <w:t>’</w:t>
      </w:r>
      <w:r w:rsidRPr="008651D1">
        <w:rPr>
          <w:lang w:val="fr-FR"/>
        </w:rPr>
        <w:t xml:space="preserve">élaboration du document </w:t>
      </w:r>
      <w:r w:rsidR="00954973" w:rsidRPr="008651D1">
        <w:rPr>
          <w:lang w:val="fr-FR"/>
        </w:rPr>
        <w:t>TGP/15</w:t>
      </w:r>
      <w:r w:rsidRPr="008651D1">
        <w:rPr>
          <w:lang w:val="fr-FR"/>
        </w:rPr>
        <w:t>, intitulé</w:t>
      </w:r>
      <w:r w:rsidR="00954973" w:rsidRPr="008651D1">
        <w:rPr>
          <w:lang w:val="fr-FR"/>
        </w:rPr>
        <w:t xml:space="preserve"> “</w:t>
      </w:r>
      <w:r w:rsidRPr="008651D1">
        <w:rPr>
          <w:lang w:val="fr-FR"/>
        </w:rPr>
        <w:t xml:space="preserve">Nouveaux types de caractères”. </w:t>
      </w:r>
      <w:r w:rsidR="00954973" w:rsidRPr="008651D1">
        <w:rPr>
          <w:lang w:val="fr-FR"/>
        </w:rPr>
        <w:t xml:space="preserve"> </w:t>
      </w:r>
      <w:r w:rsidR="00B33D4E" w:rsidRPr="008651D1">
        <w:rPr>
          <w:lang w:val="fr-FR"/>
        </w:rPr>
        <w:t xml:space="preserve">Ces directives doivent être élaborées </w:t>
      </w:r>
      <w:r w:rsidRPr="008651D1">
        <w:rPr>
          <w:lang w:val="fr-FR"/>
        </w:rPr>
        <w:t>conjointement</w:t>
      </w:r>
      <w:r w:rsidR="00B33D4E" w:rsidRPr="008651D1">
        <w:rPr>
          <w:lang w:val="fr-FR"/>
        </w:rPr>
        <w:t xml:space="preserve"> avec les groupes de travail techniques;</w:t>
      </w:r>
    </w:p>
    <w:p w:rsidR="00DF61EE" w:rsidRPr="008651D1" w:rsidRDefault="00DF61EE" w:rsidP="008651D1">
      <w:pPr>
        <w:tabs>
          <w:tab w:val="left" w:pos="1134"/>
        </w:tabs>
        <w:spacing w:before="60" w:after="60"/>
        <w:ind w:left="1134" w:hanging="708"/>
        <w:rPr>
          <w:lang w:val="fr-FR"/>
        </w:rPr>
      </w:pPr>
    </w:p>
    <w:p w:rsidR="00DF61EE" w:rsidRPr="008651D1" w:rsidRDefault="007C0A7D" w:rsidP="008651D1">
      <w:pPr>
        <w:pStyle w:val="ListParagraph"/>
        <w:numPr>
          <w:ilvl w:val="0"/>
          <w:numId w:val="2"/>
        </w:numPr>
        <w:tabs>
          <w:tab w:val="left" w:pos="1134"/>
        </w:tabs>
        <w:spacing w:before="60" w:after="60"/>
        <w:ind w:left="1134"/>
        <w:rPr>
          <w:lang w:val="fr-FR"/>
        </w:rPr>
      </w:pPr>
      <w:r w:rsidRPr="008651D1">
        <w:rPr>
          <w:lang w:val="fr-FR"/>
        </w:rPr>
        <w:t xml:space="preserve">à </w:t>
      </w:r>
      <w:r w:rsidR="005F3831" w:rsidRPr="008651D1">
        <w:rPr>
          <w:lang w:val="fr-FR"/>
        </w:rPr>
        <w:t>examiner les initiatives des groupes de travail techniques en ce qui concerne la création de sous</w:t>
      </w:r>
      <w:r w:rsidR="00DC14F9" w:rsidRPr="008651D1">
        <w:rPr>
          <w:lang w:val="fr-FR"/>
        </w:rPr>
        <w:noBreakHyphen/>
      </w:r>
      <w:r w:rsidR="005F3831" w:rsidRPr="008651D1">
        <w:rPr>
          <w:lang w:val="fr-FR"/>
        </w:rPr>
        <w:t>groupes pour les plantes cultivées, en tenant compte des informations existantes et de la nécessité de disposer de méthodes biochimiques et moléculaires</w:t>
      </w:r>
      <w:r w:rsidR="00B33D4E" w:rsidRPr="008651D1">
        <w:rPr>
          <w:lang w:val="fr-FR"/>
        </w:rPr>
        <w:t>;</w:t>
      </w:r>
    </w:p>
    <w:p w:rsidR="00DF61EE" w:rsidRPr="008651D1" w:rsidRDefault="00DF61EE" w:rsidP="008651D1">
      <w:pPr>
        <w:pStyle w:val="ListParagraph"/>
        <w:tabs>
          <w:tab w:val="left" w:pos="1134"/>
        </w:tabs>
        <w:ind w:left="1134" w:hanging="708"/>
        <w:rPr>
          <w:lang w:val="fr-FR"/>
        </w:rPr>
      </w:pPr>
    </w:p>
    <w:p w:rsidR="00DF61EE"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à élaborer, conjointement avec</w:t>
      </w:r>
      <w:r w:rsidR="00C72A57" w:rsidRPr="008651D1">
        <w:rPr>
          <w:lang w:val="fr-FR"/>
        </w:rPr>
        <w:t xml:space="preserve"> le TWC</w:t>
      </w:r>
      <w:r w:rsidRPr="008651D1">
        <w:rPr>
          <w:lang w:val="fr-FR"/>
        </w:rPr>
        <w:t>, des directives relatives à la gestion et à l</w:t>
      </w:r>
      <w:r w:rsidR="00016C98" w:rsidRPr="008651D1">
        <w:rPr>
          <w:lang w:val="fr-FR"/>
        </w:rPr>
        <w:t>’</w:t>
      </w:r>
      <w:r w:rsidRPr="008651D1">
        <w:rPr>
          <w:lang w:val="fr-FR"/>
        </w:rPr>
        <w:t>harmonisation de bases de données biochimiques et moléculaires</w:t>
      </w:r>
      <w:r w:rsidR="00954973" w:rsidRPr="008651D1">
        <w:rPr>
          <w:lang w:val="fr-FR"/>
        </w:rPr>
        <w:t>;</w:t>
      </w:r>
    </w:p>
    <w:p w:rsidR="00DF61EE" w:rsidRPr="008651D1" w:rsidRDefault="00DF61EE" w:rsidP="008651D1">
      <w:pPr>
        <w:pStyle w:val="ListParagraph"/>
        <w:tabs>
          <w:tab w:val="left" w:pos="1134"/>
        </w:tabs>
        <w:spacing w:before="60" w:after="60"/>
        <w:ind w:left="1134" w:hanging="708"/>
        <w:rPr>
          <w:lang w:val="fr-FR"/>
        </w:rPr>
      </w:pPr>
    </w:p>
    <w:p w:rsidR="00DF61EE"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à prendre connaissance</w:t>
      </w:r>
      <w:r w:rsidR="00B33D4E" w:rsidRPr="008651D1">
        <w:rPr>
          <w:lang w:val="fr-FR"/>
        </w:rPr>
        <w:t xml:space="preserve"> des rapports des sous</w:t>
      </w:r>
      <w:r w:rsidR="00DC14F9" w:rsidRPr="008651D1">
        <w:rPr>
          <w:lang w:val="fr-FR"/>
        </w:rPr>
        <w:noBreakHyphen/>
      </w:r>
      <w:r w:rsidR="00B33D4E" w:rsidRPr="008651D1">
        <w:rPr>
          <w:lang w:val="fr-FR"/>
        </w:rPr>
        <w:t xml:space="preserve">groupes </w:t>
      </w:r>
      <w:r w:rsidRPr="008651D1">
        <w:rPr>
          <w:lang w:val="fr-FR"/>
        </w:rPr>
        <w:t>pour</w:t>
      </w:r>
      <w:r w:rsidR="00B33D4E" w:rsidRPr="008651D1">
        <w:rPr>
          <w:lang w:val="fr-FR"/>
        </w:rPr>
        <w:t xml:space="preserve"> les plantes cultivées et du </w:t>
      </w:r>
      <w:r w:rsidRPr="008651D1">
        <w:rPr>
          <w:lang w:val="fr-FR"/>
        </w:rPr>
        <w:t>g</w:t>
      </w:r>
      <w:r w:rsidR="00B33D4E" w:rsidRPr="008651D1">
        <w:rPr>
          <w:lang w:val="fr-FR"/>
        </w:rPr>
        <w:t>roupe de réflexion sur les travaux du BMT;</w:t>
      </w:r>
    </w:p>
    <w:p w:rsidR="00DF61EE" w:rsidRPr="008651D1" w:rsidRDefault="00DF61EE" w:rsidP="008651D1">
      <w:pPr>
        <w:tabs>
          <w:tab w:val="left" w:pos="1134"/>
        </w:tabs>
        <w:spacing w:before="60" w:after="60"/>
        <w:ind w:left="1134" w:hanging="708"/>
        <w:rPr>
          <w:lang w:val="fr-FR"/>
        </w:rPr>
      </w:pPr>
    </w:p>
    <w:p w:rsidR="00DF61EE" w:rsidRPr="008651D1" w:rsidRDefault="007C0A7D" w:rsidP="008651D1">
      <w:pPr>
        <w:pStyle w:val="ListParagraph"/>
        <w:numPr>
          <w:ilvl w:val="0"/>
          <w:numId w:val="2"/>
        </w:numPr>
        <w:tabs>
          <w:tab w:val="left" w:pos="1134"/>
        </w:tabs>
        <w:spacing w:before="60" w:after="60"/>
        <w:ind w:left="1134" w:hanging="708"/>
        <w:rPr>
          <w:lang w:val="fr-FR"/>
        </w:rPr>
      </w:pPr>
      <w:r w:rsidRPr="008651D1">
        <w:rPr>
          <w:lang w:val="fr-FR"/>
        </w:rPr>
        <w:t xml:space="preserve">à </w:t>
      </w:r>
      <w:r w:rsidR="00B33D4E" w:rsidRPr="008651D1">
        <w:rPr>
          <w:lang w:val="fr-FR"/>
        </w:rPr>
        <w:t>servir de cadre à des discussions sur l</w:t>
      </w:r>
      <w:r w:rsidR="00016C98" w:rsidRPr="008651D1">
        <w:rPr>
          <w:lang w:val="fr-FR"/>
        </w:rPr>
        <w:t>’</w:t>
      </w:r>
      <w:r w:rsidR="00B33D4E" w:rsidRPr="008651D1">
        <w:rPr>
          <w:lang w:val="fr-FR"/>
        </w:rPr>
        <w:t>utilisation des techniques biochimiques et moléculaires en ce qui concerne les notions de variété essentiellement dérivée et d</w:t>
      </w:r>
      <w:r w:rsidR="00016C98" w:rsidRPr="008651D1">
        <w:rPr>
          <w:lang w:val="fr-FR"/>
        </w:rPr>
        <w:t>’</w:t>
      </w:r>
      <w:r w:rsidR="00B33D4E" w:rsidRPr="008651D1">
        <w:rPr>
          <w:lang w:val="fr-FR"/>
        </w:rPr>
        <w:t xml:space="preserve">identification </w:t>
      </w:r>
      <w:r w:rsidR="00231AAC" w:rsidRPr="008651D1">
        <w:rPr>
          <w:lang w:val="fr-FR"/>
        </w:rPr>
        <w:t>des variétés.</w:t>
      </w:r>
    </w:p>
    <w:p w:rsidR="00DF61EE" w:rsidRPr="008651D1" w:rsidRDefault="00DF61EE" w:rsidP="008651D1">
      <w:pPr>
        <w:rPr>
          <w:lang w:val="fr-FR"/>
        </w:rPr>
      </w:pPr>
    </w:p>
    <w:p w:rsidR="00DF61EE" w:rsidRPr="008651D1" w:rsidRDefault="00DF61EE" w:rsidP="008651D1">
      <w:pPr>
        <w:ind w:right="-1"/>
        <w:rPr>
          <w:lang w:val="fr-FR"/>
        </w:rPr>
      </w:pPr>
    </w:p>
    <w:p w:rsidR="00DF61EE" w:rsidRPr="008651D1" w:rsidRDefault="00DF61EE" w:rsidP="008651D1">
      <w:pPr>
        <w:ind w:right="-1"/>
        <w:rPr>
          <w:lang w:val="fr-FR"/>
        </w:rPr>
      </w:pPr>
    </w:p>
    <w:p w:rsidR="00DF61EE" w:rsidRPr="008651D1" w:rsidRDefault="00B33D4E" w:rsidP="008651D1">
      <w:pPr>
        <w:ind w:right="369"/>
        <w:jc w:val="right"/>
        <w:rPr>
          <w:lang w:val="fr-FR"/>
        </w:rPr>
      </w:pPr>
      <w:r w:rsidRPr="008651D1">
        <w:rPr>
          <w:lang w:val="fr-FR"/>
        </w:rPr>
        <w:t>[L</w:t>
      </w:r>
      <w:r w:rsidR="00016C98" w:rsidRPr="008651D1">
        <w:rPr>
          <w:lang w:val="fr-FR"/>
        </w:rPr>
        <w:t>’</w:t>
      </w:r>
      <w:r w:rsidRPr="008651D1">
        <w:rPr>
          <w:lang w:val="fr-FR"/>
        </w:rPr>
        <w:t>annexe</w:t>
      </w:r>
      <w:r w:rsidR="00DE6D2B" w:rsidRPr="008651D1">
        <w:rPr>
          <w:lang w:val="fr-FR"/>
        </w:rPr>
        <w:t> </w:t>
      </w:r>
      <w:r w:rsidRPr="008651D1">
        <w:rPr>
          <w:lang w:val="fr-FR"/>
        </w:rPr>
        <w:t>II suit]</w:t>
      </w:r>
    </w:p>
    <w:p w:rsidR="0088336D" w:rsidRPr="008651D1" w:rsidRDefault="0088336D" w:rsidP="008651D1">
      <w:pPr>
        <w:ind w:right="369"/>
        <w:jc w:val="right"/>
        <w:rPr>
          <w:lang w:val="fr-FR"/>
        </w:rPr>
        <w:sectPr w:rsidR="0088336D" w:rsidRPr="008651D1" w:rsidSect="003423DF">
          <w:headerReference w:type="first" r:id="rId15"/>
          <w:footerReference w:type="first" r:id="rId16"/>
          <w:pgSz w:w="11907" w:h="16840" w:code="9"/>
          <w:pgMar w:top="510" w:right="1134" w:bottom="1134" w:left="1134" w:header="510" w:footer="680" w:gutter="0"/>
          <w:cols w:space="720"/>
          <w:titlePg/>
          <w:docGrid w:linePitch="272"/>
        </w:sectPr>
      </w:pPr>
    </w:p>
    <w:p w:rsidR="00DF61EE" w:rsidRPr="008651D1" w:rsidRDefault="00DF61EE" w:rsidP="008651D1">
      <w:pPr>
        <w:ind w:right="369"/>
        <w:jc w:val="left"/>
        <w:rPr>
          <w:lang w:val="fr-FR"/>
        </w:rPr>
      </w:pPr>
    </w:p>
    <w:p w:rsidR="00DF61EE" w:rsidRPr="008651D1" w:rsidRDefault="00A929F5" w:rsidP="008651D1">
      <w:pPr>
        <w:jc w:val="center"/>
        <w:rPr>
          <w:lang w:val="fr-FR" w:eastAsia="ja-JP"/>
        </w:rPr>
      </w:pPr>
      <w:r w:rsidRPr="008651D1">
        <w:rPr>
          <w:lang w:val="fr-FR" w:eastAsia="ja-JP"/>
        </w:rPr>
        <w:t>DÉBAT SUR LES TECHNIQUES MOLÉCULAIRES</w:t>
      </w:r>
      <w:r w:rsidR="0088336D" w:rsidRPr="008651D1">
        <w:rPr>
          <w:lang w:val="fr-FR" w:eastAsia="ja-JP"/>
        </w:rPr>
        <w:t xml:space="preserve"> </w:t>
      </w:r>
      <w:r w:rsidR="00891326" w:rsidRPr="008651D1">
        <w:rPr>
          <w:lang w:val="fr-FR" w:eastAsia="ja-JP"/>
        </w:rPr>
        <w:br/>
      </w:r>
      <w:r w:rsidRPr="008651D1">
        <w:rPr>
          <w:lang w:val="fr-FR" w:eastAsia="ja-JP"/>
        </w:rPr>
        <w:t>À LA CINQUANT</w:t>
      </w:r>
      <w:r w:rsidR="006764DF">
        <w:rPr>
          <w:lang w:val="fr-FR" w:eastAsia="ja-JP"/>
        </w:rPr>
        <w:t>E ET UN</w:t>
      </w:r>
      <w:r w:rsidRPr="008651D1">
        <w:rPr>
          <w:lang w:val="fr-FR" w:eastAsia="ja-JP"/>
        </w:rPr>
        <w:t>IÈME SESSION DU COMITÉ TECHNIQUE</w:t>
      </w:r>
      <w:r w:rsidR="00891326" w:rsidRPr="008651D1">
        <w:rPr>
          <w:lang w:val="fr-FR" w:eastAsia="ja-JP"/>
        </w:rPr>
        <w:t xml:space="preserve"> (</w:t>
      </w:r>
      <w:r w:rsidRPr="008651D1">
        <w:rPr>
          <w:lang w:val="fr-FR" w:eastAsia="ja-JP"/>
        </w:rPr>
        <w:t>24 MARS</w:t>
      </w:r>
      <w:r w:rsidR="00891326" w:rsidRPr="008651D1">
        <w:rPr>
          <w:lang w:val="fr-FR" w:eastAsia="ja-JP"/>
        </w:rPr>
        <w:t>)</w:t>
      </w:r>
    </w:p>
    <w:p w:rsidR="00DF61EE" w:rsidRPr="008651D1" w:rsidRDefault="00DF61EE" w:rsidP="008651D1">
      <w:pPr>
        <w:jc w:val="center"/>
        <w:rPr>
          <w:lang w:val="fr-FR" w:eastAsia="ja-JP"/>
        </w:rPr>
      </w:pPr>
    </w:p>
    <w:p w:rsidR="00DF61EE" w:rsidRPr="008651D1" w:rsidRDefault="0023266C" w:rsidP="008651D1">
      <w:pPr>
        <w:jc w:val="center"/>
        <w:rPr>
          <w:lang w:val="fr-FR"/>
        </w:rPr>
      </w:pPr>
      <w:r w:rsidRPr="008651D1">
        <w:rPr>
          <w:lang w:val="fr-FR"/>
        </w:rPr>
        <w:t>PROJET DE PROGRAMME</w:t>
      </w:r>
    </w:p>
    <w:p w:rsidR="00DF61EE" w:rsidRPr="008651D1" w:rsidRDefault="00DF61EE" w:rsidP="008651D1">
      <w:pPr>
        <w:ind w:right="369"/>
        <w:jc w:val="left"/>
        <w:rPr>
          <w:lang w:val="fr-FR"/>
        </w:rPr>
      </w:pPr>
    </w:p>
    <w:p w:rsidR="00DF61EE" w:rsidRPr="008651D1" w:rsidRDefault="00A929F5" w:rsidP="008651D1">
      <w:pPr>
        <w:ind w:right="369"/>
        <w:jc w:val="left"/>
        <w:rPr>
          <w:u w:val="single"/>
          <w:lang w:val="fr-FR"/>
        </w:rPr>
      </w:pPr>
      <w:r w:rsidRPr="008651D1">
        <w:rPr>
          <w:u w:val="single"/>
          <w:lang w:val="fr-FR"/>
        </w:rPr>
        <w:t>Temps forts de la quatorzième</w:t>
      </w:r>
      <w:r w:rsidR="00DE6D2B" w:rsidRPr="008651D1">
        <w:rPr>
          <w:u w:val="single"/>
          <w:lang w:val="fr-FR"/>
        </w:rPr>
        <w:t> </w:t>
      </w:r>
      <w:r w:rsidRPr="008651D1">
        <w:rPr>
          <w:u w:val="single"/>
          <w:lang w:val="fr-FR"/>
        </w:rPr>
        <w:t>session</w:t>
      </w:r>
      <w:r w:rsidR="00C72A57" w:rsidRPr="008651D1">
        <w:rPr>
          <w:u w:val="single"/>
          <w:lang w:val="fr-FR"/>
        </w:rPr>
        <w:t xml:space="preserve"> du BMT</w:t>
      </w:r>
    </w:p>
    <w:p w:rsidR="00DF61EE" w:rsidRPr="008651D1" w:rsidRDefault="00DF61EE" w:rsidP="008651D1">
      <w:pPr>
        <w:ind w:right="369"/>
        <w:jc w:val="left"/>
        <w:rPr>
          <w:lang w:val="fr-FR"/>
        </w:rPr>
      </w:pPr>
    </w:p>
    <w:p w:rsidR="00DF61EE" w:rsidRPr="008651D1" w:rsidRDefault="0023266C" w:rsidP="008651D1">
      <w:pPr>
        <w:ind w:left="810" w:hanging="810"/>
        <w:rPr>
          <w:lang w:val="fr-FR"/>
        </w:rPr>
      </w:pPr>
      <w:r w:rsidRPr="008651D1">
        <w:rPr>
          <w:lang w:val="fr-FR"/>
        </w:rPr>
        <w:t xml:space="preserve">11 h </w:t>
      </w:r>
      <w:r w:rsidR="001175FD" w:rsidRPr="008651D1">
        <w:rPr>
          <w:lang w:val="fr-FR"/>
        </w:rPr>
        <w:t>15</w:t>
      </w:r>
      <w:r w:rsidR="00817E85" w:rsidRPr="008651D1">
        <w:rPr>
          <w:lang w:val="fr-FR"/>
        </w:rPr>
        <w:tab/>
      </w:r>
      <w:r w:rsidR="00122FA7" w:rsidRPr="008651D1">
        <w:rPr>
          <w:lang w:val="fr-FR"/>
        </w:rPr>
        <w:t>Comptes rendus des faits nouveaux survenus au sein de l</w:t>
      </w:r>
      <w:r w:rsidR="00016C98" w:rsidRPr="008651D1">
        <w:rPr>
          <w:lang w:val="fr-FR"/>
        </w:rPr>
        <w:t>’</w:t>
      </w:r>
      <w:r w:rsidR="00122FA7" w:rsidRPr="008651D1">
        <w:rPr>
          <w:lang w:val="fr-FR"/>
        </w:rPr>
        <w:t>UPOV et concernant les techniques biochimiques et moléculaires (Bureau de l</w:t>
      </w:r>
      <w:r w:rsidR="00016C98" w:rsidRPr="008651D1">
        <w:rPr>
          <w:lang w:val="fr-FR"/>
        </w:rPr>
        <w:t>’</w:t>
      </w:r>
      <w:r w:rsidR="00122FA7" w:rsidRPr="008651D1">
        <w:rPr>
          <w:lang w:val="fr-FR"/>
        </w:rPr>
        <w:t xml:space="preserve">Union, voir également le document BMT/14/2 </w:t>
      </w:r>
      <w:proofErr w:type="spellStart"/>
      <w:r w:rsidR="00122FA7" w:rsidRPr="008651D1">
        <w:rPr>
          <w:lang w:val="fr-FR"/>
        </w:rPr>
        <w:t>Rev2</w:t>
      </w:r>
      <w:proofErr w:type="spellEnd"/>
      <w:r w:rsidR="00122FA7" w:rsidRPr="008651D1">
        <w:rPr>
          <w:lang w:val="fr-FR"/>
        </w:rPr>
        <w:t>.)</w:t>
      </w:r>
    </w:p>
    <w:p w:rsidR="00DF61EE" w:rsidRPr="008651D1" w:rsidRDefault="00DF61EE" w:rsidP="008651D1">
      <w:pPr>
        <w:ind w:left="810" w:hanging="810"/>
        <w:rPr>
          <w:lang w:val="fr-FR"/>
        </w:rPr>
      </w:pPr>
    </w:p>
    <w:p w:rsidR="00DF61EE" w:rsidRPr="008651D1" w:rsidRDefault="00394AF7" w:rsidP="008651D1">
      <w:pPr>
        <w:ind w:left="810" w:hanging="810"/>
        <w:rPr>
          <w:lang w:val="fr-FR"/>
        </w:rPr>
      </w:pPr>
      <w:r>
        <w:rPr>
          <w:lang w:val="fr-FR"/>
        </w:rPr>
        <w:t>11</w:t>
      </w:r>
      <w:r w:rsidR="0023266C" w:rsidRPr="008651D1">
        <w:rPr>
          <w:lang w:val="fr-FR"/>
        </w:rPr>
        <w:t xml:space="preserve"> h </w:t>
      </w:r>
      <w:r>
        <w:rPr>
          <w:lang w:val="fr-FR"/>
        </w:rPr>
        <w:t>3</w:t>
      </w:r>
      <w:r w:rsidR="001175FD" w:rsidRPr="008651D1">
        <w:rPr>
          <w:lang w:val="fr-FR"/>
        </w:rPr>
        <w:t>0</w:t>
      </w:r>
      <w:r w:rsidR="001175FD" w:rsidRPr="008651D1">
        <w:rPr>
          <w:lang w:val="fr-FR"/>
        </w:rPr>
        <w:tab/>
      </w:r>
      <w:r w:rsidR="00122FA7" w:rsidRPr="008651D1">
        <w:rPr>
          <w:lang w:val="fr-FR"/>
        </w:rPr>
        <w:t>Utilisation de techniques faisant intervenir des marqueurs moléculaires aux fins de la sélection d</w:t>
      </w:r>
      <w:r w:rsidR="00016C98" w:rsidRPr="008651D1">
        <w:rPr>
          <w:lang w:val="fr-FR"/>
        </w:rPr>
        <w:t>’</w:t>
      </w:r>
      <w:r w:rsidR="00122FA7" w:rsidRPr="008651D1">
        <w:rPr>
          <w:lang w:val="fr-FR"/>
        </w:rPr>
        <w:t xml:space="preserve">une </w:t>
      </w:r>
      <w:r w:rsidR="00231AAC" w:rsidRPr="008651D1">
        <w:rPr>
          <w:lang w:val="fr-FR"/>
        </w:rPr>
        <w:t>“</w:t>
      </w:r>
      <w:r w:rsidR="00122FA7" w:rsidRPr="008651D1">
        <w:rPr>
          <w:lang w:val="fr-FR"/>
        </w:rPr>
        <w:t>variété voisine</w:t>
      </w:r>
      <w:r w:rsidR="00231AAC" w:rsidRPr="008651D1">
        <w:rPr>
          <w:lang w:val="fr-FR"/>
        </w:rPr>
        <w:t>”</w:t>
      </w:r>
      <w:r w:rsidR="00122FA7" w:rsidRPr="008651D1">
        <w:rPr>
          <w:lang w:val="fr-FR"/>
        </w:rPr>
        <w:t xml:space="preserve"> d</w:t>
      </w:r>
      <w:r w:rsidR="00016C98" w:rsidRPr="008651D1">
        <w:rPr>
          <w:lang w:val="fr-FR"/>
        </w:rPr>
        <w:t>’</w:t>
      </w:r>
      <w:r w:rsidR="00122FA7" w:rsidRPr="008651D1">
        <w:rPr>
          <w:lang w:val="fr-FR"/>
        </w:rPr>
        <w:t xml:space="preserve">une </w:t>
      </w:r>
      <w:r w:rsidR="00231AAC" w:rsidRPr="008651D1">
        <w:rPr>
          <w:rFonts w:cs="Arial"/>
          <w:lang w:val="fr-FR"/>
        </w:rPr>
        <w:t>“</w:t>
      </w:r>
      <w:r w:rsidR="00122FA7" w:rsidRPr="008651D1">
        <w:rPr>
          <w:lang w:val="fr-FR"/>
        </w:rPr>
        <w:t>variété candidate</w:t>
      </w:r>
      <w:r w:rsidR="00231AAC" w:rsidRPr="008651D1">
        <w:rPr>
          <w:lang w:val="fr-FR"/>
        </w:rPr>
        <w:t>”</w:t>
      </w:r>
    </w:p>
    <w:p w:rsidR="00DF61EE" w:rsidRPr="008651D1" w:rsidRDefault="00DF61EE" w:rsidP="008651D1">
      <w:pPr>
        <w:ind w:left="810" w:hanging="810"/>
        <w:rPr>
          <w:lang w:val="fr-FR"/>
        </w:rPr>
      </w:pPr>
    </w:p>
    <w:p w:rsidR="00DF61EE" w:rsidRPr="008651D1" w:rsidRDefault="00817E85" w:rsidP="008651D1">
      <w:pPr>
        <w:ind w:left="810" w:hanging="810"/>
        <w:rPr>
          <w:rFonts w:cs="Arial"/>
          <w:lang w:val="fr-FR"/>
        </w:rPr>
      </w:pPr>
      <w:r w:rsidRPr="008651D1">
        <w:rPr>
          <w:lang w:val="fr-FR"/>
        </w:rPr>
        <w:t>1</w:t>
      </w:r>
      <w:r w:rsidR="001175FD" w:rsidRPr="008651D1">
        <w:rPr>
          <w:lang w:val="fr-FR"/>
        </w:rPr>
        <w:t>2</w:t>
      </w:r>
      <w:r w:rsidR="0023266C" w:rsidRPr="008651D1">
        <w:rPr>
          <w:lang w:val="fr-FR"/>
        </w:rPr>
        <w:t xml:space="preserve"> h </w:t>
      </w:r>
      <w:r w:rsidR="00394AF7">
        <w:rPr>
          <w:lang w:val="fr-FR"/>
        </w:rPr>
        <w:t>0</w:t>
      </w:r>
      <w:r w:rsidRPr="008651D1">
        <w:rPr>
          <w:lang w:val="fr-FR"/>
        </w:rPr>
        <w:t>0</w:t>
      </w:r>
      <w:r w:rsidRPr="008651D1">
        <w:rPr>
          <w:lang w:val="fr-FR"/>
        </w:rPr>
        <w:tab/>
      </w:r>
      <w:r w:rsidR="00231AAC" w:rsidRPr="008651D1">
        <w:rPr>
          <w:lang w:val="fr-FR"/>
        </w:rPr>
        <w:t>Utilisation</w:t>
      </w:r>
      <w:r w:rsidR="00122FA7" w:rsidRPr="008651D1">
        <w:rPr>
          <w:lang w:val="fr-FR"/>
        </w:rPr>
        <w:t xml:space="preserve"> de variétés de référence pour l</w:t>
      </w:r>
      <w:r w:rsidR="00016C98" w:rsidRPr="008651D1">
        <w:rPr>
          <w:lang w:val="fr-FR"/>
        </w:rPr>
        <w:t>’</w:t>
      </w:r>
      <w:r w:rsidR="00122FA7" w:rsidRPr="008651D1">
        <w:rPr>
          <w:lang w:val="fr-FR"/>
        </w:rPr>
        <w:t>examen de la distinction de variétés</w:t>
      </w:r>
      <w:r w:rsidR="00DE6D2B" w:rsidRPr="008651D1">
        <w:rPr>
          <w:lang w:val="fr-FR"/>
        </w:rPr>
        <w:t> </w:t>
      </w:r>
      <w:r w:rsidR="00122FA7" w:rsidRPr="008651D1">
        <w:rPr>
          <w:lang w:val="fr-FR"/>
        </w:rPr>
        <w:t>: méthode étudiée aux États</w:t>
      </w:r>
      <w:r w:rsidR="00DC14F9" w:rsidRPr="008651D1">
        <w:rPr>
          <w:lang w:val="fr-FR"/>
        </w:rPr>
        <w:noBreakHyphen/>
      </w:r>
      <w:r w:rsidR="00DC14F9" w:rsidRPr="008651D1">
        <w:rPr>
          <w:lang w:val="fr-FR"/>
        </w:rPr>
        <w:noBreakHyphen/>
      </w:r>
      <w:r w:rsidR="00122FA7" w:rsidRPr="008651D1">
        <w:rPr>
          <w:lang w:val="fr-FR"/>
        </w:rPr>
        <w:t>Unis d</w:t>
      </w:r>
      <w:r w:rsidR="00016C98" w:rsidRPr="008651D1">
        <w:rPr>
          <w:lang w:val="fr-FR"/>
        </w:rPr>
        <w:t>’</w:t>
      </w:r>
      <w:r w:rsidR="00122FA7" w:rsidRPr="008651D1">
        <w:rPr>
          <w:lang w:val="fr-FR"/>
        </w:rPr>
        <w:t>Amérique potentiellement applicable à la protection des obtentions végétales</w:t>
      </w:r>
    </w:p>
    <w:p w:rsidR="00DF61EE" w:rsidRPr="008651D1" w:rsidRDefault="00DF61EE" w:rsidP="008651D1">
      <w:pPr>
        <w:ind w:left="810" w:hanging="810"/>
        <w:rPr>
          <w:lang w:val="fr-FR"/>
        </w:rPr>
      </w:pPr>
    </w:p>
    <w:p w:rsidR="00DF61EE" w:rsidRPr="008651D1" w:rsidRDefault="0023266C" w:rsidP="008651D1">
      <w:pPr>
        <w:ind w:left="810" w:hanging="810"/>
        <w:rPr>
          <w:i/>
          <w:lang w:val="fr-FR"/>
        </w:rPr>
      </w:pPr>
      <w:r w:rsidRPr="008651D1">
        <w:rPr>
          <w:i/>
          <w:lang w:val="fr-FR"/>
        </w:rPr>
        <w:t xml:space="preserve">12 h </w:t>
      </w:r>
      <w:r w:rsidR="006635A8" w:rsidRPr="008651D1">
        <w:rPr>
          <w:i/>
          <w:lang w:val="fr-FR"/>
        </w:rPr>
        <w:t xml:space="preserve">30 </w:t>
      </w:r>
      <w:r w:rsidR="006635A8" w:rsidRPr="008651D1">
        <w:rPr>
          <w:i/>
          <w:lang w:val="fr-FR"/>
        </w:rPr>
        <w:tab/>
      </w:r>
      <w:r w:rsidR="00A929F5" w:rsidRPr="008651D1">
        <w:rPr>
          <w:i/>
          <w:lang w:val="fr-FR"/>
        </w:rPr>
        <w:t>Pause déjeuner</w:t>
      </w:r>
    </w:p>
    <w:p w:rsidR="00DF61EE" w:rsidRPr="008651D1" w:rsidRDefault="00DF61EE" w:rsidP="008651D1">
      <w:pPr>
        <w:ind w:left="810" w:hanging="810"/>
        <w:rPr>
          <w:lang w:val="fr-FR"/>
        </w:rPr>
      </w:pPr>
    </w:p>
    <w:p w:rsidR="00DF61EE" w:rsidRPr="008651D1" w:rsidRDefault="0023266C" w:rsidP="008651D1">
      <w:pPr>
        <w:ind w:left="810" w:hanging="810"/>
        <w:rPr>
          <w:lang w:val="fr-FR"/>
        </w:rPr>
      </w:pPr>
      <w:r w:rsidRPr="008651D1">
        <w:rPr>
          <w:lang w:val="fr-FR"/>
        </w:rPr>
        <w:t xml:space="preserve">14 h </w:t>
      </w:r>
      <w:r w:rsidR="006635A8" w:rsidRPr="008651D1">
        <w:rPr>
          <w:lang w:val="fr-FR"/>
        </w:rPr>
        <w:t>30</w:t>
      </w:r>
      <w:r w:rsidR="00817E85" w:rsidRPr="008651D1">
        <w:rPr>
          <w:lang w:val="fr-FR"/>
        </w:rPr>
        <w:tab/>
      </w:r>
      <w:r w:rsidR="00122FA7" w:rsidRPr="008651D1">
        <w:rPr>
          <w:lang w:val="fr-FR"/>
        </w:rPr>
        <w:t>Base de données européenne sur la pomme de terre faisant office de système centralisé de collecte de données sur les variétés notoirement connues</w:t>
      </w:r>
    </w:p>
    <w:p w:rsidR="00DF61EE" w:rsidRPr="008651D1" w:rsidRDefault="00DF61EE" w:rsidP="008651D1">
      <w:pPr>
        <w:ind w:left="810" w:hanging="810"/>
        <w:rPr>
          <w:lang w:val="fr-FR"/>
        </w:rPr>
      </w:pPr>
    </w:p>
    <w:p w:rsidR="00DF61EE" w:rsidRPr="008651D1" w:rsidRDefault="006E0B74" w:rsidP="008651D1">
      <w:pPr>
        <w:ind w:left="810" w:hanging="810"/>
        <w:rPr>
          <w:lang w:val="fr-FR"/>
        </w:rPr>
      </w:pPr>
      <w:r w:rsidRPr="008651D1">
        <w:rPr>
          <w:lang w:val="fr-FR"/>
        </w:rPr>
        <w:t>1</w:t>
      </w:r>
      <w:r w:rsidR="006635A8" w:rsidRPr="008651D1">
        <w:rPr>
          <w:lang w:val="fr-FR"/>
        </w:rPr>
        <w:t>4</w:t>
      </w:r>
      <w:r w:rsidR="0023266C" w:rsidRPr="008651D1">
        <w:rPr>
          <w:lang w:val="fr-FR"/>
        </w:rPr>
        <w:t xml:space="preserve"> h </w:t>
      </w:r>
      <w:r w:rsidR="006635A8" w:rsidRPr="008651D1">
        <w:rPr>
          <w:lang w:val="fr-FR"/>
        </w:rPr>
        <w:t>5</w:t>
      </w:r>
      <w:r w:rsidR="00817E85" w:rsidRPr="008651D1">
        <w:rPr>
          <w:lang w:val="fr-FR"/>
        </w:rPr>
        <w:t>0</w:t>
      </w:r>
      <w:r w:rsidR="00817E85" w:rsidRPr="008651D1">
        <w:rPr>
          <w:lang w:val="fr-FR"/>
        </w:rPr>
        <w:tab/>
      </w:r>
      <w:r w:rsidR="00122FA7" w:rsidRPr="008651D1">
        <w:rPr>
          <w:lang w:val="fr-FR"/>
        </w:rPr>
        <w:t>Mise au point de marqueurs EST</w:t>
      </w:r>
      <w:r w:rsidR="00DC14F9" w:rsidRPr="008651D1">
        <w:rPr>
          <w:lang w:val="fr-FR"/>
        </w:rPr>
        <w:noBreakHyphen/>
      </w:r>
      <w:r w:rsidR="00122FA7" w:rsidRPr="008651D1">
        <w:rPr>
          <w:lang w:val="fr-FR"/>
        </w:rPr>
        <w:t>SSR chez la laitue et identification de variétés au moyen de ces marqueurs</w:t>
      </w:r>
    </w:p>
    <w:p w:rsidR="00DF61EE" w:rsidRPr="008651D1" w:rsidRDefault="00DF61EE" w:rsidP="008651D1">
      <w:pPr>
        <w:ind w:left="810" w:hanging="810"/>
        <w:rPr>
          <w:lang w:val="fr-FR"/>
        </w:rPr>
      </w:pPr>
    </w:p>
    <w:p w:rsidR="00DF61EE" w:rsidRPr="008651D1" w:rsidRDefault="0023266C" w:rsidP="008651D1">
      <w:pPr>
        <w:ind w:left="810" w:hanging="810"/>
        <w:rPr>
          <w:lang w:val="fr-FR"/>
        </w:rPr>
      </w:pPr>
      <w:r w:rsidRPr="008651D1">
        <w:rPr>
          <w:lang w:val="fr-FR"/>
        </w:rPr>
        <w:t xml:space="preserve">15 h </w:t>
      </w:r>
      <w:r w:rsidR="001175FD" w:rsidRPr="008651D1">
        <w:rPr>
          <w:lang w:val="fr-FR"/>
        </w:rPr>
        <w:t>1</w:t>
      </w:r>
      <w:r w:rsidR="006E0B74" w:rsidRPr="008651D1">
        <w:rPr>
          <w:lang w:val="fr-FR"/>
        </w:rPr>
        <w:t>0</w:t>
      </w:r>
      <w:r w:rsidR="006E0B74" w:rsidRPr="008651D1">
        <w:rPr>
          <w:lang w:val="fr-FR"/>
        </w:rPr>
        <w:tab/>
      </w:r>
      <w:r w:rsidR="00122FA7" w:rsidRPr="008651D1">
        <w:rPr>
          <w:lang w:val="fr-FR"/>
        </w:rPr>
        <w:t>Propriété et utilisation d</w:t>
      </w:r>
      <w:r w:rsidR="00016C98" w:rsidRPr="008651D1">
        <w:rPr>
          <w:lang w:val="fr-FR"/>
        </w:rPr>
        <w:t>’</w:t>
      </w:r>
      <w:r w:rsidR="00122FA7" w:rsidRPr="008651D1">
        <w:rPr>
          <w:lang w:val="fr-FR"/>
        </w:rPr>
        <w:t>échantillons utilisés dans un examen</w:t>
      </w:r>
      <w:r w:rsidR="00DE6D2B" w:rsidRPr="008651D1">
        <w:rPr>
          <w:lang w:val="fr-FR"/>
        </w:rPr>
        <w:t> </w:t>
      </w:r>
      <w:r w:rsidR="00122FA7" w:rsidRPr="008651D1">
        <w:rPr>
          <w:lang w:val="fr-FR"/>
        </w:rPr>
        <w:t>DHS, de l</w:t>
      </w:r>
      <w:r w:rsidR="00016C98" w:rsidRPr="008651D1">
        <w:rPr>
          <w:lang w:val="fr-FR"/>
        </w:rPr>
        <w:t>’</w:t>
      </w:r>
      <w:r w:rsidR="00122FA7" w:rsidRPr="008651D1">
        <w:rPr>
          <w:lang w:val="fr-FR"/>
        </w:rPr>
        <w:t>ADN et des données relatives à l</w:t>
      </w:r>
      <w:r w:rsidR="00016C98" w:rsidRPr="008651D1">
        <w:rPr>
          <w:lang w:val="fr-FR"/>
        </w:rPr>
        <w:t>’</w:t>
      </w:r>
      <w:r w:rsidR="00122FA7" w:rsidRPr="008651D1">
        <w:rPr>
          <w:lang w:val="fr-FR"/>
        </w:rPr>
        <w:t>ADN pendant et après un examen</w:t>
      </w:r>
      <w:r w:rsidR="00DE6D2B" w:rsidRPr="008651D1">
        <w:rPr>
          <w:lang w:val="fr-FR"/>
        </w:rPr>
        <w:t> </w:t>
      </w:r>
      <w:r w:rsidR="00122FA7" w:rsidRPr="008651D1">
        <w:rPr>
          <w:lang w:val="fr-FR"/>
        </w:rPr>
        <w:t>DHS</w:t>
      </w:r>
    </w:p>
    <w:p w:rsidR="00DF61EE" w:rsidRPr="008651D1" w:rsidRDefault="00DF61EE" w:rsidP="008651D1">
      <w:pPr>
        <w:ind w:left="810" w:hanging="810"/>
        <w:rPr>
          <w:rFonts w:cs="Arial"/>
          <w:lang w:val="fr-FR"/>
        </w:rPr>
      </w:pPr>
    </w:p>
    <w:p w:rsidR="00DF61EE" w:rsidRPr="008651D1" w:rsidRDefault="00DF61EE" w:rsidP="008651D1">
      <w:pPr>
        <w:ind w:left="810" w:hanging="810"/>
        <w:rPr>
          <w:rFonts w:cs="Arial"/>
          <w:lang w:val="fr-FR"/>
        </w:rPr>
      </w:pPr>
    </w:p>
    <w:p w:rsidR="00DF61EE" w:rsidRPr="008651D1" w:rsidRDefault="0023266C" w:rsidP="008651D1">
      <w:pPr>
        <w:ind w:left="810" w:hanging="810"/>
        <w:rPr>
          <w:rFonts w:cs="Arial"/>
          <w:u w:val="single"/>
          <w:lang w:val="fr-FR"/>
        </w:rPr>
      </w:pPr>
      <w:r w:rsidRPr="008651D1">
        <w:rPr>
          <w:rFonts w:cs="Arial"/>
          <w:u w:val="single"/>
          <w:lang w:val="fr-FR"/>
        </w:rPr>
        <w:t xml:space="preserve">ATELIER CONJOINT </w:t>
      </w:r>
      <w:r w:rsidR="00122FA7" w:rsidRPr="008651D1">
        <w:rPr>
          <w:rFonts w:cs="Arial"/>
          <w:u w:val="single"/>
          <w:lang w:val="fr-FR"/>
        </w:rPr>
        <w:t>DE L</w:t>
      </w:r>
      <w:r w:rsidR="00016C98" w:rsidRPr="008651D1">
        <w:rPr>
          <w:rFonts w:cs="Arial"/>
          <w:u w:val="single"/>
          <w:lang w:val="fr-FR"/>
        </w:rPr>
        <w:t>’</w:t>
      </w:r>
      <w:r w:rsidR="00122FA7" w:rsidRPr="008651D1">
        <w:rPr>
          <w:rFonts w:cs="Arial"/>
          <w:u w:val="single"/>
          <w:lang w:val="fr-FR"/>
        </w:rPr>
        <w:t>OCDE, DE L</w:t>
      </w:r>
      <w:r w:rsidR="00016C98" w:rsidRPr="008651D1">
        <w:rPr>
          <w:rFonts w:cs="Arial"/>
          <w:u w:val="single"/>
          <w:lang w:val="fr-FR"/>
        </w:rPr>
        <w:t>’</w:t>
      </w:r>
      <w:r w:rsidRPr="008651D1">
        <w:rPr>
          <w:rFonts w:cs="Arial"/>
          <w:u w:val="single"/>
          <w:lang w:val="fr-FR"/>
        </w:rPr>
        <w:t>UPOV</w:t>
      </w:r>
      <w:r w:rsidR="00122FA7" w:rsidRPr="008651D1">
        <w:rPr>
          <w:rFonts w:cs="Arial"/>
          <w:u w:val="single"/>
          <w:lang w:val="fr-FR"/>
        </w:rPr>
        <w:t xml:space="preserve"> ET DE L</w:t>
      </w:r>
      <w:r w:rsidR="00016C98" w:rsidRPr="008651D1">
        <w:rPr>
          <w:rFonts w:cs="Arial"/>
          <w:u w:val="single"/>
          <w:lang w:val="fr-FR"/>
        </w:rPr>
        <w:t>’</w:t>
      </w:r>
      <w:r w:rsidRPr="008651D1">
        <w:rPr>
          <w:rFonts w:cs="Arial"/>
          <w:u w:val="single"/>
          <w:lang w:val="fr-FR"/>
        </w:rPr>
        <w:t>ISTA SUR LES TECHNIQUES MOLÉCULAIRES</w:t>
      </w:r>
    </w:p>
    <w:p w:rsidR="00DF61EE" w:rsidRPr="008651D1" w:rsidRDefault="00DF61EE" w:rsidP="008651D1">
      <w:pPr>
        <w:ind w:left="810" w:hanging="810"/>
        <w:rPr>
          <w:rFonts w:cs="Arial"/>
          <w:lang w:val="fr-FR"/>
        </w:rPr>
      </w:pPr>
    </w:p>
    <w:p w:rsidR="00DF61EE" w:rsidRPr="008651D1" w:rsidRDefault="006E0B74" w:rsidP="008651D1">
      <w:pPr>
        <w:ind w:left="810" w:hanging="810"/>
        <w:rPr>
          <w:lang w:val="fr-FR"/>
        </w:rPr>
      </w:pPr>
      <w:r w:rsidRPr="008651D1">
        <w:rPr>
          <w:lang w:val="fr-FR"/>
        </w:rPr>
        <w:t>1</w:t>
      </w:r>
      <w:r w:rsidR="006635A8" w:rsidRPr="008651D1">
        <w:rPr>
          <w:lang w:val="fr-FR"/>
        </w:rPr>
        <w:t>5</w:t>
      </w:r>
      <w:r w:rsidR="0023266C" w:rsidRPr="008651D1">
        <w:rPr>
          <w:lang w:val="fr-FR"/>
        </w:rPr>
        <w:t xml:space="preserve"> h </w:t>
      </w:r>
      <w:r w:rsidR="001175FD" w:rsidRPr="008651D1">
        <w:rPr>
          <w:lang w:val="fr-FR"/>
        </w:rPr>
        <w:t>3</w:t>
      </w:r>
      <w:r w:rsidRPr="008651D1">
        <w:rPr>
          <w:lang w:val="fr-FR"/>
        </w:rPr>
        <w:t>0</w:t>
      </w:r>
      <w:r w:rsidRPr="008651D1">
        <w:rPr>
          <w:lang w:val="fr-FR"/>
        </w:rPr>
        <w:tab/>
      </w:r>
      <w:r w:rsidR="00122FA7" w:rsidRPr="008651D1">
        <w:rPr>
          <w:lang w:val="fr-FR"/>
        </w:rPr>
        <w:t>Possibilités de coopération entre l</w:t>
      </w:r>
      <w:r w:rsidR="00016C98" w:rsidRPr="008651D1">
        <w:rPr>
          <w:lang w:val="fr-FR"/>
        </w:rPr>
        <w:t>’</w:t>
      </w:r>
      <w:r w:rsidR="00122FA7" w:rsidRPr="008651D1">
        <w:rPr>
          <w:lang w:val="fr-FR"/>
        </w:rPr>
        <w:t>OCDE, l</w:t>
      </w:r>
      <w:r w:rsidR="00016C98" w:rsidRPr="008651D1">
        <w:rPr>
          <w:lang w:val="fr-FR"/>
        </w:rPr>
        <w:t>’</w:t>
      </w:r>
      <w:r w:rsidR="00122FA7" w:rsidRPr="008651D1">
        <w:rPr>
          <w:lang w:val="fr-FR"/>
        </w:rPr>
        <w:t>UPOV, l</w:t>
      </w:r>
      <w:r w:rsidR="00016C98" w:rsidRPr="008651D1">
        <w:rPr>
          <w:lang w:val="fr-FR"/>
        </w:rPr>
        <w:t>’</w:t>
      </w:r>
      <w:r w:rsidR="00122FA7" w:rsidRPr="008651D1">
        <w:rPr>
          <w:lang w:val="fr-FR"/>
        </w:rPr>
        <w:t>ISO et l</w:t>
      </w:r>
      <w:r w:rsidR="00016C98" w:rsidRPr="008651D1">
        <w:rPr>
          <w:lang w:val="fr-FR"/>
        </w:rPr>
        <w:t>’</w:t>
      </w:r>
      <w:r w:rsidR="00122FA7" w:rsidRPr="008651D1">
        <w:rPr>
          <w:lang w:val="fr-FR"/>
        </w:rPr>
        <w:t>ISTA concernant les techniques moléculaires</w:t>
      </w:r>
    </w:p>
    <w:p w:rsidR="00DF61EE" w:rsidRPr="008651D1" w:rsidRDefault="00DF61EE" w:rsidP="008651D1">
      <w:pPr>
        <w:ind w:left="810" w:right="369" w:hanging="810"/>
        <w:jc w:val="left"/>
        <w:rPr>
          <w:lang w:val="fr-FR"/>
        </w:rPr>
      </w:pPr>
    </w:p>
    <w:p w:rsidR="00DF61EE" w:rsidRPr="008651D1" w:rsidRDefault="006E0B74" w:rsidP="008651D1">
      <w:pPr>
        <w:ind w:left="810" w:right="369" w:hanging="810"/>
        <w:jc w:val="left"/>
        <w:rPr>
          <w:lang w:val="fr-FR"/>
        </w:rPr>
      </w:pPr>
      <w:r w:rsidRPr="008651D1">
        <w:rPr>
          <w:lang w:val="fr-FR"/>
        </w:rPr>
        <w:t>1</w:t>
      </w:r>
      <w:r w:rsidR="001175FD" w:rsidRPr="008651D1">
        <w:rPr>
          <w:lang w:val="fr-FR"/>
        </w:rPr>
        <w:t>5</w:t>
      </w:r>
      <w:r w:rsidR="0023266C" w:rsidRPr="008651D1">
        <w:rPr>
          <w:lang w:val="fr-FR"/>
        </w:rPr>
        <w:t xml:space="preserve"> h </w:t>
      </w:r>
      <w:r w:rsidR="001175FD" w:rsidRPr="008651D1">
        <w:rPr>
          <w:lang w:val="fr-FR"/>
        </w:rPr>
        <w:t>5</w:t>
      </w:r>
      <w:r w:rsidRPr="008651D1">
        <w:rPr>
          <w:lang w:val="fr-FR"/>
        </w:rPr>
        <w:t>0</w:t>
      </w:r>
      <w:r w:rsidR="0088336D" w:rsidRPr="008651D1">
        <w:rPr>
          <w:lang w:val="fr-FR"/>
        </w:rPr>
        <w:t xml:space="preserve"> </w:t>
      </w:r>
      <w:r w:rsidR="0088336D" w:rsidRPr="008651D1">
        <w:rPr>
          <w:lang w:val="fr-FR"/>
        </w:rPr>
        <w:tab/>
      </w:r>
      <w:r w:rsidR="00122FA7" w:rsidRPr="008651D1">
        <w:rPr>
          <w:lang w:val="fr-FR"/>
        </w:rPr>
        <w:t>Débat général</w:t>
      </w:r>
      <w:r w:rsidR="00A067FE" w:rsidRPr="008651D1">
        <w:rPr>
          <w:lang w:val="fr-FR"/>
        </w:rPr>
        <w:t xml:space="preserve"> </w:t>
      </w:r>
      <w:r w:rsidR="0088336D" w:rsidRPr="008651D1">
        <w:rPr>
          <w:lang w:val="fr-FR"/>
        </w:rPr>
        <w:t>(</w:t>
      </w:r>
      <w:r w:rsidR="006635A8" w:rsidRPr="008651D1">
        <w:rPr>
          <w:lang w:val="fr-FR"/>
        </w:rPr>
        <w:t>2</w:t>
      </w:r>
      <w:r w:rsidR="001175FD" w:rsidRPr="008651D1">
        <w:rPr>
          <w:lang w:val="fr-FR"/>
        </w:rPr>
        <w:t xml:space="preserve">5 </w:t>
      </w:r>
      <w:r w:rsidR="0088336D" w:rsidRPr="008651D1">
        <w:rPr>
          <w:lang w:val="fr-FR"/>
        </w:rPr>
        <w:t>minutes)</w:t>
      </w:r>
    </w:p>
    <w:p w:rsidR="00DF61EE" w:rsidRPr="008651D1" w:rsidRDefault="00DF61EE" w:rsidP="008651D1">
      <w:pPr>
        <w:ind w:left="810" w:right="369" w:hanging="810"/>
        <w:jc w:val="left"/>
        <w:rPr>
          <w:lang w:val="fr-FR"/>
        </w:rPr>
      </w:pPr>
    </w:p>
    <w:p w:rsidR="00DF61EE" w:rsidRPr="008651D1" w:rsidRDefault="00DF61EE" w:rsidP="008651D1">
      <w:pPr>
        <w:ind w:left="810" w:right="369" w:hanging="810"/>
        <w:jc w:val="left"/>
        <w:rPr>
          <w:lang w:val="fr-FR"/>
        </w:rPr>
      </w:pPr>
    </w:p>
    <w:p w:rsidR="00DF61EE" w:rsidRPr="008651D1" w:rsidRDefault="00122FA7" w:rsidP="008651D1">
      <w:pPr>
        <w:ind w:left="810" w:right="369" w:hanging="810"/>
        <w:jc w:val="left"/>
        <w:rPr>
          <w:u w:val="single"/>
          <w:lang w:val="fr-FR"/>
        </w:rPr>
      </w:pPr>
      <w:r w:rsidRPr="008651D1">
        <w:rPr>
          <w:u w:val="single"/>
          <w:lang w:val="fr-FR"/>
        </w:rPr>
        <w:t>Point</w:t>
      </w:r>
      <w:r w:rsidR="00DE6D2B" w:rsidRPr="008651D1">
        <w:rPr>
          <w:u w:val="single"/>
          <w:lang w:val="fr-FR"/>
        </w:rPr>
        <w:t> </w:t>
      </w:r>
      <w:r w:rsidRPr="008651D1">
        <w:rPr>
          <w:u w:val="single"/>
          <w:lang w:val="fr-FR"/>
        </w:rPr>
        <w:t>8 de l</w:t>
      </w:r>
      <w:r w:rsidR="00016C98" w:rsidRPr="008651D1">
        <w:rPr>
          <w:u w:val="single"/>
          <w:lang w:val="fr-FR"/>
        </w:rPr>
        <w:t>’</w:t>
      </w:r>
      <w:r w:rsidRPr="008651D1">
        <w:rPr>
          <w:u w:val="single"/>
          <w:lang w:val="fr-FR"/>
        </w:rPr>
        <w:t>ordre du jour du Comité technique,</w:t>
      </w:r>
      <w:r w:rsidR="00231AAC" w:rsidRPr="008651D1">
        <w:rPr>
          <w:u w:val="single"/>
          <w:lang w:val="fr-FR"/>
        </w:rPr>
        <w:t xml:space="preserve"> intitulé</w:t>
      </w:r>
      <w:r w:rsidRPr="008651D1">
        <w:rPr>
          <w:u w:val="single"/>
          <w:lang w:val="fr-FR"/>
        </w:rPr>
        <w:t xml:space="preserve"> </w:t>
      </w:r>
      <w:r w:rsidR="00A067FE" w:rsidRPr="008651D1">
        <w:rPr>
          <w:u w:val="single"/>
          <w:lang w:val="fr-FR"/>
        </w:rPr>
        <w:t>“</w:t>
      </w:r>
      <w:r w:rsidRPr="008651D1">
        <w:rPr>
          <w:u w:val="single"/>
          <w:lang w:val="fr-FR"/>
        </w:rPr>
        <w:t>Techniques moléculaires</w:t>
      </w:r>
      <w:r w:rsidR="00A067FE" w:rsidRPr="008651D1">
        <w:rPr>
          <w:u w:val="single"/>
          <w:lang w:val="fr-FR"/>
        </w:rPr>
        <w:t>”</w:t>
      </w:r>
    </w:p>
    <w:p w:rsidR="00DF61EE" w:rsidRPr="008651D1" w:rsidRDefault="00DF61EE" w:rsidP="008651D1">
      <w:pPr>
        <w:ind w:left="810" w:right="369" w:hanging="810"/>
        <w:jc w:val="left"/>
        <w:rPr>
          <w:lang w:val="fr-FR"/>
        </w:rPr>
      </w:pPr>
    </w:p>
    <w:p w:rsidR="00DF61EE" w:rsidRPr="008651D1" w:rsidRDefault="00A067FE" w:rsidP="008651D1">
      <w:pPr>
        <w:ind w:left="810" w:right="369" w:hanging="810"/>
        <w:jc w:val="left"/>
        <w:rPr>
          <w:lang w:val="fr-FR"/>
        </w:rPr>
      </w:pPr>
      <w:r w:rsidRPr="008651D1">
        <w:rPr>
          <w:lang w:val="fr-FR"/>
        </w:rPr>
        <w:t>1</w:t>
      </w:r>
      <w:r w:rsidR="006635A8" w:rsidRPr="008651D1">
        <w:rPr>
          <w:lang w:val="fr-FR"/>
        </w:rPr>
        <w:t>6</w:t>
      </w:r>
      <w:r w:rsidR="0023266C" w:rsidRPr="008651D1">
        <w:rPr>
          <w:lang w:val="fr-FR"/>
        </w:rPr>
        <w:t xml:space="preserve"> h </w:t>
      </w:r>
      <w:r w:rsidR="001175FD" w:rsidRPr="008651D1">
        <w:rPr>
          <w:lang w:val="fr-FR"/>
        </w:rPr>
        <w:t>15</w:t>
      </w:r>
      <w:r w:rsidRPr="008651D1">
        <w:rPr>
          <w:lang w:val="fr-FR"/>
        </w:rPr>
        <w:tab/>
      </w:r>
      <w:r w:rsidR="00122FA7" w:rsidRPr="008651D1">
        <w:rPr>
          <w:lang w:val="fr-FR"/>
        </w:rPr>
        <w:t>Point</w:t>
      </w:r>
      <w:r w:rsidR="00DE6D2B" w:rsidRPr="008651D1">
        <w:rPr>
          <w:lang w:val="fr-FR"/>
        </w:rPr>
        <w:t> </w:t>
      </w:r>
      <w:r w:rsidR="00122FA7" w:rsidRPr="008651D1">
        <w:rPr>
          <w:lang w:val="fr-FR"/>
        </w:rPr>
        <w:t>8 de l</w:t>
      </w:r>
      <w:r w:rsidR="00016C98" w:rsidRPr="008651D1">
        <w:rPr>
          <w:lang w:val="fr-FR"/>
        </w:rPr>
        <w:t>’</w:t>
      </w:r>
      <w:r w:rsidR="00122FA7" w:rsidRPr="008651D1">
        <w:rPr>
          <w:lang w:val="fr-FR"/>
        </w:rPr>
        <w:t xml:space="preserve">ordre du jour, </w:t>
      </w:r>
      <w:r w:rsidR="00231AAC" w:rsidRPr="008651D1">
        <w:rPr>
          <w:lang w:val="fr-FR"/>
        </w:rPr>
        <w:t xml:space="preserve">intitulé </w:t>
      </w:r>
      <w:r w:rsidRPr="008651D1">
        <w:rPr>
          <w:lang w:val="fr-FR"/>
        </w:rPr>
        <w:t>“</w:t>
      </w:r>
      <w:r w:rsidR="00122FA7" w:rsidRPr="008651D1">
        <w:rPr>
          <w:lang w:val="fr-FR"/>
        </w:rPr>
        <w:t>Techniques moléculaires</w:t>
      </w:r>
      <w:r w:rsidRPr="008651D1">
        <w:rPr>
          <w:lang w:val="fr-FR"/>
        </w:rPr>
        <w:t>”</w:t>
      </w:r>
    </w:p>
    <w:p w:rsidR="00DF61EE" w:rsidRPr="008651D1" w:rsidRDefault="00DF61EE" w:rsidP="008651D1">
      <w:pPr>
        <w:ind w:right="369"/>
        <w:jc w:val="left"/>
        <w:rPr>
          <w:lang w:val="fr-FR"/>
        </w:rPr>
      </w:pPr>
    </w:p>
    <w:p w:rsidR="00DF61EE" w:rsidRPr="008651D1" w:rsidRDefault="00DF61EE" w:rsidP="008651D1">
      <w:pPr>
        <w:ind w:right="369"/>
        <w:jc w:val="left"/>
        <w:rPr>
          <w:lang w:val="fr-FR"/>
        </w:rPr>
      </w:pPr>
    </w:p>
    <w:p w:rsidR="00DF61EE" w:rsidRPr="008651D1" w:rsidRDefault="00DF61EE" w:rsidP="008651D1">
      <w:pPr>
        <w:ind w:right="369"/>
        <w:jc w:val="left"/>
        <w:rPr>
          <w:lang w:val="fr-FR"/>
        </w:rPr>
      </w:pPr>
    </w:p>
    <w:p w:rsidR="00DF61EE" w:rsidRPr="008651D1" w:rsidRDefault="00B33D4E" w:rsidP="008651D1">
      <w:pPr>
        <w:ind w:right="400"/>
        <w:jc w:val="right"/>
        <w:rPr>
          <w:bCs/>
          <w:snapToGrid w:val="0"/>
          <w:lang w:val="fr-FR"/>
        </w:rPr>
      </w:pPr>
      <w:r w:rsidRPr="008651D1">
        <w:rPr>
          <w:bCs/>
          <w:snapToGrid w:val="0"/>
          <w:lang w:val="fr-FR"/>
        </w:rPr>
        <w:t>[Fin de l</w:t>
      </w:r>
      <w:r w:rsidR="00016C98" w:rsidRPr="008651D1">
        <w:rPr>
          <w:bCs/>
          <w:snapToGrid w:val="0"/>
          <w:lang w:val="fr-FR"/>
        </w:rPr>
        <w:t>’</w:t>
      </w:r>
      <w:r w:rsidRPr="008651D1">
        <w:rPr>
          <w:bCs/>
          <w:snapToGrid w:val="0"/>
          <w:lang w:val="fr-FR"/>
        </w:rPr>
        <w:t>annexe</w:t>
      </w:r>
      <w:r w:rsidR="00DE6D2B" w:rsidRPr="008651D1">
        <w:rPr>
          <w:bCs/>
          <w:snapToGrid w:val="0"/>
          <w:lang w:val="fr-FR"/>
        </w:rPr>
        <w:t> </w:t>
      </w:r>
      <w:r w:rsidRPr="008651D1">
        <w:rPr>
          <w:bCs/>
          <w:snapToGrid w:val="0"/>
          <w:lang w:val="fr-FR"/>
        </w:rPr>
        <w:t>II et du document]</w:t>
      </w:r>
    </w:p>
    <w:p w:rsidR="00C72A57" w:rsidRPr="008651D1" w:rsidRDefault="00C72A57" w:rsidP="008651D1">
      <w:pPr>
        <w:jc w:val="right"/>
        <w:rPr>
          <w:snapToGrid w:val="0"/>
          <w:lang w:val="fr-FR"/>
        </w:rPr>
      </w:pPr>
    </w:p>
    <w:p w:rsidR="00DF61EE" w:rsidRPr="008651D1" w:rsidRDefault="00DF61EE" w:rsidP="008651D1">
      <w:pPr>
        <w:jc w:val="right"/>
        <w:rPr>
          <w:lang w:val="fr-FR"/>
        </w:rPr>
      </w:pPr>
    </w:p>
    <w:sectPr w:rsidR="00DF61EE" w:rsidRPr="008651D1" w:rsidSect="003423DF">
      <w:headerReference w:type="first" r:id="rId17"/>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9C" w:rsidRDefault="0075779C" w:rsidP="006655D3">
      <w:r>
        <w:separator/>
      </w:r>
    </w:p>
    <w:p w:rsidR="0075779C" w:rsidRDefault="0075779C" w:rsidP="006655D3"/>
    <w:p w:rsidR="0075779C" w:rsidRDefault="0075779C" w:rsidP="006655D3"/>
  </w:endnote>
  <w:endnote w:type="continuationSeparator" w:id="0">
    <w:p w:rsidR="0075779C" w:rsidRDefault="0075779C" w:rsidP="006655D3">
      <w:r>
        <w:separator/>
      </w:r>
    </w:p>
    <w:p w:rsidR="0075779C" w:rsidRPr="00477345" w:rsidRDefault="0075779C">
      <w:pPr>
        <w:pStyle w:val="Footer"/>
        <w:spacing w:after="60"/>
        <w:rPr>
          <w:sz w:val="18"/>
          <w:lang w:val="fr-FR"/>
        </w:rPr>
      </w:pPr>
      <w:r w:rsidRPr="00477345">
        <w:rPr>
          <w:sz w:val="18"/>
          <w:lang w:val="fr-FR"/>
        </w:rPr>
        <w:t>[Suite de la note de la page précédente]</w:t>
      </w:r>
    </w:p>
    <w:p w:rsidR="0075779C" w:rsidRPr="00477345" w:rsidRDefault="0075779C" w:rsidP="006655D3">
      <w:pPr>
        <w:rPr>
          <w:lang w:val="fr-FR"/>
        </w:rPr>
      </w:pPr>
    </w:p>
    <w:p w:rsidR="0075779C" w:rsidRPr="00477345" w:rsidRDefault="0075779C" w:rsidP="006655D3">
      <w:pPr>
        <w:rPr>
          <w:lang w:val="fr-FR"/>
        </w:rPr>
      </w:pPr>
    </w:p>
  </w:endnote>
  <w:endnote w:type="continuationNotice" w:id="1">
    <w:p w:rsidR="0075779C" w:rsidRPr="00477345" w:rsidRDefault="0075779C" w:rsidP="006655D3">
      <w:pPr>
        <w:rPr>
          <w:lang w:val="fr-FR"/>
        </w:rPr>
      </w:pPr>
      <w:r w:rsidRPr="00477345">
        <w:rPr>
          <w:lang w:val="fr-FR"/>
        </w:rPr>
        <w:t>[Suite de la note page suivante]</w:t>
      </w:r>
    </w:p>
    <w:p w:rsidR="0075779C" w:rsidRPr="00477345" w:rsidRDefault="0075779C" w:rsidP="006655D3">
      <w:pPr>
        <w:rPr>
          <w:lang w:val="fr-FR"/>
        </w:rPr>
      </w:pPr>
    </w:p>
    <w:p w:rsidR="0075779C" w:rsidRPr="00477345" w:rsidRDefault="007577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C" w:rsidRDefault="0075779C">
    <w:pPr>
      <w:pStyle w:val="Footer"/>
    </w:pPr>
  </w:p>
  <w:p w:rsidR="0075779C" w:rsidRDefault="00757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9C" w:rsidRDefault="0075779C" w:rsidP="006655D3">
      <w:r>
        <w:separator/>
      </w:r>
    </w:p>
  </w:footnote>
  <w:footnote w:type="continuationSeparator" w:id="0">
    <w:p w:rsidR="0075779C" w:rsidRDefault="0075779C" w:rsidP="006655D3">
      <w:r>
        <w:separator/>
      </w:r>
    </w:p>
  </w:footnote>
  <w:footnote w:type="continuationNotice" w:id="1">
    <w:p w:rsidR="0075779C" w:rsidRPr="00AB530F" w:rsidRDefault="0075779C" w:rsidP="00AB530F">
      <w:pPr>
        <w:pStyle w:val="Footer"/>
      </w:pPr>
    </w:p>
  </w:footnote>
  <w:footnote w:id="2">
    <w:p w:rsidR="0075779C" w:rsidRPr="00DF61EE" w:rsidRDefault="0075779C">
      <w:pPr>
        <w:pStyle w:val="FootnoteText"/>
        <w:rPr>
          <w:lang w:val="fr-CH"/>
        </w:rPr>
      </w:pPr>
      <w:r>
        <w:rPr>
          <w:rStyle w:val="FootnoteReference"/>
        </w:rPr>
        <w:footnoteRef/>
      </w:r>
      <w:r w:rsidRPr="00394AF7">
        <w:rPr>
          <w:lang w:val="fr-CH"/>
        </w:rPr>
        <w:t xml:space="preserve"> </w:t>
      </w:r>
      <w:r>
        <w:rPr>
          <w:lang w:val="fr-CH"/>
        </w:rPr>
        <w:tab/>
        <w:t>Ces points de l’ordre du jour ont été examinés le mercredi 12 novembre 2014 (“Journée des obtenteurs”).</w:t>
      </w:r>
    </w:p>
  </w:footnote>
  <w:footnote w:id="3">
    <w:p w:rsidR="0075779C" w:rsidRPr="00DF61EE" w:rsidRDefault="0075779C">
      <w:pPr>
        <w:pStyle w:val="FootnoteText"/>
        <w:rPr>
          <w:lang w:val="fr-CH"/>
        </w:rPr>
      </w:pPr>
      <w:r>
        <w:rPr>
          <w:rStyle w:val="FootnoteReference"/>
        </w:rPr>
        <w:footnoteRef/>
      </w:r>
      <w:r>
        <w:t xml:space="preserve"> </w:t>
      </w:r>
      <w:r>
        <w:rPr>
          <w:lang w:val="fr-CH"/>
        </w:rPr>
        <w:tab/>
        <w:t>Journée des obtenteurs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C" w:rsidRPr="00C5280D" w:rsidRDefault="0075779C" w:rsidP="00EB048E">
    <w:pPr>
      <w:pStyle w:val="Header"/>
      <w:rPr>
        <w:rStyle w:val="PageNumber"/>
        <w:lang w:val="en-US" w:eastAsia="ja-JP"/>
      </w:rPr>
    </w:pPr>
    <w:r>
      <w:rPr>
        <w:rStyle w:val="PageNumber"/>
        <w:lang w:val="en-US"/>
      </w:rPr>
      <w:t>TC/5</w:t>
    </w:r>
    <w:r>
      <w:rPr>
        <w:rStyle w:val="PageNumber"/>
        <w:rFonts w:hint="eastAsia"/>
        <w:lang w:val="en-US" w:eastAsia="ja-JP"/>
      </w:rPr>
      <w:t>1</w:t>
    </w:r>
    <w:r>
      <w:rPr>
        <w:rStyle w:val="PageNumber"/>
        <w:lang w:val="en-US"/>
      </w:rPr>
      <w:t>/1</w:t>
    </w:r>
    <w:r>
      <w:rPr>
        <w:rStyle w:val="PageNumber"/>
        <w:rFonts w:hint="eastAsia"/>
        <w:lang w:val="en-US" w:eastAsia="ja-JP"/>
      </w:rPr>
      <w:t>1</w:t>
    </w:r>
    <w:r w:rsidR="006764DF">
      <w:rPr>
        <w:rStyle w:val="PageNumber"/>
        <w:lang w:val="en-US" w:eastAsia="ja-JP"/>
      </w:rPr>
      <w:t xml:space="preserve"> Rev.</w:t>
    </w:r>
  </w:p>
  <w:p w:rsidR="0075779C" w:rsidRPr="00C5280D" w:rsidRDefault="0075779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1EC3">
      <w:rPr>
        <w:rStyle w:val="PageNumber"/>
        <w:noProof/>
        <w:lang w:val="en-US"/>
      </w:rPr>
      <w:t>2</w:t>
    </w:r>
    <w:r w:rsidRPr="00C5280D">
      <w:rPr>
        <w:rStyle w:val="PageNumber"/>
        <w:lang w:val="en-US"/>
      </w:rPr>
      <w:fldChar w:fldCharType="end"/>
    </w:r>
    <w:bookmarkStart w:id="48" w:name="_Toc410822398"/>
    <w:bookmarkStart w:id="49" w:name="_Toc410822802"/>
  </w:p>
  <w:bookmarkEnd w:id="48"/>
  <w:bookmarkEnd w:id="49"/>
  <w:p w:rsidR="0075779C" w:rsidRPr="00C5280D" w:rsidRDefault="0075779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C" w:rsidRDefault="0075779C">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6764DF">
      <w:rPr>
        <w:lang w:val="en-US" w:eastAsia="ja-JP"/>
      </w:rPr>
      <w:t xml:space="preserve"> Rev.</w:t>
    </w:r>
  </w:p>
  <w:p w:rsidR="0075779C" w:rsidRDefault="0075779C">
    <w:pPr>
      <w:pStyle w:val="Header"/>
      <w:rPr>
        <w:lang w:val="en-US"/>
      </w:rPr>
    </w:pPr>
  </w:p>
  <w:p w:rsidR="0075779C" w:rsidRPr="00954973" w:rsidRDefault="0075779C">
    <w:pPr>
      <w:pStyle w:val="Header"/>
      <w:rPr>
        <w:lang w:val="en-US" w:eastAsia="ja-JP"/>
      </w:rPr>
    </w:pPr>
    <w:r>
      <w:rPr>
        <w:lang w:val="en-US"/>
      </w:rPr>
      <w:t>ANNEXE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9C" w:rsidRDefault="0075779C">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6764DF">
      <w:rPr>
        <w:lang w:val="en-US" w:eastAsia="ja-JP"/>
      </w:rPr>
      <w:t xml:space="preserve"> Rev.</w:t>
    </w:r>
  </w:p>
  <w:p w:rsidR="0075779C" w:rsidRDefault="0075779C">
    <w:pPr>
      <w:pStyle w:val="Header"/>
      <w:rPr>
        <w:lang w:val="en-US"/>
      </w:rPr>
    </w:pPr>
  </w:p>
  <w:p w:rsidR="0075779C" w:rsidRPr="00954973" w:rsidRDefault="0075779C">
    <w:pPr>
      <w:pStyle w:val="Header"/>
      <w:rPr>
        <w:lang w:val="en-US" w:eastAsia="ja-JP"/>
      </w:rPr>
    </w:pPr>
    <w:r>
      <w:rPr>
        <w:lang w:val="en-US"/>
      </w:rPr>
      <w:t>ANNEXE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84BA6426"/>
    <w:lvl w:ilvl="0" w:tplc="5AB674A6">
      <w:start w:val="1"/>
      <w:numFmt w:val="lowerRoman"/>
      <w:lvlText w:val="%1)"/>
      <w:lvlJc w:val="left"/>
      <w:pPr>
        <w:ind w:left="1410" w:hanging="720"/>
      </w:pPr>
      <w:rPr>
        <w:rFonts w:hint="default"/>
        <w:i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PreTradBeta|WIPONew|AT.WIPO"/>
    <w:docVar w:name="TermBaseURL" w:val="empty"/>
    <w:docVar w:name="TextBases" w:val="WorkspaceFTS\EN-FR\UPOV|UPOV\Meetings|UPOV\Other|UPOV\Publications|UPOV\Technical Guidelines|Patents\Meetings|Patents\Other|Patents\Publications|WorkspaceFTS\EN-FR\PCT|Administrative\Other|IP in General\Meetings|Copyright\Other"/>
    <w:docVar w:name="TextBaseURL" w:val="empty"/>
    <w:docVar w:name="UILng" w:val="en"/>
  </w:docVars>
  <w:rsids>
    <w:rsidRoot w:val="00612C69"/>
    <w:rsid w:val="00010CF3"/>
    <w:rsid w:val="00011122"/>
    <w:rsid w:val="00011E27"/>
    <w:rsid w:val="000148BC"/>
    <w:rsid w:val="00016C98"/>
    <w:rsid w:val="00017FE8"/>
    <w:rsid w:val="00024AB8"/>
    <w:rsid w:val="00030854"/>
    <w:rsid w:val="00031206"/>
    <w:rsid w:val="00033064"/>
    <w:rsid w:val="00036028"/>
    <w:rsid w:val="00041D2D"/>
    <w:rsid w:val="00044642"/>
    <w:rsid w:val="000446B9"/>
    <w:rsid w:val="000472BF"/>
    <w:rsid w:val="00047E21"/>
    <w:rsid w:val="00050E16"/>
    <w:rsid w:val="00055042"/>
    <w:rsid w:val="000552A7"/>
    <w:rsid w:val="000600DA"/>
    <w:rsid w:val="00064B87"/>
    <w:rsid w:val="000816AB"/>
    <w:rsid w:val="000825CD"/>
    <w:rsid w:val="00085505"/>
    <w:rsid w:val="0009135B"/>
    <w:rsid w:val="00093F0C"/>
    <w:rsid w:val="00097467"/>
    <w:rsid w:val="00097F51"/>
    <w:rsid w:val="000A12CC"/>
    <w:rsid w:val="000A4E4F"/>
    <w:rsid w:val="000B7B9A"/>
    <w:rsid w:val="000C3340"/>
    <w:rsid w:val="000C7021"/>
    <w:rsid w:val="000D123A"/>
    <w:rsid w:val="000D6BBC"/>
    <w:rsid w:val="000D7780"/>
    <w:rsid w:val="000E2E2A"/>
    <w:rsid w:val="000E5EE5"/>
    <w:rsid w:val="000F1D05"/>
    <w:rsid w:val="000F2F11"/>
    <w:rsid w:val="000F7E6A"/>
    <w:rsid w:val="00102E69"/>
    <w:rsid w:val="00105929"/>
    <w:rsid w:val="00112830"/>
    <w:rsid w:val="001131D5"/>
    <w:rsid w:val="00113EDF"/>
    <w:rsid w:val="001175FD"/>
    <w:rsid w:val="00121AA6"/>
    <w:rsid w:val="00122FA7"/>
    <w:rsid w:val="00137D62"/>
    <w:rsid w:val="00141DB8"/>
    <w:rsid w:val="00152D79"/>
    <w:rsid w:val="00153421"/>
    <w:rsid w:val="00157DF4"/>
    <w:rsid w:val="0017474A"/>
    <w:rsid w:val="001758C6"/>
    <w:rsid w:val="00176692"/>
    <w:rsid w:val="0018053D"/>
    <w:rsid w:val="00182701"/>
    <w:rsid w:val="00182B99"/>
    <w:rsid w:val="00182CF6"/>
    <w:rsid w:val="00186929"/>
    <w:rsid w:val="001873AF"/>
    <w:rsid w:val="00195A44"/>
    <w:rsid w:val="0019639F"/>
    <w:rsid w:val="001B036B"/>
    <w:rsid w:val="001B0FF3"/>
    <w:rsid w:val="001B485F"/>
    <w:rsid w:val="001D3B2E"/>
    <w:rsid w:val="001D5E40"/>
    <w:rsid w:val="001E32F0"/>
    <w:rsid w:val="001E349E"/>
    <w:rsid w:val="001E401F"/>
    <w:rsid w:val="001E6801"/>
    <w:rsid w:val="001F1E4C"/>
    <w:rsid w:val="00211DDC"/>
    <w:rsid w:val="0021332C"/>
    <w:rsid w:val="00213982"/>
    <w:rsid w:val="00213DB3"/>
    <w:rsid w:val="00220FEE"/>
    <w:rsid w:val="00226590"/>
    <w:rsid w:val="002275B8"/>
    <w:rsid w:val="002317DE"/>
    <w:rsid w:val="00231AAC"/>
    <w:rsid w:val="0023266C"/>
    <w:rsid w:val="00233C64"/>
    <w:rsid w:val="0024416D"/>
    <w:rsid w:val="00271911"/>
    <w:rsid w:val="0027510D"/>
    <w:rsid w:val="00275B4D"/>
    <w:rsid w:val="0027732C"/>
    <w:rsid w:val="002800A0"/>
    <w:rsid w:val="002801B3"/>
    <w:rsid w:val="00281060"/>
    <w:rsid w:val="00286961"/>
    <w:rsid w:val="00290DCA"/>
    <w:rsid w:val="0029409E"/>
    <w:rsid w:val="002940E8"/>
    <w:rsid w:val="002966CC"/>
    <w:rsid w:val="002A6534"/>
    <w:rsid w:val="002A6E50"/>
    <w:rsid w:val="002B0283"/>
    <w:rsid w:val="002C256A"/>
    <w:rsid w:val="002C3CBE"/>
    <w:rsid w:val="002D3575"/>
    <w:rsid w:val="002D59C1"/>
    <w:rsid w:val="002D74E7"/>
    <w:rsid w:val="002D7F83"/>
    <w:rsid w:val="002F1823"/>
    <w:rsid w:val="002F749F"/>
    <w:rsid w:val="00305A7F"/>
    <w:rsid w:val="00306FDE"/>
    <w:rsid w:val="00310440"/>
    <w:rsid w:val="0031501C"/>
    <w:rsid w:val="003152FE"/>
    <w:rsid w:val="00327436"/>
    <w:rsid w:val="0033342F"/>
    <w:rsid w:val="00337523"/>
    <w:rsid w:val="00341943"/>
    <w:rsid w:val="003423DF"/>
    <w:rsid w:val="00344BD6"/>
    <w:rsid w:val="0035528D"/>
    <w:rsid w:val="0036170D"/>
    <w:rsid w:val="00361821"/>
    <w:rsid w:val="00362C4E"/>
    <w:rsid w:val="0036369B"/>
    <w:rsid w:val="003736BD"/>
    <w:rsid w:val="00386209"/>
    <w:rsid w:val="00394AF7"/>
    <w:rsid w:val="003A7D21"/>
    <w:rsid w:val="003B070C"/>
    <w:rsid w:val="003B6462"/>
    <w:rsid w:val="003B778C"/>
    <w:rsid w:val="003D227C"/>
    <w:rsid w:val="003D27DD"/>
    <w:rsid w:val="003D2B4D"/>
    <w:rsid w:val="003D3BC8"/>
    <w:rsid w:val="003D5C6A"/>
    <w:rsid w:val="003D6C70"/>
    <w:rsid w:val="004033F9"/>
    <w:rsid w:val="0041245D"/>
    <w:rsid w:val="00416A53"/>
    <w:rsid w:val="00417C69"/>
    <w:rsid w:val="00444A88"/>
    <w:rsid w:val="004458B1"/>
    <w:rsid w:val="004512FF"/>
    <w:rsid w:val="0045470D"/>
    <w:rsid w:val="00470244"/>
    <w:rsid w:val="004723C0"/>
    <w:rsid w:val="00474386"/>
    <w:rsid w:val="00474DA4"/>
    <w:rsid w:val="00476B4D"/>
    <w:rsid w:val="00477345"/>
    <w:rsid w:val="004805FA"/>
    <w:rsid w:val="00487215"/>
    <w:rsid w:val="004977E9"/>
    <w:rsid w:val="004C7C85"/>
    <w:rsid w:val="004D047D"/>
    <w:rsid w:val="004D4C77"/>
    <w:rsid w:val="004E5720"/>
    <w:rsid w:val="004F305A"/>
    <w:rsid w:val="004F45B6"/>
    <w:rsid w:val="004F5F2F"/>
    <w:rsid w:val="00502EAC"/>
    <w:rsid w:val="00505459"/>
    <w:rsid w:val="00512164"/>
    <w:rsid w:val="0051572D"/>
    <w:rsid w:val="00520297"/>
    <w:rsid w:val="0052394A"/>
    <w:rsid w:val="005245AD"/>
    <w:rsid w:val="005338F9"/>
    <w:rsid w:val="00535D58"/>
    <w:rsid w:val="00542291"/>
    <w:rsid w:val="0054281C"/>
    <w:rsid w:val="0054520C"/>
    <w:rsid w:val="00551E6B"/>
    <w:rsid w:val="0055268D"/>
    <w:rsid w:val="00554D3E"/>
    <w:rsid w:val="00564644"/>
    <w:rsid w:val="00576BE4"/>
    <w:rsid w:val="00582380"/>
    <w:rsid w:val="00582B2D"/>
    <w:rsid w:val="00596251"/>
    <w:rsid w:val="00597583"/>
    <w:rsid w:val="005A400A"/>
    <w:rsid w:val="005C5272"/>
    <w:rsid w:val="005C534C"/>
    <w:rsid w:val="005C5B75"/>
    <w:rsid w:val="005D260A"/>
    <w:rsid w:val="005D5881"/>
    <w:rsid w:val="005E590E"/>
    <w:rsid w:val="005F30A7"/>
    <w:rsid w:val="005F3831"/>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6B24"/>
    <w:rsid w:val="006635A8"/>
    <w:rsid w:val="006655D3"/>
    <w:rsid w:val="006657E3"/>
    <w:rsid w:val="00667404"/>
    <w:rsid w:val="006764DF"/>
    <w:rsid w:val="00676DFD"/>
    <w:rsid w:val="00681967"/>
    <w:rsid w:val="00684ACE"/>
    <w:rsid w:val="006852BC"/>
    <w:rsid w:val="006866C4"/>
    <w:rsid w:val="00687EB4"/>
    <w:rsid w:val="006914F1"/>
    <w:rsid w:val="006918C6"/>
    <w:rsid w:val="00695458"/>
    <w:rsid w:val="006A3EE3"/>
    <w:rsid w:val="006A561F"/>
    <w:rsid w:val="006B0161"/>
    <w:rsid w:val="006B17D2"/>
    <w:rsid w:val="006B3AEF"/>
    <w:rsid w:val="006B4863"/>
    <w:rsid w:val="006C19F9"/>
    <w:rsid w:val="006C224E"/>
    <w:rsid w:val="006C418D"/>
    <w:rsid w:val="006D780A"/>
    <w:rsid w:val="006E0B74"/>
    <w:rsid w:val="006E737F"/>
    <w:rsid w:val="006F22E1"/>
    <w:rsid w:val="006F551D"/>
    <w:rsid w:val="007008CF"/>
    <w:rsid w:val="0071595A"/>
    <w:rsid w:val="007250E4"/>
    <w:rsid w:val="00732DEC"/>
    <w:rsid w:val="007330DD"/>
    <w:rsid w:val="00735BD5"/>
    <w:rsid w:val="007473D2"/>
    <w:rsid w:val="00751FC6"/>
    <w:rsid w:val="007520E2"/>
    <w:rsid w:val="00754BD8"/>
    <w:rsid w:val="007556F6"/>
    <w:rsid w:val="0075779C"/>
    <w:rsid w:val="00760EEF"/>
    <w:rsid w:val="00776750"/>
    <w:rsid w:val="00777EE5"/>
    <w:rsid w:val="00784836"/>
    <w:rsid w:val="00787DEF"/>
    <w:rsid w:val="0079023E"/>
    <w:rsid w:val="0079128B"/>
    <w:rsid w:val="007A2854"/>
    <w:rsid w:val="007A6AA3"/>
    <w:rsid w:val="007C0A7D"/>
    <w:rsid w:val="007C25BD"/>
    <w:rsid w:val="007C42CA"/>
    <w:rsid w:val="007D0B9D"/>
    <w:rsid w:val="007D19B0"/>
    <w:rsid w:val="007E43A3"/>
    <w:rsid w:val="007F498F"/>
    <w:rsid w:val="0080482B"/>
    <w:rsid w:val="0080679D"/>
    <w:rsid w:val="008108B0"/>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51D1"/>
    <w:rsid w:val="00867AC1"/>
    <w:rsid w:val="00876B8F"/>
    <w:rsid w:val="00881D81"/>
    <w:rsid w:val="00882CF1"/>
    <w:rsid w:val="0088336D"/>
    <w:rsid w:val="008841D9"/>
    <w:rsid w:val="00891326"/>
    <w:rsid w:val="008929D6"/>
    <w:rsid w:val="00895F99"/>
    <w:rsid w:val="00896336"/>
    <w:rsid w:val="00897616"/>
    <w:rsid w:val="008A17D0"/>
    <w:rsid w:val="008A743F"/>
    <w:rsid w:val="008B026A"/>
    <w:rsid w:val="008C0970"/>
    <w:rsid w:val="008C381D"/>
    <w:rsid w:val="008D2CF7"/>
    <w:rsid w:val="008D4347"/>
    <w:rsid w:val="008D6750"/>
    <w:rsid w:val="008E5807"/>
    <w:rsid w:val="00900C26"/>
    <w:rsid w:val="0090197F"/>
    <w:rsid w:val="00903FAE"/>
    <w:rsid w:val="00906DDC"/>
    <w:rsid w:val="00911B95"/>
    <w:rsid w:val="009264F2"/>
    <w:rsid w:val="00933AF0"/>
    <w:rsid w:val="00934E09"/>
    <w:rsid w:val="00936253"/>
    <w:rsid w:val="00944D1B"/>
    <w:rsid w:val="00952DD4"/>
    <w:rsid w:val="00953897"/>
    <w:rsid w:val="00954973"/>
    <w:rsid w:val="009676F5"/>
    <w:rsid w:val="00970FED"/>
    <w:rsid w:val="00990AC1"/>
    <w:rsid w:val="00992D82"/>
    <w:rsid w:val="00995397"/>
    <w:rsid w:val="00997029"/>
    <w:rsid w:val="009A4635"/>
    <w:rsid w:val="009A4AC6"/>
    <w:rsid w:val="009A5CC2"/>
    <w:rsid w:val="009C1286"/>
    <w:rsid w:val="009C51B2"/>
    <w:rsid w:val="009D08D3"/>
    <w:rsid w:val="009D4F14"/>
    <w:rsid w:val="009D690D"/>
    <w:rsid w:val="009E1BD6"/>
    <w:rsid w:val="009E65B6"/>
    <w:rsid w:val="009E6E8C"/>
    <w:rsid w:val="009F60CA"/>
    <w:rsid w:val="009F762F"/>
    <w:rsid w:val="00A03296"/>
    <w:rsid w:val="00A03648"/>
    <w:rsid w:val="00A05D8B"/>
    <w:rsid w:val="00A067FE"/>
    <w:rsid w:val="00A12B36"/>
    <w:rsid w:val="00A20CD7"/>
    <w:rsid w:val="00A24C10"/>
    <w:rsid w:val="00A33531"/>
    <w:rsid w:val="00A42AC3"/>
    <w:rsid w:val="00A430CF"/>
    <w:rsid w:val="00A45FFC"/>
    <w:rsid w:val="00A511AC"/>
    <w:rsid w:val="00A53CDD"/>
    <w:rsid w:val="00A54309"/>
    <w:rsid w:val="00A6084F"/>
    <w:rsid w:val="00A61DC3"/>
    <w:rsid w:val="00A628BD"/>
    <w:rsid w:val="00A63453"/>
    <w:rsid w:val="00A637AE"/>
    <w:rsid w:val="00A8342C"/>
    <w:rsid w:val="00A920F6"/>
    <w:rsid w:val="00A929F5"/>
    <w:rsid w:val="00AB2812"/>
    <w:rsid w:val="00AB2B93"/>
    <w:rsid w:val="00AB3232"/>
    <w:rsid w:val="00AB530F"/>
    <w:rsid w:val="00AB6523"/>
    <w:rsid w:val="00AB7E5B"/>
    <w:rsid w:val="00AC57B9"/>
    <w:rsid w:val="00AD54CD"/>
    <w:rsid w:val="00AD7537"/>
    <w:rsid w:val="00AE0EF1"/>
    <w:rsid w:val="00AE2937"/>
    <w:rsid w:val="00AE48EB"/>
    <w:rsid w:val="00AF0440"/>
    <w:rsid w:val="00AF1FD5"/>
    <w:rsid w:val="00AF2367"/>
    <w:rsid w:val="00AF5959"/>
    <w:rsid w:val="00B07301"/>
    <w:rsid w:val="00B10488"/>
    <w:rsid w:val="00B17A36"/>
    <w:rsid w:val="00B20E48"/>
    <w:rsid w:val="00B21DDB"/>
    <w:rsid w:val="00B224DE"/>
    <w:rsid w:val="00B266AC"/>
    <w:rsid w:val="00B271EC"/>
    <w:rsid w:val="00B27354"/>
    <w:rsid w:val="00B27435"/>
    <w:rsid w:val="00B33D4E"/>
    <w:rsid w:val="00B46575"/>
    <w:rsid w:val="00B567D2"/>
    <w:rsid w:val="00B62A42"/>
    <w:rsid w:val="00B800C4"/>
    <w:rsid w:val="00B8399C"/>
    <w:rsid w:val="00B84BBD"/>
    <w:rsid w:val="00BA07CF"/>
    <w:rsid w:val="00BA1695"/>
    <w:rsid w:val="00BA43FB"/>
    <w:rsid w:val="00BB63EA"/>
    <w:rsid w:val="00BC127D"/>
    <w:rsid w:val="00BC1FE6"/>
    <w:rsid w:val="00BD1E7D"/>
    <w:rsid w:val="00BD6F18"/>
    <w:rsid w:val="00BD728F"/>
    <w:rsid w:val="00BF5F4E"/>
    <w:rsid w:val="00BF7CC1"/>
    <w:rsid w:val="00C061B6"/>
    <w:rsid w:val="00C22F5D"/>
    <w:rsid w:val="00C2332F"/>
    <w:rsid w:val="00C2446C"/>
    <w:rsid w:val="00C36AE5"/>
    <w:rsid w:val="00C41F17"/>
    <w:rsid w:val="00C45724"/>
    <w:rsid w:val="00C46C3A"/>
    <w:rsid w:val="00C5280D"/>
    <w:rsid w:val="00C5791C"/>
    <w:rsid w:val="00C65728"/>
    <w:rsid w:val="00C66290"/>
    <w:rsid w:val="00C72A57"/>
    <w:rsid w:val="00C72B7A"/>
    <w:rsid w:val="00C75835"/>
    <w:rsid w:val="00C973F2"/>
    <w:rsid w:val="00CA304C"/>
    <w:rsid w:val="00CA774A"/>
    <w:rsid w:val="00CB7125"/>
    <w:rsid w:val="00CC11B0"/>
    <w:rsid w:val="00CC5C93"/>
    <w:rsid w:val="00CD524E"/>
    <w:rsid w:val="00CD720B"/>
    <w:rsid w:val="00CF7E36"/>
    <w:rsid w:val="00D05B03"/>
    <w:rsid w:val="00D12B9E"/>
    <w:rsid w:val="00D12FFE"/>
    <w:rsid w:val="00D13B74"/>
    <w:rsid w:val="00D13F23"/>
    <w:rsid w:val="00D1712A"/>
    <w:rsid w:val="00D3509B"/>
    <w:rsid w:val="00D3708D"/>
    <w:rsid w:val="00D37975"/>
    <w:rsid w:val="00D40426"/>
    <w:rsid w:val="00D41FEC"/>
    <w:rsid w:val="00D462EB"/>
    <w:rsid w:val="00D54EAB"/>
    <w:rsid w:val="00D57C96"/>
    <w:rsid w:val="00D6340A"/>
    <w:rsid w:val="00D731EA"/>
    <w:rsid w:val="00D87251"/>
    <w:rsid w:val="00D91203"/>
    <w:rsid w:val="00D94D3A"/>
    <w:rsid w:val="00D95174"/>
    <w:rsid w:val="00DA05B2"/>
    <w:rsid w:val="00DA6F36"/>
    <w:rsid w:val="00DB49FA"/>
    <w:rsid w:val="00DB596E"/>
    <w:rsid w:val="00DB71F7"/>
    <w:rsid w:val="00DB7773"/>
    <w:rsid w:val="00DC00EA"/>
    <w:rsid w:val="00DC04F7"/>
    <w:rsid w:val="00DC14F9"/>
    <w:rsid w:val="00DC2279"/>
    <w:rsid w:val="00DC38A1"/>
    <w:rsid w:val="00DC6260"/>
    <w:rsid w:val="00DE0B36"/>
    <w:rsid w:val="00DE14E4"/>
    <w:rsid w:val="00DE6D2B"/>
    <w:rsid w:val="00DF0D29"/>
    <w:rsid w:val="00DF61EE"/>
    <w:rsid w:val="00E0335A"/>
    <w:rsid w:val="00E32F7E"/>
    <w:rsid w:val="00E339A6"/>
    <w:rsid w:val="00E34B8A"/>
    <w:rsid w:val="00E43D9F"/>
    <w:rsid w:val="00E53CD3"/>
    <w:rsid w:val="00E5661E"/>
    <w:rsid w:val="00E5782A"/>
    <w:rsid w:val="00E6337A"/>
    <w:rsid w:val="00E70F6D"/>
    <w:rsid w:val="00E71894"/>
    <w:rsid w:val="00E7297F"/>
    <w:rsid w:val="00E72D49"/>
    <w:rsid w:val="00E7593C"/>
    <w:rsid w:val="00E7678A"/>
    <w:rsid w:val="00E82F50"/>
    <w:rsid w:val="00E86B4F"/>
    <w:rsid w:val="00E935F1"/>
    <w:rsid w:val="00E94A81"/>
    <w:rsid w:val="00EA1FFB"/>
    <w:rsid w:val="00EB048E"/>
    <w:rsid w:val="00EB2A97"/>
    <w:rsid w:val="00EB7BF9"/>
    <w:rsid w:val="00ED37DA"/>
    <w:rsid w:val="00ED61B9"/>
    <w:rsid w:val="00EE2724"/>
    <w:rsid w:val="00EE3495"/>
    <w:rsid w:val="00EE34DF"/>
    <w:rsid w:val="00EF2F89"/>
    <w:rsid w:val="00EF4C62"/>
    <w:rsid w:val="00F00F8C"/>
    <w:rsid w:val="00F03802"/>
    <w:rsid w:val="00F042A5"/>
    <w:rsid w:val="00F11BFD"/>
    <w:rsid w:val="00F1237A"/>
    <w:rsid w:val="00F221FB"/>
    <w:rsid w:val="00F22CBD"/>
    <w:rsid w:val="00F25CDB"/>
    <w:rsid w:val="00F25E31"/>
    <w:rsid w:val="00F31EC3"/>
    <w:rsid w:val="00F40673"/>
    <w:rsid w:val="00F407FC"/>
    <w:rsid w:val="00F449CD"/>
    <w:rsid w:val="00F45372"/>
    <w:rsid w:val="00F5330E"/>
    <w:rsid w:val="00F551DC"/>
    <w:rsid w:val="00F560F7"/>
    <w:rsid w:val="00F617CC"/>
    <w:rsid w:val="00F6334D"/>
    <w:rsid w:val="00F74FB8"/>
    <w:rsid w:val="00F74FDE"/>
    <w:rsid w:val="00F87C82"/>
    <w:rsid w:val="00F9175E"/>
    <w:rsid w:val="00F9538D"/>
    <w:rsid w:val="00FA49AB"/>
    <w:rsid w:val="00FC0DD4"/>
    <w:rsid w:val="00FC12D3"/>
    <w:rsid w:val="00FD3B89"/>
    <w:rsid w:val="00FD7B1A"/>
    <w:rsid w:val="00FE1DDE"/>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23266C"/>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23266C"/>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pov.int/about/en/fa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75E5-2263-4DFE-BDA9-CADBFEE09407}">
  <ds:schemaRefs>
    <ds:schemaRef ds:uri="http://schemas.openxmlformats.org/officeDocument/2006/bibliography"/>
  </ds:schemaRefs>
</ds:datastoreItem>
</file>

<file path=customXml/itemProps2.xml><?xml version="1.0" encoding="utf-8"?>
<ds:datastoreItem xmlns:ds="http://schemas.openxmlformats.org/officeDocument/2006/customXml" ds:itemID="{1B747858-1556-4896-BB04-30F1027CF5E5}">
  <ds:schemaRefs>
    <ds:schemaRef ds:uri="http://schemas.openxmlformats.org/officeDocument/2006/bibliography"/>
  </ds:schemaRefs>
</ds:datastoreItem>
</file>

<file path=customXml/itemProps3.xml><?xml version="1.0" encoding="utf-8"?>
<ds:datastoreItem xmlns:ds="http://schemas.openxmlformats.org/officeDocument/2006/customXml" ds:itemID="{CE074D17-D7F2-4177-B255-FC232E707A8B}">
  <ds:schemaRefs>
    <ds:schemaRef ds:uri="http://schemas.openxmlformats.org/officeDocument/2006/bibliography"/>
  </ds:schemaRefs>
</ds:datastoreItem>
</file>

<file path=customXml/itemProps4.xml><?xml version="1.0" encoding="utf-8"?>
<ds:datastoreItem xmlns:ds="http://schemas.openxmlformats.org/officeDocument/2006/customXml" ds:itemID="{FA849653-14C9-418F-B501-8F0AE953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4538</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MHF</cp:keywords>
  <cp:lastModifiedBy>LONG Victoria</cp:lastModifiedBy>
  <cp:revision>62</cp:revision>
  <cp:lastPrinted>2015-03-05T08:38:00Z</cp:lastPrinted>
  <dcterms:created xsi:type="dcterms:W3CDTF">2015-02-12T07:21:00Z</dcterms:created>
  <dcterms:modified xsi:type="dcterms:W3CDTF">2015-03-05T08:38:00Z</dcterms:modified>
</cp:coreProperties>
</file>