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7B1676" w:rsidRPr="00CB14E0" w:rsidTr="00A775C5">
        <w:trPr>
          <w:trHeight w:val="1760"/>
        </w:trPr>
        <w:tc>
          <w:tcPr>
            <w:tcW w:w="4243" w:type="dxa"/>
          </w:tcPr>
          <w:p w:rsidR="0018540A" w:rsidRPr="007B1676" w:rsidRDefault="0018540A" w:rsidP="00A775C5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18540A" w:rsidRPr="007B1676" w:rsidRDefault="0018540A" w:rsidP="00A775C5">
            <w:pPr>
              <w:pStyle w:val="LogoUPOV"/>
              <w:rPr>
                <w:lang w:val="fr-FR"/>
              </w:rPr>
            </w:pPr>
            <w:r w:rsidRPr="007B1676">
              <w:rPr>
                <w:noProof/>
              </w:rPr>
              <w:drawing>
                <wp:inline distT="0" distB="0" distL="0" distR="0" wp14:anchorId="71E608F4" wp14:editId="20F26943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F77FD5" w:rsidRPr="007B1676" w:rsidRDefault="0018540A" w:rsidP="00A775C5">
            <w:pPr>
              <w:pStyle w:val="Lettrine"/>
              <w:rPr>
                <w:lang w:val="fr-FR"/>
              </w:rPr>
            </w:pPr>
            <w:r w:rsidRPr="007B1676">
              <w:rPr>
                <w:lang w:val="fr-FR"/>
              </w:rPr>
              <w:t>F</w:t>
            </w:r>
          </w:p>
          <w:p w:rsidR="00F77FD5" w:rsidRPr="007B1676" w:rsidRDefault="0018540A" w:rsidP="00A775C5">
            <w:pPr>
              <w:pStyle w:val="Docoriginal"/>
              <w:rPr>
                <w:lang w:val="fr-FR"/>
              </w:rPr>
            </w:pPr>
            <w:r w:rsidRPr="007B1676">
              <w:rPr>
                <w:lang w:val="fr-FR"/>
              </w:rPr>
              <w:t>TC/51/</w:t>
            </w:r>
            <w:bookmarkStart w:id="1" w:name="Code"/>
            <w:bookmarkEnd w:id="1"/>
            <w:r w:rsidRPr="007B1676">
              <w:rPr>
                <w:lang w:val="fr-FR"/>
              </w:rPr>
              <w:t>10</w:t>
            </w:r>
          </w:p>
          <w:p w:rsidR="00F77FD5" w:rsidRPr="007B1676" w:rsidRDefault="0018540A" w:rsidP="00A775C5">
            <w:pPr>
              <w:pStyle w:val="Docoriginal"/>
              <w:rPr>
                <w:b w:val="0"/>
                <w:spacing w:val="0"/>
                <w:lang w:val="fr-FR"/>
              </w:rPr>
            </w:pPr>
            <w:r w:rsidRPr="007B1676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731AD3" w:rsidRPr="007B1676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7B1676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7B1676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Original"/>
            <w:bookmarkEnd w:id="2"/>
            <w:r w:rsidRPr="007B1676">
              <w:rPr>
                <w:b w:val="0"/>
                <w:spacing w:val="0"/>
                <w:lang w:val="fr-FR"/>
              </w:rPr>
              <w:t>anglais</w:t>
            </w:r>
          </w:p>
          <w:p w:rsidR="0018540A" w:rsidRPr="007B1676" w:rsidRDefault="0018540A" w:rsidP="00457E51">
            <w:pPr>
              <w:pStyle w:val="Docoriginal"/>
              <w:rPr>
                <w:lang w:val="fr-FR"/>
              </w:rPr>
            </w:pPr>
            <w:r w:rsidRPr="007B1676">
              <w:rPr>
                <w:spacing w:val="0"/>
                <w:lang w:val="fr-FR"/>
              </w:rPr>
              <w:t>DATE</w:t>
            </w:r>
            <w:r w:rsidR="00731AD3" w:rsidRPr="007B1676">
              <w:rPr>
                <w:spacing w:val="0"/>
                <w:lang w:val="fr-FR"/>
              </w:rPr>
              <w:t> </w:t>
            </w:r>
            <w:r w:rsidRPr="007B1676">
              <w:rPr>
                <w:spacing w:val="0"/>
                <w:lang w:val="fr-FR"/>
              </w:rPr>
              <w:t>:</w:t>
            </w:r>
            <w:r w:rsidRPr="007B1676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3" w:name="Date"/>
            <w:bookmarkEnd w:id="3"/>
            <w:r w:rsidR="00457E51" w:rsidRPr="00457E51">
              <w:rPr>
                <w:b w:val="0"/>
                <w:spacing w:val="0"/>
                <w:lang w:val="fr-FR"/>
              </w:rPr>
              <w:t>4 mars</w:t>
            </w:r>
            <w:r w:rsidR="00FC2AC8" w:rsidRPr="00457E51">
              <w:rPr>
                <w:b w:val="0"/>
                <w:spacing w:val="0"/>
                <w:lang w:val="fr-FR"/>
              </w:rPr>
              <w:t> 20</w:t>
            </w:r>
            <w:r w:rsidRPr="00457E51">
              <w:rPr>
                <w:b w:val="0"/>
                <w:spacing w:val="0"/>
                <w:lang w:val="fr-FR"/>
              </w:rPr>
              <w:t>15</w:t>
            </w:r>
          </w:p>
        </w:tc>
      </w:tr>
      <w:tr w:rsidR="007B1676" w:rsidRPr="00CB14E0" w:rsidTr="00A775C5">
        <w:tc>
          <w:tcPr>
            <w:tcW w:w="10131" w:type="dxa"/>
            <w:gridSpan w:val="3"/>
          </w:tcPr>
          <w:p w:rsidR="0018540A" w:rsidRPr="007B1676" w:rsidRDefault="0018540A" w:rsidP="00A775C5">
            <w:pPr>
              <w:pStyle w:val="upove"/>
              <w:rPr>
                <w:sz w:val="28"/>
                <w:lang w:val="fr-FR"/>
              </w:rPr>
            </w:pPr>
            <w:r w:rsidRPr="007B1676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7B1676" w:rsidRPr="007B1676" w:rsidTr="00A775C5">
        <w:tc>
          <w:tcPr>
            <w:tcW w:w="10131" w:type="dxa"/>
            <w:gridSpan w:val="3"/>
          </w:tcPr>
          <w:p w:rsidR="0018540A" w:rsidRPr="007B1676" w:rsidRDefault="0018540A" w:rsidP="00A775C5">
            <w:pPr>
              <w:pStyle w:val="Country"/>
              <w:rPr>
                <w:lang w:val="fr-FR"/>
              </w:rPr>
            </w:pPr>
            <w:r w:rsidRPr="007B1676">
              <w:rPr>
                <w:lang w:val="fr-FR"/>
              </w:rPr>
              <w:t>Genève</w:t>
            </w:r>
          </w:p>
        </w:tc>
      </w:tr>
    </w:tbl>
    <w:p w:rsidR="00F77FD5" w:rsidRPr="007B1676" w:rsidRDefault="0018540A" w:rsidP="0018540A">
      <w:pPr>
        <w:pStyle w:val="Sessiontc"/>
        <w:rPr>
          <w:lang w:val="fr-FR"/>
        </w:rPr>
      </w:pPr>
      <w:r w:rsidRPr="007B1676">
        <w:rPr>
          <w:lang w:val="fr-FR"/>
        </w:rPr>
        <w:t>Comité TECHNIQUE</w:t>
      </w:r>
    </w:p>
    <w:p w:rsidR="00F77FD5" w:rsidRPr="007B1676" w:rsidRDefault="0018540A" w:rsidP="0018540A">
      <w:pPr>
        <w:pStyle w:val="Sessiontcplacedate"/>
        <w:rPr>
          <w:lang w:val="fr-FR"/>
        </w:rPr>
      </w:pPr>
      <w:r w:rsidRPr="007B1676">
        <w:rPr>
          <w:lang w:val="fr-FR"/>
        </w:rPr>
        <w:t>Cinquante et unième</w:t>
      </w:r>
      <w:r w:rsidR="00731AD3" w:rsidRPr="007B1676">
        <w:rPr>
          <w:lang w:val="fr-FR"/>
        </w:rPr>
        <w:t> </w:t>
      </w:r>
      <w:r w:rsidRPr="007B1676">
        <w:rPr>
          <w:lang w:val="fr-FR"/>
        </w:rPr>
        <w:t xml:space="preserve">session </w:t>
      </w:r>
      <w:r w:rsidRPr="007B1676">
        <w:rPr>
          <w:lang w:val="fr-FR"/>
        </w:rPr>
        <w:br/>
        <w:t>Genève, 23</w:t>
      </w:r>
      <w:r w:rsidR="00F66982" w:rsidRPr="007B1676">
        <w:rPr>
          <w:lang w:val="fr-FR"/>
        </w:rPr>
        <w:noBreakHyphen/>
      </w:r>
      <w:r w:rsidRPr="007B1676">
        <w:rPr>
          <w:lang w:val="fr-FR"/>
        </w:rPr>
        <w:t>2</w:t>
      </w:r>
      <w:r w:rsidR="00FC2AC8" w:rsidRPr="007B1676">
        <w:rPr>
          <w:lang w:val="fr-FR"/>
        </w:rPr>
        <w:t>5 mars 20</w:t>
      </w:r>
      <w:r w:rsidRPr="007B1676">
        <w:rPr>
          <w:lang w:val="fr-FR"/>
        </w:rPr>
        <w:t>15</w:t>
      </w:r>
    </w:p>
    <w:p w:rsidR="00F77FD5" w:rsidRPr="007B1676" w:rsidRDefault="0018540A" w:rsidP="0018540A">
      <w:pPr>
        <w:pStyle w:val="Titleofdoc0"/>
        <w:rPr>
          <w:lang w:val="fr-FR"/>
        </w:rPr>
      </w:pPr>
      <w:r w:rsidRPr="007B1676">
        <w:rPr>
          <w:lang w:val="fr-FR"/>
        </w:rPr>
        <w:t>Rapport sur les faits nouveaux intervenus au sein de l</w:t>
      </w:r>
      <w:r w:rsidR="00FC2AC8" w:rsidRPr="007B1676">
        <w:rPr>
          <w:lang w:val="fr-FR"/>
        </w:rPr>
        <w:t>’</w:t>
      </w:r>
      <w:r w:rsidRPr="007B1676">
        <w:rPr>
          <w:lang w:val="fr-FR"/>
        </w:rPr>
        <w:t xml:space="preserve">UPOV, </w:t>
      </w:r>
      <w:r w:rsidR="00F66982" w:rsidRPr="007B1676">
        <w:rPr>
          <w:lang w:val="fr-FR"/>
        </w:rPr>
        <w:br/>
      </w:r>
      <w:r w:rsidR="00FC2AC8" w:rsidRPr="007B1676">
        <w:rPr>
          <w:lang w:val="fr-FR"/>
        </w:rPr>
        <w:t>y compris</w:t>
      </w:r>
      <w:r w:rsidRPr="007B1676">
        <w:rPr>
          <w:lang w:val="fr-FR"/>
        </w:rPr>
        <w:t xml:space="preserve"> certaines questions examinées lors des dernières sessions </w:t>
      </w:r>
      <w:r w:rsidR="00F66982" w:rsidRPr="007B1676">
        <w:rPr>
          <w:lang w:val="fr-FR"/>
        </w:rPr>
        <w:br/>
      </w:r>
      <w:r w:rsidRPr="007B1676">
        <w:rPr>
          <w:lang w:val="fr-FR"/>
        </w:rPr>
        <w:t>du Comité administratif et juridique, du Comité consultatif et du Conseil</w:t>
      </w:r>
    </w:p>
    <w:p w:rsidR="00F77FD5" w:rsidRPr="00F37BE9" w:rsidRDefault="0018540A" w:rsidP="00050E16">
      <w:pPr>
        <w:pStyle w:val="preparedby1"/>
        <w:rPr>
          <w:color w:val="A6A6A6" w:themeColor="background1" w:themeShade="A6"/>
          <w:lang w:val="fr-CH"/>
        </w:rPr>
      </w:pPr>
      <w:bookmarkStart w:id="4" w:name="Prepared"/>
      <w:bookmarkEnd w:id="4"/>
      <w:r w:rsidRPr="007B1676">
        <w:rPr>
          <w:lang w:val="fr-FR"/>
        </w:rPr>
        <w:t>Document établi par le Bureau de l</w:t>
      </w:r>
      <w:r w:rsidR="00FC2AC8" w:rsidRPr="007B1676">
        <w:rPr>
          <w:lang w:val="fr-FR"/>
        </w:rPr>
        <w:t>’</w:t>
      </w:r>
      <w:r w:rsidRPr="007B1676">
        <w:rPr>
          <w:lang w:val="fr-FR"/>
        </w:rPr>
        <w:t>Union</w:t>
      </w:r>
      <w:r w:rsidRPr="007B1676">
        <w:rPr>
          <w:lang w:val="fr-FR"/>
        </w:rPr>
        <w:br/>
      </w:r>
      <w:r w:rsidRPr="007B1676">
        <w:rPr>
          <w:lang w:val="fr-FR"/>
        </w:rPr>
        <w:br/>
      </w:r>
      <w:r w:rsidRPr="00F37BE9">
        <w:rPr>
          <w:color w:val="A6A6A6" w:themeColor="background1" w:themeShade="A6"/>
          <w:lang w:val="fr-CH"/>
        </w:rPr>
        <w:t>Avertissement : le présent document ne représente pas les principes ou les orientations de l</w:t>
      </w:r>
      <w:r w:rsidR="00FC2AC8" w:rsidRPr="00F37BE9">
        <w:rPr>
          <w:color w:val="A6A6A6" w:themeColor="background1" w:themeShade="A6"/>
          <w:lang w:val="fr-CH"/>
        </w:rPr>
        <w:t>’</w:t>
      </w:r>
      <w:r w:rsidRPr="00F37BE9">
        <w:rPr>
          <w:color w:val="A6A6A6" w:themeColor="background1" w:themeShade="A6"/>
          <w:lang w:val="fr-CH"/>
        </w:rPr>
        <w:t>UPOV</w:t>
      </w:r>
    </w:p>
    <w:p w:rsidR="00F77FD5" w:rsidRPr="007B1676" w:rsidRDefault="00357731" w:rsidP="00357731">
      <w:pPr>
        <w:rPr>
          <w:snapToGrid w:val="0"/>
          <w:lang w:val="fr-FR"/>
        </w:rPr>
      </w:pPr>
      <w:r w:rsidRPr="007B1676">
        <w:rPr>
          <w:snapToGrid w:val="0"/>
          <w:lang w:val="fr-FR"/>
        </w:rPr>
        <w:fldChar w:fldCharType="begin"/>
      </w:r>
      <w:r w:rsidRPr="007B1676">
        <w:rPr>
          <w:snapToGrid w:val="0"/>
          <w:lang w:val="fr-FR"/>
        </w:rPr>
        <w:instrText xml:space="preserve"> AUTONUM  </w:instrText>
      </w:r>
      <w:r w:rsidRPr="007B1676">
        <w:rPr>
          <w:snapToGrid w:val="0"/>
          <w:lang w:val="fr-FR"/>
        </w:rPr>
        <w:fldChar w:fldCharType="end"/>
      </w:r>
      <w:r w:rsidRPr="007B1676">
        <w:rPr>
          <w:snapToGrid w:val="0"/>
          <w:lang w:val="fr-FR"/>
        </w:rPr>
        <w:tab/>
      </w:r>
      <w:r w:rsidR="00DD10AC" w:rsidRPr="007B1676">
        <w:rPr>
          <w:snapToGrid w:val="0"/>
          <w:lang w:val="fr-FR"/>
        </w:rPr>
        <w:t>L</w:t>
      </w:r>
      <w:r w:rsidR="00FC2AC8" w:rsidRPr="007B1676">
        <w:rPr>
          <w:snapToGrid w:val="0"/>
          <w:lang w:val="fr-FR"/>
        </w:rPr>
        <w:t>’</w:t>
      </w:r>
      <w:r w:rsidR="00DD10AC" w:rsidRPr="007B1676">
        <w:rPr>
          <w:snapToGrid w:val="0"/>
          <w:lang w:val="fr-FR"/>
        </w:rPr>
        <w:t>objet du présent document est de faire rapport sur les faits nouveaux intervenus au sein de l</w:t>
      </w:r>
      <w:r w:rsidR="00FC2AC8" w:rsidRPr="007B1676">
        <w:rPr>
          <w:snapToGrid w:val="0"/>
          <w:lang w:val="fr-FR"/>
        </w:rPr>
        <w:t>’</w:t>
      </w:r>
      <w:r w:rsidR="00DD10AC" w:rsidRPr="007B1676">
        <w:rPr>
          <w:snapToGrid w:val="0"/>
          <w:lang w:val="fr-FR"/>
        </w:rPr>
        <w:t>UPOV depuis la cinquantième</w:t>
      </w:r>
      <w:r w:rsidR="00731AD3" w:rsidRPr="007B1676">
        <w:rPr>
          <w:snapToGrid w:val="0"/>
          <w:lang w:val="fr-FR"/>
        </w:rPr>
        <w:t> </w:t>
      </w:r>
      <w:r w:rsidR="00DD10AC" w:rsidRPr="007B1676">
        <w:rPr>
          <w:snapToGrid w:val="0"/>
          <w:lang w:val="fr-FR"/>
        </w:rPr>
        <w:t>session du Comité technique et qui ne relèvent pas de points précis de l</w:t>
      </w:r>
      <w:r w:rsidR="00FC2AC8" w:rsidRPr="007B1676">
        <w:rPr>
          <w:snapToGrid w:val="0"/>
          <w:lang w:val="fr-FR"/>
        </w:rPr>
        <w:t>’</w:t>
      </w:r>
      <w:r w:rsidR="00F66982" w:rsidRPr="007B1676">
        <w:rPr>
          <w:snapToGrid w:val="0"/>
          <w:lang w:val="fr-FR"/>
        </w:rPr>
        <w:t>ordre du jour de la cinquante et </w:t>
      </w:r>
      <w:r w:rsidR="00DD10AC" w:rsidRPr="007B1676">
        <w:rPr>
          <w:snapToGrid w:val="0"/>
          <w:lang w:val="fr-FR"/>
        </w:rPr>
        <w:t>unième</w:t>
      </w:r>
      <w:r w:rsidR="00731AD3" w:rsidRPr="007B1676">
        <w:rPr>
          <w:snapToGrid w:val="0"/>
          <w:lang w:val="fr-FR"/>
        </w:rPr>
        <w:t> </w:t>
      </w:r>
      <w:r w:rsidR="00DD10AC" w:rsidRPr="007B1676">
        <w:rPr>
          <w:snapToGrid w:val="0"/>
          <w:lang w:val="fr-FR"/>
        </w:rPr>
        <w:t xml:space="preserve">session du Comité technique, </w:t>
      </w:r>
      <w:r w:rsidR="00FC2AC8" w:rsidRPr="007B1676">
        <w:rPr>
          <w:snapToGrid w:val="0"/>
          <w:lang w:val="fr-FR"/>
        </w:rPr>
        <w:t>y compris</w:t>
      </w:r>
      <w:r w:rsidR="00DD10AC" w:rsidRPr="007B1676">
        <w:rPr>
          <w:snapToGrid w:val="0"/>
          <w:lang w:val="fr-FR"/>
        </w:rPr>
        <w:t xml:space="preserve"> </w:t>
      </w:r>
      <w:r w:rsidR="00702AE7" w:rsidRPr="007B1676">
        <w:rPr>
          <w:snapToGrid w:val="0"/>
          <w:lang w:val="fr-FR"/>
        </w:rPr>
        <w:t>certaines</w:t>
      </w:r>
      <w:r w:rsidR="00DD10AC" w:rsidRPr="007B1676">
        <w:rPr>
          <w:snapToGrid w:val="0"/>
          <w:lang w:val="fr-FR"/>
        </w:rPr>
        <w:t xml:space="preserve"> questions </w:t>
      </w:r>
      <w:r w:rsidR="00691F04" w:rsidRPr="007B1676">
        <w:rPr>
          <w:snapToGrid w:val="0"/>
          <w:lang w:val="fr-FR"/>
        </w:rPr>
        <w:t>examinées</w:t>
      </w:r>
      <w:r w:rsidR="00DD10AC" w:rsidRPr="007B1676">
        <w:rPr>
          <w:snapToGrid w:val="0"/>
          <w:lang w:val="fr-FR"/>
        </w:rPr>
        <w:t xml:space="preserve"> lors des dernières sessions du Comité administratif et juridique, du Comité consultatif et du Conseil.</w:t>
      </w:r>
    </w:p>
    <w:p w:rsidR="00F77FD5" w:rsidRPr="007B1676" w:rsidRDefault="00F77FD5" w:rsidP="00357731">
      <w:pPr>
        <w:rPr>
          <w:snapToGrid w:val="0"/>
          <w:lang w:val="fr-FR"/>
        </w:rPr>
      </w:pPr>
    </w:p>
    <w:p w:rsidR="00F77FD5" w:rsidRPr="007B1676" w:rsidRDefault="003F0E9F" w:rsidP="00DD10AC">
      <w:pPr>
        <w:rPr>
          <w:snapToGrid w:val="0"/>
          <w:lang w:val="fr-FR"/>
        </w:rPr>
      </w:pPr>
      <w:r w:rsidRPr="007B1676">
        <w:rPr>
          <w:snapToGrid w:val="0"/>
          <w:lang w:val="fr-FR"/>
        </w:rPr>
        <w:fldChar w:fldCharType="begin"/>
      </w:r>
      <w:r w:rsidRPr="007B1676">
        <w:rPr>
          <w:snapToGrid w:val="0"/>
          <w:lang w:val="fr-FR"/>
        </w:rPr>
        <w:instrText xml:space="preserve"> AUTONUM  </w:instrText>
      </w:r>
      <w:r w:rsidRPr="007B1676">
        <w:rPr>
          <w:snapToGrid w:val="0"/>
          <w:lang w:val="fr-FR"/>
        </w:rPr>
        <w:fldChar w:fldCharType="end"/>
      </w:r>
      <w:r w:rsidRPr="007B1676">
        <w:rPr>
          <w:snapToGrid w:val="0"/>
          <w:lang w:val="fr-FR"/>
        </w:rPr>
        <w:tab/>
      </w:r>
      <w:r w:rsidR="00DD10AC" w:rsidRPr="007B1676">
        <w:rPr>
          <w:snapToGrid w:val="0"/>
          <w:lang w:val="fr-FR"/>
        </w:rPr>
        <w:t xml:space="preserve">Un exposé résumant les points traités dans le présent document sera présenté au </w:t>
      </w:r>
      <w:r w:rsidR="00F66982" w:rsidRPr="007B1676">
        <w:rPr>
          <w:snapToGrid w:val="0"/>
          <w:lang w:val="fr-FR"/>
        </w:rPr>
        <w:t>Comité technique à sa cinquante et </w:t>
      </w:r>
      <w:r w:rsidR="00DD10AC" w:rsidRPr="007B1676">
        <w:rPr>
          <w:snapToGrid w:val="0"/>
          <w:lang w:val="fr-FR"/>
        </w:rPr>
        <w:t>unième</w:t>
      </w:r>
      <w:r w:rsidR="00731AD3" w:rsidRPr="007B1676">
        <w:rPr>
          <w:snapToGrid w:val="0"/>
          <w:lang w:val="fr-FR"/>
        </w:rPr>
        <w:t> </w:t>
      </w:r>
      <w:r w:rsidR="00DD10AC" w:rsidRPr="007B1676">
        <w:rPr>
          <w:snapToGrid w:val="0"/>
          <w:lang w:val="fr-FR"/>
        </w:rPr>
        <w:t>session.  Cet exposé fera l</w:t>
      </w:r>
      <w:r w:rsidR="00FC2AC8" w:rsidRPr="007B1676">
        <w:rPr>
          <w:snapToGrid w:val="0"/>
          <w:lang w:val="fr-FR"/>
        </w:rPr>
        <w:t>’</w:t>
      </w:r>
      <w:r w:rsidR="00DD10AC" w:rsidRPr="007B1676">
        <w:rPr>
          <w:snapToGrid w:val="0"/>
          <w:lang w:val="fr-FR"/>
        </w:rPr>
        <w:t>objet d</w:t>
      </w:r>
      <w:r w:rsidR="00FC2AC8" w:rsidRPr="007B1676">
        <w:rPr>
          <w:snapToGrid w:val="0"/>
          <w:lang w:val="fr-FR"/>
        </w:rPr>
        <w:t>’</w:t>
      </w:r>
      <w:r w:rsidR="00DD10AC" w:rsidRPr="007B1676">
        <w:rPr>
          <w:snapToGrid w:val="0"/>
          <w:lang w:val="fr-FR"/>
        </w:rPr>
        <w:t>un additif au présent document (en anglais seulement).</w:t>
      </w:r>
    </w:p>
    <w:p w:rsidR="00F77FD5" w:rsidRPr="007B1676" w:rsidRDefault="00A55B16">
      <w:pPr>
        <w:jc w:val="left"/>
        <w:rPr>
          <w:lang w:val="fr-FR"/>
        </w:rPr>
      </w:pPr>
      <w:r w:rsidRPr="007B1676">
        <w:rPr>
          <w:lang w:val="fr-FR"/>
        </w:rPr>
        <w:br w:type="page"/>
      </w:r>
    </w:p>
    <w:p w:rsidR="007B1676" w:rsidRDefault="00F70558" w:rsidP="00CF1FC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B1676">
        <w:rPr>
          <w:lang w:val="fr-FR"/>
        </w:rPr>
        <w:lastRenderedPageBreak/>
        <w:fldChar w:fldCharType="begin"/>
      </w:r>
      <w:r w:rsidRPr="007B1676">
        <w:rPr>
          <w:lang w:val="fr-FR"/>
        </w:rPr>
        <w:instrText xml:space="preserve"> TOC \o "1-3" \h \z \u </w:instrText>
      </w:r>
      <w:r w:rsidRPr="007B1676">
        <w:rPr>
          <w:lang w:val="fr-FR"/>
        </w:rPr>
        <w:fldChar w:fldCharType="separate"/>
      </w:r>
      <w:hyperlink w:anchor="_Toc413662330" w:history="1">
        <w:r w:rsidR="007B1676" w:rsidRPr="00DD0457">
          <w:rPr>
            <w:rStyle w:val="Hyperlink"/>
            <w:noProof/>
          </w:rPr>
          <w:t>MembRES</w:t>
        </w:r>
        <w:r w:rsidR="007B1676">
          <w:rPr>
            <w:noProof/>
            <w:webHidden/>
          </w:rPr>
          <w:tab/>
        </w:r>
        <w:r w:rsidR="007B1676">
          <w:rPr>
            <w:noProof/>
            <w:webHidden/>
          </w:rPr>
          <w:fldChar w:fldCharType="begin"/>
        </w:r>
        <w:r w:rsidR="007B1676">
          <w:rPr>
            <w:noProof/>
            <w:webHidden/>
          </w:rPr>
          <w:instrText xml:space="preserve"> PAGEREF _Toc413662330 \h </w:instrText>
        </w:r>
        <w:r w:rsidR="007B1676">
          <w:rPr>
            <w:noProof/>
            <w:webHidden/>
          </w:rPr>
        </w:r>
        <w:r w:rsidR="007B1676">
          <w:rPr>
            <w:noProof/>
            <w:webHidden/>
          </w:rPr>
          <w:fldChar w:fldCharType="separate"/>
        </w:r>
        <w:r w:rsidR="00CB14E0">
          <w:rPr>
            <w:noProof/>
            <w:webHidden/>
          </w:rPr>
          <w:t>3</w:t>
        </w:r>
        <w:r w:rsidR="007B1676">
          <w:rPr>
            <w:noProof/>
            <w:webHidden/>
          </w:rPr>
          <w:fldChar w:fldCharType="end"/>
        </w:r>
      </w:hyperlink>
    </w:p>
    <w:p w:rsidR="007B1676" w:rsidRDefault="00CB14E0" w:rsidP="00CF1FC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662331" w:history="1">
        <w:r w:rsidR="007B1676" w:rsidRPr="00DD0457">
          <w:rPr>
            <w:rStyle w:val="Hyperlink"/>
            <w:noProof/>
          </w:rPr>
          <w:t>Membres de l’Union</w:t>
        </w:r>
        <w:r w:rsidR="007B1676">
          <w:rPr>
            <w:noProof/>
            <w:webHidden/>
          </w:rPr>
          <w:tab/>
        </w:r>
        <w:r w:rsidR="007B1676">
          <w:rPr>
            <w:noProof/>
            <w:webHidden/>
          </w:rPr>
          <w:fldChar w:fldCharType="begin"/>
        </w:r>
        <w:r w:rsidR="007B1676">
          <w:rPr>
            <w:noProof/>
            <w:webHidden/>
          </w:rPr>
          <w:instrText xml:space="preserve"> PAGEREF _Toc413662331 \h </w:instrText>
        </w:r>
        <w:r w:rsidR="007B1676">
          <w:rPr>
            <w:noProof/>
            <w:webHidden/>
          </w:rPr>
        </w:r>
        <w:r w:rsidR="007B167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B1676">
          <w:rPr>
            <w:noProof/>
            <w:webHidden/>
          </w:rPr>
          <w:fldChar w:fldCharType="end"/>
        </w:r>
      </w:hyperlink>
    </w:p>
    <w:p w:rsidR="007B1676" w:rsidRDefault="00CB14E0" w:rsidP="00CF1FC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662332" w:history="1">
        <w:r w:rsidR="007B1676" w:rsidRPr="00DD0457">
          <w:rPr>
            <w:rStyle w:val="Hyperlink"/>
            <w:noProof/>
          </w:rPr>
          <w:t>Situation par rapport aux divers actes de la Convention</w:t>
        </w:r>
        <w:r w:rsidR="007B1676">
          <w:rPr>
            <w:noProof/>
            <w:webHidden/>
          </w:rPr>
          <w:tab/>
        </w:r>
        <w:r w:rsidR="007B1676">
          <w:rPr>
            <w:noProof/>
            <w:webHidden/>
          </w:rPr>
          <w:fldChar w:fldCharType="begin"/>
        </w:r>
        <w:r w:rsidR="007B1676">
          <w:rPr>
            <w:noProof/>
            <w:webHidden/>
          </w:rPr>
          <w:instrText xml:space="preserve"> PAGEREF _Toc413662332 \h </w:instrText>
        </w:r>
        <w:r w:rsidR="007B1676">
          <w:rPr>
            <w:noProof/>
            <w:webHidden/>
          </w:rPr>
        </w:r>
        <w:r w:rsidR="007B167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B1676">
          <w:rPr>
            <w:noProof/>
            <w:webHidden/>
          </w:rPr>
          <w:fldChar w:fldCharType="end"/>
        </w:r>
      </w:hyperlink>
    </w:p>
    <w:p w:rsidR="007B1676" w:rsidRDefault="00CB14E0" w:rsidP="00CF1FC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662333" w:history="1">
        <w:r w:rsidR="007B1676" w:rsidRPr="00DD0457">
          <w:rPr>
            <w:rStyle w:val="Hyperlink"/>
            <w:noProof/>
          </w:rPr>
          <w:t>Examen des lois</w:t>
        </w:r>
        <w:r w:rsidR="007B1676">
          <w:rPr>
            <w:noProof/>
            <w:webHidden/>
          </w:rPr>
          <w:tab/>
        </w:r>
        <w:r w:rsidR="007B1676">
          <w:rPr>
            <w:noProof/>
            <w:webHidden/>
          </w:rPr>
          <w:fldChar w:fldCharType="begin"/>
        </w:r>
        <w:r w:rsidR="007B1676">
          <w:rPr>
            <w:noProof/>
            <w:webHidden/>
          </w:rPr>
          <w:instrText xml:space="preserve"> PAGEREF _Toc413662333 \h </w:instrText>
        </w:r>
        <w:r w:rsidR="007B1676">
          <w:rPr>
            <w:noProof/>
            <w:webHidden/>
          </w:rPr>
        </w:r>
        <w:r w:rsidR="007B167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B1676">
          <w:rPr>
            <w:noProof/>
            <w:webHidden/>
          </w:rPr>
          <w:fldChar w:fldCharType="end"/>
        </w:r>
      </w:hyperlink>
    </w:p>
    <w:p w:rsidR="007B1676" w:rsidRDefault="00CB14E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13662334" w:history="1">
        <w:r w:rsidR="007B1676" w:rsidRPr="00DD0457">
          <w:rPr>
            <w:rStyle w:val="Hyperlink"/>
            <w:noProof/>
          </w:rPr>
          <w:t>Organisation régionale africaine de la propriété intellectuelle (ARIPO)</w:t>
        </w:r>
        <w:r w:rsidR="007B1676">
          <w:rPr>
            <w:noProof/>
            <w:webHidden/>
          </w:rPr>
          <w:tab/>
        </w:r>
        <w:r w:rsidR="007B1676">
          <w:rPr>
            <w:noProof/>
            <w:webHidden/>
          </w:rPr>
          <w:fldChar w:fldCharType="begin"/>
        </w:r>
        <w:r w:rsidR="007B1676">
          <w:rPr>
            <w:noProof/>
            <w:webHidden/>
          </w:rPr>
          <w:instrText xml:space="preserve"> PAGEREF _Toc413662334 \h </w:instrText>
        </w:r>
        <w:r w:rsidR="007B1676">
          <w:rPr>
            <w:noProof/>
            <w:webHidden/>
          </w:rPr>
        </w:r>
        <w:r w:rsidR="007B167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B1676">
          <w:rPr>
            <w:noProof/>
            <w:webHidden/>
          </w:rPr>
          <w:fldChar w:fldCharType="end"/>
        </w:r>
      </w:hyperlink>
    </w:p>
    <w:p w:rsidR="007B1676" w:rsidRDefault="00CB14E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13662335" w:history="1">
        <w:r w:rsidR="007B1676" w:rsidRPr="00DD0457">
          <w:rPr>
            <w:rStyle w:val="Hyperlink"/>
            <w:noProof/>
          </w:rPr>
          <w:t>Faits nouveaux concernant la loi sur les droits d’obtenteur pour Zanzibar</w:t>
        </w:r>
        <w:r w:rsidR="007B1676">
          <w:rPr>
            <w:noProof/>
            <w:webHidden/>
          </w:rPr>
          <w:tab/>
        </w:r>
        <w:r w:rsidR="007B1676">
          <w:rPr>
            <w:noProof/>
            <w:webHidden/>
          </w:rPr>
          <w:fldChar w:fldCharType="begin"/>
        </w:r>
        <w:r w:rsidR="007B1676">
          <w:rPr>
            <w:noProof/>
            <w:webHidden/>
          </w:rPr>
          <w:instrText xml:space="preserve"> PAGEREF _Toc413662335 \h </w:instrText>
        </w:r>
        <w:r w:rsidR="007B1676">
          <w:rPr>
            <w:noProof/>
            <w:webHidden/>
          </w:rPr>
        </w:r>
        <w:r w:rsidR="007B167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B1676">
          <w:rPr>
            <w:noProof/>
            <w:webHidden/>
          </w:rPr>
          <w:fldChar w:fldCharType="end"/>
        </w:r>
      </w:hyperlink>
    </w:p>
    <w:p w:rsidR="007B1676" w:rsidRDefault="00CB14E0" w:rsidP="00CF1FC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662336" w:history="1">
        <w:r w:rsidR="007B1676" w:rsidRPr="00DD0457">
          <w:rPr>
            <w:rStyle w:val="Hyperlink"/>
            <w:noProof/>
          </w:rPr>
          <w:t>Observateurs</w:t>
        </w:r>
        <w:r w:rsidR="007B1676">
          <w:rPr>
            <w:noProof/>
            <w:webHidden/>
          </w:rPr>
          <w:tab/>
        </w:r>
        <w:r w:rsidR="007B1676">
          <w:rPr>
            <w:noProof/>
            <w:webHidden/>
          </w:rPr>
          <w:fldChar w:fldCharType="begin"/>
        </w:r>
        <w:r w:rsidR="007B1676">
          <w:rPr>
            <w:noProof/>
            <w:webHidden/>
          </w:rPr>
          <w:instrText xml:space="preserve"> PAGEREF _Toc413662336 \h </w:instrText>
        </w:r>
        <w:r w:rsidR="007B1676">
          <w:rPr>
            <w:noProof/>
            <w:webHidden/>
          </w:rPr>
        </w:r>
        <w:r w:rsidR="007B1676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B1676">
          <w:rPr>
            <w:noProof/>
            <w:webHidden/>
          </w:rPr>
          <w:fldChar w:fldCharType="end"/>
        </w:r>
      </w:hyperlink>
    </w:p>
    <w:p w:rsidR="007B1676" w:rsidRDefault="00CB14E0" w:rsidP="00CF1FC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662337" w:history="1">
        <w:r w:rsidR="007B1676" w:rsidRPr="00DD0457">
          <w:rPr>
            <w:rStyle w:val="Hyperlink"/>
            <w:noProof/>
          </w:rPr>
          <w:t>Bureau de l’Union</w:t>
        </w:r>
        <w:r w:rsidR="007B1676">
          <w:rPr>
            <w:noProof/>
            <w:webHidden/>
          </w:rPr>
          <w:tab/>
        </w:r>
        <w:r w:rsidR="007B1676">
          <w:rPr>
            <w:noProof/>
            <w:webHidden/>
          </w:rPr>
          <w:fldChar w:fldCharType="begin"/>
        </w:r>
        <w:r w:rsidR="007B1676">
          <w:rPr>
            <w:noProof/>
            <w:webHidden/>
          </w:rPr>
          <w:instrText xml:space="preserve"> PAGEREF _Toc413662337 \h </w:instrText>
        </w:r>
        <w:r w:rsidR="007B1676">
          <w:rPr>
            <w:noProof/>
            <w:webHidden/>
          </w:rPr>
        </w:r>
        <w:r w:rsidR="007B167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7B1676">
          <w:rPr>
            <w:noProof/>
            <w:webHidden/>
          </w:rPr>
          <w:fldChar w:fldCharType="end"/>
        </w:r>
      </w:hyperlink>
    </w:p>
    <w:p w:rsidR="007B1676" w:rsidRDefault="00CB14E0" w:rsidP="00CF1FC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662338" w:history="1">
        <w:r w:rsidR="007B1676" w:rsidRPr="00DD0457">
          <w:rPr>
            <w:rStyle w:val="Hyperlink"/>
            <w:noProof/>
          </w:rPr>
          <w:t>Nomination du Secrétaire général</w:t>
        </w:r>
        <w:r w:rsidR="007B1676">
          <w:rPr>
            <w:noProof/>
            <w:webHidden/>
          </w:rPr>
          <w:tab/>
        </w:r>
        <w:r w:rsidR="007B1676">
          <w:rPr>
            <w:noProof/>
            <w:webHidden/>
          </w:rPr>
          <w:fldChar w:fldCharType="begin"/>
        </w:r>
        <w:r w:rsidR="007B1676">
          <w:rPr>
            <w:noProof/>
            <w:webHidden/>
          </w:rPr>
          <w:instrText xml:space="preserve"> PAGEREF _Toc413662338 \h </w:instrText>
        </w:r>
        <w:r w:rsidR="007B1676">
          <w:rPr>
            <w:noProof/>
            <w:webHidden/>
          </w:rPr>
        </w:r>
        <w:r w:rsidR="007B167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7B1676">
          <w:rPr>
            <w:noProof/>
            <w:webHidden/>
          </w:rPr>
          <w:fldChar w:fldCharType="end"/>
        </w:r>
      </w:hyperlink>
    </w:p>
    <w:p w:rsidR="007B1676" w:rsidRDefault="00CB14E0" w:rsidP="00CF1FC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662339" w:history="1">
        <w:r w:rsidR="007B1676" w:rsidRPr="00DD0457">
          <w:rPr>
            <w:rStyle w:val="Hyperlink"/>
            <w:noProof/>
          </w:rPr>
          <w:t>StatistiQUEs sur la Protection des obtentions végétales</w:t>
        </w:r>
        <w:r w:rsidR="007B1676">
          <w:rPr>
            <w:noProof/>
            <w:webHidden/>
          </w:rPr>
          <w:tab/>
        </w:r>
        <w:r w:rsidR="007B1676">
          <w:rPr>
            <w:noProof/>
            <w:webHidden/>
          </w:rPr>
          <w:fldChar w:fldCharType="begin"/>
        </w:r>
        <w:r w:rsidR="007B1676">
          <w:rPr>
            <w:noProof/>
            <w:webHidden/>
          </w:rPr>
          <w:instrText xml:space="preserve"> PAGEREF _Toc413662339 \h </w:instrText>
        </w:r>
        <w:r w:rsidR="007B1676">
          <w:rPr>
            <w:noProof/>
            <w:webHidden/>
          </w:rPr>
        </w:r>
        <w:r w:rsidR="007B167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7B1676">
          <w:rPr>
            <w:noProof/>
            <w:webHidden/>
          </w:rPr>
          <w:fldChar w:fldCharType="end"/>
        </w:r>
      </w:hyperlink>
    </w:p>
    <w:p w:rsidR="007B1676" w:rsidRDefault="00CB14E0" w:rsidP="00CF1FC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662340" w:history="1">
        <w:r w:rsidR="007B1676" w:rsidRPr="00DD0457">
          <w:rPr>
            <w:rStyle w:val="Hyperlink"/>
            <w:rFonts w:eastAsia="MS Mincho"/>
            <w:noProof/>
            <w:lang w:eastAsia="ja-JP"/>
          </w:rPr>
          <w:t>Liste des taxons protégés par les membres de l’Union</w:t>
        </w:r>
        <w:r w:rsidR="007B1676">
          <w:rPr>
            <w:noProof/>
            <w:webHidden/>
          </w:rPr>
          <w:tab/>
        </w:r>
        <w:r w:rsidR="007B1676">
          <w:rPr>
            <w:noProof/>
            <w:webHidden/>
          </w:rPr>
          <w:fldChar w:fldCharType="begin"/>
        </w:r>
        <w:r w:rsidR="007B1676">
          <w:rPr>
            <w:noProof/>
            <w:webHidden/>
          </w:rPr>
          <w:instrText xml:space="preserve"> PAGEREF _Toc413662340 \h </w:instrText>
        </w:r>
        <w:r w:rsidR="007B1676">
          <w:rPr>
            <w:noProof/>
            <w:webHidden/>
          </w:rPr>
        </w:r>
        <w:r w:rsidR="007B167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7B1676">
          <w:rPr>
            <w:noProof/>
            <w:webHidden/>
          </w:rPr>
          <w:fldChar w:fldCharType="end"/>
        </w:r>
      </w:hyperlink>
    </w:p>
    <w:p w:rsidR="007B1676" w:rsidRDefault="00CB14E0" w:rsidP="00CF1FC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662341" w:history="1">
        <w:r w:rsidR="007B1676" w:rsidRPr="00DD0457">
          <w:rPr>
            <w:rStyle w:val="Hyperlink"/>
            <w:noProof/>
          </w:rPr>
          <w:t>Statistiques sur la protection des obtentions végétales</w:t>
        </w:r>
        <w:r w:rsidR="007B1676">
          <w:rPr>
            <w:noProof/>
            <w:webHidden/>
          </w:rPr>
          <w:tab/>
        </w:r>
        <w:r w:rsidR="007B1676">
          <w:rPr>
            <w:noProof/>
            <w:webHidden/>
          </w:rPr>
          <w:fldChar w:fldCharType="begin"/>
        </w:r>
        <w:r w:rsidR="007B1676">
          <w:rPr>
            <w:noProof/>
            <w:webHidden/>
          </w:rPr>
          <w:instrText xml:space="preserve"> PAGEREF _Toc413662341 \h </w:instrText>
        </w:r>
        <w:r w:rsidR="007B1676">
          <w:rPr>
            <w:noProof/>
            <w:webHidden/>
          </w:rPr>
        </w:r>
        <w:r w:rsidR="007B167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7B1676">
          <w:rPr>
            <w:noProof/>
            <w:webHidden/>
          </w:rPr>
          <w:fldChar w:fldCharType="end"/>
        </w:r>
      </w:hyperlink>
    </w:p>
    <w:p w:rsidR="007B1676" w:rsidRDefault="00CB14E0" w:rsidP="00CF1FC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662342" w:history="1">
        <w:r w:rsidR="007B1676" w:rsidRPr="00DD0457">
          <w:rPr>
            <w:rStyle w:val="Hyperlink"/>
            <w:noProof/>
          </w:rPr>
          <w:t>Coopération en matière d’examen d’obtentions végétales</w:t>
        </w:r>
        <w:r w:rsidR="007B1676">
          <w:rPr>
            <w:noProof/>
            <w:webHidden/>
          </w:rPr>
          <w:tab/>
        </w:r>
        <w:r w:rsidR="007B1676">
          <w:rPr>
            <w:noProof/>
            <w:webHidden/>
          </w:rPr>
          <w:fldChar w:fldCharType="begin"/>
        </w:r>
        <w:r w:rsidR="007B1676">
          <w:rPr>
            <w:noProof/>
            <w:webHidden/>
          </w:rPr>
          <w:instrText xml:space="preserve"> PAGEREF _Toc413662342 \h </w:instrText>
        </w:r>
        <w:r w:rsidR="007B1676">
          <w:rPr>
            <w:noProof/>
            <w:webHidden/>
          </w:rPr>
        </w:r>
        <w:r w:rsidR="007B167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7B1676">
          <w:rPr>
            <w:noProof/>
            <w:webHidden/>
          </w:rPr>
          <w:fldChar w:fldCharType="end"/>
        </w:r>
      </w:hyperlink>
    </w:p>
    <w:p w:rsidR="007B1676" w:rsidRDefault="00CB14E0" w:rsidP="00CF1FC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662343" w:history="1">
        <w:r w:rsidR="007B1676" w:rsidRPr="00DD0457">
          <w:rPr>
            <w:rStyle w:val="Hyperlink"/>
            <w:noProof/>
          </w:rPr>
          <w:t>situation financière</w:t>
        </w:r>
        <w:r w:rsidR="007B1676">
          <w:rPr>
            <w:noProof/>
            <w:webHidden/>
          </w:rPr>
          <w:tab/>
        </w:r>
        <w:r w:rsidR="007B1676">
          <w:rPr>
            <w:noProof/>
            <w:webHidden/>
          </w:rPr>
          <w:fldChar w:fldCharType="begin"/>
        </w:r>
        <w:r w:rsidR="007B1676">
          <w:rPr>
            <w:noProof/>
            <w:webHidden/>
          </w:rPr>
          <w:instrText xml:space="preserve"> PAGEREF _Toc413662343 \h </w:instrText>
        </w:r>
        <w:r w:rsidR="007B1676">
          <w:rPr>
            <w:noProof/>
            <w:webHidden/>
          </w:rPr>
        </w:r>
        <w:r w:rsidR="007B167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7B1676">
          <w:rPr>
            <w:noProof/>
            <w:webHidden/>
          </w:rPr>
          <w:fldChar w:fldCharType="end"/>
        </w:r>
      </w:hyperlink>
    </w:p>
    <w:p w:rsidR="007B1676" w:rsidRDefault="00CB14E0" w:rsidP="00CF1FC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662344" w:history="1">
        <w:r w:rsidR="007B1676" w:rsidRPr="00DD0457">
          <w:rPr>
            <w:rStyle w:val="Hyperlink"/>
            <w:noProof/>
          </w:rPr>
          <w:t>Fonds spécial pour des projets</w:t>
        </w:r>
        <w:r w:rsidR="007B1676">
          <w:rPr>
            <w:noProof/>
            <w:webHidden/>
          </w:rPr>
          <w:tab/>
        </w:r>
        <w:r w:rsidR="007B1676">
          <w:rPr>
            <w:noProof/>
            <w:webHidden/>
          </w:rPr>
          <w:fldChar w:fldCharType="begin"/>
        </w:r>
        <w:r w:rsidR="007B1676">
          <w:rPr>
            <w:noProof/>
            <w:webHidden/>
          </w:rPr>
          <w:instrText xml:space="preserve"> PAGEREF _Toc413662344 \h </w:instrText>
        </w:r>
        <w:r w:rsidR="007B1676">
          <w:rPr>
            <w:noProof/>
            <w:webHidden/>
          </w:rPr>
        </w:r>
        <w:r w:rsidR="007B167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7B1676">
          <w:rPr>
            <w:noProof/>
            <w:webHidden/>
          </w:rPr>
          <w:fldChar w:fldCharType="end"/>
        </w:r>
      </w:hyperlink>
    </w:p>
    <w:p w:rsidR="007B1676" w:rsidRDefault="00CB14E0" w:rsidP="00CF1FC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662345" w:history="1">
        <w:r w:rsidR="007B1676" w:rsidRPr="00DD0457">
          <w:rPr>
            <w:rStyle w:val="Hyperlink"/>
            <w:noProof/>
          </w:rPr>
          <w:t>présidence d’organes de l’UPOV</w:t>
        </w:r>
        <w:r w:rsidR="007B1676">
          <w:rPr>
            <w:noProof/>
            <w:webHidden/>
          </w:rPr>
          <w:tab/>
        </w:r>
        <w:r w:rsidR="007B1676">
          <w:rPr>
            <w:noProof/>
            <w:webHidden/>
          </w:rPr>
          <w:fldChar w:fldCharType="begin"/>
        </w:r>
        <w:r w:rsidR="007B1676">
          <w:rPr>
            <w:noProof/>
            <w:webHidden/>
          </w:rPr>
          <w:instrText xml:space="preserve"> PAGEREF _Toc413662345 \h </w:instrText>
        </w:r>
        <w:r w:rsidR="007B1676">
          <w:rPr>
            <w:noProof/>
            <w:webHidden/>
          </w:rPr>
        </w:r>
        <w:r w:rsidR="007B1676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7B1676">
          <w:rPr>
            <w:noProof/>
            <w:webHidden/>
          </w:rPr>
          <w:fldChar w:fldCharType="end"/>
        </w:r>
      </w:hyperlink>
    </w:p>
    <w:p w:rsidR="007B1676" w:rsidRDefault="00CB14E0" w:rsidP="00CF1FC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662346" w:history="1">
        <w:r w:rsidR="007B1676" w:rsidRPr="00DD0457">
          <w:rPr>
            <w:rStyle w:val="Hyperlink"/>
            <w:noProof/>
          </w:rPr>
          <w:t>Collection UPOV</w:t>
        </w:r>
        <w:r w:rsidR="007B1676">
          <w:rPr>
            <w:noProof/>
            <w:webHidden/>
          </w:rPr>
          <w:tab/>
        </w:r>
        <w:r w:rsidR="007B1676">
          <w:rPr>
            <w:noProof/>
            <w:webHidden/>
          </w:rPr>
          <w:fldChar w:fldCharType="begin"/>
        </w:r>
        <w:r w:rsidR="007B1676">
          <w:rPr>
            <w:noProof/>
            <w:webHidden/>
          </w:rPr>
          <w:instrText xml:space="preserve"> PAGEREF _Toc413662346 \h </w:instrText>
        </w:r>
        <w:r w:rsidR="007B1676">
          <w:rPr>
            <w:noProof/>
            <w:webHidden/>
          </w:rPr>
        </w:r>
        <w:r w:rsidR="007B1676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B1676">
          <w:rPr>
            <w:noProof/>
            <w:webHidden/>
          </w:rPr>
          <w:fldChar w:fldCharType="end"/>
        </w:r>
      </w:hyperlink>
    </w:p>
    <w:p w:rsidR="007B1676" w:rsidRDefault="00CB14E0" w:rsidP="00CF1FC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662347" w:history="1">
        <w:r w:rsidR="007B1676" w:rsidRPr="00DD0457">
          <w:rPr>
            <w:rStyle w:val="Hyperlink"/>
            <w:noProof/>
          </w:rPr>
          <w:t>Programme d’élaboration de notes explicatives sur la Convention UPOV</w:t>
        </w:r>
        <w:r w:rsidR="007B1676">
          <w:rPr>
            <w:noProof/>
            <w:webHidden/>
          </w:rPr>
          <w:tab/>
        </w:r>
        <w:r w:rsidR="007B1676">
          <w:rPr>
            <w:noProof/>
            <w:webHidden/>
          </w:rPr>
          <w:fldChar w:fldCharType="begin"/>
        </w:r>
        <w:r w:rsidR="007B1676">
          <w:rPr>
            <w:noProof/>
            <w:webHidden/>
          </w:rPr>
          <w:instrText xml:space="preserve"> PAGEREF _Toc413662347 \h </w:instrText>
        </w:r>
        <w:r w:rsidR="007B1676">
          <w:rPr>
            <w:noProof/>
            <w:webHidden/>
          </w:rPr>
        </w:r>
        <w:r w:rsidR="007B1676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7B1676">
          <w:rPr>
            <w:noProof/>
            <w:webHidden/>
          </w:rPr>
          <w:fldChar w:fldCharType="end"/>
        </w:r>
      </w:hyperlink>
    </w:p>
    <w:p w:rsidR="007B1676" w:rsidRDefault="00CB14E0" w:rsidP="00CF1FC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662348" w:history="1">
        <w:r w:rsidR="007B1676" w:rsidRPr="00DD0457">
          <w:rPr>
            <w:rStyle w:val="Hyperlink"/>
            <w:noProof/>
          </w:rPr>
          <w:t>Documents de L’UPOV</w:t>
        </w:r>
        <w:r w:rsidR="007B1676">
          <w:rPr>
            <w:noProof/>
            <w:webHidden/>
          </w:rPr>
          <w:tab/>
        </w:r>
        <w:r w:rsidR="007B1676">
          <w:rPr>
            <w:noProof/>
            <w:webHidden/>
          </w:rPr>
          <w:fldChar w:fldCharType="begin"/>
        </w:r>
        <w:r w:rsidR="007B1676">
          <w:rPr>
            <w:noProof/>
            <w:webHidden/>
          </w:rPr>
          <w:instrText xml:space="preserve"> PAGEREF _Toc413662348 \h </w:instrText>
        </w:r>
        <w:r w:rsidR="007B1676">
          <w:rPr>
            <w:noProof/>
            <w:webHidden/>
          </w:rPr>
        </w:r>
        <w:r w:rsidR="007B1676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7B1676">
          <w:rPr>
            <w:noProof/>
            <w:webHidden/>
          </w:rPr>
          <w:fldChar w:fldCharType="end"/>
        </w:r>
      </w:hyperlink>
    </w:p>
    <w:p w:rsidR="007B1676" w:rsidRDefault="00CB14E0" w:rsidP="00CF1FC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662349" w:history="1">
        <w:r w:rsidR="007B1676" w:rsidRPr="00DD0457">
          <w:rPr>
            <w:rStyle w:val="Hyperlink"/>
            <w:noProof/>
          </w:rPr>
          <w:t>Documents historiques sur le site Web de l’UPOV</w:t>
        </w:r>
        <w:r w:rsidR="007B1676">
          <w:rPr>
            <w:noProof/>
            <w:webHidden/>
          </w:rPr>
          <w:tab/>
        </w:r>
        <w:r w:rsidR="007B1676">
          <w:rPr>
            <w:noProof/>
            <w:webHidden/>
          </w:rPr>
          <w:fldChar w:fldCharType="begin"/>
        </w:r>
        <w:r w:rsidR="007B1676">
          <w:rPr>
            <w:noProof/>
            <w:webHidden/>
          </w:rPr>
          <w:instrText xml:space="preserve"> PAGEREF _Toc413662349 \h </w:instrText>
        </w:r>
        <w:r w:rsidR="007B1676">
          <w:rPr>
            <w:noProof/>
            <w:webHidden/>
          </w:rPr>
        </w:r>
        <w:r w:rsidR="007B1676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7B1676">
          <w:rPr>
            <w:noProof/>
            <w:webHidden/>
          </w:rPr>
          <w:fldChar w:fldCharType="end"/>
        </w:r>
      </w:hyperlink>
    </w:p>
    <w:p w:rsidR="007B1676" w:rsidRDefault="00CB14E0" w:rsidP="00CF1FC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662350" w:history="1">
        <w:r w:rsidR="007B1676" w:rsidRPr="00DD0457">
          <w:rPr>
            <w:rStyle w:val="Hyperlink"/>
            <w:noProof/>
          </w:rPr>
          <w:t>Documents de réunion du CAJ</w:t>
        </w:r>
        <w:r w:rsidR="007B1676">
          <w:rPr>
            <w:noProof/>
            <w:webHidden/>
          </w:rPr>
          <w:tab/>
        </w:r>
        <w:r w:rsidR="007B1676">
          <w:rPr>
            <w:noProof/>
            <w:webHidden/>
          </w:rPr>
          <w:fldChar w:fldCharType="begin"/>
        </w:r>
        <w:r w:rsidR="007B1676">
          <w:rPr>
            <w:noProof/>
            <w:webHidden/>
          </w:rPr>
          <w:instrText xml:space="preserve"> PAGEREF _Toc413662350 \h </w:instrText>
        </w:r>
        <w:r w:rsidR="007B1676">
          <w:rPr>
            <w:noProof/>
            <w:webHidden/>
          </w:rPr>
        </w:r>
        <w:r w:rsidR="007B1676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7B1676">
          <w:rPr>
            <w:noProof/>
            <w:webHidden/>
          </w:rPr>
          <w:fldChar w:fldCharType="end"/>
        </w:r>
      </w:hyperlink>
    </w:p>
    <w:p w:rsidR="007B1676" w:rsidRDefault="00CB14E0" w:rsidP="00CF1FC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662351" w:history="1">
        <w:r w:rsidR="007B1676" w:rsidRPr="00DD0457">
          <w:rPr>
            <w:rStyle w:val="Hyperlink"/>
            <w:noProof/>
          </w:rPr>
          <w:t>PUBLICATIONS, activitÉs et FORMATION</w:t>
        </w:r>
        <w:r w:rsidR="007B1676">
          <w:rPr>
            <w:noProof/>
            <w:webHidden/>
          </w:rPr>
          <w:tab/>
        </w:r>
        <w:r w:rsidR="007B1676">
          <w:rPr>
            <w:noProof/>
            <w:webHidden/>
          </w:rPr>
          <w:fldChar w:fldCharType="begin"/>
        </w:r>
        <w:r w:rsidR="007B1676">
          <w:rPr>
            <w:noProof/>
            <w:webHidden/>
          </w:rPr>
          <w:instrText xml:space="preserve"> PAGEREF _Toc413662351 \h </w:instrText>
        </w:r>
        <w:r w:rsidR="007B1676">
          <w:rPr>
            <w:noProof/>
            <w:webHidden/>
          </w:rPr>
        </w:r>
        <w:r w:rsidR="007B1676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7B1676">
          <w:rPr>
            <w:noProof/>
            <w:webHidden/>
          </w:rPr>
          <w:fldChar w:fldCharType="end"/>
        </w:r>
      </w:hyperlink>
    </w:p>
    <w:p w:rsidR="007B1676" w:rsidRDefault="00CB14E0" w:rsidP="00CF1FC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662352" w:history="1">
        <w:r w:rsidR="007B1676" w:rsidRPr="00DD0457">
          <w:rPr>
            <w:rStyle w:val="Hyperlink"/>
            <w:noProof/>
          </w:rPr>
          <w:t>Stratégie de communication</w:t>
        </w:r>
        <w:r w:rsidR="007B1676">
          <w:rPr>
            <w:noProof/>
            <w:webHidden/>
          </w:rPr>
          <w:tab/>
        </w:r>
        <w:r w:rsidR="007B1676">
          <w:rPr>
            <w:noProof/>
            <w:webHidden/>
          </w:rPr>
          <w:fldChar w:fldCharType="begin"/>
        </w:r>
        <w:r w:rsidR="007B1676">
          <w:rPr>
            <w:noProof/>
            <w:webHidden/>
          </w:rPr>
          <w:instrText xml:space="preserve"> PAGEREF _Toc413662352 \h </w:instrText>
        </w:r>
        <w:r w:rsidR="007B1676">
          <w:rPr>
            <w:noProof/>
            <w:webHidden/>
          </w:rPr>
        </w:r>
        <w:r w:rsidR="007B1676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7B1676">
          <w:rPr>
            <w:noProof/>
            <w:webHidden/>
          </w:rPr>
          <w:fldChar w:fldCharType="end"/>
        </w:r>
      </w:hyperlink>
    </w:p>
    <w:p w:rsidR="007B1676" w:rsidRDefault="00CB14E0" w:rsidP="00CF1FC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662353" w:history="1">
        <w:r w:rsidR="007B1676" w:rsidRPr="00DD0457">
          <w:rPr>
            <w:rStyle w:val="Hyperlink"/>
            <w:noProof/>
          </w:rPr>
          <w:t>Publication sur la trilogie</w:t>
        </w:r>
        <w:r w:rsidR="007B1676">
          <w:rPr>
            <w:noProof/>
            <w:webHidden/>
          </w:rPr>
          <w:tab/>
        </w:r>
        <w:r w:rsidR="007B1676">
          <w:rPr>
            <w:noProof/>
            <w:webHidden/>
          </w:rPr>
          <w:fldChar w:fldCharType="begin"/>
        </w:r>
        <w:r w:rsidR="007B1676">
          <w:rPr>
            <w:noProof/>
            <w:webHidden/>
          </w:rPr>
          <w:instrText xml:space="preserve"> PAGEREF _Toc413662353 \h </w:instrText>
        </w:r>
        <w:r w:rsidR="007B1676">
          <w:rPr>
            <w:noProof/>
            <w:webHidden/>
          </w:rPr>
        </w:r>
        <w:r w:rsidR="007B1676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7B1676">
          <w:rPr>
            <w:noProof/>
            <w:webHidden/>
          </w:rPr>
          <w:fldChar w:fldCharType="end"/>
        </w:r>
      </w:hyperlink>
    </w:p>
    <w:p w:rsidR="007B1676" w:rsidRDefault="00CB14E0" w:rsidP="00CF1FC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662354" w:history="1">
        <w:r w:rsidR="007B1676" w:rsidRPr="00DD0457">
          <w:rPr>
            <w:rStyle w:val="Hyperlink"/>
            <w:noProof/>
          </w:rPr>
          <w:t>Séminaire sur les variétés essentiellement dérivées</w:t>
        </w:r>
        <w:r w:rsidR="007B1676">
          <w:rPr>
            <w:noProof/>
            <w:webHidden/>
          </w:rPr>
          <w:tab/>
        </w:r>
        <w:r w:rsidR="007B1676">
          <w:rPr>
            <w:noProof/>
            <w:webHidden/>
          </w:rPr>
          <w:fldChar w:fldCharType="begin"/>
        </w:r>
        <w:r w:rsidR="007B1676">
          <w:rPr>
            <w:noProof/>
            <w:webHidden/>
          </w:rPr>
          <w:instrText xml:space="preserve"> PAGEREF _Toc413662354 \h </w:instrText>
        </w:r>
        <w:r w:rsidR="007B1676">
          <w:rPr>
            <w:noProof/>
            <w:webHidden/>
          </w:rPr>
        </w:r>
        <w:r w:rsidR="007B1676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7B1676">
          <w:rPr>
            <w:noProof/>
            <w:webHidden/>
          </w:rPr>
          <w:fldChar w:fldCharType="end"/>
        </w:r>
      </w:hyperlink>
    </w:p>
    <w:p w:rsidR="007B1676" w:rsidRDefault="00CB14E0" w:rsidP="00CF1FC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662355" w:history="1">
        <w:r w:rsidR="007B1676" w:rsidRPr="00DD0457">
          <w:rPr>
            <w:rStyle w:val="Hyperlink"/>
            <w:noProof/>
          </w:rPr>
          <w:t>Cours d’enseignement à distance</w:t>
        </w:r>
        <w:r w:rsidR="007B1676">
          <w:rPr>
            <w:noProof/>
            <w:webHidden/>
          </w:rPr>
          <w:tab/>
        </w:r>
        <w:r w:rsidR="007B1676">
          <w:rPr>
            <w:noProof/>
            <w:webHidden/>
          </w:rPr>
          <w:fldChar w:fldCharType="begin"/>
        </w:r>
        <w:r w:rsidR="007B1676">
          <w:rPr>
            <w:noProof/>
            <w:webHidden/>
          </w:rPr>
          <w:instrText xml:space="preserve"> PAGEREF _Toc413662355 \h </w:instrText>
        </w:r>
        <w:r w:rsidR="007B1676">
          <w:rPr>
            <w:noProof/>
            <w:webHidden/>
          </w:rPr>
        </w:r>
        <w:r w:rsidR="007B1676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7B1676">
          <w:rPr>
            <w:noProof/>
            <w:webHidden/>
          </w:rPr>
          <w:fldChar w:fldCharType="end"/>
        </w:r>
      </w:hyperlink>
    </w:p>
    <w:p w:rsidR="007B1676" w:rsidRDefault="00CB14E0" w:rsidP="00CF1FC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662356" w:history="1">
        <w:r w:rsidR="007B1676" w:rsidRPr="00DD0457">
          <w:rPr>
            <w:rStyle w:val="Hyperlink"/>
            <w:noProof/>
          </w:rPr>
          <w:t>SYSTèME DE DéPÔT INTERNATIONAL, ASSURANCE QUALITé ET RECHERCHE DE DéNOMINATIONS VARIéTALES – proposition</w:t>
        </w:r>
        <w:r w:rsidR="007B1676">
          <w:rPr>
            <w:noProof/>
            <w:webHidden/>
          </w:rPr>
          <w:tab/>
        </w:r>
        <w:r w:rsidR="007B1676">
          <w:rPr>
            <w:noProof/>
            <w:webHidden/>
          </w:rPr>
          <w:fldChar w:fldCharType="begin"/>
        </w:r>
        <w:r w:rsidR="007B1676">
          <w:rPr>
            <w:noProof/>
            <w:webHidden/>
          </w:rPr>
          <w:instrText xml:space="preserve"> PAGEREF _Toc413662356 \h </w:instrText>
        </w:r>
        <w:r w:rsidR="007B1676">
          <w:rPr>
            <w:noProof/>
            <w:webHidden/>
          </w:rPr>
        </w:r>
        <w:r w:rsidR="007B1676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7B1676">
          <w:rPr>
            <w:noProof/>
            <w:webHidden/>
          </w:rPr>
          <w:fldChar w:fldCharType="end"/>
        </w:r>
      </w:hyperlink>
    </w:p>
    <w:p w:rsidR="007B1676" w:rsidRDefault="00CB14E0" w:rsidP="00CF1FC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662357" w:history="1">
        <w:r w:rsidR="007B1676" w:rsidRPr="00DD0457">
          <w:rPr>
            <w:rStyle w:val="Hyperlink"/>
            <w:noProof/>
          </w:rPr>
          <w:t>éléments nouveaux dans les travaux d’autres instances internationales présentant un intérêt pour l’UPOV</w:t>
        </w:r>
        <w:r w:rsidR="007B1676">
          <w:rPr>
            <w:noProof/>
            <w:webHidden/>
          </w:rPr>
          <w:tab/>
        </w:r>
        <w:r w:rsidR="007B1676">
          <w:rPr>
            <w:noProof/>
            <w:webHidden/>
          </w:rPr>
          <w:fldChar w:fldCharType="begin"/>
        </w:r>
        <w:r w:rsidR="007B1676">
          <w:rPr>
            <w:noProof/>
            <w:webHidden/>
          </w:rPr>
          <w:instrText xml:space="preserve"> PAGEREF _Toc413662357 \h </w:instrText>
        </w:r>
        <w:r w:rsidR="007B1676">
          <w:rPr>
            <w:noProof/>
            <w:webHidden/>
          </w:rPr>
        </w:r>
        <w:r w:rsidR="007B1676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7B1676">
          <w:rPr>
            <w:noProof/>
            <w:webHidden/>
          </w:rPr>
          <w:fldChar w:fldCharType="end"/>
        </w:r>
      </w:hyperlink>
    </w:p>
    <w:p w:rsidR="007B1676" w:rsidRDefault="00CB14E0" w:rsidP="00CF1FC7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662358" w:history="1">
        <w:r w:rsidR="007B1676" w:rsidRPr="00DD0457">
          <w:rPr>
            <w:rStyle w:val="Hyperlink"/>
            <w:noProof/>
          </w:rPr>
          <w:t>Traité international sur les ressources phytogénétiques pour l’alimentation et l’agriculture (TIRPGAA)</w:t>
        </w:r>
        <w:r w:rsidR="007B1676">
          <w:rPr>
            <w:noProof/>
            <w:webHidden/>
          </w:rPr>
          <w:tab/>
        </w:r>
        <w:r w:rsidR="007B1676">
          <w:rPr>
            <w:noProof/>
            <w:webHidden/>
          </w:rPr>
          <w:fldChar w:fldCharType="begin"/>
        </w:r>
        <w:r w:rsidR="007B1676">
          <w:rPr>
            <w:noProof/>
            <w:webHidden/>
          </w:rPr>
          <w:instrText xml:space="preserve"> PAGEREF _Toc413662358 \h </w:instrText>
        </w:r>
        <w:r w:rsidR="007B1676">
          <w:rPr>
            <w:noProof/>
            <w:webHidden/>
          </w:rPr>
        </w:r>
        <w:r w:rsidR="007B1676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7B1676">
          <w:rPr>
            <w:noProof/>
            <w:webHidden/>
          </w:rPr>
          <w:fldChar w:fldCharType="end"/>
        </w:r>
      </w:hyperlink>
    </w:p>
    <w:p w:rsidR="007B1676" w:rsidRDefault="00CB14E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13662359" w:history="1">
        <w:r w:rsidR="007B1676" w:rsidRPr="00DD0457">
          <w:rPr>
            <w:rStyle w:val="Hyperlink"/>
            <w:noProof/>
          </w:rPr>
          <w:t>Relations entre le TIRPGAA, l’UPOV et l’OMPI</w:t>
        </w:r>
        <w:r w:rsidR="007B1676">
          <w:rPr>
            <w:noProof/>
            <w:webHidden/>
          </w:rPr>
          <w:tab/>
        </w:r>
        <w:r w:rsidR="007B1676">
          <w:rPr>
            <w:noProof/>
            <w:webHidden/>
          </w:rPr>
          <w:fldChar w:fldCharType="begin"/>
        </w:r>
        <w:r w:rsidR="007B1676">
          <w:rPr>
            <w:noProof/>
            <w:webHidden/>
          </w:rPr>
          <w:instrText xml:space="preserve"> PAGEREF _Toc413662359 \h </w:instrText>
        </w:r>
        <w:r w:rsidR="007B1676">
          <w:rPr>
            <w:noProof/>
            <w:webHidden/>
          </w:rPr>
        </w:r>
        <w:r w:rsidR="007B1676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7B1676">
          <w:rPr>
            <w:noProof/>
            <w:webHidden/>
          </w:rPr>
          <w:fldChar w:fldCharType="end"/>
        </w:r>
      </w:hyperlink>
    </w:p>
    <w:p w:rsidR="007B1676" w:rsidRDefault="00CB14E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13662360" w:history="1">
        <w:r w:rsidR="007B1676" w:rsidRPr="00DD0457">
          <w:rPr>
            <w:rStyle w:val="Hyperlink"/>
            <w:noProof/>
          </w:rPr>
          <w:t>Organisation de coopération et de développement économiques (OCDE)</w:t>
        </w:r>
        <w:r w:rsidR="007B1676">
          <w:rPr>
            <w:noProof/>
            <w:webHidden/>
          </w:rPr>
          <w:tab/>
        </w:r>
        <w:r w:rsidR="007B1676">
          <w:rPr>
            <w:noProof/>
            <w:webHidden/>
          </w:rPr>
          <w:fldChar w:fldCharType="begin"/>
        </w:r>
        <w:r w:rsidR="007B1676">
          <w:rPr>
            <w:noProof/>
            <w:webHidden/>
          </w:rPr>
          <w:instrText xml:space="preserve"> PAGEREF _Toc413662360 \h </w:instrText>
        </w:r>
        <w:r w:rsidR="007B1676">
          <w:rPr>
            <w:noProof/>
            <w:webHidden/>
          </w:rPr>
        </w:r>
        <w:r w:rsidR="007B1676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7B1676">
          <w:rPr>
            <w:noProof/>
            <w:webHidden/>
          </w:rPr>
          <w:fldChar w:fldCharType="end"/>
        </w:r>
      </w:hyperlink>
    </w:p>
    <w:p w:rsidR="007B1676" w:rsidRDefault="00CB14E0" w:rsidP="00CF1FC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13662361" w:history="1">
        <w:r w:rsidR="007B1676" w:rsidRPr="00DD0457">
          <w:rPr>
            <w:rStyle w:val="Hyperlink"/>
            <w:noProof/>
          </w:rPr>
          <w:t>Hommage à M. François Boulineau (France), président du Groupe de travail technique sur les plantes potagères (TWV)</w:t>
        </w:r>
        <w:r w:rsidR="007B1676">
          <w:rPr>
            <w:noProof/>
            <w:webHidden/>
          </w:rPr>
          <w:tab/>
        </w:r>
        <w:r w:rsidR="007B1676">
          <w:rPr>
            <w:noProof/>
            <w:webHidden/>
          </w:rPr>
          <w:fldChar w:fldCharType="begin"/>
        </w:r>
        <w:r w:rsidR="007B1676">
          <w:rPr>
            <w:noProof/>
            <w:webHidden/>
          </w:rPr>
          <w:instrText xml:space="preserve"> PAGEREF _Toc413662361 \h </w:instrText>
        </w:r>
        <w:r w:rsidR="007B1676">
          <w:rPr>
            <w:noProof/>
            <w:webHidden/>
          </w:rPr>
        </w:r>
        <w:r w:rsidR="007B1676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7B1676">
          <w:rPr>
            <w:noProof/>
            <w:webHidden/>
          </w:rPr>
          <w:fldChar w:fldCharType="end"/>
        </w:r>
      </w:hyperlink>
    </w:p>
    <w:p w:rsidR="00F77FD5" w:rsidRPr="007B1676" w:rsidRDefault="00F70558" w:rsidP="00050E16">
      <w:pPr>
        <w:rPr>
          <w:lang w:val="fr-FR"/>
        </w:rPr>
      </w:pPr>
      <w:r w:rsidRPr="007B1676">
        <w:rPr>
          <w:lang w:val="fr-FR"/>
        </w:rPr>
        <w:fldChar w:fldCharType="end"/>
      </w:r>
    </w:p>
    <w:p w:rsidR="00F77FD5" w:rsidRPr="007B1676" w:rsidRDefault="00A55B16">
      <w:pPr>
        <w:jc w:val="left"/>
        <w:rPr>
          <w:caps/>
          <w:lang w:val="fr-FR"/>
        </w:rPr>
      </w:pPr>
      <w:r w:rsidRPr="007B1676">
        <w:rPr>
          <w:lang w:val="fr-FR"/>
        </w:rPr>
        <w:br w:type="page"/>
      </w:r>
    </w:p>
    <w:p w:rsidR="00F77FD5" w:rsidRPr="007B1676" w:rsidRDefault="0018540A" w:rsidP="00464B0B">
      <w:pPr>
        <w:pStyle w:val="Heading1"/>
        <w:rPr>
          <w:color w:val="auto"/>
        </w:rPr>
      </w:pPr>
      <w:bookmarkStart w:id="5" w:name="_Toc413662330"/>
      <w:r w:rsidRPr="007B1676">
        <w:rPr>
          <w:color w:val="auto"/>
        </w:rPr>
        <w:lastRenderedPageBreak/>
        <w:t>MembRES</w:t>
      </w:r>
      <w:bookmarkEnd w:id="5"/>
    </w:p>
    <w:p w:rsidR="00F77FD5" w:rsidRPr="007B1676" w:rsidRDefault="00F77FD5" w:rsidP="00050E16">
      <w:pPr>
        <w:rPr>
          <w:lang w:val="fr-FR"/>
        </w:rPr>
      </w:pPr>
    </w:p>
    <w:p w:rsidR="00F77FD5" w:rsidRPr="007B1676" w:rsidRDefault="0018540A" w:rsidP="0085250E">
      <w:pPr>
        <w:pStyle w:val="Heading2"/>
        <w:rPr>
          <w:color w:val="auto"/>
        </w:rPr>
      </w:pPr>
      <w:bookmarkStart w:id="6" w:name="_Toc413662331"/>
      <w:r w:rsidRPr="007B1676">
        <w:rPr>
          <w:color w:val="auto"/>
        </w:rPr>
        <w:t>Membres de l</w:t>
      </w:r>
      <w:r w:rsidR="00FC2AC8" w:rsidRPr="007B1676">
        <w:rPr>
          <w:color w:val="auto"/>
        </w:rPr>
        <w:t>’</w:t>
      </w:r>
      <w:r w:rsidRPr="007B1676">
        <w:rPr>
          <w:color w:val="auto"/>
        </w:rPr>
        <w:t>Union</w:t>
      </w:r>
      <w:bookmarkEnd w:id="6"/>
    </w:p>
    <w:p w:rsidR="00F77FD5" w:rsidRPr="007B1676" w:rsidRDefault="00F77FD5" w:rsidP="00506508">
      <w:pPr>
        <w:rPr>
          <w:lang w:val="fr-FR"/>
        </w:rPr>
      </w:pPr>
    </w:p>
    <w:p w:rsidR="00FC2AC8" w:rsidRPr="007B1676" w:rsidRDefault="00B45708" w:rsidP="00B45708">
      <w:pPr>
        <w:rPr>
          <w:rFonts w:cs="Arial"/>
          <w:lang w:val="fr-FR"/>
        </w:rPr>
      </w:pPr>
      <w:r w:rsidRPr="007B1676">
        <w:rPr>
          <w:rFonts w:cs="Arial"/>
          <w:lang w:val="fr-FR"/>
        </w:rPr>
        <w:fldChar w:fldCharType="begin"/>
      </w:r>
      <w:r w:rsidRPr="007B1676">
        <w:rPr>
          <w:rFonts w:cs="Arial"/>
          <w:lang w:val="fr-FR"/>
        </w:rPr>
        <w:instrText xml:space="preserve"> AUTONUM  </w:instrText>
      </w:r>
      <w:r w:rsidRPr="007B1676">
        <w:rPr>
          <w:rFonts w:cs="Arial"/>
          <w:lang w:val="fr-FR"/>
        </w:rPr>
        <w:fldChar w:fldCharType="end"/>
      </w:r>
      <w:r w:rsidRPr="007B1676">
        <w:rPr>
          <w:rFonts w:cs="Arial"/>
          <w:lang w:val="fr-FR"/>
        </w:rPr>
        <w:tab/>
      </w:r>
      <w:r w:rsidR="00B45B2E" w:rsidRPr="007B1676">
        <w:rPr>
          <w:rFonts w:cs="Arial"/>
          <w:lang w:val="fr-FR"/>
        </w:rPr>
        <w:t>L</w:t>
      </w:r>
      <w:r w:rsidR="00FC2AC8" w:rsidRPr="007B1676">
        <w:rPr>
          <w:rFonts w:cs="Arial"/>
          <w:lang w:val="fr-FR"/>
        </w:rPr>
        <w:t>’</w:t>
      </w:r>
      <w:r w:rsidR="00B45B2E" w:rsidRPr="007B1676">
        <w:rPr>
          <w:rFonts w:cs="Arial"/>
          <w:lang w:val="fr-FR"/>
        </w:rPr>
        <w:t xml:space="preserve">Organisation africaine </w:t>
      </w:r>
      <w:r w:rsidR="00BF1499" w:rsidRPr="007B1676">
        <w:rPr>
          <w:rFonts w:cs="Arial"/>
          <w:lang w:val="fr-FR"/>
        </w:rPr>
        <w:t>de</w:t>
      </w:r>
      <w:r w:rsidR="00B45B2E" w:rsidRPr="007B1676">
        <w:rPr>
          <w:rFonts w:cs="Arial"/>
          <w:lang w:val="fr-FR"/>
        </w:rPr>
        <w:t xml:space="preserve"> la propriété intellectuelle (OAPI) </w:t>
      </w:r>
      <w:r w:rsidR="00BF1499" w:rsidRPr="007B1676">
        <w:rPr>
          <w:rFonts w:cs="Arial"/>
          <w:lang w:val="fr-FR"/>
        </w:rPr>
        <w:t>est devenue la deuxième organisation intergouvernementale et le soixante</w:t>
      </w:r>
      <w:r w:rsidR="00F66982" w:rsidRPr="007B1676">
        <w:rPr>
          <w:rFonts w:cs="Arial"/>
          <w:lang w:val="fr-FR"/>
        </w:rPr>
        <w:noBreakHyphen/>
      </w:r>
      <w:r w:rsidR="00BF1499" w:rsidRPr="007B1676">
        <w:rPr>
          <w:rFonts w:cs="Arial"/>
          <w:lang w:val="fr-FR"/>
        </w:rPr>
        <w:t>douzième membre de l</w:t>
      </w:r>
      <w:r w:rsidR="00FC2AC8" w:rsidRPr="007B1676">
        <w:rPr>
          <w:rFonts w:cs="Arial"/>
          <w:lang w:val="fr-FR"/>
        </w:rPr>
        <w:t>’</w:t>
      </w:r>
      <w:r w:rsidR="00BF1499" w:rsidRPr="007B1676">
        <w:rPr>
          <w:rFonts w:cs="Arial"/>
          <w:lang w:val="fr-FR"/>
        </w:rPr>
        <w:t>Union internationale pour la protection des obtentions végétales (UPOV) le 1</w:t>
      </w:r>
      <w:r w:rsidR="00FC2AC8" w:rsidRPr="007B1676">
        <w:rPr>
          <w:rFonts w:cs="Arial"/>
          <w:lang w:val="fr-FR"/>
        </w:rPr>
        <w:t>0 juillet 20</w:t>
      </w:r>
      <w:r w:rsidR="00BF1499" w:rsidRPr="007B1676">
        <w:rPr>
          <w:rFonts w:cs="Arial"/>
          <w:lang w:val="fr-FR"/>
        </w:rPr>
        <w:t>14.</w:t>
      </w:r>
    </w:p>
    <w:p w:rsidR="00F77FD5" w:rsidRPr="007B1676" w:rsidRDefault="00F77FD5" w:rsidP="00B45708">
      <w:pPr>
        <w:rPr>
          <w:rFonts w:cs="Arial"/>
          <w:lang w:val="fr-FR"/>
        </w:rPr>
      </w:pPr>
    </w:p>
    <w:p w:rsidR="00F77FD5" w:rsidRPr="007B1676" w:rsidRDefault="00B45708" w:rsidP="00B45708">
      <w:pPr>
        <w:rPr>
          <w:lang w:val="fr-FR"/>
        </w:rPr>
      </w:pPr>
      <w:r w:rsidRPr="007B1676">
        <w:rPr>
          <w:lang w:val="fr-FR"/>
        </w:rPr>
        <w:fldChar w:fldCharType="begin"/>
      </w:r>
      <w:r w:rsidRPr="007B1676">
        <w:rPr>
          <w:lang w:val="fr-FR"/>
        </w:rPr>
        <w:instrText xml:space="preserve"> AUTONUM  </w:instrText>
      </w:r>
      <w:r w:rsidRPr="007B1676">
        <w:rPr>
          <w:lang w:val="fr-FR"/>
        </w:rPr>
        <w:fldChar w:fldCharType="end"/>
      </w:r>
      <w:r w:rsidRPr="007B1676">
        <w:rPr>
          <w:lang w:val="fr-FR"/>
        </w:rPr>
        <w:tab/>
      </w:r>
      <w:r w:rsidR="00BF1499" w:rsidRPr="007B1676">
        <w:rPr>
          <w:lang w:val="fr-FR"/>
        </w:rPr>
        <w:t>L</w:t>
      </w:r>
      <w:r w:rsidR="00FC2AC8" w:rsidRPr="007B1676">
        <w:rPr>
          <w:lang w:val="fr-FR"/>
        </w:rPr>
        <w:t>’</w:t>
      </w:r>
      <w:r w:rsidR="00BF1499" w:rsidRPr="007B1676">
        <w:rPr>
          <w:lang w:val="fr-FR"/>
        </w:rPr>
        <w:t xml:space="preserve">OAPI gère un système de protection des obtentions végétales couvrant le territoire de ses 17 États membres : </w:t>
      </w:r>
      <w:r w:rsidR="00A17EFD" w:rsidRPr="007B1676">
        <w:rPr>
          <w:lang w:val="fr-FR"/>
        </w:rPr>
        <w:t>Bénin, Burkina Faso, Cameroun, Comores, Congo, Côte d</w:t>
      </w:r>
      <w:r w:rsidR="00FC2AC8" w:rsidRPr="007B1676">
        <w:rPr>
          <w:lang w:val="fr-FR"/>
        </w:rPr>
        <w:t>’</w:t>
      </w:r>
      <w:r w:rsidR="00A17EFD" w:rsidRPr="007B1676">
        <w:rPr>
          <w:lang w:val="fr-FR"/>
        </w:rPr>
        <w:t>Ivoire, Gabon, Guinée, Guinée Bissau, Guinée équatoriale, Mali, Mauritanie, Niger, République centrafricaine, Sénégal, Tchad et Togo</w:t>
      </w:r>
      <w:r w:rsidRPr="007B1676">
        <w:rPr>
          <w:lang w:val="fr-FR"/>
        </w:rPr>
        <w:t xml:space="preserve">. </w:t>
      </w:r>
      <w:r w:rsidR="00D15D1B" w:rsidRPr="007B1676">
        <w:rPr>
          <w:lang w:val="fr-FR"/>
        </w:rPr>
        <w:t>Le siège de l</w:t>
      </w:r>
      <w:r w:rsidR="00FC2AC8" w:rsidRPr="007B1676">
        <w:rPr>
          <w:lang w:val="fr-FR"/>
        </w:rPr>
        <w:t>’</w:t>
      </w:r>
      <w:r w:rsidR="00D15D1B" w:rsidRPr="007B1676">
        <w:rPr>
          <w:lang w:val="fr-FR"/>
        </w:rPr>
        <w:t xml:space="preserve">OAPI se situe à </w:t>
      </w:r>
      <w:r w:rsidRPr="007B1676">
        <w:rPr>
          <w:lang w:val="fr-FR"/>
        </w:rPr>
        <w:t>Yaoundé</w:t>
      </w:r>
      <w:r w:rsidR="00D15D1B" w:rsidRPr="007B1676">
        <w:rPr>
          <w:lang w:val="fr-FR"/>
        </w:rPr>
        <w:t xml:space="preserve"> (</w:t>
      </w:r>
      <w:r w:rsidRPr="007B1676">
        <w:rPr>
          <w:lang w:val="fr-FR"/>
        </w:rPr>
        <w:t>Camero</w:t>
      </w:r>
      <w:r w:rsidR="00D15D1B" w:rsidRPr="007B1676">
        <w:rPr>
          <w:lang w:val="fr-FR"/>
        </w:rPr>
        <w:t>u</w:t>
      </w:r>
      <w:r w:rsidRPr="007B1676">
        <w:rPr>
          <w:lang w:val="fr-FR"/>
        </w:rPr>
        <w:t>n</w:t>
      </w:r>
      <w:r w:rsidR="00D15D1B" w:rsidRPr="007B1676">
        <w:rPr>
          <w:lang w:val="fr-FR"/>
        </w:rPr>
        <w:t>)</w:t>
      </w:r>
      <w:r w:rsidR="007D2C67" w:rsidRPr="007B1676">
        <w:rPr>
          <w:lang w:val="fr-FR"/>
        </w:rPr>
        <w:t xml:space="preserve"> (voir</w:t>
      </w:r>
      <w:r w:rsidRPr="007B1676">
        <w:rPr>
          <w:lang w:val="fr-FR"/>
        </w:rPr>
        <w:t xml:space="preserve"> </w:t>
      </w:r>
      <w:r w:rsidR="00CB14E0">
        <w:fldChar w:fldCharType="begin"/>
      </w:r>
      <w:r w:rsidR="00CB14E0" w:rsidRPr="00CB14E0">
        <w:rPr>
          <w:lang w:val="fr-CH"/>
        </w:rPr>
        <w:instrText xml:space="preserve"> HYPERLINK "http://www.oapi.int/" </w:instrText>
      </w:r>
      <w:r w:rsidR="00CB14E0">
        <w:fldChar w:fldCharType="separate"/>
      </w:r>
      <w:r w:rsidR="00923268" w:rsidRPr="00CA24E1">
        <w:rPr>
          <w:rStyle w:val="Hyperlink"/>
          <w:lang w:val="fr-FR"/>
        </w:rPr>
        <w:t>http://www.oapi.int/</w:t>
      </w:r>
      <w:r w:rsidR="00CB14E0">
        <w:rPr>
          <w:rStyle w:val="Hyperlink"/>
          <w:lang w:val="fr-FR"/>
        </w:rPr>
        <w:fldChar w:fldCharType="end"/>
      </w:r>
      <w:r w:rsidRPr="007B1676">
        <w:rPr>
          <w:lang w:val="fr-FR"/>
        </w:rPr>
        <w:t>).</w:t>
      </w:r>
    </w:p>
    <w:p w:rsidR="00F77FD5" w:rsidRPr="007B1676" w:rsidRDefault="00F77FD5" w:rsidP="00411628">
      <w:pPr>
        <w:rPr>
          <w:lang w:val="fr-FR"/>
        </w:rPr>
      </w:pPr>
    </w:p>
    <w:p w:rsidR="00F77FD5" w:rsidRPr="007B1676" w:rsidRDefault="00411628" w:rsidP="0018540A">
      <w:pPr>
        <w:rPr>
          <w:lang w:val="fr-FR"/>
        </w:rPr>
      </w:pPr>
      <w:r w:rsidRPr="007B1676">
        <w:rPr>
          <w:lang w:val="fr-FR"/>
        </w:rPr>
        <w:fldChar w:fldCharType="begin"/>
      </w:r>
      <w:r w:rsidRPr="007B1676">
        <w:rPr>
          <w:lang w:val="fr-FR"/>
        </w:rPr>
        <w:instrText xml:space="preserve"> AUTONUM  </w:instrText>
      </w:r>
      <w:r w:rsidRPr="007B1676">
        <w:rPr>
          <w:lang w:val="fr-FR"/>
        </w:rPr>
        <w:fldChar w:fldCharType="end"/>
      </w:r>
      <w:r w:rsidRPr="007B1676">
        <w:rPr>
          <w:lang w:val="fr-FR"/>
        </w:rPr>
        <w:tab/>
      </w:r>
      <w:r w:rsidR="0018540A" w:rsidRPr="007B1676">
        <w:rPr>
          <w:lang w:val="fr-FR"/>
        </w:rPr>
        <w:t xml:space="preserve">Au </w:t>
      </w:r>
      <w:r w:rsidR="00FC2AC8" w:rsidRPr="007B1676">
        <w:rPr>
          <w:lang w:val="fr-FR"/>
        </w:rPr>
        <w:t>1</w:t>
      </w:r>
      <w:r w:rsidR="00FC2AC8" w:rsidRPr="007B1676">
        <w:rPr>
          <w:vertAlign w:val="superscript"/>
          <w:lang w:val="fr-FR"/>
        </w:rPr>
        <w:t>er</w:t>
      </w:r>
      <w:r w:rsidR="00FC2AC8" w:rsidRPr="007B1676">
        <w:rPr>
          <w:lang w:val="fr-FR"/>
        </w:rPr>
        <w:t> mars 20</w:t>
      </w:r>
      <w:r w:rsidR="00A775C5" w:rsidRPr="007B1676">
        <w:rPr>
          <w:lang w:val="fr-FR"/>
        </w:rPr>
        <w:t>15, l</w:t>
      </w:r>
      <w:r w:rsidR="00FC2AC8" w:rsidRPr="007B1676">
        <w:rPr>
          <w:lang w:val="fr-FR"/>
        </w:rPr>
        <w:t>’</w:t>
      </w:r>
      <w:r w:rsidR="00A775C5" w:rsidRPr="007B1676">
        <w:rPr>
          <w:lang w:val="fr-FR"/>
        </w:rPr>
        <w:t>Union comptait 72 </w:t>
      </w:r>
      <w:r w:rsidR="0018540A" w:rsidRPr="007B1676">
        <w:rPr>
          <w:lang w:val="fr-FR"/>
        </w:rPr>
        <w:t>membres</w:t>
      </w:r>
      <w:r w:rsidR="00731AD3" w:rsidRPr="007B1676">
        <w:rPr>
          <w:lang w:val="fr-FR"/>
        </w:rPr>
        <w:t> </w:t>
      </w:r>
      <w:r w:rsidR="0018540A" w:rsidRPr="007B1676">
        <w:rPr>
          <w:lang w:val="fr-FR"/>
        </w:rPr>
        <w:t xml:space="preserve">: Afrique du Sud, </w:t>
      </w:r>
      <w:r w:rsidR="0080162A" w:rsidRPr="007B1676">
        <w:rPr>
          <w:lang w:val="fr-FR"/>
        </w:rPr>
        <w:t>Albanie,</w:t>
      </w:r>
      <w:r w:rsidR="0080162A">
        <w:rPr>
          <w:lang w:val="fr-FR"/>
        </w:rPr>
        <w:t xml:space="preserve"> </w:t>
      </w:r>
      <w:r w:rsidR="0018540A" w:rsidRPr="007B1676">
        <w:rPr>
          <w:lang w:val="fr-FR"/>
        </w:rPr>
        <w:t>Allemagne, Argentine, Australie, Autriche, Azerbaïdjan, Bélarus, Belgique, Bolivie (État plurinational de), Brésil, Bulgarie, Canada, Chili, Chine, Colombie, Costa Rica, Croatie, Danemark, Équateur, Espagne, Estonie, États</w:t>
      </w:r>
      <w:r w:rsidR="00F66982" w:rsidRPr="007B1676">
        <w:rPr>
          <w:lang w:val="fr-FR"/>
        </w:rPr>
        <w:noBreakHyphen/>
      </w:r>
      <w:r w:rsidR="0018540A" w:rsidRPr="007B1676">
        <w:rPr>
          <w:lang w:val="fr-FR"/>
        </w:rPr>
        <w:t>Unis d</w:t>
      </w:r>
      <w:r w:rsidR="00FC2AC8" w:rsidRPr="007B1676">
        <w:rPr>
          <w:lang w:val="fr-FR"/>
        </w:rPr>
        <w:t>’</w:t>
      </w:r>
      <w:r w:rsidR="0018540A" w:rsidRPr="007B1676">
        <w:rPr>
          <w:lang w:val="fr-FR"/>
        </w:rPr>
        <w:t>Amérique, ex</w:t>
      </w:r>
      <w:r w:rsidR="00F66982" w:rsidRPr="007B1676">
        <w:rPr>
          <w:lang w:val="fr-FR"/>
        </w:rPr>
        <w:noBreakHyphen/>
      </w:r>
      <w:r w:rsidR="0018540A" w:rsidRPr="007B1676">
        <w:rPr>
          <w:lang w:val="fr-FR"/>
        </w:rPr>
        <w:t>République yougoslave de Macédoine, Fédération de Russie, Finlande, France, Géorgie, Hongrie, Irlande, Islande, Israël, Italie, Japon, Jordanie, Kenya, Kirghizistan, Lettonie, Lituanie, Maroc, Mexique, Nicaragua, Norvège, Nouvelle</w:t>
      </w:r>
      <w:r w:rsidR="00F66982" w:rsidRPr="007B1676">
        <w:rPr>
          <w:lang w:val="fr-FR"/>
        </w:rPr>
        <w:noBreakHyphen/>
      </w:r>
      <w:r w:rsidR="0018540A" w:rsidRPr="007B1676">
        <w:rPr>
          <w:lang w:val="fr-FR"/>
        </w:rPr>
        <w:t>Zélande, Oman, Organisation africaine de la propriété intellectuelle, Ouzbékistan, Panama, Paraguay, Pays</w:t>
      </w:r>
      <w:r w:rsidR="00F66982" w:rsidRPr="007B1676">
        <w:rPr>
          <w:lang w:val="fr-FR"/>
        </w:rPr>
        <w:noBreakHyphen/>
      </w:r>
      <w:r w:rsidR="0018540A" w:rsidRPr="007B1676">
        <w:rPr>
          <w:lang w:val="fr-FR"/>
        </w:rPr>
        <w:t>Bas, Pérou, Pologne, Portugal, République de Corée, République de Moldova, République dominicaine, République tchèque, Roumanie, Royaume</w:t>
      </w:r>
      <w:r w:rsidR="00F66982" w:rsidRPr="007B1676">
        <w:rPr>
          <w:lang w:val="fr-FR"/>
        </w:rPr>
        <w:noBreakHyphen/>
      </w:r>
      <w:r w:rsidR="0018540A" w:rsidRPr="007B1676">
        <w:rPr>
          <w:lang w:val="fr-FR"/>
        </w:rPr>
        <w:t>Uni, Serbie, Singapour, Slovaquie, Slovénie, Suède, Suisse, Trinité</w:t>
      </w:r>
      <w:r w:rsidR="00F66982" w:rsidRPr="007B1676">
        <w:rPr>
          <w:lang w:val="fr-FR"/>
        </w:rPr>
        <w:noBreakHyphen/>
      </w:r>
      <w:r w:rsidR="0018540A" w:rsidRPr="007B1676">
        <w:rPr>
          <w:lang w:val="fr-FR"/>
        </w:rPr>
        <w:t>et</w:t>
      </w:r>
      <w:r w:rsidR="00F66982" w:rsidRPr="007B1676">
        <w:rPr>
          <w:lang w:val="fr-FR"/>
        </w:rPr>
        <w:noBreakHyphen/>
      </w:r>
      <w:r w:rsidR="0018540A" w:rsidRPr="007B1676">
        <w:rPr>
          <w:lang w:val="fr-FR"/>
        </w:rPr>
        <w:t>Tobago, Tunisie, Turquie, Ukraine, Union européenne, Uruguay et Viet</w:t>
      </w:r>
      <w:r w:rsidR="00731AD3" w:rsidRPr="007B1676">
        <w:rPr>
          <w:lang w:val="fr-FR"/>
        </w:rPr>
        <w:t> </w:t>
      </w:r>
      <w:r w:rsidR="0018540A" w:rsidRPr="007B1676">
        <w:rPr>
          <w:lang w:val="fr-FR"/>
        </w:rPr>
        <w:t>Nam.</w:t>
      </w:r>
    </w:p>
    <w:p w:rsidR="00F77FD5" w:rsidRPr="007B1676" w:rsidRDefault="00F77FD5" w:rsidP="00411628">
      <w:pPr>
        <w:rPr>
          <w:lang w:val="fr-FR"/>
        </w:rPr>
      </w:pPr>
    </w:p>
    <w:p w:rsidR="00F77FD5" w:rsidRPr="007B1676" w:rsidRDefault="00F77FD5" w:rsidP="00411628">
      <w:pPr>
        <w:rPr>
          <w:lang w:val="fr-FR"/>
        </w:rPr>
      </w:pPr>
    </w:p>
    <w:p w:rsidR="00F77FD5" w:rsidRPr="007B1676" w:rsidRDefault="0018540A" w:rsidP="0085250E">
      <w:pPr>
        <w:pStyle w:val="Heading2"/>
        <w:rPr>
          <w:color w:val="auto"/>
        </w:rPr>
      </w:pPr>
      <w:bookmarkStart w:id="7" w:name="_Toc413662332"/>
      <w:r w:rsidRPr="007B1676">
        <w:rPr>
          <w:color w:val="auto"/>
        </w:rPr>
        <w:t xml:space="preserve">Situation par rapport aux </w:t>
      </w:r>
      <w:r w:rsidR="00D15D1B" w:rsidRPr="007B1676">
        <w:rPr>
          <w:color w:val="auto"/>
        </w:rPr>
        <w:t>divers</w:t>
      </w:r>
      <w:r w:rsidRPr="007B1676">
        <w:rPr>
          <w:color w:val="auto"/>
        </w:rPr>
        <w:t xml:space="preserve"> actes de la Convention</w:t>
      </w:r>
      <w:bookmarkEnd w:id="7"/>
    </w:p>
    <w:p w:rsidR="00F77FD5" w:rsidRPr="007B1676" w:rsidRDefault="00F77FD5" w:rsidP="00411628">
      <w:pPr>
        <w:keepNext/>
        <w:rPr>
          <w:lang w:val="fr-FR"/>
        </w:rPr>
      </w:pPr>
    </w:p>
    <w:p w:rsidR="00F77FD5" w:rsidRPr="007B1676" w:rsidRDefault="00411628" w:rsidP="00411628">
      <w:pPr>
        <w:rPr>
          <w:lang w:val="fr-FR"/>
        </w:rPr>
      </w:pPr>
      <w:r w:rsidRPr="007B1676">
        <w:rPr>
          <w:lang w:val="fr-FR"/>
        </w:rPr>
        <w:fldChar w:fldCharType="begin"/>
      </w:r>
      <w:r w:rsidRPr="007B1676">
        <w:rPr>
          <w:lang w:val="fr-FR"/>
        </w:rPr>
        <w:instrText xml:space="preserve"> AUTONUM  </w:instrText>
      </w:r>
      <w:r w:rsidRPr="007B1676">
        <w:rPr>
          <w:lang w:val="fr-FR"/>
        </w:rPr>
        <w:fldChar w:fldCharType="end"/>
      </w:r>
      <w:r w:rsidRPr="007B1676">
        <w:rPr>
          <w:lang w:val="fr-FR"/>
        </w:rPr>
        <w:tab/>
      </w:r>
      <w:r w:rsidR="00F273C5" w:rsidRPr="007B1676">
        <w:rPr>
          <w:lang w:val="fr-FR"/>
        </w:rPr>
        <w:t xml:space="preserve">Au </w:t>
      </w:r>
      <w:r w:rsidR="00FC2AC8" w:rsidRPr="007B1676">
        <w:rPr>
          <w:lang w:val="fr-FR"/>
        </w:rPr>
        <w:t>1</w:t>
      </w:r>
      <w:r w:rsidR="00FC2AC8" w:rsidRPr="007B1676">
        <w:rPr>
          <w:vertAlign w:val="superscript"/>
          <w:lang w:val="fr-FR"/>
        </w:rPr>
        <w:t>er</w:t>
      </w:r>
      <w:r w:rsidR="00FC2AC8" w:rsidRPr="007B1676">
        <w:rPr>
          <w:lang w:val="fr-FR"/>
        </w:rPr>
        <w:t> </w:t>
      </w:r>
      <w:r w:rsidR="00F273C5" w:rsidRPr="007B1676">
        <w:rPr>
          <w:lang w:val="fr-FR"/>
        </w:rPr>
        <w:t>mars 2015, 52 membres étaient liés par l</w:t>
      </w:r>
      <w:r w:rsidR="00FC2AC8" w:rsidRPr="007B1676">
        <w:rPr>
          <w:lang w:val="fr-FR"/>
        </w:rPr>
        <w:t>’</w:t>
      </w:r>
      <w:r w:rsidR="00F273C5" w:rsidRPr="007B1676">
        <w:rPr>
          <w:lang w:val="fr-FR"/>
        </w:rPr>
        <w:t>Acte de</w:t>
      </w:r>
      <w:r w:rsidR="00731AD3" w:rsidRPr="007B1676">
        <w:rPr>
          <w:lang w:val="fr-FR"/>
        </w:rPr>
        <w:t> </w:t>
      </w:r>
      <w:r w:rsidR="00F273C5" w:rsidRPr="007B1676">
        <w:rPr>
          <w:lang w:val="fr-FR"/>
        </w:rPr>
        <w:t>1991</w:t>
      </w:r>
      <w:r w:rsidRPr="007B1676">
        <w:rPr>
          <w:lang w:val="fr-FR"/>
        </w:rPr>
        <w:t>.</w:t>
      </w:r>
    </w:p>
    <w:p w:rsidR="00F77FD5" w:rsidRPr="007B1676" w:rsidRDefault="00F77FD5" w:rsidP="00411628">
      <w:pPr>
        <w:rPr>
          <w:lang w:val="fr-FR"/>
        </w:rPr>
      </w:pPr>
    </w:p>
    <w:p w:rsidR="00FC2AC8" w:rsidRPr="007B1676" w:rsidRDefault="00411628" w:rsidP="0018540A">
      <w:pPr>
        <w:rPr>
          <w:lang w:val="fr-FR"/>
        </w:rPr>
      </w:pPr>
      <w:r w:rsidRPr="007B1676">
        <w:rPr>
          <w:lang w:val="fr-FR"/>
        </w:rPr>
        <w:fldChar w:fldCharType="begin"/>
      </w:r>
      <w:r w:rsidRPr="007B1676">
        <w:rPr>
          <w:lang w:val="fr-FR"/>
        </w:rPr>
        <w:instrText xml:space="preserve"> AUTONUM  </w:instrText>
      </w:r>
      <w:r w:rsidRPr="007B1676">
        <w:rPr>
          <w:lang w:val="fr-FR"/>
        </w:rPr>
        <w:fldChar w:fldCharType="end"/>
      </w:r>
      <w:r w:rsidRPr="007B1676">
        <w:rPr>
          <w:lang w:val="fr-FR"/>
        </w:rPr>
        <w:tab/>
      </w:r>
      <w:r w:rsidR="0018540A" w:rsidRPr="007B1676">
        <w:rPr>
          <w:lang w:val="fr-FR"/>
        </w:rPr>
        <w:t>Au 1</w:t>
      </w:r>
      <w:r w:rsidR="00F273C5" w:rsidRPr="007B1676">
        <w:rPr>
          <w:vertAlign w:val="superscript"/>
          <w:lang w:val="fr-FR"/>
        </w:rPr>
        <w:t>er</w:t>
      </w:r>
      <w:r w:rsidR="00F273C5" w:rsidRPr="007B1676">
        <w:rPr>
          <w:lang w:val="fr-FR"/>
        </w:rPr>
        <w:t> mars 2015, un membre était lié par la Convention de 1961 modifiée par l</w:t>
      </w:r>
      <w:r w:rsidR="00FC2AC8" w:rsidRPr="007B1676">
        <w:rPr>
          <w:lang w:val="fr-FR"/>
        </w:rPr>
        <w:t>’</w:t>
      </w:r>
      <w:r w:rsidR="00F273C5" w:rsidRPr="007B1676">
        <w:rPr>
          <w:lang w:val="fr-FR"/>
        </w:rPr>
        <w:t>Acte de 1972 et 19 membres étaient liés par l</w:t>
      </w:r>
      <w:r w:rsidR="00FC2AC8" w:rsidRPr="007B1676">
        <w:rPr>
          <w:lang w:val="fr-FR"/>
        </w:rPr>
        <w:t>’</w:t>
      </w:r>
      <w:r w:rsidR="00F273C5" w:rsidRPr="007B1676">
        <w:rPr>
          <w:lang w:val="fr-FR"/>
        </w:rPr>
        <w:t>Acte de 1978</w:t>
      </w:r>
      <w:r w:rsidR="0018540A" w:rsidRPr="007B1676">
        <w:rPr>
          <w:lang w:val="fr-FR"/>
        </w:rPr>
        <w:t>.</w:t>
      </w:r>
    </w:p>
    <w:p w:rsidR="00F77FD5" w:rsidRPr="007B1676" w:rsidRDefault="00F77FD5" w:rsidP="00071841">
      <w:pPr>
        <w:rPr>
          <w:lang w:val="fr-FR"/>
        </w:rPr>
      </w:pPr>
    </w:p>
    <w:p w:rsidR="00F77FD5" w:rsidRPr="007B1676" w:rsidRDefault="00F77FD5" w:rsidP="00071841">
      <w:pPr>
        <w:rPr>
          <w:lang w:val="fr-FR"/>
        </w:rPr>
      </w:pPr>
    </w:p>
    <w:p w:rsidR="00F77FD5" w:rsidRPr="007B1676" w:rsidRDefault="0018540A" w:rsidP="0085250E">
      <w:pPr>
        <w:pStyle w:val="Heading2"/>
        <w:rPr>
          <w:color w:val="auto"/>
        </w:rPr>
      </w:pPr>
      <w:bookmarkStart w:id="8" w:name="_Toc413662333"/>
      <w:r w:rsidRPr="007B1676">
        <w:rPr>
          <w:color w:val="auto"/>
        </w:rPr>
        <w:t>Examen des lois</w:t>
      </w:r>
      <w:bookmarkEnd w:id="8"/>
    </w:p>
    <w:p w:rsidR="00F77FD5" w:rsidRPr="007B1676" w:rsidRDefault="00F77FD5" w:rsidP="00071841">
      <w:pPr>
        <w:keepNext/>
        <w:rPr>
          <w:lang w:val="fr-FR"/>
        </w:rPr>
      </w:pPr>
    </w:p>
    <w:p w:rsidR="00F77FD5" w:rsidRPr="007B1676" w:rsidRDefault="0018540A" w:rsidP="007D2C67">
      <w:pPr>
        <w:pStyle w:val="Heading3"/>
        <w:rPr>
          <w:color w:val="auto"/>
        </w:rPr>
      </w:pPr>
      <w:bookmarkStart w:id="9" w:name="_Toc413662334"/>
      <w:r w:rsidRPr="007B1676">
        <w:rPr>
          <w:color w:val="auto"/>
        </w:rPr>
        <w:t>Organisation régionale africaine de la propriété intellectuelle (ARIPO)</w:t>
      </w:r>
      <w:bookmarkEnd w:id="9"/>
    </w:p>
    <w:p w:rsidR="00F77FD5" w:rsidRPr="007B1676" w:rsidRDefault="00F77FD5" w:rsidP="00506508">
      <w:pPr>
        <w:rPr>
          <w:lang w:val="fr-FR"/>
        </w:rPr>
      </w:pPr>
    </w:p>
    <w:p w:rsidR="00F77FD5" w:rsidRPr="007B1676" w:rsidRDefault="00271830" w:rsidP="0018540A">
      <w:pPr>
        <w:rPr>
          <w:lang w:val="fr-FR"/>
        </w:rPr>
      </w:pPr>
      <w:r w:rsidRPr="007B1676">
        <w:rPr>
          <w:lang w:val="fr-FR"/>
        </w:rPr>
        <w:fldChar w:fldCharType="begin"/>
      </w:r>
      <w:r w:rsidRPr="007B1676">
        <w:rPr>
          <w:lang w:val="fr-FR"/>
        </w:rPr>
        <w:instrText xml:space="preserve"> AUTONUM  </w:instrText>
      </w:r>
      <w:r w:rsidRPr="007B1676">
        <w:rPr>
          <w:lang w:val="fr-FR"/>
        </w:rPr>
        <w:fldChar w:fldCharType="end"/>
      </w:r>
      <w:r w:rsidRPr="007B1676">
        <w:rPr>
          <w:lang w:val="fr-FR"/>
        </w:rPr>
        <w:tab/>
      </w:r>
      <w:r w:rsidR="00584303" w:rsidRPr="007B1676">
        <w:rPr>
          <w:lang w:val="fr-FR"/>
        </w:rPr>
        <w:t>À sa trente et unième</w:t>
      </w:r>
      <w:r w:rsidR="00731AD3" w:rsidRPr="007B1676">
        <w:rPr>
          <w:lang w:val="fr-FR"/>
        </w:rPr>
        <w:t> </w:t>
      </w:r>
      <w:r w:rsidR="00584303" w:rsidRPr="007B1676">
        <w:rPr>
          <w:lang w:val="fr-FR"/>
        </w:rPr>
        <w:t>session extraordinaire tenue à Genève le 1</w:t>
      </w:r>
      <w:r w:rsidR="00FC2AC8" w:rsidRPr="007B1676">
        <w:rPr>
          <w:lang w:val="fr-FR"/>
        </w:rPr>
        <w:t>1 avril 20</w:t>
      </w:r>
      <w:r w:rsidR="00584303" w:rsidRPr="007B1676">
        <w:rPr>
          <w:lang w:val="fr-FR"/>
        </w:rPr>
        <w:t xml:space="preserve">14, le Conseil </w:t>
      </w:r>
      <w:r w:rsidR="00D15D1B" w:rsidRPr="007B1676">
        <w:rPr>
          <w:lang w:val="fr-FR"/>
        </w:rPr>
        <w:t>a pris une décision positive sur la conformité du projet de protocole de l</w:t>
      </w:r>
      <w:r w:rsidR="00FC2AC8" w:rsidRPr="007B1676">
        <w:rPr>
          <w:lang w:val="fr-FR"/>
        </w:rPr>
        <w:t>’</w:t>
      </w:r>
      <w:r w:rsidR="00D15D1B" w:rsidRPr="007B1676">
        <w:rPr>
          <w:lang w:val="fr-FR"/>
        </w:rPr>
        <w:t xml:space="preserve">Organisation régionale africaine de la propriété intellectuelle </w:t>
      </w:r>
      <w:r w:rsidR="00506508" w:rsidRPr="007B1676">
        <w:rPr>
          <w:lang w:val="fr-FR"/>
        </w:rPr>
        <w:t xml:space="preserve">(ARIPO) </w:t>
      </w:r>
      <w:r w:rsidR="00D15D1B" w:rsidRPr="007B1676">
        <w:rPr>
          <w:lang w:val="fr-FR"/>
        </w:rPr>
        <w:t>pour la protection des obtentions végétales avec les dispositions de l</w:t>
      </w:r>
      <w:r w:rsidR="00FC2AC8" w:rsidRPr="007B1676">
        <w:rPr>
          <w:lang w:val="fr-FR"/>
        </w:rPr>
        <w:t>’</w:t>
      </w:r>
      <w:r w:rsidR="00D15D1B" w:rsidRPr="007B1676">
        <w:rPr>
          <w:lang w:val="fr-FR"/>
        </w:rPr>
        <w:t>Acte de</w:t>
      </w:r>
      <w:r w:rsidR="00731AD3" w:rsidRPr="007B1676">
        <w:rPr>
          <w:lang w:val="fr-FR"/>
        </w:rPr>
        <w:t> </w:t>
      </w:r>
      <w:r w:rsidR="00D15D1B" w:rsidRPr="007B1676">
        <w:rPr>
          <w:lang w:val="fr-FR"/>
        </w:rPr>
        <w:t>1991 de la Convention internationa</w:t>
      </w:r>
      <w:r w:rsidR="00296FA7" w:rsidRPr="007B1676">
        <w:rPr>
          <w:lang w:val="fr-FR"/>
        </w:rPr>
        <w:t>le pour la protection des obtentions végétales (</w:t>
      </w:r>
      <w:r w:rsidR="00FC2AC8" w:rsidRPr="007B1676">
        <w:rPr>
          <w:lang w:val="fr-FR"/>
        </w:rPr>
        <w:t>Convention UPOV</w:t>
      </w:r>
      <w:r w:rsidR="00296FA7" w:rsidRPr="007B1676">
        <w:rPr>
          <w:lang w:val="fr-FR"/>
        </w:rPr>
        <w:t>)</w:t>
      </w:r>
      <w:r w:rsidR="00506508" w:rsidRPr="007B1676">
        <w:rPr>
          <w:lang w:val="fr-FR"/>
        </w:rPr>
        <w:t xml:space="preserve">.  </w:t>
      </w:r>
      <w:r w:rsidR="0018540A" w:rsidRPr="007B1676">
        <w:rPr>
          <w:lang w:val="fr-FR"/>
        </w:rPr>
        <w:t>Une fois adopté le projet de protocole sans modification et une fois en vigueur, il permettra aux États contractants du protocole et à l</w:t>
      </w:r>
      <w:r w:rsidR="00FC2AC8" w:rsidRPr="007B1676">
        <w:rPr>
          <w:lang w:val="fr-FR"/>
        </w:rPr>
        <w:t>’</w:t>
      </w:r>
      <w:r w:rsidR="0018540A" w:rsidRPr="007B1676">
        <w:rPr>
          <w:lang w:val="fr-FR"/>
        </w:rPr>
        <w:t>ARIPO, pour ce qui est des territoires contractants liés par le protocole, de déposer leurs instruments d</w:t>
      </w:r>
      <w:r w:rsidR="00FC2AC8" w:rsidRPr="007B1676">
        <w:rPr>
          <w:lang w:val="fr-FR"/>
        </w:rPr>
        <w:t>’</w:t>
      </w:r>
      <w:r w:rsidR="0018540A" w:rsidRPr="007B1676">
        <w:rPr>
          <w:lang w:val="fr-FR"/>
        </w:rPr>
        <w:t xml:space="preserve">adhésion à la </w:t>
      </w:r>
      <w:r w:rsidR="00FC2AC8" w:rsidRPr="007B1676">
        <w:rPr>
          <w:lang w:val="fr-FR"/>
        </w:rPr>
        <w:t>Convention UPOV</w:t>
      </w:r>
      <w:r w:rsidR="0018540A" w:rsidRPr="007B1676">
        <w:rPr>
          <w:lang w:val="fr-FR"/>
        </w:rPr>
        <w:t>.</w:t>
      </w:r>
    </w:p>
    <w:p w:rsidR="00F77FD5" w:rsidRPr="007B1676" w:rsidRDefault="00F77FD5" w:rsidP="00506508">
      <w:pPr>
        <w:rPr>
          <w:lang w:val="fr-FR"/>
        </w:rPr>
      </w:pPr>
    </w:p>
    <w:p w:rsidR="00F77FD5" w:rsidRPr="007B1676" w:rsidRDefault="0018540A" w:rsidP="007D2C67">
      <w:pPr>
        <w:pStyle w:val="Heading3"/>
        <w:rPr>
          <w:color w:val="auto"/>
        </w:rPr>
      </w:pPr>
      <w:bookmarkStart w:id="10" w:name="_Toc413662335"/>
      <w:r w:rsidRPr="007B1676">
        <w:rPr>
          <w:color w:val="auto"/>
        </w:rPr>
        <w:t>Fa</w:t>
      </w:r>
      <w:r w:rsidR="005519EA" w:rsidRPr="007B1676">
        <w:rPr>
          <w:color w:val="auto"/>
        </w:rPr>
        <w:t>its nouveaux concernant la loi sur</w:t>
      </w:r>
      <w:r w:rsidRPr="007B1676">
        <w:rPr>
          <w:color w:val="auto"/>
        </w:rPr>
        <w:t xml:space="preserve"> les droits d</w:t>
      </w:r>
      <w:r w:rsidR="00FC2AC8" w:rsidRPr="007B1676">
        <w:rPr>
          <w:color w:val="auto"/>
        </w:rPr>
        <w:t>’</w:t>
      </w:r>
      <w:r w:rsidRPr="007B1676">
        <w:rPr>
          <w:color w:val="auto"/>
        </w:rPr>
        <w:t>obtenteur pour Zanzibar</w:t>
      </w:r>
      <w:bookmarkEnd w:id="10"/>
    </w:p>
    <w:p w:rsidR="00F77FD5" w:rsidRPr="007B1676" w:rsidRDefault="00F77FD5" w:rsidP="00B45708">
      <w:pPr>
        <w:rPr>
          <w:rFonts w:cs="Arial"/>
          <w:lang w:val="fr-FR"/>
        </w:rPr>
      </w:pPr>
    </w:p>
    <w:p w:rsidR="00FC2AC8" w:rsidRPr="007B1676" w:rsidRDefault="00402138" w:rsidP="0018540A">
      <w:pPr>
        <w:rPr>
          <w:rFonts w:cs="Arial"/>
          <w:lang w:val="fr-FR"/>
        </w:rPr>
      </w:pPr>
      <w:r w:rsidRPr="007B1676">
        <w:rPr>
          <w:rFonts w:cs="Arial"/>
          <w:lang w:val="fr-FR"/>
        </w:rPr>
        <w:fldChar w:fldCharType="begin"/>
      </w:r>
      <w:r w:rsidRPr="007B1676">
        <w:rPr>
          <w:rFonts w:cs="Arial"/>
          <w:lang w:val="fr-FR"/>
        </w:rPr>
        <w:instrText xml:space="preserve"> AUTONUM  </w:instrText>
      </w:r>
      <w:r w:rsidRPr="007B1676">
        <w:rPr>
          <w:rFonts w:cs="Arial"/>
          <w:lang w:val="fr-FR"/>
        </w:rPr>
        <w:fldChar w:fldCharType="end"/>
      </w:r>
      <w:r w:rsidRPr="007B1676">
        <w:rPr>
          <w:rFonts w:cs="Arial"/>
          <w:lang w:val="fr-FR"/>
        </w:rPr>
        <w:tab/>
      </w:r>
      <w:r w:rsidR="0018540A" w:rsidRPr="007B1676">
        <w:rPr>
          <w:rFonts w:cs="Arial"/>
          <w:lang w:val="fr-FR"/>
        </w:rPr>
        <w:t>Le Conseil a pris note du fait que la loi sur les droits d</w:t>
      </w:r>
      <w:r w:rsidR="00FC2AC8" w:rsidRPr="007B1676">
        <w:rPr>
          <w:rFonts w:cs="Arial"/>
          <w:lang w:val="fr-FR"/>
        </w:rPr>
        <w:t>’</w:t>
      </w:r>
      <w:r w:rsidR="0018540A" w:rsidRPr="007B1676">
        <w:rPr>
          <w:rFonts w:cs="Arial"/>
          <w:lang w:val="fr-FR"/>
        </w:rPr>
        <w:t xml:space="preserve">obtenteur pour Zanzibar, qui </w:t>
      </w:r>
      <w:r w:rsidR="00702AE7" w:rsidRPr="007B1676">
        <w:rPr>
          <w:rFonts w:cs="Arial"/>
          <w:lang w:val="fr-FR"/>
        </w:rPr>
        <w:t>avait</w:t>
      </w:r>
      <w:r w:rsidR="0018540A" w:rsidRPr="007B1676">
        <w:rPr>
          <w:rFonts w:cs="Arial"/>
          <w:lang w:val="fr-FR"/>
        </w:rPr>
        <w:t xml:space="preserve"> été adoptée par la Chambre des représentants de Zanzibar</w:t>
      </w:r>
      <w:r w:rsidR="00702AE7" w:rsidRPr="007B1676">
        <w:rPr>
          <w:rFonts w:cs="Arial"/>
          <w:lang w:val="fr-FR"/>
        </w:rPr>
        <w:t>,</w:t>
      </w:r>
      <w:r w:rsidR="0018540A" w:rsidRPr="007B1676">
        <w:rPr>
          <w:rFonts w:cs="Arial"/>
          <w:lang w:val="fr-FR"/>
        </w:rPr>
        <w:t xml:space="preserve"> </w:t>
      </w:r>
      <w:r w:rsidR="00702AE7" w:rsidRPr="007B1676">
        <w:rPr>
          <w:rFonts w:cs="Arial"/>
          <w:lang w:val="fr-FR"/>
        </w:rPr>
        <w:t>reprenait</w:t>
      </w:r>
      <w:r w:rsidR="0018540A" w:rsidRPr="007B1676">
        <w:rPr>
          <w:rFonts w:cs="Arial"/>
          <w:lang w:val="fr-FR"/>
        </w:rPr>
        <w:t xml:space="preserve"> les modifications figurant dans la décision du Conseil du 2</w:t>
      </w:r>
      <w:r w:rsidR="00FC2AC8" w:rsidRPr="007B1676">
        <w:rPr>
          <w:rFonts w:cs="Arial"/>
          <w:lang w:val="fr-FR"/>
        </w:rPr>
        <w:t>2 mars 20</w:t>
      </w:r>
      <w:r w:rsidR="0018540A" w:rsidRPr="007B1676">
        <w:rPr>
          <w:rFonts w:cs="Arial"/>
          <w:lang w:val="fr-FR"/>
        </w:rPr>
        <w:t>13, et il est convenu que les modifications additionnelles ne concernaient pas les dispositions de fond de l</w:t>
      </w:r>
      <w:r w:rsidR="00FC2AC8" w:rsidRPr="007B1676">
        <w:rPr>
          <w:rFonts w:cs="Arial"/>
          <w:lang w:val="fr-FR"/>
        </w:rPr>
        <w:t>’</w:t>
      </w:r>
      <w:r w:rsidR="0018540A" w:rsidRPr="007B1676">
        <w:rPr>
          <w:rFonts w:cs="Arial"/>
          <w:lang w:val="fr-FR"/>
        </w:rPr>
        <w:t>Acte de</w:t>
      </w:r>
      <w:r w:rsidR="00731AD3" w:rsidRPr="007B1676">
        <w:rPr>
          <w:rFonts w:cs="Arial"/>
          <w:lang w:val="fr-FR"/>
        </w:rPr>
        <w:t> </w:t>
      </w:r>
      <w:r w:rsidR="0018540A" w:rsidRPr="007B1676">
        <w:rPr>
          <w:rFonts w:cs="Arial"/>
          <w:lang w:val="fr-FR"/>
        </w:rPr>
        <w:t xml:space="preserve">1991 de la </w:t>
      </w:r>
      <w:r w:rsidR="00FC2AC8" w:rsidRPr="007B1676">
        <w:rPr>
          <w:rFonts w:cs="Arial"/>
          <w:lang w:val="fr-FR"/>
        </w:rPr>
        <w:t>Convention UPOV</w:t>
      </w:r>
      <w:r w:rsidR="0018540A" w:rsidRPr="007B1676">
        <w:rPr>
          <w:rFonts w:cs="Arial"/>
          <w:lang w:val="fr-FR"/>
        </w:rPr>
        <w:t>.</w:t>
      </w:r>
      <w:r w:rsidR="00B45708" w:rsidRPr="007B1676">
        <w:rPr>
          <w:lang w:val="fr-FR"/>
        </w:rPr>
        <w:t xml:space="preserve">  </w:t>
      </w:r>
      <w:r w:rsidR="0018540A" w:rsidRPr="007B1676">
        <w:rPr>
          <w:rFonts w:cs="Arial"/>
          <w:lang w:val="fr-FR"/>
        </w:rPr>
        <w:t>La législation qui régit les droits d</w:t>
      </w:r>
      <w:r w:rsidR="00FC2AC8" w:rsidRPr="007B1676">
        <w:rPr>
          <w:rFonts w:cs="Arial"/>
          <w:lang w:val="fr-FR"/>
        </w:rPr>
        <w:t>’</w:t>
      </w:r>
      <w:r w:rsidR="0018540A" w:rsidRPr="007B1676">
        <w:rPr>
          <w:rFonts w:cs="Arial"/>
          <w:lang w:val="fr-FR"/>
        </w:rPr>
        <w:t>obtenteur couvre désormais le territoire tout entier de la République</w:t>
      </w:r>
      <w:r w:rsidR="00F66982" w:rsidRPr="007B1676">
        <w:rPr>
          <w:rFonts w:cs="Arial"/>
          <w:lang w:val="fr-FR"/>
        </w:rPr>
        <w:noBreakHyphen/>
      </w:r>
      <w:r w:rsidR="0018540A" w:rsidRPr="007B1676">
        <w:rPr>
          <w:rFonts w:cs="Arial"/>
          <w:lang w:val="fr-FR"/>
        </w:rPr>
        <w:t>Unie de Tanzanie, laquelle peut devenir membre de l</w:t>
      </w:r>
      <w:r w:rsidR="00FC2AC8" w:rsidRPr="007B1676">
        <w:rPr>
          <w:rFonts w:cs="Arial"/>
          <w:lang w:val="fr-FR"/>
        </w:rPr>
        <w:t>’</w:t>
      </w:r>
      <w:r w:rsidR="0018540A" w:rsidRPr="007B1676">
        <w:rPr>
          <w:rFonts w:cs="Arial"/>
          <w:lang w:val="fr-FR"/>
        </w:rPr>
        <w:t>UPOV.</w:t>
      </w:r>
    </w:p>
    <w:p w:rsidR="00F77FD5" w:rsidRPr="007B1676" w:rsidRDefault="00F77FD5" w:rsidP="00506508">
      <w:pPr>
        <w:rPr>
          <w:lang w:val="fr-FR"/>
        </w:rPr>
      </w:pPr>
    </w:p>
    <w:p w:rsidR="00F77FD5" w:rsidRPr="007B1676" w:rsidRDefault="00F77FD5" w:rsidP="00271830">
      <w:pPr>
        <w:rPr>
          <w:lang w:val="fr-FR"/>
        </w:rPr>
      </w:pPr>
    </w:p>
    <w:p w:rsidR="00F77FD5" w:rsidRPr="007B1676" w:rsidRDefault="00B45708" w:rsidP="00464B0B">
      <w:pPr>
        <w:pStyle w:val="Heading1"/>
        <w:rPr>
          <w:color w:val="auto"/>
        </w:rPr>
      </w:pPr>
      <w:bookmarkStart w:id="11" w:name="_Toc413662336"/>
      <w:r w:rsidRPr="007B1676">
        <w:rPr>
          <w:color w:val="auto"/>
        </w:rPr>
        <w:t>Observ</w:t>
      </w:r>
      <w:r w:rsidR="005519EA" w:rsidRPr="007B1676">
        <w:rPr>
          <w:color w:val="auto"/>
        </w:rPr>
        <w:t>ateu</w:t>
      </w:r>
      <w:r w:rsidRPr="007B1676">
        <w:rPr>
          <w:color w:val="auto"/>
        </w:rPr>
        <w:t>rs</w:t>
      </w:r>
      <w:bookmarkEnd w:id="11"/>
    </w:p>
    <w:p w:rsidR="00F77FD5" w:rsidRPr="007B1676" w:rsidRDefault="00F77FD5" w:rsidP="00271830">
      <w:pPr>
        <w:rPr>
          <w:lang w:val="fr-FR"/>
        </w:rPr>
      </w:pPr>
    </w:p>
    <w:p w:rsidR="00F77FD5" w:rsidRPr="007B1676" w:rsidRDefault="00402138" w:rsidP="00B45708">
      <w:pPr>
        <w:rPr>
          <w:rFonts w:cs="Arial"/>
          <w:lang w:val="fr-FR"/>
        </w:rPr>
      </w:pPr>
      <w:r w:rsidRPr="007B1676">
        <w:rPr>
          <w:rFonts w:cs="Arial"/>
          <w:lang w:val="fr-FR"/>
        </w:rPr>
        <w:fldChar w:fldCharType="begin"/>
      </w:r>
      <w:r w:rsidRPr="007B1676">
        <w:rPr>
          <w:rFonts w:cs="Arial"/>
          <w:lang w:val="fr-FR"/>
        </w:rPr>
        <w:instrText xml:space="preserve"> AUTONUM  </w:instrText>
      </w:r>
      <w:r w:rsidRPr="007B1676">
        <w:rPr>
          <w:rFonts w:cs="Arial"/>
          <w:lang w:val="fr-FR"/>
        </w:rPr>
        <w:fldChar w:fldCharType="end"/>
      </w:r>
      <w:r w:rsidRPr="007B1676">
        <w:rPr>
          <w:rFonts w:cs="Arial"/>
          <w:lang w:val="fr-FR"/>
        </w:rPr>
        <w:tab/>
      </w:r>
      <w:r w:rsidR="00380473" w:rsidRPr="007B1676">
        <w:rPr>
          <w:rFonts w:cs="Arial"/>
          <w:lang w:val="fr-FR"/>
        </w:rPr>
        <w:t xml:space="preserve">À </w:t>
      </w:r>
      <w:r w:rsidR="00D60B7F" w:rsidRPr="007B1676">
        <w:rPr>
          <w:rFonts w:cs="Arial"/>
          <w:lang w:val="fr-FR"/>
        </w:rPr>
        <w:t>sa quarante</w:t>
      </w:r>
      <w:r w:rsidR="00F66982" w:rsidRPr="007B1676">
        <w:rPr>
          <w:rFonts w:cs="Arial"/>
          <w:lang w:val="fr-FR"/>
        </w:rPr>
        <w:noBreakHyphen/>
      </w:r>
      <w:r w:rsidR="00D60B7F" w:rsidRPr="007B1676">
        <w:rPr>
          <w:rFonts w:cs="Arial"/>
          <w:lang w:val="fr-FR"/>
        </w:rPr>
        <w:t>huitième</w:t>
      </w:r>
      <w:r w:rsidR="00731AD3" w:rsidRPr="007B1676">
        <w:rPr>
          <w:rFonts w:cs="Arial"/>
          <w:lang w:val="fr-FR"/>
        </w:rPr>
        <w:t> </w:t>
      </w:r>
      <w:r w:rsidR="00D60B7F" w:rsidRPr="007B1676">
        <w:rPr>
          <w:rFonts w:cs="Arial"/>
          <w:lang w:val="fr-FR"/>
        </w:rPr>
        <w:t>session ordinaire,</w:t>
      </w:r>
      <w:r w:rsidR="00A21CDF" w:rsidRPr="007B1676">
        <w:rPr>
          <w:rFonts w:cs="Arial"/>
          <w:lang w:val="fr-FR"/>
        </w:rPr>
        <w:t xml:space="preserve"> </w:t>
      </w:r>
      <w:r w:rsidR="00380473" w:rsidRPr="007B1676">
        <w:rPr>
          <w:rFonts w:cs="Arial"/>
          <w:lang w:val="fr-FR"/>
        </w:rPr>
        <w:t xml:space="preserve">le Conseil </w:t>
      </w:r>
      <w:r w:rsidR="00A40D6E" w:rsidRPr="007B1676">
        <w:rPr>
          <w:rFonts w:cs="Arial"/>
          <w:lang w:val="fr-FR"/>
        </w:rPr>
        <w:t>a pris note que le Comité consultatif avait accordé le statut d</w:t>
      </w:r>
      <w:r w:rsidR="00FC2AC8" w:rsidRPr="007B1676">
        <w:rPr>
          <w:rFonts w:cs="Arial"/>
          <w:lang w:val="fr-FR"/>
        </w:rPr>
        <w:t>’</w:t>
      </w:r>
      <w:r w:rsidR="00A40D6E" w:rsidRPr="007B1676">
        <w:rPr>
          <w:rFonts w:cs="Arial"/>
          <w:lang w:val="fr-FR"/>
        </w:rPr>
        <w:t>observateur</w:t>
      </w:r>
      <w:r w:rsidR="00731AD3" w:rsidRPr="007B1676">
        <w:rPr>
          <w:rFonts w:cs="Arial"/>
          <w:lang w:val="fr-FR"/>
        </w:rPr>
        <w:t> </w:t>
      </w:r>
      <w:r w:rsidR="00B45708" w:rsidRPr="007B1676">
        <w:rPr>
          <w:rFonts w:cs="Arial"/>
          <w:lang w:val="fr-FR"/>
        </w:rPr>
        <w:t>:</w:t>
      </w:r>
    </w:p>
    <w:p w:rsidR="00F77FD5" w:rsidRPr="007B1676" w:rsidRDefault="00F77FD5" w:rsidP="00B45708">
      <w:pPr>
        <w:rPr>
          <w:rFonts w:cs="Arial"/>
          <w:lang w:val="fr-FR"/>
        </w:rPr>
      </w:pPr>
    </w:p>
    <w:p w:rsidR="00F77FD5" w:rsidRPr="007B1676" w:rsidRDefault="0018540A" w:rsidP="0018540A">
      <w:pPr>
        <w:pStyle w:val="ListParagraph"/>
        <w:numPr>
          <w:ilvl w:val="0"/>
          <w:numId w:val="9"/>
        </w:numPr>
        <w:rPr>
          <w:rFonts w:cs="Arial"/>
          <w:lang w:val="fr-FR"/>
        </w:rPr>
      </w:pPr>
      <w:r w:rsidRPr="007B1676">
        <w:rPr>
          <w:rFonts w:cs="Arial"/>
          <w:lang w:val="fr-FR"/>
        </w:rPr>
        <w:t>au Centre Sud, auprès du Conseil et du Comité administratif et juridique (CAJ);</w:t>
      </w:r>
      <w:r w:rsidR="00702AE7" w:rsidRPr="007B1676">
        <w:rPr>
          <w:rFonts w:cs="Arial"/>
          <w:lang w:val="fr-FR"/>
        </w:rPr>
        <w:t xml:space="preserve">  et</w:t>
      </w:r>
    </w:p>
    <w:p w:rsidR="00F77FD5" w:rsidRPr="007B1676" w:rsidRDefault="00323691" w:rsidP="00323691">
      <w:pPr>
        <w:pStyle w:val="ListParagraph"/>
        <w:numPr>
          <w:ilvl w:val="0"/>
          <w:numId w:val="9"/>
        </w:numPr>
        <w:rPr>
          <w:rFonts w:cs="Arial"/>
          <w:lang w:val="fr-FR"/>
        </w:rPr>
      </w:pPr>
      <w:r w:rsidRPr="007B1676">
        <w:rPr>
          <w:rFonts w:cs="Arial"/>
          <w:lang w:val="fr-FR"/>
        </w:rPr>
        <w:lastRenderedPageBreak/>
        <w:t>à l</w:t>
      </w:r>
      <w:r w:rsidR="00FC2AC8" w:rsidRPr="007B1676">
        <w:rPr>
          <w:rFonts w:cs="Arial"/>
          <w:lang w:val="fr-FR"/>
        </w:rPr>
        <w:t>’</w:t>
      </w:r>
      <w:r w:rsidRPr="007B1676">
        <w:rPr>
          <w:rFonts w:cs="Arial"/>
          <w:lang w:val="fr-FR"/>
        </w:rPr>
        <w:t>Organisation mondiale des agriculteurs (OMA), auprès du Conseil,</w:t>
      </w:r>
      <w:r w:rsidR="00FC2AC8" w:rsidRPr="007B1676">
        <w:rPr>
          <w:rFonts w:cs="Arial"/>
          <w:lang w:val="fr-FR"/>
        </w:rPr>
        <w:t xml:space="preserve"> du CAJ</w:t>
      </w:r>
      <w:r w:rsidRPr="007B1676">
        <w:rPr>
          <w:rFonts w:cs="Arial"/>
          <w:lang w:val="fr-FR"/>
        </w:rPr>
        <w:t xml:space="preserve"> et du Comité technique (TC).</w:t>
      </w:r>
    </w:p>
    <w:p w:rsidR="00F77FD5" w:rsidRPr="007B1676" w:rsidRDefault="00F77FD5" w:rsidP="00271830">
      <w:pPr>
        <w:rPr>
          <w:lang w:val="fr-FR"/>
        </w:rPr>
      </w:pPr>
    </w:p>
    <w:p w:rsidR="00F77FD5" w:rsidRPr="007B1676" w:rsidRDefault="00F77FD5" w:rsidP="00271830">
      <w:pPr>
        <w:rPr>
          <w:lang w:val="fr-FR"/>
        </w:rPr>
      </w:pPr>
    </w:p>
    <w:p w:rsidR="00F77FD5" w:rsidRPr="007B1676" w:rsidRDefault="00323691" w:rsidP="00464B0B">
      <w:pPr>
        <w:pStyle w:val="Heading1"/>
        <w:rPr>
          <w:color w:val="auto"/>
        </w:rPr>
      </w:pPr>
      <w:bookmarkStart w:id="12" w:name="_Toc413662337"/>
      <w:r w:rsidRPr="007B1676">
        <w:rPr>
          <w:color w:val="auto"/>
        </w:rPr>
        <w:t>Bureau de l</w:t>
      </w:r>
      <w:r w:rsidR="00FC2AC8" w:rsidRPr="007B1676">
        <w:rPr>
          <w:color w:val="auto"/>
        </w:rPr>
        <w:t>’</w:t>
      </w:r>
      <w:r w:rsidRPr="007B1676">
        <w:rPr>
          <w:color w:val="auto"/>
        </w:rPr>
        <w:t>Union</w:t>
      </w:r>
      <w:bookmarkEnd w:id="12"/>
    </w:p>
    <w:p w:rsidR="00F77FD5" w:rsidRPr="007B1676" w:rsidRDefault="00F77FD5" w:rsidP="00464B0B">
      <w:pPr>
        <w:pStyle w:val="Heading1"/>
        <w:rPr>
          <w:color w:val="auto"/>
        </w:rPr>
      </w:pPr>
    </w:p>
    <w:p w:rsidR="00F77FD5" w:rsidRPr="007B1676" w:rsidRDefault="00323691" w:rsidP="0085250E">
      <w:pPr>
        <w:pStyle w:val="Heading2"/>
        <w:rPr>
          <w:color w:val="auto"/>
        </w:rPr>
      </w:pPr>
      <w:bookmarkStart w:id="13" w:name="_Toc413662338"/>
      <w:r w:rsidRPr="007B1676">
        <w:rPr>
          <w:color w:val="auto"/>
        </w:rPr>
        <w:t>Nomination du Secrétaire général</w:t>
      </w:r>
      <w:bookmarkEnd w:id="13"/>
    </w:p>
    <w:p w:rsidR="00F77FD5" w:rsidRPr="007B1676" w:rsidRDefault="00F77FD5" w:rsidP="00B45708">
      <w:pPr>
        <w:rPr>
          <w:lang w:val="fr-FR"/>
        </w:rPr>
      </w:pPr>
    </w:p>
    <w:p w:rsidR="00F77FD5" w:rsidRPr="007B1676" w:rsidRDefault="00402138" w:rsidP="00B45708">
      <w:pPr>
        <w:rPr>
          <w:lang w:val="fr-FR"/>
        </w:rPr>
      </w:pPr>
      <w:r w:rsidRPr="007B1676">
        <w:rPr>
          <w:lang w:val="fr-FR"/>
        </w:rPr>
        <w:fldChar w:fldCharType="begin"/>
      </w:r>
      <w:r w:rsidRPr="007B1676">
        <w:rPr>
          <w:lang w:val="fr-FR"/>
        </w:rPr>
        <w:instrText xml:space="preserve"> AUTONUM  </w:instrText>
      </w:r>
      <w:r w:rsidRPr="007B1676">
        <w:rPr>
          <w:lang w:val="fr-FR"/>
        </w:rPr>
        <w:fldChar w:fldCharType="end"/>
      </w:r>
      <w:r w:rsidRPr="007B1676">
        <w:rPr>
          <w:lang w:val="fr-FR"/>
        </w:rPr>
        <w:tab/>
      </w:r>
      <w:r w:rsidR="00380473" w:rsidRPr="007B1676">
        <w:rPr>
          <w:lang w:val="fr-FR"/>
        </w:rPr>
        <w:t>À sa quarante</w:t>
      </w:r>
      <w:r w:rsidR="00F66982" w:rsidRPr="007B1676">
        <w:rPr>
          <w:lang w:val="fr-FR"/>
        </w:rPr>
        <w:noBreakHyphen/>
      </w:r>
      <w:r w:rsidR="00380473" w:rsidRPr="007B1676">
        <w:rPr>
          <w:lang w:val="fr-FR"/>
        </w:rPr>
        <w:t>huitième</w:t>
      </w:r>
      <w:r w:rsidR="00731AD3" w:rsidRPr="007B1676">
        <w:rPr>
          <w:lang w:val="fr-FR"/>
        </w:rPr>
        <w:t> </w:t>
      </w:r>
      <w:r w:rsidR="00380473" w:rsidRPr="007B1676">
        <w:rPr>
          <w:lang w:val="fr-FR"/>
        </w:rPr>
        <w:t>session ordinaire tenue à Genève le 1</w:t>
      </w:r>
      <w:r w:rsidR="00FC2AC8" w:rsidRPr="007B1676">
        <w:rPr>
          <w:lang w:val="fr-FR"/>
        </w:rPr>
        <w:t>6 octobre 20</w:t>
      </w:r>
      <w:r w:rsidR="00380473" w:rsidRPr="007B1676">
        <w:rPr>
          <w:lang w:val="fr-FR"/>
        </w:rPr>
        <w:t>14, le Conseil a nommé par acclamation M.</w:t>
      </w:r>
      <w:r w:rsidR="00731AD3" w:rsidRPr="007B1676">
        <w:rPr>
          <w:lang w:val="fr-FR"/>
        </w:rPr>
        <w:t> </w:t>
      </w:r>
      <w:r w:rsidR="00F66982" w:rsidRPr="007B1676">
        <w:rPr>
          <w:lang w:val="fr-FR"/>
        </w:rPr>
        <w:t>Francis </w:t>
      </w:r>
      <w:r w:rsidR="00380473" w:rsidRPr="007B1676">
        <w:rPr>
          <w:lang w:val="fr-FR"/>
        </w:rPr>
        <w:t>Gurry Secrétaire général de l</w:t>
      </w:r>
      <w:r w:rsidR="00FC2AC8" w:rsidRPr="007B1676">
        <w:rPr>
          <w:lang w:val="fr-FR"/>
        </w:rPr>
        <w:t>’</w:t>
      </w:r>
      <w:r w:rsidR="00380473" w:rsidRPr="007B1676">
        <w:rPr>
          <w:lang w:val="fr-FR"/>
        </w:rPr>
        <w:t>UPOV pour la période allant du 1</w:t>
      </w:r>
      <w:r w:rsidR="00FC2AC8" w:rsidRPr="007B1676">
        <w:rPr>
          <w:lang w:val="fr-FR"/>
        </w:rPr>
        <w:t>6 octobre 20</w:t>
      </w:r>
      <w:r w:rsidR="00380473" w:rsidRPr="007B1676">
        <w:rPr>
          <w:lang w:val="fr-FR"/>
        </w:rPr>
        <w:t>14 au 3</w:t>
      </w:r>
      <w:r w:rsidR="00FC2AC8" w:rsidRPr="007B1676">
        <w:rPr>
          <w:lang w:val="fr-FR"/>
        </w:rPr>
        <w:t>0 septembre 20</w:t>
      </w:r>
      <w:r w:rsidR="00380473" w:rsidRPr="007B1676">
        <w:rPr>
          <w:lang w:val="fr-FR"/>
        </w:rPr>
        <w:t>20</w:t>
      </w:r>
      <w:r w:rsidR="00B45708" w:rsidRPr="007B1676">
        <w:rPr>
          <w:lang w:val="fr-FR"/>
        </w:rPr>
        <w:t>.</w:t>
      </w:r>
    </w:p>
    <w:p w:rsidR="00F77FD5" w:rsidRPr="007B1676" w:rsidRDefault="00F77FD5" w:rsidP="00B45708">
      <w:pPr>
        <w:rPr>
          <w:lang w:val="fr-FR"/>
        </w:rPr>
      </w:pPr>
    </w:p>
    <w:p w:rsidR="00F77FD5" w:rsidRPr="007B1676" w:rsidRDefault="00F77FD5" w:rsidP="00B45708">
      <w:pPr>
        <w:rPr>
          <w:lang w:val="fr-FR"/>
        </w:rPr>
      </w:pPr>
    </w:p>
    <w:p w:rsidR="00F77FD5" w:rsidRPr="007B1676" w:rsidRDefault="00323691" w:rsidP="00464B0B">
      <w:pPr>
        <w:pStyle w:val="Heading1"/>
        <w:rPr>
          <w:color w:val="auto"/>
        </w:rPr>
      </w:pPr>
      <w:bookmarkStart w:id="14" w:name="_Toc413662339"/>
      <w:r w:rsidRPr="007B1676">
        <w:rPr>
          <w:color w:val="auto"/>
        </w:rPr>
        <w:t>StatistiQUEs sur la Protection des obtentions végétales</w:t>
      </w:r>
      <w:bookmarkEnd w:id="14"/>
    </w:p>
    <w:p w:rsidR="00F77FD5" w:rsidRPr="007B1676" w:rsidRDefault="00F77FD5" w:rsidP="001D140D">
      <w:pPr>
        <w:keepNext/>
        <w:rPr>
          <w:lang w:val="fr-FR"/>
        </w:rPr>
      </w:pPr>
    </w:p>
    <w:p w:rsidR="00F77FD5" w:rsidRPr="007B1676" w:rsidRDefault="00323691" w:rsidP="0085250E">
      <w:pPr>
        <w:pStyle w:val="Heading2"/>
        <w:rPr>
          <w:rFonts w:eastAsia="MS Mincho"/>
          <w:color w:val="auto"/>
          <w:lang w:eastAsia="ja-JP"/>
        </w:rPr>
      </w:pPr>
      <w:bookmarkStart w:id="15" w:name="_Toc413662340"/>
      <w:r w:rsidRPr="007B1676">
        <w:rPr>
          <w:rFonts w:eastAsia="MS Mincho"/>
          <w:color w:val="auto"/>
          <w:lang w:eastAsia="ja-JP"/>
        </w:rPr>
        <w:t>Liste des taxons protégés par les membres de l</w:t>
      </w:r>
      <w:r w:rsidR="00FC2AC8" w:rsidRPr="007B1676">
        <w:rPr>
          <w:rFonts w:eastAsia="MS Mincho"/>
          <w:color w:val="auto"/>
          <w:lang w:eastAsia="ja-JP"/>
        </w:rPr>
        <w:t>’</w:t>
      </w:r>
      <w:r w:rsidRPr="007B1676">
        <w:rPr>
          <w:rFonts w:eastAsia="MS Mincho"/>
          <w:color w:val="auto"/>
          <w:lang w:eastAsia="ja-JP"/>
        </w:rPr>
        <w:t>Union</w:t>
      </w:r>
      <w:bookmarkEnd w:id="15"/>
    </w:p>
    <w:p w:rsidR="00F77FD5" w:rsidRPr="007B1676" w:rsidRDefault="00323691" w:rsidP="00323691">
      <w:pPr>
        <w:keepNext/>
        <w:autoSpaceDE w:val="0"/>
        <w:autoSpaceDN w:val="0"/>
        <w:adjustRightInd w:val="0"/>
        <w:rPr>
          <w:rFonts w:eastAsia="MS Mincho" w:cs="Arial"/>
          <w:lang w:val="fr-FR" w:eastAsia="ja-JP"/>
        </w:rPr>
      </w:pPr>
      <w:r w:rsidRPr="007B1676">
        <w:rPr>
          <w:rFonts w:eastAsia="MS Mincho" w:cs="Arial"/>
          <w:lang w:val="fr-FR" w:eastAsia="ja-JP"/>
        </w:rPr>
        <w:t>(</w:t>
      </w:r>
      <w:proofErr w:type="gramStart"/>
      <w:r w:rsidRPr="007B1676">
        <w:rPr>
          <w:rFonts w:eastAsia="MS Mincho" w:cs="Arial"/>
          <w:lang w:val="fr-FR" w:eastAsia="ja-JP"/>
        </w:rPr>
        <w:t>voir</w:t>
      </w:r>
      <w:proofErr w:type="gramEnd"/>
      <w:r w:rsidRPr="007B1676">
        <w:rPr>
          <w:rFonts w:eastAsia="MS Mincho" w:cs="Arial"/>
          <w:lang w:val="fr-FR" w:eastAsia="ja-JP"/>
        </w:rPr>
        <w:t xml:space="preserve"> le document C/48/6 “Liste des taxons protégés par les membres de l</w:t>
      </w:r>
      <w:r w:rsidR="00FC2AC8" w:rsidRPr="007B1676">
        <w:rPr>
          <w:rFonts w:eastAsia="MS Mincho" w:cs="Arial"/>
          <w:lang w:val="fr-FR" w:eastAsia="ja-JP"/>
        </w:rPr>
        <w:t>’</w:t>
      </w:r>
      <w:r w:rsidRPr="007B1676">
        <w:rPr>
          <w:rFonts w:eastAsia="MS Mincho" w:cs="Arial"/>
          <w:lang w:val="fr-FR" w:eastAsia="ja-JP"/>
        </w:rPr>
        <w:t>Union”)</w:t>
      </w:r>
    </w:p>
    <w:p w:rsidR="00F77FD5" w:rsidRPr="007B1676" w:rsidRDefault="00F77FD5" w:rsidP="001D140D">
      <w:pPr>
        <w:keepNext/>
        <w:autoSpaceDE w:val="0"/>
        <w:autoSpaceDN w:val="0"/>
        <w:adjustRightInd w:val="0"/>
        <w:rPr>
          <w:rFonts w:eastAsia="MS Mincho" w:cs="Arial"/>
          <w:lang w:val="fr-FR" w:eastAsia="ja-JP"/>
        </w:rPr>
      </w:pPr>
    </w:p>
    <w:p w:rsidR="00F77FD5" w:rsidRPr="007B1676" w:rsidRDefault="00E07E8D" w:rsidP="00323691">
      <w:pPr>
        <w:autoSpaceDE w:val="0"/>
        <w:autoSpaceDN w:val="0"/>
        <w:adjustRightInd w:val="0"/>
        <w:rPr>
          <w:rFonts w:eastAsia="MS Mincho" w:cs="Arial"/>
          <w:lang w:val="fr-FR" w:eastAsia="ja-JP"/>
        </w:rPr>
      </w:pPr>
      <w:r w:rsidRPr="007B1676">
        <w:rPr>
          <w:rFonts w:eastAsia="MS Mincho" w:cs="Arial"/>
          <w:lang w:val="fr-FR" w:eastAsia="ja-JP"/>
        </w:rPr>
        <w:fldChar w:fldCharType="begin"/>
      </w:r>
      <w:r w:rsidRPr="007B1676">
        <w:rPr>
          <w:rFonts w:eastAsia="MS Mincho" w:cs="Arial"/>
          <w:lang w:val="fr-FR" w:eastAsia="ja-JP"/>
        </w:rPr>
        <w:instrText xml:space="preserve"> AUTONUM  </w:instrText>
      </w:r>
      <w:r w:rsidRPr="007B1676">
        <w:rPr>
          <w:rFonts w:eastAsia="MS Mincho" w:cs="Arial"/>
          <w:lang w:val="fr-FR" w:eastAsia="ja-JP"/>
        </w:rPr>
        <w:fldChar w:fldCharType="end"/>
      </w:r>
      <w:r w:rsidRPr="007B1676">
        <w:rPr>
          <w:rFonts w:eastAsia="MS Mincho" w:cs="Arial"/>
          <w:lang w:val="fr-FR" w:eastAsia="ja-JP"/>
        </w:rPr>
        <w:tab/>
      </w:r>
      <w:r w:rsidR="00D60B7F" w:rsidRPr="007B1676">
        <w:rPr>
          <w:rFonts w:eastAsia="MS Mincho" w:cs="Arial"/>
          <w:lang w:val="fr-FR" w:eastAsia="ja-JP"/>
        </w:rPr>
        <w:t>Au total, 58 </w:t>
      </w:r>
      <w:r w:rsidR="00323691" w:rsidRPr="007B1676">
        <w:rPr>
          <w:rFonts w:eastAsia="MS Mincho" w:cs="Arial"/>
          <w:lang w:val="fr-FR" w:eastAsia="ja-JP"/>
        </w:rPr>
        <w:t>membres de l</w:t>
      </w:r>
      <w:r w:rsidR="00FC2AC8" w:rsidRPr="007B1676">
        <w:rPr>
          <w:rFonts w:eastAsia="MS Mincho" w:cs="Arial"/>
          <w:lang w:val="fr-FR" w:eastAsia="ja-JP"/>
        </w:rPr>
        <w:t>’</w:t>
      </w:r>
      <w:r w:rsidR="00323691" w:rsidRPr="007B1676">
        <w:rPr>
          <w:rFonts w:eastAsia="MS Mincho" w:cs="Arial"/>
          <w:lang w:val="fr-FR" w:eastAsia="ja-JP"/>
        </w:rPr>
        <w:t>Union assurent désormais la protection de tous les genres et espèces végétaux (56 en</w:t>
      </w:r>
      <w:r w:rsidR="00731AD3" w:rsidRPr="007B1676">
        <w:rPr>
          <w:rFonts w:eastAsia="MS Mincho" w:cs="Arial"/>
          <w:lang w:val="fr-FR" w:eastAsia="ja-JP"/>
        </w:rPr>
        <w:t> </w:t>
      </w:r>
      <w:r w:rsidR="00323691" w:rsidRPr="007B1676">
        <w:rPr>
          <w:rFonts w:eastAsia="MS Mincho" w:cs="Arial"/>
          <w:lang w:val="fr-FR" w:eastAsia="ja-JP"/>
        </w:rPr>
        <w:t xml:space="preserve">2013) et </w:t>
      </w:r>
      <w:r w:rsidR="00D60B7F" w:rsidRPr="007B1676">
        <w:rPr>
          <w:rFonts w:eastAsia="MS Mincho" w:cs="Arial"/>
          <w:lang w:val="fr-FR" w:eastAsia="ja-JP"/>
        </w:rPr>
        <w:t>14 </w:t>
      </w:r>
      <w:r w:rsidR="00323691" w:rsidRPr="007B1676">
        <w:rPr>
          <w:rFonts w:eastAsia="MS Mincho" w:cs="Arial"/>
          <w:lang w:val="fr-FR" w:eastAsia="ja-JP"/>
        </w:rPr>
        <w:t>membres de l</w:t>
      </w:r>
      <w:r w:rsidR="00FC2AC8" w:rsidRPr="007B1676">
        <w:rPr>
          <w:rFonts w:eastAsia="MS Mincho" w:cs="Arial"/>
          <w:lang w:val="fr-FR" w:eastAsia="ja-JP"/>
        </w:rPr>
        <w:t>’</w:t>
      </w:r>
      <w:r w:rsidR="00323691" w:rsidRPr="007B1676">
        <w:rPr>
          <w:rFonts w:eastAsia="MS Mincho" w:cs="Arial"/>
          <w:lang w:val="fr-FR" w:eastAsia="ja-JP"/>
        </w:rPr>
        <w:t>Union assurent la protection d</w:t>
      </w:r>
      <w:r w:rsidR="00FC2AC8" w:rsidRPr="007B1676">
        <w:rPr>
          <w:rFonts w:eastAsia="MS Mincho" w:cs="Arial"/>
          <w:lang w:val="fr-FR" w:eastAsia="ja-JP"/>
        </w:rPr>
        <w:t>’</w:t>
      </w:r>
      <w:r w:rsidR="00323691" w:rsidRPr="007B1676">
        <w:rPr>
          <w:rFonts w:eastAsia="MS Mincho" w:cs="Arial"/>
          <w:lang w:val="fr-FR" w:eastAsia="ja-JP"/>
        </w:rPr>
        <w:t>un nombre limité de genres et d</w:t>
      </w:r>
      <w:r w:rsidR="00FC2AC8" w:rsidRPr="007B1676">
        <w:rPr>
          <w:rFonts w:eastAsia="MS Mincho" w:cs="Arial"/>
          <w:lang w:val="fr-FR" w:eastAsia="ja-JP"/>
        </w:rPr>
        <w:t>’</w:t>
      </w:r>
      <w:r w:rsidR="00323691" w:rsidRPr="007B1676">
        <w:rPr>
          <w:rFonts w:eastAsia="MS Mincho" w:cs="Arial"/>
          <w:lang w:val="fr-FR" w:eastAsia="ja-JP"/>
        </w:rPr>
        <w:t>espèces végétaux.</w:t>
      </w:r>
      <w:r w:rsidRPr="007B1676">
        <w:rPr>
          <w:rFonts w:eastAsia="MS Mincho"/>
          <w:lang w:val="fr-FR"/>
        </w:rPr>
        <w:t xml:space="preserve">  </w:t>
      </w:r>
      <w:r w:rsidR="00323691" w:rsidRPr="007B1676">
        <w:rPr>
          <w:rFonts w:eastAsia="MS Mincho" w:cs="Arial"/>
          <w:lang w:val="fr-FR" w:eastAsia="ja-JP"/>
        </w:rPr>
        <w:t>De ces 14, trois</w:t>
      </w:r>
      <w:r w:rsidR="00D60B7F" w:rsidRPr="007B1676">
        <w:rPr>
          <w:rFonts w:eastAsia="MS Mincho" w:cs="Arial"/>
          <w:lang w:val="fr-FR" w:eastAsia="ja-JP"/>
        </w:rPr>
        <w:t> </w:t>
      </w:r>
      <w:r w:rsidR="00323691" w:rsidRPr="007B1676">
        <w:rPr>
          <w:rFonts w:eastAsia="MS Mincho" w:cs="Arial"/>
          <w:lang w:val="fr-FR" w:eastAsia="ja-JP"/>
        </w:rPr>
        <w:t xml:space="preserve">pays (Afrique du Sud, </w:t>
      </w:r>
      <w:r w:rsidR="00D60B7F" w:rsidRPr="007B1676">
        <w:rPr>
          <w:rFonts w:eastAsia="MS Mincho" w:cs="Arial"/>
          <w:lang w:val="fr-FR" w:eastAsia="ja-JP"/>
        </w:rPr>
        <w:t>Brésil et Chine) ont conféré en </w:t>
      </w:r>
      <w:r w:rsidR="00323691" w:rsidRPr="007B1676">
        <w:rPr>
          <w:rFonts w:eastAsia="MS Mincho" w:cs="Arial"/>
          <w:lang w:val="fr-FR" w:eastAsia="ja-JP"/>
        </w:rPr>
        <w:t>2014 une protection à des genres et espèces végétaux additionnels.</w:t>
      </w:r>
    </w:p>
    <w:p w:rsidR="00F77FD5" w:rsidRPr="007B1676" w:rsidRDefault="00F77FD5" w:rsidP="001D140D">
      <w:pPr>
        <w:rPr>
          <w:lang w:val="fr-FR"/>
        </w:rPr>
      </w:pPr>
    </w:p>
    <w:p w:rsidR="00FC2AC8" w:rsidRPr="007B1676" w:rsidRDefault="00323691" w:rsidP="0085250E">
      <w:pPr>
        <w:pStyle w:val="Heading2"/>
        <w:rPr>
          <w:color w:val="auto"/>
        </w:rPr>
      </w:pPr>
      <w:bookmarkStart w:id="16" w:name="_Toc413662341"/>
      <w:r w:rsidRPr="007B1676">
        <w:rPr>
          <w:color w:val="auto"/>
        </w:rPr>
        <w:t>Statistiques sur la protection des obtentions végétales</w:t>
      </w:r>
      <w:bookmarkEnd w:id="16"/>
    </w:p>
    <w:p w:rsidR="00F77FD5" w:rsidRPr="007B1676" w:rsidRDefault="00323691" w:rsidP="00323691">
      <w:pPr>
        <w:keepNext/>
        <w:autoSpaceDE w:val="0"/>
        <w:autoSpaceDN w:val="0"/>
        <w:adjustRightInd w:val="0"/>
        <w:rPr>
          <w:rFonts w:eastAsia="MS Mincho" w:cs="Arial"/>
          <w:lang w:val="fr-FR" w:eastAsia="ja-JP"/>
        </w:rPr>
      </w:pPr>
      <w:r w:rsidRPr="007B1676">
        <w:rPr>
          <w:rFonts w:eastAsia="MS Mincho" w:cs="Arial"/>
          <w:lang w:val="fr-FR" w:eastAsia="ja-JP"/>
        </w:rPr>
        <w:t>(</w:t>
      </w:r>
      <w:proofErr w:type="gramStart"/>
      <w:r w:rsidRPr="007B1676">
        <w:rPr>
          <w:rFonts w:eastAsia="MS Mincho" w:cs="Arial"/>
          <w:lang w:val="fr-FR" w:eastAsia="ja-JP"/>
        </w:rPr>
        <w:t>voir</w:t>
      </w:r>
      <w:proofErr w:type="gramEnd"/>
      <w:r w:rsidRPr="007B1676">
        <w:rPr>
          <w:rFonts w:eastAsia="MS Mincho" w:cs="Arial"/>
          <w:lang w:val="fr-FR" w:eastAsia="ja-JP"/>
        </w:rPr>
        <w:t xml:space="preserve"> le document C/48/7 “Statistiques sur la protection des obtentions végétales pour la période 2009</w:t>
      </w:r>
      <w:r w:rsidR="00F66982" w:rsidRPr="007B1676">
        <w:rPr>
          <w:rFonts w:eastAsia="MS Mincho" w:cs="Arial"/>
          <w:lang w:val="fr-FR" w:eastAsia="ja-JP"/>
        </w:rPr>
        <w:noBreakHyphen/>
      </w:r>
      <w:r w:rsidRPr="007B1676">
        <w:rPr>
          <w:rFonts w:eastAsia="MS Mincho" w:cs="Arial"/>
          <w:lang w:val="fr-FR" w:eastAsia="ja-JP"/>
        </w:rPr>
        <w:t>2013”)</w:t>
      </w:r>
    </w:p>
    <w:p w:rsidR="00F77FD5" w:rsidRPr="007B1676" w:rsidRDefault="00F77FD5" w:rsidP="001D140D">
      <w:pPr>
        <w:keepNext/>
        <w:autoSpaceDE w:val="0"/>
        <w:autoSpaceDN w:val="0"/>
        <w:adjustRightInd w:val="0"/>
        <w:rPr>
          <w:rFonts w:eastAsia="MS Mincho" w:cs="Arial"/>
          <w:lang w:val="fr-FR" w:eastAsia="ja-JP"/>
        </w:rPr>
      </w:pPr>
    </w:p>
    <w:p w:rsidR="00F77FD5" w:rsidRPr="007B1676" w:rsidRDefault="00A21CDF" w:rsidP="00323691">
      <w:pPr>
        <w:autoSpaceDE w:val="0"/>
        <w:autoSpaceDN w:val="0"/>
        <w:adjustRightInd w:val="0"/>
        <w:rPr>
          <w:rFonts w:eastAsia="MS Mincho" w:cs="Arial"/>
          <w:lang w:val="fr-FR" w:eastAsia="ja-JP"/>
        </w:rPr>
      </w:pPr>
      <w:r w:rsidRPr="007B1676">
        <w:rPr>
          <w:rFonts w:eastAsia="MS Mincho" w:cs="Arial"/>
          <w:lang w:val="fr-FR" w:eastAsia="ja-JP"/>
        </w:rPr>
        <w:fldChar w:fldCharType="begin"/>
      </w:r>
      <w:r w:rsidRPr="007B1676">
        <w:rPr>
          <w:rFonts w:eastAsia="MS Mincho" w:cs="Arial"/>
          <w:lang w:val="fr-FR" w:eastAsia="ja-JP"/>
        </w:rPr>
        <w:instrText xml:space="preserve"> AUTONUM  </w:instrText>
      </w:r>
      <w:r w:rsidRPr="007B1676">
        <w:rPr>
          <w:rFonts w:eastAsia="MS Mincho" w:cs="Arial"/>
          <w:lang w:val="fr-FR" w:eastAsia="ja-JP"/>
        </w:rPr>
        <w:fldChar w:fldCharType="end"/>
      </w:r>
      <w:r w:rsidRPr="007B1676">
        <w:rPr>
          <w:rFonts w:eastAsia="MS Mincho" w:cs="Arial"/>
          <w:lang w:val="fr-FR" w:eastAsia="ja-JP"/>
        </w:rPr>
        <w:tab/>
      </w:r>
      <w:r w:rsidR="00323691" w:rsidRPr="007B1676">
        <w:rPr>
          <w:rFonts w:eastAsia="MS Mincho" w:cs="Arial"/>
          <w:lang w:val="fr-FR" w:eastAsia="ja-JP"/>
        </w:rPr>
        <w:t>En</w:t>
      </w:r>
      <w:r w:rsidR="00731AD3" w:rsidRPr="007B1676">
        <w:rPr>
          <w:rFonts w:eastAsia="MS Mincho" w:cs="Arial"/>
          <w:lang w:val="fr-FR" w:eastAsia="ja-JP"/>
        </w:rPr>
        <w:t> </w:t>
      </w:r>
      <w:r w:rsidR="00323691" w:rsidRPr="007B1676">
        <w:rPr>
          <w:rFonts w:eastAsia="MS Mincho" w:cs="Arial"/>
          <w:lang w:val="fr-FR" w:eastAsia="ja-JP"/>
        </w:rPr>
        <w:t xml:space="preserve">2013, le nombre de titres en vigueur a pour la première fois </w:t>
      </w:r>
      <w:r w:rsidR="00D60B7F" w:rsidRPr="007B1676">
        <w:rPr>
          <w:rFonts w:eastAsia="MS Mincho" w:cs="Arial"/>
          <w:lang w:val="fr-FR" w:eastAsia="ja-JP"/>
        </w:rPr>
        <w:t>dépassé la barre des 100 </w:t>
      </w:r>
      <w:r w:rsidR="00323691" w:rsidRPr="007B1676">
        <w:rPr>
          <w:rFonts w:eastAsia="MS Mincho" w:cs="Arial"/>
          <w:lang w:val="fr-FR" w:eastAsia="ja-JP"/>
        </w:rPr>
        <w:t>000.</w:t>
      </w:r>
      <w:r w:rsidRPr="007B1676">
        <w:rPr>
          <w:rFonts w:eastAsia="MS Mincho"/>
          <w:lang w:val="fr-FR"/>
        </w:rPr>
        <w:t xml:space="preserve">  </w:t>
      </w:r>
      <w:r w:rsidR="00D60B7F" w:rsidRPr="007B1676">
        <w:rPr>
          <w:rFonts w:eastAsia="MS Mincho" w:cs="Arial"/>
          <w:lang w:val="fr-FR" w:eastAsia="ja-JP"/>
        </w:rPr>
        <w:t>Le nombre total de 103 </w:t>
      </w:r>
      <w:r w:rsidR="00323691" w:rsidRPr="007B1676">
        <w:rPr>
          <w:rFonts w:eastAsia="MS Mincho" w:cs="Arial"/>
          <w:lang w:val="fr-FR" w:eastAsia="ja-JP"/>
        </w:rPr>
        <w:t>261 titres en vigueur en</w:t>
      </w:r>
      <w:r w:rsidR="00731AD3" w:rsidRPr="007B1676">
        <w:rPr>
          <w:rFonts w:eastAsia="MS Mincho" w:cs="Arial"/>
          <w:lang w:val="fr-FR" w:eastAsia="ja-JP"/>
        </w:rPr>
        <w:t> </w:t>
      </w:r>
      <w:r w:rsidR="00323691" w:rsidRPr="007B1676">
        <w:rPr>
          <w:rFonts w:eastAsia="MS Mincho" w:cs="Arial"/>
          <w:lang w:val="fr-FR" w:eastAsia="ja-JP"/>
        </w:rPr>
        <w:t xml:space="preserve">2013 </w:t>
      </w:r>
      <w:r w:rsidR="00A716B4" w:rsidRPr="007B1676">
        <w:rPr>
          <w:rFonts w:eastAsia="MS Mincho" w:cs="Arial"/>
          <w:lang w:val="fr-FR" w:eastAsia="ja-JP"/>
        </w:rPr>
        <w:t>représentait</w:t>
      </w:r>
      <w:r w:rsidR="00323691" w:rsidRPr="007B1676">
        <w:rPr>
          <w:rFonts w:eastAsia="MS Mincho" w:cs="Arial"/>
          <w:lang w:val="fr-FR" w:eastAsia="ja-JP"/>
        </w:rPr>
        <w:t xml:space="preserve"> une aug</w:t>
      </w:r>
      <w:r w:rsidR="00D60B7F" w:rsidRPr="007B1676">
        <w:rPr>
          <w:rFonts w:eastAsia="MS Mincho" w:cs="Arial"/>
          <w:lang w:val="fr-FR" w:eastAsia="ja-JP"/>
        </w:rPr>
        <w:t>mentation de 3,8% par rapport à 2012 (99 </w:t>
      </w:r>
      <w:r w:rsidR="00323691" w:rsidRPr="007B1676">
        <w:rPr>
          <w:rFonts w:eastAsia="MS Mincho" w:cs="Arial"/>
          <w:lang w:val="fr-FR" w:eastAsia="ja-JP"/>
        </w:rPr>
        <w:t>501).</w:t>
      </w:r>
    </w:p>
    <w:p w:rsidR="00F77FD5" w:rsidRPr="007B1676" w:rsidRDefault="00F77FD5" w:rsidP="00A21CDF">
      <w:pPr>
        <w:autoSpaceDE w:val="0"/>
        <w:autoSpaceDN w:val="0"/>
        <w:adjustRightInd w:val="0"/>
        <w:rPr>
          <w:rFonts w:eastAsia="MS Mincho" w:cs="Arial"/>
          <w:lang w:val="fr-FR" w:eastAsia="ja-JP"/>
        </w:rPr>
      </w:pPr>
    </w:p>
    <w:p w:rsidR="00F77FD5" w:rsidRPr="007B1676" w:rsidRDefault="00A21CDF" w:rsidP="00323691">
      <w:pPr>
        <w:autoSpaceDE w:val="0"/>
        <w:autoSpaceDN w:val="0"/>
        <w:adjustRightInd w:val="0"/>
        <w:rPr>
          <w:rFonts w:eastAsia="MS Mincho" w:cs="Arial"/>
          <w:lang w:val="fr-FR" w:eastAsia="ja-JP"/>
        </w:rPr>
      </w:pPr>
      <w:r w:rsidRPr="007B1676">
        <w:rPr>
          <w:rFonts w:eastAsia="MS Mincho" w:cs="Arial"/>
          <w:lang w:val="fr-FR" w:eastAsia="ja-JP"/>
        </w:rPr>
        <w:fldChar w:fldCharType="begin"/>
      </w:r>
      <w:r w:rsidRPr="007B1676">
        <w:rPr>
          <w:rFonts w:eastAsia="MS Mincho" w:cs="Arial"/>
          <w:lang w:val="fr-FR" w:eastAsia="ja-JP"/>
        </w:rPr>
        <w:instrText xml:space="preserve"> AUTONUM  </w:instrText>
      </w:r>
      <w:r w:rsidRPr="007B1676">
        <w:rPr>
          <w:rFonts w:eastAsia="MS Mincho" w:cs="Arial"/>
          <w:lang w:val="fr-FR" w:eastAsia="ja-JP"/>
        </w:rPr>
        <w:fldChar w:fldCharType="end"/>
      </w:r>
      <w:r w:rsidRPr="007B1676">
        <w:rPr>
          <w:rFonts w:eastAsia="MS Mincho" w:cs="Arial"/>
          <w:lang w:val="fr-FR" w:eastAsia="ja-JP"/>
        </w:rPr>
        <w:tab/>
      </w:r>
      <w:r w:rsidR="00323691" w:rsidRPr="007B1676">
        <w:rPr>
          <w:rFonts w:eastAsia="MS Mincho" w:cs="Arial"/>
          <w:lang w:val="fr-FR" w:eastAsia="ja-JP"/>
        </w:rPr>
        <w:t xml:space="preserve">Le Conseil </w:t>
      </w:r>
      <w:r w:rsidR="00A716B4" w:rsidRPr="007B1676">
        <w:rPr>
          <w:rFonts w:eastAsia="MS Mincho" w:cs="Arial"/>
          <w:lang w:val="fr-FR" w:eastAsia="ja-JP"/>
        </w:rPr>
        <w:t>a pris</w:t>
      </w:r>
      <w:r w:rsidR="00323691" w:rsidRPr="007B1676">
        <w:rPr>
          <w:rFonts w:eastAsia="MS Mincho" w:cs="Arial"/>
          <w:lang w:val="fr-FR" w:eastAsia="ja-JP"/>
        </w:rPr>
        <w:t xml:space="preserve"> note que le nombre de demandes de protection d</w:t>
      </w:r>
      <w:r w:rsidR="00FC2AC8" w:rsidRPr="007B1676">
        <w:rPr>
          <w:rFonts w:eastAsia="MS Mincho" w:cs="Arial"/>
          <w:lang w:val="fr-FR" w:eastAsia="ja-JP"/>
        </w:rPr>
        <w:t>’</w:t>
      </w:r>
      <w:r w:rsidR="00323691" w:rsidRPr="007B1676">
        <w:rPr>
          <w:rFonts w:eastAsia="MS Mincho" w:cs="Arial"/>
          <w:lang w:val="fr-FR" w:eastAsia="ja-JP"/>
        </w:rPr>
        <w:t>obtentions v</w:t>
      </w:r>
      <w:r w:rsidR="00D60B7F" w:rsidRPr="007B1676">
        <w:rPr>
          <w:rFonts w:eastAsia="MS Mincho" w:cs="Arial"/>
          <w:lang w:val="fr-FR" w:eastAsia="ja-JP"/>
        </w:rPr>
        <w:t>égétales a</w:t>
      </w:r>
      <w:r w:rsidR="00A716B4" w:rsidRPr="007B1676">
        <w:rPr>
          <w:rFonts w:eastAsia="MS Mincho" w:cs="Arial"/>
          <w:lang w:val="fr-FR" w:eastAsia="ja-JP"/>
        </w:rPr>
        <w:t>vait</w:t>
      </w:r>
      <w:r w:rsidR="00D60B7F" w:rsidRPr="007B1676">
        <w:rPr>
          <w:rFonts w:eastAsia="MS Mincho" w:cs="Arial"/>
          <w:lang w:val="fr-FR" w:eastAsia="ja-JP"/>
        </w:rPr>
        <w:t xml:space="preserve"> augmenté de 6,3% (14 </w:t>
      </w:r>
      <w:r w:rsidR="00323691" w:rsidRPr="007B1676">
        <w:rPr>
          <w:rFonts w:eastAsia="MS Mincho" w:cs="Arial"/>
          <w:lang w:val="fr-FR" w:eastAsia="ja-JP"/>
        </w:rPr>
        <w:t>788 en</w:t>
      </w:r>
      <w:r w:rsidR="00731AD3" w:rsidRPr="007B1676">
        <w:rPr>
          <w:rFonts w:eastAsia="MS Mincho" w:cs="Arial"/>
          <w:lang w:val="fr-FR" w:eastAsia="ja-JP"/>
        </w:rPr>
        <w:t> </w:t>
      </w:r>
      <w:r w:rsidR="00323691" w:rsidRPr="007B1676">
        <w:rPr>
          <w:rFonts w:eastAsia="MS Mincho" w:cs="Arial"/>
          <w:lang w:val="fr-FR" w:eastAsia="ja-JP"/>
        </w:rPr>
        <w:t>2013;  13</w:t>
      </w:r>
      <w:r w:rsidR="00D60B7F" w:rsidRPr="007B1676">
        <w:rPr>
          <w:rFonts w:eastAsia="MS Mincho" w:cs="Arial"/>
          <w:lang w:val="fr-FR" w:eastAsia="ja-JP"/>
        </w:rPr>
        <w:t> </w:t>
      </w:r>
      <w:r w:rsidR="00323691" w:rsidRPr="007B1676">
        <w:rPr>
          <w:rFonts w:eastAsia="MS Mincho" w:cs="Arial"/>
          <w:lang w:val="fr-FR" w:eastAsia="ja-JP"/>
        </w:rPr>
        <w:t>908 en</w:t>
      </w:r>
      <w:r w:rsidR="00731AD3" w:rsidRPr="007B1676">
        <w:rPr>
          <w:rFonts w:eastAsia="MS Mincho" w:cs="Arial"/>
          <w:lang w:val="fr-FR" w:eastAsia="ja-JP"/>
        </w:rPr>
        <w:t> </w:t>
      </w:r>
      <w:r w:rsidR="00323691" w:rsidRPr="007B1676">
        <w:rPr>
          <w:rFonts w:eastAsia="MS Mincho" w:cs="Arial"/>
          <w:lang w:val="fr-FR" w:eastAsia="ja-JP"/>
        </w:rPr>
        <w:t>2012), ce qui représente une augmentation de 8,7% du nombre de demandes déposées par des résidents (9502 en</w:t>
      </w:r>
      <w:r w:rsidR="00731AD3" w:rsidRPr="007B1676">
        <w:rPr>
          <w:rFonts w:eastAsia="MS Mincho" w:cs="Arial"/>
          <w:lang w:val="fr-FR" w:eastAsia="ja-JP"/>
        </w:rPr>
        <w:t> </w:t>
      </w:r>
      <w:r w:rsidR="00323691" w:rsidRPr="007B1676">
        <w:rPr>
          <w:rFonts w:eastAsia="MS Mincho" w:cs="Arial"/>
          <w:lang w:val="fr-FR" w:eastAsia="ja-JP"/>
        </w:rPr>
        <w:t>2013;  8739 en</w:t>
      </w:r>
      <w:r w:rsidR="00731AD3" w:rsidRPr="007B1676">
        <w:rPr>
          <w:rFonts w:eastAsia="MS Mincho" w:cs="Arial"/>
          <w:lang w:val="fr-FR" w:eastAsia="ja-JP"/>
        </w:rPr>
        <w:t> </w:t>
      </w:r>
      <w:r w:rsidR="00323691" w:rsidRPr="007B1676">
        <w:rPr>
          <w:rFonts w:eastAsia="MS Mincho" w:cs="Arial"/>
          <w:lang w:val="fr-FR" w:eastAsia="ja-JP"/>
        </w:rPr>
        <w:t>2012) et une augmentation de 2,3% du nombre de demandes déposées par des non</w:t>
      </w:r>
      <w:r w:rsidR="00F66982" w:rsidRPr="007B1676">
        <w:rPr>
          <w:rFonts w:eastAsia="MS Mincho" w:cs="Arial"/>
          <w:lang w:val="fr-FR" w:eastAsia="ja-JP"/>
        </w:rPr>
        <w:noBreakHyphen/>
      </w:r>
      <w:r w:rsidR="00323691" w:rsidRPr="007B1676">
        <w:rPr>
          <w:rFonts w:eastAsia="MS Mincho" w:cs="Arial"/>
          <w:lang w:val="fr-FR" w:eastAsia="ja-JP"/>
        </w:rPr>
        <w:t>résidents (5286 en</w:t>
      </w:r>
      <w:r w:rsidR="00731AD3" w:rsidRPr="007B1676">
        <w:rPr>
          <w:rFonts w:eastAsia="MS Mincho" w:cs="Arial"/>
          <w:lang w:val="fr-FR" w:eastAsia="ja-JP"/>
        </w:rPr>
        <w:t> </w:t>
      </w:r>
      <w:r w:rsidR="00323691" w:rsidRPr="007B1676">
        <w:rPr>
          <w:rFonts w:eastAsia="MS Mincho" w:cs="Arial"/>
          <w:lang w:val="fr-FR" w:eastAsia="ja-JP"/>
        </w:rPr>
        <w:t>2013;  5169 en</w:t>
      </w:r>
      <w:r w:rsidR="00731AD3" w:rsidRPr="007B1676">
        <w:rPr>
          <w:rFonts w:eastAsia="MS Mincho" w:cs="Arial"/>
          <w:lang w:val="fr-FR" w:eastAsia="ja-JP"/>
        </w:rPr>
        <w:t> </w:t>
      </w:r>
      <w:r w:rsidR="00323691" w:rsidRPr="007B1676">
        <w:rPr>
          <w:rFonts w:eastAsia="MS Mincho" w:cs="Arial"/>
          <w:lang w:val="fr-FR" w:eastAsia="ja-JP"/>
        </w:rPr>
        <w:t>2012).</w:t>
      </w:r>
      <w:r w:rsidRPr="007B1676">
        <w:rPr>
          <w:rFonts w:eastAsia="MS Mincho"/>
          <w:lang w:val="fr-FR"/>
        </w:rPr>
        <w:t xml:space="preserve">  </w:t>
      </w:r>
      <w:r w:rsidR="00323691" w:rsidRPr="007B1676">
        <w:rPr>
          <w:rFonts w:eastAsia="MS Mincho" w:cs="Arial"/>
          <w:lang w:val="fr-FR" w:eastAsia="ja-JP"/>
        </w:rPr>
        <w:t>Le nombre de titres délivrés a augment</w:t>
      </w:r>
      <w:r w:rsidR="00D60B7F" w:rsidRPr="007B1676">
        <w:rPr>
          <w:rFonts w:eastAsia="MS Mincho" w:cs="Arial"/>
          <w:lang w:val="fr-FR" w:eastAsia="ja-JP"/>
        </w:rPr>
        <w:t>é, passant de</w:t>
      </w:r>
      <w:r w:rsidR="00731AD3" w:rsidRPr="007B1676">
        <w:rPr>
          <w:rFonts w:eastAsia="MS Mincho" w:cs="Arial"/>
          <w:lang w:val="fr-FR" w:eastAsia="ja-JP"/>
        </w:rPr>
        <w:t> </w:t>
      </w:r>
      <w:r w:rsidR="00D60B7F" w:rsidRPr="007B1676">
        <w:rPr>
          <w:rFonts w:eastAsia="MS Mincho" w:cs="Arial"/>
          <w:lang w:val="fr-FR" w:eastAsia="ja-JP"/>
        </w:rPr>
        <w:t>9822 en</w:t>
      </w:r>
      <w:r w:rsidR="00731AD3" w:rsidRPr="007B1676">
        <w:rPr>
          <w:rFonts w:eastAsia="MS Mincho" w:cs="Arial"/>
          <w:lang w:val="fr-FR" w:eastAsia="ja-JP"/>
        </w:rPr>
        <w:t> </w:t>
      </w:r>
      <w:r w:rsidR="00D60B7F" w:rsidRPr="007B1676">
        <w:rPr>
          <w:rFonts w:eastAsia="MS Mincho" w:cs="Arial"/>
          <w:lang w:val="fr-FR" w:eastAsia="ja-JP"/>
        </w:rPr>
        <w:t>2012 à 10 </w:t>
      </w:r>
      <w:r w:rsidR="00323691" w:rsidRPr="007B1676">
        <w:rPr>
          <w:rFonts w:eastAsia="MS Mincho" w:cs="Arial"/>
          <w:lang w:val="fr-FR" w:eastAsia="ja-JP"/>
        </w:rPr>
        <w:t>052 en</w:t>
      </w:r>
      <w:r w:rsidR="00731AD3" w:rsidRPr="007B1676">
        <w:rPr>
          <w:rFonts w:eastAsia="MS Mincho" w:cs="Arial"/>
          <w:lang w:val="fr-FR" w:eastAsia="ja-JP"/>
        </w:rPr>
        <w:t> </w:t>
      </w:r>
      <w:r w:rsidR="00323691" w:rsidRPr="007B1676">
        <w:rPr>
          <w:rFonts w:eastAsia="MS Mincho" w:cs="Arial"/>
          <w:lang w:val="fr-FR" w:eastAsia="ja-JP"/>
        </w:rPr>
        <w:t>2013 (soit une augmentation de 2,3%).</w:t>
      </w:r>
    </w:p>
    <w:p w:rsidR="00F77FD5" w:rsidRPr="007B1676" w:rsidRDefault="00F77FD5" w:rsidP="001D140D">
      <w:pPr>
        <w:autoSpaceDE w:val="0"/>
        <w:autoSpaceDN w:val="0"/>
        <w:adjustRightInd w:val="0"/>
        <w:rPr>
          <w:rFonts w:eastAsia="MS Mincho" w:cs="Arial"/>
          <w:lang w:val="fr-FR" w:eastAsia="ja-JP"/>
        </w:rPr>
      </w:pPr>
    </w:p>
    <w:p w:rsidR="00F77FD5" w:rsidRPr="007B1676" w:rsidRDefault="00323691" w:rsidP="0085250E">
      <w:pPr>
        <w:pStyle w:val="Heading2"/>
        <w:rPr>
          <w:color w:val="auto"/>
        </w:rPr>
      </w:pPr>
      <w:bookmarkStart w:id="17" w:name="_Toc413662342"/>
      <w:r w:rsidRPr="007B1676">
        <w:rPr>
          <w:color w:val="auto"/>
        </w:rPr>
        <w:t>Coopération en matière d</w:t>
      </w:r>
      <w:r w:rsidR="00FC2AC8" w:rsidRPr="007B1676">
        <w:rPr>
          <w:color w:val="auto"/>
        </w:rPr>
        <w:t>’</w:t>
      </w:r>
      <w:r w:rsidRPr="007B1676">
        <w:rPr>
          <w:color w:val="auto"/>
        </w:rPr>
        <w:t>examen d</w:t>
      </w:r>
      <w:r w:rsidR="00FC2AC8" w:rsidRPr="007B1676">
        <w:rPr>
          <w:color w:val="auto"/>
        </w:rPr>
        <w:t>’</w:t>
      </w:r>
      <w:r w:rsidRPr="007B1676">
        <w:rPr>
          <w:color w:val="auto"/>
        </w:rPr>
        <w:t>obtentions végétales</w:t>
      </w:r>
      <w:bookmarkEnd w:id="17"/>
    </w:p>
    <w:p w:rsidR="00F77FD5" w:rsidRPr="007B1676" w:rsidRDefault="00323691" w:rsidP="00323691">
      <w:pPr>
        <w:keepNext/>
        <w:autoSpaceDE w:val="0"/>
        <w:autoSpaceDN w:val="0"/>
        <w:adjustRightInd w:val="0"/>
        <w:rPr>
          <w:rFonts w:eastAsia="MS Mincho" w:cs="Arial"/>
          <w:lang w:val="fr-FR" w:eastAsia="ja-JP"/>
        </w:rPr>
      </w:pPr>
      <w:r w:rsidRPr="007B1676">
        <w:rPr>
          <w:rFonts w:eastAsia="MS Mincho" w:cs="Arial"/>
          <w:lang w:val="fr-FR" w:eastAsia="ja-JP"/>
        </w:rPr>
        <w:t>(</w:t>
      </w:r>
      <w:proofErr w:type="gramStart"/>
      <w:r w:rsidRPr="007B1676">
        <w:rPr>
          <w:rFonts w:eastAsia="MS Mincho" w:cs="Arial"/>
          <w:lang w:val="fr-FR" w:eastAsia="ja-JP"/>
        </w:rPr>
        <w:t>voir</w:t>
      </w:r>
      <w:proofErr w:type="gramEnd"/>
      <w:r w:rsidRPr="007B1676">
        <w:rPr>
          <w:rFonts w:eastAsia="MS Mincho" w:cs="Arial"/>
          <w:lang w:val="fr-FR" w:eastAsia="ja-JP"/>
        </w:rPr>
        <w:t xml:space="preserve"> le document C/48/5 “Coopération en matière d</w:t>
      </w:r>
      <w:r w:rsidR="00FC2AC8" w:rsidRPr="007B1676">
        <w:rPr>
          <w:rFonts w:eastAsia="MS Mincho" w:cs="Arial"/>
          <w:lang w:val="fr-FR" w:eastAsia="ja-JP"/>
        </w:rPr>
        <w:t>’</w:t>
      </w:r>
      <w:r w:rsidRPr="007B1676">
        <w:rPr>
          <w:rFonts w:eastAsia="MS Mincho" w:cs="Arial"/>
          <w:lang w:val="fr-FR" w:eastAsia="ja-JP"/>
        </w:rPr>
        <w:t>examen”)</w:t>
      </w:r>
    </w:p>
    <w:p w:rsidR="00F77FD5" w:rsidRPr="007B1676" w:rsidRDefault="00F77FD5" w:rsidP="001D140D">
      <w:pPr>
        <w:keepNext/>
        <w:tabs>
          <w:tab w:val="num" w:pos="1440"/>
        </w:tabs>
        <w:autoSpaceDE w:val="0"/>
        <w:autoSpaceDN w:val="0"/>
        <w:adjustRightInd w:val="0"/>
        <w:rPr>
          <w:rFonts w:cs="Arial"/>
          <w:lang w:val="fr-FR"/>
        </w:rPr>
      </w:pPr>
    </w:p>
    <w:p w:rsidR="00F77FD5" w:rsidRPr="007B1676" w:rsidRDefault="00A21CDF" w:rsidP="00323691">
      <w:pPr>
        <w:keepNext/>
        <w:autoSpaceDE w:val="0"/>
        <w:autoSpaceDN w:val="0"/>
        <w:adjustRightInd w:val="0"/>
        <w:rPr>
          <w:rFonts w:cs="Arial"/>
          <w:lang w:val="fr-FR"/>
        </w:rPr>
      </w:pPr>
      <w:r w:rsidRPr="007B1676">
        <w:rPr>
          <w:rFonts w:eastAsia="MS Mincho" w:cs="Arial"/>
          <w:lang w:val="fr-FR" w:eastAsia="ja-JP"/>
        </w:rPr>
        <w:fldChar w:fldCharType="begin"/>
      </w:r>
      <w:r w:rsidRPr="007B1676">
        <w:rPr>
          <w:rFonts w:eastAsia="MS Mincho" w:cs="Arial"/>
          <w:lang w:val="fr-FR" w:eastAsia="ja-JP"/>
        </w:rPr>
        <w:instrText xml:space="preserve"> AUTONUM  </w:instrText>
      </w:r>
      <w:r w:rsidRPr="007B1676">
        <w:rPr>
          <w:rFonts w:eastAsia="MS Mincho" w:cs="Arial"/>
          <w:lang w:val="fr-FR" w:eastAsia="ja-JP"/>
        </w:rPr>
        <w:fldChar w:fldCharType="end"/>
      </w:r>
      <w:r w:rsidRPr="007B1676">
        <w:rPr>
          <w:rFonts w:eastAsia="MS Mincho" w:cs="Arial"/>
          <w:lang w:val="fr-FR" w:eastAsia="ja-JP"/>
        </w:rPr>
        <w:tab/>
      </w:r>
      <w:r w:rsidR="00323691" w:rsidRPr="007B1676">
        <w:rPr>
          <w:rFonts w:eastAsia="MS Mincho" w:cs="Arial"/>
          <w:lang w:val="fr-FR" w:eastAsia="ja-JP"/>
        </w:rPr>
        <w:t>En</w:t>
      </w:r>
      <w:r w:rsidR="00731AD3" w:rsidRPr="007B1676">
        <w:rPr>
          <w:rFonts w:eastAsia="MS Mincho" w:cs="Arial"/>
          <w:lang w:val="fr-FR" w:eastAsia="ja-JP"/>
        </w:rPr>
        <w:t> </w:t>
      </w:r>
      <w:r w:rsidR="00323691" w:rsidRPr="007B1676">
        <w:rPr>
          <w:rFonts w:eastAsia="MS Mincho" w:cs="Arial"/>
          <w:lang w:val="fr-FR" w:eastAsia="ja-JP"/>
        </w:rPr>
        <w:t>2014, le nombre de genres et espèces végétaux faisant l</w:t>
      </w:r>
      <w:r w:rsidR="00FC2AC8" w:rsidRPr="007B1676">
        <w:rPr>
          <w:rFonts w:eastAsia="MS Mincho" w:cs="Arial"/>
          <w:lang w:val="fr-FR" w:eastAsia="ja-JP"/>
        </w:rPr>
        <w:t>’</w:t>
      </w:r>
      <w:r w:rsidR="00323691" w:rsidRPr="007B1676">
        <w:rPr>
          <w:rFonts w:eastAsia="MS Mincho" w:cs="Arial"/>
          <w:lang w:val="fr-FR" w:eastAsia="ja-JP"/>
        </w:rPr>
        <w:t>objet d</w:t>
      </w:r>
      <w:r w:rsidR="00FC2AC8" w:rsidRPr="007B1676">
        <w:rPr>
          <w:rFonts w:eastAsia="MS Mincho" w:cs="Arial"/>
          <w:lang w:val="fr-FR" w:eastAsia="ja-JP"/>
        </w:rPr>
        <w:t>’</w:t>
      </w:r>
      <w:r w:rsidR="00323691" w:rsidRPr="007B1676">
        <w:rPr>
          <w:rFonts w:eastAsia="MS Mincho" w:cs="Arial"/>
          <w:lang w:val="fr-FR" w:eastAsia="ja-JP"/>
        </w:rPr>
        <w:t>accords entre membres de l</w:t>
      </w:r>
      <w:r w:rsidR="00FC2AC8" w:rsidRPr="007B1676">
        <w:rPr>
          <w:rFonts w:eastAsia="MS Mincho" w:cs="Arial"/>
          <w:lang w:val="fr-FR" w:eastAsia="ja-JP"/>
        </w:rPr>
        <w:t>’</w:t>
      </w:r>
      <w:r w:rsidR="00323691" w:rsidRPr="007B1676">
        <w:rPr>
          <w:rFonts w:eastAsia="MS Mincho" w:cs="Arial"/>
          <w:lang w:val="fr-FR" w:eastAsia="ja-JP"/>
        </w:rPr>
        <w:t>Union à des fins de coopération en matière d</w:t>
      </w:r>
      <w:r w:rsidR="00FC2AC8" w:rsidRPr="007B1676">
        <w:rPr>
          <w:rFonts w:eastAsia="MS Mincho" w:cs="Arial"/>
          <w:lang w:val="fr-FR" w:eastAsia="ja-JP"/>
        </w:rPr>
        <w:t>’</w:t>
      </w:r>
      <w:r w:rsidR="00323691" w:rsidRPr="007B1676">
        <w:rPr>
          <w:rFonts w:eastAsia="MS Mincho" w:cs="Arial"/>
          <w:lang w:val="fr-FR" w:eastAsia="ja-JP"/>
        </w:rPr>
        <w:t>examen de la distinction, de l</w:t>
      </w:r>
      <w:r w:rsidR="00FC2AC8" w:rsidRPr="007B1676">
        <w:rPr>
          <w:rFonts w:eastAsia="MS Mincho" w:cs="Arial"/>
          <w:lang w:val="fr-FR" w:eastAsia="ja-JP"/>
        </w:rPr>
        <w:t>’</w:t>
      </w:r>
      <w:r w:rsidR="00323691" w:rsidRPr="007B1676">
        <w:rPr>
          <w:rFonts w:eastAsia="MS Mincho" w:cs="Arial"/>
          <w:lang w:val="fr-FR" w:eastAsia="ja-JP"/>
        </w:rPr>
        <w:t>homogénéité et de la sta</w:t>
      </w:r>
      <w:r w:rsidR="00D60B7F" w:rsidRPr="007B1676">
        <w:rPr>
          <w:rFonts w:eastAsia="MS Mincho" w:cs="Arial"/>
          <w:lang w:val="fr-FR" w:eastAsia="ja-JP"/>
        </w:rPr>
        <w:t>bi</w:t>
      </w:r>
      <w:r w:rsidR="000D3391" w:rsidRPr="007B1676">
        <w:rPr>
          <w:rFonts w:eastAsia="MS Mincho" w:cs="Arial"/>
          <w:lang w:val="fr-FR" w:eastAsia="ja-JP"/>
        </w:rPr>
        <w:t>lité s</w:t>
      </w:r>
      <w:r w:rsidR="00FC2AC8" w:rsidRPr="007B1676">
        <w:rPr>
          <w:rFonts w:eastAsia="MS Mincho" w:cs="Arial"/>
          <w:lang w:val="fr-FR" w:eastAsia="ja-JP"/>
        </w:rPr>
        <w:t>’</w:t>
      </w:r>
      <w:r w:rsidR="000D3391" w:rsidRPr="007B1676">
        <w:rPr>
          <w:rFonts w:eastAsia="MS Mincho" w:cs="Arial"/>
          <w:lang w:val="fr-FR" w:eastAsia="ja-JP"/>
        </w:rPr>
        <w:t>est élevé au total à 2005</w:t>
      </w:r>
      <w:r w:rsidR="00D60B7F" w:rsidRPr="007B1676">
        <w:rPr>
          <w:rFonts w:eastAsia="MS Mincho" w:cs="Arial"/>
          <w:lang w:val="fr-FR" w:eastAsia="ja-JP"/>
        </w:rPr>
        <w:t>, contre 1</w:t>
      </w:r>
      <w:r w:rsidR="000D3391" w:rsidRPr="007B1676">
        <w:rPr>
          <w:rFonts w:eastAsia="MS Mincho" w:cs="Arial"/>
          <w:lang w:val="fr-FR" w:eastAsia="ja-JP"/>
        </w:rPr>
        <w:t>997</w:t>
      </w:r>
      <w:r w:rsidR="00323691" w:rsidRPr="007B1676">
        <w:rPr>
          <w:rFonts w:eastAsia="MS Mincho" w:cs="Arial"/>
          <w:lang w:val="fr-FR" w:eastAsia="ja-JP"/>
        </w:rPr>
        <w:t xml:space="preserve"> en</w:t>
      </w:r>
      <w:r w:rsidR="00731AD3" w:rsidRPr="007B1676">
        <w:rPr>
          <w:rFonts w:eastAsia="MS Mincho" w:cs="Arial"/>
          <w:lang w:val="fr-FR" w:eastAsia="ja-JP"/>
        </w:rPr>
        <w:t> </w:t>
      </w:r>
      <w:r w:rsidR="00323691" w:rsidRPr="007B1676">
        <w:rPr>
          <w:rFonts w:eastAsia="MS Mincho" w:cs="Arial"/>
          <w:lang w:val="fr-FR" w:eastAsia="ja-JP"/>
        </w:rPr>
        <w:t>2013.</w:t>
      </w:r>
    </w:p>
    <w:p w:rsidR="00F77FD5" w:rsidRPr="007B1676" w:rsidRDefault="00F77FD5" w:rsidP="001D140D">
      <w:pPr>
        <w:rPr>
          <w:lang w:val="fr-FR"/>
        </w:rPr>
      </w:pPr>
    </w:p>
    <w:p w:rsidR="00F77FD5" w:rsidRPr="007B1676" w:rsidRDefault="00F77FD5" w:rsidP="001D140D">
      <w:pPr>
        <w:rPr>
          <w:lang w:val="fr-FR"/>
        </w:rPr>
      </w:pPr>
    </w:p>
    <w:p w:rsidR="00F77FD5" w:rsidRPr="007B1676" w:rsidRDefault="00323691" w:rsidP="00464B0B">
      <w:pPr>
        <w:pStyle w:val="Heading1"/>
        <w:rPr>
          <w:color w:val="auto"/>
        </w:rPr>
      </w:pPr>
      <w:bookmarkStart w:id="18" w:name="_Toc413662343"/>
      <w:r w:rsidRPr="007B1676">
        <w:rPr>
          <w:color w:val="auto"/>
        </w:rPr>
        <w:t>situation financière</w:t>
      </w:r>
      <w:bookmarkEnd w:id="18"/>
    </w:p>
    <w:p w:rsidR="00F77FD5" w:rsidRPr="007B1676" w:rsidRDefault="00F77FD5" w:rsidP="001D140D">
      <w:pPr>
        <w:keepNext/>
        <w:rPr>
          <w:lang w:val="fr-FR"/>
        </w:rPr>
      </w:pPr>
    </w:p>
    <w:p w:rsidR="00F77FD5" w:rsidRPr="007B1676" w:rsidRDefault="00323691" w:rsidP="0085250E">
      <w:pPr>
        <w:pStyle w:val="Heading2"/>
        <w:rPr>
          <w:color w:val="auto"/>
        </w:rPr>
      </w:pPr>
      <w:bookmarkStart w:id="19" w:name="_Toc413662344"/>
      <w:r w:rsidRPr="007B1676">
        <w:rPr>
          <w:color w:val="auto"/>
        </w:rPr>
        <w:t>Fonds spécial pour des projets</w:t>
      </w:r>
      <w:bookmarkEnd w:id="19"/>
    </w:p>
    <w:p w:rsidR="00F77FD5" w:rsidRPr="007B1676" w:rsidRDefault="00F77FD5" w:rsidP="00B45708">
      <w:pPr>
        <w:rPr>
          <w:rFonts w:cs="Arial"/>
          <w:u w:val="single"/>
          <w:lang w:val="fr-FR"/>
        </w:rPr>
      </w:pPr>
    </w:p>
    <w:p w:rsidR="00F77FD5" w:rsidRPr="007B1676" w:rsidRDefault="00FB6EF5" w:rsidP="00323691">
      <w:pPr>
        <w:rPr>
          <w:rFonts w:cs="Arial"/>
          <w:lang w:val="fr-FR"/>
        </w:rPr>
      </w:pPr>
      <w:r w:rsidRPr="007B1676">
        <w:rPr>
          <w:rFonts w:cs="Arial"/>
          <w:lang w:val="fr-FR"/>
        </w:rPr>
        <w:fldChar w:fldCharType="begin"/>
      </w:r>
      <w:r w:rsidRPr="007B1676">
        <w:rPr>
          <w:rFonts w:cs="Arial"/>
          <w:lang w:val="fr-FR"/>
        </w:rPr>
        <w:instrText xml:space="preserve"> AUTONUM  </w:instrText>
      </w:r>
      <w:r w:rsidRPr="007B1676">
        <w:rPr>
          <w:rFonts w:cs="Arial"/>
          <w:lang w:val="fr-FR"/>
        </w:rPr>
        <w:fldChar w:fldCharType="end"/>
      </w:r>
      <w:r w:rsidRPr="007B1676">
        <w:rPr>
          <w:rFonts w:cs="Arial"/>
          <w:lang w:val="fr-FR"/>
        </w:rPr>
        <w:tab/>
      </w:r>
      <w:r w:rsidR="003B3E2F" w:rsidRPr="007B1676">
        <w:rPr>
          <w:rFonts w:cs="Arial"/>
          <w:lang w:val="fr-FR"/>
        </w:rPr>
        <w:t>À</w:t>
      </w:r>
      <w:r w:rsidR="00584303" w:rsidRPr="007B1676">
        <w:rPr>
          <w:rFonts w:cs="Arial"/>
          <w:lang w:val="fr-FR"/>
        </w:rPr>
        <w:t xml:space="preserve"> sa</w:t>
      </w:r>
      <w:r w:rsidR="000D3391" w:rsidRPr="007B1676">
        <w:rPr>
          <w:rFonts w:cs="Arial"/>
          <w:lang w:val="fr-FR"/>
        </w:rPr>
        <w:t xml:space="preserve"> trente </w:t>
      </w:r>
      <w:r w:rsidR="00584303" w:rsidRPr="007B1676">
        <w:rPr>
          <w:rFonts w:cs="Arial"/>
          <w:lang w:val="fr-FR"/>
        </w:rPr>
        <w:t>et</w:t>
      </w:r>
      <w:r w:rsidR="000D3391" w:rsidRPr="007B1676">
        <w:rPr>
          <w:rFonts w:cs="Arial"/>
          <w:lang w:val="fr-FR"/>
        </w:rPr>
        <w:t> </w:t>
      </w:r>
      <w:r w:rsidR="00584303" w:rsidRPr="007B1676">
        <w:rPr>
          <w:rFonts w:cs="Arial"/>
          <w:lang w:val="fr-FR"/>
        </w:rPr>
        <w:t>unième</w:t>
      </w:r>
      <w:r w:rsidR="00731AD3" w:rsidRPr="007B1676">
        <w:rPr>
          <w:rFonts w:cs="Arial"/>
          <w:lang w:val="fr-FR"/>
        </w:rPr>
        <w:t> </w:t>
      </w:r>
      <w:r w:rsidR="00584303" w:rsidRPr="007B1676">
        <w:rPr>
          <w:rFonts w:cs="Arial"/>
          <w:lang w:val="fr-FR"/>
        </w:rPr>
        <w:t xml:space="preserve">session extraordinaire, </w:t>
      </w:r>
      <w:r w:rsidR="003B3E2F" w:rsidRPr="007B1676">
        <w:rPr>
          <w:rFonts w:cs="Arial"/>
          <w:lang w:val="fr-FR"/>
        </w:rPr>
        <w:t xml:space="preserve">le Conseil </w:t>
      </w:r>
      <w:r w:rsidR="00584303" w:rsidRPr="007B1676">
        <w:rPr>
          <w:rFonts w:cs="Arial"/>
          <w:lang w:val="fr-FR"/>
        </w:rPr>
        <w:t>a décidé de créer un Fonds spécial pour des projets du montant du fonds de réserve dépassant 15% des recettes tot</w:t>
      </w:r>
      <w:r w:rsidR="000D3391" w:rsidRPr="007B1676">
        <w:rPr>
          <w:rFonts w:cs="Arial"/>
          <w:lang w:val="fr-FR"/>
        </w:rPr>
        <w:t>ales de l</w:t>
      </w:r>
      <w:r w:rsidR="00FC2AC8" w:rsidRPr="007B1676">
        <w:rPr>
          <w:rFonts w:cs="Arial"/>
          <w:lang w:val="fr-FR"/>
        </w:rPr>
        <w:t>’</w:t>
      </w:r>
      <w:r w:rsidR="000D3391" w:rsidRPr="007B1676">
        <w:rPr>
          <w:rFonts w:cs="Arial"/>
          <w:lang w:val="fr-FR"/>
        </w:rPr>
        <w:t>exercice biennal</w:t>
      </w:r>
      <w:r w:rsidR="00731AD3" w:rsidRPr="007B1676">
        <w:rPr>
          <w:rFonts w:cs="Arial"/>
          <w:lang w:val="fr-FR"/>
        </w:rPr>
        <w:t> </w:t>
      </w:r>
      <w:r w:rsidR="000D3391" w:rsidRPr="007B1676">
        <w:rPr>
          <w:rFonts w:cs="Arial"/>
          <w:lang w:val="fr-FR"/>
        </w:rPr>
        <w:t>2012</w:t>
      </w:r>
      <w:r w:rsidR="00F66982" w:rsidRPr="007B1676">
        <w:rPr>
          <w:rFonts w:cs="Arial"/>
          <w:lang w:val="fr-FR"/>
        </w:rPr>
        <w:noBreakHyphen/>
      </w:r>
      <w:r w:rsidR="00584303" w:rsidRPr="007B1676">
        <w:rPr>
          <w:rFonts w:cs="Arial"/>
          <w:lang w:val="fr-FR"/>
        </w:rPr>
        <w:t>2013</w:t>
      </w:r>
      <w:r w:rsidR="00B45708" w:rsidRPr="007B1676">
        <w:rPr>
          <w:rFonts w:cs="Arial"/>
          <w:lang w:val="fr-FR"/>
        </w:rPr>
        <w:t xml:space="preserve">.  </w:t>
      </w:r>
      <w:r w:rsidR="00323691" w:rsidRPr="007B1676">
        <w:rPr>
          <w:rFonts w:cs="Arial"/>
          <w:lang w:val="fr-FR"/>
        </w:rPr>
        <w:t>À sa q</w:t>
      </w:r>
      <w:r w:rsidR="00D60B7F" w:rsidRPr="007B1676">
        <w:rPr>
          <w:rFonts w:cs="Arial"/>
          <w:lang w:val="fr-FR"/>
        </w:rPr>
        <w:t>uarante</w:t>
      </w:r>
      <w:r w:rsidR="00F66982" w:rsidRPr="007B1676">
        <w:rPr>
          <w:rFonts w:cs="Arial"/>
          <w:lang w:val="fr-FR"/>
        </w:rPr>
        <w:noBreakHyphen/>
      </w:r>
      <w:r w:rsidR="00323691" w:rsidRPr="007B1676">
        <w:rPr>
          <w:rFonts w:cs="Arial"/>
          <w:lang w:val="fr-FR"/>
        </w:rPr>
        <w:t>huitième</w:t>
      </w:r>
      <w:r w:rsidR="00731AD3" w:rsidRPr="007B1676">
        <w:rPr>
          <w:rFonts w:cs="Arial"/>
          <w:lang w:val="fr-FR"/>
        </w:rPr>
        <w:t> </w:t>
      </w:r>
      <w:r w:rsidR="00323691" w:rsidRPr="007B1676">
        <w:rPr>
          <w:rFonts w:cs="Arial"/>
          <w:lang w:val="fr-FR"/>
        </w:rPr>
        <w:t>session ordinaire, il a décidé d</w:t>
      </w:r>
      <w:r w:rsidR="00FC2AC8" w:rsidRPr="007B1676">
        <w:rPr>
          <w:rFonts w:cs="Arial"/>
          <w:lang w:val="fr-FR"/>
        </w:rPr>
        <w:t>’</w:t>
      </w:r>
      <w:r w:rsidR="00323691" w:rsidRPr="007B1676">
        <w:rPr>
          <w:rFonts w:cs="Arial"/>
          <w:lang w:val="fr-FR"/>
        </w:rPr>
        <w:t>utiliser ce Fonds à des fins de formation.</w:t>
      </w:r>
    </w:p>
    <w:p w:rsidR="00F77FD5" w:rsidRPr="007B1676" w:rsidRDefault="00F77FD5" w:rsidP="001D140D">
      <w:pPr>
        <w:rPr>
          <w:lang w:val="fr-FR"/>
        </w:rPr>
      </w:pPr>
    </w:p>
    <w:p w:rsidR="00F77FD5" w:rsidRPr="007B1676" w:rsidRDefault="00F77FD5" w:rsidP="001D140D">
      <w:pPr>
        <w:rPr>
          <w:spacing w:val="-2"/>
          <w:lang w:val="fr-FR"/>
        </w:rPr>
      </w:pPr>
    </w:p>
    <w:p w:rsidR="00F77FD5" w:rsidRPr="007B1676" w:rsidRDefault="00323691" w:rsidP="00464B0B">
      <w:pPr>
        <w:pStyle w:val="Heading1"/>
        <w:rPr>
          <w:color w:val="auto"/>
        </w:rPr>
      </w:pPr>
      <w:bookmarkStart w:id="20" w:name="_Toc413662345"/>
      <w:r w:rsidRPr="007B1676">
        <w:rPr>
          <w:color w:val="auto"/>
        </w:rPr>
        <w:t>présidence d</w:t>
      </w:r>
      <w:r w:rsidR="00FC2AC8" w:rsidRPr="007B1676">
        <w:rPr>
          <w:color w:val="auto"/>
        </w:rPr>
        <w:t>’</w:t>
      </w:r>
      <w:r w:rsidRPr="007B1676">
        <w:rPr>
          <w:color w:val="auto"/>
        </w:rPr>
        <w:t>organes de l</w:t>
      </w:r>
      <w:r w:rsidR="00FC2AC8" w:rsidRPr="007B1676">
        <w:rPr>
          <w:color w:val="auto"/>
        </w:rPr>
        <w:t>’</w:t>
      </w:r>
      <w:r w:rsidRPr="007B1676">
        <w:rPr>
          <w:color w:val="auto"/>
        </w:rPr>
        <w:t>UPOV</w:t>
      </w:r>
      <w:bookmarkEnd w:id="20"/>
    </w:p>
    <w:p w:rsidR="00F77FD5" w:rsidRPr="007B1676" w:rsidRDefault="00F77FD5" w:rsidP="001D140D">
      <w:pPr>
        <w:keepNext/>
        <w:rPr>
          <w:rFonts w:cs="Arial"/>
          <w:lang w:val="fr-FR"/>
        </w:rPr>
      </w:pPr>
    </w:p>
    <w:p w:rsidR="00F77FD5" w:rsidRPr="007B1676" w:rsidRDefault="00E07E8D" w:rsidP="00E07E8D">
      <w:pPr>
        <w:keepNext/>
        <w:rPr>
          <w:szCs w:val="24"/>
          <w:lang w:val="fr-FR"/>
        </w:rPr>
      </w:pPr>
      <w:r w:rsidRPr="007B1676">
        <w:rPr>
          <w:szCs w:val="24"/>
          <w:lang w:val="fr-FR"/>
        </w:rPr>
        <w:fldChar w:fldCharType="begin"/>
      </w:r>
      <w:r w:rsidRPr="007B1676">
        <w:rPr>
          <w:szCs w:val="24"/>
          <w:lang w:val="fr-FR"/>
        </w:rPr>
        <w:instrText xml:space="preserve"> AUTONUM  </w:instrText>
      </w:r>
      <w:r w:rsidRPr="007B1676">
        <w:rPr>
          <w:szCs w:val="24"/>
          <w:lang w:val="fr-FR"/>
        </w:rPr>
        <w:fldChar w:fldCharType="end"/>
      </w:r>
      <w:r w:rsidRPr="007B1676">
        <w:rPr>
          <w:szCs w:val="24"/>
          <w:lang w:val="fr-FR"/>
        </w:rPr>
        <w:tab/>
      </w:r>
      <w:r w:rsidR="003B3E2F" w:rsidRPr="007B1676">
        <w:rPr>
          <w:szCs w:val="24"/>
          <w:lang w:val="fr-FR"/>
        </w:rPr>
        <w:t>À sa quarante</w:t>
      </w:r>
      <w:r w:rsidR="00F66982" w:rsidRPr="007B1676">
        <w:rPr>
          <w:szCs w:val="24"/>
          <w:lang w:val="fr-FR"/>
        </w:rPr>
        <w:noBreakHyphen/>
      </w:r>
      <w:r w:rsidR="003B3E2F" w:rsidRPr="007B1676">
        <w:rPr>
          <w:szCs w:val="24"/>
          <w:lang w:val="fr-FR"/>
        </w:rPr>
        <w:t>huitième</w:t>
      </w:r>
      <w:r w:rsidR="00731AD3" w:rsidRPr="007B1676">
        <w:rPr>
          <w:szCs w:val="24"/>
          <w:lang w:val="fr-FR"/>
        </w:rPr>
        <w:t> </w:t>
      </w:r>
      <w:r w:rsidR="003B3E2F" w:rsidRPr="007B1676">
        <w:rPr>
          <w:szCs w:val="24"/>
          <w:lang w:val="fr-FR"/>
        </w:rPr>
        <w:t>session ordinaire, le Conseil a élu, dans chaque cas pour un mandat de trois</w:t>
      </w:r>
      <w:r w:rsidR="00731AD3" w:rsidRPr="007B1676">
        <w:rPr>
          <w:szCs w:val="24"/>
          <w:lang w:val="fr-FR"/>
        </w:rPr>
        <w:t> </w:t>
      </w:r>
      <w:r w:rsidR="003B3E2F" w:rsidRPr="007B1676">
        <w:rPr>
          <w:szCs w:val="24"/>
          <w:lang w:val="fr-FR"/>
        </w:rPr>
        <w:t>ans prenant fin avec la cinquante</w:t>
      </w:r>
      <w:r w:rsidR="00F66982" w:rsidRPr="007B1676">
        <w:rPr>
          <w:szCs w:val="24"/>
          <w:lang w:val="fr-FR"/>
        </w:rPr>
        <w:t> et </w:t>
      </w:r>
      <w:r w:rsidR="003B3E2F" w:rsidRPr="007B1676">
        <w:rPr>
          <w:szCs w:val="24"/>
          <w:lang w:val="fr-FR"/>
        </w:rPr>
        <w:t>unième</w:t>
      </w:r>
      <w:r w:rsidR="00731AD3" w:rsidRPr="007B1676">
        <w:rPr>
          <w:szCs w:val="24"/>
          <w:lang w:val="fr-FR"/>
        </w:rPr>
        <w:t> </w:t>
      </w:r>
      <w:r w:rsidR="003B3E2F" w:rsidRPr="007B1676">
        <w:rPr>
          <w:szCs w:val="24"/>
          <w:lang w:val="fr-FR"/>
        </w:rPr>
        <w:t>session ordinaire du Conseil, en</w:t>
      </w:r>
      <w:r w:rsidR="00731AD3" w:rsidRPr="007B1676">
        <w:rPr>
          <w:szCs w:val="24"/>
          <w:lang w:val="fr-FR"/>
        </w:rPr>
        <w:t> </w:t>
      </w:r>
      <w:r w:rsidRPr="007B1676">
        <w:rPr>
          <w:szCs w:val="24"/>
          <w:lang w:val="fr-FR"/>
        </w:rPr>
        <w:t>2017</w:t>
      </w:r>
      <w:r w:rsidR="003B3E2F" w:rsidRPr="007B1676">
        <w:rPr>
          <w:szCs w:val="24"/>
          <w:lang w:val="fr-FR"/>
        </w:rPr>
        <w:t> :</w:t>
      </w:r>
    </w:p>
    <w:p w:rsidR="00F77FD5" w:rsidRPr="007B1676" w:rsidRDefault="00F77FD5" w:rsidP="00E07E8D">
      <w:pPr>
        <w:keepNext/>
        <w:rPr>
          <w:szCs w:val="24"/>
          <w:lang w:val="fr-FR"/>
        </w:rPr>
      </w:pPr>
    </w:p>
    <w:p w:rsidR="00F77FD5" w:rsidRPr="007B1676" w:rsidRDefault="00A40D6E" w:rsidP="00323691">
      <w:pPr>
        <w:ind w:left="1134" w:hanging="567"/>
        <w:rPr>
          <w:szCs w:val="24"/>
          <w:lang w:val="fr-FR"/>
        </w:rPr>
      </w:pPr>
      <w:r w:rsidRPr="007B1676">
        <w:rPr>
          <w:szCs w:val="24"/>
          <w:lang w:val="fr-FR"/>
        </w:rPr>
        <w:t>a)</w:t>
      </w:r>
      <w:r w:rsidRPr="007B1676">
        <w:rPr>
          <w:szCs w:val="24"/>
          <w:lang w:val="fr-FR"/>
        </w:rPr>
        <w:tab/>
        <w:t>M.</w:t>
      </w:r>
      <w:r w:rsidR="00731AD3" w:rsidRPr="007B1676">
        <w:rPr>
          <w:szCs w:val="24"/>
          <w:lang w:val="fr-FR"/>
        </w:rPr>
        <w:t> </w:t>
      </w:r>
      <w:proofErr w:type="spellStart"/>
      <w:r w:rsidRPr="007B1676">
        <w:rPr>
          <w:szCs w:val="24"/>
          <w:lang w:val="fr-FR"/>
        </w:rPr>
        <w:t>Tanvir</w:t>
      </w:r>
      <w:proofErr w:type="spellEnd"/>
      <w:r w:rsidRPr="007B1676">
        <w:rPr>
          <w:szCs w:val="24"/>
          <w:lang w:val="fr-FR"/>
        </w:rPr>
        <w:t> </w:t>
      </w:r>
      <w:proofErr w:type="spellStart"/>
      <w:r w:rsidR="00323691" w:rsidRPr="007B1676">
        <w:rPr>
          <w:szCs w:val="24"/>
          <w:lang w:val="fr-FR"/>
        </w:rPr>
        <w:t>Hossain</w:t>
      </w:r>
      <w:proofErr w:type="spellEnd"/>
      <w:r w:rsidR="00323691" w:rsidRPr="007B1676">
        <w:rPr>
          <w:szCs w:val="24"/>
          <w:lang w:val="fr-FR"/>
        </w:rPr>
        <w:t xml:space="preserve"> (Australie), président du Groupe de travail technique sur les plantes agricoles (TWA);</w:t>
      </w:r>
    </w:p>
    <w:p w:rsidR="00F77FD5" w:rsidRPr="007B1676" w:rsidRDefault="00F77FD5" w:rsidP="00E07E8D">
      <w:pPr>
        <w:ind w:left="1134" w:hanging="567"/>
        <w:rPr>
          <w:szCs w:val="24"/>
          <w:lang w:val="fr-FR"/>
        </w:rPr>
      </w:pPr>
    </w:p>
    <w:p w:rsidR="00F77FD5" w:rsidRPr="007B1676" w:rsidRDefault="00A40D6E" w:rsidP="00323691">
      <w:pPr>
        <w:ind w:left="1134" w:hanging="567"/>
        <w:rPr>
          <w:szCs w:val="24"/>
          <w:lang w:val="fr-FR"/>
        </w:rPr>
      </w:pPr>
      <w:r w:rsidRPr="007B1676">
        <w:rPr>
          <w:szCs w:val="24"/>
          <w:lang w:val="fr-FR"/>
        </w:rPr>
        <w:lastRenderedPageBreak/>
        <w:t>b)</w:t>
      </w:r>
      <w:r w:rsidRPr="007B1676">
        <w:rPr>
          <w:szCs w:val="24"/>
          <w:lang w:val="fr-FR"/>
        </w:rPr>
        <w:tab/>
        <w:t>M.</w:t>
      </w:r>
      <w:r w:rsidR="00731AD3" w:rsidRPr="007B1676">
        <w:rPr>
          <w:szCs w:val="24"/>
          <w:lang w:val="fr-FR"/>
        </w:rPr>
        <w:t> </w:t>
      </w:r>
      <w:r w:rsidRPr="007B1676">
        <w:rPr>
          <w:szCs w:val="24"/>
          <w:lang w:val="fr-FR"/>
        </w:rPr>
        <w:t>Adrian Roberts (Royaume</w:t>
      </w:r>
      <w:r w:rsidR="00F66982" w:rsidRPr="007B1676">
        <w:rPr>
          <w:szCs w:val="24"/>
          <w:lang w:val="fr-FR"/>
        </w:rPr>
        <w:noBreakHyphen/>
      </w:r>
      <w:r w:rsidR="00323691" w:rsidRPr="007B1676">
        <w:rPr>
          <w:szCs w:val="24"/>
          <w:lang w:val="fr-FR"/>
        </w:rPr>
        <w:t>Uni), président du Groupe de travail technique sur les systèmes d</w:t>
      </w:r>
      <w:r w:rsidR="00FC2AC8" w:rsidRPr="007B1676">
        <w:rPr>
          <w:szCs w:val="24"/>
          <w:lang w:val="fr-FR"/>
        </w:rPr>
        <w:t>’</w:t>
      </w:r>
      <w:r w:rsidR="00323691" w:rsidRPr="007B1676">
        <w:rPr>
          <w:szCs w:val="24"/>
          <w:lang w:val="fr-FR"/>
        </w:rPr>
        <w:t>automatisation et les programmes d</w:t>
      </w:r>
      <w:r w:rsidR="00FC2AC8" w:rsidRPr="007B1676">
        <w:rPr>
          <w:szCs w:val="24"/>
          <w:lang w:val="fr-FR"/>
        </w:rPr>
        <w:t>’</w:t>
      </w:r>
      <w:r w:rsidR="00323691" w:rsidRPr="007B1676">
        <w:rPr>
          <w:szCs w:val="24"/>
          <w:lang w:val="fr-FR"/>
        </w:rPr>
        <w:t>ordinateur (TWC);</w:t>
      </w:r>
    </w:p>
    <w:p w:rsidR="00F77FD5" w:rsidRPr="007B1676" w:rsidRDefault="00F77FD5" w:rsidP="00E07E8D">
      <w:pPr>
        <w:ind w:left="1134" w:hanging="567"/>
        <w:rPr>
          <w:szCs w:val="24"/>
          <w:lang w:val="fr-FR"/>
        </w:rPr>
      </w:pPr>
    </w:p>
    <w:p w:rsidR="00F77FD5" w:rsidRPr="007B1676" w:rsidRDefault="00A40D6E" w:rsidP="00323691">
      <w:pPr>
        <w:ind w:left="1134" w:hanging="567"/>
        <w:rPr>
          <w:szCs w:val="24"/>
          <w:lang w:val="fr-FR"/>
        </w:rPr>
      </w:pPr>
      <w:r w:rsidRPr="007B1676">
        <w:rPr>
          <w:szCs w:val="24"/>
          <w:lang w:val="fr-FR"/>
        </w:rPr>
        <w:t>c)</w:t>
      </w:r>
      <w:r w:rsidRPr="007B1676">
        <w:rPr>
          <w:szCs w:val="24"/>
          <w:lang w:val="fr-FR"/>
        </w:rPr>
        <w:tab/>
        <w:t>M.</w:t>
      </w:r>
      <w:r w:rsidR="00731AD3" w:rsidRPr="007B1676">
        <w:rPr>
          <w:szCs w:val="24"/>
          <w:lang w:val="fr-FR"/>
        </w:rPr>
        <w:t> </w:t>
      </w:r>
      <w:proofErr w:type="spellStart"/>
      <w:r w:rsidRPr="007B1676">
        <w:rPr>
          <w:szCs w:val="24"/>
          <w:lang w:val="fr-FR"/>
        </w:rPr>
        <w:t>Katsumi</w:t>
      </w:r>
      <w:proofErr w:type="spellEnd"/>
      <w:r w:rsidRPr="007B1676">
        <w:rPr>
          <w:szCs w:val="24"/>
          <w:lang w:val="fr-FR"/>
        </w:rPr>
        <w:t> </w:t>
      </w:r>
      <w:r w:rsidR="00323691" w:rsidRPr="007B1676">
        <w:rPr>
          <w:szCs w:val="24"/>
          <w:lang w:val="fr-FR"/>
        </w:rPr>
        <w:t>Yamaguchi (Japon), président du Groupe de travail technique sur les plantes fruitières (TWF);</w:t>
      </w:r>
    </w:p>
    <w:p w:rsidR="00F77FD5" w:rsidRPr="007B1676" w:rsidRDefault="00F77FD5" w:rsidP="00E07E8D">
      <w:pPr>
        <w:ind w:left="1134" w:hanging="567"/>
        <w:rPr>
          <w:szCs w:val="24"/>
          <w:lang w:val="fr-FR"/>
        </w:rPr>
      </w:pPr>
    </w:p>
    <w:p w:rsidR="00F77FD5" w:rsidRPr="007B1676" w:rsidRDefault="00A40D6E" w:rsidP="00323691">
      <w:pPr>
        <w:ind w:left="1134" w:hanging="567"/>
        <w:rPr>
          <w:szCs w:val="24"/>
          <w:lang w:val="fr-FR"/>
        </w:rPr>
      </w:pPr>
      <w:r w:rsidRPr="007B1676">
        <w:rPr>
          <w:szCs w:val="24"/>
          <w:lang w:val="fr-FR"/>
        </w:rPr>
        <w:t>d)</w:t>
      </w:r>
      <w:r w:rsidRPr="007B1676">
        <w:rPr>
          <w:szCs w:val="24"/>
          <w:lang w:val="fr-FR"/>
        </w:rPr>
        <w:tab/>
        <w:t>M.</w:t>
      </w:r>
      <w:r w:rsidR="00731AD3" w:rsidRPr="007B1676">
        <w:rPr>
          <w:szCs w:val="24"/>
          <w:lang w:val="fr-FR"/>
        </w:rPr>
        <w:t> </w:t>
      </w:r>
      <w:r w:rsidRPr="007B1676">
        <w:rPr>
          <w:szCs w:val="24"/>
          <w:lang w:val="fr-FR"/>
        </w:rPr>
        <w:t>Kenji </w:t>
      </w:r>
      <w:proofErr w:type="spellStart"/>
      <w:r w:rsidR="00323691" w:rsidRPr="007B1676">
        <w:rPr>
          <w:szCs w:val="24"/>
          <w:lang w:val="fr-FR"/>
        </w:rPr>
        <w:t>Numaguchi</w:t>
      </w:r>
      <w:proofErr w:type="spellEnd"/>
      <w:r w:rsidR="00323691" w:rsidRPr="007B1676">
        <w:rPr>
          <w:szCs w:val="24"/>
          <w:lang w:val="fr-FR"/>
        </w:rPr>
        <w:t xml:space="preserve"> (Japon), président du Groupe de travail technique sur les plantes ornementales et les arbres forestiers (TWO);</w:t>
      </w:r>
    </w:p>
    <w:p w:rsidR="00F77FD5" w:rsidRPr="007B1676" w:rsidRDefault="00F77FD5" w:rsidP="00E07E8D">
      <w:pPr>
        <w:ind w:left="1134" w:hanging="567"/>
        <w:rPr>
          <w:szCs w:val="24"/>
          <w:lang w:val="fr-FR"/>
        </w:rPr>
      </w:pPr>
    </w:p>
    <w:p w:rsidR="00F77FD5" w:rsidRPr="007B1676" w:rsidRDefault="00A40D6E" w:rsidP="00323691">
      <w:pPr>
        <w:ind w:left="1134" w:hanging="567"/>
        <w:rPr>
          <w:szCs w:val="24"/>
          <w:lang w:val="fr-FR"/>
        </w:rPr>
      </w:pPr>
      <w:r w:rsidRPr="007B1676">
        <w:rPr>
          <w:szCs w:val="24"/>
          <w:lang w:val="fr-FR"/>
        </w:rPr>
        <w:t>e)</w:t>
      </w:r>
      <w:r w:rsidRPr="007B1676">
        <w:rPr>
          <w:szCs w:val="24"/>
          <w:lang w:val="fr-FR"/>
        </w:rPr>
        <w:tab/>
        <w:t>Mme</w:t>
      </w:r>
      <w:r w:rsidR="00731AD3" w:rsidRPr="007B1676">
        <w:rPr>
          <w:szCs w:val="24"/>
          <w:lang w:val="fr-FR"/>
        </w:rPr>
        <w:t> </w:t>
      </w:r>
      <w:r w:rsidRPr="007B1676">
        <w:rPr>
          <w:szCs w:val="24"/>
          <w:lang w:val="fr-FR"/>
        </w:rPr>
        <w:t>Swenja </w:t>
      </w:r>
      <w:r w:rsidR="00323691" w:rsidRPr="007B1676">
        <w:rPr>
          <w:szCs w:val="24"/>
          <w:lang w:val="fr-FR"/>
        </w:rPr>
        <w:t>Tams (Allemagne), présidente du Groupe de travail technique sur les plantes potagères (TWV);  et</w:t>
      </w:r>
    </w:p>
    <w:p w:rsidR="00F77FD5" w:rsidRPr="007B1676" w:rsidRDefault="00F77FD5" w:rsidP="00E07E8D">
      <w:pPr>
        <w:ind w:left="1134" w:hanging="567"/>
        <w:rPr>
          <w:lang w:val="fr-FR"/>
        </w:rPr>
      </w:pPr>
    </w:p>
    <w:p w:rsidR="00F77FD5" w:rsidRPr="007B1676" w:rsidRDefault="00A40D6E" w:rsidP="00323691">
      <w:pPr>
        <w:ind w:left="1134" w:hanging="567"/>
        <w:rPr>
          <w:lang w:val="fr-FR"/>
        </w:rPr>
      </w:pPr>
      <w:r w:rsidRPr="007B1676">
        <w:rPr>
          <w:lang w:val="fr-FR"/>
        </w:rPr>
        <w:t>f)</w:t>
      </w:r>
      <w:r w:rsidRPr="007B1676">
        <w:rPr>
          <w:lang w:val="fr-FR"/>
        </w:rPr>
        <w:tab/>
        <w:t>M.</w:t>
      </w:r>
      <w:r w:rsidR="00731AD3" w:rsidRPr="007B1676">
        <w:rPr>
          <w:lang w:val="fr-FR"/>
        </w:rPr>
        <w:t> </w:t>
      </w:r>
      <w:proofErr w:type="spellStart"/>
      <w:r w:rsidRPr="007B1676">
        <w:rPr>
          <w:lang w:val="fr-FR"/>
        </w:rPr>
        <w:t>Kees</w:t>
      </w:r>
      <w:proofErr w:type="spellEnd"/>
      <w:r w:rsidRPr="007B1676">
        <w:rPr>
          <w:lang w:val="fr-FR"/>
        </w:rPr>
        <w:t> </w:t>
      </w:r>
      <w:r w:rsidR="00323691" w:rsidRPr="007B1676">
        <w:rPr>
          <w:lang w:val="fr-FR"/>
        </w:rPr>
        <w:t>van</w:t>
      </w:r>
      <w:r w:rsidRPr="007B1676">
        <w:rPr>
          <w:lang w:val="fr-FR"/>
        </w:rPr>
        <w:t> </w:t>
      </w:r>
      <w:proofErr w:type="spellStart"/>
      <w:r w:rsidR="00323691" w:rsidRPr="007B1676">
        <w:rPr>
          <w:lang w:val="fr-FR"/>
        </w:rPr>
        <w:t>Ettekoven</w:t>
      </w:r>
      <w:proofErr w:type="spellEnd"/>
      <w:r w:rsidR="00323691" w:rsidRPr="007B1676">
        <w:rPr>
          <w:lang w:val="fr-FR"/>
        </w:rPr>
        <w:t xml:space="preserve"> (Pays</w:t>
      </w:r>
      <w:r w:rsidR="00F66982" w:rsidRPr="007B1676">
        <w:rPr>
          <w:lang w:val="fr-FR"/>
        </w:rPr>
        <w:noBreakHyphen/>
      </w:r>
      <w:r w:rsidR="00323691" w:rsidRPr="007B1676">
        <w:rPr>
          <w:lang w:val="fr-FR"/>
        </w:rPr>
        <w:t>Bas), président du Groupe de travail sur les techniques biochimiques et moléculaires, notamment les profils d</w:t>
      </w:r>
      <w:r w:rsidR="00FC2AC8" w:rsidRPr="007B1676">
        <w:rPr>
          <w:lang w:val="fr-FR"/>
        </w:rPr>
        <w:t>’</w:t>
      </w:r>
      <w:r w:rsidR="00323691" w:rsidRPr="007B1676">
        <w:rPr>
          <w:lang w:val="fr-FR"/>
        </w:rPr>
        <w:t>ADN (BMT).</w:t>
      </w:r>
    </w:p>
    <w:p w:rsidR="00F77FD5" w:rsidRPr="007B1676" w:rsidRDefault="00F77FD5" w:rsidP="001D140D">
      <w:pPr>
        <w:rPr>
          <w:lang w:val="fr-FR"/>
        </w:rPr>
      </w:pPr>
    </w:p>
    <w:p w:rsidR="00F77FD5" w:rsidRPr="007B1676" w:rsidRDefault="00F77FD5" w:rsidP="001D140D">
      <w:pPr>
        <w:rPr>
          <w:lang w:val="fr-FR"/>
        </w:rPr>
      </w:pPr>
    </w:p>
    <w:p w:rsidR="00F77FD5" w:rsidRPr="007B1676" w:rsidRDefault="00323691" w:rsidP="00464B0B">
      <w:pPr>
        <w:pStyle w:val="Heading1"/>
        <w:rPr>
          <w:color w:val="auto"/>
        </w:rPr>
      </w:pPr>
      <w:bookmarkStart w:id="21" w:name="_Toc413662346"/>
      <w:r w:rsidRPr="007B1676">
        <w:rPr>
          <w:color w:val="auto"/>
        </w:rPr>
        <w:t>Collection UPOV</w:t>
      </w:r>
      <w:bookmarkEnd w:id="21"/>
    </w:p>
    <w:p w:rsidR="00F77FD5" w:rsidRPr="007B1676" w:rsidRDefault="00A21CDF" w:rsidP="00A21CDF">
      <w:pPr>
        <w:rPr>
          <w:lang w:val="fr-FR"/>
        </w:rPr>
      </w:pPr>
      <w:r w:rsidRPr="007B1676">
        <w:rPr>
          <w:rFonts w:cs="Arial"/>
          <w:lang w:val="fr-FR"/>
        </w:rPr>
        <w:t>(</w:t>
      </w:r>
      <w:proofErr w:type="gramStart"/>
      <w:r w:rsidR="007D2C67" w:rsidRPr="007B1676">
        <w:rPr>
          <w:rFonts w:cs="Arial"/>
          <w:lang w:val="fr-FR"/>
        </w:rPr>
        <w:t>voir</w:t>
      </w:r>
      <w:proofErr w:type="gramEnd"/>
      <w:r w:rsidRPr="007B1676">
        <w:rPr>
          <w:rFonts w:cs="Arial"/>
          <w:lang w:val="fr-FR"/>
        </w:rPr>
        <w:t xml:space="preserve"> </w:t>
      </w:r>
      <w:hyperlink r:id="rId11" w:history="1">
        <w:r w:rsidR="0080162A" w:rsidRPr="00CA24E1">
          <w:rPr>
            <w:rStyle w:val="Hyperlink"/>
            <w:rFonts w:cs="Arial"/>
            <w:lang w:val="fr-FR"/>
          </w:rPr>
          <w:t>http://www.upov.int/upov_collection/fr/</w:t>
        </w:r>
      </w:hyperlink>
      <w:r w:rsidRPr="007B1676">
        <w:rPr>
          <w:rFonts w:cs="Arial"/>
          <w:lang w:val="fr-FR"/>
        </w:rPr>
        <w:t>)</w:t>
      </w:r>
    </w:p>
    <w:p w:rsidR="00F77FD5" w:rsidRPr="007B1676" w:rsidRDefault="00F77FD5" w:rsidP="001D140D">
      <w:pPr>
        <w:rPr>
          <w:lang w:val="fr-FR"/>
        </w:rPr>
      </w:pPr>
    </w:p>
    <w:p w:rsidR="00F77FD5" w:rsidRPr="007B1676" w:rsidRDefault="00A21CDF" w:rsidP="00A21CDF">
      <w:pPr>
        <w:rPr>
          <w:lang w:val="fr-FR"/>
        </w:rPr>
      </w:pPr>
      <w:r w:rsidRPr="007B1676">
        <w:rPr>
          <w:rFonts w:cs="Arial"/>
          <w:lang w:val="fr-FR"/>
        </w:rPr>
        <w:fldChar w:fldCharType="begin"/>
      </w:r>
      <w:r w:rsidRPr="007B1676">
        <w:rPr>
          <w:rFonts w:cs="Arial"/>
          <w:lang w:val="fr-FR"/>
        </w:rPr>
        <w:instrText xml:space="preserve"> AUTONUM  </w:instrText>
      </w:r>
      <w:r w:rsidRPr="007B1676">
        <w:rPr>
          <w:rFonts w:cs="Arial"/>
          <w:lang w:val="fr-FR"/>
        </w:rPr>
        <w:fldChar w:fldCharType="end"/>
      </w:r>
      <w:r w:rsidRPr="007B1676">
        <w:rPr>
          <w:rFonts w:cs="Arial"/>
          <w:lang w:val="fr-FR"/>
        </w:rPr>
        <w:tab/>
      </w:r>
      <w:r w:rsidR="003B3E2F" w:rsidRPr="007B1676">
        <w:rPr>
          <w:rFonts w:cs="Arial"/>
          <w:lang w:val="fr-FR"/>
        </w:rPr>
        <w:t>À sa quarante</w:t>
      </w:r>
      <w:r w:rsidR="00F66982" w:rsidRPr="007B1676">
        <w:rPr>
          <w:rFonts w:cs="Arial"/>
          <w:lang w:val="fr-FR"/>
        </w:rPr>
        <w:noBreakHyphen/>
      </w:r>
      <w:r w:rsidR="003B3E2F" w:rsidRPr="007B1676">
        <w:rPr>
          <w:rFonts w:cs="Arial"/>
          <w:lang w:val="fr-FR"/>
        </w:rPr>
        <w:t>huitième</w:t>
      </w:r>
      <w:r w:rsidR="00731AD3" w:rsidRPr="007B1676">
        <w:rPr>
          <w:rFonts w:cs="Arial"/>
          <w:lang w:val="fr-FR"/>
        </w:rPr>
        <w:t> </w:t>
      </w:r>
      <w:r w:rsidR="003B3E2F" w:rsidRPr="007B1676">
        <w:rPr>
          <w:rFonts w:cs="Arial"/>
          <w:lang w:val="fr-FR"/>
        </w:rPr>
        <w:t>session ordinaire, l</w:t>
      </w:r>
      <w:r w:rsidR="00A40D6E" w:rsidRPr="007B1676">
        <w:rPr>
          <w:rFonts w:cs="Arial"/>
          <w:lang w:val="fr-FR"/>
        </w:rPr>
        <w:t>e Conseil a adopté les documents suivants</w:t>
      </w:r>
      <w:r w:rsidR="003B3E2F" w:rsidRPr="007B1676">
        <w:rPr>
          <w:rFonts w:cs="Arial"/>
          <w:lang w:val="fr-FR"/>
        </w:rPr>
        <w:t> </w:t>
      </w:r>
      <w:r w:rsidR="003B3E2F" w:rsidRPr="007B1676">
        <w:rPr>
          <w:lang w:val="fr-FR"/>
        </w:rPr>
        <w:t>:</w:t>
      </w:r>
    </w:p>
    <w:p w:rsidR="00F77FD5" w:rsidRPr="007B1676" w:rsidRDefault="00F77FD5" w:rsidP="00A21CDF">
      <w:pPr>
        <w:jc w:val="left"/>
        <w:rPr>
          <w:lang w:val="fr-FR"/>
        </w:rPr>
      </w:pPr>
    </w:p>
    <w:p w:rsidR="00F77FD5" w:rsidRPr="007B1676" w:rsidRDefault="00323691" w:rsidP="00323691">
      <w:pPr>
        <w:pStyle w:val="ListParagraph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60"/>
        <w:ind w:left="2552" w:hanging="2268"/>
        <w:contextualSpacing w:val="0"/>
        <w:jc w:val="left"/>
        <w:rPr>
          <w:rFonts w:cs="Arial"/>
          <w:sz w:val="19"/>
          <w:szCs w:val="19"/>
          <w:lang w:val="fr-FR"/>
        </w:rPr>
      </w:pPr>
      <w:r w:rsidRPr="007B1676">
        <w:rPr>
          <w:rFonts w:cs="Arial"/>
          <w:sz w:val="19"/>
          <w:szCs w:val="19"/>
          <w:lang w:val="fr-FR"/>
        </w:rPr>
        <w:t xml:space="preserve">TGP/2/2 </w:t>
      </w:r>
      <w:r w:rsidR="008C66B9" w:rsidRPr="007B1676">
        <w:rPr>
          <w:rFonts w:cs="Arial"/>
          <w:sz w:val="19"/>
          <w:szCs w:val="19"/>
          <w:lang w:val="fr-FR"/>
        </w:rPr>
        <w:tab/>
      </w:r>
      <w:r w:rsidRPr="007B1676">
        <w:rPr>
          <w:rFonts w:cs="Arial"/>
          <w:sz w:val="19"/>
          <w:szCs w:val="19"/>
          <w:lang w:val="fr-FR"/>
        </w:rPr>
        <w:t>Liste des principes directeurs d</w:t>
      </w:r>
      <w:r w:rsidR="00FC2AC8" w:rsidRPr="007B1676">
        <w:rPr>
          <w:rFonts w:cs="Arial"/>
          <w:sz w:val="19"/>
          <w:szCs w:val="19"/>
          <w:lang w:val="fr-FR"/>
        </w:rPr>
        <w:t>’</w:t>
      </w:r>
      <w:r w:rsidRPr="007B1676">
        <w:rPr>
          <w:rFonts w:cs="Arial"/>
          <w:sz w:val="19"/>
          <w:szCs w:val="19"/>
          <w:lang w:val="fr-FR"/>
        </w:rPr>
        <w:t>examen adoptés par l</w:t>
      </w:r>
      <w:r w:rsidR="00FC2AC8" w:rsidRPr="007B1676">
        <w:rPr>
          <w:rFonts w:cs="Arial"/>
          <w:sz w:val="19"/>
          <w:szCs w:val="19"/>
          <w:lang w:val="fr-FR"/>
        </w:rPr>
        <w:t>’</w:t>
      </w:r>
      <w:r w:rsidRPr="007B1676">
        <w:rPr>
          <w:rFonts w:cs="Arial"/>
          <w:sz w:val="19"/>
          <w:szCs w:val="19"/>
          <w:lang w:val="fr-FR"/>
        </w:rPr>
        <w:t>UPOV</w:t>
      </w:r>
      <w:r w:rsidR="0082106D" w:rsidRPr="007B1676">
        <w:rPr>
          <w:rFonts w:cs="Arial"/>
          <w:sz w:val="19"/>
          <w:szCs w:val="19"/>
          <w:lang w:val="fr-FR"/>
        </w:rPr>
        <w:t xml:space="preserve"> (</w:t>
      </w:r>
      <w:r w:rsidR="003B3E2F" w:rsidRPr="007B1676">
        <w:rPr>
          <w:rFonts w:cs="Arial"/>
          <w:sz w:val="19"/>
          <w:szCs w:val="19"/>
          <w:lang w:val="fr-FR"/>
        </w:rPr>
        <w:t>r</w:t>
      </w:r>
      <w:r w:rsidR="008C66B9" w:rsidRPr="007B1676">
        <w:rPr>
          <w:rFonts w:cs="Arial"/>
          <w:sz w:val="19"/>
          <w:szCs w:val="19"/>
          <w:lang w:val="fr-FR"/>
        </w:rPr>
        <w:t>évision)</w:t>
      </w:r>
    </w:p>
    <w:p w:rsidR="00F77FD5" w:rsidRPr="007B1676" w:rsidRDefault="00323691" w:rsidP="00323691">
      <w:pPr>
        <w:pStyle w:val="ListParagraph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60"/>
        <w:ind w:left="2552" w:hanging="2268"/>
        <w:contextualSpacing w:val="0"/>
        <w:jc w:val="left"/>
        <w:rPr>
          <w:rFonts w:cs="Arial"/>
          <w:sz w:val="19"/>
          <w:szCs w:val="19"/>
          <w:lang w:val="fr-FR"/>
        </w:rPr>
      </w:pPr>
      <w:r w:rsidRPr="007B1676">
        <w:rPr>
          <w:rFonts w:cs="Arial"/>
          <w:sz w:val="19"/>
          <w:szCs w:val="19"/>
          <w:lang w:val="fr-FR"/>
        </w:rPr>
        <w:t>TGP/5</w:t>
      </w:r>
      <w:r w:rsidRPr="007B1676">
        <w:rPr>
          <w:rFonts w:cs="Arial"/>
          <w:sz w:val="19"/>
          <w:szCs w:val="19"/>
          <w:lang w:val="fr-FR"/>
        </w:rPr>
        <w:tab/>
        <w:t>Expérience et coopération en matière d</w:t>
      </w:r>
      <w:r w:rsidR="00FC2AC8" w:rsidRPr="007B1676">
        <w:rPr>
          <w:rFonts w:cs="Arial"/>
          <w:sz w:val="19"/>
          <w:szCs w:val="19"/>
          <w:lang w:val="fr-FR"/>
        </w:rPr>
        <w:t>’</w:t>
      </w:r>
      <w:r w:rsidRPr="007B1676">
        <w:rPr>
          <w:rFonts w:cs="Arial"/>
          <w:sz w:val="19"/>
          <w:szCs w:val="19"/>
          <w:lang w:val="fr-FR"/>
        </w:rPr>
        <w:t>examen</w:t>
      </w:r>
      <w:r w:rsidR="00731AD3" w:rsidRPr="007B1676">
        <w:rPr>
          <w:rFonts w:cs="Arial"/>
          <w:sz w:val="19"/>
          <w:szCs w:val="19"/>
          <w:lang w:val="fr-FR"/>
        </w:rPr>
        <w:t> </w:t>
      </w:r>
      <w:r w:rsidRPr="007B1676">
        <w:rPr>
          <w:rFonts w:cs="Arial"/>
          <w:sz w:val="19"/>
          <w:szCs w:val="19"/>
          <w:lang w:val="fr-FR"/>
        </w:rPr>
        <w:t>DHS</w:t>
      </w:r>
      <w:r w:rsidR="00731AD3" w:rsidRPr="007B1676">
        <w:rPr>
          <w:rFonts w:cs="Arial"/>
          <w:sz w:val="19"/>
          <w:szCs w:val="19"/>
          <w:lang w:val="fr-FR"/>
        </w:rPr>
        <w:t> </w:t>
      </w:r>
      <w:r w:rsidRPr="007B1676">
        <w:rPr>
          <w:rFonts w:cs="Arial"/>
          <w:sz w:val="19"/>
          <w:szCs w:val="19"/>
          <w:lang w:val="fr-FR"/>
        </w:rPr>
        <w:t>: section</w:t>
      </w:r>
      <w:r w:rsidR="00731AD3" w:rsidRPr="007B1676">
        <w:rPr>
          <w:rFonts w:cs="Arial"/>
          <w:sz w:val="19"/>
          <w:szCs w:val="19"/>
          <w:lang w:val="fr-FR"/>
        </w:rPr>
        <w:t> </w:t>
      </w:r>
      <w:r w:rsidRPr="007B1676">
        <w:rPr>
          <w:rFonts w:cs="Arial"/>
          <w:sz w:val="19"/>
          <w:szCs w:val="19"/>
          <w:lang w:val="fr-FR"/>
        </w:rPr>
        <w:t>10/3</w:t>
      </w:r>
      <w:r w:rsidR="00731AD3" w:rsidRPr="007B1676">
        <w:rPr>
          <w:rFonts w:cs="Arial"/>
          <w:sz w:val="19"/>
          <w:szCs w:val="19"/>
          <w:lang w:val="fr-FR"/>
        </w:rPr>
        <w:t> </w:t>
      </w:r>
      <w:r w:rsidRPr="007B1676">
        <w:rPr>
          <w:rFonts w:cs="Arial"/>
          <w:sz w:val="19"/>
          <w:szCs w:val="19"/>
          <w:lang w:val="fr-FR"/>
        </w:rPr>
        <w:t xml:space="preserve">: Notification </w:t>
      </w:r>
      <w:r w:rsidR="0082106D" w:rsidRPr="007B1676">
        <w:rPr>
          <w:rFonts w:cs="Arial"/>
          <w:sz w:val="19"/>
          <w:szCs w:val="19"/>
          <w:lang w:val="fr-FR"/>
        </w:rPr>
        <w:t>de caractères supplémentaires (</w:t>
      </w:r>
      <w:r w:rsidR="003B3E2F" w:rsidRPr="007B1676">
        <w:rPr>
          <w:rFonts w:cs="Arial"/>
          <w:sz w:val="19"/>
          <w:szCs w:val="19"/>
          <w:lang w:val="fr-FR"/>
        </w:rPr>
        <w:t>r</w:t>
      </w:r>
      <w:r w:rsidRPr="007B1676">
        <w:rPr>
          <w:rFonts w:cs="Arial"/>
          <w:sz w:val="19"/>
          <w:szCs w:val="19"/>
          <w:lang w:val="fr-FR"/>
        </w:rPr>
        <w:t>évision)</w:t>
      </w:r>
    </w:p>
    <w:p w:rsidR="00F77FD5" w:rsidRPr="007B1676" w:rsidRDefault="00323691" w:rsidP="00323691">
      <w:pPr>
        <w:pStyle w:val="ListParagraph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60"/>
        <w:ind w:left="2552" w:hanging="2268"/>
        <w:contextualSpacing w:val="0"/>
        <w:jc w:val="left"/>
        <w:rPr>
          <w:rFonts w:cs="Arial"/>
          <w:sz w:val="19"/>
          <w:szCs w:val="19"/>
          <w:lang w:val="fr-FR"/>
        </w:rPr>
      </w:pPr>
      <w:r w:rsidRPr="007B1676">
        <w:rPr>
          <w:rFonts w:cs="Arial"/>
          <w:sz w:val="19"/>
          <w:szCs w:val="19"/>
          <w:lang w:val="fr-FR"/>
        </w:rPr>
        <w:t xml:space="preserve">TGP/7/4 </w:t>
      </w:r>
      <w:r w:rsidR="008C66B9" w:rsidRPr="007B1676">
        <w:rPr>
          <w:rFonts w:cs="Arial"/>
          <w:sz w:val="19"/>
          <w:szCs w:val="19"/>
          <w:lang w:val="fr-FR"/>
        </w:rPr>
        <w:tab/>
      </w:r>
      <w:r w:rsidRPr="007B1676">
        <w:rPr>
          <w:rFonts w:cs="Arial"/>
          <w:sz w:val="19"/>
          <w:szCs w:val="19"/>
          <w:lang w:val="fr-FR"/>
        </w:rPr>
        <w:t>Élaboration des principes directeu</w:t>
      </w:r>
      <w:r w:rsidR="0082106D" w:rsidRPr="007B1676">
        <w:rPr>
          <w:rFonts w:cs="Arial"/>
          <w:sz w:val="19"/>
          <w:szCs w:val="19"/>
          <w:lang w:val="fr-FR"/>
        </w:rPr>
        <w:t>rs d</w:t>
      </w:r>
      <w:r w:rsidR="00FC2AC8" w:rsidRPr="007B1676">
        <w:rPr>
          <w:rFonts w:cs="Arial"/>
          <w:sz w:val="19"/>
          <w:szCs w:val="19"/>
          <w:lang w:val="fr-FR"/>
        </w:rPr>
        <w:t>’</w:t>
      </w:r>
      <w:r w:rsidR="0082106D" w:rsidRPr="007B1676">
        <w:rPr>
          <w:rFonts w:cs="Arial"/>
          <w:sz w:val="19"/>
          <w:szCs w:val="19"/>
          <w:lang w:val="fr-FR"/>
        </w:rPr>
        <w:t>examen (</w:t>
      </w:r>
      <w:r w:rsidR="003B3E2F" w:rsidRPr="007B1676">
        <w:rPr>
          <w:rFonts w:cs="Arial"/>
          <w:sz w:val="19"/>
          <w:szCs w:val="19"/>
          <w:lang w:val="fr-FR"/>
        </w:rPr>
        <w:t>r</w:t>
      </w:r>
      <w:r w:rsidRPr="007B1676">
        <w:rPr>
          <w:rFonts w:cs="Arial"/>
          <w:sz w:val="19"/>
          <w:szCs w:val="19"/>
          <w:lang w:val="fr-FR"/>
        </w:rPr>
        <w:t>évision)</w:t>
      </w:r>
    </w:p>
    <w:p w:rsidR="00F77FD5" w:rsidRPr="007B1676" w:rsidRDefault="00323691" w:rsidP="00323691">
      <w:pPr>
        <w:pStyle w:val="ListParagraph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60"/>
        <w:ind w:left="2552" w:hanging="2268"/>
        <w:contextualSpacing w:val="0"/>
        <w:jc w:val="left"/>
        <w:rPr>
          <w:rFonts w:cs="Arial"/>
          <w:sz w:val="19"/>
          <w:szCs w:val="19"/>
          <w:lang w:val="fr-FR"/>
        </w:rPr>
      </w:pPr>
      <w:r w:rsidRPr="007B1676">
        <w:rPr>
          <w:rFonts w:cs="Arial"/>
          <w:sz w:val="19"/>
          <w:szCs w:val="19"/>
          <w:lang w:val="fr-FR"/>
        </w:rPr>
        <w:t>TGP/8/2</w:t>
      </w:r>
      <w:r w:rsidR="008C66B9" w:rsidRPr="007B1676">
        <w:rPr>
          <w:rFonts w:cs="Arial"/>
          <w:sz w:val="19"/>
          <w:szCs w:val="19"/>
          <w:lang w:val="fr-FR"/>
        </w:rPr>
        <w:tab/>
      </w:r>
      <w:r w:rsidRPr="007B1676">
        <w:rPr>
          <w:rFonts w:cs="Arial"/>
          <w:sz w:val="19"/>
          <w:szCs w:val="19"/>
          <w:lang w:val="fr-FR"/>
        </w:rPr>
        <w:t>Protocole d</w:t>
      </w:r>
      <w:r w:rsidR="00FC2AC8" w:rsidRPr="007B1676">
        <w:rPr>
          <w:rFonts w:cs="Arial"/>
          <w:sz w:val="19"/>
          <w:szCs w:val="19"/>
          <w:lang w:val="fr-FR"/>
        </w:rPr>
        <w:t>’</w:t>
      </w:r>
      <w:r w:rsidRPr="007B1676">
        <w:rPr>
          <w:rFonts w:cs="Arial"/>
          <w:sz w:val="19"/>
          <w:szCs w:val="19"/>
          <w:lang w:val="fr-FR"/>
        </w:rPr>
        <w:t>essai et techniques utilisés dans l</w:t>
      </w:r>
      <w:r w:rsidR="00FC2AC8" w:rsidRPr="007B1676">
        <w:rPr>
          <w:rFonts w:cs="Arial"/>
          <w:sz w:val="19"/>
          <w:szCs w:val="19"/>
          <w:lang w:val="fr-FR"/>
        </w:rPr>
        <w:t>’</w:t>
      </w:r>
      <w:r w:rsidRPr="007B1676">
        <w:rPr>
          <w:rFonts w:cs="Arial"/>
          <w:sz w:val="19"/>
          <w:szCs w:val="19"/>
          <w:lang w:val="fr-FR"/>
        </w:rPr>
        <w:t>examen de la distinction, de l</w:t>
      </w:r>
      <w:r w:rsidR="00FC2AC8" w:rsidRPr="007B1676">
        <w:rPr>
          <w:rFonts w:cs="Arial"/>
          <w:sz w:val="19"/>
          <w:szCs w:val="19"/>
          <w:lang w:val="fr-FR"/>
        </w:rPr>
        <w:t>’</w:t>
      </w:r>
      <w:r w:rsidRPr="007B1676">
        <w:rPr>
          <w:rFonts w:cs="Arial"/>
          <w:sz w:val="19"/>
          <w:szCs w:val="19"/>
          <w:lang w:val="fr-FR"/>
        </w:rPr>
        <w:t>homogénéité et de la stabilité</w:t>
      </w:r>
      <w:r w:rsidR="0082106D" w:rsidRPr="007B1676">
        <w:rPr>
          <w:rFonts w:cs="Arial"/>
          <w:sz w:val="19"/>
          <w:szCs w:val="19"/>
          <w:lang w:val="fr-FR"/>
        </w:rPr>
        <w:t xml:space="preserve"> (</w:t>
      </w:r>
      <w:r w:rsidR="003B3E2F" w:rsidRPr="007B1676">
        <w:rPr>
          <w:rFonts w:cs="Arial"/>
          <w:sz w:val="19"/>
          <w:szCs w:val="19"/>
          <w:lang w:val="fr-FR"/>
        </w:rPr>
        <w:t>r</w:t>
      </w:r>
      <w:r w:rsidR="008C66B9" w:rsidRPr="007B1676">
        <w:rPr>
          <w:rFonts w:cs="Arial"/>
          <w:sz w:val="19"/>
          <w:szCs w:val="19"/>
          <w:lang w:val="fr-FR"/>
        </w:rPr>
        <w:t>évision)</w:t>
      </w:r>
    </w:p>
    <w:p w:rsidR="00F77FD5" w:rsidRPr="007B1676" w:rsidRDefault="00323691" w:rsidP="00323691">
      <w:pPr>
        <w:pStyle w:val="ListParagraph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60"/>
        <w:ind w:left="2552" w:hanging="2268"/>
        <w:contextualSpacing w:val="0"/>
        <w:jc w:val="left"/>
        <w:rPr>
          <w:rFonts w:cs="Arial"/>
          <w:sz w:val="19"/>
          <w:szCs w:val="19"/>
          <w:lang w:val="fr-FR"/>
        </w:rPr>
      </w:pPr>
      <w:r w:rsidRPr="007B1676">
        <w:rPr>
          <w:rFonts w:cs="Arial"/>
          <w:sz w:val="19"/>
          <w:szCs w:val="19"/>
          <w:lang w:val="fr-FR"/>
        </w:rPr>
        <w:t xml:space="preserve">TGP/14/2 </w:t>
      </w:r>
      <w:r w:rsidRPr="007B1676">
        <w:rPr>
          <w:rFonts w:cs="Arial"/>
          <w:sz w:val="19"/>
          <w:szCs w:val="19"/>
          <w:lang w:val="fr-FR"/>
        </w:rPr>
        <w:tab/>
        <w:t>Glossaire de termes utilisés dans les documents de l</w:t>
      </w:r>
      <w:r w:rsidR="00FC2AC8" w:rsidRPr="007B1676">
        <w:rPr>
          <w:rFonts w:cs="Arial"/>
          <w:sz w:val="19"/>
          <w:szCs w:val="19"/>
          <w:lang w:val="fr-FR"/>
        </w:rPr>
        <w:t>’</w:t>
      </w:r>
      <w:r w:rsidRPr="007B1676">
        <w:rPr>
          <w:rFonts w:cs="Arial"/>
          <w:sz w:val="19"/>
          <w:szCs w:val="19"/>
          <w:lang w:val="fr-FR"/>
        </w:rPr>
        <w:t>UPOV (correction de la version espagnole)</w:t>
      </w:r>
    </w:p>
    <w:p w:rsidR="00F77FD5" w:rsidRPr="007B1676" w:rsidRDefault="008C66B9" w:rsidP="00323691">
      <w:pPr>
        <w:pStyle w:val="ListParagraph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60"/>
        <w:ind w:left="2552" w:hanging="2268"/>
        <w:contextualSpacing w:val="0"/>
        <w:jc w:val="left"/>
        <w:rPr>
          <w:rFonts w:cs="Arial"/>
          <w:sz w:val="19"/>
          <w:szCs w:val="19"/>
          <w:lang w:val="fr-FR"/>
        </w:rPr>
      </w:pPr>
      <w:r w:rsidRPr="007B1676">
        <w:rPr>
          <w:rFonts w:cs="Arial"/>
          <w:sz w:val="19"/>
          <w:szCs w:val="19"/>
          <w:lang w:val="fr-FR"/>
        </w:rPr>
        <w:t>TGP/0/7</w:t>
      </w:r>
      <w:r w:rsidRPr="007B1676">
        <w:rPr>
          <w:rFonts w:cs="Arial"/>
          <w:sz w:val="19"/>
          <w:szCs w:val="19"/>
          <w:lang w:val="fr-FR"/>
        </w:rPr>
        <w:tab/>
      </w:r>
      <w:r w:rsidR="00323691" w:rsidRPr="007B1676">
        <w:rPr>
          <w:rFonts w:cs="Arial"/>
          <w:sz w:val="19"/>
          <w:szCs w:val="19"/>
          <w:lang w:val="fr-FR"/>
        </w:rPr>
        <w:t xml:space="preserve">Liste des </w:t>
      </w:r>
      <w:r w:rsidR="00FC2AC8" w:rsidRPr="007B1676">
        <w:rPr>
          <w:rFonts w:cs="Arial"/>
          <w:sz w:val="19"/>
          <w:szCs w:val="19"/>
          <w:lang w:val="fr-FR"/>
        </w:rPr>
        <w:t>documents TG</w:t>
      </w:r>
      <w:r w:rsidR="00323691" w:rsidRPr="007B1676">
        <w:rPr>
          <w:rFonts w:cs="Arial"/>
          <w:sz w:val="19"/>
          <w:szCs w:val="19"/>
          <w:lang w:val="fr-FR"/>
        </w:rPr>
        <w:t>P et date de la version la plus récente de ces documents</w:t>
      </w:r>
      <w:r w:rsidRPr="007B1676">
        <w:rPr>
          <w:rFonts w:cs="Arial"/>
          <w:sz w:val="19"/>
          <w:szCs w:val="19"/>
          <w:lang w:val="fr-FR"/>
        </w:rPr>
        <w:t xml:space="preserve"> (</w:t>
      </w:r>
      <w:r w:rsidR="003B3E2F" w:rsidRPr="007B1676">
        <w:rPr>
          <w:rFonts w:cs="Arial"/>
          <w:sz w:val="19"/>
          <w:szCs w:val="19"/>
          <w:lang w:val="fr-FR"/>
        </w:rPr>
        <w:t>r</w:t>
      </w:r>
      <w:r w:rsidRPr="007B1676">
        <w:rPr>
          <w:rFonts w:cs="Arial"/>
          <w:sz w:val="19"/>
          <w:szCs w:val="19"/>
          <w:lang w:val="fr-FR"/>
        </w:rPr>
        <w:t>évision)</w:t>
      </w:r>
    </w:p>
    <w:p w:rsidR="00F77FD5" w:rsidRPr="007B1676" w:rsidRDefault="00323691" w:rsidP="00323691">
      <w:pPr>
        <w:pStyle w:val="ListParagraph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60"/>
        <w:ind w:left="2552" w:hanging="2268"/>
        <w:contextualSpacing w:val="0"/>
        <w:jc w:val="left"/>
        <w:rPr>
          <w:rFonts w:cs="Arial"/>
          <w:sz w:val="19"/>
          <w:szCs w:val="19"/>
          <w:lang w:val="fr-FR"/>
        </w:rPr>
      </w:pPr>
      <w:r w:rsidRPr="007B1676">
        <w:rPr>
          <w:rFonts w:cs="Arial"/>
          <w:sz w:val="19"/>
          <w:szCs w:val="19"/>
          <w:lang w:val="fr-FR"/>
        </w:rPr>
        <w:t>UPOV/INF/16/4</w:t>
      </w:r>
      <w:r w:rsidRPr="007B1676">
        <w:rPr>
          <w:rFonts w:cs="Arial"/>
          <w:sz w:val="19"/>
          <w:szCs w:val="19"/>
          <w:lang w:val="fr-FR"/>
        </w:rPr>
        <w:tab/>
        <w:t>Logiciels échangeables (</w:t>
      </w:r>
      <w:r w:rsidR="003B3E2F" w:rsidRPr="007B1676">
        <w:rPr>
          <w:rFonts w:cs="Arial"/>
          <w:sz w:val="19"/>
          <w:szCs w:val="19"/>
          <w:lang w:val="fr-FR"/>
        </w:rPr>
        <w:t>r</w:t>
      </w:r>
      <w:r w:rsidRPr="007B1676">
        <w:rPr>
          <w:rFonts w:cs="Arial"/>
          <w:sz w:val="19"/>
          <w:szCs w:val="19"/>
          <w:lang w:val="fr-FR"/>
        </w:rPr>
        <w:t>évision)</w:t>
      </w:r>
    </w:p>
    <w:p w:rsidR="00F77FD5" w:rsidRPr="007B1676" w:rsidRDefault="00323691" w:rsidP="00323691">
      <w:pPr>
        <w:pStyle w:val="ListParagraph"/>
        <w:keepNext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after="60"/>
        <w:ind w:left="2552" w:hanging="2268"/>
        <w:contextualSpacing w:val="0"/>
        <w:jc w:val="left"/>
        <w:rPr>
          <w:rFonts w:cs="Arial"/>
          <w:sz w:val="19"/>
          <w:szCs w:val="19"/>
          <w:lang w:val="fr-FR"/>
        </w:rPr>
      </w:pPr>
      <w:r w:rsidRPr="007B1676">
        <w:rPr>
          <w:rFonts w:cs="Arial"/>
          <w:sz w:val="19"/>
          <w:szCs w:val="19"/>
          <w:lang w:val="fr-FR"/>
        </w:rPr>
        <w:t>UPOV/INF/22/1</w:t>
      </w:r>
      <w:r w:rsidRPr="007B1676">
        <w:rPr>
          <w:rFonts w:cs="Arial"/>
          <w:sz w:val="19"/>
          <w:szCs w:val="19"/>
          <w:lang w:val="fr-FR"/>
        </w:rPr>
        <w:tab/>
        <w:t>Logiciels et équipements utilisés par les membres de l</w:t>
      </w:r>
      <w:r w:rsidR="00FC2AC8" w:rsidRPr="007B1676">
        <w:rPr>
          <w:rFonts w:cs="Arial"/>
          <w:sz w:val="19"/>
          <w:szCs w:val="19"/>
          <w:lang w:val="fr-FR"/>
        </w:rPr>
        <w:t>’</w:t>
      </w:r>
      <w:r w:rsidRPr="007B1676">
        <w:rPr>
          <w:rFonts w:cs="Arial"/>
          <w:sz w:val="19"/>
          <w:szCs w:val="19"/>
          <w:lang w:val="fr-FR"/>
        </w:rPr>
        <w:t>Union</w:t>
      </w:r>
    </w:p>
    <w:p w:rsidR="00F77FD5" w:rsidRPr="007B1676" w:rsidRDefault="00323691" w:rsidP="00323691">
      <w:pPr>
        <w:pStyle w:val="ListParagraph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2552" w:hanging="2268"/>
        <w:jc w:val="left"/>
        <w:rPr>
          <w:rFonts w:cs="Arial"/>
          <w:sz w:val="19"/>
          <w:szCs w:val="19"/>
          <w:lang w:val="fr-FR"/>
        </w:rPr>
      </w:pPr>
      <w:r w:rsidRPr="007B1676">
        <w:rPr>
          <w:rFonts w:cs="Arial"/>
          <w:sz w:val="19"/>
          <w:szCs w:val="19"/>
          <w:lang w:val="fr-FR"/>
        </w:rPr>
        <w:t>UPOV/INF</w:t>
      </w:r>
      <w:r w:rsidR="00F66982" w:rsidRPr="007B1676">
        <w:rPr>
          <w:rFonts w:cs="Arial"/>
          <w:sz w:val="19"/>
          <w:szCs w:val="19"/>
          <w:lang w:val="fr-FR"/>
        </w:rPr>
        <w:noBreakHyphen/>
      </w:r>
      <w:r w:rsidRPr="007B1676">
        <w:rPr>
          <w:rFonts w:cs="Arial"/>
          <w:sz w:val="19"/>
          <w:szCs w:val="19"/>
          <w:lang w:val="fr-FR"/>
        </w:rPr>
        <w:t>EXN/6</w:t>
      </w:r>
      <w:r w:rsidRPr="007B1676">
        <w:rPr>
          <w:rFonts w:cs="Arial"/>
          <w:sz w:val="19"/>
          <w:szCs w:val="19"/>
          <w:lang w:val="fr-FR"/>
        </w:rPr>
        <w:tab/>
        <w:t>Liste des documents UPOV/INF</w:t>
      </w:r>
      <w:r w:rsidR="00F66982" w:rsidRPr="007B1676">
        <w:rPr>
          <w:rFonts w:cs="Arial"/>
          <w:sz w:val="19"/>
          <w:szCs w:val="19"/>
          <w:lang w:val="fr-FR"/>
        </w:rPr>
        <w:noBreakHyphen/>
      </w:r>
      <w:r w:rsidRPr="007B1676">
        <w:rPr>
          <w:rFonts w:cs="Arial"/>
          <w:sz w:val="19"/>
          <w:szCs w:val="19"/>
          <w:lang w:val="fr-FR"/>
        </w:rPr>
        <w:t>EXN et date de la version la plus récente de ces documents</w:t>
      </w:r>
    </w:p>
    <w:p w:rsidR="00F77FD5" w:rsidRPr="007B1676" w:rsidRDefault="00F77FD5" w:rsidP="00A21CDF">
      <w:pPr>
        <w:autoSpaceDE w:val="0"/>
        <w:autoSpaceDN w:val="0"/>
        <w:adjustRightInd w:val="0"/>
        <w:jc w:val="left"/>
        <w:rPr>
          <w:rFonts w:cs="Arial"/>
          <w:sz w:val="19"/>
          <w:szCs w:val="19"/>
          <w:lang w:val="fr-FR"/>
        </w:rPr>
      </w:pPr>
    </w:p>
    <w:p w:rsidR="00F77FD5" w:rsidRPr="007B1676" w:rsidRDefault="00FB6EF5" w:rsidP="00A21CDF">
      <w:pPr>
        <w:rPr>
          <w:rFonts w:cs="Arial"/>
          <w:lang w:val="fr-FR"/>
        </w:rPr>
      </w:pPr>
      <w:r w:rsidRPr="007B1676">
        <w:rPr>
          <w:rFonts w:cs="Arial"/>
          <w:lang w:val="fr-FR"/>
        </w:rPr>
        <w:fldChar w:fldCharType="begin"/>
      </w:r>
      <w:r w:rsidRPr="007B1676">
        <w:rPr>
          <w:rFonts w:cs="Arial"/>
          <w:lang w:val="fr-FR"/>
        </w:rPr>
        <w:instrText xml:space="preserve"> AUTONUM  </w:instrText>
      </w:r>
      <w:r w:rsidRPr="007B1676">
        <w:rPr>
          <w:rFonts w:cs="Arial"/>
          <w:lang w:val="fr-FR"/>
        </w:rPr>
        <w:fldChar w:fldCharType="end"/>
      </w:r>
      <w:r w:rsidRPr="007B1676">
        <w:rPr>
          <w:rFonts w:cs="Arial"/>
          <w:lang w:val="fr-FR"/>
        </w:rPr>
        <w:tab/>
      </w:r>
      <w:r w:rsidR="003B3E2F" w:rsidRPr="007B1676">
        <w:rPr>
          <w:rFonts w:cs="Arial"/>
          <w:lang w:val="fr-FR"/>
        </w:rPr>
        <w:t>Tous les documents adoptés ont été ajoutés à la Collection UPOV.</w:t>
      </w:r>
    </w:p>
    <w:p w:rsidR="00F77FD5" w:rsidRPr="007B1676" w:rsidRDefault="00F77FD5" w:rsidP="001D140D">
      <w:pPr>
        <w:rPr>
          <w:lang w:val="fr-FR"/>
        </w:rPr>
      </w:pPr>
    </w:p>
    <w:p w:rsidR="00F77FD5" w:rsidRPr="007B1676" w:rsidRDefault="00F77FD5" w:rsidP="0085250E">
      <w:pPr>
        <w:pStyle w:val="Heading2"/>
        <w:rPr>
          <w:color w:val="auto"/>
        </w:rPr>
      </w:pPr>
    </w:p>
    <w:p w:rsidR="00F77FD5" w:rsidRPr="007B1676" w:rsidRDefault="00323691" w:rsidP="0085250E">
      <w:pPr>
        <w:pStyle w:val="Heading2"/>
        <w:rPr>
          <w:color w:val="auto"/>
        </w:rPr>
      </w:pPr>
      <w:bookmarkStart w:id="22" w:name="_Toc413662347"/>
      <w:r w:rsidRPr="007B1676">
        <w:rPr>
          <w:color w:val="auto"/>
        </w:rPr>
        <w:t>Programme d</w:t>
      </w:r>
      <w:r w:rsidR="00FC2AC8" w:rsidRPr="007B1676">
        <w:rPr>
          <w:color w:val="auto"/>
        </w:rPr>
        <w:t>’</w:t>
      </w:r>
      <w:r w:rsidRPr="007B1676">
        <w:rPr>
          <w:color w:val="auto"/>
        </w:rPr>
        <w:t xml:space="preserve">élaboration de notes explicatives sur la </w:t>
      </w:r>
      <w:r w:rsidR="00FC2AC8" w:rsidRPr="007B1676">
        <w:rPr>
          <w:color w:val="auto"/>
        </w:rPr>
        <w:t>Convention UPOV</w:t>
      </w:r>
      <w:bookmarkEnd w:id="22"/>
    </w:p>
    <w:p w:rsidR="00F77FD5" w:rsidRPr="007B1676" w:rsidRDefault="00F77FD5" w:rsidP="0085250E">
      <w:pPr>
        <w:pStyle w:val="Heading2"/>
        <w:rPr>
          <w:color w:val="auto"/>
        </w:rPr>
      </w:pPr>
    </w:p>
    <w:p w:rsidR="00FC2AC8" w:rsidRPr="007B1676" w:rsidRDefault="005308C7" w:rsidP="00A55B16">
      <w:pPr>
        <w:rPr>
          <w:lang w:val="fr-FR"/>
        </w:rPr>
      </w:pPr>
      <w:r w:rsidRPr="007B1676">
        <w:rPr>
          <w:lang w:val="fr-FR"/>
        </w:rPr>
        <w:fldChar w:fldCharType="begin"/>
      </w:r>
      <w:r w:rsidRPr="007B1676">
        <w:rPr>
          <w:lang w:val="fr-FR"/>
        </w:rPr>
        <w:instrText xml:space="preserve"> AUTONUM  </w:instrText>
      </w:r>
      <w:r w:rsidRPr="007B1676">
        <w:rPr>
          <w:lang w:val="fr-FR"/>
        </w:rPr>
        <w:fldChar w:fldCharType="end"/>
      </w:r>
      <w:r w:rsidRPr="007B1676">
        <w:rPr>
          <w:lang w:val="fr-FR"/>
        </w:rPr>
        <w:tab/>
      </w:r>
      <w:r w:rsidR="0028543A" w:rsidRPr="007B1676">
        <w:rPr>
          <w:lang w:val="fr-FR"/>
        </w:rPr>
        <w:t>À sa soixante</w:t>
      </w:r>
      <w:r w:rsidR="00F66982" w:rsidRPr="007B1676">
        <w:rPr>
          <w:lang w:val="fr-FR"/>
        </w:rPr>
        <w:noBreakHyphen/>
      </w:r>
      <w:r w:rsidR="0028543A" w:rsidRPr="007B1676">
        <w:rPr>
          <w:lang w:val="fr-FR"/>
        </w:rPr>
        <w:t>dixième</w:t>
      </w:r>
      <w:r w:rsidR="00731AD3" w:rsidRPr="007B1676">
        <w:rPr>
          <w:lang w:val="fr-FR"/>
        </w:rPr>
        <w:t> </w:t>
      </w:r>
      <w:r w:rsidR="0028543A" w:rsidRPr="007B1676">
        <w:rPr>
          <w:lang w:val="fr-FR"/>
        </w:rPr>
        <w:t>session,</w:t>
      </w:r>
      <w:r w:rsidR="00FC2AC8" w:rsidRPr="007B1676">
        <w:rPr>
          <w:lang w:val="fr-FR"/>
        </w:rPr>
        <w:t xml:space="preserve"> le CAJ</w:t>
      </w:r>
      <w:r w:rsidR="0028543A" w:rsidRPr="007B1676">
        <w:rPr>
          <w:lang w:val="fr-FR"/>
        </w:rPr>
        <w:t xml:space="preserve"> est convenu que toutes les questions examinées par</w:t>
      </w:r>
      <w:r w:rsidR="00FC2AC8" w:rsidRPr="007B1676">
        <w:rPr>
          <w:lang w:val="fr-FR"/>
        </w:rPr>
        <w:t xml:space="preserve"> le CAJ</w:t>
      </w:r>
      <w:r w:rsidR="00702AE7" w:rsidRPr="007B1676">
        <w:rPr>
          <w:lang w:val="fr-FR"/>
        </w:rPr>
        <w:noBreakHyphen/>
      </w:r>
      <w:r w:rsidR="0028543A" w:rsidRPr="007B1676">
        <w:rPr>
          <w:lang w:val="fr-FR"/>
        </w:rPr>
        <w:t>AG à sa neuvième</w:t>
      </w:r>
      <w:r w:rsidR="00731AD3" w:rsidRPr="007B1676">
        <w:rPr>
          <w:lang w:val="fr-FR"/>
        </w:rPr>
        <w:t> </w:t>
      </w:r>
      <w:r w:rsidR="0028543A" w:rsidRPr="007B1676">
        <w:rPr>
          <w:lang w:val="fr-FR"/>
        </w:rPr>
        <w:t>session devraient, après la neuvième</w:t>
      </w:r>
      <w:r w:rsidR="00731AD3" w:rsidRPr="007B1676">
        <w:rPr>
          <w:lang w:val="fr-FR"/>
        </w:rPr>
        <w:t> </w:t>
      </w:r>
      <w:r w:rsidR="0028543A" w:rsidRPr="007B1676">
        <w:rPr>
          <w:lang w:val="fr-FR"/>
        </w:rPr>
        <w:t>session</w:t>
      </w:r>
      <w:r w:rsidR="00FC2AC8" w:rsidRPr="007B1676">
        <w:rPr>
          <w:lang w:val="fr-FR"/>
        </w:rPr>
        <w:t xml:space="preserve"> du CAJ</w:t>
      </w:r>
      <w:r w:rsidR="00702AE7" w:rsidRPr="007B1676">
        <w:rPr>
          <w:lang w:val="fr-FR"/>
        </w:rPr>
        <w:noBreakHyphen/>
      </w:r>
      <w:r w:rsidR="0028543A" w:rsidRPr="007B1676">
        <w:rPr>
          <w:lang w:val="fr-FR"/>
        </w:rPr>
        <w:t>AG, être examinées par</w:t>
      </w:r>
      <w:r w:rsidR="00FC2AC8" w:rsidRPr="007B1676">
        <w:rPr>
          <w:lang w:val="fr-FR"/>
        </w:rPr>
        <w:t xml:space="preserve"> le CAJ</w:t>
      </w:r>
      <w:r w:rsidR="0028543A" w:rsidRPr="007B1676">
        <w:rPr>
          <w:lang w:val="fr-FR"/>
        </w:rPr>
        <w:t>, et que</w:t>
      </w:r>
      <w:r w:rsidR="00FC2AC8" w:rsidRPr="007B1676">
        <w:rPr>
          <w:lang w:val="fr-FR"/>
        </w:rPr>
        <w:t xml:space="preserve"> le CAJ</w:t>
      </w:r>
      <w:r w:rsidR="00702AE7" w:rsidRPr="007B1676">
        <w:rPr>
          <w:lang w:val="fr-FR"/>
        </w:rPr>
        <w:noBreakHyphen/>
      </w:r>
      <w:r w:rsidR="0028543A" w:rsidRPr="007B1676">
        <w:rPr>
          <w:lang w:val="fr-FR"/>
        </w:rPr>
        <w:t>AG devrait se réunir uniquement de façon ponctuelle, selon que</w:t>
      </w:r>
      <w:r w:rsidR="00FC2AC8" w:rsidRPr="007B1676">
        <w:rPr>
          <w:lang w:val="fr-FR"/>
        </w:rPr>
        <w:t xml:space="preserve"> le CAJ</w:t>
      </w:r>
      <w:r w:rsidR="0028543A" w:rsidRPr="007B1676">
        <w:rPr>
          <w:lang w:val="fr-FR"/>
        </w:rPr>
        <w:t xml:space="preserve"> le juge approprié.</w:t>
      </w:r>
    </w:p>
    <w:p w:rsidR="00F77FD5" w:rsidRPr="007B1676" w:rsidRDefault="00F77FD5" w:rsidP="00A55B16">
      <w:pPr>
        <w:rPr>
          <w:lang w:val="fr-FR"/>
        </w:rPr>
      </w:pPr>
    </w:p>
    <w:p w:rsidR="00F77FD5" w:rsidRPr="007B1676" w:rsidRDefault="005308C7" w:rsidP="00323691">
      <w:pPr>
        <w:rPr>
          <w:lang w:val="fr-FR"/>
        </w:rPr>
      </w:pPr>
      <w:r w:rsidRPr="007B1676">
        <w:rPr>
          <w:lang w:val="fr-FR"/>
        </w:rPr>
        <w:fldChar w:fldCharType="begin"/>
      </w:r>
      <w:r w:rsidRPr="007B1676">
        <w:rPr>
          <w:lang w:val="fr-FR"/>
        </w:rPr>
        <w:instrText xml:space="preserve"> AUTONUM  </w:instrText>
      </w:r>
      <w:r w:rsidRPr="007B1676">
        <w:rPr>
          <w:lang w:val="fr-FR"/>
        </w:rPr>
        <w:fldChar w:fldCharType="end"/>
      </w:r>
      <w:r w:rsidRPr="007B1676">
        <w:rPr>
          <w:lang w:val="fr-FR"/>
        </w:rPr>
        <w:tab/>
      </w:r>
      <w:r w:rsidR="00323691" w:rsidRPr="007B1676">
        <w:rPr>
          <w:lang w:val="fr-FR"/>
        </w:rPr>
        <w:t>Compte tenu de cela,</w:t>
      </w:r>
      <w:r w:rsidR="00FC2AC8" w:rsidRPr="007B1676">
        <w:rPr>
          <w:lang w:val="fr-FR"/>
        </w:rPr>
        <w:t xml:space="preserve"> le CAJ</w:t>
      </w:r>
      <w:r w:rsidR="00323691" w:rsidRPr="007B1676">
        <w:rPr>
          <w:lang w:val="fr-FR"/>
        </w:rPr>
        <w:t xml:space="preserve"> </w:t>
      </w:r>
      <w:r w:rsidR="0028543A" w:rsidRPr="007B1676">
        <w:rPr>
          <w:lang w:val="fr-FR"/>
        </w:rPr>
        <w:t>a prié</w:t>
      </w:r>
      <w:r w:rsidR="00FC2AC8" w:rsidRPr="007B1676">
        <w:rPr>
          <w:lang w:val="fr-FR"/>
        </w:rPr>
        <w:t xml:space="preserve"> le CAJ</w:t>
      </w:r>
      <w:r w:rsidR="00F66982" w:rsidRPr="007B1676">
        <w:rPr>
          <w:lang w:val="fr-FR"/>
        </w:rPr>
        <w:noBreakHyphen/>
      </w:r>
      <w:r w:rsidR="00323691" w:rsidRPr="007B1676">
        <w:rPr>
          <w:lang w:val="fr-FR"/>
        </w:rPr>
        <w:t>AG de lui indiquer, à sa neuvième</w:t>
      </w:r>
      <w:r w:rsidR="00731AD3" w:rsidRPr="007B1676">
        <w:rPr>
          <w:lang w:val="fr-FR"/>
        </w:rPr>
        <w:t> </w:t>
      </w:r>
      <w:r w:rsidR="00323691" w:rsidRPr="007B1676">
        <w:rPr>
          <w:lang w:val="fr-FR"/>
        </w:rPr>
        <w:t>session, les documents qu</w:t>
      </w:r>
      <w:r w:rsidR="00FC2AC8" w:rsidRPr="007B1676">
        <w:rPr>
          <w:lang w:val="fr-FR"/>
        </w:rPr>
        <w:t>’</w:t>
      </w:r>
      <w:r w:rsidR="00323691" w:rsidRPr="007B1676">
        <w:rPr>
          <w:lang w:val="fr-FR"/>
        </w:rPr>
        <w:t>il a</w:t>
      </w:r>
      <w:r w:rsidR="008C66B9" w:rsidRPr="007B1676">
        <w:rPr>
          <w:lang w:val="fr-FR"/>
        </w:rPr>
        <w:t>ura</w:t>
      </w:r>
      <w:r w:rsidR="0028543A" w:rsidRPr="007B1676">
        <w:rPr>
          <w:lang w:val="fr-FR"/>
        </w:rPr>
        <w:t>it</w:t>
      </w:r>
      <w:r w:rsidR="008C66B9" w:rsidRPr="007B1676">
        <w:rPr>
          <w:lang w:val="fr-FR"/>
        </w:rPr>
        <w:t xml:space="preserve"> à examiner à sa soixante et </w:t>
      </w:r>
      <w:r w:rsidR="00323691" w:rsidRPr="007B1676">
        <w:rPr>
          <w:lang w:val="fr-FR"/>
        </w:rPr>
        <w:t>onzième</w:t>
      </w:r>
      <w:r w:rsidR="00731AD3" w:rsidRPr="007B1676">
        <w:rPr>
          <w:lang w:val="fr-FR"/>
        </w:rPr>
        <w:t> </w:t>
      </w:r>
      <w:r w:rsidR="00323691" w:rsidRPr="007B1676">
        <w:rPr>
          <w:lang w:val="fr-FR"/>
        </w:rPr>
        <w:t>session, en mars</w:t>
      </w:r>
      <w:r w:rsidR="008C66B9" w:rsidRPr="007B1676">
        <w:rPr>
          <w:lang w:val="fr-FR"/>
        </w:rPr>
        <w:t> </w:t>
      </w:r>
      <w:r w:rsidR="0028543A" w:rsidRPr="007B1676">
        <w:rPr>
          <w:lang w:val="fr-FR"/>
        </w:rPr>
        <w:t>2015</w:t>
      </w:r>
      <w:r w:rsidR="00323691" w:rsidRPr="007B1676">
        <w:rPr>
          <w:lang w:val="fr-FR"/>
        </w:rPr>
        <w:t>.</w:t>
      </w:r>
    </w:p>
    <w:p w:rsidR="00F77FD5" w:rsidRPr="007B1676" w:rsidRDefault="00F77FD5" w:rsidP="00A55B16">
      <w:pPr>
        <w:rPr>
          <w:lang w:val="fr-FR"/>
        </w:rPr>
      </w:pPr>
    </w:p>
    <w:p w:rsidR="00FC2AC8" w:rsidRPr="007B1676" w:rsidRDefault="005308C7" w:rsidP="00323691">
      <w:pPr>
        <w:tabs>
          <w:tab w:val="left" w:pos="567"/>
        </w:tabs>
        <w:rPr>
          <w:lang w:val="fr-FR"/>
        </w:rPr>
      </w:pPr>
      <w:r w:rsidRPr="007B1676">
        <w:rPr>
          <w:lang w:val="fr-FR"/>
        </w:rPr>
        <w:fldChar w:fldCharType="begin"/>
      </w:r>
      <w:r w:rsidRPr="007B1676">
        <w:rPr>
          <w:lang w:val="fr-FR"/>
        </w:rPr>
        <w:instrText xml:space="preserve"> AUTONUM  </w:instrText>
      </w:r>
      <w:r w:rsidRPr="007B1676">
        <w:rPr>
          <w:lang w:val="fr-FR"/>
        </w:rPr>
        <w:fldChar w:fldCharType="end"/>
      </w:r>
      <w:r w:rsidRPr="007B1676">
        <w:rPr>
          <w:lang w:val="fr-FR"/>
        </w:rPr>
        <w:tab/>
      </w:r>
      <w:r w:rsidR="00323691" w:rsidRPr="007B1676">
        <w:rPr>
          <w:lang w:val="fr-FR"/>
        </w:rPr>
        <w:t>À cet égard,</w:t>
      </w:r>
      <w:r w:rsidR="00FC2AC8" w:rsidRPr="007B1676">
        <w:rPr>
          <w:lang w:val="fr-FR"/>
        </w:rPr>
        <w:t xml:space="preserve"> le CAJ</w:t>
      </w:r>
      <w:r w:rsidR="00F66982" w:rsidRPr="007B1676">
        <w:rPr>
          <w:lang w:val="fr-FR"/>
        </w:rPr>
        <w:noBreakHyphen/>
      </w:r>
      <w:r w:rsidR="00323691" w:rsidRPr="007B1676">
        <w:rPr>
          <w:lang w:val="fr-FR"/>
        </w:rPr>
        <w:t>AG a donné les conseils suivants pour ce qui est des points “Élaboration de matériel d</w:t>
      </w:r>
      <w:r w:rsidR="00FC2AC8" w:rsidRPr="007B1676">
        <w:rPr>
          <w:lang w:val="fr-FR"/>
        </w:rPr>
        <w:t>’</w:t>
      </w:r>
      <w:r w:rsidR="00323691" w:rsidRPr="007B1676">
        <w:rPr>
          <w:lang w:val="fr-FR"/>
        </w:rPr>
        <w:t xml:space="preserve">information sur la </w:t>
      </w:r>
      <w:r w:rsidR="00FC2AC8" w:rsidRPr="007B1676">
        <w:rPr>
          <w:lang w:val="fr-FR"/>
        </w:rPr>
        <w:t>Convention UPOV</w:t>
      </w:r>
      <w:r w:rsidR="00323691" w:rsidRPr="007B1676">
        <w:rPr>
          <w:lang w:val="fr-FR"/>
        </w:rPr>
        <w:t>” et “Dénominations variétales” de la soixante</w:t>
      </w:r>
      <w:r w:rsidR="008C66B9" w:rsidRPr="007B1676">
        <w:rPr>
          <w:lang w:val="fr-FR"/>
        </w:rPr>
        <w:t> et </w:t>
      </w:r>
      <w:r w:rsidR="00323691" w:rsidRPr="007B1676">
        <w:rPr>
          <w:lang w:val="fr-FR"/>
        </w:rPr>
        <w:t>onzième</w:t>
      </w:r>
      <w:r w:rsidR="00731AD3" w:rsidRPr="007B1676">
        <w:rPr>
          <w:lang w:val="fr-FR"/>
        </w:rPr>
        <w:t> </w:t>
      </w:r>
      <w:r w:rsidR="00323691" w:rsidRPr="007B1676">
        <w:rPr>
          <w:lang w:val="fr-FR"/>
        </w:rPr>
        <w:t>session</w:t>
      </w:r>
      <w:r w:rsidR="00FC2AC8" w:rsidRPr="007B1676">
        <w:rPr>
          <w:lang w:val="fr-FR"/>
        </w:rPr>
        <w:t xml:space="preserve"> du CAJ</w:t>
      </w:r>
      <w:r w:rsidR="00731AD3" w:rsidRPr="007B1676">
        <w:rPr>
          <w:lang w:val="fr-FR"/>
        </w:rPr>
        <w:t> </w:t>
      </w:r>
      <w:r w:rsidR="00323691" w:rsidRPr="007B1676">
        <w:rPr>
          <w:lang w:val="fr-FR"/>
        </w:rPr>
        <w:t>:</w:t>
      </w:r>
    </w:p>
    <w:p w:rsidR="00F77FD5" w:rsidRPr="007B1676" w:rsidRDefault="00F77FD5" w:rsidP="005308C7">
      <w:pPr>
        <w:tabs>
          <w:tab w:val="left" w:pos="567"/>
        </w:tabs>
        <w:rPr>
          <w:lang w:val="fr-FR"/>
        </w:rPr>
      </w:pPr>
    </w:p>
    <w:p w:rsidR="00FC2AC8" w:rsidRPr="007B1676" w:rsidRDefault="008C66B9" w:rsidP="00C04163">
      <w:pPr>
        <w:tabs>
          <w:tab w:val="left" w:pos="567"/>
        </w:tabs>
        <w:ind w:left="1134" w:right="567" w:hanging="567"/>
        <w:rPr>
          <w:i/>
          <w:kern w:val="28"/>
          <w:lang w:val="fr-FR"/>
        </w:rPr>
      </w:pPr>
      <w:r w:rsidRPr="007B1676">
        <w:rPr>
          <w:i/>
          <w:kern w:val="28"/>
          <w:lang w:val="fr-FR"/>
        </w:rPr>
        <w:t>É</w:t>
      </w:r>
      <w:r w:rsidR="00C04163" w:rsidRPr="007B1676">
        <w:rPr>
          <w:i/>
          <w:kern w:val="28"/>
          <w:lang w:val="fr-FR"/>
        </w:rPr>
        <w:t>laboration de matériel d</w:t>
      </w:r>
      <w:r w:rsidR="00FC2AC8" w:rsidRPr="007B1676">
        <w:rPr>
          <w:i/>
          <w:kern w:val="28"/>
          <w:lang w:val="fr-FR"/>
        </w:rPr>
        <w:t>’</w:t>
      </w:r>
      <w:r w:rsidR="00C04163" w:rsidRPr="007B1676">
        <w:rPr>
          <w:i/>
          <w:kern w:val="28"/>
          <w:lang w:val="fr-FR"/>
        </w:rPr>
        <w:t>information</w:t>
      </w:r>
      <w:r w:rsidRPr="007B1676">
        <w:rPr>
          <w:i/>
          <w:kern w:val="28"/>
          <w:lang w:val="fr-FR"/>
        </w:rPr>
        <w:t xml:space="preserve"> </w:t>
      </w:r>
      <w:r w:rsidR="0028543A" w:rsidRPr="007B1676">
        <w:rPr>
          <w:i/>
          <w:kern w:val="28"/>
          <w:lang w:val="fr-FR"/>
        </w:rPr>
        <w:t>sur</w:t>
      </w:r>
      <w:r w:rsidR="00C04163" w:rsidRPr="007B1676">
        <w:rPr>
          <w:i/>
          <w:kern w:val="28"/>
          <w:lang w:val="fr-FR"/>
        </w:rPr>
        <w:t xml:space="preserve"> la </w:t>
      </w:r>
      <w:r w:rsidR="00FC2AC8" w:rsidRPr="007B1676">
        <w:rPr>
          <w:i/>
          <w:kern w:val="28"/>
          <w:lang w:val="fr-FR"/>
        </w:rPr>
        <w:t>Convention UPOV</w:t>
      </w:r>
    </w:p>
    <w:p w:rsidR="00F77FD5" w:rsidRPr="007B1676" w:rsidRDefault="00F77FD5" w:rsidP="005308C7">
      <w:pPr>
        <w:ind w:left="1134" w:right="567" w:hanging="567"/>
        <w:rPr>
          <w:lang w:val="fr-FR"/>
        </w:rPr>
      </w:pPr>
    </w:p>
    <w:p w:rsidR="00F77FD5" w:rsidRPr="007B1676" w:rsidRDefault="00C04163" w:rsidP="00C04163">
      <w:pPr>
        <w:ind w:left="1701" w:right="567" w:hanging="567"/>
        <w:rPr>
          <w:lang w:val="fr-FR"/>
        </w:rPr>
      </w:pPr>
      <w:r w:rsidRPr="007B1676">
        <w:rPr>
          <w:lang w:val="fr-FR"/>
        </w:rPr>
        <w:t>a)</w:t>
      </w:r>
      <w:r w:rsidRPr="007B1676">
        <w:rPr>
          <w:lang w:val="fr-FR"/>
        </w:rPr>
        <w:tab/>
        <w:t>Notes explicatives sur les variétés essentiellement dérivées selon l</w:t>
      </w:r>
      <w:r w:rsidR="00FC2AC8" w:rsidRPr="007B1676">
        <w:rPr>
          <w:lang w:val="fr-FR"/>
        </w:rPr>
        <w:t>’</w:t>
      </w:r>
      <w:r w:rsidRPr="007B1676">
        <w:rPr>
          <w:lang w:val="fr-FR"/>
        </w:rPr>
        <w:t xml:space="preserve">Acte </w:t>
      </w:r>
      <w:r w:rsidR="008C66B9" w:rsidRPr="007B1676">
        <w:rPr>
          <w:lang w:val="fr-FR"/>
        </w:rPr>
        <w:t>de</w:t>
      </w:r>
      <w:r w:rsidR="00731AD3" w:rsidRPr="007B1676">
        <w:rPr>
          <w:lang w:val="fr-FR"/>
        </w:rPr>
        <w:t> </w:t>
      </w:r>
      <w:r w:rsidR="008C66B9" w:rsidRPr="007B1676">
        <w:rPr>
          <w:lang w:val="fr-FR"/>
        </w:rPr>
        <w:t xml:space="preserve">1991 de la </w:t>
      </w:r>
      <w:r w:rsidR="00FC2AC8" w:rsidRPr="007B1676">
        <w:rPr>
          <w:lang w:val="fr-FR"/>
        </w:rPr>
        <w:t>Convention UPOV</w:t>
      </w:r>
      <w:r w:rsidR="008C66B9" w:rsidRPr="007B1676">
        <w:rPr>
          <w:lang w:val="fr-FR"/>
        </w:rPr>
        <w:t xml:space="preserve"> (</w:t>
      </w:r>
      <w:r w:rsidR="00702AE7" w:rsidRPr="007B1676">
        <w:rPr>
          <w:lang w:val="fr-FR"/>
        </w:rPr>
        <w:t>r</w:t>
      </w:r>
      <w:r w:rsidRPr="007B1676">
        <w:rPr>
          <w:lang w:val="fr-FR"/>
        </w:rPr>
        <w:t>évision) (document CAJ/71/2</w:t>
      </w:r>
      <w:r w:rsidR="00731AD3" w:rsidRPr="007B1676">
        <w:rPr>
          <w:lang w:val="fr-FR"/>
        </w:rPr>
        <w:t> </w:t>
      </w:r>
      <w:r w:rsidRPr="007B1676">
        <w:rPr>
          <w:lang w:val="fr-FR"/>
        </w:rPr>
        <w:t>: marche à suivre proposée en vue de l</w:t>
      </w:r>
      <w:r w:rsidR="00FC2AC8" w:rsidRPr="007B1676">
        <w:rPr>
          <w:lang w:val="fr-FR"/>
        </w:rPr>
        <w:t>’</w:t>
      </w:r>
      <w:r w:rsidRPr="007B1676">
        <w:rPr>
          <w:lang w:val="fr-FR"/>
        </w:rPr>
        <w:t>examen d</w:t>
      </w:r>
      <w:r w:rsidR="00FC2AC8" w:rsidRPr="007B1676">
        <w:rPr>
          <w:lang w:val="fr-FR"/>
        </w:rPr>
        <w:t>’</w:t>
      </w:r>
      <w:r w:rsidRPr="007B1676">
        <w:rPr>
          <w:lang w:val="fr-FR"/>
        </w:rPr>
        <w:t>un nouveau projet de document UPOV/EXN/EDV/2</w:t>
      </w:r>
      <w:r w:rsidR="00FC2AC8" w:rsidRPr="007B1676">
        <w:rPr>
          <w:lang w:val="fr-FR"/>
        </w:rPr>
        <w:t xml:space="preserve"> au CAJ</w:t>
      </w:r>
      <w:r w:rsidRPr="007B1676">
        <w:rPr>
          <w:lang w:val="fr-FR"/>
        </w:rPr>
        <w:t xml:space="preserve"> en </w:t>
      </w:r>
      <w:r w:rsidR="00FC2AC8" w:rsidRPr="007B1676">
        <w:rPr>
          <w:lang w:val="fr-FR"/>
        </w:rPr>
        <w:t>octobre 20</w:t>
      </w:r>
      <w:r w:rsidRPr="007B1676">
        <w:rPr>
          <w:lang w:val="fr-FR"/>
        </w:rPr>
        <w:t>15)</w:t>
      </w:r>
    </w:p>
    <w:p w:rsidR="00F77FD5" w:rsidRPr="007B1676" w:rsidRDefault="00F77FD5" w:rsidP="005308C7">
      <w:pPr>
        <w:ind w:left="1134" w:right="567" w:hanging="567"/>
        <w:rPr>
          <w:strike/>
          <w:lang w:val="fr-FR"/>
        </w:rPr>
      </w:pPr>
    </w:p>
    <w:p w:rsidR="00F77FD5" w:rsidRPr="007B1676" w:rsidRDefault="005308C7" w:rsidP="0082106D">
      <w:pPr>
        <w:ind w:left="1701" w:right="567" w:hanging="567"/>
        <w:rPr>
          <w:lang w:val="fr-FR"/>
        </w:rPr>
      </w:pPr>
      <w:r w:rsidRPr="007B1676">
        <w:rPr>
          <w:lang w:val="fr-FR"/>
        </w:rPr>
        <w:lastRenderedPageBreak/>
        <w:t>b)</w:t>
      </w:r>
      <w:r w:rsidRPr="007B1676">
        <w:rPr>
          <w:lang w:val="fr-FR"/>
        </w:rPr>
        <w:tab/>
      </w:r>
      <w:r w:rsidR="0082106D" w:rsidRPr="007B1676">
        <w:rPr>
          <w:lang w:val="fr-FR"/>
        </w:rPr>
        <w:t>Notes explicatives sur le matériel de reproduction ou de multiplication selon l</w:t>
      </w:r>
      <w:r w:rsidR="00FC2AC8" w:rsidRPr="007B1676">
        <w:rPr>
          <w:lang w:val="fr-FR"/>
        </w:rPr>
        <w:t>’</w:t>
      </w:r>
      <w:r w:rsidR="0082106D" w:rsidRPr="007B1676">
        <w:rPr>
          <w:lang w:val="fr-FR"/>
        </w:rPr>
        <w:t>acte de</w:t>
      </w:r>
      <w:r w:rsidR="00731AD3" w:rsidRPr="007B1676">
        <w:rPr>
          <w:lang w:val="fr-FR"/>
        </w:rPr>
        <w:t> </w:t>
      </w:r>
      <w:r w:rsidR="0082106D" w:rsidRPr="007B1676">
        <w:rPr>
          <w:lang w:val="fr-FR"/>
        </w:rPr>
        <w:t xml:space="preserve">1991 de la </w:t>
      </w:r>
      <w:r w:rsidR="00FC2AC8" w:rsidRPr="007B1676">
        <w:rPr>
          <w:lang w:val="fr-FR"/>
        </w:rPr>
        <w:t>Convention UPOV</w:t>
      </w:r>
      <w:r w:rsidR="0082106D" w:rsidRPr="007B1676">
        <w:rPr>
          <w:lang w:val="fr-FR"/>
        </w:rPr>
        <w:t xml:space="preserve"> </w:t>
      </w:r>
      <w:r w:rsidRPr="007B1676">
        <w:rPr>
          <w:lang w:val="fr-FR"/>
        </w:rPr>
        <w:t>(</w:t>
      </w:r>
      <w:r w:rsidR="00FC2AC8" w:rsidRPr="007B1676">
        <w:rPr>
          <w:lang w:val="fr-FR"/>
        </w:rPr>
        <w:t>document UP</w:t>
      </w:r>
      <w:r w:rsidRPr="007B1676">
        <w:rPr>
          <w:lang w:val="fr-FR"/>
        </w:rPr>
        <w:t>OV/EXN/PPM/1 </w:t>
      </w:r>
      <w:proofErr w:type="spellStart"/>
      <w:r w:rsidRPr="007B1676">
        <w:rPr>
          <w:lang w:val="fr-FR"/>
        </w:rPr>
        <w:t>Draft</w:t>
      </w:r>
      <w:proofErr w:type="spellEnd"/>
      <w:r w:rsidRPr="007B1676">
        <w:rPr>
          <w:lang w:val="fr-FR"/>
        </w:rPr>
        <w:t> 4)</w:t>
      </w:r>
    </w:p>
    <w:p w:rsidR="00F77FD5" w:rsidRPr="007B1676" w:rsidRDefault="00F77FD5" w:rsidP="005308C7">
      <w:pPr>
        <w:ind w:left="1701" w:right="567" w:hanging="567"/>
        <w:rPr>
          <w:lang w:val="fr-FR"/>
        </w:rPr>
      </w:pPr>
    </w:p>
    <w:p w:rsidR="00F77FD5" w:rsidRPr="007B1676" w:rsidRDefault="00C04163" w:rsidP="00C04163">
      <w:pPr>
        <w:ind w:left="1701" w:right="567" w:hanging="567"/>
        <w:rPr>
          <w:kern w:val="28"/>
          <w:lang w:val="fr-FR"/>
        </w:rPr>
      </w:pPr>
      <w:r w:rsidRPr="007B1676">
        <w:rPr>
          <w:kern w:val="28"/>
          <w:lang w:val="fr-FR"/>
        </w:rPr>
        <w:t>c)</w:t>
      </w:r>
      <w:r w:rsidRPr="007B1676">
        <w:rPr>
          <w:kern w:val="28"/>
          <w:lang w:val="fr-FR"/>
        </w:rPr>
        <w:tab/>
        <w:t xml:space="preserve">Notes explicatives sur les actes </w:t>
      </w:r>
      <w:r w:rsidR="00FC2AC8" w:rsidRPr="007B1676">
        <w:rPr>
          <w:kern w:val="28"/>
          <w:lang w:val="fr-FR"/>
        </w:rPr>
        <w:t>à l’égard</w:t>
      </w:r>
      <w:r w:rsidRPr="007B1676">
        <w:rPr>
          <w:kern w:val="28"/>
          <w:lang w:val="fr-FR"/>
        </w:rPr>
        <w:t xml:space="preserve"> du produit de la récolte selon l</w:t>
      </w:r>
      <w:r w:rsidR="00FC2AC8" w:rsidRPr="007B1676">
        <w:rPr>
          <w:kern w:val="28"/>
          <w:lang w:val="fr-FR"/>
        </w:rPr>
        <w:t>’</w:t>
      </w:r>
      <w:r w:rsidRPr="007B1676">
        <w:rPr>
          <w:kern w:val="28"/>
          <w:lang w:val="fr-FR"/>
        </w:rPr>
        <w:t xml:space="preserve">Acte </w:t>
      </w:r>
      <w:r w:rsidR="0082106D" w:rsidRPr="007B1676">
        <w:rPr>
          <w:kern w:val="28"/>
          <w:lang w:val="fr-FR"/>
        </w:rPr>
        <w:t>de</w:t>
      </w:r>
      <w:r w:rsidR="00731AD3" w:rsidRPr="007B1676">
        <w:rPr>
          <w:kern w:val="28"/>
          <w:lang w:val="fr-FR"/>
        </w:rPr>
        <w:t> </w:t>
      </w:r>
      <w:r w:rsidR="0082106D" w:rsidRPr="007B1676">
        <w:rPr>
          <w:kern w:val="28"/>
          <w:lang w:val="fr-FR"/>
        </w:rPr>
        <w:t xml:space="preserve">1991 de la </w:t>
      </w:r>
      <w:r w:rsidR="00FC2AC8" w:rsidRPr="007B1676">
        <w:rPr>
          <w:kern w:val="28"/>
          <w:lang w:val="fr-FR"/>
        </w:rPr>
        <w:t>Convention UPOV</w:t>
      </w:r>
      <w:r w:rsidR="00702AE7" w:rsidRPr="007B1676">
        <w:rPr>
          <w:kern w:val="28"/>
          <w:lang w:val="fr-FR"/>
        </w:rPr>
        <w:t xml:space="preserve"> (r</w:t>
      </w:r>
      <w:r w:rsidRPr="007B1676">
        <w:rPr>
          <w:kern w:val="28"/>
          <w:lang w:val="fr-FR"/>
        </w:rPr>
        <w:t>évision) (documen</w:t>
      </w:r>
      <w:r w:rsidR="0082106D" w:rsidRPr="007B1676">
        <w:rPr>
          <w:kern w:val="28"/>
          <w:lang w:val="fr-FR"/>
        </w:rPr>
        <w:t>t CAJ/71/2</w:t>
      </w:r>
      <w:r w:rsidR="00731AD3" w:rsidRPr="007B1676">
        <w:rPr>
          <w:kern w:val="28"/>
          <w:lang w:val="fr-FR"/>
        </w:rPr>
        <w:t> </w:t>
      </w:r>
      <w:r w:rsidR="0082106D" w:rsidRPr="007B1676">
        <w:rPr>
          <w:kern w:val="28"/>
          <w:lang w:val="fr-FR"/>
        </w:rPr>
        <w:t>: proposition</w:t>
      </w:r>
      <w:r w:rsidR="00FC2AC8" w:rsidRPr="007B1676">
        <w:rPr>
          <w:kern w:val="28"/>
          <w:lang w:val="fr-FR"/>
        </w:rPr>
        <w:t xml:space="preserve"> du CAJ</w:t>
      </w:r>
      <w:r w:rsidR="00F66982" w:rsidRPr="007B1676">
        <w:rPr>
          <w:kern w:val="28"/>
          <w:lang w:val="fr-FR"/>
        </w:rPr>
        <w:noBreakHyphen/>
      </w:r>
      <w:r w:rsidRPr="007B1676">
        <w:rPr>
          <w:kern w:val="28"/>
          <w:lang w:val="fr-FR"/>
        </w:rPr>
        <w:t>AG d</w:t>
      </w:r>
      <w:r w:rsidR="00FC2AC8" w:rsidRPr="007B1676">
        <w:rPr>
          <w:kern w:val="28"/>
          <w:lang w:val="fr-FR"/>
        </w:rPr>
        <w:t>’</w:t>
      </w:r>
      <w:r w:rsidRPr="007B1676">
        <w:rPr>
          <w:kern w:val="28"/>
          <w:lang w:val="fr-FR"/>
        </w:rPr>
        <w:t>arrêter l</w:t>
      </w:r>
      <w:r w:rsidR="00FC2AC8" w:rsidRPr="007B1676">
        <w:rPr>
          <w:kern w:val="28"/>
          <w:lang w:val="fr-FR"/>
        </w:rPr>
        <w:t>’</w:t>
      </w:r>
      <w:r w:rsidRPr="007B1676">
        <w:rPr>
          <w:kern w:val="28"/>
          <w:lang w:val="fr-FR"/>
        </w:rPr>
        <w:t>élaboration d</w:t>
      </w:r>
      <w:r w:rsidR="00FC2AC8" w:rsidRPr="007B1676">
        <w:rPr>
          <w:kern w:val="28"/>
          <w:lang w:val="fr-FR"/>
        </w:rPr>
        <w:t>’</w:t>
      </w:r>
      <w:r w:rsidRPr="007B1676">
        <w:rPr>
          <w:kern w:val="28"/>
          <w:lang w:val="fr-FR"/>
        </w:rPr>
        <w:t>une révision du document UPOV/EXN/HRV/1)</w:t>
      </w:r>
    </w:p>
    <w:p w:rsidR="00F77FD5" w:rsidRPr="007B1676" w:rsidRDefault="00F77FD5" w:rsidP="005308C7">
      <w:pPr>
        <w:ind w:left="1701" w:right="567" w:hanging="567"/>
        <w:rPr>
          <w:kern w:val="28"/>
          <w:lang w:val="fr-FR"/>
        </w:rPr>
      </w:pPr>
    </w:p>
    <w:p w:rsidR="00F77FD5" w:rsidRPr="007B1676" w:rsidRDefault="00C04163" w:rsidP="00C04163">
      <w:pPr>
        <w:ind w:left="1701" w:right="567" w:hanging="567"/>
        <w:rPr>
          <w:lang w:val="fr-FR"/>
        </w:rPr>
      </w:pPr>
      <w:r w:rsidRPr="007B1676">
        <w:rPr>
          <w:lang w:val="fr-FR"/>
        </w:rPr>
        <w:t>d)</w:t>
      </w:r>
      <w:r w:rsidRPr="007B1676">
        <w:rPr>
          <w:lang w:val="fr-FR"/>
        </w:rPr>
        <w:tab/>
        <w:t>Notes explicatives sur la déchéance de l</w:t>
      </w:r>
      <w:r w:rsidR="00FC2AC8" w:rsidRPr="007B1676">
        <w:rPr>
          <w:lang w:val="fr-FR"/>
        </w:rPr>
        <w:t>’</w:t>
      </w:r>
      <w:r w:rsidRPr="007B1676">
        <w:rPr>
          <w:lang w:val="fr-FR"/>
        </w:rPr>
        <w:t xml:space="preserve">obtenteur selon la </w:t>
      </w:r>
      <w:r w:rsidR="00FC2AC8" w:rsidRPr="007B1676">
        <w:rPr>
          <w:lang w:val="fr-FR"/>
        </w:rPr>
        <w:t>Convention UPOV</w:t>
      </w:r>
      <w:r w:rsidR="00702AE7" w:rsidRPr="007B1676">
        <w:rPr>
          <w:lang w:val="fr-FR"/>
        </w:rPr>
        <w:t xml:space="preserve"> (document UPOV/EXN/CAN/2 (r</w:t>
      </w:r>
      <w:r w:rsidRPr="007B1676">
        <w:rPr>
          <w:lang w:val="fr-FR"/>
        </w:rPr>
        <w:t xml:space="preserve">évision) (document UPOV/EXN/CAN/2 </w:t>
      </w:r>
      <w:proofErr w:type="spellStart"/>
      <w:r w:rsidRPr="007B1676">
        <w:rPr>
          <w:lang w:val="fr-FR"/>
        </w:rPr>
        <w:t>Draft</w:t>
      </w:r>
      <w:proofErr w:type="spellEnd"/>
      <w:r w:rsidRPr="007B1676">
        <w:rPr>
          <w:lang w:val="fr-FR"/>
        </w:rPr>
        <w:t xml:space="preserve"> 3)</w:t>
      </w:r>
    </w:p>
    <w:p w:rsidR="00F77FD5" w:rsidRPr="007B1676" w:rsidRDefault="00F77FD5" w:rsidP="005308C7">
      <w:pPr>
        <w:ind w:left="1701" w:right="567" w:hanging="567"/>
        <w:rPr>
          <w:lang w:val="fr-FR"/>
        </w:rPr>
      </w:pPr>
    </w:p>
    <w:p w:rsidR="00F77FD5" w:rsidRPr="007B1676" w:rsidRDefault="00C04163" w:rsidP="00C04163">
      <w:pPr>
        <w:ind w:left="1701" w:right="567" w:hanging="567"/>
        <w:rPr>
          <w:lang w:val="fr-FR"/>
        </w:rPr>
      </w:pPr>
      <w:r w:rsidRPr="007B1676">
        <w:rPr>
          <w:lang w:val="fr-FR"/>
        </w:rPr>
        <w:t>e)</w:t>
      </w:r>
      <w:r w:rsidRPr="007B1676">
        <w:rPr>
          <w:lang w:val="fr-FR"/>
        </w:rPr>
        <w:tab/>
        <w:t>Notes explicatives sur la nullité du droit d</w:t>
      </w:r>
      <w:r w:rsidR="00FC2AC8" w:rsidRPr="007B1676">
        <w:rPr>
          <w:lang w:val="fr-FR"/>
        </w:rPr>
        <w:t>’</w:t>
      </w:r>
      <w:r w:rsidRPr="007B1676">
        <w:rPr>
          <w:lang w:val="fr-FR"/>
        </w:rPr>
        <w:t xml:space="preserve">obtenteur selon la </w:t>
      </w:r>
      <w:r w:rsidR="00FC2AC8" w:rsidRPr="007B1676">
        <w:rPr>
          <w:lang w:val="fr-FR"/>
        </w:rPr>
        <w:t>Convention UPOV</w:t>
      </w:r>
      <w:r w:rsidR="00702AE7" w:rsidRPr="007B1676">
        <w:rPr>
          <w:lang w:val="fr-FR"/>
        </w:rPr>
        <w:t xml:space="preserve"> (r</w:t>
      </w:r>
      <w:r w:rsidRPr="007B1676">
        <w:rPr>
          <w:lang w:val="fr-FR"/>
        </w:rPr>
        <w:t xml:space="preserve">évision) (document UPOV/EXN/NUL/2 </w:t>
      </w:r>
      <w:proofErr w:type="spellStart"/>
      <w:r w:rsidRPr="007B1676">
        <w:rPr>
          <w:lang w:val="fr-FR"/>
        </w:rPr>
        <w:t>Draft</w:t>
      </w:r>
      <w:proofErr w:type="spellEnd"/>
      <w:r w:rsidRPr="007B1676">
        <w:rPr>
          <w:lang w:val="fr-FR"/>
        </w:rPr>
        <w:t xml:space="preserve"> 3)</w:t>
      </w:r>
    </w:p>
    <w:p w:rsidR="00F77FD5" w:rsidRPr="007B1676" w:rsidRDefault="00F77FD5" w:rsidP="005308C7">
      <w:pPr>
        <w:ind w:left="1701" w:right="567" w:hanging="567"/>
        <w:rPr>
          <w:lang w:val="fr-FR"/>
        </w:rPr>
      </w:pPr>
    </w:p>
    <w:p w:rsidR="00F77FD5" w:rsidRPr="007B1676" w:rsidRDefault="00C04163" w:rsidP="00C04163">
      <w:pPr>
        <w:ind w:left="1701" w:right="567" w:hanging="567"/>
        <w:rPr>
          <w:kern w:val="28"/>
          <w:lang w:val="fr-FR"/>
        </w:rPr>
      </w:pPr>
      <w:r w:rsidRPr="007B1676">
        <w:rPr>
          <w:kern w:val="28"/>
          <w:lang w:val="fr-FR"/>
        </w:rPr>
        <w:t>f)</w:t>
      </w:r>
      <w:r w:rsidRPr="007B1676">
        <w:rPr>
          <w:kern w:val="28"/>
          <w:lang w:val="fr-FR"/>
        </w:rPr>
        <w:tab/>
        <w:t>Questions concernant les descriptions variétales (document CAJ/71/2</w:t>
      </w:r>
      <w:r w:rsidR="00731AD3" w:rsidRPr="007B1676">
        <w:rPr>
          <w:kern w:val="28"/>
          <w:lang w:val="fr-FR"/>
        </w:rPr>
        <w:t> </w:t>
      </w:r>
      <w:r w:rsidRPr="007B1676">
        <w:rPr>
          <w:kern w:val="28"/>
          <w:lang w:val="fr-FR"/>
        </w:rPr>
        <w:t>: présenter la conclusion</w:t>
      </w:r>
      <w:r w:rsidR="00FC2AC8" w:rsidRPr="007B1676">
        <w:rPr>
          <w:kern w:val="28"/>
          <w:lang w:val="fr-FR"/>
        </w:rPr>
        <w:t xml:space="preserve"> du CAJ</w:t>
      </w:r>
      <w:r w:rsidR="00F66982" w:rsidRPr="007B1676">
        <w:rPr>
          <w:kern w:val="28"/>
          <w:lang w:val="fr-FR"/>
        </w:rPr>
        <w:noBreakHyphen/>
      </w:r>
      <w:r w:rsidRPr="007B1676">
        <w:rPr>
          <w:kern w:val="28"/>
          <w:lang w:val="fr-FR"/>
        </w:rPr>
        <w:t>AG)</w:t>
      </w:r>
    </w:p>
    <w:p w:rsidR="00F77FD5" w:rsidRPr="007B1676" w:rsidRDefault="00F77FD5" w:rsidP="005308C7">
      <w:pPr>
        <w:ind w:left="1701" w:right="567" w:hanging="567"/>
        <w:rPr>
          <w:kern w:val="28"/>
          <w:lang w:val="fr-FR"/>
        </w:rPr>
      </w:pPr>
    </w:p>
    <w:p w:rsidR="00F77FD5" w:rsidRPr="007B1676" w:rsidRDefault="00C04163" w:rsidP="00C04163">
      <w:pPr>
        <w:ind w:left="1701" w:right="567" w:hanging="567"/>
        <w:rPr>
          <w:lang w:val="fr-FR"/>
        </w:rPr>
      </w:pPr>
      <w:r w:rsidRPr="007B1676">
        <w:rPr>
          <w:lang w:val="fr-FR"/>
        </w:rPr>
        <w:t>g)</w:t>
      </w:r>
      <w:r w:rsidRPr="007B1676">
        <w:rPr>
          <w:lang w:val="fr-FR"/>
        </w:rPr>
        <w:tab/>
        <w:t xml:space="preserve">Notes explicatives sur la protection provisoire selon la </w:t>
      </w:r>
      <w:r w:rsidR="00FC2AC8" w:rsidRPr="007B1676">
        <w:rPr>
          <w:lang w:val="fr-FR"/>
        </w:rPr>
        <w:t>Convention UPOV</w:t>
      </w:r>
      <w:r w:rsidR="00702AE7" w:rsidRPr="007B1676">
        <w:rPr>
          <w:lang w:val="fr-FR"/>
        </w:rPr>
        <w:t xml:space="preserve"> (r</w:t>
      </w:r>
      <w:r w:rsidRPr="007B1676">
        <w:rPr>
          <w:lang w:val="fr-FR"/>
        </w:rPr>
        <w:t xml:space="preserve">évision) (document UPOV/EXN/PRP/2 </w:t>
      </w:r>
      <w:proofErr w:type="spellStart"/>
      <w:r w:rsidRPr="007B1676">
        <w:rPr>
          <w:lang w:val="fr-FR"/>
        </w:rPr>
        <w:t>Draft</w:t>
      </w:r>
      <w:proofErr w:type="spellEnd"/>
      <w:r w:rsidRPr="007B1676">
        <w:rPr>
          <w:lang w:val="fr-FR"/>
        </w:rPr>
        <w:t xml:space="preserve"> 3)</w:t>
      </w:r>
    </w:p>
    <w:p w:rsidR="00F77FD5" w:rsidRPr="007B1676" w:rsidRDefault="00F77FD5" w:rsidP="005308C7">
      <w:pPr>
        <w:ind w:left="1134" w:right="567" w:hanging="567"/>
        <w:rPr>
          <w:kern w:val="28"/>
          <w:lang w:val="fr-FR"/>
        </w:rPr>
      </w:pPr>
    </w:p>
    <w:p w:rsidR="00F77FD5" w:rsidRPr="007B1676" w:rsidRDefault="00C04163" w:rsidP="00C04163">
      <w:pPr>
        <w:ind w:left="1134" w:right="567" w:hanging="567"/>
        <w:rPr>
          <w:i/>
          <w:kern w:val="28"/>
          <w:lang w:val="fr-FR"/>
        </w:rPr>
      </w:pPr>
      <w:r w:rsidRPr="007B1676">
        <w:rPr>
          <w:i/>
          <w:kern w:val="28"/>
          <w:lang w:val="fr-FR"/>
        </w:rPr>
        <w:t>Dénominations variétales</w:t>
      </w:r>
    </w:p>
    <w:p w:rsidR="00F77FD5" w:rsidRPr="007B1676" w:rsidRDefault="00F77FD5" w:rsidP="005308C7">
      <w:pPr>
        <w:ind w:left="1701" w:right="567" w:hanging="567"/>
        <w:rPr>
          <w:kern w:val="28"/>
          <w:lang w:val="fr-FR"/>
        </w:rPr>
      </w:pPr>
    </w:p>
    <w:p w:rsidR="00F77FD5" w:rsidRPr="007B1676" w:rsidRDefault="00C04163" w:rsidP="00C04163">
      <w:pPr>
        <w:ind w:left="1134" w:right="567"/>
        <w:rPr>
          <w:lang w:val="fr-FR"/>
        </w:rPr>
      </w:pPr>
      <w:r w:rsidRPr="007B1676">
        <w:rPr>
          <w:lang w:val="fr-FR"/>
        </w:rPr>
        <w:t>Notes explicatives concernant les dénominations variét</w:t>
      </w:r>
      <w:r w:rsidR="0082106D" w:rsidRPr="007B1676">
        <w:rPr>
          <w:lang w:val="fr-FR"/>
        </w:rPr>
        <w:t xml:space="preserve">ales selon la </w:t>
      </w:r>
      <w:r w:rsidR="00FC2AC8" w:rsidRPr="007B1676">
        <w:rPr>
          <w:lang w:val="fr-FR"/>
        </w:rPr>
        <w:t>Convention UPOV</w:t>
      </w:r>
      <w:r w:rsidR="004272AA" w:rsidRPr="007B1676">
        <w:rPr>
          <w:lang w:val="fr-FR"/>
        </w:rPr>
        <w:t xml:space="preserve"> (r</w:t>
      </w:r>
      <w:r w:rsidRPr="007B1676">
        <w:rPr>
          <w:lang w:val="fr-FR"/>
        </w:rPr>
        <w:t>évision) (le CAJ sera invité à envisager un plan pour la révision du document UPOV/INF/12/5)</w:t>
      </w:r>
    </w:p>
    <w:p w:rsidR="00F77FD5" w:rsidRPr="007B1676" w:rsidRDefault="00F77FD5" w:rsidP="005308C7">
      <w:pPr>
        <w:ind w:left="567" w:hanging="567"/>
        <w:rPr>
          <w:lang w:val="fr-FR"/>
        </w:rPr>
      </w:pPr>
    </w:p>
    <w:p w:rsidR="00F77FD5" w:rsidRPr="007B1676" w:rsidRDefault="00F77FD5" w:rsidP="001D140D">
      <w:pPr>
        <w:rPr>
          <w:lang w:val="fr-FR"/>
        </w:rPr>
      </w:pPr>
    </w:p>
    <w:p w:rsidR="00F77FD5" w:rsidRPr="007B1676" w:rsidRDefault="001D140D" w:rsidP="005308C7">
      <w:pPr>
        <w:rPr>
          <w:lang w:val="fr-FR"/>
        </w:rPr>
      </w:pPr>
      <w:r w:rsidRPr="007B1676">
        <w:rPr>
          <w:lang w:val="fr-FR"/>
        </w:rPr>
        <w:fldChar w:fldCharType="begin"/>
      </w:r>
      <w:r w:rsidRPr="007B1676">
        <w:rPr>
          <w:lang w:val="fr-FR"/>
        </w:rPr>
        <w:instrText xml:space="preserve"> AUTONUM  </w:instrText>
      </w:r>
      <w:r w:rsidRPr="007B1676">
        <w:rPr>
          <w:lang w:val="fr-FR"/>
        </w:rPr>
        <w:fldChar w:fldCharType="end"/>
      </w:r>
      <w:r w:rsidRPr="007B1676">
        <w:rPr>
          <w:lang w:val="fr-FR"/>
        </w:rPr>
        <w:tab/>
      </w:r>
      <w:r w:rsidR="0032316B" w:rsidRPr="007B1676">
        <w:rPr>
          <w:lang w:val="fr-FR"/>
        </w:rPr>
        <w:t>Le programme d</w:t>
      </w:r>
      <w:r w:rsidR="00FC2AC8" w:rsidRPr="007B1676">
        <w:rPr>
          <w:lang w:val="fr-FR"/>
        </w:rPr>
        <w:t>’</w:t>
      </w:r>
      <w:r w:rsidR="0032316B" w:rsidRPr="007B1676">
        <w:rPr>
          <w:lang w:val="fr-FR"/>
        </w:rPr>
        <w:t>élaboration de matériel d</w:t>
      </w:r>
      <w:r w:rsidR="00FC2AC8" w:rsidRPr="007B1676">
        <w:rPr>
          <w:lang w:val="fr-FR"/>
        </w:rPr>
        <w:t>’</w:t>
      </w:r>
      <w:r w:rsidR="0032316B" w:rsidRPr="007B1676">
        <w:rPr>
          <w:lang w:val="fr-FR"/>
        </w:rPr>
        <w:t>information sera examiné par</w:t>
      </w:r>
      <w:r w:rsidR="00FC2AC8" w:rsidRPr="007B1676">
        <w:rPr>
          <w:lang w:val="fr-FR"/>
        </w:rPr>
        <w:t xml:space="preserve"> le CAJ</w:t>
      </w:r>
      <w:r w:rsidR="00702AE7" w:rsidRPr="007B1676">
        <w:rPr>
          <w:lang w:val="fr-FR"/>
        </w:rPr>
        <w:t xml:space="preserve"> à sa soixante et onzième session </w:t>
      </w:r>
      <w:r w:rsidR="0032316B" w:rsidRPr="007B1676">
        <w:rPr>
          <w:lang w:val="fr-FR"/>
        </w:rPr>
        <w:t>qui se tiendra à Genève le 2</w:t>
      </w:r>
      <w:r w:rsidR="00FC2AC8" w:rsidRPr="007B1676">
        <w:rPr>
          <w:lang w:val="fr-FR"/>
        </w:rPr>
        <w:t>6 mars 20</w:t>
      </w:r>
      <w:r w:rsidR="0032316B" w:rsidRPr="007B1676">
        <w:rPr>
          <w:lang w:val="fr-FR"/>
        </w:rPr>
        <w:t>15.  Ce programme contient les propositions suivantes :</w:t>
      </w:r>
    </w:p>
    <w:p w:rsidR="00F77FD5" w:rsidRPr="007B1676" w:rsidRDefault="00F77FD5" w:rsidP="005308C7">
      <w:pPr>
        <w:rPr>
          <w:lang w:val="fr-FR"/>
        </w:rPr>
      </w:pPr>
    </w:p>
    <w:p w:rsidR="00F77FD5" w:rsidRPr="007B1676" w:rsidRDefault="00C04163" w:rsidP="00C04163">
      <w:pPr>
        <w:jc w:val="left"/>
        <w:rPr>
          <w:i/>
          <w:lang w:val="fr-FR"/>
        </w:rPr>
      </w:pPr>
      <w:r w:rsidRPr="007B1676">
        <w:rPr>
          <w:i/>
          <w:lang w:val="fr-FR"/>
        </w:rPr>
        <w:t>Notes explicatives</w:t>
      </w:r>
    </w:p>
    <w:p w:rsidR="005308C7" w:rsidRPr="007B1676" w:rsidRDefault="005308C7" w:rsidP="005308C7">
      <w:pPr>
        <w:jc w:val="left"/>
        <w:rPr>
          <w:sz w:val="16"/>
          <w:szCs w:val="16"/>
          <w:lang w:val="fr-FR"/>
        </w:rPr>
      </w:pPr>
    </w:p>
    <w:tbl>
      <w:tblPr>
        <w:tblW w:w="103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741"/>
        <w:gridCol w:w="4717"/>
        <w:gridCol w:w="3912"/>
      </w:tblGrid>
      <w:tr w:rsidR="007B1676" w:rsidRPr="007B1676" w:rsidTr="00EA7B64">
        <w:trPr>
          <w:cantSplit/>
          <w:jc w:val="center"/>
        </w:trPr>
        <w:tc>
          <w:tcPr>
            <w:tcW w:w="1741" w:type="dxa"/>
            <w:shd w:val="clear" w:color="auto" w:fill="D9D9D9"/>
          </w:tcPr>
          <w:p w:rsidR="005308C7" w:rsidRPr="007B1676" w:rsidRDefault="0032316B" w:rsidP="00C04163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z w:val="18"/>
                <w:szCs w:val="18"/>
                <w:lang w:val="fr-FR"/>
              </w:rPr>
              <w:t>Référence</w:t>
            </w:r>
            <w:r w:rsidR="00C04163" w:rsidRPr="007B1676">
              <w:rPr>
                <w:rFonts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4717" w:type="dxa"/>
            <w:shd w:val="clear" w:color="auto" w:fill="D9D9D9"/>
          </w:tcPr>
          <w:p w:rsidR="005308C7" w:rsidRPr="007B1676" w:rsidRDefault="00C04163" w:rsidP="0032316B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z w:val="18"/>
                <w:szCs w:val="18"/>
                <w:lang w:val="fr-FR"/>
              </w:rPr>
              <w:t xml:space="preserve">Notes explicatives </w:t>
            </w:r>
            <w:r w:rsidR="0032316B" w:rsidRPr="007B1676">
              <w:rPr>
                <w:rFonts w:cs="Arial"/>
                <w:sz w:val="18"/>
                <w:szCs w:val="18"/>
                <w:lang w:val="fr-FR"/>
              </w:rPr>
              <w:t>sur</w:t>
            </w:r>
            <w:r w:rsidRPr="007B1676">
              <w:rPr>
                <w:rFonts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3912" w:type="dxa"/>
            <w:shd w:val="clear" w:color="auto" w:fill="D9D9D9"/>
          </w:tcPr>
          <w:p w:rsidR="005308C7" w:rsidRPr="007B1676" w:rsidRDefault="00C04163" w:rsidP="00C04163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z w:val="18"/>
                <w:szCs w:val="18"/>
                <w:lang w:val="fr-FR"/>
              </w:rPr>
              <w:t>État d</w:t>
            </w:r>
            <w:r w:rsidR="00FC2AC8" w:rsidRPr="007B167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7B1676">
              <w:rPr>
                <w:rFonts w:cs="Arial"/>
                <w:sz w:val="18"/>
                <w:szCs w:val="18"/>
                <w:lang w:val="fr-FR"/>
              </w:rPr>
              <w:t>avancement</w:t>
            </w:r>
          </w:p>
        </w:tc>
      </w:tr>
      <w:tr w:rsidR="007B1676" w:rsidRPr="00CB14E0" w:rsidTr="00EA7B64">
        <w:trPr>
          <w:cantSplit/>
          <w:jc w:val="center"/>
        </w:trPr>
        <w:tc>
          <w:tcPr>
            <w:tcW w:w="1741" w:type="dxa"/>
          </w:tcPr>
          <w:p w:rsidR="005308C7" w:rsidRPr="007B1676" w:rsidRDefault="00C04163" w:rsidP="00C04163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z w:val="18"/>
                <w:szCs w:val="18"/>
                <w:lang w:val="fr-FR"/>
              </w:rPr>
              <w:t>UPOV/EXN/CAN</w:t>
            </w:r>
          </w:p>
        </w:tc>
        <w:tc>
          <w:tcPr>
            <w:tcW w:w="4717" w:type="dxa"/>
          </w:tcPr>
          <w:p w:rsidR="005308C7" w:rsidRPr="007B1676" w:rsidRDefault="00C04163" w:rsidP="00C04163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z w:val="18"/>
                <w:szCs w:val="18"/>
                <w:lang w:val="fr-FR"/>
              </w:rPr>
              <w:t>La déchéance de l</w:t>
            </w:r>
            <w:r w:rsidR="00FC2AC8" w:rsidRPr="007B167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7B1676">
              <w:rPr>
                <w:rFonts w:cs="Arial"/>
                <w:sz w:val="18"/>
                <w:szCs w:val="18"/>
                <w:lang w:val="fr-FR"/>
              </w:rPr>
              <w:t xml:space="preserve">obtenteur selon la </w:t>
            </w:r>
            <w:r w:rsidR="00FC2AC8" w:rsidRPr="007B1676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5308C7" w:rsidRPr="007B1676" w:rsidRDefault="005308C7" w:rsidP="0032316B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pacing w:val="-2"/>
                <w:sz w:val="18"/>
                <w:szCs w:val="18"/>
                <w:lang w:val="fr-FR"/>
              </w:rPr>
              <w:t>UPOV/EXN/CAN/2 </w:t>
            </w:r>
            <w:proofErr w:type="spellStart"/>
            <w:r w:rsidRPr="007B1676">
              <w:rPr>
                <w:rFonts w:cs="Arial"/>
                <w:spacing w:val="-2"/>
                <w:sz w:val="18"/>
                <w:szCs w:val="18"/>
                <w:lang w:val="fr-FR"/>
              </w:rPr>
              <w:t>Draft</w:t>
            </w:r>
            <w:proofErr w:type="spellEnd"/>
            <w:r w:rsidRPr="007B1676">
              <w:rPr>
                <w:rFonts w:cs="Arial"/>
                <w:spacing w:val="-2"/>
                <w:sz w:val="18"/>
                <w:szCs w:val="18"/>
                <w:lang w:val="fr-FR"/>
              </w:rPr>
              <w:t> </w:t>
            </w:r>
            <w:r w:rsidR="005F70CA" w:rsidRPr="007B1676">
              <w:rPr>
                <w:rFonts w:cs="Arial"/>
                <w:spacing w:val="-2"/>
                <w:sz w:val="18"/>
                <w:szCs w:val="18"/>
                <w:lang w:val="fr-FR"/>
              </w:rPr>
              <w:t>3 sera examiné par</w:t>
            </w:r>
            <w:r w:rsidR="00FC2AC8" w:rsidRPr="007B167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 le CAJ</w:t>
            </w:r>
            <w:r w:rsidR="005F70CA" w:rsidRPr="007B167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 e</w:t>
            </w:r>
            <w:r w:rsidRPr="007B167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n </w:t>
            </w:r>
            <w:r w:rsidR="00FC2AC8" w:rsidRPr="007B1676">
              <w:rPr>
                <w:rFonts w:cs="Arial"/>
                <w:spacing w:val="-2"/>
                <w:sz w:val="18"/>
                <w:szCs w:val="18"/>
                <w:lang w:val="fr-FR"/>
              </w:rPr>
              <w:t>mars 20</w:t>
            </w:r>
            <w:r w:rsidRPr="007B1676">
              <w:rPr>
                <w:rFonts w:cs="Arial"/>
                <w:spacing w:val="-2"/>
                <w:sz w:val="18"/>
                <w:szCs w:val="18"/>
                <w:lang w:val="fr-FR"/>
              </w:rPr>
              <w:t>15</w:t>
            </w:r>
          </w:p>
        </w:tc>
      </w:tr>
      <w:tr w:rsidR="007B1676" w:rsidRPr="00CB14E0" w:rsidTr="00EA7B64">
        <w:trPr>
          <w:cantSplit/>
          <w:jc w:val="center"/>
        </w:trPr>
        <w:tc>
          <w:tcPr>
            <w:tcW w:w="1741" w:type="dxa"/>
          </w:tcPr>
          <w:p w:rsidR="005308C7" w:rsidRPr="007B1676" w:rsidRDefault="00C04163" w:rsidP="00C04163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z w:val="18"/>
                <w:szCs w:val="18"/>
                <w:lang w:val="fr-FR"/>
              </w:rPr>
              <w:t>UPOV/EXN/EDV</w:t>
            </w:r>
          </w:p>
        </w:tc>
        <w:tc>
          <w:tcPr>
            <w:tcW w:w="4717" w:type="dxa"/>
          </w:tcPr>
          <w:p w:rsidR="005308C7" w:rsidRPr="007B1676" w:rsidRDefault="00C04163" w:rsidP="00C04163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z w:val="18"/>
                <w:szCs w:val="18"/>
                <w:lang w:val="fr-FR"/>
              </w:rPr>
              <w:t>Les variétés essentiellement dérivées selon l</w:t>
            </w:r>
            <w:r w:rsidR="00FC2AC8" w:rsidRPr="007B167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7B1676">
              <w:rPr>
                <w:rFonts w:cs="Arial"/>
                <w:sz w:val="18"/>
                <w:szCs w:val="18"/>
                <w:lang w:val="fr-FR"/>
              </w:rPr>
              <w:t xml:space="preserve">Acte de 1991 de la </w:t>
            </w:r>
            <w:r w:rsidR="00FC2AC8" w:rsidRPr="007B1676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5308C7" w:rsidRPr="007B1676" w:rsidRDefault="00C04163" w:rsidP="0032316B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z w:val="18"/>
                <w:szCs w:val="18"/>
                <w:lang w:val="fr-FR"/>
              </w:rPr>
              <w:t>UPOV/EXN/EDV/2 </w:t>
            </w:r>
            <w:proofErr w:type="spellStart"/>
            <w:r w:rsidRPr="007B1676">
              <w:rPr>
                <w:rFonts w:cs="Arial"/>
                <w:sz w:val="18"/>
                <w:szCs w:val="18"/>
                <w:lang w:val="fr-FR"/>
              </w:rPr>
              <w:t>Draft</w:t>
            </w:r>
            <w:proofErr w:type="spellEnd"/>
            <w:r w:rsidRPr="007B1676">
              <w:rPr>
                <w:rFonts w:cs="Arial"/>
                <w:sz w:val="18"/>
                <w:szCs w:val="18"/>
                <w:lang w:val="fr-FR"/>
              </w:rPr>
              <w:t xml:space="preserve"> 6 </w:t>
            </w:r>
            <w:r w:rsidR="005F70CA" w:rsidRPr="007B1676">
              <w:rPr>
                <w:rFonts w:cs="Arial"/>
                <w:sz w:val="18"/>
                <w:szCs w:val="18"/>
                <w:lang w:val="fr-FR"/>
              </w:rPr>
              <w:t xml:space="preserve">sera </w:t>
            </w:r>
            <w:r w:rsidRPr="007B1676">
              <w:rPr>
                <w:rFonts w:cs="Arial"/>
                <w:sz w:val="18"/>
                <w:szCs w:val="18"/>
                <w:lang w:val="fr-FR"/>
              </w:rPr>
              <w:t>examiné par le CAJ</w:t>
            </w:r>
            <w:r w:rsidR="00F66982" w:rsidRPr="007B1676">
              <w:rPr>
                <w:rFonts w:cs="Arial"/>
                <w:sz w:val="18"/>
                <w:szCs w:val="18"/>
                <w:lang w:val="fr-FR"/>
              </w:rPr>
              <w:noBreakHyphen/>
            </w:r>
            <w:r w:rsidRPr="007B1676">
              <w:rPr>
                <w:rFonts w:cs="Arial"/>
                <w:sz w:val="18"/>
                <w:szCs w:val="18"/>
                <w:lang w:val="fr-FR"/>
              </w:rPr>
              <w:t>AG en octobre 2015</w:t>
            </w:r>
          </w:p>
        </w:tc>
      </w:tr>
      <w:tr w:rsidR="007B1676" w:rsidRPr="00CB14E0" w:rsidTr="00EA7B64">
        <w:trPr>
          <w:cantSplit/>
          <w:jc w:val="center"/>
        </w:trPr>
        <w:tc>
          <w:tcPr>
            <w:tcW w:w="1741" w:type="dxa"/>
          </w:tcPr>
          <w:p w:rsidR="005308C7" w:rsidRPr="007B1676" w:rsidRDefault="00C04163" w:rsidP="00C04163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z w:val="18"/>
                <w:szCs w:val="18"/>
                <w:lang w:val="fr-FR"/>
              </w:rPr>
              <w:t>UPOV/EXN/HRV</w:t>
            </w:r>
          </w:p>
        </w:tc>
        <w:tc>
          <w:tcPr>
            <w:tcW w:w="4717" w:type="dxa"/>
          </w:tcPr>
          <w:p w:rsidR="00F77FD5" w:rsidRPr="007B1676" w:rsidRDefault="00F77FD5" w:rsidP="00F77FD5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z w:val="18"/>
                <w:szCs w:val="18"/>
                <w:lang w:val="fr-FR"/>
              </w:rPr>
              <w:t xml:space="preserve">Les actes </w:t>
            </w:r>
            <w:r w:rsidR="00FC2AC8" w:rsidRPr="007B1676">
              <w:rPr>
                <w:rFonts w:cs="Arial"/>
                <w:sz w:val="18"/>
                <w:szCs w:val="18"/>
                <w:lang w:val="fr-FR"/>
              </w:rPr>
              <w:t>à l’égard</w:t>
            </w:r>
            <w:r w:rsidRPr="007B1676">
              <w:rPr>
                <w:rFonts w:cs="Arial"/>
                <w:sz w:val="18"/>
                <w:szCs w:val="18"/>
                <w:lang w:val="fr-FR"/>
              </w:rPr>
              <w:t xml:space="preserve"> du produit de la récolte selon</w:t>
            </w:r>
            <w:r w:rsidR="007D2C67" w:rsidRPr="007B1676">
              <w:rPr>
                <w:lang w:val="fr-FR"/>
              </w:rPr>
              <w:t xml:space="preserve"> </w:t>
            </w:r>
            <w:r w:rsidR="007D2C67" w:rsidRPr="007B1676">
              <w:rPr>
                <w:rFonts w:cs="Arial"/>
                <w:sz w:val="18"/>
                <w:szCs w:val="18"/>
                <w:lang w:val="fr-FR"/>
              </w:rPr>
              <w:t>l</w:t>
            </w:r>
            <w:r w:rsidR="00FC2AC8" w:rsidRPr="007B1676">
              <w:rPr>
                <w:rFonts w:cs="Arial"/>
                <w:sz w:val="18"/>
                <w:szCs w:val="18"/>
                <w:lang w:val="fr-FR"/>
              </w:rPr>
              <w:t>’</w:t>
            </w:r>
            <w:r w:rsidR="007D2C67" w:rsidRPr="007B1676">
              <w:rPr>
                <w:rFonts w:cs="Arial"/>
                <w:sz w:val="18"/>
                <w:szCs w:val="18"/>
                <w:lang w:val="fr-FR"/>
              </w:rPr>
              <w:t>Acte de</w:t>
            </w:r>
            <w:r w:rsidR="00731AD3" w:rsidRPr="007B1676">
              <w:rPr>
                <w:rFonts w:cs="Arial"/>
                <w:sz w:val="18"/>
                <w:szCs w:val="18"/>
                <w:lang w:val="fr-FR"/>
              </w:rPr>
              <w:t> </w:t>
            </w:r>
            <w:r w:rsidR="007D2C67" w:rsidRPr="007B1676">
              <w:rPr>
                <w:rFonts w:cs="Arial"/>
                <w:sz w:val="18"/>
                <w:szCs w:val="18"/>
                <w:lang w:val="fr-FR"/>
              </w:rPr>
              <w:t>1991 de la</w:t>
            </w:r>
            <w:r w:rsidRPr="007B1676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C2AC8" w:rsidRPr="007B1676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  <w:p w:rsidR="00F77FD5" w:rsidRPr="007B1676" w:rsidRDefault="00F77FD5" w:rsidP="00EA7B64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3912" w:type="dxa"/>
          </w:tcPr>
          <w:p w:rsidR="005308C7" w:rsidRPr="007B1676" w:rsidRDefault="0032316B" w:rsidP="0032316B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iCs/>
                <w:sz w:val="18"/>
                <w:szCs w:val="18"/>
                <w:lang w:val="fr-FR"/>
              </w:rPr>
              <w:t>Arrêt de l</w:t>
            </w:r>
            <w:r w:rsidR="00FC2AC8" w:rsidRPr="007B1676">
              <w:rPr>
                <w:rFonts w:cs="Arial"/>
                <w:iCs/>
                <w:sz w:val="18"/>
                <w:szCs w:val="18"/>
                <w:lang w:val="fr-FR"/>
              </w:rPr>
              <w:t>’</w:t>
            </w:r>
            <w:r w:rsidRPr="007B1676">
              <w:rPr>
                <w:rFonts w:cs="Arial"/>
                <w:iCs/>
                <w:sz w:val="18"/>
                <w:szCs w:val="18"/>
                <w:lang w:val="fr-FR"/>
              </w:rPr>
              <w:t xml:space="preserve">élaboration </w:t>
            </w:r>
            <w:proofErr w:type="gramStart"/>
            <w:r w:rsidRPr="007B1676">
              <w:rPr>
                <w:rFonts w:cs="Arial"/>
                <w:iCs/>
                <w:sz w:val="18"/>
                <w:szCs w:val="18"/>
                <w:lang w:val="fr-FR"/>
              </w:rPr>
              <w:t>de UPOV/EXN/HRV/2</w:t>
            </w:r>
            <w:proofErr w:type="gramEnd"/>
          </w:p>
        </w:tc>
      </w:tr>
      <w:tr w:rsidR="007B1676" w:rsidRPr="00CB14E0" w:rsidTr="00EA7B64">
        <w:trPr>
          <w:cantSplit/>
          <w:jc w:val="center"/>
        </w:trPr>
        <w:tc>
          <w:tcPr>
            <w:tcW w:w="1741" w:type="dxa"/>
          </w:tcPr>
          <w:p w:rsidR="005308C7" w:rsidRPr="007B1676" w:rsidRDefault="00C04163" w:rsidP="00C04163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z w:val="18"/>
                <w:szCs w:val="18"/>
                <w:lang w:val="fr-FR"/>
              </w:rPr>
              <w:t>UPOV/EXN/NUL</w:t>
            </w:r>
          </w:p>
        </w:tc>
        <w:tc>
          <w:tcPr>
            <w:tcW w:w="4717" w:type="dxa"/>
          </w:tcPr>
          <w:p w:rsidR="005308C7" w:rsidRPr="007B1676" w:rsidRDefault="00C04163" w:rsidP="00C04163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z w:val="18"/>
                <w:szCs w:val="18"/>
                <w:lang w:val="fr-FR"/>
              </w:rPr>
              <w:t>La nullité du droit d</w:t>
            </w:r>
            <w:r w:rsidR="00FC2AC8" w:rsidRPr="007B167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7B1676">
              <w:rPr>
                <w:rFonts w:cs="Arial"/>
                <w:sz w:val="18"/>
                <w:szCs w:val="18"/>
                <w:lang w:val="fr-FR"/>
              </w:rPr>
              <w:t xml:space="preserve">obtenteur selon la </w:t>
            </w:r>
            <w:r w:rsidR="00FC2AC8" w:rsidRPr="007B1676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5308C7" w:rsidRPr="007B1676" w:rsidRDefault="005308C7" w:rsidP="008F11A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pacing w:val="-2"/>
                <w:sz w:val="18"/>
                <w:szCs w:val="18"/>
                <w:lang w:val="fr-FR"/>
              </w:rPr>
              <w:t>UPOV/EXN/NUL/2 </w:t>
            </w:r>
            <w:proofErr w:type="spellStart"/>
            <w:r w:rsidRPr="007B1676">
              <w:rPr>
                <w:rFonts w:cs="Arial"/>
                <w:spacing w:val="-2"/>
                <w:sz w:val="18"/>
                <w:szCs w:val="18"/>
                <w:lang w:val="fr-FR"/>
              </w:rPr>
              <w:t>Draft</w:t>
            </w:r>
            <w:proofErr w:type="spellEnd"/>
            <w:r w:rsidRPr="007B167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 3 </w:t>
            </w:r>
            <w:r w:rsidR="005F70CA" w:rsidRPr="007B1676">
              <w:rPr>
                <w:rFonts w:cs="Arial"/>
                <w:spacing w:val="-2"/>
                <w:sz w:val="18"/>
                <w:szCs w:val="18"/>
                <w:lang w:val="fr-FR"/>
              </w:rPr>
              <w:t>sera examiné par</w:t>
            </w:r>
            <w:r w:rsidR="00FC2AC8" w:rsidRPr="007B167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 le CAJ</w:t>
            </w:r>
            <w:r w:rsidR="005F70CA" w:rsidRPr="007B167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 en </w:t>
            </w:r>
            <w:r w:rsidR="00FC2AC8" w:rsidRPr="007B1676">
              <w:rPr>
                <w:rFonts w:cs="Arial"/>
                <w:spacing w:val="-2"/>
                <w:sz w:val="18"/>
                <w:szCs w:val="18"/>
                <w:lang w:val="fr-FR"/>
              </w:rPr>
              <w:t>mars 20</w:t>
            </w:r>
            <w:r w:rsidR="005F70CA" w:rsidRPr="007B1676">
              <w:rPr>
                <w:rFonts w:cs="Arial"/>
                <w:spacing w:val="-2"/>
                <w:sz w:val="18"/>
                <w:szCs w:val="18"/>
                <w:lang w:val="fr-FR"/>
              </w:rPr>
              <w:t>15</w:t>
            </w:r>
          </w:p>
        </w:tc>
      </w:tr>
      <w:tr w:rsidR="007B1676" w:rsidRPr="00CB14E0" w:rsidTr="00EA7B64">
        <w:trPr>
          <w:cantSplit/>
          <w:jc w:val="center"/>
        </w:trPr>
        <w:tc>
          <w:tcPr>
            <w:tcW w:w="1741" w:type="dxa"/>
            <w:tcBorders>
              <w:bottom w:val="single" w:sz="2" w:space="0" w:color="auto"/>
            </w:tcBorders>
          </w:tcPr>
          <w:p w:rsidR="005308C7" w:rsidRPr="007B1676" w:rsidRDefault="00C04163" w:rsidP="00C04163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z w:val="18"/>
                <w:szCs w:val="18"/>
                <w:lang w:val="fr-FR"/>
              </w:rPr>
              <w:t>UPOV/EXN/PPM</w:t>
            </w:r>
          </w:p>
        </w:tc>
        <w:tc>
          <w:tcPr>
            <w:tcW w:w="4717" w:type="dxa"/>
            <w:tcBorders>
              <w:bottom w:val="single" w:sz="2" w:space="0" w:color="auto"/>
            </w:tcBorders>
          </w:tcPr>
          <w:p w:rsidR="005308C7" w:rsidRPr="007B1676" w:rsidRDefault="00F77FD5" w:rsidP="00EA7B64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z w:val="18"/>
                <w:szCs w:val="18"/>
                <w:lang w:val="fr-FR"/>
              </w:rPr>
              <w:t>Matériel de reproduction ou de multiplication selon l</w:t>
            </w:r>
            <w:r w:rsidR="00FC2AC8" w:rsidRPr="007B167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7B1676">
              <w:rPr>
                <w:rFonts w:cs="Arial"/>
                <w:sz w:val="18"/>
                <w:szCs w:val="18"/>
                <w:lang w:val="fr-FR"/>
              </w:rPr>
              <w:t>Acte de</w:t>
            </w:r>
            <w:r w:rsidR="00731AD3" w:rsidRPr="007B1676">
              <w:rPr>
                <w:rFonts w:cs="Arial"/>
                <w:sz w:val="18"/>
                <w:szCs w:val="18"/>
                <w:lang w:val="fr-FR"/>
              </w:rPr>
              <w:t> </w:t>
            </w:r>
            <w:r w:rsidRPr="007B1676">
              <w:rPr>
                <w:rFonts w:cs="Arial"/>
                <w:sz w:val="18"/>
                <w:szCs w:val="18"/>
                <w:lang w:val="fr-FR"/>
              </w:rPr>
              <w:t xml:space="preserve">1991 de la </w:t>
            </w:r>
            <w:r w:rsidR="00FC2AC8" w:rsidRPr="007B1676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  <w:tcBorders>
              <w:bottom w:val="single" w:sz="2" w:space="0" w:color="auto"/>
            </w:tcBorders>
          </w:tcPr>
          <w:p w:rsidR="005308C7" w:rsidRPr="007B1676" w:rsidRDefault="005308C7" w:rsidP="008F11A2">
            <w:pPr>
              <w:jc w:val="left"/>
              <w:rPr>
                <w:rFonts w:cs="Arial"/>
                <w:spacing w:val="-2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pacing w:val="-2"/>
                <w:sz w:val="18"/>
                <w:szCs w:val="18"/>
                <w:lang w:val="fr-FR"/>
              </w:rPr>
              <w:t>UPOV/EXN/PPM/1 </w:t>
            </w:r>
            <w:proofErr w:type="spellStart"/>
            <w:r w:rsidRPr="007B1676">
              <w:rPr>
                <w:rFonts w:cs="Arial"/>
                <w:spacing w:val="-2"/>
                <w:sz w:val="18"/>
                <w:szCs w:val="18"/>
                <w:lang w:val="fr-FR"/>
              </w:rPr>
              <w:t>Draft</w:t>
            </w:r>
            <w:proofErr w:type="spellEnd"/>
            <w:r w:rsidRPr="007B167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 4 </w:t>
            </w:r>
            <w:r w:rsidR="005F70CA" w:rsidRPr="007B1676">
              <w:rPr>
                <w:rFonts w:cs="Arial"/>
                <w:spacing w:val="-2"/>
                <w:sz w:val="18"/>
                <w:szCs w:val="18"/>
                <w:lang w:val="fr-FR"/>
              </w:rPr>
              <w:t>sera examiné par</w:t>
            </w:r>
            <w:r w:rsidR="00FC2AC8" w:rsidRPr="007B167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 le CAJ</w:t>
            </w:r>
            <w:r w:rsidR="005F70CA" w:rsidRPr="007B167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 en </w:t>
            </w:r>
            <w:r w:rsidR="00FC2AC8" w:rsidRPr="007B1676">
              <w:rPr>
                <w:rFonts w:cs="Arial"/>
                <w:spacing w:val="-2"/>
                <w:sz w:val="18"/>
                <w:szCs w:val="18"/>
                <w:lang w:val="fr-FR"/>
              </w:rPr>
              <w:t>mars 20</w:t>
            </w:r>
            <w:r w:rsidR="005F70CA" w:rsidRPr="007B1676">
              <w:rPr>
                <w:rFonts w:cs="Arial"/>
                <w:spacing w:val="-2"/>
                <w:sz w:val="18"/>
                <w:szCs w:val="18"/>
                <w:lang w:val="fr-FR"/>
              </w:rPr>
              <w:t>15</w:t>
            </w:r>
          </w:p>
        </w:tc>
      </w:tr>
      <w:tr w:rsidR="005308C7" w:rsidRPr="00CB14E0" w:rsidTr="00EA7B64">
        <w:trPr>
          <w:cantSplit/>
          <w:jc w:val="center"/>
        </w:trPr>
        <w:tc>
          <w:tcPr>
            <w:tcW w:w="1741" w:type="dxa"/>
          </w:tcPr>
          <w:p w:rsidR="005308C7" w:rsidRPr="007B1676" w:rsidRDefault="00C04163" w:rsidP="00C04163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z w:val="18"/>
                <w:szCs w:val="18"/>
                <w:lang w:val="fr-FR"/>
              </w:rPr>
              <w:t>UPOV/EXN/PRP</w:t>
            </w:r>
          </w:p>
        </w:tc>
        <w:tc>
          <w:tcPr>
            <w:tcW w:w="4717" w:type="dxa"/>
          </w:tcPr>
          <w:p w:rsidR="005308C7" w:rsidRPr="007B1676" w:rsidRDefault="00C04163" w:rsidP="00C04163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z w:val="18"/>
                <w:szCs w:val="18"/>
                <w:lang w:val="fr-FR"/>
              </w:rPr>
              <w:t xml:space="preserve">La protection provisoire selon la </w:t>
            </w:r>
            <w:r w:rsidR="00FC2AC8" w:rsidRPr="007B1676">
              <w:rPr>
                <w:rFonts w:cs="Arial"/>
                <w:sz w:val="18"/>
                <w:szCs w:val="18"/>
                <w:lang w:val="fr-FR"/>
              </w:rPr>
              <w:t>Convention UPOV</w:t>
            </w:r>
          </w:p>
        </w:tc>
        <w:tc>
          <w:tcPr>
            <w:tcW w:w="3912" w:type="dxa"/>
          </w:tcPr>
          <w:p w:rsidR="005308C7" w:rsidRPr="007B1676" w:rsidRDefault="005F70CA" w:rsidP="008F11A2">
            <w:pPr>
              <w:jc w:val="left"/>
              <w:rPr>
                <w:rFonts w:cs="Arial"/>
                <w:spacing w:val="-2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pacing w:val="-2"/>
                <w:sz w:val="18"/>
                <w:szCs w:val="18"/>
                <w:lang w:val="fr-FR"/>
              </w:rPr>
              <w:t>UPOV/EXN/PRP/2 </w:t>
            </w:r>
            <w:proofErr w:type="spellStart"/>
            <w:r w:rsidRPr="007B1676">
              <w:rPr>
                <w:rFonts w:cs="Arial"/>
                <w:spacing w:val="-2"/>
                <w:sz w:val="18"/>
                <w:szCs w:val="18"/>
                <w:lang w:val="fr-FR"/>
              </w:rPr>
              <w:t>Draft</w:t>
            </w:r>
            <w:proofErr w:type="spellEnd"/>
            <w:r w:rsidRPr="007B1676">
              <w:rPr>
                <w:rFonts w:cs="Arial"/>
                <w:spacing w:val="-2"/>
                <w:sz w:val="18"/>
                <w:szCs w:val="18"/>
                <w:lang w:val="fr-FR"/>
              </w:rPr>
              <w:t> 3</w:t>
            </w:r>
            <w:r w:rsidR="005308C7" w:rsidRPr="007B167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7B1676">
              <w:rPr>
                <w:rFonts w:cs="Arial"/>
                <w:spacing w:val="-2"/>
                <w:sz w:val="18"/>
                <w:szCs w:val="18"/>
                <w:lang w:val="fr-FR"/>
              </w:rPr>
              <w:t>sera examiné par</w:t>
            </w:r>
            <w:r w:rsidR="00FC2AC8" w:rsidRPr="007B167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 le CAJ</w:t>
            </w:r>
            <w:r w:rsidRPr="007B1676">
              <w:rPr>
                <w:rFonts w:cs="Arial"/>
                <w:spacing w:val="-2"/>
                <w:sz w:val="18"/>
                <w:szCs w:val="18"/>
                <w:lang w:val="fr-FR"/>
              </w:rPr>
              <w:t xml:space="preserve"> en </w:t>
            </w:r>
            <w:r w:rsidR="00FC2AC8" w:rsidRPr="007B1676">
              <w:rPr>
                <w:rFonts w:cs="Arial"/>
                <w:spacing w:val="-2"/>
                <w:sz w:val="18"/>
                <w:szCs w:val="18"/>
                <w:lang w:val="fr-FR"/>
              </w:rPr>
              <w:t>mars 20</w:t>
            </w:r>
            <w:r w:rsidRPr="007B1676">
              <w:rPr>
                <w:rFonts w:cs="Arial"/>
                <w:spacing w:val="-2"/>
                <w:sz w:val="18"/>
                <w:szCs w:val="18"/>
                <w:lang w:val="fr-FR"/>
              </w:rPr>
              <w:t>15</w:t>
            </w:r>
          </w:p>
        </w:tc>
      </w:tr>
    </w:tbl>
    <w:p w:rsidR="00F77FD5" w:rsidRPr="007B1676" w:rsidRDefault="00F77FD5" w:rsidP="005308C7">
      <w:pPr>
        <w:rPr>
          <w:lang w:val="fr-FR"/>
        </w:rPr>
      </w:pPr>
    </w:p>
    <w:p w:rsidR="00F77FD5" w:rsidRPr="007B1676" w:rsidRDefault="00C04163" w:rsidP="00C04163">
      <w:pPr>
        <w:rPr>
          <w:i/>
          <w:lang w:val="fr-FR"/>
        </w:rPr>
      </w:pPr>
      <w:r w:rsidRPr="007B1676">
        <w:rPr>
          <w:i/>
          <w:lang w:val="fr-FR"/>
        </w:rPr>
        <w:t>Documents d</w:t>
      </w:r>
      <w:r w:rsidR="00FC2AC8" w:rsidRPr="007B1676">
        <w:rPr>
          <w:i/>
          <w:lang w:val="fr-FR"/>
        </w:rPr>
        <w:t>’</w:t>
      </w:r>
      <w:r w:rsidRPr="007B1676">
        <w:rPr>
          <w:i/>
          <w:lang w:val="fr-FR"/>
        </w:rPr>
        <w:t>information :</w:t>
      </w:r>
    </w:p>
    <w:p w:rsidR="005308C7" w:rsidRPr="007B1676" w:rsidRDefault="005308C7" w:rsidP="005308C7">
      <w:pPr>
        <w:rPr>
          <w:lang w:val="fr-FR"/>
        </w:rPr>
      </w:pPr>
    </w:p>
    <w:tbl>
      <w:tblPr>
        <w:tblW w:w="1048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758"/>
        <w:gridCol w:w="4807"/>
        <w:gridCol w:w="3920"/>
      </w:tblGrid>
      <w:tr w:rsidR="007B1676" w:rsidRPr="007B1676" w:rsidTr="00EA7B64">
        <w:trPr>
          <w:cantSplit/>
          <w:jc w:val="center"/>
        </w:trPr>
        <w:tc>
          <w:tcPr>
            <w:tcW w:w="175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308C7" w:rsidRPr="007B1676" w:rsidRDefault="008F11A2" w:rsidP="008F11A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proofErr w:type="gramStart"/>
            <w:r w:rsidRPr="007B1676">
              <w:rPr>
                <w:rFonts w:cs="Arial"/>
                <w:sz w:val="18"/>
                <w:szCs w:val="18"/>
                <w:lang w:val="fr-FR"/>
              </w:rPr>
              <w:t>Références</w:t>
            </w:r>
            <w:proofErr w:type="gramEnd"/>
            <w:r w:rsidRPr="007B1676">
              <w:rPr>
                <w:rFonts w:cs="Arial"/>
                <w:sz w:val="18"/>
                <w:szCs w:val="18"/>
                <w:lang w:val="fr-FR"/>
              </w:rPr>
              <w:t xml:space="preserve"> les plus récentes :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308C7" w:rsidRPr="007B1676" w:rsidRDefault="00C04163" w:rsidP="00C04163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z w:val="18"/>
                <w:szCs w:val="18"/>
                <w:lang w:val="fr-FR"/>
              </w:rPr>
              <w:t>Documents d</w:t>
            </w:r>
            <w:r w:rsidR="00FC2AC8" w:rsidRPr="007B167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7B1676">
              <w:rPr>
                <w:rFonts w:cs="Arial"/>
                <w:sz w:val="18"/>
                <w:szCs w:val="18"/>
                <w:lang w:val="fr-FR"/>
              </w:rPr>
              <w:t>information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5308C7" w:rsidRPr="007B1676" w:rsidRDefault="00C04163" w:rsidP="00C04163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z w:val="18"/>
                <w:szCs w:val="18"/>
                <w:lang w:val="fr-FR"/>
              </w:rPr>
              <w:t>État d</w:t>
            </w:r>
            <w:r w:rsidR="00FC2AC8" w:rsidRPr="007B167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7B1676">
              <w:rPr>
                <w:rFonts w:cs="Arial"/>
                <w:sz w:val="18"/>
                <w:szCs w:val="18"/>
                <w:lang w:val="fr-FR"/>
              </w:rPr>
              <w:t>avancement</w:t>
            </w:r>
          </w:p>
        </w:tc>
      </w:tr>
      <w:tr w:rsidR="007B1676" w:rsidRPr="00CB14E0" w:rsidTr="00EA7B64">
        <w:trPr>
          <w:cantSplit/>
          <w:jc w:val="center"/>
        </w:trPr>
        <w:tc>
          <w:tcPr>
            <w:tcW w:w="1758" w:type="dxa"/>
          </w:tcPr>
          <w:p w:rsidR="005308C7" w:rsidRPr="007B1676" w:rsidRDefault="00C04163" w:rsidP="00C04163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z w:val="18"/>
                <w:szCs w:val="18"/>
                <w:lang w:val="fr-FR"/>
              </w:rPr>
              <w:t>UPOV/INF</w:t>
            </w:r>
            <w:r w:rsidR="00F66982" w:rsidRPr="007B1676">
              <w:rPr>
                <w:rFonts w:cs="Arial"/>
                <w:sz w:val="18"/>
                <w:szCs w:val="18"/>
                <w:lang w:val="fr-FR"/>
              </w:rPr>
              <w:noBreakHyphen/>
            </w:r>
            <w:r w:rsidRPr="007B1676">
              <w:rPr>
                <w:rFonts w:cs="Arial"/>
                <w:sz w:val="18"/>
                <w:szCs w:val="18"/>
                <w:lang w:val="fr-FR"/>
              </w:rPr>
              <w:t>EXN</w:t>
            </w:r>
          </w:p>
        </w:tc>
        <w:tc>
          <w:tcPr>
            <w:tcW w:w="4807" w:type="dxa"/>
          </w:tcPr>
          <w:p w:rsidR="005308C7" w:rsidRPr="007B1676" w:rsidRDefault="00C04163" w:rsidP="00C04163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z w:val="18"/>
                <w:szCs w:val="18"/>
                <w:lang w:val="fr-FR"/>
              </w:rPr>
              <w:t>Liste des documents UPOV/INF</w:t>
            </w:r>
            <w:r w:rsidR="00F66982" w:rsidRPr="007B1676">
              <w:rPr>
                <w:rFonts w:cs="Arial"/>
                <w:sz w:val="18"/>
                <w:szCs w:val="18"/>
                <w:lang w:val="fr-FR"/>
              </w:rPr>
              <w:noBreakHyphen/>
            </w:r>
            <w:r w:rsidRPr="007B1676">
              <w:rPr>
                <w:rFonts w:cs="Arial"/>
                <w:sz w:val="18"/>
                <w:szCs w:val="18"/>
                <w:lang w:val="fr-FR"/>
              </w:rPr>
              <w:t>EXN et date de la version la plus récente de ces documents</w:t>
            </w:r>
          </w:p>
        </w:tc>
        <w:tc>
          <w:tcPr>
            <w:tcW w:w="3920" w:type="dxa"/>
          </w:tcPr>
          <w:p w:rsidR="005308C7" w:rsidRPr="007B1676" w:rsidRDefault="005308C7" w:rsidP="008F11A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z w:val="18"/>
                <w:szCs w:val="18"/>
                <w:lang w:val="fr-FR"/>
              </w:rPr>
              <w:t>UPOV/INF</w:t>
            </w:r>
            <w:r w:rsidR="00F66982" w:rsidRPr="007B1676">
              <w:rPr>
                <w:rFonts w:cs="Arial"/>
                <w:sz w:val="18"/>
                <w:szCs w:val="18"/>
                <w:lang w:val="fr-FR"/>
              </w:rPr>
              <w:noBreakHyphen/>
            </w:r>
            <w:r w:rsidRPr="007B1676">
              <w:rPr>
                <w:rFonts w:cs="Arial"/>
                <w:sz w:val="18"/>
                <w:szCs w:val="18"/>
                <w:lang w:val="fr-FR"/>
              </w:rPr>
              <w:t xml:space="preserve">EXN/7 </w:t>
            </w:r>
            <w:r w:rsidR="005F70CA" w:rsidRPr="007B1676">
              <w:rPr>
                <w:rFonts w:cs="Arial"/>
                <w:sz w:val="18"/>
                <w:szCs w:val="18"/>
                <w:lang w:val="fr-FR"/>
              </w:rPr>
              <w:t xml:space="preserve">sera examiné par le Conseil en </w:t>
            </w:r>
            <w:r w:rsidR="00FC2AC8" w:rsidRPr="007B1676">
              <w:rPr>
                <w:rFonts w:cs="Arial"/>
                <w:sz w:val="18"/>
                <w:szCs w:val="18"/>
                <w:lang w:val="fr-FR"/>
              </w:rPr>
              <w:t>mars 20</w:t>
            </w:r>
            <w:r w:rsidR="005F70CA" w:rsidRPr="007B1676">
              <w:rPr>
                <w:rFonts w:cs="Arial"/>
                <w:sz w:val="18"/>
                <w:szCs w:val="18"/>
                <w:lang w:val="fr-FR"/>
              </w:rPr>
              <w:t>15</w:t>
            </w:r>
          </w:p>
        </w:tc>
      </w:tr>
      <w:tr w:rsidR="007B1676" w:rsidRPr="00CB14E0" w:rsidTr="00EA7B64">
        <w:trPr>
          <w:cantSplit/>
          <w:jc w:val="center"/>
        </w:trPr>
        <w:tc>
          <w:tcPr>
            <w:tcW w:w="1758" w:type="dxa"/>
          </w:tcPr>
          <w:p w:rsidR="005308C7" w:rsidRPr="007B1676" w:rsidRDefault="00C04163" w:rsidP="00C04163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z w:val="18"/>
                <w:szCs w:val="18"/>
                <w:lang w:val="fr-FR"/>
              </w:rPr>
              <w:t>UPOV/INF/4/</w:t>
            </w:r>
          </w:p>
        </w:tc>
        <w:tc>
          <w:tcPr>
            <w:tcW w:w="4807" w:type="dxa"/>
          </w:tcPr>
          <w:p w:rsidR="005308C7" w:rsidRPr="007B1676" w:rsidRDefault="00FB5553" w:rsidP="00C04163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z w:val="18"/>
                <w:szCs w:val="18"/>
                <w:lang w:val="fr-FR"/>
              </w:rPr>
              <w:t>R</w:t>
            </w:r>
            <w:r w:rsidR="00C04163" w:rsidRPr="007B1676">
              <w:rPr>
                <w:rFonts w:cs="Arial"/>
                <w:sz w:val="18"/>
                <w:szCs w:val="18"/>
                <w:lang w:val="fr-FR"/>
              </w:rPr>
              <w:t>èglement financie</w:t>
            </w:r>
            <w:r w:rsidR="008F11A2" w:rsidRPr="007B1676">
              <w:rPr>
                <w:rFonts w:cs="Arial"/>
                <w:sz w:val="18"/>
                <w:szCs w:val="18"/>
                <w:lang w:val="fr-FR"/>
              </w:rPr>
              <w:t>r et règlement d</w:t>
            </w:r>
            <w:r w:rsidR="00FC2AC8" w:rsidRPr="007B1676">
              <w:rPr>
                <w:rFonts w:cs="Arial"/>
                <w:sz w:val="18"/>
                <w:szCs w:val="18"/>
                <w:lang w:val="fr-FR"/>
              </w:rPr>
              <w:t>’</w:t>
            </w:r>
            <w:r w:rsidR="008F11A2" w:rsidRPr="007B1676">
              <w:rPr>
                <w:rFonts w:cs="Arial"/>
                <w:sz w:val="18"/>
                <w:szCs w:val="18"/>
                <w:lang w:val="fr-FR"/>
              </w:rPr>
              <w:t>exécution du R</w:t>
            </w:r>
            <w:r w:rsidR="00C04163" w:rsidRPr="007B1676">
              <w:rPr>
                <w:rFonts w:cs="Arial"/>
                <w:sz w:val="18"/>
                <w:szCs w:val="18"/>
                <w:lang w:val="fr-FR"/>
              </w:rPr>
              <w:t>èglement financier de l</w:t>
            </w:r>
            <w:r w:rsidR="00FC2AC8" w:rsidRPr="007B1676">
              <w:rPr>
                <w:rFonts w:cs="Arial"/>
                <w:sz w:val="18"/>
                <w:szCs w:val="18"/>
                <w:lang w:val="fr-FR"/>
              </w:rPr>
              <w:t>’</w:t>
            </w:r>
            <w:r w:rsidR="00C04163" w:rsidRPr="007B1676">
              <w:rPr>
                <w:rFonts w:cs="Arial"/>
                <w:sz w:val="18"/>
                <w:szCs w:val="18"/>
                <w:lang w:val="fr-FR"/>
              </w:rPr>
              <w:t>UPOV</w:t>
            </w:r>
          </w:p>
        </w:tc>
        <w:tc>
          <w:tcPr>
            <w:tcW w:w="3920" w:type="dxa"/>
          </w:tcPr>
          <w:p w:rsidR="005308C7" w:rsidRPr="007B1676" w:rsidRDefault="005308C7" w:rsidP="008F11A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z w:val="18"/>
                <w:szCs w:val="18"/>
                <w:lang w:val="fr-FR"/>
              </w:rPr>
              <w:t xml:space="preserve">UPOV/INF/4/4 </w:t>
            </w:r>
            <w:r w:rsidR="005F70CA" w:rsidRPr="007B1676">
              <w:rPr>
                <w:rFonts w:cs="Arial"/>
                <w:sz w:val="18"/>
                <w:szCs w:val="18"/>
                <w:lang w:val="fr-FR"/>
              </w:rPr>
              <w:t xml:space="preserve">sera examiné par le Conseil en </w:t>
            </w:r>
            <w:r w:rsidR="00FC2AC8" w:rsidRPr="007B1676">
              <w:rPr>
                <w:rFonts w:cs="Arial"/>
                <w:sz w:val="18"/>
                <w:szCs w:val="18"/>
                <w:lang w:val="fr-FR"/>
              </w:rPr>
              <w:t>mars 20</w:t>
            </w:r>
            <w:r w:rsidR="005F70CA" w:rsidRPr="007B1676">
              <w:rPr>
                <w:rFonts w:cs="Arial"/>
                <w:sz w:val="18"/>
                <w:szCs w:val="18"/>
                <w:lang w:val="fr-FR"/>
              </w:rPr>
              <w:t>15</w:t>
            </w:r>
          </w:p>
        </w:tc>
      </w:tr>
      <w:tr w:rsidR="007B1676" w:rsidRPr="00CB14E0" w:rsidTr="00EA7B64">
        <w:trPr>
          <w:cantSplit/>
          <w:jc w:val="center"/>
        </w:trPr>
        <w:tc>
          <w:tcPr>
            <w:tcW w:w="1758" w:type="dxa"/>
          </w:tcPr>
          <w:p w:rsidR="005308C7" w:rsidRPr="007B1676" w:rsidRDefault="00C04163" w:rsidP="00C04163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z w:val="18"/>
                <w:szCs w:val="18"/>
                <w:lang w:val="fr-FR"/>
              </w:rPr>
              <w:t>UPOV/INF/15</w:t>
            </w:r>
          </w:p>
        </w:tc>
        <w:tc>
          <w:tcPr>
            <w:tcW w:w="4807" w:type="dxa"/>
          </w:tcPr>
          <w:p w:rsidR="005308C7" w:rsidRPr="007B1676" w:rsidRDefault="00C04163" w:rsidP="00C04163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z w:val="18"/>
                <w:szCs w:val="18"/>
                <w:lang w:val="fr-FR"/>
              </w:rPr>
              <w:t>Document d</w:t>
            </w:r>
            <w:r w:rsidR="00FC2AC8" w:rsidRPr="007B167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7B1676">
              <w:rPr>
                <w:rFonts w:cs="Arial"/>
                <w:sz w:val="18"/>
                <w:szCs w:val="18"/>
                <w:lang w:val="fr-FR"/>
              </w:rPr>
              <w:t>orientation destiné aux membres de l</w:t>
            </w:r>
            <w:r w:rsidR="00FC2AC8" w:rsidRPr="007B1676">
              <w:rPr>
                <w:rFonts w:cs="Arial"/>
                <w:sz w:val="18"/>
                <w:szCs w:val="18"/>
                <w:lang w:val="fr-FR"/>
              </w:rPr>
              <w:t>’</w:t>
            </w:r>
            <w:r w:rsidRPr="007B1676">
              <w:rPr>
                <w:rFonts w:cs="Arial"/>
                <w:sz w:val="18"/>
                <w:szCs w:val="18"/>
                <w:lang w:val="fr-FR"/>
              </w:rPr>
              <w:t>UPOV concernant les obligations en cours et les notifications connexes</w:t>
            </w:r>
          </w:p>
        </w:tc>
        <w:tc>
          <w:tcPr>
            <w:tcW w:w="3920" w:type="dxa"/>
          </w:tcPr>
          <w:p w:rsidR="005308C7" w:rsidRPr="007B1676" w:rsidRDefault="005F70CA" w:rsidP="008F11A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z w:val="18"/>
                <w:szCs w:val="18"/>
                <w:lang w:val="fr-FR"/>
              </w:rPr>
              <w:t xml:space="preserve">UPOV/INF/15/3 sera examiné par le Conseil en </w:t>
            </w:r>
            <w:r w:rsidR="00FC2AC8" w:rsidRPr="007B1676">
              <w:rPr>
                <w:rFonts w:cs="Arial"/>
                <w:sz w:val="18"/>
                <w:szCs w:val="18"/>
                <w:lang w:val="fr-FR"/>
              </w:rPr>
              <w:t>mars 20</w:t>
            </w:r>
            <w:r w:rsidRPr="007B1676">
              <w:rPr>
                <w:rFonts w:cs="Arial"/>
                <w:sz w:val="18"/>
                <w:szCs w:val="18"/>
                <w:lang w:val="fr-FR"/>
              </w:rPr>
              <w:t>15</w:t>
            </w:r>
          </w:p>
        </w:tc>
      </w:tr>
      <w:tr w:rsidR="007B1676" w:rsidRPr="00CB14E0" w:rsidTr="00EA7B64">
        <w:trPr>
          <w:cantSplit/>
          <w:jc w:val="center"/>
        </w:trPr>
        <w:tc>
          <w:tcPr>
            <w:tcW w:w="1758" w:type="dxa"/>
          </w:tcPr>
          <w:p w:rsidR="005308C7" w:rsidRPr="007B1676" w:rsidRDefault="0085250E" w:rsidP="00C04163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z w:val="18"/>
                <w:szCs w:val="18"/>
                <w:lang w:val="fr-FR"/>
              </w:rPr>
              <w:lastRenderedPageBreak/>
              <w:t>UPOV/INF/16</w:t>
            </w:r>
          </w:p>
        </w:tc>
        <w:tc>
          <w:tcPr>
            <w:tcW w:w="4807" w:type="dxa"/>
          </w:tcPr>
          <w:p w:rsidR="005308C7" w:rsidRPr="007B1676" w:rsidRDefault="00C04163" w:rsidP="00C04163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z w:val="18"/>
                <w:szCs w:val="18"/>
                <w:lang w:val="fr-FR"/>
              </w:rPr>
              <w:t>Logiciels échangeables</w:t>
            </w:r>
          </w:p>
        </w:tc>
        <w:tc>
          <w:tcPr>
            <w:tcW w:w="3920" w:type="dxa"/>
          </w:tcPr>
          <w:p w:rsidR="005308C7" w:rsidRPr="007B1676" w:rsidRDefault="00402138" w:rsidP="008F11A2">
            <w:pPr>
              <w:jc w:val="left"/>
              <w:rPr>
                <w:rFonts w:cs="Arial"/>
                <w:strike/>
                <w:sz w:val="18"/>
                <w:szCs w:val="18"/>
                <w:lang w:val="fr-FR"/>
              </w:rPr>
            </w:pPr>
            <w:r w:rsidRPr="007B1676">
              <w:rPr>
                <w:rFonts w:cs="Arial"/>
                <w:sz w:val="18"/>
                <w:szCs w:val="18"/>
                <w:lang w:val="fr-FR"/>
              </w:rPr>
              <w:t>UPOV/INF/16/5</w:t>
            </w:r>
            <w:r w:rsidR="005308C7" w:rsidRPr="007B1676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FB5553" w:rsidRPr="007B1676">
              <w:rPr>
                <w:rFonts w:cs="Arial"/>
                <w:sz w:val="18"/>
                <w:szCs w:val="18"/>
                <w:lang w:val="fr-FR"/>
              </w:rPr>
              <w:t xml:space="preserve">sera examiné par le Conseil en </w:t>
            </w:r>
            <w:r w:rsidR="00FC2AC8" w:rsidRPr="007B1676">
              <w:rPr>
                <w:rFonts w:cs="Arial"/>
                <w:sz w:val="18"/>
                <w:szCs w:val="18"/>
                <w:lang w:val="fr-FR"/>
              </w:rPr>
              <w:t>octobre 20</w:t>
            </w:r>
            <w:r w:rsidR="00FB5553" w:rsidRPr="007B1676">
              <w:rPr>
                <w:rFonts w:cs="Arial"/>
                <w:sz w:val="18"/>
                <w:szCs w:val="18"/>
                <w:lang w:val="fr-FR"/>
              </w:rPr>
              <w:t>15</w:t>
            </w:r>
          </w:p>
        </w:tc>
      </w:tr>
      <w:tr w:rsidR="005308C7" w:rsidRPr="00CB14E0" w:rsidTr="00EA7B64">
        <w:trPr>
          <w:cantSplit/>
          <w:jc w:val="center"/>
        </w:trPr>
        <w:tc>
          <w:tcPr>
            <w:tcW w:w="1758" w:type="dxa"/>
          </w:tcPr>
          <w:p w:rsidR="005308C7" w:rsidRPr="007B1676" w:rsidRDefault="00C04163" w:rsidP="00C04163">
            <w:pPr>
              <w:rPr>
                <w:sz w:val="18"/>
                <w:szCs w:val="18"/>
                <w:lang w:val="fr-FR"/>
              </w:rPr>
            </w:pPr>
            <w:r w:rsidRPr="007B1676">
              <w:rPr>
                <w:sz w:val="18"/>
                <w:szCs w:val="18"/>
                <w:lang w:val="fr-FR"/>
              </w:rPr>
              <w:t>UPOV/INF/22</w:t>
            </w:r>
          </w:p>
        </w:tc>
        <w:tc>
          <w:tcPr>
            <w:tcW w:w="4807" w:type="dxa"/>
          </w:tcPr>
          <w:p w:rsidR="005308C7" w:rsidRPr="007B1676" w:rsidRDefault="00C04163" w:rsidP="00C04163">
            <w:pPr>
              <w:rPr>
                <w:sz w:val="18"/>
                <w:szCs w:val="18"/>
                <w:lang w:val="fr-FR"/>
              </w:rPr>
            </w:pPr>
            <w:r w:rsidRPr="007B1676">
              <w:rPr>
                <w:sz w:val="18"/>
                <w:szCs w:val="18"/>
                <w:lang w:val="fr-FR"/>
              </w:rPr>
              <w:t>Logiciels et équipements utilisés par les membres de l</w:t>
            </w:r>
            <w:r w:rsidR="00FC2AC8" w:rsidRPr="007B1676">
              <w:rPr>
                <w:sz w:val="18"/>
                <w:szCs w:val="18"/>
                <w:lang w:val="fr-FR"/>
              </w:rPr>
              <w:t>’</w:t>
            </w:r>
            <w:r w:rsidRPr="007B1676">
              <w:rPr>
                <w:sz w:val="18"/>
                <w:szCs w:val="18"/>
                <w:lang w:val="fr-FR"/>
              </w:rPr>
              <w:t>Union</w:t>
            </w:r>
            <w:r w:rsidR="005308C7" w:rsidRPr="007B1676"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3920" w:type="dxa"/>
          </w:tcPr>
          <w:p w:rsidR="005308C7" w:rsidRPr="007B1676" w:rsidRDefault="00402138" w:rsidP="008F11A2">
            <w:pPr>
              <w:jc w:val="left"/>
              <w:rPr>
                <w:sz w:val="18"/>
                <w:szCs w:val="18"/>
                <w:lang w:val="fr-FR"/>
              </w:rPr>
            </w:pPr>
            <w:r w:rsidRPr="007B1676">
              <w:rPr>
                <w:sz w:val="18"/>
                <w:szCs w:val="18"/>
                <w:lang w:val="fr-FR"/>
              </w:rPr>
              <w:t>UPOV/INF/22/2</w:t>
            </w:r>
            <w:r w:rsidR="005308C7" w:rsidRPr="007B1676">
              <w:rPr>
                <w:sz w:val="18"/>
                <w:szCs w:val="18"/>
                <w:lang w:val="fr-FR"/>
              </w:rPr>
              <w:t xml:space="preserve"> </w:t>
            </w:r>
            <w:r w:rsidR="00FB5553" w:rsidRPr="007B1676">
              <w:rPr>
                <w:rFonts w:cs="Arial"/>
                <w:sz w:val="18"/>
                <w:szCs w:val="18"/>
                <w:lang w:val="fr-FR"/>
              </w:rPr>
              <w:t xml:space="preserve">sera examiné par le Conseil en </w:t>
            </w:r>
            <w:r w:rsidR="00FC2AC8" w:rsidRPr="007B1676">
              <w:rPr>
                <w:rFonts w:cs="Arial"/>
                <w:sz w:val="18"/>
                <w:szCs w:val="18"/>
                <w:lang w:val="fr-FR"/>
              </w:rPr>
              <w:t>octobre 20</w:t>
            </w:r>
            <w:r w:rsidR="00FB5553" w:rsidRPr="007B1676">
              <w:rPr>
                <w:rFonts w:cs="Arial"/>
                <w:sz w:val="18"/>
                <w:szCs w:val="18"/>
                <w:lang w:val="fr-FR"/>
              </w:rPr>
              <w:t>15</w:t>
            </w:r>
          </w:p>
        </w:tc>
      </w:tr>
    </w:tbl>
    <w:p w:rsidR="00F77FD5" w:rsidRPr="007B1676" w:rsidRDefault="00F77FD5" w:rsidP="005308C7">
      <w:pPr>
        <w:rPr>
          <w:lang w:val="fr-FR"/>
        </w:rPr>
      </w:pPr>
    </w:p>
    <w:p w:rsidR="00F77FD5" w:rsidRPr="007B1676" w:rsidRDefault="00F77FD5" w:rsidP="001D140D">
      <w:pPr>
        <w:rPr>
          <w:lang w:val="fr-FR"/>
        </w:rPr>
      </w:pPr>
    </w:p>
    <w:p w:rsidR="00F77FD5" w:rsidRPr="007B1676" w:rsidRDefault="00C04163" w:rsidP="00464B0B">
      <w:pPr>
        <w:pStyle w:val="Heading1"/>
        <w:rPr>
          <w:color w:val="auto"/>
        </w:rPr>
      </w:pPr>
      <w:bookmarkStart w:id="23" w:name="_Toc413662348"/>
      <w:r w:rsidRPr="007B1676">
        <w:rPr>
          <w:color w:val="auto"/>
        </w:rPr>
        <w:t>Documents de L</w:t>
      </w:r>
      <w:r w:rsidR="00FC2AC8" w:rsidRPr="007B1676">
        <w:rPr>
          <w:color w:val="auto"/>
        </w:rPr>
        <w:t>’</w:t>
      </w:r>
      <w:r w:rsidRPr="007B1676">
        <w:rPr>
          <w:color w:val="auto"/>
        </w:rPr>
        <w:t>UPOV</w:t>
      </w:r>
      <w:bookmarkEnd w:id="23"/>
    </w:p>
    <w:p w:rsidR="00F77FD5" w:rsidRPr="007B1676" w:rsidRDefault="00F77FD5" w:rsidP="00402138">
      <w:pPr>
        <w:keepNext/>
        <w:rPr>
          <w:lang w:val="fr-FR"/>
        </w:rPr>
      </w:pPr>
    </w:p>
    <w:p w:rsidR="00F77FD5" w:rsidRPr="007B1676" w:rsidRDefault="00A8274D" w:rsidP="0085250E">
      <w:pPr>
        <w:pStyle w:val="Heading2"/>
        <w:rPr>
          <w:color w:val="auto"/>
        </w:rPr>
      </w:pPr>
      <w:bookmarkStart w:id="24" w:name="_Toc413662349"/>
      <w:r w:rsidRPr="007B1676">
        <w:rPr>
          <w:color w:val="auto"/>
        </w:rPr>
        <w:t>D</w:t>
      </w:r>
      <w:r w:rsidR="00A326E8" w:rsidRPr="007B1676">
        <w:rPr>
          <w:color w:val="auto"/>
        </w:rPr>
        <w:t>ocuments</w:t>
      </w:r>
      <w:r w:rsidRPr="007B1676">
        <w:rPr>
          <w:color w:val="auto"/>
        </w:rPr>
        <w:t xml:space="preserve"> historiques</w:t>
      </w:r>
      <w:r w:rsidR="00A326E8" w:rsidRPr="007B1676">
        <w:rPr>
          <w:color w:val="auto"/>
        </w:rPr>
        <w:t xml:space="preserve"> </w:t>
      </w:r>
      <w:r w:rsidRPr="007B1676">
        <w:rPr>
          <w:color w:val="auto"/>
        </w:rPr>
        <w:t>sur le site</w:t>
      </w:r>
      <w:r w:rsidR="00731AD3" w:rsidRPr="007B1676">
        <w:rPr>
          <w:color w:val="auto"/>
        </w:rPr>
        <w:t> </w:t>
      </w:r>
      <w:r w:rsidRPr="007B1676">
        <w:rPr>
          <w:color w:val="auto"/>
        </w:rPr>
        <w:t>Web de l</w:t>
      </w:r>
      <w:r w:rsidR="00FC2AC8" w:rsidRPr="007B1676">
        <w:rPr>
          <w:color w:val="auto"/>
        </w:rPr>
        <w:t>’</w:t>
      </w:r>
      <w:r w:rsidRPr="007B1676">
        <w:rPr>
          <w:color w:val="auto"/>
        </w:rPr>
        <w:t>UPOV</w:t>
      </w:r>
      <w:bookmarkEnd w:id="24"/>
    </w:p>
    <w:p w:rsidR="00F77FD5" w:rsidRPr="007B1676" w:rsidRDefault="00F77FD5" w:rsidP="00A326E8">
      <w:pPr>
        <w:rPr>
          <w:lang w:val="fr-FR"/>
        </w:rPr>
      </w:pPr>
    </w:p>
    <w:p w:rsidR="00FC2AC8" w:rsidRPr="007B1676" w:rsidRDefault="00A326E8" w:rsidP="00A326E8">
      <w:pPr>
        <w:rPr>
          <w:lang w:val="fr-FR"/>
        </w:rPr>
      </w:pPr>
      <w:r w:rsidRPr="007B1676">
        <w:rPr>
          <w:lang w:val="fr-FR"/>
        </w:rPr>
        <w:fldChar w:fldCharType="begin"/>
      </w:r>
      <w:r w:rsidRPr="007B1676">
        <w:rPr>
          <w:lang w:val="fr-FR"/>
        </w:rPr>
        <w:instrText xml:space="preserve"> AUTONUM  </w:instrText>
      </w:r>
      <w:r w:rsidRPr="007B1676">
        <w:rPr>
          <w:lang w:val="fr-FR"/>
        </w:rPr>
        <w:fldChar w:fldCharType="end"/>
      </w:r>
      <w:r w:rsidRPr="007B1676">
        <w:rPr>
          <w:lang w:val="fr-FR"/>
        </w:rPr>
        <w:tab/>
      </w:r>
      <w:r w:rsidR="00A8274D" w:rsidRPr="007B1676">
        <w:rPr>
          <w:lang w:val="fr-FR"/>
        </w:rPr>
        <w:t>Quelque 7000 documents de l</w:t>
      </w:r>
      <w:r w:rsidR="00FC2AC8" w:rsidRPr="007B1676">
        <w:rPr>
          <w:lang w:val="fr-FR"/>
        </w:rPr>
        <w:t>’</w:t>
      </w:r>
      <w:r w:rsidR="00A8274D" w:rsidRPr="007B1676">
        <w:rPr>
          <w:lang w:val="fr-FR"/>
        </w:rPr>
        <w:t>UPOV, qui n</w:t>
      </w:r>
      <w:r w:rsidR="00FC2AC8" w:rsidRPr="007B1676">
        <w:rPr>
          <w:lang w:val="fr-FR"/>
        </w:rPr>
        <w:t>’</w:t>
      </w:r>
      <w:r w:rsidR="00A8274D" w:rsidRPr="007B1676">
        <w:rPr>
          <w:lang w:val="fr-FR"/>
        </w:rPr>
        <w:t>étaient auparavant pas disponibles sur le site</w:t>
      </w:r>
      <w:r w:rsidR="00731AD3" w:rsidRPr="007B1676">
        <w:rPr>
          <w:lang w:val="fr-FR"/>
        </w:rPr>
        <w:t> </w:t>
      </w:r>
      <w:r w:rsidR="00A8274D" w:rsidRPr="007B1676">
        <w:rPr>
          <w:lang w:val="fr-FR"/>
        </w:rPr>
        <w:t>Web de l</w:t>
      </w:r>
      <w:r w:rsidR="00FC2AC8" w:rsidRPr="007B1676">
        <w:rPr>
          <w:lang w:val="fr-FR"/>
        </w:rPr>
        <w:t>’</w:t>
      </w:r>
      <w:r w:rsidR="00A8274D" w:rsidRPr="007B1676">
        <w:rPr>
          <w:lang w:val="fr-FR"/>
        </w:rPr>
        <w:t xml:space="preserve">UPOV, ont été numérisés et reproduits sous la forme de documents électroniques.  Les documents des conférences diplomatiques sur les révisions de la </w:t>
      </w:r>
      <w:r w:rsidR="00FC2AC8" w:rsidRPr="007B1676">
        <w:rPr>
          <w:lang w:val="fr-FR"/>
        </w:rPr>
        <w:t>Convention UPOV</w:t>
      </w:r>
      <w:r w:rsidR="00A8274D" w:rsidRPr="007B1676">
        <w:rPr>
          <w:lang w:val="fr-FR"/>
        </w:rPr>
        <w:t>, les documents des réunions de l</w:t>
      </w:r>
      <w:r w:rsidR="00FC2AC8" w:rsidRPr="007B1676">
        <w:rPr>
          <w:lang w:val="fr-FR"/>
        </w:rPr>
        <w:t>’</w:t>
      </w:r>
      <w:r w:rsidR="00A8274D" w:rsidRPr="007B1676">
        <w:rPr>
          <w:lang w:val="fr-FR"/>
        </w:rPr>
        <w:t xml:space="preserve">UPOV avec les organisations internationales (documents IOM) et les numéros de “Plant </w:t>
      </w:r>
      <w:proofErr w:type="spellStart"/>
      <w:r w:rsidR="00A8274D" w:rsidRPr="007B1676">
        <w:rPr>
          <w:lang w:val="fr-FR"/>
        </w:rPr>
        <w:t>Variety</w:t>
      </w:r>
      <w:proofErr w:type="spellEnd"/>
      <w:r w:rsidR="00A8274D" w:rsidRPr="007B1676">
        <w:rPr>
          <w:lang w:val="fr-FR"/>
        </w:rPr>
        <w:t xml:space="preserve"> Protection”, Gazette et Newsletter de l</w:t>
      </w:r>
      <w:r w:rsidR="00FC2AC8" w:rsidRPr="007B1676">
        <w:rPr>
          <w:lang w:val="fr-FR"/>
        </w:rPr>
        <w:t>’</w:t>
      </w:r>
      <w:r w:rsidR="00A8274D" w:rsidRPr="007B1676">
        <w:rPr>
          <w:lang w:val="fr-FR"/>
        </w:rPr>
        <w:t xml:space="preserve">UPOV ont </w:t>
      </w:r>
      <w:r w:rsidR="00271BB7" w:rsidRPr="007B1676">
        <w:rPr>
          <w:lang w:val="fr-FR"/>
        </w:rPr>
        <w:t xml:space="preserve">déjà </w:t>
      </w:r>
      <w:r w:rsidR="00A8274D" w:rsidRPr="007B1676">
        <w:rPr>
          <w:lang w:val="fr-FR"/>
        </w:rPr>
        <w:t>été téléchargés sur le site</w:t>
      </w:r>
      <w:r w:rsidR="00731AD3" w:rsidRPr="007B1676">
        <w:rPr>
          <w:lang w:val="fr-FR"/>
        </w:rPr>
        <w:t> </w:t>
      </w:r>
      <w:r w:rsidR="00A8274D" w:rsidRPr="007B1676">
        <w:rPr>
          <w:lang w:val="fr-FR"/>
        </w:rPr>
        <w:t>Web de l</w:t>
      </w:r>
      <w:r w:rsidR="00FC2AC8" w:rsidRPr="007B1676">
        <w:rPr>
          <w:lang w:val="fr-FR"/>
        </w:rPr>
        <w:t>’</w:t>
      </w:r>
      <w:r w:rsidR="00A8274D" w:rsidRPr="007B1676">
        <w:rPr>
          <w:lang w:val="fr-FR"/>
        </w:rPr>
        <w:t>UPOV</w:t>
      </w:r>
      <w:r w:rsidRPr="007B1676">
        <w:rPr>
          <w:lang w:val="fr-FR"/>
        </w:rPr>
        <w:t xml:space="preserve">.  </w:t>
      </w:r>
      <w:r w:rsidR="00271BB7" w:rsidRPr="007B1676">
        <w:rPr>
          <w:lang w:val="fr-FR"/>
        </w:rPr>
        <w:t>Parallèlement à ce processus, un examen systématique a été fait des documents déjà publiés dans la section “Documents de réunion</w:t>
      </w:r>
      <w:r w:rsidRPr="007B1676">
        <w:rPr>
          <w:lang w:val="fr-FR"/>
        </w:rPr>
        <w:t>”</w:t>
      </w:r>
      <w:r w:rsidR="00271BB7" w:rsidRPr="007B1676">
        <w:rPr>
          <w:lang w:val="fr-FR"/>
        </w:rPr>
        <w:t xml:space="preserve"> du site</w:t>
      </w:r>
      <w:r w:rsidR="00731AD3" w:rsidRPr="007B1676">
        <w:rPr>
          <w:lang w:val="fr-FR"/>
        </w:rPr>
        <w:t> </w:t>
      </w:r>
      <w:r w:rsidR="00271BB7" w:rsidRPr="007B1676">
        <w:rPr>
          <w:lang w:val="fr-FR"/>
        </w:rPr>
        <w:t>Web de l</w:t>
      </w:r>
      <w:r w:rsidR="00FC2AC8" w:rsidRPr="007B1676">
        <w:rPr>
          <w:lang w:val="fr-FR"/>
        </w:rPr>
        <w:t>’</w:t>
      </w:r>
      <w:r w:rsidR="00271BB7" w:rsidRPr="007B1676">
        <w:rPr>
          <w:lang w:val="fr-FR"/>
        </w:rPr>
        <w:t>UPOV afin de déceler et de rectifier les erreurs et les omissions qui se sont produites au cours de la migration vers la version remaniée du site en</w:t>
      </w:r>
      <w:r w:rsidR="00731AD3" w:rsidRPr="007B1676">
        <w:rPr>
          <w:lang w:val="fr-FR"/>
        </w:rPr>
        <w:t> </w:t>
      </w:r>
      <w:r w:rsidR="00271BB7" w:rsidRPr="007B1676">
        <w:rPr>
          <w:lang w:val="fr-FR"/>
        </w:rPr>
        <w:t>2011</w:t>
      </w:r>
      <w:r w:rsidR="00F66982" w:rsidRPr="007B1676">
        <w:rPr>
          <w:lang w:val="fr-FR"/>
        </w:rPr>
        <w:noBreakHyphen/>
      </w:r>
      <w:r w:rsidR="00271BB7" w:rsidRPr="007B1676">
        <w:rPr>
          <w:lang w:val="fr-FR"/>
        </w:rPr>
        <w:t>2012.</w:t>
      </w:r>
      <w:r w:rsidRPr="007B1676">
        <w:rPr>
          <w:lang w:val="fr-FR"/>
        </w:rPr>
        <w:t xml:space="preserve">  </w:t>
      </w:r>
      <w:r w:rsidR="00271BB7" w:rsidRPr="007B1676">
        <w:rPr>
          <w:lang w:val="fr-FR"/>
        </w:rPr>
        <w:t xml:space="preserve">En ce qui concerne le reste des travaux, </w:t>
      </w:r>
      <w:r w:rsidR="00FC2AC8" w:rsidRPr="007B1676">
        <w:rPr>
          <w:lang w:val="fr-FR"/>
        </w:rPr>
        <w:t>à savoir</w:t>
      </w:r>
      <w:r w:rsidR="00271BB7" w:rsidRPr="007B1676">
        <w:rPr>
          <w:lang w:val="fr-FR"/>
        </w:rPr>
        <w:t xml:space="preserve"> télécharger des documents de session plus anciens de l</w:t>
      </w:r>
      <w:r w:rsidR="00FC2AC8" w:rsidRPr="007B1676">
        <w:rPr>
          <w:lang w:val="fr-FR"/>
        </w:rPr>
        <w:t>’</w:t>
      </w:r>
      <w:r w:rsidR="00271BB7" w:rsidRPr="007B1676">
        <w:rPr>
          <w:lang w:val="fr-FR"/>
        </w:rPr>
        <w:t>UPOV et de séminaires de l</w:t>
      </w:r>
      <w:r w:rsidR="00FC2AC8" w:rsidRPr="007B1676">
        <w:rPr>
          <w:lang w:val="fr-FR"/>
        </w:rPr>
        <w:t>’</w:t>
      </w:r>
      <w:r w:rsidR="00271BB7" w:rsidRPr="007B1676">
        <w:rPr>
          <w:lang w:val="fr-FR"/>
        </w:rPr>
        <w:t>UPOV, cela se fera sur une base ponctuelle en fonction des ressources disponibles</w:t>
      </w:r>
      <w:r w:rsidRPr="007B1676">
        <w:rPr>
          <w:lang w:val="fr-FR"/>
        </w:rPr>
        <w:t>.</w:t>
      </w:r>
    </w:p>
    <w:p w:rsidR="00F77FD5" w:rsidRPr="007B1676" w:rsidRDefault="00F77FD5" w:rsidP="00A326E8">
      <w:pPr>
        <w:rPr>
          <w:lang w:val="fr-FR"/>
        </w:rPr>
      </w:pPr>
    </w:p>
    <w:p w:rsidR="00F77FD5" w:rsidRPr="007B1676" w:rsidRDefault="000C0BA4" w:rsidP="0085250E">
      <w:pPr>
        <w:pStyle w:val="Heading2"/>
        <w:rPr>
          <w:color w:val="auto"/>
        </w:rPr>
      </w:pPr>
      <w:bookmarkStart w:id="25" w:name="_Toc413662350"/>
      <w:r w:rsidRPr="007B1676">
        <w:rPr>
          <w:color w:val="auto"/>
        </w:rPr>
        <w:t>Documents de réunion</w:t>
      </w:r>
      <w:r w:rsidR="00FC2AC8" w:rsidRPr="007B1676">
        <w:rPr>
          <w:color w:val="auto"/>
        </w:rPr>
        <w:t xml:space="preserve"> du CAJ</w:t>
      </w:r>
      <w:bookmarkEnd w:id="25"/>
    </w:p>
    <w:p w:rsidR="00F77FD5" w:rsidRPr="007B1676" w:rsidRDefault="00F77FD5" w:rsidP="00402138">
      <w:pPr>
        <w:keepNext/>
        <w:rPr>
          <w:lang w:val="fr-FR"/>
        </w:rPr>
      </w:pPr>
    </w:p>
    <w:p w:rsidR="00F77FD5" w:rsidRPr="007B1676" w:rsidRDefault="00A55B16" w:rsidP="00402138">
      <w:pPr>
        <w:keepNext/>
        <w:rPr>
          <w:lang w:val="fr-FR"/>
        </w:rPr>
      </w:pPr>
      <w:r w:rsidRPr="007B1676">
        <w:rPr>
          <w:lang w:val="fr-FR"/>
        </w:rPr>
        <w:fldChar w:fldCharType="begin"/>
      </w:r>
      <w:r w:rsidRPr="007B1676">
        <w:rPr>
          <w:lang w:val="fr-FR"/>
        </w:rPr>
        <w:instrText xml:space="preserve"> AUTONUM  </w:instrText>
      </w:r>
      <w:r w:rsidRPr="007B1676">
        <w:rPr>
          <w:lang w:val="fr-FR"/>
        </w:rPr>
        <w:fldChar w:fldCharType="end"/>
      </w:r>
      <w:r w:rsidRPr="007B1676">
        <w:rPr>
          <w:lang w:val="fr-FR"/>
        </w:rPr>
        <w:tab/>
      </w:r>
      <w:r w:rsidR="000C0BA4" w:rsidRPr="007B1676">
        <w:rPr>
          <w:lang w:val="fr-FR"/>
        </w:rPr>
        <w:t>À sa soixante</w:t>
      </w:r>
      <w:r w:rsidR="00F66982" w:rsidRPr="007B1676">
        <w:rPr>
          <w:lang w:val="fr-FR"/>
        </w:rPr>
        <w:noBreakHyphen/>
      </w:r>
      <w:r w:rsidR="000C0BA4" w:rsidRPr="007B1676">
        <w:rPr>
          <w:lang w:val="fr-FR"/>
        </w:rPr>
        <w:t>dixième</w:t>
      </w:r>
      <w:r w:rsidR="00731AD3" w:rsidRPr="007B1676">
        <w:rPr>
          <w:lang w:val="fr-FR"/>
        </w:rPr>
        <w:t> </w:t>
      </w:r>
      <w:r w:rsidR="000C0BA4" w:rsidRPr="007B1676">
        <w:rPr>
          <w:lang w:val="fr-FR"/>
        </w:rPr>
        <w:t>session tenue à Genève le 1</w:t>
      </w:r>
      <w:r w:rsidR="00FC2AC8" w:rsidRPr="007B1676">
        <w:rPr>
          <w:lang w:val="fr-FR"/>
        </w:rPr>
        <w:t>3 octobre 20</w:t>
      </w:r>
      <w:r w:rsidR="000C0BA4" w:rsidRPr="007B1676">
        <w:rPr>
          <w:lang w:val="fr-FR"/>
        </w:rPr>
        <w:t>14,</w:t>
      </w:r>
      <w:r w:rsidR="00FC2AC8" w:rsidRPr="007B1676">
        <w:rPr>
          <w:lang w:val="fr-FR"/>
        </w:rPr>
        <w:t xml:space="preserve"> le CAJ</w:t>
      </w:r>
      <w:r w:rsidR="000C0BA4" w:rsidRPr="007B1676">
        <w:rPr>
          <w:lang w:val="fr-FR"/>
        </w:rPr>
        <w:t xml:space="preserve"> est convenu</w:t>
      </w:r>
      <w:r w:rsidR="00702AE7" w:rsidRPr="007B1676">
        <w:rPr>
          <w:lang w:val="fr-FR"/>
        </w:rPr>
        <w:t>, le cas échéant,</w:t>
      </w:r>
      <w:r w:rsidR="000C0BA4" w:rsidRPr="007B1676">
        <w:rPr>
          <w:lang w:val="fr-FR"/>
        </w:rPr>
        <w:t xml:space="preserve"> en ce qui concerne le format et le style des documents</w:t>
      </w:r>
      <w:r w:rsidR="00FC2AC8" w:rsidRPr="007B1676">
        <w:rPr>
          <w:lang w:val="fr-FR"/>
        </w:rPr>
        <w:t xml:space="preserve"> du CAJ</w:t>
      </w:r>
      <w:r w:rsidR="000C0BA4" w:rsidRPr="007B1676">
        <w:rPr>
          <w:lang w:val="fr-FR"/>
        </w:rPr>
        <w:t>, ainsi que leur présentation aux sessions</w:t>
      </w:r>
      <w:r w:rsidR="00FC2AC8" w:rsidRPr="007B1676">
        <w:rPr>
          <w:lang w:val="fr-FR"/>
        </w:rPr>
        <w:t xml:space="preserve"> du CAJ</w:t>
      </w:r>
      <w:r w:rsidR="000C0BA4" w:rsidRPr="007B1676">
        <w:rPr>
          <w:lang w:val="fr-FR"/>
        </w:rPr>
        <w:t> :</w:t>
      </w:r>
    </w:p>
    <w:p w:rsidR="00F77FD5" w:rsidRPr="007B1676" w:rsidRDefault="00F77FD5" w:rsidP="00402138">
      <w:pPr>
        <w:keepNext/>
        <w:rPr>
          <w:lang w:val="fr-FR"/>
        </w:rPr>
      </w:pPr>
    </w:p>
    <w:p w:rsidR="00F77FD5" w:rsidRPr="007B1676" w:rsidRDefault="00C04163" w:rsidP="00FB5553">
      <w:pPr>
        <w:pStyle w:val="ListParagraph"/>
        <w:keepNext/>
        <w:numPr>
          <w:ilvl w:val="0"/>
          <w:numId w:val="12"/>
        </w:numPr>
        <w:ind w:left="1134" w:hanging="567"/>
        <w:rPr>
          <w:lang w:val="fr-FR"/>
        </w:rPr>
      </w:pPr>
      <w:r w:rsidRPr="007B1676">
        <w:rPr>
          <w:lang w:val="fr-FR"/>
        </w:rPr>
        <w:t>d</w:t>
      </w:r>
      <w:r w:rsidR="00FC2AC8" w:rsidRPr="007B1676">
        <w:rPr>
          <w:lang w:val="fr-FR"/>
        </w:rPr>
        <w:t>’</w:t>
      </w:r>
      <w:r w:rsidRPr="007B1676">
        <w:rPr>
          <w:lang w:val="fr-FR"/>
        </w:rPr>
        <w:t>inclure un résumé analytique</w:t>
      </w:r>
      <w:r w:rsidR="00FB5553" w:rsidRPr="007B1676">
        <w:rPr>
          <w:lang w:val="fr-FR"/>
        </w:rPr>
        <w:t>;</w:t>
      </w:r>
    </w:p>
    <w:p w:rsidR="00F77FD5" w:rsidRPr="007B1676" w:rsidRDefault="002A5A0C" w:rsidP="00FB5553">
      <w:pPr>
        <w:pStyle w:val="ListParagraph"/>
        <w:keepNext/>
        <w:numPr>
          <w:ilvl w:val="0"/>
          <w:numId w:val="12"/>
        </w:numPr>
        <w:ind w:left="1134" w:hanging="567"/>
        <w:rPr>
          <w:lang w:val="fr-FR"/>
        </w:rPr>
      </w:pPr>
      <w:r w:rsidRPr="007B1676">
        <w:rPr>
          <w:lang w:val="fr-FR"/>
        </w:rPr>
        <w:t>de faire référence à des documents antérieurs dans des notes en bas de page</w:t>
      </w:r>
      <w:r w:rsidR="00FB5553" w:rsidRPr="007B1676">
        <w:rPr>
          <w:lang w:val="fr-FR"/>
        </w:rPr>
        <w:t>;</w:t>
      </w:r>
    </w:p>
    <w:p w:rsidR="00F77FD5" w:rsidRPr="007B1676" w:rsidRDefault="002A5A0C" w:rsidP="00FB5553">
      <w:pPr>
        <w:pStyle w:val="ListParagraph"/>
        <w:keepNext/>
        <w:numPr>
          <w:ilvl w:val="0"/>
          <w:numId w:val="12"/>
        </w:numPr>
        <w:ind w:left="1134" w:hanging="567"/>
        <w:rPr>
          <w:lang w:val="fr-FR"/>
        </w:rPr>
      </w:pPr>
      <w:r w:rsidRPr="007B1676">
        <w:rPr>
          <w:lang w:val="fr-FR"/>
        </w:rPr>
        <w:t>de fusionner les paragraphes concernant des décisions relatives à des points pour information;  et</w:t>
      </w:r>
    </w:p>
    <w:p w:rsidR="00F77FD5" w:rsidRPr="007B1676" w:rsidRDefault="002A5A0C" w:rsidP="00FB5553">
      <w:pPr>
        <w:pStyle w:val="ListParagraph"/>
        <w:keepNext/>
        <w:numPr>
          <w:ilvl w:val="0"/>
          <w:numId w:val="12"/>
        </w:numPr>
        <w:ind w:left="1134" w:hanging="567"/>
        <w:rPr>
          <w:lang w:val="fr-FR"/>
        </w:rPr>
      </w:pPr>
      <w:r w:rsidRPr="007B1676">
        <w:rPr>
          <w:lang w:val="fr-FR"/>
        </w:rPr>
        <w:t>de présenter un résumé des principaux points du document sous la forme d</w:t>
      </w:r>
      <w:r w:rsidR="00FC2AC8" w:rsidRPr="007B1676">
        <w:rPr>
          <w:lang w:val="fr-FR"/>
        </w:rPr>
        <w:t>’</w:t>
      </w:r>
      <w:r w:rsidRPr="007B1676">
        <w:rPr>
          <w:lang w:val="fr-FR"/>
        </w:rPr>
        <w:t>un exposé PowerPoint présenté à la session</w:t>
      </w:r>
      <w:r w:rsidR="00FC2AC8" w:rsidRPr="007B1676">
        <w:rPr>
          <w:lang w:val="fr-FR"/>
        </w:rPr>
        <w:t xml:space="preserve"> du CAJ</w:t>
      </w:r>
      <w:r w:rsidRPr="007B1676">
        <w:rPr>
          <w:lang w:val="fr-FR"/>
        </w:rPr>
        <w:t>.</w:t>
      </w:r>
    </w:p>
    <w:p w:rsidR="00F77FD5" w:rsidRPr="007B1676" w:rsidRDefault="00F77FD5" w:rsidP="001D140D">
      <w:pPr>
        <w:rPr>
          <w:lang w:val="fr-FR"/>
        </w:rPr>
      </w:pPr>
    </w:p>
    <w:p w:rsidR="00F77FD5" w:rsidRPr="007B1676" w:rsidRDefault="00F77FD5" w:rsidP="001D140D">
      <w:pPr>
        <w:rPr>
          <w:lang w:val="fr-FR"/>
        </w:rPr>
      </w:pPr>
    </w:p>
    <w:p w:rsidR="00F77FD5" w:rsidRPr="007B1676" w:rsidRDefault="002A5A0C" w:rsidP="00464B0B">
      <w:pPr>
        <w:pStyle w:val="Heading1"/>
        <w:rPr>
          <w:color w:val="auto"/>
        </w:rPr>
      </w:pPr>
      <w:bookmarkStart w:id="26" w:name="_Toc413662351"/>
      <w:r w:rsidRPr="007B1676">
        <w:rPr>
          <w:color w:val="auto"/>
        </w:rPr>
        <w:t>PUBLICATIONS, activitÉs et FORMATION</w:t>
      </w:r>
      <w:bookmarkEnd w:id="26"/>
    </w:p>
    <w:p w:rsidR="00F77FD5" w:rsidRPr="007B1676" w:rsidRDefault="00F77FD5" w:rsidP="001D140D">
      <w:pPr>
        <w:rPr>
          <w:lang w:val="fr-FR"/>
        </w:rPr>
      </w:pPr>
    </w:p>
    <w:p w:rsidR="00F77FD5" w:rsidRPr="007B1676" w:rsidRDefault="002A5A0C" w:rsidP="0085250E">
      <w:pPr>
        <w:pStyle w:val="Heading2"/>
        <w:rPr>
          <w:color w:val="auto"/>
        </w:rPr>
      </w:pPr>
      <w:bookmarkStart w:id="27" w:name="_Toc413662352"/>
      <w:r w:rsidRPr="007B1676">
        <w:rPr>
          <w:color w:val="auto"/>
        </w:rPr>
        <w:t>Stratégie de communication</w:t>
      </w:r>
      <w:bookmarkEnd w:id="27"/>
    </w:p>
    <w:p w:rsidR="00F77FD5" w:rsidRPr="007B1676" w:rsidRDefault="00F77FD5" w:rsidP="001D140D">
      <w:pPr>
        <w:rPr>
          <w:lang w:val="fr-FR"/>
        </w:rPr>
      </w:pPr>
    </w:p>
    <w:p w:rsidR="00F77FD5" w:rsidRPr="007B1676" w:rsidRDefault="00A21CDF" w:rsidP="00B45708">
      <w:pPr>
        <w:rPr>
          <w:rFonts w:cs="Arial"/>
          <w:lang w:val="fr-FR"/>
        </w:rPr>
      </w:pPr>
      <w:r w:rsidRPr="007B1676">
        <w:rPr>
          <w:rFonts w:cs="Arial"/>
          <w:snapToGrid w:val="0"/>
          <w:lang w:val="fr-FR"/>
        </w:rPr>
        <w:fldChar w:fldCharType="begin"/>
      </w:r>
      <w:r w:rsidRPr="007B1676">
        <w:rPr>
          <w:rFonts w:cs="Arial"/>
          <w:snapToGrid w:val="0"/>
          <w:lang w:val="fr-FR"/>
        </w:rPr>
        <w:instrText xml:space="preserve"> AUTONUM  </w:instrText>
      </w:r>
      <w:r w:rsidRPr="007B1676">
        <w:rPr>
          <w:rFonts w:cs="Arial"/>
          <w:snapToGrid w:val="0"/>
          <w:lang w:val="fr-FR"/>
        </w:rPr>
        <w:fldChar w:fldCharType="end"/>
      </w:r>
      <w:r w:rsidRPr="007B1676">
        <w:rPr>
          <w:rFonts w:cs="Arial"/>
          <w:snapToGrid w:val="0"/>
          <w:lang w:val="fr-FR"/>
        </w:rPr>
        <w:tab/>
      </w:r>
      <w:r w:rsidR="00F66982" w:rsidRPr="007B1676">
        <w:rPr>
          <w:rFonts w:cs="Arial"/>
          <w:snapToGrid w:val="0"/>
          <w:lang w:val="fr-FR"/>
        </w:rPr>
        <w:t>À sa trente et </w:t>
      </w:r>
      <w:r w:rsidR="00FF4550" w:rsidRPr="007B1676">
        <w:rPr>
          <w:rFonts w:cs="Arial"/>
          <w:snapToGrid w:val="0"/>
          <w:lang w:val="fr-FR"/>
        </w:rPr>
        <w:t>unième</w:t>
      </w:r>
      <w:r w:rsidR="00731AD3" w:rsidRPr="007B1676">
        <w:rPr>
          <w:rFonts w:cs="Arial"/>
          <w:snapToGrid w:val="0"/>
          <w:lang w:val="fr-FR"/>
        </w:rPr>
        <w:t> </w:t>
      </w:r>
      <w:r w:rsidR="00FF4550" w:rsidRPr="007B1676">
        <w:rPr>
          <w:rFonts w:cs="Arial"/>
          <w:snapToGrid w:val="0"/>
          <w:lang w:val="fr-FR"/>
        </w:rPr>
        <w:t>session extraordinaire, le Conseil a approuvé les réponses données aux questions fréquemment posées suivantes :</w:t>
      </w:r>
    </w:p>
    <w:p w:rsidR="00F77FD5" w:rsidRPr="007B1676" w:rsidRDefault="00F77FD5" w:rsidP="00B45708">
      <w:pPr>
        <w:rPr>
          <w:rFonts w:cs="Arial"/>
          <w:lang w:val="fr-FR"/>
        </w:rPr>
      </w:pPr>
    </w:p>
    <w:p w:rsidR="00F77FD5" w:rsidRPr="007B1676" w:rsidRDefault="002A5A0C" w:rsidP="00FB5553">
      <w:pPr>
        <w:pStyle w:val="ListParagraph"/>
        <w:numPr>
          <w:ilvl w:val="0"/>
          <w:numId w:val="13"/>
        </w:numPr>
        <w:ind w:left="567" w:hanging="567"/>
        <w:rPr>
          <w:rFonts w:cs="Arial"/>
          <w:lang w:val="fr-FR"/>
        </w:rPr>
      </w:pPr>
      <w:r w:rsidRPr="007B1676">
        <w:rPr>
          <w:rFonts w:cs="Arial"/>
          <w:lang w:val="fr-FR"/>
        </w:rPr>
        <w:t>Qui peut assister aux réunions de l</w:t>
      </w:r>
      <w:r w:rsidR="00FC2AC8" w:rsidRPr="007B1676">
        <w:rPr>
          <w:rFonts w:cs="Arial"/>
          <w:lang w:val="fr-FR"/>
        </w:rPr>
        <w:t>’</w:t>
      </w:r>
      <w:r w:rsidRPr="007B1676">
        <w:rPr>
          <w:rFonts w:cs="Arial"/>
          <w:lang w:val="fr-FR"/>
        </w:rPr>
        <w:t>UPOV?</w:t>
      </w:r>
    </w:p>
    <w:p w:rsidR="00F77FD5" w:rsidRPr="007B1676" w:rsidRDefault="002A5A0C" w:rsidP="00FB5553">
      <w:pPr>
        <w:pStyle w:val="ListParagraph"/>
        <w:numPr>
          <w:ilvl w:val="0"/>
          <w:numId w:val="13"/>
        </w:numPr>
        <w:ind w:left="567" w:hanging="567"/>
        <w:rPr>
          <w:rFonts w:cs="Arial"/>
          <w:lang w:val="fr-FR"/>
        </w:rPr>
      </w:pPr>
      <w:r w:rsidRPr="007B1676">
        <w:rPr>
          <w:rFonts w:cs="Arial"/>
          <w:lang w:val="fr-FR"/>
        </w:rPr>
        <w:t>Qu</w:t>
      </w:r>
      <w:r w:rsidR="00FC2AC8" w:rsidRPr="007B1676">
        <w:rPr>
          <w:rFonts w:cs="Arial"/>
          <w:lang w:val="fr-FR"/>
        </w:rPr>
        <w:t>’</w:t>
      </w:r>
      <w:r w:rsidRPr="007B1676">
        <w:rPr>
          <w:rFonts w:cs="Arial"/>
          <w:lang w:val="fr-FR"/>
        </w:rPr>
        <w:t>est</w:t>
      </w:r>
      <w:r w:rsidR="00F66982" w:rsidRPr="007B1676">
        <w:rPr>
          <w:rFonts w:cs="Arial"/>
          <w:lang w:val="fr-FR"/>
        </w:rPr>
        <w:noBreakHyphen/>
      </w:r>
      <w:r w:rsidRPr="007B1676">
        <w:rPr>
          <w:rFonts w:cs="Arial"/>
          <w:lang w:val="fr-FR"/>
        </w:rPr>
        <w:t>ce que l</w:t>
      </w:r>
      <w:r w:rsidR="00FC2AC8" w:rsidRPr="007B1676">
        <w:rPr>
          <w:rFonts w:cs="Arial"/>
          <w:lang w:val="fr-FR"/>
        </w:rPr>
        <w:t>’</w:t>
      </w:r>
      <w:r w:rsidRPr="007B1676">
        <w:rPr>
          <w:rFonts w:cs="Arial"/>
          <w:lang w:val="fr-FR"/>
        </w:rPr>
        <w:t>UPOV?</w:t>
      </w:r>
    </w:p>
    <w:p w:rsidR="00F77FD5" w:rsidRPr="007B1676" w:rsidRDefault="002A5A0C" w:rsidP="00FB5553">
      <w:pPr>
        <w:pStyle w:val="ListParagraph"/>
        <w:numPr>
          <w:ilvl w:val="0"/>
          <w:numId w:val="13"/>
        </w:numPr>
        <w:ind w:left="567" w:hanging="567"/>
        <w:rPr>
          <w:rFonts w:cs="Arial"/>
          <w:lang w:val="fr-FR"/>
        </w:rPr>
      </w:pPr>
      <w:r w:rsidRPr="007B1676">
        <w:rPr>
          <w:rFonts w:cs="Arial"/>
          <w:lang w:val="fr-FR"/>
        </w:rPr>
        <w:t>Que fait l</w:t>
      </w:r>
      <w:r w:rsidR="00FC2AC8" w:rsidRPr="007B1676">
        <w:rPr>
          <w:rFonts w:cs="Arial"/>
          <w:lang w:val="fr-FR"/>
        </w:rPr>
        <w:t>’</w:t>
      </w:r>
      <w:r w:rsidRPr="007B1676">
        <w:rPr>
          <w:rFonts w:cs="Arial"/>
          <w:lang w:val="fr-FR"/>
        </w:rPr>
        <w:t>UPOV?</w:t>
      </w:r>
    </w:p>
    <w:p w:rsidR="00F77FD5" w:rsidRPr="007B1676" w:rsidRDefault="002A5A0C" w:rsidP="00FB5553">
      <w:pPr>
        <w:pStyle w:val="ListParagraph"/>
        <w:numPr>
          <w:ilvl w:val="0"/>
          <w:numId w:val="13"/>
        </w:numPr>
        <w:ind w:left="567" w:hanging="567"/>
        <w:rPr>
          <w:rFonts w:cs="Arial"/>
          <w:lang w:val="fr-FR"/>
        </w:rPr>
      </w:pPr>
      <w:r w:rsidRPr="007B1676">
        <w:rPr>
          <w:rFonts w:cs="Arial"/>
          <w:lang w:val="fr-FR"/>
        </w:rPr>
        <w:t>Qui peut assister aux réunions de l</w:t>
      </w:r>
      <w:r w:rsidR="00FC2AC8" w:rsidRPr="007B1676">
        <w:rPr>
          <w:rFonts w:cs="Arial"/>
          <w:lang w:val="fr-FR"/>
        </w:rPr>
        <w:t>’</w:t>
      </w:r>
      <w:r w:rsidRPr="007B1676">
        <w:rPr>
          <w:rFonts w:cs="Arial"/>
          <w:lang w:val="fr-FR"/>
        </w:rPr>
        <w:t>UPOV?</w:t>
      </w:r>
    </w:p>
    <w:p w:rsidR="00F77FD5" w:rsidRPr="007B1676" w:rsidRDefault="002A5A0C" w:rsidP="00FB5553">
      <w:pPr>
        <w:pStyle w:val="ListParagraph"/>
        <w:numPr>
          <w:ilvl w:val="0"/>
          <w:numId w:val="13"/>
        </w:numPr>
        <w:ind w:left="567" w:hanging="567"/>
        <w:rPr>
          <w:rFonts w:cs="Arial"/>
          <w:lang w:val="fr-FR"/>
        </w:rPr>
      </w:pPr>
      <w:r w:rsidRPr="007B1676">
        <w:rPr>
          <w:rFonts w:cs="Arial"/>
          <w:lang w:val="fr-FR"/>
        </w:rPr>
        <w:t>Qu</w:t>
      </w:r>
      <w:r w:rsidR="00FC2AC8" w:rsidRPr="007B1676">
        <w:rPr>
          <w:rFonts w:cs="Arial"/>
          <w:lang w:val="fr-FR"/>
        </w:rPr>
        <w:t>’</w:t>
      </w:r>
      <w:r w:rsidRPr="007B1676">
        <w:rPr>
          <w:rFonts w:cs="Arial"/>
          <w:lang w:val="fr-FR"/>
        </w:rPr>
        <w:t>est</w:t>
      </w:r>
      <w:r w:rsidR="00F66982" w:rsidRPr="007B1676">
        <w:rPr>
          <w:rFonts w:cs="Arial"/>
          <w:lang w:val="fr-FR"/>
        </w:rPr>
        <w:noBreakHyphen/>
      </w:r>
      <w:r w:rsidRPr="007B1676">
        <w:rPr>
          <w:rFonts w:cs="Arial"/>
          <w:lang w:val="fr-FR"/>
        </w:rPr>
        <w:t>ce qu</w:t>
      </w:r>
      <w:r w:rsidR="00FC2AC8" w:rsidRPr="007B1676">
        <w:rPr>
          <w:rFonts w:cs="Arial"/>
          <w:lang w:val="fr-FR"/>
        </w:rPr>
        <w:t>’</w:t>
      </w:r>
      <w:r w:rsidRPr="007B1676">
        <w:rPr>
          <w:rFonts w:cs="Arial"/>
          <w:lang w:val="fr-FR"/>
        </w:rPr>
        <w:t>une variété végétale?</w:t>
      </w:r>
    </w:p>
    <w:p w:rsidR="00F77FD5" w:rsidRPr="007B1676" w:rsidRDefault="002A5A0C" w:rsidP="00FB5553">
      <w:pPr>
        <w:pStyle w:val="ListParagraph"/>
        <w:numPr>
          <w:ilvl w:val="0"/>
          <w:numId w:val="13"/>
        </w:numPr>
        <w:ind w:left="567" w:hanging="567"/>
        <w:rPr>
          <w:rFonts w:cs="Arial"/>
          <w:lang w:val="fr-FR"/>
        </w:rPr>
      </w:pPr>
      <w:r w:rsidRPr="007B1676">
        <w:rPr>
          <w:rFonts w:cs="Arial"/>
          <w:lang w:val="fr-FR"/>
        </w:rPr>
        <w:t>Pourquoi les agriculteurs et les producteurs ont</w:t>
      </w:r>
      <w:r w:rsidR="00F66982" w:rsidRPr="007B1676">
        <w:rPr>
          <w:rFonts w:cs="Arial"/>
          <w:lang w:val="fr-FR"/>
        </w:rPr>
        <w:noBreakHyphen/>
      </w:r>
      <w:r w:rsidRPr="007B1676">
        <w:rPr>
          <w:rFonts w:cs="Arial"/>
          <w:lang w:val="fr-FR"/>
        </w:rPr>
        <w:t>ils besoin d</w:t>
      </w:r>
      <w:r w:rsidR="00FC2AC8" w:rsidRPr="007B1676">
        <w:rPr>
          <w:rFonts w:cs="Arial"/>
          <w:lang w:val="fr-FR"/>
        </w:rPr>
        <w:t>’</w:t>
      </w:r>
      <w:r w:rsidRPr="007B1676">
        <w:rPr>
          <w:rFonts w:cs="Arial"/>
          <w:lang w:val="fr-FR"/>
        </w:rPr>
        <w:t>obtentions végétales?</w:t>
      </w:r>
    </w:p>
    <w:p w:rsidR="00F77FD5" w:rsidRPr="007B1676" w:rsidRDefault="002A5A0C" w:rsidP="00FB5553">
      <w:pPr>
        <w:pStyle w:val="ListParagraph"/>
        <w:numPr>
          <w:ilvl w:val="0"/>
          <w:numId w:val="13"/>
        </w:numPr>
        <w:ind w:left="567" w:hanging="567"/>
        <w:rPr>
          <w:rFonts w:cs="Arial"/>
          <w:lang w:val="fr-FR"/>
        </w:rPr>
      </w:pPr>
      <w:r w:rsidRPr="007B1676">
        <w:rPr>
          <w:rFonts w:cs="Arial"/>
          <w:lang w:val="fr-FR"/>
        </w:rPr>
        <w:t>Pourquoi est</w:t>
      </w:r>
      <w:r w:rsidR="00F66982" w:rsidRPr="007B1676">
        <w:rPr>
          <w:rFonts w:cs="Arial"/>
          <w:lang w:val="fr-FR"/>
        </w:rPr>
        <w:noBreakHyphen/>
      </w:r>
      <w:r w:rsidRPr="007B1676">
        <w:rPr>
          <w:rFonts w:cs="Arial"/>
          <w:lang w:val="fr-FR"/>
        </w:rPr>
        <w:t>il nécessaire de protéger les variétés végétales?</w:t>
      </w:r>
    </w:p>
    <w:p w:rsidR="00F77FD5" w:rsidRPr="007B1676" w:rsidRDefault="002A5A0C" w:rsidP="00FB5553">
      <w:pPr>
        <w:pStyle w:val="ListParagraph"/>
        <w:numPr>
          <w:ilvl w:val="0"/>
          <w:numId w:val="13"/>
        </w:numPr>
        <w:ind w:left="567" w:hanging="567"/>
        <w:rPr>
          <w:rFonts w:cs="Arial"/>
          <w:lang w:val="fr-FR"/>
        </w:rPr>
      </w:pPr>
      <w:r w:rsidRPr="007B1676">
        <w:rPr>
          <w:rFonts w:cs="Arial"/>
          <w:lang w:val="fr-FR"/>
        </w:rPr>
        <w:t>En quoi consiste la protection des obtentions végétales?</w:t>
      </w:r>
    </w:p>
    <w:p w:rsidR="00F77FD5" w:rsidRPr="007B1676" w:rsidRDefault="002A5A0C" w:rsidP="00FB5553">
      <w:pPr>
        <w:pStyle w:val="ListParagraph"/>
        <w:numPr>
          <w:ilvl w:val="0"/>
          <w:numId w:val="13"/>
        </w:numPr>
        <w:ind w:left="567" w:hanging="567"/>
        <w:rPr>
          <w:rFonts w:cs="Arial"/>
          <w:lang w:val="fr-FR"/>
        </w:rPr>
      </w:pPr>
      <w:r w:rsidRPr="007B1676">
        <w:rPr>
          <w:rFonts w:cs="Arial"/>
          <w:lang w:val="fr-FR"/>
        </w:rPr>
        <w:t>Quelles sont les conditions à remplir pour pouvoir protéger une nouvelle variété végétale?</w:t>
      </w:r>
    </w:p>
    <w:p w:rsidR="00F77FD5" w:rsidRPr="007B1676" w:rsidRDefault="009408D6" w:rsidP="009408D6">
      <w:pPr>
        <w:pStyle w:val="ListParagraph"/>
        <w:numPr>
          <w:ilvl w:val="0"/>
          <w:numId w:val="13"/>
        </w:numPr>
        <w:ind w:left="567" w:hanging="567"/>
        <w:rPr>
          <w:rFonts w:cs="Arial"/>
          <w:lang w:val="fr-FR"/>
        </w:rPr>
      </w:pPr>
      <w:r w:rsidRPr="007B1676">
        <w:rPr>
          <w:rFonts w:cs="Arial"/>
          <w:lang w:val="fr-FR"/>
        </w:rPr>
        <w:t>Pourquoi l</w:t>
      </w:r>
      <w:r w:rsidR="00FC2AC8" w:rsidRPr="007B1676">
        <w:rPr>
          <w:rFonts w:cs="Arial"/>
          <w:lang w:val="fr-FR"/>
        </w:rPr>
        <w:t>’</w:t>
      </w:r>
      <w:r w:rsidRPr="007B1676">
        <w:rPr>
          <w:rFonts w:cs="Arial"/>
          <w:lang w:val="fr-FR"/>
        </w:rPr>
        <w:t>UPOV exige</w:t>
      </w:r>
      <w:r w:rsidR="00F66982" w:rsidRPr="007B1676">
        <w:rPr>
          <w:rFonts w:cs="Arial"/>
          <w:lang w:val="fr-FR"/>
        </w:rPr>
        <w:noBreakHyphen/>
      </w:r>
      <w:r w:rsidRPr="007B1676">
        <w:rPr>
          <w:rFonts w:cs="Arial"/>
          <w:lang w:val="fr-FR"/>
        </w:rPr>
        <w:t>t</w:t>
      </w:r>
      <w:r w:rsidR="00F66982" w:rsidRPr="007B1676">
        <w:rPr>
          <w:rFonts w:cs="Arial"/>
          <w:lang w:val="fr-FR"/>
        </w:rPr>
        <w:noBreakHyphen/>
      </w:r>
      <w:r w:rsidRPr="007B1676">
        <w:rPr>
          <w:rFonts w:cs="Arial"/>
          <w:lang w:val="fr-FR"/>
        </w:rPr>
        <w:t>elle que les variétés soient homogènes et stables?</w:t>
      </w:r>
      <w:r w:rsidR="00FF4550" w:rsidRPr="007B1676">
        <w:rPr>
          <w:rFonts w:cs="Arial"/>
          <w:lang w:val="fr-FR"/>
        </w:rPr>
        <w:t xml:space="preserve">  Ces exigences n</w:t>
      </w:r>
      <w:r w:rsidR="00FC2AC8" w:rsidRPr="007B1676">
        <w:rPr>
          <w:rFonts w:cs="Arial"/>
          <w:lang w:val="fr-FR"/>
        </w:rPr>
        <w:t>’</w:t>
      </w:r>
      <w:r w:rsidR="00FF4550" w:rsidRPr="007B1676">
        <w:rPr>
          <w:rFonts w:cs="Arial"/>
          <w:lang w:val="fr-FR"/>
        </w:rPr>
        <w:t>entraînent</w:t>
      </w:r>
      <w:r w:rsidR="00F66982" w:rsidRPr="007B1676">
        <w:rPr>
          <w:rFonts w:cs="Arial"/>
          <w:lang w:val="fr-FR"/>
        </w:rPr>
        <w:noBreakHyphen/>
      </w:r>
      <w:r w:rsidR="00FF4550" w:rsidRPr="007B1676">
        <w:rPr>
          <w:rFonts w:cs="Arial"/>
          <w:lang w:val="fr-FR"/>
        </w:rPr>
        <w:t>elles pas une diminution de la diversité?</w:t>
      </w:r>
    </w:p>
    <w:p w:rsidR="00F77FD5" w:rsidRPr="007B1676" w:rsidRDefault="002A5A0C" w:rsidP="009408D6">
      <w:pPr>
        <w:pStyle w:val="ListParagraph"/>
        <w:numPr>
          <w:ilvl w:val="0"/>
          <w:numId w:val="13"/>
        </w:numPr>
        <w:ind w:left="567" w:hanging="567"/>
        <w:rPr>
          <w:rFonts w:cs="Arial"/>
          <w:lang w:val="fr-FR"/>
        </w:rPr>
      </w:pPr>
      <w:r w:rsidRPr="007B1676">
        <w:rPr>
          <w:rFonts w:cs="Arial"/>
          <w:lang w:val="fr-FR"/>
        </w:rPr>
        <w:t>Les obtenteurs peuvent</w:t>
      </w:r>
      <w:r w:rsidR="00F66982" w:rsidRPr="007B1676">
        <w:rPr>
          <w:rFonts w:cs="Arial"/>
          <w:lang w:val="fr-FR"/>
        </w:rPr>
        <w:noBreakHyphen/>
      </w:r>
      <w:r w:rsidRPr="007B1676">
        <w:rPr>
          <w:rFonts w:cs="Arial"/>
          <w:lang w:val="fr-FR"/>
        </w:rPr>
        <w:t xml:space="preserve">ils </w:t>
      </w:r>
      <w:proofErr w:type="gramStart"/>
      <w:r w:rsidRPr="007B1676">
        <w:rPr>
          <w:rFonts w:cs="Arial"/>
          <w:lang w:val="fr-FR"/>
        </w:rPr>
        <w:t>utiliser</w:t>
      </w:r>
      <w:proofErr w:type="gramEnd"/>
      <w:r w:rsidRPr="007B1676">
        <w:rPr>
          <w:rFonts w:cs="Arial"/>
          <w:lang w:val="fr-FR"/>
        </w:rPr>
        <w:t xml:space="preserve"> des variétés protégées dans leurs programmes de sélection?</w:t>
      </w:r>
    </w:p>
    <w:p w:rsidR="00F77FD5" w:rsidRPr="007B1676" w:rsidRDefault="002A5A0C" w:rsidP="009408D6">
      <w:pPr>
        <w:pStyle w:val="ListParagraph"/>
        <w:numPr>
          <w:ilvl w:val="0"/>
          <w:numId w:val="13"/>
        </w:numPr>
        <w:ind w:left="567" w:hanging="567"/>
        <w:rPr>
          <w:rFonts w:cs="Arial"/>
          <w:lang w:val="fr-FR"/>
        </w:rPr>
      </w:pPr>
      <w:r w:rsidRPr="007B1676">
        <w:rPr>
          <w:rFonts w:cs="Arial"/>
          <w:lang w:val="fr-FR"/>
        </w:rPr>
        <w:t>Qui peut protéger une obtention végétale?</w:t>
      </w:r>
    </w:p>
    <w:p w:rsidR="00F77FD5" w:rsidRPr="007B1676" w:rsidRDefault="002A5A0C" w:rsidP="009408D6">
      <w:pPr>
        <w:pStyle w:val="ListParagraph"/>
        <w:numPr>
          <w:ilvl w:val="0"/>
          <w:numId w:val="13"/>
        </w:numPr>
        <w:ind w:left="567" w:hanging="567"/>
        <w:rPr>
          <w:rFonts w:cs="Arial"/>
          <w:lang w:val="fr-FR"/>
        </w:rPr>
      </w:pPr>
      <w:r w:rsidRPr="007B1676">
        <w:rPr>
          <w:rFonts w:cs="Arial"/>
          <w:lang w:val="fr-FR"/>
        </w:rPr>
        <w:t>Où puis</w:t>
      </w:r>
      <w:r w:rsidR="00F66982" w:rsidRPr="007B1676">
        <w:rPr>
          <w:rFonts w:cs="Arial"/>
          <w:lang w:val="fr-FR"/>
        </w:rPr>
        <w:noBreakHyphen/>
      </w:r>
      <w:r w:rsidRPr="007B1676">
        <w:rPr>
          <w:rFonts w:cs="Arial"/>
          <w:lang w:val="fr-FR"/>
        </w:rPr>
        <w:t>je déposer une demande de protection d</w:t>
      </w:r>
      <w:r w:rsidR="00FC2AC8" w:rsidRPr="007B1676">
        <w:rPr>
          <w:rFonts w:cs="Arial"/>
          <w:lang w:val="fr-FR"/>
        </w:rPr>
        <w:t>’</w:t>
      </w:r>
      <w:r w:rsidRPr="007B1676">
        <w:rPr>
          <w:rFonts w:cs="Arial"/>
          <w:lang w:val="fr-FR"/>
        </w:rPr>
        <w:t>une variété?</w:t>
      </w:r>
      <w:r w:rsidR="00B45708" w:rsidRPr="007B1676">
        <w:rPr>
          <w:rFonts w:cs="Arial"/>
          <w:lang w:val="fr-FR"/>
        </w:rPr>
        <w:tab/>
      </w:r>
    </w:p>
    <w:p w:rsidR="00F77FD5" w:rsidRPr="007B1676" w:rsidRDefault="002A5A0C" w:rsidP="009408D6">
      <w:pPr>
        <w:pStyle w:val="ListParagraph"/>
        <w:numPr>
          <w:ilvl w:val="0"/>
          <w:numId w:val="13"/>
        </w:numPr>
        <w:ind w:left="567" w:hanging="567"/>
        <w:rPr>
          <w:rFonts w:cs="Arial"/>
          <w:lang w:val="fr-FR"/>
        </w:rPr>
      </w:pPr>
      <w:r w:rsidRPr="007B1676">
        <w:rPr>
          <w:rFonts w:cs="Arial"/>
          <w:lang w:val="fr-FR"/>
        </w:rPr>
        <w:t>Puis</w:t>
      </w:r>
      <w:r w:rsidR="00F66982" w:rsidRPr="007B1676">
        <w:rPr>
          <w:rFonts w:cs="Arial"/>
          <w:lang w:val="fr-FR"/>
        </w:rPr>
        <w:noBreakHyphen/>
      </w:r>
      <w:r w:rsidRPr="007B1676">
        <w:rPr>
          <w:rFonts w:cs="Arial"/>
          <w:lang w:val="fr-FR"/>
        </w:rPr>
        <w:t>je obtenir une protection dans plusieurs pays à la fois en ne déposant qu</w:t>
      </w:r>
      <w:r w:rsidR="00FC2AC8" w:rsidRPr="007B1676">
        <w:rPr>
          <w:rFonts w:cs="Arial"/>
          <w:lang w:val="fr-FR"/>
        </w:rPr>
        <w:t>’</w:t>
      </w:r>
      <w:r w:rsidRPr="007B1676">
        <w:rPr>
          <w:rFonts w:cs="Arial"/>
          <w:lang w:val="fr-FR"/>
        </w:rPr>
        <w:t>une seule demande?</w:t>
      </w:r>
    </w:p>
    <w:p w:rsidR="00F77FD5" w:rsidRPr="007B1676" w:rsidRDefault="002A5A0C" w:rsidP="009408D6">
      <w:pPr>
        <w:pStyle w:val="ListParagraph"/>
        <w:numPr>
          <w:ilvl w:val="0"/>
          <w:numId w:val="13"/>
        </w:numPr>
        <w:ind w:left="567" w:hanging="567"/>
        <w:rPr>
          <w:rFonts w:cs="Arial"/>
          <w:lang w:val="fr-FR"/>
        </w:rPr>
      </w:pPr>
      <w:r w:rsidRPr="007B1676">
        <w:rPr>
          <w:rFonts w:cs="Arial"/>
          <w:lang w:val="fr-FR"/>
        </w:rPr>
        <w:t>Quels sont les avantages découlant de la protection des obtentions végétales et de l</w:t>
      </w:r>
      <w:r w:rsidR="00FC2AC8" w:rsidRPr="007B1676">
        <w:rPr>
          <w:rFonts w:cs="Arial"/>
          <w:lang w:val="fr-FR"/>
        </w:rPr>
        <w:t>’</w:t>
      </w:r>
      <w:r w:rsidRPr="007B1676">
        <w:rPr>
          <w:rFonts w:cs="Arial"/>
          <w:lang w:val="fr-FR"/>
        </w:rPr>
        <w:t>adhésion à l</w:t>
      </w:r>
      <w:r w:rsidR="00FC2AC8" w:rsidRPr="007B1676">
        <w:rPr>
          <w:rFonts w:cs="Arial"/>
          <w:lang w:val="fr-FR"/>
        </w:rPr>
        <w:t>’</w:t>
      </w:r>
      <w:r w:rsidRPr="007B1676">
        <w:rPr>
          <w:rFonts w:cs="Arial"/>
          <w:lang w:val="fr-FR"/>
        </w:rPr>
        <w:t>UPOV?</w:t>
      </w:r>
    </w:p>
    <w:p w:rsidR="00F77FD5" w:rsidRPr="007B1676" w:rsidRDefault="002A5A0C" w:rsidP="009408D6">
      <w:pPr>
        <w:pStyle w:val="ListParagraph"/>
        <w:numPr>
          <w:ilvl w:val="0"/>
          <w:numId w:val="13"/>
        </w:numPr>
        <w:ind w:left="567" w:hanging="567"/>
        <w:rPr>
          <w:rFonts w:cs="Arial"/>
          <w:lang w:val="fr-FR"/>
        </w:rPr>
      </w:pPr>
      <w:r w:rsidRPr="007B1676">
        <w:rPr>
          <w:rFonts w:cs="Arial"/>
          <w:lang w:val="fr-FR"/>
        </w:rPr>
        <w:t>Quels sont les effets de la protection de certaines obtentions végétales sur les variétés qui ne sont pas protégées (par exemple les variétés traditionnelles, les variétés locales, etc.)?</w:t>
      </w:r>
    </w:p>
    <w:p w:rsidR="00F77FD5" w:rsidRPr="007B1676" w:rsidRDefault="002A5A0C" w:rsidP="009408D6">
      <w:pPr>
        <w:pStyle w:val="ListParagraph"/>
        <w:numPr>
          <w:ilvl w:val="0"/>
          <w:numId w:val="13"/>
        </w:numPr>
        <w:ind w:left="567" w:hanging="567"/>
        <w:rPr>
          <w:rFonts w:cs="Arial"/>
          <w:lang w:val="fr-FR"/>
        </w:rPr>
      </w:pPr>
      <w:r w:rsidRPr="007B1676">
        <w:rPr>
          <w:rFonts w:cs="Arial"/>
          <w:lang w:val="fr-FR"/>
        </w:rPr>
        <w:lastRenderedPageBreak/>
        <w:t xml:space="preserve">Quel est le lien entre la </w:t>
      </w:r>
      <w:r w:rsidR="00FC2AC8" w:rsidRPr="007B1676">
        <w:rPr>
          <w:rFonts w:cs="Arial"/>
          <w:lang w:val="fr-FR"/>
        </w:rPr>
        <w:t>Convention UPOV</w:t>
      </w:r>
      <w:r w:rsidRPr="007B1676">
        <w:rPr>
          <w:rFonts w:cs="Arial"/>
          <w:lang w:val="fr-FR"/>
        </w:rPr>
        <w:t xml:space="preserve"> et les traités internationaux concernant les ressources génétiques, notamment la Convention sur la diversité biologique (CDB) et le Traité international sur les ressources phytogénétiques pour l</w:t>
      </w:r>
      <w:r w:rsidR="00FC2AC8" w:rsidRPr="007B1676">
        <w:rPr>
          <w:rFonts w:cs="Arial"/>
          <w:lang w:val="fr-FR"/>
        </w:rPr>
        <w:t>’</w:t>
      </w:r>
      <w:r w:rsidRPr="007B1676">
        <w:rPr>
          <w:rFonts w:cs="Arial"/>
          <w:lang w:val="fr-FR"/>
        </w:rPr>
        <w:t>alimentation et l</w:t>
      </w:r>
      <w:r w:rsidR="00FC2AC8" w:rsidRPr="007B1676">
        <w:rPr>
          <w:rFonts w:cs="Arial"/>
          <w:lang w:val="fr-FR"/>
        </w:rPr>
        <w:t>’</w:t>
      </w:r>
      <w:r w:rsidRPr="007B1676">
        <w:rPr>
          <w:rFonts w:cs="Arial"/>
          <w:lang w:val="fr-FR"/>
        </w:rPr>
        <w:t>agriculture (TIRPAA)?</w:t>
      </w:r>
    </w:p>
    <w:p w:rsidR="00F77FD5" w:rsidRPr="007B1676" w:rsidRDefault="002A5A0C" w:rsidP="009408D6">
      <w:pPr>
        <w:pStyle w:val="ListParagraph"/>
        <w:numPr>
          <w:ilvl w:val="0"/>
          <w:numId w:val="13"/>
        </w:numPr>
        <w:ind w:left="567" w:hanging="567"/>
        <w:rPr>
          <w:rFonts w:cs="Arial"/>
          <w:lang w:val="fr-FR"/>
        </w:rPr>
      </w:pPr>
      <w:r w:rsidRPr="007B1676">
        <w:rPr>
          <w:rFonts w:cs="Arial"/>
          <w:lang w:val="fr-FR"/>
        </w:rPr>
        <w:t>Quel est le lien entre brevets et droits d</w:t>
      </w:r>
      <w:r w:rsidR="00FC2AC8" w:rsidRPr="007B1676">
        <w:rPr>
          <w:rFonts w:cs="Arial"/>
          <w:lang w:val="fr-FR"/>
        </w:rPr>
        <w:t>’</w:t>
      </w:r>
      <w:r w:rsidRPr="007B1676">
        <w:rPr>
          <w:rFonts w:cs="Arial"/>
          <w:lang w:val="fr-FR"/>
        </w:rPr>
        <w:t>obtenteur?</w:t>
      </w:r>
    </w:p>
    <w:p w:rsidR="00FC2AC8" w:rsidRPr="007B1676" w:rsidRDefault="002A5A0C" w:rsidP="009408D6">
      <w:pPr>
        <w:pStyle w:val="ListParagraph"/>
        <w:numPr>
          <w:ilvl w:val="0"/>
          <w:numId w:val="13"/>
        </w:numPr>
        <w:ind w:left="567" w:hanging="567"/>
        <w:rPr>
          <w:rFonts w:cs="Arial"/>
          <w:lang w:val="fr-FR"/>
        </w:rPr>
      </w:pPr>
      <w:r w:rsidRPr="007B1676">
        <w:rPr>
          <w:rFonts w:cs="Arial"/>
          <w:lang w:val="fr-FR"/>
        </w:rPr>
        <w:t>Quel est le lien entre les droits d</w:t>
      </w:r>
      <w:r w:rsidR="00FC2AC8" w:rsidRPr="007B1676">
        <w:rPr>
          <w:rFonts w:cs="Arial"/>
          <w:lang w:val="fr-FR"/>
        </w:rPr>
        <w:t>’</w:t>
      </w:r>
      <w:r w:rsidRPr="007B1676">
        <w:rPr>
          <w:rFonts w:cs="Arial"/>
          <w:lang w:val="fr-FR"/>
        </w:rPr>
        <w:t>obtenteur et les mesures de réglementation du commerce, par exemple la certification des semences, le registre officiel des variétés admises à la commercialisation (liste nationale, catalogue officiel), etc.?</w:t>
      </w:r>
    </w:p>
    <w:p w:rsidR="00F77FD5" w:rsidRPr="007B1676" w:rsidRDefault="002A5A0C" w:rsidP="009408D6">
      <w:pPr>
        <w:pStyle w:val="ListParagraph"/>
        <w:numPr>
          <w:ilvl w:val="0"/>
          <w:numId w:val="13"/>
        </w:numPr>
        <w:ind w:left="567" w:hanging="567"/>
        <w:rPr>
          <w:rFonts w:cs="Arial"/>
          <w:lang w:val="fr-FR"/>
        </w:rPr>
      </w:pPr>
      <w:r w:rsidRPr="007B1676">
        <w:rPr>
          <w:rFonts w:cs="Arial"/>
          <w:lang w:val="fr-FR"/>
        </w:rPr>
        <w:t>Puis</w:t>
      </w:r>
      <w:r w:rsidR="00F66982" w:rsidRPr="007B1676">
        <w:rPr>
          <w:rFonts w:cs="Arial"/>
          <w:lang w:val="fr-FR"/>
        </w:rPr>
        <w:noBreakHyphen/>
      </w:r>
      <w:r w:rsidRPr="007B1676">
        <w:rPr>
          <w:rFonts w:cs="Arial"/>
          <w:lang w:val="fr-FR"/>
        </w:rPr>
        <w:t>je protéger une plante ou une variété végétale existante que je découvre?</w:t>
      </w:r>
    </w:p>
    <w:p w:rsidR="00F77FD5" w:rsidRPr="007B1676" w:rsidRDefault="002A5A0C" w:rsidP="009408D6">
      <w:pPr>
        <w:pStyle w:val="ListParagraph"/>
        <w:numPr>
          <w:ilvl w:val="0"/>
          <w:numId w:val="13"/>
        </w:numPr>
        <w:ind w:left="567" w:hanging="567"/>
        <w:rPr>
          <w:rFonts w:cs="Arial"/>
          <w:lang w:val="fr-FR"/>
        </w:rPr>
      </w:pPr>
      <w:r w:rsidRPr="007B1676">
        <w:rPr>
          <w:rFonts w:cs="Arial"/>
          <w:lang w:val="fr-FR"/>
        </w:rPr>
        <w:t>Est</w:t>
      </w:r>
      <w:r w:rsidR="00F66982" w:rsidRPr="007B1676">
        <w:rPr>
          <w:rFonts w:cs="Arial"/>
          <w:lang w:val="fr-FR"/>
        </w:rPr>
        <w:noBreakHyphen/>
      </w:r>
      <w:r w:rsidRPr="007B1676">
        <w:rPr>
          <w:rFonts w:cs="Arial"/>
          <w:lang w:val="fr-FR"/>
        </w:rPr>
        <w:t xml:space="preserve">il possible, au titre de la </w:t>
      </w:r>
      <w:r w:rsidR="00FC2AC8" w:rsidRPr="007B1676">
        <w:rPr>
          <w:rFonts w:cs="Arial"/>
          <w:lang w:val="fr-FR"/>
        </w:rPr>
        <w:t>Convention UPOV</w:t>
      </w:r>
      <w:r w:rsidRPr="007B1676">
        <w:rPr>
          <w:rFonts w:cs="Arial"/>
          <w:lang w:val="fr-FR"/>
        </w:rPr>
        <w:t>, que la protection soit refusée à une variété au motif que celle</w:t>
      </w:r>
      <w:r w:rsidR="00F66982" w:rsidRPr="007B1676">
        <w:rPr>
          <w:rFonts w:cs="Arial"/>
          <w:lang w:val="fr-FR"/>
        </w:rPr>
        <w:noBreakHyphen/>
      </w:r>
      <w:r w:rsidRPr="007B1676">
        <w:rPr>
          <w:rFonts w:cs="Arial"/>
          <w:lang w:val="fr-FR"/>
        </w:rPr>
        <w:t>ci est génétiquement modifiée?</w:t>
      </w:r>
    </w:p>
    <w:p w:rsidR="00F77FD5" w:rsidRPr="007B1676" w:rsidRDefault="002A5A0C" w:rsidP="009408D6">
      <w:pPr>
        <w:pStyle w:val="ListParagraph"/>
        <w:numPr>
          <w:ilvl w:val="0"/>
          <w:numId w:val="13"/>
        </w:numPr>
        <w:ind w:left="567" w:hanging="567"/>
        <w:rPr>
          <w:rFonts w:cs="Arial"/>
          <w:lang w:val="fr-FR"/>
        </w:rPr>
      </w:pPr>
      <w:r w:rsidRPr="007B1676">
        <w:rPr>
          <w:rFonts w:cs="Arial"/>
          <w:lang w:val="fr-FR"/>
        </w:rPr>
        <w:t>La protection des variétés végétales peut</w:t>
      </w:r>
      <w:r w:rsidR="00F66982" w:rsidRPr="007B1676">
        <w:rPr>
          <w:rFonts w:cs="Arial"/>
          <w:lang w:val="fr-FR"/>
        </w:rPr>
        <w:noBreakHyphen/>
      </w:r>
      <w:r w:rsidRPr="007B1676">
        <w:rPr>
          <w:rFonts w:cs="Arial"/>
          <w:lang w:val="fr-FR"/>
        </w:rPr>
        <w:t>elle me permettre de protéger ce qui suit : un caractère (par exemple : résistance à la maladie, couleur de la fleur), une substance chimique ou autre (par exemple, huile, ADN), une technique d</w:t>
      </w:r>
      <w:r w:rsidR="00FC2AC8" w:rsidRPr="007B1676">
        <w:rPr>
          <w:rFonts w:cs="Arial"/>
          <w:lang w:val="fr-FR"/>
        </w:rPr>
        <w:t>’</w:t>
      </w:r>
      <w:r w:rsidRPr="007B1676">
        <w:rPr>
          <w:rFonts w:cs="Arial"/>
          <w:lang w:val="fr-FR"/>
        </w:rPr>
        <w:t>amélioration végétale (par exemple, culture de tissus)?</w:t>
      </w:r>
    </w:p>
    <w:p w:rsidR="00F77FD5" w:rsidRPr="007B1676" w:rsidRDefault="002A5A0C" w:rsidP="009408D6">
      <w:pPr>
        <w:pStyle w:val="ListParagraph"/>
        <w:numPr>
          <w:ilvl w:val="0"/>
          <w:numId w:val="13"/>
        </w:numPr>
        <w:ind w:left="567" w:hanging="567"/>
        <w:rPr>
          <w:rFonts w:cs="Arial"/>
          <w:lang w:val="fr-FR"/>
        </w:rPr>
      </w:pPr>
      <w:r w:rsidRPr="007B1676">
        <w:rPr>
          <w:rFonts w:cs="Arial"/>
          <w:lang w:val="fr-FR"/>
        </w:rPr>
        <w:t>Puis</w:t>
      </w:r>
      <w:r w:rsidR="00F66982" w:rsidRPr="007B1676">
        <w:rPr>
          <w:rFonts w:cs="Arial"/>
          <w:lang w:val="fr-FR"/>
        </w:rPr>
        <w:noBreakHyphen/>
      </w:r>
      <w:r w:rsidRPr="007B1676">
        <w:rPr>
          <w:rFonts w:cs="Arial"/>
          <w:lang w:val="fr-FR"/>
        </w:rPr>
        <w:t>je protéger une variété hybride dans le cadre du système UPOV?</w:t>
      </w:r>
    </w:p>
    <w:p w:rsidR="00F77FD5" w:rsidRPr="007B1676" w:rsidRDefault="002A5A0C" w:rsidP="009408D6">
      <w:pPr>
        <w:pStyle w:val="ListParagraph"/>
        <w:numPr>
          <w:ilvl w:val="0"/>
          <w:numId w:val="13"/>
        </w:numPr>
        <w:ind w:left="567" w:hanging="567"/>
        <w:rPr>
          <w:rFonts w:cs="Arial"/>
          <w:lang w:val="fr-FR"/>
        </w:rPr>
      </w:pPr>
      <w:r w:rsidRPr="007B1676">
        <w:rPr>
          <w:rFonts w:cs="Arial"/>
          <w:lang w:val="fr-FR"/>
        </w:rPr>
        <w:t>Un agriculteur peut</w:t>
      </w:r>
      <w:r w:rsidR="00F66982" w:rsidRPr="007B1676">
        <w:rPr>
          <w:rFonts w:cs="Arial"/>
          <w:lang w:val="fr-FR"/>
        </w:rPr>
        <w:noBreakHyphen/>
      </w:r>
      <w:r w:rsidRPr="007B1676">
        <w:rPr>
          <w:rFonts w:cs="Arial"/>
          <w:lang w:val="fr-FR"/>
        </w:rPr>
        <w:t xml:space="preserve">il </w:t>
      </w:r>
      <w:proofErr w:type="gramStart"/>
      <w:r w:rsidRPr="007B1676">
        <w:rPr>
          <w:rFonts w:cs="Arial"/>
          <w:lang w:val="fr-FR"/>
        </w:rPr>
        <w:t>replanter</w:t>
      </w:r>
      <w:proofErr w:type="gramEnd"/>
      <w:r w:rsidRPr="007B1676">
        <w:rPr>
          <w:rFonts w:cs="Arial"/>
          <w:lang w:val="fr-FR"/>
        </w:rPr>
        <w:t xml:space="preserve"> des semences d</w:t>
      </w:r>
      <w:r w:rsidR="00FC2AC8" w:rsidRPr="007B1676">
        <w:rPr>
          <w:rFonts w:cs="Arial"/>
          <w:lang w:val="fr-FR"/>
        </w:rPr>
        <w:t>’</w:t>
      </w:r>
      <w:r w:rsidRPr="007B1676">
        <w:rPr>
          <w:rFonts w:cs="Arial"/>
          <w:lang w:val="fr-FR"/>
        </w:rPr>
        <w:t>une variété protégée sans avoir obtenu l</w:t>
      </w:r>
      <w:r w:rsidR="00FC2AC8" w:rsidRPr="007B1676">
        <w:rPr>
          <w:rFonts w:cs="Arial"/>
          <w:lang w:val="fr-FR"/>
        </w:rPr>
        <w:t>’</w:t>
      </w:r>
      <w:r w:rsidRPr="007B1676">
        <w:rPr>
          <w:rFonts w:cs="Arial"/>
          <w:lang w:val="fr-FR"/>
        </w:rPr>
        <w:t>autorisation de l</w:t>
      </w:r>
      <w:r w:rsidR="00FC2AC8" w:rsidRPr="007B1676">
        <w:rPr>
          <w:rFonts w:cs="Arial"/>
          <w:lang w:val="fr-FR"/>
        </w:rPr>
        <w:t>’</w:t>
      </w:r>
      <w:r w:rsidRPr="007B1676">
        <w:rPr>
          <w:rFonts w:cs="Arial"/>
          <w:lang w:val="fr-FR"/>
        </w:rPr>
        <w:t>obtenteur?</w:t>
      </w:r>
    </w:p>
    <w:p w:rsidR="00F77FD5" w:rsidRPr="007B1676" w:rsidRDefault="002A5A0C" w:rsidP="009408D6">
      <w:pPr>
        <w:pStyle w:val="ListParagraph"/>
        <w:numPr>
          <w:ilvl w:val="0"/>
          <w:numId w:val="13"/>
        </w:numPr>
        <w:ind w:left="567" w:hanging="567"/>
        <w:rPr>
          <w:rFonts w:cs="Arial"/>
          <w:lang w:val="fr-FR"/>
        </w:rPr>
      </w:pPr>
      <w:r w:rsidRPr="007B1676">
        <w:rPr>
          <w:rFonts w:cs="Arial"/>
          <w:lang w:val="fr-FR"/>
        </w:rPr>
        <w:t>Un agriculteur peut</w:t>
      </w:r>
      <w:r w:rsidR="00F66982" w:rsidRPr="007B1676">
        <w:rPr>
          <w:rFonts w:cs="Arial"/>
          <w:lang w:val="fr-FR"/>
        </w:rPr>
        <w:noBreakHyphen/>
      </w:r>
      <w:r w:rsidRPr="007B1676">
        <w:rPr>
          <w:rFonts w:cs="Arial"/>
          <w:lang w:val="fr-FR"/>
        </w:rPr>
        <w:t>il vendre des semences d</w:t>
      </w:r>
      <w:r w:rsidR="00FC2AC8" w:rsidRPr="007B1676">
        <w:rPr>
          <w:rFonts w:cs="Arial"/>
          <w:lang w:val="fr-FR"/>
        </w:rPr>
        <w:t>’</w:t>
      </w:r>
      <w:r w:rsidRPr="007B1676">
        <w:rPr>
          <w:rFonts w:cs="Arial"/>
          <w:lang w:val="fr-FR"/>
        </w:rPr>
        <w:t>une variété protégée sans avoir obtenu l</w:t>
      </w:r>
      <w:r w:rsidR="00FC2AC8" w:rsidRPr="007B1676">
        <w:rPr>
          <w:rFonts w:cs="Arial"/>
          <w:lang w:val="fr-FR"/>
        </w:rPr>
        <w:t>’</w:t>
      </w:r>
      <w:r w:rsidRPr="007B1676">
        <w:rPr>
          <w:rFonts w:cs="Arial"/>
          <w:lang w:val="fr-FR"/>
        </w:rPr>
        <w:t>autorisation de l</w:t>
      </w:r>
      <w:r w:rsidR="00FC2AC8" w:rsidRPr="007B1676">
        <w:rPr>
          <w:rFonts w:cs="Arial"/>
          <w:lang w:val="fr-FR"/>
        </w:rPr>
        <w:t>’</w:t>
      </w:r>
      <w:r w:rsidRPr="007B1676">
        <w:rPr>
          <w:rFonts w:cs="Arial"/>
          <w:lang w:val="fr-FR"/>
        </w:rPr>
        <w:t>obtenteur?</w:t>
      </w:r>
    </w:p>
    <w:p w:rsidR="00F77FD5" w:rsidRPr="007B1676" w:rsidRDefault="002A5A0C" w:rsidP="009408D6">
      <w:pPr>
        <w:pStyle w:val="ListParagraph"/>
        <w:numPr>
          <w:ilvl w:val="0"/>
          <w:numId w:val="13"/>
        </w:numPr>
        <w:ind w:left="567" w:hanging="567"/>
        <w:rPr>
          <w:rFonts w:cs="Arial"/>
          <w:lang w:val="fr-FR"/>
        </w:rPr>
      </w:pPr>
      <w:r w:rsidRPr="007B1676">
        <w:rPr>
          <w:rFonts w:cs="Arial"/>
          <w:lang w:val="fr-FR"/>
        </w:rPr>
        <w:t>Comment puis</w:t>
      </w:r>
      <w:r w:rsidR="00F66982" w:rsidRPr="007B1676">
        <w:rPr>
          <w:rFonts w:cs="Arial"/>
          <w:lang w:val="fr-FR"/>
        </w:rPr>
        <w:noBreakHyphen/>
      </w:r>
      <w:r w:rsidRPr="007B1676">
        <w:rPr>
          <w:rFonts w:cs="Arial"/>
          <w:lang w:val="fr-FR"/>
        </w:rPr>
        <w:t>je savoir si une variété est protégée?</w:t>
      </w:r>
    </w:p>
    <w:p w:rsidR="00F77FD5" w:rsidRPr="007B1676" w:rsidRDefault="002A5A0C" w:rsidP="009408D6">
      <w:pPr>
        <w:pStyle w:val="ListParagraph"/>
        <w:numPr>
          <w:ilvl w:val="0"/>
          <w:numId w:val="13"/>
        </w:numPr>
        <w:ind w:left="567" w:hanging="567"/>
        <w:rPr>
          <w:rFonts w:cs="Arial"/>
          <w:lang w:val="fr-FR"/>
        </w:rPr>
      </w:pPr>
      <w:r w:rsidRPr="007B1676">
        <w:rPr>
          <w:rFonts w:cs="Arial"/>
          <w:lang w:val="fr-FR"/>
        </w:rPr>
        <w:t>Qui est chargé de faire appliquer les droits d</w:t>
      </w:r>
      <w:r w:rsidR="00FC2AC8" w:rsidRPr="007B1676">
        <w:rPr>
          <w:rFonts w:cs="Arial"/>
          <w:lang w:val="fr-FR"/>
        </w:rPr>
        <w:t>’</w:t>
      </w:r>
      <w:r w:rsidRPr="007B1676">
        <w:rPr>
          <w:rFonts w:cs="Arial"/>
          <w:lang w:val="fr-FR"/>
        </w:rPr>
        <w:t>obtenteur?</w:t>
      </w:r>
    </w:p>
    <w:p w:rsidR="00F77FD5" w:rsidRPr="007B1676" w:rsidRDefault="002A5A0C" w:rsidP="009408D6">
      <w:pPr>
        <w:pStyle w:val="ListParagraph"/>
        <w:numPr>
          <w:ilvl w:val="0"/>
          <w:numId w:val="13"/>
        </w:numPr>
        <w:ind w:left="567" w:hanging="567"/>
        <w:rPr>
          <w:rFonts w:cs="Arial"/>
          <w:lang w:val="fr-FR"/>
        </w:rPr>
      </w:pPr>
      <w:r w:rsidRPr="007B1676">
        <w:rPr>
          <w:rFonts w:cs="Arial"/>
          <w:lang w:val="fr-FR"/>
        </w:rPr>
        <w:t>L</w:t>
      </w:r>
      <w:r w:rsidR="00FC2AC8" w:rsidRPr="007B1676">
        <w:rPr>
          <w:rFonts w:cs="Arial"/>
          <w:lang w:val="fr-FR"/>
        </w:rPr>
        <w:t>’</w:t>
      </w:r>
      <w:r w:rsidRPr="007B1676">
        <w:rPr>
          <w:rFonts w:cs="Arial"/>
          <w:lang w:val="fr-FR"/>
        </w:rPr>
        <w:t xml:space="preserve">UPOV </w:t>
      </w:r>
      <w:r w:rsidR="00FF4550" w:rsidRPr="007B1676">
        <w:rPr>
          <w:rFonts w:cs="Arial"/>
          <w:lang w:val="fr-FR"/>
        </w:rPr>
        <w:t>permet</w:t>
      </w:r>
      <w:r w:rsidR="00F66982" w:rsidRPr="007B1676">
        <w:rPr>
          <w:rFonts w:cs="Arial"/>
          <w:lang w:val="fr-FR"/>
        </w:rPr>
        <w:noBreakHyphen/>
      </w:r>
      <w:r w:rsidR="00FF4550" w:rsidRPr="007B1676">
        <w:rPr>
          <w:rFonts w:cs="Arial"/>
          <w:lang w:val="fr-FR"/>
        </w:rPr>
        <w:t>elle de recourir à des techniques moléculaires (profils d</w:t>
      </w:r>
      <w:r w:rsidR="00FC2AC8" w:rsidRPr="007B1676">
        <w:rPr>
          <w:rFonts w:cs="Arial"/>
          <w:lang w:val="fr-FR"/>
        </w:rPr>
        <w:t>’</w:t>
      </w:r>
      <w:r w:rsidR="00FF4550" w:rsidRPr="007B1676">
        <w:rPr>
          <w:rFonts w:cs="Arial"/>
          <w:lang w:val="fr-FR"/>
        </w:rPr>
        <w:t>ADN) dans l</w:t>
      </w:r>
      <w:r w:rsidR="00FC2AC8" w:rsidRPr="007B1676">
        <w:rPr>
          <w:rFonts w:cs="Arial"/>
          <w:lang w:val="fr-FR"/>
        </w:rPr>
        <w:t>’</w:t>
      </w:r>
      <w:r w:rsidR="00FF4550" w:rsidRPr="007B1676">
        <w:rPr>
          <w:rFonts w:cs="Arial"/>
          <w:lang w:val="fr-FR"/>
        </w:rPr>
        <w:t>examen de la distinction, de l</w:t>
      </w:r>
      <w:r w:rsidR="00FC2AC8" w:rsidRPr="007B1676">
        <w:rPr>
          <w:rFonts w:cs="Arial"/>
          <w:lang w:val="fr-FR"/>
        </w:rPr>
        <w:t>’</w:t>
      </w:r>
      <w:r w:rsidR="00FF4550" w:rsidRPr="007B1676">
        <w:rPr>
          <w:rFonts w:cs="Arial"/>
          <w:lang w:val="fr-FR"/>
        </w:rPr>
        <w:t>homogénéité et de la stabilité (</w:t>
      </w:r>
      <w:r w:rsidRPr="007B1676">
        <w:rPr>
          <w:rFonts w:cs="Arial"/>
          <w:lang w:val="fr-FR"/>
        </w:rPr>
        <w:t>examen</w:t>
      </w:r>
      <w:r w:rsidR="00731AD3" w:rsidRPr="007B1676">
        <w:rPr>
          <w:rFonts w:cs="Arial"/>
          <w:lang w:val="fr-FR"/>
        </w:rPr>
        <w:t> </w:t>
      </w:r>
      <w:r w:rsidRPr="007B1676">
        <w:rPr>
          <w:rFonts w:cs="Arial"/>
          <w:lang w:val="fr-FR"/>
        </w:rPr>
        <w:t>DHS</w:t>
      </w:r>
      <w:r w:rsidR="00FF4550" w:rsidRPr="007B1676">
        <w:rPr>
          <w:rFonts w:cs="Arial"/>
          <w:lang w:val="fr-FR"/>
        </w:rPr>
        <w:t>)</w:t>
      </w:r>
      <w:r w:rsidRPr="007B1676">
        <w:rPr>
          <w:rFonts w:cs="Arial"/>
          <w:lang w:val="fr-FR"/>
        </w:rPr>
        <w:t>?</w:t>
      </w:r>
    </w:p>
    <w:p w:rsidR="00F77FD5" w:rsidRPr="007B1676" w:rsidRDefault="002A5A0C" w:rsidP="009408D6">
      <w:pPr>
        <w:pStyle w:val="ListParagraph"/>
        <w:numPr>
          <w:ilvl w:val="0"/>
          <w:numId w:val="13"/>
        </w:numPr>
        <w:ind w:left="567" w:hanging="567"/>
        <w:rPr>
          <w:lang w:val="fr-FR"/>
        </w:rPr>
      </w:pPr>
      <w:r w:rsidRPr="007B1676">
        <w:rPr>
          <w:lang w:val="fr-FR"/>
        </w:rPr>
        <w:t>Est</w:t>
      </w:r>
      <w:r w:rsidR="00F66982" w:rsidRPr="007B1676">
        <w:rPr>
          <w:lang w:val="fr-FR"/>
        </w:rPr>
        <w:noBreakHyphen/>
      </w:r>
      <w:r w:rsidRPr="007B1676">
        <w:rPr>
          <w:lang w:val="fr-FR"/>
        </w:rPr>
        <w:t xml:space="preserve">il </w:t>
      </w:r>
      <w:r w:rsidRPr="007B1676">
        <w:rPr>
          <w:rFonts w:cs="Arial"/>
          <w:lang w:val="fr-FR"/>
        </w:rPr>
        <w:t>vrai</w:t>
      </w:r>
      <w:r w:rsidRPr="007B1676">
        <w:rPr>
          <w:lang w:val="fr-FR"/>
        </w:rPr>
        <w:t xml:space="preserve"> que l</w:t>
      </w:r>
      <w:r w:rsidR="00FC2AC8" w:rsidRPr="007B1676">
        <w:rPr>
          <w:lang w:val="fr-FR"/>
        </w:rPr>
        <w:t>’</w:t>
      </w:r>
      <w:r w:rsidRPr="007B1676">
        <w:rPr>
          <w:lang w:val="fr-FR"/>
        </w:rPr>
        <w:t>UPOV encourage uniquement la mise au point de variétés végétales à des fins commerciales destinées à l</w:t>
      </w:r>
      <w:r w:rsidR="00FC2AC8" w:rsidRPr="007B1676">
        <w:rPr>
          <w:lang w:val="fr-FR"/>
        </w:rPr>
        <w:t>’</w:t>
      </w:r>
      <w:r w:rsidRPr="007B1676">
        <w:rPr>
          <w:lang w:val="fr-FR"/>
        </w:rPr>
        <w:t>agriculture industrielle?</w:t>
      </w:r>
    </w:p>
    <w:p w:rsidR="00F77FD5" w:rsidRPr="007B1676" w:rsidRDefault="00F77FD5" w:rsidP="001D140D">
      <w:pPr>
        <w:rPr>
          <w:lang w:val="fr-FR"/>
        </w:rPr>
      </w:pPr>
    </w:p>
    <w:p w:rsidR="00F77FD5" w:rsidRPr="007B1676" w:rsidRDefault="00A21CDF" w:rsidP="00EA7B64">
      <w:pPr>
        <w:keepNext/>
        <w:rPr>
          <w:rFonts w:cs="Arial"/>
          <w:lang w:val="fr-FR"/>
        </w:rPr>
      </w:pPr>
      <w:r w:rsidRPr="007B1676">
        <w:rPr>
          <w:rFonts w:cs="Arial"/>
          <w:lang w:val="fr-FR"/>
        </w:rPr>
        <w:fldChar w:fldCharType="begin"/>
      </w:r>
      <w:r w:rsidRPr="007B1676">
        <w:rPr>
          <w:rFonts w:cs="Arial"/>
          <w:lang w:val="fr-FR"/>
        </w:rPr>
        <w:instrText xml:space="preserve"> AUTONUM  </w:instrText>
      </w:r>
      <w:r w:rsidRPr="007B1676">
        <w:rPr>
          <w:rFonts w:cs="Arial"/>
          <w:lang w:val="fr-FR"/>
        </w:rPr>
        <w:fldChar w:fldCharType="end"/>
      </w:r>
      <w:r w:rsidRPr="007B1676">
        <w:rPr>
          <w:rFonts w:cs="Arial"/>
          <w:lang w:val="fr-FR"/>
        </w:rPr>
        <w:tab/>
      </w:r>
      <w:r w:rsidR="00FF4550" w:rsidRPr="007B1676">
        <w:rPr>
          <w:rFonts w:cs="Arial"/>
          <w:lang w:val="fr-FR"/>
        </w:rPr>
        <w:t>À sa quarante</w:t>
      </w:r>
      <w:r w:rsidR="00F66982" w:rsidRPr="007B1676">
        <w:rPr>
          <w:rFonts w:cs="Arial"/>
          <w:lang w:val="fr-FR"/>
        </w:rPr>
        <w:noBreakHyphen/>
      </w:r>
      <w:r w:rsidR="00FF4550" w:rsidRPr="007B1676">
        <w:rPr>
          <w:rFonts w:cs="Arial"/>
          <w:lang w:val="fr-FR"/>
        </w:rPr>
        <w:t>huitième</w:t>
      </w:r>
      <w:r w:rsidR="00731AD3" w:rsidRPr="007B1676">
        <w:rPr>
          <w:rFonts w:cs="Arial"/>
          <w:lang w:val="fr-FR"/>
        </w:rPr>
        <w:t> </w:t>
      </w:r>
      <w:r w:rsidR="00FF4550" w:rsidRPr="007B1676">
        <w:rPr>
          <w:rFonts w:cs="Arial"/>
          <w:lang w:val="fr-FR"/>
        </w:rPr>
        <w:t>session ordinaire, l</w:t>
      </w:r>
      <w:r w:rsidR="009408D6" w:rsidRPr="007B1676">
        <w:rPr>
          <w:rFonts w:cs="Arial"/>
          <w:lang w:val="fr-FR"/>
        </w:rPr>
        <w:t xml:space="preserve">e Conseil </w:t>
      </w:r>
      <w:r w:rsidR="00FF4550" w:rsidRPr="007B1676">
        <w:rPr>
          <w:rFonts w:cs="Arial"/>
          <w:lang w:val="fr-FR"/>
        </w:rPr>
        <w:t>est convenu des réponses aux questions fréquemment posées suivantes :</w:t>
      </w:r>
    </w:p>
    <w:p w:rsidR="00F77FD5" w:rsidRPr="007B1676" w:rsidRDefault="00F77FD5" w:rsidP="00EA7B64">
      <w:pPr>
        <w:keepNext/>
        <w:rPr>
          <w:rFonts w:cs="Arial"/>
          <w:lang w:val="fr-FR"/>
        </w:rPr>
      </w:pPr>
    </w:p>
    <w:p w:rsidR="00F77FD5" w:rsidRPr="007B1676" w:rsidRDefault="002A5A0C" w:rsidP="002A5A0C">
      <w:pPr>
        <w:pStyle w:val="ListParagraph"/>
        <w:keepNext/>
        <w:numPr>
          <w:ilvl w:val="0"/>
          <w:numId w:val="10"/>
        </w:numPr>
        <w:rPr>
          <w:rFonts w:cs="Arial"/>
          <w:lang w:val="fr-FR"/>
        </w:rPr>
      </w:pPr>
      <w:r w:rsidRPr="007B1676">
        <w:rPr>
          <w:rFonts w:cs="Arial"/>
          <w:lang w:val="fr-FR"/>
        </w:rPr>
        <w:t>Est</w:t>
      </w:r>
      <w:r w:rsidR="00F66982" w:rsidRPr="007B1676">
        <w:rPr>
          <w:rFonts w:cs="Arial"/>
          <w:lang w:val="fr-FR"/>
        </w:rPr>
        <w:noBreakHyphen/>
      </w:r>
      <w:r w:rsidRPr="007B1676">
        <w:rPr>
          <w:rFonts w:cs="Arial"/>
          <w:lang w:val="fr-FR"/>
        </w:rPr>
        <w:t>ce que la Convention de l</w:t>
      </w:r>
      <w:r w:rsidR="00FC2AC8" w:rsidRPr="007B1676">
        <w:rPr>
          <w:rFonts w:cs="Arial"/>
          <w:lang w:val="fr-FR"/>
        </w:rPr>
        <w:t>’</w:t>
      </w:r>
      <w:r w:rsidRPr="007B1676">
        <w:rPr>
          <w:rFonts w:cs="Arial"/>
          <w:lang w:val="fr-FR"/>
        </w:rPr>
        <w:t>UPOV réglemente les variétés qui ne sont pas protégées par des droits d</w:t>
      </w:r>
      <w:r w:rsidR="00FC2AC8" w:rsidRPr="007B1676">
        <w:rPr>
          <w:rFonts w:cs="Arial"/>
          <w:lang w:val="fr-FR"/>
        </w:rPr>
        <w:t>’</w:t>
      </w:r>
      <w:r w:rsidRPr="007B1676">
        <w:rPr>
          <w:rFonts w:cs="Arial"/>
          <w:lang w:val="fr-FR"/>
        </w:rPr>
        <w:t>obtenteurs?</w:t>
      </w:r>
    </w:p>
    <w:p w:rsidR="00F77FD5" w:rsidRPr="007B1676" w:rsidRDefault="002A5A0C" w:rsidP="002A5A0C">
      <w:pPr>
        <w:pStyle w:val="ListParagraph"/>
        <w:numPr>
          <w:ilvl w:val="0"/>
          <w:numId w:val="10"/>
        </w:numPr>
        <w:rPr>
          <w:rFonts w:cs="Arial"/>
          <w:lang w:val="fr-FR"/>
        </w:rPr>
      </w:pPr>
      <w:r w:rsidRPr="007B1676">
        <w:rPr>
          <w:rFonts w:cs="Arial"/>
          <w:lang w:val="fr-FR"/>
        </w:rPr>
        <w:t>Les agriculteurs de subsistance ont</w:t>
      </w:r>
      <w:r w:rsidR="00F66982" w:rsidRPr="007B1676">
        <w:rPr>
          <w:rFonts w:cs="Arial"/>
          <w:lang w:val="fr-FR"/>
        </w:rPr>
        <w:noBreakHyphen/>
      </w:r>
      <w:r w:rsidRPr="007B1676">
        <w:rPr>
          <w:rFonts w:cs="Arial"/>
          <w:lang w:val="fr-FR"/>
        </w:rPr>
        <w:t>ils la possibilité d</w:t>
      </w:r>
      <w:r w:rsidR="00FC2AC8" w:rsidRPr="007B1676">
        <w:rPr>
          <w:rFonts w:cs="Arial"/>
          <w:lang w:val="fr-FR"/>
        </w:rPr>
        <w:t>’</w:t>
      </w:r>
      <w:r w:rsidRPr="007B1676">
        <w:rPr>
          <w:rFonts w:cs="Arial"/>
          <w:lang w:val="fr-FR"/>
        </w:rPr>
        <w:t>échanger du matériel de reproduction ou de multiplication de variétés protégées contre d</w:t>
      </w:r>
      <w:r w:rsidR="00FC2AC8" w:rsidRPr="007B1676">
        <w:rPr>
          <w:rFonts w:cs="Arial"/>
          <w:lang w:val="fr-FR"/>
        </w:rPr>
        <w:t>’</w:t>
      </w:r>
      <w:r w:rsidRPr="007B1676">
        <w:rPr>
          <w:rFonts w:cs="Arial"/>
          <w:lang w:val="fr-FR"/>
        </w:rPr>
        <w:t>autres produits essentiels au sein de la communauté local</w:t>
      </w:r>
      <w:r w:rsidR="00FF4550" w:rsidRPr="007B1676">
        <w:rPr>
          <w:rFonts w:cs="Arial"/>
          <w:lang w:val="fr-FR"/>
        </w:rPr>
        <w:t>e</w:t>
      </w:r>
      <w:r w:rsidRPr="007B1676">
        <w:rPr>
          <w:rFonts w:cs="Arial"/>
          <w:lang w:val="fr-FR"/>
        </w:rPr>
        <w:t>?</w:t>
      </w:r>
    </w:p>
    <w:p w:rsidR="00F77FD5" w:rsidRPr="007B1676" w:rsidRDefault="008D20F3" w:rsidP="002A5A0C">
      <w:pPr>
        <w:pStyle w:val="ListParagraph"/>
        <w:numPr>
          <w:ilvl w:val="0"/>
          <w:numId w:val="10"/>
        </w:numPr>
        <w:rPr>
          <w:rFonts w:cs="Arial"/>
          <w:lang w:val="fr-FR"/>
        </w:rPr>
      </w:pPr>
      <w:r w:rsidRPr="007B1676">
        <w:rPr>
          <w:rFonts w:cs="Arial"/>
          <w:lang w:val="fr-FR"/>
        </w:rPr>
        <w:t>S</w:t>
      </w:r>
      <w:r w:rsidR="002A5A0C" w:rsidRPr="007B1676">
        <w:rPr>
          <w:rFonts w:cs="Arial"/>
          <w:lang w:val="fr-FR"/>
        </w:rPr>
        <w:t>elon le système de l</w:t>
      </w:r>
      <w:r w:rsidR="00FC2AC8" w:rsidRPr="007B1676">
        <w:rPr>
          <w:rFonts w:cs="Arial"/>
          <w:lang w:val="fr-FR"/>
        </w:rPr>
        <w:t>’</w:t>
      </w:r>
      <w:r w:rsidR="002A5A0C" w:rsidRPr="007B1676">
        <w:rPr>
          <w:rFonts w:cs="Arial"/>
          <w:lang w:val="fr-FR"/>
        </w:rPr>
        <w:t>UPOV, les obtenteurs décident des conditions et limites dans lesquelles ils autorisent l</w:t>
      </w:r>
      <w:r w:rsidR="00FC2AC8" w:rsidRPr="007B1676">
        <w:rPr>
          <w:rFonts w:cs="Arial"/>
          <w:lang w:val="fr-FR"/>
        </w:rPr>
        <w:t>’</w:t>
      </w:r>
      <w:r w:rsidR="002A5A0C" w:rsidRPr="007B1676">
        <w:rPr>
          <w:rFonts w:cs="Arial"/>
          <w:lang w:val="fr-FR"/>
        </w:rPr>
        <w:t>exploitation de leurs variétés protégées.</w:t>
      </w:r>
      <w:r w:rsidRPr="007B1676">
        <w:rPr>
          <w:rFonts w:cs="Arial"/>
          <w:lang w:val="fr-FR"/>
        </w:rPr>
        <w:t xml:space="preserve"> </w:t>
      </w:r>
      <w:r w:rsidR="00A21CDF" w:rsidRPr="007B1676">
        <w:rPr>
          <w:lang w:val="fr-FR"/>
        </w:rPr>
        <w:t xml:space="preserve"> </w:t>
      </w:r>
      <w:r w:rsidR="002A5A0C" w:rsidRPr="007B1676">
        <w:rPr>
          <w:rFonts w:cs="Arial"/>
          <w:lang w:val="fr-FR"/>
        </w:rPr>
        <w:t>Les agriculteurs peuvent</w:t>
      </w:r>
      <w:r w:rsidR="00F66982" w:rsidRPr="007B1676">
        <w:rPr>
          <w:rFonts w:cs="Arial"/>
          <w:lang w:val="fr-FR"/>
        </w:rPr>
        <w:noBreakHyphen/>
      </w:r>
      <w:r w:rsidR="002A5A0C" w:rsidRPr="007B1676">
        <w:rPr>
          <w:rFonts w:cs="Arial"/>
          <w:lang w:val="fr-FR"/>
        </w:rPr>
        <w:t>ils par exemple être autorisés à échanger librement des semences au sein de la communauté locale?</w:t>
      </w:r>
    </w:p>
    <w:p w:rsidR="00F77FD5" w:rsidRPr="007B1676" w:rsidRDefault="00F77FD5" w:rsidP="00A21CDF">
      <w:pPr>
        <w:rPr>
          <w:rFonts w:cs="Arial"/>
          <w:lang w:val="fr-FR"/>
        </w:rPr>
      </w:pPr>
    </w:p>
    <w:p w:rsidR="00FC2AC8" w:rsidRPr="007B1676" w:rsidRDefault="008D20F3" w:rsidP="008D20F3">
      <w:pPr>
        <w:rPr>
          <w:rFonts w:cs="Arial"/>
          <w:lang w:val="fr-FR"/>
        </w:rPr>
      </w:pPr>
      <w:proofErr w:type="gramStart"/>
      <w:r w:rsidRPr="007B1676">
        <w:rPr>
          <w:rFonts w:cs="Arial"/>
          <w:lang w:val="fr-FR"/>
        </w:rPr>
        <w:t>et</w:t>
      </w:r>
      <w:proofErr w:type="gramEnd"/>
      <w:r w:rsidRPr="007B1676">
        <w:rPr>
          <w:rFonts w:cs="Arial"/>
          <w:lang w:val="fr-FR"/>
        </w:rPr>
        <w:t xml:space="preserve"> il est convenu de réviser la question fréquemment posée suivante</w:t>
      </w:r>
      <w:r w:rsidR="00731AD3" w:rsidRPr="007B1676">
        <w:rPr>
          <w:rFonts w:cs="Arial"/>
          <w:lang w:val="fr-FR"/>
        </w:rPr>
        <w:t> </w:t>
      </w:r>
      <w:r w:rsidRPr="007B1676">
        <w:rPr>
          <w:rFonts w:cs="Arial"/>
          <w:lang w:val="fr-FR"/>
        </w:rPr>
        <w:t>:</w:t>
      </w:r>
    </w:p>
    <w:p w:rsidR="00F77FD5" w:rsidRPr="007B1676" w:rsidRDefault="00F77FD5" w:rsidP="008D20F3">
      <w:pPr>
        <w:pStyle w:val="ListParagraph"/>
        <w:rPr>
          <w:rFonts w:cs="Arial"/>
          <w:lang w:val="fr-FR"/>
        </w:rPr>
      </w:pPr>
    </w:p>
    <w:p w:rsidR="00F77FD5" w:rsidRPr="007B1676" w:rsidRDefault="002A5A0C" w:rsidP="008D20F3">
      <w:pPr>
        <w:pStyle w:val="ListParagraph"/>
        <w:numPr>
          <w:ilvl w:val="0"/>
          <w:numId w:val="10"/>
        </w:numPr>
        <w:rPr>
          <w:rFonts w:cs="Arial"/>
          <w:lang w:val="fr-FR"/>
        </w:rPr>
      </w:pPr>
      <w:r w:rsidRPr="007B1676">
        <w:rPr>
          <w:rFonts w:cs="Arial"/>
          <w:lang w:val="fr-FR"/>
        </w:rPr>
        <w:t>Pourquoi est</w:t>
      </w:r>
      <w:r w:rsidR="00F66982" w:rsidRPr="007B1676">
        <w:rPr>
          <w:rFonts w:cs="Arial"/>
          <w:lang w:val="fr-FR"/>
        </w:rPr>
        <w:noBreakHyphen/>
      </w:r>
      <w:r w:rsidRPr="007B1676">
        <w:rPr>
          <w:rFonts w:cs="Arial"/>
          <w:lang w:val="fr-FR"/>
        </w:rPr>
        <w:t>il nécessaire de protéger les variétés végétales?</w:t>
      </w:r>
    </w:p>
    <w:p w:rsidR="00F77FD5" w:rsidRPr="007B1676" w:rsidRDefault="00F77FD5" w:rsidP="001D140D">
      <w:pPr>
        <w:rPr>
          <w:lang w:val="fr-FR"/>
        </w:rPr>
      </w:pPr>
    </w:p>
    <w:p w:rsidR="00F77FD5" w:rsidRPr="007B1676" w:rsidRDefault="00F77FD5" w:rsidP="001D140D">
      <w:pPr>
        <w:rPr>
          <w:lang w:val="fr-FR"/>
        </w:rPr>
      </w:pPr>
    </w:p>
    <w:p w:rsidR="00F77FD5" w:rsidRPr="007B1676" w:rsidRDefault="00BC060E" w:rsidP="0085250E">
      <w:pPr>
        <w:pStyle w:val="Heading2"/>
        <w:rPr>
          <w:color w:val="auto"/>
        </w:rPr>
      </w:pPr>
      <w:bookmarkStart w:id="28" w:name="_Toc413662353"/>
      <w:r w:rsidRPr="007B1676">
        <w:rPr>
          <w:color w:val="auto"/>
        </w:rPr>
        <w:t>Publication sur la trilogie</w:t>
      </w:r>
      <w:bookmarkEnd w:id="28"/>
    </w:p>
    <w:p w:rsidR="00F77FD5" w:rsidRPr="007B1676" w:rsidRDefault="00F77FD5" w:rsidP="001D140D">
      <w:pPr>
        <w:keepNext/>
        <w:rPr>
          <w:lang w:val="fr-FR"/>
        </w:rPr>
      </w:pPr>
    </w:p>
    <w:p w:rsidR="00F77FD5" w:rsidRPr="007B1676" w:rsidRDefault="008D20F3" w:rsidP="00A21CDF">
      <w:pPr>
        <w:rPr>
          <w:snapToGrid w:val="0"/>
          <w:lang w:val="fr-FR"/>
        </w:rPr>
      </w:pPr>
      <w:r w:rsidRPr="007B1676">
        <w:rPr>
          <w:snapToGrid w:val="0"/>
          <w:lang w:val="fr-FR"/>
        </w:rPr>
        <w:t xml:space="preserve">La </w:t>
      </w:r>
      <w:r w:rsidR="00BC060E" w:rsidRPr="007B1676">
        <w:rPr>
          <w:snapToGrid w:val="0"/>
          <w:lang w:val="fr-FR"/>
        </w:rPr>
        <w:t>publication sur la t</w:t>
      </w:r>
      <w:r w:rsidR="00A21CDF" w:rsidRPr="007B1676">
        <w:rPr>
          <w:snapToGrid w:val="0"/>
          <w:lang w:val="fr-FR"/>
        </w:rPr>
        <w:t>rilog</w:t>
      </w:r>
      <w:r w:rsidR="00BC060E" w:rsidRPr="007B1676">
        <w:rPr>
          <w:snapToGrid w:val="0"/>
          <w:lang w:val="fr-FR"/>
        </w:rPr>
        <w:t>ie</w:t>
      </w:r>
      <w:r w:rsidR="00A21CDF" w:rsidRPr="007B1676">
        <w:rPr>
          <w:rStyle w:val="FootnoteReference"/>
          <w:snapToGrid w:val="0"/>
          <w:lang w:val="fr-FR"/>
        </w:rPr>
        <w:footnoteReference w:id="2"/>
      </w:r>
      <w:r w:rsidR="00A21CDF" w:rsidRPr="007B1676">
        <w:rPr>
          <w:snapToGrid w:val="0"/>
          <w:lang w:val="fr-FR"/>
        </w:rPr>
        <w:t xml:space="preserve">, </w:t>
      </w:r>
      <w:r w:rsidR="00FC2AC8" w:rsidRPr="007B1676">
        <w:rPr>
          <w:snapToGrid w:val="0"/>
          <w:lang w:val="fr-FR"/>
        </w:rPr>
        <w:t>y compris</w:t>
      </w:r>
      <w:r w:rsidRPr="007B1676">
        <w:rPr>
          <w:snapToGrid w:val="0"/>
          <w:lang w:val="fr-FR"/>
        </w:rPr>
        <w:t xml:space="preserve"> son résumé, </w:t>
      </w:r>
      <w:r w:rsidR="00702AE7" w:rsidRPr="007B1676">
        <w:rPr>
          <w:snapToGrid w:val="0"/>
          <w:lang w:val="fr-FR"/>
        </w:rPr>
        <w:t>ont</w:t>
      </w:r>
      <w:r w:rsidRPr="007B1676">
        <w:rPr>
          <w:snapToGrid w:val="0"/>
          <w:lang w:val="fr-FR"/>
        </w:rPr>
        <w:t xml:space="preserve"> été publié</w:t>
      </w:r>
      <w:r w:rsidR="00702AE7" w:rsidRPr="007B1676">
        <w:rPr>
          <w:snapToGrid w:val="0"/>
          <w:lang w:val="fr-FR"/>
        </w:rPr>
        <w:t>s</w:t>
      </w:r>
      <w:r w:rsidRPr="007B1676">
        <w:rPr>
          <w:snapToGrid w:val="0"/>
          <w:lang w:val="fr-FR"/>
        </w:rPr>
        <w:t xml:space="preserve"> en français (voir</w:t>
      </w:r>
      <w:r w:rsidR="00A21CDF" w:rsidRPr="007B1676">
        <w:rPr>
          <w:snapToGrid w:val="0"/>
          <w:lang w:val="fr-FR"/>
        </w:rPr>
        <w:t xml:space="preserve"> </w:t>
      </w:r>
      <w:r w:rsidR="00CB14E0">
        <w:fldChar w:fldCharType="begin"/>
      </w:r>
      <w:r w:rsidR="00CB14E0" w:rsidRPr="00CB14E0">
        <w:rPr>
          <w:lang w:val="fr-CH"/>
        </w:rPr>
        <w:instrText xml:space="preserve"> HYPERLINK "http://www.upov.int/about/fr/benefits_upov_system.html" </w:instrText>
      </w:r>
      <w:r w:rsidR="00CB14E0">
        <w:fldChar w:fldCharType="separate"/>
      </w:r>
      <w:r w:rsidR="00163264" w:rsidRPr="00CA24E1">
        <w:rPr>
          <w:rStyle w:val="Hyperlink"/>
          <w:snapToGrid w:val="0"/>
          <w:lang w:val="fr-FR"/>
        </w:rPr>
        <w:t>http://www.upov.int/about/fr/benefits_upov_system.html</w:t>
      </w:r>
      <w:r w:rsidR="00CB14E0">
        <w:rPr>
          <w:rStyle w:val="Hyperlink"/>
          <w:snapToGrid w:val="0"/>
          <w:lang w:val="fr-FR"/>
        </w:rPr>
        <w:fldChar w:fldCharType="end"/>
      </w:r>
      <w:r w:rsidR="00A21CDF" w:rsidRPr="007B1676">
        <w:rPr>
          <w:snapToGrid w:val="0"/>
          <w:lang w:val="fr-FR"/>
        </w:rPr>
        <w:t>)</w:t>
      </w:r>
      <w:r w:rsidRPr="007B1676">
        <w:rPr>
          <w:snapToGrid w:val="0"/>
          <w:lang w:val="fr-FR"/>
        </w:rPr>
        <w:t xml:space="preserve"> et en espagnol (voir</w:t>
      </w:r>
      <w:r w:rsidR="00A21CDF" w:rsidRPr="007B1676">
        <w:rPr>
          <w:snapToGrid w:val="0"/>
          <w:lang w:val="fr-FR"/>
        </w:rPr>
        <w:t xml:space="preserve"> </w:t>
      </w:r>
      <w:r w:rsidR="00CB14E0">
        <w:fldChar w:fldCharType="begin"/>
      </w:r>
      <w:r w:rsidR="00CB14E0" w:rsidRPr="00CB14E0">
        <w:rPr>
          <w:lang w:val="fr-CH"/>
        </w:rPr>
        <w:instrText xml:space="preserve"> HYPERLINK "http://www.upov.int/about/es/benefits_upov_system.html" </w:instrText>
      </w:r>
      <w:r w:rsidR="00CB14E0">
        <w:fldChar w:fldCharType="separate"/>
      </w:r>
      <w:r w:rsidR="00163264" w:rsidRPr="00CA24E1">
        <w:rPr>
          <w:rStyle w:val="Hyperlink"/>
          <w:snapToGrid w:val="0"/>
          <w:lang w:val="fr-FR"/>
        </w:rPr>
        <w:t>http://www.upov.int/about/es/benefits_upov_system.html</w:t>
      </w:r>
      <w:r w:rsidR="00CB14E0">
        <w:rPr>
          <w:rStyle w:val="Hyperlink"/>
          <w:snapToGrid w:val="0"/>
          <w:lang w:val="fr-FR"/>
        </w:rPr>
        <w:fldChar w:fldCharType="end"/>
      </w:r>
      <w:r w:rsidR="00A21CDF" w:rsidRPr="007B1676">
        <w:rPr>
          <w:snapToGrid w:val="0"/>
          <w:lang w:val="fr-FR"/>
        </w:rPr>
        <w:t>).</w:t>
      </w:r>
    </w:p>
    <w:p w:rsidR="00F77FD5" w:rsidRPr="007B1676" w:rsidRDefault="00F77FD5" w:rsidP="001D140D">
      <w:pPr>
        <w:rPr>
          <w:lang w:val="fr-FR"/>
        </w:rPr>
      </w:pPr>
    </w:p>
    <w:p w:rsidR="00F77FD5" w:rsidRPr="007B1676" w:rsidRDefault="00F77FD5" w:rsidP="001D140D">
      <w:pPr>
        <w:rPr>
          <w:lang w:val="fr-FR"/>
        </w:rPr>
      </w:pPr>
    </w:p>
    <w:p w:rsidR="00F77FD5" w:rsidRPr="007B1676" w:rsidRDefault="002A5A0C" w:rsidP="0085250E">
      <w:pPr>
        <w:pStyle w:val="Heading2"/>
        <w:rPr>
          <w:color w:val="auto"/>
        </w:rPr>
      </w:pPr>
      <w:bookmarkStart w:id="29" w:name="_Toc413662354"/>
      <w:r w:rsidRPr="007B1676">
        <w:rPr>
          <w:color w:val="auto"/>
        </w:rPr>
        <w:t>Séminaire sur les variétés essentiellement dérivées</w:t>
      </w:r>
      <w:bookmarkEnd w:id="29"/>
    </w:p>
    <w:p w:rsidR="00F77FD5" w:rsidRPr="007B1676" w:rsidRDefault="00F77FD5" w:rsidP="001D140D">
      <w:pPr>
        <w:rPr>
          <w:rFonts w:cs="Arial"/>
          <w:highlight w:val="yellow"/>
          <w:lang w:val="fr-FR"/>
        </w:rPr>
      </w:pPr>
    </w:p>
    <w:p w:rsidR="00FC2AC8" w:rsidRPr="007B1676" w:rsidRDefault="00A55B16" w:rsidP="0095770C">
      <w:pPr>
        <w:rPr>
          <w:lang w:val="fr-FR"/>
        </w:rPr>
      </w:pPr>
      <w:r w:rsidRPr="007B1676">
        <w:rPr>
          <w:lang w:val="fr-FR"/>
        </w:rPr>
        <w:fldChar w:fldCharType="begin"/>
      </w:r>
      <w:r w:rsidRPr="007B1676">
        <w:rPr>
          <w:lang w:val="fr-FR"/>
        </w:rPr>
        <w:instrText xml:space="preserve"> AUTONUM  </w:instrText>
      </w:r>
      <w:r w:rsidRPr="007B1676">
        <w:rPr>
          <w:lang w:val="fr-FR"/>
        </w:rPr>
        <w:fldChar w:fldCharType="end"/>
      </w:r>
      <w:r w:rsidRPr="007B1676">
        <w:rPr>
          <w:lang w:val="fr-FR"/>
        </w:rPr>
        <w:tab/>
      </w:r>
      <w:r w:rsidR="008D20F3" w:rsidRPr="007B1676">
        <w:rPr>
          <w:lang w:val="fr-FR"/>
        </w:rPr>
        <w:t>L</w:t>
      </w:r>
      <w:r w:rsidR="0095770C" w:rsidRPr="007B1676">
        <w:rPr>
          <w:lang w:val="fr-FR"/>
        </w:rPr>
        <w:t>es versions allemande, espagnole et française du compte rendu du “Séminaire sur les variétés essentiellement</w:t>
      </w:r>
      <w:r w:rsidR="00BC060E" w:rsidRPr="007B1676">
        <w:rPr>
          <w:lang w:val="fr-FR"/>
        </w:rPr>
        <w:t xml:space="preserve"> dérivées” (publication UPOV n° </w:t>
      </w:r>
      <w:r w:rsidR="0095770C" w:rsidRPr="007B1676">
        <w:rPr>
          <w:lang w:val="fr-FR"/>
        </w:rPr>
        <w:t>358), qui s</w:t>
      </w:r>
      <w:r w:rsidR="00FC2AC8" w:rsidRPr="007B1676">
        <w:rPr>
          <w:lang w:val="fr-FR"/>
        </w:rPr>
        <w:t>’</w:t>
      </w:r>
      <w:r w:rsidR="0095770C" w:rsidRPr="007B1676">
        <w:rPr>
          <w:lang w:val="fr-FR"/>
        </w:rPr>
        <w:t>est tenu à Genève le 2</w:t>
      </w:r>
      <w:r w:rsidR="00FC2AC8" w:rsidRPr="007B1676">
        <w:rPr>
          <w:lang w:val="fr-FR"/>
        </w:rPr>
        <w:t>2 octobre 20</w:t>
      </w:r>
      <w:r w:rsidR="0095770C" w:rsidRPr="007B1676">
        <w:rPr>
          <w:lang w:val="fr-FR"/>
        </w:rPr>
        <w:t xml:space="preserve">13, </w:t>
      </w:r>
      <w:r w:rsidR="00BC060E" w:rsidRPr="007B1676">
        <w:rPr>
          <w:lang w:val="fr-FR"/>
        </w:rPr>
        <w:t>ont été</w:t>
      </w:r>
      <w:r w:rsidR="0095770C" w:rsidRPr="007B1676">
        <w:rPr>
          <w:lang w:val="fr-FR"/>
        </w:rPr>
        <w:t xml:space="preserve"> publiées sur le site</w:t>
      </w:r>
      <w:r w:rsidR="00731AD3" w:rsidRPr="007B1676">
        <w:rPr>
          <w:lang w:val="fr-FR"/>
        </w:rPr>
        <w:t> </w:t>
      </w:r>
      <w:r w:rsidR="0095770C" w:rsidRPr="007B1676">
        <w:rPr>
          <w:lang w:val="fr-FR"/>
        </w:rPr>
        <w:t>Web de l</w:t>
      </w:r>
      <w:r w:rsidR="00FC2AC8" w:rsidRPr="007B1676">
        <w:rPr>
          <w:lang w:val="fr-FR"/>
        </w:rPr>
        <w:t>’</w:t>
      </w:r>
      <w:r w:rsidR="0095770C" w:rsidRPr="007B1676">
        <w:rPr>
          <w:lang w:val="fr-FR"/>
        </w:rPr>
        <w:t>UPOV à l</w:t>
      </w:r>
      <w:r w:rsidR="00FC2AC8" w:rsidRPr="007B1676">
        <w:rPr>
          <w:lang w:val="fr-FR"/>
        </w:rPr>
        <w:t>’</w:t>
      </w:r>
      <w:r w:rsidR="0095770C" w:rsidRPr="007B1676">
        <w:rPr>
          <w:lang w:val="fr-FR"/>
        </w:rPr>
        <w:t xml:space="preserve">adresse </w:t>
      </w:r>
      <w:r w:rsidR="00CB14E0">
        <w:fldChar w:fldCharType="begin"/>
      </w:r>
      <w:r w:rsidR="00CB14E0" w:rsidRPr="00CB14E0">
        <w:rPr>
          <w:lang w:val="fr-CH"/>
        </w:rPr>
        <w:instrText xml:space="preserve"> HYPERLINK "http://www.upov.int/meetings/fr/d</w:instrText>
      </w:r>
      <w:r w:rsidR="00CB14E0" w:rsidRPr="00CB14E0">
        <w:rPr>
          <w:lang w:val="fr-CH"/>
        </w:rPr>
        <w:instrText xml:space="preserve">etails.jsp?meeting_id=29782" </w:instrText>
      </w:r>
      <w:r w:rsidR="00CB14E0">
        <w:fldChar w:fldCharType="separate"/>
      </w:r>
      <w:r w:rsidR="00163264" w:rsidRPr="00CA24E1">
        <w:rPr>
          <w:rStyle w:val="Hyperlink"/>
          <w:lang w:val="fr-FR"/>
        </w:rPr>
        <w:t>http://www.upov.int/meetings/fr/details.jsp?meeting_id=29782</w:t>
      </w:r>
      <w:r w:rsidR="00CB14E0">
        <w:rPr>
          <w:rStyle w:val="Hyperlink"/>
          <w:lang w:val="fr-FR"/>
        </w:rPr>
        <w:fldChar w:fldCharType="end"/>
      </w:r>
      <w:r w:rsidR="0095770C" w:rsidRPr="007B1676">
        <w:rPr>
          <w:lang w:val="fr-FR"/>
        </w:rPr>
        <w:t>.</w:t>
      </w:r>
    </w:p>
    <w:p w:rsidR="00F77FD5" w:rsidRPr="007B1676" w:rsidRDefault="00F77FD5" w:rsidP="00A55B16">
      <w:pPr>
        <w:rPr>
          <w:lang w:val="fr-FR"/>
        </w:rPr>
      </w:pPr>
    </w:p>
    <w:p w:rsidR="00F77FD5" w:rsidRPr="007B1676" w:rsidRDefault="00F77FD5" w:rsidP="0085250E">
      <w:pPr>
        <w:pStyle w:val="Heading2"/>
        <w:rPr>
          <w:color w:val="auto"/>
        </w:rPr>
      </w:pPr>
    </w:p>
    <w:p w:rsidR="00F77FD5" w:rsidRPr="007B1676" w:rsidRDefault="0095770C" w:rsidP="0085250E">
      <w:pPr>
        <w:pStyle w:val="Heading2"/>
        <w:rPr>
          <w:color w:val="auto"/>
        </w:rPr>
      </w:pPr>
      <w:bookmarkStart w:id="30" w:name="_Toc413662355"/>
      <w:r w:rsidRPr="007B1676">
        <w:rPr>
          <w:color w:val="auto"/>
        </w:rPr>
        <w:t>Cours d</w:t>
      </w:r>
      <w:r w:rsidR="00FC2AC8" w:rsidRPr="007B1676">
        <w:rPr>
          <w:color w:val="auto"/>
        </w:rPr>
        <w:t>’</w:t>
      </w:r>
      <w:r w:rsidRPr="007B1676">
        <w:rPr>
          <w:color w:val="auto"/>
        </w:rPr>
        <w:t>enseignement à distance</w:t>
      </w:r>
      <w:bookmarkEnd w:id="30"/>
    </w:p>
    <w:p w:rsidR="00F77FD5" w:rsidRPr="007B1676" w:rsidRDefault="00F77FD5" w:rsidP="001D140D">
      <w:pPr>
        <w:keepNext/>
        <w:rPr>
          <w:lang w:val="fr-FR"/>
        </w:rPr>
      </w:pPr>
    </w:p>
    <w:p w:rsidR="00F77FD5" w:rsidRPr="007B1676" w:rsidRDefault="00A21CDF" w:rsidP="0095770C">
      <w:pPr>
        <w:rPr>
          <w:rFonts w:cs="Arial"/>
          <w:lang w:val="fr-FR"/>
        </w:rPr>
      </w:pPr>
      <w:r w:rsidRPr="007B1676">
        <w:rPr>
          <w:rFonts w:cs="Arial"/>
          <w:lang w:val="fr-FR"/>
        </w:rPr>
        <w:fldChar w:fldCharType="begin"/>
      </w:r>
      <w:r w:rsidRPr="007B1676">
        <w:rPr>
          <w:rFonts w:cs="Arial"/>
          <w:lang w:val="fr-FR"/>
        </w:rPr>
        <w:instrText xml:space="preserve"> AUTONUM  </w:instrText>
      </w:r>
      <w:r w:rsidRPr="007B1676">
        <w:rPr>
          <w:rFonts w:cs="Arial"/>
          <w:lang w:val="fr-FR"/>
        </w:rPr>
        <w:fldChar w:fldCharType="end"/>
      </w:r>
      <w:r w:rsidRPr="007B1676">
        <w:rPr>
          <w:rFonts w:cs="Arial"/>
          <w:lang w:val="fr-FR"/>
        </w:rPr>
        <w:tab/>
      </w:r>
      <w:r w:rsidR="0095770C" w:rsidRPr="007B1676">
        <w:rPr>
          <w:rFonts w:cs="Arial"/>
          <w:lang w:val="fr-FR"/>
        </w:rPr>
        <w:t>En</w:t>
      </w:r>
      <w:r w:rsidR="00731AD3" w:rsidRPr="007B1676">
        <w:rPr>
          <w:rFonts w:cs="Arial"/>
          <w:lang w:val="fr-FR"/>
        </w:rPr>
        <w:t> </w:t>
      </w:r>
      <w:r w:rsidR="0095770C" w:rsidRPr="007B1676">
        <w:rPr>
          <w:rFonts w:cs="Arial"/>
          <w:lang w:val="fr-FR"/>
        </w:rPr>
        <w:t>2015, l</w:t>
      </w:r>
      <w:r w:rsidR="00FC2AC8" w:rsidRPr="007B1676">
        <w:rPr>
          <w:rFonts w:cs="Arial"/>
          <w:lang w:val="fr-FR"/>
        </w:rPr>
        <w:t>’</w:t>
      </w:r>
      <w:r w:rsidR="0095770C" w:rsidRPr="007B1676">
        <w:rPr>
          <w:rFonts w:cs="Arial"/>
          <w:lang w:val="fr-FR"/>
        </w:rPr>
        <w:t>UPOV lancera un nouveau cours DL</w:t>
      </w:r>
      <w:r w:rsidR="00F66982" w:rsidRPr="007B1676">
        <w:rPr>
          <w:rFonts w:cs="Arial"/>
          <w:lang w:val="fr-FR"/>
        </w:rPr>
        <w:noBreakHyphen/>
      </w:r>
      <w:r w:rsidR="0095770C" w:rsidRPr="007B1676">
        <w:rPr>
          <w:rFonts w:cs="Arial"/>
          <w:lang w:val="fr-FR"/>
        </w:rPr>
        <w:t>305 intitulé “Examen des demandes de droits d</w:t>
      </w:r>
      <w:r w:rsidR="00FC2AC8" w:rsidRPr="007B1676">
        <w:rPr>
          <w:rFonts w:cs="Arial"/>
          <w:lang w:val="fr-FR"/>
        </w:rPr>
        <w:t>’</w:t>
      </w:r>
      <w:r w:rsidR="0095770C" w:rsidRPr="007B1676">
        <w:rPr>
          <w:rFonts w:cs="Arial"/>
          <w:lang w:val="fr-FR"/>
        </w:rPr>
        <w:t>obtenteur”, sous la forme d</w:t>
      </w:r>
      <w:r w:rsidR="00FC2AC8" w:rsidRPr="007B1676">
        <w:rPr>
          <w:rFonts w:cs="Arial"/>
          <w:lang w:val="fr-FR"/>
        </w:rPr>
        <w:t>’</w:t>
      </w:r>
      <w:r w:rsidR="0095770C" w:rsidRPr="007B1676">
        <w:rPr>
          <w:rFonts w:cs="Arial"/>
          <w:lang w:val="fr-FR"/>
        </w:rPr>
        <w:t>un cours unique mais aussi de deux</w:t>
      </w:r>
      <w:r w:rsidR="00731AD3" w:rsidRPr="007B1676">
        <w:rPr>
          <w:rFonts w:cs="Arial"/>
          <w:lang w:val="fr-FR"/>
        </w:rPr>
        <w:t> </w:t>
      </w:r>
      <w:r w:rsidR="0095770C" w:rsidRPr="007B1676">
        <w:rPr>
          <w:rFonts w:cs="Arial"/>
          <w:lang w:val="fr-FR"/>
        </w:rPr>
        <w:t>cours distincts,</w:t>
      </w:r>
      <w:r w:rsidR="007D6410" w:rsidRPr="007B1676">
        <w:rPr>
          <w:rFonts w:cs="Arial"/>
          <w:lang w:val="fr-FR"/>
        </w:rPr>
        <w:t xml:space="preserve"> </w:t>
      </w:r>
      <w:r w:rsidR="00FC2AC8" w:rsidRPr="007B1676">
        <w:rPr>
          <w:rFonts w:cs="Arial"/>
          <w:lang w:val="fr-FR"/>
        </w:rPr>
        <w:t>à savoir</w:t>
      </w:r>
      <w:r w:rsidR="007D6410" w:rsidRPr="007B1676">
        <w:rPr>
          <w:rFonts w:cs="Arial"/>
          <w:lang w:val="fr-FR"/>
        </w:rPr>
        <w:t xml:space="preserve"> DL</w:t>
      </w:r>
      <w:r w:rsidR="00F66982" w:rsidRPr="007B1676">
        <w:rPr>
          <w:rFonts w:cs="Arial"/>
          <w:lang w:val="fr-FR"/>
        </w:rPr>
        <w:noBreakHyphen/>
      </w:r>
      <w:r w:rsidR="007D6410" w:rsidRPr="007B1676">
        <w:rPr>
          <w:rFonts w:cs="Arial"/>
          <w:lang w:val="fr-FR"/>
        </w:rPr>
        <w:t>305</w:t>
      </w:r>
      <w:r w:rsidR="0095770C" w:rsidRPr="007B1676">
        <w:rPr>
          <w:rFonts w:cs="Arial"/>
          <w:lang w:val="fr-FR"/>
        </w:rPr>
        <w:t>A “Administration de</w:t>
      </w:r>
      <w:r w:rsidR="007D6410" w:rsidRPr="007B1676">
        <w:rPr>
          <w:rFonts w:cs="Arial"/>
          <w:lang w:val="fr-FR"/>
        </w:rPr>
        <w:t>s droits d</w:t>
      </w:r>
      <w:r w:rsidR="00FC2AC8" w:rsidRPr="007B1676">
        <w:rPr>
          <w:rFonts w:cs="Arial"/>
          <w:lang w:val="fr-FR"/>
        </w:rPr>
        <w:t>’</w:t>
      </w:r>
      <w:r w:rsidR="007D6410" w:rsidRPr="007B1676">
        <w:rPr>
          <w:rFonts w:cs="Arial"/>
          <w:lang w:val="fr-FR"/>
        </w:rPr>
        <w:t>obtenteur” et DL</w:t>
      </w:r>
      <w:r w:rsidR="00F66982" w:rsidRPr="007B1676">
        <w:rPr>
          <w:rFonts w:cs="Arial"/>
          <w:lang w:val="fr-FR"/>
        </w:rPr>
        <w:noBreakHyphen/>
      </w:r>
      <w:r w:rsidR="007D6410" w:rsidRPr="007B1676">
        <w:rPr>
          <w:rFonts w:cs="Arial"/>
          <w:lang w:val="fr-FR"/>
        </w:rPr>
        <w:t>305</w:t>
      </w:r>
      <w:r w:rsidR="0095770C" w:rsidRPr="007B1676">
        <w:rPr>
          <w:rFonts w:cs="Arial"/>
          <w:lang w:val="fr-FR"/>
        </w:rPr>
        <w:t>B “Examen DHS”, en anglais, espagnol et français</w:t>
      </w:r>
      <w:r w:rsidR="00DC18EF" w:rsidRPr="007B1676">
        <w:rPr>
          <w:rFonts w:cs="Arial"/>
          <w:lang w:val="fr-FR"/>
        </w:rPr>
        <w:t>.  Le calendrier ci</w:t>
      </w:r>
      <w:r w:rsidR="00F66982" w:rsidRPr="007B1676">
        <w:rPr>
          <w:rFonts w:cs="Arial"/>
          <w:lang w:val="fr-FR"/>
        </w:rPr>
        <w:noBreakHyphen/>
      </w:r>
      <w:r w:rsidR="00DC18EF" w:rsidRPr="007B1676">
        <w:rPr>
          <w:rFonts w:cs="Arial"/>
          <w:lang w:val="fr-FR"/>
        </w:rPr>
        <w:t>après est proposé pour ce cours :</w:t>
      </w:r>
    </w:p>
    <w:p w:rsidR="00F77FD5" w:rsidRPr="007B1676" w:rsidRDefault="00F77FD5" w:rsidP="0095770C">
      <w:pPr>
        <w:rPr>
          <w:rFonts w:cs="Arial"/>
          <w:lang w:val="fr-FR"/>
        </w:rPr>
      </w:pPr>
    </w:p>
    <w:p w:rsidR="00A21CDF" w:rsidRPr="007B1676" w:rsidRDefault="00A21CDF" w:rsidP="00A21CDF">
      <w:pPr>
        <w:rPr>
          <w:rFonts w:cs="Arial"/>
          <w:lang w:val="fr-FR"/>
        </w:rPr>
      </w:pPr>
    </w:p>
    <w:tbl>
      <w:tblPr>
        <w:tblW w:w="9616" w:type="dxa"/>
        <w:tblCellSpacing w:w="22" w:type="dxa"/>
        <w:tblInd w:w="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60"/>
        <w:gridCol w:w="4010"/>
        <w:gridCol w:w="2062"/>
        <w:gridCol w:w="2284"/>
      </w:tblGrid>
      <w:tr w:rsidR="007B1676" w:rsidRPr="007B1676" w:rsidTr="00A21CDF">
        <w:trPr>
          <w:tblCellSpacing w:w="22" w:type="dxa"/>
        </w:trPr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CDF" w:rsidRPr="007B1676" w:rsidRDefault="0041204F" w:rsidP="0095770C">
            <w:pPr>
              <w:jc w:val="left"/>
              <w:rPr>
                <w:rFonts w:cs="Arial"/>
                <w:lang w:val="fr-FR"/>
              </w:rPr>
            </w:pPr>
            <w:r w:rsidRPr="007B1676">
              <w:rPr>
                <w:rFonts w:cs="Arial"/>
                <w:lang w:val="fr-FR"/>
              </w:rPr>
              <w:t>C</w:t>
            </w:r>
            <w:r w:rsidR="0095770C" w:rsidRPr="007B1676">
              <w:rPr>
                <w:rFonts w:cs="Arial"/>
                <w:lang w:val="fr-FR"/>
              </w:rPr>
              <w:t>ode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CDF" w:rsidRPr="007B1676" w:rsidRDefault="00A21CDF" w:rsidP="00DC18EF">
            <w:pPr>
              <w:jc w:val="left"/>
              <w:rPr>
                <w:rFonts w:cs="Arial"/>
                <w:lang w:val="fr-FR"/>
              </w:rPr>
            </w:pPr>
            <w:r w:rsidRPr="007B1676">
              <w:rPr>
                <w:rFonts w:cs="Arial"/>
                <w:lang w:val="fr-FR"/>
              </w:rPr>
              <w:t>Cours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CDF" w:rsidRPr="007B1676" w:rsidRDefault="00886D9F" w:rsidP="00A21CDF">
            <w:pPr>
              <w:jc w:val="left"/>
              <w:rPr>
                <w:rFonts w:cs="Arial"/>
                <w:lang w:val="fr-FR"/>
              </w:rPr>
            </w:pPr>
            <w:r w:rsidRPr="007B1676">
              <w:rPr>
                <w:rFonts w:cs="Arial"/>
                <w:lang w:val="fr-FR"/>
              </w:rPr>
              <w:t>Période d</w:t>
            </w:r>
            <w:r w:rsidR="00FC2AC8" w:rsidRPr="007B1676">
              <w:rPr>
                <w:rFonts w:cs="Arial"/>
                <w:lang w:val="fr-FR"/>
              </w:rPr>
              <w:t>’</w:t>
            </w:r>
            <w:r w:rsidRPr="007B1676">
              <w:rPr>
                <w:rFonts w:cs="Arial"/>
                <w:lang w:val="fr-FR"/>
              </w:rPr>
              <w:t>étude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1CDF" w:rsidRPr="007B1676" w:rsidRDefault="00253E4A" w:rsidP="00DC18EF">
            <w:pPr>
              <w:jc w:val="left"/>
              <w:rPr>
                <w:rFonts w:cs="Arial"/>
                <w:lang w:val="fr-FR"/>
              </w:rPr>
            </w:pPr>
            <w:r w:rsidRPr="007B1676">
              <w:rPr>
                <w:rFonts w:cs="Arial"/>
                <w:lang w:val="fr-FR"/>
              </w:rPr>
              <w:t>Dates d</w:t>
            </w:r>
            <w:r w:rsidR="00FC2AC8" w:rsidRPr="007B1676">
              <w:rPr>
                <w:rFonts w:cs="Arial"/>
                <w:lang w:val="fr-FR"/>
              </w:rPr>
              <w:t>’</w:t>
            </w:r>
            <w:r w:rsidRPr="007B1676">
              <w:rPr>
                <w:rFonts w:cs="Arial"/>
                <w:lang w:val="fr-FR"/>
              </w:rPr>
              <w:t>inscription</w:t>
            </w:r>
          </w:p>
        </w:tc>
      </w:tr>
      <w:tr w:rsidR="007B1676" w:rsidRPr="00CB14E0" w:rsidTr="00A21CDF">
        <w:trPr>
          <w:tblCellSpacing w:w="22" w:type="dxa"/>
        </w:trPr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CDF" w:rsidRPr="00F37BE9" w:rsidRDefault="00CB14E0" w:rsidP="00A21CDF">
            <w:pPr>
              <w:jc w:val="left"/>
              <w:rPr>
                <w:rStyle w:val="Hyperlink"/>
              </w:rPr>
            </w:pPr>
            <w:hyperlink r:id="rId12" w:anchor="plus_DL205E" w:history="1">
              <w:r w:rsidR="00A21CDF" w:rsidRPr="00F37BE9">
                <w:rPr>
                  <w:rStyle w:val="Hyperlink"/>
                  <w:rFonts w:cs="Arial"/>
                </w:rPr>
                <w:t>DL</w:t>
              </w:r>
              <w:r w:rsidR="00F66982" w:rsidRPr="00F37BE9">
                <w:rPr>
                  <w:rStyle w:val="Hyperlink"/>
                  <w:rFonts w:cs="Arial"/>
                </w:rPr>
                <w:noBreakHyphen/>
              </w:r>
              <w:r w:rsidR="00A21CDF" w:rsidRPr="00F37BE9">
                <w:rPr>
                  <w:rStyle w:val="Hyperlink"/>
                  <w:rFonts w:cs="Arial"/>
                </w:rPr>
                <w:t>205</w:t>
              </w:r>
            </w:hyperlink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CDF" w:rsidRPr="007B1676" w:rsidRDefault="00DC18EF" w:rsidP="00A21CDF">
            <w:pPr>
              <w:jc w:val="left"/>
              <w:rPr>
                <w:rFonts w:cs="Arial"/>
                <w:lang w:val="fr-FR"/>
              </w:rPr>
            </w:pPr>
            <w:r w:rsidRPr="007B1676">
              <w:rPr>
                <w:rFonts w:cs="Arial"/>
                <w:lang w:val="fr-FR"/>
              </w:rPr>
              <w:t xml:space="preserve">Introduction au système UPOV de protection des obtentions végétales selon la </w:t>
            </w:r>
            <w:r w:rsidR="00FC2AC8" w:rsidRPr="007B1676">
              <w:rPr>
                <w:rFonts w:cs="Arial"/>
                <w:lang w:val="fr-FR"/>
              </w:rPr>
              <w:t>Convention UPOV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CDF" w:rsidRPr="007B1676" w:rsidRDefault="00A21CDF" w:rsidP="009C520F">
            <w:pPr>
              <w:jc w:val="left"/>
              <w:rPr>
                <w:rFonts w:cs="Arial"/>
                <w:lang w:val="fr-FR"/>
              </w:rPr>
            </w:pPr>
            <w:r w:rsidRPr="007B1676">
              <w:rPr>
                <w:rFonts w:cs="Arial"/>
                <w:lang w:val="fr-FR"/>
              </w:rPr>
              <w:t>1</w:t>
            </w:r>
            <w:r w:rsidR="0012253A" w:rsidRPr="007B1676">
              <w:rPr>
                <w:rFonts w:cs="Arial"/>
                <w:vertAlign w:val="superscript"/>
                <w:lang w:val="fr-FR"/>
              </w:rPr>
              <w:t>er</w:t>
            </w:r>
            <w:r w:rsidR="009C520F" w:rsidRPr="007B1676">
              <w:rPr>
                <w:rFonts w:cs="Arial"/>
                <w:lang w:val="fr-FR"/>
              </w:rPr>
              <w:t> </w:t>
            </w:r>
            <w:r w:rsidR="00253E4A" w:rsidRPr="007B1676">
              <w:rPr>
                <w:rFonts w:cs="Arial"/>
                <w:lang w:val="fr-FR"/>
              </w:rPr>
              <w:t>oct</w:t>
            </w:r>
            <w:r w:rsidR="009C520F" w:rsidRPr="007B1676">
              <w:rPr>
                <w:rFonts w:cs="Arial"/>
                <w:lang w:val="fr-FR"/>
              </w:rPr>
              <w:t>obre</w:t>
            </w:r>
            <w:r w:rsidR="00253E4A" w:rsidRPr="007B1676">
              <w:rPr>
                <w:rFonts w:cs="Arial"/>
                <w:lang w:val="fr-FR"/>
              </w:rPr>
              <w:t xml:space="preserve"> au</w:t>
            </w:r>
            <w:r w:rsidR="00DC18EF" w:rsidRPr="007B1676">
              <w:rPr>
                <w:rFonts w:cs="Arial"/>
                <w:lang w:val="fr-FR"/>
              </w:rPr>
              <w:t xml:space="preserve"> 23</w:t>
            </w:r>
            <w:r w:rsidR="009C520F" w:rsidRPr="007B1676">
              <w:rPr>
                <w:rFonts w:cs="Arial"/>
                <w:lang w:val="fr-FR"/>
              </w:rPr>
              <w:t> </w:t>
            </w:r>
            <w:r w:rsidR="00253E4A" w:rsidRPr="007B1676">
              <w:rPr>
                <w:rFonts w:cs="Arial"/>
                <w:lang w:val="fr-FR"/>
              </w:rPr>
              <w:t>nov</w:t>
            </w:r>
            <w:r w:rsidR="009C520F" w:rsidRPr="007B1676">
              <w:rPr>
                <w:rFonts w:cs="Arial"/>
                <w:lang w:val="fr-FR"/>
              </w:rPr>
              <w:t>embre </w:t>
            </w:r>
            <w:r w:rsidR="00DC18EF" w:rsidRPr="007B1676">
              <w:rPr>
                <w:rFonts w:cs="Arial"/>
                <w:lang w:val="fr-FR"/>
              </w:rPr>
              <w:t>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CDF" w:rsidRPr="007B1676" w:rsidRDefault="00DC18EF" w:rsidP="0012253A">
            <w:pPr>
              <w:jc w:val="left"/>
              <w:rPr>
                <w:rFonts w:cs="Arial"/>
                <w:lang w:val="fr-FR"/>
              </w:rPr>
            </w:pPr>
            <w:r w:rsidRPr="007B1676">
              <w:rPr>
                <w:rFonts w:cs="Arial"/>
                <w:lang w:val="fr-FR"/>
              </w:rPr>
              <w:t>1</w:t>
            </w:r>
            <w:r w:rsidR="0012253A" w:rsidRPr="007B1676">
              <w:rPr>
                <w:rFonts w:cs="Arial"/>
                <w:vertAlign w:val="superscript"/>
                <w:lang w:val="fr-FR"/>
              </w:rPr>
              <w:t>er</w:t>
            </w:r>
            <w:r w:rsidR="0012253A" w:rsidRPr="007B1676">
              <w:rPr>
                <w:rFonts w:cs="Arial"/>
                <w:lang w:val="fr-FR"/>
              </w:rPr>
              <w:t> </w:t>
            </w:r>
            <w:r w:rsidR="00253E4A" w:rsidRPr="007B1676">
              <w:rPr>
                <w:rFonts w:cs="Arial"/>
                <w:lang w:val="fr-FR"/>
              </w:rPr>
              <w:t>janv</w:t>
            </w:r>
            <w:r w:rsidR="0012253A" w:rsidRPr="007B1676">
              <w:rPr>
                <w:rFonts w:cs="Arial"/>
                <w:lang w:val="fr-FR"/>
              </w:rPr>
              <w:t>ier</w:t>
            </w:r>
            <w:r w:rsidR="00253E4A" w:rsidRPr="007B1676">
              <w:rPr>
                <w:rFonts w:cs="Arial"/>
                <w:lang w:val="fr-FR"/>
              </w:rPr>
              <w:t xml:space="preserve"> au 29</w:t>
            </w:r>
            <w:r w:rsidR="0012253A" w:rsidRPr="007B1676">
              <w:rPr>
                <w:rFonts w:cs="Arial"/>
                <w:lang w:val="fr-FR"/>
              </w:rPr>
              <w:t> </w:t>
            </w:r>
            <w:r w:rsidR="00FC2AC8" w:rsidRPr="007B1676">
              <w:rPr>
                <w:rFonts w:cs="Arial"/>
                <w:lang w:val="fr-FR"/>
              </w:rPr>
              <w:t>mars 20</w:t>
            </w:r>
            <w:r w:rsidR="00253E4A" w:rsidRPr="007B1676">
              <w:rPr>
                <w:rFonts w:cs="Arial"/>
                <w:lang w:val="fr-FR"/>
              </w:rPr>
              <w:t>15</w:t>
            </w:r>
            <w:r w:rsidRPr="007B1676">
              <w:rPr>
                <w:rFonts w:cs="Arial"/>
                <w:lang w:val="fr-FR"/>
              </w:rPr>
              <w:t xml:space="preserve"> et </w:t>
            </w:r>
            <w:r w:rsidR="00253E4A" w:rsidRPr="007B1676">
              <w:rPr>
                <w:rFonts w:cs="Arial"/>
                <w:lang w:val="fr-FR"/>
              </w:rPr>
              <w:t>17</w:t>
            </w:r>
            <w:r w:rsidR="0012253A" w:rsidRPr="007B1676">
              <w:rPr>
                <w:rFonts w:cs="Arial"/>
                <w:lang w:val="fr-FR"/>
              </w:rPr>
              <w:t> </w:t>
            </w:r>
            <w:r w:rsidR="00253E4A" w:rsidRPr="007B1676">
              <w:rPr>
                <w:rFonts w:cs="Arial"/>
                <w:lang w:val="fr-FR"/>
              </w:rPr>
              <w:t>août au 27</w:t>
            </w:r>
            <w:r w:rsidR="0012253A" w:rsidRPr="007B1676">
              <w:rPr>
                <w:rFonts w:cs="Arial"/>
                <w:lang w:val="fr-FR"/>
              </w:rPr>
              <w:t> </w:t>
            </w:r>
            <w:r w:rsidR="00253E4A" w:rsidRPr="007B1676">
              <w:rPr>
                <w:rFonts w:cs="Arial"/>
                <w:lang w:val="fr-FR"/>
              </w:rPr>
              <w:t>sept</w:t>
            </w:r>
            <w:r w:rsidR="0012253A" w:rsidRPr="007B1676">
              <w:rPr>
                <w:rFonts w:cs="Arial"/>
                <w:lang w:val="fr-FR"/>
              </w:rPr>
              <w:t>embre</w:t>
            </w:r>
            <w:r w:rsidR="00253E4A" w:rsidRPr="007B1676">
              <w:rPr>
                <w:rFonts w:cs="Arial"/>
                <w:lang w:val="fr-FR"/>
              </w:rPr>
              <w:t xml:space="preserve"> 2015</w:t>
            </w:r>
          </w:p>
        </w:tc>
      </w:tr>
      <w:tr w:rsidR="007B1676" w:rsidRPr="007B1676" w:rsidTr="00A21CDF">
        <w:trPr>
          <w:tblCellSpacing w:w="22" w:type="dxa"/>
        </w:trPr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CDF" w:rsidRPr="00F37BE9" w:rsidRDefault="00CB14E0" w:rsidP="00A21CDF">
            <w:pPr>
              <w:jc w:val="left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"http://welc.wipo.int/acc/index.jsf?page=upovCatalog.xhtml&amp;cc=DL305EA&amp;lang=en&amp;" \l "plus_DL305AE" </w:instrText>
            </w:r>
            <w:r>
              <w:fldChar w:fldCharType="separate"/>
            </w:r>
            <w:r w:rsidR="00A21CDF" w:rsidRPr="00F37BE9">
              <w:rPr>
                <w:rStyle w:val="Hyperlink"/>
                <w:rFonts w:cs="Arial"/>
              </w:rPr>
              <w:t>DL</w:t>
            </w:r>
            <w:r w:rsidR="00F66982" w:rsidRPr="00F37BE9">
              <w:rPr>
                <w:rStyle w:val="Hyperlink"/>
                <w:rFonts w:cs="Arial"/>
              </w:rPr>
              <w:noBreakHyphen/>
            </w:r>
            <w:r w:rsidR="00A21CDF" w:rsidRPr="00F37BE9">
              <w:rPr>
                <w:rStyle w:val="Hyperlink"/>
                <w:rFonts w:cs="Arial"/>
              </w:rPr>
              <w:t>305A</w:t>
            </w:r>
            <w:r>
              <w:rPr>
                <w:rStyle w:val="Hyperlink"/>
                <w:rFonts w:cs="Arial"/>
              </w:rPr>
              <w:fldChar w:fldCharType="end"/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CDF" w:rsidRPr="007B1676" w:rsidRDefault="00A21CDF" w:rsidP="00253E4A">
            <w:pPr>
              <w:pStyle w:val="NormalWeb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B1676">
              <w:rPr>
                <w:rFonts w:ascii="Arial" w:hAnsi="Arial" w:cs="Arial"/>
                <w:sz w:val="20"/>
                <w:szCs w:val="20"/>
                <w:lang w:val="fr-FR"/>
              </w:rPr>
              <w:t xml:space="preserve">Administration </w:t>
            </w:r>
            <w:r w:rsidR="00253E4A" w:rsidRPr="007B1676">
              <w:rPr>
                <w:rFonts w:ascii="Arial" w:hAnsi="Arial" w:cs="Arial"/>
                <w:sz w:val="20"/>
                <w:szCs w:val="20"/>
                <w:lang w:val="fr-FR"/>
              </w:rPr>
              <w:t>des droits d</w:t>
            </w:r>
            <w:r w:rsidR="00FC2AC8" w:rsidRPr="007B1676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="00253E4A" w:rsidRPr="007B1676">
              <w:rPr>
                <w:rFonts w:ascii="Arial" w:hAnsi="Arial" w:cs="Arial"/>
                <w:sz w:val="20"/>
                <w:szCs w:val="20"/>
                <w:lang w:val="fr-FR"/>
              </w:rPr>
              <w:t xml:space="preserve">obtenteur </w:t>
            </w:r>
            <w:r w:rsidRPr="007B1676">
              <w:rPr>
                <w:rFonts w:ascii="Arial" w:hAnsi="Arial" w:cs="Arial"/>
                <w:sz w:val="20"/>
                <w:szCs w:val="20"/>
                <w:lang w:val="fr-FR"/>
              </w:rPr>
              <w:br/>
              <w:t>(</w:t>
            </w:r>
            <w:r w:rsidR="00253E4A" w:rsidRPr="007B1676">
              <w:rPr>
                <w:rFonts w:ascii="Arial" w:hAnsi="Arial" w:cs="Arial"/>
                <w:sz w:val="20"/>
                <w:szCs w:val="20"/>
                <w:lang w:val="fr-FR"/>
              </w:rPr>
              <w:t>Partie</w:t>
            </w:r>
            <w:r w:rsidRPr="007B1676">
              <w:rPr>
                <w:rFonts w:ascii="Arial" w:hAnsi="Arial" w:cs="Arial"/>
                <w:sz w:val="20"/>
                <w:szCs w:val="20"/>
                <w:lang w:val="fr-FR"/>
              </w:rPr>
              <w:t xml:space="preserve"> A </w:t>
            </w:r>
            <w:r w:rsidR="00253E4A" w:rsidRPr="007B1676">
              <w:rPr>
                <w:rFonts w:ascii="Arial" w:hAnsi="Arial" w:cs="Arial"/>
                <w:sz w:val="20"/>
                <w:szCs w:val="20"/>
                <w:lang w:val="fr-FR"/>
              </w:rPr>
              <w:t>du cours</w:t>
            </w:r>
            <w:r w:rsidRPr="007B1676">
              <w:rPr>
                <w:rFonts w:ascii="Arial" w:hAnsi="Arial" w:cs="Arial"/>
                <w:sz w:val="20"/>
                <w:szCs w:val="20"/>
                <w:lang w:val="fr-FR"/>
              </w:rPr>
              <w:t xml:space="preserve"> DL</w:t>
            </w:r>
            <w:r w:rsidR="00F66982" w:rsidRPr="007B1676">
              <w:rPr>
                <w:rFonts w:ascii="Arial" w:hAnsi="Arial" w:cs="Arial"/>
                <w:sz w:val="20"/>
                <w:szCs w:val="20"/>
                <w:lang w:val="fr-FR"/>
              </w:rPr>
              <w:noBreakHyphen/>
            </w:r>
            <w:r w:rsidRPr="007B1676">
              <w:rPr>
                <w:rFonts w:ascii="Arial" w:hAnsi="Arial" w:cs="Arial"/>
                <w:sz w:val="20"/>
                <w:szCs w:val="20"/>
                <w:lang w:val="fr-FR"/>
              </w:rPr>
              <w:t>305</w:t>
            </w:r>
            <w:r w:rsidR="00253E4A" w:rsidRPr="007B1676"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  <w:r w:rsidRPr="007B1676">
              <w:rPr>
                <w:rFonts w:ascii="Arial" w:hAnsi="Arial" w:cs="Arial"/>
                <w:sz w:val="20"/>
                <w:szCs w:val="20"/>
                <w:lang w:val="fr-FR"/>
              </w:rPr>
              <w:t xml:space="preserve"> E</w:t>
            </w:r>
            <w:r w:rsidR="00253E4A" w:rsidRPr="007B1676">
              <w:rPr>
                <w:rFonts w:ascii="Arial" w:hAnsi="Arial" w:cs="Arial"/>
                <w:sz w:val="20"/>
                <w:szCs w:val="20"/>
                <w:lang w:val="fr-FR"/>
              </w:rPr>
              <w:t>xamen des demandes de droits d</w:t>
            </w:r>
            <w:r w:rsidR="00FC2AC8" w:rsidRPr="007B1676">
              <w:rPr>
                <w:rFonts w:ascii="Arial" w:hAnsi="Arial" w:cs="Arial"/>
                <w:sz w:val="20"/>
                <w:szCs w:val="20"/>
                <w:lang w:val="fr-FR"/>
              </w:rPr>
              <w:t>’</w:t>
            </w:r>
            <w:r w:rsidR="00253E4A" w:rsidRPr="007B1676">
              <w:rPr>
                <w:rFonts w:ascii="Arial" w:hAnsi="Arial" w:cs="Arial"/>
                <w:sz w:val="20"/>
                <w:szCs w:val="20"/>
                <w:lang w:val="fr-FR"/>
              </w:rPr>
              <w:t>obtenteur</w:t>
            </w:r>
            <w:r w:rsidRPr="007B1676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CDF" w:rsidRPr="007B1676" w:rsidRDefault="00253E4A" w:rsidP="009C520F">
            <w:pPr>
              <w:jc w:val="left"/>
              <w:rPr>
                <w:rFonts w:cs="Arial"/>
                <w:lang w:val="fr-FR"/>
              </w:rPr>
            </w:pPr>
            <w:r w:rsidRPr="007B1676">
              <w:rPr>
                <w:rFonts w:cs="Arial"/>
                <w:lang w:val="fr-FR"/>
              </w:rPr>
              <w:t>16</w:t>
            </w:r>
            <w:r w:rsidR="009C520F" w:rsidRPr="007B1676">
              <w:rPr>
                <w:rFonts w:cs="Arial"/>
                <w:lang w:val="fr-FR"/>
              </w:rPr>
              <w:t> </w:t>
            </w:r>
            <w:r w:rsidRPr="007B1676">
              <w:rPr>
                <w:rFonts w:cs="Arial"/>
                <w:lang w:val="fr-FR"/>
              </w:rPr>
              <w:t>févr</w:t>
            </w:r>
            <w:r w:rsidR="009C520F" w:rsidRPr="007B1676">
              <w:rPr>
                <w:rFonts w:cs="Arial"/>
                <w:lang w:val="fr-FR"/>
              </w:rPr>
              <w:t>ier</w:t>
            </w:r>
            <w:r w:rsidRPr="007B1676">
              <w:rPr>
                <w:rFonts w:cs="Arial"/>
                <w:lang w:val="fr-FR"/>
              </w:rPr>
              <w:t xml:space="preserve"> au 22</w:t>
            </w:r>
            <w:r w:rsidR="009C520F" w:rsidRPr="007B1676">
              <w:rPr>
                <w:rFonts w:cs="Arial"/>
                <w:lang w:val="fr-FR"/>
              </w:rPr>
              <w:t> </w:t>
            </w:r>
            <w:r w:rsidR="00FC2AC8" w:rsidRPr="007B1676">
              <w:rPr>
                <w:rFonts w:cs="Arial"/>
                <w:lang w:val="fr-FR"/>
              </w:rPr>
              <w:t>mars 20</w:t>
            </w:r>
            <w:r w:rsidRPr="007B1676">
              <w:rPr>
                <w:rFonts w:cs="Arial"/>
                <w:lang w:val="fr-FR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CDF" w:rsidRPr="007B1676" w:rsidRDefault="00253E4A" w:rsidP="0012253A">
            <w:pPr>
              <w:jc w:val="left"/>
              <w:rPr>
                <w:rFonts w:cs="Arial"/>
                <w:lang w:val="fr-FR"/>
              </w:rPr>
            </w:pPr>
            <w:r w:rsidRPr="007B1676">
              <w:rPr>
                <w:rFonts w:cs="Arial"/>
                <w:lang w:val="fr-FR"/>
              </w:rPr>
              <w:t>1</w:t>
            </w:r>
            <w:r w:rsidR="0012253A" w:rsidRPr="007B1676">
              <w:rPr>
                <w:rFonts w:cs="Arial"/>
                <w:vertAlign w:val="superscript"/>
                <w:lang w:val="fr-FR"/>
              </w:rPr>
              <w:t>er</w:t>
            </w:r>
            <w:r w:rsidR="0012253A" w:rsidRPr="007B1676">
              <w:rPr>
                <w:rFonts w:cs="Arial"/>
                <w:lang w:val="fr-FR"/>
              </w:rPr>
              <w:t> </w:t>
            </w:r>
            <w:r w:rsidRPr="007B1676">
              <w:rPr>
                <w:rFonts w:cs="Arial"/>
                <w:lang w:val="fr-FR"/>
              </w:rPr>
              <w:t>janv</w:t>
            </w:r>
            <w:r w:rsidR="0012253A" w:rsidRPr="007B1676">
              <w:rPr>
                <w:rFonts w:cs="Arial"/>
                <w:lang w:val="fr-FR"/>
              </w:rPr>
              <w:t>ier</w:t>
            </w:r>
            <w:r w:rsidRPr="007B1676">
              <w:rPr>
                <w:rFonts w:cs="Arial"/>
                <w:lang w:val="fr-FR"/>
              </w:rPr>
              <w:t xml:space="preserve"> au 31</w:t>
            </w:r>
            <w:r w:rsidR="0012253A" w:rsidRPr="007B1676">
              <w:rPr>
                <w:rFonts w:cs="Arial"/>
                <w:lang w:val="fr-FR"/>
              </w:rPr>
              <w:t> </w:t>
            </w:r>
            <w:r w:rsidRPr="007B1676">
              <w:rPr>
                <w:rFonts w:cs="Arial"/>
                <w:lang w:val="fr-FR"/>
              </w:rPr>
              <w:t>janv</w:t>
            </w:r>
            <w:r w:rsidR="0012253A" w:rsidRPr="007B1676">
              <w:rPr>
                <w:rFonts w:cs="Arial"/>
                <w:lang w:val="fr-FR"/>
              </w:rPr>
              <w:t>ier </w:t>
            </w:r>
            <w:r w:rsidRPr="007B1676">
              <w:rPr>
                <w:rFonts w:cs="Arial"/>
                <w:lang w:val="fr-FR"/>
              </w:rPr>
              <w:t>2015</w:t>
            </w:r>
          </w:p>
        </w:tc>
      </w:tr>
      <w:tr w:rsidR="007B1676" w:rsidRPr="007B1676" w:rsidTr="00A21CDF">
        <w:trPr>
          <w:tblCellSpacing w:w="22" w:type="dxa"/>
        </w:trPr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CDF" w:rsidRPr="00F37BE9" w:rsidRDefault="00CB14E0" w:rsidP="00A21CDF">
            <w:pPr>
              <w:jc w:val="left"/>
              <w:rPr>
                <w:rStyle w:val="Hyperlink"/>
              </w:rPr>
            </w:pPr>
            <w:hyperlink r:id="rId13" w:anchor="plus_DL305BE" w:history="1">
              <w:r w:rsidR="00A21CDF" w:rsidRPr="00F37BE9">
                <w:rPr>
                  <w:rStyle w:val="Hyperlink"/>
                  <w:rFonts w:cs="Arial"/>
                </w:rPr>
                <w:t>DL</w:t>
              </w:r>
              <w:r w:rsidR="00F66982" w:rsidRPr="00F37BE9">
                <w:rPr>
                  <w:rStyle w:val="Hyperlink"/>
                  <w:rFonts w:cs="Arial"/>
                </w:rPr>
                <w:noBreakHyphen/>
              </w:r>
              <w:r w:rsidR="00A21CDF" w:rsidRPr="00F37BE9">
                <w:rPr>
                  <w:rStyle w:val="Hyperlink"/>
                  <w:rFonts w:cs="Arial"/>
                </w:rPr>
                <w:t>305B</w:t>
              </w:r>
            </w:hyperlink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CDF" w:rsidRPr="007B1676" w:rsidRDefault="00253E4A" w:rsidP="00253E4A">
            <w:pPr>
              <w:jc w:val="left"/>
              <w:rPr>
                <w:rFonts w:cs="Arial"/>
                <w:lang w:val="fr-FR"/>
              </w:rPr>
            </w:pPr>
            <w:r w:rsidRPr="007B1676">
              <w:rPr>
                <w:rFonts w:cs="Arial"/>
                <w:lang w:val="fr-FR"/>
              </w:rPr>
              <w:t xml:space="preserve">Examen </w:t>
            </w:r>
            <w:proofErr w:type="gramStart"/>
            <w:r w:rsidRPr="007B1676">
              <w:rPr>
                <w:rFonts w:cs="Arial"/>
                <w:lang w:val="fr-FR"/>
              </w:rPr>
              <w:t>DHS</w:t>
            </w:r>
            <w:proofErr w:type="gramEnd"/>
            <w:r w:rsidR="00A21CDF" w:rsidRPr="007B1676">
              <w:rPr>
                <w:rFonts w:cs="Arial"/>
                <w:lang w:val="fr-FR"/>
              </w:rPr>
              <w:br/>
              <w:t>(Part</w:t>
            </w:r>
            <w:r w:rsidRPr="007B1676">
              <w:rPr>
                <w:rFonts w:cs="Arial"/>
                <w:lang w:val="fr-FR"/>
              </w:rPr>
              <w:t>ie</w:t>
            </w:r>
            <w:r w:rsidR="00A21CDF" w:rsidRPr="007B1676">
              <w:rPr>
                <w:rFonts w:cs="Arial"/>
                <w:lang w:val="fr-FR"/>
              </w:rPr>
              <w:t xml:space="preserve"> B </w:t>
            </w:r>
            <w:r w:rsidRPr="007B1676">
              <w:rPr>
                <w:rFonts w:cs="Arial"/>
                <w:lang w:val="fr-FR"/>
              </w:rPr>
              <w:t>du cours</w:t>
            </w:r>
            <w:r w:rsidR="00A21CDF" w:rsidRPr="007B1676">
              <w:rPr>
                <w:rFonts w:cs="Arial"/>
                <w:lang w:val="fr-FR"/>
              </w:rPr>
              <w:t xml:space="preserve"> DL</w:t>
            </w:r>
            <w:r w:rsidR="00F66982" w:rsidRPr="007B1676">
              <w:rPr>
                <w:rFonts w:cs="Arial"/>
                <w:lang w:val="fr-FR"/>
              </w:rPr>
              <w:noBreakHyphen/>
            </w:r>
            <w:r w:rsidR="00A21CDF" w:rsidRPr="007B1676">
              <w:rPr>
                <w:rFonts w:cs="Arial"/>
                <w:lang w:val="fr-FR"/>
              </w:rPr>
              <w:t>305</w:t>
            </w:r>
            <w:r w:rsidRPr="007B1676">
              <w:rPr>
                <w:rFonts w:cs="Arial"/>
                <w:lang w:val="fr-FR"/>
              </w:rPr>
              <w:t> :</w:t>
            </w:r>
            <w:r w:rsidR="00A21CDF" w:rsidRPr="007B1676">
              <w:rPr>
                <w:rFonts w:cs="Arial"/>
                <w:lang w:val="fr-FR"/>
              </w:rPr>
              <w:t xml:space="preserve"> </w:t>
            </w:r>
            <w:r w:rsidRPr="007B1676">
              <w:rPr>
                <w:rFonts w:cs="Arial"/>
                <w:lang w:val="fr-FR"/>
              </w:rPr>
              <w:t>Examen des demandes de droits d</w:t>
            </w:r>
            <w:r w:rsidR="00FC2AC8" w:rsidRPr="007B1676">
              <w:rPr>
                <w:rFonts w:cs="Arial"/>
                <w:lang w:val="fr-FR"/>
              </w:rPr>
              <w:t>’</w:t>
            </w:r>
            <w:r w:rsidRPr="007B1676">
              <w:rPr>
                <w:rFonts w:cs="Arial"/>
                <w:lang w:val="fr-FR"/>
              </w:rPr>
              <w:t>obtenteur</w:t>
            </w:r>
            <w:r w:rsidR="00A21CDF" w:rsidRPr="007B1676">
              <w:rPr>
                <w:rFonts w:cs="Arial"/>
                <w:lang w:val="fr-F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CDF" w:rsidRPr="007B1676" w:rsidRDefault="00253E4A" w:rsidP="009C520F">
            <w:pPr>
              <w:jc w:val="left"/>
              <w:rPr>
                <w:rFonts w:cs="Arial"/>
                <w:lang w:val="fr-FR"/>
              </w:rPr>
            </w:pPr>
            <w:r w:rsidRPr="007B1676">
              <w:t>20</w:t>
            </w:r>
            <w:r w:rsidR="009C520F" w:rsidRPr="007B1676">
              <w:t> </w:t>
            </w:r>
            <w:proofErr w:type="spellStart"/>
            <w:r w:rsidR="009C520F" w:rsidRPr="007B1676">
              <w:t>avril</w:t>
            </w:r>
            <w:proofErr w:type="spellEnd"/>
            <w:r w:rsidR="00731AD3" w:rsidRPr="007B1676">
              <w:t xml:space="preserve"> </w:t>
            </w:r>
            <w:r w:rsidRPr="007B1676">
              <w:t>au 24</w:t>
            </w:r>
            <w:r w:rsidR="009C520F" w:rsidRPr="007B1676">
              <w:t> </w:t>
            </w:r>
            <w:proofErr w:type="spellStart"/>
            <w:r w:rsidR="00FC2AC8" w:rsidRPr="007B1676">
              <w:t>mai</w:t>
            </w:r>
            <w:proofErr w:type="spellEnd"/>
            <w:r w:rsidR="00FC2AC8" w:rsidRPr="007B1676">
              <w:t> 20</w:t>
            </w:r>
            <w:r w:rsidRPr="007B1676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CDF" w:rsidRPr="007B1676" w:rsidRDefault="00253E4A" w:rsidP="0012253A">
            <w:pPr>
              <w:jc w:val="left"/>
              <w:rPr>
                <w:rFonts w:cs="Arial"/>
                <w:lang w:val="fr-FR"/>
              </w:rPr>
            </w:pPr>
            <w:r w:rsidRPr="007B1676">
              <w:rPr>
                <w:rFonts w:cs="Arial"/>
                <w:lang w:val="fr-FR"/>
              </w:rPr>
              <w:t>1</w:t>
            </w:r>
            <w:r w:rsidR="0012253A" w:rsidRPr="007B1676">
              <w:rPr>
                <w:rFonts w:cs="Arial"/>
                <w:vertAlign w:val="superscript"/>
                <w:lang w:val="fr-FR"/>
              </w:rPr>
              <w:t>er</w:t>
            </w:r>
            <w:r w:rsidR="0012253A" w:rsidRPr="007B1676">
              <w:rPr>
                <w:rFonts w:cs="Arial"/>
                <w:lang w:val="fr-FR"/>
              </w:rPr>
              <w:t> </w:t>
            </w:r>
            <w:r w:rsidRPr="007B1676">
              <w:rPr>
                <w:rFonts w:cs="Arial"/>
                <w:lang w:val="fr-FR"/>
              </w:rPr>
              <w:t>janv</w:t>
            </w:r>
            <w:r w:rsidR="0012253A" w:rsidRPr="007B1676">
              <w:rPr>
                <w:rFonts w:cs="Arial"/>
                <w:lang w:val="fr-FR"/>
              </w:rPr>
              <w:t>ier</w:t>
            </w:r>
            <w:r w:rsidRPr="007B1676">
              <w:rPr>
                <w:rFonts w:cs="Arial"/>
                <w:lang w:val="fr-FR"/>
              </w:rPr>
              <w:t xml:space="preserve"> au 29</w:t>
            </w:r>
            <w:r w:rsidR="0012253A" w:rsidRPr="007B1676">
              <w:rPr>
                <w:rFonts w:cs="Arial"/>
                <w:lang w:val="fr-FR"/>
              </w:rPr>
              <w:t> </w:t>
            </w:r>
            <w:r w:rsidRPr="007B1676">
              <w:rPr>
                <w:rFonts w:cs="Arial"/>
                <w:lang w:val="fr-FR"/>
              </w:rPr>
              <w:t>janv</w:t>
            </w:r>
            <w:r w:rsidR="0012253A" w:rsidRPr="007B1676">
              <w:rPr>
                <w:rFonts w:cs="Arial"/>
                <w:lang w:val="fr-FR"/>
              </w:rPr>
              <w:t>ier </w:t>
            </w:r>
            <w:r w:rsidRPr="007B1676">
              <w:rPr>
                <w:rFonts w:cs="Arial"/>
                <w:lang w:val="fr-FR"/>
              </w:rPr>
              <w:t>2015</w:t>
            </w:r>
          </w:p>
        </w:tc>
      </w:tr>
      <w:tr w:rsidR="007B1676" w:rsidRPr="007B1676" w:rsidTr="00A21CDF">
        <w:trPr>
          <w:tblCellSpacing w:w="22" w:type="dxa"/>
        </w:trPr>
        <w:tc>
          <w:tcPr>
            <w:tcW w:w="1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CDF" w:rsidRPr="00F37BE9" w:rsidRDefault="00CB14E0" w:rsidP="00A21CDF">
            <w:pPr>
              <w:jc w:val="left"/>
              <w:rPr>
                <w:rStyle w:val="Hyperlink"/>
              </w:rPr>
            </w:pPr>
            <w:hyperlink r:id="rId14" w:anchor="plus_DL305E" w:history="1">
              <w:r w:rsidR="00A21CDF" w:rsidRPr="00F37BE9">
                <w:rPr>
                  <w:rStyle w:val="Hyperlink"/>
                  <w:rFonts w:cs="Arial"/>
                </w:rPr>
                <w:t>DL</w:t>
              </w:r>
              <w:r w:rsidR="00F66982" w:rsidRPr="00F37BE9">
                <w:rPr>
                  <w:rStyle w:val="Hyperlink"/>
                  <w:rFonts w:cs="Arial"/>
                </w:rPr>
                <w:noBreakHyphen/>
              </w:r>
              <w:r w:rsidR="00A21CDF" w:rsidRPr="00F37BE9">
                <w:rPr>
                  <w:rStyle w:val="Hyperlink"/>
                  <w:rFonts w:cs="Arial"/>
                </w:rPr>
                <w:t>305</w:t>
              </w:r>
            </w:hyperlink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CDF" w:rsidRPr="007B1676" w:rsidRDefault="00A21CDF" w:rsidP="00253E4A">
            <w:pPr>
              <w:jc w:val="left"/>
              <w:rPr>
                <w:rFonts w:cs="Arial"/>
                <w:lang w:val="fr-FR"/>
              </w:rPr>
            </w:pPr>
            <w:r w:rsidRPr="007B1676">
              <w:rPr>
                <w:rFonts w:cs="Arial"/>
                <w:lang w:val="fr-FR"/>
              </w:rPr>
              <w:t>E</w:t>
            </w:r>
            <w:r w:rsidR="00253E4A" w:rsidRPr="007B1676">
              <w:rPr>
                <w:rFonts w:cs="Arial"/>
                <w:lang w:val="fr-FR"/>
              </w:rPr>
              <w:t>xamen des demandes de droits d</w:t>
            </w:r>
            <w:r w:rsidR="00FC2AC8" w:rsidRPr="007B1676">
              <w:rPr>
                <w:rFonts w:cs="Arial"/>
                <w:lang w:val="fr-FR"/>
              </w:rPr>
              <w:t>’</w:t>
            </w:r>
            <w:r w:rsidR="00253E4A" w:rsidRPr="007B1676">
              <w:rPr>
                <w:rFonts w:cs="Arial"/>
                <w:lang w:val="fr-FR"/>
              </w:rPr>
              <w:t>obtenteur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CDF" w:rsidRPr="007B1676" w:rsidRDefault="00253E4A" w:rsidP="00253E4A">
            <w:pPr>
              <w:jc w:val="left"/>
              <w:rPr>
                <w:rFonts w:cs="Arial"/>
                <w:lang w:val="fr-FR"/>
              </w:rPr>
            </w:pPr>
            <w:r w:rsidRPr="007B1676">
              <w:t>20</w:t>
            </w:r>
            <w:r w:rsidR="009C520F" w:rsidRPr="007B1676">
              <w:t> </w:t>
            </w:r>
            <w:proofErr w:type="spellStart"/>
            <w:r w:rsidR="0012253A" w:rsidRPr="007B1676">
              <w:t>avril</w:t>
            </w:r>
            <w:proofErr w:type="spellEnd"/>
            <w:r w:rsidR="0012253A" w:rsidRPr="007B1676">
              <w:t xml:space="preserve"> </w:t>
            </w:r>
            <w:r w:rsidRPr="007B1676">
              <w:t>au 24</w:t>
            </w:r>
            <w:r w:rsidR="009C520F" w:rsidRPr="007B1676">
              <w:t> </w:t>
            </w:r>
            <w:proofErr w:type="spellStart"/>
            <w:r w:rsidR="00FC2AC8" w:rsidRPr="007B1676">
              <w:t>mai</w:t>
            </w:r>
            <w:proofErr w:type="spellEnd"/>
            <w:r w:rsidR="00FC2AC8" w:rsidRPr="007B1676">
              <w:t> 20</w:t>
            </w:r>
            <w:r w:rsidRPr="007B1676"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1CDF" w:rsidRPr="007B1676" w:rsidRDefault="00253E4A" w:rsidP="0012253A">
            <w:pPr>
              <w:jc w:val="left"/>
              <w:rPr>
                <w:rFonts w:cs="Arial"/>
                <w:lang w:val="fr-FR"/>
              </w:rPr>
            </w:pPr>
            <w:r w:rsidRPr="007B1676">
              <w:rPr>
                <w:rFonts w:cs="Arial"/>
                <w:lang w:val="fr-FR"/>
              </w:rPr>
              <w:t>1</w:t>
            </w:r>
            <w:r w:rsidR="0012253A" w:rsidRPr="007B1676">
              <w:rPr>
                <w:rFonts w:cs="Arial"/>
                <w:vertAlign w:val="superscript"/>
                <w:lang w:val="fr-FR"/>
              </w:rPr>
              <w:t>er</w:t>
            </w:r>
            <w:r w:rsidR="0012253A" w:rsidRPr="007B1676">
              <w:rPr>
                <w:rFonts w:cs="Arial"/>
                <w:lang w:val="fr-FR"/>
              </w:rPr>
              <w:t> j</w:t>
            </w:r>
            <w:r w:rsidRPr="007B1676">
              <w:rPr>
                <w:rFonts w:cs="Arial"/>
                <w:lang w:val="fr-FR"/>
              </w:rPr>
              <w:t>anv</w:t>
            </w:r>
            <w:r w:rsidR="0012253A" w:rsidRPr="007B1676">
              <w:rPr>
                <w:rFonts w:cs="Arial"/>
                <w:lang w:val="fr-FR"/>
              </w:rPr>
              <w:t>ier</w:t>
            </w:r>
            <w:r w:rsidRPr="007B1676">
              <w:rPr>
                <w:rFonts w:cs="Arial"/>
                <w:lang w:val="fr-FR"/>
              </w:rPr>
              <w:t xml:space="preserve"> au 29</w:t>
            </w:r>
            <w:r w:rsidR="0012253A" w:rsidRPr="007B1676">
              <w:rPr>
                <w:rFonts w:cs="Arial"/>
                <w:lang w:val="fr-FR"/>
              </w:rPr>
              <w:t> </w:t>
            </w:r>
            <w:r w:rsidRPr="007B1676">
              <w:rPr>
                <w:rFonts w:cs="Arial"/>
                <w:lang w:val="fr-FR"/>
              </w:rPr>
              <w:t>janv</w:t>
            </w:r>
            <w:r w:rsidR="0012253A" w:rsidRPr="007B1676">
              <w:rPr>
                <w:rFonts w:cs="Arial"/>
                <w:lang w:val="fr-FR"/>
              </w:rPr>
              <w:t>ier </w:t>
            </w:r>
            <w:r w:rsidRPr="007B1676">
              <w:rPr>
                <w:rFonts w:cs="Arial"/>
                <w:lang w:val="fr-FR"/>
              </w:rPr>
              <w:t>2015</w:t>
            </w:r>
          </w:p>
        </w:tc>
      </w:tr>
    </w:tbl>
    <w:p w:rsidR="00F77FD5" w:rsidRPr="007B1676" w:rsidRDefault="00F77FD5" w:rsidP="00A21CDF">
      <w:pPr>
        <w:rPr>
          <w:rFonts w:cs="Arial"/>
          <w:lang w:val="fr-FR"/>
        </w:rPr>
      </w:pPr>
    </w:p>
    <w:p w:rsidR="00F77FD5" w:rsidRPr="007B1676" w:rsidRDefault="00886D9F" w:rsidP="00A21CDF">
      <w:pPr>
        <w:rPr>
          <w:rFonts w:cs="Arial"/>
          <w:lang w:val="fr-FR"/>
        </w:rPr>
      </w:pPr>
      <w:r w:rsidRPr="007B1676">
        <w:rPr>
          <w:rFonts w:cs="Arial"/>
          <w:lang w:val="fr-FR"/>
        </w:rPr>
        <w:t>(</w:t>
      </w:r>
      <w:proofErr w:type="gramStart"/>
      <w:r w:rsidRPr="007B1676">
        <w:rPr>
          <w:rFonts w:cs="Arial"/>
          <w:lang w:val="fr-FR"/>
        </w:rPr>
        <w:t>voir</w:t>
      </w:r>
      <w:proofErr w:type="gramEnd"/>
      <w:r w:rsidR="00A21CDF" w:rsidRPr="007B1676">
        <w:rPr>
          <w:rFonts w:cs="Arial"/>
          <w:lang w:val="fr-FR"/>
        </w:rPr>
        <w:t xml:space="preserve"> </w:t>
      </w:r>
      <w:hyperlink r:id="rId15" w:history="1">
        <w:r w:rsidR="00163264" w:rsidRPr="00CA24E1">
          <w:rPr>
            <w:rStyle w:val="Hyperlink"/>
            <w:rFonts w:cs="Arial"/>
            <w:lang w:val="fr-FR"/>
          </w:rPr>
          <w:t>http://www.upov.int/resource/fr/training.html</w:t>
        </w:r>
      </w:hyperlink>
      <w:r w:rsidR="00A21CDF" w:rsidRPr="007B1676">
        <w:rPr>
          <w:rFonts w:cs="Arial"/>
          <w:lang w:val="fr-FR"/>
        </w:rPr>
        <w:t>)</w:t>
      </w:r>
    </w:p>
    <w:p w:rsidR="00F77FD5" w:rsidRPr="007B1676" w:rsidRDefault="00F77FD5" w:rsidP="001D140D">
      <w:pPr>
        <w:keepNext/>
        <w:rPr>
          <w:lang w:val="fr-FR"/>
        </w:rPr>
      </w:pPr>
    </w:p>
    <w:p w:rsidR="00F77FD5" w:rsidRPr="007B1676" w:rsidRDefault="001D140D" w:rsidP="001D140D">
      <w:pPr>
        <w:shd w:val="clear" w:color="auto" w:fill="FFFFFF" w:themeFill="background1"/>
        <w:rPr>
          <w:rFonts w:cs="Arial"/>
          <w:lang w:val="fr-FR"/>
        </w:rPr>
      </w:pPr>
      <w:r w:rsidRPr="007B1676">
        <w:rPr>
          <w:rFonts w:cs="Arial"/>
          <w:lang w:val="fr-FR"/>
        </w:rPr>
        <w:fldChar w:fldCharType="begin"/>
      </w:r>
      <w:r w:rsidRPr="007B1676">
        <w:rPr>
          <w:rFonts w:cs="Arial"/>
          <w:lang w:val="fr-FR"/>
        </w:rPr>
        <w:instrText xml:space="preserve"> AUTONUM  </w:instrText>
      </w:r>
      <w:r w:rsidRPr="007B1676">
        <w:rPr>
          <w:rFonts w:cs="Arial"/>
          <w:lang w:val="fr-FR"/>
        </w:rPr>
        <w:fldChar w:fldCharType="end"/>
      </w:r>
      <w:r w:rsidRPr="007B1676">
        <w:rPr>
          <w:rFonts w:cs="Arial"/>
          <w:lang w:val="fr-FR"/>
        </w:rPr>
        <w:tab/>
      </w:r>
      <w:r w:rsidR="00253E4A" w:rsidRPr="007B1676">
        <w:rPr>
          <w:rFonts w:cs="Arial"/>
          <w:lang w:val="fr-FR"/>
        </w:rPr>
        <w:t>La version allemande du cours</w:t>
      </w:r>
      <w:r w:rsidRPr="007B1676">
        <w:rPr>
          <w:rFonts w:cs="Arial"/>
          <w:lang w:val="fr-FR"/>
        </w:rPr>
        <w:t xml:space="preserve"> DL</w:t>
      </w:r>
      <w:r w:rsidR="00F66982" w:rsidRPr="007B1676">
        <w:rPr>
          <w:rFonts w:cs="Arial"/>
          <w:lang w:val="fr-FR"/>
        </w:rPr>
        <w:noBreakHyphen/>
      </w:r>
      <w:r w:rsidRPr="007B1676">
        <w:rPr>
          <w:rFonts w:cs="Arial"/>
          <w:lang w:val="fr-FR"/>
        </w:rPr>
        <w:t xml:space="preserve">305 </w:t>
      </w:r>
      <w:r w:rsidR="00253E4A" w:rsidRPr="007B1676">
        <w:rPr>
          <w:rFonts w:cs="Arial"/>
          <w:lang w:val="fr-FR"/>
        </w:rPr>
        <w:t>sera lancée en</w:t>
      </w:r>
      <w:r w:rsidR="00731AD3" w:rsidRPr="007B1676">
        <w:rPr>
          <w:rFonts w:cs="Arial"/>
          <w:lang w:val="fr-FR"/>
        </w:rPr>
        <w:t> </w:t>
      </w:r>
      <w:r w:rsidR="00253E4A" w:rsidRPr="007B1676">
        <w:rPr>
          <w:rFonts w:cs="Arial"/>
          <w:lang w:val="fr-FR"/>
        </w:rPr>
        <w:t>2016.</w:t>
      </w:r>
    </w:p>
    <w:p w:rsidR="00F77FD5" w:rsidRPr="007B1676" w:rsidRDefault="00F77FD5" w:rsidP="001D140D">
      <w:pPr>
        <w:rPr>
          <w:rFonts w:cs="Arial"/>
          <w:snapToGrid w:val="0"/>
          <w:lang w:val="fr-FR"/>
        </w:rPr>
      </w:pPr>
    </w:p>
    <w:p w:rsidR="00F77FD5" w:rsidRPr="007B1676" w:rsidRDefault="00F77FD5" w:rsidP="001D140D">
      <w:pPr>
        <w:rPr>
          <w:snapToGrid w:val="0"/>
          <w:lang w:val="fr-FR"/>
        </w:rPr>
      </w:pPr>
    </w:p>
    <w:p w:rsidR="00F77FD5" w:rsidRPr="007B1676" w:rsidRDefault="00965498" w:rsidP="00464B0B">
      <w:pPr>
        <w:pStyle w:val="Heading1"/>
        <w:rPr>
          <w:color w:val="auto"/>
        </w:rPr>
      </w:pPr>
      <w:bookmarkStart w:id="31" w:name="_Toc413662356"/>
      <w:bookmarkStart w:id="32" w:name="_Toc381174877"/>
      <w:r w:rsidRPr="007B1676">
        <w:rPr>
          <w:color w:val="auto"/>
        </w:rPr>
        <w:t>SYSTèME DE DéPÔT INTERNATIONAL, ASSURANCE QUALITé ET RECHERCHE DE DéNOMINATIONS VARIéTALES</w:t>
      </w:r>
      <w:r w:rsidR="00FC2AC8" w:rsidRPr="007B1676">
        <w:rPr>
          <w:color w:val="auto"/>
        </w:rPr>
        <w:t xml:space="preserve"> – </w:t>
      </w:r>
      <w:r w:rsidR="00403E2D" w:rsidRPr="007B1676">
        <w:rPr>
          <w:color w:val="auto"/>
        </w:rPr>
        <w:t>proposition</w:t>
      </w:r>
      <w:bookmarkEnd w:id="31"/>
    </w:p>
    <w:p w:rsidR="00F77FD5" w:rsidRPr="007B1676" w:rsidRDefault="00F77FD5" w:rsidP="00402138">
      <w:pPr>
        <w:rPr>
          <w:lang w:val="fr-FR"/>
        </w:rPr>
      </w:pPr>
    </w:p>
    <w:p w:rsidR="00F77FD5" w:rsidRPr="007B1676" w:rsidRDefault="00402138" w:rsidP="00402138">
      <w:pPr>
        <w:rPr>
          <w:lang w:val="fr-FR"/>
        </w:rPr>
      </w:pPr>
      <w:r w:rsidRPr="007B1676">
        <w:rPr>
          <w:lang w:val="fr-FR"/>
        </w:rPr>
        <w:fldChar w:fldCharType="begin"/>
      </w:r>
      <w:r w:rsidRPr="007B1676">
        <w:rPr>
          <w:lang w:val="fr-FR"/>
        </w:rPr>
        <w:instrText xml:space="preserve"> AUTONUM  </w:instrText>
      </w:r>
      <w:r w:rsidRPr="007B1676">
        <w:rPr>
          <w:lang w:val="fr-FR"/>
        </w:rPr>
        <w:fldChar w:fldCharType="end"/>
      </w:r>
      <w:r w:rsidRPr="007B1676">
        <w:rPr>
          <w:lang w:val="fr-FR"/>
        </w:rPr>
        <w:tab/>
      </w:r>
      <w:r w:rsidR="00403E2D" w:rsidRPr="007B1676">
        <w:rPr>
          <w:lang w:val="fr-FR"/>
        </w:rPr>
        <w:t>À sa quatre</w:t>
      </w:r>
      <w:r w:rsidR="00F66982" w:rsidRPr="007B1676">
        <w:rPr>
          <w:lang w:val="fr-FR"/>
        </w:rPr>
        <w:noBreakHyphen/>
      </w:r>
      <w:r w:rsidR="00403E2D" w:rsidRPr="007B1676">
        <w:rPr>
          <w:lang w:val="fr-FR"/>
        </w:rPr>
        <w:t>vingt</w:t>
      </w:r>
      <w:r w:rsidR="00F66982" w:rsidRPr="007B1676">
        <w:rPr>
          <w:lang w:val="fr-FR"/>
        </w:rPr>
        <w:noBreakHyphen/>
      </w:r>
      <w:r w:rsidR="00403E2D" w:rsidRPr="007B1676">
        <w:rPr>
          <w:lang w:val="fr-FR"/>
        </w:rPr>
        <w:t>huitième</w:t>
      </w:r>
      <w:r w:rsidR="00731AD3" w:rsidRPr="007B1676">
        <w:rPr>
          <w:lang w:val="fr-FR"/>
        </w:rPr>
        <w:t> </w:t>
      </w:r>
      <w:r w:rsidR="00403E2D" w:rsidRPr="007B1676">
        <w:rPr>
          <w:lang w:val="fr-FR"/>
        </w:rPr>
        <w:t>session tenue à Genève le 1</w:t>
      </w:r>
      <w:r w:rsidR="00FC2AC8" w:rsidRPr="007B1676">
        <w:rPr>
          <w:lang w:val="fr-FR"/>
        </w:rPr>
        <w:t>5 octobre 20</w:t>
      </w:r>
      <w:r w:rsidR="00403E2D" w:rsidRPr="007B1676">
        <w:rPr>
          <w:lang w:val="fr-FR"/>
        </w:rPr>
        <w:t xml:space="preserve">14, le Comité consultatif a pris note des informations sur le système international des brevets (PCT), le système international des marques (Système de Madrid) et le système international des dessins et modèles industriels (Système de </w:t>
      </w:r>
      <w:r w:rsidR="00FC2AC8" w:rsidRPr="007B1676">
        <w:rPr>
          <w:lang w:val="fr-FR"/>
        </w:rPr>
        <w:t>La Haye</w:t>
      </w:r>
      <w:r w:rsidR="00403E2D" w:rsidRPr="007B1676">
        <w:rPr>
          <w:lang w:val="fr-FR"/>
        </w:rPr>
        <w:t>) et a examiné la contribution écrite soumise par l</w:t>
      </w:r>
      <w:r w:rsidR="00FC2AC8" w:rsidRPr="007B1676">
        <w:rPr>
          <w:lang w:val="fr-FR"/>
        </w:rPr>
        <w:t>’</w:t>
      </w:r>
      <w:r w:rsidR="00403E2D" w:rsidRPr="007B1676">
        <w:rPr>
          <w:lang w:val="fr-FR"/>
        </w:rPr>
        <w:t xml:space="preserve">International </w:t>
      </w:r>
      <w:proofErr w:type="spellStart"/>
      <w:r w:rsidR="00403E2D" w:rsidRPr="007B1676">
        <w:rPr>
          <w:lang w:val="fr-FR"/>
        </w:rPr>
        <w:t>Seed</w:t>
      </w:r>
      <w:proofErr w:type="spellEnd"/>
      <w:r w:rsidR="00403E2D" w:rsidRPr="007B1676">
        <w:rPr>
          <w:lang w:val="fr-FR"/>
        </w:rPr>
        <w:t xml:space="preserve"> </w:t>
      </w:r>
      <w:proofErr w:type="spellStart"/>
      <w:r w:rsidR="00403E2D" w:rsidRPr="007B1676">
        <w:rPr>
          <w:lang w:val="fr-FR"/>
        </w:rPr>
        <w:t>Federation</w:t>
      </w:r>
      <w:proofErr w:type="spellEnd"/>
      <w:r w:rsidR="00403E2D" w:rsidRPr="007B1676">
        <w:rPr>
          <w:lang w:val="fr-FR"/>
        </w:rPr>
        <w:t xml:space="preserve"> (ISF)</w:t>
      </w:r>
      <w:r w:rsidRPr="007B1676">
        <w:rPr>
          <w:lang w:val="fr-FR"/>
        </w:rPr>
        <w:t xml:space="preserve">, </w:t>
      </w:r>
      <w:r w:rsidR="00403E2D" w:rsidRPr="007B1676">
        <w:rPr>
          <w:lang w:val="fr-FR"/>
        </w:rPr>
        <w:t xml:space="preserve">la Communauté internationale des obtenteurs de plantes ornementales et fruitières à reproduction asexuée </w:t>
      </w:r>
      <w:r w:rsidRPr="007B1676">
        <w:rPr>
          <w:lang w:val="fr-FR"/>
        </w:rPr>
        <w:t xml:space="preserve">(CIOPORA) </w:t>
      </w:r>
      <w:proofErr w:type="spellStart"/>
      <w:r w:rsidRPr="007B1676">
        <w:rPr>
          <w:lang w:val="fr-FR"/>
        </w:rPr>
        <w:t>CropLife</w:t>
      </w:r>
      <w:proofErr w:type="spellEnd"/>
      <w:r w:rsidRPr="007B1676">
        <w:rPr>
          <w:lang w:val="fr-FR"/>
        </w:rPr>
        <w:t xml:space="preserve"> International, </w:t>
      </w:r>
      <w:r w:rsidR="00403E2D" w:rsidRPr="007B1676">
        <w:rPr>
          <w:lang w:val="fr-FR"/>
        </w:rPr>
        <w:t>conjointement avec leurs exposés à la quatre</w:t>
      </w:r>
      <w:r w:rsidR="00F66982" w:rsidRPr="007B1676">
        <w:rPr>
          <w:lang w:val="fr-FR"/>
        </w:rPr>
        <w:noBreakHyphen/>
      </w:r>
      <w:r w:rsidR="00403E2D" w:rsidRPr="007B1676">
        <w:rPr>
          <w:lang w:val="fr-FR"/>
        </w:rPr>
        <w:t>vingt</w:t>
      </w:r>
      <w:r w:rsidR="00F66982" w:rsidRPr="007B1676">
        <w:rPr>
          <w:lang w:val="fr-FR"/>
        </w:rPr>
        <w:noBreakHyphen/>
      </w:r>
      <w:r w:rsidR="00403E2D" w:rsidRPr="007B1676">
        <w:rPr>
          <w:lang w:val="fr-FR"/>
        </w:rPr>
        <w:t>huitième</w:t>
      </w:r>
      <w:r w:rsidR="00731AD3" w:rsidRPr="007B1676">
        <w:rPr>
          <w:lang w:val="fr-FR"/>
        </w:rPr>
        <w:t> </w:t>
      </w:r>
      <w:r w:rsidR="00403E2D" w:rsidRPr="007B1676">
        <w:rPr>
          <w:lang w:val="fr-FR"/>
        </w:rPr>
        <w:t>session du Comité consultatif</w:t>
      </w:r>
      <w:r w:rsidRPr="007B1676">
        <w:rPr>
          <w:lang w:val="fr-FR"/>
        </w:rPr>
        <w:t>.</w:t>
      </w:r>
    </w:p>
    <w:p w:rsidR="00F77FD5" w:rsidRPr="007B1676" w:rsidRDefault="00F77FD5" w:rsidP="00402138">
      <w:pPr>
        <w:rPr>
          <w:lang w:val="fr-FR"/>
        </w:rPr>
      </w:pPr>
    </w:p>
    <w:p w:rsidR="00F77FD5" w:rsidRPr="007B1676" w:rsidRDefault="00402138" w:rsidP="0095770C">
      <w:pPr>
        <w:rPr>
          <w:lang w:val="fr-FR"/>
        </w:rPr>
      </w:pPr>
      <w:r w:rsidRPr="007B1676">
        <w:rPr>
          <w:lang w:val="fr-FR"/>
        </w:rPr>
        <w:fldChar w:fldCharType="begin"/>
      </w:r>
      <w:r w:rsidRPr="007B1676">
        <w:rPr>
          <w:lang w:val="fr-FR"/>
        </w:rPr>
        <w:instrText xml:space="preserve"> AUTONUM  </w:instrText>
      </w:r>
      <w:r w:rsidRPr="007B1676">
        <w:rPr>
          <w:lang w:val="fr-FR"/>
        </w:rPr>
        <w:fldChar w:fldCharType="end"/>
      </w:r>
      <w:r w:rsidRPr="007B1676">
        <w:rPr>
          <w:lang w:val="fr-FR"/>
        </w:rPr>
        <w:tab/>
      </w:r>
      <w:r w:rsidR="0095770C" w:rsidRPr="007B1676">
        <w:rPr>
          <w:lang w:val="fr-FR"/>
        </w:rPr>
        <w:t>Le Comité consultatif a demandé au Bureau de l</w:t>
      </w:r>
      <w:r w:rsidR="00FC2AC8" w:rsidRPr="007B1676">
        <w:rPr>
          <w:lang w:val="fr-FR"/>
        </w:rPr>
        <w:t>’</w:t>
      </w:r>
      <w:r w:rsidR="0095770C" w:rsidRPr="007B1676">
        <w:rPr>
          <w:lang w:val="fr-FR"/>
        </w:rPr>
        <w:t>Union d</w:t>
      </w:r>
      <w:r w:rsidR="00FC2AC8" w:rsidRPr="007B1676">
        <w:rPr>
          <w:lang w:val="fr-FR"/>
        </w:rPr>
        <w:t>’</w:t>
      </w:r>
      <w:r w:rsidR="0095770C" w:rsidRPr="007B1676">
        <w:rPr>
          <w:lang w:val="fr-FR"/>
        </w:rPr>
        <w:t>établir un document précisant les questions soulevées et les marches à suivre éventuelles concernant un système international de coopération, pour examen par le Comité consultatif à sa quatre</w:t>
      </w:r>
      <w:r w:rsidR="00F66982" w:rsidRPr="007B1676">
        <w:rPr>
          <w:lang w:val="fr-FR"/>
        </w:rPr>
        <w:noBreakHyphen/>
      </w:r>
      <w:r w:rsidR="0095770C" w:rsidRPr="007B1676">
        <w:rPr>
          <w:lang w:val="fr-FR"/>
        </w:rPr>
        <w:t>vingt</w:t>
      </w:r>
      <w:r w:rsidR="00F66982" w:rsidRPr="007B1676">
        <w:rPr>
          <w:lang w:val="fr-FR"/>
        </w:rPr>
        <w:noBreakHyphen/>
      </w:r>
      <w:r w:rsidR="0095770C" w:rsidRPr="007B1676">
        <w:rPr>
          <w:lang w:val="fr-FR"/>
        </w:rPr>
        <w:t>neuvième</w:t>
      </w:r>
      <w:r w:rsidR="00731AD3" w:rsidRPr="007B1676">
        <w:rPr>
          <w:lang w:val="fr-FR"/>
        </w:rPr>
        <w:t> </w:t>
      </w:r>
      <w:r w:rsidR="0095770C" w:rsidRPr="007B1676">
        <w:rPr>
          <w:lang w:val="fr-FR"/>
        </w:rPr>
        <w:t xml:space="preserve">session, en </w:t>
      </w:r>
      <w:r w:rsidR="00FC2AC8" w:rsidRPr="007B1676">
        <w:rPr>
          <w:lang w:val="fr-FR"/>
        </w:rPr>
        <w:t>mars 20</w:t>
      </w:r>
      <w:r w:rsidR="0095770C" w:rsidRPr="007B1676">
        <w:rPr>
          <w:lang w:val="fr-FR"/>
        </w:rPr>
        <w:t>15.</w:t>
      </w:r>
    </w:p>
    <w:p w:rsidR="00F77FD5" w:rsidRPr="007B1676" w:rsidRDefault="00F77FD5" w:rsidP="00402138">
      <w:pPr>
        <w:rPr>
          <w:lang w:val="fr-FR"/>
        </w:rPr>
      </w:pPr>
    </w:p>
    <w:p w:rsidR="00F77FD5" w:rsidRPr="007B1676" w:rsidRDefault="00F77FD5" w:rsidP="00464B0B">
      <w:pPr>
        <w:pStyle w:val="Heading1"/>
        <w:rPr>
          <w:color w:val="auto"/>
        </w:rPr>
      </w:pPr>
    </w:p>
    <w:p w:rsidR="00F77FD5" w:rsidRPr="007B1676" w:rsidRDefault="0041204F" w:rsidP="00464B0B">
      <w:pPr>
        <w:pStyle w:val="Heading1"/>
        <w:rPr>
          <w:color w:val="auto"/>
        </w:rPr>
      </w:pPr>
      <w:bookmarkStart w:id="33" w:name="_Toc413662357"/>
      <w:bookmarkEnd w:id="32"/>
      <w:r w:rsidRPr="007B1676">
        <w:rPr>
          <w:color w:val="auto"/>
        </w:rPr>
        <w:t>éléments nouveaux dans les travaux d</w:t>
      </w:r>
      <w:r w:rsidR="00FC2AC8" w:rsidRPr="007B1676">
        <w:rPr>
          <w:color w:val="auto"/>
        </w:rPr>
        <w:t>’</w:t>
      </w:r>
      <w:r w:rsidRPr="007B1676">
        <w:rPr>
          <w:color w:val="auto"/>
        </w:rPr>
        <w:t>autres instances internationales présentant un intérêt pour l</w:t>
      </w:r>
      <w:r w:rsidR="00FC2AC8" w:rsidRPr="007B1676">
        <w:rPr>
          <w:color w:val="auto"/>
        </w:rPr>
        <w:t>’</w:t>
      </w:r>
      <w:r w:rsidRPr="007B1676">
        <w:rPr>
          <w:color w:val="auto"/>
        </w:rPr>
        <w:t>UPOV</w:t>
      </w:r>
      <w:bookmarkEnd w:id="33"/>
    </w:p>
    <w:p w:rsidR="00F77FD5" w:rsidRPr="007B1676" w:rsidRDefault="00F77FD5" w:rsidP="001D140D">
      <w:pPr>
        <w:keepNext/>
        <w:rPr>
          <w:snapToGrid w:val="0"/>
          <w:lang w:val="fr-FR"/>
        </w:rPr>
      </w:pPr>
    </w:p>
    <w:p w:rsidR="00F77FD5" w:rsidRPr="007B1676" w:rsidRDefault="0095770C" w:rsidP="0085250E">
      <w:pPr>
        <w:pStyle w:val="Heading2"/>
        <w:rPr>
          <w:color w:val="auto"/>
        </w:rPr>
      </w:pPr>
      <w:bookmarkStart w:id="34" w:name="_Toc413662358"/>
      <w:r w:rsidRPr="007B1676">
        <w:rPr>
          <w:color w:val="auto"/>
        </w:rPr>
        <w:t>Traité international sur les ressources phytogénétiques pour l</w:t>
      </w:r>
      <w:r w:rsidR="00FC2AC8" w:rsidRPr="007B1676">
        <w:rPr>
          <w:color w:val="auto"/>
        </w:rPr>
        <w:t>’</w:t>
      </w:r>
      <w:r w:rsidRPr="007B1676">
        <w:rPr>
          <w:color w:val="auto"/>
        </w:rPr>
        <w:t>alimentation et l</w:t>
      </w:r>
      <w:r w:rsidR="00FC2AC8" w:rsidRPr="007B1676">
        <w:rPr>
          <w:color w:val="auto"/>
        </w:rPr>
        <w:t>’</w:t>
      </w:r>
      <w:r w:rsidRPr="007B1676">
        <w:rPr>
          <w:color w:val="auto"/>
        </w:rPr>
        <w:t>agriculture (TIRPGAA)</w:t>
      </w:r>
      <w:bookmarkEnd w:id="34"/>
    </w:p>
    <w:p w:rsidR="00F77FD5" w:rsidRPr="007B1676" w:rsidRDefault="00F77FD5" w:rsidP="001D140D">
      <w:pPr>
        <w:keepNext/>
        <w:rPr>
          <w:snapToGrid w:val="0"/>
          <w:lang w:val="fr-FR"/>
        </w:rPr>
      </w:pPr>
    </w:p>
    <w:p w:rsidR="00F77FD5" w:rsidRPr="007B1676" w:rsidRDefault="0095770C" w:rsidP="007D2C67">
      <w:pPr>
        <w:pStyle w:val="Heading3"/>
        <w:rPr>
          <w:color w:val="auto"/>
        </w:rPr>
      </w:pPr>
      <w:bookmarkStart w:id="35" w:name="_Toc413662359"/>
      <w:r w:rsidRPr="007B1676">
        <w:rPr>
          <w:color w:val="auto"/>
        </w:rPr>
        <w:t>Relations entre</w:t>
      </w:r>
      <w:r w:rsidR="00FC2AC8" w:rsidRPr="007B1676">
        <w:rPr>
          <w:color w:val="auto"/>
        </w:rPr>
        <w:t xml:space="preserve"> le TIR</w:t>
      </w:r>
      <w:r w:rsidR="0041204F" w:rsidRPr="007B1676">
        <w:rPr>
          <w:color w:val="auto"/>
        </w:rPr>
        <w:t>PGAA</w:t>
      </w:r>
      <w:r w:rsidRPr="007B1676">
        <w:rPr>
          <w:color w:val="auto"/>
        </w:rPr>
        <w:t>, l</w:t>
      </w:r>
      <w:r w:rsidR="00FC2AC8" w:rsidRPr="007B1676">
        <w:rPr>
          <w:color w:val="auto"/>
        </w:rPr>
        <w:t>’</w:t>
      </w:r>
      <w:r w:rsidRPr="007B1676">
        <w:rPr>
          <w:color w:val="auto"/>
        </w:rPr>
        <w:t>UPOV et l</w:t>
      </w:r>
      <w:r w:rsidR="00FC2AC8" w:rsidRPr="007B1676">
        <w:rPr>
          <w:color w:val="auto"/>
        </w:rPr>
        <w:t>’</w:t>
      </w:r>
      <w:r w:rsidRPr="007B1676">
        <w:rPr>
          <w:color w:val="auto"/>
        </w:rPr>
        <w:t>OMPI</w:t>
      </w:r>
      <w:bookmarkEnd w:id="35"/>
    </w:p>
    <w:p w:rsidR="00F77FD5" w:rsidRPr="007B1676" w:rsidRDefault="00F77FD5" w:rsidP="001D140D">
      <w:pPr>
        <w:keepNext/>
        <w:rPr>
          <w:snapToGrid w:val="0"/>
          <w:lang w:val="fr-FR"/>
        </w:rPr>
      </w:pPr>
    </w:p>
    <w:p w:rsidR="00F77FD5" w:rsidRPr="007B1676" w:rsidRDefault="00A326E8" w:rsidP="0095770C">
      <w:pPr>
        <w:rPr>
          <w:snapToGrid w:val="0"/>
          <w:lang w:val="fr-FR"/>
        </w:rPr>
      </w:pPr>
      <w:r w:rsidRPr="007B1676">
        <w:rPr>
          <w:snapToGrid w:val="0"/>
          <w:lang w:val="fr-FR"/>
        </w:rPr>
        <w:fldChar w:fldCharType="begin"/>
      </w:r>
      <w:r w:rsidRPr="007B1676">
        <w:rPr>
          <w:snapToGrid w:val="0"/>
          <w:lang w:val="fr-FR"/>
        </w:rPr>
        <w:instrText xml:space="preserve"> AUTONUM  </w:instrText>
      </w:r>
      <w:r w:rsidRPr="007B1676">
        <w:rPr>
          <w:snapToGrid w:val="0"/>
          <w:lang w:val="fr-FR"/>
        </w:rPr>
        <w:fldChar w:fldCharType="end"/>
      </w:r>
      <w:r w:rsidRPr="007B1676">
        <w:rPr>
          <w:snapToGrid w:val="0"/>
          <w:lang w:val="fr-FR"/>
        </w:rPr>
        <w:tab/>
      </w:r>
      <w:r w:rsidR="009C520F" w:rsidRPr="007B1676">
        <w:rPr>
          <w:snapToGrid w:val="0"/>
          <w:lang w:val="fr-FR"/>
        </w:rPr>
        <w:t>À sa trente </w:t>
      </w:r>
      <w:r w:rsidR="003F245E" w:rsidRPr="007B1676">
        <w:rPr>
          <w:snapToGrid w:val="0"/>
          <w:lang w:val="fr-FR"/>
        </w:rPr>
        <w:t>et</w:t>
      </w:r>
      <w:r w:rsidR="009C520F" w:rsidRPr="007B1676">
        <w:rPr>
          <w:snapToGrid w:val="0"/>
          <w:lang w:val="fr-FR"/>
        </w:rPr>
        <w:t> </w:t>
      </w:r>
      <w:r w:rsidR="003F245E" w:rsidRPr="007B1676">
        <w:rPr>
          <w:snapToGrid w:val="0"/>
          <w:lang w:val="fr-FR"/>
        </w:rPr>
        <w:t>unième</w:t>
      </w:r>
      <w:r w:rsidR="00731AD3" w:rsidRPr="007B1676">
        <w:rPr>
          <w:snapToGrid w:val="0"/>
          <w:lang w:val="fr-FR"/>
        </w:rPr>
        <w:t> </w:t>
      </w:r>
      <w:r w:rsidR="003F245E" w:rsidRPr="007B1676">
        <w:rPr>
          <w:snapToGrid w:val="0"/>
          <w:lang w:val="fr-FR"/>
        </w:rPr>
        <w:t>session extraordinaire, le Conseil a exprimé sa reconnaissance à l</w:t>
      </w:r>
      <w:r w:rsidR="00FC2AC8" w:rsidRPr="007B1676">
        <w:rPr>
          <w:snapToGrid w:val="0"/>
          <w:lang w:val="fr-FR"/>
        </w:rPr>
        <w:t>’</w:t>
      </w:r>
      <w:r w:rsidR="003F245E" w:rsidRPr="007B1676">
        <w:rPr>
          <w:snapToGrid w:val="0"/>
          <w:lang w:val="fr-FR"/>
        </w:rPr>
        <w:t>Organe directeur</w:t>
      </w:r>
      <w:r w:rsidR="00FC2AC8" w:rsidRPr="007B1676">
        <w:rPr>
          <w:snapToGrid w:val="0"/>
          <w:lang w:val="fr-FR"/>
        </w:rPr>
        <w:t xml:space="preserve"> du TIR</w:t>
      </w:r>
      <w:r w:rsidR="003F245E" w:rsidRPr="007B1676">
        <w:rPr>
          <w:snapToGrid w:val="0"/>
          <w:lang w:val="fr-FR"/>
        </w:rPr>
        <w:t>PGAA pour ses remerciements à l</w:t>
      </w:r>
      <w:r w:rsidR="00FC2AC8" w:rsidRPr="007B1676">
        <w:rPr>
          <w:snapToGrid w:val="0"/>
          <w:lang w:val="fr-FR"/>
        </w:rPr>
        <w:t>’</w:t>
      </w:r>
      <w:r w:rsidR="003F245E" w:rsidRPr="007B1676">
        <w:rPr>
          <w:snapToGrid w:val="0"/>
          <w:lang w:val="fr-FR"/>
        </w:rPr>
        <w:t>UPOV en ce qui concerne l</w:t>
      </w:r>
      <w:r w:rsidR="00FC2AC8" w:rsidRPr="007B1676">
        <w:rPr>
          <w:snapToGrid w:val="0"/>
          <w:lang w:val="fr-FR"/>
        </w:rPr>
        <w:t>’</w:t>
      </w:r>
      <w:r w:rsidR="003F245E" w:rsidRPr="007B1676">
        <w:rPr>
          <w:snapToGrid w:val="0"/>
          <w:lang w:val="fr-FR"/>
        </w:rPr>
        <w:t>aide pratique apportée</w:t>
      </w:r>
      <w:r w:rsidR="00FC2AC8" w:rsidRPr="007B1676">
        <w:rPr>
          <w:snapToGrid w:val="0"/>
          <w:lang w:val="fr-FR"/>
        </w:rPr>
        <w:t xml:space="preserve"> au TIR</w:t>
      </w:r>
      <w:r w:rsidR="003F245E" w:rsidRPr="007B1676">
        <w:rPr>
          <w:snapToGrid w:val="0"/>
          <w:lang w:val="fr-FR"/>
        </w:rPr>
        <w:t>PGAA par l</w:t>
      </w:r>
      <w:r w:rsidR="00FC2AC8" w:rsidRPr="007B1676">
        <w:rPr>
          <w:snapToGrid w:val="0"/>
          <w:lang w:val="fr-FR"/>
        </w:rPr>
        <w:t>’</w:t>
      </w:r>
      <w:r w:rsidR="003F245E" w:rsidRPr="007B1676">
        <w:rPr>
          <w:snapToGrid w:val="0"/>
          <w:lang w:val="fr-FR"/>
        </w:rPr>
        <w:t>UPOV et a confirmé son engagement continu en matière de complémentarité</w:t>
      </w:r>
      <w:r w:rsidR="00506508" w:rsidRPr="007B1676">
        <w:rPr>
          <w:snapToGrid w:val="0"/>
          <w:lang w:val="fr-FR"/>
        </w:rPr>
        <w:t xml:space="preserve">. </w:t>
      </w:r>
      <w:r w:rsidR="0041204F" w:rsidRPr="007B1676">
        <w:rPr>
          <w:snapToGrid w:val="0"/>
          <w:lang w:val="fr-FR"/>
        </w:rPr>
        <w:t xml:space="preserve"> </w:t>
      </w:r>
      <w:r w:rsidR="0095770C" w:rsidRPr="007B1676">
        <w:rPr>
          <w:snapToGrid w:val="0"/>
          <w:lang w:val="fr-FR"/>
        </w:rPr>
        <w:t>En réponse à une invitation de cet organe directeur à définir avec le secrétaire</w:t>
      </w:r>
      <w:r w:rsidR="00FC2AC8" w:rsidRPr="007B1676">
        <w:rPr>
          <w:snapToGrid w:val="0"/>
          <w:lang w:val="fr-FR"/>
        </w:rPr>
        <w:t xml:space="preserve"> du TIR</w:t>
      </w:r>
      <w:r w:rsidR="00983685" w:rsidRPr="007B1676">
        <w:rPr>
          <w:snapToGrid w:val="0"/>
          <w:lang w:val="fr-FR"/>
        </w:rPr>
        <w:t>PGAA</w:t>
      </w:r>
      <w:r w:rsidR="0095770C" w:rsidRPr="007B1676">
        <w:rPr>
          <w:snapToGrid w:val="0"/>
          <w:lang w:val="fr-FR"/>
        </w:rPr>
        <w:t xml:space="preserve"> et le Secrétariat de l</w:t>
      </w:r>
      <w:r w:rsidR="00FC2AC8" w:rsidRPr="007B1676">
        <w:rPr>
          <w:snapToGrid w:val="0"/>
          <w:lang w:val="fr-FR"/>
        </w:rPr>
        <w:t>’</w:t>
      </w:r>
      <w:r w:rsidR="0095770C" w:rsidRPr="007B1676">
        <w:rPr>
          <w:snapToGrid w:val="0"/>
          <w:lang w:val="fr-FR"/>
        </w:rPr>
        <w:t>Organisation Mondiale de la Propriété Intellectuelle (OMPI) les éventuels domaines d</w:t>
      </w:r>
      <w:r w:rsidR="00FC2AC8" w:rsidRPr="007B1676">
        <w:rPr>
          <w:snapToGrid w:val="0"/>
          <w:lang w:val="fr-FR"/>
        </w:rPr>
        <w:t>’</w:t>
      </w:r>
      <w:r w:rsidR="0095770C" w:rsidRPr="007B1676">
        <w:rPr>
          <w:snapToGrid w:val="0"/>
          <w:lang w:val="fr-FR"/>
        </w:rPr>
        <w:t>interaction entre les instruments internationaux respectifs</w:t>
      </w:r>
      <w:r w:rsidR="00FC2AC8" w:rsidRPr="007B1676">
        <w:rPr>
          <w:snapToGrid w:val="0"/>
          <w:lang w:val="fr-FR"/>
        </w:rPr>
        <w:t xml:space="preserve"> du TIR</w:t>
      </w:r>
      <w:r w:rsidR="00983685" w:rsidRPr="007B1676">
        <w:rPr>
          <w:snapToGrid w:val="0"/>
          <w:lang w:val="fr-FR"/>
        </w:rPr>
        <w:t>PGAA</w:t>
      </w:r>
      <w:r w:rsidR="0095770C" w:rsidRPr="007B1676">
        <w:rPr>
          <w:snapToGrid w:val="0"/>
          <w:lang w:val="fr-FR"/>
        </w:rPr>
        <w:t>, de l</w:t>
      </w:r>
      <w:r w:rsidR="00FC2AC8" w:rsidRPr="007B1676">
        <w:rPr>
          <w:snapToGrid w:val="0"/>
          <w:lang w:val="fr-FR"/>
        </w:rPr>
        <w:t>’</w:t>
      </w:r>
      <w:r w:rsidR="0095770C" w:rsidRPr="007B1676">
        <w:rPr>
          <w:snapToGrid w:val="0"/>
          <w:lang w:val="fr-FR"/>
        </w:rPr>
        <w:t>OMPI et de l</w:t>
      </w:r>
      <w:r w:rsidR="00FC2AC8" w:rsidRPr="007B1676">
        <w:rPr>
          <w:snapToGrid w:val="0"/>
          <w:lang w:val="fr-FR"/>
        </w:rPr>
        <w:t>’</w:t>
      </w:r>
      <w:r w:rsidR="0095770C" w:rsidRPr="007B1676">
        <w:rPr>
          <w:snapToGrid w:val="0"/>
          <w:lang w:val="fr-FR"/>
        </w:rPr>
        <w:t>UPOV, le Conseil</w:t>
      </w:r>
      <w:r w:rsidR="00702AE7" w:rsidRPr="007B1676">
        <w:rPr>
          <w:snapToGrid w:val="0"/>
          <w:lang w:val="fr-FR"/>
        </w:rPr>
        <w:t>, a</w:t>
      </w:r>
      <w:r w:rsidR="0095770C" w:rsidRPr="007B1676">
        <w:rPr>
          <w:snapToGrid w:val="0"/>
          <w:lang w:val="fr-FR"/>
        </w:rPr>
        <w:t xml:space="preserve"> décid</w:t>
      </w:r>
      <w:r w:rsidR="00702AE7" w:rsidRPr="007B1676">
        <w:rPr>
          <w:snapToGrid w:val="0"/>
          <w:lang w:val="fr-FR"/>
        </w:rPr>
        <w:t>é</w:t>
      </w:r>
      <w:r w:rsidR="0095770C" w:rsidRPr="007B1676">
        <w:rPr>
          <w:snapToGrid w:val="0"/>
          <w:lang w:val="fr-FR"/>
        </w:rPr>
        <w:t xml:space="preserve"> d</w:t>
      </w:r>
      <w:r w:rsidR="00FC2AC8" w:rsidRPr="007B1676">
        <w:rPr>
          <w:snapToGrid w:val="0"/>
          <w:lang w:val="fr-FR"/>
        </w:rPr>
        <w:t>’</w:t>
      </w:r>
      <w:r w:rsidR="0095770C" w:rsidRPr="007B1676">
        <w:rPr>
          <w:snapToGrid w:val="0"/>
          <w:lang w:val="fr-FR"/>
        </w:rPr>
        <w:t>étudier l</w:t>
      </w:r>
      <w:r w:rsidR="00FC2AC8" w:rsidRPr="007B1676">
        <w:rPr>
          <w:snapToGrid w:val="0"/>
          <w:lang w:val="fr-FR"/>
        </w:rPr>
        <w:t>’</w:t>
      </w:r>
      <w:r w:rsidR="0095770C" w:rsidRPr="007B1676">
        <w:rPr>
          <w:snapToGrid w:val="0"/>
          <w:lang w:val="fr-FR"/>
        </w:rPr>
        <w:t>idée d</w:t>
      </w:r>
      <w:r w:rsidR="00FC2AC8" w:rsidRPr="007B1676">
        <w:rPr>
          <w:snapToGrid w:val="0"/>
          <w:lang w:val="fr-FR"/>
        </w:rPr>
        <w:t>’</w:t>
      </w:r>
      <w:r w:rsidR="0095770C" w:rsidRPr="007B1676">
        <w:rPr>
          <w:snapToGrid w:val="0"/>
          <w:lang w:val="fr-FR"/>
        </w:rPr>
        <w:t>une publication conjointe sur les questions interdépendantes concernant l</w:t>
      </w:r>
      <w:r w:rsidR="00FC2AC8" w:rsidRPr="007B1676">
        <w:rPr>
          <w:snapToGrid w:val="0"/>
          <w:lang w:val="fr-FR"/>
        </w:rPr>
        <w:t>’</w:t>
      </w:r>
      <w:r w:rsidR="0095770C" w:rsidRPr="007B1676">
        <w:rPr>
          <w:snapToGrid w:val="0"/>
          <w:lang w:val="fr-FR"/>
        </w:rPr>
        <w:t>innovation et les ressources phytogénétiques, et autres initiatives appropriées.</w:t>
      </w:r>
    </w:p>
    <w:p w:rsidR="00F77FD5" w:rsidRPr="007B1676" w:rsidRDefault="00F77FD5" w:rsidP="001D140D">
      <w:pPr>
        <w:rPr>
          <w:snapToGrid w:val="0"/>
          <w:lang w:val="fr-FR"/>
        </w:rPr>
      </w:pPr>
    </w:p>
    <w:p w:rsidR="00F77FD5" w:rsidRPr="007B1676" w:rsidRDefault="0095770C" w:rsidP="007D2C67">
      <w:pPr>
        <w:pStyle w:val="Heading3"/>
        <w:rPr>
          <w:color w:val="auto"/>
        </w:rPr>
      </w:pPr>
      <w:bookmarkStart w:id="36" w:name="_Toc413662360"/>
      <w:r w:rsidRPr="007B1676">
        <w:rPr>
          <w:color w:val="auto"/>
        </w:rPr>
        <w:t>Organisation de coopération et de développement économiques (OCDE)</w:t>
      </w:r>
      <w:bookmarkEnd w:id="36"/>
    </w:p>
    <w:p w:rsidR="00F77FD5" w:rsidRPr="007B1676" w:rsidRDefault="00F77FD5" w:rsidP="00A326E8">
      <w:pPr>
        <w:rPr>
          <w:lang w:val="fr-FR"/>
        </w:rPr>
      </w:pPr>
    </w:p>
    <w:p w:rsidR="00FC2AC8" w:rsidRPr="007B1676" w:rsidRDefault="00A326E8" w:rsidP="00A326E8">
      <w:pPr>
        <w:rPr>
          <w:lang w:val="fr-FR"/>
        </w:rPr>
      </w:pPr>
      <w:r w:rsidRPr="007B1676">
        <w:rPr>
          <w:lang w:val="fr-FR"/>
        </w:rPr>
        <w:fldChar w:fldCharType="begin"/>
      </w:r>
      <w:r w:rsidRPr="007B1676">
        <w:rPr>
          <w:lang w:val="fr-FR"/>
        </w:rPr>
        <w:instrText xml:space="preserve"> AUTONUM  </w:instrText>
      </w:r>
      <w:r w:rsidRPr="007B1676">
        <w:rPr>
          <w:lang w:val="fr-FR"/>
        </w:rPr>
        <w:fldChar w:fldCharType="end"/>
      </w:r>
      <w:r w:rsidRPr="007B1676">
        <w:rPr>
          <w:lang w:val="fr-FR"/>
        </w:rPr>
        <w:tab/>
      </w:r>
      <w:r w:rsidR="00C757F5" w:rsidRPr="007B1676">
        <w:rPr>
          <w:lang w:val="fr-FR"/>
        </w:rPr>
        <w:t>À sa réunion annuelle tenue à Paris les 24 et 2</w:t>
      </w:r>
      <w:r w:rsidR="00FC2AC8" w:rsidRPr="007B1676">
        <w:rPr>
          <w:lang w:val="fr-FR"/>
        </w:rPr>
        <w:t>5 septembre 20</w:t>
      </w:r>
      <w:r w:rsidR="00C757F5" w:rsidRPr="007B1676">
        <w:rPr>
          <w:lang w:val="fr-FR"/>
        </w:rPr>
        <w:t>14, le Système de l</w:t>
      </w:r>
      <w:r w:rsidR="00FC2AC8" w:rsidRPr="007B1676">
        <w:rPr>
          <w:lang w:val="fr-FR"/>
        </w:rPr>
        <w:t>’</w:t>
      </w:r>
      <w:r w:rsidR="00C757F5" w:rsidRPr="007B1676">
        <w:rPr>
          <w:lang w:val="fr-FR"/>
        </w:rPr>
        <w:t>OCDE pour le contrôle des matériels forestiers de reproduction est convenu de modifier les règles du système de certification afin d</w:t>
      </w:r>
      <w:r w:rsidR="00FC2AC8" w:rsidRPr="007B1676">
        <w:rPr>
          <w:lang w:val="fr-FR"/>
        </w:rPr>
        <w:t>’</w:t>
      </w:r>
      <w:r w:rsidR="00C757F5" w:rsidRPr="007B1676">
        <w:rPr>
          <w:lang w:val="fr-FR"/>
        </w:rPr>
        <w:t>introduire une d</w:t>
      </w:r>
      <w:r w:rsidR="00691F04" w:rsidRPr="007B1676">
        <w:rPr>
          <w:lang w:val="fr-FR"/>
        </w:rPr>
        <w:t>éfinition du droit d</w:t>
      </w:r>
      <w:r w:rsidR="00FC2AC8" w:rsidRPr="007B1676">
        <w:rPr>
          <w:lang w:val="fr-FR"/>
        </w:rPr>
        <w:t>’</w:t>
      </w:r>
      <w:r w:rsidR="00691F04" w:rsidRPr="007B1676">
        <w:rPr>
          <w:lang w:val="fr-FR"/>
        </w:rPr>
        <w:t>obtenteur</w:t>
      </w:r>
      <w:r w:rsidR="00C757F5" w:rsidRPr="007B1676">
        <w:rPr>
          <w:lang w:val="fr-FR"/>
        </w:rPr>
        <w:t xml:space="preserve"> et de faire une référence à la définition de “variété” selon la </w:t>
      </w:r>
      <w:r w:rsidR="00FC2AC8" w:rsidRPr="007B1676">
        <w:rPr>
          <w:lang w:val="fr-FR"/>
        </w:rPr>
        <w:t>Convention UPOV</w:t>
      </w:r>
      <w:r w:rsidR="00C757F5" w:rsidRPr="007B1676">
        <w:rPr>
          <w:lang w:val="fr-FR"/>
        </w:rPr>
        <w:t>.</w:t>
      </w:r>
    </w:p>
    <w:p w:rsidR="00F77FD5" w:rsidRPr="007B1676" w:rsidRDefault="00F77FD5" w:rsidP="00A326E8">
      <w:pPr>
        <w:rPr>
          <w:lang w:val="fr-FR"/>
        </w:rPr>
      </w:pPr>
    </w:p>
    <w:p w:rsidR="00F77FD5" w:rsidRPr="007B1676" w:rsidRDefault="00F77FD5" w:rsidP="001D140D">
      <w:pPr>
        <w:rPr>
          <w:snapToGrid w:val="0"/>
          <w:lang w:val="fr-FR"/>
        </w:rPr>
      </w:pPr>
    </w:p>
    <w:p w:rsidR="00F77FD5" w:rsidRPr="007B1676" w:rsidRDefault="00464B0B" w:rsidP="00464B0B">
      <w:pPr>
        <w:pStyle w:val="Heading1"/>
        <w:rPr>
          <w:color w:val="auto"/>
        </w:rPr>
      </w:pPr>
      <w:bookmarkStart w:id="37" w:name="_Toc413662361"/>
      <w:r w:rsidRPr="007B1676">
        <w:rPr>
          <w:color w:val="auto"/>
        </w:rPr>
        <w:t>Hommage à M. François </w:t>
      </w:r>
      <w:r w:rsidR="0095770C" w:rsidRPr="007B1676">
        <w:rPr>
          <w:color w:val="auto"/>
        </w:rPr>
        <w:t>Boulineau (France), président du Groupe de travail technique sur les plantes potagères (TWV)</w:t>
      </w:r>
      <w:bookmarkEnd w:id="37"/>
    </w:p>
    <w:p w:rsidR="00F77FD5" w:rsidRPr="007B1676" w:rsidRDefault="00F77FD5" w:rsidP="00B45708">
      <w:pPr>
        <w:keepNext/>
        <w:rPr>
          <w:rFonts w:cs="Arial"/>
          <w:lang w:val="fr-FR"/>
        </w:rPr>
      </w:pPr>
    </w:p>
    <w:p w:rsidR="00FC2AC8" w:rsidRPr="007B1676" w:rsidRDefault="00A326E8" w:rsidP="00464B0B">
      <w:pPr>
        <w:rPr>
          <w:rFonts w:cs="Arial"/>
          <w:lang w:val="fr-FR"/>
        </w:rPr>
      </w:pPr>
      <w:r w:rsidRPr="007B1676">
        <w:rPr>
          <w:rFonts w:cs="Arial"/>
          <w:lang w:val="fr-FR"/>
        </w:rPr>
        <w:fldChar w:fldCharType="begin"/>
      </w:r>
      <w:r w:rsidRPr="007B1676">
        <w:rPr>
          <w:rFonts w:cs="Arial"/>
          <w:lang w:val="fr-FR"/>
        </w:rPr>
        <w:instrText xml:space="preserve"> AUTONUM  </w:instrText>
      </w:r>
      <w:r w:rsidRPr="007B1676">
        <w:rPr>
          <w:rFonts w:cs="Arial"/>
          <w:lang w:val="fr-FR"/>
        </w:rPr>
        <w:fldChar w:fldCharType="end"/>
      </w:r>
      <w:r w:rsidRPr="007B1676">
        <w:rPr>
          <w:rFonts w:cs="Arial"/>
          <w:lang w:val="fr-FR"/>
        </w:rPr>
        <w:tab/>
      </w:r>
      <w:r w:rsidR="00691F04" w:rsidRPr="007B1676">
        <w:rPr>
          <w:rFonts w:cs="Arial"/>
          <w:lang w:val="fr-FR"/>
        </w:rPr>
        <w:t>À</w:t>
      </w:r>
      <w:r w:rsidR="008071F6" w:rsidRPr="007B1676">
        <w:rPr>
          <w:rFonts w:cs="Arial"/>
          <w:lang w:val="fr-FR"/>
        </w:rPr>
        <w:t xml:space="preserve"> sa trente et unième</w:t>
      </w:r>
      <w:r w:rsidR="00731AD3" w:rsidRPr="007B1676">
        <w:rPr>
          <w:rFonts w:cs="Arial"/>
          <w:lang w:val="fr-FR"/>
        </w:rPr>
        <w:t> </w:t>
      </w:r>
      <w:r w:rsidR="008071F6" w:rsidRPr="007B1676">
        <w:rPr>
          <w:rFonts w:cs="Arial"/>
          <w:lang w:val="fr-FR"/>
        </w:rPr>
        <w:t>session extraordinaire</w:t>
      </w:r>
      <w:r w:rsidR="00B45708" w:rsidRPr="007B1676">
        <w:rPr>
          <w:rFonts w:cs="Arial"/>
          <w:snapToGrid w:val="0"/>
          <w:lang w:val="fr-FR"/>
        </w:rPr>
        <w:t xml:space="preserve">, </w:t>
      </w:r>
      <w:r w:rsidR="00691F04" w:rsidRPr="007B1676">
        <w:rPr>
          <w:rFonts w:cs="Arial"/>
          <w:snapToGrid w:val="0"/>
          <w:lang w:val="fr-FR"/>
        </w:rPr>
        <w:t>le Conseil a présenté</w:t>
      </w:r>
      <w:r w:rsidR="00464B0B" w:rsidRPr="007B1676">
        <w:rPr>
          <w:rFonts w:cs="Arial"/>
          <w:snapToGrid w:val="0"/>
          <w:lang w:val="fr-FR"/>
        </w:rPr>
        <w:t xml:space="preserve"> ses condoléa</w:t>
      </w:r>
      <w:r w:rsidR="008071F6" w:rsidRPr="007B1676">
        <w:rPr>
          <w:rFonts w:cs="Arial"/>
          <w:snapToGrid w:val="0"/>
          <w:lang w:val="fr-FR"/>
        </w:rPr>
        <w:t>nces pour la triste perte de M. François </w:t>
      </w:r>
      <w:r w:rsidR="00464B0B" w:rsidRPr="007B1676">
        <w:rPr>
          <w:rFonts w:cs="Arial"/>
          <w:snapToGrid w:val="0"/>
          <w:lang w:val="fr-FR"/>
        </w:rPr>
        <w:t>Boulineau, président du groupe de travail sur les plantes potagères (TWV), décédé le 2</w:t>
      </w:r>
      <w:r w:rsidR="00FC2AC8" w:rsidRPr="007B1676">
        <w:rPr>
          <w:rFonts w:cs="Arial"/>
          <w:snapToGrid w:val="0"/>
          <w:lang w:val="fr-FR"/>
        </w:rPr>
        <w:t>3 décembre 20</w:t>
      </w:r>
      <w:r w:rsidR="00464B0B" w:rsidRPr="007B1676">
        <w:rPr>
          <w:rFonts w:cs="Arial"/>
          <w:snapToGrid w:val="0"/>
          <w:lang w:val="fr-FR"/>
        </w:rPr>
        <w:t>13</w:t>
      </w:r>
      <w:r w:rsidR="008071F6" w:rsidRPr="007B1676">
        <w:rPr>
          <w:rFonts w:cs="Arial"/>
          <w:snapToGrid w:val="0"/>
          <w:lang w:val="fr-FR"/>
        </w:rPr>
        <w:t>.</w:t>
      </w:r>
      <w:r w:rsidR="00B45708" w:rsidRPr="007B1676">
        <w:rPr>
          <w:rFonts w:cs="Arial"/>
          <w:lang w:val="fr-FR"/>
        </w:rPr>
        <w:t xml:space="preserve">  </w:t>
      </w:r>
      <w:r w:rsidR="0095770C" w:rsidRPr="007B1676">
        <w:rPr>
          <w:rFonts w:cs="Arial"/>
          <w:lang w:val="fr-FR"/>
        </w:rPr>
        <w:t>Outre ses fonctions de président</w:t>
      </w:r>
      <w:r w:rsidR="00FC2AC8" w:rsidRPr="007B1676">
        <w:rPr>
          <w:rFonts w:cs="Arial"/>
          <w:lang w:val="fr-FR"/>
        </w:rPr>
        <w:t xml:space="preserve"> du TWV</w:t>
      </w:r>
      <w:r w:rsidR="0095770C" w:rsidRPr="007B1676">
        <w:rPr>
          <w:rFonts w:cs="Arial"/>
          <w:lang w:val="fr-FR"/>
        </w:rPr>
        <w:t>, M.</w:t>
      </w:r>
      <w:r w:rsidR="0041204F" w:rsidRPr="007B1676">
        <w:rPr>
          <w:rFonts w:cs="Arial"/>
          <w:lang w:val="fr-FR"/>
        </w:rPr>
        <w:t> </w:t>
      </w:r>
      <w:r w:rsidR="0095770C" w:rsidRPr="007B1676">
        <w:rPr>
          <w:rFonts w:cs="Arial"/>
          <w:lang w:val="fr-FR"/>
        </w:rPr>
        <w:t>Boulineau avait non seulement apporté aux travaux techniques de l</w:t>
      </w:r>
      <w:r w:rsidR="00FC2AC8" w:rsidRPr="007B1676">
        <w:rPr>
          <w:rFonts w:cs="Arial"/>
          <w:lang w:val="fr-FR"/>
        </w:rPr>
        <w:t>’</w:t>
      </w:r>
      <w:r w:rsidR="0095770C" w:rsidRPr="007B1676">
        <w:rPr>
          <w:rFonts w:cs="Arial"/>
          <w:lang w:val="fr-FR"/>
        </w:rPr>
        <w:t>UPOV une grande expérience et des connaissances spécialisées mais encore il était un expert éminent pour un certain nombre d</w:t>
      </w:r>
      <w:r w:rsidR="00FC2AC8" w:rsidRPr="007B1676">
        <w:rPr>
          <w:rFonts w:cs="Arial"/>
          <w:lang w:val="fr-FR"/>
        </w:rPr>
        <w:t>’</w:t>
      </w:r>
      <w:r w:rsidR="0095770C" w:rsidRPr="007B1676">
        <w:rPr>
          <w:rFonts w:cs="Arial"/>
          <w:lang w:val="fr-FR"/>
        </w:rPr>
        <w:t>importants principes directeurs d</w:t>
      </w:r>
      <w:r w:rsidR="00FC2AC8" w:rsidRPr="007B1676">
        <w:rPr>
          <w:rFonts w:cs="Arial"/>
          <w:lang w:val="fr-FR"/>
        </w:rPr>
        <w:t>’</w:t>
      </w:r>
      <w:r w:rsidR="0095770C" w:rsidRPr="007B1676">
        <w:rPr>
          <w:rFonts w:cs="Arial"/>
          <w:lang w:val="fr-FR"/>
        </w:rPr>
        <w:t>examen de l</w:t>
      </w:r>
      <w:r w:rsidR="00FC2AC8" w:rsidRPr="007B1676">
        <w:rPr>
          <w:rFonts w:cs="Arial"/>
          <w:lang w:val="fr-FR"/>
        </w:rPr>
        <w:t>’</w:t>
      </w:r>
      <w:r w:rsidR="0095770C" w:rsidRPr="007B1676">
        <w:rPr>
          <w:rFonts w:cs="Arial"/>
          <w:lang w:val="fr-FR"/>
        </w:rPr>
        <w:t>UPOV.</w:t>
      </w:r>
      <w:r w:rsidR="00B45708" w:rsidRPr="007B1676">
        <w:rPr>
          <w:lang w:val="fr-FR"/>
        </w:rPr>
        <w:t xml:space="preserve">  </w:t>
      </w:r>
      <w:r w:rsidR="0095770C" w:rsidRPr="007B1676">
        <w:rPr>
          <w:rFonts w:cs="Arial"/>
          <w:lang w:val="fr-FR"/>
        </w:rPr>
        <w:t xml:space="preserve">Le Conseil </w:t>
      </w:r>
      <w:r w:rsidR="00691F04" w:rsidRPr="007B1676">
        <w:rPr>
          <w:rFonts w:cs="Arial"/>
          <w:lang w:val="fr-FR"/>
        </w:rPr>
        <w:t>a exprimé</w:t>
      </w:r>
      <w:r w:rsidR="0095770C" w:rsidRPr="007B1676">
        <w:rPr>
          <w:rFonts w:cs="Arial"/>
          <w:lang w:val="fr-FR"/>
        </w:rPr>
        <w:t xml:space="preserve"> sa reconnaissance pour </w:t>
      </w:r>
      <w:r w:rsidR="0041204F" w:rsidRPr="007B1676">
        <w:rPr>
          <w:rFonts w:cs="Arial"/>
          <w:lang w:val="fr-FR"/>
        </w:rPr>
        <w:t>l</w:t>
      </w:r>
      <w:r w:rsidR="00FC2AC8" w:rsidRPr="007B1676">
        <w:rPr>
          <w:rFonts w:cs="Arial"/>
          <w:lang w:val="fr-FR"/>
        </w:rPr>
        <w:t>’</w:t>
      </w:r>
      <w:r w:rsidR="0041204F" w:rsidRPr="007B1676">
        <w:rPr>
          <w:rFonts w:cs="Arial"/>
          <w:lang w:val="fr-FR"/>
        </w:rPr>
        <w:t>importante contribution de M. </w:t>
      </w:r>
      <w:r w:rsidR="0095770C" w:rsidRPr="007B1676">
        <w:rPr>
          <w:rFonts w:cs="Arial"/>
          <w:lang w:val="fr-FR"/>
        </w:rPr>
        <w:t>Boulineau à l</w:t>
      </w:r>
      <w:r w:rsidR="00FC2AC8" w:rsidRPr="007B1676">
        <w:rPr>
          <w:rFonts w:cs="Arial"/>
          <w:lang w:val="fr-FR"/>
        </w:rPr>
        <w:t>’</w:t>
      </w:r>
      <w:r w:rsidR="0095770C" w:rsidRPr="007B1676">
        <w:rPr>
          <w:rFonts w:cs="Arial"/>
          <w:lang w:val="fr-FR"/>
        </w:rPr>
        <w:t>UPOV.</w:t>
      </w:r>
    </w:p>
    <w:p w:rsidR="00F77FD5" w:rsidRPr="007B1676" w:rsidRDefault="00F77FD5" w:rsidP="001D140D">
      <w:pPr>
        <w:rPr>
          <w:snapToGrid w:val="0"/>
          <w:lang w:val="fr-FR"/>
        </w:rPr>
      </w:pPr>
    </w:p>
    <w:p w:rsidR="00F77FD5" w:rsidRPr="007B1676" w:rsidRDefault="00F77FD5" w:rsidP="001D140D">
      <w:pPr>
        <w:pStyle w:val="DecisionParagraphs"/>
        <w:rPr>
          <w:snapToGrid w:val="0"/>
          <w:lang w:val="fr-FR"/>
        </w:rPr>
      </w:pPr>
    </w:p>
    <w:p w:rsidR="00F77FD5" w:rsidRPr="007B1676" w:rsidRDefault="001D140D" w:rsidP="0095770C">
      <w:pPr>
        <w:pStyle w:val="DecisionParagraphs"/>
        <w:rPr>
          <w:snapToGrid w:val="0"/>
          <w:lang w:val="fr-FR"/>
        </w:rPr>
      </w:pPr>
      <w:r w:rsidRPr="007B1676">
        <w:rPr>
          <w:snapToGrid w:val="0"/>
          <w:lang w:val="fr-FR"/>
        </w:rPr>
        <w:fldChar w:fldCharType="begin"/>
      </w:r>
      <w:r w:rsidRPr="007B1676">
        <w:rPr>
          <w:snapToGrid w:val="0"/>
          <w:lang w:val="fr-FR"/>
        </w:rPr>
        <w:instrText xml:space="preserve"> AUTONUM  </w:instrText>
      </w:r>
      <w:r w:rsidRPr="007B1676">
        <w:rPr>
          <w:snapToGrid w:val="0"/>
          <w:lang w:val="fr-FR"/>
        </w:rPr>
        <w:fldChar w:fldCharType="end"/>
      </w:r>
      <w:r w:rsidRPr="007B1676">
        <w:rPr>
          <w:snapToGrid w:val="0"/>
          <w:lang w:val="fr-FR"/>
        </w:rPr>
        <w:tab/>
      </w:r>
      <w:r w:rsidR="0095770C" w:rsidRPr="007B1676">
        <w:rPr>
          <w:snapToGrid w:val="0"/>
          <w:lang w:val="fr-FR"/>
        </w:rPr>
        <w:t>Le</w:t>
      </w:r>
      <w:r w:rsidR="00FC2AC8" w:rsidRPr="007B1676">
        <w:rPr>
          <w:snapToGrid w:val="0"/>
          <w:lang w:val="fr-FR"/>
        </w:rPr>
        <w:t> TC</w:t>
      </w:r>
      <w:r w:rsidR="0095770C" w:rsidRPr="007B1676">
        <w:rPr>
          <w:snapToGrid w:val="0"/>
          <w:lang w:val="fr-FR"/>
        </w:rPr>
        <w:t xml:space="preserve"> est invité à </w:t>
      </w:r>
      <w:r w:rsidR="00691F04" w:rsidRPr="007B1676">
        <w:rPr>
          <w:snapToGrid w:val="0"/>
          <w:lang w:val="fr-FR"/>
        </w:rPr>
        <w:t>prendre note des faits nouveaux intervenus au sein de l</w:t>
      </w:r>
      <w:r w:rsidR="00FC2AC8" w:rsidRPr="007B1676">
        <w:rPr>
          <w:snapToGrid w:val="0"/>
          <w:lang w:val="fr-FR"/>
        </w:rPr>
        <w:t>’</w:t>
      </w:r>
      <w:r w:rsidR="00691F04" w:rsidRPr="007B1676">
        <w:rPr>
          <w:snapToGrid w:val="0"/>
          <w:lang w:val="fr-FR"/>
        </w:rPr>
        <w:t>UPOV</w:t>
      </w:r>
      <w:r w:rsidR="0041204F" w:rsidRPr="007B1676">
        <w:rPr>
          <w:snapToGrid w:val="0"/>
          <w:lang w:val="fr-FR"/>
        </w:rPr>
        <w:t xml:space="preserve"> </w:t>
      </w:r>
      <w:r w:rsidR="00691F04" w:rsidRPr="007B1676">
        <w:rPr>
          <w:snapToGrid w:val="0"/>
          <w:lang w:val="fr-FR"/>
        </w:rPr>
        <w:t xml:space="preserve">et des questions </w:t>
      </w:r>
      <w:r w:rsidR="0095770C" w:rsidRPr="007B1676">
        <w:rPr>
          <w:snapToGrid w:val="0"/>
          <w:lang w:val="fr-FR"/>
        </w:rPr>
        <w:t>examinées lors des dernières sessions du Comité administratif et juridique, du Comité consul</w:t>
      </w:r>
      <w:r w:rsidR="0041204F" w:rsidRPr="007B1676">
        <w:rPr>
          <w:snapToGrid w:val="0"/>
          <w:lang w:val="fr-FR"/>
        </w:rPr>
        <w:t>t</w:t>
      </w:r>
      <w:r w:rsidR="0095770C" w:rsidRPr="007B1676">
        <w:rPr>
          <w:snapToGrid w:val="0"/>
          <w:lang w:val="fr-FR"/>
        </w:rPr>
        <w:t xml:space="preserve">atif et du Conseil, </w:t>
      </w:r>
      <w:r w:rsidR="00691F04" w:rsidRPr="007B1676">
        <w:rPr>
          <w:snapToGrid w:val="0"/>
          <w:lang w:val="fr-FR"/>
        </w:rPr>
        <w:t xml:space="preserve">dont il est fait rapport aux </w:t>
      </w:r>
      <w:r w:rsidR="0041204F" w:rsidRPr="007B1676">
        <w:rPr>
          <w:snapToGrid w:val="0"/>
          <w:lang w:val="fr-FR"/>
        </w:rPr>
        <w:t>paragraphes </w:t>
      </w:r>
      <w:r w:rsidR="0095770C" w:rsidRPr="007B1676">
        <w:rPr>
          <w:snapToGrid w:val="0"/>
          <w:lang w:val="fr-FR"/>
        </w:rPr>
        <w:t xml:space="preserve">3 à 35 </w:t>
      </w:r>
      <w:r w:rsidR="00691F04" w:rsidRPr="007B1676">
        <w:rPr>
          <w:snapToGrid w:val="0"/>
          <w:lang w:val="fr-FR"/>
        </w:rPr>
        <w:t>du présent document</w:t>
      </w:r>
      <w:r w:rsidR="0095770C" w:rsidRPr="007B1676">
        <w:rPr>
          <w:snapToGrid w:val="0"/>
          <w:lang w:val="fr-FR"/>
        </w:rPr>
        <w:t>.</w:t>
      </w:r>
    </w:p>
    <w:p w:rsidR="00F77FD5" w:rsidRPr="007B1676" w:rsidRDefault="00F77FD5" w:rsidP="001D140D">
      <w:pPr>
        <w:rPr>
          <w:lang w:val="fr-FR"/>
        </w:rPr>
      </w:pPr>
    </w:p>
    <w:p w:rsidR="00F77FD5" w:rsidRPr="007B1676" w:rsidRDefault="00F77FD5" w:rsidP="001D140D">
      <w:pPr>
        <w:rPr>
          <w:lang w:val="fr-FR"/>
        </w:rPr>
      </w:pPr>
    </w:p>
    <w:p w:rsidR="00FC2AC8" w:rsidRPr="007B1676" w:rsidRDefault="00FC2AC8" w:rsidP="00050E16">
      <w:pPr>
        <w:rPr>
          <w:lang w:val="fr-FR"/>
        </w:rPr>
      </w:pPr>
    </w:p>
    <w:p w:rsidR="00F77FD5" w:rsidRPr="007B1676" w:rsidRDefault="0095770C" w:rsidP="0095770C">
      <w:pPr>
        <w:jc w:val="right"/>
        <w:rPr>
          <w:lang w:val="fr-FR"/>
        </w:rPr>
      </w:pPr>
      <w:r w:rsidRPr="007B1676">
        <w:rPr>
          <w:lang w:val="fr-FR"/>
        </w:rPr>
        <w:t>[Fin du document]</w:t>
      </w:r>
    </w:p>
    <w:p w:rsidR="00F77FD5" w:rsidRPr="007B1676" w:rsidRDefault="00F77FD5">
      <w:pPr>
        <w:jc w:val="left"/>
        <w:rPr>
          <w:lang w:val="fr-FR"/>
        </w:rPr>
      </w:pPr>
    </w:p>
    <w:sectPr w:rsidR="00F77FD5" w:rsidRPr="007B1676" w:rsidSect="00037510">
      <w:headerReference w:type="default" r:id="rId16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62A" w:rsidRDefault="0080162A" w:rsidP="006655D3">
      <w:r>
        <w:separator/>
      </w:r>
    </w:p>
    <w:p w:rsidR="0080162A" w:rsidRDefault="0080162A" w:rsidP="006655D3"/>
    <w:p w:rsidR="0080162A" w:rsidRDefault="0080162A" w:rsidP="006655D3"/>
  </w:endnote>
  <w:endnote w:type="continuationSeparator" w:id="0">
    <w:p w:rsidR="0080162A" w:rsidRDefault="0080162A" w:rsidP="006655D3">
      <w:r>
        <w:separator/>
      </w:r>
    </w:p>
    <w:p w:rsidR="0080162A" w:rsidRPr="00D84E72" w:rsidRDefault="0080162A">
      <w:pPr>
        <w:pStyle w:val="Footer"/>
        <w:spacing w:after="60"/>
        <w:rPr>
          <w:sz w:val="18"/>
          <w:lang w:val="fr-CH"/>
        </w:rPr>
      </w:pPr>
      <w:r w:rsidRPr="00D84E72">
        <w:rPr>
          <w:sz w:val="18"/>
          <w:lang w:val="fr-CH"/>
        </w:rPr>
        <w:t>[Suite de la note de la page précédente]</w:t>
      </w:r>
    </w:p>
    <w:p w:rsidR="0080162A" w:rsidRPr="00D84E72" w:rsidRDefault="0080162A" w:rsidP="006655D3">
      <w:pPr>
        <w:rPr>
          <w:lang w:val="fr-CH"/>
        </w:rPr>
      </w:pPr>
    </w:p>
    <w:p w:rsidR="0080162A" w:rsidRPr="00D84E72" w:rsidRDefault="0080162A" w:rsidP="006655D3">
      <w:pPr>
        <w:rPr>
          <w:lang w:val="fr-CH"/>
        </w:rPr>
      </w:pPr>
    </w:p>
  </w:endnote>
  <w:endnote w:type="continuationNotice" w:id="1">
    <w:p w:rsidR="0080162A" w:rsidRPr="00D84E72" w:rsidRDefault="0080162A" w:rsidP="006655D3">
      <w:pPr>
        <w:rPr>
          <w:lang w:val="fr-CH"/>
        </w:rPr>
      </w:pPr>
      <w:r w:rsidRPr="00D84E72">
        <w:rPr>
          <w:lang w:val="fr-CH"/>
        </w:rPr>
        <w:t>[Suite de la note page suivante]</w:t>
      </w:r>
    </w:p>
    <w:p w:rsidR="0080162A" w:rsidRPr="00D84E72" w:rsidRDefault="0080162A" w:rsidP="006655D3">
      <w:pPr>
        <w:rPr>
          <w:lang w:val="fr-CH"/>
        </w:rPr>
      </w:pPr>
    </w:p>
    <w:p w:rsidR="0080162A" w:rsidRPr="00D84E72" w:rsidRDefault="0080162A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62A" w:rsidRDefault="0080162A" w:rsidP="006655D3">
      <w:r>
        <w:separator/>
      </w:r>
    </w:p>
  </w:footnote>
  <w:footnote w:type="continuationSeparator" w:id="0">
    <w:p w:rsidR="0080162A" w:rsidRDefault="0080162A" w:rsidP="006655D3">
      <w:r>
        <w:separator/>
      </w:r>
    </w:p>
  </w:footnote>
  <w:footnote w:type="continuationNotice" w:id="1">
    <w:p w:rsidR="0080162A" w:rsidRPr="00AB530F" w:rsidRDefault="0080162A" w:rsidP="00AB530F">
      <w:pPr>
        <w:pStyle w:val="Footer"/>
      </w:pPr>
    </w:p>
  </w:footnote>
  <w:footnote w:id="2">
    <w:p w:rsidR="0080162A" w:rsidRPr="007B1676" w:rsidRDefault="0080162A" w:rsidP="002A5A0C">
      <w:pPr>
        <w:pStyle w:val="FootnoteText"/>
        <w:rPr>
          <w:lang w:val="fr-FR"/>
        </w:rPr>
      </w:pPr>
      <w:r w:rsidRPr="00DC18EF">
        <w:rPr>
          <w:rStyle w:val="FootnoteReference"/>
          <w:lang w:val="fr-FR"/>
        </w:rPr>
        <w:footnoteRef/>
      </w:r>
      <w:r w:rsidRPr="00DC18EF">
        <w:rPr>
          <w:lang w:val="fr-FR"/>
        </w:rPr>
        <w:tab/>
      </w:r>
      <w:r w:rsidRPr="007B1676">
        <w:rPr>
          <w:lang w:val="fr-FR"/>
        </w:rPr>
        <w:t>Publication regroupant les actes du “Séminaire sur la protection des obtentions végétales et le transfert de technologie : avantages des partenariats publics-privés”, du “Colloque sur la sélection végétale pour l’avenir” et du “Colloque sur les avantages de la protection des obtentions végétales pour les agriculteurs et les producteurs”.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62A" w:rsidRPr="00C5280D" w:rsidRDefault="0080162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TC/51/10</w:t>
    </w:r>
  </w:p>
  <w:p w:rsidR="0080162A" w:rsidRPr="00C5280D" w:rsidRDefault="0080162A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B14E0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80162A" w:rsidRPr="00C5280D" w:rsidRDefault="0080162A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4B7D"/>
    <w:multiLevelType w:val="hybridMultilevel"/>
    <w:tmpl w:val="88DC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2F36"/>
    <w:multiLevelType w:val="hybridMultilevel"/>
    <w:tmpl w:val="C5B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46AFE"/>
    <w:multiLevelType w:val="hybridMultilevel"/>
    <w:tmpl w:val="AD669FD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C8453D"/>
    <w:multiLevelType w:val="hybridMultilevel"/>
    <w:tmpl w:val="C41E4350"/>
    <w:lvl w:ilvl="0" w:tplc="9EC42AF8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3D5BEC"/>
    <w:multiLevelType w:val="hybridMultilevel"/>
    <w:tmpl w:val="700C0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1084B"/>
    <w:multiLevelType w:val="hybridMultilevel"/>
    <w:tmpl w:val="4B9C0BB0"/>
    <w:lvl w:ilvl="0" w:tplc="DFC88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0E0130"/>
    <w:multiLevelType w:val="hybridMultilevel"/>
    <w:tmpl w:val="A00EE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00874"/>
    <w:multiLevelType w:val="hybridMultilevel"/>
    <w:tmpl w:val="FDEE49D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BB517AB"/>
    <w:multiLevelType w:val="hybridMultilevel"/>
    <w:tmpl w:val="3D0C5BA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C731A68"/>
    <w:multiLevelType w:val="hybridMultilevel"/>
    <w:tmpl w:val="48D0A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266848"/>
    <w:multiLevelType w:val="hybridMultilevel"/>
    <w:tmpl w:val="B120A2C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1A11D61"/>
    <w:multiLevelType w:val="hybridMultilevel"/>
    <w:tmpl w:val="4A0E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595D9F"/>
    <w:multiLevelType w:val="hybridMultilevel"/>
    <w:tmpl w:val="F9BC4AAA"/>
    <w:lvl w:ilvl="0" w:tplc="8826A950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4"/>
  </w:num>
  <w:num w:numId="8">
    <w:abstractNumId w:val="12"/>
  </w:num>
  <w:num w:numId="9">
    <w:abstractNumId w:val="1"/>
  </w:num>
  <w:num w:numId="10">
    <w:abstractNumId w:val="6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PreTradBeta|WIPONew|AT.WIPO"/>
    <w:docVar w:name="TermBaseURL" w:val="empty"/>
    <w:docVar w:name="TextBases" w:val="WorkspaceFTS\EN-FR\UPOV|UPOV\Meetings|UPOV\Other|UPOV\Publications|UPOV\Technical Guidelines|WorkspaceFTS\EN-FR\PCT|IP in General\Meetings|IP in General\Other|Administrative\Publications"/>
    <w:docVar w:name="TextBaseURL" w:val="empty"/>
    <w:docVar w:name="UILng" w:val="en"/>
  </w:docVars>
  <w:rsids>
    <w:rsidRoot w:val="00D84E72"/>
    <w:rsid w:val="00010CF3"/>
    <w:rsid w:val="00011E27"/>
    <w:rsid w:val="000148BC"/>
    <w:rsid w:val="00024AB8"/>
    <w:rsid w:val="00030854"/>
    <w:rsid w:val="00036028"/>
    <w:rsid w:val="00037510"/>
    <w:rsid w:val="00044642"/>
    <w:rsid w:val="000446B9"/>
    <w:rsid w:val="00047E21"/>
    <w:rsid w:val="00050E16"/>
    <w:rsid w:val="00064911"/>
    <w:rsid w:val="00071841"/>
    <w:rsid w:val="00085505"/>
    <w:rsid w:val="000C0BA4"/>
    <w:rsid w:val="000C7021"/>
    <w:rsid w:val="000D3391"/>
    <w:rsid w:val="000D6BBC"/>
    <w:rsid w:val="000D7780"/>
    <w:rsid w:val="000F2F11"/>
    <w:rsid w:val="00105929"/>
    <w:rsid w:val="001131D5"/>
    <w:rsid w:val="0012253A"/>
    <w:rsid w:val="00141DB8"/>
    <w:rsid w:val="00163264"/>
    <w:rsid w:val="0017474A"/>
    <w:rsid w:val="001758C6"/>
    <w:rsid w:val="00182B99"/>
    <w:rsid w:val="0018540A"/>
    <w:rsid w:val="001857A8"/>
    <w:rsid w:val="001B2376"/>
    <w:rsid w:val="001D140D"/>
    <w:rsid w:val="00212BD2"/>
    <w:rsid w:val="0021332C"/>
    <w:rsid w:val="00213982"/>
    <w:rsid w:val="0024416D"/>
    <w:rsid w:val="00253E4A"/>
    <w:rsid w:val="00271830"/>
    <w:rsid w:val="00271911"/>
    <w:rsid w:val="00271BB7"/>
    <w:rsid w:val="002800A0"/>
    <w:rsid w:val="002801B3"/>
    <w:rsid w:val="00281060"/>
    <w:rsid w:val="0028543A"/>
    <w:rsid w:val="002940E8"/>
    <w:rsid w:val="00296FA7"/>
    <w:rsid w:val="002A5A0C"/>
    <w:rsid w:val="002A6E50"/>
    <w:rsid w:val="002C256A"/>
    <w:rsid w:val="002D53F9"/>
    <w:rsid w:val="002F5258"/>
    <w:rsid w:val="00305A7F"/>
    <w:rsid w:val="003152FE"/>
    <w:rsid w:val="0032316B"/>
    <w:rsid w:val="00323691"/>
    <w:rsid w:val="00327436"/>
    <w:rsid w:val="00344BD6"/>
    <w:rsid w:val="0035528D"/>
    <w:rsid w:val="00357731"/>
    <w:rsid w:val="00361821"/>
    <w:rsid w:val="00380473"/>
    <w:rsid w:val="003B3E2F"/>
    <w:rsid w:val="003B7820"/>
    <w:rsid w:val="003C7894"/>
    <w:rsid w:val="003D227C"/>
    <w:rsid w:val="003D2B4D"/>
    <w:rsid w:val="003F0E9F"/>
    <w:rsid w:val="003F245E"/>
    <w:rsid w:val="00402138"/>
    <w:rsid w:val="00403E2D"/>
    <w:rsid w:val="00411628"/>
    <w:rsid w:val="0041204F"/>
    <w:rsid w:val="004272AA"/>
    <w:rsid w:val="00444A88"/>
    <w:rsid w:val="00457E51"/>
    <w:rsid w:val="00464B0B"/>
    <w:rsid w:val="00474DA4"/>
    <w:rsid w:val="00476B4D"/>
    <w:rsid w:val="004805FA"/>
    <w:rsid w:val="004935D2"/>
    <w:rsid w:val="004B1215"/>
    <w:rsid w:val="004D047D"/>
    <w:rsid w:val="004F305A"/>
    <w:rsid w:val="00506508"/>
    <w:rsid w:val="00512164"/>
    <w:rsid w:val="00520297"/>
    <w:rsid w:val="005308C7"/>
    <w:rsid w:val="005338F9"/>
    <w:rsid w:val="0054281C"/>
    <w:rsid w:val="00547868"/>
    <w:rsid w:val="005519EA"/>
    <w:rsid w:val="0055268D"/>
    <w:rsid w:val="00576BE4"/>
    <w:rsid w:val="00584303"/>
    <w:rsid w:val="005A400A"/>
    <w:rsid w:val="005E5AA3"/>
    <w:rsid w:val="005F70CA"/>
    <w:rsid w:val="00612379"/>
    <w:rsid w:val="0061555F"/>
    <w:rsid w:val="00641200"/>
    <w:rsid w:val="00656566"/>
    <w:rsid w:val="006655D3"/>
    <w:rsid w:val="00667404"/>
    <w:rsid w:val="00687EB4"/>
    <w:rsid w:val="00691F04"/>
    <w:rsid w:val="006B17D2"/>
    <w:rsid w:val="006C224E"/>
    <w:rsid w:val="006D780A"/>
    <w:rsid w:val="00702AE7"/>
    <w:rsid w:val="00717DDF"/>
    <w:rsid w:val="00731AD3"/>
    <w:rsid w:val="00732DEC"/>
    <w:rsid w:val="00735BD5"/>
    <w:rsid w:val="007556F6"/>
    <w:rsid w:val="00760EEF"/>
    <w:rsid w:val="00777EE5"/>
    <w:rsid w:val="00784836"/>
    <w:rsid w:val="0079023E"/>
    <w:rsid w:val="00790EE4"/>
    <w:rsid w:val="007A2854"/>
    <w:rsid w:val="007B1676"/>
    <w:rsid w:val="007D0B9D"/>
    <w:rsid w:val="007D19B0"/>
    <w:rsid w:val="007D2C67"/>
    <w:rsid w:val="007D6410"/>
    <w:rsid w:val="007F498F"/>
    <w:rsid w:val="0080162A"/>
    <w:rsid w:val="0080679D"/>
    <w:rsid w:val="008071F6"/>
    <w:rsid w:val="008108B0"/>
    <w:rsid w:val="00811B20"/>
    <w:rsid w:val="0082106D"/>
    <w:rsid w:val="0082296E"/>
    <w:rsid w:val="00824099"/>
    <w:rsid w:val="00846D7C"/>
    <w:rsid w:val="0085250E"/>
    <w:rsid w:val="00857E70"/>
    <w:rsid w:val="00867AC1"/>
    <w:rsid w:val="00886D9F"/>
    <w:rsid w:val="008A743F"/>
    <w:rsid w:val="008C0970"/>
    <w:rsid w:val="008C66B9"/>
    <w:rsid w:val="008D0BC5"/>
    <w:rsid w:val="008D20F3"/>
    <w:rsid w:val="008D2CF7"/>
    <w:rsid w:val="008F11A2"/>
    <w:rsid w:val="00900C26"/>
    <w:rsid w:val="0090197F"/>
    <w:rsid w:val="009020A8"/>
    <w:rsid w:val="00906DDC"/>
    <w:rsid w:val="00923268"/>
    <w:rsid w:val="00934E09"/>
    <w:rsid w:val="00936253"/>
    <w:rsid w:val="009408D6"/>
    <w:rsid w:val="00952DD4"/>
    <w:rsid w:val="00954407"/>
    <w:rsid w:val="0095770C"/>
    <w:rsid w:val="00965498"/>
    <w:rsid w:val="00970FED"/>
    <w:rsid w:val="00983685"/>
    <w:rsid w:val="00992D82"/>
    <w:rsid w:val="00997029"/>
    <w:rsid w:val="009B440E"/>
    <w:rsid w:val="009C520F"/>
    <w:rsid w:val="009D690D"/>
    <w:rsid w:val="009E65B6"/>
    <w:rsid w:val="00A17EFD"/>
    <w:rsid w:val="00A21CDF"/>
    <w:rsid w:val="00A24C10"/>
    <w:rsid w:val="00A326E8"/>
    <w:rsid w:val="00A40D6E"/>
    <w:rsid w:val="00A42AC3"/>
    <w:rsid w:val="00A430CF"/>
    <w:rsid w:val="00A54309"/>
    <w:rsid w:val="00A55B16"/>
    <w:rsid w:val="00A716B4"/>
    <w:rsid w:val="00A775C5"/>
    <w:rsid w:val="00A8274D"/>
    <w:rsid w:val="00AB2B93"/>
    <w:rsid w:val="00AB530F"/>
    <w:rsid w:val="00AB7E5B"/>
    <w:rsid w:val="00AE0EF1"/>
    <w:rsid w:val="00AE2937"/>
    <w:rsid w:val="00B07301"/>
    <w:rsid w:val="00B224DE"/>
    <w:rsid w:val="00B324D4"/>
    <w:rsid w:val="00B45708"/>
    <w:rsid w:val="00B45B2E"/>
    <w:rsid w:val="00B46575"/>
    <w:rsid w:val="00B84BBD"/>
    <w:rsid w:val="00BA43FB"/>
    <w:rsid w:val="00BC060E"/>
    <w:rsid w:val="00BC127D"/>
    <w:rsid w:val="00BC1FE6"/>
    <w:rsid w:val="00BE285B"/>
    <w:rsid w:val="00BF1499"/>
    <w:rsid w:val="00C04163"/>
    <w:rsid w:val="00C061B6"/>
    <w:rsid w:val="00C2446C"/>
    <w:rsid w:val="00C36AE5"/>
    <w:rsid w:val="00C41F17"/>
    <w:rsid w:val="00C4382B"/>
    <w:rsid w:val="00C5280D"/>
    <w:rsid w:val="00C55235"/>
    <w:rsid w:val="00C5791C"/>
    <w:rsid w:val="00C66290"/>
    <w:rsid w:val="00C72B7A"/>
    <w:rsid w:val="00C757F5"/>
    <w:rsid w:val="00C95D81"/>
    <w:rsid w:val="00C973F2"/>
    <w:rsid w:val="00CA304C"/>
    <w:rsid w:val="00CA774A"/>
    <w:rsid w:val="00CB14E0"/>
    <w:rsid w:val="00CC11B0"/>
    <w:rsid w:val="00CF1FC7"/>
    <w:rsid w:val="00CF7E36"/>
    <w:rsid w:val="00D15D1B"/>
    <w:rsid w:val="00D3708D"/>
    <w:rsid w:val="00D40426"/>
    <w:rsid w:val="00D57C96"/>
    <w:rsid w:val="00D60B7F"/>
    <w:rsid w:val="00D6509E"/>
    <w:rsid w:val="00D84E72"/>
    <w:rsid w:val="00D91203"/>
    <w:rsid w:val="00D95174"/>
    <w:rsid w:val="00DA6F36"/>
    <w:rsid w:val="00DB596E"/>
    <w:rsid w:val="00DB7773"/>
    <w:rsid w:val="00DC00EA"/>
    <w:rsid w:val="00DC18EF"/>
    <w:rsid w:val="00DD10AC"/>
    <w:rsid w:val="00DE686D"/>
    <w:rsid w:val="00E07E8D"/>
    <w:rsid w:val="00E120EE"/>
    <w:rsid w:val="00E32F7E"/>
    <w:rsid w:val="00E67067"/>
    <w:rsid w:val="00E679A8"/>
    <w:rsid w:val="00E72D49"/>
    <w:rsid w:val="00E7593C"/>
    <w:rsid w:val="00E7678A"/>
    <w:rsid w:val="00E935F1"/>
    <w:rsid w:val="00E94A81"/>
    <w:rsid w:val="00EA1FFB"/>
    <w:rsid w:val="00EA7B64"/>
    <w:rsid w:val="00EB048E"/>
    <w:rsid w:val="00EE34DF"/>
    <w:rsid w:val="00EF2F89"/>
    <w:rsid w:val="00F1237A"/>
    <w:rsid w:val="00F22CBD"/>
    <w:rsid w:val="00F273C5"/>
    <w:rsid w:val="00F37BE9"/>
    <w:rsid w:val="00F405BB"/>
    <w:rsid w:val="00F45372"/>
    <w:rsid w:val="00F560F7"/>
    <w:rsid w:val="00F6334D"/>
    <w:rsid w:val="00F66982"/>
    <w:rsid w:val="00F70558"/>
    <w:rsid w:val="00F77FD5"/>
    <w:rsid w:val="00F923B5"/>
    <w:rsid w:val="00FA49AB"/>
    <w:rsid w:val="00FB5553"/>
    <w:rsid w:val="00FB6EF5"/>
    <w:rsid w:val="00FC2AC8"/>
    <w:rsid w:val="00FE39C7"/>
    <w:rsid w:val="00FF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64B0B"/>
    <w:pPr>
      <w:keepNext/>
      <w:jc w:val="both"/>
      <w:outlineLvl w:val="0"/>
    </w:pPr>
    <w:rPr>
      <w:rFonts w:ascii="Arial" w:hAnsi="Arial"/>
      <w:caps/>
      <w:snapToGrid w:val="0"/>
      <w:color w:val="008000"/>
      <w:lang w:val="fr-FR"/>
    </w:rPr>
  </w:style>
  <w:style w:type="paragraph" w:styleId="Heading2">
    <w:name w:val="heading 2"/>
    <w:next w:val="Normal"/>
    <w:link w:val="Heading2Char"/>
    <w:autoRedefine/>
    <w:qFormat/>
    <w:rsid w:val="0085250E"/>
    <w:pPr>
      <w:keepNext/>
      <w:jc w:val="both"/>
      <w:outlineLvl w:val="1"/>
    </w:pPr>
    <w:rPr>
      <w:rFonts w:ascii="Arial" w:hAnsi="Arial"/>
      <w:color w:val="008000"/>
      <w:u w:val="single"/>
      <w:lang w:val="fr-FR"/>
    </w:rPr>
  </w:style>
  <w:style w:type="paragraph" w:styleId="Heading3">
    <w:name w:val="heading 3"/>
    <w:next w:val="Normal"/>
    <w:autoRedefine/>
    <w:qFormat/>
    <w:rsid w:val="007D2C67"/>
    <w:pPr>
      <w:keepNext/>
      <w:jc w:val="both"/>
      <w:outlineLvl w:val="2"/>
    </w:pPr>
    <w:rPr>
      <w:rFonts w:ascii="Arial" w:hAnsi="Arial"/>
      <w:i/>
      <w:snapToGrid w:val="0"/>
      <w:color w:val="008000"/>
      <w:lang w:val="fr-FR"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4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CF1FC7"/>
    <w:pPr>
      <w:tabs>
        <w:tab w:val="right" w:leader="dot" w:pos="9639"/>
      </w:tabs>
      <w:spacing w:before="240"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CF1FC7"/>
    <w:pPr>
      <w:tabs>
        <w:tab w:val="right" w:leader="dot" w:pos="9639"/>
      </w:tabs>
      <w:spacing w:before="240" w:after="120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1D14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otnoteTextChar">
    <w:name w:val="Footnote Text Char"/>
    <w:link w:val="FootnoteText"/>
    <w:rsid w:val="001D140D"/>
    <w:rPr>
      <w:rFonts w:ascii="Arial" w:hAnsi="Arial"/>
      <w:sz w:val="16"/>
    </w:rPr>
  </w:style>
  <w:style w:type="paragraph" w:styleId="CommentText">
    <w:name w:val="annotation text"/>
    <w:basedOn w:val="Normal"/>
    <w:link w:val="CommentTextChar"/>
    <w:unhideWhenUsed/>
    <w:rsid w:val="001D140D"/>
    <w:pPr>
      <w:jc w:val="left"/>
    </w:pPr>
    <w:rPr>
      <w:rFonts w:ascii="Times New Roman" w:hAnsi="Times New Roman"/>
      <w:sz w:val="22"/>
      <w:szCs w:val="22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1D140D"/>
    <w:rPr>
      <w:sz w:val="22"/>
      <w:szCs w:val="22"/>
      <w:lang w:eastAsia="ja-JP"/>
    </w:rPr>
  </w:style>
  <w:style w:type="character" w:customStyle="1" w:styleId="DecisionParagraphsChar">
    <w:name w:val="DecisionParagraphs Char"/>
    <w:basedOn w:val="DefaultParagraphFont"/>
    <w:link w:val="DecisionParagraphs"/>
    <w:rsid w:val="001D140D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1D140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D140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link w:val="Heading2"/>
    <w:rsid w:val="0085250E"/>
    <w:rPr>
      <w:rFonts w:ascii="Arial" w:hAnsi="Arial"/>
      <w:color w:val="008000"/>
      <w:u w:val="single"/>
      <w:lang w:val="fr-FR"/>
    </w:rPr>
  </w:style>
  <w:style w:type="table" w:styleId="TableGrid">
    <w:name w:val="Table Grid"/>
    <w:basedOn w:val="TableNormal"/>
    <w:rsid w:val="001D1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basedOn w:val="DefaultParagraphFont"/>
    <w:uiPriority w:val="33"/>
    <w:qFormat/>
    <w:rsid w:val="001D140D"/>
    <w:rPr>
      <w:b w:val="0"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A21CD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rsid w:val="00BC06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64B0B"/>
    <w:pPr>
      <w:keepNext/>
      <w:jc w:val="both"/>
      <w:outlineLvl w:val="0"/>
    </w:pPr>
    <w:rPr>
      <w:rFonts w:ascii="Arial" w:hAnsi="Arial"/>
      <w:caps/>
      <w:snapToGrid w:val="0"/>
      <w:color w:val="008000"/>
      <w:lang w:val="fr-FR"/>
    </w:rPr>
  </w:style>
  <w:style w:type="paragraph" w:styleId="Heading2">
    <w:name w:val="heading 2"/>
    <w:next w:val="Normal"/>
    <w:link w:val="Heading2Char"/>
    <w:autoRedefine/>
    <w:qFormat/>
    <w:rsid w:val="0085250E"/>
    <w:pPr>
      <w:keepNext/>
      <w:jc w:val="both"/>
      <w:outlineLvl w:val="1"/>
    </w:pPr>
    <w:rPr>
      <w:rFonts w:ascii="Arial" w:hAnsi="Arial"/>
      <w:color w:val="008000"/>
      <w:u w:val="single"/>
      <w:lang w:val="fr-FR"/>
    </w:rPr>
  </w:style>
  <w:style w:type="paragraph" w:styleId="Heading3">
    <w:name w:val="heading 3"/>
    <w:next w:val="Normal"/>
    <w:autoRedefine/>
    <w:qFormat/>
    <w:rsid w:val="007D2C67"/>
    <w:pPr>
      <w:keepNext/>
      <w:jc w:val="both"/>
      <w:outlineLvl w:val="2"/>
    </w:pPr>
    <w:rPr>
      <w:rFonts w:ascii="Arial" w:hAnsi="Arial"/>
      <w:i/>
      <w:snapToGrid w:val="0"/>
      <w:color w:val="008000"/>
      <w:lang w:val="fr-FR"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14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CF1FC7"/>
    <w:pPr>
      <w:tabs>
        <w:tab w:val="right" w:leader="dot" w:pos="9639"/>
      </w:tabs>
      <w:spacing w:before="240"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CF1FC7"/>
    <w:pPr>
      <w:tabs>
        <w:tab w:val="right" w:leader="dot" w:pos="9639"/>
      </w:tabs>
      <w:spacing w:before="240" w:after="120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1D14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otnoteTextChar">
    <w:name w:val="Footnote Text Char"/>
    <w:link w:val="FootnoteText"/>
    <w:rsid w:val="001D140D"/>
    <w:rPr>
      <w:rFonts w:ascii="Arial" w:hAnsi="Arial"/>
      <w:sz w:val="16"/>
    </w:rPr>
  </w:style>
  <w:style w:type="paragraph" w:styleId="CommentText">
    <w:name w:val="annotation text"/>
    <w:basedOn w:val="Normal"/>
    <w:link w:val="CommentTextChar"/>
    <w:unhideWhenUsed/>
    <w:rsid w:val="001D140D"/>
    <w:pPr>
      <w:jc w:val="left"/>
    </w:pPr>
    <w:rPr>
      <w:rFonts w:ascii="Times New Roman" w:hAnsi="Times New Roman"/>
      <w:sz w:val="22"/>
      <w:szCs w:val="22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1D140D"/>
    <w:rPr>
      <w:sz w:val="22"/>
      <w:szCs w:val="22"/>
      <w:lang w:eastAsia="ja-JP"/>
    </w:rPr>
  </w:style>
  <w:style w:type="character" w:customStyle="1" w:styleId="DecisionParagraphsChar">
    <w:name w:val="DecisionParagraphs Char"/>
    <w:basedOn w:val="DefaultParagraphFont"/>
    <w:link w:val="DecisionParagraphs"/>
    <w:rsid w:val="001D140D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1D140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D140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Heading2Char">
    <w:name w:val="Heading 2 Char"/>
    <w:link w:val="Heading2"/>
    <w:rsid w:val="0085250E"/>
    <w:rPr>
      <w:rFonts w:ascii="Arial" w:hAnsi="Arial"/>
      <w:color w:val="008000"/>
      <w:u w:val="single"/>
      <w:lang w:val="fr-FR"/>
    </w:rPr>
  </w:style>
  <w:style w:type="table" w:styleId="TableGrid">
    <w:name w:val="Table Grid"/>
    <w:basedOn w:val="TableNormal"/>
    <w:rsid w:val="001D1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basedOn w:val="DefaultParagraphFont"/>
    <w:uiPriority w:val="33"/>
    <w:qFormat/>
    <w:rsid w:val="001D140D"/>
    <w:rPr>
      <w:b w:val="0"/>
      <w:bCs/>
      <w:smallCaps/>
      <w:spacing w:val="5"/>
    </w:rPr>
  </w:style>
  <w:style w:type="paragraph" w:styleId="NormalWeb">
    <w:name w:val="Normal (Web)"/>
    <w:basedOn w:val="Normal"/>
    <w:uiPriority w:val="99"/>
    <w:unhideWhenUsed/>
    <w:rsid w:val="00A21CD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rsid w:val="00BC06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5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9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0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elc.wipo.int/acc/index.jsf?page=upovCatalog.xhtml&amp;cc=DL305EB&amp;lang=en&amp;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elc.wipo.int/acc/index.jsf?page=upovCatalog.xhtml&amp;cc=DL205E&amp;lang=en&amp;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pov.int/upov_collection/fr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://www.upov.int/resource/fr/training.html" TargetMode="Externa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elc.wipo.int/acc/index.jsf?page=upovCatalog.xhtml&amp;cc=DL305E&amp;lang=en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921BE-E927-4DBC-A87A-F7563E1DDD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760378-FAE5-48AD-93BB-D65F8922A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10</Pages>
  <Words>3867</Words>
  <Characters>25380</Characters>
  <Application>Microsoft Office Word</Application>
  <DocSecurity>0</DocSecurity>
  <Lines>211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29189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PASIEKA Allie</dc:creator>
  <cp:keywords>MHF</cp:keywords>
  <cp:lastModifiedBy>LONG Victoria</cp:lastModifiedBy>
  <cp:revision>39</cp:revision>
  <cp:lastPrinted>2015-03-10T14:59:00Z</cp:lastPrinted>
  <dcterms:created xsi:type="dcterms:W3CDTF">2015-03-03T13:14:00Z</dcterms:created>
  <dcterms:modified xsi:type="dcterms:W3CDTF">2015-03-10T14:59:00Z</dcterms:modified>
</cp:coreProperties>
</file>