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26227" w:rsidTr="00E26227">
        <w:trPr>
          <w:trHeight w:val="1760"/>
        </w:trPr>
        <w:tc>
          <w:tcPr>
            <w:tcW w:w="4243" w:type="dxa"/>
            <w:shd w:val="clear" w:color="auto" w:fill="auto"/>
          </w:tcPr>
          <w:p w:rsidR="000D7780" w:rsidRPr="00E26227" w:rsidRDefault="000D7780" w:rsidP="006655D3"/>
        </w:tc>
        <w:tc>
          <w:tcPr>
            <w:tcW w:w="1646" w:type="dxa"/>
            <w:shd w:val="clear" w:color="auto" w:fill="auto"/>
            <w:vAlign w:val="center"/>
          </w:tcPr>
          <w:p w:rsidR="000D7780" w:rsidRPr="00E26227" w:rsidRDefault="00AD5A98" w:rsidP="006655D3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658C5856" wp14:editId="5425C1D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0D7780" w:rsidRPr="00AD5A98" w:rsidRDefault="005543C3" w:rsidP="006655D3">
            <w:pPr>
              <w:pStyle w:val="Lettrine"/>
            </w:pPr>
            <w:r w:rsidRPr="00AD5A98">
              <w:t>F</w:t>
            </w:r>
          </w:p>
          <w:p w:rsidR="000D7780" w:rsidRPr="00AD5A98" w:rsidRDefault="00667404" w:rsidP="006655D3">
            <w:pPr>
              <w:pStyle w:val="Docoriginal"/>
            </w:pPr>
            <w:r w:rsidRPr="00AD5A98">
              <w:t>TC/</w:t>
            </w:r>
            <w:r w:rsidR="00050E16" w:rsidRPr="00AD5A98">
              <w:t>50</w:t>
            </w:r>
            <w:r w:rsidRPr="00AD5A98">
              <w:t>/</w:t>
            </w:r>
            <w:bookmarkStart w:id="0" w:name="Code"/>
            <w:bookmarkEnd w:id="0"/>
            <w:r w:rsidR="00277E2D" w:rsidRPr="00AD5A98">
              <w:t>21</w:t>
            </w:r>
          </w:p>
          <w:p w:rsidR="000D7780" w:rsidRPr="00AD5A98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AD5A98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D5A98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AD5A98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="000D7780" w:rsidRPr="00AD5A98">
              <w:rPr>
                <w:spacing w:val="0"/>
              </w:rPr>
              <w:t xml:space="preserve"> </w:t>
            </w:r>
            <w:bookmarkStart w:id="1" w:name="Original"/>
            <w:bookmarkEnd w:id="1"/>
            <w:r w:rsidR="008465EE" w:rsidRPr="00AD5A98">
              <w:rPr>
                <w:b w:val="0"/>
                <w:spacing w:val="0"/>
              </w:rPr>
              <w:t>anglais</w:t>
            </w:r>
          </w:p>
          <w:p w:rsidR="000D7780" w:rsidRPr="00AD5A98" w:rsidRDefault="000D7780" w:rsidP="00504D10">
            <w:pPr>
              <w:pStyle w:val="Docoriginal"/>
            </w:pPr>
            <w:r w:rsidRPr="00AD5A98">
              <w:rPr>
                <w:spacing w:val="0"/>
              </w:rPr>
              <w:t>DATE</w:t>
            </w:r>
            <w:r w:rsidR="00AD5A98">
              <w:rPr>
                <w:spacing w:val="0"/>
              </w:rPr>
              <w:t xml:space="preserve"> </w:t>
            </w:r>
            <w:r w:rsidRPr="00AD5A98">
              <w:rPr>
                <w:spacing w:val="0"/>
              </w:rPr>
              <w:t>:</w:t>
            </w:r>
            <w:r w:rsidR="0061555F" w:rsidRPr="00AD5A98">
              <w:rPr>
                <w:spacing w:val="0"/>
              </w:rPr>
              <w:t xml:space="preserve"> </w:t>
            </w:r>
            <w:bookmarkStart w:id="2" w:name="Date"/>
            <w:bookmarkEnd w:id="2"/>
            <w:r w:rsidR="00AD5A98" w:rsidRPr="00AD5A98">
              <w:rPr>
                <w:b w:val="0"/>
                <w:spacing w:val="0"/>
              </w:rPr>
              <w:t>28</w:t>
            </w:r>
            <w:r w:rsidR="008465EE" w:rsidRPr="00AD5A98">
              <w:rPr>
                <w:b w:val="0"/>
                <w:spacing w:val="0"/>
              </w:rPr>
              <w:t xml:space="preserve"> janvier</w:t>
            </w:r>
            <w:r w:rsidR="0024416D" w:rsidRPr="00AD5A98">
              <w:rPr>
                <w:b w:val="0"/>
                <w:spacing w:val="0"/>
              </w:rPr>
              <w:t xml:space="preserve"> </w:t>
            </w:r>
            <w:r w:rsidR="001131D5" w:rsidRPr="00AD5A98">
              <w:rPr>
                <w:b w:val="0"/>
                <w:spacing w:val="0"/>
              </w:rPr>
              <w:t>201</w:t>
            </w:r>
            <w:r w:rsidR="00050E16" w:rsidRPr="00AD5A98">
              <w:rPr>
                <w:b w:val="0"/>
                <w:spacing w:val="0"/>
              </w:rPr>
              <w:t>4</w:t>
            </w:r>
          </w:p>
        </w:tc>
      </w:tr>
      <w:tr w:rsidR="000D7780" w:rsidRPr="00E26227" w:rsidTr="00E26227">
        <w:tc>
          <w:tcPr>
            <w:tcW w:w="10131" w:type="dxa"/>
            <w:gridSpan w:val="3"/>
            <w:shd w:val="clear" w:color="auto" w:fill="auto"/>
          </w:tcPr>
          <w:p w:rsidR="000D7780" w:rsidRPr="00E26227" w:rsidRDefault="008465EE" w:rsidP="006655D3">
            <w:pPr>
              <w:pStyle w:val="upove"/>
              <w:rPr>
                <w:sz w:val="28"/>
              </w:rPr>
            </w:pPr>
            <w:r w:rsidRPr="00E26227">
              <w:rPr>
                <w:snapToGrid w:val="0"/>
              </w:rPr>
              <w:t>UNION INTERNATIONALE POUR LA PROTECTION DES OBTENTIONS V</w:t>
            </w:r>
            <w:r w:rsidRPr="00E26227">
              <w:rPr>
                <w:rFonts w:cs="Arial"/>
                <w:snapToGrid w:val="0"/>
              </w:rPr>
              <w:t>É</w:t>
            </w:r>
            <w:r w:rsidRPr="00E26227">
              <w:rPr>
                <w:snapToGrid w:val="0"/>
              </w:rPr>
              <w:t>G</w:t>
            </w:r>
            <w:r w:rsidRPr="00E26227">
              <w:rPr>
                <w:rFonts w:cs="Arial"/>
                <w:snapToGrid w:val="0"/>
              </w:rPr>
              <w:t>É</w:t>
            </w:r>
            <w:r w:rsidRPr="00E26227">
              <w:rPr>
                <w:snapToGrid w:val="0"/>
              </w:rPr>
              <w:t>TALES</w:t>
            </w:r>
          </w:p>
        </w:tc>
      </w:tr>
      <w:tr w:rsidR="000D7780" w:rsidRPr="00E26227" w:rsidTr="00E26227">
        <w:tc>
          <w:tcPr>
            <w:tcW w:w="10131" w:type="dxa"/>
            <w:gridSpan w:val="3"/>
            <w:shd w:val="clear" w:color="auto" w:fill="auto"/>
          </w:tcPr>
          <w:p w:rsidR="000D7780" w:rsidRPr="00E26227" w:rsidRDefault="00867AC1" w:rsidP="008465EE">
            <w:pPr>
              <w:pStyle w:val="Country"/>
            </w:pPr>
            <w:r w:rsidRPr="00E26227">
              <w:t>Gen</w:t>
            </w:r>
            <w:r w:rsidR="008465EE" w:rsidRPr="00E26227">
              <w:t>ève</w:t>
            </w:r>
          </w:p>
        </w:tc>
      </w:tr>
    </w:tbl>
    <w:p w:rsidR="000D7780" w:rsidRPr="00892782" w:rsidRDefault="008465EE" w:rsidP="006655D3">
      <w:pPr>
        <w:pStyle w:val="Sessiontc"/>
      </w:pPr>
      <w:r w:rsidRPr="00892782">
        <w:t>comité technique</w:t>
      </w:r>
    </w:p>
    <w:p w:rsidR="008465EE" w:rsidRPr="00892782" w:rsidRDefault="008465EE" w:rsidP="008465EE">
      <w:pPr>
        <w:pStyle w:val="Sessiontcplacedate"/>
      </w:pPr>
      <w:bookmarkStart w:id="3" w:name="TitleOfDoc"/>
      <w:bookmarkEnd w:id="3"/>
      <w:r w:rsidRPr="00892782">
        <w:t>Cinquantième</w:t>
      </w:r>
      <w:r w:rsidR="0034687C">
        <w:t> </w:t>
      </w:r>
      <w:r w:rsidRPr="00892782">
        <w:t>session</w:t>
      </w:r>
      <w:r w:rsidRPr="00892782">
        <w:br/>
        <w:t>Genève, 7 - 9 avril 2014</w:t>
      </w:r>
    </w:p>
    <w:p w:rsidR="000D7780" w:rsidRPr="00892782" w:rsidRDefault="00277E2D" w:rsidP="006655D3">
      <w:pPr>
        <w:pStyle w:val="Titleofdoc0"/>
      </w:pPr>
      <w:r w:rsidRPr="00892782">
        <w:rPr>
          <w:rFonts w:cs="Arial"/>
        </w:rPr>
        <w:t>R</w:t>
      </w:r>
      <w:r w:rsidR="00E51FED" w:rsidRPr="00892782">
        <w:rPr>
          <w:rFonts w:cs="Arial"/>
        </w:rPr>
        <w:t>É</w:t>
      </w:r>
      <w:r w:rsidRPr="00892782">
        <w:rPr>
          <w:rFonts w:cs="Arial"/>
        </w:rPr>
        <w:t xml:space="preserve">vision </w:t>
      </w:r>
      <w:r w:rsidR="00E51FED" w:rsidRPr="00892782">
        <w:rPr>
          <w:rFonts w:cs="Arial"/>
        </w:rPr>
        <w:t>DU</w:t>
      </w:r>
      <w:r w:rsidRPr="00892782">
        <w:rPr>
          <w:rFonts w:cs="Arial"/>
        </w:rPr>
        <w:t xml:space="preserve"> document TGP/8</w:t>
      </w:r>
      <w:r w:rsidR="00504D10">
        <w:rPr>
          <w:rFonts w:cs="Arial"/>
        </w:rPr>
        <w:t> </w:t>
      </w:r>
      <w:r w:rsidRPr="00892782">
        <w:rPr>
          <w:rFonts w:cs="Arial"/>
        </w:rPr>
        <w:t>: P</w:t>
      </w:r>
      <w:r w:rsidR="00E51FED" w:rsidRPr="00892782">
        <w:rPr>
          <w:rFonts w:cs="Arial"/>
        </w:rPr>
        <w:t>remière p</w:t>
      </w:r>
      <w:r w:rsidRPr="00892782">
        <w:rPr>
          <w:rFonts w:cs="Arial"/>
        </w:rPr>
        <w:t>art</w:t>
      </w:r>
      <w:r w:rsidR="00E51FED" w:rsidRPr="00892782">
        <w:rPr>
          <w:rFonts w:cs="Arial"/>
        </w:rPr>
        <w:t>ie</w:t>
      </w:r>
      <w:r w:rsidR="00E26227">
        <w:rPr>
          <w:rFonts w:cs="Arial"/>
        </w:rPr>
        <w:t> :</w:t>
      </w:r>
      <w:r w:rsidR="00AD5A98">
        <w:rPr>
          <w:rFonts w:cs="Arial"/>
        </w:rPr>
        <w:t xml:space="preserve"> </w:t>
      </w:r>
      <w:r w:rsidR="00E51FED" w:rsidRPr="00892782">
        <w:rPr>
          <w:rFonts w:cs="Arial"/>
        </w:rPr>
        <w:t>protocole</w:t>
      </w:r>
      <w:r w:rsidR="00E26227">
        <w:rPr>
          <w:rFonts w:cs="Arial"/>
        </w:rPr>
        <w:t xml:space="preserve"> </w:t>
      </w:r>
      <w:r w:rsidR="00E51FED" w:rsidRPr="00892782">
        <w:rPr>
          <w:rFonts w:cs="Arial"/>
        </w:rPr>
        <w:t>d</w:t>
      </w:r>
      <w:r w:rsidR="005543C3">
        <w:rPr>
          <w:rFonts w:cs="Arial"/>
        </w:rPr>
        <w:t>’</w:t>
      </w:r>
      <w:r w:rsidR="00E51FED" w:rsidRPr="00892782">
        <w:rPr>
          <w:rFonts w:cs="Arial"/>
        </w:rPr>
        <w:t>essai DHS</w:t>
      </w:r>
      <w:r w:rsidR="00AD5A98">
        <w:rPr>
          <w:rFonts w:cs="Arial"/>
        </w:rPr>
        <w:br/>
      </w:r>
      <w:r w:rsidR="00E51FED" w:rsidRPr="00892782">
        <w:rPr>
          <w:rFonts w:cs="Arial"/>
        </w:rPr>
        <w:t>et analyse des données</w:t>
      </w:r>
      <w:r w:rsidRPr="00892782">
        <w:rPr>
          <w:rFonts w:cs="Arial"/>
        </w:rPr>
        <w:t>,</w:t>
      </w:r>
      <w:r w:rsidR="00AD5A98">
        <w:rPr>
          <w:rFonts w:cs="Arial"/>
        </w:rPr>
        <w:t xml:space="preserve"> </w:t>
      </w:r>
      <w:r w:rsidR="00E51FED" w:rsidRPr="00892782">
        <w:rPr>
          <w:rFonts w:cs="Arial"/>
        </w:rPr>
        <w:t>nouvelle</w:t>
      </w:r>
      <w:r w:rsidRPr="00892782">
        <w:rPr>
          <w:rFonts w:cs="Arial"/>
        </w:rPr>
        <w:t xml:space="preserve"> Section: </w:t>
      </w:r>
      <w:r w:rsidR="00AD5A98">
        <w:rPr>
          <w:rFonts w:cs="Arial"/>
        </w:rPr>
        <w:t>RÉduction optimale</w:t>
      </w:r>
      <w:r w:rsidR="00AD5A98">
        <w:rPr>
          <w:rFonts w:cs="Arial"/>
        </w:rPr>
        <w:br/>
      </w:r>
      <w:r w:rsidR="00E51FED" w:rsidRPr="00892782">
        <w:rPr>
          <w:rFonts w:cs="Arial"/>
        </w:rPr>
        <w:t>de</w:t>
      </w:r>
      <w:r w:rsidR="00AD5A98">
        <w:rPr>
          <w:rFonts w:cs="Arial"/>
        </w:rPr>
        <w:t xml:space="preserve"> </w:t>
      </w:r>
      <w:r w:rsidR="00E51FED" w:rsidRPr="00892782">
        <w:rPr>
          <w:rFonts w:cs="Arial"/>
        </w:rPr>
        <w:t xml:space="preserve">la </w:t>
      </w:r>
      <w:bookmarkStart w:id="4" w:name="hit6"/>
      <w:bookmarkEnd w:id="4"/>
      <w:r w:rsidR="00E51FED" w:rsidRPr="00892782">
        <w:rPr>
          <w:rFonts w:cs="Arial"/>
        </w:rPr>
        <w:t>variation</w:t>
      </w:r>
      <w:r w:rsidR="00E26227">
        <w:rPr>
          <w:rFonts w:cs="Arial"/>
        </w:rPr>
        <w:t xml:space="preserve"> </w:t>
      </w:r>
      <w:bookmarkStart w:id="5" w:name="hit7"/>
      <w:bookmarkEnd w:id="5"/>
      <w:r w:rsidR="00E51FED" w:rsidRPr="00892782">
        <w:rPr>
          <w:rFonts w:cs="Arial"/>
        </w:rPr>
        <w:t>due À diffÉrents</w:t>
      </w:r>
      <w:r w:rsidR="00E51FED" w:rsidRPr="00892782">
        <w:t xml:space="preserve"> observateurs</w:t>
      </w:r>
    </w:p>
    <w:p w:rsidR="00050E16" w:rsidRPr="004542AF" w:rsidRDefault="004E1273" w:rsidP="00050E16">
      <w:pPr>
        <w:pStyle w:val="preparedby1"/>
        <w:rPr>
          <w:color w:val="A6A6A6"/>
        </w:rPr>
      </w:pPr>
      <w:bookmarkStart w:id="6" w:name="Prepared"/>
      <w:bookmarkEnd w:id="6"/>
      <w:r w:rsidRPr="00892782">
        <w:t>Document établi par le Bureau de l</w:t>
      </w:r>
      <w:r w:rsidR="005543C3">
        <w:t>’</w:t>
      </w:r>
      <w:r w:rsidRPr="00892782">
        <w:t>Union</w:t>
      </w:r>
      <w:r w:rsidR="00050E16" w:rsidRPr="00892782">
        <w:br/>
      </w:r>
      <w:r w:rsidR="00050E16" w:rsidRPr="00892782">
        <w:br/>
      </w:r>
      <w:r w:rsidRPr="004542AF">
        <w:rPr>
          <w:color w:val="A6A6A6"/>
        </w:rPr>
        <w:t>Avertissement</w:t>
      </w:r>
      <w:r w:rsidR="0034687C">
        <w:rPr>
          <w:color w:val="A6A6A6"/>
        </w:rPr>
        <w:t> </w:t>
      </w:r>
      <w:r w:rsidRPr="004542AF">
        <w:rPr>
          <w:color w:val="A6A6A6"/>
        </w:rPr>
        <w:t>: le présent document ne représente pas les principes ou les orientations de l</w:t>
      </w:r>
      <w:r w:rsidR="005543C3">
        <w:rPr>
          <w:color w:val="A6A6A6"/>
        </w:rPr>
        <w:t>’</w:t>
      </w:r>
      <w:r w:rsidRPr="004542AF">
        <w:rPr>
          <w:color w:val="A6A6A6"/>
        </w:rPr>
        <w:t>UPOV</w:t>
      </w:r>
    </w:p>
    <w:p w:rsidR="00704EB7" w:rsidRPr="00892782" w:rsidRDefault="00C967DE" w:rsidP="00704EB7">
      <w:pPr>
        <w:rPr>
          <w:rFonts w:cs="Arial"/>
        </w:rPr>
      </w:pPr>
      <w:r w:rsidRPr="00892782">
        <w:rPr>
          <w:lang w:eastAsia="ja-JP"/>
        </w:rPr>
        <w:fldChar w:fldCharType="begin"/>
      </w:r>
      <w:r w:rsidR="00704EB7" w:rsidRPr="00892782">
        <w:rPr>
          <w:lang w:eastAsia="ja-JP"/>
        </w:rPr>
        <w:instrText xml:space="preserve"> AUTONUM  </w:instrText>
      </w:r>
      <w:r w:rsidRPr="00892782">
        <w:rPr>
          <w:lang w:eastAsia="ja-JP"/>
        </w:rPr>
        <w:fldChar w:fldCharType="end"/>
      </w:r>
      <w:r w:rsidR="00704EB7" w:rsidRPr="00892782">
        <w:rPr>
          <w:lang w:eastAsia="ja-JP"/>
        </w:rPr>
        <w:tab/>
      </w:r>
      <w:r w:rsidR="004E1273" w:rsidRPr="00892782">
        <w:rPr>
          <w:rFonts w:cs="Arial"/>
          <w:lang w:eastAsia="ja-JP"/>
        </w:rPr>
        <w:t>L</w:t>
      </w:r>
      <w:r w:rsidR="005543C3">
        <w:rPr>
          <w:rFonts w:cs="Arial"/>
          <w:lang w:eastAsia="ja-JP"/>
        </w:rPr>
        <w:t>’</w:t>
      </w:r>
      <w:r w:rsidR="004E1273" w:rsidRPr="00892782">
        <w:rPr>
          <w:rFonts w:cs="Arial"/>
          <w:lang w:eastAsia="ja-JP"/>
        </w:rPr>
        <w:t xml:space="preserve">objet du présent document est de présenter </w:t>
      </w:r>
      <w:r w:rsidR="001A3371" w:rsidRPr="00892782">
        <w:rPr>
          <w:rFonts w:cs="Arial"/>
          <w:lang w:eastAsia="ja-JP"/>
        </w:rPr>
        <w:t>le</w:t>
      </w:r>
      <w:r w:rsidR="00E51FED" w:rsidRPr="00892782">
        <w:rPr>
          <w:rFonts w:cs="Arial"/>
          <w:lang w:eastAsia="ja-JP"/>
        </w:rPr>
        <w:t xml:space="preserve"> projet d</w:t>
      </w:r>
      <w:r w:rsidR="005543C3">
        <w:rPr>
          <w:rFonts w:cs="Arial"/>
          <w:lang w:eastAsia="ja-JP"/>
        </w:rPr>
        <w:t>’</w:t>
      </w:r>
      <w:r w:rsidR="001A3371" w:rsidRPr="00892782">
        <w:rPr>
          <w:rFonts w:cs="Arial"/>
          <w:lang w:eastAsia="ja-JP"/>
        </w:rPr>
        <w:t>un</w:t>
      </w:r>
      <w:r w:rsidR="00E51FED" w:rsidRPr="00892782">
        <w:rPr>
          <w:rFonts w:cs="Arial"/>
          <w:lang w:eastAsia="ja-JP"/>
        </w:rPr>
        <w:t xml:space="preserve">e nouvelle section </w:t>
      </w:r>
      <w:r w:rsidR="001A3371" w:rsidRPr="00892782">
        <w:rPr>
          <w:rFonts w:cs="Arial"/>
          <w:lang w:eastAsia="ja-JP"/>
        </w:rPr>
        <w:t>pour le</w:t>
      </w:r>
      <w:r w:rsidR="00704EB7" w:rsidRPr="00892782">
        <w:rPr>
          <w:lang w:eastAsia="ja-JP"/>
        </w:rPr>
        <w:t xml:space="preserve"> document </w:t>
      </w:r>
      <w:r w:rsidR="00704EB7" w:rsidRPr="00892782">
        <w:rPr>
          <w:rFonts w:cs="Arial"/>
        </w:rPr>
        <w:t>TGP/8</w:t>
      </w:r>
      <w:r w:rsidR="00E26227">
        <w:rPr>
          <w:rFonts w:cs="Arial"/>
        </w:rPr>
        <w:t xml:space="preserve"> : </w:t>
      </w:r>
      <w:r w:rsidR="00F56DDB">
        <w:rPr>
          <w:rFonts w:cs="Arial"/>
        </w:rPr>
        <w:t>p</w:t>
      </w:r>
      <w:r w:rsidR="00E51FED" w:rsidRPr="00892782">
        <w:rPr>
          <w:rFonts w:cs="Arial"/>
        </w:rPr>
        <w:t>remière partie</w:t>
      </w:r>
      <w:r w:rsidR="0034687C">
        <w:rPr>
          <w:rFonts w:cs="Arial"/>
        </w:rPr>
        <w:t> </w:t>
      </w:r>
      <w:r w:rsidR="00704EB7" w:rsidRPr="00892782">
        <w:rPr>
          <w:rFonts w:cs="Arial"/>
        </w:rPr>
        <w:t xml:space="preserve">: </w:t>
      </w:r>
      <w:r w:rsidR="00E51FED" w:rsidRPr="00892782">
        <w:rPr>
          <w:rFonts w:cs="Arial"/>
        </w:rPr>
        <w:t>Protocole d</w:t>
      </w:r>
      <w:r w:rsidR="005543C3">
        <w:rPr>
          <w:rFonts w:cs="Arial"/>
        </w:rPr>
        <w:t>’</w:t>
      </w:r>
      <w:r w:rsidR="00E51FED" w:rsidRPr="00892782">
        <w:rPr>
          <w:rFonts w:cs="Arial"/>
        </w:rPr>
        <w:t>essai DHS et analyse des données</w:t>
      </w:r>
      <w:r w:rsidR="00704EB7" w:rsidRPr="00892782">
        <w:rPr>
          <w:rFonts w:cs="Arial"/>
        </w:rPr>
        <w:t xml:space="preserve">, </w:t>
      </w:r>
      <w:r w:rsidR="001A3371" w:rsidRPr="00892782">
        <w:rPr>
          <w:rFonts w:cs="Arial"/>
        </w:rPr>
        <w:t xml:space="preserve">qui serait intitulée : </w:t>
      </w:r>
      <w:r w:rsidR="0034687C">
        <w:rPr>
          <w:rFonts w:cs="Arial"/>
        </w:rPr>
        <w:t>“</w:t>
      </w:r>
      <w:r w:rsidR="001A3371" w:rsidRPr="00892782">
        <w:rPr>
          <w:rFonts w:cs="Arial"/>
        </w:rPr>
        <w:t>Réduction optimale de la variation due à différents observateurs</w:t>
      </w:r>
      <w:r w:rsidR="0034687C">
        <w:rPr>
          <w:rFonts w:cs="Arial"/>
        </w:rPr>
        <w:t>”</w:t>
      </w:r>
      <w:r w:rsidR="001A3371" w:rsidRPr="00892782">
        <w:rPr>
          <w:rFonts w:cs="Arial"/>
        </w:rPr>
        <w:t>.</w:t>
      </w:r>
    </w:p>
    <w:p w:rsidR="00704EB7" w:rsidRPr="00892782" w:rsidRDefault="00704EB7" w:rsidP="00704EB7">
      <w:pPr>
        <w:rPr>
          <w:snapToGrid w:val="0"/>
        </w:rPr>
      </w:pPr>
    </w:p>
    <w:p w:rsidR="00704EB7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4E1273" w:rsidRPr="00892782">
        <w:t>Les abréviations ci</w:t>
      </w:r>
      <w:r w:rsidR="005543C3">
        <w:t>-</w:t>
      </w:r>
      <w:r w:rsidR="004E1273" w:rsidRPr="00892782">
        <w:t>après sont utilisées dans le présent document</w:t>
      </w:r>
      <w:r w:rsidR="0034687C">
        <w:t> </w:t>
      </w:r>
      <w:r w:rsidR="00704EB7" w:rsidRPr="00892782">
        <w:t>:</w:t>
      </w:r>
    </w:p>
    <w:p w:rsidR="00704EB7" w:rsidRPr="00892782" w:rsidRDefault="00704EB7" w:rsidP="00704EB7"/>
    <w:p w:rsidR="005543C3" w:rsidRDefault="00704EB7" w:rsidP="004E1273">
      <w:pPr>
        <w:ind w:firstLine="567"/>
      </w:pPr>
      <w:r w:rsidRPr="00892782">
        <w:t>CAJ</w:t>
      </w:r>
      <w:r w:rsidR="0034687C">
        <w:t> :</w:t>
      </w:r>
      <w:r w:rsidRPr="00892782">
        <w:t xml:space="preserve"> </w:t>
      </w:r>
      <w:r w:rsidRPr="00892782">
        <w:tab/>
      </w:r>
      <w:r w:rsidR="004E1273" w:rsidRPr="00892782">
        <w:tab/>
      </w:r>
      <w:r w:rsidR="004E1273" w:rsidRPr="00892782">
        <w:rPr>
          <w:rFonts w:cs="Arial"/>
        </w:rPr>
        <w:t>Comité a</w:t>
      </w:r>
      <w:r w:rsidRPr="00892782">
        <w:rPr>
          <w:rFonts w:cs="Arial"/>
        </w:rPr>
        <w:t>dministrati</w:t>
      </w:r>
      <w:r w:rsidR="004E1273" w:rsidRPr="00892782">
        <w:rPr>
          <w:rFonts w:cs="Arial"/>
        </w:rPr>
        <w:t>f et juridique</w:t>
      </w:r>
    </w:p>
    <w:p w:rsidR="004E1273" w:rsidRPr="00892782" w:rsidRDefault="004E1273" w:rsidP="004E1273">
      <w:pPr>
        <w:rPr>
          <w:rFonts w:cs="Arial"/>
        </w:rPr>
      </w:pPr>
      <w:r w:rsidRPr="00892782">
        <w:rPr>
          <w:rFonts w:cs="Arial"/>
        </w:rPr>
        <w:tab/>
        <w:t>TC</w:t>
      </w:r>
      <w:r w:rsidR="0034687C">
        <w:rPr>
          <w:rFonts w:cs="Arial"/>
        </w:rPr>
        <w:t xml:space="preserve"> : </w:t>
      </w:r>
      <w:r w:rsidRPr="00892782">
        <w:rPr>
          <w:rFonts w:cs="Arial"/>
        </w:rPr>
        <w:tab/>
      </w:r>
      <w:r w:rsidRPr="00892782">
        <w:rPr>
          <w:rFonts w:cs="Arial"/>
        </w:rPr>
        <w:tab/>
        <w:t>Comité technique</w:t>
      </w:r>
    </w:p>
    <w:p w:rsidR="004E1273" w:rsidRPr="00892782" w:rsidRDefault="004E1273" w:rsidP="004E1273">
      <w:r w:rsidRPr="00892782">
        <w:rPr>
          <w:rFonts w:eastAsia="PMingLiU" w:cs="Arial"/>
        </w:rPr>
        <w:tab/>
        <w:t>TC</w:t>
      </w:r>
      <w:r w:rsidR="005543C3">
        <w:rPr>
          <w:rFonts w:eastAsia="PMingLiU" w:cs="Arial"/>
        </w:rPr>
        <w:t>-</w:t>
      </w:r>
      <w:r w:rsidRPr="00892782">
        <w:rPr>
          <w:rFonts w:eastAsia="PMingLiU" w:cs="Arial"/>
        </w:rPr>
        <w:t>EDC</w:t>
      </w:r>
      <w:r w:rsidR="0034687C">
        <w:rPr>
          <w:rFonts w:eastAsia="PMingLiU" w:cs="Arial"/>
        </w:rPr>
        <w:t xml:space="preserve"> : </w:t>
      </w:r>
      <w:r w:rsidRPr="00892782">
        <w:rPr>
          <w:rFonts w:eastAsia="PMingLiU" w:cs="Arial"/>
        </w:rPr>
        <w:tab/>
      </w:r>
      <w:r w:rsidRPr="00892782">
        <w:t>Comité de rédaction élargi</w:t>
      </w:r>
    </w:p>
    <w:p w:rsidR="004E1273" w:rsidRPr="00892782" w:rsidRDefault="004E1273" w:rsidP="004E1273">
      <w:r w:rsidRPr="00892782">
        <w:tab/>
        <w:t>TWA</w:t>
      </w:r>
      <w:r w:rsidR="0034687C">
        <w:t xml:space="preserve"> : </w:t>
      </w:r>
      <w:r w:rsidR="00504D10">
        <w:tab/>
      </w:r>
      <w:r w:rsidRPr="00892782">
        <w:t>Groupe de travail technique sur les plantes agricoles</w:t>
      </w:r>
    </w:p>
    <w:p w:rsidR="004E1273" w:rsidRPr="00892782" w:rsidRDefault="004E1273" w:rsidP="004E1273">
      <w:pPr>
        <w:tabs>
          <w:tab w:val="left" w:pos="567"/>
        </w:tabs>
        <w:ind w:left="1701" w:hanging="1701"/>
      </w:pPr>
      <w:r w:rsidRPr="00892782">
        <w:tab/>
        <w:t>TWC</w:t>
      </w:r>
      <w:r w:rsidR="0034687C">
        <w:t xml:space="preserve"> : </w:t>
      </w:r>
      <w:r w:rsidRPr="00892782">
        <w:tab/>
        <w:t>Groupe de travail technique sur les systèmes d</w:t>
      </w:r>
      <w:r w:rsidR="005543C3">
        <w:t>’</w:t>
      </w:r>
      <w:r w:rsidRPr="00892782">
        <w:t>automatisation et les programmes d</w:t>
      </w:r>
      <w:r w:rsidR="005543C3">
        <w:t>’</w:t>
      </w:r>
      <w:r w:rsidR="00504D10">
        <w:t>ordinateur</w:t>
      </w:r>
    </w:p>
    <w:p w:rsidR="004E1273" w:rsidRPr="00892782" w:rsidRDefault="004E1273" w:rsidP="004E1273">
      <w:r w:rsidRPr="00892782">
        <w:tab/>
        <w:t>TWF</w:t>
      </w:r>
      <w:r w:rsidR="0034687C">
        <w:t> </w:t>
      </w:r>
      <w:r w:rsidR="00504D10">
        <w:t xml:space="preserve">: </w:t>
      </w:r>
      <w:r w:rsidR="00504D10">
        <w:tab/>
      </w:r>
      <w:r w:rsidRPr="00892782">
        <w:t>Groupe de travail technique sur les plantes fruitières</w:t>
      </w:r>
    </w:p>
    <w:p w:rsidR="004E1273" w:rsidRPr="00892782" w:rsidRDefault="004E1273" w:rsidP="004E1273">
      <w:r w:rsidRPr="00892782">
        <w:tab/>
        <w:t>TWO</w:t>
      </w:r>
      <w:r w:rsidR="0034687C">
        <w:t xml:space="preserve"> : </w:t>
      </w:r>
      <w:r w:rsidR="00504D10">
        <w:tab/>
      </w:r>
      <w:r w:rsidRPr="00892782">
        <w:t>Groupe de travail technique sur les plantes ornementales et les arbres forestiers</w:t>
      </w:r>
    </w:p>
    <w:p w:rsidR="004E1273" w:rsidRPr="00892782" w:rsidRDefault="00F56DDB" w:rsidP="004E1273">
      <w:r>
        <w:tab/>
        <w:t>TWP </w:t>
      </w:r>
      <w:r w:rsidR="004E1273" w:rsidRPr="00892782">
        <w:t>:</w:t>
      </w:r>
      <w:r w:rsidR="0034687C">
        <w:t xml:space="preserve"> </w:t>
      </w:r>
      <w:r w:rsidR="004E1273" w:rsidRPr="00892782">
        <w:tab/>
        <w:t>Groupes de travail techniques</w:t>
      </w:r>
    </w:p>
    <w:p w:rsidR="004E1273" w:rsidRPr="00892782" w:rsidRDefault="004E1273" w:rsidP="004E1273">
      <w:r w:rsidRPr="00892782">
        <w:tab/>
        <w:t>TWV</w:t>
      </w:r>
      <w:r w:rsidR="0034687C">
        <w:t xml:space="preserve"> : </w:t>
      </w:r>
      <w:r w:rsidR="00504D10">
        <w:tab/>
      </w:r>
      <w:r w:rsidRPr="00892782">
        <w:t>Groupe de travail technique sur les plantes potagères</w:t>
      </w:r>
    </w:p>
    <w:p w:rsidR="00704EB7" w:rsidRPr="00892782" w:rsidRDefault="00704EB7" w:rsidP="00704EB7">
      <w:pPr>
        <w:ind w:left="1701" w:hanging="981"/>
      </w:pPr>
    </w:p>
    <w:p w:rsidR="00704EB7" w:rsidRPr="00892782" w:rsidRDefault="00C967DE" w:rsidP="00704EB7">
      <w:pPr>
        <w:rPr>
          <w:snapToGrid w:val="0"/>
        </w:rPr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4E1273" w:rsidRPr="00892782">
        <w:rPr>
          <w:lang w:eastAsia="ja-JP"/>
        </w:rPr>
        <w:t>La structure du présent document est la suivante</w:t>
      </w:r>
      <w:r w:rsidR="0034687C">
        <w:rPr>
          <w:snapToGrid w:val="0"/>
        </w:rPr>
        <w:t> </w:t>
      </w:r>
      <w:r w:rsidR="00704EB7" w:rsidRPr="00892782">
        <w:rPr>
          <w:snapToGrid w:val="0"/>
        </w:rPr>
        <w:t>:</w:t>
      </w:r>
    </w:p>
    <w:p w:rsidR="00704EB7" w:rsidRPr="00892782" w:rsidRDefault="00704EB7" w:rsidP="00704EB7">
      <w:pPr>
        <w:rPr>
          <w:snapToGrid w:val="0"/>
        </w:rPr>
      </w:pPr>
    </w:p>
    <w:p w:rsidR="0054705A" w:rsidRDefault="00C967D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92782">
        <w:rPr>
          <w:noProof/>
          <w:lang w:val="fr-FR"/>
        </w:rPr>
        <w:fldChar w:fldCharType="begin"/>
      </w:r>
      <w:r w:rsidR="00704EB7" w:rsidRPr="00892782">
        <w:rPr>
          <w:lang w:val="fr-FR"/>
        </w:rPr>
        <w:instrText xml:space="preserve"> TOC \o "1-3" \h \z \u </w:instrText>
      </w:r>
      <w:r w:rsidRPr="00892782">
        <w:rPr>
          <w:noProof/>
          <w:lang w:val="fr-FR"/>
        </w:rPr>
        <w:fldChar w:fldCharType="separate"/>
      </w:r>
      <w:hyperlink w:anchor="_Toc379882669" w:history="1">
        <w:r w:rsidR="0054705A" w:rsidRPr="00CC5952">
          <w:rPr>
            <w:rStyle w:val="Hyperlink"/>
            <w:noProof/>
            <w:lang w:val="fr-FR"/>
          </w:rPr>
          <w:t>informations générales</w:t>
        </w:r>
        <w:r w:rsidR="0054705A">
          <w:rPr>
            <w:noProof/>
            <w:webHidden/>
          </w:rPr>
          <w:tab/>
        </w:r>
        <w:r w:rsidR="0054705A">
          <w:rPr>
            <w:noProof/>
            <w:webHidden/>
          </w:rPr>
          <w:fldChar w:fldCharType="begin"/>
        </w:r>
        <w:r w:rsidR="0054705A">
          <w:rPr>
            <w:noProof/>
            <w:webHidden/>
          </w:rPr>
          <w:instrText xml:space="preserve"> PAGEREF _Toc379882669 \h </w:instrText>
        </w:r>
        <w:r w:rsidR="0054705A">
          <w:rPr>
            <w:noProof/>
            <w:webHidden/>
          </w:rPr>
        </w:r>
        <w:r w:rsidR="0054705A">
          <w:rPr>
            <w:noProof/>
            <w:webHidden/>
          </w:rPr>
          <w:fldChar w:fldCharType="separate"/>
        </w:r>
        <w:r w:rsidR="0054705A">
          <w:rPr>
            <w:noProof/>
            <w:webHidden/>
          </w:rPr>
          <w:t>2</w:t>
        </w:r>
        <w:r w:rsidR="0054705A">
          <w:rPr>
            <w:noProof/>
            <w:webHidden/>
          </w:rPr>
          <w:fldChar w:fldCharType="end"/>
        </w:r>
      </w:hyperlink>
    </w:p>
    <w:p w:rsidR="0054705A" w:rsidRDefault="0054705A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882670" w:history="1">
        <w:r w:rsidRPr="00CC5952">
          <w:rPr>
            <w:rStyle w:val="Hyperlink"/>
            <w:noProof/>
            <w:lang w:val="fr-FR"/>
          </w:rPr>
          <w:t>faits nouveaux EN 2012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882671" w:history="1">
        <w:r w:rsidRPr="00CC5952">
          <w:rPr>
            <w:rStyle w:val="Hyperlink"/>
            <w:noProof/>
          </w:rPr>
          <w:t>Comité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882672" w:history="1">
        <w:r w:rsidRPr="00CC5952">
          <w:rPr>
            <w:rStyle w:val="Hyperlink"/>
            <w:noProof/>
          </w:rPr>
          <w:t>Groupes de travail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882673" w:history="1">
        <w:r w:rsidRPr="00CC5952">
          <w:rPr>
            <w:rStyle w:val="Hyperlink"/>
            <w:noProof/>
          </w:rPr>
          <w:t>faits nouveaux eN 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882674" w:history="1">
        <w:r w:rsidRPr="00CC5952">
          <w:rPr>
            <w:rStyle w:val="Hyperlink"/>
            <w:noProof/>
          </w:rPr>
          <w:t>Comité de rédaction élargi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882675" w:history="1">
        <w:r w:rsidRPr="00CC5952">
          <w:rPr>
            <w:rStyle w:val="Hyperlink"/>
            <w:noProof/>
          </w:rPr>
          <w:t>Comité technique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705A" w:rsidRDefault="0054705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882676" w:history="1">
        <w:r w:rsidRPr="00CC5952">
          <w:rPr>
            <w:rStyle w:val="Hyperlink"/>
            <w:noProof/>
          </w:rPr>
          <w:t>Observations des groupes de travail techniques en 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_Toc379882676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04EB7" w:rsidRPr="00892782" w:rsidRDefault="00C967DE" w:rsidP="00C31582">
      <w:pPr>
        <w:ind w:left="1134" w:hanging="1134"/>
        <w:jc w:val="left"/>
        <w:rPr>
          <w:bCs/>
          <w:szCs w:val="24"/>
        </w:rPr>
      </w:pPr>
      <w:r w:rsidRPr="00892782">
        <w:rPr>
          <w:bCs/>
          <w:szCs w:val="24"/>
        </w:rPr>
        <w:fldChar w:fldCharType="end"/>
      </w:r>
    </w:p>
    <w:p w:rsidR="00B27346" w:rsidRPr="00892782" w:rsidRDefault="00B27346">
      <w:pPr>
        <w:jc w:val="left"/>
        <w:rPr>
          <w:caps/>
        </w:rPr>
      </w:pPr>
    </w:p>
    <w:p w:rsidR="00704EB7" w:rsidRPr="00892782" w:rsidRDefault="00504D10" w:rsidP="00704EB7">
      <w:pPr>
        <w:pStyle w:val="Heading1"/>
        <w:keepNext w:val="0"/>
        <w:rPr>
          <w:lang w:val="fr-FR"/>
        </w:rPr>
      </w:pPr>
      <w:r>
        <w:rPr>
          <w:lang w:val="fr-FR"/>
        </w:rPr>
        <w:br w:type="page"/>
      </w:r>
      <w:bookmarkStart w:id="7" w:name="_Toc379882669"/>
      <w:r w:rsidR="004E1273" w:rsidRPr="00892782">
        <w:rPr>
          <w:lang w:val="fr-FR"/>
        </w:rPr>
        <w:lastRenderedPageBreak/>
        <w:t>informations générales</w:t>
      </w:r>
      <w:bookmarkEnd w:id="7"/>
    </w:p>
    <w:p w:rsidR="00704EB7" w:rsidRPr="00892782" w:rsidRDefault="00704EB7" w:rsidP="00704EB7"/>
    <w:p w:rsidR="00704EB7" w:rsidRPr="00892782" w:rsidRDefault="00C967DE" w:rsidP="00AD5A98">
      <w:pPr>
        <w:pStyle w:val="Header"/>
        <w:jc w:val="both"/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1A3371" w:rsidRPr="00892782">
        <w:t>Il est indiqué au paragraphe</w:t>
      </w:r>
      <w:r w:rsidR="0034687C">
        <w:t> </w:t>
      </w:r>
      <w:r w:rsidR="001A3371" w:rsidRPr="00892782">
        <w:t xml:space="preserve">2.9.1 </w:t>
      </w:r>
      <w:r w:rsidR="0034687C">
        <w:t>“</w:t>
      </w:r>
      <w:r w:rsidR="001A3371" w:rsidRPr="00892782">
        <w:t>Contrôle de la variation due à différents observateur</w:t>
      </w:r>
      <w:r w:rsidR="00D8357C" w:rsidRPr="00892782">
        <w:t>s</w:t>
      </w:r>
      <w:r w:rsidR="0034687C">
        <w:t>”</w:t>
      </w:r>
      <w:r w:rsidR="00D8357C" w:rsidRPr="00892782">
        <w:t xml:space="preserve"> du document TGP/8/1, </w:t>
      </w:r>
      <w:r w:rsidR="00892782" w:rsidRPr="00892782">
        <w:t>projet</w:t>
      </w:r>
      <w:r w:rsidR="00D8357C" w:rsidRPr="00892782">
        <w:t xml:space="preserve"> 7, première partie, examiné par les groupes de travail techniques à leurs sessions de</w:t>
      </w:r>
      <w:r w:rsidR="0034687C">
        <w:t> </w:t>
      </w:r>
      <w:r w:rsidR="00D8357C" w:rsidRPr="00892782">
        <w:t>2007</w:t>
      </w:r>
      <w:r w:rsidR="0034687C">
        <w:t> </w:t>
      </w:r>
      <w:r w:rsidR="00704EB7" w:rsidRPr="00892782">
        <w:t>:</w:t>
      </w:r>
    </w:p>
    <w:p w:rsidR="00704EB7" w:rsidRPr="00892782" w:rsidRDefault="00704EB7" w:rsidP="00704EB7">
      <w:pPr>
        <w:pStyle w:val="Header"/>
        <w:tabs>
          <w:tab w:val="left" w:pos="720"/>
        </w:tabs>
        <w:jc w:val="both"/>
      </w:pPr>
    </w:p>
    <w:p w:rsidR="00704EB7" w:rsidRPr="00892782" w:rsidRDefault="00704EB7" w:rsidP="00AD5A98">
      <w:pPr>
        <w:ind w:left="567" w:right="567"/>
        <w:rPr>
          <w:i/>
          <w:iCs/>
        </w:rPr>
      </w:pPr>
      <w:r w:rsidRPr="00892782">
        <w:rPr>
          <w:i/>
          <w:iCs/>
        </w:rPr>
        <w:t>[</w:t>
      </w:r>
      <w:r w:rsidR="00D8357C" w:rsidRPr="00892782">
        <w:rPr>
          <w:i/>
          <w:iCs/>
        </w:rPr>
        <w:t>Si cette</w:t>
      </w:r>
      <w:r w:rsidRPr="00892782">
        <w:rPr>
          <w:i/>
          <w:iCs/>
        </w:rPr>
        <w:t xml:space="preserve"> section </w:t>
      </w:r>
      <w:r w:rsidR="00D8357C" w:rsidRPr="00892782">
        <w:rPr>
          <w:i/>
          <w:iCs/>
        </w:rPr>
        <w:t>est requise,</w:t>
      </w:r>
      <w:r w:rsidR="005543C3" w:rsidRPr="00892782">
        <w:rPr>
          <w:i/>
          <w:iCs/>
        </w:rPr>
        <w:t xml:space="preserve"> les</w:t>
      </w:r>
      <w:r w:rsidR="005543C3">
        <w:rPr>
          <w:i/>
          <w:iCs/>
        </w:rPr>
        <w:t> </w:t>
      </w:r>
      <w:r w:rsidR="005543C3" w:rsidRPr="00892782">
        <w:rPr>
          <w:i/>
          <w:iCs/>
        </w:rPr>
        <w:t>TWP</w:t>
      </w:r>
      <w:r w:rsidR="00D8357C" w:rsidRPr="00892782">
        <w:rPr>
          <w:i/>
          <w:iCs/>
        </w:rPr>
        <w:t xml:space="preserve"> </w:t>
      </w:r>
      <w:r w:rsidRPr="00892782">
        <w:rPr>
          <w:i/>
          <w:iCs/>
        </w:rPr>
        <w:t>s</w:t>
      </w:r>
      <w:r w:rsidR="00D8357C" w:rsidRPr="00892782">
        <w:rPr>
          <w:i/>
          <w:iCs/>
        </w:rPr>
        <w:t>ont invités à formuler des conseils sur le contrôle de la variation due à différents observateurs</w:t>
      </w:r>
      <w:r w:rsidRPr="00892782">
        <w:rPr>
          <w:i/>
          <w:iCs/>
        </w:rPr>
        <w:t xml:space="preserve"> </w:t>
      </w:r>
      <w:r w:rsidR="00D8357C" w:rsidRPr="00892782">
        <w:rPr>
          <w:i/>
          <w:iCs/>
        </w:rPr>
        <w:t>lorsque l</w:t>
      </w:r>
      <w:r w:rsidR="005543C3">
        <w:rPr>
          <w:i/>
          <w:iCs/>
        </w:rPr>
        <w:t>’</w:t>
      </w:r>
      <w:r w:rsidR="00D8357C" w:rsidRPr="00892782">
        <w:rPr>
          <w:i/>
          <w:iCs/>
        </w:rPr>
        <w:t>analyse statistique n</w:t>
      </w:r>
      <w:r w:rsidR="005543C3">
        <w:rPr>
          <w:i/>
          <w:iCs/>
        </w:rPr>
        <w:t>’</w:t>
      </w:r>
      <w:r w:rsidR="00D8357C" w:rsidRPr="00892782">
        <w:rPr>
          <w:i/>
          <w:iCs/>
        </w:rPr>
        <w:t>est pas utilisée pour déterminer la distinction, et à l</w:t>
      </w:r>
      <w:r w:rsidR="005543C3">
        <w:rPr>
          <w:i/>
          <w:iCs/>
        </w:rPr>
        <w:t>’</w:t>
      </w:r>
      <w:r w:rsidR="00D8357C" w:rsidRPr="00892782">
        <w:rPr>
          <w:i/>
          <w:iCs/>
        </w:rPr>
        <w:t xml:space="preserve">examiner en liaison avec le </w:t>
      </w:r>
      <w:r w:rsidRPr="00892782">
        <w:rPr>
          <w:i/>
          <w:iCs/>
        </w:rPr>
        <w:t>paragraph</w:t>
      </w:r>
      <w:r w:rsidR="00D8357C" w:rsidRPr="00892782">
        <w:rPr>
          <w:i/>
          <w:iCs/>
        </w:rPr>
        <w:t>e</w:t>
      </w:r>
      <w:r w:rsidR="0034687C">
        <w:rPr>
          <w:i/>
          <w:iCs/>
        </w:rPr>
        <w:t> </w:t>
      </w:r>
      <w:r w:rsidRPr="00892782">
        <w:rPr>
          <w:i/>
          <w:iCs/>
        </w:rPr>
        <w:t>2.7.2.9.]</w:t>
      </w:r>
    </w:p>
    <w:p w:rsidR="00704EB7" w:rsidRPr="00892782" w:rsidRDefault="00704EB7" w:rsidP="00704EB7">
      <w:pPr>
        <w:ind w:left="720" w:right="998"/>
        <w:rPr>
          <w:i/>
          <w:iCs/>
        </w:rPr>
      </w:pPr>
    </w:p>
    <w:p w:rsidR="0088284B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88284B" w:rsidRPr="00892782">
        <w:t>À sa vingt</w:t>
      </w:r>
      <w:r w:rsidR="005543C3">
        <w:t>-</w:t>
      </w:r>
      <w:r w:rsidR="0088284B" w:rsidRPr="00892782">
        <w:t>sixième</w:t>
      </w:r>
      <w:r w:rsidR="0034687C">
        <w:t> </w:t>
      </w:r>
      <w:r w:rsidR="00704EB7" w:rsidRPr="00892782">
        <w:t xml:space="preserve">session, </w:t>
      </w:r>
      <w:r w:rsidR="0088284B" w:rsidRPr="00892782">
        <w:t>tenue à</w:t>
      </w:r>
      <w:r w:rsidR="00704EB7" w:rsidRPr="00892782">
        <w:t xml:space="preserve"> Jeju </w:t>
      </w:r>
      <w:r w:rsidR="00504D10">
        <w:t>(</w:t>
      </w:r>
      <w:r w:rsidR="00704EB7" w:rsidRPr="00892782">
        <w:t>R</w:t>
      </w:r>
      <w:r w:rsidR="0088284B" w:rsidRPr="00892782">
        <w:t>é</w:t>
      </w:r>
      <w:r w:rsidR="00704EB7" w:rsidRPr="00892782">
        <w:t>publi</w:t>
      </w:r>
      <w:r w:rsidR="0088284B" w:rsidRPr="00892782">
        <w:t>que de Corée</w:t>
      </w:r>
      <w:r w:rsidR="00504D10">
        <w:t>)</w:t>
      </w:r>
      <w:r w:rsidR="0088284B" w:rsidRPr="00892782">
        <w:t xml:space="preserve">, du 2 au </w:t>
      </w:r>
      <w:r w:rsidR="005543C3" w:rsidRPr="00892782">
        <w:t>5</w:t>
      </w:r>
      <w:r w:rsidR="005543C3">
        <w:t> </w:t>
      </w:r>
      <w:r w:rsidR="005543C3" w:rsidRPr="00892782">
        <w:t>septembre</w:t>
      </w:r>
      <w:r w:rsidR="005543C3">
        <w:t> </w:t>
      </w:r>
      <w:r w:rsidR="005543C3" w:rsidRPr="00892782">
        <w:t>20</w:t>
      </w:r>
      <w:r w:rsidR="00704EB7" w:rsidRPr="00892782">
        <w:t>08</w:t>
      </w:r>
      <w:r w:rsidR="0088284B" w:rsidRPr="00892782">
        <w:t>,</w:t>
      </w:r>
      <w:r w:rsidR="005543C3" w:rsidRPr="00892782">
        <w:t xml:space="preserve"> le</w:t>
      </w:r>
      <w:r w:rsidR="005543C3">
        <w:t> </w:t>
      </w:r>
      <w:r w:rsidR="005543C3" w:rsidRPr="00892782">
        <w:t>TWC</w:t>
      </w:r>
      <w:r w:rsidR="0088284B" w:rsidRPr="00892782">
        <w:t xml:space="preserve"> est convenu que M.</w:t>
      </w:r>
      <w:r w:rsidR="0034687C">
        <w:t> </w:t>
      </w:r>
      <w:r w:rsidR="00704EB7" w:rsidRPr="00892782">
        <w:t xml:space="preserve">Gerie </w:t>
      </w:r>
      <w:r w:rsidR="00797356" w:rsidRPr="00892782">
        <w:t>van der Heijden (</w:t>
      </w:r>
      <w:r w:rsidR="0088284B" w:rsidRPr="00892782">
        <w:t>Pays</w:t>
      </w:r>
      <w:r w:rsidR="005543C3">
        <w:t>-</w:t>
      </w:r>
      <w:r w:rsidR="0088284B" w:rsidRPr="00892782">
        <w:t>Bas</w:t>
      </w:r>
      <w:r w:rsidR="00797356" w:rsidRPr="00892782">
        <w:t xml:space="preserve">) </w:t>
      </w:r>
      <w:r w:rsidR="0088284B" w:rsidRPr="00892782">
        <w:t>consulterait ses collègues du</w:t>
      </w:r>
      <w:r w:rsidR="00704EB7" w:rsidRPr="00892782">
        <w:t xml:space="preserve"> Naktuinbouw </w:t>
      </w:r>
      <w:r w:rsidR="0088284B" w:rsidRPr="00892782">
        <w:t>pour voir s</w:t>
      </w:r>
      <w:r w:rsidR="005543C3">
        <w:t>’</w:t>
      </w:r>
      <w:r w:rsidR="0088284B" w:rsidRPr="00892782">
        <w:t>ils pourraient rédiger un proj</w:t>
      </w:r>
      <w:r w:rsidR="00293F96">
        <w:t>et de texte pour cette section.</w:t>
      </w:r>
    </w:p>
    <w:p w:rsidR="00704EB7" w:rsidRPr="00892782" w:rsidRDefault="00704EB7" w:rsidP="00704EB7"/>
    <w:p w:rsidR="0088284B" w:rsidRPr="00892782" w:rsidRDefault="00C967DE" w:rsidP="00704EB7">
      <w:pPr>
        <w:rPr>
          <w:rFonts w:cs="Arial"/>
          <w:color w:val="000000"/>
        </w:rPr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88284B" w:rsidRPr="00892782">
        <w:t>À</w:t>
      </w:r>
      <w:r w:rsidR="0088284B" w:rsidRPr="00892782">
        <w:rPr>
          <w:rFonts w:cs="Arial"/>
          <w:color w:val="000000"/>
        </w:rPr>
        <w:t xml:space="preserve"> sa quarante</w:t>
      </w:r>
      <w:r w:rsidR="005543C3">
        <w:rPr>
          <w:rFonts w:cs="Arial"/>
          <w:color w:val="000000"/>
        </w:rPr>
        <w:t>-</w:t>
      </w:r>
      <w:r w:rsidR="0088284B" w:rsidRPr="00892782">
        <w:rPr>
          <w:rFonts w:cs="Arial"/>
          <w:color w:val="000000"/>
        </w:rPr>
        <w:t>deuxième</w:t>
      </w:r>
      <w:r w:rsidR="0034687C">
        <w:rPr>
          <w:rFonts w:cs="Arial"/>
          <w:color w:val="000000"/>
        </w:rPr>
        <w:t> </w:t>
      </w:r>
      <w:r w:rsidR="00704EB7" w:rsidRPr="00892782">
        <w:rPr>
          <w:rFonts w:cs="Arial"/>
          <w:color w:val="000000"/>
        </w:rPr>
        <w:t xml:space="preserve">session, </w:t>
      </w:r>
      <w:r w:rsidR="0088284B" w:rsidRPr="00892782">
        <w:rPr>
          <w:rFonts w:cs="Arial"/>
          <w:color w:val="000000"/>
        </w:rPr>
        <w:t xml:space="preserve">tenue à Cracovie </w:t>
      </w:r>
      <w:r w:rsidR="00504D10">
        <w:rPr>
          <w:rFonts w:cs="Arial"/>
          <w:color w:val="000000"/>
        </w:rPr>
        <w:t>(</w:t>
      </w:r>
      <w:r w:rsidR="0088284B" w:rsidRPr="00892782">
        <w:rPr>
          <w:rFonts w:cs="Arial"/>
          <w:color w:val="000000"/>
        </w:rPr>
        <w:t>Pologne</w:t>
      </w:r>
      <w:r w:rsidR="00504D10">
        <w:rPr>
          <w:rFonts w:cs="Arial"/>
          <w:color w:val="000000"/>
        </w:rPr>
        <w:t>)</w:t>
      </w:r>
      <w:r w:rsidR="0088284B" w:rsidRPr="00892782">
        <w:rPr>
          <w:rFonts w:cs="Arial"/>
          <w:color w:val="000000"/>
        </w:rPr>
        <w:t>, du 23 au 2</w:t>
      </w:r>
      <w:r w:rsidR="005543C3" w:rsidRPr="00892782">
        <w:rPr>
          <w:rFonts w:cs="Arial"/>
          <w:color w:val="000000"/>
        </w:rPr>
        <w:t>7</w:t>
      </w:r>
      <w:r w:rsidR="005543C3">
        <w:rPr>
          <w:rFonts w:cs="Arial"/>
          <w:color w:val="000000"/>
        </w:rPr>
        <w:t> </w:t>
      </w:r>
      <w:r w:rsidR="005543C3" w:rsidRPr="00892782">
        <w:rPr>
          <w:rFonts w:cs="Arial"/>
          <w:color w:val="000000"/>
        </w:rPr>
        <w:t>juin</w:t>
      </w:r>
      <w:r w:rsidR="005543C3">
        <w:rPr>
          <w:rFonts w:cs="Arial"/>
          <w:color w:val="000000"/>
        </w:rPr>
        <w:t> </w:t>
      </w:r>
      <w:r w:rsidR="005543C3" w:rsidRPr="00892782">
        <w:rPr>
          <w:rFonts w:cs="Arial"/>
          <w:color w:val="000000"/>
        </w:rPr>
        <w:t>20</w:t>
      </w:r>
      <w:r w:rsidR="00704EB7" w:rsidRPr="00892782">
        <w:rPr>
          <w:rFonts w:cs="Arial"/>
          <w:color w:val="000000"/>
        </w:rPr>
        <w:t>08,</w:t>
      </w:r>
      <w:r w:rsidR="005543C3" w:rsidRPr="00892782">
        <w:rPr>
          <w:rFonts w:cs="Arial"/>
          <w:color w:val="000000"/>
        </w:rPr>
        <w:t xml:space="preserve"> le</w:t>
      </w:r>
      <w:r w:rsidR="005543C3">
        <w:rPr>
          <w:rFonts w:cs="Arial"/>
          <w:color w:val="000000"/>
        </w:rPr>
        <w:t> </w:t>
      </w:r>
      <w:r w:rsidR="005543C3" w:rsidRPr="00892782">
        <w:rPr>
          <w:rFonts w:cs="Arial"/>
          <w:color w:val="000000"/>
        </w:rPr>
        <w:t>TWV</w:t>
      </w:r>
      <w:r w:rsidR="0088284B" w:rsidRPr="00892782">
        <w:rPr>
          <w:rFonts w:cs="Arial"/>
          <w:color w:val="000000"/>
        </w:rPr>
        <w:t xml:space="preserve"> a indiqué qu</w:t>
      </w:r>
      <w:r w:rsidR="005543C3">
        <w:rPr>
          <w:rFonts w:cs="Arial"/>
          <w:color w:val="000000"/>
        </w:rPr>
        <w:t>’</w:t>
      </w:r>
      <w:r w:rsidR="0088284B" w:rsidRPr="00892782">
        <w:rPr>
          <w:rFonts w:cs="Arial"/>
          <w:color w:val="000000"/>
        </w:rPr>
        <w:t>il avait encouragé l</w:t>
      </w:r>
      <w:r w:rsidR="005543C3">
        <w:rPr>
          <w:rFonts w:cs="Arial"/>
          <w:color w:val="000000"/>
        </w:rPr>
        <w:t>’</w:t>
      </w:r>
      <w:r w:rsidR="0088284B" w:rsidRPr="00892782">
        <w:rPr>
          <w:rFonts w:cs="Arial"/>
          <w:color w:val="000000"/>
        </w:rPr>
        <w:t xml:space="preserve">élaboration de cette section et est convenu </w:t>
      </w:r>
      <w:r w:rsidR="0088284B" w:rsidRPr="00892782">
        <w:t>que son contenu devrait porter sur les éléments qui n</w:t>
      </w:r>
      <w:r w:rsidR="005543C3">
        <w:t>’</w:t>
      </w:r>
      <w:r w:rsidR="0088284B" w:rsidRPr="00892782">
        <w:t>étaient pas couverts de manière appropriée dans le document TWC/25/12.</w:t>
      </w:r>
    </w:p>
    <w:p w:rsidR="00704EB7" w:rsidRDefault="00704EB7" w:rsidP="00AD5A98"/>
    <w:p w:rsidR="00C55653" w:rsidRDefault="00C55653" w:rsidP="00AD5A98"/>
    <w:p w:rsidR="00AD5A98" w:rsidRPr="00892782" w:rsidRDefault="00AD5A98" w:rsidP="00AD5A98"/>
    <w:p w:rsidR="00704EB7" w:rsidRPr="00892782" w:rsidRDefault="00AD5A98" w:rsidP="00704EB7">
      <w:pPr>
        <w:pStyle w:val="Heading1"/>
        <w:rPr>
          <w:lang w:val="fr-FR"/>
        </w:rPr>
      </w:pPr>
      <w:bookmarkStart w:id="8" w:name="_Toc379882670"/>
      <w:r>
        <w:rPr>
          <w:lang w:val="fr-FR"/>
        </w:rPr>
        <w:t>faits nouveaux EN</w:t>
      </w:r>
      <w:r w:rsidR="0034687C">
        <w:rPr>
          <w:lang w:val="fr-FR"/>
        </w:rPr>
        <w:t> </w:t>
      </w:r>
      <w:r w:rsidR="00704EB7" w:rsidRPr="00892782">
        <w:rPr>
          <w:lang w:val="fr-FR"/>
        </w:rPr>
        <w:t>2012</w:t>
      </w:r>
      <w:bookmarkEnd w:id="8"/>
    </w:p>
    <w:p w:rsidR="00704EB7" w:rsidRPr="00892782" w:rsidRDefault="00704EB7" w:rsidP="00704EB7"/>
    <w:p w:rsidR="00704EB7" w:rsidRPr="00892782" w:rsidRDefault="004E1273" w:rsidP="00E26227">
      <w:pPr>
        <w:pStyle w:val="Heading2"/>
      </w:pPr>
      <w:bookmarkStart w:id="9" w:name="_Toc379882671"/>
      <w:r w:rsidRPr="00892782">
        <w:t>Comité technique</w:t>
      </w:r>
      <w:bookmarkEnd w:id="9"/>
    </w:p>
    <w:p w:rsidR="00704EB7" w:rsidRPr="00892782" w:rsidRDefault="00704EB7" w:rsidP="00704EB7"/>
    <w:p w:rsidR="00420428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420428" w:rsidRPr="00892782">
        <w:t>À sa quarante</w:t>
      </w:r>
      <w:r w:rsidR="005543C3">
        <w:t>-</w:t>
      </w:r>
      <w:r w:rsidR="00420428" w:rsidRPr="00892782">
        <w:t>huitième</w:t>
      </w:r>
      <w:r w:rsidR="0034687C">
        <w:t> </w:t>
      </w:r>
      <w:r w:rsidR="00420428" w:rsidRPr="00892782">
        <w:t>session, tenue à Genève du 26 au 2</w:t>
      </w:r>
      <w:r w:rsidR="005543C3" w:rsidRPr="00892782">
        <w:t>8</w:t>
      </w:r>
      <w:r w:rsidR="005543C3">
        <w:t> </w:t>
      </w:r>
      <w:r w:rsidR="005543C3" w:rsidRPr="00892782">
        <w:t>mars</w:t>
      </w:r>
      <w:r w:rsidR="005543C3">
        <w:t> </w:t>
      </w:r>
      <w:r w:rsidR="005543C3" w:rsidRPr="00892782">
        <w:t>20</w:t>
      </w:r>
      <w:r w:rsidR="00420428" w:rsidRPr="00892782">
        <w:t>12, le Comité technique (TC) est convenu de demande</w:t>
      </w:r>
      <w:r w:rsidR="00504D10">
        <w:t>r</w:t>
      </w:r>
      <w:r w:rsidR="00420428" w:rsidRPr="00892782">
        <w:t xml:space="preserve"> au rédacteur qu</w:t>
      </w:r>
      <w:r w:rsidR="005543C3">
        <w:t>’</w:t>
      </w:r>
      <w:r w:rsidR="00420428" w:rsidRPr="00892782">
        <w:t>il élabore un nouveau projet de la section sur la base des</w:t>
      </w:r>
      <w:r w:rsidR="00AD5A98">
        <w:t xml:space="preserve"> </w:t>
      </w:r>
      <w:r w:rsidR="00420428" w:rsidRPr="00892782">
        <w:t>observations faites par</w:t>
      </w:r>
      <w:r w:rsidR="005543C3" w:rsidRPr="00892782">
        <w:t xml:space="preserve"> les</w:t>
      </w:r>
      <w:r w:rsidR="005543C3">
        <w:t> </w:t>
      </w:r>
      <w:r w:rsidR="005543C3" w:rsidRPr="00892782">
        <w:t>TWP</w:t>
      </w:r>
      <w:r w:rsidR="00420428" w:rsidRPr="00892782">
        <w:t xml:space="preserve"> en</w:t>
      </w:r>
      <w:r w:rsidR="0034687C">
        <w:t> </w:t>
      </w:r>
      <w:r w:rsidR="00420428" w:rsidRPr="00892782">
        <w:t>2011, telles qu</w:t>
      </w:r>
      <w:r w:rsidR="005543C3">
        <w:t>’</w:t>
      </w:r>
      <w:r w:rsidR="00420428" w:rsidRPr="00892782">
        <w:t xml:space="preserve">elles figurent dans le </w:t>
      </w:r>
      <w:r w:rsidR="005543C3" w:rsidRPr="00892782">
        <w:t>document</w:t>
      </w:r>
      <w:r w:rsidR="005543C3">
        <w:t xml:space="preserve"> TC</w:t>
      </w:r>
      <w:r w:rsidR="00420428" w:rsidRPr="00892782">
        <w:t>/48/19</w:t>
      </w:r>
      <w:r w:rsidR="00504D10">
        <w:t> </w:t>
      </w:r>
      <w:r w:rsidR="00FA77DD">
        <w:t>Rev.</w:t>
      </w:r>
      <w:r w:rsidR="00504D10">
        <w:t>, a</w:t>
      </w:r>
      <w:r w:rsidR="00420428" w:rsidRPr="00892782">
        <w:t>nnexe II (voir le paragraphe</w:t>
      </w:r>
      <w:r w:rsidR="0034687C">
        <w:t> </w:t>
      </w:r>
      <w:r w:rsidR="00420428" w:rsidRPr="00892782">
        <w:t xml:space="preserve">51 du </w:t>
      </w:r>
      <w:r w:rsidR="005543C3" w:rsidRPr="00892782">
        <w:t>document</w:t>
      </w:r>
      <w:r w:rsidR="005543C3">
        <w:t xml:space="preserve"> TC</w:t>
      </w:r>
      <w:r w:rsidR="00420428" w:rsidRPr="00892782">
        <w:t xml:space="preserve">/48/22 </w:t>
      </w:r>
      <w:r w:rsidR="0034687C">
        <w:t>“</w:t>
      </w:r>
      <w:r w:rsidR="00420428" w:rsidRPr="00892782">
        <w:t>Compte rendu des conclusions</w:t>
      </w:r>
      <w:r w:rsidR="0034687C">
        <w:t>”</w:t>
      </w:r>
      <w:r w:rsidR="00420428" w:rsidRPr="00892782">
        <w:t>).</w:t>
      </w:r>
    </w:p>
    <w:p w:rsidR="00704EB7" w:rsidRDefault="00704EB7" w:rsidP="00704EB7"/>
    <w:p w:rsidR="007E55C9" w:rsidRPr="00892782" w:rsidRDefault="007E55C9" w:rsidP="00704EB7"/>
    <w:p w:rsidR="00704EB7" w:rsidRPr="00892782" w:rsidRDefault="004E1273" w:rsidP="00E26227">
      <w:pPr>
        <w:pStyle w:val="Heading2"/>
      </w:pPr>
      <w:bookmarkStart w:id="10" w:name="_Toc379882672"/>
      <w:r w:rsidRPr="00892782">
        <w:t>Groupes de travail techniques</w:t>
      </w:r>
      <w:bookmarkEnd w:id="10"/>
    </w:p>
    <w:p w:rsidR="00704EB7" w:rsidRPr="00892782" w:rsidRDefault="00704EB7" w:rsidP="00704EB7"/>
    <w:p w:rsidR="00420428" w:rsidRPr="007E55C9" w:rsidRDefault="00C967DE" w:rsidP="00704EB7">
      <w:pPr>
        <w:rPr>
          <w:spacing w:val="-2"/>
        </w:rPr>
      </w:pPr>
      <w:r w:rsidRPr="007E55C9">
        <w:rPr>
          <w:spacing w:val="-2"/>
        </w:rPr>
        <w:fldChar w:fldCharType="begin"/>
      </w:r>
      <w:r w:rsidR="00704EB7" w:rsidRPr="007E55C9">
        <w:rPr>
          <w:spacing w:val="-2"/>
        </w:rPr>
        <w:instrText xml:space="preserve"> AUTONUM  </w:instrText>
      </w:r>
      <w:r w:rsidRPr="007E55C9">
        <w:rPr>
          <w:spacing w:val="-2"/>
        </w:rPr>
        <w:fldChar w:fldCharType="end"/>
      </w:r>
      <w:r w:rsidR="00704EB7" w:rsidRPr="007E55C9">
        <w:rPr>
          <w:spacing w:val="-2"/>
        </w:rPr>
        <w:tab/>
      </w:r>
      <w:r w:rsidR="00420428" w:rsidRPr="007E55C9">
        <w:rPr>
          <w:spacing w:val="-2"/>
        </w:rPr>
        <w:t>À leurs sessions tenues en</w:t>
      </w:r>
      <w:r w:rsidR="0034687C" w:rsidRPr="007E55C9">
        <w:rPr>
          <w:spacing w:val="-2"/>
        </w:rPr>
        <w:t> </w:t>
      </w:r>
      <w:r w:rsidR="00420428" w:rsidRPr="007E55C9">
        <w:rPr>
          <w:spacing w:val="-2"/>
        </w:rPr>
        <w:t>2012,</w:t>
      </w:r>
      <w:r w:rsidR="005543C3" w:rsidRPr="007E55C9">
        <w:rPr>
          <w:spacing w:val="-2"/>
        </w:rPr>
        <w:t xml:space="preserve"> les TWA</w:t>
      </w:r>
      <w:r w:rsidR="00420428" w:rsidRPr="007E55C9">
        <w:rPr>
          <w:spacing w:val="-2"/>
        </w:rPr>
        <w:t>, TWV, TWC, TWF et TWO ont examiné les documents TWA/41/24, TWV/46/24, TWC/30/24, TWF/43/24 et TWO/45/24, respectivement, qui contenaient le texte proposé d</w:t>
      </w:r>
      <w:r w:rsidR="005543C3" w:rsidRPr="007E55C9">
        <w:rPr>
          <w:spacing w:val="-2"/>
        </w:rPr>
        <w:t>’</w:t>
      </w:r>
      <w:r w:rsidR="00420428" w:rsidRPr="007E55C9">
        <w:rPr>
          <w:spacing w:val="-2"/>
        </w:rPr>
        <w:t>une nouvelle section du document TGP/8</w:t>
      </w:r>
      <w:r w:rsidR="00E26227" w:rsidRPr="007E55C9">
        <w:rPr>
          <w:spacing w:val="-2"/>
        </w:rPr>
        <w:t xml:space="preserve"> : </w:t>
      </w:r>
      <w:r w:rsidR="00F56DDB" w:rsidRPr="007E55C9">
        <w:rPr>
          <w:spacing w:val="-2"/>
        </w:rPr>
        <w:t>p</w:t>
      </w:r>
      <w:r w:rsidR="00420428" w:rsidRPr="007E55C9">
        <w:rPr>
          <w:spacing w:val="-2"/>
        </w:rPr>
        <w:t>remière partie</w:t>
      </w:r>
      <w:r w:rsidR="0034687C" w:rsidRPr="007E55C9">
        <w:rPr>
          <w:spacing w:val="-2"/>
        </w:rPr>
        <w:t> :</w:t>
      </w:r>
      <w:r w:rsidR="00420428" w:rsidRPr="007E55C9">
        <w:rPr>
          <w:spacing w:val="-2"/>
        </w:rPr>
        <w:t xml:space="preserve"> </w:t>
      </w:r>
      <w:r w:rsidR="0034687C" w:rsidRPr="007E55C9">
        <w:rPr>
          <w:spacing w:val="-2"/>
        </w:rPr>
        <w:t>“</w:t>
      </w:r>
      <w:r w:rsidR="00420428" w:rsidRPr="007E55C9">
        <w:rPr>
          <w:spacing w:val="-2"/>
        </w:rPr>
        <w:t>Protocole d</w:t>
      </w:r>
      <w:r w:rsidR="005543C3" w:rsidRPr="007E55C9">
        <w:rPr>
          <w:spacing w:val="-2"/>
        </w:rPr>
        <w:t>’</w:t>
      </w:r>
      <w:r w:rsidR="00420428" w:rsidRPr="007E55C9">
        <w:rPr>
          <w:spacing w:val="-2"/>
        </w:rPr>
        <w:t>essai DHS et analyse des</w:t>
      </w:r>
      <w:r w:rsidR="00AD5A98" w:rsidRPr="007E55C9">
        <w:rPr>
          <w:spacing w:val="-2"/>
        </w:rPr>
        <w:t xml:space="preserve"> </w:t>
      </w:r>
      <w:r w:rsidR="00420428" w:rsidRPr="007E55C9">
        <w:rPr>
          <w:spacing w:val="-2"/>
        </w:rPr>
        <w:t>données</w:t>
      </w:r>
      <w:r w:rsidR="0034687C" w:rsidRPr="007E55C9">
        <w:rPr>
          <w:spacing w:val="-2"/>
        </w:rPr>
        <w:t>”</w:t>
      </w:r>
      <w:r w:rsidR="00420428" w:rsidRPr="007E55C9">
        <w:rPr>
          <w:spacing w:val="-2"/>
        </w:rPr>
        <w:t>, intitulée</w:t>
      </w:r>
      <w:r w:rsidR="0034687C" w:rsidRPr="007E55C9">
        <w:rPr>
          <w:spacing w:val="-2"/>
        </w:rPr>
        <w:t> :</w:t>
      </w:r>
      <w:r w:rsidR="00420428" w:rsidRPr="007E55C9">
        <w:rPr>
          <w:spacing w:val="-2"/>
        </w:rPr>
        <w:t xml:space="preserve"> </w:t>
      </w:r>
      <w:r w:rsidR="0034687C" w:rsidRPr="007E55C9">
        <w:rPr>
          <w:spacing w:val="-2"/>
        </w:rPr>
        <w:t>“</w:t>
      </w:r>
      <w:r w:rsidR="00420428" w:rsidRPr="007E55C9">
        <w:rPr>
          <w:spacing w:val="-2"/>
        </w:rPr>
        <w:t>Réduction optimale de la variation due à différents observateurs</w:t>
      </w:r>
      <w:r w:rsidR="0034687C" w:rsidRPr="007E55C9">
        <w:rPr>
          <w:spacing w:val="-2"/>
        </w:rPr>
        <w:t>”</w:t>
      </w:r>
      <w:r w:rsidR="00420428" w:rsidRPr="007E55C9">
        <w:rPr>
          <w:spacing w:val="-2"/>
        </w:rPr>
        <w:t xml:space="preserve"> élaborée par M.</w:t>
      </w:r>
      <w:r w:rsidR="0034687C" w:rsidRPr="007E55C9">
        <w:rPr>
          <w:spacing w:val="-2"/>
        </w:rPr>
        <w:t> </w:t>
      </w:r>
      <w:r w:rsidR="00420428" w:rsidRPr="007E55C9">
        <w:rPr>
          <w:spacing w:val="-2"/>
        </w:rPr>
        <w:t>Gerie van der Heijden (Pays</w:t>
      </w:r>
      <w:r w:rsidR="005543C3" w:rsidRPr="007E55C9">
        <w:rPr>
          <w:spacing w:val="-2"/>
        </w:rPr>
        <w:t>-</w:t>
      </w:r>
      <w:r w:rsidR="00420428" w:rsidRPr="007E55C9">
        <w:rPr>
          <w:spacing w:val="-2"/>
        </w:rPr>
        <w:t>Bas), comme indiqué dans l</w:t>
      </w:r>
      <w:r w:rsidR="005543C3" w:rsidRPr="007E55C9">
        <w:rPr>
          <w:spacing w:val="-2"/>
        </w:rPr>
        <w:t>’</w:t>
      </w:r>
      <w:r w:rsidR="00420428" w:rsidRPr="007E55C9">
        <w:rPr>
          <w:spacing w:val="-2"/>
        </w:rPr>
        <w:t>annexe du présent, et fait les observations suivantes</w:t>
      </w:r>
      <w:r w:rsidR="0034687C" w:rsidRPr="007E55C9">
        <w:rPr>
          <w:spacing w:val="-2"/>
        </w:rPr>
        <w:t> </w:t>
      </w:r>
      <w:r w:rsidR="00420428" w:rsidRPr="007E55C9">
        <w:rPr>
          <w:spacing w:val="-2"/>
        </w:rPr>
        <w:t>:</w:t>
      </w:r>
    </w:p>
    <w:p w:rsidR="00704EB7" w:rsidRPr="00892782" w:rsidRDefault="00704EB7" w:rsidP="00704EB7">
      <w:pPr>
        <w:rPr>
          <w:snapToGrid w:val="0"/>
        </w:rPr>
      </w:pPr>
    </w:p>
    <w:tbl>
      <w:tblPr>
        <w:tblW w:w="9742" w:type="dxa"/>
        <w:tblInd w:w="10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7442"/>
        <w:gridCol w:w="905"/>
      </w:tblGrid>
      <w:tr w:rsidR="00704EB7" w:rsidRPr="00892782" w:rsidTr="00EC3A9C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420428" w:rsidP="00EC3A9C">
            <w:pPr>
              <w:rPr>
                <w:rFonts w:cs="Arial"/>
                <w:sz w:val="22"/>
                <w:szCs w:val="22"/>
              </w:rPr>
            </w:pPr>
            <w:r w:rsidRPr="00892782">
              <w:t>Observations de caractère général</w:t>
            </w:r>
          </w:p>
        </w:tc>
        <w:tc>
          <w:tcPr>
            <w:tcW w:w="7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420428" w:rsidP="00EC3A9C">
            <w:pPr>
              <w:rPr>
                <w:rFonts w:cs="Arial"/>
                <w:sz w:val="22"/>
                <w:szCs w:val="22"/>
              </w:rPr>
            </w:pPr>
            <w:r w:rsidRPr="00892782">
              <w:t xml:space="preserve">Le TWV a examiné le </w:t>
            </w:r>
            <w:r w:rsidR="00704EB7" w:rsidRPr="00892782">
              <w:t xml:space="preserve">document TWV/46/24 </w:t>
            </w:r>
            <w:r w:rsidRPr="00892782">
              <w:t>et souligné l</w:t>
            </w:r>
            <w:r w:rsidR="005543C3">
              <w:t>’</w:t>
            </w:r>
            <w:r w:rsidRPr="00892782">
              <w:t>importance de l</w:t>
            </w:r>
            <w:r w:rsidR="005543C3">
              <w:t>’</w:t>
            </w:r>
            <w:r w:rsidRPr="00892782">
              <w:t>étalonnage de l</w:t>
            </w:r>
            <w:r w:rsidR="005543C3">
              <w:t>’</w:t>
            </w:r>
            <w:r w:rsidRPr="00892782">
              <w:t>observateur (voir le paragraphe</w:t>
            </w:r>
            <w:r w:rsidR="0034687C">
              <w:t> </w:t>
            </w:r>
            <w:r w:rsidRPr="00892782">
              <w:t xml:space="preserve">35 du document TWV/46/41 </w:t>
            </w:r>
            <w:r w:rsidR="0034687C">
              <w:t>“</w:t>
            </w:r>
            <w:r w:rsidRPr="00E26227">
              <w:t>Report</w:t>
            </w:r>
            <w:r w:rsidR="0034687C">
              <w:t>”</w:t>
            </w:r>
            <w:r w:rsidRPr="00892782">
              <w:t>).</w:t>
            </w: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704EB7" w:rsidP="00EC3A9C">
            <w:pPr>
              <w:rPr>
                <w:rFonts w:cs="Arial"/>
                <w:sz w:val="22"/>
                <w:szCs w:val="22"/>
              </w:rPr>
            </w:pPr>
            <w:r w:rsidRPr="00892782">
              <w:t>TWV</w:t>
            </w:r>
          </w:p>
        </w:tc>
      </w:tr>
      <w:tr w:rsidR="00704EB7" w:rsidRPr="00892782" w:rsidTr="00EC3A9C"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704EB7" w:rsidP="00EC3A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420428" w:rsidP="00EC3A9C">
            <w:pPr>
              <w:rPr>
                <w:rFonts w:cs="Arial"/>
                <w:sz w:val="22"/>
                <w:szCs w:val="22"/>
              </w:rPr>
            </w:pPr>
            <w:r w:rsidRPr="00892782">
              <w:t xml:space="preserve">Le TWV a examiné le </w:t>
            </w:r>
            <w:r w:rsidR="00704EB7" w:rsidRPr="00892782">
              <w:t xml:space="preserve">document TWC/30/24 </w:t>
            </w:r>
            <w:r w:rsidRPr="00892782">
              <w:t>et recommandé qu</w:t>
            </w:r>
            <w:r w:rsidR="005543C3">
              <w:t>’</w:t>
            </w:r>
            <w:r w:rsidRPr="00892782">
              <w:t>il soit transmis au</w:t>
            </w:r>
            <w:r w:rsidR="005543C3">
              <w:t> TC</w:t>
            </w:r>
            <w:r w:rsidRPr="00892782">
              <w:t xml:space="preserve"> pour examen en vue de son incorporation dans le document TGP/8 après modification de la dernière phrase de la section</w:t>
            </w:r>
            <w:r w:rsidR="0034687C">
              <w:t> </w:t>
            </w:r>
            <w:r w:rsidRPr="00892782">
              <w:t xml:space="preserve">6.1 qui se lirait </w:t>
            </w:r>
            <w:r w:rsidR="0034687C">
              <w:t>“</w:t>
            </w:r>
            <w:r w:rsidRPr="00E26227">
              <w:t>for systematic differences</w:t>
            </w:r>
            <w:r w:rsidR="0034687C">
              <w:t>”</w:t>
            </w:r>
            <w:r w:rsidRPr="00892782">
              <w:t xml:space="preserve"> (voir le paragraphe</w:t>
            </w:r>
            <w:r w:rsidR="0034687C">
              <w:t> </w:t>
            </w:r>
            <w:r w:rsidRPr="00892782">
              <w:t xml:space="preserve">23 du document TWC/30/41 </w:t>
            </w:r>
            <w:r w:rsidR="0034687C">
              <w:t>“</w:t>
            </w:r>
            <w:r w:rsidRPr="00E26227">
              <w:t>Report</w:t>
            </w:r>
            <w:r w:rsidR="0034687C">
              <w:t>”</w:t>
            </w:r>
            <w:r w:rsidRPr="00892782">
              <w:t>).</w:t>
            </w:r>
          </w:p>
        </w:tc>
        <w:tc>
          <w:tcPr>
            <w:tcW w:w="9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EB7" w:rsidRPr="00892782" w:rsidRDefault="00704EB7" w:rsidP="00EC3A9C">
            <w:pPr>
              <w:rPr>
                <w:rFonts w:cs="Arial"/>
                <w:sz w:val="22"/>
                <w:szCs w:val="22"/>
              </w:rPr>
            </w:pPr>
            <w:r w:rsidRPr="00892782">
              <w:t>TWC</w:t>
            </w:r>
          </w:p>
        </w:tc>
      </w:tr>
    </w:tbl>
    <w:p w:rsidR="00704EB7" w:rsidRDefault="00704EB7" w:rsidP="00E26227"/>
    <w:p w:rsidR="00C55653" w:rsidRPr="00892782" w:rsidRDefault="00C55653" w:rsidP="00E26227"/>
    <w:p w:rsidR="007E55C9" w:rsidRPr="00892782" w:rsidRDefault="007E55C9" w:rsidP="00E26227"/>
    <w:p w:rsidR="00704EB7" w:rsidRPr="00504D10" w:rsidRDefault="00AD5A98" w:rsidP="00E26227">
      <w:pPr>
        <w:pStyle w:val="Heading1"/>
      </w:pPr>
      <w:bookmarkStart w:id="11" w:name="_Toc379882673"/>
      <w:r>
        <w:t xml:space="preserve">faits nouveaux </w:t>
      </w:r>
      <w:r w:rsidR="00420428" w:rsidRPr="00504D10">
        <w:t>e</w:t>
      </w:r>
      <w:r>
        <w:t>N</w:t>
      </w:r>
      <w:r w:rsidR="0034687C" w:rsidRPr="00504D10">
        <w:t> </w:t>
      </w:r>
      <w:r w:rsidR="00704EB7" w:rsidRPr="00504D10">
        <w:t>2013</w:t>
      </w:r>
      <w:bookmarkEnd w:id="11"/>
    </w:p>
    <w:p w:rsidR="00704EB7" w:rsidRPr="00892782" w:rsidRDefault="00704EB7" w:rsidP="00704EB7"/>
    <w:p w:rsidR="005543C3" w:rsidRPr="00E26227" w:rsidRDefault="004E1273" w:rsidP="00E26227">
      <w:pPr>
        <w:pStyle w:val="Heading2"/>
      </w:pPr>
      <w:bookmarkStart w:id="12" w:name="_Toc379882674"/>
      <w:r w:rsidRPr="00E26227">
        <w:t>Comité de rédaction élargi</w:t>
      </w:r>
      <w:bookmarkEnd w:id="12"/>
    </w:p>
    <w:p w:rsidR="00704EB7" w:rsidRPr="00892782" w:rsidRDefault="00704EB7" w:rsidP="00704EB7"/>
    <w:p w:rsidR="00704EB7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9846FE" w:rsidRPr="00892782">
        <w:t>À sa réunion tenue à Genève les 9 et 1</w:t>
      </w:r>
      <w:r w:rsidR="005543C3" w:rsidRPr="00892782">
        <w:t>0</w:t>
      </w:r>
      <w:r w:rsidR="005543C3">
        <w:t> </w:t>
      </w:r>
      <w:r w:rsidR="005543C3" w:rsidRPr="00892782">
        <w:t>janvier</w:t>
      </w:r>
      <w:r w:rsidR="005543C3">
        <w:t> </w:t>
      </w:r>
      <w:r w:rsidR="005543C3" w:rsidRPr="00892782">
        <w:t>20</w:t>
      </w:r>
      <w:r w:rsidR="00704EB7" w:rsidRPr="00892782">
        <w:t xml:space="preserve">13, </w:t>
      </w:r>
      <w:r w:rsidR="009846FE" w:rsidRPr="00892782">
        <w:t>le</w:t>
      </w:r>
      <w:r w:rsidR="005543C3">
        <w:t> TC-EDC</w:t>
      </w:r>
      <w:r w:rsidR="009846FE" w:rsidRPr="00892782">
        <w:t xml:space="preserve"> a examiné le </w:t>
      </w:r>
      <w:r w:rsidR="005543C3" w:rsidRPr="00892782">
        <w:t>document</w:t>
      </w:r>
      <w:r w:rsidR="005543C3">
        <w:t xml:space="preserve"> TC</w:t>
      </w:r>
      <w:r w:rsidR="00E26227" w:rsidRPr="003961D4">
        <w:noBreakHyphen/>
      </w:r>
      <w:r w:rsidR="005543C3">
        <w:t>EDC</w:t>
      </w:r>
      <w:r w:rsidR="00704EB7" w:rsidRPr="00892782">
        <w:t xml:space="preserve">/Jan 13/9 </w:t>
      </w:r>
      <w:r w:rsidR="0034687C">
        <w:t>“</w:t>
      </w:r>
      <w:r w:rsidR="009846FE" w:rsidRPr="00892782">
        <w:t>Révision du document TGP/8</w:t>
      </w:r>
      <w:r w:rsidR="0034687C">
        <w:t> </w:t>
      </w:r>
      <w:r w:rsidR="00F56DDB">
        <w:t>: p</w:t>
      </w:r>
      <w:r w:rsidR="009846FE" w:rsidRPr="00892782">
        <w:t>remière partie</w:t>
      </w:r>
      <w:r w:rsidR="0034687C">
        <w:t> </w:t>
      </w:r>
      <w:r w:rsidR="009846FE" w:rsidRPr="00892782">
        <w:t>: Protocole d</w:t>
      </w:r>
      <w:r w:rsidR="005543C3">
        <w:t>’</w:t>
      </w:r>
      <w:r w:rsidR="009846FE" w:rsidRPr="00892782">
        <w:t>essai DHS et analyse des</w:t>
      </w:r>
      <w:r w:rsidR="00AD5A98">
        <w:t xml:space="preserve"> </w:t>
      </w:r>
      <w:r w:rsidR="00E26227">
        <w:t>données, n</w:t>
      </w:r>
      <w:r w:rsidR="009846FE" w:rsidRPr="00892782">
        <w:t>ouvelle section</w:t>
      </w:r>
      <w:r w:rsidR="0034687C">
        <w:t> </w:t>
      </w:r>
      <w:r w:rsidR="009846FE" w:rsidRPr="00892782">
        <w:t>: Réduction optimale de la variation due à différents observateurs</w:t>
      </w:r>
      <w:r w:rsidR="00E26227">
        <w:t>”</w:t>
      </w:r>
      <w:r w:rsidR="009846FE" w:rsidRPr="00892782">
        <w:t>, et fait les</w:t>
      </w:r>
      <w:r w:rsidR="00AD5A98">
        <w:t xml:space="preserve"> </w:t>
      </w:r>
      <w:r w:rsidR="009846FE" w:rsidRPr="00892782">
        <w:t>observations suivantes</w:t>
      </w:r>
      <w:r w:rsidR="0034687C">
        <w:t> </w:t>
      </w:r>
      <w:r w:rsidR="009846FE" w:rsidRPr="00892782">
        <w:t>:</w:t>
      </w:r>
    </w:p>
    <w:p w:rsidR="00704EB7" w:rsidRPr="00892782" w:rsidRDefault="00704EB7" w:rsidP="00704EB7"/>
    <w:tbl>
      <w:tblPr>
        <w:tblW w:w="9720" w:type="dxa"/>
        <w:tblInd w:w="10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8062"/>
      </w:tblGrid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420428" w:rsidP="00AD5A98">
            <w:pPr>
              <w:jc w:val="left"/>
              <w:rPr>
                <w:rFonts w:cs="Arial"/>
              </w:rPr>
            </w:pPr>
            <w:r w:rsidRPr="00892782">
              <w:t>Observation de</w:t>
            </w:r>
            <w:r w:rsidR="00AD5A98">
              <w:t> </w:t>
            </w:r>
            <w:r w:rsidRPr="00892782">
              <w:t>caractère général</w:t>
            </w:r>
          </w:p>
        </w:tc>
        <w:tc>
          <w:tcPr>
            <w:tcW w:w="8062" w:type="dxa"/>
          </w:tcPr>
          <w:p w:rsidR="00704EB7" w:rsidRPr="00892782" w:rsidRDefault="00420428" w:rsidP="00E26227">
            <w:pPr>
              <w:keepNext/>
              <w:rPr>
                <w:rFonts w:cs="Arial"/>
              </w:rPr>
            </w:pPr>
            <w:r w:rsidRPr="00892782">
              <w:t>Le document devrait également couvrir les caractères PQ (comme par exemple la</w:t>
            </w:r>
            <w:r w:rsidR="00AD5A98">
              <w:t xml:space="preserve"> </w:t>
            </w:r>
            <w:r w:rsidRPr="00892782">
              <w:t>couleur et la forme).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4E1273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lastRenderedPageBreak/>
              <w:t>Titr</w:t>
            </w:r>
            <w:r w:rsidR="00704EB7" w:rsidRPr="00892782">
              <w:rPr>
                <w:rFonts w:cs="Arial"/>
              </w:rPr>
              <w:t>e</w:t>
            </w:r>
          </w:p>
        </w:tc>
        <w:tc>
          <w:tcPr>
            <w:tcW w:w="8062" w:type="dxa"/>
          </w:tcPr>
          <w:p w:rsidR="00704EB7" w:rsidRPr="00892782" w:rsidRDefault="009846FE" w:rsidP="009846FE">
            <w:pPr>
              <w:keepNext/>
              <w:rPr>
                <w:rFonts w:cs="Arial"/>
              </w:rPr>
            </w:pPr>
            <w:r w:rsidRPr="00892782">
              <w:rPr>
                <w:rFonts w:cs="Arial"/>
              </w:rPr>
              <w:t>Libeller</w:t>
            </w:r>
            <w:r w:rsidR="0034687C">
              <w:rPr>
                <w:rFonts w:cs="Arial"/>
              </w:rPr>
              <w:t> </w:t>
            </w:r>
            <w:r w:rsidR="00704EB7" w:rsidRPr="00892782">
              <w:rPr>
                <w:rFonts w:cs="Arial"/>
              </w:rPr>
              <w:t xml:space="preserve">: </w:t>
            </w:r>
            <w:r w:rsidRPr="00892782">
              <w:rPr>
                <w:rFonts w:cs="Arial"/>
                <w:color w:val="000000"/>
              </w:rPr>
              <w:t>RÉVISION DU DOCUMENT TGP/8</w:t>
            </w:r>
            <w:r w:rsidR="00E26227">
              <w:rPr>
                <w:rFonts w:cs="Arial"/>
                <w:color w:val="000000"/>
              </w:rPr>
              <w:t xml:space="preserve"> : </w:t>
            </w:r>
            <w:r w:rsidRPr="00892782">
              <w:rPr>
                <w:rFonts w:cs="Arial"/>
                <w:color w:val="000000"/>
              </w:rPr>
              <w:t>PREMIÈRE PARTIE</w:t>
            </w:r>
            <w:r w:rsidR="0034687C">
              <w:rPr>
                <w:rFonts w:cs="Arial"/>
                <w:color w:val="000000"/>
              </w:rPr>
              <w:t> </w:t>
            </w:r>
            <w:r w:rsidRPr="00892782">
              <w:rPr>
                <w:rFonts w:cs="Arial"/>
                <w:color w:val="000000"/>
              </w:rPr>
              <w:t xml:space="preserve">: </w:t>
            </w:r>
            <w:r w:rsidRPr="00892782">
              <w:rPr>
                <w:rFonts w:cs="Arial"/>
              </w:rPr>
              <w:t>PROTOCOLE D</w:t>
            </w:r>
            <w:r w:rsidR="005543C3">
              <w:rPr>
                <w:rFonts w:cs="Arial"/>
              </w:rPr>
              <w:t>’</w:t>
            </w:r>
            <w:r w:rsidRPr="00892782">
              <w:rPr>
                <w:rFonts w:cs="Arial"/>
              </w:rPr>
              <w:t xml:space="preserve">ESSAI DHS ET ANALYSE DES DONNÉES, </w:t>
            </w:r>
            <w:r w:rsidRPr="00892782">
              <w:rPr>
                <w:rFonts w:cs="Arial"/>
                <w:color w:val="000000"/>
              </w:rPr>
              <w:t>NOUVELLE SECTION</w:t>
            </w:r>
            <w:r w:rsidR="0034687C">
              <w:rPr>
                <w:rFonts w:cs="Arial"/>
                <w:color w:val="000000"/>
              </w:rPr>
              <w:t> </w:t>
            </w:r>
            <w:r w:rsidRPr="00892782">
              <w:rPr>
                <w:rFonts w:cs="Arial"/>
                <w:color w:val="000000"/>
              </w:rPr>
              <w:t xml:space="preserve">: </w:t>
            </w:r>
            <w:r w:rsidRPr="00892782">
              <w:rPr>
                <w:rFonts w:cs="Arial"/>
              </w:rPr>
              <w:t>RÉDUCTION OPTIMALE DE LA VARIATION DUE À DIFFÉRENTS</w:t>
            </w:r>
            <w:r w:rsidRPr="00892782">
              <w:t xml:space="preserve"> OBSERVATEURS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26227">
            <w:pPr>
              <w:keepNext/>
              <w:keepLines/>
              <w:rPr>
                <w:rFonts w:cs="Arial"/>
              </w:rPr>
            </w:pPr>
            <w:r w:rsidRPr="00892782">
              <w:rPr>
                <w:rFonts w:cs="Arial"/>
              </w:rPr>
              <w:t>Annex</w:t>
            </w:r>
            <w:r w:rsidR="004E1273" w:rsidRPr="00892782">
              <w:rPr>
                <w:rFonts w:cs="Arial"/>
              </w:rPr>
              <w:t>e</w:t>
            </w:r>
            <w:r w:rsidRPr="00892782">
              <w:rPr>
                <w:rFonts w:cs="Arial"/>
              </w:rPr>
              <w:t>, paragraph</w:t>
            </w:r>
            <w:r w:rsidR="004E1273" w:rsidRPr="00892782">
              <w:rPr>
                <w:rFonts w:cs="Arial"/>
              </w:rPr>
              <w:t>e</w:t>
            </w:r>
            <w:r w:rsidR="0034687C">
              <w:rPr>
                <w:rFonts w:cs="Arial"/>
              </w:rPr>
              <w:t> </w:t>
            </w:r>
            <w:r w:rsidRPr="00892782">
              <w:rPr>
                <w:rFonts w:cs="Arial"/>
              </w:rPr>
              <w:t>1</w:t>
            </w:r>
          </w:p>
        </w:tc>
        <w:tc>
          <w:tcPr>
            <w:tcW w:w="8062" w:type="dxa"/>
          </w:tcPr>
          <w:p w:rsidR="00704EB7" w:rsidRPr="00892782" w:rsidRDefault="009846FE" w:rsidP="00EC3A9C">
            <w:pPr>
              <w:rPr>
                <w:rFonts w:cs="Arial"/>
              </w:rPr>
            </w:pPr>
            <w:r w:rsidRPr="00892782">
              <w:t>Référence devrait être faite non seulement aux QN/MS mais aussi aux QN/MG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4E1273">
            <w:pPr>
              <w:rPr>
                <w:rFonts w:cs="Arial"/>
              </w:rPr>
            </w:pPr>
            <w:r w:rsidRPr="00892782">
              <w:rPr>
                <w:rFonts w:cs="Arial"/>
              </w:rPr>
              <w:t>Annex</w:t>
            </w:r>
            <w:r w:rsidR="004E1273" w:rsidRPr="00892782">
              <w:rPr>
                <w:rFonts w:cs="Arial"/>
              </w:rPr>
              <w:t>e</w:t>
            </w:r>
            <w:r w:rsidRPr="00892782">
              <w:rPr>
                <w:rFonts w:cs="Arial"/>
              </w:rPr>
              <w:t>, paragraph</w:t>
            </w:r>
            <w:r w:rsidR="004E1273" w:rsidRPr="00892782">
              <w:rPr>
                <w:rFonts w:cs="Arial"/>
              </w:rPr>
              <w:t>e</w:t>
            </w:r>
            <w:r w:rsidR="0034687C">
              <w:rPr>
                <w:rFonts w:cs="Arial"/>
              </w:rPr>
              <w:t> </w:t>
            </w:r>
            <w:r w:rsidRPr="00892782">
              <w:rPr>
                <w:rFonts w:cs="Arial"/>
              </w:rPr>
              <w:t>1.1</w:t>
            </w:r>
          </w:p>
        </w:tc>
        <w:tc>
          <w:tcPr>
            <w:tcW w:w="8062" w:type="dxa"/>
          </w:tcPr>
          <w:p w:rsidR="00704EB7" w:rsidRPr="00892782" w:rsidRDefault="009846FE" w:rsidP="00E26227">
            <w:pPr>
              <w:rPr>
                <w:rFonts w:cs="Arial"/>
              </w:rPr>
            </w:pPr>
            <w:r w:rsidRPr="00892782">
              <w:rPr>
                <w:rFonts w:cs="Arial"/>
              </w:rPr>
              <w:t>Libeller</w:t>
            </w:r>
            <w:r w:rsidR="0034687C">
              <w:rPr>
                <w:rFonts w:cs="Arial"/>
              </w:rPr>
              <w:t> :</w:t>
            </w:r>
            <w:r w:rsidRPr="00892782">
              <w:rPr>
                <w:rFonts w:cs="Arial"/>
              </w:rPr>
              <w:t xml:space="preserve"> </w:t>
            </w:r>
            <w:r w:rsidR="0034687C">
              <w:rPr>
                <w:rFonts w:cs="Arial"/>
              </w:rPr>
              <w:t>“</w:t>
            </w:r>
            <w:r w:rsidRPr="00892782">
              <w:rPr>
                <w:rFonts w:cs="Arial"/>
              </w:rPr>
              <w:t>Par conséquent, lorsque l</w:t>
            </w:r>
            <w:r w:rsidR="005543C3">
              <w:rPr>
                <w:rFonts w:cs="Arial"/>
              </w:rPr>
              <w:t>’</w:t>
            </w:r>
            <w:r w:rsidRPr="00892782">
              <w:rPr>
                <w:rFonts w:cs="Arial"/>
              </w:rPr>
              <w:t xml:space="preserve">observateur A </w:t>
            </w:r>
            <w:r w:rsidRPr="00E26227">
              <w:rPr>
                <w:rFonts w:cs="Arial"/>
                <w:highlight w:val="lightGray"/>
              </w:rPr>
              <w:t xml:space="preserve">évalue </w:t>
            </w:r>
            <w:r w:rsidRPr="00E26227">
              <w:rPr>
                <w:rFonts w:cs="Arial"/>
                <w:strike/>
                <w:highlight w:val="lightGray"/>
              </w:rPr>
              <w:t>mesure</w:t>
            </w:r>
            <w:r w:rsidRPr="00892782">
              <w:rPr>
                <w:rFonts w:cs="Arial"/>
              </w:rPr>
              <w:t xml:space="preserve"> la </w:t>
            </w:r>
            <w:r w:rsidRPr="00892782">
              <w:t>variété 1 et l</w:t>
            </w:r>
            <w:r w:rsidR="005543C3">
              <w:t>’</w:t>
            </w:r>
            <w:r w:rsidRPr="00892782">
              <w:t xml:space="preserve">observateur B la variété 2, la différence </w:t>
            </w:r>
            <w:r w:rsidRPr="00E26227">
              <w:rPr>
                <w:highlight w:val="lightGray"/>
              </w:rPr>
              <w:t xml:space="preserve">observée </w:t>
            </w:r>
            <w:r w:rsidRPr="00E26227">
              <w:rPr>
                <w:strike/>
                <w:highlight w:val="lightGray"/>
              </w:rPr>
              <w:t>mesurée</w:t>
            </w:r>
            <w:r w:rsidRPr="00892782">
              <w:t xml:space="preserve"> peut s</w:t>
            </w:r>
            <w:r w:rsidR="005543C3">
              <w:t>’</w:t>
            </w:r>
            <w:r w:rsidRPr="00892782">
              <w:t>expliquer par des</w:t>
            </w:r>
            <w:r w:rsidR="00E26227">
              <w:t> </w:t>
            </w:r>
            <w:r w:rsidRPr="00892782">
              <w:t>différences entre observateurs A et B au lieu de différences entre variétés 1 et 2.  Il</w:t>
            </w:r>
            <w:r w:rsidR="00E26227">
              <w:t> </w:t>
            </w:r>
            <w:r w:rsidRPr="00892782">
              <w:t>ne fait aucun doute que nous nous intéressons principalement aux différences entre variétés et non aux différences entre observateurs.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4E1273">
            <w:pPr>
              <w:keepNext/>
              <w:rPr>
                <w:rFonts w:cs="Arial"/>
              </w:rPr>
            </w:pPr>
            <w:r w:rsidRPr="00892782">
              <w:rPr>
                <w:rFonts w:cs="Arial"/>
              </w:rPr>
              <w:t>Annex</w:t>
            </w:r>
            <w:r w:rsidR="004E1273" w:rsidRPr="00892782">
              <w:rPr>
                <w:rFonts w:cs="Arial"/>
              </w:rPr>
              <w:t>e</w:t>
            </w:r>
            <w:r w:rsidRPr="00892782">
              <w:rPr>
                <w:rFonts w:cs="Arial"/>
              </w:rPr>
              <w:t>, paragraph</w:t>
            </w:r>
            <w:r w:rsidR="004E1273" w:rsidRPr="00892782">
              <w:rPr>
                <w:rFonts w:cs="Arial"/>
              </w:rPr>
              <w:t>e</w:t>
            </w:r>
            <w:r w:rsidRPr="00892782">
              <w:rPr>
                <w:rFonts w:cs="Arial"/>
              </w:rPr>
              <w:t>s</w:t>
            </w:r>
            <w:r w:rsidR="0034687C">
              <w:rPr>
                <w:rFonts w:cs="Arial"/>
              </w:rPr>
              <w:t> </w:t>
            </w:r>
            <w:r w:rsidRPr="00892782">
              <w:rPr>
                <w:rFonts w:cs="Arial"/>
              </w:rPr>
              <w:t xml:space="preserve">2.1 </w:t>
            </w:r>
            <w:r w:rsidR="004E1273" w:rsidRPr="00892782">
              <w:rPr>
                <w:rFonts w:cs="Arial"/>
              </w:rPr>
              <w:t>et</w:t>
            </w:r>
            <w:r w:rsidRPr="00892782">
              <w:rPr>
                <w:rFonts w:cs="Arial"/>
              </w:rPr>
              <w:t xml:space="preserve"> 2.2</w:t>
            </w:r>
          </w:p>
        </w:tc>
        <w:tc>
          <w:tcPr>
            <w:tcW w:w="8062" w:type="dxa"/>
            <w:vAlign w:val="center"/>
          </w:tcPr>
          <w:p w:rsidR="00704EB7" w:rsidRPr="00892782" w:rsidRDefault="009846FE" w:rsidP="00E26227">
            <w:pPr>
              <w:keepNext/>
              <w:jc w:val="left"/>
              <w:rPr>
                <w:rFonts w:cs="Arial"/>
              </w:rPr>
            </w:pPr>
            <w:r w:rsidRPr="00892782">
              <w:rPr>
                <w:rFonts w:cs="Arial"/>
              </w:rPr>
              <w:t>Corriger la numérotation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t>2.1</w:t>
            </w:r>
          </w:p>
        </w:tc>
        <w:tc>
          <w:tcPr>
            <w:tcW w:w="8062" w:type="dxa"/>
          </w:tcPr>
          <w:p w:rsidR="00704EB7" w:rsidRPr="00892782" w:rsidRDefault="009846FE" w:rsidP="00EC3A9C">
            <w:pPr>
              <w:rPr>
                <w:rFonts w:cs="Arial"/>
              </w:rPr>
            </w:pPr>
            <w:r w:rsidRPr="00892782">
              <w:t>La dernière phrase devrait être supprimée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t>3.1</w:t>
            </w:r>
          </w:p>
        </w:tc>
        <w:tc>
          <w:tcPr>
            <w:tcW w:w="8062" w:type="dxa"/>
          </w:tcPr>
          <w:p w:rsidR="00704EB7" w:rsidRPr="00892782" w:rsidRDefault="009846FE" w:rsidP="00E26227">
            <w:pPr>
              <w:rPr>
                <w:rFonts w:cs="Arial"/>
              </w:rPr>
            </w:pPr>
            <w:r w:rsidRPr="00892782">
              <w:rPr>
                <w:rFonts w:cs="Arial"/>
              </w:rPr>
              <w:t>Libeller</w:t>
            </w:r>
            <w:r w:rsidR="0034687C">
              <w:rPr>
                <w:rFonts w:cs="Arial"/>
              </w:rPr>
              <w:t> :</w:t>
            </w:r>
            <w:r w:rsidRPr="00892782">
              <w:rPr>
                <w:rFonts w:cs="Arial"/>
              </w:rPr>
              <w:t xml:space="preserve"> </w:t>
            </w:r>
            <w:r w:rsidR="0034687C">
              <w:rPr>
                <w:rFonts w:cs="Arial"/>
              </w:rPr>
              <w:t>“</w:t>
            </w:r>
            <w:r w:rsidRPr="00892782">
              <w:t>Après la formation d</w:t>
            </w:r>
            <w:r w:rsidR="005543C3">
              <w:t>’</w:t>
            </w:r>
            <w:r w:rsidRPr="00892782">
              <w:t>un observateur, l</w:t>
            </w:r>
            <w:r w:rsidR="005543C3">
              <w:t>’</w:t>
            </w:r>
            <w:r w:rsidRPr="00892782">
              <w:t>étape suivante consiste à vérifier les</w:t>
            </w:r>
            <w:r w:rsidR="00E26227">
              <w:t> </w:t>
            </w:r>
            <w:r w:rsidRPr="00892782">
              <w:t>acquisitions des observateurs dans le cadre d</w:t>
            </w:r>
            <w:r w:rsidR="005543C3">
              <w:t>’</w:t>
            </w:r>
            <w:r w:rsidRPr="00892782">
              <w:t>un essai d</w:t>
            </w:r>
            <w:r w:rsidR="005543C3">
              <w:t>’</w:t>
            </w:r>
            <w:r w:rsidRPr="00892782">
              <w:t>étalonnage.  C</w:t>
            </w:r>
            <w:r w:rsidR="005543C3">
              <w:t>’</w:t>
            </w:r>
            <w:r w:rsidRPr="00892782">
              <w:t xml:space="preserve">est particulièrement utile pour les observateurs inexpérimentés qui doivent procéder à des observations visuelles (caractères QN/VG </w:t>
            </w:r>
            <w:r w:rsidRPr="00E26227">
              <w:rPr>
                <w:highlight w:val="lightGray"/>
                <w:u w:val="single"/>
              </w:rPr>
              <w:t>et QN/VS</w:t>
            </w:r>
            <w:r w:rsidRPr="00892782">
              <w:t>).  S</w:t>
            </w:r>
            <w:r w:rsidR="005543C3">
              <w:t>’</w:t>
            </w:r>
            <w:r w:rsidRPr="00892782">
              <w:t xml:space="preserve">ils se livrent à des observations </w:t>
            </w:r>
            <w:r w:rsidRPr="00E26227">
              <w:rPr>
                <w:highlight w:val="lightGray"/>
              </w:rPr>
              <w:t xml:space="preserve">visuelles </w:t>
            </w:r>
            <w:r w:rsidRPr="00E26227">
              <w:rPr>
                <w:strike/>
                <w:highlight w:val="lightGray"/>
              </w:rPr>
              <w:t>VG</w:t>
            </w:r>
            <w:r w:rsidRPr="00892782">
              <w:t>, ils devraient de préférence faire un essai d</w:t>
            </w:r>
            <w:r w:rsidR="005543C3">
              <w:t>’</w:t>
            </w:r>
            <w:r w:rsidRPr="00892782">
              <w:t>étalonnage avant de formuler des observations durant l</w:t>
            </w:r>
            <w:r w:rsidR="005543C3">
              <w:t>’</w:t>
            </w:r>
            <w:r w:rsidRPr="00892782">
              <w:t>essai.  Mais il est aussi important que les observateurs expérimentés vérifient eux</w:t>
            </w:r>
            <w:r w:rsidR="005543C3">
              <w:t>-</w:t>
            </w:r>
            <w:r w:rsidRPr="00892782">
              <w:t>mêmes leurs connaissances régulièrement pour s</w:t>
            </w:r>
            <w:r w:rsidR="005543C3">
              <w:t>’</w:t>
            </w:r>
            <w:r w:rsidRPr="00892782">
              <w:t>assurer qu</w:t>
            </w:r>
            <w:r w:rsidR="005543C3">
              <w:t>’</w:t>
            </w:r>
            <w:r w:rsidRPr="00892782">
              <w:t>ils satisfont toujours aux critères d</w:t>
            </w:r>
            <w:r w:rsidR="005543C3">
              <w:t>’</w:t>
            </w:r>
            <w:r w:rsidRPr="00892782">
              <w:t>étalonnage.</w:t>
            </w:r>
            <w:r w:rsidR="0034687C">
              <w:t xml:space="preserve">  “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t>3.3</w:t>
            </w:r>
          </w:p>
        </w:tc>
        <w:tc>
          <w:tcPr>
            <w:tcW w:w="8062" w:type="dxa"/>
          </w:tcPr>
          <w:p w:rsidR="00704EB7" w:rsidRPr="00892782" w:rsidRDefault="009846FE" w:rsidP="00EC3A9C">
            <w:pPr>
              <w:rPr>
                <w:rFonts w:cs="Arial"/>
              </w:rPr>
            </w:pPr>
            <w:r w:rsidRPr="00892782">
              <w:t>Supprimer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t>4.</w:t>
            </w:r>
          </w:p>
        </w:tc>
        <w:tc>
          <w:tcPr>
            <w:tcW w:w="8062" w:type="dxa"/>
          </w:tcPr>
          <w:p w:rsidR="00704EB7" w:rsidRPr="00892782" w:rsidRDefault="009846FE" w:rsidP="00EC3A9C">
            <w:pPr>
              <w:rPr>
                <w:rFonts w:cs="Arial"/>
              </w:rPr>
            </w:pPr>
            <w:r w:rsidRPr="00892782">
              <w:t>Libeller</w:t>
            </w:r>
            <w:r w:rsidR="0034687C">
              <w:t> :</w:t>
            </w:r>
            <w:r w:rsidRPr="00892782">
              <w:t xml:space="preserve"> </w:t>
            </w:r>
            <w:r w:rsidR="0034687C">
              <w:t>“</w:t>
            </w:r>
            <w:r w:rsidRPr="00892782">
              <w:t>Essai d</w:t>
            </w:r>
            <w:r w:rsidR="005543C3">
              <w:t>’</w:t>
            </w:r>
            <w:r w:rsidRPr="00892782">
              <w:t xml:space="preserve">étalonnage pour les caractères </w:t>
            </w:r>
            <w:r w:rsidRPr="00E26227">
              <w:rPr>
                <w:highlight w:val="lightGray"/>
              </w:rPr>
              <w:t>QN/MG ou</w:t>
            </w:r>
            <w:r w:rsidRPr="00892782">
              <w:t xml:space="preserve"> QN/MS</w:t>
            </w:r>
            <w:r w:rsidR="0034687C">
              <w:t>”</w:t>
            </w:r>
          </w:p>
        </w:tc>
      </w:tr>
      <w:tr w:rsidR="00704EB7" w:rsidRPr="00892782" w:rsidTr="007E55C9">
        <w:trPr>
          <w:cantSplit/>
        </w:trPr>
        <w:tc>
          <w:tcPr>
            <w:tcW w:w="1658" w:type="dxa"/>
          </w:tcPr>
          <w:p w:rsidR="00704EB7" w:rsidRPr="00892782" w:rsidRDefault="00704EB7" w:rsidP="00EC3A9C">
            <w:pPr>
              <w:rPr>
                <w:rFonts w:cs="Arial"/>
              </w:rPr>
            </w:pPr>
            <w:r w:rsidRPr="00892782">
              <w:rPr>
                <w:rFonts w:cs="Arial"/>
              </w:rPr>
              <w:t>4.1</w:t>
            </w:r>
          </w:p>
        </w:tc>
        <w:tc>
          <w:tcPr>
            <w:tcW w:w="8062" w:type="dxa"/>
          </w:tcPr>
          <w:p w:rsidR="00704EB7" w:rsidRPr="00892782" w:rsidRDefault="009846FE" w:rsidP="00EC3A9C">
            <w:pPr>
              <w:rPr>
                <w:rFonts w:cs="Arial"/>
              </w:rPr>
            </w:pPr>
            <w:r w:rsidRPr="00892782">
              <w:t>Ajouter une ligne en blanc après le paragraphe.</w:t>
            </w:r>
          </w:p>
        </w:tc>
      </w:tr>
    </w:tbl>
    <w:p w:rsidR="004E1273" w:rsidRDefault="004E1273" w:rsidP="00AD5A98"/>
    <w:p w:rsidR="00AD5A98" w:rsidRPr="00892782" w:rsidRDefault="00AD5A98" w:rsidP="00AD5A98"/>
    <w:p w:rsidR="00704EB7" w:rsidRPr="00892782" w:rsidRDefault="004E1273" w:rsidP="00E26227">
      <w:pPr>
        <w:pStyle w:val="Heading2"/>
      </w:pPr>
      <w:bookmarkStart w:id="13" w:name="_Toc379882675"/>
      <w:r w:rsidRPr="00892782">
        <w:t>Comité technique</w:t>
      </w:r>
      <w:bookmarkEnd w:id="13"/>
    </w:p>
    <w:p w:rsidR="00704EB7" w:rsidRPr="00892782" w:rsidRDefault="00704EB7" w:rsidP="00704EB7"/>
    <w:p w:rsidR="001130D1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1130D1" w:rsidRPr="00892782">
        <w:t>À sa quarante</w:t>
      </w:r>
      <w:r w:rsidR="005543C3">
        <w:t>-</w:t>
      </w:r>
      <w:r w:rsidR="001130D1" w:rsidRPr="00892782">
        <w:t>neuvième</w:t>
      </w:r>
      <w:r w:rsidR="0034687C">
        <w:t> </w:t>
      </w:r>
      <w:r w:rsidR="001130D1" w:rsidRPr="00892782">
        <w:t>session, tenue à Genève du 18 au 2</w:t>
      </w:r>
      <w:r w:rsidR="005543C3" w:rsidRPr="00892782">
        <w:t>0</w:t>
      </w:r>
      <w:r w:rsidR="005543C3">
        <w:t> </w:t>
      </w:r>
      <w:r w:rsidR="005543C3" w:rsidRPr="00892782">
        <w:t>mars</w:t>
      </w:r>
      <w:r w:rsidR="005543C3">
        <w:t> </w:t>
      </w:r>
      <w:r w:rsidR="005543C3" w:rsidRPr="00892782">
        <w:t>20</w:t>
      </w:r>
      <w:r w:rsidR="001130D1" w:rsidRPr="00892782">
        <w:t>13, le Comité technique (TC) a examiné la ve</w:t>
      </w:r>
      <w:r w:rsidR="00E26227">
        <w:t>rsion révisée du document TGP/8 :</w:t>
      </w:r>
      <w:r w:rsidR="00D55670">
        <w:t xml:space="preserve"> p</w:t>
      </w:r>
      <w:r w:rsidR="001130D1" w:rsidRPr="00892782">
        <w:t xml:space="preserve">remière partie </w:t>
      </w:r>
      <w:r w:rsidR="0034687C">
        <w:t>“</w:t>
      </w:r>
      <w:r w:rsidR="001130D1" w:rsidRPr="00892782">
        <w:t>Protocole d</w:t>
      </w:r>
      <w:r w:rsidR="005543C3">
        <w:t>’</w:t>
      </w:r>
      <w:r w:rsidR="001130D1" w:rsidRPr="00892782">
        <w:t>essai et techniques utilisés dans l</w:t>
      </w:r>
      <w:r w:rsidR="005543C3">
        <w:t>’</w:t>
      </w:r>
      <w:r w:rsidR="001130D1" w:rsidRPr="00892782">
        <w:t>examen de la distinction, de l</w:t>
      </w:r>
      <w:r w:rsidR="005543C3">
        <w:t>’</w:t>
      </w:r>
      <w:r w:rsidR="001130D1" w:rsidRPr="00892782">
        <w:t>homogénéité et de la stabilité</w:t>
      </w:r>
      <w:r w:rsidR="0034687C">
        <w:t>”</w:t>
      </w:r>
      <w:r w:rsidR="001130D1" w:rsidRPr="00892782">
        <w:t xml:space="preserve"> sur la base du </w:t>
      </w:r>
      <w:r w:rsidR="005543C3" w:rsidRPr="00892782">
        <w:t>document</w:t>
      </w:r>
      <w:r w:rsidR="005543C3">
        <w:t xml:space="preserve"> TC</w:t>
      </w:r>
      <w:r w:rsidR="001130D1" w:rsidRPr="00892782">
        <w:t>/49/22</w:t>
      </w:r>
      <w:r w:rsidR="0034687C">
        <w:t> :</w:t>
      </w:r>
      <w:r w:rsidR="001130D1" w:rsidRPr="00892782">
        <w:t xml:space="preserve"> </w:t>
      </w:r>
      <w:r w:rsidR="0034687C">
        <w:t>“</w:t>
      </w:r>
      <w:r w:rsidR="001130D1" w:rsidRPr="00892782">
        <w:t>Révision du document TGP/8</w:t>
      </w:r>
      <w:r w:rsidR="0034687C">
        <w:t> </w:t>
      </w:r>
      <w:r w:rsidR="001130D1" w:rsidRPr="00892782">
        <w:t>: première partie</w:t>
      </w:r>
      <w:r w:rsidR="0034687C">
        <w:t> </w:t>
      </w:r>
      <w:r w:rsidR="001130D1" w:rsidRPr="00892782">
        <w:t>: Protocole d</w:t>
      </w:r>
      <w:r w:rsidR="005543C3">
        <w:t>’</w:t>
      </w:r>
      <w:r w:rsidR="001130D1" w:rsidRPr="00892782">
        <w:t>ess</w:t>
      </w:r>
      <w:r w:rsidR="00D55670">
        <w:t>ai DHS et analyse des données, n</w:t>
      </w:r>
      <w:r w:rsidR="001130D1" w:rsidRPr="00892782">
        <w:t>ouvelle section</w:t>
      </w:r>
      <w:r w:rsidR="0034687C">
        <w:t> </w:t>
      </w:r>
      <w:r w:rsidR="001130D1" w:rsidRPr="00892782">
        <w:t>: Réduction optimale de la variation due à différents observateurs</w:t>
      </w:r>
      <w:r w:rsidR="0034687C">
        <w:t>”</w:t>
      </w:r>
      <w:r w:rsidR="001130D1" w:rsidRPr="00892782">
        <w:t>.</w:t>
      </w:r>
    </w:p>
    <w:p w:rsidR="00704EB7" w:rsidRPr="00892782" w:rsidRDefault="00704EB7" w:rsidP="00704EB7"/>
    <w:p w:rsidR="001130D1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1130D1" w:rsidRPr="00892782">
        <w:t>À sa quarante</w:t>
      </w:r>
      <w:r w:rsidR="005543C3">
        <w:t>-</w:t>
      </w:r>
      <w:r w:rsidR="001130D1" w:rsidRPr="00892782">
        <w:t>neuvième</w:t>
      </w:r>
      <w:r w:rsidR="0034687C">
        <w:t> </w:t>
      </w:r>
      <w:r w:rsidR="001130D1" w:rsidRPr="00892782">
        <w:t>session, le</w:t>
      </w:r>
      <w:r w:rsidR="005543C3">
        <w:t> TC</w:t>
      </w:r>
      <w:r w:rsidR="001130D1" w:rsidRPr="00892782">
        <w:t xml:space="preserve"> est convenu de demander à l</w:t>
      </w:r>
      <w:r w:rsidR="005543C3">
        <w:t>’</w:t>
      </w:r>
      <w:r w:rsidR="001130D1" w:rsidRPr="00892782">
        <w:t>expert des Pays</w:t>
      </w:r>
      <w:r w:rsidR="005543C3">
        <w:t>-</w:t>
      </w:r>
      <w:r w:rsidR="001130D1" w:rsidRPr="00892782">
        <w:t>Bas d</w:t>
      </w:r>
      <w:r w:rsidR="005543C3">
        <w:t>’</w:t>
      </w:r>
      <w:r w:rsidR="001130D1" w:rsidRPr="00892782">
        <w:t xml:space="preserve">élaborer un nouveau projet de section </w:t>
      </w:r>
      <w:r w:rsidR="0034687C">
        <w:t>“</w:t>
      </w:r>
      <w:r w:rsidR="001130D1" w:rsidRPr="00892782">
        <w:t>Réduction optimale de la variation due à différents observateurs</w:t>
      </w:r>
      <w:r w:rsidR="0034687C">
        <w:t>”</w:t>
      </w:r>
      <w:r w:rsidR="001130D1" w:rsidRPr="00892782">
        <w:t xml:space="preserve"> pour examen par</w:t>
      </w:r>
      <w:r w:rsidR="005543C3" w:rsidRPr="00892782">
        <w:t xml:space="preserve"> les</w:t>
      </w:r>
      <w:r w:rsidR="005543C3">
        <w:t> </w:t>
      </w:r>
      <w:r w:rsidR="005543C3" w:rsidRPr="00892782">
        <w:t>TWP</w:t>
      </w:r>
      <w:r w:rsidR="001130D1" w:rsidRPr="00892782">
        <w:t xml:space="preserve"> à leurs sessions en</w:t>
      </w:r>
      <w:r w:rsidR="0034687C">
        <w:t> </w:t>
      </w:r>
      <w:r w:rsidR="001130D1" w:rsidRPr="00892782">
        <w:t>2012 et par le</w:t>
      </w:r>
      <w:r w:rsidR="005543C3">
        <w:t> TC-EDC</w:t>
      </w:r>
      <w:r w:rsidR="001130D1" w:rsidRPr="00892782">
        <w:t xml:space="preserve"> à sa réunion de </w:t>
      </w:r>
      <w:r w:rsidR="005543C3" w:rsidRPr="00892782">
        <w:t>janvier</w:t>
      </w:r>
      <w:r w:rsidR="005543C3">
        <w:t> </w:t>
      </w:r>
      <w:r w:rsidR="005543C3" w:rsidRPr="00892782">
        <w:t>20</w:t>
      </w:r>
      <w:r w:rsidR="001130D1" w:rsidRPr="00892782">
        <w:t>13, et en</w:t>
      </w:r>
      <w:r w:rsidR="00D55670">
        <w:t> </w:t>
      </w:r>
      <w:r w:rsidR="001130D1" w:rsidRPr="00892782">
        <w:t>particulier</w:t>
      </w:r>
      <w:r w:rsidR="0050671B" w:rsidRPr="00892782">
        <w:rPr>
          <w:iCs/>
          <w:spacing w:val="-4"/>
        </w:rPr>
        <w:t xml:space="preserve">, pour inclure </w:t>
      </w:r>
      <w:r w:rsidR="001130D1" w:rsidRPr="00892782">
        <w:t>des conseils concernant les caractères PQ et QN/MG (voir le paragraphe</w:t>
      </w:r>
      <w:r w:rsidR="0034687C">
        <w:t> </w:t>
      </w:r>
      <w:r w:rsidR="001130D1" w:rsidRPr="00892782">
        <w:t xml:space="preserve">51 du </w:t>
      </w:r>
      <w:r w:rsidR="005543C3" w:rsidRPr="00892782">
        <w:t>document</w:t>
      </w:r>
      <w:r w:rsidR="005543C3">
        <w:t xml:space="preserve"> TC</w:t>
      </w:r>
      <w:r w:rsidR="001130D1" w:rsidRPr="00892782">
        <w:rPr>
          <w:rFonts w:cs="Arial"/>
        </w:rPr>
        <w:t xml:space="preserve">/49/41 </w:t>
      </w:r>
      <w:r w:rsidR="0034687C">
        <w:rPr>
          <w:rFonts w:cs="Arial"/>
        </w:rPr>
        <w:t>“</w:t>
      </w:r>
      <w:r w:rsidR="001130D1" w:rsidRPr="00892782">
        <w:rPr>
          <w:rFonts w:cs="Arial"/>
        </w:rPr>
        <w:t>Compte rendu des conclusions).</w:t>
      </w:r>
    </w:p>
    <w:p w:rsidR="00704EB7" w:rsidRPr="00892782" w:rsidRDefault="00704EB7" w:rsidP="00704EB7"/>
    <w:p w:rsidR="0050671B" w:rsidRPr="007E55C9" w:rsidRDefault="00C967DE" w:rsidP="00704EB7">
      <w:pPr>
        <w:rPr>
          <w:spacing w:val="-2"/>
        </w:rPr>
      </w:pPr>
      <w:r w:rsidRPr="007E55C9">
        <w:rPr>
          <w:spacing w:val="-2"/>
        </w:rPr>
        <w:fldChar w:fldCharType="begin"/>
      </w:r>
      <w:r w:rsidR="00704EB7" w:rsidRPr="007E55C9">
        <w:rPr>
          <w:spacing w:val="-2"/>
        </w:rPr>
        <w:instrText xml:space="preserve"> AUTONUM  </w:instrText>
      </w:r>
      <w:r w:rsidRPr="007E55C9">
        <w:rPr>
          <w:spacing w:val="-2"/>
        </w:rPr>
        <w:fldChar w:fldCharType="end"/>
      </w:r>
      <w:r w:rsidR="00704EB7" w:rsidRPr="007E55C9">
        <w:rPr>
          <w:spacing w:val="-2"/>
        </w:rPr>
        <w:tab/>
      </w:r>
      <w:r w:rsidR="0050671B" w:rsidRPr="007E55C9">
        <w:rPr>
          <w:spacing w:val="-2"/>
        </w:rPr>
        <w:t>En réponse à la demande du</w:t>
      </w:r>
      <w:r w:rsidR="005543C3" w:rsidRPr="007E55C9">
        <w:rPr>
          <w:spacing w:val="-2"/>
        </w:rPr>
        <w:t> TC</w:t>
      </w:r>
      <w:r w:rsidR="0050671B" w:rsidRPr="007E55C9">
        <w:rPr>
          <w:spacing w:val="-2"/>
        </w:rPr>
        <w:t>, le rédacteur a sollicité l</w:t>
      </w:r>
      <w:r w:rsidR="005543C3" w:rsidRPr="007E55C9">
        <w:rPr>
          <w:spacing w:val="-2"/>
        </w:rPr>
        <w:t>’</w:t>
      </w:r>
      <w:r w:rsidR="0050671B" w:rsidRPr="007E55C9">
        <w:rPr>
          <w:spacing w:val="-2"/>
        </w:rPr>
        <w:t>aide d</w:t>
      </w:r>
      <w:r w:rsidR="005543C3" w:rsidRPr="007E55C9">
        <w:rPr>
          <w:spacing w:val="-2"/>
        </w:rPr>
        <w:t>’</w:t>
      </w:r>
      <w:r w:rsidR="0050671B" w:rsidRPr="007E55C9">
        <w:rPr>
          <w:spacing w:val="-2"/>
        </w:rPr>
        <w:t>experts des autres</w:t>
      </w:r>
      <w:r w:rsidR="00D55670" w:rsidRPr="007E55C9">
        <w:rPr>
          <w:spacing w:val="-2"/>
        </w:rPr>
        <w:t> </w:t>
      </w:r>
      <w:r w:rsidR="0050671B" w:rsidRPr="007E55C9">
        <w:rPr>
          <w:spacing w:val="-2"/>
        </w:rPr>
        <w:t>TWP afin d</w:t>
      </w:r>
      <w:r w:rsidR="005543C3" w:rsidRPr="007E55C9">
        <w:rPr>
          <w:spacing w:val="-2"/>
        </w:rPr>
        <w:t>’</w:t>
      </w:r>
      <w:r w:rsidR="0050671B" w:rsidRPr="007E55C9">
        <w:rPr>
          <w:spacing w:val="-2"/>
        </w:rPr>
        <w:t>élaborer des conseils sur les caractères PQ et QN/MG.  À cet égard, il a été rappelé que le but de la</w:t>
      </w:r>
      <w:r w:rsidR="007E55C9" w:rsidRPr="007E55C9">
        <w:rPr>
          <w:spacing w:val="-2"/>
        </w:rPr>
        <w:t xml:space="preserve"> </w:t>
      </w:r>
      <w:r w:rsidR="0050671B" w:rsidRPr="007E55C9">
        <w:rPr>
          <w:spacing w:val="-2"/>
        </w:rPr>
        <w:t>section est de donner des conseils sur le contrôle de la variation due à différents observateurs lorsque l</w:t>
      </w:r>
      <w:r w:rsidR="005543C3" w:rsidRPr="007E55C9">
        <w:rPr>
          <w:spacing w:val="-2"/>
        </w:rPr>
        <w:t>’</w:t>
      </w:r>
      <w:r w:rsidR="0050671B" w:rsidRPr="007E55C9">
        <w:rPr>
          <w:spacing w:val="-2"/>
        </w:rPr>
        <w:t>analyse statistique n</w:t>
      </w:r>
      <w:r w:rsidR="005543C3" w:rsidRPr="007E55C9">
        <w:rPr>
          <w:spacing w:val="-2"/>
        </w:rPr>
        <w:t>’</w:t>
      </w:r>
      <w:r w:rsidR="0050671B" w:rsidRPr="007E55C9">
        <w:rPr>
          <w:spacing w:val="-2"/>
        </w:rPr>
        <w:t>est pas utilisée pour déterminer la distinction (voir le paragraphe</w:t>
      </w:r>
      <w:r w:rsidR="0034687C" w:rsidRPr="007E55C9">
        <w:rPr>
          <w:spacing w:val="-2"/>
        </w:rPr>
        <w:t> </w:t>
      </w:r>
      <w:r w:rsidR="0050671B" w:rsidRPr="007E55C9">
        <w:rPr>
          <w:spacing w:val="-2"/>
        </w:rPr>
        <w:t>4 du présent document).</w:t>
      </w:r>
    </w:p>
    <w:p w:rsidR="0050671B" w:rsidRDefault="0050671B" w:rsidP="00AD5A98">
      <w:bookmarkStart w:id="14" w:name="_Toc372555732"/>
      <w:bookmarkStart w:id="15" w:name="_Toc372633488"/>
    </w:p>
    <w:p w:rsidR="00AD5A98" w:rsidRPr="00892782" w:rsidRDefault="00AD5A98" w:rsidP="00AD5A98"/>
    <w:p w:rsidR="0050671B" w:rsidRPr="00892782" w:rsidRDefault="0050671B" w:rsidP="00FA77DD">
      <w:pPr>
        <w:pStyle w:val="Heading2"/>
      </w:pPr>
      <w:bookmarkStart w:id="16" w:name="_Toc379882676"/>
      <w:r w:rsidRPr="00892782">
        <w:t>Observations des groupes de travail techniques en</w:t>
      </w:r>
      <w:r w:rsidR="0034687C">
        <w:t> </w:t>
      </w:r>
      <w:r w:rsidRPr="00892782">
        <w:t>2013</w:t>
      </w:r>
      <w:bookmarkEnd w:id="16"/>
    </w:p>
    <w:bookmarkEnd w:id="14"/>
    <w:bookmarkEnd w:id="15"/>
    <w:p w:rsidR="00704EB7" w:rsidRPr="00892782" w:rsidRDefault="00704EB7" w:rsidP="00704EB7"/>
    <w:p w:rsidR="00704EB7" w:rsidRPr="00892782" w:rsidRDefault="00C967DE" w:rsidP="00704EB7">
      <w:pPr>
        <w:pStyle w:val="Titleofdoc0"/>
        <w:spacing w:before="0"/>
        <w:jc w:val="both"/>
        <w:rPr>
          <w:rFonts w:cs="Arial"/>
          <w:caps w:val="0"/>
        </w:rPr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057269" w:rsidRPr="00892782">
        <w:rPr>
          <w:rFonts w:cs="Arial"/>
          <w:caps w:val="0"/>
        </w:rPr>
        <w:t>Les groupes de travail techniques</w:t>
      </w:r>
      <w:r w:rsidR="00704EB7" w:rsidRPr="00892782">
        <w:rPr>
          <w:rFonts w:cs="Arial"/>
          <w:caps w:val="0"/>
        </w:rPr>
        <w:t xml:space="preserve"> TWO, TWF, TWV, TWC </w:t>
      </w:r>
      <w:r w:rsidR="00057269" w:rsidRPr="00892782">
        <w:rPr>
          <w:rFonts w:cs="Arial"/>
          <w:caps w:val="0"/>
        </w:rPr>
        <w:t>et</w:t>
      </w:r>
      <w:r w:rsidR="00704EB7" w:rsidRPr="00892782">
        <w:rPr>
          <w:rFonts w:cs="Arial"/>
          <w:caps w:val="0"/>
        </w:rPr>
        <w:t xml:space="preserve"> TWA </w:t>
      </w:r>
      <w:r w:rsidR="00057269" w:rsidRPr="00892782">
        <w:rPr>
          <w:rFonts w:cs="Arial"/>
          <w:caps w:val="0"/>
        </w:rPr>
        <w:t xml:space="preserve">ont examiné respectivement les </w:t>
      </w:r>
      <w:r w:rsidR="00704EB7" w:rsidRPr="00892782">
        <w:rPr>
          <w:rFonts w:cs="Arial"/>
          <w:caps w:val="0"/>
        </w:rPr>
        <w:t xml:space="preserve">documents </w:t>
      </w:r>
      <w:r w:rsidR="00704EB7" w:rsidRPr="00892782">
        <w:t>TWO/46/</w:t>
      </w:r>
      <w:r w:rsidR="00704EB7" w:rsidRPr="00892782">
        <w:rPr>
          <w:caps w:val="0"/>
        </w:rPr>
        <w:t xml:space="preserve">14, TWF/44/14, TWV/47/14, TWC/31/14 </w:t>
      </w:r>
      <w:r w:rsidR="00057269" w:rsidRPr="00892782">
        <w:rPr>
          <w:caps w:val="0"/>
        </w:rPr>
        <w:t>et</w:t>
      </w:r>
      <w:r w:rsidR="00704EB7" w:rsidRPr="00892782">
        <w:rPr>
          <w:caps w:val="0"/>
        </w:rPr>
        <w:t xml:space="preserve"> TWA/42/14 </w:t>
      </w:r>
      <w:r w:rsidR="00704EB7" w:rsidRPr="00892782">
        <w:rPr>
          <w:rFonts w:cs="Arial"/>
          <w:caps w:val="0"/>
        </w:rPr>
        <w:t>(</w:t>
      </w:r>
      <w:r w:rsidR="00057269" w:rsidRPr="00892782">
        <w:rPr>
          <w:rFonts w:cs="Arial"/>
          <w:caps w:val="0"/>
        </w:rPr>
        <w:t>voir les paragraphes</w:t>
      </w:r>
      <w:r w:rsidR="0034687C">
        <w:rPr>
          <w:rFonts w:cs="Arial"/>
          <w:caps w:val="0"/>
        </w:rPr>
        <w:t> </w:t>
      </w:r>
      <w:r w:rsidR="00057269" w:rsidRPr="00892782">
        <w:rPr>
          <w:rFonts w:cs="Arial"/>
          <w:caps w:val="0"/>
        </w:rPr>
        <w:t xml:space="preserve">30 à 32 du document TWO/46/29 </w:t>
      </w:r>
      <w:r w:rsidR="0034687C">
        <w:rPr>
          <w:rFonts w:cs="Arial"/>
          <w:caps w:val="0"/>
        </w:rPr>
        <w:t>“</w:t>
      </w:r>
      <w:r w:rsidR="00704EB7" w:rsidRPr="00D55670">
        <w:rPr>
          <w:rFonts w:cs="Arial"/>
          <w:caps w:val="0"/>
        </w:rPr>
        <w:t>Report</w:t>
      </w:r>
      <w:r w:rsidR="0034687C">
        <w:rPr>
          <w:rFonts w:cs="Arial"/>
          <w:caps w:val="0"/>
        </w:rPr>
        <w:t>”</w:t>
      </w:r>
      <w:r w:rsidR="00704EB7" w:rsidRPr="00892782">
        <w:rPr>
          <w:rFonts w:cs="Arial"/>
          <w:caps w:val="0"/>
        </w:rPr>
        <w:t xml:space="preserve">, </w:t>
      </w:r>
      <w:r w:rsidR="00057269" w:rsidRPr="00892782">
        <w:rPr>
          <w:rFonts w:cs="Arial"/>
          <w:caps w:val="0"/>
        </w:rPr>
        <w:t xml:space="preserve">les paragraphes 33 à 35 du </w:t>
      </w:r>
      <w:r w:rsidR="005543C3" w:rsidRPr="00892782">
        <w:rPr>
          <w:rFonts w:cs="Arial"/>
          <w:caps w:val="0"/>
        </w:rPr>
        <w:t>document</w:t>
      </w:r>
      <w:r w:rsidR="005543C3">
        <w:rPr>
          <w:rFonts w:cs="Arial"/>
          <w:caps w:val="0"/>
        </w:rPr>
        <w:t xml:space="preserve"> </w:t>
      </w:r>
      <w:r w:rsidR="005543C3" w:rsidRPr="00892782">
        <w:rPr>
          <w:rFonts w:cs="Arial"/>
          <w:caps w:val="0"/>
        </w:rPr>
        <w:t>TW</w:t>
      </w:r>
      <w:r w:rsidR="00057269" w:rsidRPr="00892782">
        <w:rPr>
          <w:rFonts w:cs="Arial"/>
          <w:caps w:val="0"/>
        </w:rPr>
        <w:t xml:space="preserve">F/44/31 </w:t>
      </w:r>
      <w:r w:rsidR="0034687C">
        <w:rPr>
          <w:rFonts w:cs="Arial"/>
          <w:caps w:val="0"/>
        </w:rPr>
        <w:t>“</w:t>
      </w:r>
      <w:r w:rsidR="00704EB7" w:rsidRPr="00D55670">
        <w:rPr>
          <w:rFonts w:cs="Arial"/>
          <w:caps w:val="0"/>
        </w:rPr>
        <w:t>Report</w:t>
      </w:r>
      <w:r w:rsidR="0034687C">
        <w:rPr>
          <w:rFonts w:cs="Arial"/>
          <w:caps w:val="0"/>
        </w:rPr>
        <w:t>”</w:t>
      </w:r>
      <w:r w:rsidR="00704EB7" w:rsidRPr="00892782">
        <w:rPr>
          <w:rFonts w:cs="Arial"/>
          <w:caps w:val="0"/>
        </w:rPr>
        <w:t xml:space="preserve">, </w:t>
      </w:r>
      <w:r w:rsidR="00057269" w:rsidRPr="00892782">
        <w:rPr>
          <w:rFonts w:cs="Arial"/>
          <w:caps w:val="0"/>
        </w:rPr>
        <w:t>les</w:t>
      </w:r>
      <w:r w:rsidR="00D55670">
        <w:rPr>
          <w:rFonts w:cs="Arial"/>
          <w:caps w:val="0"/>
        </w:rPr>
        <w:t> </w:t>
      </w:r>
      <w:r w:rsidR="00057269" w:rsidRPr="00892782">
        <w:rPr>
          <w:rFonts w:cs="Arial"/>
          <w:caps w:val="0"/>
        </w:rPr>
        <w:t>paragraphes</w:t>
      </w:r>
      <w:r w:rsidR="0034687C">
        <w:rPr>
          <w:rFonts w:cs="Arial"/>
          <w:caps w:val="0"/>
        </w:rPr>
        <w:t> </w:t>
      </w:r>
      <w:r w:rsidR="00057269" w:rsidRPr="00892782">
        <w:rPr>
          <w:rFonts w:cs="Arial"/>
          <w:caps w:val="0"/>
        </w:rPr>
        <w:t>33 à 35 du</w:t>
      </w:r>
      <w:r w:rsidR="00704EB7" w:rsidRPr="00892782">
        <w:rPr>
          <w:rFonts w:cs="Arial"/>
          <w:caps w:val="0"/>
        </w:rPr>
        <w:t xml:space="preserve"> document TWV/47/34 </w:t>
      </w:r>
      <w:r w:rsidR="0034687C">
        <w:rPr>
          <w:rFonts w:cs="Arial"/>
          <w:caps w:val="0"/>
        </w:rPr>
        <w:t>“</w:t>
      </w:r>
      <w:r w:rsidR="00704EB7" w:rsidRPr="00D55670">
        <w:rPr>
          <w:rFonts w:cs="Arial"/>
          <w:caps w:val="0"/>
        </w:rPr>
        <w:t>Report</w:t>
      </w:r>
      <w:r w:rsidR="0034687C">
        <w:rPr>
          <w:rFonts w:cs="Arial"/>
          <w:caps w:val="0"/>
        </w:rPr>
        <w:t>”</w:t>
      </w:r>
      <w:r w:rsidR="00704EB7" w:rsidRPr="00892782">
        <w:rPr>
          <w:rFonts w:cs="Arial"/>
          <w:caps w:val="0"/>
        </w:rPr>
        <w:t xml:space="preserve">, </w:t>
      </w:r>
      <w:r w:rsidR="00057269" w:rsidRPr="00892782">
        <w:rPr>
          <w:rFonts w:cs="Arial"/>
          <w:caps w:val="0"/>
        </w:rPr>
        <w:t>les paragraphes</w:t>
      </w:r>
      <w:r w:rsidR="0034687C">
        <w:rPr>
          <w:rFonts w:cs="Arial"/>
          <w:caps w:val="0"/>
        </w:rPr>
        <w:t> </w:t>
      </w:r>
      <w:r w:rsidR="00057269" w:rsidRPr="00892782">
        <w:rPr>
          <w:rFonts w:cs="Arial"/>
          <w:caps w:val="0"/>
        </w:rPr>
        <w:t xml:space="preserve">30 à 32 du </w:t>
      </w:r>
      <w:r w:rsidR="00704EB7" w:rsidRPr="00892782">
        <w:rPr>
          <w:rFonts w:cs="Arial"/>
          <w:caps w:val="0"/>
        </w:rPr>
        <w:t xml:space="preserve">document TWC/31/32 </w:t>
      </w:r>
      <w:r w:rsidR="0034687C">
        <w:rPr>
          <w:rFonts w:cs="Arial"/>
          <w:caps w:val="0"/>
        </w:rPr>
        <w:t>“</w:t>
      </w:r>
      <w:r w:rsidR="00704EB7" w:rsidRPr="00D55670">
        <w:rPr>
          <w:rFonts w:cs="Arial"/>
          <w:caps w:val="0"/>
        </w:rPr>
        <w:t>Report</w:t>
      </w:r>
      <w:r w:rsidR="0034687C">
        <w:rPr>
          <w:rFonts w:cs="Arial"/>
          <w:caps w:val="0"/>
        </w:rPr>
        <w:t>”</w:t>
      </w:r>
      <w:r w:rsidR="00704EB7" w:rsidRPr="00892782">
        <w:rPr>
          <w:rFonts w:cs="Arial"/>
          <w:caps w:val="0"/>
        </w:rPr>
        <w:t xml:space="preserve"> </w:t>
      </w:r>
      <w:r w:rsidR="00057269" w:rsidRPr="00892782">
        <w:rPr>
          <w:rFonts w:cs="Arial"/>
          <w:caps w:val="0"/>
        </w:rPr>
        <w:t>et les paragraphes</w:t>
      </w:r>
      <w:r w:rsidR="0034687C">
        <w:rPr>
          <w:rFonts w:cs="Arial"/>
          <w:caps w:val="0"/>
        </w:rPr>
        <w:t> </w:t>
      </w:r>
      <w:r w:rsidR="00057269" w:rsidRPr="00892782">
        <w:rPr>
          <w:rFonts w:cs="Arial"/>
          <w:caps w:val="0"/>
        </w:rPr>
        <w:t xml:space="preserve">33 à 35 du document TWA/42/31 </w:t>
      </w:r>
      <w:r w:rsidR="0034687C">
        <w:rPr>
          <w:rFonts w:cs="Arial"/>
          <w:caps w:val="0"/>
        </w:rPr>
        <w:t>“</w:t>
      </w:r>
      <w:r w:rsidR="00057269" w:rsidRPr="00D55670">
        <w:rPr>
          <w:rFonts w:cs="Arial"/>
          <w:caps w:val="0"/>
        </w:rPr>
        <w:t>Report</w:t>
      </w:r>
      <w:r w:rsidR="0034687C">
        <w:rPr>
          <w:rFonts w:cs="Arial"/>
          <w:caps w:val="0"/>
        </w:rPr>
        <w:t>”</w:t>
      </w:r>
      <w:r w:rsidR="00057269" w:rsidRPr="00892782">
        <w:rPr>
          <w:rFonts w:cs="Arial"/>
          <w:caps w:val="0"/>
        </w:rPr>
        <w:t>)</w:t>
      </w:r>
      <w:r w:rsidR="00704EB7" w:rsidRPr="00892782">
        <w:rPr>
          <w:rFonts w:cs="Arial"/>
          <w:caps w:val="0"/>
        </w:rPr>
        <w:t>.</w:t>
      </w:r>
    </w:p>
    <w:p w:rsidR="00704EB7" w:rsidRPr="00892782" w:rsidRDefault="00704EB7" w:rsidP="00704EB7">
      <w:pPr>
        <w:pStyle w:val="Titleofdoc0"/>
        <w:spacing w:before="0"/>
        <w:jc w:val="both"/>
        <w:rPr>
          <w:rFonts w:cs="Arial"/>
          <w:caps w:val="0"/>
        </w:rPr>
      </w:pPr>
    </w:p>
    <w:p w:rsidR="00057269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057269" w:rsidRPr="00892782">
        <w:tab/>
        <w:t>L</w:t>
      </w:r>
      <w:r w:rsidR="00704EB7" w:rsidRPr="00892782">
        <w:t xml:space="preserve">e TWO </w:t>
      </w:r>
      <w:r w:rsidR="00057269" w:rsidRPr="00892782">
        <w:t xml:space="preserve">a </w:t>
      </w:r>
      <w:r w:rsidR="00704EB7" w:rsidRPr="00892782">
        <w:t>propos</w:t>
      </w:r>
      <w:r w:rsidR="00057269" w:rsidRPr="00892782">
        <w:t>é que des</w:t>
      </w:r>
      <w:r w:rsidR="00704EB7" w:rsidRPr="00892782">
        <w:t xml:space="preserve"> experts </w:t>
      </w:r>
      <w:r w:rsidR="00057269" w:rsidRPr="00892782">
        <w:t>d</w:t>
      </w:r>
      <w:r w:rsidR="005543C3">
        <w:t>’</w:t>
      </w:r>
      <w:r w:rsidR="00057269" w:rsidRPr="00892782">
        <w:t>Australie, d</w:t>
      </w:r>
      <w:r w:rsidR="005543C3">
        <w:t>’</w:t>
      </w:r>
      <w:r w:rsidR="00057269" w:rsidRPr="00892782">
        <w:t>Allemagne, des Pays</w:t>
      </w:r>
      <w:r w:rsidR="005543C3">
        <w:t>-</w:t>
      </w:r>
      <w:r w:rsidR="00057269" w:rsidRPr="00892782">
        <w:t>Bas et du Royaume</w:t>
      </w:r>
      <w:r w:rsidR="005543C3">
        <w:t>-</w:t>
      </w:r>
      <w:r w:rsidR="00057269" w:rsidRPr="00892782">
        <w:t xml:space="preserve">Uni </w:t>
      </w:r>
      <w:r w:rsidR="006D40F2" w:rsidRPr="00892782">
        <w:t xml:space="preserve">rédigent des conseils supplémentaires </w:t>
      </w:r>
      <w:r w:rsidR="00D2637E" w:rsidRPr="00892782">
        <w:t>en vue de l</w:t>
      </w:r>
      <w:r w:rsidR="005543C3">
        <w:t>’</w:t>
      </w:r>
      <w:r w:rsidR="00D2637E" w:rsidRPr="00892782">
        <w:t xml:space="preserve">inclusion du texte </w:t>
      </w:r>
      <w:r w:rsidR="006D40F2" w:rsidRPr="00892782">
        <w:t xml:space="preserve">proposé dans </w:t>
      </w:r>
      <w:r w:rsidR="00D2637E" w:rsidRPr="00892782">
        <w:t>une future version révisée du</w:t>
      </w:r>
      <w:r w:rsidR="006D40F2" w:rsidRPr="00892782">
        <w:t xml:space="preserve"> do</w:t>
      </w:r>
      <w:r w:rsidR="00E26227">
        <w:t>cument TGP/8 :</w:t>
      </w:r>
      <w:r w:rsidR="00D55670">
        <w:t xml:space="preserve"> p</w:t>
      </w:r>
      <w:r w:rsidR="006D40F2" w:rsidRPr="00892782">
        <w:t>remière partie</w:t>
      </w:r>
      <w:r w:rsidR="0034687C">
        <w:t> </w:t>
      </w:r>
      <w:r w:rsidR="006D40F2" w:rsidRPr="00892782">
        <w:t>: Protocole d</w:t>
      </w:r>
      <w:r w:rsidR="005543C3">
        <w:t>’</w:t>
      </w:r>
      <w:r w:rsidR="006D40F2" w:rsidRPr="00892782">
        <w:t>ess</w:t>
      </w:r>
      <w:r w:rsidR="00D55670">
        <w:t>ai DHS et analyse des données, n</w:t>
      </w:r>
      <w:r w:rsidR="006D40F2" w:rsidRPr="00892782">
        <w:t>ouvelle section</w:t>
      </w:r>
      <w:r w:rsidR="0034687C">
        <w:t> </w:t>
      </w:r>
      <w:r w:rsidR="006D40F2" w:rsidRPr="00892782">
        <w:t>: Réduction optimale de la variation due à différents observateurs</w:t>
      </w:r>
      <w:r w:rsidR="00D2637E" w:rsidRPr="00892782">
        <w:t>, pour inclure des conseils sur les</w:t>
      </w:r>
      <w:r w:rsidR="00D55670">
        <w:t> </w:t>
      </w:r>
      <w:r w:rsidR="00D2637E" w:rsidRPr="00892782">
        <w:t>caractères PQ et QN/MG.</w:t>
      </w:r>
    </w:p>
    <w:p w:rsidR="00704EB7" w:rsidRPr="00892782" w:rsidRDefault="00704EB7" w:rsidP="00704EB7"/>
    <w:p w:rsidR="00D2637E" w:rsidRDefault="00C967DE" w:rsidP="00D55670">
      <w:r w:rsidRPr="00892782">
        <w:lastRenderedPageBreak/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D2637E" w:rsidRPr="00892782">
        <w:tab/>
        <w:t>L</w:t>
      </w:r>
      <w:r w:rsidR="00704EB7" w:rsidRPr="00892782">
        <w:t xml:space="preserve">e TWO </w:t>
      </w:r>
      <w:r w:rsidR="00D2637E" w:rsidRPr="00892782">
        <w:t>a toutefois pris note de l</w:t>
      </w:r>
      <w:r w:rsidR="005543C3">
        <w:t>’</w:t>
      </w:r>
      <w:r w:rsidR="00D2637E" w:rsidRPr="00892782">
        <w:t>importance des principes directeurs d</w:t>
      </w:r>
      <w:r w:rsidR="005543C3">
        <w:t>’</w:t>
      </w:r>
      <w:r w:rsidR="00D2637E" w:rsidRPr="00892782">
        <w:t>examen, qui fournissent des</w:t>
      </w:r>
      <w:r w:rsidR="00AD5A98">
        <w:t xml:space="preserve"> </w:t>
      </w:r>
      <w:r w:rsidR="00D2637E" w:rsidRPr="00892782">
        <w:t>orientations claires aux examinateurs DHS et assurent la cohérence des observations.</w:t>
      </w:r>
    </w:p>
    <w:p w:rsidR="00AD5A98" w:rsidRPr="00892782" w:rsidRDefault="00AD5A98" w:rsidP="00D55670"/>
    <w:p w:rsidR="00D2637E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D2637E" w:rsidRPr="00892782">
        <w:t xml:space="preserve">Le </w:t>
      </w:r>
      <w:r w:rsidR="00704EB7" w:rsidRPr="00892782">
        <w:t xml:space="preserve">TWF </w:t>
      </w:r>
      <w:r w:rsidR="00D2637E" w:rsidRPr="00892782">
        <w:t>a admis que la variation due aux différents observateurs n</w:t>
      </w:r>
      <w:r w:rsidR="005543C3">
        <w:t>’</w:t>
      </w:r>
      <w:r w:rsidR="00D2637E" w:rsidRPr="00892782">
        <w:t>était pas un élément pertinent dans l</w:t>
      </w:r>
      <w:r w:rsidR="005543C3">
        <w:t>’</w:t>
      </w:r>
      <w:r w:rsidR="00D2637E" w:rsidRPr="00892782">
        <w:t>examen</w:t>
      </w:r>
      <w:r w:rsidR="0034687C">
        <w:t> </w:t>
      </w:r>
      <w:r w:rsidR="00D2637E" w:rsidRPr="00892782">
        <w:t>DHS des fruits car les observations sont habituellement faites par un seul observateur;  c</w:t>
      </w:r>
      <w:r w:rsidR="005543C3">
        <w:t>’</w:t>
      </w:r>
      <w:r w:rsidR="00D2637E" w:rsidRPr="00892782">
        <w:t>est pourquoi</w:t>
      </w:r>
      <w:r w:rsidR="005543C3" w:rsidRPr="00892782">
        <w:t xml:space="preserve"> le</w:t>
      </w:r>
      <w:r w:rsidR="005543C3">
        <w:t> </w:t>
      </w:r>
      <w:r w:rsidR="005543C3" w:rsidRPr="00892782">
        <w:t>TWF</w:t>
      </w:r>
      <w:r w:rsidR="00D2637E" w:rsidRPr="00892782">
        <w:t xml:space="preserve"> estime qu</w:t>
      </w:r>
      <w:r w:rsidR="005543C3">
        <w:t>’</w:t>
      </w:r>
      <w:r w:rsidR="00D2637E" w:rsidRPr="00892782">
        <w:t>il n</w:t>
      </w:r>
      <w:r w:rsidR="005543C3">
        <w:t>’</w:t>
      </w:r>
      <w:r w:rsidR="00D2637E" w:rsidRPr="00892782">
        <w:t>est pas nécessaire de demander à des experts de rédiger des conseils supplémentaires sur le texte proposé en vue de son incorporation dans une future version révisée du document TGP/8</w:t>
      </w:r>
      <w:r w:rsidR="00E26227">
        <w:t> :</w:t>
      </w:r>
      <w:r w:rsidR="00D55670">
        <w:t xml:space="preserve"> p</w:t>
      </w:r>
      <w:r w:rsidR="00D2637E" w:rsidRPr="00892782">
        <w:t>remière partie</w:t>
      </w:r>
      <w:r w:rsidR="0034687C">
        <w:t> </w:t>
      </w:r>
      <w:r w:rsidR="00D2637E" w:rsidRPr="00892782">
        <w:t>: Protocole d</w:t>
      </w:r>
      <w:r w:rsidR="005543C3">
        <w:t>’</w:t>
      </w:r>
      <w:r w:rsidR="00D2637E" w:rsidRPr="00892782">
        <w:t>ess</w:t>
      </w:r>
      <w:r w:rsidR="00D55670">
        <w:t>ai DHS et analyse des données, n</w:t>
      </w:r>
      <w:r w:rsidR="00D2637E" w:rsidRPr="00892782">
        <w:t>ouvelle section</w:t>
      </w:r>
      <w:r w:rsidR="0034687C">
        <w:t> </w:t>
      </w:r>
      <w:r w:rsidR="00D2637E" w:rsidRPr="00892782">
        <w:t>: Réduction optimale de la variation due à différents observateurs.</w:t>
      </w:r>
    </w:p>
    <w:p w:rsidR="00704EB7" w:rsidRPr="00892782" w:rsidRDefault="00704EB7" w:rsidP="00704EB7"/>
    <w:p w:rsidR="00D2637E" w:rsidRPr="00892782" w:rsidRDefault="00C967DE" w:rsidP="00D55670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D2637E" w:rsidRPr="00892782">
        <w:t xml:space="preserve">Le </w:t>
      </w:r>
      <w:r w:rsidR="00704EB7" w:rsidRPr="00892782">
        <w:t xml:space="preserve">TWF </w:t>
      </w:r>
      <w:r w:rsidR="00D2637E" w:rsidRPr="00892782">
        <w:t>a toutefois pris note de l</w:t>
      </w:r>
      <w:r w:rsidR="005543C3">
        <w:t>’</w:t>
      </w:r>
      <w:r w:rsidR="00D2637E" w:rsidRPr="00892782">
        <w:t>importance de la qualité des principes directeurs d</w:t>
      </w:r>
      <w:r w:rsidR="005543C3">
        <w:t>’</w:t>
      </w:r>
      <w:r w:rsidR="00D2637E" w:rsidRPr="00892782">
        <w:t>examen</w:t>
      </w:r>
      <w:r w:rsidR="00160BBE" w:rsidRPr="00892782">
        <w:t xml:space="preserve"> dans la</w:t>
      </w:r>
      <w:r w:rsidR="00D55670">
        <w:t> </w:t>
      </w:r>
      <w:r w:rsidR="00160BBE" w:rsidRPr="00892782">
        <w:t>fourniture d</w:t>
      </w:r>
      <w:r w:rsidR="005543C3">
        <w:t>’</w:t>
      </w:r>
      <w:r w:rsidR="00160BBE" w:rsidRPr="00892782">
        <w:t>orientations claires aux examinateurs DHS et la garantie de la cohérence des observations.  À</w:t>
      </w:r>
      <w:r w:rsidR="00D55670">
        <w:t> </w:t>
      </w:r>
      <w:r w:rsidR="00160BBE" w:rsidRPr="00892782">
        <w:t>cet égard,</w:t>
      </w:r>
      <w:r w:rsidR="005543C3" w:rsidRPr="00892782">
        <w:t xml:space="preserve"> le</w:t>
      </w:r>
      <w:r w:rsidR="005543C3">
        <w:t> </w:t>
      </w:r>
      <w:r w:rsidR="005543C3" w:rsidRPr="00892782">
        <w:t>TWF</w:t>
      </w:r>
      <w:r w:rsidR="00160BBE" w:rsidRPr="00892782">
        <w:t xml:space="preserve"> a rappelé les travaux effectués précédemment</w:t>
      </w:r>
      <w:r w:rsidR="001E260E" w:rsidRPr="00892782">
        <w:t xml:space="preserve"> concernant la cohérence des descriptions de variétés de fraise et de pomme (voir le document TWF/35/4). </w:t>
      </w:r>
      <w:r w:rsidR="005543C3" w:rsidRPr="00892782">
        <w:t xml:space="preserve"> Le</w:t>
      </w:r>
      <w:r w:rsidR="005543C3">
        <w:t> </w:t>
      </w:r>
      <w:r w:rsidR="005543C3" w:rsidRPr="00892782">
        <w:t>TWF</w:t>
      </w:r>
      <w:r w:rsidR="001E260E" w:rsidRPr="00892782">
        <w:t xml:space="preserve"> a proposé que l</w:t>
      </w:r>
      <w:r w:rsidR="005543C3">
        <w:t>’</w:t>
      </w:r>
      <w:r w:rsidR="001E260E" w:rsidRPr="00892782">
        <w:t>expert de Nouvelle</w:t>
      </w:r>
      <w:r w:rsidR="005543C3">
        <w:t>-</w:t>
      </w:r>
      <w:r w:rsidR="001E260E" w:rsidRPr="00892782">
        <w:t>Zélande rende compte à la quarante</w:t>
      </w:r>
      <w:r w:rsidR="005543C3">
        <w:t>-</w:t>
      </w:r>
      <w:r w:rsidR="001E260E" w:rsidRPr="00892782">
        <w:t>cinquième</w:t>
      </w:r>
      <w:r w:rsidR="0034687C">
        <w:t> </w:t>
      </w:r>
      <w:r w:rsidR="001E260E" w:rsidRPr="00892782">
        <w:t xml:space="preserve">session des travaux menés sur la </w:t>
      </w:r>
      <w:r w:rsidR="0034687C">
        <w:t>“</w:t>
      </w:r>
      <w:r w:rsidR="001E260E" w:rsidRPr="00892782">
        <w:t>publication d</w:t>
      </w:r>
      <w:r w:rsidR="005543C3">
        <w:t>’</w:t>
      </w:r>
      <w:r w:rsidR="001E260E" w:rsidRPr="00892782">
        <w:t xml:space="preserve">une description variétale </w:t>
      </w:r>
      <w:r w:rsidR="008B6AEE" w:rsidRPr="00892782">
        <w:t xml:space="preserve">harmonisée pour </w:t>
      </w:r>
      <w:r w:rsidR="001E260E" w:rsidRPr="00892782">
        <w:t>un ensemble convenu de variétés de pommes</w:t>
      </w:r>
      <w:r w:rsidR="0034687C">
        <w:t>”</w:t>
      </w:r>
      <w:r w:rsidR="001E260E" w:rsidRPr="00892782">
        <w:t>, afin de voir s</w:t>
      </w:r>
      <w:r w:rsidR="005543C3">
        <w:t>’</w:t>
      </w:r>
      <w:r w:rsidR="001E260E" w:rsidRPr="00892782">
        <w:t>il convient d</w:t>
      </w:r>
      <w:r w:rsidR="005543C3">
        <w:t>’</w:t>
      </w:r>
      <w:r w:rsidR="001E260E" w:rsidRPr="00892782">
        <w:t>approfondir cette étude.</w:t>
      </w:r>
    </w:p>
    <w:p w:rsidR="00704EB7" w:rsidRPr="004542AF" w:rsidRDefault="00704EB7" w:rsidP="00704EB7">
      <w:pPr>
        <w:rPr>
          <w:rFonts w:cs="Arial"/>
        </w:rPr>
      </w:pPr>
    </w:p>
    <w:p w:rsidR="008B6AEE" w:rsidRPr="004542AF" w:rsidRDefault="00C967DE" w:rsidP="00D55670">
      <w:pPr>
        <w:shd w:val="clear" w:color="auto" w:fill="FFFFFF"/>
      </w:pPr>
      <w:r w:rsidRPr="004542AF">
        <w:fldChar w:fldCharType="begin"/>
      </w:r>
      <w:r w:rsidR="00704EB7" w:rsidRPr="004542AF">
        <w:instrText xml:space="preserve"> AUTONUM  </w:instrText>
      </w:r>
      <w:r w:rsidRPr="004542AF">
        <w:fldChar w:fldCharType="end"/>
      </w:r>
      <w:r w:rsidR="00704EB7" w:rsidRPr="004542AF">
        <w:tab/>
      </w:r>
      <w:r w:rsidR="00D2637E" w:rsidRPr="00892782">
        <w:t xml:space="preserve">Le </w:t>
      </w:r>
      <w:r w:rsidR="00704EB7" w:rsidRPr="004542AF">
        <w:t xml:space="preserve">TWV </w:t>
      </w:r>
      <w:r w:rsidR="008B6AEE" w:rsidRPr="004542AF">
        <w:t xml:space="preserve">a proposé que des experts de </w:t>
      </w:r>
      <w:r w:rsidR="008B6AEE" w:rsidRPr="00E26227">
        <w:rPr>
          <w:rFonts w:cs="Arial"/>
        </w:rPr>
        <w:t>l</w:t>
      </w:r>
      <w:r w:rsidR="005543C3" w:rsidRPr="00E26227">
        <w:rPr>
          <w:rFonts w:cs="Arial"/>
        </w:rPr>
        <w:t>’</w:t>
      </w:r>
      <w:r w:rsidR="008B6AEE" w:rsidRPr="00E26227">
        <w:rPr>
          <w:rFonts w:cs="Arial"/>
        </w:rPr>
        <w:t>Union européenne,</w:t>
      </w:r>
      <w:r w:rsidR="008B6AEE" w:rsidRPr="004542AF">
        <w:t xml:space="preserve"> de la France et des Pays</w:t>
      </w:r>
      <w:r w:rsidR="005543C3">
        <w:t>-</w:t>
      </w:r>
      <w:r w:rsidR="008B6AEE" w:rsidRPr="004542AF">
        <w:t>Bas aident le</w:t>
      </w:r>
      <w:r w:rsidR="00D55670">
        <w:t> </w:t>
      </w:r>
      <w:r w:rsidR="008B6AEE" w:rsidRPr="004542AF">
        <w:t xml:space="preserve">rédacteur à élaborer des conseils supplémentaires sur le texte proposé en vue de son incorporation dans une future version révisée du </w:t>
      </w:r>
      <w:r w:rsidR="008B6AEE" w:rsidRPr="00892782">
        <w:t>document TGP/8</w:t>
      </w:r>
      <w:r w:rsidR="00E26227">
        <w:t> :</w:t>
      </w:r>
      <w:r w:rsidR="00D55670">
        <w:t xml:space="preserve"> p</w:t>
      </w:r>
      <w:r w:rsidR="008B6AEE" w:rsidRPr="00892782">
        <w:t>remière partie</w:t>
      </w:r>
      <w:r w:rsidR="0034687C">
        <w:t> </w:t>
      </w:r>
      <w:r w:rsidR="008B6AEE" w:rsidRPr="00892782">
        <w:t>: Protocole d</w:t>
      </w:r>
      <w:r w:rsidR="005543C3">
        <w:t>’</w:t>
      </w:r>
      <w:r w:rsidR="008B6AEE" w:rsidRPr="00892782">
        <w:t>essai DHS et analyse des</w:t>
      </w:r>
      <w:r w:rsidR="00D55670">
        <w:t> </w:t>
      </w:r>
      <w:r w:rsidR="008B6AEE" w:rsidRPr="00892782">
        <w:t xml:space="preserve">données, </w:t>
      </w:r>
      <w:r w:rsidR="00D55670">
        <w:t>n</w:t>
      </w:r>
      <w:r w:rsidR="008B6AEE" w:rsidRPr="00892782">
        <w:t>ouvelle section</w:t>
      </w:r>
      <w:r w:rsidR="0034687C">
        <w:t> </w:t>
      </w:r>
      <w:r w:rsidR="008B6AEE" w:rsidRPr="00892782">
        <w:t>: Réduction optimale de la variation due à différents observateurs.</w:t>
      </w:r>
    </w:p>
    <w:p w:rsidR="00704EB7" w:rsidRPr="004542AF" w:rsidRDefault="00704EB7" w:rsidP="004542AF">
      <w:pPr>
        <w:shd w:val="clear" w:color="auto" w:fill="FFFFFF"/>
      </w:pPr>
    </w:p>
    <w:p w:rsidR="008B6AEE" w:rsidRPr="004542AF" w:rsidRDefault="00C967DE" w:rsidP="004542AF">
      <w:pPr>
        <w:shd w:val="clear" w:color="auto" w:fill="FFFFFF"/>
      </w:pPr>
      <w:r w:rsidRPr="004542AF">
        <w:fldChar w:fldCharType="begin"/>
      </w:r>
      <w:r w:rsidR="00704EB7" w:rsidRPr="004542AF">
        <w:instrText xml:space="preserve"> AUTONUM  </w:instrText>
      </w:r>
      <w:r w:rsidRPr="004542AF">
        <w:fldChar w:fldCharType="end"/>
      </w:r>
      <w:r w:rsidR="00704EB7" w:rsidRPr="004542AF">
        <w:tab/>
      </w:r>
      <w:r w:rsidR="00D2637E" w:rsidRPr="00892782">
        <w:t xml:space="preserve">Le </w:t>
      </w:r>
      <w:r w:rsidR="00704EB7" w:rsidRPr="004542AF">
        <w:t xml:space="preserve">TWV </w:t>
      </w:r>
      <w:r w:rsidR="008B6AEE" w:rsidRPr="004542AF">
        <w:t>et</w:t>
      </w:r>
      <w:r w:rsidR="005543C3" w:rsidRPr="004542AF">
        <w:t xml:space="preserve"> le</w:t>
      </w:r>
      <w:r w:rsidR="005543C3">
        <w:t> </w:t>
      </w:r>
      <w:r w:rsidR="005543C3" w:rsidRPr="004542AF">
        <w:t>TWA</w:t>
      </w:r>
      <w:r w:rsidR="00704EB7" w:rsidRPr="004542AF">
        <w:t xml:space="preserve"> </w:t>
      </w:r>
      <w:r w:rsidR="008B6AEE" w:rsidRPr="004542AF">
        <w:t>ont noté que l</w:t>
      </w:r>
      <w:r w:rsidR="005543C3">
        <w:t>’</w:t>
      </w:r>
      <w:r w:rsidR="008B6AEE" w:rsidRPr="004542AF">
        <w:t>expert des Pays</w:t>
      </w:r>
      <w:r w:rsidR="005543C3">
        <w:t>-</w:t>
      </w:r>
      <w:r w:rsidR="008B6AEE" w:rsidRPr="004542AF">
        <w:t>Bas élaborerait, en concertation avec d</w:t>
      </w:r>
      <w:r w:rsidR="005543C3">
        <w:t>’</w:t>
      </w:r>
      <w:r w:rsidR="008B6AEE" w:rsidRPr="004542AF">
        <w:t xml:space="preserve">autres experts, une proposition de texte concernant des conseils supplémentaires sur les </w:t>
      </w:r>
      <w:r w:rsidR="008B6AEE" w:rsidRPr="00892782">
        <w:t>caractères PQ et QN/MG, qui serait communiquée aux groupes d</w:t>
      </w:r>
      <w:r w:rsidR="005543C3">
        <w:t>’</w:t>
      </w:r>
      <w:r w:rsidR="008B6AEE" w:rsidRPr="00892782">
        <w:t xml:space="preserve">experts des autres groupes de travail intéressés </w:t>
      </w:r>
      <w:r w:rsidR="008B6AEE" w:rsidRPr="004542AF">
        <w:t>(TWP).</w:t>
      </w:r>
    </w:p>
    <w:p w:rsidR="00704EB7" w:rsidRPr="00892782" w:rsidRDefault="00704EB7" w:rsidP="00704EB7"/>
    <w:p w:rsidR="008B6AEE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D2637E" w:rsidRPr="00892782">
        <w:t xml:space="preserve">Le </w:t>
      </w:r>
      <w:r w:rsidR="00704EB7" w:rsidRPr="00892782">
        <w:t>TWC</w:t>
      </w:r>
      <w:r w:rsidR="008B6AEE" w:rsidRPr="00892782">
        <w:t xml:space="preserve"> a observé que le rédacteur des Pays</w:t>
      </w:r>
      <w:r w:rsidR="005543C3">
        <w:t>-</w:t>
      </w:r>
      <w:r w:rsidR="008B6AEE" w:rsidRPr="00892782">
        <w:t>Bas ne participait plus aux réunions</w:t>
      </w:r>
      <w:r w:rsidR="005543C3" w:rsidRPr="00892782">
        <w:t xml:space="preserve"> du</w:t>
      </w:r>
      <w:r w:rsidR="005543C3">
        <w:t> </w:t>
      </w:r>
      <w:r w:rsidR="005543C3" w:rsidRPr="00892782">
        <w:t>TWC</w:t>
      </w:r>
      <w:r w:rsidR="008B6AEE" w:rsidRPr="00892782">
        <w:t xml:space="preserve"> et qu</w:t>
      </w:r>
      <w:r w:rsidR="005543C3">
        <w:t>’</w:t>
      </w:r>
      <w:r w:rsidR="008B6AEE" w:rsidRPr="00892782">
        <w:t>il</w:t>
      </w:r>
      <w:r w:rsidR="00D55670">
        <w:t> </w:t>
      </w:r>
      <w:r w:rsidR="008B6AEE" w:rsidRPr="00892782">
        <w:t>n</w:t>
      </w:r>
      <w:r w:rsidR="005543C3">
        <w:t>’</w:t>
      </w:r>
      <w:r w:rsidR="008B6AEE" w:rsidRPr="00892782">
        <w:t>était pas possible de désigner un ou plusieurs autres experts</w:t>
      </w:r>
      <w:r w:rsidR="005543C3" w:rsidRPr="00892782">
        <w:t xml:space="preserve"> du</w:t>
      </w:r>
      <w:r w:rsidR="005543C3">
        <w:t> </w:t>
      </w:r>
      <w:r w:rsidR="005543C3" w:rsidRPr="00892782">
        <w:t>TWC</w:t>
      </w:r>
      <w:r w:rsidR="008B6AEE" w:rsidRPr="00892782">
        <w:t xml:space="preserve"> qui poursuivrait les travaux.</w:t>
      </w:r>
      <w:r w:rsidR="00892782" w:rsidRPr="00892782">
        <w:t xml:space="preserve"> </w:t>
      </w:r>
      <w:r w:rsidR="005543C3" w:rsidRPr="00892782">
        <w:t xml:space="preserve"> Le</w:t>
      </w:r>
      <w:r w:rsidR="005543C3">
        <w:t> </w:t>
      </w:r>
      <w:r w:rsidR="005543C3" w:rsidRPr="00892782">
        <w:t>TWC</w:t>
      </w:r>
      <w:r w:rsidR="008B6AEE" w:rsidRPr="00892782">
        <w:t xml:space="preserve"> a toutefois noté que</w:t>
      </w:r>
      <w:r w:rsidR="005543C3" w:rsidRPr="00892782">
        <w:t xml:space="preserve"> le</w:t>
      </w:r>
      <w:r w:rsidR="005543C3">
        <w:t> </w:t>
      </w:r>
      <w:r w:rsidR="005543C3" w:rsidRPr="00892782">
        <w:t>TWO</w:t>
      </w:r>
      <w:r w:rsidR="008B6AEE" w:rsidRPr="00892782">
        <w:t xml:space="preserve"> et</w:t>
      </w:r>
      <w:r w:rsidR="005543C3" w:rsidRPr="00892782">
        <w:t xml:space="preserve"> le</w:t>
      </w:r>
      <w:r w:rsidR="005543C3">
        <w:t> </w:t>
      </w:r>
      <w:r w:rsidR="005543C3" w:rsidRPr="00892782">
        <w:t>TWV</w:t>
      </w:r>
      <w:r w:rsidR="008B6AEE" w:rsidRPr="00892782">
        <w:t xml:space="preserve"> avaient proposé que des experts aident à rédiger des conseils supplémentaires sur le texte proposé en vue de son </w:t>
      </w:r>
      <w:r w:rsidR="008B6AEE" w:rsidRPr="004542AF">
        <w:t xml:space="preserve">incorporation dans une future version révisée du </w:t>
      </w:r>
      <w:r w:rsidR="008B6AEE" w:rsidRPr="00892782">
        <w:t>document TGP/8</w:t>
      </w:r>
      <w:r w:rsidR="00E26227">
        <w:t> :</w:t>
      </w:r>
      <w:r w:rsidR="00D55670">
        <w:t xml:space="preserve"> p</w:t>
      </w:r>
      <w:r w:rsidR="008B6AEE" w:rsidRPr="00892782">
        <w:t>remière partie</w:t>
      </w:r>
      <w:r w:rsidR="0034687C">
        <w:t> </w:t>
      </w:r>
      <w:r w:rsidR="008B6AEE" w:rsidRPr="00892782">
        <w:t>: Protocole d</w:t>
      </w:r>
      <w:r w:rsidR="005543C3">
        <w:t>’</w:t>
      </w:r>
      <w:r w:rsidR="008B6AEE" w:rsidRPr="00892782">
        <w:t>ess</w:t>
      </w:r>
      <w:r w:rsidR="00D55670">
        <w:t>ai DHS et analyse des données, n</w:t>
      </w:r>
      <w:r w:rsidR="008B6AEE" w:rsidRPr="00892782">
        <w:t>ouvelle section</w:t>
      </w:r>
      <w:r w:rsidR="0034687C">
        <w:t> </w:t>
      </w:r>
      <w:r w:rsidR="008B6AEE" w:rsidRPr="00892782">
        <w:t>: Réduction optimale de la variation due à différents observateurs, pour inclure des conseils sur les caractères</w:t>
      </w:r>
      <w:r w:rsidR="00D55670">
        <w:t> </w:t>
      </w:r>
      <w:r w:rsidR="008B6AEE" w:rsidRPr="00892782">
        <w:t>PQ et QN/MG.</w:t>
      </w:r>
    </w:p>
    <w:p w:rsidR="00704EB7" w:rsidRPr="00892782" w:rsidRDefault="00704EB7" w:rsidP="00704EB7"/>
    <w:p w:rsidR="008B6AEE" w:rsidRPr="00892782" w:rsidRDefault="00C967DE" w:rsidP="00704EB7">
      <w:pPr>
        <w:rPr>
          <w:sz w:val="16"/>
        </w:rPr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D2637E" w:rsidRPr="00892782">
        <w:t xml:space="preserve">Le </w:t>
      </w:r>
      <w:r w:rsidR="00704EB7" w:rsidRPr="00892782">
        <w:t xml:space="preserve">TWC </w:t>
      </w:r>
      <w:r w:rsidR="008B6AEE" w:rsidRPr="00892782">
        <w:t>a pris acte de la proposition</w:t>
      </w:r>
      <w:r w:rsidR="005543C3" w:rsidRPr="00892782">
        <w:t xml:space="preserve"> du</w:t>
      </w:r>
      <w:r w:rsidR="005543C3">
        <w:t> </w:t>
      </w:r>
      <w:r w:rsidR="005543C3" w:rsidRPr="00892782">
        <w:t>TWF</w:t>
      </w:r>
      <w:r w:rsidR="008B6AEE" w:rsidRPr="00892782">
        <w:t xml:space="preserve"> d</w:t>
      </w:r>
      <w:r w:rsidR="005543C3">
        <w:t>’</w:t>
      </w:r>
      <w:r w:rsidR="008B6AEE" w:rsidRPr="00892782">
        <w:t xml:space="preserve">inviter un expert de </w:t>
      </w:r>
      <w:r w:rsidR="008B6AEE" w:rsidRPr="00892782">
        <w:rPr>
          <w:rFonts w:cs="Arial"/>
          <w:szCs w:val="24"/>
        </w:rPr>
        <w:t>Nouvelle</w:t>
      </w:r>
      <w:r w:rsidR="005543C3">
        <w:rPr>
          <w:rFonts w:cs="Arial"/>
          <w:szCs w:val="24"/>
        </w:rPr>
        <w:t>-</w:t>
      </w:r>
      <w:r w:rsidR="008B6AEE" w:rsidRPr="00892782">
        <w:rPr>
          <w:rFonts w:cs="Arial"/>
          <w:szCs w:val="24"/>
        </w:rPr>
        <w:t>Zélande à rendre compte, à sa quarante</w:t>
      </w:r>
      <w:r w:rsidR="005543C3">
        <w:rPr>
          <w:rFonts w:cs="Arial"/>
          <w:szCs w:val="24"/>
        </w:rPr>
        <w:t>-</w:t>
      </w:r>
      <w:r w:rsidR="008B6AEE" w:rsidRPr="00892782">
        <w:rPr>
          <w:rFonts w:cs="Arial"/>
          <w:szCs w:val="24"/>
        </w:rPr>
        <w:t>cinquième</w:t>
      </w:r>
      <w:r w:rsidR="0034687C">
        <w:rPr>
          <w:rFonts w:cs="Arial"/>
          <w:szCs w:val="24"/>
        </w:rPr>
        <w:t> </w:t>
      </w:r>
      <w:r w:rsidR="008B6AEE" w:rsidRPr="00892782">
        <w:rPr>
          <w:rFonts w:cs="Arial"/>
          <w:szCs w:val="24"/>
        </w:rPr>
        <w:t xml:space="preserve">session, des travaux effectués sur la </w:t>
      </w:r>
      <w:r w:rsidR="0034687C">
        <w:t>“</w:t>
      </w:r>
      <w:r w:rsidR="008B6AEE" w:rsidRPr="00892782">
        <w:t>publication d</w:t>
      </w:r>
      <w:r w:rsidR="005543C3">
        <w:t>’</w:t>
      </w:r>
      <w:r w:rsidR="008B6AEE" w:rsidRPr="00892782">
        <w:t>une description variétale harmonisée pour un ensemble convenu de variétés de pommes</w:t>
      </w:r>
      <w:r w:rsidR="0034687C">
        <w:t>”</w:t>
      </w:r>
      <w:r w:rsidR="008B6AEE" w:rsidRPr="00892782">
        <w:t>, afin de voir s</w:t>
      </w:r>
      <w:r w:rsidR="005543C3">
        <w:t>’</w:t>
      </w:r>
      <w:r w:rsidR="008B6AEE" w:rsidRPr="00892782">
        <w:t>il convient d</w:t>
      </w:r>
      <w:r w:rsidR="005543C3">
        <w:t>’</w:t>
      </w:r>
      <w:r w:rsidR="008B6AEE" w:rsidRPr="00892782">
        <w:t>approfondir cette étude.</w:t>
      </w:r>
    </w:p>
    <w:p w:rsidR="00704EB7" w:rsidRPr="00892782" w:rsidRDefault="00704EB7" w:rsidP="00704EB7"/>
    <w:p w:rsidR="008B6AEE" w:rsidRPr="00892782" w:rsidRDefault="00C967DE" w:rsidP="00D55670">
      <w:pPr>
        <w:shd w:val="clear" w:color="auto" w:fill="FFFFFF"/>
      </w:pPr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704EB7" w:rsidRPr="00892782">
        <w:tab/>
      </w:r>
      <w:r w:rsidR="00D2637E" w:rsidRPr="00892782">
        <w:t xml:space="preserve">Le </w:t>
      </w:r>
      <w:r w:rsidR="00704EB7" w:rsidRPr="00892782">
        <w:t xml:space="preserve">TWA </w:t>
      </w:r>
      <w:r w:rsidR="008B6AEE" w:rsidRPr="00892782">
        <w:t xml:space="preserve">a </w:t>
      </w:r>
      <w:r w:rsidR="00704EB7" w:rsidRPr="00892782">
        <w:t>propos</w:t>
      </w:r>
      <w:r w:rsidR="008B6AEE" w:rsidRPr="00892782">
        <w:t>é que des experts d</w:t>
      </w:r>
      <w:r w:rsidR="005543C3">
        <w:t>’</w:t>
      </w:r>
      <w:r w:rsidR="008B6AEE" w:rsidRPr="00892782">
        <w:t>Australie et des Pays</w:t>
      </w:r>
      <w:r w:rsidR="005543C3">
        <w:t>-</w:t>
      </w:r>
      <w:r w:rsidR="008B6AEE" w:rsidRPr="00892782">
        <w:t>Bas, membres</w:t>
      </w:r>
      <w:r w:rsidR="005543C3" w:rsidRPr="00892782">
        <w:t xml:space="preserve"> du</w:t>
      </w:r>
      <w:r w:rsidR="005543C3">
        <w:t> </w:t>
      </w:r>
      <w:r w:rsidR="005543C3" w:rsidRPr="00892782">
        <w:t>TWA</w:t>
      </w:r>
      <w:r w:rsidR="008B6AEE" w:rsidRPr="00892782">
        <w:t>, aident le</w:t>
      </w:r>
      <w:r w:rsidR="00AD5A98">
        <w:t xml:space="preserve"> </w:t>
      </w:r>
      <w:r w:rsidR="008B6AEE" w:rsidRPr="00892782">
        <w:t xml:space="preserve">rédacteur à élaborer des conseils supplémentaires sur le texte proposé en vue de son </w:t>
      </w:r>
      <w:r w:rsidR="008B6AEE" w:rsidRPr="004542AF">
        <w:t xml:space="preserve">incorporation dans une future version révisée du </w:t>
      </w:r>
      <w:r w:rsidR="008B6AEE" w:rsidRPr="00892782">
        <w:t>document TGP/8</w:t>
      </w:r>
      <w:r w:rsidR="00E26227">
        <w:t> :</w:t>
      </w:r>
      <w:r w:rsidR="00D55670">
        <w:t xml:space="preserve"> p</w:t>
      </w:r>
      <w:r w:rsidR="008B6AEE" w:rsidRPr="00892782">
        <w:t>remière partie</w:t>
      </w:r>
      <w:r w:rsidR="0034687C">
        <w:t> </w:t>
      </w:r>
      <w:r w:rsidR="008B6AEE" w:rsidRPr="00892782">
        <w:t>: Protocole d</w:t>
      </w:r>
      <w:r w:rsidR="005543C3">
        <w:t>’</w:t>
      </w:r>
      <w:r w:rsidR="008B6AEE" w:rsidRPr="00892782">
        <w:t>ess</w:t>
      </w:r>
      <w:r w:rsidR="00D55670">
        <w:t>ai DHS et analyse des données, n</w:t>
      </w:r>
      <w:r w:rsidR="008B6AEE" w:rsidRPr="00892782">
        <w:t>ouvelle section</w:t>
      </w:r>
      <w:r w:rsidR="0034687C">
        <w:t> </w:t>
      </w:r>
      <w:r w:rsidR="008B6AEE" w:rsidRPr="00892782">
        <w:t>: Réduction optimale de la variation due à différents observateurs, pour inclure des conseils sur les caractères PQ et QN/MG.</w:t>
      </w:r>
    </w:p>
    <w:p w:rsidR="00704EB7" w:rsidRPr="00892782" w:rsidRDefault="00704EB7" w:rsidP="00704EB7"/>
    <w:p w:rsidR="008B6AEE" w:rsidRPr="00892782" w:rsidRDefault="00C967DE" w:rsidP="00704EB7">
      <w:r w:rsidRPr="00892782">
        <w:fldChar w:fldCharType="begin"/>
      </w:r>
      <w:r w:rsidR="00704EB7" w:rsidRPr="00892782">
        <w:instrText xml:space="preserve"> AUTONUM  </w:instrText>
      </w:r>
      <w:r w:rsidRPr="00892782">
        <w:fldChar w:fldCharType="end"/>
      </w:r>
      <w:r w:rsidR="008B6AEE" w:rsidRPr="00892782">
        <w:tab/>
        <w:t>M</w:t>
      </w:r>
      <w:r w:rsidR="00704EB7" w:rsidRPr="00892782">
        <w:t>.</w:t>
      </w:r>
      <w:r w:rsidR="0034687C">
        <w:t> </w:t>
      </w:r>
      <w:r w:rsidR="00704EB7" w:rsidRPr="00892782">
        <w:t>Nik Hulse (Australi</w:t>
      </w:r>
      <w:r w:rsidR="008B6AEE" w:rsidRPr="00892782">
        <w:t>e</w:t>
      </w:r>
      <w:r w:rsidR="00704EB7" w:rsidRPr="00892782">
        <w:t xml:space="preserve">), </w:t>
      </w:r>
      <w:r w:rsidR="008B6AEE" w:rsidRPr="00892782">
        <w:t>a accepté d</w:t>
      </w:r>
      <w:r w:rsidR="005543C3">
        <w:t>’</w:t>
      </w:r>
      <w:r w:rsidR="008B6AEE" w:rsidRPr="00892782">
        <w:t>élaborer, avec le concours d</w:t>
      </w:r>
      <w:r w:rsidR="005543C3">
        <w:t>’</w:t>
      </w:r>
      <w:r w:rsidR="008B6AEE" w:rsidRPr="00892782">
        <w:t>experts de l</w:t>
      </w:r>
      <w:r w:rsidR="005543C3">
        <w:t>’</w:t>
      </w:r>
      <w:r w:rsidR="008B6AEE" w:rsidRPr="00892782">
        <w:t>Union européenne, de la France, de l</w:t>
      </w:r>
      <w:r w:rsidR="005543C3">
        <w:t>’</w:t>
      </w:r>
      <w:r w:rsidR="008B6AEE" w:rsidRPr="00892782">
        <w:t>Allemagne, des Pays</w:t>
      </w:r>
      <w:r w:rsidR="005543C3">
        <w:t>-</w:t>
      </w:r>
      <w:r w:rsidR="008B6AEE" w:rsidRPr="00892782">
        <w:t>Bas et du Royaume</w:t>
      </w:r>
      <w:r w:rsidR="005543C3">
        <w:t>-</w:t>
      </w:r>
      <w:r w:rsidR="008B6AEE" w:rsidRPr="00892782">
        <w:t xml:space="preserve">Uni, des conseils supplémentaires sur le texte proposé en vue de son </w:t>
      </w:r>
      <w:r w:rsidR="008B6AEE" w:rsidRPr="004542AF">
        <w:t xml:space="preserve">incorporation dans une future version révisée du </w:t>
      </w:r>
      <w:r w:rsidR="008B6AEE" w:rsidRPr="00892782">
        <w:t>document TGP/8</w:t>
      </w:r>
      <w:r w:rsidR="00E26227">
        <w:t> :</w:t>
      </w:r>
      <w:r w:rsidR="00D55670">
        <w:t xml:space="preserve"> p</w:t>
      </w:r>
      <w:r w:rsidR="008B6AEE" w:rsidRPr="00892782">
        <w:t>remière partie</w:t>
      </w:r>
      <w:r w:rsidR="0034687C">
        <w:t> </w:t>
      </w:r>
      <w:r w:rsidR="008B6AEE" w:rsidRPr="00892782">
        <w:t>: Protocole d</w:t>
      </w:r>
      <w:r w:rsidR="005543C3">
        <w:t>’</w:t>
      </w:r>
      <w:r w:rsidR="008B6AEE" w:rsidRPr="00892782">
        <w:t>ess</w:t>
      </w:r>
      <w:r w:rsidR="00D55670">
        <w:t>ai DHS et analyse des données, n</w:t>
      </w:r>
      <w:r w:rsidR="008B6AEE" w:rsidRPr="00892782">
        <w:t>ouvelle section</w:t>
      </w:r>
      <w:r w:rsidR="0034687C">
        <w:t> </w:t>
      </w:r>
      <w:r w:rsidR="008B6AEE" w:rsidRPr="00892782">
        <w:t>: Réduction optimale de la variation due à différents observateurs, pour inclure des conseils sur les caractères PQ et QN/MG, afin que</w:t>
      </w:r>
      <w:r w:rsidR="005543C3" w:rsidRPr="00892782">
        <w:t xml:space="preserve"> les</w:t>
      </w:r>
      <w:r w:rsidR="005543C3">
        <w:t> </w:t>
      </w:r>
      <w:r w:rsidR="005543C3" w:rsidRPr="00892782">
        <w:t>TWP</w:t>
      </w:r>
      <w:r w:rsidR="008B6AEE" w:rsidRPr="00892782">
        <w:t xml:space="preserve"> examinent ces conseils lors de leurs sessions de</w:t>
      </w:r>
      <w:r w:rsidR="0034687C">
        <w:t> </w:t>
      </w:r>
      <w:r w:rsidR="008B6AEE" w:rsidRPr="00892782">
        <w:t>2014.</w:t>
      </w:r>
    </w:p>
    <w:p w:rsidR="00704EB7" w:rsidRPr="00892782" w:rsidRDefault="00704EB7" w:rsidP="00704EB7"/>
    <w:p w:rsidR="004B5768" w:rsidRPr="00892782" w:rsidRDefault="00C967DE" w:rsidP="004B5768">
      <w:pPr>
        <w:tabs>
          <w:tab w:val="left" w:pos="5103"/>
          <w:tab w:val="left" w:pos="5670"/>
        </w:tabs>
        <w:ind w:left="4536"/>
        <w:rPr>
          <w:i/>
        </w:rPr>
      </w:pPr>
      <w:r w:rsidRPr="00892782">
        <w:rPr>
          <w:i/>
        </w:rPr>
        <w:fldChar w:fldCharType="begin"/>
      </w:r>
      <w:r w:rsidR="004B5768" w:rsidRPr="00892782">
        <w:rPr>
          <w:i/>
        </w:rPr>
        <w:instrText xml:space="preserve"> AUTONUM  </w:instrText>
      </w:r>
      <w:r w:rsidRPr="00892782">
        <w:rPr>
          <w:i/>
        </w:rPr>
        <w:fldChar w:fldCharType="end"/>
      </w:r>
      <w:r w:rsidR="00892782" w:rsidRPr="00892782">
        <w:rPr>
          <w:i/>
        </w:rPr>
        <w:tab/>
        <w:t>L</w:t>
      </w:r>
      <w:r w:rsidR="004B5768" w:rsidRPr="00892782">
        <w:rPr>
          <w:i/>
        </w:rPr>
        <w:t>e</w:t>
      </w:r>
      <w:r w:rsidR="005543C3">
        <w:rPr>
          <w:i/>
        </w:rPr>
        <w:t> TC</w:t>
      </w:r>
      <w:r w:rsidR="004B5768" w:rsidRPr="00892782">
        <w:rPr>
          <w:i/>
        </w:rPr>
        <w:t xml:space="preserve"> </w:t>
      </w:r>
      <w:r w:rsidR="00892782" w:rsidRPr="00892782">
        <w:rPr>
          <w:i/>
        </w:rPr>
        <w:t>est</w:t>
      </w:r>
      <w:r w:rsidR="004B5768" w:rsidRPr="00892782">
        <w:rPr>
          <w:i/>
        </w:rPr>
        <w:t xml:space="preserve"> </w:t>
      </w:r>
      <w:r w:rsidR="00D55670">
        <w:rPr>
          <w:i/>
        </w:rPr>
        <w:t>invité</w:t>
      </w:r>
    </w:p>
    <w:p w:rsidR="004B5768" w:rsidRPr="00892782" w:rsidRDefault="004B5768" w:rsidP="004B5768">
      <w:pPr>
        <w:tabs>
          <w:tab w:val="left" w:pos="5103"/>
          <w:tab w:val="left" w:pos="5670"/>
        </w:tabs>
        <w:rPr>
          <w:i/>
        </w:rPr>
      </w:pPr>
    </w:p>
    <w:p w:rsidR="00892782" w:rsidRPr="00892782" w:rsidRDefault="004B5768" w:rsidP="004B5768">
      <w:pPr>
        <w:tabs>
          <w:tab w:val="left" w:pos="5103"/>
          <w:tab w:val="left" w:pos="5670"/>
        </w:tabs>
        <w:ind w:left="4536" w:firstLine="567"/>
        <w:rPr>
          <w:i/>
        </w:rPr>
      </w:pPr>
      <w:r w:rsidRPr="00892782">
        <w:rPr>
          <w:i/>
        </w:rPr>
        <w:t>a)</w:t>
      </w:r>
      <w:r w:rsidRPr="00892782">
        <w:rPr>
          <w:i/>
        </w:rPr>
        <w:tab/>
      </w:r>
      <w:r w:rsidR="00D55670">
        <w:rPr>
          <w:i/>
        </w:rPr>
        <w:t xml:space="preserve">à </w:t>
      </w:r>
      <w:r w:rsidR="00B27346" w:rsidRPr="00892782">
        <w:rPr>
          <w:i/>
        </w:rPr>
        <w:t>note</w:t>
      </w:r>
      <w:r w:rsidR="00892782" w:rsidRPr="00892782">
        <w:rPr>
          <w:i/>
        </w:rPr>
        <w:t>r</w:t>
      </w:r>
      <w:r w:rsidR="00B27346" w:rsidRPr="00892782">
        <w:rPr>
          <w:i/>
        </w:rPr>
        <w:t xml:space="preserve"> </w:t>
      </w:r>
      <w:r w:rsidR="00892782" w:rsidRPr="00892782">
        <w:rPr>
          <w:i/>
        </w:rPr>
        <w:t>que</w:t>
      </w:r>
      <w:r w:rsidR="005543C3" w:rsidRPr="00892782">
        <w:rPr>
          <w:i/>
        </w:rPr>
        <w:t xml:space="preserve"> le</w:t>
      </w:r>
      <w:r w:rsidR="005543C3">
        <w:rPr>
          <w:i/>
        </w:rPr>
        <w:t> </w:t>
      </w:r>
      <w:r w:rsidR="005543C3" w:rsidRPr="00892782">
        <w:rPr>
          <w:i/>
        </w:rPr>
        <w:t>TWF</w:t>
      </w:r>
      <w:r w:rsidRPr="00892782">
        <w:rPr>
          <w:i/>
        </w:rPr>
        <w:t xml:space="preserve"> </w:t>
      </w:r>
      <w:r w:rsidR="00892782" w:rsidRPr="00892782">
        <w:rPr>
          <w:i/>
        </w:rPr>
        <w:t>a demandé à un</w:t>
      </w:r>
      <w:r w:rsidR="000E1E8E" w:rsidRPr="00892782">
        <w:rPr>
          <w:i/>
        </w:rPr>
        <w:t xml:space="preserve"> </w:t>
      </w:r>
      <w:r w:rsidRPr="00892782">
        <w:rPr>
          <w:i/>
        </w:rPr>
        <w:t>expert</w:t>
      </w:r>
      <w:r w:rsidR="00B27346" w:rsidRPr="00892782">
        <w:rPr>
          <w:i/>
        </w:rPr>
        <w:t xml:space="preserve"> </w:t>
      </w:r>
      <w:r w:rsidR="00892782" w:rsidRPr="00892782">
        <w:rPr>
          <w:i/>
        </w:rPr>
        <w:t xml:space="preserve">de </w:t>
      </w:r>
      <w:r w:rsidR="00892782" w:rsidRPr="00892782">
        <w:rPr>
          <w:rFonts w:cs="Arial"/>
          <w:i/>
          <w:szCs w:val="24"/>
        </w:rPr>
        <w:t>Nouvelle</w:t>
      </w:r>
      <w:r w:rsidR="005543C3">
        <w:rPr>
          <w:rFonts w:cs="Arial"/>
          <w:i/>
          <w:szCs w:val="24"/>
        </w:rPr>
        <w:t>-</w:t>
      </w:r>
      <w:r w:rsidR="00892782" w:rsidRPr="00892782">
        <w:rPr>
          <w:rFonts w:cs="Arial"/>
          <w:i/>
          <w:szCs w:val="24"/>
        </w:rPr>
        <w:t>Zélande</w:t>
      </w:r>
      <w:r w:rsidR="00892782" w:rsidRPr="00892782">
        <w:rPr>
          <w:i/>
          <w:sz w:val="16"/>
        </w:rPr>
        <w:t xml:space="preserve"> </w:t>
      </w:r>
      <w:r w:rsidR="00892782" w:rsidRPr="00892782">
        <w:rPr>
          <w:i/>
        </w:rPr>
        <w:t>de rendre compte, à sa session de</w:t>
      </w:r>
      <w:r w:rsidR="0034687C">
        <w:rPr>
          <w:i/>
        </w:rPr>
        <w:t> </w:t>
      </w:r>
      <w:r w:rsidR="00892782" w:rsidRPr="00892782">
        <w:rPr>
          <w:i/>
        </w:rPr>
        <w:t>2014, des travaux réalisés précédemment sur la</w:t>
      </w:r>
      <w:r w:rsidR="00AD5A98">
        <w:rPr>
          <w:i/>
        </w:rPr>
        <w:t xml:space="preserve"> </w:t>
      </w:r>
      <w:r w:rsidR="00892782" w:rsidRPr="00892782">
        <w:rPr>
          <w:i/>
        </w:rPr>
        <w:t>description variétale harmonisée de la pomme pour un</w:t>
      </w:r>
      <w:r w:rsidR="00AD5A98">
        <w:rPr>
          <w:i/>
        </w:rPr>
        <w:t xml:space="preserve"> </w:t>
      </w:r>
      <w:r w:rsidR="00892782" w:rsidRPr="00892782">
        <w:rPr>
          <w:i/>
        </w:rPr>
        <w:t>ensemble convenu de variétés, ainsi qu</w:t>
      </w:r>
      <w:r w:rsidR="005543C3">
        <w:rPr>
          <w:i/>
        </w:rPr>
        <w:t>’</w:t>
      </w:r>
      <w:r w:rsidR="00892782" w:rsidRPr="00892782">
        <w:rPr>
          <w:i/>
        </w:rPr>
        <w:t>indiqué au</w:t>
      </w:r>
      <w:r w:rsidR="00AD5A98">
        <w:rPr>
          <w:i/>
        </w:rPr>
        <w:t xml:space="preserve"> </w:t>
      </w:r>
      <w:r w:rsidR="00892782" w:rsidRPr="00892782">
        <w:rPr>
          <w:i/>
        </w:rPr>
        <w:t>paragraphe</w:t>
      </w:r>
      <w:r w:rsidR="0034687C">
        <w:rPr>
          <w:i/>
        </w:rPr>
        <w:t> </w:t>
      </w:r>
      <w:r w:rsidR="00892782" w:rsidRPr="00892782">
        <w:rPr>
          <w:i/>
        </w:rPr>
        <w:t>17 du présent document</w:t>
      </w:r>
      <w:r w:rsidR="00AD5A98">
        <w:rPr>
          <w:i/>
        </w:rPr>
        <w:t xml:space="preserve">; </w:t>
      </w:r>
      <w:r w:rsidR="00892782" w:rsidRPr="00892782">
        <w:rPr>
          <w:i/>
        </w:rPr>
        <w:t xml:space="preserve"> et</w:t>
      </w:r>
    </w:p>
    <w:p w:rsidR="004B5768" w:rsidRPr="00892782" w:rsidRDefault="004B5768" w:rsidP="004B5768">
      <w:pPr>
        <w:tabs>
          <w:tab w:val="left" w:pos="5103"/>
          <w:tab w:val="left" w:pos="5670"/>
        </w:tabs>
        <w:ind w:left="4536" w:firstLine="567"/>
        <w:rPr>
          <w:i/>
        </w:rPr>
      </w:pPr>
    </w:p>
    <w:p w:rsidR="00892782" w:rsidRPr="00892782" w:rsidRDefault="00D55670" w:rsidP="004B5768">
      <w:pPr>
        <w:tabs>
          <w:tab w:val="left" w:pos="4536"/>
          <w:tab w:val="left" w:pos="5670"/>
        </w:tabs>
        <w:ind w:left="4536" w:firstLine="567"/>
        <w:rPr>
          <w:i/>
        </w:rPr>
      </w:pPr>
      <w:bookmarkStart w:id="17" w:name="_GoBack"/>
      <w:bookmarkEnd w:id="17"/>
      <w:r>
        <w:rPr>
          <w:i/>
        </w:rPr>
        <w:lastRenderedPageBreak/>
        <w:t>b)</w:t>
      </w:r>
      <w:r>
        <w:rPr>
          <w:i/>
        </w:rPr>
        <w:tab/>
        <w:t xml:space="preserve">à </w:t>
      </w:r>
      <w:r w:rsidR="00B27346" w:rsidRPr="00892782">
        <w:rPr>
          <w:i/>
        </w:rPr>
        <w:t>invite</w:t>
      </w:r>
      <w:r w:rsidR="00892782" w:rsidRPr="00892782">
        <w:rPr>
          <w:i/>
        </w:rPr>
        <w:t>r l</w:t>
      </w:r>
      <w:r w:rsidR="005543C3">
        <w:rPr>
          <w:i/>
        </w:rPr>
        <w:t>’</w:t>
      </w:r>
      <w:r w:rsidR="004B5768" w:rsidRPr="00892782">
        <w:rPr>
          <w:i/>
        </w:rPr>
        <w:t xml:space="preserve">expert </w:t>
      </w:r>
      <w:r w:rsidR="00892782" w:rsidRPr="00892782">
        <w:rPr>
          <w:i/>
        </w:rPr>
        <w:t>d</w:t>
      </w:r>
      <w:r w:rsidR="005543C3">
        <w:rPr>
          <w:i/>
        </w:rPr>
        <w:t>’</w:t>
      </w:r>
      <w:r w:rsidR="004B5768" w:rsidRPr="00892782">
        <w:rPr>
          <w:i/>
        </w:rPr>
        <w:t>Australi</w:t>
      </w:r>
      <w:r w:rsidR="00892782" w:rsidRPr="00892782">
        <w:rPr>
          <w:i/>
        </w:rPr>
        <w:t>e à rédiger, avec l</w:t>
      </w:r>
      <w:r w:rsidR="005543C3">
        <w:rPr>
          <w:i/>
        </w:rPr>
        <w:t>’</w:t>
      </w:r>
      <w:r w:rsidR="00892782" w:rsidRPr="00892782">
        <w:rPr>
          <w:i/>
        </w:rPr>
        <w:t>aide d</w:t>
      </w:r>
      <w:r w:rsidR="005543C3">
        <w:rPr>
          <w:i/>
        </w:rPr>
        <w:t>’</w:t>
      </w:r>
      <w:r w:rsidR="00892782" w:rsidRPr="00892782">
        <w:rPr>
          <w:i/>
        </w:rPr>
        <w:t>experts de l</w:t>
      </w:r>
      <w:r w:rsidR="005543C3">
        <w:rPr>
          <w:i/>
        </w:rPr>
        <w:t>’</w:t>
      </w:r>
      <w:r w:rsidR="00892782" w:rsidRPr="00892782">
        <w:rPr>
          <w:i/>
        </w:rPr>
        <w:t>Union européenne, de la France, de l</w:t>
      </w:r>
      <w:r w:rsidR="005543C3">
        <w:rPr>
          <w:i/>
        </w:rPr>
        <w:t>’</w:t>
      </w:r>
      <w:r w:rsidR="00892782" w:rsidRPr="00892782">
        <w:rPr>
          <w:i/>
        </w:rPr>
        <w:t>Allemagne, des Pays</w:t>
      </w:r>
      <w:r w:rsidR="005543C3">
        <w:rPr>
          <w:i/>
        </w:rPr>
        <w:t>-</w:t>
      </w:r>
      <w:r w:rsidR="00892782" w:rsidRPr="00892782">
        <w:rPr>
          <w:i/>
        </w:rPr>
        <w:t>Bas et du Royaume</w:t>
      </w:r>
      <w:r w:rsidR="005543C3">
        <w:rPr>
          <w:i/>
        </w:rPr>
        <w:t>-</w:t>
      </w:r>
      <w:r w:rsidR="00892782" w:rsidRPr="00892782">
        <w:rPr>
          <w:i/>
        </w:rPr>
        <w:t>Uni, des</w:t>
      </w:r>
      <w:r w:rsidR="00AD5A98">
        <w:rPr>
          <w:i/>
        </w:rPr>
        <w:t xml:space="preserve"> </w:t>
      </w:r>
      <w:r w:rsidR="00892782" w:rsidRPr="00892782">
        <w:rPr>
          <w:i/>
        </w:rPr>
        <w:t>conseils supplémentaires en vue de leur incorporation dans une future version révisée du document TGP/8, concernant l</w:t>
      </w:r>
      <w:r w:rsidR="005543C3">
        <w:rPr>
          <w:i/>
        </w:rPr>
        <w:t>’</w:t>
      </w:r>
      <w:r w:rsidR="00892782" w:rsidRPr="00892782">
        <w:rPr>
          <w:i/>
        </w:rPr>
        <w:t>optimisation de la</w:t>
      </w:r>
      <w:r>
        <w:rPr>
          <w:i/>
        </w:rPr>
        <w:t> </w:t>
      </w:r>
      <w:r w:rsidR="00892782" w:rsidRPr="00892782">
        <w:rPr>
          <w:i/>
        </w:rPr>
        <w:t>variation due à différents observateurs, y</w:t>
      </w:r>
      <w:r w:rsidR="0034687C">
        <w:rPr>
          <w:i/>
        </w:rPr>
        <w:t> </w:t>
      </w:r>
      <w:r w:rsidR="00892782" w:rsidRPr="00892782">
        <w:rPr>
          <w:i/>
        </w:rPr>
        <w:t>compris des</w:t>
      </w:r>
      <w:r>
        <w:rPr>
          <w:i/>
        </w:rPr>
        <w:t> </w:t>
      </w:r>
      <w:r w:rsidR="00892782" w:rsidRPr="00892782">
        <w:rPr>
          <w:i/>
        </w:rPr>
        <w:t>conseils sur les caractères PQ et QN/MG, afin que ces conseils soient examinés par</w:t>
      </w:r>
      <w:r w:rsidR="005543C3" w:rsidRPr="00892782">
        <w:rPr>
          <w:i/>
        </w:rPr>
        <w:t xml:space="preserve"> les</w:t>
      </w:r>
      <w:r w:rsidR="005543C3">
        <w:rPr>
          <w:i/>
        </w:rPr>
        <w:t> </w:t>
      </w:r>
      <w:r w:rsidR="005543C3" w:rsidRPr="00892782">
        <w:rPr>
          <w:i/>
        </w:rPr>
        <w:t>TWP</w:t>
      </w:r>
      <w:r w:rsidR="00892782" w:rsidRPr="00892782">
        <w:rPr>
          <w:i/>
        </w:rPr>
        <w:t xml:space="preserve"> lors de leurs sessions de</w:t>
      </w:r>
      <w:r w:rsidR="0034687C">
        <w:rPr>
          <w:i/>
        </w:rPr>
        <w:t> </w:t>
      </w:r>
      <w:r w:rsidR="00892782" w:rsidRPr="00892782">
        <w:rPr>
          <w:i/>
        </w:rPr>
        <w:t>2014.</w:t>
      </w:r>
    </w:p>
    <w:p w:rsidR="004B5768" w:rsidRDefault="004B5768" w:rsidP="00D55670">
      <w:pPr>
        <w:tabs>
          <w:tab w:val="left" w:pos="4536"/>
          <w:tab w:val="left" w:pos="5670"/>
        </w:tabs>
        <w:jc w:val="right"/>
        <w:rPr>
          <w:i/>
        </w:rPr>
      </w:pPr>
    </w:p>
    <w:p w:rsidR="00D55670" w:rsidRDefault="00D55670" w:rsidP="00D55670">
      <w:pPr>
        <w:tabs>
          <w:tab w:val="left" w:pos="4536"/>
          <w:tab w:val="left" w:pos="5670"/>
        </w:tabs>
        <w:jc w:val="right"/>
        <w:rPr>
          <w:i/>
        </w:rPr>
      </w:pPr>
    </w:p>
    <w:p w:rsidR="00D55670" w:rsidRPr="00892782" w:rsidRDefault="00D55670" w:rsidP="00D55670">
      <w:pPr>
        <w:tabs>
          <w:tab w:val="left" w:pos="4536"/>
          <w:tab w:val="left" w:pos="5670"/>
        </w:tabs>
        <w:jc w:val="right"/>
        <w:rPr>
          <w:i/>
        </w:rPr>
      </w:pPr>
    </w:p>
    <w:p w:rsidR="00050E16" w:rsidRPr="00892782" w:rsidRDefault="00050E16" w:rsidP="00050E16">
      <w:pPr>
        <w:jc w:val="right"/>
      </w:pPr>
      <w:r w:rsidRPr="00892782">
        <w:t>[</w:t>
      </w:r>
      <w:r w:rsidR="004E1273" w:rsidRPr="00892782">
        <w:t>Fin du</w:t>
      </w:r>
      <w:r w:rsidRPr="00892782">
        <w:t xml:space="preserve"> document]</w:t>
      </w:r>
    </w:p>
    <w:sectPr w:rsidR="00050E16" w:rsidRPr="00892782" w:rsidSect="005543C3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31" w:rsidRDefault="00814731" w:rsidP="006655D3">
      <w:r>
        <w:separator/>
      </w:r>
    </w:p>
    <w:p w:rsidR="00814731" w:rsidRDefault="00814731" w:rsidP="006655D3"/>
    <w:p w:rsidR="00814731" w:rsidRDefault="00814731" w:rsidP="006655D3"/>
  </w:endnote>
  <w:endnote w:type="continuationSeparator" w:id="0">
    <w:p w:rsidR="00814731" w:rsidRDefault="00814731" w:rsidP="006655D3">
      <w:r>
        <w:separator/>
      </w:r>
    </w:p>
    <w:p w:rsidR="00814731" w:rsidRPr="00704EB7" w:rsidRDefault="00814731">
      <w:pPr>
        <w:pStyle w:val="Footer"/>
        <w:spacing w:after="60"/>
        <w:rPr>
          <w:sz w:val="18"/>
          <w:lang w:val="fr-FR"/>
        </w:rPr>
      </w:pPr>
      <w:r w:rsidRPr="00704EB7">
        <w:rPr>
          <w:sz w:val="18"/>
          <w:lang w:val="fr-FR"/>
        </w:rPr>
        <w:t>[Suite de la note de la page précédente]</w:t>
      </w:r>
    </w:p>
    <w:p w:rsidR="00814731" w:rsidRPr="00704EB7" w:rsidRDefault="00814731" w:rsidP="006655D3"/>
    <w:p w:rsidR="00814731" w:rsidRPr="00704EB7" w:rsidRDefault="00814731" w:rsidP="006655D3"/>
  </w:endnote>
  <w:endnote w:type="continuationNotice" w:id="1">
    <w:p w:rsidR="00814731" w:rsidRPr="00704EB7" w:rsidRDefault="00814731" w:rsidP="006655D3">
      <w:r w:rsidRPr="00704EB7">
        <w:t>[Suite de la note page suivante]</w:t>
      </w:r>
    </w:p>
    <w:p w:rsidR="00814731" w:rsidRPr="00704EB7" w:rsidRDefault="00814731" w:rsidP="006655D3"/>
    <w:p w:rsidR="00814731" w:rsidRPr="00704EB7" w:rsidRDefault="0081473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31" w:rsidRDefault="00814731" w:rsidP="006655D3">
      <w:r>
        <w:separator/>
      </w:r>
    </w:p>
  </w:footnote>
  <w:footnote w:type="continuationSeparator" w:id="0">
    <w:p w:rsidR="00814731" w:rsidRDefault="00814731" w:rsidP="006655D3">
      <w:r>
        <w:separator/>
      </w:r>
    </w:p>
  </w:footnote>
  <w:footnote w:type="continuationNotice" w:id="1">
    <w:p w:rsidR="00814731" w:rsidRPr="00AB530F" w:rsidRDefault="0081473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704EB7">
      <w:rPr>
        <w:rStyle w:val="PageNumber"/>
        <w:lang w:val="en-US"/>
      </w:rPr>
      <w:t>21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="00C967DE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C967DE" w:rsidRPr="00C5280D">
      <w:rPr>
        <w:rStyle w:val="PageNumber"/>
        <w:lang w:val="en-US"/>
      </w:rPr>
      <w:fldChar w:fldCharType="separate"/>
    </w:r>
    <w:r w:rsidR="0054705A">
      <w:rPr>
        <w:rStyle w:val="PageNumber"/>
        <w:noProof/>
        <w:lang w:val="en-US"/>
      </w:rPr>
      <w:t>5</w:t>
    </w:r>
    <w:r w:rsidR="00C967DE" w:rsidRPr="00C5280D">
      <w:rPr>
        <w:rStyle w:val="PageNumber"/>
        <w:lang w:val="en-US"/>
      </w:rPr>
      <w:fldChar w:fldCharType="end"/>
    </w:r>
  </w:p>
  <w:p w:rsidR="00182B99" w:rsidRPr="00C5280D" w:rsidRDefault="00182B99" w:rsidP="00504D1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2CFC"/>
    <w:multiLevelType w:val="hybridMultilevel"/>
    <w:tmpl w:val="E3EC918C"/>
    <w:lvl w:ilvl="0" w:tplc="6C2C5380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4781"/>
    <w:multiLevelType w:val="hybridMultilevel"/>
    <w:tmpl w:val="C748B13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10217"/>
    <w:multiLevelType w:val="hybridMultilevel"/>
    <w:tmpl w:val="C2C4937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1BE2"/>
    <w:rsid w:val="00057269"/>
    <w:rsid w:val="00085505"/>
    <w:rsid w:val="000C7021"/>
    <w:rsid w:val="000D6BBC"/>
    <w:rsid w:val="000D7780"/>
    <w:rsid w:val="000D77AD"/>
    <w:rsid w:val="000E1E8E"/>
    <w:rsid w:val="000F2F11"/>
    <w:rsid w:val="00105929"/>
    <w:rsid w:val="001130D1"/>
    <w:rsid w:val="001131D5"/>
    <w:rsid w:val="00124978"/>
    <w:rsid w:val="00141DB8"/>
    <w:rsid w:val="00160BBE"/>
    <w:rsid w:val="0017474A"/>
    <w:rsid w:val="001758C6"/>
    <w:rsid w:val="00182B99"/>
    <w:rsid w:val="00196BEB"/>
    <w:rsid w:val="001A3371"/>
    <w:rsid w:val="001C1173"/>
    <w:rsid w:val="001E260E"/>
    <w:rsid w:val="0021332C"/>
    <w:rsid w:val="00213982"/>
    <w:rsid w:val="0024416D"/>
    <w:rsid w:val="00271911"/>
    <w:rsid w:val="00277E2D"/>
    <w:rsid w:val="002800A0"/>
    <w:rsid w:val="002801B3"/>
    <w:rsid w:val="00281060"/>
    <w:rsid w:val="00293F96"/>
    <w:rsid w:val="002940E8"/>
    <w:rsid w:val="002A6E50"/>
    <w:rsid w:val="002C256A"/>
    <w:rsid w:val="002D0CBC"/>
    <w:rsid w:val="00305A7F"/>
    <w:rsid w:val="003152FE"/>
    <w:rsid w:val="00327436"/>
    <w:rsid w:val="00344BD6"/>
    <w:rsid w:val="0034687C"/>
    <w:rsid w:val="0035528D"/>
    <w:rsid w:val="00361821"/>
    <w:rsid w:val="003D227C"/>
    <w:rsid w:val="003D2B4D"/>
    <w:rsid w:val="00420428"/>
    <w:rsid w:val="0042797A"/>
    <w:rsid w:val="00444A88"/>
    <w:rsid w:val="004542AF"/>
    <w:rsid w:val="00474DA4"/>
    <w:rsid w:val="00476B4D"/>
    <w:rsid w:val="004805FA"/>
    <w:rsid w:val="00485177"/>
    <w:rsid w:val="004B5768"/>
    <w:rsid w:val="004D047D"/>
    <w:rsid w:val="004E1273"/>
    <w:rsid w:val="004F305A"/>
    <w:rsid w:val="00504D10"/>
    <w:rsid w:val="0050671B"/>
    <w:rsid w:val="00512164"/>
    <w:rsid w:val="00520297"/>
    <w:rsid w:val="005338F9"/>
    <w:rsid w:val="0053429E"/>
    <w:rsid w:val="0053475C"/>
    <w:rsid w:val="0054281C"/>
    <w:rsid w:val="0054705A"/>
    <w:rsid w:val="0055268D"/>
    <w:rsid w:val="005543C3"/>
    <w:rsid w:val="00576BE4"/>
    <w:rsid w:val="00584AFA"/>
    <w:rsid w:val="005A400A"/>
    <w:rsid w:val="00612379"/>
    <w:rsid w:val="0061555F"/>
    <w:rsid w:val="00641200"/>
    <w:rsid w:val="00653CDA"/>
    <w:rsid w:val="006655D3"/>
    <w:rsid w:val="00667404"/>
    <w:rsid w:val="00687EB4"/>
    <w:rsid w:val="006B17D2"/>
    <w:rsid w:val="006C224E"/>
    <w:rsid w:val="006D40F2"/>
    <w:rsid w:val="006D780A"/>
    <w:rsid w:val="00704EB7"/>
    <w:rsid w:val="00732DEC"/>
    <w:rsid w:val="00735BD5"/>
    <w:rsid w:val="00737C00"/>
    <w:rsid w:val="00740C9B"/>
    <w:rsid w:val="007556F6"/>
    <w:rsid w:val="00760EEF"/>
    <w:rsid w:val="00777EE5"/>
    <w:rsid w:val="00784836"/>
    <w:rsid w:val="0079023E"/>
    <w:rsid w:val="00797356"/>
    <w:rsid w:val="007A2854"/>
    <w:rsid w:val="007D0B9D"/>
    <w:rsid w:val="007D19B0"/>
    <w:rsid w:val="007D7322"/>
    <w:rsid w:val="007E55C9"/>
    <w:rsid w:val="007F498F"/>
    <w:rsid w:val="0080679D"/>
    <w:rsid w:val="008108B0"/>
    <w:rsid w:val="00811B20"/>
    <w:rsid w:val="00814731"/>
    <w:rsid w:val="0082296E"/>
    <w:rsid w:val="00824099"/>
    <w:rsid w:val="008465EE"/>
    <w:rsid w:val="00867AC1"/>
    <w:rsid w:val="0088284B"/>
    <w:rsid w:val="00892782"/>
    <w:rsid w:val="008A743F"/>
    <w:rsid w:val="008B6AEE"/>
    <w:rsid w:val="008C0970"/>
    <w:rsid w:val="008D2CF7"/>
    <w:rsid w:val="008F7FFD"/>
    <w:rsid w:val="00900C26"/>
    <w:rsid w:val="0090197F"/>
    <w:rsid w:val="00906DDC"/>
    <w:rsid w:val="00934E09"/>
    <w:rsid w:val="00936253"/>
    <w:rsid w:val="00952DD4"/>
    <w:rsid w:val="00970FED"/>
    <w:rsid w:val="009846FE"/>
    <w:rsid w:val="00992D82"/>
    <w:rsid w:val="00997029"/>
    <w:rsid w:val="009D690D"/>
    <w:rsid w:val="009E65B6"/>
    <w:rsid w:val="00A24C10"/>
    <w:rsid w:val="00A42AC3"/>
    <w:rsid w:val="00A430CF"/>
    <w:rsid w:val="00A54309"/>
    <w:rsid w:val="00A64918"/>
    <w:rsid w:val="00AA3153"/>
    <w:rsid w:val="00AA342C"/>
    <w:rsid w:val="00AB2B93"/>
    <w:rsid w:val="00AB530F"/>
    <w:rsid w:val="00AB7E5B"/>
    <w:rsid w:val="00AD5A98"/>
    <w:rsid w:val="00AE0EF1"/>
    <w:rsid w:val="00AE2937"/>
    <w:rsid w:val="00B07301"/>
    <w:rsid w:val="00B224DE"/>
    <w:rsid w:val="00B27346"/>
    <w:rsid w:val="00B46575"/>
    <w:rsid w:val="00B84BBD"/>
    <w:rsid w:val="00BA43FB"/>
    <w:rsid w:val="00BC127D"/>
    <w:rsid w:val="00BC1FE6"/>
    <w:rsid w:val="00C061B6"/>
    <w:rsid w:val="00C21974"/>
    <w:rsid w:val="00C2446C"/>
    <w:rsid w:val="00C31582"/>
    <w:rsid w:val="00C36AE5"/>
    <w:rsid w:val="00C41F17"/>
    <w:rsid w:val="00C5280D"/>
    <w:rsid w:val="00C55653"/>
    <w:rsid w:val="00C5791C"/>
    <w:rsid w:val="00C66290"/>
    <w:rsid w:val="00C72B7A"/>
    <w:rsid w:val="00C967DE"/>
    <w:rsid w:val="00C973F2"/>
    <w:rsid w:val="00CA304C"/>
    <w:rsid w:val="00CA774A"/>
    <w:rsid w:val="00CC0462"/>
    <w:rsid w:val="00CC11B0"/>
    <w:rsid w:val="00CF7E36"/>
    <w:rsid w:val="00D2637E"/>
    <w:rsid w:val="00D3708D"/>
    <w:rsid w:val="00D40426"/>
    <w:rsid w:val="00D45A2C"/>
    <w:rsid w:val="00D506D5"/>
    <w:rsid w:val="00D55670"/>
    <w:rsid w:val="00D57C96"/>
    <w:rsid w:val="00D8357C"/>
    <w:rsid w:val="00D91203"/>
    <w:rsid w:val="00D95174"/>
    <w:rsid w:val="00DA6F36"/>
    <w:rsid w:val="00DB596E"/>
    <w:rsid w:val="00DB7773"/>
    <w:rsid w:val="00DC00EA"/>
    <w:rsid w:val="00E00DD4"/>
    <w:rsid w:val="00E043B1"/>
    <w:rsid w:val="00E26227"/>
    <w:rsid w:val="00E32F7E"/>
    <w:rsid w:val="00E502CC"/>
    <w:rsid w:val="00E51FED"/>
    <w:rsid w:val="00E72D49"/>
    <w:rsid w:val="00E7593C"/>
    <w:rsid w:val="00E7678A"/>
    <w:rsid w:val="00E935F1"/>
    <w:rsid w:val="00E94A81"/>
    <w:rsid w:val="00EA1FFB"/>
    <w:rsid w:val="00EB048E"/>
    <w:rsid w:val="00EC3A9C"/>
    <w:rsid w:val="00EE34DF"/>
    <w:rsid w:val="00EF2F89"/>
    <w:rsid w:val="00EF3A5E"/>
    <w:rsid w:val="00F1237A"/>
    <w:rsid w:val="00F22CBD"/>
    <w:rsid w:val="00F45372"/>
    <w:rsid w:val="00F560F7"/>
    <w:rsid w:val="00F56DDB"/>
    <w:rsid w:val="00F6334D"/>
    <w:rsid w:val="00FA49AB"/>
    <w:rsid w:val="00FA77DD"/>
    <w:rsid w:val="00FC1747"/>
    <w:rsid w:val="00FE095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26227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A77DD"/>
    <w:pPr>
      <w:tabs>
        <w:tab w:val="right" w:leader="dot" w:pos="9639"/>
      </w:tabs>
      <w:spacing w:before="120" w:line="276" w:lineRule="auto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26227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A77DD"/>
    <w:pPr>
      <w:tabs>
        <w:tab w:val="right" w:leader="dot" w:pos="9639"/>
      </w:tabs>
      <w:spacing w:before="120" w:line="276" w:lineRule="auto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704EB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B5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4BCD8-8940-4E2C-8E50-2C048CDA3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B04D67-E86B-4CA0-BC51-C4535765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2137</Words>
  <Characters>12185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tc_5_xx_xxx</vt:lpstr>
      <vt:lpstr>tc_5_xx_xxx</vt:lpstr>
    </vt:vector>
  </TitlesOfParts>
  <Company>UPOV</Company>
  <LinksUpToDate>false</LinksUpToDate>
  <CharactersWithSpaces>14294</CharactersWithSpaces>
  <SharedDoc>false</SharedDoc>
  <HLinks>
    <vt:vector size="48" baseType="variant">
      <vt:variant>
        <vt:i4>1966138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_Toc379533384</vt:lpwstr>
      </vt:variant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_Toc379533383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_Toc379533382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_Toc379533381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_Toc379533380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_Toc379533379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_Toc379533378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_Toc379533377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MFB/cp</cp:keywords>
  <cp:lastModifiedBy>BESSE Ariane</cp:lastModifiedBy>
  <cp:revision>7</cp:revision>
  <cp:lastPrinted>2014-02-11T10:48:00Z</cp:lastPrinted>
  <dcterms:created xsi:type="dcterms:W3CDTF">2014-02-11T08:22:00Z</dcterms:created>
  <dcterms:modified xsi:type="dcterms:W3CDTF">2014-02-11T10:49:00Z</dcterms:modified>
</cp:coreProperties>
</file>