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E1231" w:rsidTr="0022220E">
        <w:trPr>
          <w:trHeight w:val="1760"/>
        </w:trPr>
        <w:tc>
          <w:tcPr>
            <w:tcW w:w="4243" w:type="dxa"/>
            <w:vAlign w:val="center"/>
          </w:tcPr>
          <w:p w:rsidR="000D7780" w:rsidRPr="002B3118" w:rsidRDefault="000D7780" w:rsidP="0022220E">
            <w:pPr>
              <w:jc w:val="center"/>
            </w:pPr>
          </w:p>
        </w:tc>
        <w:tc>
          <w:tcPr>
            <w:tcW w:w="1646" w:type="dxa"/>
            <w:vAlign w:val="center"/>
          </w:tcPr>
          <w:p w:rsidR="000D7780" w:rsidRPr="00BE1231" w:rsidRDefault="002C7D9A" w:rsidP="006655D3">
            <w:pPr>
              <w:pStyle w:val="LogoUPOV"/>
            </w:pPr>
            <w:r>
              <w:rPr>
                <w:noProof/>
                <w:lang w:val="en-US"/>
              </w:rPr>
              <w:drawing>
                <wp:inline distT="0" distB="0" distL="0" distR="0" wp14:anchorId="0475C32A" wp14:editId="34CCDD6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2C7D9A" w:rsidRDefault="00AB2F21" w:rsidP="006655D3">
            <w:pPr>
              <w:pStyle w:val="Lettrine"/>
            </w:pPr>
            <w:r w:rsidRPr="002C7D9A">
              <w:t>F</w:t>
            </w:r>
          </w:p>
          <w:p w:rsidR="000D7780" w:rsidRPr="002C7D9A" w:rsidRDefault="00667404" w:rsidP="006655D3">
            <w:pPr>
              <w:pStyle w:val="Docoriginal"/>
            </w:pPr>
            <w:r w:rsidRPr="002C7D9A">
              <w:t>TC/</w:t>
            </w:r>
            <w:r w:rsidR="00050E16" w:rsidRPr="002C7D9A">
              <w:t>50</w:t>
            </w:r>
            <w:r w:rsidRPr="002C7D9A">
              <w:t>/</w:t>
            </w:r>
            <w:bookmarkStart w:id="0" w:name="Code"/>
            <w:bookmarkEnd w:id="0"/>
            <w:r w:rsidR="001D4FC8" w:rsidRPr="002C7D9A">
              <w:t>10</w:t>
            </w:r>
          </w:p>
          <w:p w:rsidR="000D7780" w:rsidRPr="002C7D9A" w:rsidRDefault="0061555F" w:rsidP="006655D3">
            <w:pPr>
              <w:pStyle w:val="Docoriginal"/>
              <w:rPr>
                <w:b w:val="0"/>
                <w:spacing w:val="0"/>
              </w:rPr>
            </w:pPr>
            <w:r w:rsidRPr="002C7D9A">
              <w:rPr>
                <w:rStyle w:val="StyleDoclangBold"/>
                <w:b/>
                <w:bCs/>
                <w:spacing w:val="0"/>
                <w:lang w:val="fr-FR"/>
              </w:rPr>
              <w:t>ORIGINAL</w:t>
            </w:r>
            <w:r w:rsidR="00972147" w:rsidRPr="002C7D9A">
              <w:rPr>
                <w:rStyle w:val="StyleDoclangBold"/>
                <w:b/>
                <w:bCs/>
                <w:spacing w:val="0"/>
                <w:lang w:val="fr-FR"/>
              </w:rPr>
              <w:t> </w:t>
            </w:r>
            <w:r w:rsidR="000D7780" w:rsidRPr="002C7D9A">
              <w:rPr>
                <w:rStyle w:val="StyleDoclangBold"/>
                <w:b/>
                <w:bCs/>
                <w:spacing w:val="0"/>
                <w:lang w:val="fr-FR"/>
              </w:rPr>
              <w:t>:</w:t>
            </w:r>
            <w:r w:rsidRPr="002C7D9A">
              <w:rPr>
                <w:rStyle w:val="StyleDocoriginalNotBold1"/>
                <w:spacing w:val="0"/>
                <w:lang w:val="fr-FR"/>
              </w:rPr>
              <w:t xml:space="preserve"> </w:t>
            </w:r>
            <w:bookmarkStart w:id="1" w:name="Original"/>
            <w:bookmarkEnd w:id="1"/>
            <w:r w:rsidR="00252A96" w:rsidRPr="002C7D9A">
              <w:rPr>
                <w:b w:val="0"/>
                <w:spacing w:val="0"/>
              </w:rPr>
              <w:t>anglais</w:t>
            </w:r>
          </w:p>
          <w:p w:rsidR="000D7780" w:rsidRPr="002C7D9A" w:rsidRDefault="000D7780" w:rsidP="002C7D9A">
            <w:pPr>
              <w:pStyle w:val="Docoriginal"/>
            </w:pPr>
            <w:r w:rsidRPr="002C7D9A">
              <w:rPr>
                <w:spacing w:val="0"/>
              </w:rPr>
              <w:t>DATE</w:t>
            </w:r>
            <w:r w:rsidR="00972147" w:rsidRPr="002C7D9A">
              <w:rPr>
                <w:spacing w:val="0"/>
              </w:rPr>
              <w:t> </w:t>
            </w:r>
            <w:r w:rsidRPr="002C7D9A">
              <w:rPr>
                <w:spacing w:val="0"/>
              </w:rPr>
              <w:t>:</w:t>
            </w:r>
            <w:r w:rsidRPr="002C7D9A">
              <w:rPr>
                <w:rStyle w:val="StyleDocoriginalNotBold1"/>
                <w:spacing w:val="0"/>
                <w:lang w:val="fr-FR"/>
              </w:rPr>
              <w:t xml:space="preserve"> </w:t>
            </w:r>
            <w:bookmarkStart w:id="2" w:name="Date"/>
            <w:bookmarkEnd w:id="2"/>
            <w:r w:rsidR="00252A96" w:rsidRPr="002C7D9A">
              <w:rPr>
                <w:b w:val="0"/>
                <w:spacing w:val="0"/>
              </w:rPr>
              <w:t>1</w:t>
            </w:r>
            <w:r w:rsidR="002C7D9A" w:rsidRPr="002C7D9A">
              <w:rPr>
                <w:b w:val="0"/>
                <w:spacing w:val="0"/>
              </w:rPr>
              <w:t>3</w:t>
            </w:r>
            <w:r w:rsidR="00C4117D" w:rsidRPr="002C7D9A">
              <w:rPr>
                <w:b w:val="0"/>
                <w:spacing w:val="0"/>
              </w:rPr>
              <w:t> février 20</w:t>
            </w:r>
            <w:r w:rsidR="001131D5" w:rsidRPr="002C7D9A">
              <w:rPr>
                <w:b w:val="0"/>
                <w:spacing w:val="0"/>
              </w:rPr>
              <w:t>1</w:t>
            </w:r>
            <w:r w:rsidR="00050E16" w:rsidRPr="002C7D9A">
              <w:rPr>
                <w:b w:val="0"/>
                <w:spacing w:val="0"/>
              </w:rPr>
              <w:t>4</w:t>
            </w:r>
          </w:p>
        </w:tc>
      </w:tr>
      <w:tr w:rsidR="000D7780" w:rsidRPr="00BE1231" w:rsidTr="001031E4">
        <w:tc>
          <w:tcPr>
            <w:tcW w:w="10131" w:type="dxa"/>
            <w:gridSpan w:val="3"/>
          </w:tcPr>
          <w:p w:rsidR="000D7780" w:rsidRPr="00BE1231" w:rsidRDefault="00B23801" w:rsidP="00B23801">
            <w:pPr>
              <w:pStyle w:val="upove"/>
              <w:rPr>
                <w:sz w:val="28"/>
              </w:rPr>
            </w:pPr>
            <w:r w:rsidRPr="00BE1231">
              <w:t xml:space="preserve">UNION INTERNATIONALE POUR LA PROTECTION DES OBTENTIONS VÉGÉTALES </w:t>
            </w:r>
          </w:p>
        </w:tc>
      </w:tr>
      <w:tr w:rsidR="000D7780" w:rsidRPr="00BE1231" w:rsidTr="001031E4">
        <w:tc>
          <w:tcPr>
            <w:tcW w:w="10131" w:type="dxa"/>
            <w:gridSpan w:val="3"/>
          </w:tcPr>
          <w:p w:rsidR="000D7780" w:rsidRPr="00BE1231" w:rsidRDefault="00867AC1" w:rsidP="00B23801">
            <w:pPr>
              <w:pStyle w:val="Country"/>
            </w:pPr>
            <w:r w:rsidRPr="00BE1231">
              <w:t>Gen</w:t>
            </w:r>
            <w:r w:rsidR="00B23801" w:rsidRPr="00BE1231">
              <w:t>ève</w:t>
            </w:r>
          </w:p>
        </w:tc>
      </w:tr>
    </w:tbl>
    <w:p w:rsidR="00C4117D" w:rsidRDefault="0024416D" w:rsidP="006655D3">
      <w:pPr>
        <w:pStyle w:val="Sessiontc"/>
      </w:pPr>
      <w:r w:rsidRPr="00BE1231">
        <w:t>Com</w:t>
      </w:r>
      <w:r w:rsidR="00B23801" w:rsidRPr="00BE1231">
        <w:t>ité technique</w:t>
      </w:r>
    </w:p>
    <w:p w:rsidR="00361821" w:rsidRPr="00BE1231" w:rsidRDefault="00B23801" w:rsidP="006655D3">
      <w:pPr>
        <w:pStyle w:val="Sessiontcplacedate"/>
      </w:pPr>
      <w:r w:rsidRPr="00BE1231">
        <w:t>Cinquantième</w:t>
      </w:r>
      <w:r w:rsidR="00E2212C">
        <w:t> </w:t>
      </w:r>
      <w:r w:rsidRPr="00BE1231">
        <w:t>s</w:t>
      </w:r>
      <w:r w:rsidR="00867AC1" w:rsidRPr="00BE1231">
        <w:t>ession</w:t>
      </w:r>
      <w:r w:rsidR="00361821" w:rsidRPr="00BE1231">
        <w:br/>
      </w:r>
      <w:r w:rsidR="00867AC1" w:rsidRPr="00BE1231">
        <w:t>Gen</w:t>
      </w:r>
      <w:r w:rsidRPr="00BE1231">
        <w:t>ève, 7</w:t>
      </w:r>
      <w:r w:rsidR="00DF14C4">
        <w:t xml:space="preserve"> – </w:t>
      </w:r>
      <w:r w:rsidR="00C4117D" w:rsidRPr="00BE1231">
        <w:t>9</w:t>
      </w:r>
      <w:r w:rsidR="00C4117D">
        <w:t> </w:t>
      </w:r>
      <w:r w:rsidR="00C4117D" w:rsidRPr="00BE1231">
        <w:t>avril</w:t>
      </w:r>
      <w:r w:rsidR="00C4117D">
        <w:t> </w:t>
      </w:r>
      <w:r w:rsidR="00C4117D" w:rsidRPr="00BE1231">
        <w:t>20</w:t>
      </w:r>
      <w:r w:rsidR="00867AC1" w:rsidRPr="00BE1231">
        <w:t>1</w:t>
      </w:r>
      <w:r w:rsidR="00050E16" w:rsidRPr="00BE1231">
        <w:t>4</w:t>
      </w:r>
    </w:p>
    <w:p w:rsidR="00C4117D" w:rsidRDefault="00B23801" w:rsidP="006655D3">
      <w:pPr>
        <w:pStyle w:val="Titleofdoc0"/>
      </w:pPr>
      <w:bookmarkStart w:id="3" w:name="TitleOfDoc"/>
      <w:bookmarkEnd w:id="3"/>
      <w:r w:rsidRPr="00BE1231">
        <w:t>Rapport sur les faits nouveaux intervenus au sein de l</w:t>
      </w:r>
      <w:r w:rsidR="00C4117D">
        <w:t>’</w:t>
      </w:r>
      <w:r w:rsidRPr="00BE1231">
        <w:t>UPOV</w:t>
      </w:r>
      <w:proofErr w:type="gramStart"/>
      <w:r w:rsidRPr="00BE1231">
        <w:t>,</w:t>
      </w:r>
      <w:proofErr w:type="gramEnd"/>
      <w:r w:rsidR="00C4117D">
        <w:br/>
      </w:r>
      <w:r w:rsidRPr="00BE1231">
        <w:t>y</w:t>
      </w:r>
      <w:r w:rsidR="00972147">
        <w:t> </w:t>
      </w:r>
      <w:r w:rsidRPr="00BE1231">
        <w:t>compris certaines</w:t>
      </w:r>
      <w:r w:rsidR="00492E71">
        <w:t xml:space="preserve"> </w:t>
      </w:r>
      <w:r w:rsidRPr="00BE1231">
        <w:t>questions examinées lors des dernières sessions</w:t>
      </w:r>
      <w:r w:rsidR="00C4117D">
        <w:br/>
      </w:r>
      <w:r w:rsidRPr="00BE1231">
        <w:t>du Comité administratif et juridique, du Comité consultatif et du Conseil</w:t>
      </w:r>
    </w:p>
    <w:p w:rsidR="00B23801" w:rsidRPr="00001D13" w:rsidRDefault="00B23801" w:rsidP="00050E16">
      <w:pPr>
        <w:pStyle w:val="preparedby1"/>
        <w:rPr>
          <w:color w:val="A6A6A6"/>
        </w:rPr>
      </w:pPr>
      <w:bookmarkStart w:id="4" w:name="Prepared"/>
      <w:bookmarkEnd w:id="4"/>
      <w:r w:rsidRPr="00BE1231">
        <w:t>Document établi par le Bureau de l</w:t>
      </w:r>
      <w:r w:rsidR="00C4117D">
        <w:t>’</w:t>
      </w:r>
      <w:r w:rsidRPr="00BE1231">
        <w:t>Union</w:t>
      </w:r>
      <w:r w:rsidR="00050E16" w:rsidRPr="00BE1231">
        <w:br/>
      </w:r>
      <w:r w:rsidR="00050E16" w:rsidRPr="00BE1231">
        <w:br/>
      </w:r>
      <w:r w:rsidRPr="00001D13">
        <w:rPr>
          <w:color w:val="A6A6A6"/>
        </w:rPr>
        <w:t>Avertissement</w:t>
      </w:r>
      <w:r w:rsidR="00972147">
        <w:rPr>
          <w:color w:val="A6A6A6"/>
        </w:rPr>
        <w:t> </w:t>
      </w:r>
      <w:r w:rsidRPr="00001D13">
        <w:rPr>
          <w:color w:val="A6A6A6"/>
        </w:rPr>
        <w:t>: le présent document ne représente pas les principes ou les orientations de l</w:t>
      </w:r>
      <w:r w:rsidR="00C4117D">
        <w:rPr>
          <w:color w:val="A6A6A6"/>
        </w:rPr>
        <w:t>’</w:t>
      </w:r>
      <w:r w:rsidRPr="00001D13">
        <w:rPr>
          <w:color w:val="A6A6A6"/>
        </w:rPr>
        <w:t>UPOV</w:t>
      </w:r>
    </w:p>
    <w:p w:rsidR="00B23801" w:rsidRPr="00BE1231" w:rsidRDefault="00185757" w:rsidP="00BD1A54">
      <w:pPr>
        <w:rPr>
          <w:snapToGrid w:val="0"/>
        </w:rPr>
      </w:pPr>
      <w:r w:rsidRPr="00BE1231">
        <w:rPr>
          <w:snapToGrid w:val="0"/>
        </w:rPr>
        <w:fldChar w:fldCharType="begin"/>
      </w:r>
      <w:r w:rsidR="006E3F4B" w:rsidRPr="00BE1231">
        <w:rPr>
          <w:snapToGrid w:val="0"/>
        </w:rPr>
        <w:instrText xml:space="preserve"> AUTONUM  </w:instrText>
      </w:r>
      <w:r w:rsidRPr="00BE1231">
        <w:rPr>
          <w:snapToGrid w:val="0"/>
        </w:rPr>
        <w:fldChar w:fldCharType="end"/>
      </w:r>
      <w:r w:rsidR="006E3F4B" w:rsidRPr="00BE1231">
        <w:rPr>
          <w:snapToGrid w:val="0"/>
        </w:rPr>
        <w:tab/>
      </w:r>
      <w:r w:rsidR="00B23801" w:rsidRPr="00BE1231">
        <w:t>L</w:t>
      </w:r>
      <w:r w:rsidR="00C4117D">
        <w:t>’</w:t>
      </w:r>
      <w:r w:rsidR="00B23801" w:rsidRPr="00BE1231">
        <w:t>objet du présent document est de faire rapport sur</w:t>
      </w:r>
      <w:r w:rsidR="00F624BF" w:rsidRPr="00BE1231">
        <w:t xml:space="preserve"> les faits nouveaux intervenus au sein de l</w:t>
      </w:r>
      <w:r w:rsidR="00C4117D">
        <w:t>’</w:t>
      </w:r>
      <w:r w:rsidR="00F624BF" w:rsidRPr="00BE1231">
        <w:t>UPOV depuis la quarante</w:t>
      </w:r>
      <w:r w:rsidR="00C4117D">
        <w:t>-</w:t>
      </w:r>
      <w:r w:rsidR="00F624BF" w:rsidRPr="00BE1231">
        <w:t>neuvième</w:t>
      </w:r>
      <w:r w:rsidR="00E2212C">
        <w:t> </w:t>
      </w:r>
      <w:r w:rsidR="00F624BF" w:rsidRPr="00BE1231">
        <w:t>session du Comité technique et qui ne relèvent pas de points précis de l</w:t>
      </w:r>
      <w:r w:rsidR="00C4117D">
        <w:t>’</w:t>
      </w:r>
      <w:r w:rsidR="00F624BF" w:rsidRPr="00BE1231">
        <w:t>ordre du jour de la cinquantième</w:t>
      </w:r>
      <w:r w:rsidR="00E2212C">
        <w:t> </w:t>
      </w:r>
      <w:r w:rsidR="00F624BF" w:rsidRPr="00BE1231">
        <w:t>session du Comité technique, y</w:t>
      </w:r>
      <w:r w:rsidR="00972147">
        <w:t> </w:t>
      </w:r>
      <w:r w:rsidR="00F624BF" w:rsidRPr="00BE1231">
        <w:t>compris certaines questions examinées lors des</w:t>
      </w:r>
      <w:r w:rsidR="00C4117D">
        <w:t> </w:t>
      </w:r>
      <w:r w:rsidR="00F624BF" w:rsidRPr="00BE1231">
        <w:t>dernières sessions du Comité administratif et juridique, du Comité consultatif et du Conseil.</w:t>
      </w:r>
    </w:p>
    <w:p w:rsidR="00BD1A54" w:rsidRPr="00BE1231" w:rsidRDefault="00BD1A54" w:rsidP="00BD1A54">
      <w:pPr>
        <w:rPr>
          <w:snapToGrid w:val="0"/>
        </w:rPr>
      </w:pPr>
    </w:p>
    <w:p w:rsidR="00F624BF" w:rsidRPr="00BE1231" w:rsidRDefault="00185757" w:rsidP="00BD1A54">
      <w:pPr>
        <w:rPr>
          <w:snapToGrid w:val="0"/>
        </w:rPr>
      </w:pPr>
      <w:r w:rsidRPr="00BE1231">
        <w:rPr>
          <w:snapToGrid w:val="0"/>
        </w:rPr>
        <w:fldChar w:fldCharType="begin"/>
      </w:r>
      <w:r w:rsidR="00BD1A54" w:rsidRPr="00BE1231">
        <w:rPr>
          <w:snapToGrid w:val="0"/>
        </w:rPr>
        <w:instrText xml:space="preserve"> AUTONUM  </w:instrText>
      </w:r>
      <w:r w:rsidRPr="00BE1231">
        <w:rPr>
          <w:snapToGrid w:val="0"/>
        </w:rPr>
        <w:fldChar w:fldCharType="end"/>
      </w:r>
      <w:r w:rsidR="00BD1A54" w:rsidRPr="00BE1231">
        <w:rPr>
          <w:snapToGrid w:val="0"/>
        </w:rPr>
        <w:tab/>
      </w:r>
      <w:r w:rsidR="00F624BF" w:rsidRPr="00BE1231">
        <w:rPr>
          <w:snapToGrid w:val="0"/>
        </w:rPr>
        <w:t>Le présent document traite également de questions à soumettre au Comité technique, portant sur les</w:t>
      </w:r>
      <w:r w:rsidR="001031E4">
        <w:rPr>
          <w:snapToGrid w:val="0"/>
        </w:rPr>
        <w:t> </w:t>
      </w:r>
      <w:r w:rsidR="00F624BF" w:rsidRPr="00BE1231">
        <w:rPr>
          <w:snapToGrid w:val="0"/>
        </w:rPr>
        <w:t>i</w:t>
      </w:r>
      <w:r w:rsidR="00F624BF" w:rsidRPr="00BE1231">
        <w:t>ndications relatives à l</w:t>
      </w:r>
      <w:r w:rsidR="00C4117D">
        <w:t>’</w:t>
      </w:r>
      <w:r w:rsidR="00F624BF" w:rsidRPr="00BE1231">
        <w:t>élaboration des descriptions variétales</w:t>
      </w:r>
      <w:r w:rsidR="00114D0C" w:rsidRPr="00BE1231">
        <w:t>,</w:t>
      </w:r>
      <w:r w:rsidR="00F624BF" w:rsidRPr="00BE1231">
        <w:t xml:space="preserve"> des questions soulevées par l</w:t>
      </w:r>
      <w:r w:rsidR="00C4117D">
        <w:t>’</w:t>
      </w:r>
      <w:r w:rsidR="00F624BF" w:rsidRPr="0010388F">
        <w:rPr>
          <w:i/>
          <w:snapToGrid w:val="0"/>
        </w:rPr>
        <w:t xml:space="preserve">International </w:t>
      </w:r>
      <w:proofErr w:type="spellStart"/>
      <w:r w:rsidR="00F624BF" w:rsidRPr="0010388F">
        <w:rPr>
          <w:i/>
          <w:snapToGrid w:val="0"/>
        </w:rPr>
        <w:t>Seed</w:t>
      </w:r>
      <w:proofErr w:type="spellEnd"/>
      <w:r w:rsidR="00F624BF" w:rsidRPr="0010388F">
        <w:rPr>
          <w:i/>
          <w:snapToGrid w:val="0"/>
        </w:rPr>
        <w:t xml:space="preserve"> </w:t>
      </w:r>
      <w:proofErr w:type="spellStart"/>
      <w:r w:rsidR="00F624BF" w:rsidRPr="0010388F">
        <w:rPr>
          <w:i/>
          <w:snapToGrid w:val="0"/>
        </w:rPr>
        <w:t>Federation</w:t>
      </w:r>
      <w:proofErr w:type="spellEnd"/>
      <w:r w:rsidR="00F624BF" w:rsidRPr="00BE1231">
        <w:rPr>
          <w:snapToGrid w:val="0"/>
        </w:rPr>
        <w:t xml:space="preserve"> (ISF), et l</w:t>
      </w:r>
      <w:r w:rsidR="00C4117D">
        <w:rPr>
          <w:snapToGrid w:val="0"/>
        </w:rPr>
        <w:t>’</w:t>
      </w:r>
      <w:r w:rsidR="00F624BF" w:rsidRPr="00BE1231">
        <w:rPr>
          <w:snapToGrid w:val="0"/>
        </w:rPr>
        <w:t xml:space="preserve">élaboration du modèle de </w:t>
      </w:r>
      <w:r w:rsidR="00F624BF" w:rsidRPr="00BE1231">
        <w:t>principes directeurs d</w:t>
      </w:r>
      <w:r w:rsidR="00C4117D">
        <w:t>’</w:t>
      </w:r>
      <w:r w:rsidR="00F624BF" w:rsidRPr="00BE1231">
        <w:t>examen fondé sur le Web.</w:t>
      </w:r>
    </w:p>
    <w:p w:rsidR="00BD1A54" w:rsidRPr="00BE1231" w:rsidRDefault="00BD1A54" w:rsidP="00BD1A54">
      <w:pPr>
        <w:rPr>
          <w:snapToGrid w:val="0"/>
        </w:rPr>
      </w:pPr>
    </w:p>
    <w:p w:rsidR="00114D0C" w:rsidRPr="00BE1231" w:rsidRDefault="00185757" w:rsidP="00BD1A54">
      <w:pPr>
        <w:rPr>
          <w:snapToGrid w:val="0"/>
        </w:rPr>
      </w:pPr>
      <w:r w:rsidRPr="00BE1231">
        <w:rPr>
          <w:snapToGrid w:val="0"/>
        </w:rPr>
        <w:fldChar w:fldCharType="begin"/>
      </w:r>
      <w:r w:rsidR="00BD1A54" w:rsidRPr="00BE1231">
        <w:rPr>
          <w:snapToGrid w:val="0"/>
        </w:rPr>
        <w:instrText xml:space="preserve"> AUTONUM  </w:instrText>
      </w:r>
      <w:r w:rsidRPr="00BE1231">
        <w:rPr>
          <w:snapToGrid w:val="0"/>
        </w:rPr>
        <w:fldChar w:fldCharType="end"/>
      </w:r>
      <w:r w:rsidR="00BD1A54" w:rsidRPr="00BE1231">
        <w:rPr>
          <w:snapToGrid w:val="0"/>
        </w:rPr>
        <w:tab/>
      </w:r>
      <w:r w:rsidR="00114D0C" w:rsidRPr="00BE1231">
        <w:rPr>
          <w:snapToGrid w:val="0"/>
        </w:rPr>
        <w:t>Un exposé résumant les points traités dans le présent document sera présenté au Comité technique à</w:t>
      </w:r>
      <w:r w:rsidR="001031E4">
        <w:rPr>
          <w:snapToGrid w:val="0"/>
        </w:rPr>
        <w:t xml:space="preserve"> sa </w:t>
      </w:r>
      <w:r w:rsidR="00114D0C" w:rsidRPr="00BE1231">
        <w:rPr>
          <w:snapToGrid w:val="0"/>
        </w:rPr>
        <w:t>cinquantième</w:t>
      </w:r>
      <w:r w:rsidR="00E2212C">
        <w:rPr>
          <w:snapToGrid w:val="0"/>
        </w:rPr>
        <w:t> </w:t>
      </w:r>
      <w:r w:rsidR="00114D0C" w:rsidRPr="00BE1231">
        <w:rPr>
          <w:snapToGrid w:val="0"/>
        </w:rPr>
        <w:t>session.  Cet exposé est joint en annexe au présent document (en anglais seulement).</w:t>
      </w:r>
    </w:p>
    <w:p w:rsidR="00050E16" w:rsidRPr="00BE1231" w:rsidRDefault="00050E16" w:rsidP="004816A1">
      <w:pPr>
        <w:pStyle w:val="TOC1"/>
        <w:rPr>
          <w:snapToGrid w:val="0"/>
          <w:lang w:val="fr-FR"/>
        </w:rPr>
      </w:pPr>
    </w:p>
    <w:p w:rsidR="0099668A" w:rsidRPr="00BE1231" w:rsidRDefault="00BD1A54" w:rsidP="00677947">
      <w:pPr>
        <w:jc w:val="left"/>
        <w:rPr>
          <w:u w:val="single"/>
        </w:rPr>
      </w:pPr>
      <w:r w:rsidRPr="00BE1231">
        <w:br w:type="page"/>
      </w:r>
      <w:r w:rsidR="00114D0C" w:rsidRPr="00BE1231">
        <w:rPr>
          <w:u w:val="single"/>
        </w:rPr>
        <w:lastRenderedPageBreak/>
        <w:t>Table des matières</w:t>
      </w:r>
    </w:p>
    <w:p w:rsidR="008907DC" w:rsidRPr="001F66A8" w:rsidRDefault="00185757">
      <w:pPr>
        <w:pStyle w:val="TOC1"/>
        <w:rPr>
          <w:rFonts w:asciiTheme="minorHAnsi" w:eastAsiaTheme="minorEastAsia" w:hAnsiTheme="minorHAnsi" w:cstheme="minorBidi"/>
          <w:caps w:val="0"/>
          <w:noProof/>
          <w:sz w:val="22"/>
          <w:szCs w:val="22"/>
          <w:lang w:val="fr-CH"/>
        </w:rPr>
      </w:pPr>
      <w:r w:rsidRPr="00BE1231">
        <w:rPr>
          <w:lang w:val="fr-FR"/>
        </w:rPr>
        <w:fldChar w:fldCharType="begin"/>
      </w:r>
      <w:r w:rsidR="0099668A" w:rsidRPr="00BE1231">
        <w:rPr>
          <w:lang w:val="fr-FR"/>
        </w:rPr>
        <w:instrText xml:space="preserve"> TOC \o "1-3" \u </w:instrText>
      </w:r>
      <w:r w:rsidRPr="00BE1231">
        <w:rPr>
          <w:lang w:val="fr-FR"/>
        </w:rPr>
        <w:fldChar w:fldCharType="separate"/>
      </w:r>
      <w:r w:rsidR="008907DC" w:rsidRPr="001F66A8">
        <w:rPr>
          <w:b/>
          <w:bCs/>
          <w:smallCaps/>
          <w:noProof/>
          <w:spacing w:val="5"/>
          <w:lang w:val="fr-CH"/>
        </w:rPr>
        <w:t>I.</w:t>
      </w:r>
      <w:r w:rsidR="008907DC" w:rsidRPr="001F66A8">
        <w:rPr>
          <w:rFonts w:asciiTheme="minorHAnsi" w:eastAsiaTheme="minorEastAsia" w:hAnsiTheme="minorHAnsi" w:cstheme="minorBidi"/>
          <w:caps w:val="0"/>
          <w:noProof/>
          <w:sz w:val="22"/>
          <w:szCs w:val="22"/>
          <w:lang w:val="fr-CH"/>
        </w:rPr>
        <w:tab/>
      </w:r>
      <w:r w:rsidR="008907DC" w:rsidRPr="001F66A8">
        <w:rPr>
          <w:b/>
          <w:bCs/>
          <w:smallCaps/>
          <w:noProof/>
          <w:spacing w:val="5"/>
          <w:lang w:val="fr-CH"/>
        </w:rPr>
        <w:t>Questions pour Information</w:t>
      </w:r>
      <w:r w:rsidR="008907DC" w:rsidRPr="001F66A8">
        <w:rPr>
          <w:noProof/>
          <w:lang w:val="fr-CH"/>
        </w:rPr>
        <w:tab/>
      </w:r>
      <w:r w:rsidR="008907DC">
        <w:rPr>
          <w:noProof/>
        </w:rPr>
        <w:fldChar w:fldCharType="begin"/>
      </w:r>
      <w:r w:rsidR="008907DC" w:rsidRPr="001F66A8">
        <w:rPr>
          <w:noProof/>
          <w:lang w:val="fr-CH"/>
        </w:rPr>
        <w:instrText xml:space="preserve"> PAGEREF _Toc381170119 \h </w:instrText>
      </w:r>
      <w:r w:rsidR="008907DC">
        <w:rPr>
          <w:noProof/>
        </w:rPr>
      </w:r>
      <w:r w:rsidR="008907DC">
        <w:rPr>
          <w:noProof/>
        </w:rPr>
        <w:fldChar w:fldCharType="separate"/>
      </w:r>
      <w:r w:rsidR="0063448C">
        <w:rPr>
          <w:noProof/>
          <w:lang w:val="fr-CH"/>
        </w:rPr>
        <w:t>3</w:t>
      </w:r>
      <w:r w:rsidR="008907DC">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MembRES</w:t>
      </w:r>
      <w:r w:rsidRPr="001F66A8">
        <w:rPr>
          <w:noProof/>
          <w:lang w:val="fr-CH"/>
        </w:rPr>
        <w:tab/>
      </w:r>
      <w:r>
        <w:rPr>
          <w:noProof/>
        </w:rPr>
        <w:fldChar w:fldCharType="begin"/>
      </w:r>
      <w:r w:rsidRPr="001F66A8">
        <w:rPr>
          <w:noProof/>
          <w:lang w:val="fr-CH"/>
        </w:rPr>
        <w:instrText xml:space="preserve"> PAGEREF _Toc381170120 \h </w:instrText>
      </w:r>
      <w:r>
        <w:rPr>
          <w:noProof/>
        </w:rPr>
      </w:r>
      <w:r>
        <w:rPr>
          <w:noProof/>
        </w:rPr>
        <w:fldChar w:fldCharType="separate"/>
      </w:r>
      <w:r w:rsidR="0063448C">
        <w:rPr>
          <w:noProof/>
          <w:lang w:val="fr-CH"/>
        </w:rPr>
        <w:t>3</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Membres de l’Union</w:t>
      </w:r>
      <w:r w:rsidRPr="001F66A8">
        <w:rPr>
          <w:noProof/>
          <w:lang w:val="fr-CH"/>
        </w:rPr>
        <w:tab/>
      </w:r>
      <w:r>
        <w:rPr>
          <w:noProof/>
        </w:rPr>
        <w:fldChar w:fldCharType="begin"/>
      </w:r>
      <w:r w:rsidRPr="001F66A8">
        <w:rPr>
          <w:noProof/>
          <w:lang w:val="fr-CH"/>
        </w:rPr>
        <w:instrText xml:space="preserve"> PAGEREF _Toc381170121 \h </w:instrText>
      </w:r>
      <w:r>
        <w:rPr>
          <w:noProof/>
        </w:rPr>
      </w:r>
      <w:r>
        <w:rPr>
          <w:noProof/>
        </w:rPr>
        <w:fldChar w:fldCharType="separate"/>
      </w:r>
      <w:r w:rsidR="0063448C">
        <w:rPr>
          <w:noProof/>
          <w:lang w:val="fr-CH"/>
        </w:rPr>
        <w:t>3</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Examen des lois</w:t>
      </w:r>
      <w:r w:rsidRPr="001F66A8">
        <w:rPr>
          <w:noProof/>
          <w:lang w:val="fr-CH"/>
        </w:rPr>
        <w:tab/>
      </w:r>
      <w:r>
        <w:rPr>
          <w:noProof/>
        </w:rPr>
        <w:fldChar w:fldCharType="begin"/>
      </w:r>
      <w:r w:rsidRPr="001F66A8">
        <w:rPr>
          <w:noProof/>
          <w:lang w:val="fr-CH"/>
        </w:rPr>
        <w:instrText xml:space="preserve"> PAGEREF _Toc381170122 \h </w:instrText>
      </w:r>
      <w:r>
        <w:rPr>
          <w:noProof/>
        </w:rPr>
      </w:r>
      <w:r>
        <w:rPr>
          <w:noProof/>
        </w:rPr>
        <w:fldChar w:fldCharType="separate"/>
      </w:r>
      <w:r w:rsidR="0063448C">
        <w:rPr>
          <w:noProof/>
          <w:lang w:val="fr-CH"/>
        </w:rPr>
        <w:t>3</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Zanzibar</w:t>
      </w:r>
      <w:r>
        <w:rPr>
          <w:noProof/>
        </w:rPr>
        <w:tab/>
      </w:r>
      <w:r>
        <w:rPr>
          <w:noProof/>
        </w:rPr>
        <w:fldChar w:fldCharType="begin"/>
      </w:r>
      <w:r>
        <w:rPr>
          <w:noProof/>
        </w:rPr>
        <w:instrText xml:space="preserve"> PAGEREF _Toc381170123 \h </w:instrText>
      </w:r>
      <w:r>
        <w:rPr>
          <w:noProof/>
        </w:rPr>
      </w:r>
      <w:r>
        <w:rPr>
          <w:noProof/>
        </w:rPr>
        <w:fldChar w:fldCharType="separate"/>
      </w:r>
      <w:r w:rsidR="0063448C">
        <w:rPr>
          <w:noProof/>
        </w:rPr>
        <w:t>3</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Bosnie-Herzégovine</w:t>
      </w:r>
      <w:r>
        <w:rPr>
          <w:noProof/>
        </w:rPr>
        <w:tab/>
      </w:r>
      <w:r>
        <w:rPr>
          <w:noProof/>
        </w:rPr>
        <w:fldChar w:fldCharType="begin"/>
      </w:r>
      <w:r>
        <w:rPr>
          <w:noProof/>
        </w:rPr>
        <w:instrText xml:space="preserve"> PAGEREF _Toc381170124 \h </w:instrText>
      </w:r>
      <w:r>
        <w:rPr>
          <w:noProof/>
        </w:rPr>
      </w:r>
      <w:r>
        <w:rPr>
          <w:noProof/>
        </w:rPr>
        <w:fldChar w:fldCharType="separate"/>
      </w:r>
      <w:r w:rsidR="0063448C">
        <w:rPr>
          <w:noProof/>
        </w:rPr>
        <w:t>3</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StatistiQUEs sur la</w:t>
      </w:r>
      <w:r w:rsidRPr="001F66A8">
        <w:rPr>
          <w:noProof/>
          <w:snapToGrid w:val="0"/>
          <w:lang w:val="fr-CH"/>
        </w:rPr>
        <w:t xml:space="preserve"> Protection des obtentions végétales</w:t>
      </w:r>
      <w:r w:rsidRPr="001F66A8">
        <w:rPr>
          <w:noProof/>
          <w:lang w:val="fr-CH"/>
        </w:rPr>
        <w:tab/>
      </w:r>
      <w:r>
        <w:rPr>
          <w:noProof/>
        </w:rPr>
        <w:fldChar w:fldCharType="begin"/>
      </w:r>
      <w:r w:rsidRPr="001F66A8">
        <w:rPr>
          <w:noProof/>
          <w:lang w:val="fr-CH"/>
        </w:rPr>
        <w:instrText xml:space="preserve"> PAGEREF _Toc381170125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1F66A8">
        <w:rPr>
          <w:noProof/>
          <w:lang w:val="fr-CH"/>
        </w:rPr>
        <w:t>Liste des taxons protégés par les membres de l’Union</w:t>
      </w:r>
      <w:r w:rsidRPr="001F66A8">
        <w:rPr>
          <w:noProof/>
          <w:lang w:val="fr-CH"/>
        </w:rPr>
        <w:tab/>
      </w:r>
      <w:r>
        <w:rPr>
          <w:noProof/>
        </w:rPr>
        <w:fldChar w:fldCharType="begin"/>
      </w:r>
      <w:r w:rsidRPr="001F66A8">
        <w:rPr>
          <w:noProof/>
          <w:lang w:val="fr-CH"/>
        </w:rPr>
        <w:instrText xml:space="preserve"> PAGEREF _Toc381170126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Statistiques sur la protection des obtentions végétales</w:t>
      </w:r>
      <w:r w:rsidRPr="001F66A8">
        <w:rPr>
          <w:noProof/>
          <w:lang w:val="fr-CH"/>
        </w:rPr>
        <w:tab/>
      </w:r>
      <w:r>
        <w:rPr>
          <w:noProof/>
        </w:rPr>
        <w:fldChar w:fldCharType="begin"/>
      </w:r>
      <w:r w:rsidRPr="001F66A8">
        <w:rPr>
          <w:noProof/>
          <w:lang w:val="fr-CH"/>
        </w:rPr>
        <w:instrText xml:space="preserve"> PAGEREF _Toc381170127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Coopération en matière d’examen d’obtentions végétales</w:t>
      </w:r>
      <w:r w:rsidRPr="001F66A8">
        <w:rPr>
          <w:noProof/>
          <w:lang w:val="fr-CH"/>
        </w:rPr>
        <w:tab/>
      </w:r>
      <w:r>
        <w:rPr>
          <w:noProof/>
        </w:rPr>
        <w:fldChar w:fldCharType="begin"/>
      </w:r>
      <w:r w:rsidRPr="001F66A8">
        <w:rPr>
          <w:noProof/>
          <w:lang w:val="fr-CH"/>
        </w:rPr>
        <w:instrText xml:space="preserve"> PAGEREF _Toc381170128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situation financière</w:t>
      </w:r>
      <w:r w:rsidRPr="001F66A8">
        <w:rPr>
          <w:noProof/>
          <w:lang w:val="fr-CH"/>
        </w:rPr>
        <w:tab/>
      </w:r>
      <w:r>
        <w:rPr>
          <w:noProof/>
        </w:rPr>
        <w:fldChar w:fldCharType="begin"/>
      </w:r>
      <w:r w:rsidRPr="001F66A8">
        <w:rPr>
          <w:noProof/>
          <w:lang w:val="fr-CH"/>
        </w:rPr>
        <w:instrText xml:space="preserve"> PAGEREF _Toc381170129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Programme et budget de l’Union pour l’exercice biennal 2014-2015</w:t>
      </w:r>
      <w:r w:rsidRPr="001F66A8">
        <w:rPr>
          <w:noProof/>
          <w:lang w:val="fr-CH"/>
        </w:rPr>
        <w:tab/>
      </w:r>
      <w:r>
        <w:rPr>
          <w:noProof/>
        </w:rPr>
        <w:fldChar w:fldCharType="begin"/>
      </w:r>
      <w:r w:rsidRPr="001F66A8">
        <w:rPr>
          <w:noProof/>
          <w:lang w:val="fr-CH"/>
        </w:rPr>
        <w:instrText xml:space="preserve"> PAGEREF _Toc381170130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snapToGrid w:val="0"/>
          <w:lang w:val="fr-FR"/>
        </w:rPr>
        <w:t>Fonds de réserve</w:t>
      </w:r>
      <w:r w:rsidRPr="001F66A8">
        <w:rPr>
          <w:noProof/>
          <w:lang w:val="fr-CH"/>
        </w:rPr>
        <w:tab/>
      </w:r>
      <w:r>
        <w:rPr>
          <w:noProof/>
        </w:rPr>
        <w:fldChar w:fldCharType="begin"/>
      </w:r>
      <w:r w:rsidRPr="001F66A8">
        <w:rPr>
          <w:noProof/>
          <w:lang w:val="fr-CH"/>
        </w:rPr>
        <w:instrText xml:space="preserve"> PAGEREF _Toc381170131 \h </w:instrText>
      </w:r>
      <w:r>
        <w:rPr>
          <w:noProof/>
        </w:rPr>
      </w:r>
      <w:r>
        <w:rPr>
          <w:noProof/>
        </w:rPr>
        <w:fldChar w:fldCharType="separate"/>
      </w:r>
      <w:r w:rsidR="0063448C">
        <w:rPr>
          <w:noProof/>
          <w:lang w:val="fr-CH"/>
        </w:rPr>
        <w:t>4</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présidence d’organes de l’UPOV</w:t>
      </w:r>
      <w:r w:rsidRPr="001F66A8">
        <w:rPr>
          <w:noProof/>
          <w:lang w:val="fr-CH"/>
        </w:rPr>
        <w:tab/>
      </w:r>
      <w:r>
        <w:rPr>
          <w:noProof/>
        </w:rPr>
        <w:fldChar w:fldCharType="begin"/>
      </w:r>
      <w:r w:rsidRPr="001F66A8">
        <w:rPr>
          <w:noProof/>
          <w:lang w:val="fr-CH"/>
        </w:rPr>
        <w:instrText xml:space="preserve"> PAGEREF _Toc381170132 \h </w:instrText>
      </w:r>
      <w:r>
        <w:rPr>
          <w:noProof/>
        </w:rPr>
      </w:r>
      <w:r>
        <w:rPr>
          <w:noProof/>
        </w:rPr>
        <w:fldChar w:fldCharType="separate"/>
      </w:r>
      <w:r w:rsidR="0063448C">
        <w:rPr>
          <w:noProof/>
          <w:lang w:val="fr-CH"/>
        </w:rPr>
        <w:t>5</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Collection UPOV</w:t>
      </w:r>
      <w:r w:rsidRPr="001F66A8">
        <w:rPr>
          <w:noProof/>
          <w:lang w:val="fr-CH"/>
        </w:rPr>
        <w:tab/>
      </w:r>
      <w:r>
        <w:rPr>
          <w:noProof/>
        </w:rPr>
        <w:fldChar w:fldCharType="begin"/>
      </w:r>
      <w:r w:rsidRPr="001F66A8">
        <w:rPr>
          <w:noProof/>
          <w:lang w:val="fr-CH"/>
        </w:rPr>
        <w:instrText xml:space="preserve"> PAGEREF _Toc381170133 \h </w:instrText>
      </w:r>
      <w:r>
        <w:rPr>
          <w:noProof/>
        </w:rPr>
      </w:r>
      <w:r>
        <w:rPr>
          <w:noProof/>
        </w:rPr>
        <w:fldChar w:fldCharType="separate"/>
      </w:r>
      <w:r w:rsidR="0063448C">
        <w:rPr>
          <w:noProof/>
          <w:lang w:val="fr-CH"/>
        </w:rPr>
        <w:t>5</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Nouveaux documents adoptés</w:t>
      </w:r>
      <w:r w:rsidRPr="001F66A8">
        <w:rPr>
          <w:noProof/>
          <w:lang w:val="fr-CH"/>
        </w:rPr>
        <w:tab/>
      </w:r>
      <w:r>
        <w:rPr>
          <w:noProof/>
        </w:rPr>
        <w:fldChar w:fldCharType="begin"/>
      </w:r>
      <w:r w:rsidRPr="001F66A8">
        <w:rPr>
          <w:noProof/>
          <w:lang w:val="fr-CH"/>
        </w:rPr>
        <w:instrText xml:space="preserve"> PAGEREF _Toc381170134 \h </w:instrText>
      </w:r>
      <w:r>
        <w:rPr>
          <w:noProof/>
        </w:rPr>
      </w:r>
      <w:r>
        <w:rPr>
          <w:noProof/>
        </w:rPr>
        <w:fldChar w:fldCharType="separate"/>
      </w:r>
      <w:r w:rsidR="0063448C">
        <w:rPr>
          <w:noProof/>
          <w:lang w:val="fr-CH"/>
        </w:rPr>
        <w:t>5</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Série de documents UPOV/INF</w:t>
      </w:r>
      <w:r>
        <w:rPr>
          <w:noProof/>
        </w:rPr>
        <w:tab/>
      </w:r>
      <w:r>
        <w:rPr>
          <w:noProof/>
        </w:rPr>
        <w:fldChar w:fldCharType="begin"/>
      </w:r>
      <w:r>
        <w:rPr>
          <w:noProof/>
        </w:rPr>
        <w:instrText xml:space="preserve"> PAGEREF _Toc381170135 \h </w:instrText>
      </w:r>
      <w:r>
        <w:rPr>
          <w:noProof/>
        </w:rPr>
      </w:r>
      <w:r>
        <w:rPr>
          <w:noProof/>
        </w:rPr>
        <w:fldChar w:fldCharType="separate"/>
      </w:r>
      <w:r w:rsidR="0063448C">
        <w:rPr>
          <w:noProof/>
        </w:rPr>
        <w:t>5</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Notes explicatives sur la Convention UPOV</w:t>
      </w:r>
      <w:r>
        <w:rPr>
          <w:noProof/>
        </w:rPr>
        <w:tab/>
      </w:r>
      <w:r>
        <w:rPr>
          <w:noProof/>
        </w:rPr>
        <w:fldChar w:fldCharType="begin"/>
      </w:r>
      <w:r>
        <w:rPr>
          <w:noProof/>
        </w:rPr>
        <w:instrText xml:space="preserve"> PAGEREF _Toc381170136 \h </w:instrText>
      </w:r>
      <w:r>
        <w:rPr>
          <w:noProof/>
        </w:rPr>
      </w:r>
      <w:r>
        <w:rPr>
          <w:noProof/>
        </w:rPr>
        <w:fldChar w:fldCharType="separate"/>
      </w:r>
      <w:r w:rsidR="0063448C">
        <w:rPr>
          <w:noProof/>
        </w:rPr>
        <w:t>6</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Documents TGP</w:t>
      </w:r>
      <w:r>
        <w:rPr>
          <w:noProof/>
        </w:rPr>
        <w:tab/>
      </w:r>
      <w:r>
        <w:rPr>
          <w:noProof/>
        </w:rPr>
        <w:fldChar w:fldCharType="begin"/>
      </w:r>
      <w:r>
        <w:rPr>
          <w:noProof/>
        </w:rPr>
        <w:instrText xml:space="preserve"> PAGEREF _Toc381170137 \h </w:instrText>
      </w:r>
      <w:r>
        <w:rPr>
          <w:noProof/>
        </w:rPr>
      </w:r>
      <w:r>
        <w:rPr>
          <w:noProof/>
        </w:rPr>
        <w:fldChar w:fldCharType="separate"/>
      </w:r>
      <w:r w:rsidR="0063448C">
        <w:rPr>
          <w:noProof/>
        </w:rPr>
        <w:t>6</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Programme d’élaboration de notes explicatives sur la Convention UPOV</w:t>
      </w:r>
      <w:r w:rsidRPr="001F66A8">
        <w:rPr>
          <w:noProof/>
          <w:lang w:val="fr-CH"/>
        </w:rPr>
        <w:tab/>
      </w:r>
      <w:r>
        <w:rPr>
          <w:noProof/>
        </w:rPr>
        <w:fldChar w:fldCharType="begin"/>
      </w:r>
      <w:r w:rsidRPr="001F66A8">
        <w:rPr>
          <w:noProof/>
          <w:lang w:val="fr-CH"/>
        </w:rPr>
        <w:instrText xml:space="preserve"> PAGEREF _Toc381170138 \h </w:instrText>
      </w:r>
      <w:r>
        <w:rPr>
          <w:noProof/>
        </w:rPr>
      </w:r>
      <w:r>
        <w:rPr>
          <w:noProof/>
        </w:rPr>
        <w:fldChar w:fldCharType="separate"/>
      </w:r>
      <w:r w:rsidR="0063448C">
        <w:rPr>
          <w:noProof/>
          <w:lang w:val="fr-CH"/>
        </w:rPr>
        <w:t>6</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UPOV Lex</w:t>
      </w:r>
      <w:r w:rsidRPr="001F66A8">
        <w:rPr>
          <w:noProof/>
          <w:lang w:val="fr-CH"/>
        </w:rPr>
        <w:tab/>
      </w:r>
      <w:r>
        <w:rPr>
          <w:noProof/>
        </w:rPr>
        <w:fldChar w:fldCharType="begin"/>
      </w:r>
      <w:r w:rsidRPr="001F66A8">
        <w:rPr>
          <w:noProof/>
          <w:lang w:val="fr-CH"/>
        </w:rPr>
        <w:instrText xml:space="preserve"> PAGEREF _Toc381170139 \h </w:instrText>
      </w:r>
      <w:r>
        <w:rPr>
          <w:noProof/>
        </w:rPr>
      </w:r>
      <w:r>
        <w:rPr>
          <w:noProof/>
        </w:rPr>
        <w:fldChar w:fldCharType="separate"/>
      </w:r>
      <w:r w:rsidR="0063448C">
        <w:rPr>
          <w:noProof/>
          <w:lang w:val="fr-CH"/>
        </w:rPr>
        <w:t>6</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PUBLICATIONS, activitÉs et FORMATION</w:t>
      </w:r>
      <w:r w:rsidRPr="001F66A8">
        <w:rPr>
          <w:noProof/>
          <w:lang w:val="fr-CH"/>
        </w:rPr>
        <w:tab/>
      </w:r>
      <w:r>
        <w:rPr>
          <w:noProof/>
        </w:rPr>
        <w:fldChar w:fldCharType="begin"/>
      </w:r>
      <w:r w:rsidRPr="001F66A8">
        <w:rPr>
          <w:noProof/>
          <w:lang w:val="fr-CH"/>
        </w:rPr>
        <w:instrText xml:space="preserve"> PAGEREF _Toc381170140 \h </w:instrText>
      </w:r>
      <w:r>
        <w:rPr>
          <w:noProof/>
        </w:rPr>
      </w:r>
      <w:r>
        <w:rPr>
          <w:noProof/>
        </w:rPr>
        <w:fldChar w:fldCharType="separate"/>
      </w:r>
      <w:r w:rsidR="0063448C">
        <w:rPr>
          <w:noProof/>
          <w:lang w:val="fr-CH"/>
        </w:rPr>
        <w:t>7</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Stratégie de communication</w:t>
      </w:r>
      <w:r w:rsidRPr="001F66A8">
        <w:rPr>
          <w:noProof/>
          <w:lang w:val="fr-CH"/>
        </w:rPr>
        <w:tab/>
      </w:r>
      <w:r>
        <w:rPr>
          <w:noProof/>
        </w:rPr>
        <w:fldChar w:fldCharType="begin"/>
      </w:r>
      <w:r w:rsidRPr="001F66A8">
        <w:rPr>
          <w:noProof/>
          <w:lang w:val="fr-CH"/>
        </w:rPr>
        <w:instrText xml:space="preserve"> PAGEREF _Toc381170141 \h </w:instrText>
      </w:r>
      <w:r>
        <w:rPr>
          <w:noProof/>
        </w:rPr>
      </w:r>
      <w:r>
        <w:rPr>
          <w:noProof/>
        </w:rPr>
        <w:fldChar w:fldCharType="separate"/>
      </w:r>
      <w:r w:rsidR="0063448C">
        <w:rPr>
          <w:noProof/>
          <w:lang w:val="fr-CH"/>
        </w:rPr>
        <w:t>7</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Trilogie</w:t>
      </w:r>
      <w:r w:rsidRPr="001F66A8">
        <w:rPr>
          <w:noProof/>
          <w:lang w:val="fr-CH"/>
        </w:rPr>
        <w:tab/>
      </w:r>
      <w:r>
        <w:rPr>
          <w:noProof/>
        </w:rPr>
        <w:fldChar w:fldCharType="begin"/>
      </w:r>
      <w:r w:rsidRPr="001F66A8">
        <w:rPr>
          <w:noProof/>
          <w:lang w:val="fr-CH"/>
        </w:rPr>
        <w:instrText xml:space="preserve"> PAGEREF _Toc381170142 \h </w:instrText>
      </w:r>
      <w:r>
        <w:rPr>
          <w:noProof/>
        </w:rPr>
      </w:r>
      <w:r>
        <w:rPr>
          <w:noProof/>
        </w:rPr>
        <w:fldChar w:fldCharType="separate"/>
      </w:r>
      <w:r w:rsidR="0063448C">
        <w:rPr>
          <w:noProof/>
          <w:lang w:val="fr-CH"/>
        </w:rPr>
        <w:t>7</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Séminaire sur les variétés essentiellement dérivées</w:t>
      </w:r>
      <w:r w:rsidRPr="001F66A8">
        <w:rPr>
          <w:noProof/>
          <w:lang w:val="fr-CH"/>
        </w:rPr>
        <w:tab/>
      </w:r>
      <w:r>
        <w:rPr>
          <w:noProof/>
        </w:rPr>
        <w:fldChar w:fldCharType="begin"/>
      </w:r>
      <w:r w:rsidRPr="001F66A8">
        <w:rPr>
          <w:noProof/>
          <w:lang w:val="fr-CH"/>
        </w:rPr>
        <w:instrText xml:space="preserve"> PAGEREF _Toc381170143 \h </w:instrText>
      </w:r>
      <w:r>
        <w:rPr>
          <w:noProof/>
        </w:rPr>
      </w:r>
      <w:r>
        <w:rPr>
          <w:noProof/>
        </w:rPr>
        <w:fldChar w:fldCharType="separate"/>
      </w:r>
      <w:r w:rsidR="0063448C">
        <w:rPr>
          <w:noProof/>
          <w:lang w:val="fr-CH"/>
        </w:rPr>
        <w:t>7</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Cours d’enseignement à distance</w:t>
      </w:r>
      <w:r w:rsidRPr="001F66A8">
        <w:rPr>
          <w:noProof/>
          <w:lang w:val="fr-CH"/>
        </w:rPr>
        <w:tab/>
      </w:r>
      <w:r>
        <w:rPr>
          <w:noProof/>
        </w:rPr>
        <w:fldChar w:fldCharType="begin"/>
      </w:r>
      <w:r w:rsidRPr="001F66A8">
        <w:rPr>
          <w:noProof/>
          <w:lang w:val="fr-CH"/>
        </w:rPr>
        <w:instrText xml:space="preserve"> PAGEREF _Toc381170144 \h </w:instrText>
      </w:r>
      <w:r>
        <w:rPr>
          <w:noProof/>
        </w:rPr>
      </w:r>
      <w:r>
        <w:rPr>
          <w:noProof/>
        </w:rPr>
        <w:fldChar w:fldCharType="separate"/>
      </w:r>
      <w:r w:rsidR="0063448C">
        <w:rPr>
          <w:noProof/>
          <w:lang w:val="fr-CH"/>
        </w:rPr>
        <w:t>7</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éléments nouveaux dans les travaux d’autres instances internationales présentant un intérêt pour l’UPOV</w:t>
      </w:r>
      <w:r w:rsidRPr="001F66A8">
        <w:rPr>
          <w:noProof/>
          <w:lang w:val="fr-CH"/>
        </w:rPr>
        <w:tab/>
      </w:r>
      <w:r>
        <w:rPr>
          <w:noProof/>
        </w:rPr>
        <w:fldChar w:fldCharType="begin"/>
      </w:r>
      <w:r w:rsidRPr="001F66A8">
        <w:rPr>
          <w:noProof/>
          <w:lang w:val="fr-CH"/>
        </w:rPr>
        <w:instrText xml:space="preserve"> PAGEREF _Toc381170145 \h </w:instrText>
      </w:r>
      <w:r>
        <w:rPr>
          <w:noProof/>
        </w:rPr>
      </w:r>
      <w:r>
        <w:rPr>
          <w:noProof/>
        </w:rPr>
        <w:fldChar w:fldCharType="separate"/>
      </w:r>
      <w:r w:rsidR="0063448C">
        <w:rPr>
          <w:noProof/>
          <w:lang w:val="fr-CH"/>
        </w:rPr>
        <w:t>8</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Traité international sur les ressources phytogénétiques pour l’alimentation et l’agriculture (ITPGRFA)</w:t>
      </w:r>
      <w:r w:rsidRPr="001F66A8">
        <w:rPr>
          <w:noProof/>
          <w:lang w:val="fr-CH"/>
        </w:rPr>
        <w:tab/>
      </w:r>
      <w:r>
        <w:rPr>
          <w:noProof/>
        </w:rPr>
        <w:fldChar w:fldCharType="begin"/>
      </w:r>
      <w:r w:rsidRPr="001F66A8">
        <w:rPr>
          <w:noProof/>
          <w:lang w:val="fr-CH"/>
        </w:rPr>
        <w:instrText xml:space="preserve"> PAGEREF _Toc381170146 \h </w:instrText>
      </w:r>
      <w:r>
        <w:rPr>
          <w:noProof/>
        </w:rPr>
      </w:r>
      <w:r>
        <w:rPr>
          <w:noProof/>
        </w:rPr>
        <w:fldChar w:fldCharType="separate"/>
      </w:r>
      <w:r w:rsidR="0063448C">
        <w:rPr>
          <w:noProof/>
          <w:lang w:val="fr-CH"/>
        </w:rPr>
        <w:t>8</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Plate-forme de l’ITPGRFA pour le codéveloppement et le transfert de technologies</w:t>
      </w:r>
      <w:r>
        <w:rPr>
          <w:noProof/>
        </w:rPr>
        <w:tab/>
      </w:r>
      <w:r>
        <w:rPr>
          <w:noProof/>
        </w:rPr>
        <w:fldChar w:fldCharType="begin"/>
      </w:r>
      <w:r>
        <w:rPr>
          <w:noProof/>
        </w:rPr>
        <w:instrText xml:space="preserve"> PAGEREF _Toc381170147 \h </w:instrText>
      </w:r>
      <w:r>
        <w:rPr>
          <w:noProof/>
        </w:rPr>
      </w:r>
      <w:r>
        <w:rPr>
          <w:noProof/>
        </w:rPr>
        <w:fldChar w:fldCharType="separate"/>
      </w:r>
      <w:r w:rsidR="0063448C">
        <w:rPr>
          <w:noProof/>
        </w:rPr>
        <w:t>8</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Partenariats public-privé dans le domaine de la présélection</w:t>
      </w:r>
      <w:r>
        <w:rPr>
          <w:noProof/>
        </w:rPr>
        <w:tab/>
      </w:r>
      <w:r>
        <w:rPr>
          <w:noProof/>
        </w:rPr>
        <w:fldChar w:fldCharType="begin"/>
      </w:r>
      <w:r>
        <w:rPr>
          <w:noProof/>
        </w:rPr>
        <w:instrText xml:space="preserve"> PAGEREF _Toc381170148 \h </w:instrText>
      </w:r>
      <w:r>
        <w:rPr>
          <w:noProof/>
        </w:rPr>
      </w:r>
      <w:r>
        <w:rPr>
          <w:noProof/>
        </w:rPr>
        <w:fldChar w:fldCharType="separate"/>
      </w:r>
      <w:r w:rsidR="0063448C">
        <w:rPr>
          <w:noProof/>
        </w:rPr>
        <w:t>8</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Relations entre l’ITPGRFA, l’UPOV et l’OMPI</w:t>
      </w:r>
      <w:r>
        <w:rPr>
          <w:noProof/>
        </w:rPr>
        <w:tab/>
      </w:r>
      <w:r>
        <w:rPr>
          <w:noProof/>
        </w:rPr>
        <w:fldChar w:fldCharType="begin"/>
      </w:r>
      <w:r>
        <w:rPr>
          <w:noProof/>
        </w:rPr>
        <w:instrText xml:space="preserve"> PAGEREF _Toc381170149 \h </w:instrText>
      </w:r>
      <w:r>
        <w:rPr>
          <w:noProof/>
        </w:rPr>
      </w:r>
      <w:r>
        <w:rPr>
          <w:noProof/>
        </w:rPr>
        <w:fldChar w:fldCharType="separate"/>
      </w:r>
      <w:r w:rsidR="0063448C">
        <w:rPr>
          <w:noProof/>
        </w:rPr>
        <w:t>8</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b/>
          <w:bCs/>
          <w:smallCaps/>
          <w:noProof/>
          <w:spacing w:val="5"/>
          <w:lang w:val="fr-CH"/>
        </w:rPr>
        <w:t>II.</w:t>
      </w:r>
      <w:r w:rsidRPr="001F66A8">
        <w:rPr>
          <w:rFonts w:asciiTheme="minorHAnsi" w:eastAsiaTheme="minorEastAsia" w:hAnsiTheme="minorHAnsi" w:cstheme="minorBidi"/>
          <w:caps w:val="0"/>
          <w:noProof/>
          <w:sz w:val="22"/>
          <w:szCs w:val="22"/>
          <w:lang w:val="fr-CH"/>
        </w:rPr>
        <w:tab/>
      </w:r>
      <w:r w:rsidRPr="001F66A8">
        <w:rPr>
          <w:b/>
          <w:noProof/>
          <w:lang w:val="fr-CH"/>
        </w:rPr>
        <w:t>Questions à soumettre au Comité technique</w:t>
      </w:r>
      <w:r w:rsidRPr="001F66A8">
        <w:rPr>
          <w:noProof/>
          <w:lang w:val="fr-CH"/>
        </w:rPr>
        <w:tab/>
      </w:r>
      <w:r>
        <w:rPr>
          <w:noProof/>
        </w:rPr>
        <w:fldChar w:fldCharType="begin"/>
      </w:r>
      <w:r w:rsidRPr="001F66A8">
        <w:rPr>
          <w:noProof/>
          <w:lang w:val="fr-CH"/>
        </w:rPr>
        <w:instrText xml:space="preserve"> PAGEREF _Toc381170150 \h </w:instrText>
      </w:r>
      <w:r>
        <w:rPr>
          <w:noProof/>
        </w:rPr>
      </w:r>
      <w:r>
        <w:rPr>
          <w:noProof/>
        </w:rPr>
        <w:fldChar w:fldCharType="separate"/>
      </w:r>
      <w:r w:rsidR="0063448C">
        <w:rPr>
          <w:noProof/>
          <w:lang w:val="fr-CH"/>
        </w:rPr>
        <w:t>9</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descriptions variétales</w:t>
      </w:r>
      <w:r w:rsidRPr="001F66A8">
        <w:rPr>
          <w:noProof/>
          <w:lang w:val="fr-CH"/>
        </w:rPr>
        <w:tab/>
      </w:r>
      <w:r>
        <w:rPr>
          <w:noProof/>
        </w:rPr>
        <w:fldChar w:fldCharType="begin"/>
      </w:r>
      <w:r w:rsidRPr="001F66A8">
        <w:rPr>
          <w:noProof/>
          <w:lang w:val="fr-CH"/>
        </w:rPr>
        <w:instrText xml:space="preserve"> PAGEREF _Toc381170151 \h </w:instrText>
      </w:r>
      <w:r>
        <w:rPr>
          <w:noProof/>
        </w:rPr>
      </w:r>
      <w:r>
        <w:rPr>
          <w:noProof/>
        </w:rPr>
        <w:fldChar w:fldCharType="separate"/>
      </w:r>
      <w:r w:rsidR="0063448C">
        <w:rPr>
          <w:noProof/>
          <w:lang w:val="fr-CH"/>
        </w:rPr>
        <w:t>9</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lang w:val="fr-CH"/>
        </w:rPr>
        <w:t>questions soulevées par l’</w:t>
      </w:r>
      <w:r w:rsidRPr="001F66A8">
        <w:rPr>
          <w:i/>
          <w:noProof/>
          <w:lang w:val="fr-CH"/>
        </w:rPr>
        <w:t>International Seed Federation</w:t>
      </w:r>
      <w:r w:rsidRPr="001F66A8">
        <w:rPr>
          <w:noProof/>
          <w:lang w:val="fr-CH"/>
        </w:rPr>
        <w:t xml:space="preserve"> (ISF)</w:t>
      </w:r>
      <w:r w:rsidRPr="001F66A8">
        <w:rPr>
          <w:noProof/>
          <w:lang w:val="fr-CH"/>
        </w:rPr>
        <w:tab/>
      </w:r>
      <w:r>
        <w:rPr>
          <w:noProof/>
        </w:rPr>
        <w:fldChar w:fldCharType="begin"/>
      </w:r>
      <w:r w:rsidRPr="001F66A8">
        <w:rPr>
          <w:noProof/>
          <w:lang w:val="fr-CH"/>
        </w:rPr>
        <w:instrText xml:space="preserve"> PAGEREF _Toc381170152 \h </w:instrText>
      </w:r>
      <w:r>
        <w:rPr>
          <w:noProof/>
        </w:rPr>
      </w:r>
      <w:r>
        <w:rPr>
          <w:noProof/>
        </w:rPr>
        <w:fldChar w:fldCharType="separate"/>
      </w:r>
      <w:r w:rsidR="0063448C">
        <w:rPr>
          <w:noProof/>
          <w:lang w:val="fr-CH"/>
        </w:rPr>
        <w:t>10</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Questions que le TC est invité à examiner</w:t>
      </w:r>
      <w:r w:rsidRPr="001F66A8">
        <w:rPr>
          <w:noProof/>
          <w:lang w:val="fr-CH"/>
        </w:rPr>
        <w:tab/>
      </w:r>
      <w:r>
        <w:rPr>
          <w:noProof/>
        </w:rPr>
        <w:fldChar w:fldCharType="begin"/>
      </w:r>
      <w:r w:rsidRPr="001F66A8">
        <w:rPr>
          <w:noProof/>
          <w:lang w:val="fr-CH"/>
        </w:rPr>
        <w:instrText xml:space="preserve"> PAGEREF _Toc381170153 \h </w:instrText>
      </w:r>
      <w:r>
        <w:rPr>
          <w:noProof/>
        </w:rPr>
      </w:r>
      <w:r>
        <w:rPr>
          <w:noProof/>
        </w:rPr>
        <w:fldChar w:fldCharType="separate"/>
      </w:r>
      <w:r w:rsidR="0063448C">
        <w:rPr>
          <w:noProof/>
          <w:lang w:val="fr-CH"/>
        </w:rPr>
        <w:t>10</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a)</w:t>
      </w:r>
      <w:r w:rsidRPr="001F66A8">
        <w:rPr>
          <w:rFonts w:asciiTheme="minorHAnsi" w:eastAsiaTheme="minorEastAsia" w:hAnsiTheme="minorHAnsi" w:cstheme="minorBidi"/>
          <w:noProof/>
          <w:sz w:val="22"/>
          <w:szCs w:val="22"/>
          <w:lang w:val="fr-CH"/>
        </w:rPr>
        <w:tab/>
      </w:r>
      <w:r>
        <w:rPr>
          <w:noProof/>
        </w:rPr>
        <w:t>Photographies</w:t>
      </w:r>
      <w:r>
        <w:rPr>
          <w:noProof/>
        </w:rPr>
        <w:tab/>
      </w:r>
      <w:r>
        <w:rPr>
          <w:noProof/>
        </w:rPr>
        <w:fldChar w:fldCharType="begin"/>
      </w:r>
      <w:r>
        <w:rPr>
          <w:noProof/>
        </w:rPr>
        <w:instrText xml:space="preserve"> PAGEREF _Toc381170154 \h </w:instrText>
      </w:r>
      <w:r>
        <w:rPr>
          <w:noProof/>
        </w:rPr>
      </w:r>
      <w:r>
        <w:rPr>
          <w:noProof/>
        </w:rPr>
        <w:fldChar w:fldCharType="separate"/>
      </w:r>
      <w:r w:rsidR="0063448C">
        <w:rPr>
          <w:noProof/>
        </w:rPr>
        <w:t>10</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b)</w:t>
      </w:r>
      <w:r w:rsidRPr="001F66A8">
        <w:rPr>
          <w:rFonts w:asciiTheme="minorHAnsi" w:eastAsiaTheme="minorEastAsia" w:hAnsiTheme="minorHAnsi" w:cstheme="minorBidi"/>
          <w:noProof/>
          <w:sz w:val="22"/>
          <w:szCs w:val="22"/>
          <w:lang w:val="fr-CH"/>
        </w:rPr>
        <w:tab/>
      </w:r>
      <w:r>
        <w:rPr>
          <w:noProof/>
        </w:rPr>
        <w:t>Taille minimale de l’échantillon</w:t>
      </w:r>
      <w:r>
        <w:rPr>
          <w:noProof/>
        </w:rPr>
        <w:tab/>
      </w:r>
      <w:r>
        <w:rPr>
          <w:noProof/>
        </w:rPr>
        <w:fldChar w:fldCharType="begin"/>
      </w:r>
      <w:r>
        <w:rPr>
          <w:noProof/>
        </w:rPr>
        <w:instrText xml:space="preserve"> PAGEREF _Toc381170155 \h </w:instrText>
      </w:r>
      <w:r>
        <w:rPr>
          <w:noProof/>
        </w:rPr>
      </w:r>
      <w:r>
        <w:rPr>
          <w:noProof/>
        </w:rPr>
        <w:fldChar w:fldCharType="separate"/>
      </w:r>
      <w:r w:rsidR="0063448C">
        <w:rPr>
          <w:noProof/>
        </w:rPr>
        <w:t>11</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c)</w:t>
      </w:r>
      <w:r w:rsidRPr="001F66A8">
        <w:rPr>
          <w:rFonts w:asciiTheme="minorHAnsi" w:eastAsiaTheme="minorEastAsia" w:hAnsiTheme="minorHAnsi" w:cstheme="minorBidi"/>
          <w:noProof/>
          <w:sz w:val="22"/>
          <w:szCs w:val="22"/>
          <w:lang w:val="fr-CH"/>
        </w:rPr>
        <w:tab/>
      </w:r>
      <w:r>
        <w:rPr>
          <w:noProof/>
        </w:rPr>
        <w:t>Collections de référence</w:t>
      </w:r>
      <w:r>
        <w:rPr>
          <w:noProof/>
        </w:rPr>
        <w:tab/>
      </w:r>
      <w:r>
        <w:rPr>
          <w:noProof/>
        </w:rPr>
        <w:fldChar w:fldCharType="begin"/>
      </w:r>
      <w:r>
        <w:rPr>
          <w:noProof/>
        </w:rPr>
        <w:instrText xml:space="preserve"> PAGEREF _Toc381170156 \h </w:instrText>
      </w:r>
      <w:r>
        <w:rPr>
          <w:noProof/>
        </w:rPr>
      </w:r>
      <w:r>
        <w:rPr>
          <w:noProof/>
        </w:rPr>
        <w:fldChar w:fldCharType="separate"/>
      </w:r>
      <w:r w:rsidR="0063448C">
        <w:rPr>
          <w:noProof/>
        </w:rPr>
        <w:t>11</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d)</w:t>
      </w:r>
      <w:r w:rsidRPr="001F66A8">
        <w:rPr>
          <w:rFonts w:asciiTheme="minorHAnsi" w:eastAsiaTheme="minorEastAsia" w:hAnsiTheme="minorHAnsi" w:cstheme="minorBidi"/>
          <w:noProof/>
          <w:sz w:val="22"/>
          <w:szCs w:val="22"/>
          <w:lang w:val="fr-CH"/>
        </w:rPr>
        <w:tab/>
      </w:r>
      <w:r>
        <w:rPr>
          <w:noProof/>
        </w:rPr>
        <w:t>Durée de l’examen</w:t>
      </w:r>
      <w:r>
        <w:rPr>
          <w:noProof/>
        </w:rPr>
        <w:tab/>
      </w:r>
      <w:r>
        <w:rPr>
          <w:noProof/>
        </w:rPr>
        <w:fldChar w:fldCharType="begin"/>
      </w:r>
      <w:r>
        <w:rPr>
          <w:noProof/>
        </w:rPr>
        <w:instrText xml:space="preserve"> PAGEREF _Toc381170157 \h </w:instrText>
      </w:r>
      <w:r>
        <w:rPr>
          <w:noProof/>
        </w:rPr>
      </w:r>
      <w:r>
        <w:rPr>
          <w:noProof/>
        </w:rPr>
        <w:fldChar w:fldCharType="separate"/>
      </w:r>
      <w:r w:rsidR="0063448C">
        <w:rPr>
          <w:noProof/>
        </w:rPr>
        <w:t>12</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e)</w:t>
      </w:r>
      <w:r w:rsidRPr="001F66A8">
        <w:rPr>
          <w:rFonts w:asciiTheme="minorHAnsi" w:eastAsiaTheme="minorEastAsia" w:hAnsiTheme="minorHAnsi" w:cstheme="minorBidi"/>
          <w:noProof/>
          <w:sz w:val="22"/>
          <w:szCs w:val="22"/>
          <w:lang w:val="fr-CH"/>
        </w:rPr>
        <w:tab/>
      </w:r>
      <w:r>
        <w:rPr>
          <w:noProof/>
        </w:rPr>
        <w:t>Description de la variété la plus proche</w:t>
      </w:r>
      <w:r>
        <w:rPr>
          <w:noProof/>
        </w:rPr>
        <w:tab/>
      </w:r>
      <w:r>
        <w:rPr>
          <w:noProof/>
        </w:rPr>
        <w:fldChar w:fldCharType="begin"/>
      </w:r>
      <w:r>
        <w:rPr>
          <w:noProof/>
        </w:rPr>
        <w:instrText xml:space="preserve"> PAGEREF _Toc381170158 \h </w:instrText>
      </w:r>
      <w:r>
        <w:rPr>
          <w:noProof/>
        </w:rPr>
      </w:r>
      <w:r>
        <w:rPr>
          <w:noProof/>
        </w:rPr>
        <w:fldChar w:fldCharType="separate"/>
      </w:r>
      <w:r w:rsidR="0063448C">
        <w:rPr>
          <w:noProof/>
        </w:rPr>
        <w:t>12</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f)</w:t>
      </w:r>
      <w:r w:rsidRPr="001F66A8">
        <w:rPr>
          <w:rFonts w:asciiTheme="minorHAnsi" w:eastAsiaTheme="minorEastAsia" w:hAnsiTheme="minorHAnsi" w:cstheme="minorBidi"/>
          <w:noProof/>
          <w:sz w:val="22"/>
          <w:szCs w:val="22"/>
          <w:lang w:val="fr-CH"/>
        </w:rPr>
        <w:tab/>
      </w:r>
      <w:r>
        <w:rPr>
          <w:noProof/>
        </w:rPr>
        <w:t>Description variétale établie par le demandeur</w:t>
      </w:r>
      <w:r>
        <w:rPr>
          <w:noProof/>
        </w:rPr>
        <w:tab/>
      </w:r>
      <w:r>
        <w:rPr>
          <w:noProof/>
        </w:rPr>
        <w:fldChar w:fldCharType="begin"/>
      </w:r>
      <w:r>
        <w:rPr>
          <w:noProof/>
        </w:rPr>
        <w:instrText xml:space="preserve"> PAGEREF _Toc381170159 \h </w:instrText>
      </w:r>
      <w:r>
        <w:rPr>
          <w:noProof/>
        </w:rPr>
      </w:r>
      <w:r>
        <w:rPr>
          <w:noProof/>
        </w:rPr>
        <w:fldChar w:fldCharType="separate"/>
      </w:r>
      <w:r w:rsidR="0063448C">
        <w:rPr>
          <w:noProof/>
        </w:rPr>
        <w:t>13</w:t>
      </w:r>
      <w:r>
        <w:rPr>
          <w:noProof/>
        </w:rPr>
        <w:fldChar w:fldCharType="end"/>
      </w:r>
    </w:p>
    <w:p w:rsidR="008907DC" w:rsidRPr="001F66A8" w:rsidRDefault="008907DC">
      <w:pPr>
        <w:pStyle w:val="TOC3"/>
        <w:tabs>
          <w:tab w:val="left" w:pos="964"/>
        </w:tabs>
        <w:rPr>
          <w:rFonts w:asciiTheme="minorHAnsi" w:eastAsiaTheme="minorEastAsia" w:hAnsiTheme="minorHAnsi" w:cstheme="minorBidi"/>
          <w:noProof/>
          <w:sz w:val="22"/>
          <w:szCs w:val="22"/>
          <w:lang w:val="fr-CH"/>
        </w:rPr>
      </w:pPr>
      <w:r>
        <w:rPr>
          <w:noProof/>
        </w:rPr>
        <w:t>g)</w:t>
      </w:r>
      <w:r w:rsidRPr="001F66A8">
        <w:rPr>
          <w:rFonts w:asciiTheme="minorHAnsi" w:eastAsiaTheme="minorEastAsia" w:hAnsiTheme="minorHAnsi" w:cstheme="minorBidi"/>
          <w:noProof/>
          <w:sz w:val="22"/>
          <w:szCs w:val="22"/>
          <w:lang w:val="fr-CH"/>
        </w:rPr>
        <w:tab/>
      </w:r>
      <w:r>
        <w:rPr>
          <w:noProof/>
        </w:rPr>
        <w:t>Bases de données sur les descriptions variétales</w:t>
      </w:r>
      <w:r>
        <w:rPr>
          <w:noProof/>
        </w:rPr>
        <w:tab/>
      </w:r>
      <w:r>
        <w:rPr>
          <w:noProof/>
        </w:rPr>
        <w:fldChar w:fldCharType="begin"/>
      </w:r>
      <w:r>
        <w:rPr>
          <w:noProof/>
        </w:rPr>
        <w:instrText xml:space="preserve"> PAGEREF _Toc381170160 \h </w:instrText>
      </w:r>
      <w:r>
        <w:rPr>
          <w:noProof/>
        </w:rPr>
      </w:r>
      <w:r>
        <w:rPr>
          <w:noProof/>
        </w:rPr>
        <w:fldChar w:fldCharType="separate"/>
      </w:r>
      <w:r w:rsidR="0063448C">
        <w:rPr>
          <w:noProof/>
        </w:rPr>
        <w:t>13</w:t>
      </w:r>
      <w:r>
        <w:rPr>
          <w:noProof/>
        </w:rPr>
        <w:fldChar w:fldCharType="end"/>
      </w:r>
    </w:p>
    <w:p w:rsidR="008907DC" w:rsidRPr="001F66A8" w:rsidRDefault="008907DC">
      <w:pPr>
        <w:pStyle w:val="TOC1"/>
        <w:rPr>
          <w:rFonts w:asciiTheme="minorHAnsi" w:eastAsiaTheme="minorEastAsia" w:hAnsiTheme="minorHAnsi" w:cstheme="minorBidi"/>
          <w:caps w:val="0"/>
          <w:noProof/>
          <w:sz w:val="22"/>
          <w:szCs w:val="22"/>
          <w:lang w:val="fr-CH"/>
        </w:rPr>
      </w:pPr>
      <w:r w:rsidRPr="001F66A8">
        <w:rPr>
          <w:noProof/>
          <w:snapToGrid w:val="0"/>
          <w:lang w:val="fr-CH"/>
        </w:rPr>
        <w:t xml:space="preserve">modèle de </w:t>
      </w:r>
      <w:r w:rsidRPr="001F66A8">
        <w:rPr>
          <w:noProof/>
          <w:lang w:val="fr-CH"/>
        </w:rPr>
        <w:t>principes directeurs d’examen fondé sur le Web</w:t>
      </w:r>
      <w:r w:rsidRPr="001F66A8">
        <w:rPr>
          <w:noProof/>
          <w:lang w:val="fr-CH"/>
        </w:rPr>
        <w:tab/>
      </w:r>
      <w:r>
        <w:rPr>
          <w:noProof/>
        </w:rPr>
        <w:fldChar w:fldCharType="begin"/>
      </w:r>
      <w:r w:rsidRPr="001F66A8">
        <w:rPr>
          <w:noProof/>
          <w:lang w:val="fr-CH"/>
        </w:rPr>
        <w:instrText xml:space="preserve"> PAGEREF _Toc381170161 \h </w:instrText>
      </w:r>
      <w:r>
        <w:rPr>
          <w:noProof/>
        </w:rPr>
      </w:r>
      <w:r>
        <w:rPr>
          <w:noProof/>
        </w:rPr>
        <w:fldChar w:fldCharType="separate"/>
      </w:r>
      <w:r w:rsidR="0063448C">
        <w:rPr>
          <w:noProof/>
          <w:lang w:val="fr-CH"/>
        </w:rPr>
        <w:t>14</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t>Version n° 1</w:t>
      </w:r>
      <w:r w:rsidRPr="001F66A8">
        <w:rPr>
          <w:noProof/>
          <w:lang w:val="fr-CH"/>
        </w:rPr>
        <w:tab/>
      </w:r>
      <w:r>
        <w:rPr>
          <w:noProof/>
        </w:rPr>
        <w:fldChar w:fldCharType="begin"/>
      </w:r>
      <w:r w:rsidRPr="001F66A8">
        <w:rPr>
          <w:noProof/>
          <w:lang w:val="fr-CH"/>
        </w:rPr>
        <w:instrText xml:space="preserve"> PAGEREF _Toc381170162 \h </w:instrText>
      </w:r>
      <w:r>
        <w:rPr>
          <w:noProof/>
        </w:rPr>
      </w:r>
      <w:r>
        <w:rPr>
          <w:noProof/>
        </w:rPr>
        <w:fldChar w:fldCharType="separate"/>
      </w:r>
      <w:r w:rsidR="0063448C">
        <w:rPr>
          <w:noProof/>
          <w:lang w:val="fr-CH"/>
        </w:rPr>
        <w:t>15</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Caractéristiques</w:t>
      </w:r>
      <w:r>
        <w:rPr>
          <w:noProof/>
        </w:rPr>
        <w:tab/>
      </w:r>
      <w:r>
        <w:rPr>
          <w:noProof/>
        </w:rPr>
        <w:fldChar w:fldCharType="begin"/>
      </w:r>
      <w:r>
        <w:rPr>
          <w:noProof/>
        </w:rPr>
        <w:instrText xml:space="preserve"> PAGEREF _Toc381170163 \h </w:instrText>
      </w:r>
      <w:r>
        <w:rPr>
          <w:noProof/>
        </w:rPr>
      </w:r>
      <w:r>
        <w:rPr>
          <w:noProof/>
        </w:rPr>
        <w:fldChar w:fldCharType="separate"/>
      </w:r>
      <w:r w:rsidR="0063448C">
        <w:rPr>
          <w:noProof/>
        </w:rPr>
        <w:t>15</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Calendrier d’exécution</w:t>
      </w:r>
      <w:r>
        <w:rPr>
          <w:noProof/>
        </w:rPr>
        <w:tab/>
      </w:r>
      <w:r>
        <w:rPr>
          <w:noProof/>
        </w:rPr>
        <w:fldChar w:fldCharType="begin"/>
      </w:r>
      <w:r>
        <w:rPr>
          <w:noProof/>
        </w:rPr>
        <w:instrText xml:space="preserve"> PAGEREF _Toc381170164 \h </w:instrText>
      </w:r>
      <w:r>
        <w:rPr>
          <w:noProof/>
        </w:rPr>
      </w:r>
      <w:r>
        <w:rPr>
          <w:noProof/>
        </w:rPr>
        <w:fldChar w:fldCharType="separate"/>
      </w:r>
      <w:r w:rsidR="0063448C">
        <w:rPr>
          <w:noProof/>
        </w:rPr>
        <w:t>15</w:t>
      </w:r>
      <w:r>
        <w:rPr>
          <w:noProof/>
        </w:rPr>
        <w:fldChar w:fldCharType="end"/>
      </w:r>
    </w:p>
    <w:p w:rsidR="008907DC" w:rsidRPr="001F66A8" w:rsidRDefault="008907DC">
      <w:pPr>
        <w:pStyle w:val="TOC2"/>
        <w:rPr>
          <w:rFonts w:asciiTheme="minorHAnsi" w:eastAsiaTheme="minorEastAsia" w:hAnsiTheme="minorHAnsi" w:cstheme="minorBidi"/>
          <w:smallCaps w:val="0"/>
          <w:noProof/>
          <w:sz w:val="22"/>
          <w:szCs w:val="22"/>
          <w:lang w:val="fr-CH"/>
        </w:rPr>
      </w:pPr>
      <w:r w:rsidRPr="00F53804">
        <w:rPr>
          <w:noProof/>
          <w:lang w:val="fr-FR"/>
        </w:rPr>
        <w:lastRenderedPageBreak/>
        <w:t>Version n° 2</w:t>
      </w:r>
      <w:r w:rsidRPr="001F66A8">
        <w:rPr>
          <w:noProof/>
          <w:lang w:val="fr-CH"/>
        </w:rPr>
        <w:tab/>
      </w:r>
      <w:r>
        <w:rPr>
          <w:noProof/>
        </w:rPr>
        <w:fldChar w:fldCharType="begin"/>
      </w:r>
      <w:r w:rsidRPr="001F66A8">
        <w:rPr>
          <w:noProof/>
          <w:lang w:val="fr-CH"/>
        </w:rPr>
        <w:instrText xml:space="preserve"> PAGEREF _Toc381170165 \h </w:instrText>
      </w:r>
      <w:r>
        <w:rPr>
          <w:noProof/>
        </w:rPr>
      </w:r>
      <w:r>
        <w:rPr>
          <w:noProof/>
        </w:rPr>
        <w:fldChar w:fldCharType="separate"/>
      </w:r>
      <w:r w:rsidR="0063448C">
        <w:rPr>
          <w:noProof/>
          <w:lang w:val="fr-CH"/>
        </w:rPr>
        <w:t>16</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Traduction parallèle</w:t>
      </w:r>
      <w:r>
        <w:rPr>
          <w:noProof/>
        </w:rPr>
        <w:tab/>
      </w:r>
      <w:r>
        <w:rPr>
          <w:noProof/>
        </w:rPr>
        <w:fldChar w:fldCharType="begin"/>
      </w:r>
      <w:r>
        <w:rPr>
          <w:noProof/>
        </w:rPr>
        <w:instrText xml:space="preserve"> PAGEREF _Toc381170166 \h </w:instrText>
      </w:r>
      <w:r>
        <w:rPr>
          <w:noProof/>
        </w:rPr>
      </w:r>
      <w:r>
        <w:rPr>
          <w:noProof/>
        </w:rPr>
        <w:fldChar w:fldCharType="separate"/>
      </w:r>
      <w:r w:rsidR="0063448C">
        <w:rPr>
          <w:noProof/>
        </w:rPr>
        <w:t>16</w:t>
      </w:r>
      <w:r>
        <w:rPr>
          <w:noProof/>
        </w:rPr>
        <w:fldChar w:fldCharType="end"/>
      </w:r>
    </w:p>
    <w:p w:rsidR="008907DC" w:rsidRPr="001F66A8" w:rsidRDefault="008907DC">
      <w:pPr>
        <w:pStyle w:val="TOC3"/>
        <w:rPr>
          <w:rFonts w:asciiTheme="minorHAnsi" w:eastAsiaTheme="minorEastAsia" w:hAnsiTheme="minorHAnsi" w:cstheme="minorBidi"/>
          <w:noProof/>
          <w:sz w:val="22"/>
          <w:szCs w:val="22"/>
          <w:lang w:val="fr-CH"/>
        </w:rPr>
      </w:pPr>
      <w:r>
        <w:rPr>
          <w:noProof/>
        </w:rPr>
        <w:t>Principes directeurs d’examen propres aux différents services</w:t>
      </w:r>
      <w:r>
        <w:rPr>
          <w:noProof/>
        </w:rPr>
        <w:tab/>
      </w:r>
      <w:r>
        <w:rPr>
          <w:noProof/>
        </w:rPr>
        <w:fldChar w:fldCharType="begin"/>
      </w:r>
      <w:r>
        <w:rPr>
          <w:noProof/>
        </w:rPr>
        <w:instrText xml:space="preserve"> PAGEREF _Toc381170167 \h </w:instrText>
      </w:r>
      <w:r>
        <w:rPr>
          <w:noProof/>
        </w:rPr>
      </w:r>
      <w:r>
        <w:rPr>
          <w:noProof/>
        </w:rPr>
        <w:fldChar w:fldCharType="separate"/>
      </w:r>
      <w:r w:rsidR="0063448C">
        <w:rPr>
          <w:noProof/>
        </w:rPr>
        <w:t>16</w:t>
      </w:r>
      <w:r>
        <w:rPr>
          <w:noProof/>
        </w:rPr>
        <w:fldChar w:fldCharType="end"/>
      </w:r>
    </w:p>
    <w:p w:rsidR="00574BC4" w:rsidRPr="00BE1231" w:rsidRDefault="00185757" w:rsidP="002E3428">
      <w:pPr>
        <w:pStyle w:val="TOC3"/>
        <w:rPr>
          <w:caps/>
        </w:rPr>
      </w:pPr>
      <w:r w:rsidRPr="00BE1231">
        <w:fldChar w:fldCharType="end"/>
      </w:r>
    </w:p>
    <w:p w:rsidR="00F23923" w:rsidRDefault="00F23923" w:rsidP="00F23923"/>
    <w:p w:rsidR="00F23923" w:rsidRDefault="00F23923" w:rsidP="00F23923"/>
    <w:p w:rsidR="00F23923" w:rsidRPr="00F23923" w:rsidRDefault="00F23923" w:rsidP="00F23923"/>
    <w:p w:rsidR="001F4113" w:rsidRPr="00BE1231" w:rsidRDefault="001F4113" w:rsidP="008907DC">
      <w:pPr>
        <w:pStyle w:val="Heading1"/>
        <w:rPr>
          <w:rStyle w:val="BookTitle"/>
          <w:b/>
        </w:rPr>
      </w:pPr>
      <w:bookmarkStart w:id="5" w:name="_Toc381170119"/>
      <w:r w:rsidRPr="00BE1231">
        <w:rPr>
          <w:rStyle w:val="BookTitle"/>
          <w:b/>
        </w:rPr>
        <w:t>I.</w:t>
      </w:r>
      <w:r w:rsidRPr="00BE1231">
        <w:rPr>
          <w:rStyle w:val="BookTitle"/>
          <w:b/>
        </w:rPr>
        <w:tab/>
      </w:r>
      <w:r w:rsidR="00114D0C" w:rsidRPr="00BE1231">
        <w:rPr>
          <w:rStyle w:val="BookTitle"/>
          <w:b/>
        </w:rPr>
        <w:t>Questions pour</w:t>
      </w:r>
      <w:r w:rsidRPr="00BE1231">
        <w:rPr>
          <w:rStyle w:val="BookTitle"/>
          <w:b/>
        </w:rPr>
        <w:t xml:space="preserve"> Information</w:t>
      </w:r>
      <w:bookmarkEnd w:id="5"/>
    </w:p>
    <w:p w:rsidR="001F4113" w:rsidRPr="00BE1231" w:rsidRDefault="001F4113" w:rsidP="008907DC">
      <w:pPr>
        <w:pStyle w:val="Heading1"/>
      </w:pPr>
    </w:p>
    <w:p w:rsidR="00D41A77" w:rsidRPr="00BE1231" w:rsidRDefault="00D41A77" w:rsidP="008907DC">
      <w:pPr>
        <w:pStyle w:val="Heading1"/>
      </w:pPr>
      <w:bookmarkStart w:id="6" w:name="_Toc381170120"/>
      <w:r w:rsidRPr="00BE1231">
        <w:t>Memb</w:t>
      </w:r>
      <w:r w:rsidR="00114D0C" w:rsidRPr="00BE1231">
        <w:t>RES</w:t>
      </w:r>
      <w:bookmarkEnd w:id="6"/>
    </w:p>
    <w:p w:rsidR="00D41A77" w:rsidRPr="00BE1231" w:rsidRDefault="00D41A77" w:rsidP="00D41A77"/>
    <w:p w:rsidR="00D41A77" w:rsidRPr="00BE1231" w:rsidRDefault="00114D0C" w:rsidP="006A4A4E">
      <w:pPr>
        <w:pStyle w:val="Heading2"/>
        <w:rPr>
          <w:lang w:val="fr-FR"/>
        </w:rPr>
      </w:pPr>
      <w:bookmarkStart w:id="7" w:name="_Toc381170121"/>
      <w:r w:rsidRPr="00BE1231">
        <w:rPr>
          <w:lang w:val="fr-FR"/>
        </w:rPr>
        <w:t>Membre</w:t>
      </w:r>
      <w:r w:rsidR="00D41A77" w:rsidRPr="00BE1231">
        <w:rPr>
          <w:lang w:val="fr-FR"/>
        </w:rPr>
        <w:t xml:space="preserve">s </w:t>
      </w:r>
      <w:r w:rsidRPr="00BE1231">
        <w:rPr>
          <w:lang w:val="fr-FR"/>
        </w:rPr>
        <w:t>de l</w:t>
      </w:r>
      <w:r w:rsidR="00C4117D">
        <w:rPr>
          <w:lang w:val="fr-FR"/>
        </w:rPr>
        <w:t>’</w:t>
      </w:r>
      <w:r w:rsidR="00D41A77" w:rsidRPr="00BE1231">
        <w:rPr>
          <w:lang w:val="fr-FR"/>
        </w:rPr>
        <w:t>Union</w:t>
      </w:r>
      <w:bookmarkEnd w:id="7"/>
    </w:p>
    <w:p w:rsidR="00D41A77" w:rsidRPr="00BE1231" w:rsidRDefault="00D41A77" w:rsidP="00D41A77"/>
    <w:p w:rsidR="00C4117D" w:rsidRPr="00A1496F" w:rsidRDefault="00185757" w:rsidP="00D41A77">
      <w:r w:rsidRPr="00A1496F">
        <w:rPr>
          <w:snapToGrid w:val="0"/>
        </w:rPr>
        <w:fldChar w:fldCharType="begin"/>
      </w:r>
      <w:r w:rsidR="0028178C" w:rsidRPr="00A1496F">
        <w:rPr>
          <w:snapToGrid w:val="0"/>
        </w:rPr>
        <w:instrText xml:space="preserve"> AUTONUM  </w:instrText>
      </w:r>
      <w:r w:rsidRPr="00A1496F">
        <w:rPr>
          <w:snapToGrid w:val="0"/>
        </w:rPr>
        <w:fldChar w:fldCharType="end"/>
      </w:r>
      <w:r w:rsidR="0028178C" w:rsidRPr="00A1496F">
        <w:rPr>
          <w:snapToGrid w:val="0"/>
        </w:rPr>
        <w:t xml:space="preserve"> </w:t>
      </w:r>
      <w:r w:rsidR="00AB76FD" w:rsidRPr="00A1496F">
        <w:rPr>
          <w:snapToGrid w:val="0"/>
        </w:rPr>
        <w:tab/>
      </w:r>
      <w:r w:rsidR="00EB1962" w:rsidRPr="00A1496F">
        <w:t>Au 3</w:t>
      </w:r>
      <w:r w:rsidR="00C4117D" w:rsidRPr="00A1496F">
        <w:t>1 janvier 20</w:t>
      </w:r>
      <w:r w:rsidR="00D41A77" w:rsidRPr="00A1496F">
        <w:t xml:space="preserve">14, </w:t>
      </w:r>
      <w:r w:rsidR="00EB1962" w:rsidRPr="00A1496F">
        <w:t>la</w:t>
      </w:r>
      <w:r w:rsidR="00D41A77" w:rsidRPr="00A1496F">
        <w:t xml:space="preserve"> situation </w:t>
      </w:r>
      <w:r w:rsidR="00EB1962" w:rsidRPr="00A1496F">
        <w:t>des membres de l</w:t>
      </w:r>
      <w:r w:rsidR="00C4117D" w:rsidRPr="00A1496F">
        <w:t>’</w:t>
      </w:r>
      <w:r w:rsidR="00D41A77" w:rsidRPr="00A1496F">
        <w:t>Union (71</w:t>
      </w:r>
      <w:r w:rsidR="00EB1962" w:rsidRPr="00A1496F">
        <w:t xml:space="preserve"> en tout</w:t>
      </w:r>
      <w:r w:rsidR="00D41A77" w:rsidRPr="00A1496F">
        <w:t xml:space="preserve">) </w:t>
      </w:r>
      <w:r w:rsidR="00EB1962" w:rsidRPr="00A1496F">
        <w:t>par rapport aux différents actes de la Convention se présentait comme suit</w:t>
      </w:r>
      <w:r w:rsidR="00972147" w:rsidRPr="00A1496F">
        <w:t> </w:t>
      </w:r>
      <w:r w:rsidR="00EB1962" w:rsidRPr="00A1496F">
        <w:t>:</w:t>
      </w:r>
    </w:p>
    <w:p w:rsidR="00D41A77" w:rsidRPr="00A1496F" w:rsidRDefault="00D41A77" w:rsidP="00D41A77"/>
    <w:p w:rsidR="00D41A77" w:rsidRPr="00A1496F" w:rsidRDefault="00AB76FD" w:rsidP="00D41A77">
      <w:r w:rsidRPr="00A1496F">
        <w:tab/>
      </w:r>
      <w:r w:rsidR="00D41A77" w:rsidRPr="00A1496F">
        <w:t>a)</w:t>
      </w:r>
      <w:r w:rsidR="00D41A77" w:rsidRPr="00A1496F">
        <w:tab/>
      </w:r>
      <w:r w:rsidR="00EB1962" w:rsidRPr="00A1496F">
        <w:t>la Belgique était liée par la Convention de</w:t>
      </w:r>
      <w:r w:rsidR="00E2212C" w:rsidRPr="00A1496F">
        <w:t> </w:t>
      </w:r>
      <w:r w:rsidR="00EB1962" w:rsidRPr="00A1496F">
        <w:t>1961 modifiée par l</w:t>
      </w:r>
      <w:r w:rsidR="00C4117D" w:rsidRPr="00A1496F">
        <w:t>’</w:t>
      </w:r>
      <w:r w:rsidR="00EB1962" w:rsidRPr="00A1496F">
        <w:t>Acte de</w:t>
      </w:r>
      <w:r w:rsidR="00E2212C" w:rsidRPr="00A1496F">
        <w:t> </w:t>
      </w:r>
      <w:r w:rsidR="00EB1962" w:rsidRPr="00A1496F">
        <w:t>1972</w:t>
      </w:r>
      <w:r w:rsidR="00D41A77" w:rsidRPr="00A1496F">
        <w:t>;</w:t>
      </w:r>
    </w:p>
    <w:p w:rsidR="00D41A77" w:rsidRPr="00A1496F" w:rsidRDefault="00D41A77" w:rsidP="00D41A77"/>
    <w:p w:rsidR="00D41A77" w:rsidRPr="00A1496F" w:rsidRDefault="00AB76FD" w:rsidP="00D41A77">
      <w:r w:rsidRPr="00A1496F">
        <w:tab/>
      </w:r>
      <w:r w:rsidR="00D41A77" w:rsidRPr="00A1496F">
        <w:t>b)</w:t>
      </w:r>
      <w:r w:rsidR="00D41A77" w:rsidRPr="00A1496F">
        <w:tab/>
        <w:t xml:space="preserve">19 </w:t>
      </w:r>
      <w:r w:rsidR="00EB1962" w:rsidRPr="00A1496F">
        <w:t>membres étaient liés par l</w:t>
      </w:r>
      <w:r w:rsidR="00C4117D" w:rsidRPr="00A1496F">
        <w:t>’</w:t>
      </w:r>
      <w:r w:rsidR="00EB1962" w:rsidRPr="00A1496F">
        <w:t>Acte de</w:t>
      </w:r>
      <w:r w:rsidR="00E2212C" w:rsidRPr="00A1496F">
        <w:t> </w:t>
      </w:r>
      <w:r w:rsidR="00EB1962" w:rsidRPr="00A1496F">
        <w:t>1978</w:t>
      </w:r>
      <w:r w:rsidR="00972147" w:rsidRPr="00A1496F">
        <w:t> </w:t>
      </w:r>
      <w:r w:rsidR="00D41A77" w:rsidRPr="00A1496F">
        <w:t xml:space="preserve">: </w:t>
      </w:r>
      <w:r w:rsidR="00EB1962" w:rsidRPr="00A1496F">
        <w:t>Afrique du Sud, Argentine, Bolivie, Brésil, Canada, Chili, Chine, Colombie, Équateur, Italie</w:t>
      </w:r>
      <w:r w:rsidR="00D41A77" w:rsidRPr="00A1496F">
        <w:t>, Kenya, Mexi</w:t>
      </w:r>
      <w:r w:rsidR="00EB1962" w:rsidRPr="00A1496F">
        <w:t>que</w:t>
      </w:r>
      <w:r w:rsidR="00D41A77" w:rsidRPr="00A1496F">
        <w:t xml:space="preserve">, Nicaragua, </w:t>
      </w:r>
      <w:r w:rsidR="00436F57" w:rsidRPr="00A1496F">
        <w:t xml:space="preserve">Norvège, </w:t>
      </w:r>
      <w:r w:rsidR="00EB1962" w:rsidRPr="00A1496F">
        <w:t>Nouvelle</w:t>
      </w:r>
      <w:r w:rsidR="00C4117D" w:rsidRPr="00A1496F">
        <w:t>-</w:t>
      </w:r>
      <w:r w:rsidR="00EB1962" w:rsidRPr="00A1496F">
        <w:t>Zélande</w:t>
      </w:r>
      <w:r w:rsidR="00436F57" w:rsidRPr="00A1496F">
        <w:t>,</w:t>
      </w:r>
      <w:r w:rsidR="00EB1962" w:rsidRPr="00A1496F">
        <w:t xml:space="preserve"> </w:t>
      </w:r>
      <w:r w:rsidR="00D41A77" w:rsidRPr="00A1496F">
        <w:t xml:space="preserve">Paraguay, Portugal, </w:t>
      </w:r>
      <w:r w:rsidR="00436F57" w:rsidRPr="00A1496F">
        <w:t>Trinité</w:t>
      </w:r>
      <w:r w:rsidR="00C4117D" w:rsidRPr="00A1496F">
        <w:t>-</w:t>
      </w:r>
      <w:r w:rsidR="00436F57" w:rsidRPr="00A1496F">
        <w:t>et</w:t>
      </w:r>
      <w:r w:rsidR="00C4117D" w:rsidRPr="00A1496F">
        <w:t>-</w:t>
      </w:r>
      <w:r w:rsidR="00436F57" w:rsidRPr="00A1496F">
        <w:t>Tobago et Uruguay</w:t>
      </w:r>
      <w:r w:rsidR="00D41A77" w:rsidRPr="00A1496F">
        <w:t>;</w:t>
      </w:r>
    </w:p>
    <w:p w:rsidR="00D41A77" w:rsidRPr="00A1496F" w:rsidRDefault="00D41A77" w:rsidP="00D41A77"/>
    <w:p w:rsidR="00436F57" w:rsidRPr="00BE1231" w:rsidRDefault="00AB76FD" w:rsidP="00436F57">
      <w:r w:rsidRPr="00A1496F">
        <w:tab/>
      </w:r>
      <w:r w:rsidR="00D41A77" w:rsidRPr="00A1496F">
        <w:t>c)</w:t>
      </w:r>
      <w:r w:rsidR="00D41A77" w:rsidRPr="00A1496F">
        <w:tab/>
        <w:t xml:space="preserve">51 </w:t>
      </w:r>
      <w:r w:rsidR="00436F57" w:rsidRPr="00A1496F">
        <w:t>membres étaient liés par l</w:t>
      </w:r>
      <w:r w:rsidR="00C4117D" w:rsidRPr="00A1496F">
        <w:t>’</w:t>
      </w:r>
      <w:r w:rsidR="00436F57" w:rsidRPr="00A1496F">
        <w:t>Acte de</w:t>
      </w:r>
      <w:r w:rsidR="00E2212C" w:rsidRPr="00A1496F">
        <w:t> </w:t>
      </w:r>
      <w:r w:rsidR="00436F57" w:rsidRPr="00A1496F">
        <w:t>1991</w:t>
      </w:r>
      <w:r w:rsidR="00E2212C" w:rsidRPr="00A1496F">
        <w:t> </w:t>
      </w:r>
      <w:r w:rsidR="00D41A77" w:rsidRPr="00A1496F">
        <w:t xml:space="preserve">: </w:t>
      </w:r>
      <w:r w:rsidR="00436F57" w:rsidRPr="00A1496F">
        <w:t>Albanie, Allemagne, Australie, Autriche,</w:t>
      </w:r>
      <w:r w:rsidR="00436F57" w:rsidRPr="00BE1231">
        <w:t xml:space="preserve"> Azerbaïdjan, </w:t>
      </w:r>
      <w:proofErr w:type="spellStart"/>
      <w:r w:rsidR="00436F57" w:rsidRPr="00BE1231">
        <w:t>Bélarus</w:t>
      </w:r>
      <w:proofErr w:type="spellEnd"/>
      <w:r w:rsidR="00436F57" w:rsidRPr="00BE1231">
        <w:t>, Bulgarie, Costa Rica, Croatie, Danemark, Espagne, Estonie, États</w:t>
      </w:r>
      <w:r w:rsidR="00C4117D">
        <w:t>-</w:t>
      </w:r>
      <w:r w:rsidR="00436F57" w:rsidRPr="00BE1231">
        <w:t>Unis d</w:t>
      </w:r>
      <w:r w:rsidR="00C4117D">
        <w:t>’</w:t>
      </w:r>
      <w:r w:rsidR="00436F57" w:rsidRPr="00BE1231">
        <w:t>Amérique, ex</w:t>
      </w:r>
      <w:r w:rsidR="00C4117D">
        <w:t>-</w:t>
      </w:r>
      <w:r w:rsidR="00436F57" w:rsidRPr="00BE1231">
        <w:t>République yougoslave de Macédoine, Fédération de Russie, Finlande, France, Géorgi</w:t>
      </w:r>
      <w:r w:rsidR="00BE1231" w:rsidRPr="00BE1231">
        <w:t>e</w:t>
      </w:r>
      <w:r w:rsidR="00436F57" w:rsidRPr="00BE1231">
        <w:t>, Hongrie, Irlande, Island</w:t>
      </w:r>
      <w:r w:rsidR="00BE1231" w:rsidRPr="00BE1231">
        <w:t>e</w:t>
      </w:r>
      <w:r w:rsidR="00436F57" w:rsidRPr="00BE1231">
        <w:t>, Israël, Japon, Jordanie, Kirghizistan, Lettonie, Lituanie, Maroc, Oman, Ouzbékistan, Panama, Pays</w:t>
      </w:r>
      <w:r w:rsidR="00C4117D">
        <w:t>-</w:t>
      </w:r>
      <w:r w:rsidR="00436F57" w:rsidRPr="00BE1231">
        <w:t>Bas, Pérou, Pologne, République de Corée, République de Moldova, République dominicaine, République tchèque, Roumanie, Royaume</w:t>
      </w:r>
      <w:r w:rsidR="00C4117D">
        <w:t>-</w:t>
      </w:r>
      <w:r w:rsidR="00436F57" w:rsidRPr="00BE1231">
        <w:t>Uni, Serbie, Singapour, Slovaquie, Slovénie, Suède, Suisse, Tunisie, Turquie, Ukraine, Union européenne et Viet Nam</w:t>
      </w:r>
      <w:r w:rsidR="00BF212C">
        <w:t>.</w:t>
      </w:r>
    </w:p>
    <w:p w:rsidR="00D41A77" w:rsidRPr="00BE1231" w:rsidRDefault="00D41A77" w:rsidP="00D41A77"/>
    <w:p w:rsidR="00D135ED" w:rsidRPr="00BE1231" w:rsidRDefault="00D135ED" w:rsidP="00D41A77"/>
    <w:p w:rsidR="00D41A77" w:rsidRPr="00BE1231" w:rsidRDefault="00D41A77" w:rsidP="006A4A4E">
      <w:pPr>
        <w:pStyle w:val="Heading2"/>
        <w:rPr>
          <w:lang w:val="fr-FR"/>
        </w:rPr>
      </w:pPr>
      <w:bookmarkStart w:id="8" w:name="_Toc381170122"/>
      <w:r w:rsidRPr="00BE1231">
        <w:rPr>
          <w:lang w:val="fr-FR"/>
        </w:rPr>
        <w:t>Exam</w:t>
      </w:r>
      <w:r w:rsidR="00114D0C" w:rsidRPr="00BE1231">
        <w:rPr>
          <w:lang w:val="fr-FR"/>
        </w:rPr>
        <w:t>en des lois</w:t>
      </w:r>
      <w:bookmarkEnd w:id="8"/>
    </w:p>
    <w:p w:rsidR="00D41A77" w:rsidRPr="00BE1231" w:rsidRDefault="00D41A77" w:rsidP="00D41A77">
      <w:pPr>
        <w:keepNext/>
      </w:pPr>
    </w:p>
    <w:p w:rsidR="00D41A77" w:rsidRPr="00BE1231" w:rsidRDefault="00D41A77" w:rsidP="00D41A77">
      <w:pPr>
        <w:pStyle w:val="Heading3"/>
      </w:pPr>
      <w:bookmarkStart w:id="9" w:name="_Toc381170123"/>
      <w:r w:rsidRPr="00BE1231">
        <w:t>Zanzibar</w:t>
      </w:r>
      <w:bookmarkEnd w:id="9"/>
    </w:p>
    <w:p w:rsidR="00D41A77" w:rsidRPr="00BE1231" w:rsidRDefault="00D41A77" w:rsidP="00D41A77">
      <w:pPr>
        <w:keepNext/>
      </w:pPr>
    </w:p>
    <w:p w:rsidR="00F20A2B" w:rsidRPr="00BE1231" w:rsidRDefault="00185757" w:rsidP="00FC6338">
      <w:pPr>
        <w:rPr>
          <w:rFonts w:cs="Arial"/>
        </w:rPr>
      </w:pPr>
      <w:r w:rsidRPr="00BE1231">
        <w:fldChar w:fldCharType="begin"/>
      </w:r>
      <w:r w:rsidR="00D41A77" w:rsidRPr="00BE1231">
        <w:instrText xml:space="preserve"> AUTONUM  </w:instrText>
      </w:r>
      <w:r w:rsidRPr="00BE1231">
        <w:fldChar w:fldCharType="end"/>
      </w:r>
      <w:r w:rsidR="00D41A77" w:rsidRPr="00BE1231">
        <w:tab/>
      </w:r>
      <w:r w:rsidR="00F20A2B" w:rsidRPr="00BE1231">
        <w:t>À sa trentième</w:t>
      </w:r>
      <w:r w:rsidR="00E2212C">
        <w:t> </w:t>
      </w:r>
      <w:r w:rsidR="00F20A2B" w:rsidRPr="00BE1231">
        <w:t>session extraordinaire, tenue à Genève le 2</w:t>
      </w:r>
      <w:r w:rsidR="00AB76FD" w:rsidRPr="00BE1231">
        <w:t>2</w:t>
      </w:r>
      <w:r w:rsidR="00AB76FD">
        <w:t> </w:t>
      </w:r>
      <w:r w:rsidR="00AB76FD" w:rsidRPr="00BE1231">
        <w:t>mars</w:t>
      </w:r>
      <w:r w:rsidR="00AB76FD">
        <w:t> </w:t>
      </w:r>
      <w:r w:rsidR="00AB76FD" w:rsidRPr="00BE1231">
        <w:t>20</w:t>
      </w:r>
      <w:r w:rsidR="00F20A2B" w:rsidRPr="00BE1231">
        <w:t>13, le Conseil a examiné la</w:t>
      </w:r>
      <w:r w:rsidR="00FC6338">
        <w:t> </w:t>
      </w:r>
      <w:r w:rsidR="00F20A2B" w:rsidRPr="00BE1231">
        <w:t xml:space="preserve">conformité du </w:t>
      </w:r>
      <w:r w:rsidR="00F20A2B" w:rsidRPr="00BE1231">
        <w:rPr>
          <w:rFonts w:cs="Arial"/>
        </w:rPr>
        <w:t>projet de loi sur les droits d</w:t>
      </w:r>
      <w:r w:rsidR="00C4117D">
        <w:rPr>
          <w:rFonts w:cs="Arial"/>
        </w:rPr>
        <w:t>’</w:t>
      </w:r>
      <w:r w:rsidR="00F20A2B" w:rsidRPr="00BE1231">
        <w:rPr>
          <w:rFonts w:cs="Arial"/>
        </w:rPr>
        <w:t>obtenteur pour Zanzibar avec l</w:t>
      </w:r>
      <w:r w:rsidR="00C4117D">
        <w:rPr>
          <w:rFonts w:cs="Arial"/>
        </w:rPr>
        <w:t>’</w:t>
      </w:r>
      <w:r w:rsidR="00F20A2B" w:rsidRPr="00BE1231">
        <w:rPr>
          <w:rFonts w:cs="Arial"/>
        </w:rPr>
        <w:t>Acte de</w:t>
      </w:r>
      <w:r w:rsidR="00E2212C">
        <w:rPr>
          <w:rFonts w:cs="Arial"/>
        </w:rPr>
        <w:t> </w:t>
      </w:r>
      <w:r w:rsidR="00F20A2B" w:rsidRPr="00BE1231">
        <w:rPr>
          <w:rFonts w:cs="Arial"/>
        </w:rPr>
        <w:t xml:space="preserve">1991 de la </w:t>
      </w:r>
      <w:r w:rsidR="00C4117D">
        <w:rPr>
          <w:rFonts w:cs="Arial"/>
        </w:rPr>
        <w:t>Convention UPOV</w:t>
      </w:r>
      <w:r w:rsidR="00F20A2B" w:rsidRPr="00BE1231">
        <w:rPr>
          <w:rFonts w:cs="Arial"/>
        </w:rPr>
        <w:t xml:space="preserve">. </w:t>
      </w:r>
      <w:r w:rsidR="00CB1E15">
        <w:rPr>
          <w:rFonts w:cs="Arial"/>
        </w:rPr>
        <w:t xml:space="preserve"> </w:t>
      </w:r>
      <w:r w:rsidR="00F20A2B" w:rsidRPr="00BE1231">
        <w:rPr>
          <w:rFonts w:cs="Arial"/>
        </w:rPr>
        <w:t>Il a décidé, sous réserve de l</w:t>
      </w:r>
      <w:r w:rsidR="00C4117D">
        <w:rPr>
          <w:rFonts w:cs="Arial"/>
        </w:rPr>
        <w:t>’</w:t>
      </w:r>
      <w:r w:rsidR="00F20A2B" w:rsidRPr="00BE1231">
        <w:rPr>
          <w:rFonts w:cs="Arial"/>
        </w:rPr>
        <w:t>incorporation, dans le projet de loi sur les droits d</w:t>
      </w:r>
      <w:r w:rsidR="00C4117D">
        <w:rPr>
          <w:rFonts w:cs="Arial"/>
        </w:rPr>
        <w:t>’</w:t>
      </w:r>
      <w:r w:rsidR="00F20A2B" w:rsidRPr="00BE1231">
        <w:rPr>
          <w:rFonts w:cs="Arial"/>
        </w:rPr>
        <w:t>obtenteur pour Zanzibar de certaines modifications, et sans aucune modification additionnelle, de rendre une décision positive sur la conformité du projet de loi sur les droits d</w:t>
      </w:r>
      <w:r w:rsidR="00C4117D">
        <w:rPr>
          <w:rFonts w:cs="Arial"/>
        </w:rPr>
        <w:t>’</w:t>
      </w:r>
      <w:r w:rsidR="00F20A2B" w:rsidRPr="00BE1231">
        <w:rPr>
          <w:rFonts w:cs="Arial"/>
        </w:rPr>
        <w:t>obtenteur pour Zanzibar avec les dispositions de l</w:t>
      </w:r>
      <w:r w:rsidR="00C4117D">
        <w:rPr>
          <w:rFonts w:cs="Arial"/>
        </w:rPr>
        <w:t>’</w:t>
      </w:r>
      <w:r w:rsidR="00F20A2B" w:rsidRPr="00BE1231">
        <w:rPr>
          <w:rFonts w:cs="Arial"/>
        </w:rPr>
        <w:t>Acte de</w:t>
      </w:r>
      <w:r w:rsidR="00E2212C">
        <w:rPr>
          <w:rFonts w:cs="Arial"/>
        </w:rPr>
        <w:t> </w:t>
      </w:r>
      <w:r w:rsidR="00F20A2B" w:rsidRPr="00BE1231">
        <w:rPr>
          <w:rFonts w:cs="Arial"/>
        </w:rPr>
        <w:t>1991 de la Convention internationale pour la protection des obtentions végétales.</w:t>
      </w:r>
      <w:r w:rsidR="00CB1E15">
        <w:rPr>
          <w:rFonts w:cs="Arial"/>
        </w:rPr>
        <w:t xml:space="preserve"> </w:t>
      </w:r>
      <w:r w:rsidR="00F20A2B" w:rsidRPr="00BE1231">
        <w:rPr>
          <w:rFonts w:cs="Arial"/>
        </w:rPr>
        <w:t xml:space="preserve"> Le Conseil a également décidé</w:t>
      </w:r>
      <w:r w:rsidR="0075564D" w:rsidRPr="00BE1231">
        <w:rPr>
          <w:rFonts w:cs="Arial"/>
        </w:rPr>
        <w:t xml:space="preserve"> d</w:t>
      </w:r>
      <w:r w:rsidR="00C4117D">
        <w:rPr>
          <w:rFonts w:cs="Arial"/>
        </w:rPr>
        <w:t>’</w:t>
      </w:r>
      <w:r w:rsidR="0075564D" w:rsidRPr="00BE1231">
        <w:rPr>
          <w:rFonts w:cs="Arial"/>
        </w:rPr>
        <w:t>informer le Gouvernement de la République</w:t>
      </w:r>
      <w:r w:rsidR="00C4117D">
        <w:rPr>
          <w:rFonts w:cs="Arial"/>
        </w:rPr>
        <w:t>-</w:t>
      </w:r>
      <w:r w:rsidR="0075564D" w:rsidRPr="00BE1231">
        <w:rPr>
          <w:rFonts w:cs="Arial"/>
        </w:rPr>
        <w:t>Unie de Tanzanie que, sous réserve de l</w:t>
      </w:r>
      <w:r w:rsidR="00C4117D">
        <w:rPr>
          <w:rFonts w:cs="Arial"/>
        </w:rPr>
        <w:t>’</w:t>
      </w:r>
      <w:r w:rsidR="0075564D" w:rsidRPr="00BE1231">
        <w:rPr>
          <w:rFonts w:cs="Arial"/>
        </w:rPr>
        <w:t>incorporation, dans le projet de loi sur les droits d</w:t>
      </w:r>
      <w:r w:rsidR="00C4117D">
        <w:rPr>
          <w:rFonts w:cs="Arial"/>
        </w:rPr>
        <w:t>’</w:t>
      </w:r>
      <w:r w:rsidR="0075564D" w:rsidRPr="00BE1231">
        <w:rPr>
          <w:rFonts w:cs="Arial"/>
        </w:rPr>
        <w:t>obtenteur pour Zanzibar, des modifications recommandées et de l</w:t>
      </w:r>
      <w:r w:rsidR="00C4117D">
        <w:rPr>
          <w:rFonts w:cs="Arial"/>
        </w:rPr>
        <w:t>’</w:t>
      </w:r>
      <w:r w:rsidR="0075564D" w:rsidRPr="00BE1231">
        <w:rPr>
          <w:rFonts w:cs="Arial"/>
        </w:rPr>
        <w:t>adoption du projet de loi sans aucune modification additionnelle, l</w:t>
      </w:r>
      <w:r w:rsidR="00C4117D">
        <w:rPr>
          <w:rFonts w:cs="Arial"/>
        </w:rPr>
        <w:t>’</w:t>
      </w:r>
      <w:r w:rsidR="0075564D" w:rsidRPr="00BE1231">
        <w:rPr>
          <w:rFonts w:cs="Arial"/>
        </w:rPr>
        <w:t>instrument d</w:t>
      </w:r>
      <w:r w:rsidR="00C4117D">
        <w:rPr>
          <w:rFonts w:cs="Arial"/>
        </w:rPr>
        <w:t>’</w:t>
      </w:r>
      <w:r w:rsidR="0075564D" w:rsidRPr="00BE1231">
        <w:rPr>
          <w:rFonts w:cs="Arial"/>
        </w:rPr>
        <w:t>adhésion de la République</w:t>
      </w:r>
      <w:r w:rsidR="00C4117D">
        <w:rPr>
          <w:rFonts w:cs="Arial"/>
        </w:rPr>
        <w:t>-</w:t>
      </w:r>
      <w:r w:rsidR="0075564D" w:rsidRPr="00BE1231">
        <w:rPr>
          <w:rFonts w:cs="Arial"/>
        </w:rPr>
        <w:t>Unie de Tanzanie pouvait être déposé</w:t>
      </w:r>
      <w:r w:rsidR="0075564D" w:rsidRPr="00BE1231">
        <w:t xml:space="preserve"> (voir le paragraphe</w:t>
      </w:r>
      <w:r w:rsidR="00E2212C">
        <w:t> </w:t>
      </w:r>
      <w:r w:rsidR="0075564D" w:rsidRPr="00BE1231">
        <w:t>13 du document C(</w:t>
      </w:r>
      <w:proofErr w:type="spellStart"/>
      <w:r w:rsidR="0075564D" w:rsidRPr="00BE1231">
        <w:t>Extr</w:t>
      </w:r>
      <w:proofErr w:type="spellEnd"/>
      <w:r w:rsidR="0075564D" w:rsidRPr="00BE1231">
        <w:t xml:space="preserve">.)/30/8 </w:t>
      </w:r>
      <w:r w:rsidR="00E2212C">
        <w:t>“</w:t>
      </w:r>
      <w:r w:rsidR="0075564D" w:rsidRPr="00BE1231">
        <w:t>Compte rendu</w:t>
      </w:r>
      <w:r w:rsidR="00E2212C">
        <w:t>”</w:t>
      </w:r>
      <w:r w:rsidR="0075564D" w:rsidRPr="00BE1231">
        <w:t>).</w:t>
      </w:r>
    </w:p>
    <w:p w:rsidR="00D41A77" w:rsidRPr="00BE1231" w:rsidRDefault="00D41A77" w:rsidP="00D41A77"/>
    <w:p w:rsidR="00D41A77" w:rsidRPr="00BE1231" w:rsidRDefault="00114D0C" w:rsidP="00D41A77">
      <w:pPr>
        <w:pStyle w:val="Heading3"/>
      </w:pPr>
      <w:bookmarkStart w:id="10" w:name="_Toc381170124"/>
      <w:r w:rsidRPr="00BE1231">
        <w:t>Bosnie</w:t>
      </w:r>
      <w:r w:rsidR="00C4117D">
        <w:t>-</w:t>
      </w:r>
      <w:r w:rsidRPr="00BE1231">
        <w:t>Herzégovine</w:t>
      </w:r>
      <w:bookmarkEnd w:id="10"/>
    </w:p>
    <w:p w:rsidR="00D41A77" w:rsidRPr="00BE1231" w:rsidRDefault="00D41A77" w:rsidP="00D135ED"/>
    <w:p w:rsidR="0075564D" w:rsidRPr="00BE1231" w:rsidRDefault="00185757" w:rsidP="00D41A77">
      <w:r w:rsidRPr="00BE1231">
        <w:fldChar w:fldCharType="begin"/>
      </w:r>
      <w:r w:rsidR="00D41A77" w:rsidRPr="00BE1231">
        <w:instrText xml:space="preserve"> AUTONUM  </w:instrText>
      </w:r>
      <w:r w:rsidRPr="00BE1231">
        <w:fldChar w:fldCharType="end"/>
      </w:r>
      <w:r w:rsidR="00D41A77" w:rsidRPr="00BE1231">
        <w:tab/>
      </w:r>
      <w:r w:rsidR="0075564D" w:rsidRPr="00BE1231">
        <w:t>À sa quarante</w:t>
      </w:r>
      <w:r w:rsidR="00C4117D">
        <w:t>-</w:t>
      </w:r>
      <w:r w:rsidR="0075564D" w:rsidRPr="00BE1231">
        <w:t>septième</w:t>
      </w:r>
      <w:r w:rsidR="00E2212C">
        <w:t> </w:t>
      </w:r>
      <w:r w:rsidR="0075564D" w:rsidRPr="00BE1231">
        <w:t>session ordinaire, tenue à Genève le 2</w:t>
      </w:r>
      <w:r w:rsidR="00AB76FD" w:rsidRPr="00BE1231">
        <w:t>4</w:t>
      </w:r>
      <w:r w:rsidR="00AB76FD">
        <w:t> </w:t>
      </w:r>
      <w:r w:rsidR="00AB76FD" w:rsidRPr="00BE1231">
        <w:t>octobre</w:t>
      </w:r>
      <w:r w:rsidR="00AB76FD">
        <w:t> </w:t>
      </w:r>
      <w:r w:rsidR="00AB76FD" w:rsidRPr="00BE1231">
        <w:t>20</w:t>
      </w:r>
      <w:r w:rsidR="0075564D" w:rsidRPr="00BE1231">
        <w:t>13, le Conseil a rendu une décision positive sur la conformité de la loi sur la protection des obtentions végétales en Bosnie</w:t>
      </w:r>
      <w:r w:rsidR="00C4117D">
        <w:t>-</w:t>
      </w:r>
      <w:r w:rsidR="0075564D" w:rsidRPr="00BE1231">
        <w:t>Herzégovine avec les dispositions de l</w:t>
      </w:r>
      <w:r w:rsidR="00C4117D">
        <w:t>’</w:t>
      </w:r>
      <w:r w:rsidR="0075564D" w:rsidRPr="00BE1231">
        <w:t>Acte de 1991 de la Convention internationale pour la protection des obtentions végétales, permettant à la Bosnie</w:t>
      </w:r>
      <w:r w:rsidR="00C4117D">
        <w:t>-</w:t>
      </w:r>
      <w:r w:rsidR="0075564D" w:rsidRPr="00BE1231">
        <w:t>Herzégovine de déposer son instrument d</w:t>
      </w:r>
      <w:r w:rsidR="00C4117D">
        <w:t>’</w:t>
      </w:r>
      <w:r w:rsidR="0075564D" w:rsidRPr="00BE1231">
        <w:t>adhésion à l</w:t>
      </w:r>
      <w:r w:rsidR="00C4117D">
        <w:t>’</w:t>
      </w:r>
      <w:r w:rsidR="0075564D" w:rsidRPr="00BE1231">
        <w:t>Acte de</w:t>
      </w:r>
      <w:r w:rsidR="00E2212C">
        <w:t> </w:t>
      </w:r>
      <w:r w:rsidR="0075564D" w:rsidRPr="00BE1231">
        <w:t>1991 (voir les paragraphes</w:t>
      </w:r>
      <w:r w:rsidR="00E2212C">
        <w:t> </w:t>
      </w:r>
      <w:r w:rsidR="0075564D" w:rsidRPr="00BE1231">
        <w:t xml:space="preserve">8 à 11 du document C/47/19 </w:t>
      </w:r>
      <w:r w:rsidR="00E2212C">
        <w:t>“</w:t>
      </w:r>
      <w:r w:rsidR="0075564D" w:rsidRPr="00BE1231">
        <w:t>Compte rendu des décisions</w:t>
      </w:r>
      <w:r w:rsidR="00E2212C">
        <w:t>”</w:t>
      </w:r>
      <w:r w:rsidR="0075564D" w:rsidRPr="00BE1231">
        <w:t>).</w:t>
      </w:r>
    </w:p>
    <w:p w:rsidR="00D41A77" w:rsidRPr="00BE1231" w:rsidRDefault="00D41A77" w:rsidP="00D41A77"/>
    <w:p w:rsidR="00D41A77" w:rsidRPr="00BE1231" w:rsidRDefault="00D41A77" w:rsidP="00D41A77"/>
    <w:p w:rsidR="00D135ED" w:rsidRPr="00BE1231" w:rsidRDefault="00114D0C" w:rsidP="008907DC">
      <w:pPr>
        <w:pStyle w:val="Heading1"/>
      </w:pPr>
      <w:bookmarkStart w:id="11" w:name="_Toc381170125"/>
      <w:r w:rsidRPr="00BE1231">
        <w:t>StatistiQUE</w:t>
      </w:r>
      <w:r w:rsidR="00D135ED" w:rsidRPr="00BE1231">
        <w:t xml:space="preserve">s </w:t>
      </w:r>
      <w:r w:rsidRPr="00BE1231">
        <w:t>sur la</w:t>
      </w:r>
      <w:r w:rsidR="00D135ED" w:rsidRPr="00BE1231">
        <w:rPr>
          <w:snapToGrid w:val="0"/>
        </w:rPr>
        <w:t xml:space="preserve"> Protection</w:t>
      </w:r>
      <w:r w:rsidRPr="00BE1231">
        <w:rPr>
          <w:snapToGrid w:val="0"/>
        </w:rPr>
        <w:t xml:space="preserve"> des obtentions végétales</w:t>
      </w:r>
      <w:bookmarkEnd w:id="11"/>
    </w:p>
    <w:p w:rsidR="00D135ED" w:rsidRPr="00BE1231" w:rsidRDefault="00D135ED" w:rsidP="00D135ED">
      <w:pPr>
        <w:keepNext/>
      </w:pPr>
    </w:p>
    <w:p w:rsidR="00AB76FD" w:rsidRPr="001F66A8" w:rsidRDefault="0075564D" w:rsidP="00245363">
      <w:pPr>
        <w:pStyle w:val="Heading2"/>
        <w:rPr>
          <w:lang w:val="fr-CH"/>
        </w:rPr>
      </w:pPr>
      <w:bookmarkStart w:id="12" w:name="_Toc381170126"/>
      <w:r w:rsidRPr="001F66A8">
        <w:rPr>
          <w:lang w:val="fr-CH"/>
        </w:rPr>
        <w:t>L</w:t>
      </w:r>
      <w:r w:rsidR="00114D0C" w:rsidRPr="001F66A8">
        <w:rPr>
          <w:lang w:val="fr-CH"/>
        </w:rPr>
        <w:t>iste des taxons protégés par les membres de l</w:t>
      </w:r>
      <w:r w:rsidR="00C4117D" w:rsidRPr="001F66A8">
        <w:rPr>
          <w:lang w:val="fr-CH"/>
        </w:rPr>
        <w:t>’</w:t>
      </w:r>
      <w:r w:rsidR="00114D0C" w:rsidRPr="001F66A8">
        <w:rPr>
          <w:lang w:val="fr-CH"/>
        </w:rPr>
        <w:t>Union</w:t>
      </w:r>
      <w:bookmarkEnd w:id="12"/>
    </w:p>
    <w:p w:rsidR="00D135ED" w:rsidRPr="00BE1231" w:rsidRDefault="00114D0C" w:rsidP="00D135ED">
      <w:pPr>
        <w:keepNext/>
        <w:autoSpaceDE w:val="0"/>
        <w:autoSpaceDN w:val="0"/>
        <w:adjustRightInd w:val="0"/>
        <w:rPr>
          <w:rFonts w:eastAsia="MS Mincho" w:cs="Arial"/>
          <w:lang w:eastAsia="ja-JP"/>
        </w:rPr>
      </w:pPr>
      <w:r w:rsidRPr="00BE1231">
        <w:rPr>
          <w:rFonts w:eastAsia="MS Mincho" w:cs="Arial"/>
          <w:lang w:eastAsia="ja-JP"/>
        </w:rPr>
        <w:t>(</w:t>
      </w:r>
      <w:proofErr w:type="gramStart"/>
      <w:r w:rsidRPr="00BE1231">
        <w:rPr>
          <w:rFonts w:eastAsia="MS Mincho" w:cs="Arial"/>
          <w:lang w:eastAsia="ja-JP"/>
        </w:rPr>
        <w:t>voir</w:t>
      </w:r>
      <w:proofErr w:type="gramEnd"/>
      <w:r w:rsidRPr="00BE1231">
        <w:rPr>
          <w:rFonts w:eastAsia="MS Mincho" w:cs="Arial"/>
          <w:lang w:eastAsia="ja-JP"/>
        </w:rPr>
        <w:t xml:space="preserve"> le document C/47/6 </w:t>
      </w:r>
      <w:r w:rsidR="00E2212C">
        <w:rPr>
          <w:rFonts w:eastAsia="MS Mincho" w:cs="Arial"/>
          <w:lang w:eastAsia="ja-JP"/>
        </w:rPr>
        <w:t>“</w:t>
      </w:r>
      <w:r w:rsidRPr="00BE1231">
        <w:rPr>
          <w:rFonts w:eastAsia="MS Mincho" w:cs="Arial"/>
          <w:lang w:eastAsia="ja-JP"/>
        </w:rPr>
        <w:t>Li</w:t>
      </w:r>
      <w:r w:rsidRPr="00BE1231">
        <w:t>ste des taxons protégés par les membres de l</w:t>
      </w:r>
      <w:r w:rsidR="00C4117D">
        <w:t>’</w:t>
      </w:r>
      <w:r w:rsidRPr="00BE1231">
        <w:t>Union</w:t>
      </w:r>
      <w:r w:rsidR="00E2212C">
        <w:t>”</w:t>
      </w:r>
      <w:r w:rsidR="00D135ED" w:rsidRPr="00BE1231">
        <w:rPr>
          <w:rFonts w:eastAsia="MS Mincho" w:cs="Arial"/>
          <w:lang w:eastAsia="ja-JP"/>
        </w:rPr>
        <w:t>)</w:t>
      </w:r>
    </w:p>
    <w:p w:rsidR="00D135ED" w:rsidRPr="00BE1231" w:rsidRDefault="00D135ED" w:rsidP="00D135ED">
      <w:pPr>
        <w:keepNext/>
        <w:autoSpaceDE w:val="0"/>
        <w:autoSpaceDN w:val="0"/>
        <w:adjustRightInd w:val="0"/>
        <w:rPr>
          <w:rFonts w:eastAsia="MS Mincho" w:cs="Arial"/>
          <w:lang w:eastAsia="ja-JP"/>
        </w:rPr>
      </w:pPr>
    </w:p>
    <w:p w:rsidR="0075564D" w:rsidRPr="00BE1231" w:rsidRDefault="00185757" w:rsidP="00D135ED">
      <w:pPr>
        <w:autoSpaceDE w:val="0"/>
        <w:autoSpaceDN w:val="0"/>
        <w:adjustRightInd w:val="0"/>
        <w:rPr>
          <w:rFonts w:eastAsia="MS Mincho" w:cs="Arial"/>
          <w:lang w:eastAsia="ja-JP"/>
        </w:rPr>
      </w:pPr>
      <w:r w:rsidRPr="00BE1231">
        <w:rPr>
          <w:rFonts w:eastAsia="MS Mincho" w:cs="Arial"/>
          <w:lang w:eastAsia="ja-JP"/>
        </w:rPr>
        <w:fldChar w:fldCharType="begin"/>
      </w:r>
      <w:r w:rsidR="00D135ED" w:rsidRPr="00BE1231">
        <w:rPr>
          <w:rFonts w:eastAsia="MS Mincho" w:cs="Arial"/>
          <w:lang w:eastAsia="ja-JP"/>
        </w:rPr>
        <w:instrText xml:space="preserve"> AUTONUM  </w:instrText>
      </w:r>
      <w:r w:rsidRPr="00BE1231">
        <w:rPr>
          <w:rFonts w:eastAsia="MS Mincho" w:cs="Arial"/>
          <w:lang w:eastAsia="ja-JP"/>
        </w:rPr>
        <w:fldChar w:fldCharType="end"/>
      </w:r>
      <w:r w:rsidR="00D135ED" w:rsidRPr="00BE1231">
        <w:rPr>
          <w:rFonts w:eastAsia="MS Mincho" w:cs="Arial"/>
          <w:lang w:eastAsia="ja-JP"/>
        </w:rPr>
        <w:tab/>
      </w:r>
      <w:r w:rsidR="0075564D" w:rsidRPr="00BE1231">
        <w:rPr>
          <w:rFonts w:eastAsia="MS Mincho" w:cs="Arial"/>
          <w:lang w:eastAsia="ja-JP"/>
        </w:rPr>
        <w:t>Au 1</w:t>
      </w:r>
      <w:r w:rsidR="00AB76FD" w:rsidRPr="00BE1231">
        <w:rPr>
          <w:rFonts w:eastAsia="MS Mincho" w:cs="Arial"/>
          <w:lang w:eastAsia="ja-JP"/>
        </w:rPr>
        <w:t>6</w:t>
      </w:r>
      <w:r w:rsidR="00AB76FD">
        <w:rPr>
          <w:rFonts w:eastAsia="MS Mincho" w:cs="Arial"/>
          <w:lang w:eastAsia="ja-JP"/>
        </w:rPr>
        <w:t> </w:t>
      </w:r>
      <w:r w:rsidR="00AB76FD" w:rsidRPr="00BE1231">
        <w:rPr>
          <w:rFonts w:eastAsia="MS Mincho" w:cs="Arial"/>
          <w:lang w:eastAsia="ja-JP"/>
        </w:rPr>
        <w:t>octobre</w:t>
      </w:r>
      <w:r w:rsidR="00AB76FD">
        <w:rPr>
          <w:rFonts w:eastAsia="MS Mincho" w:cs="Arial"/>
          <w:lang w:eastAsia="ja-JP"/>
        </w:rPr>
        <w:t> </w:t>
      </w:r>
      <w:r w:rsidR="00AB76FD" w:rsidRPr="00BE1231">
        <w:rPr>
          <w:rFonts w:eastAsia="MS Mincho" w:cs="Arial"/>
          <w:lang w:eastAsia="ja-JP"/>
        </w:rPr>
        <w:t>20</w:t>
      </w:r>
      <w:r w:rsidR="0075564D" w:rsidRPr="00BE1231">
        <w:rPr>
          <w:rFonts w:eastAsia="MS Mincho" w:cs="Arial"/>
          <w:lang w:eastAsia="ja-JP"/>
        </w:rPr>
        <w:t>13, 56 membr</w:t>
      </w:r>
      <w:r w:rsidR="00776317" w:rsidRPr="00BE1231">
        <w:rPr>
          <w:rFonts w:eastAsia="MS Mincho" w:cs="Arial"/>
          <w:lang w:eastAsia="ja-JP"/>
        </w:rPr>
        <w:t>es de l</w:t>
      </w:r>
      <w:r w:rsidR="00C4117D">
        <w:rPr>
          <w:rFonts w:eastAsia="MS Mincho" w:cs="Arial"/>
          <w:lang w:eastAsia="ja-JP"/>
        </w:rPr>
        <w:t>’</w:t>
      </w:r>
      <w:r w:rsidR="00776317" w:rsidRPr="00BE1231">
        <w:rPr>
          <w:rFonts w:eastAsia="MS Mincho" w:cs="Arial"/>
          <w:lang w:eastAsia="ja-JP"/>
        </w:rPr>
        <w:t xml:space="preserve">Union </w:t>
      </w:r>
      <w:r w:rsidR="00D43684" w:rsidRPr="00BE1231">
        <w:rPr>
          <w:rFonts w:eastAsia="MS Mincho" w:cs="Arial"/>
          <w:lang w:eastAsia="ja-JP"/>
        </w:rPr>
        <w:t xml:space="preserve">en tout </w:t>
      </w:r>
      <w:r w:rsidR="00776317" w:rsidRPr="00BE1231">
        <w:rPr>
          <w:rFonts w:eastAsia="MS Mincho" w:cs="Arial"/>
          <w:lang w:eastAsia="ja-JP"/>
        </w:rPr>
        <w:t>protégeaient l</w:t>
      </w:r>
      <w:r w:rsidR="00C4117D">
        <w:rPr>
          <w:rFonts w:eastAsia="MS Mincho" w:cs="Arial"/>
          <w:lang w:eastAsia="ja-JP"/>
        </w:rPr>
        <w:t>’</w:t>
      </w:r>
      <w:r w:rsidR="00776317" w:rsidRPr="00BE1231">
        <w:rPr>
          <w:rFonts w:eastAsia="MS Mincho" w:cs="Arial"/>
          <w:lang w:eastAsia="ja-JP"/>
        </w:rPr>
        <w:t>ens</w:t>
      </w:r>
      <w:r w:rsidR="0075564D" w:rsidRPr="00BE1231">
        <w:rPr>
          <w:rFonts w:eastAsia="MS Mincho" w:cs="Arial"/>
          <w:lang w:eastAsia="ja-JP"/>
        </w:rPr>
        <w:t xml:space="preserve">emble des </w:t>
      </w:r>
      <w:r w:rsidR="00776317" w:rsidRPr="00BE1231">
        <w:t>genres ou espèces végétaux (53 en</w:t>
      </w:r>
      <w:r w:rsidR="00E2212C">
        <w:t> </w:t>
      </w:r>
      <w:r w:rsidR="00776317" w:rsidRPr="00BE1231">
        <w:t>2012);  15 membres de l</w:t>
      </w:r>
      <w:r w:rsidR="00C4117D">
        <w:t>’</w:t>
      </w:r>
      <w:r w:rsidR="00776317" w:rsidRPr="00BE1231">
        <w:t>Union protégeaient un nombre limité de genres ou espèces végétaux</w:t>
      </w:r>
      <w:r w:rsidR="00867A03">
        <w:t>.</w:t>
      </w:r>
    </w:p>
    <w:p w:rsidR="00D135ED" w:rsidRPr="00BE1231" w:rsidRDefault="00D135ED" w:rsidP="00D135ED"/>
    <w:p w:rsidR="00AB76FD" w:rsidRDefault="00114D0C" w:rsidP="006A4A4E">
      <w:pPr>
        <w:pStyle w:val="Heading2"/>
        <w:rPr>
          <w:lang w:val="fr-FR"/>
        </w:rPr>
      </w:pPr>
      <w:bookmarkStart w:id="13" w:name="_Toc381170127"/>
      <w:r w:rsidRPr="00BE1231">
        <w:rPr>
          <w:lang w:val="fr-FR"/>
        </w:rPr>
        <w:t>Statistiques sur la protection des obtentions végétales</w:t>
      </w:r>
      <w:bookmarkEnd w:id="13"/>
    </w:p>
    <w:p w:rsidR="00D135ED" w:rsidRPr="00BE1231" w:rsidRDefault="00114D0C" w:rsidP="00D135ED">
      <w:pPr>
        <w:keepNext/>
        <w:autoSpaceDE w:val="0"/>
        <w:autoSpaceDN w:val="0"/>
        <w:adjustRightInd w:val="0"/>
      </w:pPr>
      <w:r w:rsidRPr="00BE1231">
        <w:rPr>
          <w:rFonts w:eastAsia="MS Mincho" w:cs="Arial"/>
          <w:lang w:eastAsia="ja-JP"/>
        </w:rPr>
        <w:t>(</w:t>
      </w:r>
      <w:proofErr w:type="gramStart"/>
      <w:r w:rsidR="00776317" w:rsidRPr="00BE1231">
        <w:rPr>
          <w:rFonts w:eastAsia="MS Mincho" w:cs="Arial"/>
          <w:lang w:eastAsia="ja-JP"/>
        </w:rPr>
        <w:t>voir</w:t>
      </w:r>
      <w:proofErr w:type="gramEnd"/>
      <w:r w:rsidR="00776317" w:rsidRPr="00BE1231">
        <w:rPr>
          <w:rFonts w:eastAsia="MS Mincho" w:cs="Arial"/>
          <w:lang w:eastAsia="ja-JP"/>
        </w:rPr>
        <w:t xml:space="preserve"> le</w:t>
      </w:r>
      <w:r w:rsidRPr="00BE1231">
        <w:rPr>
          <w:rFonts w:eastAsia="MS Mincho" w:cs="Arial"/>
          <w:lang w:eastAsia="ja-JP"/>
        </w:rPr>
        <w:t xml:space="preserve"> document C/47/7 </w:t>
      </w:r>
      <w:r w:rsidR="00E2212C">
        <w:rPr>
          <w:rFonts w:eastAsia="MS Mincho" w:cs="Arial"/>
          <w:lang w:eastAsia="ja-JP"/>
        </w:rPr>
        <w:t>“</w:t>
      </w:r>
      <w:r w:rsidRPr="00BE1231">
        <w:rPr>
          <w:rFonts w:eastAsia="MS Mincho" w:cs="Arial"/>
          <w:lang w:eastAsia="ja-JP"/>
        </w:rPr>
        <w:t>S</w:t>
      </w:r>
      <w:r w:rsidRPr="00BE1231">
        <w:t>tatistiques sur la protection des obtentions végétales pour la période</w:t>
      </w:r>
      <w:r w:rsidR="00E2212C">
        <w:t> </w:t>
      </w:r>
      <w:r w:rsidR="00D135ED" w:rsidRPr="00BE1231">
        <w:t>2008</w:t>
      </w:r>
      <w:r w:rsidR="00C4117D">
        <w:t>-</w:t>
      </w:r>
      <w:r w:rsidR="00D135ED" w:rsidRPr="00BE1231">
        <w:t>2012</w:t>
      </w:r>
      <w:r w:rsidR="00E2212C">
        <w:t>”</w:t>
      </w:r>
      <w:r w:rsidR="00D135ED" w:rsidRPr="00BE1231">
        <w:t>)</w:t>
      </w:r>
    </w:p>
    <w:p w:rsidR="00D135ED" w:rsidRPr="00BE1231" w:rsidRDefault="00D135ED" w:rsidP="00D135ED">
      <w:pPr>
        <w:keepNext/>
        <w:autoSpaceDE w:val="0"/>
        <w:autoSpaceDN w:val="0"/>
        <w:adjustRightInd w:val="0"/>
        <w:rPr>
          <w:rFonts w:eastAsia="MS Mincho" w:cs="Arial"/>
          <w:lang w:eastAsia="ja-JP"/>
        </w:rPr>
      </w:pPr>
    </w:p>
    <w:p w:rsidR="00776317" w:rsidRPr="00BE1231" w:rsidRDefault="00185757" w:rsidP="00D135ED">
      <w:pPr>
        <w:autoSpaceDE w:val="0"/>
        <w:autoSpaceDN w:val="0"/>
        <w:adjustRightInd w:val="0"/>
      </w:pPr>
      <w:r w:rsidRPr="00BE1231">
        <w:rPr>
          <w:rFonts w:eastAsia="MS Mincho" w:cs="Arial"/>
          <w:lang w:eastAsia="ja-JP"/>
        </w:rPr>
        <w:fldChar w:fldCharType="begin"/>
      </w:r>
      <w:r w:rsidR="00D135ED" w:rsidRPr="00BE1231">
        <w:rPr>
          <w:rFonts w:eastAsia="MS Mincho" w:cs="Arial"/>
          <w:lang w:eastAsia="ja-JP"/>
        </w:rPr>
        <w:instrText xml:space="preserve"> AUTONUM  </w:instrText>
      </w:r>
      <w:r w:rsidRPr="00BE1231">
        <w:rPr>
          <w:rFonts w:eastAsia="MS Mincho" w:cs="Arial"/>
          <w:lang w:eastAsia="ja-JP"/>
        </w:rPr>
        <w:fldChar w:fldCharType="end"/>
      </w:r>
      <w:r w:rsidR="00D135ED" w:rsidRPr="00BE1231">
        <w:rPr>
          <w:rFonts w:eastAsia="MS Mincho" w:cs="Arial"/>
          <w:lang w:eastAsia="ja-JP"/>
        </w:rPr>
        <w:tab/>
      </w:r>
      <w:r w:rsidR="00776317" w:rsidRPr="00BE1231">
        <w:rPr>
          <w:rFonts w:eastAsia="MS Mincho" w:cs="Arial"/>
          <w:lang w:eastAsia="ja-JP"/>
        </w:rPr>
        <w:t>E</w:t>
      </w:r>
      <w:r w:rsidR="00D135ED" w:rsidRPr="00BE1231">
        <w:rPr>
          <w:rFonts w:eastAsia="MS Mincho" w:cs="Arial"/>
          <w:lang w:eastAsia="ja-JP"/>
        </w:rPr>
        <w:t>n</w:t>
      </w:r>
      <w:r w:rsidR="00E2212C">
        <w:rPr>
          <w:rFonts w:eastAsia="MS Mincho" w:cs="Arial"/>
          <w:lang w:eastAsia="ja-JP"/>
        </w:rPr>
        <w:t> </w:t>
      </w:r>
      <w:r w:rsidR="00D135ED" w:rsidRPr="00BE1231">
        <w:rPr>
          <w:rFonts w:eastAsia="MS Mincho" w:cs="Arial"/>
          <w:lang w:eastAsia="ja-JP"/>
        </w:rPr>
        <w:t xml:space="preserve">2012, </w:t>
      </w:r>
      <w:r w:rsidR="00776317" w:rsidRPr="00BE1231">
        <w:rPr>
          <w:rFonts w:eastAsia="MS Mincho" w:cs="Arial"/>
          <w:lang w:eastAsia="ja-JP"/>
        </w:rPr>
        <w:t xml:space="preserve">le </w:t>
      </w:r>
      <w:r w:rsidR="00776317" w:rsidRPr="00BE1231">
        <w:t>nombre de demandes de protection des obtentions végétales a augmenté de 1,1</w:t>
      </w:r>
      <w:r w:rsidR="00E2212C">
        <w:t>%</w:t>
      </w:r>
      <w:r w:rsidR="00776317" w:rsidRPr="00BE1231">
        <w:t xml:space="preserve"> </w:t>
      </w:r>
      <w:r w:rsidR="00776317" w:rsidRPr="00BE1231">
        <w:rPr>
          <w:rFonts w:eastAsia="MS Mincho" w:cs="Arial"/>
          <w:lang w:eastAsia="ja-JP"/>
        </w:rPr>
        <w:t>(13 867 en</w:t>
      </w:r>
      <w:r w:rsidR="00E2212C">
        <w:rPr>
          <w:rFonts w:eastAsia="MS Mincho" w:cs="Arial"/>
          <w:lang w:eastAsia="ja-JP"/>
        </w:rPr>
        <w:t> </w:t>
      </w:r>
      <w:r w:rsidR="00776317" w:rsidRPr="00BE1231">
        <w:rPr>
          <w:rFonts w:eastAsia="MS Mincho" w:cs="Arial"/>
          <w:lang w:eastAsia="ja-JP"/>
        </w:rPr>
        <w:t>2012;  13 714 en</w:t>
      </w:r>
      <w:r w:rsidR="00E2212C">
        <w:rPr>
          <w:rFonts w:eastAsia="MS Mincho" w:cs="Arial"/>
          <w:lang w:eastAsia="ja-JP"/>
        </w:rPr>
        <w:t> </w:t>
      </w:r>
      <w:r w:rsidR="00776317" w:rsidRPr="00BE1231">
        <w:rPr>
          <w:rFonts w:eastAsia="MS Mincho" w:cs="Arial"/>
          <w:lang w:eastAsia="ja-JP"/>
        </w:rPr>
        <w:t>2011), soit une diminution de 0,7</w:t>
      </w:r>
      <w:r w:rsidR="00E2212C">
        <w:rPr>
          <w:rFonts w:eastAsia="MS Mincho" w:cs="Arial"/>
          <w:lang w:eastAsia="ja-JP"/>
        </w:rPr>
        <w:t>%</w:t>
      </w:r>
      <w:r w:rsidR="00776317" w:rsidRPr="00BE1231">
        <w:rPr>
          <w:rFonts w:eastAsia="MS Mincho" w:cs="Arial"/>
          <w:lang w:eastAsia="ja-JP"/>
        </w:rPr>
        <w:t xml:space="preserve"> du nombre de demandes par des résidents (8 751 en</w:t>
      </w:r>
      <w:r w:rsidR="00E2212C">
        <w:rPr>
          <w:rFonts w:eastAsia="MS Mincho" w:cs="Arial"/>
          <w:lang w:eastAsia="ja-JP"/>
        </w:rPr>
        <w:t> </w:t>
      </w:r>
      <w:r w:rsidR="00776317" w:rsidRPr="00BE1231">
        <w:rPr>
          <w:rFonts w:eastAsia="MS Mincho" w:cs="Arial"/>
          <w:lang w:eastAsia="ja-JP"/>
        </w:rPr>
        <w:t xml:space="preserve">2012;  </w:t>
      </w:r>
      <w:r w:rsidR="00E2212C" w:rsidRPr="00BE1231">
        <w:rPr>
          <w:rFonts w:eastAsia="MS Mincho" w:cs="Arial"/>
          <w:lang w:eastAsia="ja-JP"/>
        </w:rPr>
        <w:t>8813</w:t>
      </w:r>
      <w:r w:rsidR="00776317" w:rsidRPr="00BE1231">
        <w:rPr>
          <w:rFonts w:eastAsia="MS Mincho" w:cs="Arial"/>
          <w:lang w:eastAsia="ja-JP"/>
        </w:rPr>
        <w:t xml:space="preserve"> en</w:t>
      </w:r>
      <w:r w:rsidR="00E2212C">
        <w:rPr>
          <w:rFonts w:eastAsia="MS Mincho" w:cs="Arial"/>
          <w:lang w:eastAsia="ja-JP"/>
        </w:rPr>
        <w:t> </w:t>
      </w:r>
      <w:r w:rsidR="00776317" w:rsidRPr="00BE1231">
        <w:rPr>
          <w:rFonts w:eastAsia="MS Mincho" w:cs="Arial"/>
          <w:lang w:eastAsia="ja-JP"/>
        </w:rPr>
        <w:t>2011) et une augmentation de 4,4</w:t>
      </w:r>
      <w:r w:rsidR="00E2212C">
        <w:rPr>
          <w:rFonts w:eastAsia="MS Mincho" w:cs="Arial"/>
          <w:lang w:eastAsia="ja-JP"/>
        </w:rPr>
        <w:t>%</w:t>
      </w:r>
      <w:r w:rsidR="00776317" w:rsidRPr="00BE1231">
        <w:rPr>
          <w:rFonts w:eastAsia="MS Mincho" w:cs="Arial"/>
          <w:lang w:eastAsia="ja-JP"/>
        </w:rPr>
        <w:t xml:space="preserve"> du nombre de demandes par des non</w:t>
      </w:r>
      <w:r w:rsidR="00FC6338" w:rsidRPr="00FC6338">
        <w:rPr>
          <w:rFonts w:eastAsia="MS Mincho" w:cs="Arial"/>
          <w:lang w:eastAsia="ja-JP"/>
        </w:rPr>
        <w:noBreakHyphen/>
      </w:r>
      <w:r w:rsidR="00776317" w:rsidRPr="00BE1231">
        <w:rPr>
          <w:rFonts w:eastAsia="MS Mincho" w:cs="Arial"/>
          <w:lang w:eastAsia="ja-JP"/>
        </w:rPr>
        <w:t>résidents (5 116 en</w:t>
      </w:r>
      <w:r w:rsidR="00E2212C">
        <w:rPr>
          <w:rFonts w:eastAsia="MS Mincho" w:cs="Arial"/>
          <w:lang w:eastAsia="ja-JP"/>
        </w:rPr>
        <w:t> </w:t>
      </w:r>
      <w:r w:rsidR="00776317" w:rsidRPr="00BE1231">
        <w:rPr>
          <w:rFonts w:eastAsia="MS Mincho" w:cs="Arial"/>
          <w:lang w:eastAsia="ja-JP"/>
        </w:rPr>
        <w:t xml:space="preserve">2012;  </w:t>
      </w:r>
      <w:r w:rsidR="00E2212C" w:rsidRPr="00BE1231">
        <w:rPr>
          <w:rFonts w:eastAsia="MS Mincho" w:cs="Arial"/>
          <w:lang w:eastAsia="ja-JP"/>
        </w:rPr>
        <w:t>4901</w:t>
      </w:r>
      <w:r w:rsidR="00776317" w:rsidRPr="00BE1231">
        <w:rPr>
          <w:rFonts w:eastAsia="MS Mincho" w:cs="Arial"/>
          <w:lang w:eastAsia="ja-JP"/>
        </w:rPr>
        <w:t xml:space="preserve"> en</w:t>
      </w:r>
      <w:r w:rsidR="00E2212C">
        <w:rPr>
          <w:rFonts w:eastAsia="MS Mincho" w:cs="Arial"/>
          <w:lang w:eastAsia="ja-JP"/>
        </w:rPr>
        <w:t> </w:t>
      </w:r>
      <w:r w:rsidR="00776317" w:rsidRPr="00BE1231">
        <w:rPr>
          <w:rFonts w:eastAsia="MS Mincho" w:cs="Arial"/>
          <w:lang w:eastAsia="ja-JP"/>
        </w:rPr>
        <w:t>2011).</w:t>
      </w:r>
    </w:p>
    <w:p w:rsidR="00D135ED" w:rsidRPr="00BE1231" w:rsidRDefault="00D135ED" w:rsidP="00D135ED">
      <w:pPr>
        <w:autoSpaceDE w:val="0"/>
        <w:autoSpaceDN w:val="0"/>
        <w:adjustRightInd w:val="0"/>
        <w:rPr>
          <w:rFonts w:eastAsia="MS Mincho" w:cs="Arial"/>
          <w:lang w:eastAsia="ja-JP"/>
        </w:rPr>
      </w:pPr>
    </w:p>
    <w:p w:rsidR="00776317" w:rsidRPr="00BE1231" w:rsidRDefault="00185757" w:rsidP="00D135ED">
      <w:pPr>
        <w:autoSpaceDE w:val="0"/>
        <w:autoSpaceDN w:val="0"/>
        <w:adjustRightInd w:val="0"/>
        <w:rPr>
          <w:rFonts w:eastAsia="MS Mincho" w:cs="Arial"/>
          <w:lang w:eastAsia="ja-JP"/>
        </w:rPr>
      </w:pPr>
      <w:r w:rsidRPr="00BE1231">
        <w:rPr>
          <w:rFonts w:eastAsia="MS Mincho" w:cs="Arial"/>
          <w:lang w:eastAsia="ja-JP"/>
        </w:rPr>
        <w:fldChar w:fldCharType="begin"/>
      </w:r>
      <w:r w:rsidR="00D135ED" w:rsidRPr="00BE1231">
        <w:rPr>
          <w:rFonts w:eastAsia="MS Mincho" w:cs="Arial"/>
          <w:lang w:eastAsia="ja-JP"/>
        </w:rPr>
        <w:instrText xml:space="preserve"> AUTONUM  </w:instrText>
      </w:r>
      <w:r w:rsidRPr="00BE1231">
        <w:rPr>
          <w:rFonts w:eastAsia="MS Mincho" w:cs="Arial"/>
          <w:lang w:eastAsia="ja-JP"/>
        </w:rPr>
        <w:fldChar w:fldCharType="end"/>
      </w:r>
      <w:r w:rsidR="00D135ED" w:rsidRPr="00BE1231">
        <w:rPr>
          <w:rFonts w:eastAsia="MS Mincho" w:cs="Arial"/>
          <w:lang w:eastAsia="ja-JP"/>
        </w:rPr>
        <w:tab/>
      </w:r>
      <w:r w:rsidR="00776317" w:rsidRPr="00BE1231">
        <w:rPr>
          <w:rFonts w:eastAsia="MS Mincho" w:cs="Arial"/>
          <w:lang w:eastAsia="ja-JP"/>
        </w:rPr>
        <w:t xml:space="preserve">Le </w:t>
      </w:r>
      <w:r w:rsidR="00776317" w:rsidRPr="00BE1231">
        <w:t>nombre de titres délivrés a diminué de 2,4</w:t>
      </w:r>
      <w:r w:rsidR="00E2212C">
        <w:t>%</w:t>
      </w:r>
      <w:r w:rsidR="00776317" w:rsidRPr="00BE1231">
        <w:t>, passant de 10 065 en</w:t>
      </w:r>
      <w:r w:rsidR="00E2212C">
        <w:t> </w:t>
      </w:r>
      <w:r w:rsidR="00776317" w:rsidRPr="00BE1231">
        <w:t xml:space="preserve">2011 à </w:t>
      </w:r>
      <w:r w:rsidR="00E2212C" w:rsidRPr="00BE1231">
        <w:t>9822</w:t>
      </w:r>
      <w:r w:rsidR="00776317" w:rsidRPr="00BE1231">
        <w:t xml:space="preserve"> en</w:t>
      </w:r>
      <w:r w:rsidR="00E2212C">
        <w:t> </w:t>
      </w:r>
      <w:r w:rsidR="00776317" w:rsidRPr="00BE1231">
        <w:t>2012.</w:t>
      </w:r>
    </w:p>
    <w:p w:rsidR="00D135ED" w:rsidRPr="00BE1231" w:rsidRDefault="00D135ED" w:rsidP="00D135ED">
      <w:pPr>
        <w:autoSpaceDE w:val="0"/>
        <w:autoSpaceDN w:val="0"/>
        <w:adjustRightInd w:val="0"/>
        <w:rPr>
          <w:rFonts w:eastAsia="MS Mincho" w:cs="Arial"/>
          <w:lang w:eastAsia="ja-JP"/>
        </w:rPr>
      </w:pPr>
    </w:p>
    <w:p w:rsidR="00776317" w:rsidRPr="00BE1231" w:rsidRDefault="00185757" w:rsidP="00D135ED">
      <w:pPr>
        <w:autoSpaceDE w:val="0"/>
        <w:autoSpaceDN w:val="0"/>
        <w:adjustRightInd w:val="0"/>
        <w:rPr>
          <w:rFonts w:eastAsia="MS Mincho" w:cs="Arial"/>
          <w:lang w:eastAsia="ja-JP"/>
        </w:rPr>
      </w:pPr>
      <w:r w:rsidRPr="00BE1231">
        <w:rPr>
          <w:rFonts w:eastAsia="MS Mincho" w:cs="Arial"/>
          <w:lang w:eastAsia="ja-JP"/>
        </w:rPr>
        <w:fldChar w:fldCharType="begin"/>
      </w:r>
      <w:r w:rsidR="00D135ED" w:rsidRPr="00BE1231">
        <w:rPr>
          <w:rFonts w:eastAsia="MS Mincho" w:cs="Arial"/>
          <w:lang w:eastAsia="ja-JP"/>
        </w:rPr>
        <w:instrText xml:space="preserve"> AUTONUM  </w:instrText>
      </w:r>
      <w:r w:rsidRPr="00BE1231">
        <w:rPr>
          <w:rFonts w:eastAsia="MS Mincho" w:cs="Arial"/>
          <w:lang w:eastAsia="ja-JP"/>
        </w:rPr>
        <w:fldChar w:fldCharType="end"/>
      </w:r>
      <w:r w:rsidR="00D135ED" w:rsidRPr="00BE1231">
        <w:rPr>
          <w:rFonts w:eastAsia="MS Mincho" w:cs="Arial"/>
          <w:lang w:eastAsia="ja-JP"/>
        </w:rPr>
        <w:tab/>
      </w:r>
      <w:r w:rsidR="00776317" w:rsidRPr="00BE1231">
        <w:rPr>
          <w:rFonts w:eastAsia="MS Mincho" w:cs="Arial"/>
          <w:lang w:eastAsia="ja-JP"/>
        </w:rPr>
        <w:t xml:space="preserve">Un chiffre record de titres de protection en vigueur </w:t>
      </w:r>
      <w:r w:rsidR="00E2212C">
        <w:rPr>
          <w:rFonts w:eastAsia="MS Mincho" w:cs="Arial"/>
          <w:lang w:eastAsia="ja-JP"/>
        </w:rPr>
        <w:t>–</w:t>
      </w:r>
      <w:r w:rsidR="00776317" w:rsidRPr="00BE1231">
        <w:rPr>
          <w:rFonts w:eastAsia="MS Mincho" w:cs="Arial"/>
          <w:lang w:eastAsia="ja-JP"/>
        </w:rPr>
        <w:t xml:space="preserve"> 99 409 </w:t>
      </w:r>
      <w:r w:rsidR="00E2212C">
        <w:rPr>
          <w:rFonts w:eastAsia="MS Mincho" w:cs="Arial"/>
          <w:lang w:eastAsia="ja-JP"/>
        </w:rPr>
        <w:t>–</w:t>
      </w:r>
      <w:r w:rsidR="00776317" w:rsidRPr="00BE1231">
        <w:rPr>
          <w:rFonts w:eastAsia="MS Mincho" w:cs="Arial"/>
          <w:lang w:eastAsia="ja-JP"/>
        </w:rPr>
        <w:t xml:space="preserve"> a été enregistré en</w:t>
      </w:r>
      <w:r w:rsidR="00E2212C">
        <w:rPr>
          <w:rFonts w:eastAsia="MS Mincho" w:cs="Arial"/>
          <w:lang w:eastAsia="ja-JP"/>
        </w:rPr>
        <w:t> </w:t>
      </w:r>
      <w:r w:rsidR="00776317" w:rsidRPr="00BE1231">
        <w:rPr>
          <w:rFonts w:eastAsia="MS Mincho" w:cs="Arial"/>
          <w:lang w:eastAsia="ja-JP"/>
        </w:rPr>
        <w:t>2012, soit une</w:t>
      </w:r>
      <w:r w:rsidR="00FC6338">
        <w:rPr>
          <w:rFonts w:eastAsia="MS Mincho" w:cs="Arial"/>
          <w:lang w:eastAsia="ja-JP"/>
        </w:rPr>
        <w:t> </w:t>
      </w:r>
      <w:r w:rsidR="00776317" w:rsidRPr="00BE1231">
        <w:rPr>
          <w:rFonts w:eastAsia="MS Mincho" w:cs="Arial"/>
          <w:lang w:eastAsia="ja-JP"/>
        </w:rPr>
        <w:t>progression de 4,6</w:t>
      </w:r>
      <w:r w:rsidR="00E2212C">
        <w:rPr>
          <w:rFonts w:eastAsia="MS Mincho" w:cs="Arial"/>
          <w:lang w:eastAsia="ja-JP"/>
        </w:rPr>
        <w:t>%</w:t>
      </w:r>
      <w:r w:rsidR="00776317" w:rsidRPr="00BE1231">
        <w:rPr>
          <w:rFonts w:eastAsia="MS Mincho" w:cs="Arial"/>
          <w:lang w:eastAsia="ja-JP"/>
        </w:rPr>
        <w:t xml:space="preserve"> par rapport aux chiffres de</w:t>
      </w:r>
      <w:r w:rsidR="00E2212C">
        <w:rPr>
          <w:rFonts w:eastAsia="MS Mincho" w:cs="Arial"/>
          <w:lang w:eastAsia="ja-JP"/>
        </w:rPr>
        <w:t> </w:t>
      </w:r>
      <w:r w:rsidR="00776317" w:rsidRPr="00BE1231">
        <w:rPr>
          <w:rFonts w:eastAsia="MS Mincho" w:cs="Arial"/>
          <w:lang w:eastAsia="ja-JP"/>
        </w:rPr>
        <w:t>2011 (95 041).</w:t>
      </w:r>
    </w:p>
    <w:p w:rsidR="00D135ED" w:rsidRPr="00BE1231" w:rsidRDefault="00D135ED" w:rsidP="00D135ED">
      <w:pPr>
        <w:autoSpaceDE w:val="0"/>
        <w:autoSpaceDN w:val="0"/>
        <w:adjustRightInd w:val="0"/>
        <w:rPr>
          <w:rFonts w:eastAsia="MS Mincho" w:cs="Arial"/>
          <w:lang w:eastAsia="ja-JP"/>
        </w:rPr>
      </w:pPr>
    </w:p>
    <w:p w:rsidR="00776317" w:rsidRPr="00BE1231" w:rsidRDefault="00185757" w:rsidP="00D135ED">
      <w:pPr>
        <w:autoSpaceDE w:val="0"/>
        <w:autoSpaceDN w:val="0"/>
        <w:adjustRightInd w:val="0"/>
        <w:rPr>
          <w:rFonts w:eastAsia="MS Mincho" w:cs="Arial"/>
          <w:lang w:eastAsia="ja-JP"/>
        </w:rPr>
      </w:pPr>
      <w:r w:rsidRPr="00BE1231">
        <w:rPr>
          <w:rFonts w:eastAsia="MS Mincho" w:cs="Arial"/>
          <w:lang w:eastAsia="ja-JP"/>
        </w:rPr>
        <w:fldChar w:fldCharType="begin"/>
      </w:r>
      <w:r w:rsidR="00D135ED" w:rsidRPr="00BE1231">
        <w:rPr>
          <w:rFonts w:eastAsia="MS Mincho" w:cs="Arial"/>
          <w:lang w:eastAsia="ja-JP"/>
        </w:rPr>
        <w:instrText xml:space="preserve"> AUTONUM  </w:instrText>
      </w:r>
      <w:r w:rsidRPr="00BE1231">
        <w:rPr>
          <w:rFonts w:eastAsia="MS Mincho" w:cs="Arial"/>
          <w:lang w:eastAsia="ja-JP"/>
        </w:rPr>
        <w:fldChar w:fldCharType="end"/>
      </w:r>
      <w:r w:rsidR="00D135ED" w:rsidRPr="00BE1231">
        <w:rPr>
          <w:rFonts w:eastAsia="MS Mincho" w:cs="Arial"/>
          <w:lang w:eastAsia="ja-JP"/>
        </w:rPr>
        <w:tab/>
      </w:r>
      <w:r w:rsidR="00776317" w:rsidRPr="00BE1231">
        <w:rPr>
          <w:rFonts w:eastAsia="MS Mincho" w:cs="Arial"/>
          <w:lang w:eastAsia="ja-JP"/>
        </w:rPr>
        <w:t>Le Bureau de l</w:t>
      </w:r>
      <w:r w:rsidR="00C4117D">
        <w:rPr>
          <w:rFonts w:eastAsia="MS Mincho" w:cs="Arial"/>
          <w:lang w:eastAsia="ja-JP"/>
        </w:rPr>
        <w:t>’</w:t>
      </w:r>
      <w:r w:rsidR="00D135ED" w:rsidRPr="00BE1231">
        <w:rPr>
          <w:rFonts w:eastAsia="MS Mincho" w:cs="Arial"/>
          <w:lang w:eastAsia="ja-JP"/>
        </w:rPr>
        <w:t xml:space="preserve">Union </w:t>
      </w:r>
      <w:r w:rsidR="00776317" w:rsidRPr="00BE1231">
        <w:rPr>
          <w:rFonts w:eastAsia="MS Mincho" w:cs="Arial"/>
          <w:lang w:eastAsia="ja-JP"/>
        </w:rPr>
        <w:t>examinera la possibilité de fournir des informations sur les statistiques par type de culture (par exemple plantes agricoles, plantes fruitières, plantes ornementales, plantes potagères et arbres forestiers) dans de futures version</w:t>
      </w:r>
      <w:r w:rsidR="00D43684" w:rsidRPr="00BE1231">
        <w:rPr>
          <w:rFonts w:eastAsia="MS Mincho" w:cs="Arial"/>
          <w:lang w:eastAsia="ja-JP"/>
        </w:rPr>
        <w:t>s</w:t>
      </w:r>
      <w:r w:rsidR="00776317" w:rsidRPr="00BE1231">
        <w:rPr>
          <w:rFonts w:eastAsia="MS Mincho" w:cs="Arial"/>
          <w:lang w:eastAsia="ja-JP"/>
        </w:rPr>
        <w:t xml:space="preserve"> du document C/xx/7.</w:t>
      </w:r>
    </w:p>
    <w:p w:rsidR="00D135ED" w:rsidRPr="00BE1231" w:rsidRDefault="00D135ED" w:rsidP="00D135ED">
      <w:pPr>
        <w:autoSpaceDE w:val="0"/>
        <w:autoSpaceDN w:val="0"/>
        <w:adjustRightInd w:val="0"/>
        <w:rPr>
          <w:rFonts w:eastAsia="MS Mincho" w:cs="Arial"/>
          <w:lang w:eastAsia="ja-JP"/>
        </w:rPr>
      </w:pPr>
    </w:p>
    <w:p w:rsidR="00D135ED" w:rsidRPr="00BE1231" w:rsidRDefault="00D135ED" w:rsidP="006A4A4E">
      <w:pPr>
        <w:pStyle w:val="Heading2"/>
        <w:rPr>
          <w:lang w:val="fr-FR"/>
        </w:rPr>
      </w:pPr>
      <w:bookmarkStart w:id="14" w:name="_Toc381170128"/>
      <w:r w:rsidRPr="00BE1231">
        <w:rPr>
          <w:lang w:val="fr-FR"/>
        </w:rPr>
        <w:t>Coop</w:t>
      </w:r>
      <w:r w:rsidR="00B91C1B" w:rsidRPr="00BE1231">
        <w:rPr>
          <w:lang w:val="fr-FR"/>
        </w:rPr>
        <w:t>é</w:t>
      </w:r>
      <w:r w:rsidRPr="00BE1231">
        <w:rPr>
          <w:lang w:val="fr-FR"/>
        </w:rPr>
        <w:t xml:space="preserve">ration </w:t>
      </w:r>
      <w:r w:rsidR="00B91C1B" w:rsidRPr="00BE1231">
        <w:rPr>
          <w:lang w:val="fr-FR"/>
        </w:rPr>
        <w:t>en matière d</w:t>
      </w:r>
      <w:r w:rsidR="00C4117D">
        <w:rPr>
          <w:lang w:val="fr-FR"/>
        </w:rPr>
        <w:t>’</w:t>
      </w:r>
      <w:r w:rsidR="00B91C1B" w:rsidRPr="00BE1231">
        <w:rPr>
          <w:lang w:val="fr-FR"/>
        </w:rPr>
        <w:t>examen d</w:t>
      </w:r>
      <w:r w:rsidR="00C4117D">
        <w:rPr>
          <w:lang w:val="fr-FR"/>
        </w:rPr>
        <w:t>’</w:t>
      </w:r>
      <w:r w:rsidR="00B91C1B" w:rsidRPr="00BE1231">
        <w:rPr>
          <w:lang w:val="fr-FR"/>
        </w:rPr>
        <w:t>obtentions végétales</w:t>
      </w:r>
      <w:bookmarkEnd w:id="14"/>
    </w:p>
    <w:p w:rsidR="00D135ED" w:rsidRPr="00BE1231" w:rsidRDefault="00D135ED" w:rsidP="00D135ED">
      <w:pPr>
        <w:keepNext/>
        <w:autoSpaceDE w:val="0"/>
        <w:autoSpaceDN w:val="0"/>
        <w:adjustRightInd w:val="0"/>
        <w:rPr>
          <w:rFonts w:eastAsia="MS Mincho" w:cs="Arial"/>
          <w:lang w:eastAsia="ja-JP"/>
        </w:rPr>
      </w:pPr>
      <w:r w:rsidRPr="00BE1231">
        <w:rPr>
          <w:rFonts w:eastAsia="MS Mincho" w:cs="Arial"/>
          <w:lang w:eastAsia="ja-JP"/>
        </w:rPr>
        <w:t>(</w:t>
      </w:r>
      <w:proofErr w:type="gramStart"/>
      <w:r w:rsidR="00B91C1B" w:rsidRPr="00BE1231">
        <w:rPr>
          <w:rFonts w:eastAsia="MS Mincho" w:cs="Arial"/>
          <w:lang w:eastAsia="ja-JP"/>
        </w:rPr>
        <w:t>voir</w:t>
      </w:r>
      <w:proofErr w:type="gramEnd"/>
      <w:r w:rsidR="00B91C1B" w:rsidRPr="00BE1231">
        <w:rPr>
          <w:rFonts w:eastAsia="MS Mincho" w:cs="Arial"/>
          <w:lang w:eastAsia="ja-JP"/>
        </w:rPr>
        <w:t xml:space="preserve"> le document C/47/5 </w:t>
      </w:r>
      <w:r w:rsidR="00E2212C">
        <w:rPr>
          <w:rFonts w:eastAsia="MS Mincho" w:cs="Arial"/>
          <w:lang w:eastAsia="ja-JP"/>
        </w:rPr>
        <w:t>“</w:t>
      </w:r>
      <w:r w:rsidRPr="00BE1231">
        <w:t>Coop</w:t>
      </w:r>
      <w:r w:rsidR="00B91C1B" w:rsidRPr="00BE1231">
        <w:t>é</w:t>
      </w:r>
      <w:r w:rsidRPr="00BE1231">
        <w:t xml:space="preserve">ration </w:t>
      </w:r>
      <w:r w:rsidR="00B91C1B" w:rsidRPr="00BE1231">
        <w:t>en matière d</w:t>
      </w:r>
      <w:r w:rsidR="00C4117D">
        <w:t>’</w:t>
      </w:r>
      <w:r w:rsidR="00B91C1B" w:rsidRPr="00BE1231">
        <w:t>examen</w:t>
      </w:r>
      <w:r w:rsidR="00E2212C">
        <w:t>”</w:t>
      </w:r>
      <w:r w:rsidRPr="00BE1231">
        <w:t>)</w:t>
      </w:r>
    </w:p>
    <w:p w:rsidR="00D135ED" w:rsidRPr="00BE1231" w:rsidRDefault="00D135ED" w:rsidP="00D135ED">
      <w:pPr>
        <w:keepNext/>
        <w:tabs>
          <w:tab w:val="num" w:pos="1440"/>
        </w:tabs>
        <w:autoSpaceDE w:val="0"/>
        <w:autoSpaceDN w:val="0"/>
        <w:adjustRightInd w:val="0"/>
        <w:rPr>
          <w:rFonts w:cs="Arial"/>
        </w:rPr>
      </w:pPr>
    </w:p>
    <w:p w:rsidR="00825C5C" w:rsidRPr="00BE1231" w:rsidRDefault="00185757" w:rsidP="00D135ED">
      <w:pPr>
        <w:rPr>
          <w:rFonts w:eastAsia="MS Mincho"/>
          <w:lang w:eastAsia="ja-JP"/>
        </w:rPr>
      </w:pPr>
      <w:r w:rsidRPr="00BE1231">
        <w:rPr>
          <w:rFonts w:eastAsia="MS Mincho"/>
          <w:lang w:eastAsia="ja-JP"/>
        </w:rPr>
        <w:fldChar w:fldCharType="begin"/>
      </w:r>
      <w:r w:rsidR="00D135ED" w:rsidRPr="00BE1231">
        <w:rPr>
          <w:rFonts w:eastAsia="MS Mincho"/>
          <w:lang w:eastAsia="ja-JP"/>
        </w:rPr>
        <w:instrText xml:space="preserve"> AUTONUM  </w:instrText>
      </w:r>
      <w:r w:rsidRPr="00BE1231">
        <w:rPr>
          <w:rFonts w:eastAsia="MS Mincho"/>
          <w:lang w:eastAsia="ja-JP"/>
        </w:rPr>
        <w:fldChar w:fldCharType="end"/>
      </w:r>
      <w:r w:rsidR="00D135ED" w:rsidRPr="00BE1231">
        <w:rPr>
          <w:rFonts w:eastAsia="MS Mincho"/>
          <w:lang w:eastAsia="ja-JP"/>
        </w:rPr>
        <w:tab/>
      </w:r>
      <w:r w:rsidR="00825C5C" w:rsidRPr="00BE1231">
        <w:rPr>
          <w:rFonts w:eastAsia="MS Mincho"/>
          <w:lang w:eastAsia="ja-JP"/>
        </w:rPr>
        <w:t>E</w:t>
      </w:r>
      <w:r w:rsidR="00D135ED" w:rsidRPr="00BE1231">
        <w:rPr>
          <w:rFonts w:eastAsia="MS Mincho"/>
          <w:lang w:eastAsia="ja-JP"/>
        </w:rPr>
        <w:t>n</w:t>
      </w:r>
      <w:r w:rsidR="00E2212C">
        <w:rPr>
          <w:rFonts w:eastAsia="MS Mincho"/>
          <w:lang w:eastAsia="ja-JP"/>
        </w:rPr>
        <w:t> </w:t>
      </w:r>
      <w:r w:rsidR="00D135ED" w:rsidRPr="00BE1231">
        <w:rPr>
          <w:rFonts w:eastAsia="MS Mincho"/>
          <w:lang w:eastAsia="ja-JP"/>
        </w:rPr>
        <w:t xml:space="preserve">2012, </w:t>
      </w:r>
      <w:r w:rsidR="00825C5C" w:rsidRPr="00BE1231">
        <w:rPr>
          <w:rFonts w:eastAsia="MS Mincho"/>
          <w:lang w:eastAsia="ja-JP"/>
        </w:rPr>
        <w:t>le nombre de genres et espèces végétaux faisant l</w:t>
      </w:r>
      <w:r w:rsidR="00C4117D">
        <w:rPr>
          <w:rFonts w:eastAsia="MS Mincho"/>
          <w:lang w:eastAsia="ja-JP"/>
        </w:rPr>
        <w:t>’</w:t>
      </w:r>
      <w:r w:rsidR="00825C5C" w:rsidRPr="00BE1231">
        <w:rPr>
          <w:rFonts w:eastAsia="MS Mincho"/>
          <w:lang w:eastAsia="ja-JP"/>
        </w:rPr>
        <w:t>objet d</w:t>
      </w:r>
      <w:r w:rsidR="00C4117D">
        <w:rPr>
          <w:rFonts w:eastAsia="MS Mincho"/>
          <w:lang w:eastAsia="ja-JP"/>
        </w:rPr>
        <w:t>’</w:t>
      </w:r>
      <w:r w:rsidR="00825C5C" w:rsidRPr="00BE1231">
        <w:rPr>
          <w:rFonts w:eastAsia="MS Mincho"/>
          <w:lang w:eastAsia="ja-JP"/>
        </w:rPr>
        <w:t>accords de coopération entre des</w:t>
      </w:r>
      <w:r w:rsidR="00FC6338">
        <w:rPr>
          <w:rFonts w:eastAsia="MS Mincho"/>
          <w:lang w:eastAsia="ja-JP"/>
        </w:rPr>
        <w:t> </w:t>
      </w:r>
      <w:r w:rsidR="00825C5C" w:rsidRPr="00BE1231">
        <w:rPr>
          <w:rFonts w:eastAsia="MS Mincho"/>
          <w:lang w:eastAsia="ja-JP"/>
        </w:rPr>
        <w:t>membres de l</w:t>
      </w:r>
      <w:r w:rsidR="00C4117D">
        <w:rPr>
          <w:rFonts w:eastAsia="MS Mincho"/>
          <w:lang w:eastAsia="ja-JP"/>
        </w:rPr>
        <w:t>’</w:t>
      </w:r>
      <w:r w:rsidR="00825C5C" w:rsidRPr="00BE1231">
        <w:rPr>
          <w:rFonts w:eastAsia="MS Mincho"/>
          <w:lang w:eastAsia="ja-JP"/>
        </w:rPr>
        <w:t>Union en vue de l</w:t>
      </w:r>
      <w:r w:rsidR="00C4117D">
        <w:rPr>
          <w:rFonts w:eastAsia="MS Mincho"/>
          <w:lang w:eastAsia="ja-JP"/>
        </w:rPr>
        <w:t>’</w:t>
      </w:r>
      <w:r w:rsidR="00825C5C" w:rsidRPr="00BE1231">
        <w:rPr>
          <w:rFonts w:eastAsia="MS Mincho"/>
          <w:lang w:eastAsia="ja-JP"/>
        </w:rPr>
        <w:t>examen de la distinction, de l</w:t>
      </w:r>
      <w:r w:rsidR="00C4117D">
        <w:rPr>
          <w:rFonts w:eastAsia="MS Mincho"/>
          <w:lang w:eastAsia="ja-JP"/>
        </w:rPr>
        <w:t>’</w:t>
      </w:r>
      <w:r w:rsidR="00825C5C" w:rsidRPr="00BE1231">
        <w:rPr>
          <w:rFonts w:eastAsia="MS Mincho"/>
          <w:lang w:eastAsia="ja-JP"/>
        </w:rPr>
        <w:t>homogénéité et de la stabilité s</w:t>
      </w:r>
      <w:r w:rsidR="00C4117D">
        <w:rPr>
          <w:rFonts w:eastAsia="MS Mincho"/>
          <w:lang w:eastAsia="ja-JP"/>
        </w:rPr>
        <w:t>’</w:t>
      </w:r>
      <w:r w:rsidR="00825C5C" w:rsidRPr="00BE1231">
        <w:rPr>
          <w:rFonts w:eastAsia="MS Mincho"/>
          <w:lang w:eastAsia="ja-JP"/>
        </w:rPr>
        <w:t>est établi à</w:t>
      </w:r>
      <w:r w:rsidR="00FC6338">
        <w:rPr>
          <w:rFonts w:eastAsia="MS Mincho"/>
          <w:lang w:eastAsia="ja-JP"/>
        </w:rPr>
        <w:t> </w:t>
      </w:r>
      <w:r w:rsidR="00E2212C" w:rsidRPr="00BE1231">
        <w:rPr>
          <w:rFonts w:eastAsia="MS Mincho"/>
          <w:lang w:eastAsia="ja-JP"/>
        </w:rPr>
        <w:t>1997</w:t>
      </w:r>
      <w:r w:rsidR="00825C5C" w:rsidRPr="00BE1231">
        <w:rPr>
          <w:rFonts w:eastAsia="MS Mincho"/>
          <w:lang w:eastAsia="ja-JP"/>
        </w:rPr>
        <w:t xml:space="preserve"> en tout, contre </w:t>
      </w:r>
      <w:r w:rsidR="00E2212C" w:rsidRPr="00BE1231">
        <w:rPr>
          <w:rFonts w:eastAsia="MS Mincho"/>
          <w:lang w:eastAsia="ja-JP"/>
        </w:rPr>
        <w:t>1991</w:t>
      </w:r>
      <w:r w:rsidR="00825C5C" w:rsidRPr="00BE1231">
        <w:rPr>
          <w:rFonts w:eastAsia="MS Mincho"/>
          <w:lang w:eastAsia="ja-JP"/>
        </w:rPr>
        <w:t xml:space="preserve"> en</w:t>
      </w:r>
      <w:r w:rsidR="00E2212C">
        <w:rPr>
          <w:rFonts w:eastAsia="MS Mincho"/>
          <w:lang w:eastAsia="ja-JP"/>
        </w:rPr>
        <w:t> </w:t>
      </w:r>
      <w:r w:rsidR="00825C5C" w:rsidRPr="00BE1231">
        <w:rPr>
          <w:rFonts w:eastAsia="MS Mincho"/>
          <w:lang w:eastAsia="ja-JP"/>
        </w:rPr>
        <w:t>2011.</w:t>
      </w:r>
    </w:p>
    <w:p w:rsidR="00D135ED" w:rsidRPr="00BE1231" w:rsidRDefault="00D135ED" w:rsidP="00D135ED"/>
    <w:p w:rsidR="00825C5C" w:rsidRPr="00BE1231" w:rsidRDefault="00185757" w:rsidP="00D135ED">
      <w:r w:rsidRPr="00BE1231">
        <w:fldChar w:fldCharType="begin"/>
      </w:r>
      <w:r w:rsidR="00D135ED" w:rsidRPr="00BE1231">
        <w:instrText xml:space="preserve"> AUTONUM  </w:instrText>
      </w:r>
      <w:r w:rsidRPr="00BE1231">
        <w:fldChar w:fldCharType="end"/>
      </w:r>
      <w:r w:rsidR="00D135ED" w:rsidRPr="00BE1231">
        <w:tab/>
      </w:r>
      <w:r w:rsidR="00825C5C" w:rsidRPr="00BE1231">
        <w:t>À sa quarante</w:t>
      </w:r>
      <w:r w:rsidR="00C4117D">
        <w:t>-</w:t>
      </w:r>
      <w:r w:rsidR="00825C5C" w:rsidRPr="00BE1231">
        <w:t>septième</w:t>
      </w:r>
      <w:r w:rsidR="00E2212C">
        <w:t> </w:t>
      </w:r>
      <w:r w:rsidR="00825C5C" w:rsidRPr="00BE1231">
        <w:t>session ordinaire, le Conseil est convenu de transmettre une copie de la</w:t>
      </w:r>
      <w:r w:rsidR="00FC6338">
        <w:t> </w:t>
      </w:r>
      <w:r w:rsidR="00825C5C" w:rsidRPr="00BE1231">
        <w:t>circulaire concernant la coopération en matière d</w:t>
      </w:r>
      <w:r w:rsidR="00C4117D">
        <w:t>’</w:t>
      </w:r>
      <w:r w:rsidR="00825C5C" w:rsidRPr="00BE1231">
        <w:t>examen (voir par exemple le document C/xx/5) à des personnes désignées du Comité technique (TC) afin de s</w:t>
      </w:r>
      <w:r w:rsidR="00C4117D">
        <w:t>’</w:t>
      </w:r>
      <w:r w:rsidR="00825C5C" w:rsidRPr="00BE1231">
        <w:t>assurer que la quantité maximale d</w:t>
      </w:r>
      <w:r w:rsidR="00C4117D">
        <w:t>’</w:t>
      </w:r>
      <w:r w:rsidR="00825C5C" w:rsidRPr="00BE1231">
        <w:t>informations puisse être collectée (voir le paragraphe</w:t>
      </w:r>
      <w:r w:rsidR="00E2212C">
        <w:t> </w:t>
      </w:r>
      <w:r w:rsidR="00825C5C" w:rsidRPr="00BE1231">
        <w:t xml:space="preserve">20 du document C/47/19 </w:t>
      </w:r>
      <w:r w:rsidR="00E2212C">
        <w:t>“</w:t>
      </w:r>
      <w:r w:rsidR="00825C5C" w:rsidRPr="00BE1231">
        <w:t>Compte rendu des décisions</w:t>
      </w:r>
      <w:r w:rsidR="00E2212C">
        <w:t>”</w:t>
      </w:r>
      <w:r w:rsidR="00825C5C" w:rsidRPr="00BE1231">
        <w:t>).</w:t>
      </w:r>
    </w:p>
    <w:p w:rsidR="00D135ED" w:rsidRPr="00BE1231" w:rsidRDefault="00D135ED" w:rsidP="00D135ED"/>
    <w:p w:rsidR="00D135ED" w:rsidRPr="00BE1231" w:rsidRDefault="00D135ED" w:rsidP="00D135ED"/>
    <w:p w:rsidR="00D135ED" w:rsidRPr="00BE1231" w:rsidRDefault="00D135ED" w:rsidP="008907DC">
      <w:pPr>
        <w:pStyle w:val="Heading1"/>
      </w:pPr>
      <w:bookmarkStart w:id="15" w:name="_Toc381170129"/>
      <w:r w:rsidRPr="00BE1231">
        <w:t>situation</w:t>
      </w:r>
      <w:r w:rsidR="00B91C1B" w:rsidRPr="00BE1231">
        <w:t xml:space="preserve"> financière</w:t>
      </w:r>
      <w:bookmarkEnd w:id="15"/>
    </w:p>
    <w:p w:rsidR="00D135ED" w:rsidRPr="00BE1231" w:rsidRDefault="00D135ED" w:rsidP="00D135ED">
      <w:pPr>
        <w:keepNext/>
      </w:pPr>
    </w:p>
    <w:p w:rsidR="00807F07" w:rsidRPr="00BE1231" w:rsidRDefault="00807F07" w:rsidP="006A4A4E">
      <w:pPr>
        <w:pStyle w:val="Heading2"/>
        <w:rPr>
          <w:lang w:val="fr-FR"/>
        </w:rPr>
      </w:pPr>
      <w:bookmarkStart w:id="16" w:name="_Toc381170130"/>
      <w:r w:rsidRPr="00BE1231">
        <w:rPr>
          <w:lang w:val="fr-FR"/>
        </w:rPr>
        <w:t>Program</w:t>
      </w:r>
      <w:r w:rsidR="00B91C1B" w:rsidRPr="00BE1231">
        <w:rPr>
          <w:lang w:val="fr-FR"/>
        </w:rPr>
        <w:t>me et b</w:t>
      </w:r>
      <w:r w:rsidRPr="00BE1231">
        <w:rPr>
          <w:lang w:val="fr-FR"/>
        </w:rPr>
        <w:t xml:space="preserve">udget </w:t>
      </w:r>
      <w:r w:rsidR="00B91C1B" w:rsidRPr="00BE1231">
        <w:rPr>
          <w:lang w:val="fr-FR"/>
        </w:rPr>
        <w:t>de l</w:t>
      </w:r>
      <w:r w:rsidR="00C4117D">
        <w:rPr>
          <w:lang w:val="fr-FR"/>
        </w:rPr>
        <w:t>’</w:t>
      </w:r>
      <w:r w:rsidRPr="00BE1231">
        <w:rPr>
          <w:lang w:val="fr-FR"/>
        </w:rPr>
        <w:t xml:space="preserve">Union </w:t>
      </w:r>
      <w:r w:rsidR="00B91C1B" w:rsidRPr="00BE1231">
        <w:rPr>
          <w:lang w:val="fr-FR"/>
        </w:rPr>
        <w:t>pour l</w:t>
      </w:r>
      <w:r w:rsidR="00C4117D">
        <w:rPr>
          <w:lang w:val="fr-FR"/>
        </w:rPr>
        <w:t>’</w:t>
      </w:r>
      <w:r w:rsidR="00B91C1B" w:rsidRPr="00BE1231">
        <w:rPr>
          <w:lang w:val="fr-FR"/>
        </w:rPr>
        <w:t>exercice biennal</w:t>
      </w:r>
      <w:r w:rsidR="00E2212C">
        <w:rPr>
          <w:lang w:val="fr-FR"/>
        </w:rPr>
        <w:t> </w:t>
      </w:r>
      <w:r w:rsidRPr="00BE1231">
        <w:rPr>
          <w:lang w:val="fr-FR"/>
        </w:rPr>
        <w:t>2014</w:t>
      </w:r>
      <w:r w:rsidR="00C4117D">
        <w:rPr>
          <w:lang w:val="fr-FR"/>
        </w:rPr>
        <w:t>-</w:t>
      </w:r>
      <w:r w:rsidRPr="00BE1231">
        <w:rPr>
          <w:lang w:val="fr-FR"/>
        </w:rPr>
        <w:t>2015</w:t>
      </w:r>
      <w:bookmarkEnd w:id="16"/>
    </w:p>
    <w:p w:rsidR="00807F07" w:rsidRPr="00BE1231" w:rsidRDefault="00807F07" w:rsidP="00807F07">
      <w:pPr>
        <w:keepNext/>
        <w:rPr>
          <w:spacing w:val="-2"/>
          <w:szCs w:val="24"/>
        </w:rPr>
      </w:pPr>
    </w:p>
    <w:p w:rsidR="00AB76FD" w:rsidRDefault="00185757" w:rsidP="00D43684">
      <w:r w:rsidRPr="00BE1231">
        <w:fldChar w:fldCharType="begin"/>
      </w:r>
      <w:r w:rsidR="00337B8E" w:rsidRPr="00BE1231">
        <w:instrText xml:space="preserve"> AUTONUM  </w:instrText>
      </w:r>
      <w:r w:rsidRPr="00BE1231">
        <w:fldChar w:fldCharType="end"/>
      </w:r>
      <w:r w:rsidR="00337B8E" w:rsidRPr="00BE1231">
        <w:tab/>
      </w:r>
      <w:r w:rsidR="00D43684" w:rsidRPr="00BE1231">
        <w:t>À sa quarante</w:t>
      </w:r>
      <w:r w:rsidR="00C4117D">
        <w:t>-</w:t>
      </w:r>
      <w:r w:rsidR="00D43684" w:rsidRPr="00BE1231">
        <w:t>septième</w:t>
      </w:r>
      <w:r w:rsidR="00E2212C">
        <w:t> </w:t>
      </w:r>
      <w:r w:rsidR="00D43684" w:rsidRPr="00BE1231">
        <w:t>session ordinaire tenue à Genève le 2</w:t>
      </w:r>
      <w:r w:rsidR="00AB76FD" w:rsidRPr="00BE1231">
        <w:t>4</w:t>
      </w:r>
      <w:r w:rsidR="00AB76FD">
        <w:t> </w:t>
      </w:r>
      <w:r w:rsidR="00AB76FD" w:rsidRPr="00BE1231">
        <w:t>octobre</w:t>
      </w:r>
      <w:r w:rsidR="00AB76FD">
        <w:t> </w:t>
      </w:r>
      <w:r w:rsidR="00AB76FD" w:rsidRPr="00BE1231">
        <w:t>20</w:t>
      </w:r>
      <w:r w:rsidR="00D43684" w:rsidRPr="00BE1231">
        <w:t>13, le Conseil a approuvé le Programme et budget de l</w:t>
      </w:r>
      <w:r w:rsidR="00C4117D">
        <w:t>’</w:t>
      </w:r>
      <w:r w:rsidR="00D43684" w:rsidRPr="00BE1231">
        <w:t>Union pour l</w:t>
      </w:r>
      <w:r w:rsidR="00C4117D">
        <w:t>’</w:t>
      </w:r>
      <w:r w:rsidR="00D43684" w:rsidRPr="00BE1231">
        <w:t>exercice biennal</w:t>
      </w:r>
      <w:r w:rsidR="00E2212C">
        <w:t> </w:t>
      </w:r>
      <w:r w:rsidR="00D43684" w:rsidRPr="00BE1231">
        <w:t>2014</w:t>
      </w:r>
      <w:r w:rsidR="00FC6338" w:rsidRPr="003961D4">
        <w:noBreakHyphen/>
      </w:r>
      <w:r w:rsidR="00D43684" w:rsidRPr="00BE1231">
        <w:t>2015, tel que présenté dans l</w:t>
      </w:r>
      <w:r w:rsidR="00C4117D">
        <w:t>’</w:t>
      </w:r>
      <w:r w:rsidR="00D43684" w:rsidRPr="00BE1231">
        <w:t xml:space="preserve">annexe du document C/47/4 </w:t>
      </w:r>
      <w:proofErr w:type="spellStart"/>
      <w:r w:rsidR="00D43684" w:rsidRPr="00BE1231">
        <w:t>Rev</w:t>
      </w:r>
      <w:proofErr w:type="spellEnd"/>
      <w:r w:rsidR="00D43684" w:rsidRPr="00BE1231">
        <w:t xml:space="preserve"> </w:t>
      </w:r>
      <w:r w:rsidR="00E2212C">
        <w:t>“</w:t>
      </w:r>
      <w:r w:rsidR="00D43684" w:rsidRPr="00BE1231">
        <w:t>Programme et budget pour l</w:t>
      </w:r>
      <w:r w:rsidR="00C4117D">
        <w:t>’</w:t>
      </w:r>
      <w:r w:rsidR="00D43684" w:rsidRPr="00BE1231">
        <w:t>exercice biennal</w:t>
      </w:r>
      <w:r w:rsidR="00E2212C">
        <w:t> </w:t>
      </w:r>
      <w:r w:rsidR="00D43684" w:rsidRPr="00BE1231">
        <w:t>2014</w:t>
      </w:r>
      <w:r w:rsidR="00FC6338" w:rsidRPr="003961D4">
        <w:noBreakHyphen/>
      </w:r>
      <w:r w:rsidR="00D43684" w:rsidRPr="00BE1231">
        <w:t>2015</w:t>
      </w:r>
      <w:r w:rsidR="00E2212C">
        <w:t>”</w:t>
      </w:r>
      <w:r w:rsidR="00D43684" w:rsidRPr="00BE1231">
        <w:t xml:space="preserve"> (voir les paragraphes</w:t>
      </w:r>
      <w:r w:rsidR="00E2212C">
        <w:t> </w:t>
      </w:r>
      <w:r w:rsidR="00D43684" w:rsidRPr="00BE1231">
        <w:t>33 et</w:t>
      </w:r>
      <w:r w:rsidR="00FC6338">
        <w:t> </w:t>
      </w:r>
      <w:r w:rsidR="00D43684" w:rsidRPr="00BE1231">
        <w:t xml:space="preserve">34 du document C/47/19 </w:t>
      </w:r>
      <w:r w:rsidR="00E2212C">
        <w:t>“</w:t>
      </w:r>
      <w:r w:rsidR="00D43684" w:rsidRPr="00BE1231">
        <w:t>Compte rendu des décisions</w:t>
      </w:r>
      <w:r w:rsidR="00E2212C">
        <w:t>”</w:t>
      </w:r>
      <w:r w:rsidR="00D43684" w:rsidRPr="00BE1231">
        <w:t>).</w:t>
      </w:r>
    </w:p>
    <w:p w:rsidR="00D43684" w:rsidRPr="00BE1231" w:rsidRDefault="00D43684" w:rsidP="00D43684"/>
    <w:p w:rsidR="00D43684" w:rsidRPr="00BE1231" w:rsidRDefault="00185757" w:rsidP="00337B8E">
      <w:r w:rsidRPr="00BE1231">
        <w:fldChar w:fldCharType="begin"/>
      </w:r>
      <w:r w:rsidR="00337B8E" w:rsidRPr="00BE1231">
        <w:instrText xml:space="preserve"> AUTONUM  </w:instrText>
      </w:r>
      <w:r w:rsidRPr="00BE1231">
        <w:fldChar w:fldCharType="end"/>
      </w:r>
      <w:r w:rsidR="00337B8E" w:rsidRPr="00BE1231">
        <w:tab/>
      </w:r>
      <w:r w:rsidR="00D43684" w:rsidRPr="00BE1231">
        <w:t>Le plafond des dépenses inscrites au budget ordinaire pour l</w:t>
      </w:r>
      <w:r w:rsidR="00C4117D">
        <w:t>’</w:t>
      </w:r>
      <w:r w:rsidR="00D43684" w:rsidRPr="00BE1231">
        <w:t>exercice biennal</w:t>
      </w:r>
      <w:r w:rsidR="00E2212C">
        <w:t> </w:t>
      </w:r>
      <w:r w:rsidR="00D43684" w:rsidRPr="00BE1231">
        <w:t>2014</w:t>
      </w:r>
      <w:r w:rsidR="00FC6338" w:rsidRPr="003961D4">
        <w:noBreakHyphen/>
      </w:r>
      <w:r w:rsidR="00D43684" w:rsidRPr="00BE1231">
        <w:t>2015 est de</w:t>
      </w:r>
      <w:r w:rsidR="00972147">
        <w:t> </w:t>
      </w:r>
      <w:r w:rsidR="00E2212C" w:rsidRPr="00BE1231">
        <w:t>6</w:t>
      </w:r>
      <w:r w:rsidR="00FC6338">
        <w:t> </w:t>
      </w:r>
      <w:r w:rsidR="00E2212C" w:rsidRPr="00BE1231">
        <w:t>794</w:t>
      </w:r>
      <w:r w:rsidR="00D43684" w:rsidRPr="00BE1231">
        <w:t> 000</w:t>
      </w:r>
      <w:r w:rsidR="00E2212C">
        <w:t> </w:t>
      </w:r>
      <w:r w:rsidR="00D43684" w:rsidRPr="00BE1231">
        <w:t xml:space="preserve">francs suisses (contre </w:t>
      </w:r>
      <w:r w:rsidR="00E2212C" w:rsidRPr="00BE1231">
        <w:t>6</w:t>
      </w:r>
      <w:r w:rsidR="00FC6338">
        <w:t> </w:t>
      </w:r>
      <w:r w:rsidR="00E2212C" w:rsidRPr="00BE1231">
        <w:t>798</w:t>
      </w:r>
      <w:r w:rsidR="00D43684" w:rsidRPr="00BE1231">
        <w:t> 000</w:t>
      </w:r>
      <w:r w:rsidR="00E2212C">
        <w:t> </w:t>
      </w:r>
      <w:r w:rsidR="00D43684" w:rsidRPr="00BE1231">
        <w:t>francs suisses pour l</w:t>
      </w:r>
      <w:r w:rsidR="00C4117D">
        <w:t>’</w:t>
      </w:r>
      <w:r w:rsidR="00D43684" w:rsidRPr="00BE1231">
        <w:t>exercice biennal</w:t>
      </w:r>
      <w:r w:rsidR="00E2212C">
        <w:t> </w:t>
      </w:r>
      <w:r w:rsidR="00D43684" w:rsidRPr="00BE1231">
        <w:t>2012</w:t>
      </w:r>
      <w:r w:rsidR="00FC6338" w:rsidRPr="003961D4">
        <w:noBreakHyphen/>
      </w:r>
      <w:r w:rsidR="00D43684" w:rsidRPr="00BE1231">
        <w:t>2013) et se fonde sur la valeur inchangée de l</w:t>
      </w:r>
      <w:r w:rsidR="00C4117D">
        <w:t>’</w:t>
      </w:r>
      <w:r w:rsidR="00D43684" w:rsidRPr="00BE1231">
        <w:t>unité de contribution (53 641</w:t>
      </w:r>
      <w:r w:rsidR="00E2212C">
        <w:t> </w:t>
      </w:r>
      <w:r w:rsidR="00D43684" w:rsidRPr="00BE1231">
        <w:t>francs suisses) et un nombre de postes inchangé (11) pour le Bureau de l</w:t>
      </w:r>
      <w:r w:rsidR="00C4117D">
        <w:t>’</w:t>
      </w:r>
      <w:r w:rsidR="00D43684" w:rsidRPr="00BE1231">
        <w:t>Union.</w:t>
      </w:r>
    </w:p>
    <w:p w:rsidR="000536A6" w:rsidRPr="00BE1231" w:rsidRDefault="000536A6" w:rsidP="00807F07"/>
    <w:p w:rsidR="00574BC4" w:rsidRPr="00BE1231" w:rsidRDefault="00B91C1B" w:rsidP="006A4A4E">
      <w:pPr>
        <w:pStyle w:val="Heading2"/>
        <w:rPr>
          <w:snapToGrid w:val="0"/>
          <w:lang w:val="fr-FR"/>
        </w:rPr>
      </w:pPr>
      <w:bookmarkStart w:id="17" w:name="_Toc381170131"/>
      <w:r w:rsidRPr="00BE1231">
        <w:rPr>
          <w:snapToGrid w:val="0"/>
          <w:lang w:val="fr-FR"/>
        </w:rPr>
        <w:t>Fonds de réserve</w:t>
      </w:r>
      <w:bookmarkEnd w:id="17"/>
    </w:p>
    <w:p w:rsidR="00574BC4" w:rsidRPr="00BE1231" w:rsidRDefault="00574BC4" w:rsidP="00574BC4">
      <w:pPr>
        <w:keepNext/>
        <w:rPr>
          <w:snapToGrid w:val="0"/>
        </w:rPr>
      </w:pPr>
    </w:p>
    <w:p w:rsidR="00D43684" w:rsidRPr="00BE1231" w:rsidRDefault="00185757" w:rsidP="00CB1E15">
      <w:pPr>
        <w:autoSpaceDE w:val="0"/>
        <w:autoSpaceDN w:val="0"/>
        <w:adjustRightInd w:val="0"/>
      </w:pPr>
      <w:r w:rsidRPr="00BE1231">
        <w:fldChar w:fldCharType="begin"/>
      </w:r>
      <w:r w:rsidR="00932B5A" w:rsidRPr="00BE1231">
        <w:instrText xml:space="preserve"> AUTONUM  </w:instrText>
      </w:r>
      <w:r w:rsidRPr="00BE1231">
        <w:fldChar w:fldCharType="end"/>
      </w:r>
      <w:r w:rsidR="00932B5A" w:rsidRPr="00BE1231">
        <w:tab/>
      </w:r>
      <w:r w:rsidR="00F3503A" w:rsidRPr="00BE1231">
        <w:t>L</w:t>
      </w:r>
      <w:r w:rsidR="00C4117D">
        <w:t>’</w:t>
      </w:r>
      <w:r w:rsidR="00F3503A" w:rsidRPr="00BE1231">
        <w:t>article</w:t>
      </w:r>
      <w:r w:rsidR="00E2212C">
        <w:t> </w:t>
      </w:r>
      <w:r w:rsidR="00932B5A" w:rsidRPr="00BE1231">
        <w:t xml:space="preserve">4.6 </w:t>
      </w:r>
      <w:r w:rsidR="00B91C1B" w:rsidRPr="00BE1231">
        <w:t>du</w:t>
      </w:r>
      <w:r w:rsidR="00932B5A" w:rsidRPr="00BE1231">
        <w:t xml:space="preserve"> docum</w:t>
      </w:r>
      <w:r w:rsidR="00B91C1B" w:rsidRPr="00BE1231">
        <w:t xml:space="preserve">ent UPOV/INF/4/3 </w:t>
      </w:r>
      <w:r w:rsidR="00E2212C">
        <w:t>“</w:t>
      </w:r>
      <w:r w:rsidR="00B91C1B" w:rsidRPr="00BE1231">
        <w:t>Règlement financier et règlement d</w:t>
      </w:r>
      <w:r w:rsidR="00C4117D">
        <w:t>’</w:t>
      </w:r>
      <w:r w:rsidR="00B91C1B" w:rsidRPr="00BE1231">
        <w:t>exécution du Règlement financier</w:t>
      </w:r>
      <w:r w:rsidR="00E2212C">
        <w:t>”</w:t>
      </w:r>
      <w:r w:rsidR="00932B5A" w:rsidRPr="00BE1231">
        <w:t xml:space="preserve"> </w:t>
      </w:r>
      <w:r w:rsidR="00D43684" w:rsidRPr="00BE1231">
        <w:t xml:space="preserve">dispose que : </w:t>
      </w:r>
      <w:r w:rsidR="00E2212C">
        <w:t>“</w:t>
      </w:r>
      <w:r w:rsidR="00D43684" w:rsidRPr="00BE1231">
        <w:t>[…]</w:t>
      </w:r>
      <w:r w:rsidR="004C2CCE" w:rsidRPr="00BE1231">
        <w:t xml:space="preserve"> </w:t>
      </w:r>
      <w:r w:rsidR="00D43684" w:rsidRPr="00BE1231">
        <w:t>Si, après la clôture de l</w:t>
      </w:r>
      <w:r w:rsidR="00C4117D">
        <w:t>’</w:t>
      </w:r>
      <w:r w:rsidR="00D43684" w:rsidRPr="00BE1231">
        <w:t xml:space="preserve">exercice financier, </w:t>
      </w:r>
      <w:r w:rsidR="00F3503A" w:rsidRPr="00BE1231">
        <w:rPr>
          <w:rFonts w:cs="Arial"/>
        </w:rPr>
        <w:t>le montant du fonds de réserve dépasse 15% des recettes totales pour l</w:t>
      </w:r>
      <w:r w:rsidR="00C4117D">
        <w:rPr>
          <w:rFonts w:cs="Arial"/>
        </w:rPr>
        <w:t>’</w:t>
      </w:r>
      <w:r w:rsidR="00F3503A" w:rsidRPr="00BE1231">
        <w:rPr>
          <w:rFonts w:cs="Arial"/>
        </w:rPr>
        <w:t>exercice financier, l</w:t>
      </w:r>
      <w:r w:rsidR="00C4117D">
        <w:rPr>
          <w:rFonts w:cs="Arial"/>
        </w:rPr>
        <w:t>’</w:t>
      </w:r>
      <w:r w:rsidR="00F3503A" w:rsidRPr="00BE1231">
        <w:rPr>
          <w:rFonts w:cs="Arial"/>
        </w:rPr>
        <w:t>excédent est remboursé aux membres de l</w:t>
      </w:r>
      <w:r w:rsidR="00C4117D">
        <w:rPr>
          <w:rFonts w:cs="Arial"/>
        </w:rPr>
        <w:t>’</w:t>
      </w:r>
      <w:r w:rsidR="00F3503A" w:rsidRPr="00BE1231">
        <w:rPr>
          <w:rFonts w:cs="Arial"/>
        </w:rPr>
        <w:t xml:space="preserve">UPOV, sauf si le Conseil en décide autrement. </w:t>
      </w:r>
      <w:r w:rsidR="00E2212C">
        <w:rPr>
          <w:rFonts w:cs="Arial"/>
        </w:rPr>
        <w:t xml:space="preserve"> </w:t>
      </w:r>
      <w:r w:rsidR="00F3503A" w:rsidRPr="00BE1231">
        <w:rPr>
          <w:rFonts w:cs="Arial"/>
        </w:rPr>
        <w:t>Tout membre de l</w:t>
      </w:r>
      <w:r w:rsidR="00C4117D">
        <w:rPr>
          <w:rFonts w:cs="Arial"/>
        </w:rPr>
        <w:t>’</w:t>
      </w:r>
      <w:r w:rsidR="00F3503A" w:rsidRPr="00BE1231">
        <w:rPr>
          <w:rFonts w:cs="Arial"/>
        </w:rPr>
        <w:t>UPOV peut demander que le montant qui lui est remboursé soit déposé sur un compte spécial ou dans un fonds fiduciaire qu</w:t>
      </w:r>
      <w:r w:rsidR="00C4117D">
        <w:rPr>
          <w:rFonts w:cs="Arial"/>
        </w:rPr>
        <w:t>’</w:t>
      </w:r>
      <w:r w:rsidR="00F3503A" w:rsidRPr="00BE1231">
        <w:rPr>
          <w:rFonts w:cs="Arial"/>
        </w:rPr>
        <w:t>il aura désigné</w:t>
      </w:r>
      <w:r w:rsidR="0010590A">
        <w:rPr>
          <w:rFonts w:cs="Arial"/>
        </w:rPr>
        <w:t>”</w:t>
      </w:r>
      <w:r w:rsidR="00F3503A" w:rsidRPr="00BE1231">
        <w:rPr>
          <w:rFonts w:cs="Arial"/>
        </w:rPr>
        <w:t>.</w:t>
      </w:r>
    </w:p>
    <w:p w:rsidR="00932B5A" w:rsidRPr="00BE1231" w:rsidRDefault="00932B5A" w:rsidP="00574BC4"/>
    <w:p w:rsidR="00F3503A" w:rsidRPr="00BE1231" w:rsidRDefault="00185757" w:rsidP="00574BC4">
      <w:r w:rsidRPr="00BE1231">
        <w:fldChar w:fldCharType="begin"/>
      </w:r>
      <w:r w:rsidR="00574BC4" w:rsidRPr="00BE1231">
        <w:instrText xml:space="preserve"> AUTONUM  </w:instrText>
      </w:r>
      <w:r w:rsidRPr="00BE1231">
        <w:fldChar w:fldCharType="end"/>
      </w:r>
      <w:r w:rsidR="00574BC4" w:rsidRPr="00BE1231">
        <w:tab/>
      </w:r>
      <w:r w:rsidR="00F3503A" w:rsidRPr="00BE1231">
        <w:t>Le Comité consultatif, à sa quatre</w:t>
      </w:r>
      <w:r w:rsidR="00C4117D">
        <w:t>-</w:t>
      </w:r>
      <w:r w:rsidR="00F3503A" w:rsidRPr="00BE1231">
        <w:t>vingt</w:t>
      </w:r>
      <w:r w:rsidR="00C4117D">
        <w:t>-</w:t>
      </w:r>
      <w:r w:rsidR="00F3503A" w:rsidRPr="00BE1231">
        <w:t>sixième</w:t>
      </w:r>
      <w:r w:rsidR="00E2212C">
        <w:t> </w:t>
      </w:r>
      <w:r w:rsidR="00F3503A" w:rsidRPr="00BE1231">
        <w:t>session tenue à Genève les 23 et 2</w:t>
      </w:r>
      <w:r w:rsidR="00AB76FD" w:rsidRPr="00BE1231">
        <w:t>4</w:t>
      </w:r>
      <w:r w:rsidR="00AB76FD">
        <w:t> </w:t>
      </w:r>
      <w:r w:rsidR="00AB76FD" w:rsidRPr="00BE1231">
        <w:t>octobre</w:t>
      </w:r>
      <w:r w:rsidR="00AB76FD">
        <w:t> </w:t>
      </w:r>
      <w:r w:rsidR="00AB76FD" w:rsidRPr="00BE1231">
        <w:t>20</w:t>
      </w:r>
      <w:r w:rsidR="00F3503A" w:rsidRPr="00BE1231">
        <w:t>13, a recommandé la création d</w:t>
      </w:r>
      <w:r w:rsidR="00C4117D">
        <w:t>’</w:t>
      </w:r>
      <w:r w:rsidR="00F3503A" w:rsidRPr="00BE1231">
        <w:t>un compte spécial de l</w:t>
      </w:r>
      <w:r w:rsidR="00C4117D">
        <w:t>’</w:t>
      </w:r>
      <w:r w:rsidR="00F3503A" w:rsidRPr="00BE1231">
        <w:t>UPOV qui serait utilisé pour financer des projets extrabudgétaires arrêtés par le Conseil, dans la situation où le montant du fonds de réserve dépasse 15</w:t>
      </w:r>
      <w:r w:rsidR="00E2212C">
        <w:t>%</w:t>
      </w:r>
      <w:r w:rsidR="00F3503A" w:rsidRPr="00BE1231">
        <w:t xml:space="preserve"> des recettes totales pour l</w:t>
      </w:r>
      <w:r w:rsidR="00C4117D">
        <w:t>’</w:t>
      </w:r>
      <w:r w:rsidR="00F3503A" w:rsidRPr="00BE1231">
        <w:t>exercice biennal 2012</w:t>
      </w:r>
      <w:r w:rsidR="00E276CB" w:rsidRPr="003961D4">
        <w:noBreakHyphen/>
      </w:r>
      <w:r w:rsidR="00F3503A" w:rsidRPr="00BE1231">
        <w:t>2013.  Il a été convenu que ce compte serait utilisé pour des projets susceptibles, notamment</w:t>
      </w:r>
      <w:r w:rsidR="00E2212C">
        <w:t> </w:t>
      </w:r>
      <w:r w:rsidR="00F3503A" w:rsidRPr="00BE1231">
        <w:t>:</w:t>
      </w:r>
    </w:p>
    <w:p w:rsidR="00574BC4" w:rsidRPr="00BE1231" w:rsidRDefault="00574BC4" w:rsidP="00574BC4">
      <w:pPr>
        <w:rPr>
          <w:rFonts w:cs="Arial"/>
        </w:rPr>
      </w:pPr>
    </w:p>
    <w:p w:rsidR="00AB76FD" w:rsidRDefault="00F3503A" w:rsidP="00F3503A">
      <w:pPr>
        <w:ind w:left="1134" w:hanging="567"/>
        <w:rPr>
          <w:rFonts w:cs="Arial"/>
        </w:rPr>
      </w:pPr>
      <w:r w:rsidRPr="00BE1231">
        <w:rPr>
          <w:rFonts w:cs="Arial"/>
        </w:rPr>
        <w:t>i)</w:t>
      </w:r>
      <w:r w:rsidRPr="00BE1231">
        <w:rPr>
          <w:rFonts w:cs="Arial"/>
        </w:rPr>
        <w:tab/>
        <w:t>de fournir un appui aux membres de l</w:t>
      </w:r>
      <w:r w:rsidR="00C4117D">
        <w:rPr>
          <w:rFonts w:cs="Arial"/>
        </w:rPr>
        <w:t>’</w:t>
      </w:r>
      <w:r w:rsidRPr="00BE1231">
        <w:rPr>
          <w:rFonts w:cs="Arial"/>
        </w:rPr>
        <w:t>Union, et en particulier aux nouveaux membres, dans la</w:t>
      </w:r>
      <w:r w:rsidR="001031E4">
        <w:rPr>
          <w:rFonts w:cs="Arial"/>
        </w:rPr>
        <w:t> </w:t>
      </w:r>
      <w:r w:rsidRPr="00BE1231">
        <w:rPr>
          <w:rFonts w:cs="Arial"/>
        </w:rPr>
        <w:t>mise en œuvre de leur système de protection des obtentions végétales;</w:t>
      </w:r>
    </w:p>
    <w:p w:rsidR="00AB76FD" w:rsidRDefault="00F3503A" w:rsidP="00F3503A">
      <w:pPr>
        <w:ind w:left="567"/>
        <w:rPr>
          <w:rFonts w:cs="Arial"/>
        </w:rPr>
      </w:pPr>
      <w:r w:rsidRPr="00BE1231">
        <w:rPr>
          <w:rFonts w:cs="Arial"/>
        </w:rPr>
        <w:t>ii)</w:t>
      </w:r>
      <w:r w:rsidRPr="00BE1231">
        <w:rPr>
          <w:rFonts w:cs="Arial"/>
        </w:rPr>
        <w:tab/>
        <w:t>de s</w:t>
      </w:r>
      <w:r w:rsidR="00C4117D">
        <w:rPr>
          <w:rFonts w:cs="Arial"/>
        </w:rPr>
        <w:t>’</w:t>
      </w:r>
      <w:r w:rsidRPr="00BE1231">
        <w:rPr>
          <w:rFonts w:cs="Arial"/>
        </w:rPr>
        <w:t>étendre sur plus d</w:t>
      </w:r>
      <w:r w:rsidR="00C4117D">
        <w:rPr>
          <w:rFonts w:cs="Arial"/>
        </w:rPr>
        <w:t>’</w:t>
      </w:r>
      <w:r w:rsidRPr="00BE1231">
        <w:rPr>
          <w:rFonts w:cs="Arial"/>
        </w:rPr>
        <w:t>un exercice biennal;</w:t>
      </w:r>
    </w:p>
    <w:p w:rsidR="00AB76FD" w:rsidRDefault="00F3503A" w:rsidP="00F3503A">
      <w:pPr>
        <w:ind w:left="567"/>
        <w:rPr>
          <w:rFonts w:cs="Arial"/>
        </w:rPr>
      </w:pPr>
      <w:r w:rsidRPr="00BE1231">
        <w:rPr>
          <w:rFonts w:cs="Arial"/>
        </w:rPr>
        <w:t>iii)</w:t>
      </w:r>
      <w:r w:rsidRPr="00BE1231">
        <w:rPr>
          <w:rFonts w:cs="Arial"/>
        </w:rPr>
        <w:tab/>
        <w:t>de procurer des bénéfices à long terme aux membres de l</w:t>
      </w:r>
      <w:r w:rsidR="00C4117D">
        <w:rPr>
          <w:rFonts w:cs="Arial"/>
        </w:rPr>
        <w:t>’</w:t>
      </w:r>
      <w:r w:rsidRPr="00BE1231">
        <w:rPr>
          <w:rFonts w:cs="Arial"/>
        </w:rPr>
        <w:t xml:space="preserve">Union; </w:t>
      </w:r>
      <w:r w:rsidR="00E2212C">
        <w:rPr>
          <w:rFonts w:cs="Arial"/>
        </w:rPr>
        <w:t xml:space="preserve"> </w:t>
      </w:r>
      <w:r w:rsidRPr="00BE1231">
        <w:rPr>
          <w:rFonts w:cs="Arial"/>
        </w:rPr>
        <w:t>et</w:t>
      </w:r>
    </w:p>
    <w:p w:rsidR="00574BC4" w:rsidRPr="00BE1231" w:rsidRDefault="00F3503A" w:rsidP="00E276CB">
      <w:pPr>
        <w:ind w:left="567"/>
        <w:rPr>
          <w:rFonts w:cs="Arial"/>
        </w:rPr>
      </w:pPr>
      <w:r w:rsidRPr="00BE1231">
        <w:rPr>
          <w:rFonts w:cs="Arial"/>
        </w:rPr>
        <w:t>iv)</w:t>
      </w:r>
      <w:r w:rsidRPr="00BE1231">
        <w:rPr>
          <w:rFonts w:cs="Arial"/>
        </w:rPr>
        <w:tab/>
        <w:t>de progresser plus rapidement grâce aux fonds extrabudgétaires.</w:t>
      </w:r>
    </w:p>
    <w:p w:rsidR="008907DC" w:rsidRDefault="008907DC" w:rsidP="00574BC4"/>
    <w:p w:rsidR="00F3503A" w:rsidRPr="00BE1231" w:rsidRDefault="00185757" w:rsidP="00574BC4">
      <w:r w:rsidRPr="00BE1231">
        <w:fldChar w:fldCharType="begin"/>
      </w:r>
      <w:r w:rsidR="00574BC4" w:rsidRPr="00BE1231">
        <w:instrText xml:space="preserve"> AUTONUM  </w:instrText>
      </w:r>
      <w:r w:rsidRPr="00BE1231">
        <w:fldChar w:fldCharType="end"/>
      </w:r>
      <w:r w:rsidR="00574BC4" w:rsidRPr="00BE1231">
        <w:tab/>
      </w:r>
      <w:r w:rsidR="00F3503A" w:rsidRPr="00BE1231">
        <w:t xml:space="preserve">Il a été également convenu que </w:t>
      </w:r>
      <w:r w:rsidR="008D5BCC" w:rsidRPr="00BE1231">
        <w:t>les projets destinés à être examinés dans le cadre d</w:t>
      </w:r>
      <w:r w:rsidR="00C4117D">
        <w:t>’</w:t>
      </w:r>
      <w:r w:rsidR="008D5BCC" w:rsidRPr="00BE1231">
        <w:t>un compte spécial de l</w:t>
      </w:r>
      <w:r w:rsidR="00C4117D">
        <w:t>’</w:t>
      </w:r>
      <w:r w:rsidR="008D5BCC" w:rsidRPr="00BE1231">
        <w:t>UPOV seraient soumis à l</w:t>
      </w:r>
      <w:r w:rsidR="00C4117D">
        <w:t>’</w:t>
      </w:r>
      <w:r w:rsidR="008D5BCC" w:rsidRPr="00BE1231">
        <w:t>examen du Comité consultatif avant d</w:t>
      </w:r>
      <w:r w:rsidR="00C4117D">
        <w:t>’</w:t>
      </w:r>
      <w:r w:rsidR="008D5BCC" w:rsidRPr="00BE1231">
        <w:t>être soumis au Conseil pour approbation.  À cet égard, le Conseil est convenu que le Comité consultatif aurait la possibilité de recommander des projets prenant en considération d</w:t>
      </w:r>
      <w:r w:rsidR="00C4117D">
        <w:t>’</w:t>
      </w:r>
      <w:r w:rsidR="008D5BCC" w:rsidRPr="00BE1231">
        <w:t>autres facteurs que ceux qui sont indiqués aux points i) et iv)</w:t>
      </w:r>
      <w:r w:rsidR="00E2212C">
        <w:t> </w:t>
      </w:r>
      <w:r w:rsidR="008D5BCC" w:rsidRPr="00BE1231">
        <w:t>ci</w:t>
      </w:r>
      <w:r w:rsidR="00C4117D">
        <w:t>-</w:t>
      </w:r>
      <w:r w:rsidR="008D5BCC" w:rsidRPr="00BE1231">
        <w:t>dessus.</w:t>
      </w:r>
    </w:p>
    <w:p w:rsidR="00574BC4" w:rsidRDefault="00574BC4" w:rsidP="00574BC4">
      <w:pPr>
        <w:rPr>
          <w:spacing w:val="-2"/>
        </w:rPr>
      </w:pPr>
    </w:p>
    <w:p w:rsidR="00E276CB" w:rsidRPr="00BE1231" w:rsidRDefault="00E276CB" w:rsidP="00574BC4">
      <w:pPr>
        <w:rPr>
          <w:spacing w:val="-2"/>
        </w:rPr>
      </w:pPr>
    </w:p>
    <w:p w:rsidR="00AB76FD" w:rsidRDefault="008D5BCC" w:rsidP="008907DC">
      <w:pPr>
        <w:pStyle w:val="Heading1"/>
      </w:pPr>
      <w:bookmarkStart w:id="18" w:name="_Toc381170132"/>
      <w:r w:rsidRPr="00BE1231">
        <w:t>présidence d</w:t>
      </w:r>
      <w:r w:rsidR="00C4117D">
        <w:t>’</w:t>
      </w:r>
      <w:r w:rsidRPr="00BE1231">
        <w:t>organes de l</w:t>
      </w:r>
      <w:r w:rsidR="00C4117D">
        <w:t>’</w:t>
      </w:r>
      <w:r w:rsidR="000536A6" w:rsidRPr="00BE1231">
        <w:t>UPOV</w:t>
      </w:r>
      <w:bookmarkEnd w:id="18"/>
    </w:p>
    <w:p w:rsidR="000536A6" w:rsidRPr="00BE1231" w:rsidRDefault="000536A6" w:rsidP="000536A6">
      <w:pPr>
        <w:keepNext/>
        <w:rPr>
          <w:rFonts w:cs="Arial"/>
        </w:rPr>
      </w:pPr>
    </w:p>
    <w:p w:rsidR="008D5BCC" w:rsidRPr="00BE1231" w:rsidRDefault="00185757" w:rsidP="000536A6">
      <w:pPr>
        <w:rPr>
          <w:rFonts w:cs="Arial"/>
        </w:rPr>
      </w:pPr>
      <w:r w:rsidRPr="00BE1231">
        <w:rPr>
          <w:rFonts w:cs="Arial"/>
        </w:rPr>
        <w:fldChar w:fldCharType="begin"/>
      </w:r>
      <w:r w:rsidR="000536A6" w:rsidRPr="00BE1231">
        <w:rPr>
          <w:rFonts w:cs="Arial"/>
        </w:rPr>
        <w:instrText xml:space="preserve"> AUTONUM  </w:instrText>
      </w:r>
      <w:r w:rsidRPr="00BE1231">
        <w:rPr>
          <w:rFonts w:cs="Arial"/>
        </w:rPr>
        <w:fldChar w:fldCharType="end"/>
      </w:r>
      <w:r w:rsidR="000536A6" w:rsidRPr="00BE1231">
        <w:rPr>
          <w:rFonts w:cs="Arial"/>
        </w:rPr>
        <w:tab/>
      </w:r>
      <w:r w:rsidR="008D5BCC" w:rsidRPr="00BE1231">
        <w:rPr>
          <w:rFonts w:cs="Arial"/>
        </w:rPr>
        <w:t>À sa quarante</w:t>
      </w:r>
      <w:r w:rsidR="00C4117D">
        <w:rPr>
          <w:rFonts w:cs="Arial"/>
        </w:rPr>
        <w:t>-</w:t>
      </w:r>
      <w:r w:rsidR="008D5BCC" w:rsidRPr="00BE1231">
        <w:rPr>
          <w:rFonts w:cs="Arial"/>
        </w:rPr>
        <w:t>septième</w:t>
      </w:r>
      <w:r w:rsidR="00E2212C">
        <w:rPr>
          <w:rFonts w:cs="Arial"/>
        </w:rPr>
        <w:t> </w:t>
      </w:r>
      <w:r w:rsidR="008D5BCC" w:rsidRPr="00BE1231">
        <w:rPr>
          <w:rFonts w:cs="Arial"/>
        </w:rPr>
        <w:t>session ordinaire tenue à Genève le 2</w:t>
      </w:r>
      <w:r w:rsidR="00AB76FD" w:rsidRPr="00BE1231">
        <w:rPr>
          <w:rFonts w:cs="Arial"/>
        </w:rPr>
        <w:t>4</w:t>
      </w:r>
      <w:r w:rsidR="00AB76FD">
        <w:rPr>
          <w:rFonts w:cs="Arial"/>
        </w:rPr>
        <w:t> </w:t>
      </w:r>
      <w:r w:rsidR="00AB76FD" w:rsidRPr="00BE1231">
        <w:rPr>
          <w:rFonts w:cs="Arial"/>
        </w:rPr>
        <w:t>octobre</w:t>
      </w:r>
      <w:r w:rsidR="00AB76FD">
        <w:rPr>
          <w:rFonts w:cs="Arial"/>
        </w:rPr>
        <w:t> </w:t>
      </w:r>
      <w:r w:rsidR="00AB76FD" w:rsidRPr="00BE1231">
        <w:rPr>
          <w:rFonts w:cs="Arial"/>
        </w:rPr>
        <w:t>20</w:t>
      </w:r>
      <w:r w:rsidR="008D5BCC" w:rsidRPr="00BE1231">
        <w:rPr>
          <w:rFonts w:cs="Arial"/>
        </w:rPr>
        <w:t>13, le Conseil a élu, dans chaque cas pour un mandat de trois ans prenant fin avec la cinquantième session ordinaire du Conseil, en 2016 (voir le paragraphe</w:t>
      </w:r>
      <w:r w:rsidR="00E2212C">
        <w:rPr>
          <w:rFonts w:cs="Arial"/>
        </w:rPr>
        <w:t> </w:t>
      </w:r>
      <w:r w:rsidR="008D5BCC" w:rsidRPr="00BE1231">
        <w:rPr>
          <w:rFonts w:cs="Arial"/>
        </w:rPr>
        <w:t xml:space="preserve">53 du document </w:t>
      </w:r>
      <w:r w:rsidR="008D5BCC" w:rsidRPr="00BE1231">
        <w:t xml:space="preserve">C/47/19 </w:t>
      </w:r>
      <w:r w:rsidR="00E2212C">
        <w:t>“</w:t>
      </w:r>
      <w:r w:rsidR="008D5BCC" w:rsidRPr="00BE1231">
        <w:t>Compte rendu des décisions</w:t>
      </w:r>
      <w:r w:rsidR="00E2212C">
        <w:t>”</w:t>
      </w:r>
      <w:r w:rsidR="008D5BCC" w:rsidRPr="00BE1231">
        <w:t>)</w:t>
      </w:r>
      <w:r w:rsidR="00E2212C">
        <w:t> :</w:t>
      </w:r>
    </w:p>
    <w:p w:rsidR="008D5BCC" w:rsidRPr="00BE1231" w:rsidRDefault="008D5BCC" w:rsidP="008D5BCC">
      <w:pPr>
        <w:rPr>
          <w:rFonts w:cs="Arial"/>
        </w:rPr>
      </w:pPr>
    </w:p>
    <w:p w:rsidR="008D5BCC" w:rsidRPr="00BE1231" w:rsidRDefault="008D5BCC" w:rsidP="008D5BCC">
      <w:pPr>
        <w:rPr>
          <w:rFonts w:cs="Arial"/>
        </w:rPr>
      </w:pPr>
      <w:r w:rsidRPr="00BE1231">
        <w:rPr>
          <w:rFonts w:cs="Arial"/>
        </w:rPr>
        <w:tab/>
        <w:t>a)</w:t>
      </w:r>
      <w:r w:rsidRPr="00BE1231">
        <w:rPr>
          <w:rFonts w:cs="Arial"/>
        </w:rPr>
        <w:tab/>
        <w:t>M. Martin </w:t>
      </w:r>
      <w:proofErr w:type="spellStart"/>
      <w:r w:rsidRPr="00BE1231">
        <w:rPr>
          <w:rFonts w:cs="Arial"/>
        </w:rPr>
        <w:t>Ekvad</w:t>
      </w:r>
      <w:proofErr w:type="spellEnd"/>
      <w:r w:rsidRPr="00BE1231">
        <w:rPr>
          <w:rFonts w:cs="Arial"/>
        </w:rPr>
        <w:t xml:space="preserve"> (Union européenne), président du Comité administratif et juridique;</w:t>
      </w:r>
    </w:p>
    <w:p w:rsidR="008D5BCC" w:rsidRPr="00BE1231" w:rsidRDefault="008D5BCC" w:rsidP="008D5BCC">
      <w:pPr>
        <w:rPr>
          <w:rFonts w:cs="Arial"/>
        </w:rPr>
      </w:pPr>
    </w:p>
    <w:p w:rsidR="008D5BCC" w:rsidRPr="00BE1231" w:rsidRDefault="008D5BCC" w:rsidP="008D5BCC">
      <w:pPr>
        <w:rPr>
          <w:rFonts w:cs="Arial"/>
        </w:rPr>
      </w:pPr>
      <w:r w:rsidRPr="00BE1231">
        <w:rPr>
          <w:rFonts w:cs="Arial"/>
        </w:rPr>
        <w:tab/>
        <w:t>b)</w:t>
      </w:r>
      <w:r w:rsidRPr="00BE1231">
        <w:rPr>
          <w:rFonts w:cs="Arial"/>
        </w:rPr>
        <w:tab/>
        <w:t>M. James</w:t>
      </w:r>
      <w:r w:rsidR="00E2212C">
        <w:rPr>
          <w:rFonts w:cs="Arial"/>
        </w:rPr>
        <w:t xml:space="preserve"> </w:t>
      </w:r>
      <w:r w:rsidRPr="00BE1231">
        <w:rPr>
          <w:rFonts w:cs="Arial"/>
        </w:rPr>
        <w:t>M. </w:t>
      </w:r>
      <w:proofErr w:type="spellStart"/>
      <w:r w:rsidRPr="00BE1231">
        <w:rPr>
          <w:rFonts w:cs="Arial"/>
        </w:rPr>
        <w:t>Onsando</w:t>
      </w:r>
      <w:proofErr w:type="spellEnd"/>
      <w:r w:rsidRPr="00BE1231">
        <w:rPr>
          <w:rFonts w:cs="Arial"/>
        </w:rPr>
        <w:t xml:space="preserve"> (Kenya), vice</w:t>
      </w:r>
      <w:r w:rsidR="00C4117D">
        <w:rPr>
          <w:rFonts w:cs="Arial"/>
        </w:rPr>
        <w:t>-</w:t>
      </w:r>
      <w:r w:rsidRPr="00BE1231">
        <w:rPr>
          <w:rFonts w:cs="Arial"/>
        </w:rPr>
        <w:t>président du Comité administratif et juridique;</w:t>
      </w:r>
    </w:p>
    <w:p w:rsidR="008D5BCC" w:rsidRPr="00BE1231" w:rsidRDefault="008D5BCC" w:rsidP="008D5BCC">
      <w:pPr>
        <w:rPr>
          <w:rFonts w:cs="Arial"/>
        </w:rPr>
      </w:pPr>
    </w:p>
    <w:p w:rsidR="008D5BCC" w:rsidRPr="00BE1231" w:rsidRDefault="008D5BCC" w:rsidP="008D5BCC">
      <w:pPr>
        <w:rPr>
          <w:rFonts w:cs="Arial"/>
        </w:rPr>
      </w:pPr>
      <w:r w:rsidRPr="00BE1231">
        <w:rPr>
          <w:rFonts w:cs="Arial"/>
        </w:rPr>
        <w:tab/>
        <w:t>c)</w:t>
      </w:r>
      <w:r w:rsidRPr="00BE1231">
        <w:rPr>
          <w:rFonts w:cs="Arial"/>
        </w:rPr>
        <w:tab/>
        <w:t>M. Alejandro </w:t>
      </w:r>
      <w:r w:rsidR="006767AA">
        <w:rPr>
          <w:rFonts w:cs="Arial"/>
        </w:rPr>
        <w:t xml:space="preserve">F. </w:t>
      </w:r>
      <w:proofErr w:type="spellStart"/>
      <w:r w:rsidRPr="00BE1231">
        <w:rPr>
          <w:rFonts w:cs="Arial"/>
        </w:rPr>
        <w:t>Barrientos</w:t>
      </w:r>
      <w:r w:rsidR="00C4117D">
        <w:rPr>
          <w:rFonts w:cs="Arial"/>
        </w:rPr>
        <w:t>-</w:t>
      </w:r>
      <w:r w:rsidRPr="00BE1231">
        <w:rPr>
          <w:rFonts w:cs="Arial"/>
        </w:rPr>
        <w:t>Priego</w:t>
      </w:r>
      <w:proofErr w:type="spellEnd"/>
      <w:r w:rsidRPr="00BE1231">
        <w:rPr>
          <w:rFonts w:cs="Arial"/>
        </w:rPr>
        <w:t xml:space="preserve"> (Mexique), président du Comité technique;  et</w:t>
      </w:r>
    </w:p>
    <w:p w:rsidR="008D5BCC" w:rsidRPr="00BE1231" w:rsidRDefault="008D5BCC" w:rsidP="008D5BCC">
      <w:pPr>
        <w:rPr>
          <w:rFonts w:cs="Arial"/>
        </w:rPr>
      </w:pPr>
    </w:p>
    <w:p w:rsidR="008D5BCC" w:rsidRPr="00BE1231" w:rsidRDefault="008D5BCC" w:rsidP="008D5BCC">
      <w:pPr>
        <w:rPr>
          <w:rFonts w:cs="Arial"/>
        </w:rPr>
      </w:pPr>
      <w:r w:rsidRPr="00BE1231">
        <w:rPr>
          <w:rFonts w:cs="Arial"/>
        </w:rPr>
        <w:tab/>
        <w:t>d)</w:t>
      </w:r>
      <w:r w:rsidRPr="00BE1231">
        <w:rPr>
          <w:rFonts w:cs="Arial"/>
        </w:rPr>
        <w:tab/>
        <w:t>M. </w:t>
      </w:r>
      <w:proofErr w:type="spellStart"/>
      <w:r w:rsidRPr="00BE1231">
        <w:rPr>
          <w:rFonts w:cs="Arial"/>
        </w:rPr>
        <w:t>Kees</w:t>
      </w:r>
      <w:proofErr w:type="spellEnd"/>
      <w:r w:rsidRPr="00BE1231">
        <w:rPr>
          <w:rFonts w:cs="Arial"/>
        </w:rPr>
        <w:t> van </w:t>
      </w:r>
      <w:proofErr w:type="spellStart"/>
      <w:r w:rsidRPr="00BE1231">
        <w:rPr>
          <w:rFonts w:cs="Arial"/>
        </w:rPr>
        <w:t>Ettekoven</w:t>
      </w:r>
      <w:proofErr w:type="spellEnd"/>
      <w:r w:rsidRPr="00BE1231">
        <w:rPr>
          <w:rFonts w:cs="Arial"/>
        </w:rPr>
        <w:t xml:space="preserve"> (Pays</w:t>
      </w:r>
      <w:r w:rsidR="00C4117D">
        <w:rPr>
          <w:rFonts w:cs="Arial"/>
        </w:rPr>
        <w:t>-</w:t>
      </w:r>
      <w:r w:rsidRPr="00BE1231">
        <w:rPr>
          <w:rFonts w:cs="Arial"/>
        </w:rPr>
        <w:t>Bas), vice</w:t>
      </w:r>
      <w:r w:rsidR="00C4117D">
        <w:rPr>
          <w:rFonts w:cs="Arial"/>
        </w:rPr>
        <w:t>-</w:t>
      </w:r>
      <w:r w:rsidRPr="00BE1231">
        <w:rPr>
          <w:rFonts w:cs="Arial"/>
        </w:rPr>
        <w:t>président du Comité technique.</w:t>
      </w:r>
    </w:p>
    <w:p w:rsidR="000536A6" w:rsidRPr="00BE1231" w:rsidRDefault="000536A6" w:rsidP="000536A6"/>
    <w:p w:rsidR="000536A6" w:rsidRPr="00BE1231" w:rsidRDefault="000536A6" w:rsidP="00807F07"/>
    <w:p w:rsidR="00AB76FD" w:rsidRDefault="00B91C1B" w:rsidP="008907DC">
      <w:pPr>
        <w:pStyle w:val="Heading1"/>
      </w:pPr>
      <w:bookmarkStart w:id="19" w:name="_Toc381170133"/>
      <w:r w:rsidRPr="00BE1231">
        <w:t xml:space="preserve">Collection </w:t>
      </w:r>
      <w:r w:rsidR="007930E0" w:rsidRPr="00BE1231">
        <w:t>UPOV</w:t>
      </w:r>
      <w:bookmarkEnd w:id="19"/>
    </w:p>
    <w:p w:rsidR="007930E0" w:rsidRPr="00BE1231" w:rsidRDefault="007930E0" w:rsidP="008907DC">
      <w:pPr>
        <w:pStyle w:val="Heading1"/>
      </w:pPr>
    </w:p>
    <w:p w:rsidR="00AB76FD" w:rsidRDefault="00185757" w:rsidP="007930E0">
      <w:r w:rsidRPr="00BE1231">
        <w:fldChar w:fldCharType="begin"/>
      </w:r>
      <w:r w:rsidR="001C553C" w:rsidRPr="00BE1231">
        <w:instrText xml:space="preserve"> AUTONUM  </w:instrText>
      </w:r>
      <w:r w:rsidRPr="00BE1231">
        <w:fldChar w:fldCharType="end"/>
      </w:r>
      <w:r w:rsidR="001C553C" w:rsidRPr="00BE1231">
        <w:tab/>
      </w:r>
      <w:r w:rsidR="008D5BCC" w:rsidRPr="00BE1231">
        <w:t>Les</w:t>
      </w:r>
      <w:r w:rsidR="007930E0" w:rsidRPr="00BE1231">
        <w:t xml:space="preserve"> documents </w:t>
      </w:r>
      <w:r w:rsidR="008D5BCC" w:rsidRPr="00BE1231">
        <w:t>suivants de la Collection</w:t>
      </w:r>
      <w:r w:rsidR="007930E0" w:rsidRPr="00BE1231">
        <w:t xml:space="preserve"> UPOV </w:t>
      </w:r>
      <w:r w:rsidR="008D5BCC" w:rsidRPr="00BE1231">
        <w:t>ont été adoptés depuis la quarante</w:t>
      </w:r>
      <w:r w:rsidR="00E276CB" w:rsidRPr="003961D4">
        <w:noBreakHyphen/>
      </w:r>
      <w:r w:rsidR="008D5BCC" w:rsidRPr="00BE1231">
        <w:t>neuvième</w:t>
      </w:r>
      <w:r w:rsidR="00E2212C">
        <w:t> </w:t>
      </w:r>
      <w:r w:rsidR="008D5BCC" w:rsidRPr="00BE1231">
        <w:t>session du Comité technique, tenue à Genève du 18 au 2</w:t>
      </w:r>
      <w:r w:rsidR="00AB76FD" w:rsidRPr="00BE1231">
        <w:t>0</w:t>
      </w:r>
      <w:r w:rsidR="00AB76FD">
        <w:t> </w:t>
      </w:r>
      <w:r w:rsidR="00AB76FD" w:rsidRPr="00BE1231">
        <w:t>mars</w:t>
      </w:r>
      <w:r w:rsidR="00AB76FD">
        <w:t> </w:t>
      </w:r>
      <w:r w:rsidR="00AB76FD" w:rsidRPr="00BE1231">
        <w:t>20</w:t>
      </w:r>
      <w:r w:rsidR="007930E0" w:rsidRPr="00BE1231">
        <w:t>13</w:t>
      </w:r>
      <w:r w:rsidR="00E2212C">
        <w:t> </w:t>
      </w:r>
      <w:r w:rsidR="007930E0" w:rsidRPr="00BE1231">
        <w:t>:</w:t>
      </w:r>
    </w:p>
    <w:p w:rsidR="007930E0" w:rsidRPr="00BE1231" w:rsidRDefault="007930E0" w:rsidP="007930E0"/>
    <w:p w:rsidR="00CA449D" w:rsidRPr="00BE1231" w:rsidRDefault="00E42930" w:rsidP="006A4A4E">
      <w:pPr>
        <w:pStyle w:val="Heading2"/>
        <w:rPr>
          <w:lang w:val="fr-FR"/>
        </w:rPr>
      </w:pPr>
      <w:bookmarkStart w:id="20" w:name="_Toc381170134"/>
      <w:r>
        <w:rPr>
          <w:lang w:val="fr-FR"/>
        </w:rPr>
        <w:t>Nouveaux documents a</w:t>
      </w:r>
      <w:r w:rsidR="00CA449D" w:rsidRPr="00BE1231">
        <w:rPr>
          <w:lang w:val="fr-FR"/>
        </w:rPr>
        <w:t>dopt</w:t>
      </w:r>
      <w:r>
        <w:rPr>
          <w:lang w:val="fr-FR"/>
        </w:rPr>
        <w:t>é</w:t>
      </w:r>
      <w:r w:rsidR="00CA449D" w:rsidRPr="00BE1231">
        <w:rPr>
          <w:lang w:val="fr-FR"/>
        </w:rPr>
        <w:t>s</w:t>
      </w:r>
      <w:bookmarkEnd w:id="20"/>
    </w:p>
    <w:p w:rsidR="00CA449D" w:rsidRPr="00BE1231" w:rsidRDefault="00CA449D" w:rsidP="007930E0"/>
    <w:p w:rsidR="00AB76FD" w:rsidRDefault="00942BB3" w:rsidP="00CA449D">
      <w:pPr>
        <w:pStyle w:val="Heading3"/>
      </w:pPr>
      <w:bookmarkStart w:id="21" w:name="_Toc381170135"/>
      <w:r w:rsidRPr="00BE1231">
        <w:t xml:space="preserve">Série de documents </w:t>
      </w:r>
      <w:r w:rsidR="007C6459" w:rsidRPr="00BE1231">
        <w:t>UPOV/INF</w:t>
      </w:r>
      <w:bookmarkEnd w:id="21"/>
    </w:p>
    <w:p w:rsidR="007C6459" w:rsidRPr="00BE1231" w:rsidRDefault="007C6459" w:rsidP="007C6459">
      <w:pPr>
        <w:rPr>
          <w:snapToGrid w:val="0"/>
          <w:szCs w:val="24"/>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43"/>
        <w:gridCol w:w="993"/>
        <w:gridCol w:w="4961"/>
        <w:gridCol w:w="1843"/>
      </w:tblGrid>
      <w:tr w:rsidR="007C6459" w:rsidRPr="00BE1231" w:rsidTr="00492E71">
        <w:trPr>
          <w:cantSplit/>
          <w:tblHeader/>
        </w:trPr>
        <w:tc>
          <w:tcPr>
            <w:tcW w:w="1843" w:type="dxa"/>
            <w:shd w:val="pct10" w:color="auto" w:fill="auto"/>
          </w:tcPr>
          <w:p w:rsidR="007C6459" w:rsidRPr="00BE1231" w:rsidRDefault="00942BB3" w:rsidP="00942BB3">
            <w:pPr>
              <w:spacing w:before="60" w:after="60"/>
              <w:jc w:val="left"/>
              <w:rPr>
                <w:b/>
                <w:sz w:val="22"/>
                <w:szCs w:val="22"/>
              </w:rPr>
            </w:pPr>
            <w:r w:rsidRPr="00BE1231">
              <w:rPr>
                <w:b/>
                <w:szCs w:val="22"/>
              </w:rPr>
              <w:t xml:space="preserve">Cote du </w:t>
            </w:r>
            <w:r w:rsidRPr="00BE1231">
              <w:rPr>
                <w:b/>
                <w:szCs w:val="22"/>
              </w:rPr>
              <w:br/>
              <w:t>d</w:t>
            </w:r>
            <w:r w:rsidR="007C6459" w:rsidRPr="00BE1231">
              <w:rPr>
                <w:b/>
                <w:szCs w:val="22"/>
              </w:rPr>
              <w:t xml:space="preserve">ocument </w:t>
            </w:r>
          </w:p>
        </w:tc>
        <w:tc>
          <w:tcPr>
            <w:tcW w:w="993" w:type="dxa"/>
            <w:shd w:val="pct10" w:color="auto" w:fill="auto"/>
          </w:tcPr>
          <w:p w:rsidR="007C6459" w:rsidRPr="00BE1231" w:rsidRDefault="00942BB3" w:rsidP="00942BB3">
            <w:pPr>
              <w:spacing w:before="60" w:after="60"/>
              <w:jc w:val="left"/>
              <w:rPr>
                <w:b/>
                <w:sz w:val="22"/>
                <w:szCs w:val="22"/>
              </w:rPr>
            </w:pPr>
            <w:r w:rsidRPr="00BE1231">
              <w:rPr>
                <w:b/>
              </w:rPr>
              <w:t>Nº de version</w:t>
            </w:r>
          </w:p>
        </w:tc>
        <w:tc>
          <w:tcPr>
            <w:tcW w:w="4961" w:type="dxa"/>
            <w:shd w:val="pct10" w:color="auto" w:fill="auto"/>
          </w:tcPr>
          <w:p w:rsidR="007C6459" w:rsidRPr="00BE1231" w:rsidRDefault="00942BB3" w:rsidP="00942BB3">
            <w:pPr>
              <w:spacing w:before="60" w:after="60"/>
              <w:jc w:val="left"/>
              <w:rPr>
                <w:b/>
                <w:sz w:val="22"/>
                <w:szCs w:val="22"/>
              </w:rPr>
            </w:pPr>
            <w:r w:rsidRPr="00BE1231">
              <w:rPr>
                <w:b/>
                <w:szCs w:val="22"/>
              </w:rPr>
              <w:t>Titr</w:t>
            </w:r>
            <w:r w:rsidR="007C6459" w:rsidRPr="00BE1231">
              <w:rPr>
                <w:b/>
                <w:szCs w:val="22"/>
              </w:rPr>
              <w:t>e</w:t>
            </w:r>
          </w:p>
        </w:tc>
        <w:tc>
          <w:tcPr>
            <w:tcW w:w="1843" w:type="dxa"/>
            <w:shd w:val="pct10" w:color="auto" w:fill="auto"/>
          </w:tcPr>
          <w:p w:rsidR="007C6459" w:rsidRPr="00BE1231" w:rsidRDefault="00942BB3" w:rsidP="001031E4">
            <w:pPr>
              <w:spacing w:before="60" w:after="60"/>
              <w:jc w:val="left"/>
              <w:rPr>
                <w:b/>
                <w:szCs w:val="22"/>
              </w:rPr>
            </w:pPr>
            <w:r w:rsidRPr="00BE1231">
              <w:rPr>
                <w:b/>
                <w:szCs w:val="22"/>
              </w:rPr>
              <w:t>Date de la</w:t>
            </w:r>
            <w:r w:rsidR="001031E4">
              <w:rPr>
                <w:b/>
                <w:szCs w:val="22"/>
              </w:rPr>
              <w:t> </w:t>
            </w:r>
            <w:r w:rsidRPr="00BE1231">
              <w:rPr>
                <w:b/>
                <w:szCs w:val="22"/>
              </w:rPr>
              <w:t>version</w:t>
            </w:r>
          </w:p>
        </w:tc>
      </w:tr>
      <w:tr w:rsidR="007C6459" w:rsidRPr="00BE1231" w:rsidTr="00492E71">
        <w:trPr>
          <w:cantSplit/>
        </w:trPr>
        <w:tc>
          <w:tcPr>
            <w:tcW w:w="1843" w:type="dxa"/>
          </w:tcPr>
          <w:p w:rsidR="007C6459" w:rsidRPr="00BE1231" w:rsidRDefault="007C6459" w:rsidP="00B252EB">
            <w:pPr>
              <w:spacing w:before="40" w:after="40"/>
              <w:rPr>
                <w:sz w:val="22"/>
                <w:szCs w:val="22"/>
              </w:rPr>
            </w:pPr>
            <w:r w:rsidRPr="00BE1231">
              <w:rPr>
                <w:szCs w:val="22"/>
              </w:rPr>
              <w:t>UPOV/INF</w:t>
            </w:r>
            <w:r w:rsidR="00C4117D">
              <w:rPr>
                <w:szCs w:val="22"/>
              </w:rPr>
              <w:t>-</w:t>
            </w:r>
            <w:r w:rsidRPr="00BE1231">
              <w:rPr>
                <w:szCs w:val="22"/>
              </w:rPr>
              <w:t>EXN</w:t>
            </w:r>
          </w:p>
        </w:tc>
        <w:tc>
          <w:tcPr>
            <w:tcW w:w="993" w:type="dxa"/>
          </w:tcPr>
          <w:p w:rsidR="007C6459" w:rsidRPr="00BE1231" w:rsidRDefault="007C6459" w:rsidP="00B252EB">
            <w:pPr>
              <w:spacing w:before="40" w:after="40"/>
              <w:rPr>
                <w:sz w:val="22"/>
                <w:szCs w:val="22"/>
              </w:rPr>
            </w:pPr>
            <w:r w:rsidRPr="00BE1231">
              <w:rPr>
                <w:szCs w:val="22"/>
              </w:rPr>
              <w:t>/5</w:t>
            </w:r>
          </w:p>
        </w:tc>
        <w:tc>
          <w:tcPr>
            <w:tcW w:w="4961" w:type="dxa"/>
          </w:tcPr>
          <w:p w:rsidR="007C6459" w:rsidRPr="00BE1231" w:rsidRDefault="007C6459" w:rsidP="00B91C1B">
            <w:pPr>
              <w:autoSpaceDE w:val="0"/>
              <w:autoSpaceDN w:val="0"/>
              <w:adjustRightInd w:val="0"/>
              <w:jc w:val="left"/>
              <w:rPr>
                <w:sz w:val="22"/>
                <w:szCs w:val="22"/>
              </w:rPr>
            </w:pPr>
            <w:r w:rsidRPr="00BE1231">
              <w:rPr>
                <w:szCs w:val="22"/>
              </w:rPr>
              <w:t>List</w:t>
            </w:r>
            <w:r w:rsidR="00B91C1B" w:rsidRPr="00BE1231">
              <w:rPr>
                <w:szCs w:val="22"/>
              </w:rPr>
              <w:t>e des documents</w:t>
            </w:r>
            <w:r w:rsidRPr="00BE1231">
              <w:rPr>
                <w:szCs w:val="22"/>
              </w:rPr>
              <w:t xml:space="preserve"> UPOV/INF</w:t>
            </w:r>
            <w:r w:rsidR="00C4117D">
              <w:rPr>
                <w:szCs w:val="22"/>
              </w:rPr>
              <w:t>-</w:t>
            </w:r>
            <w:r w:rsidRPr="00BE1231">
              <w:rPr>
                <w:szCs w:val="22"/>
              </w:rPr>
              <w:t xml:space="preserve">EXN </w:t>
            </w:r>
            <w:r w:rsidR="00B91C1B" w:rsidRPr="00BE1231">
              <w:rPr>
                <w:szCs w:val="22"/>
              </w:rPr>
              <w:t>et date de la version la plus récente de ces d</w:t>
            </w:r>
            <w:r w:rsidRPr="00BE1231">
              <w:rPr>
                <w:szCs w:val="22"/>
              </w:rPr>
              <w:t xml:space="preserve">ocuments </w:t>
            </w:r>
          </w:p>
        </w:tc>
        <w:tc>
          <w:tcPr>
            <w:tcW w:w="1843" w:type="dxa"/>
          </w:tcPr>
          <w:p w:rsidR="007C6459" w:rsidRPr="00BE1231" w:rsidRDefault="00B91C1B" w:rsidP="00B252EB">
            <w:pPr>
              <w:spacing w:before="40" w:after="40"/>
              <w:jc w:val="left"/>
              <w:rPr>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7C6459" w:rsidRPr="00BE1231">
              <w:rPr>
                <w:szCs w:val="22"/>
              </w:rPr>
              <w:t>13</w:t>
            </w:r>
          </w:p>
        </w:tc>
      </w:tr>
      <w:tr w:rsidR="007C6459" w:rsidRPr="00BE1231" w:rsidTr="00492E71">
        <w:trPr>
          <w:cantSplit/>
        </w:trPr>
        <w:tc>
          <w:tcPr>
            <w:tcW w:w="1843" w:type="dxa"/>
          </w:tcPr>
          <w:p w:rsidR="007C6459" w:rsidRPr="00BE1231" w:rsidRDefault="007C6459" w:rsidP="00B252EB">
            <w:pPr>
              <w:spacing w:before="40" w:after="40"/>
              <w:rPr>
                <w:sz w:val="22"/>
                <w:szCs w:val="22"/>
              </w:rPr>
            </w:pPr>
            <w:r w:rsidRPr="00BE1231">
              <w:rPr>
                <w:szCs w:val="22"/>
              </w:rPr>
              <w:t>UPOV/INF/4</w:t>
            </w:r>
          </w:p>
        </w:tc>
        <w:tc>
          <w:tcPr>
            <w:tcW w:w="993" w:type="dxa"/>
          </w:tcPr>
          <w:p w:rsidR="007C6459" w:rsidRPr="00BE1231" w:rsidRDefault="007C6459" w:rsidP="00B252EB">
            <w:pPr>
              <w:spacing w:before="40" w:after="40"/>
              <w:rPr>
                <w:sz w:val="22"/>
                <w:szCs w:val="22"/>
              </w:rPr>
            </w:pPr>
            <w:r w:rsidRPr="00BE1231">
              <w:rPr>
                <w:szCs w:val="22"/>
              </w:rPr>
              <w:t>/3</w:t>
            </w:r>
          </w:p>
        </w:tc>
        <w:tc>
          <w:tcPr>
            <w:tcW w:w="4961" w:type="dxa"/>
          </w:tcPr>
          <w:p w:rsidR="007C6459" w:rsidRPr="00BE1231" w:rsidRDefault="00942BB3" w:rsidP="00942BB3">
            <w:pPr>
              <w:autoSpaceDE w:val="0"/>
              <w:autoSpaceDN w:val="0"/>
              <w:adjustRightInd w:val="0"/>
              <w:jc w:val="left"/>
              <w:rPr>
                <w:sz w:val="22"/>
                <w:szCs w:val="22"/>
              </w:rPr>
            </w:pPr>
            <w:r w:rsidRPr="00BE1231">
              <w:rPr>
                <w:rFonts w:cs="Arial"/>
              </w:rPr>
              <w:t>Règlement financier et règlement d</w:t>
            </w:r>
            <w:r w:rsidR="00C4117D">
              <w:rPr>
                <w:rFonts w:cs="Arial"/>
              </w:rPr>
              <w:t>’</w:t>
            </w:r>
            <w:r w:rsidRPr="00BE1231">
              <w:rPr>
                <w:rFonts w:cs="Arial"/>
              </w:rPr>
              <w:t>exécution du règlement financier de l</w:t>
            </w:r>
            <w:r w:rsidR="00C4117D">
              <w:rPr>
                <w:rFonts w:cs="Arial"/>
              </w:rPr>
              <w:t>’</w:t>
            </w:r>
            <w:r w:rsidRPr="00BE1231">
              <w:rPr>
                <w:rFonts w:cs="Arial"/>
              </w:rPr>
              <w:t xml:space="preserve">UPOV </w:t>
            </w:r>
          </w:p>
        </w:tc>
        <w:tc>
          <w:tcPr>
            <w:tcW w:w="1843" w:type="dxa"/>
          </w:tcPr>
          <w:p w:rsidR="007C6459" w:rsidRPr="00BE1231" w:rsidRDefault="00B91C1B" w:rsidP="00B252EB">
            <w:pPr>
              <w:spacing w:before="40" w:after="40"/>
              <w:jc w:val="left"/>
              <w:rPr>
                <w:szCs w:val="22"/>
              </w:rPr>
            </w:pPr>
            <w:r w:rsidRPr="00BE1231">
              <w:rPr>
                <w:szCs w:val="22"/>
              </w:rPr>
              <w:t>2</w:t>
            </w:r>
            <w:r w:rsidR="00AB76FD" w:rsidRPr="00BE1231">
              <w:rPr>
                <w:szCs w:val="22"/>
              </w:rPr>
              <w:t>2</w:t>
            </w:r>
            <w:r w:rsidR="00AB76FD">
              <w:rPr>
                <w:szCs w:val="22"/>
              </w:rPr>
              <w:t> </w:t>
            </w:r>
            <w:r w:rsidR="00AB76FD" w:rsidRPr="00BE1231">
              <w:rPr>
                <w:szCs w:val="22"/>
              </w:rPr>
              <w:t>mars</w:t>
            </w:r>
            <w:r w:rsidR="00AB76FD">
              <w:rPr>
                <w:szCs w:val="22"/>
              </w:rPr>
              <w:t> </w:t>
            </w:r>
            <w:r w:rsidR="00AB76FD" w:rsidRPr="00BE1231">
              <w:rPr>
                <w:szCs w:val="22"/>
              </w:rPr>
              <w:t>20</w:t>
            </w:r>
            <w:r w:rsidR="007C6459" w:rsidRPr="00BE1231">
              <w:rPr>
                <w:szCs w:val="22"/>
              </w:rPr>
              <w:t>13</w:t>
            </w:r>
          </w:p>
        </w:tc>
      </w:tr>
      <w:tr w:rsidR="007C6459" w:rsidRPr="00BE1231" w:rsidTr="00492E71">
        <w:trPr>
          <w:cantSplit/>
        </w:trPr>
        <w:tc>
          <w:tcPr>
            <w:tcW w:w="1843" w:type="dxa"/>
          </w:tcPr>
          <w:p w:rsidR="007C6459" w:rsidRPr="00BE1231" w:rsidRDefault="007C6459" w:rsidP="00B252EB">
            <w:pPr>
              <w:spacing w:before="40" w:after="40"/>
              <w:rPr>
                <w:sz w:val="22"/>
                <w:szCs w:val="22"/>
              </w:rPr>
            </w:pPr>
            <w:r w:rsidRPr="00BE1231">
              <w:rPr>
                <w:szCs w:val="22"/>
              </w:rPr>
              <w:t>UPOV/INF/6</w:t>
            </w:r>
          </w:p>
        </w:tc>
        <w:tc>
          <w:tcPr>
            <w:tcW w:w="993" w:type="dxa"/>
          </w:tcPr>
          <w:p w:rsidR="007C6459" w:rsidRPr="00BE1231" w:rsidRDefault="007C6459" w:rsidP="00B252EB">
            <w:pPr>
              <w:spacing w:before="40" w:after="40"/>
              <w:rPr>
                <w:sz w:val="22"/>
                <w:szCs w:val="22"/>
              </w:rPr>
            </w:pPr>
            <w:r w:rsidRPr="00BE1231">
              <w:rPr>
                <w:szCs w:val="22"/>
              </w:rPr>
              <w:t>/3</w:t>
            </w:r>
          </w:p>
        </w:tc>
        <w:tc>
          <w:tcPr>
            <w:tcW w:w="4961" w:type="dxa"/>
          </w:tcPr>
          <w:p w:rsidR="007C6459" w:rsidRPr="00BE1231" w:rsidRDefault="00942BB3" w:rsidP="00B252EB">
            <w:pPr>
              <w:spacing w:before="40" w:after="40"/>
              <w:jc w:val="left"/>
              <w:rPr>
                <w:sz w:val="22"/>
                <w:szCs w:val="22"/>
              </w:rPr>
            </w:pPr>
            <w:r w:rsidRPr="00BE1231">
              <w:rPr>
                <w:color w:val="000000"/>
                <w:szCs w:val="23"/>
              </w:rPr>
              <w:t>Orientations en vue de la rédaction de lois fondées sur l</w:t>
            </w:r>
            <w:r w:rsidR="00C4117D">
              <w:rPr>
                <w:color w:val="000000"/>
                <w:szCs w:val="23"/>
              </w:rPr>
              <w:t>’</w:t>
            </w:r>
            <w:r w:rsidRPr="00BE1231">
              <w:rPr>
                <w:color w:val="000000"/>
                <w:szCs w:val="23"/>
              </w:rPr>
              <w:t>Acte de</w:t>
            </w:r>
            <w:r w:rsidR="00E2212C">
              <w:rPr>
                <w:color w:val="000000"/>
                <w:szCs w:val="23"/>
              </w:rPr>
              <w:t> </w:t>
            </w:r>
            <w:r w:rsidRPr="00BE1231">
              <w:rPr>
                <w:color w:val="000000"/>
                <w:szCs w:val="23"/>
              </w:rPr>
              <w:t xml:space="preserve">1991 de la </w:t>
            </w:r>
            <w:r w:rsidR="00C4117D">
              <w:rPr>
                <w:color w:val="000000"/>
                <w:szCs w:val="23"/>
              </w:rPr>
              <w:t>Convention UPOV</w:t>
            </w:r>
          </w:p>
        </w:tc>
        <w:tc>
          <w:tcPr>
            <w:tcW w:w="1843" w:type="dxa"/>
          </w:tcPr>
          <w:p w:rsidR="007C6459" w:rsidRPr="00BE1231" w:rsidRDefault="00B91C1B" w:rsidP="00B91C1B">
            <w:pPr>
              <w:spacing w:before="40" w:after="40"/>
              <w:jc w:val="left"/>
              <w:rPr>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7C6459" w:rsidRPr="00BE1231">
              <w:rPr>
                <w:szCs w:val="22"/>
              </w:rPr>
              <w:t>13</w:t>
            </w:r>
          </w:p>
        </w:tc>
      </w:tr>
      <w:tr w:rsidR="007C6459" w:rsidRPr="00BE1231" w:rsidTr="00492E71">
        <w:trPr>
          <w:cantSplit/>
        </w:trPr>
        <w:tc>
          <w:tcPr>
            <w:tcW w:w="1843" w:type="dxa"/>
          </w:tcPr>
          <w:p w:rsidR="007C6459" w:rsidRPr="00BE1231" w:rsidRDefault="007C6459" w:rsidP="00B252EB">
            <w:pPr>
              <w:spacing w:before="40" w:after="40"/>
              <w:rPr>
                <w:sz w:val="22"/>
                <w:szCs w:val="22"/>
              </w:rPr>
            </w:pPr>
            <w:r w:rsidRPr="00BE1231">
              <w:rPr>
                <w:szCs w:val="22"/>
              </w:rPr>
              <w:t>UPOV/INF/15</w:t>
            </w:r>
          </w:p>
        </w:tc>
        <w:tc>
          <w:tcPr>
            <w:tcW w:w="993" w:type="dxa"/>
          </w:tcPr>
          <w:p w:rsidR="007C6459" w:rsidRPr="00BE1231" w:rsidRDefault="007C6459" w:rsidP="00B252EB">
            <w:pPr>
              <w:spacing w:before="40" w:after="40"/>
              <w:rPr>
                <w:sz w:val="22"/>
                <w:szCs w:val="22"/>
              </w:rPr>
            </w:pPr>
            <w:r w:rsidRPr="00BE1231">
              <w:rPr>
                <w:szCs w:val="22"/>
              </w:rPr>
              <w:t>/2</w:t>
            </w:r>
          </w:p>
        </w:tc>
        <w:tc>
          <w:tcPr>
            <w:tcW w:w="4961" w:type="dxa"/>
          </w:tcPr>
          <w:p w:rsidR="007C6459" w:rsidRPr="00BE1231" w:rsidRDefault="00942BB3" w:rsidP="00942BB3">
            <w:pPr>
              <w:autoSpaceDE w:val="0"/>
              <w:autoSpaceDN w:val="0"/>
              <w:adjustRightInd w:val="0"/>
              <w:jc w:val="left"/>
              <w:rPr>
                <w:sz w:val="22"/>
                <w:szCs w:val="22"/>
              </w:rPr>
            </w:pPr>
            <w:r w:rsidRPr="00BE1231">
              <w:rPr>
                <w:rFonts w:cs="Arial"/>
              </w:rPr>
              <w:t>Document d</w:t>
            </w:r>
            <w:r w:rsidR="00C4117D">
              <w:rPr>
                <w:rFonts w:cs="Arial"/>
              </w:rPr>
              <w:t>’</w:t>
            </w:r>
            <w:r w:rsidRPr="00BE1231">
              <w:rPr>
                <w:rFonts w:cs="Arial"/>
              </w:rPr>
              <w:t>orientation destiné aux membres de l</w:t>
            </w:r>
            <w:r w:rsidR="00C4117D">
              <w:rPr>
                <w:rFonts w:cs="Arial"/>
              </w:rPr>
              <w:t>’</w:t>
            </w:r>
            <w:r w:rsidRPr="00BE1231">
              <w:rPr>
                <w:rFonts w:cs="Arial"/>
              </w:rPr>
              <w:t xml:space="preserve">UPOV concernant les obligations en cours et les notifications connexes ainsi que la </w:t>
            </w:r>
            <w:r w:rsidRPr="00BE1231">
              <w:t>fourniture d</w:t>
            </w:r>
            <w:r w:rsidR="00C4117D">
              <w:t>’</w:t>
            </w:r>
            <w:r w:rsidRPr="00BE1231">
              <w:t>informations pour faciliter la coopération</w:t>
            </w:r>
          </w:p>
        </w:tc>
        <w:tc>
          <w:tcPr>
            <w:tcW w:w="1843" w:type="dxa"/>
          </w:tcPr>
          <w:p w:rsidR="007C6459" w:rsidRPr="00BE1231" w:rsidRDefault="00B91C1B" w:rsidP="00B252EB">
            <w:pPr>
              <w:spacing w:before="40" w:after="40"/>
              <w:jc w:val="left"/>
              <w:rPr>
                <w:szCs w:val="22"/>
              </w:rPr>
            </w:pPr>
            <w:r w:rsidRPr="00BE1231">
              <w:rPr>
                <w:szCs w:val="22"/>
              </w:rPr>
              <w:t>2</w:t>
            </w:r>
            <w:r w:rsidR="00AB76FD" w:rsidRPr="00BE1231">
              <w:rPr>
                <w:szCs w:val="22"/>
              </w:rPr>
              <w:t>2</w:t>
            </w:r>
            <w:r w:rsidR="00AB76FD">
              <w:rPr>
                <w:szCs w:val="22"/>
              </w:rPr>
              <w:t> </w:t>
            </w:r>
            <w:r w:rsidR="00AB76FD" w:rsidRPr="00BE1231">
              <w:rPr>
                <w:szCs w:val="22"/>
              </w:rPr>
              <w:t>mars</w:t>
            </w:r>
            <w:r w:rsidR="00AB76FD">
              <w:rPr>
                <w:szCs w:val="22"/>
              </w:rPr>
              <w:t> </w:t>
            </w:r>
            <w:r w:rsidR="00AB76FD" w:rsidRPr="00BE1231">
              <w:rPr>
                <w:szCs w:val="22"/>
              </w:rPr>
              <w:t>20</w:t>
            </w:r>
            <w:r w:rsidR="007C6459" w:rsidRPr="00BE1231">
              <w:rPr>
                <w:szCs w:val="22"/>
              </w:rPr>
              <w:t>13</w:t>
            </w:r>
          </w:p>
        </w:tc>
      </w:tr>
      <w:tr w:rsidR="007C6459" w:rsidRPr="00BE1231" w:rsidTr="00492E71">
        <w:trPr>
          <w:cantSplit/>
        </w:trPr>
        <w:tc>
          <w:tcPr>
            <w:tcW w:w="1843" w:type="dxa"/>
          </w:tcPr>
          <w:p w:rsidR="007C6459" w:rsidRPr="00BE1231" w:rsidRDefault="007C6459" w:rsidP="00B252EB">
            <w:pPr>
              <w:spacing w:before="40" w:after="40"/>
              <w:rPr>
                <w:sz w:val="22"/>
                <w:szCs w:val="22"/>
              </w:rPr>
            </w:pPr>
            <w:r w:rsidRPr="00BE1231">
              <w:rPr>
                <w:szCs w:val="22"/>
              </w:rPr>
              <w:t>UPOV/INF/16</w:t>
            </w:r>
          </w:p>
        </w:tc>
        <w:tc>
          <w:tcPr>
            <w:tcW w:w="993" w:type="dxa"/>
          </w:tcPr>
          <w:p w:rsidR="007C6459" w:rsidRPr="00BE1231" w:rsidRDefault="007C6459" w:rsidP="00B252EB">
            <w:pPr>
              <w:spacing w:before="40" w:after="40"/>
              <w:rPr>
                <w:sz w:val="22"/>
                <w:szCs w:val="22"/>
              </w:rPr>
            </w:pPr>
            <w:r w:rsidRPr="00BE1231">
              <w:rPr>
                <w:szCs w:val="22"/>
              </w:rPr>
              <w:t>/3</w:t>
            </w:r>
          </w:p>
        </w:tc>
        <w:tc>
          <w:tcPr>
            <w:tcW w:w="4961" w:type="dxa"/>
          </w:tcPr>
          <w:p w:rsidR="007C6459" w:rsidRPr="00BE1231" w:rsidRDefault="00942BB3" w:rsidP="00B252EB">
            <w:pPr>
              <w:spacing w:before="40" w:after="40"/>
              <w:jc w:val="left"/>
              <w:rPr>
                <w:sz w:val="22"/>
                <w:szCs w:val="22"/>
              </w:rPr>
            </w:pPr>
            <w:r w:rsidRPr="00BE1231">
              <w:rPr>
                <w:szCs w:val="22"/>
              </w:rPr>
              <w:t>Logiciels échangeables</w:t>
            </w:r>
          </w:p>
        </w:tc>
        <w:tc>
          <w:tcPr>
            <w:tcW w:w="1843" w:type="dxa"/>
          </w:tcPr>
          <w:p w:rsidR="007C6459" w:rsidRPr="00BE1231" w:rsidRDefault="00B91C1B" w:rsidP="00B252EB">
            <w:pPr>
              <w:spacing w:before="40" w:after="40"/>
              <w:jc w:val="left"/>
              <w:rPr>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7C6459" w:rsidRPr="00BE1231">
              <w:rPr>
                <w:szCs w:val="22"/>
              </w:rPr>
              <w:t>13</w:t>
            </w:r>
          </w:p>
        </w:tc>
      </w:tr>
    </w:tbl>
    <w:p w:rsidR="007C6459" w:rsidRPr="00BE1231" w:rsidRDefault="007C6459" w:rsidP="007C6459">
      <w:pPr>
        <w:rPr>
          <w:snapToGrid w:val="0"/>
        </w:rPr>
      </w:pPr>
    </w:p>
    <w:p w:rsidR="008907DC" w:rsidRDefault="008907DC">
      <w:pPr>
        <w:jc w:val="left"/>
        <w:rPr>
          <w:i/>
          <w:snapToGrid w:val="0"/>
        </w:rPr>
      </w:pPr>
      <w:r>
        <w:br w:type="page"/>
      </w:r>
    </w:p>
    <w:p w:rsidR="007C6459" w:rsidRPr="00BE1231" w:rsidRDefault="00942BB3" w:rsidP="00CA449D">
      <w:pPr>
        <w:pStyle w:val="Heading3"/>
      </w:pPr>
      <w:bookmarkStart w:id="22" w:name="_Toc381170136"/>
      <w:r w:rsidRPr="00BE1231">
        <w:t xml:space="preserve">Notes explicatives sur la </w:t>
      </w:r>
      <w:r w:rsidR="00C4117D">
        <w:t>Convention UPOV</w:t>
      </w:r>
      <w:bookmarkEnd w:id="22"/>
    </w:p>
    <w:p w:rsidR="007C6459" w:rsidRPr="00BE1231" w:rsidRDefault="007C6459" w:rsidP="007C6459">
      <w:pPr>
        <w:keepNext/>
        <w:rPr>
          <w:snapToGrid w:val="0"/>
          <w:szCs w:val="24"/>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843"/>
        <w:gridCol w:w="992"/>
        <w:gridCol w:w="4962"/>
        <w:gridCol w:w="1843"/>
      </w:tblGrid>
      <w:tr w:rsidR="00942BB3" w:rsidRPr="00BE1231" w:rsidTr="00492E71">
        <w:tc>
          <w:tcPr>
            <w:tcW w:w="1843" w:type="dxa"/>
            <w:shd w:val="pct10" w:color="auto" w:fill="auto"/>
          </w:tcPr>
          <w:p w:rsidR="00942BB3" w:rsidRPr="00BE1231" w:rsidRDefault="00942BB3" w:rsidP="0075564D">
            <w:pPr>
              <w:spacing w:before="60" w:after="60"/>
              <w:jc w:val="left"/>
              <w:rPr>
                <w:b/>
                <w:sz w:val="22"/>
                <w:szCs w:val="22"/>
              </w:rPr>
            </w:pPr>
            <w:r w:rsidRPr="00BE1231">
              <w:rPr>
                <w:b/>
                <w:szCs w:val="22"/>
              </w:rPr>
              <w:t xml:space="preserve">Cote du </w:t>
            </w:r>
            <w:r w:rsidRPr="00BE1231">
              <w:rPr>
                <w:b/>
                <w:szCs w:val="22"/>
              </w:rPr>
              <w:br/>
              <w:t xml:space="preserve">document </w:t>
            </w:r>
          </w:p>
        </w:tc>
        <w:tc>
          <w:tcPr>
            <w:tcW w:w="992" w:type="dxa"/>
            <w:shd w:val="pct10" w:color="auto" w:fill="auto"/>
          </w:tcPr>
          <w:p w:rsidR="00942BB3" w:rsidRPr="00BE1231" w:rsidRDefault="00942BB3" w:rsidP="0075564D">
            <w:pPr>
              <w:spacing w:before="60" w:after="60"/>
              <w:jc w:val="left"/>
              <w:rPr>
                <w:b/>
                <w:sz w:val="22"/>
                <w:szCs w:val="22"/>
              </w:rPr>
            </w:pPr>
            <w:r w:rsidRPr="00BE1231">
              <w:rPr>
                <w:b/>
              </w:rPr>
              <w:t>Nº de version</w:t>
            </w:r>
          </w:p>
        </w:tc>
        <w:tc>
          <w:tcPr>
            <w:tcW w:w="4962" w:type="dxa"/>
            <w:shd w:val="pct10" w:color="auto" w:fill="auto"/>
          </w:tcPr>
          <w:p w:rsidR="00942BB3" w:rsidRPr="00BE1231" w:rsidRDefault="00942BB3" w:rsidP="0075564D">
            <w:pPr>
              <w:spacing w:before="60" w:after="60"/>
              <w:jc w:val="left"/>
              <w:rPr>
                <w:b/>
                <w:sz w:val="22"/>
                <w:szCs w:val="22"/>
              </w:rPr>
            </w:pPr>
            <w:r w:rsidRPr="00BE1231">
              <w:rPr>
                <w:b/>
                <w:szCs w:val="22"/>
              </w:rPr>
              <w:t>Titre</w:t>
            </w:r>
          </w:p>
        </w:tc>
        <w:tc>
          <w:tcPr>
            <w:tcW w:w="1843" w:type="dxa"/>
            <w:shd w:val="pct10" w:color="auto" w:fill="auto"/>
          </w:tcPr>
          <w:p w:rsidR="00942BB3" w:rsidRPr="00BE1231" w:rsidRDefault="00942BB3" w:rsidP="001031E4">
            <w:pPr>
              <w:spacing w:before="60" w:after="60"/>
              <w:jc w:val="left"/>
              <w:rPr>
                <w:b/>
                <w:szCs w:val="22"/>
              </w:rPr>
            </w:pPr>
            <w:r w:rsidRPr="00BE1231">
              <w:rPr>
                <w:b/>
                <w:szCs w:val="22"/>
              </w:rPr>
              <w:t>Date de la</w:t>
            </w:r>
            <w:r w:rsidR="001031E4">
              <w:rPr>
                <w:b/>
                <w:szCs w:val="22"/>
              </w:rPr>
              <w:t> </w:t>
            </w:r>
            <w:r w:rsidRPr="00BE1231">
              <w:rPr>
                <w:b/>
                <w:szCs w:val="22"/>
              </w:rPr>
              <w:t>version</w:t>
            </w:r>
          </w:p>
        </w:tc>
      </w:tr>
      <w:tr w:rsidR="00B252EB" w:rsidRPr="00BE1231" w:rsidTr="00492E71">
        <w:trPr>
          <w:cantSplit/>
        </w:trPr>
        <w:tc>
          <w:tcPr>
            <w:tcW w:w="1843" w:type="dxa"/>
          </w:tcPr>
          <w:p w:rsidR="00B252EB" w:rsidRPr="00BE1231" w:rsidRDefault="00B252EB" w:rsidP="00C75FF4">
            <w:pPr>
              <w:spacing w:before="40" w:after="40"/>
              <w:rPr>
                <w:sz w:val="22"/>
                <w:szCs w:val="22"/>
              </w:rPr>
            </w:pPr>
            <w:r w:rsidRPr="00BE1231">
              <w:rPr>
                <w:szCs w:val="22"/>
              </w:rPr>
              <w:t>UPOV/EXN/BRD</w:t>
            </w:r>
          </w:p>
        </w:tc>
        <w:tc>
          <w:tcPr>
            <w:tcW w:w="992" w:type="dxa"/>
          </w:tcPr>
          <w:p w:rsidR="00B252EB" w:rsidRPr="00BE1231" w:rsidRDefault="00B252EB" w:rsidP="00C75FF4">
            <w:pPr>
              <w:spacing w:before="40" w:after="40"/>
              <w:rPr>
                <w:sz w:val="22"/>
                <w:szCs w:val="22"/>
              </w:rPr>
            </w:pPr>
            <w:r w:rsidRPr="00BE1231">
              <w:rPr>
                <w:szCs w:val="22"/>
              </w:rPr>
              <w:t>/1</w:t>
            </w:r>
          </w:p>
        </w:tc>
        <w:tc>
          <w:tcPr>
            <w:tcW w:w="4962" w:type="dxa"/>
          </w:tcPr>
          <w:p w:rsidR="00B252EB" w:rsidRPr="00BE1231" w:rsidRDefault="008D5BCC" w:rsidP="008D5BCC">
            <w:pPr>
              <w:spacing w:before="40" w:after="40"/>
              <w:jc w:val="left"/>
              <w:rPr>
                <w:sz w:val="22"/>
                <w:szCs w:val="22"/>
              </w:rPr>
            </w:pPr>
            <w:r w:rsidRPr="00BE1231">
              <w:rPr>
                <w:szCs w:val="22"/>
              </w:rPr>
              <w:t>Notes explicatives sur la définition de l</w:t>
            </w:r>
            <w:r w:rsidR="00C4117D">
              <w:rPr>
                <w:szCs w:val="22"/>
              </w:rPr>
              <w:t>’</w:t>
            </w:r>
            <w:r w:rsidRPr="00BE1231">
              <w:rPr>
                <w:szCs w:val="22"/>
              </w:rPr>
              <w:t>obtenteur selon l</w:t>
            </w:r>
            <w:r w:rsidR="00C4117D">
              <w:rPr>
                <w:szCs w:val="22"/>
              </w:rPr>
              <w:t>’</w:t>
            </w:r>
            <w:r w:rsidRPr="00BE1231">
              <w:rPr>
                <w:szCs w:val="22"/>
              </w:rPr>
              <w:t>Acte de</w:t>
            </w:r>
            <w:r w:rsidR="00E2212C">
              <w:rPr>
                <w:szCs w:val="22"/>
              </w:rPr>
              <w:t> </w:t>
            </w:r>
            <w:r w:rsidRPr="00BE1231">
              <w:rPr>
                <w:szCs w:val="22"/>
              </w:rPr>
              <w:t xml:space="preserve">1991 de la </w:t>
            </w:r>
            <w:r w:rsidR="00C4117D">
              <w:rPr>
                <w:szCs w:val="22"/>
              </w:rPr>
              <w:t>Convention UPOV</w:t>
            </w:r>
            <w:r w:rsidRPr="00BE1231">
              <w:rPr>
                <w:szCs w:val="22"/>
              </w:rPr>
              <w:t xml:space="preserve"> </w:t>
            </w:r>
          </w:p>
        </w:tc>
        <w:tc>
          <w:tcPr>
            <w:tcW w:w="1843" w:type="dxa"/>
          </w:tcPr>
          <w:p w:rsidR="00B252EB" w:rsidRPr="00BE1231" w:rsidRDefault="00B91C1B" w:rsidP="00C75FF4">
            <w:pPr>
              <w:spacing w:before="40" w:after="40"/>
              <w:jc w:val="left"/>
              <w:rPr>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B252EB" w:rsidRPr="00BE1231">
              <w:rPr>
                <w:szCs w:val="22"/>
              </w:rPr>
              <w:t>13</w:t>
            </w:r>
          </w:p>
        </w:tc>
      </w:tr>
      <w:tr w:rsidR="00B252EB" w:rsidRPr="00BE1231" w:rsidTr="00492E71">
        <w:trPr>
          <w:cantSplit/>
        </w:trPr>
        <w:tc>
          <w:tcPr>
            <w:tcW w:w="1843" w:type="dxa"/>
          </w:tcPr>
          <w:p w:rsidR="00B252EB" w:rsidRPr="00BE1231" w:rsidRDefault="00B252EB" w:rsidP="00C75FF4">
            <w:pPr>
              <w:spacing w:before="40" w:after="40"/>
              <w:rPr>
                <w:color w:val="000000"/>
                <w:szCs w:val="22"/>
              </w:rPr>
            </w:pPr>
            <w:r w:rsidRPr="00BE1231">
              <w:rPr>
                <w:color w:val="000000"/>
                <w:szCs w:val="22"/>
              </w:rPr>
              <w:t>UPOV/EXN/HRV</w:t>
            </w:r>
          </w:p>
        </w:tc>
        <w:tc>
          <w:tcPr>
            <w:tcW w:w="992" w:type="dxa"/>
          </w:tcPr>
          <w:p w:rsidR="00B252EB" w:rsidRPr="00BE1231" w:rsidRDefault="00B252EB" w:rsidP="00C75FF4">
            <w:pPr>
              <w:spacing w:before="40" w:after="40"/>
              <w:rPr>
                <w:szCs w:val="22"/>
              </w:rPr>
            </w:pPr>
            <w:r w:rsidRPr="00BE1231">
              <w:rPr>
                <w:szCs w:val="22"/>
              </w:rPr>
              <w:t>/1</w:t>
            </w:r>
          </w:p>
        </w:tc>
        <w:tc>
          <w:tcPr>
            <w:tcW w:w="4962" w:type="dxa"/>
          </w:tcPr>
          <w:p w:rsidR="00B252EB" w:rsidRPr="00BE1231" w:rsidRDefault="008D5BCC" w:rsidP="008D5BCC">
            <w:pPr>
              <w:spacing w:before="40" w:after="40"/>
              <w:jc w:val="left"/>
              <w:rPr>
                <w:color w:val="000000"/>
                <w:szCs w:val="22"/>
              </w:rPr>
            </w:pPr>
            <w:r w:rsidRPr="00BE1231">
              <w:rPr>
                <w:szCs w:val="22"/>
              </w:rPr>
              <w:t>Notes explicatives sur les actes à</w:t>
            </w:r>
            <w:r w:rsidR="00E2212C">
              <w:rPr>
                <w:szCs w:val="22"/>
              </w:rPr>
              <w:t> </w:t>
            </w:r>
            <w:r w:rsidRPr="00BE1231">
              <w:rPr>
                <w:szCs w:val="22"/>
              </w:rPr>
              <w:t>l</w:t>
            </w:r>
            <w:r w:rsidR="00C4117D">
              <w:rPr>
                <w:szCs w:val="22"/>
              </w:rPr>
              <w:t>’</w:t>
            </w:r>
            <w:r w:rsidRPr="00BE1231">
              <w:rPr>
                <w:szCs w:val="22"/>
              </w:rPr>
              <w:t>égard du produit de la récolte selon l</w:t>
            </w:r>
            <w:r w:rsidR="00C4117D">
              <w:rPr>
                <w:szCs w:val="22"/>
              </w:rPr>
              <w:t>’</w:t>
            </w:r>
            <w:r w:rsidRPr="00BE1231">
              <w:rPr>
                <w:szCs w:val="22"/>
              </w:rPr>
              <w:t>Acte de</w:t>
            </w:r>
            <w:r w:rsidR="00E2212C">
              <w:rPr>
                <w:szCs w:val="22"/>
              </w:rPr>
              <w:t> </w:t>
            </w:r>
            <w:r w:rsidRPr="00BE1231">
              <w:rPr>
                <w:szCs w:val="22"/>
              </w:rPr>
              <w:t xml:space="preserve">1991 de la </w:t>
            </w:r>
            <w:r w:rsidR="00C4117D">
              <w:rPr>
                <w:szCs w:val="22"/>
              </w:rPr>
              <w:t>Convention UPOV</w:t>
            </w:r>
          </w:p>
        </w:tc>
        <w:tc>
          <w:tcPr>
            <w:tcW w:w="1843" w:type="dxa"/>
          </w:tcPr>
          <w:p w:rsidR="00B252EB" w:rsidRPr="00BE1231" w:rsidRDefault="00B91C1B" w:rsidP="00C75FF4">
            <w:pPr>
              <w:spacing w:before="40" w:after="40"/>
              <w:rPr>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B252EB" w:rsidRPr="00BE1231">
              <w:rPr>
                <w:szCs w:val="22"/>
              </w:rPr>
              <w:t>13</w:t>
            </w:r>
          </w:p>
        </w:tc>
      </w:tr>
    </w:tbl>
    <w:p w:rsidR="007C6459" w:rsidRPr="00BE1231" w:rsidRDefault="007C6459" w:rsidP="007C6459">
      <w:pPr>
        <w:rPr>
          <w:snapToGrid w:val="0"/>
          <w:szCs w:val="24"/>
        </w:rPr>
      </w:pPr>
    </w:p>
    <w:p w:rsidR="007C6459" w:rsidRPr="00BE1231" w:rsidRDefault="00942BB3" w:rsidP="00CA449D">
      <w:pPr>
        <w:pStyle w:val="Heading3"/>
      </w:pPr>
      <w:bookmarkStart w:id="23" w:name="_Toc381170137"/>
      <w:r w:rsidRPr="00BE1231">
        <w:t>D</w:t>
      </w:r>
      <w:r w:rsidR="007C6459" w:rsidRPr="00BE1231">
        <w:t>ocuments</w:t>
      </w:r>
      <w:r w:rsidRPr="00BE1231">
        <w:t xml:space="preserve"> TGP</w:t>
      </w:r>
      <w:bookmarkEnd w:id="23"/>
    </w:p>
    <w:p w:rsidR="007C6459" w:rsidRPr="00BE1231" w:rsidRDefault="007C6459" w:rsidP="007C6459">
      <w:pPr>
        <w:keepNext/>
        <w:ind w:left="567" w:hanging="567"/>
        <w:rPr>
          <w:snapToGrid w:val="0"/>
          <w:szCs w:val="24"/>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01"/>
        <w:gridCol w:w="1135"/>
        <w:gridCol w:w="4961"/>
        <w:gridCol w:w="1843"/>
      </w:tblGrid>
      <w:tr w:rsidR="00942BB3" w:rsidRPr="00BE1231" w:rsidTr="00942BB3">
        <w:trPr>
          <w:cantSplit/>
          <w:tblHeader/>
        </w:trPr>
        <w:tc>
          <w:tcPr>
            <w:tcW w:w="1701" w:type="dxa"/>
            <w:shd w:val="pct5" w:color="auto" w:fill="FFFFFF"/>
          </w:tcPr>
          <w:p w:rsidR="00942BB3" w:rsidRPr="00BE1231" w:rsidRDefault="00942BB3" w:rsidP="0075564D">
            <w:pPr>
              <w:spacing w:before="60" w:after="60"/>
              <w:jc w:val="left"/>
              <w:rPr>
                <w:b/>
                <w:sz w:val="22"/>
                <w:szCs w:val="22"/>
              </w:rPr>
            </w:pPr>
            <w:r w:rsidRPr="00BE1231">
              <w:rPr>
                <w:b/>
                <w:szCs w:val="22"/>
              </w:rPr>
              <w:t xml:space="preserve">Cote du </w:t>
            </w:r>
            <w:r w:rsidRPr="00BE1231">
              <w:rPr>
                <w:b/>
                <w:szCs w:val="22"/>
              </w:rPr>
              <w:br/>
              <w:t xml:space="preserve">document </w:t>
            </w:r>
          </w:p>
        </w:tc>
        <w:tc>
          <w:tcPr>
            <w:tcW w:w="1135" w:type="dxa"/>
            <w:shd w:val="pct5" w:color="auto" w:fill="FFFFFF"/>
          </w:tcPr>
          <w:p w:rsidR="00942BB3" w:rsidRPr="00BE1231" w:rsidRDefault="00942BB3" w:rsidP="0075564D">
            <w:pPr>
              <w:spacing w:before="60" w:after="60"/>
              <w:jc w:val="left"/>
              <w:rPr>
                <w:b/>
                <w:sz w:val="22"/>
                <w:szCs w:val="22"/>
              </w:rPr>
            </w:pPr>
            <w:r w:rsidRPr="00BE1231">
              <w:rPr>
                <w:b/>
              </w:rPr>
              <w:t>Nº de version</w:t>
            </w:r>
          </w:p>
        </w:tc>
        <w:tc>
          <w:tcPr>
            <w:tcW w:w="4961" w:type="dxa"/>
            <w:shd w:val="pct5" w:color="auto" w:fill="FFFFFF"/>
          </w:tcPr>
          <w:p w:rsidR="00942BB3" w:rsidRPr="00BE1231" w:rsidRDefault="00942BB3" w:rsidP="0075564D">
            <w:pPr>
              <w:spacing w:before="60" w:after="60"/>
              <w:jc w:val="left"/>
              <w:rPr>
                <w:b/>
                <w:sz w:val="22"/>
                <w:szCs w:val="22"/>
              </w:rPr>
            </w:pPr>
            <w:r w:rsidRPr="00BE1231">
              <w:rPr>
                <w:b/>
                <w:szCs w:val="22"/>
              </w:rPr>
              <w:t>Titre</w:t>
            </w:r>
          </w:p>
        </w:tc>
        <w:tc>
          <w:tcPr>
            <w:tcW w:w="1843" w:type="dxa"/>
            <w:shd w:val="pct5" w:color="auto" w:fill="FFFFFF"/>
          </w:tcPr>
          <w:p w:rsidR="00942BB3" w:rsidRPr="00BE1231" w:rsidRDefault="00942BB3" w:rsidP="001031E4">
            <w:pPr>
              <w:spacing w:before="60" w:after="60"/>
              <w:jc w:val="left"/>
              <w:rPr>
                <w:b/>
                <w:szCs w:val="22"/>
              </w:rPr>
            </w:pPr>
            <w:r w:rsidRPr="00BE1231">
              <w:rPr>
                <w:b/>
                <w:szCs w:val="22"/>
              </w:rPr>
              <w:t>Date de la</w:t>
            </w:r>
            <w:r w:rsidR="001031E4">
              <w:rPr>
                <w:b/>
                <w:szCs w:val="22"/>
              </w:rPr>
              <w:t> </w:t>
            </w:r>
            <w:r w:rsidRPr="00BE1231">
              <w:rPr>
                <w:b/>
                <w:szCs w:val="22"/>
              </w:rPr>
              <w:t>version</w:t>
            </w:r>
          </w:p>
        </w:tc>
      </w:tr>
      <w:tr w:rsidR="007C6459" w:rsidRPr="00BE1231" w:rsidTr="00942BB3">
        <w:trPr>
          <w:cantSplit/>
        </w:trPr>
        <w:tc>
          <w:tcPr>
            <w:tcW w:w="1701" w:type="dxa"/>
          </w:tcPr>
          <w:p w:rsidR="007C6459" w:rsidRPr="00BE1231" w:rsidRDefault="007C6459" w:rsidP="00B252EB">
            <w:pPr>
              <w:spacing w:before="40" w:after="40"/>
              <w:rPr>
                <w:rFonts w:cs="Arial"/>
              </w:rPr>
            </w:pPr>
            <w:r w:rsidRPr="00BE1231">
              <w:rPr>
                <w:rFonts w:cs="Arial"/>
              </w:rPr>
              <w:t>TGP/0</w:t>
            </w:r>
          </w:p>
        </w:tc>
        <w:tc>
          <w:tcPr>
            <w:tcW w:w="1135" w:type="dxa"/>
          </w:tcPr>
          <w:p w:rsidR="007C6459" w:rsidRPr="00BE1231" w:rsidRDefault="007C6459" w:rsidP="00B252EB">
            <w:pPr>
              <w:spacing w:before="40" w:after="40"/>
              <w:rPr>
                <w:rFonts w:cs="Arial"/>
              </w:rPr>
            </w:pPr>
            <w:r w:rsidRPr="00BE1231">
              <w:rPr>
                <w:rFonts w:cs="Arial"/>
              </w:rPr>
              <w:t>/6</w:t>
            </w:r>
          </w:p>
        </w:tc>
        <w:tc>
          <w:tcPr>
            <w:tcW w:w="4961" w:type="dxa"/>
          </w:tcPr>
          <w:p w:rsidR="007C6459" w:rsidRPr="00BE1231" w:rsidRDefault="00A5473F" w:rsidP="00B252EB">
            <w:pPr>
              <w:spacing w:before="40" w:after="40"/>
              <w:jc w:val="left"/>
              <w:rPr>
                <w:rFonts w:cs="Arial"/>
              </w:rPr>
            </w:pPr>
            <w:r w:rsidRPr="00BE1231">
              <w:t>Liste des documents TGP et date de la version la plus récente de ces documents</w:t>
            </w:r>
          </w:p>
        </w:tc>
        <w:tc>
          <w:tcPr>
            <w:tcW w:w="1843" w:type="dxa"/>
          </w:tcPr>
          <w:p w:rsidR="007C6459" w:rsidRPr="00BE1231" w:rsidRDefault="00B91C1B" w:rsidP="00B252EB">
            <w:pPr>
              <w:spacing w:before="40" w:after="40"/>
              <w:jc w:val="left"/>
              <w:rPr>
                <w:rFonts w:cs="Arial"/>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rFonts w:cs="Arial"/>
              </w:rPr>
              <w:t>20</w:t>
            </w:r>
            <w:r w:rsidR="007C6459" w:rsidRPr="00BE1231">
              <w:rPr>
                <w:rFonts w:cs="Arial"/>
              </w:rPr>
              <w:t>13</w:t>
            </w:r>
          </w:p>
        </w:tc>
      </w:tr>
      <w:tr w:rsidR="007C6459" w:rsidRPr="00BE1231" w:rsidTr="00942BB3">
        <w:trPr>
          <w:cantSplit/>
          <w:trHeight w:val="173"/>
        </w:trPr>
        <w:tc>
          <w:tcPr>
            <w:tcW w:w="1701" w:type="dxa"/>
            <w:vMerge w:val="restart"/>
          </w:tcPr>
          <w:p w:rsidR="007C6459" w:rsidRPr="00BE1231" w:rsidRDefault="007C6459" w:rsidP="00B252EB">
            <w:pPr>
              <w:spacing w:before="40" w:after="40"/>
              <w:rPr>
                <w:sz w:val="22"/>
                <w:szCs w:val="22"/>
              </w:rPr>
            </w:pPr>
            <w:r w:rsidRPr="00BE1231">
              <w:rPr>
                <w:szCs w:val="22"/>
              </w:rPr>
              <w:t>TGP/14</w:t>
            </w:r>
          </w:p>
        </w:tc>
        <w:tc>
          <w:tcPr>
            <w:tcW w:w="1135" w:type="dxa"/>
            <w:vMerge w:val="restart"/>
          </w:tcPr>
          <w:p w:rsidR="007C6459" w:rsidRPr="00BE1231" w:rsidRDefault="007C6459" w:rsidP="00B252EB">
            <w:pPr>
              <w:spacing w:before="40" w:after="40"/>
              <w:rPr>
                <w:sz w:val="22"/>
                <w:szCs w:val="22"/>
              </w:rPr>
            </w:pPr>
            <w:r w:rsidRPr="00BE1231">
              <w:rPr>
                <w:szCs w:val="22"/>
              </w:rPr>
              <w:t>/2</w:t>
            </w:r>
          </w:p>
        </w:tc>
        <w:tc>
          <w:tcPr>
            <w:tcW w:w="4961" w:type="dxa"/>
          </w:tcPr>
          <w:p w:rsidR="007C6459" w:rsidRPr="00BE1231" w:rsidRDefault="00A5473F" w:rsidP="00B252EB">
            <w:pPr>
              <w:spacing w:before="40" w:after="40"/>
              <w:jc w:val="left"/>
              <w:rPr>
                <w:sz w:val="22"/>
                <w:szCs w:val="22"/>
              </w:rPr>
            </w:pPr>
            <w:r w:rsidRPr="00BE1231">
              <w:t>Glossaire de termes utilisés dans les documents de l</w:t>
            </w:r>
            <w:r w:rsidR="00C4117D">
              <w:t>’</w:t>
            </w:r>
            <w:r w:rsidRPr="00BE1231">
              <w:t>UPOV</w:t>
            </w:r>
          </w:p>
        </w:tc>
        <w:tc>
          <w:tcPr>
            <w:tcW w:w="1843" w:type="dxa"/>
            <w:vMerge w:val="restart"/>
          </w:tcPr>
          <w:p w:rsidR="007C6459" w:rsidRPr="00BE1231" w:rsidRDefault="00B91C1B" w:rsidP="00B252EB">
            <w:pPr>
              <w:spacing w:before="40" w:after="40"/>
              <w:rPr>
                <w:sz w:val="22"/>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7C6459" w:rsidRPr="00BE1231">
              <w:rPr>
                <w:szCs w:val="22"/>
              </w:rPr>
              <w:t>13</w:t>
            </w:r>
          </w:p>
        </w:tc>
      </w:tr>
      <w:tr w:rsidR="007C6459" w:rsidRPr="00BE1231" w:rsidTr="00942BB3">
        <w:trPr>
          <w:cantSplit/>
          <w:trHeight w:val="172"/>
        </w:trPr>
        <w:tc>
          <w:tcPr>
            <w:tcW w:w="1701" w:type="dxa"/>
            <w:vMerge/>
          </w:tcPr>
          <w:p w:rsidR="007C6459" w:rsidRPr="00BE1231" w:rsidRDefault="007C6459" w:rsidP="00B252EB">
            <w:pPr>
              <w:spacing w:before="40" w:after="40"/>
              <w:rPr>
                <w:szCs w:val="22"/>
              </w:rPr>
            </w:pPr>
          </w:p>
        </w:tc>
        <w:tc>
          <w:tcPr>
            <w:tcW w:w="1135" w:type="dxa"/>
            <w:vMerge/>
          </w:tcPr>
          <w:p w:rsidR="007C6459" w:rsidRPr="00BE1231" w:rsidRDefault="007C6459" w:rsidP="00B252EB">
            <w:pPr>
              <w:spacing w:before="40" w:after="40"/>
              <w:rPr>
                <w:szCs w:val="22"/>
              </w:rPr>
            </w:pPr>
          </w:p>
        </w:tc>
        <w:tc>
          <w:tcPr>
            <w:tcW w:w="4961" w:type="dxa"/>
          </w:tcPr>
          <w:p w:rsidR="007C6459" w:rsidRPr="00BE1231" w:rsidRDefault="00A5473F" w:rsidP="00B252EB">
            <w:pPr>
              <w:spacing w:before="40" w:after="40"/>
              <w:jc w:val="left"/>
            </w:pPr>
            <w:r w:rsidRPr="00BE1231">
              <w:t xml:space="preserve">Supplément au document TGP/14 </w:t>
            </w:r>
            <w:r w:rsidR="00E2212C">
              <w:t>“</w:t>
            </w:r>
            <w:r w:rsidRPr="00BE1231">
              <w:t>Glossaire de termes utilisés dans les documents UPOV</w:t>
            </w:r>
            <w:r w:rsidR="00E2212C">
              <w:t>”</w:t>
            </w:r>
          </w:p>
        </w:tc>
        <w:tc>
          <w:tcPr>
            <w:tcW w:w="1843" w:type="dxa"/>
            <w:vMerge/>
          </w:tcPr>
          <w:p w:rsidR="007C6459" w:rsidRPr="00BE1231" w:rsidRDefault="007C6459" w:rsidP="00B252EB">
            <w:pPr>
              <w:spacing w:before="40" w:after="40"/>
              <w:rPr>
                <w:szCs w:val="22"/>
              </w:rPr>
            </w:pPr>
          </w:p>
        </w:tc>
      </w:tr>
      <w:tr w:rsidR="007C6459" w:rsidRPr="00BE1231" w:rsidTr="00942BB3">
        <w:trPr>
          <w:cantSplit/>
        </w:trPr>
        <w:tc>
          <w:tcPr>
            <w:tcW w:w="1701" w:type="dxa"/>
          </w:tcPr>
          <w:p w:rsidR="007C6459" w:rsidRPr="00BE1231" w:rsidRDefault="007C6459" w:rsidP="00B252EB">
            <w:pPr>
              <w:spacing w:before="40" w:after="40"/>
              <w:rPr>
                <w:sz w:val="22"/>
                <w:szCs w:val="22"/>
              </w:rPr>
            </w:pPr>
            <w:r w:rsidRPr="00BE1231">
              <w:rPr>
                <w:szCs w:val="22"/>
              </w:rPr>
              <w:t>TGP/15</w:t>
            </w:r>
          </w:p>
        </w:tc>
        <w:tc>
          <w:tcPr>
            <w:tcW w:w="1135" w:type="dxa"/>
          </w:tcPr>
          <w:p w:rsidR="007C6459" w:rsidRPr="00BE1231" w:rsidRDefault="007C6459" w:rsidP="00B252EB">
            <w:pPr>
              <w:spacing w:before="40" w:after="40"/>
              <w:rPr>
                <w:sz w:val="22"/>
                <w:szCs w:val="22"/>
              </w:rPr>
            </w:pPr>
            <w:r w:rsidRPr="00BE1231">
              <w:rPr>
                <w:sz w:val="22"/>
                <w:szCs w:val="22"/>
              </w:rPr>
              <w:t>/1</w:t>
            </w:r>
          </w:p>
        </w:tc>
        <w:tc>
          <w:tcPr>
            <w:tcW w:w="4961" w:type="dxa"/>
          </w:tcPr>
          <w:p w:rsidR="007C6459" w:rsidRPr="00BE1231" w:rsidRDefault="00A5473F" w:rsidP="00B252EB">
            <w:pPr>
              <w:spacing w:before="40" w:after="40"/>
              <w:jc w:val="left"/>
              <w:rPr>
                <w:sz w:val="22"/>
                <w:szCs w:val="22"/>
              </w:rPr>
            </w:pPr>
            <w:r w:rsidRPr="00BE1231">
              <w:rPr>
                <w:rFonts w:cs="Arial"/>
                <w:color w:val="333333"/>
                <w:szCs w:val="13"/>
                <w:shd w:val="clear" w:color="auto" w:fill="FFFFFF"/>
              </w:rPr>
              <w:t>Conseils en ce qui concerne l</w:t>
            </w:r>
            <w:r w:rsidR="00C4117D">
              <w:rPr>
                <w:rFonts w:cs="Arial"/>
                <w:color w:val="333333"/>
                <w:szCs w:val="13"/>
                <w:shd w:val="clear" w:color="auto" w:fill="FFFFFF"/>
              </w:rPr>
              <w:t>’</w:t>
            </w:r>
            <w:r w:rsidRPr="00BE1231">
              <w:rPr>
                <w:rFonts w:cs="Arial"/>
                <w:color w:val="333333"/>
                <w:szCs w:val="13"/>
                <w:shd w:val="clear" w:color="auto" w:fill="FFFFFF"/>
              </w:rPr>
              <w:t>utilisation des marqueurs biochimiques et moléculaires dans l</w:t>
            </w:r>
            <w:r w:rsidR="00C4117D">
              <w:rPr>
                <w:rFonts w:cs="Arial"/>
                <w:color w:val="333333"/>
                <w:szCs w:val="13"/>
                <w:shd w:val="clear" w:color="auto" w:fill="FFFFFF"/>
              </w:rPr>
              <w:t>’</w:t>
            </w:r>
            <w:r w:rsidRPr="00BE1231">
              <w:rPr>
                <w:rFonts w:cs="Arial"/>
                <w:color w:val="333333"/>
                <w:szCs w:val="13"/>
                <w:shd w:val="clear" w:color="auto" w:fill="FFFFFF"/>
              </w:rPr>
              <w:t>examen de la distinction, de l</w:t>
            </w:r>
            <w:r w:rsidR="00C4117D">
              <w:rPr>
                <w:rFonts w:cs="Arial"/>
                <w:color w:val="333333"/>
                <w:szCs w:val="13"/>
                <w:shd w:val="clear" w:color="auto" w:fill="FFFFFF"/>
              </w:rPr>
              <w:t>’</w:t>
            </w:r>
            <w:r w:rsidRPr="00BE1231">
              <w:rPr>
                <w:rFonts w:cs="Arial"/>
                <w:color w:val="333333"/>
                <w:szCs w:val="13"/>
                <w:shd w:val="clear" w:color="auto" w:fill="FFFFFF"/>
              </w:rPr>
              <w:t>homogénéité et de la stabilité (DHS)</w:t>
            </w:r>
          </w:p>
        </w:tc>
        <w:tc>
          <w:tcPr>
            <w:tcW w:w="1843" w:type="dxa"/>
          </w:tcPr>
          <w:p w:rsidR="007C6459" w:rsidRPr="00BE1231" w:rsidRDefault="00B91C1B" w:rsidP="00B252EB">
            <w:pPr>
              <w:spacing w:before="40" w:after="40"/>
              <w:rPr>
                <w:szCs w:val="22"/>
              </w:rPr>
            </w:pPr>
            <w:r w:rsidRPr="00BE1231">
              <w:rPr>
                <w:szCs w:val="22"/>
              </w:rPr>
              <w:t>2</w:t>
            </w:r>
            <w:r w:rsidR="00AB76FD" w:rsidRPr="00BE1231">
              <w:rPr>
                <w:szCs w:val="22"/>
              </w:rPr>
              <w:t>4</w:t>
            </w:r>
            <w:r w:rsidR="00AB76FD">
              <w:rPr>
                <w:szCs w:val="22"/>
              </w:rPr>
              <w:t> </w:t>
            </w:r>
            <w:r w:rsidR="00AB76FD" w:rsidRPr="00BE1231">
              <w:rPr>
                <w:szCs w:val="22"/>
              </w:rPr>
              <w:t>octobre</w:t>
            </w:r>
            <w:r w:rsidR="00AB76FD">
              <w:rPr>
                <w:szCs w:val="22"/>
              </w:rPr>
              <w:t> </w:t>
            </w:r>
            <w:r w:rsidR="00AB76FD" w:rsidRPr="00BE1231">
              <w:rPr>
                <w:szCs w:val="22"/>
              </w:rPr>
              <w:t>20</w:t>
            </w:r>
            <w:r w:rsidR="007C6459" w:rsidRPr="00BE1231">
              <w:rPr>
                <w:szCs w:val="22"/>
              </w:rPr>
              <w:t>13</w:t>
            </w:r>
          </w:p>
        </w:tc>
      </w:tr>
    </w:tbl>
    <w:p w:rsidR="00A5473F" w:rsidRPr="00BE1231" w:rsidRDefault="00A5473F" w:rsidP="006A4A4E">
      <w:pPr>
        <w:pStyle w:val="Heading2"/>
        <w:rPr>
          <w:lang w:val="fr-FR"/>
        </w:rPr>
      </w:pPr>
    </w:p>
    <w:p w:rsidR="00CA449D" w:rsidRPr="00BE1231" w:rsidRDefault="00A5473F" w:rsidP="006A4A4E">
      <w:pPr>
        <w:pStyle w:val="Heading2"/>
        <w:rPr>
          <w:lang w:val="fr-FR"/>
        </w:rPr>
      </w:pPr>
      <w:bookmarkStart w:id="24" w:name="_Toc381170138"/>
      <w:r w:rsidRPr="00BE1231">
        <w:rPr>
          <w:lang w:val="fr-FR"/>
        </w:rPr>
        <w:t>P</w:t>
      </w:r>
      <w:r w:rsidR="00CA449D" w:rsidRPr="00BE1231">
        <w:rPr>
          <w:lang w:val="fr-FR"/>
        </w:rPr>
        <w:t>rogram</w:t>
      </w:r>
      <w:r w:rsidR="00AE5737" w:rsidRPr="00BE1231">
        <w:rPr>
          <w:lang w:val="fr-FR"/>
        </w:rPr>
        <w:t>me d</w:t>
      </w:r>
      <w:r w:rsidR="00C4117D">
        <w:rPr>
          <w:lang w:val="fr-FR"/>
        </w:rPr>
        <w:t>’</w:t>
      </w:r>
      <w:r w:rsidR="00AE5737" w:rsidRPr="00BE1231">
        <w:rPr>
          <w:lang w:val="fr-FR"/>
        </w:rPr>
        <w:t>élaboration de notes explicatives sur la</w:t>
      </w:r>
      <w:r w:rsidR="00CA449D" w:rsidRPr="00BE1231">
        <w:rPr>
          <w:lang w:val="fr-FR"/>
        </w:rPr>
        <w:t xml:space="preserve"> </w:t>
      </w:r>
      <w:r w:rsidR="00C4117D">
        <w:rPr>
          <w:lang w:val="fr-FR"/>
        </w:rPr>
        <w:t>Convention UPOV</w:t>
      </w:r>
      <w:bookmarkEnd w:id="24"/>
    </w:p>
    <w:p w:rsidR="00CA449D" w:rsidRPr="00BE1231" w:rsidRDefault="00CA449D" w:rsidP="006A4A4E">
      <w:pPr>
        <w:pStyle w:val="Heading2"/>
        <w:rPr>
          <w:lang w:val="fr-FR"/>
        </w:rPr>
      </w:pPr>
    </w:p>
    <w:p w:rsidR="00AE5737" w:rsidRPr="00BE1231" w:rsidRDefault="00185757" w:rsidP="00CA449D">
      <w:r w:rsidRPr="00BE1231">
        <w:fldChar w:fldCharType="begin"/>
      </w:r>
      <w:r w:rsidR="00CA449D" w:rsidRPr="00BE1231">
        <w:instrText xml:space="preserve"> AUTONUM  </w:instrText>
      </w:r>
      <w:r w:rsidRPr="00BE1231">
        <w:fldChar w:fldCharType="end"/>
      </w:r>
      <w:r w:rsidR="00CA449D" w:rsidRPr="00BE1231">
        <w:tab/>
      </w:r>
      <w:r w:rsidR="00AE5737" w:rsidRPr="00BE1231">
        <w:t>Sous réserve de l</w:t>
      </w:r>
      <w:r w:rsidR="00C4117D">
        <w:t>’</w:t>
      </w:r>
      <w:r w:rsidR="00AE5737" w:rsidRPr="00BE1231">
        <w:t>accord du Comité administratif et juridique (CAJ) lors de sa soixante</w:t>
      </w:r>
      <w:r w:rsidR="00E276CB" w:rsidRPr="003961D4">
        <w:noBreakHyphen/>
      </w:r>
      <w:r w:rsidR="00AE5737" w:rsidRPr="00BE1231">
        <w:t>neuvième</w:t>
      </w:r>
      <w:r w:rsidR="00E2212C">
        <w:t> </w:t>
      </w:r>
      <w:r w:rsidR="00AE5737" w:rsidRPr="00BE1231">
        <w:t>session, qui se tiendra le 1</w:t>
      </w:r>
      <w:r w:rsidR="00AB76FD" w:rsidRPr="00BE1231">
        <w:t>0</w:t>
      </w:r>
      <w:r w:rsidR="00AB76FD">
        <w:t> </w:t>
      </w:r>
      <w:r w:rsidR="00AB76FD" w:rsidRPr="00BE1231">
        <w:t>avril</w:t>
      </w:r>
      <w:r w:rsidR="00AB76FD">
        <w:t> </w:t>
      </w:r>
      <w:r w:rsidR="00AB76FD" w:rsidRPr="00BE1231">
        <w:t>20</w:t>
      </w:r>
      <w:r w:rsidR="00AE5737" w:rsidRPr="00BE1231">
        <w:t>14, le Groupe consultatif du Comité administratif et juridique (CAJ</w:t>
      </w:r>
      <w:r w:rsidR="00C4117D">
        <w:t>-</w:t>
      </w:r>
      <w:r w:rsidR="00AE5737" w:rsidRPr="00BE1231">
        <w:t>AG) envisage d</w:t>
      </w:r>
      <w:r w:rsidR="00C4117D">
        <w:t>’</w:t>
      </w:r>
      <w:r w:rsidR="00AE5737" w:rsidRPr="00BE1231">
        <w:t>examiner les points suivants à sa neuvième</w:t>
      </w:r>
      <w:r w:rsidR="00E2212C">
        <w:t> </w:t>
      </w:r>
      <w:r w:rsidR="00AE5737" w:rsidRPr="00BE1231">
        <w:t>session, qui se tiendra en</w:t>
      </w:r>
      <w:r w:rsidR="00E276CB">
        <w:t> </w:t>
      </w:r>
      <w:r w:rsidR="00AB76FD" w:rsidRPr="00BE1231">
        <w:t>octobre</w:t>
      </w:r>
      <w:r w:rsidR="00AB76FD">
        <w:t> </w:t>
      </w:r>
      <w:r w:rsidR="00AB76FD" w:rsidRPr="00BE1231">
        <w:t>20</w:t>
      </w:r>
      <w:r w:rsidR="00AE5737" w:rsidRPr="00BE1231">
        <w:t>14</w:t>
      </w:r>
      <w:r w:rsidR="00E2212C">
        <w:t> </w:t>
      </w:r>
      <w:r w:rsidR="00AE5737" w:rsidRPr="00BE1231">
        <w:t>:</w:t>
      </w:r>
    </w:p>
    <w:p w:rsidR="00CA449D" w:rsidRPr="00BE1231" w:rsidRDefault="00CA449D" w:rsidP="00CA449D"/>
    <w:p w:rsidR="00AE5737" w:rsidRPr="00BE1231" w:rsidRDefault="00AE5737" w:rsidP="00CA449D">
      <w:pPr>
        <w:pStyle w:val="ListParagraph"/>
        <w:numPr>
          <w:ilvl w:val="0"/>
          <w:numId w:val="3"/>
        </w:numPr>
        <w:ind w:left="567"/>
      </w:pPr>
      <w:r w:rsidRPr="00BE1231">
        <w:t>Notes explicatives sur l</w:t>
      </w:r>
      <w:r w:rsidRPr="00BE1231">
        <w:rPr>
          <w:rFonts w:cs="Arial"/>
          <w:color w:val="333333"/>
          <w:shd w:val="clear" w:color="auto" w:fill="FFFFFF"/>
        </w:rPr>
        <w:t>es variétés essentiellement dérivées selon l</w:t>
      </w:r>
      <w:r w:rsidR="00C4117D">
        <w:rPr>
          <w:rFonts w:cs="Arial"/>
          <w:color w:val="333333"/>
          <w:shd w:val="clear" w:color="auto" w:fill="FFFFFF"/>
        </w:rPr>
        <w:t>’</w:t>
      </w:r>
      <w:r w:rsidRPr="00BE1231">
        <w:rPr>
          <w:rFonts w:cs="Arial"/>
          <w:color w:val="333333"/>
          <w:shd w:val="clear" w:color="auto" w:fill="FFFFFF"/>
        </w:rPr>
        <w:t>Acte de</w:t>
      </w:r>
      <w:r w:rsidR="00FD4B48">
        <w:rPr>
          <w:rFonts w:cs="Arial"/>
          <w:color w:val="333333"/>
          <w:shd w:val="clear" w:color="auto" w:fill="FFFFFF"/>
        </w:rPr>
        <w:t xml:space="preserve"> </w:t>
      </w:r>
      <w:r w:rsidRPr="00BE1231">
        <w:rPr>
          <w:rFonts w:cs="Arial"/>
          <w:color w:val="333333"/>
          <w:shd w:val="clear" w:color="auto" w:fill="FFFFFF"/>
        </w:rPr>
        <w:t>1991 de la</w:t>
      </w:r>
      <w:r w:rsidR="001031E4">
        <w:rPr>
          <w:rFonts w:cs="Arial"/>
          <w:color w:val="333333"/>
          <w:shd w:val="clear" w:color="auto" w:fill="FFFFFF"/>
        </w:rPr>
        <w:t> </w:t>
      </w:r>
      <w:r w:rsidR="00C4117D">
        <w:rPr>
          <w:rFonts w:cs="Arial"/>
          <w:color w:val="333333"/>
          <w:shd w:val="clear" w:color="auto" w:fill="FFFFFF"/>
        </w:rPr>
        <w:t>Convention UPOV</w:t>
      </w:r>
      <w:r w:rsidRPr="00BE1231">
        <w:rPr>
          <w:rFonts w:cs="Arial"/>
          <w:color w:val="333333"/>
          <w:shd w:val="clear" w:color="auto" w:fill="FFFFFF"/>
        </w:rPr>
        <w:t xml:space="preserve"> (révision)</w:t>
      </w:r>
    </w:p>
    <w:p w:rsidR="00AE5737" w:rsidRPr="00BE1231" w:rsidRDefault="00AE5737" w:rsidP="00AE5737">
      <w:pPr>
        <w:pStyle w:val="ListParagraph"/>
        <w:numPr>
          <w:ilvl w:val="0"/>
          <w:numId w:val="3"/>
        </w:numPr>
        <w:ind w:left="567"/>
      </w:pPr>
      <w:r w:rsidRPr="00BE1231">
        <w:t xml:space="preserve">Notes explicatives sur la </w:t>
      </w:r>
      <w:r w:rsidR="00F70F9B" w:rsidRPr="00BE1231">
        <w:t xml:space="preserve">reproduction </w:t>
      </w:r>
      <w:r w:rsidR="0032640B">
        <w:t>ou</w:t>
      </w:r>
      <w:r w:rsidR="00F70F9B" w:rsidRPr="00BE1231">
        <w:t xml:space="preserve"> la </w:t>
      </w:r>
      <w:r w:rsidRPr="00BE1231">
        <w:t xml:space="preserve">multiplication et </w:t>
      </w:r>
      <w:r w:rsidR="0032640B">
        <w:t xml:space="preserve">sur </w:t>
      </w:r>
      <w:r w:rsidRPr="00BE1231">
        <w:t xml:space="preserve">le matériel de </w:t>
      </w:r>
      <w:r w:rsidR="00F70F9B" w:rsidRPr="00BE1231">
        <w:t xml:space="preserve">reproduction ou de </w:t>
      </w:r>
      <w:r w:rsidRPr="00BE1231">
        <w:t xml:space="preserve">multiplication selon la </w:t>
      </w:r>
      <w:r w:rsidR="00C4117D">
        <w:t>Convention UPOV</w:t>
      </w:r>
    </w:p>
    <w:p w:rsidR="00340861" w:rsidRPr="00BE1231" w:rsidRDefault="00AE5737" w:rsidP="00CA449D">
      <w:pPr>
        <w:pStyle w:val="ListParagraph"/>
        <w:numPr>
          <w:ilvl w:val="0"/>
          <w:numId w:val="3"/>
        </w:numPr>
        <w:ind w:left="567"/>
      </w:pPr>
      <w:r w:rsidRPr="00BE1231">
        <w:t>Notes explicatives sur les actes à</w:t>
      </w:r>
      <w:r w:rsidR="00E2212C">
        <w:t> </w:t>
      </w:r>
      <w:r w:rsidRPr="00BE1231">
        <w:t>l</w:t>
      </w:r>
      <w:r w:rsidR="00C4117D">
        <w:t>’</w:t>
      </w:r>
      <w:r w:rsidRPr="00BE1231">
        <w:t>égard du produit de la récolte selon l</w:t>
      </w:r>
      <w:r w:rsidR="00C4117D">
        <w:t>’</w:t>
      </w:r>
      <w:r w:rsidRPr="00BE1231">
        <w:t>Acte de</w:t>
      </w:r>
      <w:r w:rsidR="00FD4B48">
        <w:t xml:space="preserve"> </w:t>
      </w:r>
      <w:r w:rsidRPr="00BE1231">
        <w:t>1991 de la</w:t>
      </w:r>
      <w:r w:rsidR="001031E4">
        <w:t> </w:t>
      </w:r>
      <w:r w:rsidR="00C4117D">
        <w:t>Convention UPOV</w:t>
      </w:r>
      <w:r w:rsidR="00340861" w:rsidRPr="00BE1231">
        <w:t xml:space="preserve"> (R</w:t>
      </w:r>
      <w:r w:rsidRPr="00BE1231">
        <w:t>é</w:t>
      </w:r>
      <w:r w:rsidR="00340861" w:rsidRPr="00BE1231">
        <w:t>vision)</w:t>
      </w:r>
    </w:p>
    <w:p w:rsidR="00340861" w:rsidRPr="00BE1231" w:rsidRDefault="00AE5737" w:rsidP="00CA449D">
      <w:pPr>
        <w:pStyle w:val="ListParagraph"/>
        <w:numPr>
          <w:ilvl w:val="0"/>
          <w:numId w:val="3"/>
        </w:numPr>
        <w:ind w:left="567"/>
      </w:pPr>
      <w:r w:rsidRPr="00BE1231">
        <w:t xml:space="preserve">Notes explicatives sur la déchéance </w:t>
      </w:r>
      <w:r w:rsidR="005C0346">
        <w:t>de l</w:t>
      </w:r>
      <w:r w:rsidR="00C4117D">
        <w:t>’</w:t>
      </w:r>
      <w:r w:rsidRPr="00BE1231">
        <w:t xml:space="preserve">obtenteur selon la </w:t>
      </w:r>
      <w:r w:rsidR="00C4117D">
        <w:t>Convention UPOV</w:t>
      </w:r>
      <w:r w:rsidRPr="00BE1231">
        <w:t xml:space="preserve"> </w:t>
      </w:r>
      <w:r w:rsidR="00261FE9" w:rsidRPr="00BE1231">
        <w:t>(R</w:t>
      </w:r>
      <w:r w:rsidRPr="00BE1231">
        <w:t>é</w:t>
      </w:r>
      <w:r w:rsidR="00261FE9" w:rsidRPr="00BE1231">
        <w:t>vision)</w:t>
      </w:r>
    </w:p>
    <w:p w:rsidR="00340861" w:rsidRPr="00BE1231" w:rsidRDefault="00AE5737" w:rsidP="00CA449D">
      <w:pPr>
        <w:pStyle w:val="ListParagraph"/>
        <w:numPr>
          <w:ilvl w:val="0"/>
          <w:numId w:val="3"/>
        </w:numPr>
        <w:ind w:left="567"/>
      </w:pPr>
      <w:r w:rsidRPr="00BE1231">
        <w:t>Notes explicatives sur la nullité du droit d</w:t>
      </w:r>
      <w:r w:rsidR="00C4117D">
        <w:t>’</w:t>
      </w:r>
      <w:r w:rsidRPr="00BE1231">
        <w:t xml:space="preserve">obtenteur selon la </w:t>
      </w:r>
      <w:r w:rsidR="00C4117D">
        <w:t>Convention UPOV</w:t>
      </w:r>
      <w:r w:rsidRPr="00BE1231">
        <w:t xml:space="preserve"> </w:t>
      </w:r>
      <w:r w:rsidR="00261FE9" w:rsidRPr="00BE1231">
        <w:t>(R</w:t>
      </w:r>
      <w:r w:rsidRPr="00BE1231">
        <w:t>é</w:t>
      </w:r>
      <w:r w:rsidR="00261FE9" w:rsidRPr="00BE1231">
        <w:t>vision)</w:t>
      </w:r>
    </w:p>
    <w:p w:rsidR="00340861" w:rsidRPr="00BE1231" w:rsidRDefault="00AE5737" w:rsidP="00CA449D">
      <w:pPr>
        <w:pStyle w:val="ListParagraph"/>
        <w:numPr>
          <w:ilvl w:val="0"/>
          <w:numId w:val="3"/>
        </w:numPr>
        <w:ind w:left="567"/>
      </w:pPr>
      <w:r w:rsidRPr="00BE1231">
        <w:t>Notes explicatives sur</w:t>
      </w:r>
      <w:r w:rsidR="00261FE9" w:rsidRPr="00BE1231">
        <w:t xml:space="preserve"> </w:t>
      </w:r>
      <w:r w:rsidRPr="00BE1231">
        <w:t>les dénominations variétales</w:t>
      </w:r>
      <w:r w:rsidR="00261FE9" w:rsidRPr="00BE1231">
        <w:t xml:space="preserve"> </w:t>
      </w:r>
      <w:r w:rsidRPr="00BE1231">
        <w:t xml:space="preserve">selon la </w:t>
      </w:r>
      <w:r w:rsidR="00C4117D">
        <w:t>Convention UPOV</w:t>
      </w:r>
      <w:r w:rsidRPr="00BE1231">
        <w:t xml:space="preserve"> </w:t>
      </w:r>
      <w:r w:rsidR="00261FE9" w:rsidRPr="00BE1231">
        <w:t>(R</w:t>
      </w:r>
      <w:r w:rsidRPr="00BE1231">
        <w:t>é</w:t>
      </w:r>
      <w:r w:rsidR="00261FE9" w:rsidRPr="00BE1231">
        <w:t>vision)</w:t>
      </w:r>
    </w:p>
    <w:p w:rsidR="00261FE9" w:rsidRPr="00BE1231" w:rsidRDefault="00AE5737" w:rsidP="00261FE9">
      <w:pPr>
        <w:pStyle w:val="ListParagraph"/>
        <w:numPr>
          <w:ilvl w:val="0"/>
          <w:numId w:val="3"/>
        </w:numPr>
        <w:ind w:left="567"/>
      </w:pPr>
      <w:r w:rsidRPr="00BE1231">
        <w:t xml:space="preserve">Notes explicatives sur la protection provisoire selon la </w:t>
      </w:r>
      <w:r w:rsidR="00C4117D">
        <w:t>Convention UPOV</w:t>
      </w:r>
      <w:r w:rsidRPr="00BE1231">
        <w:t xml:space="preserve"> </w:t>
      </w:r>
      <w:r w:rsidR="00261FE9" w:rsidRPr="00BE1231">
        <w:t>(R</w:t>
      </w:r>
      <w:r w:rsidRPr="00BE1231">
        <w:t>é</w:t>
      </w:r>
      <w:r w:rsidR="00261FE9" w:rsidRPr="00BE1231">
        <w:t>vision)</w:t>
      </w:r>
    </w:p>
    <w:p w:rsidR="00AB76FD" w:rsidRDefault="00AE5737" w:rsidP="00CA449D">
      <w:pPr>
        <w:pStyle w:val="ListParagraph"/>
        <w:numPr>
          <w:ilvl w:val="0"/>
          <w:numId w:val="3"/>
        </w:numPr>
        <w:ind w:left="567"/>
      </w:pPr>
      <w:r w:rsidRPr="00BE1231">
        <w:t xml:space="preserve">Questions </w:t>
      </w:r>
      <w:r w:rsidR="0032640B">
        <w:t>concernant les</w:t>
      </w:r>
      <w:r w:rsidRPr="00BE1231">
        <w:t xml:space="preserve"> descriptions variétales</w:t>
      </w:r>
    </w:p>
    <w:p w:rsidR="00AB76FD" w:rsidRDefault="0032640B" w:rsidP="00340861">
      <w:pPr>
        <w:pStyle w:val="ListParagraph"/>
        <w:numPr>
          <w:ilvl w:val="0"/>
          <w:numId w:val="3"/>
        </w:numPr>
        <w:ind w:left="567"/>
        <w:rPr>
          <w:rFonts w:cs="Arial"/>
          <w:color w:val="333333"/>
          <w:shd w:val="clear" w:color="auto" w:fill="FFFFFF"/>
        </w:rPr>
      </w:pPr>
      <w:r>
        <w:t>Possibles m</w:t>
      </w:r>
      <w:r w:rsidR="00AE5737" w:rsidRPr="00BE1231">
        <w:t xml:space="preserve">écanismes extrajudiciaires de règlement des litiges </w:t>
      </w:r>
      <w:r>
        <w:t xml:space="preserve">pour les </w:t>
      </w:r>
      <w:r w:rsidR="00AE5737" w:rsidRPr="00BE1231">
        <w:rPr>
          <w:rFonts w:cs="Arial"/>
          <w:color w:val="333333"/>
          <w:shd w:val="clear" w:color="auto" w:fill="FFFFFF"/>
        </w:rPr>
        <w:t>variétés essentiellement dérivées</w:t>
      </w:r>
    </w:p>
    <w:p w:rsidR="00340861" w:rsidRPr="00BE1231" w:rsidRDefault="00340861" w:rsidP="00340861"/>
    <w:p w:rsidR="00F27C33" w:rsidRPr="00BE1231" w:rsidRDefault="00F27C33" w:rsidP="006A4A4E">
      <w:pPr>
        <w:pStyle w:val="Heading2"/>
        <w:rPr>
          <w:lang w:val="fr-FR"/>
        </w:rPr>
      </w:pPr>
      <w:bookmarkStart w:id="25" w:name="_Toc381170139"/>
      <w:r w:rsidRPr="00BE1231">
        <w:rPr>
          <w:lang w:val="fr-FR"/>
        </w:rPr>
        <w:t xml:space="preserve">UPOV </w:t>
      </w:r>
      <w:proofErr w:type="spellStart"/>
      <w:r w:rsidRPr="00BE1231">
        <w:rPr>
          <w:lang w:val="fr-FR"/>
        </w:rPr>
        <w:t>Lex</w:t>
      </w:r>
      <w:bookmarkEnd w:id="25"/>
      <w:proofErr w:type="spellEnd"/>
    </w:p>
    <w:p w:rsidR="00F27C33" w:rsidRPr="00BE1231" w:rsidRDefault="00F27C33" w:rsidP="00F27C33"/>
    <w:p w:rsidR="00613414" w:rsidRPr="00A1496F" w:rsidRDefault="00185757" w:rsidP="00505A73">
      <w:r w:rsidRPr="00A1496F">
        <w:fldChar w:fldCharType="begin"/>
      </w:r>
      <w:r w:rsidR="00F27C33" w:rsidRPr="00A1496F">
        <w:instrText xml:space="preserve"> AUTONUM  </w:instrText>
      </w:r>
      <w:r w:rsidRPr="00A1496F">
        <w:fldChar w:fldCharType="end"/>
      </w:r>
      <w:r w:rsidR="00F27C33" w:rsidRPr="00A1496F">
        <w:tab/>
      </w:r>
      <w:r w:rsidR="00613414" w:rsidRPr="00A1496F">
        <w:t xml:space="preserve">UPOV </w:t>
      </w:r>
      <w:proofErr w:type="spellStart"/>
      <w:r w:rsidR="00613414" w:rsidRPr="00A1496F">
        <w:t>Lex</w:t>
      </w:r>
      <w:proofErr w:type="spellEnd"/>
      <w:r w:rsidR="00613414" w:rsidRPr="00A1496F">
        <w:t xml:space="preserve"> contient la législation des membres de l</w:t>
      </w:r>
      <w:r w:rsidR="00C4117D" w:rsidRPr="00A1496F">
        <w:t>’</w:t>
      </w:r>
      <w:r w:rsidR="00613414" w:rsidRPr="00A1496F">
        <w:t xml:space="preserve">Union ayant été notifiée conformément à la </w:t>
      </w:r>
      <w:r w:rsidR="00C4117D" w:rsidRPr="00A1496F">
        <w:t>Convention UPOV</w:t>
      </w:r>
      <w:r w:rsidR="00613414" w:rsidRPr="00A1496F">
        <w:t xml:space="preserve">, les notifications selon la </w:t>
      </w:r>
      <w:r w:rsidR="00C4117D" w:rsidRPr="00A1496F">
        <w:t>Convention UPOV</w:t>
      </w:r>
      <w:r w:rsidR="00613414" w:rsidRPr="00A1496F">
        <w:t xml:space="preserve"> concernant les différents membres de l</w:t>
      </w:r>
      <w:r w:rsidR="00C4117D" w:rsidRPr="00A1496F">
        <w:t>’</w:t>
      </w:r>
      <w:r w:rsidR="00613414" w:rsidRPr="00A1496F">
        <w:t xml:space="preserve">Union (par exemple adhésions, ratifications), et le texte de la </w:t>
      </w:r>
      <w:r w:rsidR="00C4117D" w:rsidRPr="00A1496F">
        <w:t>Convention UPOV</w:t>
      </w:r>
      <w:r w:rsidR="00613414" w:rsidRPr="00A1496F">
        <w:t xml:space="preserve"> et ses actes.</w:t>
      </w:r>
      <w:r w:rsidR="00875F7B" w:rsidRPr="00A1496F">
        <w:t xml:space="preserve"> </w:t>
      </w:r>
      <w:r w:rsidR="00CB1E15" w:rsidRPr="00A1496F">
        <w:t xml:space="preserve"> </w:t>
      </w:r>
      <w:r w:rsidR="00875F7B" w:rsidRPr="00A1496F">
        <w:t xml:space="preserve">UPOV </w:t>
      </w:r>
      <w:proofErr w:type="spellStart"/>
      <w:r w:rsidR="00875F7B" w:rsidRPr="00A1496F">
        <w:t>Lex</w:t>
      </w:r>
      <w:proofErr w:type="spellEnd"/>
      <w:r w:rsidR="00875F7B" w:rsidRPr="00A1496F">
        <w:t xml:space="preserve"> a été modifié de manière à intégrer les notifications des membres de l</w:t>
      </w:r>
      <w:r w:rsidR="00C4117D" w:rsidRPr="00A1496F">
        <w:t>’</w:t>
      </w:r>
      <w:r w:rsidR="00875F7B" w:rsidRPr="00A1496F">
        <w:t>Union concernant les genres et espèces végétaux qui bénéficient de la protection des obtentions végétales sur leur territoire (voir le paragraphe</w:t>
      </w:r>
      <w:r w:rsidR="00E2212C" w:rsidRPr="00A1496F">
        <w:t> </w:t>
      </w:r>
      <w:r w:rsidR="00875F7B" w:rsidRPr="00A1496F">
        <w:t>30 du document C/47/15</w:t>
      </w:r>
      <w:r w:rsidR="00E2212C" w:rsidRPr="00A1496F">
        <w:t> </w:t>
      </w:r>
      <w:proofErr w:type="spellStart"/>
      <w:r w:rsidR="00875F7B" w:rsidRPr="00A1496F">
        <w:t>Rev</w:t>
      </w:r>
      <w:proofErr w:type="spellEnd"/>
      <w:r w:rsidR="00875F7B" w:rsidRPr="00A1496F">
        <w:t xml:space="preserve">. </w:t>
      </w:r>
      <w:r w:rsidR="00E2212C" w:rsidRPr="00A1496F">
        <w:t>“</w:t>
      </w:r>
      <w:r w:rsidR="00875F7B" w:rsidRPr="009A60F5">
        <w:rPr>
          <w:i/>
        </w:rPr>
        <w:t xml:space="preserve">Report by the </w:t>
      </w:r>
      <w:proofErr w:type="spellStart"/>
      <w:r w:rsidR="00875F7B" w:rsidRPr="009A60F5">
        <w:rPr>
          <w:i/>
        </w:rPr>
        <w:t>President</w:t>
      </w:r>
      <w:proofErr w:type="spellEnd"/>
      <w:r w:rsidR="00875F7B" w:rsidRPr="009A60F5">
        <w:rPr>
          <w:i/>
        </w:rPr>
        <w:t xml:space="preserve"> on the </w:t>
      </w:r>
      <w:proofErr w:type="spellStart"/>
      <w:r w:rsidR="00875F7B" w:rsidRPr="009A60F5">
        <w:rPr>
          <w:i/>
        </w:rPr>
        <w:t>work</w:t>
      </w:r>
      <w:proofErr w:type="spellEnd"/>
      <w:r w:rsidR="00875F7B" w:rsidRPr="009A60F5">
        <w:rPr>
          <w:i/>
        </w:rPr>
        <w:t xml:space="preserve"> of the </w:t>
      </w:r>
      <w:proofErr w:type="spellStart"/>
      <w:r w:rsidR="00875F7B" w:rsidRPr="009A60F5">
        <w:rPr>
          <w:i/>
        </w:rPr>
        <w:t>eighty</w:t>
      </w:r>
      <w:r w:rsidR="00C4117D" w:rsidRPr="009A60F5">
        <w:rPr>
          <w:i/>
        </w:rPr>
        <w:t>-</w:t>
      </w:r>
      <w:r w:rsidR="00875F7B" w:rsidRPr="009A60F5">
        <w:rPr>
          <w:i/>
        </w:rPr>
        <w:t>sixth</w:t>
      </w:r>
      <w:proofErr w:type="spellEnd"/>
      <w:r w:rsidR="00875F7B" w:rsidRPr="009A60F5">
        <w:rPr>
          <w:i/>
        </w:rPr>
        <w:t xml:space="preserve"> session </w:t>
      </w:r>
      <w:r w:rsidR="00E276CB" w:rsidRPr="009A60F5">
        <w:rPr>
          <w:i/>
        </w:rPr>
        <w:t xml:space="preserve">of the Consultative </w:t>
      </w:r>
      <w:proofErr w:type="spellStart"/>
      <w:r w:rsidR="00E276CB" w:rsidRPr="009A60F5">
        <w:rPr>
          <w:i/>
        </w:rPr>
        <w:t>Committee</w:t>
      </w:r>
      <w:proofErr w:type="spellEnd"/>
      <w:r w:rsidR="00E2212C" w:rsidRPr="009A60F5">
        <w:rPr>
          <w:i/>
        </w:rPr>
        <w:t xml:space="preserve">; </w:t>
      </w:r>
      <w:r w:rsidR="00875F7B" w:rsidRPr="009A60F5">
        <w:rPr>
          <w:i/>
        </w:rPr>
        <w:t xml:space="preserve"> adoption of </w:t>
      </w:r>
      <w:proofErr w:type="spellStart"/>
      <w:r w:rsidR="00875F7B" w:rsidRPr="009A60F5">
        <w:rPr>
          <w:i/>
        </w:rPr>
        <w:t>recommendations</w:t>
      </w:r>
      <w:proofErr w:type="spellEnd"/>
      <w:r w:rsidR="00875F7B" w:rsidRPr="009A60F5">
        <w:rPr>
          <w:i/>
        </w:rPr>
        <w:t xml:space="preserve">, if </w:t>
      </w:r>
      <w:proofErr w:type="spellStart"/>
      <w:r w:rsidR="00875F7B" w:rsidRPr="009A60F5">
        <w:rPr>
          <w:i/>
        </w:rPr>
        <w:t>any</w:t>
      </w:r>
      <w:proofErr w:type="spellEnd"/>
      <w:r w:rsidR="00875F7B" w:rsidRPr="009A60F5">
        <w:rPr>
          <w:i/>
        </w:rPr>
        <w:t xml:space="preserve">, </w:t>
      </w:r>
      <w:proofErr w:type="spellStart"/>
      <w:r w:rsidR="00875F7B" w:rsidRPr="009A60F5">
        <w:rPr>
          <w:i/>
        </w:rPr>
        <w:t>prepared</w:t>
      </w:r>
      <w:proofErr w:type="spellEnd"/>
      <w:r w:rsidR="00875F7B" w:rsidRPr="009A60F5">
        <w:rPr>
          <w:i/>
        </w:rPr>
        <w:t xml:space="preserve"> by </w:t>
      </w:r>
      <w:proofErr w:type="spellStart"/>
      <w:r w:rsidR="00875F7B" w:rsidRPr="009A60F5">
        <w:rPr>
          <w:i/>
        </w:rPr>
        <w:t>that</w:t>
      </w:r>
      <w:proofErr w:type="spellEnd"/>
      <w:r w:rsidR="00875F7B" w:rsidRPr="009A60F5">
        <w:rPr>
          <w:i/>
        </w:rPr>
        <w:t xml:space="preserve"> </w:t>
      </w:r>
      <w:proofErr w:type="spellStart"/>
      <w:r w:rsidR="00875F7B" w:rsidRPr="009A60F5">
        <w:rPr>
          <w:i/>
        </w:rPr>
        <w:t>Committee</w:t>
      </w:r>
      <w:proofErr w:type="spellEnd"/>
      <w:r w:rsidR="00E2212C" w:rsidRPr="00A1496F">
        <w:t>”</w:t>
      </w:r>
      <w:r w:rsidR="00875F7B" w:rsidRPr="00A1496F">
        <w:t xml:space="preserve"> (Rapport du</w:t>
      </w:r>
      <w:r w:rsidR="00E276CB" w:rsidRPr="00A1496F">
        <w:t> </w:t>
      </w:r>
      <w:r w:rsidR="00875F7B" w:rsidRPr="00A1496F">
        <w:t>président sur les travaux de la quatre</w:t>
      </w:r>
      <w:r w:rsidR="00C4117D" w:rsidRPr="00A1496F">
        <w:t>-</w:t>
      </w:r>
      <w:r w:rsidR="00875F7B" w:rsidRPr="00A1496F">
        <w:t>vingt</w:t>
      </w:r>
      <w:r w:rsidR="00C4117D" w:rsidRPr="00A1496F">
        <w:t>-</w:t>
      </w:r>
      <w:r w:rsidR="00875F7B" w:rsidRPr="00A1496F">
        <w:t>sixième session du Comité consultatif;</w:t>
      </w:r>
      <w:r w:rsidR="00E2212C" w:rsidRPr="00A1496F">
        <w:t xml:space="preserve"> </w:t>
      </w:r>
      <w:r w:rsidR="00875F7B" w:rsidRPr="00A1496F">
        <w:t xml:space="preserve"> adoption, le cas échéant, des recommandations élaborées par ce comité).</w:t>
      </w:r>
    </w:p>
    <w:p w:rsidR="00F27C33" w:rsidRPr="00BE1231" w:rsidRDefault="00F27C33" w:rsidP="008E734A"/>
    <w:p w:rsidR="007C6459" w:rsidRPr="00BE1231" w:rsidRDefault="00CE767B" w:rsidP="008907DC">
      <w:pPr>
        <w:pStyle w:val="Heading1"/>
      </w:pPr>
      <w:bookmarkStart w:id="26" w:name="_Toc381170140"/>
      <w:r w:rsidRPr="00BE1231">
        <w:t xml:space="preserve">PUBLICATIONS, </w:t>
      </w:r>
      <w:r w:rsidR="007C6459" w:rsidRPr="00BE1231">
        <w:t>activit</w:t>
      </w:r>
      <w:r w:rsidR="00A5473F" w:rsidRPr="00BE1231">
        <w:t>É</w:t>
      </w:r>
      <w:r w:rsidR="007C6459" w:rsidRPr="00BE1231">
        <w:t>s</w:t>
      </w:r>
      <w:r w:rsidR="003D2768" w:rsidRPr="00BE1231">
        <w:t xml:space="preserve"> </w:t>
      </w:r>
      <w:r w:rsidR="00A5473F" w:rsidRPr="00BE1231">
        <w:t>et FORMATION</w:t>
      </w:r>
      <w:bookmarkEnd w:id="26"/>
    </w:p>
    <w:p w:rsidR="007C6459" w:rsidRPr="00BE1231" w:rsidRDefault="007C6459" w:rsidP="008E734A"/>
    <w:p w:rsidR="00AB76FD" w:rsidRDefault="00A5473F" w:rsidP="006A4A4E">
      <w:pPr>
        <w:pStyle w:val="Heading2"/>
        <w:rPr>
          <w:lang w:val="fr-FR"/>
        </w:rPr>
      </w:pPr>
      <w:bookmarkStart w:id="27" w:name="_Toc381170141"/>
      <w:r w:rsidRPr="00BE1231">
        <w:rPr>
          <w:lang w:val="fr-FR"/>
        </w:rPr>
        <w:t>Stratégie de c</w:t>
      </w:r>
      <w:r w:rsidR="001F4113" w:rsidRPr="00BE1231">
        <w:rPr>
          <w:lang w:val="fr-FR"/>
        </w:rPr>
        <w:t>ommunication</w:t>
      </w:r>
      <w:bookmarkEnd w:id="27"/>
    </w:p>
    <w:p w:rsidR="001F4113" w:rsidRPr="00BE1231" w:rsidRDefault="001F4113" w:rsidP="001F4113"/>
    <w:p w:rsidR="00221F11" w:rsidRPr="00BE1231" w:rsidRDefault="00185757" w:rsidP="001F4113">
      <w:r w:rsidRPr="00BE1231">
        <w:fldChar w:fldCharType="begin"/>
      </w:r>
      <w:r w:rsidR="001F4113" w:rsidRPr="00BE1231">
        <w:instrText xml:space="preserve"> AUTONUM  </w:instrText>
      </w:r>
      <w:r w:rsidRPr="00BE1231">
        <w:fldChar w:fldCharType="end"/>
      </w:r>
      <w:r w:rsidR="001F4113" w:rsidRPr="00BE1231">
        <w:tab/>
      </w:r>
      <w:r w:rsidR="00221F11" w:rsidRPr="00BE1231">
        <w:t>Le Comité consultatif a approuvé une stratégie de communication, contenant des réponses à des</w:t>
      </w:r>
      <w:r w:rsidR="00E276CB">
        <w:t> </w:t>
      </w:r>
      <w:r w:rsidR="00221F11" w:rsidRPr="00BE1231">
        <w:t xml:space="preserve">questions fréquemment posées, qui </w:t>
      </w:r>
      <w:r w:rsidR="003541C5">
        <w:t>mise à disposition</w:t>
      </w:r>
      <w:r w:rsidR="00221F11" w:rsidRPr="00BE1231">
        <w:t xml:space="preserve"> sur le site</w:t>
      </w:r>
      <w:r w:rsidR="00E2212C">
        <w:t> </w:t>
      </w:r>
      <w:r w:rsidR="00221F11" w:rsidRPr="00BE1231">
        <w:t>Web de l</w:t>
      </w:r>
      <w:r w:rsidR="00C4117D">
        <w:t>’</w:t>
      </w:r>
      <w:r w:rsidR="00221F11" w:rsidRPr="00BE1231">
        <w:t>UPOV (voir aussi le</w:t>
      </w:r>
      <w:r w:rsidR="009A60F5">
        <w:t>s paragraphes 24 à 26 du</w:t>
      </w:r>
      <w:r w:rsidR="00221F11" w:rsidRPr="00BE1231">
        <w:t xml:space="preserve"> </w:t>
      </w:r>
      <w:r w:rsidR="00C4117D" w:rsidRPr="00BE1231">
        <w:t>document</w:t>
      </w:r>
      <w:r w:rsidR="00C4117D">
        <w:t xml:space="preserve"> TC</w:t>
      </w:r>
      <w:r w:rsidR="00221F11" w:rsidRPr="00BE1231">
        <w:t xml:space="preserve">/50/13 </w:t>
      </w:r>
      <w:r w:rsidR="00E2212C">
        <w:t>“</w:t>
      </w:r>
      <w:r w:rsidR="00221F11" w:rsidRPr="00BE1231">
        <w:t>Techniques moléculaires</w:t>
      </w:r>
      <w:r w:rsidR="00E2212C">
        <w:t>”</w:t>
      </w:r>
      <w:r w:rsidR="00221F11" w:rsidRPr="00BE1231">
        <w:t>).</w:t>
      </w:r>
    </w:p>
    <w:p w:rsidR="001F4113" w:rsidRPr="00BE1231" w:rsidRDefault="001F4113" w:rsidP="001F4113"/>
    <w:p w:rsidR="00CE767B" w:rsidRPr="00BE1231" w:rsidRDefault="00221F11" w:rsidP="006A4A4E">
      <w:pPr>
        <w:pStyle w:val="Heading2"/>
        <w:rPr>
          <w:lang w:val="fr-FR"/>
        </w:rPr>
      </w:pPr>
      <w:bookmarkStart w:id="28" w:name="_Toc381170142"/>
      <w:r w:rsidRPr="00BE1231">
        <w:rPr>
          <w:lang w:val="fr-FR"/>
        </w:rPr>
        <w:t>T</w:t>
      </w:r>
      <w:r w:rsidR="00A5473F" w:rsidRPr="00BE1231">
        <w:rPr>
          <w:lang w:val="fr-FR"/>
        </w:rPr>
        <w:t>rilogie</w:t>
      </w:r>
      <w:bookmarkEnd w:id="28"/>
    </w:p>
    <w:p w:rsidR="00CE767B" w:rsidRPr="00BE1231" w:rsidRDefault="00CE767B" w:rsidP="00DB2E18">
      <w:pPr>
        <w:keepNext/>
      </w:pPr>
    </w:p>
    <w:p w:rsidR="00221F11" w:rsidRPr="00BE1231" w:rsidRDefault="00185757" w:rsidP="00CE767B">
      <w:r w:rsidRPr="00BE1231">
        <w:fldChar w:fldCharType="begin"/>
      </w:r>
      <w:r w:rsidR="00CE767B" w:rsidRPr="00BE1231">
        <w:instrText xml:space="preserve"> AUTONUM  </w:instrText>
      </w:r>
      <w:r w:rsidRPr="00BE1231">
        <w:fldChar w:fldCharType="end"/>
      </w:r>
      <w:r w:rsidR="00CE767B" w:rsidRPr="00BE1231">
        <w:tab/>
      </w:r>
      <w:r w:rsidR="00221F11" w:rsidRPr="00BE1231">
        <w:t xml:space="preserve">La </w:t>
      </w:r>
      <w:r w:rsidR="00E2212C">
        <w:t>“</w:t>
      </w:r>
      <w:r w:rsidR="00221F11" w:rsidRPr="00BE1231">
        <w:t>Trilogie</w:t>
      </w:r>
      <w:r w:rsidR="00E2212C">
        <w:t>”</w:t>
      </w:r>
      <w:r w:rsidR="00221F11" w:rsidRPr="00BE1231">
        <w:t xml:space="preserve"> est une publication qui regroupe les actes du </w:t>
      </w:r>
      <w:r w:rsidR="00E2212C">
        <w:t>“</w:t>
      </w:r>
      <w:r w:rsidR="00221F11" w:rsidRPr="00BE1231">
        <w:t>Séminaire de l</w:t>
      </w:r>
      <w:r w:rsidR="00C4117D">
        <w:t>’</w:t>
      </w:r>
      <w:r w:rsidR="00221F11" w:rsidRPr="00BE1231">
        <w:t>UPOV sur la protection des</w:t>
      </w:r>
      <w:r w:rsidR="00E276CB">
        <w:t> </w:t>
      </w:r>
      <w:r w:rsidR="00221F11" w:rsidRPr="00BE1231">
        <w:t>obtentions végétales et le transfert de technologie</w:t>
      </w:r>
      <w:r w:rsidR="00E2212C">
        <w:t> </w:t>
      </w:r>
      <w:r w:rsidR="00221F11" w:rsidRPr="00BE1231">
        <w:t>: avantage des partenariats publics</w:t>
      </w:r>
      <w:r w:rsidR="00C4117D">
        <w:t>-</w:t>
      </w:r>
      <w:r w:rsidR="00221F11" w:rsidRPr="00BE1231">
        <w:t>privés</w:t>
      </w:r>
      <w:r w:rsidR="00E2212C">
        <w:t>”</w:t>
      </w:r>
      <w:r w:rsidR="00221F11" w:rsidRPr="00BE1231">
        <w:t xml:space="preserve">, du </w:t>
      </w:r>
      <w:r w:rsidR="00E2212C">
        <w:t>“</w:t>
      </w:r>
      <w:r w:rsidR="00221F11" w:rsidRPr="00BE1231">
        <w:t>Colloque sur la sélection végétale pour l</w:t>
      </w:r>
      <w:r w:rsidR="00C4117D">
        <w:t>’</w:t>
      </w:r>
      <w:r w:rsidR="00221F11" w:rsidRPr="00BE1231">
        <w:t>avenir</w:t>
      </w:r>
      <w:r w:rsidR="00E2212C">
        <w:t>”</w:t>
      </w:r>
      <w:r w:rsidR="00221F11" w:rsidRPr="00BE1231">
        <w:t xml:space="preserve"> et du </w:t>
      </w:r>
      <w:r w:rsidR="00E2212C">
        <w:t>“</w:t>
      </w:r>
      <w:r w:rsidR="00221F11" w:rsidRPr="00BE1231">
        <w:t>Colloque sur les avantages de la protection des</w:t>
      </w:r>
      <w:r w:rsidR="00E276CB">
        <w:t> </w:t>
      </w:r>
      <w:r w:rsidR="00221F11" w:rsidRPr="00BE1231">
        <w:t>obtentions végétales pour les agriculteurs et les producteurs</w:t>
      </w:r>
      <w:r w:rsidR="00E2212C">
        <w:t>”.</w:t>
      </w:r>
      <w:r w:rsidR="00221F11" w:rsidRPr="00BE1231">
        <w:t xml:space="preserve"> </w:t>
      </w:r>
      <w:r w:rsidR="00CB1E15">
        <w:t xml:space="preserve"> </w:t>
      </w:r>
      <w:r w:rsidR="00221F11" w:rsidRPr="00BE1231">
        <w:t>Un résumé a également été élaboré.</w:t>
      </w:r>
    </w:p>
    <w:p w:rsidR="00CE767B" w:rsidRPr="00BE1231" w:rsidRDefault="00CE767B" w:rsidP="00CE767B"/>
    <w:p w:rsidR="00CE767B" w:rsidRDefault="00185757" w:rsidP="00CE767B">
      <w:r w:rsidRPr="00BE1231">
        <w:fldChar w:fldCharType="begin"/>
      </w:r>
      <w:r w:rsidR="00CE767B" w:rsidRPr="00BE1231">
        <w:instrText xml:space="preserve"> AUTONUM  </w:instrText>
      </w:r>
      <w:r w:rsidRPr="00BE1231">
        <w:fldChar w:fldCharType="end"/>
      </w:r>
      <w:r w:rsidR="00CE767B" w:rsidRPr="00BE1231">
        <w:tab/>
      </w:r>
      <w:r w:rsidR="00221F11" w:rsidRPr="00BE1231">
        <w:t>La Trilogie</w:t>
      </w:r>
      <w:r w:rsidR="00CE767B" w:rsidRPr="00BE1231">
        <w:t xml:space="preserve"> </w:t>
      </w:r>
      <w:r w:rsidR="00E37DCA" w:rsidRPr="00BE1231">
        <w:t>peut être consultée</w:t>
      </w:r>
      <w:r w:rsidR="00221F11" w:rsidRPr="00BE1231">
        <w:t xml:space="preserve"> à l</w:t>
      </w:r>
      <w:r w:rsidR="00C4117D">
        <w:t>’</w:t>
      </w:r>
      <w:r w:rsidR="00221F11" w:rsidRPr="00BE1231">
        <w:t xml:space="preserve">adresse </w:t>
      </w:r>
      <w:hyperlink r:id="rId15" w:history="1">
        <w:r w:rsidR="00221F11" w:rsidRPr="00BE1231">
          <w:rPr>
            <w:rStyle w:val="Hyperlink"/>
          </w:rPr>
          <w:t>http://www.upov.int/about/en/benefits_upov_system.html</w:t>
        </w:r>
      </w:hyperlink>
      <w:r w:rsidR="00221F11" w:rsidRPr="00BE1231">
        <w:t xml:space="preserve"> </w:t>
      </w:r>
      <w:r w:rsidR="00E55E38">
        <w:t xml:space="preserve">(en anglais uniquement) </w:t>
      </w:r>
      <w:r w:rsidR="00221F11" w:rsidRPr="00BE1231">
        <w:t>et des exemplaires sur papier en coffret sont</w:t>
      </w:r>
      <w:r w:rsidR="00E37DCA" w:rsidRPr="00BE1231">
        <w:t xml:space="preserve"> disponibles au Centre d</w:t>
      </w:r>
      <w:r w:rsidR="00C4117D">
        <w:t>’</w:t>
      </w:r>
      <w:r w:rsidR="00E37DCA" w:rsidRPr="00BE1231">
        <w:t>information de l</w:t>
      </w:r>
      <w:r w:rsidR="00C4117D">
        <w:t>’</w:t>
      </w:r>
      <w:r w:rsidR="00E37DCA" w:rsidRPr="00BE1231">
        <w:t>OMPI et sur demande.</w:t>
      </w:r>
    </w:p>
    <w:p w:rsidR="001031E4" w:rsidRPr="00BE1231" w:rsidRDefault="001031E4" w:rsidP="00CE767B"/>
    <w:p w:rsidR="005F3FA7" w:rsidRPr="00BE1231" w:rsidRDefault="005F3FA7" w:rsidP="006A4A4E">
      <w:pPr>
        <w:pStyle w:val="Heading2"/>
        <w:rPr>
          <w:lang w:val="fr-FR"/>
        </w:rPr>
      </w:pPr>
      <w:bookmarkStart w:id="29" w:name="_Toc381170143"/>
      <w:r w:rsidRPr="00BE1231">
        <w:rPr>
          <w:lang w:val="fr-FR"/>
        </w:rPr>
        <w:t>S</w:t>
      </w:r>
      <w:r w:rsidR="00A5473F" w:rsidRPr="00BE1231">
        <w:rPr>
          <w:lang w:val="fr-FR"/>
        </w:rPr>
        <w:t>é</w:t>
      </w:r>
      <w:r w:rsidRPr="00BE1231">
        <w:rPr>
          <w:lang w:val="fr-FR"/>
        </w:rPr>
        <w:t>mina</w:t>
      </w:r>
      <w:r w:rsidR="00A5473F" w:rsidRPr="00BE1231">
        <w:rPr>
          <w:lang w:val="fr-FR"/>
        </w:rPr>
        <w:t>ire sur les variétés essentiellement dérivées</w:t>
      </w:r>
      <w:bookmarkEnd w:id="29"/>
    </w:p>
    <w:p w:rsidR="00CE767B" w:rsidRPr="00BE1231" w:rsidRDefault="00CE767B" w:rsidP="00CE767B">
      <w:pPr>
        <w:rPr>
          <w:rFonts w:cs="Arial"/>
          <w:highlight w:val="yellow"/>
        </w:rPr>
      </w:pPr>
      <w:bookmarkStart w:id="30" w:name="OLE_LINK1"/>
    </w:p>
    <w:p w:rsidR="00E37DCA" w:rsidRPr="00BE1231" w:rsidRDefault="00185757" w:rsidP="00CE767B">
      <w:r w:rsidRPr="00BE1231">
        <w:rPr>
          <w:rFonts w:cs="Arial"/>
        </w:rPr>
        <w:fldChar w:fldCharType="begin"/>
      </w:r>
      <w:r w:rsidR="00CE767B" w:rsidRPr="00BE1231">
        <w:rPr>
          <w:rFonts w:cs="Arial"/>
        </w:rPr>
        <w:instrText xml:space="preserve"> AUTONUM  </w:instrText>
      </w:r>
      <w:r w:rsidRPr="00BE1231">
        <w:rPr>
          <w:rFonts w:cs="Arial"/>
        </w:rPr>
        <w:fldChar w:fldCharType="end"/>
      </w:r>
      <w:r w:rsidR="00CE767B" w:rsidRPr="00BE1231">
        <w:rPr>
          <w:rFonts w:cs="Arial"/>
        </w:rPr>
        <w:tab/>
      </w:r>
      <w:bookmarkEnd w:id="30"/>
      <w:r w:rsidR="00E37DCA" w:rsidRPr="00BE1231">
        <w:rPr>
          <w:rFonts w:cs="Arial"/>
        </w:rPr>
        <w:t>Le 2</w:t>
      </w:r>
      <w:r w:rsidR="00AB76FD" w:rsidRPr="00BE1231">
        <w:rPr>
          <w:rFonts w:cs="Arial"/>
        </w:rPr>
        <w:t>2</w:t>
      </w:r>
      <w:r w:rsidR="00AB76FD">
        <w:rPr>
          <w:rFonts w:cs="Arial"/>
        </w:rPr>
        <w:t> </w:t>
      </w:r>
      <w:r w:rsidR="00AB76FD" w:rsidRPr="00BE1231">
        <w:rPr>
          <w:rFonts w:cs="Arial"/>
        </w:rPr>
        <w:t>octobre</w:t>
      </w:r>
      <w:r w:rsidR="00AB76FD">
        <w:rPr>
          <w:rFonts w:cs="Arial"/>
        </w:rPr>
        <w:t> </w:t>
      </w:r>
      <w:r w:rsidR="00AB76FD" w:rsidRPr="00BE1231">
        <w:rPr>
          <w:rFonts w:cs="Arial"/>
          <w:snapToGrid w:val="0"/>
        </w:rPr>
        <w:t>20</w:t>
      </w:r>
      <w:r w:rsidR="00CE767B" w:rsidRPr="00BE1231">
        <w:rPr>
          <w:rFonts w:cs="Arial"/>
          <w:snapToGrid w:val="0"/>
        </w:rPr>
        <w:t xml:space="preserve">13, </w:t>
      </w:r>
      <w:r w:rsidR="00E37DCA" w:rsidRPr="00BE1231">
        <w:rPr>
          <w:rFonts w:cs="Arial"/>
          <w:snapToGrid w:val="0"/>
        </w:rPr>
        <w:t>l</w:t>
      </w:r>
      <w:r w:rsidR="00C4117D">
        <w:rPr>
          <w:rFonts w:cs="Arial"/>
          <w:snapToGrid w:val="0"/>
        </w:rPr>
        <w:t>’</w:t>
      </w:r>
      <w:r w:rsidR="00CE767B" w:rsidRPr="00BE1231">
        <w:rPr>
          <w:rFonts w:cs="Arial"/>
          <w:snapToGrid w:val="0"/>
        </w:rPr>
        <w:t xml:space="preserve">UPOV </w:t>
      </w:r>
      <w:r w:rsidR="00E37DCA" w:rsidRPr="00BE1231">
        <w:rPr>
          <w:rFonts w:cs="Arial"/>
          <w:snapToGrid w:val="0"/>
        </w:rPr>
        <w:t>a organisé un séminaire afin d</w:t>
      </w:r>
      <w:r w:rsidR="00C4117D">
        <w:rPr>
          <w:rFonts w:cs="Arial"/>
          <w:snapToGrid w:val="0"/>
        </w:rPr>
        <w:t>’</w:t>
      </w:r>
      <w:r w:rsidR="00E37DCA" w:rsidRPr="00BE1231">
        <w:rPr>
          <w:rFonts w:cs="Arial"/>
          <w:snapToGrid w:val="0"/>
        </w:rPr>
        <w:t xml:space="preserve">examiner les </w:t>
      </w:r>
      <w:r w:rsidR="0077763A" w:rsidRPr="00BE1231">
        <w:rPr>
          <w:rFonts w:cs="Arial"/>
          <w:snapToGrid w:val="0"/>
        </w:rPr>
        <w:t>aspects</w:t>
      </w:r>
      <w:r w:rsidR="00E37DCA" w:rsidRPr="00BE1231">
        <w:rPr>
          <w:rFonts w:cs="Arial"/>
          <w:snapToGrid w:val="0"/>
        </w:rPr>
        <w:t xml:space="preserve"> techniques et juridiques </w:t>
      </w:r>
      <w:r w:rsidR="0077763A" w:rsidRPr="00BE1231">
        <w:rPr>
          <w:rFonts w:cs="Arial"/>
          <w:snapToGrid w:val="0"/>
        </w:rPr>
        <w:t>des</w:t>
      </w:r>
      <w:r w:rsidR="00E37DCA" w:rsidRPr="00BE1231">
        <w:rPr>
          <w:rFonts w:cs="Arial"/>
          <w:snapToGrid w:val="0"/>
        </w:rPr>
        <w:t xml:space="preserve"> variétés essentiellement dérivées et leur</w:t>
      </w:r>
      <w:r w:rsidR="0077763A" w:rsidRPr="00BE1231">
        <w:rPr>
          <w:rFonts w:cs="Arial"/>
          <w:snapToGrid w:val="0"/>
        </w:rPr>
        <w:t xml:space="preserve"> incidence éventuelle</w:t>
      </w:r>
      <w:r w:rsidR="00E37DCA" w:rsidRPr="00BE1231">
        <w:rPr>
          <w:rFonts w:cs="Arial"/>
          <w:snapToGrid w:val="0"/>
        </w:rPr>
        <w:t xml:space="preserve"> sur la sélection </w:t>
      </w:r>
      <w:r w:rsidR="0077763A" w:rsidRPr="00BE1231">
        <w:rPr>
          <w:rFonts w:cs="Arial"/>
          <w:snapToGrid w:val="0"/>
        </w:rPr>
        <w:t xml:space="preserve">végétale </w:t>
      </w:r>
      <w:r w:rsidR="00E37DCA" w:rsidRPr="00BE1231">
        <w:rPr>
          <w:rFonts w:cs="Arial"/>
          <w:snapToGrid w:val="0"/>
        </w:rPr>
        <w:t>et l</w:t>
      </w:r>
      <w:r w:rsidR="00C4117D">
        <w:rPr>
          <w:rFonts w:cs="Arial"/>
          <w:snapToGrid w:val="0"/>
        </w:rPr>
        <w:t>’</w:t>
      </w:r>
      <w:r w:rsidR="00E37DCA" w:rsidRPr="00BE1231">
        <w:rPr>
          <w:rFonts w:cs="Arial"/>
          <w:snapToGrid w:val="0"/>
        </w:rPr>
        <w:t>agriculture, l</w:t>
      </w:r>
      <w:r w:rsidR="00C4117D">
        <w:rPr>
          <w:rFonts w:cs="Arial"/>
          <w:snapToGrid w:val="0"/>
        </w:rPr>
        <w:t>’</w:t>
      </w:r>
      <w:r w:rsidR="00E37DCA" w:rsidRPr="00BE1231">
        <w:rPr>
          <w:rFonts w:cs="Arial"/>
          <w:snapToGrid w:val="0"/>
        </w:rPr>
        <w:t xml:space="preserve">expérience acquise en matière de variétés essentiellement dérivées, ainsi </w:t>
      </w:r>
      <w:r w:rsidR="00E37DCA" w:rsidRPr="00BE1231">
        <w:t>que le rôle éventuel des futures orientations de l</w:t>
      </w:r>
      <w:r w:rsidR="00C4117D">
        <w:t>’</w:t>
      </w:r>
      <w:r w:rsidR="00E37DCA" w:rsidRPr="00BE1231">
        <w:t>UPOV dans le cadre des procédures judiciaires.</w:t>
      </w:r>
    </w:p>
    <w:p w:rsidR="00CE767B" w:rsidRPr="00BE1231" w:rsidRDefault="00CE767B" w:rsidP="00CE767B">
      <w:pPr>
        <w:rPr>
          <w:rFonts w:cs="Arial"/>
          <w:snapToGrid w:val="0"/>
        </w:rPr>
      </w:pPr>
    </w:p>
    <w:p w:rsidR="00AB76FD" w:rsidRDefault="00185757" w:rsidP="00CE767B">
      <w:pPr>
        <w:rPr>
          <w:rFonts w:cs="Arial"/>
          <w:snapToGrid w:val="0"/>
        </w:rPr>
      </w:pPr>
      <w:r w:rsidRPr="00BE1231">
        <w:rPr>
          <w:rFonts w:cs="Arial"/>
          <w:snapToGrid w:val="0"/>
        </w:rPr>
        <w:fldChar w:fldCharType="begin"/>
      </w:r>
      <w:r w:rsidR="00CE767B" w:rsidRPr="00BE1231">
        <w:rPr>
          <w:rFonts w:cs="Arial"/>
          <w:snapToGrid w:val="0"/>
        </w:rPr>
        <w:instrText xml:space="preserve"> AUTONUM  </w:instrText>
      </w:r>
      <w:r w:rsidRPr="00BE1231">
        <w:rPr>
          <w:rFonts w:cs="Arial"/>
          <w:snapToGrid w:val="0"/>
        </w:rPr>
        <w:fldChar w:fldCharType="end"/>
      </w:r>
      <w:r w:rsidR="00CE767B" w:rsidRPr="00BE1231">
        <w:rPr>
          <w:rFonts w:cs="Arial"/>
          <w:snapToGrid w:val="0"/>
        </w:rPr>
        <w:tab/>
      </w:r>
      <w:r w:rsidR="0077763A" w:rsidRPr="00BE1231">
        <w:rPr>
          <w:rFonts w:cs="Arial"/>
          <w:snapToGrid w:val="0"/>
        </w:rPr>
        <w:t xml:space="preserve">Le texte des exposés et une vidéo du séminaire sont disponibles </w:t>
      </w:r>
      <w:r w:rsidR="00E55E38">
        <w:rPr>
          <w:rFonts w:cs="Arial"/>
          <w:snapToGrid w:val="0"/>
        </w:rPr>
        <w:t xml:space="preserve">(en anglais) </w:t>
      </w:r>
      <w:r w:rsidR="0077763A" w:rsidRPr="00BE1231">
        <w:rPr>
          <w:rFonts w:cs="Arial"/>
          <w:snapToGrid w:val="0"/>
        </w:rPr>
        <w:t>sur le site</w:t>
      </w:r>
      <w:r w:rsidR="00E2212C">
        <w:rPr>
          <w:rFonts w:cs="Arial"/>
          <w:snapToGrid w:val="0"/>
        </w:rPr>
        <w:t> </w:t>
      </w:r>
      <w:r w:rsidR="0077763A" w:rsidRPr="00BE1231">
        <w:rPr>
          <w:rFonts w:cs="Arial"/>
          <w:snapToGrid w:val="0"/>
        </w:rPr>
        <w:t>Web de l</w:t>
      </w:r>
      <w:r w:rsidR="00C4117D">
        <w:rPr>
          <w:rFonts w:cs="Arial"/>
          <w:snapToGrid w:val="0"/>
        </w:rPr>
        <w:t>’</w:t>
      </w:r>
      <w:r w:rsidR="00CE767B" w:rsidRPr="00BE1231">
        <w:rPr>
          <w:rFonts w:cs="Arial"/>
          <w:snapToGrid w:val="0"/>
        </w:rPr>
        <w:t xml:space="preserve">UPOV </w:t>
      </w:r>
      <w:r w:rsidR="0077763A" w:rsidRPr="00BE1231">
        <w:rPr>
          <w:rFonts w:cs="Arial"/>
          <w:snapToGrid w:val="0"/>
        </w:rPr>
        <w:t>à l</w:t>
      </w:r>
      <w:r w:rsidR="00C4117D">
        <w:rPr>
          <w:rFonts w:cs="Arial"/>
          <w:snapToGrid w:val="0"/>
        </w:rPr>
        <w:t>’</w:t>
      </w:r>
      <w:r w:rsidR="0077763A" w:rsidRPr="00BE1231">
        <w:rPr>
          <w:rFonts w:cs="Arial"/>
          <w:snapToGrid w:val="0"/>
        </w:rPr>
        <w:t>adresse</w:t>
      </w:r>
      <w:r w:rsidR="00CE767B" w:rsidRPr="00BE1231">
        <w:rPr>
          <w:rFonts w:cs="Arial"/>
          <w:snapToGrid w:val="0"/>
        </w:rPr>
        <w:t xml:space="preserve"> </w:t>
      </w:r>
      <w:r w:rsidR="0063448C">
        <w:fldChar w:fldCharType="begin"/>
      </w:r>
      <w:r w:rsidR="0063448C">
        <w:instrText xml:space="preserve"> HYPERLINK "http://www.upov.int/meetings/en/details.jsp?meeting_id=29782" </w:instrText>
      </w:r>
      <w:r w:rsidR="0063448C">
        <w:fldChar w:fldCharType="separate"/>
      </w:r>
      <w:r w:rsidR="004B017A" w:rsidRPr="00BE1231">
        <w:rPr>
          <w:rStyle w:val="Hyperlink"/>
          <w:rFonts w:cs="Arial"/>
          <w:snapToGrid w:val="0"/>
        </w:rPr>
        <w:t>http://www.upov.int/meetings/en/details.jsp?meeting_id=29782</w:t>
      </w:r>
      <w:r w:rsidR="0063448C">
        <w:rPr>
          <w:rStyle w:val="Hyperlink"/>
          <w:rFonts w:cs="Arial"/>
          <w:snapToGrid w:val="0"/>
        </w:rPr>
        <w:fldChar w:fldCharType="end"/>
      </w:r>
      <w:r w:rsidR="00CE767B" w:rsidRPr="00BE1231">
        <w:rPr>
          <w:rFonts w:cs="Arial"/>
          <w:snapToGrid w:val="0"/>
        </w:rPr>
        <w:t>.</w:t>
      </w:r>
    </w:p>
    <w:p w:rsidR="00CE767B" w:rsidRPr="00BE1231" w:rsidRDefault="00CE767B" w:rsidP="00CE767B"/>
    <w:p w:rsidR="003D2768" w:rsidRPr="00BE1231" w:rsidRDefault="00CE767B" w:rsidP="006A4A4E">
      <w:pPr>
        <w:pStyle w:val="Heading2"/>
        <w:rPr>
          <w:lang w:val="fr-FR"/>
        </w:rPr>
      </w:pPr>
      <w:bookmarkStart w:id="31" w:name="_Toc381170144"/>
      <w:r w:rsidRPr="00BE1231">
        <w:rPr>
          <w:lang w:val="fr-FR"/>
        </w:rPr>
        <w:t>Cours</w:t>
      </w:r>
      <w:r w:rsidR="00A5473F" w:rsidRPr="00BE1231">
        <w:rPr>
          <w:lang w:val="fr-FR"/>
        </w:rPr>
        <w:t xml:space="preserve"> d</w:t>
      </w:r>
      <w:r w:rsidR="00C4117D">
        <w:rPr>
          <w:lang w:val="fr-FR"/>
        </w:rPr>
        <w:t>’</w:t>
      </w:r>
      <w:r w:rsidR="00A5473F" w:rsidRPr="00BE1231">
        <w:rPr>
          <w:lang w:val="fr-FR"/>
        </w:rPr>
        <w:t>enseignement à distance</w:t>
      </w:r>
      <w:bookmarkEnd w:id="31"/>
    </w:p>
    <w:p w:rsidR="003D2768" w:rsidRPr="00BE1231" w:rsidRDefault="003D2768" w:rsidP="004E4FAC">
      <w:pPr>
        <w:keepNext/>
      </w:pPr>
    </w:p>
    <w:p w:rsidR="00AB76FD" w:rsidRDefault="00185757" w:rsidP="004E4FAC">
      <w:pPr>
        <w:keepNext/>
      </w:pPr>
      <w:r w:rsidRPr="00BE1231">
        <w:fldChar w:fldCharType="begin"/>
      </w:r>
      <w:r w:rsidR="005902E4" w:rsidRPr="00BE1231">
        <w:instrText xml:space="preserve"> AUTONUM  </w:instrText>
      </w:r>
      <w:r w:rsidRPr="00BE1231">
        <w:fldChar w:fldCharType="end"/>
      </w:r>
      <w:r w:rsidR="005902E4" w:rsidRPr="00BE1231">
        <w:tab/>
      </w:r>
      <w:r w:rsidR="0077763A" w:rsidRPr="00BE1231">
        <w:t>Une première session du cours DL</w:t>
      </w:r>
      <w:r w:rsidR="00C4117D">
        <w:t>-</w:t>
      </w:r>
      <w:r w:rsidR="0077763A" w:rsidRPr="00BE1231">
        <w:t xml:space="preserve">305 </w:t>
      </w:r>
      <w:r w:rsidR="00E2212C">
        <w:t>“</w:t>
      </w:r>
      <w:r w:rsidR="0077763A" w:rsidRPr="00BE1231">
        <w:t>Examen des demandes de droit d</w:t>
      </w:r>
      <w:r w:rsidR="00C4117D">
        <w:t>’</w:t>
      </w:r>
      <w:r w:rsidR="0077763A" w:rsidRPr="00BE1231">
        <w:t>obtenteur</w:t>
      </w:r>
      <w:r w:rsidR="00E2212C">
        <w:t>”</w:t>
      </w:r>
      <w:r w:rsidR="0077763A" w:rsidRPr="00BE1231">
        <w:t xml:space="preserve"> aura lieu, en</w:t>
      </w:r>
      <w:r w:rsidR="00E55E38">
        <w:t> </w:t>
      </w:r>
      <w:r w:rsidR="0077763A" w:rsidRPr="00BE1231">
        <w:t>anglais, aux dates suivantes</w:t>
      </w:r>
      <w:r w:rsidR="00E2212C">
        <w:t> </w:t>
      </w:r>
      <w:r w:rsidR="0077763A" w:rsidRPr="00BE1231">
        <w:t>:</w:t>
      </w:r>
    </w:p>
    <w:p w:rsidR="005902E4" w:rsidRPr="00BE1231" w:rsidRDefault="005902E4" w:rsidP="005902E4"/>
    <w:p w:rsidR="005902E4" w:rsidRPr="00BE1231" w:rsidRDefault="005902E4" w:rsidP="00E55E38">
      <w:pPr>
        <w:tabs>
          <w:tab w:val="left" w:pos="1985"/>
        </w:tabs>
        <w:ind w:left="567"/>
        <w:rPr>
          <w:rFonts w:cs="Arial"/>
        </w:rPr>
      </w:pPr>
      <w:r w:rsidRPr="00BE1231">
        <w:rPr>
          <w:rFonts w:cs="Arial"/>
        </w:rPr>
        <w:t>Cours</w:t>
      </w:r>
      <w:r w:rsidR="00E2212C">
        <w:rPr>
          <w:rFonts w:cs="Arial"/>
        </w:rPr>
        <w:t> </w:t>
      </w:r>
      <w:r w:rsidR="00E55E38">
        <w:rPr>
          <w:rFonts w:cs="Arial"/>
        </w:rPr>
        <w:t>:</w:t>
      </w:r>
      <w:r w:rsidR="00E55E38">
        <w:rPr>
          <w:rFonts w:cs="Arial"/>
        </w:rPr>
        <w:tab/>
      </w:r>
      <w:r w:rsidR="0077763A" w:rsidRPr="00BE1231">
        <w:rPr>
          <w:rFonts w:cs="Arial"/>
        </w:rPr>
        <w:t>du 3</w:t>
      </w:r>
      <w:r w:rsidR="00AB76FD" w:rsidRPr="00BE1231">
        <w:rPr>
          <w:rFonts w:cs="Arial"/>
        </w:rPr>
        <w:t>1</w:t>
      </w:r>
      <w:r w:rsidR="00AB76FD">
        <w:rPr>
          <w:rFonts w:cs="Arial"/>
        </w:rPr>
        <w:t> </w:t>
      </w:r>
      <w:r w:rsidR="00AB76FD" w:rsidRPr="00BE1231">
        <w:rPr>
          <w:rFonts w:cs="Arial"/>
        </w:rPr>
        <w:t>mars</w:t>
      </w:r>
      <w:r w:rsidR="0077763A" w:rsidRPr="00BE1231">
        <w:rPr>
          <w:rFonts w:cs="Arial"/>
        </w:rPr>
        <w:t xml:space="preserve"> au 1</w:t>
      </w:r>
      <w:r w:rsidR="00AB76FD" w:rsidRPr="00BE1231">
        <w:rPr>
          <w:rFonts w:cs="Arial"/>
        </w:rPr>
        <w:t>1</w:t>
      </w:r>
      <w:r w:rsidR="00AB76FD">
        <w:rPr>
          <w:rFonts w:cs="Arial"/>
        </w:rPr>
        <w:t> </w:t>
      </w:r>
      <w:r w:rsidR="00AB76FD" w:rsidRPr="00BE1231">
        <w:rPr>
          <w:rFonts w:cs="Arial"/>
        </w:rPr>
        <w:t>mai</w:t>
      </w:r>
      <w:r w:rsidR="00AB76FD">
        <w:rPr>
          <w:rFonts w:cs="Arial"/>
        </w:rPr>
        <w:t> </w:t>
      </w:r>
      <w:r w:rsidR="00AB76FD" w:rsidRPr="00BE1231">
        <w:rPr>
          <w:rFonts w:cs="Arial"/>
        </w:rPr>
        <w:t>20</w:t>
      </w:r>
      <w:r w:rsidRPr="00BE1231">
        <w:rPr>
          <w:rFonts w:cs="Arial"/>
        </w:rPr>
        <w:t>14</w:t>
      </w:r>
    </w:p>
    <w:p w:rsidR="005902E4" w:rsidRPr="00BE1231" w:rsidRDefault="0077763A" w:rsidP="00E55E38">
      <w:pPr>
        <w:tabs>
          <w:tab w:val="left" w:pos="1985"/>
        </w:tabs>
        <w:ind w:left="567"/>
        <w:rPr>
          <w:rFonts w:cs="Arial"/>
        </w:rPr>
      </w:pPr>
      <w:r w:rsidRPr="00BE1231">
        <w:rPr>
          <w:rFonts w:cs="Arial"/>
        </w:rPr>
        <w:t>Examen final</w:t>
      </w:r>
      <w:r w:rsidR="00E2212C">
        <w:rPr>
          <w:rFonts w:cs="Arial"/>
        </w:rPr>
        <w:t> </w:t>
      </w:r>
      <w:r w:rsidR="00E55E38">
        <w:rPr>
          <w:rFonts w:cs="Arial"/>
        </w:rPr>
        <w:t>:</w:t>
      </w:r>
      <w:r w:rsidR="00E55E38">
        <w:rPr>
          <w:rFonts w:cs="Arial"/>
        </w:rPr>
        <w:tab/>
      </w:r>
      <w:r w:rsidRPr="00BE1231">
        <w:rPr>
          <w:rFonts w:cs="Arial"/>
        </w:rPr>
        <w:t>du 5 au 1</w:t>
      </w:r>
      <w:r w:rsidR="00AB76FD" w:rsidRPr="00BE1231">
        <w:rPr>
          <w:rFonts w:cs="Arial"/>
        </w:rPr>
        <w:t>1</w:t>
      </w:r>
      <w:r w:rsidR="00AB76FD">
        <w:rPr>
          <w:rFonts w:cs="Arial"/>
        </w:rPr>
        <w:t> </w:t>
      </w:r>
      <w:r w:rsidR="00AB76FD" w:rsidRPr="00BE1231">
        <w:rPr>
          <w:rFonts w:cs="Arial"/>
        </w:rPr>
        <w:t>mai</w:t>
      </w:r>
      <w:r w:rsidR="00AB76FD">
        <w:rPr>
          <w:rFonts w:cs="Arial"/>
        </w:rPr>
        <w:t> </w:t>
      </w:r>
      <w:r w:rsidR="00AB76FD" w:rsidRPr="00BE1231">
        <w:rPr>
          <w:rFonts w:cs="Arial"/>
        </w:rPr>
        <w:t>20</w:t>
      </w:r>
      <w:r w:rsidR="005902E4" w:rsidRPr="00BE1231">
        <w:rPr>
          <w:rFonts w:cs="Arial"/>
        </w:rPr>
        <w:t>14</w:t>
      </w:r>
    </w:p>
    <w:p w:rsidR="005902E4" w:rsidRPr="00BE1231" w:rsidRDefault="005902E4" w:rsidP="005902E4"/>
    <w:p w:rsidR="0077763A" w:rsidRPr="00BE1231" w:rsidRDefault="00185757" w:rsidP="005902E4">
      <w:r w:rsidRPr="00BE1231">
        <w:fldChar w:fldCharType="begin"/>
      </w:r>
      <w:r w:rsidR="005902E4" w:rsidRPr="00BE1231">
        <w:instrText xml:space="preserve"> AUTONUM  </w:instrText>
      </w:r>
      <w:r w:rsidRPr="00BE1231">
        <w:fldChar w:fldCharType="end"/>
      </w:r>
      <w:r w:rsidR="005902E4" w:rsidRPr="00BE1231">
        <w:tab/>
      </w:r>
      <w:r w:rsidR="0077763A" w:rsidRPr="00BE1231">
        <w:t>La première</w:t>
      </w:r>
      <w:r w:rsidR="005902E4" w:rsidRPr="00BE1231">
        <w:t xml:space="preserve"> session </w:t>
      </w:r>
      <w:r w:rsidR="0077763A" w:rsidRPr="00BE1231">
        <w:t>du cours</w:t>
      </w:r>
      <w:r w:rsidR="005902E4" w:rsidRPr="00BE1231">
        <w:t xml:space="preserve"> DL</w:t>
      </w:r>
      <w:r w:rsidR="00C4117D">
        <w:t>-</w:t>
      </w:r>
      <w:r w:rsidR="005902E4" w:rsidRPr="00BE1231">
        <w:t xml:space="preserve">305 </w:t>
      </w:r>
      <w:r w:rsidR="0077763A" w:rsidRPr="00BE1231">
        <w:t>a été proposée uniquement à des fonctionnaires de membres de l</w:t>
      </w:r>
      <w:r w:rsidR="00C4117D">
        <w:t>’</w:t>
      </w:r>
      <w:r w:rsidR="0077763A" w:rsidRPr="00BE1231">
        <w:t xml:space="preserve">Union qui </w:t>
      </w:r>
      <w:r w:rsidR="00B676AD" w:rsidRPr="00BE1231">
        <w:t>ont suivi avec succès le cours DL</w:t>
      </w:r>
      <w:r w:rsidR="00C4117D">
        <w:t>-</w:t>
      </w:r>
      <w:r w:rsidR="00B676AD" w:rsidRPr="00BE1231">
        <w:t xml:space="preserve">205 </w:t>
      </w:r>
      <w:r w:rsidR="00E2212C">
        <w:t>“</w:t>
      </w:r>
      <w:r w:rsidR="00B676AD" w:rsidRPr="00BE1231">
        <w:t>Introduction au système UPOV de protection des</w:t>
      </w:r>
      <w:r w:rsidR="00E55E38">
        <w:t> </w:t>
      </w:r>
      <w:r w:rsidR="00B676AD" w:rsidRPr="00BE1231">
        <w:t xml:space="preserve">obtentions végétales selon la </w:t>
      </w:r>
      <w:r w:rsidR="00C4117D">
        <w:t>Convention UPOV</w:t>
      </w:r>
      <w:r w:rsidR="00E2212C">
        <w:t>”</w:t>
      </w:r>
      <w:r w:rsidR="00B676AD" w:rsidRPr="00BE1231">
        <w:t xml:space="preserve">, en </w:t>
      </w:r>
      <w:r w:rsidR="00CB1E15">
        <w:t>précisant</w:t>
      </w:r>
      <w:r w:rsidR="00CB1E15" w:rsidRPr="00BE1231">
        <w:t xml:space="preserve"> </w:t>
      </w:r>
      <w:r w:rsidR="00B676AD" w:rsidRPr="00BE1231">
        <w:t>qu</w:t>
      </w:r>
      <w:r w:rsidR="00C4117D">
        <w:t>’</w:t>
      </w:r>
      <w:r w:rsidR="00B676AD" w:rsidRPr="00BE1231">
        <w:t>il sera envisagé de scinder le</w:t>
      </w:r>
      <w:r w:rsidR="00E55E38">
        <w:t> </w:t>
      </w:r>
      <w:r w:rsidR="00B676AD" w:rsidRPr="00BE1231">
        <w:t>cours</w:t>
      </w:r>
      <w:r w:rsidR="00E55E38">
        <w:t> </w:t>
      </w:r>
      <w:r w:rsidR="00B676AD" w:rsidRPr="00BE1231">
        <w:t>DL</w:t>
      </w:r>
      <w:r w:rsidR="00E55E38" w:rsidRPr="003961D4">
        <w:noBreakHyphen/>
      </w:r>
      <w:r w:rsidR="00B676AD" w:rsidRPr="00BE1231">
        <w:t>305 en deux</w:t>
      </w:r>
      <w:r w:rsidR="00E2212C">
        <w:t> </w:t>
      </w:r>
      <w:r w:rsidR="00B676AD" w:rsidRPr="00BE1231">
        <w:t>cours distincts.</w:t>
      </w:r>
    </w:p>
    <w:p w:rsidR="005902E4" w:rsidRPr="00BE1231" w:rsidRDefault="005902E4" w:rsidP="005902E4"/>
    <w:p w:rsidR="00B676AD" w:rsidRPr="00BE1231" w:rsidRDefault="00185757" w:rsidP="005B50EC">
      <w:r w:rsidRPr="00BE1231">
        <w:fldChar w:fldCharType="begin"/>
      </w:r>
      <w:r w:rsidR="005B50EC" w:rsidRPr="00BE1231">
        <w:instrText xml:space="preserve"> AUTONUM  </w:instrText>
      </w:r>
      <w:r w:rsidRPr="00BE1231">
        <w:fldChar w:fldCharType="end"/>
      </w:r>
      <w:r w:rsidR="005B50EC" w:rsidRPr="00BE1231">
        <w:tab/>
      </w:r>
      <w:r w:rsidR="00B676AD" w:rsidRPr="00BE1231">
        <w:t>Sur la base des observations formulées lors d</w:t>
      </w:r>
      <w:r w:rsidR="00C4117D">
        <w:t>’</w:t>
      </w:r>
      <w:r w:rsidR="00B676AD" w:rsidRPr="00BE1231">
        <w:t xml:space="preserve">une session </w:t>
      </w:r>
      <w:r w:rsidR="003541C5">
        <w:t>d</w:t>
      </w:r>
      <w:r w:rsidR="00C4117D">
        <w:t>’</w:t>
      </w:r>
      <w:r w:rsidR="003541C5">
        <w:t>essai</w:t>
      </w:r>
      <w:r w:rsidR="003541C5" w:rsidRPr="00BE1231">
        <w:t xml:space="preserve"> </w:t>
      </w:r>
      <w:r w:rsidR="00B676AD" w:rsidRPr="00BE1231">
        <w:t>du cours DL</w:t>
      </w:r>
      <w:r w:rsidR="00E55E38" w:rsidRPr="003961D4">
        <w:noBreakHyphen/>
      </w:r>
      <w:r w:rsidR="00B676AD" w:rsidRPr="00BE1231">
        <w:t>305, le Comité consultatif, à sa quatre</w:t>
      </w:r>
      <w:r w:rsidR="00C4117D">
        <w:t>-</w:t>
      </w:r>
      <w:r w:rsidR="00B676AD" w:rsidRPr="00BE1231">
        <w:t>vingt</w:t>
      </w:r>
      <w:r w:rsidR="00C4117D">
        <w:t>-</w:t>
      </w:r>
      <w:r w:rsidR="00B676AD" w:rsidRPr="00BE1231">
        <w:t>septième</w:t>
      </w:r>
      <w:r w:rsidR="00E2212C">
        <w:t> </w:t>
      </w:r>
      <w:r w:rsidR="00B676AD" w:rsidRPr="00BE1231">
        <w:t>session qui se tiendra à Genève le 1</w:t>
      </w:r>
      <w:r w:rsidR="00AB76FD" w:rsidRPr="00BE1231">
        <w:t>1</w:t>
      </w:r>
      <w:r w:rsidR="00AB76FD">
        <w:t> </w:t>
      </w:r>
      <w:r w:rsidR="00AB76FD" w:rsidRPr="00BE1231">
        <w:t>avril</w:t>
      </w:r>
      <w:r w:rsidR="00AB76FD">
        <w:t> </w:t>
      </w:r>
      <w:r w:rsidR="00AB76FD" w:rsidRPr="00BE1231">
        <w:t>20</w:t>
      </w:r>
      <w:r w:rsidR="00B676AD" w:rsidRPr="00BE1231">
        <w:t>14, sera invité à examiner la future scission du cours DL</w:t>
      </w:r>
      <w:r w:rsidR="00C4117D">
        <w:t>-</w:t>
      </w:r>
      <w:r w:rsidR="00B676AD" w:rsidRPr="00BE1231">
        <w:rPr>
          <w:snapToGrid w:val="0"/>
        </w:rPr>
        <w:t>305 en deux</w:t>
      </w:r>
      <w:r w:rsidR="00E2212C">
        <w:rPr>
          <w:snapToGrid w:val="0"/>
        </w:rPr>
        <w:t> </w:t>
      </w:r>
      <w:r w:rsidR="00B676AD" w:rsidRPr="00BE1231">
        <w:rPr>
          <w:snapToGrid w:val="0"/>
        </w:rPr>
        <w:t xml:space="preserve">cours distincts. </w:t>
      </w:r>
      <w:r w:rsidR="00566D72" w:rsidRPr="00BE1231">
        <w:rPr>
          <w:snapToGrid w:val="0"/>
        </w:rPr>
        <w:t xml:space="preserve"> </w:t>
      </w:r>
      <w:r w:rsidR="00B676AD" w:rsidRPr="00BE1231">
        <w:rPr>
          <w:snapToGrid w:val="0"/>
        </w:rPr>
        <w:t>Cette scission aura pour but de permettre aux participants de choisir la durée d</w:t>
      </w:r>
      <w:r w:rsidR="00C4117D">
        <w:rPr>
          <w:snapToGrid w:val="0"/>
        </w:rPr>
        <w:t>’</w:t>
      </w:r>
      <w:r w:rsidR="00B676AD" w:rsidRPr="00BE1231">
        <w:rPr>
          <w:snapToGrid w:val="0"/>
        </w:rPr>
        <w:t xml:space="preserve">étude en fonction de leur expertise et de leur expérience </w:t>
      </w:r>
      <w:r w:rsidR="00566D72" w:rsidRPr="00BE1231">
        <w:rPr>
          <w:snapToGrid w:val="0"/>
        </w:rPr>
        <w:t>et de proposer des cours d</w:t>
      </w:r>
      <w:r w:rsidR="00C4117D">
        <w:rPr>
          <w:snapToGrid w:val="0"/>
        </w:rPr>
        <w:t>’</w:t>
      </w:r>
      <w:r w:rsidR="00566D72" w:rsidRPr="00BE1231">
        <w:rPr>
          <w:snapToGrid w:val="0"/>
        </w:rPr>
        <w:t>une durée d</w:t>
      </w:r>
      <w:r w:rsidR="00C4117D">
        <w:rPr>
          <w:snapToGrid w:val="0"/>
        </w:rPr>
        <w:t>’</w:t>
      </w:r>
      <w:r w:rsidR="00566D72" w:rsidRPr="00BE1231">
        <w:rPr>
          <w:snapToGrid w:val="0"/>
        </w:rPr>
        <w:t>étude similaire à celle du cours DL</w:t>
      </w:r>
      <w:r w:rsidR="006B5795" w:rsidRPr="006B5795">
        <w:rPr>
          <w:snapToGrid w:val="0"/>
        </w:rPr>
        <w:noBreakHyphen/>
      </w:r>
      <w:r w:rsidR="00566D72" w:rsidRPr="00BE1231">
        <w:rPr>
          <w:snapToGrid w:val="0"/>
        </w:rPr>
        <w:t xml:space="preserve">205 (36 heures) au lieu des 70 heures indiquées pour le cours unique. </w:t>
      </w:r>
      <w:r w:rsidR="00CB1E15">
        <w:rPr>
          <w:snapToGrid w:val="0"/>
        </w:rPr>
        <w:t xml:space="preserve"> </w:t>
      </w:r>
      <w:r w:rsidR="00566D72" w:rsidRPr="00BE1231">
        <w:rPr>
          <w:snapToGrid w:val="0"/>
        </w:rPr>
        <w:t>L</w:t>
      </w:r>
      <w:r w:rsidR="00C4117D">
        <w:rPr>
          <w:snapToGrid w:val="0"/>
        </w:rPr>
        <w:t>’</w:t>
      </w:r>
      <w:r w:rsidR="00566D72" w:rsidRPr="00BE1231">
        <w:rPr>
          <w:snapToGrid w:val="0"/>
        </w:rPr>
        <w:t>un des cours porterait sur l</w:t>
      </w:r>
      <w:r w:rsidR="00C4117D">
        <w:rPr>
          <w:snapToGrid w:val="0"/>
        </w:rPr>
        <w:t>’</w:t>
      </w:r>
      <w:r w:rsidR="00566D72" w:rsidRPr="00BE1231">
        <w:rPr>
          <w:snapToGrid w:val="0"/>
        </w:rPr>
        <w:t>administration des droits d</w:t>
      </w:r>
      <w:r w:rsidR="00C4117D">
        <w:rPr>
          <w:snapToGrid w:val="0"/>
        </w:rPr>
        <w:t>’</w:t>
      </w:r>
      <w:r w:rsidR="00566D72" w:rsidRPr="00BE1231">
        <w:rPr>
          <w:snapToGrid w:val="0"/>
        </w:rPr>
        <w:t>obtenteur et l</w:t>
      </w:r>
      <w:r w:rsidR="00C4117D">
        <w:rPr>
          <w:snapToGrid w:val="0"/>
        </w:rPr>
        <w:t>’</w:t>
      </w:r>
      <w:r w:rsidR="00566D72" w:rsidRPr="00BE1231">
        <w:rPr>
          <w:snapToGrid w:val="0"/>
        </w:rPr>
        <w:t>examen de la nouveauté et de la dénomination;  l</w:t>
      </w:r>
      <w:r w:rsidR="00C4117D">
        <w:rPr>
          <w:snapToGrid w:val="0"/>
        </w:rPr>
        <w:t>’</w:t>
      </w:r>
      <w:r w:rsidR="00566D72" w:rsidRPr="00BE1231">
        <w:rPr>
          <w:snapToGrid w:val="0"/>
        </w:rPr>
        <w:t>autre cours traiterait de l</w:t>
      </w:r>
      <w:r w:rsidR="00C4117D">
        <w:rPr>
          <w:snapToGrid w:val="0"/>
        </w:rPr>
        <w:t>’</w:t>
      </w:r>
      <w:r w:rsidR="00566D72" w:rsidRPr="00BE1231">
        <w:rPr>
          <w:snapToGrid w:val="0"/>
        </w:rPr>
        <w:t>examen de la distinction, de l</w:t>
      </w:r>
      <w:r w:rsidR="00C4117D">
        <w:rPr>
          <w:snapToGrid w:val="0"/>
        </w:rPr>
        <w:t>’</w:t>
      </w:r>
      <w:r w:rsidR="00566D72" w:rsidRPr="00BE1231">
        <w:rPr>
          <w:snapToGrid w:val="0"/>
        </w:rPr>
        <w:t>homogénéité et de la stabilité (</w:t>
      </w:r>
      <w:r w:rsidR="00E2212C">
        <w:rPr>
          <w:snapToGrid w:val="0"/>
        </w:rPr>
        <w:t>“</w:t>
      </w:r>
      <w:r w:rsidR="00566D72" w:rsidRPr="00BE1231">
        <w:rPr>
          <w:snapToGrid w:val="0"/>
        </w:rPr>
        <w:t>DHS</w:t>
      </w:r>
      <w:r w:rsidR="00E2212C">
        <w:rPr>
          <w:snapToGrid w:val="0"/>
        </w:rPr>
        <w:t>”</w:t>
      </w:r>
      <w:r w:rsidR="00566D72" w:rsidRPr="00BE1231">
        <w:rPr>
          <w:snapToGrid w:val="0"/>
        </w:rPr>
        <w:t>)</w:t>
      </w:r>
      <w:r w:rsidR="00E2212C">
        <w:rPr>
          <w:snapToGrid w:val="0"/>
        </w:rPr>
        <w:t>.</w:t>
      </w:r>
      <w:r w:rsidR="00566D72" w:rsidRPr="00BE1231">
        <w:rPr>
          <w:snapToGrid w:val="0"/>
        </w:rPr>
        <w:t xml:space="preserve">  Il serait possible de suivre un</w:t>
      </w:r>
      <w:r w:rsidR="003541C5">
        <w:rPr>
          <w:snapToGrid w:val="0"/>
        </w:rPr>
        <w:t xml:space="preserve"> seul</w:t>
      </w:r>
      <w:r w:rsidR="00566D72" w:rsidRPr="00BE1231">
        <w:rPr>
          <w:snapToGrid w:val="0"/>
        </w:rPr>
        <w:t xml:space="preserve"> cours ou les deux, et les deux</w:t>
      </w:r>
      <w:r w:rsidR="00E2212C">
        <w:rPr>
          <w:snapToGrid w:val="0"/>
        </w:rPr>
        <w:t> </w:t>
      </w:r>
      <w:r w:rsidR="00566D72" w:rsidRPr="00BE1231">
        <w:rPr>
          <w:snapToGrid w:val="0"/>
        </w:rPr>
        <w:t>cours seraient dispensés consécutivement, de manière que les étudiants souhaitant suivre les deux</w:t>
      </w:r>
      <w:r w:rsidR="00E2212C">
        <w:rPr>
          <w:snapToGrid w:val="0"/>
        </w:rPr>
        <w:t> </w:t>
      </w:r>
      <w:r w:rsidR="00566D72" w:rsidRPr="00BE1231">
        <w:rPr>
          <w:snapToGrid w:val="0"/>
        </w:rPr>
        <w:t xml:space="preserve">puissent le faire, le second cours étant dispensé dans </w:t>
      </w:r>
      <w:r w:rsidR="00CB1E15" w:rsidRPr="00BE1231">
        <w:rPr>
          <w:snapToGrid w:val="0"/>
        </w:rPr>
        <w:t>l</w:t>
      </w:r>
      <w:r w:rsidR="00CB1E15">
        <w:rPr>
          <w:snapToGrid w:val="0"/>
        </w:rPr>
        <w:t>a</w:t>
      </w:r>
      <w:r w:rsidR="00CB1E15" w:rsidRPr="00BE1231">
        <w:rPr>
          <w:snapToGrid w:val="0"/>
        </w:rPr>
        <w:t xml:space="preserve"> </w:t>
      </w:r>
      <w:r w:rsidR="00566D72" w:rsidRPr="00BE1231">
        <w:rPr>
          <w:snapToGrid w:val="0"/>
        </w:rPr>
        <w:t>foulée du premier.</w:t>
      </w:r>
    </w:p>
    <w:p w:rsidR="005B50EC" w:rsidRPr="00BE1231" w:rsidRDefault="005B50EC" w:rsidP="005902E4">
      <w:pPr>
        <w:rPr>
          <w:rFonts w:cs="Arial"/>
          <w:snapToGrid w:val="0"/>
        </w:rPr>
      </w:pPr>
    </w:p>
    <w:p w:rsidR="00566D72" w:rsidRPr="00BE1231" w:rsidRDefault="00185757" w:rsidP="00001D13">
      <w:pPr>
        <w:shd w:val="clear" w:color="auto" w:fill="FFFFFF"/>
        <w:rPr>
          <w:rFonts w:cs="Arial"/>
        </w:rPr>
      </w:pPr>
      <w:r w:rsidRPr="00BE1231">
        <w:rPr>
          <w:rFonts w:cs="Arial"/>
        </w:rPr>
        <w:fldChar w:fldCharType="begin"/>
      </w:r>
      <w:r w:rsidR="005B50EC" w:rsidRPr="00BE1231">
        <w:rPr>
          <w:rFonts w:cs="Arial"/>
        </w:rPr>
        <w:instrText xml:space="preserve"> AUTONUM  </w:instrText>
      </w:r>
      <w:r w:rsidRPr="00BE1231">
        <w:rPr>
          <w:rFonts w:cs="Arial"/>
        </w:rPr>
        <w:fldChar w:fldCharType="end"/>
      </w:r>
      <w:r w:rsidR="005B50EC" w:rsidRPr="00BE1231">
        <w:rPr>
          <w:rFonts w:cs="Arial"/>
        </w:rPr>
        <w:tab/>
      </w:r>
      <w:r w:rsidR="00566D72" w:rsidRPr="00BE1231">
        <w:rPr>
          <w:rFonts w:cs="Arial"/>
        </w:rPr>
        <w:t>La clé du succès des cours d</w:t>
      </w:r>
      <w:r w:rsidR="00C4117D">
        <w:rPr>
          <w:rFonts w:cs="Arial"/>
        </w:rPr>
        <w:t>’</w:t>
      </w:r>
      <w:r w:rsidR="00566D72" w:rsidRPr="00BE1231">
        <w:rPr>
          <w:rFonts w:cs="Arial"/>
        </w:rPr>
        <w:t>enseignement à distance de l</w:t>
      </w:r>
      <w:r w:rsidR="00C4117D">
        <w:rPr>
          <w:rFonts w:cs="Arial"/>
        </w:rPr>
        <w:t>’</w:t>
      </w:r>
      <w:r w:rsidR="00566D72" w:rsidRPr="00BE1231">
        <w:rPr>
          <w:rFonts w:cs="Arial"/>
        </w:rPr>
        <w:t xml:space="preserve">UPOV repose sur </w:t>
      </w:r>
      <w:r w:rsidR="00C75998" w:rsidRPr="00BE1231">
        <w:rPr>
          <w:rFonts w:cs="Arial"/>
        </w:rPr>
        <w:t>l</w:t>
      </w:r>
      <w:r w:rsidR="00C4117D">
        <w:rPr>
          <w:rFonts w:cs="Arial"/>
        </w:rPr>
        <w:t>’</w:t>
      </w:r>
      <w:r w:rsidR="00C75998" w:rsidRPr="00BE1231">
        <w:rPr>
          <w:rFonts w:cs="Arial"/>
        </w:rPr>
        <w:t xml:space="preserve">encadrement pédagogique </w:t>
      </w:r>
      <w:r w:rsidR="00566D72" w:rsidRPr="00BE1231">
        <w:rPr>
          <w:rFonts w:cs="Arial"/>
        </w:rPr>
        <w:t>des étudiants de première catégorie</w:t>
      </w:r>
      <w:r w:rsidR="00E2212C">
        <w:rPr>
          <w:rFonts w:cs="Arial"/>
        </w:rPr>
        <w:t> </w:t>
      </w:r>
      <w:r w:rsidR="00C75998" w:rsidRPr="00BE1231">
        <w:rPr>
          <w:rFonts w:cs="Arial"/>
        </w:rPr>
        <w:t>: fonctionnaires de membres de l</w:t>
      </w:r>
      <w:r w:rsidR="00C4117D">
        <w:rPr>
          <w:rFonts w:cs="Arial"/>
        </w:rPr>
        <w:t>’</w:t>
      </w:r>
      <w:r w:rsidR="00C75998" w:rsidRPr="00BE1231">
        <w:rPr>
          <w:rFonts w:cs="Arial"/>
        </w:rPr>
        <w:t>Union par des experts de membres de l</w:t>
      </w:r>
      <w:r w:rsidR="00C4117D">
        <w:rPr>
          <w:rFonts w:cs="Arial"/>
        </w:rPr>
        <w:t>’</w:t>
      </w:r>
      <w:r w:rsidR="00C75998" w:rsidRPr="00BE1231">
        <w:rPr>
          <w:rFonts w:cs="Arial"/>
        </w:rPr>
        <w:t>Union.  La fréquence des cours d</w:t>
      </w:r>
      <w:r w:rsidR="00C4117D">
        <w:rPr>
          <w:rFonts w:cs="Arial"/>
        </w:rPr>
        <w:t>’</w:t>
      </w:r>
      <w:r w:rsidR="00C75998" w:rsidRPr="00BE1231">
        <w:rPr>
          <w:rFonts w:cs="Arial"/>
        </w:rPr>
        <w:t>enseignement à distance dépend donc d</w:t>
      </w:r>
      <w:r w:rsidR="00C4117D">
        <w:rPr>
          <w:rFonts w:cs="Arial"/>
        </w:rPr>
        <w:t>’</w:t>
      </w:r>
      <w:r w:rsidR="00C75998" w:rsidRPr="00BE1231">
        <w:rPr>
          <w:rFonts w:cs="Arial"/>
        </w:rPr>
        <w:t>un facteur important</w:t>
      </w:r>
      <w:r w:rsidR="00E2212C">
        <w:rPr>
          <w:rFonts w:cs="Arial"/>
        </w:rPr>
        <w:t> </w:t>
      </w:r>
      <w:r w:rsidR="00C75998" w:rsidRPr="00BE1231">
        <w:rPr>
          <w:rFonts w:cs="Arial"/>
        </w:rPr>
        <w:t>: la disponibilité de ces experts.  À cet égard, il est prévu que ce soient les mêmes experts qui fassent office de formateurs pour les cours DL</w:t>
      </w:r>
      <w:r w:rsidR="006B5795" w:rsidRPr="006B5795">
        <w:rPr>
          <w:rFonts w:cs="Arial"/>
        </w:rPr>
        <w:noBreakHyphen/>
      </w:r>
      <w:r w:rsidR="00C75998" w:rsidRPr="00BE1231">
        <w:rPr>
          <w:rFonts w:cs="Arial"/>
        </w:rPr>
        <w:t>205 et DL</w:t>
      </w:r>
      <w:r w:rsidR="006B5795" w:rsidRPr="006B5795">
        <w:rPr>
          <w:rFonts w:cs="Arial"/>
        </w:rPr>
        <w:noBreakHyphen/>
      </w:r>
      <w:r w:rsidR="00C75998" w:rsidRPr="00BE1231">
        <w:rPr>
          <w:rFonts w:cs="Arial"/>
        </w:rPr>
        <w:t>305.  À l</w:t>
      </w:r>
      <w:r w:rsidR="00C4117D">
        <w:rPr>
          <w:rFonts w:cs="Arial"/>
        </w:rPr>
        <w:t>’</w:t>
      </w:r>
      <w:r w:rsidR="00C75998" w:rsidRPr="00BE1231">
        <w:rPr>
          <w:rFonts w:cs="Arial"/>
        </w:rPr>
        <w:t>heure actuelle, le cours DL</w:t>
      </w:r>
      <w:r w:rsidR="006B5795" w:rsidRPr="006B5795">
        <w:rPr>
          <w:rFonts w:cs="Arial"/>
        </w:rPr>
        <w:noBreakHyphen/>
      </w:r>
      <w:r w:rsidR="00C75998" w:rsidRPr="00BE1231">
        <w:rPr>
          <w:rFonts w:cs="Arial"/>
        </w:rPr>
        <w:t>205 a lieu deux</w:t>
      </w:r>
      <w:r w:rsidR="00E2212C">
        <w:rPr>
          <w:rFonts w:cs="Arial"/>
        </w:rPr>
        <w:t> </w:t>
      </w:r>
      <w:r w:rsidR="00C75998" w:rsidRPr="00BE1231">
        <w:rPr>
          <w:rFonts w:cs="Arial"/>
        </w:rPr>
        <w:t>fois par an.  Pour disposer d</w:t>
      </w:r>
      <w:r w:rsidR="00C4117D">
        <w:rPr>
          <w:rFonts w:cs="Arial"/>
        </w:rPr>
        <w:t>’</w:t>
      </w:r>
      <w:r w:rsidR="00C75998" w:rsidRPr="00BE1231">
        <w:rPr>
          <w:rFonts w:cs="Arial"/>
        </w:rPr>
        <w:t>une capacité d</w:t>
      </w:r>
      <w:r w:rsidR="00C4117D">
        <w:rPr>
          <w:rFonts w:cs="Arial"/>
        </w:rPr>
        <w:t>’</w:t>
      </w:r>
      <w:r w:rsidR="00C75998" w:rsidRPr="00BE1231">
        <w:rPr>
          <w:rFonts w:cs="Arial"/>
        </w:rPr>
        <w:t>encadrement suffisante, dans un premier temps tout du</w:t>
      </w:r>
      <w:r w:rsidR="006B5795">
        <w:rPr>
          <w:rFonts w:cs="Arial"/>
        </w:rPr>
        <w:t> </w:t>
      </w:r>
      <w:r w:rsidR="00C75998" w:rsidRPr="00BE1231">
        <w:rPr>
          <w:rFonts w:cs="Arial"/>
        </w:rPr>
        <w:t>moins, il est proposé de remplace</w:t>
      </w:r>
      <w:r w:rsidR="003541C5">
        <w:rPr>
          <w:rFonts w:cs="Arial"/>
        </w:rPr>
        <w:t>r</w:t>
      </w:r>
      <w:r w:rsidR="00C75998" w:rsidRPr="00BE1231">
        <w:rPr>
          <w:rFonts w:cs="Arial"/>
        </w:rPr>
        <w:t xml:space="preserve"> l</w:t>
      </w:r>
      <w:r w:rsidR="00C4117D">
        <w:rPr>
          <w:rFonts w:cs="Arial"/>
        </w:rPr>
        <w:t>’</w:t>
      </w:r>
      <w:r w:rsidR="00C75998" w:rsidRPr="00BE1231">
        <w:rPr>
          <w:rFonts w:cs="Arial"/>
        </w:rPr>
        <w:t>une des sessions du cours DL</w:t>
      </w:r>
      <w:r w:rsidR="006B5795" w:rsidRPr="006B5795">
        <w:rPr>
          <w:rFonts w:cs="Arial"/>
        </w:rPr>
        <w:noBreakHyphen/>
      </w:r>
      <w:r w:rsidR="00C75998" w:rsidRPr="00BE1231">
        <w:rPr>
          <w:rFonts w:cs="Arial"/>
        </w:rPr>
        <w:t>205 par le(s) cours DL</w:t>
      </w:r>
      <w:r w:rsidR="006B5795" w:rsidRPr="006B5795">
        <w:rPr>
          <w:rFonts w:cs="Arial"/>
        </w:rPr>
        <w:noBreakHyphen/>
      </w:r>
      <w:r w:rsidR="00C75998" w:rsidRPr="00BE1231">
        <w:rPr>
          <w:rFonts w:cs="Arial"/>
        </w:rPr>
        <w:t>305.  Dans cette hypothèse</w:t>
      </w:r>
      <w:r w:rsidR="00AF3827">
        <w:rPr>
          <w:rFonts w:cs="Arial"/>
        </w:rPr>
        <w:t>,</w:t>
      </w:r>
      <w:r w:rsidR="00C75998" w:rsidRPr="00BE1231">
        <w:rPr>
          <w:rFonts w:cs="Arial"/>
        </w:rPr>
        <w:t xml:space="preserve"> le calendrier suivant de cours d</w:t>
      </w:r>
      <w:r w:rsidR="00C4117D">
        <w:rPr>
          <w:rFonts w:cs="Arial"/>
        </w:rPr>
        <w:t>’</w:t>
      </w:r>
      <w:r w:rsidR="00C75998" w:rsidRPr="00BE1231">
        <w:rPr>
          <w:rFonts w:cs="Arial"/>
        </w:rPr>
        <w:t>enseignement à distance est proposé en</w:t>
      </w:r>
      <w:r w:rsidR="00E2212C">
        <w:rPr>
          <w:rFonts w:cs="Arial"/>
        </w:rPr>
        <w:t> </w:t>
      </w:r>
      <w:r w:rsidR="00C75998" w:rsidRPr="00BE1231">
        <w:rPr>
          <w:rFonts w:cs="Arial"/>
        </w:rPr>
        <w:t>2014</w:t>
      </w:r>
      <w:r w:rsidR="006B5795" w:rsidRPr="006B5795">
        <w:rPr>
          <w:rFonts w:cs="Arial"/>
        </w:rPr>
        <w:noBreakHyphen/>
      </w:r>
      <w:r w:rsidR="00C75998" w:rsidRPr="00BE1231">
        <w:rPr>
          <w:rFonts w:cs="Arial"/>
        </w:rPr>
        <w:t>2015</w:t>
      </w:r>
      <w:r w:rsidR="00E2212C">
        <w:rPr>
          <w:rFonts w:cs="Arial"/>
        </w:rPr>
        <w:t> </w:t>
      </w:r>
      <w:r w:rsidR="00C75998" w:rsidRPr="00BE1231">
        <w:rPr>
          <w:rFonts w:cs="Arial"/>
        </w:rPr>
        <w:t>:</w:t>
      </w:r>
    </w:p>
    <w:p w:rsidR="005B50EC" w:rsidRPr="006B5795" w:rsidRDefault="005B50EC" w:rsidP="00001D13">
      <w:pPr>
        <w:shd w:val="clear" w:color="auto" w:fill="FFFFFF"/>
        <w:rPr>
          <w:rFonts w:cs="Arial"/>
        </w:rPr>
      </w:pPr>
    </w:p>
    <w:p w:rsidR="005B50EC" w:rsidRPr="00BE1231" w:rsidRDefault="00C75998" w:rsidP="008907DC">
      <w:pPr>
        <w:keepNext/>
        <w:shd w:val="clear" w:color="auto" w:fill="FFFFFF"/>
        <w:ind w:left="567"/>
        <w:rPr>
          <w:rFonts w:cs="Arial"/>
        </w:rPr>
      </w:pPr>
      <w:proofErr w:type="gramStart"/>
      <w:r w:rsidRPr="00BE1231">
        <w:rPr>
          <w:rFonts w:cs="Arial"/>
        </w:rPr>
        <w:t>du</w:t>
      </w:r>
      <w:proofErr w:type="gramEnd"/>
      <w:r w:rsidRPr="00BE1231">
        <w:rPr>
          <w:rFonts w:cs="Arial"/>
        </w:rPr>
        <w:t xml:space="preserve"> 3</w:t>
      </w:r>
      <w:r w:rsidR="00AB76FD" w:rsidRPr="00BE1231">
        <w:rPr>
          <w:rFonts w:cs="Arial"/>
        </w:rPr>
        <w:t>1</w:t>
      </w:r>
      <w:r w:rsidR="00AB76FD">
        <w:rPr>
          <w:rFonts w:cs="Arial"/>
        </w:rPr>
        <w:t> </w:t>
      </w:r>
      <w:r w:rsidR="00AB76FD" w:rsidRPr="00BE1231">
        <w:rPr>
          <w:rFonts w:cs="Arial"/>
        </w:rPr>
        <w:t>mars</w:t>
      </w:r>
      <w:r w:rsidRPr="00BE1231">
        <w:rPr>
          <w:rFonts w:cs="Arial"/>
        </w:rPr>
        <w:t xml:space="preserve"> au 1</w:t>
      </w:r>
      <w:r w:rsidR="00AB76FD" w:rsidRPr="00BE1231">
        <w:rPr>
          <w:rFonts w:cs="Arial"/>
        </w:rPr>
        <w:t>1</w:t>
      </w:r>
      <w:r w:rsidR="00AB76FD">
        <w:rPr>
          <w:rFonts w:cs="Arial"/>
        </w:rPr>
        <w:t> </w:t>
      </w:r>
      <w:r w:rsidR="00AB76FD" w:rsidRPr="00BE1231">
        <w:rPr>
          <w:rFonts w:cs="Arial"/>
        </w:rPr>
        <w:t>mai</w:t>
      </w:r>
      <w:r w:rsidR="00AB76FD">
        <w:rPr>
          <w:rFonts w:cs="Arial"/>
        </w:rPr>
        <w:t> </w:t>
      </w:r>
      <w:r w:rsidR="00AB76FD" w:rsidRPr="00BE1231">
        <w:rPr>
          <w:rFonts w:cs="Arial"/>
        </w:rPr>
        <w:t>20</w:t>
      </w:r>
      <w:r w:rsidR="005B50EC" w:rsidRPr="00BE1231">
        <w:rPr>
          <w:rFonts w:cs="Arial"/>
        </w:rPr>
        <w:t>14</w:t>
      </w:r>
      <w:r w:rsidR="005B50EC" w:rsidRPr="00BE1231">
        <w:rPr>
          <w:rFonts w:cs="Arial"/>
        </w:rPr>
        <w:tab/>
      </w:r>
      <w:r w:rsidR="005B50EC" w:rsidRPr="00BE1231">
        <w:rPr>
          <w:rFonts w:cs="Arial"/>
        </w:rPr>
        <w:tab/>
      </w:r>
      <w:r w:rsidRPr="00BE1231">
        <w:rPr>
          <w:rFonts w:cs="Arial"/>
        </w:rPr>
        <w:t xml:space="preserve">cours unique </w:t>
      </w:r>
      <w:r w:rsidR="005B50EC" w:rsidRPr="00BE1231">
        <w:rPr>
          <w:rFonts w:cs="Arial"/>
        </w:rPr>
        <w:t>DL</w:t>
      </w:r>
      <w:r w:rsidR="00C4117D">
        <w:rPr>
          <w:rFonts w:cs="Arial"/>
        </w:rPr>
        <w:t>-</w:t>
      </w:r>
      <w:r w:rsidR="005B50EC" w:rsidRPr="00BE1231">
        <w:rPr>
          <w:rFonts w:cs="Arial"/>
        </w:rPr>
        <w:t>305 (</w:t>
      </w:r>
      <w:r w:rsidRPr="00BE1231">
        <w:rPr>
          <w:rFonts w:cs="Arial"/>
        </w:rPr>
        <w:t>en anglais seulement</w:t>
      </w:r>
      <w:r w:rsidR="005B50EC" w:rsidRPr="00BE1231">
        <w:rPr>
          <w:rFonts w:cs="Arial"/>
        </w:rPr>
        <w:t>)</w:t>
      </w:r>
    </w:p>
    <w:p w:rsidR="005B50EC" w:rsidRPr="00BE1231" w:rsidRDefault="00C75998" w:rsidP="008907DC">
      <w:pPr>
        <w:keepNext/>
        <w:shd w:val="clear" w:color="auto" w:fill="FFFFFF"/>
        <w:ind w:left="567"/>
        <w:rPr>
          <w:rFonts w:cs="Arial"/>
        </w:rPr>
      </w:pPr>
      <w:proofErr w:type="gramStart"/>
      <w:r w:rsidRPr="00BE1231">
        <w:rPr>
          <w:rFonts w:cs="Arial"/>
        </w:rPr>
        <w:t>du</w:t>
      </w:r>
      <w:proofErr w:type="gramEnd"/>
      <w:r w:rsidRPr="00BE1231">
        <w:rPr>
          <w:rFonts w:cs="Arial"/>
        </w:rPr>
        <w:t xml:space="preserve"> </w:t>
      </w:r>
      <w:r w:rsidR="00AB76FD" w:rsidRPr="00BE1231">
        <w:rPr>
          <w:rFonts w:cs="Arial"/>
        </w:rPr>
        <w:t>5</w:t>
      </w:r>
      <w:r w:rsidR="00AB76FD">
        <w:rPr>
          <w:rFonts w:cs="Arial"/>
        </w:rPr>
        <w:t> </w:t>
      </w:r>
      <w:r w:rsidR="00AB76FD" w:rsidRPr="00BE1231">
        <w:rPr>
          <w:rFonts w:cs="Arial"/>
        </w:rPr>
        <w:t xml:space="preserve">mai </w:t>
      </w:r>
      <w:r w:rsidRPr="00BE1231">
        <w:rPr>
          <w:rFonts w:cs="Arial"/>
        </w:rPr>
        <w:t xml:space="preserve">au </w:t>
      </w:r>
      <w:r w:rsidR="00AB76FD" w:rsidRPr="00BE1231">
        <w:rPr>
          <w:rFonts w:cs="Arial"/>
        </w:rPr>
        <w:t>8</w:t>
      </w:r>
      <w:r w:rsidR="00AB76FD">
        <w:rPr>
          <w:rFonts w:cs="Arial"/>
        </w:rPr>
        <w:t> </w:t>
      </w:r>
      <w:r w:rsidR="00AB76FD" w:rsidRPr="00BE1231">
        <w:rPr>
          <w:rFonts w:cs="Arial"/>
        </w:rPr>
        <w:t>juin</w:t>
      </w:r>
      <w:r w:rsidR="00AB76FD">
        <w:rPr>
          <w:rFonts w:cs="Arial"/>
        </w:rPr>
        <w:t> </w:t>
      </w:r>
      <w:r w:rsidR="00AB76FD" w:rsidRPr="00BE1231">
        <w:rPr>
          <w:rFonts w:cs="Arial"/>
        </w:rPr>
        <w:t>20</w:t>
      </w:r>
      <w:r w:rsidR="005B50EC" w:rsidRPr="00BE1231">
        <w:rPr>
          <w:rFonts w:cs="Arial"/>
        </w:rPr>
        <w:t>14</w:t>
      </w:r>
      <w:r w:rsidR="005B50EC" w:rsidRPr="00BE1231">
        <w:rPr>
          <w:rFonts w:cs="Arial"/>
        </w:rPr>
        <w:tab/>
      </w:r>
      <w:r w:rsidR="005B50EC" w:rsidRPr="00BE1231">
        <w:rPr>
          <w:rFonts w:cs="Arial"/>
        </w:rPr>
        <w:tab/>
      </w:r>
      <w:r w:rsidR="005B50EC" w:rsidRPr="00BE1231">
        <w:rPr>
          <w:rFonts w:cs="Arial"/>
        </w:rPr>
        <w:tab/>
        <w:t>DL</w:t>
      </w:r>
      <w:r w:rsidR="00C4117D">
        <w:rPr>
          <w:rFonts w:cs="Arial"/>
        </w:rPr>
        <w:t>-</w:t>
      </w:r>
      <w:r w:rsidR="005B50EC" w:rsidRPr="00BE1231">
        <w:rPr>
          <w:rFonts w:cs="Arial"/>
        </w:rPr>
        <w:t>205 (</w:t>
      </w:r>
      <w:r w:rsidRPr="00BE1231">
        <w:rPr>
          <w:rFonts w:cs="Arial"/>
        </w:rPr>
        <w:t>anglais, français, allemand, espagnol</w:t>
      </w:r>
      <w:r w:rsidR="005B50EC" w:rsidRPr="00BE1231">
        <w:rPr>
          <w:rFonts w:cs="Arial"/>
        </w:rPr>
        <w:t>)</w:t>
      </w:r>
    </w:p>
    <w:p w:rsidR="005B50EC" w:rsidRPr="00BE1231" w:rsidRDefault="00C75998" w:rsidP="008907DC">
      <w:pPr>
        <w:keepNext/>
        <w:shd w:val="clear" w:color="auto" w:fill="FFFFFF"/>
        <w:ind w:left="567"/>
        <w:rPr>
          <w:rFonts w:cs="Arial"/>
        </w:rPr>
      </w:pPr>
      <w:proofErr w:type="gramStart"/>
      <w:r w:rsidRPr="00BE1231">
        <w:rPr>
          <w:rFonts w:cs="Arial"/>
        </w:rPr>
        <w:t>du</w:t>
      </w:r>
      <w:proofErr w:type="gramEnd"/>
      <w:r w:rsidRPr="00BE1231">
        <w:rPr>
          <w:rFonts w:cs="Arial"/>
        </w:rPr>
        <w:t xml:space="preserve"> </w:t>
      </w:r>
      <w:r w:rsidR="00AB76FD" w:rsidRPr="00BE1231">
        <w:rPr>
          <w:rFonts w:cs="Arial"/>
        </w:rPr>
        <w:t>6</w:t>
      </w:r>
      <w:r w:rsidR="00AB76FD">
        <w:rPr>
          <w:rFonts w:cs="Arial"/>
        </w:rPr>
        <w:t> </w:t>
      </w:r>
      <w:r w:rsidR="00AB76FD" w:rsidRPr="00BE1231">
        <w:rPr>
          <w:rFonts w:cs="Arial"/>
        </w:rPr>
        <w:t>octobre</w:t>
      </w:r>
      <w:r w:rsidRPr="00BE1231">
        <w:rPr>
          <w:rFonts w:cs="Arial"/>
        </w:rPr>
        <w:t xml:space="preserve"> au </w:t>
      </w:r>
      <w:r w:rsidR="00AB76FD" w:rsidRPr="00BE1231">
        <w:rPr>
          <w:rFonts w:cs="Arial"/>
        </w:rPr>
        <w:t>9</w:t>
      </w:r>
      <w:r w:rsidR="00AB76FD">
        <w:rPr>
          <w:rFonts w:cs="Arial"/>
        </w:rPr>
        <w:t> </w:t>
      </w:r>
      <w:r w:rsidR="00AB76FD" w:rsidRPr="00BE1231">
        <w:rPr>
          <w:rFonts w:cs="Arial"/>
        </w:rPr>
        <w:t>novembre</w:t>
      </w:r>
      <w:r w:rsidR="00AB76FD">
        <w:rPr>
          <w:rFonts w:cs="Arial"/>
        </w:rPr>
        <w:t> </w:t>
      </w:r>
      <w:r w:rsidR="00AB76FD" w:rsidRPr="00BE1231">
        <w:rPr>
          <w:rFonts w:cs="Arial"/>
        </w:rPr>
        <w:t>20</w:t>
      </w:r>
      <w:r w:rsidR="005B50EC" w:rsidRPr="00BE1231">
        <w:rPr>
          <w:rFonts w:cs="Arial"/>
        </w:rPr>
        <w:t>14</w:t>
      </w:r>
      <w:r w:rsidR="005B50EC" w:rsidRPr="00BE1231">
        <w:rPr>
          <w:rFonts w:cs="Arial"/>
        </w:rPr>
        <w:tab/>
        <w:t>DL</w:t>
      </w:r>
      <w:r w:rsidR="00C4117D">
        <w:rPr>
          <w:rFonts w:cs="Arial"/>
        </w:rPr>
        <w:t>-</w:t>
      </w:r>
      <w:r w:rsidR="005B50EC" w:rsidRPr="00BE1231">
        <w:rPr>
          <w:rFonts w:cs="Arial"/>
        </w:rPr>
        <w:t>205 (</w:t>
      </w:r>
      <w:r w:rsidRPr="00BE1231">
        <w:rPr>
          <w:rFonts w:cs="Arial"/>
        </w:rPr>
        <w:t>anglais, français, allemand, espagnol</w:t>
      </w:r>
      <w:r w:rsidR="005B50EC" w:rsidRPr="00BE1231">
        <w:rPr>
          <w:rFonts w:cs="Arial"/>
        </w:rPr>
        <w:t>)</w:t>
      </w:r>
    </w:p>
    <w:p w:rsidR="005B50EC" w:rsidRPr="006B5795" w:rsidRDefault="005B50EC" w:rsidP="008907DC">
      <w:pPr>
        <w:keepNext/>
        <w:shd w:val="clear" w:color="auto" w:fill="FFFFFF"/>
        <w:ind w:left="567"/>
        <w:rPr>
          <w:rFonts w:cs="Arial"/>
        </w:rPr>
      </w:pPr>
    </w:p>
    <w:p w:rsidR="00AB2F21" w:rsidRDefault="00C75998" w:rsidP="008907DC">
      <w:pPr>
        <w:keepNext/>
        <w:shd w:val="clear" w:color="auto" w:fill="FFFFFF"/>
        <w:ind w:left="567"/>
        <w:rPr>
          <w:rFonts w:cs="Arial"/>
        </w:rPr>
      </w:pPr>
      <w:r w:rsidRPr="00BE1231">
        <w:rPr>
          <w:rFonts w:cs="Arial"/>
        </w:rPr>
        <w:t>février/</w:t>
      </w:r>
      <w:r w:rsidR="00AB76FD" w:rsidRPr="00BE1231">
        <w:rPr>
          <w:rFonts w:cs="Arial"/>
        </w:rPr>
        <w:t>mars</w:t>
      </w:r>
      <w:r w:rsidR="00AB76FD">
        <w:rPr>
          <w:rFonts w:cs="Arial"/>
        </w:rPr>
        <w:t> </w:t>
      </w:r>
      <w:r w:rsidR="00AB76FD" w:rsidRPr="00BE1231">
        <w:rPr>
          <w:rFonts w:cs="Arial"/>
        </w:rPr>
        <w:t>20</w:t>
      </w:r>
      <w:r w:rsidR="005B50EC" w:rsidRPr="00BE1231">
        <w:rPr>
          <w:rFonts w:cs="Arial"/>
        </w:rPr>
        <w:t>15</w:t>
      </w:r>
      <w:r w:rsidR="005B50EC" w:rsidRPr="00BE1231">
        <w:rPr>
          <w:rFonts w:cs="Arial"/>
        </w:rPr>
        <w:tab/>
      </w:r>
      <w:r w:rsidR="005B50EC" w:rsidRPr="00BE1231">
        <w:rPr>
          <w:rFonts w:cs="Arial"/>
        </w:rPr>
        <w:tab/>
      </w:r>
      <w:r w:rsidR="005B50EC" w:rsidRPr="00BE1231">
        <w:rPr>
          <w:rFonts w:cs="Arial"/>
        </w:rPr>
        <w:tab/>
      </w:r>
      <w:r w:rsidRPr="00BE1231">
        <w:rPr>
          <w:rFonts w:cs="Arial"/>
        </w:rPr>
        <w:tab/>
        <w:t xml:space="preserve">cours unique </w:t>
      </w:r>
      <w:r w:rsidR="005B50EC" w:rsidRPr="00BE1231">
        <w:rPr>
          <w:rFonts w:cs="Arial"/>
        </w:rPr>
        <w:t>DL</w:t>
      </w:r>
      <w:r w:rsidR="006B5795" w:rsidRPr="006B5795">
        <w:rPr>
          <w:rFonts w:cs="Arial"/>
        </w:rPr>
        <w:noBreakHyphen/>
      </w:r>
      <w:r w:rsidR="005B50EC" w:rsidRPr="00BE1231">
        <w:rPr>
          <w:rFonts w:cs="Arial"/>
        </w:rPr>
        <w:t>305 (</w:t>
      </w:r>
      <w:r w:rsidR="002650B9" w:rsidRPr="00BE1231">
        <w:rPr>
          <w:rFonts w:cs="Arial"/>
        </w:rPr>
        <w:t>anglais, français, espagnol</w:t>
      </w:r>
      <w:r w:rsidR="005B50EC" w:rsidRPr="00BE1231">
        <w:rPr>
          <w:rFonts w:cs="Arial"/>
        </w:rPr>
        <w:t xml:space="preserve">) </w:t>
      </w:r>
      <w:r w:rsidR="002650B9" w:rsidRPr="00BE1231">
        <w:rPr>
          <w:rFonts w:cs="Arial"/>
        </w:rPr>
        <w:t>ou</w:t>
      </w:r>
    </w:p>
    <w:p w:rsidR="005B50EC" w:rsidRPr="00BE1231" w:rsidRDefault="00AB2F21" w:rsidP="008907DC">
      <w:pPr>
        <w:keepNext/>
        <w:shd w:val="clear" w:color="auto" w:fill="FFFFFF"/>
        <w:ind w:left="567"/>
        <w:rPr>
          <w:rFonts w:cs="Arial"/>
        </w:rPr>
      </w:pPr>
      <w:r>
        <w:rPr>
          <w:rFonts w:cs="Arial"/>
        </w:rPr>
        <w:tab/>
      </w:r>
      <w:r>
        <w:rPr>
          <w:rFonts w:cs="Arial"/>
        </w:rPr>
        <w:tab/>
      </w:r>
      <w:r>
        <w:rPr>
          <w:rFonts w:cs="Arial"/>
        </w:rPr>
        <w:tab/>
      </w:r>
      <w:r>
        <w:rPr>
          <w:rFonts w:cs="Arial"/>
        </w:rPr>
        <w:tab/>
      </w:r>
      <w:r>
        <w:rPr>
          <w:rFonts w:cs="Arial"/>
        </w:rPr>
        <w:tab/>
      </w:r>
      <w:r>
        <w:rPr>
          <w:rFonts w:cs="Arial"/>
        </w:rPr>
        <w:tab/>
      </w:r>
      <w:r w:rsidR="005B50EC" w:rsidRPr="00BE1231">
        <w:rPr>
          <w:rFonts w:cs="Arial"/>
        </w:rPr>
        <w:t>DL</w:t>
      </w:r>
      <w:r w:rsidR="006B5795" w:rsidRPr="006B5795">
        <w:rPr>
          <w:rFonts w:cs="Arial"/>
        </w:rPr>
        <w:noBreakHyphen/>
      </w:r>
      <w:r w:rsidR="005B50EC" w:rsidRPr="00BE1231">
        <w:rPr>
          <w:rFonts w:cs="Arial"/>
        </w:rPr>
        <w:t>305</w:t>
      </w:r>
      <w:r w:rsidR="00C4117D">
        <w:rPr>
          <w:rFonts w:cs="Arial"/>
        </w:rPr>
        <w:t>-</w:t>
      </w:r>
      <w:r w:rsidR="005B50EC" w:rsidRPr="00BE1231">
        <w:rPr>
          <w:rFonts w:cs="Arial"/>
        </w:rPr>
        <w:t xml:space="preserve">1 </w:t>
      </w:r>
      <w:r w:rsidR="002650B9" w:rsidRPr="00BE1231">
        <w:rPr>
          <w:rFonts w:cs="Arial"/>
        </w:rPr>
        <w:t>(anglais, français, espagnol</w:t>
      </w:r>
      <w:r w:rsidR="005B50EC" w:rsidRPr="00BE1231">
        <w:rPr>
          <w:rFonts w:cs="Arial"/>
        </w:rPr>
        <w:t>)</w:t>
      </w:r>
    </w:p>
    <w:p w:rsidR="005B50EC" w:rsidRPr="00BE1231" w:rsidRDefault="002650B9" w:rsidP="008907DC">
      <w:pPr>
        <w:keepNext/>
        <w:shd w:val="clear" w:color="auto" w:fill="FFFFFF"/>
        <w:ind w:left="567"/>
        <w:rPr>
          <w:rFonts w:cs="Arial"/>
        </w:rPr>
      </w:pPr>
      <w:r w:rsidRPr="00BE1231">
        <w:rPr>
          <w:rFonts w:cs="Arial"/>
        </w:rPr>
        <w:t>avril/</w:t>
      </w:r>
      <w:r w:rsidR="00AB76FD" w:rsidRPr="00BE1231">
        <w:rPr>
          <w:rFonts w:cs="Arial"/>
        </w:rPr>
        <w:t>mai</w:t>
      </w:r>
      <w:r w:rsidR="00AB76FD">
        <w:rPr>
          <w:rFonts w:cs="Arial"/>
        </w:rPr>
        <w:t> </w:t>
      </w:r>
      <w:r w:rsidR="00AB76FD" w:rsidRPr="00BE1231">
        <w:rPr>
          <w:rFonts w:cs="Arial"/>
        </w:rPr>
        <w:t>20</w:t>
      </w:r>
      <w:r w:rsidR="005B50EC" w:rsidRPr="00BE1231">
        <w:rPr>
          <w:rFonts w:cs="Arial"/>
        </w:rPr>
        <w:t>15</w:t>
      </w:r>
      <w:r w:rsidR="005B50EC" w:rsidRPr="00BE1231">
        <w:rPr>
          <w:rFonts w:cs="Arial"/>
        </w:rPr>
        <w:tab/>
      </w:r>
      <w:r w:rsidR="005B50EC" w:rsidRPr="00BE1231">
        <w:rPr>
          <w:rFonts w:cs="Arial"/>
        </w:rPr>
        <w:tab/>
      </w:r>
      <w:r w:rsidR="005B50EC" w:rsidRPr="00BE1231">
        <w:rPr>
          <w:rFonts w:cs="Arial"/>
        </w:rPr>
        <w:tab/>
      </w:r>
      <w:r w:rsidR="005B50EC" w:rsidRPr="00BE1231">
        <w:rPr>
          <w:rFonts w:cs="Arial"/>
        </w:rPr>
        <w:tab/>
        <w:t>DL</w:t>
      </w:r>
      <w:r w:rsidR="006B5795" w:rsidRPr="006B5795">
        <w:rPr>
          <w:rFonts w:cs="Arial"/>
        </w:rPr>
        <w:noBreakHyphen/>
      </w:r>
      <w:r w:rsidR="005B50EC" w:rsidRPr="00BE1231">
        <w:rPr>
          <w:rFonts w:cs="Arial"/>
        </w:rPr>
        <w:t>305</w:t>
      </w:r>
      <w:r w:rsidR="00C4117D">
        <w:rPr>
          <w:rFonts w:cs="Arial"/>
        </w:rPr>
        <w:t>-</w:t>
      </w:r>
      <w:r w:rsidR="005B50EC" w:rsidRPr="00BE1231">
        <w:rPr>
          <w:rFonts w:cs="Arial"/>
        </w:rPr>
        <w:t xml:space="preserve">2 </w:t>
      </w:r>
      <w:r w:rsidRPr="00BE1231">
        <w:rPr>
          <w:rFonts w:cs="Arial"/>
        </w:rPr>
        <w:t>(anglais, français, espagnol)</w:t>
      </w:r>
    </w:p>
    <w:p w:rsidR="005B50EC" w:rsidRPr="006B5795" w:rsidRDefault="005B50EC" w:rsidP="008907DC">
      <w:pPr>
        <w:keepNext/>
        <w:shd w:val="clear" w:color="auto" w:fill="FFFFFF"/>
        <w:ind w:left="567"/>
        <w:rPr>
          <w:rFonts w:cs="Arial"/>
        </w:rPr>
      </w:pPr>
    </w:p>
    <w:p w:rsidR="006B5795" w:rsidRDefault="002650B9" w:rsidP="006B5795">
      <w:pPr>
        <w:shd w:val="clear" w:color="auto" w:fill="FFFFFF"/>
        <w:ind w:left="567"/>
        <w:rPr>
          <w:rFonts w:cs="Arial"/>
        </w:rPr>
      </w:pPr>
      <w:r w:rsidRPr="00BE1231">
        <w:rPr>
          <w:rFonts w:cs="Arial"/>
        </w:rPr>
        <w:t>octobre/</w:t>
      </w:r>
      <w:r w:rsidR="00AB76FD" w:rsidRPr="00BE1231">
        <w:rPr>
          <w:rFonts w:cs="Arial"/>
        </w:rPr>
        <w:t>novembre</w:t>
      </w:r>
      <w:r w:rsidR="00AB76FD">
        <w:rPr>
          <w:rFonts w:cs="Arial"/>
        </w:rPr>
        <w:t> </w:t>
      </w:r>
      <w:r w:rsidR="00AB76FD" w:rsidRPr="00BE1231">
        <w:rPr>
          <w:rFonts w:cs="Arial"/>
        </w:rPr>
        <w:t>20</w:t>
      </w:r>
      <w:r w:rsidR="005B50EC" w:rsidRPr="00BE1231">
        <w:rPr>
          <w:rFonts w:cs="Arial"/>
        </w:rPr>
        <w:t>15</w:t>
      </w:r>
      <w:r w:rsidR="005B50EC" w:rsidRPr="00BE1231">
        <w:rPr>
          <w:rFonts w:cs="Arial"/>
        </w:rPr>
        <w:tab/>
      </w:r>
      <w:r w:rsidR="005B50EC" w:rsidRPr="00BE1231">
        <w:rPr>
          <w:rFonts w:cs="Arial"/>
        </w:rPr>
        <w:tab/>
      </w:r>
      <w:r w:rsidR="005B50EC" w:rsidRPr="00BE1231">
        <w:rPr>
          <w:rFonts w:cs="Arial"/>
        </w:rPr>
        <w:tab/>
        <w:t>DL</w:t>
      </w:r>
      <w:r w:rsidR="006B5795" w:rsidRPr="006B5795">
        <w:rPr>
          <w:rFonts w:cs="Arial"/>
        </w:rPr>
        <w:noBreakHyphen/>
      </w:r>
      <w:r w:rsidR="005B50EC" w:rsidRPr="00BE1231">
        <w:rPr>
          <w:rFonts w:cs="Arial"/>
        </w:rPr>
        <w:t xml:space="preserve">205 </w:t>
      </w:r>
      <w:r w:rsidRPr="00BE1231">
        <w:rPr>
          <w:rFonts w:cs="Arial"/>
        </w:rPr>
        <w:t>(anglais, français, allemand, espagnol)</w:t>
      </w:r>
    </w:p>
    <w:p w:rsidR="008907DC" w:rsidRDefault="008907DC" w:rsidP="006B5795">
      <w:pPr>
        <w:shd w:val="clear" w:color="auto" w:fill="FFFFFF"/>
        <w:rPr>
          <w:rFonts w:cs="Arial"/>
        </w:rPr>
      </w:pPr>
    </w:p>
    <w:p w:rsidR="005B50EC" w:rsidRPr="00BE1231" w:rsidRDefault="00185757" w:rsidP="006B5795">
      <w:pPr>
        <w:shd w:val="clear" w:color="auto" w:fill="FFFFFF"/>
        <w:rPr>
          <w:rFonts w:cs="Arial"/>
        </w:rPr>
      </w:pPr>
      <w:r w:rsidRPr="00BE1231">
        <w:rPr>
          <w:rFonts w:cs="Arial"/>
        </w:rPr>
        <w:fldChar w:fldCharType="begin"/>
      </w:r>
      <w:r w:rsidR="005B50EC" w:rsidRPr="00BE1231">
        <w:rPr>
          <w:rFonts w:cs="Arial"/>
        </w:rPr>
        <w:instrText xml:space="preserve"> AUTONUM  </w:instrText>
      </w:r>
      <w:r w:rsidRPr="00BE1231">
        <w:rPr>
          <w:rFonts w:cs="Arial"/>
        </w:rPr>
        <w:fldChar w:fldCharType="end"/>
      </w:r>
      <w:r w:rsidR="005B50EC" w:rsidRPr="00BE1231">
        <w:rPr>
          <w:rFonts w:cs="Arial"/>
        </w:rPr>
        <w:tab/>
      </w:r>
      <w:r w:rsidR="002650B9" w:rsidRPr="00BE1231">
        <w:rPr>
          <w:rFonts w:cs="Arial"/>
        </w:rPr>
        <w:t>La</w:t>
      </w:r>
      <w:r w:rsidR="005B50EC" w:rsidRPr="00BE1231">
        <w:rPr>
          <w:rFonts w:cs="Arial"/>
        </w:rPr>
        <w:t xml:space="preserve"> version </w:t>
      </w:r>
      <w:r w:rsidR="00123785">
        <w:rPr>
          <w:rFonts w:cs="Arial"/>
        </w:rPr>
        <w:t>allemande du cours</w:t>
      </w:r>
      <w:r w:rsidR="005B50EC" w:rsidRPr="00BE1231">
        <w:rPr>
          <w:rFonts w:cs="Arial"/>
        </w:rPr>
        <w:t xml:space="preserve"> DL</w:t>
      </w:r>
      <w:r w:rsidR="00C4117D">
        <w:rPr>
          <w:rFonts w:cs="Arial"/>
        </w:rPr>
        <w:t>-</w:t>
      </w:r>
      <w:r w:rsidR="005B50EC" w:rsidRPr="00BE1231">
        <w:rPr>
          <w:rFonts w:cs="Arial"/>
        </w:rPr>
        <w:t xml:space="preserve">305 </w:t>
      </w:r>
      <w:r w:rsidR="002650B9" w:rsidRPr="00BE1231">
        <w:rPr>
          <w:rFonts w:cs="Arial"/>
        </w:rPr>
        <w:t>serait lancée en</w:t>
      </w:r>
      <w:r w:rsidR="00E2212C">
        <w:rPr>
          <w:rFonts w:cs="Arial"/>
        </w:rPr>
        <w:t> </w:t>
      </w:r>
      <w:r w:rsidR="005B50EC" w:rsidRPr="00BE1231">
        <w:rPr>
          <w:rFonts w:cs="Arial"/>
        </w:rPr>
        <w:t>2016.</w:t>
      </w:r>
    </w:p>
    <w:p w:rsidR="005B50EC" w:rsidRPr="00BE1231" w:rsidRDefault="005B50EC" w:rsidP="005902E4">
      <w:pPr>
        <w:rPr>
          <w:rFonts w:cs="Arial"/>
          <w:snapToGrid w:val="0"/>
        </w:rPr>
      </w:pPr>
    </w:p>
    <w:p w:rsidR="001F4113" w:rsidRPr="00BE1231" w:rsidRDefault="001F4113" w:rsidP="008907DC">
      <w:pPr>
        <w:pStyle w:val="Heading1"/>
        <w:rPr>
          <w:snapToGrid w:val="0"/>
        </w:rPr>
      </w:pPr>
    </w:p>
    <w:p w:rsidR="001F4113" w:rsidRPr="00BE1231" w:rsidRDefault="00A5473F" w:rsidP="008907DC">
      <w:pPr>
        <w:pStyle w:val="Heading1"/>
        <w:rPr>
          <w:snapToGrid w:val="0"/>
        </w:rPr>
      </w:pPr>
      <w:bookmarkStart w:id="32" w:name="_Toc381170145"/>
      <w:r w:rsidRPr="00BE1231">
        <w:t>éléments nouveaux dans les travaux d</w:t>
      </w:r>
      <w:r w:rsidR="00C4117D">
        <w:t>’</w:t>
      </w:r>
      <w:r w:rsidRPr="00BE1231">
        <w:t>autres instances internationales présentant un intérêt pour l</w:t>
      </w:r>
      <w:r w:rsidR="00C4117D">
        <w:t>’</w:t>
      </w:r>
      <w:r w:rsidRPr="00BE1231">
        <w:t>UPOV</w:t>
      </w:r>
      <w:bookmarkEnd w:id="32"/>
    </w:p>
    <w:p w:rsidR="001F4113" w:rsidRPr="00BE1231" w:rsidRDefault="001F4113" w:rsidP="009678DE">
      <w:pPr>
        <w:keepNext/>
        <w:rPr>
          <w:snapToGrid w:val="0"/>
        </w:rPr>
      </w:pPr>
    </w:p>
    <w:p w:rsidR="001F4113" w:rsidRPr="00BE1231" w:rsidRDefault="00A5473F" w:rsidP="006A4A4E">
      <w:pPr>
        <w:pStyle w:val="Heading2"/>
        <w:rPr>
          <w:lang w:val="fr-FR"/>
        </w:rPr>
      </w:pPr>
      <w:bookmarkStart w:id="33" w:name="_Toc381170146"/>
      <w:r w:rsidRPr="00BE1231">
        <w:rPr>
          <w:lang w:val="fr-FR"/>
        </w:rPr>
        <w:t xml:space="preserve">Traité international sur les ressources </w:t>
      </w:r>
      <w:proofErr w:type="spellStart"/>
      <w:r w:rsidRPr="00BE1231">
        <w:rPr>
          <w:lang w:val="fr-FR"/>
        </w:rPr>
        <w:t>phytogénétiques</w:t>
      </w:r>
      <w:proofErr w:type="spellEnd"/>
      <w:r w:rsidRPr="00BE1231">
        <w:rPr>
          <w:lang w:val="fr-FR"/>
        </w:rPr>
        <w:t xml:space="preserve"> pour l</w:t>
      </w:r>
      <w:r w:rsidR="00C4117D">
        <w:rPr>
          <w:lang w:val="fr-FR"/>
        </w:rPr>
        <w:t>’</w:t>
      </w:r>
      <w:r w:rsidRPr="00BE1231">
        <w:rPr>
          <w:lang w:val="fr-FR"/>
        </w:rPr>
        <w:t>alimentation et l</w:t>
      </w:r>
      <w:r w:rsidR="00C4117D">
        <w:rPr>
          <w:lang w:val="fr-FR"/>
        </w:rPr>
        <w:t>’</w:t>
      </w:r>
      <w:r w:rsidRPr="00BE1231">
        <w:rPr>
          <w:lang w:val="fr-FR"/>
        </w:rPr>
        <w:t xml:space="preserve">agriculture </w:t>
      </w:r>
      <w:r w:rsidR="001F4113" w:rsidRPr="00BE1231">
        <w:rPr>
          <w:lang w:val="fr-FR"/>
        </w:rPr>
        <w:t>(ITPGRFA)</w:t>
      </w:r>
      <w:bookmarkEnd w:id="33"/>
    </w:p>
    <w:p w:rsidR="001F4113" w:rsidRPr="00BE1231" w:rsidRDefault="001F4113" w:rsidP="009678DE">
      <w:pPr>
        <w:keepNext/>
        <w:rPr>
          <w:snapToGrid w:val="0"/>
        </w:rPr>
      </w:pPr>
    </w:p>
    <w:p w:rsidR="00A5473F" w:rsidRPr="00492E71" w:rsidRDefault="00A5473F" w:rsidP="00303501">
      <w:pPr>
        <w:pStyle w:val="Heading3"/>
      </w:pPr>
      <w:bookmarkStart w:id="34" w:name="_Toc381170147"/>
      <w:r w:rsidRPr="00492E71">
        <w:t>Plate</w:t>
      </w:r>
      <w:r w:rsidR="00C4117D" w:rsidRPr="00492E71">
        <w:t>-</w:t>
      </w:r>
      <w:r w:rsidRPr="00492E71">
        <w:t>forme de l</w:t>
      </w:r>
      <w:r w:rsidR="00C4117D" w:rsidRPr="00492E71">
        <w:t>’</w:t>
      </w:r>
      <w:r w:rsidRPr="00492E71">
        <w:t xml:space="preserve">ITPGRFA pour le </w:t>
      </w:r>
      <w:proofErr w:type="spellStart"/>
      <w:r w:rsidRPr="00492E71">
        <w:t>codéveloppement</w:t>
      </w:r>
      <w:proofErr w:type="spellEnd"/>
      <w:r w:rsidRPr="00492E71">
        <w:t xml:space="preserve"> et le transfert de technologies</w:t>
      </w:r>
      <w:bookmarkEnd w:id="34"/>
    </w:p>
    <w:p w:rsidR="00B55E56" w:rsidRPr="00BE1231" w:rsidRDefault="00B55E56" w:rsidP="001F4113">
      <w:pPr>
        <w:rPr>
          <w:b/>
          <w:snapToGrid w:val="0"/>
        </w:rPr>
      </w:pPr>
    </w:p>
    <w:p w:rsidR="001F4113" w:rsidRPr="00BE1231" w:rsidRDefault="00185757" w:rsidP="001F4113">
      <w:pPr>
        <w:rPr>
          <w:snapToGrid w:val="0"/>
        </w:rPr>
      </w:pPr>
      <w:r w:rsidRPr="00BE1231">
        <w:rPr>
          <w:snapToGrid w:val="0"/>
        </w:rPr>
        <w:fldChar w:fldCharType="begin"/>
      </w:r>
      <w:r w:rsidR="001F4113" w:rsidRPr="00BE1231">
        <w:rPr>
          <w:snapToGrid w:val="0"/>
        </w:rPr>
        <w:instrText xml:space="preserve"> AUTONUM  </w:instrText>
      </w:r>
      <w:r w:rsidRPr="00BE1231">
        <w:rPr>
          <w:snapToGrid w:val="0"/>
        </w:rPr>
        <w:fldChar w:fldCharType="end"/>
      </w:r>
      <w:r w:rsidR="001F4113" w:rsidRPr="00BE1231">
        <w:rPr>
          <w:snapToGrid w:val="0"/>
        </w:rPr>
        <w:tab/>
      </w:r>
      <w:r w:rsidR="00B55E56" w:rsidRPr="00BE1231">
        <w:rPr>
          <w:snapToGrid w:val="0"/>
        </w:rPr>
        <w:t>E</w:t>
      </w:r>
      <w:r w:rsidR="001F4113" w:rsidRPr="00BE1231">
        <w:rPr>
          <w:snapToGrid w:val="0"/>
        </w:rPr>
        <w:t>n</w:t>
      </w:r>
      <w:r w:rsidR="00E2212C">
        <w:rPr>
          <w:snapToGrid w:val="0"/>
        </w:rPr>
        <w:t> </w:t>
      </w:r>
      <w:r w:rsidR="001F4113" w:rsidRPr="00BE1231">
        <w:rPr>
          <w:snapToGrid w:val="0"/>
        </w:rPr>
        <w:t xml:space="preserve">2012, </w:t>
      </w:r>
      <w:r w:rsidR="00B55E56" w:rsidRPr="00BE1231">
        <w:rPr>
          <w:snapToGrid w:val="0"/>
        </w:rPr>
        <w:t>les membre</w:t>
      </w:r>
      <w:r w:rsidR="001F4113" w:rsidRPr="00BE1231">
        <w:rPr>
          <w:snapToGrid w:val="0"/>
        </w:rPr>
        <w:t xml:space="preserve">s </w:t>
      </w:r>
      <w:r w:rsidR="00B55E56" w:rsidRPr="00BE1231">
        <w:rPr>
          <w:snapToGrid w:val="0"/>
        </w:rPr>
        <w:t>de l</w:t>
      </w:r>
      <w:r w:rsidR="00C4117D">
        <w:rPr>
          <w:snapToGrid w:val="0"/>
        </w:rPr>
        <w:t>’</w:t>
      </w:r>
      <w:r w:rsidR="001F4113" w:rsidRPr="00BE1231">
        <w:rPr>
          <w:snapToGrid w:val="0"/>
        </w:rPr>
        <w:t xml:space="preserve">Union </w:t>
      </w:r>
      <w:r w:rsidR="00B55E56" w:rsidRPr="00BE1231">
        <w:rPr>
          <w:snapToGrid w:val="0"/>
        </w:rPr>
        <w:t>ont approuvé la</w:t>
      </w:r>
      <w:r w:rsidR="001F4113" w:rsidRPr="00BE1231">
        <w:rPr>
          <w:snapToGrid w:val="0"/>
        </w:rPr>
        <w:t xml:space="preserve"> participation </w:t>
      </w:r>
      <w:r w:rsidR="00B55E56" w:rsidRPr="00BE1231">
        <w:rPr>
          <w:snapToGrid w:val="0"/>
        </w:rPr>
        <w:t>du Bureau de l</w:t>
      </w:r>
      <w:r w:rsidR="00C4117D">
        <w:rPr>
          <w:snapToGrid w:val="0"/>
        </w:rPr>
        <w:t>’</w:t>
      </w:r>
      <w:r w:rsidR="001F4113" w:rsidRPr="00BE1231">
        <w:rPr>
          <w:snapToGrid w:val="0"/>
        </w:rPr>
        <w:t xml:space="preserve">Union </w:t>
      </w:r>
      <w:r w:rsidR="00491809" w:rsidRPr="00BE1231">
        <w:rPr>
          <w:snapToGrid w:val="0"/>
        </w:rPr>
        <w:t xml:space="preserve">à la </w:t>
      </w:r>
      <w:r w:rsidR="00E2212C">
        <w:rPr>
          <w:snapToGrid w:val="0"/>
        </w:rPr>
        <w:t>plate</w:t>
      </w:r>
      <w:r w:rsidR="00C4117D">
        <w:rPr>
          <w:snapToGrid w:val="0"/>
        </w:rPr>
        <w:t>-</w:t>
      </w:r>
      <w:r w:rsidR="00E2212C">
        <w:rPr>
          <w:snapToGrid w:val="0"/>
        </w:rPr>
        <w:t>forme</w:t>
      </w:r>
      <w:r w:rsidR="00491809" w:rsidRPr="00BE1231">
        <w:rPr>
          <w:snapToGrid w:val="0"/>
        </w:rPr>
        <w:t xml:space="preserve"> </w:t>
      </w:r>
      <w:r w:rsidR="00092F7D" w:rsidRPr="00BE1231">
        <w:rPr>
          <w:snapToGrid w:val="0"/>
        </w:rPr>
        <w:t xml:space="preserve">du </w:t>
      </w:r>
      <w:r w:rsidR="00092F7D" w:rsidRPr="00BE1231">
        <w:t xml:space="preserve">Traité international sur les ressources </w:t>
      </w:r>
      <w:proofErr w:type="spellStart"/>
      <w:r w:rsidR="00092F7D" w:rsidRPr="00BE1231">
        <w:t>phytogénétiques</w:t>
      </w:r>
      <w:proofErr w:type="spellEnd"/>
      <w:r w:rsidR="00092F7D" w:rsidRPr="00BE1231">
        <w:t xml:space="preserve"> pour l</w:t>
      </w:r>
      <w:r w:rsidR="00C4117D">
        <w:t>’</w:t>
      </w:r>
      <w:r w:rsidR="00092F7D" w:rsidRPr="00BE1231">
        <w:t>alimentation et l</w:t>
      </w:r>
      <w:r w:rsidR="00C4117D">
        <w:t>’</w:t>
      </w:r>
      <w:r w:rsidR="00092F7D" w:rsidRPr="00BE1231">
        <w:t xml:space="preserve">agriculture </w:t>
      </w:r>
      <w:r w:rsidR="00092F7D" w:rsidRPr="00BE1231">
        <w:rPr>
          <w:snapToGrid w:val="0"/>
        </w:rPr>
        <w:t xml:space="preserve">(ITPGRFA) </w:t>
      </w:r>
      <w:r w:rsidR="00491809" w:rsidRPr="00BE1231">
        <w:t xml:space="preserve">pour le </w:t>
      </w:r>
      <w:bookmarkStart w:id="35" w:name="hit2"/>
      <w:bookmarkEnd w:id="35"/>
      <w:proofErr w:type="spellStart"/>
      <w:r w:rsidR="00491809" w:rsidRPr="00BE1231">
        <w:t>codéveloppement</w:t>
      </w:r>
      <w:proofErr w:type="spellEnd"/>
      <w:r w:rsidR="00491809" w:rsidRPr="00BE1231">
        <w:t xml:space="preserve"> et le transfert de technologies</w:t>
      </w:r>
      <w:r w:rsidR="001F4113" w:rsidRPr="00BE1231">
        <w:rPr>
          <w:snapToGrid w:val="0"/>
        </w:rPr>
        <w:t xml:space="preserve"> (</w:t>
      </w:r>
      <w:r w:rsidR="009300CE" w:rsidRPr="00BE1231">
        <w:rPr>
          <w:snapToGrid w:val="0"/>
        </w:rPr>
        <w:t xml:space="preserve">voir le document C/46/19 </w:t>
      </w:r>
      <w:r w:rsidR="00E2212C">
        <w:rPr>
          <w:snapToGrid w:val="0"/>
        </w:rPr>
        <w:t>“</w:t>
      </w:r>
      <w:r w:rsidR="009300CE" w:rsidRPr="00BE1231">
        <w:rPr>
          <w:snapToGrid w:val="0"/>
        </w:rPr>
        <w:t>Compte rendu</w:t>
      </w:r>
      <w:r w:rsidR="00E2212C">
        <w:rPr>
          <w:snapToGrid w:val="0"/>
        </w:rPr>
        <w:t>”</w:t>
      </w:r>
      <w:r w:rsidR="001F4113" w:rsidRPr="00BE1231">
        <w:rPr>
          <w:snapToGrid w:val="0"/>
        </w:rPr>
        <w:t xml:space="preserve">, </w:t>
      </w:r>
      <w:r w:rsidR="009300CE" w:rsidRPr="00BE1231">
        <w:rPr>
          <w:snapToGrid w:val="0"/>
        </w:rPr>
        <w:t>a</w:t>
      </w:r>
      <w:r w:rsidR="001F4113" w:rsidRPr="00BE1231">
        <w:rPr>
          <w:snapToGrid w:val="0"/>
        </w:rPr>
        <w:t>nnex</w:t>
      </w:r>
      <w:r w:rsidR="009300CE" w:rsidRPr="00BE1231">
        <w:rPr>
          <w:snapToGrid w:val="0"/>
        </w:rPr>
        <w:t>e</w:t>
      </w:r>
      <w:r w:rsidR="00BF212C">
        <w:rPr>
          <w:snapToGrid w:val="0"/>
        </w:rPr>
        <w:t> III</w:t>
      </w:r>
      <w:r w:rsidR="009300CE" w:rsidRPr="00BE1231">
        <w:rPr>
          <w:snapToGrid w:val="0"/>
        </w:rPr>
        <w:t xml:space="preserve"> </w:t>
      </w:r>
      <w:r w:rsidR="00E2212C">
        <w:rPr>
          <w:snapToGrid w:val="0"/>
        </w:rPr>
        <w:t>“</w:t>
      </w:r>
      <w:r w:rsidR="009300CE" w:rsidRPr="00BE1231">
        <w:rPr>
          <w:snapToGrid w:val="0"/>
        </w:rPr>
        <w:t>Communiqué de presse</w:t>
      </w:r>
      <w:r w:rsidR="00E2212C">
        <w:rPr>
          <w:snapToGrid w:val="0"/>
        </w:rPr>
        <w:t>”</w:t>
      </w:r>
      <w:r w:rsidR="001F4113" w:rsidRPr="00BE1231">
        <w:rPr>
          <w:snapToGrid w:val="0"/>
        </w:rPr>
        <w:t>).</w:t>
      </w:r>
    </w:p>
    <w:p w:rsidR="001F4113" w:rsidRPr="00BE1231" w:rsidRDefault="001F4113" w:rsidP="001F4113">
      <w:pPr>
        <w:rPr>
          <w:snapToGrid w:val="0"/>
        </w:rPr>
      </w:pPr>
    </w:p>
    <w:p w:rsidR="001F4113" w:rsidRPr="00303501" w:rsidRDefault="001F4113" w:rsidP="00303501">
      <w:pPr>
        <w:pStyle w:val="Heading3"/>
      </w:pPr>
      <w:bookmarkStart w:id="36" w:name="_Toc381170148"/>
      <w:r w:rsidRPr="00BE1231">
        <w:t>P</w:t>
      </w:r>
      <w:r w:rsidR="00A5473F" w:rsidRPr="00BE1231">
        <w:t>artenariats public</w:t>
      </w:r>
      <w:r w:rsidR="00C4117D">
        <w:t>-</w:t>
      </w:r>
      <w:r w:rsidR="00A5473F" w:rsidRPr="00BE1231">
        <w:t xml:space="preserve">privé </w:t>
      </w:r>
      <w:r w:rsidR="006D201F" w:rsidRPr="00BE1231">
        <w:t>dans le domaine de la présélection</w:t>
      </w:r>
      <w:bookmarkEnd w:id="36"/>
    </w:p>
    <w:p w:rsidR="001F4113" w:rsidRPr="00BE1231" w:rsidRDefault="001F4113" w:rsidP="001F4113">
      <w:pPr>
        <w:rPr>
          <w:snapToGrid w:val="0"/>
        </w:rPr>
      </w:pPr>
    </w:p>
    <w:p w:rsidR="001F4113" w:rsidRPr="00BE1231" w:rsidRDefault="00185757" w:rsidP="00751D23">
      <w:pPr>
        <w:rPr>
          <w:snapToGrid w:val="0"/>
        </w:rPr>
      </w:pPr>
      <w:r w:rsidRPr="00BE1231">
        <w:rPr>
          <w:snapToGrid w:val="0"/>
        </w:rPr>
        <w:fldChar w:fldCharType="begin"/>
      </w:r>
      <w:r w:rsidR="001F4113" w:rsidRPr="00BE1231">
        <w:rPr>
          <w:snapToGrid w:val="0"/>
        </w:rPr>
        <w:instrText xml:space="preserve"> AUTONUM  </w:instrText>
      </w:r>
      <w:r w:rsidRPr="00BE1231">
        <w:rPr>
          <w:snapToGrid w:val="0"/>
        </w:rPr>
        <w:fldChar w:fldCharType="end"/>
      </w:r>
      <w:r w:rsidR="001F4113" w:rsidRPr="00BE1231">
        <w:rPr>
          <w:snapToGrid w:val="0"/>
        </w:rPr>
        <w:tab/>
      </w:r>
      <w:r w:rsidR="006D201F" w:rsidRPr="00BE1231">
        <w:rPr>
          <w:snapToGrid w:val="0"/>
        </w:rPr>
        <w:t>À la suite d</w:t>
      </w:r>
      <w:r w:rsidR="00C4117D">
        <w:rPr>
          <w:snapToGrid w:val="0"/>
        </w:rPr>
        <w:t>’</w:t>
      </w:r>
      <w:r w:rsidR="006D201F" w:rsidRPr="00BE1231">
        <w:rPr>
          <w:snapToGrid w:val="0"/>
        </w:rPr>
        <w:t>une demande émanant de</w:t>
      </w:r>
      <w:r w:rsidR="001F4113" w:rsidRPr="00BE1231">
        <w:rPr>
          <w:snapToGrid w:val="0"/>
        </w:rPr>
        <w:t xml:space="preserve"> </w:t>
      </w:r>
      <w:r w:rsidR="006D201F" w:rsidRPr="00BE1231">
        <w:rPr>
          <w:snapToGrid w:val="0"/>
        </w:rPr>
        <w:t>l</w:t>
      </w:r>
      <w:r w:rsidR="00C4117D">
        <w:rPr>
          <w:snapToGrid w:val="0"/>
        </w:rPr>
        <w:t>’</w:t>
      </w:r>
      <w:r w:rsidR="006D201F" w:rsidRPr="00BE1231">
        <w:rPr>
          <w:snapToGrid w:val="0"/>
        </w:rPr>
        <w:t xml:space="preserve">Équipe des ressources </w:t>
      </w:r>
      <w:proofErr w:type="spellStart"/>
      <w:r w:rsidR="006D201F" w:rsidRPr="00BE1231">
        <w:rPr>
          <w:snapToGrid w:val="0"/>
        </w:rPr>
        <w:t>p</w:t>
      </w:r>
      <w:r w:rsidR="006D201F" w:rsidRPr="00BE1231">
        <w:t>hytogénétiques</w:t>
      </w:r>
      <w:proofErr w:type="spellEnd"/>
      <w:r w:rsidR="006D201F" w:rsidRPr="00BE1231">
        <w:t xml:space="preserve"> et des semences</w:t>
      </w:r>
      <w:r w:rsidR="001F4113" w:rsidRPr="00BE1231">
        <w:t xml:space="preserve"> </w:t>
      </w:r>
      <w:r w:rsidR="006B5795">
        <w:t>de</w:t>
      </w:r>
      <w:r w:rsidR="001F4113" w:rsidRPr="00BE1231">
        <w:t xml:space="preserve"> </w:t>
      </w:r>
      <w:r w:rsidR="006D201F" w:rsidRPr="00BE1231">
        <w:t>l</w:t>
      </w:r>
      <w:r w:rsidR="00C4117D">
        <w:t>’</w:t>
      </w:r>
      <w:r w:rsidR="006D201F" w:rsidRPr="00BE1231">
        <w:t xml:space="preserve">Organisation des </w:t>
      </w:r>
      <w:r w:rsidR="00C4117D">
        <w:t>Nations Unies</w:t>
      </w:r>
      <w:r w:rsidR="006D201F" w:rsidRPr="00BE1231">
        <w:t xml:space="preserve"> pour l</w:t>
      </w:r>
      <w:r w:rsidR="00C4117D">
        <w:t>’</w:t>
      </w:r>
      <w:r w:rsidR="006D201F" w:rsidRPr="00BE1231">
        <w:t>alimentation et l</w:t>
      </w:r>
      <w:r w:rsidR="00C4117D">
        <w:t>’</w:t>
      </w:r>
      <w:r w:rsidR="006D201F" w:rsidRPr="00BE1231">
        <w:t>agriculture</w:t>
      </w:r>
      <w:r w:rsidR="006D201F" w:rsidRPr="00BE1231">
        <w:rPr>
          <w:snapToGrid w:val="0"/>
        </w:rPr>
        <w:t xml:space="preserve"> </w:t>
      </w:r>
      <w:r w:rsidR="001F4113" w:rsidRPr="00BE1231">
        <w:rPr>
          <w:snapToGrid w:val="0"/>
        </w:rPr>
        <w:t xml:space="preserve">(FAO) </w:t>
      </w:r>
      <w:r w:rsidR="006D201F" w:rsidRPr="00BE1231">
        <w:rPr>
          <w:snapToGrid w:val="0"/>
        </w:rPr>
        <w:t xml:space="preserve">et de certaines autres unités fonctionnelles, notamment le Traité international sur les ressources </w:t>
      </w:r>
      <w:proofErr w:type="spellStart"/>
      <w:r w:rsidR="006D201F" w:rsidRPr="00BE1231">
        <w:rPr>
          <w:snapToGrid w:val="0"/>
        </w:rPr>
        <w:t>phytogénétiques</w:t>
      </w:r>
      <w:proofErr w:type="spellEnd"/>
      <w:r w:rsidR="006D201F" w:rsidRPr="00BE1231">
        <w:rPr>
          <w:snapToGrid w:val="0"/>
        </w:rPr>
        <w:t xml:space="preserve"> pour l</w:t>
      </w:r>
      <w:r w:rsidR="00C4117D">
        <w:rPr>
          <w:snapToGrid w:val="0"/>
        </w:rPr>
        <w:t>’</w:t>
      </w:r>
      <w:r w:rsidR="006D201F" w:rsidRPr="00BE1231">
        <w:rPr>
          <w:snapToGrid w:val="0"/>
        </w:rPr>
        <w:t>alimentation et l</w:t>
      </w:r>
      <w:r w:rsidR="00C4117D">
        <w:rPr>
          <w:snapToGrid w:val="0"/>
        </w:rPr>
        <w:t>’</w:t>
      </w:r>
      <w:r w:rsidR="006D201F" w:rsidRPr="00BE1231">
        <w:rPr>
          <w:snapToGrid w:val="0"/>
        </w:rPr>
        <w:t>agriculture</w:t>
      </w:r>
      <w:r w:rsidR="001F4113" w:rsidRPr="00BE1231">
        <w:rPr>
          <w:snapToGrid w:val="0"/>
        </w:rPr>
        <w:t>,</w:t>
      </w:r>
      <w:r w:rsidR="009300CE" w:rsidRPr="00BE1231">
        <w:rPr>
          <w:snapToGrid w:val="0"/>
        </w:rPr>
        <w:t xml:space="preserve"> les membres de l</w:t>
      </w:r>
      <w:r w:rsidR="00C4117D">
        <w:rPr>
          <w:snapToGrid w:val="0"/>
        </w:rPr>
        <w:t>’</w:t>
      </w:r>
      <w:r w:rsidR="001F4113" w:rsidRPr="00BE1231">
        <w:rPr>
          <w:snapToGrid w:val="0"/>
        </w:rPr>
        <w:t xml:space="preserve">UPOV </w:t>
      </w:r>
      <w:r w:rsidR="009300CE" w:rsidRPr="00BE1231">
        <w:rPr>
          <w:snapToGrid w:val="0"/>
        </w:rPr>
        <w:t>sont convenus que le Bureau de l</w:t>
      </w:r>
      <w:r w:rsidR="00C4117D">
        <w:rPr>
          <w:snapToGrid w:val="0"/>
        </w:rPr>
        <w:t>’</w:t>
      </w:r>
      <w:r w:rsidR="009300CE" w:rsidRPr="00BE1231">
        <w:rPr>
          <w:snapToGrid w:val="0"/>
        </w:rPr>
        <w:t xml:space="preserve">UPOV </w:t>
      </w:r>
      <w:r w:rsidR="00751D23" w:rsidRPr="00BE1231">
        <w:rPr>
          <w:snapToGrid w:val="0"/>
        </w:rPr>
        <w:t>prendrait part à l</w:t>
      </w:r>
      <w:r w:rsidR="00C4117D">
        <w:rPr>
          <w:snapToGrid w:val="0"/>
        </w:rPr>
        <w:t>’</w:t>
      </w:r>
      <w:r w:rsidR="009300CE" w:rsidRPr="00BE1231">
        <w:rPr>
          <w:snapToGrid w:val="0"/>
        </w:rPr>
        <w:t>équipe</w:t>
      </w:r>
      <w:r w:rsidR="009300CE" w:rsidRPr="00BE1231">
        <w:t xml:space="preserve"> </w:t>
      </w:r>
      <w:r w:rsidR="00751D23" w:rsidRPr="00BE1231">
        <w:t>composée de nombreuses</w:t>
      </w:r>
      <w:r w:rsidR="009300CE" w:rsidRPr="00BE1231">
        <w:t xml:space="preserve"> parties prenantes</w:t>
      </w:r>
      <w:r w:rsidR="00751D23" w:rsidRPr="00BE1231">
        <w:t xml:space="preserve"> et participerait à </w:t>
      </w:r>
      <w:r w:rsidR="002D6A7C" w:rsidRPr="00BE1231">
        <w:t xml:space="preserve">la </w:t>
      </w:r>
      <w:r w:rsidR="00E2212C">
        <w:t>“</w:t>
      </w:r>
      <w:r w:rsidR="002D6A7C" w:rsidRPr="00BE1231">
        <w:t>définition de mécanismes</w:t>
      </w:r>
      <w:r w:rsidR="00751D23" w:rsidRPr="00BE1231">
        <w:t xml:space="preserve"> permettant de renforcer les partenariats public</w:t>
      </w:r>
      <w:r w:rsidR="00C4117D">
        <w:t>-</w:t>
      </w:r>
      <w:r w:rsidR="00751D23" w:rsidRPr="00BE1231">
        <w:t>privé dans le domaine de la présélection</w:t>
      </w:r>
      <w:r w:rsidR="00E2212C">
        <w:t>”</w:t>
      </w:r>
      <w:r w:rsidR="001F4113" w:rsidRPr="00BE1231">
        <w:rPr>
          <w:snapToGrid w:val="0"/>
        </w:rPr>
        <w:t xml:space="preserve"> (</w:t>
      </w:r>
      <w:r w:rsidR="006D201F" w:rsidRPr="00BE1231">
        <w:rPr>
          <w:snapToGrid w:val="0"/>
        </w:rPr>
        <w:t>voir le document C(</w:t>
      </w:r>
      <w:proofErr w:type="spellStart"/>
      <w:r w:rsidR="006D201F" w:rsidRPr="00BE1231">
        <w:rPr>
          <w:snapToGrid w:val="0"/>
        </w:rPr>
        <w:t>Extr</w:t>
      </w:r>
      <w:proofErr w:type="spellEnd"/>
      <w:r w:rsidR="006D201F" w:rsidRPr="00BE1231">
        <w:rPr>
          <w:snapToGrid w:val="0"/>
        </w:rPr>
        <w:t xml:space="preserve">.)/30/8 </w:t>
      </w:r>
      <w:r w:rsidR="00E2212C">
        <w:rPr>
          <w:snapToGrid w:val="0"/>
        </w:rPr>
        <w:t>“</w:t>
      </w:r>
      <w:r w:rsidR="006D201F" w:rsidRPr="00BE1231">
        <w:rPr>
          <w:snapToGrid w:val="0"/>
        </w:rPr>
        <w:t>Compte rendu</w:t>
      </w:r>
      <w:r w:rsidR="00E2212C">
        <w:rPr>
          <w:snapToGrid w:val="0"/>
        </w:rPr>
        <w:t>”</w:t>
      </w:r>
      <w:r w:rsidR="006D201F" w:rsidRPr="00BE1231">
        <w:rPr>
          <w:snapToGrid w:val="0"/>
        </w:rPr>
        <w:t xml:space="preserve">, annexe III </w:t>
      </w:r>
      <w:r w:rsidR="00E2212C">
        <w:rPr>
          <w:snapToGrid w:val="0"/>
        </w:rPr>
        <w:t>“</w:t>
      </w:r>
      <w:r w:rsidR="006D201F" w:rsidRPr="00BE1231">
        <w:rPr>
          <w:snapToGrid w:val="0"/>
        </w:rPr>
        <w:t>Communiqué de presse</w:t>
      </w:r>
      <w:r w:rsidR="00E2212C">
        <w:rPr>
          <w:snapToGrid w:val="0"/>
        </w:rPr>
        <w:t>”</w:t>
      </w:r>
      <w:r w:rsidR="001F4113" w:rsidRPr="00BE1231">
        <w:rPr>
          <w:snapToGrid w:val="0"/>
        </w:rPr>
        <w:t>).</w:t>
      </w:r>
    </w:p>
    <w:p w:rsidR="001F4113" w:rsidRPr="00BE1231" w:rsidRDefault="001F4113" w:rsidP="001F4113">
      <w:pPr>
        <w:rPr>
          <w:snapToGrid w:val="0"/>
        </w:rPr>
      </w:pPr>
    </w:p>
    <w:p w:rsidR="001F4113" w:rsidRPr="00BE1231" w:rsidRDefault="006D201F" w:rsidP="00303501">
      <w:pPr>
        <w:pStyle w:val="Heading3"/>
      </w:pPr>
      <w:bookmarkStart w:id="37" w:name="_Toc381170149"/>
      <w:r w:rsidRPr="00BE1231">
        <w:t>R</w:t>
      </w:r>
      <w:r w:rsidR="001F4113" w:rsidRPr="00BE1231">
        <w:t xml:space="preserve">elations </w:t>
      </w:r>
      <w:r w:rsidRPr="00BE1231">
        <w:t>entre l</w:t>
      </w:r>
      <w:r w:rsidR="00C4117D">
        <w:t>’</w:t>
      </w:r>
      <w:r w:rsidR="001F4113" w:rsidRPr="00BE1231">
        <w:t xml:space="preserve">ITPGRFA, </w:t>
      </w:r>
      <w:r w:rsidRPr="00BE1231">
        <w:t>l</w:t>
      </w:r>
      <w:r w:rsidR="00C4117D">
        <w:t>’</w:t>
      </w:r>
      <w:r w:rsidR="001F4113" w:rsidRPr="00BE1231">
        <w:t xml:space="preserve">UPOV </w:t>
      </w:r>
      <w:r w:rsidRPr="00BE1231">
        <w:t>et l</w:t>
      </w:r>
      <w:r w:rsidR="00C4117D">
        <w:t>’</w:t>
      </w:r>
      <w:r w:rsidRPr="00BE1231">
        <w:t>OMPI</w:t>
      </w:r>
      <w:bookmarkEnd w:id="37"/>
    </w:p>
    <w:p w:rsidR="001F4113" w:rsidRPr="00BE1231" w:rsidRDefault="001F4113" w:rsidP="001F4113">
      <w:pPr>
        <w:rPr>
          <w:snapToGrid w:val="0"/>
        </w:rPr>
      </w:pPr>
    </w:p>
    <w:p w:rsidR="002D6A7C" w:rsidRPr="00BE1231" w:rsidRDefault="00185757" w:rsidP="001F4113">
      <w:pPr>
        <w:rPr>
          <w:snapToGrid w:val="0"/>
        </w:rPr>
      </w:pPr>
      <w:r w:rsidRPr="00BE1231">
        <w:rPr>
          <w:snapToGrid w:val="0"/>
        </w:rPr>
        <w:fldChar w:fldCharType="begin"/>
      </w:r>
      <w:r w:rsidR="001F4113" w:rsidRPr="00BE1231">
        <w:rPr>
          <w:snapToGrid w:val="0"/>
        </w:rPr>
        <w:instrText xml:space="preserve"> AUTONUM  </w:instrText>
      </w:r>
      <w:r w:rsidRPr="00BE1231">
        <w:rPr>
          <w:snapToGrid w:val="0"/>
        </w:rPr>
        <w:fldChar w:fldCharType="end"/>
      </w:r>
      <w:r w:rsidR="001F4113" w:rsidRPr="00BE1231">
        <w:rPr>
          <w:snapToGrid w:val="0"/>
        </w:rPr>
        <w:tab/>
      </w:r>
      <w:r w:rsidR="002D6A7C" w:rsidRPr="00BE1231">
        <w:rPr>
          <w:snapToGrid w:val="0"/>
        </w:rPr>
        <w:t>À sa cinquième</w:t>
      </w:r>
      <w:r w:rsidR="00E2212C">
        <w:rPr>
          <w:snapToGrid w:val="0"/>
        </w:rPr>
        <w:t> </w:t>
      </w:r>
      <w:r w:rsidR="002D6A7C" w:rsidRPr="00BE1231">
        <w:rPr>
          <w:snapToGrid w:val="0"/>
        </w:rPr>
        <w:t xml:space="preserve">session tenue à Muscat </w:t>
      </w:r>
      <w:r w:rsidR="00CD668D">
        <w:rPr>
          <w:snapToGrid w:val="0"/>
        </w:rPr>
        <w:t>(</w:t>
      </w:r>
      <w:r w:rsidR="002D6A7C" w:rsidRPr="00BE1231">
        <w:rPr>
          <w:snapToGrid w:val="0"/>
        </w:rPr>
        <w:t>Oman</w:t>
      </w:r>
      <w:r w:rsidR="00CD668D">
        <w:rPr>
          <w:snapToGrid w:val="0"/>
        </w:rPr>
        <w:t>)</w:t>
      </w:r>
      <w:r w:rsidR="002D6A7C" w:rsidRPr="00BE1231">
        <w:rPr>
          <w:snapToGrid w:val="0"/>
        </w:rPr>
        <w:t>, du 24 au 2</w:t>
      </w:r>
      <w:r w:rsidR="00AB76FD" w:rsidRPr="00BE1231">
        <w:rPr>
          <w:snapToGrid w:val="0"/>
        </w:rPr>
        <w:t>8</w:t>
      </w:r>
      <w:r w:rsidR="00AB76FD">
        <w:rPr>
          <w:snapToGrid w:val="0"/>
        </w:rPr>
        <w:t> </w:t>
      </w:r>
      <w:r w:rsidR="00AB76FD" w:rsidRPr="00BE1231">
        <w:rPr>
          <w:snapToGrid w:val="0"/>
        </w:rPr>
        <w:t>septembre</w:t>
      </w:r>
      <w:r w:rsidR="00AB76FD">
        <w:rPr>
          <w:snapToGrid w:val="0"/>
        </w:rPr>
        <w:t> </w:t>
      </w:r>
      <w:r w:rsidR="00AB76FD" w:rsidRPr="00BE1231">
        <w:rPr>
          <w:snapToGrid w:val="0"/>
        </w:rPr>
        <w:t>20</w:t>
      </w:r>
      <w:r w:rsidR="002D6A7C" w:rsidRPr="00BE1231">
        <w:rPr>
          <w:snapToGrid w:val="0"/>
        </w:rPr>
        <w:t>13, l</w:t>
      </w:r>
      <w:r w:rsidR="00C4117D">
        <w:rPr>
          <w:snapToGrid w:val="0"/>
        </w:rPr>
        <w:t>’</w:t>
      </w:r>
      <w:r w:rsidR="002D6A7C" w:rsidRPr="00BE1231">
        <w:rPr>
          <w:snapToGrid w:val="0"/>
        </w:rPr>
        <w:t>organe directeur du</w:t>
      </w:r>
      <w:r w:rsidR="006B5795">
        <w:rPr>
          <w:snapToGrid w:val="0"/>
        </w:rPr>
        <w:t> </w:t>
      </w:r>
      <w:r w:rsidR="002D6A7C" w:rsidRPr="00BE1231">
        <w:rPr>
          <w:snapToGrid w:val="0"/>
        </w:rPr>
        <w:t>traité ITPGRFA (GB) a adopté la résolution suivante au titre du point de l</w:t>
      </w:r>
      <w:r w:rsidR="00C4117D">
        <w:rPr>
          <w:snapToGrid w:val="0"/>
        </w:rPr>
        <w:t>’</w:t>
      </w:r>
      <w:r w:rsidR="002D6A7C" w:rsidRPr="00BE1231">
        <w:rPr>
          <w:snapToGrid w:val="0"/>
        </w:rPr>
        <w:t xml:space="preserve">ordre du jour intitulé </w:t>
      </w:r>
      <w:r w:rsidR="00E2212C">
        <w:rPr>
          <w:snapToGrid w:val="0"/>
        </w:rPr>
        <w:t>“</w:t>
      </w:r>
      <w:r w:rsidR="002D6A7C" w:rsidRPr="00BE1231">
        <w:rPr>
          <w:rFonts w:eastAsia="SimSun"/>
        </w:rPr>
        <w:t>Application de l</w:t>
      </w:r>
      <w:r w:rsidR="00C4117D">
        <w:rPr>
          <w:rFonts w:eastAsia="SimSun"/>
        </w:rPr>
        <w:t>’</w:t>
      </w:r>
      <w:r w:rsidR="002D6A7C" w:rsidRPr="00BE1231">
        <w:rPr>
          <w:rFonts w:eastAsia="SimSun"/>
        </w:rPr>
        <w:t>article 9</w:t>
      </w:r>
      <w:r w:rsidR="00E2212C">
        <w:rPr>
          <w:rFonts w:eastAsia="SimSun"/>
        </w:rPr>
        <w:t> </w:t>
      </w:r>
      <w:r w:rsidR="00751D23" w:rsidRPr="00BE1231">
        <w:rPr>
          <w:rFonts w:eastAsia="SimSun"/>
        </w:rPr>
        <w:t>:</w:t>
      </w:r>
      <w:r w:rsidR="002D6A7C" w:rsidRPr="00BE1231">
        <w:rPr>
          <w:rFonts w:eastAsia="SimSun"/>
        </w:rPr>
        <w:t xml:space="preserve"> Droits des agriculteurs</w:t>
      </w:r>
      <w:r w:rsidR="00E2212C">
        <w:rPr>
          <w:rFonts w:eastAsia="SimSun"/>
        </w:rPr>
        <w:t>” :</w:t>
      </w:r>
    </w:p>
    <w:p w:rsidR="001F4113" w:rsidRPr="00BE1231" w:rsidRDefault="001F4113" w:rsidP="001F4113">
      <w:pPr>
        <w:rPr>
          <w:rFonts w:eastAsia="SimSun" w:cs="Arial"/>
          <w:lang w:eastAsia="zh-CN"/>
        </w:rPr>
      </w:pPr>
    </w:p>
    <w:p w:rsidR="001F4113" w:rsidRPr="00BE1231" w:rsidRDefault="006D201F" w:rsidP="001F4113">
      <w:pPr>
        <w:keepNext/>
        <w:spacing w:after="120"/>
        <w:ind w:left="567" w:right="567"/>
        <w:outlineLvl w:val="3"/>
        <w:rPr>
          <w:rFonts w:eastAsia="SimSun" w:cs="Arial"/>
          <w:bCs/>
          <w:i/>
          <w:iCs/>
          <w:sz w:val="18"/>
          <w:lang w:eastAsia="zh-CN"/>
        </w:rPr>
      </w:pPr>
      <w:r w:rsidRPr="00BE1231">
        <w:rPr>
          <w:rFonts w:eastAsia="SimSun" w:cs="Arial"/>
          <w:bCs/>
          <w:i/>
          <w:iCs/>
          <w:sz w:val="18"/>
          <w:lang w:eastAsia="zh-CN"/>
        </w:rPr>
        <w:t>“Ré</w:t>
      </w:r>
      <w:r w:rsidR="001F4113" w:rsidRPr="00BE1231">
        <w:rPr>
          <w:rFonts w:eastAsia="SimSun" w:cs="Arial"/>
          <w:bCs/>
          <w:i/>
          <w:iCs/>
          <w:sz w:val="18"/>
          <w:lang w:eastAsia="zh-CN"/>
        </w:rPr>
        <w:t>solution</w:t>
      </w:r>
      <w:r w:rsidR="00E2212C">
        <w:rPr>
          <w:rFonts w:eastAsia="SimSun" w:cs="Arial"/>
          <w:bCs/>
          <w:i/>
          <w:iCs/>
          <w:sz w:val="18"/>
          <w:lang w:eastAsia="zh-CN"/>
        </w:rPr>
        <w:t> </w:t>
      </w:r>
      <w:r w:rsidR="001F4113" w:rsidRPr="00BE1231">
        <w:rPr>
          <w:rFonts w:eastAsia="SimSun" w:cs="Arial"/>
          <w:bCs/>
          <w:i/>
          <w:iCs/>
          <w:sz w:val="18"/>
          <w:lang w:eastAsia="zh-CN"/>
        </w:rPr>
        <w:t xml:space="preserve">: </w:t>
      </w:r>
      <w:r w:rsidRPr="00BE1231">
        <w:rPr>
          <w:rFonts w:eastAsia="SimSun" w:cs="Arial"/>
          <w:bCs/>
          <w:i/>
          <w:iCs/>
          <w:sz w:val="18"/>
          <w:lang w:eastAsia="zh-CN"/>
        </w:rPr>
        <w:t>Application de l</w:t>
      </w:r>
      <w:r w:rsidR="00C4117D">
        <w:rPr>
          <w:rFonts w:eastAsia="SimSun" w:cs="Arial"/>
          <w:bCs/>
          <w:i/>
          <w:iCs/>
          <w:sz w:val="18"/>
          <w:lang w:eastAsia="zh-CN"/>
        </w:rPr>
        <w:t>’</w:t>
      </w:r>
      <w:r w:rsidRPr="00BE1231">
        <w:rPr>
          <w:rFonts w:eastAsia="SimSun" w:cs="Arial"/>
          <w:bCs/>
          <w:i/>
          <w:iCs/>
          <w:sz w:val="18"/>
          <w:lang w:eastAsia="zh-CN"/>
        </w:rPr>
        <w:t>article 9, Droits des agriculteurs</w:t>
      </w:r>
    </w:p>
    <w:p w:rsidR="006D201F" w:rsidRPr="00BE1231" w:rsidRDefault="00E2212C" w:rsidP="001F4113">
      <w:pPr>
        <w:spacing w:after="120"/>
        <w:ind w:left="567" w:right="567"/>
        <w:rPr>
          <w:rFonts w:cs="Arial"/>
          <w:sz w:val="18"/>
          <w:lang w:eastAsia="zh-CN"/>
        </w:rPr>
      </w:pPr>
      <w:r>
        <w:rPr>
          <w:rFonts w:cs="Arial"/>
          <w:sz w:val="18"/>
          <w:lang w:eastAsia="zh-CN"/>
        </w:rPr>
        <w:t>“</w:t>
      </w:r>
      <w:r w:rsidR="006D201F" w:rsidRPr="00BE1231">
        <w:rPr>
          <w:rFonts w:cs="Arial"/>
          <w:sz w:val="18"/>
          <w:lang w:eastAsia="zh-CN"/>
        </w:rPr>
        <w:t>3.</w:t>
      </w:r>
      <w:r w:rsidR="006B5795">
        <w:rPr>
          <w:rFonts w:cs="Arial"/>
          <w:sz w:val="18"/>
          <w:lang w:eastAsia="zh-CN"/>
        </w:rPr>
        <w:tab/>
      </w:r>
      <w:r w:rsidR="006D201F" w:rsidRPr="00BE1231">
        <w:rPr>
          <w:rFonts w:cs="Arial"/>
          <w:sz w:val="18"/>
          <w:lang w:eastAsia="zh-CN"/>
        </w:rPr>
        <w:t>Demande au Secrétaire d</w:t>
      </w:r>
      <w:r w:rsidR="00C4117D">
        <w:rPr>
          <w:rFonts w:cs="Arial"/>
          <w:sz w:val="18"/>
          <w:lang w:eastAsia="zh-CN"/>
        </w:rPr>
        <w:t>’</w:t>
      </w:r>
      <w:r w:rsidR="006D201F" w:rsidRPr="00BE1231">
        <w:rPr>
          <w:rFonts w:cs="Arial"/>
          <w:sz w:val="18"/>
          <w:lang w:eastAsia="zh-CN"/>
        </w:rPr>
        <w:t>inviter l</w:t>
      </w:r>
      <w:r w:rsidR="00C4117D">
        <w:rPr>
          <w:rFonts w:cs="Arial"/>
          <w:sz w:val="18"/>
          <w:lang w:eastAsia="zh-CN"/>
        </w:rPr>
        <w:t>’</w:t>
      </w:r>
      <w:r w:rsidR="006D201F" w:rsidRPr="00BE1231">
        <w:rPr>
          <w:rFonts w:cs="Arial"/>
          <w:sz w:val="18"/>
          <w:lang w:eastAsia="zh-CN"/>
        </w:rPr>
        <w:t>UPOV et l</w:t>
      </w:r>
      <w:r w:rsidR="00C4117D">
        <w:rPr>
          <w:rFonts w:cs="Arial"/>
          <w:sz w:val="18"/>
          <w:lang w:eastAsia="zh-CN"/>
        </w:rPr>
        <w:t>’</w:t>
      </w:r>
      <w:r w:rsidR="006D201F" w:rsidRPr="00BE1231">
        <w:rPr>
          <w:rFonts w:cs="Arial"/>
          <w:sz w:val="18"/>
          <w:lang w:eastAsia="zh-CN"/>
        </w:rPr>
        <w:t>OMPI à recenser ensemble les relations possibles entre leurs instruments internationaux respectifs;</w:t>
      </w:r>
      <w:r w:rsidR="006B5795">
        <w:rPr>
          <w:rFonts w:cs="Arial"/>
          <w:sz w:val="18"/>
          <w:lang w:eastAsia="zh-CN"/>
        </w:rPr>
        <w:t>”</w:t>
      </w:r>
    </w:p>
    <w:p w:rsidR="001F4113" w:rsidRDefault="001F4113" w:rsidP="001F4113">
      <w:pPr>
        <w:keepNext/>
      </w:pPr>
      <w:r w:rsidRPr="00BE1231">
        <w:t>(</w:t>
      </w:r>
      <w:proofErr w:type="gramStart"/>
      <w:r w:rsidR="006D201F" w:rsidRPr="00BE1231">
        <w:t>voir</w:t>
      </w:r>
      <w:proofErr w:type="gramEnd"/>
      <w:r w:rsidR="006D201F" w:rsidRPr="00BE1231">
        <w:t xml:space="preserve"> le paragraphe</w:t>
      </w:r>
      <w:r w:rsidR="00E2212C">
        <w:t> </w:t>
      </w:r>
      <w:r w:rsidR="006D201F" w:rsidRPr="00BE1231">
        <w:t>54 du</w:t>
      </w:r>
      <w:r w:rsidRPr="00BE1231">
        <w:t xml:space="preserve"> document C/47/15</w:t>
      </w:r>
      <w:r w:rsidR="00E2212C">
        <w:t> </w:t>
      </w:r>
      <w:proofErr w:type="spellStart"/>
      <w:r w:rsidRPr="00BE1231">
        <w:t>Rev</w:t>
      </w:r>
      <w:proofErr w:type="spellEnd"/>
      <w:r w:rsidRPr="00BE1231">
        <w:t>. “</w:t>
      </w:r>
      <w:r w:rsidRPr="00415169">
        <w:rPr>
          <w:i/>
        </w:rPr>
        <w:t xml:space="preserve">Report by the </w:t>
      </w:r>
      <w:proofErr w:type="spellStart"/>
      <w:r w:rsidRPr="00415169">
        <w:rPr>
          <w:i/>
        </w:rPr>
        <w:t>President</w:t>
      </w:r>
      <w:proofErr w:type="spellEnd"/>
      <w:r w:rsidRPr="00415169">
        <w:rPr>
          <w:i/>
        </w:rPr>
        <w:t xml:space="preserve"> on the </w:t>
      </w:r>
      <w:proofErr w:type="spellStart"/>
      <w:r w:rsidRPr="00415169">
        <w:rPr>
          <w:i/>
        </w:rPr>
        <w:t>work</w:t>
      </w:r>
      <w:proofErr w:type="spellEnd"/>
      <w:r w:rsidRPr="00415169">
        <w:rPr>
          <w:i/>
        </w:rPr>
        <w:t xml:space="preserve"> of the </w:t>
      </w:r>
      <w:proofErr w:type="spellStart"/>
      <w:r w:rsidRPr="00415169">
        <w:rPr>
          <w:i/>
        </w:rPr>
        <w:t>eighty</w:t>
      </w:r>
      <w:r w:rsidR="00CD668D" w:rsidRPr="00415169">
        <w:rPr>
          <w:i/>
        </w:rPr>
        <w:noBreakHyphen/>
      </w:r>
      <w:r w:rsidRPr="00415169">
        <w:rPr>
          <w:i/>
        </w:rPr>
        <w:t>sixth</w:t>
      </w:r>
      <w:proofErr w:type="spellEnd"/>
      <w:r w:rsidR="00CD668D" w:rsidRPr="00415169">
        <w:rPr>
          <w:i/>
        </w:rPr>
        <w:t> </w:t>
      </w:r>
      <w:r w:rsidRPr="00415169">
        <w:rPr>
          <w:i/>
        </w:rPr>
        <w:t xml:space="preserve">session of the </w:t>
      </w:r>
      <w:r w:rsidR="00F70F9B" w:rsidRPr="00415169">
        <w:rPr>
          <w:i/>
        </w:rPr>
        <w:t>Comité consultatif</w:t>
      </w:r>
      <w:r w:rsidRPr="00415169">
        <w:rPr>
          <w:i/>
        </w:rPr>
        <w:t xml:space="preserve">; </w:t>
      </w:r>
      <w:r w:rsidR="00F70F9B" w:rsidRPr="00415169">
        <w:rPr>
          <w:i/>
        </w:rPr>
        <w:t xml:space="preserve"> </w:t>
      </w:r>
      <w:r w:rsidRPr="00415169">
        <w:rPr>
          <w:i/>
        </w:rPr>
        <w:t xml:space="preserve">adoption of </w:t>
      </w:r>
      <w:proofErr w:type="spellStart"/>
      <w:r w:rsidRPr="00415169">
        <w:rPr>
          <w:i/>
        </w:rPr>
        <w:t>recommendations</w:t>
      </w:r>
      <w:proofErr w:type="spellEnd"/>
      <w:r w:rsidRPr="00415169">
        <w:rPr>
          <w:i/>
        </w:rPr>
        <w:t xml:space="preserve">, if </w:t>
      </w:r>
      <w:proofErr w:type="spellStart"/>
      <w:r w:rsidRPr="00415169">
        <w:rPr>
          <w:i/>
        </w:rPr>
        <w:t>a</w:t>
      </w:r>
      <w:r w:rsidR="006D201F" w:rsidRPr="00415169">
        <w:rPr>
          <w:i/>
        </w:rPr>
        <w:t>ny</w:t>
      </w:r>
      <w:proofErr w:type="spellEnd"/>
      <w:r w:rsidR="006D201F" w:rsidRPr="00415169">
        <w:rPr>
          <w:i/>
        </w:rPr>
        <w:t xml:space="preserve">, </w:t>
      </w:r>
      <w:proofErr w:type="spellStart"/>
      <w:r w:rsidR="006D201F" w:rsidRPr="00415169">
        <w:rPr>
          <w:i/>
        </w:rPr>
        <w:t>prepared</w:t>
      </w:r>
      <w:proofErr w:type="spellEnd"/>
      <w:r w:rsidR="006D201F" w:rsidRPr="00415169">
        <w:rPr>
          <w:i/>
        </w:rPr>
        <w:t xml:space="preserve"> by </w:t>
      </w:r>
      <w:proofErr w:type="spellStart"/>
      <w:r w:rsidR="006D201F" w:rsidRPr="00415169">
        <w:rPr>
          <w:i/>
        </w:rPr>
        <w:t>that</w:t>
      </w:r>
      <w:proofErr w:type="spellEnd"/>
      <w:r w:rsidR="006D201F" w:rsidRPr="00415169">
        <w:rPr>
          <w:i/>
        </w:rPr>
        <w:t xml:space="preserve"> </w:t>
      </w:r>
      <w:proofErr w:type="spellStart"/>
      <w:r w:rsidR="006D201F" w:rsidRPr="00415169">
        <w:rPr>
          <w:i/>
        </w:rPr>
        <w:t>Committee</w:t>
      </w:r>
      <w:proofErr w:type="spellEnd"/>
      <w:r w:rsidR="006D201F" w:rsidRPr="00BE1231">
        <w:t>”</w:t>
      </w:r>
      <w:r w:rsidRPr="00BE1231">
        <w:t xml:space="preserve"> </w:t>
      </w:r>
      <w:r w:rsidR="006D201F" w:rsidRPr="00BE1231">
        <w:t>(Rapport du président sur les travaux de la quatre</w:t>
      </w:r>
      <w:r w:rsidR="00C4117D">
        <w:t>-</w:t>
      </w:r>
      <w:r w:rsidR="006D201F" w:rsidRPr="00BE1231">
        <w:t>vingt</w:t>
      </w:r>
      <w:r w:rsidR="00C4117D">
        <w:t>-</w:t>
      </w:r>
      <w:r w:rsidR="006D201F" w:rsidRPr="00BE1231">
        <w:t xml:space="preserve">sixième session du Comité consultatif; </w:t>
      </w:r>
      <w:r w:rsidR="00E2212C">
        <w:t xml:space="preserve"> </w:t>
      </w:r>
      <w:r w:rsidR="006D201F" w:rsidRPr="00BE1231">
        <w:t>adoption, le cas échéant, des recommandations élaborées par ce comité)</w:t>
      </w:r>
      <w:r w:rsidRPr="00BE1231">
        <w:t>).</w:t>
      </w:r>
    </w:p>
    <w:p w:rsidR="00EB7321" w:rsidRPr="00BE1231" w:rsidRDefault="00EB7321" w:rsidP="001F4113">
      <w:pPr>
        <w:keepNext/>
      </w:pPr>
      <w:bookmarkStart w:id="38" w:name="_GoBack"/>
      <w:bookmarkEnd w:id="38"/>
    </w:p>
    <w:p w:rsidR="009678DE" w:rsidRPr="00BE1231" w:rsidRDefault="00EB7321" w:rsidP="00B84B34">
      <w:pPr>
        <w:pStyle w:val="DecisionParagraphs"/>
        <w:rPr>
          <w:rFonts w:cs="Arial"/>
          <w:snapToGrid w:val="0"/>
        </w:rPr>
      </w:pPr>
      <w:r w:rsidRPr="003802AE">
        <w:rPr>
          <w:snapToGrid w:val="0"/>
        </w:rPr>
        <w:fldChar w:fldCharType="begin"/>
      </w:r>
      <w:r w:rsidRPr="003802AE">
        <w:rPr>
          <w:snapToGrid w:val="0"/>
        </w:rPr>
        <w:instrText xml:space="preserve"> AUTONUM  </w:instrText>
      </w:r>
      <w:r w:rsidRPr="003802AE">
        <w:rPr>
          <w:snapToGrid w:val="0"/>
        </w:rPr>
        <w:fldChar w:fldCharType="end"/>
      </w:r>
      <w:r w:rsidRPr="003802AE">
        <w:rPr>
          <w:snapToGrid w:val="0"/>
        </w:rPr>
        <w:tab/>
      </w:r>
      <w:r w:rsidR="00C55F78" w:rsidRPr="003802AE">
        <w:rPr>
          <w:snapToGrid w:val="0"/>
        </w:rPr>
        <w:t xml:space="preserve">Le TC est invité à </w:t>
      </w:r>
      <w:r w:rsidR="001B2DBE" w:rsidRPr="003802AE">
        <w:rPr>
          <w:snapToGrid w:val="0"/>
        </w:rPr>
        <w:t>noter</w:t>
      </w:r>
      <w:r w:rsidR="00C55F78" w:rsidRPr="003802AE">
        <w:rPr>
          <w:snapToGrid w:val="0"/>
        </w:rPr>
        <w:t xml:space="preserve"> </w:t>
      </w:r>
      <w:r w:rsidR="001B2DBE" w:rsidRPr="003802AE">
        <w:rPr>
          <w:snapToGrid w:val="0"/>
        </w:rPr>
        <w:t>l</w:t>
      </w:r>
      <w:r w:rsidR="00C55F78" w:rsidRPr="003802AE">
        <w:rPr>
          <w:snapToGrid w:val="0"/>
        </w:rPr>
        <w:t xml:space="preserve">es </w:t>
      </w:r>
      <w:proofErr w:type="spellStart"/>
      <w:r w:rsidR="00C55F78" w:rsidRPr="003802AE">
        <w:rPr>
          <w:snapToGrid w:val="0"/>
        </w:rPr>
        <w:t>dévelopements</w:t>
      </w:r>
      <w:proofErr w:type="spellEnd"/>
      <w:r w:rsidR="00C55F78" w:rsidRPr="003802AE">
        <w:rPr>
          <w:snapToGrid w:val="0"/>
        </w:rPr>
        <w:t xml:space="preserve"> au sein de l’UPOV, y compris certaines questions examinées </w:t>
      </w:r>
      <w:r w:rsidR="00B84B34" w:rsidRPr="003802AE">
        <w:rPr>
          <w:snapToGrid w:val="0"/>
        </w:rPr>
        <w:t>lors des dernières sessions du C</w:t>
      </w:r>
      <w:r w:rsidR="00C55F78" w:rsidRPr="003802AE">
        <w:rPr>
          <w:snapToGrid w:val="0"/>
        </w:rPr>
        <w:t xml:space="preserve">omité </w:t>
      </w:r>
      <w:r w:rsidR="00B84B34" w:rsidRPr="003802AE">
        <w:rPr>
          <w:snapToGrid w:val="0"/>
        </w:rPr>
        <w:t xml:space="preserve">administratif et juridique, du Comité </w:t>
      </w:r>
      <w:proofErr w:type="spellStart"/>
      <w:r w:rsidR="00B84B34" w:rsidRPr="003802AE">
        <w:rPr>
          <w:snapToGrid w:val="0"/>
        </w:rPr>
        <w:t>consulatif</w:t>
      </w:r>
      <w:proofErr w:type="spellEnd"/>
      <w:r w:rsidR="00B84B34" w:rsidRPr="003802AE">
        <w:rPr>
          <w:snapToGrid w:val="0"/>
        </w:rPr>
        <w:t xml:space="preserve"> et du C</w:t>
      </w:r>
      <w:r w:rsidR="00C55F78" w:rsidRPr="003802AE">
        <w:rPr>
          <w:snapToGrid w:val="0"/>
        </w:rPr>
        <w:t>onseil</w:t>
      </w:r>
      <w:r w:rsidR="00B84B34" w:rsidRPr="003802AE">
        <w:rPr>
          <w:snapToGrid w:val="0"/>
        </w:rPr>
        <w:t>, comme indiqué dans les paragraphes 4 à 35 de ce document.</w:t>
      </w:r>
    </w:p>
    <w:p w:rsidR="00557635" w:rsidRDefault="00557635" w:rsidP="008E734A"/>
    <w:p w:rsidR="00C55F78" w:rsidRPr="00BE1231" w:rsidRDefault="00C55F78" w:rsidP="008E734A"/>
    <w:p w:rsidR="008907DC" w:rsidRDefault="008907DC">
      <w:pPr>
        <w:jc w:val="left"/>
        <w:rPr>
          <w:rStyle w:val="BookTitle"/>
          <w:b/>
          <w:caps/>
        </w:rPr>
      </w:pPr>
      <w:bookmarkStart w:id="39" w:name="_Toc381170150"/>
      <w:r>
        <w:rPr>
          <w:rStyle w:val="BookTitle"/>
          <w:b/>
        </w:rPr>
        <w:br w:type="page"/>
      </w:r>
    </w:p>
    <w:p w:rsidR="00AB76FD" w:rsidRPr="008907DC" w:rsidRDefault="001F4113" w:rsidP="008907DC">
      <w:pPr>
        <w:pStyle w:val="Heading1"/>
        <w:rPr>
          <w:rStyle w:val="BookTitle"/>
          <w:b/>
        </w:rPr>
      </w:pPr>
      <w:r w:rsidRPr="008907DC">
        <w:rPr>
          <w:rStyle w:val="BookTitle"/>
          <w:b/>
        </w:rPr>
        <w:t>II.</w:t>
      </w:r>
      <w:r w:rsidRPr="008907DC">
        <w:rPr>
          <w:rStyle w:val="BookTitle"/>
          <w:b/>
        </w:rPr>
        <w:tab/>
      </w:r>
      <w:r w:rsidR="005C4BA0" w:rsidRPr="008907DC">
        <w:rPr>
          <w:b/>
        </w:rPr>
        <w:t>Questions à soumettre au Comité technique</w:t>
      </w:r>
      <w:bookmarkEnd w:id="39"/>
    </w:p>
    <w:p w:rsidR="001C553C" w:rsidRPr="00BE1231" w:rsidRDefault="001C553C" w:rsidP="001C553C"/>
    <w:p w:rsidR="00340861" w:rsidRPr="00BE1231" w:rsidRDefault="00615E39" w:rsidP="008907DC">
      <w:pPr>
        <w:pStyle w:val="Heading1"/>
      </w:pPr>
      <w:bookmarkStart w:id="40" w:name="_Toc381170151"/>
      <w:r w:rsidRPr="00BE1231">
        <w:t>descriptions</w:t>
      </w:r>
      <w:r w:rsidR="005C4BA0" w:rsidRPr="00BE1231">
        <w:t xml:space="preserve"> variétales</w:t>
      </w:r>
      <w:bookmarkEnd w:id="40"/>
    </w:p>
    <w:p w:rsidR="00340861" w:rsidRPr="00BE1231" w:rsidRDefault="00340861" w:rsidP="00340861">
      <w:pPr>
        <w:keepNext/>
      </w:pPr>
    </w:p>
    <w:p w:rsidR="00B94604" w:rsidRPr="00BE1231" w:rsidRDefault="00185757" w:rsidP="00340861">
      <w:pPr>
        <w:rPr>
          <w:rFonts w:cs="Arial"/>
        </w:rPr>
      </w:pPr>
      <w:r w:rsidRPr="00BE1231">
        <w:rPr>
          <w:rFonts w:cs="Arial"/>
        </w:rPr>
        <w:fldChar w:fldCharType="begin"/>
      </w:r>
      <w:r w:rsidR="00B94604" w:rsidRPr="00BE1231">
        <w:rPr>
          <w:rFonts w:cs="Arial"/>
        </w:rPr>
        <w:instrText xml:space="preserve"> AUTONUM  </w:instrText>
      </w:r>
      <w:r w:rsidRPr="00BE1231">
        <w:rPr>
          <w:rFonts w:cs="Arial"/>
        </w:rPr>
        <w:fldChar w:fldCharType="end"/>
      </w:r>
      <w:r w:rsidR="00B94604" w:rsidRPr="00BE1231">
        <w:rPr>
          <w:rFonts w:cs="Arial"/>
        </w:rPr>
        <w:tab/>
      </w:r>
      <w:r w:rsidR="00623264" w:rsidRPr="00BE1231">
        <w:rPr>
          <w:rFonts w:cs="Arial"/>
        </w:rPr>
        <w:t>À sa s</w:t>
      </w:r>
      <w:r w:rsidR="00A1496F">
        <w:rPr>
          <w:rFonts w:cs="Arial"/>
        </w:rPr>
        <w:t>ept</w:t>
      </w:r>
      <w:r w:rsidR="00623264" w:rsidRPr="00BE1231">
        <w:rPr>
          <w:rFonts w:cs="Arial"/>
        </w:rPr>
        <w:t>ième</w:t>
      </w:r>
      <w:r w:rsidR="00E2212C">
        <w:rPr>
          <w:rFonts w:cs="Arial"/>
        </w:rPr>
        <w:t> </w:t>
      </w:r>
      <w:r w:rsidR="00B94604" w:rsidRPr="00BE1231">
        <w:rPr>
          <w:rFonts w:cs="Arial"/>
        </w:rPr>
        <w:t xml:space="preserve">session, </w:t>
      </w:r>
      <w:r w:rsidR="00623264" w:rsidRPr="00BE1231">
        <w:rPr>
          <w:rFonts w:cs="Arial"/>
        </w:rPr>
        <w:t>tenue à Genève le</w:t>
      </w:r>
      <w:r w:rsidR="00A1496F">
        <w:rPr>
          <w:rFonts w:cs="Arial"/>
        </w:rPr>
        <w:t>s</w:t>
      </w:r>
      <w:r w:rsidR="00623264" w:rsidRPr="00BE1231">
        <w:rPr>
          <w:rFonts w:cs="Arial"/>
        </w:rPr>
        <w:t xml:space="preserve"> </w:t>
      </w:r>
      <w:r w:rsidR="00A1496F">
        <w:rPr>
          <w:rFonts w:cs="Arial"/>
        </w:rPr>
        <w:t>29 et 30</w:t>
      </w:r>
      <w:r w:rsidR="00AB76FD">
        <w:rPr>
          <w:rFonts w:cs="Arial"/>
        </w:rPr>
        <w:t> </w:t>
      </w:r>
      <w:r w:rsidR="00AB76FD" w:rsidRPr="00BE1231">
        <w:rPr>
          <w:rFonts w:cs="Arial"/>
        </w:rPr>
        <w:t>octobre</w:t>
      </w:r>
      <w:r w:rsidR="00AB76FD">
        <w:rPr>
          <w:rFonts w:cs="Arial"/>
        </w:rPr>
        <w:t> </w:t>
      </w:r>
      <w:r w:rsidR="00AB76FD" w:rsidRPr="00BE1231">
        <w:rPr>
          <w:rFonts w:cs="Arial"/>
        </w:rPr>
        <w:t>20</w:t>
      </w:r>
      <w:r w:rsidR="00A1496F">
        <w:rPr>
          <w:rFonts w:cs="Arial"/>
        </w:rPr>
        <w:t>12</w:t>
      </w:r>
      <w:r w:rsidR="00F70F9B" w:rsidRPr="00BE1231">
        <w:rPr>
          <w:rFonts w:cs="Arial"/>
        </w:rPr>
        <w:t>, l</w:t>
      </w:r>
      <w:r w:rsidR="00B94604" w:rsidRPr="00BE1231">
        <w:rPr>
          <w:rFonts w:cs="Arial"/>
        </w:rPr>
        <w:t xml:space="preserve">e </w:t>
      </w:r>
      <w:r w:rsidR="002B3118">
        <w:t>Groupe consultatif du Comité </w:t>
      </w:r>
      <w:r w:rsidR="006D201F" w:rsidRPr="00BE1231">
        <w:t xml:space="preserve">administratif et juridique </w:t>
      </w:r>
      <w:r w:rsidR="00B94604" w:rsidRPr="00BE1231">
        <w:rPr>
          <w:rFonts w:cs="Arial"/>
        </w:rPr>
        <w:t>(CAJ</w:t>
      </w:r>
      <w:r w:rsidR="00C4117D">
        <w:rPr>
          <w:rFonts w:cs="Arial"/>
        </w:rPr>
        <w:t>-</w:t>
      </w:r>
      <w:r w:rsidR="00B94604" w:rsidRPr="00BE1231">
        <w:rPr>
          <w:rFonts w:cs="Arial"/>
        </w:rPr>
        <w:t xml:space="preserve">AG) </w:t>
      </w:r>
      <w:r w:rsidR="00F70F9B" w:rsidRPr="00BE1231">
        <w:rPr>
          <w:rFonts w:cs="Arial"/>
        </w:rPr>
        <w:t>a estimé qu</w:t>
      </w:r>
      <w:r w:rsidR="00C4117D">
        <w:rPr>
          <w:rFonts w:cs="Arial"/>
        </w:rPr>
        <w:t>’</w:t>
      </w:r>
      <w:r w:rsidR="00F70F9B" w:rsidRPr="00BE1231">
        <w:rPr>
          <w:rFonts w:cs="Arial"/>
        </w:rPr>
        <w:t>il conviendrait d</w:t>
      </w:r>
      <w:r w:rsidR="00C4117D">
        <w:rPr>
          <w:rFonts w:cs="Arial"/>
        </w:rPr>
        <w:t>’</w:t>
      </w:r>
      <w:r w:rsidR="00F70F9B" w:rsidRPr="00BE1231">
        <w:rPr>
          <w:rFonts w:cs="Arial"/>
        </w:rPr>
        <w:t xml:space="preserve">élaborer des orientations concernant les </w:t>
      </w:r>
      <w:r w:rsidR="00B94604" w:rsidRPr="00BE1231">
        <w:rPr>
          <w:rFonts w:cs="Arial"/>
        </w:rPr>
        <w:t>d</w:t>
      </w:r>
      <w:r w:rsidR="005C4BA0" w:rsidRPr="00BE1231">
        <w:rPr>
          <w:rFonts w:cs="Arial"/>
        </w:rPr>
        <w:t xml:space="preserve">escriptions </w:t>
      </w:r>
      <w:r w:rsidR="00F70F9B" w:rsidRPr="00BE1231">
        <w:rPr>
          <w:rFonts w:cs="Arial"/>
        </w:rPr>
        <w:t xml:space="preserve">variétales </w:t>
      </w:r>
      <w:r w:rsidR="005C4BA0" w:rsidRPr="00BE1231">
        <w:rPr>
          <w:rFonts w:cs="Arial"/>
        </w:rPr>
        <w:t>(voir le paragraphe</w:t>
      </w:r>
      <w:r w:rsidR="00E2212C">
        <w:rPr>
          <w:rFonts w:cs="Arial"/>
        </w:rPr>
        <w:t> </w:t>
      </w:r>
      <w:r w:rsidR="00A1496F">
        <w:rPr>
          <w:rFonts w:cs="Arial"/>
        </w:rPr>
        <w:t>9</w:t>
      </w:r>
      <w:r w:rsidR="005C4BA0" w:rsidRPr="00BE1231">
        <w:rPr>
          <w:rFonts w:cs="Arial"/>
        </w:rPr>
        <w:t>0 du document CAJ­AG/1</w:t>
      </w:r>
      <w:r w:rsidR="00A1496F">
        <w:rPr>
          <w:rFonts w:cs="Arial"/>
        </w:rPr>
        <w:t>2</w:t>
      </w:r>
      <w:r w:rsidR="005C4BA0" w:rsidRPr="00BE1231">
        <w:rPr>
          <w:rFonts w:cs="Arial"/>
        </w:rPr>
        <w:t>/</w:t>
      </w:r>
      <w:r w:rsidR="00A1496F">
        <w:rPr>
          <w:rFonts w:cs="Arial"/>
        </w:rPr>
        <w:t>7</w:t>
      </w:r>
      <w:r w:rsidR="005C4BA0" w:rsidRPr="00BE1231">
        <w:rPr>
          <w:rFonts w:cs="Arial"/>
        </w:rPr>
        <w:t xml:space="preserve">/7 </w:t>
      </w:r>
      <w:r w:rsidR="00E2212C">
        <w:rPr>
          <w:rFonts w:cs="Arial"/>
        </w:rPr>
        <w:t>“</w:t>
      </w:r>
      <w:r w:rsidR="005C4BA0" w:rsidRPr="00BE1231">
        <w:rPr>
          <w:rFonts w:cs="Arial"/>
        </w:rPr>
        <w:t>Compte rendu</w:t>
      </w:r>
      <w:r w:rsidR="00E2212C">
        <w:rPr>
          <w:rFonts w:cs="Arial"/>
        </w:rPr>
        <w:t>”</w:t>
      </w:r>
      <w:r w:rsidR="00B94604" w:rsidRPr="00BE1231">
        <w:rPr>
          <w:rFonts w:cs="Arial"/>
        </w:rPr>
        <w:t>).</w:t>
      </w:r>
    </w:p>
    <w:p w:rsidR="00B94604" w:rsidRPr="00BE1231" w:rsidRDefault="00B94604" w:rsidP="00340861">
      <w:pPr>
        <w:rPr>
          <w:rFonts w:cs="Arial"/>
        </w:rPr>
      </w:pPr>
    </w:p>
    <w:p w:rsidR="00340861" w:rsidRPr="00BE1231" w:rsidRDefault="00185757" w:rsidP="00340861">
      <w:pPr>
        <w:rPr>
          <w:rFonts w:cs="Arial"/>
        </w:rPr>
      </w:pPr>
      <w:r w:rsidRPr="00BE1231">
        <w:rPr>
          <w:rFonts w:cs="Arial"/>
        </w:rPr>
        <w:fldChar w:fldCharType="begin"/>
      </w:r>
      <w:r w:rsidR="00340861" w:rsidRPr="00BE1231">
        <w:rPr>
          <w:rFonts w:cs="Arial"/>
        </w:rPr>
        <w:instrText xml:space="preserve"> AUTONUM  </w:instrText>
      </w:r>
      <w:r w:rsidRPr="00BE1231">
        <w:rPr>
          <w:rFonts w:cs="Arial"/>
        </w:rPr>
        <w:fldChar w:fldCharType="end"/>
      </w:r>
      <w:r w:rsidR="001031E4">
        <w:rPr>
          <w:rFonts w:cs="Arial"/>
        </w:rPr>
        <w:tab/>
      </w:r>
      <w:r w:rsidR="00F70F9B" w:rsidRPr="00BE1231">
        <w:rPr>
          <w:rFonts w:cs="Arial"/>
        </w:rPr>
        <w:t>À</w:t>
      </w:r>
      <w:r w:rsidR="00623264" w:rsidRPr="00BE1231">
        <w:rPr>
          <w:rFonts w:cs="Arial"/>
        </w:rPr>
        <w:t xml:space="preserve"> sa huitième</w:t>
      </w:r>
      <w:r w:rsidR="00E2212C">
        <w:rPr>
          <w:rFonts w:cs="Arial"/>
        </w:rPr>
        <w:t> </w:t>
      </w:r>
      <w:r w:rsidR="00340861" w:rsidRPr="00BE1231">
        <w:rPr>
          <w:rFonts w:cs="Arial"/>
        </w:rPr>
        <w:t xml:space="preserve">session, </w:t>
      </w:r>
      <w:r w:rsidR="00623264" w:rsidRPr="00BE1231">
        <w:rPr>
          <w:rFonts w:cs="Arial"/>
        </w:rPr>
        <w:t>tenue à Genève le 2</w:t>
      </w:r>
      <w:r w:rsidR="00AB76FD" w:rsidRPr="00BE1231">
        <w:rPr>
          <w:rFonts w:cs="Arial"/>
        </w:rPr>
        <w:t>5</w:t>
      </w:r>
      <w:r w:rsidR="00AB76FD">
        <w:rPr>
          <w:rFonts w:cs="Arial"/>
        </w:rPr>
        <w:t> </w:t>
      </w:r>
      <w:r w:rsidR="00AB76FD" w:rsidRPr="00BE1231">
        <w:rPr>
          <w:rFonts w:cs="Arial"/>
        </w:rPr>
        <w:t>octobre</w:t>
      </w:r>
      <w:r w:rsidR="00AB76FD">
        <w:rPr>
          <w:rFonts w:cs="Arial"/>
        </w:rPr>
        <w:t> </w:t>
      </w:r>
      <w:r w:rsidR="00AB76FD" w:rsidRPr="00BE1231">
        <w:rPr>
          <w:rFonts w:cs="Arial"/>
        </w:rPr>
        <w:t>20</w:t>
      </w:r>
      <w:r w:rsidR="00340861" w:rsidRPr="00BE1231">
        <w:rPr>
          <w:rFonts w:cs="Arial"/>
        </w:rPr>
        <w:t xml:space="preserve">13, </w:t>
      </w:r>
      <w:r w:rsidR="00F70F9B" w:rsidRPr="00BE1231">
        <w:rPr>
          <w:rFonts w:cs="Arial"/>
        </w:rPr>
        <w:t xml:space="preserve">le </w:t>
      </w:r>
      <w:r w:rsidR="00F70F9B" w:rsidRPr="00BE1231">
        <w:t xml:space="preserve">Groupe consultatif du Comité administratif et juridique </w:t>
      </w:r>
      <w:r w:rsidR="00F70F9B" w:rsidRPr="00BE1231">
        <w:rPr>
          <w:rFonts w:cs="Arial"/>
        </w:rPr>
        <w:t>(CAJ</w:t>
      </w:r>
      <w:r w:rsidR="00C4117D">
        <w:rPr>
          <w:rFonts w:cs="Arial"/>
        </w:rPr>
        <w:t>-</w:t>
      </w:r>
      <w:r w:rsidR="00F70F9B" w:rsidRPr="00BE1231">
        <w:rPr>
          <w:rFonts w:cs="Arial"/>
        </w:rPr>
        <w:t xml:space="preserve">AG) </w:t>
      </w:r>
      <w:r w:rsidR="00F9497D" w:rsidRPr="00BE1231">
        <w:rPr>
          <w:rFonts w:cs="Arial"/>
        </w:rPr>
        <w:t>est convenu que les questions suivantes, mentionnées au</w:t>
      </w:r>
      <w:r w:rsidR="006956FC" w:rsidRPr="00BE1231">
        <w:rPr>
          <w:rFonts w:cs="Arial"/>
        </w:rPr>
        <w:t xml:space="preserve"> </w:t>
      </w:r>
      <w:r w:rsidR="00F9497D" w:rsidRPr="00BE1231">
        <w:rPr>
          <w:rFonts w:cs="Arial"/>
        </w:rPr>
        <w:t>paragraphe</w:t>
      </w:r>
      <w:r w:rsidR="00E2212C">
        <w:rPr>
          <w:rFonts w:cs="Arial"/>
        </w:rPr>
        <w:t> </w:t>
      </w:r>
      <w:r w:rsidR="00F9497D" w:rsidRPr="00BE1231">
        <w:rPr>
          <w:rFonts w:cs="Arial"/>
        </w:rPr>
        <w:t xml:space="preserve">4 du </w:t>
      </w:r>
      <w:r w:rsidR="006956FC" w:rsidRPr="00BE1231">
        <w:rPr>
          <w:rFonts w:cs="Arial"/>
        </w:rPr>
        <w:t>document CAJ</w:t>
      </w:r>
      <w:r w:rsidR="00C4117D">
        <w:rPr>
          <w:rFonts w:cs="Arial"/>
        </w:rPr>
        <w:t>-</w:t>
      </w:r>
      <w:r w:rsidR="006956FC" w:rsidRPr="00BE1231">
        <w:rPr>
          <w:rFonts w:cs="Arial"/>
        </w:rPr>
        <w:t xml:space="preserve">AG/13/8/7 </w:t>
      </w:r>
      <w:r w:rsidR="00E2212C">
        <w:rPr>
          <w:rFonts w:cs="Arial"/>
        </w:rPr>
        <w:t>“</w:t>
      </w:r>
      <w:r w:rsidR="006956FC" w:rsidRPr="00BE1231">
        <w:rPr>
          <w:rFonts w:cs="Arial"/>
        </w:rPr>
        <w:t>Questions concernant les descriptions variétales</w:t>
      </w:r>
      <w:r w:rsidR="00E2212C">
        <w:rPr>
          <w:rFonts w:cs="Arial"/>
        </w:rPr>
        <w:t>”</w:t>
      </w:r>
      <w:r w:rsidR="00340861" w:rsidRPr="00BE1231">
        <w:rPr>
          <w:rFonts w:cs="Arial"/>
        </w:rPr>
        <w:t xml:space="preserve">, </w:t>
      </w:r>
      <w:r w:rsidR="00F9497D" w:rsidRPr="00BE1231">
        <w:rPr>
          <w:rFonts w:cs="Arial"/>
        </w:rPr>
        <w:t>devraient être examinées en premier lieu par</w:t>
      </w:r>
      <w:r w:rsidR="00AB76FD" w:rsidRPr="00BE1231">
        <w:rPr>
          <w:rFonts w:cs="Arial"/>
        </w:rPr>
        <w:t xml:space="preserve"> le</w:t>
      </w:r>
      <w:r w:rsidR="00AB76FD">
        <w:rPr>
          <w:rFonts w:cs="Arial"/>
        </w:rPr>
        <w:t> </w:t>
      </w:r>
      <w:r w:rsidR="00AB76FD" w:rsidRPr="00BE1231">
        <w:rPr>
          <w:rFonts w:cs="Arial"/>
        </w:rPr>
        <w:t>CAJ</w:t>
      </w:r>
      <w:r w:rsidR="00C4117D">
        <w:rPr>
          <w:rFonts w:cs="Arial"/>
        </w:rPr>
        <w:t>-</w:t>
      </w:r>
      <w:r w:rsidR="00340861" w:rsidRPr="00BE1231">
        <w:rPr>
          <w:rFonts w:cs="Arial"/>
        </w:rPr>
        <w:t>AG</w:t>
      </w:r>
      <w:r w:rsidR="00E2212C">
        <w:rPr>
          <w:rFonts w:cs="Arial"/>
        </w:rPr>
        <w:t> </w:t>
      </w:r>
      <w:r w:rsidR="00340861" w:rsidRPr="00BE1231">
        <w:rPr>
          <w:rFonts w:cs="Arial"/>
        </w:rPr>
        <w:t>:</w:t>
      </w:r>
    </w:p>
    <w:p w:rsidR="00340861" w:rsidRPr="00BE1231" w:rsidRDefault="00340861" w:rsidP="00340861">
      <w:pPr>
        <w:rPr>
          <w:rFonts w:cs="Arial"/>
        </w:rPr>
      </w:pPr>
    </w:p>
    <w:p w:rsidR="00F9497D" w:rsidRPr="00BE1231" w:rsidRDefault="00E2212C" w:rsidP="00CD668D">
      <w:pPr>
        <w:ind w:left="567"/>
      </w:pPr>
      <w:r>
        <w:t>“</w:t>
      </w:r>
      <w:proofErr w:type="gramStart"/>
      <w:r w:rsidR="00CD668D">
        <w:t>a</w:t>
      </w:r>
      <w:proofErr w:type="gramEnd"/>
      <w:r w:rsidR="00CD668D">
        <w:t>)</w:t>
      </w:r>
      <w:r w:rsidR="00CD668D">
        <w:tab/>
      </w:r>
      <w:r w:rsidR="00F9497D" w:rsidRPr="00BE1231">
        <w:t>le ou les buts de la description variétale élaborée au moment de l</w:t>
      </w:r>
      <w:r w:rsidR="00C4117D">
        <w:t>’</w:t>
      </w:r>
      <w:r w:rsidR="00F9497D" w:rsidRPr="00BE1231">
        <w:t>octroi du droit d</w:t>
      </w:r>
      <w:r w:rsidR="00C4117D">
        <w:t>’</w:t>
      </w:r>
      <w:r w:rsidR="00F9497D" w:rsidRPr="00BE1231">
        <w:t>obtenteur (description variétale initiale);</w:t>
      </w:r>
    </w:p>
    <w:p w:rsidR="00F9497D" w:rsidRPr="00BE1231" w:rsidRDefault="00F9497D" w:rsidP="00F9497D"/>
    <w:p w:rsidR="00F9497D" w:rsidRDefault="00CD668D" w:rsidP="00CD668D">
      <w:pPr>
        <w:ind w:left="567"/>
      </w:pPr>
      <w:r w:rsidRPr="003A6DF9">
        <w:rPr>
          <w:color w:val="000000"/>
          <w:szCs w:val="22"/>
        </w:rPr>
        <w:t>“</w:t>
      </w:r>
      <w:proofErr w:type="gramStart"/>
      <w:r>
        <w:rPr>
          <w:color w:val="000000"/>
          <w:szCs w:val="22"/>
        </w:rPr>
        <w:t>b</w:t>
      </w:r>
      <w:proofErr w:type="gramEnd"/>
      <w:r>
        <w:rPr>
          <w:color w:val="000000"/>
          <w:szCs w:val="22"/>
        </w:rPr>
        <w:t>)</w:t>
      </w:r>
      <w:r>
        <w:rPr>
          <w:color w:val="000000"/>
          <w:szCs w:val="22"/>
        </w:rPr>
        <w:tab/>
      </w:r>
      <w:r w:rsidR="00F9497D" w:rsidRPr="00BE1231">
        <w:t>le statut de la description variétale initiale, au regard de la vérification de la conformité du</w:t>
      </w:r>
      <w:r>
        <w:t> </w:t>
      </w:r>
      <w:r w:rsidR="00F9497D" w:rsidRPr="00BE1231">
        <w:t>matériel végétal à une variété protégée aux fins de :</w:t>
      </w:r>
    </w:p>
    <w:p w:rsidR="00A3348B" w:rsidRPr="00CD668D" w:rsidRDefault="00A3348B" w:rsidP="00A3348B">
      <w:pPr>
        <w:ind w:left="567"/>
        <w:rPr>
          <w:sz w:val="16"/>
          <w:szCs w:val="16"/>
        </w:rPr>
      </w:pPr>
    </w:p>
    <w:p w:rsidR="00F9497D" w:rsidRPr="00BE1231" w:rsidRDefault="00CD668D" w:rsidP="00F9497D">
      <w:pPr>
        <w:ind w:left="567" w:firstLine="567"/>
      </w:pPr>
      <w:r w:rsidRPr="003A6DF9">
        <w:rPr>
          <w:color w:val="000000"/>
          <w:szCs w:val="22"/>
        </w:rPr>
        <w:t>“</w:t>
      </w:r>
      <w:r w:rsidR="00F9497D" w:rsidRPr="00BE1231">
        <w:t>[…]</w:t>
      </w:r>
    </w:p>
    <w:p w:rsidR="00F9497D" w:rsidRPr="00BE1231" w:rsidRDefault="00CD668D" w:rsidP="00F9497D">
      <w:pPr>
        <w:ind w:left="567" w:firstLine="567"/>
      </w:pPr>
      <w:r w:rsidRPr="003A6DF9">
        <w:rPr>
          <w:color w:val="000000"/>
          <w:szCs w:val="22"/>
        </w:rPr>
        <w:t>“</w:t>
      </w:r>
      <w:r w:rsidR="00F9497D" w:rsidRPr="00BE1231">
        <w:t>iii)</w:t>
      </w:r>
      <w:r w:rsidR="00F9497D" w:rsidRPr="00BE1231">
        <w:tab/>
        <w:t>l</w:t>
      </w:r>
      <w:r w:rsidR="00C4117D">
        <w:t>’</w:t>
      </w:r>
      <w:r w:rsidR="00F9497D" w:rsidRPr="00BE1231">
        <w:t>application du droit d</w:t>
      </w:r>
      <w:r w:rsidR="00C4117D">
        <w:t>’</w:t>
      </w:r>
      <w:r w:rsidR="00F9497D" w:rsidRPr="00BE1231">
        <w:t>obtenteur.</w:t>
      </w:r>
      <w:r>
        <w:t>”</w:t>
      </w:r>
    </w:p>
    <w:p w:rsidR="008907DC" w:rsidRDefault="008907DC" w:rsidP="00340861">
      <w:pPr>
        <w:rPr>
          <w:rFonts w:cs="Arial"/>
        </w:rPr>
      </w:pPr>
    </w:p>
    <w:p w:rsidR="00F9497D" w:rsidRPr="00BE1231" w:rsidRDefault="00185757" w:rsidP="00340861">
      <w:pPr>
        <w:rPr>
          <w:rFonts w:cs="Arial"/>
        </w:rPr>
      </w:pPr>
      <w:r w:rsidRPr="00BE1231">
        <w:rPr>
          <w:rFonts w:cs="Arial"/>
        </w:rPr>
        <w:fldChar w:fldCharType="begin"/>
      </w:r>
      <w:r w:rsidR="00340861" w:rsidRPr="00BE1231">
        <w:rPr>
          <w:rFonts w:cs="Arial"/>
        </w:rPr>
        <w:instrText xml:space="preserve"> AUTONUM  </w:instrText>
      </w:r>
      <w:r w:rsidRPr="00BE1231">
        <w:rPr>
          <w:rFonts w:cs="Arial"/>
        </w:rPr>
        <w:fldChar w:fldCharType="end"/>
      </w:r>
      <w:r w:rsidR="00340861" w:rsidRPr="00BE1231">
        <w:rPr>
          <w:rFonts w:cs="Arial"/>
        </w:rPr>
        <w:tab/>
      </w:r>
      <w:r w:rsidR="00F9497D" w:rsidRPr="00BE1231">
        <w:rPr>
          <w:rFonts w:cs="Arial"/>
        </w:rPr>
        <w:t>L</w:t>
      </w:r>
      <w:r w:rsidR="00340861" w:rsidRPr="00BE1231">
        <w:rPr>
          <w:rFonts w:cs="Arial"/>
        </w:rPr>
        <w:t>e CAJ</w:t>
      </w:r>
      <w:r w:rsidR="00C4117D">
        <w:rPr>
          <w:rFonts w:cs="Arial"/>
        </w:rPr>
        <w:t>-</w:t>
      </w:r>
      <w:r w:rsidR="00340861" w:rsidRPr="00BE1231">
        <w:rPr>
          <w:rFonts w:cs="Arial"/>
        </w:rPr>
        <w:t xml:space="preserve">AG </w:t>
      </w:r>
      <w:r w:rsidR="00F9497D" w:rsidRPr="00BE1231">
        <w:rPr>
          <w:rFonts w:cs="Arial"/>
        </w:rPr>
        <w:t>est convenu d</w:t>
      </w:r>
      <w:r w:rsidR="00C4117D">
        <w:rPr>
          <w:rFonts w:cs="Arial"/>
        </w:rPr>
        <w:t>’</w:t>
      </w:r>
      <w:r w:rsidR="00F9497D" w:rsidRPr="00BE1231">
        <w:rPr>
          <w:rFonts w:cs="Arial"/>
        </w:rPr>
        <w:t xml:space="preserve">élaborer des orientations sur les points suivants, sur lesquels il propose que le Comité technique (TC), sur invitation du Comité administratif et juridique (CAJ), se penche </w:t>
      </w:r>
      <w:r w:rsidR="00415169">
        <w:rPr>
          <w:rFonts w:cs="Arial"/>
        </w:rPr>
        <w:t>en premier </w:t>
      </w:r>
      <w:r w:rsidR="00F9497D" w:rsidRPr="00BE1231">
        <w:rPr>
          <w:rFonts w:cs="Arial"/>
        </w:rPr>
        <w:t>:</w:t>
      </w:r>
    </w:p>
    <w:p w:rsidR="00340861" w:rsidRPr="00BE1231" w:rsidRDefault="00340861" w:rsidP="00340861">
      <w:pPr>
        <w:rPr>
          <w:rFonts w:cs="Arial"/>
        </w:rPr>
      </w:pPr>
    </w:p>
    <w:p w:rsidR="00F9497D" w:rsidRPr="00BE1231" w:rsidRDefault="00F9497D" w:rsidP="00F9497D">
      <w:pPr>
        <w:numPr>
          <w:ilvl w:val="0"/>
          <w:numId w:val="10"/>
        </w:numPr>
        <w:tabs>
          <w:tab w:val="clear" w:pos="1140"/>
        </w:tabs>
        <w:ind w:left="0" w:firstLine="570"/>
        <w:rPr>
          <w:rFonts w:cs="Arial"/>
        </w:rPr>
      </w:pPr>
      <w:r w:rsidRPr="00BE1231">
        <w:rPr>
          <w:rFonts w:cs="Arial"/>
        </w:rPr>
        <w:t>l</w:t>
      </w:r>
      <w:r w:rsidR="00C4117D">
        <w:rPr>
          <w:rFonts w:cs="Arial"/>
        </w:rPr>
        <w:t>’</w:t>
      </w:r>
      <w:r w:rsidRPr="00BE1231">
        <w:rPr>
          <w:rFonts w:cs="Arial"/>
        </w:rPr>
        <w:t>utilisation des informations, des documents ou du matériel fournis par l</w:t>
      </w:r>
      <w:r w:rsidR="00C4117D">
        <w:rPr>
          <w:rFonts w:cs="Arial"/>
        </w:rPr>
        <w:t>’</w:t>
      </w:r>
      <w:r w:rsidRPr="00BE1231">
        <w:rPr>
          <w:rFonts w:cs="Arial"/>
        </w:rPr>
        <w:t>obtenteur aux fins du</w:t>
      </w:r>
      <w:r w:rsidR="00CD668D">
        <w:rPr>
          <w:rFonts w:cs="Arial"/>
        </w:rPr>
        <w:t> </w:t>
      </w:r>
      <w:r w:rsidRPr="00BE1231">
        <w:rPr>
          <w:rFonts w:cs="Arial"/>
        </w:rPr>
        <w:t>contrôle du maintien de la variété, comme énoncé au paragraphe</w:t>
      </w:r>
      <w:r w:rsidR="00E2212C">
        <w:rPr>
          <w:rFonts w:cs="Arial"/>
        </w:rPr>
        <w:t> </w:t>
      </w:r>
      <w:r w:rsidRPr="00BE1231">
        <w:rPr>
          <w:rFonts w:cs="Arial"/>
        </w:rPr>
        <w:t>15 du document CAJ</w:t>
      </w:r>
      <w:r w:rsidR="00C4117D">
        <w:rPr>
          <w:rFonts w:cs="Arial"/>
        </w:rPr>
        <w:t>-</w:t>
      </w:r>
      <w:r w:rsidRPr="00BE1231">
        <w:rPr>
          <w:rFonts w:cs="Arial"/>
        </w:rPr>
        <w:t>AG/13/8/4, en précisant que les informations, les documents ou le matériel peuvent être conservés dans un autre pays;  et</w:t>
      </w:r>
    </w:p>
    <w:p w:rsidR="00F9497D" w:rsidRPr="00BE1231" w:rsidRDefault="00F9497D" w:rsidP="00F9497D">
      <w:pPr>
        <w:tabs>
          <w:tab w:val="left" w:pos="7500"/>
        </w:tabs>
        <w:rPr>
          <w:rFonts w:cs="Arial"/>
        </w:rPr>
      </w:pPr>
    </w:p>
    <w:p w:rsidR="00F9497D" w:rsidRPr="00BE1231" w:rsidRDefault="00F9497D" w:rsidP="00F9497D">
      <w:pPr>
        <w:rPr>
          <w:rFonts w:cs="Arial"/>
        </w:rPr>
      </w:pPr>
      <w:r w:rsidRPr="00BE1231">
        <w:rPr>
          <w:rFonts w:cs="Arial"/>
        </w:rPr>
        <w:tab/>
        <w:t>b)</w:t>
      </w:r>
      <w:r w:rsidRPr="00BE1231">
        <w:rPr>
          <w:rFonts w:cs="Arial"/>
        </w:rPr>
        <w:tab/>
        <w:t>l</w:t>
      </w:r>
      <w:r w:rsidR="00C4117D">
        <w:rPr>
          <w:rFonts w:cs="Arial"/>
        </w:rPr>
        <w:t>’</w:t>
      </w:r>
      <w:r w:rsidRPr="00BE1231">
        <w:rPr>
          <w:rFonts w:cs="Arial"/>
        </w:rPr>
        <w:t>utilisation de principes directeurs d</w:t>
      </w:r>
      <w:r w:rsidR="00C4117D">
        <w:rPr>
          <w:rFonts w:cs="Arial"/>
        </w:rPr>
        <w:t>’</w:t>
      </w:r>
      <w:r w:rsidRPr="00BE1231">
        <w:rPr>
          <w:rFonts w:cs="Arial"/>
        </w:rPr>
        <w:t>examen aux fins du contrôle du maintien de la variété qui se distinguent des principes directeurs utilisés pour l</w:t>
      </w:r>
      <w:r w:rsidR="00C4117D">
        <w:rPr>
          <w:rFonts w:cs="Arial"/>
        </w:rPr>
        <w:t>’</w:t>
      </w:r>
      <w:r w:rsidRPr="00BE1231">
        <w:rPr>
          <w:rFonts w:cs="Arial"/>
        </w:rPr>
        <w:t>examen de la distinction, de l</w:t>
      </w:r>
      <w:r w:rsidR="00C4117D">
        <w:rPr>
          <w:rFonts w:cs="Arial"/>
        </w:rPr>
        <w:t>’</w:t>
      </w:r>
      <w:r w:rsidRPr="00BE1231">
        <w:rPr>
          <w:rFonts w:cs="Arial"/>
        </w:rPr>
        <w:t>homogénéité et de la</w:t>
      </w:r>
      <w:r w:rsidR="00CD668D">
        <w:rPr>
          <w:rFonts w:cs="Arial"/>
        </w:rPr>
        <w:t> </w:t>
      </w:r>
      <w:r w:rsidRPr="00BE1231">
        <w:rPr>
          <w:rFonts w:cs="Arial"/>
        </w:rPr>
        <w:t xml:space="preserve">stabilité (examen </w:t>
      </w:r>
      <w:r w:rsidR="00E2212C">
        <w:rPr>
          <w:rFonts w:cs="Arial"/>
        </w:rPr>
        <w:t>“</w:t>
      </w:r>
      <w:r w:rsidRPr="00BE1231">
        <w:rPr>
          <w:rFonts w:cs="Arial"/>
        </w:rPr>
        <w:t>DHS</w:t>
      </w:r>
      <w:r w:rsidR="00E2212C">
        <w:rPr>
          <w:rFonts w:cs="Arial"/>
        </w:rPr>
        <w:t>”</w:t>
      </w:r>
      <w:r w:rsidRPr="00BE1231">
        <w:rPr>
          <w:rFonts w:cs="Arial"/>
        </w:rPr>
        <w:t>).</w:t>
      </w:r>
    </w:p>
    <w:p w:rsidR="00340861" w:rsidRPr="00BE1231" w:rsidRDefault="00340861" w:rsidP="00340861"/>
    <w:p w:rsidR="00340861" w:rsidRPr="00BE1231" w:rsidRDefault="00185757" w:rsidP="00340861">
      <w:pPr>
        <w:rPr>
          <w:rFonts w:cs="Arial"/>
        </w:rPr>
      </w:pPr>
      <w:r w:rsidRPr="00BE1231">
        <w:rPr>
          <w:rFonts w:cs="Arial"/>
        </w:rPr>
        <w:fldChar w:fldCharType="begin"/>
      </w:r>
      <w:r w:rsidR="00340861" w:rsidRPr="00BE1231">
        <w:rPr>
          <w:rFonts w:cs="Arial"/>
        </w:rPr>
        <w:instrText xml:space="preserve"> AUTONUM  </w:instrText>
      </w:r>
      <w:r w:rsidRPr="00BE1231">
        <w:rPr>
          <w:rFonts w:cs="Arial"/>
        </w:rPr>
        <w:fldChar w:fldCharType="end"/>
      </w:r>
      <w:r w:rsidR="00340861" w:rsidRPr="00BE1231">
        <w:rPr>
          <w:rFonts w:cs="Arial"/>
        </w:rPr>
        <w:tab/>
      </w:r>
      <w:r w:rsidR="00F9497D" w:rsidRPr="00BE1231">
        <w:rPr>
          <w:rFonts w:cs="Arial"/>
        </w:rPr>
        <w:t>L</w:t>
      </w:r>
      <w:r w:rsidR="00340861" w:rsidRPr="00BE1231">
        <w:rPr>
          <w:rFonts w:cs="Arial"/>
        </w:rPr>
        <w:t>e CAJ</w:t>
      </w:r>
      <w:r w:rsidR="00C4117D">
        <w:rPr>
          <w:rFonts w:cs="Arial"/>
        </w:rPr>
        <w:t>-</w:t>
      </w:r>
      <w:r w:rsidR="00340861" w:rsidRPr="00BE1231">
        <w:rPr>
          <w:rFonts w:cs="Arial"/>
        </w:rPr>
        <w:t xml:space="preserve">AG </w:t>
      </w:r>
      <w:r w:rsidR="00F9497D" w:rsidRPr="00BE1231">
        <w:rPr>
          <w:rFonts w:cs="Arial"/>
        </w:rPr>
        <w:t>a accepté de proposer au Comité administratif et juridique que les questions suivantes, figurant dans le paragraphe</w:t>
      </w:r>
      <w:r w:rsidR="00E2212C">
        <w:rPr>
          <w:rFonts w:cs="Arial"/>
        </w:rPr>
        <w:t> </w:t>
      </w:r>
      <w:r w:rsidR="00F9497D" w:rsidRPr="00BE1231">
        <w:rPr>
          <w:rFonts w:cs="Arial"/>
        </w:rPr>
        <w:t>4 du document CAJ</w:t>
      </w:r>
      <w:r w:rsidR="00C4117D">
        <w:rPr>
          <w:rFonts w:cs="Arial"/>
        </w:rPr>
        <w:t>-</w:t>
      </w:r>
      <w:r w:rsidR="00F9497D" w:rsidRPr="00BE1231">
        <w:rPr>
          <w:rFonts w:cs="Arial"/>
        </w:rPr>
        <w:t xml:space="preserve">AG/13/8/7, soient examinées </w:t>
      </w:r>
      <w:r w:rsidR="00415169">
        <w:rPr>
          <w:rFonts w:cs="Arial"/>
        </w:rPr>
        <w:t xml:space="preserve">en premier </w:t>
      </w:r>
      <w:r w:rsidR="00F9497D" w:rsidRPr="00BE1231">
        <w:rPr>
          <w:rFonts w:cs="Arial"/>
        </w:rPr>
        <w:t>par le</w:t>
      </w:r>
      <w:r w:rsidR="00C4117D">
        <w:rPr>
          <w:rFonts w:cs="Arial"/>
        </w:rPr>
        <w:t> TC</w:t>
      </w:r>
      <w:r w:rsidR="00E2212C">
        <w:rPr>
          <w:rFonts w:cs="Arial"/>
        </w:rPr>
        <w:t> </w:t>
      </w:r>
      <w:r w:rsidR="00F9497D" w:rsidRPr="00BE1231">
        <w:rPr>
          <w:rFonts w:cs="Arial"/>
        </w:rPr>
        <w:t>:</w:t>
      </w:r>
    </w:p>
    <w:p w:rsidR="00340861" w:rsidRPr="00BE1231" w:rsidRDefault="00340861" w:rsidP="00340861">
      <w:pPr>
        <w:rPr>
          <w:rFonts w:cs="Arial"/>
        </w:rPr>
      </w:pPr>
    </w:p>
    <w:p w:rsidR="00340861" w:rsidRPr="00BE1231" w:rsidRDefault="00E2212C" w:rsidP="00230328">
      <w:pPr>
        <w:ind w:left="567" w:right="567"/>
        <w:rPr>
          <w:sz w:val="18"/>
          <w:szCs w:val="18"/>
        </w:rPr>
      </w:pPr>
      <w:r>
        <w:rPr>
          <w:sz w:val="18"/>
          <w:szCs w:val="18"/>
        </w:rPr>
        <w:t>“</w:t>
      </w:r>
      <w:r w:rsidR="00340861" w:rsidRPr="00BE1231">
        <w:rPr>
          <w:sz w:val="18"/>
          <w:szCs w:val="18"/>
        </w:rPr>
        <w:t>[…]</w:t>
      </w:r>
    </w:p>
    <w:p w:rsidR="00340861" w:rsidRPr="00BE1231" w:rsidRDefault="00340861" w:rsidP="00230328">
      <w:pPr>
        <w:ind w:left="567" w:right="567"/>
        <w:rPr>
          <w:sz w:val="18"/>
          <w:szCs w:val="18"/>
        </w:rPr>
      </w:pPr>
    </w:p>
    <w:p w:rsidR="00340861" w:rsidRPr="00BE1231" w:rsidRDefault="00E2212C" w:rsidP="00230328">
      <w:pPr>
        <w:ind w:left="567" w:right="567"/>
        <w:rPr>
          <w:sz w:val="18"/>
          <w:szCs w:val="18"/>
        </w:rPr>
      </w:pPr>
      <w:r>
        <w:rPr>
          <w:sz w:val="18"/>
          <w:szCs w:val="18"/>
        </w:rPr>
        <w:t>“</w:t>
      </w:r>
      <w:proofErr w:type="gramStart"/>
      <w:r w:rsidR="00340861" w:rsidRPr="00BE1231">
        <w:rPr>
          <w:sz w:val="18"/>
          <w:szCs w:val="18"/>
        </w:rPr>
        <w:t>b</w:t>
      </w:r>
      <w:proofErr w:type="gramEnd"/>
      <w:r w:rsidR="00340861" w:rsidRPr="00BE1231">
        <w:rPr>
          <w:sz w:val="18"/>
          <w:szCs w:val="18"/>
        </w:rPr>
        <w:t>)</w:t>
      </w:r>
      <w:r w:rsidR="00340861" w:rsidRPr="00BE1231">
        <w:rPr>
          <w:sz w:val="18"/>
          <w:szCs w:val="18"/>
        </w:rPr>
        <w:tab/>
      </w:r>
      <w:r w:rsidR="00F9497D" w:rsidRPr="00BE1231">
        <w:rPr>
          <w:sz w:val="18"/>
          <w:szCs w:val="18"/>
        </w:rPr>
        <w:t>le statut de la description variétale initiale, au regard de la vérification de la conformité du matériel végétal à une variété protégée aux fins de</w:t>
      </w:r>
      <w:r>
        <w:rPr>
          <w:sz w:val="18"/>
          <w:szCs w:val="18"/>
        </w:rPr>
        <w:t> </w:t>
      </w:r>
      <w:r w:rsidR="00340861" w:rsidRPr="00BE1231">
        <w:rPr>
          <w:sz w:val="18"/>
          <w:szCs w:val="18"/>
        </w:rPr>
        <w:t>:</w:t>
      </w:r>
    </w:p>
    <w:p w:rsidR="00340861" w:rsidRPr="00BE1231" w:rsidRDefault="00340861" w:rsidP="00230328">
      <w:pPr>
        <w:ind w:left="567" w:right="567"/>
        <w:rPr>
          <w:sz w:val="18"/>
          <w:szCs w:val="18"/>
        </w:rPr>
      </w:pPr>
    </w:p>
    <w:p w:rsidR="00340861" w:rsidRPr="00BE1231" w:rsidRDefault="00E2212C" w:rsidP="00230328">
      <w:pPr>
        <w:ind w:left="1134" w:right="567"/>
        <w:rPr>
          <w:sz w:val="18"/>
          <w:szCs w:val="18"/>
        </w:rPr>
      </w:pPr>
      <w:r>
        <w:rPr>
          <w:sz w:val="18"/>
          <w:szCs w:val="18"/>
        </w:rPr>
        <w:t>“</w:t>
      </w:r>
      <w:r w:rsidR="00340861" w:rsidRPr="00BE1231">
        <w:rPr>
          <w:sz w:val="18"/>
          <w:szCs w:val="18"/>
        </w:rPr>
        <w:t>i)</w:t>
      </w:r>
      <w:r w:rsidR="00340861" w:rsidRPr="00BE1231">
        <w:rPr>
          <w:sz w:val="18"/>
          <w:szCs w:val="18"/>
        </w:rPr>
        <w:tab/>
      </w:r>
      <w:r w:rsidR="00BD5757" w:rsidRPr="00BE1231">
        <w:rPr>
          <w:sz w:val="18"/>
          <w:szCs w:val="18"/>
        </w:rPr>
        <w:t xml:space="preserve">contrôle du maintien de la variété </w:t>
      </w:r>
      <w:r w:rsidR="00340861" w:rsidRPr="00BE1231">
        <w:rPr>
          <w:sz w:val="18"/>
          <w:szCs w:val="18"/>
        </w:rPr>
        <w:t>(</w:t>
      </w:r>
      <w:r w:rsidR="00A3348B">
        <w:rPr>
          <w:sz w:val="18"/>
          <w:szCs w:val="18"/>
        </w:rPr>
        <w:t>a</w:t>
      </w:r>
      <w:r w:rsidR="00A3348B" w:rsidRPr="00BE1231">
        <w:rPr>
          <w:sz w:val="18"/>
          <w:szCs w:val="18"/>
        </w:rPr>
        <w:t>rticle</w:t>
      </w:r>
      <w:r>
        <w:rPr>
          <w:sz w:val="18"/>
          <w:szCs w:val="18"/>
        </w:rPr>
        <w:t> </w:t>
      </w:r>
      <w:r w:rsidR="00340861" w:rsidRPr="00BE1231">
        <w:rPr>
          <w:sz w:val="18"/>
          <w:szCs w:val="18"/>
        </w:rPr>
        <w:t xml:space="preserve">22 </w:t>
      </w:r>
      <w:r w:rsidR="00BD5757" w:rsidRPr="00BE1231">
        <w:rPr>
          <w:sz w:val="18"/>
          <w:szCs w:val="18"/>
        </w:rPr>
        <w:t>de l</w:t>
      </w:r>
      <w:r w:rsidR="00C4117D">
        <w:rPr>
          <w:sz w:val="18"/>
          <w:szCs w:val="18"/>
        </w:rPr>
        <w:t>’</w:t>
      </w:r>
      <w:r w:rsidR="00BD5757" w:rsidRPr="00BE1231">
        <w:rPr>
          <w:sz w:val="18"/>
          <w:szCs w:val="18"/>
        </w:rPr>
        <w:t>Acte de</w:t>
      </w:r>
      <w:r>
        <w:rPr>
          <w:sz w:val="18"/>
          <w:szCs w:val="18"/>
        </w:rPr>
        <w:t> </w:t>
      </w:r>
      <w:r w:rsidR="00340861" w:rsidRPr="00BE1231">
        <w:rPr>
          <w:sz w:val="18"/>
          <w:szCs w:val="18"/>
        </w:rPr>
        <w:t>1</w:t>
      </w:r>
      <w:r w:rsidR="00230328" w:rsidRPr="00BE1231">
        <w:rPr>
          <w:sz w:val="18"/>
          <w:szCs w:val="18"/>
        </w:rPr>
        <w:t xml:space="preserve">991, </w:t>
      </w:r>
      <w:r w:rsidR="00A3348B">
        <w:rPr>
          <w:sz w:val="18"/>
          <w:szCs w:val="18"/>
        </w:rPr>
        <w:t>a</w:t>
      </w:r>
      <w:r w:rsidR="00A3348B" w:rsidRPr="00BE1231">
        <w:rPr>
          <w:sz w:val="18"/>
          <w:szCs w:val="18"/>
        </w:rPr>
        <w:t>rticle</w:t>
      </w:r>
      <w:r>
        <w:rPr>
          <w:sz w:val="18"/>
          <w:szCs w:val="18"/>
        </w:rPr>
        <w:t> </w:t>
      </w:r>
      <w:r w:rsidR="00230328" w:rsidRPr="00BE1231">
        <w:rPr>
          <w:sz w:val="18"/>
          <w:szCs w:val="18"/>
        </w:rPr>
        <w:t xml:space="preserve">10 </w:t>
      </w:r>
      <w:r w:rsidR="00BD5757" w:rsidRPr="00BE1231">
        <w:rPr>
          <w:sz w:val="18"/>
          <w:szCs w:val="18"/>
        </w:rPr>
        <w:t>de l</w:t>
      </w:r>
      <w:r w:rsidR="00C4117D">
        <w:rPr>
          <w:sz w:val="18"/>
          <w:szCs w:val="18"/>
        </w:rPr>
        <w:t>’</w:t>
      </w:r>
      <w:r w:rsidR="00BD5757" w:rsidRPr="00BE1231">
        <w:rPr>
          <w:sz w:val="18"/>
          <w:szCs w:val="18"/>
        </w:rPr>
        <w:t>Acte de</w:t>
      </w:r>
      <w:r>
        <w:rPr>
          <w:sz w:val="18"/>
          <w:szCs w:val="18"/>
        </w:rPr>
        <w:t> </w:t>
      </w:r>
      <w:r w:rsidR="00BD5757" w:rsidRPr="00BE1231">
        <w:rPr>
          <w:sz w:val="18"/>
          <w:szCs w:val="18"/>
        </w:rPr>
        <w:t>1978</w:t>
      </w:r>
      <w:r w:rsidR="00340861" w:rsidRPr="00BE1231">
        <w:rPr>
          <w:sz w:val="18"/>
          <w:szCs w:val="18"/>
        </w:rPr>
        <w:t>);</w:t>
      </w:r>
    </w:p>
    <w:p w:rsidR="00340861" w:rsidRPr="00BE1231" w:rsidRDefault="00340861" w:rsidP="00230328">
      <w:pPr>
        <w:ind w:left="1134" w:right="567"/>
        <w:rPr>
          <w:sz w:val="18"/>
          <w:szCs w:val="18"/>
        </w:rPr>
      </w:pPr>
    </w:p>
    <w:p w:rsidR="00340861" w:rsidRPr="00BE1231" w:rsidRDefault="00E2212C" w:rsidP="00230328">
      <w:pPr>
        <w:ind w:left="1134" w:right="567"/>
        <w:rPr>
          <w:sz w:val="18"/>
          <w:szCs w:val="18"/>
        </w:rPr>
      </w:pPr>
      <w:r>
        <w:rPr>
          <w:sz w:val="18"/>
          <w:szCs w:val="18"/>
        </w:rPr>
        <w:t>“</w:t>
      </w:r>
      <w:r w:rsidR="00340861" w:rsidRPr="00BE1231">
        <w:rPr>
          <w:sz w:val="18"/>
          <w:szCs w:val="18"/>
        </w:rPr>
        <w:t>ii)</w:t>
      </w:r>
      <w:r w:rsidR="00340861" w:rsidRPr="00BE1231">
        <w:rPr>
          <w:sz w:val="18"/>
          <w:szCs w:val="18"/>
        </w:rPr>
        <w:tab/>
      </w:r>
      <w:r w:rsidR="00077485" w:rsidRPr="00BE1231">
        <w:rPr>
          <w:snapToGrid w:val="0"/>
          <w:sz w:val="18"/>
          <w:szCs w:val="18"/>
        </w:rPr>
        <w:t>l</w:t>
      </w:r>
      <w:r w:rsidR="00C4117D">
        <w:rPr>
          <w:snapToGrid w:val="0"/>
          <w:sz w:val="18"/>
          <w:szCs w:val="18"/>
        </w:rPr>
        <w:t>’</w:t>
      </w:r>
      <w:r w:rsidR="00077485" w:rsidRPr="00BE1231">
        <w:rPr>
          <w:snapToGrid w:val="0"/>
          <w:sz w:val="18"/>
          <w:szCs w:val="18"/>
        </w:rPr>
        <w:t>examen de la distinction, de l</w:t>
      </w:r>
      <w:r w:rsidR="00C4117D">
        <w:rPr>
          <w:snapToGrid w:val="0"/>
          <w:sz w:val="18"/>
          <w:szCs w:val="18"/>
        </w:rPr>
        <w:t>’</w:t>
      </w:r>
      <w:r w:rsidR="00077485" w:rsidRPr="00BE1231">
        <w:rPr>
          <w:snapToGrid w:val="0"/>
          <w:sz w:val="18"/>
          <w:szCs w:val="18"/>
        </w:rPr>
        <w:t xml:space="preserve">homogénéité et de la stabilité </w:t>
      </w:r>
      <w:r w:rsidR="00BD5757" w:rsidRPr="00BE1231">
        <w:rPr>
          <w:sz w:val="18"/>
          <w:szCs w:val="18"/>
        </w:rPr>
        <w:t>(</w:t>
      </w:r>
      <w:r>
        <w:rPr>
          <w:sz w:val="18"/>
          <w:szCs w:val="18"/>
        </w:rPr>
        <w:t>“</w:t>
      </w:r>
      <w:r w:rsidR="00BD5757" w:rsidRPr="00BE1231">
        <w:rPr>
          <w:sz w:val="18"/>
          <w:szCs w:val="18"/>
        </w:rPr>
        <w:t>DHS</w:t>
      </w:r>
      <w:r>
        <w:rPr>
          <w:sz w:val="18"/>
          <w:szCs w:val="18"/>
        </w:rPr>
        <w:t>”</w:t>
      </w:r>
      <w:r w:rsidR="00BD5757" w:rsidRPr="00BE1231">
        <w:rPr>
          <w:sz w:val="18"/>
          <w:szCs w:val="18"/>
        </w:rPr>
        <w:t>)</w:t>
      </w:r>
      <w:r w:rsidR="00340861" w:rsidRPr="00BE1231">
        <w:rPr>
          <w:sz w:val="18"/>
          <w:szCs w:val="18"/>
        </w:rPr>
        <w:t xml:space="preserve"> </w:t>
      </w:r>
      <w:r w:rsidR="00BD5757" w:rsidRPr="00BE1231">
        <w:rPr>
          <w:sz w:val="18"/>
          <w:szCs w:val="18"/>
        </w:rPr>
        <w:t>des variétés candidates, et</w:t>
      </w:r>
    </w:p>
    <w:p w:rsidR="00340861" w:rsidRPr="00BE1231" w:rsidRDefault="00340861" w:rsidP="00230328">
      <w:pPr>
        <w:ind w:left="567" w:right="567"/>
        <w:rPr>
          <w:sz w:val="18"/>
          <w:szCs w:val="18"/>
        </w:rPr>
      </w:pPr>
    </w:p>
    <w:p w:rsidR="00340861" w:rsidRPr="00BE1231" w:rsidRDefault="00E2212C" w:rsidP="00230328">
      <w:pPr>
        <w:spacing w:after="240"/>
        <w:ind w:left="567" w:right="567" w:firstLine="567"/>
        <w:rPr>
          <w:sz w:val="18"/>
          <w:szCs w:val="18"/>
        </w:rPr>
      </w:pPr>
      <w:r>
        <w:rPr>
          <w:sz w:val="18"/>
          <w:szCs w:val="18"/>
        </w:rPr>
        <w:t>“</w:t>
      </w:r>
      <w:r w:rsidR="00340861" w:rsidRPr="00BE1231">
        <w:rPr>
          <w:sz w:val="18"/>
          <w:szCs w:val="18"/>
        </w:rPr>
        <w:t>[…]</w:t>
      </w:r>
    </w:p>
    <w:p w:rsidR="00340861" w:rsidRPr="00BE1231" w:rsidRDefault="00E2212C" w:rsidP="00230328">
      <w:pPr>
        <w:ind w:left="567" w:right="567"/>
        <w:rPr>
          <w:sz w:val="18"/>
          <w:szCs w:val="18"/>
        </w:rPr>
      </w:pPr>
      <w:r>
        <w:rPr>
          <w:sz w:val="18"/>
          <w:szCs w:val="18"/>
        </w:rPr>
        <w:t>“</w:t>
      </w:r>
      <w:proofErr w:type="gramStart"/>
      <w:r w:rsidR="00340861" w:rsidRPr="00BE1231">
        <w:rPr>
          <w:sz w:val="18"/>
          <w:szCs w:val="18"/>
        </w:rPr>
        <w:t>c</w:t>
      </w:r>
      <w:proofErr w:type="gramEnd"/>
      <w:r w:rsidR="00340861" w:rsidRPr="00BE1231">
        <w:rPr>
          <w:sz w:val="18"/>
          <w:szCs w:val="18"/>
        </w:rPr>
        <w:t>)</w:t>
      </w:r>
      <w:r w:rsidR="00340861" w:rsidRPr="00BE1231">
        <w:rPr>
          <w:sz w:val="18"/>
          <w:szCs w:val="18"/>
        </w:rPr>
        <w:tab/>
      </w:r>
      <w:r w:rsidR="00F9497D" w:rsidRPr="00BE1231">
        <w:rPr>
          <w:sz w:val="18"/>
        </w:rPr>
        <w:t>le statut d</w:t>
      </w:r>
      <w:r w:rsidR="00C4117D">
        <w:rPr>
          <w:sz w:val="18"/>
        </w:rPr>
        <w:t>’</w:t>
      </w:r>
      <w:r w:rsidR="00F9497D" w:rsidRPr="00BE1231">
        <w:rPr>
          <w:sz w:val="18"/>
        </w:rPr>
        <w:t>une description variétale modifiée par rapport aux points</w:t>
      </w:r>
      <w:r>
        <w:rPr>
          <w:sz w:val="18"/>
        </w:rPr>
        <w:t> </w:t>
      </w:r>
      <w:r w:rsidR="00F9497D" w:rsidRPr="00BE1231">
        <w:rPr>
          <w:sz w:val="18"/>
        </w:rPr>
        <w:t>a) et b)</w:t>
      </w:r>
      <w:r>
        <w:rPr>
          <w:sz w:val="18"/>
        </w:rPr>
        <w:t> </w:t>
      </w:r>
      <w:r w:rsidR="00F9497D" w:rsidRPr="00BE1231">
        <w:rPr>
          <w:sz w:val="18"/>
        </w:rPr>
        <w:t>précités, fournie, par</w:t>
      </w:r>
      <w:r w:rsidR="00CD668D">
        <w:rPr>
          <w:sz w:val="18"/>
        </w:rPr>
        <w:t> </w:t>
      </w:r>
      <w:r w:rsidR="00F9497D" w:rsidRPr="00BE1231">
        <w:rPr>
          <w:sz w:val="18"/>
        </w:rPr>
        <w:t>exemple, à la suite</w:t>
      </w:r>
      <w:r>
        <w:rPr>
          <w:sz w:val="18"/>
          <w:szCs w:val="18"/>
        </w:rPr>
        <w:t> </w:t>
      </w:r>
      <w:r w:rsidR="00340861" w:rsidRPr="00BE1231">
        <w:rPr>
          <w:sz w:val="18"/>
          <w:szCs w:val="18"/>
        </w:rPr>
        <w:t>:</w:t>
      </w:r>
    </w:p>
    <w:p w:rsidR="00340861" w:rsidRPr="00BE1231" w:rsidRDefault="00340861" w:rsidP="00230328">
      <w:pPr>
        <w:ind w:left="567" w:right="567"/>
        <w:rPr>
          <w:sz w:val="18"/>
          <w:szCs w:val="18"/>
        </w:rPr>
      </w:pPr>
    </w:p>
    <w:p w:rsidR="00340861" w:rsidRPr="00BE1231" w:rsidRDefault="00E2212C" w:rsidP="00230328">
      <w:pPr>
        <w:spacing w:after="60"/>
        <w:ind w:left="1701" w:right="567" w:hanging="567"/>
        <w:rPr>
          <w:sz w:val="18"/>
          <w:szCs w:val="18"/>
        </w:rPr>
      </w:pPr>
      <w:r>
        <w:rPr>
          <w:sz w:val="18"/>
          <w:szCs w:val="18"/>
        </w:rPr>
        <w:t>“</w:t>
      </w:r>
      <w:r w:rsidR="00340861" w:rsidRPr="00BE1231">
        <w:rPr>
          <w:sz w:val="18"/>
          <w:szCs w:val="18"/>
        </w:rPr>
        <w:t>i)</w:t>
      </w:r>
      <w:r w:rsidR="00340861" w:rsidRPr="00BE1231">
        <w:rPr>
          <w:sz w:val="18"/>
          <w:szCs w:val="18"/>
        </w:rPr>
        <w:tab/>
      </w:r>
      <w:r w:rsidR="00BD5757" w:rsidRPr="00BE1231">
        <w:rPr>
          <w:sz w:val="18"/>
          <w:szCs w:val="18"/>
        </w:rPr>
        <w:t>d</w:t>
      </w:r>
      <w:r w:rsidR="00C4117D">
        <w:rPr>
          <w:sz w:val="18"/>
          <w:szCs w:val="18"/>
        </w:rPr>
        <w:t>’</w:t>
      </w:r>
      <w:r w:rsidR="00BD5757" w:rsidRPr="00BE1231">
        <w:rPr>
          <w:sz w:val="18"/>
          <w:szCs w:val="18"/>
        </w:rPr>
        <w:t>un réétalonnage de l</w:t>
      </w:r>
      <w:r w:rsidR="00C4117D">
        <w:rPr>
          <w:sz w:val="18"/>
          <w:szCs w:val="18"/>
        </w:rPr>
        <w:t>’</w:t>
      </w:r>
      <w:r w:rsidR="00BD5757" w:rsidRPr="00BE1231">
        <w:rPr>
          <w:sz w:val="18"/>
          <w:szCs w:val="18"/>
        </w:rPr>
        <w:t>échelle des principes directeurs d</w:t>
      </w:r>
      <w:r w:rsidR="00C4117D">
        <w:rPr>
          <w:sz w:val="18"/>
          <w:szCs w:val="18"/>
        </w:rPr>
        <w:t>’</w:t>
      </w:r>
      <w:r w:rsidR="00BD5757" w:rsidRPr="00BE1231">
        <w:rPr>
          <w:sz w:val="18"/>
          <w:szCs w:val="18"/>
        </w:rPr>
        <w:t>examen (en particulier pour les</w:t>
      </w:r>
      <w:r w:rsidR="00CD668D">
        <w:rPr>
          <w:sz w:val="18"/>
          <w:szCs w:val="18"/>
        </w:rPr>
        <w:t> </w:t>
      </w:r>
      <w:r w:rsidR="00BD5757" w:rsidRPr="00BE1231">
        <w:rPr>
          <w:sz w:val="18"/>
          <w:szCs w:val="18"/>
        </w:rPr>
        <w:t>caractères non signalés par un astérisque</w:t>
      </w:r>
      <w:r w:rsidR="00340861" w:rsidRPr="00BE1231">
        <w:rPr>
          <w:rStyle w:val="FootnoteReference"/>
          <w:sz w:val="18"/>
          <w:szCs w:val="18"/>
        </w:rPr>
        <w:footnoteReference w:id="2"/>
      </w:r>
      <w:r w:rsidR="00340861" w:rsidRPr="00BE1231">
        <w:rPr>
          <w:sz w:val="18"/>
          <w:szCs w:val="18"/>
        </w:rPr>
        <w:t>);</w:t>
      </w:r>
    </w:p>
    <w:p w:rsidR="00340861" w:rsidRPr="00BE1231" w:rsidRDefault="00E2212C" w:rsidP="00230328">
      <w:pPr>
        <w:spacing w:after="60"/>
        <w:ind w:left="1701" w:right="567" w:hanging="567"/>
        <w:rPr>
          <w:sz w:val="18"/>
          <w:szCs w:val="18"/>
        </w:rPr>
      </w:pPr>
      <w:r>
        <w:rPr>
          <w:sz w:val="18"/>
          <w:szCs w:val="18"/>
        </w:rPr>
        <w:t>“</w:t>
      </w:r>
      <w:r w:rsidR="00340861" w:rsidRPr="00BE1231">
        <w:rPr>
          <w:sz w:val="18"/>
          <w:szCs w:val="18"/>
        </w:rPr>
        <w:t>ii)</w:t>
      </w:r>
      <w:r w:rsidR="00340861" w:rsidRPr="00BE1231">
        <w:rPr>
          <w:sz w:val="18"/>
          <w:szCs w:val="18"/>
        </w:rPr>
        <w:tab/>
      </w:r>
      <w:r w:rsidR="00BD5757" w:rsidRPr="00BE1231">
        <w:rPr>
          <w:sz w:val="18"/>
          <w:szCs w:val="18"/>
        </w:rPr>
        <w:t>d</w:t>
      </w:r>
      <w:r w:rsidR="00C4117D">
        <w:rPr>
          <w:sz w:val="18"/>
          <w:szCs w:val="18"/>
        </w:rPr>
        <w:t>’</w:t>
      </w:r>
      <w:r w:rsidR="00BD5757" w:rsidRPr="00BE1231">
        <w:rPr>
          <w:sz w:val="18"/>
          <w:szCs w:val="18"/>
        </w:rPr>
        <w:t>une variation due aux conditions environnementales des années d</w:t>
      </w:r>
      <w:r w:rsidR="00C4117D">
        <w:rPr>
          <w:sz w:val="18"/>
          <w:szCs w:val="18"/>
        </w:rPr>
        <w:t>’</w:t>
      </w:r>
      <w:r w:rsidR="00BD5757" w:rsidRPr="00BE1231">
        <w:rPr>
          <w:sz w:val="18"/>
          <w:szCs w:val="18"/>
        </w:rPr>
        <w:t>essai pour les</w:t>
      </w:r>
      <w:r w:rsidR="00CD668D">
        <w:rPr>
          <w:sz w:val="18"/>
          <w:szCs w:val="18"/>
        </w:rPr>
        <w:t> </w:t>
      </w:r>
      <w:r w:rsidR="00BD5757" w:rsidRPr="00BE1231">
        <w:rPr>
          <w:sz w:val="18"/>
          <w:szCs w:val="18"/>
        </w:rPr>
        <w:t>caractères influencés par le milieu</w:t>
      </w:r>
      <w:r w:rsidR="00340861" w:rsidRPr="00BE1231">
        <w:rPr>
          <w:sz w:val="18"/>
          <w:szCs w:val="18"/>
        </w:rPr>
        <w:t>;</w:t>
      </w:r>
    </w:p>
    <w:p w:rsidR="00340861" w:rsidRPr="00BE1231" w:rsidRDefault="00E2212C" w:rsidP="00230328">
      <w:pPr>
        <w:spacing w:after="60"/>
        <w:ind w:left="1701" w:right="567" w:hanging="567"/>
        <w:rPr>
          <w:sz w:val="18"/>
          <w:szCs w:val="18"/>
        </w:rPr>
      </w:pPr>
      <w:r>
        <w:rPr>
          <w:sz w:val="18"/>
          <w:szCs w:val="18"/>
        </w:rPr>
        <w:t>“</w:t>
      </w:r>
      <w:r w:rsidR="00340861" w:rsidRPr="00BE1231">
        <w:rPr>
          <w:sz w:val="18"/>
          <w:szCs w:val="18"/>
        </w:rPr>
        <w:t>iii)</w:t>
      </w:r>
      <w:r w:rsidR="00340861" w:rsidRPr="00BE1231">
        <w:rPr>
          <w:sz w:val="18"/>
          <w:szCs w:val="18"/>
        </w:rPr>
        <w:tab/>
      </w:r>
      <w:r w:rsidR="00BD5757" w:rsidRPr="00BE1231">
        <w:rPr>
          <w:sz w:val="18"/>
          <w:szCs w:val="18"/>
        </w:rPr>
        <w:t>d</w:t>
      </w:r>
      <w:r w:rsidR="00C4117D">
        <w:rPr>
          <w:sz w:val="18"/>
          <w:szCs w:val="18"/>
        </w:rPr>
        <w:t>’</w:t>
      </w:r>
      <w:r w:rsidR="00BD5757" w:rsidRPr="00BE1231">
        <w:rPr>
          <w:sz w:val="18"/>
          <w:szCs w:val="18"/>
        </w:rPr>
        <w:t>une variation due à l</w:t>
      </w:r>
      <w:r w:rsidR="00C4117D">
        <w:rPr>
          <w:sz w:val="18"/>
          <w:szCs w:val="18"/>
        </w:rPr>
        <w:t>’</w:t>
      </w:r>
      <w:r w:rsidR="00BD5757" w:rsidRPr="00BE1231">
        <w:rPr>
          <w:sz w:val="18"/>
          <w:szCs w:val="18"/>
        </w:rPr>
        <w:t>observation effectuée par différents experts;  ou</w:t>
      </w:r>
    </w:p>
    <w:p w:rsidR="00340861" w:rsidRPr="00BE1231" w:rsidRDefault="00E2212C" w:rsidP="00230328">
      <w:pPr>
        <w:ind w:left="1701" w:right="567" w:hanging="567"/>
        <w:rPr>
          <w:sz w:val="18"/>
          <w:szCs w:val="18"/>
        </w:rPr>
      </w:pPr>
      <w:r>
        <w:rPr>
          <w:sz w:val="18"/>
          <w:szCs w:val="18"/>
        </w:rPr>
        <w:t>“</w:t>
      </w:r>
      <w:r w:rsidR="00340861" w:rsidRPr="00BE1231">
        <w:rPr>
          <w:sz w:val="18"/>
          <w:szCs w:val="18"/>
        </w:rPr>
        <w:t>iv)</w:t>
      </w:r>
      <w:r w:rsidR="00340861" w:rsidRPr="00BE1231">
        <w:rPr>
          <w:sz w:val="18"/>
          <w:szCs w:val="18"/>
        </w:rPr>
        <w:tab/>
      </w:r>
      <w:r w:rsidR="00BD5757" w:rsidRPr="00BE1231">
        <w:rPr>
          <w:sz w:val="18"/>
          <w:szCs w:val="18"/>
        </w:rPr>
        <w:t>de l</w:t>
      </w:r>
      <w:r w:rsidR="00C4117D">
        <w:rPr>
          <w:sz w:val="18"/>
          <w:szCs w:val="18"/>
        </w:rPr>
        <w:t>’</w:t>
      </w:r>
      <w:r w:rsidR="00BD5757" w:rsidRPr="00BE1231">
        <w:rPr>
          <w:sz w:val="18"/>
          <w:szCs w:val="18"/>
        </w:rPr>
        <w:t>utilisation de différentes versions d</w:t>
      </w:r>
      <w:r w:rsidR="00C4117D">
        <w:rPr>
          <w:sz w:val="18"/>
          <w:szCs w:val="18"/>
        </w:rPr>
        <w:t>’</w:t>
      </w:r>
      <w:r w:rsidR="00BD5757" w:rsidRPr="00BE1231">
        <w:rPr>
          <w:sz w:val="18"/>
          <w:szCs w:val="18"/>
        </w:rPr>
        <w:t>échelles (par exemple, différentes versions du code de couleurs RHS)</w:t>
      </w:r>
      <w:r w:rsidR="00340861" w:rsidRPr="00BE1231">
        <w:rPr>
          <w:sz w:val="18"/>
          <w:szCs w:val="18"/>
        </w:rPr>
        <w:t>.</w:t>
      </w:r>
    </w:p>
    <w:p w:rsidR="00340861" w:rsidRPr="00BE1231" w:rsidRDefault="00340861" w:rsidP="00230328">
      <w:pPr>
        <w:ind w:left="567" w:right="567"/>
        <w:rPr>
          <w:sz w:val="18"/>
          <w:szCs w:val="18"/>
        </w:rPr>
      </w:pPr>
    </w:p>
    <w:p w:rsidR="00340861" w:rsidRPr="00BE1231" w:rsidRDefault="00E2212C" w:rsidP="00230328">
      <w:pPr>
        <w:ind w:left="567" w:right="567"/>
        <w:rPr>
          <w:sz w:val="18"/>
          <w:szCs w:val="18"/>
        </w:rPr>
      </w:pPr>
      <w:r>
        <w:rPr>
          <w:sz w:val="18"/>
          <w:szCs w:val="18"/>
        </w:rPr>
        <w:t>“</w:t>
      </w:r>
      <w:proofErr w:type="gramStart"/>
      <w:r w:rsidR="00340861" w:rsidRPr="00BE1231">
        <w:rPr>
          <w:sz w:val="18"/>
          <w:szCs w:val="18"/>
        </w:rPr>
        <w:t>d</w:t>
      </w:r>
      <w:proofErr w:type="gramEnd"/>
      <w:r w:rsidR="00340861" w:rsidRPr="00BE1231">
        <w:rPr>
          <w:sz w:val="18"/>
          <w:szCs w:val="18"/>
        </w:rPr>
        <w:t>)</w:t>
      </w:r>
      <w:r w:rsidR="00340861" w:rsidRPr="00BE1231">
        <w:rPr>
          <w:sz w:val="18"/>
          <w:szCs w:val="18"/>
        </w:rPr>
        <w:tab/>
      </w:r>
      <w:r w:rsidR="0061133F" w:rsidRPr="00BE1231">
        <w:rPr>
          <w:sz w:val="18"/>
          <w:szCs w:val="18"/>
        </w:rPr>
        <w:t>lorsqu</w:t>
      </w:r>
      <w:r w:rsidR="00C4117D">
        <w:rPr>
          <w:sz w:val="18"/>
          <w:szCs w:val="18"/>
        </w:rPr>
        <w:t>’</w:t>
      </w:r>
      <w:r w:rsidR="0061133F" w:rsidRPr="00BE1231">
        <w:rPr>
          <w:sz w:val="18"/>
          <w:szCs w:val="18"/>
        </w:rPr>
        <w:t>une erreur est décelée par la suite dans la description variétale initiale</w:t>
      </w:r>
      <w:r w:rsidR="00CD668D">
        <w:rPr>
          <w:sz w:val="18"/>
          <w:szCs w:val="18"/>
        </w:rPr>
        <w:t>.</w:t>
      </w:r>
      <w:r>
        <w:rPr>
          <w:sz w:val="18"/>
          <w:szCs w:val="18"/>
        </w:rPr>
        <w:t>”</w:t>
      </w:r>
    </w:p>
    <w:p w:rsidR="00F27C33" w:rsidRPr="00BE1231" w:rsidRDefault="00F27C33" w:rsidP="001C553C"/>
    <w:p w:rsidR="00505A73" w:rsidRPr="00BE1231" w:rsidRDefault="00185757" w:rsidP="001C553C">
      <w:r w:rsidRPr="00BE1231">
        <w:fldChar w:fldCharType="begin"/>
      </w:r>
      <w:r w:rsidR="00B94604" w:rsidRPr="00BE1231">
        <w:instrText xml:space="preserve"> AUTONUM  </w:instrText>
      </w:r>
      <w:r w:rsidRPr="00BE1231">
        <w:fldChar w:fldCharType="end"/>
      </w:r>
      <w:r w:rsidR="00B94604" w:rsidRPr="00BE1231">
        <w:tab/>
      </w:r>
      <w:r w:rsidR="0061133F" w:rsidRPr="00BE1231">
        <w:t>L</w:t>
      </w:r>
      <w:r w:rsidR="00B27EAD" w:rsidRPr="00BE1231">
        <w:t xml:space="preserve">e CAJ </w:t>
      </w:r>
      <w:r w:rsidR="0061133F" w:rsidRPr="00BE1231">
        <w:t>examinera la proposition</w:t>
      </w:r>
      <w:r w:rsidR="00AB76FD" w:rsidRPr="00BE1231">
        <w:t xml:space="preserve"> du</w:t>
      </w:r>
      <w:r w:rsidR="00AB76FD">
        <w:t> </w:t>
      </w:r>
      <w:r w:rsidR="00AB76FD" w:rsidRPr="00BE1231">
        <w:t>CAJ</w:t>
      </w:r>
      <w:r w:rsidR="00C4117D">
        <w:t>-</w:t>
      </w:r>
      <w:r w:rsidR="00B27EAD" w:rsidRPr="00BE1231">
        <w:t xml:space="preserve">AG </w:t>
      </w:r>
      <w:r w:rsidR="00623264" w:rsidRPr="00BE1231">
        <w:t>à sa soixante</w:t>
      </w:r>
      <w:r w:rsidR="00C4117D">
        <w:t>-</w:t>
      </w:r>
      <w:r w:rsidR="00623264" w:rsidRPr="00BE1231">
        <w:t>neuvième</w:t>
      </w:r>
      <w:r w:rsidR="00E2212C">
        <w:t> </w:t>
      </w:r>
      <w:r w:rsidR="00B27EAD" w:rsidRPr="00BE1231">
        <w:t xml:space="preserve">session, </w:t>
      </w:r>
      <w:r w:rsidR="00623264" w:rsidRPr="00BE1231">
        <w:t>qui se tiendra à</w:t>
      </w:r>
      <w:r w:rsidR="001031E4">
        <w:t> </w:t>
      </w:r>
      <w:r w:rsidR="00623264" w:rsidRPr="00BE1231">
        <w:t>Genève le 1</w:t>
      </w:r>
      <w:r w:rsidR="00AB76FD" w:rsidRPr="00BE1231">
        <w:t>0</w:t>
      </w:r>
      <w:r w:rsidR="00AB76FD">
        <w:t> </w:t>
      </w:r>
      <w:r w:rsidR="00AB76FD" w:rsidRPr="00BE1231">
        <w:t>avril</w:t>
      </w:r>
      <w:r w:rsidR="00AB76FD">
        <w:t> </w:t>
      </w:r>
      <w:r w:rsidR="00AB76FD" w:rsidRPr="00BE1231">
        <w:t>20</w:t>
      </w:r>
      <w:r w:rsidR="00B27EAD" w:rsidRPr="00BE1231">
        <w:t>14.</w:t>
      </w:r>
    </w:p>
    <w:p w:rsidR="00B94604" w:rsidRPr="00BE1231" w:rsidRDefault="00B94604" w:rsidP="001C553C"/>
    <w:p w:rsidR="001F4113" w:rsidRPr="00BE1231" w:rsidRDefault="00185757" w:rsidP="001F4113">
      <w:pPr>
        <w:pStyle w:val="DecisionParagraphs"/>
      </w:pPr>
      <w:r w:rsidRPr="00BE1231">
        <w:fldChar w:fldCharType="begin"/>
      </w:r>
      <w:r w:rsidR="001F4113" w:rsidRPr="00BE1231">
        <w:instrText xml:space="preserve"> AUTONUM  </w:instrText>
      </w:r>
      <w:r w:rsidRPr="00BE1231">
        <w:fldChar w:fldCharType="end"/>
      </w:r>
      <w:r w:rsidR="001F4113" w:rsidRPr="00BE1231">
        <w:tab/>
      </w:r>
      <w:r w:rsidR="0061133F" w:rsidRPr="00BE1231">
        <w:t>L</w:t>
      </w:r>
      <w:r w:rsidR="00B27EAD" w:rsidRPr="00BE1231">
        <w:t>e</w:t>
      </w:r>
      <w:r w:rsidR="00C4117D">
        <w:t> TC</w:t>
      </w:r>
      <w:r w:rsidR="00B27EAD" w:rsidRPr="00BE1231">
        <w:t xml:space="preserve"> </w:t>
      </w:r>
      <w:r w:rsidR="0061133F" w:rsidRPr="00BE1231">
        <w:t>est</w:t>
      </w:r>
      <w:r w:rsidR="00B27EAD" w:rsidRPr="00BE1231">
        <w:t xml:space="preserve"> invit</w:t>
      </w:r>
      <w:r w:rsidR="0061133F" w:rsidRPr="00BE1231">
        <w:t>é à noter que</w:t>
      </w:r>
      <w:r w:rsidR="00AB76FD" w:rsidRPr="00BE1231">
        <w:t xml:space="preserve"> le</w:t>
      </w:r>
      <w:r w:rsidR="00AB76FD">
        <w:t> </w:t>
      </w:r>
      <w:r w:rsidR="00AB76FD" w:rsidRPr="00BE1231">
        <w:t>CAJ</w:t>
      </w:r>
      <w:r w:rsidR="000A60E8" w:rsidRPr="00BE1231">
        <w:t xml:space="preserve">, </w:t>
      </w:r>
      <w:r w:rsidR="0061133F" w:rsidRPr="00BE1231">
        <w:t>à sa soixante</w:t>
      </w:r>
      <w:r w:rsidR="00C4117D">
        <w:t>-</w:t>
      </w:r>
      <w:r w:rsidR="0061133F" w:rsidRPr="00BE1231">
        <w:t>neuvième</w:t>
      </w:r>
      <w:r w:rsidR="00E2212C">
        <w:t> </w:t>
      </w:r>
      <w:r w:rsidR="0061133F" w:rsidRPr="00BE1231">
        <w:t>session</w:t>
      </w:r>
      <w:r w:rsidR="000A60E8" w:rsidRPr="00BE1231">
        <w:t>,</w:t>
      </w:r>
      <w:r w:rsidR="00B27EAD" w:rsidRPr="00BE1231">
        <w:t xml:space="preserve"> </w:t>
      </w:r>
      <w:r w:rsidR="0061133F" w:rsidRPr="00BE1231">
        <w:t>examinera la proposition faite par</w:t>
      </w:r>
      <w:r w:rsidR="00AB76FD" w:rsidRPr="00BE1231">
        <w:t xml:space="preserve"> le</w:t>
      </w:r>
      <w:r w:rsidR="00415169">
        <w:t xml:space="preserve"> </w:t>
      </w:r>
      <w:r w:rsidR="00AB76FD" w:rsidRPr="00BE1231">
        <w:t>CAJ</w:t>
      </w:r>
      <w:r w:rsidR="00C4117D">
        <w:t>-</w:t>
      </w:r>
      <w:r w:rsidR="000A60E8" w:rsidRPr="00BE1231">
        <w:t xml:space="preserve">AG </w:t>
      </w:r>
      <w:r w:rsidR="0061133F" w:rsidRPr="00BE1231">
        <w:t>d</w:t>
      </w:r>
      <w:r w:rsidR="00C4117D">
        <w:t>’</w:t>
      </w:r>
      <w:r w:rsidR="000A60E8" w:rsidRPr="00BE1231">
        <w:t>invite</w:t>
      </w:r>
      <w:r w:rsidR="0061133F" w:rsidRPr="00BE1231">
        <w:t>r le</w:t>
      </w:r>
      <w:r w:rsidR="00C4117D">
        <w:t> TC</w:t>
      </w:r>
      <w:r w:rsidR="000A60E8" w:rsidRPr="00BE1231">
        <w:t xml:space="preserve"> </w:t>
      </w:r>
      <w:r w:rsidR="0061133F" w:rsidRPr="00BE1231">
        <w:t>à élaborer des</w:t>
      </w:r>
      <w:r w:rsidR="00CD668D">
        <w:t> </w:t>
      </w:r>
      <w:r w:rsidR="0061133F" w:rsidRPr="00BE1231">
        <w:t xml:space="preserve">orientations sur certaines questions concernant les descriptions variétales, énoncées aux </w:t>
      </w:r>
      <w:r w:rsidR="000A60E8" w:rsidRPr="00BE1231">
        <w:t>paragraph</w:t>
      </w:r>
      <w:r w:rsidR="0061133F" w:rsidRPr="00BE1231">
        <w:t>e</w:t>
      </w:r>
      <w:r w:rsidR="000A60E8" w:rsidRPr="00BE1231">
        <w:t>s</w:t>
      </w:r>
      <w:r w:rsidR="00E2212C">
        <w:t> </w:t>
      </w:r>
      <w:r w:rsidR="0028178C" w:rsidRPr="00BE1231">
        <w:t>3</w:t>
      </w:r>
      <w:r w:rsidR="001F66A8">
        <w:t>7</w:t>
      </w:r>
      <w:r w:rsidR="0028178C" w:rsidRPr="00BE1231">
        <w:t xml:space="preserve"> </w:t>
      </w:r>
      <w:r w:rsidR="0061133F" w:rsidRPr="00BE1231">
        <w:t>à</w:t>
      </w:r>
      <w:r w:rsidR="0028178C" w:rsidRPr="00BE1231">
        <w:t xml:space="preserve"> 4</w:t>
      </w:r>
      <w:r w:rsidR="001F66A8">
        <w:t>1</w:t>
      </w:r>
      <w:r w:rsidR="000A60E8" w:rsidRPr="00BE1231">
        <w:t>.</w:t>
      </w:r>
    </w:p>
    <w:p w:rsidR="001F4113" w:rsidRPr="00BE1231" w:rsidRDefault="001F4113" w:rsidP="001C553C"/>
    <w:p w:rsidR="009678DE" w:rsidRPr="00BE1231" w:rsidRDefault="009678DE" w:rsidP="001C553C"/>
    <w:p w:rsidR="00505A73" w:rsidRPr="00BE1231" w:rsidRDefault="005C4BA0" w:rsidP="008907DC">
      <w:pPr>
        <w:pStyle w:val="Heading1"/>
      </w:pPr>
      <w:bookmarkStart w:id="41" w:name="_Toc381170152"/>
      <w:r w:rsidRPr="00BE1231">
        <w:t>questions soulevées par l</w:t>
      </w:r>
      <w:r w:rsidR="00C4117D">
        <w:t>’</w:t>
      </w:r>
      <w:r w:rsidR="0010388F" w:rsidRPr="0010388F">
        <w:rPr>
          <w:i/>
        </w:rPr>
        <w:t>International Seed Federation</w:t>
      </w:r>
      <w:r w:rsidR="00505A73" w:rsidRPr="00BE1231">
        <w:t xml:space="preserve"> (ISF)</w:t>
      </w:r>
      <w:bookmarkEnd w:id="41"/>
    </w:p>
    <w:p w:rsidR="001F4113" w:rsidRPr="00BE1231" w:rsidRDefault="001F4113" w:rsidP="00505A73">
      <w:pPr>
        <w:rPr>
          <w:snapToGrid w:val="0"/>
        </w:rPr>
      </w:pPr>
    </w:p>
    <w:p w:rsidR="00505A73" w:rsidRPr="00BE1231" w:rsidRDefault="00505A73" w:rsidP="00505A73">
      <w:pPr>
        <w:rPr>
          <w:i/>
          <w:snapToGrid w:val="0"/>
        </w:rPr>
      </w:pPr>
      <w:r w:rsidRPr="00BE1231">
        <w:rPr>
          <w:i/>
          <w:snapToGrid w:val="0"/>
        </w:rPr>
        <w:t>(</w:t>
      </w:r>
      <w:proofErr w:type="gramStart"/>
      <w:r w:rsidR="00401878" w:rsidRPr="00BE1231">
        <w:rPr>
          <w:i/>
        </w:rPr>
        <w:t>voir</w:t>
      </w:r>
      <w:proofErr w:type="gramEnd"/>
      <w:r w:rsidR="00401878" w:rsidRPr="00BE1231">
        <w:rPr>
          <w:i/>
        </w:rPr>
        <w:t xml:space="preserve"> les paragraphes</w:t>
      </w:r>
      <w:r w:rsidR="00E2212C">
        <w:rPr>
          <w:i/>
        </w:rPr>
        <w:t> </w:t>
      </w:r>
      <w:r w:rsidR="00401878" w:rsidRPr="00BE1231">
        <w:rPr>
          <w:i/>
        </w:rPr>
        <w:t>62 à 66 du</w:t>
      </w:r>
      <w:r w:rsidRPr="00BE1231">
        <w:rPr>
          <w:i/>
        </w:rPr>
        <w:t xml:space="preserve"> document C/47/15</w:t>
      </w:r>
      <w:r w:rsidR="00E2212C">
        <w:rPr>
          <w:i/>
        </w:rPr>
        <w:t> </w:t>
      </w:r>
      <w:proofErr w:type="spellStart"/>
      <w:r w:rsidRPr="00BE1231">
        <w:rPr>
          <w:i/>
        </w:rPr>
        <w:t>Rev</w:t>
      </w:r>
      <w:proofErr w:type="spellEnd"/>
      <w:r w:rsidRPr="00BE1231">
        <w:rPr>
          <w:i/>
        </w:rPr>
        <w:t>. “</w:t>
      </w:r>
      <w:r w:rsidRPr="004D1837">
        <w:t xml:space="preserve">Report by the </w:t>
      </w:r>
      <w:proofErr w:type="spellStart"/>
      <w:r w:rsidRPr="004D1837">
        <w:t>President</w:t>
      </w:r>
      <w:proofErr w:type="spellEnd"/>
      <w:r w:rsidRPr="004D1837">
        <w:t xml:space="preserve"> on the </w:t>
      </w:r>
      <w:proofErr w:type="spellStart"/>
      <w:r w:rsidRPr="004D1837">
        <w:t>work</w:t>
      </w:r>
      <w:proofErr w:type="spellEnd"/>
      <w:r w:rsidRPr="004D1837">
        <w:t xml:space="preserve"> of the </w:t>
      </w:r>
      <w:proofErr w:type="spellStart"/>
      <w:r w:rsidRPr="004D1837">
        <w:t>eighty</w:t>
      </w:r>
      <w:r w:rsidR="00CD668D" w:rsidRPr="004D1837">
        <w:noBreakHyphen/>
      </w:r>
      <w:r w:rsidRPr="004D1837">
        <w:t>sixth</w:t>
      </w:r>
      <w:proofErr w:type="spellEnd"/>
      <w:r w:rsidRPr="004D1837">
        <w:t xml:space="preserve"> session </w:t>
      </w:r>
      <w:r w:rsidR="00CD668D" w:rsidRPr="004D1837">
        <w:t xml:space="preserve">of the Consultative </w:t>
      </w:r>
      <w:proofErr w:type="spellStart"/>
      <w:r w:rsidR="00CD668D" w:rsidRPr="004D1837">
        <w:t>Committee</w:t>
      </w:r>
      <w:proofErr w:type="spellEnd"/>
      <w:r w:rsidRPr="004D1837">
        <w:t>;</w:t>
      </w:r>
      <w:r w:rsidR="00E2212C" w:rsidRPr="004D1837">
        <w:t xml:space="preserve"> </w:t>
      </w:r>
      <w:r w:rsidRPr="004D1837">
        <w:t xml:space="preserve"> adoption of </w:t>
      </w:r>
      <w:proofErr w:type="spellStart"/>
      <w:r w:rsidRPr="004D1837">
        <w:t>recommendations</w:t>
      </w:r>
      <w:proofErr w:type="spellEnd"/>
      <w:r w:rsidRPr="004D1837">
        <w:t xml:space="preserve">, if </w:t>
      </w:r>
      <w:proofErr w:type="spellStart"/>
      <w:r w:rsidRPr="004D1837">
        <w:t>any</w:t>
      </w:r>
      <w:proofErr w:type="spellEnd"/>
      <w:r w:rsidRPr="004D1837">
        <w:t xml:space="preserve">, </w:t>
      </w:r>
      <w:proofErr w:type="spellStart"/>
      <w:r w:rsidRPr="004D1837">
        <w:t>prepared</w:t>
      </w:r>
      <w:proofErr w:type="spellEnd"/>
      <w:r w:rsidRPr="004D1837">
        <w:t xml:space="preserve"> by </w:t>
      </w:r>
      <w:proofErr w:type="spellStart"/>
      <w:r w:rsidRPr="004D1837">
        <w:t>that</w:t>
      </w:r>
      <w:proofErr w:type="spellEnd"/>
      <w:r w:rsidRPr="004D1837">
        <w:t xml:space="preserve"> </w:t>
      </w:r>
      <w:proofErr w:type="spellStart"/>
      <w:r w:rsidRPr="004D1837">
        <w:t>Committee</w:t>
      </w:r>
      <w:proofErr w:type="spellEnd"/>
      <w:r w:rsidRPr="00BE1231">
        <w:rPr>
          <w:i/>
        </w:rPr>
        <w:t xml:space="preserve">” </w:t>
      </w:r>
      <w:r w:rsidR="00401878" w:rsidRPr="00BE1231">
        <w:rPr>
          <w:i/>
        </w:rPr>
        <w:t>(Rapport du président sur les travaux de la quatre</w:t>
      </w:r>
      <w:r w:rsidR="00C4117D">
        <w:rPr>
          <w:i/>
        </w:rPr>
        <w:t>-</w:t>
      </w:r>
      <w:r w:rsidR="00401878" w:rsidRPr="00BE1231">
        <w:rPr>
          <w:i/>
        </w:rPr>
        <w:t>vingt</w:t>
      </w:r>
      <w:r w:rsidR="00C4117D">
        <w:rPr>
          <w:i/>
        </w:rPr>
        <w:t>-</w:t>
      </w:r>
      <w:r w:rsidR="00401878" w:rsidRPr="00BE1231">
        <w:rPr>
          <w:i/>
        </w:rPr>
        <w:t xml:space="preserve">sixième session du Comité consultatif; </w:t>
      </w:r>
      <w:r w:rsidR="00CB1E15">
        <w:rPr>
          <w:i/>
        </w:rPr>
        <w:t xml:space="preserve"> </w:t>
      </w:r>
      <w:r w:rsidR="00401878" w:rsidRPr="00BE1231">
        <w:rPr>
          <w:i/>
        </w:rPr>
        <w:t>adoption, le cas échéant, des recommandations élaborées par ce comité)</w:t>
      </w:r>
      <w:r w:rsidRPr="00BE1231">
        <w:rPr>
          <w:i/>
        </w:rPr>
        <w:t>)</w:t>
      </w:r>
      <w:r w:rsidR="0061133F" w:rsidRPr="00BE1231">
        <w:rPr>
          <w:i/>
        </w:rPr>
        <w:t>.</w:t>
      </w:r>
    </w:p>
    <w:p w:rsidR="00505A73" w:rsidRPr="00BE1231" w:rsidRDefault="00505A73" w:rsidP="00505A73">
      <w:pPr>
        <w:rPr>
          <w:snapToGrid w:val="0"/>
        </w:rPr>
      </w:pPr>
    </w:p>
    <w:p w:rsidR="00505A73" w:rsidRPr="00BE1231" w:rsidRDefault="00185757" w:rsidP="00505A73">
      <w:r w:rsidRPr="00BE1231">
        <w:fldChar w:fldCharType="begin"/>
      </w:r>
      <w:r w:rsidR="00505A73" w:rsidRPr="00BE1231">
        <w:instrText xml:space="preserve"> AUTONUM  </w:instrText>
      </w:r>
      <w:r w:rsidRPr="00BE1231">
        <w:fldChar w:fldCharType="end"/>
      </w:r>
      <w:r w:rsidR="00505A73" w:rsidRPr="00BE1231">
        <w:tab/>
      </w:r>
      <w:r w:rsidR="006956FC" w:rsidRPr="00BE1231">
        <w:t>Le Comité consultatif, à sa quatre</w:t>
      </w:r>
      <w:r w:rsidR="00C4117D">
        <w:t>-</w:t>
      </w:r>
      <w:r w:rsidR="006956FC" w:rsidRPr="00BE1231">
        <w:t>vingt</w:t>
      </w:r>
      <w:r w:rsidR="00C4117D">
        <w:t>-</w:t>
      </w:r>
      <w:r w:rsidR="006956FC" w:rsidRPr="00BE1231">
        <w:t>sixième</w:t>
      </w:r>
      <w:r w:rsidR="00E2212C">
        <w:t> </w:t>
      </w:r>
      <w:r w:rsidR="006956FC" w:rsidRPr="00BE1231">
        <w:t>session tenue à Genève les 23 et 2</w:t>
      </w:r>
      <w:r w:rsidR="00AB76FD" w:rsidRPr="00BE1231">
        <w:t>4</w:t>
      </w:r>
      <w:r w:rsidR="00AB76FD">
        <w:t> </w:t>
      </w:r>
      <w:r w:rsidR="00AB76FD" w:rsidRPr="00BE1231">
        <w:t>octobre</w:t>
      </w:r>
      <w:r w:rsidR="00AB76FD">
        <w:t> </w:t>
      </w:r>
      <w:r w:rsidR="00AB76FD" w:rsidRPr="00BE1231">
        <w:t>20</w:t>
      </w:r>
      <w:r w:rsidR="00505A73" w:rsidRPr="00BE1231">
        <w:t xml:space="preserve">13, </w:t>
      </w:r>
      <w:r w:rsidR="006956FC" w:rsidRPr="00BE1231">
        <w:t>a débattu</w:t>
      </w:r>
      <w:r w:rsidR="00505A73" w:rsidRPr="00BE1231">
        <w:t xml:space="preserve"> </w:t>
      </w:r>
      <w:r w:rsidR="006956FC" w:rsidRPr="00BE1231">
        <w:t>la lettre de l</w:t>
      </w:r>
      <w:r w:rsidR="00C4117D">
        <w:t>’</w:t>
      </w:r>
      <w:r w:rsidR="0010388F" w:rsidRPr="0010388F">
        <w:rPr>
          <w:i/>
        </w:rPr>
        <w:t xml:space="preserve">International </w:t>
      </w:r>
      <w:proofErr w:type="spellStart"/>
      <w:r w:rsidR="0010388F" w:rsidRPr="0010388F">
        <w:rPr>
          <w:i/>
        </w:rPr>
        <w:t>Seed</w:t>
      </w:r>
      <w:proofErr w:type="spellEnd"/>
      <w:r w:rsidR="0010388F" w:rsidRPr="0010388F">
        <w:rPr>
          <w:i/>
        </w:rPr>
        <w:t xml:space="preserve"> </w:t>
      </w:r>
      <w:proofErr w:type="spellStart"/>
      <w:r w:rsidR="0010388F" w:rsidRPr="0010388F">
        <w:rPr>
          <w:i/>
        </w:rPr>
        <w:t>Federation</w:t>
      </w:r>
      <w:proofErr w:type="spellEnd"/>
      <w:r w:rsidR="006956FC" w:rsidRPr="00BE1231">
        <w:t xml:space="preserve"> (ISF) datée du 21 janvier 2013, portant sur </w:t>
      </w:r>
      <w:r w:rsidR="00E2212C">
        <w:t>“</w:t>
      </w:r>
      <w:r w:rsidR="006956FC" w:rsidRPr="00BE1231">
        <w:t>Les</w:t>
      </w:r>
      <w:r w:rsidR="001031E4">
        <w:t> </w:t>
      </w:r>
      <w:r w:rsidR="006956FC" w:rsidRPr="00BE1231">
        <w:t>demandes de droits d</w:t>
      </w:r>
      <w:r w:rsidR="00C4117D">
        <w:t>’</w:t>
      </w:r>
      <w:r w:rsidR="006956FC" w:rsidRPr="00BE1231">
        <w:t>obtenteur du point de vue de la demande, de l</w:t>
      </w:r>
      <w:r w:rsidR="00C4117D">
        <w:t>’</w:t>
      </w:r>
      <w:r w:rsidR="006956FC" w:rsidRPr="00BE1231">
        <w:t>examen de la demande et de la</w:t>
      </w:r>
      <w:r w:rsidR="00CD668D">
        <w:t> </w:t>
      </w:r>
      <w:r w:rsidR="006956FC" w:rsidRPr="00BE1231">
        <w:t>délivrance du titre</w:t>
      </w:r>
      <w:r w:rsidR="00E2212C">
        <w:t>”</w:t>
      </w:r>
      <w:r w:rsidR="006956FC" w:rsidRPr="00BE1231">
        <w:t xml:space="preserve"> et a invité l</w:t>
      </w:r>
      <w:r w:rsidR="00C4117D">
        <w:t>’</w:t>
      </w:r>
      <w:r w:rsidR="006956FC" w:rsidRPr="00BE1231">
        <w:t>ISF à présenter son point de vue lors de l</w:t>
      </w:r>
      <w:r w:rsidR="00C4117D">
        <w:t>’</w:t>
      </w:r>
      <w:r w:rsidR="006956FC" w:rsidRPr="00BE1231">
        <w:t>examen de la partie pertinente de ce point</w:t>
      </w:r>
      <w:r w:rsidR="006A4A4E" w:rsidRPr="00BE1231">
        <w:t>.</w:t>
      </w:r>
    </w:p>
    <w:p w:rsidR="00505A73" w:rsidRPr="00BE1231" w:rsidRDefault="00505A73" w:rsidP="00505A73"/>
    <w:p w:rsidR="00A4228F" w:rsidRPr="00BE1231" w:rsidRDefault="00185757" w:rsidP="00505A73">
      <w:r w:rsidRPr="00BE1231">
        <w:fldChar w:fldCharType="begin"/>
      </w:r>
      <w:r w:rsidR="00505A73" w:rsidRPr="00BE1231">
        <w:instrText xml:space="preserve"> AUTONUM  </w:instrText>
      </w:r>
      <w:r w:rsidRPr="00BE1231">
        <w:fldChar w:fldCharType="end"/>
      </w:r>
      <w:r w:rsidR="00505A73" w:rsidRPr="00BE1231">
        <w:tab/>
      </w:r>
      <w:r w:rsidR="006956FC" w:rsidRPr="00BE1231">
        <w:t>Le Comité consultatif</w:t>
      </w:r>
      <w:r w:rsidR="00505A73" w:rsidRPr="00BE1231">
        <w:t xml:space="preserve"> </w:t>
      </w:r>
      <w:r w:rsidR="0061133F" w:rsidRPr="00BE1231">
        <w:t xml:space="preserve">est convenu </w:t>
      </w:r>
      <w:r w:rsidR="00A4228F" w:rsidRPr="00BE1231">
        <w:t>de faire du</w:t>
      </w:r>
      <w:r w:rsidR="00505A73" w:rsidRPr="00BE1231">
        <w:t xml:space="preserve"> document UPOV/INF/15 </w:t>
      </w:r>
      <w:r w:rsidR="00E2212C">
        <w:t>“</w:t>
      </w:r>
      <w:r w:rsidR="005C4BA0" w:rsidRPr="00BE1231">
        <w:rPr>
          <w:rFonts w:cs="Arial"/>
        </w:rPr>
        <w:t>Document d</w:t>
      </w:r>
      <w:r w:rsidR="00C4117D">
        <w:rPr>
          <w:rFonts w:cs="Arial"/>
        </w:rPr>
        <w:t>’</w:t>
      </w:r>
      <w:r w:rsidR="005C4BA0" w:rsidRPr="00BE1231">
        <w:rPr>
          <w:rFonts w:cs="Arial"/>
        </w:rPr>
        <w:t>orientation destiné aux membres de l</w:t>
      </w:r>
      <w:r w:rsidR="00C4117D">
        <w:rPr>
          <w:rFonts w:cs="Arial"/>
        </w:rPr>
        <w:t>’</w:t>
      </w:r>
      <w:r w:rsidR="005C4BA0" w:rsidRPr="00BE1231">
        <w:rPr>
          <w:rFonts w:cs="Arial"/>
        </w:rPr>
        <w:t xml:space="preserve">UPOV concernant les obligations en cours et les notifications connexes ainsi que la </w:t>
      </w:r>
      <w:r w:rsidR="005C4BA0" w:rsidRPr="00BE1231">
        <w:t>fourniture d</w:t>
      </w:r>
      <w:r w:rsidR="00C4117D">
        <w:t>’</w:t>
      </w:r>
      <w:r w:rsidR="005C4BA0" w:rsidRPr="00BE1231">
        <w:t>informations pour faciliter la coopération</w:t>
      </w:r>
      <w:r w:rsidR="00E2212C">
        <w:t>”</w:t>
      </w:r>
      <w:r w:rsidR="00505A73" w:rsidRPr="00BE1231">
        <w:t xml:space="preserve"> </w:t>
      </w:r>
      <w:r w:rsidR="00A4228F" w:rsidRPr="00BE1231">
        <w:t>un</w:t>
      </w:r>
      <w:r w:rsidR="00505A73" w:rsidRPr="00BE1231">
        <w:t xml:space="preserve"> document</w:t>
      </w:r>
      <w:r w:rsidR="0037215E" w:rsidRPr="003961D4">
        <w:noBreakHyphen/>
      </w:r>
      <w:r w:rsidR="00A4228F" w:rsidRPr="00BE1231">
        <w:t>cadre qui cernerait les principaux problèmes de fonctionnement d</w:t>
      </w:r>
      <w:r w:rsidR="00C4117D">
        <w:t>’</w:t>
      </w:r>
      <w:r w:rsidR="00A4228F" w:rsidRPr="00BE1231">
        <w:t>un système de protection des obtentions végétales et qui fournirait des liens renvoyant à des documents d</w:t>
      </w:r>
      <w:r w:rsidR="00C4117D">
        <w:t>’</w:t>
      </w:r>
      <w:r w:rsidR="00A4228F" w:rsidRPr="00BE1231">
        <w:t>information détaillés.</w:t>
      </w:r>
    </w:p>
    <w:p w:rsidR="00505A73" w:rsidRPr="00BE1231" w:rsidRDefault="00505A73" w:rsidP="00505A73"/>
    <w:p w:rsidR="00842EE6" w:rsidRPr="00BE1231" w:rsidRDefault="002174A9" w:rsidP="006A4A4E">
      <w:pPr>
        <w:pStyle w:val="Heading2"/>
        <w:rPr>
          <w:lang w:val="fr-FR"/>
        </w:rPr>
      </w:pPr>
      <w:bookmarkStart w:id="42" w:name="_Toc381170153"/>
      <w:r w:rsidRPr="00BE1231">
        <w:rPr>
          <w:lang w:val="fr-FR"/>
        </w:rPr>
        <w:t>Questions que le</w:t>
      </w:r>
      <w:r w:rsidR="00C4117D">
        <w:rPr>
          <w:lang w:val="fr-FR"/>
        </w:rPr>
        <w:t> TC</w:t>
      </w:r>
      <w:r w:rsidRPr="00BE1231">
        <w:rPr>
          <w:lang w:val="fr-FR"/>
        </w:rPr>
        <w:t xml:space="preserve"> est invité à examiner</w:t>
      </w:r>
      <w:bookmarkEnd w:id="42"/>
    </w:p>
    <w:p w:rsidR="00842EE6" w:rsidRPr="00BE1231" w:rsidRDefault="00842EE6" w:rsidP="00505A73"/>
    <w:p w:rsidR="00505A73" w:rsidRPr="00BE1231" w:rsidRDefault="00185757" w:rsidP="00505A73">
      <w:r w:rsidRPr="00BE1231">
        <w:fldChar w:fldCharType="begin"/>
      </w:r>
      <w:r w:rsidR="00505A73" w:rsidRPr="00BE1231">
        <w:instrText xml:space="preserve"> AUTONUM  </w:instrText>
      </w:r>
      <w:r w:rsidRPr="00BE1231">
        <w:fldChar w:fldCharType="end"/>
      </w:r>
      <w:r w:rsidR="00505A73" w:rsidRPr="00BE1231">
        <w:tab/>
      </w:r>
      <w:r w:rsidR="006956FC" w:rsidRPr="00BE1231">
        <w:t xml:space="preserve">Le Comité consultatif </w:t>
      </w:r>
      <w:r w:rsidR="00C22F25" w:rsidRPr="00BE1231">
        <w:t>est convenu d</w:t>
      </w:r>
      <w:r w:rsidR="00C4117D">
        <w:t>’</w:t>
      </w:r>
      <w:r w:rsidR="00C22F25" w:rsidRPr="00BE1231">
        <w:t>inviter</w:t>
      </w:r>
      <w:r w:rsidR="00AB76FD" w:rsidRPr="00BE1231">
        <w:t xml:space="preserve"> le</w:t>
      </w:r>
      <w:r w:rsidR="00AB76FD">
        <w:t> </w:t>
      </w:r>
      <w:r w:rsidR="00AB76FD" w:rsidRPr="00BE1231">
        <w:t>CAJ</w:t>
      </w:r>
      <w:r w:rsidR="00505A73" w:rsidRPr="00BE1231">
        <w:t xml:space="preserve"> </w:t>
      </w:r>
      <w:r w:rsidR="00C22F25" w:rsidRPr="00BE1231">
        <w:t>et le</w:t>
      </w:r>
      <w:r w:rsidR="00C4117D">
        <w:t> TC</w:t>
      </w:r>
      <w:r w:rsidR="00505A73" w:rsidRPr="00BE1231">
        <w:t xml:space="preserve"> </w:t>
      </w:r>
      <w:r w:rsidR="00C22F25" w:rsidRPr="00BE1231">
        <w:t>à examiner les recommandations de l</w:t>
      </w:r>
      <w:r w:rsidR="00C4117D">
        <w:t>’</w:t>
      </w:r>
      <w:r w:rsidR="00505A73" w:rsidRPr="00BE1231">
        <w:t xml:space="preserve">ISF </w:t>
      </w:r>
      <w:r w:rsidR="00C22F25" w:rsidRPr="00BE1231">
        <w:t>concernant des documents d</w:t>
      </w:r>
      <w:r w:rsidR="00C4117D">
        <w:t>’</w:t>
      </w:r>
      <w:r w:rsidR="00C22F25" w:rsidRPr="00BE1231">
        <w:t>information existants et futurs, parallèlement à la transformation du</w:t>
      </w:r>
      <w:r w:rsidR="00505A73" w:rsidRPr="00BE1231">
        <w:t xml:space="preserve"> document UPOV/INF/15 </w:t>
      </w:r>
      <w:r w:rsidR="00C22F25" w:rsidRPr="00BE1231">
        <w:t>en</w:t>
      </w:r>
      <w:r w:rsidR="00505A73" w:rsidRPr="00BE1231">
        <w:t xml:space="preserve"> document</w:t>
      </w:r>
      <w:r w:rsidR="00C4117D">
        <w:t>-</w:t>
      </w:r>
      <w:r w:rsidR="00401878" w:rsidRPr="00BE1231">
        <w:t>cadre</w:t>
      </w:r>
      <w:r w:rsidR="00505A73" w:rsidRPr="00BE1231">
        <w:t>.</w:t>
      </w:r>
    </w:p>
    <w:p w:rsidR="00842EE6" w:rsidRPr="00BE1231" w:rsidRDefault="00842EE6" w:rsidP="00505A73"/>
    <w:p w:rsidR="00842EE6" w:rsidRPr="00BE1231" w:rsidRDefault="00185757" w:rsidP="00505A73">
      <w:r w:rsidRPr="00BE1231">
        <w:fldChar w:fldCharType="begin"/>
      </w:r>
      <w:r w:rsidR="00D61804" w:rsidRPr="00BE1231">
        <w:instrText xml:space="preserve"> AUTONUM  </w:instrText>
      </w:r>
      <w:r w:rsidRPr="00BE1231">
        <w:fldChar w:fldCharType="end"/>
      </w:r>
      <w:r w:rsidR="00D61804" w:rsidRPr="00BE1231">
        <w:tab/>
      </w:r>
      <w:r w:rsidR="00353D9A" w:rsidRPr="00BE1231">
        <w:t>Le Comité consultatif est convenu d</w:t>
      </w:r>
      <w:r w:rsidR="00C4117D">
        <w:t>’</w:t>
      </w:r>
      <w:r w:rsidR="00353D9A" w:rsidRPr="00BE1231">
        <w:t>inviter le</w:t>
      </w:r>
      <w:r w:rsidR="00C4117D">
        <w:t> TC</w:t>
      </w:r>
      <w:r w:rsidR="00353D9A" w:rsidRPr="00BE1231">
        <w:t xml:space="preserve"> à examiner les questions suivantes soulevées par l</w:t>
      </w:r>
      <w:r w:rsidR="00C4117D">
        <w:t>’</w:t>
      </w:r>
      <w:r w:rsidR="00353D9A" w:rsidRPr="00BE1231">
        <w:t>ISF</w:t>
      </w:r>
      <w:r w:rsidR="00E2212C">
        <w:t> </w:t>
      </w:r>
      <w:r w:rsidR="00D61804" w:rsidRPr="00BE1231">
        <w:t>:</w:t>
      </w:r>
    </w:p>
    <w:p w:rsidR="00557635" w:rsidRPr="00BE1231" w:rsidRDefault="00557635" w:rsidP="00505A73"/>
    <w:p w:rsidR="00230328" w:rsidRPr="00BE1231" w:rsidRDefault="00230328" w:rsidP="00230328">
      <w:pPr>
        <w:pStyle w:val="Heading3"/>
      </w:pPr>
      <w:bookmarkStart w:id="43" w:name="_Toc381170154"/>
      <w:r w:rsidRPr="00BE1231">
        <w:t>a)</w:t>
      </w:r>
      <w:r w:rsidRPr="00BE1231">
        <w:tab/>
        <w:t>Photograph</w:t>
      </w:r>
      <w:r w:rsidR="005C4BA0" w:rsidRPr="00BE1231">
        <w:t>ie</w:t>
      </w:r>
      <w:r w:rsidRPr="00BE1231">
        <w:t>s</w:t>
      </w:r>
      <w:bookmarkEnd w:id="43"/>
    </w:p>
    <w:p w:rsidR="00230328" w:rsidRPr="00BE1231" w:rsidRDefault="00230328" w:rsidP="00505A73"/>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BE1231" w:rsidTr="00001D13">
        <w:tc>
          <w:tcPr>
            <w:tcW w:w="8646" w:type="dxa"/>
            <w:shd w:val="clear" w:color="auto" w:fill="auto"/>
          </w:tcPr>
          <w:p w:rsidR="00727189" w:rsidRPr="00001D13" w:rsidRDefault="00727189" w:rsidP="00230328">
            <w:pPr>
              <w:rPr>
                <w:sz w:val="18"/>
                <w:szCs w:val="18"/>
              </w:rPr>
            </w:pPr>
            <w:r w:rsidRPr="00001D13">
              <w:rPr>
                <w:sz w:val="18"/>
                <w:szCs w:val="18"/>
              </w:rPr>
              <w:t>[Extra</w:t>
            </w:r>
            <w:r w:rsidR="00353D9A" w:rsidRPr="00001D13">
              <w:rPr>
                <w:sz w:val="18"/>
                <w:szCs w:val="18"/>
              </w:rPr>
              <w:t>i</w:t>
            </w:r>
            <w:r w:rsidRPr="00001D13">
              <w:rPr>
                <w:sz w:val="18"/>
                <w:szCs w:val="18"/>
              </w:rPr>
              <w:t xml:space="preserve">t </w:t>
            </w:r>
            <w:r w:rsidR="00353D9A" w:rsidRPr="00001D13">
              <w:rPr>
                <w:sz w:val="18"/>
                <w:szCs w:val="18"/>
              </w:rPr>
              <w:t>de la lettre de l</w:t>
            </w:r>
            <w:r w:rsidR="00C4117D">
              <w:rPr>
                <w:sz w:val="18"/>
                <w:szCs w:val="18"/>
              </w:rPr>
              <w:t>’</w:t>
            </w:r>
            <w:r w:rsidR="00353D9A" w:rsidRPr="00001D13">
              <w:rPr>
                <w:sz w:val="18"/>
                <w:szCs w:val="18"/>
              </w:rPr>
              <w:t>I</w:t>
            </w:r>
            <w:r w:rsidRPr="00001D13">
              <w:rPr>
                <w:sz w:val="18"/>
                <w:szCs w:val="18"/>
              </w:rPr>
              <w:t>SF</w:t>
            </w:r>
            <w:r w:rsidR="00B61B03" w:rsidRPr="00001D13">
              <w:rPr>
                <w:sz w:val="18"/>
                <w:szCs w:val="18"/>
              </w:rPr>
              <w:t>– (</w:t>
            </w:r>
            <w:r w:rsidR="00353D9A" w:rsidRPr="00001D13">
              <w:rPr>
                <w:sz w:val="18"/>
                <w:szCs w:val="18"/>
              </w:rPr>
              <w:t>en anglais</w:t>
            </w:r>
            <w:r w:rsidR="00B61B03" w:rsidRPr="00001D13">
              <w:rPr>
                <w:sz w:val="18"/>
                <w:szCs w:val="18"/>
              </w:rPr>
              <w:t>)</w:t>
            </w:r>
            <w:r w:rsidRPr="00001D13">
              <w:rPr>
                <w:sz w:val="18"/>
                <w:szCs w:val="18"/>
              </w:rPr>
              <w:t>]</w:t>
            </w:r>
          </w:p>
          <w:p w:rsidR="00230328" w:rsidRPr="00001D13" w:rsidRDefault="00E2212C" w:rsidP="0037215E">
            <w:pPr>
              <w:rPr>
                <w:sz w:val="18"/>
                <w:szCs w:val="18"/>
              </w:rPr>
            </w:pPr>
            <w:r>
              <w:rPr>
                <w:sz w:val="18"/>
                <w:szCs w:val="18"/>
              </w:rPr>
              <w:t>“</w:t>
            </w:r>
            <w:r w:rsidR="00230328" w:rsidRPr="00001D13">
              <w:rPr>
                <w:sz w:val="18"/>
                <w:szCs w:val="18"/>
                <w:u w:val="single"/>
              </w:rPr>
              <w:t>Photograph</w:t>
            </w:r>
            <w:r w:rsidR="00353D9A" w:rsidRPr="00001D13">
              <w:rPr>
                <w:sz w:val="18"/>
                <w:szCs w:val="18"/>
                <w:u w:val="single"/>
              </w:rPr>
              <w:t>ie</w:t>
            </w:r>
            <w:r>
              <w:rPr>
                <w:sz w:val="18"/>
                <w:szCs w:val="18"/>
              </w:rPr>
              <w:t> </w:t>
            </w:r>
            <w:r w:rsidR="00D179CE" w:rsidRPr="00001D13">
              <w:rPr>
                <w:sz w:val="18"/>
                <w:szCs w:val="18"/>
              </w:rPr>
              <w:t>:</w:t>
            </w:r>
            <w:r w:rsidR="00230328" w:rsidRPr="00001D13">
              <w:rPr>
                <w:sz w:val="18"/>
                <w:szCs w:val="18"/>
              </w:rPr>
              <w:t xml:space="preserve"> </w:t>
            </w:r>
            <w:r w:rsidR="00353D9A" w:rsidRPr="00001D13">
              <w:rPr>
                <w:sz w:val="18"/>
                <w:szCs w:val="18"/>
              </w:rPr>
              <w:t>Dans</w:t>
            </w:r>
            <w:r w:rsidR="00230328" w:rsidRPr="00001D13">
              <w:rPr>
                <w:sz w:val="18"/>
                <w:szCs w:val="18"/>
              </w:rPr>
              <w:t xml:space="preserve"> certain</w:t>
            </w:r>
            <w:r w:rsidR="00353D9A" w:rsidRPr="00001D13">
              <w:rPr>
                <w:sz w:val="18"/>
                <w:szCs w:val="18"/>
              </w:rPr>
              <w:t>s pays, l</w:t>
            </w:r>
            <w:r w:rsidR="00C4117D">
              <w:rPr>
                <w:sz w:val="18"/>
                <w:szCs w:val="18"/>
              </w:rPr>
              <w:t>’</w:t>
            </w:r>
            <w:r w:rsidR="00353D9A" w:rsidRPr="00001D13">
              <w:rPr>
                <w:sz w:val="18"/>
                <w:szCs w:val="18"/>
              </w:rPr>
              <w:t>office chargé de l</w:t>
            </w:r>
            <w:r w:rsidR="00C4117D">
              <w:rPr>
                <w:sz w:val="18"/>
                <w:szCs w:val="18"/>
              </w:rPr>
              <w:t>’</w:t>
            </w:r>
            <w:r w:rsidR="00353D9A" w:rsidRPr="00001D13">
              <w:rPr>
                <w:sz w:val="18"/>
                <w:szCs w:val="18"/>
              </w:rPr>
              <w:t>examen exige une photographie détaillée;  dans d</w:t>
            </w:r>
            <w:r w:rsidR="00C4117D">
              <w:rPr>
                <w:sz w:val="18"/>
                <w:szCs w:val="18"/>
              </w:rPr>
              <w:t>’</w:t>
            </w:r>
            <w:r w:rsidR="00353D9A" w:rsidRPr="00001D13">
              <w:rPr>
                <w:sz w:val="18"/>
                <w:szCs w:val="18"/>
              </w:rPr>
              <w:t>autres pays, les variétés de comparaison doivent également figurer sur l</w:t>
            </w:r>
            <w:r w:rsidR="00C4117D">
              <w:rPr>
                <w:sz w:val="18"/>
                <w:szCs w:val="18"/>
              </w:rPr>
              <w:t>’</w:t>
            </w:r>
            <w:r w:rsidR="00353D9A" w:rsidRPr="00001D13">
              <w:rPr>
                <w:sz w:val="18"/>
                <w:szCs w:val="18"/>
              </w:rPr>
              <w:t>image;  dans d</w:t>
            </w:r>
            <w:r w:rsidR="00C4117D">
              <w:rPr>
                <w:sz w:val="18"/>
                <w:szCs w:val="18"/>
              </w:rPr>
              <w:t>’</w:t>
            </w:r>
            <w:r w:rsidR="00353D9A" w:rsidRPr="00001D13">
              <w:rPr>
                <w:sz w:val="18"/>
                <w:szCs w:val="18"/>
              </w:rPr>
              <w:t xml:space="preserve">autres pays encore, des photographies sont exigées et prises dans le pays proprement dit. </w:t>
            </w:r>
            <w:r w:rsidR="00D179CE" w:rsidRPr="00001D13">
              <w:rPr>
                <w:sz w:val="18"/>
                <w:szCs w:val="18"/>
              </w:rPr>
              <w:t xml:space="preserve"> </w:t>
            </w:r>
            <w:r w:rsidR="00353D9A" w:rsidRPr="00001D13">
              <w:rPr>
                <w:sz w:val="18"/>
                <w:szCs w:val="18"/>
              </w:rPr>
              <w:t>Cela pose un problème lorsque la demande de droit d</w:t>
            </w:r>
            <w:r w:rsidR="00C4117D">
              <w:rPr>
                <w:sz w:val="18"/>
                <w:szCs w:val="18"/>
              </w:rPr>
              <w:t>’</w:t>
            </w:r>
            <w:r w:rsidR="00353D9A" w:rsidRPr="00001D13">
              <w:rPr>
                <w:sz w:val="18"/>
                <w:szCs w:val="18"/>
              </w:rPr>
              <w:t>obtenteur n</w:t>
            </w:r>
            <w:r w:rsidR="00C4117D">
              <w:rPr>
                <w:sz w:val="18"/>
                <w:szCs w:val="18"/>
              </w:rPr>
              <w:t>’</w:t>
            </w:r>
            <w:r w:rsidR="00353D9A" w:rsidRPr="00001D13">
              <w:rPr>
                <w:sz w:val="18"/>
                <w:szCs w:val="18"/>
              </w:rPr>
              <w:t xml:space="preserve">est pas déposée au cours de la saison de </w:t>
            </w:r>
            <w:r w:rsidR="00A3348B" w:rsidRPr="00001D13">
              <w:rPr>
                <w:sz w:val="18"/>
                <w:szCs w:val="18"/>
              </w:rPr>
              <w:t xml:space="preserve">végétation </w:t>
            </w:r>
            <w:r w:rsidR="00353D9A" w:rsidRPr="00001D13">
              <w:rPr>
                <w:sz w:val="18"/>
                <w:szCs w:val="18"/>
              </w:rPr>
              <w:t>de la</w:t>
            </w:r>
            <w:r w:rsidR="0037215E">
              <w:rPr>
                <w:sz w:val="18"/>
                <w:szCs w:val="18"/>
              </w:rPr>
              <w:t> </w:t>
            </w:r>
            <w:r w:rsidR="00353D9A" w:rsidRPr="00001D13">
              <w:rPr>
                <w:sz w:val="18"/>
                <w:szCs w:val="18"/>
              </w:rPr>
              <w:t xml:space="preserve">variété, ce qui exclut la prise de vue. </w:t>
            </w:r>
            <w:r w:rsidR="00D179CE" w:rsidRPr="00001D13">
              <w:rPr>
                <w:sz w:val="18"/>
                <w:szCs w:val="18"/>
              </w:rPr>
              <w:t xml:space="preserve"> </w:t>
            </w:r>
            <w:r w:rsidR="00353D9A" w:rsidRPr="00001D13">
              <w:rPr>
                <w:sz w:val="18"/>
                <w:szCs w:val="18"/>
              </w:rPr>
              <w:t>C</w:t>
            </w:r>
            <w:r w:rsidR="00C4117D">
              <w:rPr>
                <w:sz w:val="18"/>
                <w:szCs w:val="18"/>
              </w:rPr>
              <w:t>’</w:t>
            </w:r>
            <w:r w:rsidR="00353D9A" w:rsidRPr="00001D13">
              <w:rPr>
                <w:sz w:val="18"/>
                <w:szCs w:val="18"/>
              </w:rPr>
              <w:t>est pourquoi l</w:t>
            </w:r>
            <w:r w:rsidR="00C4117D">
              <w:rPr>
                <w:sz w:val="18"/>
                <w:szCs w:val="18"/>
              </w:rPr>
              <w:t>’</w:t>
            </w:r>
            <w:r w:rsidR="00353D9A" w:rsidRPr="00001D13">
              <w:rPr>
                <w:sz w:val="18"/>
                <w:szCs w:val="18"/>
              </w:rPr>
              <w:t>obligation de fournir des photographies peut retarder le dépôt de la demande.  Il faut également remarquer que des conditions ambiantes différentes peuvent entraîner des différences de morphologie;  les photographies peuvent par conséquent induire en</w:t>
            </w:r>
            <w:r w:rsidR="0037215E">
              <w:rPr>
                <w:sz w:val="18"/>
                <w:szCs w:val="18"/>
              </w:rPr>
              <w:t> </w:t>
            </w:r>
            <w:r w:rsidR="00353D9A" w:rsidRPr="00001D13">
              <w:rPr>
                <w:sz w:val="18"/>
                <w:szCs w:val="18"/>
              </w:rPr>
              <w:t xml:space="preserve">erreur. </w:t>
            </w:r>
            <w:r w:rsidR="00D179CE" w:rsidRPr="00001D13">
              <w:rPr>
                <w:sz w:val="18"/>
                <w:szCs w:val="18"/>
              </w:rPr>
              <w:t xml:space="preserve"> </w:t>
            </w:r>
            <w:r w:rsidR="00353D9A" w:rsidRPr="00001D13">
              <w:rPr>
                <w:sz w:val="18"/>
                <w:szCs w:val="18"/>
              </w:rPr>
              <w:t xml:space="preserve">En général, des photographies ne devraient pas être nécessaires pour des </w:t>
            </w:r>
            <w:r w:rsidR="00820ADA" w:rsidRPr="00001D13">
              <w:rPr>
                <w:sz w:val="18"/>
                <w:szCs w:val="18"/>
              </w:rPr>
              <w:t>cultures</w:t>
            </w:r>
            <w:r w:rsidR="00353D9A" w:rsidRPr="00001D13">
              <w:rPr>
                <w:sz w:val="18"/>
                <w:szCs w:val="18"/>
              </w:rPr>
              <w:t xml:space="preserve"> agricoles, </w:t>
            </w:r>
            <w:r w:rsidR="00820ADA" w:rsidRPr="00001D13">
              <w:rPr>
                <w:sz w:val="18"/>
                <w:szCs w:val="18"/>
              </w:rPr>
              <w:t>fourragères et des espèces allogames.  Les photographies d</w:t>
            </w:r>
            <w:r w:rsidR="00C4117D">
              <w:rPr>
                <w:sz w:val="18"/>
                <w:szCs w:val="18"/>
              </w:rPr>
              <w:t>’</w:t>
            </w:r>
            <w:r w:rsidR="00820ADA" w:rsidRPr="00001D13">
              <w:rPr>
                <w:sz w:val="18"/>
                <w:szCs w:val="18"/>
              </w:rPr>
              <w:t>autres cultures ne devraient être exigées que dans des cas estimés pertinents, autrement dit, lorsqu</w:t>
            </w:r>
            <w:r w:rsidR="00C4117D">
              <w:rPr>
                <w:sz w:val="18"/>
                <w:szCs w:val="18"/>
              </w:rPr>
              <w:t>’</w:t>
            </w:r>
            <w:r w:rsidR="00820ADA" w:rsidRPr="00001D13">
              <w:rPr>
                <w:sz w:val="18"/>
                <w:szCs w:val="18"/>
              </w:rPr>
              <w:t>elles ajoutent un élément utile aux</w:t>
            </w:r>
            <w:r w:rsidR="0037215E">
              <w:rPr>
                <w:sz w:val="18"/>
                <w:szCs w:val="18"/>
              </w:rPr>
              <w:t> </w:t>
            </w:r>
            <w:r w:rsidR="00820ADA" w:rsidRPr="00001D13">
              <w:rPr>
                <w:sz w:val="18"/>
                <w:szCs w:val="18"/>
              </w:rPr>
              <w:t>informations déjà fournies dans le questionnaire technique (TQ).</w:t>
            </w:r>
            <w:r w:rsidR="00D179CE" w:rsidRPr="00001D13">
              <w:rPr>
                <w:sz w:val="18"/>
                <w:szCs w:val="18"/>
              </w:rPr>
              <w:t xml:space="preserve"> </w:t>
            </w:r>
            <w:r w:rsidR="00820ADA" w:rsidRPr="00001D13">
              <w:rPr>
                <w:sz w:val="18"/>
                <w:szCs w:val="18"/>
              </w:rPr>
              <w:t xml:space="preserve"> En outre, il ne devrait pas être nécessaire de fournir une photographie de la variété de comparaison.</w:t>
            </w:r>
            <w:r w:rsidR="0037215E">
              <w:rPr>
                <w:sz w:val="18"/>
                <w:szCs w:val="18"/>
              </w:rPr>
              <w:t>”</w:t>
            </w:r>
          </w:p>
        </w:tc>
      </w:tr>
      <w:tr w:rsidR="00D61804" w:rsidRPr="00BE1231" w:rsidTr="00001D13">
        <w:tc>
          <w:tcPr>
            <w:tcW w:w="8646" w:type="dxa"/>
            <w:shd w:val="clear" w:color="auto" w:fill="auto"/>
          </w:tcPr>
          <w:p w:rsidR="00D61804" w:rsidRPr="00001D13" w:rsidRDefault="00820ADA" w:rsidP="00505A73">
            <w:pPr>
              <w:rPr>
                <w:i/>
              </w:rPr>
            </w:pPr>
            <w:r w:rsidRPr="00001D13">
              <w:rPr>
                <w:i/>
              </w:rPr>
              <w:t xml:space="preserve">Documents </w:t>
            </w:r>
            <w:r w:rsidR="00D61804" w:rsidRPr="00001D13">
              <w:rPr>
                <w:i/>
              </w:rPr>
              <w:t>UPOV</w:t>
            </w:r>
            <w:r w:rsidRPr="00001D13">
              <w:rPr>
                <w:i/>
              </w:rPr>
              <w:t xml:space="preserve"> pertinents</w:t>
            </w:r>
            <w:r w:rsidR="00E2212C">
              <w:rPr>
                <w:i/>
              </w:rPr>
              <w:t> </w:t>
            </w:r>
            <w:r w:rsidR="00D61804" w:rsidRPr="00001D13">
              <w:rPr>
                <w:i/>
              </w:rPr>
              <w:t>:</w:t>
            </w:r>
          </w:p>
          <w:p w:rsidR="00A34B37" w:rsidRPr="00001D13" w:rsidRDefault="00A34B37" w:rsidP="00505A73">
            <w:pPr>
              <w:rPr>
                <w:i/>
              </w:rPr>
            </w:pPr>
          </w:p>
          <w:p w:rsidR="00D61804" w:rsidRPr="00001D13" w:rsidRDefault="00D61804" w:rsidP="00001D13">
            <w:pPr>
              <w:pStyle w:val="ListParagraph"/>
              <w:numPr>
                <w:ilvl w:val="0"/>
                <w:numId w:val="5"/>
              </w:numPr>
              <w:tabs>
                <w:tab w:val="left" w:pos="290"/>
                <w:tab w:val="left" w:pos="574"/>
              </w:tabs>
              <w:ind w:left="574" w:hanging="284"/>
              <w:rPr>
                <w:i/>
                <w:snapToGrid w:val="0"/>
              </w:rPr>
            </w:pPr>
            <w:r w:rsidRPr="00001D13">
              <w:rPr>
                <w:i/>
                <w:snapToGrid w:val="0"/>
              </w:rPr>
              <w:t xml:space="preserve">TGP/9 </w:t>
            </w:r>
            <w:r w:rsidR="00E2212C">
              <w:rPr>
                <w:i/>
                <w:snapToGrid w:val="0"/>
              </w:rPr>
              <w:t>“</w:t>
            </w:r>
            <w:r w:rsidR="0014089E" w:rsidRPr="00001D13">
              <w:rPr>
                <w:i/>
                <w:snapToGrid w:val="0"/>
              </w:rPr>
              <w:t>Examen de la distinction</w:t>
            </w:r>
            <w:r w:rsidR="00E2212C">
              <w:rPr>
                <w:i/>
                <w:snapToGrid w:val="0"/>
              </w:rPr>
              <w:t>”</w:t>
            </w:r>
            <w:r w:rsidR="0037215E">
              <w:rPr>
                <w:i/>
                <w:snapToGrid w:val="0"/>
              </w:rPr>
              <w:t>, s</w:t>
            </w:r>
            <w:r w:rsidR="0014089E" w:rsidRPr="00001D13">
              <w:rPr>
                <w:i/>
                <w:snapToGrid w:val="0"/>
              </w:rPr>
              <w:t>ection</w:t>
            </w:r>
            <w:r w:rsidR="00E2212C">
              <w:rPr>
                <w:i/>
                <w:snapToGrid w:val="0"/>
              </w:rPr>
              <w:t> </w:t>
            </w:r>
            <w:r w:rsidR="0014089E" w:rsidRPr="00001D13">
              <w:rPr>
                <w:i/>
                <w:snapToGrid w:val="0"/>
              </w:rPr>
              <w:t xml:space="preserve">2.5 </w:t>
            </w:r>
            <w:r w:rsidR="00E2212C">
              <w:rPr>
                <w:i/>
                <w:snapToGrid w:val="0"/>
              </w:rPr>
              <w:t>“</w:t>
            </w:r>
            <w:r w:rsidRPr="00001D13">
              <w:rPr>
                <w:i/>
                <w:snapToGrid w:val="0"/>
              </w:rPr>
              <w:t>Photograph</w:t>
            </w:r>
            <w:r w:rsidR="0014089E" w:rsidRPr="00001D13">
              <w:rPr>
                <w:i/>
                <w:snapToGrid w:val="0"/>
              </w:rPr>
              <w:t>ies</w:t>
            </w:r>
            <w:r w:rsidR="00E2212C">
              <w:rPr>
                <w:i/>
                <w:snapToGrid w:val="0"/>
              </w:rPr>
              <w:t>”</w:t>
            </w:r>
          </w:p>
          <w:p w:rsidR="00AB76FD" w:rsidRDefault="00D61804" w:rsidP="00001D13">
            <w:pPr>
              <w:pStyle w:val="ListParagraph"/>
              <w:numPr>
                <w:ilvl w:val="0"/>
                <w:numId w:val="5"/>
              </w:numPr>
              <w:tabs>
                <w:tab w:val="left" w:pos="290"/>
                <w:tab w:val="left" w:pos="574"/>
              </w:tabs>
              <w:ind w:left="574" w:hanging="284"/>
              <w:rPr>
                <w:i/>
                <w:snapToGrid w:val="0"/>
              </w:rPr>
            </w:pPr>
            <w:r w:rsidRPr="00001D13">
              <w:rPr>
                <w:i/>
                <w:snapToGrid w:val="0"/>
              </w:rPr>
              <w:t xml:space="preserve">TGP/7 </w:t>
            </w:r>
            <w:r w:rsidR="00E2212C">
              <w:rPr>
                <w:i/>
                <w:snapToGrid w:val="0"/>
              </w:rPr>
              <w:t>“</w:t>
            </w:r>
            <w:r w:rsidR="0014089E" w:rsidRPr="00001D13">
              <w:rPr>
                <w:i/>
                <w:snapToGrid w:val="0"/>
              </w:rPr>
              <w:t>Élaboration des principes directeurs d</w:t>
            </w:r>
            <w:r w:rsidR="00C4117D">
              <w:rPr>
                <w:i/>
                <w:snapToGrid w:val="0"/>
              </w:rPr>
              <w:t>’</w:t>
            </w:r>
            <w:r w:rsidR="0014089E" w:rsidRPr="00001D13">
              <w:rPr>
                <w:i/>
                <w:snapToGrid w:val="0"/>
              </w:rPr>
              <w:t>examen</w:t>
            </w:r>
            <w:r w:rsidR="00E2212C">
              <w:rPr>
                <w:i/>
                <w:snapToGrid w:val="0"/>
              </w:rPr>
              <w:t>”</w:t>
            </w:r>
          </w:p>
          <w:p w:rsidR="00A34B37" w:rsidRPr="00001D13" w:rsidRDefault="00A34B37" w:rsidP="00D61804">
            <w:pPr>
              <w:rPr>
                <w:i/>
                <w:snapToGrid w:val="0"/>
              </w:rPr>
            </w:pPr>
          </w:p>
          <w:p w:rsidR="00D61804" w:rsidRPr="00001D13" w:rsidRDefault="00401878" w:rsidP="0015626A">
            <w:pPr>
              <w:rPr>
                <w:i/>
                <w:snapToGrid w:val="0"/>
              </w:rPr>
            </w:pPr>
            <w:r w:rsidRPr="00001D13">
              <w:rPr>
                <w:i/>
                <w:snapToGrid w:val="0"/>
              </w:rPr>
              <w:t>Le</w:t>
            </w:r>
            <w:r w:rsidR="00C4117D">
              <w:rPr>
                <w:i/>
                <w:snapToGrid w:val="0"/>
              </w:rPr>
              <w:t> TC</w:t>
            </w:r>
            <w:r w:rsidR="00D61804" w:rsidRPr="00001D13">
              <w:rPr>
                <w:i/>
                <w:snapToGrid w:val="0"/>
              </w:rPr>
              <w:t xml:space="preserve"> </w:t>
            </w:r>
            <w:r w:rsidRPr="00001D13">
              <w:rPr>
                <w:i/>
                <w:snapToGrid w:val="0"/>
              </w:rPr>
              <w:t>est convenu du nouveau texte standard supplémentaire et d</w:t>
            </w:r>
            <w:r w:rsidR="00C4117D">
              <w:rPr>
                <w:i/>
                <w:snapToGrid w:val="0"/>
              </w:rPr>
              <w:t>’</w:t>
            </w:r>
            <w:r w:rsidRPr="00001D13">
              <w:rPr>
                <w:i/>
                <w:snapToGrid w:val="0"/>
              </w:rPr>
              <w:t>une nouvelle note d</w:t>
            </w:r>
            <w:r w:rsidR="00C4117D">
              <w:rPr>
                <w:i/>
                <w:snapToGrid w:val="0"/>
              </w:rPr>
              <w:t>’</w:t>
            </w:r>
            <w:r w:rsidRPr="00001D13">
              <w:rPr>
                <w:i/>
                <w:snapToGrid w:val="0"/>
              </w:rPr>
              <w:t xml:space="preserve">orientation pour la </w:t>
            </w:r>
            <w:r w:rsidR="00E2212C">
              <w:rPr>
                <w:i/>
                <w:snapToGrid w:val="0"/>
              </w:rPr>
              <w:t>“</w:t>
            </w:r>
            <w:r w:rsidRPr="00001D13">
              <w:rPr>
                <w:i/>
                <w:snapToGrid w:val="0"/>
              </w:rPr>
              <w:t>remise de photographies avec le questionnaire technique</w:t>
            </w:r>
            <w:r w:rsidR="00E2212C">
              <w:rPr>
                <w:i/>
                <w:snapToGrid w:val="0"/>
              </w:rPr>
              <w:t>”</w:t>
            </w:r>
            <w:r w:rsidRPr="00001D13">
              <w:rPr>
                <w:i/>
                <w:snapToGrid w:val="0"/>
              </w:rPr>
              <w:t>, sur la base de l</w:t>
            </w:r>
            <w:r w:rsidR="00C4117D">
              <w:rPr>
                <w:i/>
                <w:snapToGrid w:val="0"/>
              </w:rPr>
              <w:t>’</w:t>
            </w:r>
            <w:r w:rsidRPr="00001D13">
              <w:rPr>
                <w:i/>
                <w:snapToGrid w:val="0"/>
              </w:rPr>
              <w:t xml:space="preserve">annexe du </w:t>
            </w:r>
            <w:r w:rsidR="00C4117D" w:rsidRPr="00001D13">
              <w:rPr>
                <w:i/>
                <w:snapToGrid w:val="0"/>
              </w:rPr>
              <w:t>document</w:t>
            </w:r>
            <w:r w:rsidR="00C4117D">
              <w:rPr>
                <w:i/>
                <w:snapToGrid w:val="0"/>
              </w:rPr>
              <w:t xml:space="preserve"> TC</w:t>
            </w:r>
            <w:r w:rsidR="00D61804" w:rsidRPr="00001D13">
              <w:rPr>
                <w:i/>
                <w:snapToGrid w:val="0"/>
              </w:rPr>
              <w:t xml:space="preserve">/49/20, </w:t>
            </w:r>
            <w:r w:rsidRPr="00001D13">
              <w:rPr>
                <w:i/>
                <w:snapToGrid w:val="0"/>
              </w:rPr>
              <w:t>aux fins de leur inclusion dans une future version révisée du document TGP/7.  Le</w:t>
            </w:r>
            <w:r w:rsidR="00C4117D">
              <w:rPr>
                <w:i/>
                <w:snapToGrid w:val="0"/>
              </w:rPr>
              <w:t> TC</w:t>
            </w:r>
            <w:r w:rsidRPr="00001D13">
              <w:rPr>
                <w:i/>
                <w:snapToGrid w:val="0"/>
              </w:rPr>
              <w:t xml:space="preserve"> est également convenu que les </w:t>
            </w:r>
            <w:r w:rsidR="00E2212C">
              <w:rPr>
                <w:i/>
                <w:snapToGrid w:val="0"/>
              </w:rPr>
              <w:t>“</w:t>
            </w:r>
            <w:r w:rsidRPr="00001D13">
              <w:rPr>
                <w:i/>
                <w:snapToGrid w:val="0"/>
              </w:rPr>
              <w:t>Conseils pour la remise de photographies avec le questionnaire technique</w:t>
            </w:r>
            <w:r w:rsidR="00E2212C">
              <w:rPr>
                <w:i/>
                <w:snapToGrid w:val="0"/>
              </w:rPr>
              <w:t>”</w:t>
            </w:r>
            <w:r w:rsidRPr="00001D13">
              <w:rPr>
                <w:i/>
                <w:snapToGrid w:val="0"/>
              </w:rPr>
              <w:t xml:space="preserve"> devraient être donnés aux membres de l</w:t>
            </w:r>
            <w:r w:rsidR="00C4117D">
              <w:rPr>
                <w:i/>
                <w:snapToGrid w:val="0"/>
              </w:rPr>
              <w:t>’</w:t>
            </w:r>
            <w:r w:rsidRPr="00001D13">
              <w:rPr>
                <w:i/>
                <w:snapToGrid w:val="0"/>
              </w:rPr>
              <w:t>Union au moyen d</w:t>
            </w:r>
            <w:r w:rsidR="00C4117D">
              <w:rPr>
                <w:i/>
                <w:snapToGrid w:val="0"/>
              </w:rPr>
              <w:t>’</w:t>
            </w:r>
            <w:r w:rsidRPr="00001D13">
              <w:rPr>
                <w:i/>
                <w:snapToGrid w:val="0"/>
              </w:rPr>
              <w:t xml:space="preserve">un </w:t>
            </w:r>
            <w:r w:rsidR="0015626A" w:rsidRPr="00001D13">
              <w:rPr>
                <w:i/>
                <w:snapToGrid w:val="0"/>
              </w:rPr>
              <w:t>lien renvoyant à</w:t>
            </w:r>
            <w:r w:rsidRPr="00001D13">
              <w:rPr>
                <w:i/>
                <w:snapToGrid w:val="0"/>
              </w:rPr>
              <w:t xml:space="preserve"> la partie concernée du site Web de l</w:t>
            </w:r>
            <w:r w:rsidR="00C4117D">
              <w:rPr>
                <w:i/>
                <w:snapToGrid w:val="0"/>
              </w:rPr>
              <w:t>’</w:t>
            </w:r>
            <w:r w:rsidRPr="00001D13">
              <w:rPr>
                <w:i/>
                <w:snapToGrid w:val="0"/>
              </w:rPr>
              <w:t>UPOV</w:t>
            </w:r>
            <w:r w:rsidR="0014089E" w:rsidRPr="00001D13">
              <w:rPr>
                <w:i/>
                <w:snapToGrid w:val="0"/>
              </w:rPr>
              <w:t xml:space="preserve"> (voir les paragraphes</w:t>
            </w:r>
            <w:r w:rsidR="00E2212C">
              <w:rPr>
                <w:i/>
                <w:snapToGrid w:val="0"/>
              </w:rPr>
              <w:t> </w:t>
            </w:r>
            <w:r w:rsidR="0014089E" w:rsidRPr="00001D13">
              <w:rPr>
                <w:i/>
                <w:snapToGrid w:val="0"/>
              </w:rPr>
              <w:t xml:space="preserve">45 à 47 du </w:t>
            </w:r>
            <w:r w:rsidR="00C4117D" w:rsidRPr="00001D13">
              <w:rPr>
                <w:i/>
                <w:snapToGrid w:val="0"/>
              </w:rPr>
              <w:t>document</w:t>
            </w:r>
            <w:r w:rsidR="00C4117D">
              <w:rPr>
                <w:i/>
                <w:snapToGrid w:val="0"/>
              </w:rPr>
              <w:t xml:space="preserve"> TC</w:t>
            </w:r>
            <w:r w:rsidR="0014089E" w:rsidRPr="00001D13">
              <w:rPr>
                <w:i/>
                <w:snapToGrid w:val="0"/>
              </w:rPr>
              <w:t xml:space="preserve">/49/41 </w:t>
            </w:r>
            <w:r w:rsidR="00E2212C">
              <w:rPr>
                <w:i/>
                <w:snapToGrid w:val="0"/>
              </w:rPr>
              <w:t>“</w:t>
            </w:r>
            <w:r w:rsidR="0014089E" w:rsidRPr="00001D13">
              <w:rPr>
                <w:i/>
                <w:snapToGrid w:val="0"/>
              </w:rPr>
              <w:t>Compte rendu des c</w:t>
            </w:r>
            <w:r w:rsidR="00D61804" w:rsidRPr="00001D13">
              <w:rPr>
                <w:i/>
                <w:snapToGrid w:val="0"/>
              </w:rPr>
              <w:t>onclusi</w:t>
            </w:r>
            <w:r w:rsidR="00A34B37" w:rsidRPr="00001D13">
              <w:rPr>
                <w:i/>
                <w:snapToGrid w:val="0"/>
              </w:rPr>
              <w:t>ons</w:t>
            </w:r>
            <w:r w:rsidR="00E2212C">
              <w:rPr>
                <w:i/>
                <w:snapToGrid w:val="0"/>
              </w:rPr>
              <w:t>”</w:t>
            </w:r>
            <w:r w:rsidR="00A34B37" w:rsidRPr="00001D13">
              <w:rPr>
                <w:i/>
                <w:snapToGrid w:val="0"/>
              </w:rPr>
              <w:t>).</w:t>
            </w:r>
          </w:p>
        </w:tc>
      </w:tr>
    </w:tbl>
    <w:p w:rsidR="00A34B37" w:rsidRPr="00BE1231" w:rsidRDefault="00A34B37"/>
    <w:p w:rsidR="00A34B37" w:rsidRPr="00BE1231" w:rsidRDefault="00A34B37" w:rsidP="00A34B37">
      <w:pPr>
        <w:pStyle w:val="Heading3"/>
      </w:pPr>
      <w:bookmarkStart w:id="44" w:name="_Toc381170155"/>
      <w:r w:rsidRPr="00BE1231">
        <w:t>b)</w:t>
      </w:r>
      <w:r w:rsidRPr="00BE1231">
        <w:tab/>
      </w:r>
      <w:r w:rsidR="00820ADA" w:rsidRPr="00BE1231">
        <w:t>Taille minimale de l</w:t>
      </w:r>
      <w:r w:rsidR="00C4117D">
        <w:t>’</w:t>
      </w:r>
      <w:r w:rsidR="00820ADA" w:rsidRPr="00BE1231">
        <w:t>échantillon</w:t>
      </w:r>
      <w:bookmarkEnd w:id="44"/>
    </w:p>
    <w:p w:rsidR="00A34B37" w:rsidRPr="00BE1231" w:rsidRDefault="00A34B37"/>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BE1231" w:rsidTr="00001D13">
        <w:tc>
          <w:tcPr>
            <w:tcW w:w="8646" w:type="dxa"/>
            <w:shd w:val="clear" w:color="auto" w:fill="auto"/>
          </w:tcPr>
          <w:p w:rsidR="00727189" w:rsidRPr="00001D13" w:rsidRDefault="00727189" w:rsidP="00727189">
            <w:pPr>
              <w:rPr>
                <w:sz w:val="18"/>
                <w:szCs w:val="18"/>
              </w:rPr>
            </w:pPr>
            <w:r w:rsidRPr="00001D13">
              <w:rPr>
                <w:sz w:val="18"/>
                <w:szCs w:val="18"/>
              </w:rPr>
              <w:t>[</w:t>
            </w:r>
            <w:r w:rsidR="00820ADA" w:rsidRPr="00001D13">
              <w:rPr>
                <w:sz w:val="18"/>
                <w:szCs w:val="18"/>
              </w:rPr>
              <w:t>Extrait de la lettre de l</w:t>
            </w:r>
            <w:r w:rsidR="00C4117D">
              <w:rPr>
                <w:sz w:val="18"/>
                <w:szCs w:val="18"/>
              </w:rPr>
              <w:t>’</w:t>
            </w:r>
            <w:r w:rsidR="00820ADA" w:rsidRPr="00001D13">
              <w:rPr>
                <w:sz w:val="18"/>
                <w:szCs w:val="18"/>
              </w:rPr>
              <w:t>ISF</w:t>
            </w:r>
            <w:r w:rsidRPr="00001D13">
              <w:rPr>
                <w:sz w:val="18"/>
                <w:szCs w:val="18"/>
              </w:rPr>
              <w:t>]</w:t>
            </w:r>
          </w:p>
          <w:p w:rsidR="00A34B37" w:rsidRPr="00001D13" w:rsidRDefault="00E2212C" w:rsidP="0037215E">
            <w:pPr>
              <w:rPr>
                <w:sz w:val="18"/>
                <w:szCs w:val="18"/>
              </w:rPr>
            </w:pPr>
            <w:r>
              <w:rPr>
                <w:sz w:val="18"/>
                <w:szCs w:val="18"/>
              </w:rPr>
              <w:t>“</w:t>
            </w:r>
            <w:r w:rsidR="00820ADA" w:rsidRPr="00001D13">
              <w:rPr>
                <w:sz w:val="18"/>
                <w:szCs w:val="18"/>
                <w:u w:val="single"/>
              </w:rPr>
              <w:t>Taille minimale de l</w:t>
            </w:r>
            <w:r w:rsidR="00C4117D">
              <w:rPr>
                <w:sz w:val="18"/>
                <w:szCs w:val="18"/>
                <w:u w:val="single"/>
              </w:rPr>
              <w:t>’</w:t>
            </w:r>
            <w:r w:rsidR="00820ADA" w:rsidRPr="00001D13">
              <w:rPr>
                <w:sz w:val="18"/>
                <w:szCs w:val="18"/>
                <w:u w:val="single"/>
              </w:rPr>
              <w:t>échantillon</w:t>
            </w:r>
            <w:r>
              <w:rPr>
                <w:sz w:val="18"/>
                <w:szCs w:val="18"/>
              </w:rPr>
              <w:t> </w:t>
            </w:r>
            <w:r w:rsidR="00A34B37" w:rsidRPr="00001D13">
              <w:rPr>
                <w:sz w:val="18"/>
                <w:szCs w:val="18"/>
              </w:rPr>
              <w:t xml:space="preserve">: </w:t>
            </w:r>
            <w:r w:rsidR="00820ADA" w:rsidRPr="00001D13">
              <w:rPr>
                <w:sz w:val="18"/>
                <w:szCs w:val="18"/>
              </w:rPr>
              <w:t>Dans la plupart des pays, il est exigé une taille minimale de l</w:t>
            </w:r>
            <w:r w:rsidR="00C4117D">
              <w:rPr>
                <w:sz w:val="18"/>
                <w:szCs w:val="18"/>
              </w:rPr>
              <w:t>’</w:t>
            </w:r>
            <w:r w:rsidR="00820ADA" w:rsidRPr="00001D13">
              <w:rPr>
                <w:sz w:val="18"/>
                <w:szCs w:val="18"/>
              </w:rPr>
              <w:t>échantillon de semence ou un nombre minimum de plantes.  Or, dans certains pays, les tailles d</w:t>
            </w:r>
            <w:r w:rsidR="00C4117D">
              <w:rPr>
                <w:sz w:val="18"/>
                <w:szCs w:val="18"/>
              </w:rPr>
              <w:t>’</w:t>
            </w:r>
            <w:r w:rsidR="00820ADA" w:rsidRPr="00001D13">
              <w:rPr>
                <w:sz w:val="18"/>
                <w:szCs w:val="18"/>
              </w:rPr>
              <w:t>échantillons demandé</w:t>
            </w:r>
            <w:r w:rsidR="0015626A" w:rsidRPr="00001D13">
              <w:rPr>
                <w:sz w:val="18"/>
                <w:szCs w:val="18"/>
              </w:rPr>
              <w:t>e</w:t>
            </w:r>
            <w:r w:rsidR="00404062" w:rsidRPr="00001D13">
              <w:rPr>
                <w:sz w:val="18"/>
                <w:szCs w:val="18"/>
              </w:rPr>
              <w:t>s</w:t>
            </w:r>
            <w:r w:rsidR="00820ADA" w:rsidRPr="00001D13">
              <w:rPr>
                <w:sz w:val="18"/>
                <w:szCs w:val="18"/>
              </w:rPr>
              <w:t xml:space="preserve"> peuvent être exceptionnellement grandes.  Tel est en particulier le cas de</w:t>
            </w:r>
            <w:r w:rsidR="00C84B56" w:rsidRPr="00001D13">
              <w:rPr>
                <w:sz w:val="18"/>
                <w:szCs w:val="18"/>
              </w:rPr>
              <w:t xml:space="preserve"> lignées parentales pour lesquelles la prescription d</w:t>
            </w:r>
            <w:r w:rsidR="00C4117D">
              <w:rPr>
                <w:sz w:val="18"/>
                <w:szCs w:val="18"/>
              </w:rPr>
              <w:t>’</w:t>
            </w:r>
            <w:r w:rsidR="00C84B56" w:rsidRPr="00001D13">
              <w:rPr>
                <w:sz w:val="18"/>
                <w:szCs w:val="18"/>
              </w:rPr>
              <w:t>exigences élevées peut s</w:t>
            </w:r>
            <w:r w:rsidR="00C4117D">
              <w:rPr>
                <w:sz w:val="18"/>
                <w:szCs w:val="18"/>
              </w:rPr>
              <w:t>’</w:t>
            </w:r>
            <w:r w:rsidR="00C84B56" w:rsidRPr="00001D13">
              <w:rPr>
                <w:sz w:val="18"/>
                <w:szCs w:val="18"/>
              </w:rPr>
              <w:t>avérer problématique.  Les quantités demandées de semences devraient être raisonnables et, théoriquement, les plus faibles possible.</w:t>
            </w:r>
            <w:r w:rsidR="00D179CE" w:rsidRPr="00001D13">
              <w:rPr>
                <w:sz w:val="18"/>
                <w:szCs w:val="18"/>
              </w:rPr>
              <w:t xml:space="preserve"> </w:t>
            </w:r>
            <w:r w:rsidR="00C84B56" w:rsidRPr="00001D13">
              <w:rPr>
                <w:sz w:val="18"/>
                <w:szCs w:val="18"/>
              </w:rPr>
              <w:t xml:space="preserve"> Les</w:t>
            </w:r>
            <w:r w:rsidR="0037215E">
              <w:rPr>
                <w:sz w:val="18"/>
                <w:szCs w:val="18"/>
              </w:rPr>
              <w:t> </w:t>
            </w:r>
            <w:r w:rsidR="00C84B56" w:rsidRPr="00001D13">
              <w:rPr>
                <w:sz w:val="18"/>
                <w:szCs w:val="18"/>
              </w:rPr>
              <w:t>services chargés d</w:t>
            </w:r>
            <w:r w:rsidR="00C4117D">
              <w:rPr>
                <w:sz w:val="18"/>
                <w:szCs w:val="18"/>
              </w:rPr>
              <w:t>’</w:t>
            </w:r>
            <w:r w:rsidR="00C84B56" w:rsidRPr="00001D13">
              <w:rPr>
                <w:sz w:val="18"/>
                <w:szCs w:val="18"/>
              </w:rPr>
              <w:t>octroyer des droits d</w:t>
            </w:r>
            <w:r w:rsidR="00C4117D">
              <w:rPr>
                <w:sz w:val="18"/>
                <w:szCs w:val="18"/>
              </w:rPr>
              <w:t>’</w:t>
            </w:r>
            <w:r w:rsidR="00C84B56" w:rsidRPr="00001D13">
              <w:rPr>
                <w:sz w:val="18"/>
                <w:szCs w:val="18"/>
              </w:rPr>
              <w:t>obtenteur sont invités à ne réclamer que la quantité réellement nécessaire de semences, et ces quantités devraient être harmonisé</w:t>
            </w:r>
            <w:r w:rsidR="00D179CE" w:rsidRPr="00001D13">
              <w:rPr>
                <w:sz w:val="18"/>
                <w:szCs w:val="18"/>
              </w:rPr>
              <w:t>e</w:t>
            </w:r>
            <w:r w:rsidR="00C84B56" w:rsidRPr="00001D13">
              <w:rPr>
                <w:sz w:val="18"/>
                <w:szCs w:val="18"/>
              </w:rPr>
              <w:t>s à l</w:t>
            </w:r>
            <w:r w:rsidR="00C4117D">
              <w:rPr>
                <w:sz w:val="18"/>
                <w:szCs w:val="18"/>
              </w:rPr>
              <w:t>’</w:t>
            </w:r>
            <w:r w:rsidR="00C84B56" w:rsidRPr="00001D13">
              <w:rPr>
                <w:sz w:val="18"/>
                <w:szCs w:val="18"/>
              </w:rPr>
              <w:t>échelle mondiale.  En règle générale, il vaut mieux appliquer le critère du nombre, plutôt que celui du poids, aux semences demandées.</w:t>
            </w:r>
            <w:r w:rsidR="0037215E">
              <w:rPr>
                <w:sz w:val="18"/>
                <w:szCs w:val="18"/>
              </w:rPr>
              <w:t>”</w:t>
            </w:r>
          </w:p>
        </w:tc>
      </w:tr>
      <w:tr w:rsidR="00D61804" w:rsidRPr="00BE1231" w:rsidTr="00001D13">
        <w:tc>
          <w:tcPr>
            <w:tcW w:w="8646" w:type="dxa"/>
            <w:shd w:val="clear" w:color="auto" w:fill="auto"/>
          </w:tcPr>
          <w:p w:rsidR="00820ADA" w:rsidRPr="00001D13" w:rsidRDefault="00820ADA" w:rsidP="00820ADA">
            <w:pPr>
              <w:rPr>
                <w:i/>
              </w:rPr>
            </w:pPr>
            <w:r w:rsidRPr="00001D13">
              <w:rPr>
                <w:i/>
              </w:rPr>
              <w:t>Documents UPOV pertinents</w:t>
            </w:r>
            <w:r w:rsidR="00E2212C">
              <w:rPr>
                <w:i/>
              </w:rPr>
              <w:t> </w:t>
            </w:r>
            <w:r w:rsidRPr="00001D13">
              <w:rPr>
                <w:i/>
              </w:rPr>
              <w:t>:</w:t>
            </w:r>
          </w:p>
          <w:p w:rsidR="00A34B37" w:rsidRPr="00001D13" w:rsidRDefault="00A34B37" w:rsidP="00D61804">
            <w:pPr>
              <w:rPr>
                <w:i/>
              </w:rPr>
            </w:pPr>
          </w:p>
          <w:p w:rsidR="00D61804" w:rsidRPr="00001D13" w:rsidRDefault="0014089E" w:rsidP="00001D13">
            <w:pPr>
              <w:autoSpaceDE w:val="0"/>
              <w:autoSpaceDN w:val="0"/>
              <w:adjustRightInd w:val="0"/>
              <w:jc w:val="left"/>
              <w:rPr>
                <w:i/>
              </w:rPr>
            </w:pPr>
            <w:r w:rsidRPr="00001D13">
              <w:rPr>
                <w:i/>
              </w:rPr>
              <w:t>TGP/7, Section</w:t>
            </w:r>
            <w:r w:rsidR="00E2212C">
              <w:rPr>
                <w:i/>
              </w:rPr>
              <w:t> </w:t>
            </w:r>
            <w:r w:rsidRPr="00001D13">
              <w:rPr>
                <w:i/>
              </w:rPr>
              <w:t xml:space="preserve">4 </w:t>
            </w:r>
            <w:r w:rsidR="00E2212C">
              <w:rPr>
                <w:i/>
              </w:rPr>
              <w:t>“</w:t>
            </w:r>
            <w:r w:rsidRPr="00001D13">
              <w:rPr>
                <w:i/>
              </w:rPr>
              <w:t>Élaboration de principes directeurs d</w:t>
            </w:r>
            <w:r w:rsidR="00C4117D">
              <w:rPr>
                <w:i/>
              </w:rPr>
              <w:t>’</w:t>
            </w:r>
            <w:r w:rsidRPr="00001D13">
              <w:rPr>
                <w:i/>
              </w:rPr>
              <w:t>examen propres aux différents services</w:t>
            </w:r>
            <w:r w:rsidR="00E2212C">
              <w:rPr>
                <w:i/>
              </w:rPr>
              <w:t>”</w:t>
            </w:r>
            <w:r w:rsidRPr="00001D13">
              <w:rPr>
                <w:i/>
              </w:rPr>
              <w:t xml:space="preserve"> </w:t>
            </w:r>
          </w:p>
        </w:tc>
      </w:tr>
    </w:tbl>
    <w:p w:rsidR="00A34B37" w:rsidRPr="00BE1231" w:rsidRDefault="00A34B37"/>
    <w:p w:rsidR="00A34B37" w:rsidRPr="00BE1231" w:rsidRDefault="00A34B37" w:rsidP="00A34B37">
      <w:pPr>
        <w:pStyle w:val="Heading3"/>
      </w:pPr>
      <w:bookmarkStart w:id="45" w:name="_Toc381170156"/>
      <w:r w:rsidRPr="00BE1231">
        <w:t>c)</w:t>
      </w:r>
      <w:r w:rsidRPr="00BE1231">
        <w:tab/>
      </w:r>
      <w:r w:rsidR="0014089E" w:rsidRPr="00BE1231">
        <w:t>C</w:t>
      </w:r>
      <w:r w:rsidRPr="00BE1231">
        <w:t>ollections</w:t>
      </w:r>
      <w:r w:rsidR="0014089E" w:rsidRPr="00BE1231">
        <w:t xml:space="preserve"> de référence</w:t>
      </w:r>
      <w:bookmarkEnd w:id="45"/>
    </w:p>
    <w:p w:rsidR="00A34B37" w:rsidRPr="00BE1231" w:rsidRDefault="00A34B37"/>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BE1231" w:rsidTr="00001D13">
        <w:tc>
          <w:tcPr>
            <w:tcW w:w="8646" w:type="dxa"/>
            <w:shd w:val="clear" w:color="auto" w:fill="auto"/>
          </w:tcPr>
          <w:p w:rsidR="00727189" w:rsidRPr="00001D13" w:rsidRDefault="00727189" w:rsidP="00727189">
            <w:pPr>
              <w:rPr>
                <w:sz w:val="18"/>
                <w:szCs w:val="18"/>
              </w:rPr>
            </w:pPr>
            <w:r w:rsidRPr="00001D13">
              <w:rPr>
                <w:sz w:val="18"/>
                <w:szCs w:val="18"/>
              </w:rPr>
              <w:t>[</w:t>
            </w:r>
            <w:r w:rsidR="00820ADA" w:rsidRPr="00001D13">
              <w:rPr>
                <w:sz w:val="18"/>
                <w:szCs w:val="18"/>
              </w:rPr>
              <w:t>Extrait de la lettre de l</w:t>
            </w:r>
            <w:r w:rsidR="00C4117D">
              <w:rPr>
                <w:sz w:val="18"/>
                <w:szCs w:val="18"/>
              </w:rPr>
              <w:t>’</w:t>
            </w:r>
            <w:r w:rsidR="00820ADA" w:rsidRPr="00001D13">
              <w:rPr>
                <w:sz w:val="18"/>
                <w:szCs w:val="18"/>
              </w:rPr>
              <w:t>ISF</w:t>
            </w:r>
            <w:r w:rsidRPr="00001D13">
              <w:rPr>
                <w:sz w:val="18"/>
                <w:szCs w:val="18"/>
              </w:rPr>
              <w:t>]</w:t>
            </w:r>
          </w:p>
          <w:p w:rsidR="00C84B56" w:rsidRPr="00001D13" w:rsidRDefault="00E2212C" w:rsidP="00727189">
            <w:pPr>
              <w:rPr>
                <w:sz w:val="18"/>
                <w:szCs w:val="18"/>
              </w:rPr>
            </w:pPr>
            <w:r>
              <w:rPr>
                <w:sz w:val="18"/>
                <w:szCs w:val="18"/>
              </w:rPr>
              <w:t>“</w:t>
            </w:r>
            <w:r w:rsidR="00C84B56" w:rsidRPr="00001D13">
              <w:rPr>
                <w:sz w:val="18"/>
                <w:szCs w:val="18"/>
                <w:u w:val="single"/>
              </w:rPr>
              <w:t>C</w:t>
            </w:r>
            <w:r w:rsidR="00A34B37" w:rsidRPr="00001D13">
              <w:rPr>
                <w:sz w:val="18"/>
                <w:szCs w:val="18"/>
                <w:u w:val="single"/>
              </w:rPr>
              <w:t>ollections</w:t>
            </w:r>
            <w:r w:rsidR="00C84B56" w:rsidRPr="00001D13">
              <w:rPr>
                <w:sz w:val="18"/>
                <w:szCs w:val="18"/>
                <w:u w:val="single"/>
              </w:rPr>
              <w:t xml:space="preserve"> de référence</w:t>
            </w:r>
            <w:r>
              <w:rPr>
                <w:sz w:val="18"/>
                <w:szCs w:val="18"/>
              </w:rPr>
              <w:t> </w:t>
            </w:r>
            <w:r w:rsidR="00D179CE" w:rsidRPr="00001D13">
              <w:rPr>
                <w:sz w:val="18"/>
                <w:szCs w:val="18"/>
              </w:rPr>
              <w:t xml:space="preserve">: </w:t>
            </w:r>
            <w:r w:rsidR="00C84B56" w:rsidRPr="00001D13">
              <w:rPr>
                <w:sz w:val="18"/>
                <w:szCs w:val="18"/>
              </w:rPr>
              <w:t>Dans</w:t>
            </w:r>
            <w:r w:rsidR="00A34B37" w:rsidRPr="00001D13">
              <w:rPr>
                <w:sz w:val="18"/>
                <w:szCs w:val="18"/>
              </w:rPr>
              <w:t xml:space="preserve"> certain</w:t>
            </w:r>
            <w:r w:rsidR="00C84B56" w:rsidRPr="00001D13">
              <w:rPr>
                <w:sz w:val="18"/>
                <w:szCs w:val="18"/>
              </w:rPr>
              <w:t>s pays, on sait que le service chargé de l</w:t>
            </w:r>
            <w:r w:rsidR="00C4117D">
              <w:rPr>
                <w:sz w:val="18"/>
                <w:szCs w:val="18"/>
              </w:rPr>
              <w:t>’</w:t>
            </w:r>
            <w:r w:rsidR="00C84B56" w:rsidRPr="00001D13">
              <w:rPr>
                <w:sz w:val="18"/>
                <w:szCs w:val="18"/>
              </w:rPr>
              <w:t>examen n</w:t>
            </w:r>
            <w:r w:rsidR="00C4117D">
              <w:rPr>
                <w:sz w:val="18"/>
                <w:szCs w:val="18"/>
              </w:rPr>
              <w:t>’</w:t>
            </w:r>
            <w:r w:rsidR="00C84B56" w:rsidRPr="00001D13">
              <w:rPr>
                <w:sz w:val="18"/>
                <w:szCs w:val="18"/>
              </w:rPr>
              <w:t>utilise pas les</w:t>
            </w:r>
            <w:r w:rsidR="0037215E">
              <w:rPr>
                <w:sz w:val="18"/>
                <w:szCs w:val="18"/>
              </w:rPr>
              <w:t> </w:t>
            </w:r>
            <w:r w:rsidR="00C84B56" w:rsidRPr="00001D13">
              <w:rPr>
                <w:sz w:val="18"/>
                <w:szCs w:val="18"/>
              </w:rPr>
              <w:t>variétés de comparaison adéquates, ce qui s</w:t>
            </w:r>
            <w:r w:rsidR="00C4117D">
              <w:rPr>
                <w:sz w:val="18"/>
                <w:szCs w:val="18"/>
              </w:rPr>
              <w:t>’</w:t>
            </w:r>
            <w:r w:rsidR="00C84B56" w:rsidRPr="00001D13">
              <w:rPr>
                <w:sz w:val="18"/>
                <w:szCs w:val="18"/>
              </w:rPr>
              <w:t>explique par le fait qu</w:t>
            </w:r>
            <w:r w:rsidR="00C4117D">
              <w:rPr>
                <w:sz w:val="18"/>
                <w:szCs w:val="18"/>
              </w:rPr>
              <w:t>’</w:t>
            </w:r>
            <w:r w:rsidR="00C84B56" w:rsidRPr="00001D13">
              <w:rPr>
                <w:sz w:val="18"/>
                <w:szCs w:val="18"/>
              </w:rPr>
              <w:t>une collection de référence est incomplète.</w:t>
            </w:r>
          </w:p>
          <w:p w:rsidR="00A34B37" w:rsidRPr="00001D13" w:rsidRDefault="00A34B37" w:rsidP="00A34B37">
            <w:pPr>
              <w:rPr>
                <w:sz w:val="18"/>
                <w:szCs w:val="18"/>
              </w:rPr>
            </w:pPr>
          </w:p>
          <w:p w:rsidR="00C84B56" w:rsidRPr="00001D13" w:rsidRDefault="00E2212C" w:rsidP="00A34B37">
            <w:pPr>
              <w:rPr>
                <w:sz w:val="18"/>
                <w:szCs w:val="18"/>
              </w:rPr>
            </w:pPr>
            <w:r>
              <w:rPr>
                <w:sz w:val="18"/>
                <w:szCs w:val="18"/>
              </w:rPr>
              <w:t>“</w:t>
            </w:r>
            <w:r w:rsidR="00C84B56" w:rsidRPr="00001D13">
              <w:rPr>
                <w:sz w:val="18"/>
                <w:szCs w:val="18"/>
              </w:rPr>
              <w:t>Les membres de l</w:t>
            </w:r>
            <w:r w:rsidR="00C4117D">
              <w:rPr>
                <w:sz w:val="18"/>
                <w:szCs w:val="18"/>
              </w:rPr>
              <w:t>’</w:t>
            </w:r>
            <w:r w:rsidR="00C84B56" w:rsidRPr="00001D13">
              <w:rPr>
                <w:sz w:val="18"/>
                <w:szCs w:val="18"/>
              </w:rPr>
              <w:t>ISF estiment qu</w:t>
            </w:r>
            <w:r w:rsidR="00C4117D">
              <w:rPr>
                <w:sz w:val="18"/>
                <w:szCs w:val="18"/>
              </w:rPr>
              <w:t>’</w:t>
            </w:r>
            <w:r w:rsidR="00C84B56" w:rsidRPr="00001D13">
              <w:rPr>
                <w:sz w:val="18"/>
                <w:szCs w:val="18"/>
              </w:rPr>
              <w:t>une collection de référence incomplète affaiblit la protection, des</w:t>
            </w:r>
            <w:r w:rsidR="0037215E">
              <w:rPr>
                <w:sz w:val="18"/>
                <w:szCs w:val="18"/>
              </w:rPr>
              <w:t> </w:t>
            </w:r>
            <w:r w:rsidR="00C84B56" w:rsidRPr="00001D13">
              <w:rPr>
                <w:sz w:val="18"/>
                <w:szCs w:val="18"/>
              </w:rPr>
              <w:t>variétés trop voisines bénéficiant de la protection.</w:t>
            </w:r>
            <w:r w:rsidR="00D179CE" w:rsidRPr="00001D13">
              <w:rPr>
                <w:sz w:val="18"/>
                <w:szCs w:val="18"/>
              </w:rPr>
              <w:t xml:space="preserve"> </w:t>
            </w:r>
            <w:r w:rsidR="00C84B56" w:rsidRPr="00001D13">
              <w:rPr>
                <w:sz w:val="18"/>
                <w:szCs w:val="18"/>
              </w:rPr>
              <w:t xml:space="preserve"> La collection de référence</w:t>
            </w:r>
            <w:r w:rsidR="00D179CE" w:rsidRPr="00001D13">
              <w:rPr>
                <w:sz w:val="18"/>
                <w:szCs w:val="18"/>
              </w:rPr>
              <w:t xml:space="preserve"> doit être la plus complète possible.</w:t>
            </w:r>
          </w:p>
          <w:p w:rsidR="00A34B37" w:rsidRPr="00001D13" w:rsidRDefault="00A34B37" w:rsidP="00A34B37">
            <w:pPr>
              <w:rPr>
                <w:sz w:val="18"/>
                <w:szCs w:val="18"/>
              </w:rPr>
            </w:pPr>
          </w:p>
          <w:p w:rsidR="00D179CE" w:rsidRPr="00001D13" w:rsidRDefault="00E2212C" w:rsidP="00A34B37">
            <w:pPr>
              <w:rPr>
                <w:sz w:val="18"/>
                <w:szCs w:val="18"/>
              </w:rPr>
            </w:pPr>
            <w:r>
              <w:rPr>
                <w:sz w:val="18"/>
                <w:szCs w:val="18"/>
              </w:rPr>
              <w:t>“</w:t>
            </w:r>
            <w:r w:rsidR="00D179CE" w:rsidRPr="00001D13">
              <w:rPr>
                <w:sz w:val="18"/>
                <w:szCs w:val="18"/>
              </w:rPr>
              <w:t>Un autre problème tient au fait que, dans plusieurs pays, le demandeur doit fournir des semences des</w:t>
            </w:r>
            <w:r w:rsidR="0037215E">
              <w:rPr>
                <w:sz w:val="18"/>
                <w:szCs w:val="18"/>
              </w:rPr>
              <w:t> </w:t>
            </w:r>
            <w:r w:rsidR="00D179CE" w:rsidRPr="00001D13">
              <w:rPr>
                <w:sz w:val="18"/>
                <w:szCs w:val="18"/>
              </w:rPr>
              <w:t>variétés de comparaison les plus voisines, même si elles sont d</w:t>
            </w:r>
            <w:r w:rsidR="00C4117D">
              <w:rPr>
                <w:sz w:val="18"/>
                <w:szCs w:val="18"/>
              </w:rPr>
              <w:t>’</w:t>
            </w:r>
            <w:r w:rsidR="00D179CE" w:rsidRPr="00001D13">
              <w:rPr>
                <w:sz w:val="18"/>
                <w:szCs w:val="18"/>
              </w:rPr>
              <w:t xml:space="preserve">une variété </w:t>
            </w:r>
            <w:r w:rsidR="00D179CE" w:rsidRPr="00001D13">
              <w:rPr>
                <w:sz w:val="18"/>
              </w:rPr>
              <w:t>concurrente.</w:t>
            </w:r>
          </w:p>
          <w:p w:rsidR="00A34B37" w:rsidRPr="00001D13" w:rsidRDefault="00A34B37" w:rsidP="00A34B37">
            <w:pPr>
              <w:rPr>
                <w:sz w:val="18"/>
                <w:szCs w:val="18"/>
              </w:rPr>
            </w:pPr>
          </w:p>
          <w:p w:rsidR="00D179CE" w:rsidRPr="00001D13" w:rsidRDefault="00E2212C" w:rsidP="00A34B37">
            <w:pPr>
              <w:rPr>
                <w:sz w:val="18"/>
                <w:szCs w:val="18"/>
              </w:rPr>
            </w:pPr>
            <w:r>
              <w:rPr>
                <w:sz w:val="18"/>
                <w:szCs w:val="18"/>
              </w:rPr>
              <w:t>“</w:t>
            </w:r>
            <w:r w:rsidR="00D179CE" w:rsidRPr="00001D13">
              <w:rPr>
                <w:sz w:val="18"/>
                <w:szCs w:val="18"/>
              </w:rPr>
              <w:t>Heureusement, les services chargés d</w:t>
            </w:r>
            <w:r w:rsidR="00C4117D">
              <w:rPr>
                <w:sz w:val="18"/>
                <w:szCs w:val="18"/>
              </w:rPr>
              <w:t>’</w:t>
            </w:r>
            <w:r w:rsidR="00D179CE" w:rsidRPr="00001D13">
              <w:rPr>
                <w:sz w:val="18"/>
                <w:szCs w:val="18"/>
              </w:rPr>
              <w:t>octroyer des droits d</w:t>
            </w:r>
            <w:r w:rsidR="00C4117D">
              <w:rPr>
                <w:sz w:val="18"/>
                <w:szCs w:val="18"/>
              </w:rPr>
              <w:t>’</w:t>
            </w:r>
            <w:r w:rsidR="00D179CE" w:rsidRPr="00001D13">
              <w:rPr>
                <w:sz w:val="18"/>
                <w:szCs w:val="18"/>
              </w:rPr>
              <w:t>obtenteur de plusieurs pays ont pris conscience des problèmes précités et s</w:t>
            </w:r>
            <w:r w:rsidR="00C4117D">
              <w:rPr>
                <w:sz w:val="18"/>
                <w:szCs w:val="18"/>
              </w:rPr>
              <w:t>’</w:t>
            </w:r>
            <w:r w:rsidR="00D179CE" w:rsidRPr="00001D13">
              <w:rPr>
                <w:sz w:val="18"/>
                <w:szCs w:val="18"/>
              </w:rPr>
              <w:t>emploient, en concertation avec l</w:t>
            </w:r>
            <w:r w:rsidR="00C4117D">
              <w:rPr>
                <w:sz w:val="18"/>
                <w:szCs w:val="18"/>
              </w:rPr>
              <w:t>’</w:t>
            </w:r>
            <w:r w:rsidR="00D179CE" w:rsidRPr="00001D13">
              <w:rPr>
                <w:sz w:val="18"/>
                <w:szCs w:val="18"/>
              </w:rPr>
              <w:t>industrie semencière, à</w:t>
            </w:r>
            <w:r w:rsidR="0037215E">
              <w:rPr>
                <w:sz w:val="18"/>
                <w:szCs w:val="18"/>
              </w:rPr>
              <w:t> </w:t>
            </w:r>
            <w:r w:rsidR="00D179CE" w:rsidRPr="00001D13">
              <w:rPr>
                <w:sz w:val="18"/>
                <w:szCs w:val="18"/>
              </w:rPr>
              <w:t>surmonter ces problèmes.</w:t>
            </w:r>
          </w:p>
          <w:p w:rsidR="00A34B37" w:rsidRPr="00001D13" w:rsidRDefault="00A34B37" w:rsidP="00A34B37">
            <w:pPr>
              <w:rPr>
                <w:sz w:val="18"/>
                <w:szCs w:val="18"/>
              </w:rPr>
            </w:pPr>
          </w:p>
          <w:p w:rsidR="005379E7" w:rsidRPr="00001D13" w:rsidRDefault="00E2212C" w:rsidP="0037215E">
            <w:pPr>
              <w:rPr>
                <w:sz w:val="18"/>
                <w:szCs w:val="18"/>
              </w:rPr>
            </w:pPr>
            <w:r>
              <w:rPr>
                <w:sz w:val="18"/>
                <w:szCs w:val="18"/>
              </w:rPr>
              <w:t>“</w:t>
            </w:r>
            <w:r w:rsidR="00D179CE" w:rsidRPr="00001D13">
              <w:rPr>
                <w:sz w:val="18"/>
                <w:szCs w:val="18"/>
              </w:rPr>
              <w:t>En règle générale, l</w:t>
            </w:r>
            <w:r w:rsidR="00C4117D">
              <w:rPr>
                <w:sz w:val="18"/>
                <w:szCs w:val="18"/>
              </w:rPr>
              <w:t>’</w:t>
            </w:r>
            <w:r w:rsidR="00D179CE" w:rsidRPr="00001D13">
              <w:rPr>
                <w:sz w:val="18"/>
                <w:szCs w:val="18"/>
              </w:rPr>
              <w:t>ISF souhaiterait que le niveau de qualité des examens soit relevé et, à cet égard, elle propose que l</w:t>
            </w:r>
            <w:r w:rsidR="00C4117D">
              <w:rPr>
                <w:sz w:val="18"/>
                <w:szCs w:val="18"/>
              </w:rPr>
              <w:t>’</w:t>
            </w:r>
            <w:r w:rsidR="00D179CE" w:rsidRPr="00001D13">
              <w:rPr>
                <w:sz w:val="18"/>
                <w:szCs w:val="18"/>
              </w:rPr>
              <w:t>UPOV étudie un programme d</w:t>
            </w:r>
            <w:r w:rsidR="00C4117D">
              <w:rPr>
                <w:sz w:val="18"/>
                <w:szCs w:val="18"/>
              </w:rPr>
              <w:t>’</w:t>
            </w:r>
            <w:r w:rsidR="00D179CE" w:rsidRPr="00001D13">
              <w:rPr>
                <w:sz w:val="18"/>
                <w:szCs w:val="18"/>
              </w:rPr>
              <w:t>assurance de la qualité pour les services chargés d</w:t>
            </w:r>
            <w:r w:rsidR="00C4117D">
              <w:rPr>
                <w:sz w:val="18"/>
                <w:szCs w:val="18"/>
              </w:rPr>
              <w:t>’</w:t>
            </w:r>
            <w:r w:rsidR="00D179CE" w:rsidRPr="00001D13">
              <w:rPr>
                <w:sz w:val="18"/>
                <w:szCs w:val="18"/>
              </w:rPr>
              <w:t>octroyer des droits d</w:t>
            </w:r>
            <w:r w:rsidR="00C4117D">
              <w:rPr>
                <w:sz w:val="18"/>
                <w:szCs w:val="18"/>
              </w:rPr>
              <w:t>’</w:t>
            </w:r>
            <w:r w:rsidR="00D179CE" w:rsidRPr="00001D13">
              <w:rPr>
                <w:sz w:val="18"/>
                <w:szCs w:val="18"/>
              </w:rPr>
              <w:t>obtenteur, assorti d</w:t>
            </w:r>
            <w:r w:rsidR="00C4117D">
              <w:rPr>
                <w:sz w:val="18"/>
                <w:szCs w:val="18"/>
              </w:rPr>
              <w:t>’</w:t>
            </w:r>
            <w:r w:rsidR="00D179CE" w:rsidRPr="00001D13">
              <w:rPr>
                <w:sz w:val="18"/>
                <w:szCs w:val="18"/>
              </w:rPr>
              <w:t>un système d</w:t>
            </w:r>
            <w:r w:rsidR="00C4117D">
              <w:rPr>
                <w:sz w:val="18"/>
                <w:szCs w:val="18"/>
              </w:rPr>
              <w:t>’</w:t>
            </w:r>
            <w:r w:rsidR="00D179CE" w:rsidRPr="00001D13">
              <w:rPr>
                <w:sz w:val="18"/>
                <w:szCs w:val="18"/>
              </w:rPr>
              <w:t>audit similaire à celui que l</w:t>
            </w:r>
            <w:r w:rsidR="00C4117D">
              <w:rPr>
                <w:sz w:val="18"/>
                <w:szCs w:val="18"/>
              </w:rPr>
              <w:t>’</w:t>
            </w:r>
            <w:r w:rsidR="00D179CE" w:rsidRPr="00001D13">
              <w:rPr>
                <w:sz w:val="18"/>
                <w:szCs w:val="18"/>
              </w:rPr>
              <w:t>ISTA a mis en place.  L</w:t>
            </w:r>
            <w:r w:rsidR="00C4117D">
              <w:rPr>
                <w:sz w:val="18"/>
                <w:szCs w:val="18"/>
              </w:rPr>
              <w:t>’</w:t>
            </w:r>
            <w:r w:rsidR="00D179CE" w:rsidRPr="00001D13">
              <w:rPr>
                <w:sz w:val="18"/>
                <w:szCs w:val="18"/>
              </w:rPr>
              <w:t xml:space="preserve">ISF débattrait volontiers des avantages éventuels de cette proposition.  </w:t>
            </w:r>
            <w:r w:rsidR="00663908" w:rsidRPr="00001D13">
              <w:rPr>
                <w:sz w:val="18"/>
                <w:szCs w:val="18"/>
              </w:rPr>
              <w:t>À défaut, l</w:t>
            </w:r>
            <w:r w:rsidR="00C4117D">
              <w:rPr>
                <w:sz w:val="18"/>
                <w:szCs w:val="18"/>
              </w:rPr>
              <w:t>’</w:t>
            </w:r>
            <w:r w:rsidR="00663908" w:rsidRPr="00001D13">
              <w:rPr>
                <w:sz w:val="18"/>
                <w:szCs w:val="18"/>
              </w:rPr>
              <w:t>UPOV pourrait envisager de fournir aux services chargés de l</w:t>
            </w:r>
            <w:r w:rsidR="00C4117D">
              <w:rPr>
                <w:sz w:val="18"/>
                <w:szCs w:val="18"/>
              </w:rPr>
              <w:t>’</w:t>
            </w:r>
            <w:r w:rsidR="00663908" w:rsidRPr="00001D13">
              <w:rPr>
                <w:sz w:val="18"/>
                <w:szCs w:val="18"/>
              </w:rPr>
              <w:t>examen en vue de l</w:t>
            </w:r>
            <w:r w:rsidR="00C4117D">
              <w:rPr>
                <w:sz w:val="18"/>
                <w:szCs w:val="18"/>
              </w:rPr>
              <w:t>’</w:t>
            </w:r>
            <w:r w:rsidR="00663908" w:rsidRPr="00001D13">
              <w:rPr>
                <w:sz w:val="18"/>
                <w:szCs w:val="18"/>
              </w:rPr>
              <w:t>octroi des droits d</w:t>
            </w:r>
            <w:r w:rsidR="00C4117D">
              <w:rPr>
                <w:sz w:val="18"/>
                <w:szCs w:val="18"/>
              </w:rPr>
              <w:t>’</w:t>
            </w:r>
            <w:r w:rsidR="00663908" w:rsidRPr="00001D13">
              <w:rPr>
                <w:sz w:val="18"/>
                <w:szCs w:val="18"/>
              </w:rPr>
              <w:t>obtenteur des</w:t>
            </w:r>
            <w:r w:rsidR="0037215E">
              <w:rPr>
                <w:sz w:val="18"/>
                <w:szCs w:val="18"/>
              </w:rPr>
              <w:t> </w:t>
            </w:r>
            <w:r w:rsidR="00663908" w:rsidRPr="00001D13">
              <w:rPr>
                <w:sz w:val="18"/>
                <w:szCs w:val="18"/>
              </w:rPr>
              <w:t>orientations sur les pratiques recommandées pour effectuer l</w:t>
            </w:r>
            <w:r w:rsidR="00C4117D">
              <w:rPr>
                <w:sz w:val="18"/>
                <w:szCs w:val="18"/>
              </w:rPr>
              <w:t>’</w:t>
            </w:r>
            <w:r w:rsidR="00663908" w:rsidRPr="00001D13">
              <w:rPr>
                <w:sz w:val="18"/>
                <w:szCs w:val="18"/>
              </w:rPr>
              <w:t>examen.  Le cours d</w:t>
            </w:r>
            <w:r w:rsidR="00C4117D">
              <w:rPr>
                <w:sz w:val="18"/>
                <w:szCs w:val="18"/>
              </w:rPr>
              <w:t>’</w:t>
            </w:r>
            <w:r w:rsidR="00663908" w:rsidRPr="00001D13">
              <w:rPr>
                <w:sz w:val="18"/>
                <w:szCs w:val="18"/>
              </w:rPr>
              <w:t>enseignement à</w:t>
            </w:r>
            <w:r w:rsidR="0037215E">
              <w:rPr>
                <w:sz w:val="18"/>
                <w:szCs w:val="18"/>
              </w:rPr>
              <w:t> </w:t>
            </w:r>
            <w:r w:rsidR="00663908" w:rsidRPr="00001D13">
              <w:rPr>
                <w:sz w:val="18"/>
                <w:szCs w:val="18"/>
              </w:rPr>
              <w:t>distance de l</w:t>
            </w:r>
            <w:r w:rsidR="00C4117D">
              <w:rPr>
                <w:sz w:val="18"/>
                <w:szCs w:val="18"/>
              </w:rPr>
              <w:t>’</w:t>
            </w:r>
            <w:r w:rsidR="00663908" w:rsidRPr="00001D13">
              <w:rPr>
                <w:sz w:val="18"/>
                <w:szCs w:val="18"/>
              </w:rPr>
              <w:t>UPOV sur l</w:t>
            </w:r>
            <w:r w:rsidR="00C4117D">
              <w:rPr>
                <w:sz w:val="18"/>
                <w:szCs w:val="18"/>
              </w:rPr>
              <w:t>’</w:t>
            </w:r>
            <w:r w:rsidR="00663908" w:rsidRPr="00001D13">
              <w:rPr>
                <w:sz w:val="18"/>
                <w:szCs w:val="18"/>
              </w:rPr>
              <w:t>examen</w:t>
            </w:r>
            <w:r>
              <w:rPr>
                <w:sz w:val="18"/>
                <w:szCs w:val="18"/>
              </w:rPr>
              <w:t> </w:t>
            </w:r>
            <w:r w:rsidR="00663908" w:rsidRPr="00001D13">
              <w:rPr>
                <w:sz w:val="18"/>
                <w:szCs w:val="18"/>
              </w:rPr>
              <w:t xml:space="preserve">DHS et les </w:t>
            </w:r>
            <w:r w:rsidR="00663908" w:rsidRPr="00001D13">
              <w:rPr>
                <w:sz w:val="18"/>
              </w:rPr>
              <w:t>livres d</w:t>
            </w:r>
            <w:r w:rsidR="00C4117D">
              <w:rPr>
                <w:sz w:val="18"/>
              </w:rPr>
              <w:t>’</w:t>
            </w:r>
            <w:r w:rsidR="00663908" w:rsidRPr="00001D13">
              <w:rPr>
                <w:sz w:val="18"/>
              </w:rPr>
              <w:t>étalonnage sont d</w:t>
            </w:r>
            <w:r w:rsidR="00C4117D">
              <w:rPr>
                <w:sz w:val="18"/>
              </w:rPr>
              <w:t>’</w:t>
            </w:r>
            <w:r w:rsidR="00663908" w:rsidRPr="00001D13">
              <w:rPr>
                <w:sz w:val="18"/>
              </w:rPr>
              <w:t>excellents exemples des progrès déjà accomplis dans ce domaine.  L</w:t>
            </w:r>
            <w:r w:rsidR="00C4117D">
              <w:rPr>
                <w:sz w:val="18"/>
              </w:rPr>
              <w:t>’</w:t>
            </w:r>
            <w:r w:rsidR="00663908" w:rsidRPr="00001D13">
              <w:rPr>
                <w:sz w:val="18"/>
              </w:rPr>
              <w:t>industrie des semences est vivement intéressée par la</w:t>
            </w:r>
            <w:r w:rsidR="0037215E">
              <w:rPr>
                <w:sz w:val="18"/>
              </w:rPr>
              <w:t> </w:t>
            </w:r>
            <w:r w:rsidR="00663908" w:rsidRPr="00001D13">
              <w:rPr>
                <w:sz w:val="18"/>
              </w:rPr>
              <w:t xml:space="preserve">qualité des </w:t>
            </w:r>
            <w:r w:rsidR="00BE1231" w:rsidRPr="00001D13">
              <w:rPr>
                <w:sz w:val="18"/>
              </w:rPr>
              <w:t>descriptions</w:t>
            </w:r>
            <w:r w:rsidR="00663908" w:rsidRPr="00001D13">
              <w:rPr>
                <w:sz w:val="18"/>
              </w:rPr>
              <w:t xml:space="preserve"> variétales et, par conséquent, celle du </w:t>
            </w:r>
            <w:r w:rsidR="00663908" w:rsidRPr="00001D13">
              <w:rPr>
                <w:sz w:val="18"/>
                <w:szCs w:val="18"/>
              </w:rPr>
              <w:t>certificat d</w:t>
            </w:r>
            <w:r w:rsidR="00C4117D">
              <w:rPr>
                <w:sz w:val="18"/>
                <w:szCs w:val="18"/>
              </w:rPr>
              <w:t>’</w:t>
            </w:r>
            <w:r w:rsidR="00663908" w:rsidRPr="00001D13">
              <w:rPr>
                <w:sz w:val="18"/>
                <w:szCs w:val="18"/>
              </w:rPr>
              <w:t>obtention végétale.</w:t>
            </w:r>
            <w:r w:rsidR="0037215E">
              <w:rPr>
                <w:sz w:val="18"/>
                <w:szCs w:val="18"/>
              </w:rPr>
              <w:t>”</w:t>
            </w:r>
          </w:p>
        </w:tc>
      </w:tr>
      <w:tr w:rsidR="005C3E02" w:rsidRPr="00BE1231" w:rsidTr="00001D13">
        <w:trPr>
          <w:cantSplit/>
        </w:trPr>
        <w:tc>
          <w:tcPr>
            <w:tcW w:w="8646" w:type="dxa"/>
            <w:shd w:val="clear" w:color="auto" w:fill="auto"/>
          </w:tcPr>
          <w:p w:rsidR="00820ADA" w:rsidRPr="00001D13" w:rsidRDefault="00820ADA" w:rsidP="00820ADA">
            <w:pPr>
              <w:rPr>
                <w:i/>
              </w:rPr>
            </w:pPr>
            <w:r w:rsidRPr="00001D13">
              <w:rPr>
                <w:i/>
              </w:rPr>
              <w:t>Documents UPOV pertinents</w:t>
            </w:r>
            <w:r w:rsidR="00E2212C">
              <w:rPr>
                <w:i/>
              </w:rPr>
              <w:t> </w:t>
            </w:r>
            <w:r w:rsidRPr="00001D13">
              <w:rPr>
                <w:i/>
              </w:rPr>
              <w:t>:</w:t>
            </w:r>
          </w:p>
          <w:p w:rsidR="0014089E" w:rsidRPr="00001D13" w:rsidRDefault="0014089E" w:rsidP="00001D13">
            <w:pPr>
              <w:autoSpaceDE w:val="0"/>
              <w:autoSpaceDN w:val="0"/>
              <w:adjustRightInd w:val="0"/>
              <w:jc w:val="left"/>
              <w:rPr>
                <w:i/>
                <w:snapToGrid w:val="0"/>
              </w:rPr>
            </w:pPr>
          </w:p>
          <w:p w:rsidR="005C3E02" w:rsidRPr="00001D13" w:rsidRDefault="0014089E" w:rsidP="00001D13">
            <w:pPr>
              <w:pStyle w:val="ListParagraph"/>
              <w:numPr>
                <w:ilvl w:val="0"/>
                <w:numId w:val="5"/>
              </w:numPr>
              <w:tabs>
                <w:tab w:val="left" w:pos="290"/>
                <w:tab w:val="left" w:pos="574"/>
              </w:tabs>
              <w:ind w:left="574" w:hanging="284"/>
              <w:rPr>
                <w:i/>
                <w:snapToGrid w:val="0"/>
              </w:rPr>
            </w:pPr>
            <w:r w:rsidRPr="00001D13">
              <w:rPr>
                <w:i/>
                <w:snapToGrid w:val="0"/>
              </w:rPr>
              <w:t xml:space="preserve">TG/1/3 </w:t>
            </w:r>
            <w:r w:rsidR="00E2212C">
              <w:rPr>
                <w:i/>
                <w:snapToGrid w:val="0"/>
              </w:rPr>
              <w:t>“</w:t>
            </w:r>
            <w:r w:rsidRPr="00001D13">
              <w:rPr>
                <w:i/>
                <w:snapToGrid w:val="0"/>
              </w:rPr>
              <w:t>Introduction générale à l</w:t>
            </w:r>
            <w:r w:rsidR="00C4117D">
              <w:rPr>
                <w:i/>
                <w:snapToGrid w:val="0"/>
              </w:rPr>
              <w:t>’</w:t>
            </w:r>
            <w:r w:rsidRPr="00001D13">
              <w:rPr>
                <w:i/>
                <w:snapToGrid w:val="0"/>
              </w:rPr>
              <w:t>examen de la distinction de l</w:t>
            </w:r>
            <w:r w:rsidR="00C4117D">
              <w:rPr>
                <w:i/>
                <w:snapToGrid w:val="0"/>
              </w:rPr>
              <w:t>’</w:t>
            </w:r>
            <w:r w:rsidRPr="00001D13">
              <w:rPr>
                <w:i/>
                <w:snapToGrid w:val="0"/>
              </w:rPr>
              <w:t>homogénéité et de la</w:t>
            </w:r>
            <w:r w:rsidR="0037215E">
              <w:rPr>
                <w:i/>
                <w:snapToGrid w:val="0"/>
              </w:rPr>
              <w:t> </w:t>
            </w:r>
            <w:r w:rsidRPr="00001D13">
              <w:rPr>
                <w:i/>
                <w:snapToGrid w:val="0"/>
              </w:rPr>
              <w:t>stabilité et à l</w:t>
            </w:r>
            <w:r w:rsidR="00C4117D">
              <w:rPr>
                <w:i/>
                <w:snapToGrid w:val="0"/>
              </w:rPr>
              <w:t>’</w:t>
            </w:r>
            <w:r w:rsidRPr="00001D13">
              <w:rPr>
                <w:i/>
                <w:snapToGrid w:val="0"/>
              </w:rPr>
              <w:t>harmonisation des descriptions des obtentions végétales</w:t>
            </w:r>
            <w:r w:rsidR="00E2212C">
              <w:rPr>
                <w:i/>
                <w:snapToGrid w:val="0"/>
              </w:rPr>
              <w:t>”</w:t>
            </w:r>
            <w:r w:rsidRPr="00001D13">
              <w:rPr>
                <w:i/>
                <w:snapToGrid w:val="0"/>
              </w:rPr>
              <w:t xml:space="preserve"> et documents</w:t>
            </w:r>
            <w:r w:rsidR="0037215E">
              <w:rPr>
                <w:i/>
                <w:snapToGrid w:val="0"/>
              </w:rPr>
              <w:t> </w:t>
            </w:r>
            <w:r w:rsidRPr="00001D13">
              <w:rPr>
                <w:i/>
                <w:snapToGrid w:val="0"/>
              </w:rPr>
              <w:t>TGP</w:t>
            </w:r>
          </w:p>
          <w:p w:rsidR="005C3E02" w:rsidRPr="00001D13" w:rsidRDefault="00663908" w:rsidP="00001D13">
            <w:pPr>
              <w:pStyle w:val="ListParagraph"/>
              <w:numPr>
                <w:ilvl w:val="0"/>
                <w:numId w:val="5"/>
              </w:numPr>
              <w:tabs>
                <w:tab w:val="left" w:pos="290"/>
                <w:tab w:val="left" w:pos="574"/>
              </w:tabs>
              <w:ind w:left="574" w:hanging="284"/>
              <w:rPr>
                <w:i/>
                <w:snapToGrid w:val="0"/>
              </w:rPr>
            </w:pPr>
            <w:r w:rsidRPr="00001D13">
              <w:rPr>
                <w:i/>
                <w:snapToGrid w:val="0"/>
              </w:rPr>
              <w:t>Document d</w:t>
            </w:r>
            <w:r w:rsidR="00C4117D">
              <w:rPr>
                <w:i/>
                <w:snapToGrid w:val="0"/>
              </w:rPr>
              <w:t>’</w:t>
            </w:r>
            <w:r w:rsidR="005C3E02" w:rsidRPr="00001D13">
              <w:rPr>
                <w:i/>
                <w:snapToGrid w:val="0"/>
              </w:rPr>
              <w:t xml:space="preserve">information </w:t>
            </w:r>
            <w:r w:rsidRPr="00001D13">
              <w:rPr>
                <w:i/>
                <w:snapToGrid w:val="0"/>
              </w:rPr>
              <w:t>futur</w:t>
            </w:r>
            <w:r w:rsidR="00E2212C">
              <w:rPr>
                <w:i/>
                <w:snapToGrid w:val="0"/>
              </w:rPr>
              <w:t> </w:t>
            </w:r>
            <w:r w:rsidRPr="00001D13">
              <w:rPr>
                <w:i/>
                <w:snapToGrid w:val="0"/>
              </w:rPr>
              <w:t>: Cours d</w:t>
            </w:r>
            <w:r w:rsidR="00C4117D">
              <w:rPr>
                <w:i/>
                <w:snapToGrid w:val="0"/>
              </w:rPr>
              <w:t>’</w:t>
            </w:r>
            <w:r w:rsidRPr="00001D13">
              <w:rPr>
                <w:i/>
                <w:snapToGrid w:val="0"/>
              </w:rPr>
              <w:t>enseignement à distance</w:t>
            </w:r>
            <w:r w:rsidR="005C3E02" w:rsidRPr="00001D13">
              <w:rPr>
                <w:i/>
                <w:snapToGrid w:val="0"/>
              </w:rPr>
              <w:t xml:space="preserve"> DL</w:t>
            </w:r>
            <w:r w:rsidR="00C4117D">
              <w:rPr>
                <w:i/>
                <w:snapToGrid w:val="0"/>
              </w:rPr>
              <w:t>-</w:t>
            </w:r>
            <w:r w:rsidR="005C3E02" w:rsidRPr="00001D13">
              <w:rPr>
                <w:i/>
                <w:snapToGrid w:val="0"/>
              </w:rPr>
              <w:t>305</w:t>
            </w:r>
          </w:p>
          <w:p w:rsidR="005379E7" w:rsidRPr="00BE1231" w:rsidRDefault="005379E7" w:rsidP="005379E7"/>
          <w:p w:rsidR="005379E7" w:rsidRPr="00BE1231" w:rsidRDefault="006956FC" w:rsidP="001F66A8">
            <w:r w:rsidRPr="00001D13">
              <w:rPr>
                <w:i/>
              </w:rPr>
              <w:t>Le Comité consultatif</w:t>
            </w:r>
            <w:r w:rsidRPr="00BE1231">
              <w:t xml:space="preserve"> </w:t>
            </w:r>
            <w:r w:rsidR="00F84F71" w:rsidRPr="00001D13">
              <w:rPr>
                <w:i/>
              </w:rPr>
              <w:t>examinera toute question concernant un</w:t>
            </w:r>
            <w:r w:rsidR="005379E7" w:rsidRPr="00001D13">
              <w:rPr>
                <w:i/>
              </w:rPr>
              <w:t xml:space="preserve"> </w:t>
            </w:r>
            <w:r w:rsidR="00D854B0" w:rsidRPr="00001D13">
              <w:rPr>
                <w:i/>
              </w:rPr>
              <w:t>programme d</w:t>
            </w:r>
            <w:r w:rsidR="00C4117D">
              <w:rPr>
                <w:i/>
              </w:rPr>
              <w:t>’</w:t>
            </w:r>
            <w:r w:rsidR="00D854B0" w:rsidRPr="00001D13">
              <w:rPr>
                <w:i/>
              </w:rPr>
              <w:t>assurance qualité de l</w:t>
            </w:r>
            <w:r w:rsidR="00C4117D">
              <w:rPr>
                <w:i/>
              </w:rPr>
              <w:t>’</w:t>
            </w:r>
            <w:r w:rsidR="00D854B0" w:rsidRPr="00001D13">
              <w:rPr>
                <w:i/>
              </w:rPr>
              <w:t xml:space="preserve">UPOV </w:t>
            </w:r>
            <w:r w:rsidR="005379E7" w:rsidRPr="00001D13">
              <w:rPr>
                <w:i/>
              </w:rPr>
              <w:t>(</w:t>
            </w:r>
            <w:r w:rsidR="00BE1231" w:rsidRPr="00001D13">
              <w:rPr>
                <w:i/>
              </w:rPr>
              <w:t xml:space="preserve">voir le </w:t>
            </w:r>
            <w:r w:rsidR="005379E7" w:rsidRPr="00001D13">
              <w:rPr>
                <w:i/>
              </w:rPr>
              <w:t>paragraph</w:t>
            </w:r>
            <w:r w:rsidR="00BE1231" w:rsidRPr="00001D13">
              <w:rPr>
                <w:i/>
              </w:rPr>
              <w:t>e</w:t>
            </w:r>
            <w:r w:rsidR="00E2212C">
              <w:rPr>
                <w:i/>
              </w:rPr>
              <w:t> </w:t>
            </w:r>
            <w:r w:rsidR="005379E7" w:rsidRPr="00001D13">
              <w:rPr>
                <w:i/>
              </w:rPr>
              <w:t>4</w:t>
            </w:r>
            <w:r w:rsidR="001F66A8">
              <w:rPr>
                <w:i/>
              </w:rPr>
              <w:t>6</w:t>
            </w:r>
            <w:r w:rsidR="005379E7" w:rsidRPr="00001D13">
              <w:rPr>
                <w:i/>
              </w:rPr>
              <w:t xml:space="preserve"> </w:t>
            </w:r>
            <w:r w:rsidR="00BE1231" w:rsidRPr="00001D13">
              <w:rPr>
                <w:i/>
              </w:rPr>
              <w:t>ci</w:t>
            </w:r>
            <w:r w:rsidR="00C4117D">
              <w:rPr>
                <w:i/>
              </w:rPr>
              <w:t>-</w:t>
            </w:r>
            <w:r w:rsidR="00BE1231" w:rsidRPr="00001D13">
              <w:rPr>
                <w:i/>
              </w:rPr>
              <w:t>après</w:t>
            </w:r>
            <w:r w:rsidR="005379E7" w:rsidRPr="00001D13">
              <w:rPr>
                <w:i/>
              </w:rPr>
              <w:t>).</w:t>
            </w:r>
          </w:p>
        </w:tc>
      </w:tr>
    </w:tbl>
    <w:p w:rsidR="005379E7" w:rsidRPr="00BE1231" w:rsidRDefault="005379E7"/>
    <w:p w:rsidR="005379E7" w:rsidRPr="00BE1231" w:rsidRDefault="005379E7" w:rsidP="00727189">
      <w:pPr>
        <w:pStyle w:val="Heading3"/>
      </w:pPr>
      <w:bookmarkStart w:id="46" w:name="_Toc381170157"/>
      <w:r w:rsidRPr="00BE1231">
        <w:t>d)</w:t>
      </w:r>
      <w:r w:rsidRPr="00BE1231">
        <w:tab/>
      </w:r>
      <w:r w:rsidR="00663908" w:rsidRPr="00BE1231">
        <w:t>Durée de l</w:t>
      </w:r>
      <w:r w:rsidR="00C4117D">
        <w:t>’</w:t>
      </w:r>
      <w:r w:rsidR="00663908" w:rsidRPr="00BE1231">
        <w:t>examen</w:t>
      </w:r>
      <w:bookmarkEnd w:id="46"/>
    </w:p>
    <w:p w:rsidR="005379E7" w:rsidRPr="00BE1231" w:rsidRDefault="005379E7" w:rsidP="00727189">
      <w:pPr>
        <w:keepNext/>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BE1231" w:rsidTr="00001D13">
        <w:trPr>
          <w:cantSplit/>
        </w:trPr>
        <w:tc>
          <w:tcPr>
            <w:tcW w:w="8646" w:type="dxa"/>
            <w:shd w:val="clear" w:color="auto" w:fill="auto"/>
          </w:tcPr>
          <w:p w:rsidR="00727189" w:rsidRPr="00001D13" w:rsidRDefault="00727189" w:rsidP="00727189">
            <w:pPr>
              <w:rPr>
                <w:sz w:val="18"/>
                <w:szCs w:val="18"/>
              </w:rPr>
            </w:pPr>
            <w:r w:rsidRPr="00001D13">
              <w:rPr>
                <w:sz w:val="18"/>
                <w:szCs w:val="18"/>
              </w:rPr>
              <w:t>[</w:t>
            </w:r>
            <w:r w:rsidR="00820ADA" w:rsidRPr="00001D13">
              <w:rPr>
                <w:sz w:val="18"/>
                <w:szCs w:val="18"/>
              </w:rPr>
              <w:t>Extrait de la lettre de l</w:t>
            </w:r>
            <w:r w:rsidR="00C4117D">
              <w:rPr>
                <w:sz w:val="18"/>
                <w:szCs w:val="18"/>
              </w:rPr>
              <w:t>’</w:t>
            </w:r>
            <w:r w:rsidR="00820ADA" w:rsidRPr="00001D13">
              <w:rPr>
                <w:sz w:val="18"/>
                <w:szCs w:val="18"/>
              </w:rPr>
              <w:t>ISF</w:t>
            </w:r>
            <w:r w:rsidRPr="00001D13">
              <w:rPr>
                <w:sz w:val="18"/>
                <w:szCs w:val="18"/>
              </w:rPr>
              <w:t>]</w:t>
            </w:r>
          </w:p>
          <w:p w:rsidR="00663908" w:rsidRPr="00001D13" w:rsidRDefault="00E2212C" w:rsidP="00727189">
            <w:pPr>
              <w:rPr>
                <w:sz w:val="18"/>
                <w:szCs w:val="18"/>
              </w:rPr>
            </w:pPr>
            <w:r>
              <w:rPr>
                <w:sz w:val="18"/>
                <w:szCs w:val="18"/>
              </w:rPr>
              <w:t>“</w:t>
            </w:r>
            <w:r w:rsidR="00663908" w:rsidRPr="00001D13">
              <w:rPr>
                <w:sz w:val="18"/>
                <w:szCs w:val="18"/>
                <w:u w:val="single"/>
              </w:rPr>
              <w:t>Durée de l</w:t>
            </w:r>
            <w:r w:rsidR="00C4117D">
              <w:rPr>
                <w:sz w:val="18"/>
                <w:szCs w:val="18"/>
                <w:u w:val="single"/>
              </w:rPr>
              <w:t>’</w:t>
            </w:r>
            <w:r w:rsidR="00663908" w:rsidRPr="00001D13">
              <w:rPr>
                <w:sz w:val="18"/>
                <w:szCs w:val="18"/>
                <w:u w:val="single"/>
              </w:rPr>
              <w:t>examen</w:t>
            </w:r>
            <w:r>
              <w:rPr>
                <w:sz w:val="18"/>
                <w:szCs w:val="18"/>
              </w:rPr>
              <w:t> </w:t>
            </w:r>
            <w:r w:rsidR="00663908" w:rsidRPr="00001D13">
              <w:rPr>
                <w:sz w:val="18"/>
                <w:szCs w:val="18"/>
              </w:rPr>
              <w:t xml:space="preserve">: </w:t>
            </w:r>
            <w:r w:rsidR="001658C2" w:rsidRPr="00001D13">
              <w:rPr>
                <w:sz w:val="18"/>
                <w:szCs w:val="18"/>
              </w:rPr>
              <w:t>Le degré d</w:t>
            </w:r>
            <w:r w:rsidR="00C4117D">
              <w:rPr>
                <w:sz w:val="18"/>
                <w:szCs w:val="18"/>
              </w:rPr>
              <w:t>’</w:t>
            </w:r>
            <w:r w:rsidR="001658C2" w:rsidRPr="00001D13">
              <w:rPr>
                <w:sz w:val="18"/>
                <w:szCs w:val="18"/>
              </w:rPr>
              <w:t>efficacité varie grandement entre services chargés de l</w:t>
            </w:r>
            <w:r w:rsidR="00C4117D">
              <w:rPr>
                <w:sz w:val="18"/>
                <w:szCs w:val="18"/>
              </w:rPr>
              <w:t>’</w:t>
            </w:r>
            <w:r w:rsidR="001658C2" w:rsidRPr="00001D13">
              <w:rPr>
                <w:sz w:val="18"/>
                <w:szCs w:val="18"/>
              </w:rPr>
              <w:t>examen.  Ainsi, dans un pays, un droit d</w:t>
            </w:r>
            <w:r w:rsidR="00C4117D">
              <w:rPr>
                <w:sz w:val="18"/>
                <w:szCs w:val="18"/>
              </w:rPr>
              <w:t>’</w:t>
            </w:r>
            <w:r w:rsidR="001658C2" w:rsidRPr="00001D13">
              <w:rPr>
                <w:sz w:val="18"/>
                <w:szCs w:val="18"/>
              </w:rPr>
              <w:t>obtenteur peut être accordé à l</w:t>
            </w:r>
            <w:r w:rsidR="00C4117D">
              <w:rPr>
                <w:sz w:val="18"/>
                <w:szCs w:val="18"/>
              </w:rPr>
              <w:t>’</w:t>
            </w:r>
            <w:r w:rsidR="001658C2" w:rsidRPr="00001D13">
              <w:rPr>
                <w:sz w:val="18"/>
                <w:szCs w:val="18"/>
              </w:rPr>
              <w:t>issue de deux</w:t>
            </w:r>
            <w:r>
              <w:rPr>
                <w:sz w:val="18"/>
                <w:szCs w:val="18"/>
              </w:rPr>
              <w:t> </w:t>
            </w:r>
            <w:r w:rsidR="001658C2" w:rsidRPr="00001D13">
              <w:rPr>
                <w:sz w:val="18"/>
                <w:szCs w:val="18"/>
              </w:rPr>
              <w:t>saisons de végétation, tandis que dans un autre, la procédure d</w:t>
            </w:r>
            <w:r w:rsidR="00C4117D">
              <w:rPr>
                <w:sz w:val="18"/>
                <w:szCs w:val="18"/>
              </w:rPr>
              <w:t>’</w:t>
            </w:r>
            <w:r w:rsidR="001658C2" w:rsidRPr="00001D13">
              <w:rPr>
                <w:sz w:val="18"/>
                <w:szCs w:val="18"/>
              </w:rPr>
              <w:t>octroi peut facilement prendre quatre</w:t>
            </w:r>
            <w:r>
              <w:rPr>
                <w:sz w:val="18"/>
                <w:szCs w:val="18"/>
              </w:rPr>
              <w:t> </w:t>
            </w:r>
            <w:r w:rsidR="001658C2" w:rsidRPr="00001D13">
              <w:rPr>
                <w:sz w:val="18"/>
                <w:szCs w:val="18"/>
              </w:rPr>
              <w:t>ans, et l</w:t>
            </w:r>
            <w:r w:rsidR="00C4117D">
              <w:rPr>
                <w:sz w:val="18"/>
                <w:szCs w:val="18"/>
              </w:rPr>
              <w:t>’</w:t>
            </w:r>
            <w:r w:rsidR="001658C2" w:rsidRPr="00001D13">
              <w:rPr>
                <w:sz w:val="18"/>
                <w:szCs w:val="18"/>
              </w:rPr>
              <w:t>on observe des exemples extrêmes de pays où l</w:t>
            </w:r>
            <w:r w:rsidR="00C4117D">
              <w:rPr>
                <w:sz w:val="18"/>
                <w:szCs w:val="18"/>
              </w:rPr>
              <w:t>’</w:t>
            </w:r>
            <w:r w:rsidR="001658C2" w:rsidRPr="00001D13">
              <w:rPr>
                <w:sz w:val="18"/>
                <w:szCs w:val="18"/>
              </w:rPr>
              <w:t>examen a pris de 10 à 12 ans.  L</w:t>
            </w:r>
            <w:r w:rsidR="00C4117D">
              <w:rPr>
                <w:sz w:val="18"/>
                <w:szCs w:val="18"/>
              </w:rPr>
              <w:t>’</w:t>
            </w:r>
            <w:r w:rsidR="001658C2" w:rsidRPr="00001D13">
              <w:rPr>
                <w:sz w:val="18"/>
                <w:szCs w:val="18"/>
              </w:rPr>
              <w:t xml:space="preserve">ISF voudrait suggérer que, </w:t>
            </w:r>
            <w:r w:rsidR="00A9119E" w:rsidRPr="00001D13">
              <w:rPr>
                <w:sz w:val="18"/>
                <w:szCs w:val="18"/>
              </w:rPr>
              <w:t>l</w:t>
            </w:r>
            <w:r w:rsidR="00C4117D">
              <w:rPr>
                <w:sz w:val="18"/>
                <w:szCs w:val="18"/>
              </w:rPr>
              <w:t>’</w:t>
            </w:r>
            <w:r w:rsidR="00A9119E" w:rsidRPr="00001D13">
              <w:rPr>
                <w:sz w:val="18"/>
                <w:szCs w:val="18"/>
              </w:rPr>
              <w:t xml:space="preserve">application des droits </w:t>
            </w:r>
            <w:r w:rsidR="0015626A" w:rsidRPr="00001D13">
              <w:rPr>
                <w:sz w:val="18"/>
                <w:szCs w:val="18"/>
              </w:rPr>
              <w:t xml:space="preserve">étant plus difficile </w:t>
            </w:r>
            <w:r w:rsidR="00A9119E" w:rsidRPr="00001D13">
              <w:rPr>
                <w:sz w:val="18"/>
                <w:szCs w:val="18"/>
              </w:rPr>
              <w:t>pour l</w:t>
            </w:r>
            <w:r w:rsidR="001658C2" w:rsidRPr="00001D13">
              <w:rPr>
                <w:sz w:val="18"/>
                <w:szCs w:val="18"/>
              </w:rPr>
              <w:t>es demandes en instance et parfois uniquement possible après l</w:t>
            </w:r>
            <w:r w:rsidR="00C4117D">
              <w:rPr>
                <w:sz w:val="18"/>
                <w:szCs w:val="18"/>
              </w:rPr>
              <w:t>’</w:t>
            </w:r>
            <w:r w:rsidR="001658C2" w:rsidRPr="00001D13">
              <w:rPr>
                <w:sz w:val="18"/>
                <w:szCs w:val="18"/>
              </w:rPr>
              <w:t>octroi, la</w:t>
            </w:r>
            <w:r w:rsidR="0037215E">
              <w:rPr>
                <w:sz w:val="18"/>
                <w:szCs w:val="18"/>
              </w:rPr>
              <w:t> </w:t>
            </w:r>
            <w:r w:rsidR="001658C2" w:rsidRPr="00001D13">
              <w:rPr>
                <w:sz w:val="18"/>
                <w:szCs w:val="18"/>
              </w:rPr>
              <w:t>procédure d</w:t>
            </w:r>
            <w:r w:rsidR="00C4117D">
              <w:rPr>
                <w:sz w:val="18"/>
                <w:szCs w:val="18"/>
              </w:rPr>
              <w:t>’</w:t>
            </w:r>
            <w:r w:rsidR="001658C2" w:rsidRPr="00001D13">
              <w:rPr>
                <w:sz w:val="18"/>
                <w:szCs w:val="18"/>
              </w:rPr>
              <w:t xml:space="preserve">examen des demandes </w:t>
            </w:r>
            <w:r w:rsidR="00A9119E" w:rsidRPr="00001D13">
              <w:rPr>
                <w:sz w:val="18"/>
                <w:szCs w:val="18"/>
              </w:rPr>
              <w:t>régulières soit accélérée au maximum et harmonisée;  une</w:t>
            </w:r>
            <w:r w:rsidR="0037215E">
              <w:rPr>
                <w:sz w:val="18"/>
                <w:szCs w:val="18"/>
              </w:rPr>
              <w:t> </w:t>
            </w:r>
            <w:r w:rsidR="00A9119E" w:rsidRPr="00001D13">
              <w:rPr>
                <w:sz w:val="18"/>
                <w:szCs w:val="18"/>
              </w:rPr>
              <w:t>période maximale de deux</w:t>
            </w:r>
            <w:r>
              <w:rPr>
                <w:sz w:val="18"/>
                <w:szCs w:val="18"/>
              </w:rPr>
              <w:t> </w:t>
            </w:r>
            <w:r w:rsidR="00A9119E" w:rsidRPr="00001D13">
              <w:rPr>
                <w:sz w:val="18"/>
                <w:szCs w:val="18"/>
              </w:rPr>
              <w:t>ans devrait être prescrite.  Dans certains pays, la procédure d</w:t>
            </w:r>
            <w:r w:rsidR="00C4117D">
              <w:rPr>
                <w:sz w:val="18"/>
                <w:szCs w:val="18"/>
              </w:rPr>
              <w:t>’</w:t>
            </w:r>
            <w:r w:rsidR="00A9119E" w:rsidRPr="00001D13">
              <w:rPr>
                <w:sz w:val="18"/>
                <w:szCs w:val="18"/>
              </w:rPr>
              <w:t>examen est réalisée en un an, à raison de deux</w:t>
            </w:r>
            <w:r>
              <w:rPr>
                <w:sz w:val="18"/>
                <w:szCs w:val="18"/>
              </w:rPr>
              <w:t> </w:t>
            </w:r>
            <w:r w:rsidR="00A9119E" w:rsidRPr="00001D13">
              <w:rPr>
                <w:sz w:val="18"/>
                <w:szCs w:val="18"/>
              </w:rPr>
              <w:t>cycles par an, ce qui est très efficace.</w:t>
            </w:r>
          </w:p>
          <w:p w:rsidR="00D51088" w:rsidRPr="00001D13" w:rsidRDefault="00D51088" w:rsidP="00D51088">
            <w:pPr>
              <w:rPr>
                <w:sz w:val="18"/>
                <w:szCs w:val="18"/>
              </w:rPr>
            </w:pPr>
          </w:p>
          <w:p w:rsidR="00A9119E" w:rsidRPr="00001D13" w:rsidRDefault="00E2212C" w:rsidP="00D51088">
            <w:pPr>
              <w:rPr>
                <w:sz w:val="18"/>
                <w:szCs w:val="18"/>
              </w:rPr>
            </w:pPr>
            <w:r>
              <w:rPr>
                <w:sz w:val="18"/>
                <w:szCs w:val="18"/>
              </w:rPr>
              <w:t>“</w:t>
            </w:r>
            <w:r w:rsidR="00A9119E" w:rsidRPr="00001D13">
              <w:rPr>
                <w:sz w:val="18"/>
                <w:szCs w:val="18"/>
              </w:rPr>
              <w:t>Dans le cas de caractères difficiles à noter (par exemple la résistance aux maladies ou aux insectes), des accords de coopération multilatérale pourraient être envisagés, certains pays effectuant les essais pour le compte d</w:t>
            </w:r>
            <w:r w:rsidR="00C4117D">
              <w:rPr>
                <w:sz w:val="18"/>
                <w:szCs w:val="18"/>
              </w:rPr>
              <w:t>’</w:t>
            </w:r>
            <w:r w:rsidR="00A9119E" w:rsidRPr="00001D13">
              <w:rPr>
                <w:sz w:val="18"/>
                <w:szCs w:val="18"/>
              </w:rPr>
              <w:t>autres pays.</w:t>
            </w:r>
          </w:p>
          <w:p w:rsidR="00D51088" w:rsidRPr="00001D13" w:rsidRDefault="00D51088" w:rsidP="00D51088">
            <w:pPr>
              <w:rPr>
                <w:sz w:val="18"/>
                <w:szCs w:val="18"/>
              </w:rPr>
            </w:pPr>
          </w:p>
          <w:p w:rsidR="00A9119E" w:rsidRPr="00001D13" w:rsidRDefault="00E2212C" w:rsidP="00D51088">
            <w:pPr>
              <w:rPr>
                <w:sz w:val="18"/>
                <w:szCs w:val="18"/>
              </w:rPr>
            </w:pPr>
            <w:r>
              <w:rPr>
                <w:sz w:val="18"/>
                <w:szCs w:val="18"/>
              </w:rPr>
              <w:t>“</w:t>
            </w:r>
            <w:r w:rsidR="00A9119E" w:rsidRPr="00001D13">
              <w:rPr>
                <w:sz w:val="18"/>
                <w:szCs w:val="18"/>
              </w:rPr>
              <w:t>Il conviendrait également d</w:t>
            </w:r>
            <w:r w:rsidR="00C4117D">
              <w:rPr>
                <w:sz w:val="18"/>
                <w:szCs w:val="18"/>
              </w:rPr>
              <w:t>’</w:t>
            </w:r>
            <w:r w:rsidR="00A9119E" w:rsidRPr="00001D13">
              <w:rPr>
                <w:sz w:val="18"/>
                <w:szCs w:val="18"/>
              </w:rPr>
              <w:t>encourager la communication de rapports DHS d</w:t>
            </w:r>
            <w:r w:rsidR="00C4117D">
              <w:rPr>
                <w:sz w:val="18"/>
                <w:szCs w:val="18"/>
              </w:rPr>
              <w:t>’</w:t>
            </w:r>
            <w:r w:rsidR="00A9119E" w:rsidRPr="00001D13">
              <w:rPr>
                <w:sz w:val="18"/>
                <w:szCs w:val="18"/>
              </w:rPr>
              <w:t>autres pays, dans la</w:t>
            </w:r>
            <w:r w:rsidR="0037215E">
              <w:rPr>
                <w:sz w:val="18"/>
                <w:szCs w:val="18"/>
              </w:rPr>
              <w:t> </w:t>
            </w:r>
            <w:r w:rsidR="00A9119E" w:rsidRPr="00001D13">
              <w:rPr>
                <w:sz w:val="18"/>
                <w:szCs w:val="18"/>
              </w:rPr>
              <w:t>mesure du possible, à condition toutefois que les examens reposent sur le critère de la qualité et qu</w:t>
            </w:r>
            <w:r w:rsidR="00C4117D">
              <w:rPr>
                <w:sz w:val="18"/>
                <w:szCs w:val="18"/>
              </w:rPr>
              <w:t>’</w:t>
            </w:r>
            <w:r w:rsidR="00A9119E" w:rsidRPr="00001D13">
              <w:rPr>
                <w:sz w:val="18"/>
                <w:szCs w:val="18"/>
              </w:rPr>
              <w:t>un</w:t>
            </w:r>
            <w:r w:rsidR="0037215E">
              <w:rPr>
                <w:sz w:val="18"/>
                <w:szCs w:val="18"/>
              </w:rPr>
              <w:t> </w:t>
            </w:r>
            <w:r w:rsidR="00A9119E" w:rsidRPr="00001D13">
              <w:rPr>
                <w:sz w:val="18"/>
                <w:szCs w:val="18"/>
              </w:rPr>
              <w:t>système d</w:t>
            </w:r>
            <w:r w:rsidR="00C4117D">
              <w:rPr>
                <w:sz w:val="18"/>
                <w:szCs w:val="18"/>
              </w:rPr>
              <w:t>’</w:t>
            </w:r>
            <w:r w:rsidR="00A9119E" w:rsidRPr="00001D13">
              <w:rPr>
                <w:sz w:val="18"/>
                <w:szCs w:val="18"/>
              </w:rPr>
              <w:t>assurance de la qualité soit mis en place.</w:t>
            </w:r>
          </w:p>
          <w:p w:rsidR="00D51088" w:rsidRPr="00001D13" w:rsidRDefault="00D51088" w:rsidP="00D51088">
            <w:pPr>
              <w:rPr>
                <w:sz w:val="18"/>
                <w:szCs w:val="18"/>
              </w:rPr>
            </w:pPr>
          </w:p>
          <w:p w:rsidR="00D51088" w:rsidRPr="00001D13" w:rsidRDefault="00E2212C" w:rsidP="0037215E">
            <w:pPr>
              <w:rPr>
                <w:sz w:val="18"/>
                <w:szCs w:val="18"/>
              </w:rPr>
            </w:pPr>
            <w:r>
              <w:rPr>
                <w:sz w:val="18"/>
                <w:szCs w:val="18"/>
              </w:rPr>
              <w:t>“</w:t>
            </w:r>
            <w:r w:rsidR="00A9119E" w:rsidRPr="00001D13">
              <w:rPr>
                <w:sz w:val="18"/>
                <w:szCs w:val="18"/>
              </w:rPr>
              <w:t>Dans les cas où l</w:t>
            </w:r>
            <w:r w:rsidR="00C4117D">
              <w:rPr>
                <w:sz w:val="18"/>
                <w:szCs w:val="18"/>
              </w:rPr>
              <w:t>’</w:t>
            </w:r>
            <w:r w:rsidR="00A9119E" w:rsidRPr="00001D13">
              <w:rPr>
                <w:sz w:val="18"/>
                <w:szCs w:val="18"/>
              </w:rPr>
              <w:t>examen</w:t>
            </w:r>
            <w:r>
              <w:rPr>
                <w:sz w:val="18"/>
                <w:szCs w:val="18"/>
              </w:rPr>
              <w:t> </w:t>
            </w:r>
            <w:r w:rsidR="00A9119E" w:rsidRPr="00001D13">
              <w:rPr>
                <w:sz w:val="18"/>
                <w:szCs w:val="18"/>
              </w:rPr>
              <w:t>DHS a été financé en vue de l</w:t>
            </w:r>
            <w:r w:rsidR="00C4117D">
              <w:rPr>
                <w:sz w:val="18"/>
                <w:szCs w:val="18"/>
              </w:rPr>
              <w:t>’</w:t>
            </w:r>
            <w:r w:rsidR="00A9119E" w:rsidRPr="00001D13">
              <w:rPr>
                <w:sz w:val="18"/>
                <w:szCs w:val="18"/>
              </w:rPr>
              <w:t>établissement de listes nationales, il ne devrait pas être demandé d</w:t>
            </w:r>
            <w:r w:rsidR="00C4117D">
              <w:rPr>
                <w:sz w:val="18"/>
                <w:szCs w:val="18"/>
              </w:rPr>
              <w:t>’</w:t>
            </w:r>
            <w:r w:rsidR="00A9119E" w:rsidRPr="00001D13">
              <w:rPr>
                <w:sz w:val="18"/>
                <w:szCs w:val="18"/>
              </w:rPr>
              <w:t>autres frais d</w:t>
            </w:r>
            <w:r w:rsidR="00C4117D">
              <w:rPr>
                <w:sz w:val="18"/>
                <w:szCs w:val="18"/>
              </w:rPr>
              <w:t>’</w:t>
            </w:r>
            <w:r w:rsidR="00A9119E" w:rsidRPr="00001D13">
              <w:rPr>
                <w:sz w:val="18"/>
                <w:szCs w:val="18"/>
              </w:rPr>
              <w:t>examen pour une demande d</w:t>
            </w:r>
            <w:r w:rsidR="00C4117D">
              <w:rPr>
                <w:sz w:val="18"/>
                <w:szCs w:val="18"/>
              </w:rPr>
              <w:t>’</w:t>
            </w:r>
            <w:r w:rsidR="00A9119E" w:rsidRPr="00001D13">
              <w:rPr>
                <w:sz w:val="18"/>
                <w:szCs w:val="18"/>
              </w:rPr>
              <w:t>octroi de droit d</w:t>
            </w:r>
            <w:r w:rsidR="00C4117D">
              <w:rPr>
                <w:sz w:val="18"/>
                <w:szCs w:val="18"/>
              </w:rPr>
              <w:t>’</w:t>
            </w:r>
            <w:r w:rsidR="00A9119E" w:rsidRPr="00001D13">
              <w:rPr>
                <w:sz w:val="18"/>
                <w:szCs w:val="18"/>
              </w:rPr>
              <w:t>obtenteur concernant la</w:t>
            </w:r>
            <w:r w:rsidR="0037215E">
              <w:rPr>
                <w:sz w:val="18"/>
                <w:szCs w:val="18"/>
              </w:rPr>
              <w:t> </w:t>
            </w:r>
            <w:r w:rsidR="00A9119E" w:rsidRPr="00001D13">
              <w:rPr>
                <w:sz w:val="18"/>
                <w:szCs w:val="18"/>
              </w:rPr>
              <w:t>même variété.</w:t>
            </w:r>
            <w:r w:rsidR="0037215E">
              <w:rPr>
                <w:sz w:val="18"/>
                <w:szCs w:val="18"/>
              </w:rPr>
              <w:t>”</w:t>
            </w:r>
          </w:p>
        </w:tc>
      </w:tr>
      <w:tr w:rsidR="005C3E02" w:rsidRPr="00BE1231" w:rsidTr="00001D13">
        <w:tc>
          <w:tcPr>
            <w:tcW w:w="8646" w:type="dxa"/>
            <w:shd w:val="clear" w:color="auto" w:fill="auto"/>
          </w:tcPr>
          <w:p w:rsidR="00820ADA" w:rsidRPr="00001D13" w:rsidRDefault="00820ADA" w:rsidP="00820ADA">
            <w:pPr>
              <w:rPr>
                <w:i/>
              </w:rPr>
            </w:pPr>
            <w:r w:rsidRPr="00001D13">
              <w:rPr>
                <w:i/>
              </w:rPr>
              <w:t>Documents UPOV pertinents</w:t>
            </w:r>
            <w:r w:rsidR="00E2212C">
              <w:rPr>
                <w:i/>
              </w:rPr>
              <w:t> </w:t>
            </w:r>
            <w:r w:rsidRPr="00001D13">
              <w:rPr>
                <w:i/>
              </w:rPr>
              <w:t>:</w:t>
            </w:r>
          </w:p>
          <w:p w:rsidR="00D51088" w:rsidRPr="00450605" w:rsidRDefault="00D51088" w:rsidP="001000A7">
            <w:pPr>
              <w:rPr>
                <w:i/>
                <w:sz w:val="16"/>
                <w:szCs w:val="16"/>
              </w:rPr>
            </w:pPr>
          </w:p>
          <w:p w:rsidR="005C3E02" w:rsidRPr="00001D13" w:rsidRDefault="0014089E" w:rsidP="00001D13">
            <w:pPr>
              <w:pStyle w:val="ListParagraph"/>
              <w:numPr>
                <w:ilvl w:val="0"/>
                <w:numId w:val="5"/>
              </w:numPr>
              <w:tabs>
                <w:tab w:val="left" w:pos="290"/>
                <w:tab w:val="left" w:pos="574"/>
              </w:tabs>
              <w:ind w:left="574" w:hanging="284"/>
              <w:rPr>
                <w:i/>
                <w:snapToGrid w:val="0"/>
              </w:rPr>
            </w:pPr>
            <w:r w:rsidRPr="00001D13">
              <w:rPr>
                <w:i/>
                <w:snapToGrid w:val="0"/>
              </w:rPr>
              <w:t xml:space="preserve">TGP/5 </w:t>
            </w:r>
            <w:r w:rsidR="00E2212C">
              <w:rPr>
                <w:i/>
                <w:snapToGrid w:val="0"/>
              </w:rPr>
              <w:t>“</w:t>
            </w:r>
            <w:r w:rsidR="005C3E02" w:rsidRPr="00001D13">
              <w:rPr>
                <w:i/>
                <w:snapToGrid w:val="0"/>
              </w:rPr>
              <w:t>Exp</w:t>
            </w:r>
            <w:r w:rsidRPr="00001D13">
              <w:rPr>
                <w:i/>
                <w:snapToGrid w:val="0"/>
              </w:rPr>
              <w:t>é</w:t>
            </w:r>
            <w:r w:rsidR="005C3E02" w:rsidRPr="00001D13">
              <w:rPr>
                <w:i/>
                <w:snapToGrid w:val="0"/>
              </w:rPr>
              <w:t xml:space="preserve">rience </w:t>
            </w:r>
            <w:r w:rsidRPr="00001D13">
              <w:rPr>
                <w:i/>
                <w:snapToGrid w:val="0"/>
              </w:rPr>
              <w:t>et co</w:t>
            </w:r>
            <w:r w:rsidR="00BE1231" w:rsidRPr="00001D13">
              <w:rPr>
                <w:i/>
                <w:snapToGrid w:val="0"/>
              </w:rPr>
              <w:t>o</w:t>
            </w:r>
            <w:r w:rsidRPr="00001D13">
              <w:rPr>
                <w:i/>
                <w:snapToGrid w:val="0"/>
              </w:rPr>
              <w:t>pération en matière d</w:t>
            </w:r>
            <w:r w:rsidR="00C4117D">
              <w:rPr>
                <w:i/>
                <w:snapToGrid w:val="0"/>
              </w:rPr>
              <w:t>’</w:t>
            </w:r>
            <w:r w:rsidRPr="00001D13">
              <w:rPr>
                <w:i/>
                <w:snapToGrid w:val="0"/>
              </w:rPr>
              <w:t>examen</w:t>
            </w:r>
            <w:r w:rsidR="00E2212C">
              <w:rPr>
                <w:i/>
                <w:snapToGrid w:val="0"/>
              </w:rPr>
              <w:t> </w:t>
            </w:r>
            <w:r w:rsidRPr="00001D13">
              <w:rPr>
                <w:i/>
                <w:snapToGrid w:val="0"/>
              </w:rPr>
              <w:t>DHS</w:t>
            </w:r>
            <w:r w:rsidR="00E2212C">
              <w:rPr>
                <w:i/>
                <w:snapToGrid w:val="0"/>
              </w:rPr>
              <w:t>”</w:t>
            </w:r>
            <w:r w:rsidRPr="00001D13">
              <w:rPr>
                <w:i/>
                <w:snapToGrid w:val="0"/>
              </w:rPr>
              <w:t>, Introduction</w:t>
            </w:r>
          </w:p>
          <w:p w:rsidR="001000A7" w:rsidRPr="00001D13" w:rsidRDefault="005C3E02" w:rsidP="00001D13">
            <w:pPr>
              <w:pStyle w:val="ListParagraph"/>
              <w:numPr>
                <w:ilvl w:val="0"/>
                <w:numId w:val="5"/>
              </w:numPr>
              <w:tabs>
                <w:tab w:val="left" w:pos="290"/>
                <w:tab w:val="left" w:pos="574"/>
              </w:tabs>
              <w:ind w:left="574" w:hanging="284"/>
              <w:rPr>
                <w:i/>
              </w:rPr>
            </w:pPr>
            <w:r w:rsidRPr="00001D13">
              <w:rPr>
                <w:i/>
                <w:snapToGrid w:val="0"/>
              </w:rPr>
              <w:t xml:space="preserve">TGP/7 </w:t>
            </w:r>
            <w:r w:rsidR="00E2212C">
              <w:rPr>
                <w:i/>
                <w:snapToGrid w:val="0"/>
              </w:rPr>
              <w:t>“</w:t>
            </w:r>
            <w:r w:rsidR="0014089E" w:rsidRPr="00001D13">
              <w:rPr>
                <w:i/>
                <w:snapToGrid w:val="0"/>
              </w:rPr>
              <w:t>Élaboration des principes directeurs d</w:t>
            </w:r>
            <w:r w:rsidR="00C4117D">
              <w:rPr>
                <w:i/>
                <w:snapToGrid w:val="0"/>
              </w:rPr>
              <w:t>’</w:t>
            </w:r>
            <w:r w:rsidR="0014089E" w:rsidRPr="00001D13">
              <w:rPr>
                <w:i/>
                <w:snapToGrid w:val="0"/>
              </w:rPr>
              <w:t>examen</w:t>
            </w:r>
            <w:r w:rsidR="00E2212C">
              <w:rPr>
                <w:i/>
                <w:snapToGrid w:val="0"/>
              </w:rPr>
              <w:t>”</w:t>
            </w:r>
            <w:r w:rsidRPr="00001D13">
              <w:rPr>
                <w:i/>
                <w:snapToGrid w:val="0"/>
              </w:rPr>
              <w:t xml:space="preserve">, </w:t>
            </w:r>
            <w:r w:rsidR="00404062" w:rsidRPr="00001D13">
              <w:rPr>
                <w:i/>
                <w:snapToGrid w:val="0"/>
              </w:rPr>
              <w:t xml:space="preserve">annexe </w:t>
            </w:r>
            <w:r w:rsidRPr="00001D13">
              <w:rPr>
                <w:i/>
                <w:snapToGrid w:val="0"/>
              </w:rPr>
              <w:t>1</w:t>
            </w:r>
            <w:r w:rsidR="00E2212C">
              <w:rPr>
                <w:i/>
                <w:snapToGrid w:val="0"/>
              </w:rPr>
              <w:t> </w:t>
            </w:r>
            <w:r w:rsidRPr="00001D13">
              <w:rPr>
                <w:i/>
                <w:snapToGrid w:val="0"/>
              </w:rPr>
              <w:t xml:space="preserve">: </w:t>
            </w:r>
            <w:r w:rsidR="0014089E" w:rsidRPr="00001D13">
              <w:rPr>
                <w:i/>
                <w:snapToGrid w:val="0"/>
              </w:rPr>
              <w:t>Modèle de principes directeurs d</w:t>
            </w:r>
            <w:r w:rsidR="00C4117D">
              <w:rPr>
                <w:i/>
                <w:snapToGrid w:val="0"/>
              </w:rPr>
              <w:t>’</w:t>
            </w:r>
            <w:r w:rsidR="0014089E" w:rsidRPr="00001D13">
              <w:rPr>
                <w:i/>
                <w:snapToGrid w:val="0"/>
              </w:rPr>
              <w:t>examen, chapitre</w:t>
            </w:r>
            <w:r w:rsidR="00E2212C">
              <w:rPr>
                <w:i/>
                <w:snapToGrid w:val="0"/>
              </w:rPr>
              <w:t> </w:t>
            </w:r>
            <w:r w:rsidRPr="00001D13">
              <w:rPr>
                <w:i/>
                <w:snapToGrid w:val="0"/>
              </w:rPr>
              <w:t>3.1</w:t>
            </w:r>
            <w:r w:rsidR="0014089E" w:rsidRPr="00001D13">
              <w:rPr>
                <w:i/>
                <w:snapToGrid w:val="0"/>
              </w:rPr>
              <w:t xml:space="preserve"> </w:t>
            </w:r>
            <w:r w:rsidR="00E2212C">
              <w:rPr>
                <w:i/>
                <w:snapToGrid w:val="0"/>
              </w:rPr>
              <w:t>“</w:t>
            </w:r>
            <w:r w:rsidR="0014089E" w:rsidRPr="00001D13">
              <w:rPr>
                <w:i/>
                <w:snapToGrid w:val="0"/>
              </w:rPr>
              <w:t>Nombre de cycles de végétation</w:t>
            </w:r>
            <w:r w:rsidR="00E2212C">
              <w:rPr>
                <w:i/>
                <w:snapToGrid w:val="0"/>
              </w:rPr>
              <w:t>”</w:t>
            </w:r>
          </w:p>
          <w:p w:rsidR="005C3E02" w:rsidRPr="00001D13" w:rsidRDefault="005C3E02" w:rsidP="0037215E">
            <w:pPr>
              <w:pStyle w:val="ListParagraph"/>
              <w:numPr>
                <w:ilvl w:val="0"/>
                <w:numId w:val="5"/>
              </w:numPr>
              <w:tabs>
                <w:tab w:val="left" w:pos="290"/>
                <w:tab w:val="left" w:pos="574"/>
              </w:tabs>
              <w:ind w:left="574" w:hanging="284"/>
              <w:rPr>
                <w:i/>
              </w:rPr>
            </w:pPr>
            <w:r w:rsidRPr="00001D13">
              <w:rPr>
                <w:i/>
                <w:snapToGrid w:val="0"/>
              </w:rPr>
              <w:t>TGP/8</w:t>
            </w:r>
            <w:r w:rsidR="0014089E" w:rsidRPr="00001D13">
              <w:rPr>
                <w:i/>
                <w:snapToGrid w:val="0"/>
              </w:rPr>
              <w:t xml:space="preserve"> </w:t>
            </w:r>
            <w:r w:rsidR="00E2212C">
              <w:rPr>
                <w:i/>
                <w:snapToGrid w:val="0"/>
              </w:rPr>
              <w:t>“</w:t>
            </w:r>
            <w:r w:rsidR="0014089E" w:rsidRPr="00001D13">
              <w:rPr>
                <w:i/>
                <w:snapToGrid w:val="0"/>
              </w:rPr>
              <w:t>Protocole d</w:t>
            </w:r>
            <w:r w:rsidR="00C4117D">
              <w:rPr>
                <w:i/>
                <w:snapToGrid w:val="0"/>
              </w:rPr>
              <w:t>’</w:t>
            </w:r>
            <w:r w:rsidR="0014089E" w:rsidRPr="00001D13">
              <w:rPr>
                <w:i/>
                <w:snapToGrid w:val="0"/>
              </w:rPr>
              <w:t>essai et techniques utilisés dans l</w:t>
            </w:r>
            <w:r w:rsidR="00C4117D">
              <w:rPr>
                <w:i/>
                <w:snapToGrid w:val="0"/>
              </w:rPr>
              <w:t>’</w:t>
            </w:r>
            <w:r w:rsidR="0014089E" w:rsidRPr="00001D13">
              <w:rPr>
                <w:i/>
                <w:snapToGrid w:val="0"/>
              </w:rPr>
              <w:t xml:space="preserve">examen </w:t>
            </w:r>
            <w:r w:rsidR="00BF6F19" w:rsidRPr="00001D13">
              <w:rPr>
                <w:i/>
                <w:snapToGrid w:val="0"/>
              </w:rPr>
              <w:t>de la distinction, de</w:t>
            </w:r>
            <w:r w:rsidR="0037215E">
              <w:rPr>
                <w:i/>
                <w:snapToGrid w:val="0"/>
              </w:rPr>
              <w:t> </w:t>
            </w:r>
            <w:r w:rsidR="00BF6F19" w:rsidRPr="00001D13">
              <w:rPr>
                <w:i/>
                <w:snapToGrid w:val="0"/>
              </w:rPr>
              <w:t>l</w:t>
            </w:r>
            <w:r w:rsidR="00C4117D">
              <w:rPr>
                <w:i/>
                <w:snapToGrid w:val="0"/>
              </w:rPr>
              <w:t>’</w:t>
            </w:r>
            <w:r w:rsidR="00BF6F19" w:rsidRPr="00001D13">
              <w:rPr>
                <w:i/>
                <w:snapToGrid w:val="0"/>
              </w:rPr>
              <w:t>homogénéité et de la stabilité</w:t>
            </w:r>
            <w:r w:rsidR="00E2212C">
              <w:rPr>
                <w:i/>
                <w:snapToGrid w:val="0"/>
              </w:rPr>
              <w:t>”</w:t>
            </w:r>
            <w:r w:rsidR="0037215E">
              <w:rPr>
                <w:i/>
                <w:snapToGrid w:val="0"/>
              </w:rPr>
              <w:t>, p</w:t>
            </w:r>
            <w:r w:rsidR="00BF6F19" w:rsidRPr="00001D13">
              <w:rPr>
                <w:i/>
                <w:snapToGrid w:val="0"/>
              </w:rPr>
              <w:t>remière partie : Protocole d</w:t>
            </w:r>
            <w:r w:rsidR="00C4117D">
              <w:rPr>
                <w:i/>
                <w:snapToGrid w:val="0"/>
              </w:rPr>
              <w:t>’</w:t>
            </w:r>
            <w:r w:rsidR="00BF6F19" w:rsidRPr="00001D13">
              <w:rPr>
                <w:i/>
                <w:snapToGrid w:val="0"/>
              </w:rPr>
              <w:t>essai DHS, section</w:t>
            </w:r>
            <w:r w:rsidR="00E2212C">
              <w:rPr>
                <w:i/>
                <w:snapToGrid w:val="0"/>
              </w:rPr>
              <w:t> </w:t>
            </w:r>
            <w:r w:rsidR="0037215E">
              <w:rPr>
                <w:i/>
                <w:snapToGrid w:val="0"/>
              </w:rPr>
              <w:t>1.3.1.1.</w:t>
            </w:r>
            <w:r w:rsidR="00BF6F19" w:rsidRPr="00001D13">
              <w:rPr>
                <w:i/>
                <w:snapToGrid w:val="0"/>
              </w:rPr>
              <w:t xml:space="preserve">a) </w:t>
            </w:r>
            <w:r w:rsidR="00E2212C">
              <w:rPr>
                <w:i/>
                <w:snapToGrid w:val="0"/>
              </w:rPr>
              <w:t>“</w:t>
            </w:r>
            <w:r w:rsidR="00BF6F19" w:rsidRPr="00001D13">
              <w:rPr>
                <w:i/>
              </w:rPr>
              <w:t>Réduire au minimum l</w:t>
            </w:r>
            <w:r w:rsidR="00C4117D">
              <w:rPr>
                <w:i/>
              </w:rPr>
              <w:t>’</w:t>
            </w:r>
            <w:r w:rsidR="00BF6F19" w:rsidRPr="00001D13">
              <w:rPr>
                <w:i/>
              </w:rPr>
              <w:t>ensemble de la période d</w:t>
            </w:r>
            <w:r w:rsidR="00C4117D">
              <w:rPr>
                <w:i/>
              </w:rPr>
              <w:t>’</w:t>
            </w:r>
            <w:r w:rsidR="00BF6F19" w:rsidRPr="00001D13">
              <w:rPr>
                <w:i/>
              </w:rPr>
              <w:t>examen</w:t>
            </w:r>
            <w:r w:rsidR="00E2212C">
              <w:t>”</w:t>
            </w:r>
          </w:p>
        </w:tc>
      </w:tr>
    </w:tbl>
    <w:p w:rsidR="00D51088" w:rsidRPr="00BE1231" w:rsidRDefault="00D51088"/>
    <w:p w:rsidR="00D51088" w:rsidRPr="00BE1231" w:rsidRDefault="00D51088" w:rsidP="00D51088">
      <w:pPr>
        <w:pStyle w:val="Heading3"/>
      </w:pPr>
      <w:bookmarkStart w:id="47" w:name="_Toc381170158"/>
      <w:r w:rsidRPr="00BE1231">
        <w:t>e)</w:t>
      </w:r>
      <w:r w:rsidRPr="00BE1231">
        <w:tab/>
      </w:r>
      <w:r w:rsidR="00D854B0" w:rsidRPr="00BE1231">
        <w:t>Description de la variété la plus proche</w:t>
      </w:r>
      <w:bookmarkEnd w:id="47"/>
    </w:p>
    <w:p w:rsidR="00D51088" w:rsidRPr="00BE1231" w:rsidRDefault="00D51088"/>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BE1231" w:rsidTr="00001D13">
        <w:tc>
          <w:tcPr>
            <w:tcW w:w="8646" w:type="dxa"/>
            <w:shd w:val="clear" w:color="auto" w:fill="auto"/>
          </w:tcPr>
          <w:p w:rsidR="00727189" w:rsidRPr="00001D13" w:rsidRDefault="00727189" w:rsidP="00727189">
            <w:pPr>
              <w:rPr>
                <w:sz w:val="18"/>
                <w:szCs w:val="18"/>
              </w:rPr>
            </w:pPr>
            <w:r w:rsidRPr="00001D13">
              <w:rPr>
                <w:sz w:val="18"/>
                <w:szCs w:val="18"/>
              </w:rPr>
              <w:t>[</w:t>
            </w:r>
            <w:r w:rsidR="00820ADA" w:rsidRPr="00001D13">
              <w:rPr>
                <w:sz w:val="18"/>
                <w:szCs w:val="18"/>
              </w:rPr>
              <w:t>Extrait de la lettre de l</w:t>
            </w:r>
            <w:r w:rsidR="00C4117D">
              <w:rPr>
                <w:sz w:val="18"/>
                <w:szCs w:val="18"/>
              </w:rPr>
              <w:t>’</w:t>
            </w:r>
            <w:r w:rsidR="00820ADA" w:rsidRPr="00001D13">
              <w:rPr>
                <w:sz w:val="18"/>
                <w:szCs w:val="18"/>
              </w:rPr>
              <w:t>ISF</w:t>
            </w:r>
            <w:r w:rsidRPr="00001D13">
              <w:rPr>
                <w:sz w:val="18"/>
                <w:szCs w:val="18"/>
              </w:rPr>
              <w:t>]</w:t>
            </w:r>
          </w:p>
          <w:p w:rsidR="00F84F71" w:rsidRPr="00001D13" w:rsidRDefault="00E2212C" w:rsidP="00727189">
            <w:pPr>
              <w:rPr>
                <w:sz w:val="18"/>
                <w:szCs w:val="18"/>
              </w:rPr>
            </w:pPr>
            <w:r>
              <w:rPr>
                <w:sz w:val="18"/>
                <w:szCs w:val="18"/>
              </w:rPr>
              <w:t>“</w:t>
            </w:r>
            <w:r w:rsidR="00F84F71" w:rsidRPr="00001D13">
              <w:rPr>
                <w:sz w:val="18"/>
                <w:szCs w:val="18"/>
                <w:u w:val="single"/>
              </w:rPr>
              <w:t>Description de la variété la plus proche</w:t>
            </w:r>
            <w:r w:rsidRPr="0037215E">
              <w:rPr>
                <w:sz w:val="18"/>
                <w:szCs w:val="18"/>
              </w:rPr>
              <w:t> </w:t>
            </w:r>
            <w:r w:rsidR="00F84F71" w:rsidRPr="0037215E">
              <w:rPr>
                <w:sz w:val="18"/>
                <w:szCs w:val="18"/>
              </w:rPr>
              <w:t>:</w:t>
            </w:r>
            <w:r w:rsidR="00F84F71" w:rsidRPr="00001D13">
              <w:rPr>
                <w:sz w:val="18"/>
                <w:szCs w:val="18"/>
              </w:rPr>
              <w:t xml:space="preserve"> Dans certains pays, le demandeur est tenu de fournir la</w:t>
            </w:r>
            <w:r w:rsidR="0037215E">
              <w:rPr>
                <w:sz w:val="18"/>
                <w:szCs w:val="18"/>
              </w:rPr>
              <w:t> </w:t>
            </w:r>
            <w:r w:rsidR="00F84F71" w:rsidRPr="00001D13">
              <w:rPr>
                <w:sz w:val="18"/>
                <w:szCs w:val="18"/>
              </w:rPr>
              <w:t>description complète de la (ou des) variété la plus proche, alors que, dans l</w:t>
            </w:r>
            <w:r w:rsidR="00C4117D">
              <w:rPr>
                <w:sz w:val="18"/>
                <w:szCs w:val="18"/>
              </w:rPr>
              <w:t>’</w:t>
            </w:r>
            <w:r w:rsidR="00F84F71" w:rsidRPr="00001D13">
              <w:rPr>
                <w:sz w:val="18"/>
                <w:szCs w:val="18"/>
              </w:rPr>
              <w:t>esprit de l</w:t>
            </w:r>
            <w:r w:rsidR="00C4117D">
              <w:rPr>
                <w:sz w:val="18"/>
                <w:szCs w:val="18"/>
              </w:rPr>
              <w:t>’</w:t>
            </w:r>
            <w:r w:rsidR="00F84F71" w:rsidRPr="00001D13">
              <w:rPr>
                <w:sz w:val="18"/>
                <w:szCs w:val="18"/>
              </w:rPr>
              <w:t xml:space="preserve">UPOV, seules les différences entre la variété candidate et la variété la plus proche doivent être </w:t>
            </w:r>
            <w:r w:rsidR="0015626A" w:rsidRPr="00001D13">
              <w:rPr>
                <w:sz w:val="18"/>
                <w:szCs w:val="18"/>
              </w:rPr>
              <w:t>indiquées</w:t>
            </w:r>
            <w:r w:rsidR="00F84F71" w:rsidRPr="00001D13">
              <w:rPr>
                <w:sz w:val="18"/>
                <w:szCs w:val="18"/>
              </w:rPr>
              <w:t>.  Les</w:t>
            </w:r>
            <w:r w:rsidR="0037215E">
              <w:rPr>
                <w:sz w:val="18"/>
                <w:szCs w:val="18"/>
              </w:rPr>
              <w:t> </w:t>
            </w:r>
            <w:r w:rsidR="00F84F71" w:rsidRPr="00001D13">
              <w:rPr>
                <w:sz w:val="18"/>
                <w:szCs w:val="18"/>
              </w:rPr>
              <w:t>membres de l</w:t>
            </w:r>
            <w:r w:rsidR="00C4117D">
              <w:rPr>
                <w:sz w:val="18"/>
                <w:szCs w:val="18"/>
              </w:rPr>
              <w:t>’</w:t>
            </w:r>
            <w:r w:rsidR="00F84F71" w:rsidRPr="00001D13">
              <w:rPr>
                <w:sz w:val="18"/>
                <w:szCs w:val="18"/>
              </w:rPr>
              <w:t>ISF estiment en général qu</w:t>
            </w:r>
            <w:r w:rsidR="00C4117D">
              <w:rPr>
                <w:sz w:val="18"/>
                <w:szCs w:val="18"/>
              </w:rPr>
              <w:t>’</w:t>
            </w:r>
            <w:r w:rsidR="00F84F71" w:rsidRPr="00001D13">
              <w:rPr>
                <w:sz w:val="18"/>
                <w:szCs w:val="18"/>
              </w:rPr>
              <w:t>une description exhaustive de la variété candidate et de la</w:t>
            </w:r>
            <w:r w:rsidR="0037215E">
              <w:rPr>
                <w:sz w:val="18"/>
                <w:szCs w:val="18"/>
              </w:rPr>
              <w:t> </w:t>
            </w:r>
            <w:r w:rsidR="00F84F71" w:rsidRPr="00001D13">
              <w:rPr>
                <w:sz w:val="18"/>
                <w:szCs w:val="18"/>
              </w:rPr>
              <w:t>variété de comparaison représente une tâche excessive pour le demandeur.  Cela prend du temps et retarde la procédure de demande.  Le plus souvent, il faut procéder à un essai spécial d</w:t>
            </w:r>
            <w:r w:rsidR="00C4117D">
              <w:rPr>
                <w:sz w:val="18"/>
                <w:szCs w:val="18"/>
              </w:rPr>
              <w:t>’</w:t>
            </w:r>
            <w:r w:rsidR="00F84F71" w:rsidRPr="00001D13">
              <w:rPr>
                <w:sz w:val="18"/>
                <w:szCs w:val="18"/>
              </w:rPr>
              <w:t>observation pour établir ces descriptions variétales.  Dans le cas d</w:t>
            </w:r>
            <w:r w:rsidR="00C4117D">
              <w:rPr>
                <w:sz w:val="18"/>
                <w:szCs w:val="18"/>
              </w:rPr>
              <w:t>’</w:t>
            </w:r>
            <w:r w:rsidR="00F84F71" w:rsidRPr="00001D13">
              <w:rPr>
                <w:sz w:val="18"/>
                <w:szCs w:val="18"/>
              </w:rPr>
              <w:t>une demande prioritaire, cela peut fortement désavantager le demandeur.  Une description variétale complète des variétés les plus proches pose un</w:t>
            </w:r>
            <w:r w:rsidR="0037215E">
              <w:rPr>
                <w:sz w:val="18"/>
                <w:szCs w:val="18"/>
              </w:rPr>
              <w:t> </w:t>
            </w:r>
            <w:r w:rsidR="00F84F71" w:rsidRPr="00001D13">
              <w:rPr>
                <w:sz w:val="18"/>
                <w:szCs w:val="18"/>
              </w:rPr>
              <w:t>problème d</w:t>
            </w:r>
            <w:r w:rsidR="00C4117D">
              <w:rPr>
                <w:sz w:val="18"/>
                <w:szCs w:val="18"/>
              </w:rPr>
              <w:t>’</w:t>
            </w:r>
            <w:r w:rsidR="00F84F71" w:rsidRPr="00001D13">
              <w:rPr>
                <w:sz w:val="18"/>
                <w:szCs w:val="18"/>
              </w:rPr>
              <w:t>autant plus grand qu</w:t>
            </w:r>
            <w:r w:rsidR="00C4117D">
              <w:rPr>
                <w:sz w:val="18"/>
                <w:szCs w:val="18"/>
              </w:rPr>
              <w:t>’</w:t>
            </w:r>
            <w:r w:rsidR="00F84F71" w:rsidRPr="00001D13">
              <w:rPr>
                <w:sz w:val="18"/>
                <w:szCs w:val="18"/>
              </w:rPr>
              <w:t>il s</w:t>
            </w:r>
            <w:r w:rsidR="00C4117D">
              <w:rPr>
                <w:sz w:val="18"/>
                <w:szCs w:val="18"/>
              </w:rPr>
              <w:t>’</w:t>
            </w:r>
            <w:r w:rsidR="00F84F71" w:rsidRPr="00001D13">
              <w:rPr>
                <w:sz w:val="18"/>
                <w:szCs w:val="18"/>
              </w:rPr>
              <w:t>agit de variétés concurrentes.</w:t>
            </w:r>
          </w:p>
          <w:p w:rsidR="00D51088" w:rsidRPr="00001D13" w:rsidRDefault="00D51088" w:rsidP="00D51088">
            <w:pPr>
              <w:rPr>
                <w:sz w:val="18"/>
                <w:szCs w:val="18"/>
              </w:rPr>
            </w:pPr>
          </w:p>
          <w:p w:rsidR="00F84F71" w:rsidRPr="00001D13" w:rsidRDefault="00E2212C" w:rsidP="00D51088">
            <w:pPr>
              <w:rPr>
                <w:sz w:val="18"/>
                <w:szCs w:val="18"/>
              </w:rPr>
            </w:pPr>
            <w:r>
              <w:rPr>
                <w:sz w:val="18"/>
                <w:szCs w:val="18"/>
              </w:rPr>
              <w:t>“</w:t>
            </w:r>
            <w:r w:rsidR="00F84F71" w:rsidRPr="00001D13">
              <w:rPr>
                <w:sz w:val="18"/>
                <w:szCs w:val="18"/>
              </w:rPr>
              <w:t>Le demandeur ne devrait avoir qu</w:t>
            </w:r>
            <w:r w:rsidR="00C4117D">
              <w:rPr>
                <w:sz w:val="18"/>
                <w:szCs w:val="18"/>
              </w:rPr>
              <w:t>’</w:t>
            </w:r>
            <w:r w:rsidR="00F84F71" w:rsidRPr="00001D13">
              <w:rPr>
                <w:sz w:val="18"/>
                <w:szCs w:val="18"/>
              </w:rPr>
              <w:t xml:space="preserve">à indiquer les différences entre la variété candidate et la variété la plus proche. </w:t>
            </w:r>
            <w:r>
              <w:rPr>
                <w:sz w:val="18"/>
                <w:szCs w:val="18"/>
              </w:rPr>
              <w:t xml:space="preserve"> </w:t>
            </w:r>
            <w:r w:rsidR="00F84F71" w:rsidRPr="00001D13">
              <w:rPr>
                <w:sz w:val="18"/>
                <w:szCs w:val="18"/>
              </w:rPr>
              <w:t>Autrement dit, le questionnaire technique, tel que l</w:t>
            </w:r>
            <w:r w:rsidR="00C4117D">
              <w:rPr>
                <w:sz w:val="18"/>
                <w:szCs w:val="18"/>
              </w:rPr>
              <w:t>’</w:t>
            </w:r>
            <w:r w:rsidR="00F84F71" w:rsidRPr="00001D13">
              <w:rPr>
                <w:sz w:val="18"/>
                <w:szCs w:val="18"/>
              </w:rPr>
              <w:t>UPOV l</w:t>
            </w:r>
            <w:r w:rsidR="00C4117D">
              <w:rPr>
                <w:sz w:val="18"/>
                <w:szCs w:val="18"/>
              </w:rPr>
              <w:t>’</w:t>
            </w:r>
            <w:r w:rsidR="00F84F71" w:rsidRPr="00001D13">
              <w:rPr>
                <w:sz w:val="18"/>
                <w:szCs w:val="18"/>
              </w:rPr>
              <w:t>a conçu, devrait être rempli.</w:t>
            </w:r>
          </w:p>
          <w:p w:rsidR="00D51088" w:rsidRPr="00001D13" w:rsidRDefault="00D51088" w:rsidP="00D51088">
            <w:pPr>
              <w:rPr>
                <w:sz w:val="18"/>
                <w:szCs w:val="18"/>
              </w:rPr>
            </w:pPr>
          </w:p>
          <w:p w:rsidR="00357820" w:rsidRPr="00001D13" w:rsidRDefault="00E2212C" w:rsidP="00357820">
            <w:pPr>
              <w:rPr>
                <w:sz w:val="18"/>
                <w:szCs w:val="18"/>
              </w:rPr>
            </w:pPr>
            <w:r>
              <w:rPr>
                <w:sz w:val="18"/>
                <w:szCs w:val="18"/>
              </w:rPr>
              <w:t>“</w:t>
            </w:r>
            <w:r w:rsidR="00F84F71" w:rsidRPr="00001D13">
              <w:rPr>
                <w:sz w:val="18"/>
                <w:szCs w:val="18"/>
              </w:rPr>
              <w:t>Les techniques de sélection évoluent rapidement</w:t>
            </w:r>
            <w:r w:rsidR="00357820" w:rsidRPr="00001D13">
              <w:rPr>
                <w:sz w:val="18"/>
                <w:szCs w:val="18"/>
              </w:rPr>
              <w:t>, de même que les variétés.  De nouveaux caractères ne cessent de s</w:t>
            </w:r>
            <w:r w:rsidR="00C4117D">
              <w:rPr>
                <w:sz w:val="18"/>
                <w:szCs w:val="18"/>
              </w:rPr>
              <w:t>’</w:t>
            </w:r>
            <w:r w:rsidR="00357820" w:rsidRPr="00001D13">
              <w:rPr>
                <w:sz w:val="18"/>
                <w:szCs w:val="18"/>
              </w:rPr>
              <w:t>ajouter à la liste actuelle.  Il faut donc introduire en temps utile de nouveaux caractères dans les questionnaires techniques et les descriptions variétales, de manière à pouvoir suffisamment distinguer les variétés.</w:t>
            </w:r>
            <w:r w:rsidR="0037215E">
              <w:rPr>
                <w:sz w:val="18"/>
                <w:szCs w:val="18"/>
              </w:rPr>
              <w:t>”</w:t>
            </w:r>
          </w:p>
        </w:tc>
      </w:tr>
      <w:tr w:rsidR="005F3D0F" w:rsidRPr="00BE1231" w:rsidTr="00001D13">
        <w:tc>
          <w:tcPr>
            <w:tcW w:w="8646" w:type="dxa"/>
            <w:shd w:val="clear" w:color="auto" w:fill="auto"/>
          </w:tcPr>
          <w:p w:rsidR="00820ADA" w:rsidRPr="00001D13" w:rsidRDefault="00820ADA" w:rsidP="00820ADA">
            <w:pPr>
              <w:rPr>
                <w:i/>
              </w:rPr>
            </w:pPr>
            <w:r w:rsidRPr="00001D13">
              <w:rPr>
                <w:i/>
              </w:rPr>
              <w:t>Documents UPOV pertinents</w:t>
            </w:r>
            <w:r w:rsidR="00E2212C">
              <w:rPr>
                <w:i/>
              </w:rPr>
              <w:t> </w:t>
            </w:r>
            <w:r w:rsidRPr="00001D13">
              <w:rPr>
                <w:i/>
              </w:rPr>
              <w:t>:</w:t>
            </w:r>
          </w:p>
          <w:p w:rsidR="00D51088" w:rsidRPr="00001D13" w:rsidRDefault="00D51088" w:rsidP="00557635">
            <w:pPr>
              <w:rPr>
                <w:i/>
              </w:rPr>
            </w:pPr>
          </w:p>
          <w:p w:rsidR="00AB76FD" w:rsidRDefault="005F3D0F" w:rsidP="00001D13">
            <w:pPr>
              <w:pStyle w:val="ListParagraph"/>
              <w:numPr>
                <w:ilvl w:val="0"/>
                <w:numId w:val="5"/>
              </w:numPr>
              <w:tabs>
                <w:tab w:val="left" w:pos="290"/>
                <w:tab w:val="left" w:pos="574"/>
              </w:tabs>
              <w:ind w:left="574" w:hanging="284"/>
              <w:rPr>
                <w:i/>
              </w:rPr>
            </w:pPr>
            <w:r w:rsidRPr="00001D13">
              <w:rPr>
                <w:i/>
                <w:snapToGrid w:val="0"/>
              </w:rPr>
              <w:t>TGP/7, Section</w:t>
            </w:r>
            <w:r w:rsidR="00E2212C">
              <w:rPr>
                <w:i/>
                <w:snapToGrid w:val="0"/>
              </w:rPr>
              <w:t> </w:t>
            </w:r>
            <w:r w:rsidRPr="00001D13">
              <w:rPr>
                <w:i/>
                <w:snapToGrid w:val="0"/>
              </w:rPr>
              <w:t>4</w:t>
            </w:r>
            <w:r w:rsidR="00BF6F19" w:rsidRPr="00001D13">
              <w:rPr>
                <w:i/>
                <w:snapToGrid w:val="0"/>
              </w:rPr>
              <w:t xml:space="preserve"> </w:t>
            </w:r>
            <w:r w:rsidR="00E2212C">
              <w:rPr>
                <w:i/>
                <w:snapToGrid w:val="0"/>
              </w:rPr>
              <w:t>“</w:t>
            </w:r>
            <w:r w:rsidR="00BF6F19" w:rsidRPr="00001D13">
              <w:rPr>
                <w:i/>
              </w:rPr>
              <w:t>Élaboration de principes directeurs d</w:t>
            </w:r>
            <w:r w:rsidR="00C4117D">
              <w:rPr>
                <w:i/>
              </w:rPr>
              <w:t>’</w:t>
            </w:r>
            <w:r w:rsidR="00BF6F19" w:rsidRPr="00001D13">
              <w:rPr>
                <w:i/>
              </w:rPr>
              <w:t>examen propres aux différents services</w:t>
            </w:r>
            <w:r w:rsidR="00E2212C">
              <w:rPr>
                <w:i/>
              </w:rPr>
              <w:t>”</w:t>
            </w:r>
          </w:p>
          <w:p w:rsidR="005F3D0F" w:rsidRPr="00001D13" w:rsidRDefault="005F3D0F" w:rsidP="00001D13">
            <w:pPr>
              <w:pStyle w:val="ListParagraph"/>
              <w:numPr>
                <w:ilvl w:val="0"/>
                <w:numId w:val="5"/>
              </w:numPr>
              <w:tabs>
                <w:tab w:val="left" w:pos="290"/>
                <w:tab w:val="left" w:pos="574"/>
              </w:tabs>
              <w:ind w:left="574" w:hanging="284"/>
              <w:rPr>
                <w:i/>
              </w:rPr>
            </w:pPr>
            <w:r w:rsidRPr="00001D13">
              <w:rPr>
                <w:i/>
                <w:snapToGrid w:val="0"/>
              </w:rPr>
              <w:t xml:space="preserve">TGP/7 </w:t>
            </w:r>
            <w:r w:rsidR="00E2212C">
              <w:rPr>
                <w:i/>
                <w:snapToGrid w:val="0"/>
              </w:rPr>
              <w:t>“</w:t>
            </w:r>
            <w:r w:rsidR="00BF6F19" w:rsidRPr="00001D13">
              <w:rPr>
                <w:i/>
                <w:snapToGrid w:val="0"/>
              </w:rPr>
              <w:t>Élaboration des principes directeurs d</w:t>
            </w:r>
            <w:r w:rsidR="00C4117D">
              <w:rPr>
                <w:i/>
                <w:snapToGrid w:val="0"/>
              </w:rPr>
              <w:t>’</w:t>
            </w:r>
            <w:r w:rsidR="00BF6F19" w:rsidRPr="00001D13">
              <w:rPr>
                <w:i/>
                <w:snapToGrid w:val="0"/>
              </w:rPr>
              <w:t>examen</w:t>
            </w:r>
            <w:r w:rsidR="00E2212C">
              <w:rPr>
                <w:i/>
                <w:snapToGrid w:val="0"/>
              </w:rPr>
              <w:t>”</w:t>
            </w:r>
            <w:r w:rsidR="00BF6F19" w:rsidRPr="00001D13">
              <w:rPr>
                <w:i/>
                <w:snapToGrid w:val="0"/>
              </w:rPr>
              <w:t xml:space="preserve">, section 2 </w:t>
            </w:r>
            <w:r w:rsidR="00E2212C">
              <w:rPr>
                <w:i/>
                <w:snapToGrid w:val="0"/>
              </w:rPr>
              <w:t>“</w:t>
            </w:r>
            <w:r w:rsidRPr="00001D13">
              <w:rPr>
                <w:i/>
                <w:snapToGrid w:val="0"/>
              </w:rPr>
              <w:t>Proc</w:t>
            </w:r>
            <w:r w:rsidR="00BF6F19" w:rsidRPr="00001D13">
              <w:rPr>
                <w:i/>
                <w:snapToGrid w:val="0"/>
              </w:rPr>
              <w:t>é</w:t>
            </w:r>
            <w:r w:rsidRPr="00001D13">
              <w:rPr>
                <w:i/>
                <w:snapToGrid w:val="0"/>
              </w:rPr>
              <w:t xml:space="preserve">dure </w:t>
            </w:r>
            <w:r w:rsidR="00BF6F19" w:rsidRPr="00001D13">
              <w:rPr>
                <w:i/>
                <w:snapToGrid w:val="0"/>
              </w:rPr>
              <w:t>applicable à l</w:t>
            </w:r>
            <w:r w:rsidR="00C4117D">
              <w:rPr>
                <w:i/>
                <w:snapToGrid w:val="0"/>
              </w:rPr>
              <w:t>’</w:t>
            </w:r>
            <w:r w:rsidR="00BF6F19" w:rsidRPr="00001D13">
              <w:rPr>
                <w:i/>
                <w:snapToGrid w:val="0"/>
              </w:rPr>
              <w:t>adoption et à la révision des principes directeurs d</w:t>
            </w:r>
            <w:r w:rsidR="00C4117D">
              <w:rPr>
                <w:i/>
                <w:snapToGrid w:val="0"/>
              </w:rPr>
              <w:t>’</w:t>
            </w:r>
            <w:r w:rsidR="00BF6F19" w:rsidRPr="00001D13">
              <w:rPr>
                <w:i/>
                <w:snapToGrid w:val="0"/>
              </w:rPr>
              <w:t>examen de l</w:t>
            </w:r>
            <w:r w:rsidR="00C4117D">
              <w:rPr>
                <w:i/>
                <w:snapToGrid w:val="0"/>
              </w:rPr>
              <w:t>’</w:t>
            </w:r>
            <w:r w:rsidR="00BF6F19" w:rsidRPr="00001D13">
              <w:rPr>
                <w:i/>
                <w:snapToGrid w:val="0"/>
              </w:rPr>
              <w:t>UPOV</w:t>
            </w:r>
            <w:r w:rsidR="00E2212C">
              <w:rPr>
                <w:i/>
                <w:snapToGrid w:val="0"/>
              </w:rPr>
              <w:t>”</w:t>
            </w:r>
            <w:r w:rsidR="00BF6F19" w:rsidRPr="00001D13">
              <w:rPr>
                <w:i/>
                <w:snapToGrid w:val="0"/>
              </w:rPr>
              <w:t xml:space="preserve"> </w:t>
            </w:r>
          </w:p>
        </w:tc>
      </w:tr>
    </w:tbl>
    <w:p w:rsidR="00A07942" w:rsidRPr="00BE1231" w:rsidRDefault="00A07942"/>
    <w:p w:rsidR="00A07942" w:rsidRPr="00BE1231" w:rsidRDefault="00A07942" w:rsidP="00A07942">
      <w:pPr>
        <w:pStyle w:val="Heading3"/>
      </w:pPr>
      <w:bookmarkStart w:id="48" w:name="_Toc381170159"/>
      <w:r w:rsidRPr="00BE1231">
        <w:t>f)</w:t>
      </w:r>
      <w:r w:rsidRPr="00BE1231">
        <w:tab/>
      </w:r>
      <w:r w:rsidR="00D854B0" w:rsidRPr="00BE1231">
        <w:t>Description variétale établie par le demandeur</w:t>
      </w:r>
      <w:bookmarkEnd w:id="48"/>
    </w:p>
    <w:p w:rsidR="00A07942" w:rsidRPr="00BE1231" w:rsidRDefault="00A07942" w:rsidP="00A07942">
      <w:pPr>
        <w:keepNext/>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BE1231" w:rsidTr="00001D13">
        <w:trPr>
          <w:cantSplit/>
        </w:trPr>
        <w:tc>
          <w:tcPr>
            <w:tcW w:w="8646" w:type="dxa"/>
            <w:shd w:val="clear" w:color="auto" w:fill="auto"/>
          </w:tcPr>
          <w:p w:rsidR="00727189" w:rsidRPr="00001D13" w:rsidRDefault="00727189" w:rsidP="00727189">
            <w:pPr>
              <w:rPr>
                <w:sz w:val="18"/>
                <w:szCs w:val="18"/>
              </w:rPr>
            </w:pPr>
            <w:r w:rsidRPr="00001D13">
              <w:rPr>
                <w:sz w:val="18"/>
                <w:szCs w:val="18"/>
              </w:rPr>
              <w:t>[</w:t>
            </w:r>
            <w:r w:rsidR="00820ADA" w:rsidRPr="00001D13">
              <w:rPr>
                <w:sz w:val="18"/>
                <w:szCs w:val="18"/>
              </w:rPr>
              <w:t>Extrait de la lettre de l</w:t>
            </w:r>
            <w:r w:rsidR="00C4117D">
              <w:rPr>
                <w:sz w:val="18"/>
                <w:szCs w:val="18"/>
              </w:rPr>
              <w:t>’</w:t>
            </w:r>
            <w:r w:rsidR="00820ADA" w:rsidRPr="00001D13">
              <w:rPr>
                <w:sz w:val="18"/>
                <w:szCs w:val="18"/>
              </w:rPr>
              <w:t>ISF</w:t>
            </w:r>
            <w:r w:rsidRPr="00001D13">
              <w:rPr>
                <w:sz w:val="18"/>
                <w:szCs w:val="18"/>
              </w:rPr>
              <w:t>]</w:t>
            </w:r>
          </w:p>
          <w:p w:rsidR="00357820" w:rsidRPr="00001D13" w:rsidRDefault="00E2212C" w:rsidP="00727189">
            <w:pPr>
              <w:rPr>
                <w:sz w:val="18"/>
                <w:szCs w:val="18"/>
              </w:rPr>
            </w:pPr>
            <w:r>
              <w:rPr>
                <w:sz w:val="18"/>
                <w:szCs w:val="18"/>
              </w:rPr>
              <w:t>“</w:t>
            </w:r>
            <w:r w:rsidR="00357820" w:rsidRPr="00001D13">
              <w:rPr>
                <w:sz w:val="18"/>
                <w:szCs w:val="18"/>
                <w:u w:val="single"/>
              </w:rPr>
              <w:t xml:space="preserve">Description variétale </w:t>
            </w:r>
            <w:r w:rsidR="00404062" w:rsidRPr="00001D13">
              <w:rPr>
                <w:sz w:val="18"/>
                <w:szCs w:val="18"/>
                <w:u w:val="single"/>
              </w:rPr>
              <w:t xml:space="preserve">établie </w:t>
            </w:r>
            <w:r w:rsidR="00357820" w:rsidRPr="00001D13">
              <w:rPr>
                <w:sz w:val="18"/>
                <w:szCs w:val="18"/>
                <w:u w:val="single"/>
              </w:rPr>
              <w:t>par le demandeur</w:t>
            </w:r>
            <w:r>
              <w:rPr>
                <w:sz w:val="18"/>
                <w:szCs w:val="18"/>
              </w:rPr>
              <w:t> </w:t>
            </w:r>
            <w:r w:rsidR="00A07942" w:rsidRPr="00001D13">
              <w:rPr>
                <w:sz w:val="18"/>
                <w:szCs w:val="18"/>
              </w:rPr>
              <w:t xml:space="preserve">: </w:t>
            </w:r>
            <w:r w:rsidR="00357820" w:rsidRPr="00001D13">
              <w:rPr>
                <w:sz w:val="18"/>
                <w:szCs w:val="18"/>
              </w:rPr>
              <w:t>Dans certains pays, la description variétale est entièrement établie par le demandeur.  Autrement dit, deux</w:t>
            </w:r>
            <w:r>
              <w:rPr>
                <w:sz w:val="18"/>
                <w:szCs w:val="18"/>
              </w:rPr>
              <w:t> </w:t>
            </w:r>
            <w:r w:rsidR="00357820" w:rsidRPr="00001D13">
              <w:rPr>
                <w:sz w:val="18"/>
                <w:szCs w:val="18"/>
              </w:rPr>
              <w:t>descriptions d</w:t>
            </w:r>
            <w:r w:rsidR="00C4117D">
              <w:rPr>
                <w:sz w:val="18"/>
                <w:szCs w:val="18"/>
              </w:rPr>
              <w:t>’</w:t>
            </w:r>
            <w:r w:rsidR="00357820" w:rsidRPr="00001D13">
              <w:rPr>
                <w:sz w:val="18"/>
                <w:szCs w:val="18"/>
              </w:rPr>
              <w:t>une même variété peuvent donc être entièrement différentes, sous l</w:t>
            </w:r>
            <w:r w:rsidR="00C4117D">
              <w:rPr>
                <w:sz w:val="18"/>
                <w:szCs w:val="18"/>
              </w:rPr>
              <w:t>’</w:t>
            </w:r>
            <w:r w:rsidR="00357820" w:rsidRPr="00001D13">
              <w:rPr>
                <w:sz w:val="18"/>
                <w:szCs w:val="18"/>
              </w:rPr>
              <w:t>effet de différents facteurs (période de semis, milieu de culture et relation entre demandeur et examinateur.  Lorsque c</w:t>
            </w:r>
            <w:r w:rsidR="00C4117D">
              <w:rPr>
                <w:sz w:val="18"/>
                <w:szCs w:val="18"/>
              </w:rPr>
              <w:t>’</w:t>
            </w:r>
            <w:r w:rsidR="00357820" w:rsidRPr="00001D13">
              <w:rPr>
                <w:sz w:val="18"/>
                <w:szCs w:val="18"/>
              </w:rPr>
              <w:t xml:space="preserve">est le demandeur qui établit la </w:t>
            </w:r>
            <w:r w:rsidR="00BE1231" w:rsidRPr="00001D13">
              <w:rPr>
                <w:sz w:val="18"/>
                <w:szCs w:val="18"/>
              </w:rPr>
              <w:t>description</w:t>
            </w:r>
            <w:r w:rsidR="00357820" w:rsidRPr="00001D13">
              <w:rPr>
                <w:sz w:val="18"/>
                <w:szCs w:val="18"/>
              </w:rPr>
              <w:t xml:space="preserve"> variétale, des règles mieux harmonisées doivent être appliquées, et les services d</w:t>
            </w:r>
            <w:r w:rsidR="00C4117D">
              <w:rPr>
                <w:sz w:val="18"/>
                <w:szCs w:val="18"/>
              </w:rPr>
              <w:t>’</w:t>
            </w:r>
            <w:r w:rsidR="00357820" w:rsidRPr="00001D13">
              <w:rPr>
                <w:sz w:val="18"/>
                <w:szCs w:val="18"/>
              </w:rPr>
              <w:t>octroi de droit d</w:t>
            </w:r>
            <w:r w:rsidR="00C4117D">
              <w:rPr>
                <w:sz w:val="18"/>
                <w:szCs w:val="18"/>
              </w:rPr>
              <w:t>’</w:t>
            </w:r>
            <w:r w:rsidR="00357820" w:rsidRPr="00001D13">
              <w:rPr>
                <w:sz w:val="18"/>
                <w:szCs w:val="18"/>
              </w:rPr>
              <w:t>obtenteur exercer un contrôle.  Un moyen de surmonter ces problèmes consiste à procéder à un bon étalonnage selon les normes de l</w:t>
            </w:r>
            <w:r w:rsidR="00C4117D">
              <w:rPr>
                <w:sz w:val="18"/>
                <w:szCs w:val="18"/>
              </w:rPr>
              <w:t>’</w:t>
            </w:r>
            <w:r w:rsidR="00357820" w:rsidRPr="00001D13">
              <w:rPr>
                <w:sz w:val="18"/>
                <w:szCs w:val="18"/>
              </w:rPr>
              <w:t xml:space="preserve">UPOV.  En règle générale, </w:t>
            </w:r>
            <w:r w:rsidR="00006DEC" w:rsidRPr="00001D13">
              <w:rPr>
                <w:sz w:val="18"/>
                <w:szCs w:val="18"/>
              </w:rPr>
              <w:t>il peut être stipulé que le recours à un office central d</w:t>
            </w:r>
            <w:r w:rsidR="00C4117D">
              <w:rPr>
                <w:sz w:val="18"/>
                <w:szCs w:val="18"/>
              </w:rPr>
              <w:t>’</w:t>
            </w:r>
            <w:r w:rsidR="00006DEC" w:rsidRPr="00001D13">
              <w:rPr>
                <w:sz w:val="18"/>
                <w:szCs w:val="18"/>
              </w:rPr>
              <w:t>essai permet de disposer d</w:t>
            </w:r>
            <w:r w:rsidR="00C4117D">
              <w:rPr>
                <w:sz w:val="18"/>
                <w:szCs w:val="18"/>
              </w:rPr>
              <w:t>’</w:t>
            </w:r>
            <w:r w:rsidR="00006DEC" w:rsidRPr="00001D13">
              <w:rPr>
                <w:sz w:val="18"/>
                <w:szCs w:val="18"/>
              </w:rPr>
              <w:t>une collection de référence meilleure et plus complète et de mieux examiner les variétés candidates.</w:t>
            </w:r>
          </w:p>
          <w:p w:rsidR="001362DE" w:rsidRPr="00001D13" w:rsidRDefault="001362DE" w:rsidP="00A07942">
            <w:pPr>
              <w:rPr>
                <w:sz w:val="18"/>
                <w:szCs w:val="18"/>
              </w:rPr>
            </w:pPr>
          </w:p>
          <w:p w:rsidR="001362DE" w:rsidRPr="00001D13" w:rsidRDefault="00E2212C" w:rsidP="0037215E">
            <w:pPr>
              <w:rPr>
                <w:sz w:val="18"/>
                <w:szCs w:val="18"/>
              </w:rPr>
            </w:pPr>
            <w:r>
              <w:rPr>
                <w:sz w:val="18"/>
                <w:szCs w:val="18"/>
              </w:rPr>
              <w:t>“</w:t>
            </w:r>
            <w:r w:rsidR="00006DEC" w:rsidRPr="00001D13">
              <w:rPr>
                <w:sz w:val="18"/>
                <w:szCs w:val="18"/>
              </w:rPr>
              <w:t>La création d</w:t>
            </w:r>
            <w:r w:rsidR="00C4117D">
              <w:rPr>
                <w:sz w:val="18"/>
                <w:szCs w:val="18"/>
              </w:rPr>
              <w:t>’</w:t>
            </w:r>
            <w:r w:rsidR="00006DEC" w:rsidRPr="00001D13">
              <w:rPr>
                <w:sz w:val="18"/>
                <w:szCs w:val="18"/>
              </w:rPr>
              <w:t>une description variétale assortie de données statistiques est une lourde charge pour le</w:t>
            </w:r>
            <w:r w:rsidR="0037215E">
              <w:rPr>
                <w:sz w:val="18"/>
                <w:szCs w:val="18"/>
              </w:rPr>
              <w:t> </w:t>
            </w:r>
            <w:r w:rsidR="00006DEC" w:rsidRPr="00001D13">
              <w:rPr>
                <w:sz w:val="18"/>
                <w:szCs w:val="18"/>
              </w:rPr>
              <w:t>demandeur;  c</w:t>
            </w:r>
            <w:r w:rsidR="00C4117D">
              <w:rPr>
                <w:sz w:val="18"/>
                <w:szCs w:val="18"/>
              </w:rPr>
              <w:t>’</w:t>
            </w:r>
            <w:r w:rsidR="00006DEC" w:rsidRPr="00001D13">
              <w:rPr>
                <w:sz w:val="18"/>
                <w:szCs w:val="18"/>
              </w:rPr>
              <w:t>est pourquoi les entreprises semencières ne déposent pas de demande de droit d</w:t>
            </w:r>
            <w:r w:rsidR="00C4117D">
              <w:rPr>
                <w:sz w:val="18"/>
                <w:szCs w:val="18"/>
              </w:rPr>
              <w:t>’</w:t>
            </w:r>
            <w:r w:rsidR="00006DEC" w:rsidRPr="00001D13">
              <w:rPr>
                <w:sz w:val="18"/>
                <w:szCs w:val="18"/>
              </w:rPr>
              <w:t>obtenteur dans ce pays.  Exemple</w:t>
            </w:r>
            <w:r>
              <w:rPr>
                <w:sz w:val="18"/>
                <w:szCs w:val="18"/>
              </w:rPr>
              <w:t> </w:t>
            </w:r>
            <w:r w:rsidR="00006DEC" w:rsidRPr="00001D13">
              <w:rPr>
                <w:sz w:val="18"/>
                <w:szCs w:val="18"/>
              </w:rPr>
              <w:t>: les mêmes variétés de maïs ont été décrites de tant de façons différentes qu</w:t>
            </w:r>
            <w:r w:rsidR="00C4117D">
              <w:rPr>
                <w:sz w:val="18"/>
                <w:szCs w:val="18"/>
              </w:rPr>
              <w:t>’</w:t>
            </w:r>
            <w:r w:rsidR="00006DEC" w:rsidRPr="00001D13">
              <w:rPr>
                <w:sz w:val="18"/>
                <w:szCs w:val="18"/>
              </w:rPr>
              <w:t>un certain nombre de caractères ne peuvent plus être utilis</w:t>
            </w:r>
            <w:r w:rsidR="0037215E">
              <w:rPr>
                <w:sz w:val="18"/>
                <w:szCs w:val="18"/>
              </w:rPr>
              <w:t>és pour distinguer les variétés.”</w:t>
            </w:r>
          </w:p>
        </w:tc>
      </w:tr>
      <w:tr w:rsidR="005F3D0F" w:rsidRPr="00BE1231" w:rsidTr="00001D13">
        <w:tc>
          <w:tcPr>
            <w:tcW w:w="8646" w:type="dxa"/>
            <w:shd w:val="clear" w:color="auto" w:fill="auto"/>
          </w:tcPr>
          <w:p w:rsidR="00820ADA" w:rsidRPr="00001D13" w:rsidRDefault="00820ADA" w:rsidP="00820ADA">
            <w:pPr>
              <w:rPr>
                <w:i/>
              </w:rPr>
            </w:pPr>
            <w:r w:rsidRPr="00001D13">
              <w:rPr>
                <w:i/>
              </w:rPr>
              <w:t>Documents UPOV pertinents</w:t>
            </w:r>
            <w:r w:rsidR="00E2212C">
              <w:rPr>
                <w:i/>
              </w:rPr>
              <w:t> </w:t>
            </w:r>
            <w:r w:rsidRPr="00001D13">
              <w:rPr>
                <w:i/>
              </w:rPr>
              <w:t>:</w:t>
            </w:r>
          </w:p>
          <w:p w:rsidR="001362DE" w:rsidRPr="00001D13" w:rsidRDefault="001362DE" w:rsidP="00557635">
            <w:pPr>
              <w:rPr>
                <w:i/>
              </w:rPr>
            </w:pPr>
          </w:p>
          <w:p w:rsidR="005F3D0F" w:rsidRPr="00001D13" w:rsidRDefault="00BF6F19" w:rsidP="0037215E">
            <w:pPr>
              <w:pStyle w:val="ListParagraph"/>
              <w:numPr>
                <w:ilvl w:val="0"/>
                <w:numId w:val="5"/>
              </w:numPr>
              <w:tabs>
                <w:tab w:val="left" w:pos="290"/>
                <w:tab w:val="left" w:pos="574"/>
              </w:tabs>
              <w:ind w:left="574" w:hanging="284"/>
              <w:rPr>
                <w:i/>
              </w:rPr>
            </w:pPr>
            <w:r w:rsidRPr="00001D13">
              <w:rPr>
                <w:i/>
                <w:snapToGrid w:val="0"/>
                <w:color w:val="000000"/>
              </w:rPr>
              <w:t xml:space="preserve">TGP/6 </w:t>
            </w:r>
            <w:r w:rsidR="00E2212C">
              <w:rPr>
                <w:i/>
                <w:snapToGrid w:val="0"/>
                <w:color w:val="000000"/>
              </w:rPr>
              <w:t>“</w:t>
            </w:r>
            <w:r w:rsidRPr="00001D13">
              <w:rPr>
                <w:i/>
                <w:snapToGrid w:val="0"/>
                <w:color w:val="000000"/>
              </w:rPr>
              <w:t>Arrangements en vue de l</w:t>
            </w:r>
            <w:r w:rsidR="00C4117D">
              <w:rPr>
                <w:i/>
                <w:snapToGrid w:val="0"/>
                <w:color w:val="000000"/>
              </w:rPr>
              <w:t>’</w:t>
            </w:r>
            <w:r w:rsidRPr="00001D13">
              <w:rPr>
                <w:i/>
                <w:snapToGrid w:val="0"/>
                <w:color w:val="000000"/>
              </w:rPr>
              <w:t>examen</w:t>
            </w:r>
            <w:r w:rsidR="00E2212C">
              <w:rPr>
                <w:i/>
                <w:snapToGrid w:val="0"/>
                <w:color w:val="000000"/>
              </w:rPr>
              <w:t> </w:t>
            </w:r>
            <w:r w:rsidRPr="00001D13">
              <w:rPr>
                <w:i/>
                <w:snapToGrid w:val="0"/>
                <w:color w:val="000000"/>
              </w:rPr>
              <w:t>DHS</w:t>
            </w:r>
            <w:r w:rsidR="00E2212C">
              <w:rPr>
                <w:i/>
                <w:snapToGrid w:val="0"/>
                <w:color w:val="000000"/>
              </w:rPr>
              <w:t>”</w:t>
            </w:r>
            <w:r w:rsidRPr="00001D13">
              <w:rPr>
                <w:i/>
                <w:snapToGrid w:val="0"/>
                <w:color w:val="000000"/>
              </w:rPr>
              <w:t>, section</w:t>
            </w:r>
            <w:r w:rsidR="00E2212C">
              <w:rPr>
                <w:i/>
                <w:snapToGrid w:val="0"/>
                <w:color w:val="000000"/>
              </w:rPr>
              <w:t> </w:t>
            </w:r>
            <w:r w:rsidRPr="00001D13">
              <w:rPr>
                <w:i/>
                <w:snapToGrid w:val="0"/>
                <w:color w:val="000000"/>
              </w:rPr>
              <w:t xml:space="preserve">3 </w:t>
            </w:r>
            <w:r w:rsidR="00E2212C">
              <w:rPr>
                <w:i/>
                <w:snapToGrid w:val="0"/>
                <w:color w:val="000000"/>
              </w:rPr>
              <w:t>“</w:t>
            </w:r>
            <w:bookmarkStart w:id="49" w:name="hit5"/>
            <w:bookmarkEnd w:id="49"/>
            <w:r w:rsidRPr="00001D13">
              <w:rPr>
                <w:i/>
                <w:snapToGrid w:val="0"/>
                <w:color w:val="000000"/>
              </w:rPr>
              <w:t xml:space="preserve">Déclaration </w:t>
            </w:r>
            <w:bookmarkStart w:id="50" w:name="hit6"/>
            <w:bookmarkEnd w:id="50"/>
            <w:r w:rsidRPr="00001D13">
              <w:rPr>
                <w:i/>
                <w:snapToGrid w:val="0"/>
                <w:color w:val="000000"/>
              </w:rPr>
              <w:t xml:space="preserve">relative </w:t>
            </w:r>
            <w:bookmarkStart w:id="51" w:name="hit7"/>
            <w:bookmarkEnd w:id="51"/>
            <w:r w:rsidRPr="00001D13">
              <w:rPr>
                <w:i/>
                <w:snapToGrid w:val="0"/>
                <w:color w:val="000000"/>
              </w:rPr>
              <w:t>aux</w:t>
            </w:r>
            <w:bookmarkStart w:id="52" w:name="hit_last"/>
            <w:bookmarkEnd w:id="52"/>
            <w:r w:rsidR="0037215E">
              <w:rPr>
                <w:i/>
                <w:snapToGrid w:val="0"/>
                <w:color w:val="000000"/>
              </w:rPr>
              <w:t> </w:t>
            </w:r>
            <w:r w:rsidRPr="00001D13">
              <w:rPr>
                <w:i/>
                <w:snapToGrid w:val="0"/>
                <w:color w:val="000000"/>
              </w:rPr>
              <w:t>conditions de l</w:t>
            </w:r>
            <w:r w:rsidR="00C4117D">
              <w:rPr>
                <w:i/>
                <w:snapToGrid w:val="0"/>
                <w:color w:val="000000"/>
              </w:rPr>
              <w:t>’</w:t>
            </w:r>
            <w:r w:rsidRPr="00001D13">
              <w:rPr>
                <w:i/>
                <w:snapToGrid w:val="0"/>
                <w:color w:val="000000"/>
              </w:rPr>
              <w:t>examen d</w:t>
            </w:r>
            <w:r w:rsidR="00C4117D">
              <w:rPr>
                <w:i/>
                <w:snapToGrid w:val="0"/>
                <w:color w:val="000000"/>
              </w:rPr>
              <w:t>’</w:t>
            </w:r>
            <w:r w:rsidRPr="00001D13">
              <w:rPr>
                <w:i/>
                <w:snapToGrid w:val="0"/>
                <w:color w:val="000000"/>
              </w:rPr>
              <w:t>une variété fondée sur des essais effectués par l</w:t>
            </w:r>
            <w:r w:rsidR="00C4117D">
              <w:rPr>
                <w:i/>
                <w:snapToGrid w:val="0"/>
                <w:color w:val="000000"/>
              </w:rPr>
              <w:t>’</w:t>
            </w:r>
            <w:r w:rsidRPr="00001D13">
              <w:rPr>
                <w:i/>
                <w:snapToGrid w:val="0"/>
                <w:color w:val="000000"/>
              </w:rPr>
              <w:t>obtenteur ou pour son compte</w:t>
            </w:r>
            <w:r w:rsidR="00E2212C">
              <w:rPr>
                <w:i/>
                <w:snapToGrid w:val="0"/>
                <w:color w:val="000000"/>
              </w:rPr>
              <w:t>”</w:t>
            </w:r>
          </w:p>
        </w:tc>
      </w:tr>
    </w:tbl>
    <w:p w:rsidR="001362DE" w:rsidRPr="00BE1231" w:rsidRDefault="001362DE"/>
    <w:p w:rsidR="001362DE" w:rsidRPr="00BE1231" w:rsidRDefault="001362DE" w:rsidP="001362DE">
      <w:pPr>
        <w:pStyle w:val="Heading3"/>
      </w:pPr>
      <w:bookmarkStart w:id="53" w:name="_Toc381170160"/>
      <w:r w:rsidRPr="00BE1231">
        <w:rPr>
          <w:noProof/>
        </w:rPr>
        <w:t>g)</w:t>
      </w:r>
      <w:r w:rsidRPr="00BE1231">
        <w:rPr>
          <w:noProof/>
        </w:rPr>
        <w:tab/>
      </w:r>
      <w:r w:rsidR="00D854B0" w:rsidRPr="00BE1231">
        <w:rPr>
          <w:noProof/>
        </w:rPr>
        <w:t>Bases de données sur les descriptions variétales</w:t>
      </w:r>
      <w:bookmarkEnd w:id="53"/>
    </w:p>
    <w:p w:rsidR="001362DE" w:rsidRPr="00450605" w:rsidRDefault="001362DE">
      <w:pPr>
        <w:rPr>
          <w:sz w:val="16"/>
          <w:szCs w:val="16"/>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F0027E" w:rsidRPr="00BE1231" w:rsidTr="00001D13">
        <w:tc>
          <w:tcPr>
            <w:tcW w:w="8646" w:type="dxa"/>
            <w:shd w:val="clear" w:color="auto" w:fill="auto"/>
          </w:tcPr>
          <w:p w:rsidR="00727189" w:rsidRPr="00001D13" w:rsidRDefault="00727189" w:rsidP="00727189">
            <w:pPr>
              <w:rPr>
                <w:sz w:val="18"/>
                <w:szCs w:val="18"/>
              </w:rPr>
            </w:pPr>
            <w:r w:rsidRPr="00001D13">
              <w:rPr>
                <w:sz w:val="18"/>
                <w:szCs w:val="18"/>
              </w:rPr>
              <w:t>[</w:t>
            </w:r>
            <w:r w:rsidR="00820ADA" w:rsidRPr="00001D13">
              <w:rPr>
                <w:sz w:val="18"/>
                <w:szCs w:val="18"/>
              </w:rPr>
              <w:t>Extrait de la lettre de l</w:t>
            </w:r>
            <w:r w:rsidR="00C4117D">
              <w:rPr>
                <w:sz w:val="18"/>
                <w:szCs w:val="18"/>
              </w:rPr>
              <w:t>’</w:t>
            </w:r>
            <w:r w:rsidR="00820ADA" w:rsidRPr="00001D13">
              <w:rPr>
                <w:sz w:val="18"/>
                <w:szCs w:val="18"/>
              </w:rPr>
              <w:t>ISF</w:t>
            </w:r>
            <w:r w:rsidRPr="00001D13">
              <w:rPr>
                <w:sz w:val="18"/>
                <w:szCs w:val="18"/>
              </w:rPr>
              <w:t>]</w:t>
            </w:r>
          </w:p>
          <w:p w:rsidR="001362DE" w:rsidRPr="00001D13" w:rsidRDefault="00E2212C" w:rsidP="001362DE">
            <w:pPr>
              <w:rPr>
                <w:sz w:val="18"/>
                <w:szCs w:val="18"/>
              </w:rPr>
            </w:pPr>
            <w:r>
              <w:rPr>
                <w:sz w:val="18"/>
                <w:szCs w:val="18"/>
              </w:rPr>
              <w:t>“</w:t>
            </w:r>
            <w:r w:rsidR="00006DEC" w:rsidRPr="00001D13">
              <w:rPr>
                <w:noProof/>
                <w:sz w:val="18"/>
                <w:u w:val="single"/>
              </w:rPr>
              <w:t>Base de données sur les descriptions variétales</w:t>
            </w:r>
            <w:r>
              <w:rPr>
                <w:noProof/>
                <w:sz w:val="18"/>
              </w:rPr>
              <w:t>”</w:t>
            </w:r>
            <w:r>
              <w:rPr>
                <w:sz w:val="18"/>
                <w:szCs w:val="18"/>
              </w:rPr>
              <w:t> :</w:t>
            </w:r>
            <w:r w:rsidR="001362DE" w:rsidRPr="00001D13">
              <w:rPr>
                <w:sz w:val="18"/>
                <w:szCs w:val="18"/>
              </w:rPr>
              <w:t xml:space="preserve"> </w:t>
            </w:r>
            <w:r w:rsidR="00006DEC" w:rsidRPr="00001D13">
              <w:rPr>
                <w:sz w:val="18"/>
                <w:szCs w:val="18"/>
              </w:rPr>
              <w:t>Une base de données sur les descriptions variétales, contenant les informations figurant dans le questionnaire technique, devrait être mise à la disposition de toutes les parties intéressées.  Cela améliorerait la gestion des collections de référence et permettrait de disposer d</w:t>
            </w:r>
            <w:r w:rsidR="00C4117D">
              <w:rPr>
                <w:sz w:val="18"/>
                <w:szCs w:val="18"/>
              </w:rPr>
              <w:t>’</w:t>
            </w:r>
            <w:r w:rsidR="00006DEC" w:rsidRPr="00001D13">
              <w:rPr>
                <w:sz w:val="18"/>
                <w:szCs w:val="18"/>
              </w:rPr>
              <w:t>une meilleure base de sélection de variétés de comparaison.</w:t>
            </w:r>
            <w:r>
              <w:rPr>
                <w:sz w:val="18"/>
                <w:szCs w:val="18"/>
              </w:rPr>
              <w:t xml:space="preserve">  “</w:t>
            </w:r>
          </w:p>
        </w:tc>
      </w:tr>
      <w:tr w:rsidR="00F0027E" w:rsidRPr="00BE1231" w:rsidTr="00001D13">
        <w:tc>
          <w:tcPr>
            <w:tcW w:w="8646" w:type="dxa"/>
            <w:shd w:val="clear" w:color="auto" w:fill="auto"/>
          </w:tcPr>
          <w:p w:rsidR="00F0027E" w:rsidRPr="00001D13" w:rsidRDefault="00BF6F19" w:rsidP="00557635">
            <w:pPr>
              <w:rPr>
                <w:i/>
                <w:noProof/>
              </w:rPr>
            </w:pPr>
            <w:r w:rsidRPr="00001D13">
              <w:rPr>
                <w:i/>
                <w:noProof/>
              </w:rPr>
              <w:t>Voir ci</w:t>
            </w:r>
            <w:r w:rsidR="00C4117D">
              <w:rPr>
                <w:i/>
                <w:noProof/>
              </w:rPr>
              <w:t>-</w:t>
            </w:r>
            <w:r w:rsidRPr="00001D13">
              <w:rPr>
                <w:i/>
                <w:noProof/>
              </w:rPr>
              <w:t>après</w:t>
            </w:r>
          </w:p>
        </w:tc>
      </w:tr>
    </w:tbl>
    <w:p w:rsidR="0037215E" w:rsidRDefault="0037215E" w:rsidP="00505A73"/>
    <w:p w:rsidR="00612377" w:rsidRPr="00BE1231" w:rsidRDefault="00185757" w:rsidP="00505A73">
      <w:r w:rsidRPr="00BE1231">
        <w:fldChar w:fldCharType="begin"/>
      </w:r>
      <w:r w:rsidR="00505A73" w:rsidRPr="00BE1231">
        <w:instrText xml:space="preserve"> AUTONUM  </w:instrText>
      </w:r>
      <w:r w:rsidRPr="00BE1231">
        <w:fldChar w:fldCharType="end"/>
      </w:r>
      <w:r w:rsidR="00505A73" w:rsidRPr="00BE1231">
        <w:tab/>
      </w:r>
      <w:r w:rsidR="00612377" w:rsidRPr="00BE1231">
        <w:t>L</w:t>
      </w:r>
      <w:r w:rsidR="00505A73" w:rsidRPr="00BE1231">
        <w:t xml:space="preserve">e </w:t>
      </w:r>
      <w:r w:rsidR="00623264" w:rsidRPr="00BE1231">
        <w:t xml:space="preserve">Comité consultatif </w:t>
      </w:r>
      <w:r w:rsidR="00612377" w:rsidRPr="00BE1231">
        <w:t>a demandé au Bureau de l</w:t>
      </w:r>
      <w:r w:rsidR="00C4117D">
        <w:t>’</w:t>
      </w:r>
      <w:r w:rsidR="00505A73" w:rsidRPr="00BE1231">
        <w:t xml:space="preserve">Union </w:t>
      </w:r>
      <w:r w:rsidR="00612377" w:rsidRPr="00BE1231">
        <w:t>et à l</w:t>
      </w:r>
      <w:r w:rsidR="00C4117D">
        <w:t>’</w:t>
      </w:r>
      <w:r w:rsidR="00505A73" w:rsidRPr="00BE1231">
        <w:t xml:space="preserve">ISF </w:t>
      </w:r>
      <w:r w:rsidR="00612377" w:rsidRPr="00BE1231">
        <w:t>de donner de plus amples détails sur les problèmes rencontrés et les solutions possibles en rapport avec les suggestions de l</w:t>
      </w:r>
      <w:r w:rsidR="00C4117D">
        <w:t>’</w:t>
      </w:r>
      <w:r w:rsidR="00612377" w:rsidRPr="00BE1231">
        <w:t>ISF concernant : un</w:t>
      </w:r>
      <w:r w:rsidR="001031E4">
        <w:t> </w:t>
      </w:r>
      <w:r w:rsidR="00612377" w:rsidRPr="00BE1231">
        <w:t>système</w:t>
      </w:r>
      <w:r w:rsidR="00420CE0" w:rsidRPr="00BE1231">
        <w:t xml:space="preserve"> de dépôt</w:t>
      </w:r>
      <w:r w:rsidR="00612377" w:rsidRPr="00BE1231">
        <w:t xml:space="preserve"> international</w:t>
      </w:r>
      <w:r w:rsidR="00420CE0" w:rsidRPr="00BE1231">
        <w:t>, un programme d</w:t>
      </w:r>
      <w:r w:rsidR="00C4117D">
        <w:t>’</w:t>
      </w:r>
      <w:r w:rsidR="00420CE0" w:rsidRPr="00BE1231">
        <w:t>assurance qualité de l</w:t>
      </w:r>
      <w:r w:rsidR="00C4117D">
        <w:t>’</w:t>
      </w:r>
      <w:r w:rsidR="00420CE0" w:rsidRPr="00BE1231">
        <w:t>UPOV et un système central d</w:t>
      </w:r>
      <w:r w:rsidR="00C4117D">
        <w:t>’</w:t>
      </w:r>
      <w:r w:rsidR="00420CE0" w:rsidRPr="00BE1231">
        <w:t>approbation des dénominations variétales, pour examen par le Comité consultatif à sa quatre</w:t>
      </w:r>
      <w:r w:rsidR="00943930" w:rsidRPr="003961D4">
        <w:noBreakHyphen/>
      </w:r>
      <w:r w:rsidR="00420CE0" w:rsidRPr="00BE1231">
        <w:t>vingt</w:t>
      </w:r>
      <w:r w:rsidR="00943930" w:rsidRPr="003961D4">
        <w:noBreakHyphen/>
      </w:r>
      <w:r w:rsidR="00420CE0" w:rsidRPr="00BE1231">
        <w:t>septième session.</w:t>
      </w:r>
    </w:p>
    <w:p w:rsidR="00CE1419" w:rsidRPr="00BE1231" w:rsidRDefault="00CE1419" w:rsidP="00505A73"/>
    <w:p w:rsidR="00420CE0" w:rsidRPr="00BE1231" w:rsidRDefault="00185757" w:rsidP="00505A73">
      <w:r w:rsidRPr="00BE1231">
        <w:fldChar w:fldCharType="begin"/>
      </w:r>
      <w:r w:rsidR="00CE1419" w:rsidRPr="00BE1231">
        <w:instrText xml:space="preserve"> AUTONUM  </w:instrText>
      </w:r>
      <w:r w:rsidRPr="00BE1231">
        <w:fldChar w:fldCharType="end"/>
      </w:r>
      <w:r w:rsidR="00CE1419" w:rsidRPr="00BE1231">
        <w:tab/>
      </w:r>
      <w:r w:rsidR="00420CE0" w:rsidRPr="00BE1231">
        <w:t>Avant de commencer à examiner les</w:t>
      </w:r>
      <w:r w:rsidR="00943930">
        <w:t xml:space="preserve"> questions énoncées aux points a) à </w:t>
      </w:r>
      <w:r w:rsidR="00420CE0" w:rsidRPr="00BE1231">
        <w:t>f) ci</w:t>
      </w:r>
      <w:r w:rsidR="00C4117D">
        <w:t>-</w:t>
      </w:r>
      <w:r w:rsidR="00420CE0" w:rsidRPr="00BE1231">
        <w:t>dessus, que le Comité consultatif porte à l</w:t>
      </w:r>
      <w:r w:rsidR="00C4117D">
        <w:t>’</w:t>
      </w:r>
      <w:r w:rsidR="00420CE0" w:rsidRPr="00BE1231">
        <w:t>attention du</w:t>
      </w:r>
      <w:r w:rsidR="00C4117D">
        <w:t> TC</w:t>
      </w:r>
      <w:r w:rsidR="00420CE0" w:rsidRPr="00BE1231">
        <w:t>, celui</w:t>
      </w:r>
      <w:r w:rsidR="00C4117D">
        <w:t>-</w:t>
      </w:r>
      <w:r w:rsidR="00420CE0" w:rsidRPr="00BE1231">
        <w:t>ci souhaitera éventuellement inviter l</w:t>
      </w:r>
      <w:r w:rsidR="00C4117D">
        <w:t>’</w:t>
      </w:r>
      <w:r w:rsidR="00420CE0" w:rsidRPr="00BE1231">
        <w:t xml:space="preserve">ISF à examiner les documents UPOV pertinents indiqués et à </w:t>
      </w:r>
      <w:r w:rsidR="008447D6" w:rsidRPr="00BE1231">
        <w:t>préciser</w:t>
      </w:r>
      <w:r w:rsidR="00420CE0" w:rsidRPr="00BE1231">
        <w:t xml:space="preserve"> dans quels cas elle estime nécessaire d</w:t>
      </w:r>
      <w:r w:rsidR="00C4117D">
        <w:t>’</w:t>
      </w:r>
      <w:r w:rsidR="00420CE0" w:rsidRPr="00BE1231">
        <w:t>élaborer de nouvelles orientations.</w:t>
      </w:r>
    </w:p>
    <w:p w:rsidR="00FA5BBD" w:rsidRPr="00BE1231" w:rsidRDefault="00FA5BBD" w:rsidP="00505A73"/>
    <w:p w:rsidR="008447D6" w:rsidRPr="00BE1231" w:rsidRDefault="00185757" w:rsidP="009628A1">
      <w:r w:rsidRPr="00BE1231">
        <w:fldChar w:fldCharType="begin"/>
      </w:r>
      <w:r w:rsidR="009628A1" w:rsidRPr="00BE1231">
        <w:instrText xml:space="preserve"> AUTONUM  </w:instrText>
      </w:r>
      <w:r w:rsidRPr="00BE1231">
        <w:fldChar w:fldCharType="end"/>
      </w:r>
      <w:r w:rsidR="009628A1" w:rsidRPr="00BE1231">
        <w:tab/>
      </w:r>
      <w:r w:rsidR="008447D6" w:rsidRPr="00BE1231">
        <w:t>S</w:t>
      </w:r>
      <w:r w:rsidR="00C4117D">
        <w:t>’</w:t>
      </w:r>
      <w:r w:rsidR="008447D6" w:rsidRPr="00BE1231">
        <w:t>agissant d</w:t>
      </w:r>
      <w:r w:rsidR="00C4117D">
        <w:t>’</w:t>
      </w:r>
      <w:r w:rsidR="008447D6" w:rsidRPr="00BE1231">
        <w:t>une demande de l</w:t>
      </w:r>
      <w:r w:rsidR="00C4117D">
        <w:t>’</w:t>
      </w:r>
      <w:r w:rsidR="008447D6" w:rsidRPr="00BE1231">
        <w:t>ISF relative à l</w:t>
      </w:r>
      <w:r w:rsidR="00C4117D">
        <w:t>’</w:t>
      </w:r>
      <w:r w:rsidR="008447D6" w:rsidRPr="00BE1231">
        <w:t>élaboration d</w:t>
      </w:r>
      <w:r w:rsidR="00C4117D">
        <w:t>’</w:t>
      </w:r>
      <w:r w:rsidR="008447D6" w:rsidRPr="00BE1231">
        <w:t>une base de données sur les descriptions variétales, contenant les informations figurant dans le questionnaire technique et mise</w:t>
      </w:r>
      <w:r w:rsidR="00EC230B">
        <w:t>s</w:t>
      </w:r>
      <w:r w:rsidR="008447D6" w:rsidRPr="00BE1231">
        <w:t xml:space="preserve"> à la disposition de toutes</w:t>
      </w:r>
      <w:r w:rsidR="00943930">
        <w:t xml:space="preserve"> les parties intéressées (voir </w:t>
      </w:r>
      <w:r w:rsidR="008447D6" w:rsidRPr="00BE1231">
        <w:t>g) ci</w:t>
      </w:r>
      <w:r w:rsidR="00C4117D">
        <w:t>-</w:t>
      </w:r>
      <w:r w:rsidR="00943930">
        <w:t>après</w:t>
      </w:r>
      <w:r w:rsidR="008447D6" w:rsidRPr="00BE1231">
        <w:t>), le Comité consultatif est convenu d</w:t>
      </w:r>
      <w:r w:rsidR="00C4117D">
        <w:t>’</w:t>
      </w:r>
      <w:r w:rsidR="008447D6" w:rsidRPr="00BE1231">
        <w:t>inviter l</w:t>
      </w:r>
      <w:r w:rsidR="00C4117D">
        <w:t>’</w:t>
      </w:r>
      <w:r w:rsidR="008447D6" w:rsidRPr="00BE1231">
        <w:t>ISF à faire part au</w:t>
      </w:r>
      <w:r w:rsidR="00C4117D">
        <w:t> TC</w:t>
      </w:r>
      <w:r w:rsidR="008447D6" w:rsidRPr="00BE1231">
        <w:t xml:space="preserve"> de ses points de vue concernant les bases de données sur les descriptions variétales et les critères recensés par le</w:t>
      </w:r>
      <w:r w:rsidR="00C4117D">
        <w:t> TC</w:t>
      </w:r>
      <w:r w:rsidR="008447D6" w:rsidRPr="00BE1231">
        <w:t xml:space="preserve"> pour la publication de descriptions variétales, énoncés dans le </w:t>
      </w:r>
      <w:r w:rsidR="00C4117D" w:rsidRPr="00BE1231">
        <w:t>document</w:t>
      </w:r>
      <w:r w:rsidR="00C4117D">
        <w:t xml:space="preserve"> TC</w:t>
      </w:r>
      <w:r w:rsidR="008447D6" w:rsidRPr="00BE1231">
        <w:t xml:space="preserve">/45/9 </w:t>
      </w:r>
      <w:r w:rsidR="00E2212C">
        <w:t>“</w:t>
      </w:r>
      <w:r w:rsidR="008447D6" w:rsidRPr="00BE1231">
        <w:t>Publication des descriptions variétales</w:t>
      </w:r>
      <w:r w:rsidR="00E2212C">
        <w:t>”.</w:t>
      </w:r>
      <w:r w:rsidR="008447D6" w:rsidRPr="00BE1231">
        <w:t xml:space="preserve"> </w:t>
      </w:r>
      <w:r w:rsidR="00404062">
        <w:t xml:space="preserve"> </w:t>
      </w:r>
      <w:r w:rsidR="008447D6" w:rsidRPr="00BE1231">
        <w:t>Ce document indique ceci</w:t>
      </w:r>
      <w:r w:rsidR="00E2212C">
        <w:t> </w:t>
      </w:r>
      <w:r w:rsidR="008447D6" w:rsidRPr="00BE1231">
        <w:t>:</w:t>
      </w:r>
    </w:p>
    <w:p w:rsidR="009628A1" w:rsidRPr="00BE1231" w:rsidRDefault="009628A1" w:rsidP="009628A1"/>
    <w:p w:rsidR="009628A1" w:rsidRPr="00BE1231" w:rsidRDefault="00E2212C" w:rsidP="004058E7">
      <w:pPr>
        <w:ind w:left="567" w:right="567"/>
        <w:rPr>
          <w:sz w:val="18"/>
          <w:szCs w:val="18"/>
        </w:rPr>
      </w:pPr>
      <w:r>
        <w:rPr>
          <w:sz w:val="18"/>
          <w:szCs w:val="18"/>
        </w:rPr>
        <w:t>“</w:t>
      </w:r>
      <w:r w:rsidR="009628A1" w:rsidRPr="00BE1231">
        <w:rPr>
          <w:sz w:val="18"/>
          <w:szCs w:val="18"/>
        </w:rPr>
        <w:t>1.</w:t>
      </w:r>
      <w:r w:rsidR="009628A1" w:rsidRPr="00BE1231">
        <w:rPr>
          <w:sz w:val="18"/>
          <w:szCs w:val="18"/>
        </w:rPr>
        <w:tab/>
      </w:r>
      <w:r w:rsidR="004058E7" w:rsidRPr="00BE1231">
        <w:rPr>
          <w:sz w:val="18"/>
          <w:szCs w:val="18"/>
        </w:rPr>
        <w:t>Il est rappelé que le projet consistant à envisager la publication des descriptions variétales (voir l</w:t>
      </w:r>
      <w:r w:rsidR="00C4117D">
        <w:rPr>
          <w:sz w:val="18"/>
          <w:szCs w:val="18"/>
        </w:rPr>
        <w:t>’</w:t>
      </w:r>
      <w:r w:rsidR="004058E7" w:rsidRPr="00BE1231">
        <w:rPr>
          <w:sz w:val="18"/>
          <w:szCs w:val="18"/>
        </w:rPr>
        <w:t xml:space="preserve">annexe du </w:t>
      </w:r>
      <w:r w:rsidR="00C4117D" w:rsidRPr="00BE1231">
        <w:rPr>
          <w:sz w:val="18"/>
          <w:szCs w:val="18"/>
        </w:rPr>
        <w:t>document</w:t>
      </w:r>
      <w:r w:rsidR="00C4117D">
        <w:rPr>
          <w:sz w:val="18"/>
          <w:szCs w:val="18"/>
        </w:rPr>
        <w:t xml:space="preserve"> TC</w:t>
      </w:r>
      <w:r w:rsidR="004058E7" w:rsidRPr="00BE1231">
        <w:rPr>
          <w:sz w:val="18"/>
          <w:szCs w:val="18"/>
        </w:rPr>
        <w:t>/38/10) a pour buts</w:t>
      </w:r>
      <w:r>
        <w:rPr>
          <w:sz w:val="18"/>
          <w:szCs w:val="18"/>
        </w:rPr>
        <w:t> </w:t>
      </w:r>
      <w:r w:rsidR="009628A1" w:rsidRPr="00BE1231">
        <w:rPr>
          <w:sz w:val="18"/>
          <w:szCs w:val="18"/>
        </w:rPr>
        <w:t>:</w:t>
      </w:r>
    </w:p>
    <w:p w:rsidR="004058E7" w:rsidRPr="00BE1231" w:rsidRDefault="004058E7" w:rsidP="00467D0A">
      <w:pPr>
        <w:ind w:left="1134" w:right="567"/>
        <w:rPr>
          <w:sz w:val="18"/>
          <w:szCs w:val="18"/>
        </w:rPr>
      </w:pPr>
    </w:p>
    <w:p w:rsidR="00AB76FD" w:rsidRDefault="00E2212C" w:rsidP="004058E7">
      <w:pPr>
        <w:ind w:left="1134" w:right="567"/>
        <w:rPr>
          <w:sz w:val="18"/>
          <w:szCs w:val="18"/>
        </w:rPr>
      </w:pPr>
      <w:r>
        <w:rPr>
          <w:sz w:val="18"/>
          <w:szCs w:val="18"/>
        </w:rPr>
        <w:t>“</w:t>
      </w:r>
      <w:proofErr w:type="gramStart"/>
      <w:r w:rsidR="00943930">
        <w:rPr>
          <w:sz w:val="18"/>
          <w:szCs w:val="18"/>
        </w:rPr>
        <w:t>a</w:t>
      </w:r>
      <w:proofErr w:type="gramEnd"/>
      <w:r w:rsidR="00943930">
        <w:rPr>
          <w:sz w:val="18"/>
          <w:szCs w:val="18"/>
        </w:rPr>
        <w:t>)</w:t>
      </w:r>
      <w:r w:rsidR="001031E4">
        <w:rPr>
          <w:sz w:val="18"/>
          <w:szCs w:val="18"/>
        </w:rPr>
        <w:tab/>
      </w:r>
      <w:r w:rsidR="004058E7" w:rsidRPr="00BE1231">
        <w:rPr>
          <w:sz w:val="18"/>
          <w:szCs w:val="18"/>
        </w:rPr>
        <w:t>de mettre davantage d</w:t>
      </w:r>
      <w:r w:rsidR="00C4117D">
        <w:rPr>
          <w:sz w:val="18"/>
          <w:szCs w:val="18"/>
        </w:rPr>
        <w:t>’</w:t>
      </w:r>
      <w:r w:rsidR="004058E7" w:rsidRPr="00BE1231">
        <w:rPr>
          <w:sz w:val="18"/>
          <w:szCs w:val="18"/>
        </w:rPr>
        <w:t>informations relatives aux descriptions variétales à la disposition des parties intéressées (examinateurs DHS, obtenteurs et conservateurs de variétés notoirement connues), de façon à optimaliser l</w:t>
      </w:r>
      <w:r w:rsidR="00C4117D">
        <w:rPr>
          <w:sz w:val="18"/>
          <w:szCs w:val="18"/>
        </w:rPr>
        <w:t>’</w:t>
      </w:r>
      <w:r w:rsidR="004058E7" w:rsidRPr="00BE1231">
        <w:rPr>
          <w:sz w:val="18"/>
          <w:szCs w:val="18"/>
        </w:rPr>
        <w:t>efficacité de l</w:t>
      </w:r>
      <w:r w:rsidR="00C4117D">
        <w:rPr>
          <w:sz w:val="18"/>
          <w:szCs w:val="18"/>
        </w:rPr>
        <w:t>’</w:t>
      </w:r>
      <w:r w:rsidR="004058E7" w:rsidRPr="00BE1231">
        <w:rPr>
          <w:sz w:val="18"/>
          <w:szCs w:val="18"/>
        </w:rPr>
        <w:t xml:space="preserve">examen de la distinction; </w:t>
      </w:r>
      <w:r w:rsidR="00BE1231">
        <w:rPr>
          <w:sz w:val="18"/>
          <w:szCs w:val="18"/>
        </w:rPr>
        <w:t xml:space="preserve"> </w:t>
      </w:r>
      <w:r w:rsidR="004058E7" w:rsidRPr="00BE1231">
        <w:rPr>
          <w:sz w:val="18"/>
          <w:szCs w:val="18"/>
        </w:rPr>
        <w:t>et</w:t>
      </w:r>
    </w:p>
    <w:p w:rsidR="00AB76FD" w:rsidRDefault="00AB76FD" w:rsidP="004058E7">
      <w:pPr>
        <w:ind w:left="1134" w:right="567"/>
        <w:rPr>
          <w:sz w:val="18"/>
          <w:szCs w:val="18"/>
        </w:rPr>
      </w:pPr>
    </w:p>
    <w:p w:rsidR="009628A1" w:rsidRPr="00BE1231" w:rsidRDefault="00E2212C" w:rsidP="004058E7">
      <w:pPr>
        <w:ind w:left="1134" w:right="567"/>
        <w:rPr>
          <w:sz w:val="18"/>
          <w:szCs w:val="18"/>
        </w:rPr>
      </w:pPr>
      <w:r>
        <w:rPr>
          <w:sz w:val="18"/>
          <w:szCs w:val="18"/>
        </w:rPr>
        <w:t>“</w:t>
      </w:r>
      <w:r w:rsidR="00943930">
        <w:rPr>
          <w:sz w:val="18"/>
          <w:szCs w:val="18"/>
        </w:rPr>
        <w:t>b)</w:t>
      </w:r>
      <w:r w:rsidR="001031E4">
        <w:rPr>
          <w:sz w:val="18"/>
          <w:szCs w:val="18"/>
        </w:rPr>
        <w:tab/>
      </w:r>
      <w:r w:rsidR="004058E7" w:rsidRPr="00BE1231">
        <w:rPr>
          <w:sz w:val="18"/>
          <w:szCs w:val="18"/>
        </w:rPr>
        <w:t>d</w:t>
      </w:r>
      <w:r w:rsidR="00C4117D">
        <w:rPr>
          <w:sz w:val="18"/>
          <w:szCs w:val="18"/>
        </w:rPr>
        <w:t>’</w:t>
      </w:r>
      <w:r w:rsidR="004058E7" w:rsidRPr="00BE1231">
        <w:rPr>
          <w:sz w:val="18"/>
          <w:szCs w:val="18"/>
        </w:rPr>
        <w:t>utiliser les éléments appropriés de la description variétale, au cours de l</w:t>
      </w:r>
      <w:r w:rsidR="00C4117D">
        <w:rPr>
          <w:sz w:val="18"/>
          <w:szCs w:val="18"/>
        </w:rPr>
        <w:t>’</w:t>
      </w:r>
      <w:r w:rsidR="004058E7" w:rsidRPr="00BE1231">
        <w:rPr>
          <w:sz w:val="18"/>
          <w:szCs w:val="18"/>
        </w:rPr>
        <w:t>examen de la</w:t>
      </w:r>
      <w:r w:rsidR="001031E4">
        <w:rPr>
          <w:sz w:val="18"/>
          <w:szCs w:val="18"/>
        </w:rPr>
        <w:t> </w:t>
      </w:r>
      <w:r w:rsidR="004058E7" w:rsidRPr="00BE1231">
        <w:rPr>
          <w:sz w:val="18"/>
          <w:szCs w:val="18"/>
        </w:rPr>
        <w:t>distinction, pour éliminer les variétés qui ne nécessitent pas d</w:t>
      </w:r>
      <w:r w:rsidR="00C4117D">
        <w:rPr>
          <w:sz w:val="18"/>
          <w:szCs w:val="18"/>
        </w:rPr>
        <w:t>’</w:t>
      </w:r>
      <w:r w:rsidR="004058E7" w:rsidRPr="00BE1231">
        <w:rPr>
          <w:sz w:val="18"/>
          <w:szCs w:val="18"/>
        </w:rPr>
        <w:t xml:space="preserve">autres comparaisons et pour recenser les variétés par rapport auxquelles une comparaison plus poussée est nécessaire. </w:t>
      </w:r>
      <w:r>
        <w:rPr>
          <w:sz w:val="18"/>
          <w:szCs w:val="18"/>
        </w:rPr>
        <w:t xml:space="preserve"> </w:t>
      </w:r>
      <w:r w:rsidR="004058E7" w:rsidRPr="00BE1231">
        <w:rPr>
          <w:sz w:val="18"/>
          <w:szCs w:val="18"/>
        </w:rPr>
        <w:cr/>
      </w:r>
    </w:p>
    <w:p w:rsidR="00AB76FD" w:rsidRDefault="00E2212C" w:rsidP="004058E7">
      <w:pPr>
        <w:ind w:left="567" w:right="567"/>
        <w:rPr>
          <w:sz w:val="18"/>
          <w:szCs w:val="18"/>
        </w:rPr>
      </w:pPr>
      <w:r>
        <w:rPr>
          <w:sz w:val="18"/>
          <w:szCs w:val="18"/>
        </w:rPr>
        <w:t>“</w:t>
      </w:r>
      <w:r w:rsidR="009628A1" w:rsidRPr="00BE1231">
        <w:rPr>
          <w:sz w:val="18"/>
          <w:szCs w:val="18"/>
        </w:rPr>
        <w:t>2.</w:t>
      </w:r>
      <w:r w:rsidR="009628A1" w:rsidRPr="00BE1231">
        <w:rPr>
          <w:sz w:val="18"/>
          <w:szCs w:val="18"/>
        </w:rPr>
        <w:tab/>
      </w:r>
      <w:r w:rsidR="004058E7" w:rsidRPr="00BE1231">
        <w:rPr>
          <w:sz w:val="18"/>
          <w:szCs w:val="18"/>
        </w:rPr>
        <w:t>Lors de sa réunion tenue à Genève le 3</w:t>
      </w:r>
      <w:r w:rsidR="00AB76FD" w:rsidRPr="00BE1231">
        <w:rPr>
          <w:sz w:val="18"/>
          <w:szCs w:val="18"/>
        </w:rPr>
        <w:t>1</w:t>
      </w:r>
      <w:r w:rsidR="00AB76FD">
        <w:rPr>
          <w:sz w:val="18"/>
          <w:szCs w:val="18"/>
        </w:rPr>
        <w:t> </w:t>
      </w:r>
      <w:r w:rsidR="00AB76FD" w:rsidRPr="00BE1231">
        <w:rPr>
          <w:sz w:val="18"/>
          <w:szCs w:val="18"/>
        </w:rPr>
        <w:t>mars</w:t>
      </w:r>
      <w:r w:rsidR="00AB76FD">
        <w:rPr>
          <w:sz w:val="18"/>
          <w:szCs w:val="18"/>
        </w:rPr>
        <w:t> </w:t>
      </w:r>
      <w:r w:rsidR="00AB76FD" w:rsidRPr="00BE1231">
        <w:rPr>
          <w:sz w:val="18"/>
          <w:szCs w:val="18"/>
        </w:rPr>
        <w:t>20</w:t>
      </w:r>
      <w:r w:rsidR="004058E7" w:rsidRPr="00BE1231">
        <w:rPr>
          <w:sz w:val="18"/>
          <w:szCs w:val="18"/>
        </w:rPr>
        <w:t>04, le Groupe de travail ad</w:t>
      </w:r>
      <w:r>
        <w:rPr>
          <w:sz w:val="18"/>
          <w:szCs w:val="18"/>
        </w:rPr>
        <w:t> </w:t>
      </w:r>
      <w:r w:rsidR="004058E7" w:rsidRPr="00BE1231">
        <w:rPr>
          <w:sz w:val="18"/>
          <w:szCs w:val="18"/>
        </w:rPr>
        <w:t>hoc sur la publication des descriptions variétales (WG</w:t>
      </w:r>
      <w:r w:rsidR="00C4117D">
        <w:rPr>
          <w:sz w:val="18"/>
          <w:szCs w:val="18"/>
        </w:rPr>
        <w:t>-</w:t>
      </w:r>
      <w:r w:rsidR="004058E7" w:rsidRPr="00BE1231">
        <w:rPr>
          <w:sz w:val="18"/>
          <w:szCs w:val="18"/>
        </w:rPr>
        <w:t>PVD) a précisé que, en ce qui concerne la base de données UPOV sur les variétés végétales, l</w:t>
      </w:r>
      <w:r w:rsidR="00C4117D">
        <w:rPr>
          <w:sz w:val="18"/>
          <w:szCs w:val="18"/>
        </w:rPr>
        <w:t>’</w:t>
      </w:r>
      <w:r w:rsidR="004058E7" w:rsidRPr="00BE1231">
        <w:rPr>
          <w:sz w:val="18"/>
          <w:szCs w:val="18"/>
        </w:rPr>
        <w:t>intention n</w:t>
      </w:r>
      <w:r w:rsidR="00C4117D">
        <w:rPr>
          <w:sz w:val="18"/>
          <w:szCs w:val="18"/>
        </w:rPr>
        <w:t>’</w:t>
      </w:r>
      <w:r w:rsidR="004058E7" w:rsidRPr="00BE1231">
        <w:rPr>
          <w:sz w:val="18"/>
          <w:szCs w:val="18"/>
        </w:rPr>
        <w:t>était pas d</w:t>
      </w:r>
      <w:r w:rsidR="00C4117D">
        <w:rPr>
          <w:sz w:val="18"/>
          <w:szCs w:val="18"/>
        </w:rPr>
        <w:t>’</w:t>
      </w:r>
      <w:r w:rsidR="004058E7" w:rsidRPr="00BE1231">
        <w:rPr>
          <w:sz w:val="18"/>
          <w:szCs w:val="18"/>
        </w:rPr>
        <w:t>instaurer un examen</w:t>
      </w:r>
      <w:r>
        <w:rPr>
          <w:sz w:val="18"/>
          <w:szCs w:val="18"/>
        </w:rPr>
        <w:t> </w:t>
      </w:r>
      <w:r w:rsidR="004058E7" w:rsidRPr="00BE1231">
        <w:rPr>
          <w:sz w:val="18"/>
          <w:szCs w:val="18"/>
        </w:rPr>
        <w:t xml:space="preserve">DHS </w:t>
      </w:r>
      <w:r w:rsidR="00943930">
        <w:rPr>
          <w:sz w:val="18"/>
          <w:szCs w:val="18"/>
        </w:rPr>
        <w:t>‘</w:t>
      </w:r>
      <w:r w:rsidR="004058E7" w:rsidRPr="00BE1231">
        <w:rPr>
          <w:sz w:val="18"/>
          <w:szCs w:val="18"/>
        </w:rPr>
        <w:t>en ligne</w:t>
      </w:r>
      <w:r w:rsidR="00943930">
        <w:rPr>
          <w:sz w:val="18"/>
          <w:szCs w:val="18"/>
        </w:rPr>
        <w:t>’</w:t>
      </w:r>
      <w:r w:rsidR="004058E7" w:rsidRPr="00BE1231">
        <w:rPr>
          <w:sz w:val="18"/>
          <w:szCs w:val="18"/>
        </w:rPr>
        <w:t>.</w:t>
      </w:r>
    </w:p>
    <w:p w:rsidR="009628A1" w:rsidRPr="00BE1231" w:rsidRDefault="009628A1" w:rsidP="00467D0A">
      <w:pPr>
        <w:ind w:left="567" w:right="567"/>
        <w:rPr>
          <w:sz w:val="18"/>
          <w:szCs w:val="18"/>
        </w:rPr>
      </w:pPr>
    </w:p>
    <w:p w:rsidR="009628A1" w:rsidRPr="00BE1231" w:rsidRDefault="00943930" w:rsidP="00467D0A">
      <w:pPr>
        <w:ind w:left="567" w:right="567"/>
        <w:rPr>
          <w:sz w:val="18"/>
          <w:szCs w:val="18"/>
        </w:rPr>
      </w:pPr>
      <w:r>
        <w:rPr>
          <w:sz w:val="18"/>
          <w:szCs w:val="18"/>
        </w:rPr>
        <w:br w:type="page"/>
      </w:r>
      <w:r w:rsidR="009628A1" w:rsidRPr="00BE1231">
        <w:rPr>
          <w:sz w:val="18"/>
          <w:szCs w:val="18"/>
        </w:rPr>
        <w:t>“3.</w:t>
      </w:r>
      <w:r w:rsidR="009628A1" w:rsidRPr="00BE1231">
        <w:rPr>
          <w:sz w:val="18"/>
          <w:szCs w:val="18"/>
        </w:rPr>
        <w:tab/>
      </w:r>
      <w:r w:rsidR="004058E7" w:rsidRPr="00BE1231">
        <w:rPr>
          <w:sz w:val="18"/>
          <w:szCs w:val="18"/>
        </w:rPr>
        <w:t>Lors de sa quarante</w:t>
      </w:r>
      <w:r w:rsidR="00C4117D">
        <w:rPr>
          <w:sz w:val="18"/>
          <w:szCs w:val="18"/>
        </w:rPr>
        <w:t>-</w:t>
      </w:r>
      <w:r w:rsidR="004058E7" w:rsidRPr="00BE1231">
        <w:rPr>
          <w:sz w:val="18"/>
          <w:szCs w:val="18"/>
        </w:rPr>
        <w:t>troisième</w:t>
      </w:r>
      <w:r w:rsidR="00E2212C">
        <w:rPr>
          <w:sz w:val="18"/>
          <w:szCs w:val="18"/>
        </w:rPr>
        <w:t> </w:t>
      </w:r>
      <w:r w:rsidR="004058E7" w:rsidRPr="00BE1231">
        <w:rPr>
          <w:sz w:val="18"/>
          <w:szCs w:val="18"/>
        </w:rPr>
        <w:t>session, tenue à Genève du 26 au 2</w:t>
      </w:r>
      <w:r w:rsidR="00AB76FD" w:rsidRPr="00BE1231">
        <w:rPr>
          <w:sz w:val="18"/>
          <w:szCs w:val="18"/>
        </w:rPr>
        <w:t>8</w:t>
      </w:r>
      <w:r w:rsidR="00AB76FD">
        <w:rPr>
          <w:sz w:val="18"/>
          <w:szCs w:val="18"/>
        </w:rPr>
        <w:t> </w:t>
      </w:r>
      <w:r w:rsidR="00AB76FD" w:rsidRPr="00BE1231">
        <w:rPr>
          <w:sz w:val="18"/>
          <w:szCs w:val="18"/>
        </w:rPr>
        <w:t>mars</w:t>
      </w:r>
      <w:r w:rsidR="00AB76FD">
        <w:rPr>
          <w:sz w:val="18"/>
          <w:szCs w:val="18"/>
        </w:rPr>
        <w:t> </w:t>
      </w:r>
      <w:r w:rsidR="00AB76FD" w:rsidRPr="00BE1231">
        <w:rPr>
          <w:sz w:val="18"/>
          <w:szCs w:val="18"/>
        </w:rPr>
        <w:t>20</w:t>
      </w:r>
      <w:r w:rsidR="004058E7" w:rsidRPr="00BE1231">
        <w:rPr>
          <w:sz w:val="18"/>
          <w:szCs w:val="18"/>
        </w:rPr>
        <w:t>07, le Comité technique (TC) a approuvé la liste des critères à prendre en considération par les groupes de travail techniques (TWP) en vue de l</w:t>
      </w:r>
      <w:r w:rsidR="00C4117D">
        <w:rPr>
          <w:sz w:val="18"/>
          <w:szCs w:val="18"/>
        </w:rPr>
        <w:t>’</w:t>
      </w:r>
      <w:r w:rsidR="004058E7" w:rsidRPr="00BE1231">
        <w:rPr>
          <w:sz w:val="18"/>
          <w:szCs w:val="18"/>
        </w:rPr>
        <w:t>utilisation des descriptions provenant de différents endroits et de différentes sources, qui s</w:t>
      </w:r>
      <w:r w:rsidR="00C4117D">
        <w:rPr>
          <w:sz w:val="18"/>
          <w:szCs w:val="18"/>
        </w:rPr>
        <w:t>’</w:t>
      </w:r>
      <w:r w:rsidR="004058E7" w:rsidRPr="00BE1231">
        <w:rPr>
          <w:sz w:val="18"/>
          <w:szCs w:val="18"/>
        </w:rPr>
        <w:t>établit ainsi</w:t>
      </w:r>
      <w:r w:rsidR="00E2212C">
        <w:rPr>
          <w:sz w:val="18"/>
          <w:szCs w:val="18"/>
        </w:rPr>
        <w:t> </w:t>
      </w:r>
      <w:r w:rsidR="004058E7" w:rsidRPr="00BE1231">
        <w:rPr>
          <w:sz w:val="18"/>
          <w:szCs w:val="18"/>
        </w:rPr>
        <w:t xml:space="preserve">: </w:t>
      </w:r>
      <w:r w:rsidR="004058E7" w:rsidRPr="00BE1231">
        <w:rPr>
          <w:sz w:val="18"/>
          <w:szCs w:val="18"/>
        </w:rPr>
        <w:cr/>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a</w:t>
      </w:r>
      <w:proofErr w:type="gramEnd"/>
      <w:r w:rsidR="004058E7" w:rsidRPr="00BE1231">
        <w:rPr>
          <w:sz w:val="18"/>
          <w:szCs w:val="18"/>
        </w:rPr>
        <w:t>)</w:t>
      </w:r>
      <w:r w:rsidR="004058E7" w:rsidRPr="00BE1231">
        <w:rPr>
          <w:sz w:val="18"/>
          <w:szCs w:val="18"/>
        </w:rPr>
        <w:tab/>
        <w:t>examiner les espèces pour lesquelles la création d</w:t>
      </w:r>
      <w:r w:rsidR="00C4117D">
        <w:rPr>
          <w:sz w:val="18"/>
          <w:szCs w:val="18"/>
        </w:rPr>
        <w:t>’</w:t>
      </w:r>
      <w:r w:rsidR="004058E7" w:rsidRPr="00BE1231">
        <w:rPr>
          <w:sz w:val="18"/>
          <w:szCs w:val="18"/>
        </w:rPr>
        <w:t>une base de données internationale contenant des descriptions variétales pourrait selon eux présenter un réel intérêt;</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b</w:t>
      </w:r>
      <w:proofErr w:type="gramEnd"/>
      <w:r w:rsidR="004058E7" w:rsidRPr="00BE1231">
        <w:rPr>
          <w:sz w:val="18"/>
          <w:szCs w:val="18"/>
        </w:rPr>
        <w:t>)</w:t>
      </w:r>
      <w:r w:rsidR="004058E7" w:rsidRPr="00BE1231">
        <w:rPr>
          <w:sz w:val="18"/>
          <w:szCs w:val="18"/>
        </w:rPr>
        <w:tab/>
        <w:t>définir l</w:t>
      </w:r>
      <w:r w:rsidR="00C4117D">
        <w:rPr>
          <w:sz w:val="18"/>
          <w:szCs w:val="18"/>
        </w:rPr>
        <w:t>’</w:t>
      </w:r>
      <w:r w:rsidR="004058E7" w:rsidRPr="00BE1231">
        <w:rPr>
          <w:sz w:val="18"/>
          <w:szCs w:val="18"/>
        </w:rPr>
        <w:t>objectif et les avantages escomptés;</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c</w:t>
      </w:r>
      <w:proofErr w:type="gramEnd"/>
      <w:r w:rsidR="004058E7" w:rsidRPr="00BE1231">
        <w:rPr>
          <w:sz w:val="18"/>
          <w:szCs w:val="18"/>
        </w:rPr>
        <w:t>)</w:t>
      </w:r>
      <w:r w:rsidR="004058E7" w:rsidRPr="00BE1231">
        <w:rPr>
          <w:sz w:val="18"/>
          <w:szCs w:val="18"/>
        </w:rPr>
        <w:tab/>
        <w:t>sélectionner les caractères pour lesquels des descriptions devraient être publiées;</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d</w:t>
      </w:r>
      <w:proofErr w:type="gramEnd"/>
      <w:r w:rsidR="004058E7" w:rsidRPr="00BE1231">
        <w:rPr>
          <w:sz w:val="18"/>
          <w:szCs w:val="18"/>
        </w:rPr>
        <w:t>)</w:t>
      </w:r>
      <w:r w:rsidR="004058E7" w:rsidRPr="00BE1231">
        <w:rPr>
          <w:sz w:val="18"/>
          <w:szCs w:val="18"/>
        </w:rPr>
        <w:tab/>
        <w:t>préciser pour chaque caractère le degré d</w:t>
      </w:r>
      <w:r w:rsidR="00C4117D">
        <w:rPr>
          <w:sz w:val="18"/>
          <w:szCs w:val="18"/>
        </w:rPr>
        <w:t>’</w:t>
      </w:r>
      <w:r w:rsidR="004058E7" w:rsidRPr="00BE1231">
        <w:rPr>
          <w:sz w:val="18"/>
          <w:szCs w:val="18"/>
        </w:rPr>
        <w:t>harmonisation d</w:t>
      </w:r>
      <w:r w:rsidR="00C4117D">
        <w:rPr>
          <w:sz w:val="18"/>
          <w:szCs w:val="18"/>
        </w:rPr>
        <w:t>’</w:t>
      </w:r>
      <w:r w:rsidR="004058E7" w:rsidRPr="00BE1231">
        <w:rPr>
          <w:sz w:val="18"/>
          <w:szCs w:val="18"/>
        </w:rPr>
        <w:t>ores et déjà obtenu ou visé (dans ce dernier cas, indiquer si des actions doivent être prévues afin d</w:t>
      </w:r>
      <w:r w:rsidR="00C4117D">
        <w:rPr>
          <w:sz w:val="18"/>
          <w:szCs w:val="18"/>
        </w:rPr>
        <w:t>’</w:t>
      </w:r>
      <w:r w:rsidR="004058E7" w:rsidRPr="00BE1231">
        <w:rPr>
          <w:sz w:val="18"/>
          <w:szCs w:val="18"/>
        </w:rPr>
        <w:t>améliorer le niveau d</w:t>
      </w:r>
      <w:r w:rsidR="00C4117D">
        <w:rPr>
          <w:sz w:val="18"/>
          <w:szCs w:val="18"/>
        </w:rPr>
        <w:t>’</w:t>
      </w:r>
      <w:r w:rsidR="004058E7" w:rsidRPr="00BE1231">
        <w:rPr>
          <w:sz w:val="18"/>
          <w:szCs w:val="18"/>
        </w:rPr>
        <w:t>harmonisation</w:t>
      </w:r>
      <w:r>
        <w:rPr>
          <w:sz w:val="18"/>
          <w:szCs w:val="18"/>
        </w:rPr>
        <w:t> </w:t>
      </w:r>
      <w:r w:rsidR="004058E7" w:rsidRPr="00BE1231">
        <w:rPr>
          <w:sz w:val="18"/>
          <w:szCs w:val="18"/>
        </w:rPr>
        <w:t>: tests d</w:t>
      </w:r>
      <w:r w:rsidR="00C4117D">
        <w:rPr>
          <w:sz w:val="18"/>
          <w:szCs w:val="18"/>
        </w:rPr>
        <w:t>’</w:t>
      </w:r>
      <w:r w:rsidR="004058E7" w:rsidRPr="00BE1231">
        <w:rPr>
          <w:sz w:val="18"/>
          <w:szCs w:val="18"/>
        </w:rPr>
        <w:t>étalonnage, révision de la description de la méthode d</w:t>
      </w:r>
      <w:r w:rsidR="00C4117D">
        <w:rPr>
          <w:sz w:val="18"/>
          <w:szCs w:val="18"/>
        </w:rPr>
        <w:t>’</w:t>
      </w:r>
      <w:r w:rsidR="004058E7" w:rsidRPr="00BE1231">
        <w:rPr>
          <w:sz w:val="18"/>
          <w:szCs w:val="18"/>
        </w:rPr>
        <w:t>observation prévue dans le principe directeur, …);</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e</w:t>
      </w:r>
      <w:proofErr w:type="gramEnd"/>
      <w:r w:rsidR="004058E7" w:rsidRPr="00BE1231">
        <w:rPr>
          <w:sz w:val="18"/>
          <w:szCs w:val="18"/>
        </w:rPr>
        <w:t>)</w:t>
      </w:r>
      <w:r w:rsidR="004058E7" w:rsidRPr="00BE1231">
        <w:rPr>
          <w:sz w:val="18"/>
          <w:szCs w:val="18"/>
        </w:rPr>
        <w:tab/>
        <w:t>étudier la pertinence d</w:t>
      </w:r>
      <w:r w:rsidR="00C4117D">
        <w:rPr>
          <w:sz w:val="18"/>
          <w:szCs w:val="18"/>
        </w:rPr>
        <w:t>’</w:t>
      </w:r>
      <w:r w:rsidR="004058E7" w:rsidRPr="00BE1231">
        <w:rPr>
          <w:sz w:val="18"/>
          <w:szCs w:val="18"/>
        </w:rPr>
        <w:t xml:space="preserve">une </w:t>
      </w:r>
      <w:r>
        <w:rPr>
          <w:sz w:val="18"/>
          <w:szCs w:val="18"/>
        </w:rPr>
        <w:t>“</w:t>
      </w:r>
      <w:r w:rsidR="004058E7" w:rsidRPr="00BE1231">
        <w:rPr>
          <w:sz w:val="18"/>
          <w:szCs w:val="18"/>
        </w:rPr>
        <w:t>démarche régionale</w:t>
      </w:r>
      <w:r>
        <w:rPr>
          <w:sz w:val="18"/>
          <w:szCs w:val="18"/>
        </w:rPr>
        <w:t>”</w:t>
      </w:r>
      <w:r w:rsidR="004058E7" w:rsidRPr="00BE1231">
        <w:rPr>
          <w:sz w:val="18"/>
          <w:szCs w:val="18"/>
        </w:rPr>
        <w:t xml:space="preserve"> plutôt que d</w:t>
      </w:r>
      <w:r w:rsidR="00C4117D">
        <w:rPr>
          <w:sz w:val="18"/>
          <w:szCs w:val="18"/>
        </w:rPr>
        <w:t>’</w:t>
      </w:r>
      <w:r w:rsidR="004058E7" w:rsidRPr="00BE1231">
        <w:rPr>
          <w:sz w:val="18"/>
          <w:szCs w:val="18"/>
        </w:rPr>
        <w:t xml:space="preserve">une </w:t>
      </w:r>
      <w:r w:rsidR="00943930">
        <w:rPr>
          <w:sz w:val="18"/>
          <w:szCs w:val="18"/>
        </w:rPr>
        <w:t>‘</w:t>
      </w:r>
      <w:r w:rsidR="004058E7" w:rsidRPr="00BE1231">
        <w:rPr>
          <w:sz w:val="18"/>
          <w:szCs w:val="18"/>
        </w:rPr>
        <w:t>démarche internationale</w:t>
      </w:r>
      <w:r w:rsidR="00943930">
        <w:rPr>
          <w:sz w:val="18"/>
          <w:szCs w:val="18"/>
        </w:rPr>
        <w:t>’</w:t>
      </w:r>
      <w:r w:rsidR="004058E7" w:rsidRPr="00BE1231">
        <w:rPr>
          <w:sz w:val="18"/>
          <w:szCs w:val="18"/>
        </w:rPr>
        <w:t xml:space="preserve"> (étudier des groupes de pays et comparer les descriptions au sein de ces seuls groupes);</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f</w:t>
      </w:r>
      <w:proofErr w:type="gramEnd"/>
      <w:r w:rsidR="004058E7" w:rsidRPr="00BE1231">
        <w:rPr>
          <w:sz w:val="18"/>
          <w:szCs w:val="18"/>
        </w:rPr>
        <w:t>)</w:t>
      </w:r>
      <w:r w:rsidR="004058E7" w:rsidRPr="00BE1231">
        <w:rPr>
          <w:sz w:val="18"/>
          <w:szCs w:val="18"/>
        </w:rPr>
        <w:tab/>
        <w:t>proposer des écarts minimum, lors de la comparaison de données, pour les caractères pertinents;</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g</w:t>
      </w:r>
      <w:proofErr w:type="gramEnd"/>
      <w:r w:rsidR="004058E7" w:rsidRPr="00BE1231">
        <w:rPr>
          <w:sz w:val="18"/>
          <w:szCs w:val="18"/>
        </w:rPr>
        <w:t>)</w:t>
      </w:r>
      <w:r w:rsidR="004058E7" w:rsidRPr="00BE1231">
        <w:rPr>
          <w:sz w:val="18"/>
          <w:szCs w:val="18"/>
        </w:rPr>
        <w:tab/>
        <w:t>dresser une liste des pays qui contribueraient à la publication;</w:t>
      </w:r>
    </w:p>
    <w:p w:rsidR="00AB76FD" w:rsidRDefault="00E2212C" w:rsidP="004058E7">
      <w:pPr>
        <w:ind w:left="1701" w:right="567" w:hanging="567"/>
        <w:rPr>
          <w:sz w:val="18"/>
          <w:szCs w:val="18"/>
        </w:rPr>
      </w:pPr>
      <w:r>
        <w:rPr>
          <w:sz w:val="18"/>
          <w:szCs w:val="18"/>
        </w:rPr>
        <w:t>“</w:t>
      </w:r>
      <w:proofErr w:type="gramStart"/>
      <w:r w:rsidR="004058E7" w:rsidRPr="00BE1231">
        <w:rPr>
          <w:sz w:val="18"/>
          <w:szCs w:val="18"/>
        </w:rPr>
        <w:t>h</w:t>
      </w:r>
      <w:proofErr w:type="gramEnd"/>
      <w:r w:rsidR="004058E7" w:rsidRPr="00BE1231">
        <w:rPr>
          <w:sz w:val="18"/>
          <w:szCs w:val="18"/>
        </w:rPr>
        <w:t>)</w:t>
      </w:r>
      <w:r w:rsidR="004058E7" w:rsidRPr="00BE1231">
        <w:rPr>
          <w:sz w:val="18"/>
          <w:szCs w:val="18"/>
        </w:rPr>
        <w:tab/>
        <w:t>étudier le type d</w:t>
      </w:r>
      <w:r w:rsidR="00C4117D">
        <w:rPr>
          <w:sz w:val="18"/>
          <w:szCs w:val="18"/>
        </w:rPr>
        <w:t>’</w:t>
      </w:r>
      <w:r w:rsidR="004058E7" w:rsidRPr="00BE1231">
        <w:rPr>
          <w:sz w:val="18"/>
          <w:szCs w:val="18"/>
        </w:rPr>
        <w:t xml:space="preserve">accès (libre ou réservé aux fournisseurs de données); </w:t>
      </w:r>
      <w:r>
        <w:rPr>
          <w:sz w:val="18"/>
          <w:szCs w:val="18"/>
        </w:rPr>
        <w:t xml:space="preserve"> </w:t>
      </w:r>
      <w:r w:rsidR="004058E7" w:rsidRPr="00BE1231">
        <w:rPr>
          <w:sz w:val="18"/>
          <w:szCs w:val="18"/>
        </w:rPr>
        <w:t>et</w:t>
      </w:r>
    </w:p>
    <w:p w:rsidR="00AB76FD" w:rsidRDefault="00E2212C" w:rsidP="004058E7">
      <w:pPr>
        <w:ind w:left="1701" w:right="567" w:hanging="567"/>
        <w:rPr>
          <w:sz w:val="18"/>
          <w:szCs w:val="18"/>
        </w:rPr>
      </w:pPr>
      <w:r>
        <w:rPr>
          <w:sz w:val="18"/>
          <w:szCs w:val="18"/>
        </w:rPr>
        <w:t>“</w:t>
      </w:r>
      <w:r w:rsidR="004058E7" w:rsidRPr="00BE1231">
        <w:rPr>
          <w:sz w:val="18"/>
          <w:szCs w:val="18"/>
        </w:rPr>
        <w:t>i)</w:t>
      </w:r>
      <w:r w:rsidR="004058E7" w:rsidRPr="00BE1231">
        <w:rPr>
          <w:sz w:val="18"/>
          <w:szCs w:val="18"/>
        </w:rPr>
        <w:tab/>
        <w:t>étudier le coût de tout projet.</w:t>
      </w:r>
    </w:p>
    <w:p w:rsidR="00AB76FD" w:rsidRDefault="00AB76FD" w:rsidP="004058E7">
      <w:pPr>
        <w:ind w:left="1710" w:right="567" w:hanging="576"/>
        <w:rPr>
          <w:sz w:val="18"/>
          <w:szCs w:val="18"/>
        </w:rPr>
      </w:pPr>
    </w:p>
    <w:p w:rsidR="009628A1" w:rsidRPr="00BE1231" w:rsidRDefault="00E2212C" w:rsidP="004058E7">
      <w:pPr>
        <w:ind w:left="567" w:right="567"/>
        <w:rPr>
          <w:sz w:val="18"/>
          <w:szCs w:val="18"/>
        </w:rPr>
      </w:pPr>
      <w:r>
        <w:rPr>
          <w:sz w:val="18"/>
          <w:szCs w:val="18"/>
        </w:rPr>
        <w:t>“</w:t>
      </w:r>
      <w:r w:rsidR="004058E7" w:rsidRPr="00BE1231">
        <w:rPr>
          <w:sz w:val="18"/>
          <w:szCs w:val="18"/>
        </w:rPr>
        <w:t>4.</w:t>
      </w:r>
      <w:r>
        <w:rPr>
          <w:sz w:val="18"/>
          <w:szCs w:val="18"/>
        </w:rPr>
        <w:t xml:space="preserve"> </w:t>
      </w:r>
      <w:r w:rsidR="004058E7" w:rsidRPr="00BE1231">
        <w:rPr>
          <w:sz w:val="18"/>
          <w:szCs w:val="18"/>
        </w:rPr>
        <w:t xml:space="preserve"> Le</w:t>
      </w:r>
      <w:r w:rsidR="00C4117D">
        <w:rPr>
          <w:sz w:val="18"/>
          <w:szCs w:val="18"/>
        </w:rPr>
        <w:t> TC</w:t>
      </w:r>
      <w:r w:rsidR="004058E7" w:rsidRPr="00BE1231">
        <w:rPr>
          <w:sz w:val="18"/>
          <w:szCs w:val="18"/>
        </w:rPr>
        <w:t xml:space="preserve"> est convenu qu</w:t>
      </w:r>
      <w:r w:rsidR="00C4117D">
        <w:rPr>
          <w:sz w:val="18"/>
          <w:szCs w:val="18"/>
        </w:rPr>
        <w:t>’</w:t>
      </w:r>
      <w:r w:rsidR="004058E7" w:rsidRPr="00BE1231">
        <w:rPr>
          <w:sz w:val="18"/>
          <w:szCs w:val="18"/>
        </w:rPr>
        <w:t>aucune nouvelle réunion du WG</w:t>
      </w:r>
      <w:r w:rsidR="00C4117D">
        <w:rPr>
          <w:sz w:val="18"/>
          <w:szCs w:val="18"/>
        </w:rPr>
        <w:t>-</w:t>
      </w:r>
      <w:r w:rsidR="004058E7" w:rsidRPr="00BE1231">
        <w:rPr>
          <w:sz w:val="18"/>
          <w:szCs w:val="18"/>
        </w:rPr>
        <w:t>PVD ne devrait être organisée tant que des</w:t>
      </w:r>
      <w:r w:rsidR="00943930">
        <w:rPr>
          <w:sz w:val="18"/>
          <w:szCs w:val="18"/>
        </w:rPr>
        <w:t> </w:t>
      </w:r>
      <w:r w:rsidR="004058E7" w:rsidRPr="00BE1231">
        <w:rPr>
          <w:sz w:val="18"/>
          <w:szCs w:val="18"/>
        </w:rPr>
        <w:t>propositions précises n</w:t>
      </w:r>
      <w:r w:rsidR="00C4117D">
        <w:rPr>
          <w:sz w:val="18"/>
          <w:szCs w:val="18"/>
        </w:rPr>
        <w:t>’</w:t>
      </w:r>
      <w:r w:rsidR="004058E7" w:rsidRPr="00BE1231">
        <w:rPr>
          <w:sz w:val="18"/>
          <w:szCs w:val="18"/>
        </w:rPr>
        <w:t>auraient pas été élaborées à l</w:t>
      </w:r>
      <w:r w:rsidR="00C4117D">
        <w:rPr>
          <w:sz w:val="18"/>
          <w:szCs w:val="18"/>
        </w:rPr>
        <w:t>’</w:t>
      </w:r>
      <w:r w:rsidR="004058E7" w:rsidRPr="00BE1231">
        <w:rPr>
          <w:sz w:val="18"/>
          <w:szCs w:val="18"/>
        </w:rPr>
        <w:t>intention du WG</w:t>
      </w:r>
      <w:r w:rsidR="00C4117D">
        <w:rPr>
          <w:sz w:val="18"/>
          <w:szCs w:val="18"/>
        </w:rPr>
        <w:t>-</w:t>
      </w:r>
      <w:r w:rsidR="004058E7" w:rsidRPr="00BE1231">
        <w:rPr>
          <w:sz w:val="18"/>
          <w:szCs w:val="18"/>
        </w:rPr>
        <w:t>PVD par le</w:t>
      </w:r>
      <w:r w:rsidR="00C4117D">
        <w:rPr>
          <w:sz w:val="18"/>
          <w:szCs w:val="18"/>
        </w:rPr>
        <w:t> TC</w:t>
      </w:r>
      <w:r w:rsidR="004058E7" w:rsidRPr="00BE1231">
        <w:rPr>
          <w:sz w:val="18"/>
          <w:szCs w:val="18"/>
        </w:rPr>
        <w:t xml:space="preserve"> ou par un TWP. </w:t>
      </w:r>
      <w:r>
        <w:rPr>
          <w:sz w:val="18"/>
          <w:szCs w:val="18"/>
        </w:rPr>
        <w:t xml:space="preserve"> </w:t>
      </w:r>
      <w:r w:rsidR="004058E7" w:rsidRPr="00BE1231">
        <w:rPr>
          <w:sz w:val="18"/>
          <w:szCs w:val="18"/>
        </w:rPr>
        <w:cr/>
      </w:r>
    </w:p>
    <w:p w:rsidR="009628A1" w:rsidRPr="00BE1231" w:rsidRDefault="004058E7" w:rsidP="00467D0A">
      <w:pPr>
        <w:ind w:left="567" w:right="567"/>
      </w:pPr>
      <w:r w:rsidRPr="00BE1231">
        <w:rPr>
          <w:sz w:val="18"/>
          <w:szCs w:val="18"/>
        </w:rPr>
        <w:t>[…]</w:t>
      </w:r>
      <w:r w:rsidR="00E2212C">
        <w:rPr>
          <w:sz w:val="18"/>
          <w:szCs w:val="18"/>
        </w:rPr>
        <w:t>”</w:t>
      </w:r>
    </w:p>
    <w:p w:rsidR="00FA5BBD" w:rsidRPr="00BE1231" w:rsidRDefault="00FA5BBD" w:rsidP="00505A73"/>
    <w:p w:rsidR="00F0027E" w:rsidRPr="00BE1231" w:rsidRDefault="00185757" w:rsidP="00467D0A">
      <w:pPr>
        <w:pStyle w:val="DecisionParagraphs"/>
        <w:tabs>
          <w:tab w:val="left" w:pos="5954"/>
        </w:tabs>
      </w:pPr>
      <w:r w:rsidRPr="00BE1231">
        <w:fldChar w:fldCharType="begin"/>
      </w:r>
      <w:r w:rsidR="001F4113" w:rsidRPr="00BE1231">
        <w:instrText xml:space="preserve"> AUTONUM  </w:instrText>
      </w:r>
      <w:r w:rsidRPr="00BE1231">
        <w:fldChar w:fldCharType="end"/>
      </w:r>
      <w:r w:rsidR="001F4113" w:rsidRPr="00BE1231">
        <w:tab/>
      </w:r>
      <w:r w:rsidR="008447D6" w:rsidRPr="00BE1231">
        <w:t>L</w:t>
      </w:r>
      <w:r w:rsidR="00F0027E" w:rsidRPr="00BE1231">
        <w:t xml:space="preserve">e </w:t>
      </w:r>
      <w:r w:rsidR="008447D6" w:rsidRPr="00BE1231">
        <w:t>Comité technique</w:t>
      </w:r>
      <w:r w:rsidR="00F0027E" w:rsidRPr="00BE1231">
        <w:t xml:space="preserve"> </w:t>
      </w:r>
      <w:r w:rsidR="008447D6" w:rsidRPr="00BE1231">
        <w:t>est</w:t>
      </w:r>
      <w:r w:rsidR="00F0027E" w:rsidRPr="00BE1231">
        <w:t xml:space="preserve"> invit</w:t>
      </w:r>
      <w:r w:rsidR="008447D6" w:rsidRPr="00BE1231">
        <w:t>é</w:t>
      </w:r>
      <w:r w:rsidR="004D1837">
        <w:t xml:space="preserve"> à :</w:t>
      </w:r>
    </w:p>
    <w:p w:rsidR="00F0027E" w:rsidRPr="00BE1231" w:rsidRDefault="00F0027E" w:rsidP="00467D0A">
      <w:pPr>
        <w:pStyle w:val="DecisionParagraphs"/>
        <w:tabs>
          <w:tab w:val="left" w:pos="5954"/>
        </w:tabs>
      </w:pPr>
    </w:p>
    <w:p w:rsidR="008447D6" w:rsidRPr="00BE1231" w:rsidRDefault="00677947" w:rsidP="008447D6">
      <w:pPr>
        <w:pStyle w:val="DecisionParagraphs"/>
        <w:tabs>
          <w:tab w:val="left" w:pos="5954"/>
        </w:tabs>
      </w:pPr>
      <w:r>
        <w:tab/>
      </w:r>
      <w:r w:rsidR="00F0027E" w:rsidRPr="00BE1231">
        <w:t>a)</w:t>
      </w:r>
      <w:r w:rsidR="00F0027E" w:rsidRPr="00BE1231">
        <w:tab/>
      </w:r>
      <w:r w:rsidR="00CE1419" w:rsidRPr="00BE1231">
        <w:t>note</w:t>
      </w:r>
      <w:r w:rsidR="008447D6" w:rsidRPr="00BE1231">
        <w:t>r</w:t>
      </w:r>
      <w:r w:rsidR="00CE1419" w:rsidRPr="00BE1231">
        <w:t xml:space="preserve"> </w:t>
      </w:r>
      <w:r w:rsidR="008447D6" w:rsidRPr="00BE1231">
        <w:t>que le</w:t>
      </w:r>
      <w:r w:rsidR="00CE1419" w:rsidRPr="00BE1231">
        <w:t xml:space="preserve"> </w:t>
      </w:r>
      <w:r w:rsidR="00623264" w:rsidRPr="00BE1231">
        <w:t>Comité consultatif</w:t>
      </w:r>
      <w:r w:rsidR="008447D6" w:rsidRPr="00BE1231">
        <w:t xml:space="preserve"> est convenu de faire du document UPOV/INF/15 </w:t>
      </w:r>
      <w:r w:rsidR="00E2212C">
        <w:t>“</w:t>
      </w:r>
      <w:r w:rsidR="008447D6" w:rsidRPr="00BE1231">
        <w:t>Document d</w:t>
      </w:r>
      <w:r w:rsidR="00C4117D">
        <w:t>’</w:t>
      </w:r>
      <w:r w:rsidR="008447D6" w:rsidRPr="00BE1231">
        <w:t>orientation destiné aux membres de l</w:t>
      </w:r>
      <w:r w:rsidR="00C4117D">
        <w:t>’</w:t>
      </w:r>
      <w:r w:rsidR="008447D6" w:rsidRPr="00BE1231">
        <w:t>UPOV concernant les obligations en cours et les notifications connexes ainsi que la fourniture d</w:t>
      </w:r>
      <w:r w:rsidR="00C4117D">
        <w:t>’</w:t>
      </w:r>
      <w:r w:rsidR="008447D6" w:rsidRPr="00BE1231">
        <w:t>informations pour faciliter la coopération</w:t>
      </w:r>
      <w:r w:rsidR="00E2212C">
        <w:t>”</w:t>
      </w:r>
      <w:r w:rsidR="008447D6" w:rsidRPr="00BE1231">
        <w:t xml:space="preserve"> un</w:t>
      </w:r>
      <w:r w:rsidR="00450605">
        <w:t> </w:t>
      </w:r>
      <w:r w:rsidR="008447D6" w:rsidRPr="00BE1231">
        <w:t>document</w:t>
      </w:r>
      <w:r w:rsidR="00C4117D">
        <w:t>-</w:t>
      </w:r>
      <w:r w:rsidR="008447D6" w:rsidRPr="00BE1231">
        <w:t>cadre qui cernerait les principaux problèmes de fonctionnement d</w:t>
      </w:r>
      <w:r w:rsidR="00C4117D">
        <w:t>’</w:t>
      </w:r>
      <w:r w:rsidR="008447D6" w:rsidRPr="00BE1231">
        <w:t>un système de protection des obtentions végétales</w:t>
      </w:r>
      <w:r w:rsidR="004D1837">
        <w:t>,</w:t>
      </w:r>
      <w:r w:rsidR="008447D6" w:rsidRPr="00BE1231">
        <w:t xml:space="preserve"> ainsi qu</w:t>
      </w:r>
      <w:r w:rsidR="00C4117D">
        <w:t>’</w:t>
      </w:r>
      <w:r w:rsidR="008447D6" w:rsidRPr="00BE1231">
        <w:t>indiqué aux paragraphes</w:t>
      </w:r>
      <w:r w:rsidR="00E2212C">
        <w:t> </w:t>
      </w:r>
      <w:r w:rsidR="001F66A8">
        <w:t>44</w:t>
      </w:r>
      <w:r w:rsidR="008447D6" w:rsidRPr="00BE1231">
        <w:t xml:space="preserve"> et </w:t>
      </w:r>
      <w:r w:rsidR="001F66A8">
        <w:t>45</w:t>
      </w:r>
      <w:r w:rsidR="008447D6" w:rsidRPr="00BE1231">
        <w:t>;</w:t>
      </w:r>
    </w:p>
    <w:p w:rsidR="008447D6" w:rsidRPr="00BE1231" w:rsidRDefault="008447D6" w:rsidP="00467D0A">
      <w:pPr>
        <w:pStyle w:val="DecisionParagraphs"/>
        <w:tabs>
          <w:tab w:val="left" w:pos="5954"/>
        </w:tabs>
      </w:pPr>
    </w:p>
    <w:p w:rsidR="008447D6" w:rsidRPr="00BE1231" w:rsidRDefault="00677947" w:rsidP="00467D0A">
      <w:pPr>
        <w:pStyle w:val="DecisionParagraphs"/>
        <w:tabs>
          <w:tab w:val="left" w:pos="5954"/>
        </w:tabs>
      </w:pPr>
      <w:r>
        <w:tab/>
      </w:r>
      <w:r w:rsidR="00CE1419" w:rsidRPr="00BE1231">
        <w:t>b)</w:t>
      </w:r>
      <w:r w:rsidR="00CE1419" w:rsidRPr="00BE1231">
        <w:tab/>
      </w:r>
      <w:r w:rsidR="008447D6" w:rsidRPr="00BE1231">
        <w:t>s</w:t>
      </w:r>
      <w:r w:rsidR="00C4117D">
        <w:t>’</w:t>
      </w:r>
      <w:r w:rsidR="008447D6" w:rsidRPr="00BE1231">
        <w:t>agissant des questions posées aux alin</w:t>
      </w:r>
      <w:r>
        <w:t xml:space="preserve">éas a) à </w:t>
      </w:r>
      <w:r w:rsidR="008447D6" w:rsidRPr="00BE1231">
        <w:t>f) du paragraphe</w:t>
      </w:r>
      <w:r w:rsidR="00E2212C">
        <w:t> </w:t>
      </w:r>
      <w:r w:rsidR="008447D6" w:rsidRPr="00BE1231">
        <w:t>45, inviter l</w:t>
      </w:r>
      <w:r w:rsidR="00C4117D">
        <w:t>’</w:t>
      </w:r>
      <w:r w:rsidR="008447D6" w:rsidRPr="00BE1231">
        <w:t>ISF à examiner les documents UPOV pertinents indiqués et préciser dans quels cas elle estime nécessaire d</w:t>
      </w:r>
      <w:r w:rsidR="00C4117D">
        <w:t>’</w:t>
      </w:r>
      <w:r w:rsidR="008447D6" w:rsidRPr="00BE1231">
        <w:t>élaborer de nouvelles orientations;  et</w:t>
      </w:r>
    </w:p>
    <w:p w:rsidR="00AE0E09" w:rsidRPr="00BE1231" w:rsidRDefault="00AE0E09" w:rsidP="00467D0A">
      <w:pPr>
        <w:pStyle w:val="DecisionParagraphs"/>
        <w:tabs>
          <w:tab w:val="left" w:pos="5954"/>
        </w:tabs>
      </w:pPr>
    </w:p>
    <w:p w:rsidR="008447D6" w:rsidRPr="00BE1231" w:rsidRDefault="00677947" w:rsidP="00467D0A">
      <w:pPr>
        <w:pStyle w:val="DecisionParagraphs"/>
        <w:tabs>
          <w:tab w:val="left" w:pos="5954"/>
        </w:tabs>
      </w:pPr>
      <w:r>
        <w:tab/>
      </w:r>
      <w:r w:rsidR="00AE0E09" w:rsidRPr="00BE1231">
        <w:t>c)</w:t>
      </w:r>
      <w:r w:rsidR="00AE0E09" w:rsidRPr="00BE1231">
        <w:tab/>
        <w:t>note</w:t>
      </w:r>
      <w:r w:rsidR="008447D6" w:rsidRPr="00BE1231">
        <w:t>r que l</w:t>
      </w:r>
      <w:r w:rsidR="00C4117D">
        <w:t>’</w:t>
      </w:r>
      <w:r w:rsidR="00AE0E09" w:rsidRPr="00BE1231">
        <w:t xml:space="preserve">ISF </w:t>
      </w:r>
      <w:r w:rsidR="008447D6" w:rsidRPr="00BE1231">
        <w:t>a été</w:t>
      </w:r>
      <w:r w:rsidR="00AE0E09" w:rsidRPr="00BE1231">
        <w:t xml:space="preserve"> invit</w:t>
      </w:r>
      <w:r w:rsidR="008447D6" w:rsidRPr="00BE1231">
        <w:t>ée à faire part au</w:t>
      </w:r>
      <w:r w:rsidR="00C4117D">
        <w:t> TC</w:t>
      </w:r>
      <w:r w:rsidR="008447D6" w:rsidRPr="00BE1231">
        <w:t xml:space="preserve"> de ses points de vue concernant les bases de données sur les descriptions variétales et les critères recensés par le</w:t>
      </w:r>
      <w:r w:rsidR="00C4117D">
        <w:t> TC</w:t>
      </w:r>
      <w:r w:rsidR="008447D6" w:rsidRPr="00BE1231">
        <w:t xml:space="preserve"> pour la publication de descriptions variétales, énoncés dans le </w:t>
      </w:r>
      <w:r w:rsidR="00C4117D" w:rsidRPr="00BE1231">
        <w:t>document</w:t>
      </w:r>
      <w:r w:rsidR="00C4117D">
        <w:t xml:space="preserve"> TC</w:t>
      </w:r>
      <w:r w:rsidR="008447D6" w:rsidRPr="00BE1231">
        <w:t xml:space="preserve">/45/9 </w:t>
      </w:r>
      <w:r w:rsidR="00E2212C">
        <w:t>“</w:t>
      </w:r>
      <w:r w:rsidR="008447D6" w:rsidRPr="00BE1231">
        <w:t>Publication des descriptions variétales</w:t>
      </w:r>
      <w:r w:rsidR="00E2212C">
        <w:t>”</w:t>
      </w:r>
      <w:r w:rsidR="008447D6" w:rsidRPr="00BE1231">
        <w:t>.</w:t>
      </w:r>
    </w:p>
    <w:p w:rsidR="001F4113" w:rsidRPr="00BE1231" w:rsidRDefault="001F4113" w:rsidP="00467D0A"/>
    <w:p w:rsidR="001D6D97" w:rsidRPr="00BE1231" w:rsidRDefault="001D6D97" w:rsidP="00467D0A"/>
    <w:p w:rsidR="001D6D97" w:rsidRPr="00BE1231" w:rsidRDefault="004058E7" w:rsidP="008907DC">
      <w:pPr>
        <w:pStyle w:val="Heading1"/>
      </w:pPr>
      <w:bookmarkStart w:id="54" w:name="_Toc381170161"/>
      <w:r w:rsidRPr="00BE1231">
        <w:rPr>
          <w:snapToGrid w:val="0"/>
        </w:rPr>
        <w:t xml:space="preserve">modèle de </w:t>
      </w:r>
      <w:r w:rsidRPr="00BE1231">
        <w:t>principes directeurs d</w:t>
      </w:r>
      <w:r w:rsidR="00C4117D">
        <w:t>’</w:t>
      </w:r>
      <w:r w:rsidRPr="00BE1231">
        <w:t>examen fondé sur le Web</w:t>
      </w:r>
      <w:bookmarkEnd w:id="54"/>
    </w:p>
    <w:p w:rsidR="00761761" w:rsidRPr="00BE1231" w:rsidRDefault="00761761" w:rsidP="00761761"/>
    <w:p w:rsidR="000A2408" w:rsidRPr="00BE1231" w:rsidRDefault="00185757" w:rsidP="00761761">
      <w:r w:rsidRPr="00BE1231">
        <w:fldChar w:fldCharType="begin"/>
      </w:r>
      <w:r w:rsidR="00761761" w:rsidRPr="00BE1231">
        <w:instrText xml:space="preserve"> AUTONUM  </w:instrText>
      </w:r>
      <w:r w:rsidRPr="00BE1231">
        <w:fldChar w:fldCharType="end"/>
      </w:r>
      <w:r w:rsidR="00761761" w:rsidRPr="00BE1231">
        <w:tab/>
      </w:r>
      <w:r w:rsidR="000A2408" w:rsidRPr="00BE1231">
        <w:t>À sa quarante</w:t>
      </w:r>
      <w:r w:rsidR="00C4117D">
        <w:t>-</w:t>
      </w:r>
      <w:r w:rsidR="000A2408" w:rsidRPr="00BE1231">
        <w:t>neuvième</w:t>
      </w:r>
      <w:r w:rsidR="00E2212C">
        <w:t> </w:t>
      </w:r>
      <w:r w:rsidR="000A2408" w:rsidRPr="00BE1231">
        <w:t>session tenue à Genève du 18 au 2</w:t>
      </w:r>
      <w:r w:rsidR="00AB76FD" w:rsidRPr="00BE1231">
        <w:t>0</w:t>
      </w:r>
      <w:r w:rsidR="00AB76FD">
        <w:t> </w:t>
      </w:r>
      <w:r w:rsidR="00AB76FD" w:rsidRPr="00BE1231">
        <w:t>mars</w:t>
      </w:r>
      <w:r w:rsidR="00AB76FD">
        <w:t> </w:t>
      </w:r>
      <w:r w:rsidR="00AB76FD" w:rsidRPr="00BE1231">
        <w:t>20</w:t>
      </w:r>
      <w:r w:rsidR="000A2408" w:rsidRPr="00BE1231">
        <w:t>13, le</w:t>
      </w:r>
      <w:r w:rsidR="00C4117D">
        <w:t> TC</w:t>
      </w:r>
      <w:r w:rsidR="000A2408" w:rsidRPr="00BE1231">
        <w:t xml:space="preserve"> a suivi un exposé du</w:t>
      </w:r>
      <w:r w:rsidR="00943930">
        <w:t> </w:t>
      </w:r>
      <w:r w:rsidR="000A2408" w:rsidRPr="00BE1231">
        <w:t>Bureau de l</w:t>
      </w:r>
      <w:r w:rsidR="00C4117D">
        <w:t>’</w:t>
      </w:r>
      <w:r w:rsidR="000A2408" w:rsidRPr="00BE1231">
        <w:t>Union et d</w:t>
      </w:r>
      <w:r w:rsidR="00C4117D">
        <w:t>’</w:t>
      </w:r>
      <w:r w:rsidR="000A2408" w:rsidRPr="00BE1231">
        <w:t>un expert de l</w:t>
      </w:r>
      <w:r w:rsidR="00C4117D">
        <w:t>’</w:t>
      </w:r>
      <w:r w:rsidR="000A2408" w:rsidRPr="00BE1231">
        <w:t>Australie sur le projet d</w:t>
      </w:r>
      <w:r w:rsidR="00C4117D">
        <w:t>’</w:t>
      </w:r>
      <w:r w:rsidR="000A2408" w:rsidRPr="00BE1231">
        <w:t>élaboration d</w:t>
      </w:r>
      <w:r w:rsidR="00C4117D">
        <w:t>’</w:t>
      </w:r>
      <w:r w:rsidR="000A2408" w:rsidRPr="00BE1231">
        <w:t>un modèle de principes directeurs d</w:t>
      </w:r>
      <w:r w:rsidR="00C4117D">
        <w:t>’</w:t>
      </w:r>
      <w:r w:rsidR="000A2408" w:rsidRPr="00BE1231">
        <w:t>examen fondé sur le Web, et noté qu</w:t>
      </w:r>
      <w:r w:rsidR="00C4117D">
        <w:t>’</w:t>
      </w:r>
      <w:r w:rsidR="000A2408" w:rsidRPr="00BE1231">
        <w:t xml:space="preserve">une copie de cet exposé serait fournie dans un additif au </w:t>
      </w:r>
      <w:r w:rsidR="00C4117D" w:rsidRPr="00BE1231">
        <w:t>document</w:t>
      </w:r>
      <w:r w:rsidR="00C4117D">
        <w:t xml:space="preserve"> TC</w:t>
      </w:r>
      <w:r w:rsidR="000A2408" w:rsidRPr="00BE1231">
        <w:t xml:space="preserve">/49/3 </w:t>
      </w:r>
      <w:r w:rsidR="00E2212C">
        <w:t>“</w:t>
      </w:r>
      <w:r w:rsidR="000A2408" w:rsidRPr="00BE1231">
        <w:t>Questions découlant des travaux des gr</w:t>
      </w:r>
      <w:r w:rsidR="004C2CCE" w:rsidRPr="00BE1231">
        <w:t>o</w:t>
      </w:r>
      <w:r w:rsidR="000A2408" w:rsidRPr="00BE1231">
        <w:t>upes de travail techniques</w:t>
      </w:r>
      <w:r w:rsidR="00E2212C">
        <w:t>”.</w:t>
      </w:r>
      <w:r w:rsidR="000A2408" w:rsidRPr="00BE1231">
        <w:t xml:space="preserve">  Le secrétaire général adjoint a annoncé qu</w:t>
      </w:r>
      <w:r w:rsidR="00C4117D">
        <w:t>’</w:t>
      </w:r>
      <w:r w:rsidR="000A2408" w:rsidRPr="00BE1231">
        <w:t xml:space="preserve">il était </w:t>
      </w:r>
      <w:r w:rsidR="001E5F9D">
        <w:t>prévu</w:t>
      </w:r>
      <w:r w:rsidR="001E5F9D" w:rsidRPr="00BE1231">
        <w:t xml:space="preserve"> </w:t>
      </w:r>
      <w:r w:rsidR="000A2408" w:rsidRPr="00BE1231">
        <w:t>de créer, d</w:t>
      </w:r>
      <w:r w:rsidR="00C4117D">
        <w:t>’</w:t>
      </w:r>
      <w:r w:rsidR="000A2408" w:rsidRPr="00BE1231">
        <w:t>ici à la fin de</w:t>
      </w:r>
      <w:r w:rsidR="00E2212C">
        <w:t> </w:t>
      </w:r>
      <w:r w:rsidR="000A2408" w:rsidRPr="00BE1231">
        <w:t>2013, un prototype d</w:t>
      </w:r>
      <w:r w:rsidR="00C4117D">
        <w:t>’</w:t>
      </w:r>
      <w:r w:rsidR="000A2408" w:rsidRPr="00BE1231">
        <w:t>essai à l</w:t>
      </w:r>
      <w:r w:rsidR="00C4117D">
        <w:t>’</w:t>
      </w:r>
      <w:r w:rsidR="000A2408" w:rsidRPr="00BE1231">
        <w:t>intention des experts intéressés.</w:t>
      </w:r>
    </w:p>
    <w:p w:rsidR="00761761" w:rsidRPr="00BE1231" w:rsidRDefault="00761761" w:rsidP="00761761"/>
    <w:p w:rsidR="000A2408" w:rsidRPr="00BE1231" w:rsidRDefault="00185757" w:rsidP="009A0C94">
      <w:r w:rsidRPr="00BE1231">
        <w:fldChar w:fldCharType="begin"/>
      </w:r>
      <w:r w:rsidR="00761761" w:rsidRPr="00BE1231">
        <w:instrText xml:space="preserve"> AUTONUM  </w:instrText>
      </w:r>
      <w:r w:rsidRPr="00BE1231">
        <w:fldChar w:fldCharType="end"/>
      </w:r>
      <w:r w:rsidR="00761761" w:rsidRPr="00BE1231">
        <w:tab/>
      </w:r>
      <w:r w:rsidR="000A2408" w:rsidRPr="00BE1231">
        <w:t>L</w:t>
      </w:r>
      <w:r w:rsidR="00761761" w:rsidRPr="00BE1231">
        <w:t>e</w:t>
      </w:r>
      <w:r w:rsidR="00C4117D">
        <w:t> TC</w:t>
      </w:r>
      <w:r w:rsidR="00761761" w:rsidRPr="00BE1231">
        <w:t xml:space="preserve"> </w:t>
      </w:r>
      <w:r w:rsidR="000A2408" w:rsidRPr="00BE1231">
        <w:t>fait part de son soutien au projet, notant que le modèle offrirait aux rédacteurs de principes directeurs d</w:t>
      </w:r>
      <w:r w:rsidR="00C4117D">
        <w:t>’</w:t>
      </w:r>
      <w:r w:rsidR="000A2408" w:rsidRPr="00BE1231">
        <w:t>examen une souplesse suffisante pour qu</w:t>
      </w:r>
      <w:r w:rsidR="00C4117D">
        <w:t>’</w:t>
      </w:r>
      <w:r w:rsidR="000A2408" w:rsidRPr="00BE1231">
        <w:t xml:space="preserve">ils puissent faire des propositions qui ne sont pas couvertes par le libellé type existant.  Il </w:t>
      </w:r>
      <w:r w:rsidR="001E5F9D">
        <w:t>prend</w:t>
      </w:r>
      <w:r w:rsidR="000A2408" w:rsidRPr="00BE1231">
        <w:t xml:space="preserve"> note des observations sur ce projet, formulées par</w:t>
      </w:r>
      <w:r w:rsidR="00AB76FD" w:rsidRPr="00BE1231">
        <w:t xml:space="preserve"> les</w:t>
      </w:r>
      <w:r w:rsidR="00AB76FD">
        <w:t> </w:t>
      </w:r>
      <w:r w:rsidR="00AB76FD" w:rsidRPr="00BE1231">
        <w:t>TWP</w:t>
      </w:r>
      <w:r w:rsidR="000A2408" w:rsidRPr="00BE1231">
        <w:t xml:space="preserve"> à leurs sessions de</w:t>
      </w:r>
      <w:r w:rsidR="00E2212C">
        <w:t> </w:t>
      </w:r>
      <w:r w:rsidR="000A2408" w:rsidRPr="00BE1231">
        <w:t>2012, ainsi que de la nécessité de préserver la souplesse nécessaire dans la structure, afin que les membres de l</w:t>
      </w:r>
      <w:r w:rsidR="00C4117D">
        <w:t>’</w:t>
      </w:r>
      <w:r w:rsidR="000A2408" w:rsidRPr="00BE1231">
        <w:t>UPOV puissent perfectionner les principes directeurs d</w:t>
      </w:r>
      <w:r w:rsidR="00C4117D">
        <w:t>’</w:t>
      </w:r>
      <w:r w:rsidR="000A2408" w:rsidRPr="00BE1231">
        <w:t>examen (voir les paragraphes</w:t>
      </w:r>
      <w:r w:rsidR="00E2212C">
        <w:t> </w:t>
      </w:r>
      <w:r w:rsidR="000A2408" w:rsidRPr="00BE1231">
        <w:t xml:space="preserve">13 et 14 du </w:t>
      </w:r>
      <w:r w:rsidR="00C4117D" w:rsidRPr="00BE1231">
        <w:t>document</w:t>
      </w:r>
      <w:r w:rsidR="00C4117D">
        <w:t xml:space="preserve"> TC</w:t>
      </w:r>
      <w:r w:rsidR="000A2408" w:rsidRPr="00BE1231">
        <w:t xml:space="preserve">/49/41 </w:t>
      </w:r>
      <w:r w:rsidR="00E2212C">
        <w:t>“</w:t>
      </w:r>
      <w:r w:rsidR="000A2408" w:rsidRPr="00BE1231">
        <w:t>Compte rendu des conclusions</w:t>
      </w:r>
      <w:r w:rsidR="00E2212C">
        <w:t>”</w:t>
      </w:r>
      <w:r w:rsidR="000A2408" w:rsidRPr="00BE1231">
        <w:t>).</w:t>
      </w:r>
    </w:p>
    <w:p w:rsidR="009A0C94" w:rsidRPr="00BE1231" w:rsidRDefault="009A0C94" w:rsidP="009A0C94"/>
    <w:p w:rsidR="000A2408" w:rsidRPr="00BE1231" w:rsidRDefault="00185757" w:rsidP="00974E05">
      <w:r w:rsidRPr="00BE1231">
        <w:fldChar w:fldCharType="begin"/>
      </w:r>
      <w:r w:rsidR="00974E05" w:rsidRPr="00BE1231">
        <w:instrText xml:space="preserve"> AUTONUM  </w:instrText>
      </w:r>
      <w:r w:rsidRPr="00BE1231">
        <w:fldChar w:fldCharType="end"/>
      </w:r>
      <w:r w:rsidR="00974E05" w:rsidRPr="00BE1231">
        <w:tab/>
      </w:r>
      <w:r w:rsidR="000A2408" w:rsidRPr="00BE1231">
        <w:t>Le modèle de principes directeurs d</w:t>
      </w:r>
      <w:r w:rsidR="00C4117D">
        <w:t>’</w:t>
      </w:r>
      <w:r w:rsidR="000A2408" w:rsidRPr="00BE1231">
        <w:t>examen sera élaboré en deux</w:t>
      </w:r>
      <w:r w:rsidR="00E2212C">
        <w:t> </w:t>
      </w:r>
      <w:r w:rsidR="000A2408" w:rsidRPr="00BE1231">
        <w:t xml:space="preserve">phases distinctes, </w:t>
      </w:r>
      <w:r w:rsidR="00C4117D">
        <w:t>à savoir</w:t>
      </w:r>
      <w:r w:rsidR="000A2408" w:rsidRPr="00BE1231">
        <w:t xml:space="preserve"> les</w:t>
      </w:r>
      <w:r w:rsidR="00943930">
        <w:t> </w:t>
      </w:r>
      <w:r w:rsidR="000A2408" w:rsidRPr="00BE1231">
        <w:t xml:space="preserve">versions </w:t>
      </w:r>
      <w:r w:rsidR="008C3ECC" w:rsidRPr="00BE1231">
        <w:t>n</w:t>
      </w:r>
      <w:r w:rsidR="008C3ECC" w:rsidRPr="00BE1231">
        <w:rPr>
          <w:vertAlign w:val="superscript"/>
        </w:rPr>
        <w:t xml:space="preserve">os </w:t>
      </w:r>
      <w:r w:rsidR="000A2408" w:rsidRPr="00BE1231">
        <w:t>1 et 2.</w:t>
      </w:r>
    </w:p>
    <w:p w:rsidR="00974E05" w:rsidRPr="00BE1231" w:rsidRDefault="00974E05" w:rsidP="00974E05"/>
    <w:p w:rsidR="00974E05" w:rsidRPr="00BE1231" w:rsidRDefault="007F6BE3" w:rsidP="006A4A4E">
      <w:pPr>
        <w:pStyle w:val="Heading2"/>
        <w:rPr>
          <w:lang w:val="fr-FR"/>
        </w:rPr>
      </w:pPr>
      <w:bookmarkStart w:id="55" w:name="_Toc381170162"/>
      <w:r w:rsidRPr="00BE1231">
        <w:rPr>
          <w:lang w:val="fr-FR"/>
        </w:rPr>
        <w:t>Version</w:t>
      </w:r>
      <w:r w:rsidR="00974E05" w:rsidRPr="00BE1231">
        <w:rPr>
          <w:lang w:val="fr-FR"/>
        </w:rPr>
        <w:t xml:space="preserve"> </w:t>
      </w:r>
      <w:r w:rsidR="008C3ECC" w:rsidRPr="00BE1231">
        <w:rPr>
          <w:lang w:val="fr-FR"/>
        </w:rPr>
        <w:t>n°</w:t>
      </w:r>
      <w:r w:rsidR="00E2212C">
        <w:rPr>
          <w:lang w:val="fr-FR"/>
        </w:rPr>
        <w:t> </w:t>
      </w:r>
      <w:r w:rsidR="00974E05" w:rsidRPr="00BE1231">
        <w:rPr>
          <w:lang w:val="fr-FR"/>
        </w:rPr>
        <w:t>1</w:t>
      </w:r>
      <w:bookmarkEnd w:id="55"/>
    </w:p>
    <w:p w:rsidR="00974E05" w:rsidRPr="00BE1231" w:rsidRDefault="00974E05" w:rsidP="00974E05"/>
    <w:p w:rsidR="008C3ECC" w:rsidRPr="00BE1231" w:rsidRDefault="00185757" w:rsidP="00974E05">
      <w:r w:rsidRPr="00BE1231">
        <w:fldChar w:fldCharType="begin"/>
      </w:r>
      <w:r w:rsidR="007F6BE3" w:rsidRPr="00BE1231">
        <w:instrText xml:space="preserve"> AUTONUM  </w:instrText>
      </w:r>
      <w:r w:rsidRPr="00BE1231">
        <w:fldChar w:fldCharType="end"/>
      </w:r>
      <w:r w:rsidR="007F6BE3" w:rsidRPr="00BE1231">
        <w:tab/>
      </w:r>
      <w:r w:rsidR="004C2CCE" w:rsidRPr="00BE1231">
        <w:t>La v</w:t>
      </w:r>
      <w:r w:rsidR="007F6BE3" w:rsidRPr="00BE1231">
        <w:t>ersion</w:t>
      </w:r>
      <w:r w:rsidR="008C3ECC" w:rsidRPr="00BE1231">
        <w:t xml:space="preserve"> n°</w:t>
      </w:r>
      <w:r w:rsidR="00E2212C">
        <w:t> </w:t>
      </w:r>
      <w:r w:rsidR="007F6BE3" w:rsidRPr="00BE1231">
        <w:t>1</w:t>
      </w:r>
      <w:r w:rsidR="00974E05" w:rsidRPr="00BE1231">
        <w:t xml:space="preserve"> </w:t>
      </w:r>
      <w:r w:rsidR="004C2CCE" w:rsidRPr="00BE1231">
        <w:t>du modèle de principes directeurs d</w:t>
      </w:r>
      <w:r w:rsidR="00C4117D">
        <w:t>’</w:t>
      </w:r>
      <w:r w:rsidR="004C2CCE" w:rsidRPr="00BE1231">
        <w:t xml:space="preserve">examen fondé sur le Web </w:t>
      </w:r>
      <w:r w:rsidR="008C3ECC" w:rsidRPr="00BE1231">
        <w:t>sera pleinement fonctionnelle en vue de l</w:t>
      </w:r>
      <w:r w:rsidR="00C4117D">
        <w:t>’</w:t>
      </w:r>
      <w:r w:rsidR="008C3ECC" w:rsidRPr="00BE1231">
        <w:t>élaboration des principes directeurs d</w:t>
      </w:r>
      <w:r w:rsidR="00C4117D">
        <w:t>’</w:t>
      </w:r>
      <w:r w:rsidR="008C3ECC" w:rsidRPr="00BE1231">
        <w:t>examen de l</w:t>
      </w:r>
      <w:r w:rsidR="00C4117D">
        <w:t>’</w:t>
      </w:r>
      <w:r w:rsidR="008C3ECC" w:rsidRPr="00BE1231">
        <w:t xml:space="preserve">UPOV par les experts principaux et permettra aux experts intéressés de formuler des observations. </w:t>
      </w:r>
      <w:r w:rsidR="00443DE2" w:rsidRPr="00BE1231">
        <w:t xml:space="preserve"> </w:t>
      </w:r>
      <w:r w:rsidR="008C3ECC" w:rsidRPr="00BE1231">
        <w:t>La version n°</w:t>
      </w:r>
      <w:r w:rsidR="00E2212C">
        <w:t> </w:t>
      </w:r>
      <w:r w:rsidR="008C3ECC" w:rsidRPr="00BE1231">
        <w:t>1 du modèle de principes directeurs d</w:t>
      </w:r>
      <w:r w:rsidR="00C4117D">
        <w:t>’</w:t>
      </w:r>
      <w:r w:rsidR="008C3ECC" w:rsidRPr="00BE1231">
        <w:t>examen fondé sur le Web sera achevée d</w:t>
      </w:r>
      <w:r w:rsidR="00C4117D">
        <w:t>’</w:t>
      </w:r>
      <w:r w:rsidR="008C3ECC" w:rsidRPr="00BE1231">
        <w:t>ici au début de l</w:t>
      </w:r>
      <w:r w:rsidR="00C4117D">
        <w:t>’</w:t>
      </w:r>
      <w:r w:rsidR="008C3ECC" w:rsidRPr="00BE1231">
        <w:t>année 2014, et une démonstration sera effectuée lors de la cinquantième</w:t>
      </w:r>
      <w:r w:rsidR="00E2212C">
        <w:t> </w:t>
      </w:r>
      <w:r w:rsidR="008C3ECC" w:rsidRPr="00BE1231">
        <w:t>session du</w:t>
      </w:r>
      <w:r w:rsidR="00C4117D">
        <w:t> TC</w:t>
      </w:r>
      <w:r w:rsidR="008C3ECC" w:rsidRPr="00BE1231">
        <w:t>.</w:t>
      </w:r>
    </w:p>
    <w:p w:rsidR="004058E7" w:rsidRPr="00BE1231" w:rsidRDefault="004058E7" w:rsidP="00974E05"/>
    <w:p w:rsidR="00B94A4D" w:rsidRPr="00BE1231" w:rsidRDefault="008C3ECC" w:rsidP="00B94A4D">
      <w:pPr>
        <w:pStyle w:val="Heading3"/>
      </w:pPr>
      <w:bookmarkStart w:id="56" w:name="_Toc381170163"/>
      <w:r w:rsidRPr="00BE1231">
        <w:t>Caractéristiques</w:t>
      </w:r>
      <w:bookmarkEnd w:id="56"/>
    </w:p>
    <w:p w:rsidR="00B94A4D" w:rsidRPr="00BE1231" w:rsidRDefault="00B94A4D" w:rsidP="00727189">
      <w:pPr>
        <w:keepNext/>
      </w:pPr>
    </w:p>
    <w:p w:rsidR="00E4080D" w:rsidRPr="00BE1231" w:rsidRDefault="00185757" w:rsidP="00974E05">
      <w:r w:rsidRPr="00BE1231">
        <w:fldChar w:fldCharType="begin"/>
      </w:r>
      <w:r w:rsidR="00E4080D" w:rsidRPr="00BE1231">
        <w:instrText xml:space="preserve"> AUTONUM  </w:instrText>
      </w:r>
      <w:r w:rsidRPr="00BE1231">
        <w:fldChar w:fldCharType="end"/>
      </w:r>
      <w:r w:rsidR="00E4080D" w:rsidRPr="00BE1231">
        <w:tab/>
      </w:r>
      <w:r w:rsidR="008C3ECC" w:rsidRPr="00BE1231">
        <w:t>Les principales caractéristiques de la v</w:t>
      </w:r>
      <w:r w:rsidR="00E4080D" w:rsidRPr="00BE1231">
        <w:t xml:space="preserve">ersion </w:t>
      </w:r>
      <w:r w:rsidR="008C3ECC" w:rsidRPr="00BE1231">
        <w:t>n°</w:t>
      </w:r>
      <w:r w:rsidR="00E2212C">
        <w:t> </w:t>
      </w:r>
      <w:r w:rsidR="00E4080D" w:rsidRPr="00BE1231">
        <w:t xml:space="preserve">1 </w:t>
      </w:r>
      <w:r w:rsidR="008C3ECC" w:rsidRPr="00BE1231">
        <w:t>sont les suivantes</w:t>
      </w:r>
      <w:r w:rsidR="00E2212C">
        <w:t> </w:t>
      </w:r>
      <w:r w:rsidR="00E4080D" w:rsidRPr="00BE1231">
        <w:t>:</w:t>
      </w:r>
    </w:p>
    <w:p w:rsidR="00E4080D" w:rsidRPr="00BE1231" w:rsidRDefault="00E4080D" w:rsidP="00974E05"/>
    <w:p w:rsidR="008C3ECC" w:rsidRPr="00BE1231" w:rsidRDefault="00943930" w:rsidP="00943930">
      <w:pPr>
        <w:pStyle w:val="ListParagraph"/>
        <w:numPr>
          <w:ilvl w:val="0"/>
          <w:numId w:val="5"/>
        </w:numPr>
        <w:tabs>
          <w:tab w:val="left" w:pos="709"/>
        </w:tabs>
        <w:spacing w:after="40"/>
        <w:ind w:left="714" w:hanging="357"/>
        <w:contextualSpacing w:val="0"/>
      </w:pPr>
      <w:r>
        <w:t>u</w:t>
      </w:r>
      <w:r w:rsidR="008C3ECC" w:rsidRPr="00BE1231">
        <w:t>n projet de principes directeurs d</w:t>
      </w:r>
      <w:r w:rsidR="00C4117D">
        <w:t>’</w:t>
      </w:r>
      <w:r w:rsidR="008C3ECC" w:rsidRPr="00BE1231">
        <w:t>examen sera élaboré en ligne par les experts principaux à l</w:t>
      </w:r>
      <w:r w:rsidR="00C4117D">
        <w:t>’</w:t>
      </w:r>
      <w:r w:rsidR="008C3ECC" w:rsidRPr="00BE1231">
        <w:t>aide du modèle de principes directeurs d</w:t>
      </w:r>
      <w:r w:rsidR="00C4117D">
        <w:t>’</w:t>
      </w:r>
      <w:r w:rsidR="008C3ECC" w:rsidRPr="00BE1231">
        <w:t>examen fondé sur le Web</w:t>
      </w:r>
      <w:r w:rsidR="001E5F9D">
        <w:t>;</w:t>
      </w:r>
    </w:p>
    <w:p w:rsidR="00E4080D" w:rsidRPr="00BE1231" w:rsidRDefault="00943930" w:rsidP="00943930">
      <w:pPr>
        <w:pStyle w:val="ListParagraph"/>
        <w:numPr>
          <w:ilvl w:val="0"/>
          <w:numId w:val="5"/>
        </w:numPr>
        <w:tabs>
          <w:tab w:val="left" w:pos="709"/>
        </w:tabs>
        <w:spacing w:after="40"/>
        <w:ind w:left="714" w:hanging="357"/>
        <w:contextualSpacing w:val="0"/>
      </w:pPr>
      <w:r>
        <w:t>u</w:t>
      </w:r>
      <w:r w:rsidR="008C3ECC" w:rsidRPr="00BE1231">
        <w:t>n modèle fixe, contenant le texte standard général applicable à tous les principes directeurs d</w:t>
      </w:r>
      <w:r w:rsidR="00C4117D">
        <w:t>’</w:t>
      </w:r>
      <w:r w:rsidR="008C3ECC" w:rsidRPr="00BE1231">
        <w:t xml:space="preserve">examen </w:t>
      </w:r>
      <w:r w:rsidR="00E4080D" w:rsidRPr="00BE1231">
        <w:t>(</w:t>
      </w:r>
      <w:r w:rsidR="00EB1962" w:rsidRPr="00BE1231">
        <w:t>voir le</w:t>
      </w:r>
      <w:r w:rsidR="00E4080D" w:rsidRPr="00BE1231">
        <w:t xml:space="preserve"> </w:t>
      </w:r>
      <w:r w:rsidR="005D6A9B" w:rsidRPr="00BE1231">
        <w:t xml:space="preserve">document </w:t>
      </w:r>
      <w:r w:rsidR="00E4080D" w:rsidRPr="00BE1231">
        <w:t>TGP/7</w:t>
      </w:r>
      <w:r w:rsidR="005D6A9B" w:rsidRPr="00BE1231">
        <w:t>/3</w:t>
      </w:r>
      <w:r w:rsidR="004058E7" w:rsidRPr="00BE1231">
        <w:t xml:space="preserve"> </w:t>
      </w:r>
      <w:r w:rsidR="00E2212C">
        <w:t>“</w:t>
      </w:r>
      <w:r w:rsidR="004058E7" w:rsidRPr="00BE1231">
        <w:t>Élaboration des principes directeurs d</w:t>
      </w:r>
      <w:r w:rsidR="00C4117D">
        <w:t>’</w:t>
      </w:r>
      <w:r w:rsidR="004058E7" w:rsidRPr="00BE1231">
        <w:t>examen</w:t>
      </w:r>
      <w:r w:rsidR="00E2212C">
        <w:t>”</w:t>
      </w:r>
      <w:r w:rsidR="00E4080D" w:rsidRPr="00BE1231">
        <w:t xml:space="preserve">, </w:t>
      </w:r>
      <w:r w:rsidR="004058E7" w:rsidRPr="00BE1231">
        <w:t>s</w:t>
      </w:r>
      <w:r w:rsidR="00E4080D" w:rsidRPr="00BE1231">
        <w:t>ection</w:t>
      </w:r>
      <w:r w:rsidR="00E2212C">
        <w:t> </w:t>
      </w:r>
      <w:r w:rsidR="00E4080D" w:rsidRPr="00BE1231">
        <w:t xml:space="preserve">3.1 </w:t>
      </w:r>
      <w:r w:rsidR="00E2212C">
        <w:t>“</w:t>
      </w:r>
      <w:r w:rsidR="004058E7" w:rsidRPr="00BE1231">
        <w:t xml:space="preserve">Le </w:t>
      </w:r>
      <w:r w:rsidR="00EB1962" w:rsidRPr="00BE1231">
        <w:t>modèle de principes directeurs d</w:t>
      </w:r>
      <w:r w:rsidR="00C4117D">
        <w:t>’</w:t>
      </w:r>
      <w:r w:rsidR="00EB1962" w:rsidRPr="00BE1231">
        <w:t>examen</w:t>
      </w:r>
      <w:r w:rsidR="00E2212C">
        <w:t>”</w:t>
      </w:r>
      <w:r w:rsidR="00EB1962" w:rsidRPr="00BE1231">
        <w:t>)</w:t>
      </w:r>
      <w:r w:rsidR="001E5F9D">
        <w:t>;</w:t>
      </w:r>
    </w:p>
    <w:p w:rsidR="00E4080D" w:rsidRPr="00BE1231" w:rsidRDefault="00943930" w:rsidP="00943930">
      <w:pPr>
        <w:pStyle w:val="ListParagraph"/>
        <w:numPr>
          <w:ilvl w:val="0"/>
          <w:numId w:val="5"/>
        </w:numPr>
        <w:tabs>
          <w:tab w:val="left" w:pos="709"/>
        </w:tabs>
        <w:spacing w:after="40"/>
        <w:ind w:left="714" w:hanging="357"/>
        <w:contextualSpacing w:val="0"/>
      </w:pPr>
      <w:r>
        <w:t>p</w:t>
      </w:r>
      <w:r w:rsidR="00E61C49" w:rsidRPr="00BE1231">
        <w:t>ossibilité d</w:t>
      </w:r>
      <w:r w:rsidR="00C4117D">
        <w:t>’</w:t>
      </w:r>
      <w:r w:rsidR="00E61C49" w:rsidRPr="00BE1231">
        <w:t>ajouter un texte standard supplémentaire</w:t>
      </w:r>
      <w:r w:rsidR="00E4080D" w:rsidRPr="00BE1231">
        <w:t xml:space="preserve"> (ASW) (</w:t>
      </w:r>
      <w:r w:rsidR="00EB1962" w:rsidRPr="00BE1231">
        <w:t>voir le</w:t>
      </w:r>
      <w:r w:rsidR="00E4080D" w:rsidRPr="00BE1231">
        <w:t xml:space="preserve"> </w:t>
      </w:r>
      <w:r w:rsidR="005D6A9B" w:rsidRPr="00BE1231">
        <w:t xml:space="preserve">document </w:t>
      </w:r>
      <w:r w:rsidR="00E4080D" w:rsidRPr="00BE1231">
        <w:t>TGP/7</w:t>
      </w:r>
      <w:r w:rsidR="005D6A9B" w:rsidRPr="00BE1231">
        <w:t>/3</w:t>
      </w:r>
      <w:r w:rsidR="004058E7" w:rsidRPr="00BE1231">
        <w:t xml:space="preserve">, </w:t>
      </w:r>
      <w:r>
        <w:t>s</w:t>
      </w:r>
      <w:r w:rsidR="004058E7" w:rsidRPr="00BE1231">
        <w:t>ection</w:t>
      </w:r>
      <w:r w:rsidR="00E2212C">
        <w:t> </w:t>
      </w:r>
      <w:r w:rsidR="004058E7" w:rsidRPr="00BE1231">
        <w:t xml:space="preserve">3.2 </w:t>
      </w:r>
      <w:r w:rsidR="00E2212C">
        <w:t>“</w:t>
      </w:r>
      <w:r w:rsidR="004058E7" w:rsidRPr="00BE1231">
        <w:t>Texte standard supplémentaire</w:t>
      </w:r>
      <w:r w:rsidR="00E2212C">
        <w:t>”</w:t>
      </w:r>
      <w:r w:rsidR="00E4080D" w:rsidRPr="00BE1231">
        <w:t xml:space="preserve"> (ASW) </w:t>
      </w:r>
      <w:r w:rsidR="004058E7" w:rsidRPr="00BE1231">
        <w:t>pour le modèle de principes directeurs d</w:t>
      </w:r>
      <w:r w:rsidR="00C4117D">
        <w:t>’</w:t>
      </w:r>
      <w:r w:rsidR="004058E7" w:rsidRPr="00BE1231">
        <w:t>examen</w:t>
      </w:r>
      <w:r w:rsidR="00E2212C">
        <w:t>”</w:t>
      </w:r>
      <w:r w:rsidR="00EB1962" w:rsidRPr="00BE1231">
        <w:t>)</w:t>
      </w:r>
      <w:r w:rsidR="001E5F9D">
        <w:t>;</w:t>
      </w:r>
    </w:p>
    <w:p w:rsidR="00D854B0" w:rsidRPr="00BE1231" w:rsidRDefault="00943930" w:rsidP="00943930">
      <w:pPr>
        <w:pStyle w:val="ListParagraph"/>
        <w:numPr>
          <w:ilvl w:val="0"/>
          <w:numId w:val="5"/>
        </w:numPr>
        <w:tabs>
          <w:tab w:val="left" w:pos="709"/>
        </w:tabs>
        <w:spacing w:after="40"/>
        <w:contextualSpacing w:val="0"/>
      </w:pPr>
      <w:r>
        <w:t>r</w:t>
      </w:r>
      <w:r w:rsidR="00E61C49" w:rsidRPr="00BE1231">
        <w:t>envois à des notes indicatives</w:t>
      </w:r>
      <w:r w:rsidR="00E4080D" w:rsidRPr="00BE1231">
        <w:t xml:space="preserve"> (GN) (</w:t>
      </w:r>
      <w:r w:rsidR="00D854B0" w:rsidRPr="00BE1231">
        <w:t>voir le</w:t>
      </w:r>
      <w:r w:rsidR="00E4080D" w:rsidRPr="00BE1231">
        <w:t xml:space="preserve"> </w:t>
      </w:r>
      <w:r w:rsidR="005D6A9B" w:rsidRPr="00BE1231">
        <w:t xml:space="preserve">document </w:t>
      </w:r>
      <w:r w:rsidR="00E4080D" w:rsidRPr="00BE1231">
        <w:t>TGP/7</w:t>
      </w:r>
      <w:r w:rsidR="005D6A9B" w:rsidRPr="00BE1231">
        <w:t>/3</w:t>
      </w:r>
      <w:r>
        <w:t>, s</w:t>
      </w:r>
      <w:r w:rsidR="00E4080D" w:rsidRPr="00BE1231">
        <w:t>ection</w:t>
      </w:r>
      <w:r w:rsidR="00E2212C">
        <w:t> </w:t>
      </w:r>
      <w:r w:rsidR="00E4080D" w:rsidRPr="00BE1231">
        <w:t xml:space="preserve">3.3 </w:t>
      </w:r>
      <w:r w:rsidR="00E2212C">
        <w:t>“</w:t>
      </w:r>
      <w:r w:rsidR="00D854B0" w:rsidRPr="00BE1231">
        <w:t>Notes indicatives (GN) concernant le modèle de principes directeurs d</w:t>
      </w:r>
      <w:r w:rsidR="00C4117D">
        <w:t>’</w:t>
      </w:r>
      <w:r w:rsidR="00D854B0" w:rsidRPr="00BE1231">
        <w:t>examen</w:t>
      </w:r>
      <w:r w:rsidR="00E2212C">
        <w:t>”</w:t>
      </w:r>
      <w:r w:rsidR="00D854B0" w:rsidRPr="00BE1231">
        <w:t>)</w:t>
      </w:r>
      <w:r w:rsidR="001E5F9D">
        <w:t>;</w:t>
      </w:r>
    </w:p>
    <w:p w:rsidR="001D2E82" w:rsidRPr="00BE1231" w:rsidRDefault="00DF0CC2" w:rsidP="00943930">
      <w:pPr>
        <w:pStyle w:val="ListParagraph"/>
        <w:numPr>
          <w:ilvl w:val="0"/>
          <w:numId w:val="5"/>
        </w:numPr>
        <w:tabs>
          <w:tab w:val="left" w:pos="709"/>
        </w:tabs>
        <w:spacing w:after="40"/>
        <w:ind w:left="714" w:hanging="357"/>
        <w:contextualSpacing w:val="0"/>
        <w:rPr>
          <w:i/>
          <w:snapToGrid w:val="0"/>
        </w:rPr>
      </w:pPr>
      <w:r>
        <w:t>u</w:t>
      </w:r>
      <w:r w:rsidR="00E61C49" w:rsidRPr="00BE1231">
        <w:t>ne base de données des caractères</w:t>
      </w:r>
      <w:r w:rsidR="00CA06CC" w:rsidRPr="00BE1231">
        <w:t xml:space="preserve"> (</w:t>
      </w:r>
      <w:r w:rsidR="000A0332" w:rsidRPr="00BE1231">
        <w:t>en anglais, français, allemand et espagnol</w:t>
      </w:r>
      <w:r w:rsidR="00CA06CC" w:rsidRPr="00BE1231">
        <w:t>)</w:t>
      </w:r>
      <w:r w:rsidR="005D6A9B" w:rsidRPr="00BE1231">
        <w:t xml:space="preserve"> </w:t>
      </w:r>
      <w:r w:rsidR="00E61C49" w:rsidRPr="00BE1231">
        <w:t>tirée des principes directeurs d</w:t>
      </w:r>
      <w:r w:rsidR="00C4117D">
        <w:t>’</w:t>
      </w:r>
      <w:r w:rsidR="00E61C49" w:rsidRPr="00BE1231">
        <w:t>examen adoptés après l</w:t>
      </w:r>
      <w:r w:rsidR="00C4117D">
        <w:t>’</w:t>
      </w:r>
      <w:r w:rsidR="00E61C49" w:rsidRPr="00BE1231">
        <w:t>adoption du</w:t>
      </w:r>
      <w:r w:rsidR="005D6A9B" w:rsidRPr="00BE1231">
        <w:t xml:space="preserve"> document TGP/7/1 </w:t>
      </w:r>
      <w:r w:rsidR="00E2212C">
        <w:t>“</w:t>
      </w:r>
      <w:r w:rsidR="00E61C49" w:rsidRPr="00BE1231">
        <w:t>Élaboration des principes directeurs d</w:t>
      </w:r>
      <w:r w:rsidR="00C4117D">
        <w:t>’</w:t>
      </w:r>
      <w:r w:rsidR="00E61C49" w:rsidRPr="00BE1231">
        <w:t>examen</w:t>
      </w:r>
      <w:r w:rsidR="00E2212C">
        <w:t>”</w:t>
      </w:r>
      <w:r w:rsidR="00517468" w:rsidRPr="00BE1231">
        <w:t xml:space="preserve"> (adopté en</w:t>
      </w:r>
      <w:r w:rsidR="00E2212C">
        <w:t> </w:t>
      </w:r>
      <w:r w:rsidR="00517468" w:rsidRPr="00BE1231">
        <w:t>2004)</w:t>
      </w:r>
      <w:r w:rsidR="005D6A9B" w:rsidRPr="00BE1231">
        <w:t xml:space="preserve"> (</w:t>
      </w:r>
      <w:r w:rsidR="00EB1962" w:rsidRPr="00BE1231">
        <w:t>voir le</w:t>
      </w:r>
      <w:r w:rsidR="005D6A9B" w:rsidRPr="00BE1231">
        <w:t xml:space="preserve"> document TGP/7/3, </w:t>
      </w:r>
      <w:r w:rsidR="00EB1962" w:rsidRPr="00BE1231">
        <w:t>a</w:t>
      </w:r>
      <w:r w:rsidR="005D6A9B" w:rsidRPr="00BE1231">
        <w:t>nnex</w:t>
      </w:r>
      <w:r w:rsidR="00EB1962" w:rsidRPr="00BE1231">
        <w:t>e</w:t>
      </w:r>
      <w:r w:rsidR="005D6A9B" w:rsidRPr="00BE1231">
        <w:t xml:space="preserve"> 4 </w:t>
      </w:r>
      <w:r w:rsidR="00E2212C">
        <w:t>“</w:t>
      </w:r>
      <w:r w:rsidR="00EB1962" w:rsidRPr="00BE1231">
        <w:t>Liste des caractères approuvés</w:t>
      </w:r>
      <w:r w:rsidR="00E2212C">
        <w:t>”</w:t>
      </w:r>
      <w:r w:rsidR="005D6A9B" w:rsidRPr="00BE1231">
        <w:t>)</w:t>
      </w:r>
      <w:r w:rsidR="00745491">
        <w:t>;</w:t>
      </w:r>
    </w:p>
    <w:p w:rsidR="00517468" w:rsidRPr="00BE1231" w:rsidRDefault="00AA731D" w:rsidP="001D2E82">
      <w:pPr>
        <w:ind w:left="720"/>
        <w:rPr>
          <w:i/>
        </w:rPr>
      </w:pPr>
      <w:r w:rsidRPr="00BE1231">
        <w:br/>
      </w:r>
      <w:r w:rsidR="00517468" w:rsidRPr="00BE1231">
        <w:rPr>
          <w:i/>
        </w:rPr>
        <w:t>La base de données contiendra toutes les informations tirées du Tableau des caractères, y</w:t>
      </w:r>
      <w:r w:rsidR="00E2212C">
        <w:rPr>
          <w:i/>
        </w:rPr>
        <w:t> </w:t>
      </w:r>
      <w:r w:rsidR="00517468" w:rsidRPr="00BE1231">
        <w:rPr>
          <w:i/>
        </w:rPr>
        <w:t>compris les niveaux d</w:t>
      </w:r>
      <w:r w:rsidR="00C4117D">
        <w:rPr>
          <w:i/>
        </w:rPr>
        <w:t>’</w:t>
      </w:r>
      <w:r w:rsidR="00517468" w:rsidRPr="00BE1231">
        <w:rPr>
          <w:i/>
        </w:rPr>
        <w:t>expression, les notes, les variétés indiquées à titre d</w:t>
      </w:r>
      <w:r w:rsidR="00C4117D">
        <w:rPr>
          <w:i/>
        </w:rPr>
        <w:t>’</w:t>
      </w:r>
      <w:r w:rsidR="00517468" w:rsidRPr="00BE1231">
        <w:rPr>
          <w:i/>
        </w:rPr>
        <w:t xml:space="preserve">exemples, etc.  </w:t>
      </w:r>
      <w:r w:rsidR="00BA2EEC" w:rsidRPr="00BE1231">
        <w:rPr>
          <w:i/>
        </w:rPr>
        <w:t xml:space="preserve">Les caractères pertinents pourront être </w:t>
      </w:r>
      <w:proofErr w:type="gramStart"/>
      <w:r w:rsidR="00BA2EEC" w:rsidRPr="00BE1231">
        <w:rPr>
          <w:i/>
        </w:rPr>
        <w:t>recherchés</w:t>
      </w:r>
      <w:proofErr w:type="gramEnd"/>
      <w:r w:rsidR="00BA2EEC" w:rsidRPr="00BE1231">
        <w:rPr>
          <w:i/>
        </w:rPr>
        <w:t xml:space="preserve"> dans la </w:t>
      </w:r>
      <w:r w:rsidR="00517468" w:rsidRPr="00BE1231">
        <w:rPr>
          <w:i/>
        </w:rPr>
        <w:t>base de données</w:t>
      </w:r>
      <w:r w:rsidR="00BA2EEC" w:rsidRPr="00BE1231">
        <w:rPr>
          <w:i/>
        </w:rPr>
        <w:t xml:space="preserve"> et un caractère pertinent</w:t>
      </w:r>
      <w:r w:rsidR="001E5F9D">
        <w:rPr>
          <w:i/>
        </w:rPr>
        <w:t xml:space="preserve"> sera</w:t>
      </w:r>
      <w:r w:rsidR="00BA2EEC" w:rsidRPr="00BE1231">
        <w:rPr>
          <w:i/>
        </w:rPr>
        <w:t xml:space="preserve"> intégré dans les principes directeurs d</w:t>
      </w:r>
      <w:r w:rsidR="00C4117D">
        <w:rPr>
          <w:i/>
        </w:rPr>
        <w:t>’</w:t>
      </w:r>
      <w:r w:rsidR="00BA2EEC" w:rsidRPr="00BE1231">
        <w:rPr>
          <w:i/>
        </w:rPr>
        <w:t>examen et modifié ultérieurement, le cas échéant.</w:t>
      </w:r>
    </w:p>
    <w:p w:rsidR="001D2E82" w:rsidRPr="00DF0CC2" w:rsidRDefault="001D2E82" w:rsidP="001D2E82">
      <w:pPr>
        <w:ind w:left="360"/>
        <w:rPr>
          <w:i/>
          <w:snapToGrid w:val="0"/>
          <w:sz w:val="16"/>
          <w:szCs w:val="16"/>
        </w:rPr>
      </w:pPr>
    </w:p>
    <w:p w:rsidR="00BA2EEC" w:rsidRPr="00BE1231" w:rsidRDefault="00DF0CC2" w:rsidP="00943930">
      <w:pPr>
        <w:pStyle w:val="ListParagraph"/>
        <w:numPr>
          <w:ilvl w:val="0"/>
          <w:numId w:val="5"/>
        </w:numPr>
        <w:tabs>
          <w:tab w:val="left" w:pos="709"/>
        </w:tabs>
        <w:spacing w:after="40"/>
        <w:ind w:left="714" w:hanging="357"/>
        <w:contextualSpacing w:val="0"/>
        <w:rPr>
          <w:snapToGrid w:val="0"/>
        </w:rPr>
      </w:pPr>
      <w:r>
        <w:rPr>
          <w:snapToGrid w:val="0"/>
        </w:rPr>
        <w:t>d</w:t>
      </w:r>
      <w:r w:rsidR="00BA2EEC" w:rsidRPr="00BE1231">
        <w:rPr>
          <w:snapToGrid w:val="0"/>
        </w:rPr>
        <w:t>es champs où les experts intéressés pourront noter leurs observations en ligne, et une fonction d</w:t>
      </w:r>
      <w:r w:rsidR="00C4117D">
        <w:rPr>
          <w:snapToGrid w:val="0"/>
        </w:rPr>
        <w:t>’</w:t>
      </w:r>
      <w:r w:rsidR="00BA2EEC" w:rsidRPr="00BE1231">
        <w:rPr>
          <w:snapToGrid w:val="0"/>
        </w:rPr>
        <w:t>affichage de l</w:t>
      </w:r>
      <w:r w:rsidR="00C4117D">
        <w:rPr>
          <w:snapToGrid w:val="0"/>
        </w:rPr>
        <w:t>’</w:t>
      </w:r>
      <w:r w:rsidR="00BA2EEC" w:rsidRPr="00BE1231">
        <w:rPr>
          <w:snapToGrid w:val="0"/>
        </w:rPr>
        <w:t>ensemble des commentaires</w:t>
      </w:r>
      <w:r w:rsidR="00745491">
        <w:rPr>
          <w:snapToGrid w:val="0"/>
        </w:rPr>
        <w:t>;</w:t>
      </w:r>
    </w:p>
    <w:p w:rsidR="00BA2EEC" w:rsidRPr="00BE1231" w:rsidRDefault="00DF0CC2" w:rsidP="00943930">
      <w:pPr>
        <w:pStyle w:val="ListParagraph"/>
        <w:numPr>
          <w:ilvl w:val="0"/>
          <w:numId w:val="5"/>
        </w:numPr>
        <w:tabs>
          <w:tab w:val="left" w:pos="709"/>
        </w:tabs>
        <w:spacing w:after="40"/>
        <w:ind w:left="714" w:hanging="357"/>
        <w:contextualSpacing w:val="0"/>
        <w:rPr>
          <w:snapToGrid w:val="0"/>
        </w:rPr>
      </w:pPr>
      <w:r>
        <w:rPr>
          <w:snapToGrid w:val="0"/>
        </w:rPr>
        <w:t>d</w:t>
      </w:r>
      <w:r w:rsidR="00BA2EEC" w:rsidRPr="00BE1231">
        <w:rPr>
          <w:snapToGrid w:val="0"/>
        </w:rPr>
        <w:t>es options de sortie en format HTML, PDF ou Word</w:t>
      </w:r>
      <w:r w:rsidR="00745491">
        <w:rPr>
          <w:snapToGrid w:val="0"/>
        </w:rPr>
        <w:t>;</w:t>
      </w:r>
    </w:p>
    <w:p w:rsidR="00BA2EEC" w:rsidRPr="00BE1231" w:rsidRDefault="00DF0CC2" w:rsidP="00943930">
      <w:pPr>
        <w:pStyle w:val="ListParagraph"/>
        <w:numPr>
          <w:ilvl w:val="0"/>
          <w:numId w:val="5"/>
        </w:numPr>
        <w:tabs>
          <w:tab w:val="left" w:pos="709"/>
        </w:tabs>
        <w:spacing w:after="40"/>
        <w:ind w:left="714" w:hanging="357"/>
        <w:contextualSpacing w:val="0"/>
        <w:rPr>
          <w:snapToGrid w:val="0"/>
        </w:rPr>
      </w:pPr>
      <w:r>
        <w:rPr>
          <w:snapToGrid w:val="0"/>
        </w:rPr>
        <w:t>v</w:t>
      </w:r>
      <w:r w:rsidR="00BA2EEC" w:rsidRPr="00BE1231">
        <w:rPr>
          <w:snapToGrid w:val="0"/>
        </w:rPr>
        <w:t>ersion en anglais seulement</w:t>
      </w:r>
      <w:r w:rsidR="00745491">
        <w:rPr>
          <w:snapToGrid w:val="0"/>
        </w:rPr>
        <w:t>;</w:t>
      </w:r>
    </w:p>
    <w:p w:rsidR="00BA2EEC" w:rsidRPr="00BE1231" w:rsidRDefault="00BA2EEC" w:rsidP="00943930">
      <w:pPr>
        <w:pStyle w:val="ListParagraph"/>
        <w:numPr>
          <w:ilvl w:val="0"/>
          <w:numId w:val="5"/>
        </w:numPr>
        <w:tabs>
          <w:tab w:val="left" w:pos="709"/>
        </w:tabs>
        <w:spacing w:after="40"/>
        <w:ind w:left="714" w:hanging="357"/>
        <w:contextualSpacing w:val="0"/>
        <w:rPr>
          <w:snapToGrid w:val="0"/>
        </w:rPr>
      </w:pPr>
      <w:r w:rsidRPr="00BE1231">
        <w:rPr>
          <w:snapToGrid w:val="0"/>
        </w:rPr>
        <w:t xml:space="preserve">Outil de traduction du </w:t>
      </w:r>
      <w:r w:rsidRPr="00BE1231">
        <w:rPr>
          <w:snapToGrid w:val="0"/>
          <w:color w:val="000000"/>
        </w:rPr>
        <w:t>Tableau des caractères (chapitre</w:t>
      </w:r>
      <w:r w:rsidR="00E2212C">
        <w:rPr>
          <w:snapToGrid w:val="0"/>
          <w:color w:val="000000"/>
        </w:rPr>
        <w:t> </w:t>
      </w:r>
      <w:r w:rsidRPr="00BE1231">
        <w:rPr>
          <w:snapToGrid w:val="0"/>
          <w:color w:val="000000"/>
        </w:rPr>
        <w:t>7)</w:t>
      </w:r>
      <w:r w:rsidR="00745491">
        <w:rPr>
          <w:snapToGrid w:val="0"/>
          <w:color w:val="000000"/>
        </w:rPr>
        <w:t>.</w:t>
      </w:r>
    </w:p>
    <w:p w:rsidR="001D2E82" w:rsidRPr="00BE1231" w:rsidRDefault="001D2E82" w:rsidP="001D2E82">
      <w:pPr>
        <w:ind w:left="720"/>
        <w:rPr>
          <w:i/>
          <w:snapToGrid w:val="0"/>
          <w:color w:val="000000"/>
        </w:rPr>
      </w:pPr>
    </w:p>
    <w:p w:rsidR="00BA2EEC" w:rsidRPr="00BE1231" w:rsidRDefault="00BA2EEC" w:rsidP="001D2E82">
      <w:pPr>
        <w:ind w:left="720"/>
        <w:rPr>
          <w:i/>
          <w:snapToGrid w:val="0"/>
          <w:color w:val="000000"/>
        </w:rPr>
      </w:pPr>
      <w:r w:rsidRPr="00BE1231">
        <w:rPr>
          <w:i/>
          <w:snapToGrid w:val="0"/>
          <w:color w:val="000000"/>
        </w:rPr>
        <w:t>Les caractères extraits sans changement de la base de données comprenant la liste des caractères approuvés seront indiqués et ne devront pas être traduits.  S</w:t>
      </w:r>
      <w:r w:rsidR="00C4117D">
        <w:rPr>
          <w:i/>
          <w:snapToGrid w:val="0"/>
          <w:color w:val="000000"/>
        </w:rPr>
        <w:t>’</w:t>
      </w:r>
      <w:r w:rsidRPr="00BE1231">
        <w:rPr>
          <w:i/>
          <w:snapToGrid w:val="0"/>
          <w:color w:val="000000"/>
        </w:rPr>
        <w:t>agissant des autres caractères, les</w:t>
      </w:r>
      <w:r w:rsidR="00DF0CC2">
        <w:rPr>
          <w:i/>
          <w:snapToGrid w:val="0"/>
          <w:color w:val="000000"/>
        </w:rPr>
        <w:t> </w:t>
      </w:r>
      <w:r w:rsidRPr="00BE1231">
        <w:rPr>
          <w:i/>
          <w:snapToGrid w:val="0"/>
          <w:color w:val="000000"/>
        </w:rPr>
        <w:t xml:space="preserve">traducteurs pourront </w:t>
      </w:r>
      <w:r w:rsidR="00443DE2" w:rsidRPr="00BE1231">
        <w:rPr>
          <w:i/>
          <w:snapToGrid w:val="0"/>
          <w:color w:val="000000"/>
        </w:rPr>
        <w:t>effectuer une recherche dans la base de données comprenant la liste des</w:t>
      </w:r>
      <w:r w:rsidR="00DF0CC2">
        <w:rPr>
          <w:i/>
          <w:snapToGrid w:val="0"/>
          <w:color w:val="000000"/>
        </w:rPr>
        <w:t> </w:t>
      </w:r>
      <w:r w:rsidR="00443DE2" w:rsidRPr="00BE1231">
        <w:rPr>
          <w:i/>
          <w:snapToGrid w:val="0"/>
          <w:color w:val="000000"/>
        </w:rPr>
        <w:t>caractères approuvés et insérer les traductions requises.  La traduction des autres chapitres des</w:t>
      </w:r>
      <w:r w:rsidR="00DF0CC2">
        <w:rPr>
          <w:i/>
          <w:snapToGrid w:val="0"/>
          <w:color w:val="000000"/>
        </w:rPr>
        <w:t> </w:t>
      </w:r>
      <w:r w:rsidR="00443DE2" w:rsidRPr="00BE1231">
        <w:rPr>
          <w:i/>
          <w:snapToGrid w:val="0"/>
          <w:color w:val="000000"/>
        </w:rPr>
        <w:t>principes directeurs d</w:t>
      </w:r>
      <w:r w:rsidR="00C4117D">
        <w:rPr>
          <w:i/>
          <w:snapToGrid w:val="0"/>
          <w:color w:val="000000"/>
        </w:rPr>
        <w:t>’</w:t>
      </w:r>
      <w:r w:rsidR="00443DE2" w:rsidRPr="00BE1231">
        <w:rPr>
          <w:i/>
          <w:snapToGrid w:val="0"/>
          <w:color w:val="000000"/>
        </w:rPr>
        <w:t>examen sera fournie séparément pour la version n°</w:t>
      </w:r>
      <w:r w:rsidR="00E2212C">
        <w:rPr>
          <w:i/>
          <w:snapToGrid w:val="0"/>
          <w:color w:val="000000"/>
        </w:rPr>
        <w:t> </w:t>
      </w:r>
      <w:r w:rsidR="00443DE2" w:rsidRPr="00BE1231">
        <w:rPr>
          <w:i/>
          <w:snapToGrid w:val="0"/>
          <w:color w:val="000000"/>
        </w:rPr>
        <w:t>1.</w:t>
      </w:r>
    </w:p>
    <w:p w:rsidR="00B94A4D" w:rsidRPr="00BE1231" w:rsidRDefault="00B94A4D" w:rsidP="00B94A4D">
      <w:pPr>
        <w:rPr>
          <w:snapToGrid w:val="0"/>
        </w:rPr>
      </w:pPr>
    </w:p>
    <w:p w:rsidR="00B94A4D" w:rsidRPr="00BE1231" w:rsidRDefault="00443DE2" w:rsidP="00B94A4D">
      <w:pPr>
        <w:pStyle w:val="Heading3"/>
      </w:pPr>
      <w:bookmarkStart w:id="57" w:name="_Toc381170164"/>
      <w:r w:rsidRPr="00BE1231">
        <w:t>Calendrier d</w:t>
      </w:r>
      <w:r w:rsidR="00C4117D">
        <w:t>’</w:t>
      </w:r>
      <w:r w:rsidRPr="00BE1231">
        <w:t>exécution</w:t>
      </w:r>
      <w:bookmarkEnd w:id="57"/>
    </w:p>
    <w:p w:rsidR="00FF721B" w:rsidRPr="00BE1231" w:rsidRDefault="00FF721B" w:rsidP="00B94A4D">
      <w:pPr>
        <w:rPr>
          <w:snapToGrid w:val="0"/>
        </w:rPr>
      </w:pPr>
    </w:p>
    <w:p w:rsidR="00443DE2" w:rsidRPr="00BE1231" w:rsidRDefault="00185757" w:rsidP="00B94A4D">
      <w:pPr>
        <w:rPr>
          <w:snapToGrid w:val="0"/>
        </w:rPr>
      </w:pPr>
      <w:r w:rsidRPr="00BE1231">
        <w:rPr>
          <w:snapToGrid w:val="0"/>
        </w:rPr>
        <w:fldChar w:fldCharType="begin"/>
      </w:r>
      <w:r w:rsidR="007F1560" w:rsidRPr="00BE1231">
        <w:rPr>
          <w:snapToGrid w:val="0"/>
        </w:rPr>
        <w:instrText xml:space="preserve"> AUTONUM  </w:instrText>
      </w:r>
      <w:r w:rsidRPr="00BE1231">
        <w:rPr>
          <w:snapToGrid w:val="0"/>
        </w:rPr>
        <w:fldChar w:fldCharType="end"/>
      </w:r>
      <w:r w:rsidR="007F1560" w:rsidRPr="00BE1231">
        <w:rPr>
          <w:snapToGrid w:val="0"/>
        </w:rPr>
        <w:tab/>
      </w:r>
      <w:r w:rsidR="00443DE2" w:rsidRPr="00BE1231">
        <w:rPr>
          <w:snapToGrid w:val="0"/>
        </w:rPr>
        <w:t>Le calendrier d</w:t>
      </w:r>
      <w:r w:rsidR="00C4117D">
        <w:rPr>
          <w:snapToGrid w:val="0"/>
        </w:rPr>
        <w:t>’</w:t>
      </w:r>
      <w:r w:rsidR="00443DE2" w:rsidRPr="00BE1231">
        <w:rPr>
          <w:snapToGrid w:val="0"/>
        </w:rPr>
        <w:t>élaboration des principes directeurs d</w:t>
      </w:r>
      <w:r w:rsidR="00C4117D">
        <w:rPr>
          <w:snapToGrid w:val="0"/>
        </w:rPr>
        <w:t>’</w:t>
      </w:r>
      <w:r w:rsidR="00443DE2" w:rsidRPr="00BE1231">
        <w:rPr>
          <w:snapToGrid w:val="0"/>
        </w:rPr>
        <w:t>examen en vue des sessions des groupes de travail techniques de</w:t>
      </w:r>
      <w:r w:rsidR="00E2212C">
        <w:rPr>
          <w:snapToGrid w:val="0"/>
        </w:rPr>
        <w:t> </w:t>
      </w:r>
      <w:r w:rsidR="00443DE2" w:rsidRPr="00BE1231">
        <w:rPr>
          <w:snapToGrid w:val="0"/>
        </w:rPr>
        <w:t>2014 est le suivant</w:t>
      </w:r>
      <w:r w:rsidR="00E2212C">
        <w:rPr>
          <w:snapToGrid w:val="0"/>
        </w:rPr>
        <w:t> </w:t>
      </w:r>
      <w:r w:rsidR="00443DE2" w:rsidRPr="00BE1231">
        <w:rPr>
          <w:snapToGrid w:val="0"/>
        </w:rPr>
        <w:t>:</w:t>
      </w:r>
    </w:p>
    <w:p w:rsidR="007F1560" w:rsidRPr="00BE1231" w:rsidRDefault="007F1560" w:rsidP="00B94A4D">
      <w:pPr>
        <w:rPr>
          <w:snapToGrid w:val="0"/>
        </w:rPr>
      </w:pPr>
    </w:p>
    <w:tbl>
      <w:tblPr>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9" w:type="dxa"/>
          <w:left w:w="115" w:type="dxa"/>
          <w:bottom w:w="29" w:type="dxa"/>
          <w:right w:w="115" w:type="dxa"/>
        </w:tblCellMar>
        <w:tblLook w:val="04A0" w:firstRow="1" w:lastRow="0" w:firstColumn="1" w:lastColumn="0" w:noHBand="0" w:noVBand="1"/>
      </w:tblPr>
      <w:tblGrid>
        <w:gridCol w:w="3743"/>
        <w:gridCol w:w="1481"/>
        <w:gridCol w:w="1409"/>
        <w:gridCol w:w="1404"/>
        <w:gridCol w:w="1634"/>
      </w:tblGrid>
      <w:tr w:rsidR="007F1560" w:rsidRPr="00BE1231" w:rsidTr="00001D13">
        <w:trPr>
          <w:cantSplit/>
        </w:trPr>
        <w:tc>
          <w:tcPr>
            <w:tcW w:w="3787" w:type="dxa"/>
            <w:shd w:val="clear" w:color="auto" w:fill="auto"/>
          </w:tcPr>
          <w:p w:rsidR="007F1560" w:rsidRPr="00001D13" w:rsidRDefault="00EB1962" w:rsidP="00001D13">
            <w:pPr>
              <w:keepNext/>
              <w:rPr>
                <w:snapToGrid w:val="0"/>
                <w:sz w:val="18"/>
                <w:szCs w:val="18"/>
              </w:rPr>
            </w:pPr>
            <w:r w:rsidRPr="00001D13">
              <w:rPr>
                <w:snapToGrid w:val="0"/>
                <w:sz w:val="18"/>
                <w:szCs w:val="18"/>
              </w:rPr>
              <w:t>Groupe de travail technique sur</w:t>
            </w:r>
            <w:r w:rsidR="00E2212C">
              <w:rPr>
                <w:snapToGrid w:val="0"/>
                <w:sz w:val="18"/>
                <w:szCs w:val="18"/>
              </w:rPr>
              <w:t> </w:t>
            </w:r>
            <w:r w:rsidRPr="00001D13">
              <w:rPr>
                <w:snapToGrid w:val="0"/>
                <w:sz w:val="18"/>
                <w:szCs w:val="18"/>
              </w:rPr>
              <w:t xml:space="preserve">: </w:t>
            </w:r>
          </w:p>
        </w:tc>
        <w:tc>
          <w:tcPr>
            <w:tcW w:w="1410" w:type="dxa"/>
            <w:shd w:val="clear" w:color="auto" w:fill="auto"/>
          </w:tcPr>
          <w:p w:rsidR="007F1560" w:rsidRPr="00001D13" w:rsidRDefault="000A0332" w:rsidP="00DF0CC2">
            <w:pPr>
              <w:keepNext/>
              <w:jc w:val="left"/>
              <w:rPr>
                <w:snapToGrid w:val="0"/>
                <w:sz w:val="18"/>
                <w:szCs w:val="18"/>
              </w:rPr>
            </w:pPr>
            <w:r w:rsidRPr="00001D13">
              <w:rPr>
                <w:snapToGrid w:val="0"/>
                <w:sz w:val="18"/>
                <w:szCs w:val="18"/>
              </w:rPr>
              <w:t>Projet à</w:t>
            </w:r>
            <w:r w:rsidR="00DF0CC2">
              <w:rPr>
                <w:snapToGrid w:val="0"/>
                <w:sz w:val="18"/>
                <w:szCs w:val="18"/>
              </w:rPr>
              <w:t> </w:t>
            </w:r>
            <w:r w:rsidRPr="00001D13">
              <w:rPr>
                <w:snapToGrid w:val="0"/>
                <w:sz w:val="18"/>
                <w:szCs w:val="18"/>
              </w:rPr>
              <w:t>l</w:t>
            </w:r>
            <w:r w:rsidR="00C4117D">
              <w:rPr>
                <w:snapToGrid w:val="0"/>
                <w:sz w:val="18"/>
                <w:szCs w:val="18"/>
              </w:rPr>
              <w:t>’</w:t>
            </w:r>
            <w:r w:rsidRPr="00001D13">
              <w:rPr>
                <w:snapToGrid w:val="0"/>
                <w:sz w:val="18"/>
                <w:szCs w:val="18"/>
              </w:rPr>
              <w:t>intention du</w:t>
            </w:r>
            <w:r w:rsidR="00DF0CC2">
              <w:rPr>
                <w:snapToGrid w:val="0"/>
                <w:sz w:val="18"/>
                <w:szCs w:val="18"/>
              </w:rPr>
              <w:t> </w:t>
            </w:r>
            <w:r w:rsidRPr="00001D13">
              <w:rPr>
                <w:snapToGrid w:val="0"/>
                <w:sz w:val="18"/>
                <w:szCs w:val="18"/>
              </w:rPr>
              <w:t>sous</w:t>
            </w:r>
            <w:r w:rsidR="00DF0CC2" w:rsidRPr="00DF0CC2">
              <w:rPr>
                <w:snapToGrid w:val="0"/>
                <w:sz w:val="18"/>
                <w:szCs w:val="18"/>
              </w:rPr>
              <w:noBreakHyphen/>
            </w:r>
            <w:r w:rsidRPr="00001D13">
              <w:rPr>
                <w:snapToGrid w:val="0"/>
                <w:sz w:val="18"/>
                <w:szCs w:val="18"/>
              </w:rPr>
              <w:t>groupe</w:t>
            </w:r>
          </w:p>
        </w:tc>
        <w:tc>
          <w:tcPr>
            <w:tcW w:w="1410" w:type="dxa"/>
            <w:shd w:val="clear" w:color="auto" w:fill="auto"/>
          </w:tcPr>
          <w:p w:rsidR="007F1560" w:rsidRPr="00001D13" w:rsidRDefault="000A0332" w:rsidP="00001D13">
            <w:pPr>
              <w:keepNext/>
              <w:jc w:val="left"/>
              <w:rPr>
                <w:snapToGrid w:val="0"/>
                <w:sz w:val="18"/>
                <w:szCs w:val="18"/>
              </w:rPr>
            </w:pPr>
            <w:r w:rsidRPr="00001D13">
              <w:rPr>
                <w:snapToGrid w:val="0"/>
                <w:sz w:val="18"/>
                <w:szCs w:val="18"/>
              </w:rPr>
              <w:t>Observations des experts intéressés</w:t>
            </w:r>
            <w:r w:rsidR="007F1560" w:rsidRPr="00001D13">
              <w:rPr>
                <w:snapToGrid w:val="0"/>
                <w:sz w:val="18"/>
                <w:szCs w:val="18"/>
              </w:rPr>
              <w:t xml:space="preserve"> </w:t>
            </w:r>
          </w:p>
        </w:tc>
        <w:tc>
          <w:tcPr>
            <w:tcW w:w="1410" w:type="dxa"/>
            <w:shd w:val="clear" w:color="auto" w:fill="auto"/>
          </w:tcPr>
          <w:p w:rsidR="007F1560" w:rsidRPr="00001D13" w:rsidRDefault="000A0332" w:rsidP="00DF0CC2">
            <w:pPr>
              <w:keepNext/>
              <w:jc w:val="left"/>
              <w:rPr>
                <w:snapToGrid w:val="0"/>
                <w:sz w:val="18"/>
                <w:szCs w:val="18"/>
              </w:rPr>
            </w:pPr>
            <w:r w:rsidRPr="00001D13">
              <w:rPr>
                <w:snapToGrid w:val="0"/>
                <w:sz w:val="18"/>
                <w:szCs w:val="18"/>
              </w:rPr>
              <w:t>Projet à l</w:t>
            </w:r>
            <w:r w:rsidR="00C4117D">
              <w:rPr>
                <w:snapToGrid w:val="0"/>
                <w:sz w:val="18"/>
                <w:szCs w:val="18"/>
              </w:rPr>
              <w:t>’</w:t>
            </w:r>
            <w:r w:rsidRPr="00001D13">
              <w:rPr>
                <w:snapToGrid w:val="0"/>
                <w:sz w:val="18"/>
                <w:szCs w:val="18"/>
              </w:rPr>
              <w:t>intention du</w:t>
            </w:r>
            <w:r w:rsidR="00DF0CC2">
              <w:rPr>
                <w:snapToGrid w:val="0"/>
                <w:sz w:val="18"/>
                <w:szCs w:val="18"/>
              </w:rPr>
              <w:t> </w:t>
            </w:r>
            <w:r w:rsidRPr="00001D13">
              <w:rPr>
                <w:snapToGrid w:val="0"/>
                <w:sz w:val="18"/>
                <w:szCs w:val="18"/>
              </w:rPr>
              <w:t>groupe de travail technique</w:t>
            </w:r>
          </w:p>
        </w:tc>
        <w:tc>
          <w:tcPr>
            <w:tcW w:w="1640" w:type="dxa"/>
            <w:shd w:val="clear" w:color="auto" w:fill="auto"/>
          </w:tcPr>
          <w:p w:rsidR="007F1560" w:rsidRPr="00001D13" w:rsidRDefault="000A0332" w:rsidP="00DF0CC2">
            <w:pPr>
              <w:keepNext/>
              <w:jc w:val="left"/>
              <w:rPr>
                <w:snapToGrid w:val="0"/>
                <w:sz w:val="18"/>
                <w:szCs w:val="18"/>
              </w:rPr>
            </w:pPr>
            <w:r w:rsidRPr="00001D13">
              <w:rPr>
                <w:snapToGrid w:val="0"/>
                <w:sz w:val="18"/>
                <w:szCs w:val="18"/>
              </w:rPr>
              <w:t>Session du</w:t>
            </w:r>
            <w:r w:rsidR="00DF0CC2">
              <w:rPr>
                <w:snapToGrid w:val="0"/>
                <w:sz w:val="18"/>
                <w:szCs w:val="18"/>
              </w:rPr>
              <w:t> </w:t>
            </w:r>
            <w:r w:rsidRPr="00001D13">
              <w:rPr>
                <w:snapToGrid w:val="0"/>
                <w:sz w:val="18"/>
                <w:szCs w:val="18"/>
              </w:rPr>
              <w:t>groupe de travail technique</w:t>
            </w:r>
          </w:p>
        </w:tc>
      </w:tr>
      <w:tr w:rsidR="007F1560" w:rsidRPr="00BE1231" w:rsidTr="00001D13">
        <w:trPr>
          <w:cantSplit/>
        </w:trPr>
        <w:tc>
          <w:tcPr>
            <w:tcW w:w="3787" w:type="dxa"/>
            <w:shd w:val="clear" w:color="auto" w:fill="auto"/>
          </w:tcPr>
          <w:p w:rsidR="007F1560" w:rsidRPr="00001D13" w:rsidRDefault="00EB1962" w:rsidP="00001D13">
            <w:pPr>
              <w:keepNext/>
              <w:rPr>
                <w:snapToGrid w:val="0"/>
                <w:sz w:val="18"/>
                <w:szCs w:val="18"/>
              </w:rPr>
            </w:pPr>
            <w:r w:rsidRPr="00001D13">
              <w:rPr>
                <w:snapToGrid w:val="0"/>
                <w:sz w:val="18"/>
                <w:szCs w:val="18"/>
              </w:rPr>
              <w:t xml:space="preserve">les plantes ornementales et les arbres forestiers </w:t>
            </w:r>
            <w:r w:rsidR="007F1560" w:rsidRPr="00001D13">
              <w:rPr>
                <w:snapToGrid w:val="0"/>
                <w:sz w:val="18"/>
                <w:szCs w:val="18"/>
              </w:rPr>
              <w:t>(TWO)</w:t>
            </w:r>
          </w:p>
        </w:tc>
        <w:tc>
          <w:tcPr>
            <w:tcW w:w="1410" w:type="dxa"/>
            <w:shd w:val="clear" w:color="auto" w:fill="auto"/>
          </w:tcPr>
          <w:p w:rsidR="007F1560" w:rsidRPr="00001D13" w:rsidRDefault="00AB76FD" w:rsidP="00001D13">
            <w:pPr>
              <w:keepNext/>
              <w:rPr>
                <w:snapToGrid w:val="0"/>
                <w:sz w:val="18"/>
                <w:szCs w:val="18"/>
              </w:rPr>
            </w:pPr>
            <w:r w:rsidRPr="00001D13">
              <w:rPr>
                <w:snapToGrid w:val="0"/>
                <w:sz w:val="18"/>
                <w:szCs w:val="18"/>
              </w:rPr>
              <w:t>8</w:t>
            </w:r>
            <w:r>
              <w:rPr>
                <w:snapToGrid w:val="0"/>
                <w:sz w:val="18"/>
                <w:szCs w:val="18"/>
              </w:rPr>
              <w:t> </w:t>
            </w:r>
            <w:r w:rsidRPr="00001D13">
              <w:rPr>
                <w:snapToGrid w:val="0"/>
                <w:sz w:val="18"/>
                <w:szCs w:val="18"/>
              </w:rPr>
              <w:t>février</w:t>
            </w:r>
          </w:p>
        </w:tc>
        <w:tc>
          <w:tcPr>
            <w:tcW w:w="1410" w:type="dxa"/>
            <w:shd w:val="clear" w:color="auto" w:fill="auto"/>
          </w:tcPr>
          <w:p w:rsidR="007F1560" w:rsidRPr="00001D13" w:rsidRDefault="00AB76FD" w:rsidP="00001D13">
            <w:pPr>
              <w:keepNext/>
              <w:rPr>
                <w:snapToGrid w:val="0"/>
                <w:sz w:val="18"/>
                <w:szCs w:val="18"/>
              </w:rPr>
            </w:pPr>
            <w:r w:rsidRPr="00001D13">
              <w:rPr>
                <w:snapToGrid w:val="0"/>
                <w:sz w:val="18"/>
                <w:szCs w:val="18"/>
              </w:rPr>
              <w:t>8</w:t>
            </w:r>
            <w:r>
              <w:rPr>
                <w:snapToGrid w:val="0"/>
                <w:sz w:val="18"/>
                <w:szCs w:val="18"/>
              </w:rPr>
              <w:t> </w:t>
            </w:r>
            <w:r w:rsidRPr="00001D13">
              <w:rPr>
                <w:snapToGrid w:val="0"/>
                <w:sz w:val="18"/>
                <w:szCs w:val="18"/>
              </w:rPr>
              <w:t>mars</w:t>
            </w:r>
          </w:p>
        </w:tc>
        <w:tc>
          <w:tcPr>
            <w:tcW w:w="1410" w:type="dxa"/>
            <w:shd w:val="clear" w:color="auto" w:fill="auto"/>
          </w:tcPr>
          <w:p w:rsidR="007F1560" w:rsidRPr="00001D13" w:rsidRDefault="00AB76FD" w:rsidP="00001D13">
            <w:pPr>
              <w:keepNext/>
              <w:rPr>
                <w:snapToGrid w:val="0"/>
                <w:sz w:val="18"/>
                <w:szCs w:val="18"/>
              </w:rPr>
            </w:pPr>
            <w:r w:rsidRPr="00001D13">
              <w:rPr>
                <w:snapToGrid w:val="0"/>
                <w:sz w:val="18"/>
                <w:szCs w:val="18"/>
              </w:rPr>
              <w:t>5</w:t>
            </w:r>
            <w:r>
              <w:rPr>
                <w:snapToGrid w:val="0"/>
                <w:sz w:val="18"/>
                <w:szCs w:val="18"/>
              </w:rPr>
              <w:t> </w:t>
            </w:r>
            <w:r w:rsidRPr="00001D13">
              <w:rPr>
                <w:snapToGrid w:val="0"/>
                <w:sz w:val="18"/>
                <w:szCs w:val="18"/>
              </w:rPr>
              <w:t>avril</w:t>
            </w:r>
          </w:p>
        </w:tc>
        <w:tc>
          <w:tcPr>
            <w:tcW w:w="1640" w:type="dxa"/>
            <w:shd w:val="clear" w:color="auto" w:fill="auto"/>
          </w:tcPr>
          <w:p w:rsidR="007F1560" w:rsidRPr="00001D13" w:rsidRDefault="007F1560" w:rsidP="00001D13">
            <w:pPr>
              <w:keepNext/>
              <w:rPr>
                <w:snapToGrid w:val="0"/>
                <w:sz w:val="18"/>
                <w:szCs w:val="18"/>
              </w:rPr>
            </w:pPr>
            <w:r w:rsidRPr="00001D13">
              <w:rPr>
                <w:snapToGrid w:val="0"/>
                <w:sz w:val="18"/>
                <w:szCs w:val="18"/>
              </w:rPr>
              <w:t>19</w:t>
            </w:r>
            <w:r w:rsidR="00C4117D">
              <w:rPr>
                <w:snapToGrid w:val="0"/>
                <w:sz w:val="18"/>
                <w:szCs w:val="18"/>
              </w:rPr>
              <w:t>-</w:t>
            </w:r>
            <w:r w:rsidRPr="00001D13">
              <w:rPr>
                <w:snapToGrid w:val="0"/>
                <w:sz w:val="18"/>
                <w:szCs w:val="18"/>
              </w:rPr>
              <w:t>23</w:t>
            </w:r>
            <w:r w:rsidR="000A0332" w:rsidRPr="00001D13">
              <w:rPr>
                <w:snapToGrid w:val="0"/>
                <w:sz w:val="18"/>
                <w:szCs w:val="18"/>
              </w:rPr>
              <w:t xml:space="preserve"> mai</w:t>
            </w:r>
          </w:p>
        </w:tc>
      </w:tr>
      <w:tr w:rsidR="007F1560" w:rsidRPr="00BE1231" w:rsidTr="00001D13">
        <w:trPr>
          <w:cantSplit/>
        </w:trPr>
        <w:tc>
          <w:tcPr>
            <w:tcW w:w="3787" w:type="dxa"/>
            <w:shd w:val="clear" w:color="auto" w:fill="auto"/>
          </w:tcPr>
          <w:p w:rsidR="007F1560" w:rsidRPr="00001D13" w:rsidRDefault="00EB1962" w:rsidP="00001D13">
            <w:pPr>
              <w:keepNext/>
              <w:rPr>
                <w:snapToGrid w:val="0"/>
                <w:sz w:val="18"/>
                <w:szCs w:val="18"/>
              </w:rPr>
            </w:pPr>
            <w:r w:rsidRPr="00001D13">
              <w:rPr>
                <w:snapToGrid w:val="0"/>
                <w:sz w:val="18"/>
                <w:szCs w:val="18"/>
              </w:rPr>
              <w:t xml:space="preserve">les plantes fruitières </w:t>
            </w:r>
            <w:r w:rsidR="007F1560" w:rsidRPr="00001D13">
              <w:rPr>
                <w:snapToGrid w:val="0"/>
                <w:sz w:val="18"/>
                <w:szCs w:val="18"/>
              </w:rPr>
              <w:t>(TWF)</w:t>
            </w:r>
          </w:p>
        </w:tc>
        <w:tc>
          <w:tcPr>
            <w:tcW w:w="1410" w:type="dxa"/>
            <w:shd w:val="clear" w:color="auto" w:fill="auto"/>
          </w:tcPr>
          <w:p w:rsidR="007F1560" w:rsidRPr="00001D13" w:rsidRDefault="007F1560" w:rsidP="00001D13">
            <w:pPr>
              <w:keepNext/>
              <w:rPr>
                <w:snapToGrid w:val="0"/>
                <w:sz w:val="18"/>
                <w:szCs w:val="18"/>
              </w:rPr>
            </w:pPr>
            <w:r w:rsidRPr="00001D13">
              <w:rPr>
                <w:snapToGrid w:val="0"/>
                <w:sz w:val="18"/>
                <w:szCs w:val="18"/>
              </w:rPr>
              <w:t>1</w:t>
            </w:r>
            <w:r w:rsidR="00AB76FD" w:rsidRPr="00001D13">
              <w:rPr>
                <w:snapToGrid w:val="0"/>
                <w:sz w:val="18"/>
                <w:szCs w:val="18"/>
              </w:rPr>
              <w:t>4</w:t>
            </w:r>
            <w:r w:rsidR="00AB76FD">
              <w:rPr>
                <w:snapToGrid w:val="0"/>
                <w:sz w:val="18"/>
                <w:szCs w:val="18"/>
              </w:rPr>
              <w:t> </w:t>
            </w:r>
            <w:r w:rsidR="00AB76FD" w:rsidRPr="00001D13">
              <w:rPr>
                <w:snapToGrid w:val="0"/>
                <w:sz w:val="18"/>
                <w:szCs w:val="18"/>
              </w:rPr>
              <w:t>février</w:t>
            </w:r>
          </w:p>
        </w:tc>
        <w:tc>
          <w:tcPr>
            <w:tcW w:w="1410" w:type="dxa"/>
            <w:shd w:val="clear" w:color="auto" w:fill="auto"/>
          </w:tcPr>
          <w:p w:rsidR="007F1560" w:rsidRPr="00001D13" w:rsidRDefault="007F1560" w:rsidP="00001D13">
            <w:pPr>
              <w:keepNext/>
              <w:rPr>
                <w:snapToGrid w:val="0"/>
                <w:sz w:val="18"/>
                <w:szCs w:val="18"/>
              </w:rPr>
            </w:pPr>
            <w:r w:rsidRPr="00001D13">
              <w:rPr>
                <w:snapToGrid w:val="0"/>
                <w:sz w:val="18"/>
                <w:szCs w:val="18"/>
              </w:rPr>
              <w:t>1</w:t>
            </w:r>
            <w:r w:rsidR="00AB76FD" w:rsidRPr="00001D13">
              <w:rPr>
                <w:snapToGrid w:val="0"/>
                <w:sz w:val="18"/>
                <w:szCs w:val="18"/>
              </w:rPr>
              <w:t>4</w:t>
            </w:r>
            <w:r w:rsidR="00AB76FD">
              <w:rPr>
                <w:snapToGrid w:val="0"/>
                <w:sz w:val="18"/>
                <w:szCs w:val="18"/>
              </w:rPr>
              <w:t> </w:t>
            </w:r>
            <w:r w:rsidR="00AB76FD" w:rsidRPr="00001D13">
              <w:rPr>
                <w:snapToGrid w:val="0"/>
                <w:sz w:val="18"/>
                <w:szCs w:val="18"/>
              </w:rPr>
              <w:t>mars</w:t>
            </w:r>
          </w:p>
        </w:tc>
        <w:tc>
          <w:tcPr>
            <w:tcW w:w="1410" w:type="dxa"/>
            <w:shd w:val="clear" w:color="auto" w:fill="auto"/>
          </w:tcPr>
          <w:p w:rsidR="007F1560" w:rsidRPr="00001D13" w:rsidRDefault="007F1560" w:rsidP="00001D13">
            <w:pPr>
              <w:keepNext/>
              <w:rPr>
                <w:snapToGrid w:val="0"/>
                <w:sz w:val="18"/>
                <w:szCs w:val="18"/>
              </w:rPr>
            </w:pPr>
            <w:r w:rsidRPr="00001D13">
              <w:rPr>
                <w:snapToGrid w:val="0"/>
                <w:sz w:val="18"/>
                <w:szCs w:val="18"/>
              </w:rPr>
              <w:t>1</w:t>
            </w:r>
            <w:r w:rsidR="00AB76FD" w:rsidRPr="00001D13">
              <w:rPr>
                <w:snapToGrid w:val="0"/>
                <w:sz w:val="18"/>
                <w:szCs w:val="18"/>
              </w:rPr>
              <w:t>1</w:t>
            </w:r>
            <w:r w:rsidR="00AB76FD">
              <w:rPr>
                <w:snapToGrid w:val="0"/>
                <w:sz w:val="18"/>
                <w:szCs w:val="18"/>
              </w:rPr>
              <w:t> </w:t>
            </w:r>
            <w:r w:rsidR="00AB76FD" w:rsidRPr="00001D13">
              <w:rPr>
                <w:snapToGrid w:val="0"/>
                <w:sz w:val="18"/>
                <w:szCs w:val="18"/>
              </w:rPr>
              <w:t>avril</w:t>
            </w:r>
          </w:p>
        </w:tc>
        <w:tc>
          <w:tcPr>
            <w:tcW w:w="1640" w:type="dxa"/>
            <w:shd w:val="clear" w:color="auto" w:fill="auto"/>
          </w:tcPr>
          <w:p w:rsidR="007F1560" w:rsidRPr="00001D13" w:rsidRDefault="007F1560" w:rsidP="00001D13">
            <w:pPr>
              <w:keepNext/>
              <w:rPr>
                <w:snapToGrid w:val="0"/>
                <w:sz w:val="18"/>
                <w:szCs w:val="18"/>
              </w:rPr>
            </w:pPr>
            <w:r w:rsidRPr="00001D13">
              <w:rPr>
                <w:snapToGrid w:val="0"/>
                <w:sz w:val="18"/>
                <w:szCs w:val="18"/>
              </w:rPr>
              <w:t>26</w:t>
            </w:r>
            <w:r w:rsidR="00C4117D">
              <w:rPr>
                <w:snapToGrid w:val="0"/>
                <w:sz w:val="18"/>
                <w:szCs w:val="18"/>
              </w:rPr>
              <w:t>-</w:t>
            </w:r>
            <w:r w:rsidRPr="00001D13">
              <w:rPr>
                <w:snapToGrid w:val="0"/>
                <w:sz w:val="18"/>
                <w:szCs w:val="18"/>
              </w:rPr>
              <w:t>30</w:t>
            </w:r>
            <w:r w:rsidR="000A0332" w:rsidRPr="00001D13">
              <w:rPr>
                <w:snapToGrid w:val="0"/>
                <w:sz w:val="18"/>
                <w:szCs w:val="18"/>
              </w:rPr>
              <w:t xml:space="preserve"> mai</w:t>
            </w:r>
          </w:p>
        </w:tc>
      </w:tr>
      <w:tr w:rsidR="003367CB" w:rsidRPr="00BE1231" w:rsidTr="00001D13">
        <w:trPr>
          <w:cantSplit/>
        </w:trPr>
        <w:tc>
          <w:tcPr>
            <w:tcW w:w="3787" w:type="dxa"/>
            <w:shd w:val="clear" w:color="auto" w:fill="auto"/>
          </w:tcPr>
          <w:p w:rsidR="003367CB" w:rsidRPr="00001D13" w:rsidRDefault="00EB1962" w:rsidP="00001D13">
            <w:pPr>
              <w:keepNext/>
              <w:rPr>
                <w:snapToGrid w:val="0"/>
                <w:sz w:val="18"/>
                <w:szCs w:val="18"/>
              </w:rPr>
            </w:pPr>
            <w:r w:rsidRPr="00001D13">
              <w:rPr>
                <w:snapToGrid w:val="0"/>
                <w:sz w:val="18"/>
                <w:szCs w:val="18"/>
              </w:rPr>
              <w:t xml:space="preserve">les plantes potagères </w:t>
            </w:r>
            <w:r w:rsidR="003367CB" w:rsidRPr="00001D13">
              <w:rPr>
                <w:snapToGrid w:val="0"/>
                <w:sz w:val="18"/>
                <w:szCs w:val="18"/>
              </w:rPr>
              <w:t>(TWV)</w:t>
            </w:r>
          </w:p>
        </w:tc>
        <w:tc>
          <w:tcPr>
            <w:tcW w:w="1410" w:type="dxa"/>
            <w:shd w:val="clear" w:color="auto" w:fill="auto"/>
          </w:tcPr>
          <w:p w:rsidR="003367CB" w:rsidRPr="00001D13" w:rsidRDefault="003367CB" w:rsidP="00001D13">
            <w:pPr>
              <w:keepNext/>
              <w:rPr>
                <w:snapToGrid w:val="0"/>
                <w:sz w:val="18"/>
                <w:szCs w:val="18"/>
              </w:rPr>
            </w:pPr>
            <w:r w:rsidRPr="00001D13">
              <w:rPr>
                <w:snapToGrid w:val="0"/>
                <w:sz w:val="18"/>
                <w:szCs w:val="18"/>
              </w:rPr>
              <w:t>1</w:t>
            </w:r>
            <w:r w:rsidR="00AB76FD" w:rsidRPr="00001D13">
              <w:rPr>
                <w:snapToGrid w:val="0"/>
                <w:sz w:val="18"/>
                <w:szCs w:val="18"/>
              </w:rPr>
              <w:t>4</w:t>
            </w:r>
            <w:r w:rsidR="00AB76FD">
              <w:rPr>
                <w:snapToGrid w:val="0"/>
                <w:sz w:val="18"/>
                <w:szCs w:val="18"/>
              </w:rPr>
              <w:t> </w:t>
            </w:r>
            <w:r w:rsidR="00AB76FD" w:rsidRPr="00001D13">
              <w:rPr>
                <w:snapToGrid w:val="0"/>
                <w:sz w:val="18"/>
                <w:szCs w:val="18"/>
              </w:rPr>
              <w:t>mars</w:t>
            </w:r>
          </w:p>
        </w:tc>
        <w:tc>
          <w:tcPr>
            <w:tcW w:w="1410" w:type="dxa"/>
            <w:shd w:val="clear" w:color="auto" w:fill="auto"/>
          </w:tcPr>
          <w:p w:rsidR="003367CB" w:rsidRPr="00001D13" w:rsidRDefault="003367CB" w:rsidP="00001D13">
            <w:pPr>
              <w:keepNext/>
              <w:rPr>
                <w:snapToGrid w:val="0"/>
                <w:sz w:val="18"/>
                <w:szCs w:val="18"/>
              </w:rPr>
            </w:pPr>
            <w:r w:rsidRPr="00001D13">
              <w:rPr>
                <w:snapToGrid w:val="0"/>
                <w:sz w:val="18"/>
                <w:szCs w:val="18"/>
              </w:rPr>
              <w:t>1</w:t>
            </w:r>
            <w:r w:rsidR="00AB76FD" w:rsidRPr="00001D13">
              <w:rPr>
                <w:snapToGrid w:val="0"/>
                <w:sz w:val="18"/>
                <w:szCs w:val="18"/>
              </w:rPr>
              <w:t>1</w:t>
            </w:r>
            <w:r w:rsidR="00AB76FD">
              <w:rPr>
                <w:snapToGrid w:val="0"/>
                <w:sz w:val="18"/>
                <w:szCs w:val="18"/>
              </w:rPr>
              <w:t> </w:t>
            </w:r>
            <w:r w:rsidR="00AB76FD" w:rsidRPr="00001D13">
              <w:rPr>
                <w:snapToGrid w:val="0"/>
                <w:sz w:val="18"/>
                <w:szCs w:val="18"/>
              </w:rPr>
              <w:t>avril</w:t>
            </w:r>
          </w:p>
        </w:tc>
        <w:tc>
          <w:tcPr>
            <w:tcW w:w="1410" w:type="dxa"/>
            <w:shd w:val="clear" w:color="auto" w:fill="auto"/>
          </w:tcPr>
          <w:p w:rsidR="003367CB" w:rsidRPr="00001D13" w:rsidRDefault="003367CB" w:rsidP="00001D13">
            <w:pPr>
              <w:keepNext/>
              <w:rPr>
                <w:snapToGrid w:val="0"/>
                <w:sz w:val="18"/>
                <w:szCs w:val="18"/>
              </w:rPr>
            </w:pPr>
            <w:r w:rsidRPr="00001D13">
              <w:rPr>
                <w:snapToGrid w:val="0"/>
                <w:sz w:val="18"/>
                <w:szCs w:val="18"/>
              </w:rPr>
              <w:t>9</w:t>
            </w:r>
            <w:r w:rsidR="000A0332" w:rsidRPr="00001D13">
              <w:rPr>
                <w:snapToGrid w:val="0"/>
                <w:sz w:val="18"/>
                <w:szCs w:val="18"/>
              </w:rPr>
              <w:t xml:space="preserve"> mai</w:t>
            </w:r>
          </w:p>
        </w:tc>
        <w:tc>
          <w:tcPr>
            <w:tcW w:w="1640" w:type="dxa"/>
            <w:shd w:val="clear" w:color="auto" w:fill="auto"/>
          </w:tcPr>
          <w:p w:rsidR="003367CB" w:rsidRPr="00001D13" w:rsidRDefault="003367CB" w:rsidP="00001D13">
            <w:pPr>
              <w:keepNext/>
              <w:rPr>
                <w:snapToGrid w:val="0"/>
                <w:sz w:val="18"/>
                <w:szCs w:val="18"/>
              </w:rPr>
            </w:pPr>
            <w:r w:rsidRPr="00001D13">
              <w:rPr>
                <w:snapToGrid w:val="0"/>
                <w:sz w:val="18"/>
                <w:szCs w:val="18"/>
              </w:rPr>
              <w:t>23</w:t>
            </w:r>
            <w:r w:rsidR="00C4117D">
              <w:rPr>
                <w:snapToGrid w:val="0"/>
                <w:sz w:val="18"/>
                <w:szCs w:val="18"/>
              </w:rPr>
              <w:t>-</w:t>
            </w:r>
            <w:r w:rsidRPr="00001D13">
              <w:rPr>
                <w:snapToGrid w:val="0"/>
                <w:sz w:val="18"/>
                <w:szCs w:val="18"/>
              </w:rPr>
              <w:t>2</w:t>
            </w:r>
            <w:r w:rsidR="00AB76FD" w:rsidRPr="00001D13">
              <w:rPr>
                <w:snapToGrid w:val="0"/>
                <w:sz w:val="18"/>
                <w:szCs w:val="18"/>
              </w:rPr>
              <w:t>7</w:t>
            </w:r>
            <w:r w:rsidR="00AB76FD">
              <w:rPr>
                <w:snapToGrid w:val="0"/>
                <w:sz w:val="18"/>
                <w:szCs w:val="18"/>
              </w:rPr>
              <w:t> </w:t>
            </w:r>
            <w:r w:rsidR="00AB76FD" w:rsidRPr="00001D13">
              <w:rPr>
                <w:snapToGrid w:val="0"/>
                <w:sz w:val="18"/>
                <w:szCs w:val="18"/>
              </w:rPr>
              <w:t>juin</w:t>
            </w:r>
          </w:p>
        </w:tc>
      </w:tr>
      <w:tr w:rsidR="003367CB" w:rsidRPr="00BE1231" w:rsidTr="00001D13">
        <w:trPr>
          <w:cantSplit/>
        </w:trPr>
        <w:tc>
          <w:tcPr>
            <w:tcW w:w="3787" w:type="dxa"/>
            <w:shd w:val="clear" w:color="auto" w:fill="auto"/>
          </w:tcPr>
          <w:p w:rsidR="003367CB" w:rsidRPr="00001D13" w:rsidRDefault="00EB1962" w:rsidP="008907DC">
            <w:pPr>
              <w:rPr>
                <w:snapToGrid w:val="0"/>
                <w:sz w:val="18"/>
                <w:szCs w:val="18"/>
              </w:rPr>
            </w:pPr>
            <w:r w:rsidRPr="00001D13">
              <w:rPr>
                <w:snapToGrid w:val="0"/>
                <w:sz w:val="18"/>
                <w:szCs w:val="18"/>
              </w:rPr>
              <w:t xml:space="preserve">les plantes agricoles </w:t>
            </w:r>
            <w:r w:rsidR="003367CB" w:rsidRPr="00001D13">
              <w:rPr>
                <w:snapToGrid w:val="0"/>
                <w:sz w:val="18"/>
                <w:szCs w:val="18"/>
              </w:rPr>
              <w:t>(TWA)</w:t>
            </w:r>
          </w:p>
        </w:tc>
        <w:tc>
          <w:tcPr>
            <w:tcW w:w="1410" w:type="dxa"/>
            <w:shd w:val="clear" w:color="auto" w:fill="auto"/>
          </w:tcPr>
          <w:p w:rsidR="003367CB" w:rsidRPr="00001D13" w:rsidRDefault="00AB76FD" w:rsidP="008907DC">
            <w:pPr>
              <w:rPr>
                <w:snapToGrid w:val="0"/>
                <w:sz w:val="18"/>
                <w:szCs w:val="18"/>
              </w:rPr>
            </w:pPr>
            <w:r w:rsidRPr="00001D13">
              <w:rPr>
                <w:snapToGrid w:val="0"/>
                <w:sz w:val="18"/>
                <w:szCs w:val="18"/>
              </w:rPr>
              <w:t>8</w:t>
            </w:r>
            <w:r>
              <w:rPr>
                <w:snapToGrid w:val="0"/>
                <w:sz w:val="18"/>
                <w:szCs w:val="18"/>
              </w:rPr>
              <w:t> </w:t>
            </w:r>
            <w:r w:rsidRPr="00001D13">
              <w:rPr>
                <w:snapToGrid w:val="0"/>
                <w:sz w:val="18"/>
                <w:szCs w:val="18"/>
              </w:rPr>
              <w:t>août</w:t>
            </w:r>
          </w:p>
        </w:tc>
        <w:tc>
          <w:tcPr>
            <w:tcW w:w="1410" w:type="dxa"/>
            <w:shd w:val="clear" w:color="auto" w:fill="auto"/>
          </w:tcPr>
          <w:p w:rsidR="003367CB" w:rsidRPr="00001D13" w:rsidRDefault="003367CB" w:rsidP="008907DC">
            <w:pPr>
              <w:rPr>
                <w:snapToGrid w:val="0"/>
                <w:sz w:val="18"/>
                <w:szCs w:val="18"/>
              </w:rPr>
            </w:pPr>
            <w:r w:rsidRPr="00001D13">
              <w:rPr>
                <w:snapToGrid w:val="0"/>
                <w:sz w:val="18"/>
                <w:szCs w:val="18"/>
              </w:rPr>
              <w:t>1</w:t>
            </w:r>
            <w:r w:rsidR="00AB76FD" w:rsidRPr="00001D13">
              <w:rPr>
                <w:snapToGrid w:val="0"/>
                <w:sz w:val="18"/>
                <w:szCs w:val="18"/>
              </w:rPr>
              <w:t>5</w:t>
            </w:r>
            <w:r w:rsidR="00AB76FD">
              <w:rPr>
                <w:snapToGrid w:val="0"/>
                <w:sz w:val="18"/>
                <w:szCs w:val="18"/>
              </w:rPr>
              <w:t> </w:t>
            </w:r>
            <w:r w:rsidR="00AB76FD" w:rsidRPr="00001D13">
              <w:rPr>
                <w:snapToGrid w:val="0"/>
                <w:sz w:val="18"/>
                <w:szCs w:val="18"/>
              </w:rPr>
              <w:t>septembre</w:t>
            </w:r>
          </w:p>
        </w:tc>
        <w:tc>
          <w:tcPr>
            <w:tcW w:w="1410" w:type="dxa"/>
            <w:shd w:val="clear" w:color="auto" w:fill="auto"/>
          </w:tcPr>
          <w:p w:rsidR="003367CB" w:rsidRPr="00001D13" w:rsidRDefault="00AB76FD" w:rsidP="008907DC">
            <w:pPr>
              <w:rPr>
                <w:snapToGrid w:val="0"/>
                <w:sz w:val="18"/>
                <w:szCs w:val="18"/>
              </w:rPr>
            </w:pPr>
            <w:r w:rsidRPr="00001D13">
              <w:rPr>
                <w:snapToGrid w:val="0"/>
                <w:sz w:val="18"/>
                <w:szCs w:val="18"/>
              </w:rPr>
              <w:t>3</w:t>
            </w:r>
            <w:r>
              <w:rPr>
                <w:snapToGrid w:val="0"/>
                <w:sz w:val="18"/>
                <w:szCs w:val="18"/>
              </w:rPr>
              <w:t> </w:t>
            </w:r>
            <w:r w:rsidRPr="00001D13">
              <w:rPr>
                <w:snapToGrid w:val="0"/>
                <w:sz w:val="18"/>
                <w:szCs w:val="18"/>
              </w:rPr>
              <w:t>octobre</w:t>
            </w:r>
          </w:p>
        </w:tc>
        <w:tc>
          <w:tcPr>
            <w:tcW w:w="1640" w:type="dxa"/>
            <w:shd w:val="clear" w:color="auto" w:fill="auto"/>
          </w:tcPr>
          <w:p w:rsidR="003367CB" w:rsidRPr="00001D13" w:rsidRDefault="003367CB" w:rsidP="008907DC">
            <w:pPr>
              <w:rPr>
                <w:snapToGrid w:val="0"/>
                <w:sz w:val="18"/>
                <w:szCs w:val="18"/>
              </w:rPr>
            </w:pPr>
            <w:r w:rsidRPr="00001D13">
              <w:rPr>
                <w:snapToGrid w:val="0"/>
                <w:sz w:val="18"/>
                <w:szCs w:val="18"/>
              </w:rPr>
              <w:t>17</w:t>
            </w:r>
            <w:r w:rsidR="00C4117D">
              <w:rPr>
                <w:snapToGrid w:val="0"/>
                <w:sz w:val="18"/>
                <w:szCs w:val="18"/>
              </w:rPr>
              <w:t>-</w:t>
            </w:r>
            <w:r w:rsidRPr="00001D13">
              <w:rPr>
                <w:snapToGrid w:val="0"/>
                <w:sz w:val="18"/>
                <w:szCs w:val="18"/>
              </w:rPr>
              <w:t>2</w:t>
            </w:r>
            <w:r w:rsidR="00AB76FD" w:rsidRPr="00001D13">
              <w:rPr>
                <w:snapToGrid w:val="0"/>
                <w:sz w:val="18"/>
                <w:szCs w:val="18"/>
              </w:rPr>
              <w:t>1</w:t>
            </w:r>
            <w:r w:rsidR="00AB76FD">
              <w:rPr>
                <w:snapToGrid w:val="0"/>
                <w:sz w:val="18"/>
                <w:szCs w:val="18"/>
              </w:rPr>
              <w:t> </w:t>
            </w:r>
            <w:r w:rsidR="00AB76FD" w:rsidRPr="00001D13">
              <w:rPr>
                <w:snapToGrid w:val="0"/>
                <w:sz w:val="18"/>
                <w:szCs w:val="18"/>
              </w:rPr>
              <w:t>novembre</w:t>
            </w:r>
          </w:p>
        </w:tc>
      </w:tr>
    </w:tbl>
    <w:p w:rsidR="007F1560" w:rsidRPr="00BE1231" w:rsidRDefault="007F1560" w:rsidP="00B94A4D">
      <w:pPr>
        <w:rPr>
          <w:snapToGrid w:val="0"/>
        </w:rPr>
      </w:pPr>
    </w:p>
    <w:p w:rsidR="00443DE2" w:rsidRPr="00BE1231" w:rsidRDefault="00185757" w:rsidP="00B94A4D">
      <w:pPr>
        <w:rPr>
          <w:snapToGrid w:val="0"/>
        </w:rPr>
      </w:pPr>
      <w:r w:rsidRPr="00BE1231">
        <w:rPr>
          <w:snapToGrid w:val="0"/>
        </w:rPr>
        <w:fldChar w:fldCharType="begin"/>
      </w:r>
      <w:r w:rsidR="00B94A4D" w:rsidRPr="00BE1231">
        <w:rPr>
          <w:snapToGrid w:val="0"/>
        </w:rPr>
        <w:instrText xml:space="preserve"> AUTONUM  </w:instrText>
      </w:r>
      <w:r w:rsidRPr="00BE1231">
        <w:rPr>
          <w:snapToGrid w:val="0"/>
        </w:rPr>
        <w:fldChar w:fldCharType="end"/>
      </w:r>
      <w:r w:rsidR="00B94A4D" w:rsidRPr="00BE1231">
        <w:rPr>
          <w:snapToGrid w:val="0"/>
        </w:rPr>
        <w:tab/>
      </w:r>
      <w:r w:rsidR="00443DE2" w:rsidRPr="00BE1231">
        <w:rPr>
          <w:snapToGrid w:val="0"/>
        </w:rPr>
        <w:t>Une maquette de la version n°</w:t>
      </w:r>
      <w:r w:rsidR="00E2212C">
        <w:rPr>
          <w:snapToGrid w:val="0"/>
        </w:rPr>
        <w:t> </w:t>
      </w:r>
      <w:r w:rsidR="00443DE2" w:rsidRPr="00BE1231">
        <w:rPr>
          <w:snapToGrid w:val="0"/>
        </w:rPr>
        <w:t xml:space="preserve">1 du </w:t>
      </w:r>
      <w:r w:rsidR="00443DE2" w:rsidRPr="00BE1231">
        <w:t>modèle de principes directeurs d</w:t>
      </w:r>
      <w:r w:rsidR="00C4117D">
        <w:t>’</w:t>
      </w:r>
      <w:r w:rsidR="00443DE2" w:rsidRPr="00BE1231">
        <w:t>examen fondé sur le Web a été mise au point et testée à la fin de</w:t>
      </w:r>
      <w:r w:rsidR="00E2212C">
        <w:t> </w:t>
      </w:r>
      <w:r w:rsidR="00443DE2" w:rsidRPr="00BE1231">
        <w:t>2013, avec le concours d</w:t>
      </w:r>
      <w:r w:rsidR="00C4117D">
        <w:t>’</w:t>
      </w:r>
      <w:r w:rsidR="00443DE2" w:rsidRPr="00BE1231">
        <w:t>experts de l</w:t>
      </w:r>
      <w:r w:rsidR="00C4117D">
        <w:t>’</w:t>
      </w:r>
      <w:r w:rsidR="00443DE2" w:rsidRPr="00BE1231">
        <w:t>Australie et des Pays</w:t>
      </w:r>
      <w:r w:rsidR="00C4117D">
        <w:t>-</w:t>
      </w:r>
      <w:r w:rsidR="00443DE2" w:rsidRPr="00BE1231">
        <w:t xml:space="preserve">Bas, qui ont </w:t>
      </w:r>
      <w:r w:rsidR="00443DE2" w:rsidRPr="007C139B">
        <w:t xml:space="preserve">testé le logiciel opérationnel en </w:t>
      </w:r>
      <w:r w:rsidR="00AB76FD" w:rsidRPr="007C139B">
        <w:t>mars 20</w:t>
      </w:r>
      <w:r w:rsidR="00443DE2" w:rsidRPr="007C139B">
        <w:t>14.  Le Bureau de l</w:t>
      </w:r>
      <w:r w:rsidR="00C4117D" w:rsidRPr="007C139B">
        <w:t>’</w:t>
      </w:r>
      <w:r w:rsidR="00443DE2" w:rsidRPr="007C139B">
        <w:t>Union inform</w:t>
      </w:r>
      <w:r w:rsidR="007C139B" w:rsidRPr="007C139B">
        <w:t>era</w:t>
      </w:r>
      <w:r w:rsidR="00443DE2" w:rsidRPr="007C139B">
        <w:t xml:space="preserve"> tous les experts principaux de l</w:t>
      </w:r>
      <w:r w:rsidR="00C4117D" w:rsidRPr="007C139B">
        <w:t>’</w:t>
      </w:r>
      <w:r w:rsidR="00443DE2" w:rsidRPr="007C139B">
        <w:t>élaboration du modèle de principes directeurs d</w:t>
      </w:r>
      <w:r w:rsidR="00C4117D" w:rsidRPr="007C139B">
        <w:t>’</w:t>
      </w:r>
      <w:r w:rsidR="00443DE2" w:rsidRPr="007C139B">
        <w:t>examen fondé sur le Web</w:t>
      </w:r>
      <w:r w:rsidR="007C139B" w:rsidRPr="007C139B">
        <w:t xml:space="preserve"> et invitera</w:t>
      </w:r>
      <w:r w:rsidR="00466DB4" w:rsidRPr="007C139B">
        <w:t xml:space="preserve"> des volontaires à </w:t>
      </w:r>
      <w:r w:rsidR="007C139B" w:rsidRPr="007C139B">
        <w:t xml:space="preserve">le tester </w:t>
      </w:r>
      <w:r w:rsidR="00466DB4" w:rsidRPr="007C139B">
        <w:t>en vue de l</w:t>
      </w:r>
      <w:r w:rsidR="00C4117D" w:rsidRPr="007C139B">
        <w:t>’</w:t>
      </w:r>
      <w:r w:rsidR="00466DB4" w:rsidRPr="007C139B">
        <w:t>élaboration des principes directeurs d</w:t>
      </w:r>
      <w:r w:rsidR="00C4117D" w:rsidRPr="007C139B">
        <w:t>’</w:t>
      </w:r>
      <w:r w:rsidR="00466DB4" w:rsidRPr="007C139B">
        <w:t>examen en</w:t>
      </w:r>
      <w:r w:rsidR="00E2212C" w:rsidRPr="007C139B">
        <w:t> </w:t>
      </w:r>
      <w:r w:rsidR="00466DB4" w:rsidRPr="007C139B">
        <w:t xml:space="preserve">2014.  </w:t>
      </w:r>
      <w:r w:rsidR="007C139B" w:rsidRPr="007C139B">
        <w:t>S’agissant du groupe de travail technique sur les plantes agricoles (TWA), le modèle de principes directeurs d’examen fondé sur le Web pourra être utilisé pour élaborer les projets à l’intention du sous-groupe.</w:t>
      </w:r>
    </w:p>
    <w:p w:rsidR="003367CB" w:rsidRPr="00BE1231" w:rsidRDefault="003367CB" w:rsidP="00B94A4D">
      <w:pPr>
        <w:rPr>
          <w:snapToGrid w:val="0"/>
          <w:color w:val="000000"/>
        </w:rPr>
      </w:pPr>
    </w:p>
    <w:p w:rsidR="00AB76FD" w:rsidRDefault="00185757" w:rsidP="003367CB">
      <w:pPr>
        <w:rPr>
          <w:snapToGrid w:val="0"/>
        </w:rPr>
      </w:pPr>
      <w:r w:rsidRPr="00BE1231">
        <w:rPr>
          <w:snapToGrid w:val="0"/>
        </w:rPr>
        <w:fldChar w:fldCharType="begin"/>
      </w:r>
      <w:r w:rsidR="003367CB" w:rsidRPr="00BE1231">
        <w:rPr>
          <w:snapToGrid w:val="0"/>
        </w:rPr>
        <w:instrText xml:space="preserve"> AUTONUM  </w:instrText>
      </w:r>
      <w:r w:rsidRPr="00BE1231">
        <w:rPr>
          <w:snapToGrid w:val="0"/>
        </w:rPr>
        <w:fldChar w:fldCharType="end"/>
      </w:r>
      <w:r w:rsidR="003367CB" w:rsidRPr="00BE1231">
        <w:rPr>
          <w:snapToGrid w:val="0"/>
        </w:rPr>
        <w:tab/>
      </w:r>
      <w:r w:rsidR="00466DB4" w:rsidRPr="00BE1231">
        <w:rPr>
          <w:snapToGrid w:val="0"/>
        </w:rPr>
        <w:t>Pour exploiter au mieux les avantages du modèle de principes directeurs d</w:t>
      </w:r>
      <w:r w:rsidR="00C4117D">
        <w:rPr>
          <w:snapToGrid w:val="0"/>
        </w:rPr>
        <w:t>’</w:t>
      </w:r>
      <w:r w:rsidR="00466DB4" w:rsidRPr="00BE1231">
        <w:rPr>
          <w:snapToGrid w:val="0"/>
        </w:rPr>
        <w:t>examen fondé sur le Web, l</w:t>
      </w:r>
      <w:r w:rsidR="00C4117D">
        <w:rPr>
          <w:snapToGrid w:val="0"/>
        </w:rPr>
        <w:t>’</w:t>
      </w:r>
      <w:r w:rsidR="00466DB4" w:rsidRPr="00BE1231">
        <w:rPr>
          <w:snapToGrid w:val="0"/>
        </w:rPr>
        <w:t>ensemble des experts principaux et des experts intéressés devront utiliser ce modèle exclusivement aux</w:t>
      </w:r>
      <w:r w:rsidR="00DF0CC2">
        <w:rPr>
          <w:snapToGrid w:val="0"/>
        </w:rPr>
        <w:t> </w:t>
      </w:r>
      <w:r w:rsidR="00466DB4" w:rsidRPr="00BE1231">
        <w:rPr>
          <w:snapToGrid w:val="0"/>
        </w:rPr>
        <w:t>fins de l</w:t>
      </w:r>
      <w:r w:rsidR="00C4117D">
        <w:rPr>
          <w:snapToGrid w:val="0"/>
        </w:rPr>
        <w:t>’</w:t>
      </w:r>
      <w:r w:rsidR="00466DB4" w:rsidRPr="00BE1231">
        <w:rPr>
          <w:snapToGrid w:val="0"/>
        </w:rPr>
        <w:t>élaboration de principes directeurs d</w:t>
      </w:r>
      <w:r w:rsidR="00C4117D">
        <w:rPr>
          <w:snapToGrid w:val="0"/>
        </w:rPr>
        <w:t>’</w:t>
      </w:r>
      <w:r w:rsidR="00466DB4" w:rsidRPr="00BE1231">
        <w:rPr>
          <w:snapToGrid w:val="0"/>
        </w:rPr>
        <w:t>examen à l</w:t>
      </w:r>
      <w:r w:rsidR="00C4117D">
        <w:rPr>
          <w:snapToGrid w:val="0"/>
        </w:rPr>
        <w:t>’</w:t>
      </w:r>
      <w:r w:rsidR="00466DB4" w:rsidRPr="00BE1231">
        <w:rPr>
          <w:snapToGrid w:val="0"/>
        </w:rPr>
        <w:t>intention des groupes de travail techniques.  Il</w:t>
      </w:r>
      <w:r w:rsidR="00DF0CC2">
        <w:rPr>
          <w:snapToGrid w:val="0"/>
        </w:rPr>
        <w:t> </w:t>
      </w:r>
      <w:r w:rsidR="00466DB4" w:rsidRPr="00BE1231">
        <w:rPr>
          <w:snapToGrid w:val="0"/>
        </w:rPr>
        <w:t>sera donc nécessaire d</w:t>
      </w:r>
      <w:r w:rsidR="00C4117D">
        <w:rPr>
          <w:snapToGrid w:val="0"/>
        </w:rPr>
        <w:t>’</w:t>
      </w:r>
      <w:r w:rsidR="00466DB4" w:rsidRPr="00BE1231">
        <w:rPr>
          <w:snapToGrid w:val="0"/>
        </w:rPr>
        <w:t>utiliser le modèle de principes directeurs d</w:t>
      </w:r>
      <w:r w:rsidR="00C4117D">
        <w:rPr>
          <w:snapToGrid w:val="0"/>
        </w:rPr>
        <w:t>’</w:t>
      </w:r>
      <w:r w:rsidR="00466DB4" w:rsidRPr="00BE1231">
        <w:rPr>
          <w:snapToGrid w:val="0"/>
        </w:rPr>
        <w:t>examen fondé sur le Web pour élaborer l</w:t>
      </w:r>
      <w:r w:rsidR="00C4117D">
        <w:rPr>
          <w:snapToGrid w:val="0"/>
        </w:rPr>
        <w:t>’</w:t>
      </w:r>
      <w:r w:rsidR="00466DB4" w:rsidRPr="00BE1231">
        <w:rPr>
          <w:snapToGrid w:val="0"/>
        </w:rPr>
        <w:t>ensemble des principes directeurs d</w:t>
      </w:r>
      <w:r w:rsidR="00C4117D">
        <w:rPr>
          <w:snapToGrid w:val="0"/>
        </w:rPr>
        <w:t>’</w:t>
      </w:r>
      <w:r w:rsidR="00466DB4" w:rsidRPr="00BE1231">
        <w:rPr>
          <w:snapToGrid w:val="0"/>
        </w:rPr>
        <w:t>examen à partir de</w:t>
      </w:r>
      <w:r w:rsidR="00E2212C">
        <w:rPr>
          <w:snapToGrid w:val="0"/>
        </w:rPr>
        <w:t> </w:t>
      </w:r>
      <w:r w:rsidR="00466DB4" w:rsidRPr="00BE1231">
        <w:rPr>
          <w:snapToGrid w:val="0"/>
        </w:rPr>
        <w:t>2015.  Dans un premier temps, une formation à l</w:t>
      </w:r>
      <w:r w:rsidR="00C4117D">
        <w:rPr>
          <w:snapToGrid w:val="0"/>
        </w:rPr>
        <w:t>’</w:t>
      </w:r>
      <w:r w:rsidR="00466DB4" w:rsidRPr="00BE1231">
        <w:rPr>
          <w:snapToGrid w:val="0"/>
        </w:rPr>
        <w:t>utilisation du modèle de principes directeurs d</w:t>
      </w:r>
      <w:r w:rsidR="00C4117D">
        <w:rPr>
          <w:snapToGrid w:val="0"/>
        </w:rPr>
        <w:t>’</w:t>
      </w:r>
      <w:r w:rsidR="00466DB4" w:rsidRPr="00BE1231">
        <w:rPr>
          <w:snapToGrid w:val="0"/>
        </w:rPr>
        <w:t>examen fondé sur le Web sera dispensée lors des sessions des groupes de travail techniques de</w:t>
      </w:r>
      <w:r w:rsidR="00E2212C">
        <w:rPr>
          <w:snapToGrid w:val="0"/>
        </w:rPr>
        <w:t> </w:t>
      </w:r>
      <w:r w:rsidR="00466DB4" w:rsidRPr="00BE1231">
        <w:rPr>
          <w:snapToGrid w:val="0"/>
        </w:rPr>
        <w:t xml:space="preserve">2014, ainsi </w:t>
      </w:r>
      <w:r w:rsidR="001F0CD9" w:rsidRPr="00BE1231">
        <w:rPr>
          <w:snapToGrid w:val="0"/>
        </w:rPr>
        <w:t>qu</w:t>
      </w:r>
      <w:r w:rsidR="00C4117D">
        <w:rPr>
          <w:snapToGrid w:val="0"/>
        </w:rPr>
        <w:t>’</w:t>
      </w:r>
      <w:r w:rsidR="001F0CD9" w:rsidRPr="00BE1231">
        <w:rPr>
          <w:snapToGrid w:val="0"/>
        </w:rPr>
        <w:t xml:space="preserve">au moyen </w:t>
      </w:r>
      <w:r w:rsidR="00466DB4" w:rsidRPr="00BE1231">
        <w:rPr>
          <w:snapToGrid w:val="0"/>
        </w:rPr>
        <w:t>d</w:t>
      </w:r>
      <w:r w:rsidR="00C4117D">
        <w:rPr>
          <w:snapToGrid w:val="0"/>
        </w:rPr>
        <w:t>’</w:t>
      </w:r>
      <w:r w:rsidR="00466DB4" w:rsidRPr="00BE1231">
        <w:rPr>
          <w:snapToGrid w:val="0"/>
        </w:rPr>
        <w:t xml:space="preserve">ateliers électroniques (voir le </w:t>
      </w:r>
      <w:r w:rsidR="00C4117D" w:rsidRPr="00BE1231">
        <w:rPr>
          <w:snapToGrid w:val="0"/>
        </w:rPr>
        <w:t>document</w:t>
      </w:r>
      <w:r w:rsidR="00C4117D">
        <w:rPr>
          <w:snapToGrid w:val="0"/>
        </w:rPr>
        <w:t xml:space="preserve"> TC</w:t>
      </w:r>
      <w:r w:rsidR="00466DB4" w:rsidRPr="00BE1231">
        <w:rPr>
          <w:snapToGrid w:val="0"/>
        </w:rPr>
        <w:t xml:space="preserve">/50/3 </w:t>
      </w:r>
      <w:r w:rsidR="00E2212C">
        <w:rPr>
          <w:snapToGrid w:val="0"/>
        </w:rPr>
        <w:t>“</w:t>
      </w:r>
      <w:r w:rsidR="00466DB4" w:rsidRPr="00BE1231">
        <w:t>Questions découlant des travaux des groupes de travail techniques</w:t>
      </w:r>
      <w:r w:rsidR="00E2212C">
        <w:t>”</w:t>
      </w:r>
      <w:r w:rsidR="00466DB4" w:rsidRPr="00BE1231">
        <w:rPr>
          <w:snapToGrid w:val="0"/>
        </w:rPr>
        <w:t>).</w:t>
      </w:r>
    </w:p>
    <w:p w:rsidR="00EB1962" w:rsidRPr="00BE1231" w:rsidRDefault="00EB1962" w:rsidP="003367CB">
      <w:pPr>
        <w:rPr>
          <w:snapToGrid w:val="0"/>
        </w:rPr>
      </w:pPr>
    </w:p>
    <w:p w:rsidR="00744A9B" w:rsidRPr="00BE1231" w:rsidRDefault="00744A9B" w:rsidP="006A4A4E">
      <w:pPr>
        <w:pStyle w:val="Heading2"/>
        <w:rPr>
          <w:lang w:val="fr-FR"/>
        </w:rPr>
      </w:pPr>
      <w:bookmarkStart w:id="58" w:name="_Toc381170165"/>
      <w:r w:rsidRPr="00BE1231">
        <w:rPr>
          <w:lang w:val="fr-FR"/>
        </w:rPr>
        <w:t xml:space="preserve">Version </w:t>
      </w:r>
      <w:r w:rsidR="001F0CD9" w:rsidRPr="00BE1231">
        <w:rPr>
          <w:lang w:val="fr-FR"/>
        </w:rPr>
        <w:t>n°</w:t>
      </w:r>
      <w:r w:rsidR="00E2212C">
        <w:rPr>
          <w:lang w:val="fr-FR"/>
        </w:rPr>
        <w:t> </w:t>
      </w:r>
      <w:r w:rsidRPr="00BE1231">
        <w:rPr>
          <w:lang w:val="fr-FR"/>
        </w:rPr>
        <w:t>2</w:t>
      </w:r>
      <w:bookmarkEnd w:id="58"/>
    </w:p>
    <w:p w:rsidR="00AA731D" w:rsidRPr="00BE1231" w:rsidRDefault="00AA731D" w:rsidP="00FF721B"/>
    <w:p w:rsidR="00744A9B" w:rsidRPr="00BE1231" w:rsidRDefault="00185757" w:rsidP="00D24E8D">
      <w:r w:rsidRPr="00BE1231">
        <w:rPr>
          <w:snapToGrid w:val="0"/>
        </w:rPr>
        <w:fldChar w:fldCharType="begin"/>
      </w:r>
      <w:r w:rsidR="00744A9B" w:rsidRPr="00BE1231">
        <w:rPr>
          <w:snapToGrid w:val="0"/>
        </w:rPr>
        <w:instrText xml:space="preserve"> AUTONUM  </w:instrText>
      </w:r>
      <w:r w:rsidRPr="00BE1231">
        <w:rPr>
          <w:snapToGrid w:val="0"/>
        </w:rPr>
        <w:fldChar w:fldCharType="end"/>
      </w:r>
      <w:r w:rsidR="00744A9B" w:rsidRPr="00BE1231">
        <w:rPr>
          <w:snapToGrid w:val="0"/>
        </w:rPr>
        <w:tab/>
      </w:r>
      <w:r w:rsidR="001F0CD9" w:rsidRPr="00BE1231">
        <w:rPr>
          <w:snapToGrid w:val="0"/>
        </w:rPr>
        <w:t>La version n°</w:t>
      </w:r>
      <w:r w:rsidR="00E2212C">
        <w:rPr>
          <w:snapToGrid w:val="0"/>
        </w:rPr>
        <w:t> </w:t>
      </w:r>
      <w:r w:rsidR="001F0CD9" w:rsidRPr="00BE1231">
        <w:rPr>
          <w:snapToGrid w:val="0"/>
        </w:rPr>
        <w:t>2 comportera les deux</w:t>
      </w:r>
      <w:r w:rsidR="00E2212C">
        <w:rPr>
          <w:snapToGrid w:val="0"/>
        </w:rPr>
        <w:t> </w:t>
      </w:r>
      <w:r w:rsidR="001F0CD9" w:rsidRPr="00BE1231">
        <w:rPr>
          <w:snapToGrid w:val="0"/>
        </w:rPr>
        <w:t>caractéristiques suivantes supplémentaires</w:t>
      </w:r>
      <w:r w:rsidR="00E2212C">
        <w:t> </w:t>
      </w:r>
      <w:r w:rsidR="00744A9B" w:rsidRPr="00BE1231">
        <w:t>:</w:t>
      </w:r>
    </w:p>
    <w:p w:rsidR="00744A9B" w:rsidRPr="00BE1231" w:rsidRDefault="00744A9B" w:rsidP="00D24E8D"/>
    <w:p w:rsidR="00744A9B" w:rsidRPr="00BE1231" w:rsidRDefault="00723025" w:rsidP="00D24E8D">
      <w:pPr>
        <w:pStyle w:val="Heading3"/>
        <w:keepNext w:val="0"/>
      </w:pPr>
      <w:bookmarkStart w:id="59" w:name="_Toc381170166"/>
      <w:r w:rsidRPr="00BE1231">
        <w:t>Traduction parallèle</w:t>
      </w:r>
      <w:bookmarkEnd w:id="59"/>
    </w:p>
    <w:p w:rsidR="00744A9B" w:rsidRPr="00BE1231" w:rsidRDefault="00744A9B" w:rsidP="00D24E8D"/>
    <w:p w:rsidR="00723025" w:rsidRPr="00BE1231" w:rsidRDefault="00185757" w:rsidP="00D24E8D">
      <w:r w:rsidRPr="00BE1231">
        <w:fldChar w:fldCharType="begin"/>
      </w:r>
      <w:r w:rsidR="00744A9B" w:rsidRPr="00BE1231">
        <w:instrText xml:space="preserve"> AUTONUM  </w:instrText>
      </w:r>
      <w:r w:rsidRPr="00BE1231">
        <w:fldChar w:fldCharType="end"/>
      </w:r>
      <w:r w:rsidR="00744A9B" w:rsidRPr="00BE1231">
        <w:tab/>
      </w:r>
      <w:r w:rsidR="00723025" w:rsidRPr="00BE1231">
        <w:t xml:space="preserve">Dans la </w:t>
      </w:r>
      <w:r w:rsidR="00744A9B" w:rsidRPr="00BE1231">
        <w:t xml:space="preserve">version </w:t>
      </w:r>
      <w:r w:rsidR="00723025" w:rsidRPr="00BE1231">
        <w:t>n°</w:t>
      </w:r>
      <w:r w:rsidR="00E2212C">
        <w:t> </w:t>
      </w:r>
      <w:r w:rsidR="00744A9B" w:rsidRPr="00BE1231">
        <w:t xml:space="preserve">2 </w:t>
      </w:r>
      <w:r w:rsidR="00723025" w:rsidRPr="00BE1231">
        <w:t>du modèle de principes directeurs d</w:t>
      </w:r>
      <w:r w:rsidR="00C4117D">
        <w:t>’</w:t>
      </w:r>
      <w:r w:rsidR="00723025" w:rsidRPr="00BE1231">
        <w:t>examen fondé sur le Web, les versions française, allemande et espagnole des principes directeurs d</w:t>
      </w:r>
      <w:r w:rsidR="00C4117D">
        <w:t>’</w:t>
      </w:r>
      <w:r w:rsidR="00723025" w:rsidRPr="00BE1231">
        <w:t>examen seront établies automatiquement, en</w:t>
      </w:r>
      <w:r w:rsidR="00DF0CC2">
        <w:t> </w:t>
      </w:r>
      <w:r w:rsidR="00723025" w:rsidRPr="00BE1231">
        <w:t xml:space="preserve">parallèle avec le libellé anglais du projet de texte standard, du </w:t>
      </w:r>
      <w:r w:rsidR="00723025" w:rsidRPr="00BE1231">
        <w:rPr>
          <w:snapToGrid w:val="0"/>
          <w:color w:val="000000"/>
        </w:rPr>
        <w:t xml:space="preserve">texte standard supplémentaire (ASW) et des caractères extraits sans changement de la base de données </w:t>
      </w:r>
      <w:r w:rsidR="00723025" w:rsidRPr="00BE1231">
        <w:t>comprenant la liste des caractères approuvés.  Tout texte qui n</w:t>
      </w:r>
      <w:r w:rsidR="00C4117D">
        <w:t>’</w:t>
      </w:r>
      <w:r w:rsidR="00723025" w:rsidRPr="00BE1231">
        <w:t>aura pas fait l</w:t>
      </w:r>
      <w:r w:rsidR="00C4117D">
        <w:t>’</w:t>
      </w:r>
      <w:r w:rsidR="00723025" w:rsidRPr="00BE1231">
        <w:t>objet d</w:t>
      </w:r>
      <w:r w:rsidR="00C4117D">
        <w:t>’</w:t>
      </w:r>
      <w:r w:rsidR="00723025" w:rsidRPr="00BE1231">
        <w:t>une traduction automatique sera signalé comme devant être traduit dans la langue concernée.</w:t>
      </w:r>
    </w:p>
    <w:p w:rsidR="00744A9B" w:rsidRPr="00BE1231" w:rsidRDefault="00744A9B" w:rsidP="00D24E8D"/>
    <w:p w:rsidR="00744A9B" w:rsidRPr="00BE1231" w:rsidRDefault="00EB1962" w:rsidP="00D24E8D">
      <w:pPr>
        <w:pStyle w:val="Heading3"/>
        <w:keepNext w:val="0"/>
      </w:pPr>
      <w:bookmarkStart w:id="60" w:name="_Toc381170167"/>
      <w:r w:rsidRPr="00BE1231">
        <w:t>Principes directeurs d</w:t>
      </w:r>
      <w:r w:rsidR="00C4117D">
        <w:t>’</w:t>
      </w:r>
      <w:r w:rsidRPr="00BE1231">
        <w:t>examen propres aux différents services</w:t>
      </w:r>
      <w:bookmarkEnd w:id="60"/>
    </w:p>
    <w:p w:rsidR="00744A9B" w:rsidRPr="00BE1231" w:rsidRDefault="00744A9B" w:rsidP="00D24E8D"/>
    <w:p w:rsidR="00723025" w:rsidRPr="00BE1231" w:rsidRDefault="00185757" w:rsidP="00D24E8D">
      <w:r w:rsidRPr="00BE1231">
        <w:fldChar w:fldCharType="begin"/>
      </w:r>
      <w:r w:rsidR="00744A9B" w:rsidRPr="00BE1231">
        <w:instrText xml:space="preserve"> AUTONUM  </w:instrText>
      </w:r>
      <w:r w:rsidRPr="00BE1231">
        <w:fldChar w:fldCharType="end"/>
      </w:r>
      <w:r w:rsidR="00744A9B" w:rsidRPr="00BE1231">
        <w:tab/>
      </w:r>
      <w:r w:rsidR="00723025" w:rsidRPr="00BE1231">
        <w:t>La v</w:t>
      </w:r>
      <w:r w:rsidR="004E4FAC" w:rsidRPr="00BE1231">
        <w:t xml:space="preserve">ersion </w:t>
      </w:r>
      <w:r w:rsidR="00723025" w:rsidRPr="00BE1231">
        <w:t>n°</w:t>
      </w:r>
      <w:r w:rsidR="00E2212C">
        <w:t> </w:t>
      </w:r>
      <w:r w:rsidR="00723025" w:rsidRPr="00BE1231">
        <w:t>1 du modèle de principes directeurs d</w:t>
      </w:r>
      <w:r w:rsidR="00C4117D">
        <w:t>’</w:t>
      </w:r>
      <w:r w:rsidR="00723025" w:rsidRPr="00BE1231">
        <w:t>examen fondé sur le Web a été conçue en vue de l</w:t>
      </w:r>
      <w:r w:rsidR="00C4117D">
        <w:t>’</w:t>
      </w:r>
      <w:r w:rsidR="00723025" w:rsidRPr="00BE1231">
        <w:t>élaboration de principes directeurs d</w:t>
      </w:r>
      <w:r w:rsidR="00C4117D">
        <w:t>’</w:t>
      </w:r>
      <w:r w:rsidR="00723025" w:rsidRPr="00BE1231">
        <w:t>examen pour l</w:t>
      </w:r>
      <w:r w:rsidR="00C4117D">
        <w:t>’</w:t>
      </w:r>
      <w:r w:rsidR="00723025" w:rsidRPr="00BE1231">
        <w:t>UPOV.  Elle a toutefois également été conçue de manière que la version n°</w:t>
      </w:r>
      <w:r w:rsidR="00E2212C">
        <w:t> </w:t>
      </w:r>
      <w:r w:rsidR="00723025" w:rsidRPr="00BE1231">
        <w:t>2 permette aux membres de l</w:t>
      </w:r>
      <w:r w:rsidR="00C4117D">
        <w:t>’</w:t>
      </w:r>
      <w:r w:rsidR="00723025" w:rsidRPr="00BE1231">
        <w:t>Union d</w:t>
      </w:r>
      <w:r w:rsidR="00C4117D">
        <w:t>’</w:t>
      </w:r>
      <w:r w:rsidR="00723025" w:rsidRPr="00BE1231">
        <w:t>utiliser</w:t>
      </w:r>
      <w:r w:rsidR="00E2212C">
        <w:t> </w:t>
      </w:r>
      <w:r w:rsidR="00723025" w:rsidRPr="00BE1231">
        <w:t>:</w:t>
      </w:r>
    </w:p>
    <w:p w:rsidR="0012327C" w:rsidRPr="00BE1231" w:rsidRDefault="0012327C" w:rsidP="00D24E8D"/>
    <w:p w:rsidR="0012327C" w:rsidRPr="00BE1231" w:rsidRDefault="00FF721B" w:rsidP="00723025">
      <w:r w:rsidRPr="00BE1231">
        <w:tab/>
      </w:r>
      <w:r w:rsidR="0012327C" w:rsidRPr="00BE1231">
        <w:t>a)</w:t>
      </w:r>
      <w:r w:rsidR="0012327C" w:rsidRPr="00BE1231">
        <w:tab/>
      </w:r>
      <w:r w:rsidR="00723025" w:rsidRPr="00BE1231">
        <w:t>les principes directeurs d</w:t>
      </w:r>
      <w:r w:rsidR="00C4117D">
        <w:t>’</w:t>
      </w:r>
      <w:r w:rsidR="00723025" w:rsidRPr="00BE1231">
        <w:t>examen de l</w:t>
      </w:r>
      <w:r w:rsidR="00C4117D">
        <w:t>’</w:t>
      </w:r>
      <w:r w:rsidR="00723025" w:rsidRPr="00BE1231">
        <w:t>UPOV adoptés, qui serviront de base d</w:t>
      </w:r>
      <w:r w:rsidR="00C4117D">
        <w:t>’</w:t>
      </w:r>
      <w:r w:rsidR="00723025" w:rsidRPr="00BE1231">
        <w:t>élaboration des</w:t>
      </w:r>
      <w:r w:rsidR="00DF0CC2">
        <w:t> </w:t>
      </w:r>
      <w:r w:rsidR="00723025" w:rsidRPr="00BE1231">
        <w:t>principes directeurs d</w:t>
      </w:r>
      <w:r w:rsidR="00C4117D">
        <w:t>’</w:t>
      </w:r>
      <w:r w:rsidR="00723025" w:rsidRPr="00BE1231">
        <w:t>examen par les différents services d</w:t>
      </w:r>
      <w:r w:rsidR="00C4117D">
        <w:t>’</w:t>
      </w:r>
      <w:r w:rsidR="00723025" w:rsidRPr="00BE1231">
        <w:t>examen</w:t>
      </w:r>
      <w:r w:rsidR="0012327C" w:rsidRPr="00BE1231">
        <w:t>;</w:t>
      </w:r>
    </w:p>
    <w:p w:rsidR="0012327C" w:rsidRPr="00BE1231" w:rsidRDefault="0012327C" w:rsidP="00FF721B"/>
    <w:p w:rsidR="00723025" w:rsidRPr="00BE1231" w:rsidRDefault="00FF721B" w:rsidP="00FF721B">
      <w:r w:rsidRPr="00BE1231">
        <w:tab/>
      </w:r>
      <w:r w:rsidR="0012327C" w:rsidRPr="00BE1231">
        <w:t>b)</w:t>
      </w:r>
      <w:r w:rsidR="0012327C" w:rsidRPr="00BE1231">
        <w:tab/>
      </w:r>
      <w:r w:rsidR="00723025" w:rsidRPr="00BE1231">
        <w:t>le modèle de principes directeurs d</w:t>
      </w:r>
      <w:r w:rsidR="00C4117D">
        <w:t>’</w:t>
      </w:r>
      <w:r w:rsidR="00723025" w:rsidRPr="00BE1231">
        <w:t>examen fondé sur le Web et la base de données de caractères, afin que les différents services d</w:t>
      </w:r>
      <w:r w:rsidR="00C4117D">
        <w:t>’</w:t>
      </w:r>
      <w:r w:rsidR="00723025" w:rsidRPr="00BE1231">
        <w:t xml:space="preserve">examen élaborent leurs </w:t>
      </w:r>
      <w:r w:rsidR="00404062">
        <w:t xml:space="preserve">propres </w:t>
      </w:r>
      <w:r w:rsidR="00723025" w:rsidRPr="00BE1231">
        <w:t>principes directeurs d</w:t>
      </w:r>
      <w:r w:rsidR="00C4117D">
        <w:t>’</w:t>
      </w:r>
      <w:r w:rsidR="00723025" w:rsidRPr="00BE1231">
        <w:t>examen en l</w:t>
      </w:r>
      <w:r w:rsidR="00C4117D">
        <w:t>’</w:t>
      </w:r>
      <w:r w:rsidR="00723025" w:rsidRPr="00BE1231">
        <w:t>absence de principes directeurs d</w:t>
      </w:r>
      <w:r w:rsidR="00C4117D">
        <w:t>’</w:t>
      </w:r>
      <w:r w:rsidR="00723025" w:rsidRPr="00BE1231">
        <w:t>examen de l</w:t>
      </w:r>
      <w:r w:rsidR="00C4117D">
        <w:t>’</w:t>
      </w:r>
      <w:r w:rsidR="00723025" w:rsidRPr="00BE1231">
        <w:t xml:space="preserve">UPOV; </w:t>
      </w:r>
      <w:r w:rsidR="00E2212C">
        <w:t xml:space="preserve"> </w:t>
      </w:r>
      <w:r w:rsidR="00723025" w:rsidRPr="00BE1231">
        <w:t>et</w:t>
      </w:r>
    </w:p>
    <w:p w:rsidR="00723025" w:rsidRPr="00BE1231" w:rsidRDefault="00FF721B" w:rsidP="00FF721B">
      <w:r w:rsidRPr="00BE1231">
        <w:tab/>
      </w:r>
      <w:r w:rsidR="0012327C" w:rsidRPr="00BE1231">
        <w:t>c)</w:t>
      </w:r>
      <w:r w:rsidR="0012327C" w:rsidRPr="00BE1231">
        <w:tab/>
      </w:r>
      <w:r w:rsidR="00723025" w:rsidRPr="00BE1231">
        <w:t>les principes directeurs d</w:t>
      </w:r>
      <w:r w:rsidR="00C4117D">
        <w:t>’</w:t>
      </w:r>
      <w:r w:rsidR="00723025" w:rsidRPr="00BE1231">
        <w:t xml:space="preserve">examen </w:t>
      </w:r>
      <w:r w:rsidR="00404062">
        <w:t>propres aux différents</w:t>
      </w:r>
      <w:r w:rsidR="00404062" w:rsidRPr="00BE1231">
        <w:t xml:space="preserve"> </w:t>
      </w:r>
      <w:r w:rsidR="00723025" w:rsidRPr="00BE1231">
        <w:t>services d</w:t>
      </w:r>
      <w:r w:rsidR="00C4117D">
        <w:t>’</w:t>
      </w:r>
      <w:r w:rsidR="00723025" w:rsidRPr="00BE1231">
        <w:t>examen</w:t>
      </w:r>
      <w:r w:rsidR="00404062">
        <w:t>,</w:t>
      </w:r>
      <w:r w:rsidR="00723025" w:rsidRPr="00BE1231">
        <w:t xml:space="preserve"> élaborés à l</w:t>
      </w:r>
      <w:r w:rsidR="00C4117D">
        <w:t>’</w:t>
      </w:r>
      <w:r w:rsidR="00723025" w:rsidRPr="00BE1231">
        <w:t>aide du modèle de principes directeurs d</w:t>
      </w:r>
      <w:r w:rsidR="00C4117D">
        <w:t>’</w:t>
      </w:r>
      <w:r w:rsidR="00723025" w:rsidRPr="00BE1231">
        <w:t>examen fondé sur le Web, base d</w:t>
      </w:r>
      <w:r w:rsidR="00C4117D">
        <w:t>’</w:t>
      </w:r>
      <w:r w:rsidR="00723025" w:rsidRPr="00BE1231">
        <w:t>élaboration des principes directeurs d</w:t>
      </w:r>
      <w:r w:rsidR="00C4117D">
        <w:t>’</w:t>
      </w:r>
      <w:r w:rsidR="00723025" w:rsidRPr="00BE1231">
        <w:t>examen de l</w:t>
      </w:r>
      <w:r w:rsidR="00C4117D">
        <w:t>’</w:t>
      </w:r>
      <w:r w:rsidR="00723025" w:rsidRPr="00BE1231">
        <w:t>UPOV.</w:t>
      </w:r>
    </w:p>
    <w:p w:rsidR="0012327C" w:rsidRPr="00BE1231" w:rsidRDefault="0012327C" w:rsidP="0012327C">
      <w:pPr>
        <w:ind w:left="567"/>
      </w:pPr>
    </w:p>
    <w:p w:rsidR="00723025" w:rsidRPr="00BE1231" w:rsidRDefault="00185757" w:rsidP="0012327C">
      <w:r w:rsidRPr="00BE1231">
        <w:fldChar w:fldCharType="begin"/>
      </w:r>
      <w:r w:rsidR="0012327C" w:rsidRPr="00BE1231">
        <w:instrText xml:space="preserve"> AUTONUM  </w:instrText>
      </w:r>
      <w:r w:rsidRPr="00BE1231">
        <w:fldChar w:fldCharType="end"/>
      </w:r>
      <w:r w:rsidR="0012327C" w:rsidRPr="00BE1231">
        <w:tab/>
      </w:r>
      <w:r w:rsidR="00723025" w:rsidRPr="00BE1231">
        <w:t>La version n°</w:t>
      </w:r>
      <w:r w:rsidR="00E2212C">
        <w:t> </w:t>
      </w:r>
      <w:r w:rsidR="00DA0863" w:rsidRPr="00BE1231">
        <w:t xml:space="preserve">2 </w:t>
      </w:r>
      <w:r w:rsidR="00723025" w:rsidRPr="00BE1231">
        <w:t>comportera une fonction permettant aux différents services d</w:t>
      </w:r>
      <w:r w:rsidR="00C4117D">
        <w:t>’</w:t>
      </w:r>
      <w:r w:rsidR="00723025" w:rsidRPr="00BE1231">
        <w:t>examen</w:t>
      </w:r>
      <w:r w:rsidR="00B96D45" w:rsidRPr="00BE1231">
        <w:t xml:space="preserve">, tout en conservant la même structure, </w:t>
      </w:r>
      <w:r w:rsidR="00723025" w:rsidRPr="00BE1231">
        <w:t xml:space="preserve">de modifier le texte du modèle </w:t>
      </w:r>
      <w:r w:rsidR="00B96D45" w:rsidRPr="00BE1231">
        <w:t>qui servira de modèle à leurs propres principes directeurs d</w:t>
      </w:r>
      <w:r w:rsidR="00C4117D">
        <w:t>’</w:t>
      </w:r>
      <w:r w:rsidR="00B96D45" w:rsidRPr="00BE1231">
        <w:t>examen;  elle comportera aussi une fonction permettant aux différents services d</w:t>
      </w:r>
      <w:r w:rsidR="00C4117D">
        <w:t>’</w:t>
      </w:r>
      <w:r w:rsidR="00B96D45" w:rsidRPr="00BE1231">
        <w:t>examen de convertir les principes directeurs d</w:t>
      </w:r>
      <w:r w:rsidR="00C4117D">
        <w:t>’</w:t>
      </w:r>
      <w:r w:rsidR="00B96D45" w:rsidRPr="00BE1231">
        <w:t>examen de l</w:t>
      </w:r>
      <w:r w:rsidR="00C4117D">
        <w:t>’</w:t>
      </w:r>
      <w:r w:rsidR="00B96D45" w:rsidRPr="00BE1231">
        <w:t>UPOV en leurs propres principes directeurs d</w:t>
      </w:r>
      <w:r w:rsidR="00C4117D">
        <w:t>’</w:t>
      </w:r>
      <w:r w:rsidR="00B96D45" w:rsidRPr="00BE1231">
        <w:t>examen et d</w:t>
      </w:r>
      <w:r w:rsidR="00C4117D">
        <w:t>’</w:t>
      </w:r>
      <w:r w:rsidR="00B96D45" w:rsidRPr="00BE1231">
        <w:t>apporter les modifications nécessaires.</w:t>
      </w:r>
    </w:p>
    <w:p w:rsidR="00AF7303" w:rsidRPr="00BE1231" w:rsidRDefault="00AF7303" w:rsidP="0012327C"/>
    <w:p w:rsidR="00B96D45" w:rsidRPr="00BE1231" w:rsidRDefault="00185757" w:rsidP="00D24E8D">
      <w:r w:rsidRPr="00BE1231">
        <w:fldChar w:fldCharType="begin"/>
      </w:r>
      <w:r w:rsidR="00AF7303" w:rsidRPr="00BE1231">
        <w:instrText xml:space="preserve"> AUTONUM  </w:instrText>
      </w:r>
      <w:r w:rsidRPr="00BE1231">
        <w:fldChar w:fldCharType="end"/>
      </w:r>
      <w:r w:rsidR="00AF7303" w:rsidRPr="00BE1231">
        <w:tab/>
        <w:t>S</w:t>
      </w:r>
      <w:r w:rsidR="00B96D45" w:rsidRPr="00BE1231">
        <w:t>ous réserve de la mise en œuvre de la version n°</w:t>
      </w:r>
      <w:r w:rsidR="00E2212C">
        <w:t> </w:t>
      </w:r>
      <w:r w:rsidR="00B96D45" w:rsidRPr="00BE1231">
        <w:t>1 du modèle de principes directeurs d</w:t>
      </w:r>
      <w:r w:rsidR="00C4117D">
        <w:t>’</w:t>
      </w:r>
      <w:r w:rsidR="00B96D45" w:rsidRPr="00BE1231">
        <w:t>examen fondé sur le Web en</w:t>
      </w:r>
      <w:r w:rsidR="00E2212C">
        <w:t> </w:t>
      </w:r>
      <w:r w:rsidR="00B96D45" w:rsidRPr="00BE1231">
        <w:t>2014, la mise au point de la version 2 est prévue pour</w:t>
      </w:r>
      <w:r w:rsidR="00E2212C">
        <w:t> </w:t>
      </w:r>
      <w:r w:rsidR="00B96D45" w:rsidRPr="00BE1231">
        <w:t>2015.</w:t>
      </w:r>
    </w:p>
    <w:p w:rsidR="00744A9B" w:rsidRPr="00BE1231" w:rsidRDefault="00744A9B" w:rsidP="00D24E8D"/>
    <w:p w:rsidR="00D24E8D" w:rsidRPr="00BE1231" w:rsidRDefault="00185757" w:rsidP="00FF721B">
      <w:pPr>
        <w:pStyle w:val="DecisionParagraphs"/>
        <w:tabs>
          <w:tab w:val="left" w:pos="5954"/>
        </w:tabs>
      </w:pPr>
      <w:r w:rsidRPr="00BE1231">
        <w:fldChar w:fldCharType="begin"/>
      </w:r>
      <w:r w:rsidR="00D24E8D" w:rsidRPr="00BE1231">
        <w:instrText xml:space="preserve"> AUTONUM  </w:instrText>
      </w:r>
      <w:r w:rsidRPr="00BE1231">
        <w:fldChar w:fldCharType="end"/>
      </w:r>
      <w:r w:rsidR="00D24E8D" w:rsidRPr="00BE1231">
        <w:tab/>
      </w:r>
      <w:r w:rsidR="00B96D45" w:rsidRPr="00BE1231">
        <w:t>L</w:t>
      </w:r>
      <w:r w:rsidR="00D24E8D" w:rsidRPr="00BE1231">
        <w:t>e</w:t>
      </w:r>
      <w:r w:rsidR="00C4117D">
        <w:t> TC</w:t>
      </w:r>
      <w:r w:rsidR="00D24E8D" w:rsidRPr="00BE1231">
        <w:t xml:space="preserve"> </w:t>
      </w:r>
      <w:r w:rsidR="00B96D45" w:rsidRPr="00BE1231">
        <w:t xml:space="preserve">est </w:t>
      </w:r>
      <w:r w:rsidR="00D24E8D" w:rsidRPr="00BE1231">
        <w:t>invit</w:t>
      </w:r>
      <w:r w:rsidR="00677947">
        <w:t>é</w:t>
      </w:r>
      <w:r w:rsidR="00937AF6">
        <w:t xml:space="preserve"> à :</w:t>
      </w:r>
    </w:p>
    <w:p w:rsidR="00D24E8D" w:rsidRPr="00BE1231" w:rsidRDefault="00D24E8D" w:rsidP="00FF721B">
      <w:pPr>
        <w:pStyle w:val="DecisionParagraphs"/>
        <w:tabs>
          <w:tab w:val="left" w:pos="5954"/>
        </w:tabs>
      </w:pPr>
    </w:p>
    <w:p w:rsidR="00D24E8D" w:rsidRPr="00BE1231" w:rsidRDefault="00677947" w:rsidP="00FF721B">
      <w:pPr>
        <w:pStyle w:val="DecisionParagraphs"/>
        <w:tabs>
          <w:tab w:val="left" w:pos="5954"/>
        </w:tabs>
      </w:pPr>
      <w:r>
        <w:tab/>
      </w:r>
      <w:r w:rsidR="00FF721B" w:rsidRPr="00BE1231">
        <w:t>a)</w:t>
      </w:r>
      <w:r w:rsidR="00FF721B" w:rsidRPr="00BE1231">
        <w:tab/>
      </w:r>
      <w:r w:rsidR="00B96D45" w:rsidRPr="00BE1231">
        <w:t xml:space="preserve">prendre </w:t>
      </w:r>
      <w:r w:rsidR="00D24E8D" w:rsidRPr="00BE1231">
        <w:t xml:space="preserve">note </w:t>
      </w:r>
      <w:r w:rsidR="00B96D45" w:rsidRPr="00BE1231">
        <w:t>des caractéristiques de la</w:t>
      </w:r>
      <w:r w:rsidR="00DF0CC2">
        <w:t> </w:t>
      </w:r>
      <w:r w:rsidR="00B96D45" w:rsidRPr="00BE1231">
        <w:t>version n°</w:t>
      </w:r>
      <w:r w:rsidR="00E2212C">
        <w:t> </w:t>
      </w:r>
      <w:r w:rsidR="00B96D45" w:rsidRPr="00BE1231">
        <w:t>1 du modèle de principes directeurs d</w:t>
      </w:r>
      <w:r w:rsidR="00C4117D">
        <w:t>’</w:t>
      </w:r>
      <w:r w:rsidR="00B96D45" w:rsidRPr="00BE1231">
        <w:t>examen fondé sur le Web telles que présentées au</w:t>
      </w:r>
      <w:r w:rsidR="00BF212C">
        <w:t> </w:t>
      </w:r>
      <w:r w:rsidR="00B96D45" w:rsidRPr="00BE1231">
        <w:t>paragraphe</w:t>
      </w:r>
      <w:r w:rsidR="00E2212C">
        <w:t> </w:t>
      </w:r>
      <w:r w:rsidR="001F66A8">
        <w:t>55</w:t>
      </w:r>
      <w:r w:rsidR="00D24E8D" w:rsidRPr="00BE1231">
        <w:t>;</w:t>
      </w:r>
    </w:p>
    <w:p w:rsidR="00D24E8D" w:rsidRPr="00BE1231" w:rsidRDefault="00D24E8D" w:rsidP="00FF721B">
      <w:pPr>
        <w:pStyle w:val="DecisionParagraphs"/>
        <w:tabs>
          <w:tab w:val="left" w:pos="5954"/>
        </w:tabs>
      </w:pPr>
    </w:p>
    <w:p w:rsidR="00D24E8D" w:rsidRPr="00BE1231" w:rsidRDefault="00FF721B" w:rsidP="00B96D45">
      <w:pPr>
        <w:pStyle w:val="DecisionParagraphs"/>
        <w:tabs>
          <w:tab w:val="left" w:pos="5954"/>
        </w:tabs>
      </w:pPr>
      <w:r w:rsidRPr="00BE1231">
        <w:tab/>
      </w:r>
      <w:r w:rsidR="00D24E8D" w:rsidRPr="00BE1231">
        <w:t>b)</w:t>
      </w:r>
      <w:r w:rsidR="00D24E8D" w:rsidRPr="00BE1231">
        <w:tab/>
        <w:t>appro</w:t>
      </w:r>
      <w:r w:rsidR="00B96D45" w:rsidRPr="00BE1231">
        <w:t>uver les projets de mise en</w:t>
      </w:r>
      <w:r w:rsidR="00BF212C">
        <w:t> </w:t>
      </w:r>
      <w:r w:rsidR="00B96D45" w:rsidRPr="00BE1231">
        <w:t>œuvre du modèle de principes directeurs d</w:t>
      </w:r>
      <w:r w:rsidR="00C4117D">
        <w:t>’</w:t>
      </w:r>
      <w:r w:rsidR="00B96D45" w:rsidRPr="00BE1231">
        <w:t>examen fondé sur le Web, ainsi que la nécessité d</w:t>
      </w:r>
      <w:r w:rsidR="00C4117D">
        <w:t>’</w:t>
      </w:r>
      <w:r w:rsidR="00B96D45" w:rsidRPr="00BE1231">
        <w:t>utiliser le modèle de principes directeurs d</w:t>
      </w:r>
      <w:r w:rsidR="00C4117D">
        <w:t>’</w:t>
      </w:r>
      <w:r w:rsidR="00B96D45" w:rsidRPr="00BE1231">
        <w:t>examen fondé sur le Web aux fins exclusives d</w:t>
      </w:r>
      <w:r w:rsidR="00C4117D">
        <w:t>’</w:t>
      </w:r>
      <w:r w:rsidR="00B96D45" w:rsidRPr="00BE1231">
        <w:t>élaboration de tous les principes directeurs d</w:t>
      </w:r>
      <w:r w:rsidR="00C4117D">
        <w:t>’</w:t>
      </w:r>
      <w:r w:rsidR="00B96D45" w:rsidRPr="00BE1231">
        <w:t>examen à partir de</w:t>
      </w:r>
      <w:r w:rsidR="00E2212C">
        <w:t> </w:t>
      </w:r>
      <w:r w:rsidR="00B96D45" w:rsidRPr="00BE1231">
        <w:t>2015, ainsi qu</w:t>
      </w:r>
      <w:r w:rsidR="00C4117D">
        <w:t>’</w:t>
      </w:r>
      <w:r w:rsidR="00B96D45" w:rsidRPr="00BE1231">
        <w:t xml:space="preserve">indiqué dans les </w:t>
      </w:r>
      <w:r w:rsidR="00D24E8D" w:rsidRPr="00BE1231">
        <w:t>paragraph</w:t>
      </w:r>
      <w:r w:rsidR="00B96D45" w:rsidRPr="00BE1231">
        <w:t>e</w:t>
      </w:r>
      <w:r w:rsidRPr="00BE1231">
        <w:t>s</w:t>
      </w:r>
      <w:r w:rsidR="00E2212C">
        <w:t> </w:t>
      </w:r>
      <w:r w:rsidR="001F66A8">
        <w:t>56</w:t>
      </w:r>
      <w:r w:rsidR="00D24E8D" w:rsidRPr="00BE1231">
        <w:t xml:space="preserve"> </w:t>
      </w:r>
      <w:r w:rsidR="00B96D45" w:rsidRPr="00BE1231">
        <w:t>à</w:t>
      </w:r>
      <w:r w:rsidR="00BF212C">
        <w:t> </w:t>
      </w:r>
      <w:r w:rsidR="001F66A8">
        <w:t>58</w:t>
      </w:r>
      <w:r w:rsidR="00D24E8D" w:rsidRPr="00BE1231">
        <w:t>;</w:t>
      </w:r>
    </w:p>
    <w:p w:rsidR="00D24E8D" w:rsidRPr="00BE1231" w:rsidRDefault="00D24E8D" w:rsidP="00FF721B">
      <w:pPr>
        <w:pStyle w:val="DecisionParagraphs"/>
        <w:tabs>
          <w:tab w:val="left" w:pos="5954"/>
        </w:tabs>
      </w:pPr>
    </w:p>
    <w:p w:rsidR="00AB76FD" w:rsidRDefault="00FF721B" w:rsidP="00B96D45">
      <w:pPr>
        <w:pStyle w:val="DecisionParagraphs"/>
        <w:tabs>
          <w:tab w:val="left" w:pos="5954"/>
        </w:tabs>
      </w:pPr>
      <w:r w:rsidRPr="00BE1231">
        <w:tab/>
      </w:r>
      <w:r w:rsidR="00D24E8D" w:rsidRPr="00BE1231">
        <w:t>c)</w:t>
      </w:r>
      <w:r w:rsidR="00D24E8D" w:rsidRPr="00BE1231">
        <w:tab/>
      </w:r>
      <w:r w:rsidR="00B96D45" w:rsidRPr="00BE1231">
        <w:t xml:space="preserve">prendre </w:t>
      </w:r>
      <w:r w:rsidR="00D24E8D" w:rsidRPr="00BE1231">
        <w:t xml:space="preserve">note </w:t>
      </w:r>
      <w:r w:rsidR="00B96D45" w:rsidRPr="00BE1231">
        <w:t>des caractéristiques et du</w:t>
      </w:r>
      <w:r w:rsidR="00BF212C">
        <w:t> </w:t>
      </w:r>
      <w:r w:rsidR="00B96D45" w:rsidRPr="00BE1231">
        <w:t>calendrier de mise au point de la version n°</w:t>
      </w:r>
      <w:r w:rsidR="00E2212C">
        <w:t> </w:t>
      </w:r>
      <w:r w:rsidR="00B96D45" w:rsidRPr="00BE1231">
        <w:t>2 du</w:t>
      </w:r>
      <w:r w:rsidR="00BF212C">
        <w:t> </w:t>
      </w:r>
      <w:r w:rsidR="00B96D45" w:rsidRPr="00BE1231">
        <w:t>modèle de principes directeurs d</w:t>
      </w:r>
      <w:r w:rsidR="00C4117D">
        <w:t>’</w:t>
      </w:r>
      <w:r w:rsidR="00B96D45" w:rsidRPr="00BE1231">
        <w:t>examen fondé sur le</w:t>
      </w:r>
      <w:r w:rsidR="00BF212C">
        <w:t> </w:t>
      </w:r>
      <w:r w:rsidR="00B96D45" w:rsidRPr="00BE1231">
        <w:t>Web, ainsi qu</w:t>
      </w:r>
      <w:r w:rsidR="00C4117D">
        <w:t>’</w:t>
      </w:r>
      <w:r w:rsidR="00B96D45" w:rsidRPr="00BE1231">
        <w:t xml:space="preserve">indiqué aux </w:t>
      </w:r>
      <w:r w:rsidR="00D24E8D" w:rsidRPr="00BE1231">
        <w:t>paragraph</w:t>
      </w:r>
      <w:r w:rsidR="00B96D45" w:rsidRPr="00BE1231">
        <w:t>e</w:t>
      </w:r>
      <w:r w:rsidR="00D24E8D" w:rsidRPr="00BE1231">
        <w:t>s</w:t>
      </w:r>
      <w:r w:rsidR="00E2212C">
        <w:t> </w:t>
      </w:r>
      <w:r w:rsidR="001F66A8">
        <w:t>59</w:t>
      </w:r>
      <w:r w:rsidR="00D24E8D" w:rsidRPr="00BE1231">
        <w:t xml:space="preserve"> </w:t>
      </w:r>
      <w:r w:rsidR="00B96D45" w:rsidRPr="00BE1231">
        <w:t xml:space="preserve">à </w:t>
      </w:r>
      <w:r w:rsidR="001F66A8">
        <w:t>63</w:t>
      </w:r>
      <w:r w:rsidR="00D24E8D" w:rsidRPr="00BE1231">
        <w:t>.</w:t>
      </w:r>
    </w:p>
    <w:p w:rsidR="00B07425" w:rsidRPr="00BE1231" w:rsidRDefault="00B07425" w:rsidP="00974E05"/>
    <w:p w:rsidR="00761761" w:rsidRPr="00BE1231" w:rsidRDefault="00761761" w:rsidP="009A0C94"/>
    <w:p w:rsidR="001D6D97" w:rsidRPr="00BE1231" w:rsidRDefault="001D6D97" w:rsidP="009A0C94"/>
    <w:p w:rsidR="00050E16" w:rsidRDefault="00050E16" w:rsidP="00050E16">
      <w:pPr>
        <w:jc w:val="right"/>
      </w:pPr>
      <w:r w:rsidRPr="00BE1231">
        <w:t>[</w:t>
      </w:r>
      <w:r w:rsidR="00EB1962" w:rsidRPr="00BE1231">
        <w:t>L</w:t>
      </w:r>
      <w:r w:rsidR="00C4117D">
        <w:t>’</w:t>
      </w:r>
      <w:r w:rsidR="00EB1962" w:rsidRPr="00BE1231">
        <w:t>a</w:t>
      </w:r>
      <w:r w:rsidR="00FC4145" w:rsidRPr="00BE1231">
        <w:t>nnex</w:t>
      </w:r>
      <w:r w:rsidR="00EB1962" w:rsidRPr="00BE1231">
        <w:t>e</w:t>
      </w:r>
      <w:r w:rsidR="00FC4145" w:rsidRPr="00BE1231">
        <w:t xml:space="preserve"> </w:t>
      </w:r>
      <w:r w:rsidR="00EB1962" w:rsidRPr="00BE1231">
        <w:t>suit</w:t>
      </w:r>
      <w:r w:rsidR="00EC230B">
        <w:t>]</w:t>
      </w:r>
    </w:p>
    <w:p w:rsidR="00FC14CF" w:rsidRDefault="00FC14CF" w:rsidP="00FC14CF"/>
    <w:p w:rsidR="00FC14CF" w:rsidRDefault="00FC14CF" w:rsidP="00FC14CF">
      <w:pPr>
        <w:sectPr w:rsidR="00FC14CF" w:rsidSect="00303501">
          <w:headerReference w:type="default" r:id="rId16"/>
          <w:pgSz w:w="11907" w:h="16840" w:code="9"/>
          <w:pgMar w:top="510" w:right="1134" w:bottom="1134" w:left="1134" w:header="510" w:footer="680" w:gutter="0"/>
          <w:cols w:space="720"/>
          <w:titlePg/>
          <w:docGrid w:linePitch="272"/>
        </w:sectPr>
      </w:pPr>
    </w:p>
    <w:p w:rsidR="00FC14CF" w:rsidRDefault="00FC14CF" w:rsidP="00FC14CF">
      <w:pPr>
        <w:jc w:val="center"/>
      </w:pPr>
      <w:r>
        <w:t>TC/50/10</w:t>
      </w:r>
    </w:p>
    <w:p w:rsidR="00FC14CF" w:rsidRDefault="00FC14CF" w:rsidP="00FC14CF">
      <w:pPr>
        <w:jc w:val="center"/>
      </w:pPr>
    </w:p>
    <w:p w:rsidR="00FC14CF" w:rsidRDefault="00FC14CF" w:rsidP="00FC14CF">
      <w:pPr>
        <w:jc w:val="center"/>
      </w:pPr>
      <w:r>
        <w:t>ANNEXE</w:t>
      </w:r>
    </w:p>
    <w:p w:rsidR="00FC14CF" w:rsidRDefault="00FC14CF" w:rsidP="00FC14CF">
      <w:pPr>
        <w:jc w:val="center"/>
      </w:pPr>
    </w:p>
    <w:p w:rsidR="00FC14CF" w:rsidRDefault="00FC14CF" w:rsidP="00FC14CF">
      <w:pPr>
        <w:jc w:val="center"/>
      </w:pPr>
      <w:r>
        <w:t>(</w:t>
      </w:r>
      <w:proofErr w:type="gramStart"/>
      <w:r>
        <w:t>seulement</w:t>
      </w:r>
      <w:proofErr w:type="gramEnd"/>
      <w:r>
        <w:t xml:space="preserve"> en anglais)</w:t>
      </w:r>
    </w:p>
    <w:p w:rsidR="00FC14CF" w:rsidRDefault="00FC14CF" w:rsidP="00FC14CF"/>
    <w:p w:rsidR="00FC14CF" w:rsidRDefault="00FC14CF" w:rsidP="00FC14CF"/>
    <w:p w:rsidR="00FC14CF" w:rsidRDefault="00FC14CF" w:rsidP="00FC14CF"/>
    <w:p w:rsidR="00FC14CF" w:rsidRDefault="00FC14CF" w:rsidP="00FC14CF">
      <w:r>
        <w:t>[</w:t>
      </w:r>
      <w:proofErr w:type="gramStart"/>
      <w:r>
        <w:t>voir</w:t>
      </w:r>
      <w:proofErr w:type="gramEnd"/>
      <w:r>
        <w:t xml:space="preserve"> la version </w:t>
      </w:r>
      <w:proofErr w:type="spellStart"/>
      <w:r>
        <w:t>pdf</w:t>
      </w:r>
      <w:proofErr w:type="spellEnd"/>
      <w:r>
        <w:t xml:space="preserve"> du document]</w:t>
      </w:r>
    </w:p>
    <w:p w:rsidR="00FC14CF" w:rsidRDefault="00FC14CF" w:rsidP="00FC14CF"/>
    <w:p w:rsidR="00FC14CF" w:rsidRDefault="00FC14CF" w:rsidP="00FC14CF"/>
    <w:p w:rsidR="00FC14CF" w:rsidRDefault="00FC14CF" w:rsidP="00FC14CF"/>
    <w:p w:rsidR="00FC14CF" w:rsidRPr="00FC14CF" w:rsidRDefault="00FC14CF" w:rsidP="00FC14CF">
      <w:pPr>
        <w:jc w:val="right"/>
      </w:pPr>
      <w:r>
        <w:t>[Fin de l’annexe et du document]</w:t>
      </w:r>
    </w:p>
    <w:sectPr w:rsidR="00FC14CF" w:rsidRPr="00FC14CF" w:rsidSect="00492E71">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78" w:rsidRDefault="00C55F78" w:rsidP="006655D3">
      <w:r>
        <w:separator/>
      </w:r>
    </w:p>
    <w:p w:rsidR="00C55F78" w:rsidRDefault="00C55F78" w:rsidP="006655D3"/>
    <w:p w:rsidR="00C55F78" w:rsidRDefault="00C55F78" w:rsidP="006655D3"/>
  </w:endnote>
  <w:endnote w:type="continuationSeparator" w:id="0">
    <w:p w:rsidR="00C55F78" w:rsidRDefault="00C55F78" w:rsidP="006655D3">
      <w:r>
        <w:separator/>
      </w:r>
    </w:p>
    <w:p w:rsidR="00C55F78" w:rsidRPr="008C7B58" w:rsidRDefault="00C55F78">
      <w:pPr>
        <w:pStyle w:val="Footer"/>
        <w:spacing w:after="60"/>
        <w:rPr>
          <w:sz w:val="18"/>
          <w:lang w:val="fr-CH"/>
        </w:rPr>
      </w:pPr>
      <w:r w:rsidRPr="008C7B58">
        <w:rPr>
          <w:sz w:val="18"/>
          <w:lang w:val="fr-CH"/>
        </w:rPr>
        <w:t>[Suite de la note de la page précédente]</w:t>
      </w:r>
    </w:p>
    <w:p w:rsidR="00C55F78" w:rsidRPr="008C7B58" w:rsidRDefault="00C55F78" w:rsidP="006655D3">
      <w:pPr>
        <w:rPr>
          <w:lang w:val="fr-CH"/>
        </w:rPr>
      </w:pPr>
    </w:p>
    <w:p w:rsidR="00C55F78" w:rsidRPr="008C7B58" w:rsidRDefault="00C55F78" w:rsidP="006655D3">
      <w:pPr>
        <w:rPr>
          <w:lang w:val="fr-CH"/>
        </w:rPr>
      </w:pPr>
    </w:p>
  </w:endnote>
  <w:endnote w:type="continuationNotice" w:id="1">
    <w:p w:rsidR="00C55F78" w:rsidRPr="008C7B58" w:rsidRDefault="00C55F78" w:rsidP="006655D3">
      <w:pPr>
        <w:rPr>
          <w:lang w:val="fr-CH"/>
        </w:rPr>
      </w:pPr>
      <w:r w:rsidRPr="008C7B58">
        <w:rPr>
          <w:lang w:val="fr-CH"/>
        </w:rPr>
        <w:t>[Suite de la note page suivante]</w:t>
      </w:r>
    </w:p>
    <w:p w:rsidR="00C55F78" w:rsidRPr="008C7B58" w:rsidRDefault="00C55F78" w:rsidP="006655D3">
      <w:pPr>
        <w:rPr>
          <w:lang w:val="fr-CH"/>
        </w:rPr>
      </w:pPr>
    </w:p>
    <w:p w:rsidR="00C55F78" w:rsidRPr="008C7B58" w:rsidRDefault="00C55F7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78" w:rsidRDefault="00C55F78" w:rsidP="006655D3">
      <w:r>
        <w:separator/>
      </w:r>
    </w:p>
  </w:footnote>
  <w:footnote w:type="continuationSeparator" w:id="0">
    <w:p w:rsidR="00C55F78" w:rsidRDefault="00C55F78" w:rsidP="006655D3">
      <w:r>
        <w:separator/>
      </w:r>
    </w:p>
  </w:footnote>
  <w:footnote w:type="continuationNotice" w:id="1">
    <w:p w:rsidR="00C55F78" w:rsidRPr="00AB530F" w:rsidRDefault="00C55F78" w:rsidP="00AB530F">
      <w:pPr>
        <w:pStyle w:val="Footer"/>
      </w:pPr>
    </w:p>
  </w:footnote>
  <w:footnote w:id="2">
    <w:p w:rsidR="00C55F78" w:rsidRPr="00BE1231" w:rsidRDefault="00C55F78" w:rsidP="00415169">
      <w:pPr>
        <w:pStyle w:val="FootnoteText"/>
        <w:rPr>
          <w:lang w:val="fr-FR"/>
        </w:rPr>
      </w:pPr>
      <w:r w:rsidRPr="00BE1231">
        <w:rPr>
          <w:rStyle w:val="FootnoteReference"/>
          <w:lang w:val="fr-FR"/>
        </w:rPr>
        <w:footnoteRef/>
      </w:r>
      <w:r>
        <w:rPr>
          <w:lang w:val="fr-FR"/>
        </w:rPr>
        <w:tab/>
        <w:t>“</w:t>
      </w:r>
      <w:r w:rsidRPr="00BE1231">
        <w:rPr>
          <w:lang w:val="fr-FR"/>
        </w:rPr>
        <w:t>Si le caractère est important pour l</w:t>
      </w:r>
      <w:r>
        <w:rPr>
          <w:lang w:val="fr-FR"/>
        </w:rPr>
        <w:t>’</w:t>
      </w:r>
      <w:r w:rsidRPr="00BE1231">
        <w:rPr>
          <w:lang w:val="fr-FR"/>
        </w:rPr>
        <w:t>harmonisation internationale des descriptions variétales (caractère avec astérisque) et s</w:t>
      </w:r>
      <w:r>
        <w:rPr>
          <w:lang w:val="fr-FR"/>
        </w:rPr>
        <w:t>’</w:t>
      </w:r>
      <w:r w:rsidRPr="00BE1231">
        <w:rPr>
          <w:lang w:val="fr-FR"/>
        </w:rPr>
        <w:t>il</w:t>
      </w:r>
      <w:r>
        <w:rPr>
          <w:lang w:val="fr-FR"/>
        </w:rPr>
        <w:t> est influencé</w:t>
      </w:r>
      <w:r w:rsidRPr="00BE1231">
        <w:rPr>
          <w:lang w:val="fr-FR"/>
        </w:rPr>
        <w:t xml:space="preserve"> par le milieu (comme la plupart des caractères qualitatifs et pseudo</w:t>
      </w:r>
      <w:r>
        <w:rPr>
          <w:lang w:val="fr-FR"/>
        </w:rPr>
        <w:t>-</w:t>
      </w:r>
      <w:r w:rsidRPr="00BE1231">
        <w:rPr>
          <w:lang w:val="fr-FR"/>
        </w:rPr>
        <w:t>qualitatifs) […..] il est nécessaire d</w:t>
      </w:r>
      <w:r>
        <w:rPr>
          <w:lang w:val="fr-FR"/>
        </w:rPr>
        <w:t>’</w:t>
      </w:r>
      <w:r w:rsidRPr="00BE1231">
        <w:rPr>
          <w:lang w:val="fr-FR"/>
        </w:rPr>
        <w:t>indiquer des</w:t>
      </w:r>
      <w:r>
        <w:rPr>
          <w:lang w:val="fr-FR"/>
        </w:rPr>
        <w:t> </w:t>
      </w:r>
      <w:r w:rsidRPr="00BE1231">
        <w:rPr>
          <w:lang w:val="fr-FR"/>
        </w:rPr>
        <w:t>variétés à titre d</w:t>
      </w:r>
      <w:r>
        <w:rPr>
          <w:lang w:val="fr-FR"/>
        </w:rPr>
        <w:t>’</w:t>
      </w:r>
      <w:r w:rsidRPr="00BE1231">
        <w:rPr>
          <w:lang w:val="fr-FR"/>
        </w:rPr>
        <w:t>exemples</w:t>
      </w:r>
      <w:r>
        <w:rPr>
          <w:lang w:val="fr-FR"/>
        </w:rPr>
        <w:t>”</w:t>
      </w:r>
      <w:r w:rsidRPr="00BE1231">
        <w:rPr>
          <w:lang w:val="fr-FR"/>
        </w:rPr>
        <w:t xml:space="preserve"> dans les principes directeurs d</w:t>
      </w:r>
      <w:r>
        <w:rPr>
          <w:lang w:val="fr-FR"/>
        </w:rPr>
        <w:t>’</w:t>
      </w:r>
      <w:r w:rsidRPr="00BE1231">
        <w:rPr>
          <w:lang w:val="fr-FR"/>
        </w:rPr>
        <w:t>examen (voir la section</w:t>
      </w:r>
      <w:r>
        <w:rPr>
          <w:lang w:val="fr-FR"/>
        </w:rPr>
        <w:t> </w:t>
      </w:r>
      <w:r w:rsidRPr="00BE1231">
        <w:rPr>
          <w:lang w:val="fr-FR"/>
        </w:rPr>
        <w:t>3.3</w:t>
      </w:r>
      <w:r>
        <w:rPr>
          <w:lang w:val="fr-FR"/>
        </w:rPr>
        <w:t>.</w:t>
      </w:r>
      <w:r w:rsidRPr="00BE1231">
        <w:rPr>
          <w:lang w:val="fr-FR"/>
        </w:rPr>
        <w:t>iii), de l</w:t>
      </w:r>
      <w:r>
        <w:rPr>
          <w:lang w:val="fr-FR"/>
        </w:rPr>
        <w:t>’</w:t>
      </w:r>
      <w:r w:rsidRPr="00BE1231">
        <w:rPr>
          <w:lang w:val="fr-FR"/>
        </w:rPr>
        <w:t xml:space="preserve">annexe 3, note indicative GN 28 </w:t>
      </w:r>
      <w:r>
        <w:rPr>
          <w:lang w:val="fr-FR"/>
        </w:rPr>
        <w:t>“</w:t>
      </w:r>
      <w:r w:rsidRPr="00BE1231">
        <w:rPr>
          <w:lang w:val="fr-FR"/>
        </w:rPr>
        <w:t>Variétés indiquées à titre d</w:t>
      </w:r>
      <w:r>
        <w:rPr>
          <w:lang w:val="fr-FR"/>
        </w:rPr>
        <w:t>’</w:t>
      </w:r>
      <w:r w:rsidRPr="00BE1231">
        <w:rPr>
          <w:lang w:val="fr-FR"/>
        </w:rPr>
        <w:t>exemples</w:t>
      </w:r>
      <w:r>
        <w:rPr>
          <w:lang w:val="fr-FR"/>
        </w:rPr>
        <w:t>”</w:t>
      </w:r>
      <w:r w:rsidRPr="00BE1231">
        <w:rPr>
          <w:lang w:val="fr-FR"/>
        </w:rPr>
        <w:t xml:space="preserve"> du document TGP/7).</w:t>
      </w:r>
    </w:p>
    <w:p w:rsidR="00C55F78" w:rsidRPr="0097065B" w:rsidRDefault="00C55F78" w:rsidP="00415169">
      <w:pPr>
        <w:autoSpaceDE w:val="0"/>
        <w:autoSpaceDN w:val="0"/>
        <w:adjustRightInd w:val="0"/>
        <w:ind w:left="284" w:hanging="284"/>
        <w:jc w:val="left"/>
      </w:pPr>
      <w:r w:rsidRPr="00BE1231">
        <w:tab/>
      </w:r>
      <w:r>
        <w:t>“</w:t>
      </w:r>
      <w:r w:rsidRPr="00BE1231">
        <w:rPr>
          <w:sz w:val="16"/>
        </w:rPr>
        <w:t>1.2.3</w:t>
      </w:r>
      <w:r w:rsidRPr="00BE1231">
        <w:rPr>
          <w:sz w:val="16"/>
        </w:rPr>
        <w:tab/>
        <w:t>Les variétés indiquées à titre d</w:t>
      </w:r>
      <w:r>
        <w:rPr>
          <w:sz w:val="16"/>
        </w:rPr>
        <w:t>’</w:t>
      </w:r>
      <w:r w:rsidRPr="00BE1231">
        <w:rPr>
          <w:sz w:val="16"/>
        </w:rPr>
        <w:t>exemples sont importantes pour corriger dans la mesure du possible les variations de l</w:t>
      </w:r>
      <w:r>
        <w:rPr>
          <w:sz w:val="16"/>
        </w:rPr>
        <w:t>’</w:t>
      </w:r>
      <w:r w:rsidRPr="00BE1231">
        <w:rPr>
          <w:sz w:val="16"/>
        </w:rPr>
        <w:t>expression des caractères dues à l</w:t>
      </w:r>
      <w:r>
        <w:rPr>
          <w:sz w:val="16"/>
        </w:rPr>
        <w:t xml:space="preserve">’année et au milieu.  […]” </w:t>
      </w:r>
      <w:r w:rsidRPr="00BE1231">
        <w:rPr>
          <w:sz w:val="16"/>
        </w:rPr>
        <w:t>(</w:t>
      </w:r>
      <w:proofErr w:type="gramStart"/>
      <w:r w:rsidRPr="00BE1231">
        <w:rPr>
          <w:sz w:val="16"/>
        </w:rPr>
        <w:t>voir</w:t>
      </w:r>
      <w:proofErr w:type="gramEnd"/>
      <w:r w:rsidRPr="00BE1231">
        <w:rPr>
          <w:sz w:val="16"/>
        </w:rPr>
        <w:t xml:space="preserve"> la section</w:t>
      </w:r>
      <w:r>
        <w:rPr>
          <w:sz w:val="16"/>
        </w:rPr>
        <w:t> </w:t>
      </w:r>
      <w:r w:rsidRPr="00BE1231">
        <w:rPr>
          <w:sz w:val="16"/>
        </w:rPr>
        <w:t>1.2.3 de l</w:t>
      </w:r>
      <w:r>
        <w:rPr>
          <w:sz w:val="16"/>
        </w:rPr>
        <w:t>’</w:t>
      </w:r>
      <w:r w:rsidRPr="00BE1231">
        <w:rPr>
          <w:sz w:val="16"/>
        </w:rPr>
        <w:t xml:space="preserve">annexe 3, note indicative GN 28 </w:t>
      </w:r>
      <w:r>
        <w:rPr>
          <w:sz w:val="16"/>
        </w:rPr>
        <w:t>“</w:t>
      </w:r>
      <w:r w:rsidRPr="00BE1231">
        <w:rPr>
          <w:sz w:val="16"/>
        </w:rPr>
        <w:t>Variétés à titre d</w:t>
      </w:r>
      <w:r>
        <w:rPr>
          <w:sz w:val="16"/>
        </w:rPr>
        <w:t>’</w:t>
      </w:r>
      <w:r w:rsidRPr="00BE1231">
        <w:rPr>
          <w:sz w:val="16"/>
        </w:rPr>
        <w:t>exemples</w:t>
      </w:r>
      <w:r>
        <w:rPr>
          <w:sz w:val="16"/>
        </w:rPr>
        <w:t>”</w:t>
      </w:r>
      <w:r w:rsidRPr="00BE1231">
        <w:rPr>
          <w:sz w:val="16"/>
        </w:rPr>
        <w:t>, du document TGP/7).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F78" w:rsidRPr="00C5280D" w:rsidRDefault="00C55F78" w:rsidP="00EB048E">
    <w:pPr>
      <w:pStyle w:val="Header"/>
      <w:rPr>
        <w:rStyle w:val="PageNumber"/>
        <w:lang w:val="en-US"/>
      </w:rPr>
    </w:pPr>
    <w:r>
      <w:rPr>
        <w:rStyle w:val="PageNumber"/>
        <w:lang w:val="en-US"/>
      </w:rPr>
      <w:t>TC/50/10</w:t>
    </w:r>
  </w:p>
  <w:p w:rsidR="00C55F78" w:rsidRPr="00C5280D" w:rsidRDefault="00C55F7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448C">
      <w:rPr>
        <w:rStyle w:val="PageNumber"/>
        <w:noProof/>
        <w:lang w:val="en-US"/>
      </w:rPr>
      <w:t>17</w:t>
    </w:r>
    <w:r w:rsidRPr="00C5280D">
      <w:rPr>
        <w:rStyle w:val="PageNumber"/>
        <w:lang w:val="en-US"/>
      </w:rPr>
      <w:fldChar w:fldCharType="end"/>
    </w:r>
  </w:p>
  <w:p w:rsidR="00C55F78" w:rsidRPr="00C5280D" w:rsidRDefault="00C55F78" w:rsidP="0067794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53A"/>
    <w:multiLevelType w:val="hybridMultilevel"/>
    <w:tmpl w:val="8EC25526"/>
    <w:lvl w:ilvl="0" w:tplc="4EFA1B9C">
      <w:start w:val="1"/>
      <w:numFmt w:val="lowerLetter"/>
      <w:lvlText w:val="%1)"/>
      <w:lvlJc w:val="left"/>
      <w:pPr>
        <w:tabs>
          <w:tab w:val="num" w:pos="1140"/>
        </w:tabs>
        <w:ind w:left="1140" w:hanging="570"/>
      </w:pPr>
      <w:rPr>
        <w:rFonts w:cs="Times New Roman" w:hint="default"/>
      </w:rPr>
    </w:lvl>
    <w:lvl w:ilvl="1" w:tplc="040C0019" w:tentative="1">
      <w:start w:val="1"/>
      <w:numFmt w:val="lowerLetter"/>
      <w:lvlText w:val="%2."/>
      <w:lvlJc w:val="left"/>
      <w:pPr>
        <w:tabs>
          <w:tab w:val="num" w:pos="1650"/>
        </w:tabs>
        <w:ind w:left="1650" w:hanging="360"/>
      </w:pPr>
      <w:rPr>
        <w:rFonts w:cs="Times New Roman"/>
      </w:rPr>
    </w:lvl>
    <w:lvl w:ilvl="2" w:tplc="040C001B" w:tentative="1">
      <w:start w:val="1"/>
      <w:numFmt w:val="lowerRoman"/>
      <w:lvlText w:val="%3."/>
      <w:lvlJc w:val="right"/>
      <w:pPr>
        <w:tabs>
          <w:tab w:val="num" w:pos="2370"/>
        </w:tabs>
        <w:ind w:left="2370" w:hanging="180"/>
      </w:pPr>
      <w:rPr>
        <w:rFonts w:cs="Times New Roman"/>
      </w:rPr>
    </w:lvl>
    <w:lvl w:ilvl="3" w:tplc="040C000F" w:tentative="1">
      <w:start w:val="1"/>
      <w:numFmt w:val="decimal"/>
      <w:lvlText w:val="%4."/>
      <w:lvlJc w:val="left"/>
      <w:pPr>
        <w:tabs>
          <w:tab w:val="num" w:pos="3090"/>
        </w:tabs>
        <w:ind w:left="3090" w:hanging="360"/>
      </w:pPr>
      <w:rPr>
        <w:rFonts w:cs="Times New Roman"/>
      </w:rPr>
    </w:lvl>
    <w:lvl w:ilvl="4" w:tplc="040C0019" w:tentative="1">
      <w:start w:val="1"/>
      <w:numFmt w:val="lowerLetter"/>
      <w:lvlText w:val="%5."/>
      <w:lvlJc w:val="left"/>
      <w:pPr>
        <w:tabs>
          <w:tab w:val="num" w:pos="3810"/>
        </w:tabs>
        <w:ind w:left="3810" w:hanging="360"/>
      </w:pPr>
      <w:rPr>
        <w:rFonts w:cs="Times New Roman"/>
      </w:rPr>
    </w:lvl>
    <w:lvl w:ilvl="5" w:tplc="040C001B" w:tentative="1">
      <w:start w:val="1"/>
      <w:numFmt w:val="lowerRoman"/>
      <w:lvlText w:val="%6."/>
      <w:lvlJc w:val="right"/>
      <w:pPr>
        <w:tabs>
          <w:tab w:val="num" w:pos="4530"/>
        </w:tabs>
        <w:ind w:left="4530" w:hanging="180"/>
      </w:pPr>
      <w:rPr>
        <w:rFonts w:cs="Times New Roman"/>
      </w:rPr>
    </w:lvl>
    <w:lvl w:ilvl="6" w:tplc="040C000F" w:tentative="1">
      <w:start w:val="1"/>
      <w:numFmt w:val="decimal"/>
      <w:lvlText w:val="%7."/>
      <w:lvlJc w:val="left"/>
      <w:pPr>
        <w:tabs>
          <w:tab w:val="num" w:pos="5250"/>
        </w:tabs>
        <w:ind w:left="5250" w:hanging="360"/>
      </w:pPr>
      <w:rPr>
        <w:rFonts w:cs="Times New Roman"/>
      </w:rPr>
    </w:lvl>
    <w:lvl w:ilvl="7" w:tplc="040C0019" w:tentative="1">
      <w:start w:val="1"/>
      <w:numFmt w:val="lowerLetter"/>
      <w:lvlText w:val="%8."/>
      <w:lvlJc w:val="left"/>
      <w:pPr>
        <w:tabs>
          <w:tab w:val="num" w:pos="5970"/>
        </w:tabs>
        <w:ind w:left="5970" w:hanging="360"/>
      </w:pPr>
      <w:rPr>
        <w:rFonts w:cs="Times New Roman"/>
      </w:rPr>
    </w:lvl>
    <w:lvl w:ilvl="8" w:tplc="040C001B" w:tentative="1">
      <w:start w:val="1"/>
      <w:numFmt w:val="lowerRoman"/>
      <w:lvlText w:val="%9."/>
      <w:lvlJc w:val="right"/>
      <w:pPr>
        <w:tabs>
          <w:tab w:val="num" w:pos="6690"/>
        </w:tabs>
        <w:ind w:left="6690" w:hanging="180"/>
      </w:pPr>
      <w:rPr>
        <w:rFonts w:cs="Times New Roman"/>
      </w:rPr>
    </w:lvl>
  </w:abstractNum>
  <w:abstractNum w:abstractNumId="1">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C51E8F"/>
    <w:multiLevelType w:val="hybridMultilevel"/>
    <w:tmpl w:val="07F8F87E"/>
    <w:lvl w:ilvl="0" w:tplc="493031EC">
      <w:start w:val="1"/>
      <w:numFmt w:val="lowerLetter"/>
      <w:lvlText w:val="%1)"/>
      <w:lvlJc w:val="left"/>
      <w:pPr>
        <w:tabs>
          <w:tab w:val="num" w:pos="0"/>
        </w:tabs>
        <w:ind w:left="1137" w:hanging="57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8"/>
  </w:num>
  <w:num w:numId="3">
    <w:abstractNumId w:val="6"/>
  </w:num>
  <w:num w:numId="4">
    <w:abstractNumId w:val="3"/>
  </w:num>
  <w:num w:numId="5">
    <w:abstractNumId w:val="7"/>
  </w:num>
  <w:num w:numId="6">
    <w:abstractNumId w:val="1"/>
  </w:num>
  <w:num w:numId="7">
    <w:abstractNumId w:val="4"/>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43"/>
    <w:rsid w:val="00001D13"/>
    <w:rsid w:val="00006DEC"/>
    <w:rsid w:val="00010CF3"/>
    <w:rsid w:val="00011E27"/>
    <w:rsid w:val="000126EB"/>
    <w:rsid w:val="000148BC"/>
    <w:rsid w:val="000152EF"/>
    <w:rsid w:val="00024AB8"/>
    <w:rsid w:val="00030854"/>
    <w:rsid w:val="00036028"/>
    <w:rsid w:val="00044642"/>
    <w:rsid w:val="000446B9"/>
    <w:rsid w:val="00047E21"/>
    <w:rsid w:val="00050E16"/>
    <w:rsid w:val="000536A6"/>
    <w:rsid w:val="00073C61"/>
    <w:rsid w:val="00077485"/>
    <w:rsid w:val="00085505"/>
    <w:rsid w:val="00092F7D"/>
    <w:rsid w:val="00097BFD"/>
    <w:rsid w:val="000A0332"/>
    <w:rsid w:val="000A2408"/>
    <w:rsid w:val="000A60E8"/>
    <w:rsid w:val="000C7021"/>
    <w:rsid w:val="000D680A"/>
    <w:rsid w:val="000D6BBC"/>
    <w:rsid w:val="000D7780"/>
    <w:rsid w:val="000E0359"/>
    <w:rsid w:val="000F2F11"/>
    <w:rsid w:val="000F535E"/>
    <w:rsid w:val="001000A7"/>
    <w:rsid w:val="001031E4"/>
    <w:rsid w:val="0010388F"/>
    <w:rsid w:val="0010590A"/>
    <w:rsid w:val="00105929"/>
    <w:rsid w:val="00113080"/>
    <w:rsid w:val="001131D5"/>
    <w:rsid w:val="00114D0C"/>
    <w:rsid w:val="0012327C"/>
    <w:rsid w:val="00123785"/>
    <w:rsid w:val="00126317"/>
    <w:rsid w:val="00126941"/>
    <w:rsid w:val="001362DE"/>
    <w:rsid w:val="0014089E"/>
    <w:rsid w:val="00141DB8"/>
    <w:rsid w:val="0015626A"/>
    <w:rsid w:val="0016509A"/>
    <w:rsid w:val="001658C2"/>
    <w:rsid w:val="0017474A"/>
    <w:rsid w:val="001758C6"/>
    <w:rsid w:val="00182B99"/>
    <w:rsid w:val="00185757"/>
    <w:rsid w:val="001B2DBE"/>
    <w:rsid w:val="001C4B8F"/>
    <w:rsid w:val="001C553C"/>
    <w:rsid w:val="001C56C7"/>
    <w:rsid w:val="001D2E82"/>
    <w:rsid w:val="001D4FC8"/>
    <w:rsid w:val="001D6D97"/>
    <w:rsid w:val="001E3188"/>
    <w:rsid w:val="001E5F9D"/>
    <w:rsid w:val="001F065E"/>
    <w:rsid w:val="001F0CD9"/>
    <w:rsid w:val="001F4113"/>
    <w:rsid w:val="001F66A8"/>
    <w:rsid w:val="0021332C"/>
    <w:rsid w:val="00213982"/>
    <w:rsid w:val="002174A9"/>
    <w:rsid w:val="00221F11"/>
    <w:rsid w:val="0022220E"/>
    <w:rsid w:val="00230328"/>
    <w:rsid w:val="00231086"/>
    <w:rsid w:val="0024416D"/>
    <w:rsid w:val="00245363"/>
    <w:rsid w:val="00245FD1"/>
    <w:rsid w:val="002509B3"/>
    <w:rsid w:val="00252A63"/>
    <w:rsid w:val="00252A96"/>
    <w:rsid w:val="00261FE9"/>
    <w:rsid w:val="002650B9"/>
    <w:rsid w:val="00271911"/>
    <w:rsid w:val="002800A0"/>
    <w:rsid w:val="002801B3"/>
    <w:rsid w:val="00281060"/>
    <w:rsid w:val="0028178C"/>
    <w:rsid w:val="002940E8"/>
    <w:rsid w:val="002A6E50"/>
    <w:rsid w:val="002B3118"/>
    <w:rsid w:val="002B6C3B"/>
    <w:rsid w:val="002C256A"/>
    <w:rsid w:val="002C7D9A"/>
    <w:rsid w:val="002D1075"/>
    <w:rsid w:val="002D4E68"/>
    <w:rsid w:val="002D6A7C"/>
    <w:rsid w:val="002E3428"/>
    <w:rsid w:val="002E7041"/>
    <w:rsid w:val="00303501"/>
    <w:rsid w:val="00305A7F"/>
    <w:rsid w:val="003152FE"/>
    <w:rsid w:val="0032640B"/>
    <w:rsid w:val="00327436"/>
    <w:rsid w:val="003367CB"/>
    <w:rsid w:val="00337B8E"/>
    <w:rsid w:val="00340861"/>
    <w:rsid w:val="00344BD6"/>
    <w:rsid w:val="00353D9A"/>
    <w:rsid w:val="003541C5"/>
    <w:rsid w:val="0035528D"/>
    <w:rsid w:val="00357820"/>
    <w:rsid w:val="00361821"/>
    <w:rsid w:val="0037215E"/>
    <w:rsid w:val="003802AE"/>
    <w:rsid w:val="00384B6A"/>
    <w:rsid w:val="003A1C07"/>
    <w:rsid w:val="003C77B9"/>
    <w:rsid w:val="003D227C"/>
    <w:rsid w:val="003D2768"/>
    <w:rsid w:val="003D2B4D"/>
    <w:rsid w:val="00401878"/>
    <w:rsid w:val="00404062"/>
    <w:rsid w:val="004058E7"/>
    <w:rsid w:val="00415169"/>
    <w:rsid w:val="00420CE0"/>
    <w:rsid w:val="00436F57"/>
    <w:rsid w:val="00443DE2"/>
    <w:rsid w:val="00444A88"/>
    <w:rsid w:val="00450605"/>
    <w:rsid w:val="00465430"/>
    <w:rsid w:val="00466DB4"/>
    <w:rsid w:val="00467D0A"/>
    <w:rsid w:val="00474DA4"/>
    <w:rsid w:val="00476B4D"/>
    <w:rsid w:val="004805FA"/>
    <w:rsid w:val="004808FC"/>
    <w:rsid w:val="004816A1"/>
    <w:rsid w:val="00491809"/>
    <w:rsid w:val="00492E71"/>
    <w:rsid w:val="004B017A"/>
    <w:rsid w:val="004C2CCE"/>
    <w:rsid w:val="004D047D"/>
    <w:rsid w:val="004D1837"/>
    <w:rsid w:val="004D6E10"/>
    <w:rsid w:val="004E4FAC"/>
    <w:rsid w:val="004E529D"/>
    <w:rsid w:val="004E7E98"/>
    <w:rsid w:val="004F305A"/>
    <w:rsid w:val="00505A73"/>
    <w:rsid w:val="00512164"/>
    <w:rsid w:val="00517468"/>
    <w:rsid w:val="00520297"/>
    <w:rsid w:val="00524050"/>
    <w:rsid w:val="0052617C"/>
    <w:rsid w:val="005338F9"/>
    <w:rsid w:val="00533B49"/>
    <w:rsid w:val="005379E7"/>
    <w:rsid w:val="0054281C"/>
    <w:rsid w:val="0054450F"/>
    <w:rsid w:val="005517E6"/>
    <w:rsid w:val="0055268D"/>
    <w:rsid w:val="00557635"/>
    <w:rsid w:val="00566D72"/>
    <w:rsid w:val="00572047"/>
    <w:rsid w:val="00574BC4"/>
    <w:rsid w:val="00576BE4"/>
    <w:rsid w:val="005902E4"/>
    <w:rsid w:val="005A400A"/>
    <w:rsid w:val="005A7475"/>
    <w:rsid w:val="005B50EC"/>
    <w:rsid w:val="005C0346"/>
    <w:rsid w:val="005C3E02"/>
    <w:rsid w:val="005C4236"/>
    <w:rsid w:val="005C4BA0"/>
    <w:rsid w:val="005D4EF4"/>
    <w:rsid w:val="005D6A9B"/>
    <w:rsid w:val="005E24DF"/>
    <w:rsid w:val="005F3D0F"/>
    <w:rsid w:val="005F3FA7"/>
    <w:rsid w:val="00607DB2"/>
    <w:rsid w:val="00610D9E"/>
    <w:rsid w:val="0061133F"/>
    <w:rsid w:val="00612377"/>
    <w:rsid w:val="00612379"/>
    <w:rsid w:val="00613414"/>
    <w:rsid w:val="00613AD4"/>
    <w:rsid w:val="0061555F"/>
    <w:rsid w:val="00615E39"/>
    <w:rsid w:val="00623264"/>
    <w:rsid w:val="00627835"/>
    <w:rsid w:val="0063448C"/>
    <w:rsid w:val="00641200"/>
    <w:rsid w:val="006518C7"/>
    <w:rsid w:val="00663908"/>
    <w:rsid w:val="006655D3"/>
    <w:rsid w:val="00667404"/>
    <w:rsid w:val="006767AA"/>
    <w:rsid w:val="00677947"/>
    <w:rsid w:val="00687EB4"/>
    <w:rsid w:val="006956FC"/>
    <w:rsid w:val="006A4A4E"/>
    <w:rsid w:val="006B17D2"/>
    <w:rsid w:val="006B5795"/>
    <w:rsid w:val="006C224E"/>
    <w:rsid w:val="006D201F"/>
    <w:rsid w:val="006D780A"/>
    <w:rsid w:val="006E3F4B"/>
    <w:rsid w:val="00723025"/>
    <w:rsid w:val="00727189"/>
    <w:rsid w:val="00731C8F"/>
    <w:rsid w:val="00732DEC"/>
    <w:rsid w:val="00735BD5"/>
    <w:rsid w:val="007374EC"/>
    <w:rsid w:val="00744A9B"/>
    <w:rsid w:val="00745491"/>
    <w:rsid w:val="00751D23"/>
    <w:rsid w:val="0075564D"/>
    <w:rsid w:val="007556F6"/>
    <w:rsid w:val="00760EEF"/>
    <w:rsid w:val="00761761"/>
    <w:rsid w:val="00764373"/>
    <w:rsid w:val="007723E0"/>
    <w:rsid w:val="00776317"/>
    <w:rsid w:val="0077763A"/>
    <w:rsid w:val="00777EE5"/>
    <w:rsid w:val="00784836"/>
    <w:rsid w:val="0079023E"/>
    <w:rsid w:val="007930E0"/>
    <w:rsid w:val="007A2854"/>
    <w:rsid w:val="007C139B"/>
    <w:rsid w:val="007C6459"/>
    <w:rsid w:val="007D0B9D"/>
    <w:rsid w:val="007D19B0"/>
    <w:rsid w:val="007D7752"/>
    <w:rsid w:val="007F1560"/>
    <w:rsid w:val="007F498F"/>
    <w:rsid w:val="007F4999"/>
    <w:rsid w:val="007F6BE3"/>
    <w:rsid w:val="00803CC0"/>
    <w:rsid w:val="0080679D"/>
    <w:rsid w:val="00807F07"/>
    <w:rsid w:val="008108B0"/>
    <w:rsid w:val="00811B20"/>
    <w:rsid w:val="0081734A"/>
    <w:rsid w:val="00820ADA"/>
    <w:rsid w:val="0082296E"/>
    <w:rsid w:val="00823721"/>
    <w:rsid w:val="008238CB"/>
    <w:rsid w:val="008239F1"/>
    <w:rsid w:val="00824099"/>
    <w:rsid w:val="00825C5C"/>
    <w:rsid w:val="008334D4"/>
    <w:rsid w:val="008362C4"/>
    <w:rsid w:val="00842EE6"/>
    <w:rsid w:val="008447D6"/>
    <w:rsid w:val="00867A03"/>
    <w:rsid w:val="00867AC1"/>
    <w:rsid w:val="00875F7B"/>
    <w:rsid w:val="008907DC"/>
    <w:rsid w:val="008A743F"/>
    <w:rsid w:val="008B494D"/>
    <w:rsid w:val="008C0970"/>
    <w:rsid w:val="008C3ECC"/>
    <w:rsid w:val="008C7B58"/>
    <w:rsid w:val="008D2CF7"/>
    <w:rsid w:val="008D5BCC"/>
    <w:rsid w:val="008E38CA"/>
    <w:rsid w:val="008E734A"/>
    <w:rsid w:val="008F343B"/>
    <w:rsid w:val="00900C26"/>
    <w:rsid w:val="0090197F"/>
    <w:rsid w:val="00906DDC"/>
    <w:rsid w:val="00916B7C"/>
    <w:rsid w:val="009300CE"/>
    <w:rsid w:val="00932B5A"/>
    <w:rsid w:val="00934E09"/>
    <w:rsid w:val="00936253"/>
    <w:rsid w:val="00937AF6"/>
    <w:rsid w:val="00941413"/>
    <w:rsid w:val="00942BB3"/>
    <w:rsid w:val="00943930"/>
    <w:rsid w:val="00952DD4"/>
    <w:rsid w:val="009562C0"/>
    <w:rsid w:val="009628A1"/>
    <w:rsid w:val="009678DE"/>
    <w:rsid w:val="00970FED"/>
    <w:rsid w:val="00972147"/>
    <w:rsid w:val="00974E05"/>
    <w:rsid w:val="00992D82"/>
    <w:rsid w:val="0099668A"/>
    <w:rsid w:val="00997029"/>
    <w:rsid w:val="009A0C94"/>
    <w:rsid w:val="009A60F5"/>
    <w:rsid w:val="009C3347"/>
    <w:rsid w:val="009D690D"/>
    <w:rsid w:val="009E3C15"/>
    <w:rsid w:val="009E65B6"/>
    <w:rsid w:val="009F57BC"/>
    <w:rsid w:val="00A07942"/>
    <w:rsid w:val="00A1496F"/>
    <w:rsid w:val="00A240CE"/>
    <w:rsid w:val="00A24C10"/>
    <w:rsid w:val="00A30E3C"/>
    <w:rsid w:val="00A3348B"/>
    <w:rsid w:val="00A34B37"/>
    <w:rsid w:val="00A4228F"/>
    <w:rsid w:val="00A42AC3"/>
    <w:rsid w:val="00A430CF"/>
    <w:rsid w:val="00A54309"/>
    <w:rsid w:val="00A5473F"/>
    <w:rsid w:val="00A55D6C"/>
    <w:rsid w:val="00A9076F"/>
    <w:rsid w:val="00A9093C"/>
    <w:rsid w:val="00A9119E"/>
    <w:rsid w:val="00AA1B74"/>
    <w:rsid w:val="00AA6251"/>
    <w:rsid w:val="00AA731D"/>
    <w:rsid w:val="00AB2B93"/>
    <w:rsid w:val="00AB2F21"/>
    <w:rsid w:val="00AB530F"/>
    <w:rsid w:val="00AB76FD"/>
    <w:rsid w:val="00AB7E5B"/>
    <w:rsid w:val="00AD6EA9"/>
    <w:rsid w:val="00AE0E09"/>
    <w:rsid w:val="00AE0EF1"/>
    <w:rsid w:val="00AE2937"/>
    <w:rsid w:val="00AE5737"/>
    <w:rsid w:val="00AE7054"/>
    <w:rsid w:val="00AF3827"/>
    <w:rsid w:val="00AF6CF6"/>
    <w:rsid w:val="00AF7303"/>
    <w:rsid w:val="00B04654"/>
    <w:rsid w:val="00B07301"/>
    <w:rsid w:val="00B07425"/>
    <w:rsid w:val="00B224DE"/>
    <w:rsid w:val="00B23801"/>
    <w:rsid w:val="00B252EB"/>
    <w:rsid w:val="00B27EAD"/>
    <w:rsid w:val="00B34C30"/>
    <w:rsid w:val="00B46575"/>
    <w:rsid w:val="00B55E56"/>
    <w:rsid w:val="00B61B03"/>
    <w:rsid w:val="00B676AD"/>
    <w:rsid w:val="00B81DB7"/>
    <w:rsid w:val="00B82D54"/>
    <w:rsid w:val="00B84B34"/>
    <w:rsid w:val="00B84BBD"/>
    <w:rsid w:val="00B91C1B"/>
    <w:rsid w:val="00B945DE"/>
    <w:rsid w:val="00B94604"/>
    <w:rsid w:val="00B94A4D"/>
    <w:rsid w:val="00B96D45"/>
    <w:rsid w:val="00BA1947"/>
    <w:rsid w:val="00BA2EEC"/>
    <w:rsid w:val="00BA43FB"/>
    <w:rsid w:val="00BC127D"/>
    <w:rsid w:val="00BC1FE6"/>
    <w:rsid w:val="00BC3460"/>
    <w:rsid w:val="00BD1A54"/>
    <w:rsid w:val="00BD5757"/>
    <w:rsid w:val="00BE1231"/>
    <w:rsid w:val="00BF212C"/>
    <w:rsid w:val="00BF3941"/>
    <w:rsid w:val="00BF697B"/>
    <w:rsid w:val="00BF6F19"/>
    <w:rsid w:val="00C061B6"/>
    <w:rsid w:val="00C22F25"/>
    <w:rsid w:val="00C2446C"/>
    <w:rsid w:val="00C36AE5"/>
    <w:rsid w:val="00C4117D"/>
    <w:rsid w:val="00C41F17"/>
    <w:rsid w:val="00C4585C"/>
    <w:rsid w:val="00C5280D"/>
    <w:rsid w:val="00C55F78"/>
    <w:rsid w:val="00C5791C"/>
    <w:rsid w:val="00C66290"/>
    <w:rsid w:val="00C72B7A"/>
    <w:rsid w:val="00C75998"/>
    <w:rsid w:val="00C75FF4"/>
    <w:rsid w:val="00C84B56"/>
    <w:rsid w:val="00C973F2"/>
    <w:rsid w:val="00CA06CC"/>
    <w:rsid w:val="00CA304C"/>
    <w:rsid w:val="00CA449D"/>
    <w:rsid w:val="00CA774A"/>
    <w:rsid w:val="00CB1E15"/>
    <w:rsid w:val="00CC11B0"/>
    <w:rsid w:val="00CC4EA0"/>
    <w:rsid w:val="00CD366F"/>
    <w:rsid w:val="00CD668D"/>
    <w:rsid w:val="00CE1419"/>
    <w:rsid w:val="00CE3581"/>
    <w:rsid w:val="00CE767B"/>
    <w:rsid w:val="00CF7E36"/>
    <w:rsid w:val="00D0002A"/>
    <w:rsid w:val="00D070FD"/>
    <w:rsid w:val="00D135ED"/>
    <w:rsid w:val="00D179CE"/>
    <w:rsid w:val="00D24E8D"/>
    <w:rsid w:val="00D3708D"/>
    <w:rsid w:val="00D40426"/>
    <w:rsid w:val="00D41A77"/>
    <w:rsid w:val="00D43684"/>
    <w:rsid w:val="00D51088"/>
    <w:rsid w:val="00D57C96"/>
    <w:rsid w:val="00D61804"/>
    <w:rsid w:val="00D70217"/>
    <w:rsid w:val="00D854B0"/>
    <w:rsid w:val="00D902DF"/>
    <w:rsid w:val="00D91203"/>
    <w:rsid w:val="00D95174"/>
    <w:rsid w:val="00D9733D"/>
    <w:rsid w:val="00DA0863"/>
    <w:rsid w:val="00DA6F36"/>
    <w:rsid w:val="00DB2E18"/>
    <w:rsid w:val="00DB596E"/>
    <w:rsid w:val="00DB7773"/>
    <w:rsid w:val="00DC00EA"/>
    <w:rsid w:val="00DC3472"/>
    <w:rsid w:val="00DC5DEE"/>
    <w:rsid w:val="00DF0CC2"/>
    <w:rsid w:val="00DF14C4"/>
    <w:rsid w:val="00E2212C"/>
    <w:rsid w:val="00E276CB"/>
    <w:rsid w:val="00E32F7E"/>
    <w:rsid w:val="00E37DCA"/>
    <w:rsid w:val="00E4080D"/>
    <w:rsid w:val="00E42930"/>
    <w:rsid w:val="00E55E38"/>
    <w:rsid w:val="00E61C49"/>
    <w:rsid w:val="00E72D49"/>
    <w:rsid w:val="00E7593C"/>
    <w:rsid w:val="00E7678A"/>
    <w:rsid w:val="00E9274B"/>
    <w:rsid w:val="00E935F1"/>
    <w:rsid w:val="00E94A81"/>
    <w:rsid w:val="00E977F9"/>
    <w:rsid w:val="00EA1FFB"/>
    <w:rsid w:val="00EB048E"/>
    <w:rsid w:val="00EB1962"/>
    <w:rsid w:val="00EB7321"/>
    <w:rsid w:val="00EC230B"/>
    <w:rsid w:val="00ED42A8"/>
    <w:rsid w:val="00EE34DF"/>
    <w:rsid w:val="00EF2F89"/>
    <w:rsid w:val="00F0027E"/>
    <w:rsid w:val="00F05E5D"/>
    <w:rsid w:val="00F1237A"/>
    <w:rsid w:val="00F20A2B"/>
    <w:rsid w:val="00F22CBD"/>
    <w:rsid w:val="00F23923"/>
    <w:rsid w:val="00F23E20"/>
    <w:rsid w:val="00F27C33"/>
    <w:rsid w:val="00F3503A"/>
    <w:rsid w:val="00F448CD"/>
    <w:rsid w:val="00F45372"/>
    <w:rsid w:val="00F50671"/>
    <w:rsid w:val="00F560F7"/>
    <w:rsid w:val="00F624BF"/>
    <w:rsid w:val="00F6334D"/>
    <w:rsid w:val="00F70F9B"/>
    <w:rsid w:val="00F70FE9"/>
    <w:rsid w:val="00F84F71"/>
    <w:rsid w:val="00F9497D"/>
    <w:rsid w:val="00FA49AB"/>
    <w:rsid w:val="00FA5BBD"/>
    <w:rsid w:val="00FB2701"/>
    <w:rsid w:val="00FB6FC5"/>
    <w:rsid w:val="00FC14CF"/>
    <w:rsid w:val="00FC4145"/>
    <w:rsid w:val="00FC6338"/>
    <w:rsid w:val="00FD2B43"/>
    <w:rsid w:val="00FD4B48"/>
    <w:rsid w:val="00FE39C7"/>
    <w:rsid w:val="00FE69F1"/>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8907DC"/>
    <w:pPr>
      <w:keepNext/>
      <w:jc w:val="both"/>
      <w:outlineLvl w:val="0"/>
    </w:pPr>
    <w:rPr>
      <w:rFonts w:ascii="Arial" w:hAnsi="Arial"/>
      <w:caps/>
      <w:lang w:val="fr-FR"/>
    </w:rPr>
  </w:style>
  <w:style w:type="paragraph" w:styleId="Heading2">
    <w:name w:val="heading 2"/>
    <w:next w:val="Normal"/>
    <w:link w:val="Heading2Char"/>
    <w:autoRedefine/>
    <w:qFormat/>
    <w:rsid w:val="006A4A4E"/>
    <w:pPr>
      <w:keepNext/>
      <w:jc w:val="both"/>
      <w:outlineLvl w:val="1"/>
    </w:pPr>
    <w:rPr>
      <w:rFonts w:ascii="Arial" w:hAnsi="Arial"/>
      <w:u w:val="single"/>
    </w:rPr>
  </w:style>
  <w:style w:type="paragraph" w:styleId="Heading3">
    <w:name w:val="heading 3"/>
    <w:next w:val="Normal"/>
    <w:autoRedefine/>
    <w:qFormat/>
    <w:rsid w:val="00303501"/>
    <w:pPr>
      <w:keepNext/>
      <w:jc w:val="both"/>
      <w:outlineLvl w:val="2"/>
    </w:pPr>
    <w:rPr>
      <w:rFonts w:ascii="Arial" w:hAnsi="Arial"/>
      <w:i/>
      <w:snapToGrid w:val="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Cambria" w:hAnsi="Cambria"/>
      <w:i/>
      <w:iCs/>
      <w:color w:val="404040"/>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678DE"/>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F23923"/>
    <w:pPr>
      <w:keepNext/>
      <w:tabs>
        <w:tab w:val="right" w:leader="dot" w:pos="9639"/>
      </w:tabs>
      <w:spacing w:before="120"/>
      <w:ind w:left="568" w:right="851" w:hanging="284"/>
      <w:contextualSpacing/>
    </w:pPr>
    <w:rPr>
      <w:rFonts w:ascii="Arial" w:hAnsi="Arial"/>
      <w:smallCaps/>
    </w:rPr>
  </w:style>
  <w:style w:type="paragraph" w:styleId="TOC3">
    <w:name w:val="toc 3"/>
    <w:next w:val="Normal"/>
    <w:autoRedefine/>
    <w:uiPriority w:val="39"/>
    <w:rsid w:val="004816A1"/>
    <w:pPr>
      <w:tabs>
        <w:tab w:val="right" w:leader="dot" w:pos="9639"/>
      </w:tabs>
      <w:spacing w:before="120"/>
      <w:ind w:left="964" w:right="851" w:hanging="396"/>
      <w:contextualSpacing/>
    </w:pPr>
    <w:rPr>
      <w:rFonts w:ascii="Arial" w:hAnsi="Arial"/>
      <w:sz w:val="18"/>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816A1"/>
    <w:pPr>
      <w:tabs>
        <w:tab w:val="left" w:pos="454"/>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link w:val="CommentText"/>
    <w:rsid w:val="007930E0"/>
    <w:rPr>
      <w:sz w:val="22"/>
      <w:szCs w:val="22"/>
      <w:lang w:eastAsia="ja-JP"/>
    </w:rPr>
  </w:style>
  <w:style w:type="character" w:customStyle="1" w:styleId="Heading7Char">
    <w:name w:val="Heading 7 Char"/>
    <w:link w:val="Heading7"/>
    <w:semiHidden/>
    <w:rsid w:val="007C6459"/>
    <w:rPr>
      <w:rFonts w:ascii="Cambria" w:eastAsia="Times New Roman" w:hAnsi="Cambria" w:cs="Times New Roman"/>
      <w:i/>
      <w:iCs/>
      <w:color w:val="404040"/>
    </w:rPr>
  </w:style>
  <w:style w:type="character" w:customStyle="1" w:styleId="DecisionParagraphsChar">
    <w:name w:val="DecisionParagraphs Char"/>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Cambria" w:hAnsi="Cambria"/>
      <w:b/>
      <w:bCs/>
      <w:caps w:val="0"/>
      <w:color w:val="365F91"/>
      <w:sz w:val="28"/>
      <w:szCs w:val="28"/>
      <w:lang w:eastAsia="ja-JP"/>
    </w:rPr>
  </w:style>
  <w:style w:type="character" w:customStyle="1" w:styleId="Heading2Char">
    <w:name w:val="Heading 2 Char"/>
    <w:link w:val="Heading2"/>
    <w:rsid w:val="006A4A4E"/>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4D6E10"/>
    <w:rPr>
      <w:b w:val="0"/>
      <w:bCs/>
      <w:smallCaps/>
      <w:spacing w:val="5"/>
    </w:rPr>
  </w:style>
  <w:style w:type="paragraph" w:customStyle="1" w:styleId="std">
    <w:name w:val="std"/>
    <w:basedOn w:val="Normal"/>
    <w:rsid w:val="00A5473F"/>
    <w:pPr>
      <w:jc w:val="left"/>
    </w:pPr>
    <w:rPr>
      <w:rFonts w:ascii="Times New Roman" w:hAnsi="Times New Roman"/>
      <w:sz w:val="24"/>
      <w:szCs w:val="24"/>
      <w:lang w:eastAsia="fr-FR"/>
    </w:rPr>
  </w:style>
  <w:style w:type="character" w:customStyle="1" w:styleId="apple-converted-space">
    <w:name w:val="apple-converted-space"/>
    <w:basedOn w:val="DefaultParagraphFont"/>
    <w:rsid w:val="00AE5737"/>
  </w:style>
  <w:style w:type="character" w:styleId="CommentReference">
    <w:name w:val="annotation reference"/>
    <w:rsid w:val="00092F7D"/>
    <w:rPr>
      <w:sz w:val="16"/>
      <w:szCs w:val="16"/>
    </w:rPr>
  </w:style>
  <w:style w:type="paragraph" w:styleId="CommentSubject">
    <w:name w:val="annotation subject"/>
    <w:basedOn w:val="CommentText"/>
    <w:next w:val="CommentText"/>
    <w:link w:val="CommentSubjectChar"/>
    <w:rsid w:val="00092F7D"/>
    <w:pPr>
      <w:jc w:val="both"/>
    </w:pPr>
    <w:rPr>
      <w:rFonts w:ascii="Arial" w:hAnsi="Arial"/>
      <w:b/>
      <w:bCs/>
      <w:sz w:val="20"/>
      <w:szCs w:val="20"/>
      <w:lang w:eastAsia="en-US"/>
    </w:rPr>
  </w:style>
  <w:style w:type="character" w:customStyle="1" w:styleId="CommentSubjectChar">
    <w:name w:val="Comment Subject Char"/>
    <w:link w:val="CommentSubject"/>
    <w:rsid w:val="00092F7D"/>
    <w:rPr>
      <w:rFonts w:ascii="Arial" w:hAnsi="Arial"/>
      <w:b/>
      <w:bCs/>
      <w:sz w:val="22"/>
      <w:szCs w:val="22"/>
      <w:lang w:val="fr-FR" w:eastAsia="ja-JP"/>
    </w:rPr>
  </w:style>
  <w:style w:type="paragraph" w:styleId="Revision">
    <w:name w:val="Revision"/>
    <w:hidden/>
    <w:uiPriority w:val="99"/>
    <w:semiHidden/>
    <w:rsid w:val="004C2CCE"/>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8907DC"/>
    <w:pPr>
      <w:keepNext/>
      <w:jc w:val="both"/>
      <w:outlineLvl w:val="0"/>
    </w:pPr>
    <w:rPr>
      <w:rFonts w:ascii="Arial" w:hAnsi="Arial"/>
      <w:caps/>
      <w:lang w:val="fr-FR"/>
    </w:rPr>
  </w:style>
  <w:style w:type="paragraph" w:styleId="Heading2">
    <w:name w:val="heading 2"/>
    <w:next w:val="Normal"/>
    <w:link w:val="Heading2Char"/>
    <w:autoRedefine/>
    <w:qFormat/>
    <w:rsid w:val="006A4A4E"/>
    <w:pPr>
      <w:keepNext/>
      <w:jc w:val="both"/>
      <w:outlineLvl w:val="1"/>
    </w:pPr>
    <w:rPr>
      <w:rFonts w:ascii="Arial" w:hAnsi="Arial"/>
      <w:u w:val="single"/>
    </w:rPr>
  </w:style>
  <w:style w:type="paragraph" w:styleId="Heading3">
    <w:name w:val="heading 3"/>
    <w:next w:val="Normal"/>
    <w:autoRedefine/>
    <w:qFormat/>
    <w:rsid w:val="00303501"/>
    <w:pPr>
      <w:keepNext/>
      <w:jc w:val="both"/>
      <w:outlineLvl w:val="2"/>
    </w:pPr>
    <w:rPr>
      <w:rFonts w:ascii="Arial" w:hAnsi="Arial"/>
      <w:i/>
      <w:snapToGrid w:val="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Cambria" w:hAnsi="Cambria"/>
      <w:i/>
      <w:iCs/>
      <w:color w:val="404040"/>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678DE"/>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F23923"/>
    <w:pPr>
      <w:keepNext/>
      <w:tabs>
        <w:tab w:val="right" w:leader="dot" w:pos="9639"/>
      </w:tabs>
      <w:spacing w:before="120"/>
      <w:ind w:left="568" w:right="851" w:hanging="284"/>
      <w:contextualSpacing/>
    </w:pPr>
    <w:rPr>
      <w:rFonts w:ascii="Arial" w:hAnsi="Arial"/>
      <w:smallCaps/>
    </w:rPr>
  </w:style>
  <w:style w:type="paragraph" w:styleId="TOC3">
    <w:name w:val="toc 3"/>
    <w:next w:val="Normal"/>
    <w:autoRedefine/>
    <w:uiPriority w:val="39"/>
    <w:rsid w:val="004816A1"/>
    <w:pPr>
      <w:tabs>
        <w:tab w:val="right" w:leader="dot" w:pos="9639"/>
      </w:tabs>
      <w:spacing w:before="120"/>
      <w:ind w:left="964" w:right="851" w:hanging="396"/>
      <w:contextualSpacing/>
    </w:pPr>
    <w:rPr>
      <w:rFonts w:ascii="Arial" w:hAnsi="Arial"/>
      <w:sz w:val="18"/>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816A1"/>
    <w:pPr>
      <w:tabs>
        <w:tab w:val="left" w:pos="454"/>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link w:val="CommentText"/>
    <w:rsid w:val="007930E0"/>
    <w:rPr>
      <w:sz w:val="22"/>
      <w:szCs w:val="22"/>
      <w:lang w:eastAsia="ja-JP"/>
    </w:rPr>
  </w:style>
  <w:style w:type="character" w:customStyle="1" w:styleId="Heading7Char">
    <w:name w:val="Heading 7 Char"/>
    <w:link w:val="Heading7"/>
    <w:semiHidden/>
    <w:rsid w:val="007C6459"/>
    <w:rPr>
      <w:rFonts w:ascii="Cambria" w:eastAsia="Times New Roman" w:hAnsi="Cambria" w:cs="Times New Roman"/>
      <w:i/>
      <w:iCs/>
      <w:color w:val="404040"/>
    </w:rPr>
  </w:style>
  <w:style w:type="character" w:customStyle="1" w:styleId="DecisionParagraphsChar">
    <w:name w:val="DecisionParagraphs Char"/>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Cambria" w:hAnsi="Cambria"/>
      <w:b/>
      <w:bCs/>
      <w:caps w:val="0"/>
      <w:color w:val="365F91"/>
      <w:sz w:val="28"/>
      <w:szCs w:val="28"/>
      <w:lang w:eastAsia="ja-JP"/>
    </w:rPr>
  </w:style>
  <w:style w:type="character" w:customStyle="1" w:styleId="Heading2Char">
    <w:name w:val="Heading 2 Char"/>
    <w:link w:val="Heading2"/>
    <w:rsid w:val="006A4A4E"/>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4D6E10"/>
    <w:rPr>
      <w:b w:val="0"/>
      <w:bCs/>
      <w:smallCaps/>
      <w:spacing w:val="5"/>
    </w:rPr>
  </w:style>
  <w:style w:type="paragraph" w:customStyle="1" w:styleId="std">
    <w:name w:val="std"/>
    <w:basedOn w:val="Normal"/>
    <w:rsid w:val="00A5473F"/>
    <w:pPr>
      <w:jc w:val="left"/>
    </w:pPr>
    <w:rPr>
      <w:rFonts w:ascii="Times New Roman" w:hAnsi="Times New Roman"/>
      <w:sz w:val="24"/>
      <w:szCs w:val="24"/>
      <w:lang w:eastAsia="fr-FR"/>
    </w:rPr>
  </w:style>
  <w:style w:type="character" w:customStyle="1" w:styleId="apple-converted-space">
    <w:name w:val="apple-converted-space"/>
    <w:basedOn w:val="DefaultParagraphFont"/>
    <w:rsid w:val="00AE5737"/>
  </w:style>
  <w:style w:type="character" w:styleId="CommentReference">
    <w:name w:val="annotation reference"/>
    <w:rsid w:val="00092F7D"/>
    <w:rPr>
      <w:sz w:val="16"/>
      <w:szCs w:val="16"/>
    </w:rPr>
  </w:style>
  <w:style w:type="paragraph" w:styleId="CommentSubject">
    <w:name w:val="annotation subject"/>
    <w:basedOn w:val="CommentText"/>
    <w:next w:val="CommentText"/>
    <w:link w:val="CommentSubjectChar"/>
    <w:rsid w:val="00092F7D"/>
    <w:pPr>
      <w:jc w:val="both"/>
    </w:pPr>
    <w:rPr>
      <w:rFonts w:ascii="Arial" w:hAnsi="Arial"/>
      <w:b/>
      <w:bCs/>
      <w:sz w:val="20"/>
      <w:szCs w:val="20"/>
      <w:lang w:eastAsia="en-US"/>
    </w:rPr>
  </w:style>
  <w:style w:type="character" w:customStyle="1" w:styleId="CommentSubjectChar">
    <w:name w:val="Comment Subject Char"/>
    <w:link w:val="CommentSubject"/>
    <w:rsid w:val="00092F7D"/>
    <w:rPr>
      <w:rFonts w:ascii="Arial" w:hAnsi="Arial"/>
      <w:b/>
      <w:bCs/>
      <w:sz w:val="22"/>
      <w:szCs w:val="22"/>
      <w:lang w:val="fr-FR" w:eastAsia="ja-JP"/>
    </w:rPr>
  </w:style>
  <w:style w:type="paragraph" w:styleId="Revision">
    <w:name w:val="Revision"/>
    <w:hidden/>
    <w:uiPriority w:val="99"/>
    <w:semiHidden/>
    <w:rsid w:val="004C2CC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pov.int/about/en/benefits_upov_system.html"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75961-7E68-4AB1-837F-805FD810311D}">
  <ds:schemaRefs>
    <ds:schemaRef ds:uri="http://schemas.openxmlformats.org/officeDocument/2006/bibliography"/>
  </ds:schemaRefs>
</ds:datastoreItem>
</file>

<file path=customXml/itemProps2.xml><?xml version="1.0" encoding="utf-8"?>
<ds:datastoreItem xmlns:ds="http://schemas.openxmlformats.org/officeDocument/2006/customXml" ds:itemID="{54A0D42E-E1AF-41FC-A0AB-0720887F39F5}">
  <ds:schemaRefs>
    <ds:schemaRef ds:uri="http://schemas.openxmlformats.org/officeDocument/2006/bibliography"/>
  </ds:schemaRefs>
</ds:datastoreItem>
</file>

<file path=customXml/itemProps3.xml><?xml version="1.0" encoding="utf-8"?>
<ds:datastoreItem xmlns:ds="http://schemas.openxmlformats.org/officeDocument/2006/customXml" ds:itemID="{697150AB-7678-4640-BE8E-022D0DF2363B}">
  <ds:schemaRefs>
    <ds:schemaRef ds:uri="http://schemas.openxmlformats.org/officeDocument/2006/bibliography"/>
  </ds:schemaRefs>
</ds:datastoreItem>
</file>

<file path=customXml/itemProps4.xml><?xml version="1.0" encoding="utf-8"?>
<ds:datastoreItem xmlns:ds="http://schemas.openxmlformats.org/officeDocument/2006/customXml" ds:itemID="{BACD927D-1F5C-41B8-A266-E57353E99578}">
  <ds:schemaRefs>
    <ds:schemaRef ds:uri="http://schemas.openxmlformats.org/officeDocument/2006/bibliography"/>
  </ds:schemaRefs>
</ds:datastoreItem>
</file>

<file path=customXml/itemProps5.xml><?xml version="1.0" encoding="utf-8"?>
<ds:datastoreItem xmlns:ds="http://schemas.openxmlformats.org/officeDocument/2006/customXml" ds:itemID="{10B3C865-FCB4-4035-B07C-0CF9FED3BD73}">
  <ds:schemaRefs>
    <ds:schemaRef ds:uri="http://schemas.openxmlformats.org/officeDocument/2006/bibliography"/>
  </ds:schemaRefs>
</ds:datastoreItem>
</file>

<file path=customXml/itemProps6.xml><?xml version="1.0" encoding="utf-8"?>
<ds:datastoreItem xmlns:ds="http://schemas.openxmlformats.org/officeDocument/2006/customXml" ds:itemID="{7E31F50B-2003-4B87-83A2-959FAA44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18</Pages>
  <Words>8320</Words>
  <Characters>47425</Characters>
  <Application>Microsoft Office Word</Application>
  <DocSecurity>0</DocSecurity>
  <Lines>395</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55634</CharactersWithSpaces>
  <SharedDoc>false</SharedDoc>
  <HLinks>
    <vt:vector size="12" baseType="variant">
      <vt:variant>
        <vt:i4>6357071</vt:i4>
      </vt:variant>
      <vt:variant>
        <vt:i4>201</vt:i4>
      </vt:variant>
      <vt:variant>
        <vt:i4>0</vt:i4>
      </vt:variant>
      <vt:variant>
        <vt:i4>5</vt:i4>
      </vt:variant>
      <vt:variant>
        <vt:lpwstr>http://www.upov.int/meetings/en/details.jsp?meeting_id=29782</vt:lpwstr>
      </vt:variant>
      <vt:variant>
        <vt:lpwstr/>
      </vt:variant>
      <vt:variant>
        <vt:i4>1835073</vt:i4>
      </vt:variant>
      <vt:variant>
        <vt:i4>194</vt:i4>
      </vt:variant>
      <vt:variant>
        <vt:i4>0</vt:i4>
      </vt:variant>
      <vt:variant>
        <vt:i4>5</vt:i4>
      </vt:variant>
      <vt:variant>
        <vt:lpwstr>http://www.upov.int/about/en/benefits_upov_system.html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MFB</cp:keywords>
  <cp:lastModifiedBy>SANCHEZ-VIZCAINO GOMEZ Rosa Maria</cp:lastModifiedBy>
  <cp:revision>33</cp:revision>
  <cp:lastPrinted>2014-03-03T15:32:00Z</cp:lastPrinted>
  <dcterms:created xsi:type="dcterms:W3CDTF">2014-02-20T11:34:00Z</dcterms:created>
  <dcterms:modified xsi:type="dcterms:W3CDTF">2014-03-03T15:32:00Z</dcterms:modified>
</cp:coreProperties>
</file>