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439FD" w14:paraId="03112144" w14:textId="77777777" w:rsidTr="00EB4E9C">
        <w:tc>
          <w:tcPr>
            <w:tcW w:w="6522" w:type="dxa"/>
          </w:tcPr>
          <w:p w14:paraId="37B36333" w14:textId="77777777" w:rsidR="00DC3802" w:rsidRPr="000439FD" w:rsidRDefault="00DC3802" w:rsidP="00AC2883">
            <w:r w:rsidRPr="000439FD">
              <w:drawing>
                <wp:inline distT="0" distB="0" distL="0" distR="0" wp14:anchorId="6EE9DF66" wp14:editId="1D2C337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7F16734" w14:textId="77B20F50" w:rsidR="00946880" w:rsidRPr="000439FD" w:rsidRDefault="000439FD">
            <w:pPr>
              <w:pStyle w:val="Lettrine"/>
            </w:pPr>
            <w:r>
              <w:t>F</w:t>
            </w:r>
          </w:p>
        </w:tc>
      </w:tr>
      <w:tr w:rsidR="00DC3802" w:rsidRPr="000439FD" w14:paraId="66F57297" w14:textId="77777777" w:rsidTr="00645CA8">
        <w:trPr>
          <w:trHeight w:val="219"/>
        </w:trPr>
        <w:tc>
          <w:tcPr>
            <w:tcW w:w="6522" w:type="dxa"/>
          </w:tcPr>
          <w:p w14:paraId="4335EC6B" w14:textId="77777777" w:rsidR="00946880" w:rsidRPr="000439FD" w:rsidRDefault="00127877">
            <w:pPr>
              <w:pStyle w:val="upove"/>
            </w:pPr>
            <w:r w:rsidRPr="000439FD">
              <w:t>Union internationale pour la protection des obtentions végétales</w:t>
            </w:r>
          </w:p>
        </w:tc>
        <w:tc>
          <w:tcPr>
            <w:tcW w:w="3117" w:type="dxa"/>
          </w:tcPr>
          <w:p w14:paraId="06BB9FFD" w14:textId="77777777" w:rsidR="00DC3802" w:rsidRPr="000439FD" w:rsidRDefault="00DC3802" w:rsidP="00DA4973"/>
        </w:tc>
      </w:tr>
    </w:tbl>
    <w:p w14:paraId="713A0835" w14:textId="77777777" w:rsidR="00DC3802" w:rsidRPr="000439FD" w:rsidRDefault="00DC3802" w:rsidP="00DC3802"/>
    <w:p w14:paraId="5A59D509" w14:textId="77777777" w:rsidR="00DA4973" w:rsidRPr="000439F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439FD" w14:paraId="284D448B" w14:textId="77777777" w:rsidTr="00EB4E9C">
        <w:tc>
          <w:tcPr>
            <w:tcW w:w="6512" w:type="dxa"/>
          </w:tcPr>
          <w:p w14:paraId="434E96CE" w14:textId="123B68A4" w:rsidR="00946880" w:rsidRPr="000439FD" w:rsidRDefault="00127877">
            <w:pPr>
              <w:pStyle w:val="Sessiontc"/>
              <w:spacing w:line="240" w:lineRule="auto"/>
            </w:pPr>
            <w:r w:rsidRPr="000439FD">
              <w:rPr>
                <w:kern w:val="0"/>
              </w:rPr>
              <w:t xml:space="preserve">Réunion </w:t>
            </w:r>
            <w:r w:rsidR="006821B2" w:rsidRPr="000439FD">
              <w:rPr>
                <w:kern w:val="0"/>
              </w:rPr>
              <w:t xml:space="preserve">sur les </w:t>
            </w:r>
            <w:r w:rsidR="000439FD">
              <w:t>demandes</w:t>
            </w:r>
            <w:r w:rsidR="006821B2" w:rsidRPr="000439FD">
              <w:rPr>
                <w:kern w:val="0"/>
              </w:rPr>
              <w:t xml:space="preserve"> électroniques</w:t>
            </w:r>
          </w:p>
          <w:p w14:paraId="38FC4330" w14:textId="77777777" w:rsidR="00946880" w:rsidRPr="000439FD" w:rsidRDefault="00127877">
            <w:pPr>
              <w:pStyle w:val="Sessiontcplacedate"/>
              <w:contextualSpacing w:val="0"/>
            </w:pPr>
            <w:r w:rsidRPr="000439FD">
              <w:t xml:space="preserve">Quatrième </w:t>
            </w:r>
            <w:r w:rsidR="00A33150" w:rsidRPr="000439FD">
              <w:t>réunion</w:t>
            </w:r>
          </w:p>
          <w:p w14:paraId="40AA66EC" w14:textId="77777777" w:rsidR="00946880" w:rsidRPr="000439FD" w:rsidRDefault="00127877">
            <w:pPr>
              <w:pStyle w:val="Sessiontcplacedate"/>
              <w:spacing w:before="0"/>
              <w:contextualSpacing w:val="0"/>
              <w:rPr>
                <w:sz w:val="22"/>
              </w:rPr>
            </w:pPr>
            <w:r w:rsidRPr="000439FD">
              <w:t xml:space="preserve">Genève, </w:t>
            </w:r>
            <w:r w:rsidR="00304064" w:rsidRPr="000439FD">
              <w:t xml:space="preserve">22 octobre </w:t>
            </w:r>
            <w:r w:rsidR="0044443C" w:rsidRPr="000439FD">
              <w:t>2024</w:t>
            </w:r>
          </w:p>
        </w:tc>
        <w:tc>
          <w:tcPr>
            <w:tcW w:w="3127" w:type="dxa"/>
          </w:tcPr>
          <w:p w14:paraId="643B4772" w14:textId="77777777" w:rsidR="00946880" w:rsidRPr="000439FD" w:rsidRDefault="00526E87">
            <w:pPr>
              <w:pStyle w:val="Doccode"/>
              <w:spacing w:line="240" w:lineRule="exact"/>
              <w:rPr>
                <w:lang w:val="fr-FR"/>
              </w:rPr>
            </w:pPr>
            <w:r w:rsidRPr="000439FD">
              <w:rPr>
                <w:lang w:val="fr-FR"/>
              </w:rPr>
              <w:t>EAM/4/5</w:t>
            </w:r>
          </w:p>
          <w:p w14:paraId="5130C6D7" w14:textId="4B3A8AB0" w:rsidR="00946880" w:rsidRPr="000439FD" w:rsidRDefault="00127877">
            <w:pPr>
              <w:pStyle w:val="Docoriginal"/>
            </w:pPr>
            <w:r w:rsidRPr="000439FD">
              <w:t>Original</w:t>
            </w:r>
            <w:r w:rsidR="000439FD">
              <w:t>:</w:t>
            </w:r>
            <w:r w:rsidRPr="000439FD">
              <w:rPr>
                <w:b w:val="0"/>
                <w:spacing w:val="0"/>
              </w:rPr>
              <w:t xml:space="preserve">  </w:t>
            </w:r>
            <w:r w:rsidR="000439FD">
              <w:rPr>
                <w:b w:val="0"/>
                <w:spacing w:val="0"/>
              </w:rPr>
              <w:t>a</w:t>
            </w:r>
            <w:r w:rsidRPr="000439FD">
              <w:rPr>
                <w:b w:val="0"/>
                <w:spacing w:val="0"/>
              </w:rPr>
              <w:t>nglais</w:t>
            </w:r>
          </w:p>
          <w:p w14:paraId="57490B8F" w14:textId="6D3E956A" w:rsidR="00946880" w:rsidRPr="000439FD" w:rsidRDefault="00127877">
            <w:pPr>
              <w:pStyle w:val="Docoriginal"/>
            </w:pPr>
            <w:r w:rsidRPr="000439FD">
              <w:t xml:space="preserve">Date:  </w:t>
            </w:r>
            <w:r w:rsidR="00035353" w:rsidRPr="000439FD">
              <w:rPr>
                <w:b w:val="0"/>
                <w:spacing w:val="0"/>
              </w:rPr>
              <w:t xml:space="preserve">23 </w:t>
            </w:r>
            <w:r w:rsidR="00033797" w:rsidRPr="000439FD">
              <w:rPr>
                <w:b w:val="0"/>
                <w:spacing w:val="0"/>
              </w:rPr>
              <w:t>septembre 2024</w:t>
            </w:r>
          </w:p>
        </w:tc>
      </w:tr>
    </w:tbl>
    <w:p w14:paraId="374B48EF" w14:textId="77777777" w:rsidR="00946880" w:rsidRPr="000439FD" w:rsidRDefault="00127877">
      <w:pPr>
        <w:pStyle w:val="Titleofdoc0"/>
      </w:pPr>
      <w:r w:rsidRPr="000439FD">
        <w:t xml:space="preserve">Module d'échange de rapports DHS UPOV </w:t>
      </w:r>
      <w:r w:rsidRPr="000439FD">
        <w:rPr>
          <w:caps w:val="0"/>
        </w:rPr>
        <w:t>e-PVP</w:t>
      </w:r>
    </w:p>
    <w:p w14:paraId="5E39DAC1" w14:textId="77777777" w:rsidR="00946880" w:rsidRPr="000439FD" w:rsidRDefault="00127877">
      <w:pPr>
        <w:pStyle w:val="preparedby1"/>
        <w:jc w:val="left"/>
      </w:pPr>
      <w:r w:rsidRPr="000439FD">
        <w:t>Document préparé par le Bureau de l'Union</w:t>
      </w:r>
    </w:p>
    <w:p w14:paraId="28E0D55A" w14:textId="77777777" w:rsidR="000439FD" w:rsidRPr="006365CE" w:rsidRDefault="000439FD" w:rsidP="000439FD">
      <w:pPr>
        <w:pStyle w:val="Disclaimer"/>
        <w:rPr>
          <w:lang w:val="fr-FR"/>
        </w:rPr>
      </w:pPr>
      <w:bookmarkStart w:id="0" w:name="_Toc475955714"/>
      <w:bookmarkStart w:id="1" w:name="_Toc477186291"/>
      <w:bookmarkStart w:id="2" w:name="_Toc126154036"/>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064D228C" w14:textId="515B5C38" w:rsidR="00946880" w:rsidRPr="000439FD" w:rsidRDefault="00127877">
      <w:pPr>
        <w:pStyle w:val="Heading1"/>
        <w:rPr>
          <w:lang w:val="fr-FR"/>
        </w:rPr>
      </w:pPr>
      <w:bookmarkStart w:id="3" w:name="_Toc180414685"/>
      <w:r w:rsidRPr="000439FD">
        <w:rPr>
          <w:lang w:val="fr-FR"/>
        </w:rPr>
        <w:t>RÉSUMÉ</w:t>
      </w:r>
      <w:bookmarkEnd w:id="0"/>
      <w:bookmarkEnd w:id="1"/>
      <w:bookmarkEnd w:id="2"/>
      <w:bookmarkEnd w:id="3"/>
    </w:p>
    <w:p w14:paraId="5832FEE5" w14:textId="77777777" w:rsidR="00526E87" w:rsidRPr="000439FD" w:rsidRDefault="00526E87" w:rsidP="00526E87">
      <w:pPr>
        <w:rPr>
          <w:rFonts w:cs="Arial"/>
          <w:color w:val="000000"/>
        </w:rPr>
      </w:pPr>
    </w:p>
    <w:p w14:paraId="37696D36" w14:textId="6D0387D9"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 xml:space="preserve">En septembre 2023, le module d'échange DHS </w:t>
      </w:r>
      <w:r w:rsidR="000439FD">
        <w:rPr>
          <w:rFonts w:cs="Arial"/>
          <w:color w:val="000000"/>
        </w:rPr>
        <w:t>UPOV e</w:t>
      </w:r>
      <w:r w:rsidR="000439FD">
        <w:rPr>
          <w:rFonts w:cs="Arial"/>
          <w:color w:val="000000"/>
        </w:rPr>
        <w:noBreakHyphen/>
        <w:t>PVP</w:t>
      </w:r>
      <w:r w:rsidRPr="000439FD">
        <w:rPr>
          <w:rFonts w:cs="Arial"/>
          <w:color w:val="000000"/>
        </w:rPr>
        <w:t xml:space="preserve"> a été lancé, le Viet Nam étant le seul participant dans un premier temps.  Par la suite, le Royaume des Pays-Bas a rejoint le système en décembre</w:t>
      </w:r>
      <w:r w:rsidR="000439FD">
        <w:rPr>
          <w:rFonts w:cs="Arial"/>
          <w:color w:val="000000"/>
        </w:rPr>
        <w:t> </w:t>
      </w:r>
      <w:r w:rsidRPr="000439FD">
        <w:rPr>
          <w:rFonts w:cs="Arial"/>
          <w:color w:val="000000"/>
        </w:rPr>
        <w:t>2023. Le 24 mai 2024, le Viet Nam a présenté sa première demande d'utilisation d'un rapport DHS du Royaume des Pays-Bas. La demande a été acceptée le 3 juillet 2024.</w:t>
      </w:r>
    </w:p>
    <w:p w14:paraId="628F782C" w14:textId="77777777" w:rsidR="00526E87" w:rsidRPr="000439FD" w:rsidRDefault="00526E87" w:rsidP="00526E87">
      <w:pPr>
        <w:rPr>
          <w:rFonts w:cs="Arial"/>
          <w:color w:val="000000"/>
        </w:rPr>
      </w:pPr>
    </w:p>
    <w:p w14:paraId="35021BBB" w14:textId="1364BCB6" w:rsidR="00946880" w:rsidRPr="000439FD" w:rsidRDefault="00127877">
      <w:r w:rsidRPr="000439FD">
        <w:fldChar w:fldCharType="begin"/>
      </w:r>
      <w:r w:rsidRPr="000439FD">
        <w:instrText xml:space="preserve"> AUTONUM  </w:instrText>
      </w:r>
      <w:r w:rsidRPr="000439FD">
        <w:fldChar w:fldCharType="end"/>
      </w:r>
      <w:r w:rsidRPr="000439FD">
        <w:tab/>
        <w:t xml:space="preserve">Au 4 mars 2024, l'intérêt pour l'adhésion au module d'échange DHS </w:t>
      </w:r>
      <w:r w:rsidR="000439FD">
        <w:t>UPOV e</w:t>
      </w:r>
      <w:r w:rsidR="000439FD">
        <w:noBreakHyphen/>
        <w:t>PVP</w:t>
      </w:r>
      <w:r w:rsidRPr="000439FD">
        <w:t xml:space="preserve"> s'est accru, </w:t>
      </w:r>
      <w:r w:rsidR="0004119D" w:rsidRPr="000439FD">
        <w:t>dix</w:t>
      </w:r>
      <w:r w:rsidR="000439FD">
        <w:t> </w:t>
      </w:r>
      <w:r w:rsidRPr="000439FD">
        <w:t>services supplémentaires ayant exprimé leur intention d'y adhérer en 2024</w:t>
      </w:r>
      <w:r w:rsidR="000439FD">
        <w:t>:</w:t>
      </w:r>
      <w:r w:rsidRPr="000439FD">
        <w:t xml:space="preserve">  Brésil, Canada, Union</w:t>
      </w:r>
      <w:r w:rsidR="000439FD">
        <w:t> </w:t>
      </w:r>
      <w:r w:rsidRPr="000439FD">
        <w:t xml:space="preserve">européenne, États-Unis d'Amérique, Géorgie, Ghana, </w:t>
      </w:r>
      <w:r w:rsidR="007F2723" w:rsidRPr="000439FD">
        <w:t xml:space="preserve">Japon, </w:t>
      </w:r>
      <w:r w:rsidRPr="000439FD">
        <w:t xml:space="preserve">Maroc, Nouvelle-Zélande et </w:t>
      </w:r>
      <w:r w:rsidR="000439FD">
        <w:br/>
      </w:r>
      <w:r w:rsidR="0004119D" w:rsidRPr="000439FD">
        <w:t>Royaume</w:t>
      </w:r>
      <w:r w:rsidR="000439FD">
        <w:rPr>
          <w:vertAlign w:val="subscript"/>
        </w:rPr>
        <w:t>-</w:t>
      </w:r>
      <w:r w:rsidR="0004119D" w:rsidRPr="000439FD">
        <w:t>Uni</w:t>
      </w:r>
      <w:r w:rsidRPr="000439FD">
        <w:t>.  L'Union européenne a notamment pour objectif de mettre à disposition plus de 30</w:t>
      </w:r>
      <w:r w:rsidR="000439FD">
        <w:t> </w:t>
      </w:r>
      <w:r w:rsidRPr="000439FD">
        <w:t xml:space="preserve">000 rapports.  Pour ce faire, les travaux préliminaires sur l'utilitaire de téléchargement en masse et les </w:t>
      </w:r>
      <w:r w:rsidR="00033797" w:rsidRPr="000439FD">
        <w:t>interfaces de programmation d'applications (</w:t>
      </w:r>
      <w:r w:rsidRPr="000439FD">
        <w:t>API</w:t>
      </w:r>
      <w:r w:rsidR="00033797" w:rsidRPr="000439FD">
        <w:t xml:space="preserve">) </w:t>
      </w:r>
      <w:r w:rsidRPr="000439FD">
        <w:t>sont essentiels.</w:t>
      </w:r>
    </w:p>
    <w:p w14:paraId="2CEEB66B" w14:textId="77777777" w:rsidR="00033797" w:rsidRPr="000439FD" w:rsidRDefault="00033797" w:rsidP="00033797"/>
    <w:p w14:paraId="5CD8E669" w14:textId="3A534CBB"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La structure de ce document est la suivante</w:t>
      </w:r>
      <w:r w:rsidR="000439FD">
        <w:rPr>
          <w:rFonts w:cs="Arial"/>
          <w:color w:val="000000"/>
        </w:rPr>
        <w:t>:</w:t>
      </w:r>
    </w:p>
    <w:p w14:paraId="7ADCE349" w14:textId="1ED0FEDB" w:rsidR="00FB3B65" w:rsidRDefault="00526E87">
      <w:pPr>
        <w:pStyle w:val="TOC1"/>
        <w:rPr>
          <w:rFonts w:asciiTheme="minorHAnsi" w:eastAsiaTheme="minorEastAsia" w:hAnsiTheme="minorHAnsi" w:cstheme="minorBidi"/>
          <w:bCs w:val="0"/>
          <w:caps w:val="0"/>
          <w:kern w:val="2"/>
          <w:sz w:val="24"/>
          <w:szCs w:val="24"/>
          <w:lang w:val="en-GB" w:eastAsia="en-GB"/>
          <w14:ligatures w14:val="standardContextual"/>
        </w:rPr>
      </w:pPr>
      <w:r w:rsidRPr="000439FD">
        <w:rPr>
          <w:rFonts w:cs="Times New Roman"/>
          <w:noProof w:val="0"/>
          <w:snapToGrid w:val="0"/>
          <w:szCs w:val="18"/>
        </w:rPr>
        <w:fldChar w:fldCharType="begin"/>
      </w:r>
      <w:r w:rsidR="00127877" w:rsidRPr="000439FD">
        <w:rPr>
          <w:noProof w:val="0"/>
          <w:snapToGrid w:val="0"/>
        </w:rPr>
        <w:instrText xml:space="preserve"> TOC \o "1-3" \h \z \u </w:instrText>
      </w:r>
      <w:r w:rsidRPr="000439FD">
        <w:rPr>
          <w:rFonts w:cs="Times New Roman"/>
          <w:noProof w:val="0"/>
          <w:snapToGrid w:val="0"/>
          <w:szCs w:val="18"/>
        </w:rPr>
        <w:fldChar w:fldCharType="separate"/>
      </w:r>
      <w:hyperlink w:anchor="_Toc180414685" w:history="1">
        <w:r w:rsidR="00FB3B65" w:rsidRPr="003E0015">
          <w:rPr>
            <w:rStyle w:val="Hyperlink"/>
          </w:rPr>
          <w:t>RÉSUMÉ</w:t>
        </w:r>
        <w:r w:rsidR="00FB3B65">
          <w:rPr>
            <w:webHidden/>
          </w:rPr>
          <w:tab/>
        </w:r>
        <w:r w:rsidR="00FB3B65">
          <w:rPr>
            <w:webHidden/>
          </w:rPr>
          <w:fldChar w:fldCharType="begin"/>
        </w:r>
        <w:r w:rsidR="00FB3B65">
          <w:rPr>
            <w:webHidden/>
          </w:rPr>
          <w:instrText xml:space="preserve"> PAGEREF _Toc180414685 \h </w:instrText>
        </w:r>
        <w:r w:rsidR="00FB3B65">
          <w:rPr>
            <w:webHidden/>
          </w:rPr>
        </w:r>
        <w:r w:rsidR="00FB3B65">
          <w:rPr>
            <w:webHidden/>
          </w:rPr>
          <w:fldChar w:fldCharType="separate"/>
        </w:r>
        <w:r w:rsidR="00FB3B65">
          <w:rPr>
            <w:webHidden/>
          </w:rPr>
          <w:t>1</w:t>
        </w:r>
        <w:r w:rsidR="00FB3B65">
          <w:rPr>
            <w:webHidden/>
          </w:rPr>
          <w:fldChar w:fldCharType="end"/>
        </w:r>
      </w:hyperlink>
    </w:p>
    <w:p w14:paraId="07086960" w14:textId="6AD47B52" w:rsidR="00FB3B65" w:rsidRDefault="00FB3B65">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4686" w:history="1">
        <w:r w:rsidRPr="003E0015">
          <w:rPr>
            <w:rStyle w:val="Hyperlink"/>
          </w:rPr>
          <w:t>CARACTÉRISTIQUES du Module d'échange de rapports DHS UPOV e-PVP</w:t>
        </w:r>
        <w:r>
          <w:rPr>
            <w:webHidden/>
          </w:rPr>
          <w:tab/>
        </w:r>
        <w:r>
          <w:rPr>
            <w:webHidden/>
          </w:rPr>
          <w:fldChar w:fldCharType="begin"/>
        </w:r>
        <w:r>
          <w:rPr>
            <w:webHidden/>
          </w:rPr>
          <w:instrText xml:space="preserve"> PAGEREF _Toc180414686 \h </w:instrText>
        </w:r>
        <w:r>
          <w:rPr>
            <w:webHidden/>
          </w:rPr>
        </w:r>
        <w:r>
          <w:rPr>
            <w:webHidden/>
          </w:rPr>
          <w:fldChar w:fldCharType="separate"/>
        </w:r>
        <w:r>
          <w:rPr>
            <w:webHidden/>
          </w:rPr>
          <w:t>1</w:t>
        </w:r>
        <w:r>
          <w:rPr>
            <w:webHidden/>
          </w:rPr>
          <w:fldChar w:fldCharType="end"/>
        </w:r>
      </w:hyperlink>
    </w:p>
    <w:p w14:paraId="68BF331B" w14:textId="6CD14230" w:rsidR="00FB3B65" w:rsidRDefault="00FB3B65">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4687" w:history="1">
        <w:r w:rsidRPr="003E0015">
          <w:rPr>
            <w:rStyle w:val="Hyperlink"/>
          </w:rPr>
          <w:t>Développements depuis EAM/3</w:t>
        </w:r>
        <w:r>
          <w:rPr>
            <w:webHidden/>
          </w:rPr>
          <w:tab/>
        </w:r>
        <w:r>
          <w:rPr>
            <w:webHidden/>
          </w:rPr>
          <w:fldChar w:fldCharType="begin"/>
        </w:r>
        <w:r>
          <w:rPr>
            <w:webHidden/>
          </w:rPr>
          <w:instrText xml:space="preserve"> PAGEREF _Toc180414687 \h </w:instrText>
        </w:r>
        <w:r>
          <w:rPr>
            <w:webHidden/>
          </w:rPr>
        </w:r>
        <w:r>
          <w:rPr>
            <w:webHidden/>
          </w:rPr>
          <w:fldChar w:fldCharType="separate"/>
        </w:r>
        <w:r>
          <w:rPr>
            <w:webHidden/>
          </w:rPr>
          <w:t>2</w:t>
        </w:r>
        <w:r>
          <w:rPr>
            <w:webHidden/>
          </w:rPr>
          <w:fldChar w:fldCharType="end"/>
        </w:r>
      </w:hyperlink>
    </w:p>
    <w:p w14:paraId="0A188B99" w14:textId="4C628E4C" w:rsidR="00FB3B65" w:rsidRDefault="00FB3B65">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4688" w:history="1">
        <w:r w:rsidRPr="003E0015">
          <w:rPr>
            <w:rStyle w:val="Hyperlink"/>
          </w:rPr>
          <w:t>exigences en matière d’accès</w:t>
        </w:r>
        <w:r>
          <w:rPr>
            <w:webHidden/>
          </w:rPr>
          <w:tab/>
        </w:r>
        <w:r>
          <w:rPr>
            <w:webHidden/>
          </w:rPr>
          <w:fldChar w:fldCharType="begin"/>
        </w:r>
        <w:r>
          <w:rPr>
            <w:webHidden/>
          </w:rPr>
          <w:instrText xml:space="preserve"> PAGEREF _Toc180414688 \h </w:instrText>
        </w:r>
        <w:r>
          <w:rPr>
            <w:webHidden/>
          </w:rPr>
        </w:r>
        <w:r>
          <w:rPr>
            <w:webHidden/>
          </w:rPr>
          <w:fldChar w:fldCharType="separate"/>
        </w:r>
        <w:r>
          <w:rPr>
            <w:webHidden/>
          </w:rPr>
          <w:t>3</w:t>
        </w:r>
        <w:r>
          <w:rPr>
            <w:webHidden/>
          </w:rPr>
          <w:fldChar w:fldCharType="end"/>
        </w:r>
      </w:hyperlink>
    </w:p>
    <w:p w14:paraId="6AB01890" w14:textId="4EC0FDC5" w:rsidR="00FB3B65" w:rsidRDefault="00FB3B65">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4689" w:history="1">
        <w:r w:rsidRPr="003E0015">
          <w:rPr>
            <w:rStyle w:val="Hyperlink"/>
          </w:rPr>
          <w:t>coût</w:t>
        </w:r>
        <w:r>
          <w:rPr>
            <w:webHidden/>
          </w:rPr>
          <w:tab/>
        </w:r>
        <w:r>
          <w:rPr>
            <w:webHidden/>
          </w:rPr>
          <w:fldChar w:fldCharType="begin"/>
        </w:r>
        <w:r>
          <w:rPr>
            <w:webHidden/>
          </w:rPr>
          <w:instrText xml:space="preserve"> PAGEREF _Toc180414689 \h </w:instrText>
        </w:r>
        <w:r>
          <w:rPr>
            <w:webHidden/>
          </w:rPr>
        </w:r>
        <w:r>
          <w:rPr>
            <w:webHidden/>
          </w:rPr>
          <w:fldChar w:fldCharType="separate"/>
        </w:r>
        <w:r>
          <w:rPr>
            <w:webHidden/>
          </w:rPr>
          <w:t>3</w:t>
        </w:r>
        <w:r>
          <w:rPr>
            <w:webHidden/>
          </w:rPr>
          <w:fldChar w:fldCharType="end"/>
        </w:r>
      </w:hyperlink>
    </w:p>
    <w:p w14:paraId="00AB3E0F" w14:textId="0B931874" w:rsidR="00FB3B65" w:rsidRDefault="00FB3B65">
      <w:pPr>
        <w:pStyle w:val="TOC2"/>
        <w:rPr>
          <w:rFonts w:asciiTheme="minorHAnsi" w:eastAsiaTheme="minorEastAsia" w:hAnsiTheme="minorHAnsi" w:cstheme="minorBidi"/>
          <w:i w:val="0"/>
          <w:kern w:val="2"/>
          <w:sz w:val="24"/>
          <w:szCs w:val="24"/>
          <w:lang w:val="en-GB" w:eastAsia="en-GB"/>
          <w14:ligatures w14:val="standardContextual"/>
        </w:rPr>
      </w:pPr>
      <w:hyperlink w:anchor="_Toc180414690" w:history="1">
        <w:r w:rsidRPr="003E0015">
          <w:rPr>
            <w:rStyle w:val="Hyperlink"/>
          </w:rPr>
          <w:t xml:space="preserve">Module d'échange de rapports DHS </w:t>
        </w:r>
        <w:r w:rsidRPr="003E0015">
          <w:rPr>
            <w:rStyle w:val="Hyperlink"/>
            <w:snapToGrid w:val="0"/>
          </w:rPr>
          <w:t>standard UPOV e-PVP</w:t>
        </w:r>
        <w:r>
          <w:rPr>
            <w:webHidden/>
          </w:rPr>
          <w:tab/>
        </w:r>
        <w:r>
          <w:rPr>
            <w:webHidden/>
          </w:rPr>
          <w:fldChar w:fldCharType="begin"/>
        </w:r>
        <w:r>
          <w:rPr>
            <w:webHidden/>
          </w:rPr>
          <w:instrText xml:space="preserve"> PAGEREF _Toc180414690 \h </w:instrText>
        </w:r>
        <w:r>
          <w:rPr>
            <w:webHidden/>
          </w:rPr>
        </w:r>
        <w:r>
          <w:rPr>
            <w:webHidden/>
          </w:rPr>
          <w:fldChar w:fldCharType="separate"/>
        </w:r>
        <w:r>
          <w:rPr>
            <w:webHidden/>
          </w:rPr>
          <w:t>3</w:t>
        </w:r>
        <w:r>
          <w:rPr>
            <w:webHidden/>
          </w:rPr>
          <w:fldChar w:fldCharType="end"/>
        </w:r>
      </w:hyperlink>
    </w:p>
    <w:p w14:paraId="44786E96" w14:textId="7E34E07B" w:rsidR="00FB3B65" w:rsidRDefault="00FB3B65">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4691" w:history="1">
        <w:r w:rsidRPr="003E0015">
          <w:rPr>
            <w:rStyle w:val="Hyperlink"/>
          </w:rPr>
          <w:t>Développements futurs</w:t>
        </w:r>
        <w:r>
          <w:rPr>
            <w:webHidden/>
          </w:rPr>
          <w:tab/>
        </w:r>
        <w:r>
          <w:rPr>
            <w:webHidden/>
          </w:rPr>
          <w:fldChar w:fldCharType="begin"/>
        </w:r>
        <w:r>
          <w:rPr>
            <w:webHidden/>
          </w:rPr>
          <w:instrText xml:space="preserve"> PAGEREF _Toc180414691 \h </w:instrText>
        </w:r>
        <w:r>
          <w:rPr>
            <w:webHidden/>
          </w:rPr>
        </w:r>
        <w:r>
          <w:rPr>
            <w:webHidden/>
          </w:rPr>
          <w:fldChar w:fldCharType="separate"/>
        </w:r>
        <w:r>
          <w:rPr>
            <w:webHidden/>
          </w:rPr>
          <w:t>3</w:t>
        </w:r>
        <w:r>
          <w:rPr>
            <w:webHidden/>
          </w:rPr>
          <w:fldChar w:fldCharType="end"/>
        </w:r>
      </w:hyperlink>
    </w:p>
    <w:p w14:paraId="4D04B3D9" w14:textId="5B373F9E" w:rsidR="00526E87" w:rsidRPr="000439FD" w:rsidRDefault="00526E87" w:rsidP="00526E87">
      <w:pPr>
        <w:rPr>
          <w:rFonts w:cs="Arial"/>
          <w:snapToGrid w:val="0"/>
        </w:rPr>
      </w:pPr>
      <w:r w:rsidRPr="000439FD">
        <w:rPr>
          <w:rFonts w:cs="Arial"/>
          <w:snapToGrid w:val="0"/>
        </w:rPr>
        <w:fldChar w:fldCharType="end"/>
      </w:r>
    </w:p>
    <w:p w14:paraId="487462AC" w14:textId="77777777" w:rsidR="00526E87" w:rsidRPr="000439FD" w:rsidRDefault="00526E87" w:rsidP="00526E87"/>
    <w:p w14:paraId="33FA4E55" w14:textId="35D1AF95" w:rsidR="00946880" w:rsidRPr="000439FD" w:rsidRDefault="000439FD">
      <w:pPr>
        <w:pStyle w:val="Heading1"/>
        <w:rPr>
          <w:lang w:val="fr-FR"/>
        </w:rPr>
      </w:pPr>
      <w:bookmarkStart w:id="4" w:name="_Toc127375755"/>
      <w:bookmarkStart w:id="5" w:name="_Toc180414686"/>
      <w:r w:rsidRPr="000439FD">
        <w:rPr>
          <w:lang w:val="fr-FR"/>
        </w:rPr>
        <w:t>CARACTÉRISTIQUES</w:t>
      </w:r>
      <w:r w:rsidRPr="000439FD">
        <w:rPr>
          <w:lang w:val="fr-FR"/>
        </w:rPr>
        <w:t xml:space="preserve"> </w:t>
      </w:r>
      <w:r>
        <w:rPr>
          <w:lang w:val="fr-FR"/>
        </w:rPr>
        <w:t xml:space="preserve">du </w:t>
      </w:r>
      <w:r w:rsidR="00127877" w:rsidRPr="000439FD">
        <w:rPr>
          <w:lang w:val="fr-FR"/>
        </w:rPr>
        <w:t xml:space="preserve">Module d'échange de </w:t>
      </w:r>
      <w:r w:rsidR="00127877" w:rsidRPr="000439FD">
        <w:rPr>
          <w:color w:val="000000"/>
          <w:lang w:val="fr-FR"/>
        </w:rPr>
        <w:t xml:space="preserve">rapports </w:t>
      </w:r>
      <w:r w:rsidR="00127877" w:rsidRPr="000439FD">
        <w:rPr>
          <w:lang w:val="fr-FR"/>
        </w:rPr>
        <w:t xml:space="preserve">DHS UPOV </w:t>
      </w:r>
      <w:r w:rsidR="00127877" w:rsidRPr="000439FD">
        <w:rPr>
          <w:caps w:val="0"/>
          <w:lang w:val="fr-FR"/>
        </w:rPr>
        <w:t>e-PVP</w:t>
      </w:r>
      <w:bookmarkEnd w:id="5"/>
      <w:r w:rsidR="00127877" w:rsidRPr="000439FD">
        <w:rPr>
          <w:caps w:val="0"/>
          <w:lang w:val="fr-FR"/>
        </w:rPr>
        <w:t xml:space="preserve"> </w:t>
      </w:r>
      <w:bookmarkEnd w:id="4"/>
    </w:p>
    <w:p w14:paraId="249BD14C" w14:textId="77777777" w:rsidR="00526E87" w:rsidRPr="000439FD" w:rsidRDefault="00526E87" w:rsidP="00526E87">
      <w:pPr>
        <w:rPr>
          <w:rFonts w:cs="Arial"/>
          <w:color w:val="000000"/>
        </w:rPr>
      </w:pPr>
    </w:p>
    <w:p w14:paraId="08B90FDA" w14:textId="77777777" w:rsidR="00946880" w:rsidRPr="000439FD" w:rsidRDefault="00127877">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00FF6B2F" w:rsidRPr="000439FD">
        <w:rPr>
          <w:rFonts w:cs="Arial"/>
          <w:color w:val="000000"/>
        </w:rPr>
        <w:t xml:space="preserve"> </w:t>
      </w:r>
      <w:r w:rsidR="00FF6B2F" w:rsidRPr="000439FD">
        <w:rPr>
          <w:rFonts w:cs="Arial"/>
          <w:color w:val="000000"/>
        </w:rPr>
        <w:tab/>
      </w:r>
      <w:r w:rsidR="00FF6B2F" w:rsidRPr="000439FD">
        <w:t xml:space="preserve">Le module d'échange de rapports DHS UPOV e-PVP </w:t>
      </w:r>
      <w:r w:rsidR="00480D50" w:rsidRPr="000439FD">
        <w:t xml:space="preserve">(le "module d'échange") </w:t>
      </w:r>
      <w:r w:rsidR="00FF6B2F" w:rsidRPr="000439FD">
        <w:t>est une plate-forme Web qui permet l'échange de rapports DHS et d'autres informations relatives à la protection des obtentions végétales entre les membres de l'Union internationale pour la protection des obtentions végétales (UPOV).  Le module d'</w:t>
      </w:r>
      <w:r w:rsidR="00033797" w:rsidRPr="000439FD">
        <w:t xml:space="preserve">échange </w:t>
      </w:r>
      <w:r w:rsidR="00FF6B2F" w:rsidRPr="000439FD">
        <w:t>vise à faciliter la coopération et l'harmonisation entre les offices de protection des obtentions végétales et à réduire la charge administrative et les coûts pour les obtenteurs.</w:t>
      </w:r>
    </w:p>
    <w:p w14:paraId="3EA1DD5C" w14:textId="77777777" w:rsidR="00FF6B2F" w:rsidRPr="000439FD" w:rsidRDefault="00FF6B2F" w:rsidP="00526E87">
      <w:pPr>
        <w:rPr>
          <w:rFonts w:cs="Arial"/>
          <w:color w:val="000000"/>
        </w:rPr>
      </w:pPr>
    </w:p>
    <w:p w14:paraId="62B5F0FB" w14:textId="093E457E"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 xml:space="preserve"> </w:t>
      </w:r>
      <w:r w:rsidRPr="000439FD">
        <w:rPr>
          <w:rFonts w:cs="Arial"/>
          <w:color w:val="000000"/>
        </w:rPr>
        <w:tab/>
      </w:r>
      <w:r w:rsidR="00526E87" w:rsidRPr="000439FD">
        <w:rPr>
          <w:rFonts w:cs="Arial"/>
          <w:color w:val="000000"/>
        </w:rPr>
        <w:t xml:space="preserve">Le </w:t>
      </w:r>
      <w:r w:rsidR="00480D50" w:rsidRPr="000439FD">
        <w:t xml:space="preserve">module d'échange </w:t>
      </w:r>
      <w:r w:rsidR="00526E87" w:rsidRPr="000439FD">
        <w:rPr>
          <w:rFonts w:cs="Arial"/>
          <w:color w:val="000000"/>
        </w:rPr>
        <w:t xml:space="preserve">permettant aux </w:t>
      </w:r>
      <w:r w:rsidR="00033797" w:rsidRPr="000439FD">
        <w:rPr>
          <w:rFonts w:cs="Arial"/>
          <w:color w:val="000000"/>
        </w:rPr>
        <w:t xml:space="preserve">offices </w:t>
      </w:r>
      <w:r w:rsidR="00526E87" w:rsidRPr="000439FD">
        <w:rPr>
          <w:rFonts w:cs="Arial"/>
          <w:color w:val="000000"/>
        </w:rPr>
        <w:t xml:space="preserve">PVP de coopérer avec d'autres </w:t>
      </w:r>
      <w:r w:rsidR="00033797" w:rsidRPr="000439FD">
        <w:rPr>
          <w:rFonts w:cs="Arial"/>
          <w:color w:val="000000"/>
        </w:rPr>
        <w:t xml:space="preserve">offices </w:t>
      </w:r>
      <w:r w:rsidR="00526E87" w:rsidRPr="000439FD">
        <w:rPr>
          <w:rFonts w:cs="Arial"/>
          <w:color w:val="000000"/>
        </w:rPr>
        <w:t xml:space="preserve">PVP dans le cadre de l'examen de la distinction, de l'homogénéité et de la stabilité ("DHS") offre les caractéristiques suivantes aux </w:t>
      </w:r>
      <w:r w:rsidR="00033797" w:rsidRPr="000439FD">
        <w:rPr>
          <w:rFonts w:cs="Arial"/>
          <w:color w:val="000000"/>
        </w:rPr>
        <w:t xml:space="preserve">offices </w:t>
      </w:r>
      <w:r w:rsidR="00526E87" w:rsidRPr="000439FD">
        <w:rPr>
          <w:rFonts w:cs="Arial"/>
          <w:color w:val="000000"/>
        </w:rPr>
        <w:t>PVP</w:t>
      </w:r>
      <w:r w:rsidR="000439FD">
        <w:rPr>
          <w:rFonts w:cs="Arial"/>
          <w:color w:val="000000"/>
        </w:rPr>
        <w:t>:</w:t>
      </w:r>
    </w:p>
    <w:p w14:paraId="78EAAFDC" w14:textId="77777777" w:rsidR="00526E87" w:rsidRPr="000439FD" w:rsidRDefault="00526E87" w:rsidP="00526E87">
      <w:pPr>
        <w:rPr>
          <w:rFonts w:cs="Arial"/>
          <w:color w:val="000000"/>
        </w:rPr>
      </w:pPr>
    </w:p>
    <w:p w14:paraId="5E699397" w14:textId="0C0E9812" w:rsidR="00946880" w:rsidRPr="000439FD" w:rsidRDefault="00127877">
      <w:pPr>
        <w:pStyle w:val="ListParagraph"/>
        <w:numPr>
          <w:ilvl w:val="0"/>
          <w:numId w:val="1"/>
        </w:numPr>
        <w:ind w:left="851" w:hanging="284"/>
        <w:rPr>
          <w:rFonts w:ascii="Arial" w:hAnsi="Arial" w:cs="Arial"/>
          <w:color w:val="000000"/>
          <w:sz w:val="20"/>
          <w:szCs w:val="20"/>
        </w:rPr>
      </w:pPr>
      <w:r w:rsidRPr="000439FD">
        <w:rPr>
          <w:rFonts w:ascii="Arial" w:hAnsi="Arial" w:cs="Arial"/>
          <w:color w:val="000000"/>
          <w:sz w:val="20"/>
          <w:szCs w:val="20"/>
        </w:rPr>
        <w:t>Mettre les rapports DHS existants à la disposition des autres membres de l'UPOV (option de chargement en bloc)</w:t>
      </w:r>
      <w:r w:rsidR="000439FD">
        <w:rPr>
          <w:rFonts w:ascii="Arial" w:hAnsi="Arial" w:cs="Arial"/>
          <w:color w:val="000000"/>
          <w:sz w:val="20"/>
          <w:szCs w:val="20"/>
        </w:rPr>
        <w:t>;</w:t>
      </w:r>
    </w:p>
    <w:p w14:paraId="134FEDB0" w14:textId="77777777" w:rsidR="00946880" w:rsidRPr="000439FD" w:rsidRDefault="00127877" w:rsidP="00FB3B65">
      <w:pPr>
        <w:pStyle w:val="ListParagraph"/>
        <w:keepNext/>
        <w:numPr>
          <w:ilvl w:val="0"/>
          <w:numId w:val="1"/>
        </w:numPr>
        <w:ind w:left="851" w:hanging="284"/>
        <w:rPr>
          <w:rFonts w:ascii="Arial" w:hAnsi="Arial" w:cs="Arial"/>
          <w:color w:val="000000"/>
          <w:sz w:val="20"/>
          <w:szCs w:val="20"/>
        </w:rPr>
      </w:pPr>
      <w:r w:rsidRPr="000439FD">
        <w:rPr>
          <w:rFonts w:ascii="Arial" w:hAnsi="Arial" w:cs="Arial"/>
          <w:color w:val="000000"/>
          <w:sz w:val="20"/>
          <w:szCs w:val="20"/>
        </w:rPr>
        <w:lastRenderedPageBreak/>
        <w:t>Obtenir des rapports DHS</w:t>
      </w:r>
    </w:p>
    <w:p w14:paraId="7C5E26A4" w14:textId="77777777" w:rsidR="00946880" w:rsidRPr="000439FD" w:rsidRDefault="00127877" w:rsidP="00FB3B65">
      <w:pPr>
        <w:pStyle w:val="ListParagraph"/>
        <w:keepNext/>
        <w:numPr>
          <w:ilvl w:val="1"/>
          <w:numId w:val="1"/>
        </w:numPr>
        <w:ind w:left="1134" w:hanging="283"/>
        <w:rPr>
          <w:rFonts w:ascii="Arial" w:hAnsi="Arial" w:cs="Arial"/>
          <w:color w:val="000000"/>
          <w:sz w:val="20"/>
          <w:szCs w:val="20"/>
        </w:rPr>
      </w:pPr>
      <w:r w:rsidRPr="000439FD">
        <w:rPr>
          <w:rFonts w:ascii="Arial" w:hAnsi="Arial" w:cs="Arial"/>
          <w:color w:val="000000"/>
          <w:sz w:val="20"/>
          <w:szCs w:val="20"/>
        </w:rPr>
        <w:t>recherche de rapports DHS existants,</w:t>
      </w:r>
    </w:p>
    <w:p w14:paraId="42FD5A23" w14:textId="77777777" w:rsidR="00946880" w:rsidRPr="000439FD" w:rsidRDefault="00127877">
      <w:pPr>
        <w:pStyle w:val="ListParagraph"/>
        <w:numPr>
          <w:ilvl w:val="1"/>
          <w:numId w:val="1"/>
        </w:numPr>
        <w:ind w:left="1134" w:hanging="283"/>
        <w:rPr>
          <w:rFonts w:ascii="Arial" w:hAnsi="Arial" w:cs="Arial"/>
          <w:color w:val="000000"/>
          <w:sz w:val="20"/>
          <w:szCs w:val="20"/>
        </w:rPr>
      </w:pPr>
      <w:r w:rsidRPr="000439FD">
        <w:rPr>
          <w:rFonts w:ascii="Arial" w:hAnsi="Arial" w:cs="Arial"/>
          <w:color w:val="000000"/>
          <w:sz w:val="20"/>
          <w:szCs w:val="20"/>
        </w:rPr>
        <w:t xml:space="preserve">introduire une demande d'information sur la possibilité d'obtenir un rapport DHS qui n'a pas encore </w:t>
      </w:r>
      <w:r w:rsidRPr="000439FD">
        <w:rPr>
          <w:rFonts w:ascii="Arial" w:hAnsi="Arial" w:cs="Arial"/>
          <w:sz w:val="20"/>
          <w:szCs w:val="20"/>
        </w:rPr>
        <w:t>été mis à disposition</w:t>
      </w:r>
      <w:r w:rsidRPr="000439FD">
        <w:rPr>
          <w:rFonts w:ascii="Arial" w:hAnsi="Arial" w:cs="Arial"/>
          <w:color w:val="000000"/>
          <w:sz w:val="20"/>
          <w:szCs w:val="20"/>
        </w:rPr>
        <w:t>,</w:t>
      </w:r>
    </w:p>
    <w:p w14:paraId="0C77D499" w14:textId="77777777" w:rsidR="00946880" w:rsidRPr="000439FD" w:rsidRDefault="00127877">
      <w:pPr>
        <w:pStyle w:val="ListParagraph"/>
        <w:numPr>
          <w:ilvl w:val="1"/>
          <w:numId w:val="1"/>
        </w:numPr>
        <w:ind w:left="1134" w:hanging="283"/>
        <w:rPr>
          <w:rFonts w:ascii="Arial" w:hAnsi="Arial" w:cs="Arial"/>
          <w:color w:val="000000"/>
          <w:sz w:val="20"/>
          <w:szCs w:val="20"/>
        </w:rPr>
      </w:pPr>
      <w:r w:rsidRPr="000439FD">
        <w:rPr>
          <w:rFonts w:ascii="Arial" w:hAnsi="Arial" w:cs="Arial"/>
          <w:color w:val="000000"/>
          <w:sz w:val="20"/>
          <w:szCs w:val="20"/>
        </w:rPr>
        <w:t>demander des informations sur la possibilité de commander un rapport DHS,</w:t>
      </w:r>
    </w:p>
    <w:p w14:paraId="6C23A9ED" w14:textId="77777777" w:rsidR="00946880" w:rsidRPr="000439FD" w:rsidRDefault="00127877">
      <w:pPr>
        <w:pStyle w:val="ListParagraph"/>
        <w:numPr>
          <w:ilvl w:val="1"/>
          <w:numId w:val="1"/>
        </w:numPr>
        <w:ind w:left="1134" w:hanging="283"/>
        <w:rPr>
          <w:rFonts w:ascii="Arial" w:hAnsi="Arial" w:cs="Arial"/>
          <w:color w:val="000000"/>
          <w:sz w:val="20"/>
          <w:szCs w:val="20"/>
        </w:rPr>
      </w:pPr>
      <w:r w:rsidRPr="000439FD">
        <w:rPr>
          <w:rFonts w:ascii="Arial" w:hAnsi="Arial" w:cs="Arial"/>
          <w:sz w:val="20"/>
          <w:szCs w:val="20"/>
        </w:rPr>
        <w:t>les communications entre l'office PVP fournisseur et l'office PVP destinataire,</w:t>
      </w:r>
    </w:p>
    <w:p w14:paraId="2F3AD9B7" w14:textId="5C6BA8A9" w:rsidR="00946880" w:rsidRPr="000439FD" w:rsidRDefault="00127877">
      <w:pPr>
        <w:pStyle w:val="ListParagraph"/>
        <w:numPr>
          <w:ilvl w:val="1"/>
          <w:numId w:val="1"/>
        </w:numPr>
        <w:ind w:left="1134" w:hanging="283"/>
        <w:rPr>
          <w:rFonts w:ascii="Arial" w:hAnsi="Arial" w:cs="Arial"/>
          <w:color w:val="000000"/>
          <w:sz w:val="20"/>
          <w:szCs w:val="20"/>
        </w:rPr>
      </w:pPr>
      <w:r w:rsidRPr="000439FD">
        <w:rPr>
          <w:rFonts w:ascii="Arial" w:hAnsi="Arial" w:cs="Arial"/>
          <w:sz w:val="20"/>
          <w:szCs w:val="20"/>
        </w:rPr>
        <w:t>notification lorsqu'un rapport DHS est mis à disposition</w:t>
      </w:r>
      <w:r w:rsidR="000439FD">
        <w:rPr>
          <w:rFonts w:ascii="Arial" w:hAnsi="Arial" w:cs="Arial"/>
          <w:sz w:val="20"/>
          <w:szCs w:val="20"/>
        </w:rPr>
        <w:t>;</w:t>
      </w:r>
    </w:p>
    <w:p w14:paraId="7FBF1B9E" w14:textId="77777777" w:rsidR="00946880" w:rsidRPr="000439FD" w:rsidRDefault="00127877">
      <w:pPr>
        <w:pStyle w:val="ListParagraph"/>
        <w:numPr>
          <w:ilvl w:val="0"/>
          <w:numId w:val="1"/>
        </w:numPr>
        <w:ind w:left="851" w:hanging="284"/>
        <w:rPr>
          <w:rFonts w:ascii="Arial" w:hAnsi="Arial" w:cs="Arial"/>
          <w:color w:val="000000"/>
          <w:sz w:val="20"/>
          <w:szCs w:val="20"/>
        </w:rPr>
      </w:pPr>
      <w:r w:rsidRPr="000439FD">
        <w:rPr>
          <w:rFonts w:ascii="Arial" w:hAnsi="Arial" w:cs="Arial"/>
          <w:color w:val="000000"/>
          <w:sz w:val="20"/>
          <w:szCs w:val="20"/>
        </w:rPr>
        <w:t>Suivre l'historique de chaque demande.</w:t>
      </w:r>
    </w:p>
    <w:p w14:paraId="619369F1" w14:textId="77777777" w:rsidR="00526E87" w:rsidRPr="000439FD" w:rsidRDefault="00526E87" w:rsidP="00526E87">
      <w:pPr>
        <w:rPr>
          <w:rFonts w:cs="Arial"/>
          <w:color w:val="000000"/>
        </w:rPr>
      </w:pPr>
    </w:p>
    <w:p w14:paraId="6F5431F7" w14:textId="2F63B0EE"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 xml:space="preserve">Le module d'échange est accessible à tous les membres de l'UPOV et peut être utilisé indépendamment des autres modules </w:t>
      </w:r>
      <w:r w:rsidR="000439FD">
        <w:rPr>
          <w:rFonts w:cs="Arial"/>
          <w:color w:val="000000"/>
        </w:rPr>
        <w:t>UPOV e</w:t>
      </w:r>
      <w:r w:rsidR="000439FD">
        <w:rPr>
          <w:rFonts w:cs="Arial"/>
          <w:color w:val="000000"/>
        </w:rPr>
        <w:noBreakHyphen/>
        <w:t>PVP</w:t>
      </w:r>
      <w:r w:rsidRPr="000439FD">
        <w:rPr>
          <w:rFonts w:cs="Arial"/>
          <w:color w:val="000000"/>
        </w:rPr>
        <w:t>.  Le membre UPOV de l'office PV</w:t>
      </w:r>
      <w:r w:rsidR="00FB3B65">
        <w:rPr>
          <w:rFonts w:cs="Arial"/>
          <w:color w:val="000000"/>
        </w:rPr>
        <w:t>P</w:t>
      </w:r>
      <w:r w:rsidRPr="000439FD">
        <w:rPr>
          <w:rFonts w:cs="Arial"/>
          <w:color w:val="000000"/>
        </w:rPr>
        <w:t xml:space="preserve"> demandeur et le membre UPOV de l'office PV</w:t>
      </w:r>
      <w:r w:rsidR="00FB3B65">
        <w:rPr>
          <w:rFonts w:cs="Arial"/>
          <w:color w:val="000000"/>
        </w:rPr>
        <w:t>P</w:t>
      </w:r>
      <w:r w:rsidRPr="000439FD">
        <w:rPr>
          <w:rFonts w:cs="Arial"/>
          <w:color w:val="000000"/>
        </w:rPr>
        <w:t xml:space="preserve"> fournisseur doivent tous deux adhérer au module d'échange pour permettre le transfert des rapports DHS.  </w:t>
      </w:r>
    </w:p>
    <w:p w14:paraId="0C0DD4C2" w14:textId="77777777" w:rsidR="00526E87" w:rsidRPr="000439FD" w:rsidRDefault="00526E87" w:rsidP="00526E87">
      <w:pPr>
        <w:rPr>
          <w:rFonts w:cs="Arial"/>
          <w:color w:val="000000"/>
        </w:rPr>
      </w:pPr>
    </w:p>
    <w:p w14:paraId="09A7CC0E" w14:textId="77777777" w:rsidR="00946880" w:rsidRPr="000439FD" w:rsidRDefault="00127877">
      <w:r w:rsidRPr="000439FD">
        <w:fldChar w:fldCharType="begin"/>
      </w:r>
      <w:r w:rsidRPr="000439FD">
        <w:instrText xml:space="preserve"> AUTONUM  </w:instrText>
      </w:r>
      <w:r w:rsidRPr="000439FD">
        <w:fldChar w:fldCharType="end"/>
      </w:r>
      <w:r w:rsidRPr="000439FD">
        <w:tab/>
        <w:t xml:space="preserve">Si un membre de l'UPOV a besoin d'une adaptation (p. ex. besoins d'intégration, facturation), une demande d'adaptation peut être adressée à l'UPOV.  Le coût de l'adaptation sera supporté par le membre de l'UPOV. </w:t>
      </w:r>
    </w:p>
    <w:p w14:paraId="054BE3B2" w14:textId="77777777" w:rsidR="00033797" w:rsidRPr="000439FD" w:rsidRDefault="00033797" w:rsidP="00033797"/>
    <w:p w14:paraId="4B6AD664" w14:textId="77777777" w:rsidR="00033797" w:rsidRPr="000439FD" w:rsidRDefault="00033797" w:rsidP="00033797"/>
    <w:p w14:paraId="5CAF930B" w14:textId="77777777" w:rsidR="00946880" w:rsidRPr="000439FD" w:rsidRDefault="00127877">
      <w:pPr>
        <w:pStyle w:val="Heading1"/>
        <w:rPr>
          <w:lang w:val="fr-FR"/>
        </w:rPr>
      </w:pPr>
      <w:bookmarkStart w:id="6" w:name="_Toc180414687"/>
      <w:r w:rsidRPr="000439FD">
        <w:rPr>
          <w:lang w:val="fr-FR"/>
        </w:rPr>
        <w:t>Développements depuis EAM/3</w:t>
      </w:r>
      <w:bookmarkEnd w:id="6"/>
    </w:p>
    <w:p w14:paraId="56A8E93B" w14:textId="77777777" w:rsidR="00526E87" w:rsidRPr="000439FD" w:rsidRDefault="00526E87" w:rsidP="00526E87">
      <w:pPr>
        <w:rPr>
          <w:rFonts w:cs="Arial"/>
          <w:snapToGrid w:val="0"/>
          <w:u w:val="single"/>
        </w:rPr>
      </w:pPr>
    </w:p>
    <w:p w14:paraId="29086D47" w14:textId="77777777"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 xml:space="preserve">Le 28 septembre 2023, le Viet Nam est devenu le premier membre de l'UPOV à utiliser </w:t>
      </w:r>
      <w:r w:rsidR="00033797" w:rsidRPr="000439FD">
        <w:rPr>
          <w:rFonts w:cs="Arial"/>
          <w:color w:val="000000"/>
        </w:rPr>
        <w:t xml:space="preserve">le </w:t>
      </w:r>
      <w:r w:rsidRPr="000439FD">
        <w:rPr>
          <w:rFonts w:cs="Arial"/>
          <w:color w:val="000000"/>
        </w:rPr>
        <w:t>module d'échange.</w:t>
      </w:r>
    </w:p>
    <w:p w14:paraId="43550566" w14:textId="77777777" w:rsidR="00526E87" w:rsidRPr="000439FD" w:rsidRDefault="00526E87" w:rsidP="00526E87">
      <w:pPr>
        <w:rPr>
          <w:rFonts w:cs="Arial"/>
          <w:color w:val="000000"/>
        </w:rPr>
      </w:pPr>
    </w:p>
    <w:p w14:paraId="2FBCF445" w14:textId="77777777"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Le 22 décembre 2023, le Royaume des Pays-Bas est devenu le deuxième membre de l'UPOV à utiliser le module d'échange.</w:t>
      </w:r>
    </w:p>
    <w:p w14:paraId="7EF3C937" w14:textId="77777777" w:rsidR="00526E87" w:rsidRPr="000439FD" w:rsidRDefault="00526E87" w:rsidP="00526E87">
      <w:pPr>
        <w:rPr>
          <w:rFonts w:cs="Arial"/>
          <w:color w:val="000000"/>
        </w:rPr>
      </w:pPr>
    </w:p>
    <w:p w14:paraId="697B2E20" w14:textId="77777777"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Le Viet Nam a demandé un rapport DHS existant au Royaume des Pays-Bas le 24 mai 2024, en utilisant le module d'échange.</w:t>
      </w:r>
    </w:p>
    <w:p w14:paraId="35A5783D" w14:textId="77777777" w:rsidR="00526E87" w:rsidRPr="000439FD" w:rsidRDefault="00526E87" w:rsidP="00526E87">
      <w:pPr>
        <w:rPr>
          <w:rFonts w:cs="Arial"/>
          <w:color w:val="000000"/>
        </w:rPr>
      </w:pPr>
    </w:p>
    <w:p w14:paraId="2802843E" w14:textId="77777777"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Le Royaume des Pays-Bas a accepté la demande et a téléchargé le rapport le 3 juillet 2024, en utilisant le module d'échange.</w:t>
      </w:r>
    </w:p>
    <w:p w14:paraId="03980E53" w14:textId="77777777" w:rsidR="00526E87" w:rsidRPr="000439FD" w:rsidRDefault="00526E87" w:rsidP="00526E87">
      <w:pPr>
        <w:rPr>
          <w:rFonts w:cs="Arial"/>
          <w:color w:val="000000"/>
        </w:rPr>
      </w:pPr>
    </w:p>
    <w:p w14:paraId="7B6A4AC9" w14:textId="413BC56E"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00B63058">
        <w:rPr>
          <w:rFonts w:cs="Arial"/>
          <w:color w:val="000000"/>
        </w:rPr>
        <w:tab/>
      </w:r>
      <w:r w:rsidRPr="000439FD">
        <w:rPr>
          <w:rFonts w:cs="Arial"/>
          <w:color w:val="000000"/>
        </w:rPr>
        <w:t xml:space="preserve">Le module d'échange a également accueilli les </w:t>
      </w:r>
      <w:r w:rsidR="00035353" w:rsidRPr="000439FD">
        <w:rPr>
          <w:rFonts w:cs="Arial"/>
          <w:color w:val="000000"/>
        </w:rPr>
        <w:t xml:space="preserve">membres de l'UPOV </w:t>
      </w:r>
      <w:r w:rsidRPr="000439FD">
        <w:rPr>
          <w:rFonts w:cs="Arial"/>
          <w:color w:val="000000"/>
        </w:rPr>
        <w:t xml:space="preserve">suivants, ce qui porte à 11 le nombre de </w:t>
      </w:r>
      <w:r w:rsidR="00035353" w:rsidRPr="000439FD">
        <w:rPr>
          <w:rFonts w:cs="Arial"/>
          <w:color w:val="000000"/>
        </w:rPr>
        <w:t xml:space="preserve">membres de l'UPOV </w:t>
      </w:r>
      <w:r w:rsidR="0004119D" w:rsidRPr="000439FD">
        <w:rPr>
          <w:rFonts w:cs="Arial"/>
          <w:color w:val="000000"/>
        </w:rPr>
        <w:t xml:space="preserve">qui </w:t>
      </w:r>
      <w:r w:rsidRPr="000439FD">
        <w:rPr>
          <w:rFonts w:cs="Arial"/>
          <w:color w:val="000000"/>
        </w:rPr>
        <w:t xml:space="preserve">utiliseront le </w:t>
      </w:r>
      <w:r w:rsidR="00480D50" w:rsidRPr="000439FD">
        <w:t xml:space="preserve">module d'échange </w:t>
      </w:r>
      <w:r w:rsidR="0004119D" w:rsidRPr="000439FD">
        <w:rPr>
          <w:rFonts w:cs="Arial"/>
          <w:color w:val="000000"/>
        </w:rPr>
        <w:t>en octobre 2024</w:t>
      </w:r>
      <w:r w:rsidR="000439FD">
        <w:rPr>
          <w:rFonts w:cs="Arial"/>
          <w:color w:val="000000"/>
        </w:rPr>
        <w:t>:</w:t>
      </w:r>
    </w:p>
    <w:p w14:paraId="37C3E98C" w14:textId="77777777" w:rsidR="00033797" w:rsidRPr="000439FD" w:rsidRDefault="00033797" w:rsidP="00526E87">
      <w:pPr>
        <w:rPr>
          <w:rFonts w:cs="Arial"/>
          <w:color w:val="000000"/>
        </w:rPr>
      </w:pPr>
    </w:p>
    <w:p w14:paraId="71E36251"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Brésil</w:t>
      </w:r>
    </w:p>
    <w:p w14:paraId="3B3FC20D"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Canada</w:t>
      </w:r>
    </w:p>
    <w:p w14:paraId="180433AF"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Union européenne</w:t>
      </w:r>
    </w:p>
    <w:p w14:paraId="743F7492"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Géorgie</w:t>
      </w:r>
    </w:p>
    <w:p w14:paraId="4168077D"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Ghana</w:t>
      </w:r>
    </w:p>
    <w:p w14:paraId="4EF42964"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Japon</w:t>
      </w:r>
    </w:p>
    <w:p w14:paraId="07E4B926"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Maroc</w:t>
      </w:r>
    </w:p>
    <w:p w14:paraId="6C9F95C8"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Pays-Bas (Royaume des)</w:t>
      </w:r>
    </w:p>
    <w:p w14:paraId="41421597"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Nouvelle-Zélande</w:t>
      </w:r>
    </w:p>
    <w:p w14:paraId="1F43061E"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États-Unis d'Amérique</w:t>
      </w:r>
    </w:p>
    <w:p w14:paraId="694E7294" w14:textId="77777777" w:rsidR="00946880" w:rsidRPr="000439FD" w:rsidRDefault="00127877">
      <w:pPr>
        <w:pStyle w:val="ListParagraph"/>
        <w:numPr>
          <w:ilvl w:val="0"/>
          <w:numId w:val="12"/>
        </w:numPr>
        <w:rPr>
          <w:rFonts w:ascii="Arial" w:hAnsi="Arial" w:cs="Arial"/>
          <w:color w:val="000000"/>
          <w:sz w:val="20"/>
          <w:szCs w:val="20"/>
        </w:rPr>
      </w:pPr>
      <w:r w:rsidRPr="000439FD">
        <w:rPr>
          <w:rFonts w:ascii="Arial" w:hAnsi="Arial" w:cs="Arial"/>
          <w:color w:val="000000"/>
          <w:sz w:val="20"/>
          <w:szCs w:val="20"/>
        </w:rPr>
        <w:t>Viet Nam</w:t>
      </w:r>
    </w:p>
    <w:p w14:paraId="018E9520" w14:textId="77777777" w:rsidR="00033797" w:rsidRPr="000439FD" w:rsidRDefault="00033797" w:rsidP="00940DE2">
      <w:pPr>
        <w:rPr>
          <w:rFonts w:cs="Arial"/>
          <w:color w:val="000000"/>
        </w:rPr>
      </w:pPr>
    </w:p>
    <w:p w14:paraId="55FB9BAE" w14:textId="77777777" w:rsidR="00946880" w:rsidRPr="000439FD" w:rsidRDefault="00127877">
      <w:r w:rsidRPr="000439FD">
        <w:fldChar w:fldCharType="begin"/>
      </w:r>
      <w:r w:rsidRPr="000439FD">
        <w:instrText xml:space="preserve"> AUTONUM  </w:instrText>
      </w:r>
      <w:r w:rsidRPr="000439FD">
        <w:fldChar w:fldCharType="end"/>
      </w:r>
      <w:r w:rsidRPr="000439FD">
        <w:tab/>
        <w:t>Le Royaume-Uni commencera à utiliser le module d'échange en 2025.</w:t>
      </w:r>
    </w:p>
    <w:p w14:paraId="30903EC0" w14:textId="77777777" w:rsidR="00526E87" w:rsidRPr="000439FD" w:rsidRDefault="00526E87" w:rsidP="00526E87">
      <w:pPr>
        <w:rPr>
          <w:rFonts w:cs="Arial"/>
          <w:color w:val="000000"/>
        </w:rPr>
      </w:pPr>
    </w:p>
    <w:p w14:paraId="28C41734" w14:textId="40DB50B5" w:rsidR="00946880" w:rsidRPr="000439FD" w:rsidRDefault="00127877">
      <w:pPr>
        <w:rPr>
          <w:rFonts w:cs="Arial"/>
          <w:color w:val="00000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t xml:space="preserve">Du 15 mai au 7 juin 2024, une campagne d'essai a été menée et a été mise à la disposition de tous les </w:t>
      </w:r>
      <w:r w:rsidR="001C2279" w:rsidRPr="000439FD">
        <w:rPr>
          <w:rFonts w:cs="Arial"/>
          <w:color w:val="000000"/>
        </w:rPr>
        <w:t xml:space="preserve">membres de l'UPOV </w:t>
      </w:r>
      <w:r w:rsidRPr="000439FD">
        <w:rPr>
          <w:rFonts w:cs="Arial"/>
          <w:color w:val="000000"/>
        </w:rPr>
        <w:t xml:space="preserve">qui avaient déjà manifesté leur intérêt à participer au module d'échange DHS </w:t>
      </w:r>
      <w:r w:rsidR="000439FD">
        <w:rPr>
          <w:rFonts w:cs="Arial"/>
          <w:color w:val="000000"/>
        </w:rPr>
        <w:t>UPOV e</w:t>
      </w:r>
      <w:r w:rsidR="000439FD">
        <w:rPr>
          <w:rFonts w:cs="Arial"/>
          <w:color w:val="000000"/>
        </w:rPr>
        <w:noBreakHyphen/>
        <w:t>PVP</w:t>
      </w:r>
      <w:r w:rsidRPr="000439FD">
        <w:rPr>
          <w:rFonts w:cs="Arial"/>
          <w:color w:val="000000"/>
        </w:rPr>
        <w:t xml:space="preserve"> à la date du 15 mai 2024.  La Chine, le Japon et le Royaume-Uni ont également été </w:t>
      </w:r>
      <w:r w:rsidR="001C2279" w:rsidRPr="000439FD">
        <w:rPr>
          <w:rFonts w:cs="Arial"/>
          <w:color w:val="000000"/>
        </w:rPr>
        <w:t xml:space="preserve">invités </w:t>
      </w:r>
      <w:r w:rsidRPr="000439FD">
        <w:rPr>
          <w:rFonts w:cs="Arial"/>
          <w:color w:val="000000"/>
        </w:rPr>
        <w:t>à participer à leur demande.</w:t>
      </w:r>
    </w:p>
    <w:p w14:paraId="05BAFC5D" w14:textId="77777777" w:rsidR="00081306" w:rsidRPr="000439FD" w:rsidRDefault="00081306" w:rsidP="00526E87">
      <w:pPr>
        <w:rPr>
          <w:rFonts w:cs="Arial"/>
          <w:color w:val="000000"/>
        </w:rPr>
      </w:pPr>
    </w:p>
    <w:p w14:paraId="7170206C" w14:textId="2D11D5CB" w:rsidR="00946880" w:rsidRPr="000439FD" w:rsidRDefault="00127877">
      <w:r w:rsidRPr="000439FD">
        <w:fldChar w:fldCharType="begin"/>
      </w:r>
      <w:r w:rsidRPr="000439FD">
        <w:instrText xml:space="preserve"> AUTONUM  </w:instrText>
      </w:r>
      <w:r w:rsidRPr="000439FD">
        <w:fldChar w:fldCharType="end"/>
      </w:r>
      <w:r w:rsidRPr="000439FD">
        <w:tab/>
        <w:t>Le Brésil, le Canada, la Chine, le Japon, la Nouvelle-Zélande et l</w:t>
      </w:r>
      <w:r w:rsidR="00EB6407" w:rsidRPr="000439FD">
        <w:t>'</w:t>
      </w:r>
      <w:r w:rsidRPr="000439FD">
        <w:t xml:space="preserve">Union européenne ont fait part de leurs réactions. </w:t>
      </w:r>
    </w:p>
    <w:p w14:paraId="7598C89E" w14:textId="77777777" w:rsidR="00081306" w:rsidRPr="000439FD" w:rsidRDefault="00081306" w:rsidP="00EB6407"/>
    <w:p w14:paraId="01553922" w14:textId="4EF7532A" w:rsidR="00946880" w:rsidRPr="000439FD" w:rsidRDefault="00127877">
      <w:r w:rsidRPr="000439FD">
        <w:fldChar w:fldCharType="begin"/>
      </w:r>
      <w:r w:rsidRPr="000439FD">
        <w:instrText xml:space="preserve"> AUTONUM  </w:instrText>
      </w:r>
      <w:r w:rsidRPr="000439FD">
        <w:fldChar w:fldCharType="end"/>
      </w:r>
      <w:r w:rsidRPr="000439FD">
        <w:tab/>
        <w:t>Les modifications suivantes ont été apportées au module depuis la dernière mise à jour</w:t>
      </w:r>
      <w:r w:rsidR="000439FD">
        <w:t>:</w:t>
      </w:r>
    </w:p>
    <w:p w14:paraId="3D7D77D6" w14:textId="77777777" w:rsidR="00EB6407" w:rsidRPr="000439FD" w:rsidRDefault="00EB6407" w:rsidP="00EB6407"/>
    <w:p w14:paraId="116B2636" w14:textId="77777777"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t>Extension de la prise en charge des langues du navigateur à de nouvelles langues, dont le néerlandais, le chinois et le portugais. Les utilisateurs peuvent désormais conserver la langue par défaut de leur navigateur et afficher correctement l'interface et le contenu en anglais si leur langue est différente de l'anglais, du français, de l'espagnol, de l'allemand, du japonais et du vietnamien.</w:t>
      </w:r>
    </w:p>
    <w:p w14:paraId="56A59FE9" w14:textId="5E61C700"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lastRenderedPageBreak/>
        <w:t xml:space="preserve">Possibilité de mettre à jour le nom de </w:t>
      </w:r>
      <w:r w:rsidR="00B63058">
        <w:rPr>
          <w:rFonts w:ascii="Arial" w:hAnsi="Arial" w:cs="Arial"/>
          <w:sz w:val="20"/>
          <w:szCs w:val="20"/>
        </w:rPr>
        <w:t xml:space="preserve">l’obtenteur </w:t>
      </w:r>
      <w:r w:rsidRPr="000439FD">
        <w:rPr>
          <w:rFonts w:ascii="Arial" w:hAnsi="Arial" w:cs="Arial"/>
          <w:sz w:val="20"/>
          <w:szCs w:val="20"/>
        </w:rPr>
        <w:t xml:space="preserve">lors de la modification d'une demande. Les utilisateurs peuvent désormais corriger ou modifier le nom de </w:t>
      </w:r>
      <w:r w:rsidR="00B63058">
        <w:rPr>
          <w:rFonts w:ascii="Arial" w:hAnsi="Arial" w:cs="Arial"/>
          <w:sz w:val="20"/>
          <w:szCs w:val="20"/>
        </w:rPr>
        <w:t xml:space="preserve">l’obtenteur </w:t>
      </w:r>
      <w:r w:rsidRPr="000439FD">
        <w:rPr>
          <w:rFonts w:ascii="Arial" w:hAnsi="Arial" w:cs="Arial"/>
          <w:sz w:val="20"/>
          <w:szCs w:val="20"/>
        </w:rPr>
        <w:t>lorsqu'ils éditent une demande existante de rapport DHS.</w:t>
      </w:r>
    </w:p>
    <w:p w14:paraId="2AF493A0" w14:textId="77777777"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t>Permettre l'affichage du nom botanique complet en même temps que le code UPOV. Les utilisateurs peuvent désormais voir le nom scientifique complet de l'espèce ou du genre végétal en plus du code UPOV lorsqu'ils effectuent une recherche.</w:t>
      </w:r>
    </w:p>
    <w:p w14:paraId="03D01CC6" w14:textId="1EFCACE5"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t>Lors de l'établissement d'une demande, supprimer le lien vers la demande lorsque l'office PV</w:t>
      </w:r>
      <w:r w:rsidR="00B63058">
        <w:rPr>
          <w:rFonts w:ascii="Arial" w:hAnsi="Arial" w:cs="Arial"/>
          <w:sz w:val="20"/>
          <w:szCs w:val="20"/>
        </w:rPr>
        <w:t>P</w:t>
      </w:r>
      <w:r w:rsidRPr="000439FD">
        <w:rPr>
          <w:rFonts w:ascii="Arial" w:hAnsi="Arial" w:cs="Arial"/>
          <w:sz w:val="20"/>
          <w:szCs w:val="20"/>
        </w:rPr>
        <w:t xml:space="preserve"> demandeur n'utilise pas le module d'administration UPOV e-PVP. Les utilisateurs peuvent désormais éviter la confusion et les clics inutiles lorsqu'ils présentent une demande de rapport DHS émanant d'un office qui n'utilise pas le module d'administration pour gérer les demandes.</w:t>
      </w:r>
    </w:p>
    <w:p w14:paraId="61EC7B85" w14:textId="77777777"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t>Supprimer la possibilité de télécharger un rapport lorsqu'il est déclassé. Les rapports déclassés seront marqués comme tels et n'auront pas d'option de téléchargement.</w:t>
      </w:r>
    </w:p>
    <w:p w14:paraId="484B81DF" w14:textId="77777777" w:rsidR="00946880" w:rsidRPr="000439FD" w:rsidRDefault="00127877">
      <w:pPr>
        <w:pStyle w:val="ListParagraph"/>
        <w:numPr>
          <w:ilvl w:val="0"/>
          <w:numId w:val="10"/>
        </w:numPr>
        <w:spacing w:after="120"/>
        <w:jc w:val="both"/>
        <w:rPr>
          <w:rFonts w:ascii="Arial" w:hAnsi="Arial" w:cs="Arial"/>
          <w:sz w:val="20"/>
          <w:szCs w:val="20"/>
        </w:rPr>
      </w:pPr>
      <w:r w:rsidRPr="000439FD">
        <w:rPr>
          <w:rFonts w:ascii="Arial" w:hAnsi="Arial" w:cs="Arial"/>
          <w:sz w:val="20"/>
          <w:szCs w:val="20"/>
        </w:rPr>
        <w:t>Prise en charge des autorités régionales (Union européenne) en plus des pays. Les utilisateurs peuvent désormais sélectionner l'Union européenne comme autorité requérante ou autorité source d'un rapport DHS, ainsi que des pays individuels. Cela facilitera l'échange de rapports avec l'UE et avec d'autres autorités.</w:t>
      </w:r>
    </w:p>
    <w:p w14:paraId="13C218B6" w14:textId="77777777" w:rsidR="00526E87" w:rsidRPr="000439FD" w:rsidRDefault="00526E87" w:rsidP="00526E87">
      <w:pPr>
        <w:rPr>
          <w:rFonts w:cs="Arial"/>
          <w:snapToGrid w:val="0"/>
          <w:u w:val="single"/>
        </w:rPr>
      </w:pPr>
    </w:p>
    <w:p w14:paraId="183AC9A6" w14:textId="77777777" w:rsidR="00417103" w:rsidRPr="000439FD" w:rsidRDefault="00417103" w:rsidP="00605340">
      <w:bookmarkStart w:id="7" w:name="_Toc147153475"/>
    </w:p>
    <w:p w14:paraId="22569C61" w14:textId="3F47C4A4" w:rsidR="00946880" w:rsidRPr="000439FD" w:rsidRDefault="00127877">
      <w:pPr>
        <w:pStyle w:val="Heading1"/>
        <w:rPr>
          <w:lang w:val="fr-FR"/>
        </w:rPr>
      </w:pPr>
      <w:bookmarkStart w:id="8" w:name="_Toc171423761"/>
      <w:bookmarkStart w:id="9" w:name="_Toc180414688"/>
      <w:r w:rsidRPr="000439FD">
        <w:rPr>
          <w:lang w:val="fr-FR"/>
        </w:rPr>
        <w:t xml:space="preserve">exigences en matière </w:t>
      </w:r>
      <w:bookmarkEnd w:id="8"/>
      <w:r w:rsidR="00FB3B65">
        <w:rPr>
          <w:lang w:val="fr-FR"/>
        </w:rPr>
        <w:t>d’accès</w:t>
      </w:r>
      <w:bookmarkEnd w:id="9"/>
    </w:p>
    <w:p w14:paraId="6FB9FC1E" w14:textId="77777777" w:rsidR="00417103" w:rsidRPr="000439FD" w:rsidRDefault="00417103" w:rsidP="00417103">
      <w:pPr>
        <w:keepNext/>
        <w:rPr>
          <w:rFonts w:cs="Arial"/>
        </w:rPr>
      </w:pPr>
    </w:p>
    <w:p w14:paraId="4D0A04A8" w14:textId="77777777" w:rsidR="00946880" w:rsidRPr="000439FD" w:rsidRDefault="00127877">
      <w:pPr>
        <w:rPr>
          <w:rFonts w:cs="Arial"/>
          <w:snapToGrid w:val="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r>
      <w:r w:rsidRPr="000439FD">
        <w:rPr>
          <w:rFonts w:cs="Arial"/>
          <w:snapToGrid w:val="0"/>
        </w:rPr>
        <w:t xml:space="preserve">Le </w:t>
      </w:r>
      <w:r w:rsidRPr="000439FD">
        <w:rPr>
          <w:rFonts w:cs="Arial"/>
          <w:color w:val="000000"/>
        </w:rPr>
        <w:t xml:space="preserve">module d'échange </w:t>
      </w:r>
      <w:r w:rsidRPr="000439FD">
        <w:rPr>
          <w:rFonts w:cs="Arial"/>
          <w:snapToGrid w:val="0"/>
        </w:rPr>
        <w:t>est disponible pour tous les membres de l'UPOV.</w:t>
      </w:r>
    </w:p>
    <w:p w14:paraId="14618151" w14:textId="77777777" w:rsidR="00417103" w:rsidRPr="000439FD" w:rsidRDefault="00417103" w:rsidP="00417103">
      <w:pPr>
        <w:rPr>
          <w:rFonts w:cs="Arial"/>
          <w:snapToGrid w:val="0"/>
        </w:rPr>
      </w:pPr>
    </w:p>
    <w:p w14:paraId="7BAAC38F" w14:textId="77777777" w:rsidR="00417103" w:rsidRPr="000439FD" w:rsidRDefault="00417103" w:rsidP="00417103">
      <w:pPr>
        <w:rPr>
          <w:rFonts w:cs="Arial"/>
          <w:snapToGrid w:val="0"/>
        </w:rPr>
      </w:pPr>
    </w:p>
    <w:p w14:paraId="611D3B8F" w14:textId="77777777" w:rsidR="00946880" w:rsidRPr="000439FD" w:rsidRDefault="00127877">
      <w:pPr>
        <w:pStyle w:val="Heading1"/>
        <w:rPr>
          <w:lang w:val="fr-FR"/>
        </w:rPr>
      </w:pPr>
      <w:bookmarkStart w:id="10" w:name="_Toc171423762"/>
      <w:bookmarkStart w:id="11" w:name="_Toc180414689"/>
      <w:r w:rsidRPr="000439FD">
        <w:rPr>
          <w:lang w:val="fr-FR"/>
        </w:rPr>
        <w:t>coût</w:t>
      </w:r>
      <w:bookmarkEnd w:id="10"/>
      <w:bookmarkEnd w:id="11"/>
    </w:p>
    <w:p w14:paraId="3982CB78" w14:textId="77777777" w:rsidR="00417103" w:rsidRPr="000439FD" w:rsidRDefault="00417103" w:rsidP="00417103">
      <w:pPr>
        <w:keepNext/>
      </w:pPr>
    </w:p>
    <w:p w14:paraId="69C4915C" w14:textId="77777777" w:rsidR="00946880" w:rsidRPr="000439FD" w:rsidRDefault="00127877">
      <w:pPr>
        <w:pStyle w:val="Heading2"/>
        <w:rPr>
          <w:color w:val="000000"/>
          <w:lang w:val="fr-FR"/>
        </w:rPr>
      </w:pPr>
      <w:bookmarkStart w:id="12" w:name="_Toc171423763"/>
      <w:bookmarkStart w:id="13" w:name="_Toc180414690"/>
      <w:r w:rsidRPr="000439FD">
        <w:rPr>
          <w:rFonts w:cs="Arial"/>
          <w:color w:val="000000"/>
          <w:lang w:val="fr-FR"/>
        </w:rPr>
        <w:t xml:space="preserve">Module d'échange de rapports DHS </w:t>
      </w:r>
      <w:r w:rsidRPr="000439FD">
        <w:rPr>
          <w:snapToGrid w:val="0"/>
          <w:lang w:val="fr-FR"/>
        </w:rPr>
        <w:t>standard UPOV e-PVP</w:t>
      </w:r>
      <w:bookmarkEnd w:id="13"/>
      <w:r w:rsidRPr="000439FD">
        <w:rPr>
          <w:snapToGrid w:val="0"/>
          <w:lang w:val="fr-FR"/>
        </w:rPr>
        <w:t xml:space="preserve"> </w:t>
      </w:r>
      <w:bookmarkEnd w:id="12"/>
    </w:p>
    <w:p w14:paraId="35095D4D" w14:textId="77777777" w:rsidR="00417103" w:rsidRPr="000439FD" w:rsidRDefault="00417103" w:rsidP="00417103">
      <w:pPr>
        <w:keepNext/>
        <w:rPr>
          <w:rFonts w:cs="Arial"/>
          <w:snapToGrid w:val="0"/>
        </w:rPr>
      </w:pPr>
    </w:p>
    <w:p w14:paraId="7F3F0173" w14:textId="4D44F497" w:rsidR="00946880" w:rsidRPr="000439FD" w:rsidRDefault="00127877">
      <w:r w:rsidRPr="000439FD">
        <w:fldChar w:fldCharType="begin"/>
      </w:r>
      <w:r w:rsidRPr="000439FD">
        <w:instrText xml:space="preserve"> AUTONUM  </w:instrText>
      </w:r>
      <w:r w:rsidRPr="000439FD">
        <w:fldChar w:fldCharType="end"/>
      </w:r>
      <w:r w:rsidRPr="000439FD">
        <w:tab/>
        <w:t>Afin de continuer à soutenir le développement et la maintenance des modules standard, il est proposé</w:t>
      </w:r>
      <w:r w:rsidR="009768D7">
        <w:t>:</w:t>
      </w:r>
    </w:p>
    <w:p w14:paraId="2F27A831" w14:textId="77777777" w:rsidR="00417103" w:rsidRPr="000439FD" w:rsidRDefault="00417103" w:rsidP="00417103">
      <w:pPr>
        <w:rPr>
          <w:highlight w:val="yellow"/>
        </w:rPr>
      </w:pPr>
    </w:p>
    <w:p w14:paraId="1F6C2CC1" w14:textId="3D748F2F" w:rsidR="00946880" w:rsidRPr="000439FD" w:rsidRDefault="009768D7">
      <w:pPr>
        <w:pStyle w:val="ListParagraph"/>
        <w:numPr>
          <w:ilvl w:val="0"/>
          <w:numId w:val="11"/>
        </w:numPr>
        <w:spacing w:after="120"/>
        <w:ind w:left="714" w:hanging="357"/>
        <w:jc w:val="both"/>
        <w:rPr>
          <w:rFonts w:ascii="Arial" w:hAnsi="Arial" w:cs="Arial"/>
          <w:sz w:val="20"/>
          <w:szCs w:val="20"/>
        </w:rPr>
      </w:pPr>
      <w:r>
        <w:rPr>
          <w:rFonts w:ascii="Arial" w:hAnsi="Arial" w:cs="Arial"/>
          <w:sz w:val="20"/>
          <w:szCs w:val="20"/>
        </w:rPr>
        <w:t>d’</w:t>
      </w:r>
      <w:r w:rsidR="00127877" w:rsidRPr="000439FD">
        <w:rPr>
          <w:rFonts w:ascii="Arial" w:hAnsi="Arial" w:cs="Arial"/>
          <w:sz w:val="20"/>
          <w:szCs w:val="20"/>
        </w:rPr>
        <w:t xml:space="preserve">obtenir un retour d'information régulier de la part des autorités qui utilisent le module d'échange par le biais d'enquêtes, de campagnes de test et d'entretiens bilatéraux. </w:t>
      </w:r>
    </w:p>
    <w:p w14:paraId="13FDB07F" w14:textId="445312D9" w:rsidR="00946880" w:rsidRPr="000439FD" w:rsidRDefault="009768D7">
      <w:pPr>
        <w:pStyle w:val="ListParagraph"/>
        <w:numPr>
          <w:ilvl w:val="0"/>
          <w:numId w:val="11"/>
        </w:numPr>
        <w:spacing w:after="120"/>
        <w:ind w:left="714" w:hanging="357"/>
        <w:jc w:val="both"/>
        <w:rPr>
          <w:rFonts w:ascii="Arial" w:hAnsi="Arial" w:cs="Arial"/>
          <w:sz w:val="20"/>
          <w:szCs w:val="20"/>
        </w:rPr>
      </w:pPr>
      <w:r>
        <w:rPr>
          <w:rFonts w:ascii="Arial" w:hAnsi="Arial" w:cs="Arial"/>
          <w:sz w:val="20"/>
          <w:szCs w:val="20"/>
        </w:rPr>
        <w:t xml:space="preserve">de </w:t>
      </w:r>
      <w:r w:rsidR="00127877" w:rsidRPr="000439FD">
        <w:rPr>
          <w:rFonts w:ascii="Arial" w:hAnsi="Arial" w:cs="Arial"/>
          <w:sz w:val="20"/>
          <w:szCs w:val="20"/>
        </w:rPr>
        <w:t xml:space="preserve">renforcer les activités de sensibilisation et de promotion du </w:t>
      </w:r>
      <w:r w:rsidR="00480D50" w:rsidRPr="000439FD">
        <w:rPr>
          <w:rFonts w:ascii="Arial" w:hAnsi="Arial" w:cs="Arial"/>
          <w:sz w:val="20"/>
          <w:szCs w:val="20"/>
        </w:rPr>
        <w:t>module d'échange</w:t>
      </w:r>
      <w:r w:rsidR="00127877" w:rsidRPr="000439FD">
        <w:rPr>
          <w:rFonts w:ascii="Arial" w:hAnsi="Arial" w:cs="Arial"/>
          <w:sz w:val="20"/>
          <w:szCs w:val="20"/>
        </w:rPr>
        <w:t xml:space="preserve">, y compris les activités de vulgarisation, telles que les webinaires, les ateliers, les tutoriels en ligne et les réunions bilatérales, afin de démontrer les avantages et les caractéristiques du </w:t>
      </w:r>
      <w:r w:rsidR="00480D50" w:rsidRPr="000439FD">
        <w:rPr>
          <w:rFonts w:ascii="Arial" w:hAnsi="Arial" w:cs="Arial"/>
          <w:sz w:val="20"/>
          <w:szCs w:val="20"/>
        </w:rPr>
        <w:t xml:space="preserve">module d'échange </w:t>
      </w:r>
      <w:r w:rsidR="00127877" w:rsidRPr="000439FD">
        <w:rPr>
          <w:rFonts w:ascii="Arial" w:hAnsi="Arial" w:cs="Arial"/>
          <w:sz w:val="20"/>
          <w:szCs w:val="20"/>
        </w:rPr>
        <w:t xml:space="preserve">et la manière dont il peut aider les autorités dans leur travail. </w:t>
      </w:r>
    </w:p>
    <w:p w14:paraId="0668BD73" w14:textId="5F1FB5D3" w:rsidR="00946880" w:rsidRPr="000439FD" w:rsidRDefault="009768D7">
      <w:pPr>
        <w:pStyle w:val="ListParagraph"/>
        <w:numPr>
          <w:ilvl w:val="0"/>
          <w:numId w:val="11"/>
        </w:numPr>
        <w:jc w:val="both"/>
        <w:rPr>
          <w:rFonts w:ascii="Arial" w:hAnsi="Arial" w:cs="Arial"/>
          <w:sz w:val="20"/>
          <w:szCs w:val="20"/>
        </w:rPr>
      </w:pPr>
      <w:r>
        <w:rPr>
          <w:rFonts w:ascii="Arial" w:hAnsi="Arial" w:cs="Arial"/>
          <w:sz w:val="20"/>
          <w:szCs w:val="20"/>
        </w:rPr>
        <w:t>d’</w:t>
      </w:r>
      <w:r w:rsidR="00127877" w:rsidRPr="000439FD">
        <w:rPr>
          <w:rFonts w:ascii="Arial" w:hAnsi="Arial" w:cs="Arial"/>
          <w:sz w:val="20"/>
          <w:szCs w:val="20"/>
        </w:rPr>
        <w:t xml:space="preserve">accueillir les contributions des membres de l'UPOV et des parties prenantes. </w:t>
      </w:r>
    </w:p>
    <w:p w14:paraId="7B3898ED" w14:textId="77777777" w:rsidR="0004119D" w:rsidRPr="000439FD" w:rsidRDefault="0004119D" w:rsidP="00605340"/>
    <w:p w14:paraId="454FA61F" w14:textId="374CEC11" w:rsidR="00946880" w:rsidRPr="000439FD" w:rsidRDefault="00127877">
      <w:r w:rsidRPr="000439FD">
        <w:fldChar w:fldCharType="begin"/>
      </w:r>
      <w:r w:rsidRPr="000439FD">
        <w:instrText xml:space="preserve"> AUTONUM  </w:instrText>
      </w:r>
      <w:r w:rsidRPr="000439FD">
        <w:fldChar w:fldCharType="end"/>
      </w:r>
      <w:r w:rsidR="009768D7">
        <w:tab/>
      </w:r>
      <w:r w:rsidR="00605340" w:rsidRPr="000439FD">
        <w:t>Les membres de l'</w:t>
      </w:r>
      <w:r w:rsidRPr="000439FD">
        <w:t xml:space="preserve">UPOV peuvent contribuer au financement direct en cas d'adaptation à des besoins spécifiques. Certains de ces besoins peuvent faire partie du module standard, contribuant ainsi à l'amélioration continue du </w:t>
      </w:r>
      <w:r w:rsidR="00480D50" w:rsidRPr="000439FD">
        <w:t>module d'échange</w:t>
      </w:r>
      <w:r w:rsidRPr="000439FD">
        <w:t>.</w:t>
      </w:r>
    </w:p>
    <w:p w14:paraId="1BA4CE01" w14:textId="77777777" w:rsidR="00417103" w:rsidRPr="000439FD" w:rsidRDefault="00417103" w:rsidP="00417103"/>
    <w:p w14:paraId="1C7FAE91" w14:textId="77777777" w:rsidR="00417103" w:rsidRPr="000439FD" w:rsidRDefault="00417103" w:rsidP="00605340"/>
    <w:p w14:paraId="6958BEF9" w14:textId="77777777" w:rsidR="00946880" w:rsidRPr="000439FD" w:rsidRDefault="00127877">
      <w:pPr>
        <w:pStyle w:val="Heading1"/>
        <w:rPr>
          <w:lang w:val="fr-FR"/>
        </w:rPr>
      </w:pPr>
      <w:bookmarkStart w:id="14" w:name="_Toc180414691"/>
      <w:r w:rsidRPr="000439FD">
        <w:rPr>
          <w:lang w:val="fr-FR"/>
        </w:rPr>
        <w:t>Développements futurs</w:t>
      </w:r>
      <w:bookmarkEnd w:id="14"/>
      <w:r w:rsidRPr="000439FD">
        <w:rPr>
          <w:lang w:val="fr-FR"/>
        </w:rPr>
        <w:t xml:space="preserve"> </w:t>
      </w:r>
      <w:bookmarkEnd w:id="7"/>
    </w:p>
    <w:p w14:paraId="0CA34F8B" w14:textId="77777777" w:rsidR="00526E87" w:rsidRPr="000439FD" w:rsidRDefault="00526E87" w:rsidP="00526E87"/>
    <w:p w14:paraId="702F4F5A" w14:textId="77777777" w:rsidR="00946880" w:rsidRPr="000439FD" w:rsidRDefault="00127877">
      <w:pPr>
        <w:rPr>
          <w:rFonts w:cs="Arial"/>
          <w:color w:val="000000"/>
          <w:u w:val="single"/>
        </w:rPr>
      </w:pPr>
      <w:r w:rsidRPr="000439FD">
        <w:rPr>
          <w:rFonts w:cs="Arial"/>
          <w:color w:val="000000"/>
          <w:u w:val="single"/>
        </w:rPr>
        <w:t>Fonctionnalités</w:t>
      </w:r>
    </w:p>
    <w:p w14:paraId="620410F3" w14:textId="77777777" w:rsidR="00526E87" w:rsidRPr="000439FD" w:rsidRDefault="00526E87" w:rsidP="00526E87">
      <w:pPr>
        <w:rPr>
          <w:rFonts w:cs="Arial"/>
          <w:color w:val="000000"/>
          <w:u w:val="single"/>
        </w:rPr>
      </w:pPr>
    </w:p>
    <w:p w14:paraId="510B31CA" w14:textId="4D39956B" w:rsidR="00946880" w:rsidRPr="000439FD" w:rsidRDefault="00127877">
      <w:pPr>
        <w:rPr>
          <w:rFonts w:cs="Arial"/>
          <w:snapToGrid w:val="0"/>
        </w:rPr>
      </w:pPr>
      <w:r w:rsidRPr="000439FD">
        <w:rPr>
          <w:rFonts w:cs="Arial"/>
          <w:color w:val="000000"/>
        </w:rPr>
        <w:fldChar w:fldCharType="begin"/>
      </w:r>
      <w:r w:rsidRPr="000439FD">
        <w:rPr>
          <w:rFonts w:cs="Arial"/>
          <w:color w:val="000000"/>
        </w:rPr>
        <w:instrText xml:space="preserve"> AUTONUM  </w:instrText>
      </w:r>
      <w:r w:rsidRPr="000439FD">
        <w:rPr>
          <w:rFonts w:cs="Arial"/>
          <w:color w:val="000000"/>
        </w:rPr>
        <w:fldChar w:fldCharType="end"/>
      </w:r>
      <w:r w:rsidRPr="000439FD">
        <w:rPr>
          <w:rFonts w:cs="Arial"/>
          <w:color w:val="000000"/>
        </w:rPr>
        <w:tab/>
      </w:r>
      <w:r w:rsidRPr="000439FD">
        <w:rPr>
          <w:rFonts w:cs="Arial"/>
          <w:snapToGrid w:val="0"/>
        </w:rPr>
        <w:t>Les fonctionnalités suivantes sont prévues dans les prochaines versions</w:t>
      </w:r>
      <w:r w:rsidR="000439FD">
        <w:rPr>
          <w:rFonts w:cs="Arial"/>
          <w:snapToGrid w:val="0"/>
        </w:rPr>
        <w:t>:</w:t>
      </w:r>
    </w:p>
    <w:p w14:paraId="3581E15C" w14:textId="77777777" w:rsidR="00526E87" w:rsidRPr="000439FD" w:rsidRDefault="00526E87" w:rsidP="00526E87">
      <w:pPr>
        <w:rPr>
          <w:rFonts w:cs="Arial"/>
          <w:snapToGrid w:val="0"/>
        </w:rPr>
      </w:pPr>
    </w:p>
    <w:p w14:paraId="52AF4B21" w14:textId="094A6CC7" w:rsidR="00946880" w:rsidRPr="000439FD" w:rsidRDefault="00127877">
      <w:pPr>
        <w:numPr>
          <w:ilvl w:val="0"/>
          <w:numId w:val="4"/>
        </w:numPr>
        <w:spacing w:after="120"/>
        <w:ind w:left="1134" w:hanging="567"/>
        <w:rPr>
          <w:rFonts w:cs="Arial"/>
          <w:color w:val="000000"/>
        </w:rPr>
      </w:pPr>
      <w:r w:rsidRPr="000439FD">
        <w:rPr>
          <w:rFonts w:cs="Arial"/>
          <w:color w:val="000000"/>
        </w:rPr>
        <w:t>Fournir un soutien pour l'échange des rapports VCU (Valeur pour la Culture et l'Utilisation) si nécessaire</w:t>
      </w:r>
      <w:r w:rsidR="000439FD">
        <w:rPr>
          <w:rFonts w:cs="Arial"/>
          <w:color w:val="000000"/>
        </w:rPr>
        <w:t>;</w:t>
      </w:r>
    </w:p>
    <w:p w14:paraId="29E2207C" w14:textId="0F7A4DF8" w:rsidR="00946880" w:rsidRPr="000439FD" w:rsidRDefault="00127877">
      <w:pPr>
        <w:numPr>
          <w:ilvl w:val="0"/>
          <w:numId w:val="4"/>
        </w:numPr>
        <w:spacing w:after="120"/>
        <w:ind w:left="1134" w:hanging="567"/>
        <w:rPr>
          <w:rFonts w:cs="Arial"/>
          <w:color w:val="000000"/>
        </w:rPr>
      </w:pPr>
      <w:r w:rsidRPr="000439FD">
        <w:rPr>
          <w:rFonts w:cs="Arial"/>
          <w:color w:val="000000"/>
        </w:rPr>
        <w:t>Ajouter un nouveau rôle pour les centres d'examen DHS</w:t>
      </w:r>
      <w:r w:rsidR="000439FD">
        <w:rPr>
          <w:rFonts w:cs="Arial"/>
          <w:color w:val="000000"/>
        </w:rPr>
        <w:t>:</w:t>
      </w:r>
    </w:p>
    <w:p w14:paraId="6304F34F" w14:textId="77777777" w:rsidR="00946880" w:rsidRPr="000439FD" w:rsidRDefault="00127877">
      <w:pPr>
        <w:numPr>
          <w:ilvl w:val="1"/>
          <w:numId w:val="5"/>
        </w:numPr>
        <w:ind w:left="1560" w:hanging="142"/>
        <w:rPr>
          <w:rFonts w:cs="Arial"/>
          <w:color w:val="000000"/>
        </w:rPr>
      </w:pPr>
      <w:r w:rsidRPr="000439FD">
        <w:rPr>
          <w:rFonts w:cs="Arial"/>
          <w:color w:val="000000"/>
        </w:rPr>
        <w:t>accepter les demandes des bureaux PVP,</w:t>
      </w:r>
    </w:p>
    <w:p w14:paraId="4FF71BBA" w14:textId="77777777" w:rsidR="00946880" w:rsidRPr="000439FD" w:rsidRDefault="00127877">
      <w:pPr>
        <w:numPr>
          <w:ilvl w:val="1"/>
          <w:numId w:val="5"/>
        </w:numPr>
        <w:ind w:left="1560" w:hanging="142"/>
        <w:rPr>
          <w:rFonts w:cs="Arial"/>
          <w:color w:val="000000"/>
        </w:rPr>
      </w:pPr>
      <w:r w:rsidRPr="000439FD">
        <w:rPr>
          <w:rFonts w:cs="Arial"/>
          <w:color w:val="000000"/>
        </w:rPr>
        <w:t>partager les résultats des tests (rapport) avec le bureau PVP lorsque ce dernier commissionne/délègue des centres de test DHS.</w:t>
      </w:r>
    </w:p>
    <w:p w14:paraId="55EF9C57" w14:textId="77777777" w:rsidR="00526E87" w:rsidRPr="000439FD" w:rsidRDefault="00526E87" w:rsidP="00526E87"/>
    <w:p w14:paraId="644D936A" w14:textId="77777777" w:rsidR="00526E87" w:rsidRPr="000439FD" w:rsidRDefault="00526E87" w:rsidP="00526E87"/>
    <w:p w14:paraId="0F1D333C" w14:textId="77777777" w:rsidR="00526E87" w:rsidRPr="000439FD" w:rsidRDefault="00526E87" w:rsidP="00526E87"/>
    <w:p w14:paraId="6E434396" w14:textId="77777777" w:rsidR="00946880" w:rsidRPr="000439FD" w:rsidRDefault="00127877">
      <w:pPr>
        <w:jc w:val="right"/>
      </w:pPr>
      <w:r w:rsidRPr="000439FD">
        <w:t>[Fin du document]</w:t>
      </w:r>
    </w:p>
    <w:p w14:paraId="2584B393" w14:textId="77777777" w:rsidR="00903264" w:rsidRPr="000439FD" w:rsidRDefault="00903264">
      <w:pPr>
        <w:jc w:val="left"/>
      </w:pPr>
    </w:p>
    <w:sectPr w:rsidR="00903264" w:rsidRPr="000439FD" w:rsidSect="00FB3B65">
      <w:headerReference w:type="default" r:id="rId8"/>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34ADA" w14:textId="77777777" w:rsidR="00526E87" w:rsidRDefault="00526E87" w:rsidP="006655D3">
      <w:r>
        <w:separator/>
      </w:r>
    </w:p>
    <w:p w14:paraId="072B5F8C" w14:textId="77777777" w:rsidR="00526E87" w:rsidRDefault="00526E87" w:rsidP="006655D3"/>
    <w:p w14:paraId="25FD22E0" w14:textId="77777777" w:rsidR="00526E87" w:rsidRDefault="00526E87" w:rsidP="006655D3"/>
  </w:endnote>
  <w:endnote w:type="continuationSeparator" w:id="0">
    <w:p w14:paraId="7120F27F" w14:textId="77777777" w:rsidR="00526E87" w:rsidRDefault="00526E87" w:rsidP="006655D3">
      <w:r>
        <w:separator/>
      </w:r>
    </w:p>
    <w:p w14:paraId="1803EB26" w14:textId="77777777" w:rsidR="00946880" w:rsidRDefault="00127877">
      <w:pPr>
        <w:pStyle w:val="Footer"/>
        <w:spacing w:after="60"/>
        <w:rPr>
          <w:sz w:val="18"/>
          <w:lang w:val="fr-FR"/>
        </w:rPr>
      </w:pPr>
      <w:r w:rsidRPr="00294751">
        <w:rPr>
          <w:sz w:val="18"/>
          <w:lang w:val="fr-FR"/>
        </w:rPr>
        <w:t>[Suite de la note de la page précédente].</w:t>
      </w:r>
    </w:p>
    <w:p w14:paraId="6960D1C4" w14:textId="77777777" w:rsidR="00526E87" w:rsidRPr="00294751" w:rsidRDefault="00526E87" w:rsidP="006655D3"/>
    <w:p w14:paraId="425C388D" w14:textId="77777777" w:rsidR="00526E87" w:rsidRPr="00294751" w:rsidRDefault="00526E87" w:rsidP="006655D3"/>
  </w:endnote>
  <w:endnote w:type="continuationNotice" w:id="1">
    <w:p w14:paraId="7769B580" w14:textId="77777777" w:rsidR="00946880" w:rsidRDefault="00127877">
      <w:r w:rsidRPr="00294751">
        <w:t>[Suite de la note page suivante]</w:t>
      </w:r>
    </w:p>
    <w:p w14:paraId="2D64F3E6" w14:textId="77777777" w:rsidR="00526E87" w:rsidRPr="00294751" w:rsidRDefault="00526E87" w:rsidP="006655D3"/>
    <w:p w14:paraId="14ED96E6" w14:textId="77777777" w:rsidR="00526E87" w:rsidRPr="00294751" w:rsidRDefault="00526E8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3CE3" w14:textId="77777777" w:rsidR="00526E87" w:rsidRDefault="00526E87" w:rsidP="006655D3">
      <w:r>
        <w:separator/>
      </w:r>
    </w:p>
  </w:footnote>
  <w:footnote w:type="continuationSeparator" w:id="0">
    <w:p w14:paraId="0B76A772" w14:textId="77777777" w:rsidR="00526E87" w:rsidRDefault="00526E87" w:rsidP="006655D3">
      <w:r>
        <w:separator/>
      </w:r>
    </w:p>
  </w:footnote>
  <w:footnote w:type="continuationNotice" w:id="1">
    <w:p w14:paraId="1591A792" w14:textId="77777777" w:rsidR="00526E87" w:rsidRPr="00AB530F" w:rsidRDefault="00526E8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7F5D" w14:textId="77777777" w:rsidR="00946880" w:rsidRDefault="00940DE2">
    <w:pPr>
      <w:pStyle w:val="Header"/>
      <w:rPr>
        <w:rStyle w:val="PageNumber"/>
        <w:lang w:val="en-US"/>
      </w:rPr>
    </w:pPr>
    <w:r>
      <w:rPr>
        <w:rStyle w:val="PageNumber"/>
        <w:lang w:val="en-US"/>
      </w:rPr>
      <w:t>EAM/4/5</w:t>
    </w:r>
  </w:p>
  <w:p w14:paraId="7328D997" w14:textId="77777777" w:rsidR="00946880" w:rsidRDefault="0012787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013068A6"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A50A9"/>
    <w:multiLevelType w:val="hybridMultilevel"/>
    <w:tmpl w:val="5044D8BE"/>
    <w:lvl w:ilvl="0" w:tplc="2026A2E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94270"/>
    <w:multiLevelType w:val="hybridMultilevel"/>
    <w:tmpl w:val="093ED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33CB5"/>
    <w:multiLevelType w:val="hybridMultilevel"/>
    <w:tmpl w:val="4BDC9342"/>
    <w:lvl w:ilvl="0" w:tplc="FFFFFFFF">
      <w:start w:val="1"/>
      <w:numFmt w:val="bullet"/>
      <w:lvlText w:val=""/>
      <w:lvlJc w:val="left"/>
      <w:pPr>
        <w:tabs>
          <w:tab w:val="num" w:pos="720"/>
        </w:tabs>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555FAB"/>
    <w:multiLevelType w:val="hybridMultilevel"/>
    <w:tmpl w:val="F7D6725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2E6B89"/>
    <w:multiLevelType w:val="hybridMultilevel"/>
    <w:tmpl w:val="973C4382"/>
    <w:lvl w:ilvl="0" w:tplc="FFFFFFFF">
      <w:start w:val="1"/>
      <w:numFmt w:val="lowerLetter"/>
      <w:lvlText w:val="(%1)"/>
      <w:lvlJc w:val="left"/>
      <w:pPr>
        <w:ind w:left="720" w:hanging="360"/>
      </w:pPr>
      <w:rPr>
        <w:rFonts w:hint="default"/>
      </w:rPr>
    </w:lvl>
    <w:lvl w:ilvl="1" w:tplc="BD865B94">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505527"/>
    <w:multiLevelType w:val="hybridMultilevel"/>
    <w:tmpl w:val="889EB2E2"/>
    <w:lvl w:ilvl="0" w:tplc="B8122F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C6603C"/>
    <w:multiLevelType w:val="hybridMultilevel"/>
    <w:tmpl w:val="4FDE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434D7D"/>
    <w:multiLevelType w:val="hybridMultilevel"/>
    <w:tmpl w:val="E360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389757">
    <w:abstractNumId w:val="9"/>
  </w:num>
  <w:num w:numId="2" w16cid:durableId="465124363">
    <w:abstractNumId w:val="1"/>
  </w:num>
  <w:num w:numId="3" w16cid:durableId="1087382061">
    <w:abstractNumId w:val="7"/>
  </w:num>
  <w:num w:numId="4" w16cid:durableId="1173029224">
    <w:abstractNumId w:val="6"/>
  </w:num>
  <w:num w:numId="5" w16cid:durableId="277110331">
    <w:abstractNumId w:val="4"/>
  </w:num>
  <w:num w:numId="6" w16cid:durableId="1777942337">
    <w:abstractNumId w:val="10"/>
  </w:num>
  <w:num w:numId="7" w16cid:durableId="1128082441">
    <w:abstractNumId w:val="2"/>
  </w:num>
  <w:num w:numId="8" w16cid:durableId="922836390">
    <w:abstractNumId w:val="11"/>
  </w:num>
  <w:num w:numId="9" w16cid:durableId="226036084">
    <w:abstractNumId w:val="8"/>
  </w:num>
  <w:num w:numId="10" w16cid:durableId="869225328">
    <w:abstractNumId w:val="0"/>
  </w:num>
  <w:num w:numId="11" w16cid:durableId="968441256">
    <w:abstractNumId w:val="3"/>
  </w:num>
  <w:num w:numId="12" w16cid:durableId="419982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87"/>
    <w:rsid w:val="000025A1"/>
    <w:rsid w:val="00010CF3"/>
    <w:rsid w:val="00011E27"/>
    <w:rsid w:val="000148BC"/>
    <w:rsid w:val="000214FB"/>
    <w:rsid w:val="00024AB8"/>
    <w:rsid w:val="00030854"/>
    <w:rsid w:val="00033797"/>
    <w:rsid w:val="00035353"/>
    <w:rsid w:val="000356CB"/>
    <w:rsid w:val="00036028"/>
    <w:rsid w:val="0004119D"/>
    <w:rsid w:val="000439FD"/>
    <w:rsid w:val="00044642"/>
    <w:rsid w:val="000446B9"/>
    <w:rsid w:val="00047E21"/>
    <w:rsid w:val="00050E16"/>
    <w:rsid w:val="000805AE"/>
    <w:rsid w:val="00081306"/>
    <w:rsid w:val="00081F43"/>
    <w:rsid w:val="00085505"/>
    <w:rsid w:val="000C4E25"/>
    <w:rsid w:val="000C7021"/>
    <w:rsid w:val="000D6BBC"/>
    <w:rsid w:val="000D7780"/>
    <w:rsid w:val="000E636A"/>
    <w:rsid w:val="000F2F11"/>
    <w:rsid w:val="00105929"/>
    <w:rsid w:val="00110C36"/>
    <w:rsid w:val="001131D5"/>
    <w:rsid w:val="00127877"/>
    <w:rsid w:val="00141DB8"/>
    <w:rsid w:val="001566E6"/>
    <w:rsid w:val="001701AC"/>
    <w:rsid w:val="00172084"/>
    <w:rsid w:val="0017474A"/>
    <w:rsid w:val="001758C6"/>
    <w:rsid w:val="00182B99"/>
    <w:rsid w:val="001C1525"/>
    <w:rsid w:val="001C2279"/>
    <w:rsid w:val="001D0CF7"/>
    <w:rsid w:val="001E539A"/>
    <w:rsid w:val="001F3AC2"/>
    <w:rsid w:val="0021332C"/>
    <w:rsid w:val="00213982"/>
    <w:rsid w:val="0024416D"/>
    <w:rsid w:val="00271911"/>
    <w:rsid w:val="002800A0"/>
    <w:rsid w:val="002801B3"/>
    <w:rsid w:val="00281060"/>
    <w:rsid w:val="002940E8"/>
    <w:rsid w:val="00294751"/>
    <w:rsid w:val="002A6E50"/>
    <w:rsid w:val="002B4298"/>
    <w:rsid w:val="002C256A"/>
    <w:rsid w:val="002D2012"/>
    <w:rsid w:val="002D62AE"/>
    <w:rsid w:val="00304064"/>
    <w:rsid w:val="00305A7F"/>
    <w:rsid w:val="003152FE"/>
    <w:rsid w:val="00327436"/>
    <w:rsid w:val="00344BD6"/>
    <w:rsid w:val="0035528D"/>
    <w:rsid w:val="00361821"/>
    <w:rsid w:val="00361E9E"/>
    <w:rsid w:val="003A2612"/>
    <w:rsid w:val="003C7FBE"/>
    <w:rsid w:val="003D227C"/>
    <w:rsid w:val="003D2B4D"/>
    <w:rsid w:val="003F4EB5"/>
    <w:rsid w:val="00401F26"/>
    <w:rsid w:val="00403DA0"/>
    <w:rsid w:val="00417103"/>
    <w:rsid w:val="00422032"/>
    <w:rsid w:val="0044443C"/>
    <w:rsid w:val="00444A88"/>
    <w:rsid w:val="00474DA4"/>
    <w:rsid w:val="00476B4D"/>
    <w:rsid w:val="004805FA"/>
    <w:rsid w:val="00480D50"/>
    <w:rsid w:val="00483CB6"/>
    <w:rsid w:val="004935D2"/>
    <w:rsid w:val="004B1215"/>
    <w:rsid w:val="004D047D"/>
    <w:rsid w:val="004F1E9E"/>
    <w:rsid w:val="004F305A"/>
    <w:rsid w:val="00504BD4"/>
    <w:rsid w:val="00512164"/>
    <w:rsid w:val="00520297"/>
    <w:rsid w:val="00526E87"/>
    <w:rsid w:val="005338F9"/>
    <w:rsid w:val="0054281C"/>
    <w:rsid w:val="00544581"/>
    <w:rsid w:val="0055268D"/>
    <w:rsid w:val="00567AED"/>
    <w:rsid w:val="00576BE4"/>
    <w:rsid w:val="00592BE8"/>
    <w:rsid w:val="005A400A"/>
    <w:rsid w:val="005F7B92"/>
    <w:rsid w:val="00605340"/>
    <w:rsid w:val="00612379"/>
    <w:rsid w:val="006153B6"/>
    <w:rsid w:val="0061555F"/>
    <w:rsid w:val="00636CA6"/>
    <w:rsid w:val="00641200"/>
    <w:rsid w:val="00645CA8"/>
    <w:rsid w:val="006655D3"/>
    <w:rsid w:val="0066582D"/>
    <w:rsid w:val="00666DA5"/>
    <w:rsid w:val="00667404"/>
    <w:rsid w:val="006756C7"/>
    <w:rsid w:val="006821B2"/>
    <w:rsid w:val="00687EB4"/>
    <w:rsid w:val="00695C56"/>
    <w:rsid w:val="006A5CDE"/>
    <w:rsid w:val="006A644A"/>
    <w:rsid w:val="006B17D2"/>
    <w:rsid w:val="006C224E"/>
    <w:rsid w:val="006C6DD5"/>
    <w:rsid w:val="006D780A"/>
    <w:rsid w:val="00703690"/>
    <w:rsid w:val="0071271E"/>
    <w:rsid w:val="00732DEC"/>
    <w:rsid w:val="00735BD5"/>
    <w:rsid w:val="00751613"/>
    <w:rsid w:val="007556F6"/>
    <w:rsid w:val="00760591"/>
    <w:rsid w:val="00760EEF"/>
    <w:rsid w:val="00777EE5"/>
    <w:rsid w:val="00784836"/>
    <w:rsid w:val="0079023E"/>
    <w:rsid w:val="007A2854"/>
    <w:rsid w:val="007C1D92"/>
    <w:rsid w:val="007C4CB9"/>
    <w:rsid w:val="007D0B9D"/>
    <w:rsid w:val="007D19B0"/>
    <w:rsid w:val="007D3DD7"/>
    <w:rsid w:val="007F2723"/>
    <w:rsid w:val="007F498F"/>
    <w:rsid w:val="0080679D"/>
    <w:rsid w:val="008108B0"/>
    <w:rsid w:val="00811B20"/>
    <w:rsid w:val="008211B5"/>
    <w:rsid w:val="0082296E"/>
    <w:rsid w:val="00824099"/>
    <w:rsid w:val="0082646C"/>
    <w:rsid w:val="008377D0"/>
    <w:rsid w:val="00840595"/>
    <w:rsid w:val="00846D7C"/>
    <w:rsid w:val="00867AC1"/>
    <w:rsid w:val="00890DF8"/>
    <w:rsid w:val="008A743F"/>
    <w:rsid w:val="008C0970"/>
    <w:rsid w:val="008C3987"/>
    <w:rsid w:val="008D0BC5"/>
    <w:rsid w:val="008D2CF7"/>
    <w:rsid w:val="008F2FB4"/>
    <w:rsid w:val="00900C26"/>
    <w:rsid w:val="0090197F"/>
    <w:rsid w:val="00902C86"/>
    <w:rsid w:val="00903264"/>
    <w:rsid w:val="009036C9"/>
    <w:rsid w:val="00906DDC"/>
    <w:rsid w:val="00934E09"/>
    <w:rsid w:val="00936253"/>
    <w:rsid w:val="00940D46"/>
    <w:rsid w:val="00940DE2"/>
    <w:rsid w:val="00943997"/>
    <w:rsid w:val="00946880"/>
    <w:rsid w:val="00952DD4"/>
    <w:rsid w:val="00965AE7"/>
    <w:rsid w:val="00970FED"/>
    <w:rsid w:val="009768D7"/>
    <w:rsid w:val="00992D82"/>
    <w:rsid w:val="00997029"/>
    <w:rsid w:val="009A3DBD"/>
    <w:rsid w:val="009A7339"/>
    <w:rsid w:val="009B440E"/>
    <w:rsid w:val="009D690D"/>
    <w:rsid w:val="009E65B6"/>
    <w:rsid w:val="009F77CF"/>
    <w:rsid w:val="00A016B6"/>
    <w:rsid w:val="00A24C10"/>
    <w:rsid w:val="00A33150"/>
    <w:rsid w:val="00A42AC3"/>
    <w:rsid w:val="00A430CF"/>
    <w:rsid w:val="00A54309"/>
    <w:rsid w:val="00AB2B93"/>
    <w:rsid w:val="00AB530F"/>
    <w:rsid w:val="00AB5F59"/>
    <w:rsid w:val="00AB7E5B"/>
    <w:rsid w:val="00AC2883"/>
    <w:rsid w:val="00AE0EF1"/>
    <w:rsid w:val="00AE2937"/>
    <w:rsid w:val="00B07301"/>
    <w:rsid w:val="00B11F3E"/>
    <w:rsid w:val="00B224DE"/>
    <w:rsid w:val="00B324D4"/>
    <w:rsid w:val="00B46575"/>
    <w:rsid w:val="00B61777"/>
    <w:rsid w:val="00B63058"/>
    <w:rsid w:val="00B67675"/>
    <w:rsid w:val="00B84BBD"/>
    <w:rsid w:val="00B94B35"/>
    <w:rsid w:val="00BA43FB"/>
    <w:rsid w:val="00BA528E"/>
    <w:rsid w:val="00BC127D"/>
    <w:rsid w:val="00BC1FE6"/>
    <w:rsid w:val="00BD45C1"/>
    <w:rsid w:val="00BD5AAE"/>
    <w:rsid w:val="00BD7AD6"/>
    <w:rsid w:val="00C036EB"/>
    <w:rsid w:val="00C061B6"/>
    <w:rsid w:val="00C17B85"/>
    <w:rsid w:val="00C2446C"/>
    <w:rsid w:val="00C36AE5"/>
    <w:rsid w:val="00C41F17"/>
    <w:rsid w:val="00C527FA"/>
    <w:rsid w:val="00C5280D"/>
    <w:rsid w:val="00C53EB3"/>
    <w:rsid w:val="00C5791C"/>
    <w:rsid w:val="00C66290"/>
    <w:rsid w:val="00C72B7A"/>
    <w:rsid w:val="00C867FB"/>
    <w:rsid w:val="00C973F2"/>
    <w:rsid w:val="00CA304C"/>
    <w:rsid w:val="00CA774A"/>
    <w:rsid w:val="00CC11B0"/>
    <w:rsid w:val="00CC2841"/>
    <w:rsid w:val="00CF1330"/>
    <w:rsid w:val="00CF7E36"/>
    <w:rsid w:val="00D3708D"/>
    <w:rsid w:val="00D40426"/>
    <w:rsid w:val="00D57C96"/>
    <w:rsid w:val="00D57D18"/>
    <w:rsid w:val="00D75F1A"/>
    <w:rsid w:val="00D91203"/>
    <w:rsid w:val="00D95174"/>
    <w:rsid w:val="00DA3637"/>
    <w:rsid w:val="00DA4973"/>
    <w:rsid w:val="00DA6F36"/>
    <w:rsid w:val="00DB596E"/>
    <w:rsid w:val="00DB7773"/>
    <w:rsid w:val="00DC00EA"/>
    <w:rsid w:val="00DC3802"/>
    <w:rsid w:val="00E07D87"/>
    <w:rsid w:val="00E32F7E"/>
    <w:rsid w:val="00E43C04"/>
    <w:rsid w:val="00E5267B"/>
    <w:rsid w:val="00E63C0E"/>
    <w:rsid w:val="00E72D49"/>
    <w:rsid w:val="00E7593C"/>
    <w:rsid w:val="00E7678A"/>
    <w:rsid w:val="00E935F1"/>
    <w:rsid w:val="00E94A81"/>
    <w:rsid w:val="00EA04C7"/>
    <w:rsid w:val="00EA1FFB"/>
    <w:rsid w:val="00EB048E"/>
    <w:rsid w:val="00EB4E9C"/>
    <w:rsid w:val="00EB6407"/>
    <w:rsid w:val="00EE34DF"/>
    <w:rsid w:val="00EE78D4"/>
    <w:rsid w:val="00EF2F89"/>
    <w:rsid w:val="00F03E98"/>
    <w:rsid w:val="00F04956"/>
    <w:rsid w:val="00F1237A"/>
    <w:rsid w:val="00F221E0"/>
    <w:rsid w:val="00F22CBD"/>
    <w:rsid w:val="00F272F1"/>
    <w:rsid w:val="00F45372"/>
    <w:rsid w:val="00F560F7"/>
    <w:rsid w:val="00F6334D"/>
    <w:rsid w:val="00F63599"/>
    <w:rsid w:val="00FA217E"/>
    <w:rsid w:val="00FA49AB"/>
    <w:rsid w:val="00FB2687"/>
    <w:rsid w:val="00FB3B65"/>
    <w:rsid w:val="00FE39C7"/>
    <w:rsid w:val="00FF4D07"/>
    <w:rsid w:val="00FF6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5EF1C"/>
  <w15:docId w15:val="{B53DFA47-AAF7-4DDF-9BE5-E7AAF91A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9FD"/>
    <w:pPr>
      <w:jc w:val="both"/>
    </w:pPr>
    <w:rPr>
      <w:rFonts w:ascii="Arial" w:hAnsi="Arial"/>
      <w:lang w:val="fr-FR"/>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526E87"/>
    <w:rPr>
      <w:rFonts w:ascii="Arial" w:hAnsi="Arial"/>
      <w:caps/>
    </w:rPr>
  </w:style>
  <w:style w:type="paragraph" w:styleId="Revision">
    <w:name w:val="Revision"/>
    <w:hidden/>
    <w:uiPriority w:val="99"/>
    <w:semiHidden/>
    <w:rsid w:val="0004119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13</TotalTime>
  <Pages>3</Pages>
  <Words>1312</Words>
  <Characters>7792</Characters>
  <Application>Microsoft Office Word</Application>
  <DocSecurity>0</DocSecurity>
  <Lines>229</Lines>
  <Paragraphs>126</Paragraphs>
  <ScaleCrop>false</ScaleCrop>
  <HeadingPairs>
    <vt:vector size="2" baseType="variant">
      <vt:variant>
        <vt:lpstr>Title</vt:lpstr>
      </vt:variant>
      <vt:variant>
        <vt:i4>1</vt:i4>
      </vt:variant>
    </vt:vector>
  </HeadingPairs>
  <TitlesOfParts>
    <vt:vector size="1" baseType="lpstr">
      <vt:lpstr>EAM/4/5</vt:lpstr>
    </vt:vector>
  </TitlesOfParts>
  <Company>UPOV</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EAM/4/5</dc:title>
  <dc:creator>MADHOUR Hend</dc:creator>
  <cp:keywords/>
  <cp:lastModifiedBy>SANCHEZ VIZCAINO GOMEZ Rosa Maria</cp:lastModifiedBy>
  <cp:revision>8</cp:revision>
  <cp:lastPrinted>2016-11-22T15:41:00Z</cp:lastPrinted>
  <dcterms:created xsi:type="dcterms:W3CDTF">2024-10-17T17:49:00Z</dcterms:created>
  <dcterms:modified xsi:type="dcterms:W3CDTF">2024-10-21T12:56:00Z</dcterms:modified>
</cp:coreProperties>
</file>