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14:paraId="012883EC" w14:textId="77777777" w:rsidTr="00EB4E9C">
        <w:tc>
          <w:tcPr>
            <w:tcW w:w="6522" w:type="dxa"/>
          </w:tcPr>
          <w:p w14:paraId="2BB659D7" w14:textId="77777777"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30B6F2D3" wp14:editId="758E59B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DA15437" w14:textId="77777777"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163C1A" w14:paraId="3FB27185" w14:textId="77777777" w:rsidTr="00645CA8">
        <w:trPr>
          <w:trHeight w:val="219"/>
        </w:trPr>
        <w:tc>
          <w:tcPr>
            <w:tcW w:w="6522" w:type="dxa"/>
          </w:tcPr>
          <w:p w14:paraId="0A59A238" w14:textId="77777777"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2BB0FBA3" w14:textId="77777777"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14:paraId="3BB9E095" w14:textId="77777777" w:rsidR="00DC3802" w:rsidRPr="00B13CCD" w:rsidRDefault="00DC3802" w:rsidP="00DC3802">
      <w:pPr>
        <w:rPr>
          <w:lang w:val="fr-FR"/>
        </w:rPr>
      </w:pPr>
    </w:p>
    <w:p w14:paraId="64E98D71" w14:textId="77777777"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63C1A" w14:paraId="54DAC4CA" w14:textId="77777777" w:rsidTr="00EB4E9C">
        <w:tc>
          <w:tcPr>
            <w:tcW w:w="6512" w:type="dxa"/>
          </w:tcPr>
          <w:p w14:paraId="6EE415AB" w14:textId="77777777" w:rsidR="00EB4E9C" w:rsidRPr="00EC7EDD" w:rsidRDefault="00780140" w:rsidP="001A7458">
            <w:pPr>
              <w:pStyle w:val="Sessiontc"/>
              <w:spacing w:after="280" w:line="240" w:lineRule="auto"/>
              <w:rPr>
                <w:lang w:val="fr-FR"/>
              </w:rPr>
            </w:pPr>
            <w:r w:rsidRPr="00EC7EDD">
              <w:rPr>
                <w:lang w:val="fr-FR"/>
              </w:rPr>
              <w:t xml:space="preserve">Réunion </w:t>
            </w:r>
            <w:r w:rsidR="00614546" w:rsidRPr="00EC7EDD">
              <w:rPr>
                <w:lang w:val="fr-FR"/>
              </w:rPr>
              <w:t>sur</w:t>
            </w:r>
            <w:r w:rsidR="001A7458">
              <w:rPr>
                <w:lang w:val="fr-FR"/>
              </w:rPr>
              <w:t xml:space="preserve"> les </w:t>
            </w:r>
            <w:r w:rsidR="00B13CCD" w:rsidRPr="00EC7EDD">
              <w:rPr>
                <w:lang w:val="fr-FR"/>
              </w:rPr>
              <w:t>demande</w:t>
            </w:r>
            <w:r w:rsidR="001A7458">
              <w:rPr>
                <w:lang w:val="fr-FR"/>
              </w:rPr>
              <w:t>s</w:t>
            </w:r>
            <w:r w:rsidR="00B33C48" w:rsidRPr="00EC7EDD">
              <w:rPr>
                <w:lang w:val="fr-FR"/>
              </w:rPr>
              <w:t xml:space="preserve"> électronique</w:t>
            </w:r>
            <w:r w:rsidR="001A7458">
              <w:rPr>
                <w:lang w:val="fr-FR"/>
              </w:rPr>
              <w:t>s</w:t>
            </w:r>
          </w:p>
          <w:p w14:paraId="3F20375C" w14:textId="77777777" w:rsidR="00EB4E9C" w:rsidRPr="0046621C" w:rsidRDefault="001A7458" w:rsidP="0046621C">
            <w:pPr>
              <w:pStyle w:val="Sessiontcplacedate"/>
              <w:spacing w:before="0"/>
              <w:contextualSpacing w:val="0"/>
              <w:rPr>
                <w:lang w:val="fr-FR"/>
              </w:rPr>
            </w:pPr>
            <w:r>
              <w:rPr>
                <w:lang w:val="fr-FR"/>
              </w:rPr>
              <w:t>Première</w:t>
            </w:r>
            <w:r w:rsidR="0046621C">
              <w:rPr>
                <w:lang w:val="fr-FR"/>
              </w:rPr>
              <w:t> </w:t>
            </w:r>
            <w:r w:rsidR="00914E9A" w:rsidRPr="00EC7EDD">
              <w:rPr>
                <w:lang w:val="fr-FR"/>
              </w:rPr>
              <w:t>réunion</w:t>
            </w:r>
            <w:r w:rsidR="00EB4E9C" w:rsidRPr="00EC7EDD">
              <w:rPr>
                <w:lang w:val="fr-FR"/>
              </w:rPr>
              <w:br/>
              <w:t>Gen</w:t>
            </w:r>
            <w:r w:rsidR="00914E9A" w:rsidRPr="00EC7EDD">
              <w:rPr>
                <w:lang w:val="fr-FR"/>
              </w:rPr>
              <w:t>è</w:t>
            </w:r>
            <w:r w:rsidR="00EB4E9C" w:rsidRPr="00EC7EDD">
              <w:rPr>
                <w:lang w:val="fr-FR"/>
              </w:rPr>
              <w:t>v</w:t>
            </w:r>
            <w:r w:rsidR="00914E9A" w:rsidRPr="00EC7EDD">
              <w:rPr>
                <w:lang w:val="fr-FR"/>
              </w:rPr>
              <w:t>e</w:t>
            </w:r>
            <w:r w:rsidR="00EB4E9C" w:rsidRPr="00EC7EDD">
              <w:rPr>
                <w:lang w:val="fr-FR"/>
              </w:rPr>
              <w:t xml:space="preserve">, </w:t>
            </w:r>
            <w:r>
              <w:rPr>
                <w:lang w:val="fr-FR"/>
              </w:rPr>
              <w:t>15</w:t>
            </w:r>
            <w:r w:rsidR="0046621C">
              <w:rPr>
                <w:lang w:val="fr-FR"/>
              </w:rPr>
              <w:t> </w:t>
            </w:r>
            <w:r>
              <w:rPr>
                <w:lang w:val="fr-FR"/>
              </w:rPr>
              <w:t>mars</w:t>
            </w:r>
            <w:r w:rsidR="0046621C">
              <w:rPr>
                <w:lang w:val="fr-FR"/>
              </w:rPr>
              <w:t> </w:t>
            </w:r>
            <w:r>
              <w:rPr>
                <w:lang w:val="fr-FR"/>
              </w:rPr>
              <w:t>2023</w:t>
            </w:r>
          </w:p>
        </w:tc>
        <w:tc>
          <w:tcPr>
            <w:tcW w:w="3127" w:type="dxa"/>
          </w:tcPr>
          <w:p w14:paraId="51F8902C" w14:textId="77777777" w:rsidR="00B13CCD" w:rsidRPr="00EC7EDD" w:rsidRDefault="00737692" w:rsidP="001A7458">
            <w:pPr>
              <w:pStyle w:val="Doccode"/>
              <w:spacing w:after="320"/>
              <w:rPr>
                <w:lang w:val="fr-FR"/>
              </w:rPr>
            </w:pPr>
            <w:r>
              <w:rPr>
                <w:lang w:val="fr-FR"/>
              </w:rPr>
              <w:t>EA</w:t>
            </w:r>
            <w:r w:rsidR="001A7458">
              <w:rPr>
                <w:lang w:val="fr-FR"/>
              </w:rPr>
              <w:t>M</w:t>
            </w:r>
            <w:r>
              <w:rPr>
                <w:lang w:val="fr-FR"/>
              </w:rPr>
              <w:t>/</w:t>
            </w:r>
            <w:r w:rsidR="001A7458">
              <w:rPr>
                <w:lang w:val="fr-FR"/>
              </w:rPr>
              <w:t>1</w:t>
            </w:r>
            <w:r w:rsidR="00765C84">
              <w:rPr>
                <w:lang w:val="fr-FR"/>
              </w:rPr>
              <w:t>/</w:t>
            </w:r>
            <w:r w:rsidR="0046621C">
              <w:rPr>
                <w:lang w:val="fr-FR"/>
              </w:rPr>
              <w:t>2</w:t>
            </w:r>
          </w:p>
          <w:p w14:paraId="47BFDA53" w14:textId="77777777" w:rsidR="00EB4E9C" w:rsidRPr="00EC7EDD" w:rsidRDefault="00EB4E9C" w:rsidP="001A7458">
            <w:pPr>
              <w:pStyle w:val="Doccode"/>
              <w:rPr>
                <w:lang w:val="fr-FR"/>
              </w:rPr>
            </w:pPr>
            <w:r w:rsidRPr="00EC7EDD">
              <w:rPr>
                <w:lang w:val="fr-FR"/>
              </w:rPr>
              <w:t>Original</w:t>
            </w:r>
            <w:r w:rsidR="00E63276">
              <w:rPr>
                <w:lang w:val="fr-FR"/>
              </w:rPr>
              <w:t> :</w:t>
            </w:r>
            <w:r w:rsidRPr="00EC7EDD">
              <w:rPr>
                <w:b w:val="0"/>
                <w:spacing w:val="0"/>
                <w:lang w:val="fr-FR"/>
              </w:rPr>
              <w:t xml:space="preserve"> </w:t>
            </w:r>
            <w:r w:rsidR="00776EDC" w:rsidRPr="00EC7EDD">
              <w:rPr>
                <w:b w:val="0"/>
                <w:spacing w:val="0"/>
                <w:lang w:val="fr-FR"/>
              </w:rPr>
              <w:t>anglais</w:t>
            </w:r>
          </w:p>
          <w:p w14:paraId="26278309" w14:textId="77777777" w:rsidR="00EB4E9C" w:rsidRPr="00B13CCD" w:rsidRDefault="00EB4E9C" w:rsidP="0046621C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EC7EDD">
              <w:rPr>
                <w:lang w:val="fr-FR"/>
              </w:rPr>
              <w:t>Date</w:t>
            </w:r>
            <w:r w:rsidR="00E63276">
              <w:rPr>
                <w:lang w:val="fr-FR"/>
              </w:rPr>
              <w:t> :</w:t>
            </w:r>
            <w:r w:rsidR="0046621C" w:rsidRPr="0046621C">
              <w:rPr>
                <w:b w:val="0"/>
                <w:lang w:val="fr-FR"/>
              </w:rPr>
              <w:t xml:space="preserve"> 8 mars </w:t>
            </w:r>
            <w:r w:rsidR="00776EDC" w:rsidRPr="0046621C">
              <w:rPr>
                <w:b w:val="0"/>
                <w:lang w:val="fr-FR"/>
              </w:rPr>
              <w:t>20</w:t>
            </w:r>
            <w:r w:rsidR="00765C84" w:rsidRPr="0046621C">
              <w:rPr>
                <w:b w:val="0"/>
                <w:lang w:val="fr-FR"/>
              </w:rPr>
              <w:t>2</w:t>
            </w:r>
            <w:r w:rsidR="00720D8A" w:rsidRPr="0046621C">
              <w:rPr>
                <w:b w:val="0"/>
                <w:lang w:val="fr-FR"/>
              </w:rPr>
              <w:t>3</w:t>
            </w:r>
          </w:p>
        </w:tc>
      </w:tr>
    </w:tbl>
    <w:p w14:paraId="67BC4F06" w14:textId="371AE539" w:rsidR="000D7780" w:rsidRPr="00B13CCD" w:rsidRDefault="0046621C" w:rsidP="006A644A">
      <w:pPr>
        <w:pStyle w:val="Titleofdoc0"/>
        <w:rPr>
          <w:lang w:val="fr-FR"/>
        </w:rPr>
      </w:pPr>
      <w:r>
        <w:rPr>
          <w:lang w:val="fr-FR"/>
        </w:rPr>
        <w:t>Vue d</w:t>
      </w:r>
      <w:r w:rsidR="00E63276">
        <w:rPr>
          <w:lang w:val="fr-FR"/>
        </w:rPr>
        <w:t>’</w:t>
      </w:r>
      <w:r>
        <w:rPr>
          <w:lang w:val="fr-FR"/>
        </w:rPr>
        <w:t xml:space="preserve">ensemble </w:t>
      </w:r>
      <w:r w:rsidR="00E17DD7">
        <w:rPr>
          <w:lang w:val="fr-FR"/>
        </w:rPr>
        <w:t>d</w:t>
      </w:r>
      <w:r w:rsidR="00EE69E9">
        <w:rPr>
          <w:lang w:val="fr-FR"/>
        </w:rPr>
        <w:t>e L</w:t>
      </w:r>
      <w:r w:rsidR="00E17DD7">
        <w:rPr>
          <w:lang w:val="fr-FR"/>
        </w:rPr>
        <w:t>’UPOV </w:t>
      </w:r>
      <w:r w:rsidR="00E17DD7">
        <w:rPr>
          <w:caps w:val="0"/>
          <w:lang w:val="fr-FR"/>
        </w:rPr>
        <w:t>e</w:t>
      </w:r>
      <w:r w:rsidR="00E17DD7">
        <w:rPr>
          <w:caps w:val="0"/>
          <w:lang w:val="fr-FR"/>
        </w:rPr>
        <w:noBreakHyphen/>
        <w:t>PVP</w:t>
      </w:r>
    </w:p>
    <w:p w14:paraId="3E308A9F" w14:textId="77777777" w:rsidR="006A644A" w:rsidRPr="00B13CCD" w:rsidRDefault="00914E9A" w:rsidP="006A644A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Document établi par le Bureau de l</w:t>
      </w:r>
      <w:r w:rsidR="00E63276">
        <w:rPr>
          <w:lang w:val="fr-FR"/>
        </w:rPr>
        <w:t>’</w:t>
      </w:r>
      <w:r w:rsidRPr="00B13CCD">
        <w:rPr>
          <w:lang w:val="fr-FR"/>
        </w:rPr>
        <w:t>Union</w:t>
      </w:r>
    </w:p>
    <w:p w14:paraId="6742CFC0" w14:textId="77777777" w:rsidR="00050E16" w:rsidRPr="00B13CCD" w:rsidRDefault="00914E9A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</w:t>
      </w:r>
      <w:r w:rsidR="00E63276">
        <w:rPr>
          <w:lang w:val="fr-FR"/>
        </w:rPr>
        <w:t> :</w:t>
      </w:r>
      <w:r w:rsidRPr="00B13CCD">
        <w:rPr>
          <w:lang w:val="fr-FR"/>
        </w:rPr>
        <w:t xml:space="preserve"> le présent document ne représente pas les principes ou les orientations de l</w:t>
      </w:r>
      <w:r w:rsidR="00E63276">
        <w:rPr>
          <w:lang w:val="fr-FR"/>
        </w:rPr>
        <w:t>’</w:t>
      </w:r>
      <w:r w:rsidRPr="00B13CCD">
        <w:rPr>
          <w:lang w:val="fr-FR"/>
        </w:rPr>
        <w:t>UPOV</w:t>
      </w:r>
    </w:p>
    <w:p w14:paraId="0928D85D" w14:textId="77777777" w:rsidR="0046621C" w:rsidRPr="00414233" w:rsidRDefault="007C2AF2" w:rsidP="00BB4480">
      <w:pPr>
        <w:pStyle w:val="Heading1"/>
      </w:pPr>
      <w:bookmarkStart w:id="2" w:name="_Toc475955714"/>
      <w:bookmarkStart w:id="3" w:name="_Toc477186291"/>
      <w:bookmarkStart w:id="4" w:name="_Toc126154036"/>
      <w:bookmarkStart w:id="5" w:name="_Toc148447691"/>
      <w:r w:rsidRPr="007C2AF2">
        <w:t>Résumé</w:t>
      </w:r>
      <w:bookmarkEnd w:id="2"/>
      <w:bookmarkEnd w:id="3"/>
      <w:bookmarkEnd w:id="4"/>
      <w:bookmarkEnd w:id="5"/>
    </w:p>
    <w:p w14:paraId="7F011291" w14:textId="77777777" w:rsidR="0046621C" w:rsidRPr="0046621C" w:rsidRDefault="0046621C" w:rsidP="00414233">
      <w:pPr>
        <w:spacing w:after="240"/>
        <w:rPr>
          <w:rFonts w:cs="Arial"/>
          <w:color w:val="000000"/>
          <w:lang w:val="fr-FR"/>
        </w:rPr>
      </w:pPr>
      <w:r w:rsidRPr="00057624">
        <w:rPr>
          <w:rFonts w:cs="Arial"/>
          <w:color w:val="000000"/>
        </w:rPr>
        <w:fldChar w:fldCharType="begin"/>
      </w:r>
      <w:r w:rsidRPr="0046621C">
        <w:rPr>
          <w:rFonts w:cs="Arial"/>
          <w:color w:val="000000"/>
          <w:lang w:val="fr-FR"/>
        </w:rPr>
        <w:instrText xml:space="preserve"> AUTONUM  </w:instrText>
      </w:r>
      <w:r w:rsidRPr="00057624">
        <w:rPr>
          <w:rFonts w:cs="Arial"/>
          <w:color w:val="000000"/>
        </w:rPr>
        <w:fldChar w:fldCharType="end"/>
      </w:r>
      <w:r w:rsidRPr="0046621C">
        <w:rPr>
          <w:color w:val="000000"/>
          <w:lang w:val="fr-FR"/>
        </w:rPr>
        <w:tab/>
        <w:t>Le présent document vise à présenter</w:t>
      </w:r>
      <w:r w:rsidR="00E63276">
        <w:rPr>
          <w:color w:val="000000"/>
          <w:lang w:val="fr-FR"/>
        </w:rPr>
        <w:t> :</w:t>
      </w:r>
    </w:p>
    <w:p w14:paraId="67323A03" w14:textId="4AA19EA7" w:rsidR="0046621C" w:rsidRPr="00414233" w:rsidRDefault="0046621C" w:rsidP="00414233">
      <w:pPr>
        <w:pStyle w:val="ListParagraph"/>
        <w:numPr>
          <w:ilvl w:val="0"/>
          <w:numId w:val="1"/>
        </w:numPr>
        <w:spacing w:after="24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les outils disponibles dans le cadre </w:t>
      </w:r>
      <w:r w:rsidR="00E17DD7">
        <w:rPr>
          <w:rFonts w:ascii="Arial" w:hAnsi="Arial"/>
          <w:color w:val="000000"/>
          <w:sz w:val="20"/>
        </w:rPr>
        <w:t>d</w:t>
      </w:r>
      <w:r w:rsidR="00BD73C3">
        <w:rPr>
          <w:rFonts w:ascii="Arial" w:hAnsi="Arial"/>
          <w:color w:val="000000"/>
          <w:sz w:val="20"/>
        </w:rPr>
        <w:t>e l</w:t>
      </w:r>
      <w:r w:rsidR="00E17DD7">
        <w:rPr>
          <w:rFonts w:ascii="Arial" w:hAnsi="Arial"/>
          <w:color w:val="000000"/>
          <w:sz w:val="20"/>
        </w:rPr>
        <w:t>’UPOV e</w:t>
      </w:r>
      <w:r w:rsidR="00E17DD7">
        <w:rPr>
          <w:rFonts w:ascii="Arial" w:hAnsi="Arial"/>
          <w:color w:val="000000"/>
          <w:sz w:val="20"/>
        </w:rPr>
        <w:noBreakHyphen/>
        <w:t>PVP</w:t>
      </w:r>
      <w:r>
        <w:rPr>
          <w:rFonts w:ascii="Arial" w:hAnsi="Arial"/>
          <w:color w:val="000000"/>
          <w:sz w:val="20"/>
        </w:rPr>
        <w:t>, tels qu</w:t>
      </w:r>
      <w:r w:rsidR="00E63276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>exposés au paragraphe 4 du présent document;</w:t>
      </w:r>
    </w:p>
    <w:p w14:paraId="0CE87051" w14:textId="213AC25B" w:rsidR="0046621C" w:rsidRPr="00414233" w:rsidRDefault="0046621C" w:rsidP="00414233">
      <w:pPr>
        <w:pStyle w:val="ListParagraph"/>
        <w:numPr>
          <w:ilvl w:val="0"/>
          <w:numId w:val="1"/>
        </w:numPr>
        <w:spacing w:after="240"/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>les possibilités d</w:t>
      </w:r>
      <w:r w:rsidR="00E63276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utilisation </w:t>
      </w:r>
      <w:r w:rsidR="00785676">
        <w:rPr>
          <w:rFonts w:ascii="Arial" w:hAnsi="Arial"/>
          <w:color w:val="000000"/>
          <w:sz w:val="20"/>
        </w:rPr>
        <w:t>d</w:t>
      </w:r>
      <w:r w:rsidR="00BD73C3">
        <w:rPr>
          <w:rFonts w:ascii="Arial" w:hAnsi="Arial"/>
          <w:color w:val="000000"/>
          <w:sz w:val="20"/>
        </w:rPr>
        <w:t>e l</w:t>
      </w:r>
      <w:r w:rsidR="00785676">
        <w:rPr>
          <w:rFonts w:ascii="Arial" w:hAnsi="Arial"/>
          <w:color w:val="000000"/>
          <w:sz w:val="20"/>
        </w:rPr>
        <w:t>’UPOV e</w:t>
      </w:r>
      <w:r w:rsidR="00785676">
        <w:rPr>
          <w:rFonts w:ascii="Arial" w:hAnsi="Arial"/>
          <w:color w:val="000000"/>
          <w:sz w:val="20"/>
        </w:rPr>
        <w:noBreakHyphen/>
        <w:t>PVP</w:t>
      </w:r>
      <w:r>
        <w:rPr>
          <w:rFonts w:ascii="Arial" w:hAnsi="Arial"/>
          <w:color w:val="000000"/>
          <w:sz w:val="20"/>
        </w:rPr>
        <w:t>, telles qu</w:t>
      </w:r>
      <w:r w:rsidR="00E63276">
        <w:rPr>
          <w:rFonts w:ascii="Arial" w:hAnsi="Arial"/>
          <w:color w:val="000000"/>
          <w:sz w:val="20"/>
        </w:rPr>
        <w:t>’</w:t>
      </w:r>
      <w:r>
        <w:rPr>
          <w:rFonts w:ascii="Arial" w:hAnsi="Arial"/>
          <w:color w:val="000000"/>
          <w:sz w:val="20"/>
        </w:rPr>
        <w:t xml:space="preserve">elles sont exposées au </w:t>
      </w:r>
      <w:r w:rsidR="00E63276">
        <w:rPr>
          <w:rFonts w:ascii="Arial" w:hAnsi="Arial"/>
          <w:color w:val="000000"/>
          <w:sz w:val="20"/>
        </w:rPr>
        <w:t>paragraphe 5</w:t>
      </w:r>
      <w:r>
        <w:rPr>
          <w:rFonts w:ascii="Arial" w:hAnsi="Arial"/>
          <w:color w:val="000000"/>
          <w:sz w:val="20"/>
        </w:rPr>
        <w:t xml:space="preserve"> du présent document.</w:t>
      </w:r>
    </w:p>
    <w:p w14:paraId="4C298421" w14:textId="77777777" w:rsidR="0046621C" w:rsidRPr="0046621C" w:rsidRDefault="0046621C" w:rsidP="00414233">
      <w:pPr>
        <w:spacing w:after="240"/>
        <w:rPr>
          <w:rFonts w:cs="Arial"/>
          <w:color w:val="000000"/>
          <w:lang w:val="fr-FR"/>
        </w:rPr>
      </w:pPr>
      <w:r w:rsidRPr="0046621C">
        <w:rPr>
          <w:color w:val="000000"/>
          <w:lang w:val="fr-FR"/>
        </w:rPr>
        <w:t>Un exposé sur la gestion électronique de la protection des obtentions végétales en Asie sera présenté lors de</w:t>
      </w:r>
      <w:r w:rsidR="00E96B1E" w:rsidRPr="00E96B1E">
        <w:rPr>
          <w:sz w:val="18"/>
          <w:lang w:val="fr-FR"/>
        </w:rPr>
        <w:t> </w:t>
      </w:r>
      <w:r w:rsidRPr="0046621C">
        <w:rPr>
          <w:color w:val="000000"/>
          <w:lang w:val="fr-FR"/>
        </w:rPr>
        <w:t>la première réunion sur les demandes électroniques</w:t>
      </w:r>
      <w:r w:rsidR="001931E9">
        <w:rPr>
          <w:color w:val="000000"/>
          <w:lang w:val="fr-FR"/>
        </w:rPr>
        <w:t xml:space="preserve"> (EAM/1)</w:t>
      </w:r>
      <w:r w:rsidRPr="0046621C">
        <w:rPr>
          <w:color w:val="000000"/>
          <w:lang w:val="fr-FR"/>
        </w:rPr>
        <w:t>.</w:t>
      </w:r>
    </w:p>
    <w:p w14:paraId="6FBEC25F" w14:textId="77777777" w:rsidR="0046621C" w:rsidRPr="0046621C" w:rsidRDefault="0046621C" w:rsidP="002F1D9B">
      <w:pPr>
        <w:spacing w:after="120"/>
        <w:rPr>
          <w:rFonts w:cs="Arial"/>
          <w:color w:val="000000"/>
          <w:lang w:val="fr-FR"/>
        </w:rPr>
      </w:pPr>
      <w:r w:rsidRPr="00057624">
        <w:rPr>
          <w:rFonts w:cs="Arial"/>
          <w:color w:val="000000"/>
        </w:rPr>
        <w:fldChar w:fldCharType="begin"/>
      </w:r>
      <w:r w:rsidRPr="0046621C">
        <w:rPr>
          <w:rFonts w:cs="Arial"/>
          <w:color w:val="000000"/>
          <w:lang w:val="fr-FR"/>
        </w:rPr>
        <w:instrText xml:space="preserve"> AUTONUM  </w:instrText>
      </w:r>
      <w:r w:rsidRPr="00057624">
        <w:rPr>
          <w:rFonts w:cs="Arial"/>
          <w:color w:val="000000"/>
        </w:rPr>
        <w:fldChar w:fldCharType="end"/>
      </w:r>
      <w:r w:rsidRPr="0046621C">
        <w:rPr>
          <w:color w:val="000000"/>
          <w:lang w:val="fr-FR"/>
        </w:rPr>
        <w:tab/>
        <w:t>Le présent document est structuré comme suit</w:t>
      </w:r>
      <w:r w:rsidR="00E63276">
        <w:rPr>
          <w:color w:val="000000"/>
          <w:lang w:val="fr-FR"/>
        </w:rPr>
        <w:t> :</w:t>
      </w:r>
    </w:p>
    <w:p w14:paraId="45AC2715" w14:textId="06A5B0D1" w:rsidR="00BB4480" w:rsidRDefault="0046621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 w:rsidRPr="00FC4724">
        <w:rPr>
          <w:bCs/>
          <w:noProof/>
          <w:snapToGrid w:val="0"/>
        </w:rPr>
        <w:fldChar w:fldCharType="begin"/>
      </w:r>
      <w:r w:rsidRPr="00057624">
        <w:rPr>
          <w:snapToGrid w:val="0"/>
        </w:rPr>
        <w:instrText xml:space="preserve"> TOC \o "1-3" \h \z \u </w:instrText>
      </w:r>
      <w:r w:rsidRPr="00FC4724">
        <w:rPr>
          <w:bCs/>
          <w:noProof/>
          <w:snapToGrid w:val="0"/>
        </w:rPr>
        <w:fldChar w:fldCharType="separate"/>
      </w:r>
      <w:hyperlink w:anchor="_Toc148447691" w:history="1">
        <w:r w:rsidR="00BB4480" w:rsidRPr="00BE6EC8">
          <w:rPr>
            <w:rStyle w:val="Hyperlink"/>
            <w:noProof/>
          </w:rPr>
          <w:t>Résumé</w:t>
        </w:r>
        <w:r w:rsidR="00BB4480">
          <w:rPr>
            <w:noProof/>
            <w:webHidden/>
          </w:rPr>
          <w:tab/>
        </w:r>
        <w:r w:rsidR="00BB4480">
          <w:rPr>
            <w:noProof/>
            <w:webHidden/>
          </w:rPr>
          <w:fldChar w:fldCharType="begin"/>
        </w:r>
        <w:r w:rsidR="00BB4480">
          <w:rPr>
            <w:noProof/>
            <w:webHidden/>
          </w:rPr>
          <w:instrText xml:space="preserve"> PAGEREF _Toc148447691 \h </w:instrText>
        </w:r>
        <w:r w:rsidR="00BB4480">
          <w:rPr>
            <w:noProof/>
            <w:webHidden/>
          </w:rPr>
        </w:r>
        <w:r w:rsidR="00BB4480">
          <w:rPr>
            <w:noProof/>
            <w:webHidden/>
          </w:rPr>
          <w:fldChar w:fldCharType="separate"/>
        </w:r>
        <w:r w:rsidR="00BB4480">
          <w:rPr>
            <w:noProof/>
            <w:webHidden/>
          </w:rPr>
          <w:t>1</w:t>
        </w:r>
        <w:r w:rsidR="00BB4480">
          <w:rPr>
            <w:noProof/>
            <w:webHidden/>
          </w:rPr>
          <w:fldChar w:fldCharType="end"/>
        </w:r>
      </w:hyperlink>
    </w:p>
    <w:p w14:paraId="78643AF3" w14:textId="374BE07C" w:rsidR="00BB4480" w:rsidRDefault="00EE69E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148447692" w:history="1">
        <w:r w:rsidR="00BB4480" w:rsidRPr="00BE6EC8">
          <w:rPr>
            <w:rStyle w:val="Hyperlink"/>
            <w:noProof/>
          </w:rPr>
          <w:t>Vue d’ensemble de L’UPOV </w:t>
        </w:r>
        <w:r w:rsidR="00BB4480" w:rsidRPr="00BB4480">
          <w:rPr>
            <w:rStyle w:val="Hyperlink"/>
            <w:caps w:val="0"/>
            <w:noProof/>
          </w:rPr>
          <w:t>e</w:t>
        </w:r>
        <w:r w:rsidR="00BB4480" w:rsidRPr="00BE6EC8">
          <w:rPr>
            <w:rStyle w:val="Hyperlink"/>
            <w:noProof/>
          </w:rPr>
          <w:noBreakHyphen/>
          <w:t>PVP</w:t>
        </w:r>
        <w:r w:rsidR="00BB4480">
          <w:rPr>
            <w:noProof/>
            <w:webHidden/>
          </w:rPr>
          <w:tab/>
        </w:r>
        <w:r w:rsidR="00BB4480">
          <w:rPr>
            <w:noProof/>
            <w:webHidden/>
          </w:rPr>
          <w:fldChar w:fldCharType="begin"/>
        </w:r>
        <w:r w:rsidR="00BB4480">
          <w:rPr>
            <w:noProof/>
            <w:webHidden/>
          </w:rPr>
          <w:instrText xml:space="preserve"> PAGEREF _Toc148447692 \h </w:instrText>
        </w:r>
        <w:r w:rsidR="00BB4480">
          <w:rPr>
            <w:noProof/>
            <w:webHidden/>
          </w:rPr>
        </w:r>
        <w:r w:rsidR="00BB4480">
          <w:rPr>
            <w:noProof/>
            <w:webHidden/>
          </w:rPr>
          <w:fldChar w:fldCharType="separate"/>
        </w:r>
        <w:r w:rsidR="00BB4480">
          <w:rPr>
            <w:noProof/>
            <w:webHidden/>
          </w:rPr>
          <w:t>1</w:t>
        </w:r>
        <w:r w:rsidR="00BB4480">
          <w:rPr>
            <w:noProof/>
            <w:webHidden/>
          </w:rPr>
          <w:fldChar w:fldCharType="end"/>
        </w:r>
      </w:hyperlink>
    </w:p>
    <w:p w14:paraId="383672D1" w14:textId="0269B4E1" w:rsidR="00BB4480" w:rsidRDefault="00EE69E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148447693" w:history="1">
        <w:r w:rsidR="00BB4480" w:rsidRPr="00BE6EC8">
          <w:rPr>
            <w:rStyle w:val="Hyperlink"/>
            <w:noProof/>
          </w:rPr>
          <w:t>Options d’utilisation de l’UPOV </w:t>
        </w:r>
        <w:r w:rsidR="00BB4480" w:rsidRPr="00BB4480">
          <w:rPr>
            <w:rStyle w:val="Hyperlink"/>
            <w:caps w:val="0"/>
            <w:noProof/>
          </w:rPr>
          <w:t>e</w:t>
        </w:r>
        <w:r w:rsidR="00BB4480" w:rsidRPr="00BE6EC8">
          <w:rPr>
            <w:rStyle w:val="Hyperlink"/>
            <w:noProof/>
          </w:rPr>
          <w:noBreakHyphen/>
          <w:t>PVP</w:t>
        </w:r>
        <w:r w:rsidR="00BB4480">
          <w:rPr>
            <w:noProof/>
            <w:webHidden/>
          </w:rPr>
          <w:tab/>
        </w:r>
        <w:r w:rsidR="00BB4480">
          <w:rPr>
            <w:noProof/>
            <w:webHidden/>
          </w:rPr>
          <w:fldChar w:fldCharType="begin"/>
        </w:r>
        <w:r w:rsidR="00BB4480">
          <w:rPr>
            <w:noProof/>
            <w:webHidden/>
          </w:rPr>
          <w:instrText xml:space="preserve"> PAGEREF _Toc148447693 \h </w:instrText>
        </w:r>
        <w:r w:rsidR="00BB4480">
          <w:rPr>
            <w:noProof/>
            <w:webHidden/>
          </w:rPr>
        </w:r>
        <w:r w:rsidR="00BB4480">
          <w:rPr>
            <w:noProof/>
            <w:webHidden/>
          </w:rPr>
          <w:fldChar w:fldCharType="separate"/>
        </w:r>
        <w:r w:rsidR="00BB4480">
          <w:rPr>
            <w:noProof/>
            <w:webHidden/>
          </w:rPr>
          <w:t>2</w:t>
        </w:r>
        <w:r w:rsidR="00BB4480">
          <w:rPr>
            <w:noProof/>
            <w:webHidden/>
          </w:rPr>
          <w:fldChar w:fldCharType="end"/>
        </w:r>
      </w:hyperlink>
    </w:p>
    <w:p w14:paraId="4019D152" w14:textId="1BDF7D31" w:rsidR="0046621C" w:rsidRPr="00414233" w:rsidRDefault="0046621C" w:rsidP="00BB4480">
      <w:pPr>
        <w:pStyle w:val="Heading1"/>
        <w:rPr>
          <w:rFonts w:cs="Arial"/>
        </w:rPr>
      </w:pPr>
      <w:r w:rsidRPr="00FC4724">
        <w:rPr>
          <w:rFonts w:cs="Arial"/>
          <w:snapToGrid w:val="0"/>
        </w:rPr>
        <w:fldChar w:fldCharType="end"/>
      </w:r>
      <w:bookmarkStart w:id="6" w:name="_Toc148447692"/>
      <w:r w:rsidRPr="00414233">
        <w:t>Vue d</w:t>
      </w:r>
      <w:r w:rsidR="00E63276" w:rsidRPr="00414233">
        <w:t>’</w:t>
      </w:r>
      <w:r w:rsidRPr="00414233">
        <w:t xml:space="preserve">ensemble </w:t>
      </w:r>
      <w:r w:rsidR="00785676">
        <w:t>d</w:t>
      </w:r>
      <w:r w:rsidR="00BD73C3">
        <w:t>e L</w:t>
      </w:r>
      <w:r w:rsidR="00785676">
        <w:t>’UPOV </w:t>
      </w:r>
      <w:r w:rsidR="00785676" w:rsidRPr="001554B7">
        <w:rPr>
          <w:caps w:val="0"/>
        </w:rPr>
        <w:t>e</w:t>
      </w:r>
      <w:r w:rsidR="00785676">
        <w:noBreakHyphen/>
        <w:t>PVP</w:t>
      </w:r>
      <w:bookmarkEnd w:id="6"/>
    </w:p>
    <w:p w14:paraId="39801F17" w14:textId="557455F7" w:rsidR="0046621C" w:rsidRPr="0046621C" w:rsidRDefault="0046621C" w:rsidP="00414233">
      <w:pPr>
        <w:spacing w:after="240"/>
        <w:rPr>
          <w:rFonts w:cs="Arial"/>
          <w:snapToGrid w:val="0"/>
          <w:lang w:val="fr-FR"/>
        </w:rPr>
      </w:pPr>
      <w:r w:rsidRPr="00D8059B">
        <w:rPr>
          <w:rFonts w:cs="Arial"/>
          <w:color w:val="000000"/>
        </w:rPr>
        <w:fldChar w:fldCharType="begin"/>
      </w:r>
      <w:r w:rsidRPr="0046621C">
        <w:rPr>
          <w:rFonts w:cs="Arial"/>
          <w:color w:val="000000"/>
          <w:lang w:val="fr-FR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Pr="0046621C">
        <w:rPr>
          <w:color w:val="000000"/>
          <w:lang w:val="fr-FR"/>
        </w:rPr>
        <w:tab/>
      </w:r>
      <w:r w:rsidR="00E17DD7">
        <w:rPr>
          <w:snapToGrid w:val="0"/>
          <w:lang w:val="fr-FR"/>
        </w:rPr>
        <w:t>UPOV e</w:t>
      </w:r>
      <w:r w:rsidR="00E17DD7">
        <w:rPr>
          <w:snapToGrid w:val="0"/>
          <w:lang w:val="fr-FR"/>
        </w:rPr>
        <w:noBreakHyphen/>
        <w:t>PVP</w:t>
      </w:r>
      <w:r w:rsidR="001931E9">
        <w:rPr>
          <w:snapToGrid w:val="0"/>
          <w:lang w:val="fr-FR"/>
        </w:rPr>
        <w:t xml:space="preserve"> </w:t>
      </w:r>
      <w:r w:rsidRPr="0046621C">
        <w:rPr>
          <w:snapToGrid w:val="0"/>
          <w:lang w:val="fr-FR"/>
        </w:rPr>
        <w:t>vise à appuyer de manière cohérente et exhaustive la mise en œuvre du système de protection des obtentions végétales de l</w:t>
      </w:r>
      <w:r w:rsidR="00E63276">
        <w:rPr>
          <w:snapToGrid w:val="0"/>
          <w:lang w:val="fr-FR"/>
        </w:rPr>
        <w:t>’</w:t>
      </w:r>
      <w:r w:rsidRPr="0046621C">
        <w:rPr>
          <w:snapToGrid w:val="0"/>
          <w:lang w:val="fr-FR"/>
        </w:rPr>
        <w:t xml:space="preserve">UPOV; </w:t>
      </w:r>
      <w:r w:rsidR="004D4572">
        <w:rPr>
          <w:snapToGrid w:val="0"/>
          <w:lang w:val="fr-FR"/>
        </w:rPr>
        <w:t xml:space="preserve"> </w:t>
      </w:r>
      <w:r w:rsidRPr="0046621C">
        <w:rPr>
          <w:snapToGrid w:val="0"/>
          <w:lang w:val="fr-FR"/>
        </w:rPr>
        <w:t>une partie ou la totalité peut être utilisée par les membres de l</w:t>
      </w:r>
      <w:r w:rsidR="00E63276">
        <w:rPr>
          <w:snapToGrid w:val="0"/>
          <w:lang w:val="fr-FR"/>
        </w:rPr>
        <w:t>’</w:t>
      </w:r>
      <w:r w:rsidRPr="0046621C">
        <w:rPr>
          <w:snapToGrid w:val="0"/>
          <w:lang w:val="fr-FR"/>
        </w:rPr>
        <w:t>Union, selon qu</w:t>
      </w:r>
      <w:r w:rsidR="00E63276">
        <w:rPr>
          <w:snapToGrid w:val="0"/>
          <w:lang w:val="fr-FR"/>
        </w:rPr>
        <w:t>’</w:t>
      </w:r>
      <w:r w:rsidRPr="0046621C">
        <w:rPr>
          <w:snapToGrid w:val="0"/>
          <w:lang w:val="fr-FR"/>
        </w:rPr>
        <w:t>il conviend</w:t>
      </w:r>
      <w:r w:rsidR="00277E39" w:rsidRPr="0046621C">
        <w:rPr>
          <w:snapToGrid w:val="0"/>
          <w:lang w:val="fr-FR"/>
        </w:rPr>
        <w:t>ra</w:t>
      </w:r>
      <w:r w:rsidR="00277E39">
        <w:rPr>
          <w:snapToGrid w:val="0"/>
          <w:lang w:val="fr-FR"/>
        </w:rPr>
        <w:t xml:space="preserve">.  </w:t>
      </w:r>
      <w:r w:rsidR="00E17DD7">
        <w:rPr>
          <w:snapToGrid w:val="0"/>
          <w:lang w:val="fr-FR"/>
        </w:rPr>
        <w:t>UPOV e</w:t>
      </w:r>
      <w:r w:rsidR="00E17DD7">
        <w:rPr>
          <w:snapToGrid w:val="0"/>
          <w:lang w:val="fr-FR"/>
        </w:rPr>
        <w:noBreakHyphen/>
        <w:t>PVP</w:t>
      </w:r>
      <w:r w:rsidRPr="0046621C">
        <w:rPr>
          <w:snapToGrid w:val="0"/>
          <w:lang w:val="fr-FR"/>
        </w:rPr>
        <w:t xml:space="preserve"> comprend l</w:t>
      </w:r>
      <w:r w:rsidR="00E63276">
        <w:rPr>
          <w:snapToGrid w:val="0"/>
          <w:lang w:val="fr-FR"/>
        </w:rPr>
        <w:t>’</w:t>
      </w:r>
      <w:r w:rsidRPr="0046621C">
        <w:rPr>
          <w:snapToGrid w:val="0"/>
          <w:lang w:val="fr-FR"/>
        </w:rPr>
        <w:t>ensemble d</w:t>
      </w:r>
      <w:r w:rsidR="00E63276">
        <w:rPr>
          <w:snapToGrid w:val="0"/>
          <w:lang w:val="fr-FR"/>
        </w:rPr>
        <w:t>’</w:t>
      </w:r>
      <w:r w:rsidRPr="0046621C">
        <w:rPr>
          <w:snapToGrid w:val="0"/>
          <w:lang w:val="fr-FR"/>
        </w:rPr>
        <w:t>outils compatibles suivant</w:t>
      </w:r>
      <w:r w:rsidR="004D4572">
        <w:rPr>
          <w:snapToGrid w:val="0"/>
          <w:lang w:val="fr-FR"/>
        </w:rPr>
        <w:t> </w:t>
      </w:r>
      <w:r w:rsidRPr="0046621C">
        <w:rPr>
          <w:snapToGrid w:val="0"/>
          <w:lang w:val="fr-FR"/>
        </w:rPr>
        <w:t>:</w:t>
      </w:r>
    </w:p>
    <w:p w14:paraId="03358934" w14:textId="77777777" w:rsidR="0046621C" w:rsidRPr="00F85850" w:rsidRDefault="0046621C" w:rsidP="00305FBF">
      <w:pPr>
        <w:pStyle w:val="ListParagraph"/>
        <w:numPr>
          <w:ilvl w:val="0"/>
          <w:numId w:val="2"/>
        </w:numPr>
        <w:spacing w:after="180"/>
        <w:ind w:left="1134" w:hanging="567"/>
        <w:jc w:val="both"/>
        <w:rPr>
          <w:rFonts w:ascii="Arial" w:hAnsi="Arial"/>
          <w:snapToGrid w:val="0"/>
          <w:sz w:val="19"/>
          <w:szCs w:val="19"/>
        </w:rPr>
      </w:pPr>
      <w:r w:rsidRPr="00F85850">
        <w:rPr>
          <w:rFonts w:ascii="Arial" w:hAnsi="Arial"/>
          <w:snapToGrid w:val="0"/>
          <w:sz w:val="19"/>
          <w:szCs w:val="19"/>
        </w:rPr>
        <w:t>UPOV</w:t>
      </w:r>
      <w:r w:rsidR="00E96B1E" w:rsidRPr="00F85850">
        <w:rPr>
          <w:sz w:val="19"/>
          <w:szCs w:val="19"/>
        </w:rPr>
        <w:t> </w:t>
      </w:r>
      <w:r w:rsidRPr="00F85850">
        <w:rPr>
          <w:rFonts w:ascii="Arial" w:hAnsi="Arial"/>
          <w:snapToGrid w:val="0"/>
          <w:sz w:val="19"/>
          <w:szCs w:val="19"/>
        </w:rPr>
        <w:t>PRISMA</w:t>
      </w:r>
      <w:r w:rsidR="00E63276" w:rsidRPr="00F85850">
        <w:rPr>
          <w:rFonts w:ascii="Arial" w:hAnsi="Arial"/>
          <w:snapToGrid w:val="0"/>
          <w:sz w:val="19"/>
          <w:szCs w:val="19"/>
        </w:rPr>
        <w:t> :</w:t>
      </w:r>
      <w:r w:rsidRPr="00F85850">
        <w:rPr>
          <w:rFonts w:ascii="Arial" w:hAnsi="Arial"/>
          <w:snapToGrid w:val="0"/>
          <w:sz w:val="19"/>
          <w:szCs w:val="19"/>
        </w:rPr>
        <w:t xml:space="preserve"> outil de demande de droit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Pr="00F85850">
        <w:rPr>
          <w:rFonts w:ascii="Arial" w:hAnsi="Arial"/>
          <w:snapToGrid w:val="0"/>
          <w:sz w:val="19"/>
          <w:szCs w:val="19"/>
        </w:rPr>
        <w:t>obtenteur en ligne</w:t>
      </w:r>
      <w:r w:rsidR="007C2AF2" w:rsidRPr="00F85850">
        <w:rPr>
          <w:rFonts w:ascii="Arial" w:hAnsi="Arial"/>
          <w:snapToGrid w:val="0"/>
          <w:sz w:val="19"/>
          <w:szCs w:val="19"/>
        </w:rPr>
        <w:t>;</w:t>
      </w:r>
    </w:p>
    <w:p w14:paraId="37DD4D2F" w14:textId="7CADBBAD" w:rsidR="0046621C" w:rsidRPr="00F85850" w:rsidRDefault="007C2AF2" w:rsidP="00305FBF">
      <w:pPr>
        <w:pStyle w:val="ListParagraph"/>
        <w:numPr>
          <w:ilvl w:val="0"/>
          <w:numId w:val="2"/>
        </w:numPr>
        <w:spacing w:after="180"/>
        <w:ind w:left="1134" w:hanging="567"/>
        <w:jc w:val="both"/>
        <w:rPr>
          <w:rFonts w:ascii="Arial" w:hAnsi="Arial" w:cs="Arial"/>
          <w:snapToGrid w:val="0"/>
          <w:sz w:val="19"/>
          <w:szCs w:val="19"/>
        </w:rPr>
      </w:pPr>
      <w:r w:rsidRPr="00F85850">
        <w:rPr>
          <w:rFonts w:ascii="Arial" w:hAnsi="Arial"/>
          <w:snapToGrid w:val="0"/>
          <w:sz w:val="19"/>
          <w:szCs w:val="19"/>
        </w:rPr>
        <w:t>m</w:t>
      </w:r>
      <w:r w:rsidR="0046621C" w:rsidRPr="00F85850">
        <w:rPr>
          <w:rFonts w:ascii="Arial" w:hAnsi="Arial"/>
          <w:snapToGrid w:val="0"/>
          <w:sz w:val="19"/>
          <w:szCs w:val="19"/>
        </w:rPr>
        <w:t>odule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 xml:space="preserve">administration </w:t>
      </w:r>
      <w:r w:rsidR="00785676" w:rsidRPr="00F85850">
        <w:rPr>
          <w:rFonts w:ascii="Arial" w:hAnsi="Arial"/>
          <w:snapToGrid w:val="0"/>
          <w:sz w:val="19"/>
          <w:szCs w:val="19"/>
        </w:rPr>
        <w:t>d</w:t>
      </w:r>
      <w:r w:rsidR="00BD73C3" w:rsidRPr="00F85850">
        <w:rPr>
          <w:rFonts w:ascii="Arial" w:hAnsi="Arial"/>
          <w:snapToGrid w:val="0"/>
          <w:sz w:val="19"/>
          <w:szCs w:val="19"/>
        </w:rPr>
        <w:t>e l</w:t>
      </w:r>
      <w:r w:rsidR="00785676" w:rsidRPr="00F85850">
        <w:rPr>
          <w:rFonts w:ascii="Arial" w:hAnsi="Arial"/>
          <w:snapToGrid w:val="0"/>
          <w:sz w:val="19"/>
          <w:szCs w:val="19"/>
        </w:rPr>
        <w:t>’UPOV e</w:t>
      </w:r>
      <w:r w:rsidR="00785676" w:rsidRPr="00F85850">
        <w:rPr>
          <w:rFonts w:ascii="Arial" w:hAnsi="Arial"/>
          <w:snapToGrid w:val="0"/>
          <w:sz w:val="19"/>
          <w:szCs w:val="19"/>
        </w:rPr>
        <w:noBreakHyphen/>
        <w:t>PVP</w:t>
      </w:r>
      <w:r w:rsidR="00E63276" w:rsidRPr="00F85850">
        <w:rPr>
          <w:rFonts w:ascii="Arial" w:hAnsi="Arial"/>
          <w:snapToGrid w:val="0"/>
          <w:sz w:val="19"/>
          <w:szCs w:val="19"/>
        </w:rPr>
        <w:t> :</w:t>
      </w:r>
      <w:r w:rsidR="0046621C" w:rsidRPr="00F85850">
        <w:rPr>
          <w:rFonts w:ascii="Arial" w:hAnsi="Arial"/>
          <w:snapToGrid w:val="0"/>
          <w:sz w:val="19"/>
          <w:szCs w:val="19"/>
        </w:rPr>
        <w:t xml:space="preserve"> vise à permettre aux services de protection des obtentions végétales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administrer et de publier les demandes de protection des obtentions végétales, ainsi que la communication avec les déposants et la transmission de données vers la base de données</w:t>
      </w:r>
      <w:r w:rsidR="00E96B1E" w:rsidRPr="00F85850">
        <w:rPr>
          <w:rFonts w:ascii="Arial" w:hAnsi="Arial"/>
          <w:snapToGrid w:val="0"/>
          <w:sz w:val="19"/>
          <w:szCs w:val="19"/>
        </w:rPr>
        <w:t> </w:t>
      </w:r>
      <w:r w:rsidR="0046621C" w:rsidRPr="00F85850">
        <w:rPr>
          <w:rFonts w:ascii="Arial" w:hAnsi="Arial"/>
          <w:snapToGrid w:val="0"/>
          <w:sz w:val="19"/>
          <w:szCs w:val="19"/>
        </w:rPr>
        <w:t>PLUTO (voir le document</w:t>
      </w:r>
      <w:r w:rsidR="00277E39" w:rsidRPr="00F85850">
        <w:rPr>
          <w:rFonts w:ascii="Arial" w:hAnsi="Arial"/>
          <w:snapToGrid w:val="0"/>
          <w:sz w:val="19"/>
          <w:szCs w:val="19"/>
        </w:rPr>
        <w:t> </w:t>
      </w:r>
      <w:r w:rsidR="001931E9" w:rsidRPr="00F85850">
        <w:rPr>
          <w:rFonts w:ascii="Arial" w:hAnsi="Arial"/>
          <w:snapToGrid w:val="0"/>
          <w:sz w:val="19"/>
          <w:szCs w:val="19"/>
        </w:rPr>
        <w:t>EAM/1/</w:t>
      </w:r>
      <w:r w:rsidR="0046621C" w:rsidRPr="00F85850">
        <w:rPr>
          <w:rFonts w:ascii="Arial" w:hAnsi="Arial"/>
          <w:snapToGrid w:val="0"/>
          <w:sz w:val="19"/>
          <w:szCs w:val="19"/>
        </w:rPr>
        <w:t>4)</w:t>
      </w:r>
      <w:r w:rsidRPr="00F85850">
        <w:rPr>
          <w:rFonts w:ascii="Arial" w:hAnsi="Arial"/>
          <w:snapToGrid w:val="0"/>
          <w:sz w:val="19"/>
          <w:szCs w:val="19"/>
        </w:rPr>
        <w:t>;</w:t>
      </w:r>
    </w:p>
    <w:p w14:paraId="3FE6CDE2" w14:textId="77777777" w:rsidR="0046621C" w:rsidRPr="00F85850" w:rsidRDefault="007C2AF2" w:rsidP="00305FBF">
      <w:pPr>
        <w:pStyle w:val="ListParagraph"/>
        <w:numPr>
          <w:ilvl w:val="0"/>
          <w:numId w:val="2"/>
        </w:numPr>
        <w:spacing w:after="180"/>
        <w:ind w:left="1134" w:hanging="567"/>
        <w:jc w:val="both"/>
        <w:rPr>
          <w:rFonts w:ascii="Arial" w:hAnsi="Arial"/>
          <w:snapToGrid w:val="0"/>
          <w:sz w:val="19"/>
          <w:szCs w:val="19"/>
        </w:rPr>
      </w:pPr>
      <w:r w:rsidRPr="00F85850">
        <w:rPr>
          <w:rFonts w:ascii="Arial" w:hAnsi="Arial"/>
          <w:snapToGrid w:val="0"/>
          <w:sz w:val="19"/>
          <w:szCs w:val="19"/>
        </w:rPr>
        <w:t>m</w:t>
      </w:r>
      <w:r w:rsidR="0046621C" w:rsidRPr="00F85850">
        <w:rPr>
          <w:rFonts w:ascii="Arial" w:hAnsi="Arial"/>
          <w:snapToGrid w:val="0"/>
          <w:sz w:val="19"/>
          <w:szCs w:val="19"/>
        </w:rPr>
        <w:t>odule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échange de rapports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examen</w:t>
      </w:r>
      <w:r w:rsidR="004D4572" w:rsidRPr="00F85850">
        <w:rPr>
          <w:rFonts w:ascii="Arial" w:hAnsi="Arial"/>
          <w:snapToGrid w:val="0"/>
          <w:sz w:val="19"/>
          <w:szCs w:val="19"/>
        </w:rPr>
        <w:t> </w:t>
      </w:r>
      <w:r w:rsidR="0046621C" w:rsidRPr="00F85850">
        <w:rPr>
          <w:rFonts w:ascii="Arial" w:hAnsi="Arial"/>
          <w:snapToGrid w:val="0"/>
          <w:sz w:val="19"/>
          <w:szCs w:val="19"/>
        </w:rPr>
        <w:t>DHS par l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intermédiaire du système de gestion électronique de protection des obtentions végétales de l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UPOV</w:t>
      </w:r>
      <w:r w:rsidR="00E63276" w:rsidRPr="00F85850">
        <w:rPr>
          <w:rFonts w:ascii="Arial" w:hAnsi="Arial"/>
          <w:snapToGrid w:val="0"/>
          <w:sz w:val="19"/>
          <w:szCs w:val="19"/>
        </w:rPr>
        <w:t> :</w:t>
      </w:r>
      <w:r w:rsidR="0046621C" w:rsidRPr="00F85850">
        <w:rPr>
          <w:rFonts w:ascii="Arial" w:hAnsi="Arial"/>
          <w:snapToGrid w:val="0"/>
          <w:sz w:val="19"/>
          <w:szCs w:val="19"/>
        </w:rPr>
        <w:t xml:space="preserve"> plateforme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échange de rapports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examen</w:t>
      </w:r>
      <w:r w:rsidR="004D4572" w:rsidRPr="00F85850">
        <w:rPr>
          <w:rFonts w:ascii="Arial" w:hAnsi="Arial"/>
          <w:snapToGrid w:val="0"/>
          <w:sz w:val="19"/>
          <w:szCs w:val="19"/>
        </w:rPr>
        <w:t> </w:t>
      </w:r>
      <w:r w:rsidR="0046621C" w:rsidRPr="00F85850">
        <w:rPr>
          <w:rFonts w:ascii="Arial" w:hAnsi="Arial"/>
          <w:snapToGrid w:val="0"/>
          <w:sz w:val="19"/>
          <w:szCs w:val="19"/>
        </w:rPr>
        <w:t>DHS entre les services de protection des obtentions végétales</w:t>
      </w:r>
      <w:r w:rsidRPr="00F85850">
        <w:rPr>
          <w:rFonts w:ascii="Arial" w:hAnsi="Arial"/>
          <w:snapToGrid w:val="0"/>
          <w:sz w:val="19"/>
          <w:szCs w:val="19"/>
        </w:rPr>
        <w:t>;</w:t>
      </w:r>
    </w:p>
    <w:p w14:paraId="14751E5D" w14:textId="77777777" w:rsidR="0046621C" w:rsidRPr="00F85850" w:rsidRDefault="007C2AF2" w:rsidP="00305FBF">
      <w:pPr>
        <w:pStyle w:val="ListParagraph"/>
        <w:numPr>
          <w:ilvl w:val="0"/>
          <w:numId w:val="2"/>
        </w:numPr>
        <w:spacing w:after="180"/>
        <w:ind w:left="1134" w:hanging="567"/>
        <w:jc w:val="both"/>
        <w:rPr>
          <w:rFonts w:ascii="Arial" w:hAnsi="Arial" w:cs="Arial"/>
          <w:snapToGrid w:val="0"/>
          <w:sz w:val="19"/>
          <w:szCs w:val="19"/>
        </w:rPr>
      </w:pPr>
      <w:r w:rsidRPr="00F85850">
        <w:rPr>
          <w:rFonts w:ascii="Arial" w:hAnsi="Arial"/>
          <w:snapToGrid w:val="0"/>
          <w:sz w:val="19"/>
          <w:szCs w:val="19"/>
        </w:rPr>
        <w:t>b</w:t>
      </w:r>
      <w:r w:rsidR="0046621C" w:rsidRPr="00F85850">
        <w:rPr>
          <w:rFonts w:ascii="Arial" w:hAnsi="Arial"/>
          <w:snapToGrid w:val="0"/>
          <w:sz w:val="19"/>
          <w:szCs w:val="19"/>
        </w:rPr>
        <w:t>ase de données</w:t>
      </w:r>
      <w:r w:rsidR="00E96B1E" w:rsidRPr="00F85850">
        <w:rPr>
          <w:rFonts w:ascii="Arial" w:hAnsi="Arial"/>
          <w:snapToGrid w:val="0"/>
          <w:sz w:val="19"/>
          <w:szCs w:val="19"/>
        </w:rPr>
        <w:t> </w:t>
      </w:r>
      <w:r w:rsidR="0046621C" w:rsidRPr="00F85850">
        <w:rPr>
          <w:rFonts w:ascii="Arial" w:hAnsi="Arial"/>
          <w:snapToGrid w:val="0"/>
          <w:sz w:val="19"/>
          <w:szCs w:val="19"/>
        </w:rPr>
        <w:t>PLUTO</w:t>
      </w:r>
      <w:r w:rsidRPr="00F85850">
        <w:rPr>
          <w:rFonts w:ascii="Arial" w:hAnsi="Arial"/>
          <w:snapToGrid w:val="0"/>
          <w:sz w:val="19"/>
          <w:szCs w:val="19"/>
        </w:rPr>
        <w:t>;</w:t>
      </w:r>
    </w:p>
    <w:p w14:paraId="6C1A7F4B" w14:textId="77777777" w:rsidR="00E96B1E" w:rsidRPr="00F85850" w:rsidRDefault="00EA35D8" w:rsidP="001931E9">
      <w:pPr>
        <w:pStyle w:val="ListParagraph"/>
        <w:numPr>
          <w:ilvl w:val="0"/>
          <w:numId w:val="2"/>
        </w:numPr>
        <w:spacing w:after="480"/>
        <w:ind w:left="1134" w:hanging="567"/>
        <w:jc w:val="both"/>
        <w:rPr>
          <w:rFonts w:ascii="Arial" w:hAnsi="Arial"/>
          <w:snapToGrid w:val="0"/>
          <w:sz w:val="19"/>
          <w:szCs w:val="19"/>
        </w:rPr>
      </w:pPr>
      <w:r w:rsidRPr="00F85850">
        <w:rPr>
          <w:rFonts w:ascii="Arial" w:hAnsi="Arial"/>
          <w:snapToGrid w:val="0"/>
          <w:sz w:val="19"/>
          <w:szCs w:val="19"/>
        </w:rPr>
        <w:t>p</w:t>
      </w:r>
      <w:r w:rsidR="0046621C" w:rsidRPr="00F85850">
        <w:rPr>
          <w:rFonts w:ascii="Arial" w:hAnsi="Arial"/>
          <w:snapToGrid w:val="0"/>
          <w:sz w:val="19"/>
          <w:szCs w:val="19"/>
        </w:rPr>
        <w:t>lateformes de coopération entre les membres</w:t>
      </w:r>
      <w:r w:rsidR="00E63276" w:rsidRPr="00F85850">
        <w:rPr>
          <w:rFonts w:ascii="Arial" w:hAnsi="Arial"/>
          <w:snapToGrid w:val="0"/>
          <w:sz w:val="19"/>
          <w:szCs w:val="19"/>
        </w:rPr>
        <w:t> :</w:t>
      </w:r>
      <w:r w:rsidR="0046621C" w:rsidRPr="00F85850">
        <w:rPr>
          <w:rFonts w:ascii="Arial" w:hAnsi="Arial"/>
          <w:snapToGrid w:val="0"/>
          <w:sz w:val="19"/>
          <w:szCs w:val="19"/>
        </w:rPr>
        <w:t xml:space="preserve"> plateforme de coopération entre les membres de l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UPOV en matière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administration et d</w:t>
      </w:r>
      <w:r w:rsidR="00E63276" w:rsidRPr="00F85850">
        <w:rPr>
          <w:rFonts w:ascii="Arial" w:hAnsi="Arial"/>
          <w:snapToGrid w:val="0"/>
          <w:sz w:val="19"/>
          <w:szCs w:val="19"/>
        </w:rPr>
        <w:t>’</w:t>
      </w:r>
      <w:r w:rsidR="0046621C" w:rsidRPr="00F85850">
        <w:rPr>
          <w:rFonts w:ascii="Arial" w:hAnsi="Arial"/>
          <w:snapToGrid w:val="0"/>
          <w:sz w:val="19"/>
          <w:szCs w:val="19"/>
        </w:rPr>
        <w:t>examen des demand</w:t>
      </w:r>
      <w:r w:rsidR="00277E39" w:rsidRPr="00F85850">
        <w:rPr>
          <w:rFonts w:ascii="Arial" w:hAnsi="Arial"/>
          <w:snapToGrid w:val="0"/>
          <w:sz w:val="19"/>
          <w:szCs w:val="19"/>
        </w:rPr>
        <w:t>es.  La</w:t>
      </w:r>
      <w:r w:rsidR="0046621C" w:rsidRPr="00F85850">
        <w:rPr>
          <w:rFonts w:ascii="Arial" w:hAnsi="Arial"/>
          <w:snapToGrid w:val="0"/>
          <w:sz w:val="19"/>
          <w:szCs w:val="19"/>
        </w:rPr>
        <w:t xml:space="preserve"> première</w:t>
      </w:r>
      <w:r w:rsidR="007C2AF2" w:rsidRPr="00F85850">
        <w:rPr>
          <w:rFonts w:ascii="Arial" w:hAnsi="Arial"/>
          <w:snapToGrid w:val="0"/>
          <w:sz w:val="19"/>
          <w:szCs w:val="19"/>
        </w:rPr>
        <w:t> </w:t>
      </w:r>
      <w:r w:rsidR="0046621C" w:rsidRPr="00F85850">
        <w:rPr>
          <w:rFonts w:ascii="Arial" w:hAnsi="Arial"/>
          <w:snapToGrid w:val="0"/>
          <w:sz w:val="19"/>
          <w:szCs w:val="19"/>
        </w:rPr>
        <w:t>plateforme sera le système de gestion électronique de la protection des obtentions végétales en Asie.</w:t>
      </w:r>
    </w:p>
    <w:p w14:paraId="4F925236" w14:textId="3137550D" w:rsidR="0046621C" w:rsidRPr="00414233" w:rsidRDefault="0046621C" w:rsidP="00BB4480">
      <w:pPr>
        <w:pStyle w:val="Heading1"/>
      </w:pPr>
      <w:bookmarkStart w:id="7" w:name="_Toc148447693"/>
      <w:r w:rsidRPr="00735DB0">
        <w:lastRenderedPageBreak/>
        <w:t>O</w:t>
      </w:r>
      <w:r w:rsidR="007C2AF2" w:rsidRPr="00735DB0">
        <w:t>ptions</w:t>
      </w:r>
      <w:r w:rsidRPr="00735DB0">
        <w:t xml:space="preserve"> d</w:t>
      </w:r>
      <w:r w:rsidR="00E63276" w:rsidRPr="00735DB0">
        <w:t>’</w:t>
      </w:r>
      <w:r w:rsidRPr="00735DB0">
        <w:t xml:space="preserve">utilisation </w:t>
      </w:r>
      <w:r w:rsidR="00785676">
        <w:t>d</w:t>
      </w:r>
      <w:r w:rsidR="00BD73C3">
        <w:t>e l</w:t>
      </w:r>
      <w:r w:rsidR="00785676">
        <w:t>’UPOV </w:t>
      </w:r>
      <w:r w:rsidR="000B43E7" w:rsidRPr="000B43E7">
        <w:rPr>
          <w:caps w:val="0"/>
        </w:rPr>
        <w:t>e</w:t>
      </w:r>
      <w:r w:rsidR="000B43E7">
        <w:t>-</w:t>
      </w:r>
      <w:r w:rsidR="00785676">
        <w:t>PVP</w:t>
      </w:r>
      <w:bookmarkEnd w:id="7"/>
    </w:p>
    <w:p w14:paraId="3B68C619" w14:textId="77777777" w:rsidR="0046621C" w:rsidRPr="0046621C" w:rsidRDefault="0046621C" w:rsidP="00414233">
      <w:pPr>
        <w:spacing w:after="240"/>
        <w:rPr>
          <w:rFonts w:cs="Arial"/>
          <w:shd w:val="clear" w:color="auto" w:fill="FFFFFF"/>
          <w:lang w:val="fr-FR"/>
        </w:rPr>
      </w:pPr>
      <w:r w:rsidRPr="00D8059B">
        <w:rPr>
          <w:rFonts w:cs="Arial"/>
          <w:color w:val="000000"/>
        </w:rPr>
        <w:fldChar w:fldCharType="begin"/>
      </w:r>
      <w:r w:rsidRPr="0046621C">
        <w:rPr>
          <w:rFonts w:cs="Arial"/>
          <w:color w:val="000000"/>
          <w:lang w:val="fr-FR"/>
        </w:rPr>
        <w:instrText xml:space="preserve"> AUTONUM  </w:instrText>
      </w:r>
      <w:r w:rsidRPr="00D8059B">
        <w:rPr>
          <w:rFonts w:cs="Arial"/>
          <w:color w:val="000000"/>
        </w:rPr>
        <w:fldChar w:fldCharType="end"/>
      </w:r>
      <w:r w:rsidRPr="0046621C">
        <w:rPr>
          <w:color w:val="000000"/>
          <w:lang w:val="fr-FR"/>
        </w:rPr>
        <w:tab/>
      </w:r>
      <w:r w:rsidRPr="0046621C">
        <w:rPr>
          <w:shd w:val="clear" w:color="auto" w:fill="FFFFFF"/>
          <w:lang w:val="fr-FR"/>
        </w:rPr>
        <w:t>Les membres de l</w:t>
      </w:r>
      <w:r w:rsidR="00E63276">
        <w:rPr>
          <w:shd w:val="clear" w:color="auto" w:fill="FFFFFF"/>
          <w:lang w:val="fr-FR"/>
        </w:rPr>
        <w:t>’</w:t>
      </w:r>
      <w:r w:rsidRPr="0046621C">
        <w:rPr>
          <w:shd w:val="clear" w:color="auto" w:fill="FFFFFF"/>
          <w:lang w:val="fr-FR"/>
        </w:rPr>
        <w:t>UPOV ont les options suivantes</w:t>
      </w:r>
      <w:r w:rsidR="00E63276">
        <w:rPr>
          <w:shd w:val="clear" w:color="auto" w:fill="FFFFFF"/>
          <w:lang w:val="fr-FR"/>
        </w:rPr>
        <w:t> :</w:t>
      </w:r>
    </w:p>
    <w:p w14:paraId="3D8476D0" w14:textId="77777777" w:rsidR="0046621C" w:rsidRPr="00DF0EB9" w:rsidRDefault="0046621C" w:rsidP="00414233">
      <w:pPr>
        <w:pStyle w:val="ListParagraph"/>
        <w:numPr>
          <w:ilvl w:val="0"/>
          <w:numId w:val="3"/>
        </w:numPr>
        <w:spacing w:after="240"/>
        <w:ind w:left="567" w:hanging="567"/>
        <w:rPr>
          <w:rFonts w:ascii="Arial" w:hAnsi="Arial" w:cs="Arial"/>
          <w:sz w:val="18"/>
          <w:szCs w:val="20"/>
          <w:u w:val="single"/>
        </w:rPr>
      </w:pPr>
      <w:r w:rsidRPr="00DF0EB9">
        <w:rPr>
          <w:rFonts w:ascii="Arial" w:hAnsi="Arial" w:cs="Arial"/>
          <w:sz w:val="18"/>
          <w:szCs w:val="20"/>
          <w:u w:val="single"/>
        </w:rPr>
        <w:t>Options standard</w:t>
      </w:r>
    </w:p>
    <w:tbl>
      <w:tblPr>
        <w:tblStyle w:val="TableGrid"/>
        <w:tblW w:w="977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992"/>
        <w:gridCol w:w="1276"/>
        <w:gridCol w:w="1559"/>
      </w:tblGrid>
      <w:tr w:rsidR="008176BC" w:rsidRPr="001931E9" w14:paraId="0347D874" w14:textId="77777777" w:rsidTr="00DF0EB9">
        <w:trPr>
          <w:cantSplit/>
          <w:tblHeader/>
        </w:trPr>
        <w:tc>
          <w:tcPr>
            <w:tcW w:w="2122" w:type="dxa"/>
            <w:vAlign w:val="center"/>
          </w:tcPr>
          <w:p w14:paraId="1DCED937" w14:textId="77777777" w:rsidR="0046621C" w:rsidRPr="001931E9" w:rsidRDefault="0046621C" w:rsidP="00E95614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1931E9">
              <w:rPr>
                <w:rFonts w:cs="Arial"/>
                <w:b/>
                <w:sz w:val="17"/>
                <w:szCs w:val="17"/>
              </w:rPr>
              <w:t>Module</w:t>
            </w:r>
          </w:p>
        </w:tc>
        <w:tc>
          <w:tcPr>
            <w:tcW w:w="2268" w:type="dxa"/>
            <w:vAlign w:val="center"/>
          </w:tcPr>
          <w:p w14:paraId="236FC9AE" w14:textId="77777777" w:rsidR="0046621C" w:rsidRPr="001931E9" w:rsidRDefault="0046621C" w:rsidP="00E95614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1931E9">
              <w:rPr>
                <w:rFonts w:cs="Arial"/>
                <w:b/>
                <w:sz w:val="17"/>
                <w:szCs w:val="17"/>
              </w:rPr>
              <w:t>Éléments</w:t>
            </w:r>
          </w:p>
        </w:tc>
        <w:tc>
          <w:tcPr>
            <w:tcW w:w="1559" w:type="dxa"/>
            <w:vAlign w:val="center"/>
          </w:tcPr>
          <w:p w14:paraId="1298E29E" w14:textId="77777777" w:rsidR="0046621C" w:rsidRPr="001931E9" w:rsidRDefault="0046621C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Frais d</w:t>
            </w:r>
            <w:r w:rsidR="00E63276" w:rsidRPr="001931E9">
              <w:rPr>
                <w:rFonts w:cs="Arial"/>
                <w:b/>
                <w:color w:val="000000"/>
                <w:sz w:val="17"/>
                <w:szCs w:val="17"/>
              </w:rPr>
              <w:t>’</w:t>
            </w: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hébergement*</w:t>
            </w:r>
          </w:p>
        </w:tc>
        <w:tc>
          <w:tcPr>
            <w:tcW w:w="992" w:type="dxa"/>
            <w:vAlign w:val="center"/>
          </w:tcPr>
          <w:p w14:paraId="0E3A890A" w14:textId="77777777" w:rsidR="0046621C" w:rsidRPr="001931E9" w:rsidRDefault="0046621C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Formation</w:t>
            </w:r>
          </w:p>
        </w:tc>
        <w:tc>
          <w:tcPr>
            <w:tcW w:w="1276" w:type="dxa"/>
            <w:vAlign w:val="center"/>
          </w:tcPr>
          <w:p w14:paraId="76A7FC9A" w14:textId="77777777" w:rsidR="0046621C" w:rsidRPr="001931E9" w:rsidRDefault="0046621C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Coûts</w:t>
            </w:r>
            <w:r w:rsidR="00EA35D8" w:rsidRPr="001931E9">
              <w:rPr>
                <w:rFonts w:cs="Arial"/>
                <w:b/>
                <w:color w:val="000000"/>
                <w:sz w:val="17"/>
                <w:szCs w:val="17"/>
              </w:rPr>
              <w:t xml:space="preserve"> </w:t>
            </w: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de maintenance</w:t>
            </w:r>
          </w:p>
        </w:tc>
        <w:tc>
          <w:tcPr>
            <w:tcW w:w="1559" w:type="dxa"/>
            <w:vAlign w:val="center"/>
          </w:tcPr>
          <w:p w14:paraId="25929416" w14:textId="77777777" w:rsidR="0046621C" w:rsidRPr="001931E9" w:rsidRDefault="0046621C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Perfectionnement</w:t>
            </w:r>
          </w:p>
        </w:tc>
      </w:tr>
      <w:tr w:rsidR="008176BC" w:rsidRPr="001931E9" w14:paraId="442CA700" w14:textId="77777777" w:rsidTr="00DF0EB9">
        <w:trPr>
          <w:cantSplit/>
        </w:trPr>
        <w:tc>
          <w:tcPr>
            <w:tcW w:w="2122" w:type="dxa"/>
            <w:vAlign w:val="center"/>
          </w:tcPr>
          <w:p w14:paraId="7647800D" w14:textId="77777777" w:rsidR="0046621C" w:rsidRPr="001931E9" w:rsidRDefault="00A90B0D" w:rsidP="00E95614">
            <w:pPr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Outil de demande</w:t>
            </w:r>
            <w:r w:rsidR="0046621C" w:rsidRPr="001931E9">
              <w:rPr>
                <w:rFonts w:cs="Arial"/>
                <w:sz w:val="17"/>
                <w:szCs w:val="17"/>
              </w:rPr>
              <w:t xml:space="preserve"> UPOV</w:t>
            </w:r>
            <w:r>
              <w:rPr>
                <w:rFonts w:cs="Arial"/>
                <w:sz w:val="17"/>
                <w:szCs w:val="17"/>
              </w:rPr>
              <w:t> </w:t>
            </w:r>
            <w:r w:rsidR="0046621C" w:rsidRPr="001931E9">
              <w:rPr>
                <w:rFonts w:cs="Arial"/>
                <w:sz w:val="17"/>
                <w:szCs w:val="17"/>
              </w:rPr>
              <w:t>PRISMA</w:t>
            </w:r>
          </w:p>
        </w:tc>
        <w:tc>
          <w:tcPr>
            <w:tcW w:w="2268" w:type="dxa"/>
            <w:vAlign w:val="center"/>
          </w:tcPr>
          <w:p w14:paraId="30086F7B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Utilisation du questionnaire technique de l</w:t>
            </w:r>
            <w:r w:rsidR="00E63276" w:rsidRPr="001931E9">
              <w:rPr>
                <w:rFonts w:cs="Arial"/>
                <w:sz w:val="17"/>
                <w:szCs w:val="17"/>
              </w:rPr>
              <w:t>’</w:t>
            </w:r>
            <w:r w:rsidR="00E96B1E" w:rsidRPr="001931E9">
              <w:rPr>
                <w:rFonts w:cs="Arial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99CB9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E3348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323555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4F877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0EAF9A1B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000F8691" w14:textId="6BCC9E0D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Module d</w:t>
            </w:r>
            <w:r w:rsidR="00E63276" w:rsidRPr="001931E9">
              <w:rPr>
                <w:rFonts w:cs="Arial"/>
                <w:sz w:val="17"/>
                <w:szCs w:val="17"/>
              </w:rPr>
              <w:t>’</w:t>
            </w:r>
            <w:r w:rsidRPr="001931E9">
              <w:rPr>
                <w:rFonts w:cs="Arial"/>
                <w:sz w:val="17"/>
                <w:szCs w:val="17"/>
              </w:rPr>
              <w:t>administration d</w:t>
            </w:r>
            <w:r w:rsidR="00A90B0D">
              <w:rPr>
                <w:rFonts w:cs="Arial"/>
                <w:sz w:val="17"/>
                <w:szCs w:val="17"/>
              </w:rPr>
              <w:t>’un</w:t>
            </w:r>
            <w:r w:rsidR="008176BC">
              <w:rPr>
                <w:rFonts w:cs="Arial"/>
                <w:sz w:val="17"/>
                <w:szCs w:val="17"/>
              </w:rPr>
              <w:t xml:space="preserve"> </w:t>
            </w:r>
            <w:r w:rsidR="008176BC">
              <w:rPr>
                <w:rFonts w:cs="Arial"/>
                <w:color w:val="000000"/>
                <w:sz w:val="17"/>
                <w:szCs w:val="17"/>
              </w:rPr>
              <w:t>s</w:t>
            </w:r>
            <w:r w:rsidR="008176BC" w:rsidRPr="001931E9">
              <w:rPr>
                <w:rFonts w:cs="Arial"/>
                <w:color w:val="000000"/>
                <w:sz w:val="17"/>
                <w:szCs w:val="17"/>
              </w:rPr>
              <w:t xml:space="preserve">ervice </w:t>
            </w:r>
            <w:r w:rsidR="008176BC">
              <w:rPr>
                <w:rFonts w:cs="Arial"/>
                <w:color w:val="000000"/>
                <w:sz w:val="17"/>
                <w:szCs w:val="17"/>
              </w:rPr>
              <w:t>de la POV</w:t>
            </w:r>
            <w:r w:rsidRPr="001931E9">
              <w:rPr>
                <w:rFonts w:cs="Arial"/>
                <w:sz w:val="17"/>
                <w:szCs w:val="17"/>
              </w:rPr>
              <w:t xml:space="preserve"> (Module d</w:t>
            </w:r>
            <w:r w:rsidR="00E63276" w:rsidRPr="001931E9">
              <w:rPr>
                <w:rFonts w:cs="Arial"/>
                <w:sz w:val="17"/>
                <w:szCs w:val="17"/>
              </w:rPr>
              <w:t>’</w:t>
            </w:r>
            <w:r w:rsidRPr="001931E9">
              <w:rPr>
                <w:rFonts w:cs="Arial"/>
                <w:sz w:val="17"/>
                <w:szCs w:val="17"/>
              </w:rPr>
              <w:t>administration</w:t>
            </w:r>
            <w:r w:rsidR="00A90B0D">
              <w:rPr>
                <w:rFonts w:cs="Arial"/>
                <w:sz w:val="17"/>
                <w:szCs w:val="17"/>
              </w:rPr>
              <w:t xml:space="preserve"> </w:t>
            </w:r>
            <w:r w:rsidR="00193742">
              <w:rPr>
                <w:rFonts w:cs="Arial"/>
                <w:sz w:val="17"/>
                <w:szCs w:val="17"/>
              </w:rPr>
              <w:t>d</w:t>
            </w:r>
            <w:r w:rsidR="00BB4480">
              <w:rPr>
                <w:rFonts w:cs="Arial"/>
                <w:sz w:val="17"/>
                <w:szCs w:val="17"/>
              </w:rPr>
              <w:t>e l’</w:t>
            </w:r>
            <w:r w:rsidR="00E17DD7">
              <w:rPr>
                <w:rFonts w:cs="Arial"/>
                <w:sz w:val="17"/>
                <w:szCs w:val="17"/>
              </w:rPr>
              <w:t>UPOV e</w:t>
            </w:r>
            <w:r w:rsidR="00E17DD7">
              <w:rPr>
                <w:rFonts w:cs="Arial"/>
                <w:sz w:val="17"/>
                <w:szCs w:val="17"/>
              </w:rPr>
              <w:noBreakHyphen/>
              <w:t>PVP</w:t>
            </w:r>
            <w:r w:rsidRPr="001931E9"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2268" w:type="dxa"/>
            <w:vAlign w:val="center"/>
          </w:tcPr>
          <w:p w14:paraId="6EAA1ACD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API</w:t>
            </w:r>
            <w:r w:rsidR="001931E9" w:rsidRPr="001931E9">
              <w:rPr>
                <w:rFonts w:cs="Arial"/>
                <w:sz w:val="17"/>
                <w:szCs w:val="17"/>
              </w:rPr>
              <w:t xml:space="preserve"> </w:t>
            </w:r>
            <w:r w:rsidRPr="001931E9">
              <w:rPr>
                <w:rFonts w:cs="Arial"/>
                <w:sz w:val="17"/>
                <w:szCs w:val="17"/>
              </w:rPr>
              <w:t>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3182C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 w:rsidR="001931E9"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30E40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684EB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35F2C6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5A77B53B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01B7C12C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017A73C7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Flux de travail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85503" w14:textId="77777777" w:rsidR="0046621C" w:rsidRPr="001931E9" w:rsidRDefault="001931E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23C03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5035A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E5962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513CC80B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3D706DDA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D3320BC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Interface utilisateur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B8C49" w14:textId="77777777" w:rsidR="0046621C" w:rsidRPr="001931E9" w:rsidRDefault="001931E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1AB02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A2112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3BC55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401915F3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23D32C8F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Module de co</w:t>
            </w:r>
            <w:r w:rsidR="00A90B0D">
              <w:rPr>
                <w:rFonts w:cs="Arial"/>
                <w:sz w:val="17"/>
                <w:szCs w:val="17"/>
              </w:rPr>
              <w:t>mmunication (module de suivi du</w:t>
            </w:r>
            <w:r w:rsidRPr="001931E9">
              <w:rPr>
                <w:rFonts w:cs="Arial"/>
                <w:sz w:val="17"/>
                <w:szCs w:val="17"/>
              </w:rPr>
              <w:t xml:space="preserve"> demandeur)</w:t>
            </w:r>
            <w:r w:rsidR="00A90B0D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7612643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API</w:t>
            </w:r>
            <w:r w:rsidR="001931E9" w:rsidRPr="001931E9">
              <w:rPr>
                <w:rFonts w:cs="Arial"/>
                <w:sz w:val="17"/>
                <w:szCs w:val="17"/>
              </w:rPr>
              <w:t xml:space="preserve"> </w:t>
            </w:r>
            <w:r w:rsidR="00E96B1E" w:rsidRPr="001931E9">
              <w:rPr>
                <w:rFonts w:cs="Arial"/>
                <w:sz w:val="17"/>
                <w:szCs w:val="17"/>
              </w:rPr>
              <w:t>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5E102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5EF8E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3EEA7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7753A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665F9237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1D6BE9FD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4FFC592A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Interface utilisateur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57A53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2825E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01D2D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DC16B3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4EAAC81E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7B7922DD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Module d</w:t>
            </w:r>
            <w:r w:rsidR="00E63276" w:rsidRPr="001931E9">
              <w:rPr>
                <w:rFonts w:cs="Arial"/>
                <w:sz w:val="17"/>
                <w:szCs w:val="17"/>
              </w:rPr>
              <w:t>’</w:t>
            </w:r>
            <w:r w:rsidRPr="001931E9">
              <w:rPr>
                <w:rFonts w:cs="Arial"/>
                <w:sz w:val="17"/>
                <w:szCs w:val="17"/>
              </w:rPr>
              <w:t>échange de rapports d</w:t>
            </w:r>
            <w:r w:rsidR="00E63276" w:rsidRPr="001931E9">
              <w:rPr>
                <w:rFonts w:cs="Arial"/>
                <w:sz w:val="17"/>
                <w:szCs w:val="17"/>
              </w:rPr>
              <w:t>’</w:t>
            </w:r>
            <w:r w:rsidRPr="001931E9">
              <w:rPr>
                <w:rFonts w:cs="Arial"/>
                <w:sz w:val="17"/>
                <w:szCs w:val="17"/>
              </w:rPr>
              <w:t>examen</w:t>
            </w:r>
            <w:r w:rsidR="001931E9" w:rsidRPr="001931E9">
              <w:rPr>
                <w:rFonts w:cs="Arial"/>
                <w:sz w:val="17"/>
                <w:szCs w:val="17"/>
              </w:rPr>
              <w:t xml:space="preserve"> </w:t>
            </w:r>
            <w:r w:rsidRPr="001931E9">
              <w:rPr>
                <w:rFonts w:cs="Arial"/>
                <w:sz w:val="17"/>
                <w:szCs w:val="17"/>
              </w:rPr>
              <w:t>DHS</w:t>
            </w:r>
          </w:p>
        </w:tc>
        <w:tc>
          <w:tcPr>
            <w:tcW w:w="2268" w:type="dxa"/>
            <w:vAlign w:val="center"/>
          </w:tcPr>
          <w:p w14:paraId="713B8526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API</w:t>
            </w:r>
            <w:r w:rsidR="001931E9" w:rsidRPr="001931E9">
              <w:rPr>
                <w:rFonts w:cs="Arial"/>
                <w:sz w:val="17"/>
                <w:szCs w:val="17"/>
              </w:rPr>
              <w:t xml:space="preserve"> </w:t>
            </w:r>
            <w:r w:rsidR="00E96B1E" w:rsidRPr="001931E9">
              <w:rPr>
                <w:rFonts w:cs="Arial"/>
                <w:sz w:val="17"/>
                <w:szCs w:val="17"/>
              </w:rPr>
              <w:t>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FEF3B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9579D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3102E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F08F00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64CDC5E3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08CC0DEE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173F0D93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Interface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87706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0AFB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E104F2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76F84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7E6A177D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452D7260" w14:textId="77777777" w:rsidR="0046621C" w:rsidRPr="001931E9" w:rsidRDefault="00E96B1E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Publication</w:t>
            </w:r>
          </w:p>
        </w:tc>
        <w:tc>
          <w:tcPr>
            <w:tcW w:w="2268" w:type="dxa"/>
            <w:vAlign w:val="center"/>
          </w:tcPr>
          <w:p w14:paraId="7B89AFB4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Publicatio</w:t>
            </w:r>
            <w:r w:rsidR="00E96B1E" w:rsidRPr="001931E9">
              <w:rPr>
                <w:rFonts w:cs="Arial"/>
                <w:sz w:val="17"/>
                <w:szCs w:val="17"/>
              </w:rPr>
              <w:t xml:space="preserve">n </w:t>
            </w:r>
            <w:r w:rsidR="00A90B0D">
              <w:rPr>
                <w:rFonts w:cs="Arial"/>
                <w:sz w:val="17"/>
                <w:szCs w:val="17"/>
              </w:rPr>
              <w:t>dans PLUTO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267CA1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83097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BCCD52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DB308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8176BC" w:rsidRPr="001931E9" w14:paraId="144B833B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47141198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67F3BF5F" w14:textId="77777777" w:rsidR="0046621C" w:rsidRPr="001931E9" w:rsidRDefault="0046621C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Modèle de gazette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018079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AA5716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B9226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2AD9F" w14:textId="77777777" w:rsidR="0046621C" w:rsidRPr="001931E9" w:rsidRDefault="0046621C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</w:tbl>
    <w:p w14:paraId="2FF63970" w14:textId="4EAB8EAB" w:rsidR="0046621C" w:rsidRPr="00B02300" w:rsidRDefault="0046621C" w:rsidP="00F85850">
      <w:pPr>
        <w:spacing w:before="120" w:after="240"/>
        <w:ind w:left="284" w:hanging="284"/>
        <w:rPr>
          <w:rFonts w:cs="Arial"/>
          <w:sz w:val="15"/>
          <w:szCs w:val="15"/>
          <w:shd w:val="clear" w:color="auto" w:fill="FFFFFF"/>
          <w:lang w:val="fr-FR"/>
        </w:rPr>
      </w:pPr>
      <w:r w:rsidRPr="00B02300">
        <w:rPr>
          <w:sz w:val="15"/>
          <w:szCs w:val="15"/>
          <w:shd w:val="clear" w:color="auto" w:fill="FFFFFF"/>
          <w:lang w:val="fr-FR"/>
        </w:rPr>
        <w:t>*</w:t>
      </w:r>
      <w:r w:rsidRPr="00B02300">
        <w:rPr>
          <w:sz w:val="15"/>
          <w:szCs w:val="15"/>
          <w:shd w:val="clear" w:color="auto" w:fill="FFFFFF"/>
          <w:lang w:val="fr-FR"/>
        </w:rPr>
        <w:tab/>
        <w:t xml:space="preserve">Chaque service de protection des obtentions végétales </w:t>
      </w:r>
      <w:r w:rsidR="00193742" w:rsidRPr="00B02300">
        <w:rPr>
          <w:sz w:val="15"/>
          <w:szCs w:val="15"/>
          <w:shd w:val="clear" w:color="auto" w:fill="FFFFFF"/>
          <w:lang w:val="fr-FR"/>
        </w:rPr>
        <w:t xml:space="preserve">(service de la POV) </w:t>
      </w:r>
      <w:r w:rsidRPr="00B02300">
        <w:rPr>
          <w:sz w:val="15"/>
          <w:szCs w:val="15"/>
          <w:shd w:val="clear" w:color="auto" w:fill="FFFFFF"/>
          <w:lang w:val="fr-FR"/>
        </w:rPr>
        <w:t>disposera de son propre serveur (nœud de chaîne de blocs) pour exécuter le module d</w:t>
      </w:r>
      <w:r w:rsidR="00E63276" w:rsidRPr="00B02300">
        <w:rPr>
          <w:sz w:val="15"/>
          <w:szCs w:val="15"/>
          <w:shd w:val="clear" w:color="auto" w:fill="FFFFFF"/>
          <w:lang w:val="fr-FR"/>
        </w:rPr>
        <w:t>’</w:t>
      </w:r>
      <w:r w:rsidRPr="00B02300">
        <w:rPr>
          <w:sz w:val="15"/>
          <w:szCs w:val="15"/>
          <w:shd w:val="clear" w:color="auto" w:fill="FFFFFF"/>
          <w:lang w:val="fr-FR"/>
        </w:rPr>
        <w:t xml:space="preserve">administration </w:t>
      </w:r>
      <w:r w:rsidR="00193742" w:rsidRPr="00B02300">
        <w:rPr>
          <w:sz w:val="15"/>
          <w:szCs w:val="15"/>
          <w:shd w:val="clear" w:color="auto" w:fill="FFFFFF"/>
          <w:lang w:val="fr-FR"/>
        </w:rPr>
        <w:t>de l’</w:t>
      </w:r>
      <w:r w:rsidR="00BB4480" w:rsidRPr="00B02300">
        <w:rPr>
          <w:sz w:val="15"/>
          <w:szCs w:val="15"/>
          <w:shd w:val="clear" w:color="auto" w:fill="FFFFFF"/>
          <w:lang w:val="fr-FR"/>
        </w:rPr>
        <w:t>UPOV </w:t>
      </w:r>
      <w:r w:rsidR="00E17DD7" w:rsidRPr="00B02300">
        <w:rPr>
          <w:sz w:val="15"/>
          <w:szCs w:val="15"/>
          <w:shd w:val="clear" w:color="auto" w:fill="FFFFFF"/>
          <w:lang w:val="fr-FR"/>
        </w:rPr>
        <w:t>e</w:t>
      </w:r>
      <w:r w:rsidR="00E17DD7" w:rsidRPr="00B02300">
        <w:rPr>
          <w:sz w:val="15"/>
          <w:szCs w:val="15"/>
          <w:shd w:val="clear" w:color="auto" w:fill="FFFFFF"/>
          <w:lang w:val="fr-FR"/>
        </w:rPr>
        <w:noBreakHyphen/>
        <w:t>PVP</w:t>
      </w:r>
      <w:r w:rsidR="00193742" w:rsidRPr="00B02300">
        <w:rPr>
          <w:sz w:val="15"/>
          <w:szCs w:val="15"/>
          <w:shd w:val="clear" w:color="auto" w:fill="FFFFFF"/>
          <w:lang w:val="fr-FR"/>
        </w:rPr>
        <w:t xml:space="preserve"> </w:t>
      </w:r>
      <w:r w:rsidRPr="00B02300">
        <w:rPr>
          <w:sz w:val="15"/>
          <w:szCs w:val="15"/>
          <w:shd w:val="clear" w:color="auto" w:fill="FFFFFF"/>
          <w:lang w:val="fr-FR"/>
        </w:rPr>
        <w:t>et stocker les donné</w:t>
      </w:r>
      <w:r w:rsidR="00277E39" w:rsidRPr="00B02300">
        <w:rPr>
          <w:sz w:val="15"/>
          <w:szCs w:val="15"/>
          <w:shd w:val="clear" w:color="auto" w:fill="FFFFFF"/>
          <w:lang w:val="fr-FR"/>
        </w:rPr>
        <w:t>es.  Ce</w:t>
      </w:r>
      <w:r w:rsidRPr="00B02300">
        <w:rPr>
          <w:sz w:val="15"/>
          <w:szCs w:val="15"/>
          <w:shd w:val="clear" w:color="auto" w:fill="FFFFFF"/>
          <w:lang w:val="fr-FR"/>
        </w:rPr>
        <w:t xml:space="preserve"> serveur peut être hébergé sur leur propre site (géré par le service de </w:t>
      </w:r>
      <w:r w:rsidR="00193742" w:rsidRPr="00B02300">
        <w:rPr>
          <w:sz w:val="15"/>
          <w:szCs w:val="15"/>
          <w:shd w:val="clear" w:color="auto" w:fill="FFFFFF"/>
          <w:lang w:val="fr-FR"/>
        </w:rPr>
        <w:t>la POV</w:t>
      </w:r>
      <w:r w:rsidRPr="00B02300">
        <w:rPr>
          <w:sz w:val="15"/>
          <w:szCs w:val="15"/>
          <w:shd w:val="clear" w:color="auto" w:fill="FFFFFF"/>
          <w:lang w:val="fr-FR"/>
        </w:rPr>
        <w:t xml:space="preserve">) ou dans le nuage (géré par le service </w:t>
      </w:r>
      <w:r w:rsidR="00193742" w:rsidRPr="00B02300">
        <w:rPr>
          <w:sz w:val="15"/>
          <w:szCs w:val="15"/>
          <w:shd w:val="clear" w:color="auto" w:fill="FFFFFF"/>
          <w:lang w:val="fr-FR"/>
        </w:rPr>
        <w:t xml:space="preserve">de la POV, </w:t>
      </w:r>
      <w:r w:rsidRPr="00B02300">
        <w:rPr>
          <w:sz w:val="15"/>
          <w:szCs w:val="15"/>
          <w:shd w:val="clear" w:color="auto" w:fill="FFFFFF"/>
          <w:lang w:val="fr-FR"/>
        </w:rPr>
        <w:t>ou par l</w:t>
      </w:r>
      <w:r w:rsidR="00E63276" w:rsidRPr="00B02300">
        <w:rPr>
          <w:sz w:val="15"/>
          <w:szCs w:val="15"/>
          <w:shd w:val="clear" w:color="auto" w:fill="FFFFFF"/>
          <w:lang w:val="fr-FR"/>
        </w:rPr>
        <w:t>’</w:t>
      </w:r>
      <w:r w:rsidRPr="00B02300">
        <w:rPr>
          <w:sz w:val="15"/>
          <w:szCs w:val="15"/>
          <w:shd w:val="clear" w:color="auto" w:fill="FFFFFF"/>
          <w:lang w:val="fr-FR"/>
        </w:rPr>
        <w:t>UPOV s</w:t>
      </w:r>
      <w:r w:rsidR="00193742" w:rsidRPr="00B02300">
        <w:rPr>
          <w:sz w:val="15"/>
          <w:szCs w:val="15"/>
          <w:shd w:val="clear" w:color="auto" w:fill="FFFFFF"/>
          <w:lang w:val="fr-FR"/>
        </w:rPr>
        <w:t>i</w:t>
      </w:r>
      <w:r w:rsidRPr="00B02300">
        <w:rPr>
          <w:sz w:val="15"/>
          <w:szCs w:val="15"/>
          <w:shd w:val="clear" w:color="auto" w:fill="FFFFFF"/>
          <w:lang w:val="fr-FR"/>
        </w:rPr>
        <w:t xml:space="preserve"> </w:t>
      </w:r>
      <w:r w:rsidR="00193742" w:rsidRPr="00B02300">
        <w:rPr>
          <w:sz w:val="15"/>
          <w:szCs w:val="15"/>
          <w:shd w:val="clear" w:color="auto" w:fill="FFFFFF"/>
          <w:lang w:val="fr-FR"/>
        </w:rPr>
        <w:t xml:space="preserve">elle </w:t>
      </w:r>
      <w:r w:rsidRPr="00B02300">
        <w:rPr>
          <w:sz w:val="15"/>
          <w:szCs w:val="15"/>
          <w:shd w:val="clear" w:color="auto" w:fill="FFFFFF"/>
          <w:lang w:val="fr-FR"/>
        </w:rPr>
        <w:t>est délég</w:t>
      </w:r>
      <w:r w:rsidR="00277E39" w:rsidRPr="00B02300">
        <w:rPr>
          <w:sz w:val="15"/>
          <w:szCs w:val="15"/>
          <w:shd w:val="clear" w:color="auto" w:fill="FFFFFF"/>
          <w:lang w:val="fr-FR"/>
        </w:rPr>
        <w:t>ué</w:t>
      </w:r>
      <w:r w:rsidR="00193742" w:rsidRPr="00B02300">
        <w:rPr>
          <w:sz w:val="15"/>
          <w:szCs w:val="15"/>
          <w:shd w:val="clear" w:color="auto" w:fill="FFFFFF"/>
          <w:lang w:val="fr-FR"/>
        </w:rPr>
        <w:t>e</w:t>
      </w:r>
      <w:r w:rsidR="00277E39" w:rsidRPr="00B02300">
        <w:rPr>
          <w:sz w:val="15"/>
          <w:szCs w:val="15"/>
          <w:shd w:val="clear" w:color="auto" w:fill="FFFFFF"/>
          <w:lang w:val="fr-FR"/>
        </w:rPr>
        <w:t>).  Da</w:t>
      </w:r>
      <w:r w:rsidRPr="00B02300">
        <w:rPr>
          <w:sz w:val="15"/>
          <w:szCs w:val="15"/>
          <w:shd w:val="clear" w:color="auto" w:fill="FFFFFF"/>
          <w:lang w:val="fr-FR"/>
        </w:rPr>
        <w:t>ns tous les cas, les frais d</w:t>
      </w:r>
      <w:r w:rsidR="00E63276" w:rsidRPr="00B02300">
        <w:rPr>
          <w:sz w:val="15"/>
          <w:szCs w:val="15"/>
          <w:shd w:val="clear" w:color="auto" w:fill="FFFFFF"/>
          <w:lang w:val="fr-FR"/>
        </w:rPr>
        <w:t>’</w:t>
      </w:r>
      <w:r w:rsidRPr="00B02300">
        <w:rPr>
          <w:sz w:val="15"/>
          <w:szCs w:val="15"/>
          <w:shd w:val="clear" w:color="auto" w:fill="FFFFFF"/>
          <w:lang w:val="fr-FR"/>
        </w:rPr>
        <w:t xml:space="preserve">hébergement sont pris en charge par le service de </w:t>
      </w:r>
      <w:r w:rsidR="00193742" w:rsidRPr="00B02300">
        <w:rPr>
          <w:sz w:val="15"/>
          <w:szCs w:val="15"/>
          <w:shd w:val="clear" w:color="auto" w:fill="FFFFFF"/>
          <w:lang w:val="fr-FR"/>
        </w:rPr>
        <w:t>la POV</w:t>
      </w:r>
      <w:r w:rsidRPr="00B02300">
        <w:rPr>
          <w:sz w:val="15"/>
          <w:szCs w:val="15"/>
          <w:shd w:val="clear" w:color="auto" w:fill="FFFFFF"/>
          <w:lang w:val="fr-FR"/>
        </w:rPr>
        <w:t>.</w:t>
      </w:r>
    </w:p>
    <w:p w14:paraId="140650B6" w14:textId="77777777" w:rsidR="00E96B1E" w:rsidRPr="00DF0EB9" w:rsidRDefault="0046621C" w:rsidP="00DF0EB9">
      <w:pPr>
        <w:spacing w:after="360"/>
        <w:rPr>
          <w:sz w:val="18"/>
          <w:szCs w:val="18"/>
          <w:shd w:val="clear" w:color="auto" w:fill="FFFFFF"/>
          <w:lang w:val="fr-FR"/>
        </w:rPr>
      </w:pPr>
      <w:r w:rsidRPr="00DF0EB9">
        <w:rPr>
          <w:sz w:val="18"/>
          <w:szCs w:val="18"/>
          <w:shd w:val="clear" w:color="auto" w:fill="FFFFFF"/>
          <w:lang w:val="fr-FR"/>
        </w:rPr>
        <w:t>Les frais annuels d</w:t>
      </w:r>
      <w:r w:rsidR="00E63276" w:rsidRPr="00DF0EB9">
        <w:rPr>
          <w:sz w:val="18"/>
          <w:szCs w:val="18"/>
          <w:shd w:val="clear" w:color="auto" w:fill="FFFFFF"/>
          <w:lang w:val="fr-FR"/>
        </w:rPr>
        <w:t>’</w:t>
      </w:r>
      <w:r w:rsidRPr="00DF0EB9">
        <w:rPr>
          <w:sz w:val="18"/>
          <w:szCs w:val="18"/>
          <w:shd w:val="clear" w:color="auto" w:fill="FFFFFF"/>
          <w:lang w:val="fr-FR"/>
        </w:rPr>
        <w:t>hébergement sont actuellement estimés à 180</w:t>
      </w:r>
      <w:r w:rsidR="00E63276" w:rsidRPr="00DF0EB9">
        <w:rPr>
          <w:sz w:val="18"/>
          <w:szCs w:val="18"/>
          <w:shd w:val="clear" w:color="auto" w:fill="FFFFFF"/>
          <w:lang w:val="fr-FR"/>
        </w:rPr>
        <w:t>0 dollar</w:t>
      </w:r>
      <w:r w:rsidRPr="00DF0EB9">
        <w:rPr>
          <w:sz w:val="18"/>
          <w:szCs w:val="18"/>
          <w:shd w:val="clear" w:color="auto" w:fill="FFFFFF"/>
          <w:lang w:val="fr-FR"/>
        </w:rPr>
        <w:t>s</w:t>
      </w:r>
      <w:r w:rsidR="004D4572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É.</w:t>
      </w:r>
      <w:r w:rsidR="00E63276" w:rsidRPr="00DF0EB9">
        <w:rPr>
          <w:sz w:val="18"/>
          <w:szCs w:val="18"/>
          <w:shd w:val="clear" w:color="auto" w:fill="FFFFFF"/>
          <w:lang w:val="fr-FR"/>
        </w:rPr>
        <w:t>-</w:t>
      </w:r>
      <w:r w:rsidRPr="00DF0EB9">
        <w:rPr>
          <w:sz w:val="18"/>
          <w:szCs w:val="18"/>
          <w:shd w:val="clear" w:color="auto" w:fill="FFFFFF"/>
          <w:lang w:val="fr-FR"/>
        </w:rPr>
        <w:t>U.</w:t>
      </w:r>
      <w:r w:rsidR="007A0089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(50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à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100</w:t>
      </w:r>
      <w:r w:rsidR="00277E39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demandes par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 xml:space="preserve">an et moins </w:t>
      </w:r>
      <w:r w:rsidR="00E63276" w:rsidRPr="00DF0EB9">
        <w:rPr>
          <w:sz w:val="18"/>
          <w:szCs w:val="18"/>
          <w:shd w:val="clear" w:color="auto" w:fill="FFFFFF"/>
          <w:lang w:val="fr-FR"/>
        </w:rPr>
        <w:t>de</w:t>
      </w:r>
      <w:r w:rsidR="007A0089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="00E63276" w:rsidRPr="00DF0EB9">
        <w:rPr>
          <w:sz w:val="18"/>
          <w:szCs w:val="18"/>
          <w:shd w:val="clear" w:color="auto" w:fill="FFFFFF"/>
          <w:lang w:val="fr-FR"/>
        </w:rPr>
        <w:t>1000</w:t>
      </w:r>
      <w:r w:rsidR="00277E39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titres en vigueur) ou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240</w:t>
      </w:r>
      <w:r w:rsidR="00E63276" w:rsidRPr="00DF0EB9">
        <w:rPr>
          <w:sz w:val="18"/>
          <w:szCs w:val="18"/>
          <w:shd w:val="clear" w:color="auto" w:fill="FFFFFF"/>
          <w:lang w:val="fr-FR"/>
        </w:rPr>
        <w:t>0 dollar</w:t>
      </w:r>
      <w:r w:rsidRPr="00DF0EB9">
        <w:rPr>
          <w:sz w:val="18"/>
          <w:szCs w:val="18"/>
          <w:shd w:val="clear" w:color="auto" w:fill="FFFFFF"/>
          <w:lang w:val="fr-FR"/>
        </w:rPr>
        <w:t>s</w:t>
      </w:r>
      <w:r w:rsidR="004D4572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É.</w:t>
      </w:r>
      <w:r w:rsidR="00E63276" w:rsidRPr="00DF0EB9">
        <w:rPr>
          <w:sz w:val="18"/>
          <w:szCs w:val="18"/>
          <w:shd w:val="clear" w:color="auto" w:fill="FFFFFF"/>
          <w:lang w:val="fr-FR"/>
        </w:rPr>
        <w:t>-</w:t>
      </w:r>
      <w:r w:rsidRPr="00DF0EB9">
        <w:rPr>
          <w:sz w:val="18"/>
          <w:szCs w:val="18"/>
          <w:shd w:val="clear" w:color="auto" w:fill="FFFFFF"/>
          <w:lang w:val="fr-FR"/>
        </w:rPr>
        <w:t>U.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(1000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à</w:t>
      </w:r>
      <w:r w:rsidR="00D77595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2000</w:t>
      </w:r>
      <w:r w:rsidR="00277E39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demandes par</w:t>
      </w:r>
      <w:r w:rsidR="007A0089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Pr="00DF0EB9">
        <w:rPr>
          <w:sz w:val="18"/>
          <w:szCs w:val="18"/>
          <w:shd w:val="clear" w:color="auto" w:fill="FFFFFF"/>
          <w:lang w:val="fr-FR"/>
        </w:rPr>
        <w:t>an et moins de 10</w:t>
      </w:r>
      <w:r w:rsidR="004D4572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000</w:t>
      </w:r>
      <w:r w:rsidR="00277E39" w:rsidRPr="00DF0EB9">
        <w:rPr>
          <w:sz w:val="18"/>
          <w:szCs w:val="18"/>
          <w:shd w:val="clear" w:color="auto" w:fill="FFFFFF"/>
          <w:lang w:val="fr-FR"/>
        </w:rPr>
        <w:t> </w:t>
      </w:r>
      <w:r w:rsidRPr="00DF0EB9">
        <w:rPr>
          <w:sz w:val="18"/>
          <w:szCs w:val="18"/>
          <w:shd w:val="clear" w:color="auto" w:fill="FFFFFF"/>
          <w:lang w:val="fr-FR"/>
        </w:rPr>
        <w:t>titres en vigue</w:t>
      </w:r>
      <w:r w:rsidR="00277E39" w:rsidRPr="00DF0EB9">
        <w:rPr>
          <w:sz w:val="18"/>
          <w:szCs w:val="18"/>
          <w:shd w:val="clear" w:color="auto" w:fill="FFFFFF"/>
          <w:lang w:val="fr-FR"/>
        </w:rPr>
        <w:t>ur).  Ce</w:t>
      </w:r>
      <w:r w:rsidRPr="00DF0EB9">
        <w:rPr>
          <w:sz w:val="18"/>
          <w:szCs w:val="18"/>
          <w:shd w:val="clear" w:color="auto" w:fill="FFFFFF"/>
          <w:lang w:val="fr-FR"/>
        </w:rPr>
        <w:t xml:space="preserve"> montant est calculé sur la base de la grille tarifaire actuelle d</w:t>
      </w:r>
      <w:r w:rsidR="00E63276" w:rsidRPr="00DF0EB9">
        <w:rPr>
          <w:sz w:val="18"/>
          <w:szCs w:val="18"/>
          <w:shd w:val="clear" w:color="auto" w:fill="FFFFFF"/>
          <w:lang w:val="fr-FR"/>
        </w:rPr>
        <w:t>’</w:t>
      </w:r>
      <w:r w:rsidRPr="00DF0EB9">
        <w:rPr>
          <w:sz w:val="18"/>
          <w:szCs w:val="18"/>
          <w:shd w:val="clear" w:color="auto" w:fill="FFFFFF"/>
          <w:lang w:val="fr-FR"/>
        </w:rPr>
        <w:t>Amazon</w:t>
      </w:r>
      <w:r w:rsidR="007A0089" w:rsidRPr="00DF0EB9">
        <w:rPr>
          <w:sz w:val="18"/>
          <w:szCs w:val="18"/>
          <w:shd w:val="clear" w:color="auto" w:fill="FFFFFF"/>
          <w:lang w:val="fr-FR"/>
        </w:rPr>
        <w:t xml:space="preserve"> </w:t>
      </w:r>
      <w:r w:rsidR="00E96B1E" w:rsidRPr="00DF0EB9">
        <w:rPr>
          <w:sz w:val="18"/>
          <w:szCs w:val="18"/>
          <w:shd w:val="clear" w:color="auto" w:fill="FFFFFF"/>
          <w:lang w:val="fr-FR"/>
        </w:rPr>
        <w:t>Web </w:t>
      </w:r>
      <w:r w:rsidRPr="00DF0EB9">
        <w:rPr>
          <w:sz w:val="18"/>
          <w:szCs w:val="18"/>
          <w:shd w:val="clear" w:color="auto" w:fill="FFFFFF"/>
          <w:lang w:val="fr-FR"/>
        </w:rPr>
        <w:t>Service, qui est susceptible d</w:t>
      </w:r>
      <w:r w:rsidR="00E63276" w:rsidRPr="00DF0EB9">
        <w:rPr>
          <w:sz w:val="18"/>
          <w:szCs w:val="18"/>
          <w:shd w:val="clear" w:color="auto" w:fill="FFFFFF"/>
          <w:lang w:val="fr-FR"/>
        </w:rPr>
        <w:t>’</w:t>
      </w:r>
      <w:r w:rsidRPr="00DF0EB9">
        <w:rPr>
          <w:sz w:val="18"/>
          <w:szCs w:val="18"/>
          <w:shd w:val="clear" w:color="auto" w:fill="FFFFFF"/>
          <w:lang w:val="fr-FR"/>
        </w:rPr>
        <w:t>être modifiée.</w:t>
      </w:r>
    </w:p>
    <w:p w14:paraId="5153137C" w14:textId="77777777" w:rsidR="0046621C" w:rsidRPr="00DF0EB9" w:rsidRDefault="0046621C" w:rsidP="00414233">
      <w:pPr>
        <w:keepNext/>
        <w:spacing w:after="240"/>
        <w:rPr>
          <w:sz w:val="18"/>
          <w:szCs w:val="18"/>
          <w:u w:val="single"/>
          <w:lang w:val="fr-FR"/>
        </w:rPr>
      </w:pPr>
      <w:r w:rsidRPr="00DF0EB9">
        <w:rPr>
          <w:sz w:val="18"/>
          <w:szCs w:val="18"/>
          <w:lang w:val="fr-FR"/>
        </w:rPr>
        <w:t>b)</w:t>
      </w:r>
      <w:r w:rsidRPr="00DF0EB9">
        <w:rPr>
          <w:sz w:val="18"/>
          <w:szCs w:val="18"/>
          <w:lang w:val="fr-FR"/>
        </w:rPr>
        <w:tab/>
      </w:r>
      <w:r w:rsidRPr="00DF0EB9">
        <w:rPr>
          <w:sz w:val="18"/>
          <w:szCs w:val="18"/>
          <w:u w:val="single"/>
          <w:lang w:val="fr-FR"/>
        </w:rPr>
        <w:t>Options personnalisées à l</w:t>
      </w:r>
      <w:r w:rsidR="00E63276" w:rsidRPr="00DF0EB9">
        <w:rPr>
          <w:sz w:val="18"/>
          <w:szCs w:val="18"/>
          <w:u w:val="single"/>
          <w:lang w:val="fr-FR"/>
        </w:rPr>
        <w:t>’</w:t>
      </w:r>
      <w:r w:rsidRPr="00DF0EB9">
        <w:rPr>
          <w:sz w:val="18"/>
          <w:szCs w:val="18"/>
          <w:u w:val="single"/>
          <w:lang w:val="fr-FR"/>
        </w:rPr>
        <w:t>aide de l</w:t>
      </w:r>
      <w:r w:rsidR="00E63276" w:rsidRPr="00DF0EB9">
        <w:rPr>
          <w:sz w:val="18"/>
          <w:szCs w:val="18"/>
          <w:u w:val="single"/>
          <w:lang w:val="fr-FR"/>
        </w:rPr>
        <w:t>’</w:t>
      </w:r>
      <w:r w:rsidRPr="00DF0EB9">
        <w:rPr>
          <w:sz w:val="18"/>
          <w:szCs w:val="18"/>
          <w:u w:val="single"/>
          <w:lang w:val="fr-FR"/>
        </w:rPr>
        <w:t>outil de demande de droit d</w:t>
      </w:r>
      <w:r w:rsidR="00E63276" w:rsidRPr="00DF0EB9">
        <w:rPr>
          <w:sz w:val="18"/>
          <w:szCs w:val="18"/>
          <w:u w:val="single"/>
          <w:lang w:val="fr-FR"/>
        </w:rPr>
        <w:t>’</w:t>
      </w:r>
      <w:r w:rsidRPr="00DF0EB9">
        <w:rPr>
          <w:sz w:val="18"/>
          <w:szCs w:val="18"/>
          <w:u w:val="single"/>
          <w:lang w:val="fr-FR"/>
        </w:rPr>
        <w:t>obtenteur UPOV</w:t>
      </w:r>
      <w:r w:rsidR="00E96B1E" w:rsidRPr="00DF0EB9">
        <w:rPr>
          <w:sz w:val="18"/>
          <w:szCs w:val="18"/>
          <w:u w:val="single"/>
          <w:lang w:val="fr-FR"/>
        </w:rPr>
        <w:t> </w:t>
      </w:r>
      <w:r w:rsidRPr="00DF0EB9">
        <w:rPr>
          <w:sz w:val="18"/>
          <w:szCs w:val="18"/>
          <w:u w:val="single"/>
          <w:lang w:val="fr-FR"/>
        </w:rPr>
        <w:t>PRISMA</w:t>
      </w:r>
    </w:p>
    <w:tbl>
      <w:tblPr>
        <w:tblStyle w:val="TableGrid"/>
        <w:tblW w:w="1006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992"/>
        <w:gridCol w:w="1559"/>
        <w:gridCol w:w="1560"/>
      </w:tblGrid>
      <w:tr w:rsidR="00E95614" w:rsidRPr="00E95614" w14:paraId="07B8304D" w14:textId="77777777" w:rsidTr="00DF0EB9">
        <w:trPr>
          <w:cantSplit/>
          <w:tblHeader/>
        </w:trPr>
        <w:tc>
          <w:tcPr>
            <w:tcW w:w="2122" w:type="dxa"/>
            <w:vAlign w:val="center"/>
          </w:tcPr>
          <w:p w14:paraId="7B1F4CD1" w14:textId="77777777" w:rsidR="007A0089" w:rsidRPr="00E95614" w:rsidRDefault="007A0089" w:rsidP="00E95614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E95614">
              <w:rPr>
                <w:rFonts w:cs="Arial"/>
                <w:b/>
                <w:sz w:val="17"/>
                <w:szCs w:val="17"/>
              </w:rPr>
              <w:t>Module</w:t>
            </w:r>
          </w:p>
        </w:tc>
        <w:tc>
          <w:tcPr>
            <w:tcW w:w="2268" w:type="dxa"/>
            <w:vAlign w:val="center"/>
          </w:tcPr>
          <w:p w14:paraId="7AD2E6C8" w14:textId="77777777" w:rsidR="007A0089" w:rsidRPr="00E95614" w:rsidRDefault="007A0089" w:rsidP="00E95614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E95614">
              <w:rPr>
                <w:rFonts w:cs="Arial"/>
                <w:b/>
                <w:sz w:val="17"/>
                <w:szCs w:val="17"/>
              </w:rPr>
              <w:t>Éléments</w:t>
            </w:r>
          </w:p>
        </w:tc>
        <w:tc>
          <w:tcPr>
            <w:tcW w:w="1559" w:type="dxa"/>
            <w:vAlign w:val="center"/>
          </w:tcPr>
          <w:p w14:paraId="07EC866A" w14:textId="77777777" w:rsidR="007A0089" w:rsidRPr="00E95614" w:rsidRDefault="007A0089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b/>
                <w:color w:val="000000"/>
                <w:sz w:val="17"/>
                <w:szCs w:val="17"/>
              </w:rPr>
              <w:t>Frais d’hébergement*</w:t>
            </w:r>
          </w:p>
        </w:tc>
        <w:tc>
          <w:tcPr>
            <w:tcW w:w="992" w:type="dxa"/>
            <w:vAlign w:val="center"/>
          </w:tcPr>
          <w:p w14:paraId="17ED3873" w14:textId="77777777" w:rsidR="007A0089" w:rsidRPr="00E95614" w:rsidRDefault="007A0089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b/>
                <w:color w:val="000000"/>
                <w:sz w:val="17"/>
                <w:szCs w:val="17"/>
              </w:rPr>
              <w:t>Formation</w:t>
            </w:r>
          </w:p>
        </w:tc>
        <w:tc>
          <w:tcPr>
            <w:tcW w:w="1559" w:type="dxa"/>
            <w:vAlign w:val="center"/>
          </w:tcPr>
          <w:p w14:paraId="029B4024" w14:textId="77777777" w:rsidR="007A0089" w:rsidRPr="00E95614" w:rsidRDefault="007A0089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b/>
                <w:color w:val="000000"/>
                <w:sz w:val="17"/>
                <w:szCs w:val="17"/>
              </w:rPr>
              <w:t>Coûts de maintenance</w:t>
            </w:r>
          </w:p>
        </w:tc>
        <w:tc>
          <w:tcPr>
            <w:tcW w:w="1560" w:type="dxa"/>
            <w:vAlign w:val="center"/>
          </w:tcPr>
          <w:p w14:paraId="18F84693" w14:textId="77777777" w:rsidR="007A0089" w:rsidRPr="00E95614" w:rsidRDefault="007A0089" w:rsidP="00E95614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b/>
                <w:color w:val="000000"/>
                <w:sz w:val="17"/>
                <w:szCs w:val="17"/>
              </w:rPr>
              <w:t>Perfectionnement</w:t>
            </w:r>
          </w:p>
        </w:tc>
      </w:tr>
      <w:tr w:rsidR="007A0089" w:rsidRPr="00E95614" w14:paraId="6B1B45AB" w14:textId="77777777" w:rsidTr="00DF0EB9">
        <w:trPr>
          <w:cantSplit/>
        </w:trPr>
        <w:tc>
          <w:tcPr>
            <w:tcW w:w="2122" w:type="dxa"/>
            <w:vAlign w:val="center"/>
          </w:tcPr>
          <w:p w14:paraId="4021BB9C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>Outil de demande UPOV</w:t>
            </w:r>
            <w:r w:rsidR="00E95614" w:rsidRPr="00E95614">
              <w:rPr>
                <w:rFonts w:cs="Arial"/>
                <w:sz w:val="17"/>
                <w:szCs w:val="17"/>
              </w:rPr>
              <w:t> </w:t>
            </w:r>
            <w:r w:rsidRPr="00E95614">
              <w:rPr>
                <w:rFonts w:cs="Arial"/>
                <w:sz w:val="17"/>
                <w:szCs w:val="17"/>
              </w:rPr>
              <w:t>PRISMA</w:t>
            </w:r>
          </w:p>
        </w:tc>
        <w:tc>
          <w:tcPr>
            <w:tcW w:w="2268" w:type="dxa"/>
            <w:vAlign w:val="center"/>
          </w:tcPr>
          <w:p w14:paraId="69272E01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 xml:space="preserve">Utilisation du questionnaire technique </w:t>
            </w:r>
            <w:r w:rsidR="00A90B0D" w:rsidRPr="00E95614">
              <w:rPr>
                <w:rFonts w:cs="Arial"/>
                <w:sz w:val="17"/>
                <w:szCs w:val="17"/>
              </w:rPr>
              <w:t>national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CD081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7AD2C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3B2F54" w14:textId="77777777" w:rsidR="007A0089" w:rsidRPr="00E95614" w:rsidRDefault="007A0089" w:rsidP="00E95614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E95614">
              <w:rPr>
                <w:sz w:val="17"/>
                <w:szCs w:val="17"/>
              </w:rPr>
              <w:t>UPOV** et service 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361CA" w14:textId="77777777" w:rsidR="007A0089" w:rsidRPr="00E95614" w:rsidRDefault="007A0089" w:rsidP="00E95614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E95614">
              <w:rPr>
                <w:sz w:val="17"/>
                <w:szCs w:val="17"/>
              </w:rPr>
              <w:t>UPOV** et service de la POV</w:t>
            </w:r>
          </w:p>
        </w:tc>
      </w:tr>
      <w:tr w:rsidR="00E95614" w:rsidRPr="00E95614" w14:paraId="63585682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104C8F50" w14:textId="1E7B320C" w:rsidR="007A0089" w:rsidRPr="00E95614" w:rsidRDefault="00E95614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 xml:space="preserve">Module d’administration d’un </w:t>
            </w: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  <w:r w:rsidRPr="00E95614">
              <w:rPr>
                <w:rFonts w:cs="Arial"/>
                <w:sz w:val="17"/>
                <w:szCs w:val="17"/>
              </w:rPr>
              <w:t xml:space="preserve"> (Module d’administration de l’</w:t>
            </w:r>
            <w:r w:rsidR="00E17DD7">
              <w:rPr>
                <w:rFonts w:cs="Arial"/>
                <w:sz w:val="17"/>
                <w:szCs w:val="17"/>
              </w:rPr>
              <w:t>UPOV e</w:t>
            </w:r>
            <w:r w:rsidR="00E17DD7">
              <w:rPr>
                <w:rFonts w:cs="Arial"/>
                <w:sz w:val="17"/>
                <w:szCs w:val="17"/>
              </w:rPr>
              <w:noBreakHyphen/>
              <w:t>PVP</w:t>
            </w:r>
            <w:r w:rsidRPr="00E95614"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2268" w:type="dxa"/>
            <w:vAlign w:val="center"/>
          </w:tcPr>
          <w:p w14:paraId="6422A08A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>API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5BBFB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94A9A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FB530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86B19A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E95614" w:rsidRPr="00E95614" w14:paraId="478DB499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4EFB92EA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2440051C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>Flux de travail personnalisé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0BE71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6C286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187D7" w14:textId="77777777" w:rsidR="007A0089" w:rsidRPr="00E95614" w:rsidRDefault="00E95614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511ED" w14:textId="77777777" w:rsidR="007A0089" w:rsidRPr="00E95614" w:rsidRDefault="00E95614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</w:tr>
      <w:tr w:rsidR="00E95614" w:rsidRPr="00E95614" w14:paraId="4F8CF47E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22562308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5D8AAE64" w14:textId="77777777" w:rsidR="007A0089" w:rsidRPr="00E95614" w:rsidRDefault="007A0089" w:rsidP="00E95614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sz w:val="17"/>
                <w:szCs w:val="17"/>
              </w:rPr>
              <w:t>Interface utilisateur personnalisée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510CEB" w14:textId="77777777" w:rsidR="007A0089" w:rsidRPr="00E95614" w:rsidRDefault="007A0089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95E00" w14:textId="77777777" w:rsidR="007A0089" w:rsidRPr="00E95614" w:rsidRDefault="00A90B0D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FC8B" w14:textId="77777777" w:rsidR="007A0089" w:rsidRPr="00E95614" w:rsidRDefault="00A90B0D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03278" w14:textId="77777777" w:rsidR="007A0089" w:rsidRPr="00E95614" w:rsidRDefault="00A90B0D" w:rsidP="00E95614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E95614">
              <w:rPr>
                <w:rFonts w:cs="Arial"/>
                <w:color w:val="000000"/>
                <w:sz w:val="17"/>
                <w:szCs w:val="17"/>
              </w:rPr>
              <w:t>Service de la POV</w:t>
            </w:r>
          </w:p>
        </w:tc>
      </w:tr>
    </w:tbl>
    <w:p w14:paraId="6D8C69E0" w14:textId="77777777" w:rsidR="0046621C" w:rsidRPr="00B02300" w:rsidRDefault="0046621C" w:rsidP="00DF0EB9">
      <w:pPr>
        <w:spacing w:before="120" w:after="360"/>
        <w:ind w:left="284" w:hanging="284"/>
        <w:rPr>
          <w:sz w:val="15"/>
          <w:szCs w:val="15"/>
          <w:lang w:val="fr-FR"/>
        </w:rPr>
      </w:pPr>
      <w:r w:rsidRPr="00B02300">
        <w:rPr>
          <w:sz w:val="15"/>
          <w:szCs w:val="15"/>
          <w:lang w:val="fr-FR"/>
        </w:rPr>
        <w:t xml:space="preserve">** </w:t>
      </w:r>
      <w:r w:rsidRPr="00B02300">
        <w:rPr>
          <w:sz w:val="15"/>
          <w:szCs w:val="15"/>
          <w:lang w:val="fr-FR"/>
        </w:rPr>
        <w:tab/>
        <w:t>La mise en œuvre est subordonnée aux ressources disponibles du Bureau de l</w:t>
      </w:r>
      <w:r w:rsidR="00E63276" w:rsidRPr="00B02300">
        <w:rPr>
          <w:sz w:val="15"/>
          <w:szCs w:val="15"/>
          <w:lang w:val="fr-FR"/>
        </w:rPr>
        <w:t>’</w:t>
      </w:r>
      <w:r w:rsidRPr="00B02300">
        <w:rPr>
          <w:sz w:val="15"/>
          <w:szCs w:val="15"/>
          <w:lang w:val="fr-FR"/>
        </w:rPr>
        <w:t>UPOV (temps de travail du personnel et autres coûts).</w:t>
      </w:r>
    </w:p>
    <w:p w14:paraId="3EC6A9FD" w14:textId="77777777" w:rsidR="00266CBE" w:rsidRPr="00DF0EB9" w:rsidRDefault="00E96B1E" w:rsidP="00E95614">
      <w:pPr>
        <w:keepNext/>
        <w:spacing w:after="240"/>
        <w:ind w:left="567" w:hanging="567"/>
        <w:rPr>
          <w:sz w:val="18"/>
          <w:szCs w:val="18"/>
          <w:u w:val="single"/>
          <w:lang w:val="fr-FR"/>
        </w:rPr>
      </w:pPr>
      <w:r w:rsidRPr="00DF0EB9">
        <w:rPr>
          <w:sz w:val="18"/>
          <w:szCs w:val="18"/>
          <w:lang w:val="fr-FR"/>
        </w:rPr>
        <w:t>c</w:t>
      </w:r>
      <w:r w:rsidR="0046621C" w:rsidRPr="00DF0EB9">
        <w:rPr>
          <w:sz w:val="18"/>
          <w:szCs w:val="18"/>
          <w:lang w:val="fr-FR"/>
        </w:rPr>
        <w:t>)</w:t>
      </w:r>
      <w:r w:rsidR="0046621C" w:rsidRPr="00DF0EB9">
        <w:rPr>
          <w:sz w:val="18"/>
          <w:szCs w:val="18"/>
          <w:lang w:val="fr-FR"/>
        </w:rPr>
        <w:tab/>
      </w:r>
      <w:r w:rsidR="0046621C" w:rsidRPr="00DF0EB9">
        <w:rPr>
          <w:sz w:val="18"/>
          <w:szCs w:val="18"/>
          <w:u w:val="single"/>
          <w:lang w:val="fr-FR"/>
        </w:rPr>
        <w:t>Options personnalisées avec le système de demande électronique du service de protection des obtentions végétales</w:t>
      </w:r>
    </w:p>
    <w:tbl>
      <w:tblPr>
        <w:tblStyle w:val="TableGrid"/>
        <w:tblW w:w="1006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989"/>
        <w:gridCol w:w="1562"/>
        <w:gridCol w:w="1560"/>
      </w:tblGrid>
      <w:tr w:rsidR="00266CBE" w:rsidRPr="001931E9" w14:paraId="0962F87E" w14:textId="77777777" w:rsidTr="00DF0EB9">
        <w:trPr>
          <w:cantSplit/>
          <w:tblHeader/>
        </w:trPr>
        <w:tc>
          <w:tcPr>
            <w:tcW w:w="2122" w:type="dxa"/>
            <w:vAlign w:val="center"/>
          </w:tcPr>
          <w:p w14:paraId="6674333D" w14:textId="77777777" w:rsidR="00E95614" w:rsidRPr="001931E9" w:rsidRDefault="00E95614" w:rsidP="00795BE5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1931E9">
              <w:rPr>
                <w:rFonts w:cs="Arial"/>
                <w:b/>
                <w:sz w:val="17"/>
                <w:szCs w:val="17"/>
              </w:rPr>
              <w:t>Module</w:t>
            </w:r>
          </w:p>
        </w:tc>
        <w:tc>
          <w:tcPr>
            <w:tcW w:w="2268" w:type="dxa"/>
            <w:vAlign w:val="center"/>
          </w:tcPr>
          <w:p w14:paraId="12DE8D52" w14:textId="77777777" w:rsidR="00E95614" w:rsidRPr="001931E9" w:rsidRDefault="00E95614" w:rsidP="00795BE5">
            <w:pPr>
              <w:jc w:val="left"/>
              <w:rPr>
                <w:rFonts w:cs="Arial"/>
                <w:b/>
                <w:sz w:val="17"/>
                <w:szCs w:val="17"/>
              </w:rPr>
            </w:pPr>
            <w:r w:rsidRPr="001931E9">
              <w:rPr>
                <w:rFonts w:cs="Arial"/>
                <w:b/>
                <w:sz w:val="17"/>
                <w:szCs w:val="17"/>
              </w:rPr>
              <w:t>Éléments</w:t>
            </w:r>
          </w:p>
        </w:tc>
        <w:tc>
          <w:tcPr>
            <w:tcW w:w="1559" w:type="dxa"/>
            <w:vAlign w:val="center"/>
          </w:tcPr>
          <w:p w14:paraId="7EE03450" w14:textId="77777777" w:rsidR="00E95614" w:rsidRPr="001931E9" w:rsidRDefault="00E95614" w:rsidP="00795BE5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Frais d’hébergement*</w:t>
            </w:r>
          </w:p>
        </w:tc>
        <w:tc>
          <w:tcPr>
            <w:tcW w:w="989" w:type="dxa"/>
            <w:vAlign w:val="center"/>
          </w:tcPr>
          <w:p w14:paraId="7A43E3BC" w14:textId="77777777" w:rsidR="00E95614" w:rsidRPr="001931E9" w:rsidRDefault="00E95614" w:rsidP="00795BE5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Formation</w:t>
            </w:r>
          </w:p>
        </w:tc>
        <w:tc>
          <w:tcPr>
            <w:tcW w:w="1562" w:type="dxa"/>
            <w:vAlign w:val="center"/>
          </w:tcPr>
          <w:p w14:paraId="19849B1C" w14:textId="77777777" w:rsidR="00E95614" w:rsidRPr="001931E9" w:rsidRDefault="00E95614" w:rsidP="00795BE5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Coûts de maintenance</w:t>
            </w:r>
          </w:p>
        </w:tc>
        <w:tc>
          <w:tcPr>
            <w:tcW w:w="1560" w:type="dxa"/>
            <w:vAlign w:val="center"/>
          </w:tcPr>
          <w:p w14:paraId="0F3F45BC" w14:textId="77777777" w:rsidR="00E95614" w:rsidRPr="001931E9" w:rsidRDefault="00E95614" w:rsidP="00795BE5">
            <w:pPr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b/>
                <w:color w:val="000000"/>
                <w:sz w:val="17"/>
                <w:szCs w:val="17"/>
              </w:rPr>
              <w:t>Perfectionnement</w:t>
            </w:r>
          </w:p>
        </w:tc>
      </w:tr>
      <w:tr w:rsidR="00E95614" w:rsidRPr="001931E9" w14:paraId="73A99ABA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34E3C048" w14:textId="77777777" w:rsidR="00E95614" w:rsidRPr="001931E9" w:rsidRDefault="00E95614" w:rsidP="00305FBF">
            <w:pPr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Outil de demande</w:t>
            </w:r>
            <w:r w:rsidRPr="001931E9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0546113" w14:textId="77777777" w:rsidR="00E95614" w:rsidRPr="001931E9" w:rsidRDefault="00E95614" w:rsidP="00795BE5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>Intégration avec des API standard (échange de données d’application dans les deux sens)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CE45A" w14:textId="77777777" w:rsidR="00E95614" w:rsidRPr="001931E9" w:rsidRDefault="00E95614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F71315A" w14:textId="77777777" w:rsidR="00E95614" w:rsidRPr="001931E9" w:rsidRDefault="00E95614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7F2FAC" w14:textId="77777777" w:rsidR="00E95614" w:rsidRPr="001931E9" w:rsidRDefault="00E95614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  <w:r>
              <w:rPr>
                <w:rFonts w:cs="Arial"/>
                <w:color w:val="000000"/>
                <w:sz w:val="17"/>
                <w:szCs w:val="17"/>
              </w:rPr>
              <w:t>*</w:t>
            </w:r>
            <w:r w:rsidR="00266CBE">
              <w:rPr>
                <w:rFonts w:cs="Arial"/>
                <w:color w:val="000000"/>
                <w:sz w:val="17"/>
                <w:szCs w:val="17"/>
              </w:rPr>
              <w:t>*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* et </w:t>
            </w: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4BB7D" w14:textId="77777777" w:rsidR="00E95614" w:rsidRPr="001931E9" w:rsidRDefault="00E95614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  <w:r>
              <w:rPr>
                <w:rFonts w:cs="Arial"/>
                <w:color w:val="000000"/>
                <w:sz w:val="17"/>
                <w:szCs w:val="17"/>
              </w:rPr>
              <w:t>**</w:t>
            </w:r>
            <w:r w:rsidR="00266CBE">
              <w:rPr>
                <w:rFonts w:cs="Arial"/>
                <w:color w:val="000000"/>
                <w:sz w:val="17"/>
                <w:szCs w:val="17"/>
              </w:rPr>
              <w:t>*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et </w:t>
            </w: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</w:tr>
      <w:tr w:rsidR="00E95614" w:rsidRPr="001931E9" w14:paraId="146B91E2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4CA1B620" w14:textId="77777777" w:rsidR="00E95614" w:rsidRDefault="00E95614" w:rsidP="00795BE5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72D4BA78" w14:textId="77777777" w:rsidR="00E95614" w:rsidRPr="00E95614" w:rsidRDefault="00E95614" w:rsidP="00795BE5">
            <w:pPr>
              <w:jc w:val="left"/>
              <w:rPr>
                <w:rFonts w:cs="Arial"/>
                <w:sz w:val="17"/>
                <w:szCs w:val="17"/>
              </w:rPr>
            </w:pPr>
            <w:r w:rsidRPr="00E95614">
              <w:rPr>
                <w:rFonts w:cs="Arial"/>
                <w:sz w:val="17"/>
                <w:szCs w:val="17"/>
              </w:rPr>
              <w:t>Traitement des données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028D6B" w14:textId="77777777" w:rsidR="00E95614" w:rsidRPr="001931E9" w:rsidRDefault="00E95614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AF83D95" w14:textId="77777777" w:rsidR="00E95614" w:rsidRPr="001931E9" w:rsidRDefault="00E95614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05F2C55" w14:textId="77777777" w:rsidR="00E95614" w:rsidRPr="001931E9" w:rsidRDefault="002B4F4A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34A35B" w14:textId="77777777" w:rsidR="00E95614" w:rsidRPr="001931E9" w:rsidRDefault="002B4F4A" w:rsidP="00795BE5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</w:tr>
      <w:tr w:rsidR="002B4F4A" w:rsidRPr="001931E9" w14:paraId="751E158D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7DC84AF0" w14:textId="77777777" w:rsidR="002B4F4A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07EFD01A" w14:textId="77777777" w:rsidR="002B4F4A" w:rsidRPr="00E95614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  <w:r w:rsidRPr="002B4F4A">
              <w:rPr>
                <w:rFonts w:cs="Arial"/>
                <w:sz w:val="17"/>
                <w:szCs w:val="17"/>
              </w:rPr>
              <w:t>Identification du client</w:t>
            </w:r>
          </w:p>
        </w:tc>
        <w:tc>
          <w:tcPr>
            <w:tcW w:w="1559" w:type="dxa"/>
            <w:shd w:val="clear" w:color="auto" w:fill="auto"/>
          </w:tcPr>
          <w:p w14:paraId="160F331D" w14:textId="77777777" w:rsidR="002B4F4A" w:rsidRDefault="002B4F4A" w:rsidP="002B4F4A">
            <w:pPr>
              <w:jc w:val="left"/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28A5D1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26E2B4E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8003CA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</w:tr>
      <w:tr w:rsidR="002B4F4A" w:rsidRPr="001931E9" w14:paraId="2E06A450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1E2DB2C4" w14:textId="77777777" w:rsidR="002B4F4A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5A2FDC72" w14:textId="77777777" w:rsidR="002B4F4A" w:rsidRPr="00E95614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  <w:r w:rsidRPr="002B4F4A">
              <w:rPr>
                <w:rFonts w:cs="Arial"/>
                <w:sz w:val="17"/>
                <w:szCs w:val="17"/>
              </w:rPr>
              <w:t>Interface client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8FA0C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0D8922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652B10D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EEF14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</w:tr>
      <w:tr w:rsidR="00266CBE" w:rsidRPr="001931E9" w14:paraId="11BA609F" w14:textId="77777777" w:rsidTr="00DF0EB9">
        <w:trPr>
          <w:cantSplit/>
        </w:trPr>
        <w:tc>
          <w:tcPr>
            <w:tcW w:w="2122" w:type="dxa"/>
            <w:vMerge w:val="restart"/>
            <w:vAlign w:val="center"/>
          </w:tcPr>
          <w:p w14:paraId="4FDA66EE" w14:textId="0AE60B97" w:rsidR="002B4F4A" w:rsidRPr="001931E9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Module d’administration d</w:t>
            </w:r>
            <w:r>
              <w:rPr>
                <w:rFonts w:cs="Arial"/>
                <w:sz w:val="17"/>
                <w:szCs w:val="17"/>
              </w:rPr>
              <w:t xml:space="preserve">’un </w:t>
            </w:r>
            <w:r>
              <w:rPr>
                <w:rFonts w:cs="Arial"/>
                <w:color w:val="000000"/>
                <w:sz w:val="17"/>
                <w:szCs w:val="17"/>
              </w:rPr>
              <w:t>s</w:t>
            </w: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  <w:r w:rsidRPr="001931E9">
              <w:rPr>
                <w:rFonts w:cs="Arial"/>
                <w:sz w:val="17"/>
                <w:szCs w:val="17"/>
              </w:rPr>
              <w:t xml:space="preserve"> (Module d’administration</w:t>
            </w:r>
            <w:r>
              <w:rPr>
                <w:rFonts w:cs="Arial"/>
                <w:sz w:val="17"/>
                <w:szCs w:val="17"/>
              </w:rPr>
              <w:t xml:space="preserve"> de l’</w:t>
            </w:r>
            <w:r w:rsidR="00FD5075">
              <w:rPr>
                <w:rFonts w:cs="Arial"/>
                <w:sz w:val="17"/>
                <w:szCs w:val="17"/>
              </w:rPr>
              <w:t>UPOV </w:t>
            </w:r>
            <w:r w:rsidR="00E17DD7">
              <w:rPr>
                <w:rFonts w:cs="Arial"/>
                <w:sz w:val="17"/>
                <w:szCs w:val="17"/>
              </w:rPr>
              <w:t>e</w:t>
            </w:r>
            <w:r w:rsidR="00E17DD7">
              <w:rPr>
                <w:rFonts w:cs="Arial"/>
                <w:sz w:val="17"/>
                <w:szCs w:val="17"/>
              </w:rPr>
              <w:noBreakHyphen/>
              <w:t>PVP</w:t>
            </w:r>
            <w:r w:rsidRPr="001931E9">
              <w:rPr>
                <w:rFonts w:cs="Arial"/>
                <w:sz w:val="17"/>
                <w:szCs w:val="17"/>
              </w:rPr>
              <w:t>)</w:t>
            </w:r>
          </w:p>
        </w:tc>
        <w:tc>
          <w:tcPr>
            <w:tcW w:w="2268" w:type="dxa"/>
            <w:vAlign w:val="center"/>
          </w:tcPr>
          <w:p w14:paraId="08AB9873" w14:textId="77777777" w:rsidR="002B4F4A" w:rsidRPr="001931E9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>API standard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41B0A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8E2F5D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BBBEFBB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E8B6D3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</w:tr>
      <w:tr w:rsidR="00266CBE" w:rsidRPr="001931E9" w14:paraId="7EAB9BE6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36196E6E" w14:textId="77777777" w:rsidR="002B4F4A" w:rsidRPr="001931E9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08AE546C" w14:textId="77777777" w:rsidR="002B4F4A" w:rsidRPr="001931E9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Flux de travail personnalisé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E95A46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38FB41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n.d.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E0BE5EC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806B91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</w:tr>
      <w:tr w:rsidR="00266CBE" w:rsidRPr="001931E9" w14:paraId="5F137B6F" w14:textId="77777777" w:rsidTr="00DF0EB9">
        <w:trPr>
          <w:cantSplit/>
        </w:trPr>
        <w:tc>
          <w:tcPr>
            <w:tcW w:w="2122" w:type="dxa"/>
            <w:vMerge/>
            <w:vAlign w:val="center"/>
          </w:tcPr>
          <w:p w14:paraId="1888BAEC" w14:textId="77777777" w:rsidR="002B4F4A" w:rsidRPr="001931E9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14:paraId="5077A6A8" w14:textId="77777777" w:rsidR="002B4F4A" w:rsidRPr="001931E9" w:rsidRDefault="002B4F4A" w:rsidP="002B4F4A">
            <w:pPr>
              <w:jc w:val="left"/>
              <w:rPr>
                <w:rFonts w:cs="Arial"/>
                <w:sz w:val="17"/>
                <w:szCs w:val="17"/>
              </w:rPr>
            </w:pPr>
            <w:r w:rsidRPr="001931E9">
              <w:rPr>
                <w:rFonts w:cs="Arial"/>
                <w:sz w:val="17"/>
                <w:szCs w:val="17"/>
              </w:rPr>
              <w:t xml:space="preserve">Interface utilisateur </w:t>
            </w:r>
            <w:r>
              <w:rPr>
                <w:rFonts w:cs="Arial"/>
                <w:sz w:val="17"/>
                <w:szCs w:val="17"/>
              </w:rPr>
              <w:t>personnalisé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15A58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B33973D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>UPOV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53E04FC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1FAE9" w14:textId="77777777" w:rsidR="002B4F4A" w:rsidRPr="001931E9" w:rsidRDefault="002B4F4A" w:rsidP="002B4F4A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931E9">
              <w:rPr>
                <w:rFonts w:cs="Arial"/>
                <w:color w:val="000000"/>
                <w:sz w:val="17"/>
                <w:szCs w:val="17"/>
              </w:rPr>
              <w:t xml:space="preserve">Service </w:t>
            </w:r>
            <w:r>
              <w:rPr>
                <w:rFonts w:cs="Arial"/>
                <w:color w:val="000000"/>
                <w:sz w:val="17"/>
                <w:szCs w:val="17"/>
              </w:rPr>
              <w:t>de la POV</w:t>
            </w:r>
          </w:p>
        </w:tc>
      </w:tr>
    </w:tbl>
    <w:p w14:paraId="09733369" w14:textId="6BF04E03" w:rsidR="0046621C" w:rsidRPr="00B02300" w:rsidRDefault="00DF0EB9" w:rsidP="00DF0EB9">
      <w:pPr>
        <w:tabs>
          <w:tab w:val="left" w:pos="284"/>
        </w:tabs>
        <w:spacing w:before="120" w:after="240"/>
        <w:ind w:left="284" w:hanging="284"/>
        <w:rPr>
          <w:sz w:val="15"/>
          <w:szCs w:val="15"/>
          <w:lang w:val="fr-FR"/>
        </w:rPr>
      </w:pPr>
      <w:r w:rsidRPr="00B02300">
        <w:rPr>
          <w:rFonts w:cs="Arial"/>
          <w:noProof/>
          <w:sz w:val="15"/>
          <w:szCs w:val="15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B4035" wp14:editId="66A4A1E7">
                <wp:simplePos x="0" y="0"/>
                <wp:positionH relativeFrom="column">
                  <wp:posOffset>4474214</wp:posOffset>
                </wp:positionH>
                <wp:positionV relativeFrom="paragraph">
                  <wp:posOffset>510372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8A849" w14:textId="5459F7B9" w:rsidR="00DF0EB9" w:rsidRPr="00DF0EB9" w:rsidRDefault="00DF0EB9">
                            <w:pPr>
                              <w:ind w:right="53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F0EB9">
                              <w:rPr>
                                <w:rFonts w:cs="Arial"/>
                                <w:sz w:val="18"/>
                                <w:szCs w:val="18"/>
                              </w:rPr>
                              <w:t>[</w:t>
                            </w:r>
                            <w:r w:rsidR="00B0230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Fin du </w:t>
                            </w:r>
                            <w:r w:rsidRPr="00DF0EB9">
                              <w:rPr>
                                <w:rFonts w:cs="Arial"/>
                                <w:sz w:val="18"/>
                                <w:szCs w:val="18"/>
                              </w:rPr>
                              <w:t>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40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2.3pt;margin-top:40.2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" o:allowincell="f" filled="f" stroked="f">
                <v:textbox inset="0,0,0,0">
                  <w:txbxContent>
                    <w:p w14:paraId="6568A849" w14:textId="5459F7B9" w:rsidR="00DF0EB9" w:rsidRPr="00DF0EB9" w:rsidRDefault="00DF0EB9">
                      <w:pPr>
                        <w:ind w:right="53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F0EB9">
                        <w:rPr>
                          <w:rFonts w:cs="Arial"/>
                          <w:sz w:val="18"/>
                          <w:szCs w:val="18"/>
                        </w:rPr>
                        <w:t>[</w:t>
                      </w:r>
                      <w:r w:rsidR="00B02300">
                        <w:rPr>
                          <w:rFonts w:cs="Arial"/>
                          <w:sz w:val="18"/>
                          <w:szCs w:val="18"/>
                        </w:rPr>
                        <w:t xml:space="preserve">Fin du </w:t>
                      </w:r>
                      <w:r w:rsidRPr="00DF0EB9">
                        <w:rPr>
                          <w:rFonts w:cs="Arial"/>
                          <w:sz w:val="18"/>
                          <w:szCs w:val="18"/>
                        </w:rPr>
                        <w:t>document]</w:t>
                      </w:r>
                    </w:p>
                  </w:txbxContent>
                </v:textbox>
              </v:shape>
            </w:pict>
          </mc:Fallback>
        </mc:AlternateContent>
      </w:r>
      <w:r w:rsidR="0046621C" w:rsidRPr="00B02300">
        <w:rPr>
          <w:sz w:val="15"/>
          <w:szCs w:val="15"/>
          <w:lang w:val="fr-FR"/>
        </w:rPr>
        <w:t xml:space="preserve">*** </w:t>
      </w:r>
      <w:r w:rsidR="00E96B1E" w:rsidRPr="00B02300">
        <w:rPr>
          <w:sz w:val="15"/>
          <w:szCs w:val="15"/>
          <w:lang w:val="fr-FR"/>
        </w:rPr>
        <w:tab/>
      </w:r>
      <w:r w:rsidR="0046621C" w:rsidRPr="00B02300">
        <w:rPr>
          <w:sz w:val="15"/>
          <w:szCs w:val="15"/>
          <w:lang w:val="fr-FR"/>
        </w:rPr>
        <w:t xml:space="preserve">Les essais devraient être effectués conjointement par le </w:t>
      </w:r>
      <w:r w:rsidR="007E0CAA" w:rsidRPr="00B02300">
        <w:rPr>
          <w:sz w:val="15"/>
          <w:szCs w:val="15"/>
          <w:lang w:val="fr-FR"/>
        </w:rPr>
        <w:t>S</w:t>
      </w:r>
      <w:r w:rsidR="0046621C" w:rsidRPr="00B02300">
        <w:rPr>
          <w:sz w:val="15"/>
          <w:szCs w:val="15"/>
          <w:lang w:val="fr-FR"/>
        </w:rPr>
        <w:t>ervice de</w:t>
      </w:r>
      <w:r w:rsidR="007E0CAA" w:rsidRPr="00B02300">
        <w:rPr>
          <w:sz w:val="15"/>
          <w:szCs w:val="15"/>
          <w:lang w:val="fr-FR"/>
        </w:rPr>
        <w:t xml:space="preserve"> la POV</w:t>
      </w:r>
      <w:r w:rsidR="0046621C" w:rsidRPr="00B02300">
        <w:rPr>
          <w:sz w:val="15"/>
          <w:szCs w:val="15"/>
          <w:lang w:val="fr-FR"/>
        </w:rPr>
        <w:t xml:space="preserve"> et le Bureau de l</w:t>
      </w:r>
      <w:r w:rsidR="00E63276" w:rsidRPr="00B02300">
        <w:rPr>
          <w:sz w:val="15"/>
          <w:szCs w:val="15"/>
          <w:lang w:val="fr-FR"/>
        </w:rPr>
        <w:t>’</w:t>
      </w:r>
      <w:r w:rsidR="0046621C" w:rsidRPr="00B02300">
        <w:rPr>
          <w:sz w:val="15"/>
          <w:szCs w:val="15"/>
          <w:lang w:val="fr-FR"/>
        </w:rPr>
        <w:t>UPOV.</w:t>
      </w:r>
    </w:p>
    <w:sectPr w:rsidR="0046621C" w:rsidRPr="00B02300" w:rsidSect="00E63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3603" w14:textId="77777777" w:rsidR="0046621C" w:rsidRDefault="0046621C" w:rsidP="006655D3">
      <w:r>
        <w:separator/>
      </w:r>
    </w:p>
    <w:p w14:paraId="20850262" w14:textId="77777777" w:rsidR="0046621C" w:rsidRDefault="0046621C" w:rsidP="006655D3"/>
    <w:p w14:paraId="29B935A8" w14:textId="77777777" w:rsidR="0046621C" w:rsidRDefault="0046621C" w:rsidP="006655D3"/>
  </w:endnote>
  <w:endnote w:type="continuationSeparator" w:id="0">
    <w:p w14:paraId="22C7D1B7" w14:textId="77777777" w:rsidR="0046621C" w:rsidRDefault="0046621C" w:rsidP="006655D3">
      <w:r>
        <w:separator/>
      </w:r>
    </w:p>
    <w:p w14:paraId="66C52F7F" w14:textId="77777777" w:rsidR="0046621C" w:rsidRPr="00294751" w:rsidRDefault="004662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5BC090F" w14:textId="77777777" w:rsidR="0046621C" w:rsidRPr="00294751" w:rsidRDefault="0046621C" w:rsidP="006655D3">
      <w:pPr>
        <w:rPr>
          <w:lang w:val="fr-FR"/>
        </w:rPr>
      </w:pPr>
    </w:p>
    <w:p w14:paraId="09B449D6" w14:textId="77777777" w:rsidR="0046621C" w:rsidRPr="00294751" w:rsidRDefault="0046621C" w:rsidP="006655D3">
      <w:pPr>
        <w:rPr>
          <w:lang w:val="fr-FR"/>
        </w:rPr>
      </w:pPr>
    </w:p>
  </w:endnote>
  <w:endnote w:type="continuationNotice" w:id="1">
    <w:p w14:paraId="502E4AD3" w14:textId="77777777" w:rsidR="0046621C" w:rsidRPr="00294751" w:rsidRDefault="004662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AF95BB1" w14:textId="77777777" w:rsidR="0046621C" w:rsidRPr="00294751" w:rsidRDefault="0046621C" w:rsidP="006655D3">
      <w:pPr>
        <w:rPr>
          <w:lang w:val="fr-FR"/>
        </w:rPr>
      </w:pPr>
    </w:p>
    <w:p w14:paraId="6B3F6360" w14:textId="77777777" w:rsidR="0046621C" w:rsidRPr="00294751" w:rsidRDefault="004662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A9C4" w14:textId="77777777" w:rsidR="0046621C" w:rsidRDefault="0046621C" w:rsidP="0046621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EEFDBD9" wp14:editId="32D20BA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57D6D" w14:textId="77777777" w:rsidR="0046621C" w:rsidRDefault="0046621C" w:rsidP="0046621C">
                          <w:pPr>
                            <w:jc w:val="center"/>
                          </w:pPr>
                          <w:r w:rsidRPr="0046621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FDBD9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3F157D6D" w14:textId="77777777" w:rsidR="0046621C" w:rsidRDefault="0046621C" w:rsidP="0046621C">
                    <w:pPr>
                      <w:jc w:val="center"/>
                    </w:pPr>
                    <w:r w:rsidRPr="0046621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7E61" w14:textId="77777777" w:rsidR="0046621C" w:rsidRPr="00E96B1E" w:rsidRDefault="0046621C" w:rsidP="00E96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D4B2" w14:textId="77777777" w:rsidR="0046621C" w:rsidRDefault="00466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FC93" w14:textId="77777777" w:rsidR="0046621C" w:rsidRDefault="0046621C" w:rsidP="006655D3">
      <w:r>
        <w:separator/>
      </w:r>
    </w:p>
  </w:footnote>
  <w:footnote w:type="continuationSeparator" w:id="0">
    <w:p w14:paraId="72E3D048" w14:textId="77777777" w:rsidR="0046621C" w:rsidRDefault="0046621C" w:rsidP="006655D3">
      <w:r>
        <w:separator/>
      </w:r>
    </w:p>
  </w:footnote>
  <w:footnote w:type="continuationNotice" w:id="1">
    <w:p w14:paraId="0CFBD1B2" w14:textId="77777777" w:rsidR="0046621C" w:rsidRPr="00AB530F" w:rsidRDefault="004662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7361" w14:textId="77777777" w:rsidR="0046621C" w:rsidRPr="00C5280D" w:rsidRDefault="0046621C" w:rsidP="0046621C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EAM/1/</w:t>
    </w:r>
  </w:p>
  <w:p w14:paraId="4220376A" w14:textId="77777777" w:rsidR="0046621C" w:rsidRPr="00C5280D" w:rsidRDefault="0046621C" w:rsidP="0046621C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6327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8FABBEA" w14:textId="77777777" w:rsidR="0046621C" w:rsidRPr="00C5280D" w:rsidRDefault="0046621C" w:rsidP="004662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7216" w14:textId="77777777" w:rsidR="00182B99" w:rsidRPr="00C5280D" w:rsidRDefault="007376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</w:t>
    </w:r>
    <w:r w:rsidR="003518F4">
      <w:rPr>
        <w:rStyle w:val="PageNumber"/>
        <w:lang w:val="en-US"/>
      </w:rPr>
      <w:t>M/1</w:t>
    </w:r>
    <w:r w:rsidR="00765C84">
      <w:rPr>
        <w:rStyle w:val="PageNumber"/>
        <w:lang w:val="en-US"/>
      </w:rPr>
      <w:t>/</w:t>
    </w:r>
    <w:r w:rsidR="00735DB0">
      <w:rPr>
        <w:rStyle w:val="PageNumber"/>
        <w:lang w:val="en-US"/>
      </w:rPr>
      <w:t>2</w:t>
    </w:r>
  </w:p>
  <w:p w14:paraId="55DA74DB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277E39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5FB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38C1DE9C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06D0" w14:textId="77777777" w:rsidR="0046621C" w:rsidRDefault="00466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02B42"/>
    <w:multiLevelType w:val="hybridMultilevel"/>
    <w:tmpl w:val="AB824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7BC5"/>
    <w:multiLevelType w:val="hybridMultilevel"/>
    <w:tmpl w:val="5300BE9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D00C39"/>
    <w:multiLevelType w:val="hybridMultilevel"/>
    <w:tmpl w:val="0AE6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31015">
    <w:abstractNumId w:val="1"/>
  </w:num>
  <w:num w:numId="2" w16cid:durableId="810708721">
    <w:abstractNumId w:val="2"/>
  </w:num>
  <w:num w:numId="3" w16cid:durableId="19738250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SSE Ariane">
    <w15:presenceInfo w15:providerId="AD" w15:userId="S::ariane.besse@upov.int::bf96dd08-9adc-4ef6-8b5f-7d551cc8f0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1C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B43E7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54B7"/>
    <w:rsid w:val="00163C1A"/>
    <w:rsid w:val="00172084"/>
    <w:rsid w:val="0017474A"/>
    <w:rsid w:val="001758C6"/>
    <w:rsid w:val="00182B99"/>
    <w:rsid w:val="001931E9"/>
    <w:rsid w:val="00193742"/>
    <w:rsid w:val="001A7458"/>
    <w:rsid w:val="001C1525"/>
    <w:rsid w:val="001C43C4"/>
    <w:rsid w:val="0021332C"/>
    <w:rsid w:val="00213982"/>
    <w:rsid w:val="0024416D"/>
    <w:rsid w:val="00257956"/>
    <w:rsid w:val="00266CBE"/>
    <w:rsid w:val="00271911"/>
    <w:rsid w:val="00277E39"/>
    <w:rsid w:val="002800A0"/>
    <w:rsid w:val="002801B3"/>
    <w:rsid w:val="00281060"/>
    <w:rsid w:val="002940E8"/>
    <w:rsid w:val="00294751"/>
    <w:rsid w:val="002A6E50"/>
    <w:rsid w:val="002B4298"/>
    <w:rsid w:val="002B4F4A"/>
    <w:rsid w:val="002C256A"/>
    <w:rsid w:val="002F1D9B"/>
    <w:rsid w:val="00305A7F"/>
    <w:rsid w:val="00305FBF"/>
    <w:rsid w:val="003152FE"/>
    <w:rsid w:val="00327436"/>
    <w:rsid w:val="00344BD6"/>
    <w:rsid w:val="003518F4"/>
    <w:rsid w:val="0035528D"/>
    <w:rsid w:val="00361821"/>
    <w:rsid w:val="00361E9E"/>
    <w:rsid w:val="003C7FBE"/>
    <w:rsid w:val="003D227C"/>
    <w:rsid w:val="003D2B4D"/>
    <w:rsid w:val="00405370"/>
    <w:rsid w:val="00414233"/>
    <w:rsid w:val="00422032"/>
    <w:rsid w:val="004263A5"/>
    <w:rsid w:val="00444A88"/>
    <w:rsid w:val="0046621C"/>
    <w:rsid w:val="00474DA4"/>
    <w:rsid w:val="00476B4D"/>
    <w:rsid w:val="004805FA"/>
    <w:rsid w:val="004935D2"/>
    <w:rsid w:val="004B1215"/>
    <w:rsid w:val="004C748E"/>
    <w:rsid w:val="004D047D"/>
    <w:rsid w:val="004D4572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20D8A"/>
    <w:rsid w:val="00732DEC"/>
    <w:rsid w:val="00735BD5"/>
    <w:rsid w:val="00735DB0"/>
    <w:rsid w:val="00737692"/>
    <w:rsid w:val="00751613"/>
    <w:rsid w:val="007556F6"/>
    <w:rsid w:val="00760EEF"/>
    <w:rsid w:val="00765C84"/>
    <w:rsid w:val="00776EDC"/>
    <w:rsid w:val="00777EE5"/>
    <w:rsid w:val="00780140"/>
    <w:rsid w:val="00784836"/>
    <w:rsid w:val="00785676"/>
    <w:rsid w:val="0079023E"/>
    <w:rsid w:val="007A0089"/>
    <w:rsid w:val="007A2854"/>
    <w:rsid w:val="007C1D92"/>
    <w:rsid w:val="007C2AF2"/>
    <w:rsid w:val="007C4CB9"/>
    <w:rsid w:val="007D0B9D"/>
    <w:rsid w:val="007D19B0"/>
    <w:rsid w:val="007E0CAA"/>
    <w:rsid w:val="007F498F"/>
    <w:rsid w:val="0080679D"/>
    <w:rsid w:val="008108B0"/>
    <w:rsid w:val="00811B20"/>
    <w:rsid w:val="008176BC"/>
    <w:rsid w:val="008211B5"/>
    <w:rsid w:val="0082296E"/>
    <w:rsid w:val="00824099"/>
    <w:rsid w:val="0084447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2B93"/>
    <w:rsid w:val="009D690D"/>
    <w:rsid w:val="009E353B"/>
    <w:rsid w:val="009E3BCB"/>
    <w:rsid w:val="009E65B6"/>
    <w:rsid w:val="009F77CF"/>
    <w:rsid w:val="00A24C10"/>
    <w:rsid w:val="00A33150"/>
    <w:rsid w:val="00A42AC3"/>
    <w:rsid w:val="00A430CF"/>
    <w:rsid w:val="00A54309"/>
    <w:rsid w:val="00A76B97"/>
    <w:rsid w:val="00A90B0D"/>
    <w:rsid w:val="00AB2B93"/>
    <w:rsid w:val="00AB530F"/>
    <w:rsid w:val="00AB7E5B"/>
    <w:rsid w:val="00AC2883"/>
    <w:rsid w:val="00AD30D9"/>
    <w:rsid w:val="00AE0EF1"/>
    <w:rsid w:val="00AE2937"/>
    <w:rsid w:val="00B02300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B4480"/>
    <w:rsid w:val="00BC127D"/>
    <w:rsid w:val="00BC1FE6"/>
    <w:rsid w:val="00BD73C3"/>
    <w:rsid w:val="00C061B6"/>
    <w:rsid w:val="00C2446C"/>
    <w:rsid w:val="00C26366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2679C"/>
    <w:rsid w:val="00D3708D"/>
    <w:rsid w:val="00D40426"/>
    <w:rsid w:val="00D57C96"/>
    <w:rsid w:val="00D57D18"/>
    <w:rsid w:val="00D77595"/>
    <w:rsid w:val="00D91203"/>
    <w:rsid w:val="00D95174"/>
    <w:rsid w:val="00DA4973"/>
    <w:rsid w:val="00DA6F36"/>
    <w:rsid w:val="00DB596E"/>
    <w:rsid w:val="00DB7773"/>
    <w:rsid w:val="00DC00EA"/>
    <w:rsid w:val="00DC3802"/>
    <w:rsid w:val="00DF0EB9"/>
    <w:rsid w:val="00E07D87"/>
    <w:rsid w:val="00E11B40"/>
    <w:rsid w:val="00E17DD7"/>
    <w:rsid w:val="00E32F7E"/>
    <w:rsid w:val="00E5267B"/>
    <w:rsid w:val="00E63276"/>
    <w:rsid w:val="00E63C0E"/>
    <w:rsid w:val="00E72D49"/>
    <w:rsid w:val="00E7593C"/>
    <w:rsid w:val="00E7678A"/>
    <w:rsid w:val="00E935F1"/>
    <w:rsid w:val="00E94A81"/>
    <w:rsid w:val="00E95614"/>
    <w:rsid w:val="00E96B1E"/>
    <w:rsid w:val="00EA1FFB"/>
    <w:rsid w:val="00EA35D8"/>
    <w:rsid w:val="00EB048E"/>
    <w:rsid w:val="00EB4E9C"/>
    <w:rsid w:val="00EC7EDD"/>
    <w:rsid w:val="00EE34DF"/>
    <w:rsid w:val="00EE69E9"/>
    <w:rsid w:val="00EF2F89"/>
    <w:rsid w:val="00F03B75"/>
    <w:rsid w:val="00F03E98"/>
    <w:rsid w:val="00F1237A"/>
    <w:rsid w:val="00F22CBD"/>
    <w:rsid w:val="00F272F1"/>
    <w:rsid w:val="00F45372"/>
    <w:rsid w:val="00F560F7"/>
    <w:rsid w:val="00F6334D"/>
    <w:rsid w:val="00F63599"/>
    <w:rsid w:val="00F85850"/>
    <w:rsid w:val="00FA49AB"/>
    <w:rsid w:val="00FC68F0"/>
    <w:rsid w:val="00FD5075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EFD7E3"/>
  <w15:docId w15:val="{10EE0137-66E9-4B3E-8A57-BF38D3CD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B4480"/>
    <w:pPr>
      <w:keepNext/>
      <w:spacing w:before="480" w:after="240"/>
      <w:jc w:val="both"/>
      <w:outlineLvl w:val="0"/>
      <w:pPrChange w:id="0" w:author="BESSE Ariane" w:date="2023-10-17T15:04:00Z">
        <w:pPr>
          <w:keepNext/>
          <w:spacing w:before="480" w:after="240"/>
          <w:jc w:val="both"/>
          <w:outlineLvl w:val="0"/>
        </w:pPr>
      </w:pPrChange>
    </w:pPr>
    <w:rPr>
      <w:rFonts w:ascii="Arial" w:hAnsi="Arial"/>
      <w:caps/>
      <w:lang w:val="fr-FR"/>
      <w:rPrChange w:id="0" w:author="BESSE Ariane" w:date="2023-10-17T15:04:00Z">
        <w:rPr>
          <w:rFonts w:ascii="Arial" w:hAnsi="Arial"/>
          <w:caps/>
          <w:lang w:val="fr-FR" w:eastAsia="en-US" w:bidi="ar-SA"/>
        </w:rPr>
      </w:rPrChange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85676"/>
    <w:pPr>
      <w:tabs>
        <w:tab w:val="right" w:leader="dot" w:pos="9639"/>
      </w:tabs>
      <w:spacing w:before="120" w:after="60"/>
      <w:ind w:right="1418"/>
      <w:pPrChange w:id="1" w:author="BESSE Ariane" w:date="2023-10-10T19:42:00Z">
        <w:pPr>
          <w:tabs>
            <w:tab w:val="right" w:leader="dot" w:pos="9639"/>
          </w:tabs>
          <w:spacing w:before="120" w:after="60"/>
          <w:ind w:right="1418"/>
        </w:pPr>
      </w:pPrChange>
    </w:pPr>
    <w:rPr>
      <w:rFonts w:ascii="Arial" w:hAnsi="Arial"/>
      <w:caps/>
      <w:sz w:val="18"/>
      <w:rPrChange w:id="1" w:author="BESSE Ariane" w:date="2023-10-10T19:42:00Z">
        <w:rPr>
          <w:rFonts w:ascii="Arial" w:hAnsi="Arial"/>
          <w:caps/>
          <w:sz w:val="18"/>
          <w:lang w:val="en-US" w:eastAsia="en-US" w:bidi="ar-SA"/>
        </w:rPr>
      </w:rPrChange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6621C"/>
    <w:pPr>
      <w:jc w:val="both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21C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BB4480"/>
    <w:rPr>
      <w:rFonts w:ascii="Arial" w:hAnsi="Arial"/>
      <w:caps/>
      <w:lang w:val="fr-FR"/>
    </w:rPr>
  </w:style>
  <w:style w:type="paragraph" w:styleId="Revision">
    <w:name w:val="Revision"/>
    <w:hidden/>
    <w:uiPriority w:val="99"/>
    <w:semiHidden/>
    <w:rsid w:val="00E17D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929</Words>
  <Characters>5138</Characters>
  <Application>Microsoft Office Word</Application>
  <DocSecurity>0</DocSecurity>
  <Lines>155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EAM/1/2</dc:title>
  <dc:creator>ariane.besse@upov.int</dc:creator>
  <cp:keywords/>
  <cp:lastModifiedBy>BESSE Ariane</cp:lastModifiedBy>
  <cp:revision>11</cp:revision>
  <cp:lastPrinted>2016-11-22T15:41:00Z</cp:lastPrinted>
  <dcterms:created xsi:type="dcterms:W3CDTF">2023-10-17T13:02:00Z</dcterms:created>
  <dcterms:modified xsi:type="dcterms:W3CDTF">2023-10-18T20:00:00Z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9b953594-a257-4369-95d5-ed297c5b16f0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