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1B283D" w:rsidRPr="001B283D" w:rsidTr="00831DD7">
        <w:trPr>
          <w:trHeight w:val="1760"/>
        </w:trPr>
        <w:tc>
          <w:tcPr>
            <w:tcW w:w="4243" w:type="dxa"/>
          </w:tcPr>
          <w:p w:rsidR="00831DD7" w:rsidRPr="001B283D" w:rsidRDefault="00831DD7" w:rsidP="00081A2A">
            <w:pPr>
              <w:rPr>
                <w:lang w:val="fr-FR"/>
              </w:rPr>
            </w:pPr>
          </w:p>
        </w:tc>
        <w:tc>
          <w:tcPr>
            <w:tcW w:w="1646" w:type="dxa"/>
            <w:vAlign w:val="center"/>
          </w:tcPr>
          <w:p w:rsidR="00831DD7" w:rsidRPr="001B283D" w:rsidRDefault="00831DD7" w:rsidP="00081A2A">
            <w:pPr>
              <w:pStyle w:val="LogoUPOV"/>
              <w:rPr>
                <w:lang w:val="fr-FR"/>
              </w:rPr>
            </w:pPr>
            <w:r w:rsidRPr="001B283D">
              <w:rPr>
                <w:noProof/>
              </w:rPr>
              <w:drawing>
                <wp:inline distT="0" distB="0" distL="0" distR="0" wp14:anchorId="22528E2C" wp14:editId="542503C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831DD7" w:rsidRPr="001B283D" w:rsidRDefault="00831DD7" w:rsidP="00081A2A">
            <w:pPr>
              <w:pStyle w:val="Lettrine"/>
              <w:rPr>
                <w:lang w:val="fr-FR"/>
              </w:rPr>
            </w:pPr>
            <w:r w:rsidRPr="001B283D">
              <w:rPr>
                <w:lang w:val="fr-FR"/>
              </w:rPr>
              <w:t>F</w:t>
            </w:r>
          </w:p>
          <w:p w:rsidR="00831DD7" w:rsidRPr="001B283D" w:rsidRDefault="00831DD7" w:rsidP="00081A2A">
            <w:pPr>
              <w:pStyle w:val="Docoriginal"/>
              <w:jc w:val="left"/>
              <w:rPr>
                <w:lang w:val="fr-FR"/>
              </w:rPr>
            </w:pPr>
            <w:r w:rsidRPr="001B283D">
              <w:rPr>
                <w:lang w:val="fr-FR"/>
              </w:rPr>
              <w:t>CAJ</w:t>
            </w:r>
            <w:r w:rsidRPr="001B283D">
              <w:rPr>
                <w:lang w:val="fr-FR"/>
              </w:rPr>
              <w:noBreakHyphen/>
              <w:t>AG/14/</w:t>
            </w:r>
            <w:bookmarkStart w:id="0" w:name="Code"/>
            <w:bookmarkEnd w:id="0"/>
            <w:r w:rsidRPr="001B283D">
              <w:rPr>
                <w:lang w:val="fr-FR"/>
              </w:rPr>
              <w:t>9/6</w:t>
            </w:r>
          </w:p>
          <w:p w:rsidR="00831DD7" w:rsidRPr="001B283D" w:rsidRDefault="00831DD7" w:rsidP="00081A2A">
            <w:pPr>
              <w:pStyle w:val="Docoriginal"/>
              <w:jc w:val="left"/>
              <w:rPr>
                <w:lang w:val="fr-FR"/>
              </w:rPr>
            </w:pPr>
            <w:r w:rsidRPr="001B283D">
              <w:rPr>
                <w:rStyle w:val="StyleDoclangBold"/>
                <w:b/>
                <w:spacing w:val="0"/>
                <w:lang w:val="fr-FR"/>
              </w:rPr>
              <w:t>ORIGINAL :</w:t>
            </w:r>
            <w:r w:rsidRPr="001B283D">
              <w:rPr>
                <w:rStyle w:val="StyleDocoriginalNotBold1"/>
                <w:spacing w:val="0"/>
                <w:lang w:val="fr-FR"/>
              </w:rPr>
              <w:t xml:space="preserve"> </w:t>
            </w:r>
            <w:bookmarkStart w:id="1" w:name="Original"/>
            <w:bookmarkEnd w:id="1"/>
            <w:r w:rsidRPr="001B283D">
              <w:rPr>
                <w:b w:val="0"/>
                <w:spacing w:val="0"/>
                <w:lang w:val="fr-FR"/>
              </w:rPr>
              <w:t>anglais</w:t>
            </w:r>
          </w:p>
          <w:p w:rsidR="00831DD7" w:rsidRPr="001B283D" w:rsidRDefault="00831DD7" w:rsidP="00831DD7">
            <w:pPr>
              <w:pStyle w:val="Docoriginal"/>
              <w:jc w:val="left"/>
              <w:rPr>
                <w:lang w:val="fr-FR"/>
              </w:rPr>
            </w:pPr>
            <w:r w:rsidRPr="001B283D">
              <w:rPr>
                <w:spacing w:val="0"/>
                <w:lang w:val="fr-FR"/>
              </w:rPr>
              <w:t>DATE :</w:t>
            </w:r>
            <w:r w:rsidRPr="001B283D">
              <w:rPr>
                <w:b w:val="0"/>
                <w:spacing w:val="0"/>
                <w:lang w:val="fr-FR"/>
              </w:rPr>
              <w:t xml:space="preserve"> </w:t>
            </w:r>
            <w:bookmarkStart w:id="2" w:name="Date"/>
            <w:bookmarkEnd w:id="2"/>
            <w:r w:rsidRPr="001B283D">
              <w:rPr>
                <w:b w:val="0"/>
                <w:spacing w:val="0"/>
                <w:lang w:val="fr-FR"/>
              </w:rPr>
              <w:t>17</w:t>
            </w:r>
            <w:r w:rsidRPr="001B283D">
              <w:rPr>
                <w:rStyle w:val="StyleDocoriginalNotBold1"/>
                <w:spacing w:val="0"/>
                <w:lang w:val="fr-FR"/>
              </w:rPr>
              <w:t> octobre 2014</w:t>
            </w:r>
          </w:p>
        </w:tc>
      </w:tr>
      <w:tr w:rsidR="001B283D" w:rsidRPr="001B283D" w:rsidTr="00831DD7">
        <w:tc>
          <w:tcPr>
            <w:tcW w:w="10131" w:type="dxa"/>
            <w:gridSpan w:val="3"/>
          </w:tcPr>
          <w:p w:rsidR="00831DD7" w:rsidRPr="001B283D" w:rsidRDefault="00831DD7" w:rsidP="00081A2A">
            <w:pPr>
              <w:pStyle w:val="upove"/>
              <w:rPr>
                <w:sz w:val="28"/>
                <w:lang w:val="fr-FR"/>
              </w:rPr>
            </w:pPr>
            <w:r w:rsidRPr="001B283D">
              <w:rPr>
                <w:spacing w:val="6"/>
                <w:lang w:val="fr-FR"/>
              </w:rPr>
              <w:t>UNION INTERNATIONALE POUR LA PROTECTION DES OBTENTIONS VÉGÉTALES</w:t>
            </w:r>
          </w:p>
        </w:tc>
      </w:tr>
      <w:tr w:rsidR="001B283D" w:rsidRPr="001B283D" w:rsidTr="00831DD7">
        <w:tc>
          <w:tcPr>
            <w:tcW w:w="10131" w:type="dxa"/>
            <w:gridSpan w:val="3"/>
          </w:tcPr>
          <w:p w:rsidR="00831DD7" w:rsidRPr="001B283D" w:rsidRDefault="00831DD7" w:rsidP="00081A2A">
            <w:pPr>
              <w:pStyle w:val="Country"/>
              <w:rPr>
                <w:lang w:val="fr-FR"/>
              </w:rPr>
            </w:pPr>
            <w:r w:rsidRPr="001B283D">
              <w:rPr>
                <w:lang w:val="fr-FR"/>
              </w:rPr>
              <w:t>Genève</w:t>
            </w:r>
          </w:p>
        </w:tc>
      </w:tr>
    </w:tbl>
    <w:p w:rsidR="00886826" w:rsidRPr="001B283D" w:rsidRDefault="00886826" w:rsidP="001F321A">
      <w:pPr>
        <w:pStyle w:val="Sessiontc"/>
        <w:rPr>
          <w:lang w:val="fr-FR"/>
        </w:rPr>
      </w:pPr>
      <w:r w:rsidRPr="001B283D">
        <w:rPr>
          <w:lang w:val="fr-FR"/>
        </w:rPr>
        <w:t>Groupe consultatif du ComitÉ administratif et juridique</w:t>
      </w:r>
    </w:p>
    <w:p w:rsidR="00886826" w:rsidRPr="001B283D" w:rsidRDefault="00886826" w:rsidP="0080679D">
      <w:pPr>
        <w:pStyle w:val="Sessiontcplacedate"/>
        <w:rPr>
          <w:lang w:val="fr-FR"/>
        </w:rPr>
      </w:pPr>
      <w:r w:rsidRPr="001B283D">
        <w:rPr>
          <w:lang w:val="fr-FR"/>
        </w:rPr>
        <w:t>Neuvième Session</w:t>
      </w:r>
      <w:r w:rsidRPr="001B283D">
        <w:rPr>
          <w:lang w:val="fr-FR"/>
        </w:rPr>
        <w:br/>
        <w:t>Genève, 14 et 1</w:t>
      </w:r>
      <w:r w:rsidR="00894570" w:rsidRPr="001B283D">
        <w:rPr>
          <w:lang w:val="fr-FR"/>
        </w:rPr>
        <w:t>7 octobre 20</w:t>
      </w:r>
      <w:r w:rsidRPr="001B283D">
        <w:rPr>
          <w:lang w:val="fr-FR"/>
        </w:rPr>
        <w:t>14</w:t>
      </w:r>
    </w:p>
    <w:p w:rsidR="00886826" w:rsidRPr="001B283D" w:rsidRDefault="00886826" w:rsidP="001F321A">
      <w:pPr>
        <w:pStyle w:val="Titleofdoc0"/>
        <w:rPr>
          <w:lang w:val="fr-FR"/>
        </w:rPr>
      </w:pPr>
      <w:bookmarkStart w:id="3" w:name="TitleOfDoc"/>
      <w:bookmarkEnd w:id="3"/>
      <w:r w:rsidRPr="001B283D">
        <w:rPr>
          <w:lang w:val="fr-FR"/>
        </w:rPr>
        <w:t>compte rendu des conclusions</w:t>
      </w:r>
    </w:p>
    <w:p w:rsidR="00886826" w:rsidRPr="001B283D" w:rsidRDefault="00886826" w:rsidP="0080679D">
      <w:pPr>
        <w:pStyle w:val="preparedby1"/>
        <w:rPr>
          <w:rFonts w:cs="Times New Roman"/>
          <w:iCs w:val="0"/>
          <w:color w:val="A6A6A6" w:themeColor="background1" w:themeShade="A6"/>
          <w:lang w:val="fr-FR"/>
        </w:rPr>
      </w:pPr>
      <w:bookmarkStart w:id="4" w:name="Prepared"/>
      <w:bookmarkEnd w:id="4"/>
      <w:r w:rsidRPr="001B283D">
        <w:rPr>
          <w:lang w:val="fr-FR"/>
        </w:rPr>
        <w:t>adopté par le Groupe consultatif du Comité administratif et juridique</w:t>
      </w:r>
      <w:r w:rsidRPr="00A27C5B">
        <w:rPr>
          <w:color w:val="008000"/>
          <w:lang w:val="fr-FR"/>
        </w:rPr>
        <w:br/>
      </w:r>
      <w:r w:rsidRPr="00A27C5B">
        <w:rPr>
          <w:color w:val="008000"/>
          <w:lang w:val="fr-FR"/>
        </w:rPr>
        <w:br/>
      </w:r>
      <w:r w:rsidRPr="001B283D">
        <w:rPr>
          <w:rFonts w:cs="Times New Roman"/>
          <w:iCs w:val="0"/>
          <w:color w:val="A6A6A6" w:themeColor="background1" w:themeShade="A6"/>
          <w:lang w:val="fr-FR"/>
        </w:rPr>
        <w:t>Avertissement : le présent document ne représente pas les principes ou les orientations de l</w:t>
      </w:r>
      <w:r w:rsidR="00894570" w:rsidRPr="001B283D">
        <w:rPr>
          <w:rFonts w:cs="Times New Roman"/>
          <w:iCs w:val="0"/>
          <w:color w:val="A6A6A6" w:themeColor="background1" w:themeShade="A6"/>
          <w:lang w:val="fr-FR"/>
        </w:rPr>
        <w:t>’</w:t>
      </w:r>
      <w:r w:rsidRPr="001B283D">
        <w:rPr>
          <w:rFonts w:cs="Times New Roman"/>
          <w:iCs w:val="0"/>
          <w:color w:val="A6A6A6" w:themeColor="background1" w:themeShade="A6"/>
          <w:lang w:val="fr-FR"/>
        </w:rPr>
        <w:t>UPOV</w:t>
      </w:r>
    </w:p>
    <w:p w:rsidR="00886826" w:rsidRPr="001B283D" w:rsidRDefault="00886826" w:rsidP="001F321A">
      <w:pPr>
        <w:keepNext/>
        <w:rPr>
          <w:u w:val="single"/>
          <w:lang w:val="fr-FR"/>
        </w:rPr>
      </w:pPr>
      <w:r w:rsidRPr="001B283D">
        <w:rPr>
          <w:u w:val="single"/>
          <w:lang w:val="fr-FR"/>
        </w:rPr>
        <w:t>Ouverture de la session</w:t>
      </w:r>
    </w:p>
    <w:p w:rsidR="00886826" w:rsidRPr="001B283D" w:rsidRDefault="00886826" w:rsidP="0018265F">
      <w:pPr>
        <w:keepNext/>
        <w:rPr>
          <w:lang w:val="fr-FR"/>
        </w:rPr>
      </w:pPr>
    </w:p>
    <w:p w:rsidR="00886826" w:rsidRPr="001B283D" w:rsidRDefault="00886826" w:rsidP="001F321A">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Le Groupe consultatif du Comité administratif et juridique (ci</w:t>
      </w:r>
      <w:r w:rsidR="00A27C5B" w:rsidRPr="001B283D">
        <w:rPr>
          <w:lang w:val="fr-FR"/>
        </w:rPr>
        <w:noBreakHyphen/>
      </w:r>
      <w:r w:rsidRPr="001B283D">
        <w:rPr>
          <w:lang w:val="fr-FR"/>
        </w:rPr>
        <w:t>après dénommé “CAJ</w:t>
      </w:r>
      <w:r w:rsidR="00A27C5B" w:rsidRPr="001B283D">
        <w:rPr>
          <w:lang w:val="fr-FR"/>
        </w:rPr>
        <w:noBreakHyphen/>
      </w:r>
      <w:r w:rsidRPr="001B283D">
        <w:rPr>
          <w:lang w:val="fr-FR"/>
        </w:rPr>
        <w:t>AG”) a tenu sa neuvièmesession à Genève le 14 et le 17 octobre 2014, sous la présidence du secrétaire général adjoint de l</w:t>
      </w:r>
      <w:r w:rsidR="00894570" w:rsidRPr="001B283D">
        <w:rPr>
          <w:lang w:val="fr-FR"/>
        </w:rPr>
        <w:t>’</w:t>
      </w:r>
      <w:r w:rsidRPr="001B283D">
        <w:rPr>
          <w:lang w:val="fr-FR"/>
        </w:rPr>
        <w:t>UPOV.</w:t>
      </w:r>
    </w:p>
    <w:p w:rsidR="00886826" w:rsidRPr="001B283D" w:rsidRDefault="00886826" w:rsidP="0018265F">
      <w:pPr>
        <w:rPr>
          <w:lang w:val="fr-FR"/>
        </w:rPr>
      </w:pPr>
    </w:p>
    <w:p w:rsidR="00886826" w:rsidRPr="001B283D" w:rsidRDefault="00886826" w:rsidP="001F321A">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La liste des participants figure à l</w:t>
      </w:r>
      <w:r w:rsidR="00894570" w:rsidRPr="001B283D">
        <w:rPr>
          <w:lang w:val="fr-FR"/>
        </w:rPr>
        <w:t>’</w:t>
      </w:r>
      <w:r w:rsidRPr="001B283D">
        <w:rPr>
          <w:lang w:val="fr-FR"/>
        </w:rPr>
        <w:t>annexe du présent document.</w:t>
      </w:r>
    </w:p>
    <w:p w:rsidR="00886826" w:rsidRPr="001B283D" w:rsidRDefault="00886826" w:rsidP="0018265F">
      <w:pPr>
        <w:rPr>
          <w:lang w:val="fr-FR"/>
        </w:rPr>
      </w:pPr>
    </w:p>
    <w:p w:rsidR="00886826" w:rsidRPr="001B283D" w:rsidRDefault="00886826" w:rsidP="00AA0250">
      <w:pPr>
        <w:keepNext/>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Le CAJ</w:t>
      </w:r>
      <w:r w:rsidR="00A27C5B" w:rsidRPr="001B283D">
        <w:rPr>
          <w:lang w:val="fr-FR"/>
        </w:rPr>
        <w:noBreakHyphen/>
      </w:r>
      <w:r w:rsidRPr="001B283D">
        <w:rPr>
          <w:lang w:val="fr-FR"/>
        </w:rPr>
        <w:t>AG prend note que, à sa soixante</w:t>
      </w:r>
      <w:r w:rsidR="00A27C5B" w:rsidRPr="001B283D">
        <w:rPr>
          <w:lang w:val="fr-FR"/>
        </w:rPr>
        <w:noBreakHyphen/>
      </w:r>
      <w:r w:rsidRPr="001B283D">
        <w:rPr>
          <w:lang w:val="fr-FR"/>
        </w:rPr>
        <w:t>dixième</w:t>
      </w:r>
      <w:r w:rsidR="00F2415E" w:rsidRPr="001B283D">
        <w:rPr>
          <w:lang w:val="fr-FR"/>
        </w:rPr>
        <w:t> </w:t>
      </w:r>
      <w:r w:rsidRPr="001B283D">
        <w:rPr>
          <w:lang w:val="fr-FR"/>
        </w:rPr>
        <w:t>session, tenue à Genève le 1</w:t>
      </w:r>
      <w:r w:rsidR="00894570" w:rsidRPr="001B283D">
        <w:rPr>
          <w:lang w:val="fr-FR"/>
        </w:rPr>
        <w:t>3 octobre 20</w:t>
      </w:r>
      <w:r w:rsidRPr="001B283D">
        <w:rPr>
          <w:lang w:val="fr-FR"/>
        </w:rPr>
        <w:t>14, le Comité administratif et juridique (CAJ) est convenu de ce qui suit :</w:t>
      </w:r>
    </w:p>
    <w:p w:rsidR="00886826" w:rsidRPr="001B283D" w:rsidRDefault="00886826" w:rsidP="00AA0250">
      <w:pPr>
        <w:keepNext/>
        <w:rPr>
          <w:lang w:val="fr-FR"/>
        </w:rPr>
      </w:pPr>
    </w:p>
    <w:p w:rsidR="00894570" w:rsidRPr="001B283D" w:rsidRDefault="00886826" w:rsidP="00AA0250">
      <w:pPr>
        <w:tabs>
          <w:tab w:val="left" w:pos="567"/>
        </w:tabs>
        <w:ind w:left="567" w:right="567"/>
        <w:rPr>
          <w:sz w:val="18"/>
          <w:szCs w:val="18"/>
          <w:lang w:val="fr-FR"/>
        </w:rPr>
      </w:pPr>
      <w:r w:rsidRPr="001B283D">
        <w:rPr>
          <w:sz w:val="18"/>
          <w:szCs w:val="18"/>
          <w:lang w:val="fr-FR"/>
        </w:rPr>
        <w:t>“38.</w:t>
      </w:r>
      <w:r w:rsidRPr="001B283D">
        <w:rPr>
          <w:sz w:val="18"/>
          <w:szCs w:val="18"/>
          <w:lang w:val="fr-FR"/>
        </w:rPr>
        <w:tab/>
        <w:t>Le CAJ convient que toutes les questions examinées par le CAJ</w:t>
      </w:r>
      <w:r w:rsidR="00A27C5B" w:rsidRPr="001B283D">
        <w:rPr>
          <w:sz w:val="18"/>
          <w:szCs w:val="18"/>
          <w:lang w:val="fr-FR"/>
        </w:rPr>
        <w:noBreakHyphen/>
      </w:r>
      <w:r w:rsidRPr="001B283D">
        <w:rPr>
          <w:sz w:val="18"/>
          <w:szCs w:val="18"/>
          <w:lang w:val="fr-FR"/>
        </w:rPr>
        <w:t>AG à sa neuvième session devraient, après la neuvième session du CAJ</w:t>
      </w:r>
      <w:r w:rsidR="00A27C5B" w:rsidRPr="001B283D">
        <w:rPr>
          <w:sz w:val="18"/>
          <w:szCs w:val="18"/>
          <w:lang w:val="fr-FR"/>
        </w:rPr>
        <w:noBreakHyphen/>
      </w:r>
      <w:r w:rsidRPr="001B283D">
        <w:rPr>
          <w:sz w:val="18"/>
          <w:szCs w:val="18"/>
          <w:lang w:val="fr-FR"/>
        </w:rPr>
        <w:t>AG, être examinées par le CAJ, et que le CAJ</w:t>
      </w:r>
      <w:r w:rsidR="00A27C5B" w:rsidRPr="001B283D">
        <w:rPr>
          <w:sz w:val="18"/>
          <w:szCs w:val="18"/>
          <w:lang w:val="fr-FR"/>
        </w:rPr>
        <w:noBreakHyphen/>
      </w:r>
      <w:r w:rsidRPr="001B283D">
        <w:rPr>
          <w:sz w:val="18"/>
          <w:szCs w:val="18"/>
          <w:lang w:val="fr-FR"/>
        </w:rPr>
        <w:t>AG devrait se réunir uniquement de façon ponctuelle, selon que le CAJ le juge approprié.</w:t>
      </w:r>
    </w:p>
    <w:p w:rsidR="00886826" w:rsidRPr="001B283D" w:rsidRDefault="00886826" w:rsidP="00AA0250">
      <w:pPr>
        <w:tabs>
          <w:tab w:val="left" w:pos="567"/>
        </w:tabs>
        <w:ind w:left="567" w:right="567"/>
        <w:rPr>
          <w:sz w:val="18"/>
          <w:szCs w:val="18"/>
          <w:lang w:val="fr-FR"/>
        </w:rPr>
      </w:pPr>
    </w:p>
    <w:p w:rsidR="00886826" w:rsidRPr="001B283D" w:rsidRDefault="00886826" w:rsidP="00AA0250">
      <w:pPr>
        <w:tabs>
          <w:tab w:val="left" w:pos="567"/>
        </w:tabs>
        <w:ind w:left="567" w:right="567"/>
        <w:rPr>
          <w:sz w:val="18"/>
          <w:szCs w:val="18"/>
          <w:lang w:val="fr-FR"/>
        </w:rPr>
      </w:pPr>
      <w:r w:rsidRPr="001B283D">
        <w:rPr>
          <w:sz w:val="18"/>
          <w:szCs w:val="18"/>
          <w:lang w:val="fr-FR"/>
        </w:rPr>
        <w:t>“39.</w:t>
      </w:r>
      <w:r w:rsidRPr="001B283D">
        <w:rPr>
          <w:sz w:val="18"/>
          <w:szCs w:val="18"/>
          <w:lang w:val="fr-FR"/>
        </w:rPr>
        <w:tab/>
        <w:t>Compte tenu de cela, le CAJ prie le CAJ</w:t>
      </w:r>
      <w:r w:rsidR="00A27C5B" w:rsidRPr="001B283D">
        <w:rPr>
          <w:sz w:val="18"/>
          <w:szCs w:val="18"/>
          <w:lang w:val="fr-FR"/>
        </w:rPr>
        <w:noBreakHyphen/>
      </w:r>
      <w:r w:rsidRPr="001B283D">
        <w:rPr>
          <w:sz w:val="18"/>
          <w:szCs w:val="18"/>
          <w:lang w:val="fr-FR"/>
        </w:rPr>
        <w:t>AG de lui indiquer, à sa neuvième session, les documents qu</w:t>
      </w:r>
      <w:r w:rsidR="00894570" w:rsidRPr="001B283D">
        <w:rPr>
          <w:sz w:val="18"/>
          <w:szCs w:val="18"/>
          <w:lang w:val="fr-FR"/>
        </w:rPr>
        <w:t>’</w:t>
      </w:r>
      <w:r w:rsidRPr="001B283D">
        <w:rPr>
          <w:sz w:val="18"/>
          <w:szCs w:val="18"/>
          <w:lang w:val="fr-FR"/>
        </w:rPr>
        <w:t>il aura à examiner à sa soixante et onzième session, en mars 2015”.</w:t>
      </w:r>
    </w:p>
    <w:p w:rsidR="00886826" w:rsidRPr="001B283D" w:rsidRDefault="00886826" w:rsidP="00AA0250">
      <w:pPr>
        <w:tabs>
          <w:tab w:val="left" w:pos="567"/>
        </w:tabs>
        <w:ind w:left="567"/>
        <w:rPr>
          <w:lang w:val="fr-FR"/>
        </w:rPr>
      </w:pPr>
    </w:p>
    <w:p w:rsidR="00886826" w:rsidRPr="001B283D" w:rsidRDefault="00886826" w:rsidP="00AA0250">
      <w:pPr>
        <w:tabs>
          <w:tab w:val="left" w:pos="567"/>
        </w:tabs>
        <w:rPr>
          <w:lang w:val="fr-FR"/>
        </w:rPr>
      </w:pPr>
      <w:r w:rsidRPr="001B283D">
        <w:rPr>
          <w:lang w:val="fr-FR"/>
        </w:rPr>
        <w:t>(paragraphes</w:t>
      </w:r>
      <w:r w:rsidR="00F2415E" w:rsidRPr="001B283D">
        <w:rPr>
          <w:lang w:val="fr-FR"/>
        </w:rPr>
        <w:t> </w:t>
      </w:r>
      <w:r w:rsidR="00AD504D" w:rsidRPr="001B283D">
        <w:rPr>
          <w:lang w:val="fr-FR"/>
        </w:rPr>
        <w:t>38 et </w:t>
      </w:r>
      <w:r w:rsidRPr="001B283D">
        <w:rPr>
          <w:lang w:val="fr-FR"/>
        </w:rPr>
        <w:t>39 du document CAJ/70/10 “Compte rendu des conclusions”)</w:t>
      </w:r>
    </w:p>
    <w:p w:rsidR="00886826" w:rsidRPr="001B283D" w:rsidRDefault="00886826" w:rsidP="0018265F">
      <w:pPr>
        <w:rPr>
          <w:lang w:val="fr-FR"/>
        </w:rPr>
      </w:pPr>
    </w:p>
    <w:p w:rsidR="00886826" w:rsidRPr="001B283D" w:rsidRDefault="00886826" w:rsidP="001F321A">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Le président rappelle que</w:t>
      </w:r>
      <w:r w:rsidR="00894570" w:rsidRPr="001B283D">
        <w:rPr>
          <w:lang w:val="fr-FR"/>
        </w:rPr>
        <w:t xml:space="preserve"> le CAJ</w:t>
      </w:r>
      <w:r w:rsidR="00A27C5B" w:rsidRPr="001B283D">
        <w:rPr>
          <w:lang w:val="fr-FR"/>
        </w:rPr>
        <w:noBreakHyphen/>
      </w:r>
      <w:r w:rsidRPr="001B283D">
        <w:rPr>
          <w:lang w:val="fr-FR"/>
        </w:rPr>
        <w:t>AG est convenu d</w:t>
      </w:r>
      <w:r w:rsidR="00894570" w:rsidRPr="001B283D">
        <w:rPr>
          <w:lang w:val="fr-FR"/>
        </w:rPr>
        <w:t>’</w:t>
      </w:r>
      <w:r w:rsidRPr="001B283D">
        <w:rPr>
          <w:lang w:val="fr-FR"/>
        </w:rPr>
        <w:t xml:space="preserve">envoyer par courrier des invitations </w:t>
      </w:r>
      <w:r w:rsidRPr="00FD653A">
        <w:rPr>
          <w:i/>
          <w:iCs/>
          <w:lang w:val="fr-FR"/>
        </w:rPr>
        <w:t>ad</w:t>
      </w:r>
      <w:r w:rsidR="00F2415E" w:rsidRPr="00FD653A">
        <w:rPr>
          <w:i/>
          <w:iCs/>
          <w:lang w:val="fr-FR"/>
        </w:rPr>
        <w:t> </w:t>
      </w:r>
      <w:r w:rsidRPr="00FD653A">
        <w:rPr>
          <w:i/>
          <w:iCs/>
          <w:lang w:val="fr-FR"/>
        </w:rPr>
        <w:t>hoc</w:t>
      </w:r>
      <w:r w:rsidRPr="001B283D">
        <w:rPr>
          <w:lang w:val="fr-FR"/>
        </w:rPr>
        <w:t xml:space="preserve"> aux organisations qu</w:t>
      </w:r>
      <w:r w:rsidR="00894570" w:rsidRPr="001B283D">
        <w:rPr>
          <w:lang w:val="fr-FR"/>
        </w:rPr>
        <w:t>’</w:t>
      </w:r>
      <w:r w:rsidRPr="001B283D">
        <w:rPr>
          <w:lang w:val="fr-FR"/>
        </w:rPr>
        <w:t>il avait décidé précédemment d</w:t>
      </w:r>
      <w:r w:rsidR="00894570" w:rsidRPr="001B283D">
        <w:rPr>
          <w:lang w:val="fr-FR"/>
        </w:rPr>
        <w:t>’</w:t>
      </w:r>
      <w:r w:rsidRPr="001B283D">
        <w:rPr>
          <w:lang w:val="fr-FR"/>
        </w:rPr>
        <w:t>inviter pour leur permettre de continuer à faire part de leurs opinions sur des questions pertinentes (voir le paragraphe</w:t>
      </w:r>
      <w:r w:rsidR="00F2415E" w:rsidRPr="001B283D">
        <w:rPr>
          <w:lang w:val="fr-FR"/>
        </w:rPr>
        <w:t> </w:t>
      </w:r>
      <w:r w:rsidRPr="001B283D">
        <w:rPr>
          <w:lang w:val="fr-FR"/>
        </w:rPr>
        <w:t>83 du document CAJ</w:t>
      </w:r>
      <w:r w:rsidR="00A27C5B" w:rsidRPr="001B283D">
        <w:rPr>
          <w:lang w:val="fr-FR"/>
        </w:rPr>
        <w:noBreakHyphen/>
      </w:r>
      <w:r w:rsidRPr="001B283D">
        <w:rPr>
          <w:lang w:val="fr-FR"/>
        </w:rPr>
        <w:t>AG/13/8/10 “Compte rendu”).  C</w:t>
      </w:r>
      <w:r w:rsidR="00894570" w:rsidRPr="001B283D">
        <w:rPr>
          <w:lang w:val="fr-FR"/>
        </w:rPr>
        <w:t>’</w:t>
      </w:r>
      <w:r w:rsidRPr="001B283D">
        <w:rPr>
          <w:lang w:val="fr-FR"/>
        </w:rPr>
        <w:t>est dans ces conditions que les organisations suivantes ont été invitées à participer à la partie concernée de la neuvième</w:t>
      </w:r>
      <w:r w:rsidR="00F2415E" w:rsidRPr="001B283D">
        <w:rPr>
          <w:lang w:val="fr-FR"/>
        </w:rPr>
        <w:t> </w:t>
      </w:r>
      <w:r w:rsidRPr="001B283D">
        <w:rPr>
          <w:lang w:val="fr-FR"/>
        </w:rPr>
        <w:t>session</w:t>
      </w:r>
      <w:r w:rsidR="00894570" w:rsidRPr="001B283D">
        <w:rPr>
          <w:lang w:val="fr-FR"/>
        </w:rPr>
        <w:t xml:space="preserve"> du CAJ</w:t>
      </w:r>
      <w:r w:rsidR="00A27C5B" w:rsidRPr="001B283D">
        <w:rPr>
          <w:lang w:val="fr-FR"/>
        </w:rPr>
        <w:noBreakHyphen/>
      </w:r>
      <w:r w:rsidRPr="001B283D">
        <w:rPr>
          <w:lang w:val="fr-FR"/>
        </w:rPr>
        <w:t>AG : Association internationale des producteurs de l</w:t>
      </w:r>
      <w:r w:rsidR="00894570" w:rsidRPr="001B283D">
        <w:rPr>
          <w:lang w:val="fr-FR"/>
        </w:rPr>
        <w:t>’</w:t>
      </w:r>
      <w:r w:rsidRPr="001B283D">
        <w:rPr>
          <w:lang w:val="fr-FR"/>
        </w:rPr>
        <w:t xml:space="preserve">horticulture (AIPH), </w:t>
      </w:r>
      <w:r w:rsidRPr="00081A2A">
        <w:rPr>
          <w:i/>
          <w:lang w:val="fr-FR"/>
        </w:rPr>
        <w:t>Association for Plant Breeding for the Benefit of Society</w:t>
      </w:r>
      <w:r w:rsidRPr="001B283D">
        <w:rPr>
          <w:lang w:val="fr-FR"/>
        </w:rPr>
        <w:t xml:space="preserve"> (APBREBES), Communauté internationale des obtenteurs de plantes ornementales et fruitières à reproduct</w:t>
      </w:r>
      <w:r w:rsidR="00081A2A">
        <w:rPr>
          <w:lang w:val="fr-FR"/>
        </w:rPr>
        <w:t xml:space="preserve">ion asexuée (CIOPORA), </w:t>
      </w:r>
      <w:r w:rsidR="00081A2A" w:rsidRPr="00081A2A">
        <w:rPr>
          <w:i/>
          <w:lang w:val="fr-FR"/>
        </w:rPr>
        <w:t>CropLife </w:t>
      </w:r>
      <w:r w:rsidRPr="00081A2A">
        <w:rPr>
          <w:i/>
          <w:lang w:val="fr-FR"/>
        </w:rPr>
        <w:t>International</w:t>
      </w:r>
      <w:r w:rsidRPr="001B283D">
        <w:rPr>
          <w:lang w:val="fr-FR"/>
        </w:rPr>
        <w:t xml:space="preserve">, </w:t>
      </w:r>
      <w:r w:rsidRPr="00081A2A">
        <w:rPr>
          <w:i/>
          <w:lang w:val="fr-FR"/>
        </w:rPr>
        <w:t>European Seed Association</w:t>
      </w:r>
      <w:r w:rsidRPr="001B283D">
        <w:rPr>
          <w:lang w:val="fr-FR"/>
        </w:rPr>
        <w:t xml:space="preserve"> (ESA) et </w:t>
      </w:r>
      <w:r w:rsidRPr="00081A2A">
        <w:rPr>
          <w:i/>
          <w:lang w:val="fr-FR"/>
        </w:rPr>
        <w:t>International Seed Federation</w:t>
      </w:r>
      <w:r w:rsidRPr="001B283D">
        <w:rPr>
          <w:lang w:val="fr-FR"/>
        </w:rPr>
        <w:t xml:space="preserve"> (ISF).</w:t>
      </w:r>
    </w:p>
    <w:p w:rsidR="00886826" w:rsidRPr="001B283D" w:rsidRDefault="00886826" w:rsidP="0018265F">
      <w:pPr>
        <w:rPr>
          <w:lang w:val="fr-FR"/>
        </w:rPr>
      </w:pPr>
    </w:p>
    <w:p w:rsidR="00886826" w:rsidRPr="001B283D" w:rsidRDefault="00886826" w:rsidP="0018265F">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Le CAJ</w:t>
      </w:r>
      <w:r w:rsidR="00A27C5B" w:rsidRPr="001B283D">
        <w:rPr>
          <w:lang w:val="fr-FR"/>
        </w:rPr>
        <w:noBreakHyphen/>
      </w:r>
      <w:r w:rsidRPr="001B283D">
        <w:rPr>
          <w:lang w:val="fr-FR"/>
        </w:rPr>
        <w:t>AG prend note que les débats en présence d</w:t>
      </w:r>
      <w:r w:rsidR="00894570" w:rsidRPr="001B283D">
        <w:rPr>
          <w:lang w:val="fr-FR"/>
        </w:rPr>
        <w:t>’</w:t>
      </w:r>
      <w:r w:rsidRPr="001B283D">
        <w:rPr>
          <w:lang w:val="fr-FR"/>
        </w:rPr>
        <w:t>observateurs seront inclus dans le rapport détaillé.</w:t>
      </w:r>
    </w:p>
    <w:p w:rsidR="00886826" w:rsidRPr="001B283D" w:rsidRDefault="00886826" w:rsidP="0018265F">
      <w:pPr>
        <w:rPr>
          <w:lang w:val="fr-FR"/>
        </w:rPr>
      </w:pPr>
    </w:p>
    <w:p w:rsidR="00886826" w:rsidRPr="001B283D" w:rsidRDefault="00886826" w:rsidP="0018265F">
      <w:pPr>
        <w:rPr>
          <w:lang w:val="fr-FR"/>
        </w:rPr>
      </w:pPr>
    </w:p>
    <w:p w:rsidR="00886826" w:rsidRPr="001B283D" w:rsidRDefault="00886826" w:rsidP="001F321A">
      <w:pPr>
        <w:pStyle w:val="Heading2"/>
        <w:rPr>
          <w:lang w:val="fr-FR"/>
        </w:rPr>
      </w:pPr>
      <w:r w:rsidRPr="001B283D">
        <w:rPr>
          <w:lang w:val="fr-FR"/>
        </w:rPr>
        <w:t>Adoption de l</w:t>
      </w:r>
      <w:r w:rsidR="00894570" w:rsidRPr="001B283D">
        <w:rPr>
          <w:lang w:val="fr-FR"/>
        </w:rPr>
        <w:t>’</w:t>
      </w:r>
      <w:r w:rsidRPr="001B283D">
        <w:rPr>
          <w:lang w:val="fr-FR"/>
        </w:rPr>
        <w:t>ordre du jour</w:t>
      </w:r>
    </w:p>
    <w:p w:rsidR="00886826" w:rsidRPr="001B283D" w:rsidRDefault="00886826" w:rsidP="00975941">
      <w:pPr>
        <w:keepNext/>
        <w:rPr>
          <w:snapToGrid w:val="0"/>
          <w:lang w:val="fr-FR"/>
        </w:rPr>
      </w:pPr>
    </w:p>
    <w:p w:rsidR="00886826" w:rsidRPr="001B283D" w:rsidRDefault="00886826" w:rsidP="0018265F">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Le CAJ</w:t>
      </w:r>
      <w:r w:rsidR="00A27C5B" w:rsidRPr="001B283D">
        <w:rPr>
          <w:lang w:val="fr-FR"/>
        </w:rPr>
        <w:noBreakHyphen/>
      </w:r>
      <w:r w:rsidRPr="001B283D">
        <w:rPr>
          <w:lang w:val="fr-FR"/>
        </w:rPr>
        <w:t>AG adopte l</w:t>
      </w:r>
      <w:r w:rsidR="00894570" w:rsidRPr="001B283D">
        <w:rPr>
          <w:lang w:val="fr-FR"/>
        </w:rPr>
        <w:t>’</w:t>
      </w:r>
      <w:r w:rsidRPr="001B283D">
        <w:rPr>
          <w:lang w:val="fr-FR"/>
        </w:rPr>
        <w:t>ordre du jour provisoire tel qu</w:t>
      </w:r>
      <w:r w:rsidR="00894570" w:rsidRPr="001B283D">
        <w:rPr>
          <w:lang w:val="fr-FR"/>
        </w:rPr>
        <w:t>’</w:t>
      </w:r>
      <w:r w:rsidRPr="001B283D">
        <w:rPr>
          <w:lang w:val="fr-FR"/>
        </w:rPr>
        <w:t>il figure dans le document CAJ</w:t>
      </w:r>
      <w:r w:rsidR="00A27C5B" w:rsidRPr="001B283D">
        <w:rPr>
          <w:lang w:val="fr-FR"/>
        </w:rPr>
        <w:noBreakHyphen/>
      </w:r>
      <w:r w:rsidRPr="001B283D">
        <w:rPr>
          <w:lang w:val="fr-FR"/>
        </w:rPr>
        <w:t>AG/14/9/1</w:t>
      </w:r>
      <w:r w:rsidR="00F2415E" w:rsidRPr="001B283D">
        <w:rPr>
          <w:lang w:val="fr-FR"/>
        </w:rPr>
        <w:t> </w:t>
      </w:r>
      <w:r w:rsidRPr="001B283D">
        <w:rPr>
          <w:lang w:val="fr-FR"/>
        </w:rPr>
        <w:t>Rev.</w:t>
      </w:r>
    </w:p>
    <w:p w:rsidR="00886826" w:rsidRPr="001B283D" w:rsidRDefault="00886826" w:rsidP="0018265F">
      <w:pPr>
        <w:rPr>
          <w:lang w:val="fr-FR"/>
        </w:rPr>
      </w:pPr>
    </w:p>
    <w:p w:rsidR="00886826" w:rsidRPr="001B283D" w:rsidRDefault="00886826" w:rsidP="001F321A">
      <w:pPr>
        <w:pStyle w:val="Heading2"/>
        <w:rPr>
          <w:lang w:val="fr-FR"/>
        </w:rPr>
      </w:pPr>
      <w:r w:rsidRPr="001B283D">
        <w:rPr>
          <w:lang w:val="fr-FR"/>
        </w:rPr>
        <w:lastRenderedPageBreak/>
        <w:t xml:space="preserve">Notes explicatives sur la reproduction ou la multiplication et sur le matériel de reproduction ou de multiplication selon la </w:t>
      </w:r>
      <w:r w:rsidR="00894570" w:rsidRPr="001B283D">
        <w:rPr>
          <w:lang w:val="fr-FR"/>
        </w:rPr>
        <w:t>Convention UPOV</w:t>
      </w:r>
    </w:p>
    <w:p w:rsidR="00886826" w:rsidRPr="001B283D" w:rsidRDefault="00886826" w:rsidP="00F258D2">
      <w:pPr>
        <w:keepNext/>
        <w:rPr>
          <w:lang w:val="fr-FR"/>
        </w:rPr>
      </w:pPr>
    </w:p>
    <w:p w:rsidR="00886826" w:rsidRPr="001B283D" w:rsidRDefault="00886826" w:rsidP="00F258D2">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Le CAJ</w:t>
      </w:r>
      <w:r w:rsidR="00A27C5B" w:rsidRPr="001B283D">
        <w:rPr>
          <w:lang w:val="fr-FR"/>
        </w:rPr>
        <w:noBreakHyphen/>
      </w:r>
      <w:r w:rsidRPr="001B283D">
        <w:rPr>
          <w:lang w:val="fr-FR"/>
        </w:rPr>
        <w:t xml:space="preserve">AG examine le </w:t>
      </w:r>
      <w:r w:rsidR="00894570" w:rsidRPr="001B283D">
        <w:rPr>
          <w:lang w:val="fr-FR"/>
        </w:rPr>
        <w:t>document UP</w:t>
      </w:r>
      <w:r w:rsidRPr="001B283D">
        <w:rPr>
          <w:lang w:val="fr-FR"/>
        </w:rPr>
        <w:t>OV/EXN/PPM/1 Draft 3 et les exposés des points de vue formulés par l</w:t>
      </w:r>
      <w:r w:rsidR="00894570" w:rsidRPr="001B283D">
        <w:rPr>
          <w:lang w:val="fr-FR"/>
        </w:rPr>
        <w:t>’</w:t>
      </w:r>
      <w:r w:rsidRPr="001B283D">
        <w:rPr>
          <w:lang w:val="fr-FR"/>
        </w:rPr>
        <w:t>APBREBES,</w:t>
      </w:r>
      <w:r w:rsidR="00894570" w:rsidRPr="001B283D">
        <w:rPr>
          <w:lang w:val="fr-FR"/>
        </w:rPr>
        <w:t xml:space="preserve"> la CIO</w:t>
      </w:r>
      <w:r w:rsidRPr="001B283D">
        <w:rPr>
          <w:lang w:val="fr-FR"/>
        </w:rPr>
        <w:t>PORA et l</w:t>
      </w:r>
      <w:r w:rsidR="00894570" w:rsidRPr="001B283D">
        <w:rPr>
          <w:lang w:val="fr-FR"/>
        </w:rPr>
        <w:t>’</w:t>
      </w:r>
      <w:r w:rsidRPr="001B283D">
        <w:rPr>
          <w:lang w:val="fr-FR"/>
        </w:rPr>
        <w:t>ESA.</w:t>
      </w:r>
    </w:p>
    <w:p w:rsidR="00886826" w:rsidRPr="001B283D" w:rsidRDefault="00886826" w:rsidP="00F258D2">
      <w:pPr>
        <w:rPr>
          <w:lang w:val="fr-FR"/>
        </w:rPr>
      </w:pPr>
    </w:p>
    <w:p w:rsidR="00886826" w:rsidRPr="001B283D" w:rsidRDefault="00886826" w:rsidP="00F258D2">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Le CAJ</w:t>
      </w:r>
      <w:r w:rsidR="00A27C5B" w:rsidRPr="001B283D">
        <w:rPr>
          <w:lang w:val="fr-FR"/>
        </w:rPr>
        <w:noBreakHyphen/>
      </w:r>
      <w:r w:rsidRPr="001B283D">
        <w:rPr>
          <w:lang w:val="fr-FR"/>
        </w:rPr>
        <w:t>AG approuve les modifications suiva</w:t>
      </w:r>
      <w:r w:rsidR="00A27C5B" w:rsidRPr="001B283D">
        <w:rPr>
          <w:lang w:val="fr-FR"/>
        </w:rPr>
        <w:t>ntes du document UPOV/EXN/PPM/1 Draft </w:t>
      </w:r>
      <w:r w:rsidRPr="001B283D">
        <w:rPr>
          <w:lang w:val="fr-FR"/>
        </w:rPr>
        <w:t>3</w:t>
      </w:r>
      <w:r w:rsidR="00F2415E" w:rsidRPr="001B283D">
        <w:rPr>
          <w:lang w:val="fr-FR"/>
        </w:rPr>
        <w:t> </w:t>
      </w:r>
      <w:r w:rsidRPr="001B283D">
        <w:rPr>
          <w:lang w:val="fr-FR"/>
        </w:rPr>
        <w:t>:</w:t>
      </w:r>
    </w:p>
    <w:p w:rsidR="00886826" w:rsidRPr="001B283D" w:rsidRDefault="00886826" w:rsidP="00F258D2">
      <w:pPr>
        <w:rPr>
          <w:lang w:val="fr-FR"/>
        </w:rPr>
      </w:pPr>
    </w:p>
    <w:tbl>
      <w:tblPr>
        <w:tblW w:w="927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57" w:type="dxa"/>
          <w:bottom w:w="28" w:type="dxa"/>
          <w:right w:w="115" w:type="dxa"/>
        </w:tblCellMar>
        <w:tblLook w:val="0000" w:firstRow="0" w:lastRow="0" w:firstColumn="0" w:lastColumn="0" w:noHBand="0" w:noVBand="0"/>
      </w:tblPr>
      <w:tblGrid>
        <w:gridCol w:w="1483"/>
        <w:gridCol w:w="7789"/>
      </w:tblGrid>
      <w:tr w:rsidR="001B283D" w:rsidRPr="001B283D" w:rsidTr="00081A2A">
        <w:trPr>
          <w:cantSplit/>
          <w:jc w:val="center"/>
        </w:trPr>
        <w:tc>
          <w:tcPr>
            <w:tcW w:w="1483" w:type="dxa"/>
          </w:tcPr>
          <w:p w:rsidR="00886826" w:rsidRPr="001B283D" w:rsidRDefault="00886826" w:rsidP="001F321A">
            <w:pPr>
              <w:spacing w:before="40" w:after="40"/>
              <w:rPr>
                <w:lang w:val="fr-FR"/>
              </w:rPr>
            </w:pPr>
            <w:r w:rsidRPr="001B283D">
              <w:rPr>
                <w:lang w:val="fr-FR"/>
              </w:rPr>
              <w:t>Généralités</w:t>
            </w:r>
          </w:p>
        </w:tc>
        <w:tc>
          <w:tcPr>
            <w:tcW w:w="7789" w:type="dxa"/>
          </w:tcPr>
          <w:p w:rsidR="00886826" w:rsidRPr="001B283D" w:rsidRDefault="00886826" w:rsidP="008D4002">
            <w:pPr>
              <w:spacing w:before="40" w:after="40"/>
              <w:rPr>
                <w:snapToGrid w:val="0"/>
                <w:lang w:val="fr-FR"/>
              </w:rPr>
            </w:pPr>
            <w:r w:rsidRPr="001B283D">
              <w:rPr>
                <w:snapToGrid w:val="0"/>
                <w:lang w:val="fr-FR"/>
              </w:rPr>
              <w:t>Remplacer dans le titre et ailleurs dans le document (version anglaise) l</w:t>
            </w:r>
            <w:r w:rsidR="00894570" w:rsidRPr="001B283D">
              <w:rPr>
                <w:snapToGrid w:val="0"/>
                <w:lang w:val="fr-FR"/>
              </w:rPr>
              <w:t>’</w:t>
            </w:r>
            <w:r w:rsidRPr="001B283D">
              <w:rPr>
                <w:snapToGrid w:val="0"/>
                <w:lang w:val="fr-FR"/>
              </w:rPr>
              <w:t xml:space="preserve">expression “propagation and propagating material” par </w:t>
            </w:r>
            <w:r w:rsidRPr="001B283D">
              <w:rPr>
                <w:lang w:val="fr-FR"/>
              </w:rPr>
              <w:t>“propagating material”.</w:t>
            </w:r>
          </w:p>
        </w:tc>
      </w:tr>
      <w:tr w:rsidR="001B283D" w:rsidRPr="001B283D" w:rsidTr="00081A2A">
        <w:trPr>
          <w:cantSplit/>
          <w:jc w:val="center"/>
        </w:trPr>
        <w:tc>
          <w:tcPr>
            <w:tcW w:w="1483" w:type="dxa"/>
          </w:tcPr>
          <w:p w:rsidR="00886826" w:rsidRPr="001B283D" w:rsidRDefault="00886826" w:rsidP="008D4002">
            <w:pPr>
              <w:spacing w:before="40" w:after="40"/>
              <w:rPr>
                <w:lang w:val="fr-FR"/>
              </w:rPr>
            </w:pPr>
            <w:r w:rsidRPr="001B283D">
              <w:rPr>
                <w:lang w:val="fr-FR"/>
              </w:rPr>
              <w:t>1.</w:t>
            </w:r>
          </w:p>
        </w:tc>
        <w:tc>
          <w:tcPr>
            <w:tcW w:w="7789" w:type="dxa"/>
          </w:tcPr>
          <w:p w:rsidR="00886826" w:rsidRPr="001B283D" w:rsidRDefault="00886826" w:rsidP="001F321A">
            <w:pPr>
              <w:spacing w:before="40" w:after="40"/>
              <w:rPr>
                <w:lang w:val="fr-FR"/>
              </w:rPr>
            </w:pPr>
            <w:r w:rsidRPr="001B283D">
              <w:rPr>
                <w:lang w:val="fr-FR"/>
              </w:rPr>
              <w:t>Libeller comme suit :</w:t>
            </w:r>
          </w:p>
          <w:p w:rsidR="00886826" w:rsidRPr="001B283D" w:rsidRDefault="00886826" w:rsidP="005E142A">
            <w:pPr>
              <w:spacing w:before="40" w:after="40"/>
              <w:rPr>
                <w:lang w:val="fr-FR"/>
              </w:rPr>
            </w:pPr>
            <w:r w:rsidRPr="001B283D">
              <w:rPr>
                <w:lang w:val="fr-FR"/>
              </w:rPr>
              <w:t xml:space="preserve">“Le matériel de reproduction ou de multiplication couvre le matériel de reproduction ou de multiplication végétative. </w:t>
            </w:r>
            <w:r w:rsidR="00F2415E" w:rsidRPr="001B283D">
              <w:rPr>
                <w:lang w:val="fr-FR"/>
              </w:rPr>
              <w:t xml:space="preserve"> </w:t>
            </w:r>
            <w:r w:rsidRPr="001B283D">
              <w:rPr>
                <w:lang w:val="fr-FR"/>
              </w:rPr>
              <w:t xml:space="preserve">La </w:t>
            </w:r>
            <w:r w:rsidR="00894570" w:rsidRPr="001B283D">
              <w:rPr>
                <w:lang w:val="fr-FR"/>
              </w:rPr>
              <w:t>Convention UPOV</w:t>
            </w:r>
            <w:r w:rsidRPr="001B283D">
              <w:rPr>
                <w:lang w:val="fr-FR"/>
              </w:rPr>
              <w:t xml:space="preserve"> ne donne pas de définition du </w:t>
            </w:r>
            <w:r w:rsidR="00894570" w:rsidRPr="001B283D">
              <w:rPr>
                <w:lang w:val="fr-FR"/>
              </w:rPr>
              <w:t>‘</w:t>
            </w:r>
            <w:r w:rsidRPr="001B283D">
              <w:rPr>
                <w:lang w:val="fr-FR"/>
              </w:rPr>
              <w:t>matériel de reproduction ou de multiplication</w:t>
            </w:r>
            <w:r w:rsidR="00894570" w:rsidRPr="001B283D">
              <w:rPr>
                <w:lang w:val="fr-FR"/>
              </w:rPr>
              <w:t>’</w:t>
            </w:r>
            <w:r w:rsidRPr="001B283D">
              <w:rPr>
                <w:lang w:val="fr-FR"/>
              </w:rPr>
              <w:t>.</w:t>
            </w:r>
            <w:r w:rsidR="00F2415E" w:rsidRPr="001B283D">
              <w:rPr>
                <w:lang w:val="fr-FR"/>
              </w:rPr>
              <w:t xml:space="preserve"> </w:t>
            </w:r>
            <w:r w:rsidRPr="001B283D">
              <w:rPr>
                <w:lang w:val="fr-FR"/>
              </w:rPr>
              <w:t xml:space="preserve"> La section suivante donne des orientations sur des facteurs qui pourraient être pris en compte quant à la question de savoir si le matériel est du matériel de reproduction ou de multiplication”.</w:t>
            </w:r>
          </w:p>
        </w:tc>
      </w:tr>
      <w:tr w:rsidR="001B283D" w:rsidRPr="001B283D" w:rsidTr="00081A2A">
        <w:trPr>
          <w:cantSplit/>
          <w:jc w:val="center"/>
        </w:trPr>
        <w:tc>
          <w:tcPr>
            <w:tcW w:w="1483" w:type="dxa"/>
          </w:tcPr>
          <w:p w:rsidR="00886826" w:rsidRPr="001B283D" w:rsidRDefault="00886826" w:rsidP="008D4002">
            <w:pPr>
              <w:spacing w:before="40" w:after="40"/>
              <w:rPr>
                <w:lang w:val="fr-FR"/>
              </w:rPr>
            </w:pPr>
            <w:r w:rsidRPr="001B283D">
              <w:rPr>
                <w:lang w:val="fr-FR"/>
              </w:rPr>
              <w:t>2.</w:t>
            </w:r>
          </w:p>
        </w:tc>
        <w:tc>
          <w:tcPr>
            <w:tcW w:w="7789" w:type="dxa"/>
          </w:tcPr>
          <w:p w:rsidR="00886826" w:rsidRPr="001B283D" w:rsidRDefault="00886826" w:rsidP="005E142A">
            <w:pPr>
              <w:spacing w:before="40" w:after="40"/>
              <w:rPr>
                <w:lang w:val="fr-FR"/>
              </w:rPr>
            </w:pPr>
            <w:r w:rsidRPr="001B283D">
              <w:rPr>
                <w:lang w:val="fr-FR"/>
              </w:rPr>
              <w:t>Libeller comme suit :</w:t>
            </w:r>
          </w:p>
          <w:p w:rsidR="00886826" w:rsidRPr="001B283D" w:rsidRDefault="00886826" w:rsidP="008D4002">
            <w:pPr>
              <w:spacing w:before="40" w:after="40"/>
              <w:rPr>
                <w:lang w:val="fr-FR"/>
              </w:rPr>
            </w:pPr>
            <w:r w:rsidRPr="001B283D">
              <w:rPr>
                <w:lang w:val="fr-FR"/>
              </w:rPr>
              <w:t>“Indiquer si le matériel est du matériel de reproduction ou de multiplication est une question de fait, mais peut aussi comprendre l</w:t>
            </w:r>
            <w:r w:rsidR="00894570" w:rsidRPr="001B283D">
              <w:rPr>
                <w:lang w:val="fr-FR"/>
              </w:rPr>
              <w:t>’</w:t>
            </w:r>
            <w:r w:rsidRPr="001B283D">
              <w:rPr>
                <w:lang w:val="fr-FR"/>
              </w:rPr>
              <w:t>intention des parties concernées (producteur, vendeur, fournisseur, acheteur, destinataire, utilisateur) et dépend de la définition de matériel de reproduction ou de multiplication dans la loi du membre de l</w:t>
            </w:r>
            <w:r w:rsidR="00894570" w:rsidRPr="001B283D">
              <w:rPr>
                <w:lang w:val="fr-FR"/>
              </w:rPr>
              <w:t>’</w:t>
            </w:r>
            <w:r w:rsidRPr="001B283D">
              <w:rPr>
                <w:lang w:val="fr-FR"/>
              </w:rPr>
              <w:t xml:space="preserve">Union concerné. </w:t>
            </w:r>
            <w:r w:rsidR="00F2415E" w:rsidRPr="001B283D">
              <w:rPr>
                <w:lang w:val="fr-FR"/>
              </w:rPr>
              <w:t xml:space="preserve"> </w:t>
            </w:r>
            <w:r w:rsidRPr="001B283D">
              <w:rPr>
                <w:lang w:val="fr-FR"/>
              </w:rPr>
              <w:t>[…]”</w:t>
            </w:r>
          </w:p>
        </w:tc>
      </w:tr>
      <w:tr w:rsidR="001B283D" w:rsidRPr="001B283D" w:rsidTr="00081A2A">
        <w:trPr>
          <w:cantSplit/>
          <w:jc w:val="center"/>
        </w:trPr>
        <w:tc>
          <w:tcPr>
            <w:tcW w:w="1483" w:type="dxa"/>
          </w:tcPr>
          <w:p w:rsidR="00886826" w:rsidRPr="001B283D" w:rsidRDefault="00886826" w:rsidP="008D4002">
            <w:pPr>
              <w:spacing w:before="40" w:after="40"/>
              <w:rPr>
                <w:lang w:val="fr-FR"/>
              </w:rPr>
            </w:pPr>
            <w:r w:rsidRPr="001B283D">
              <w:rPr>
                <w:lang w:val="fr-FR"/>
              </w:rPr>
              <w:t>4.</w:t>
            </w:r>
          </w:p>
        </w:tc>
        <w:tc>
          <w:tcPr>
            <w:tcW w:w="7789" w:type="dxa"/>
          </w:tcPr>
          <w:p w:rsidR="00886826" w:rsidRPr="001B283D" w:rsidRDefault="00886826" w:rsidP="005E142A">
            <w:pPr>
              <w:spacing w:before="40" w:after="40"/>
              <w:rPr>
                <w:lang w:val="fr-FR"/>
              </w:rPr>
            </w:pPr>
            <w:r w:rsidRPr="001B283D">
              <w:rPr>
                <w:lang w:val="fr-FR"/>
              </w:rPr>
              <w:t>Libeller comme suit :</w:t>
            </w:r>
          </w:p>
          <w:p w:rsidR="00886826" w:rsidRPr="001B283D" w:rsidRDefault="00886826" w:rsidP="008D4002">
            <w:pPr>
              <w:autoSpaceDE w:val="0"/>
              <w:rPr>
                <w:lang w:val="fr-FR"/>
              </w:rPr>
            </w:pPr>
            <w:r w:rsidRPr="001B283D">
              <w:rPr>
                <w:lang w:val="fr-FR"/>
              </w:rPr>
              <w:t>“Compte tenu de la définition de matériel de reproduction ou de multiplication dans la loi du membre de l</w:t>
            </w:r>
            <w:r w:rsidR="00894570" w:rsidRPr="001B283D">
              <w:rPr>
                <w:lang w:val="fr-FR"/>
              </w:rPr>
              <w:t>’</w:t>
            </w:r>
            <w:r w:rsidRPr="001B283D">
              <w:rPr>
                <w:lang w:val="fr-FR"/>
              </w:rPr>
              <w:t>Union concerné, s</w:t>
            </w:r>
            <w:r w:rsidR="00894570" w:rsidRPr="001B283D">
              <w:rPr>
                <w:lang w:val="fr-FR"/>
              </w:rPr>
              <w:t>’</w:t>
            </w:r>
            <w:r w:rsidRPr="001B283D">
              <w:rPr>
                <w:lang w:val="fr-FR"/>
              </w:rPr>
              <w:t>il y a lieu, la liste des facteurs, ou combinaison de facteurs, suivante – non exhaustive – pourrait être prise en considération pour décider si le matériel est un matériel de reproduction ou de multiplication :</w:t>
            </w:r>
          </w:p>
          <w:p w:rsidR="00886826" w:rsidRPr="001B283D" w:rsidRDefault="00886826" w:rsidP="008D4002">
            <w:pPr>
              <w:rPr>
                <w:lang w:val="fr-FR"/>
              </w:rPr>
            </w:pPr>
          </w:p>
          <w:p w:rsidR="00886826" w:rsidRPr="001B283D" w:rsidRDefault="00886826" w:rsidP="00AD504D">
            <w:pPr>
              <w:pStyle w:val="ListParagraph"/>
              <w:numPr>
                <w:ilvl w:val="0"/>
                <w:numId w:val="4"/>
              </w:numPr>
              <w:ind w:left="1040" w:hanging="473"/>
              <w:rPr>
                <w:lang w:val="fr-FR"/>
              </w:rPr>
            </w:pPr>
            <w:r w:rsidRPr="001B283D">
              <w:rPr>
                <w:lang w:val="fr-FR"/>
              </w:rPr>
              <w:t>indiquer si le matériel a été utilisé pour reproduire ou multiplier la variété;</w:t>
            </w:r>
          </w:p>
          <w:p w:rsidR="00886826" w:rsidRPr="001B283D" w:rsidRDefault="00886826" w:rsidP="00AD504D">
            <w:pPr>
              <w:pStyle w:val="ListParagraph"/>
              <w:numPr>
                <w:ilvl w:val="0"/>
                <w:numId w:val="4"/>
              </w:numPr>
              <w:ind w:left="1040" w:hanging="473"/>
              <w:rPr>
                <w:lang w:val="fr-FR"/>
              </w:rPr>
            </w:pPr>
            <w:r w:rsidRPr="001B283D">
              <w:rPr>
                <w:lang w:val="fr-FR"/>
              </w:rPr>
              <w:t>indiquer si le matériel peut produire des plantes entières de la variété;</w:t>
            </w:r>
          </w:p>
          <w:p w:rsidR="00886826" w:rsidRPr="001B283D" w:rsidRDefault="00886826" w:rsidP="00AD504D">
            <w:pPr>
              <w:ind w:left="1040" w:hanging="473"/>
              <w:rPr>
                <w:lang w:val="fr-FR"/>
              </w:rPr>
            </w:pPr>
            <w:r w:rsidRPr="001B283D">
              <w:rPr>
                <w:lang w:val="fr-FR"/>
              </w:rPr>
              <w:t>iii)</w:t>
            </w:r>
            <w:r w:rsidRPr="001B283D">
              <w:rPr>
                <w:lang w:val="fr-FR"/>
              </w:rPr>
              <w:tab/>
              <w:t>indiquer s</w:t>
            </w:r>
            <w:r w:rsidR="00894570" w:rsidRPr="001B283D">
              <w:rPr>
                <w:lang w:val="fr-FR"/>
              </w:rPr>
              <w:t>’</w:t>
            </w:r>
            <w:r w:rsidRPr="001B283D">
              <w:rPr>
                <w:lang w:val="fr-FR"/>
              </w:rPr>
              <w:t xml:space="preserve">il y a eu une coutume ou pratique consistant à utiliser le matériel à cette fin; </w:t>
            </w:r>
            <w:r w:rsidR="00F2415E" w:rsidRPr="001B283D">
              <w:rPr>
                <w:lang w:val="fr-FR"/>
              </w:rPr>
              <w:t xml:space="preserve"> </w:t>
            </w:r>
            <w:r w:rsidRPr="001B283D">
              <w:rPr>
                <w:lang w:val="fr-FR"/>
              </w:rPr>
              <w:t>ou si, suite à des faits nouveaux, il y a une nouvelle coutume ou pratique consistant à utiliser le matériel à cette fin;</w:t>
            </w:r>
          </w:p>
          <w:p w:rsidR="00894570" w:rsidRPr="001B283D" w:rsidRDefault="00886826" w:rsidP="00AD504D">
            <w:pPr>
              <w:ind w:left="1040" w:hanging="473"/>
              <w:rPr>
                <w:lang w:val="fr-FR"/>
              </w:rPr>
            </w:pPr>
            <w:r w:rsidRPr="001B283D">
              <w:rPr>
                <w:lang w:val="fr-FR"/>
              </w:rPr>
              <w:t>iv)</w:t>
            </w:r>
            <w:r w:rsidRPr="001B283D">
              <w:rPr>
                <w:lang w:val="fr-FR"/>
              </w:rPr>
              <w:tab/>
              <w:t>indiquer l</w:t>
            </w:r>
            <w:r w:rsidR="00894570" w:rsidRPr="001B283D">
              <w:rPr>
                <w:lang w:val="fr-FR"/>
              </w:rPr>
              <w:t>’</w:t>
            </w:r>
            <w:r w:rsidRPr="001B283D">
              <w:rPr>
                <w:lang w:val="fr-FR"/>
              </w:rPr>
              <w:t>intention de la part des personnes concernées (producteur, vendeur, fournisseur, acheteur, destinataire, utilisateur);</w:t>
            </w:r>
          </w:p>
          <w:p w:rsidR="00886826" w:rsidRPr="001B283D" w:rsidRDefault="00886826" w:rsidP="00880777">
            <w:pPr>
              <w:ind w:left="1513" w:hanging="473"/>
              <w:rPr>
                <w:lang w:val="fr-FR"/>
              </w:rPr>
            </w:pPr>
            <w:r w:rsidRPr="001B283D">
              <w:rPr>
                <w:lang w:val="fr-FR"/>
              </w:rPr>
              <w:t>ou</w:t>
            </w:r>
          </w:p>
          <w:p w:rsidR="00886826" w:rsidRPr="001B283D" w:rsidRDefault="00886826" w:rsidP="00062ED8">
            <w:pPr>
              <w:ind w:left="1040" w:hanging="473"/>
              <w:rPr>
                <w:lang w:val="fr-FR"/>
              </w:rPr>
            </w:pPr>
            <w:r w:rsidRPr="001B283D">
              <w:rPr>
                <w:lang w:val="fr-FR"/>
              </w:rPr>
              <w:t>v)</w:t>
            </w:r>
            <w:r w:rsidRPr="001B283D">
              <w:rPr>
                <w:lang w:val="fr-FR"/>
              </w:rPr>
              <w:tab/>
              <w:t xml:space="preserve">si, sur la base de la nature et de la condition du matériel et/ou de la forme de son utilisation, il peut être établi que le matériel est du </w:t>
            </w:r>
            <w:r w:rsidR="00062ED8" w:rsidRPr="001B283D">
              <w:rPr>
                <w:lang w:val="fr-FR"/>
              </w:rPr>
              <w:t>‘</w:t>
            </w:r>
            <w:r w:rsidRPr="001B283D">
              <w:rPr>
                <w:lang w:val="fr-FR"/>
              </w:rPr>
              <w:t>matériel de reproduction ou de multiplication</w:t>
            </w:r>
            <w:r w:rsidR="00062ED8" w:rsidRPr="001B283D">
              <w:rPr>
                <w:lang w:val="fr-FR"/>
              </w:rPr>
              <w:t>’</w:t>
            </w:r>
            <w:r w:rsidRPr="001B283D">
              <w:rPr>
                <w:lang w:val="fr-FR"/>
              </w:rPr>
              <w:t>”.</w:t>
            </w:r>
          </w:p>
        </w:tc>
      </w:tr>
    </w:tbl>
    <w:p w:rsidR="00886826" w:rsidRPr="001B283D" w:rsidRDefault="00886826" w:rsidP="00F258D2">
      <w:pPr>
        <w:rPr>
          <w:lang w:val="fr-FR"/>
        </w:rPr>
      </w:pPr>
    </w:p>
    <w:p w:rsidR="00886826" w:rsidRPr="001B283D" w:rsidRDefault="00886826" w:rsidP="00F258D2">
      <w:pPr>
        <w:rPr>
          <w:lang w:val="fr-FR"/>
        </w:rPr>
      </w:pPr>
    </w:p>
    <w:p w:rsidR="00886826" w:rsidRPr="001B283D" w:rsidRDefault="00886826" w:rsidP="005E142A">
      <w:pPr>
        <w:pStyle w:val="Heading2"/>
        <w:rPr>
          <w:lang w:val="fr-FR"/>
        </w:rPr>
      </w:pPr>
      <w:r w:rsidRPr="001B283D">
        <w:rPr>
          <w:lang w:val="fr-FR"/>
        </w:rPr>
        <w:t xml:space="preserve">Notes explicatives sur les actes </w:t>
      </w:r>
      <w:r w:rsidR="00894570" w:rsidRPr="001B283D">
        <w:rPr>
          <w:lang w:val="fr-FR"/>
        </w:rPr>
        <w:t>à l’égard</w:t>
      </w:r>
      <w:r w:rsidRPr="001B283D">
        <w:rPr>
          <w:lang w:val="fr-FR"/>
        </w:rPr>
        <w:t xml:space="preserve"> du produit de la récolte selon l</w:t>
      </w:r>
      <w:r w:rsidR="00894570" w:rsidRPr="001B283D">
        <w:rPr>
          <w:lang w:val="fr-FR"/>
        </w:rPr>
        <w:t>’</w:t>
      </w:r>
      <w:r w:rsidR="009B6D72">
        <w:rPr>
          <w:lang w:val="fr-FR"/>
        </w:rPr>
        <w:t>A</w:t>
      </w:r>
      <w:r w:rsidRPr="001B283D">
        <w:rPr>
          <w:lang w:val="fr-FR"/>
        </w:rPr>
        <w:t>cte de</w:t>
      </w:r>
      <w:r w:rsidR="00F2415E" w:rsidRPr="001B283D">
        <w:rPr>
          <w:lang w:val="fr-FR"/>
        </w:rPr>
        <w:t> </w:t>
      </w:r>
      <w:r w:rsidRPr="001B283D">
        <w:rPr>
          <w:lang w:val="fr-FR"/>
        </w:rPr>
        <w:t xml:space="preserve">1991 de la </w:t>
      </w:r>
      <w:r w:rsidR="009B6D72" w:rsidRPr="001B283D">
        <w:rPr>
          <w:lang w:val="fr-FR"/>
        </w:rPr>
        <w:t xml:space="preserve">Convention </w:t>
      </w:r>
      <w:r w:rsidR="009B6D72">
        <w:rPr>
          <w:lang w:val="fr-FR"/>
        </w:rPr>
        <w:t xml:space="preserve">UPOV </w:t>
      </w:r>
      <w:r w:rsidRPr="001B283D">
        <w:rPr>
          <w:lang w:val="fr-FR"/>
        </w:rPr>
        <w:t>(révision)</w:t>
      </w:r>
    </w:p>
    <w:p w:rsidR="00886826" w:rsidRPr="001B283D" w:rsidRDefault="00886826" w:rsidP="00F258D2">
      <w:pPr>
        <w:keepNext/>
        <w:rPr>
          <w:lang w:val="fr-FR"/>
        </w:rPr>
      </w:pPr>
    </w:p>
    <w:p w:rsidR="00886826" w:rsidRPr="001B283D" w:rsidRDefault="00886826" w:rsidP="00F258D2">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Le CAJ</w:t>
      </w:r>
      <w:r w:rsidR="00A27C5B" w:rsidRPr="001B283D">
        <w:rPr>
          <w:lang w:val="fr-FR"/>
        </w:rPr>
        <w:noBreakHyphen/>
      </w:r>
      <w:r w:rsidRPr="001B283D">
        <w:rPr>
          <w:lang w:val="fr-FR"/>
        </w:rPr>
        <w:t>AG examine le document UPOV/EXN/HRV/2 Draft 2 et les opinions formulées par l</w:t>
      </w:r>
      <w:r w:rsidR="00894570" w:rsidRPr="001B283D">
        <w:rPr>
          <w:lang w:val="fr-FR"/>
        </w:rPr>
        <w:t>’</w:t>
      </w:r>
      <w:r w:rsidRPr="001B283D">
        <w:rPr>
          <w:lang w:val="fr-FR"/>
        </w:rPr>
        <w:t>AIPH, l</w:t>
      </w:r>
      <w:r w:rsidR="00894570" w:rsidRPr="001B283D">
        <w:rPr>
          <w:lang w:val="fr-FR"/>
        </w:rPr>
        <w:t>’</w:t>
      </w:r>
      <w:r w:rsidRPr="001B283D">
        <w:rPr>
          <w:lang w:val="fr-FR"/>
        </w:rPr>
        <w:t>APBREBES,</w:t>
      </w:r>
      <w:r w:rsidR="00894570" w:rsidRPr="001B283D">
        <w:rPr>
          <w:lang w:val="fr-FR"/>
        </w:rPr>
        <w:t xml:space="preserve"> la CIO</w:t>
      </w:r>
      <w:r w:rsidRPr="001B283D">
        <w:rPr>
          <w:lang w:val="fr-FR"/>
        </w:rPr>
        <w:t>PORA et l</w:t>
      </w:r>
      <w:r w:rsidR="00894570" w:rsidRPr="001B283D">
        <w:rPr>
          <w:lang w:val="fr-FR"/>
        </w:rPr>
        <w:t>’</w:t>
      </w:r>
      <w:r w:rsidRPr="001B283D">
        <w:rPr>
          <w:lang w:val="fr-FR"/>
        </w:rPr>
        <w:t>ESA.</w:t>
      </w:r>
    </w:p>
    <w:p w:rsidR="00886826" w:rsidRPr="001B283D" w:rsidRDefault="00886826" w:rsidP="00F258D2">
      <w:pPr>
        <w:rPr>
          <w:lang w:val="fr-FR"/>
        </w:rPr>
      </w:pPr>
    </w:p>
    <w:p w:rsidR="00886826" w:rsidRPr="001B283D" w:rsidRDefault="00886826" w:rsidP="00F258D2">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r>
      <w:r w:rsidR="00894570" w:rsidRPr="001B283D">
        <w:rPr>
          <w:lang w:val="fr-FR"/>
        </w:rPr>
        <w:t>Le CAJ</w:t>
      </w:r>
      <w:r w:rsidR="00A27C5B" w:rsidRPr="001B283D">
        <w:rPr>
          <w:lang w:val="fr-FR"/>
        </w:rPr>
        <w:noBreakHyphen/>
      </w:r>
      <w:r w:rsidRPr="001B283D">
        <w:rPr>
          <w:lang w:val="fr-FR"/>
        </w:rPr>
        <w:t>AG conclut qu</w:t>
      </w:r>
      <w:r w:rsidR="00894570" w:rsidRPr="001B283D">
        <w:rPr>
          <w:lang w:val="fr-FR"/>
        </w:rPr>
        <w:t>’</w:t>
      </w:r>
      <w:r w:rsidRPr="001B283D">
        <w:rPr>
          <w:lang w:val="fr-FR"/>
        </w:rPr>
        <w:t xml:space="preserve">il ne serait pas approprié pour le moment de chercher à élaborer une révision du </w:t>
      </w:r>
      <w:r w:rsidR="00894570" w:rsidRPr="001B283D">
        <w:rPr>
          <w:lang w:val="fr-FR"/>
        </w:rPr>
        <w:t>document UP</w:t>
      </w:r>
      <w:r w:rsidRPr="001B283D">
        <w:rPr>
          <w:lang w:val="fr-FR"/>
        </w:rPr>
        <w:t>OV/EXN/HRV/1.</w:t>
      </w:r>
    </w:p>
    <w:p w:rsidR="00886826" w:rsidRPr="001B283D" w:rsidRDefault="00886826" w:rsidP="00975941">
      <w:pPr>
        <w:keepNext/>
        <w:rPr>
          <w:lang w:val="fr-FR"/>
        </w:rPr>
      </w:pPr>
    </w:p>
    <w:p w:rsidR="00886826" w:rsidRPr="001B283D" w:rsidRDefault="00886826" w:rsidP="00BB0894">
      <w:pPr>
        <w:rPr>
          <w:lang w:val="fr-FR"/>
        </w:rPr>
      </w:pPr>
    </w:p>
    <w:p w:rsidR="00886826" w:rsidRPr="001B283D" w:rsidRDefault="00886826" w:rsidP="005E142A">
      <w:pPr>
        <w:pStyle w:val="Heading2"/>
        <w:rPr>
          <w:lang w:val="fr-FR"/>
        </w:rPr>
      </w:pPr>
      <w:r w:rsidRPr="001B283D">
        <w:rPr>
          <w:lang w:val="fr-FR"/>
        </w:rPr>
        <w:t>Notes explicatives sur la déchéance de l</w:t>
      </w:r>
      <w:r w:rsidR="00894570" w:rsidRPr="001B283D">
        <w:rPr>
          <w:lang w:val="fr-FR"/>
        </w:rPr>
        <w:t>’</w:t>
      </w:r>
      <w:r w:rsidRPr="001B283D">
        <w:rPr>
          <w:lang w:val="fr-FR"/>
        </w:rPr>
        <w:t xml:space="preserve">obtenteur selon la </w:t>
      </w:r>
      <w:r w:rsidR="00894570" w:rsidRPr="001B283D">
        <w:rPr>
          <w:lang w:val="fr-FR"/>
        </w:rPr>
        <w:t>Convention UPOV</w:t>
      </w:r>
      <w:r w:rsidRPr="001B283D">
        <w:rPr>
          <w:lang w:val="fr-FR"/>
        </w:rPr>
        <w:t xml:space="preserve"> (Révision)</w:t>
      </w:r>
    </w:p>
    <w:p w:rsidR="00886826" w:rsidRPr="001B283D" w:rsidRDefault="00886826" w:rsidP="000E2821">
      <w:pPr>
        <w:keepNext/>
        <w:rPr>
          <w:lang w:val="fr-FR"/>
        </w:rPr>
      </w:pPr>
    </w:p>
    <w:p w:rsidR="00886826" w:rsidRPr="001B283D" w:rsidRDefault="00886826" w:rsidP="005E3982">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001B283D">
        <w:rPr>
          <w:lang w:val="fr-FR"/>
        </w:rPr>
        <w:tab/>
        <w:t>Le CAJ</w:t>
      </w:r>
      <w:r w:rsidR="001B283D">
        <w:rPr>
          <w:lang w:val="fr-FR"/>
        </w:rPr>
        <w:noBreakHyphen/>
      </w:r>
      <w:r w:rsidRPr="001B283D">
        <w:rPr>
          <w:lang w:val="fr-FR"/>
        </w:rPr>
        <w:t>AG examine le document UPOV/EXN/CAN/2 Draft 2 et les opinions formulées par CropLife International.</w:t>
      </w:r>
    </w:p>
    <w:p w:rsidR="00886826" w:rsidRPr="001B283D" w:rsidRDefault="00886826" w:rsidP="005E3982">
      <w:pPr>
        <w:rPr>
          <w:lang w:val="fr-FR"/>
        </w:rPr>
      </w:pPr>
    </w:p>
    <w:p w:rsidR="00886826" w:rsidRPr="001B283D" w:rsidRDefault="00886826">
      <w:pPr>
        <w:jc w:val="left"/>
        <w:rPr>
          <w:lang w:val="fr-FR"/>
        </w:rPr>
      </w:pPr>
      <w:r w:rsidRPr="001B283D">
        <w:rPr>
          <w:lang w:val="fr-FR"/>
        </w:rPr>
        <w:br w:type="page"/>
      </w:r>
    </w:p>
    <w:p w:rsidR="00886826" w:rsidRPr="001B283D" w:rsidRDefault="00886826" w:rsidP="000E2821">
      <w:pPr>
        <w:keepNext/>
        <w:rPr>
          <w:lang w:val="fr-FR"/>
        </w:rPr>
      </w:pPr>
      <w:r w:rsidRPr="001B283D">
        <w:rPr>
          <w:lang w:val="fr-FR"/>
        </w:rPr>
        <w:lastRenderedPageBreak/>
        <w:fldChar w:fldCharType="begin"/>
      </w:r>
      <w:r w:rsidRPr="001B283D">
        <w:rPr>
          <w:lang w:val="fr-FR"/>
        </w:rPr>
        <w:instrText xml:space="preserve"> AUTONUM  </w:instrText>
      </w:r>
      <w:r w:rsidRPr="001B283D">
        <w:rPr>
          <w:lang w:val="fr-FR"/>
        </w:rPr>
        <w:fldChar w:fldCharType="end"/>
      </w:r>
      <w:r w:rsidRPr="001B283D">
        <w:rPr>
          <w:lang w:val="fr-FR"/>
        </w:rPr>
        <w:tab/>
        <w:t>Le CAJ­AG convient d</w:t>
      </w:r>
      <w:r w:rsidR="00894570" w:rsidRPr="001B283D">
        <w:rPr>
          <w:lang w:val="fr-FR"/>
        </w:rPr>
        <w:t>’</w:t>
      </w:r>
      <w:r w:rsidRPr="001B283D">
        <w:rPr>
          <w:lang w:val="fr-FR"/>
        </w:rPr>
        <w:t>apporter les modifications suivantes au document UPOV/EXN/CAN/2 Draft 2</w:t>
      </w:r>
      <w:r w:rsidR="00F2415E" w:rsidRPr="001B283D">
        <w:rPr>
          <w:lang w:val="fr-FR"/>
        </w:rPr>
        <w:t> </w:t>
      </w:r>
      <w:r w:rsidRPr="001B283D">
        <w:rPr>
          <w:lang w:val="fr-FR"/>
        </w:rPr>
        <w:t>:</w:t>
      </w:r>
    </w:p>
    <w:p w:rsidR="00886826" w:rsidRPr="001B283D" w:rsidRDefault="00886826" w:rsidP="000E2821">
      <w:pPr>
        <w:keepNext/>
        <w:rPr>
          <w:lang w:val="fr-FR"/>
        </w:rPr>
      </w:pPr>
    </w:p>
    <w:tbl>
      <w:tblPr>
        <w:tblW w:w="9129"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57" w:type="dxa"/>
          <w:left w:w="57" w:type="dxa"/>
          <w:bottom w:w="28" w:type="dxa"/>
          <w:right w:w="115" w:type="dxa"/>
        </w:tblCellMar>
        <w:tblLook w:val="0000" w:firstRow="0" w:lastRow="0" w:firstColumn="0" w:lastColumn="0" w:noHBand="0" w:noVBand="0"/>
      </w:tblPr>
      <w:tblGrid>
        <w:gridCol w:w="1472"/>
        <w:gridCol w:w="7657"/>
      </w:tblGrid>
      <w:tr w:rsidR="001B283D" w:rsidRPr="001B283D" w:rsidTr="00081A2A">
        <w:trPr>
          <w:cantSplit/>
          <w:jc w:val="center"/>
        </w:trPr>
        <w:tc>
          <w:tcPr>
            <w:tcW w:w="1472" w:type="dxa"/>
          </w:tcPr>
          <w:p w:rsidR="00886826" w:rsidRPr="001B283D" w:rsidRDefault="00886826" w:rsidP="00081A2A">
            <w:pPr>
              <w:spacing w:before="40" w:after="40"/>
              <w:jc w:val="left"/>
              <w:rPr>
                <w:lang w:val="fr-FR"/>
              </w:rPr>
            </w:pPr>
            <w:r w:rsidRPr="001B283D">
              <w:rPr>
                <w:lang w:val="fr-FR"/>
              </w:rPr>
              <w:t>Titre – page de couverture</w:t>
            </w:r>
          </w:p>
        </w:tc>
        <w:tc>
          <w:tcPr>
            <w:tcW w:w="7657" w:type="dxa"/>
          </w:tcPr>
          <w:p w:rsidR="00886826" w:rsidRPr="001B283D" w:rsidRDefault="00886826" w:rsidP="006E59EC">
            <w:pPr>
              <w:spacing w:before="40" w:after="40"/>
              <w:rPr>
                <w:snapToGrid w:val="0"/>
                <w:lang w:val="fr-FR"/>
              </w:rPr>
            </w:pPr>
            <w:r w:rsidRPr="001B283D">
              <w:rPr>
                <w:snapToGrid w:val="0"/>
                <w:lang w:val="fr-FR"/>
              </w:rPr>
              <w:t>Supprimer “l</w:t>
            </w:r>
            <w:r w:rsidR="00894570" w:rsidRPr="001B283D">
              <w:rPr>
                <w:snapToGrid w:val="0"/>
                <w:lang w:val="fr-FR"/>
              </w:rPr>
              <w:t>’</w:t>
            </w:r>
            <w:r w:rsidRPr="001B283D">
              <w:rPr>
                <w:snapToGrid w:val="0"/>
                <w:lang w:val="fr-FR"/>
              </w:rPr>
              <w:t>Acte de</w:t>
            </w:r>
            <w:r w:rsidR="00F2415E" w:rsidRPr="001B283D">
              <w:rPr>
                <w:snapToGrid w:val="0"/>
                <w:lang w:val="fr-FR"/>
              </w:rPr>
              <w:t> </w:t>
            </w:r>
            <w:r w:rsidRPr="001B283D">
              <w:rPr>
                <w:snapToGrid w:val="0"/>
                <w:lang w:val="fr-FR"/>
              </w:rPr>
              <w:t>1991”</w:t>
            </w:r>
          </w:p>
        </w:tc>
      </w:tr>
      <w:tr w:rsidR="001B283D" w:rsidRPr="001B283D" w:rsidTr="00081A2A">
        <w:trPr>
          <w:cantSplit/>
          <w:jc w:val="center"/>
        </w:trPr>
        <w:tc>
          <w:tcPr>
            <w:tcW w:w="1472" w:type="dxa"/>
          </w:tcPr>
          <w:p w:rsidR="00886826" w:rsidRPr="001B283D" w:rsidRDefault="00886826" w:rsidP="00081A2A">
            <w:pPr>
              <w:spacing w:before="40" w:after="40"/>
              <w:jc w:val="left"/>
              <w:rPr>
                <w:lang w:val="fr-FR"/>
              </w:rPr>
            </w:pPr>
            <w:r w:rsidRPr="001B283D">
              <w:rPr>
                <w:lang w:val="fr-FR"/>
              </w:rPr>
              <w:t>Paragraphe 6</w:t>
            </w:r>
          </w:p>
        </w:tc>
        <w:tc>
          <w:tcPr>
            <w:tcW w:w="7657" w:type="dxa"/>
          </w:tcPr>
          <w:p w:rsidR="00886826" w:rsidRPr="001B283D" w:rsidRDefault="00886826" w:rsidP="00485444">
            <w:pPr>
              <w:pStyle w:val="Style1"/>
              <w:tabs>
                <w:tab w:val="clear" w:pos="907"/>
                <w:tab w:val="clear" w:pos="1077"/>
              </w:tabs>
              <w:rPr>
                <w:lang w:val="fr-FR"/>
              </w:rPr>
            </w:pPr>
            <w:r w:rsidRPr="001B283D">
              <w:rPr>
                <w:lang w:val="fr-FR"/>
              </w:rPr>
              <w:t>Remplacer par</w:t>
            </w:r>
            <w:r w:rsidR="00F2415E" w:rsidRPr="001B283D">
              <w:rPr>
                <w:lang w:val="fr-FR"/>
              </w:rPr>
              <w:t> </w:t>
            </w:r>
            <w:r w:rsidRPr="001B283D">
              <w:rPr>
                <w:lang w:val="fr-FR"/>
              </w:rPr>
              <w:t>:</w:t>
            </w:r>
          </w:p>
          <w:p w:rsidR="00886826" w:rsidRPr="001B283D" w:rsidRDefault="00886826" w:rsidP="00485444">
            <w:pPr>
              <w:pStyle w:val="Style1"/>
              <w:tabs>
                <w:tab w:val="clear" w:pos="907"/>
                <w:tab w:val="clear" w:pos="1077"/>
              </w:tabs>
              <w:rPr>
                <w:lang w:val="fr-FR"/>
              </w:rPr>
            </w:pPr>
          </w:p>
          <w:p w:rsidR="00886826" w:rsidRPr="001B283D" w:rsidRDefault="00886826" w:rsidP="00081A2A">
            <w:pPr>
              <w:rPr>
                <w:sz w:val="24"/>
                <w:szCs w:val="24"/>
                <w:lang w:val="fr-FR"/>
              </w:rPr>
            </w:pPr>
            <w:r w:rsidRPr="001B283D">
              <w:rPr>
                <w:lang w:val="fr-FR"/>
              </w:rPr>
              <w:t>6.  La déchéance d</w:t>
            </w:r>
            <w:r w:rsidR="00894570" w:rsidRPr="001B283D">
              <w:rPr>
                <w:lang w:val="fr-FR"/>
              </w:rPr>
              <w:t>’</w:t>
            </w:r>
            <w:r w:rsidRPr="001B283D">
              <w:rPr>
                <w:lang w:val="fr-FR"/>
              </w:rPr>
              <w:t>un droit d</w:t>
            </w:r>
            <w:r w:rsidR="00894570" w:rsidRPr="001B283D">
              <w:rPr>
                <w:lang w:val="fr-FR"/>
              </w:rPr>
              <w:t>’</w:t>
            </w:r>
            <w:r w:rsidRPr="001B283D">
              <w:rPr>
                <w:lang w:val="fr-FR"/>
              </w:rPr>
              <w:t>obtenteur est différente de l</w:t>
            </w:r>
            <w:r w:rsidR="00894570" w:rsidRPr="001B283D">
              <w:rPr>
                <w:lang w:val="fr-FR"/>
              </w:rPr>
              <w:t>’</w:t>
            </w:r>
            <w:r w:rsidRPr="001B283D">
              <w:rPr>
                <w:lang w:val="fr-FR"/>
              </w:rPr>
              <w:t xml:space="preserve">abandon de ce droit ou de la renonciation audit droit. </w:t>
            </w:r>
            <w:r w:rsidR="00F2415E" w:rsidRPr="001B283D">
              <w:rPr>
                <w:lang w:val="fr-FR"/>
              </w:rPr>
              <w:t xml:space="preserve"> </w:t>
            </w:r>
            <w:r w:rsidRPr="001B283D">
              <w:rPr>
                <w:highlight w:val="lightGray"/>
                <w:u w:val="single"/>
                <w:lang w:val="fr-FR"/>
              </w:rPr>
              <w:t>La déchéance d</w:t>
            </w:r>
            <w:r w:rsidR="00894570" w:rsidRPr="001B283D">
              <w:rPr>
                <w:highlight w:val="lightGray"/>
                <w:u w:val="single"/>
                <w:lang w:val="fr-FR"/>
              </w:rPr>
              <w:t>’</w:t>
            </w:r>
            <w:r w:rsidRPr="001B283D">
              <w:rPr>
                <w:highlight w:val="lightGray"/>
                <w:u w:val="single"/>
                <w:lang w:val="fr-FR"/>
              </w:rPr>
              <w:t>un droit d</w:t>
            </w:r>
            <w:r w:rsidR="00894570" w:rsidRPr="001B283D">
              <w:rPr>
                <w:highlight w:val="lightGray"/>
                <w:u w:val="single"/>
                <w:lang w:val="fr-FR"/>
              </w:rPr>
              <w:t>’</w:t>
            </w:r>
            <w:r w:rsidRPr="001B283D">
              <w:rPr>
                <w:highlight w:val="lightGray"/>
                <w:u w:val="single"/>
                <w:lang w:val="fr-FR"/>
              </w:rPr>
              <w:t>obtenteur doit faire l</w:t>
            </w:r>
            <w:r w:rsidR="00894570" w:rsidRPr="001B283D">
              <w:rPr>
                <w:highlight w:val="lightGray"/>
                <w:u w:val="single"/>
                <w:lang w:val="fr-FR"/>
              </w:rPr>
              <w:t>’</w:t>
            </w:r>
            <w:r w:rsidRPr="001B283D">
              <w:rPr>
                <w:highlight w:val="lightGray"/>
                <w:u w:val="single"/>
                <w:lang w:val="fr-FR"/>
              </w:rPr>
              <w:t>objet d</w:t>
            </w:r>
            <w:r w:rsidR="00894570" w:rsidRPr="001B283D">
              <w:rPr>
                <w:highlight w:val="lightGray"/>
                <w:u w:val="single"/>
                <w:lang w:val="fr-FR"/>
              </w:rPr>
              <w:t>’</w:t>
            </w:r>
            <w:r w:rsidRPr="001B283D">
              <w:rPr>
                <w:highlight w:val="lightGray"/>
                <w:u w:val="single"/>
                <w:lang w:val="fr-FR"/>
              </w:rPr>
              <w:t xml:space="preserve">une décision du service compétent conformément à la </w:t>
            </w:r>
            <w:r w:rsidR="00894570" w:rsidRPr="001B283D">
              <w:rPr>
                <w:highlight w:val="lightGray"/>
                <w:u w:val="single"/>
                <w:lang w:val="fr-FR"/>
              </w:rPr>
              <w:t>Convention UPOV</w:t>
            </w:r>
            <w:r w:rsidRPr="001B283D">
              <w:rPr>
                <w:highlight w:val="lightGray"/>
                <w:u w:val="single"/>
                <w:lang w:val="fr-FR"/>
              </w:rPr>
              <w:t xml:space="preserve"> (voir paragraphe</w:t>
            </w:r>
            <w:r w:rsidR="00F2415E" w:rsidRPr="001B283D">
              <w:rPr>
                <w:highlight w:val="lightGray"/>
                <w:u w:val="single"/>
                <w:lang w:val="fr-FR"/>
              </w:rPr>
              <w:t> </w:t>
            </w:r>
            <w:r w:rsidRPr="001B283D">
              <w:rPr>
                <w:highlight w:val="lightGray"/>
                <w:u w:val="single"/>
                <w:lang w:val="fr-FR"/>
              </w:rPr>
              <w:t>3).</w:t>
            </w:r>
            <w:r w:rsidR="00F2415E" w:rsidRPr="001B283D">
              <w:rPr>
                <w:highlight w:val="lightGray"/>
                <w:u w:val="single"/>
                <w:lang w:val="fr-FR"/>
              </w:rPr>
              <w:t xml:space="preserve"> </w:t>
            </w:r>
            <w:r w:rsidRPr="001B283D">
              <w:rPr>
                <w:highlight w:val="lightGray"/>
                <w:u w:val="single"/>
                <w:lang w:val="fr-FR"/>
              </w:rPr>
              <w:t xml:space="preserve"> Par contre,</w:t>
            </w:r>
            <w:r w:rsidRPr="001B283D">
              <w:rPr>
                <w:lang w:val="fr-FR"/>
              </w:rPr>
              <w:t xml:space="preserve"> l</w:t>
            </w:r>
            <w:r w:rsidR="00894570" w:rsidRPr="001B283D">
              <w:rPr>
                <w:lang w:val="fr-FR"/>
              </w:rPr>
              <w:t>’</w:t>
            </w:r>
            <w:r w:rsidRPr="001B283D">
              <w:rPr>
                <w:lang w:val="fr-FR"/>
              </w:rPr>
              <w:t>abandon du droit d</w:t>
            </w:r>
            <w:r w:rsidR="00894570" w:rsidRPr="001B283D">
              <w:rPr>
                <w:lang w:val="fr-FR"/>
              </w:rPr>
              <w:t>’</w:t>
            </w:r>
            <w:r w:rsidRPr="001B283D">
              <w:rPr>
                <w:lang w:val="fr-FR"/>
              </w:rPr>
              <w:t>obtenteur est une décision unilatérale que prend le titulaire du droit d</w:t>
            </w:r>
            <w:r w:rsidR="00894570" w:rsidRPr="001B283D">
              <w:rPr>
                <w:lang w:val="fr-FR"/>
              </w:rPr>
              <w:t>’</w:t>
            </w:r>
            <w:r w:rsidRPr="001B283D">
              <w:rPr>
                <w:lang w:val="fr-FR"/>
              </w:rPr>
              <w:t>obtenteur et qui n</w:t>
            </w:r>
            <w:r w:rsidR="00894570" w:rsidRPr="001B283D">
              <w:rPr>
                <w:lang w:val="fr-FR"/>
              </w:rPr>
              <w:t>’</w:t>
            </w:r>
            <w:r w:rsidRPr="001B283D">
              <w:rPr>
                <w:lang w:val="fr-FR"/>
              </w:rPr>
              <w:t>est pas liée au respect d</w:t>
            </w:r>
            <w:r w:rsidR="00894570" w:rsidRPr="001B283D">
              <w:rPr>
                <w:lang w:val="fr-FR"/>
              </w:rPr>
              <w:t>’</w:t>
            </w:r>
            <w:r w:rsidRPr="001B283D">
              <w:rPr>
                <w:lang w:val="fr-FR"/>
              </w:rPr>
              <w:t xml:space="preserve">une quelconque obligation relevant de la </w:t>
            </w:r>
            <w:r w:rsidR="00894570" w:rsidRPr="001B283D">
              <w:rPr>
                <w:lang w:val="fr-FR"/>
              </w:rPr>
              <w:t>Convention UPOV</w:t>
            </w:r>
            <w:r w:rsidRPr="001B283D">
              <w:rPr>
                <w:lang w:val="fr-FR"/>
              </w:rPr>
              <w:t>.  Le titulaire du droit d</w:t>
            </w:r>
            <w:r w:rsidR="00894570" w:rsidRPr="001B283D">
              <w:rPr>
                <w:lang w:val="fr-FR"/>
              </w:rPr>
              <w:t>’</w:t>
            </w:r>
            <w:r w:rsidRPr="001B283D">
              <w:rPr>
                <w:lang w:val="fr-FR"/>
              </w:rPr>
              <w:t xml:space="preserve">obtenteur </w:t>
            </w:r>
            <w:r w:rsidRPr="001B283D">
              <w:rPr>
                <w:strike/>
                <w:highlight w:val="lightGray"/>
                <w:lang w:val="fr-FR"/>
              </w:rPr>
              <w:t>décide</w:t>
            </w:r>
            <w:r w:rsidRPr="001B283D">
              <w:rPr>
                <w:lang w:val="fr-FR"/>
              </w:rPr>
              <w:t xml:space="preserve"> </w:t>
            </w:r>
            <w:r w:rsidRPr="001B283D">
              <w:rPr>
                <w:highlight w:val="lightGray"/>
                <w:u w:val="single"/>
                <w:lang w:val="fr-FR"/>
              </w:rPr>
              <w:t>peut décider</w:t>
            </w:r>
            <w:r w:rsidRPr="001B283D">
              <w:rPr>
                <w:lang w:val="fr-FR"/>
              </w:rPr>
              <w:t xml:space="preserve"> d</w:t>
            </w:r>
            <w:r w:rsidR="00894570" w:rsidRPr="001B283D">
              <w:rPr>
                <w:lang w:val="fr-FR"/>
              </w:rPr>
              <w:t>’</w:t>
            </w:r>
            <w:r w:rsidRPr="001B283D">
              <w:rPr>
                <w:lang w:val="fr-FR"/>
              </w:rPr>
              <w:t>une extinction anticipée en informant le service qui octroie les droits d</w:t>
            </w:r>
            <w:r w:rsidR="00894570" w:rsidRPr="001B283D">
              <w:rPr>
                <w:lang w:val="fr-FR"/>
              </w:rPr>
              <w:t>’</w:t>
            </w:r>
            <w:r w:rsidRPr="001B283D">
              <w:rPr>
                <w:lang w:val="fr-FR"/>
              </w:rPr>
              <w:t xml:space="preserve">obtenteur.  </w:t>
            </w:r>
            <w:r w:rsidRPr="001B283D">
              <w:rPr>
                <w:highlight w:val="lightGray"/>
                <w:u w:val="single"/>
                <w:lang w:val="fr-FR"/>
              </w:rPr>
              <w:t>Le service compétent publie l</w:t>
            </w:r>
            <w:r w:rsidR="00894570" w:rsidRPr="001B283D">
              <w:rPr>
                <w:highlight w:val="lightGray"/>
                <w:u w:val="single"/>
                <w:lang w:val="fr-FR"/>
              </w:rPr>
              <w:t>’</w:t>
            </w:r>
            <w:r w:rsidRPr="001B283D">
              <w:rPr>
                <w:highlight w:val="lightGray"/>
                <w:u w:val="single"/>
                <w:lang w:val="fr-FR"/>
              </w:rPr>
              <w:t>extinction du droit d</w:t>
            </w:r>
            <w:r w:rsidR="00894570" w:rsidRPr="001B283D">
              <w:rPr>
                <w:highlight w:val="lightGray"/>
                <w:u w:val="single"/>
                <w:lang w:val="fr-FR"/>
              </w:rPr>
              <w:t>’</w:t>
            </w:r>
            <w:r w:rsidRPr="001B283D">
              <w:rPr>
                <w:highlight w:val="lightGray"/>
                <w:u w:val="single"/>
                <w:lang w:val="fr-FR"/>
              </w:rPr>
              <w:t>obtenteur</w:t>
            </w:r>
            <w:r w:rsidRPr="001B283D">
              <w:rPr>
                <w:highlight w:val="lightGray"/>
                <w:lang w:val="fr-FR"/>
              </w:rPr>
              <w:t>.</w:t>
            </w:r>
          </w:p>
        </w:tc>
      </w:tr>
      <w:tr w:rsidR="001B283D" w:rsidRPr="001B283D" w:rsidTr="00081A2A">
        <w:trPr>
          <w:cantSplit/>
          <w:jc w:val="center"/>
        </w:trPr>
        <w:tc>
          <w:tcPr>
            <w:tcW w:w="1472" w:type="dxa"/>
          </w:tcPr>
          <w:p w:rsidR="00886826" w:rsidRPr="001B283D" w:rsidRDefault="00886826" w:rsidP="00081A2A">
            <w:pPr>
              <w:spacing w:before="40" w:after="40"/>
              <w:jc w:val="left"/>
              <w:rPr>
                <w:i/>
                <w:iCs/>
                <w:lang w:val="fr-FR"/>
              </w:rPr>
            </w:pPr>
            <w:r w:rsidRPr="001B283D">
              <w:rPr>
                <w:i/>
                <w:iCs/>
                <w:lang w:val="fr-FR"/>
              </w:rPr>
              <w:t xml:space="preserve">Contrôle du maintien de la variété </w:t>
            </w:r>
          </w:p>
        </w:tc>
        <w:tc>
          <w:tcPr>
            <w:tcW w:w="7657" w:type="dxa"/>
          </w:tcPr>
          <w:p w:rsidR="00886826" w:rsidRPr="001B283D" w:rsidRDefault="00886826" w:rsidP="006E59EC">
            <w:pPr>
              <w:spacing w:before="40" w:after="40"/>
              <w:rPr>
                <w:lang w:val="fr-FR"/>
              </w:rPr>
            </w:pPr>
            <w:r w:rsidRPr="001B283D">
              <w:rPr>
                <w:lang w:val="fr-FR"/>
              </w:rPr>
              <w:t>Le CAJ</w:t>
            </w:r>
            <w:r w:rsidR="00A27C5B" w:rsidRPr="001B283D">
              <w:rPr>
                <w:lang w:val="fr-FR"/>
              </w:rPr>
              <w:noBreakHyphen/>
            </w:r>
            <w:r w:rsidRPr="001B283D">
              <w:rPr>
                <w:lang w:val="fr-FR"/>
              </w:rPr>
              <w:t>AG prend note que l</w:t>
            </w:r>
            <w:r w:rsidR="00894570" w:rsidRPr="001B283D">
              <w:rPr>
                <w:lang w:val="fr-FR"/>
              </w:rPr>
              <w:t>’</w:t>
            </w:r>
            <w:r w:rsidRPr="001B283D">
              <w:rPr>
                <w:lang w:val="fr-FR"/>
              </w:rPr>
              <w:t>élaboration d</w:t>
            </w:r>
            <w:r w:rsidR="00894570" w:rsidRPr="001B283D">
              <w:rPr>
                <w:lang w:val="fr-FR"/>
              </w:rPr>
              <w:t>’</w:t>
            </w:r>
            <w:r w:rsidRPr="001B283D">
              <w:rPr>
                <w:lang w:val="fr-FR"/>
              </w:rPr>
              <w:t>orientations sur la section “</w:t>
            </w:r>
            <w:r w:rsidRPr="001B283D">
              <w:rPr>
                <w:i/>
                <w:iCs/>
                <w:lang w:val="fr-FR"/>
              </w:rPr>
              <w:t>Contrôle du maintien de la variété”</w:t>
            </w:r>
            <w:r w:rsidRPr="001B283D">
              <w:rPr>
                <w:lang w:val="fr-FR"/>
              </w:rPr>
              <w:t xml:space="preserve"> devra attendre l</w:t>
            </w:r>
            <w:r w:rsidR="00894570" w:rsidRPr="001B283D">
              <w:rPr>
                <w:lang w:val="fr-FR"/>
              </w:rPr>
              <w:t>’</w:t>
            </w:r>
            <w:r w:rsidRPr="001B283D">
              <w:rPr>
                <w:lang w:val="fr-FR"/>
              </w:rPr>
              <w:t xml:space="preserve">examen par le Comité technique de questions pertinentes sur les descriptions variétales, comme expliqué dans </w:t>
            </w:r>
            <w:r w:rsidR="00AD504D" w:rsidRPr="001B283D">
              <w:rPr>
                <w:lang w:val="fr-FR"/>
              </w:rPr>
              <w:t>la</w:t>
            </w:r>
            <w:r w:rsidRPr="001B283D">
              <w:rPr>
                <w:lang w:val="fr-FR"/>
              </w:rPr>
              <w:t xml:space="preserve"> note du document UPOV/EXN/CAN/2</w:t>
            </w:r>
            <w:r w:rsidR="00AD504D" w:rsidRPr="001B283D">
              <w:rPr>
                <w:lang w:val="fr-FR"/>
              </w:rPr>
              <w:t> Draft </w:t>
            </w:r>
            <w:r w:rsidRPr="001B283D">
              <w:rPr>
                <w:lang w:val="fr-FR"/>
              </w:rPr>
              <w:t>2 (reproduite ci</w:t>
            </w:r>
            <w:r w:rsidR="00A27C5B" w:rsidRPr="001B283D">
              <w:rPr>
                <w:lang w:val="fr-FR"/>
              </w:rPr>
              <w:noBreakHyphen/>
            </w:r>
            <w:r w:rsidRPr="001B283D">
              <w:rPr>
                <w:lang w:val="fr-FR"/>
              </w:rPr>
              <w:t>dessous)</w:t>
            </w:r>
          </w:p>
          <w:p w:rsidR="00886826" w:rsidRPr="001B283D" w:rsidRDefault="00886826" w:rsidP="006E59EC">
            <w:pPr>
              <w:spacing w:before="40" w:after="40"/>
              <w:rPr>
                <w:lang w:val="fr-FR"/>
              </w:rPr>
            </w:pPr>
          </w:p>
          <w:p w:rsidR="00894570" w:rsidRPr="001B283D" w:rsidRDefault="00886826" w:rsidP="0022331F">
            <w:pPr>
              <w:spacing w:before="40" w:after="40"/>
              <w:rPr>
                <w:lang w:val="fr-FR"/>
              </w:rPr>
            </w:pPr>
            <w:r w:rsidRPr="001B283D">
              <w:rPr>
                <w:lang w:val="fr-FR"/>
              </w:rPr>
              <w:t>Note</w:t>
            </w:r>
            <w:r w:rsidR="00F2415E" w:rsidRPr="001B283D">
              <w:rPr>
                <w:lang w:val="fr-FR"/>
              </w:rPr>
              <w:t> </w:t>
            </w:r>
            <w:r w:rsidRPr="001B283D">
              <w:rPr>
                <w:lang w:val="fr-FR"/>
              </w:rPr>
              <w:t>: À sa huitième session tenue à Genève les 21 et 25 octobre 2013,</w:t>
            </w:r>
            <w:r w:rsidR="00894570" w:rsidRPr="001B283D">
              <w:rPr>
                <w:lang w:val="fr-FR"/>
              </w:rPr>
              <w:t xml:space="preserve"> le CAJ</w:t>
            </w:r>
            <w:r w:rsidR="00A27C5B" w:rsidRPr="001B283D">
              <w:rPr>
                <w:lang w:val="fr-FR"/>
              </w:rPr>
              <w:noBreakHyphen/>
            </w:r>
            <w:r w:rsidRPr="001B283D">
              <w:rPr>
                <w:lang w:val="fr-FR"/>
              </w:rPr>
              <w:t>AG a approuvé l</w:t>
            </w:r>
            <w:r w:rsidR="00894570" w:rsidRPr="001B283D">
              <w:rPr>
                <w:lang w:val="fr-FR"/>
              </w:rPr>
              <w:t>’</w:t>
            </w:r>
            <w:r w:rsidRPr="001B283D">
              <w:rPr>
                <w:lang w:val="fr-FR"/>
              </w:rPr>
              <w:t>élaboration d</w:t>
            </w:r>
            <w:r w:rsidR="00894570" w:rsidRPr="001B283D">
              <w:rPr>
                <w:lang w:val="fr-FR"/>
              </w:rPr>
              <w:t>’</w:t>
            </w:r>
            <w:r w:rsidRPr="001B283D">
              <w:rPr>
                <w:lang w:val="fr-FR"/>
              </w:rPr>
              <w:t>orientations sur les points suivants, sur lesquels il a proposé que le Comité technique (TC), sur invitation</w:t>
            </w:r>
            <w:r w:rsidR="00894570" w:rsidRPr="001B283D">
              <w:rPr>
                <w:lang w:val="fr-FR"/>
              </w:rPr>
              <w:t xml:space="preserve"> du CAJ</w:t>
            </w:r>
            <w:r w:rsidRPr="001B283D">
              <w:rPr>
                <w:lang w:val="fr-FR"/>
              </w:rPr>
              <w:t>, se penche dès le départ (voir le paragraphe 73 du document CAJ</w:t>
            </w:r>
            <w:r w:rsidR="00A27C5B" w:rsidRPr="001B283D">
              <w:rPr>
                <w:lang w:val="fr-FR"/>
              </w:rPr>
              <w:noBreakHyphen/>
            </w:r>
            <w:r w:rsidRPr="001B283D">
              <w:rPr>
                <w:lang w:val="fr-FR"/>
              </w:rPr>
              <w:t>AG/13/8/10 “Compte rendu”) :</w:t>
            </w:r>
          </w:p>
          <w:p w:rsidR="00886826" w:rsidRPr="001B283D" w:rsidRDefault="00886826" w:rsidP="0022331F">
            <w:pPr>
              <w:spacing w:before="40" w:after="40"/>
              <w:rPr>
                <w:lang w:val="fr-FR"/>
              </w:rPr>
            </w:pPr>
          </w:p>
          <w:p w:rsidR="00886826" w:rsidRPr="001B283D" w:rsidRDefault="00886826" w:rsidP="000E15FF">
            <w:pPr>
              <w:pStyle w:val="ListParagraph"/>
              <w:numPr>
                <w:ilvl w:val="0"/>
                <w:numId w:val="3"/>
              </w:numPr>
              <w:spacing w:before="40" w:after="40"/>
              <w:ind w:left="56" w:firstLine="514"/>
              <w:rPr>
                <w:lang w:val="fr-FR"/>
              </w:rPr>
            </w:pPr>
            <w:r w:rsidRPr="001B283D">
              <w:rPr>
                <w:lang w:val="fr-FR"/>
              </w:rPr>
              <w:t>l</w:t>
            </w:r>
            <w:r w:rsidR="00894570" w:rsidRPr="001B283D">
              <w:rPr>
                <w:lang w:val="fr-FR"/>
              </w:rPr>
              <w:t>’</w:t>
            </w:r>
            <w:r w:rsidRPr="001B283D">
              <w:rPr>
                <w:lang w:val="fr-FR"/>
              </w:rPr>
              <w:t>utilisation des informations, des documents ou du matériel fournis par l</w:t>
            </w:r>
            <w:r w:rsidR="00894570" w:rsidRPr="001B283D">
              <w:rPr>
                <w:lang w:val="fr-FR"/>
              </w:rPr>
              <w:t>’</w:t>
            </w:r>
            <w:r w:rsidRPr="001B283D">
              <w:rPr>
                <w:lang w:val="fr-FR"/>
              </w:rPr>
              <w:t>obtenteur aux fins du contrôle du maintien de la variété, comme énoncé au paragraphe 15 du document CAJ</w:t>
            </w:r>
            <w:r w:rsidR="00A27C5B" w:rsidRPr="001B283D">
              <w:rPr>
                <w:lang w:val="fr-FR"/>
              </w:rPr>
              <w:noBreakHyphen/>
            </w:r>
            <w:r w:rsidRPr="001B283D">
              <w:rPr>
                <w:lang w:val="fr-FR"/>
              </w:rPr>
              <w:t>AG/13/8/4 “</w:t>
            </w:r>
            <w:r w:rsidRPr="001B283D">
              <w:rPr>
                <w:i/>
                <w:iCs/>
                <w:lang w:val="fr-FR"/>
              </w:rPr>
              <w:t>Questions concernant la déchéance du droit d</w:t>
            </w:r>
            <w:r w:rsidR="00894570" w:rsidRPr="001B283D">
              <w:rPr>
                <w:i/>
                <w:iCs/>
                <w:lang w:val="fr-FR"/>
              </w:rPr>
              <w:t>’</w:t>
            </w:r>
            <w:r w:rsidRPr="001B283D">
              <w:rPr>
                <w:i/>
                <w:iCs/>
                <w:lang w:val="fr-FR"/>
              </w:rPr>
              <w:t>obtenteur</w:t>
            </w:r>
            <w:r w:rsidRPr="001B283D">
              <w:rPr>
                <w:lang w:val="fr-FR"/>
              </w:rPr>
              <w:t>”, en précisant que les informations, les documents ou le matériel pourraient être conservés dans un autre pays;  et</w:t>
            </w:r>
          </w:p>
          <w:p w:rsidR="00886826" w:rsidRPr="001B283D" w:rsidRDefault="00886826" w:rsidP="0022331F">
            <w:pPr>
              <w:spacing w:before="40" w:after="40"/>
              <w:rPr>
                <w:lang w:val="fr-FR"/>
              </w:rPr>
            </w:pPr>
          </w:p>
          <w:p w:rsidR="00886826" w:rsidRPr="001B283D" w:rsidRDefault="00886826" w:rsidP="000E15FF">
            <w:pPr>
              <w:spacing w:before="40" w:after="40"/>
              <w:ind w:left="56" w:firstLine="486"/>
              <w:rPr>
                <w:lang w:val="fr-FR"/>
              </w:rPr>
            </w:pPr>
            <w:r w:rsidRPr="001B283D">
              <w:rPr>
                <w:lang w:val="fr-FR"/>
              </w:rPr>
              <w:t>b)</w:t>
            </w:r>
            <w:r w:rsidRPr="001B283D">
              <w:rPr>
                <w:lang w:val="fr-FR"/>
              </w:rPr>
              <w:tab/>
              <w:t>l</w:t>
            </w:r>
            <w:r w:rsidR="00894570" w:rsidRPr="001B283D">
              <w:rPr>
                <w:lang w:val="fr-FR"/>
              </w:rPr>
              <w:t>’</w:t>
            </w:r>
            <w:r w:rsidRPr="001B283D">
              <w:rPr>
                <w:lang w:val="fr-FR"/>
              </w:rPr>
              <w:t>utilisation de principes directeurs d</w:t>
            </w:r>
            <w:r w:rsidR="00894570" w:rsidRPr="001B283D">
              <w:rPr>
                <w:lang w:val="fr-FR"/>
              </w:rPr>
              <w:t>’</w:t>
            </w:r>
            <w:r w:rsidRPr="001B283D">
              <w:rPr>
                <w:lang w:val="fr-FR"/>
              </w:rPr>
              <w:t>examen aux fins du contrôle du maintien de la variété qui se distinguaient des principes directeurs utilisés pour l</w:t>
            </w:r>
            <w:r w:rsidR="00894570" w:rsidRPr="001B283D">
              <w:rPr>
                <w:lang w:val="fr-FR"/>
              </w:rPr>
              <w:t>’</w:t>
            </w:r>
            <w:r w:rsidRPr="001B283D">
              <w:rPr>
                <w:lang w:val="fr-FR"/>
              </w:rPr>
              <w:t>examen de la distinction, de l</w:t>
            </w:r>
            <w:r w:rsidR="00894570" w:rsidRPr="001B283D">
              <w:rPr>
                <w:lang w:val="fr-FR"/>
              </w:rPr>
              <w:t>’</w:t>
            </w:r>
            <w:r w:rsidRPr="001B283D">
              <w:rPr>
                <w:lang w:val="fr-FR"/>
              </w:rPr>
              <w:t>homogénéité et de la stabilité (examen “DHS”).</w:t>
            </w:r>
          </w:p>
          <w:p w:rsidR="00886826" w:rsidRPr="001B283D" w:rsidRDefault="00886826" w:rsidP="0022331F">
            <w:pPr>
              <w:spacing w:before="40" w:after="40"/>
              <w:rPr>
                <w:lang w:val="fr-FR"/>
              </w:rPr>
            </w:pPr>
          </w:p>
          <w:p w:rsidR="00886826" w:rsidRPr="001B283D" w:rsidRDefault="00886826" w:rsidP="00081A2A">
            <w:pPr>
              <w:spacing w:before="40" w:after="40"/>
              <w:rPr>
                <w:lang w:val="fr-FR"/>
              </w:rPr>
            </w:pPr>
            <w:r w:rsidRPr="001B283D">
              <w:rPr>
                <w:lang w:val="fr-FR"/>
              </w:rPr>
              <w:t>À sa soixante</w:t>
            </w:r>
            <w:r w:rsidR="00A27C5B" w:rsidRPr="001B283D">
              <w:rPr>
                <w:lang w:val="fr-FR"/>
              </w:rPr>
              <w:noBreakHyphen/>
            </w:r>
            <w:r w:rsidRPr="001B283D">
              <w:rPr>
                <w:lang w:val="fr-FR"/>
              </w:rPr>
              <w:t>neuvième session tenue à Genève le 10 avril 2014,</w:t>
            </w:r>
            <w:r w:rsidR="00894570" w:rsidRPr="001B283D">
              <w:rPr>
                <w:lang w:val="fr-FR"/>
              </w:rPr>
              <w:t xml:space="preserve"> le CAJ</w:t>
            </w:r>
            <w:r w:rsidRPr="001B283D">
              <w:rPr>
                <w:lang w:val="fr-FR"/>
              </w:rPr>
              <w:t xml:space="preserve">, conformément à </w:t>
            </w:r>
            <w:r w:rsidR="00AD504D" w:rsidRPr="001B283D">
              <w:rPr>
                <w:lang w:val="fr-FR"/>
              </w:rPr>
              <w:t>la proposition faite par le CAJ</w:t>
            </w:r>
            <w:r w:rsidR="00AD504D" w:rsidRPr="001B283D">
              <w:rPr>
                <w:lang w:val="fr-FR"/>
              </w:rPr>
              <w:noBreakHyphen/>
            </w:r>
            <w:r w:rsidRPr="001B283D">
              <w:rPr>
                <w:lang w:val="fr-FR"/>
              </w:rPr>
              <w:t>AG, est convenu d</w:t>
            </w:r>
            <w:r w:rsidR="00894570" w:rsidRPr="001B283D">
              <w:rPr>
                <w:lang w:val="fr-FR"/>
              </w:rPr>
              <w:t>’</w:t>
            </w:r>
            <w:r w:rsidRPr="001B283D">
              <w:rPr>
                <w:lang w:val="fr-FR"/>
              </w:rPr>
              <w:t>inviter le</w:t>
            </w:r>
            <w:r w:rsidR="00894570" w:rsidRPr="001B283D">
              <w:rPr>
                <w:lang w:val="fr-FR"/>
              </w:rPr>
              <w:t> TC</w:t>
            </w:r>
            <w:r w:rsidRPr="001B283D">
              <w:rPr>
                <w:lang w:val="fr-FR"/>
              </w:rPr>
              <w:t xml:space="preserve"> à examiner l</w:t>
            </w:r>
            <w:r w:rsidR="00894570" w:rsidRPr="001B283D">
              <w:rPr>
                <w:lang w:val="fr-FR"/>
              </w:rPr>
              <w:t>’</w:t>
            </w:r>
            <w:r w:rsidRPr="001B283D">
              <w:rPr>
                <w:lang w:val="fr-FR"/>
              </w:rPr>
              <w:t>élaboration d</w:t>
            </w:r>
            <w:r w:rsidR="00894570" w:rsidRPr="001B283D">
              <w:rPr>
                <w:lang w:val="fr-FR"/>
              </w:rPr>
              <w:t>’</w:t>
            </w:r>
            <w:r w:rsidRPr="001B283D">
              <w:rPr>
                <w:lang w:val="fr-FR"/>
              </w:rPr>
              <w:t>orientations sur certaines questions concernant les descriptions variétales, ainsi qu</w:t>
            </w:r>
            <w:r w:rsidR="00894570" w:rsidRPr="001B283D">
              <w:rPr>
                <w:lang w:val="fr-FR"/>
              </w:rPr>
              <w:t>’</w:t>
            </w:r>
            <w:r w:rsidRPr="001B283D">
              <w:rPr>
                <w:lang w:val="fr-FR"/>
              </w:rPr>
              <w:t>indiqué dans les paragraphes 27 et 28 du document CAJ/69/2 (voir le paragraphe</w:t>
            </w:r>
            <w:r w:rsidR="00F2415E" w:rsidRPr="001B283D">
              <w:rPr>
                <w:lang w:val="fr-FR"/>
              </w:rPr>
              <w:t> </w:t>
            </w:r>
            <w:r w:rsidRPr="001B283D">
              <w:rPr>
                <w:lang w:val="fr-FR"/>
              </w:rPr>
              <w:t>19 du document CAJ/69/13 “Compte rendu”).</w:t>
            </w:r>
          </w:p>
        </w:tc>
      </w:tr>
    </w:tbl>
    <w:p w:rsidR="00886826" w:rsidRPr="001B283D" w:rsidRDefault="00886826" w:rsidP="005E3982">
      <w:pPr>
        <w:rPr>
          <w:lang w:val="fr-FR"/>
        </w:rPr>
      </w:pPr>
    </w:p>
    <w:p w:rsidR="00886826" w:rsidRPr="001B283D" w:rsidRDefault="00886826" w:rsidP="005E3982">
      <w:pPr>
        <w:rPr>
          <w:lang w:val="fr-FR"/>
        </w:rPr>
      </w:pPr>
    </w:p>
    <w:p w:rsidR="00886826" w:rsidRPr="001B283D" w:rsidRDefault="00886826" w:rsidP="005E142A">
      <w:pPr>
        <w:pStyle w:val="Heading2"/>
        <w:rPr>
          <w:lang w:val="fr-FR"/>
        </w:rPr>
      </w:pPr>
      <w:r w:rsidRPr="001B283D">
        <w:rPr>
          <w:lang w:val="fr-FR"/>
        </w:rPr>
        <w:lastRenderedPageBreak/>
        <w:t>Notes explicatives sur la nullité du droit d</w:t>
      </w:r>
      <w:r w:rsidR="00894570" w:rsidRPr="001B283D">
        <w:rPr>
          <w:lang w:val="fr-FR"/>
        </w:rPr>
        <w:t>’</w:t>
      </w:r>
      <w:r w:rsidRPr="001B283D">
        <w:rPr>
          <w:lang w:val="fr-FR"/>
        </w:rPr>
        <w:t xml:space="preserve">obtenteur selon la </w:t>
      </w:r>
      <w:r w:rsidR="00894570" w:rsidRPr="001B283D">
        <w:rPr>
          <w:lang w:val="fr-FR"/>
        </w:rPr>
        <w:t>Convention UPOV</w:t>
      </w:r>
      <w:r w:rsidRPr="001B283D">
        <w:rPr>
          <w:lang w:val="fr-FR"/>
        </w:rPr>
        <w:t xml:space="preserve"> (Révision)</w:t>
      </w:r>
    </w:p>
    <w:p w:rsidR="00886826" w:rsidRPr="001B283D" w:rsidRDefault="00886826" w:rsidP="000E2821">
      <w:pPr>
        <w:keepNext/>
        <w:rPr>
          <w:lang w:val="fr-FR"/>
        </w:rPr>
      </w:pPr>
    </w:p>
    <w:p w:rsidR="00886826" w:rsidRPr="001B283D" w:rsidRDefault="00886826" w:rsidP="009B6D72">
      <w:pPr>
        <w:keepNext/>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000E15FF">
        <w:rPr>
          <w:lang w:val="fr-FR"/>
        </w:rPr>
        <w:tab/>
        <w:t>Le CAJ</w:t>
      </w:r>
      <w:r w:rsidR="000E15FF">
        <w:rPr>
          <w:lang w:val="fr-FR"/>
        </w:rPr>
        <w:noBreakHyphen/>
      </w:r>
      <w:r w:rsidRPr="001B283D">
        <w:rPr>
          <w:lang w:val="fr-FR"/>
        </w:rPr>
        <w:t>AG examine le document UPOV/EXN/NUL/2 Draft 2 et les opinions formulées par l</w:t>
      </w:r>
      <w:r w:rsidR="00894570" w:rsidRPr="001B283D">
        <w:rPr>
          <w:lang w:val="fr-FR"/>
        </w:rPr>
        <w:t>’</w:t>
      </w:r>
      <w:r w:rsidRPr="001B283D">
        <w:rPr>
          <w:lang w:val="fr-FR"/>
        </w:rPr>
        <w:t>ESA.</w:t>
      </w:r>
    </w:p>
    <w:p w:rsidR="00886826" w:rsidRPr="001B283D" w:rsidRDefault="00886826" w:rsidP="009B6D72">
      <w:pPr>
        <w:keepNext/>
        <w:rPr>
          <w:lang w:val="fr-FR"/>
        </w:rPr>
      </w:pPr>
    </w:p>
    <w:p w:rsidR="00886826" w:rsidRPr="001B283D" w:rsidRDefault="00886826" w:rsidP="000E2821">
      <w:pPr>
        <w:keepNext/>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000E15FF">
        <w:rPr>
          <w:lang w:val="fr-FR"/>
        </w:rPr>
        <w:tab/>
        <w:t>Le CAJ</w:t>
      </w:r>
      <w:r w:rsidR="000E15FF">
        <w:rPr>
          <w:lang w:val="fr-FR"/>
        </w:rPr>
        <w:noBreakHyphen/>
      </w:r>
      <w:r w:rsidRPr="001B283D">
        <w:rPr>
          <w:lang w:val="fr-FR"/>
        </w:rPr>
        <w:t>AG approuve les modifications ci</w:t>
      </w:r>
      <w:r w:rsidR="000E15FF">
        <w:rPr>
          <w:rFonts w:ascii="MS Mincho" w:eastAsia="MS Mincho" w:hAnsi="MS Mincho" w:cs="MS Mincho"/>
          <w:lang w:val="fr-FR"/>
        </w:rPr>
        <w:noBreakHyphen/>
      </w:r>
      <w:r w:rsidRPr="001B283D">
        <w:rPr>
          <w:lang w:val="fr-FR"/>
        </w:rPr>
        <w:t>après du document UPOV/EXN/NUL/2 Draft 2</w:t>
      </w:r>
      <w:r w:rsidR="00F2415E" w:rsidRPr="001B283D">
        <w:rPr>
          <w:lang w:val="fr-FR"/>
        </w:rPr>
        <w:t> </w:t>
      </w:r>
      <w:r w:rsidRPr="001B283D">
        <w:rPr>
          <w:lang w:val="fr-FR"/>
        </w:rPr>
        <w:t>:</w:t>
      </w:r>
    </w:p>
    <w:p w:rsidR="00886826" w:rsidRPr="001B283D" w:rsidRDefault="00886826" w:rsidP="000E2821">
      <w:pPr>
        <w:keepNext/>
        <w:rPr>
          <w:lang w:val="fr-FR"/>
        </w:rPr>
      </w:pPr>
    </w:p>
    <w:tbl>
      <w:tblPr>
        <w:tblW w:w="9180"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57" w:type="dxa"/>
          <w:left w:w="57" w:type="dxa"/>
          <w:bottom w:w="28" w:type="dxa"/>
          <w:right w:w="115" w:type="dxa"/>
        </w:tblCellMar>
        <w:tblLook w:val="0000" w:firstRow="0" w:lastRow="0" w:firstColumn="0" w:lastColumn="0" w:noHBand="0" w:noVBand="0"/>
      </w:tblPr>
      <w:tblGrid>
        <w:gridCol w:w="1391"/>
        <w:gridCol w:w="7789"/>
      </w:tblGrid>
      <w:tr w:rsidR="000E15FF" w:rsidRPr="001B283D" w:rsidTr="00081A2A">
        <w:trPr>
          <w:cantSplit/>
          <w:jc w:val="center"/>
        </w:trPr>
        <w:tc>
          <w:tcPr>
            <w:tcW w:w="1391" w:type="dxa"/>
          </w:tcPr>
          <w:p w:rsidR="00886826" w:rsidRPr="001B283D" w:rsidRDefault="00E0633E" w:rsidP="005E142A">
            <w:pPr>
              <w:spacing w:before="40" w:after="40"/>
              <w:rPr>
                <w:lang w:val="fr-FR"/>
              </w:rPr>
            </w:pPr>
            <w:r>
              <w:rPr>
                <w:lang w:val="fr-FR"/>
              </w:rPr>
              <w:t>Paragraphe 9</w:t>
            </w:r>
          </w:p>
        </w:tc>
        <w:tc>
          <w:tcPr>
            <w:tcW w:w="7789" w:type="dxa"/>
          </w:tcPr>
          <w:p w:rsidR="00886826" w:rsidRPr="001B283D" w:rsidRDefault="00886826" w:rsidP="00081A2A">
            <w:pPr>
              <w:rPr>
                <w:u w:val="single"/>
                <w:lang w:val="fr-FR"/>
              </w:rPr>
            </w:pPr>
            <w:r w:rsidRPr="001B283D">
              <w:rPr>
                <w:highlight w:val="lightGray"/>
                <w:u w:val="single"/>
                <w:lang w:val="fr-FR"/>
              </w:rPr>
              <w:t>9.  La décision de déclarer un droit d</w:t>
            </w:r>
            <w:r w:rsidR="00894570" w:rsidRPr="001B283D">
              <w:rPr>
                <w:highlight w:val="lightGray"/>
                <w:u w:val="single"/>
                <w:lang w:val="fr-FR"/>
              </w:rPr>
              <w:t>’</w:t>
            </w:r>
            <w:r w:rsidRPr="001B283D">
              <w:rPr>
                <w:highlight w:val="lightGray"/>
                <w:u w:val="single"/>
                <w:lang w:val="fr-FR"/>
              </w:rPr>
              <w:t xml:space="preserve">obtenteur nul invalide le droit à compter de la date de son octroi bien que la décision de nullité par le service compétent surviendra à une date ultérieure. </w:t>
            </w:r>
            <w:r w:rsidR="00F2415E" w:rsidRPr="001B283D">
              <w:rPr>
                <w:highlight w:val="lightGray"/>
                <w:u w:val="single"/>
                <w:lang w:val="fr-FR"/>
              </w:rPr>
              <w:t xml:space="preserve"> </w:t>
            </w:r>
            <w:r w:rsidRPr="001B283D">
              <w:rPr>
                <w:highlight w:val="lightGray"/>
                <w:u w:val="single"/>
                <w:lang w:val="fr-FR"/>
              </w:rPr>
              <w:t>Par conséquent, la nullité a, en principe, des effets rétroactifs.</w:t>
            </w:r>
            <w:r w:rsidR="00F2415E" w:rsidRPr="001B283D">
              <w:rPr>
                <w:highlight w:val="lightGray"/>
                <w:u w:val="single"/>
                <w:lang w:val="fr-FR"/>
              </w:rPr>
              <w:t xml:space="preserve"> </w:t>
            </w:r>
            <w:r w:rsidRPr="001B283D">
              <w:rPr>
                <w:highlight w:val="lightGray"/>
                <w:u w:val="single"/>
                <w:lang w:val="fr-FR"/>
              </w:rPr>
              <w:t xml:space="preserve"> </w:t>
            </w:r>
            <w:r w:rsidRPr="001B283D">
              <w:rPr>
                <w:lang w:val="fr-FR"/>
              </w:rPr>
              <w:t xml:space="preserve">Les effets rétroactifs de la nullité peuvent varier dans la pratique </w:t>
            </w:r>
            <w:r w:rsidRPr="001B283D">
              <w:rPr>
                <w:strike/>
                <w:highlight w:val="lightGray"/>
                <w:lang w:val="fr-FR"/>
              </w:rPr>
              <w:t>[et dépendront de la législation pertinente du membre de l</w:t>
            </w:r>
            <w:r w:rsidR="00894570" w:rsidRPr="001B283D">
              <w:rPr>
                <w:strike/>
                <w:highlight w:val="lightGray"/>
                <w:lang w:val="fr-FR"/>
              </w:rPr>
              <w:t>’</w:t>
            </w:r>
            <w:r w:rsidRPr="001B283D">
              <w:rPr>
                <w:strike/>
                <w:highlight w:val="lightGray"/>
                <w:lang w:val="fr-FR"/>
              </w:rPr>
              <w:t xml:space="preserve">Union concerné]. </w:t>
            </w:r>
            <w:r w:rsidR="00F2415E" w:rsidRPr="001B283D">
              <w:rPr>
                <w:strike/>
                <w:highlight w:val="lightGray"/>
                <w:lang w:val="fr-FR"/>
              </w:rPr>
              <w:t xml:space="preserve"> </w:t>
            </w:r>
            <w:r w:rsidRPr="001B283D">
              <w:rPr>
                <w:strike/>
                <w:highlight w:val="lightGray"/>
                <w:lang w:val="fr-FR"/>
              </w:rPr>
              <w:t>[</w:t>
            </w:r>
            <w:r w:rsidRPr="001B283D">
              <w:rPr>
                <w:lang w:val="fr-FR"/>
              </w:rPr>
              <w:t xml:space="preserve">Les </w:t>
            </w:r>
            <w:r w:rsidRPr="001B283D">
              <w:rPr>
                <w:highlight w:val="lightGray"/>
                <w:u w:val="single"/>
                <w:lang w:val="fr-FR"/>
              </w:rPr>
              <w:t>sanctions concernant les</w:t>
            </w:r>
            <w:r w:rsidRPr="001B283D">
              <w:rPr>
                <w:lang w:val="fr-FR"/>
              </w:rPr>
              <w:t xml:space="preserve"> effets rétroactifs de la nullité </w:t>
            </w:r>
            <w:r w:rsidRPr="001B283D">
              <w:rPr>
                <w:strike/>
                <w:highlight w:val="lightGray"/>
                <w:lang w:val="fr-FR"/>
              </w:rPr>
              <w:t>peuvent également</w:t>
            </w:r>
            <w:r w:rsidRPr="001B283D">
              <w:rPr>
                <w:highlight w:val="lightGray"/>
                <w:u w:val="single"/>
                <w:lang w:val="fr-FR"/>
              </w:rPr>
              <w:t xml:space="preserve"> dépendront de la législation pertinente du membre de l</w:t>
            </w:r>
            <w:r w:rsidR="00894570" w:rsidRPr="001B283D">
              <w:rPr>
                <w:highlight w:val="lightGray"/>
                <w:u w:val="single"/>
                <w:lang w:val="fr-FR"/>
              </w:rPr>
              <w:t>’</w:t>
            </w:r>
            <w:r w:rsidRPr="001B283D">
              <w:rPr>
                <w:highlight w:val="lightGray"/>
                <w:u w:val="single"/>
                <w:lang w:val="fr-FR"/>
              </w:rPr>
              <w:t>Union concerné et</w:t>
            </w:r>
            <w:r w:rsidRPr="001B283D">
              <w:rPr>
                <w:lang w:val="fr-FR"/>
              </w:rPr>
              <w:t xml:space="preserve"> peuvent également dépendre d</w:t>
            </w:r>
            <w:r w:rsidR="00894570" w:rsidRPr="001B283D">
              <w:rPr>
                <w:lang w:val="fr-FR"/>
              </w:rPr>
              <w:t>’</w:t>
            </w:r>
            <w:r w:rsidRPr="001B283D">
              <w:rPr>
                <w:lang w:val="fr-FR"/>
              </w:rPr>
              <w:t>accords contractuels</w:t>
            </w:r>
            <w:r w:rsidRPr="001B283D">
              <w:rPr>
                <w:strike/>
                <w:highlight w:val="lightGray"/>
                <w:lang w:val="fr-FR"/>
              </w:rPr>
              <w:t>]</w:t>
            </w:r>
            <w:r w:rsidRPr="001B283D">
              <w:rPr>
                <w:lang w:val="fr-FR"/>
              </w:rPr>
              <w:t>.  Dans certains cas, comme dans des cas de fraude ou d</w:t>
            </w:r>
            <w:r w:rsidR="00894570" w:rsidRPr="001B283D">
              <w:rPr>
                <w:lang w:val="fr-FR"/>
              </w:rPr>
              <w:t>’</w:t>
            </w:r>
            <w:r w:rsidRPr="001B283D">
              <w:rPr>
                <w:lang w:val="fr-FR"/>
              </w:rPr>
              <w:t>agissements abusifs délibérés de la part du titulaire du droit d</w:t>
            </w:r>
            <w:r w:rsidR="00894570" w:rsidRPr="001B283D">
              <w:rPr>
                <w:lang w:val="fr-FR"/>
              </w:rPr>
              <w:t>’</w:t>
            </w:r>
            <w:r w:rsidRPr="001B283D">
              <w:rPr>
                <w:lang w:val="fr-FR"/>
              </w:rPr>
              <w:t>obtenteur, le remboursement des redevances payées ou d</w:t>
            </w:r>
            <w:r w:rsidR="00894570" w:rsidRPr="001B283D">
              <w:rPr>
                <w:lang w:val="fr-FR"/>
              </w:rPr>
              <w:t>’</w:t>
            </w:r>
            <w:r w:rsidRPr="001B283D">
              <w:rPr>
                <w:lang w:val="fr-FR"/>
              </w:rPr>
              <w:t>autres sanctions peuvent s</w:t>
            </w:r>
            <w:r w:rsidR="00894570" w:rsidRPr="001B283D">
              <w:rPr>
                <w:lang w:val="fr-FR"/>
              </w:rPr>
              <w:t>’</w:t>
            </w:r>
            <w:r w:rsidRPr="001B283D">
              <w:rPr>
                <w:lang w:val="fr-FR"/>
              </w:rPr>
              <w:t>appliquer.  Dans d</w:t>
            </w:r>
            <w:r w:rsidR="00894570" w:rsidRPr="001B283D">
              <w:rPr>
                <w:lang w:val="fr-FR"/>
              </w:rPr>
              <w:t>’</w:t>
            </w:r>
            <w:r w:rsidRPr="001B283D">
              <w:rPr>
                <w:lang w:val="fr-FR"/>
              </w:rPr>
              <w:t>autres cas, le remboursement des redevances reçues par le titulaire du droit d</w:t>
            </w:r>
            <w:r w:rsidR="00894570" w:rsidRPr="001B283D">
              <w:rPr>
                <w:lang w:val="fr-FR"/>
              </w:rPr>
              <w:t>’</w:t>
            </w:r>
            <w:r w:rsidRPr="001B283D">
              <w:rPr>
                <w:lang w:val="fr-FR"/>
              </w:rPr>
              <w:t>obtenteur peut ne pas s</w:t>
            </w:r>
            <w:r w:rsidR="00894570" w:rsidRPr="001B283D">
              <w:rPr>
                <w:lang w:val="fr-FR"/>
              </w:rPr>
              <w:t>’</w:t>
            </w:r>
            <w:r w:rsidRPr="001B283D">
              <w:rPr>
                <w:lang w:val="fr-FR"/>
              </w:rPr>
              <w:t>appliquer.</w:t>
            </w:r>
          </w:p>
        </w:tc>
      </w:tr>
    </w:tbl>
    <w:p w:rsidR="00886826" w:rsidRPr="001B283D" w:rsidRDefault="00886826" w:rsidP="002F32A9">
      <w:pPr>
        <w:rPr>
          <w:lang w:val="fr-FR"/>
        </w:rPr>
      </w:pPr>
    </w:p>
    <w:p w:rsidR="00886826" w:rsidRPr="001B283D" w:rsidRDefault="00886826" w:rsidP="002F32A9">
      <w:pPr>
        <w:rPr>
          <w:lang w:val="fr-FR"/>
        </w:rPr>
      </w:pPr>
    </w:p>
    <w:p w:rsidR="00886826" w:rsidRPr="001B283D" w:rsidRDefault="00886826" w:rsidP="005E142A">
      <w:pPr>
        <w:pStyle w:val="Heading2"/>
        <w:rPr>
          <w:lang w:val="fr-FR"/>
        </w:rPr>
      </w:pPr>
      <w:r w:rsidRPr="001B283D">
        <w:rPr>
          <w:lang w:val="fr-FR"/>
        </w:rPr>
        <w:t xml:space="preserve">Notes explicatives </w:t>
      </w:r>
      <w:r w:rsidR="009B6D72">
        <w:rPr>
          <w:lang w:val="fr-FR"/>
        </w:rPr>
        <w:t>concernant</w:t>
      </w:r>
      <w:r w:rsidRPr="001B283D">
        <w:rPr>
          <w:lang w:val="fr-FR"/>
        </w:rPr>
        <w:t xml:space="preserve"> les dénominations variétales selon la </w:t>
      </w:r>
      <w:r w:rsidR="00894570" w:rsidRPr="001B283D">
        <w:rPr>
          <w:lang w:val="fr-FR"/>
        </w:rPr>
        <w:t>Convention UPOV</w:t>
      </w:r>
      <w:r w:rsidRPr="001B283D">
        <w:rPr>
          <w:lang w:val="fr-FR"/>
        </w:rPr>
        <w:t xml:space="preserve"> (Révision)</w:t>
      </w:r>
    </w:p>
    <w:p w:rsidR="00886826" w:rsidRPr="001B283D" w:rsidRDefault="00886826" w:rsidP="000E2821">
      <w:pPr>
        <w:keepNext/>
        <w:rPr>
          <w:lang w:val="fr-FR"/>
        </w:rPr>
      </w:pPr>
    </w:p>
    <w:p w:rsidR="00886826" w:rsidRPr="001B283D" w:rsidRDefault="00886826" w:rsidP="002F32A9">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Le CAJ­AG examine le document UPOV/INF/12/5 Draft 2 et les opinions formulées par l</w:t>
      </w:r>
      <w:r w:rsidR="00894570" w:rsidRPr="001B283D">
        <w:rPr>
          <w:lang w:val="fr-FR"/>
        </w:rPr>
        <w:t>’</w:t>
      </w:r>
      <w:r w:rsidRPr="001B283D">
        <w:rPr>
          <w:lang w:val="fr-FR"/>
        </w:rPr>
        <w:t>APBREBES et l</w:t>
      </w:r>
      <w:r w:rsidR="00894570" w:rsidRPr="001B283D">
        <w:rPr>
          <w:lang w:val="fr-FR"/>
        </w:rPr>
        <w:t>’</w:t>
      </w:r>
      <w:r w:rsidRPr="001B283D">
        <w:rPr>
          <w:lang w:val="fr-FR"/>
        </w:rPr>
        <w:t>ESA.</w:t>
      </w:r>
    </w:p>
    <w:p w:rsidR="00886826" w:rsidRPr="001B283D" w:rsidRDefault="00886826" w:rsidP="002F32A9">
      <w:pPr>
        <w:rPr>
          <w:lang w:val="fr-FR"/>
        </w:rPr>
      </w:pPr>
    </w:p>
    <w:p w:rsidR="00886826" w:rsidRPr="001B283D" w:rsidRDefault="00886826" w:rsidP="002F32A9">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À sa huitième session, tenue à Genève les 21 et 25 octobre 2013,</w:t>
      </w:r>
      <w:r w:rsidR="00894570" w:rsidRPr="001B283D">
        <w:rPr>
          <w:lang w:val="fr-FR"/>
        </w:rPr>
        <w:t xml:space="preserve"> le CAJ</w:t>
      </w:r>
      <w:r w:rsidR="00A27C5B" w:rsidRPr="001B283D">
        <w:rPr>
          <w:lang w:val="fr-FR"/>
        </w:rPr>
        <w:noBreakHyphen/>
      </w:r>
      <w:r w:rsidRPr="001B283D">
        <w:rPr>
          <w:lang w:val="fr-FR"/>
        </w:rPr>
        <w:t>AG a approuvé l</w:t>
      </w:r>
      <w:r w:rsidR="00894570" w:rsidRPr="001B283D">
        <w:rPr>
          <w:lang w:val="fr-FR"/>
        </w:rPr>
        <w:t>’</w:t>
      </w:r>
      <w:r w:rsidRPr="001B283D">
        <w:rPr>
          <w:lang w:val="fr-FR"/>
        </w:rPr>
        <w:t>élaboration d</w:t>
      </w:r>
      <w:r w:rsidR="00894570" w:rsidRPr="001B283D">
        <w:rPr>
          <w:lang w:val="fr-FR"/>
        </w:rPr>
        <w:t>’</w:t>
      </w:r>
      <w:r w:rsidRPr="001B283D">
        <w:rPr>
          <w:lang w:val="fr-FR"/>
        </w:rPr>
        <w:t>orientations concernant une demande d</w:t>
      </w:r>
      <w:r w:rsidR="00894570" w:rsidRPr="001B283D">
        <w:rPr>
          <w:lang w:val="fr-FR"/>
        </w:rPr>
        <w:t>’</w:t>
      </w:r>
      <w:r w:rsidRPr="001B283D">
        <w:rPr>
          <w:lang w:val="fr-FR"/>
        </w:rPr>
        <w:t>obtenteur visant à changer une dénomination variétale enregistrée (voir le paragraphe</w:t>
      </w:r>
      <w:r w:rsidR="00F2415E" w:rsidRPr="001B283D">
        <w:rPr>
          <w:lang w:val="fr-FR"/>
        </w:rPr>
        <w:t> </w:t>
      </w:r>
      <w:r w:rsidRPr="001B283D">
        <w:rPr>
          <w:lang w:val="fr-FR"/>
        </w:rPr>
        <w:t>70 du document CAJ</w:t>
      </w:r>
      <w:r w:rsidR="00A27C5B" w:rsidRPr="001B283D">
        <w:rPr>
          <w:lang w:val="fr-FR"/>
        </w:rPr>
        <w:noBreakHyphen/>
      </w:r>
      <w:r w:rsidRPr="001B283D">
        <w:rPr>
          <w:lang w:val="fr-FR"/>
        </w:rPr>
        <w:t xml:space="preserve">AG/13/8/10 “Compte rendu des conclusions”). </w:t>
      </w:r>
      <w:r w:rsidR="00F2415E" w:rsidRPr="001B283D">
        <w:rPr>
          <w:lang w:val="fr-FR"/>
        </w:rPr>
        <w:t xml:space="preserve"> À</w:t>
      </w:r>
      <w:r w:rsidRPr="001B283D">
        <w:rPr>
          <w:lang w:val="fr-FR"/>
        </w:rPr>
        <w:t xml:space="preserve"> cet égard, les orientations suivantes ont été approuvées par</w:t>
      </w:r>
      <w:r w:rsidR="00894570" w:rsidRPr="001B283D">
        <w:rPr>
          <w:lang w:val="fr-FR"/>
        </w:rPr>
        <w:t xml:space="preserve"> le CAJ</w:t>
      </w:r>
      <w:r w:rsidR="00A27C5B" w:rsidRPr="001B283D">
        <w:rPr>
          <w:lang w:val="fr-FR"/>
        </w:rPr>
        <w:noBreakHyphen/>
      </w:r>
      <w:r w:rsidRPr="001B283D">
        <w:rPr>
          <w:lang w:val="fr-FR"/>
        </w:rPr>
        <w:t>AG</w:t>
      </w:r>
      <w:r w:rsidR="00F2415E" w:rsidRPr="001B283D">
        <w:rPr>
          <w:lang w:val="fr-FR"/>
        </w:rPr>
        <w:t> </w:t>
      </w:r>
      <w:r w:rsidRPr="001B283D">
        <w:rPr>
          <w:lang w:val="fr-FR"/>
        </w:rPr>
        <w:t>:</w:t>
      </w:r>
    </w:p>
    <w:p w:rsidR="00886826" w:rsidRPr="001B283D" w:rsidRDefault="00886826" w:rsidP="002F32A9">
      <w:pPr>
        <w:rPr>
          <w:lang w:val="fr-FR"/>
        </w:rPr>
      </w:pPr>
    </w:p>
    <w:p w:rsidR="00886826" w:rsidRPr="001B283D" w:rsidRDefault="00886826" w:rsidP="00BE1F8B">
      <w:pPr>
        <w:ind w:left="567" w:right="567"/>
        <w:rPr>
          <w:sz w:val="18"/>
          <w:szCs w:val="18"/>
          <w:lang w:val="fr-FR"/>
        </w:rPr>
      </w:pPr>
      <w:r w:rsidRPr="001B283D">
        <w:rPr>
          <w:sz w:val="18"/>
          <w:szCs w:val="18"/>
          <w:lang w:val="fr-FR"/>
        </w:rPr>
        <w:t>“7.2</w:t>
      </w:r>
      <w:r w:rsidRPr="001B283D">
        <w:rPr>
          <w:sz w:val="18"/>
          <w:szCs w:val="18"/>
          <w:lang w:val="fr-FR"/>
        </w:rPr>
        <w:tab/>
        <w:t>Les points suivants fournissent des orientations concernant les modifications de dénominations variétales enregistrées</w:t>
      </w:r>
      <w:r w:rsidR="00F2415E" w:rsidRPr="001B283D">
        <w:rPr>
          <w:sz w:val="18"/>
          <w:szCs w:val="18"/>
          <w:lang w:val="fr-FR"/>
        </w:rPr>
        <w:t> </w:t>
      </w:r>
      <w:r w:rsidRPr="001B283D">
        <w:rPr>
          <w:sz w:val="18"/>
          <w:szCs w:val="18"/>
          <w:lang w:val="fr-FR"/>
        </w:rPr>
        <w:t>:</w:t>
      </w:r>
    </w:p>
    <w:p w:rsidR="00886826" w:rsidRPr="001B283D" w:rsidRDefault="00886826" w:rsidP="00BE1F8B">
      <w:pPr>
        <w:ind w:left="567" w:right="567"/>
        <w:rPr>
          <w:sz w:val="18"/>
          <w:szCs w:val="18"/>
          <w:lang w:val="fr-FR"/>
        </w:rPr>
      </w:pPr>
    </w:p>
    <w:p w:rsidR="00894570" w:rsidRPr="001B283D" w:rsidRDefault="000E15FF" w:rsidP="00BE1F8B">
      <w:pPr>
        <w:ind w:left="567" w:right="567" w:firstLine="567"/>
        <w:rPr>
          <w:sz w:val="18"/>
          <w:szCs w:val="18"/>
          <w:lang w:val="fr-FR"/>
        </w:rPr>
      </w:pPr>
      <w:r>
        <w:rPr>
          <w:sz w:val="18"/>
          <w:szCs w:val="18"/>
          <w:lang w:val="fr-FR"/>
        </w:rPr>
        <w:t>“</w:t>
      </w:r>
      <w:r w:rsidR="00886826" w:rsidRPr="001B283D">
        <w:rPr>
          <w:sz w:val="18"/>
          <w:szCs w:val="18"/>
          <w:lang w:val="fr-FR"/>
        </w:rPr>
        <w:t>a)</w:t>
      </w:r>
      <w:r w:rsidR="00886826" w:rsidRPr="001B283D">
        <w:rPr>
          <w:sz w:val="18"/>
          <w:szCs w:val="18"/>
          <w:lang w:val="fr-FR"/>
        </w:rPr>
        <w:tab/>
      </w:r>
      <w:r w:rsidR="00E0633E" w:rsidRPr="001B283D">
        <w:rPr>
          <w:sz w:val="18"/>
          <w:szCs w:val="18"/>
          <w:lang w:val="fr-FR"/>
        </w:rPr>
        <w:t xml:space="preserve">la </w:t>
      </w:r>
      <w:r w:rsidR="00894570" w:rsidRPr="001B283D">
        <w:rPr>
          <w:sz w:val="18"/>
          <w:szCs w:val="18"/>
          <w:lang w:val="fr-FR"/>
        </w:rPr>
        <w:t>Convention UPOV</w:t>
      </w:r>
      <w:r w:rsidR="00886826" w:rsidRPr="001B283D">
        <w:rPr>
          <w:sz w:val="18"/>
          <w:szCs w:val="18"/>
          <w:lang w:val="fr-FR"/>
        </w:rPr>
        <w:t xml:space="preserve"> exige de changer la dénomination enregistrée lorsque la dénomination de la variété est radiée après l</w:t>
      </w:r>
      <w:r w:rsidR="00894570" w:rsidRPr="001B283D">
        <w:rPr>
          <w:sz w:val="18"/>
          <w:szCs w:val="18"/>
          <w:lang w:val="fr-FR"/>
        </w:rPr>
        <w:t>’</w:t>
      </w:r>
      <w:r w:rsidR="00886826" w:rsidRPr="001B283D">
        <w:rPr>
          <w:sz w:val="18"/>
          <w:szCs w:val="18"/>
          <w:lang w:val="fr-FR"/>
        </w:rPr>
        <w:t>octroi du droit d</w:t>
      </w:r>
      <w:r w:rsidR="00894570" w:rsidRPr="001B283D">
        <w:rPr>
          <w:sz w:val="18"/>
          <w:szCs w:val="18"/>
          <w:lang w:val="fr-FR"/>
        </w:rPr>
        <w:t>’</w:t>
      </w:r>
      <w:r w:rsidR="00886826" w:rsidRPr="001B283D">
        <w:rPr>
          <w:sz w:val="18"/>
          <w:szCs w:val="18"/>
          <w:lang w:val="fr-FR"/>
        </w:rPr>
        <w:t xml:space="preserve">obtenteur. </w:t>
      </w:r>
      <w:r w:rsidR="00F2415E" w:rsidRPr="001B283D">
        <w:rPr>
          <w:sz w:val="18"/>
          <w:szCs w:val="18"/>
          <w:lang w:val="fr-FR"/>
        </w:rPr>
        <w:t xml:space="preserve"> </w:t>
      </w:r>
      <w:r w:rsidR="00886826" w:rsidRPr="001B283D">
        <w:rPr>
          <w:sz w:val="18"/>
          <w:szCs w:val="18"/>
          <w:lang w:val="fr-FR"/>
        </w:rPr>
        <w:t>Le service compétent doit radier une dénomination variétale si</w:t>
      </w:r>
      <w:r w:rsidR="00F2415E" w:rsidRPr="001B283D">
        <w:rPr>
          <w:sz w:val="18"/>
          <w:szCs w:val="18"/>
          <w:lang w:val="fr-FR"/>
        </w:rPr>
        <w:t> </w:t>
      </w:r>
      <w:r w:rsidR="00886826" w:rsidRPr="001B283D">
        <w:rPr>
          <w:sz w:val="18"/>
          <w:szCs w:val="18"/>
          <w:lang w:val="fr-FR"/>
        </w:rPr>
        <w:t>:</w:t>
      </w:r>
    </w:p>
    <w:p w:rsidR="00886826" w:rsidRPr="001B283D" w:rsidRDefault="00886826" w:rsidP="00BE1F8B">
      <w:pPr>
        <w:pStyle w:val="ListParagraph"/>
        <w:ind w:left="1287" w:right="567"/>
        <w:rPr>
          <w:sz w:val="18"/>
          <w:szCs w:val="18"/>
          <w:lang w:val="fr-FR"/>
        </w:rPr>
      </w:pPr>
    </w:p>
    <w:p w:rsidR="00894570" w:rsidRPr="001B283D" w:rsidRDefault="00886826" w:rsidP="00BE1F8B">
      <w:pPr>
        <w:ind w:left="567" w:right="567" w:firstLine="567"/>
        <w:rPr>
          <w:sz w:val="18"/>
          <w:szCs w:val="18"/>
          <w:lang w:val="fr-FR"/>
        </w:rPr>
      </w:pPr>
      <w:r w:rsidRPr="001B283D">
        <w:rPr>
          <w:sz w:val="18"/>
          <w:szCs w:val="18"/>
          <w:lang w:val="fr-FR"/>
        </w:rPr>
        <w:tab/>
      </w:r>
      <w:r w:rsidR="000E15FF">
        <w:rPr>
          <w:sz w:val="18"/>
          <w:szCs w:val="18"/>
          <w:lang w:val="fr-FR"/>
        </w:rPr>
        <w:t>“</w:t>
      </w:r>
      <w:r w:rsidRPr="001B283D">
        <w:rPr>
          <w:sz w:val="18"/>
          <w:szCs w:val="18"/>
          <w:lang w:val="fr-FR"/>
        </w:rPr>
        <w:t>i)</w:t>
      </w:r>
      <w:r w:rsidRPr="001B283D">
        <w:rPr>
          <w:sz w:val="18"/>
          <w:szCs w:val="18"/>
          <w:lang w:val="fr-FR"/>
        </w:rPr>
        <w:tab/>
        <w:t>en vertu d</w:t>
      </w:r>
      <w:r w:rsidR="00894570" w:rsidRPr="001B283D">
        <w:rPr>
          <w:sz w:val="18"/>
          <w:szCs w:val="18"/>
          <w:lang w:val="fr-FR"/>
        </w:rPr>
        <w:t>’</w:t>
      </w:r>
      <w:r w:rsidRPr="001B283D">
        <w:rPr>
          <w:sz w:val="18"/>
          <w:szCs w:val="18"/>
          <w:lang w:val="fr-FR"/>
        </w:rPr>
        <w:t>un droit antérieur, l</w:t>
      </w:r>
      <w:r w:rsidR="00894570" w:rsidRPr="001B283D">
        <w:rPr>
          <w:sz w:val="18"/>
          <w:szCs w:val="18"/>
          <w:lang w:val="fr-FR"/>
        </w:rPr>
        <w:t>’</w:t>
      </w:r>
      <w:r w:rsidRPr="001B283D">
        <w:rPr>
          <w:sz w:val="18"/>
          <w:szCs w:val="18"/>
          <w:lang w:val="fr-FR"/>
        </w:rPr>
        <w:t>utilisation de la dénomination d</w:t>
      </w:r>
      <w:r w:rsidR="00894570" w:rsidRPr="001B283D">
        <w:rPr>
          <w:sz w:val="18"/>
          <w:szCs w:val="18"/>
          <w:lang w:val="fr-FR"/>
        </w:rPr>
        <w:t>’</w:t>
      </w:r>
      <w:r w:rsidRPr="001B283D">
        <w:rPr>
          <w:sz w:val="18"/>
          <w:szCs w:val="18"/>
          <w:lang w:val="fr-FR"/>
        </w:rPr>
        <w:t>une variété est interdite à une personne qui, conformément aux dispositions du paragraphe 7), est obligée de l</w:t>
      </w:r>
      <w:r w:rsidR="00894570" w:rsidRPr="001B283D">
        <w:rPr>
          <w:sz w:val="18"/>
          <w:szCs w:val="18"/>
          <w:lang w:val="fr-FR"/>
        </w:rPr>
        <w:t>’</w:t>
      </w:r>
      <w:r w:rsidRPr="001B283D">
        <w:rPr>
          <w:sz w:val="18"/>
          <w:szCs w:val="18"/>
          <w:lang w:val="fr-FR"/>
        </w:rPr>
        <w:t>utiliser (voir le paragraphe</w:t>
      </w:r>
      <w:r w:rsidR="00F2415E" w:rsidRPr="001B283D">
        <w:rPr>
          <w:sz w:val="18"/>
          <w:szCs w:val="18"/>
          <w:lang w:val="fr-FR"/>
        </w:rPr>
        <w:t> </w:t>
      </w:r>
      <w:r w:rsidRPr="001B283D">
        <w:rPr>
          <w:sz w:val="18"/>
          <w:szCs w:val="18"/>
          <w:lang w:val="fr-FR"/>
        </w:rPr>
        <w:t>4) </w:t>
      </w:r>
      <w:r w:rsidR="000E15FF">
        <w:rPr>
          <w:sz w:val="18"/>
          <w:szCs w:val="18"/>
          <w:lang w:val="fr-FR"/>
        </w:rPr>
        <w:t>‘</w:t>
      </w:r>
      <w:r w:rsidRPr="001B283D">
        <w:rPr>
          <w:sz w:val="18"/>
          <w:szCs w:val="18"/>
          <w:lang w:val="fr-FR"/>
        </w:rPr>
        <w:t>Droits antérieurs des tiers</w:t>
      </w:r>
      <w:r w:rsidR="000E15FF">
        <w:rPr>
          <w:sz w:val="18"/>
          <w:szCs w:val="18"/>
          <w:lang w:val="fr-FR"/>
        </w:rPr>
        <w:t>’</w:t>
      </w:r>
      <w:r w:rsidRPr="001B283D">
        <w:rPr>
          <w:sz w:val="18"/>
          <w:szCs w:val="18"/>
          <w:lang w:val="fr-FR"/>
        </w:rPr>
        <w:t>);</w:t>
      </w:r>
    </w:p>
    <w:p w:rsidR="00886826" w:rsidRPr="001B283D" w:rsidRDefault="00886826" w:rsidP="00BE1F8B">
      <w:pPr>
        <w:ind w:left="567" w:right="567" w:firstLine="567"/>
        <w:rPr>
          <w:sz w:val="18"/>
          <w:szCs w:val="18"/>
          <w:lang w:val="fr-FR"/>
        </w:rPr>
      </w:pPr>
    </w:p>
    <w:p w:rsidR="00894570" w:rsidRPr="001B283D" w:rsidRDefault="00886826" w:rsidP="00BE1F8B">
      <w:pPr>
        <w:ind w:left="567" w:right="567" w:firstLine="567"/>
        <w:rPr>
          <w:sz w:val="18"/>
          <w:szCs w:val="18"/>
          <w:lang w:val="fr-FR"/>
        </w:rPr>
      </w:pPr>
      <w:r w:rsidRPr="001B283D">
        <w:rPr>
          <w:sz w:val="18"/>
          <w:szCs w:val="18"/>
          <w:lang w:val="fr-FR"/>
        </w:rPr>
        <w:tab/>
      </w:r>
      <w:r w:rsidR="000E15FF">
        <w:rPr>
          <w:sz w:val="18"/>
          <w:szCs w:val="18"/>
          <w:lang w:val="fr-FR"/>
        </w:rPr>
        <w:t>“</w:t>
      </w:r>
      <w:r w:rsidRPr="001B283D">
        <w:rPr>
          <w:sz w:val="18"/>
          <w:szCs w:val="18"/>
          <w:lang w:val="fr-FR"/>
        </w:rPr>
        <w:t>ii)</w:t>
      </w:r>
      <w:r w:rsidRPr="001B283D">
        <w:rPr>
          <w:sz w:val="18"/>
          <w:szCs w:val="18"/>
          <w:lang w:val="fr-FR"/>
        </w:rPr>
        <w:tab/>
        <w:t>la dénomination est inadéquate car elle est contraire aux dispositions du paragraphe</w:t>
      </w:r>
      <w:r w:rsidR="00F2415E" w:rsidRPr="001B283D">
        <w:rPr>
          <w:sz w:val="18"/>
          <w:szCs w:val="18"/>
          <w:lang w:val="fr-FR"/>
        </w:rPr>
        <w:t> </w:t>
      </w:r>
      <w:r w:rsidRPr="001B283D">
        <w:rPr>
          <w:sz w:val="18"/>
          <w:szCs w:val="18"/>
          <w:lang w:val="fr-FR"/>
        </w:rPr>
        <w:t xml:space="preserve">2) </w:t>
      </w:r>
      <w:r w:rsidR="000E15FF">
        <w:rPr>
          <w:sz w:val="18"/>
          <w:szCs w:val="18"/>
          <w:lang w:val="fr-FR"/>
        </w:rPr>
        <w:t>‘</w:t>
      </w:r>
      <w:r w:rsidRPr="001B283D">
        <w:rPr>
          <w:sz w:val="18"/>
          <w:szCs w:val="18"/>
          <w:lang w:val="fr-FR"/>
        </w:rPr>
        <w:t>Caract</w:t>
      </w:r>
      <w:r w:rsidR="00E0633E">
        <w:rPr>
          <w:sz w:val="18"/>
          <w:szCs w:val="18"/>
          <w:lang w:val="fr-FR"/>
        </w:rPr>
        <w:t>é</w:t>
      </w:r>
      <w:r w:rsidRPr="001B283D">
        <w:rPr>
          <w:sz w:val="18"/>
          <w:szCs w:val="18"/>
          <w:lang w:val="fr-FR"/>
        </w:rPr>
        <w:t>r</w:t>
      </w:r>
      <w:r w:rsidR="00E0633E">
        <w:rPr>
          <w:sz w:val="18"/>
          <w:szCs w:val="18"/>
          <w:lang w:val="fr-FR"/>
        </w:rPr>
        <w:t>i</w:t>
      </w:r>
      <w:r w:rsidRPr="001B283D">
        <w:rPr>
          <w:sz w:val="18"/>
          <w:szCs w:val="18"/>
          <w:lang w:val="fr-FR"/>
        </w:rPr>
        <w:t>s</w:t>
      </w:r>
      <w:r w:rsidR="00E0633E">
        <w:rPr>
          <w:sz w:val="18"/>
          <w:szCs w:val="18"/>
          <w:lang w:val="fr-FR"/>
        </w:rPr>
        <w:t>tiques</w:t>
      </w:r>
      <w:r w:rsidRPr="001B283D">
        <w:rPr>
          <w:sz w:val="18"/>
          <w:szCs w:val="18"/>
          <w:lang w:val="fr-FR"/>
        </w:rPr>
        <w:t xml:space="preserve"> de la dénomination</w:t>
      </w:r>
      <w:r w:rsidR="000E15FF">
        <w:rPr>
          <w:sz w:val="18"/>
          <w:szCs w:val="18"/>
          <w:lang w:val="fr-FR"/>
        </w:rPr>
        <w:t>’</w:t>
      </w:r>
      <w:r w:rsidRPr="001B283D">
        <w:rPr>
          <w:sz w:val="18"/>
          <w:szCs w:val="18"/>
          <w:lang w:val="fr-FR"/>
        </w:rPr>
        <w:t>;</w:t>
      </w:r>
    </w:p>
    <w:p w:rsidR="00886826" w:rsidRPr="001B283D" w:rsidRDefault="00886826" w:rsidP="00BE1F8B">
      <w:pPr>
        <w:pStyle w:val="ListParagraph"/>
        <w:ind w:left="2421" w:right="567"/>
        <w:rPr>
          <w:sz w:val="18"/>
          <w:szCs w:val="18"/>
          <w:lang w:val="fr-FR"/>
        </w:rPr>
      </w:pPr>
    </w:p>
    <w:p w:rsidR="00886826" w:rsidRPr="001B283D" w:rsidRDefault="000E15FF" w:rsidP="00BE1F8B">
      <w:pPr>
        <w:ind w:left="567" w:right="567" w:firstLine="567"/>
        <w:rPr>
          <w:sz w:val="18"/>
          <w:szCs w:val="18"/>
          <w:lang w:val="fr-FR"/>
        </w:rPr>
      </w:pPr>
      <w:r>
        <w:rPr>
          <w:sz w:val="18"/>
          <w:szCs w:val="18"/>
          <w:lang w:val="fr-FR"/>
        </w:rPr>
        <w:t>“</w:t>
      </w:r>
      <w:r w:rsidR="00886826" w:rsidRPr="001B283D">
        <w:rPr>
          <w:sz w:val="18"/>
          <w:szCs w:val="18"/>
          <w:lang w:val="fr-FR"/>
        </w:rPr>
        <w:t>b)</w:t>
      </w:r>
      <w:r w:rsidR="00886826" w:rsidRPr="001B283D">
        <w:rPr>
          <w:sz w:val="18"/>
          <w:szCs w:val="18"/>
          <w:lang w:val="fr-FR"/>
        </w:rPr>
        <w:tab/>
        <w:t>si la dénomination enregistrée est par la suite refusée dans un autre membre de l</w:t>
      </w:r>
      <w:r w:rsidR="00894570" w:rsidRPr="001B283D">
        <w:rPr>
          <w:sz w:val="18"/>
          <w:szCs w:val="18"/>
          <w:lang w:val="fr-FR"/>
        </w:rPr>
        <w:t>’</w:t>
      </w:r>
      <w:r w:rsidR="00886826" w:rsidRPr="001B283D">
        <w:rPr>
          <w:sz w:val="18"/>
          <w:szCs w:val="18"/>
          <w:lang w:val="fr-FR"/>
        </w:rPr>
        <w:t>Union car elle est inadéquate sur ce territoire (p.</w:t>
      </w:r>
      <w:r w:rsidR="00F2415E" w:rsidRPr="001B283D">
        <w:rPr>
          <w:sz w:val="18"/>
          <w:szCs w:val="18"/>
          <w:lang w:val="fr-FR"/>
        </w:rPr>
        <w:t> </w:t>
      </w:r>
      <w:r w:rsidR="00886826" w:rsidRPr="001B283D">
        <w:rPr>
          <w:sz w:val="18"/>
          <w:szCs w:val="18"/>
          <w:lang w:val="fr-FR"/>
        </w:rPr>
        <w:t>ex. droit antérieur), à la demande de l</w:t>
      </w:r>
      <w:r w:rsidR="00894570" w:rsidRPr="001B283D">
        <w:rPr>
          <w:sz w:val="18"/>
          <w:szCs w:val="18"/>
          <w:lang w:val="fr-FR"/>
        </w:rPr>
        <w:t>’</w:t>
      </w:r>
      <w:r w:rsidR="00886826" w:rsidRPr="001B283D">
        <w:rPr>
          <w:sz w:val="18"/>
          <w:szCs w:val="18"/>
          <w:lang w:val="fr-FR"/>
        </w:rPr>
        <w:t>obtenteur, le service peut juger approprié de modifier la dénomination enregistrée dans cet autre membre de l</w:t>
      </w:r>
      <w:r w:rsidR="00894570" w:rsidRPr="001B283D">
        <w:rPr>
          <w:sz w:val="18"/>
          <w:szCs w:val="18"/>
          <w:lang w:val="fr-FR"/>
        </w:rPr>
        <w:t>’</w:t>
      </w:r>
      <w:r w:rsidR="00886826" w:rsidRPr="001B283D">
        <w:rPr>
          <w:sz w:val="18"/>
          <w:szCs w:val="18"/>
          <w:lang w:val="fr-FR"/>
        </w:rPr>
        <w:t>Union (voir les dispositions dans le paragraphe</w:t>
      </w:r>
      <w:r w:rsidR="00F2415E" w:rsidRPr="001B283D">
        <w:rPr>
          <w:sz w:val="18"/>
          <w:szCs w:val="18"/>
          <w:lang w:val="fr-FR"/>
        </w:rPr>
        <w:t> </w:t>
      </w:r>
      <w:r w:rsidR="00886826" w:rsidRPr="001B283D">
        <w:rPr>
          <w:sz w:val="18"/>
          <w:szCs w:val="18"/>
          <w:lang w:val="fr-FR"/>
        </w:rPr>
        <w:t xml:space="preserve">5) </w:t>
      </w:r>
      <w:r>
        <w:rPr>
          <w:sz w:val="18"/>
          <w:szCs w:val="18"/>
          <w:lang w:val="fr-FR"/>
        </w:rPr>
        <w:t>‘</w:t>
      </w:r>
      <w:r w:rsidR="00886826" w:rsidRPr="001B283D">
        <w:rPr>
          <w:sz w:val="18"/>
          <w:szCs w:val="18"/>
          <w:lang w:val="fr-FR"/>
        </w:rPr>
        <w:t>Même dénomination dans toutes les Parties contractantes</w:t>
      </w:r>
      <w:r>
        <w:rPr>
          <w:sz w:val="18"/>
          <w:szCs w:val="18"/>
          <w:lang w:val="fr-FR"/>
        </w:rPr>
        <w:t>’</w:t>
      </w:r>
      <w:r w:rsidR="00886826" w:rsidRPr="001B283D">
        <w:rPr>
          <w:sz w:val="18"/>
          <w:szCs w:val="18"/>
          <w:lang w:val="fr-FR"/>
        </w:rPr>
        <w:t>);</w:t>
      </w:r>
      <w:r w:rsidR="00F2415E" w:rsidRPr="001B283D">
        <w:rPr>
          <w:sz w:val="18"/>
          <w:szCs w:val="18"/>
          <w:lang w:val="fr-FR"/>
        </w:rPr>
        <w:t xml:space="preserve"> </w:t>
      </w:r>
      <w:r w:rsidR="00886826" w:rsidRPr="001B283D">
        <w:rPr>
          <w:sz w:val="18"/>
          <w:szCs w:val="18"/>
          <w:lang w:val="fr-FR"/>
        </w:rPr>
        <w:t xml:space="preserve"> et</w:t>
      </w:r>
    </w:p>
    <w:p w:rsidR="00886826" w:rsidRPr="001B283D" w:rsidRDefault="00886826" w:rsidP="00BE1F8B">
      <w:pPr>
        <w:ind w:left="567" w:right="567"/>
        <w:rPr>
          <w:sz w:val="18"/>
          <w:szCs w:val="18"/>
          <w:lang w:val="fr-FR"/>
        </w:rPr>
      </w:pPr>
    </w:p>
    <w:p w:rsidR="00886826" w:rsidRPr="001B283D" w:rsidRDefault="000E15FF" w:rsidP="00BE1F8B">
      <w:pPr>
        <w:ind w:left="567" w:right="567" w:firstLine="567"/>
        <w:rPr>
          <w:sz w:val="18"/>
          <w:szCs w:val="18"/>
          <w:lang w:val="fr-FR"/>
        </w:rPr>
      </w:pPr>
      <w:r>
        <w:rPr>
          <w:sz w:val="18"/>
          <w:szCs w:val="18"/>
          <w:lang w:val="fr-FR"/>
        </w:rPr>
        <w:t>“</w:t>
      </w:r>
      <w:r w:rsidR="00AD504D" w:rsidRPr="001B283D">
        <w:rPr>
          <w:sz w:val="18"/>
          <w:szCs w:val="18"/>
          <w:lang w:val="fr-FR"/>
        </w:rPr>
        <w:t>c</w:t>
      </w:r>
      <w:r w:rsidR="00886826" w:rsidRPr="001B283D">
        <w:rPr>
          <w:sz w:val="18"/>
          <w:szCs w:val="18"/>
          <w:lang w:val="fr-FR"/>
        </w:rPr>
        <w:t>)</w:t>
      </w:r>
      <w:r w:rsidR="00886826" w:rsidRPr="001B283D">
        <w:rPr>
          <w:sz w:val="18"/>
          <w:szCs w:val="18"/>
          <w:lang w:val="fr-FR"/>
        </w:rPr>
        <w:tab/>
      </w:r>
      <w:r w:rsidR="00E0633E" w:rsidRPr="001B283D">
        <w:rPr>
          <w:sz w:val="18"/>
          <w:szCs w:val="18"/>
          <w:lang w:val="fr-FR"/>
        </w:rPr>
        <w:t xml:space="preserve">en </w:t>
      </w:r>
      <w:r w:rsidR="00886826" w:rsidRPr="001B283D">
        <w:rPr>
          <w:sz w:val="18"/>
          <w:szCs w:val="18"/>
          <w:lang w:val="fr-FR"/>
        </w:rPr>
        <w:t>général, sous réserve des alinéas</w:t>
      </w:r>
      <w:r w:rsidR="00F2415E" w:rsidRPr="001B283D">
        <w:rPr>
          <w:sz w:val="18"/>
          <w:szCs w:val="18"/>
          <w:lang w:val="fr-FR"/>
        </w:rPr>
        <w:t> </w:t>
      </w:r>
      <w:r w:rsidR="00886826" w:rsidRPr="001B283D">
        <w:rPr>
          <w:sz w:val="18"/>
          <w:szCs w:val="18"/>
          <w:lang w:val="fr-FR"/>
        </w:rPr>
        <w:t>a) et</w:t>
      </w:r>
      <w:r w:rsidR="00A27C5B" w:rsidRPr="001B283D">
        <w:rPr>
          <w:sz w:val="18"/>
          <w:szCs w:val="18"/>
          <w:lang w:val="fr-FR"/>
        </w:rPr>
        <w:t> </w:t>
      </w:r>
      <w:r w:rsidR="00886826" w:rsidRPr="001B283D">
        <w:rPr>
          <w:sz w:val="18"/>
          <w:szCs w:val="18"/>
          <w:lang w:val="fr-FR"/>
        </w:rPr>
        <w:t>b)</w:t>
      </w:r>
      <w:r w:rsidR="00A27C5B" w:rsidRPr="001B283D">
        <w:rPr>
          <w:sz w:val="18"/>
          <w:szCs w:val="18"/>
          <w:lang w:val="fr-FR"/>
        </w:rPr>
        <w:t xml:space="preserve"> </w:t>
      </w:r>
      <w:r w:rsidR="00886826" w:rsidRPr="001B283D">
        <w:rPr>
          <w:sz w:val="18"/>
          <w:szCs w:val="18"/>
          <w:lang w:val="fr-FR"/>
        </w:rPr>
        <w:t>ci</w:t>
      </w:r>
      <w:r w:rsidR="00A27C5B" w:rsidRPr="001B283D">
        <w:rPr>
          <w:sz w:val="18"/>
          <w:szCs w:val="18"/>
          <w:lang w:val="fr-FR"/>
        </w:rPr>
        <w:noBreakHyphen/>
      </w:r>
      <w:r w:rsidR="00886826" w:rsidRPr="001B283D">
        <w:rPr>
          <w:sz w:val="18"/>
          <w:szCs w:val="18"/>
          <w:lang w:val="fr-FR"/>
        </w:rPr>
        <w:t>dessus, il ne serait pas approprié pour le service de modifier une dénomination enregistrée à la demande de l</w:t>
      </w:r>
      <w:r w:rsidR="00894570" w:rsidRPr="001B283D">
        <w:rPr>
          <w:sz w:val="18"/>
          <w:szCs w:val="18"/>
          <w:lang w:val="fr-FR"/>
        </w:rPr>
        <w:t>’</w:t>
      </w:r>
      <w:r w:rsidR="00886826" w:rsidRPr="001B283D">
        <w:rPr>
          <w:sz w:val="18"/>
          <w:szCs w:val="18"/>
          <w:lang w:val="fr-FR"/>
        </w:rPr>
        <w:t>obtenteur”.</w:t>
      </w:r>
    </w:p>
    <w:p w:rsidR="00886826" w:rsidRPr="001B283D" w:rsidRDefault="00886826" w:rsidP="00AC2152">
      <w:pPr>
        <w:rPr>
          <w:lang w:val="fr-FR"/>
        </w:rPr>
      </w:pPr>
    </w:p>
    <w:p w:rsidR="00886826" w:rsidRPr="001B283D" w:rsidRDefault="00886826" w:rsidP="00AC2152">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Des propositions concernant d</w:t>
      </w:r>
      <w:r w:rsidR="00894570" w:rsidRPr="001B283D">
        <w:rPr>
          <w:lang w:val="fr-FR"/>
        </w:rPr>
        <w:t>’</w:t>
      </w:r>
      <w:r w:rsidRPr="001B283D">
        <w:rPr>
          <w:lang w:val="fr-FR"/>
        </w:rPr>
        <w:t>autres aspects des notes explicatives ont été reçues lorsque le document UPOV/INF/12/5 Draft 1 a été diffusé par correspondance et</w:t>
      </w:r>
      <w:r w:rsidR="00894570" w:rsidRPr="001B283D">
        <w:rPr>
          <w:lang w:val="fr-FR"/>
        </w:rPr>
        <w:t xml:space="preserve"> le CAJ</w:t>
      </w:r>
      <w:r w:rsidR="000E15FF">
        <w:rPr>
          <w:lang w:val="fr-FR"/>
        </w:rPr>
        <w:noBreakHyphen/>
      </w:r>
      <w:r w:rsidRPr="001B283D">
        <w:rPr>
          <w:lang w:val="fr-FR"/>
        </w:rPr>
        <w:t>AG est convenu de faire un premier examen de ces autres propositions afin d</w:t>
      </w:r>
      <w:r w:rsidR="00894570" w:rsidRPr="001B283D">
        <w:rPr>
          <w:lang w:val="fr-FR"/>
        </w:rPr>
        <w:t>’</w:t>
      </w:r>
      <w:r w:rsidRPr="001B283D">
        <w:rPr>
          <w:lang w:val="fr-FR"/>
        </w:rPr>
        <w:t>aider</w:t>
      </w:r>
      <w:r w:rsidR="00894570" w:rsidRPr="001B283D">
        <w:rPr>
          <w:lang w:val="fr-FR"/>
        </w:rPr>
        <w:t xml:space="preserve"> le CAJ</w:t>
      </w:r>
      <w:r w:rsidRPr="001B283D">
        <w:rPr>
          <w:lang w:val="fr-FR"/>
        </w:rPr>
        <w:t>.</w:t>
      </w:r>
    </w:p>
    <w:p w:rsidR="00886826" w:rsidRPr="001B283D" w:rsidRDefault="00886826" w:rsidP="00AC2152">
      <w:pPr>
        <w:rPr>
          <w:lang w:val="fr-FR"/>
        </w:rPr>
      </w:pPr>
    </w:p>
    <w:p w:rsidR="00886826" w:rsidRPr="001B283D" w:rsidRDefault="00886826">
      <w:pPr>
        <w:jc w:val="left"/>
        <w:rPr>
          <w:lang w:val="fr-FR"/>
        </w:rPr>
      </w:pPr>
      <w:r w:rsidRPr="001B283D">
        <w:rPr>
          <w:lang w:val="fr-FR"/>
        </w:rPr>
        <w:br w:type="page"/>
      </w:r>
    </w:p>
    <w:p w:rsidR="00894570" w:rsidRPr="001B283D" w:rsidRDefault="00886826" w:rsidP="00AC2152">
      <w:pPr>
        <w:rPr>
          <w:lang w:val="fr-FR"/>
        </w:rPr>
      </w:pPr>
      <w:r w:rsidRPr="001B283D">
        <w:rPr>
          <w:lang w:val="fr-FR"/>
        </w:rPr>
        <w:lastRenderedPageBreak/>
        <w:fldChar w:fldCharType="begin"/>
      </w:r>
      <w:r w:rsidRPr="001B283D">
        <w:rPr>
          <w:lang w:val="fr-FR"/>
        </w:rPr>
        <w:instrText xml:space="preserve"> AUTONUM  </w:instrText>
      </w:r>
      <w:r w:rsidRPr="001B283D">
        <w:rPr>
          <w:lang w:val="fr-FR"/>
        </w:rPr>
        <w:fldChar w:fldCharType="end"/>
      </w:r>
      <w:r w:rsidRPr="001B283D">
        <w:rPr>
          <w:lang w:val="fr-FR"/>
        </w:rPr>
        <w:tab/>
        <w:t>Les suggestions suivantes ont été approuvées par</w:t>
      </w:r>
      <w:r w:rsidR="00894570" w:rsidRPr="001B283D">
        <w:rPr>
          <w:lang w:val="fr-FR"/>
        </w:rPr>
        <w:t xml:space="preserve"> le CAJ</w:t>
      </w:r>
      <w:r w:rsidR="00A27C5B" w:rsidRPr="001B283D">
        <w:rPr>
          <w:lang w:val="fr-FR"/>
        </w:rPr>
        <w:noBreakHyphen/>
      </w:r>
      <w:r w:rsidRPr="001B283D">
        <w:rPr>
          <w:lang w:val="fr-FR"/>
        </w:rPr>
        <w:t>AG</w:t>
      </w:r>
      <w:r w:rsidR="00F2415E" w:rsidRPr="001B283D">
        <w:rPr>
          <w:lang w:val="fr-FR"/>
        </w:rPr>
        <w:t> </w:t>
      </w:r>
      <w:r w:rsidRPr="001B283D">
        <w:rPr>
          <w:lang w:val="fr-FR"/>
        </w:rPr>
        <w:t>:</w:t>
      </w:r>
    </w:p>
    <w:p w:rsidR="00886826" w:rsidRPr="001B283D" w:rsidRDefault="00886826" w:rsidP="000E2821">
      <w:pPr>
        <w:keepNext/>
        <w:rPr>
          <w:lang w:val="fr-FR"/>
        </w:rPr>
      </w:pPr>
    </w:p>
    <w:tbl>
      <w:tblPr>
        <w:tblW w:w="9180"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57" w:type="dxa"/>
          <w:left w:w="57" w:type="dxa"/>
          <w:bottom w:w="28" w:type="dxa"/>
          <w:right w:w="113" w:type="dxa"/>
        </w:tblCellMar>
        <w:tblLook w:val="0000" w:firstRow="0" w:lastRow="0" w:firstColumn="0" w:lastColumn="0" w:noHBand="0" w:noVBand="0"/>
      </w:tblPr>
      <w:tblGrid>
        <w:gridCol w:w="1391"/>
        <w:gridCol w:w="7789"/>
      </w:tblGrid>
      <w:tr w:rsidR="000E15FF" w:rsidRPr="001B283D" w:rsidTr="00081A2A">
        <w:trPr>
          <w:cantSplit/>
          <w:jc w:val="center"/>
        </w:trPr>
        <w:tc>
          <w:tcPr>
            <w:tcW w:w="1391" w:type="dxa"/>
          </w:tcPr>
          <w:p w:rsidR="00886826" w:rsidRPr="001B283D" w:rsidRDefault="00886826" w:rsidP="00AD504D">
            <w:pPr>
              <w:rPr>
                <w:lang w:val="fr-FR"/>
              </w:rPr>
            </w:pPr>
            <w:r w:rsidRPr="001B283D">
              <w:rPr>
                <w:lang w:val="fr-FR"/>
              </w:rPr>
              <w:t>2.2.2</w:t>
            </w:r>
            <w:r w:rsidR="00AD504D" w:rsidRPr="001B283D">
              <w:rPr>
                <w:lang w:val="fr-FR"/>
              </w:rPr>
              <w:t>.</w:t>
            </w:r>
            <w:r w:rsidRPr="001B283D">
              <w:rPr>
                <w:lang w:val="fr-FR"/>
              </w:rPr>
              <w:t xml:space="preserve">b) </w:t>
            </w:r>
          </w:p>
        </w:tc>
        <w:tc>
          <w:tcPr>
            <w:tcW w:w="7789" w:type="dxa"/>
          </w:tcPr>
          <w:p w:rsidR="00886826" w:rsidRPr="00081A2A" w:rsidRDefault="00886826" w:rsidP="00452713">
            <w:pPr>
              <w:rPr>
                <w:snapToGrid w:val="0"/>
                <w:spacing w:val="-2"/>
                <w:lang w:val="fr-FR"/>
              </w:rPr>
            </w:pPr>
            <w:r w:rsidRPr="00081A2A">
              <w:rPr>
                <w:snapToGrid w:val="0"/>
                <w:spacing w:val="-2"/>
                <w:lang w:val="fr-FR"/>
              </w:rPr>
              <w:t xml:space="preserve">Préciser la terminologie dans </w:t>
            </w:r>
            <w:r w:rsidR="00A27C5B" w:rsidRPr="00081A2A">
              <w:rPr>
                <w:spacing w:val="-2"/>
                <w:lang w:val="fr-FR"/>
              </w:rPr>
              <w:t>2.2.2.</w:t>
            </w:r>
            <w:r w:rsidRPr="00081A2A">
              <w:rPr>
                <w:spacing w:val="-2"/>
                <w:lang w:val="fr-FR"/>
              </w:rPr>
              <w:t>b)</w:t>
            </w:r>
            <w:r w:rsidRPr="00081A2A">
              <w:rPr>
                <w:snapToGrid w:val="0"/>
                <w:spacing w:val="-2"/>
                <w:lang w:val="fr-FR"/>
              </w:rPr>
              <w:t>.</w:t>
            </w:r>
            <w:r w:rsidR="00F2415E" w:rsidRPr="00081A2A">
              <w:rPr>
                <w:snapToGrid w:val="0"/>
                <w:spacing w:val="-2"/>
                <w:lang w:val="fr-FR"/>
              </w:rPr>
              <w:t xml:space="preserve"> </w:t>
            </w:r>
            <w:r w:rsidRPr="00081A2A">
              <w:rPr>
                <w:snapToGrid w:val="0"/>
                <w:spacing w:val="-2"/>
                <w:lang w:val="fr-FR"/>
              </w:rPr>
              <w:t xml:space="preserve"> En particulier, envisager de modifier les exemples ou de remplacer “espèces” par “genres” ou “taxons” dans la phrase suivante</w:t>
            </w:r>
            <w:r w:rsidR="00F2415E" w:rsidRPr="00081A2A">
              <w:rPr>
                <w:snapToGrid w:val="0"/>
                <w:spacing w:val="-2"/>
                <w:lang w:val="fr-FR"/>
              </w:rPr>
              <w:t> </w:t>
            </w:r>
            <w:r w:rsidRPr="00081A2A">
              <w:rPr>
                <w:snapToGrid w:val="0"/>
                <w:spacing w:val="-2"/>
                <w:lang w:val="fr-FR"/>
              </w:rPr>
              <w:t>:</w:t>
            </w:r>
          </w:p>
          <w:p w:rsidR="00886826" w:rsidRPr="00081A2A" w:rsidRDefault="00886826" w:rsidP="00452713">
            <w:pPr>
              <w:rPr>
                <w:snapToGrid w:val="0"/>
                <w:sz w:val="16"/>
                <w:lang w:val="fr-FR"/>
              </w:rPr>
            </w:pPr>
          </w:p>
          <w:p w:rsidR="00886826" w:rsidRPr="001B283D" w:rsidRDefault="00886826" w:rsidP="000E15FF">
            <w:pPr>
              <w:rPr>
                <w:snapToGrid w:val="0"/>
                <w:lang w:val="fr-FR"/>
              </w:rPr>
            </w:pPr>
            <w:r w:rsidRPr="001B283D">
              <w:rPr>
                <w:lang w:val="fr-FR"/>
              </w:rPr>
              <w:t>“b)</w:t>
            </w:r>
            <w:r w:rsidRPr="001B283D">
              <w:rPr>
                <w:lang w:val="fr-FR"/>
              </w:rPr>
              <w:tab/>
              <w:t>les pratiques commerciales établies pour certains types de variétés (par exemple les hybrides) et certaines espèces (par exemple Medicago, Helianthus).</w:t>
            </w:r>
            <w:r w:rsidR="00EA58A3" w:rsidRPr="00081A2A">
              <w:rPr>
                <w:spacing w:val="-2"/>
                <w:lang w:val="fr-FR"/>
              </w:rPr>
              <w:t>”</w:t>
            </w:r>
          </w:p>
        </w:tc>
      </w:tr>
      <w:tr w:rsidR="000E15FF" w:rsidRPr="001B283D" w:rsidTr="00081A2A">
        <w:trPr>
          <w:cantSplit/>
          <w:jc w:val="center"/>
        </w:trPr>
        <w:tc>
          <w:tcPr>
            <w:tcW w:w="1391" w:type="dxa"/>
          </w:tcPr>
          <w:p w:rsidR="00886826" w:rsidRPr="001B283D" w:rsidRDefault="00886826" w:rsidP="00AD504D">
            <w:pPr>
              <w:rPr>
                <w:lang w:val="fr-FR"/>
              </w:rPr>
            </w:pPr>
            <w:r w:rsidRPr="001B283D">
              <w:rPr>
                <w:lang w:val="fr-FR"/>
              </w:rPr>
              <w:t>2.2.2</w:t>
            </w:r>
            <w:r w:rsidR="00AD504D" w:rsidRPr="001B283D">
              <w:rPr>
                <w:lang w:val="fr-FR"/>
              </w:rPr>
              <w:t>.</w:t>
            </w:r>
            <w:r w:rsidRPr="001B283D">
              <w:rPr>
                <w:lang w:val="fr-FR"/>
              </w:rPr>
              <w:t xml:space="preserve">c) </w:t>
            </w:r>
          </w:p>
        </w:tc>
        <w:tc>
          <w:tcPr>
            <w:tcW w:w="7789" w:type="dxa"/>
          </w:tcPr>
          <w:p w:rsidR="00886826" w:rsidRPr="001B283D" w:rsidRDefault="00886826" w:rsidP="00452713">
            <w:pPr>
              <w:rPr>
                <w:lang w:val="fr-FR"/>
              </w:rPr>
            </w:pPr>
            <w:r w:rsidRPr="001B283D">
              <w:rPr>
                <w:lang w:val="fr-FR"/>
              </w:rPr>
              <w:t>Ajouter 2.2.2</w:t>
            </w:r>
            <w:r w:rsidR="00A27C5B" w:rsidRPr="001B283D">
              <w:rPr>
                <w:lang w:val="fr-FR"/>
              </w:rPr>
              <w:t>.</w:t>
            </w:r>
            <w:r w:rsidRPr="001B283D">
              <w:rPr>
                <w:lang w:val="fr-FR"/>
              </w:rPr>
              <w:t>c) comme suit</w:t>
            </w:r>
            <w:r w:rsidR="00F2415E" w:rsidRPr="001B283D">
              <w:rPr>
                <w:lang w:val="fr-FR"/>
              </w:rPr>
              <w:t> </w:t>
            </w:r>
            <w:r w:rsidRPr="001B283D">
              <w:rPr>
                <w:lang w:val="fr-FR"/>
              </w:rPr>
              <w:t>:</w:t>
            </w:r>
          </w:p>
          <w:p w:rsidR="00886826" w:rsidRPr="00081A2A" w:rsidRDefault="00886826" w:rsidP="00452713">
            <w:pPr>
              <w:rPr>
                <w:sz w:val="16"/>
                <w:lang w:val="fr-FR"/>
              </w:rPr>
            </w:pPr>
          </w:p>
          <w:p w:rsidR="00886826" w:rsidRPr="00081A2A" w:rsidRDefault="00062ED8" w:rsidP="00EA58A3">
            <w:pPr>
              <w:rPr>
                <w:spacing w:val="-2"/>
                <w:lang w:val="fr-FR"/>
              </w:rPr>
            </w:pPr>
            <w:r w:rsidRPr="00081A2A">
              <w:rPr>
                <w:spacing w:val="-2"/>
                <w:lang w:val="fr-FR"/>
              </w:rPr>
              <w:t>“</w:t>
            </w:r>
            <w:r w:rsidR="00886826" w:rsidRPr="00081A2A">
              <w:rPr>
                <w:spacing w:val="-2"/>
                <w:lang w:val="fr-FR"/>
              </w:rPr>
              <w:t>c)</w:t>
            </w:r>
            <w:r w:rsidR="00886826" w:rsidRPr="00081A2A">
              <w:rPr>
                <w:spacing w:val="-2"/>
                <w:lang w:val="fr-FR"/>
              </w:rPr>
              <w:tab/>
              <w:t xml:space="preserve">Il y a </w:t>
            </w:r>
            <w:r w:rsidR="00894570" w:rsidRPr="00081A2A">
              <w:rPr>
                <w:spacing w:val="-2"/>
                <w:lang w:val="fr-FR"/>
              </w:rPr>
              <w:t>‘</w:t>
            </w:r>
            <w:r w:rsidR="00886826" w:rsidRPr="00081A2A">
              <w:rPr>
                <w:spacing w:val="-2"/>
                <w:lang w:val="fr-FR"/>
              </w:rPr>
              <w:t xml:space="preserve">pratique </w:t>
            </w:r>
            <w:r w:rsidR="00EA58A3">
              <w:rPr>
                <w:spacing w:val="-2"/>
                <w:lang w:val="fr-FR"/>
              </w:rPr>
              <w:t>établie</w:t>
            </w:r>
            <w:r w:rsidR="00894570" w:rsidRPr="00081A2A">
              <w:rPr>
                <w:spacing w:val="-2"/>
                <w:lang w:val="fr-FR"/>
              </w:rPr>
              <w:t>’</w:t>
            </w:r>
            <w:r w:rsidR="00886826" w:rsidRPr="00081A2A">
              <w:rPr>
                <w:spacing w:val="-2"/>
                <w:lang w:val="fr-FR"/>
              </w:rPr>
              <w:t xml:space="preserve"> lorsque l</w:t>
            </w:r>
            <w:r w:rsidR="00894570" w:rsidRPr="00081A2A">
              <w:rPr>
                <w:spacing w:val="-2"/>
                <w:lang w:val="fr-FR"/>
              </w:rPr>
              <w:t>’</w:t>
            </w:r>
            <w:r w:rsidR="00886826" w:rsidRPr="00081A2A">
              <w:rPr>
                <w:spacing w:val="-2"/>
                <w:lang w:val="fr-FR"/>
              </w:rPr>
              <w:t>enregistrement a été accepté pour une espèce ou un groupe de telle sorte qu</w:t>
            </w:r>
            <w:r w:rsidR="00894570" w:rsidRPr="00081A2A">
              <w:rPr>
                <w:spacing w:val="-2"/>
                <w:lang w:val="fr-FR"/>
              </w:rPr>
              <w:t>’</w:t>
            </w:r>
            <w:r w:rsidR="00886826" w:rsidRPr="00081A2A">
              <w:rPr>
                <w:spacing w:val="-2"/>
                <w:lang w:val="fr-FR"/>
              </w:rPr>
              <w:t>il puisse être utilisé dans d</w:t>
            </w:r>
            <w:r w:rsidR="00894570" w:rsidRPr="00081A2A">
              <w:rPr>
                <w:spacing w:val="-2"/>
                <w:lang w:val="fr-FR"/>
              </w:rPr>
              <w:t>’</w:t>
            </w:r>
            <w:r w:rsidR="00886826" w:rsidRPr="00081A2A">
              <w:rPr>
                <w:spacing w:val="-2"/>
                <w:lang w:val="fr-FR"/>
              </w:rPr>
              <w:t>autres espèces qui n</w:t>
            </w:r>
            <w:r w:rsidR="00894570" w:rsidRPr="00081A2A">
              <w:rPr>
                <w:spacing w:val="-2"/>
                <w:lang w:val="fr-FR"/>
              </w:rPr>
              <w:t>’</w:t>
            </w:r>
            <w:r w:rsidR="00886826" w:rsidRPr="00081A2A">
              <w:rPr>
                <w:spacing w:val="-2"/>
                <w:lang w:val="fr-FR"/>
              </w:rPr>
              <w:t>ont pas encore enregistré une variété dont la dénomination consiste uniquement en chiffres</w:t>
            </w:r>
            <w:r w:rsidR="00EA58A3">
              <w:rPr>
                <w:spacing w:val="-2"/>
                <w:lang w:val="fr-FR"/>
              </w:rPr>
              <w:t>.</w:t>
            </w:r>
            <w:r w:rsidR="00886826" w:rsidRPr="00081A2A">
              <w:rPr>
                <w:spacing w:val="-2"/>
                <w:lang w:val="fr-FR"/>
              </w:rPr>
              <w:t>”</w:t>
            </w:r>
          </w:p>
        </w:tc>
      </w:tr>
      <w:tr w:rsidR="001B283D" w:rsidRPr="001B283D" w:rsidTr="00081A2A">
        <w:trPr>
          <w:cantSplit/>
          <w:jc w:val="center"/>
        </w:trPr>
        <w:tc>
          <w:tcPr>
            <w:tcW w:w="1391" w:type="dxa"/>
          </w:tcPr>
          <w:p w:rsidR="00886826" w:rsidRPr="001B283D" w:rsidRDefault="00886826" w:rsidP="00F87F28">
            <w:pPr>
              <w:rPr>
                <w:lang w:val="fr-FR"/>
              </w:rPr>
            </w:pPr>
            <w:r w:rsidRPr="001B283D">
              <w:rPr>
                <w:lang w:val="fr-FR"/>
              </w:rPr>
              <w:t>2.3.1</w:t>
            </w:r>
            <w:r w:rsidR="00F87F28" w:rsidRPr="001B283D">
              <w:rPr>
                <w:lang w:val="fr-FR"/>
              </w:rPr>
              <w:t>.</w:t>
            </w:r>
            <w:r w:rsidRPr="001B283D">
              <w:rPr>
                <w:lang w:val="fr-FR"/>
              </w:rPr>
              <w:t xml:space="preserve">c) </w:t>
            </w:r>
          </w:p>
        </w:tc>
        <w:tc>
          <w:tcPr>
            <w:tcW w:w="7789" w:type="dxa"/>
          </w:tcPr>
          <w:p w:rsidR="00886826" w:rsidRPr="001B283D" w:rsidRDefault="00886826" w:rsidP="00452713">
            <w:pPr>
              <w:rPr>
                <w:lang w:val="fr-FR"/>
              </w:rPr>
            </w:pPr>
            <w:r w:rsidRPr="001B283D">
              <w:rPr>
                <w:lang w:val="fr-FR"/>
              </w:rPr>
              <w:t>Élaborer des orientations s</w:t>
            </w:r>
            <w:r w:rsidR="00A27C5B" w:rsidRPr="001B283D">
              <w:rPr>
                <w:lang w:val="fr-FR"/>
              </w:rPr>
              <w:t>upplémentaires sur 2.3.1.</w:t>
            </w:r>
            <w:r w:rsidRPr="001B283D">
              <w:rPr>
                <w:lang w:val="fr-FR"/>
              </w:rPr>
              <w:t>c) et donner d</w:t>
            </w:r>
            <w:r w:rsidR="00894570" w:rsidRPr="001B283D">
              <w:rPr>
                <w:lang w:val="fr-FR"/>
              </w:rPr>
              <w:t>’</w:t>
            </w:r>
            <w:r w:rsidRPr="001B283D">
              <w:rPr>
                <w:lang w:val="fr-FR"/>
              </w:rPr>
              <w:t>autres exemples plus appropriés</w:t>
            </w:r>
          </w:p>
          <w:p w:rsidR="00886826" w:rsidRPr="00081A2A" w:rsidRDefault="00886826" w:rsidP="00452713">
            <w:pPr>
              <w:keepNext/>
              <w:rPr>
                <w:sz w:val="16"/>
                <w:lang w:val="fr-FR"/>
              </w:rPr>
            </w:pPr>
          </w:p>
          <w:p w:rsidR="00886826" w:rsidRPr="001B283D" w:rsidRDefault="00886826" w:rsidP="005E142A">
            <w:pPr>
              <w:keepNext/>
              <w:rPr>
                <w:lang w:val="fr-FR"/>
              </w:rPr>
            </w:pPr>
            <w:r w:rsidRPr="001B283D">
              <w:rPr>
                <w:lang w:val="fr-FR"/>
              </w:rPr>
              <w:t>“c)</w:t>
            </w:r>
            <w:r w:rsidRPr="001B283D">
              <w:rPr>
                <w:lang w:val="fr-FR"/>
              </w:rPr>
              <w:tab/>
              <w:t>donner l</w:t>
            </w:r>
            <w:r w:rsidR="00894570" w:rsidRPr="001B283D">
              <w:rPr>
                <w:lang w:val="fr-FR"/>
              </w:rPr>
              <w:t>’</w:t>
            </w:r>
            <w:r w:rsidRPr="001B283D">
              <w:rPr>
                <w:lang w:val="fr-FR"/>
              </w:rPr>
              <w:t>impression que la variété est issue d</w:t>
            </w:r>
            <w:r w:rsidR="00894570" w:rsidRPr="001B283D">
              <w:rPr>
                <w:lang w:val="fr-FR"/>
              </w:rPr>
              <w:t>’</w:t>
            </w:r>
            <w:r w:rsidRPr="001B283D">
              <w:rPr>
                <w:lang w:val="fr-FR"/>
              </w:rPr>
              <w:t>une autre variété ou lui est apparentée, lorsque ce n</w:t>
            </w:r>
            <w:r w:rsidR="00894570" w:rsidRPr="001B283D">
              <w:rPr>
                <w:lang w:val="fr-FR"/>
              </w:rPr>
              <w:t>’</w:t>
            </w:r>
            <w:r w:rsidRPr="001B283D">
              <w:rPr>
                <w:lang w:val="fr-FR"/>
              </w:rPr>
              <w:t>est pas le cas;</w:t>
            </w:r>
          </w:p>
          <w:p w:rsidR="00886826" w:rsidRPr="00081A2A" w:rsidRDefault="00886826" w:rsidP="00452713">
            <w:pPr>
              <w:keepNext/>
              <w:rPr>
                <w:sz w:val="16"/>
                <w:lang w:val="fr-FR"/>
              </w:rPr>
            </w:pPr>
          </w:p>
          <w:p w:rsidR="00886826" w:rsidRPr="001B283D" w:rsidRDefault="00886826" w:rsidP="003016AA">
            <w:pPr>
              <w:rPr>
                <w:lang w:val="fr-FR"/>
              </w:rPr>
            </w:pPr>
            <w:r w:rsidRPr="001B283D">
              <w:rPr>
                <w:i/>
                <w:iCs/>
                <w:lang w:val="fr-FR"/>
              </w:rPr>
              <w:t xml:space="preserve">Exemple : </w:t>
            </w:r>
            <w:r w:rsidRPr="001B283D">
              <w:rPr>
                <w:lang w:val="fr-FR"/>
              </w:rPr>
              <w:t>une dénomination analogue à celle d</w:t>
            </w:r>
            <w:r w:rsidR="00894570" w:rsidRPr="001B283D">
              <w:rPr>
                <w:lang w:val="fr-FR"/>
              </w:rPr>
              <w:t>’</w:t>
            </w:r>
            <w:r w:rsidRPr="001B283D">
              <w:rPr>
                <w:lang w:val="fr-FR"/>
              </w:rPr>
              <w:t>une autre variété de la même espèce ou qui lui est apparentée</w:t>
            </w:r>
            <w:r w:rsidR="00F87F28" w:rsidRPr="001B283D">
              <w:rPr>
                <w:lang w:val="fr-FR"/>
              </w:rPr>
              <w:t> ;</w:t>
            </w:r>
            <w:r w:rsidRPr="001B283D">
              <w:rPr>
                <w:lang w:val="fr-FR"/>
              </w:rPr>
              <w:t xml:space="preserve">  </w:t>
            </w:r>
            <w:r w:rsidR="00F87F28" w:rsidRPr="001B283D">
              <w:rPr>
                <w:lang w:val="fr-FR"/>
              </w:rPr>
              <w:t>p</w:t>
            </w:r>
            <w:r w:rsidRPr="001B283D">
              <w:rPr>
                <w:lang w:val="fr-FR"/>
              </w:rPr>
              <w:t>.</w:t>
            </w:r>
            <w:r w:rsidR="00F2415E" w:rsidRPr="001B283D">
              <w:rPr>
                <w:lang w:val="fr-FR"/>
              </w:rPr>
              <w:t> </w:t>
            </w:r>
            <w:r w:rsidRPr="001B283D">
              <w:rPr>
                <w:lang w:val="fr-FR"/>
              </w:rPr>
              <w:t>ex.</w:t>
            </w:r>
            <w:r w:rsidR="00F87F28" w:rsidRPr="001B283D">
              <w:rPr>
                <w:lang w:val="fr-FR"/>
              </w:rPr>
              <w:t> </w:t>
            </w:r>
            <w:r w:rsidRPr="001B283D">
              <w:rPr>
                <w:lang w:val="fr-FR"/>
              </w:rPr>
              <w:t>:</w:t>
            </w:r>
            <w:r w:rsidR="003016AA">
              <w:rPr>
                <w:lang w:val="fr-FR"/>
              </w:rPr>
              <w:t xml:space="preserve"> ‘</w:t>
            </w:r>
            <w:r w:rsidRPr="001B283D">
              <w:rPr>
                <w:lang w:val="fr-FR"/>
              </w:rPr>
              <w:t>Southern cross 1</w:t>
            </w:r>
            <w:r w:rsidR="003016AA">
              <w:rPr>
                <w:lang w:val="fr-FR"/>
              </w:rPr>
              <w:t>’</w:t>
            </w:r>
            <w:r w:rsidRPr="001B283D">
              <w:rPr>
                <w:lang w:val="fr-FR"/>
              </w:rPr>
              <w:t xml:space="preserve">;  </w:t>
            </w:r>
            <w:r w:rsidR="003016AA">
              <w:rPr>
                <w:lang w:val="fr-FR"/>
              </w:rPr>
              <w:t>‘</w:t>
            </w:r>
            <w:r w:rsidRPr="001B283D">
              <w:rPr>
                <w:lang w:val="fr-FR"/>
              </w:rPr>
              <w:t>Southern cross 2</w:t>
            </w:r>
            <w:r w:rsidR="003016AA">
              <w:rPr>
                <w:lang w:val="fr-FR"/>
              </w:rPr>
              <w:t>’</w:t>
            </w:r>
            <w:r w:rsidRPr="001B283D">
              <w:rPr>
                <w:lang w:val="fr-FR"/>
              </w:rPr>
              <w:t>;  etc., qui donne l</w:t>
            </w:r>
            <w:r w:rsidR="00894570" w:rsidRPr="001B283D">
              <w:rPr>
                <w:lang w:val="fr-FR"/>
              </w:rPr>
              <w:t>’</w:t>
            </w:r>
            <w:r w:rsidRPr="001B283D">
              <w:rPr>
                <w:lang w:val="fr-FR"/>
              </w:rPr>
              <w:t>impression que ces variétés constituent une série de variétés apparentées présentant les mêmes caractéristiques alors que ce n</w:t>
            </w:r>
            <w:r w:rsidR="00894570" w:rsidRPr="001B283D">
              <w:rPr>
                <w:lang w:val="fr-FR"/>
              </w:rPr>
              <w:t>’</w:t>
            </w:r>
            <w:r w:rsidRPr="001B283D">
              <w:rPr>
                <w:lang w:val="fr-FR"/>
              </w:rPr>
              <w:t>est pas le cas.</w:t>
            </w:r>
            <w:r w:rsidR="003016AA" w:rsidRPr="00081A2A">
              <w:rPr>
                <w:spacing w:val="-2"/>
                <w:lang w:val="fr-FR"/>
              </w:rPr>
              <w:t>”</w:t>
            </w:r>
          </w:p>
        </w:tc>
      </w:tr>
      <w:tr w:rsidR="000E15FF" w:rsidRPr="001B283D" w:rsidTr="00081A2A">
        <w:trPr>
          <w:cantSplit/>
          <w:jc w:val="center"/>
        </w:trPr>
        <w:tc>
          <w:tcPr>
            <w:tcW w:w="1391" w:type="dxa"/>
          </w:tcPr>
          <w:p w:rsidR="00886826" w:rsidRPr="001B283D" w:rsidRDefault="00886826" w:rsidP="00F87F28">
            <w:pPr>
              <w:rPr>
                <w:lang w:val="fr-FR"/>
              </w:rPr>
            </w:pPr>
            <w:r w:rsidRPr="001B283D">
              <w:rPr>
                <w:lang w:val="fr-FR"/>
              </w:rPr>
              <w:t>2.3.1</w:t>
            </w:r>
            <w:r w:rsidR="00F87F28" w:rsidRPr="001B283D">
              <w:rPr>
                <w:lang w:val="fr-FR"/>
              </w:rPr>
              <w:t>.</w:t>
            </w:r>
            <w:r w:rsidRPr="001B283D">
              <w:rPr>
                <w:lang w:val="fr-FR"/>
              </w:rPr>
              <w:t>d)</w:t>
            </w:r>
          </w:p>
        </w:tc>
        <w:tc>
          <w:tcPr>
            <w:tcW w:w="7789" w:type="dxa"/>
          </w:tcPr>
          <w:p w:rsidR="00886826" w:rsidRPr="001B283D" w:rsidRDefault="00886826" w:rsidP="00452713">
            <w:pPr>
              <w:rPr>
                <w:lang w:val="fr-FR"/>
              </w:rPr>
            </w:pPr>
            <w:r w:rsidRPr="001B283D">
              <w:rPr>
                <w:lang w:val="fr-FR"/>
              </w:rPr>
              <w:t>Ajouter 2.3.1</w:t>
            </w:r>
            <w:r w:rsidR="00A27C5B" w:rsidRPr="001B283D">
              <w:rPr>
                <w:lang w:val="fr-FR"/>
              </w:rPr>
              <w:t>.</w:t>
            </w:r>
            <w:r w:rsidRPr="001B283D">
              <w:rPr>
                <w:lang w:val="fr-FR"/>
              </w:rPr>
              <w:t>d) comme suit</w:t>
            </w:r>
            <w:r w:rsidR="00F2415E" w:rsidRPr="001B283D">
              <w:rPr>
                <w:lang w:val="fr-FR"/>
              </w:rPr>
              <w:t> </w:t>
            </w:r>
            <w:r w:rsidRPr="001B283D">
              <w:rPr>
                <w:lang w:val="fr-FR"/>
              </w:rPr>
              <w:t>:</w:t>
            </w:r>
          </w:p>
          <w:p w:rsidR="00886826" w:rsidRPr="00081A2A" w:rsidRDefault="00886826" w:rsidP="00452713">
            <w:pPr>
              <w:rPr>
                <w:sz w:val="16"/>
                <w:lang w:val="fr-FR"/>
              </w:rPr>
            </w:pPr>
          </w:p>
          <w:p w:rsidR="00886826" w:rsidRPr="001B283D" w:rsidRDefault="00CE4932" w:rsidP="00452713">
            <w:pPr>
              <w:rPr>
                <w:lang w:val="fr-FR"/>
              </w:rPr>
            </w:pPr>
            <w:r>
              <w:rPr>
                <w:lang w:val="fr-FR"/>
              </w:rPr>
              <w:t>“d)</w:t>
            </w:r>
            <w:r w:rsidR="00886826" w:rsidRPr="001B283D">
              <w:rPr>
                <w:lang w:val="fr-FR"/>
              </w:rPr>
              <w:tab/>
              <w:t>contient le nom botanique ou commun du genre auquel cette variété appartient.</w:t>
            </w:r>
            <w:r w:rsidR="00F2415E" w:rsidRPr="001B283D">
              <w:rPr>
                <w:lang w:val="fr-FR"/>
              </w:rPr>
              <w:t xml:space="preserve"> </w:t>
            </w:r>
            <w:r w:rsidR="00886826" w:rsidRPr="001B283D">
              <w:rPr>
                <w:lang w:val="fr-FR"/>
              </w:rPr>
              <w:t xml:space="preserve"> L</w:t>
            </w:r>
            <w:r w:rsidR="00894570" w:rsidRPr="001B283D">
              <w:rPr>
                <w:lang w:val="fr-FR"/>
              </w:rPr>
              <w:t>’</w:t>
            </w:r>
            <w:r w:rsidR="00886826" w:rsidRPr="001B283D">
              <w:rPr>
                <w:lang w:val="fr-FR"/>
              </w:rPr>
              <w:t>identité de la dénomination et celle du genre auquel elle appartient pourraient devenir peu claires et prêter à confusion</w:t>
            </w:r>
            <w:r w:rsidR="00EC6D5B">
              <w:rPr>
                <w:lang w:val="fr-FR"/>
              </w:rPr>
              <w:t>.</w:t>
            </w:r>
            <w:r w:rsidR="00886826" w:rsidRPr="001B283D">
              <w:rPr>
                <w:lang w:val="fr-FR"/>
              </w:rPr>
              <w:t>”</w:t>
            </w:r>
          </w:p>
          <w:p w:rsidR="00886826" w:rsidRPr="00081A2A" w:rsidRDefault="00886826" w:rsidP="00452713">
            <w:pPr>
              <w:rPr>
                <w:sz w:val="16"/>
                <w:highlight w:val="lightGray"/>
                <w:lang w:val="fr-FR"/>
              </w:rPr>
            </w:pPr>
          </w:p>
          <w:p w:rsidR="00886826" w:rsidRPr="001B283D" w:rsidRDefault="00886826" w:rsidP="00452713">
            <w:pPr>
              <w:rPr>
                <w:lang w:val="fr-FR"/>
              </w:rPr>
            </w:pPr>
            <w:r w:rsidRPr="001B283D">
              <w:rPr>
                <w:lang w:val="fr-FR"/>
              </w:rPr>
              <w:t>Préciser l</w:t>
            </w:r>
            <w:r w:rsidR="00894570" w:rsidRPr="001B283D">
              <w:rPr>
                <w:lang w:val="fr-FR"/>
              </w:rPr>
              <w:t>’</w:t>
            </w:r>
            <w:r w:rsidRPr="001B283D">
              <w:rPr>
                <w:lang w:val="fr-FR"/>
              </w:rPr>
              <w:t>exemple suivant</w:t>
            </w:r>
            <w:r w:rsidR="00F2415E" w:rsidRPr="001B283D">
              <w:rPr>
                <w:lang w:val="fr-FR"/>
              </w:rPr>
              <w:t> </w:t>
            </w:r>
            <w:r w:rsidRPr="001B283D">
              <w:rPr>
                <w:lang w:val="fr-FR"/>
              </w:rPr>
              <w:t>:</w:t>
            </w:r>
          </w:p>
          <w:p w:rsidR="00886826" w:rsidRPr="00081A2A" w:rsidRDefault="00886826" w:rsidP="00452713">
            <w:pPr>
              <w:rPr>
                <w:sz w:val="16"/>
                <w:lang w:val="fr-FR"/>
              </w:rPr>
            </w:pPr>
          </w:p>
          <w:p w:rsidR="00886826" w:rsidRPr="001B283D" w:rsidRDefault="00886826" w:rsidP="00452713">
            <w:pPr>
              <w:ind w:left="567"/>
              <w:rPr>
                <w:lang w:val="fr-FR"/>
              </w:rPr>
            </w:pPr>
            <w:r w:rsidRPr="001B283D">
              <w:rPr>
                <w:i/>
                <w:iCs/>
                <w:lang w:val="fr-FR"/>
              </w:rPr>
              <w:t>Exemple</w:t>
            </w:r>
            <w:r w:rsidR="00F2415E" w:rsidRPr="001B283D">
              <w:rPr>
                <w:i/>
                <w:iCs/>
                <w:lang w:val="fr-FR"/>
              </w:rPr>
              <w:t> </w:t>
            </w:r>
            <w:r w:rsidRPr="001B283D">
              <w:rPr>
                <w:i/>
                <w:lang w:val="fr-FR"/>
              </w:rPr>
              <w:t>:</w:t>
            </w:r>
            <w:r w:rsidRPr="001B283D">
              <w:rPr>
                <w:lang w:val="fr-FR"/>
              </w:rPr>
              <w:t xml:space="preserve"> variété </w:t>
            </w:r>
            <w:r w:rsidRPr="001B283D">
              <w:rPr>
                <w:i/>
                <w:iCs/>
                <w:lang w:val="fr-FR"/>
              </w:rPr>
              <w:t xml:space="preserve">Carex </w:t>
            </w:r>
            <w:r w:rsidR="00894570" w:rsidRPr="001B283D">
              <w:rPr>
                <w:lang w:val="fr-FR"/>
              </w:rPr>
              <w:t>‘</w:t>
            </w:r>
            <w:r w:rsidRPr="001B283D">
              <w:rPr>
                <w:lang w:val="fr-FR"/>
              </w:rPr>
              <w:t>Laiche</w:t>
            </w:r>
            <w:r w:rsidR="00894570" w:rsidRPr="001B283D">
              <w:rPr>
                <w:lang w:val="fr-FR"/>
              </w:rPr>
              <w:t>’</w:t>
            </w:r>
            <w:r w:rsidRPr="001B283D">
              <w:rPr>
                <w:lang w:val="fr-FR"/>
              </w:rPr>
              <w:t xml:space="preserve">. </w:t>
            </w:r>
            <w:r w:rsidR="00F2415E" w:rsidRPr="001B283D">
              <w:rPr>
                <w:lang w:val="fr-FR"/>
              </w:rPr>
              <w:t xml:space="preserve"> </w:t>
            </w:r>
            <w:r w:rsidRPr="001B283D">
              <w:rPr>
                <w:lang w:val="fr-FR"/>
              </w:rPr>
              <w:t>On pourrait l</w:t>
            </w:r>
            <w:r w:rsidR="00894570" w:rsidRPr="001B283D">
              <w:rPr>
                <w:lang w:val="fr-FR"/>
              </w:rPr>
              <w:t>’</w:t>
            </w:r>
            <w:r w:rsidRPr="001B283D">
              <w:rPr>
                <w:lang w:val="fr-FR"/>
              </w:rPr>
              <w:t xml:space="preserve">appeler </w:t>
            </w:r>
            <w:r w:rsidR="00894570" w:rsidRPr="001B283D">
              <w:rPr>
                <w:lang w:val="fr-FR"/>
              </w:rPr>
              <w:t>‘</w:t>
            </w:r>
            <w:r w:rsidRPr="001B283D">
              <w:rPr>
                <w:lang w:val="fr-FR"/>
              </w:rPr>
              <w:t>Laiche</w:t>
            </w:r>
            <w:r w:rsidR="00894570" w:rsidRPr="001B283D">
              <w:rPr>
                <w:lang w:val="fr-FR"/>
              </w:rPr>
              <w:t>’</w:t>
            </w:r>
            <w:r w:rsidRPr="001B283D">
              <w:rPr>
                <w:lang w:val="fr-FR"/>
              </w:rPr>
              <w:t xml:space="preserve"> </w:t>
            </w:r>
            <w:r w:rsidRPr="001B283D">
              <w:rPr>
                <w:i/>
                <w:iCs/>
                <w:lang w:val="fr-FR"/>
              </w:rPr>
              <w:t>Carex.</w:t>
            </w:r>
            <w:r w:rsidR="00F2415E" w:rsidRPr="001B283D">
              <w:rPr>
                <w:i/>
                <w:iCs/>
                <w:lang w:val="fr-FR"/>
              </w:rPr>
              <w:t xml:space="preserve"> </w:t>
            </w:r>
            <w:r w:rsidRPr="001B283D">
              <w:rPr>
                <w:i/>
                <w:lang w:val="fr-FR"/>
              </w:rPr>
              <w:t xml:space="preserve"> </w:t>
            </w:r>
            <w:r w:rsidRPr="001B283D">
              <w:rPr>
                <w:lang w:val="fr-FR"/>
              </w:rPr>
              <w:t>Sans utiliser des italiques ou de</w:t>
            </w:r>
            <w:r w:rsidR="00F87F28" w:rsidRPr="001B283D">
              <w:rPr>
                <w:lang w:val="fr-FR"/>
              </w:rPr>
              <w:t>s guillemets</w:t>
            </w:r>
            <w:r w:rsidRPr="001B283D">
              <w:rPr>
                <w:lang w:val="fr-FR"/>
              </w:rPr>
              <w:t xml:space="preserve"> simple</w:t>
            </w:r>
            <w:r w:rsidR="00F87F28" w:rsidRPr="001B283D">
              <w:rPr>
                <w:lang w:val="fr-FR"/>
              </w:rPr>
              <w:t>s</w:t>
            </w:r>
            <w:r w:rsidRPr="001B283D">
              <w:rPr>
                <w:lang w:val="fr-FR"/>
              </w:rPr>
              <w:t>, l</w:t>
            </w:r>
            <w:r w:rsidR="00894570" w:rsidRPr="001B283D">
              <w:rPr>
                <w:lang w:val="fr-FR"/>
              </w:rPr>
              <w:t>’</w:t>
            </w:r>
            <w:r w:rsidRPr="001B283D">
              <w:rPr>
                <w:lang w:val="fr-FR"/>
              </w:rPr>
              <w:t>identité de la dénomination et du genre peut ne pas être claire.</w:t>
            </w:r>
          </w:p>
          <w:p w:rsidR="00886826" w:rsidRPr="00081A2A" w:rsidRDefault="00886826" w:rsidP="00452713">
            <w:pPr>
              <w:rPr>
                <w:sz w:val="16"/>
                <w:lang w:val="fr-FR"/>
              </w:rPr>
            </w:pPr>
          </w:p>
          <w:p w:rsidR="00886826" w:rsidRPr="001B283D" w:rsidRDefault="00886826" w:rsidP="00C841DF">
            <w:pPr>
              <w:rPr>
                <w:lang w:val="fr-FR"/>
              </w:rPr>
            </w:pPr>
            <w:r w:rsidRPr="001B283D">
              <w:rPr>
                <w:lang w:val="fr-FR"/>
              </w:rPr>
              <w:t>Élaborer des orientations sur la confusion possible du nom botanique ou du nom commun d</w:t>
            </w:r>
            <w:r w:rsidR="00894570" w:rsidRPr="001B283D">
              <w:rPr>
                <w:lang w:val="fr-FR"/>
              </w:rPr>
              <w:t>’</w:t>
            </w:r>
            <w:r w:rsidRPr="001B283D">
              <w:rPr>
                <w:lang w:val="fr-FR"/>
              </w:rPr>
              <w:t xml:space="preserve">un genre auquel cette variété </w:t>
            </w:r>
            <w:r w:rsidRPr="001B283D">
              <w:rPr>
                <w:u w:val="single"/>
                <w:lang w:val="fr-FR"/>
              </w:rPr>
              <w:t>n</w:t>
            </w:r>
            <w:r w:rsidR="00894570" w:rsidRPr="001B283D">
              <w:rPr>
                <w:lang w:val="fr-FR"/>
              </w:rPr>
              <w:t>’</w:t>
            </w:r>
            <w:r w:rsidRPr="001B283D">
              <w:rPr>
                <w:lang w:val="fr-FR"/>
              </w:rPr>
              <w:t xml:space="preserve">appartient </w:t>
            </w:r>
            <w:r w:rsidRPr="001B283D">
              <w:rPr>
                <w:u w:val="single"/>
                <w:lang w:val="fr-FR"/>
              </w:rPr>
              <w:t>pas</w:t>
            </w:r>
            <w:r w:rsidRPr="001B283D">
              <w:rPr>
                <w:lang w:val="fr-FR"/>
              </w:rPr>
              <w:t xml:space="preserve"> – cas par cas</w:t>
            </w:r>
            <w:r w:rsidR="00B25E81">
              <w:rPr>
                <w:lang w:val="fr-FR"/>
              </w:rPr>
              <w:t>.</w:t>
            </w:r>
            <w:bookmarkStart w:id="5" w:name="_GoBack"/>
            <w:bookmarkEnd w:id="5"/>
          </w:p>
        </w:tc>
      </w:tr>
      <w:tr w:rsidR="000E15FF" w:rsidRPr="001B283D" w:rsidTr="00081A2A">
        <w:trPr>
          <w:cantSplit/>
          <w:jc w:val="center"/>
        </w:trPr>
        <w:tc>
          <w:tcPr>
            <w:tcW w:w="1391" w:type="dxa"/>
          </w:tcPr>
          <w:p w:rsidR="00886826" w:rsidRPr="001B283D" w:rsidRDefault="00886826" w:rsidP="00452713">
            <w:pPr>
              <w:rPr>
                <w:lang w:val="fr-FR"/>
              </w:rPr>
            </w:pPr>
            <w:r w:rsidRPr="001B283D">
              <w:rPr>
                <w:lang w:val="fr-FR"/>
              </w:rPr>
              <w:t>2.3.3.</w:t>
            </w:r>
          </w:p>
        </w:tc>
        <w:tc>
          <w:tcPr>
            <w:tcW w:w="7789" w:type="dxa"/>
          </w:tcPr>
          <w:p w:rsidR="00886826" w:rsidRPr="001B283D" w:rsidRDefault="00886826" w:rsidP="00452713">
            <w:pPr>
              <w:rPr>
                <w:snapToGrid w:val="0"/>
                <w:lang w:val="fr-FR"/>
              </w:rPr>
            </w:pPr>
            <w:r w:rsidRPr="001B283D">
              <w:rPr>
                <w:snapToGrid w:val="0"/>
                <w:lang w:val="fr-FR"/>
              </w:rPr>
              <w:t>Prendre en compte les propositions dans le paragraphe</w:t>
            </w:r>
            <w:r w:rsidR="00F2415E" w:rsidRPr="001B283D">
              <w:rPr>
                <w:snapToGrid w:val="0"/>
                <w:lang w:val="fr-FR"/>
              </w:rPr>
              <w:t> </w:t>
            </w:r>
            <w:r w:rsidRPr="001B283D">
              <w:rPr>
                <w:snapToGrid w:val="0"/>
                <w:lang w:val="fr-FR"/>
              </w:rPr>
              <w:t xml:space="preserve">2.3.3 du document </w:t>
            </w:r>
            <w:r w:rsidRPr="001B283D">
              <w:rPr>
                <w:lang w:val="fr-FR"/>
              </w:rPr>
              <w:t>UPOV/INF/12/5 Draft 2 en tant qu</w:t>
            </w:r>
            <w:r w:rsidR="00894570" w:rsidRPr="001B283D">
              <w:rPr>
                <w:lang w:val="fr-FR"/>
              </w:rPr>
              <w:t>’</w:t>
            </w:r>
            <w:r w:rsidRPr="001B283D">
              <w:rPr>
                <w:lang w:val="fr-FR"/>
              </w:rPr>
              <w:t>étape initiale de l</w:t>
            </w:r>
            <w:r w:rsidR="00894570" w:rsidRPr="001B283D">
              <w:rPr>
                <w:lang w:val="fr-FR"/>
              </w:rPr>
              <w:t>’</w:t>
            </w:r>
            <w:r w:rsidRPr="001B283D">
              <w:rPr>
                <w:lang w:val="fr-FR"/>
              </w:rPr>
              <w:t>élaboration d</w:t>
            </w:r>
            <w:r w:rsidR="00894570" w:rsidRPr="001B283D">
              <w:rPr>
                <w:lang w:val="fr-FR"/>
              </w:rPr>
              <w:t>’</w:t>
            </w:r>
            <w:r w:rsidRPr="001B283D">
              <w:rPr>
                <w:lang w:val="fr-FR"/>
              </w:rPr>
              <w:t>orientations supplémentaires et d</w:t>
            </w:r>
            <w:r w:rsidR="00894570" w:rsidRPr="001B283D">
              <w:rPr>
                <w:lang w:val="fr-FR"/>
              </w:rPr>
              <w:t>’</w:t>
            </w:r>
            <w:r w:rsidRPr="001B283D">
              <w:rPr>
                <w:lang w:val="fr-FR"/>
              </w:rPr>
              <w:t>exemples appropriés de concert avec l</w:t>
            </w:r>
            <w:r w:rsidR="00894570" w:rsidRPr="001B283D">
              <w:rPr>
                <w:lang w:val="fr-FR"/>
              </w:rPr>
              <w:t>’</w:t>
            </w:r>
            <w:r w:rsidRPr="001B283D">
              <w:rPr>
                <w:lang w:val="fr-FR"/>
              </w:rPr>
              <w:t>élaboration d</w:t>
            </w:r>
            <w:r w:rsidR="00894570" w:rsidRPr="001B283D">
              <w:rPr>
                <w:lang w:val="fr-FR"/>
              </w:rPr>
              <w:t>’</w:t>
            </w:r>
            <w:r w:rsidRPr="001B283D">
              <w:rPr>
                <w:lang w:val="fr-FR"/>
              </w:rPr>
              <w:t>un outil de recherche de l</w:t>
            </w:r>
            <w:r w:rsidR="00894570" w:rsidRPr="001B283D">
              <w:rPr>
                <w:lang w:val="fr-FR"/>
              </w:rPr>
              <w:t>’</w:t>
            </w:r>
            <w:r w:rsidRPr="001B283D">
              <w:rPr>
                <w:lang w:val="fr-FR"/>
              </w:rPr>
              <w:t>UPOV de similarité efficace.</w:t>
            </w:r>
          </w:p>
        </w:tc>
      </w:tr>
      <w:tr w:rsidR="000E15FF" w:rsidRPr="001B283D" w:rsidTr="00081A2A">
        <w:trPr>
          <w:cantSplit/>
          <w:jc w:val="center"/>
        </w:trPr>
        <w:tc>
          <w:tcPr>
            <w:tcW w:w="1391" w:type="dxa"/>
          </w:tcPr>
          <w:p w:rsidR="00886826" w:rsidRPr="001B283D" w:rsidRDefault="00886826" w:rsidP="00F87F28">
            <w:pPr>
              <w:rPr>
                <w:lang w:val="fr-FR"/>
              </w:rPr>
            </w:pPr>
            <w:r w:rsidRPr="001B283D">
              <w:rPr>
                <w:lang w:val="fr-FR"/>
              </w:rPr>
              <w:t>4</w:t>
            </w:r>
            <w:r w:rsidR="00F87F28" w:rsidRPr="001B283D">
              <w:rPr>
                <w:lang w:val="fr-FR"/>
              </w:rPr>
              <w:t>.</w:t>
            </w:r>
            <w:r w:rsidRPr="001B283D">
              <w:rPr>
                <w:lang w:val="fr-FR"/>
              </w:rPr>
              <w:t>a)</w:t>
            </w:r>
          </w:p>
        </w:tc>
        <w:tc>
          <w:tcPr>
            <w:tcW w:w="7789" w:type="dxa"/>
          </w:tcPr>
          <w:p w:rsidR="00886826" w:rsidRPr="001B283D" w:rsidRDefault="00CE4932" w:rsidP="00452713">
            <w:pPr>
              <w:rPr>
                <w:snapToGrid w:val="0"/>
                <w:lang w:val="fr-FR"/>
              </w:rPr>
            </w:pPr>
            <w:r>
              <w:rPr>
                <w:snapToGrid w:val="0"/>
                <w:lang w:val="fr-FR"/>
              </w:rPr>
              <w:t xml:space="preserve">Modifier </w:t>
            </w:r>
            <w:r w:rsidR="00886826" w:rsidRPr="001B283D">
              <w:rPr>
                <w:snapToGrid w:val="0"/>
                <w:lang w:val="fr-FR"/>
              </w:rPr>
              <w:t>4</w:t>
            </w:r>
            <w:r w:rsidR="00A27C5B" w:rsidRPr="001B283D">
              <w:rPr>
                <w:snapToGrid w:val="0"/>
                <w:lang w:val="fr-FR"/>
              </w:rPr>
              <w:t>.</w:t>
            </w:r>
            <w:r w:rsidR="00886826" w:rsidRPr="001B283D">
              <w:rPr>
                <w:snapToGrid w:val="0"/>
                <w:lang w:val="fr-FR"/>
              </w:rPr>
              <w:t>a) comme suit</w:t>
            </w:r>
            <w:r w:rsidR="00F2415E" w:rsidRPr="001B283D">
              <w:rPr>
                <w:snapToGrid w:val="0"/>
                <w:lang w:val="fr-FR"/>
              </w:rPr>
              <w:t> </w:t>
            </w:r>
            <w:r w:rsidR="00886826" w:rsidRPr="001B283D">
              <w:rPr>
                <w:snapToGrid w:val="0"/>
                <w:lang w:val="fr-FR"/>
              </w:rPr>
              <w:t>:</w:t>
            </w:r>
          </w:p>
          <w:p w:rsidR="00886826" w:rsidRPr="00081A2A" w:rsidRDefault="00886826" w:rsidP="00452713">
            <w:pPr>
              <w:rPr>
                <w:snapToGrid w:val="0"/>
                <w:sz w:val="16"/>
                <w:lang w:val="fr-FR"/>
              </w:rPr>
            </w:pPr>
          </w:p>
          <w:p w:rsidR="00886826" w:rsidRPr="001B283D" w:rsidRDefault="00886826" w:rsidP="00FB2471">
            <w:pPr>
              <w:ind w:firstLine="567"/>
              <w:rPr>
                <w:lang w:val="fr-FR"/>
              </w:rPr>
            </w:pPr>
            <w:r w:rsidRPr="001B283D">
              <w:rPr>
                <w:lang w:val="fr-FR"/>
              </w:rPr>
              <w:t>“a)</w:t>
            </w:r>
            <w:r w:rsidRPr="001B283D">
              <w:rPr>
                <w:lang w:val="fr-FR"/>
              </w:rPr>
              <w:tab/>
              <w:t xml:space="preserve">Un service </w:t>
            </w:r>
            <w:r w:rsidR="00FB2471" w:rsidRPr="00FB2471">
              <w:rPr>
                <w:strike/>
                <w:lang w:val="fr-FR"/>
              </w:rPr>
              <w:t>n’acceptera</w:t>
            </w:r>
            <w:r w:rsidR="00FB2471">
              <w:rPr>
                <w:lang w:val="fr-FR"/>
              </w:rPr>
              <w:t xml:space="preserve"> </w:t>
            </w:r>
            <w:r w:rsidRPr="00FB2471">
              <w:rPr>
                <w:u w:val="single"/>
                <w:lang w:val="fr-FR"/>
              </w:rPr>
              <w:t>ne doit</w:t>
            </w:r>
            <w:r w:rsidRPr="001B283D">
              <w:rPr>
                <w:lang w:val="fr-FR"/>
              </w:rPr>
              <w:t xml:space="preserve"> pas </w:t>
            </w:r>
            <w:r w:rsidRPr="00FB2471">
              <w:rPr>
                <w:u w:val="single"/>
                <w:lang w:val="fr-FR"/>
              </w:rPr>
              <w:t>accepter</w:t>
            </w:r>
            <w:r w:rsidRPr="001B283D">
              <w:rPr>
                <w:lang w:val="fr-FR"/>
              </w:rPr>
              <w:t xml:space="preserve"> une dénomination variétale </w:t>
            </w:r>
            <w:r w:rsidR="00FB2471" w:rsidRPr="00FB2471">
              <w:rPr>
                <w:strike/>
                <w:lang w:val="fr-FR"/>
              </w:rPr>
              <w:t>lorsqu’</w:t>
            </w:r>
            <w:r w:rsidRPr="001B283D">
              <w:rPr>
                <w:strike/>
                <w:lang w:val="fr-FR"/>
              </w:rPr>
              <w:t>un</w:t>
            </w:r>
            <w:r w:rsidRPr="001B283D">
              <w:rPr>
                <w:lang w:val="fr-FR"/>
              </w:rPr>
              <w:t xml:space="preserve"> </w:t>
            </w:r>
            <w:r w:rsidR="00FB2471" w:rsidRPr="00FB2471">
              <w:rPr>
                <w:u w:val="single"/>
                <w:lang w:val="fr-FR"/>
              </w:rPr>
              <w:t xml:space="preserve">si </w:t>
            </w:r>
            <w:r w:rsidRPr="00FB2471">
              <w:rPr>
                <w:u w:val="single"/>
                <w:lang w:val="fr-FR"/>
              </w:rPr>
              <w:t>il y a un</w:t>
            </w:r>
            <w:r w:rsidRPr="001B283D">
              <w:rPr>
                <w:lang w:val="fr-FR"/>
              </w:rPr>
              <w:t xml:space="preserve"> droit antérieur </w:t>
            </w:r>
            <w:r w:rsidRPr="001B283D">
              <w:rPr>
                <w:u w:val="single"/>
                <w:lang w:val="fr-FR"/>
              </w:rPr>
              <w:t>existant</w:t>
            </w:r>
            <w:r w:rsidRPr="001B283D">
              <w:rPr>
                <w:lang w:val="fr-FR"/>
              </w:rPr>
              <w:t>, dont l</w:t>
            </w:r>
            <w:r w:rsidR="00894570" w:rsidRPr="001B283D">
              <w:rPr>
                <w:lang w:val="fr-FR"/>
              </w:rPr>
              <w:t>’</w:t>
            </w:r>
            <w:r w:rsidRPr="001B283D">
              <w:rPr>
                <w:lang w:val="fr-FR"/>
              </w:rPr>
              <w:t>exercice peut empêcher l</w:t>
            </w:r>
            <w:r w:rsidR="00894570" w:rsidRPr="001B283D">
              <w:rPr>
                <w:lang w:val="fr-FR"/>
              </w:rPr>
              <w:t>’</w:t>
            </w:r>
            <w:r w:rsidRPr="001B283D">
              <w:rPr>
                <w:lang w:val="fr-FR"/>
              </w:rPr>
              <w:t>utilisation de la dénomination proposée</w:t>
            </w:r>
            <w:r w:rsidRPr="001B283D">
              <w:rPr>
                <w:strike/>
                <w:lang w:val="fr-FR"/>
              </w:rPr>
              <w:t>, a déjà été octroyé à un tiers en vertu de la loi sur les droits d</w:t>
            </w:r>
            <w:r w:rsidR="00894570" w:rsidRPr="001B283D">
              <w:rPr>
                <w:strike/>
                <w:lang w:val="fr-FR"/>
              </w:rPr>
              <w:t>’</w:t>
            </w:r>
            <w:r w:rsidRPr="001B283D">
              <w:rPr>
                <w:strike/>
                <w:lang w:val="fr-FR"/>
              </w:rPr>
              <w:t xml:space="preserve">obtenteur, de la loi sur les marques ou de toute autre loi sur la propriété intellectuelle. </w:t>
            </w:r>
            <w:r w:rsidR="00F2415E" w:rsidRPr="001B283D">
              <w:rPr>
                <w:strike/>
                <w:lang w:val="fr-FR"/>
              </w:rPr>
              <w:t xml:space="preserve"> </w:t>
            </w:r>
            <w:r w:rsidRPr="001B283D">
              <w:rPr>
                <w:lang w:val="fr-FR"/>
              </w:rPr>
              <w:t>Il incombe au titulaire d</w:t>
            </w:r>
            <w:r w:rsidR="00894570" w:rsidRPr="001B283D">
              <w:rPr>
                <w:lang w:val="fr-FR"/>
              </w:rPr>
              <w:t>’</w:t>
            </w:r>
            <w:r w:rsidRPr="001B283D">
              <w:rPr>
                <w:lang w:val="fr-FR"/>
              </w:rPr>
              <w:t>un droit antérieur de faire valoir ses droits dans le cadre des procédures d</w:t>
            </w:r>
            <w:r w:rsidR="00894570" w:rsidRPr="001B283D">
              <w:rPr>
                <w:lang w:val="fr-FR"/>
              </w:rPr>
              <w:t>’</w:t>
            </w:r>
            <w:r w:rsidRPr="001B283D">
              <w:rPr>
                <w:lang w:val="fr-FR"/>
              </w:rPr>
              <w:t xml:space="preserve">opposition ou des procédures judiciaires disponibles. </w:t>
            </w:r>
            <w:r w:rsidR="00F2415E" w:rsidRPr="001B283D">
              <w:rPr>
                <w:lang w:val="fr-FR"/>
              </w:rPr>
              <w:t xml:space="preserve"> </w:t>
            </w:r>
            <w:r w:rsidRPr="001B283D">
              <w:rPr>
                <w:lang w:val="fr-FR"/>
              </w:rPr>
              <w:t>Cela étant, les services sont encouragés à effectuer des recherches préalables dans les publications (p.</w:t>
            </w:r>
            <w:r w:rsidR="00F2415E" w:rsidRPr="001B283D">
              <w:rPr>
                <w:lang w:val="fr-FR"/>
              </w:rPr>
              <w:t> </w:t>
            </w:r>
            <w:r w:rsidRPr="001B283D">
              <w:rPr>
                <w:lang w:val="fr-FR"/>
              </w:rPr>
              <w:t>ex.</w:t>
            </w:r>
            <w:r w:rsidR="00062ED8" w:rsidRPr="001B283D">
              <w:rPr>
                <w:lang w:val="fr-FR"/>
              </w:rPr>
              <w:t> :</w:t>
            </w:r>
            <w:r w:rsidRPr="001B283D">
              <w:rPr>
                <w:lang w:val="fr-FR"/>
              </w:rPr>
              <w:t xml:space="preserve"> les bulletins officiels) et les bases de données pertinentes (p.</w:t>
            </w:r>
            <w:r w:rsidR="00F2415E" w:rsidRPr="001B283D">
              <w:rPr>
                <w:lang w:val="fr-FR"/>
              </w:rPr>
              <w:t> </w:t>
            </w:r>
            <w:r w:rsidRPr="001B283D">
              <w:rPr>
                <w:lang w:val="fr-FR"/>
              </w:rPr>
              <w:t xml:space="preserve">ex. Base de données UPOV sur les variétés végétales (PLUTO) </w:t>
            </w:r>
            <w:hyperlink r:id="rId10" w:history="1">
              <w:r w:rsidRPr="00CE4932">
                <w:rPr>
                  <w:rStyle w:val="Hyperlink"/>
                  <w:lang w:val="fr-FR"/>
                </w:rPr>
                <w:t>http://www.upov.int/pluto/fr/</w:t>
              </w:r>
            </w:hyperlink>
            <w:r w:rsidRPr="001B283D">
              <w:rPr>
                <w:lang w:val="fr-FR"/>
              </w:rPr>
              <w:t>) pour identifier les droits antérieurs de dénominations variétales.  Ils peuvent aussi effectuer des recherches dans d</w:t>
            </w:r>
            <w:r w:rsidR="00894570" w:rsidRPr="001B283D">
              <w:rPr>
                <w:lang w:val="fr-FR"/>
              </w:rPr>
              <w:t>’</w:t>
            </w:r>
            <w:r w:rsidRPr="001B283D">
              <w:rPr>
                <w:lang w:val="fr-FR"/>
              </w:rPr>
              <w:t>autres registres, tels que des registres de marques, avant d</w:t>
            </w:r>
            <w:r w:rsidR="00894570" w:rsidRPr="001B283D">
              <w:rPr>
                <w:lang w:val="fr-FR"/>
              </w:rPr>
              <w:t>’</w:t>
            </w:r>
            <w:r w:rsidRPr="001B283D">
              <w:rPr>
                <w:lang w:val="fr-FR"/>
              </w:rPr>
              <w:t>accepter une dénomination variétale</w:t>
            </w:r>
            <w:r w:rsidR="00CE4932">
              <w:rPr>
                <w:lang w:val="fr-FR"/>
              </w:rPr>
              <w:t>”</w:t>
            </w:r>
            <w:r w:rsidRPr="001B283D">
              <w:rPr>
                <w:lang w:val="fr-FR"/>
              </w:rPr>
              <w:t>.</w:t>
            </w:r>
          </w:p>
        </w:tc>
      </w:tr>
      <w:tr w:rsidR="000E15FF" w:rsidRPr="001B283D" w:rsidTr="00081A2A">
        <w:trPr>
          <w:cantSplit/>
          <w:jc w:val="center"/>
        </w:trPr>
        <w:tc>
          <w:tcPr>
            <w:tcW w:w="1391" w:type="dxa"/>
          </w:tcPr>
          <w:p w:rsidR="00886826" w:rsidRPr="001B283D" w:rsidRDefault="00886826" w:rsidP="00F87F28">
            <w:pPr>
              <w:rPr>
                <w:lang w:val="fr-FR"/>
              </w:rPr>
            </w:pPr>
            <w:r w:rsidRPr="001B283D">
              <w:rPr>
                <w:lang w:val="fr-FR"/>
              </w:rPr>
              <w:t>4</w:t>
            </w:r>
            <w:r w:rsidR="00F87F28" w:rsidRPr="001B283D">
              <w:rPr>
                <w:lang w:val="fr-FR"/>
              </w:rPr>
              <w:t>.</w:t>
            </w:r>
            <w:r w:rsidRPr="001B283D">
              <w:rPr>
                <w:lang w:val="fr-FR"/>
              </w:rPr>
              <w:t>e)i)</w:t>
            </w:r>
          </w:p>
        </w:tc>
        <w:tc>
          <w:tcPr>
            <w:tcW w:w="7789" w:type="dxa"/>
          </w:tcPr>
          <w:p w:rsidR="00886826" w:rsidRPr="001B283D" w:rsidRDefault="00886826" w:rsidP="00452713">
            <w:pPr>
              <w:rPr>
                <w:snapToGrid w:val="0"/>
                <w:lang w:val="fr-FR"/>
              </w:rPr>
            </w:pPr>
            <w:r w:rsidRPr="001B283D">
              <w:rPr>
                <w:snapToGrid w:val="0"/>
                <w:lang w:val="fr-FR"/>
              </w:rPr>
              <w:t>Modifier la dernière phrase du paragraphe</w:t>
            </w:r>
            <w:r w:rsidR="00F2415E" w:rsidRPr="001B283D">
              <w:rPr>
                <w:snapToGrid w:val="0"/>
                <w:lang w:val="fr-FR"/>
              </w:rPr>
              <w:t> </w:t>
            </w:r>
            <w:r w:rsidRPr="001B283D">
              <w:rPr>
                <w:snapToGrid w:val="0"/>
                <w:lang w:val="fr-FR"/>
              </w:rPr>
              <w:t>4</w:t>
            </w:r>
            <w:r w:rsidR="00A27C5B" w:rsidRPr="001B283D">
              <w:rPr>
                <w:snapToGrid w:val="0"/>
                <w:lang w:val="fr-FR"/>
              </w:rPr>
              <w:t>.</w:t>
            </w:r>
            <w:r w:rsidRPr="001B283D">
              <w:rPr>
                <w:lang w:val="fr-FR"/>
              </w:rPr>
              <w:t>e)i) comme suit</w:t>
            </w:r>
            <w:r w:rsidR="00F2415E" w:rsidRPr="001B283D">
              <w:rPr>
                <w:lang w:val="fr-FR"/>
              </w:rPr>
              <w:t> </w:t>
            </w:r>
            <w:r w:rsidRPr="001B283D">
              <w:rPr>
                <w:snapToGrid w:val="0"/>
                <w:lang w:val="fr-FR"/>
              </w:rPr>
              <w:t>:</w:t>
            </w:r>
          </w:p>
          <w:p w:rsidR="00886826" w:rsidRPr="00081A2A" w:rsidRDefault="00886826" w:rsidP="00452713">
            <w:pPr>
              <w:rPr>
                <w:snapToGrid w:val="0"/>
                <w:sz w:val="16"/>
                <w:lang w:val="fr-FR"/>
              </w:rPr>
            </w:pPr>
          </w:p>
          <w:p w:rsidR="00886826" w:rsidRPr="001B283D" w:rsidRDefault="00886826" w:rsidP="00B25E81">
            <w:pPr>
              <w:tabs>
                <w:tab w:val="right" w:pos="1134"/>
                <w:tab w:val="left" w:pos="1418"/>
              </w:tabs>
              <w:rPr>
                <w:lang w:val="fr-FR"/>
              </w:rPr>
            </w:pPr>
            <w:r w:rsidRPr="001B283D">
              <w:rPr>
                <w:lang w:val="fr-FR"/>
              </w:rPr>
              <w:t xml:space="preserve">“Dans les cas de simple similitude ou de faible risque </w:t>
            </w:r>
            <w:r w:rsidRPr="001B283D">
              <w:rPr>
                <w:strike/>
                <w:lang w:val="fr-FR"/>
              </w:rPr>
              <w:t>d</w:t>
            </w:r>
            <w:r w:rsidR="00894570" w:rsidRPr="001B283D">
              <w:rPr>
                <w:strike/>
                <w:lang w:val="fr-FR"/>
              </w:rPr>
              <w:t>’</w:t>
            </w:r>
            <w:r w:rsidRPr="001B283D">
              <w:rPr>
                <w:strike/>
                <w:lang w:val="fr-FR"/>
              </w:rPr>
              <w:t>association</w:t>
            </w:r>
            <w:r w:rsidRPr="001B283D">
              <w:rPr>
                <w:lang w:val="fr-FR"/>
              </w:rPr>
              <w:t xml:space="preserve"> </w:t>
            </w:r>
            <w:r w:rsidRPr="001B283D">
              <w:rPr>
                <w:u w:val="single"/>
                <w:lang w:val="fr-FR"/>
              </w:rPr>
              <w:t>de confusion</w:t>
            </w:r>
            <w:r w:rsidRPr="001B283D">
              <w:rPr>
                <w:lang w:val="fr-FR"/>
              </w:rPr>
              <w:t xml:space="preserve"> par les utilisateurs, des dérogations accordées aux obtenteurs par les titulaires des droits antérieurs sur une marque peuvent convenir</w:t>
            </w:r>
            <w:r w:rsidR="00B25E81">
              <w:rPr>
                <w:lang w:val="fr-FR"/>
              </w:rPr>
              <w:t>.</w:t>
            </w:r>
            <w:r w:rsidRPr="001B283D">
              <w:rPr>
                <w:lang w:val="fr-FR"/>
              </w:rPr>
              <w:t>”</w:t>
            </w:r>
          </w:p>
        </w:tc>
      </w:tr>
    </w:tbl>
    <w:p w:rsidR="00886826" w:rsidRDefault="00886826" w:rsidP="002F32A9">
      <w:pPr>
        <w:rPr>
          <w:lang w:val="fr-FR"/>
        </w:rPr>
      </w:pPr>
    </w:p>
    <w:p w:rsidR="00081A2A" w:rsidRPr="001B283D" w:rsidRDefault="00081A2A" w:rsidP="002F32A9">
      <w:pPr>
        <w:rPr>
          <w:lang w:val="fr-FR"/>
        </w:rPr>
      </w:pPr>
    </w:p>
    <w:p w:rsidR="00886826" w:rsidRPr="001B283D" w:rsidRDefault="00886826" w:rsidP="00EF4896">
      <w:pPr>
        <w:pStyle w:val="Heading2"/>
        <w:rPr>
          <w:lang w:val="fr-FR"/>
        </w:rPr>
      </w:pPr>
      <w:r w:rsidRPr="001B283D">
        <w:rPr>
          <w:lang w:val="fr-FR"/>
        </w:rPr>
        <w:lastRenderedPageBreak/>
        <w:t>Questions concernant les descriptions variétales</w:t>
      </w:r>
    </w:p>
    <w:p w:rsidR="00886826" w:rsidRPr="001B283D" w:rsidRDefault="00886826" w:rsidP="000E2821">
      <w:pPr>
        <w:keepNext/>
        <w:rPr>
          <w:lang w:val="fr-FR"/>
        </w:rPr>
      </w:pPr>
    </w:p>
    <w:p w:rsidR="00886826" w:rsidRPr="001B283D" w:rsidRDefault="00886826" w:rsidP="004E579A">
      <w:pPr>
        <w:keepNext/>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Le CAJ</w:t>
      </w:r>
      <w:r w:rsidR="00A27C5B" w:rsidRPr="001B283D">
        <w:rPr>
          <w:lang w:val="fr-FR"/>
        </w:rPr>
        <w:noBreakHyphen/>
      </w:r>
      <w:r w:rsidRPr="001B283D">
        <w:rPr>
          <w:lang w:val="fr-FR"/>
        </w:rPr>
        <w:t>AG examine le document CAJ</w:t>
      </w:r>
      <w:r w:rsidR="00A27C5B" w:rsidRPr="001B283D">
        <w:rPr>
          <w:lang w:val="fr-FR"/>
        </w:rPr>
        <w:noBreakHyphen/>
      </w:r>
      <w:r w:rsidRPr="001B283D">
        <w:rPr>
          <w:lang w:val="fr-FR"/>
        </w:rPr>
        <w:t>AG/14/9/4 “Questions concernant les descriptions variétales”.</w:t>
      </w:r>
    </w:p>
    <w:p w:rsidR="00886826" w:rsidRPr="001B283D" w:rsidRDefault="00886826" w:rsidP="004E579A">
      <w:pPr>
        <w:keepNext/>
        <w:rPr>
          <w:lang w:val="fr-FR"/>
        </w:rPr>
      </w:pPr>
    </w:p>
    <w:p w:rsidR="00894570" w:rsidRPr="001B283D" w:rsidRDefault="00886826" w:rsidP="004E579A">
      <w:pPr>
        <w:keepNext/>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Le CAJ</w:t>
      </w:r>
      <w:r w:rsidR="00A27C5B" w:rsidRPr="001B283D">
        <w:rPr>
          <w:lang w:val="fr-FR"/>
        </w:rPr>
        <w:noBreakHyphen/>
      </w:r>
      <w:r w:rsidRPr="001B283D">
        <w:rPr>
          <w:lang w:val="fr-FR"/>
        </w:rPr>
        <w:t>AG convient que, sur la base du document TGP/5 “Expérience et coopération en matière d</w:t>
      </w:r>
      <w:r w:rsidR="00894570" w:rsidRPr="001B283D">
        <w:rPr>
          <w:lang w:val="fr-FR"/>
        </w:rPr>
        <w:t>’</w:t>
      </w:r>
      <w:r w:rsidRPr="001B283D">
        <w:rPr>
          <w:lang w:val="fr-FR"/>
        </w:rPr>
        <w:t>examen</w:t>
      </w:r>
      <w:r w:rsidR="00F2415E" w:rsidRPr="001B283D">
        <w:rPr>
          <w:lang w:val="fr-FR"/>
        </w:rPr>
        <w:t> </w:t>
      </w:r>
      <w:r w:rsidRPr="001B283D">
        <w:rPr>
          <w:lang w:val="fr-FR"/>
        </w:rPr>
        <w:t>DHS”, la Section</w:t>
      </w:r>
      <w:r w:rsidR="00F2415E" w:rsidRPr="001B283D">
        <w:rPr>
          <w:lang w:val="fr-FR"/>
        </w:rPr>
        <w:t> </w:t>
      </w:r>
      <w:r w:rsidRPr="001B283D">
        <w:rPr>
          <w:lang w:val="fr-FR"/>
        </w:rPr>
        <w:t>6 du “Rapport UPOV d</w:t>
      </w:r>
      <w:r w:rsidR="00894570" w:rsidRPr="001B283D">
        <w:rPr>
          <w:lang w:val="fr-FR"/>
        </w:rPr>
        <w:t>’</w:t>
      </w:r>
      <w:r w:rsidRPr="001B283D">
        <w:rPr>
          <w:lang w:val="fr-FR"/>
        </w:rPr>
        <w:t>examen technique et formulaire UPOV de description variétale”, le but de la description variétale élaborée au moment de l</w:t>
      </w:r>
      <w:r w:rsidR="00894570" w:rsidRPr="001B283D">
        <w:rPr>
          <w:lang w:val="fr-FR"/>
        </w:rPr>
        <w:t>’</w:t>
      </w:r>
      <w:r w:rsidRPr="001B283D">
        <w:rPr>
          <w:lang w:val="fr-FR"/>
        </w:rPr>
        <w:t>octroi du droit d</w:t>
      </w:r>
      <w:r w:rsidR="00894570" w:rsidRPr="001B283D">
        <w:rPr>
          <w:lang w:val="fr-FR"/>
        </w:rPr>
        <w:t>’</w:t>
      </w:r>
      <w:r w:rsidRPr="001B283D">
        <w:rPr>
          <w:lang w:val="fr-FR"/>
        </w:rPr>
        <w:t>obtenteur (description variétale initiale) pourrait être résumé comme suit</w:t>
      </w:r>
      <w:r w:rsidR="00F2415E" w:rsidRPr="001B283D">
        <w:rPr>
          <w:lang w:val="fr-FR"/>
        </w:rPr>
        <w:t> </w:t>
      </w:r>
      <w:r w:rsidRPr="001B283D">
        <w:rPr>
          <w:lang w:val="fr-FR"/>
        </w:rPr>
        <w:t>:</w:t>
      </w:r>
    </w:p>
    <w:p w:rsidR="00886826" w:rsidRPr="001B283D" w:rsidRDefault="00886826" w:rsidP="004E579A">
      <w:pPr>
        <w:rPr>
          <w:lang w:val="fr-FR"/>
        </w:rPr>
      </w:pPr>
    </w:p>
    <w:p w:rsidR="00886826" w:rsidRPr="001B283D" w:rsidRDefault="00886826" w:rsidP="00E27085">
      <w:pPr>
        <w:pStyle w:val="ListParagraph"/>
        <w:keepNext/>
        <w:numPr>
          <w:ilvl w:val="0"/>
          <w:numId w:val="2"/>
        </w:numPr>
        <w:ind w:left="990" w:hanging="423"/>
        <w:rPr>
          <w:snapToGrid w:val="0"/>
          <w:lang w:val="fr-FR"/>
        </w:rPr>
      </w:pPr>
      <w:r w:rsidRPr="001B283D">
        <w:rPr>
          <w:snapToGrid w:val="0"/>
          <w:lang w:val="fr-FR"/>
        </w:rPr>
        <w:t xml:space="preserve">décrire les caractères de la variété; </w:t>
      </w:r>
      <w:r w:rsidR="00F2415E" w:rsidRPr="001B283D">
        <w:rPr>
          <w:snapToGrid w:val="0"/>
          <w:lang w:val="fr-FR"/>
        </w:rPr>
        <w:t xml:space="preserve"> </w:t>
      </w:r>
      <w:r w:rsidRPr="001B283D">
        <w:rPr>
          <w:snapToGrid w:val="0"/>
          <w:lang w:val="fr-FR"/>
        </w:rPr>
        <w:t>et</w:t>
      </w:r>
    </w:p>
    <w:p w:rsidR="00894570" w:rsidRPr="001B283D" w:rsidRDefault="00886826" w:rsidP="004E579A">
      <w:pPr>
        <w:pStyle w:val="ListParagraph"/>
        <w:numPr>
          <w:ilvl w:val="0"/>
          <w:numId w:val="2"/>
        </w:numPr>
        <w:ind w:left="993" w:hanging="426"/>
        <w:rPr>
          <w:snapToGrid w:val="0"/>
          <w:lang w:val="fr-FR"/>
        </w:rPr>
      </w:pPr>
      <w:r w:rsidRPr="001B283D">
        <w:rPr>
          <w:snapToGrid w:val="0"/>
          <w:lang w:val="fr-FR"/>
        </w:rPr>
        <w:t>identifier les variétés similaires et les différences de ces variétés, et en dresser la liste;</w:t>
      </w:r>
    </w:p>
    <w:p w:rsidR="00886826" w:rsidRPr="001B283D" w:rsidRDefault="00886826" w:rsidP="004E579A">
      <w:pPr>
        <w:ind w:left="1419" w:hanging="426"/>
        <w:rPr>
          <w:snapToGrid w:val="0"/>
          <w:lang w:val="fr-FR"/>
        </w:rPr>
      </w:pPr>
      <w:r w:rsidRPr="001B283D">
        <w:rPr>
          <w:snapToGrid w:val="0"/>
          <w:lang w:val="fr-FR"/>
        </w:rPr>
        <w:t>avec les info</w:t>
      </w:r>
      <w:r w:rsidR="00F87F28" w:rsidRPr="001B283D">
        <w:rPr>
          <w:snapToGrid w:val="0"/>
          <w:lang w:val="fr-FR"/>
        </w:rPr>
        <w:t>rmations sur la base pour a) et </w:t>
      </w:r>
      <w:r w:rsidRPr="001B283D">
        <w:rPr>
          <w:snapToGrid w:val="0"/>
          <w:lang w:val="fr-FR"/>
        </w:rPr>
        <w:t xml:space="preserve">b), </w:t>
      </w:r>
      <w:r w:rsidR="00894570" w:rsidRPr="001B283D">
        <w:rPr>
          <w:snapToGrid w:val="0"/>
          <w:lang w:val="fr-FR"/>
        </w:rPr>
        <w:t>à savoir</w:t>
      </w:r>
      <w:r w:rsidR="00F2415E" w:rsidRPr="001B283D">
        <w:rPr>
          <w:snapToGrid w:val="0"/>
          <w:lang w:val="fr-FR"/>
        </w:rPr>
        <w:t> </w:t>
      </w:r>
      <w:r w:rsidRPr="001B283D">
        <w:rPr>
          <w:snapToGrid w:val="0"/>
          <w:lang w:val="fr-FR"/>
        </w:rPr>
        <w:t>:</w:t>
      </w:r>
    </w:p>
    <w:p w:rsidR="00886826" w:rsidRPr="001B283D" w:rsidRDefault="00886826" w:rsidP="004E579A">
      <w:pPr>
        <w:pStyle w:val="ListParagraph"/>
        <w:numPr>
          <w:ilvl w:val="2"/>
          <w:numId w:val="1"/>
        </w:numPr>
        <w:tabs>
          <w:tab w:val="left" w:pos="567"/>
          <w:tab w:val="left" w:pos="1560"/>
        </w:tabs>
        <w:spacing w:line="276" w:lineRule="auto"/>
        <w:ind w:left="1701" w:hanging="567"/>
        <w:rPr>
          <w:lang w:val="fr-FR"/>
        </w:rPr>
      </w:pPr>
      <w:r w:rsidRPr="001B283D">
        <w:rPr>
          <w:lang w:val="fr-FR"/>
        </w:rPr>
        <w:t>Date et référence du document contenant les principes directeurs d</w:t>
      </w:r>
      <w:r w:rsidR="00894570" w:rsidRPr="001B283D">
        <w:rPr>
          <w:lang w:val="fr-FR"/>
        </w:rPr>
        <w:t>’</w:t>
      </w:r>
      <w:r w:rsidRPr="001B283D">
        <w:rPr>
          <w:lang w:val="fr-FR"/>
        </w:rPr>
        <w:t>examen de l</w:t>
      </w:r>
      <w:r w:rsidR="00894570" w:rsidRPr="001B283D">
        <w:rPr>
          <w:lang w:val="fr-FR"/>
        </w:rPr>
        <w:t>’</w:t>
      </w:r>
      <w:r w:rsidRPr="001B283D">
        <w:rPr>
          <w:lang w:val="fr-FR"/>
        </w:rPr>
        <w:t>UPOV</w:t>
      </w:r>
      <w:r w:rsidRPr="001B283D">
        <w:rPr>
          <w:snapToGrid w:val="0"/>
          <w:lang w:val="fr-FR"/>
        </w:rPr>
        <w:t>;</w:t>
      </w:r>
    </w:p>
    <w:p w:rsidR="00886826" w:rsidRPr="001B283D" w:rsidRDefault="00886826" w:rsidP="004E579A">
      <w:pPr>
        <w:pStyle w:val="ListParagraph"/>
        <w:numPr>
          <w:ilvl w:val="2"/>
          <w:numId w:val="1"/>
        </w:numPr>
        <w:tabs>
          <w:tab w:val="left" w:pos="567"/>
          <w:tab w:val="left" w:pos="1560"/>
          <w:tab w:val="left" w:pos="5103"/>
        </w:tabs>
        <w:spacing w:line="276" w:lineRule="auto"/>
        <w:ind w:left="1701" w:hanging="567"/>
        <w:rPr>
          <w:lang w:val="fr-FR"/>
        </w:rPr>
      </w:pPr>
      <w:r w:rsidRPr="001B283D">
        <w:rPr>
          <w:lang w:val="fr-FR"/>
        </w:rPr>
        <w:t>Date et référence des principes directeurs du service ayant établi le rapport d</w:t>
      </w:r>
      <w:r w:rsidR="00894570" w:rsidRPr="001B283D">
        <w:rPr>
          <w:lang w:val="fr-FR"/>
        </w:rPr>
        <w:t>’</w:t>
      </w:r>
      <w:r w:rsidRPr="001B283D">
        <w:rPr>
          <w:lang w:val="fr-FR"/>
        </w:rPr>
        <w:t>examen</w:t>
      </w:r>
      <w:r w:rsidRPr="001B283D">
        <w:rPr>
          <w:snapToGrid w:val="0"/>
          <w:lang w:val="fr-FR"/>
        </w:rPr>
        <w:t>;</w:t>
      </w:r>
    </w:p>
    <w:p w:rsidR="00886826" w:rsidRPr="001B283D" w:rsidRDefault="00886826" w:rsidP="004E579A">
      <w:pPr>
        <w:pStyle w:val="ListParagraph"/>
        <w:numPr>
          <w:ilvl w:val="2"/>
          <w:numId w:val="1"/>
        </w:numPr>
        <w:tabs>
          <w:tab w:val="left" w:pos="567"/>
          <w:tab w:val="left" w:pos="1560"/>
          <w:tab w:val="left" w:pos="5103"/>
        </w:tabs>
        <w:spacing w:line="276" w:lineRule="auto"/>
        <w:ind w:left="1701" w:hanging="567"/>
        <w:rPr>
          <w:lang w:val="fr-FR"/>
        </w:rPr>
      </w:pPr>
      <w:r w:rsidRPr="001B283D">
        <w:rPr>
          <w:lang w:val="fr-FR"/>
        </w:rPr>
        <w:t>Service ayant établi le rapport d</w:t>
      </w:r>
      <w:r w:rsidR="00894570" w:rsidRPr="001B283D">
        <w:rPr>
          <w:lang w:val="fr-FR"/>
        </w:rPr>
        <w:t>’</w:t>
      </w:r>
      <w:r w:rsidRPr="001B283D">
        <w:rPr>
          <w:lang w:val="fr-FR"/>
        </w:rPr>
        <w:t>examen</w:t>
      </w:r>
      <w:r w:rsidRPr="001B283D">
        <w:rPr>
          <w:snapToGrid w:val="0"/>
          <w:lang w:val="fr-FR"/>
        </w:rPr>
        <w:t>;</w:t>
      </w:r>
    </w:p>
    <w:p w:rsidR="00886826" w:rsidRPr="001B283D" w:rsidRDefault="00886826" w:rsidP="004E579A">
      <w:pPr>
        <w:pStyle w:val="ListParagraph"/>
        <w:numPr>
          <w:ilvl w:val="2"/>
          <w:numId w:val="1"/>
        </w:numPr>
        <w:tabs>
          <w:tab w:val="left" w:pos="567"/>
          <w:tab w:val="left" w:pos="1560"/>
          <w:tab w:val="left" w:pos="5103"/>
        </w:tabs>
        <w:spacing w:line="276" w:lineRule="auto"/>
        <w:ind w:left="1701" w:hanging="567"/>
        <w:rPr>
          <w:lang w:val="fr-FR"/>
        </w:rPr>
      </w:pPr>
      <w:r w:rsidRPr="001B283D">
        <w:rPr>
          <w:lang w:val="fr-FR"/>
        </w:rPr>
        <w:t>Station(s) et lieu(x) d</w:t>
      </w:r>
      <w:r w:rsidR="00894570" w:rsidRPr="001B283D">
        <w:rPr>
          <w:lang w:val="fr-FR"/>
        </w:rPr>
        <w:t>’</w:t>
      </w:r>
      <w:r w:rsidRPr="001B283D">
        <w:rPr>
          <w:lang w:val="fr-FR"/>
        </w:rPr>
        <w:t>examen</w:t>
      </w:r>
      <w:r w:rsidRPr="001B283D">
        <w:rPr>
          <w:snapToGrid w:val="0"/>
          <w:lang w:val="fr-FR"/>
        </w:rPr>
        <w:t>;</w:t>
      </w:r>
    </w:p>
    <w:p w:rsidR="00886826" w:rsidRPr="001B283D" w:rsidRDefault="00886826" w:rsidP="004E579A">
      <w:pPr>
        <w:pStyle w:val="ListParagraph"/>
        <w:numPr>
          <w:ilvl w:val="2"/>
          <w:numId w:val="1"/>
        </w:numPr>
        <w:tabs>
          <w:tab w:val="left" w:pos="567"/>
          <w:tab w:val="left" w:pos="1560"/>
          <w:tab w:val="left" w:pos="5103"/>
        </w:tabs>
        <w:spacing w:line="276" w:lineRule="auto"/>
        <w:ind w:left="1701" w:hanging="567"/>
        <w:rPr>
          <w:lang w:val="fr-FR"/>
        </w:rPr>
      </w:pPr>
      <w:r w:rsidRPr="001B283D">
        <w:rPr>
          <w:lang w:val="fr-FR"/>
        </w:rPr>
        <w:t>Période d</w:t>
      </w:r>
      <w:r w:rsidR="00894570" w:rsidRPr="001B283D">
        <w:rPr>
          <w:lang w:val="fr-FR"/>
        </w:rPr>
        <w:t>’</w:t>
      </w:r>
      <w:r w:rsidRPr="001B283D">
        <w:rPr>
          <w:lang w:val="fr-FR"/>
        </w:rPr>
        <w:t>examen;</w:t>
      </w:r>
    </w:p>
    <w:p w:rsidR="00894570" w:rsidRPr="001B283D" w:rsidRDefault="00886826" w:rsidP="0069681C">
      <w:pPr>
        <w:pStyle w:val="ListParagraph"/>
        <w:numPr>
          <w:ilvl w:val="2"/>
          <w:numId w:val="1"/>
        </w:numPr>
        <w:tabs>
          <w:tab w:val="left" w:pos="567"/>
          <w:tab w:val="left" w:pos="1560"/>
          <w:tab w:val="left" w:pos="5103"/>
        </w:tabs>
        <w:spacing w:line="276" w:lineRule="auto"/>
        <w:ind w:left="1701" w:hanging="567"/>
        <w:jc w:val="left"/>
        <w:rPr>
          <w:lang w:val="fr-FR"/>
        </w:rPr>
      </w:pPr>
      <w:r w:rsidRPr="001B283D">
        <w:rPr>
          <w:lang w:val="fr-FR"/>
        </w:rPr>
        <w:t>Date et lieu de publication du document;</w:t>
      </w:r>
    </w:p>
    <w:p w:rsidR="00886826" w:rsidRPr="001B283D" w:rsidRDefault="00886826" w:rsidP="00A27C5B">
      <w:pPr>
        <w:pStyle w:val="ListParagraph"/>
        <w:numPr>
          <w:ilvl w:val="2"/>
          <w:numId w:val="1"/>
        </w:numPr>
        <w:spacing w:line="276" w:lineRule="auto"/>
        <w:ind w:left="1560" w:hanging="426"/>
        <w:rPr>
          <w:lang w:val="fr-FR"/>
        </w:rPr>
      </w:pPr>
      <w:r w:rsidRPr="001B283D">
        <w:rPr>
          <w:lang w:val="fr-FR"/>
        </w:rPr>
        <w:t>Groupe</w:t>
      </w:r>
      <w:r w:rsidR="00F2415E" w:rsidRPr="001B283D">
        <w:rPr>
          <w:lang w:val="fr-FR"/>
        </w:rPr>
        <w:t> </w:t>
      </w:r>
      <w:r w:rsidRPr="001B283D">
        <w:rPr>
          <w:lang w:val="fr-FR"/>
        </w:rPr>
        <w:t>: (tableau</w:t>
      </w:r>
      <w:r w:rsidR="00F2415E" w:rsidRPr="001B283D">
        <w:rPr>
          <w:lang w:val="fr-FR"/>
        </w:rPr>
        <w:t> </w:t>
      </w:r>
      <w:r w:rsidRPr="001B283D">
        <w:rPr>
          <w:lang w:val="fr-FR"/>
        </w:rPr>
        <w:t xml:space="preserve">: caractères; </w:t>
      </w:r>
      <w:r w:rsidR="00F2415E" w:rsidRPr="001B283D">
        <w:rPr>
          <w:lang w:val="fr-FR"/>
        </w:rPr>
        <w:t xml:space="preserve"> </w:t>
      </w:r>
      <w:r w:rsidRPr="001B283D">
        <w:rPr>
          <w:lang w:val="fr-FR"/>
        </w:rPr>
        <w:t>niveaux d</w:t>
      </w:r>
      <w:r w:rsidR="00894570" w:rsidRPr="001B283D">
        <w:rPr>
          <w:lang w:val="fr-FR"/>
        </w:rPr>
        <w:t>’</w:t>
      </w:r>
      <w:r w:rsidRPr="001B283D">
        <w:rPr>
          <w:lang w:val="fr-FR"/>
        </w:rPr>
        <w:t xml:space="preserve">expression; </w:t>
      </w:r>
      <w:r w:rsidR="00F2415E" w:rsidRPr="001B283D">
        <w:rPr>
          <w:lang w:val="fr-FR"/>
        </w:rPr>
        <w:t xml:space="preserve"> </w:t>
      </w:r>
      <w:r w:rsidRPr="001B283D">
        <w:rPr>
          <w:lang w:val="fr-FR"/>
        </w:rPr>
        <w:t>note;</w:t>
      </w:r>
      <w:r w:rsidR="00F2415E" w:rsidRPr="001B283D">
        <w:rPr>
          <w:lang w:val="fr-FR"/>
        </w:rPr>
        <w:t xml:space="preserve"> </w:t>
      </w:r>
      <w:r w:rsidRPr="001B283D">
        <w:rPr>
          <w:lang w:val="fr-FR"/>
        </w:rPr>
        <w:t xml:space="preserve"> remarques)</w:t>
      </w:r>
      <w:r w:rsidRPr="001B283D">
        <w:rPr>
          <w:snapToGrid w:val="0"/>
          <w:lang w:val="fr-FR"/>
        </w:rPr>
        <w:t>;</w:t>
      </w:r>
    </w:p>
    <w:p w:rsidR="00886826" w:rsidRPr="001B283D" w:rsidRDefault="00886826" w:rsidP="000D43C5">
      <w:pPr>
        <w:pStyle w:val="ListParagraph"/>
        <w:numPr>
          <w:ilvl w:val="2"/>
          <w:numId w:val="1"/>
        </w:numPr>
        <w:tabs>
          <w:tab w:val="left" w:pos="1560"/>
        </w:tabs>
        <w:spacing w:line="276" w:lineRule="auto"/>
        <w:ind w:left="1701" w:hanging="567"/>
        <w:rPr>
          <w:lang w:val="fr-FR"/>
        </w:rPr>
      </w:pPr>
      <w:r w:rsidRPr="001B283D">
        <w:rPr>
          <w:lang w:val="fr-FR"/>
        </w:rPr>
        <w:t>Renseignements complémentaires;</w:t>
      </w:r>
    </w:p>
    <w:p w:rsidR="00886826" w:rsidRPr="001B283D" w:rsidRDefault="00886826" w:rsidP="004E579A">
      <w:pPr>
        <w:spacing w:line="276" w:lineRule="auto"/>
        <w:ind w:left="1134"/>
        <w:rPr>
          <w:lang w:val="fr-FR"/>
        </w:rPr>
      </w:pPr>
      <w:r w:rsidRPr="001B283D">
        <w:rPr>
          <w:lang w:val="fr-FR"/>
        </w:rPr>
        <w:tab/>
        <w:t>a)</w:t>
      </w:r>
      <w:r w:rsidRPr="001B283D">
        <w:rPr>
          <w:lang w:val="fr-FR"/>
        </w:rPr>
        <w:tab/>
        <w:t>Données additionnelles</w:t>
      </w:r>
      <w:r w:rsidR="00CE4932">
        <w:rPr>
          <w:lang w:val="fr-FR"/>
        </w:rPr>
        <w:t>;</w:t>
      </w:r>
    </w:p>
    <w:p w:rsidR="00886826" w:rsidRPr="001B283D" w:rsidRDefault="00886826" w:rsidP="004E579A">
      <w:pPr>
        <w:spacing w:line="276" w:lineRule="auto"/>
        <w:ind w:left="1134"/>
        <w:rPr>
          <w:lang w:val="fr-FR"/>
        </w:rPr>
      </w:pPr>
      <w:r w:rsidRPr="001B283D">
        <w:rPr>
          <w:lang w:val="fr-FR"/>
        </w:rPr>
        <w:tab/>
        <w:t>b)</w:t>
      </w:r>
      <w:r w:rsidRPr="001B283D">
        <w:rPr>
          <w:lang w:val="fr-FR"/>
        </w:rPr>
        <w:tab/>
        <w:t>Photographie (selon qu</w:t>
      </w:r>
      <w:r w:rsidR="00894570" w:rsidRPr="001B283D">
        <w:rPr>
          <w:lang w:val="fr-FR"/>
        </w:rPr>
        <w:t>’</w:t>
      </w:r>
      <w:r w:rsidRPr="001B283D">
        <w:rPr>
          <w:lang w:val="fr-FR"/>
        </w:rPr>
        <w:t>il convient)</w:t>
      </w:r>
      <w:r w:rsidR="00CE4932">
        <w:rPr>
          <w:lang w:val="fr-FR"/>
        </w:rPr>
        <w:t>;</w:t>
      </w:r>
    </w:p>
    <w:p w:rsidR="00886826" w:rsidRPr="001B283D" w:rsidRDefault="00886826" w:rsidP="004E579A">
      <w:pPr>
        <w:spacing w:line="276" w:lineRule="auto"/>
        <w:ind w:left="1134"/>
        <w:rPr>
          <w:lang w:val="fr-FR"/>
        </w:rPr>
      </w:pPr>
      <w:r w:rsidRPr="001B283D">
        <w:rPr>
          <w:lang w:val="fr-FR"/>
        </w:rPr>
        <w:tab/>
        <w:t>c)</w:t>
      </w:r>
      <w:r w:rsidRPr="001B283D">
        <w:rPr>
          <w:lang w:val="fr-FR"/>
        </w:rPr>
        <w:tab/>
        <w:t>Version du code de couleur RHS utilisée (selon qu</w:t>
      </w:r>
      <w:r w:rsidR="00894570" w:rsidRPr="001B283D">
        <w:rPr>
          <w:lang w:val="fr-FR"/>
        </w:rPr>
        <w:t>’</w:t>
      </w:r>
      <w:r w:rsidRPr="001B283D">
        <w:rPr>
          <w:lang w:val="fr-FR"/>
        </w:rPr>
        <w:t>il convient)</w:t>
      </w:r>
      <w:r w:rsidR="00CE4932">
        <w:rPr>
          <w:lang w:val="fr-FR"/>
        </w:rPr>
        <w:t>;</w:t>
      </w:r>
    </w:p>
    <w:p w:rsidR="00886826" w:rsidRPr="001B283D" w:rsidRDefault="00886826" w:rsidP="004E579A">
      <w:pPr>
        <w:tabs>
          <w:tab w:val="left" w:pos="284"/>
        </w:tabs>
        <w:spacing w:line="276" w:lineRule="auto"/>
        <w:ind w:left="1134"/>
        <w:rPr>
          <w:lang w:val="fr-FR"/>
        </w:rPr>
      </w:pPr>
      <w:r w:rsidRPr="001B283D">
        <w:rPr>
          <w:lang w:val="fr-FR"/>
        </w:rPr>
        <w:tab/>
        <w:t>d)</w:t>
      </w:r>
      <w:r w:rsidRPr="001B283D">
        <w:rPr>
          <w:lang w:val="fr-FR"/>
        </w:rPr>
        <w:tab/>
        <w:t>Remarques</w:t>
      </w:r>
      <w:r w:rsidR="00CE4932">
        <w:rPr>
          <w:lang w:val="fr-FR"/>
        </w:rPr>
        <w:t>.</w:t>
      </w:r>
    </w:p>
    <w:p w:rsidR="00886826" w:rsidRPr="00CE4932" w:rsidRDefault="00886826" w:rsidP="00CE4932">
      <w:pPr>
        <w:rPr>
          <w:snapToGrid w:val="0"/>
          <w:lang w:val="fr-FR"/>
        </w:rPr>
      </w:pPr>
    </w:p>
    <w:p w:rsidR="00894570" w:rsidRPr="001B283D" w:rsidRDefault="00886826" w:rsidP="004E579A">
      <w:pPr>
        <w:rPr>
          <w:snapToGrid w:val="0"/>
          <w:lang w:val="fr-FR"/>
        </w:rPr>
      </w:pPr>
      <w:r w:rsidRPr="001B283D">
        <w:rPr>
          <w:snapToGrid w:val="0"/>
          <w:lang w:val="fr-FR"/>
        </w:rPr>
        <w:fldChar w:fldCharType="begin"/>
      </w:r>
      <w:r w:rsidRPr="001B283D">
        <w:rPr>
          <w:snapToGrid w:val="0"/>
          <w:lang w:val="fr-FR"/>
        </w:rPr>
        <w:instrText xml:space="preserve"> AUTONUM  </w:instrText>
      </w:r>
      <w:r w:rsidRPr="001B283D">
        <w:rPr>
          <w:snapToGrid w:val="0"/>
          <w:lang w:val="fr-FR"/>
        </w:rPr>
        <w:fldChar w:fldCharType="end"/>
      </w:r>
      <w:r w:rsidRPr="001B283D">
        <w:rPr>
          <w:snapToGrid w:val="0"/>
          <w:lang w:val="fr-FR"/>
        </w:rPr>
        <w:tab/>
        <w:t>Le CAJ</w:t>
      </w:r>
      <w:r w:rsidR="00A27C5B" w:rsidRPr="001B283D">
        <w:rPr>
          <w:snapToGrid w:val="0"/>
          <w:lang w:val="fr-FR"/>
        </w:rPr>
        <w:noBreakHyphen/>
      </w:r>
      <w:r w:rsidRPr="001B283D">
        <w:rPr>
          <w:snapToGrid w:val="0"/>
          <w:lang w:val="fr-FR"/>
        </w:rPr>
        <w:t>AG examine le statut de la description variétale initiale, au regard de la vérification du matériel végétal d</w:t>
      </w:r>
      <w:r w:rsidR="00894570" w:rsidRPr="001B283D">
        <w:rPr>
          <w:snapToGrid w:val="0"/>
          <w:lang w:val="fr-FR"/>
        </w:rPr>
        <w:t>’</w:t>
      </w:r>
      <w:r w:rsidRPr="001B283D">
        <w:rPr>
          <w:snapToGrid w:val="0"/>
          <w:lang w:val="fr-FR"/>
        </w:rPr>
        <w:t>une variété protégée aux fins de l</w:t>
      </w:r>
      <w:r w:rsidR="00894570" w:rsidRPr="001B283D">
        <w:rPr>
          <w:snapToGrid w:val="0"/>
          <w:lang w:val="fr-FR"/>
        </w:rPr>
        <w:t>’</w:t>
      </w:r>
      <w:r w:rsidRPr="001B283D">
        <w:rPr>
          <w:snapToGrid w:val="0"/>
          <w:lang w:val="fr-FR"/>
        </w:rPr>
        <w:t>application du droit d</w:t>
      </w:r>
      <w:r w:rsidR="00894570" w:rsidRPr="001B283D">
        <w:rPr>
          <w:snapToGrid w:val="0"/>
          <w:lang w:val="fr-FR"/>
        </w:rPr>
        <w:t>’</w:t>
      </w:r>
      <w:r w:rsidRPr="001B283D">
        <w:rPr>
          <w:snapToGrid w:val="0"/>
          <w:lang w:val="fr-FR"/>
        </w:rPr>
        <w:t>obtenteur et note que les orientations de l</w:t>
      </w:r>
      <w:r w:rsidR="00894570" w:rsidRPr="001B283D">
        <w:rPr>
          <w:snapToGrid w:val="0"/>
          <w:lang w:val="fr-FR"/>
        </w:rPr>
        <w:t>’</w:t>
      </w:r>
      <w:r w:rsidRPr="001B283D">
        <w:rPr>
          <w:snapToGrid w:val="0"/>
          <w:lang w:val="fr-FR"/>
        </w:rPr>
        <w:t>UPOV sur la défense des droits d</w:t>
      </w:r>
      <w:r w:rsidR="00894570" w:rsidRPr="001B283D">
        <w:rPr>
          <w:snapToGrid w:val="0"/>
          <w:lang w:val="fr-FR"/>
        </w:rPr>
        <w:t>’</w:t>
      </w:r>
      <w:r w:rsidRPr="001B283D">
        <w:rPr>
          <w:snapToGrid w:val="0"/>
          <w:lang w:val="fr-FR"/>
        </w:rPr>
        <w:t>obtenteur figurant dans le document UPOV/EXN/ENF/1 “Notes explicatives sur la défense des droits d</w:t>
      </w:r>
      <w:r w:rsidR="00894570" w:rsidRPr="001B283D">
        <w:rPr>
          <w:snapToGrid w:val="0"/>
          <w:lang w:val="fr-FR"/>
        </w:rPr>
        <w:t>’</w:t>
      </w:r>
      <w:r w:rsidRPr="001B283D">
        <w:rPr>
          <w:snapToGrid w:val="0"/>
          <w:lang w:val="fr-FR"/>
        </w:rPr>
        <w:t xml:space="preserve">obtenteur selon la </w:t>
      </w:r>
      <w:r w:rsidR="00894570" w:rsidRPr="001B283D">
        <w:rPr>
          <w:snapToGrid w:val="0"/>
          <w:lang w:val="fr-FR"/>
        </w:rPr>
        <w:t>Convention UPOV</w:t>
      </w:r>
      <w:r w:rsidRPr="001B283D">
        <w:rPr>
          <w:snapToGrid w:val="0"/>
          <w:lang w:val="fr-FR"/>
        </w:rPr>
        <w:t>” expliquent comme suit</w:t>
      </w:r>
      <w:r w:rsidR="00F2415E" w:rsidRPr="001B283D">
        <w:rPr>
          <w:snapToGrid w:val="0"/>
          <w:lang w:val="fr-FR"/>
        </w:rPr>
        <w:t> </w:t>
      </w:r>
      <w:r w:rsidRPr="001B283D">
        <w:rPr>
          <w:snapToGrid w:val="0"/>
          <w:lang w:val="fr-FR"/>
        </w:rPr>
        <w:t>:</w:t>
      </w:r>
    </w:p>
    <w:p w:rsidR="00886826" w:rsidRPr="00CE4932" w:rsidRDefault="00886826" w:rsidP="00CE4932">
      <w:pPr>
        <w:rPr>
          <w:snapToGrid w:val="0"/>
          <w:lang w:val="fr-FR"/>
        </w:rPr>
      </w:pPr>
    </w:p>
    <w:p w:rsidR="00886826" w:rsidRPr="001B283D" w:rsidRDefault="00CE4932" w:rsidP="000D43C5">
      <w:pPr>
        <w:pStyle w:val="ListParagraph"/>
        <w:ind w:left="567"/>
        <w:rPr>
          <w:snapToGrid w:val="0"/>
          <w:sz w:val="18"/>
          <w:szCs w:val="18"/>
          <w:lang w:val="fr-FR"/>
        </w:rPr>
      </w:pPr>
      <w:r>
        <w:rPr>
          <w:snapToGrid w:val="0"/>
          <w:sz w:val="18"/>
          <w:szCs w:val="18"/>
          <w:lang w:val="fr-FR"/>
        </w:rPr>
        <w:t>“</w:t>
      </w:r>
      <w:r w:rsidR="00886826" w:rsidRPr="001B283D">
        <w:rPr>
          <w:snapToGrid w:val="0"/>
          <w:sz w:val="18"/>
          <w:szCs w:val="18"/>
          <w:lang w:val="fr-FR"/>
        </w:rPr>
        <w:t>SECTION</w:t>
      </w:r>
      <w:r>
        <w:rPr>
          <w:snapToGrid w:val="0"/>
          <w:sz w:val="18"/>
          <w:szCs w:val="18"/>
          <w:lang w:val="fr-FR"/>
        </w:rPr>
        <w:t> </w:t>
      </w:r>
      <w:r w:rsidR="00886826" w:rsidRPr="001B283D">
        <w:rPr>
          <w:snapToGrid w:val="0"/>
          <w:sz w:val="18"/>
          <w:szCs w:val="18"/>
          <w:lang w:val="fr-FR"/>
        </w:rPr>
        <w:t>II : Quelques mesures possibles pour la défense des droits d</w:t>
      </w:r>
      <w:r w:rsidR="00894570" w:rsidRPr="001B283D">
        <w:rPr>
          <w:snapToGrid w:val="0"/>
          <w:sz w:val="18"/>
          <w:szCs w:val="18"/>
          <w:lang w:val="fr-FR"/>
        </w:rPr>
        <w:t>’</w:t>
      </w:r>
      <w:r w:rsidR="00886826" w:rsidRPr="001B283D">
        <w:rPr>
          <w:snapToGrid w:val="0"/>
          <w:sz w:val="18"/>
          <w:szCs w:val="18"/>
          <w:lang w:val="fr-FR"/>
        </w:rPr>
        <w:t>obtenteur</w:t>
      </w:r>
    </w:p>
    <w:p w:rsidR="00886826" w:rsidRPr="001B283D" w:rsidRDefault="00886826" w:rsidP="004E579A">
      <w:pPr>
        <w:pStyle w:val="ListParagraph"/>
        <w:ind w:left="567"/>
        <w:rPr>
          <w:snapToGrid w:val="0"/>
          <w:sz w:val="18"/>
          <w:szCs w:val="18"/>
          <w:lang w:val="fr-FR"/>
        </w:rPr>
      </w:pPr>
    </w:p>
    <w:p w:rsidR="00886826" w:rsidRPr="001B283D" w:rsidRDefault="00886826" w:rsidP="000D43C5">
      <w:pPr>
        <w:pStyle w:val="ListParagraph"/>
        <w:ind w:left="567" w:right="567"/>
        <w:rPr>
          <w:snapToGrid w:val="0"/>
          <w:sz w:val="18"/>
          <w:szCs w:val="18"/>
          <w:lang w:val="fr-FR"/>
        </w:rPr>
      </w:pPr>
      <w:r w:rsidRPr="001B283D">
        <w:rPr>
          <w:snapToGrid w:val="0"/>
          <w:sz w:val="18"/>
          <w:szCs w:val="18"/>
          <w:lang w:val="fr-FR"/>
        </w:rPr>
        <w:t>“S</w:t>
      </w:r>
      <w:r w:rsidR="00894570" w:rsidRPr="001B283D">
        <w:rPr>
          <w:snapToGrid w:val="0"/>
          <w:sz w:val="18"/>
          <w:szCs w:val="18"/>
          <w:lang w:val="fr-FR"/>
        </w:rPr>
        <w:t>’</w:t>
      </w:r>
      <w:r w:rsidRPr="001B283D">
        <w:rPr>
          <w:snapToGrid w:val="0"/>
          <w:sz w:val="18"/>
          <w:szCs w:val="18"/>
          <w:lang w:val="fr-FR"/>
        </w:rPr>
        <w:t xml:space="preserve">il est vrai que la </w:t>
      </w:r>
      <w:r w:rsidR="00894570" w:rsidRPr="001B283D">
        <w:rPr>
          <w:snapToGrid w:val="0"/>
          <w:sz w:val="18"/>
          <w:szCs w:val="18"/>
          <w:lang w:val="fr-FR"/>
        </w:rPr>
        <w:t>Convention UPOV</w:t>
      </w:r>
      <w:r w:rsidRPr="001B283D">
        <w:rPr>
          <w:snapToGrid w:val="0"/>
          <w:sz w:val="18"/>
          <w:szCs w:val="18"/>
          <w:lang w:val="fr-FR"/>
        </w:rPr>
        <w:t xml:space="preserve"> exige des membres de l</w:t>
      </w:r>
      <w:r w:rsidR="00894570" w:rsidRPr="001B283D">
        <w:rPr>
          <w:snapToGrid w:val="0"/>
          <w:sz w:val="18"/>
          <w:szCs w:val="18"/>
          <w:lang w:val="fr-FR"/>
        </w:rPr>
        <w:t>’</w:t>
      </w:r>
      <w:r w:rsidRPr="001B283D">
        <w:rPr>
          <w:snapToGrid w:val="0"/>
          <w:sz w:val="18"/>
          <w:szCs w:val="18"/>
          <w:lang w:val="fr-FR"/>
        </w:rPr>
        <w:t>Union que ceux</w:t>
      </w:r>
      <w:r w:rsidR="00A27C5B" w:rsidRPr="001B283D">
        <w:rPr>
          <w:snapToGrid w:val="0"/>
          <w:sz w:val="18"/>
          <w:szCs w:val="18"/>
          <w:lang w:val="fr-FR"/>
        </w:rPr>
        <w:noBreakHyphen/>
      </w:r>
      <w:r w:rsidRPr="001B283D">
        <w:rPr>
          <w:snapToGrid w:val="0"/>
          <w:sz w:val="18"/>
          <w:szCs w:val="18"/>
          <w:lang w:val="fr-FR"/>
        </w:rPr>
        <w:t>ci prévoient les recours légaux appropriés permettant de faire appliquer efficacement les droits d</w:t>
      </w:r>
      <w:r w:rsidR="00894570" w:rsidRPr="001B283D">
        <w:rPr>
          <w:snapToGrid w:val="0"/>
          <w:sz w:val="18"/>
          <w:szCs w:val="18"/>
          <w:lang w:val="fr-FR"/>
        </w:rPr>
        <w:t>’</w:t>
      </w:r>
      <w:r w:rsidRPr="001B283D">
        <w:rPr>
          <w:snapToGrid w:val="0"/>
          <w:sz w:val="18"/>
          <w:szCs w:val="18"/>
          <w:lang w:val="fr-FR"/>
        </w:rPr>
        <w:t>obtenteur, il n</w:t>
      </w:r>
      <w:r w:rsidR="00894570" w:rsidRPr="001B283D">
        <w:rPr>
          <w:snapToGrid w:val="0"/>
          <w:sz w:val="18"/>
          <w:szCs w:val="18"/>
          <w:lang w:val="fr-FR"/>
        </w:rPr>
        <w:t>’</w:t>
      </w:r>
      <w:r w:rsidRPr="001B283D">
        <w:rPr>
          <w:snapToGrid w:val="0"/>
          <w:sz w:val="18"/>
          <w:szCs w:val="18"/>
          <w:lang w:val="fr-FR"/>
        </w:rPr>
        <w:t>en reste pas moins que c</w:t>
      </w:r>
      <w:r w:rsidR="00894570" w:rsidRPr="001B283D">
        <w:rPr>
          <w:snapToGrid w:val="0"/>
          <w:sz w:val="18"/>
          <w:szCs w:val="18"/>
          <w:lang w:val="fr-FR"/>
        </w:rPr>
        <w:t>’</w:t>
      </w:r>
      <w:r w:rsidRPr="001B283D">
        <w:rPr>
          <w:snapToGrid w:val="0"/>
          <w:sz w:val="18"/>
          <w:szCs w:val="18"/>
          <w:lang w:val="fr-FR"/>
        </w:rPr>
        <w:t>est aux obtenteurs qu</w:t>
      </w:r>
      <w:r w:rsidR="00894570" w:rsidRPr="001B283D">
        <w:rPr>
          <w:snapToGrid w:val="0"/>
          <w:sz w:val="18"/>
          <w:szCs w:val="18"/>
          <w:lang w:val="fr-FR"/>
        </w:rPr>
        <w:t>’</w:t>
      </w:r>
      <w:r w:rsidRPr="001B283D">
        <w:rPr>
          <w:snapToGrid w:val="0"/>
          <w:sz w:val="18"/>
          <w:szCs w:val="18"/>
          <w:lang w:val="fr-FR"/>
        </w:rPr>
        <w:t>il incombe de veiller au respect de leurs droits.</w:t>
      </w:r>
    </w:p>
    <w:p w:rsidR="00886826" w:rsidRPr="001B283D" w:rsidRDefault="00886826" w:rsidP="004E579A">
      <w:pPr>
        <w:pStyle w:val="ListParagraph"/>
        <w:ind w:left="567" w:right="567"/>
        <w:rPr>
          <w:snapToGrid w:val="0"/>
          <w:sz w:val="18"/>
          <w:szCs w:val="18"/>
          <w:lang w:val="fr-FR"/>
        </w:rPr>
      </w:pPr>
      <w:r w:rsidRPr="001B283D">
        <w:rPr>
          <w:snapToGrid w:val="0"/>
          <w:sz w:val="18"/>
          <w:szCs w:val="18"/>
          <w:lang w:val="fr-FR"/>
        </w:rPr>
        <w:t>[…]</w:t>
      </w:r>
      <w:r w:rsidR="00CE4932">
        <w:rPr>
          <w:snapToGrid w:val="0"/>
          <w:sz w:val="18"/>
          <w:szCs w:val="18"/>
          <w:lang w:val="fr-FR"/>
        </w:rPr>
        <w:t>”</w:t>
      </w:r>
    </w:p>
    <w:p w:rsidR="00886826" w:rsidRPr="00CE4932" w:rsidRDefault="00886826" w:rsidP="00CE4932">
      <w:pPr>
        <w:ind w:right="567"/>
        <w:rPr>
          <w:snapToGrid w:val="0"/>
          <w:sz w:val="18"/>
          <w:szCs w:val="18"/>
          <w:lang w:val="fr-FR"/>
        </w:rPr>
      </w:pPr>
    </w:p>
    <w:p w:rsidR="00886826" w:rsidRPr="001B283D" w:rsidRDefault="00886826" w:rsidP="004E579A">
      <w:pPr>
        <w:rPr>
          <w:snapToGrid w:val="0"/>
          <w:lang w:val="fr-FR"/>
        </w:rPr>
      </w:pPr>
      <w:r w:rsidRPr="001B283D">
        <w:rPr>
          <w:snapToGrid w:val="0"/>
          <w:lang w:val="fr-FR"/>
        </w:rPr>
        <w:fldChar w:fldCharType="begin"/>
      </w:r>
      <w:r w:rsidRPr="001B283D">
        <w:rPr>
          <w:snapToGrid w:val="0"/>
          <w:lang w:val="fr-FR"/>
        </w:rPr>
        <w:instrText xml:space="preserve"> AUTONUM  </w:instrText>
      </w:r>
      <w:r w:rsidRPr="001B283D">
        <w:rPr>
          <w:snapToGrid w:val="0"/>
          <w:lang w:val="fr-FR"/>
        </w:rPr>
        <w:fldChar w:fldCharType="end"/>
      </w:r>
      <w:r w:rsidRPr="001B283D">
        <w:rPr>
          <w:snapToGrid w:val="0"/>
          <w:lang w:val="fr-FR"/>
        </w:rPr>
        <w:tab/>
        <w:t>Le CAJ</w:t>
      </w:r>
      <w:r w:rsidR="00A27C5B" w:rsidRPr="001B283D">
        <w:rPr>
          <w:snapToGrid w:val="0"/>
          <w:lang w:val="fr-FR"/>
        </w:rPr>
        <w:noBreakHyphen/>
      </w:r>
      <w:r w:rsidRPr="001B283D">
        <w:rPr>
          <w:snapToGrid w:val="0"/>
          <w:lang w:val="fr-FR"/>
        </w:rPr>
        <w:t>AG convient que, s</w:t>
      </w:r>
      <w:r w:rsidR="00894570" w:rsidRPr="001B283D">
        <w:rPr>
          <w:snapToGrid w:val="0"/>
          <w:lang w:val="fr-FR"/>
        </w:rPr>
        <w:t>’</w:t>
      </w:r>
      <w:r w:rsidRPr="001B283D">
        <w:rPr>
          <w:snapToGrid w:val="0"/>
          <w:lang w:val="fr-FR"/>
        </w:rPr>
        <w:t>agissant de l</w:t>
      </w:r>
      <w:r w:rsidR="00894570" w:rsidRPr="001B283D">
        <w:rPr>
          <w:snapToGrid w:val="0"/>
          <w:lang w:val="fr-FR"/>
        </w:rPr>
        <w:t>’</w:t>
      </w:r>
      <w:r w:rsidRPr="001B283D">
        <w:rPr>
          <w:snapToGrid w:val="0"/>
          <w:lang w:val="fr-FR"/>
        </w:rPr>
        <w:t>utilisation de la description variétale initiale, il sied de rappeler que la description des caractères de la variété et la base de la distinction de la variété la plus semblable sont liées aux circonstances de l</w:t>
      </w:r>
      <w:r w:rsidR="00894570" w:rsidRPr="001B283D">
        <w:rPr>
          <w:snapToGrid w:val="0"/>
          <w:lang w:val="fr-FR"/>
        </w:rPr>
        <w:t>’</w:t>
      </w:r>
      <w:r w:rsidRPr="001B283D">
        <w:rPr>
          <w:snapToGrid w:val="0"/>
          <w:lang w:val="fr-FR"/>
        </w:rPr>
        <w:t>examen</w:t>
      </w:r>
      <w:r w:rsidR="00F2415E" w:rsidRPr="001B283D">
        <w:rPr>
          <w:snapToGrid w:val="0"/>
          <w:lang w:val="fr-FR"/>
        </w:rPr>
        <w:t> </w:t>
      </w:r>
      <w:r w:rsidRPr="001B283D">
        <w:rPr>
          <w:snapToGrid w:val="0"/>
          <w:lang w:val="fr-FR"/>
        </w:rPr>
        <w:t>DHS comme indiqué dans le paragraphe</w:t>
      </w:r>
      <w:r w:rsidR="00F2415E" w:rsidRPr="001B283D">
        <w:rPr>
          <w:snapToGrid w:val="0"/>
          <w:lang w:val="fr-FR"/>
        </w:rPr>
        <w:t> </w:t>
      </w:r>
      <w:r w:rsidRPr="001B283D">
        <w:rPr>
          <w:snapToGrid w:val="0"/>
          <w:lang w:val="fr-FR"/>
        </w:rPr>
        <w:t>10</w:t>
      </w:r>
      <w:r w:rsidR="00A27C5B" w:rsidRPr="001B283D">
        <w:rPr>
          <w:snapToGrid w:val="0"/>
          <w:lang w:val="fr-FR"/>
        </w:rPr>
        <w:t>.</w:t>
      </w:r>
      <w:r w:rsidRPr="001B283D">
        <w:rPr>
          <w:snapToGrid w:val="0"/>
          <w:lang w:val="fr-FR"/>
        </w:rPr>
        <w:t xml:space="preserve">c) du présent document, </w:t>
      </w:r>
      <w:r w:rsidR="00894570" w:rsidRPr="001B283D">
        <w:rPr>
          <w:snapToGrid w:val="0"/>
          <w:lang w:val="fr-FR"/>
        </w:rPr>
        <w:t>à savoir</w:t>
      </w:r>
      <w:r w:rsidR="00F2415E" w:rsidRPr="001B283D">
        <w:rPr>
          <w:snapToGrid w:val="0"/>
          <w:lang w:val="fr-FR"/>
        </w:rPr>
        <w:t> </w:t>
      </w:r>
      <w:r w:rsidRPr="001B283D">
        <w:rPr>
          <w:snapToGrid w:val="0"/>
          <w:lang w:val="fr-FR"/>
        </w:rPr>
        <w:t>:</w:t>
      </w:r>
    </w:p>
    <w:p w:rsidR="00886826" w:rsidRPr="001B283D" w:rsidRDefault="00886826" w:rsidP="004E579A">
      <w:pPr>
        <w:rPr>
          <w:snapToGrid w:val="0"/>
          <w:lang w:val="fr-FR"/>
        </w:rPr>
      </w:pPr>
    </w:p>
    <w:p w:rsidR="00886826" w:rsidRPr="001B283D" w:rsidRDefault="00886826" w:rsidP="00831220">
      <w:pPr>
        <w:pStyle w:val="ListParagraph"/>
        <w:numPr>
          <w:ilvl w:val="2"/>
          <w:numId w:val="1"/>
        </w:numPr>
        <w:tabs>
          <w:tab w:val="left" w:pos="567"/>
          <w:tab w:val="left" w:pos="1560"/>
        </w:tabs>
        <w:spacing w:line="276" w:lineRule="auto"/>
        <w:ind w:left="1701" w:hanging="567"/>
        <w:rPr>
          <w:lang w:val="fr-FR"/>
        </w:rPr>
      </w:pPr>
      <w:r w:rsidRPr="001B283D">
        <w:rPr>
          <w:lang w:val="fr-FR"/>
        </w:rPr>
        <w:t>Date et référence du document contenant les principes directeurs d</w:t>
      </w:r>
      <w:r w:rsidR="00894570" w:rsidRPr="001B283D">
        <w:rPr>
          <w:lang w:val="fr-FR"/>
        </w:rPr>
        <w:t>’</w:t>
      </w:r>
      <w:r w:rsidRPr="001B283D">
        <w:rPr>
          <w:lang w:val="fr-FR"/>
        </w:rPr>
        <w:t>examen de l</w:t>
      </w:r>
      <w:r w:rsidR="00894570" w:rsidRPr="001B283D">
        <w:rPr>
          <w:lang w:val="fr-FR"/>
        </w:rPr>
        <w:t>’</w:t>
      </w:r>
      <w:r w:rsidRPr="001B283D">
        <w:rPr>
          <w:lang w:val="fr-FR"/>
        </w:rPr>
        <w:t>UPOV</w:t>
      </w:r>
      <w:r w:rsidRPr="001B283D">
        <w:rPr>
          <w:snapToGrid w:val="0"/>
          <w:lang w:val="fr-FR"/>
        </w:rPr>
        <w:t>;</w:t>
      </w:r>
    </w:p>
    <w:p w:rsidR="00886826" w:rsidRPr="001B283D" w:rsidRDefault="00886826" w:rsidP="00831220">
      <w:pPr>
        <w:pStyle w:val="ListParagraph"/>
        <w:numPr>
          <w:ilvl w:val="2"/>
          <w:numId w:val="1"/>
        </w:numPr>
        <w:tabs>
          <w:tab w:val="left" w:pos="567"/>
          <w:tab w:val="left" w:pos="1560"/>
          <w:tab w:val="left" w:pos="5103"/>
        </w:tabs>
        <w:spacing w:line="276" w:lineRule="auto"/>
        <w:ind w:left="1701" w:hanging="567"/>
        <w:rPr>
          <w:lang w:val="fr-FR"/>
        </w:rPr>
      </w:pPr>
      <w:r w:rsidRPr="001B283D">
        <w:rPr>
          <w:lang w:val="fr-FR"/>
        </w:rPr>
        <w:t>Date et référence des principes directeurs du service ayant établi le rapport d</w:t>
      </w:r>
      <w:r w:rsidR="00894570" w:rsidRPr="001B283D">
        <w:rPr>
          <w:lang w:val="fr-FR"/>
        </w:rPr>
        <w:t>’</w:t>
      </w:r>
      <w:r w:rsidRPr="001B283D">
        <w:rPr>
          <w:lang w:val="fr-FR"/>
        </w:rPr>
        <w:t>examen</w:t>
      </w:r>
      <w:r w:rsidRPr="001B283D">
        <w:rPr>
          <w:snapToGrid w:val="0"/>
          <w:lang w:val="fr-FR"/>
        </w:rPr>
        <w:t>;</w:t>
      </w:r>
    </w:p>
    <w:p w:rsidR="00886826" w:rsidRPr="001B283D" w:rsidRDefault="00886826" w:rsidP="00831220">
      <w:pPr>
        <w:pStyle w:val="ListParagraph"/>
        <w:numPr>
          <w:ilvl w:val="2"/>
          <w:numId w:val="1"/>
        </w:numPr>
        <w:tabs>
          <w:tab w:val="left" w:pos="567"/>
          <w:tab w:val="left" w:pos="1560"/>
          <w:tab w:val="left" w:pos="5103"/>
        </w:tabs>
        <w:spacing w:line="276" w:lineRule="auto"/>
        <w:ind w:left="1701" w:hanging="567"/>
        <w:rPr>
          <w:lang w:val="fr-FR"/>
        </w:rPr>
      </w:pPr>
      <w:r w:rsidRPr="001B283D">
        <w:rPr>
          <w:lang w:val="fr-FR"/>
        </w:rPr>
        <w:t>Service ayant établi le rapport d</w:t>
      </w:r>
      <w:r w:rsidR="00894570" w:rsidRPr="001B283D">
        <w:rPr>
          <w:lang w:val="fr-FR"/>
        </w:rPr>
        <w:t>’</w:t>
      </w:r>
      <w:r w:rsidRPr="001B283D">
        <w:rPr>
          <w:lang w:val="fr-FR"/>
        </w:rPr>
        <w:t>examen</w:t>
      </w:r>
      <w:r w:rsidRPr="001B283D">
        <w:rPr>
          <w:snapToGrid w:val="0"/>
          <w:lang w:val="fr-FR"/>
        </w:rPr>
        <w:t>;</w:t>
      </w:r>
    </w:p>
    <w:p w:rsidR="00886826" w:rsidRPr="001B283D" w:rsidRDefault="00886826" w:rsidP="00831220">
      <w:pPr>
        <w:pStyle w:val="ListParagraph"/>
        <w:numPr>
          <w:ilvl w:val="2"/>
          <w:numId w:val="1"/>
        </w:numPr>
        <w:tabs>
          <w:tab w:val="left" w:pos="567"/>
          <w:tab w:val="left" w:pos="1560"/>
          <w:tab w:val="left" w:pos="5103"/>
        </w:tabs>
        <w:spacing w:line="276" w:lineRule="auto"/>
        <w:ind w:left="1701" w:hanging="567"/>
        <w:rPr>
          <w:lang w:val="fr-FR"/>
        </w:rPr>
      </w:pPr>
      <w:r w:rsidRPr="001B283D">
        <w:rPr>
          <w:lang w:val="fr-FR"/>
        </w:rPr>
        <w:t>Station(s) et lieu(x) d</w:t>
      </w:r>
      <w:r w:rsidR="00894570" w:rsidRPr="001B283D">
        <w:rPr>
          <w:lang w:val="fr-FR"/>
        </w:rPr>
        <w:t>’</w:t>
      </w:r>
      <w:r w:rsidRPr="001B283D">
        <w:rPr>
          <w:lang w:val="fr-FR"/>
        </w:rPr>
        <w:t>examen</w:t>
      </w:r>
      <w:r w:rsidRPr="001B283D">
        <w:rPr>
          <w:snapToGrid w:val="0"/>
          <w:lang w:val="fr-FR"/>
        </w:rPr>
        <w:t>;</w:t>
      </w:r>
    </w:p>
    <w:p w:rsidR="00886826" w:rsidRPr="001B283D" w:rsidRDefault="00886826" w:rsidP="00831220">
      <w:pPr>
        <w:pStyle w:val="ListParagraph"/>
        <w:numPr>
          <w:ilvl w:val="2"/>
          <w:numId w:val="1"/>
        </w:numPr>
        <w:tabs>
          <w:tab w:val="left" w:pos="567"/>
          <w:tab w:val="left" w:pos="1560"/>
          <w:tab w:val="left" w:pos="5103"/>
        </w:tabs>
        <w:spacing w:line="276" w:lineRule="auto"/>
        <w:ind w:left="1701" w:hanging="567"/>
        <w:rPr>
          <w:lang w:val="fr-FR"/>
        </w:rPr>
      </w:pPr>
      <w:r w:rsidRPr="001B283D">
        <w:rPr>
          <w:lang w:val="fr-FR"/>
        </w:rPr>
        <w:t>Période d</w:t>
      </w:r>
      <w:r w:rsidR="00894570" w:rsidRPr="001B283D">
        <w:rPr>
          <w:lang w:val="fr-FR"/>
        </w:rPr>
        <w:t>’</w:t>
      </w:r>
      <w:r w:rsidRPr="001B283D">
        <w:rPr>
          <w:lang w:val="fr-FR"/>
        </w:rPr>
        <w:t>examen;</w:t>
      </w:r>
    </w:p>
    <w:p w:rsidR="00894570" w:rsidRPr="001B283D" w:rsidRDefault="00886826" w:rsidP="00831220">
      <w:pPr>
        <w:pStyle w:val="ListParagraph"/>
        <w:numPr>
          <w:ilvl w:val="2"/>
          <w:numId w:val="1"/>
        </w:numPr>
        <w:tabs>
          <w:tab w:val="left" w:pos="567"/>
          <w:tab w:val="left" w:pos="1560"/>
          <w:tab w:val="left" w:pos="5103"/>
        </w:tabs>
        <w:spacing w:line="276" w:lineRule="auto"/>
        <w:ind w:left="1701" w:hanging="567"/>
        <w:jc w:val="left"/>
        <w:rPr>
          <w:lang w:val="fr-FR"/>
        </w:rPr>
      </w:pPr>
      <w:r w:rsidRPr="001B283D">
        <w:rPr>
          <w:lang w:val="fr-FR"/>
        </w:rPr>
        <w:t>Date et lieu de publication du document;</w:t>
      </w:r>
    </w:p>
    <w:p w:rsidR="00886826" w:rsidRPr="001B283D" w:rsidRDefault="00886826" w:rsidP="00A27C5B">
      <w:pPr>
        <w:pStyle w:val="ListParagraph"/>
        <w:numPr>
          <w:ilvl w:val="2"/>
          <w:numId w:val="1"/>
        </w:numPr>
        <w:spacing w:line="276" w:lineRule="auto"/>
        <w:ind w:left="1560" w:hanging="426"/>
        <w:rPr>
          <w:lang w:val="fr-FR"/>
        </w:rPr>
      </w:pPr>
      <w:r w:rsidRPr="001B283D">
        <w:rPr>
          <w:lang w:val="fr-FR"/>
        </w:rPr>
        <w:t>Groupe</w:t>
      </w:r>
      <w:r w:rsidR="00F2415E" w:rsidRPr="001B283D">
        <w:rPr>
          <w:lang w:val="fr-FR"/>
        </w:rPr>
        <w:t> </w:t>
      </w:r>
      <w:r w:rsidRPr="001B283D">
        <w:rPr>
          <w:lang w:val="fr-FR"/>
        </w:rPr>
        <w:t>: (tableau</w:t>
      </w:r>
      <w:r w:rsidR="00F2415E" w:rsidRPr="001B283D">
        <w:rPr>
          <w:lang w:val="fr-FR"/>
        </w:rPr>
        <w:t> </w:t>
      </w:r>
      <w:r w:rsidRPr="001B283D">
        <w:rPr>
          <w:lang w:val="fr-FR"/>
        </w:rPr>
        <w:t xml:space="preserve">: caractères; </w:t>
      </w:r>
      <w:r w:rsidR="00F2415E" w:rsidRPr="001B283D">
        <w:rPr>
          <w:lang w:val="fr-FR"/>
        </w:rPr>
        <w:t xml:space="preserve"> </w:t>
      </w:r>
      <w:r w:rsidRPr="001B283D">
        <w:rPr>
          <w:lang w:val="fr-FR"/>
        </w:rPr>
        <w:t>niveaux d</w:t>
      </w:r>
      <w:r w:rsidR="00894570" w:rsidRPr="001B283D">
        <w:rPr>
          <w:lang w:val="fr-FR"/>
        </w:rPr>
        <w:t>’</w:t>
      </w:r>
      <w:r w:rsidRPr="001B283D">
        <w:rPr>
          <w:lang w:val="fr-FR"/>
        </w:rPr>
        <w:t xml:space="preserve">expression; </w:t>
      </w:r>
      <w:r w:rsidR="00F2415E" w:rsidRPr="001B283D">
        <w:rPr>
          <w:lang w:val="fr-FR"/>
        </w:rPr>
        <w:t xml:space="preserve"> </w:t>
      </w:r>
      <w:r w:rsidRPr="001B283D">
        <w:rPr>
          <w:lang w:val="fr-FR"/>
        </w:rPr>
        <w:t>note;</w:t>
      </w:r>
      <w:r w:rsidR="00F2415E" w:rsidRPr="001B283D">
        <w:rPr>
          <w:lang w:val="fr-FR"/>
        </w:rPr>
        <w:t xml:space="preserve"> </w:t>
      </w:r>
      <w:r w:rsidRPr="001B283D">
        <w:rPr>
          <w:lang w:val="fr-FR"/>
        </w:rPr>
        <w:t xml:space="preserve"> remarques)</w:t>
      </w:r>
      <w:r w:rsidRPr="001B283D">
        <w:rPr>
          <w:snapToGrid w:val="0"/>
          <w:lang w:val="fr-FR"/>
        </w:rPr>
        <w:t>;</w:t>
      </w:r>
    </w:p>
    <w:p w:rsidR="00886826" w:rsidRPr="001B283D" w:rsidRDefault="00886826" w:rsidP="00831220">
      <w:pPr>
        <w:pStyle w:val="ListParagraph"/>
        <w:numPr>
          <w:ilvl w:val="2"/>
          <w:numId w:val="1"/>
        </w:numPr>
        <w:tabs>
          <w:tab w:val="left" w:pos="1560"/>
        </w:tabs>
        <w:spacing w:line="276" w:lineRule="auto"/>
        <w:ind w:left="1701" w:hanging="567"/>
        <w:rPr>
          <w:lang w:val="fr-FR"/>
        </w:rPr>
      </w:pPr>
      <w:r w:rsidRPr="001B283D">
        <w:rPr>
          <w:lang w:val="fr-FR"/>
        </w:rPr>
        <w:t>Renseignements complémentaires;</w:t>
      </w:r>
    </w:p>
    <w:p w:rsidR="00886826" w:rsidRPr="001B283D" w:rsidRDefault="00886826" w:rsidP="00831220">
      <w:pPr>
        <w:spacing w:line="276" w:lineRule="auto"/>
        <w:ind w:left="1134"/>
        <w:rPr>
          <w:lang w:val="fr-FR"/>
        </w:rPr>
      </w:pPr>
      <w:r w:rsidRPr="001B283D">
        <w:rPr>
          <w:lang w:val="fr-FR"/>
        </w:rPr>
        <w:tab/>
        <w:t>a)</w:t>
      </w:r>
      <w:r w:rsidRPr="001B283D">
        <w:rPr>
          <w:lang w:val="fr-FR"/>
        </w:rPr>
        <w:tab/>
        <w:t>Données additionnelles</w:t>
      </w:r>
      <w:r w:rsidR="00CE4932">
        <w:rPr>
          <w:lang w:val="fr-FR"/>
        </w:rPr>
        <w:t>;</w:t>
      </w:r>
    </w:p>
    <w:p w:rsidR="00886826" w:rsidRPr="001B283D" w:rsidRDefault="00886826" w:rsidP="00831220">
      <w:pPr>
        <w:spacing w:line="276" w:lineRule="auto"/>
        <w:ind w:left="1134"/>
        <w:rPr>
          <w:lang w:val="fr-FR"/>
        </w:rPr>
      </w:pPr>
      <w:r w:rsidRPr="001B283D">
        <w:rPr>
          <w:lang w:val="fr-FR"/>
        </w:rPr>
        <w:tab/>
        <w:t>b)</w:t>
      </w:r>
      <w:r w:rsidRPr="001B283D">
        <w:rPr>
          <w:lang w:val="fr-FR"/>
        </w:rPr>
        <w:tab/>
        <w:t>Photographie (selon qu</w:t>
      </w:r>
      <w:r w:rsidR="00894570" w:rsidRPr="001B283D">
        <w:rPr>
          <w:lang w:val="fr-FR"/>
        </w:rPr>
        <w:t>’</w:t>
      </w:r>
      <w:r w:rsidRPr="001B283D">
        <w:rPr>
          <w:lang w:val="fr-FR"/>
        </w:rPr>
        <w:t>il convient)</w:t>
      </w:r>
      <w:r w:rsidR="00CE4932">
        <w:rPr>
          <w:lang w:val="fr-FR"/>
        </w:rPr>
        <w:t>;</w:t>
      </w:r>
    </w:p>
    <w:p w:rsidR="00886826" w:rsidRPr="001B283D" w:rsidRDefault="00886826" w:rsidP="00831220">
      <w:pPr>
        <w:spacing w:line="276" w:lineRule="auto"/>
        <w:ind w:left="1134"/>
        <w:rPr>
          <w:lang w:val="fr-FR"/>
        </w:rPr>
      </w:pPr>
      <w:r w:rsidRPr="001B283D">
        <w:rPr>
          <w:lang w:val="fr-FR"/>
        </w:rPr>
        <w:tab/>
        <w:t>c)</w:t>
      </w:r>
      <w:r w:rsidRPr="001B283D">
        <w:rPr>
          <w:lang w:val="fr-FR"/>
        </w:rPr>
        <w:tab/>
        <w:t>Version du code de couleur RHS utilisée (selon qu</w:t>
      </w:r>
      <w:r w:rsidR="00894570" w:rsidRPr="001B283D">
        <w:rPr>
          <w:lang w:val="fr-FR"/>
        </w:rPr>
        <w:t>’</w:t>
      </w:r>
      <w:r w:rsidRPr="001B283D">
        <w:rPr>
          <w:lang w:val="fr-FR"/>
        </w:rPr>
        <w:t>il convient)</w:t>
      </w:r>
      <w:r w:rsidR="00CE4932">
        <w:rPr>
          <w:lang w:val="fr-FR"/>
        </w:rPr>
        <w:t>;</w:t>
      </w:r>
    </w:p>
    <w:p w:rsidR="00886826" w:rsidRPr="001B283D" w:rsidRDefault="00886826" w:rsidP="00831220">
      <w:pPr>
        <w:tabs>
          <w:tab w:val="left" w:pos="284"/>
        </w:tabs>
        <w:spacing w:line="276" w:lineRule="auto"/>
        <w:ind w:left="1134"/>
        <w:rPr>
          <w:lang w:val="fr-FR"/>
        </w:rPr>
      </w:pPr>
      <w:r w:rsidRPr="001B283D">
        <w:rPr>
          <w:lang w:val="fr-FR"/>
        </w:rPr>
        <w:tab/>
        <w:t>d)</w:t>
      </w:r>
      <w:r w:rsidRPr="001B283D">
        <w:rPr>
          <w:lang w:val="fr-FR"/>
        </w:rPr>
        <w:tab/>
        <w:t>Remarques</w:t>
      </w:r>
      <w:r w:rsidR="00CE4932">
        <w:rPr>
          <w:lang w:val="fr-FR"/>
        </w:rPr>
        <w:t>.</w:t>
      </w:r>
    </w:p>
    <w:p w:rsidR="00886826" w:rsidRPr="001B283D" w:rsidRDefault="00886826">
      <w:pPr>
        <w:jc w:val="left"/>
        <w:rPr>
          <w:snapToGrid w:val="0"/>
          <w:lang w:val="fr-FR"/>
        </w:rPr>
      </w:pPr>
    </w:p>
    <w:p w:rsidR="00CE4932" w:rsidRDefault="00CE4932">
      <w:pPr>
        <w:jc w:val="left"/>
        <w:rPr>
          <w:snapToGrid w:val="0"/>
          <w:lang w:val="fr-FR"/>
        </w:rPr>
      </w:pPr>
      <w:r>
        <w:rPr>
          <w:snapToGrid w:val="0"/>
          <w:lang w:val="fr-FR"/>
        </w:rPr>
        <w:br w:type="page"/>
      </w:r>
    </w:p>
    <w:p w:rsidR="00886826" w:rsidRPr="001B283D" w:rsidRDefault="00CE4932" w:rsidP="004E579A">
      <w:pPr>
        <w:rPr>
          <w:lang w:val="fr-FR"/>
        </w:rPr>
      </w:pPr>
      <w:r w:rsidRPr="001B283D">
        <w:rPr>
          <w:snapToGrid w:val="0"/>
          <w:lang w:val="fr-FR"/>
        </w:rPr>
        <w:lastRenderedPageBreak/>
        <w:fldChar w:fldCharType="begin"/>
      </w:r>
      <w:r w:rsidRPr="001B283D">
        <w:rPr>
          <w:snapToGrid w:val="0"/>
          <w:lang w:val="fr-FR"/>
        </w:rPr>
        <w:instrText xml:space="preserve"> AUTONUM  </w:instrText>
      </w:r>
      <w:r w:rsidRPr="001B283D">
        <w:rPr>
          <w:snapToGrid w:val="0"/>
          <w:lang w:val="fr-FR"/>
        </w:rPr>
        <w:fldChar w:fldCharType="end"/>
      </w:r>
      <w:r w:rsidRPr="001B283D">
        <w:rPr>
          <w:snapToGrid w:val="0"/>
          <w:lang w:val="fr-FR"/>
        </w:rPr>
        <w:tab/>
      </w:r>
      <w:r w:rsidR="00886826" w:rsidRPr="001B283D">
        <w:rPr>
          <w:snapToGrid w:val="0"/>
          <w:lang w:val="fr-FR"/>
        </w:rPr>
        <w:t>Le CAJ</w:t>
      </w:r>
      <w:r w:rsidR="00A27C5B" w:rsidRPr="001B283D">
        <w:rPr>
          <w:snapToGrid w:val="0"/>
          <w:lang w:val="fr-FR"/>
        </w:rPr>
        <w:noBreakHyphen/>
      </w:r>
      <w:r w:rsidR="00886826" w:rsidRPr="001B283D">
        <w:rPr>
          <w:snapToGrid w:val="0"/>
          <w:lang w:val="fr-FR"/>
        </w:rPr>
        <w:t>AG convient de recommander</w:t>
      </w:r>
      <w:r w:rsidR="00894570" w:rsidRPr="001B283D">
        <w:rPr>
          <w:snapToGrid w:val="0"/>
          <w:lang w:val="fr-FR"/>
        </w:rPr>
        <w:t xml:space="preserve"> au CAJ</w:t>
      </w:r>
      <w:r w:rsidR="00886826" w:rsidRPr="001B283D">
        <w:rPr>
          <w:snapToGrid w:val="0"/>
          <w:lang w:val="fr-FR"/>
        </w:rPr>
        <w:t xml:space="preserve"> que le but de la description variétale initiale et le statut de la description variétale initiale, au regard de la vérification de la conformité du matériel végétal à une variété protégée aux fins de la défense du droit comme indiqué ci</w:t>
      </w:r>
      <w:r w:rsidR="00A27C5B" w:rsidRPr="001B283D">
        <w:rPr>
          <w:snapToGrid w:val="0"/>
          <w:lang w:val="fr-FR"/>
        </w:rPr>
        <w:noBreakHyphen/>
      </w:r>
      <w:r w:rsidR="00886826" w:rsidRPr="001B283D">
        <w:rPr>
          <w:snapToGrid w:val="0"/>
          <w:lang w:val="fr-FR"/>
        </w:rPr>
        <w:t>dessus, doivent être communiqués au Comité technique pour l</w:t>
      </w:r>
      <w:r w:rsidR="00894570" w:rsidRPr="001B283D">
        <w:rPr>
          <w:snapToGrid w:val="0"/>
          <w:lang w:val="fr-FR"/>
        </w:rPr>
        <w:t>’</w:t>
      </w:r>
      <w:r w:rsidR="00886826" w:rsidRPr="001B283D">
        <w:rPr>
          <w:snapToGrid w:val="0"/>
          <w:lang w:val="fr-FR"/>
        </w:rPr>
        <w:t>aider dans son examen</w:t>
      </w:r>
      <w:r w:rsidR="00F2415E" w:rsidRPr="001B283D">
        <w:rPr>
          <w:snapToGrid w:val="0"/>
          <w:lang w:val="fr-FR"/>
        </w:rPr>
        <w:t> </w:t>
      </w:r>
      <w:r w:rsidR="00886826" w:rsidRPr="001B283D">
        <w:rPr>
          <w:lang w:val="fr-FR"/>
        </w:rPr>
        <w:t>:</w:t>
      </w:r>
    </w:p>
    <w:p w:rsidR="00886826" w:rsidRPr="001B283D" w:rsidRDefault="00886826" w:rsidP="007B1E25">
      <w:pPr>
        <w:rPr>
          <w:lang w:val="fr-FR"/>
        </w:rPr>
      </w:pPr>
    </w:p>
    <w:p w:rsidR="00886826" w:rsidRPr="001B283D" w:rsidRDefault="00886826" w:rsidP="00C841DF">
      <w:pPr>
        <w:keepNext/>
        <w:ind w:left="567" w:right="567"/>
        <w:rPr>
          <w:sz w:val="18"/>
          <w:szCs w:val="18"/>
          <w:lang w:val="fr-FR"/>
        </w:rPr>
      </w:pPr>
      <w:r w:rsidRPr="001B283D">
        <w:rPr>
          <w:sz w:val="18"/>
          <w:szCs w:val="18"/>
          <w:lang w:val="fr-FR"/>
        </w:rPr>
        <w:t>“[…]</w:t>
      </w:r>
    </w:p>
    <w:p w:rsidR="00886826" w:rsidRPr="001B283D" w:rsidRDefault="00886826" w:rsidP="00A60E16">
      <w:pPr>
        <w:ind w:left="567" w:right="567"/>
        <w:rPr>
          <w:sz w:val="18"/>
          <w:szCs w:val="18"/>
          <w:lang w:val="fr-FR"/>
        </w:rPr>
      </w:pPr>
    </w:p>
    <w:p w:rsidR="00886826" w:rsidRPr="001B283D" w:rsidRDefault="00886826" w:rsidP="000D43C5">
      <w:pPr>
        <w:ind w:left="567" w:right="567"/>
        <w:rPr>
          <w:sz w:val="18"/>
          <w:szCs w:val="18"/>
          <w:lang w:val="fr-FR"/>
        </w:rPr>
      </w:pPr>
      <w:r w:rsidRPr="001B283D">
        <w:rPr>
          <w:sz w:val="18"/>
          <w:szCs w:val="18"/>
          <w:lang w:val="fr-FR"/>
        </w:rPr>
        <w:t xml:space="preserve">“b) </w:t>
      </w:r>
      <w:r w:rsidRPr="001B283D">
        <w:rPr>
          <w:sz w:val="18"/>
          <w:szCs w:val="18"/>
          <w:lang w:val="fr-FR"/>
        </w:rPr>
        <w:tab/>
        <w:t>du statut de la description variétale initiale, au regard de la vérification de la conformité du matériel végétal à une variété protégée aux fins de :</w:t>
      </w:r>
    </w:p>
    <w:p w:rsidR="00886826" w:rsidRPr="001B283D" w:rsidRDefault="00886826" w:rsidP="00A60E16">
      <w:pPr>
        <w:ind w:left="567" w:right="567"/>
        <w:rPr>
          <w:sz w:val="18"/>
          <w:szCs w:val="18"/>
          <w:lang w:val="fr-FR"/>
        </w:rPr>
      </w:pPr>
    </w:p>
    <w:p w:rsidR="00886826" w:rsidRPr="001B283D" w:rsidRDefault="00CE4932" w:rsidP="000D43C5">
      <w:pPr>
        <w:ind w:left="1134" w:right="567"/>
        <w:rPr>
          <w:sz w:val="18"/>
          <w:szCs w:val="18"/>
          <w:lang w:val="fr-FR"/>
        </w:rPr>
      </w:pPr>
      <w:r>
        <w:rPr>
          <w:sz w:val="18"/>
          <w:szCs w:val="18"/>
          <w:lang w:val="fr-FR"/>
        </w:rPr>
        <w:t>“i)</w:t>
      </w:r>
      <w:r w:rsidR="00886826" w:rsidRPr="001B283D">
        <w:rPr>
          <w:sz w:val="18"/>
          <w:szCs w:val="18"/>
          <w:lang w:val="fr-FR"/>
        </w:rPr>
        <w:tab/>
        <w:t>vérifier le maintien de la variété (article 22 de l</w:t>
      </w:r>
      <w:r w:rsidR="00894570" w:rsidRPr="001B283D">
        <w:rPr>
          <w:sz w:val="18"/>
          <w:szCs w:val="18"/>
          <w:lang w:val="fr-FR"/>
        </w:rPr>
        <w:t>’</w:t>
      </w:r>
      <w:r w:rsidR="00886826" w:rsidRPr="001B283D">
        <w:rPr>
          <w:sz w:val="18"/>
          <w:szCs w:val="18"/>
          <w:lang w:val="fr-FR"/>
        </w:rPr>
        <w:t>Acte de 1991, article 10 de l</w:t>
      </w:r>
      <w:r w:rsidR="00894570" w:rsidRPr="001B283D">
        <w:rPr>
          <w:sz w:val="18"/>
          <w:szCs w:val="18"/>
          <w:lang w:val="fr-FR"/>
        </w:rPr>
        <w:t>’</w:t>
      </w:r>
      <w:r w:rsidR="00886826" w:rsidRPr="001B283D">
        <w:rPr>
          <w:sz w:val="18"/>
          <w:szCs w:val="18"/>
          <w:lang w:val="fr-FR"/>
        </w:rPr>
        <w:t>Acte de 1978);</w:t>
      </w:r>
    </w:p>
    <w:p w:rsidR="00886826" w:rsidRPr="001B283D" w:rsidRDefault="00886826" w:rsidP="00A60E16">
      <w:pPr>
        <w:ind w:left="1134" w:right="567"/>
        <w:rPr>
          <w:sz w:val="18"/>
          <w:szCs w:val="18"/>
          <w:lang w:val="fr-FR"/>
        </w:rPr>
      </w:pPr>
    </w:p>
    <w:p w:rsidR="00886826" w:rsidRPr="001B283D" w:rsidRDefault="00CE4932" w:rsidP="000D43C5">
      <w:pPr>
        <w:ind w:left="1134" w:right="567"/>
        <w:rPr>
          <w:sz w:val="18"/>
          <w:szCs w:val="18"/>
          <w:lang w:val="fr-FR"/>
        </w:rPr>
      </w:pPr>
      <w:r>
        <w:rPr>
          <w:sz w:val="18"/>
          <w:szCs w:val="18"/>
          <w:lang w:val="fr-FR"/>
        </w:rPr>
        <w:t>“ii)</w:t>
      </w:r>
      <w:r w:rsidR="00886826" w:rsidRPr="001B283D">
        <w:rPr>
          <w:sz w:val="18"/>
          <w:szCs w:val="18"/>
          <w:lang w:val="fr-FR"/>
        </w:rPr>
        <w:tab/>
        <w:t>l</w:t>
      </w:r>
      <w:r w:rsidR="00894570" w:rsidRPr="001B283D">
        <w:rPr>
          <w:sz w:val="18"/>
          <w:szCs w:val="18"/>
          <w:lang w:val="fr-FR"/>
        </w:rPr>
        <w:t>’</w:t>
      </w:r>
      <w:r w:rsidR="00886826" w:rsidRPr="001B283D">
        <w:rPr>
          <w:sz w:val="18"/>
          <w:szCs w:val="18"/>
          <w:lang w:val="fr-FR"/>
        </w:rPr>
        <w:t>examen de la distinction, de l</w:t>
      </w:r>
      <w:r w:rsidR="00894570" w:rsidRPr="001B283D">
        <w:rPr>
          <w:sz w:val="18"/>
          <w:szCs w:val="18"/>
          <w:lang w:val="fr-FR"/>
        </w:rPr>
        <w:t>’</w:t>
      </w:r>
      <w:r w:rsidR="00886826" w:rsidRPr="001B283D">
        <w:rPr>
          <w:sz w:val="18"/>
          <w:szCs w:val="18"/>
          <w:lang w:val="fr-FR"/>
        </w:rPr>
        <w:t>homogénéité et de la stabilité (examen “DHS”) des variétés candidates;  et</w:t>
      </w:r>
    </w:p>
    <w:p w:rsidR="00886826" w:rsidRPr="001B283D" w:rsidRDefault="00886826" w:rsidP="00A60E16">
      <w:pPr>
        <w:ind w:left="567" w:right="567"/>
        <w:rPr>
          <w:sz w:val="18"/>
          <w:szCs w:val="18"/>
          <w:lang w:val="fr-FR"/>
        </w:rPr>
      </w:pPr>
    </w:p>
    <w:p w:rsidR="00886826" w:rsidRPr="001B283D" w:rsidRDefault="00886826" w:rsidP="00A60E16">
      <w:pPr>
        <w:spacing w:after="240"/>
        <w:ind w:left="567" w:right="567" w:firstLine="567"/>
        <w:rPr>
          <w:sz w:val="18"/>
          <w:szCs w:val="18"/>
          <w:lang w:val="fr-FR"/>
        </w:rPr>
      </w:pPr>
      <w:r w:rsidRPr="001B283D">
        <w:rPr>
          <w:sz w:val="18"/>
          <w:szCs w:val="18"/>
          <w:lang w:val="fr-FR"/>
        </w:rPr>
        <w:t>“[…]</w:t>
      </w:r>
    </w:p>
    <w:p w:rsidR="00886826" w:rsidRPr="001B283D" w:rsidRDefault="00886826" w:rsidP="000D43C5">
      <w:pPr>
        <w:ind w:left="567" w:right="567"/>
        <w:rPr>
          <w:sz w:val="18"/>
          <w:szCs w:val="18"/>
          <w:lang w:val="fr-FR"/>
        </w:rPr>
      </w:pPr>
      <w:r w:rsidRPr="001B283D">
        <w:rPr>
          <w:sz w:val="18"/>
          <w:szCs w:val="18"/>
          <w:lang w:val="fr-FR"/>
        </w:rPr>
        <w:t xml:space="preserve">“c) </w:t>
      </w:r>
      <w:r w:rsidRPr="001B283D">
        <w:rPr>
          <w:sz w:val="18"/>
          <w:szCs w:val="18"/>
          <w:lang w:val="fr-FR"/>
        </w:rPr>
        <w:tab/>
        <w:t>du statut d</w:t>
      </w:r>
      <w:r w:rsidR="00894570" w:rsidRPr="001B283D">
        <w:rPr>
          <w:sz w:val="18"/>
          <w:szCs w:val="18"/>
          <w:lang w:val="fr-FR"/>
        </w:rPr>
        <w:t>’</w:t>
      </w:r>
      <w:r w:rsidRPr="001B283D">
        <w:rPr>
          <w:sz w:val="18"/>
          <w:szCs w:val="18"/>
          <w:lang w:val="fr-FR"/>
        </w:rPr>
        <w:t>une description variétale modifi</w:t>
      </w:r>
      <w:r w:rsidR="00A27C5B" w:rsidRPr="001B283D">
        <w:rPr>
          <w:sz w:val="18"/>
          <w:szCs w:val="18"/>
          <w:lang w:val="fr-FR"/>
        </w:rPr>
        <w:t>ée par rapport aux points a) et </w:t>
      </w:r>
      <w:r w:rsidRPr="001B283D">
        <w:rPr>
          <w:sz w:val="18"/>
          <w:szCs w:val="18"/>
          <w:lang w:val="fr-FR"/>
        </w:rPr>
        <w:t>b)</w:t>
      </w:r>
      <w:r w:rsidR="00A27C5B" w:rsidRPr="001B283D">
        <w:rPr>
          <w:sz w:val="18"/>
          <w:szCs w:val="18"/>
          <w:lang w:val="fr-FR"/>
        </w:rPr>
        <w:t xml:space="preserve"> </w:t>
      </w:r>
      <w:r w:rsidRPr="001B283D">
        <w:rPr>
          <w:sz w:val="18"/>
          <w:szCs w:val="18"/>
          <w:lang w:val="fr-FR"/>
        </w:rPr>
        <w:t>précités, fournie, par exemple, à la suite :</w:t>
      </w:r>
    </w:p>
    <w:p w:rsidR="00886826" w:rsidRPr="001B283D" w:rsidRDefault="00886826" w:rsidP="00A60E16">
      <w:pPr>
        <w:ind w:left="567" w:right="567"/>
        <w:rPr>
          <w:sz w:val="18"/>
          <w:szCs w:val="18"/>
          <w:lang w:val="fr-FR"/>
        </w:rPr>
      </w:pPr>
    </w:p>
    <w:p w:rsidR="00886826" w:rsidRPr="001B283D" w:rsidRDefault="00886826" w:rsidP="000D43C5">
      <w:pPr>
        <w:spacing w:after="60"/>
        <w:ind w:left="1701" w:right="567" w:hanging="567"/>
        <w:rPr>
          <w:sz w:val="18"/>
          <w:szCs w:val="18"/>
          <w:lang w:val="fr-FR"/>
        </w:rPr>
      </w:pPr>
      <w:r w:rsidRPr="001B283D">
        <w:rPr>
          <w:sz w:val="18"/>
          <w:szCs w:val="18"/>
          <w:lang w:val="fr-FR"/>
        </w:rPr>
        <w:t xml:space="preserve">“i) </w:t>
      </w:r>
      <w:r w:rsidRPr="001B283D">
        <w:rPr>
          <w:sz w:val="18"/>
          <w:szCs w:val="18"/>
          <w:lang w:val="fr-FR"/>
        </w:rPr>
        <w:tab/>
        <w:t>d</w:t>
      </w:r>
      <w:r w:rsidR="00894570" w:rsidRPr="001B283D">
        <w:rPr>
          <w:sz w:val="18"/>
          <w:szCs w:val="18"/>
          <w:lang w:val="fr-FR"/>
        </w:rPr>
        <w:t>’</w:t>
      </w:r>
      <w:r w:rsidRPr="001B283D">
        <w:rPr>
          <w:sz w:val="18"/>
          <w:szCs w:val="18"/>
          <w:lang w:val="fr-FR"/>
        </w:rPr>
        <w:t>un réétalonnage de l</w:t>
      </w:r>
      <w:r w:rsidR="00894570" w:rsidRPr="001B283D">
        <w:rPr>
          <w:sz w:val="18"/>
          <w:szCs w:val="18"/>
          <w:lang w:val="fr-FR"/>
        </w:rPr>
        <w:t>’</w:t>
      </w:r>
      <w:r w:rsidRPr="001B283D">
        <w:rPr>
          <w:sz w:val="18"/>
          <w:szCs w:val="18"/>
          <w:lang w:val="fr-FR"/>
        </w:rPr>
        <w:t>échelle des principes directeurs d</w:t>
      </w:r>
      <w:r w:rsidR="00894570" w:rsidRPr="001B283D">
        <w:rPr>
          <w:sz w:val="18"/>
          <w:szCs w:val="18"/>
          <w:lang w:val="fr-FR"/>
        </w:rPr>
        <w:t>’</w:t>
      </w:r>
      <w:r w:rsidRPr="001B283D">
        <w:rPr>
          <w:sz w:val="18"/>
          <w:szCs w:val="18"/>
          <w:lang w:val="fr-FR"/>
        </w:rPr>
        <w:t>examen (en particulier pour les caractères non signalés par un astérisque</w:t>
      </w:r>
      <w:r w:rsidRPr="001B283D">
        <w:rPr>
          <w:rStyle w:val="FootnoteReference"/>
          <w:rFonts w:cs="Arial"/>
          <w:sz w:val="18"/>
          <w:szCs w:val="18"/>
          <w:lang w:val="fr-FR"/>
        </w:rPr>
        <w:footnoteReference w:id="2"/>
      </w:r>
      <w:r w:rsidRPr="001B283D">
        <w:rPr>
          <w:sz w:val="18"/>
          <w:szCs w:val="18"/>
          <w:lang w:val="fr-FR"/>
        </w:rPr>
        <w:t>);</w:t>
      </w:r>
    </w:p>
    <w:p w:rsidR="00886826" w:rsidRPr="001B283D" w:rsidRDefault="00886826" w:rsidP="00E547C5">
      <w:pPr>
        <w:spacing w:after="60"/>
        <w:ind w:left="1701" w:right="567" w:hanging="567"/>
        <w:rPr>
          <w:sz w:val="18"/>
          <w:szCs w:val="18"/>
          <w:lang w:val="fr-FR"/>
        </w:rPr>
      </w:pPr>
      <w:r w:rsidRPr="001B283D">
        <w:rPr>
          <w:sz w:val="18"/>
          <w:szCs w:val="18"/>
          <w:lang w:val="fr-FR"/>
        </w:rPr>
        <w:t>“ii)</w:t>
      </w:r>
      <w:r w:rsidRPr="001B283D">
        <w:rPr>
          <w:sz w:val="18"/>
          <w:szCs w:val="18"/>
          <w:lang w:val="fr-FR"/>
        </w:rPr>
        <w:tab/>
        <w:t>d</w:t>
      </w:r>
      <w:r w:rsidR="00894570" w:rsidRPr="001B283D">
        <w:rPr>
          <w:sz w:val="18"/>
          <w:szCs w:val="18"/>
          <w:lang w:val="fr-FR"/>
        </w:rPr>
        <w:t>’</w:t>
      </w:r>
      <w:r w:rsidRPr="001B283D">
        <w:rPr>
          <w:sz w:val="18"/>
          <w:szCs w:val="18"/>
          <w:lang w:val="fr-FR"/>
        </w:rPr>
        <w:t>une variation due aux conditions environnementales des années d</w:t>
      </w:r>
      <w:r w:rsidR="00894570" w:rsidRPr="001B283D">
        <w:rPr>
          <w:sz w:val="18"/>
          <w:szCs w:val="18"/>
          <w:lang w:val="fr-FR"/>
        </w:rPr>
        <w:t>’</w:t>
      </w:r>
      <w:r w:rsidRPr="001B283D">
        <w:rPr>
          <w:sz w:val="18"/>
          <w:szCs w:val="18"/>
          <w:lang w:val="fr-FR"/>
        </w:rPr>
        <w:t>essai pour les caractères influencés par le milieu;</w:t>
      </w:r>
    </w:p>
    <w:p w:rsidR="00886826" w:rsidRPr="001B283D" w:rsidRDefault="00886826" w:rsidP="00E547C5">
      <w:pPr>
        <w:spacing w:after="60"/>
        <w:ind w:left="1701" w:right="567" w:hanging="567"/>
        <w:rPr>
          <w:sz w:val="18"/>
          <w:szCs w:val="18"/>
          <w:lang w:val="fr-FR"/>
        </w:rPr>
      </w:pPr>
      <w:r w:rsidRPr="001B283D">
        <w:rPr>
          <w:sz w:val="18"/>
          <w:szCs w:val="18"/>
          <w:lang w:val="fr-FR"/>
        </w:rPr>
        <w:t>“iii)</w:t>
      </w:r>
      <w:r w:rsidRPr="001B283D">
        <w:rPr>
          <w:sz w:val="18"/>
          <w:szCs w:val="18"/>
          <w:lang w:val="fr-FR"/>
        </w:rPr>
        <w:tab/>
        <w:t>d</w:t>
      </w:r>
      <w:r w:rsidR="00894570" w:rsidRPr="001B283D">
        <w:rPr>
          <w:sz w:val="18"/>
          <w:szCs w:val="18"/>
          <w:lang w:val="fr-FR"/>
        </w:rPr>
        <w:t>’</w:t>
      </w:r>
      <w:r w:rsidRPr="001B283D">
        <w:rPr>
          <w:sz w:val="18"/>
          <w:szCs w:val="18"/>
          <w:lang w:val="fr-FR"/>
        </w:rPr>
        <w:t>une variation due à l</w:t>
      </w:r>
      <w:r w:rsidR="00894570" w:rsidRPr="001B283D">
        <w:rPr>
          <w:sz w:val="18"/>
          <w:szCs w:val="18"/>
          <w:lang w:val="fr-FR"/>
        </w:rPr>
        <w:t>’</w:t>
      </w:r>
      <w:r w:rsidRPr="001B283D">
        <w:rPr>
          <w:sz w:val="18"/>
          <w:szCs w:val="18"/>
          <w:lang w:val="fr-FR"/>
        </w:rPr>
        <w:t>observation effectuée par différents experts;  ou</w:t>
      </w:r>
    </w:p>
    <w:p w:rsidR="00886826" w:rsidRPr="001B283D" w:rsidRDefault="00CE4932" w:rsidP="00E547C5">
      <w:pPr>
        <w:ind w:left="1701" w:right="567" w:hanging="567"/>
        <w:rPr>
          <w:sz w:val="18"/>
          <w:szCs w:val="18"/>
          <w:lang w:val="fr-FR"/>
        </w:rPr>
      </w:pPr>
      <w:r>
        <w:rPr>
          <w:sz w:val="18"/>
          <w:szCs w:val="18"/>
          <w:lang w:val="fr-FR"/>
        </w:rPr>
        <w:t>“iv)</w:t>
      </w:r>
      <w:r w:rsidR="00886826" w:rsidRPr="001B283D">
        <w:rPr>
          <w:sz w:val="18"/>
          <w:szCs w:val="18"/>
          <w:lang w:val="fr-FR"/>
        </w:rPr>
        <w:tab/>
        <w:t>de l</w:t>
      </w:r>
      <w:r w:rsidR="00894570" w:rsidRPr="001B283D">
        <w:rPr>
          <w:sz w:val="18"/>
          <w:szCs w:val="18"/>
          <w:lang w:val="fr-FR"/>
        </w:rPr>
        <w:t>’</w:t>
      </w:r>
      <w:r w:rsidR="00886826" w:rsidRPr="001B283D">
        <w:rPr>
          <w:sz w:val="18"/>
          <w:szCs w:val="18"/>
          <w:lang w:val="fr-FR"/>
        </w:rPr>
        <w:t>utilisation de différentes versions d</w:t>
      </w:r>
      <w:r w:rsidR="00894570" w:rsidRPr="001B283D">
        <w:rPr>
          <w:sz w:val="18"/>
          <w:szCs w:val="18"/>
          <w:lang w:val="fr-FR"/>
        </w:rPr>
        <w:t>’</w:t>
      </w:r>
      <w:r w:rsidR="00886826" w:rsidRPr="001B283D">
        <w:rPr>
          <w:sz w:val="18"/>
          <w:szCs w:val="18"/>
          <w:lang w:val="fr-FR"/>
        </w:rPr>
        <w:t>échelles (par exemple, différentes versions du code de couleurs RHS).</w:t>
      </w:r>
    </w:p>
    <w:p w:rsidR="00886826" w:rsidRPr="001B283D" w:rsidRDefault="00886826" w:rsidP="00A60E16">
      <w:pPr>
        <w:ind w:left="567" w:right="567"/>
        <w:rPr>
          <w:sz w:val="18"/>
          <w:szCs w:val="18"/>
          <w:lang w:val="fr-FR"/>
        </w:rPr>
      </w:pPr>
    </w:p>
    <w:p w:rsidR="00886826" w:rsidRPr="001B283D" w:rsidRDefault="00CE4932" w:rsidP="00E547C5">
      <w:pPr>
        <w:ind w:left="567" w:right="567"/>
        <w:rPr>
          <w:sz w:val="18"/>
          <w:szCs w:val="18"/>
          <w:lang w:val="fr-FR"/>
        </w:rPr>
      </w:pPr>
      <w:r>
        <w:rPr>
          <w:sz w:val="18"/>
          <w:szCs w:val="18"/>
          <w:lang w:val="fr-FR"/>
        </w:rPr>
        <w:t>“d)</w:t>
      </w:r>
      <w:r w:rsidR="00886826" w:rsidRPr="001B283D">
        <w:rPr>
          <w:sz w:val="18"/>
          <w:szCs w:val="18"/>
          <w:lang w:val="fr-FR"/>
        </w:rPr>
        <w:tab/>
        <w:t>lorsqu</w:t>
      </w:r>
      <w:r w:rsidR="00894570" w:rsidRPr="001B283D">
        <w:rPr>
          <w:sz w:val="18"/>
          <w:szCs w:val="18"/>
          <w:lang w:val="fr-FR"/>
        </w:rPr>
        <w:t>’</w:t>
      </w:r>
      <w:r w:rsidR="00886826" w:rsidRPr="001B283D">
        <w:rPr>
          <w:sz w:val="18"/>
          <w:szCs w:val="18"/>
          <w:lang w:val="fr-FR"/>
        </w:rPr>
        <w:t>une erreur est décelée par la suite dans la description variétale initiale”.</w:t>
      </w:r>
    </w:p>
    <w:p w:rsidR="00886826" w:rsidRPr="001B283D" w:rsidRDefault="00886826" w:rsidP="007B1E25">
      <w:pPr>
        <w:rPr>
          <w:lang w:val="fr-FR"/>
        </w:rPr>
      </w:pPr>
    </w:p>
    <w:p w:rsidR="00886826" w:rsidRPr="001B283D" w:rsidRDefault="00886826" w:rsidP="007B1E25">
      <w:pPr>
        <w:rPr>
          <w:lang w:val="fr-FR"/>
        </w:rPr>
      </w:pPr>
    </w:p>
    <w:p w:rsidR="00886826" w:rsidRPr="001B283D" w:rsidRDefault="00886826" w:rsidP="00E547C5">
      <w:pPr>
        <w:pStyle w:val="Heading2"/>
        <w:rPr>
          <w:lang w:val="fr-FR"/>
        </w:rPr>
      </w:pPr>
      <w:r w:rsidRPr="001B283D">
        <w:rPr>
          <w:lang w:val="fr-FR"/>
        </w:rPr>
        <w:t xml:space="preserve">Notes explicatives sur la protection provisoire selon la </w:t>
      </w:r>
      <w:r w:rsidR="00894570" w:rsidRPr="001B283D">
        <w:rPr>
          <w:lang w:val="fr-FR"/>
        </w:rPr>
        <w:t>Convention UPOV</w:t>
      </w:r>
      <w:r w:rsidRPr="001B283D">
        <w:rPr>
          <w:lang w:val="fr-FR"/>
        </w:rPr>
        <w:t xml:space="preserve"> (Révision)</w:t>
      </w:r>
    </w:p>
    <w:p w:rsidR="00886826" w:rsidRPr="001B283D" w:rsidRDefault="00886826" w:rsidP="000E2821">
      <w:pPr>
        <w:keepNext/>
        <w:rPr>
          <w:lang w:val="fr-FR"/>
        </w:rPr>
      </w:pPr>
    </w:p>
    <w:p w:rsidR="00894570" w:rsidRPr="001B283D" w:rsidRDefault="00886826" w:rsidP="007B1E25">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00894570" w:rsidRPr="001B283D">
        <w:rPr>
          <w:lang w:val="fr-FR"/>
        </w:rPr>
        <w:t xml:space="preserve"> Le CAJ</w:t>
      </w:r>
      <w:r w:rsidR="00CE4932">
        <w:rPr>
          <w:lang w:val="fr-FR"/>
        </w:rPr>
        <w:noBreakHyphen/>
      </w:r>
      <w:r w:rsidRPr="001B283D">
        <w:rPr>
          <w:lang w:val="fr-FR"/>
        </w:rPr>
        <w:t>AG exa</w:t>
      </w:r>
      <w:r w:rsidR="00F87F28" w:rsidRPr="001B283D">
        <w:rPr>
          <w:lang w:val="fr-FR"/>
        </w:rPr>
        <w:t>mine le document UPOV/EXN/PRP/2 </w:t>
      </w:r>
      <w:r w:rsidRPr="001B283D">
        <w:rPr>
          <w:lang w:val="fr-FR"/>
        </w:rPr>
        <w:t>Draft 2 et les opinions formulées par CropLife International.</w:t>
      </w:r>
    </w:p>
    <w:p w:rsidR="00886826" w:rsidRPr="001B283D" w:rsidRDefault="00886826" w:rsidP="007B1E25">
      <w:pPr>
        <w:rPr>
          <w:lang w:val="fr-FR"/>
        </w:rPr>
      </w:pPr>
    </w:p>
    <w:p w:rsidR="00886826" w:rsidRPr="001B283D" w:rsidRDefault="00886826" w:rsidP="000E2821">
      <w:pPr>
        <w:keepNext/>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00CE4932">
        <w:rPr>
          <w:lang w:val="fr-FR"/>
        </w:rPr>
        <w:tab/>
        <w:t>Le CAJ </w:t>
      </w:r>
      <w:r w:rsidRPr="001B283D">
        <w:rPr>
          <w:lang w:val="fr-FR"/>
        </w:rPr>
        <w:t>AG convient de proposer</w:t>
      </w:r>
      <w:r w:rsidR="00894570" w:rsidRPr="001B283D">
        <w:rPr>
          <w:lang w:val="fr-FR"/>
        </w:rPr>
        <w:t xml:space="preserve"> au CAJ</w:t>
      </w:r>
      <w:r w:rsidRPr="001B283D">
        <w:rPr>
          <w:lang w:val="fr-FR"/>
        </w:rPr>
        <w:t xml:space="preserve"> une révision du document UPOV/EXN/PRP, telle qu</w:t>
      </w:r>
      <w:r w:rsidR="00894570" w:rsidRPr="001B283D">
        <w:rPr>
          <w:lang w:val="fr-FR"/>
        </w:rPr>
        <w:t>’</w:t>
      </w:r>
      <w:r w:rsidRPr="001B283D">
        <w:rPr>
          <w:lang w:val="fr-FR"/>
        </w:rPr>
        <w:t>elle figure dans le document UPOV/EXN/PRP/2 Draft 2.</w:t>
      </w:r>
    </w:p>
    <w:p w:rsidR="00886826" w:rsidRPr="001B283D" w:rsidRDefault="00886826" w:rsidP="007B1E25">
      <w:pPr>
        <w:rPr>
          <w:lang w:val="fr-FR"/>
        </w:rPr>
      </w:pPr>
    </w:p>
    <w:p w:rsidR="00886826" w:rsidRPr="001B283D" w:rsidRDefault="00886826" w:rsidP="00F258D2">
      <w:pPr>
        <w:pStyle w:val="Heading2"/>
        <w:rPr>
          <w:lang w:val="fr-FR"/>
        </w:rPr>
      </w:pPr>
    </w:p>
    <w:p w:rsidR="00886826" w:rsidRPr="001B283D" w:rsidRDefault="00886826" w:rsidP="00E547C5">
      <w:pPr>
        <w:pStyle w:val="Heading2"/>
        <w:rPr>
          <w:lang w:val="fr-FR"/>
        </w:rPr>
      </w:pPr>
      <w:r w:rsidRPr="001B283D">
        <w:rPr>
          <w:lang w:val="fr-FR"/>
        </w:rPr>
        <w:t>Variétés essentiellement dérivées</w:t>
      </w:r>
    </w:p>
    <w:p w:rsidR="00886826" w:rsidRPr="001B283D" w:rsidRDefault="00886826" w:rsidP="0010416A">
      <w:pPr>
        <w:keepNext/>
        <w:rPr>
          <w:lang w:val="fr-FR"/>
        </w:rPr>
      </w:pPr>
    </w:p>
    <w:p w:rsidR="00886826" w:rsidRPr="001B283D" w:rsidRDefault="00886826" w:rsidP="00E547C5">
      <w:pPr>
        <w:pStyle w:val="Heading3"/>
        <w:rPr>
          <w:lang w:val="fr-FR"/>
        </w:rPr>
      </w:pPr>
      <w:r w:rsidRPr="001B283D">
        <w:rPr>
          <w:lang w:val="fr-FR"/>
        </w:rPr>
        <w:t>Notes explicatives sur les variétés essentiellement dérivées selon l</w:t>
      </w:r>
      <w:r w:rsidR="00894570" w:rsidRPr="001B283D">
        <w:rPr>
          <w:lang w:val="fr-FR"/>
        </w:rPr>
        <w:t>’</w:t>
      </w:r>
      <w:r w:rsidRPr="001B283D">
        <w:rPr>
          <w:lang w:val="fr-FR"/>
        </w:rPr>
        <w:t>Acte de</w:t>
      </w:r>
      <w:r w:rsidR="00F2415E" w:rsidRPr="001B283D">
        <w:rPr>
          <w:lang w:val="fr-FR"/>
        </w:rPr>
        <w:t> </w:t>
      </w:r>
      <w:r w:rsidRPr="001B283D">
        <w:rPr>
          <w:lang w:val="fr-FR"/>
        </w:rPr>
        <w:t xml:space="preserve">1991 de la </w:t>
      </w:r>
      <w:r w:rsidR="00894570" w:rsidRPr="001B283D">
        <w:rPr>
          <w:lang w:val="fr-FR"/>
        </w:rPr>
        <w:t>Convention UPOV</w:t>
      </w:r>
      <w:r w:rsidRPr="001B283D">
        <w:rPr>
          <w:lang w:val="fr-FR"/>
        </w:rPr>
        <w:t xml:space="preserve"> (révision)</w:t>
      </w:r>
    </w:p>
    <w:p w:rsidR="00886826" w:rsidRPr="001B283D" w:rsidRDefault="00886826" w:rsidP="0010416A">
      <w:pPr>
        <w:keepNext/>
        <w:rPr>
          <w:lang w:val="fr-FR"/>
        </w:rPr>
      </w:pPr>
    </w:p>
    <w:p w:rsidR="00886826" w:rsidRPr="001B283D" w:rsidRDefault="00886826" w:rsidP="0010416A">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00CE4932">
        <w:rPr>
          <w:lang w:val="fr-FR"/>
        </w:rPr>
        <w:tab/>
        <w:t>Le CAJ</w:t>
      </w:r>
      <w:r w:rsidR="00CE4932">
        <w:rPr>
          <w:lang w:val="fr-FR"/>
        </w:rPr>
        <w:noBreakHyphen/>
      </w:r>
      <w:r w:rsidRPr="001B283D">
        <w:rPr>
          <w:lang w:val="fr-FR"/>
        </w:rPr>
        <w:t>AG examine les documents CAJ</w:t>
      </w:r>
      <w:r w:rsidR="00A27C5B" w:rsidRPr="001B283D">
        <w:rPr>
          <w:lang w:val="fr-FR"/>
        </w:rPr>
        <w:noBreakHyphen/>
      </w:r>
      <w:r w:rsidR="00F87F28" w:rsidRPr="001B283D">
        <w:rPr>
          <w:lang w:val="fr-FR"/>
        </w:rPr>
        <w:t>AG/14/9/2 et UPOV/EXN/EDV/2 Draft </w:t>
      </w:r>
      <w:r w:rsidRPr="001B283D">
        <w:rPr>
          <w:lang w:val="fr-FR"/>
        </w:rPr>
        <w:t>5 ainsi que les opinions formulées par l</w:t>
      </w:r>
      <w:r w:rsidR="00894570" w:rsidRPr="001B283D">
        <w:rPr>
          <w:lang w:val="fr-FR"/>
        </w:rPr>
        <w:t>’</w:t>
      </w:r>
      <w:r w:rsidRPr="001B283D">
        <w:rPr>
          <w:lang w:val="fr-FR"/>
        </w:rPr>
        <w:t>AIPH, l</w:t>
      </w:r>
      <w:r w:rsidR="00894570" w:rsidRPr="001B283D">
        <w:rPr>
          <w:lang w:val="fr-FR"/>
        </w:rPr>
        <w:t>’</w:t>
      </w:r>
      <w:r w:rsidRPr="001B283D">
        <w:rPr>
          <w:lang w:val="fr-FR"/>
        </w:rPr>
        <w:t>APBREBES,</w:t>
      </w:r>
      <w:r w:rsidR="00894570" w:rsidRPr="001B283D">
        <w:rPr>
          <w:lang w:val="fr-FR"/>
        </w:rPr>
        <w:t xml:space="preserve"> la CIO</w:t>
      </w:r>
      <w:r w:rsidRPr="001B283D">
        <w:rPr>
          <w:lang w:val="fr-FR"/>
        </w:rPr>
        <w:t>PORA, l</w:t>
      </w:r>
      <w:r w:rsidR="00894570" w:rsidRPr="001B283D">
        <w:rPr>
          <w:lang w:val="fr-FR"/>
        </w:rPr>
        <w:t>’</w:t>
      </w:r>
      <w:r w:rsidRPr="001B283D">
        <w:rPr>
          <w:lang w:val="fr-FR"/>
        </w:rPr>
        <w:t>ESA et l</w:t>
      </w:r>
      <w:r w:rsidR="00894570" w:rsidRPr="001B283D">
        <w:rPr>
          <w:lang w:val="fr-FR"/>
        </w:rPr>
        <w:t>’</w:t>
      </w:r>
      <w:r w:rsidRPr="001B283D">
        <w:rPr>
          <w:lang w:val="fr-FR"/>
        </w:rPr>
        <w:t>ISF.</w:t>
      </w:r>
    </w:p>
    <w:p w:rsidR="00886826" w:rsidRPr="001B283D" w:rsidRDefault="00886826" w:rsidP="0010416A">
      <w:pPr>
        <w:rPr>
          <w:lang w:val="fr-FR"/>
        </w:rPr>
      </w:pPr>
    </w:p>
    <w:p w:rsidR="00886826" w:rsidRPr="001B283D" w:rsidRDefault="00886826" w:rsidP="003B0880">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w:t>
      </w:r>
      <w:r w:rsidR="00CE4932">
        <w:rPr>
          <w:lang w:val="fr-FR"/>
        </w:rPr>
        <w:t>e CAJ</w:t>
      </w:r>
      <w:r w:rsidR="00CE4932">
        <w:rPr>
          <w:lang w:val="fr-FR"/>
        </w:rPr>
        <w:noBreakHyphen/>
      </w:r>
      <w:r w:rsidRPr="001B283D">
        <w:rPr>
          <w:lang w:val="fr-FR"/>
        </w:rPr>
        <w:t>AG accueille avec satisfaction l</w:t>
      </w:r>
      <w:r w:rsidR="00894570" w:rsidRPr="001B283D">
        <w:rPr>
          <w:lang w:val="fr-FR"/>
        </w:rPr>
        <w:t>’</w:t>
      </w:r>
      <w:r w:rsidRPr="001B283D">
        <w:rPr>
          <w:lang w:val="fr-FR"/>
        </w:rPr>
        <w:t>exposé de l</w:t>
      </w:r>
      <w:r w:rsidR="00894570" w:rsidRPr="001B283D">
        <w:rPr>
          <w:lang w:val="fr-FR"/>
        </w:rPr>
        <w:t>’</w:t>
      </w:r>
      <w:r w:rsidRPr="001B283D">
        <w:rPr>
          <w:lang w:val="fr-FR"/>
        </w:rPr>
        <w:t>Australie par voie électronique, via l</w:t>
      </w:r>
      <w:r w:rsidR="00894570" w:rsidRPr="001B283D">
        <w:rPr>
          <w:lang w:val="fr-FR"/>
        </w:rPr>
        <w:t>’</w:t>
      </w:r>
      <w:r w:rsidRPr="001B283D">
        <w:rPr>
          <w:lang w:val="fr-FR"/>
        </w:rPr>
        <w:t>Internet, contenant des renseignements supplémentaires sur le contexte des exemples donnés par l</w:t>
      </w:r>
      <w:r w:rsidR="00894570" w:rsidRPr="001B283D">
        <w:rPr>
          <w:lang w:val="fr-FR"/>
        </w:rPr>
        <w:t>’</w:t>
      </w:r>
      <w:r w:rsidRPr="001B283D">
        <w:rPr>
          <w:lang w:val="fr-FR"/>
        </w:rPr>
        <w:t>Australie au séminaire EDV.</w:t>
      </w:r>
    </w:p>
    <w:p w:rsidR="00886826" w:rsidRPr="001B283D" w:rsidRDefault="00886826" w:rsidP="0010416A">
      <w:pPr>
        <w:rPr>
          <w:lang w:val="fr-FR"/>
        </w:rPr>
      </w:pPr>
    </w:p>
    <w:p w:rsidR="00886826" w:rsidRPr="001B283D" w:rsidRDefault="00886826" w:rsidP="0010416A">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00CE4932">
        <w:rPr>
          <w:lang w:val="fr-FR"/>
        </w:rPr>
        <w:tab/>
        <w:t>Le CAJ</w:t>
      </w:r>
      <w:r w:rsidR="00CE4932">
        <w:rPr>
          <w:lang w:val="fr-FR"/>
        </w:rPr>
        <w:noBreakHyphen/>
      </w:r>
      <w:r w:rsidRPr="001B283D">
        <w:rPr>
          <w:lang w:val="fr-FR"/>
        </w:rPr>
        <w:t>AG prend note que, à sa huitième</w:t>
      </w:r>
      <w:r w:rsidR="00F2415E" w:rsidRPr="001B283D">
        <w:rPr>
          <w:lang w:val="fr-FR"/>
        </w:rPr>
        <w:t> </w:t>
      </w:r>
      <w:r w:rsidRPr="001B283D">
        <w:rPr>
          <w:lang w:val="fr-FR"/>
        </w:rPr>
        <w:t>session, il était convenu d</w:t>
      </w:r>
      <w:r w:rsidR="00894570" w:rsidRPr="001B283D">
        <w:rPr>
          <w:lang w:val="fr-FR"/>
        </w:rPr>
        <w:t>’</w:t>
      </w:r>
      <w:r w:rsidRPr="001B283D">
        <w:rPr>
          <w:lang w:val="fr-FR"/>
        </w:rPr>
        <w:t>envisager l</w:t>
      </w:r>
      <w:r w:rsidR="00894570" w:rsidRPr="001B283D">
        <w:rPr>
          <w:lang w:val="fr-FR"/>
        </w:rPr>
        <w:t>’</w:t>
      </w:r>
      <w:r w:rsidRPr="001B283D">
        <w:rPr>
          <w:lang w:val="fr-FR"/>
        </w:rPr>
        <w:t>élaboration d</w:t>
      </w:r>
      <w:r w:rsidR="00894570" w:rsidRPr="001B283D">
        <w:rPr>
          <w:lang w:val="fr-FR"/>
        </w:rPr>
        <w:t>’</w:t>
      </w:r>
      <w:r w:rsidRPr="001B283D">
        <w:rPr>
          <w:lang w:val="fr-FR"/>
        </w:rPr>
        <w:t>orientations sur les questions soulevées dans les paragraphes</w:t>
      </w:r>
      <w:r w:rsidR="00F2415E" w:rsidRPr="001B283D">
        <w:rPr>
          <w:lang w:val="fr-FR"/>
        </w:rPr>
        <w:t> </w:t>
      </w:r>
      <w:r w:rsidRPr="001B283D">
        <w:rPr>
          <w:lang w:val="fr-FR"/>
        </w:rPr>
        <w:t>15 à 18 du document CAJ</w:t>
      </w:r>
      <w:r w:rsidR="00A27C5B" w:rsidRPr="001B283D">
        <w:rPr>
          <w:lang w:val="fr-FR"/>
        </w:rPr>
        <w:noBreakHyphen/>
      </w:r>
      <w:r w:rsidRPr="001B283D">
        <w:rPr>
          <w:lang w:val="fr-FR"/>
        </w:rPr>
        <w:t xml:space="preserve">AG/13/8/2 “Explanatory Notes on Essentially Derived Varieties under the 1991 Act of the UPOV Convention” (Notes </w:t>
      </w:r>
      <w:r w:rsidRPr="001B283D">
        <w:rPr>
          <w:lang w:val="fr-FR"/>
        </w:rPr>
        <w:lastRenderedPageBreak/>
        <w:t>explicatives sur les variétés essentiellement dérivées selon l</w:t>
      </w:r>
      <w:r w:rsidR="00894570" w:rsidRPr="001B283D">
        <w:rPr>
          <w:lang w:val="fr-FR"/>
        </w:rPr>
        <w:t>’</w:t>
      </w:r>
      <w:r w:rsidRPr="001B283D">
        <w:rPr>
          <w:lang w:val="fr-FR"/>
        </w:rPr>
        <w:t xml:space="preserve">Acte de 1991 de la </w:t>
      </w:r>
      <w:r w:rsidR="00894570" w:rsidRPr="001B283D">
        <w:rPr>
          <w:lang w:val="fr-FR"/>
        </w:rPr>
        <w:t>Convention UPOV</w:t>
      </w:r>
      <w:r w:rsidRPr="001B283D">
        <w:rPr>
          <w:lang w:val="fr-FR"/>
        </w:rPr>
        <w:t>), concernant le statut de variétés essentiellement dérivées qui ne bénéficient pas de la protection de plein droit, après l</w:t>
      </w:r>
      <w:r w:rsidR="00894570" w:rsidRPr="001B283D">
        <w:rPr>
          <w:lang w:val="fr-FR"/>
        </w:rPr>
        <w:t>’</w:t>
      </w:r>
      <w:r w:rsidRPr="001B283D">
        <w:rPr>
          <w:lang w:val="fr-FR"/>
        </w:rPr>
        <w:t>adoption du document révisé UPOV/EXN/EDV/2.</w:t>
      </w:r>
    </w:p>
    <w:p w:rsidR="00886826" w:rsidRPr="001B283D" w:rsidRDefault="00886826" w:rsidP="0010416A">
      <w:pPr>
        <w:rPr>
          <w:lang w:val="fr-FR"/>
        </w:rPr>
      </w:pPr>
    </w:p>
    <w:p w:rsidR="00886826" w:rsidRPr="001B283D" w:rsidRDefault="00886826" w:rsidP="0010416A">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Le CAJ­AG prend note que sa conclusion, à sa huitième</w:t>
      </w:r>
      <w:r w:rsidR="00F2415E" w:rsidRPr="001B283D">
        <w:rPr>
          <w:lang w:val="fr-FR"/>
        </w:rPr>
        <w:t> </w:t>
      </w:r>
      <w:r w:rsidRPr="001B283D">
        <w:rPr>
          <w:lang w:val="fr-FR"/>
        </w:rPr>
        <w:t>session, que, à une future session appropriée, les délégations de l</w:t>
      </w:r>
      <w:r w:rsidR="00894570" w:rsidRPr="001B283D">
        <w:rPr>
          <w:lang w:val="fr-FR"/>
        </w:rPr>
        <w:t>’</w:t>
      </w:r>
      <w:r w:rsidRPr="001B283D">
        <w:rPr>
          <w:lang w:val="fr-FR"/>
        </w:rPr>
        <w:t>Australie, du Brésil et de l</w:t>
      </w:r>
      <w:r w:rsidR="00894570" w:rsidRPr="001B283D">
        <w:rPr>
          <w:lang w:val="fr-FR"/>
        </w:rPr>
        <w:t>’</w:t>
      </w:r>
      <w:r w:rsidRPr="001B283D">
        <w:rPr>
          <w:lang w:val="fr-FR"/>
        </w:rPr>
        <w:t>Union européenne et d</w:t>
      </w:r>
      <w:r w:rsidR="00894570" w:rsidRPr="001B283D">
        <w:rPr>
          <w:lang w:val="fr-FR"/>
        </w:rPr>
        <w:t>’</w:t>
      </w:r>
      <w:r w:rsidRPr="001B283D">
        <w:rPr>
          <w:lang w:val="fr-FR"/>
        </w:rPr>
        <w:t>autres membres de l</w:t>
      </w:r>
      <w:r w:rsidR="00894570" w:rsidRPr="001B283D">
        <w:rPr>
          <w:lang w:val="fr-FR"/>
        </w:rPr>
        <w:t>’</w:t>
      </w:r>
      <w:r w:rsidRPr="001B283D">
        <w:rPr>
          <w:lang w:val="fr-FR"/>
        </w:rPr>
        <w:t>Union seraient invitées à faire des exposés sur leurs systèmes concernant les variétés essentiellement dérivées, sera examinée par</w:t>
      </w:r>
      <w:r w:rsidR="00894570" w:rsidRPr="001B283D">
        <w:rPr>
          <w:lang w:val="fr-FR"/>
        </w:rPr>
        <w:t xml:space="preserve"> le CAJ</w:t>
      </w:r>
      <w:r w:rsidRPr="001B283D">
        <w:rPr>
          <w:lang w:val="fr-FR"/>
        </w:rPr>
        <w:t>.</w:t>
      </w:r>
    </w:p>
    <w:p w:rsidR="00886826" w:rsidRPr="001B283D" w:rsidRDefault="00886826" w:rsidP="0010416A">
      <w:pPr>
        <w:rPr>
          <w:lang w:val="fr-FR"/>
        </w:rPr>
      </w:pPr>
    </w:p>
    <w:p w:rsidR="00894570" w:rsidRPr="001B283D" w:rsidRDefault="00886826" w:rsidP="0010416A">
      <w:pPr>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Le CAJ­AG prend note que les questions concernant le rôle éventuel de l</w:t>
      </w:r>
      <w:r w:rsidR="00894570" w:rsidRPr="001B283D">
        <w:rPr>
          <w:lang w:val="fr-FR"/>
        </w:rPr>
        <w:t>’</w:t>
      </w:r>
      <w:r w:rsidRPr="001B283D">
        <w:rPr>
          <w:lang w:val="fr-FR"/>
        </w:rPr>
        <w:t>UPOV dans les mécanismes extrajudiciaires de règlement des litiges et la proposition figurant dans le document CAJ</w:t>
      </w:r>
      <w:r w:rsidR="00A27C5B" w:rsidRPr="001B283D">
        <w:rPr>
          <w:lang w:val="fr-FR"/>
        </w:rPr>
        <w:noBreakHyphen/>
      </w:r>
      <w:r w:rsidRPr="001B283D">
        <w:rPr>
          <w:lang w:val="fr-FR"/>
        </w:rPr>
        <w:t>AG/14/9/3 “Possible alternative dispute settlement mechanisms for essentially derived varieties” seront transmises</w:t>
      </w:r>
      <w:r w:rsidR="00894570" w:rsidRPr="001B283D">
        <w:rPr>
          <w:lang w:val="fr-FR"/>
        </w:rPr>
        <w:t xml:space="preserve"> au CAJ</w:t>
      </w:r>
      <w:r w:rsidRPr="001B283D">
        <w:rPr>
          <w:lang w:val="fr-FR"/>
        </w:rPr>
        <w:t xml:space="preserve"> pour examen à sa soixante</w:t>
      </w:r>
      <w:r w:rsidR="00A27C5B" w:rsidRPr="001B283D">
        <w:rPr>
          <w:lang w:val="fr-FR"/>
        </w:rPr>
        <w:t> </w:t>
      </w:r>
      <w:r w:rsidRPr="001B283D">
        <w:rPr>
          <w:lang w:val="fr-FR"/>
        </w:rPr>
        <w:t>et</w:t>
      </w:r>
      <w:r w:rsidR="00A27C5B" w:rsidRPr="001B283D">
        <w:rPr>
          <w:lang w:val="fr-FR"/>
        </w:rPr>
        <w:t> </w:t>
      </w:r>
      <w:r w:rsidRPr="001B283D">
        <w:rPr>
          <w:lang w:val="fr-FR"/>
        </w:rPr>
        <w:t>onzième</w:t>
      </w:r>
      <w:r w:rsidR="00F2415E" w:rsidRPr="001B283D">
        <w:rPr>
          <w:lang w:val="fr-FR"/>
        </w:rPr>
        <w:t> </w:t>
      </w:r>
      <w:r w:rsidRPr="001B283D">
        <w:rPr>
          <w:lang w:val="fr-FR"/>
        </w:rPr>
        <w:t xml:space="preserve">session en </w:t>
      </w:r>
      <w:r w:rsidR="00894570" w:rsidRPr="001B283D">
        <w:rPr>
          <w:lang w:val="fr-FR"/>
        </w:rPr>
        <w:t>mars 20</w:t>
      </w:r>
      <w:r w:rsidRPr="001B283D">
        <w:rPr>
          <w:lang w:val="fr-FR"/>
        </w:rPr>
        <w:t>15.</w:t>
      </w:r>
    </w:p>
    <w:p w:rsidR="00886826" w:rsidRPr="001B283D" w:rsidRDefault="00886826" w:rsidP="0010416A">
      <w:pPr>
        <w:rPr>
          <w:lang w:val="fr-FR"/>
        </w:rPr>
      </w:pPr>
    </w:p>
    <w:p w:rsidR="00886826" w:rsidRPr="001B283D" w:rsidRDefault="00886826" w:rsidP="0010416A">
      <w:pPr>
        <w:keepNext/>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Le CAJ­AG convient de modi</w:t>
      </w:r>
      <w:r w:rsidR="00A27C5B" w:rsidRPr="001B283D">
        <w:rPr>
          <w:lang w:val="fr-FR"/>
        </w:rPr>
        <w:t>fier le document UPOV/EXN/EDV/2 Draft </w:t>
      </w:r>
      <w:r w:rsidRPr="001B283D">
        <w:rPr>
          <w:lang w:val="fr-FR"/>
        </w:rPr>
        <w:t>5 comme suit</w:t>
      </w:r>
      <w:r w:rsidR="00F2415E" w:rsidRPr="001B283D">
        <w:rPr>
          <w:lang w:val="fr-FR"/>
        </w:rPr>
        <w:t> </w:t>
      </w:r>
      <w:r w:rsidRPr="001B283D">
        <w:rPr>
          <w:lang w:val="fr-FR"/>
        </w:rPr>
        <w:t>:</w:t>
      </w:r>
    </w:p>
    <w:p w:rsidR="00886826" w:rsidRPr="001B283D" w:rsidRDefault="00886826" w:rsidP="0010416A">
      <w:pPr>
        <w:keepNext/>
        <w:rPr>
          <w:lang w:val="fr-FR"/>
        </w:rPr>
      </w:pPr>
    </w:p>
    <w:tbl>
      <w:tblPr>
        <w:tblW w:w="9180" w:type="dxa"/>
        <w:jc w:val="center"/>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CellMar>
          <w:top w:w="57" w:type="dxa"/>
          <w:left w:w="57" w:type="dxa"/>
          <w:bottom w:w="28" w:type="dxa"/>
          <w:right w:w="113" w:type="dxa"/>
        </w:tblCellMar>
        <w:tblLook w:val="0000" w:firstRow="0" w:lastRow="0" w:firstColumn="0" w:lastColumn="0" w:noHBand="0" w:noVBand="0"/>
      </w:tblPr>
      <w:tblGrid>
        <w:gridCol w:w="1494"/>
        <w:gridCol w:w="7686"/>
      </w:tblGrid>
      <w:tr w:rsidR="00CE4932" w:rsidRPr="001B283D" w:rsidTr="00081A2A">
        <w:trPr>
          <w:cantSplit/>
          <w:jc w:val="center"/>
        </w:trPr>
        <w:tc>
          <w:tcPr>
            <w:tcW w:w="1391" w:type="dxa"/>
          </w:tcPr>
          <w:p w:rsidR="00886826" w:rsidRPr="001B283D" w:rsidRDefault="00886826" w:rsidP="00E547C5">
            <w:pPr>
              <w:jc w:val="left"/>
              <w:rPr>
                <w:lang w:val="fr-FR"/>
              </w:rPr>
            </w:pPr>
            <w:r w:rsidRPr="001B283D">
              <w:rPr>
                <w:lang w:val="fr-FR"/>
              </w:rPr>
              <w:t>Paragraphe 2</w:t>
            </w:r>
          </w:p>
        </w:tc>
        <w:tc>
          <w:tcPr>
            <w:tcW w:w="7789" w:type="dxa"/>
          </w:tcPr>
          <w:p w:rsidR="00886826" w:rsidRPr="001B283D" w:rsidRDefault="00886826" w:rsidP="0010416A">
            <w:pPr>
              <w:rPr>
                <w:snapToGrid w:val="0"/>
                <w:lang w:val="fr-FR"/>
              </w:rPr>
            </w:pPr>
            <w:r w:rsidRPr="001B283D">
              <w:rPr>
                <w:snapToGrid w:val="0"/>
                <w:lang w:val="fr-FR"/>
              </w:rPr>
              <w:t>La deuxième phrase doit être libellée comme suit</w:t>
            </w:r>
            <w:r w:rsidR="00F2415E" w:rsidRPr="001B283D">
              <w:rPr>
                <w:snapToGrid w:val="0"/>
                <w:lang w:val="fr-FR"/>
              </w:rPr>
              <w:t> </w:t>
            </w:r>
            <w:r w:rsidRPr="001B283D">
              <w:rPr>
                <w:snapToGrid w:val="0"/>
                <w:lang w:val="fr-FR"/>
              </w:rPr>
              <w:t>:</w:t>
            </w:r>
          </w:p>
          <w:p w:rsidR="00886826" w:rsidRPr="00081A2A" w:rsidRDefault="00886826" w:rsidP="0010416A">
            <w:pPr>
              <w:rPr>
                <w:snapToGrid w:val="0"/>
                <w:sz w:val="16"/>
                <w:lang w:val="fr-FR"/>
              </w:rPr>
            </w:pPr>
          </w:p>
          <w:p w:rsidR="00886826" w:rsidRPr="001B283D" w:rsidRDefault="00886826" w:rsidP="0010416A">
            <w:pPr>
              <w:rPr>
                <w:snapToGrid w:val="0"/>
                <w:lang w:val="fr-FR"/>
              </w:rPr>
            </w:pPr>
            <w:r w:rsidRPr="001B283D">
              <w:rPr>
                <w:snapToGrid w:val="0"/>
                <w:lang w:val="fr-FR"/>
              </w:rPr>
              <w:t>“L</w:t>
            </w:r>
            <w:r w:rsidR="00894570" w:rsidRPr="001B283D">
              <w:rPr>
                <w:snapToGrid w:val="0"/>
                <w:lang w:val="fr-FR"/>
              </w:rPr>
              <w:t>’</w:t>
            </w:r>
            <w:r w:rsidRPr="001B283D">
              <w:rPr>
                <w:snapToGrid w:val="0"/>
                <w:lang w:val="fr-FR"/>
              </w:rPr>
              <w:t xml:space="preserve">objectif </w:t>
            </w:r>
            <w:r w:rsidRPr="001B283D">
              <w:rPr>
                <w:strike/>
                <w:snapToGrid w:val="0"/>
                <w:lang w:val="fr-FR"/>
              </w:rPr>
              <w:t>des</w:t>
            </w:r>
            <w:r w:rsidRPr="001B283D">
              <w:rPr>
                <w:snapToGrid w:val="0"/>
                <w:lang w:val="fr-FR"/>
              </w:rPr>
              <w:t xml:space="preserve"> de </w:t>
            </w:r>
            <w:r w:rsidRPr="001B283D">
              <w:rPr>
                <w:snapToGrid w:val="0"/>
                <w:u w:val="single"/>
                <w:lang w:val="fr-FR"/>
              </w:rPr>
              <w:t>ces</w:t>
            </w:r>
            <w:r w:rsidRPr="001B283D">
              <w:rPr>
                <w:snapToGrid w:val="0"/>
                <w:lang w:val="fr-FR"/>
              </w:rPr>
              <w:t xml:space="preserve"> orientations […]”</w:t>
            </w:r>
          </w:p>
          <w:p w:rsidR="00886826" w:rsidRPr="00081A2A" w:rsidRDefault="00886826" w:rsidP="0010416A">
            <w:pPr>
              <w:rPr>
                <w:snapToGrid w:val="0"/>
                <w:sz w:val="16"/>
                <w:lang w:val="fr-FR"/>
              </w:rPr>
            </w:pPr>
          </w:p>
          <w:p w:rsidR="00894570" w:rsidRPr="001B283D" w:rsidRDefault="00A27C5B" w:rsidP="0010416A">
            <w:pPr>
              <w:rPr>
                <w:snapToGrid w:val="0"/>
                <w:lang w:val="fr-FR"/>
              </w:rPr>
            </w:pPr>
            <w:r w:rsidRPr="001B283D">
              <w:rPr>
                <w:snapToGrid w:val="0"/>
                <w:lang w:val="fr-FR"/>
              </w:rPr>
              <w:t>Supprimer la troisième </w:t>
            </w:r>
            <w:r w:rsidR="00886826" w:rsidRPr="001B283D">
              <w:rPr>
                <w:snapToGrid w:val="0"/>
                <w:lang w:val="fr-FR"/>
              </w:rPr>
              <w:t>phrase</w:t>
            </w:r>
            <w:r w:rsidR="00F2415E" w:rsidRPr="001B283D">
              <w:rPr>
                <w:snapToGrid w:val="0"/>
                <w:lang w:val="fr-FR"/>
              </w:rPr>
              <w:t> </w:t>
            </w:r>
            <w:r w:rsidR="00886826" w:rsidRPr="001B283D">
              <w:rPr>
                <w:snapToGrid w:val="0"/>
                <w:lang w:val="fr-FR"/>
              </w:rPr>
              <w:t>:</w:t>
            </w:r>
          </w:p>
          <w:p w:rsidR="00886826" w:rsidRPr="00081A2A" w:rsidRDefault="00886826" w:rsidP="0010416A">
            <w:pPr>
              <w:rPr>
                <w:strike/>
                <w:snapToGrid w:val="0"/>
                <w:spacing w:val="-2"/>
                <w:lang w:val="fr-FR"/>
              </w:rPr>
            </w:pPr>
            <w:r w:rsidRPr="00081A2A">
              <w:rPr>
                <w:strike/>
                <w:snapToGrid w:val="0"/>
                <w:spacing w:val="-2"/>
                <w:lang w:val="fr-FR"/>
              </w:rPr>
              <w:t>“Les orientations sont destinées aux autorités chargées d</w:t>
            </w:r>
            <w:r w:rsidR="00894570" w:rsidRPr="00081A2A">
              <w:rPr>
                <w:strike/>
                <w:snapToGrid w:val="0"/>
                <w:spacing w:val="-2"/>
                <w:lang w:val="fr-FR"/>
              </w:rPr>
              <w:t>’</w:t>
            </w:r>
            <w:r w:rsidRPr="00081A2A">
              <w:rPr>
                <w:strike/>
                <w:snapToGrid w:val="0"/>
                <w:spacing w:val="-2"/>
                <w:lang w:val="fr-FR"/>
              </w:rPr>
              <w:t>octroyer des droits d</w:t>
            </w:r>
            <w:r w:rsidR="00894570" w:rsidRPr="00081A2A">
              <w:rPr>
                <w:strike/>
                <w:snapToGrid w:val="0"/>
                <w:spacing w:val="-2"/>
                <w:lang w:val="fr-FR"/>
              </w:rPr>
              <w:t>’</w:t>
            </w:r>
            <w:r w:rsidRPr="00081A2A">
              <w:rPr>
                <w:strike/>
                <w:snapToGrid w:val="0"/>
                <w:spacing w:val="-2"/>
                <w:lang w:val="fr-FR"/>
              </w:rPr>
              <w:t xml:space="preserve">obtenteur qui ont compétence en matière de variétés essentiellement dérivées; </w:t>
            </w:r>
            <w:r w:rsidR="00F2415E" w:rsidRPr="00081A2A">
              <w:rPr>
                <w:strike/>
                <w:snapToGrid w:val="0"/>
                <w:spacing w:val="-2"/>
                <w:lang w:val="fr-FR"/>
              </w:rPr>
              <w:t xml:space="preserve"> </w:t>
            </w:r>
            <w:r w:rsidRPr="00081A2A">
              <w:rPr>
                <w:strike/>
                <w:snapToGrid w:val="0"/>
                <w:spacing w:val="-2"/>
                <w:lang w:val="fr-FR"/>
              </w:rPr>
              <w:t>aux obtenteurs, agriculteurs, cultivateurs et autres parties prenantes;</w:t>
            </w:r>
            <w:r w:rsidR="00F2415E" w:rsidRPr="00081A2A">
              <w:rPr>
                <w:strike/>
                <w:snapToGrid w:val="0"/>
                <w:spacing w:val="-2"/>
                <w:lang w:val="fr-FR"/>
              </w:rPr>
              <w:t xml:space="preserve"> </w:t>
            </w:r>
            <w:r w:rsidRPr="00081A2A">
              <w:rPr>
                <w:strike/>
                <w:snapToGrid w:val="0"/>
                <w:spacing w:val="-2"/>
                <w:lang w:val="fr-FR"/>
              </w:rPr>
              <w:t xml:space="preserve"> et organes concernés chargés de résoudre des différends en cas de litige, de médiation ou d</w:t>
            </w:r>
            <w:r w:rsidR="00894570" w:rsidRPr="00081A2A">
              <w:rPr>
                <w:strike/>
                <w:snapToGrid w:val="0"/>
                <w:spacing w:val="-2"/>
                <w:lang w:val="fr-FR"/>
              </w:rPr>
              <w:t>’</w:t>
            </w:r>
            <w:r w:rsidRPr="00081A2A">
              <w:rPr>
                <w:strike/>
                <w:snapToGrid w:val="0"/>
                <w:spacing w:val="-2"/>
                <w:lang w:val="fr-FR"/>
              </w:rPr>
              <w:t>arbitrage”</w:t>
            </w:r>
          </w:p>
        </w:tc>
      </w:tr>
      <w:tr w:rsidR="00CE4932" w:rsidRPr="001B283D" w:rsidTr="00081A2A">
        <w:trPr>
          <w:cantSplit/>
          <w:jc w:val="center"/>
        </w:trPr>
        <w:tc>
          <w:tcPr>
            <w:tcW w:w="1391" w:type="dxa"/>
          </w:tcPr>
          <w:p w:rsidR="00886826" w:rsidRPr="001B283D" w:rsidRDefault="00886826" w:rsidP="00495020">
            <w:pPr>
              <w:jc w:val="left"/>
              <w:rPr>
                <w:lang w:val="fr-FR"/>
              </w:rPr>
            </w:pPr>
            <w:r w:rsidRPr="001B283D">
              <w:rPr>
                <w:lang w:val="fr-FR"/>
              </w:rPr>
              <w:t>Paragraphe 6</w:t>
            </w:r>
          </w:p>
        </w:tc>
        <w:tc>
          <w:tcPr>
            <w:tcW w:w="7789" w:type="dxa"/>
          </w:tcPr>
          <w:p w:rsidR="00886826" w:rsidRPr="001B283D" w:rsidRDefault="00886826" w:rsidP="00E547C5">
            <w:pPr>
              <w:autoSpaceDE w:val="0"/>
              <w:rPr>
                <w:lang w:val="fr-FR"/>
              </w:rPr>
            </w:pPr>
            <w:r w:rsidRPr="001B283D">
              <w:rPr>
                <w:lang w:val="fr-FR"/>
              </w:rPr>
              <w:t>Libeller comme suit :</w:t>
            </w:r>
          </w:p>
          <w:p w:rsidR="00886826" w:rsidRPr="00081A2A" w:rsidRDefault="00886826" w:rsidP="0010416A">
            <w:pPr>
              <w:autoSpaceDE w:val="0"/>
              <w:rPr>
                <w:sz w:val="18"/>
                <w:lang w:val="fr-FR"/>
              </w:rPr>
            </w:pPr>
          </w:p>
          <w:p w:rsidR="00886826" w:rsidRPr="001B283D" w:rsidRDefault="00886826" w:rsidP="0010416A">
            <w:pPr>
              <w:autoSpaceDE w:val="0"/>
              <w:rPr>
                <w:lang w:val="fr-FR"/>
              </w:rPr>
            </w:pPr>
            <w:r w:rsidRPr="001B283D">
              <w:rPr>
                <w:lang w:val="fr-FR"/>
              </w:rPr>
              <w:t>“6.</w:t>
            </w:r>
            <w:r w:rsidRPr="001B283D">
              <w:rPr>
                <w:lang w:val="fr-FR"/>
              </w:rPr>
              <w:tab/>
              <w:t>Les alinéas ci</w:t>
            </w:r>
            <w:r w:rsidR="00A27C5B" w:rsidRPr="001B283D">
              <w:rPr>
                <w:lang w:val="fr-FR"/>
              </w:rPr>
              <w:noBreakHyphen/>
            </w:r>
            <w:r w:rsidRPr="001B283D">
              <w:rPr>
                <w:lang w:val="fr-FR"/>
              </w:rPr>
              <w:t>après pourraient être pris en compte pour ce qui est de la notion de “caractères essentiels”</w:t>
            </w:r>
            <w:r w:rsidR="00F2415E" w:rsidRPr="001B283D">
              <w:rPr>
                <w:lang w:val="fr-FR"/>
              </w:rPr>
              <w:t> </w:t>
            </w:r>
            <w:r w:rsidRPr="001B283D">
              <w:rPr>
                <w:lang w:val="fr-FR"/>
              </w:rPr>
              <w:t>:</w:t>
            </w:r>
          </w:p>
          <w:p w:rsidR="00886826" w:rsidRPr="00081A2A" w:rsidRDefault="00886826" w:rsidP="0010416A">
            <w:pPr>
              <w:rPr>
                <w:sz w:val="16"/>
                <w:lang w:val="fr-FR"/>
              </w:rPr>
            </w:pPr>
          </w:p>
          <w:p w:rsidR="00886826" w:rsidRPr="001B283D" w:rsidRDefault="00886826" w:rsidP="0068120E">
            <w:pPr>
              <w:tabs>
                <w:tab w:val="left" w:pos="620"/>
              </w:tabs>
              <w:ind w:left="347"/>
              <w:rPr>
                <w:lang w:val="fr-FR"/>
              </w:rPr>
            </w:pPr>
            <w:r w:rsidRPr="001B283D">
              <w:rPr>
                <w:lang w:val="fr-FR"/>
              </w:rPr>
              <w:t>i)</w:t>
            </w:r>
            <w:r w:rsidRPr="001B283D">
              <w:rPr>
                <w:lang w:val="fr-FR"/>
              </w:rPr>
              <w:tab/>
              <w:t>les caract</w:t>
            </w:r>
            <w:r w:rsidRPr="001B283D">
              <w:rPr>
                <w:rFonts w:ascii="Arial Unicode MS" w:eastAsia="Arial Unicode MS"/>
                <w:lang w:val="fr-FR"/>
              </w:rPr>
              <w:t>è</w:t>
            </w:r>
            <w:r w:rsidRPr="001B283D">
              <w:rPr>
                <w:lang w:val="fr-FR"/>
              </w:rPr>
              <w:t xml:space="preserve">res essentiels, </w:t>
            </w:r>
            <w:r w:rsidR="00894570" w:rsidRPr="001B283D">
              <w:rPr>
                <w:rFonts w:ascii="Arial Unicode MS" w:eastAsia="Arial Unicode MS"/>
                <w:lang w:val="fr-FR"/>
              </w:rPr>
              <w:t>à</w:t>
            </w:r>
            <w:r w:rsidR="0068120E">
              <w:rPr>
                <w:rFonts w:ascii="Arial Unicode MS" w:eastAsia="Arial Unicode MS"/>
                <w:lang w:val="fr-FR"/>
              </w:rPr>
              <w:t xml:space="preserve"> </w:t>
            </w:r>
            <w:r w:rsidR="00894570" w:rsidRPr="001B283D">
              <w:rPr>
                <w:rFonts w:ascii="Arial Unicode MS" w:eastAsia="Arial Unicode MS"/>
                <w:lang w:val="fr-FR"/>
              </w:rPr>
              <w:t>l</w:t>
            </w:r>
            <w:r w:rsidR="00894570" w:rsidRPr="001B283D">
              <w:rPr>
                <w:rFonts w:ascii="Arial Unicode MS" w:eastAsia="Arial Unicode MS"/>
                <w:lang w:val="fr-FR"/>
              </w:rPr>
              <w:t>’é</w:t>
            </w:r>
            <w:r w:rsidR="00894570" w:rsidRPr="001B283D">
              <w:rPr>
                <w:rFonts w:ascii="Arial Unicode MS" w:eastAsia="Arial Unicode MS"/>
                <w:lang w:val="fr-FR"/>
              </w:rPr>
              <w:t>gard</w:t>
            </w:r>
            <w:r w:rsidRPr="001B283D">
              <w:rPr>
                <w:rFonts w:ascii="Arial Unicode MS" w:eastAsia="Arial Unicode MS" w:cs="Arial Unicode MS"/>
                <w:lang w:val="fr-FR"/>
              </w:rPr>
              <w:t xml:space="preserve"> </w:t>
            </w:r>
            <w:r w:rsidRPr="001B283D">
              <w:rPr>
                <w:lang w:val="fr-FR"/>
              </w:rPr>
              <w:t>d</w:t>
            </w:r>
            <w:r w:rsidR="00894570" w:rsidRPr="001B283D">
              <w:rPr>
                <w:lang w:val="fr-FR"/>
              </w:rPr>
              <w:t>’</w:t>
            </w:r>
            <w:r w:rsidRPr="001B283D">
              <w:rPr>
                <w:lang w:val="fr-FR"/>
              </w:rPr>
              <w:t>une vari</w:t>
            </w:r>
            <w:r w:rsidRPr="001B283D">
              <w:rPr>
                <w:rFonts w:ascii="Arial Unicode MS" w:eastAsia="Arial Unicode MS"/>
                <w:lang w:val="fr-FR"/>
              </w:rPr>
              <w:t>é</w:t>
            </w:r>
            <w:r w:rsidRPr="001B283D">
              <w:rPr>
                <w:lang w:val="fr-FR"/>
              </w:rPr>
              <w:t>té v</w:t>
            </w:r>
            <w:r w:rsidRPr="001B283D">
              <w:rPr>
                <w:rFonts w:ascii="Arial Unicode MS" w:eastAsia="Arial Unicode MS"/>
                <w:lang w:val="fr-FR"/>
              </w:rPr>
              <w:t>é</w:t>
            </w:r>
            <w:r w:rsidRPr="001B283D">
              <w:rPr>
                <w:lang w:val="fr-FR"/>
              </w:rPr>
              <w:t>g</w:t>
            </w:r>
            <w:r w:rsidRPr="001B283D">
              <w:rPr>
                <w:rFonts w:ascii="Arial Unicode MS" w:eastAsia="Arial Unicode MS"/>
                <w:lang w:val="fr-FR"/>
              </w:rPr>
              <w:t>é</w:t>
            </w:r>
            <w:r w:rsidRPr="001B283D">
              <w:rPr>
                <w:lang w:val="fr-FR"/>
              </w:rPr>
              <w:t>tale, d</w:t>
            </w:r>
            <w:r w:rsidRPr="001B283D">
              <w:rPr>
                <w:rFonts w:ascii="Arial Unicode MS" w:eastAsia="Arial Unicode MS"/>
                <w:lang w:val="fr-FR"/>
              </w:rPr>
              <w:t>é</w:t>
            </w:r>
            <w:r w:rsidRPr="001B283D">
              <w:rPr>
                <w:lang w:val="fr-FR"/>
              </w:rPr>
              <w:t>signent les caract</w:t>
            </w:r>
            <w:r w:rsidRPr="001B283D">
              <w:rPr>
                <w:rFonts w:ascii="Arial Unicode MS" w:eastAsia="Arial Unicode MS"/>
                <w:lang w:val="fr-FR"/>
              </w:rPr>
              <w:t>è</w:t>
            </w:r>
            <w:r w:rsidRPr="001B283D">
              <w:rPr>
                <w:lang w:val="fr-FR"/>
              </w:rPr>
              <w:t>res h</w:t>
            </w:r>
            <w:r w:rsidRPr="001B283D">
              <w:rPr>
                <w:rFonts w:ascii="Arial Unicode MS" w:eastAsia="Arial Unicode MS"/>
                <w:lang w:val="fr-FR"/>
              </w:rPr>
              <w:t>é</w:t>
            </w:r>
            <w:r w:rsidRPr="001B283D">
              <w:rPr>
                <w:lang w:val="fr-FR"/>
              </w:rPr>
              <w:t>r</w:t>
            </w:r>
            <w:r w:rsidRPr="001B283D">
              <w:rPr>
                <w:rFonts w:ascii="Arial Unicode MS" w:eastAsia="Arial Unicode MS"/>
                <w:lang w:val="fr-FR"/>
              </w:rPr>
              <w:t>é</w:t>
            </w:r>
            <w:r w:rsidRPr="001B283D">
              <w:rPr>
                <w:lang w:val="fr-FR"/>
              </w:rPr>
              <w:t>ditaires d</w:t>
            </w:r>
            <w:r w:rsidRPr="001B283D">
              <w:rPr>
                <w:rFonts w:ascii="Arial Unicode MS" w:eastAsia="Arial Unicode MS"/>
                <w:lang w:val="fr-FR"/>
              </w:rPr>
              <w:t>é</w:t>
            </w:r>
            <w:r w:rsidRPr="001B283D">
              <w:rPr>
                <w:lang w:val="fr-FR"/>
              </w:rPr>
              <w:t>termin</w:t>
            </w:r>
            <w:r w:rsidRPr="001B283D">
              <w:rPr>
                <w:rFonts w:ascii="Arial Unicode MS" w:eastAsia="Arial Unicode MS"/>
                <w:lang w:val="fr-FR"/>
              </w:rPr>
              <w:t>é</w:t>
            </w:r>
            <w:r w:rsidRPr="001B283D">
              <w:rPr>
                <w:lang w:val="fr-FR"/>
              </w:rPr>
              <w:t>s par l</w:t>
            </w:r>
            <w:r w:rsidR="00894570" w:rsidRPr="001B283D">
              <w:rPr>
                <w:rFonts w:ascii="Arial Unicode MS" w:eastAsia="Arial Unicode MS"/>
                <w:lang w:val="fr-FR"/>
              </w:rPr>
              <w:t>’</w:t>
            </w:r>
            <w:r w:rsidRPr="001B283D">
              <w:rPr>
                <w:lang w:val="fr-FR"/>
              </w:rPr>
              <w:t>expression d</w:t>
            </w:r>
            <w:r w:rsidR="00894570" w:rsidRPr="001B283D">
              <w:rPr>
                <w:rFonts w:ascii="Arial Unicode MS" w:eastAsia="Arial Unicode MS"/>
                <w:lang w:val="fr-FR"/>
              </w:rPr>
              <w:t>’</w:t>
            </w:r>
            <w:r w:rsidRPr="001B283D">
              <w:rPr>
                <w:lang w:val="fr-FR"/>
              </w:rPr>
              <w:t>un ou de plusieurs g</w:t>
            </w:r>
            <w:r w:rsidRPr="001B283D">
              <w:rPr>
                <w:rFonts w:ascii="Arial Unicode MS" w:eastAsia="Arial Unicode MS"/>
                <w:lang w:val="fr-FR"/>
              </w:rPr>
              <w:t>è</w:t>
            </w:r>
            <w:r w:rsidRPr="001B283D">
              <w:rPr>
                <w:lang w:val="fr-FR"/>
              </w:rPr>
              <w:t>nes, d</w:t>
            </w:r>
            <w:r w:rsidR="00894570" w:rsidRPr="001B283D">
              <w:rPr>
                <w:rFonts w:ascii="Arial Unicode MS" w:eastAsia="Arial Unicode MS"/>
                <w:lang w:val="fr-FR"/>
              </w:rPr>
              <w:t>’</w:t>
            </w:r>
            <w:r w:rsidRPr="001B283D">
              <w:rPr>
                <w:lang w:val="fr-FR"/>
              </w:rPr>
              <w:t>autres d</w:t>
            </w:r>
            <w:r w:rsidRPr="001B283D">
              <w:rPr>
                <w:rFonts w:ascii="Arial Unicode MS" w:eastAsia="Arial Unicode MS"/>
                <w:lang w:val="fr-FR"/>
              </w:rPr>
              <w:t>é</w:t>
            </w:r>
            <w:r w:rsidRPr="001B283D">
              <w:rPr>
                <w:lang w:val="fr-FR"/>
              </w:rPr>
              <w:t>terminants h</w:t>
            </w:r>
            <w:r w:rsidRPr="001B283D">
              <w:rPr>
                <w:rFonts w:ascii="Arial Unicode MS" w:eastAsia="Arial Unicode MS"/>
                <w:lang w:val="fr-FR"/>
              </w:rPr>
              <w:t>é</w:t>
            </w:r>
            <w:r w:rsidRPr="001B283D">
              <w:rPr>
                <w:lang w:val="fr-FR"/>
              </w:rPr>
              <w:t>r</w:t>
            </w:r>
            <w:r w:rsidRPr="001B283D">
              <w:rPr>
                <w:rFonts w:ascii="Arial Unicode MS" w:eastAsia="Arial Unicode MS"/>
                <w:lang w:val="fr-FR"/>
              </w:rPr>
              <w:t>é</w:t>
            </w:r>
            <w:r w:rsidRPr="001B283D">
              <w:rPr>
                <w:lang w:val="fr-FR"/>
              </w:rPr>
              <w:t xml:space="preserve">ditaires qui contribuent aux </w:t>
            </w:r>
            <w:r w:rsidR="0068120E">
              <w:rPr>
                <w:lang w:val="fr-FR"/>
              </w:rPr>
              <w:t>caractères principaux</w:t>
            </w:r>
            <w:r w:rsidRPr="001B283D">
              <w:rPr>
                <w:lang w:val="fr-FR"/>
              </w:rPr>
              <w:t>, aux performances ou à la valeur de la vari</w:t>
            </w:r>
            <w:r w:rsidRPr="001B283D">
              <w:rPr>
                <w:rFonts w:ascii="Arial Unicode MS" w:eastAsia="Arial Unicode MS"/>
                <w:lang w:val="fr-FR"/>
              </w:rPr>
              <w:t>é</w:t>
            </w:r>
            <w:r w:rsidRPr="001B283D">
              <w:rPr>
                <w:lang w:val="fr-FR"/>
              </w:rPr>
              <w:t>t</w:t>
            </w:r>
            <w:r w:rsidRPr="001B283D">
              <w:rPr>
                <w:rFonts w:ascii="Arial Unicode MS" w:eastAsia="Arial Unicode MS"/>
                <w:lang w:val="fr-FR"/>
              </w:rPr>
              <w:t>é</w:t>
            </w:r>
            <w:r w:rsidRPr="001B283D">
              <w:rPr>
                <w:lang w:val="fr-FR"/>
              </w:rPr>
              <w:t>;</w:t>
            </w:r>
          </w:p>
          <w:p w:rsidR="00886826" w:rsidRPr="00081A2A" w:rsidRDefault="00886826" w:rsidP="00081A2A">
            <w:pPr>
              <w:tabs>
                <w:tab w:val="left" w:pos="620"/>
              </w:tabs>
              <w:ind w:left="347"/>
              <w:rPr>
                <w:sz w:val="18"/>
                <w:lang w:val="fr-FR"/>
              </w:rPr>
            </w:pPr>
          </w:p>
          <w:p w:rsidR="00886826" w:rsidRPr="001B283D" w:rsidRDefault="00886826" w:rsidP="00081A2A">
            <w:pPr>
              <w:tabs>
                <w:tab w:val="left" w:pos="620"/>
              </w:tabs>
              <w:ind w:left="347"/>
              <w:rPr>
                <w:b/>
                <w:bCs/>
                <w:lang w:val="fr-FR"/>
              </w:rPr>
            </w:pPr>
            <w:r w:rsidRPr="001B283D">
              <w:rPr>
                <w:lang w:val="fr-FR"/>
              </w:rPr>
              <w:t>ii)</w:t>
            </w:r>
            <w:r w:rsidRPr="001B283D">
              <w:rPr>
                <w:lang w:val="fr-FR"/>
              </w:rPr>
              <w:tab/>
              <w:t>les caractères qui sont importants du point de vue du producteur, du vendeur, du fournisseur, de l</w:t>
            </w:r>
            <w:r w:rsidR="00894570" w:rsidRPr="001B283D">
              <w:rPr>
                <w:lang w:val="fr-FR"/>
              </w:rPr>
              <w:t>’</w:t>
            </w:r>
            <w:r w:rsidRPr="001B283D">
              <w:rPr>
                <w:lang w:val="fr-FR"/>
              </w:rPr>
              <w:t>acheteur, du destinataire ou de l</w:t>
            </w:r>
            <w:r w:rsidR="00894570" w:rsidRPr="001B283D">
              <w:rPr>
                <w:lang w:val="fr-FR"/>
              </w:rPr>
              <w:t>’</w:t>
            </w:r>
            <w:r w:rsidRPr="001B283D">
              <w:rPr>
                <w:lang w:val="fr-FR"/>
              </w:rPr>
              <w:t>utilisateur;</w:t>
            </w:r>
          </w:p>
          <w:p w:rsidR="00886826" w:rsidRPr="00081A2A" w:rsidRDefault="00886826" w:rsidP="00081A2A">
            <w:pPr>
              <w:tabs>
                <w:tab w:val="left" w:pos="620"/>
              </w:tabs>
              <w:ind w:left="347"/>
              <w:rPr>
                <w:sz w:val="18"/>
                <w:lang w:val="fr-FR"/>
              </w:rPr>
            </w:pPr>
          </w:p>
          <w:p w:rsidR="00886826" w:rsidRPr="001B283D" w:rsidRDefault="00886826" w:rsidP="00081A2A">
            <w:pPr>
              <w:tabs>
                <w:tab w:val="left" w:pos="620"/>
              </w:tabs>
              <w:ind w:left="347"/>
              <w:rPr>
                <w:lang w:val="fr-FR"/>
              </w:rPr>
            </w:pPr>
            <w:r w:rsidRPr="001B283D">
              <w:rPr>
                <w:lang w:val="fr-FR"/>
              </w:rPr>
              <w:t>iii)</w:t>
            </w:r>
            <w:r w:rsidRPr="001B283D">
              <w:rPr>
                <w:b/>
                <w:bCs/>
                <w:lang w:val="fr-FR"/>
              </w:rPr>
              <w:tab/>
            </w:r>
            <w:r w:rsidRPr="001B283D">
              <w:rPr>
                <w:lang w:val="fr-FR"/>
              </w:rPr>
              <w:t xml:space="preserve">les caractères qui sont essentiels pour la variété dans son ensemble, </w:t>
            </w:r>
            <w:r w:rsidR="00894570" w:rsidRPr="001B283D">
              <w:rPr>
                <w:lang w:val="fr-FR"/>
              </w:rPr>
              <w:t>y compris</w:t>
            </w:r>
            <w:r w:rsidRPr="001B283D">
              <w:rPr>
                <w:lang w:val="fr-FR"/>
              </w:rPr>
              <w:t>, par exemple les caractères morphologiques, physiologiques, agronomiques, industriels et biochimiques;</w:t>
            </w:r>
          </w:p>
          <w:p w:rsidR="00886826" w:rsidRPr="00081A2A" w:rsidRDefault="00886826" w:rsidP="00081A2A">
            <w:pPr>
              <w:tabs>
                <w:tab w:val="left" w:pos="620"/>
              </w:tabs>
              <w:ind w:left="347"/>
              <w:rPr>
                <w:sz w:val="18"/>
                <w:lang w:val="fr-FR"/>
              </w:rPr>
            </w:pPr>
          </w:p>
          <w:p w:rsidR="00886826" w:rsidRPr="001B283D" w:rsidRDefault="00886826" w:rsidP="00081A2A">
            <w:pPr>
              <w:tabs>
                <w:tab w:val="left" w:pos="620"/>
              </w:tabs>
              <w:ind w:left="347"/>
              <w:rPr>
                <w:b/>
                <w:bCs/>
                <w:lang w:val="fr-FR"/>
              </w:rPr>
            </w:pPr>
            <w:r w:rsidRPr="001B283D">
              <w:rPr>
                <w:lang w:val="fr-FR"/>
              </w:rPr>
              <w:t>iv)</w:t>
            </w:r>
            <w:r w:rsidRPr="001B283D">
              <w:rPr>
                <w:lang w:val="fr-FR"/>
              </w:rPr>
              <w:tab/>
              <w:t>les caractères essentiels peuvent être ou ne pas être des caractères phénotypiques utilisés pour l</w:t>
            </w:r>
            <w:r w:rsidR="00894570" w:rsidRPr="001B283D">
              <w:rPr>
                <w:lang w:val="fr-FR"/>
              </w:rPr>
              <w:t>’</w:t>
            </w:r>
            <w:r w:rsidRPr="001B283D">
              <w:rPr>
                <w:lang w:val="fr-FR"/>
              </w:rPr>
              <w:t>examen de la distinction, de l</w:t>
            </w:r>
            <w:r w:rsidR="00894570" w:rsidRPr="001B283D">
              <w:rPr>
                <w:lang w:val="fr-FR"/>
              </w:rPr>
              <w:t>’</w:t>
            </w:r>
            <w:r w:rsidRPr="001B283D">
              <w:rPr>
                <w:lang w:val="fr-FR"/>
              </w:rPr>
              <w:t>homogénéité et de la stabilité (DHS)</w:t>
            </w:r>
            <w:r w:rsidRPr="001B283D">
              <w:rPr>
                <w:b/>
                <w:bCs/>
                <w:lang w:val="fr-FR"/>
              </w:rPr>
              <w:t>;</w:t>
            </w:r>
          </w:p>
          <w:p w:rsidR="00886826" w:rsidRPr="00081A2A" w:rsidRDefault="00886826" w:rsidP="00081A2A">
            <w:pPr>
              <w:tabs>
                <w:tab w:val="left" w:pos="620"/>
              </w:tabs>
              <w:ind w:left="347"/>
              <w:rPr>
                <w:b/>
                <w:bCs/>
                <w:sz w:val="18"/>
                <w:lang w:val="fr-FR"/>
              </w:rPr>
            </w:pPr>
          </w:p>
          <w:p w:rsidR="00886826" w:rsidRPr="001B283D" w:rsidRDefault="00886826" w:rsidP="00081A2A">
            <w:pPr>
              <w:tabs>
                <w:tab w:val="left" w:pos="620"/>
              </w:tabs>
              <w:ind w:left="347"/>
              <w:rPr>
                <w:lang w:val="fr-FR"/>
              </w:rPr>
            </w:pPr>
            <w:r w:rsidRPr="001B283D">
              <w:rPr>
                <w:lang w:val="fr-FR"/>
              </w:rPr>
              <w:t>v)</w:t>
            </w:r>
            <w:r w:rsidRPr="001B283D">
              <w:rPr>
                <w:lang w:val="fr-FR"/>
              </w:rPr>
              <w:tab/>
              <w:t>les caractères essentiels ne se limitent pas aux caractères qui sont liés uniquement à une grande performance ou valeur (la résistance aux maladies par exemple peut être considérée comme un caractère essentiel lorsque la variété est vulnérable aux maladies);</w:t>
            </w:r>
          </w:p>
          <w:p w:rsidR="00886826" w:rsidRPr="00081A2A" w:rsidRDefault="00886826" w:rsidP="00081A2A">
            <w:pPr>
              <w:tabs>
                <w:tab w:val="left" w:pos="620"/>
              </w:tabs>
              <w:ind w:left="347"/>
              <w:rPr>
                <w:sz w:val="18"/>
                <w:lang w:val="fr-FR"/>
              </w:rPr>
            </w:pPr>
          </w:p>
          <w:p w:rsidR="00886826" w:rsidRPr="001B283D" w:rsidRDefault="00886826" w:rsidP="00081A2A">
            <w:pPr>
              <w:tabs>
                <w:tab w:val="left" w:pos="620"/>
              </w:tabs>
              <w:ind w:left="347"/>
              <w:rPr>
                <w:lang w:val="fr-FR"/>
              </w:rPr>
            </w:pPr>
            <w:r w:rsidRPr="001B283D">
              <w:rPr>
                <w:lang w:val="fr-FR"/>
              </w:rPr>
              <w:t>vi)</w:t>
            </w:r>
            <w:r w:rsidRPr="001B283D">
              <w:rPr>
                <w:lang w:val="fr-FR"/>
              </w:rPr>
              <w:tab/>
              <w:t>les caractères essentiels peuvent être différents dans différentes cultures/espèces”.</w:t>
            </w:r>
          </w:p>
        </w:tc>
      </w:tr>
      <w:tr w:rsidR="00CE4932" w:rsidRPr="001B283D" w:rsidTr="00081A2A">
        <w:trPr>
          <w:cantSplit/>
          <w:jc w:val="center"/>
        </w:trPr>
        <w:tc>
          <w:tcPr>
            <w:tcW w:w="1391" w:type="dxa"/>
          </w:tcPr>
          <w:p w:rsidR="00886826" w:rsidRPr="001B283D" w:rsidRDefault="00886826" w:rsidP="00E547C5">
            <w:pPr>
              <w:jc w:val="left"/>
              <w:rPr>
                <w:lang w:val="fr-FR"/>
              </w:rPr>
            </w:pPr>
            <w:r w:rsidRPr="001B283D">
              <w:rPr>
                <w:lang w:val="fr-FR"/>
              </w:rPr>
              <w:t>Paragraphe 7</w:t>
            </w:r>
          </w:p>
        </w:tc>
        <w:tc>
          <w:tcPr>
            <w:tcW w:w="7789" w:type="dxa"/>
          </w:tcPr>
          <w:p w:rsidR="00886826" w:rsidRPr="001B283D" w:rsidRDefault="00886826" w:rsidP="00E547C5">
            <w:pPr>
              <w:rPr>
                <w:lang w:val="fr-FR"/>
              </w:rPr>
            </w:pPr>
            <w:r w:rsidRPr="001B283D">
              <w:rPr>
                <w:lang w:val="fr-FR"/>
              </w:rPr>
              <w:t>Supprimer</w:t>
            </w:r>
          </w:p>
        </w:tc>
      </w:tr>
      <w:tr w:rsidR="00CE4932" w:rsidRPr="001B283D" w:rsidTr="00081A2A">
        <w:trPr>
          <w:cantSplit/>
          <w:jc w:val="center"/>
        </w:trPr>
        <w:tc>
          <w:tcPr>
            <w:tcW w:w="1391" w:type="dxa"/>
          </w:tcPr>
          <w:p w:rsidR="00886826" w:rsidRPr="001B283D" w:rsidRDefault="00886826" w:rsidP="00E547C5">
            <w:pPr>
              <w:jc w:val="left"/>
              <w:rPr>
                <w:lang w:val="fr-FR"/>
              </w:rPr>
            </w:pPr>
            <w:r w:rsidRPr="001B283D">
              <w:rPr>
                <w:lang w:val="fr-FR"/>
              </w:rPr>
              <w:t>Paragraphe 8</w:t>
            </w:r>
          </w:p>
          <w:p w:rsidR="00886826" w:rsidRPr="001B283D" w:rsidRDefault="00886826" w:rsidP="00546532">
            <w:pPr>
              <w:jc w:val="left"/>
              <w:rPr>
                <w:lang w:val="fr-FR"/>
              </w:rPr>
            </w:pPr>
          </w:p>
        </w:tc>
        <w:tc>
          <w:tcPr>
            <w:tcW w:w="7789" w:type="dxa"/>
          </w:tcPr>
          <w:p w:rsidR="00886826" w:rsidRPr="001B283D" w:rsidRDefault="00886826" w:rsidP="00E547C5">
            <w:pPr>
              <w:rPr>
                <w:lang w:val="fr-FR"/>
              </w:rPr>
            </w:pPr>
            <w:r w:rsidRPr="001B283D">
              <w:rPr>
                <w:lang w:val="fr-FR"/>
              </w:rPr>
              <w:t>Libeller comme suit :</w:t>
            </w:r>
          </w:p>
          <w:p w:rsidR="00886826" w:rsidRPr="00081A2A" w:rsidRDefault="00886826" w:rsidP="0010416A">
            <w:pPr>
              <w:rPr>
                <w:spacing w:val="-2"/>
                <w:sz w:val="16"/>
                <w:lang w:val="fr-FR"/>
              </w:rPr>
            </w:pPr>
          </w:p>
          <w:p w:rsidR="00886826" w:rsidRPr="001B283D" w:rsidRDefault="00886826" w:rsidP="0010416A">
            <w:pPr>
              <w:rPr>
                <w:lang w:val="fr-FR"/>
              </w:rPr>
            </w:pPr>
            <w:r w:rsidRPr="00081A2A">
              <w:rPr>
                <w:spacing w:val="-2"/>
                <w:lang w:val="fr-FR"/>
              </w:rPr>
              <w:t>“8.</w:t>
            </w:r>
            <w:r w:rsidRPr="00081A2A">
              <w:rPr>
                <w:spacing w:val="-2"/>
                <w:lang w:val="fr-FR"/>
              </w:rPr>
              <w:tab/>
              <w:t>La phrase “elles se distinguent nettement de la variété initiale” signifie que les variétés essentiellement dérivées concernent uniquement les variétés qui se distinguent nettement de la variété initiale protégée conformément à l</w:t>
            </w:r>
            <w:r w:rsidR="00894570" w:rsidRPr="00081A2A">
              <w:rPr>
                <w:spacing w:val="-2"/>
                <w:lang w:val="fr-FR"/>
              </w:rPr>
              <w:t>’</w:t>
            </w:r>
            <w:r w:rsidRPr="00081A2A">
              <w:rPr>
                <w:spacing w:val="-2"/>
                <w:lang w:val="fr-FR"/>
              </w:rPr>
              <w:t>article</w:t>
            </w:r>
            <w:r w:rsidR="00F2415E" w:rsidRPr="00081A2A">
              <w:rPr>
                <w:spacing w:val="-2"/>
                <w:lang w:val="fr-FR"/>
              </w:rPr>
              <w:t> </w:t>
            </w:r>
            <w:r w:rsidRPr="00081A2A">
              <w:rPr>
                <w:spacing w:val="-2"/>
                <w:lang w:val="fr-FR"/>
              </w:rPr>
              <w:t>7 et qui peuvent par conséquent faire l</w:t>
            </w:r>
            <w:r w:rsidR="00894570" w:rsidRPr="00081A2A">
              <w:rPr>
                <w:spacing w:val="-2"/>
                <w:lang w:val="fr-FR"/>
              </w:rPr>
              <w:t>’</w:t>
            </w:r>
            <w:r w:rsidRPr="00081A2A">
              <w:rPr>
                <w:spacing w:val="-2"/>
                <w:lang w:val="fr-FR"/>
              </w:rPr>
              <w:t>objet d</w:t>
            </w:r>
            <w:r w:rsidR="00894570" w:rsidRPr="00081A2A">
              <w:rPr>
                <w:spacing w:val="-2"/>
                <w:lang w:val="fr-FR"/>
              </w:rPr>
              <w:t>’</w:t>
            </w:r>
            <w:r w:rsidRPr="00081A2A">
              <w:rPr>
                <w:spacing w:val="-2"/>
                <w:lang w:val="fr-FR"/>
              </w:rPr>
              <w:t xml:space="preserve">une protection. </w:t>
            </w:r>
            <w:r w:rsidR="00F2415E" w:rsidRPr="00081A2A">
              <w:rPr>
                <w:spacing w:val="-2"/>
                <w:lang w:val="fr-FR"/>
              </w:rPr>
              <w:t xml:space="preserve"> </w:t>
            </w:r>
            <w:r w:rsidRPr="00081A2A">
              <w:rPr>
                <w:spacing w:val="-2"/>
                <w:lang w:val="fr-FR"/>
              </w:rPr>
              <w:t>L</w:t>
            </w:r>
            <w:r w:rsidR="00894570" w:rsidRPr="00081A2A">
              <w:rPr>
                <w:spacing w:val="-2"/>
                <w:lang w:val="fr-FR"/>
              </w:rPr>
              <w:t>’</w:t>
            </w:r>
            <w:r w:rsidRPr="00081A2A">
              <w:rPr>
                <w:spacing w:val="-2"/>
                <w:lang w:val="fr-FR"/>
              </w:rPr>
              <w:t>article</w:t>
            </w:r>
            <w:r w:rsidR="00F2415E" w:rsidRPr="00081A2A">
              <w:rPr>
                <w:spacing w:val="-2"/>
                <w:lang w:val="fr-FR"/>
              </w:rPr>
              <w:t> </w:t>
            </w:r>
            <w:r w:rsidRPr="00081A2A">
              <w:rPr>
                <w:spacing w:val="-2"/>
                <w:lang w:val="fr-FR"/>
              </w:rPr>
              <w:t>14.5)a)ii) s</w:t>
            </w:r>
            <w:r w:rsidR="00894570" w:rsidRPr="00081A2A">
              <w:rPr>
                <w:spacing w:val="-2"/>
                <w:lang w:val="fr-FR"/>
              </w:rPr>
              <w:t>’</w:t>
            </w:r>
            <w:r w:rsidRPr="00081A2A">
              <w:rPr>
                <w:spacing w:val="-2"/>
                <w:lang w:val="fr-FR"/>
              </w:rPr>
              <w:t>appliquerait si la variété “ne se distingue pas nettement selon l</w:t>
            </w:r>
            <w:r w:rsidR="00894570" w:rsidRPr="00081A2A">
              <w:rPr>
                <w:spacing w:val="-2"/>
                <w:lang w:val="fr-FR"/>
              </w:rPr>
              <w:t>’</w:t>
            </w:r>
            <w:r w:rsidRPr="00081A2A">
              <w:rPr>
                <w:spacing w:val="-2"/>
                <w:lang w:val="fr-FR"/>
              </w:rPr>
              <w:t>article</w:t>
            </w:r>
            <w:r w:rsidR="00F2415E" w:rsidRPr="00081A2A">
              <w:rPr>
                <w:spacing w:val="-2"/>
                <w:lang w:val="fr-FR"/>
              </w:rPr>
              <w:t> </w:t>
            </w:r>
            <w:r w:rsidRPr="00081A2A">
              <w:rPr>
                <w:spacing w:val="-2"/>
                <w:lang w:val="fr-FR"/>
              </w:rPr>
              <w:t>7 de la variété protégée”.</w:t>
            </w:r>
          </w:p>
        </w:tc>
      </w:tr>
      <w:tr w:rsidR="00CE4932" w:rsidRPr="001B283D" w:rsidTr="00081A2A">
        <w:trPr>
          <w:cantSplit/>
          <w:jc w:val="center"/>
        </w:trPr>
        <w:tc>
          <w:tcPr>
            <w:tcW w:w="1391" w:type="dxa"/>
          </w:tcPr>
          <w:p w:rsidR="00886826" w:rsidRPr="001B283D" w:rsidRDefault="00886826" w:rsidP="00E547C5">
            <w:pPr>
              <w:jc w:val="left"/>
              <w:rPr>
                <w:lang w:val="fr-FR"/>
              </w:rPr>
            </w:pPr>
            <w:r w:rsidRPr="001B283D">
              <w:rPr>
                <w:lang w:val="fr-FR"/>
              </w:rPr>
              <w:lastRenderedPageBreak/>
              <w:t>Paragraphe 10</w:t>
            </w:r>
          </w:p>
        </w:tc>
        <w:tc>
          <w:tcPr>
            <w:tcW w:w="7789" w:type="dxa"/>
          </w:tcPr>
          <w:p w:rsidR="00886826" w:rsidRPr="001B283D" w:rsidRDefault="00886826" w:rsidP="00E547C5">
            <w:pPr>
              <w:rPr>
                <w:snapToGrid w:val="0"/>
                <w:lang w:val="fr-FR"/>
              </w:rPr>
            </w:pPr>
            <w:r w:rsidRPr="001B283D">
              <w:rPr>
                <w:snapToGrid w:val="0"/>
                <w:lang w:val="fr-FR"/>
              </w:rPr>
              <w:t>Libeller comme suit :</w:t>
            </w:r>
          </w:p>
          <w:p w:rsidR="00886826" w:rsidRPr="00081A2A" w:rsidRDefault="00886826" w:rsidP="0010416A">
            <w:pPr>
              <w:rPr>
                <w:snapToGrid w:val="0"/>
                <w:sz w:val="16"/>
                <w:lang w:val="fr-FR"/>
              </w:rPr>
            </w:pPr>
          </w:p>
          <w:p w:rsidR="00886826" w:rsidRPr="001B283D" w:rsidRDefault="00886826" w:rsidP="00A27C5B">
            <w:pPr>
              <w:rPr>
                <w:snapToGrid w:val="0"/>
                <w:lang w:val="fr-FR"/>
              </w:rPr>
            </w:pPr>
            <w:r w:rsidRPr="001B283D">
              <w:rPr>
                <w:snapToGrid w:val="0"/>
                <w:lang w:val="fr-FR"/>
              </w:rPr>
              <w:t>“10.</w:t>
            </w:r>
            <w:r w:rsidRPr="001B283D">
              <w:rPr>
                <w:snapToGrid w:val="0"/>
                <w:lang w:val="fr-FR"/>
              </w:rPr>
              <w:tab/>
              <w:t>Les mots “sauf en ce qui concerne les différences résultant de la dérivation” ne fixe pas une limite à la différence qui peut exister lorsqu</w:t>
            </w:r>
            <w:r w:rsidR="00894570" w:rsidRPr="001B283D">
              <w:rPr>
                <w:snapToGrid w:val="0"/>
                <w:lang w:val="fr-FR"/>
              </w:rPr>
              <w:t>’</w:t>
            </w:r>
            <w:r w:rsidRPr="001B283D">
              <w:rPr>
                <w:snapToGrid w:val="0"/>
                <w:lang w:val="fr-FR"/>
              </w:rPr>
              <w:t>une variété est considérée comme une variété essentiellement dérivée.  Une limite est cependant fixée par l</w:t>
            </w:r>
            <w:r w:rsidR="00894570" w:rsidRPr="001B283D">
              <w:rPr>
                <w:snapToGrid w:val="0"/>
                <w:lang w:val="fr-FR"/>
              </w:rPr>
              <w:t>’</w:t>
            </w:r>
            <w:r w:rsidRPr="001B283D">
              <w:rPr>
                <w:snapToGrid w:val="0"/>
                <w:lang w:val="fr-FR"/>
              </w:rPr>
              <w:t>article</w:t>
            </w:r>
            <w:r w:rsidR="00F2415E" w:rsidRPr="001B283D">
              <w:rPr>
                <w:snapToGrid w:val="0"/>
                <w:lang w:val="fr-FR"/>
              </w:rPr>
              <w:t> </w:t>
            </w:r>
            <w:r w:rsidRPr="001B283D">
              <w:rPr>
                <w:snapToGrid w:val="0"/>
                <w:lang w:val="fr-FR"/>
              </w:rPr>
              <w:t>14.5</w:t>
            </w:r>
            <w:r w:rsidR="00A27C5B" w:rsidRPr="001B283D">
              <w:rPr>
                <w:snapToGrid w:val="0"/>
                <w:lang w:val="fr-FR"/>
              </w:rPr>
              <w:t>)</w:t>
            </w:r>
            <w:r w:rsidRPr="001B283D">
              <w:rPr>
                <w:snapToGrid w:val="0"/>
                <w:lang w:val="fr-FR"/>
              </w:rPr>
              <w:t>b)i) et</w:t>
            </w:r>
            <w:r w:rsidR="00A27C5B" w:rsidRPr="001B283D">
              <w:rPr>
                <w:snapToGrid w:val="0"/>
                <w:lang w:val="fr-FR"/>
              </w:rPr>
              <w:t> </w:t>
            </w:r>
            <w:r w:rsidRPr="001B283D">
              <w:rPr>
                <w:snapToGrid w:val="0"/>
                <w:lang w:val="fr-FR"/>
              </w:rPr>
              <w:t>iii).  Les différences ne doivent pas être telles que la variété échoue “à conserver l</w:t>
            </w:r>
            <w:r w:rsidR="00894570" w:rsidRPr="001B283D">
              <w:rPr>
                <w:snapToGrid w:val="0"/>
                <w:lang w:val="fr-FR"/>
              </w:rPr>
              <w:t>’</w:t>
            </w:r>
            <w:r w:rsidRPr="001B283D">
              <w:rPr>
                <w:snapToGrid w:val="0"/>
                <w:lang w:val="fr-FR"/>
              </w:rPr>
              <w:t>expression des caractères essentiels qui résultent du génotype ou de la combinaison de génotypes de la variété initiale”.</w:t>
            </w:r>
          </w:p>
        </w:tc>
      </w:tr>
      <w:tr w:rsidR="00CE4932" w:rsidRPr="001B283D" w:rsidTr="00081A2A">
        <w:trPr>
          <w:cantSplit/>
          <w:jc w:val="center"/>
        </w:trPr>
        <w:tc>
          <w:tcPr>
            <w:tcW w:w="1391" w:type="dxa"/>
          </w:tcPr>
          <w:p w:rsidR="00886826" w:rsidRPr="001B283D" w:rsidRDefault="00886826" w:rsidP="00E547C5">
            <w:pPr>
              <w:jc w:val="left"/>
              <w:rPr>
                <w:lang w:val="fr-FR"/>
              </w:rPr>
            </w:pPr>
            <w:r w:rsidRPr="001B283D">
              <w:rPr>
                <w:lang w:val="fr-FR"/>
              </w:rPr>
              <w:t>Paragraphe 11</w:t>
            </w:r>
          </w:p>
          <w:p w:rsidR="00886826" w:rsidRPr="001B283D" w:rsidRDefault="00886826" w:rsidP="00546532">
            <w:pPr>
              <w:jc w:val="left"/>
              <w:rPr>
                <w:lang w:val="fr-FR"/>
              </w:rPr>
            </w:pPr>
          </w:p>
        </w:tc>
        <w:tc>
          <w:tcPr>
            <w:tcW w:w="7789" w:type="dxa"/>
          </w:tcPr>
          <w:p w:rsidR="00886826" w:rsidRPr="001B283D" w:rsidRDefault="00886826" w:rsidP="00E547C5">
            <w:pPr>
              <w:rPr>
                <w:lang w:val="fr-FR"/>
              </w:rPr>
            </w:pPr>
            <w:r w:rsidRPr="001B283D">
              <w:rPr>
                <w:lang w:val="fr-FR"/>
              </w:rPr>
              <w:t>Libeller comme suit :</w:t>
            </w:r>
          </w:p>
          <w:p w:rsidR="00886826" w:rsidRPr="00081A2A" w:rsidRDefault="00886826" w:rsidP="0010416A">
            <w:pPr>
              <w:rPr>
                <w:sz w:val="16"/>
                <w:lang w:val="fr-FR"/>
              </w:rPr>
            </w:pPr>
          </w:p>
          <w:p w:rsidR="00886826" w:rsidRPr="001B283D" w:rsidRDefault="00886826" w:rsidP="00062ED8">
            <w:pPr>
              <w:rPr>
                <w:lang w:val="fr-FR"/>
              </w:rPr>
            </w:pPr>
            <w:r w:rsidRPr="001B283D">
              <w:rPr>
                <w:lang w:val="fr-FR"/>
              </w:rPr>
              <w:t>“11.</w:t>
            </w:r>
            <w:r w:rsidRPr="001B283D">
              <w:rPr>
                <w:lang w:val="fr-FR"/>
              </w:rPr>
              <w:tab/>
              <w:t>Les exemples donnés dans l</w:t>
            </w:r>
            <w:r w:rsidR="00894570" w:rsidRPr="001B283D">
              <w:rPr>
                <w:lang w:val="fr-FR"/>
              </w:rPr>
              <w:t>’</w:t>
            </w:r>
            <w:r w:rsidRPr="001B283D">
              <w:rPr>
                <w:lang w:val="fr-FR"/>
              </w:rPr>
              <w:t>article</w:t>
            </w:r>
            <w:r w:rsidR="00F2415E" w:rsidRPr="001B283D">
              <w:rPr>
                <w:lang w:val="fr-FR"/>
              </w:rPr>
              <w:t> </w:t>
            </w:r>
            <w:r w:rsidRPr="001B283D">
              <w:rPr>
                <w:lang w:val="fr-FR"/>
              </w:rPr>
              <w:t>14.5)c) montrent clairement que les différences résultant de la dérivation doivent être au nombre d</w:t>
            </w:r>
            <w:r w:rsidR="00062ED8" w:rsidRPr="001B283D">
              <w:rPr>
                <w:lang w:val="fr-FR"/>
              </w:rPr>
              <w:t>’</w:t>
            </w:r>
            <w:r w:rsidRPr="001B283D">
              <w:rPr>
                <w:lang w:val="fr-FR"/>
              </w:rPr>
              <w:t xml:space="preserve">une ou très peu. </w:t>
            </w:r>
            <w:r w:rsidR="00F2415E" w:rsidRPr="001B283D">
              <w:rPr>
                <w:lang w:val="fr-FR"/>
              </w:rPr>
              <w:t xml:space="preserve"> </w:t>
            </w:r>
            <w:r w:rsidRPr="001B283D">
              <w:rPr>
                <w:lang w:val="fr-FR"/>
              </w:rPr>
              <w:t>Toutefois, s</w:t>
            </w:r>
            <w:r w:rsidR="00894570" w:rsidRPr="001B283D">
              <w:rPr>
                <w:lang w:val="fr-FR"/>
              </w:rPr>
              <w:t>’</w:t>
            </w:r>
            <w:r w:rsidRPr="001B283D">
              <w:rPr>
                <w:lang w:val="fr-FR"/>
              </w:rPr>
              <w:t>il n</w:t>
            </w:r>
            <w:r w:rsidR="00894570" w:rsidRPr="001B283D">
              <w:rPr>
                <w:lang w:val="fr-FR"/>
              </w:rPr>
              <w:t>’</w:t>
            </w:r>
            <w:r w:rsidRPr="001B283D">
              <w:rPr>
                <w:lang w:val="fr-FR"/>
              </w:rPr>
              <w:t>y a qu</w:t>
            </w:r>
            <w:r w:rsidR="00894570" w:rsidRPr="001B283D">
              <w:rPr>
                <w:lang w:val="fr-FR"/>
              </w:rPr>
              <w:t>’</w:t>
            </w:r>
            <w:r w:rsidRPr="001B283D">
              <w:rPr>
                <w:lang w:val="fr-FR"/>
              </w:rPr>
              <w:t>une différence ou peu de différences, cela ne signifie pas nécessairement qu</w:t>
            </w:r>
            <w:r w:rsidR="00894570" w:rsidRPr="001B283D">
              <w:rPr>
                <w:lang w:val="fr-FR"/>
              </w:rPr>
              <w:t>’</w:t>
            </w:r>
            <w:r w:rsidRPr="001B283D">
              <w:rPr>
                <w:lang w:val="fr-FR"/>
              </w:rPr>
              <w:t>une variété est essentiellement dérivée.  La variété devrait également réunir les critères applicables à la définition énoncée dans l</w:t>
            </w:r>
            <w:r w:rsidR="00894570" w:rsidRPr="001B283D">
              <w:rPr>
                <w:lang w:val="fr-FR"/>
              </w:rPr>
              <w:t>’</w:t>
            </w:r>
            <w:r w:rsidRPr="001B283D">
              <w:rPr>
                <w:lang w:val="fr-FR"/>
              </w:rPr>
              <w:t>article 14.5)b)”.</w:t>
            </w:r>
          </w:p>
        </w:tc>
      </w:tr>
      <w:tr w:rsidR="00CE4932" w:rsidRPr="001B283D" w:rsidTr="00081A2A">
        <w:trPr>
          <w:cantSplit/>
          <w:jc w:val="center"/>
        </w:trPr>
        <w:tc>
          <w:tcPr>
            <w:tcW w:w="1391" w:type="dxa"/>
          </w:tcPr>
          <w:p w:rsidR="00886826" w:rsidRPr="001B283D" w:rsidRDefault="00886826" w:rsidP="00546532">
            <w:pPr>
              <w:jc w:val="left"/>
              <w:rPr>
                <w:lang w:val="fr-FR"/>
              </w:rPr>
            </w:pPr>
            <w:r w:rsidRPr="001B283D">
              <w:rPr>
                <w:lang w:val="fr-FR"/>
              </w:rPr>
              <w:t>Nouveau paragraphe après le paragraphe</w:t>
            </w:r>
            <w:r w:rsidR="00F2415E" w:rsidRPr="001B283D">
              <w:rPr>
                <w:lang w:val="fr-FR"/>
              </w:rPr>
              <w:t> </w:t>
            </w:r>
            <w:r w:rsidRPr="001B283D">
              <w:rPr>
                <w:lang w:val="fr-FR"/>
              </w:rPr>
              <w:t>11</w:t>
            </w:r>
          </w:p>
        </w:tc>
        <w:tc>
          <w:tcPr>
            <w:tcW w:w="7789" w:type="dxa"/>
          </w:tcPr>
          <w:p w:rsidR="00886826" w:rsidRPr="00081A2A" w:rsidRDefault="00886826" w:rsidP="0010416A">
            <w:pPr>
              <w:rPr>
                <w:spacing w:val="-2"/>
                <w:lang w:val="fr-FR"/>
              </w:rPr>
            </w:pPr>
            <w:r w:rsidRPr="00081A2A">
              <w:rPr>
                <w:spacing w:val="-2"/>
                <w:lang w:val="fr-FR"/>
              </w:rPr>
              <w:t>Insérer la citation suivante dans le paragraphe</w:t>
            </w:r>
            <w:r w:rsidR="00F2415E" w:rsidRPr="00081A2A">
              <w:rPr>
                <w:spacing w:val="-2"/>
                <w:lang w:val="fr-FR"/>
              </w:rPr>
              <w:t> </w:t>
            </w:r>
            <w:r w:rsidRPr="00081A2A">
              <w:rPr>
                <w:spacing w:val="-2"/>
                <w:lang w:val="fr-FR"/>
              </w:rPr>
              <w:t>11 qui serait un nouveau paragraphe</w:t>
            </w:r>
            <w:r w:rsidR="00F2415E" w:rsidRPr="00081A2A">
              <w:rPr>
                <w:spacing w:val="-2"/>
                <w:lang w:val="fr-FR"/>
              </w:rPr>
              <w:t> </w:t>
            </w:r>
            <w:r w:rsidRPr="00081A2A">
              <w:rPr>
                <w:spacing w:val="-2"/>
                <w:lang w:val="fr-FR"/>
              </w:rPr>
              <w:t>:</w:t>
            </w:r>
          </w:p>
          <w:p w:rsidR="00886826" w:rsidRPr="00081A2A" w:rsidRDefault="00886826" w:rsidP="0010416A">
            <w:pPr>
              <w:rPr>
                <w:sz w:val="16"/>
                <w:lang w:val="fr-FR"/>
              </w:rPr>
            </w:pPr>
          </w:p>
          <w:p w:rsidR="00886826" w:rsidRPr="001B283D" w:rsidRDefault="00886826" w:rsidP="00E547C5">
            <w:pPr>
              <w:rPr>
                <w:lang w:val="fr-FR"/>
              </w:rPr>
            </w:pPr>
            <w:r w:rsidRPr="001B283D">
              <w:rPr>
                <w:lang w:val="fr-FR"/>
              </w:rPr>
              <w:t>“12.</w:t>
            </w:r>
            <w:r w:rsidRPr="001B283D">
              <w:rPr>
                <w:lang w:val="fr-FR"/>
              </w:rPr>
              <w:tab/>
              <w:t>La variété dérivée doit conserver la quasi</w:t>
            </w:r>
            <w:r w:rsidR="00A27C5B" w:rsidRPr="001B283D">
              <w:rPr>
                <w:lang w:val="fr-FR"/>
              </w:rPr>
              <w:noBreakHyphen/>
            </w:r>
            <w:r w:rsidRPr="001B283D">
              <w:rPr>
                <w:lang w:val="fr-FR"/>
              </w:rPr>
              <w:t>totalité du génotype de la variété mère et se distinguer de cette variété par un nombre très limité de caractères (généralement par un caractère).</w:t>
            </w:r>
          </w:p>
        </w:tc>
      </w:tr>
      <w:tr w:rsidR="00CE4932" w:rsidRPr="001B283D" w:rsidTr="00081A2A">
        <w:trPr>
          <w:cantSplit/>
          <w:jc w:val="center"/>
        </w:trPr>
        <w:tc>
          <w:tcPr>
            <w:tcW w:w="1391" w:type="dxa"/>
          </w:tcPr>
          <w:p w:rsidR="00886826" w:rsidRPr="001B283D" w:rsidRDefault="00886826" w:rsidP="00546532">
            <w:pPr>
              <w:jc w:val="left"/>
              <w:rPr>
                <w:lang w:val="fr-FR"/>
              </w:rPr>
            </w:pPr>
            <w:r w:rsidRPr="001B283D">
              <w:rPr>
                <w:lang w:val="fr-FR"/>
              </w:rPr>
              <w:t xml:space="preserve">Réinsérer le titre </w:t>
            </w:r>
          </w:p>
        </w:tc>
        <w:tc>
          <w:tcPr>
            <w:tcW w:w="7789" w:type="dxa"/>
          </w:tcPr>
          <w:p w:rsidR="00886826" w:rsidRPr="001B283D" w:rsidRDefault="00886826" w:rsidP="0010416A">
            <w:pPr>
              <w:rPr>
                <w:lang w:val="fr-FR"/>
              </w:rPr>
            </w:pPr>
            <w:r w:rsidRPr="001B283D">
              <w:rPr>
                <w:lang w:val="fr-FR"/>
              </w:rPr>
              <w:t>Mode d</w:t>
            </w:r>
            <w:r w:rsidR="00894570" w:rsidRPr="001B283D">
              <w:rPr>
                <w:lang w:val="fr-FR"/>
              </w:rPr>
              <w:t>’</w:t>
            </w:r>
            <w:r w:rsidRPr="001B283D">
              <w:rPr>
                <w:lang w:val="fr-FR"/>
              </w:rPr>
              <w:t>obtention</w:t>
            </w:r>
          </w:p>
        </w:tc>
      </w:tr>
      <w:tr w:rsidR="00CE4932" w:rsidRPr="001B283D" w:rsidTr="00081A2A">
        <w:trPr>
          <w:cantSplit/>
          <w:jc w:val="center"/>
        </w:trPr>
        <w:tc>
          <w:tcPr>
            <w:tcW w:w="1391" w:type="dxa"/>
          </w:tcPr>
          <w:p w:rsidR="00886826" w:rsidRPr="001B283D" w:rsidRDefault="00886826" w:rsidP="00E547C5">
            <w:pPr>
              <w:jc w:val="left"/>
              <w:rPr>
                <w:lang w:val="fr-FR"/>
              </w:rPr>
            </w:pPr>
            <w:r w:rsidRPr="001B283D">
              <w:rPr>
                <w:lang w:val="fr-FR"/>
              </w:rPr>
              <w:t>Paragraphe 14</w:t>
            </w:r>
          </w:p>
        </w:tc>
        <w:tc>
          <w:tcPr>
            <w:tcW w:w="7789" w:type="dxa"/>
          </w:tcPr>
          <w:p w:rsidR="00886826" w:rsidRPr="001B283D" w:rsidRDefault="00886826" w:rsidP="00E547C5">
            <w:pPr>
              <w:rPr>
                <w:lang w:val="fr-FR"/>
              </w:rPr>
            </w:pPr>
            <w:r w:rsidRPr="001B283D">
              <w:rPr>
                <w:lang w:val="fr-FR"/>
              </w:rPr>
              <w:t>Libeller comme suit :</w:t>
            </w:r>
          </w:p>
          <w:p w:rsidR="00886826" w:rsidRPr="00081A2A" w:rsidRDefault="00886826" w:rsidP="0010416A">
            <w:pPr>
              <w:rPr>
                <w:sz w:val="16"/>
                <w:lang w:val="fr-FR"/>
              </w:rPr>
            </w:pPr>
          </w:p>
          <w:p w:rsidR="00886826" w:rsidRPr="001B283D" w:rsidRDefault="00886826" w:rsidP="0010416A">
            <w:pPr>
              <w:rPr>
                <w:lang w:val="fr-FR"/>
              </w:rPr>
            </w:pPr>
            <w:r w:rsidRPr="001B283D">
              <w:rPr>
                <w:lang w:val="fr-FR"/>
              </w:rPr>
              <w:t>“Il est nécessaire de prendre en compte la situation de différentes cultures et espèces ainsi que le mode d</w:t>
            </w:r>
            <w:r w:rsidR="00894570" w:rsidRPr="001B283D">
              <w:rPr>
                <w:lang w:val="fr-FR"/>
              </w:rPr>
              <w:t>’</w:t>
            </w:r>
            <w:r w:rsidRPr="001B283D">
              <w:rPr>
                <w:lang w:val="fr-FR"/>
              </w:rPr>
              <w:t>obtention lorsqu</w:t>
            </w:r>
            <w:r w:rsidR="00894570" w:rsidRPr="001B283D">
              <w:rPr>
                <w:lang w:val="fr-FR"/>
              </w:rPr>
              <w:t>’</w:t>
            </w:r>
            <w:r w:rsidRPr="001B283D">
              <w:rPr>
                <w:lang w:val="fr-FR"/>
              </w:rPr>
              <w:t>on détermine les variétés essentiellement dérivées”.</w:t>
            </w:r>
          </w:p>
        </w:tc>
      </w:tr>
      <w:tr w:rsidR="00CE4932" w:rsidRPr="001B283D" w:rsidTr="00081A2A">
        <w:trPr>
          <w:cantSplit/>
          <w:jc w:val="center"/>
        </w:trPr>
        <w:tc>
          <w:tcPr>
            <w:tcW w:w="1391" w:type="dxa"/>
          </w:tcPr>
          <w:p w:rsidR="00886826" w:rsidRPr="001B283D" w:rsidRDefault="00886826" w:rsidP="00E547C5">
            <w:pPr>
              <w:jc w:val="left"/>
              <w:rPr>
                <w:lang w:val="fr-FR"/>
              </w:rPr>
            </w:pPr>
            <w:r w:rsidRPr="001B283D">
              <w:rPr>
                <w:lang w:val="fr-FR"/>
              </w:rPr>
              <w:t>Paragraphe 20</w:t>
            </w:r>
          </w:p>
        </w:tc>
        <w:tc>
          <w:tcPr>
            <w:tcW w:w="7789" w:type="dxa"/>
          </w:tcPr>
          <w:p w:rsidR="00886826" w:rsidRPr="001B283D" w:rsidRDefault="00886826" w:rsidP="0010416A">
            <w:pPr>
              <w:rPr>
                <w:lang w:val="fr-FR"/>
              </w:rPr>
            </w:pPr>
            <w:r w:rsidRPr="001B283D">
              <w:rPr>
                <w:lang w:val="fr-FR"/>
              </w:rPr>
              <w:t>Attendre la proposition conjointe de l</w:t>
            </w:r>
            <w:r w:rsidR="00894570" w:rsidRPr="001B283D">
              <w:rPr>
                <w:lang w:val="fr-FR"/>
              </w:rPr>
              <w:t>’</w:t>
            </w:r>
            <w:r w:rsidRPr="001B283D">
              <w:rPr>
                <w:lang w:val="fr-FR"/>
              </w:rPr>
              <w:t>ESA et de l</w:t>
            </w:r>
            <w:r w:rsidR="00894570" w:rsidRPr="001B283D">
              <w:rPr>
                <w:lang w:val="fr-FR"/>
              </w:rPr>
              <w:t>’</w:t>
            </w:r>
            <w:r w:rsidRPr="001B283D">
              <w:rPr>
                <w:lang w:val="fr-FR"/>
              </w:rPr>
              <w:t>ISF</w:t>
            </w:r>
          </w:p>
        </w:tc>
      </w:tr>
      <w:tr w:rsidR="00CE4932" w:rsidRPr="001B283D" w:rsidTr="00081A2A">
        <w:trPr>
          <w:cantSplit/>
          <w:jc w:val="center"/>
        </w:trPr>
        <w:tc>
          <w:tcPr>
            <w:tcW w:w="1391" w:type="dxa"/>
          </w:tcPr>
          <w:p w:rsidR="00886826" w:rsidRPr="001B283D" w:rsidRDefault="00886826" w:rsidP="00E547C5">
            <w:pPr>
              <w:jc w:val="left"/>
              <w:rPr>
                <w:lang w:val="fr-FR"/>
              </w:rPr>
            </w:pPr>
            <w:r w:rsidRPr="001B283D">
              <w:rPr>
                <w:lang w:val="fr-FR"/>
              </w:rPr>
              <w:t>Paragraphe 21</w:t>
            </w:r>
          </w:p>
        </w:tc>
        <w:tc>
          <w:tcPr>
            <w:tcW w:w="7789" w:type="dxa"/>
          </w:tcPr>
          <w:p w:rsidR="00886826" w:rsidRPr="00081A2A" w:rsidRDefault="00886826" w:rsidP="001A4C96">
            <w:pPr>
              <w:rPr>
                <w:spacing w:val="-2"/>
                <w:lang w:val="fr-FR"/>
              </w:rPr>
            </w:pPr>
            <w:r w:rsidRPr="00081A2A">
              <w:rPr>
                <w:spacing w:val="-2"/>
                <w:lang w:val="fr-FR"/>
              </w:rPr>
              <w:t>Ajouter une note indiquant que le texte en son état n</w:t>
            </w:r>
            <w:r w:rsidR="00894570" w:rsidRPr="00081A2A">
              <w:rPr>
                <w:spacing w:val="-2"/>
                <w:lang w:val="fr-FR"/>
              </w:rPr>
              <w:t>’</w:t>
            </w:r>
            <w:r w:rsidRPr="00081A2A">
              <w:rPr>
                <w:spacing w:val="-2"/>
                <w:lang w:val="fr-FR"/>
              </w:rPr>
              <w:t>était pas acceptable mais que de nouvelles propositions devraient être examinées.  Montrer le texte existant en biffure.</w:t>
            </w:r>
          </w:p>
        </w:tc>
      </w:tr>
      <w:tr w:rsidR="00CE4932" w:rsidRPr="001B283D" w:rsidTr="00081A2A">
        <w:trPr>
          <w:cantSplit/>
          <w:jc w:val="center"/>
        </w:trPr>
        <w:tc>
          <w:tcPr>
            <w:tcW w:w="1391" w:type="dxa"/>
          </w:tcPr>
          <w:p w:rsidR="00886826" w:rsidRPr="001B283D" w:rsidRDefault="00886826" w:rsidP="00E547C5">
            <w:pPr>
              <w:jc w:val="left"/>
              <w:rPr>
                <w:lang w:val="fr-FR"/>
              </w:rPr>
            </w:pPr>
            <w:r w:rsidRPr="001B283D">
              <w:rPr>
                <w:lang w:val="fr-FR"/>
              </w:rPr>
              <w:t>Paragraphe 29</w:t>
            </w:r>
          </w:p>
        </w:tc>
        <w:tc>
          <w:tcPr>
            <w:tcW w:w="7789" w:type="dxa"/>
          </w:tcPr>
          <w:p w:rsidR="00886826" w:rsidRPr="001B283D" w:rsidRDefault="00886826" w:rsidP="00E547C5">
            <w:pPr>
              <w:rPr>
                <w:snapToGrid w:val="0"/>
                <w:lang w:val="fr-FR"/>
              </w:rPr>
            </w:pPr>
            <w:r w:rsidRPr="001B283D">
              <w:rPr>
                <w:snapToGrid w:val="0"/>
                <w:lang w:val="fr-FR"/>
              </w:rPr>
              <w:t>Libeller comme suit :</w:t>
            </w:r>
          </w:p>
          <w:p w:rsidR="00886826" w:rsidRPr="00081A2A" w:rsidRDefault="00886826" w:rsidP="0010416A">
            <w:pPr>
              <w:rPr>
                <w:snapToGrid w:val="0"/>
                <w:sz w:val="12"/>
                <w:lang w:val="fr-FR"/>
              </w:rPr>
            </w:pPr>
          </w:p>
          <w:p w:rsidR="00886826" w:rsidRPr="001B283D" w:rsidRDefault="00886826" w:rsidP="001A4C96">
            <w:pPr>
              <w:rPr>
                <w:snapToGrid w:val="0"/>
                <w:lang w:val="fr-FR"/>
              </w:rPr>
            </w:pPr>
            <w:r w:rsidRPr="001B283D">
              <w:rPr>
                <w:snapToGrid w:val="0"/>
                <w:lang w:val="fr-FR"/>
              </w:rPr>
              <w:t>“29.</w:t>
            </w:r>
            <w:r w:rsidRPr="001B283D">
              <w:rPr>
                <w:snapToGrid w:val="0"/>
                <w:lang w:val="fr-FR"/>
              </w:rPr>
              <w:tab/>
              <w:t>Aussi bien la dérivation principale (p.</w:t>
            </w:r>
            <w:r w:rsidR="00F2415E" w:rsidRPr="001B283D">
              <w:rPr>
                <w:snapToGrid w:val="0"/>
                <w:lang w:val="fr-FR"/>
              </w:rPr>
              <w:t> </w:t>
            </w:r>
            <w:r w:rsidRPr="001B283D">
              <w:rPr>
                <w:snapToGrid w:val="0"/>
                <w:lang w:val="fr-FR"/>
              </w:rPr>
              <w:t>ex. preuve de la conformité génétique avec la variété initiale) que la conformité avec les caractères essentiels (p.</w:t>
            </w:r>
            <w:r w:rsidR="00F2415E" w:rsidRPr="001B283D">
              <w:rPr>
                <w:snapToGrid w:val="0"/>
                <w:lang w:val="fr-FR"/>
              </w:rPr>
              <w:t> </w:t>
            </w:r>
            <w:r w:rsidRPr="001B283D">
              <w:rPr>
                <w:snapToGrid w:val="0"/>
                <w:lang w:val="fr-FR"/>
              </w:rPr>
              <w:t>ex. preuve de la conformité dans l</w:t>
            </w:r>
            <w:r w:rsidR="00894570" w:rsidRPr="001B283D">
              <w:rPr>
                <w:snapToGrid w:val="0"/>
                <w:lang w:val="fr-FR"/>
              </w:rPr>
              <w:t>’</w:t>
            </w:r>
            <w:r w:rsidRPr="001B283D">
              <w:rPr>
                <w:snapToGrid w:val="0"/>
                <w:lang w:val="fr-FR"/>
              </w:rPr>
              <w:t>expression des caractères essentiels de la variété initiale) sont des points de départ possibles pour indiquer qu</w:t>
            </w:r>
            <w:r w:rsidR="00894570" w:rsidRPr="001B283D">
              <w:rPr>
                <w:snapToGrid w:val="0"/>
                <w:lang w:val="fr-FR"/>
              </w:rPr>
              <w:t>’</w:t>
            </w:r>
            <w:r w:rsidRPr="001B283D">
              <w:rPr>
                <w:snapToGrid w:val="0"/>
                <w:lang w:val="fr-FR"/>
              </w:rPr>
              <w:t>une variété pourrait être essentiellement dérivée de la variété initiale”.</w:t>
            </w:r>
          </w:p>
        </w:tc>
      </w:tr>
      <w:tr w:rsidR="00CE4932" w:rsidRPr="001B283D" w:rsidTr="00081A2A">
        <w:trPr>
          <w:cantSplit/>
          <w:jc w:val="center"/>
        </w:trPr>
        <w:tc>
          <w:tcPr>
            <w:tcW w:w="1391" w:type="dxa"/>
          </w:tcPr>
          <w:p w:rsidR="00886826" w:rsidRPr="001B283D" w:rsidRDefault="00886826" w:rsidP="00E547C5">
            <w:pPr>
              <w:jc w:val="left"/>
              <w:rPr>
                <w:lang w:val="fr-FR"/>
              </w:rPr>
            </w:pPr>
            <w:r w:rsidRPr="001B283D">
              <w:rPr>
                <w:lang w:val="fr-FR"/>
              </w:rPr>
              <w:t>Paragraphe 30</w:t>
            </w:r>
          </w:p>
          <w:p w:rsidR="00886826" w:rsidRPr="001B283D" w:rsidRDefault="00886826" w:rsidP="00546532">
            <w:pPr>
              <w:jc w:val="left"/>
              <w:rPr>
                <w:lang w:val="fr-FR"/>
              </w:rPr>
            </w:pPr>
          </w:p>
        </w:tc>
        <w:tc>
          <w:tcPr>
            <w:tcW w:w="7789" w:type="dxa"/>
          </w:tcPr>
          <w:p w:rsidR="00886826" w:rsidRPr="001B283D" w:rsidRDefault="00886826" w:rsidP="00E547C5">
            <w:pPr>
              <w:rPr>
                <w:snapToGrid w:val="0"/>
                <w:lang w:val="fr-FR"/>
              </w:rPr>
            </w:pPr>
            <w:r w:rsidRPr="001B283D">
              <w:rPr>
                <w:snapToGrid w:val="0"/>
                <w:lang w:val="fr-FR"/>
              </w:rPr>
              <w:t>Libeller comme suit :</w:t>
            </w:r>
          </w:p>
          <w:p w:rsidR="00886826" w:rsidRPr="00081A2A" w:rsidRDefault="00886826" w:rsidP="0010416A">
            <w:pPr>
              <w:rPr>
                <w:snapToGrid w:val="0"/>
                <w:sz w:val="16"/>
                <w:lang w:val="fr-FR"/>
              </w:rPr>
            </w:pPr>
          </w:p>
          <w:p w:rsidR="00886826" w:rsidRPr="00081A2A" w:rsidRDefault="00886826" w:rsidP="0010416A">
            <w:pPr>
              <w:rPr>
                <w:snapToGrid w:val="0"/>
                <w:spacing w:val="-2"/>
                <w:lang w:val="fr-FR"/>
              </w:rPr>
            </w:pPr>
            <w:r w:rsidRPr="00081A2A">
              <w:rPr>
                <w:snapToGrid w:val="0"/>
                <w:spacing w:val="-2"/>
                <w:lang w:val="fr-FR"/>
              </w:rPr>
              <w:t>“30.  Dans certaines situations, les informations pertinentes fournies par l</w:t>
            </w:r>
            <w:r w:rsidR="00894570" w:rsidRPr="00081A2A">
              <w:rPr>
                <w:snapToGrid w:val="0"/>
                <w:spacing w:val="-2"/>
                <w:lang w:val="fr-FR"/>
              </w:rPr>
              <w:t>’</w:t>
            </w:r>
            <w:r w:rsidRPr="00081A2A">
              <w:rPr>
                <w:snapToGrid w:val="0"/>
                <w:spacing w:val="-2"/>
                <w:lang w:val="fr-FR"/>
              </w:rPr>
              <w:t xml:space="preserve">obtenteur de la variété initiale sur la dérivation principale ou la conformité des caractères essentiels pourraient être utilisées comme la base du renversement de la charge de la preuve. </w:t>
            </w:r>
            <w:r w:rsidR="00F2415E" w:rsidRPr="00081A2A">
              <w:rPr>
                <w:snapToGrid w:val="0"/>
                <w:spacing w:val="-2"/>
                <w:lang w:val="fr-FR"/>
              </w:rPr>
              <w:t xml:space="preserve"> </w:t>
            </w:r>
            <w:r w:rsidRPr="00081A2A">
              <w:rPr>
                <w:snapToGrid w:val="0"/>
                <w:spacing w:val="-2"/>
                <w:lang w:val="fr-FR"/>
              </w:rPr>
              <w:t>Dans de telles situations, l</w:t>
            </w:r>
            <w:r w:rsidR="00894570" w:rsidRPr="00081A2A">
              <w:rPr>
                <w:snapToGrid w:val="0"/>
                <w:spacing w:val="-2"/>
                <w:lang w:val="fr-FR"/>
              </w:rPr>
              <w:t>’</w:t>
            </w:r>
            <w:r w:rsidRPr="00081A2A">
              <w:rPr>
                <w:snapToGrid w:val="0"/>
                <w:spacing w:val="-2"/>
                <w:lang w:val="fr-FR"/>
              </w:rPr>
              <w:t>autre obtenteur pourrait devoir prouver que l</w:t>
            </w:r>
            <w:r w:rsidR="00894570" w:rsidRPr="00081A2A">
              <w:rPr>
                <w:snapToGrid w:val="0"/>
                <w:spacing w:val="-2"/>
                <w:lang w:val="fr-FR"/>
              </w:rPr>
              <w:t>’</w:t>
            </w:r>
            <w:r w:rsidRPr="00081A2A">
              <w:rPr>
                <w:snapToGrid w:val="0"/>
                <w:spacing w:val="-2"/>
                <w:lang w:val="fr-FR"/>
              </w:rPr>
              <w:t>autre variété n</w:t>
            </w:r>
            <w:r w:rsidR="00894570" w:rsidRPr="00081A2A">
              <w:rPr>
                <w:snapToGrid w:val="0"/>
                <w:spacing w:val="-2"/>
                <w:lang w:val="fr-FR"/>
              </w:rPr>
              <w:t>’</w:t>
            </w:r>
            <w:r w:rsidRPr="00081A2A">
              <w:rPr>
                <w:snapToGrid w:val="0"/>
                <w:spacing w:val="-2"/>
                <w:lang w:val="fr-FR"/>
              </w:rPr>
              <w:t>est pas essentiellement dérivée de la variété initiale.  C</w:t>
            </w:r>
            <w:r w:rsidR="00894570" w:rsidRPr="00081A2A">
              <w:rPr>
                <w:snapToGrid w:val="0"/>
                <w:spacing w:val="-2"/>
                <w:lang w:val="fr-FR"/>
              </w:rPr>
              <w:t>’</w:t>
            </w:r>
            <w:r w:rsidRPr="00081A2A">
              <w:rPr>
                <w:snapToGrid w:val="0"/>
                <w:spacing w:val="-2"/>
                <w:lang w:val="fr-FR"/>
              </w:rPr>
              <w:t>est ainsi par exemple qu</w:t>
            </w:r>
            <w:r w:rsidR="00894570" w:rsidRPr="00081A2A">
              <w:rPr>
                <w:snapToGrid w:val="0"/>
                <w:spacing w:val="-2"/>
                <w:lang w:val="fr-FR"/>
              </w:rPr>
              <w:t>’</w:t>
            </w:r>
            <w:r w:rsidRPr="00081A2A">
              <w:rPr>
                <w:snapToGrid w:val="0"/>
                <w:spacing w:val="-2"/>
                <w:lang w:val="fr-FR"/>
              </w:rPr>
              <w:t>il devrait fournir des informations sur les antécédents de sélection de la deuxième variété pour prouver que la variété n</w:t>
            </w:r>
            <w:r w:rsidR="00894570" w:rsidRPr="00081A2A">
              <w:rPr>
                <w:snapToGrid w:val="0"/>
                <w:spacing w:val="-2"/>
                <w:lang w:val="fr-FR"/>
              </w:rPr>
              <w:t>’</w:t>
            </w:r>
            <w:r w:rsidRPr="00081A2A">
              <w:rPr>
                <w:snapToGrid w:val="0"/>
                <w:spacing w:val="-2"/>
                <w:lang w:val="fr-FR"/>
              </w:rPr>
              <w:t>était pas dérivée de la variété initiale”.</w:t>
            </w:r>
          </w:p>
        </w:tc>
      </w:tr>
      <w:tr w:rsidR="00CE4932" w:rsidRPr="001B283D" w:rsidTr="00081A2A">
        <w:trPr>
          <w:cantSplit/>
          <w:jc w:val="center"/>
        </w:trPr>
        <w:tc>
          <w:tcPr>
            <w:tcW w:w="1391" w:type="dxa"/>
          </w:tcPr>
          <w:p w:rsidR="00886826" w:rsidRPr="001B283D" w:rsidRDefault="00886826" w:rsidP="00E547C5">
            <w:pPr>
              <w:jc w:val="left"/>
              <w:rPr>
                <w:lang w:val="fr-FR"/>
              </w:rPr>
            </w:pPr>
            <w:r w:rsidRPr="001B283D">
              <w:rPr>
                <w:lang w:val="fr-FR"/>
              </w:rPr>
              <w:t>Section</w:t>
            </w:r>
            <w:r w:rsidR="00F2415E" w:rsidRPr="001B283D">
              <w:rPr>
                <w:lang w:val="fr-FR"/>
              </w:rPr>
              <w:t> </w:t>
            </w:r>
            <w:r w:rsidRPr="001B283D">
              <w:rPr>
                <w:lang w:val="fr-FR"/>
              </w:rPr>
              <w:t>II</w:t>
            </w:r>
          </w:p>
        </w:tc>
        <w:tc>
          <w:tcPr>
            <w:tcW w:w="7789" w:type="dxa"/>
          </w:tcPr>
          <w:p w:rsidR="00886826" w:rsidRPr="00081A2A" w:rsidRDefault="00886826" w:rsidP="0068120E">
            <w:pPr>
              <w:rPr>
                <w:snapToGrid w:val="0"/>
                <w:spacing w:val="-2"/>
                <w:lang w:val="fr-FR"/>
              </w:rPr>
            </w:pPr>
            <w:r w:rsidRPr="00081A2A">
              <w:rPr>
                <w:snapToGrid w:val="0"/>
                <w:spacing w:val="-2"/>
                <w:lang w:val="fr-FR"/>
              </w:rPr>
              <w:t xml:space="preserve">Préciser </w:t>
            </w:r>
            <w:r w:rsidR="00062ED8" w:rsidRPr="00081A2A">
              <w:rPr>
                <w:snapToGrid w:val="0"/>
                <w:spacing w:val="-2"/>
                <w:lang w:val="fr-FR"/>
              </w:rPr>
              <w:t>le</w:t>
            </w:r>
            <w:r w:rsidRPr="00081A2A">
              <w:rPr>
                <w:snapToGrid w:val="0"/>
                <w:spacing w:val="-2"/>
                <w:lang w:val="fr-FR"/>
              </w:rPr>
              <w:t xml:space="preserve"> but de la section</w:t>
            </w:r>
            <w:r w:rsidR="00F2415E" w:rsidRPr="00081A2A">
              <w:rPr>
                <w:snapToGrid w:val="0"/>
                <w:spacing w:val="-2"/>
                <w:lang w:val="fr-FR"/>
              </w:rPr>
              <w:t> </w:t>
            </w:r>
            <w:r w:rsidRPr="00081A2A">
              <w:rPr>
                <w:snapToGrid w:val="0"/>
                <w:spacing w:val="-2"/>
                <w:lang w:val="fr-FR"/>
              </w:rPr>
              <w:t xml:space="preserve">II dans les parties pertinentes du document et, en particulier, celle qui concerne la question de savoir si une variété est une variété essentiellement </w:t>
            </w:r>
            <w:r w:rsidR="0068120E">
              <w:rPr>
                <w:snapToGrid w:val="0"/>
                <w:spacing w:val="-2"/>
                <w:lang w:val="fr-FR"/>
              </w:rPr>
              <w:t xml:space="preserve">dérivée </w:t>
            </w:r>
            <w:r w:rsidRPr="00081A2A">
              <w:rPr>
                <w:snapToGrid w:val="0"/>
                <w:spacing w:val="-2"/>
                <w:lang w:val="fr-FR"/>
              </w:rPr>
              <w:t>et pas celle de savoir si elle peut faire l</w:t>
            </w:r>
            <w:r w:rsidR="00894570" w:rsidRPr="00081A2A">
              <w:rPr>
                <w:snapToGrid w:val="0"/>
                <w:spacing w:val="-2"/>
                <w:lang w:val="fr-FR"/>
              </w:rPr>
              <w:t>’</w:t>
            </w:r>
            <w:r w:rsidRPr="00081A2A">
              <w:rPr>
                <w:snapToGrid w:val="0"/>
                <w:spacing w:val="-2"/>
                <w:lang w:val="fr-FR"/>
              </w:rPr>
              <w:t>objet d</w:t>
            </w:r>
            <w:r w:rsidR="00894570" w:rsidRPr="00081A2A">
              <w:rPr>
                <w:snapToGrid w:val="0"/>
                <w:spacing w:val="-2"/>
                <w:lang w:val="fr-FR"/>
              </w:rPr>
              <w:t>’</w:t>
            </w:r>
            <w:r w:rsidRPr="00081A2A">
              <w:rPr>
                <w:snapToGrid w:val="0"/>
                <w:spacing w:val="-2"/>
                <w:lang w:val="fr-FR"/>
              </w:rPr>
              <w:t>une protection.</w:t>
            </w:r>
          </w:p>
        </w:tc>
      </w:tr>
      <w:tr w:rsidR="00CE4932" w:rsidRPr="001B283D" w:rsidTr="00081A2A">
        <w:trPr>
          <w:cantSplit/>
          <w:jc w:val="center"/>
        </w:trPr>
        <w:tc>
          <w:tcPr>
            <w:tcW w:w="1391" w:type="dxa"/>
          </w:tcPr>
          <w:p w:rsidR="00886826" w:rsidRPr="001B283D" w:rsidRDefault="00886826" w:rsidP="00546532">
            <w:pPr>
              <w:jc w:val="left"/>
              <w:rPr>
                <w:lang w:val="fr-FR"/>
              </w:rPr>
            </w:pPr>
            <w:r w:rsidRPr="001B283D">
              <w:rPr>
                <w:lang w:val="fr-FR"/>
              </w:rPr>
              <w:t xml:space="preserve">Nouvelle proposition </w:t>
            </w:r>
          </w:p>
        </w:tc>
        <w:tc>
          <w:tcPr>
            <w:tcW w:w="7789" w:type="dxa"/>
          </w:tcPr>
          <w:p w:rsidR="00886826" w:rsidRPr="00081A2A" w:rsidRDefault="00886826" w:rsidP="001A4C96">
            <w:pPr>
              <w:rPr>
                <w:snapToGrid w:val="0"/>
                <w:spacing w:val="-2"/>
                <w:lang w:val="fr-FR"/>
              </w:rPr>
            </w:pPr>
            <w:r w:rsidRPr="00081A2A">
              <w:rPr>
                <w:snapToGrid w:val="0"/>
                <w:spacing w:val="-2"/>
                <w:lang w:val="fr-FR"/>
              </w:rPr>
              <w:t>Élaborer dans le projet suivant des orientations pour préciser si la variété initiale ou la variété essentiellement dérivée n</w:t>
            </w:r>
            <w:r w:rsidR="00894570" w:rsidRPr="00081A2A">
              <w:rPr>
                <w:snapToGrid w:val="0"/>
                <w:spacing w:val="-2"/>
                <w:lang w:val="fr-FR"/>
              </w:rPr>
              <w:t>’</w:t>
            </w:r>
            <w:r w:rsidRPr="00081A2A">
              <w:rPr>
                <w:snapToGrid w:val="0"/>
                <w:spacing w:val="-2"/>
                <w:lang w:val="fr-FR"/>
              </w:rPr>
              <w:t>est pas protégée ou est protégée sur un autre territoire.</w:t>
            </w:r>
          </w:p>
        </w:tc>
      </w:tr>
    </w:tbl>
    <w:p w:rsidR="00886826" w:rsidRPr="001B283D" w:rsidRDefault="00886826" w:rsidP="003D01A5">
      <w:pPr>
        <w:rPr>
          <w:lang w:val="fr-FR"/>
        </w:rPr>
      </w:pPr>
    </w:p>
    <w:p w:rsidR="00886826" w:rsidRPr="001B283D" w:rsidRDefault="00886826" w:rsidP="003D01A5">
      <w:pPr>
        <w:rPr>
          <w:lang w:val="fr-FR"/>
        </w:rPr>
      </w:pPr>
    </w:p>
    <w:p w:rsidR="00886826" w:rsidRPr="001B283D" w:rsidRDefault="00886826" w:rsidP="0069681C">
      <w:pPr>
        <w:pStyle w:val="Heading2"/>
        <w:rPr>
          <w:lang w:val="fr-FR"/>
        </w:rPr>
      </w:pPr>
      <w:r w:rsidRPr="001B283D">
        <w:rPr>
          <w:lang w:val="fr-FR"/>
        </w:rPr>
        <w:t>Questions concernant la participation d</w:t>
      </w:r>
      <w:r w:rsidR="00894570" w:rsidRPr="001B283D">
        <w:rPr>
          <w:lang w:val="fr-FR"/>
        </w:rPr>
        <w:t>’</w:t>
      </w:r>
      <w:r w:rsidRPr="001B283D">
        <w:rPr>
          <w:lang w:val="fr-FR"/>
        </w:rPr>
        <w:t>observateurs</w:t>
      </w:r>
      <w:r w:rsidR="00894570" w:rsidRPr="001B283D">
        <w:rPr>
          <w:lang w:val="fr-FR"/>
        </w:rPr>
        <w:t xml:space="preserve"> au CAJ</w:t>
      </w:r>
      <w:r w:rsidR="00A27C5B" w:rsidRPr="001B283D">
        <w:rPr>
          <w:lang w:val="fr-FR"/>
        </w:rPr>
        <w:noBreakHyphen/>
      </w:r>
      <w:r w:rsidRPr="001B283D">
        <w:rPr>
          <w:lang w:val="fr-FR"/>
        </w:rPr>
        <w:t>AG</w:t>
      </w:r>
    </w:p>
    <w:p w:rsidR="00886826" w:rsidRPr="001B283D" w:rsidRDefault="00886826" w:rsidP="000E2821">
      <w:pPr>
        <w:keepNext/>
        <w:rPr>
          <w:lang w:val="fr-FR"/>
        </w:rPr>
      </w:pPr>
    </w:p>
    <w:p w:rsidR="00886826" w:rsidRPr="001B283D" w:rsidRDefault="00886826" w:rsidP="00081A2A">
      <w:pPr>
        <w:spacing w:after="240"/>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Le CAJ</w:t>
      </w:r>
      <w:r w:rsidR="00A27C5B" w:rsidRPr="001B283D">
        <w:rPr>
          <w:lang w:val="fr-FR"/>
        </w:rPr>
        <w:noBreakHyphen/>
      </w:r>
      <w:r w:rsidRPr="001B283D">
        <w:rPr>
          <w:lang w:val="fr-FR"/>
        </w:rPr>
        <w:t>AG examine le document CAJ</w:t>
      </w:r>
      <w:r w:rsidR="00A27C5B" w:rsidRPr="001B283D">
        <w:rPr>
          <w:lang w:val="fr-FR"/>
        </w:rPr>
        <w:noBreakHyphen/>
      </w:r>
      <w:r w:rsidRPr="001B283D">
        <w:rPr>
          <w:lang w:val="fr-FR"/>
        </w:rPr>
        <w:t>AG/14/9/5 et convient que ces questions devront être examinées par</w:t>
      </w:r>
      <w:r w:rsidR="00894570" w:rsidRPr="001B283D">
        <w:rPr>
          <w:lang w:val="fr-FR"/>
        </w:rPr>
        <w:t xml:space="preserve"> le CAJ</w:t>
      </w:r>
      <w:r w:rsidRPr="001B283D">
        <w:rPr>
          <w:lang w:val="fr-FR"/>
        </w:rPr>
        <w:t xml:space="preserve"> au moment approprié.</w:t>
      </w:r>
    </w:p>
    <w:p w:rsidR="00886826" w:rsidRPr="001B283D" w:rsidRDefault="00886826" w:rsidP="007B1E25">
      <w:pPr>
        <w:rPr>
          <w:lang w:val="fr-FR"/>
        </w:rPr>
      </w:pPr>
      <w:r w:rsidRPr="001B283D">
        <w:rPr>
          <w:lang w:val="fr-FR"/>
        </w:rPr>
        <w:lastRenderedPageBreak/>
        <w:fldChar w:fldCharType="begin"/>
      </w:r>
      <w:r w:rsidRPr="001B283D">
        <w:rPr>
          <w:lang w:val="fr-FR"/>
        </w:rPr>
        <w:instrText xml:space="preserve"> AUTONUM  </w:instrText>
      </w:r>
      <w:r w:rsidRPr="001B283D">
        <w:rPr>
          <w:lang w:val="fr-FR"/>
        </w:rPr>
        <w:fldChar w:fldCharType="end"/>
      </w:r>
      <w:r w:rsidRPr="001B283D">
        <w:rPr>
          <w:lang w:val="fr-FR"/>
        </w:rPr>
        <w:tab/>
        <w:t>Le CAJ</w:t>
      </w:r>
      <w:r w:rsidR="00A27C5B" w:rsidRPr="001B283D">
        <w:rPr>
          <w:lang w:val="fr-FR"/>
        </w:rPr>
        <w:noBreakHyphen/>
      </w:r>
      <w:r w:rsidRPr="001B283D">
        <w:rPr>
          <w:lang w:val="fr-FR"/>
        </w:rPr>
        <w:t>AG propose</w:t>
      </w:r>
      <w:r w:rsidR="00894570" w:rsidRPr="001B283D">
        <w:rPr>
          <w:lang w:val="fr-FR"/>
        </w:rPr>
        <w:t xml:space="preserve"> au CAJ</w:t>
      </w:r>
      <w:r w:rsidRPr="001B283D">
        <w:rPr>
          <w:lang w:val="fr-FR"/>
        </w:rPr>
        <w:t xml:space="preserve"> d</w:t>
      </w:r>
      <w:r w:rsidR="00894570" w:rsidRPr="001B283D">
        <w:rPr>
          <w:lang w:val="fr-FR"/>
        </w:rPr>
        <w:t>’</w:t>
      </w:r>
      <w:r w:rsidRPr="001B283D">
        <w:rPr>
          <w:lang w:val="fr-FR"/>
        </w:rPr>
        <w:t>examiner les mérites d</w:t>
      </w:r>
      <w:r w:rsidR="00894570" w:rsidRPr="001B283D">
        <w:rPr>
          <w:lang w:val="fr-FR"/>
        </w:rPr>
        <w:t>’</w:t>
      </w:r>
      <w:r w:rsidRPr="001B283D">
        <w:rPr>
          <w:lang w:val="fr-FR"/>
        </w:rPr>
        <w:t>inviter les membres et les observateurs à faire des observations par écrit sur ses documents pertinents avant ses sessions.</w:t>
      </w:r>
    </w:p>
    <w:p w:rsidR="00886826" w:rsidRDefault="00886826" w:rsidP="007B1E25">
      <w:pPr>
        <w:rPr>
          <w:lang w:val="fr-FR"/>
        </w:rPr>
      </w:pPr>
    </w:p>
    <w:p w:rsidR="00081A2A" w:rsidRPr="001B283D" w:rsidRDefault="00081A2A" w:rsidP="007B1E25">
      <w:pPr>
        <w:rPr>
          <w:lang w:val="fr-FR"/>
        </w:rPr>
      </w:pPr>
    </w:p>
    <w:p w:rsidR="00886826" w:rsidRPr="001B283D" w:rsidRDefault="00886826" w:rsidP="0069681C">
      <w:pPr>
        <w:pStyle w:val="Heading2"/>
        <w:rPr>
          <w:lang w:val="fr-FR"/>
        </w:rPr>
      </w:pPr>
      <w:r w:rsidRPr="001B283D">
        <w:rPr>
          <w:lang w:val="fr-FR"/>
        </w:rPr>
        <w:t>Questions soumises</w:t>
      </w:r>
      <w:r w:rsidR="00894570" w:rsidRPr="001B283D">
        <w:rPr>
          <w:lang w:val="fr-FR"/>
        </w:rPr>
        <w:t xml:space="preserve"> au CAJ</w:t>
      </w:r>
      <w:r w:rsidRPr="001B283D">
        <w:rPr>
          <w:lang w:val="fr-FR"/>
        </w:rPr>
        <w:t xml:space="preserve"> par</w:t>
      </w:r>
      <w:r w:rsidR="00894570" w:rsidRPr="001B283D">
        <w:rPr>
          <w:lang w:val="fr-FR"/>
        </w:rPr>
        <w:t xml:space="preserve"> le CAJ</w:t>
      </w:r>
      <w:r w:rsidR="00A27C5B" w:rsidRPr="001B283D">
        <w:rPr>
          <w:lang w:val="fr-FR"/>
        </w:rPr>
        <w:noBreakHyphen/>
      </w:r>
      <w:r w:rsidRPr="001B283D">
        <w:rPr>
          <w:lang w:val="fr-FR"/>
        </w:rPr>
        <w:t>AG pour examen depuis la huitième</w:t>
      </w:r>
      <w:r w:rsidR="00F2415E" w:rsidRPr="001B283D">
        <w:rPr>
          <w:lang w:val="fr-FR"/>
        </w:rPr>
        <w:t> </w:t>
      </w:r>
      <w:r w:rsidRPr="001B283D">
        <w:rPr>
          <w:lang w:val="fr-FR"/>
        </w:rPr>
        <w:t>session</w:t>
      </w:r>
      <w:r w:rsidR="00894570" w:rsidRPr="001B283D">
        <w:rPr>
          <w:lang w:val="fr-FR"/>
        </w:rPr>
        <w:t xml:space="preserve"> du CAJ</w:t>
      </w:r>
      <w:r w:rsidR="00A27C5B" w:rsidRPr="001B283D">
        <w:rPr>
          <w:lang w:val="fr-FR"/>
        </w:rPr>
        <w:noBreakHyphen/>
      </w:r>
      <w:r w:rsidRPr="001B283D">
        <w:rPr>
          <w:lang w:val="fr-FR"/>
        </w:rPr>
        <w:t>AG</w:t>
      </w:r>
    </w:p>
    <w:p w:rsidR="00886826" w:rsidRPr="001B283D" w:rsidRDefault="00886826" w:rsidP="00F919CF">
      <w:pPr>
        <w:keepNext/>
        <w:rPr>
          <w:lang w:val="fr-FR"/>
        </w:rPr>
      </w:pPr>
    </w:p>
    <w:p w:rsidR="00886826" w:rsidRPr="001B283D" w:rsidRDefault="00886826" w:rsidP="00F919CF">
      <w:pPr>
        <w:tabs>
          <w:tab w:val="left" w:pos="567"/>
        </w:tabs>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À sa soixante</w:t>
      </w:r>
      <w:r w:rsidR="00A27C5B" w:rsidRPr="001B283D">
        <w:rPr>
          <w:lang w:val="fr-FR"/>
        </w:rPr>
        <w:noBreakHyphen/>
      </w:r>
      <w:r w:rsidRPr="001B283D">
        <w:rPr>
          <w:lang w:val="fr-FR"/>
        </w:rPr>
        <w:t>dixième session, tenue à Genève le 13 octobre 2014,</w:t>
      </w:r>
      <w:r w:rsidR="00894570" w:rsidRPr="001B283D">
        <w:rPr>
          <w:lang w:val="fr-FR"/>
        </w:rPr>
        <w:t xml:space="preserve"> le CAJ</w:t>
      </w:r>
      <w:r w:rsidRPr="001B283D">
        <w:rPr>
          <w:lang w:val="fr-FR"/>
        </w:rPr>
        <w:t xml:space="preserve"> a prié le CAJ</w:t>
      </w:r>
      <w:r w:rsidR="00A27C5B" w:rsidRPr="001B283D">
        <w:rPr>
          <w:lang w:val="fr-FR"/>
        </w:rPr>
        <w:noBreakHyphen/>
      </w:r>
      <w:r w:rsidRPr="001B283D">
        <w:rPr>
          <w:lang w:val="fr-FR"/>
        </w:rPr>
        <w:t>AG de lui indiquer, à sa neuvième session, les documents qu</w:t>
      </w:r>
      <w:r w:rsidR="00894570" w:rsidRPr="001B283D">
        <w:rPr>
          <w:lang w:val="fr-FR"/>
        </w:rPr>
        <w:t>’</w:t>
      </w:r>
      <w:r w:rsidRPr="001B283D">
        <w:rPr>
          <w:lang w:val="fr-FR"/>
        </w:rPr>
        <w:t>il aura à examiner à sa soixante et onzième session, en mars 2015.</w:t>
      </w:r>
    </w:p>
    <w:p w:rsidR="00886826" w:rsidRPr="001B283D" w:rsidRDefault="00886826" w:rsidP="00F919CF">
      <w:pPr>
        <w:tabs>
          <w:tab w:val="left" w:pos="567"/>
        </w:tabs>
        <w:rPr>
          <w:lang w:val="fr-FR"/>
        </w:rPr>
      </w:pPr>
    </w:p>
    <w:p w:rsidR="00894570" w:rsidRPr="001B283D" w:rsidRDefault="00886826" w:rsidP="00F919CF">
      <w:pPr>
        <w:tabs>
          <w:tab w:val="left" w:pos="567"/>
        </w:tabs>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À cet égard,</w:t>
      </w:r>
      <w:r w:rsidR="00894570" w:rsidRPr="001B283D">
        <w:rPr>
          <w:lang w:val="fr-FR"/>
        </w:rPr>
        <w:t xml:space="preserve"> le</w:t>
      </w:r>
      <w:r w:rsidR="00062ED8" w:rsidRPr="001B283D">
        <w:rPr>
          <w:lang w:val="fr-FR"/>
        </w:rPr>
        <w:t xml:space="preserve"> </w:t>
      </w:r>
      <w:r w:rsidR="00894570" w:rsidRPr="001B283D">
        <w:rPr>
          <w:lang w:val="fr-FR"/>
        </w:rPr>
        <w:t>CAJ</w:t>
      </w:r>
      <w:r w:rsidR="00A27C5B" w:rsidRPr="001B283D">
        <w:rPr>
          <w:lang w:val="fr-FR"/>
        </w:rPr>
        <w:noBreakHyphen/>
      </w:r>
      <w:r w:rsidRPr="001B283D">
        <w:rPr>
          <w:lang w:val="fr-FR"/>
        </w:rPr>
        <w:t>AG a donné les conseils suivants pour ce qui est des points</w:t>
      </w:r>
      <w:r w:rsidR="00F2415E" w:rsidRPr="001B283D">
        <w:rPr>
          <w:lang w:val="fr-FR"/>
        </w:rPr>
        <w:t> </w:t>
      </w:r>
      <w:r w:rsidRPr="001B283D">
        <w:rPr>
          <w:lang w:val="fr-FR"/>
        </w:rPr>
        <w:t xml:space="preserve">4 </w:t>
      </w:r>
      <w:r w:rsidR="00062ED8" w:rsidRPr="001B283D">
        <w:rPr>
          <w:lang w:val="fr-FR"/>
        </w:rPr>
        <w:t>“</w:t>
      </w:r>
      <w:r w:rsidRPr="001B283D">
        <w:rPr>
          <w:kern w:val="28"/>
          <w:lang w:val="fr-FR"/>
        </w:rPr>
        <w:t>Élaboration de matériel d</w:t>
      </w:r>
      <w:r w:rsidR="00894570" w:rsidRPr="001B283D">
        <w:rPr>
          <w:kern w:val="28"/>
          <w:lang w:val="fr-FR"/>
        </w:rPr>
        <w:t>’</w:t>
      </w:r>
      <w:r w:rsidRPr="001B283D">
        <w:rPr>
          <w:kern w:val="28"/>
          <w:lang w:val="fr-FR"/>
        </w:rPr>
        <w:t xml:space="preserve">information sur la </w:t>
      </w:r>
      <w:r w:rsidR="00894570" w:rsidRPr="001B283D">
        <w:rPr>
          <w:kern w:val="28"/>
          <w:lang w:val="fr-FR"/>
        </w:rPr>
        <w:t>Convention UPOV</w:t>
      </w:r>
      <w:r w:rsidRPr="001B283D">
        <w:rPr>
          <w:kern w:val="28"/>
          <w:lang w:val="fr-FR"/>
        </w:rPr>
        <w:t>” et</w:t>
      </w:r>
      <w:r w:rsidRPr="001B283D">
        <w:rPr>
          <w:lang w:val="fr-FR"/>
        </w:rPr>
        <w:t xml:space="preserve"> 7 “Dé</w:t>
      </w:r>
      <w:r w:rsidRPr="001B283D">
        <w:rPr>
          <w:kern w:val="28"/>
          <w:lang w:val="fr-FR"/>
        </w:rPr>
        <w:t>nominations variétales”</w:t>
      </w:r>
      <w:r w:rsidR="00062ED8" w:rsidRPr="001B283D">
        <w:rPr>
          <w:lang w:val="fr-FR"/>
        </w:rPr>
        <w:t xml:space="preserve"> de la soixante </w:t>
      </w:r>
      <w:r w:rsidRPr="001B283D">
        <w:rPr>
          <w:lang w:val="fr-FR"/>
        </w:rPr>
        <w:t>et</w:t>
      </w:r>
      <w:r w:rsidR="00062ED8" w:rsidRPr="001B283D">
        <w:rPr>
          <w:lang w:val="fr-FR"/>
        </w:rPr>
        <w:t> </w:t>
      </w:r>
      <w:r w:rsidRPr="001B283D">
        <w:rPr>
          <w:lang w:val="fr-FR"/>
        </w:rPr>
        <w:t>onzième</w:t>
      </w:r>
      <w:r w:rsidR="00F2415E" w:rsidRPr="001B283D">
        <w:rPr>
          <w:lang w:val="fr-FR"/>
        </w:rPr>
        <w:t> </w:t>
      </w:r>
      <w:r w:rsidRPr="001B283D">
        <w:rPr>
          <w:lang w:val="fr-FR"/>
        </w:rPr>
        <w:t>session</w:t>
      </w:r>
      <w:r w:rsidR="00894570" w:rsidRPr="001B283D">
        <w:rPr>
          <w:lang w:val="fr-FR"/>
        </w:rPr>
        <w:t xml:space="preserve"> du CAJ</w:t>
      </w:r>
      <w:r w:rsidR="00F2415E" w:rsidRPr="001B283D">
        <w:rPr>
          <w:lang w:val="fr-FR"/>
        </w:rPr>
        <w:t> </w:t>
      </w:r>
      <w:r w:rsidRPr="001B283D">
        <w:rPr>
          <w:lang w:val="fr-FR"/>
        </w:rPr>
        <w:t>:</w:t>
      </w:r>
    </w:p>
    <w:p w:rsidR="00886826" w:rsidRPr="001B283D" w:rsidRDefault="00886826" w:rsidP="00F919CF">
      <w:pPr>
        <w:tabs>
          <w:tab w:val="left" w:pos="567"/>
        </w:tabs>
        <w:rPr>
          <w:lang w:val="fr-FR"/>
        </w:rPr>
      </w:pPr>
    </w:p>
    <w:p w:rsidR="00886826" w:rsidRPr="001B283D" w:rsidRDefault="00886826" w:rsidP="00390790">
      <w:pPr>
        <w:tabs>
          <w:tab w:val="left" w:pos="567"/>
        </w:tabs>
        <w:ind w:left="1134" w:right="567" w:hanging="567"/>
        <w:rPr>
          <w:kern w:val="28"/>
          <w:lang w:val="fr-FR"/>
        </w:rPr>
      </w:pPr>
      <w:r w:rsidRPr="001B283D">
        <w:rPr>
          <w:kern w:val="28"/>
          <w:lang w:val="fr-FR"/>
        </w:rPr>
        <w:t>4.</w:t>
      </w:r>
      <w:r w:rsidRPr="001B283D">
        <w:rPr>
          <w:kern w:val="28"/>
          <w:lang w:val="fr-FR"/>
        </w:rPr>
        <w:tab/>
        <w:t>Élaboration de matériel d</w:t>
      </w:r>
      <w:r w:rsidR="00894570" w:rsidRPr="001B283D">
        <w:rPr>
          <w:kern w:val="28"/>
          <w:lang w:val="fr-FR"/>
        </w:rPr>
        <w:t>’</w:t>
      </w:r>
      <w:r w:rsidRPr="001B283D">
        <w:rPr>
          <w:kern w:val="28"/>
          <w:lang w:val="fr-FR"/>
        </w:rPr>
        <w:t xml:space="preserve">information sur la </w:t>
      </w:r>
      <w:r w:rsidR="00894570" w:rsidRPr="001B283D">
        <w:rPr>
          <w:kern w:val="28"/>
          <w:lang w:val="fr-FR"/>
        </w:rPr>
        <w:t>Convention UPOV</w:t>
      </w:r>
      <w:r w:rsidRPr="001B283D">
        <w:rPr>
          <w:kern w:val="28"/>
          <w:lang w:val="fr-FR"/>
        </w:rPr>
        <w:t xml:space="preserve"> (documents CAJ/71/2 et CAJ</w:t>
      </w:r>
      <w:r w:rsidR="00A27C5B" w:rsidRPr="001B283D">
        <w:rPr>
          <w:kern w:val="28"/>
          <w:lang w:val="fr-FR"/>
        </w:rPr>
        <w:noBreakHyphen/>
      </w:r>
      <w:r w:rsidRPr="001B283D">
        <w:rPr>
          <w:kern w:val="28"/>
          <w:lang w:val="fr-FR"/>
        </w:rPr>
        <w:t>AG/14/9/7 “Compte rendu”)</w:t>
      </w:r>
    </w:p>
    <w:p w:rsidR="00886826" w:rsidRPr="001B283D" w:rsidRDefault="00886826" w:rsidP="00390790">
      <w:pPr>
        <w:ind w:left="1134" w:right="567" w:hanging="567"/>
        <w:rPr>
          <w:lang w:val="fr-FR"/>
        </w:rPr>
      </w:pPr>
    </w:p>
    <w:p w:rsidR="00886826" w:rsidRPr="001B283D" w:rsidRDefault="00886826" w:rsidP="00390790">
      <w:pPr>
        <w:ind w:left="1701" w:right="567" w:hanging="567"/>
        <w:rPr>
          <w:strike/>
          <w:lang w:val="fr-FR"/>
        </w:rPr>
      </w:pPr>
      <w:r w:rsidRPr="001B283D">
        <w:rPr>
          <w:lang w:val="fr-FR"/>
        </w:rPr>
        <w:t>a)</w:t>
      </w:r>
      <w:r w:rsidRPr="001B283D">
        <w:rPr>
          <w:lang w:val="fr-FR"/>
        </w:rPr>
        <w:tab/>
        <w:t>Notes explicatives sur les variétés essentiellement dérivées selon l</w:t>
      </w:r>
      <w:r w:rsidR="00894570" w:rsidRPr="001B283D">
        <w:rPr>
          <w:lang w:val="fr-FR"/>
        </w:rPr>
        <w:t>’</w:t>
      </w:r>
      <w:r w:rsidRPr="001B283D">
        <w:rPr>
          <w:lang w:val="fr-FR"/>
        </w:rPr>
        <w:t xml:space="preserve">Acte de 1991 de la </w:t>
      </w:r>
      <w:r w:rsidR="00894570" w:rsidRPr="001B283D">
        <w:rPr>
          <w:lang w:val="fr-FR"/>
        </w:rPr>
        <w:t>Convention UPOV</w:t>
      </w:r>
      <w:r w:rsidRPr="001B283D">
        <w:rPr>
          <w:lang w:val="fr-FR"/>
        </w:rPr>
        <w:t xml:space="preserve"> (Révision) (</w:t>
      </w:r>
      <w:r w:rsidRPr="001B283D">
        <w:rPr>
          <w:kern w:val="28"/>
          <w:lang w:val="fr-FR"/>
        </w:rPr>
        <w:t>document CAJ/71/2</w:t>
      </w:r>
      <w:r w:rsidR="00F2415E" w:rsidRPr="001B283D">
        <w:rPr>
          <w:kern w:val="28"/>
          <w:lang w:val="fr-FR"/>
        </w:rPr>
        <w:t> </w:t>
      </w:r>
      <w:r w:rsidRPr="001B283D">
        <w:rPr>
          <w:kern w:val="28"/>
          <w:lang w:val="fr-FR"/>
        </w:rPr>
        <w:t>: marche à suivre proposée en vue de l</w:t>
      </w:r>
      <w:r w:rsidR="00894570" w:rsidRPr="001B283D">
        <w:rPr>
          <w:kern w:val="28"/>
          <w:lang w:val="fr-FR"/>
        </w:rPr>
        <w:t>’</w:t>
      </w:r>
      <w:r w:rsidRPr="001B283D">
        <w:rPr>
          <w:kern w:val="28"/>
          <w:lang w:val="fr-FR"/>
        </w:rPr>
        <w:t>examen d</w:t>
      </w:r>
      <w:r w:rsidR="00894570" w:rsidRPr="001B283D">
        <w:rPr>
          <w:kern w:val="28"/>
          <w:lang w:val="fr-FR"/>
        </w:rPr>
        <w:t>’</w:t>
      </w:r>
      <w:r w:rsidRPr="001B283D">
        <w:rPr>
          <w:kern w:val="28"/>
          <w:lang w:val="fr-FR"/>
        </w:rPr>
        <w:t>un nouveau projet de document UPOV/EXN/EDV/2</w:t>
      </w:r>
      <w:r w:rsidR="00894570" w:rsidRPr="001B283D">
        <w:rPr>
          <w:kern w:val="28"/>
          <w:lang w:val="fr-FR"/>
        </w:rPr>
        <w:t xml:space="preserve"> au CAJ</w:t>
      </w:r>
      <w:r w:rsidRPr="001B283D">
        <w:rPr>
          <w:kern w:val="28"/>
          <w:lang w:val="fr-FR"/>
        </w:rPr>
        <w:t xml:space="preserve"> en </w:t>
      </w:r>
      <w:r w:rsidR="00894570" w:rsidRPr="001B283D">
        <w:rPr>
          <w:kern w:val="28"/>
          <w:lang w:val="fr-FR"/>
        </w:rPr>
        <w:t>octobre 20</w:t>
      </w:r>
      <w:r w:rsidRPr="001B283D">
        <w:rPr>
          <w:kern w:val="28"/>
          <w:lang w:val="fr-FR"/>
        </w:rPr>
        <w:t>15</w:t>
      </w:r>
      <w:r w:rsidRPr="001B283D">
        <w:rPr>
          <w:lang w:val="fr-FR"/>
        </w:rPr>
        <w:t>)</w:t>
      </w:r>
    </w:p>
    <w:p w:rsidR="00886826" w:rsidRPr="001B283D" w:rsidRDefault="00886826" w:rsidP="00390790">
      <w:pPr>
        <w:ind w:left="1134" w:right="567" w:hanging="567"/>
        <w:rPr>
          <w:strike/>
          <w:lang w:val="fr-FR"/>
        </w:rPr>
      </w:pPr>
    </w:p>
    <w:p w:rsidR="00886826" w:rsidRPr="001B283D" w:rsidRDefault="00886826" w:rsidP="00390790">
      <w:pPr>
        <w:ind w:left="1701" w:right="567" w:hanging="567"/>
        <w:rPr>
          <w:lang w:val="fr-FR"/>
        </w:rPr>
      </w:pPr>
      <w:r w:rsidRPr="001B283D">
        <w:rPr>
          <w:lang w:val="fr-FR"/>
        </w:rPr>
        <w:t>b)</w:t>
      </w:r>
      <w:r w:rsidRPr="001B283D">
        <w:rPr>
          <w:lang w:val="fr-FR"/>
        </w:rPr>
        <w:tab/>
        <w:t xml:space="preserve">Notes explicatives sur le matériel de reproduction ou de multiplication selon la </w:t>
      </w:r>
      <w:r w:rsidR="00894570" w:rsidRPr="001B283D">
        <w:rPr>
          <w:lang w:val="fr-FR"/>
        </w:rPr>
        <w:t>Convention UPOV</w:t>
      </w:r>
      <w:r w:rsidRPr="001B283D">
        <w:rPr>
          <w:lang w:val="fr-FR"/>
        </w:rPr>
        <w:t xml:space="preserve"> (</w:t>
      </w:r>
      <w:r w:rsidR="00894570" w:rsidRPr="001B283D">
        <w:rPr>
          <w:lang w:val="fr-FR"/>
        </w:rPr>
        <w:t>document UP</w:t>
      </w:r>
      <w:r w:rsidRPr="001B283D">
        <w:rPr>
          <w:lang w:val="fr-FR"/>
        </w:rPr>
        <w:t>OV/EXN/PPM/1 Draft 4)</w:t>
      </w:r>
    </w:p>
    <w:p w:rsidR="00886826" w:rsidRPr="001B283D" w:rsidRDefault="00886826" w:rsidP="00390790">
      <w:pPr>
        <w:ind w:left="1701" w:right="567" w:hanging="567"/>
        <w:rPr>
          <w:lang w:val="fr-FR"/>
        </w:rPr>
      </w:pPr>
    </w:p>
    <w:p w:rsidR="00886826" w:rsidRPr="001B283D" w:rsidRDefault="00886826" w:rsidP="00390790">
      <w:pPr>
        <w:ind w:left="1701" w:right="567" w:hanging="567"/>
        <w:rPr>
          <w:kern w:val="28"/>
          <w:lang w:val="fr-FR"/>
        </w:rPr>
      </w:pPr>
      <w:r w:rsidRPr="001B283D">
        <w:rPr>
          <w:lang w:val="fr-FR"/>
        </w:rPr>
        <w:t>c)</w:t>
      </w:r>
      <w:r w:rsidRPr="001B283D">
        <w:rPr>
          <w:lang w:val="fr-FR"/>
        </w:rPr>
        <w:tab/>
        <w:t xml:space="preserve">Notes explicatives sur les actes </w:t>
      </w:r>
      <w:r w:rsidR="00894570" w:rsidRPr="001B283D">
        <w:rPr>
          <w:lang w:val="fr-FR"/>
        </w:rPr>
        <w:t>à l’égard</w:t>
      </w:r>
      <w:r w:rsidRPr="001B283D">
        <w:rPr>
          <w:lang w:val="fr-FR"/>
        </w:rPr>
        <w:t xml:space="preserve"> du produit de la récolte selon l</w:t>
      </w:r>
      <w:r w:rsidR="00894570" w:rsidRPr="001B283D">
        <w:rPr>
          <w:lang w:val="fr-FR"/>
        </w:rPr>
        <w:t>’</w:t>
      </w:r>
      <w:r w:rsidRPr="001B283D">
        <w:rPr>
          <w:lang w:val="fr-FR"/>
        </w:rPr>
        <w:t xml:space="preserve">Acte de 1991 de la </w:t>
      </w:r>
      <w:r w:rsidR="00894570" w:rsidRPr="001B283D">
        <w:rPr>
          <w:lang w:val="fr-FR"/>
        </w:rPr>
        <w:t>Convention UPOV</w:t>
      </w:r>
      <w:r w:rsidRPr="001B283D">
        <w:rPr>
          <w:lang w:val="fr-FR"/>
        </w:rPr>
        <w:t xml:space="preserve"> (Révision) </w:t>
      </w:r>
      <w:r w:rsidRPr="001B283D">
        <w:rPr>
          <w:kern w:val="28"/>
          <w:lang w:val="fr-FR"/>
        </w:rPr>
        <w:t>(document CAJ/71/2</w:t>
      </w:r>
      <w:r w:rsidR="00F2415E" w:rsidRPr="001B283D">
        <w:rPr>
          <w:kern w:val="28"/>
          <w:lang w:val="fr-FR"/>
        </w:rPr>
        <w:t> </w:t>
      </w:r>
      <w:r w:rsidR="00062ED8" w:rsidRPr="001B283D">
        <w:rPr>
          <w:kern w:val="28"/>
          <w:lang w:val="fr-FR"/>
        </w:rPr>
        <w:t xml:space="preserve">: </w:t>
      </w:r>
      <w:r w:rsidRPr="001B283D">
        <w:rPr>
          <w:kern w:val="28"/>
          <w:lang w:val="fr-FR"/>
        </w:rPr>
        <w:t>proposition</w:t>
      </w:r>
      <w:r w:rsidR="00894570" w:rsidRPr="001B283D">
        <w:rPr>
          <w:kern w:val="28"/>
          <w:lang w:val="fr-FR"/>
        </w:rPr>
        <w:t xml:space="preserve"> du </w:t>
      </w:r>
      <w:r w:rsidR="00894570" w:rsidRPr="001B283D">
        <w:rPr>
          <w:lang w:val="fr-FR"/>
        </w:rPr>
        <w:t>CAJ</w:t>
      </w:r>
      <w:r w:rsidR="00A27C5B" w:rsidRPr="001B283D">
        <w:rPr>
          <w:lang w:val="fr-FR"/>
        </w:rPr>
        <w:noBreakHyphen/>
      </w:r>
      <w:r w:rsidRPr="001B283D">
        <w:rPr>
          <w:lang w:val="fr-FR"/>
        </w:rPr>
        <w:t>AG d</w:t>
      </w:r>
      <w:r w:rsidR="00894570" w:rsidRPr="001B283D">
        <w:rPr>
          <w:lang w:val="fr-FR"/>
        </w:rPr>
        <w:t>’</w:t>
      </w:r>
      <w:r w:rsidRPr="001B283D">
        <w:rPr>
          <w:lang w:val="fr-FR"/>
        </w:rPr>
        <w:t>arrêter l</w:t>
      </w:r>
      <w:r w:rsidR="00894570" w:rsidRPr="001B283D">
        <w:rPr>
          <w:lang w:val="fr-FR"/>
        </w:rPr>
        <w:t>’</w:t>
      </w:r>
      <w:r w:rsidRPr="001B283D">
        <w:rPr>
          <w:lang w:val="fr-FR"/>
        </w:rPr>
        <w:t>élaboration d</w:t>
      </w:r>
      <w:r w:rsidR="00894570" w:rsidRPr="001B283D">
        <w:rPr>
          <w:lang w:val="fr-FR"/>
        </w:rPr>
        <w:t>’</w:t>
      </w:r>
      <w:r w:rsidRPr="001B283D">
        <w:rPr>
          <w:lang w:val="fr-FR"/>
        </w:rPr>
        <w:t>une révision du document UPOV/EXN/HRV/1</w:t>
      </w:r>
      <w:r w:rsidRPr="001B283D">
        <w:rPr>
          <w:kern w:val="28"/>
          <w:lang w:val="fr-FR"/>
        </w:rPr>
        <w:t>)</w:t>
      </w:r>
    </w:p>
    <w:p w:rsidR="00886826" w:rsidRPr="001B283D" w:rsidRDefault="00886826" w:rsidP="00390790">
      <w:pPr>
        <w:ind w:left="1701" w:right="567" w:hanging="567"/>
        <w:rPr>
          <w:kern w:val="28"/>
          <w:lang w:val="fr-FR"/>
        </w:rPr>
      </w:pPr>
    </w:p>
    <w:p w:rsidR="00886826" w:rsidRPr="001B283D" w:rsidRDefault="00886826" w:rsidP="00390790">
      <w:pPr>
        <w:ind w:left="1701" w:right="567" w:hanging="567"/>
        <w:rPr>
          <w:lang w:val="fr-FR"/>
        </w:rPr>
      </w:pPr>
      <w:r w:rsidRPr="001B283D">
        <w:rPr>
          <w:kern w:val="28"/>
          <w:lang w:val="fr-FR"/>
        </w:rPr>
        <w:t>d)</w:t>
      </w:r>
      <w:r w:rsidRPr="001B283D">
        <w:rPr>
          <w:kern w:val="28"/>
          <w:lang w:val="fr-FR"/>
        </w:rPr>
        <w:tab/>
        <w:t>Notes explicatives sur la déchéance de l</w:t>
      </w:r>
      <w:r w:rsidR="00894570" w:rsidRPr="001B283D">
        <w:rPr>
          <w:kern w:val="28"/>
          <w:lang w:val="fr-FR"/>
        </w:rPr>
        <w:t>’</w:t>
      </w:r>
      <w:r w:rsidRPr="001B283D">
        <w:rPr>
          <w:kern w:val="28"/>
          <w:lang w:val="fr-FR"/>
        </w:rPr>
        <w:t xml:space="preserve">obtenteur selon la </w:t>
      </w:r>
      <w:r w:rsidR="00894570" w:rsidRPr="001B283D">
        <w:rPr>
          <w:kern w:val="28"/>
          <w:lang w:val="fr-FR"/>
        </w:rPr>
        <w:t>Convention UPOV</w:t>
      </w:r>
      <w:r w:rsidRPr="001B283D">
        <w:rPr>
          <w:kern w:val="28"/>
          <w:lang w:val="fr-FR"/>
        </w:rPr>
        <w:t xml:space="preserve"> (document UPOV/EXN/CAN/2 (Révision) </w:t>
      </w:r>
      <w:r w:rsidRPr="001B283D">
        <w:rPr>
          <w:lang w:val="fr-FR"/>
        </w:rPr>
        <w:t>(</w:t>
      </w:r>
      <w:r w:rsidR="00894570" w:rsidRPr="001B283D">
        <w:rPr>
          <w:lang w:val="fr-FR"/>
        </w:rPr>
        <w:t>document UP</w:t>
      </w:r>
      <w:r w:rsidRPr="001B283D">
        <w:rPr>
          <w:lang w:val="fr-FR"/>
        </w:rPr>
        <w:t>OV/EXN/CAN/2 Draft 3)</w:t>
      </w:r>
    </w:p>
    <w:p w:rsidR="00886826" w:rsidRPr="001B283D" w:rsidRDefault="00886826" w:rsidP="00390790">
      <w:pPr>
        <w:ind w:left="1701" w:right="567" w:hanging="567"/>
        <w:rPr>
          <w:lang w:val="fr-FR"/>
        </w:rPr>
      </w:pPr>
    </w:p>
    <w:p w:rsidR="00886826" w:rsidRPr="001B283D" w:rsidRDefault="00886826" w:rsidP="0069681C">
      <w:pPr>
        <w:ind w:left="1701" w:right="567" w:hanging="567"/>
        <w:rPr>
          <w:lang w:val="fr-FR"/>
        </w:rPr>
      </w:pPr>
      <w:r w:rsidRPr="001B283D">
        <w:rPr>
          <w:lang w:val="fr-FR"/>
        </w:rPr>
        <w:t>e)</w:t>
      </w:r>
      <w:r w:rsidRPr="001B283D">
        <w:rPr>
          <w:lang w:val="fr-FR"/>
        </w:rPr>
        <w:tab/>
        <w:t>Notes explicatives sur la nullité du droit d</w:t>
      </w:r>
      <w:r w:rsidR="00894570" w:rsidRPr="001B283D">
        <w:rPr>
          <w:lang w:val="fr-FR"/>
        </w:rPr>
        <w:t>’</w:t>
      </w:r>
      <w:r w:rsidRPr="001B283D">
        <w:rPr>
          <w:lang w:val="fr-FR"/>
        </w:rPr>
        <w:t xml:space="preserve">obtenteur selon la </w:t>
      </w:r>
      <w:r w:rsidR="00894570" w:rsidRPr="001B283D">
        <w:rPr>
          <w:lang w:val="fr-FR"/>
        </w:rPr>
        <w:t>Convention UPOV</w:t>
      </w:r>
      <w:r w:rsidRPr="001B283D">
        <w:rPr>
          <w:lang w:val="fr-FR"/>
        </w:rPr>
        <w:t xml:space="preserve"> </w:t>
      </w:r>
      <w:r w:rsidR="00062ED8" w:rsidRPr="001B283D">
        <w:rPr>
          <w:lang w:val="fr-FR"/>
        </w:rPr>
        <w:t xml:space="preserve">(Révision) </w:t>
      </w:r>
      <w:r w:rsidRPr="001B283D">
        <w:rPr>
          <w:lang w:val="fr-FR"/>
        </w:rPr>
        <w:t>(document UPOV/EXN/NUL/2</w:t>
      </w:r>
      <w:r w:rsidR="00062ED8" w:rsidRPr="001B283D">
        <w:rPr>
          <w:lang w:val="fr-FR"/>
        </w:rPr>
        <w:t> Draft </w:t>
      </w:r>
      <w:r w:rsidRPr="001B283D">
        <w:rPr>
          <w:lang w:val="fr-FR"/>
        </w:rPr>
        <w:t>3)</w:t>
      </w:r>
    </w:p>
    <w:p w:rsidR="00886826" w:rsidRPr="001B283D" w:rsidRDefault="00886826" w:rsidP="00390790">
      <w:pPr>
        <w:ind w:left="1701" w:right="567" w:hanging="567"/>
        <w:rPr>
          <w:lang w:val="fr-FR"/>
        </w:rPr>
      </w:pPr>
    </w:p>
    <w:p w:rsidR="00886826" w:rsidRPr="001B283D" w:rsidRDefault="00886826" w:rsidP="00390790">
      <w:pPr>
        <w:ind w:left="1701" w:right="567" w:hanging="567"/>
        <w:rPr>
          <w:kern w:val="28"/>
          <w:lang w:val="fr-FR"/>
        </w:rPr>
      </w:pPr>
      <w:r w:rsidRPr="001B283D">
        <w:rPr>
          <w:lang w:val="fr-FR"/>
        </w:rPr>
        <w:t>f)</w:t>
      </w:r>
      <w:r w:rsidRPr="001B283D">
        <w:rPr>
          <w:lang w:val="fr-FR"/>
        </w:rPr>
        <w:tab/>
        <w:t xml:space="preserve">Questions concernant les descriptions variétales </w:t>
      </w:r>
      <w:r w:rsidRPr="001B283D">
        <w:rPr>
          <w:kern w:val="28"/>
          <w:lang w:val="fr-FR"/>
        </w:rPr>
        <w:t>(document CAJ/71/2</w:t>
      </w:r>
      <w:r w:rsidR="00F2415E" w:rsidRPr="001B283D">
        <w:rPr>
          <w:kern w:val="28"/>
          <w:lang w:val="fr-FR"/>
        </w:rPr>
        <w:t> </w:t>
      </w:r>
      <w:r w:rsidRPr="001B283D">
        <w:rPr>
          <w:kern w:val="28"/>
          <w:lang w:val="fr-FR"/>
        </w:rPr>
        <w:t xml:space="preserve">: présenter la </w:t>
      </w:r>
      <w:r w:rsidRPr="001B283D">
        <w:rPr>
          <w:lang w:val="fr-FR"/>
        </w:rPr>
        <w:t>conclusion du CAJ</w:t>
      </w:r>
      <w:r w:rsidR="00A27C5B" w:rsidRPr="001B283D">
        <w:rPr>
          <w:lang w:val="fr-FR"/>
        </w:rPr>
        <w:noBreakHyphen/>
      </w:r>
      <w:r w:rsidRPr="001B283D">
        <w:rPr>
          <w:lang w:val="fr-FR"/>
        </w:rPr>
        <w:t>AG</w:t>
      </w:r>
      <w:r w:rsidRPr="001B283D">
        <w:rPr>
          <w:kern w:val="28"/>
          <w:lang w:val="fr-FR"/>
        </w:rPr>
        <w:t>)</w:t>
      </w:r>
    </w:p>
    <w:p w:rsidR="00886826" w:rsidRPr="001B283D" w:rsidRDefault="00886826" w:rsidP="00390790">
      <w:pPr>
        <w:ind w:left="1701" w:right="567" w:hanging="567"/>
        <w:rPr>
          <w:kern w:val="28"/>
          <w:lang w:val="fr-FR"/>
        </w:rPr>
      </w:pPr>
    </w:p>
    <w:p w:rsidR="00886826" w:rsidRPr="001B283D" w:rsidRDefault="00886826" w:rsidP="0069681C">
      <w:pPr>
        <w:ind w:left="1701" w:right="567" w:hanging="567"/>
        <w:rPr>
          <w:lang w:val="fr-FR"/>
        </w:rPr>
      </w:pPr>
      <w:r w:rsidRPr="001B283D">
        <w:rPr>
          <w:lang w:val="fr-FR"/>
        </w:rPr>
        <w:t>g)</w:t>
      </w:r>
      <w:r w:rsidRPr="001B283D">
        <w:rPr>
          <w:lang w:val="fr-FR"/>
        </w:rPr>
        <w:tab/>
        <w:t xml:space="preserve">Notes explicatives sur la protection provisoire selon la </w:t>
      </w:r>
      <w:r w:rsidR="00894570" w:rsidRPr="001B283D">
        <w:rPr>
          <w:lang w:val="fr-FR"/>
        </w:rPr>
        <w:t>Convention UPOV</w:t>
      </w:r>
      <w:r w:rsidRPr="001B283D">
        <w:rPr>
          <w:lang w:val="fr-FR"/>
        </w:rPr>
        <w:t xml:space="preserve"> (Révision) (document UPOV/EXN/PRP/2</w:t>
      </w:r>
      <w:r w:rsidR="00062ED8" w:rsidRPr="001B283D">
        <w:rPr>
          <w:lang w:val="fr-FR"/>
        </w:rPr>
        <w:t> Draft </w:t>
      </w:r>
      <w:r w:rsidRPr="001B283D">
        <w:rPr>
          <w:lang w:val="fr-FR"/>
        </w:rPr>
        <w:t>3)</w:t>
      </w:r>
    </w:p>
    <w:p w:rsidR="00886826" w:rsidRPr="001B283D" w:rsidRDefault="00886826" w:rsidP="00390790">
      <w:pPr>
        <w:ind w:left="1134" w:right="567" w:hanging="567"/>
        <w:rPr>
          <w:kern w:val="28"/>
          <w:lang w:val="fr-FR"/>
        </w:rPr>
      </w:pPr>
    </w:p>
    <w:p w:rsidR="00886826" w:rsidRPr="001B283D" w:rsidRDefault="00A27C5B" w:rsidP="0069681C">
      <w:pPr>
        <w:ind w:left="1134" w:right="567" w:hanging="567"/>
        <w:rPr>
          <w:kern w:val="28"/>
          <w:lang w:val="fr-FR"/>
        </w:rPr>
      </w:pPr>
      <w:r w:rsidRPr="001B283D">
        <w:rPr>
          <w:kern w:val="28"/>
          <w:lang w:val="fr-FR"/>
        </w:rPr>
        <w:t>7.</w:t>
      </w:r>
      <w:r w:rsidR="00886826" w:rsidRPr="001B283D">
        <w:rPr>
          <w:kern w:val="28"/>
          <w:lang w:val="fr-FR"/>
        </w:rPr>
        <w:tab/>
        <w:t>Dénominations variétales (document CAJ/71/3)</w:t>
      </w:r>
    </w:p>
    <w:p w:rsidR="00886826" w:rsidRPr="001B283D" w:rsidRDefault="00886826" w:rsidP="00390790">
      <w:pPr>
        <w:ind w:left="1701" w:right="567" w:hanging="567"/>
        <w:rPr>
          <w:kern w:val="28"/>
          <w:lang w:val="fr-FR"/>
        </w:rPr>
      </w:pPr>
    </w:p>
    <w:p w:rsidR="00886826" w:rsidRPr="001B283D" w:rsidRDefault="00886826" w:rsidP="00390790">
      <w:pPr>
        <w:ind w:left="1134" w:right="567"/>
        <w:rPr>
          <w:strike/>
          <w:lang w:val="fr-FR"/>
        </w:rPr>
      </w:pPr>
      <w:r w:rsidRPr="001B283D">
        <w:rPr>
          <w:lang w:val="fr-FR"/>
        </w:rPr>
        <w:t xml:space="preserve">Notes explicatives concernant les dénominations variétales selon la </w:t>
      </w:r>
      <w:r w:rsidR="00894570" w:rsidRPr="001B283D">
        <w:rPr>
          <w:lang w:val="fr-FR"/>
        </w:rPr>
        <w:t>Convention UPOV</w:t>
      </w:r>
      <w:r w:rsidRPr="001B283D">
        <w:rPr>
          <w:lang w:val="fr-FR"/>
        </w:rPr>
        <w:t xml:space="preserve"> (révision) (le </w:t>
      </w:r>
      <w:r w:rsidRPr="001B283D">
        <w:rPr>
          <w:kern w:val="28"/>
          <w:lang w:val="fr-FR"/>
        </w:rPr>
        <w:t>CAJ sera invité à envisager un plan pour la révision du document UPOV/INF/12/5</w:t>
      </w:r>
      <w:r w:rsidRPr="001B283D">
        <w:rPr>
          <w:lang w:val="fr-FR"/>
        </w:rPr>
        <w:t>)</w:t>
      </w:r>
    </w:p>
    <w:p w:rsidR="00886826" w:rsidRPr="001B283D" w:rsidRDefault="00886826" w:rsidP="00F919CF">
      <w:pPr>
        <w:ind w:left="567" w:hanging="567"/>
        <w:rPr>
          <w:lang w:val="fr-FR"/>
        </w:rPr>
      </w:pPr>
    </w:p>
    <w:p w:rsidR="00886826" w:rsidRPr="001B283D" w:rsidRDefault="00886826" w:rsidP="00C86AE3">
      <w:pPr>
        <w:pStyle w:val="DecisionParagraphs"/>
        <w:rPr>
          <w:lang w:val="fr-FR"/>
        </w:rPr>
      </w:pPr>
      <w:r w:rsidRPr="001B283D">
        <w:rPr>
          <w:lang w:val="fr-FR"/>
        </w:rPr>
        <w:fldChar w:fldCharType="begin"/>
      </w:r>
      <w:r w:rsidRPr="001B283D">
        <w:rPr>
          <w:lang w:val="fr-FR"/>
        </w:rPr>
        <w:instrText xml:space="preserve"> AUTONUM  </w:instrText>
      </w:r>
      <w:r w:rsidRPr="001B283D">
        <w:rPr>
          <w:lang w:val="fr-FR"/>
        </w:rPr>
        <w:fldChar w:fldCharType="end"/>
      </w:r>
      <w:r w:rsidRPr="001B283D">
        <w:rPr>
          <w:lang w:val="fr-FR"/>
        </w:rPr>
        <w:tab/>
        <w:t>Le CAJ</w:t>
      </w:r>
      <w:r w:rsidR="00A27C5B" w:rsidRPr="001B283D">
        <w:rPr>
          <w:lang w:val="fr-FR"/>
        </w:rPr>
        <w:noBreakHyphen/>
      </w:r>
      <w:r w:rsidRPr="001B283D">
        <w:rPr>
          <w:lang w:val="fr-FR"/>
        </w:rPr>
        <w:t xml:space="preserve">AG adopte le présent </w:t>
      </w:r>
      <w:r w:rsidR="00880777">
        <w:rPr>
          <w:lang w:val="fr-FR"/>
        </w:rPr>
        <w:t xml:space="preserve">compte rendu </w:t>
      </w:r>
      <w:r w:rsidRPr="001B283D">
        <w:rPr>
          <w:lang w:val="fr-FR"/>
        </w:rPr>
        <w:t>au terme de sa session</w:t>
      </w:r>
      <w:r w:rsidR="00880777">
        <w:rPr>
          <w:lang w:val="fr-FR"/>
        </w:rPr>
        <w:t>,</w:t>
      </w:r>
      <w:r w:rsidRPr="001B283D">
        <w:rPr>
          <w:lang w:val="fr-FR"/>
        </w:rPr>
        <w:t xml:space="preserve"> le 1</w:t>
      </w:r>
      <w:r w:rsidR="00894570" w:rsidRPr="001B283D">
        <w:rPr>
          <w:lang w:val="fr-FR"/>
        </w:rPr>
        <w:t>7 octobre 20</w:t>
      </w:r>
      <w:r w:rsidRPr="001B283D">
        <w:rPr>
          <w:lang w:val="fr-FR"/>
        </w:rPr>
        <w:t>14.</w:t>
      </w:r>
    </w:p>
    <w:p w:rsidR="00886826" w:rsidRPr="001B283D" w:rsidRDefault="00886826">
      <w:pPr>
        <w:jc w:val="left"/>
        <w:rPr>
          <w:lang w:val="fr-FR"/>
        </w:rPr>
      </w:pPr>
    </w:p>
    <w:p w:rsidR="00886826" w:rsidRPr="001B283D" w:rsidRDefault="00886826">
      <w:pPr>
        <w:jc w:val="left"/>
        <w:rPr>
          <w:lang w:val="fr-FR"/>
        </w:rPr>
      </w:pPr>
    </w:p>
    <w:p w:rsidR="00886826" w:rsidRPr="001B283D" w:rsidRDefault="00886826">
      <w:pPr>
        <w:jc w:val="left"/>
        <w:rPr>
          <w:lang w:val="fr-FR"/>
        </w:rPr>
      </w:pPr>
    </w:p>
    <w:p w:rsidR="00886826" w:rsidRPr="001B283D" w:rsidRDefault="00886826" w:rsidP="00117858">
      <w:pPr>
        <w:ind w:left="567" w:hanging="567"/>
        <w:jc w:val="right"/>
        <w:rPr>
          <w:lang w:val="fr-FR"/>
        </w:rPr>
      </w:pPr>
      <w:r w:rsidRPr="001B283D">
        <w:rPr>
          <w:lang w:val="fr-FR"/>
        </w:rPr>
        <w:t>[L</w:t>
      </w:r>
      <w:r w:rsidR="00894570" w:rsidRPr="001B283D">
        <w:rPr>
          <w:lang w:val="fr-FR"/>
        </w:rPr>
        <w:t>’</w:t>
      </w:r>
      <w:r w:rsidRPr="001B283D">
        <w:rPr>
          <w:lang w:val="fr-FR"/>
        </w:rPr>
        <w:t>annexe suit]</w:t>
      </w:r>
    </w:p>
    <w:p w:rsidR="00886826" w:rsidRPr="001B283D" w:rsidRDefault="00886826" w:rsidP="007429B5">
      <w:pPr>
        <w:rPr>
          <w:lang w:val="fr-FR"/>
        </w:rPr>
      </w:pPr>
    </w:p>
    <w:p w:rsidR="001B283D" w:rsidRDefault="001B283D" w:rsidP="007429B5">
      <w:pPr>
        <w:rPr>
          <w:lang w:val="fr-FR"/>
        </w:rPr>
        <w:sectPr w:rsidR="001B283D" w:rsidSect="00D539E8">
          <w:headerReference w:type="default" r:id="rId11"/>
          <w:pgSz w:w="11907" w:h="16840" w:code="9"/>
          <w:pgMar w:top="510" w:right="1134" w:bottom="1134" w:left="1134" w:header="510" w:footer="680" w:gutter="0"/>
          <w:pgNumType w:start="1"/>
          <w:cols w:space="720"/>
          <w:titlePg/>
        </w:sectPr>
      </w:pPr>
    </w:p>
    <w:p w:rsidR="001B283D" w:rsidRPr="0052102F" w:rsidRDefault="001B283D" w:rsidP="001B283D">
      <w:pPr>
        <w:jc w:val="center"/>
        <w:rPr>
          <w:lang w:val="fr-FR"/>
        </w:rPr>
      </w:pPr>
      <w:r w:rsidRPr="0052102F">
        <w:rPr>
          <w:lang w:val="fr-FR"/>
        </w:rPr>
        <w:lastRenderedPageBreak/>
        <w:t>CAJ-AG/1</w:t>
      </w:r>
      <w:r>
        <w:rPr>
          <w:lang w:val="fr-FR"/>
        </w:rPr>
        <w:t>4</w:t>
      </w:r>
      <w:r w:rsidRPr="0052102F">
        <w:rPr>
          <w:lang w:val="fr-FR"/>
        </w:rPr>
        <w:t>/</w:t>
      </w:r>
      <w:r>
        <w:rPr>
          <w:lang w:val="fr-FR"/>
        </w:rPr>
        <w:t>9</w:t>
      </w:r>
      <w:r w:rsidRPr="0052102F">
        <w:rPr>
          <w:lang w:val="fr-FR"/>
        </w:rPr>
        <w:t>/</w:t>
      </w:r>
      <w:r>
        <w:rPr>
          <w:lang w:val="fr-FR"/>
        </w:rPr>
        <w:t>6</w:t>
      </w:r>
    </w:p>
    <w:p w:rsidR="001B283D" w:rsidRPr="0052102F" w:rsidRDefault="001B283D" w:rsidP="001B283D">
      <w:pPr>
        <w:jc w:val="center"/>
        <w:rPr>
          <w:lang w:val="fr-FR"/>
        </w:rPr>
      </w:pPr>
    </w:p>
    <w:p w:rsidR="001B283D" w:rsidRPr="0052102F" w:rsidRDefault="001B283D" w:rsidP="001B283D">
      <w:pPr>
        <w:jc w:val="center"/>
        <w:rPr>
          <w:lang w:val="fr-FR"/>
        </w:rPr>
      </w:pPr>
      <w:r w:rsidRPr="0052102F">
        <w:rPr>
          <w:lang w:val="fr-FR"/>
        </w:rPr>
        <w:t>ANNEXE / ANNEX / ANLAGE / ANEXO</w:t>
      </w:r>
    </w:p>
    <w:p w:rsidR="001B283D" w:rsidRDefault="001B283D" w:rsidP="001B283D">
      <w:pPr>
        <w:jc w:val="center"/>
        <w:rPr>
          <w:lang w:val="fr-FR"/>
        </w:rPr>
      </w:pPr>
    </w:p>
    <w:p w:rsidR="001B283D" w:rsidRPr="0052102F" w:rsidRDefault="001B283D" w:rsidP="001B283D">
      <w:pPr>
        <w:jc w:val="center"/>
        <w:rPr>
          <w:lang w:val="fr-FR"/>
        </w:rPr>
      </w:pPr>
    </w:p>
    <w:p w:rsidR="001B283D" w:rsidRPr="00722730" w:rsidRDefault="001B283D" w:rsidP="001B283D">
      <w:pPr>
        <w:jc w:val="center"/>
        <w:rPr>
          <w:lang w:val="fr-FR"/>
        </w:rPr>
      </w:pPr>
      <w:r w:rsidRPr="00722730">
        <w:rPr>
          <w:lang w:val="fr-FR"/>
        </w:rPr>
        <w:t>LISTE DES PARTICIPANTS / LIST OF PARTICIPANTS /</w:t>
      </w:r>
    </w:p>
    <w:p w:rsidR="001B283D" w:rsidRDefault="001B283D" w:rsidP="001B283D">
      <w:pPr>
        <w:jc w:val="center"/>
        <w:rPr>
          <w:lang w:val="fr-FR"/>
        </w:rPr>
      </w:pPr>
      <w:r w:rsidRPr="00722730">
        <w:rPr>
          <w:lang w:val="fr-FR"/>
        </w:rPr>
        <w:t>TEILNEHMERLISTE / LISTA DE PARTICIPANTES</w:t>
      </w:r>
    </w:p>
    <w:p w:rsidR="001B283D" w:rsidRPr="0052102F" w:rsidRDefault="001B283D" w:rsidP="001B283D">
      <w:pPr>
        <w:jc w:val="center"/>
        <w:rPr>
          <w:lang w:val="fr-FR"/>
        </w:rPr>
      </w:pPr>
    </w:p>
    <w:p w:rsidR="001B283D" w:rsidRPr="0052102F" w:rsidRDefault="001B283D" w:rsidP="001B283D">
      <w:pPr>
        <w:jc w:val="center"/>
        <w:rPr>
          <w:lang w:val="fr-FR"/>
        </w:rPr>
      </w:pPr>
      <w:r w:rsidRPr="0052102F">
        <w:rPr>
          <w:lang w:val="fr-FR"/>
        </w:rPr>
        <w:t>(dans l’ordre alphabétique des noms français des membres/</w:t>
      </w:r>
    </w:p>
    <w:p w:rsidR="001B283D" w:rsidRPr="0052102F" w:rsidRDefault="001B283D" w:rsidP="001B283D">
      <w:pPr>
        <w:jc w:val="center"/>
      </w:pPr>
      <w:r w:rsidRPr="0052102F">
        <w:t>in the alphabetical order of the names in French of the members/</w:t>
      </w:r>
    </w:p>
    <w:p w:rsidR="001B283D" w:rsidRPr="0052102F" w:rsidRDefault="001B283D" w:rsidP="001B283D">
      <w:pPr>
        <w:jc w:val="center"/>
        <w:rPr>
          <w:lang w:val="de-CH"/>
        </w:rPr>
      </w:pPr>
      <w:r w:rsidRPr="0052102F">
        <w:rPr>
          <w:lang w:val="de-CH"/>
        </w:rPr>
        <w:t>in alphabetischer Reihenfolge der französischen Namen der Mitglieder/</w:t>
      </w:r>
    </w:p>
    <w:p w:rsidR="001B283D" w:rsidRPr="0052102F" w:rsidRDefault="001B283D" w:rsidP="001B283D">
      <w:pPr>
        <w:jc w:val="center"/>
        <w:rPr>
          <w:lang w:val="es-ES"/>
        </w:rPr>
      </w:pPr>
      <w:r w:rsidRPr="0052102F">
        <w:rPr>
          <w:lang w:val="es-ES"/>
        </w:rPr>
        <w:t>por orden alfabético de los nombres en francés de los miembros)</w:t>
      </w:r>
    </w:p>
    <w:p w:rsidR="001B283D" w:rsidRPr="0052102F" w:rsidRDefault="001B283D" w:rsidP="001B283D">
      <w:pPr>
        <w:jc w:val="center"/>
        <w:rPr>
          <w:lang w:val="es-ES"/>
        </w:rPr>
      </w:pPr>
    </w:p>
    <w:p w:rsidR="001B283D" w:rsidRDefault="001B283D" w:rsidP="001B283D">
      <w:pPr>
        <w:jc w:val="center"/>
        <w:rPr>
          <w:lang w:val="de-CH"/>
        </w:rPr>
      </w:pPr>
    </w:p>
    <w:p w:rsidR="001B283D" w:rsidRPr="0052102F" w:rsidRDefault="001B283D" w:rsidP="001B283D">
      <w:pPr>
        <w:jc w:val="center"/>
        <w:rPr>
          <w:lang w:val="de-CH"/>
        </w:rPr>
      </w:pPr>
    </w:p>
    <w:p w:rsidR="001B283D" w:rsidRPr="00AC0DE9" w:rsidRDefault="001B283D" w:rsidP="001B283D">
      <w:pPr>
        <w:jc w:val="center"/>
        <w:rPr>
          <w:u w:val="single"/>
          <w:lang w:val="de-CH"/>
        </w:rPr>
      </w:pPr>
      <w:r w:rsidRPr="00AC0DE9">
        <w:rPr>
          <w:lang w:val="de-CH"/>
        </w:rPr>
        <w:t>I.</w:t>
      </w:r>
      <w:r w:rsidRPr="00AC0DE9">
        <w:rPr>
          <w:lang w:val="de-CH"/>
        </w:rPr>
        <w:tab/>
      </w:r>
      <w:r w:rsidRPr="00AC0DE9">
        <w:rPr>
          <w:u w:val="single"/>
          <w:lang w:val="de-CH"/>
        </w:rPr>
        <w:t>MEMBRES / MEMBERS / VERBANDSMITGLIEDER / MIEMBROS</w:t>
      </w:r>
    </w:p>
    <w:p w:rsidR="001B283D" w:rsidRPr="00E73C16" w:rsidRDefault="001B283D" w:rsidP="001B283D">
      <w:pPr>
        <w:jc w:val="center"/>
        <w:rPr>
          <w:lang w:val="de-CH"/>
        </w:rPr>
      </w:pPr>
    </w:p>
    <w:p w:rsidR="001B283D" w:rsidRPr="00E73C16" w:rsidRDefault="001B283D" w:rsidP="001B283D">
      <w:pPr>
        <w:widowControl w:val="0"/>
        <w:tabs>
          <w:tab w:val="left" w:pos="90"/>
        </w:tabs>
        <w:autoSpaceDE w:val="0"/>
        <w:autoSpaceDN w:val="0"/>
        <w:rPr>
          <w:color w:val="000000"/>
          <w:u w:val="single"/>
          <w:lang w:val="de-CH"/>
        </w:rPr>
      </w:pPr>
      <w:r w:rsidRPr="00E73C16">
        <w:rPr>
          <w:color w:val="000000"/>
          <w:u w:val="single"/>
          <w:lang w:val="de-CH"/>
        </w:rPr>
        <w:t>AFRIQUE DU SUD / SOUTH AFRICA / SÜDAFRIKA / SUDÁFRICA</w:t>
      </w:r>
    </w:p>
    <w:p w:rsidR="001B283D" w:rsidRPr="00E73C16" w:rsidRDefault="001B283D" w:rsidP="001B283D">
      <w:pPr>
        <w:widowControl w:val="0"/>
        <w:tabs>
          <w:tab w:val="left" w:pos="90"/>
        </w:tabs>
        <w:autoSpaceDE w:val="0"/>
        <w:autoSpaceDN w:val="0"/>
        <w:rPr>
          <w:color w:val="000000"/>
          <w:u w:val="single"/>
          <w:lang w:val="de-CH"/>
        </w:rPr>
      </w:pPr>
    </w:p>
    <w:p w:rsidR="001B283D" w:rsidRPr="00E73C16" w:rsidRDefault="001B283D" w:rsidP="001B283D">
      <w:pPr>
        <w:widowControl w:val="0"/>
        <w:tabs>
          <w:tab w:val="left" w:pos="90"/>
        </w:tabs>
        <w:autoSpaceDE w:val="0"/>
        <w:autoSpaceDN w:val="0"/>
        <w:rPr>
          <w:color w:val="000000"/>
          <w:lang w:val="de-CH"/>
        </w:rPr>
      </w:pPr>
      <w:r w:rsidRPr="00E73C16">
        <w:rPr>
          <w:color w:val="000000"/>
          <w:lang w:val="de-CH"/>
        </w:rPr>
        <w:t xml:space="preserve">Noluthando NETNOU-NKOANA (Mrs.), Director of Genetic Resources, Directorate: Genetic </w:t>
      </w:r>
    </w:p>
    <w:p w:rsidR="001B283D" w:rsidRDefault="001B283D" w:rsidP="001B283D">
      <w:pPr>
        <w:widowControl w:val="0"/>
        <w:tabs>
          <w:tab w:val="left" w:pos="90"/>
        </w:tabs>
        <w:autoSpaceDE w:val="0"/>
        <w:autoSpaceDN w:val="0"/>
        <w:rPr>
          <w:color w:val="000000"/>
        </w:rPr>
      </w:pPr>
      <w:r w:rsidRPr="00AC0DE9">
        <w:rPr>
          <w:color w:val="000000"/>
        </w:rPr>
        <w:t xml:space="preserve">Resources, Department of Agriculture, Forestry and Fisheries, Pretoria (e-mail: noluthandon@daff.gov.za)  </w:t>
      </w:r>
    </w:p>
    <w:p w:rsidR="001B283D" w:rsidRDefault="001B283D" w:rsidP="001B283D">
      <w:pPr>
        <w:widowControl w:val="0"/>
        <w:tabs>
          <w:tab w:val="left" w:pos="90"/>
        </w:tabs>
        <w:autoSpaceDE w:val="0"/>
        <w:autoSpaceDN w:val="0"/>
        <w:rPr>
          <w:color w:val="000000"/>
        </w:rPr>
      </w:pPr>
    </w:p>
    <w:p w:rsidR="001B283D" w:rsidRPr="00171A61" w:rsidRDefault="001B283D" w:rsidP="001B283D">
      <w:pPr>
        <w:widowControl w:val="0"/>
        <w:tabs>
          <w:tab w:val="left" w:pos="90"/>
        </w:tabs>
        <w:autoSpaceDE w:val="0"/>
        <w:autoSpaceDN w:val="0"/>
        <w:rPr>
          <w:color w:val="000000"/>
        </w:rPr>
      </w:pPr>
      <w:r w:rsidRPr="00171A61">
        <w:rPr>
          <w:color w:val="000000"/>
        </w:rPr>
        <w:t>Lentheng TSWAI, Minister, Permanent Mission of South Africa, Geneva, Switzerland</w:t>
      </w:r>
    </w:p>
    <w:p w:rsidR="001B283D" w:rsidRDefault="001B283D" w:rsidP="001B283D">
      <w:pPr>
        <w:widowControl w:val="0"/>
        <w:tabs>
          <w:tab w:val="left" w:pos="90"/>
        </w:tabs>
        <w:autoSpaceDE w:val="0"/>
        <w:autoSpaceDN w:val="0"/>
        <w:rPr>
          <w:color w:val="000000"/>
        </w:rPr>
      </w:pPr>
      <w:r w:rsidRPr="00171A61">
        <w:rPr>
          <w:color w:val="000000"/>
        </w:rPr>
        <w:t>(e-mail: tsweni.agriculture@gmail.com)</w:t>
      </w:r>
    </w:p>
    <w:p w:rsidR="001B283D" w:rsidRDefault="001B283D" w:rsidP="001B283D">
      <w:pPr>
        <w:widowControl w:val="0"/>
        <w:tabs>
          <w:tab w:val="left" w:pos="90"/>
        </w:tabs>
        <w:autoSpaceDE w:val="0"/>
        <w:autoSpaceDN w:val="0"/>
        <w:rPr>
          <w:color w:val="000000"/>
        </w:rPr>
      </w:pPr>
    </w:p>
    <w:p w:rsidR="001B283D" w:rsidRPr="00AC0DE9" w:rsidRDefault="001B283D" w:rsidP="001B283D">
      <w:pPr>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u w:val="single"/>
        </w:rPr>
      </w:pPr>
      <w:r w:rsidRPr="00AC0DE9">
        <w:rPr>
          <w:color w:val="000000"/>
          <w:u w:val="single"/>
        </w:rPr>
        <w:t>ALLEMAGNE / GERMANY / DEUTSCHLAND / ALEMANIA</w:t>
      </w:r>
    </w:p>
    <w:p w:rsidR="001B283D" w:rsidRPr="00AC0DE9" w:rsidRDefault="001B283D" w:rsidP="001B283D">
      <w:pPr>
        <w:widowControl w:val="0"/>
        <w:tabs>
          <w:tab w:val="left" w:pos="90"/>
        </w:tabs>
        <w:autoSpaceDE w:val="0"/>
        <w:autoSpaceDN w:val="0"/>
        <w:rPr>
          <w:color w:val="000000"/>
          <w:u w:val="single"/>
        </w:rPr>
      </w:pPr>
    </w:p>
    <w:p w:rsidR="001B283D" w:rsidRPr="00AC0DE9" w:rsidRDefault="001B283D" w:rsidP="001B283D">
      <w:pPr>
        <w:widowControl w:val="0"/>
        <w:tabs>
          <w:tab w:val="left" w:pos="90"/>
        </w:tabs>
        <w:autoSpaceDE w:val="0"/>
        <w:autoSpaceDN w:val="0"/>
        <w:rPr>
          <w:color w:val="000000"/>
        </w:rPr>
      </w:pPr>
      <w:r w:rsidRPr="00AC0DE9">
        <w:rPr>
          <w:color w:val="000000"/>
        </w:rPr>
        <w:t xml:space="preserve">Barbara SOHNEMANN (Frau), Justiziarin, Leiterin, Rechtsangelegenheiten, Sortenverwaltung, </w:t>
      </w:r>
    </w:p>
    <w:p w:rsidR="001B283D" w:rsidRPr="00AC0DE9" w:rsidRDefault="001B283D" w:rsidP="001B283D">
      <w:pPr>
        <w:widowControl w:val="0"/>
        <w:tabs>
          <w:tab w:val="left" w:pos="90"/>
        </w:tabs>
        <w:autoSpaceDE w:val="0"/>
        <w:autoSpaceDN w:val="0"/>
        <w:rPr>
          <w:color w:val="000000"/>
        </w:rPr>
      </w:pPr>
      <w:r w:rsidRPr="00AC0DE9">
        <w:rPr>
          <w:color w:val="000000"/>
        </w:rPr>
        <w:t xml:space="preserve">Gebühren, Bundessortenamt, Hannover (e-mail: barbara.sohnemann@bundessortenamt.de) </w:t>
      </w:r>
    </w:p>
    <w:p w:rsidR="001B283D" w:rsidRPr="00AC0DE9" w:rsidRDefault="001B283D" w:rsidP="001B283D">
      <w:pPr>
        <w:widowControl w:val="0"/>
        <w:tabs>
          <w:tab w:val="left" w:pos="90"/>
        </w:tabs>
        <w:autoSpaceDE w:val="0"/>
        <w:autoSpaceDN w:val="0"/>
        <w:rPr>
          <w:color w:val="000000"/>
        </w:rPr>
      </w:pPr>
      <w:r w:rsidRPr="00AC0DE9">
        <w:rPr>
          <w:color w:val="000000"/>
        </w:rPr>
        <w:t xml:space="preserve"> </w:t>
      </w:r>
    </w:p>
    <w:p w:rsidR="001B283D" w:rsidRPr="00E73C16" w:rsidRDefault="001B283D" w:rsidP="001B283D">
      <w:pPr>
        <w:widowControl w:val="0"/>
        <w:tabs>
          <w:tab w:val="left" w:pos="90"/>
        </w:tabs>
        <w:autoSpaceDE w:val="0"/>
        <w:autoSpaceDN w:val="0"/>
        <w:rPr>
          <w:color w:val="000000"/>
          <w:u w:val="single"/>
          <w:lang w:val="es-ES"/>
        </w:rPr>
      </w:pPr>
      <w:r w:rsidRPr="00E73C16">
        <w:rPr>
          <w:color w:val="000000"/>
          <w:u w:val="single"/>
          <w:lang w:val="es-ES"/>
        </w:rPr>
        <w:t>ARGENTINE / ARGENTINA / ARGENTINIEN / ARGENTINA</w:t>
      </w:r>
    </w:p>
    <w:p w:rsidR="001B283D" w:rsidRPr="00E73C16" w:rsidRDefault="001B283D" w:rsidP="001B283D">
      <w:pPr>
        <w:widowControl w:val="0"/>
        <w:tabs>
          <w:tab w:val="left" w:pos="90"/>
        </w:tabs>
        <w:autoSpaceDE w:val="0"/>
        <w:autoSpaceDN w:val="0"/>
        <w:rPr>
          <w:color w:val="000000"/>
          <w:lang w:val="es-ES"/>
        </w:rPr>
      </w:pPr>
    </w:p>
    <w:p w:rsidR="001B283D" w:rsidRPr="00E73C16" w:rsidRDefault="001B283D" w:rsidP="001B283D">
      <w:pPr>
        <w:widowControl w:val="0"/>
        <w:tabs>
          <w:tab w:val="left" w:pos="90"/>
        </w:tabs>
        <w:autoSpaceDE w:val="0"/>
        <w:autoSpaceDN w:val="0"/>
        <w:rPr>
          <w:color w:val="000000"/>
          <w:lang w:val="es-ES"/>
        </w:rPr>
      </w:pPr>
      <w:r w:rsidRPr="00E73C16">
        <w:rPr>
          <w:color w:val="000000"/>
          <w:lang w:val="es-ES"/>
        </w:rPr>
        <w:t xml:space="preserve">Raimundo LAVIGNOLLE, Presidente del directorio, Instituto Nacional de Semillas (INASE), Buenos Aires </w:t>
      </w:r>
    </w:p>
    <w:p w:rsidR="001B283D" w:rsidRPr="00E73C16" w:rsidRDefault="001B283D" w:rsidP="001B283D">
      <w:pPr>
        <w:widowControl w:val="0"/>
        <w:tabs>
          <w:tab w:val="left" w:pos="90"/>
        </w:tabs>
        <w:autoSpaceDE w:val="0"/>
        <w:autoSpaceDN w:val="0"/>
        <w:rPr>
          <w:color w:val="000000"/>
          <w:lang w:val="es-ES"/>
        </w:rPr>
      </w:pPr>
      <w:r w:rsidRPr="00E73C16">
        <w:rPr>
          <w:color w:val="000000"/>
          <w:lang w:val="es-ES"/>
        </w:rPr>
        <w:t xml:space="preserve">(e-mail: rlavignolle@inase.gov.ar)  </w:t>
      </w:r>
    </w:p>
    <w:p w:rsidR="001B283D" w:rsidRPr="00E73C16" w:rsidRDefault="001B283D" w:rsidP="001B283D">
      <w:pPr>
        <w:widowControl w:val="0"/>
        <w:tabs>
          <w:tab w:val="left" w:pos="90"/>
        </w:tabs>
        <w:autoSpaceDE w:val="0"/>
        <w:autoSpaceDN w:val="0"/>
        <w:rPr>
          <w:color w:val="000000"/>
          <w:lang w:val="es-ES"/>
        </w:rPr>
      </w:pPr>
    </w:p>
    <w:p w:rsidR="001B283D" w:rsidRPr="00E73C16" w:rsidRDefault="001B283D" w:rsidP="001B283D">
      <w:pPr>
        <w:widowControl w:val="0"/>
        <w:tabs>
          <w:tab w:val="left" w:pos="90"/>
        </w:tabs>
        <w:autoSpaceDE w:val="0"/>
        <w:autoSpaceDN w:val="0"/>
        <w:rPr>
          <w:color w:val="000000"/>
          <w:lang w:val="es-ES"/>
        </w:rPr>
      </w:pPr>
      <w:r w:rsidRPr="00E73C16">
        <w:rPr>
          <w:color w:val="000000"/>
          <w:lang w:val="es-ES"/>
        </w:rPr>
        <w:t xml:space="preserve">María Laura VILLAMAYOR (Ms.), Abogada, </w:t>
      </w:r>
      <w:r>
        <w:rPr>
          <w:color w:val="000000"/>
          <w:lang w:val="es-ES"/>
        </w:rPr>
        <w:t>Unidad Presidencia</w:t>
      </w:r>
      <w:r w:rsidRPr="00E73C16">
        <w:rPr>
          <w:color w:val="000000"/>
          <w:lang w:val="es-ES"/>
        </w:rPr>
        <w:t xml:space="preserve">, Instituto Nacional de Semillas (INASE), Buenos Aires (e-mail: mlvillamayor@inase.gov.ar)  </w:t>
      </w:r>
    </w:p>
    <w:p w:rsidR="001B283D" w:rsidRPr="00E73C16" w:rsidRDefault="001B283D" w:rsidP="001B283D">
      <w:pPr>
        <w:widowControl w:val="0"/>
        <w:tabs>
          <w:tab w:val="left" w:pos="90"/>
        </w:tabs>
        <w:autoSpaceDE w:val="0"/>
        <w:autoSpaceDN w:val="0"/>
        <w:rPr>
          <w:color w:val="000000"/>
          <w:lang w:val="es-ES"/>
        </w:rPr>
      </w:pPr>
    </w:p>
    <w:p w:rsidR="001B283D" w:rsidRPr="00E73C16" w:rsidRDefault="001B283D" w:rsidP="001B283D">
      <w:pPr>
        <w:keepNext/>
        <w:widowControl w:val="0"/>
        <w:tabs>
          <w:tab w:val="left" w:pos="90"/>
        </w:tabs>
        <w:autoSpaceDE w:val="0"/>
        <w:autoSpaceDN w:val="0"/>
        <w:rPr>
          <w:color w:val="000000"/>
          <w:u w:val="single"/>
          <w:lang w:val="es-ES"/>
        </w:rPr>
      </w:pPr>
      <w:r w:rsidRPr="00E73C16">
        <w:rPr>
          <w:color w:val="000000"/>
          <w:u w:val="single"/>
          <w:lang w:val="es-ES"/>
        </w:rPr>
        <w:t xml:space="preserve">BOLIVIE (ÉTAT PLURINATIONAL DE) / BOLIVIA (PLURINATIONAL STATE OF) / </w:t>
      </w:r>
    </w:p>
    <w:p w:rsidR="001B283D" w:rsidRPr="00E73C16" w:rsidRDefault="001B283D" w:rsidP="001B283D">
      <w:pPr>
        <w:keepNext/>
        <w:widowControl w:val="0"/>
        <w:tabs>
          <w:tab w:val="left" w:pos="90"/>
        </w:tabs>
        <w:autoSpaceDE w:val="0"/>
        <w:autoSpaceDN w:val="0"/>
        <w:rPr>
          <w:color w:val="000000"/>
          <w:u w:val="single"/>
          <w:lang w:val="es-ES"/>
        </w:rPr>
      </w:pPr>
      <w:r w:rsidRPr="00E73C16">
        <w:rPr>
          <w:color w:val="000000"/>
          <w:u w:val="single"/>
          <w:lang w:val="es-ES"/>
        </w:rPr>
        <w:t>BOLIVIEN (PLURINATIONALER STAAT) / BOLIVIA (ESTADO PLURINACIONAL DE)</w:t>
      </w:r>
    </w:p>
    <w:p w:rsidR="001B283D" w:rsidRPr="00E73C16" w:rsidRDefault="001B283D" w:rsidP="001B283D">
      <w:pPr>
        <w:keepNext/>
        <w:widowControl w:val="0"/>
        <w:tabs>
          <w:tab w:val="left" w:pos="90"/>
        </w:tabs>
        <w:autoSpaceDE w:val="0"/>
        <w:autoSpaceDN w:val="0"/>
        <w:rPr>
          <w:color w:val="000000"/>
          <w:lang w:val="es-ES"/>
        </w:rPr>
      </w:pPr>
    </w:p>
    <w:p w:rsidR="001B283D" w:rsidRPr="00E73C16" w:rsidRDefault="001B283D" w:rsidP="001B283D">
      <w:pPr>
        <w:keepNext/>
        <w:widowControl w:val="0"/>
        <w:tabs>
          <w:tab w:val="left" w:pos="90"/>
        </w:tabs>
        <w:autoSpaceDE w:val="0"/>
        <w:autoSpaceDN w:val="0"/>
        <w:rPr>
          <w:color w:val="000000"/>
          <w:lang w:val="es-ES"/>
        </w:rPr>
      </w:pPr>
      <w:r w:rsidRPr="00E73C16">
        <w:rPr>
          <w:color w:val="000000"/>
          <w:lang w:val="es-ES"/>
        </w:rPr>
        <w:t xml:space="preserve">Sergio Rider ANDRADE CÁCERES, Director Nacional de Semillas del INIAF, Instituto Nacional de Innovación Agropecuaria y Forestal (INIAF), La Paz (e-mail: rideran@yahoo.es)  </w:t>
      </w:r>
    </w:p>
    <w:p w:rsidR="001B283D" w:rsidRPr="00E73C16" w:rsidRDefault="001B283D" w:rsidP="001B283D">
      <w:pPr>
        <w:keepNext/>
        <w:widowControl w:val="0"/>
        <w:tabs>
          <w:tab w:val="left" w:pos="90"/>
        </w:tabs>
        <w:autoSpaceDE w:val="0"/>
        <w:autoSpaceDN w:val="0"/>
        <w:rPr>
          <w:color w:val="000000"/>
          <w:lang w:val="es-ES"/>
        </w:rPr>
      </w:pPr>
    </w:p>
    <w:p w:rsidR="001B283D" w:rsidRPr="00E73C16" w:rsidRDefault="001B283D" w:rsidP="001B283D">
      <w:pPr>
        <w:keepNext/>
        <w:widowControl w:val="0"/>
        <w:tabs>
          <w:tab w:val="left" w:pos="90"/>
        </w:tabs>
        <w:autoSpaceDE w:val="0"/>
        <w:autoSpaceDN w:val="0"/>
        <w:rPr>
          <w:color w:val="000000"/>
          <w:lang w:val="es-ES"/>
        </w:rPr>
      </w:pPr>
      <w:r w:rsidRPr="00E73C16">
        <w:rPr>
          <w:color w:val="000000"/>
          <w:lang w:val="es-ES"/>
        </w:rPr>
        <w:t xml:space="preserve">Freddy CABALLERO LEDEZMA, Ingeniero Agrónomo, Instituto Nacional de Innovación Agropecuaria y Forestal (INIAF), La Paz (e-mail: calefred@yahoo.es)  </w:t>
      </w:r>
    </w:p>
    <w:p w:rsidR="001B283D" w:rsidRPr="00E73C16" w:rsidRDefault="001B283D" w:rsidP="001B283D">
      <w:pPr>
        <w:keepNext/>
        <w:widowControl w:val="0"/>
        <w:tabs>
          <w:tab w:val="left" w:pos="90"/>
        </w:tabs>
        <w:autoSpaceDE w:val="0"/>
        <w:autoSpaceDN w:val="0"/>
        <w:rPr>
          <w:color w:val="000000"/>
          <w:lang w:val="es-ES"/>
        </w:rPr>
      </w:pPr>
    </w:p>
    <w:p w:rsidR="001B283D" w:rsidRPr="00E73C16" w:rsidRDefault="001B283D" w:rsidP="001B283D">
      <w:pPr>
        <w:widowControl w:val="0"/>
        <w:tabs>
          <w:tab w:val="left" w:pos="90"/>
        </w:tabs>
        <w:autoSpaceDE w:val="0"/>
        <w:autoSpaceDN w:val="0"/>
        <w:adjustRightInd w:val="0"/>
        <w:rPr>
          <w:color w:val="000000"/>
          <w:lang w:val="es-ES"/>
        </w:rPr>
      </w:pPr>
      <w:r w:rsidRPr="00E73C16">
        <w:rPr>
          <w:color w:val="000000"/>
          <w:lang w:val="es-ES"/>
        </w:rPr>
        <w:t>Martin Nelson CAZON ORTEGA, Ingeniero Agrónomo, Instituto Nacional de Innovación Agropecuaria y Forestal (INIAF)</w:t>
      </w:r>
    </w:p>
    <w:p w:rsidR="001B283D" w:rsidRPr="00E73C16" w:rsidRDefault="001B283D" w:rsidP="001B283D">
      <w:pPr>
        <w:keepNext/>
        <w:widowControl w:val="0"/>
        <w:tabs>
          <w:tab w:val="left" w:pos="90"/>
        </w:tabs>
        <w:autoSpaceDE w:val="0"/>
        <w:autoSpaceDN w:val="0"/>
        <w:rPr>
          <w:color w:val="000000"/>
          <w:lang w:val="es-ES"/>
        </w:rPr>
      </w:pPr>
    </w:p>
    <w:p w:rsidR="001B283D" w:rsidRPr="00E73C16" w:rsidRDefault="001B283D" w:rsidP="001B283D">
      <w:pPr>
        <w:keepNext/>
        <w:widowControl w:val="0"/>
        <w:tabs>
          <w:tab w:val="left" w:pos="90"/>
        </w:tabs>
        <w:autoSpaceDE w:val="0"/>
        <w:autoSpaceDN w:val="0"/>
        <w:rPr>
          <w:color w:val="000000"/>
          <w:lang w:val="es-ES"/>
        </w:rPr>
      </w:pPr>
      <w:r w:rsidRPr="00E73C16">
        <w:rPr>
          <w:color w:val="000000"/>
          <w:lang w:val="es-ES"/>
        </w:rPr>
        <w:t xml:space="preserve">Luis Fernando ROSALES LOZADA, Primer Secretario, Misión Permanente de Bolivia ante la Oficina de las Naciones Unidas en Ginebra, Ginebra (e-mail: fernando.rosales@bluewin.ch) </w:t>
      </w:r>
    </w:p>
    <w:p w:rsidR="001B283D" w:rsidRPr="00E73C16" w:rsidRDefault="001B283D" w:rsidP="001B283D">
      <w:pPr>
        <w:keepNext/>
        <w:widowControl w:val="0"/>
        <w:tabs>
          <w:tab w:val="left" w:pos="90"/>
        </w:tabs>
        <w:autoSpaceDE w:val="0"/>
        <w:autoSpaceDN w:val="0"/>
        <w:rPr>
          <w:color w:val="000000"/>
          <w:lang w:val="es-ES"/>
        </w:rPr>
      </w:pPr>
    </w:p>
    <w:p w:rsidR="001B283D" w:rsidRPr="00AC0DE9" w:rsidRDefault="001B283D" w:rsidP="001B283D">
      <w:pPr>
        <w:keepNext/>
        <w:widowControl w:val="0"/>
        <w:tabs>
          <w:tab w:val="left" w:pos="90"/>
        </w:tabs>
        <w:autoSpaceDE w:val="0"/>
        <w:autoSpaceDN w:val="0"/>
        <w:rPr>
          <w:color w:val="000000"/>
          <w:u w:val="single"/>
        </w:rPr>
      </w:pPr>
      <w:r w:rsidRPr="00AC0DE9">
        <w:rPr>
          <w:color w:val="000000"/>
          <w:u w:val="single"/>
        </w:rPr>
        <w:t>BRÉSIL / BRAZIL / BRASILIEN / BRASIL</w:t>
      </w:r>
    </w:p>
    <w:p w:rsidR="001B283D" w:rsidRDefault="001B283D" w:rsidP="001B283D">
      <w:pPr>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rPr>
      </w:pPr>
      <w:r w:rsidRPr="00AC0DE9">
        <w:rPr>
          <w:color w:val="000000"/>
        </w:rPr>
        <w:t xml:space="preserve">Fabrício SANTANA SANTOS, Coordinator, National Plant Variety Protection Office (SNPC), Ministry of Agriculture, Livestock and Food Supply, Brasilia (e-mail: fabricio.santos@agricultura.gov.br)  </w:t>
      </w:r>
    </w:p>
    <w:p w:rsidR="001B283D" w:rsidRDefault="001B283D" w:rsidP="001B283D">
      <w:pPr>
        <w:widowControl w:val="0"/>
        <w:tabs>
          <w:tab w:val="left" w:pos="90"/>
        </w:tabs>
        <w:autoSpaceDE w:val="0"/>
        <w:autoSpaceDN w:val="0"/>
        <w:rPr>
          <w:color w:val="000000"/>
        </w:rPr>
      </w:pPr>
    </w:p>
    <w:p w:rsidR="001B283D" w:rsidRPr="00030AE8" w:rsidRDefault="001B283D" w:rsidP="001B283D">
      <w:pPr>
        <w:widowControl w:val="0"/>
        <w:tabs>
          <w:tab w:val="left" w:pos="90"/>
        </w:tabs>
        <w:autoSpaceDE w:val="0"/>
        <w:autoSpaceDN w:val="0"/>
        <w:adjustRightInd w:val="0"/>
        <w:rPr>
          <w:color w:val="000000"/>
        </w:rPr>
      </w:pPr>
      <w:r w:rsidRPr="00030AE8">
        <w:rPr>
          <w:color w:val="000000"/>
        </w:rPr>
        <w:t>Cleiton SCHENKEL, First Secretary, Permanent Mission of Brazil to the World Trade Organization (WTO), Cointrin, Switzerland (e-mail: cleiton.schenkel@itamaraty.gov.br)</w:t>
      </w:r>
    </w:p>
    <w:p w:rsidR="001B283D" w:rsidRPr="00AC0DE9" w:rsidRDefault="001B283D" w:rsidP="001B283D">
      <w:pPr>
        <w:widowControl w:val="0"/>
        <w:tabs>
          <w:tab w:val="left" w:pos="90"/>
        </w:tabs>
        <w:autoSpaceDE w:val="0"/>
        <w:autoSpaceDN w:val="0"/>
        <w:rPr>
          <w:color w:val="000000"/>
        </w:rPr>
      </w:pPr>
    </w:p>
    <w:p w:rsidR="001B283D" w:rsidRPr="00AC0DE9" w:rsidRDefault="001B283D" w:rsidP="001B283D">
      <w:pPr>
        <w:keepNext/>
        <w:keepLines/>
        <w:widowControl w:val="0"/>
        <w:tabs>
          <w:tab w:val="left" w:pos="90"/>
        </w:tabs>
        <w:autoSpaceDE w:val="0"/>
        <w:autoSpaceDN w:val="0"/>
        <w:rPr>
          <w:color w:val="000000"/>
          <w:u w:val="single"/>
        </w:rPr>
      </w:pPr>
      <w:r w:rsidRPr="00AC0DE9">
        <w:rPr>
          <w:color w:val="000000"/>
          <w:u w:val="single"/>
        </w:rPr>
        <w:t>CANADA / KANADA / CANADÁ</w:t>
      </w:r>
    </w:p>
    <w:p w:rsidR="001B283D" w:rsidRDefault="001B283D" w:rsidP="001B283D">
      <w:pPr>
        <w:keepNext/>
        <w:keepLines/>
        <w:widowControl w:val="0"/>
        <w:tabs>
          <w:tab w:val="left" w:pos="90"/>
        </w:tabs>
        <w:autoSpaceDE w:val="0"/>
        <w:autoSpaceDN w:val="0"/>
        <w:rPr>
          <w:color w:val="000000"/>
        </w:rPr>
      </w:pPr>
    </w:p>
    <w:p w:rsidR="001B283D" w:rsidRPr="00AC0DE9" w:rsidRDefault="001B283D" w:rsidP="001B283D">
      <w:pPr>
        <w:keepLines/>
        <w:widowControl w:val="0"/>
        <w:tabs>
          <w:tab w:val="left" w:pos="90"/>
        </w:tabs>
        <w:autoSpaceDE w:val="0"/>
        <w:autoSpaceDN w:val="0"/>
        <w:rPr>
          <w:color w:val="000000"/>
        </w:rPr>
      </w:pPr>
      <w:r w:rsidRPr="00AC0DE9">
        <w:rPr>
          <w:color w:val="000000"/>
        </w:rPr>
        <w:t xml:space="preserve">Anthony PARKER, Commissioner, Plant Breeders' Rights Office, Canadian Food Inspection Agency (CFIA), Ottawa (e-mail: anthony.parker@inspection.gc.ca)  </w:t>
      </w:r>
    </w:p>
    <w:p w:rsidR="001B283D" w:rsidRPr="00AC0DE9" w:rsidRDefault="001B283D" w:rsidP="001B283D">
      <w:pPr>
        <w:keepLines/>
        <w:widowControl w:val="0"/>
        <w:tabs>
          <w:tab w:val="left" w:pos="90"/>
        </w:tabs>
        <w:autoSpaceDE w:val="0"/>
        <w:autoSpaceDN w:val="0"/>
        <w:rPr>
          <w:color w:val="000000"/>
        </w:rPr>
      </w:pPr>
    </w:p>
    <w:p w:rsidR="001B283D" w:rsidRPr="00E73C16" w:rsidRDefault="001B283D" w:rsidP="001B283D">
      <w:pPr>
        <w:keepNext/>
        <w:widowControl w:val="0"/>
        <w:tabs>
          <w:tab w:val="left" w:pos="90"/>
        </w:tabs>
        <w:autoSpaceDE w:val="0"/>
        <w:autoSpaceDN w:val="0"/>
        <w:rPr>
          <w:color w:val="000000"/>
          <w:u w:val="single"/>
          <w:lang w:val="es-ES"/>
        </w:rPr>
      </w:pPr>
      <w:r w:rsidRPr="00E73C16">
        <w:rPr>
          <w:color w:val="000000"/>
          <w:u w:val="single"/>
          <w:lang w:val="es-ES"/>
        </w:rPr>
        <w:t>CHILI / CHILE / CHILE / CHILE</w:t>
      </w:r>
    </w:p>
    <w:p w:rsidR="001B283D" w:rsidRPr="00E73C16" w:rsidRDefault="001B283D" w:rsidP="001B283D">
      <w:pPr>
        <w:keepNext/>
        <w:widowControl w:val="0"/>
        <w:tabs>
          <w:tab w:val="left" w:pos="90"/>
        </w:tabs>
        <w:autoSpaceDE w:val="0"/>
        <w:autoSpaceDN w:val="0"/>
        <w:rPr>
          <w:color w:val="000000"/>
          <w:u w:val="single"/>
          <w:lang w:val="es-ES"/>
        </w:rPr>
      </w:pPr>
    </w:p>
    <w:p w:rsidR="001B283D" w:rsidRPr="00E73C16" w:rsidRDefault="001B283D" w:rsidP="001B283D">
      <w:pPr>
        <w:keepNext/>
        <w:widowControl w:val="0"/>
        <w:tabs>
          <w:tab w:val="left" w:pos="90"/>
        </w:tabs>
        <w:autoSpaceDE w:val="0"/>
        <w:autoSpaceDN w:val="0"/>
        <w:rPr>
          <w:color w:val="000000"/>
          <w:lang w:val="es-ES"/>
        </w:rPr>
      </w:pPr>
      <w:r w:rsidRPr="00E73C16">
        <w:rPr>
          <w:color w:val="000000"/>
          <w:lang w:val="es-ES"/>
        </w:rPr>
        <w:t>Hugo MARTÍNEZ, Asesor Ministro de Agricultura, Santiago de Chile (e-mail: hugo.martinez@minagri.gob.cl)</w:t>
      </w:r>
    </w:p>
    <w:p w:rsidR="001B283D" w:rsidRPr="00E73C16" w:rsidRDefault="001B283D" w:rsidP="001B283D">
      <w:pPr>
        <w:keepNext/>
        <w:widowControl w:val="0"/>
        <w:tabs>
          <w:tab w:val="left" w:pos="90"/>
        </w:tabs>
        <w:autoSpaceDE w:val="0"/>
        <w:autoSpaceDN w:val="0"/>
        <w:rPr>
          <w:color w:val="000000"/>
          <w:lang w:val="es-ES"/>
        </w:rPr>
      </w:pPr>
    </w:p>
    <w:p w:rsidR="001B283D" w:rsidRPr="00E73C16" w:rsidRDefault="001B283D" w:rsidP="001B283D">
      <w:pPr>
        <w:keepNext/>
        <w:widowControl w:val="0"/>
        <w:tabs>
          <w:tab w:val="left" w:pos="90"/>
        </w:tabs>
        <w:autoSpaceDE w:val="0"/>
        <w:autoSpaceDN w:val="0"/>
        <w:rPr>
          <w:color w:val="000000"/>
          <w:lang w:val="es-ES"/>
        </w:rPr>
      </w:pPr>
      <w:r w:rsidRPr="00E73C16">
        <w:rPr>
          <w:color w:val="000000"/>
          <w:lang w:val="es-ES"/>
        </w:rPr>
        <w:t xml:space="preserve">Manuel TORO UGALDE, Jefe Subdepartamento, Registro de Variedades Protegidas, División Semillas, </w:t>
      </w:r>
    </w:p>
    <w:p w:rsidR="001B283D" w:rsidRPr="00E73C16" w:rsidRDefault="001B283D" w:rsidP="001B283D">
      <w:pPr>
        <w:keepNext/>
        <w:widowControl w:val="0"/>
        <w:tabs>
          <w:tab w:val="left" w:pos="90"/>
        </w:tabs>
        <w:autoSpaceDE w:val="0"/>
        <w:autoSpaceDN w:val="0"/>
        <w:rPr>
          <w:color w:val="000000"/>
          <w:lang w:val="es-ES"/>
        </w:rPr>
      </w:pPr>
      <w:r w:rsidRPr="00E73C16">
        <w:rPr>
          <w:color w:val="000000"/>
          <w:lang w:val="es-ES"/>
        </w:rPr>
        <w:t xml:space="preserve">Servicio Agrícola y Ganadero (SAG), Santiago de Chile (e-mail: manuel.toro@sag.gob.cl) </w:t>
      </w:r>
    </w:p>
    <w:p w:rsidR="001B283D" w:rsidRPr="00E73C16" w:rsidRDefault="001B283D" w:rsidP="001B283D">
      <w:pPr>
        <w:keepNext/>
        <w:widowControl w:val="0"/>
        <w:tabs>
          <w:tab w:val="left" w:pos="90"/>
        </w:tabs>
        <w:autoSpaceDE w:val="0"/>
        <w:autoSpaceDN w:val="0"/>
        <w:rPr>
          <w:color w:val="000000"/>
          <w:lang w:val="es-ES"/>
        </w:rPr>
      </w:pPr>
      <w:r w:rsidRPr="00E73C16">
        <w:rPr>
          <w:color w:val="000000"/>
          <w:lang w:val="es-ES"/>
        </w:rPr>
        <w:t xml:space="preserve"> </w:t>
      </w:r>
    </w:p>
    <w:p w:rsidR="001B283D" w:rsidRPr="00AC0DE9" w:rsidRDefault="001B283D" w:rsidP="001B283D">
      <w:pPr>
        <w:widowControl w:val="0"/>
        <w:tabs>
          <w:tab w:val="left" w:pos="90"/>
        </w:tabs>
        <w:autoSpaceDE w:val="0"/>
        <w:autoSpaceDN w:val="0"/>
        <w:rPr>
          <w:color w:val="000000"/>
          <w:u w:val="single"/>
        </w:rPr>
      </w:pPr>
      <w:r w:rsidRPr="00AC0DE9">
        <w:rPr>
          <w:color w:val="000000"/>
          <w:u w:val="single"/>
        </w:rPr>
        <w:t>CHINE / CHINA / CHINA / CHINA</w:t>
      </w:r>
    </w:p>
    <w:p w:rsidR="001B283D" w:rsidRDefault="001B283D" w:rsidP="001B283D">
      <w:pPr>
        <w:widowControl w:val="0"/>
        <w:tabs>
          <w:tab w:val="left" w:pos="90"/>
        </w:tabs>
        <w:autoSpaceDE w:val="0"/>
        <w:autoSpaceDN w:val="0"/>
        <w:rPr>
          <w:color w:val="000000"/>
        </w:rPr>
      </w:pPr>
    </w:p>
    <w:p w:rsidR="001B283D" w:rsidRPr="00AC0DE9" w:rsidRDefault="001B283D" w:rsidP="001B283D">
      <w:pPr>
        <w:widowControl w:val="0"/>
        <w:tabs>
          <w:tab w:val="left" w:pos="90"/>
        </w:tabs>
        <w:autoSpaceDE w:val="0"/>
        <w:autoSpaceDN w:val="0"/>
        <w:rPr>
          <w:color w:val="000000"/>
        </w:rPr>
      </w:pPr>
      <w:r w:rsidRPr="00AC0DE9">
        <w:rPr>
          <w:color w:val="000000"/>
        </w:rPr>
        <w:t xml:space="preserve">LV Bo, Division Director, Division of Variety Management, Bureau of Seed Management, Ministry of Agriculture, Beijing (e-mail: lvbo@agri.gov.cn)  </w:t>
      </w:r>
    </w:p>
    <w:p w:rsidR="001B283D" w:rsidRDefault="001B283D" w:rsidP="001B283D">
      <w:pPr>
        <w:widowControl w:val="0"/>
        <w:tabs>
          <w:tab w:val="left" w:pos="90"/>
        </w:tabs>
        <w:autoSpaceDE w:val="0"/>
        <w:autoSpaceDN w:val="0"/>
        <w:rPr>
          <w:color w:val="000000"/>
        </w:rPr>
      </w:pPr>
    </w:p>
    <w:p w:rsidR="001B283D" w:rsidRPr="00AC0DE9" w:rsidRDefault="001B283D" w:rsidP="001B283D">
      <w:pPr>
        <w:widowControl w:val="0"/>
        <w:tabs>
          <w:tab w:val="left" w:pos="90"/>
        </w:tabs>
        <w:autoSpaceDE w:val="0"/>
        <w:autoSpaceDN w:val="0"/>
        <w:rPr>
          <w:color w:val="000000"/>
        </w:rPr>
      </w:pPr>
      <w:r w:rsidRPr="00AC0DE9">
        <w:rPr>
          <w:color w:val="000000"/>
        </w:rPr>
        <w:t xml:space="preserve">HUANG Faji, Deputy Division Director, Office for the Protection of New Plant Varieties, State Forestry Administration, Beijing (e-mail: huangfaji@cnpvp.net)  </w:t>
      </w:r>
    </w:p>
    <w:p w:rsidR="001B283D" w:rsidRDefault="001B283D" w:rsidP="001B283D">
      <w:pPr>
        <w:widowControl w:val="0"/>
        <w:tabs>
          <w:tab w:val="left" w:pos="90"/>
        </w:tabs>
        <w:autoSpaceDE w:val="0"/>
        <w:autoSpaceDN w:val="0"/>
        <w:rPr>
          <w:color w:val="000000"/>
        </w:rPr>
      </w:pPr>
    </w:p>
    <w:p w:rsidR="001B283D" w:rsidRPr="00AC0DE9" w:rsidRDefault="001B283D" w:rsidP="001B283D">
      <w:pPr>
        <w:widowControl w:val="0"/>
        <w:tabs>
          <w:tab w:val="left" w:pos="90"/>
        </w:tabs>
        <w:autoSpaceDE w:val="0"/>
        <w:autoSpaceDN w:val="0"/>
        <w:rPr>
          <w:color w:val="000000"/>
        </w:rPr>
      </w:pPr>
      <w:r w:rsidRPr="00AC0DE9">
        <w:rPr>
          <w:color w:val="000000"/>
        </w:rPr>
        <w:t xml:space="preserve">Xue JIANG, Project Administrator, Beijing (e-mail: jiangxue@sipo.gov.cn)  </w:t>
      </w:r>
    </w:p>
    <w:p w:rsidR="001B283D" w:rsidRDefault="001B283D" w:rsidP="001B283D">
      <w:pPr>
        <w:widowControl w:val="0"/>
        <w:tabs>
          <w:tab w:val="left" w:pos="90"/>
        </w:tabs>
        <w:autoSpaceDE w:val="0"/>
        <w:autoSpaceDN w:val="0"/>
        <w:rPr>
          <w:color w:val="000000"/>
          <w:u w:val="single"/>
        </w:rPr>
      </w:pPr>
    </w:p>
    <w:p w:rsidR="001B283D" w:rsidRPr="00E73C16" w:rsidRDefault="001B283D" w:rsidP="001B283D">
      <w:pPr>
        <w:widowControl w:val="0"/>
        <w:tabs>
          <w:tab w:val="left" w:pos="90"/>
        </w:tabs>
        <w:autoSpaceDE w:val="0"/>
        <w:autoSpaceDN w:val="0"/>
        <w:rPr>
          <w:color w:val="000000"/>
          <w:u w:val="single"/>
          <w:lang w:val="es-ES"/>
        </w:rPr>
      </w:pPr>
      <w:r w:rsidRPr="00E73C16">
        <w:rPr>
          <w:color w:val="000000"/>
          <w:u w:val="single"/>
          <w:lang w:val="es-ES"/>
        </w:rPr>
        <w:t>COLOMBIE / COLOMBIA / KOLUMBIEN / COLOMBIA</w:t>
      </w:r>
    </w:p>
    <w:p w:rsidR="001B283D" w:rsidRPr="00E73C16" w:rsidRDefault="001B283D" w:rsidP="001B283D">
      <w:pPr>
        <w:widowControl w:val="0"/>
        <w:tabs>
          <w:tab w:val="left" w:pos="90"/>
        </w:tabs>
        <w:autoSpaceDE w:val="0"/>
        <w:autoSpaceDN w:val="0"/>
        <w:rPr>
          <w:color w:val="000000"/>
          <w:lang w:val="es-ES"/>
        </w:rPr>
      </w:pPr>
    </w:p>
    <w:p w:rsidR="001B283D" w:rsidRPr="00E73C16" w:rsidRDefault="001B283D" w:rsidP="001B283D">
      <w:pPr>
        <w:widowControl w:val="0"/>
        <w:tabs>
          <w:tab w:val="left" w:pos="90"/>
        </w:tabs>
        <w:autoSpaceDE w:val="0"/>
        <w:autoSpaceDN w:val="0"/>
        <w:rPr>
          <w:color w:val="000000"/>
          <w:lang w:val="es-ES"/>
        </w:rPr>
      </w:pPr>
      <w:r w:rsidRPr="00E73C16">
        <w:rPr>
          <w:color w:val="000000"/>
          <w:lang w:val="es-ES"/>
        </w:rPr>
        <w:t xml:space="preserve">Ana Luisa DÍAZ JIMÉNEZ (Sra.), Directora Técnica de Semillas, Dirección Técnica de Semillas, Instituto Colombiano Agropecuario (ICA), Bogotá (e-mail: ana.diaz@ica.gov.co)  </w:t>
      </w:r>
    </w:p>
    <w:p w:rsidR="001B283D" w:rsidRPr="00E73C16" w:rsidRDefault="001B283D" w:rsidP="001B283D">
      <w:pPr>
        <w:widowControl w:val="0"/>
        <w:tabs>
          <w:tab w:val="left" w:pos="90"/>
        </w:tabs>
        <w:autoSpaceDE w:val="0"/>
        <w:autoSpaceDN w:val="0"/>
        <w:rPr>
          <w:color w:val="000000"/>
          <w:lang w:val="es-ES"/>
        </w:rPr>
      </w:pPr>
    </w:p>
    <w:p w:rsidR="001B283D" w:rsidRPr="00A643CA" w:rsidRDefault="001B283D" w:rsidP="001B283D">
      <w:pPr>
        <w:widowControl w:val="0"/>
        <w:tabs>
          <w:tab w:val="left" w:pos="90"/>
        </w:tabs>
        <w:autoSpaceDE w:val="0"/>
        <w:autoSpaceDN w:val="0"/>
        <w:rPr>
          <w:color w:val="000000"/>
          <w:u w:val="single"/>
        </w:rPr>
      </w:pPr>
      <w:r w:rsidRPr="00A643CA">
        <w:rPr>
          <w:color w:val="000000"/>
          <w:u w:val="single"/>
        </w:rPr>
        <w:t>CROATIE / CROATIA / KROATIEN / CROACIA</w:t>
      </w:r>
    </w:p>
    <w:p w:rsidR="001B283D" w:rsidRPr="00A643CA" w:rsidRDefault="001B283D" w:rsidP="001B283D">
      <w:pPr>
        <w:widowControl w:val="0"/>
        <w:tabs>
          <w:tab w:val="left" w:pos="90"/>
        </w:tabs>
        <w:autoSpaceDE w:val="0"/>
        <w:autoSpaceDN w:val="0"/>
        <w:rPr>
          <w:color w:val="000000"/>
        </w:rPr>
      </w:pPr>
    </w:p>
    <w:p w:rsidR="001B283D" w:rsidRPr="00AC0DE9" w:rsidRDefault="001B283D" w:rsidP="001B283D">
      <w:pPr>
        <w:widowControl w:val="0"/>
        <w:tabs>
          <w:tab w:val="left" w:pos="90"/>
        </w:tabs>
        <w:autoSpaceDE w:val="0"/>
        <w:autoSpaceDN w:val="0"/>
        <w:rPr>
          <w:color w:val="000000"/>
        </w:rPr>
      </w:pPr>
      <w:r w:rsidRPr="00A643CA">
        <w:rPr>
          <w:color w:val="000000"/>
        </w:rPr>
        <w:t>Ivana BULAJIĆ (Ms.), Head of Plant Health Service, Directorate for Food Quality and Fitosanitary Policy, Ministry of Agriculture, Zagreb (e-mail: ivana.bulajic@mps.hr)</w:t>
      </w:r>
      <w:r w:rsidRPr="00AC0DE9">
        <w:rPr>
          <w:color w:val="000000"/>
        </w:rPr>
        <w:t xml:space="preserve">  </w:t>
      </w:r>
    </w:p>
    <w:p w:rsidR="001B283D" w:rsidRPr="00AC0DE9" w:rsidRDefault="001B283D" w:rsidP="001B283D">
      <w:pPr>
        <w:widowControl w:val="0"/>
        <w:tabs>
          <w:tab w:val="left" w:pos="90"/>
        </w:tabs>
        <w:autoSpaceDE w:val="0"/>
        <w:autoSpaceDN w:val="0"/>
        <w:rPr>
          <w:color w:val="000000"/>
        </w:rPr>
      </w:pPr>
    </w:p>
    <w:p w:rsidR="001B283D" w:rsidRPr="00AC0DE9" w:rsidRDefault="001B283D" w:rsidP="001B283D">
      <w:pPr>
        <w:widowControl w:val="0"/>
        <w:tabs>
          <w:tab w:val="left" w:pos="90"/>
        </w:tabs>
        <w:autoSpaceDE w:val="0"/>
        <w:autoSpaceDN w:val="0"/>
        <w:rPr>
          <w:color w:val="000000"/>
          <w:u w:val="single"/>
        </w:rPr>
      </w:pPr>
      <w:r w:rsidRPr="00AC0DE9">
        <w:rPr>
          <w:color w:val="000000"/>
          <w:u w:val="single"/>
        </w:rPr>
        <w:t>DANEMARK / DENMARK / DÄNEMARK / DINAMARCA</w:t>
      </w:r>
    </w:p>
    <w:p w:rsidR="001B283D" w:rsidRDefault="001B283D" w:rsidP="001B283D">
      <w:pPr>
        <w:widowControl w:val="0"/>
        <w:tabs>
          <w:tab w:val="left" w:pos="90"/>
        </w:tabs>
        <w:autoSpaceDE w:val="0"/>
        <w:autoSpaceDN w:val="0"/>
        <w:rPr>
          <w:color w:val="000000"/>
        </w:rPr>
      </w:pPr>
    </w:p>
    <w:p w:rsidR="001B283D" w:rsidRPr="00AC0DE9" w:rsidRDefault="001B283D" w:rsidP="001B283D">
      <w:pPr>
        <w:widowControl w:val="0"/>
        <w:tabs>
          <w:tab w:val="left" w:pos="90"/>
        </w:tabs>
        <w:autoSpaceDE w:val="0"/>
        <w:autoSpaceDN w:val="0"/>
        <w:rPr>
          <w:color w:val="000000"/>
        </w:rPr>
      </w:pPr>
      <w:r w:rsidRPr="00AC0DE9">
        <w:rPr>
          <w:color w:val="000000"/>
        </w:rPr>
        <w:t xml:space="preserve">Gerhard DENEKEN, Department of Variety Testing, The Danish AgriFish Agency (NaturErhvervestyrelsen), Skaelskoer (e-mail: gde@naturerhverv.dk)  </w:t>
      </w:r>
    </w:p>
    <w:p w:rsidR="001B283D" w:rsidRPr="00AC0DE9" w:rsidRDefault="001B283D" w:rsidP="001B283D">
      <w:pPr>
        <w:widowControl w:val="0"/>
        <w:tabs>
          <w:tab w:val="left" w:pos="90"/>
        </w:tabs>
        <w:autoSpaceDE w:val="0"/>
        <w:autoSpaceDN w:val="0"/>
        <w:rPr>
          <w:color w:val="000000"/>
        </w:rPr>
      </w:pPr>
    </w:p>
    <w:p w:rsidR="001B283D" w:rsidRPr="00E73C16" w:rsidRDefault="001B283D" w:rsidP="001B283D">
      <w:pPr>
        <w:widowControl w:val="0"/>
        <w:tabs>
          <w:tab w:val="left" w:pos="90"/>
        </w:tabs>
        <w:autoSpaceDE w:val="0"/>
        <w:autoSpaceDN w:val="0"/>
        <w:rPr>
          <w:color w:val="000000"/>
          <w:u w:val="single"/>
          <w:lang w:val="es-ES"/>
        </w:rPr>
      </w:pPr>
      <w:r w:rsidRPr="00E73C16">
        <w:rPr>
          <w:color w:val="000000"/>
          <w:u w:val="single"/>
          <w:lang w:val="es-ES"/>
        </w:rPr>
        <w:t>ÉQUATEUR / ECUADOR / ECUADOR / ECUADOR</w:t>
      </w:r>
    </w:p>
    <w:p w:rsidR="001B283D" w:rsidRPr="00E73C16" w:rsidRDefault="001B283D" w:rsidP="001B283D">
      <w:pPr>
        <w:widowControl w:val="0"/>
        <w:tabs>
          <w:tab w:val="left" w:pos="90"/>
        </w:tabs>
        <w:autoSpaceDE w:val="0"/>
        <w:autoSpaceDN w:val="0"/>
        <w:rPr>
          <w:color w:val="000000"/>
          <w:lang w:val="es-ES"/>
        </w:rPr>
      </w:pPr>
    </w:p>
    <w:p w:rsidR="001B283D" w:rsidRPr="00E73C16" w:rsidRDefault="001B283D" w:rsidP="001B283D">
      <w:pPr>
        <w:widowControl w:val="0"/>
        <w:tabs>
          <w:tab w:val="left" w:pos="90"/>
        </w:tabs>
        <w:autoSpaceDE w:val="0"/>
        <w:autoSpaceDN w:val="0"/>
        <w:rPr>
          <w:color w:val="000000"/>
          <w:lang w:val="es-ES"/>
        </w:rPr>
      </w:pPr>
      <w:r w:rsidRPr="00E73C16">
        <w:rPr>
          <w:color w:val="000000"/>
          <w:lang w:val="es-ES"/>
        </w:rPr>
        <w:t xml:space="preserve">Lilián CARRERA GONZÁLEZ (Sra.), Directora Nacional de Obtenciones Vegetales, Instituto Ecuatoriano de la Propiedad Intelectual (IEPI), Quito (e-mail: lmcarrera@iepi.gob.ec)  </w:t>
      </w:r>
    </w:p>
    <w:p w:rsidR="001B283D" w:rsidRPr="00E73C16" w:rsidRDefault="001B283D" w:rsidP="001B283D">
      <w:pPr>
        <w:widowControl w:val="0"/>
        <w:tabs>
          <w:tab w:val="left" w:pos="90"/>
        </w:tabs>
        <w:autoSpaceDE w:val="0"/>
        <w:autoSpaceDN w:val="0"/>
        <w:rPr>
          <w:color w:val="000000"/>
          <w:lang w:val="es-ES"/>
        </w:rPr>
      </w:pPr>
    </w:p>
    <w:p w:rsidR="001B283D" w:rsidRPr="00E73C16" w:rsidRDefault="001B283D" w:rsidP="001B283D">
      <w:pPr>
        <w:keepNext/>
        <w:widowControl w:val="0"/>
        <w:tabs>
          <w:tab w:val="left" w:pos="90"/>
        </w:tabs>
        <w:autoSpaceDE w:val="0"/>
        <w:autoSpaceDN w:val="0"/>
        <w:rPr>
          <w:color w:val="000000"/>
          <w:u w:val="single"/>
          <w:lang w:val="es-ES"/>
        </w:rPr>
      </w:pPr>
      <w:r w:rsidRPr="00E73C16">
        <w:rPr>
          <w:color w:val="000000"/>
          <w:u w:val="single"/>
          <w:lang w:val="es-ES"/>
        </w:rPr>
        <w:t>ESPAGNE / SPAIN / SPANIEN / ESPAÑA</w:t>
      </w:r>
    </w:p>
    <w:p w:rsidR="001B283D" w:rsidRPr="00E73C16" w:rsidRDefault="001B283D" w:rsidP="001B283D">
      <w:pPr>
        <w:keepNext/>
        <w:widowControl w:val="0"/>
        <w:tabs>
          <w:tab w:val="left" w:pos="90"/>
        </w:tabs>
        <w:autoSpaceDE w:val="0"/>
        <w:autoSpaceDN w:val="0"/>
        <w:rPr>
          <w:color w:val="000000"/>
          <w:lang w:val="es-ES"/>
        </w:rPr>
      </w:pPr>
    </w:p>
    <w:p w:rsidR="001B283D" w:rsidRPr="00E73C16" w:rsidRDefault="001B283D" w:rsidP="001B283D">
      <w:pPr>
        <w:keepNext/>
        <w:widowControl w:val="0"/>
        <w:tabs>
          <w:tab w:val="left" w:pos="90"/>
        </w:tabs>
        <w:autoSpaceDE w:val="0"/>
        <w:autoSpaceDN w:val="0"/>
        <w:rPr>
          <w:color w:val="000000"/>
          <w:lang w:val="es-ES"/>
        </w:rPr>
      </w:pPr>
      <w:r w:rsidRPr="00E73C16">
        <w:rPr>
          <w:color w:val="000000"/>
          <w:lang w:val="es-ES"/>
        </w:rPr>
        <w:t xml:space="preserve">Luis SALAICES, Jefe del Área del Registro de Variedades, Subdirección general de Medios de </w:t>
      </w:r>
    </w:p>
    <w:p w:rsidR="001B283D" w:rsidRPr="00E73C16" w:rsidRDefault="001B283D" w:rsidP="001B283D">
      <w:pPr>
        <w:keepNext/>
        <w:widowControl w:val="0"/>
        <w:tabs>
          <w:tab w:val="left" w:pos="90"/>
        </w:tabs>
        <w:autoSpaceDE w:val="0"/>
        <w:autoSpaceDN w:val="0"/>
        <w:rPr>
          <w:color w:val="000000"/>
          <w:lang w:val="es-ES"/>
        </w:rPr>
      </w:pPr>
      <w:r w:rsidRPr="00E73C16">
        <w:rPr>
          <w:color w:val="000000"/>
          <w:lang w:val="es-ES"/>
        </w:rPr>
        <w:t xml:space="preserve">Producción Agrícolas y Oficina Española de Variedades Vegetales (MPA y OEVV), Ministerio de </w:t>
      </w:r>
    </w:p>
    <w:p w:rsidR="001B283D" w:rsidRPr="00E73C16" w:rsidRDefault="001B283D" w:rsidP="001B283D">
      <w:pPr>
        <w:keepNext/>
        <w:widowControl w:val="0"/>
        <w:tabs>
          <w:tab w:val="left" w:pos="90"/>
        </w:tabs>
        <w:autoSpaceDE w:val="0"/>
        <w:autoSpaceDN w:val="0"/>
        <w:rPr>
          <w:color w:val="000000"/>
          <w:lang w:val="es-ES"/>
        </w:rPr>
      </w:pPr>
      <w:r w:rsidRPr="00E73C16">
        <w:rPr>
          <w:color w:val="000000"/>
          <w:lang w:val="es-ES"/>
        </w:rPr>
        <w:t xml:space="preserve">Agricultura, Alimentación y Medio Ambiente (MAGRAMA), Madrid (e-mail: luis.salaices@magrama.es)  </w:t>
      </w:r>
    </w:p>
    <w:p w:rsidR="001B283D" w:rsidRPr="00E73C16" w:rsidRDefault="001B283D" w:rsidP="001B283D">
      <w:pPr>
        <w:widowControl w:val="0"/>
        <w:tabs>
          <w:tab w:val="left" w:pos="90"/>
        </w:tabs>
        <w:autoSpaceDE w:val="0"/>
        <w:autoSpaceDN w:val="0"/>
        <w:rPr>
          <w:color w:val="000000"/>
          <w:lang w:val="es-ES"/>
        </w:rPr>
      </w:pPr>
    </w:p>
    <w:p w:rsidR="001B283D" w:rsidRPr="00E73C16" w:rsidRDefault="001B283D" w:rsidP="001B283D">
      <w:pPr>
        <w:widowControl w:val="0"/>
        <w:tabs>
          <w:tab w:val="left" w:pos="90"/>
        </w:tabs>
        <w:autoSpaceDE w:val="0"/>
        <w:autoSpaceDN w:val="0"/>
        <w:rPr>
          <w:color w:val="000000"/>
          <w:lang w:val="es-ES"/>
        </w:rPr>
      </w:pPr>
      <w:r w:rsidRPr="00E73C16">
        <w:rPr>
          <w:color w:val="000000"/>
          <w:lang w:val="es-ES"/>
        </w:rPr>
        <w:t xml:space="preserve">José Antonio SOBRINO, Jefe del servicio de registro de variedades, Oficina Española de Variedades Vegetales, Ministerio de Agricultura, Alimentación y Medio Ambiente, Madrid (e-mail: jasobrino@magrama.es)  </w:t>
      </w:r>
    </w:p>
    <w:p w:rsidR="001B283D" w:rsidRPr="00E73C16" w:rsidRDefault="001B283D" w:rsidP="001B283D">
      <w:pPr>
        <w:widowControl w:val="0"/>
        <w:tabs>
          <w:tab w:val="left" w:pos="90"/>
        </w:tabs>
        <w:autoSpaceDE w:val="0"/>
        <w:autoSpaceDN w:val="0"/>
        <w:rPr>
          <w:color w:val="000000"/>
          <w:u w:val="single"/>
          <w:lang w:val="es-ES"/>
        </w:rPr>
      </w:pPr>
    </w:p>
    <w:p w:rsidR="001B283D" w:rsidRPr="00AC0DE9" w:rsidRDefault="001B283D" w:rsidP="001B283D">
      <w:pPr>
        <w:widowControl w:val="0"/>
        <w:tabs>
          <w:tab w:val="left" w:pos="90"/>
        </w:tabs>
        <w:autoSpaceDE w:val="0"/>
        <w:autoSpaceDN w:val="0"/>
        <w:rPr>
          <w:color w:val="000000"/>
          <w:u w:val="single"/>
        </w:rPr>
      </w:pPr>
      <w:r w:rsidRPr="00AC0DE9">
        <w:rPr>
          <w:color w:val="000000"/>
          <w:u w:val="single"/>
        </w:rPr>
        <w:t>ESTONIE / ESTONIA / ESTLAND / ESTONIA</w:t>
      </w:r>
    </w:p>
    <w:p w:rsidR="001B283D" w:rsidRDefault="001B283D" w:rsidP="001B283D">
      <w:pPr>
        <w:widowControl w:val="0"/>
        <w:tabs>
          <w:tab w:val="left" w:pos="90"/>
        </w:tabs>
        <w:autoSpaceDE w:val="0"/>
        <w:autoSpaceDN w:val="0"/>
        <w:rPr>
          <w:color w:val="000000"/>
        </w:rPr>
      </w:pPr>
    </w:p>
    <w:p w:rsidR="001B283D" w:rsidRPr="00AC0DE9" w:rsidRDefault="001B283D" w:rsidP="001B283D">
      <w:pPr>
        <w:widowControl w:val="0"/>
        <w:tabs>
          <w:tab w:val="left" w:pos="90"/>
        </w:tabs>
        <w:autoSpaceDE w:val="0"/>
        <w:autoSpaceDN w:val="0"/>
        <w:rPr>
          <w:color w:val="000000"/>
        </w:rPr>
      </w:pPr>
      <w:r w:rsidRPr="00AC0DE9">
        <w:rPr>
          <w:color w:val="000000"/>
        </w:rPr>
        <w:t xml:space="preserve">Renata TSATURJAN (Ms.), Chief Specialist, Plant Production Bureau, Ministry of Agriculture, </w:t>
      </w:r>
    </w:p>
    <w:p w:rsidR="001B283D" w:rsidRPr="00E73C16" w:rsidRDefault="001B283D" w:rsidP="001B283D">
      <w:pPr>
        <w:widowControl w:val="0"/>
        <w:tabs>
          <w:tab w:val="left" w:pos="90"/>
        </w:tabs>
        <w:autoSpaceDE w:val="0"/>
        <w:autoSpaceDN w:val="0"/>
        <w:rPr>
          <w:color w:val="000000"/>
          <w:lang w:val="fr-CH"/>
        </w:rPr>
      </w:pPr>
      <w:r w:rsidRPr="00E73C16">
        <w:rPr>
          <w:color w:val="000000"/>
          <w:lang w:val="fr-CH"/>
        </w:rPr>
        <w:t xml:space="preserve">Tallinn (e-mail: renata.tsaturjan@agri.ee)  </w:t>
      </w:r>
    </w:p>
    <w:p w:rsidR="001B283D" w:rsidRPr="00E73C16" w:rsidRDefault="001B283D" w:rsidP="001B283D">
      <w:pPr>
        <w:widowControl w:val="0"/>
        <w:tabs>
          <w:tab w:val="left" w:pos="90"/>
        </w:tabs>
        <w:autoSpaceDE w:val="0"/>
        <w:autoSpaceDN w:val="0"/>
        <w:rPr>
          <w:color w:val="000000"/>
          <w:u w:val="single"/>
          <w:lang w:val="fr-CH"/>
        </w:rPr>
      </w:pPr>
    </w:p>
    <w:p w:rsidR="001B283D" w:rsidRPr="00E73C16" w:rsidRDefault="001B283D" w:rsidP="001B283D">
      <w:pPr>
        <w:keepNext/>
        <w:widowControl w:val="0"/>
        <w:tabs>
          <w:tab w:val="left" w:pos="90"/>
        </w:tabs>
        <w:autoSpaceDE w:val="0"/>
        <w:autoSpaceDN w:val="0"/>
        <w:rPr>
          <w:color w:val="000000"/>
          <w:u w:val="single"/>
          <w:lang w:val="fr-CH"/>
        </w:rPr>
      </w:pPr>
      <w:r w:rsidRPr="00E73C16">
        <w:rPr>
          <w:color w:val="000000"/>
          <w:u w:val="single"/>
          <w:lang w:val="fr-CH"/>
        </w:rPr>
        <w:t xml:space="preserve">ÉTATS-UNIS D'AMÉRIQUE / UNITED STATES OF AMERICA / VEREINIGTE STAATEN </w:t>
      </w:r>
    </w:p>
    <w:p w:rsidR="001B283D" w:rsidRPr="00E73C16" w:rsidRDefault="001B283D" w:rsidP="001B283D">
      <w:pPr>
        <w:keepNext/>
        <w:widowControl w:val="0"/>
        <w:tabs>
          <w:tab w:val="left" w:pos="90"/>
        </w:tabs>
        <w:autoSpaceDE w:val="0"/>
        <w:autoSpaceDN w:val="0"/>
        <w:rPr>
          <w:color w:val="000000"/>
          <w:u w:val="single"/>
          <w:lang w:val="es-ES"/>
        </w:rPr>
      </w:pPr>
      <w:r w:rsidRPr="00E73C16">
        <w:rPr>
          <w:color w:val="000000"/>
          <w:u w:val="single"/>
          <w:lang w:val="es-ES"/>
        </w:rPr>
        <w:t>VON AMERIKA / ESTADOS UNIDOS DE AMÉRICA</w:t>
      </w:r>
    </w:p>
    <w:p w:rsidR="001B283D" w:rsidRPr="00E73C16" w:rsidRDefault="001B283D" w:rsidP="001B283D">
      <w:pPr>
        <w:keepNext/>
        <w:widowControl w:val="0"/>
        <w:tabs>
          <w:tab w:val="left" w:pos="90"/>
        </w:tabs>
        <w:autoSpaceDE w:val="0"/>
        <w:autoSpaceDN w:val="0"/>
        <w:rPr>
          <w:color w:val="000000"/>
          <w:lang w:val="es-ES"/>
        </w:rPr>
      </w:pPr>
    </w:p>
    <w:p w:rsidR="001B283D" w:rsidRPr="001D4989" w:rsidRDefault="001B283D" w:rsidP="001B283D">
      <w:pPr>
        <w:widowControl w:val="0"/>
        <w:tabs>
          <w:tab w:val="left" w:pos="90"/>
        </w:tabs>
        <w:autoSpaceDE w:val="0"/>
        <w:autoSpaceDN w:val="0"/>
        <w:adjustRightInd w:val="0"/>
        <w:rPr>
          <w:color w:val="000000"/>
        </w:rPr>
      </w:pPr>
      <w:r w:rsidRPr="001D4989">
        <w:rPr>
          <w:color w:val="000000"/>
        </w:rPr>
        <w:t xml:space="preserve">Kitisri SUKHAPINDA (Ms.), Patent Attorney, Office of Policy and External Affairs, United States Patent and Trademark Office (USPTO), Alexandria (e-mail: kitisri.sukhapinda@uspto.gov) </w:t>
      </w:r>
    </w:p>
    <w:p w:rsidR="001B283D" w:rsidRDefault="001B283D" w:rsidP="001B283D">
      <w:pPr>
        <w:widowControl w:val="0"/>
        <w:tabs>
          <w:tab w:val="left" w:pos="90"/>
        </w:tabs>
        <w:autoSpaceDE w:val="0"/>
        <w:autoSpaceDN w:val="0"/>
        <w:adjustRightInd w:val="0"/>
        <w:rPr>
          <w:color w:val="000000"/>
        </w:rPr>
      </w:pPr>
    </w:p>
    <w:p w:rsidR="001B283D" w:rsidRPr="001D4989" w:rsidRDefault="001B283D" w:rsidP="001B283D">
      <w:pPr>
        <w:widowControl w:val="0"/>
        <w:tabs>
          <w:tab w:val="left" w:pos="90"/>
        </w:tabs>
        <w:autoSpaceDE w:val="0"/>
        <w:autoSpaceDN w:val="0"/>
        <w:adjustRightInd w:val="0"/>
        <w:rPr>
          <w:color w:val="000000"/>
        </w:rPr>
      </w:pPr>
      <w:r w:rsidRPr="001D4989">
        <w:rPr>
          <w:color w:val="000000"/>
        </w:rPr>
        <w:t xml:space="preserve">Ruihong GUO (Ms.), Deputy Administrator, AMS, Science &amp; Technolgoy Program, United States Department of Agriculture (USDA), Washington D.C. (e-mail: ruihong.guo@ams.usda.gov) </w:t>
      </w:r>
    </w:p>
    <w:p w:rsidR="001B283D" w:rsidRDefault="001B283D" w:rsidP="001B283D">
      <w:pPr>
        <w:widowControl w:val="0"/>
        <w:tabs>
          <w:tab w:val="left" w:pos="90"/>
        </w:tabs>
        <w:autoSpaceDE w:val="0"/>
        <w:autoSpaceDN w:val="0"/>
        <w:adjustRightInd w:val="0"/>
        <w:rPr>
          <w:color w:val="000000"/>
        </w:rPr>
      </w:pPr>
    </w:p>
    <w:p w:rsidR="001B283D" w:rsidRDefault="001B283D" w:rsidP="001B283D">
      <w:pPr>
        <w:widowControl w:val="0"/>
        <w:tabs>
          <w:tab w:val="left" w:pos="90"/>
        </w:tabs>
        <w:autoSpaceDE w:val="0"/>
        <w:autoSpaceDN w:val="0"/>
        <w:adjustRightInd w:val="0"/>
        <w:rPr>
          <w:color w:val="000000"/>
        </w:rPr>
      </w:pPr>
      <w:r w:rsidRPr="001D4989">
        <w:rPr>
          <w:color w:val="000000"/>
        </w:rPr>
        <w:lastRenderedPageBreak/>
        <w:t xml:space="preserve">Karin L. FERRITER (Ms.), Intellectual Property Attaché, United States Mission to the WTO, Chambesy </w:t>
      </w:r>
    </w:p>
    <w:p w:rsidR="001B283D" w:rsidRPr="00E73C16" w:rsidRDefault="001B283D" w:rsidP="001B283D">
      <w:pPr>
        <w:widowControl w:val="0"/>
        <w:tabs>
          <w:tab w:val="left" w:pos="90"/>
        </w:tabs>
        <w:autoSpaceDE w:val="0"/>
        <w:autoSpaceDN w:val="0"/>
        <w:adjustRightInd w:val="0"/>
        <w:rPr>
          <w:color w:val="000000"/>
          <w:lang w:val="fr-CH"/>
        </w:rPr>
      </w:pPr>
      <w:r w:rsidRPr="00E73C16">
        <w:rPr>
          <w:color w:val="000000"/>
          <w:lang w:val="fr-CH"/>
        </w:rPr>
        <w:t xml:space="preserve">(e-mail: karin_ferriter@ustr.eop.gov)  </w:t>
      </w:r>
    </w:p>
    <w:p w:rsidR="001B283D" w:rsidRPr="00E73C16" w:rsidRDefault="001B283D" w:rsidP="001B283D">
      <w:pPr>
        <w:widowControl w:val="0"/>
        <w:tabs>
          <w:tab w:val="left" w:pos="90"/>
        </w:tabs>
        <w:autoSpaceDE w:val="0"/>
        <w:autoSpaceDN w:val="0"/>
        <w:rPr>
          <w:color w:val="000000"/>
          <w:lang w:val="fr-CH"/>
        </w:rPr>
      </w:pPr>
      <w:r w:rsidRPr="00E73C16">
        <w:rPr>
          <w:color w:val="000000"/>
          <w:lang w:val="fr-CH"/>
        </w:rPr>
        <w:t xml:space="preserve"> </w:t>
      </w:r>
    </w:p>
    <w:p w:rsidR="001B283D" w:rsidRPr="00E73C16" w:rsidRDefault="001B283D" w:rsidP="001B283D">
      <w:pPr>
        <w:widowControl w:val="0"/>
        <w:tabs>
          <w:tab w:val="left" w:pos="90"/>
        </w:tabs>
        <w:autoSpaceDE w:val="0"/>
        <w:autoSpaceDN w:val="0"/>
        <w:rPr>
          <w:color w:val="000000"/>
          <w:u w:val="single"/>
          <w:lang w:val="fr-CH"/>
        </w:rPr>
      </w:pPr>
      <w:r w:rsidRPr="00E73C16">
        <w:rPr>
          <w:color w:val="000000"/>
          <w:u w:val="single"/>
          <w:lang w:val="fr-CH"/>
        </w:rPr>
        <w:t xml:space="preserve">FÉDÉRATION DE RUSSIE / RUSSIAN FEDERATION / RUSSISCHE FÖDERATION / </w:t>
      </w:r>
    </w:p>
    <w:p w:rsidR="001B283D" w:rsidRPr="00AC0DE9" w:rsidRDefault="001B283D" w:rsidP="001B283D">
      <w:pPr>
        <w:widowControl w:val="0"/>
        <w:tabs>
          <w:tab w:val="left" w:pos="90"/>
        </w:tabs>
        <w:autoSpaceDE w:val="0"/>
        <w:autoSpaceDN w:val="0"/>
        <w:rPr>
          <w:color w:val="000000"/>
          <w:u w:val="single"/>
        </w:rPr>
      </w:pPr>
      <w:r w:rsidRPr="00AC0DE9">
        <w:rPr>
          <w:color w:val="000000"/>
          <w:u w:val="single"/>
        </w:rPr>
        <w:t>FEDERACIÓN DE RUSIA</w:t>
      </w:r>
    </w:p>
    <w:p w:rsidR="001B283D" w:rsidRDefault="001B283D" w:rsidP="001B283D">
      <w:pPr>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rPr>
      </w:pPr>
      <w:r w:rsidRPr="00AC0DE9">
        <w:rPr>
          <w:color w:val="000000"/>
        </w:rPr>
        <w:t xml:space="preserve">Yuri A. ROGOVSKIY, Deputy Chairman, Head of Methodology and International Cooperation, State Commission of the Russian Federation for Selection Achievements Test and Protection, Moscow </w:t>
      </w:r>
    </w:p>
    <w:p w:rsidR="001B283D" w:rsidRPr="00AC0DE9" w:rsidRDefault="001B283D" w:rsidP="001B283D">
      <w:pPr>
        <w:widowControl w:val="0"/>
        <w:tabs>
          <w:tab w:val="left" w:pos="90"/>
        </w:tabs>
        <w:autoSpaceDE w:val="0"/>
        <w:autoSpaceDN w:val="0"/>
        <w:rPr>
          <w:color w:val="000000"/>
        </w:rPr>
      </w:pPr>
      <w:r w:rsidRPr="00AC0DE9">
        <w:rPr>
          <w:color w:val="000000"/>
        </w:rPr>
        <w:t xml:space="preserve">(e-mail: yrogovskij@yandex.ru)  </w:t>
      </w:r>
    </w:p>
    <w:p w:rsidR="001B283D" w:rsidRDefault="001B283D" w:rsidP="001B283D">
      <w:pPr>
        <w:widowControl w:val="0"/>
        <w:tabs>
          <w:tab w:val="left" w:pos="90"/>
        </w:tabs>
        <w:autoSpaceDE w:val="0"/>
        <w:autoSpaceDN w:val="0"/>
        <w:rPr>
          <w:color w:val="000000"/>
        </w:rPr>
      </w:pPr>
    </w:p>
    <w:p w:rsidR="001B283D" w:rsidRPr="00AC0DE9" w:rsidRDefault="001B283D" w:rsidP="001B283D">
      <w:pPr>
        <w:widowControl w:val="0"/>
        <w:tabs>
          <w:tab w:val="left" w:pos="90"/>
        </w:tabs>
        <w:autoSpaceDE w:val="0"/>
        <w:autoSpaceDN w:val="0"/>
        <w:rPr>
          <w:color w:val="000000"/>
        </w:rPr>
      </w:pPr>
      <w:r w:rsidRPr="00AC0DE9">
        <w:rPr>
          <w:color w:val="000000"/>
        </w:rPr>
        <w:t xml:space="preserve">Viktor I. STARTCEV, Deputy Chairman, State Commission of the Russian Federation for Selection Achievements Test and Protection, Moscow (e-mail: gossort@gossort.com)  </w:t>
      </w:r>
    </w:p>
    <w:p w:rsidR="001B283D" w:rsidRPr="00AC0DE9" w:rsidRDefault="001B283D" w:rsidP="001B283D">
      <w:pPr>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rPr>
      </w:pPr>
      <w:r w:rsidRPr="00AC0DE9">
        <w:rPr>
          <w:color w:val="000000"/>
        </w:rPr>
        <w:t xml:space="preserve">Antonina TRETINNIKOVA (Ms.), Deputy Head, Methodology and International Cooperation Department, State Commission of the Russian Federation for Selection Achievements Test and Protection, Moscow </w:t>
      </w:r>
    </w:p>
    <w:p w:rsidR="001B283D" w:rsidRPr="00AC0DE9" w:rsidRDefault="001B283D" w:rsidP="001B283D">
      <w:pPr>
        <w:widowControl w:val="0"/>
        <w:tabs>
          <w:tab w:val="left" w:pos="90"/>
        </w:tabs>
        <w:autoSpaceDE w:val="0"/>
        <w:autoSpaceDN w:val="0"/>
        <w:rPr>
          <w:color w:val="000000"/>
        </w:rPr>
      </w:pPr>
      <w:r w:rsidRPr="00AC0DE9">
        <w:rPr>
          <w:color w:val="000000"/>
        </w:rPr>
        <w:t xml:space="preserve">(e-mail: tretinnikova@mail.ru)  </w:t>
      </w:r>
    </w:p>
    <w:p w:rsidR="001B283D" w:rsidRDefault="001B283D" w:rsidP="001B283D">
      <w:pPr>
        <w:widowControl w:val="0"/>
        <w:tabs>
          <w:tab w:val="left" w:pos="90"/>
        </w:tabs>
        <w:autoSpaceDE w:val="0"/>
        <w:autoSpaceDN w:val="0"/>
        <w:rPr>
          <w:color w:val="000000"/>
        </w:rPr>
      </w:pPr>
    </w:p>
    <w:p w:rsidR="001B283D" w:rsidRPr="00AC0DE9" w:rsidRDefault="001B283D" w:rsidP="001B283D">
      <w:pPr>
        <w:widowControl w:val="0"/>
        <w:tabs>
          <w:tab w:val="left" w:pos="90"/>
        </w:tabs>
        <w:autoSpaceDE w:val="0"/>
        <w:autoSpaceDN w:val="0"/>
        <w:rPr>
          <w:color w:val="000000"/>
        </w:rPr>
      </w:pPr>
      <w:r w:rsidRPr="00AC0DE9">
        <w:rPr>
          <w:color w:val="000000"/>
        </w:rPr>
        <w:t xml:space="preserve">Vitaly S. VOLOSHCHENKO, Chairman, State Commission of the Russian Federation for Selection Achievements Test and Protection, Moscow (e-mail: gossort@gossort.com)  </w:t>
      </w:r>
    </w:p>
    <w:p w:rsidR="001B283D" w:rsidRPr="00AC0DE9" w:rsidRDefault="001B283D" w:rsidP="001B283D">
      <w:pPr>
        <w:widowControl w:val="0"/>
        <w:tabs>
          <w:tab w:val="left" w:pos="90"/>
        </w:tabs>
        <w:autoSpaceDE w:val="0"/>
        <w:autoSpaceDN w:val="0"/>
        <w:rPr>
          <w:color w:val="000000"/>
        </w:rPr>
      </w:pPr>
    </w:p>
    <w:p w:rsidR="001B283D" w:rsidRPr="00E73C16" w:rsidRDefault="001B283D" w:rsidP="001B283D">
      <w:pPr>
        <w:widowControl w:val="0"/>
        <w:tabs>
          <w:tab w:val="left" w:pos="90"/>
        </w:tabs>
        <w:autoSpaceDE w:val="0"/>
        <w:autoSpaceDN w:val="0"/>
        <w:rPr>
          <w:color w:val="000000"/>
          <w:u w:val="single"/>
          <w:lang w:val="fr-CH"/>
        </w:rPr>
      </w:pPr>
      <w:r w:rsidRPr="00E73C16">
        <w:rPr>
          <w:color w:val="000000"/>
          <w:u w:val="single"/>
          <w:lang w:val="fr-CH"/>
        </w:rPr>
        <w:t>FRANCE / FRANKREICH / FRANCIA</w:t>
      </w:r>
    </w:p>
    <w:p w:rsidR="001B283D" w:rsidRPr="00E73C16" w:rsidRDefault="001B283D" w:rsidP="001B283D">
      <w:pPr>
        <w:widowControl w:val="0"/>
        <w:tabs>
          <w:tab w:val="left" w:pos="90"/>
        </w:tabs>
        <w:autoSpaceDE w:val="0"/>
        <w:autoSpaceDN w:val="0"/>
        <w:rPr>
          <w:color w:val="000000"/>
          <w:u w:val="single"/>
          <w:lang w:val="fr-CH"/>
        </w:rPr>
      </w:pPr>
    </w:p>
    <w:p w:rsidR="001B283D" w:rsidRPr="00E73C16" w:rsidRDefault="001B283D" w:rsidP="001B283D">
      <w:pPr>
        <w:widowControl w:val="0"/>
        <w:tabs>
          <w:tab w:val="left" w:pos="90"/>
        </w:tabs>
        <w:autoSpaceDE w:val="0"/>
        <w:autoSpaceDN w:val="0"/>
        <w:rPr>
          <w:color w:val="000000"/>
          <w:lang w:val="fr-CH"/>
        </w:rPr>
      </w:pPr>
      <w:r w:rsidRPr="00E73C16">
        <w:rPr>
          <w:color w:val="000000"/>
          <w:lang w:val="fr-CH"/>
        </w:rPr>
        <w:t xml:space="preserve">Virginie BERTOUX (Mme), Responsable, Instance nationale des obtentions végétales (INOV), INOV-GEVES, Beaucouzé (e-mail: virginie.bertoux@geves.fr)  </w:t>
      </w:r>
    </w:p>
    <w:p w:rsidR="001B283D" w:rsidRPr="00E73C16" w:rsidRDefault="001B283D" w:rsidP="001B283D">
      <w:pPr>
        <w:widowControl w:val="0"/>
        <w:tabs>
          <w:tab w:val="left" w:pos="90"/>
        </w:tabs>
        <w:autoSpaceDE w:val="0"/>
        <w:autoSpaceDN w:val="0"/>
        <w:rPr>
          <w:color w:val="000000"/>
          <w:lang w:val="fr-CH"/>
        </w:rPr>
      </w:pPr>
    </w:p>
    <w:p w:rsidR="001B283D" w:rsidRDefault="001B283D" w:rsidP="001B283D">
      <w:pPr>
        <w:widowControl w:val="0"/>
        <w:tabs>
          <w:tab w:val="left" w:pos="90"/>
        </w:tabs>
        <w:autoSpaceDE w:val="0"/>
        <w:autoSpaceDN w:val="0"/>
        <w:rPr>
          <w:color w:val="000000"/>
          <w:u w:val="single"/>
        </w:rPr>
      </w:pPr>
      <w:r w:rsidRPr="00AC0DE9">
        <w:rPr>
          <w:color w:val="000000"/>
          <w:u w:val="single"/>
        </w:rPr>
        <w:t>GÉORGIE / GEORGIA / GEORGIEN / GEORGIA</w:t>
      </w:r>
    </w:p>
    <w:p w:rsidR="001B283D" w:rsidRPr="00AC0DE9" w:rsidRDefault="001B283D" w:rsidP="001B283D">
      <w:pPr>
        <w:widowControl w:val="0"/>
        <w:tabs>
          <w:tab w:val="left" w:pos="90"/>
        </w:tabs>
        <w:autoSpaceDE w:val="0"/>
        <w:autoSpaceDN w:val="0"/>
        <w:rPr>
          <w:color w:val="000000"/>
          <w:u w:val="single"/>
        </w:rPr>
      </w:pPr>
    </w:p>
    <w:p w:rsidR="001B283D" w:rsidRDefault="001B283D" w:rsidP="001B283D">
      <w:pPr>
        <w:widowControl w:val="0"/>
        <w:tabs>
          <w:tab w:val="left" w:pos="90"/>
        </w:tabs>
        <w:autoSpaceDE w:val="0"/>
        <w:autoSpaceDN w:val="0"/>
        <w:rPr>
          <w:color w:val="000000"/>
        </w:rPr>
      </w:pPr>
      <w:r w:rsidRPr="00AC0DE9">
        <w:rPr>
          <w:color w:val="000000"/>
        </w:rPr>
        <w:t xml:space="preserve">Nana PANTSKHAVA (Ms.), Chief Examiner, Department of Invention, Design and New Varieties and Breeds, National Intellectual Property Centre (SAKPATENTI), Mtskheta (e-mail: npantskhava@sakpatenti.org.ge)  </w:t>
      </w:r>
    </w:p>
    <w:p w:rsidR="001B283D" w:rsidRPr="00AC0DE9" w:rsidRDefault="001B283D" w:rsidP="001B283D">
      <w:pPr>
        <w:widowControl w:val="0"/>
        <w:tabs>
          <w:tab w:val="left" w:pos="90"/>
        </w:tabs>
        <w:autoSpaceDE w:val="0"/>
        <w:autoSpaceDN w:val="0"/>
        <w:ind w:right="900"/>
        <w:rPr>
          <w:color w:val="000000"/>
        </w:rPr>
      </w:pPr>
    </w:p>
    <w:p w:rsidR="001B283D" w:rsidRPr="00AC0DE9" w:rsidRDefault="001B283D" w:rsidP="001B283D">
      <w:pPr>
        <w:widowControl w:val="0"/>
        <w:tabs>
          <w:tab w:val="left" w:pos="90"/>
        </w:tabs>
        <w:autoSpaceDE w:val="0"/>
        <w:autoSpaceDN w:val="0"/>
        <w:rPr>
          <w:color w:val="000000"/>
          <w:u w:val="single"/>
        </w:rPr>
      </w:pPr>
      <w:r w:rsidRPr="00AC0DE9">
        <w:rPr>
          <w:color w:val="000000"/>
          <w:u w:val="single"/>
        </w:rPr>
        <w:t>HONGRIE / HUNGARY / UNGARN / HUNGRÍA</w:t>
      </w:r>
    </w:p>
    <w:p w:rsidR="001B283D" w:rsidRDefault="001B283D" w:rsidP="001B283D">
      <w:pPr>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rPr>
      </w:pPr>
      <w:r w:rsidRPr="00AC0DE9">
        <w:rPr>
          <w:color w:val="000000"/>
        </w:rPr>
        <w:t xml:space="preserve">Szabolcs FARKAS, Head, Patent Department, Hungarian Intellectual Property Office (HIPO), Budapest </w:t>
      </w:r>
    </w:p>
    <w:p w:rsidR="001B283D" w:rsidRPr="00AC0DE9" w:rsidRDefault="001B283D" w:rsidP="001B283D">
      <w:pPr>
        <w:widowControl w:val="0"/>
        <w:tabs>
          <w:tab w:val="left" w:pos="90"/>
        </w:tabs>
        <w:autoSpaceDE w:val="0"/>
        <w:autoSpaceDN w:val="0"/>
        <w:rPr>
          <w:color w:val="000000"/>
        </w:rPr>
      </w:pPr>
      <w:r w:rsidRPr="00AC0DE9">
        <w:rPr>
          <w:color w:val="000000"/>
        </w:rPr>
        <w:t xml:space="preserve">(e-mail: szabolcs.farkas@hipo.gov.hu)  </w:t>
      </w:r>
    </w:p>
    <w:p w:rsidR="001B283D" w:rsidRDefault="001B283D" w:rsidP="001B283D">
      <w:pPr>
        <w:widowControl w:val="0"/>
        <w:tabs>
          <w:tab w:val="left" w:pos="90"/>
        </w:tabs>
        <w:autoSpaceDE w:val="0"/>
        <w:autoSpaceDN w:val="0"/>
        <w:rPr>
          <w:color w:val="000000"/>
        </w:rPr>
      </w:pPr>
    </w:p>
    <w:p w:rsidR="001B283D" w:rsidRPr="00AC0DE9" w:rsidRDefault="001B283D" w:rsidP="001B283D">
      <w:pPr>
        <w:widowControl w:val="0"/>
        <w:tabs>
          <w:tab w:val="left" w:pos="90"/>
        </w:tabs>
        <w:autoSpaceDE w:val="0"/>
        <w:autoSpaceDN w:val="0"/>
        <w:rPr>
          <w:color w:val="000000"/>
        </w:rPr>
      </w:pPr>
      <w:r w:rsidRPr="00AC0DE9">
        <w:rPr>
          <w:color w:val="000000"/>
        </w:rPr>
        <w:t xml:space="preserve">Katalin MIKLÓ (Ms.), Head of Chemical and Agricultural Division, Agriculture and Plant Variety Protection Section, Hungarian Intellectual Property Office, Budapest (e-mail: katalin.miklo@hipo.gov.hu)  </w:t>
      </w:r>
    </w:p>
    <w:p w:rsidR="001B283D" w:rsidRDefault="001B283D" w:rsidP="001B283D">
      <w:pPr>
        <w:widowControl w:val="0"/>
        <w:tabs>
          <w:tab w:val="left" w:pos="90"/>
        </w:tabs>
        <w:autoSpaceDE w:val="0"/>
        <w:autoSpaceDN w:val="0"/>
        <w:rPr>
          <w:color w:val="000000"/>
          <w:u w:val="single"/>
        </w:rPr>
      </w:pPr>
    </w:p>
    <w:p w:rsidR="001B283D" w:rsidRPr="00AC0DE9" w:rsidRDefault="001B283D" w:rsidP="001B283D">
      <w:pPr>
        <w:keepNext/>
        <w:widowControl w:val="0"/>
        <w:tabs>
          <w:tab w:val="left" w:pos="90"/>
        </w:tabs>
        <w:autoSpaceDE w:val="0"/>
        <w:autoSpaceDN w:val="0"/>
        <w:rPr>
          <w:color w:val="000000"/>
          <w:u w:val="single"/>
        </w:rPr>
      </w:pPr>
      <w:r w:rsidRPr="00AC0DE9">
        <w:rPr>
          <w:color w:val="000000"/>
          <w:u w:val="single"/>
        </w:rPr>
        <w:t>IRLANDE / IRELAND / IRLAND / IRLANDA</w:t>
      </w:r>
    </w:p>
    <w:p w:rsidR="001B283D" w:rsidRDefault="001B283D" w:rsidP="001B283D">
      <w:pPr>
        <w:keepNext/>
        <w:widowControl w:val="0"/>
        <w:tabs>
          <w:tab w:val="left" w:pos="90"/>
        </w:tabs>
        <w:autoSpaceDE w:val="0"/>
        <w:autoSpaceDN w:val="0"/>
        <w:rPr>
          <w:color w:val="000000"/>
        </w:rPr>
      </w:pPr>
    </w:p>
    <w:p w:rsidR="001B283D" w:rsidRPr="00AC0DE9" w:rsidRDefault="001B283D" w:rsidP="001B283D">
      <w:pPr>
        <w:keepNext/>
        <w:widowControl w:val="0"/>
        <w:tabs>
          <w:tab w:val="left" w:pos="90"/>
        </w:tabs>
        <w:autoSpaceDE w:val="0"/>
        <w:autoSpaceDN w:val="0"/>
        <w:rPr>
          <w:color w:val="000000"/>
        </w:rPr>
      </w:pPr>
      <w:r w:rsidRPr="00AC0DE9">
        <w:rPr>
          <w:color w:val="000000"/>
        </w:rPr>
        <w:t xml:space="preserve">Donal COLEMAN, Controller of Plant Breeders' Rights, National Crop Evaluation Centre, Department of Agriculture, National Crop Evaluation Centre, Leixlip (e-mail: donal.coleman@agriculture.gov.ie)  </w:t>
      </w:r>
    </w:p>
    <w:p w:rsidR="001B283D" w:rsidRDefault="001B283D" w:rsidP="001B283D">
      <w:pPr>
        <w:keepNext/>
        <w:widowControl w:val="0"/>
        <w:tabs>
          <w:tab w:val="left" w:pos="90"/>
        </w:tabs>
        <w:autoSpaceDE w:val="0"/>
        <w:autoSpaceDN w:val="0"/>
        <w:rPr>
          <w:color w:val="000000"/>
          <w:u w:val="single"/>
        </w:rPr>
      </w:pPr>
    </w:p>
    <w:p w:rsidR="001B283D" w:rsidRDefault="001B283D" w:rsidP="001B283D">
      <w:pPr>
        <w:widowControl w:val="0"/>
        <w:tabs>
          <w:tab w:val="left" w:pos="90"/>
        </w:tabs>
        <w:autoSpaceDE w:val="0"/>
        <w:autoSpaceDN w:val="0"/>
        <w:adjustRightInd w:val="0"/>
        <w:rPr>
          <w:color w:val="000000"/>
          <w:u w:val="single"/>
        </w:rPr>
      </w:pPr>
      <w:r w:rsidRPr="00DA2C8C">
        <w:rPr>
          <w:color w:val="000000"/>
          <w:u w:val="single"/>
        </w:rPr>
        <w:t>ITALIE / ITALY / ITALIEN / ITALIA</w:t>
      </w:r>
    </w:p>
    <w:p w:rsidR="001B283D" w:rsidRPr="00DA2C8C" w:rsidRDefault="001B283D" w:rsidP="001B283D">
      <w:pPr>
        <w:widowControl w:val="0"/>
        <w:tabs>
          <w:tab w:val="left" w:pos="90"/>
        </w:tabs>
        <w:autoSpaceDE w:val="0"/>
        <w:autoSpaceDN w:val="0"/>
        <w:adjustRightInd w:val="0"/>
        <w:rPr>
          <w:color w:val="000000"/>
          <w:u w:val="single"/>
        </w:rPr>
      </w:pPr>
    </w:p>
    <w:p w:rsidR="001B283D" w:rsidRDefault="001B283D" w:rsidP="001B283D">
      <w:pPr>
        <w:widowControl w:val="0"/>
        <w:tabs>
          <w:tab w:val="left" w:pos="90"/>
        </w:tabs>
        <w:autoSpaceDE w:val="0"/>
        <w:autoSpaceDN w:val="0"/>
        <w:adjustRightInd w:val="0"/>
        <w:rPr>
          <w:color w:val="000000"/>
          <w:u w:val="single"/>
        </w:rPr>
      </w:pPr>
      <w:r w:rsidRPr="00DA2C8C">
        <w:rPr>
          <w:color w:val="000000"/>
        </w:rPr>
        <w:t>Antonio ATAZ, Official of the General Secretariat of the Council of the EU, Council of the European Union, Brussels (e-mail: antonio.ataz@consilium.europa.eu)</w:t>
      </w:r>
    </w:p>
    <w:p w:rsidR="001B283D" w:rsidRDefault="001B283D" w:rsidP="001B283D">
      <w:pPr>
        <w:widowControl w:val="0"/>
        <w:tabs>
          <w:tab w:val="left" w:pos="90"/>
        </w:tabs>
        <w:autoSpaceDE w:val="0"/>
        <w:autoSpaceDN w:val="0"/>
        <w:rPr>
          <w:color w:val="000000"/>
          <w:u w:val="single"/>
        </w:rPr>
      </w:pPr>
    </w:p>
    <w:p w:rsidR="001B283D" w:rsidRPr="00EC749E" w:rsidRDefault="001B283D" w:rsidP="001B283D">
      <w:pPr>
        <w:widowControl w:val="0"/>
        <w:tabs>
          <w:tab w:val="left" w:pos="90"/>
        </w:tabs>
        <w:autoSpaceDE w:val="0"/>
        <w:autoSpaceDN w:val="0"/>
        <w:rPr>
          <w:color w:val="000000"/>
        </w:rPr>
      </w:pPr>
      <w:r w:rsidRPr="00EC749E">
        <w:rPr>
          <w:color w:val="000000"/>
        </w:rPr>
        <w:t xml:space="preserve">Loredana GUGLIELMETTI (Mrs.), Dirigente, Divisione XI - Invenzioni e modelli di utilità, Direzione generale per la lotta alla contraffazione, </w:t>
      </w:r>
      <w:r>
        <w:rPr>
          <w:color w:val="000000"/>
        </w:rPr>
        <w:t xml:space="preserve">Italian Patent and Trademark Office, </w:t>
      </w:r>
      <w:r w:rsidRPr="00FE42DF">
        <w:rPr>
          <w:color w:val="000000"/>
        </w:rPr>
        <w:t xml:space="preserve">Ministry of Economic Development, </w:t>
      </w:r>
      <w:r w:rsidRPr="00EC749E">
        <w:rPr>
          <w:color w:val="000000"/>
        </w:rPr>
        <w:t>Rom</w:t>
      </w:r>
      <w:r>
        <w:rPr>
          <w:color w:val="000000"/>
        </w:rPr>
        <w:t>e</w:t>
      </w:r>
      <w:r w:rsidRPr="00EC749E">
        <w:rPr>
          <w:color w:val="000000"/>
        </w:rPr>
        <w:t xml:space="preserve"> (e-mail: loredana.guglielmetti@sviluppoeconomico.gov.it) </w:t>
      </w:r>
    </w:p>
    <w:p w:rsidR="001B283D" w:rsidRPr="00EC749E" w:rsidRDefault="001B283D" w:rsidP="001B283D">
      <w:pPr>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rPr>
      </w:pPr>
      <w:r w:rsidRPr="00FE42DF">
        <w:rPr>
          <w:color w:val="000000"/>
        </w:rPr>
        <w:t xml:space="preserve">Ivana PUGLIESE (Mrs.), Chief Patent Examiner, Patent and Plant Variety Division, </w:t>
      </w:r>
      <w:r>
        <w:rPr>
          <w:color w:val="000000"/>
        </w:rPr>
        <w:t xml:space="preserve">Italian Patent and Trademark Office, </w:t>
      </w:r>
      <w:r w:rsidRPr="00FE42DF">
        <w:rPr>
          <w:color w:val="000000"/>
        </w:rPr>
        <w:t xml:space="preserve">Ministry of Economic Development, Rome (e-mail : </w:t>
      </w:r>
      <w:r w:rsidRPr="00EC749E">
        <w:rPr>
          <w:color w:val="000000"/>
        </w:rPr>
        <w:t>ivana.pugliese@mise.gov.it</w:t>
      </w:r>
      <w:r>
        <w:rPr>
          <w:color w:val="000000"/>
        </w:rPr>
        <w:t>)</w:t>
      </w:r>
    </w:p>
    <w:p w:rsidR="001B283D" w:rsidRDefault="001B283D" w:rsidP="001B283D">
      <w:pPr>
        <w:widowControl w:val="0"/>
        <w:tabs>
          <w:tab w:val="left" w:pos="90"/>
        </w:tabs>
        <w:autoSpaceDE w:val="0"/>
        <w:autoSpaceDN w:val="0"/>
        <w:rPr>
          <w:color w:val="000000"/>
        </w:rPr>
      </w:pPr>
    </w:p>
    <w:p w:rsidR="001B283D" w:rsidRPr="00FE42DF" w:rsidRDefault="001B283D" w:rsidP="001B283D">
      <w:pPr>
        <w:keepNext/>
        <w:keepLines/>
        <w:widowControl w:val="0"/>
        <w:tabs>
          <w:tab w:val="left" w:pos="90"/>
        </w:tabs>
        <w:autoSpaceDE w:val="0"/>
        <w:autoSpaceDN w:val="0"/>
        <w:rPr>
          <w:color w:val="000000"/>
          <w:u w:val="single"/>
        </w:rPr>
      </w:pPr>
      <w:r w:rsidRPr="00FE42DF">
        <w:rPr>
          <w:color w:val="000000"/>
          <w:u w:val="single"/>
        </w:rPr>
        <w:t>JAPON / JAPAN / JAPAN / JAPÓN</w:t>
      </w:r>
    </w:p>
    <w:p w:rsidR="001B283D" w:rsidRPr="00FE42DF" w:rsidRDefault="001B283D" w:rsidP="001B283D">
      <w:pPr>
        <w:keepNext/>
        <w:keepLines/>
        <w:widowControl w:val="0"/>
        <w:tabs>
          <w:tab w:val="left" w:pos="90"/>
        </w:tabs>
        <w:autoSpaceDE w:val="0"/>
        <w:autoSpaceDN w:val="0"/>
        <w:rPr>
          <w:color w:val="000000"/>
          <w:u w:val="single"/>
        </w:rPr>
      </w:pPr>
    </w:p>
    <w:p w:rsidR="001B283D" w:rsidRPr="00AC0DE9" w:rsidRDefault="001B283D" w:rsidP="001B283D">
      <w:pPr>
        <w:keepNext/>
        <w:keepLines/>
        <w:widowControl w:val="0"/>
        <w:tabs>
          <w:tab w:val="left" w:pos="90"/>
        </w:tabs>
        <w:autoSpaceDE w:val="0"/>
        <w:autoSpaceDN w:val="0"/>
        <w:rPr>
          <w:color w:val="000000"/>
        </w:rPr>
      </w:pPr>
      <w:r w:rsidRPr="00AC0DE9">
        <w:rPr>
          <w:color w:val="000000"/>
        </w:rPr>
        <w:t xml:space="preserve">Katsuhiro SAKA, Director, New Business and Intellectual Property Division, Ministry of Agriculture, Forestry and Fisheries (MAFF), Tokyo (e-mail: katsuhiro_saka@nm.maff.go.jp) </w:t>
      </w:r>
    </w:p>
    <w:p w:rsidR="001B283D" w:rsidRPr="00AC0DE9" w:rsidRDefault="001B283D" w:rsidP="001B283D">
      <w:pPr>
        <w:keepLines/>
        <w:widowControl w:val="0"/>
        <w:tabs>
          <w:tab w:val="left" w:pos="90"/>
        </w:tabs>
        <w:autoSpaceDE w:val="0"/>
        <w:autoSpaceDN w:val="0"/>
        <w:rPr>
          <w:color w:val="000000"/>
          <w:u w:val="single"/>
        </w:rPr>
      </w:pPr>
    </w:p>
    <w:p w:rsidR="001B283D" w:rsidRDefault="001B283D" w:rsidP="001B283D">
      <w:pPr>
        <w:keepLines/>
        <w:widowControl w:val="0"/>
        <w:tabs>
          <w:tab w:val="left" w:pos="90"/>
        </w:tabs>
        <w:autoSpaceDE w:val="0"/>
        <w:autoSpaceDN w:val="0"/>
        <w:rPr>
          <w:color w:val="000000"/>
        </w:rPr>
      </w:pPr>
      <w:r w:rsidRPr="00AC0DE9">
        <w:rPr>
          <w:color w:val="000000"/>
        </w:rPr>
        <w:lastRenderedPageBreak/>
        <w:t xml:space="preserve">Akira MIYAKE, Senior Policy Advisor, New Business and Intellectual Property Division, Food Industry Affairs Bureau, Ministry of Agriculture, Forestry and Fisheries (MAFF), Tokyo (e-mail: akira_miyake@nm.maff.go.jp)  </w:t>
      </w:r>
    </w:p>
    <w:p w:rsidR="001B283D" w:rsidRPr="00AC0DE9" w:rsidRDefault="001B283D" w:rsidP="001B283D">
      <w:pPr>
        <w:keepLines/>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u w:val="single"/>
        </w:rPr>
      </w:pPr>
      <w:r w:rsidRPr="00AC0DE9">
        <w:rPr>
          <w:color w:val="000000"/>
          <w:u w:val="single"/>
        </w:rPr>
        <w:t>LETTONIE / LATVIA / LETTLAND / LETONIA</w:t>
      </w:r>
    </w:p>
    <w:p w:rsidR="001B283D" w:rsidRPr="00AC0DE9" w:rsidRDefault="001B283D" w:rsidP="001B283D">
      <w:pPr>
        <w:widowControl w:val="0"/>
        <w:tabs>
          <w:tab w:val="left" w:pos="90"/>
        </w:tabs>
        <w:autoSpaceDE w:val="0"/>
        <w:autoSpaceDN w:val="0"/>
        <w:rPr>
          <w:color w:val="000000"/>
          <w:u w:val="single"/>
        </w:rPr>
      </w:pPr>
    </w:p>
    <w:p w:rsidR="001B283D" w:rsidRPr="00AC0DE9" w:rsidRDefault="001B283D" w:rsidP="001B283D">
      <w:pPr>
        <w:widowControl w:val="0"/>
        <w:tabs>
          <w:tab w:val="left" w:pos="90"/>
        </w:tabs>
        <w:autoSpaceDE w:val="0"/>
        <w:autoSpaceDN w:val="0"/>
        <w:rPr>
          <w:color w:val="000000"/>
        </w:rPr>
      </w:pPr>
      <w:r w:rsidRPr="00AC0DE9">
        <w:rPr>
          <w:color w:val="000000"/>
        </w:rPr>
        <w:t>Daiga BAJALE (Miss), Senior Officer, Seed Control Department, Division of Seed Certification and Plant Variety Protection, State Plant Protection Service, Riga (e-mail: daiga.bajale@vaad.gov.lv)</w:t>
      </w:r>
    </w:p>
    <w:p w:rsidR="001B283D" w:rsidRPr="00AC0DE9" w:rsidRDefault="001B283D" w:rsidP="001B283D">
      <w:pPr>
        <w:widowControl w:val="0"/>
        <w:tabs>
          <w:tab w:val="left" w:pos="90"/>
        </w:tabs>
        <w:autoSpaceDE w:val="0"/>
        <w:autoSpaceDN w:val="0"/>
        <w:rPr>
          <w:color w:val="000000"/>
        </w:rPr>
      </w:pPr>
      <w:r w:rsidRPr="00AC0DE9">
        <w:rPr>
          <w:color w:val="000000"/>
        </w:rPr>
        <w:t xml:space="preserve">  </w:t>
      </w:r>
    </w:p>
    <w:p w:rsidR="001B283D" w:rsidRDefault="001B283D" w:rsidP="001B283D">
      <w:pPr>
        <w:widowControl w:val="0"/>
        <w:tabs>
          <w:tab w:val="left" w:pos="90"/>
        </w:tabs>
        <w:autoSpaceDE w:val="0"/>
        <w:autoSpaceDN w:val="0"/>
        <w:rPr>
          <w:color w:val="000000"/>
        </w:rPr>
      </w:pPr>
      <w:r w:rsidRPr="00AC0DE9">
        <w:rPr>
          <w:color w:val="000000"/>
        </w:rPr>
        <w:t>Iveta OZOLINA (Mrs.), Deputy Director, Department of Agriculture, Ministry of Agriculture, Riga</w:t>
      </w:r>
    </w:p>
    <w:p w:rsidR="001B283D" w:rsidRPr="00E73C16" w:rsidRDefault="001B283D" w:rsidP="001B283D">
      <w:pPr>
        <w:widowControl w:val="0"/>
        <w:tabs>
          <w:tab w:val="left" w:pos="90"/>
        </w:tabs>
        <w:autoSpaceDE w:val="0"/>
        <w:autoSpaceDN w:val="0"/>
        <w:rPr>
          <w:color w:val="000000"/>
          <w:lang w:val="fr-CH"/>
        </w:rPr>
      </w:pPr>
      <w:r w:rsidRPr="00E73C16">
        <w:rPr>
          <w:color w:val="000000"/>
          <w:lang w:val="fr-CH"/>
        </w:rPr>
        <w:t xml:space="preserve">(e-mail: iveta.ozolina@zm.gov.lv)  </w:t>
      </w:r>
    </w:p>
    <w:p w:rsidR="001B283D" w:rsidRPr="00E73C16" w:rsidRDefault="001B283D" w:rsidP="001B283D">
      <w:pPr>
        <w:widowControl w:val="0"/>
        <w:tabs>
          <w:tab w:val="left" w:pos="90"/>
        </w:tabs>
        <w:autoSpaceDE w:val="0"/>
        <w:autoSpaceDN w:val="0"/>
        <w:rPr>
          <w:color w:val="000000"/>
          <w:u w:val="single"/>
          <w:lang w:val="fr-CH"/>
        </w:rPr>
      </w:pPr>
    </w:p>
    <w:p w:rsidR="001B283D" w:rsidRPr="00E73C16" w:rsidRDefault="001B283D" w:rsidP="001B283D">
      <w:pPr>
        <w:widowControl w:val="0"/>
        <w:tabs>
          <w:tab w:val="left" w:pos="90"/>
        </w:tabs>
        <w:autoSpaceDE w:val="0"/>
        <w:autoSpaceDN w:val="0"/>
        <w:rPr>
          <w:color w:val="000000"/>
          <w:u w:val="single"/>
          <w:lang w:val="fr-CH"/>
        </w:rPr>
      </w:pPr>
      <w:r w:rsidRPr="00E73C16">
        <w:rPr>
          <w:color w:val="000000"/>
          <w:u w:val="single"/>
          <w:lang w:val="fr-CH"/>
        </w:rPr>
        <w:t>LITUANIE / LITHUANIA / LITAUEN / LITUANIA</w:t>
      </w:r>
    </w:p>
    <w:p w:rsidR="001B283D" w:rsidRPr="00E73C16" w:rsidRDefault="001B283D" w:rsidP="001B283D">
      <w:pPr>
        <w:widowControl w:val="0"/>
        <w:tabs>
          <w:tab w:val="left" w:pos="90"/>
        </w:tabs>
        <w:autoSpaceDE w:val="0"/>
        <w:autoSpaceDN w:val="0"/>
        <w:rPr>
          <w:color w:val="000000"/>
          <w:u w:val="single"/>
          <w:lang w:val="fr-CH"/>
        </w:rPr>
      </w:pPr>
    </w:p>
    <w:p w:rsidR="001B283D" w:rsidRDefault="001B283D" w:rsidP="001B283D">
      <w:pPr>
        <w:widowControl w:val="0"/>
        <w:tabs>
          <w:tab w:val="left" w:pos="90"/>
        </w:tabs>
        <w:autoSpaceDE w:val="0"/>
        <w:autoSpaceDN w:val="0"/>
        <w:rPr>
          <w:color w:val="000000"/>
        </w:rPr>
      </w:pPr>
      <w:r w:rsidRPr="00A643CA">
        <w:rPr>
          <w:color w:val="000000"/>
        </w:rPr>
        <w:t>Rasa ZUIKIENÉ (Mrs.), Deputy Head of the plant variety division, State Plant Service under the Ministry of Agriculture, Vilnius (e-mail: rasa.zuikiene@vatzum.lt)</w:t>
      </w:r>
      <w:r w:rsidRPr="00AC0DE9">
        <w:rPr>
          <w:color w:val="000000"/>
        </w:rPr>
        <w:t xml:space="preserve">  </w:t>
      </w:r>
    </w:p>
    <w:p w:rsidR="001B283D" w:rsidRPr="00AC0DE9" w:rsidRDefault="001B283D" w:rsidP="001B283D">
      <w:pPr>
        <w:widowControl w:val="0"/>
        <w:tabs>
          <w:tab w:val="left" w:pos="90"/>
        </w:tabs>
        <w:autoSpaceDE w:val="0"/>
        <w:autoSpaceDN w:val="0"/>
        <w:rPr>
          <w:color w:val="000000"/>
        </w:rPr>
      </w:pPr>
    </w:p>
    <w:p w:rsidR="001B283D" w:rsidRDefault="001B283D" w:rsidP="001B283D">
      <w:pPr>
        <w:keepNext/>
        <w:keepLines/>
        <w:widowControl w:val="0"/>
        <w:tabs>
          <w:tab w:val="left" w:pos="90"/>
        </w:tabs>
        <w:autoSpaceDE w:val="0"/>
        <w:autoSpaceDN w:val="0"/>
        <w:rPr>
          <w:color w:val="000000"/>
          <w:u w:val="single"/>
        </w:rPr>
      </w:pPr>
      <w:r w:rsidRPr="00AC0DE9">
        <w:rPr>
          <w:color w:val="000000"/>
          <w:u w:val="single"/>
        </w:rPr>
        <w:t>MAROC / MOROCCO / MAROKKO / MARRUECOS</w:t>
      </w:r>
    </w:p>
    <w:p w:rsidR="001B283D" w:rsidRPr="00AC0DE9" w:rsidRDefault="001B283D" w:rsidP="001B283D">
      <w:pPr>
        <w:keepNext/>
        <w:keepLines/>
        <w:widowControl w:val="0"/>
        <w:tabs>
          <w:tab w:val="left" w:pos="90"/>
        </w:tabs>
        <w:autoSpaceDE w:val="0"/>
        <w:autoSpaceDN w:val="0"/>
        <w:rPr>
          <w:color w:val="000000"/>
          <w:u w:val="single"/>
        </w:rPr>
      </w:pPr>
    </w:p>
    <w:p w:rsidR="001B283D" w:rsidRPr="00AC0DE9" w:rsidRDefault="001B283D" w:rsidP="001B283D">
      <w:pPr>
        <w:keepNext/>
        <w:keepLines/>
        <w:widowControl w:val="0"/>
        <w:tabs>
          <w:tab w:val="left" w:pos="90"/>
        </w:tabs>
        <w:autoSpaceDE w:val="0"/>
        <w:autoSpaceDN w:val="0"/>
        <w:rPr>
          <w:color w:val="000000"/>
        </w:rPr>
      </w:pPr>
      <w:r w:rsidRPr="00AC0DE9">
        <w:rPr>
          <w:color w:val="000000"/>
        </w:rPr>
        <w:t xml:space="preserve">Zoubida TAOUSSI (Mrs.), Responsible of Plant Variety Protection, Division of Seed and Plant Control, The National Office for Food Safety, Rabat (e-mail: ztaoussi67@gmail.com)  </w:t>
      </w:r>
    </w:p>
    <w:p w:rsidR="001B283D" w:rsidRPr="00AC0DE9" w:rsidRDefault="001B283D" w:rsidP="001B283D">
      <w:pPr>
        <w:widowControl w:val="0"/>
        <w:tabs>
          <w:tab w:val="left" w:pos="90"/>
        </w:tabs>
        <w:autoSpaceDE w:val="0"/>
        <w:autoSpaceDN w:val="0"/>
        <w:rPr>
          <w:color w:val="000000"/>
        </w:rPr>
      </w:pPr>
    </w:p>
    <w:p w:rsidR="001B283D" w:rsidRPr="00E73C16" w:rsidRDefault="001B283D" w:rsidP="001B283D">
      <w:pPr>
        <w:widowControl w:val="0"/>
        <w:tabs>
          <w:tab w:val="left" w:pos="90"/>
        </w:tabs>
        <w:autoSpaceDE w:val="0"/>
        <w:autoSpaceDN w:val="0"/>
        <w:rPr>
          <w:color w:val="000000"/>
          <w:u w:val="single"/>
          <w:lang w:val="es-ES"/>
        </w:rPr>
      </w:pPr>
      <w:r w:rsidRPr="00E73C16">
        <w:rPr>
          <w:color w:val="000000"/>
          <w:u w:val="single"/>
          <w:lang w:val="es-ES"/>
        </w:rPr>
        <w:t>MEXIQUE / MEXICO / MEXIKO / MÉXICO</w:t>
      </w:r>
    </w:p>
    <w:p w:rsidR="001B283D" w:rsidRPr="00E73C16" w:rsidRDefault="001B283D" w:rsidP="001B283D">
      <w:pPr>
        <w:widowControl w:val="0"/>
        <w:tabs>
          <w:tab w:val="left" w:pos="90"/>
        </w:tabs>
        <w:autoSpaceDE w:val="0"/>
        <w:autoSpaceDN w:val="0"/>
        <w:rPr>
          <w:color w:val="000000"/>
          <w:u w:val="single"/>
          <w:lang w:val="es-ES"/>
        </w:rPr>
      </w:pPr>
    </w:p>
    <w:p w:rsidR="001B283D" w:rsidRPr="00E73C16" w:rsidRDefault="001B283D" w:rsidP="001B283D">
      <w:pPr>
        <w:widowControl w:val="0"/>
        <w:tabs>
          <w:tab w:val="left" w:pos="90"/>
        </w:tabs>
        <w:autoSpaceDE w:val="0"/>
        <w:autoSpaceDN w:val="0"/>
        <w:adjustRightInd w:val="0"/>
        <w:rPr>
          <w:color w:val="000000"/>
          <w:lang w:val="es-ES"/>
        </w:rPr>
      </w:pPr>
      <w:r w:rsidRPr="00E73C16">
        <w:rPr>
          <w:color w:val="000000"/>
          <w:lang w:val="es-ES"/>
        </w:rPr>
        <w:t>Eduardo PADILLA VACA, Director de Registro de Variedades Vegetales, Servicio Nacional de Inspección y Certificación de Semillas (SNICS), México (e-mail: eduardo.padilla@</w:t>
      </w:r>
      <w:r>
        <w:rPr>
          <w:color w:val="000000"/>
          <w:lang w:val="es-ES"/>
        </w:rPr>
        <w:t>sagarpa</w:t>
      </w:r>
      <w:r w:rsidRPr="00E73C16">
        <w:rPr>
          <w:color w:val="000000"/>
          <w:lang w:val="es-ES"/>
        </w:rPr>
        <w:t xml:space="preserve">.gob.mx) </w:t>
      </w:r>
    </w:p>
    <w:p w:rsidR="001B283D" w:rsidRPr="00E73C16" w:rsidRDefault="001B283D" w:rsidP="001B283D">
      <w:pPr>
        <w:widowControl w:val="0"/>
        <w:tabs>
          <w:tab w:val="left" w:pos="90"/>
        </w:tabs>
        <w:autoSpaceDE w:val="0"/>
        <w:autoSpaceDN w:val="0"/>
        <w:rPr>
          <w:color w:val="000000"/>
          <w:lang w:val="es-ES"/>
        </w:rPr>
      </w:pPr>
    </w:p>
    <w:p w:rsidR="001B283D" w:rsidRDefault="001B283D" w:rsidP="001B283D">
      <w:pPr>
        <w:widowControl w:val="0"/>
        <w:tabs>
          <w:tab w:val="left" w:pos="90"/>
        </w:tabs>
        <w:autoSpaceDE w:val="0"/>
        <w:autoSpaceDN w:val="0"/>
        <w:rPr>
          <w:color w:val="000000"/>
          <w:u w:val="single"/>
        </w:rPr>
      </w:pPr>
      <w:r w:rsidRPr="00AC0DE9">
        <w:rPr>
          <w:color w:val="000000"/>
          <w:u w:val="single"/>
        </w:rPr>
        <w:t>NORVÈGE / NORWAY / NORWEGEN / NORUEGA</w:t>
      </w:r>
    </w:p>
    <w:p w:rsidR="001B283D" w:rsidRPr="00AC0DE9" w:rsidRDefault="001B283D" w:rsidP="001B283D">
      <w:pPr>
        <w:widowControl w:val="0"/>
        <w:tabs>
          <w:tab w:val="left" w:pos="90"/>
        </w:tabs>
        <w:autoSpaceDE w:val="0"/>
        <w:autoSpaceDN w:val="0"/>
        <w:rPr>
          <w:color w:val="000000"/>
          <w:u w:val="single"/>
        </w:rPr>
      </w:pPr>
    </w:p>
    <w:p w:rsidR="001B283D" w:rsidRPr="00AC0DE9" w:rsidRDefault="001B283D" w:rsidP="001B283D">
      <w:pPr>
        <w:widowControl w:val="0"/>
        <w:tabs>
          <w:tab w:val="left" w:pos="90"/>
        </w:tabs>
        <w:autoSpaceDE w:val="0"/>
        <w:autoSpaceDN w:val="0"/>
        <w:rPr>
          <w:color w:val="000000"/>
        </w:rPr>
      </w:pPr>
      <w:r w:rsidRPr="00AC0DE9">
        <w:rPr>
          <w:color w:val="000000"/>
        </w:rPr>
        <w:t xml:space="preserve">Tor Erik JØRGENSEN, Head of Department for National Approvals, Norwegian Food Safety Authority, Brumunddal (e-mail: tor.erik.jorgensen@mattilsynet.no)  </w:t>
      </w:r>
    </w:p>
    <w:p w:rsidR="001B283D" w:rsidRPr="00AC0DE9" w:rsidRDefault="001B283D" w:rsidP="001B283D">
      <w:pPr>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rPr>
      </w:pPr>
      <w:r w:rsidRPr="00AC0DE9">
        <w:rPr>
          <w:color w:val="000000"/>
        </w:rPr>
        <w:t xml:space="preserve">Marianne SMITH (Ms.), Senior Advisor, Norwegian Ministry of Agriculture and Food, Oslo </w:t>
      </w:r>
    </w:p>
    <w:p w:rsidR="001B283D" w:rsidRPr="00E73C16" w:rsidRDefault="001B283D" w:rsidP="001B283D">
      <w:pPr>
        <w:widowControl w:val="0"/>
        <w:tabs>
          <w:tab w:val="left" w:pos="90"/>
        </w:tabs>
        <w:autoSpaceDE w:val="0"/>
        <w:autoSpaceDN w:val="0"/>
        <w:rPr>
          <w:color w:val="000000"/>
          <w:lang w:val="fr-CH"/>
        </w:rPr>
      </w:pPr>
      <w:r w:rsidRPr="00E73C16">
        <w:rPr>
          <w:color w:val="000000"/>
          <w:lang w:val="fr-CH"/>
        </w:rPr>
        <w:t xml:space="preserve">(e-mail: marianne.smith@lmd.dep.no)  </w:t>
      </w:r>
    </w:p>
    <w:p w:rsidR="001B283D" w:rsidRPr="00E73C16" w:rsidRDefault="001B283D" w:rsidP="001B283D">
      <w:pPr>
        <w:widowControl w:val="0"/>
        <w:tabs>
          <w:tab w:val="left" w:pos="90"/>
        </w:tabs>
        <w:autoSpaceDE w:val="0"/>
        <w:autoSpaceDN w:val="0"/>
        <w:rPr>
          <w:color w:val="000000"/>
          <w:lang w:val="fr-CH"/>
        </w:rPr>
      </w:pPr>
    </w:p>
    <w:p w:rsidR="001B283D" w:rsidRPr="00E73C16" w:rsidRDefault="001B283D" w:rsidP="001B283D">
      <w:pPr>
        <w:keepNext/>
        <w:widowControl w:val="0"/>
        <w:tabs>
          <w:tab w:val="left" w:pos="90"/>
        </w:tabs>
        <w:autoSpaceDE w:val="0"/>
        <w:autoSpaceDN w:val="0"/>
        <w:rPr>
          <w:color w:val="000000"/>
          <w:u w:val="single"/>
          <w:lang w:val="fr-CH"/>
        </w:rPr>
      </w:pPr>
      <w:r w:rsidRPr="00E73C16">
        <w:rPr>
          <w:color w:val="000000"/>
          <w:u w:val="single"/>
          <w:lang w:val="fr-CH"/>
        </w:rPr>
        <w:t xml:space="preserve">ORGANISATION AFRICAINE DE LA PROPRIÉTÉ INTELLECTUELLE / OAPI - AFRICAN </w:t>
      </w:r>
    </w:p>
    <w:p w:rsidR="001B283D" w:rsidRPr="00AC0DE9" w:rsidRDefault="001B283D" w:rsidP="001B283D">
      <w:pPr>
        <w:keepNext/>
        <w:widowControl w:val="0"/>
        <w:tabs>
          <w:tab w:val="left" w:pos="90"/>
        </w:tabs>
        <w:autoSpaceDE w:val="0"/>
        <w:autoSpaceDN w:val="0"/>
        <w:rPr>
          <w:color w:val="000000"/>
          <w:u w:val="single"/>
        </w:rPr>
      </w:pPr>
      <w:r w:rsidRPr="00AC0DE9">
        <w:rPr>
          <w:color w:val="000000"/>
          <w:u w:val="single"/>
        </w:rPr>
        <w:t xml:space="preserve">INTELLECTUAL PROPERTY ORGANIZATION / AFRIKANISCHE ORGANISATION FÜR </w:t>
      </w:r>
    </w:p>
    <w:p w:rsidR="001B283D" w:rsidRPr="00E73C16" w:rsidRDefault="001B283D" w:rsidP="001B283D">
      <w:pPr>
        <w:keepNext/>
        <w:widowControl w:val="0"/>
        <w:tabs>
          <w:tab w:val="left" w:pos="90"/>
        </w:tabs>
        <w:autoSpaceDE w:val="0"/>
        <w:autoSpaceDN w:val="0"/>
        <w:rPr>
          <w:color w:val="000000"/>
          <w:u w:val="single"/>
          <w:lang w:val="es-ES"/>
        </w:rPr>
      </w:pPr>
      <w:r w:rsidRPr="00E73C16">
        <w:rPr>
          <w:color w:val="000000"/>
          <w:u w:val="single"/>
          <w:lang w:val="es-ES"/>
        </w:rPr>
        <w:t xml:space="preserve">GEISTIGES EIGENTUM / ORGANIZACIÓN AFRICANA DE LA PROPIEDAD </w:t>
      </w:r>
    </w:p>
    <w:p w:rsidR="001B283D" w:rsidRPr="00E73C16" w:rsidRDefault="001B283D" w:rsidP="001B283D">
      <w:pPr>
        <w:keepNext/>
        <w:widowControl w:val="0"/>
        <w:tabs>
          <w:tab w:val="left" w:pos="90"/>
        </w:tabs>
        <w:autoSpaceDE w:val="0"/>
        <w:autoSpaceDN w:val="0"/>
        <w:rPr>
          <w:color w:val="000000"/>
          <w:u w:val="single"/>
          <w:lang w:val="fr-CH"/>
        </w:rPr>
      </w:pPr>
      <w:r w:rsidRPr="00E73C16">
        <w:rPr>
          <w:color w:val="000000"/>
          <w:u w:val="single"/>
          <w:lang w:val="fr-CH"/>
        </w:rPr>
        <w:t>INTELECTUAL</w:t>
      </w:r>
    </w:p>
    <w:p w:rsidR="001B283D" w:rsidRPr="00E73C16" w:rsidRDefault="001B283D" w:rsidP="001B283D">
      <w:pPr>
        <w:keepNext/>
        <w:widowControl w:val="0"/>
        <w:tabs>
          <w:tab w:val="left" w:pos="90"/>
        </w:tabs>
        <w:autoSpaceDE w:val="0"/>
        <w:autoSpaceDN w:val="0"/>
        <w:rPr>
          <w:color w:val="000000"/>
          <w:u w:val="single"/>
          <w:lang w:val="fr-CH"/>
        </w:rPr>
      </w:pPr>
    </w:p>
    <w:p w:rsidR="001B283D" w:rsidRPr="00E73C16" w:rsidRDefault="001B283D" w:rsidP="001B283D">
      <w:pPr>
        <w:keepNext/>
        <w:widowControl w:val="0"/>
        <w:tabs>
          <w:tab w:val="left" w:pos="90"/>
        </w:tabs>
        <w:autoSpaceDE w:val="0"/>
        <w:autoSpaceDN w:val="0"/>
        <w:rPr>
          <w:color w:val="000000"/>
          <w:lang w:val="fr-CH"/>
        </w:rPr>
      </w:pPr>
      <w:r w:rsidRPr="00E73C16">
        <w:rPr>
          <w:color w:val="000000"/>
          <w:lang w:val="fr-CH"/>
        </w:rPr>
        <w:t xml:space="preserve">Juliette DOUMATEY AYITE (Mme), Directeur Général Adjoint, Organisation africaine de la </w:t>
      </w:r>
    </w:p>
    <w:p w:rsidR="001B283D" w:rsidRPr="00E73C16" w:rsidRDefault="001B283D" w:rsidP="001B283D">
      <w:pPr>
        <w:keepNext/>
        <w:widowControl w:val="0"/>
        <w:tabs>
          <w:tab w:val="left" w:pos="90"/>
        </w:tabs>
        <w:autoSpaceDE w:val="0"/>
        <w:autoSpaceDN w:val="0"/>
        <w:rPr>
          <w:color w:val="000000"/>
          <w:lang w:val="fr-CH"/>
        </w:rPr>
      </w:pPr>
      <w:r w:rsidRPr="00E73C16">
        <w:rPr>
          <w:color w:val="000000"/>
          <w:lang w:val="fr-CH"/>
        </w:rPr>
        <w:t xml:space="preserve">propriété intellectuelle (OAPI), Yaoundé (e-mail: ayijuliette@yahoo.fr)  </w:t>
      </w:r>
    </w:p>
    <w:p w:rsidR="001B283D" w:rsidRPr="00E73C16" w:rsidRDefault="001B283D" w:rsidP="001B283D">
      <w:pPr>
        <w:keepNext/>
        <w:widowControl w:val="0"/>
        <w:tabs>
          <w:tab w:val="left" w:pos="90"/>
        </w:tabs>
        <w:autoSpaceDE w:val="0"/>
        <w:autoSpaceDN w:val="0"/>
        <w:rPr>
          <w:color w:val="000000"/>
          <w:lang w:val="fr-CH"/>
        </w:rPr>
      </w:pPr>
    </w:p>
    <w:p w:rsidR="001B283D" w:rsidRPr="00E73C16" w:rsidRDefault="001B283D" w:rsidP="001B283D">
      <w:pPr>
        <w:keepNext/>
        <w:widowControl w:val="0"/>
        <w:tabs>
          <w:tab w:val="left" w:pos="90"/>
        </w:tabs>
        <w:autoSpaceDE w:val="0"/>
        <w:autoSpaceDN w:val="0"/>
        <w:rPr>
          <w:color w:val="000000"/>
          <w:lang w:val="fr-CH"/>
        </w:rPr>
      </w:pPr>
      <w:r w:rsidRPr="00E73C16">
        <w:rPr>
          <w:color w:val="000000"/>
          <w:lang w:val="fr-CH"/>
        </w:rPr>
        <w:t xml:space="preserve">Wéré Régine GAZARO (Madame), Directeur, Protection de la propriété industrielle, Organisation </w:t>
      </w:r>
    </w:p>
    <w:p w:rsidR="001B283D" w:rsidRPr="00E73C16" w:rsidRDefault="001B283D" w:rsidP="001B283D">
      <w:pPr>
        <w:keepNext/>
        <w:widowControl w:val="0"/>
        <w:tabs>
          <w:tab w:val="left" w:pos="90"/>
        </w:tabs>
        <w:autoSpaceDE w:val="0"/>
        <w:autoSpaceDN w:val="0"/>
        <w:rPr>
          <w:color w:val="000000"/>
          <w:lang w:val="fr-CH"/>
        </w:rPr>
      </w:pPr>
      <w:r w:rsidRPr="00E73C16">
        <w:rPr>
          <w:color w:val="000000"/>
          <w:lang w:val="fr-CH"/>
        </w:rPr>
        <w:t xml:space="preserve">africaine de la propriété intellectuelle (OAPI), Yaoundé (e-mail: </w:t>
      </w:r>
      <w:r w:rsidRPr="00D539E8">
        <w:rPr>
          <w:lang w:val="fr-CH"/>
        </w:rPr>
        <w:t>were_regine@yahoo.fr</w:t>
      </w:r>
      <w:r w:rsidRPr="00E73C16">
        <w:rPr>
          <w:lang w:val="fr-CH"/>
        </w:rPr>
        <w:t>)</w:t>
      </w:r>
    </w:p>
    <w:p w:rsidR="001B283D" w:rsidRPr="00E73C16" w:rsidRDefault="001B283D" w:rsidP="001B283D">
      <w:pPr>
        <w:keepNext/>
        <w:widowControl w:val="0"/>
        <w:tabs>
          <w:tab w:val="left" w:pos="90"/>
        </w:tabs>
        <w:autoSpaceDE w:val="0"/>
        <w:autoSpaceDN w:val="0"/>
        <w:rPr>
          <w:color w:val="000000"/>
          <w:lang w:val="fr-CH"/>
        </w:rPr>
      </w:pPr>
    </w:p>
    <w:p w:rsidR="001B283D" w:rsidRPr="00E73C16" w:rsidRDefault="001B283D" w:rsidP="001B283D">
      <w:pPr>
        <w:widowControl w:val="0"/>
        <w:tabs>
          <w:tab w:val="left" w:pos="90"/>
        </w:tabs>
        <w:autoSpaceDE w:val="0"/>
        <w:autoSpaceDN w:val="0"/>
        <w:rPr>
          <w:color w:val="000000"/>
          <w:u w:val="single"/>
          <w:lang w:val="es-ES"/>
        </w:rPr>
      </w:pPr>
      <w:r w:rsidRPr="00E73C16">
        <w:rPr>
          <w:color w:val="000000"/>
          <w:u w:val="single"/>
          <w:lang w:val="es-ES"/>
        </w:rPr>
        <w:t>PARAGUAY / PARAGUAY / PARAGUAY / PARAGUAY</w:t>
      </w:r>
    </w:p>
    <w:p w:rsidR="001B283D" w:rsidRPr="00E73C16" w:rsidRDefault="001B283D" w:rsidP="001B283D">
      <w:pPr>
        <w:widowControl w:val="0"/>
        <w:tabs>
          <w:tab w:val="left" w:pos="90"/>
        </w:tabs>
        <w:autoSpaceDE w:val="0"/>
        <w:autoSpaceDN w:val="0"/>
        <w:rPr>
          <w:color w:val="000000"/>
          <w:u w:val="single"/>
          <w:lang w:val="es-ES"/>
        </w:rPr>
      </w:pPr>
    </w:p>
    <w:p w:rsidR="001B283D" w:rsidRPr="00E73C16" w:rsidRDefault="001B283D" w:rsidP="001B283D">
      <w:pPr>
        <w:widowControl w:val="0"/>
        <w:tabs>
          <w:tab w:val="left" w:pos="90"/>
        </w:tabs>
        <w:autoSpaceDE w:val="0"/>
        <w:autoSpaceDN w:val="0"/>
        <w:rPr>
          <w:color w:val="000000"/>
          <w:u w:val="single"/>
          <w:lang w:val="es-ES"/>
        </w:rPr>
      </w:pPr>
      <w:r w:rsidRPr="00E73C16">
        <w:rPr>
          <w:color w:val="000000"/>
          <w:lang w:val="es-ES"/>
        </w:rPr>
        <w:t>Regis MERELES MACIEL, Presidente, Servicio Nacional de Calidad y Sanidad Vegetal y de Semillas (SENAVE) (e-mail: regis.mereles@senave.gov.py)</w:t>
      </w:r>
    </w:p>
    <w:p w:rsidR="001B283D" w:rsidRPr="00E73C16" w:rsidRDefault="001B283D" w:rsidP="001B283D">
      <w:pPr>
        <w:widowControl w:val="0"/>
        <w:tabs>
          <w:tab w:val="left" w:pos="90"/>
        </w:tabs>
        <w:autoSpaceDE w:val="0"/>
        <w:autoSpaceDN w:val="0"/>
        <w:rPr>
          <w:color w:val="000000"/>
          <w:u w:val="single"/>
          <w:lang w:val="es-ES"/>
        </w:rPr>
      </w:pPr>
    </w:p>
    <w:p w:rsidR="001B283D" w:rsidRPr="00E73C16" w:rsidRDefault="001B283D" w:rsidP="001B283D">
      <w:pPr>
        <w:keepLines/>
        <w:widowControl w:val="0"/>
        <w:tabs>
          <w:tab w:val="left" w:pos="90"/>
        </w:tabs>
        <w:autoSpaceDE w:val="0"/>
        <w:autoSpaceDN w:val="0"/>
        <w:rPr>
          <w:color w:val="000000"/>
          <w:lang w:val="es-ES"/>
        </w:rPr>
      </w:pPr>
      <w:r w:rsidRPr="00E73C16">
        <w:rPr>
          <w:color w:val="000000"/>
          <w:lang w:val="es-ES"/>
        </w:rPr>
        <w:t>Sr. Enrique ROJAS MACEDO, Director General, Dirección General de Asuntos Jurídicos Servicio Nacional de Calidad y Sanidad Vegetal y de Semillas (SENAVE), (e-mail: enrique.macedo@senave.gov.py</w:t>
      </w:r>
      <w:r>
        <w:rPr>
          <w:color w:val="000000"/>
          <w:lang w:val="es-ES"/>
        </w:rPr>
        <w:t>)</w:t>
      </w:r>
    </w:p>
    <w:p w:rsidR="001B283D" w:rsidRPr="00E73C16" w:rsidRDefault="001B283D" w:rsidP="001B283D">
      <w:pPr>
        <w:widowControl w:val="0"/>
        <w:tabs>
          <w:tab w:val="left" w:pos="90"/>
        </w:tabs>
        <w:autoSpaceDE w:val="0"/>
        <w:autoSpaceDN w:val="0"/>
        <w:rPr>
          <w:color w:val="000000"/>
          <w:lang w:val="es-ES"/>
        </w:rPr>
      </w:pPr>
    </w:p>
    <w:p w:rsidR="001B283D" w:rsidRPr="00E73C16" w:rsidRDefault="001B283D" w:rsidP="001B283D">
      <w:pPr>
        <w:keepNext/>
        <w:widowControl w:val="0"/>
        <w:tabs>
          <w:tab w:val="left" w:pos="90"/>
        </w:tabs>
        <w:autoSpaceDE w:val="0"/>
        <w:autoSpaceDN w:val="0"/>
        <w:rPr>
          <w:color w:val="000000"/>
          <w:u w:val="single"/>
          <w:lang w:val="fr-CH"/>
        </w:rPr>
      </w:pPr>
      <w:r w:rsidRPr="00E73C16">
        <w:rPr>
          <w:color w:val="000000"/>
          <w:u w:val="single"/>
          <w:lang w:val="fr-CH"/>
        </w:rPr>
        <w:t>PAYS-BAS / NETHERLANDS / NIEDERLANDE / PAÍSES BAJOS</w:t>
      </w:r>
    </w:p>
    <w:p w:rsidR="001B283D" w:rsidRPr="00E73C16" w:rsidRDefault="001B283D" w:rsidP="001B283D">
      <w:pPr>
        <w:keepNext/>
        <w:widowControl w:val="0"/>
        <w:tabs>
          <w:tab w:val="left" w:pos="90"/>
        </w:tabs>
        <w:autoSpaceDE w:val="0"/>
        <w:autoSpaceDN w:val="0"/>
        <w:rPr>
          <w:color w:val="000000"/>
          <w:u w:val="single"/>
          <w:lang w:val="fr-CH"/>
        </w:rPr>
      </w:pPr>
    </w:p>
    <w:p w:rsidR="001B283D" w:rsidRPr="00AC0DE9" w:rsidRDefault="001B283D" w:rsidP="001B283D">
      <w:pPr>
        <w:keepNext/>
        <w:widowControl w:val="0"/>
        <w:tabs>
          <w:tab w:val="left" w:pos="90"/>
        </w:tabs>
        <w:autoSpaceDE w:val="0"/>
        <w:autoSpaceDN w:val="0"/>
        <w:rPr>
          <w:color w:val="000000"/>
        </w:rPr>
      </w:pPr>
      <w:r w:rsidRPr="00AC0DE9">
        <w:rPr>
          <w:color w:val="000000"/>
        </w:rPr>
        <w:t xml:space="preserve">Kees Jan GROENEWOUD, Secretary, Plant Variety Board (Raad voor Plantenrassen), Naktuinbouw, Roelofarendsveen (e-mail: c.j.a.groenewoud@naktuinbouw.nl)  </w:t>
      </w:r>
    </w:p>
    <w:p w:rsidR="001B283D" w:rsidRDefault="001B283D" w:rsidP="001B283D">
      <w:pPr>
        <w:widowControl w:val="0"/>
        <w:tabs>
          <w:tab w:val="left" w:pos="90"/>
        </w:tabs>
        <w:autoSpaceDE w:val="0"/>
        <w:autoSpaceDN w:val="0"/>
        <w:adjustRightInd w:val="0"/>
        <w:rPr>
          <w:color w:val="000000"/>
        </w:rPr>
      </w:pPr>
    </w:p>
    <w:p w:rsidR="001B283D" w:rsidRDefault="001B283D" w:rsidP="001B283D">
      <w:pPr>
        <w:widowControl w:val="0"/>
        <w:tabs>
          <w:tab w:val="left" w:pos="90"/>
        </w:tabs>
        <w:autoSpaceDE w:val="0"/>
        <w:autoSpaceDN w:val="0"/>
        <w:adjustRightInd w:val="0"/>
        <w:rPr>
          <w:color w:val="000000"/>
        </w:rPr>
      </w:pPr>
      <w:r>
        <w:rPr>
          <w:color w:val="000000"/>
        </w:rPr>
        <w:t>Jacob SATTER, Senior Policy Officer, Seeds and Propagation Materials, Ministry of Economic Affairs, The Hague (e-mail: j.h.satter@minez.nl)</w:t>
      </w:r>
    </w:p>
    <w:p w:rsidR="001B283D" w:rsidRPr="00AC0DE9" w:rsidRDefault="001B283D" w:rsidP="001B283D">
      <w:pPr>
        <w:widowControl w:val="0"/>
        <w:tabs>
          <w:tab w:val="left" w:pos="90"/>
        </w:tabs>
        <w:autoSpaceDE w:val="0"/>
        <w:autoSpaceDN w:val="0"/>
        <w:rPr>
          <w:color w:val="000000"/>
        </w:rPr>
      </w:pPr>
    </w:p>
    <w:p w:rsidR="001B283D" w:rsidRDefault="001B283D" w:rsidP="001B283D">
      <w:pPr>
        <w:keepNext/>
        <w:keepLines/>
        <w:widowControl w:val="0"/>
        <w:tabs>
          <w:tab w:val="left" w:pos="90"/>
        </w:tabs>
        <w:autoSpaceDE w:val="0"/>
        <w:autoSpaceDN w:val="0"/>
        <w:rPr>
          <w:color w:val="000000"/>
        </w:rPr>
      </w:pPr>
      <w:r w:rsidRPr="00AC0DE9">
        <w:rPr>
          <w:color w:val="000000"/>
        </w:rPr>
        <w:lastRenderedPageBreak/>
        <w:t xml:space="preserve">Kees VAN ETTEKOVEN, Head of Variety Testing Department, Naktuinbouw NL, Roelofarendsveen </w:t>
      </w:r>
    </w:p>
    <w:p w:rsidR="001B283D" w:rsidRPr="00E73C16" w:rsidRDefault="001B283D" w:rsidP="001B283D">
      <w:pPr>
        <w:widowControl w:val="0"/>
        <w:tabs>
          <w:tab w:val="left" w:pos="90"/>
        </w:tabs>
        <w:autoSpaceDE w:val="0"/>
        <w:autoSpaceDN w:val="0"/>
        <w:rPr>
          <w:color w:val="000000"/>
          <w:lang w:val="fr-CH"/>
        </w:rPr>
      </w:pPr>
      <w:r w:rsidRPr="00E73C16">
        <w:rPr>
          <w:color w:val="000000"/>
          <w:lang w:val="fr-CH"/>
        </w:rPr>
        <w:t xml:space="preserve">(e-mail: c.v.ettekoven@naktuinbouw.nl)  </w:t>
      </w:r>
    </w:p>
    <w:p w:rsidR="001B283D" w:rsidRPr="00E73C16" w:rsidRDefault="001B283D" w:rsidP="001B283D">
      <w:pPr>
        <w:widowControl w:val="0"/>
        <w:tabs>
          <w:tab w:val="left" w:pos="90"/>
        </w:tabs>
        <w:autoSpaceDE w:val="0"/>
        <w:autoSpaceDN w:val="0"/>
        <w:rPr>
          <w:color w:val="000000"/>
          <w:lang w:val="fr-CH"/>
        </w:rPr>
      </w:pPr>
    </w:p>
    <w:p w:rsidR="001B283D" w:rsidRPr="00E73C16" w:rsidRDefault="001B283D" w:rsidP="001B283D">
      <w:pPr>
        <w:widowControl w:val="0"/>
        <w:tabs>
          <w:tab w:val="left" w:pos="90"/>
        </w:tabs>
        <w:autoSpaceDE w:val="0"/>
        <w:autoSpaceDN w:val="0"/>
        <w:rPr>
          <w:color w:val="000000"/>
          <w:u w:val="single"/>
          <w:lang w:val="fr-CH"/>
        </w:rPr>
      </w:pPr>
      <w:r w:rsidRPr="00E73C16">
        <w:rPr>
          <w:color w:val="000000"/>
          <w:u w:val="single"/>
          <w:lang w:val="fr-CH"/>
        </w:rPr>
        <w:t>POLOGNE / POLAND / POLEN / POLONIA</w:t>
      </w:r>
    </w:p>
    <w:p w:rsidR="001B283D" w:rsidRPr="00E73C16" w:rsidRDefault="001B283D" w:rsidP="001B283D">
      <w:pPr>
        <w:widowControl w:val="0"/>
        <w:tabs>
          <w:tab w:val="left" w:pos="90"/>
        </w:tabs>
        <w:autoSpaceDE w:val="0"/>
        <w:autoSpaceDN w:val="0"/>
        <w:rPr>
          <w:color w:val="000000"/>
          <w:u w:val="single"/>
          <w:lang w:val="fr-CH"/>
        </w:rPr>
      </w:pPr>
    </w:p>
    <w:p w:rsidR="001B283D" w:rsidRDefault="001B283D" w:rsidP="001B283D">
      <w:pPr>
        <w:widowControl w:val="0"/>
        <w:tabs>
          <w:tab w:val="left" w:pos="90"/>
        </w:tabs>
        <w:autoSpaceDE w:val="0"/>
        <w:autoSpaceDN w:val="0"/>
        <w:rPr>
          <w:color w:val="000000"/>
        </w:rPr>
      </w:pPr>
      <w:r w:rsidRPr="00AC0DE9">
        <w:rPr>
          <w:color w:val="000000"/>
        </w:rPr>
        <w:t xml:space="preserve">Marcin BEHNKE, Deputy Director General for Experimental Affairs, Research Centre for Cultivar Testing (COBORU), Slupia Wielka (e-mail: m.behnke@coboru.pl)  </w:t>
      </w:r>
    </w:p>
    <w:p w:rsidR="001B283D" w:rsidRPr="00AC0DE9" w:rsidRDefault="001B283D" w:rsidP="001B283D">
      <w:pPr>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rPr>
      </w:pPr>
      <w:r w:rsidRPr="00AC0DE9">
        <w:rPr>
          <w:color w:val="000000"/>
        </w:rPr>
        <w:t xml:space="preserve">Alicja RUTKOWSKA (Mrs.), Head, National Listing and Plant Breeders' Rights Protection Office, The Research Centre for Cultivar Testing (COBORU), Slupia Wielka (e-mail: a.rutkowska@coboru.pl)  </w:t>
      </w:r>
    </w:p>
    <w:p w:rsidR="001B283D" w:rsidRPr="00AC0DE9" w:rsidRDefault="001B283D" w:rsidP="001B283D">
      <w:pPr>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u w:val="single"/>
        </w:rPr>
      </w:pPr>
      <w:r w:rsidRPr="00AC0DE9">
        <w:rPr>
          <w:color w:val="000000"/>
          <w:u w:val="single"/>
        </w:rPr>
        <w:t>RÉPUBLIQUE DE CORÉE / REPUBLIC OF KOREA / REPUBLIK KOREA / REPÚBLICA DE COREA</w:t>
      </w:r>
    </w:p>
    <w:p w:rsidR="001B283D" w:rsidRPr="00AC0DE9" w:rsidRDefault="001B283D" w:rsidP="001B283D">
      <w:pPr>
        <w:widowControl w:val="0"/>
        <w:tabs>
          <w:tab w:val="left" w:pos="90"/>
        </w:tabs>
        <w:autoSpaceDE w:val="0"/>
        <w:autoSpaceDN w:val="0"/>
        <w:rPr>
          <w:color w:val="000000"/>
          <w:u w:val="single"/>
        </w:rPr>
      </w:pPr>
    </w:p>
    <w:p w:rsidR="001B283D" w:rsidRDefault="001B283D" w:rsidP="001B283D">
      <w:pPr>
        <w:widowControl w:val="0"/>
        <w:tabs>
          <w:tab w:val="left" w:pos="90"/>
        </w:tabs>
        <w:autoSpaceDE w:val="0"/>
        <w:autoSpaceDN w:val="0"/>
        <w:rPr>
          <w:color w:val="000000"/>
        </w:rPr>
      </w:pPr>
      <w:r w:rsidRPr="00AC0DE9">
        <w:rPr>
          <w:color w:val="000000"/>
        </w:rPr>
        <w:t>Seung-In YI, Deputy Head, Plant Variety Protection Division, Korea Seed &amp; Variety Service (KSVS), Gyeongsangbuk-Do (e-mail: seedin@korea.kr)</w:t>
      </w:r>
    </w:p>
    <w:p w:rsidR="001B283D" w:rsidRDefault="001B283D" w:rsidP="001B283D">
      <w:pPr>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rPr>
      </w:pPr>
      <w:r w:rsidRPr="00AC0DE9">
        <w:rPr>
          <w:color w:val="000000"/>
        </w:rPr>
        <w:t xml:space="preserve">Kwang-Hong LEE, Agricultural Researcher, Korea Seed and Variety Service (KSVS), Gyeongsangnam-Do (e-mail: grin@korea.kr)  </w:t>
      </w:r>
    </w:p>
    <w:p w:rsidR="001B283D" w:rsidRPr="00AC0DE9" w:rsidRDefault="001B283D" w:rsidP="001B283D">
      <w:pPr>
        <w:widowControl w:val="0"/>
        <w:tabs>
          <w:tab w:val="left" w:pos="90"/>
        </w:tabs>
        <w:autoSpaceDE w:val="0"/>
        <w:autoSpaceDN w:val="0"/>
        <w:rPr>
          <w:color w:val="000000"/>
        </w:rPr>
      </w:pPr>
    </w:p>
    <w:p w:rsidR="001B283D" w:rsidRPr="00E73C16" w:rsidRDefault="001B283D" w:rsidP="001B283D">
      <w:pPr>
        <w:keepNext/>
        <w:widowControl w:val="0"/>
        <w:tabs>
          <w:tab w:val="left" w:pos="90"/>
        </w:tabs>
        <w:autoSpaceDE w:val="0"/>
        <w:autoSpaceDN w:val="0"/>
        <w:rPr>
          <w:color w:val="000000"/>
          <w:u w:val="single"/>
          <w:lang w:val="es-ES"/>
        </w:rPr>
      </w:pPr>
      <w:r w:rsidRPr="00E73C16">
        <w:rPr>
          <w:color w:val="000000"/>
          <w:u w:val="single"/>
          <w:lang w:val="es-ES"/>
        </w:rPr>
        <w:t xml:space="preserve">RÉPUBLIQUE DE MOLDOVA / REPUBLIC OF MOLDOVA / REPUBLIK MOLDAU / </w:t>
      </w:r>
    </w:p>
    <w:p w:rsidR="001B283D" w:rsidRPr="00E73C16" w:rsidRDefault="001B283D" w:rsidP="001B283D">
      <w:pPr>
        <w:keepNext/>
        <w:widowControl w:val="0"/>
        <w:tabs>
          <w:tab w:val="left" w:pos="90"/>
        </w:tabs>
        <w:autoSpaceDE w:val="0"/>
        <w:autoSpaceDN w:val="0"/>
        <w:rPr>
          <w:color w:val="000000"/>
          <w:u w:val="single"/>
          <w:lang w:val="es-ES"/>
        </w:rPr>
      </w:pPr>
      <w:r w:rsidRPr="00E73C16">
        <w:rPr>
          <w:color w:val="000000"/>
          <w:u w:val="single"/>
          <w:lang w:val="es-ES"/>
        </w:rPr>
        <w:t>REPÚBLICA DE MOLDOVA</w:t>
      </w:r>
    </w:p>
    <w:p w:rsidR="001B283D" w:rsidRPr="00E73C16" w:rsidRDefault="001B283D" w:rsidP="001B283D">
      <w:pPr>
        <w:keepNext/>
        <w:widowControl w:val="0"/>
        <w:tabs>
          <w:tab w:val="left" w:pos="90"/>
        </w:tabs>
        <w:autoSpaceDE w:val="0"/>
        <w:autoSpaceDN w:val="0"/>
        <w:rPr>
          <w:color w:val="000000"/>
          <w:u w:val="single"/>
          <w:lang w:val="es-ES"/>
        </w:rPr>
      </w:pPr>
    </w:p>
    <w:p w:rsidR="001B283D" w:rsidRDefault="001B283D" w:rsidP="001B283D">
      <w:pPr>
        <w:keepNext/>
        <w:widowControl w:val="0"/>
        <w:tabs>
          <w:tab w:val="left" w:pos="90"/>
        </w:tabs>
        <w:autoSpaceDE w:val="0"/>
        <w:autoSpaceDN w:val="0"/>
        <w:rPr>
          <w:color w:val="000000"/>
        </w:rPr>
      </w:pPr>
      <w:r w:rsidRPr="00AC0DE9">
        <w:rPr>
          <w:color w:val="000000"/>
        </w:rPr>
        <w:t xml:space="preserve">Mihail MACHIDON, Chairman, State Commission for Crops Variety Testing and Registration (SCCVTR), Chisinau (e-mail: info@cstsp.md)  </w:t>
      </w:r>
    </w:p>
    <w:p w:rsidR="001B283D" w:rsidRPr="00AC0DE9" w:rsidRDefault="001B283D" w:rsidP="001B283D">
      <w:pPr>
        <w:widowControl w:val="0"/>
        <w:tabs>
          <w:tab w:val="left" w:pos="90"/>
        </w:tabs>
        <w:autoSpaceDE w:val="0"/>
        <w:autoSpaceDN w:val="0"/>
        <w:rPr>
          <w:color w:val="000000"/>
        </w:rPr>
      </w:pPr>
    </w:p>
    <w:p w:rsidR="001B283D" w:rsidRDefault="001B283D" w:rsidP="001B283D">
      <w:pPr>
        <w:keepNext/>
        <w:widowControl w:val="0"/>
        <w:tabs>
          <w:tab w:val="left" w:pos="90"/>
        </w:tabs>
        <w:autoSpaceDE w:val="0"/>
        <w:autoSpaceDN w:val="0"/>
        <w:rPr>
          <w:color w:val="000000"/>
          <w:u w:val="single"/>
        </w:rPr>
      </w:pPr>
      <w:r w:rsidRPr="00AC0DE9">
        <w:rPr>
          <w:color w:val="000000"/>
          <w:u w:val="single"/>
        </w:rPr>
        <w:t>ROUMANIE / ROMANIA / RUMÄNIEN / RUMANIA</w:t>
      </w:r>
    </w:p>
    <w:p w:rsidR="001B283D" w:rsidRPr="00AC0DE9" w:rsidRDefault="001B283D" w:rsidP="001B283D">
      <w:pPr>
        <w:keepNext/>
        <w:widowControl w:val="0"/>
        <w:tabs>
          <w:tab w:val="left" w:pos="90"/>
        </w:tabs>
        <w:autoSpaceDE w:val="0"/>
        <w:autoSpaceDN w:val="0"/>
        <w:rPr>
          <w:color w:val="000000"/>
          <w:u w:val="single"/>
        </w:rPr>
      </w:pPr>
    </w:p>
    <w:p w:rsidR="001B283D" w:rsidRDefault="001B283D" w:rsidP="001B283D">
      <w:pPr>
        <w:keepNext/>
        <w:widowControl w:val="0"/>
        <w:tabs>
          <w:tab w:val="left" w:pos="90"/>
        </w:tabs>
        <w:autoSpaceDE w:val="0"/>
        <w:autoSpaceDN w:val="0"/>
        <w:rPr>
          <w:color w:val="000000"/>
        </w:rPr>
      </w:pPr>
      <w:r w:rsidRPr="00AC0DE9">
        <w:rPr>
          <w:color w:val="000000"/>
        </w:rPr>
        <w:t xml:space="preserve">Mihaela-Rodica CIORA (Mrs.), Senior Expert, State Institute for Variety Testing and Registration (ISTIS), Bucarest (e-mail: mihaela_ciora@yahoo.com)  </w:t>
      </w:r>
    </w:p>
    <w:p w:rsidR="001B283D" w:rsidRPr="00AC0DE9" w:rsidRDefault="001B283D" w:rsidP="001B283D">
      <w:pPr>
        <w:keepNext/>
        <w:widowControl w:val="0"/>
        <w:tabs>
          <w:tab w:val="left" w:pos="90"/>
        </w:tabs>
        <w:autoSpaceDE w:val="0"/>
        <w:autoSpaceDN w:val="0"/>
        <w:rPr>
          <w:color w:val="000000"/>
        </w:rPr>
      </w:pPr>
    </w:p>
    <w:p w:rsidR="001B283D" w:rsidRPr="00AC0DE9" w:rsidRDefault="001B283D" w:rsidP="001B283D">
      <w:pPr>
        <w:keepNext/>
        <w:widowControl w:val="0"/>
        <w:tabs>
          <w:tab w:val="left" w:pos="90"/>
        </w:tabs>
        <w:autoSpaceDE w:val="0"/>
        <w:autoSpaceDN w:val="0"/>
        <w:rPr>
          <w:color w:val="000000"/>
        </w:rPr>
      </w:pPr>
      <w:r w:rsidRPr="00AC0DE9">
        <w:rPr>
          <w:color w:val="000000"/>
        </w:rPr>
        <w:t xml:space="preserve">Cristian Irinel MOCANU, Head of Legal and Administrative Department, State Institute for Variety Testing and Registration, Bucharest (e-mail: irinel_mocanu@istis.ro)  </w:t>
      </w:r>
    </w:p>
    <w:p w:rsidR="001B283D" w:rsidRPr="00AC0DE9" w:rsidRDefault="001B283D" w:rsidP="001B283D">
      <w:pPr>
        <w:keepNext/>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u w:val="single"/>
        </w:rPr>
      </w:pPr>
      <w:r w:rsidRPr="00AC0DE9">
        <w:rPr>
          <w:color w:val="000000"/>
          <w:u w:val="single"/>
        </w:rPr>
        <w:t>ROYAUME-UNI / UNITED KINGDOM / VEREINIGTES KÖNIGREICH / REINO UNIDO</w:t>
      </w:r>
    </w:p>
    <w:p w:rsidR="001B283D" w:rsidRPr="00AC0DE9" w:rsidRDefault="001B283D" w:rsidP="001B283D">
      <w:pPr>
        <w:widowControl w:val="0"/>
        <w:tabs>
          <w:tab w:val="left" w:pos="90"/>
        </w:tabs>
        <w:autoSpaceDE w:val="0"/>
        <w:autoSpaceDN w:val="0"/>
        <w:rPr>
          <w:color w:val="000000"/>
          <w:u w:val="single"/>
        </w:rPr>
      </w:pPr>
    </w:p>
    <w:p w:rsidR="001B283D" w:rsidRDefault="001B283D" w:rsidP="001B283D">
      <w:pPr>
        <w:widowControl w:val="0"/>
        <w:tabs>
          <w:tab w:val="left" w:pos="90"/>
        </w:tabs>
        <w:autoSpaceDE w:val="0"/>
        <w:autoSpaceDN w:val="0"/>
        <w:rPr>
          <w:color w:val="000000"/>
        </w:rPr>
      </w:pPr>
      <w:r w:rsidRPr="00AC0DE9">
        <w:rPr>
          <w:color w:val="000000"/>
        </w:rPr>
        <w:t xml:space="preserve">Andrew MITCHELL, Policy Team Leader, Department for Environment, Food and Rural Affairs (DEFRA), Cambridge (e-mail: andrew.mitchell@defra.gsi.gov.uk)  </w:t>
      </w:r>
    </w:p>
    <w:p w:rsidR="001B283D" w:rsidRPr="00AC0DE9" w:rsidRDefault="001B283D" w:rsidP="001B283D">
      <w:pPr>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u w:val="single"/>
        </w:rPr>
      </w:pPr>
      <w:r w:rsidRPr="00AC0DE9">
        <w:rPr>
          <w:color w:val="000000"/>
          <w:u w:val="single"/>
        </w:rPr>
        <w:t>SLOVAQUIE / SLOVAKIA / SLOWAKEI / ESLOVAQUIA</w:t>
      </w:r>
    </w:p>
    <w:p w:rsidR="001B283D" w:rsidRPr="00AC0DE9" w:rsidRDefault="001B283D" w:rsidP="001B283D">
      <w:pPr>
        <w:widowControl w:val="0"/>
        <w:tabs>
          <w:tab w:val="left" w:pos="90"/>
        </w:tabs>
        <w:autoSpaceDE w:val="0"/>
        <w:autoSpaceDN w:val="0"/>
        <w:rPr>
          <w:color w:val="000000"/>
          <w:u w:val="single"/>
        </w:rPr>
      </w:pPr>
    </w:p>
    <w:p w:rsidR="001B283D" w:rsidRDefault="001B283D" w:rsidP="001B283D">
      <w:pPr>
        <w:widowControl w:val="0"/>
        <w:tabs>
          <w:tab w:val="left" w:pos="90"/>
        </w:tabs>
        <w:autoSpaceDE w:val="0"/>
        <w:autoSpaceDN w:val="0"/>
        <w:rPr>
          <w:color w:val="000000"/>
        </w:rPr>
      </w:pPr>
      <w:r w:rsidRPr="00AC0DE9">
        <w:rPr>
          <w:color w:val="000000"/>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1B283D" w:rsidRPr="00AC0DE9" w:rsidRDefault="001B283D" w:rsidP="001B283D">
      <w:pPr>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u w:val="single"/>
        </w:rPr>
      </w:pPr>
      <w:r w:rsidRPr="00AC0DE9">
        <w:rPr>
          <w:color w:val="000000"/>
          <w:u w:val="single"/>
        </w:rPr>
        <w:t>SUÈDE / SWEDEN / SCHWEDEN / SUECIA</w:t>
      </w:r>
    </w:p>
    <w:p w:rsidR="001B283D" w:rsidRPr="00AC0DE9" w:rsidRDefault="001B283D" w:rsidP="001B283D">
      <w:pPr>
        <w:widowControl w:val="0"/>
        <w:tabs>
          <w:tab w:val="left" w:pos="90"/>
        </w:tabs>
        <w:autoSpaceDE w:val="0"/>
        <w:autoSpaceDN w:val="0"/>
        <w:rPr>
          <w:color w:val="000000"/>
          <w:u w:val="single"/>
        </w:rPr>
      </w:pPr>
    </w:p>
    <w:p w:rsidR="001B283D" w:rsidRPr="001331C4" w:rsidRDefault="001B283D" w:rsidP="001B283D">
      <w:pPr>
        <w:widowControl w:val="0"/>
        <w:tabs>
          <w:tab w:val="left" w:pos="90"/>
        </w:tabs>
        <w:autoSpaceDE w:val="0"/>
        <w:autoSpaceDN w:val="0"/>
        <w:rPr>
          <w:color w:val="000000"/>
        </w:rPr>
      </w:pPr>
      <w:r w:rsidRPr="001331C4">
        <w:rPr>
          <w:color w:val="000000"/>
        </w:rPr>
        <w:t>Olof JOHANSSON, Head, Plant and Environment Department, Swedish Board of Agriculture, Jönköping</w:t>
      </w:r>
    </w:p>
    <w:p w:rsidR="001B283D" w:rsidRPr="00E73C16" w:rsidRDefault="001B283D" w:rsidP="001B283D">
      <w:pPr>
        <w:widowControl w:val="0"/>
        <w:tabs>
          <w:tab w:val="left" w:pos="90"/>
        </w:tabs>
        <w:autoSpaceDE w:val="0"/>
        <w:autoSpaceDN w:val="0"/>
        <w:rPr>
          <w:color w:val="000000"/>
          <w:lang w:val="fr-CH"/>
        </w:rPr>
      </w:pPr>
      <w:r w:rsidRPr="001331C4">
        <w:rPr>
          <w:color w:val="000000"/>
        </w:rPr>
        <w:t xml:space="preserve"> </w:t>
      </w:r>
      <w:r w:rsidRPr="00E73C16">
        <w:rPr>
          <w:color w:val="000000"/>
          <w:lang w:val="fr-CH"/>
        </w:rPr>
        <w:t xml:space="preserve">(e-mail: olof.johansson@jordbruksverket.se)  </w:t>
      </w:r>
    </w:p>
    <w:p w:rsidR="001B283D" w:rsidRPr="00E73C16" w:rsidRDefault="001B283D" w:rsidP="001B283D">
      <w:pPr>
        <w:widowControl w:val="0"/>
        <w:tabs>
          <w:tab w:val="left" w:pos="90"/>
        </w:tabs>
        <w:autoSpaceDE w:val="0"/>
        <w:autoSpaceDN w:val="0"/>
        <w:rPr>
          <w:color w:val="000000"/>
          <w:lang w:val="fr-CH"/>
        </w:rPr>
      </w:pPr>
    </w:p>
    <w:p w:rsidR="001B283D" w:rsidRPr="00E73C16" w:rsidRDefault="001B283D" w:rsidP="001B283D">
      <w:pPr>
        <w:keepNext/>
        <w:keepLines/>
        <w:widowControl w:val="0"/>
        <w:tabs>
          <w:tab w:val="left" w:pos="90"/>
        </w:tabs>
        <w:autoSpaceDE w:val="0"/>
        <w:autoSpaceDN w:val="0"/>
        <w:rPr>
          <w:color w:val="000000"/>
          <w:u w:val="single"/>
          <w:lang w:val="fr-CH"/>
        </w:rPr>
      </w:pPr>
      <w:r w:rsidRPr="00E73C16">
        <w:rPr>
          <w:color w:val="000000"/>
          <w:u w:val="single"/>
          <w:lang w:val="fr-CH"/>
        </w:rPr>
        <w:t>SUISSE / SWITZERLAND / SCHWEIZ / SUIZA</w:t>
      </w:r>
    </w:p>
    <w:p w:rsidR="001B283D" w:rsidRPr="00E73C16" w:rsidRDefault="001B283D" w:rsidP="001B283D">
      <w:pPr>
        <w:keepNext/>
        <w:keepLines/>
        <w:widowControl w:val="0"/>
        <w:tabs>
          <w:tab w:val="left" w:pos="90"/>
        </w:tabs>
        <w:autoSpaceDE w:val="0"/>
        <w:autoSpaceDN w:val="0"/>
        <w:rPr>
          <w:color w:val="000000"/>
          <w:u w:val="single"/>
          <w:lang w:val="fr-CH"/>
        </w:rPr>
      </w:pPr>
    </w:p>
    <w:p w:rsidR="001B283D" w:rsidRPr="00E73C16" w:rsidRDefault="001B283D" w:rsidP="001B283D">
      <w:pPr>
        <w:keepNext/>
        <w:keepLines/>
        <w:widowControl w:val="0"/>
        <w:tabs>
          <w:tab w:val="left" w:pos="90"/>
        </w:tabs>
        <w:autoSpaceDE w:val="0"/>
        <w:autoSpaceDN w:val="0"/>
        <w:rPr>
          <w:color w:val="000000"/>
          <w:lang w:val="fr-CH"/>
        </w:rPr>
      </w:pPr>
      <w:r w:rsidRPr="00E73C16">
        <w:rPr>
          <w:color w:val="000000"/>
          <w:lang w:val="fr-CH"/>
        </w:rPr>
        <w:t xml:space="preserve">Eva TSCHARLAND (Frau), Juristin, Direktionsbereich Landwirtschaftliche Produktionsmittel, Bundesamt für Landwirtschaft, Bern (e-mail: eva.tscharland@blw.admin.ch)  </w:t>
      </w:r>
    </w:p>
    <w:p w:rsidR="001B283D" w:rsidRPr="00E73C16" w:rsidRDefault="001B283D" w:rsidP="001B283D">
      <w:pPr>
        <w:widowControl w:val="0"/>
        <w:tabs>
          <w:tab w:val="left" w:pos="90"/>
        </w:tabs>
        <w:autoSpaceDE w:val="0"/>
        <w:autoSpaceDN w:val="0"/>
        <w:rPr>
          <w:color w:val="000000"/>
          <w:lang w:val="fr-CH"/>
        </w:rPr>
      </w:pPr>
    </w:p>
    <w:p w:rsidR="001B283D" w:rsidRDefault="001B283D" w:rsidP="001B283D">
      <w:pPr>
        <w:widowControl w:val="0"/>
        <w:tabs>
          <w:tab w:val="left" w:pos="90"/>
        </w:tabs>
        <w:autoSpaceDE w:val="0"/>
        <w:autoSpaceDN w:val="0"/>
        <w:rPr>
          <w:color w:val="000000"/>
        </w:rPr>
      </w:pPr>
      <w:r w:rsidRPr="00AC0DE9">
        <w:rPr>
          <w:color w:val="000000"/>
        </w:rPr>
        <w:t>Manuela BRAND (Ms.), Plant Variety Rights Office, Federal Department of Economic Affairs</w:t>
      </w:r>
      <w:r>
        <w:rPr>
          <w:color w:val="000000"/>
        </w:rPr>
        <w:t xml:space="preserve"> </w:t>
      </w:r>
      <w:r w:rsidRPr="00AC0DE9">
        <w:rPr>
          <w:color w:val="000000"/>
        </w:rPr>
        <w:t>Education and Research EAER</w:t>
      </w:r>
      <w:r>
        <w:rPr>
          <w:color w:val="000000"/>
        </w:rPr>
        <w:t xml:space="preserve"> </w:t>
      </w:r>
      <w:r w:rsidRPr="00AC0DE9">
        <w:rPr>
          <w:color w:val="000000"/>
        </w:rPr>
        <w:t>Plant Health and Varieties, Federal Office for Agricu</w:t>
      </w:r>
      <w:r>
        <w:rPr>
          <w:color w:val="000000"/>
        </w:rPr>
        <w:t>l</w:t>
      </w:r>
      <w:r w:rsidRPr="00AC0DE9">
        <w:rPr>
          <w:color w:val="000000"/>
        </w:rPr>
        <w:t xml:space="preserve">ture FOAG, Bern </w:t>
      </w:r>
    </w:p>
    <w:p w:rsidR="001B283D" w:rsidRPr="00E73C16" w:rsidRDefault="001B283D" w:rsidP="001B283D">
      <w:pPr>
        <w:widowControl w:val="0"/>
        <w:tabs>
          <w:tab w:val="left" w:pos="90"/>
        </w:tabs>
        <w:autoSpaceDE w:val="0"/>
        <w:autoSpaceDN w:val="0"/>
        <w:rPr>
          <w:color w:val="000000"/>
          <w:lang w:val="fr-CH"/>
        </w:rPr>
      </w:pPr>
      <w:r w:rsidRPr="00E73C16">
        <w:rPr>
          <w:color w:val="000000"/>
          <w:lang w:val="fr-CH"/>
        </w:rPr>
        <w:t xml:space="preserve">(e-mail: manuela.brand@blw.admin.ch)  </w:t>
      </w:r>
    </w:p>
    <w:p w:rsidR="001B283D" w:rsidRPr="00E73C16" w:rsidRDefault="001B283D" w:rsidP="001B283D">
      <w:pPr>
        <w:widowControl w:val="0"/>
        <w:tabs>
          <w:tab w:val="left" w:pos="90"/>
        </w:tabs>
        <w:autoSpaceDE w:val="0"/>
        <w:autoSpaceDN w:val="0"/>
        <w:rPr>
          <w:color w:val="000000"/>
          <w:lang w:val="fr-CH"/>
        </w:rPr>
      </w:pPr>
    </w:p>
    <w:p w:rsidR="001B283D" w:rsidRPr="00E73C16" w:rsidRDefault="001B283D" w:rsidP="001B283D">
      <w:pPr>
        <w:keepNext/>
        <w:keepLines/>
        <w:widowControl w:val="0"/>
        <w:tabs>
          <w:tab w:val="left" w:pos="90"/>
        </w:tabs>
        <w:autoSpaceDE w:val="0"/>
        <w:autoSpaceDN w:val="0"/>
        <w:rPr>
          <w:color w:val="000000"/>
          <w:u w:val="single"/>
          <w:lang w:val="fr-CH"/>
        </w:rPr>
      </w:pPr>
      <w:r w:rsidRPr="00E73C16">
        <w:rPr>
          <w:color w:val="000000"/>
          <w:u w:val="single"/>
          <w:lang w:val="fr-CH"/>
        </w:rPr>
        <w:lastRenderedPageBreak/>
        <w:t>TUNISIE / TUNISIA / TUNESIEN / TÚNEZ</w:t>
      </w:r>
    </w:p>
    <w:p w:rsidR="001B283D" w:rsidRPr="00E73C16" w:rsidRDefault="001B283D" w:rsidP="001B283D">
      <w:pPr>
        <w:keepNext/>
        <w:keepLines/>
        <w:widowControl w:val="0"/>
        <w:tabs>
          <w:tab w:val="left" w:pos="90"/>
        </w:tabs>
        <w:autoSpaceDE w:val="0"/>
        <w:autoSpaceDN w:val="0"/>
        <w:rPr>
          <w:color w:val="000000"/>
          <w:u w:val="single"/>
          <w:lang w:val="fr-CH"/>
        </w:rPr>
      </w:pPr>
    </w:p>
    <w:p w:rsidR="001B283D" w:rsidRPr="00584F70" w:rsidRDefault="001B283D" w:rsidP="001B283D">
      <w:pPr>
        <w:keepLines/>
        <w:widowControl w:val="0"/>
        <w:tabs>
          <w:tab w:val="left" w:pos="90"/>
        </w:tabs>
        <w:autoSpaceDE w:val="0"/>
        <w:autoSpaceDN w:val="0"/>
        <w:rPr>
          <w:color w:val="000000"/>
          <w:lang w:val="fr-CH"/>
        </w:rPr>
      </w:pPr>
      <w:r w:rsidRPr="00584F70">
        <w:rPr>
          <w:color w:val="000000"/>
          <w:lang w:val="fr-CH"/>
        </w:rPr>
        <w:t xml:space="preserve">Tarek CHIBOUB, Directeur général de la protection et du contrôle de la qualité des produits agricoles, Direction générale de la protection et du contrôle de la qualité des produits agricoles, </w:t>
      </w:r>
      <w:r w:rsidRPr="00584F70">
        <w:rPr>
          <w:color w:val="000000"/>
          <w:lang w:val="fr-CH"/>
        </w:rPr>
        <w:br/>
        <w:t xml:space="preserve">Ministère de l’agriculture, Tunis (e-mail: tarechib@yahoo.fr) </w:t>
      </w:r>
    </w:p>
    <w:p w:rsidR="001B283D" w:rsidRPr="00E73C16" w:rsidRDefault="001B283D" w:rsidP="001B283D">
      <w:pPr>
        <w:widowControl w:val="0"/>
        <w:tabs>
          <w:tab w:val="left" w:pos="90"/>
        </w:tabs>
        <w:autoSpaceDE w:val="0"/>
        <w:autoSpaceDN w:val="0"/>
        <w:rPr>
          <w:color w:val="000000"/>
          <w:lang w:val="fr-CH"/>
        </w:rPr>
      </w:pPr>
    </w:p>
    <w:p w:rsidR="001B283D" w:rsidRPr="00E73C16" w:rsidRDefault="001B283D" w:rsidP="001B283D">
      <w:pPr>
        <w:widowControl w:val="0"/>
        <w:tabs>
          <w:tab w:val="left" w:pos="90"/>
        </w:tabs>
        <w:autoSpaceDE w:val="0"/>
        <w:autoSpaceDN w:val="0"/>
        <w:rPr>
          <w:color w:val="000000"/>
          <w:u w:val="single"/>
          <w:lang w:val="fr-CH"/>
        </w:rPr>
      </w:pPr>
      <w:r w:rsidRPr="00E73C16">
        <w:rPr>
          <w:color w:val="000000"/>
          <w:u w:val="single"/>
          <w:lang w:val="fr-CH"/>
        </w:rPr>
        <w:t>UNION EUROPÉENNE / EUROPEAN UNION / EUROPÄISCHE UNION / UNIÓN EUROPEA</w:t>
      </w:r>
    </w:p>
    <w:p w:rsidR="001B283D" w:rsidRPr="00E73C16" w:rsidRDefault="001B283D" w:rsidP="001B283D">
      <w:pPr>
        <w:widowControl w:val="0"/>
        <w:tabs>
          <w:tab w:val="left" w:pos="90"/>
        </w:tabs>
        <w:autoSpaceDE w:val="0"/>
        <w:autoSpaceDN w:val="0"/>
        <w:rPr>
          <w:color w:val="000000"/>
          <w:u w:val="single"/>
          <w:lang w:val="fr-CH"/>
        </w:rPr>
      </w:pPr>
    </w:p>
    <w:p w:rsidR="001B283D" w:rsidRPr="00E73C16" w:rsidRDefault="001B283D" w:rsidP="001B283D">
      <w:pPr>
        <w:widowControl w:val="0"/>
        <w:tabs>
          <w:tab w:val="left" w:pos="90"/>
        </w:tabs>
        <w:autoSpaceDE w:val="0"/>
        <w:autoSpaceDN w:val="0"/>
        <w:rPr>
          <w:color w:val="000000"/>
          <w:lang w:val="fr-CH"/>
        </w:rPr>
      </w:pPr>
      <w:r w:rsidRPr="00E73C16">
        <w:rPr>
          <w:color w:val="000000"/>
          <w:lang w:val="fr-CH"/>
        </w:rPr>
        <w:t xml:space="preserve">Thomas Peter WEBER, Policy Officer, DG Sanco, European Commission, Bruxelles </w:t>
      </w:r>
    </w:p>
    <w:p w:rsidR="001B283D" w:rsidRPr="00E73C16" w:rsidRDefault="001B283D" w:rsidP="001B283D">
      <w:pPr>
        <w:widowControl w:val="0"/>
        <w:tabs>
          <w:tab w:val="left" w:pos="90"/>
        </w:tabs>
        <w:autoSpaceDE w:val="0"/>
        <w:autoSpaceDN w:val="0"/>
        <w:rPr>
          <w:color w:val="000000"/>
          <w:lang w:val="fr-CH"/>
        </w:rPr>
      </w:pPr>
      <w:r w:rsidRPr="00E73C16">
        <w:rPr>
          <w:color w:val="000000"/>
          <w:lang w:val="fr-CH"/>
        </w:rPr>
        <w:t xml:space="preserve">(e-mail: thomas.weber@ec.europa.eu)  </w:t>
      </w:r>
    </w:p>
    <w:p w:rsidR="001B283D" w:rsidRPr="00E73C16" w:rsidRDefault="001B283D" w:rsidP="001B283D">
      <w:pPr>
        <w:widowControl w:val="0"/>
        <w:tabs>
          <w:tab w:val="left" w:pos="90"/>
        </w:tabs>
        <w:autoSpaceDE w:val="0"/>
        <w:autoSpaceDN w:val="0"/>
        <w:rPr>
          <w:color w:val="000000"/>
          <w:u w:val="single"/>
          <w:lang w:val="fr-CH"/>
        </w:rPr>
      </w:pPr>
    </w:p>
    <w:p w:rsidR="001B283D" w:rsidRPr="00E73C16" w:rsidRDefault="001B283D" w:rsidP="001B283D">
      <w:pPr>
        <w:widowControl w:val="0"/>
        <w:tabs>
          <w:tab w:val="left" w:pos="90"/>
        </w:tabs>
        <w:autoSpaceDE w:val="0"/>
        <w:autoSpaceDN w:val="0"/>
        <w:rPr>
          <w:color w:val="000000"/>
          <w:lang w:val="fr-CH"/>
        </w:rPr>
      </w:pPr>
      <w:r w:rsidRPr="00E73C16">
        <w:rPr>
          <w:color w:val="000000"/>
          <w:lang w:val="fr-CH"/>
        </w:rPr>
        <w:t xml:space="preserve">Isabelle CLEMENT-NISSOU (Mrs.), Policy Officer - Unité E2, Plant Reproductive Material Sector, Direction Générale Santé et Protection des Consommateurs,, Commission européenne (DG SANCO), Bruxelles </w:t>
      </w:r>
    </w:p>
    <w:p w:rsidR="001B283D" w:rsidRDefault="001B283D" w:rsidP="001B283D">
      <w:pPr>
        <w:widowControl w:val="0"/>
        <w:tabs>
          <w:tab w:val="left" w:pos="90"/>
        </w:tabs>
        <w:autoSpaceDE w:val="0"/>
        <w:autoSpaceDN w:val="0"/>
        <w:rPr>
          <w:color w:val="000000"/>
        </w:rPr>
      </w:pPr>
      <w:r w:rsidRPr="00AC0DE9">
        <w:rPr>
          <w:color w:val="000000"/>
        </w:rPr>
        <w:t xml:space="preserve">(e-mail: isabelle.clement-nissou@ec.europa.eu)  </w:t>
      </w:r>
    </w:p>
    <w:p w:rsidR="001B283D" w:rsidRPr="00AC0DE9" w:rsidRDefault="001B283D" w:rsidP="001B283D">
      <w:pPr>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rPr>
      </w:pPr>
      <w:r w:rsidRPr="00AC0DE9">
        <w:rPr>
          <w:color w:val="000000"/>
        </w:rPr>
        <w:t xml:space="preserve">Martin EKVAD, President, Community Plant Variety Office (CPVO), European Union, Angers </w:t>
      </w:r>
    </w:p>
    <w:p w:rsidR="001B283D" w:rsidRDefault="001B283D" w:rsidP="001B283D">
      <w:pPr>
        <w:widowControl w:val="0"/>
        <w:tabs>
          <w:tab w:val="left" w:pos="90"/>
        </w:tabs>
        <w:autoSpaceDE w:val="0"/>
        <w:autoSpaceDN w:val="0"/>
        <w:rPr>
          <w:color w:val="000000"/>
        </w:rPr>
      </w:pPr>
      <w:r w:rsidRPr="00AC0DE9">
        <w:rPr>
          <w:color w:val="000000"/>
        </w:rPr>
        <w:t xml:space="preserve">(e-mail: ekvad@cpvo.europa.eu)  </w:t>
      </w:r>
    </w:p>
    <w:p w:rsidR="001B283D" w:rsidRPr="00AC0DE9" w:rsidRDefault="001B283D" w:rsidP="001B283D">
      <w:pPr>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rPr>
      </w:pPr>
      <w:r w:rsidRPr="00AC0DE9">
        <w:rPr>
          <w:color w:val="000000"/>
        </w:rPr>
        <w:t xml:space="preserve">Muriel LIGHTBOURNE (Mme), Legal Adviser, Community Plant Variety Office (CPVO), Angers </w:t>
      </w:r>
    </w:p>
    <w:p w:rsidR="001B283D" w:rsidRDefault="001B283D" w:rsidP="001B283D">
      <w:pPr>
        <w:widowControl w:val="0"/>
        <w:tabs>
          <w:tab w:val="left" w:pos="90"/>
        </w:tabs>
        <w:autoSpaceDE w:val="0"/>
        <w:autoSpaceDN w:val="0"/>
        <w:rPr>
          <w:color w:val="000000"/>
        </w:rPr>
      </w:pPr>
      <w:r w:rsidRPr="00AC0DE9">
        <w:rPr>
          <w:color w:val="000000"/>
        </w:rPr>
        <w:t xml:space="preserve">(e-mail: lightbourne@cpvo.europa.eu)  </w:t>
      </w:r>
    </w:p>
    <w:p w:rsidR="001B283D" w:rsidRPr="00AC0DE9" w:rsidRDefault="001B283D" w:rsidP="001B283D">
      <w:pPr>
        <w:widowControl w:val="0"/>
        <w:tabs>
          <w:tab w:val="left" w:pos="90"/>
        </w:tabs>
        <w:autoSpaceDE w:val="0"/>
        <w:autoSpaceDN w:val="0"/>
        <w:rPr>
          <w:color w:val="000000"/>
        </w:rPr>
      </w:pPr>
    </w:p>
    <w:p w:rsidR="001B283D" w:rsidRPr="00AC0DE9" w:rsidRDefault="001B283D" w:rsidP="001B283D">
      <w:pPr>
        <w:widowControl w:val="0"/>
        <w:tabs>
          <w:tab w:val="left" w:pos="90"/>
        </w:tabs>
        <w:autoSpaceDE w:val="0"/>
        <w:autoSpaceDN w:val="0"/>
        <w:rPr>
          <w:color w:val="000000"/>
        </w:rPr>
      </w:pPr>
    </w:p>
    <w:p w:rsidR="001B283D" w:rsidRDefault="001B283D" w:rsidP="001B283D">
      <w:pPr>
        <w:keepNext/>
        <w:widowControl w:val="0"/>
        <w:tabs>
          <w:tab w:val="left" w:pos="567"/>
          <w:tab w:val="center" w:pos="4792"/>
        </w:tabs>
        <w:autoSpaceDE w:val="0"/>
        <w:autoSpaceDN w:val="0"/>
        <w:adjustRightInd w:val="0"/>
        <w:jc w:val="center"/>
        <w:rPr>
          <w:color w:val="000000"/>
          <w:u w:val="single"/>
        </w:rPr>
      </w:pPr>
      <w:r w:rsidRPr="00AC0DE9">
        <w:rPr>
          <w:color w:val="000000"/>
        </w:rPr>
        <w:t>II.</w:t>
      </w:r>
      <w:r w:rsidRPr="00AC0DE9">
        <w:rPr>
          <w:color w:val="000000"/>
        </w:rPr>
        <w:tab/>
      </w:r>
      <w:r w:rsidRPr="00AC0DE9">
        <w:rPr>
          <w:color w:val="000000"/>
          <w:u w:val="single"/>
        </w:rPr>
        <w:t>ORGANISATIONS / ORGANIZATIONS / ORGANISATIONEN / ORGANIZACIONES</w:t>
      </w:r>
    </w:p>
    <w:p w:rsidR="001B283D" w:rsidRPr="00AC0DE9" w:rsidRDefault="001B283D" w:rsidP="001B283D">
      <w:pPr>
        <w:keepNext/>
        <w:widowControl w:val="0"/>
        <w:tabs>
          <w:tab w:val="left" w:pos="567"/>
          <w:tab w:val="center" w:pos="4792"/>
        </w:tabs>
        <w:autoSpaceDE w:val="0"/>
        <w:autoSpaceDN w:val="0"/>
        <w:adjustRightInd w:val="0"/>
        <w:jc w:val="center"/>
        <w:rPr>
          <w:color w:val="000000"/>
          <w:u w:val="single"/>
        </w:rPr>
      </w:pPr>
    </w:p>
    <w:p w:rsidR="001B283D" w:rsidRPr="00722730" w:rsidRDefault="001B283D" w:rsidP="001B283D">
      <w:pPr>
        <w:widowControl w:val="0"/>
        <w:tabs>
          <w:tab w:val="left" w:pos="90"/>
        </w:tabs>
        <w:autoSpaceDE w:val="0"/>
        <w:autoSpaceDN w:val="0"/>
        <w:rPr>
          <w:u w:val="single"/>
        </w:rPr>
      </w:pPr>
      <w:r w:rsidRPr="00722730">
        <w:rPr>
          <w:u w:val="single"/>
        </w:rPr>
        <w:t>ASSOCIATION FOR PLANT BREEDING FOR THE BENEFIT OF SOCIETY</w:t>
      </w:r>
    </w:p>
    <w:p w:rsidR="001B283D" w:rsidRDefault="001B283D" w:rsidP="001B283D">
      <w:pPr>
        <w:widowControl w:val="0"/>
        <w:tabs>
          <w:tab w:val="left" w:pos="90"/>
        </w:tabs>
        <w:autoSpaceDE w:val="0"/>
        <w:autoSpaceDN w:val="0"/>
        <w:rPr>
          <w:color w:val="000000"/>
          <w:highlight w:val="yellow"/>
        </w:rPr>
      </w:pPr>
    </w:p>
    <w:p w:rsidR="001B283D" w:rsidRPr="00AF3E0A" w:rsidRDefault="001B283D" w:rsidP="001B283D">
      <w:pPr>
        <w:widowControl w:val="0"/>
        <w:tabs>
          <w:tab w:val="left" w:pos="90"/>
        </w:tabs>
        <w:autoSpaceDE w:val="0"/>
        <w:autoSpaceDN w:val="0"/>
        <w:adjustRightInd w:val="0"/>
        <w:rPr>
          <w:color w:val="000000"/>
        </w:rPr>
      </w:pPr>
      <w:r w:rsidRPr="00AF3E0A">
        <w:rPr>
          <w:color w:val="000000"/>
        </w:rPr>
        <w:t>Susanne GURA</w:t>
      </w:r>
      <w:r>
        <w:rPr>
          <w:color w:val="000000"/>
        </w:rPr>
        <w:t>, (</w:t>
      </w:r>
      <w:r w:rsidRPr="00AF3E0A">
        <w:rPr>
          <w:color w:val="000000"/>
        </w:rPr>
        <w:t>Ms.</w:t>
      </w:r>
      <w:r>
        <w:rPr>
          <w:color w:val="000000"/>
        </w:rPr>
        <w:t xml:space="preserve">) </w:t>
      </w:r>
      <w:r w:rsidRPr="00AF3E0A">
        <w:rPr>
          <w:color w:val="000000"/>
        </w:rPr>
        <w:t>Coordinator</w:t>
      </w:r>
      <w:r>
        <w:rPr>
          <w:color w:val="000000"/>
        </w:rPr>
        <w:t xml:space="preserve">, </w:t>
      </w:r>
      <w:r w:rsidRPr="00AF3E0A">
        <w:rPr>
          <w:color w:val="000000"/>
        </w:rPr>
        <w:t>Association for Plant Breeding for the Benefit of Society (APBREBES)</w:t>
      </w:r>
    </w:p>
    <w:p w:rsidR="001B283D" w:rsidRPr="00E73C16" w:rsidRDefault="001B283D" w:rsidP="001B283D">
      <w:pPr>
        <w:widowControl w:val="0"/>
        <w:tabs>
          <w:tab w:val="left" w:pos="90"/>
        </w:tabs>
        <w:autoSpaceDE w:val="0"/>
        <w:autoSpaceDN w:val="0"/>
        <w:adjustRightInd w:val="0"/>
        <w:rPr>
          <w:color w:val="000000"/>
          <w:lang w:val="fr-CH"/>
        </w:rPr>
      </w:pPr>
      <w:r w:rsidRPr="00E73C16">
        <w:rPr>
          <w:color w:val="000000"/>
          <w:lang w:val="fr-CH"/>
        </w:rPr>
        <w:t>(email: contact@apbrebes.org)</w:t>
      </w:r>
    </w:p>
    <w:p w:rsidR="001B283D" w:rsidRPr="00E73C16" w:rsidRDefault="001B283D" w:rsidP="001B283D">
      <w:pPr>
        <w:widowControl w:val="0"/>
        <w:tabs>
          <w:tab w:val="left" w:pos="90"/>
        </w:tabs>
        <w:autoSpaceDE w:val="0"/>
        <w:autoSpaceDN w:val="0"/>
        <w:rPr>
          <w:color w:val="000000"/>
          <w:highlight w:val="yellow"/>
          <w:lang w:val="fr-CH"/>
        </w:rPr>
      </w:pPr>
    </w:p>
    <w:p w:rsidR="001B283D" w:rsidRPr="00E73C16" w:rsidRDefault="001B283D" w:rsidP="001B283D">
      <w:pPr>
        <w:widowControl w:val="0"/>
        <w:tabs>
          <w:tab w:val="left" w:pos="90"/>
        </w:tabs>
        <w:autoSpaceDE w:val="0"/>
        <w:autoSpaceDN w:val="0"/>
        <w:adjustRightInd w:val="0"/>
        <w:rPr>
          <w:color w:val="000000"/>
          <w:u w:val="single"/>
          <w:lang w:val="fr-CH"/>
        </w:rPr>
      </w:pPr>
      <w:r w:rsidRPr="00E73C16">
        <w:rPr>
          <w:color w:val="000000"/>
          <w:u w:val="single"/>
          <w:lang w:val="fr-CH"/>
        </w:rPr>
        <w:t xml:space="preserve">ASSOCIATION INTERNATIONALE DES PRODUCTEURS HORTICOLES (AIPH) / </w:t>
      </w:r>
    </w:p>
    <w:p w:rsidR="001B283D" w:rsidRPr="001D4989" w:rsidRDefault="001B283D" w:rsidP="001B283D">
      <w:pPr>
        <w:widowControl w:val="0"/>
        <w:tabs>
          <w:tab w:val="left" w:pos="90"/>
        </w:tabs>
        <w:autoSpaceDE w:val="0"/>
        <w:autoSpaceDN w:val="0"/>
        <w:adjustRightInd w:val="0"/>
        <w:rPr>
          <w:color w:val="000000"/>
          <w:u w:val="single"/>
        </w:rPr>
      </w:pPr>
      <w:r w:rsidRPr="001D4989">
        <w:rPr>
          <w:color w:val="000000"/>
          <w:u w:val="single"/>
        </w:rPr>
        <w:t xml:space="preserve">INTERNATIONAL ASSOCIATION OF HORTICULTURAL PRODUCERS (AIPH) / </w:t>
      </w:r>
    </w:p>
    <w:p w:rsidR="001B283D" w:rsidRPr="00E73C16" w:rsidRDefault="001B283D" w:rsidP="001B283D">
      <w:pPr>
        <w:widowControl w:val="0"/>
        <w:tabs>
          <w:tab w:val="left" w:pos="90"/>
        </w:tabs>
        <w:autoSpaceDE w:val="0"/>
        <w:autoSpaceDN w:val="0"/>
        <w:adjustRightInd w:val="0"/>
        <w:rPr>
          <w:color w:val="000000"/>
          <w:u w:val="single"/>
          <w:lang w:val="es-ES"/>
        </w:rPr>
      </w:pPr>
      <w:r w:rsidRPr="00E73C16">
        <w:rPr>
          <w:color w:val="000000"/>
          <w:u w:val="single"/>
          <w:lang w:val="es-ES"/>
        </w:rPr>
        <w:t xml:space="preserve">INTERNATIONALER VERBAND DES ERWERBSGARTENBAUES (AIPH) / ASOCIACIÓN </w:t>
      </w:r>
    </w:p>
    <w:p w:rsidR="001B283D" w:rsidRPr="00E73C16" w:rsidRDefault="001B283D" w:rsidP="001B283D">
      <w:pPr>
        <w:widowControl w:val="0"/>
        <w:tabs>
          <w:tab w:val="left" w:pos="90"/>
        </w:tabs>
        <w:autoSpaceDE w:val="0"/>
        <w:autoSpaceDN w:val="0"/>
        <w:adjustRightInd w:val="0"/>
        <w:rPr>
          <w:color w:val="000000"/>
          <w:u w:val="single"/>
          <w:lang w:val="es-ES"/>
        </w:rPr>
      </w:pPr>
      <w:r w:rsidRPr="00E73C16">
        <w:rPr>
          <w:color w:val="000000"/>
          <w:u w:val="single"/>
          <w:lang w:val="es-ES"/>
        </w:rPr>
        <w:t>INTERNACIONAL DE PRODUCTORES HORTÍCOLAS (AIPH)</w:t>
      </w:r>
    </w:p>
    <w:p w:rsidR="001B283D" w:rsidRPr="00E73C16" w:rsidRDefault="001B283D" w:rsidP="001B283D">
      <w:pPr>
        <w:widowControl w:val="0"/>
        <w:tabs>
          <w:tab w:val="left" w:pos="90"/>
        </w:tabs>
        <w:autoSpaceDE w:val="0"/>
        <w:autoSpaceDN w:val="0"/>
        <w:adjustRightInd w:val="0"/>
        <w:rPr>
          <w:color w:val="000000"/>
          <w:lang w:val="es-ES"/>
        </w:rPr>
      </w:pPr>
    </w:p>
    <w:p w:rsidR="001B283D" w:rsidRPr="001D4989" w:rsidRDefault="001B283D" w:rsidP="001B283D">
      <w:pPr>
        <w:widowControl w:val="0"/>
        <w:tabs>
          <w:tab w:val="left" w:pos="90"/>
        </w:tabs>
        <w:autoSpaceDE w:val="0"/>
        <w:autoSpaceDN w:val="0"/>
        <w:adjustRightInd w:val="0"/>
        <w:rPr>
          <w:color w:val="000000"/>
        </w:rPr>
      </w:pPr>
      <w:r w:rsidRPr="001D4989">
        <w:rPr>
          <w:color w:val="000000"/>
        </w:rPr>
        <w:t>Mia BUMA (Mrs</w:t>
      </w:r>
      <w:r>
        <w:rPr>
          <w:color w:val="000000"/>
        </w:rPr>
        <w:t>.</w:t>
      </w:r>
      <w:r w:rsidRPr="001D4989">
        <w:rPr>
          <w:color w:val="000000"/>
        </w:rPr>
        <w:t xml:space="preserve">), Secretary, Committee for Novelty Protection, International Association of Horticultural Producers (AIPH), Reading, United Kingdom (e-mail: info@miabuma.nl)  </w:t>
      </w:r>
    </w:p>
    <w:p w:rsidR="001B283D" w:rsidRPr="00722730" w:rsidRDefault="001B283D" w:rsidP="001B283D">
      <w:pPr>
        <w:widowControl w:val="0"/>
        <w:tabs>
          <w:tab w:val="left" w:pos="90"/>
        </w:tabs>
        <w:autoSpaceDE w:val="0"/>
        <w:autoSpaceDN w:val="0"/>
        <w:rPr>
          <w:color w:val="000000"/>
          <w:highlight w:val="yellow"/>
        </w:rPr>
      </w:pPr>
    </w:p>
    <w:p w:rsidR="001B283D" w:rsidRPr="00E73C16" w:rsidRDefault="001B283D" w:rsidP="001B283D">
      <w:pPr>
        <w:widowControl w:val="0"/>
        <w:tabs>
          <w:tab w:val="left" w:pos="90"/>
        </w:tabs>
        <w:autoSpaceDE w:val="0"/>
        <w:autoSpaceDN w:val="0"/>
        <w:rPr>
          <w:color w:val="000000"/>
          <w:u w:val="single"/>
          <w:lang w:val="fr-CH"/>
        </w:rPr>
      </w:pPr>
      <w:r w:rsidRPr="00E73C16">
        <w:rPr>
          <w:color w:val="000000"/>
          <w:u w:val="single"/>
          <w:lang w:val="fr-CH"/>
        </w:rPr>
        <w:t xml:space="preserve">COMMUNAUTÉ INTERNATIONALE DES OBTENTEURS DE PLANTES </w:t>
      </w:r>
    </w:p>
    <w:p w:rsidR="001B283D" w:rsidRPr="00E73C16" w:rsidRDefault="001B283D" w:rsidP="001B283D">
      <w:pPr>
        <w:widowControl w:val="0"/>
        <w:tabs>
          <w:tab w:val="left" w:pos="90"/>
        </w:tabs>
        <w:autoSpaceDE w:val="0"/>
        <w:autoSpaceDN w:val="0"/>
        <w:rPr>
          <w:color w:val="000000"/>
          <w:u w:val="single"/>
          <w:lang w:val="fr-CH"/>
        </w:rPr>
      </w:pPr>
      <w:r w:rsidRPr="00E73C16">
        <w:rPr>
          <w:color w:val="000000"/>
          <w:u w:val="single"/>
          <w:lang w:val="fr-CH"/>
        </w:rPr>
        <w:t xml:space="preserve">ORNEMENTALES ET FRUITIÈRES À REPRODUCTION ASEXUÉE (CIOPORA) / </w:t>
      </w:r>
    </w:p>
    <w:p w:rsidR="001B283D" w:rsidRPr="00476BBA" w:rsidRDefault="001B283D" w:rsidP="001B283D">
      <w:pPr>
        <w:widowControl w:val="0"/>
        <w:tabs>
          <w:tab w:val="left" w:pos="90"/>
        </w:tabs>
        <w:autoSpaceDE w:val="0"/>
        <w:autoSpaceDN w:val="0"/>
        <w:rPr>
          <w:color w:val="000000"/>
          <w:u w:val="single"/>
        </w:rPr>
      </w:pPr>
      <w:r w:rsidRPr="00476BBA">
        <w:rPr>
          <w:color w:val="000000"/>
          <w:u w:val="single"/>
        </w:rPr>
        <w:t xml:space="preserve">INTERNATIONAL COMMUNITY OF BREEDERS OF ASEXUALLY REPRODUCED </w:t>
      </w:r>
    </w:p>
    <w:p w:rsidR="001B283D" w:rsidRPr="00476BBA" w:rsidRDefault="001B283D" w:rsidP="001B283D">
      <w:pPr>
        <w:widowControl w:val="0"/>
        <w:tabs>
          <w:tab w:val="left" w:pos="90"/>
        </w:tabs>
        <w:autoSpaceDE w:val="0"/>
        <w:autoSpaceDN w:val="0"/>
        <w:rPr>
          <w:color w:val="000000"/>
          <w:u w:val="single"/>
        </w:rPr>
      </w:pPr>
      <w:r w:rsidRPr="00476BBA">
        <w:rPr>
          <w:color w:val="000000"/>
          <w:u w:val="single"/>
        </w:rPr>
        <w:t xml:space="preserve">ORNAMENTAL AND FRUIT PLANTS (CIOPORA) / INTERNATIONALE </w:t>
      </w:r>
    </w:p>
    <w:p w:rsidR="001B283D" w:rsidRPr="00476BBA" w:rsidRDefault="001B283D" w:rsidP="001B283D">
      <w:pPr>
        <w:widowControl w:val="0"/>
        <w:tabs>
          <w:tab w:val="left" w:pos="90"/>
        </w:tabs>
        <w:autoSpaceDE w:val="0"/>
        <w:autoSpaceDN w:val="0"/>
        <w:rPr>
          <w:color w:val="000000"/>
          <w:u w:val="single"/>
        </w:rPr>
      </w:pPr>
      <w:r w:rsidRPr="00476BBA">
        <w:rPr>
          <w:color w:val="000000"/>
          <w:u w:val="single"/>
        </w:rPr>
        <w:t>GEMEINSCHAFT DER ZÜCHTER V</w:t>
      </w:r>
    </w:p>
    <w:p w:rsidR="001B283D" w:rsidRPr="00476BBA" w:rsidRDefault="001B283D" w:rsidP="001B283D">
      <w:pPr>
        <w:widowControl w:val="0"/>
        <w:tabs>
          <w:tab w:val="left" w:pos="90"/>
        </w:tabs>
        <w:autoSpaceDE w:val="0"/>
        <w:autoSpaceDN w:val="0"/>
        <w:rPr>
          <w:color w:val="000000"/>
          <w:u w:val="single"/>
        </w:rPr>
      </w:pPr>
    </w:p>
    <w:p w:rsidR="001B283D" w:rsidRPr="00476BBA" w:rsidRDefault="001B283D" w:rsidP="001B283D">
      <w:pPr>
        <w:widowControl w:val="0"/>
        <w:tabs>
          <w:tab w:val="left" w:pos="90"/>
        </w:tabs>
        <w:autoSpaceDE w:val="0"/>
        <w:autoSpaceDN w:val="0"/>
        <w:rPr>
          <w:color w:val="000000"/>
        </w:rPr>
      </w:pPr>
      <w:r w:rsidRPr="00476BBA">
        <w:rPr>
          <w:color w:val="000000"/>
        </w:rPr>
        <w:t>Andrea MANSUINO, President</w:t>
      </w:r>
      <w:r>
        <w:rPr>
          <w:color w:val="000000"/>
        </w:rPr>
        <w:t>,</w:t>
      </w:r>
      <w:r w:rsidRPr="00476BBA">
        <w:rPr>
          <w:color w:val="000000"/>
        </w:rPr>
        <w:t xml:space="preserve"> International Community of Breeders of Asexually Reproduced Ornamental and Fruit Plants (CIOPORA), Hamburg, Germany (e-mail: a.mansuino@yahoo.it)  </w:t>
      </w:r>
    </w:p>
    <w:p w:rsidR="001B283D" w:rsidRPr="00476BBA" w:rsidRDefault="001B283D" w:rsidP="001B283D">
      <w:pPr>
        <w:widowControl w:val="0"/>
        <w:tabs>
          <w:tab w:val="left" w:pos="90"/>
        </w:tabs>
        <w:autoSpaceDE w:val="0"/>
        <w:autoSpaceDN w:val="0"/>
        <w:rPr>
          <w:color w:val="000000"/>
        </w:rPr>
      </w:pPr>
    </w:p>
    <w:p w:rsidR="001B283D" w:rsidRPr="00476BBA" w:rsidRDefault="001B283D" w:rsidP="001B283D">
      <w:pPr>
        <w:widowControl w:val="0"/>
        <w:tabs>
          <w:tab w:val="left" w:pos="90"/>
        </w:tabs>
        <w:autoSpaceDE w:val="0"/>
        <w:autoSpaceDN w:val="0"/>
        <w:rPr>
          <w:color w:val="000000"/>
        </w:rPr>
      </w:pPr>
      <w:r w:rsidRPr="00476BBA">
        <w:rPr>
          <w:color w:val="000000"/>
        </w:rPr>
        <w:t xml:space="preserve">Edgar KRIEGER, Secretary General, International Community of Breeders of Asexually Reproduced Ornamental and Fruit Plants (CIOPORA), Hamburg, Germany (e-mail: edgar.krieger@ciopora.org)  </w:t>
      </w:r>
    </w:p>
    <w:p w:rsidR="001B283D" w:rsidRPr="00476BBA" w:rsidRDefault="001B283D" w:rsidP="001B283D">
      <w:pPr>
        <w:widowControl w:val="0"/>
        <w:tabs>
          <w:tab w:val="left" w:pos="90"/>
        </w:tabs>
        <w:autoSpaceDE w:val="0"/>
        <w:autoSpaceDN w:val="0"/>
        <w:rPr>
          <w:color w:val="000000"/>
        </w:rPr>
      </w:pPr>
    </w:p>
    <w:p w:rsidR="001B283D" w:rsidRPr="00476BBA" w:rsidRDefault="001B283D" w:rsidP="001B283D">
      <w:pPr>
        <w:keepNext/>
        <w:keepLines/>
        <w:widowControl w:val="0"/>
        <w:tabs>
          <w:tab w:val="left" w:pos="90"/>
        </w:tabs>
        <w:autoSpaceDE w:val="0"/>
        <w:autoSpaceDN w:val="0"/>
        <w:rPr>
          <w:color w:val="000000"/>
        </w:rPr>
      </w:pPr>
      <w:r w:rsidRPr="00476BBA">
        <w:rPr>
          <w:color w:val="000000"/>
        </w:rPr>
        <w:t>Dominique THÉVENON</w:t>
      </w:r>
      <w:r>
        <w:rPr>
          <w:color w:val="000000"/>
        </w:rPr>
        <w:t xml:space="preserve"> (M</w:t>
      </w:r>
      <w:r w:rsidRPr="00476BBA">
        <w:rPr>
          <w:color w:val="000000"/>
        </w:rPr>
        <w:t xml:space="preserve">me), Board member, Treasurer - AIGN, International Community of Breeders of Asexually Reproduced Ornamental and Fruit Plants  (CIOPORA), Hamburg, Germany </w:t>
      </w:r>
    </w:p>
    <w:p w:rsidR="001B283D" w:rsidRPr="00476BBA" w:rsidRDefault="001B283D" w:rsidP="001B283D">
      <w:pPr>
        <w:widowControl w:val="0"/>
        <w:tabs>
          <w:tab w:val="left" w:pos="90"/>
        </w:tabs>
        <w:autoSpaceDE w:val="0"/>
        <w:autoSpaceDN w:val="0"/>
        <w:rPr>
          <w:color w:val="000000"/>
        </w:rPr>
      </w:pPr>
      <w:r w:rsidRPr="00476BBA">
        <w:rPr>
          <w:color w:val="000000"/>
        </w:rPr>
        <w:t xml:space="preserve">(e-mail: t.dominique4@aliceadsl.fr)  </w:t>
      </w:r>
    </w:p>
    <w:p w:rsidR="001B283D" w:rsidRDefault="001B283D" w:rsidP="001B283D">
      <w:pPr>
        <w:widowControl w:val="0"/>
        <w:tabs>
          <w:tab w:val="left" w:pos="90"/>
        </w:tabs>
        <w:autoSpaceDE w:val="0"/>
        <w:autoSpaceDN w:val="0"/>
        <w:rPr>
          <w:color w:val="000000"/>
        </w:rPr>
      </w:pPr>
    </w:p>
    <w:p w:rsidR="001B283D" w:rsidRPr="00476BBA" w:rsidRDefault="001B283D" w:rsidP="001B283D">
      <w:pPr>
        <w:keepNext/>
        <w:widowControl w:val="0"/>
        <w:tabs>
          <w:tab w:val="left" w:pos="90"/>
        </w:tabs>
        <w:autoSpaceDE w:val="0"/>
        <w:autoSpaceDN w:val="0"/>
        <w:rPr>
          <w:color w:val="000000"/>
          <w:u w:val="single"/>
        </w:rPr>
      </w:pPr>
      <w:r w:rsidRPr="00476BBA">
        <w:rPr>
          <w:color w:val="000000"/>
          <w:u w:val="single"/>
        </w:rPr>
        <w:t>INTERNATIONAL SEED FEDERATION (ISF)</w:t>
      </w:r>
    </w:p>
    <w:p w:rsidR="001B283D" w:rsidRPr="00476BBA" w:rsidRDefault="001B283D" w:rsidP="001B283D">
      <w:pPr>
        <w:keepNext/>
        <w:widowControl w:val="0"/>
        <w:tabs>
          <w:tab w:val="left" w:pos="90"/>
        </w:tabs>
        <w:autoSpaceDE w:val="0"/>
        <w:autoSpaceDN w:val="0"/>
        <w:rPr>
          <w:color w:val="000000"/>
          <w:u w:val="single"/>
        </w:rPr>
      </w:pPr>
    </w:p>
    <w:p w:rsidR="001B283D" w:rsidRPr="00476BBA" w:rsidRDefault="001B283D" w:rsidP="001B283D">
      <w:pPr>
        <w:widowControl w:val="0"/>
        <w:tabs>
          <w:tab w:val="left" w:pos="90"/>
        </w:tabs>
        <w:autoSpaceDE w:val="0"/>
        <w:autoSpaceDN w:val="0"/>
        <w:rPr>
          <w:color w:val="000000"/>
        </w:rPr>
      </w:pPr>
      <w:r w:rsidRPr="001331C4">
        <w:rPr>
          <w:color w:val="000000"/>
        </w:rPr>
        <w:t>Michael KELLER, Secretary General, Nyon, Switzerland (e-mail: m.keller@worldseed.org)</w:t>
      </w:r>
      <w:r w:rsidRPr="00476BBA">
        <w:rPr>
          <w:color w:val="000000"/>
        </w:rPr>
        <w:t xml:space="preserve"> </w:t>
      </w:r>
    </w:p>
    <w:p w:rsidR="001B283D" w:rsidRPr="00476BBA" w:rsidRDefault="001B283D" w:rsidP="001B283D">
      <w:pPr>
        <w:widowControl w:val="0"/>
        <w:tabs>
          <w:tab w:val="left" w:pos="90"/>
        </w:tabs>
        <w:autoSpaceDE w:val="0"/>
        <w:autoSpaceDN w:val="0"/>
        <w:rPr>
          <w:color w:val="000000"/>
        </w:rPr>
      </w:pPr>
      <w:r w:rsidRPr="00476BBA">
        <w:rPr>
          <w:color w:val="000000"/>
        </w:rPr>
        <w:t xml:space="preserve"> </w:t>
      </w:r>
    </w:p>
    <w:p w:rsidR="001B283D" w:rsidRPr="00476BBA" w:rsidRDefault="001B283D" w:rsidP="001B283D">
      <w:pPr>
        <w:widowControl w:val="0"/>
        <w:tabs>
          <w:tab w:val="left" w:pos="90"/>
        </w:tabs>
        <w:autoSpaceDE w:val="0"/>
        <w:autoSpaceDN w:val="0"/>
        <w:rPr>
          <w:color w:val="000000"/>
        </w:rPr>
      </w:pPr>
      <w:r w:rsidRPr="00476BBA">
        <w:rPr>
          <w:color w:val="000000"/>
        </w:rPr>
        <w:t xml:space="preserve">Stevan MADJARAC, Representative, American Seed Trade Association (ASTA), Alexandria, </w:t>
      </w:r>
    </w:p>
    <w:p w:rsidR="001B283D" w:rsidRPr="00476BBA" w:rsidRDefault="001B283D" w:rsidP="001B283D">
      <w:pPr>
        <w:widowControl w:val="0"/>
        <w:tabs>
          <w:tab w:val="left" w:pos="90"/>
        </w:tabs>
        <w:autoSpaceDE w:val="0"/>
        <w:autoSpaceDN w:val="0"/>
        <w:rPr>
          <w:color w:val="000000"/>
        </w:rPr>
      </w:pPr>
      <w:r w:rsidRPr="00476BBA">
        <w:rPr>
          <w:color w:val="000000"/>
        </w:rPr>
        <w:t xml:space="preserve">United States of America (e-mail: smadjarac@gmail.com)  </w:t>
      </w:r>
    </w:p>
    <w:p w:rsidR="001B283D" w:rsidRDefault="001B283D" w:rsidP="001B283D">
      <w:pPr>
        <w:widowControl w:val="0"/>
        <w:tabs>
          <w:tab w:val="left" w:pos="90"/>
        </w:tabs>
        <w:autoSpaceDE w:val="0"/>
        <w:autoSpaceDN w:val="0"/>
        <w:rPr>
          <w:color w:val="000000"/>
        </w:rPr>
      </w:pPr>
    </w:p>
    <w:p w:rsidR="001B283D" w:rsidRPr="007D1918" w:rsidRDefault="001B283D" w:rsidP="001B283D">
      <w:pPr>
        <w:widowControl w:val="0"/>
        <w:tabs>
          <w:tab w:val="left" w:pos="90"/>
        </w:tabs>
        <w:autoSpaceDE w:val="0"/>
        <w:autoSpaceDN w:val="0"/>
        <w:rPr>
          <w:color w:val="000000"/>
        </w:rPr>
      </w:pPr>
      <w:r w:rsidRPr="007D1918">
        <w:rPr>
          <w:color w:val="000000"/>
        </w:rPr>
        <w:t>Diego A. RISSO, Secretary General of URUPOV (e-mail: drisso@saaseed.org)</w:t>
      </w:r>
    </w:p>
    <w:p w:rsidR="001B283D" w:rsidRPr="007D1918" w:rsidRDefault="001B283D" w:rsidP="001B283D">
      <w:pPr>
        <w:widowControl w:val="0"/>
        <w:tabs>
          <w:tab w:val="left" w:pos="90"/>
        </w:tabs>
        <w:autoSpaceDE w:val="0"/>
        <w:autoSpaceDN w:val="0"/>
        <w:rPr>
          <w:color w:val="000000"/>
        </w:rPr>
      </w:pPr>
    </w:p>
    <w:p w:rsidR="001B283D" w:rsidRPr="007D1918" w:rsidRDefault="001B283D" w:rsidP="001B283D">
      <w:pPr>
        <w:widowControl w:val="0"/>
        <w:tabs>
          <w:tab w:val="left" w:pos="90"/>
        </w:tabs>
        <w:autoSpaceDE w:val="0"/>
        <w:autoSpaceDN w:val="0"/>
        <w:rPr>
          <w:color w:val="000000"/>
        </w:rPr>
      </w:pPr>
      <w:r w:rsidRPr="007D1918">
        <w:rPr>
          <w:color w:val="000000"/>
        </w:rPr>
        <w:lastRenderedPageBreak/>
        <w:t xml:space="preserve">Stephen SMITH, Germplasm Security Coordinator, DuPont Pioneer, Johnston, États-Unis d'Amérique </w:t>
      </w:r>
    </w:p>
    <w:p w:rsidR="001B283D" w:rsidRPr="00476BBA" w:rsidRDefault="001B283D" w:rsidP="001B283D">
      <w:pPr>
        <w:widowControl w:val="0"/>
        <w:tabs>
          <w:tab w:val="left" w:pos="90"/>
        </w:tabs>
        <w:autoSpaceDE w:val="0"/>
        <w:autoSpaceDN w:val="0"/>
        <w:rPr>
          <w:color w:val="000000"/>
        </w:rPr>
      </w:pPr>
      <w:r w:rsidRPr="007D1918">
        <w:rPr>
          <w:color w:val="000000"/>
        </w:rPr>
        <w:t>(e-mail: stephen.smith@pioneer.com)</w:t>
      </w:r>
    </w:p>
    <w:p w:rsidR="001B283D" w:rsidRDefault="001B283D" w:rsidP="001B283D">
      <w:pPr>
        <w:widowControl w:val="0"/>
        <w:tabs>
          <w:tab w:val="left" w:pos="90"/>
        </w:tabs>
        <w:autoSpaceDE w:val="0"/>
        <w:autoSpaceDN w:val="0"/>
        <w:rPr>
          <w:color w:val="000000"/>
        </w:rPr>
      </w:pPr>
    </w:p>
    <w:p w:rsidR="001B283D" w:rsidRPr="001D4989" w:rsidRDefault="001B283D" w:rsidP="001B283D">
      <w:pPr>
        <w:keepNext/>
        <w:widowControl w:val="0"/>
        <w:tabs>
          <w:tab w:val="left" w:pos="90"/>
        </w:tabs>
        <w:autoSpaceDE w:val="0"/>
        <w:autoSpaceDN w:val="0"/>
        <w:adjustRightInd w:val="0"/>
        <w:rPr>
          <w:color w:val="000000"/>
          <w:u w:val="single"/>
        </w:rPr>
      </w:pPr>
      <w:r w:rsidRPr="001D4989">
        <w:rPr>
          <w:color w:val="000000"/>
          <w:u w:val="single"/>
        </w:rPr>
        <w:t>EUROPEAN SEED ASSOCIATION (ESA)</w:t>
      </w:r>
    </w:p>
    <w:p w:rsidR="001B283D" w:rsidRDefault="001B283D" w:rsidP="001B283D">
      <w:pPr>
        <w:keepNext/>
        <w:widowControl w:val="0"/>
        <w:tabs>
          <w:tab w:val="left" w:pos="90"/>
        </w:tabs>
        <w:autoSpaceDE w:val="0"/>
        <w:autoSpaceDN w:val="0"/>
        <w:adjustRightInd w:val="0"/>
        <w:rPr>
          <w:color w:val="000000"/>
        </w:rPr>
      </w:pPr>
    </w:p>
    <w:p w:rsidR="001B283D" w:rsidRPr="00E73C16" w:rsidRDefault="001B283D" w:rsidP="001B283D">
      <w:pPr>
        <w:keepNext/>
        <w:widowControl w:val="0"/>
        <w:tabs>
          <w:tab w:val="left" w:pos="90"/>
        </w:tabs>
        <w:autoSpaceDE w:val="0"/>
        <w:autoSpaceDN w:val="0"/>
        <w:adjustRightInd w:val="0"/>
        <w:rPr>
          <w:color w:val="000000"/>
          <w:lang w:val="fr-CH"/>
        </w:rPr>
      </w:pPr>
      <w:r w:rsidRPr="00E73C16">
        <w:rPr>
          <w:color w:val="000000"/>
          <w:lang w:val="fr-CH"/>
        </w:rPr>
        <w:t xml:space="preserve">Hélène GUILLOT (Mlle), Lawyer, Union Française des Semenciers (UFS), Paris, France </w:t>
      </w:r>
      <w:r w:rsidRPr="00E73C16">
        <w:rPr>
          <w:color w:val="000000"/>
          <w:lang w:val="fr-CH"/>
        </w:rPr>
        <w:br/>
        <w:t xml:space="preserve">(e-mail: helene.guillot@ufs-asso.com)  </w:t>
      </w:r>
    </w:p>
    <w:p w:rsidR="001B283D" w:rsidRPr="00E73C16" w:rsidRDefault="001B283D" w:rsidP="001B283D">
      <w:pPr>
        <w:keepNext/>
        <w:widowControl w:val="0"/>
        <w:tabs>
          <w:tab w:val="left" w:pos="90"/>
        </w:tabs>
        <w:autoSpaceDE w:val="0"/>
        <w:autoSpaceDN w:val="0"/>
        <w:rPr>
          <w:color w:val="000000"/>
          <w:lang w:val="fr-CH"/>
        </w:rPr>
      </w:pPr>
    </w:p>
    <w:p w:rsidR="001B283D" w:rsidRPr="001D4989" w:rsidRDefault="001B283D" w:rsidP="001B283D">
      <w:pPr>
        <w:keepNext/>
        <w:widowControl w:val="0"/>
        <w:tabs>
          <w:tab w:val="left" w:pos="90"/>
        </w:tabs>
        <w:autoSpaceDE w:val="0"/>
        <w:autoSpaceDN w:val="0"/>
        <w:adjustRightInd w:val="0"/>
        <w:rPr>
          <w:color w:val="000000"/>
        </w:rPr>
      </w:pPr>
      <w:r w:rsidRPr="00FA1497">
        <w:rPr>
          <w:color w:val="000000"/>
        </w:rPr>
        <w:t>Judith DE ROOS - BLOKLAND (Mrs.), Lawyer, Regulatory and Legal Affairs, Plantum NL, Gouda, Pays-Bas (e-mail: j.blokland@plantum.nl)</w:t>
      </w:r>
      <w:r w:rsidRPr="001D4989">
        <w:rPr>
          <w:color w:val="000000"/>
        </w:rPr>
        <w:t xml:space="preserve">  </w:t>
      </w:r>
    </w:p>
    <w:p w:rsidR="001B283D" w:rsidRDefault="001B283D" w:rsidP="001B283D">
      <w:pPr>
        <w:keepNext/>
        <w:widowControl w:val="0"/>
        <w:tabs>
          <w:tab w:val="left" w:pos="90"/>
        </w:tabs>
        <w:autoSpaceDE w:val="0"/>
        <w:autoSpaceDN w:val="0"/>
        <w:rPr>
          <w:color w:val="000000"/>
        </w:rPr>
      </w:pPr>
    </w:p>
    <w:p w:rsidR="001B283D" w:rsidRDefault="001B283D" w:rsidP="001B283D">
      <w:pPr>
        <w:widowControl w:val="0"/>
        <w:tabs>
          <w:tab w:val="left" w:pos="90"/>
        </w:tabs>
        <w:autoSpaceDE w:val="0"/>
        <w:autoSpaceDN w:val="0"/>
        <w:rPr>
          <w:color w:val="000000"/>
        </w:rPr>
      </w:pPr>
    </w:p>
    <w:p w:rsidR="001B283D" w:rsidRPr="00476BBA" w:rsidRDefault="001B283D" w:rsidP="001B283D">
      <w:pPr>
        <w:widowControl w:val="0"/>
        <w:tabs>
          <w:tab w:val="left" w:pos="90"/>
        </w:tabs>
        <w:autoSpaceDE w:val="0"/>
        <w:autoSpaceDN w:val="0"/>
        <w:rPr>
          <w:color w:val="000000"/>
        </w:rPr>
      </w:pPr>
    </w:p>
    <w:p w:rsidR="001B283D" w:rsidRPr="00AC0DE9" w:rsidRDefault="001B283D" w:rsidP="001B283D">
      <w:pPr>
        <w:keepNext/>
        <w:jc w:val="center"/>
        <w:rPr>
          <w:u w:val="single"/>
        </w:rPr>
      </w:pPr>
      <w:r w:rsidRPr="00E73C16">
        <w:t>I</w:t>
      </w:r>
      <w:r>
        <w:t>II</w:t>
      </w:r>
      <w:r w:rsidRPr="00AC0DE9">
        <w:t>.</w:t>
      </w:r>
      <w:r w:rsidRPr="00AC0DE9">
        <w:tab/>
      </w:r>
      <w:r w:rsidRPr="00AC0DE9">
        <w:rPr>
          <w:u w:val="single"/>
        </w:rPr>
        <w:t>BUREAU / OFFICER / VORSITZ / OFICINA</w:t>
      </w:r>
    </w:p>
    <w:p w:rsidR="001B283D" w:rsidRPr="00AC0DE9" w:rsidRDefault="001B283D" w:rsidP="001B283D">
      <w:pPr>
        <w:keepNext/>
        <w:jc w:val="center"/>
        <w:rPr>
          <w:highlight w:val="yellow"/>
        </w:rPr>
      </w:pPr>
    </w:p>
    <w:p w:rsidR="001B283D" w:rsidRPr="00E73C16" w:rsidRDefault="001B283D" w:rsidP="001B283D">
      <w:pPr>
        <w:keepNext/>
        <w:rPr>
          <w:highlight w:val="yellow"/>
        </w:rPr>
      </w:pPr>
      <w:r w:rsidRPr="00044149">
        <w:t>Peter BUTTON, Chair</w:t>
      </w:r>
    </w:p>
    <w:p w:rsidR="001B283D" w:rsidRPr="00E73C16" w:rsidRDefault="001B283D" w:rsidP="001B283D">
      <w:pPr>
        <w:jc w:val="center"/>
      </w:pPr>
    </w:p>
    <w:p w:rsidR="001B283D" w:rsidRPr="00E73C16" w:rsidRDefault="001B283D" w:rsidP="001B283D">
      <w:pPr>
        <w:jc w:val="center"/>
      </w:pPr>
    </w:p>
    <w:p w:rsidR="001B283D" w:rsidRPr="00E73C16" w:rsidRDefault="001B283D" w:rsidP="001B283D">
      <w:pPr>
        <w:jc w:val="center"/>
      </w:pPr>
    </w:p>
    <w:p w:rsidR="001B283D" w:rsidRPr="00E73C16" w:rsidRDefault="001B283D" w:rsidP="001B283D">
      <w:pPr>
        <w:keepNext/>
        <w:jc w:val="center"/>
        <w:rPr>
          <w:u w:val="single"/>
        </w:rPr>
      </w:pPr>
      <w:r>
        <w:rPr>
          <w:lang w:val="pt-BR"/>
        </w:rPr>
        <w:t>IV</w:t>
      </w:r>
      <w:r w:rsidRPr="00AC0DE9">
        <w:rPr>
          <w:lang w:val="pt-BR"/>
        </w:rPr>
        <w:t>.</w:t>
      </w:r>
      <w:r w:rsidRPr="00AC0DE9">
        <w:rPr>
          <w:lang w:val="pt-BR"/>
        </w:rPr>
        <w:tab/>
      </w:r>
      <w:r w:rsidRPr="00AC0DE9">
        <w:rPr>
          <w:u w:val="single"/>
          <w:lang w:val="pt-BR"/>
        </w:rPr>
        <w:t>BUREAU DE L’UPOV / OFFICE OF UPOV / BÜRO DER UPOV / OFICINA DE LA UPOV</w:t>
      </w:r>
    </w:p>
    <w:p w:rsidR="001B283D" w:rsidRPr="00E73C16" w:rsidRDefault="001B283D" w:rsidP="001B283D">
      <w:pPr>
        <w:keepNext/>
        <w:jc w:val="center"/>
      </w:pPr>
    </w:p>
    <w:p w:rsidR="001B283D" w:rsidRPr="00AC0DE9" w:rsidRDefault="001B283D" w:rsidP="001B283D">
      <w:pPr>
        <w:keepNext/>
        <w:rPr>
          <w:noProof/>
          <w:snapToGrid w:val="0"/>
        </w:rPr>
      </w:pPr>
      <w:r w:rsidRPr="00AC0DE9">
        <w:rPr>
          <w:noProof/>
          <w:snapToGrid w:val="0"/>
        </w:rPr>
        <w:t>Peter BUTTON, Vice Secretary-General</w:t>
      </w:r>
    </w:p>
    <w:p w:rsidR="001B283D" w:rsidRPr="00AC0DE9" w:rsidRDefault="001B283D" w:rsidP="001B283D">
      <w:pPr>
        <w:keepNext/>
        <w:rPr>
          <w:noProof/>
          <w:snapToGrid w:val="0"/>
        </w:rPr>
      </w:pPr>
    </w:p>
    <w:p w:rsidR="001B283D" w:rsidRPr="00AC0DE9" w:rsidRDefault="001B283D" w:rsidP="001B283D">
      <w:pPr>
        <w:keepNext/>
        <w:rPr>
          <w:noProof/>
          <w:snapToGrid w:val="0"/>
        </w:rPr>
      </w:pPr>
      <w:r w:rsidRPr="00AC0DE9">
        <w:rPr>
          <w:noProof/>
          <w:snapToGrid w:val="0"/>
        </w:rPr>
        <w:t>Yolanda HUERTA (Mrs.), Legal Counsel</w:t>
      </w:r>
    </w:p>
    <w:p w:rsidR="001B283D" w:rsidRPr="00AC0DE9" w:rsidRDefault="001B283D" w:rsidP="001B283D">
      <w:pPr>
        <w:keepNext/>
        <w:rPr>
          <w:noProof/>
          <w:snapToGrid w:val="0"/>
        </w:rPr>
      </w:pPr>
    </w:p>
    <w:p w:rsidR="001B283D" w:rsidRPr="00E73C16" w:rsidRDefault="001B283D" w:rsidP="001B283D">
      <w:pPr>
        <w:keepNext/>
        <w:rPr>
          <w:noProof/>
          <w:snapToGrid w:val="0"/>
        </w:rPr>
      </w:pPr>
      <w:r w:rsidRPr="00E73C16">
        <w:rPr>
          <w:noProof/>
          <w:snapToGrid w:val="0"/>
        </w:rPr>
        <w:t>Jun KOIDE, Technical/Regional Officer (Asia)</w:t>
      </w:r>
    </w:p>
    <w:p w:rsidR="001B283D" w:rsidRPr="00AC0DE9" w:rsidRDefault="001B283D" w:rsidP="001B283D">
      <w:pPr>
        <w:keepNext/>
        <w:rPr>
          <w:noProof/>
          <w:snapToGrid w:val="0"/>
        </w:rPr>
      </w:pPr>
    </w:p>
    <w:p w:rsidR="001B283D" w:rsidRPr="00E73C16" w:rsidRDefault="001B283D" w:rsidP="001B283D">
      <w:pPr>
        <w:keepNext/>
        <w:rPr>
          <w:noProof/>
          <w:snapToGrid w:val="0"/>
        </w:rPr>
      </w:pPr>
      <w:r w:rsidRPr="00E73C16">
        <w:rPr>
          <w:noProof/>
          <w:snapToGrid w:val="0"/>
        </w:rPr>
        <w:t>Ben RIVOIRE, Technical/Regional Officer (Africa, Arab countries)</w:t>
      </w:r>
    </w:p>
    <w:p w:rsidR="001B283D" w:rsidRPr="00E73C16" w:rsidRDefault="001B283D" w:rsidP="001B283D">
      <w:pPr>
        <w:keepNext/>
        <w:rPr>
          <w:noProof/>
          <w:snapToGrid w:val="0"/>
        </w:rPr>
      </w:pPr>
    </w:p>
    <w:p w:rsidR="001B283D" w:rsidRPr="00E73C16" w:rsidRDefault="001B283D" w:rsidP="001B283D">
      <w:pPr>
        <w:keepNext/>
      </w:pPr>
      <w:r w:rsidRPr="00E73C16">
        <w:t>Leontino TAVEIRA, Technical/Regional Officer (Latin America, Caribbean countries)</w:t>
      </w:r>
    </w:p>
    <w:p w:rsidR="001B283D" w:rsidRPr="00E73C16" w:rsidRDefault="001B283D" w:rsidP="001B283D">
      <w:pPr>
        <w:widowControl w:val="0"/>
        <w:tabs>
          <w:tab w:val="left" w:pos="90"/>
          <w:tab w:val="left" w:pos="3782"/>
        </w:tabs>
        <w:autoSpaceDE w:val="0"/>
        <w:autoSpaceDN w:val="0"/>
        <w:rPr>
          <w:color w:val="000000"/>
        </w:rPr>
      </w:pPr>
    </w:p>
    <w:p w:rsidR="001B283D" w:rsidRPr="00E73C16" w:rsidRDefault="001B283D" w:rsidP="001B283D">
      <w:pPr>
        <w:jc w:val="right"/>
        <w:rPr>
          <w:color w:val="000000"/>
        </w:rPr>
      </w:pPr>
    </w:p>
    <w:p w:rsidR="001B283D" w:rsidRPr="00E73C16" w:rsidRDefault="001B283D" w:rsidP="001B283D">
      <w:pPr>
        <w:jc w:val="right"/>
        <w:rPr>
          <w:color w:val="000000"/>
        </w:rPr>
      </w:pPr>
    </w:p>
    <w:p w:rsidR="001B283D" w:rsidRPr="00E73C16" w:rsidRDefault="001B283D" w:rsidP="001B283D">
      <w:pPr>
        <w:jc w:val="right"/>
        <w:rPr>
          <w:color w:val="000000"/>
        </w:rPr>
      </w:pPr>
    </w:p>
    <w:p w:rsidR="001B283D" w:rsidRPr="0052102F" w:rsidRDefault="001B283D" w:rsidP="001B283D">
      <w:pPr>
        <w:jc w:val="right"/>
        <w:rPr>
          <w:lang w:val="fr-FR"/>
        </w:rPr>
      </w:pPr>
      <w:r w:rsidRPr="0052102F">
        <w:rPr>
          <w:lang w:val="fr-FR"/>
        </w:rPr>
        <w:t xml:space="preserve">[Fin de l’annexe et du document / </w:t>
      </w:r>
    </w:p>
    <w:p w:rsidR="001B283D" w:rsidRPr="0052102F" w:rsidRDefault="001B283D" w:rsidP="001B283D">
      <w:pPr>
        <w:jc w:val="right"/>
      </w:pPr>
      <w:r w:rsidRPr="0052102F">
        <w:t xml:space="preserve">End of Annex and of document / </w:t>
      </w:r>
    </w:p>
    <w:p w:rsidR="001B283D" w:rsidRPr="0052102F" w:rsidRDefault="001B283D" w:rsidP="001B283D">
      <w:pPr>
        <w:jc w:val="right"/>
        <w:rPr>
          <w:lang w:val="de-DE"/>
        </w:rPr>
      </w:pPr>
      <w:r w:rsidRPr="0052102F">
        <w:rPr>
          <w:lang w:val="de-DE"/>
        </w:rPr>
        <w:t xml:space="preserve">Ende der Anlage und des Dokuments / </w:t>
      </w:r>
    </w:p>
    <w:p w:rsidR="001B283D" w:rsidRPr="0052102F" w:rsidRDefault="001B283D" w:rsidP="001B283D">
      <w:pPr>
        <w:jc w:val="right"/>
        <w:rPr>
          <w:lang w:val="es-ES"/>
        </w:rPr>
      </w:pPr>
      <w:r w:rsidRPr="0052102F">
        <w:rPr>
          <w:lang w:val="es-ES"/>
        </w:rPr>
        <w:t>Fin del Anexo y del documento]</w:t>
      </w:r>
    </w:p>
    <w:p w:rsidR="001B283D" w:rsidRPr="0052102F" w:rsidRDefault="001B283D" w:rsidP="001B283D">
      <w:pPr>
        <w:widowControl w:val="0"/>
        <w:tabs>
          <w:tab w:val="left" w:pos="90"/>
        </w:tabs>
        <w:autoSpaceDE w:val="0"/>
        <w:autoSpaceDN w:val="0"/>
        <w:rPr>
          <w:color w:val="000000"/>
          <w:lang w:val="es-ES"/>
        </w:rPr>
      </w:pPr>
    </w:p>
    <w:p w:rsidR="001B283D" w:rsidRPr="007429B5" w:rsidRDefault="001B283D" w:rsidP="001B283D"/>
    <w:p w:rsidR="00886826" w:rsidRPr="001B283D" w:rsidRDefault="00886826" w:rsidP="007429B5">
      <w:pPr>
        <w:rPr>
          <w:lang w:val="fr-FR"/>
        </w:rPr>
      </w:pPr>
    </w:p>
    <w:sectPr w:rsidR="00886826" w:rsidRPr="001B283D" w:rsidSect="00D539E8">
      <w:headerReference w:type="default" r:id="rId1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471" w:rsidRDefault="00FB2471">
      <w:r>
        <w:separator/>
      </w:r>
    </w:p>
    <w:p w:rsidR="00FB2471" w:rsidRDefault="00FB2471"/>
    <w:p w:rsidR="00FB2471" w:rsidRDefault="00FB2471"/>
  </w:endnote>
  <w:endnote w:type="continuationSeparator" w:id="0">
    <w:p w:rsidR="00FB2471" w:rsidRDefault="00FB2471">
      <w:r>
        <w:separator/>
      </w:r>
    </w:p>
    <w:p w:rsidR="00FB2471" w:rsidRPr="00A60312" w:rsidRDefault="00FB2471">
      <w:pPr>
        <w:pStyle w:val="Footer"/>
        <w:spacing w:after="60"/>
        <w:rPr>
          <w:sz w:val="18"/>
          <w:szCs w:val="18"/>
          <w:lang w:val="fr-FR"/>
        </w:rPr>
      </w:pPr>
      <w:r w:rsidRPr="00A60312">
        <w:rPr>
          <w:sz w:val="18"/>
          <w:szCs w:val="18"/>
          <w:lang w:val="fr-FR"/>
        </w:rPr>
        <w:t>[Suite de la note de la page précédente]</w:t>
      </w:r>
    </w:p>
    <w:p w:rsidR="00FB2471" w:rsidRPr="00A60312" w:rsidRDefault="00FB2471">
      <w:pPr>
        <w:rPr>
          <w:lang w:val="fr-FR"/>
        </w:rPr>
      </w:pPr>
    </w:p>
    <w:p w:rsidR="00FB2471" w:rsidRPr="00A60312" w:rsidRDefault="00FB2471">
      <w:pPr>
        <w:rPr>
          <w:lang w:val="fr-FR"/>
        </w:rPr>
      </w:pPr>
    </w:p>
  </w:endnote>
  <w:endnote w:type="continuationNotice" w:id="1">
    <w:p w:rsidR="00FB2471" w:rsidRPr="00A60312" w:rsidRDefault="00FB2471">
      <w:pPr>
        <w:spacing w:before="60"/>
        <w:jc w:val="right"/>
        <w:rPr>
          <w:sz w:val="18"/>
          <w:szCs w:val="18"/>
          <w:lang w:val="fr-FR"/>
        </w:rPr>
      </w:pPr>
      <w:r w:rsidRPr="00A60312">
        <w:rPr>
          <w:sz w:val="18"/>
          <w:szCs w:val="18"/>
          <w:lang w:val="fr-FR"/>
        </w:rPr>
        <w:t>[Suite de la note page suivante]</w:t>
      </w:r>
    </w:p>
    <w:p w:rsidR="00FB2471" w:rsidRPr="00A60312" w:rsidRDefault="00FB2471">
      <w:pPr>
        <w:rPr>
          <w:lang w:val="fr-FR"/>
        </w:rPr>
      </w:pPr>
    </w:p>
    <w:p w:rsidR="00FB2471" w:rsidRPr="00A60312" w:rsidRDefault="00FB2471">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471" w:rsidRDefault="00FB2471" w:rsidP="009D690D">
      <w:pPr>
        <w:spacing w:before="120"/>
      </w:pPr>
      <w:r>
        <w:separator/>
      </w:r>
    </w:p>
  </w:footnote>
  <w:footnote w:type="continuationSeparator" w:id="0">
    <w:p w:rsidR="00FB2471" w:rsidRDefault="00FB2471" w:rsidP="00520297">
      <w:pPr>
        <w:spacing w:before="120"/>
        <w:jc w:val="left"/>
      </w:pPr>
      <w:r>
        <w:separator/>
      </w:r>
    </w:p>
  </w:footnote>
  <w:footnote w:type="continuationNotice" w:id="1">
    <w:p w:rsidR="00FB2471" w:rsidRDefault="00FB2471"/>
  </w:footnote>
  <w:footnote w:id="2">
    <w:p w:rsidR="00FB2471" w:rsidRPr="00CE4932" w:rsidRDefault="00FB2471" w:rsidP="000D43C5">
      <w:pPr>
        <w:pStyle w:val="FootnoteText"/>
        <w:rPr>
          <w:lang w:val="fr-CH"/>
        </w:rPr>
      </w:pPr>
      <w:r w:rsidRPr="00CE4932">
        <w:rPr>
          <w:rStyle w:val="FootnoteReference"/>
          <w:rFonts w:cs="Arial"/>
        </w:rPr>
        <w:footnoteRef/>
      </w:r>
      <w:r w:rsidRPr="00CE4932">
        <w:rPr>
          <w:lang w:val="fr-CH"/>
        </w:rPr>
        <w:tab/>
        <w:t>“[S]i un caractère est important aux fins de l'harmonisation internationale des descriptions variétales (caractère sans astérisque) et est influencé par le milieu (la plupart des caractères quantitatifs et pseudo-qualitatifs) [</w:t>
      </w:r>
      <w:r>
        <w:rPr>
          <w:lang w:val="fr-CH"/>
        </w:rPr>
        <w:t>.</w:t>
      </w:r>
      <w:r w:rsidRPr="00CE4932">
        <w:rPr>
          <w:lang w:val="fr-CH"/>
        </w:rPr>
        <w:t>..] il est nécessaire de fournir des “variétés à titre d’exemples” dans les principes directeurs d’examen (voir l’annexe 3 du document TGP/7, note indicative GN 28 “Variétés indiquées à titre d’exemples”, section 3.3.iii)).</w:t>
      </w:r>
    </w:p>
    <w:p w:rsidR="00FB2471" w:rsidRPr="00CE4932" w:rsidRDefault="00FB2471" w:rsidP="000D43C5">
      <w:pPr>
        <w:pStyle w:val="FootnoteText"/>
      </w:pPr>
      <w:r w:rsidRPr="00CE4932">
        <w:rPr>
          <w:lang w:val="fr-CH"/>
        </w:rPr>
        <w:tab/>
        <w:t>“1.2.3</w:t>
      </w:r>
      <w:r w:rsidRPr="00CE4932">
        <w:rPr>
          <w:lang w:val="fr-CH"/>
        </w:rPr>
        <w:tab/>
        <w:t xml:space="preserve"> Les variétés indiquées à titre d’exemples sont importantes pour corriger dans la mesure du possible les variations de l’expression des caractères dues à l’année et au milieu.[…]” (voir la section 1.2.3 de l’annexe 3, notes indicative GN 28 “Variétés à titre d’exemples”, du document TGP/7).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71" w:rsidRPr="000633D9" w:rsidRDefault="00FB2471" w:rsidP="001B283D">
    <w:pPr>
      <w:pStyle w:val="Header"/>
    </w:pPr>
    <w:r w:rsidRPr="000633D9">
      <w:t>CAJ-AG/14/9/6</w:t>
    </w:r>
  </w:p>
  <w:p w:rsidR="00FB2471" w:rsidRPr="0052102F" w:rsidRDefault="00FB2471" w:rsidP="001B283D">
    <w:pPr>
      <w:pStyle w:val="Header"/>
      <w:rPr>
        <w:rStyle w:val="PageNumber"/>
      </w:rPr>
    </w:pPr>
    <w:r w:rsidRPr="0052102F">
      <w:t>page</w:t>
    </w:r>
    <w:r>
      <w:t xml:space="preserve"> </w:t>
    </w:r>
    <w:r w:rsidRPr="0052102F">
      <w:rPr>
        <w:rStyle w:val="PageNumber"/>
      </w:rPr>
      <w:fldChar w:fldCharType="begin"/>
    </w:r>
    <w:r w:rsidRPr="0052102F">
      <w:rPr>
        <w:rStyle w:val="PageNumber"/>
      </w:rPr>
      <w:instrText xml:space="preserve"> PAGE </w:instrText>
    </w:r>
    <w:r w:rsidRPr="0052102F">
      <w:rPr>
        <w:rStyle w:val="PageNumber"/>
      </w:rPr>
      <w:fldChar w:fldCharType="separate"/>
    </w:r>
    <w:r w:rsidR="00B25E81">
      <w:rPr>
        <w:rStyle w:val="PageNumber"/>
        <w:noProof/>
      </w:rPr>
      <w:t>10</w:t>
    </w:r>
    <w:r w:rsidRPr="0052102F">
      <w:rPr>
        <w:rStyle w:val="PageNumber"/>
      </w:rPr>
      <w:fldChar w:fldCharType="end"/>
    </w:r>
  </w:p>
  <w:p w:rsidR="00FB2471" w:rsidRDefault="00FB2471" w:rsidP="001B28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471" w:rsidRPr="0052102F" w:rsidRDefault="00FB2471" w:rsidP="001B283D">
    <w:pPr>
      <w:pStyle w:val="Header"/>
    </w:pPr>
    <w:r w:rsidRPr="0052102F">
      <w:t>CAJ-AG/1</w:t>
    </w:r>
    <w:r>
      <w:t>4/9</w:t>
    </w:r>
    <w:r w:rsidRPr="0052102F">
      <w:t>/</w:t>
    </w:r>
    <w:r>
      <w:t>6</w:t>
    </w:r>
  </w:p>
  <w:p w:rsidR="00FB2471" w:rsidRPr="0052102F" w:rsidRDefault="00FB2471" w:rsidP="001B283D">
    <w:pPr>
      <w:pStyle w:val="Header"/>
    </w:pPr>
    <w:r w:rsidRPr="0052102F">
      <w:t>Annexe / Annex / Anlage / Anexo</w:t>
    </w:r>
  </w:p>
  <w:p w:rsidR="00FB2471" w:rsidRPr="0052102F" w:rsidRDefault="00FB2471" w:rsidP="001B283D">
    <w:pPr>
      <w:pStyle w:val="Header"/>
      <w:rPr>
        <w:rStyle w:val="PageNumber"/>
      </w:rPr>
    </w:pPr>
    <w:r w:rsidRPr="0052102F">
      <w:t xml:space="preserve">page </w:t>
    </w:r>
    <w:r w:rsidRPr="0052102F">
      <w:rPr>
        <w:rStyle w:val="PageNumber"/>
      </w:rPr>
      <w:fldChar w:fldCharType="begin"/>
    </w:r>
    <w:r w:rsidRPr="0052102F">
      <w:rPr>
        <w:rStyle w:val="PageNumber"/>
      </w:rPr>
      <w:instrText xml:space="preserve"> PAGE </w:instrText>
    </w:r>
    <w:r w:rsidRPr="0052102F">
      <w:rPr>
        <w:rStyle w:val="PageNumber"/>
      </w:rPr>
      <w:fldChar w:fldCharType="separate"/>
    </w:r>
    <w:r w:rsidR="00B25E81">
      <w:rPr>
        <w:rStyle w:val="PageNumber"/>
        <w:noProof/>
      </w:rPr>
      <w:t>7</w:t>
    </w:r>
    <w:r w:rsidRPr="0052102F">
      <w:rPr>
        <w:rStyle w:val="PageNumber"/>
      </w:rPr>
      <w:fldChar w:fldCharType="end"/>
    </w:r>
    <w:r w:rsidRPr="0052102F">
      <w:rPr>
        <w:rStyle w:val="PageNumber"/>
      </w:rPr>
      <w:t xml:space="preserve"> / Seite </w:t>
    </w:r>
    <w:r w:rsidRPr="0052102F">
      <w:rPr>
        <w:rStyle w:val="PageNumber"/>
      </w:rPr>
      <w:fldChar w:fldCharType="begin"/>
    </w:r>
    <w:r w:rsidRPr="0052102F">
      <w:rPr>
        <w:rStyle w:val="PageNumber"/>
      </w:rPr>
      <w:instrText xml:space="preserve"> PAGE </w:instrText>
    </w:r>
    <w:r w:rsidRPr="0052102F">
      <w:rPr>
        <w:rStyle w:val="PageNumber"/>
      </w:rPr>
      <w:fldChar w:fldCharType="separate"/>
    </w:r>
    <w:r w:rsidR="00B25E81">
      <w:rPr>
        <w:rStyle w:val="PageNumber"/>
        <w:noProof/>
      </w:rPr>
      <w:t>7</w:t>
    </w:r>
    <w:r w:rsidRPr="0052102F">
      <w:rPr>
        <w:rStyle w:val="PageNumber"/>
      </w:rPr>
      <w:fldChar w:fldCharType="end"/>
    </w:r>
    <w:r w:rsidRPr="0052102F">
      <w:rPr>
        <w:rStyle w:val="PageNumber"/>
      </w:rPr>
      <w:t xml:space="preserve"> / página </w:t>
    </w:r>
    <w:r w:rsidRPr="0052102F">
      <w:rPr>
        <w:rStyle w:val="PageNumber"/>
      </w:rPr>
      <w:fldChar w:fldCharType="begin"/>
    </w:r>
    <w:r w:rsidRPr="0052102F">
      <w:rPr>
        <w:rStyle w:val="PageNumber"/>
      </w:rPr>
      <w:instrText xml:space="preserve"> PAGE </w:instrText>
    </w:r>
    <w:r w:rsidRPr="0052102F">
      <w:rPr>
        <w:rStyle w:val="PageNumber"/>
      </w:rPr>
      <w:fldChar w:fldCharType="separate"/>
    </w:r>
    <w:r w:rsidR="00B25E81">
      <w:rPr>
        <w:rStyle w:val="PageNumber"/>
        <w:noProof/>
      </w:rPr>
      <w:t>7</w:t>
    </w:r>
    <w:r w:rsidRPr="0052102F">
      <w:rPr>
        <w:rStyle w:val="PageNumber"/>
      </w:rPr>
      <w:fldChar w:fldCharType="end"/>
    </w:r>
  </w:p>
  <w:p w:rsidR="00FB2471" w:rsidRDefault="00FB2471" w:rsidP="001B28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46DC4"/>
    <w:multiLevelType w:val="hybridMultilevel"/>
    <w:tmpl w:val="F314CD22"/>
    <w:lvl w:ilvl="0" w:tplc="480A347E">
      <w:start w:val="1"/>
      <w:numFmt w:val="lowerRoman"/>
      <w:lvlText w:val="%1)"/>
      <w:lvlJc w:val="left"/>
      <w:pPr>
        <w:ind w:left="1287" w:hanging="720"/>
      </w:pPr>
      <w:rPr>
        <w:rFonts w:hint="default"/>
        <w:color w:val="auto"/>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
    <w:nsid w:val="3CD3268D"/>
    <w:multiLevelType w:val="hybridMultilevel"/>
    <w:tmpl w:val="37FE7B7C"/>
    <w:lvl w:ilvl="0" w:tplc="CF7663F4">
      <w:start w:val="1"/>
      <w:numFmt w:val="lowerLetter"/>
      <w:lvlText w:val="%1)"/>
      <w:lvlJc w:val="left"/>
      <w:pPr>
        <w:ind w:left="747" w:hanging="360"/>
      </w:pPr>
      <w:rPr>
        <w:rFonts w:ascii="Arial" w:eastAsia="Times New Roman" w:hAnsi="Arial" w:hint="default"/>
      </w:rPr>
    </w:lvl>
    <w:lvl w:ilvl="1" w:tplc="04090019">
      <w:start w:val="1"/>
      <w:numFmt w:val="lowerLetter"/>
      <w:lvlText w:val="%2."/>
      <w:lvlJc w:val="left"/>
      <w:pPr>
        <w:ind w:left="1467" w:hanging="360"/>
      </w:pPr>
    </w:lvl>
    <w:lvl w:ilvl="2" w:tplc="0409001B">
      <w:start w:val="1"/>
      <w:numFmt w:val="lowerRoman"/>
      <w:lvlText w:val="%3."/>
      <w:lvlJc w:val="right"/>
      <w:pPr>
        <w:ind w:left="2187" w:hanging="180"/>
      </w:pPr>
    </w:lvl>
    <w:lvl w:ilvl="3" w:tplc="0409000F">
      <w:start w:val="1"/>
      <w:numFmt w:val="decimal"/>
      <w:lvlText w:val="%4."/>
      <w:lvlJc w:val="left"/>
      <w:pPr>
        <w:ind w:left="2907" w:hanging="360"/>
      </w:pPr>
    </w:lvl>
    <w:lvl w:ilvl="4" w:tplc="04090019">
      <w:start w:val="1"/>
      <w:numFmt w:val="lowerLetter"/>
      <w:lvlText w:val="%5."/>
      <w:lvlJc w:val="left"/>
      <w:pPr>
        <w:ind w:left="3627" w:hanging="360"/>
      </w:pPr>
    </w:lvl>
    <w:lvl w:ilvl="5" w:tplc="0409001B">
      <w:start w:val="1"/>
      <w:numFmt w:val="lowerRoman"/>
      <w:lvlText w:val="%6."/>
      <w:lvlJc w:val="right"/>
      <w:pPr>
        <w:ind w:left="4347" w:hanging="180"/>
      </w:pPr>
    </w:lvl>
    <w:lvl w:ilvl="6" w:tplc="0409000F">
      <w:start w:val="1"/>
      <w:numFmt w:val="decimal"/>
      <w:lvlText w:val="%7."/>
      <w:lvlJc w:val="left"/>
      <w:pPr>
        <w:ind w:left="5067" w:hanging="360"/>
      </w:pPr>
    </w:lvl>
    <w:lvl w:ilvl="7" w:tplc="04090019">
      <w:start w:val="1"/>
      <w:numFmt w:val="lowerLetter"/>
      <w:lvlText w:val="%8."/>
      <w:lvlJc w:val="left"/>
      <w:pPr>
        <w:ind w:left="5787" w:hanging="360"/>
      </w:pPr>
    </w:lvl>
    <w:lvl w:ilvl="8" w:tplc="0409001B">
      <w:start w:val="1"/>
      <w:numFmt w:val="lowerRoman"/>
      <w:lvlText w:val="%9."/>
      <w:lvlJc w:val="right"/>
      <w:pPr>
        <w:ind w:left="6507" w:hanging="180"/>
      </w:pPr>
    </w:lvl>
  </w:abstractNum>
  <w:abstractNum w:abstractNumId="2">
    <w:nsid w:val="6F6B1F55"/>
    <w:multiLevelType w:val="hybridMultilevel"/>
    <w:tmpl w:val="21DC6534"/>
    <w:lvl w:ilvl="0" w:tplc="D46A8796">
      <w:start w:val="1"/>
      <w:numFmt w:val="lowerLetter"/>
      <w:lvlText w:val="%1)"/>
      <w:lvlJc w:val="left"/>
      <w:pPr>
        <w:ind w:left="930" w:hanging="360"/>
      </w:pPr>
      <w:rPr>
        <w:rFonts w:hint="default"/>
      </w:rPr>
    </w:lvl>
    <w:lvl w:ilvl="1" w:tplc="04090019">
      <w:start w:val="1"/>
      <w:numFmt w:val="lowerLetter"/>
      <w:lvlText w:val="%2."/>
      <w:lvlJc w:val="left"/>
      <w:pPr>
        <w:ind w:left="1650" w:hanging="360"/>
      </w:pPr>
    </w:lvl>
    <w:lvl w:ilvl="2" w:tplc="0409001B">
      <w:start w:val="1"/>
      <w:numFmt w:val="lowerRoman"/>
      <w:lvlText w:val="%3."/>
      <w:lvlJc w:val="right"/>
      <w:pPr>
        <w:ind w:left="2370" w:hanging="180"/>
      </w:pPr>
    </w:lvl>
    <w:lvl w:ilvl="3" w:tplc="0409000F">
      <w:start w:val="1"/>
      <w:numFmt w:val="decimal"/>
      <w:lvlText w:val="%4."/>
      <w:lvlJc w:val="left"/>
      <w:pPr>
        <w:ind w:left="3090" w:hanging="360"/>
      </w:pPr>
    </w:lvl>
    <w:lvl w:ilvl="4" w:tplc="04090019">
      <w:start w:val="1"/>
      <w:numFmt w:val="lowerLetter"/>
      <w:lvlText w:val="%5."/>
      <w:lvlJc w:val="left"/>
      <w:pPr>
        <w:ind w:left="3810" w:hanging="360"/>
      </w:pPr>
    </w:lvl>
    <w:lvl w:ilvl="5" w:tplc="0409001B">
      <w:start w:val="1"/>
      <w:numFmt w:val="lowerRoman"/>
      <w:lvlText w:val="%6."/>
      <w:lvlJc w:val="right"/>
      <w:pPr>
        <w:ind w:left="4530" w:hanging="180"/>
      </w:pPr>
    </w:lvl>
    <w:lvl w:ilvl="6" w:tplc="0409000F">
      <w:start w:val="1"/>
      <w:numFmt w:val="decimal"/>
      <w:lvlText w:val="%7."/>
      <w:lvlJc w:val="left"/>
      <w:pPr>
        <w:ind w:left="5250" w:hanging="360"/>
      </w:pPr>
    </w:lvl>
    <w:lvl w:ilvl="7" w:tplc="04090019">
      <w:start w:val="1"/>
      <w:numFmt w:val="lowerLetter"/>
      <w:lvlText w:val="%8."/>
      <w:lvlJc w:val="left"/>
      <w:pPr>
        <w:ind w:left="5970" w:hanging="360"/>
      </w:pPr>
    </w:lvl>
    <w:lvl w:ilvl="8" w:tplc="0409001B">
      <w:start w:val="1"/>
      <w:numFmt w:val="lowerRoman"/>
      <w:lvlText w:val="%9."/>
      <w:lvlJc w:val="right"/>
      <w:pPr>
        <w:ind w:left="6690" w:hanging="180"/>
      </w:pPr>
    </w:lvl>
  </w:abstractNum>
  <w:abstractNum w:abstractNumId="3">
    <w:nsid w:val="7B5C4B81"/>
    <w:multiLevelType w:val="hybridMultilevel"/>
    <w:tmpl w:val="EB4C88FC"/>
    <w:lvl w:ilvl="0" w:tplc="01C2BD9E">
      <w:start w:val="1"/>
      <w:numFmt w:val="bullet"/>
      <w:lvlText w:val=""/>
      <w:lvlJc w:val="left"/>
      <w:pPr>
        <w:ind w:left="1854"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Empty"/>
    <w:docVar w:name="TermBaseURL" w:val="empty"/>
    <w:docVar w:name="TextBases" w:val="UPOV\Meetings|UPOV\Other|UPOV\Publications|UPOV\Technical Guidelines|WorkspaceFTS\EN-FR\UPOV"/>
    <w:docVar w:name="TextBaseURL" w:val="empty"/>
    <w:docVar w:name="UILng" w:val="en"/>
  </w:docVars>
  <w:rsids>
    <w:rsidRoot w:val="00707153"/>
    <w:rsid w:val="00001D48"/>
    <w:rsid w:val="00010CF3"/>
    <w:rsid w:val="00011CD0"/>
    <w:rsid w:val="00011E27"/>
    <w:rsid w:val="00014850"/>
    <w:rsid w:val="000148BC"/>
    <w:rsid w:val="000174D2"/>
    <w:rsid w:val="000216E5"/>
    <w:rsid w:val="000241A8"/>
    <w:rsid w:val="00024AB8"/>
    <w:rsid w:val="0002612B"/>
    <w:rsid w:val="00030239"/>
    <w:rsid w:val="00036028"/>
    <w:rsid w:val="000446B9"/>
    <w:rsid w:val="00047E21"/>
    <w:rsid w:val="00050139"/>
    <w:rsid w:val="00057503"/>
    <w:rsid w:val="00062ED8"/>
    <w:rsid w:val="00062F44"/>
    <w:rsid w:val="000633D9"/>
    <w:rsid w:val="00066229"/>
    <w:rsid w:val="00081A2A"/>
    <w:rsid w:val="00083A71"/>
    <w:rsid w:val="00085505"/>
    <w:rsid w:val="000C7021"/>
    <w:rsid w:val="000D43C5"/>
    <w:rsid w:val="000D6BBC"/>
    <w:rsid w:val="000D7780"/>
    <w:rsid w:val="000E15FF"/>
    <w:rsid w:val="000E2821"/>
    <w:rsid w:val="0010416A"/>
    <w:rsid w:val="00105929"/>
    <w:rsid w:val="001131D5"/>
    <w:rsid w:val="0011576C"/>
    <w:rsid w:val="00117858"/>
    <w:rsid w:val="0012346C"/>
    <w:rsid w:val="00125C9F"/>
    <w:rsid w:val="00141DB8"/>
    <w:rsid w:val="00145935"/>
    <w:rsid w:val="00171A61"/>
    <w:rsid w:val="0017288F"/>
    <w:rsid w:val="0017474A"/>
    <w:rsid w:val="001758C6"/>
    <w:rsid w:val="0018265F"/>
    <w:rsid w:val="0018422F"/>
    <w:rsid w:val="00184EDD"/>
    <w:rsid w:val="00192551"/>
    <w:rsid w:val="001A4C96"/>
    <w:rsid w:val="001A7E38"/>
    <w:rsid w:val="001B08E8"/>
    <w:rsid w:val="001B0A0D"/>
    <w:rsid w:val="001B283D"/>
    <w:rsid w:val="001B60A9"/>
    <w:rsid w:val="001C286F"/>
    <w:rsid w:val="001C3DF3"/>
    <w:rsid w:val="001F321A"/>
    <w:rsid w:val="00200362"/>
    <w:rsid w:val="00207CF6"/>
    <w:rsid w:val="0021332C"/>
    <w:rsid w:val="00213477"/>
    <w:rsid w:val="00213982"/>
    <w:rsid w:val="0022331F"/>
    <w:rsid w:val="0022453D"/>
    <w:rsid w:val="002311E5"/>
    <w:rsid w:val="0024312B"/>
    <w:rsid w:val="0024416D"/>
    <w:rsid w:val="0027309C"/>
    <w:rsid w:val="002800A0"/>
    <w:rsid w:val="00281060"/>
    <w:rsid w:val="002823E7"/>
    <w:rsid w:val="00293035"/>
    <w:rsid w:val="00293337"/>
    <w:rsid w:val="0029439F"/>
    <w:rsid w:val="002A6E50"/>
    <w:rsid w:val="002B14D4"/>
    <w:rsid w:val="002B7F79"/>
    <w:rsid w:val="002C1C84"/>
    <w:rsid w:val="002C256A"/>
    <w:rsid w:val="002E240B"/>
    <w:rsid w:val="002E7BA1"/>
    <w:rsid w:val="002F32A9"/>
    <w:rsid w:val="003016AA"/>
    <w:rsid w:val="00302FFE"/>
    <w:rsid w:val="00305A7F"/>
    <w:rsid w:val="003152FE"/>
    <w:rsid w:val="00320ECF"/>
    <w:rsid w:val="00327436"/>
    <w:rsid w:val="003441AC"/>
    <w:rsid w:val="00344BD6"/>
    <w:rsid w:val="0035528D"/>
    <w:rsid w:val="00361821"/>
    <w:rsid w:val="003673F8"/>
    <w:rsid w:val="00382ED1"/>
    <w:rsid w:val="00383B8D"/>
    <w:rsid w:val="00390790"/>
    <w:rsid w:val="003912FE"/>
    <w:rsid w:val="00395845"/>
    <w:rsid w:val="003A47C9"/>
    <w:rsid w:val="003B0880"/>
    <w:rsid w:val="003C563E"/>
    <w:rsid w:val="003D01A5"/>
    <w:rsid w:val="003D227C"/>
    <w:rsid w:val="003D2B4D"/>
    <w:rsid w:val="003E14A0"/>
    <w:rsid w:val="003F6136"/>
    <w:rsid w:val="0040286B"/>
    <w:rsid w:val="00423DCA"/>
    <w:rsid w:val="00427139"/>
    <w:rsid w:val="00431FB9"/>
    <w:rsid w:val="00440F4A"/>
    <w:rsid w:val="00444A88"/>
    <w:rsid w:val="00452713"/>
    <w:rsid w:val="00463009"/>
    <w:rsid w:val="0047434F"/>
    <w:rsid w:val="00474DA4"/>
    <w:rsid w:val="004766D4"/>
    <w:rsid w:val="0048034A"/>
    <w:rsid w:val="00481B0F"/>
    <w:rsid w:val="00482F75"/>
    <w:rsid w:val="00485444"/>
    <w:rsid w:val="00493922"/>
    <w:rsid w:val="00493A2E"/>
    <w:rsid w:val="00495020"/>
    <w:rsid w:val="004B6FE5"/>
    <w:rsid w:val="004D047D"/>
    <w:rsid w:val="004D6503"/>
    <w:rsid w:val="004E579A"/>
    <w:rsid w:val="004F305A"/>
    <w:rsid w:val="00512164"/>
    <w:rsid w:val="00520297"/>
    <w:rsid w:val="0052102F"/>
    <w:rsid w:val="00522A13"/>
    <w:rsid w:val="005338F9"/>
    <w:rsid w:val="0054281C"/>
    <w:rsid w:val="00546532"/>
    <w:rsid w:val="0055268D"/>
    <w:rsid w:val="00572E44"/>
    <w:rsid w:val="005750EA"/>
    <w:rsid w:val="00576BE4"/>
    <w:rsid w:val="0059443F"/>
    <w:rsid w:val="005A400A"/>
    <w:rsid w:val="005A79F6"/>
    <w:rsid w:val="005B18A9"/>
    <w:rsid w:val="005C16D6"/>
    <w:rsid w:val="005C4522"/>
    <w:rsid w:val="005E142A"/>
    <w:rsid w:val="005E3982"/>
    <w:rsid w:val="005F0931"/>
    <w:rsid w:val="0061097B"/>
    <w:rsid w:val="00611CE6"/>
    <w:rsid w:val="00612379"/>
    <w:rsid w:val="0061555F"/>
    <w:rsid w:val="006238E6"/>
    <w:rsid w:val="00630468"/>
    <w:rsid w:val="006359BD"/>
    <w:rsid w:val="006369CA"/>
    <w:rsid w:val="00641200"/>
    <w:rsid w:val="00663ED8"/>
    <w:rsid w:val="00664961"/>
    <w:rsid w:val="0068120E"/>
    <w:rsid w:val="00687EB4"/>
    <w:rsid w:val="0069282A"/>
    <w:rsid w:val="0069681C"/>
    <w:rsid w:val="006A4BD1"/>
    <w:rsid w:val="006A7061"/>
    <w:rsid w:val="006B17D2"/>
    <w:rsid w:val="006B394D"/>
    <w:rsid w:val="006B45FA"/>
    <w:rsid w:val="006C224E"/>
    <w:rsid w:val="006E59EC"/>
    <w:rsid w:val="00707153"/>
    <w:rsid w:val="00707CDA"/>
    <w:rsid w:val="00710FCC"/>
    <w:rsid w:val="00723448"/>
    <w:rsid w:val="007254DF"/>
    <w:rsid w:val="00732DEC"/>
    <w:rsid w:val="00734F5D"/>
    <w:rsid w:val="00735BD5"/>
    <w:rsid w:val="007429B5"/>
    <w:rsid w:val="0075117E"/>
    <w:rsid w:val="007556F6"/>
    <w:rsid w:val="00760EEF"/>
    <w:rsid w:val="00772D2F"/>
    <w:rsid w:val="00777EE5"/>
    <w:rsid w:val="00784836"/>
    <w:rsid w:val="0079023E"/>
    <w:rsid w:val="00797011"/>
    <w:rsid w:val="007B1E25"/>
    <w:rsid w:val="007B1E3F"/>
    <w:rsid w:val="007C0700"/>
    <w:rsid w:val="007C32EE"/>
    <w:rsid w:val="007D0B9D"/>
    <w:rsid w:val="007D19B0"/>
    <w:rsid w:val="007E18CF"/>
    <w:rsid w:val="007E6029"/>
    <w:rsid w:val="007E6A08"/>
    <w:rsid w:val="007E7DB5"/>
    <w:rsid w:val="007F498F"/>
    <w:rsid w:val="007F6214"/>
    <w:rsid w:val="008030AC"/>
    <w:rsid w:val="0080444A"/>
    <w:rsid w:val="0080679D"/>
    <w:rsid w:val="00806BFD"/>
    <w:rsid w:val="00807B79"/>
    <w:rsid w:val="008108B0"/>
    <w:rsid w:val="00811B20"/>
    <w:rsid w:val="00821501"/>
    <w:rsid w:val="0082296E"/>
    <w:rsid w:val="00824099"/>
    <w:rsid w:val="00827401"/>
    <w:rsid w:val="00831220"/>
    <w:rsid w:val="00831DD7"/>
    <w:rsid w:val="00833E4A"/>
    <w:rsid w:val="00846F2F"/>
    <w:rsid w:val="0084788F"/>
    <w:rsid w:val="00855DBD"/>
    <w:rsid w:val="00862468"/>
    <w:rsid w:val="00863CBE"/>
    <w:rsid w:val="00867AC1"/>
    <w:rsid w:val="00871895"/>
    <w:rsid w:val="00880777"/>
    <w:rsid w:val="00886826"/>
    <w:rsid w:val="00887E43"/>
    <w:rsid w:val="008940F5"/>
    <w:rsid w:val="00894570"/>
    <w:rsid w:val="008A395B"/>
    <w:rsid w:val="008A4A05"/>
    <w:rsid w:val="008A743F"/>
    <w:rsid w:val="008B51D0"/>
    <w:rsid w:val="008B6B3F"/>
    <w:rsid w:val="008C0970"/>
    <w:rsid w:val="008C599A"/>
    <w:rsid w:val="008C6E4E"/>
    <w:rsid w:val="008D2CF7"/>
    <w:rsid w:val="008D4002"/>
    <w:rsid w:val="008E1FF1"/>
    <w:rsid w:val="008E438F"/>
    <w:rsid w:val="008E45D7"/>
    <w:rsid w:val="008E5F7D"/>
    <w:rsid w:val="008E793E"/>
    <w:rsid w:val="00900C26"/>
    <w:rsid w:val="0090197F"/>
    <w:rsid w:val="00903A1A"/>
    <w:rsid w:val="0090684B"/>
    <w:rsid w:val="00906DDC"/>
    <w:rsid w:val="0091605D"/>
    <w:rsid w:val="00920AE9"/>
    <w:rsid w:val="00934E09"/>
    <w:rsid w:val="00936253"/>
    <w:rsid w:val="00944131"/>
    <w:rsid w:val="009565E3"/>
    <w:rsid w:val="00970FED"/>
    <w:rsid w:val="00973AF6"/>
    <w:rsid w:val="009754C1"/>
    <w:rsid w:val="00975941"/>
    <w:rsid w:val="009763E7"/>
    <w:rsid w:val="0099109F"/>
    <w:rsid w:val="00997029"/>
    <w:rsid w:val="009A40AE"/>
    <w:rsid w:val="009B04BE"/>
    <w:rsid w:val="009B6D72"/>
    <w:rsid w:val="009C3D32"/>
    <w:rsid w:val="009D0DE5"/>
    <w:rsid w:val="009D193B"/>
    <w:rsid w:val="009D2324"/>
    <w:rsid w:val="009D690D"/>
    <w:rsid w:val="009E3396"/>
    <w:rsid w:val="009E4658"/>
    <w:rsid w:val="009E65B6"/>
    <w:rsid w:val="009F339C"/>
    <w:rsid w:val="00A02000"/>
    <w:rsid w:val="00A0552A"/>
    <w:rsid w:val="00A27C5B"/>
    <w:rsid w:val="00A3625A"/>
    <w:rsid w:val="00A42AC3"/>
    <w:rsid w:val="00A430CF"/>
    <w:rsid w:val="00A44619"/>
    <w:rsid w:val="00A54309"/>
    <w:rsid w:val="00A60312"/>
    <w:rsid w:val="00A60E16"/>
    <w:rsid w:val="00A80CDE"/>
    <w:rsid w:val="00AA0250"/>
    <w:rsid w:val="00AA1CBB"/>
    <w:rsid w:val="00AB2B93"/>
    <w:rsid w:val="00AC2152"/>
    <w:rsid w:val="00AD504D"/>
    <w:rsid w:val="00AE0EF1"/>
    <w:rsid w:val="00AF3EBC"/>
    <w:rsid w:val="00B03CCB"/>
    <w:rsid w:val="00B07301"/>
    <w:rsid w:val="00B224DE"/>
    <w:rsid w:val="00B25E81"/>
    <w:rsid w:val="00B54223"/>
    <w:rsid w:val="00B74071"/>
    <w:rsid w:val="00B82293"/>
    <w:rsid w:val="00B84BBD"/>
    <w:rsid w:val="00B9780F"/>
    <w:rsid w:val="00BA1D46"/>
    <w:rsid w:val="00BA43FB"/>
    <w:rsid w:val="00BA7B47"/>
    <w:rsid w:val="00BB0894"/>
    <w:rsid w:val="00BB6708"/>
    <w:rsid w:val="00BC127D"/>
    <w:rsid w:val="00BC1FE6"/>
    <w:rsid w:val="00BD4C24"/>
    <w:rsid w:val="00BE0DF1"/>
    <w:rsid w:val="00BE1F8B"/>
    <w:rsid w:val="00BE36D8"/>
    <w:rsid w:val="00BE4A7F"/>
    <w:rsid w:val="00BF03CF"/>
    <w:rsid w:val="00C061B6"/>
    <w:rsid w:val="00C2446C"/>
    <w:rsid w:val="00C357BB"/>
    <w:rsid w:val="00C36AE5"/>
    <w:rsid w:val="00C41F17"/>
    <w:rsid w:val="00C5791C"/>
    <w:rsid w:val="00C66290"/>
    <w:rsid w:val="00C72B7A"/>
    <w:rsid w:val="00C841DF"/>
    <w:rsid w:val="00C86AE3"/>
    <w:rsid w:val="00C973F2"/>
    <w:rsid w:val="00CA774A"/>
    <w:rsid w:val="00CC11B0"/>
    <w:rsid w:val="00CC7BB9"/>
    <w:rsid w:val="00CD6EF1"/>
    <w:rsid w:val="00CE4932"/>
    <w:rsid w:val="00CF5840"/>
    <w:rsid w:val="00CF7E36"/>
    <w:rsid w:val="00D03DFE"/>
    <w:rsid w:val="00D10ED9"/>
    <w:rsid w:val="00D24210"/>
    <w:rsid w:val="00D26FB6"/>
    <w:rsid w:val="00D334D0"/>
    <w:rsid w:val="00D3708D"/>
    <w:rsid w:val="00D40426"/>
    <w:rsid w:val="00D4647A"/>
    <w:rsid w:val="00D475E0"/>
    <w:rsid w:val="00D535EF"/>
    <w:rsid w:val="00D539E8"/>
    <w:rsid w:val="00D57C96"/>
    <w:rsid w:val="00D61468"/>
    <w:rsid w:val="00D62F5A"/>
    <w:rsid w:val="00D74146"/>
    <w:rsid w:val="00D77988"/>
    <w:rsid w:val="00D808ED"/>
    <w:rsid w:val="00D81A88"/>
    <w:rsid w:val="00D82279"/>
    <w:rsid w:val="00D91203"/>
    <w:rsid w:val="00D92EFF"/>
    <w:rsid w:val="00D95174"/>
    <w:rsid w:val="00DA6F36"/>
    <w:rsid w:val="00DC00EA"/>
    <w:rsid w:val="00DD19CF"/>
    <w:rsid w:val="00DE48A6"/>
    <w:rsid w:val="00DF13C2"/>
    <w:rsid w:val="00DF49D7"/>
    <w:rsid w:val="00DF7677"/>
    <w:rsid w:val="00E0633E"/>
    <w:rsid w:val="00E27085"/>
    <w:rsid w:val="00E442CA"/>
    <w:rsid w:val="00E547C5"/>
    <w:rsid w:val="00E64EEC"/>
    <w:rsid w:val="00E72D49"/>
    <w:rsid w:val="00E7593C"/>
    <w:rsid w:val="00E7678A"/>
    <w:rsid w:val="00E80180"/>
    <w:rsid w:val="00E9123F"/>
    <w:rsid w:val="00E91DA7"/>
    <w:rsid w:val="00E93435"/>
    <w:rsid w:val="00E935F1"/>
    <w:rsid w:val="00E94A81"/>
    <w:rsid w:val="00EA1FFB"/>
    <w:rsid w:val="00EA58A3"/>
    <w:rsid w:val="00EB048E"/>
    <w:rsid w:val="00EB3EFA"/>
    <w:rsid w:val="00EC6D5B"/>
    <w:rsid w:val="00EE01F9"/>
    <w:rsid w:val="00EE2480"/>
    <w:rsid w:val="00EF2F89"/>
    <w:rsid w:val="00EF4896"/>
    <w:rsid w:val="00F04CF6"/>
    <w:rsid w:val="00F04DEB"/>
    <w:rsid w:val="00F100EC"/>
    <w:rsid w:val="00F1237A"/>
    <w:rsid w:val="00F22CBD"/>
    <w:rsid w:val="00F2415E"/>
    <w:rsid w:val="00F258D2"/>
    <w:rsid w:val="00F3094E"/>
    <w:rsid w:val="00F428A8"/>
    <w:rsid w:val="00F6334D"/>
    <w:rsid w:val="00F808C3"/>
    <w:rsid w:val="00F87F28"/>
    <w:rsid w:val="00F919CF"/>
    <w:rsid w:val="00FA49AB"/>
    <w:rsid w:val="00FA7DC7"/>
    <w:rsid w:val="00FB0D37"/>
    <w:rsid w:val="00FB2471"/>
    <w:rsid w:val="00FC732B"/>
    <w:rsid w:val="00FD21DE"/>
    <w:rsid w:val="00FD4C52"/>
    <w:rsid w:val="00FD653A"/>
    <w:rsid w:val="00FE39C7"/>
    <w:rsid w:val="00FE4AF3"/>
    <w:rsid w:val="00FF2691"/>
    <w:rsid w:val="00FF32EB"/>
    <w:rsid w:val="00FF43E2"/>
    <w:rsid w:val="00FF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iPriority="0"/>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E0DF1"/>
    <w:pPr>
      <w:jc w:val="both"/>
    </w:pPr>
    <w:rPr>
      <w:rFonts w:ascii="Arial" w:hAnsi="Arial" w:cs="Arial"/>
      <w:sz w:val="20"/>
      <w:szCs w:val="20"/>
    </w:rPr>
  </w:style>
  <w:style w:type="paragraph" w:styleId="Heading1">
    <w:name w:val="heading 1"/>
    <w:basedOn w:val="Normal"/>
    <w:next w:val="Normal"/>
    <w:link w:val="Heading1Char"/>
    <w:autoRedefine/>
    <w:uiPriority w:val="99"/>
    <w:qFormat/>
    <w:rsid w:val="00BE0DF1"/>
    <w:pPr>
      <w:keepNext/>
      <w:outlineLvl w:val="0"/>
    </w:pPr>
    <w:rPr>
      <w:caps/>
    </w:rPr>
  </w:style>
  <w:style w:type="paragraph" w:styleId="Heading2">
    <w:name w:val="heading 2"/>
    <w:basedOn w:val="Normal"/>
    <w:next w:val="Normal"/>
    <w:link w:val="Heading2Char"/>
    <w:autoRedefine/>
    <w:uiPriority w:val="99"/>
    <w:qFormat/>
    <w:rsid w:val="007429B5"/>
    <w:pPr>
      <w:keepNext/>
      <w:outlineLvl w:val="1"/>
    </w:pPr>
    <w:rPr>
      <w:u w:val="single"/>
    </w:rPr>
  </w:style>
  <w:style w:type="paragraph" w:styleId="Heading3">
    <w:name w:val="heading 3"/>
    <w:basedOn w:val="Normal"/>
    <w:next w:val="Normal"/>
    <w:link w:val="Heading3Char"/>
    <w:autoRedefine/>
    <w:uiPriority w:val="99"/>
    <w:qFormat/>
    <w:rsid w:val="00D61468"/>
    <w:pPr>
      <w:keepNext/>
      <w:outlineLvl w:val="2"/>
    </w:pPr>
    <w:rPr>
      <w:i/>
      <w:iCs/>
    </w:rPr>
  </w:style>
  <w:style w:type="paragraph" w:styleId="Heading4">
    <w:name w:val="heading 4"/>
    <w:basedOn w:val="Normal"/>
    <w:next w:val="Normal"/>
    <w:link w:val="Heading4Char"/>
    <w:autoRedefine/>
    <w:uiPriority w:val="99"/>
    <w:qFormat/>
    <w:rsid w:val="00BE0DF1"/>
    <w:pPr>
      <w:keepNext/>
      <w:ind w:left="567"/>
      <w:outlineLvl w:val="3"/>
    </w:pPr>
    <w:rPr>
      <w:i/>
      <w:iCs/>
      <w:lang w:val="fr-FR"/>
    </w:rPr>
  </w:style>
  <w:style w:type="paragraph" w:styleId="Heading5">
    <w:name w:val="heading 5"/>
    <w:basedOn w:val="Normal"/>
    <w:next w:val="Normal"/>
    <w:link w:val="Heading5Char"/>
    <w:autoRedefine/>
    <w:uiPriority w:val="99"/>
    <w:qFormat/>
    <w:rsid w:val="00BE0DF1"/>
    <w:pPr>
      <w:keepNext/>
      <w:ind w:left="1134" w:hanging="567"/>
      <w:outlineLvl w:val="4"/>
    </w:pPr>
    <w:rPr>
      <w:sz w:val="18"/>
      <w:szCs w:val="18"/>
    </w:rPr>
  </w:style>
  <w:style w:type="paragraph" w:styleId="Heading9">
    <w:name w:val="heading 9"/>
    <w:basedOn w:val="Normal"/>
    <w:next w:val="Normal"/>
    <w:link w:val="Heading9Char"/>
    <w:uiPriority w:val="99"/>
    <w:qFormat/>
    <w:rsid w:val="00BE0DF1"/>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8265F"/>
    <w:rPr>
      <w:rFonts w:ascii="Arial" w:hAnsi="Arial" w:cs="Arial"/>
      <w:caps/>
      <w:lang w:val="en-US" w:eastAsia="en-US"/>
    </w:rPr>
  </w:style>
  <w:style w:type="character" w:customStyle="1" w:styleId="Heading2Char">
    <w:name w:val="Heading 2 Char"/>
    <w:basedOn w:val="DefaultParagraphFont"/>
    <w:link w:val="Heading2"/>
    <w:uiPriority w:val="99"/>
    <w:rsid w:val="007429B5"/>
    <w:rPr>
      <w:rFonts w:ascii="Arial" w:hAnsi="Arial" w:cs="Arial"/>
      <w:u w:val="single"/>
    </w:rPr>
  </w:style>
  <w:style w:type="character" w:customStyle="1" w:styleId="Heading3Char">
    <w:name w:val="Heading 3 Char"/>
    <w:basedOn w:val="DefaultParagraphFont"/>
    <w:link w:val="Heading3"/>
    <w:uiPriority w:val="99"/>
    <w:semiHidden/>
    <w:rsid w:val="00DE48A6"/>
    <w:rPr>
      <w:rFonts w:ascii="Cambria" w:hAnsi="Cambria" w:cs="Cambria"/>
      <w:b/>
      <w:bCs/>
      <w:sz w:val="26"/>
      <w:szCs w:val="26"/>
    </w:rPr>
  </w:style>
  <w:style w:type="character" w:customStyle="1" w:styleId="Heading4Char">
    <w:name w:val="Heading 4 Char"/>
    <w:basedOn w:val="DefaultParagraphFont"/>
    <w:link w:val="Heading4"/>
    <w:uiPriority w:val="99"/>
    <w:semiHidden/>
    <w:rsid w:val="00DE48A6"/>
    <w:rPr>
      <w:rFonts w:ascii="Calibri" w:hAnsi="Calibri" w:cs="Calibri"/>
      <w:b/>
      <w:bCs/>
      <w:sz w:val="28"/>
      <w:szCs w:val="28"/>
    </w:rPr>
  </w:style>
  <w:style w:type="character" w:customStyle="1" w:styleId="Heading5Char">
    <w:name w:val="Heading 5 Char"/>
    <w:basedOn w:val="DefaultParagraphFont"/>
    <w:link w:val="Heading5"/>
    <w:uiPriority w:val="99"/>
    <w:semiHidden/>
    <w:rsid w:val="00DE48A6"/>
    <w:rPr>
      <w:rFonts w:ascii="Calibri" w:hAnsi="Calibri" w:cs="Calibri"/>
      <w:b/>
      <w:bCs/>
      <w:i/>
      <w:iCs/>
      <w:sz w:val="26"/>
      <w:szCs w:val="26"/>
    </w:rPr>
  </w:style>
  <w:style w:type="character" w:customStyle="1" w:styleId="Heading9Char">
    <w:name w:val="Heading 9 Char"/>
    <w:basedOn w:val="DefaultParagraphFont"/>
    <w:link w:val="Heading9"/>
    <w:uiPriority w:val="99"/>
    <w:semiHidden/>
    <w:rsid w:val="00DE48A6"/>
    <w:rPr>
      <w:rFonts w:ascii="Cambria" w:hAnsi="Cambria" w:cs="Cambria"/>
    </w:rPr>
  </w:style>
  <w:style w:type="paragraph" w:styleId="Header">
    <w:name w:val="header"/>
    <w:basedOn w:val="Normal"/>
    <w:link w:val="HeaderChar"/>
    <w:autoRedefine/>
    <w:rsid w:val="001B283D"/>
    <w:pPr>
      <w:tabs>
        <w:tab w:val="center" w:pos="4536"/>
        <w:tab w:val="left" w:pos="5103"/>
      </w:tabs>
      <w:jc w:val="center"/>
    </w:pPr>
    <w:rPr>
      <w:lang w:val="fr-FR"/>
    </w:rPr>
  </w:style>
  <w:style w:type="character" w:customStyle="1" w:styleId="HeaderChar">
    <w:name w:val="Header Char"/>
    <w:basedOn w:val="DefaultParagraphFont"/>
    <w:link w:val="Header"/>
    <w:rsid w:val="001B283D"/>
    <w:rPr>
      <w:rFonts w:ascii="Arial" w:hAnsi="Arial" w:cs="Arial"/>
      <w:sz w:val="20"/>
      <w:szCs w:val="20"/>
      <w:lang w:val="fr-FR"/>
    </w:rPr>
  </w:style>
  <w:style w:type="paragraph" w:styleId="Footer">
    <w:name w:val="footer"/>
    <w:aliases w:val="doc_path_name"/>
    <w:basedOn w:val="Normal"/>
    <w:link w:val="FooterChar"/>
    <w:autoRedefine/>
    <w:uiPriority w:val="99"/>
    <w:rsid w:val="00BE0DF1"/>
    <w:rPr>
      <w:sz w:val="14"/>
      <w:szCs w:val="14"/>
    </w:rPr>
  </w:style>
  <w:style w:type="character" w:customStyle="1" w:styleId="FooterChar">
    <w:name w:val="Footer Char"/>
    <w:aliases w:val="doc_path_name Char"/>
    <w:basedOn w:val="DefaultParagraphFont"/>
    <w:link w:val="Footer"/>
    <w:uiPriority w:val="99"/>
    <w:semiHidden/>
    <w:rsid w:val="00DE48A6"/>
    <w:rPr>
      <w:rFonts w:ascii="Arial" w:hAnsi="Arial" w:cs="Arial"/>
      <w:sz w:val="20"/>
      <w:szCs w:val="20"/>
    </w:rPr>
  </w:style>
  <w:style w:type="character" w:styleId="PageNumber">
    <w:name w:val="page number"/>
    <w:basedOn w:val="DefaultParagraphFont"/>
    <w:rsid w:val="00BE0DF1"/>
    <w:rPr>
      <w:rFonts w:ascii="Arial" w:hAnsi="Arial" w:cs="Arial"/>
      <w:sz w:val="20"/>
      <w:szCs w:val="20"/>
    </w:rPr>
  </w:style>
  <w:style w:type="paragraph" w:styleId="Title">
    <w:name w:val="Title"/>
    <w:basedOn w:val="Normal"/>
    <w:link w:val="TitleChar"/>
    <w:uiPriority w:val="99"/>
    <w:qFormat/>
    <w:rsid w:val="00BE0DF1"/>
    <w:pPr>
      <w:spacing w:after="300"/>
      <w:jc w:val="center"/>
    </w:pPr>
    <w:rPr>
      <w:b/>
      <w:bCs/>
      <w:caps/>
      <w:kern w:val="28"/>
      <w:sz w:val="30"/>
      <w:szCs w:val="30"/>
    </w:rPr>
  </w:style>
  <w:style w:type="character" w:customStyle="1" w:styleId="TitleChar">
    <w:name w:val="Title Char"/>
    <w:basedOn w:val="DefaultParagraphFont"/>
    <w:link w:val="Title"/>
    <w:uiPriority w:val="99"/>
    <w:rsid w:val="00DE48A6"/>
    <w:rPr>
      <w:rFonts w:ascii="Cambria" w:hAnsi="Cambria" w:cs="Cambria"/>
      <w:b/>
      <w:bCs/>
      <w:kern w:val="28"/>
      <w:sz w:val="32"/>
      <w:szCs w:val="32"/>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link w:val="DecisionParagraphsChar"/>
    <w:uiPriority w:val="99"/>
    <w:rsid w:val="00BE0DF1"/>
    <w:pPr>
      <w:tabs>
        <w:tab w:val="left" w:pos="5387"/>
      </w:tabs>
      <w:ind w:left="4820"/>
    </w:pPr>
    <w:rPr>
      <w:i/>
      <w:iCs/>
      <w:lang w:eastAsia="ja-JP"/>
    </w:rPr>
  </w:style>
  <w:style w:type="paragraph" w:styleId="FootnoteText">
    <w:name w:val="footnote text"/>
    <w:basedOn w:val="Normal"/>
    <w:link w:val="FootnoteTextChar"/>
    <w:autoRedefine/>
    <w:uiPriority w:val="99"/>
    <w:semiHidden/>
    <w:rsid w:val="00BE0DF1"/>
    <w:pPr>
      <w:spacing w:before="60"/>
      <w:ind w:left="567" w:hanging="567"/>
    </w:pPr>
    <w:rPr>
      <w:sz w:val="16"/>
      <w:szCs w:val="16"/>
    </w:rPr>
  </w:style>
  <w:style w:type="character" w:customStyle="1" w:styleId="FootnoteTextChar">
    <w:name w:val="Footnote Text Char"/>
    <w:basedOn w:val="DefaultParagraphFont"/>
    <w:link w:val="FootnoteText"/>
    <w:uiPriority w:val="99"/>
    <w:rsid w:val="00A60E16"/>
    <w:rPr>
      <w:rFonts w:ascii="Arial" w:hAnsi="Arial" w:cs="Arial"/>
      <w:sz w:val="16"/>
      <w:szCs w:val="16"/>
    </w:rPr>
  </w:style>
  <w:style w:type="character" w:styleId="FootnoteReference">
    <w:name w:val="footnote reference"/>
    <w:basedOn w:val="DefaultParagraphFont"/>
    <w:uiPriority w:val="99"/>
    <w:semiHidden/>
    <w:rsid w:val="00BE0DF1"/>
    <w:rPr>
      <w:rFonts w:cs="Times New Roman"/>
      <w:vertAlign w:val="superscript"/>
    </w:rPr>
  </w:style>
  <w:style w:type="paragraph" w:styleId="Closing">
    <w:name w:val="Closing"/>
    <w:basedOn w:val="Normal"/>
    <w:link w:val="ClosingChar"/>
    <w:uiPriority w:val="99"/>
    <w:rsid w:val="00BE0DF1"/>
    <w:pPr>
      <w:ind w:left="4536"/>
      <w:jc w:val="center"/>
    </w:pPr>
  </w:style>
  <w:style w:type="character" w:customStyle="1" w:styleId="ClosingChar">
    <w:name w:val="Closing Char"/>
    <w:basedOn w:val="DefaultParagraphFont"/>
    <w:link w:val="Closing"/>
    <w:uiPriority w:val="99"/>
    <w:semiHidden/>
    <w:rsid w:val="00DE48A6"/>
    <w:rPr>
      <w:rFonts w:ascii="Arial" w:hAnsi="Arial" w:cs="Arial"/>
      <w:sz w:val="20"/>
      <w:szCs w:val="20"/>
    </w:rPr>
  </w:style>
  <w:style w:type="paragraph" w:styleId="Index1">
    <w:name w:val="index 1"/>
    <w:basedOn w:val="Normal"/>
    <w:next w:val="Normal"/>
    <w:autoRedefine/>
    <w:uiPriority w:val="99"/>
    <w:semiHidden/>
    <w:rsid w:val="00BE0DF1"/>
    <w:pPr>
      <w:tabs>
        <w:tab w:val="right" w:leader="dot" w:pos="9071"/>
      </w:tabs>
      <w:ind w:left="284" w:hanging="284"/>
    </w:pPr>
    <w:rPr>
      <w:sz w:val="24"/>
      <w:szCs w:val="24"/>
    </w:rPr>
  </w:style>
  <w:style w:type="paragraph" w:styleId="Index2">
    <w:name w:val="index 2"/>
    <w:basedOn w:val="Normal"/>
    <w:next w:val="Normal"/>
    <w:autoRedefine/>
    <w:uiPriority w:val="99"/>
    <w:semiHidden/>
    <w:rsid w:val="00BE0DF1"/>
    <w:pPr>
      <w:tabs>
        <w:tab w:val="right" w:leader="dot" w:pos="9071"/>
      </w:tabs>
      <w:ind w:left="568" w:hanging="284"/>
    </w:pPr>
    <w:rPr>
      <w:sz w:val="24"/>
      <w:szCs w:val="24"/>
    </w:rPr>
  </w:style>
  <w:style w:type="paragraph" w:styleId="Index3">
    <w:name w:val="index 3"/>
    <w:basedOn w:val="Normal"/>
    <w:next w:val="Normal"/>
    <w:autoRedefine/>
    <w:uiPriority w:val="99"/>
    <w:semiHidden/>
    <w:rsid w:val="00BE0DF1"/>
    <w:pPr>
      <w:tabs>
        <w:tab w:val="right" w:leader="dot" w:pos="9071"/>
      </w:tabs>
      <w:ind w:left="851" w:hanging="284"/>
    </w:pPr>
    <w:rPr>
      <w:sz w:val="24"/>
      <w:szCs w:val="24"/>
    </w:rPr>
  </w:style>
  <w:style w:type="paragraph" w:styleId="MacroText">
    <w:name w:val="macro"/>
    <w:link w:val="MacroTextChar"/>
    <w:uiPriority w:val="99"/>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basedOn w:val="DefaultParagraphFont"/>
    <w:link w:val="MacroText"/>
    <w:uiPriority w:val="99"/>
    <w:semiHidden/>
    <w:rsid w:val="00DE48A6"/>
    <w:rPr>
      <w:rFonts w:ascii="Courier New" w:hAnsi="Courier New" w:cs="Courier New"/>
      <w:sz w:val="16"/>
      <w:szCs w:val="16"/>
      <w:lang w:val="en-US" w:eastAsia="en-US"/>
    </w:rPr>
  </w:style>
  <w:style w:type="paragraph" w:styleId="Signature">
    <w:name w:val="Signature"/>
    <w:basedOn w:val="Normal"/>
    <w:link w:val="SignatureChar"/>
    <w:uiPriority w:val="99"/>
    <w:rsid w:val="00BE0DF1"/>
    <w:pPr>
      <w:ind w:left="4536"/>
      <w:jc w:val="center"/>
    </w:pPr>
  </w:style>
  <w:style w:type="character" w:customStyle="1" w:styleId="SignatureChar">
    <w:name w:val="Signature Char"/>
    <w:basedOn w:val="DefaultParagraphFont"/>
    <w:link w:val="Signature"/>
    <w:uiPriority w:val="99"/>
    <w:semiHidden/>
    <w:rsid w:val="00DE48A6"/>
    <w:rPr>
      <w:rFonts w:ascii="Arial" w:hAnsi="Arial" w:cs="Arial"/>
      <w:sz w:val="20"/>
      <w:szCs w:val="20"/>
    </w:rPr>
  </w:style>
  <w:style w:type="character" w:customStyle="1" w:styleId="Doclang">
    <w:name w:val="Doc_lang"/>
    <w:basedOn w:val="DefaultParagraphFont"/>
    <w:uiPriority w:val="99"/>
    <w:rsid w:val="00BE0DF1"/>
    <w:rPr>
      <w:rFonts w:ascii="Arial" w:hAnsi="Arial" w:cs="Arial"/>
      <w:sz w:val="20"/>
      <w:szCs w:val="20"/>
      <w:lang w:val="en-US"/>
    </w:rPr>
  </w:style>
  <w:style w:type="paragraph" w:customStyle="1" w:styleId="Session">
    <w:name w:val="Session"/>
    <w:basedOn w:val="Normal"/>
    <w:uiPriority w:val="99"/>
    <w:semiHidden/>
    <w:rsid w:val="00BE0DF1"/>
    <w:pPr>
      <w:spacing w:before="60"/>
      <w:jc w:val="center"/>
    </w:pPr>
    <w:rPr>
      <w:b/>
      <w:bCs/>
    </w:rPr>
  </w:style>
  <w:style w:type="paragraph" w:customStyle="1" w:styleId="Organizer">
    <w:name w:val="Organizer"/>
    <w:basedOn w:val="Normal"/>
    <w:uiPriority w:val="99"/>
    <w:semiHidden/>
    <w:rsid w:val="00BE0DF1"/>
    <w:pPr>
      <w:spacing w:after="600"/>
      <w:ind w:left="-993" w:right="-994"/>
      <w:jc w:val="center"/>
    </w:pPr>
    <w:rPr>
      <w:b/>
      <w:bCs/>
      <w:caps/>
      <w:kern w:val="26"/>
      <w:sz w:val="26"/>
      <w:szCs w:val="26"/>
    </w:rPr>
  </w:style>
  <w:style w:type="paragraph" w:styleId="BodyText">
    <w:name w:val="Body Text"/>
    <w:basedOn w:val="Normal"/>
    <w:link w:val="BodyTextChar"/>
    <w:uiPriority w:val="99"/>
    <w:rsid w:val="00BE0DF1"/>
  </w:style>
  <w:style w:type="character" w:customStyle="1" w:styleId="BodyTextChar">
    <w:name w:val="Body Text Char"/>
    <w:basedOn w:val="DefaultParagraphFont"/>
    <w:link w:val="BodyText"/>
    <w:uiPriority w:val="99"/>
    <w:semiHidden/>
    <w:rsid w:val="00DE48A6"/>
    <w:rPr>
      <w:rFonts w:ascii="Arial" w:hAnsi="Arial" w:cs="Arial"/>
      <w:sz w:val="20"/>
      <w:szCs w:val="20"/>
    </w:rPr>
  </w:style>
  <w:style w:type="paragraph" w:customStyle="1" w:styleId="StyleDocoriginalNotBold">
    <w:name w:val="Style Doc_original + Not Bold"/>
    <w:basedOn w:val="Docoriginal"/>
    <w:link w:val="StyleDocoriginalNotBoldChar"/>
    <w:autoRedefine/>
    <w:uiPriority w:val="99"/>
    <w:rsid w:val="00BE0DF1"/>
    <w:pPr>
      <w:ind w:left="1589"/>
      <w:jc w:val="left"/>
    </w:pPr>
  </w:style>
  <w:style w:type="paragraph" w:customStyle="1" w:styleId="upove">
    <w:name w:val="upov_e"/>
    <w:basedOn w:val="Normal"/>
    <w:rsid w:val="00BE0DF1"/>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BE0DF1"/>
  </w:style>
  <w:style w:type="paragraph" w:styleId="EndnoteText">
    <w:name w:val="endnote text"/>
    <w:basedOn w:val="Normal"/>
    <w:link w:val="EndnoteTextChar"/>
    <w:uiPriority w:val="99"/>
    <w:semiHidden/>
    <w:rsid w:val="00BE0DF1"/>
  </w:style>
  <w:style w:type="character" w:customStyle="1" w:styleId="EndnoteTextChar">
    <w:name w:val="Endnote Text Char"/>
    <w:basedOn w:val="DefaultParagraphFont"/>
    <w:link w:val="EndnoteText"/>
    <w:uiPriority w:val="99"/>
    <w:rsid w:val="00D81A88"/>
    <w:rPr>
      <w:rFonts w:ascii="Arial" w:hAnsi="Arial" w:cs="Arial"/>
    </w:rPr>
  </w:style>
  <w:style w:type="character" w:styleId="EndnoteReference">
    <w:name w:val="endnote reference"/>
    <w:basedOn w:val="DefaultParagraphFont"/>
    <w:uiPriority w:val="99"/>
    <w:semiHidden/>
    <w:rsid w:val="00BE0DF1"/>
    <w:rPr>
      <w:rFonts w:cs="Times New Roman"/>
      <w:vertAlign w:val="superscript"/>
    </w:rPr>
  </w:style>
  <w:style w:type="paragraph" w:customStyle="1" w:styleId="SessionMeetingPlace">
    <w:name w:val="Session_MeetingPlace"/>
    <w:basedOn w:val="Normal"/>
    <w:uiPriority w:val="99"/>
    <w:semiHidden/>
    <w:rsid w:val="00BE0DF1"/>
    <w:pPr>
      <w:spacing w:before="480"/>
      <w:jc w:val="center"/>
    </w:pPr>
    <w:rPr>
      <w:b/>
      <w:bCs/>
      <w:kern w:val="28"/>
      <w:sz w:val="24"/>
      <w:szCs w:val="24"/>
    </w:rPr>
  </w:style>
  <w:style w:type="paragraph" w:customStyle="1" w:styleId="Original">
    <w:name w:val="Original"/>
    <w:basedOn w:val="Normal"/>
    <w:uiPriority w:val="99"/>
    <w:semiHidden/>
    <w:rsid w:val="00BE0DF1"/>
    <w:pPr>
      <w:spacing w:before="60"/>
      <w:ind w:left="1276"/>
    </w:pPr>
    <w:rPr>
      <w:b/>
      <w:bCs/>
      <w:sz w:val="22"/>
      <w:szCs w:val="22"/>
    </w:rPr>
  </w:style>
  <w:style w:type="paragraph" w:styleId="Date">
    <w:name w:val="Date"/>
    <w:basedOn w:val="Normal"/>
    <w:link w:val="DateChar"/>
    <w:uiPriority w:val="99"/>
    <w:semiHidden/>
    <w:rsid w:val="00BE0DF1"/>
    <w:pPr>
      <w:spacing w:line="340" w:lineRule="exact"/>
      <w:ind w:left="1276"/>
    </w:pPr>
    <w:rPr>
      <w:b/>
      <w:bCs/>
      <w:sz w:val="22"/>
      <w:szCs w:val="22"/>
    </w:rPr>
  </w:style>
  <w:style w:type="character" w:customStyle="1" w:styleId="DateChar">
    <w:name w:val="Date Char"/>
    <w:basedOn w:val="DefaultParagraphFont"/>
    <w:link w:val="Date"/>
    <w:uiPriority w:val="99"/>
    <w:semiHidden/>
    <w:rsid w:val="00DE48A6"/>
    <w:rPr>
      <w:rFonts w:ascii="Arial" w:hAnsi="Arial" w:cs="Arial"/>
      <w:sz w:val="20"/>
      <w:szCs w:val="20"/>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szCs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uiPriority w:val="99"/>
    <w:rsid w:val="00BE0DF1"/>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BE0DF1"/>
    <w:pPr>
      <w:spacing w:before="480"/>
    </w:pPr>
    <w:rPr>
      <w:caps/>
      <w:kern w:val="28"/>
      <w:sz w:val="24"/>
      <w:szCs w:val="24"/>
    </w:rPr>
  </w:style>
  <w:style w:type="paragraph" w:customStyle="1" w:styleId="plcountry">
    <w:name w:val="plcountry"/>
    <w:basedOn w:val="Normal"/>
    <w:uiPriority w:val="99"/>
    <w:rsid w:val="00BE0DF1"/>
    <w:pPr>
      <w:keepNext/>
      <w:keepLines/>
      <w:spacing w:before="180" w:after="120"/>
      <w:jc w:val="left"/>
    </w:pPr>
    <w:rPr>
      <w:caps/>
      <w:noProof/>
      <w:u w:val="single"/>
    </w:rPr>
  </w:style>
  <w:style w:type="paragraph" w:customStyle="1" w:styleId="pldetails">
    <w:name w:val="pldetails"/>
    <w:basedOn w:val="Normal"/>
    <w:uiPriority w:val="99"/>
    <w:rsid w:val="00BE0DF1"/>
    <w:pPr>
      <w:keepLines/>
      <w:spacing w:before="60" w:after="60"/>
      <w:jc w:val="left"/>
    </w:pPr>
    <w:rPr>
      <w:noProof/>
    </w:rPr>
  </w:style>
  <w:style w:type="paragraph" w:customStyle="1" w:styleId="plheading">
    <w:name w:val="plheading"/>
    <w:basedOn w:val="Normal"/>
    <w:uiPriority w:val="99"/>
    <w:rsid w:val="00BE0DF1"/>
    <w:pPr>
      <w:keepNext/>
      <w:spacing w:before="480" w:after="120"/>
      <w:jc w:val="center"/>
    </w:pPr>
    <w:rPr>
      <w:caps/>
      <w:u w:val="single"/>
    </w:rPr>
  </w:style>
  <w:style w:type="paragraph" w:customStyle="1" w:styleId="Sessiontcplacedate">
    <w:name w:val="Session_tc_place_date"/>
    <w:basedOn w:val="SessionMeetingPlace"/>
    <w:uiPriority w:val="99"/>
    <w:rsid w:val="00BE0DF1"/>
    <w:pPr>
      <w:spacing w:before="240"/>
    </w:pPr>
  </w:style>
  <w:style w:type="paragraph" w:customStyle="1" w:styleId="Titleofdoc0">
    <w:name w:val="Title_of_doc"/>
    <w:basedOn w:val="Normal"/>
    <w:uiPriority w:val="99"/>
    <w:rsid w:val="00BE0DF1"/>
    <w:pPr>
      <w:spacing w:before="600"/>
      <w:jc w:val="center"/>
    </w:pPr>
    <w:rPr>
      <w:caps/>
    </w:rPr>
  </w:style>
  <w:style w:type="paragraph" w:customStyle="1" w:styleId="preparedby1">
    <w:name w:val="prepared_by"/>
    <w:basedOn w:val="Normal"/>
    <w:uiPriority w:val="99"/>
    <w:semiHidden/>
    <w:rsid w:val="00BE0DF1"/>
    <w:pPr>
      <w:spacing w:before="240" w:after="600"/>
      <w:jc w:val="center"/>
    </w:pPr>
    <w:rPr>
      <w:i/>
      <w:iCs/>
    </w:rPr>
  </w:style>
  <w:style w:type="character" w:customStyle="1" w:styleId="CodeChar">
    <w:name w:val="Code Char"/>
    <w:basedOn w:val="DefaultParagraphFont"/>
    <w:link w:val="Code"/>
    <w:uiPriority w:val="99"/>
    <w:rsid w:val="00D3708D"/>
    <w:rPr>
      <w:rFonts w:ascii="Arial" w:hAnsi="Arial" w:cs="Arial"/>
      <w:b/>
      <w:bCs/>
      <w:spacing w:val="10"/>
      <w:lang w:val="fr-FR" w:eastAsia="en-US"/>
    </w:rPr>
  </w:style>
  <w:style w:type="paragraph" w:customStyle="1" w:styleId="endofdoc">
    <w:name w:val="end_of_doc"/>
    <w:autoRedefine/>
    <w:uiPriority w:val="99"/>
    <w:rsid w:val="00BE0DF1"/>
    <w:pPr>
      <w:spacing w:before="480"/>
      <w:ind w:left="567" w:hanging="567"/>
      <w:jc w:val="right"/>
    </w:pPr>
    <w:rPr>
      <w:rFonts w:ascii="Arial" w:hAnsi="Arial" w:cs="Arial"/>
      <w:sz w:val="20"/>
      <w:szCs w:val="20"/>
    </w:rPr>
  </w:style>
  <w:style w:type="character" w:customStyle="1" w:styleId="DocoriginalChar">
    <w:name w:val="Doc_original Char"/>
    <w:basedOn w:val="DefaultParagraphFont"/>
    <w:link w:val="Docoriginal"/>
    <w:rsid w:val="00BE0DF1"/>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rsid w:val="00BE0DF1"/>
    <w:rPr>
      <w:rFonts w:ascii="Arial" w:hAnsi="Arial" w:cs="Arial"/>
      <w:b/>
      <w:bCs/>
      <w:spacing w:val="10"/>
      <w:lang w:val="en-US" w:eastAsia="en-US"/>
    </w:rPr>
  </w:style>
  <w:style w:type="paragraph" w:customStyle="1" w:styleId="StyleDocnumber">
    <w:name w:val="Style Doc_number"/>
    <w:basedOn w:val="Docoriginal"/>
    <w:uiPriority w:val="99"/>
    <w:rsid w:val="00BE0DF1"/>
    <w:pPr>
      <w:ind w:left="1589"/>
    </w:pPr>
  </w:style>
  <w:style w:type="paragraph" w:customStyle="1" w:styleId="StyleDocoriginal">
    <w:name w:val="Style Doc_original"/>
    <w:basedOn w:val="Docoriginal"/>
    <w:link w:val="StyleDocoriginalChar"/>
    <w:uiPriority w:val="99"/>
    <w:rsid w:val="00BE0DF1"/>
  </w:style>
  <w:style w:type="character" w:customStyle="1" w:styleId="StyleDocoriginalChar">
    <w:name w:val="Style Doc_original Char"/>
    <w:basedOn w:val="DocoriginalChar"/>
    <w:link w:val="StyleDocoriginal"/>
    <w:uiPriority w:val="99"/>
    <w:rsid w:val="00BE0DF1"/>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cs="Arial"/>
      <w:b/>
      <w:bCs/>
      <w:spacing w:val="10"/>
      <w:lang w:val="en-US" w:eastAsia="en-US"/>
    </w:rPr>
  </w:style>
  <w:style w:type="character" w:customStyle="1" w:styleId="StyleDocoriginalNotBold1">
    <w:name w:val="Style Doc_original + Not Bold1"/>
    <w:basedOn w:val="DefaultParagraphFont"/>
    <w:rsid w:val="00BE0DF1"/>
    <w:rPr>
      <w:rFonts w:ascii="Arial" w:hAnsi="Arial" w:cs="Arial"/>
      <w:b/>
      <w:bCs/>
      <w:spacing w:val="10"/>
      <w:lang w:val="en-US" w:eastAsia="en-US"/>
    </w:rPr>
  </w:style>
  <w:style w:type="character" w:customStyle="1" w:styleId="StyleDoclangBold">
    <w:name w:val="Style Doc_lang + Bold"/>
    <w:basedOn w:val="Doclang"/>
    <w:rsid w:val="00BE0DF1"/>
    <w:rPr>
      <w:rFonts w:ascii="Arial" w:hAnsi="Arial" w:cs="Arial"/>
      <w:b/>
      <w:bCs/>
      <w:sz w:val="20"/>
      <w:szCs w:val="20"/>
      <w:lang w:val="en-US"/>
    </w:rPr>
  </w:style>
  <w:style w:type="paragraph" w:styleId="TOC2">
    <w:name w:val="toc 2"/>
    <w:basedOn w:val="Normal"/>
    <w:next w:val="Normal"/>
    <w:autoRedefine/>
    <w:uiPriority w:val="99"/>
    <w:semiHidden/>
    <w:rsid w:val="00BE0DF1"/>
    <w:pPr>
      <w:tabs>
        <w:tab w:val="right" w:leader="dot" w:pos="9639"/>
      </w:tabs>
      <w:spacing w:before="120"/>
      <w:ind w:left="851" w:right="851" w:hanging="567"/>
      <w:jc w:val="left"/>
    </w:pPr>
    <w:rPr>
      <w:noProof/>
    </w:rPr>
  </w:style>
  <w:style w:type="paragraph" w:styleId="TOC3">
    <w:name w:val="toc 3"/>
    <w:basedOn w:val="Normal"/>
    <w:next w:val="Normal"/>
    <w:autoRedefine/>
    <w:uiPriority w:val="99"/>
    <w:semiHidden/>
    <w:rsid w:val="00BE0DF1"/>
    <w:pPr>
      <w:tabs>
        <w:tab w:val="right" w:leader="dot" w:pos="9639"/>
      </w:tabs>
      <w:spacing w:before="120"/>
      <w:ind w:left="851" w:right="851" w:hanging="567"/>
      <w:jc w:val="left"/>
    </w:pPr>
    <w:rPr>
      <w:i/>
      <w:iCs/>
      <w:noProof/>
      <w:lang w:val="fr-FR"/>
    </w:rPr>
  </w:style>
  <w:style w:type="character" w:styleId="Hyperlink">
    <w:name w:val="Hyperlink"/>
    <w:basedOn w:val="DefaultParagraphFont"/>
    <w:uiPriority w:val="99"/>
    <w:rsid w:val="00BE0DF1"/>
    <w:rPr>
      <w:rFonts w:ascii="Arial" w:hAnsi="Arial" w:cs="Arial"/>
      <w:color w:val="0000FF"/>
      <w:u w:val="single"/>
    </w:rPr>
  </w:style>
  <w:style w:type="paragraph" w:styleId="TOC4">
    <w:name w:val="toc 4"/>
    <w:basedOn w:val="Normal"/>
    <w:next w:val="Normal"/>
    <w:autoRedefine/>
    <w:uiPriority w:val="99"/>
    <w:semiHidden/>
    <w:rsid w:val="00BE0DF1"/>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99"/>
    <w:semiHidden/>
    <w:rsid w:val="00BE0DF1"/>
    <w:pPr>
      <w:tabs>
        <w:tab w:val="right" w:leader="dot" w:pos="9639"/>
      </w:tabs>
      <w:ind w:left="284" w:right="284" w:hanging="284"/>
      <w:jc w:val="left"/>
    </w:pPr>
    <w:rPr>
      <w:caps/>
      <w:noProof/>
    </w:rPr>
  </w:style>
  <w:style w:type="paragraph" w:styleId="TOC5">
    <w:name w:val="toc 5"/>
    <w:basedOn w:val="Normal"/>
    <w:next w:val="Normal"/>
    <w:autoRedefine/>
    <w:uiPriority w:val="99"/>
    <w:semiHidden/>
    <w:rsid w:val="00BE0DF1"/>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AF3EBC"/>
    <w:rPr>
      <w:rFonts w:ascii="Tahoma" w:hAnsi="Tahoma" w:cs="Tahoma"/>
      <w:sz w:val="16"/>
      <w:szCs w:val="16"/>
    </w:rPr>
  </w:style>
  <w:style w:type="character" w:customStyle="1" w:styleId="BalloonTextChar">
    <w:name w:val="Balloon Text Char"/>
    <w:basedOn w:val="DefaultParagraphFont"/>
    <w:link w:val="BalloonText"/>
    <w:uiPriority w:val="99"/>
    <w:rsid w:val="00AF3EBC"/>
    <w:rPr>
      <w:rFonts w:ascii="Tahoma" w:hAnsi="Tahoma" w:cs="Tahoma"/>
      <w:sz w:val="16"/>
      <w:szCs w:val="16"/>
    </w:rPr>
  </w:style>
  <w:style w:type="paragraph" w:styleId="ListParagraph">
    <w:name w:val="List Paragraph"/>
    <w:basedOn w:val="Normal"/>
    <w:uiPriority w:val="99"/>
    <w:qFormat/>
    <w:rsid w:val="004E579A"/>
    <w:pPr>
      <w:ind w:left="720"/>
    </w:pPr>
  </w:style>
  <w:style w:type="paragraph" w:customStyle="1" w:styleId="Style1">
    <w:name w:val="Style1"/>
    <w:basedOn w:val="Normal"/>
    <w:uiPriority w:val="99"/>
    <w:rsid w:val="00485444"/>
    <w:pPr>
      <w:tabs>
        <w:tab w:val="decimal" w:pos="907"/>
        <w:tab w:val="left" w:pos="1077"/>
      </w:tabs>
    </w:pPr>
    <w:rPr>
      <w:lang w:eastAsia="ja-JP"/>
    </w:rPr>
  </w:style>
  <w:style w:type="character" w:customStyle="1" w:styleId="DecisionParagraphsChar">
    <w:name w:val="DecisionParagraphs Char"/>
    <w:link w:val="DecisionParagraphs"/>
    <w:uiPriority w:val="99"/>
    <w:rsid w:val="00C86AE3"/>
    <w:rPr>
      <w:rFonts w:ascii="Arial" w:hAnsi="Arial" w:cs="Arial"/>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annotation text" w:unhideWhenUsed="1"/>
    <w:lsdException w:name="header" w:uiPriority="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page number" w:uiPriority="0"/>
    <w:lsdException w:name="table of authorities"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BE0DF1"/>
    <w:pPr>
      <w:jc w:val="both"/>
    </w:pPr>
    <w:rPr>
      <w:rFonts w:ascii="Arial" w:hAnsi="Arial" w:cs="Arial"/>
      <w:sz w:val="20"/>
      <w:szCs w:val="20"/>
    </w:rPr>
  </w:style>
  <w:style w:type="paragraph" w:styleId="Heading1">
    <w:name w:val="heading 1"/>
    <w:basedOn w:val="Normal"/>
    <w:next w:val="Normal"/>
    <w:link w:val="Heading1Char"/>
    <w:autoRedefine/>
    <w:uiPriority w:val="99"/>
    <w:qFormat/>
    <w:rsid w:val="00BE0DF1"/>
    <w:pPr>
      <w:keepNext/>
      <w:outlineLvl w:val="0"/>
    </w:pPr>
    <w:rPr>
      <w:caps/>
    </w:rPr>
  </w:style>
  <w:style w:type="paragraph" w:styleId="Heading2">
    <w:name w:val="heading 2"/>
    <w:basedOn w:val="Normal"/>
    <w:next w:val="Normal"/>
    <w:link w:val="Heading2Char"/>
    <w:autoRedefine/>
    <w:uiPriority w:val="99"/>
    <w:qFormat/>
    <w:rsid w:val="007429B5"/>
    <w:pPr>
      <w:keepNext/>
      <w:outlineLvl w:val="1"/>
    </w:pPr>
    <w:rPr>
      <w:u w:val="single"/>
    </w:rPr>
  </w:style>
  <w:style w:type="paragraph" w:styleId="Heading3">
    <w:name w:val="heading 3"/>
    <w:basedOn w:val="Normal"/>
    <w:next w:val="Normal"/>
    <w:link w:val="Heading3Char"/>
    <w:autoRedefine/>
    <w:uiPriority w:val="99"/>
    <w:qFormat/>
    <w:rsid w:val="00D61468"/>
    <w:pPr>
      <w:keepNext/>
      <w:outlineLvl w:val="2"/>
    </w:pPr>
    <w:rPr>
      <w:i/>
      <w:iCs/>
    </w:rPr>
  </w:style>
  <w:style w:type="paragraph" w:styleId="Heading4">
    <w:name w:val="heading 4"/>
    <w:basedOn w:val="Normal"/>
    <w:next w:val="Normal"/>
    <w:link w:val="Heading4Char"/>
    <w:autoRedefine/>
    <w:uiPriority w:val="99"/>
    <w:qFormat/>
    <w:rsid w:val="00BE0DF1"/>
    <w:pPr>
      <w:keepNext/>
      <w:ind w:left="567"/>
      <w:outlineLvl w:val="3"/>
    </w:pPr>
    <w:rPr>
      <w:i/>
      <w:iCs/>
      <w:lang w:val="fr-FR"/>
    </w:rPr>
  </w:style>
  <w:style w:type="paragraph" w:styleId="Heading5">
    <w:name w:val="heading 5"/>
    <w:basedOn w:val="Normal"/>
    <w:next w:val="Normal"/>
    <w:link w:val="Heading5Char"/>
    <w:autoRedefine/>
    <w:uiPriority w:val="99"/>
    <w:qFormat/>
    <w:rsid w:val="00BE0DF1"/>
    <w:pPr>
      <w:keepNext/>
      <w:ind w:left="1134" w:hanging="567"/>
      <w:outlineLvl w:val="4"/>
    </w:pPr>
    <w:rPr>
      <w:sz w:val="18"/>
      <w:szCs w:val="18"/>
    </w:rPr>
  </w:style>
  <w:style w:type="paragraph" w:styleId="Heading9">
    <w:name w:val="heading 9"/>
    <w:basedOn w:val="Normal"/>
    <w:next w:val="Normal"/>
    <w:link w:val="Heading9Char"/>
    <w:uiPriority w:val="99"/>
    <w:qFormat/>
    <w:rsid w:val="00BE0DF1"/>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18265F"/>
    <w:rPr>
      <w:rFonts w:ascii="Arial" w:hAnsi="Arial" w:cs="Arial"/>
      <w:caps/>
      <w:lang w:val="en-US" w:eastAsia="en-US"/>
    </w:rPr>
  </w:style>
  <w:style w:type="character" w:customStyle="1" w:styleId="Heading2Char">
    <w:name w:val="Heading 2 Char"/>
    <w:basedOn w:val="DefaultParagraphFont"/>
    <w:link w:val="Heading2"/>
    <w:uiPriority w:val="99"/>
    <w:rsid w:val="007429B5"/>
    <w:rPr>
      <w:rFonts w:ascii="Arial" w:hAnsi="Arial" w:cs="Arial"/>
      <w:u w:val="single"/>
    </w:rPr>
  </w:style>
  <w:style w:type="character" w:customStyle="1" w:styleId="Heading3Char">
    <w:name w:val="Heading 3 Char"/>
    <w:basedOn w:val="DefaultParagraphFont"/>
    <w:link w:val="Heading3"/>
    <w:uiPriority w:val="99"/>
    <w:semiHidden/>
    <w:rsid w:val="00DE48A6"/>
    <w:rPr>
      <w:rFonts w:ascii="Cambria" w:hAnsi="Cambria" w:cs="Cambria"/>
      <w:b/>
      <w:bCs/>
      <w:sz w:val="26"/>
      <w:szCs w:val="26"/>
    </w:rPr>
  </w:style>
  <w:style w:type="character" w:customStyle="1" w:styleId="Heading4Char">
    <w:name w:val="Heading 4 Char"/>
    <w:basedOn w:val="DefaultParagraphFont"/>
    <w:link w:val="Heading4"/>
    <w:uiPriority w:val="99"/>
    <w:semiHidden/>
    <w:rsid w:val="00DE48A6"/>
    <w:rPr>
      <w:rFonts w:ascii="Calibri" w:hAnsi="Calibri" w:cs="Calibri"/>
      <w:b/>
      <w:bCs/>
      <w:sz w:val="28"/>
      <w:szCs w:val="28"/>
    </w:rPr>
  </w:style>
  <w:style w:type="character" w:customStyle="1" w:styleId="Heading5Char">
    <w:name w:val="Heading 5 Char"/>
    <w:basedOn w:val="DefaultParagraphFont"/>
    <w:link w:val="Heading5"/>
    <w:uiPriority w:val="99"/>
    <w:semiHidden/>
    <w:rsid w:val="00DE48A6"/>
    <w:rPr>
      <w:rFonts w:ascii="Calibri" w:hAnsi="Calibri" w:cs="Calibri"/>
      <w:b/>
      <w:bCs/>
      <w:i/>
      <w:iCs/>
      <w:sz w:val="26"/>
      <w:szCs w:val="26"/>
    </w:rPr>
  </w:style>
  <w:style w:type="character" w:customStyle="1" w:styleId="Heading9Char">
    <w:name w:val="Heading 9 Char"/>
    <w:basedOn w:val="DefaultParagraphFont"/>
    <w:link w:val="Heading9"/>
    <w:uiPriority w:val="99"/>
    <w:semiHidden/>
    <w:rsid w:val="00DE48A6"/>
    <w:rPr>
      <w:rFonts w:ascii="Cambria" w:hAnsi="Cambria" w:cs="Cambria"/>
    </w:rPr>
  </w:style>
  <w:style w:type="paragraph" w:styleId="Header">
    <w:name w:val="header"/>
    <w:basedOn w:val="Normal"/>
    <w:link w:val="HeaderChar"/>
    <w:autoRedefine/>
    <w:rsid w:val="001B283D"/>
    <w:pPr>
      <w:tabs>
        <w:tab w:val="center" w:pos="4536"/>
        <w:tab w:val="left" w:pos="5103"/>
      </w:tabs>
      <w:jc w:val="center"/>
    </w:pPr>
    <w:rPr>
      <w:lang w:val="fr-FR"/>
    </w:rPr>
  </w:style>
  <w:style w:type="character" w:customStyle="1" w:styleId="HeaderChar">
    <w:name w:val="Header Char"/>
    <w:basedOn w:val="DefaultParagraphFont"/>
    <w:link w:val="Header"/>
    <w:rsid w:val="001B283D"/>
    <w:rPr>
      <w:rFonts w:ascii="Arial" w:hAnsi="Arial" w:cs="Arial"/>
      <w:sz w:val="20"/>
      <w:szCs w:val="20"/>
      <w:lang w:val="fr-FR"/>
    </w:rPr>
  </w:style>
  <w:style w:type="paragraph" w:styleId="Footer">
    <w:name w:val="footer"/>
    <w:aliases w:val="doc_path_name"/>
    <w:basedOn w:val="Normal"/>
    <w:link w:val="FooterChar"/>
    <w:autoRedefine/>
    <w:uiPriority w:val="99"/>
    <w:rsid w:val="00BE0DF1"/>
    <w:rPr>
      <w:sz w:val="14"/>
      <w:szCs w:val="14"/>
    </w:rPr>
  </w:style>
  <w:style w:type="character" w:customStyle="1" w:styleId="FooterChar">
    <w:name w:val="Footer Char"/>
    <w:aliases w:val="doc_path_name Char"/>
    <w:basedOn w:val="DefaultParagraphFont"/>
    <w:link w:val="Footer"/>
    <w:uiPriority w:val="99"/>
    <w:semiHidden/>
    <w:rsid w:val="00DE48A6"/>
    <w:rPr>
      <w:rFonts w:ascii="Arial" w:hAnsi="Arial" w:cs="Arial"/>
      <w:sz w:val="20"/>
      <w:szCs w:val="20"/>
    </w:rPr>
  </w:style>
  <w:style w:type="character" w:styleId="PageNumber">
    <w:name w:val="page number"/>
    <w:basedOn w:val="DefaultParagraphFont"/>
    <w:rsid w:val="00BE0DF1"/>
    <w:rPr>
      <w:rFonts w:ascii="Arial" w:hAnsi="Arial" w:cs="Arial"/>
      <w:sz w:val="20"/>
      <w:szCs w:val="20"/>
    </w:rPr>
  </w:style>
  <w:style w:type="paragraph" w:styleId="Title">
    <w:name w:val="Title"/>
    <w:basedOn w:val="Normal"/>
    <w:link w:val="TitleChar"/>
    <w:uiPriority w:val="99"/>
    <w:qFormat/>
    <w:rsid w:val="00BE0DF1"/>
    <w:pPr>
      <w:spacing w:after="300"/>
      <w:jc w:val="center"/>
    </w:pPr>
    <w:rPr>
      <w:b/>
      <w:bCs/>
      <w:caps/>
      <w:kern w:val="28"/>
      <w:sz w:val="30"/>
      <w:szCs w:val="30"/>
    </w:rPr>
  </w:style>
  <w:style w:type="character" w:customStyle="1" w:styleId="TitleChar">
    <w:name w:val="Title Char"/>
    <w:basedOn w:val="DefaultParagraphFont"/>
    <w:link w:val="Title"/>
    <w:uiPriority w:val="99"/>
    <w:rsid w:val="00DE48A6"/>
    <w:rPr>
      <w:rFonts w:ascii="Cambria" w:hAnsi="Cambria" w:cs="Cambria"/>
      <w:b/>
      <w:bCs/>
      <w:kern w:val="28"/>
      <w:sz w:val="32"/>
      <w:szCs w:val="32"/>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rsid w:val="00BE0DF1"/>
    <w:pPr>
      <w:spacing w:line="280" w:lineRule="exact"/>
      <w:ind w:left="1361"/>
    </w:pPr>
    <w:rPr>
      <w:b/>
      <w:bCs/>
      <w:spacing w:val="10"/>
    </w:rPr>
  </w:style>
  <w:style w:type="paragraph" w:customStyle="1" w:styleId="DecisionParagraphs">
    <w:name w:val="DecisionParagraphs"/>
    <w:basedOn w:val="Normal"/>
    <w:link w:val="DecisionParagraphsChar"/>
    <w:uiPriority w:val="99"/>
    <w:rsid w:val="00BE0DF1"/>
    <w:pPr>
      <w:tabs>
        <w:tab w:val="left" w:pos="5387"/>
      </w:tabs>
      <w:ind w:left="4820"/>
    </w:pPr>
    <w:rPr>
      <w:i/>
      <w:iCs/>
      <w:lang w:eastAsia="ja-JP"/>
    </w:rPr>
  </w:style>
  <w:style w:type="paragraph" w:styleId="FootnoteText">
    <w:name w:val="footnote text"/>
    <w:basedOn w:val="Normal"/>
    <w:link w:val="FootnoteTextChar"/>
    <w:autoRedefine/>
    <w:uiPriority w:val="99"/>
    <w:semiHidden/>
    <w:rsid w:val="00BE0DF1"/>
    <w:pPr>
      <w:spacing w:before="60"/>
      <w:ind w:left="567" w:hanging="567"/>
    </w:pPr>
    <w:rPr>
      <w:sz w:val="16"/>
      <w:szCs w:val="16"/>
    </w:rPr>
  </w:style>
  <w:style w:type="character" w:customStyle="1" w:styleId="FootnoteTextChar">
    <w:name w:val="Footnote Text Char"/>
    <w:basedOn w:val="DefaultParagraphFont"/>
    <w:link w:val="FootnoteText"/>
    <w:uiPriority w:val="99"/>
    <w:rsid w:val="00A60E16"/>
    <w:rPr>
      <w:rFonts w:ascii="Arial" w:hAnsi="Arial" w:cs="Arial"/>
      <w:sz w:val="16"/>
      <w:szCs w:val="16"/>
    </w:rPr>
  </w:style>
  <w:style w:type="character" w:styleId="FootnoteReference">
    <w:name w:val="footnote reference"/>
    <w:basedOn w:val="DefaultParagraphFont"/>
    <w:uiPriority w:val="99"/>
    <w:semiHidden/>
    <w:rsid w:val="00BE0DF1"/>
    <w:rPr>
      <w:rFonts w:cs="Times New Roman"/>
      <w:vertAlign w:val="superscript"/>
    </w:rPr>
  </w:style>
  <w:style w:type="paragraph" w:styleId="Closing">
    <w:name w:val="Closing"/>
    <w:basedOn w:val="Normal"/>
    <w:link w:val="ClosingChar"/>
    <w:uiPriority w:val="99"/>
    <w:rsid w:val="00BE0DF1"/>
    <w:pPr>
      <w:ind w:left="4536"/>
      <w:jc w:val="center"/>
    </w:pPr>
  </w:style>
  <w:style w:type="character" w:customStyle="1" w:styleId="ClosingChar">
    <w:name w:val="Closing Char"/>
    <w:basedOn w:val="DefaultParagraphFont"/>
    <w:link w:val="Closing"/>
    <w:uiPriority w:val="99"/>
    <w:semiHidden/>
    <w:rsid w:val="00DE48A6"/>
    <w:rPr>
      <w:rFonts w:ascii="Arial" w:hAnsi="Arial" w:cs="Arial"/>
      <w:sz w:val="20"/>
      <w:szCs w:val="20"/>
    </w:rPr>
  </w:style>
  <w:style w:type="paragraph" w:styleId="Index1">
    <w:name w:val="index 1"/>
    <w:basedOn w:val="Normal"/>
    <w:next w:val="Normal"/>
    <w:autoRedefine/>
    <w:uiPriority w:val="99"/>
    <w:semiHidden/>
    <w:rsid w:val="00BE0DF1"/>
    <w:pPr>
      <w:tabs>
        <w:tab w:val="right" w:leader="dot" w:pos="9071"/>
      </w:tabs>
      <w:ind w:left="284" w:hanging="284"/>
    </w:pPr>
    <w:rPr>
      <w:sz w:val="24"/>
      <w:szCs w:val="24"/>
    </w:rPr>
  </w:style>
  <w:style w:type="paragraph" w:styleId="Index2">
    <w:name w:val="index 2"/>
    <w:basedOn w:val="Normal"/>
    <w:next w:val="Normal"/>
    <w:autoRedefine/>
    <w:uiPriority w:val="99"/>
    <w:semiHidden/>
    <w:rsid w:val="00BE0DF1"/>
    <w:pPr>
      <w:tabs>
        <w:tab w:val="right" w:leader="dot" w:pos="9071"/>
      </w:tabs>
      <w:ind w:left="568" w:hanging="284"/>
    </w:pPr>
    <w:rPr>
      <w:sz w:val="24"/>
      <w:szCs w:val="24"/>
    </w:rPr>
  </w:style>
  <w:style w:type="paragraph" w:styleId="Index3">
    <w:name w:val="index 3"/>
    <w:basedOn w:val="Normal"/>
    <w:next w:val="Normal"/>
    <w:autoRedefine/>
    <w:uiPriority w:val="99"/>
    <w:semiHidden/>
    <w:rsid w:val="00BE0DF1"/>
    <w:pPr>
      <w:tabs>
        <w:tab w:val="right" w:leader="dot" w:pos="9071"/>
      </w:tabs>
      <w:ind w:left="851" w:hanging="284"/>
    </w:pPr>
    <w:rPr>
      <w:sz w:val="24"/>
      <w:szCs w:val="24"/>
    </w:rPr>
  </w:style>
  <w:style w:type="paragraph" w:styleId="MacroText">
    <w:name w:val="macro"/>
    <w:link w:val="MacroTextChar"/>
    <w:uiPriority w:val="99"/>
    <w:semiHidden/>
    <w:rsid w:val="00BE0DF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basedOn w:val="DefaultParagraphFont"/>
    <w:link w:val="MacroText"/>
    <w:uiPriority w:val="99"/>
    <w:semiHidden/>
    <w:rsid w:val="00DE48A6"/>
    <w:rPr>
      <w:rFonts w:ascii="Courier New" w:hAnsi="Courier New" w:cs="Courier New"/>
      <w:sz w:val="16"/>
      <w:szCs w:val="16"/>
      <w:lang w:val="en-US" w:eastAsia="en-US"/>
    </w:rPr>
  </w:style>
  <w:style w:type="paragraph" w:styleId="Signature">
    <w:name w:val="Signature"/>
    <w:basedOn w:val="Normal"/>
    <w:link w:val="SignatureChar"/>
    <w:uiPriority w:val="99"/>
    <w:rsid w:val="00BE0DF1"/>
    <w:pPr>
      <w:ind w:left="4536"/>
      <w:jc w:val="center"/>
    </w:pPr>
  </w:style>
  <w:style w:type="character" w:customStyle="1" w:styleId="SignatureChar">
    <w:name w:val="Signature Char"/>
    <w:basedOn w:val="DefaultParagraphFont"/>
    <w:link w:val="Signature"/>
    <w:uiPriority w:val="99"/>
    <w:semiHidden/>
    <w:rsid w:val="00DE48A6"/>
    <w:rPr>
      <w:rFonts w:ascii="Arial" w:hAnsi="Arial" w:cs="Arial"/>
      <w:sz w:val="20"/>
      <w:szCs w:val="20"/>
    </w:rPr>
  </w:style>
  <w:style w:type="character" w:customStyle="1" w:styleId="Doclang">
    <w:name w:val="Doc_lang"/>
    <w:basedOn w:val="DefaultParagraphFont"/>
    <w:uiPriority w:val="99"/>
    <w:rsid w:val="00BE0DF1"/>
    <w:rPr>
      <w:rFonts w:ascii="Arial" w:hAnsi="Arial" w:cs="Arial"/>
      <w:sz w:val="20"/>
      <w:szCs w:val="20"/>
      <w:lang w:val="en-US"/>
    </w:rPr>
  </w:style>
  <w:style w:type="paragraph" w:customStyle="1" w:styleId="Session">
    <w:name w:val="Session"/>
    <w:basedOn w:val="Normal"/>
    <w:uiPriority w:val="99"/>
    <w:semiHidden/>
    <w:rsid w:val="00BE0DF1"/>
    <w:pPr>
      <w:spacing w:before="60"/>
      <w:jc w:val="center"/>
    </w:pPr>
    <w:rPr>
      <w:b/>
      <w:bCs/>
    </w:rPr>
  </w:style>
  <w:style w:type="paragraph" w:customStyle="1" w:styleId="Organizer">
    <w:name w:val="Organizer"/>
    <w:basedOn w:val="Normal"/>
    <w:uiPriority w:val="99"/>
    <w:semiHidden/>
    <w:rsid w:val="00BE0DF1"/>
    <w:pPr>
      <w:spacing w:after="600"/>
      <w:ind w:left="-993" w:right="-994"/>
      <w:jc w:val="center"/>
    </w:pPr>
    <w:rPr>
      <w:b/>
      <w:bCs/>
      <w:caps/>
      <w:kern w:val="26"/>
      <w:sz w:val="26"/>
      <w:szCs w:val="26"/>
    </w:rPr>
  </w:style>
  <w:style w:type="paragraph" w:styleId="BodyText">
    <w:name w:val="Body Text"/>
    <w:basedOn w:val="Normal"/>
    <w:link w:val="BodyTextChar"/>
    <w:uiPriority w:val="99"/>
    <w:rsid w:val="00BE0DF1"/>
  </w:style>
  <w:style w:type="character" w:customStyle="1" w:styleId="BodyTextChar">
    <w:name w:val="Body Text Char"/>
    <w:basedOn w:val="DefaultParagraphFont"/>
    <w:link w:val="BodyText"/>
    <w:uiPriority w:val="99"/>
    <w:semiHidden/>
    <w:rsid w:val="00DE48A6"/>
    <w:rPr>
      <w:rFonts w:ascii="Arial" w:hAnsi="Arial" w:cs="Arial"/>
      <w:sz w:val="20"/>
      <w:szCs w:val="20"/>
    </w:rPr>
  </w:style>
  <w:style w:type="paragraph" w:customStyle="1" w:styleId="StyleDocoriginalNotBold">
    <w:name w:val="Style Doc_original + Not Bold"/>
    <w:basedOn w:val="Docoriginal"/>
    <w:link w:val="StyleDocoriginalNotBoldChar"/>
    <w:autoRedefine/>
    <w:uiPriority w:val="99"/>
    <w:rsid w:val="00BE0DF1"/>
    <w:pPr>
      <w:ind w:left="1589"/>
      <w:jc w:val="left"/>
    </w:pPr>
  </w:style>
  <w:style w:type="paragraph" w:customStyle="1" w:styleId="upove">
    <w:name w:val="upov_e"/>
    <w:basedOn w:val="Normal"/>
    <w:rsid w:val="00BE0DF1"/>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BE0DF1"/>
  </w:style>
  <w:style w:type="paragraph" w:styleId="EndnoteText">
    <w:name w:val="endnote text"/>
    <w:basedOn w:val="Normal"/>
    <w:link w:val="EndnoteTextChar"/>
    <w:uiPriority w:val="99"/>
    <w:semiHidden/>
    <w:rsid w:val="00BE0DF1"/>
  </w:style>
  <w:style w:type="character" w:customStyle="1" w:styleId="EndnoteTextChar">
    <w:name w:val="Endnote Text Char"/>
    <w:basedOn w:val="DefaultParagraphFont"/>
    <w:link w:val="EndnoteText"/>
    <w:uiPriority w:val="99"/>
    <w:rsid w:val="00D81A88"/>
    <w:rPr>
      <w:rFonts w:ascii="Arial" w:hAnsi="Arial" w:cs="Arial"/>
    </w:rPr>
  </w:style>
  <w:style w:type="character" w:styleId="EndnoteReference">
    <w:name w:val="endnote reference"/>
    <w:basedOn w:val="DefaultParagraphFont"/>
    <w:uiPriority w:val="99"/>
    <w:semiHidden/>
    <w:rsid w:val="00BE0DF1"/>
    <w:rPr>
      <w:rFonts w:cs="Times New Roman"/>
      <w:vertAlign w:val="superscript"/>
    </w:rPr>
  </w:style>
  <w:style w:type="paragraph" w:customStyle="1" w:styleId="SessionMeetingPlace">
    <w:name w:val="Session_MeetingPlace"/>
    <w:basedOn w:val="Normal"/>
    <w:uiPriority w:val="99"/>
    <w:semiHidden/>
    <w:rsid w:val="00BE0DF1"/>
    <w:pPr>
      <w:spacing w:before="480"/>
      <w:jc w:val="center"/>
    </w:pPr>
    <w:rPr>
      <w:b/>
      <w:bCs/>
      <w:kern w:val="28"/>
      <w:sz w:val="24"/>
      <w:szCs w:val="24"/>
    </w:rPr>
  </w:style>
  <w:style w:type="paragraph" w:customStyle="1" w:styleId="Original">
    <w:name w:val="Original"/>
    <w:basedOn w:val="Normal"/>
    <w:uiPriority w:val="99"/>
    <w:semiHidden/>
    <w:rsid w:val="00BE0DF1"/>
    <w:pPr>
      <w:spacing w:before="60"/>
      <w:ind w:left="1276"/>
    </w:pPr>
    <w:rPr>
      <w:b/>
      <w:bCs/>
      <w:sz w:val="22"/>
      <w:szCs w:val="22"/>
    </w:rPr>
  </w:style>
  <w:style w:type="paragraph" w:styleId="Date">
    <w:name w:val="Date"/>
    <w:basedOn w:val="Normal"/>
    <w:link w:val="DateChar"/>
    <w:uiPriority w:val="99"/>
    <w:semiHidden/>
    <w:rsid w:val="00BE0DF1"/>
    <w:pPr>
      <w:spacing w:line="340" w:lineRule="exact"/>
      <w:ind w:left="1276"/>
    </w:pPr>
    <w:rPr>
      <w:b/>
      <w:bCs/>
      <w:sz w:val="22"/>
      <w:szCs w:val="22"/>
    </w:rPr>
  </w:style>
  <w:style w:type="character" w:customStyle="1" w:styleId="DateChar">
    <w:name w:val="Date Char"/>
    <w:basedOn w:val="DefaultParagraphFont"/>
    <w:link w:val="Date"/>
    <w:uiPriority w:val="99"/>
    <w:semiHidden/>
    <w:rsid w:val="00DE48A6"/>
    <w:rPr>
      <w:rFonts w:ascii="Arial" w:hAnsi="Arial" w:cs="Arial"/>
      <w:sz w:val="20"/>
      <w:szCs w:val="20"/>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semiHidden/>
    <w:rsid w:val="00BE0DF1"/>
    <w:pPr>
      <w:spacing w:before="60" w:after="480"/>
      <w:jc w:val="center"/>
    </w:pPr>
  </w:style>
  <w:style w:type="paragraph" w:customStyle="1" w:styleId="Lettrine">
    <w:name w:val="Lettrine"/>
    <w:basedOn w:val="Normal"/>
    <w:rsid w:val="00BE0DF1"/>
    <w:pPr>
      <w:spacing w:after="120" w:line="340" w:lineRule="atLeast"/>
      <w:jc w:val="right"/>
    </w:pPr>
    <w:rPr>
      <w:b/>
      <w:bCs/>
      <w:sz w:val="56"/>
      <w:szCs w:val="56"/>
    </w:rPr>
  </w:style>
  <w:style w:type="paragraph" w:customStyle="1" w:styleId="LogoUPOV">
    <w:name w:val="LogoUPOV"/>
    <w:basedOn w:val="Normal"/>
    <w:rsid w:val="00BE0DF1"/>
    <w:pPr>
      <w:spacing w:before="720"/>
      <w:jc w:val="center"/>
    </w:pPr>
  </w:style>
  <w:style w:type="paragraph" w:customStyle="1" w:styleId="Sessiontc">
    <w:name w:val="Session_tc"/>
    <w:basedOn w:val="StyleSessionAllcaps"/>
    <w:uiPriority w:val="99"/>
    <w:rsid w:val="00BE0DF1"/>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BE0DF1"/>
    <w:pPr>
      <w:spacing w:before="480"/>
    </w:pPr>
    <w:rPr>
      <w:caps/>
      <w:kern w:val="28"/>
      <w:sz w:val="24"/>
      <w:szCs w:val="24"/>
    </w:rPr>
  </w:style>
  <w:style w:type="paragraph" w:customStyle="1" w:styleId="plcountry">
    <w:name w:val="plcountry"/>
    <w:basedOn w:val="Normal"/>
    <w:uiPriority w:val="99"/>
    <w:rsid w:val="00BE0DF1"/>
    <w:pPr>
      <w:keepNext/>
      <w:keepLines/>
      <w:spacing w:before="180" w:after="120"/>
      <w:jc w:val="left"/>
    </w:pPr>
    <w:rPr>
      <w:caps/>
      <w:noProof/>
      <w:u w:val="single"/>
    </w:rPr>
  </w:style>
  <w:style w:type="paragraph" w:customStyle="1" w:styleId="pldetails">
    <w:name w:val="pldetails"/>
    <w:basedOn w:val="Normal"/>
    <w:uiPriority w:val="99"/>
    <w:rsid w:val="00BE0DF1"/>
    <w:pPr>
      <w:keepLines/>
      <w:spacing w:before="60" w:after="60"/>
      <w:jc w:val="left"/>
    </w:pPr>
    <w:rPr>
      <w:noProof/>
    </w:rPr>
  </w:style>
  <w:style w:type="paragraph" w:customStyle="1" w:styleId="plheading">
    <w:name w:val="plheading"/>
    <w:basedOn w:val="Normal"/>
    <w:uiPriority w:val="99"/>
    <w:rsid w:val="00BE0DF1"/>
    <w:pPr>
      <w:keepNext/>
      <w:spacing w:before="480" w:after="120"/>
      <w:jc w:val="center"/>
    </w:pPr>
    <w:rPr>
      <w:caps/>
      <w:u w:val="single"/>
    </w:rPr>
  </w:style>
  <w:style w:type="paragraph" w:customStyle="1" w:styleId="Sessiontcplacedate">
    <w:name w:val="Session_tc_place_date"/>
    <w:basedOn w:val="SessionMeetingPlace"/>
    <w:uiPriority w:val="99"/>
    <w:rsid w:val="00BE0DF1"/>
    <w:pPr>
      <w:spacing w:before="240"/>
    </w:pPr>
  </w:style>
  <w:style w:type="paragraph" w:customStyle="1" w:styleId="Titleofdoc0">
    <w:name w:val="Title_of_doc"/>
    <w:basedOn w:val="Normal"/>
    <w:uiPriority w:val="99"/>
    <w:rsid w:val="00BE0DF1"/>
    <w:pPr>
      <w:spacing w:before="600"/>
      <w:jc w:val="center"/>
    </w:pPr>
    <w:rPr>
      <w:caps/>
    </w:rPr>
  </w:style>
  <w:style w:type="paragraph" w:customStyle="1" w:styleId="preparedby1">
    <w:name w:val="prepared_by"/>
    <w:basedOn w:val="Normal"/>
    <w:uiPriority w:val="99"/>
    <w:semiHidden/>
    <w:rsid w:val="00BE0DF1"/>
    <w:pPr>
      <w:spacing w:before="240" w:after="600"/>
      <w:jc w:val="center"/>
    </w:pPr>
    <w:rPr>
      <w:i/>
      <w:iCs/>
    </w:rPr>
  </w:style>
  <w:style w:type="character" w:customStyle="1" w:styleId="CodeChar">
    <w:name w:val="Code Char"/>
    <w:basedOn w:val="DefaultParagraphFont"/>
    <w:link w:val="Code"/>
    <w:uiPriority w:val="99"/>
    <w:rsid w:val="00D3708D"/>
    <w:rPr>
      <w:rFonts w:ascii="Arial" w:hAnsi="Arial" w:cs="Arial"/>
      <w:b/>
      <w:bCs/>
      <w:spacing w:val="10"/>
      <w:lang w:val="fr-FR" w:eastAsia="en-US"/>
    </w:rPr>
  </w:style>
  <w:style w:type="paragraph" w:customStyle="1" w:styleId="endofdoc">
    <w:name w:val="end_of_doc"/>
    <w:autoRedefine/>
    <w:uiPriority w:val="99"/>
    <w:rsid w:val="00BE0DF1"/>
    <w:pPr>
      <w:spacing w:before="480"/>
      <w:ind w:left="567" w:hanging="567"/>
      <w:jc w:val="right"/>
    </w:pPr>
    <w:rPr>
      <w:rFonts w:ascii="Arial" w:hAnsi="Arial" w:cs="Arial"/>
      <w:sz w:val="20"/>
      <w:szCs w:val="20"/>
    </w:rPr>
  </w:style>
  <w:style w:type="character" w:customStyle="1" w:styleId="DocoriginalChar">
    <w:name w:val="Doc_original Char"/>
    <w:basedOn w:val="DefaultParagraphFont"/>
    <w:link w:val="Docoriginal"/>
    <w:rsid w:val="00BE0DF1"/>
    <w:rPr>
      <w:rFonts w:ascii="Arial" w:hAnsi="Arial" w:cs="Arial"/>
      <w:b/>
      <w:bCs/>
      <w:spacing w:val="10"/>
      <w:lang w:val="en-US" w:eastAsia="en-US"/>
    </w:rPr>
  </w:style>
  <w:style w:type="character" w:customStyle="1" w:styleId="StyleDocoriginalNotBoldChar">
    <w:name w:val="Style Doc_original + Not Bold Char"/>
    <w:basedOn w:val="DocoriginalChar"/>
    <w:link w:val="StyleDocoriginalNotBold"/>
    <w:uiPriority w:val="99"/>
    <w:rsid w:val="00BE0DF1"/>
    <w:rPr>
      <w:rFonts w:ascii="Arial" w:hAnsi="Arial" w:cs="Arial"/>
      <w:b/>
      <w:bCs/>
      <w:spacing w:val="10"/>
      <w:lang w:val="en-US" w:eastAsia="en-US"/>
    </w:rPr>
  </w:style>
  <w:style w:type="paragraph" w:customStyle="1" w:styleId="StyleDocnumber">
    <w:name w:val="Style Doc_number"/>
    <w:basedOn w:val="Docoriginal"/>
    <w:uiPriority w:val="99"/>
    <w:rsid w:val="00BE0DF1"/>
    <w:pPr>
      <w:ind w:left="1589"/>
    </w:pPr>
  </w:style>
  <w:style w:type="paragraph" w:customStyle="1" w:styleId="StyleDocoriginal">
    <w:name w:val="Style Doc_original"/>
    <w:basedOn w:val="Docoriginal"/>
    <w:link w:val="StyleDocoriginalChar"/>
    <w:uiPriority w:val="99"/>
    <w:rsid w:val="00BE0DF1"/>
  </w:style>
  <w:style w:type="character" w:customStyle="1" w:styleId="StyleDocoriginalChar">
    <w:name w:val="Style Doc_original Char"/>
    <w:basedOn w:val="DocoriginalChar"/>
    <w:link w:val="StyleDocoriginal"/>
    <w:uiPriority w:val="99"/>
    <w:rsid w:val="00BE0DF1"/>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cs="Arial"/>
      <w:b/>
      <w:bCs/>
      <w:spacing w:val="10"/>
      <w:lang w:val="en-US" w:eastAsia="en-US"/>
    </w:rPr>
  </w:style>
  <w:style w:type="character" w:customStyle="1" w:styleId="StyleDocoriginalNotBold1">
    <w:name w:val="Style Doc_original + Not Bold1"/>
    <w:basedOn w:val="DefaultParagraphFont"/>
    <w:rsid w:val="00BE0DF1"/>
    <w:rPr>
      <w:rFonts w:ascii="Arial" w:hAnsi="Arial" w:cs="Arial"/>
      <w:b/>
      <w:bCs/>
      <w:spacing w:val="10"/>
      <w:lang w:val="en-US" w:eastAsia="en-US"/>
    </w:rPr>
  </w:style>
  <w:style w:type="character" w:customStyle="1" w:styleId="StyleDoclangBold">
    <w:name w:val="Style Doc_lang + Bold"/>
    <w:basedOn w:val="Doclang"/>
    <w:rsid w:val="00BE0DF1"/>
    <w:rPr>
      <w:rFonts w:ascii="Arial" w:hAnsi="Arial" w:cs="Arial"/>
      <w:b/>
      <w:bCs/>
      <w:sz w:val="20"/>
      <w:szCs w:val="20"/>
      <w:lang w:val="en-US"/>
    </w:rPr>
  </w:style>
  <w:style w:type="paragraph" w:styleId="TOC2">
    <w:name w:val="toc 2"/>
    <w:basedOn w:val="Normal"/>
    <w:next w:val="Normal"/>
    <w:autoRedefine/>
    <w:uiPriority w:val="99"/>
    <w:semiHidden/>
    <w:rsid w:val="00BE0DF1"/>
    <w:pPr>
      <w:tabs>
        <w:tab w:val="right" w:leader="dot" w:pos="9639"/>
      </w:tabs>
      <w:spacing w:before="120"/>
      <w:ind w:left="851" w:right="851" w:hanging="567"/>
      <w:jc w:val="left"/>
    </w:pPr>
    <w:rPr>
      <w:noProof/>
    </w:rPr>
  </w:style>
  <w:style w:type="paragraph" w:styleId="TOC3">
    <w:name w:val="toc 3"/>
    <w:basedOn w:val="Normal"/>
    <w:next w:val="Normal"/>
    <w:autoRedefine/>
    <w:uiPriority w:val="99"/>
    <w:semiHidden/>
    <w:rsid w:val="00BE0DF1"/>
    <w:pPr>
      <w:tabs>
        <w:tab w:val="right" w:leader="dot" w:pos="9639"/>
      </w:tabs>
      <w:spacing w:before="120"/>
      <w:ind w:left="851" w:right="851" w:hanging="567"/>
      <w:jc w:val="left"/>
    </w:pPr>
    <w:rPr>
      <w:i/>
      <w:iCs/>
      <w:noProof/>
      <w:lang w:val="fr-FR"/>
    </w:rPr>
  </w:style>
  <w:style w:type="character" w:styleId="Hyperlink">
    <w:name w:val="Hyperlink"/>
    <w:basedOn w:val="DefaultParagraphFont"/>
    <w:uiPriority w:val="99"/>
    <w:rsid w:val="00BE0DF1"/>
    <w:rPr>
      <w:rFonts w:ascii="Arial" w:hAnsi="Arial" w:cs="Arial"/>
      <w:color w:val="0000FF"/>
      <w:u w:val="single"/>
    </w:rPr>
  </w:style>
  <w:style w:type="paragraph" w:styleId="TOC4">
    <w:name w:val="toc 4"/>
    <w:basedOn w:val="Normal"/>
    <w:next w:val="Normal"/>
    <w:autoRedefine/>
    <w:uiPriority w:val="99"/>
    <w:semiHidden/>
    <w:rsid w:val="00BE0DF1"/>
    <w:pPr>
      <w:tabs>
        <w:tab w:val="right" w:leader="dot" w:pos="9639"/>
      </w:tabs>
      <w:spacing w:before="120"/>
      <w:ind w:left="851" w:right="851" w:hanging="284"/>
      <w:jc w:val="left"/>
    </w:pPr>
    <w:rPr>
      <w:i/>
      <w:iCs/>
      <w:noProof/>
      <w:lang w:val="fr-FR"/>
    </w:rPr>
  </w:style>
  <w:style w:type="paragraph" w:styleId="TOC1">
    <w:name w:val="toc 1"/>
    <w:basedOn w:val="Normal"/>
    <w:next w:val="Normal"/>
    <w:autoRedefine/>
    <w:uiPriority w:val="99"/>
    <w:semiHidden/>
    <w:rsid w:val="00BE0DF1"/>
    <w:pPr>
      <w:tabs>
        <w:tab w:val="right" w:leader="dot" w:pos="9639"/>
      </w:tabs>
      <w:ind w:left="284" w:right="284" w:hanging="284"/>
      <w:jc w:val="left"/>
    </w:pPr>
    <w:rPr>
      <w:caps/>
      <w:noProof/>
    </w:rPr>
  </w:style>
  <w:style w:type="paragraph" w:styleId="TOC5">
    <w:name w:val="toc 5"/>
    <w:basedOn w:val="Normal"/>
    <w:next w:val="Normal"/>
    <w:autoRedefine/>
    <w:uiPriority w:val="99"/>
    <w:semiHidden/>
    <w:rsid w:val="00BE0DF1"/>
    <w:pPr>
      <w:tabs>
        <w:tab w:val="right" w:leader="dot" w:pos="9639"/>
      </w:tabs>
      <w:spacing w:before="120"/>
      <w:ind w:left="851" w:right="851" w:hanging="283"/>
    </w:pPr>
    <w:rPr>
      <w:noProof/>
      <w:sz w:val="18"/>
      <w:szCs w:val="18"/>
      <w:lang w:val="fr-FR"/>
    </w:rPr>
  </w:style>
  <w:style w:type="paragraph" w:styleId="BalloonText">
    <w:name w:val="Balloon Text"/>
    <w:basedOn w:val="Normal"/>
    <w:link w:val="BalloonTextChar"/>
    <w:uiPriority w:val="99"/>
    <w:semiHidden/>
    <w:rsid w:val="00AF3EBC"/>
    <w:rPr>
      <w:rFonts w:ascii="Tahoma" w:hAnsi="Tahoma" w:cs="Tahoma"/>
      <w:sz w:val="16"/>
      <w:szCs w:val="16"/>
    </w:rPr>
  </w:style>
  <w:style w:type="character" w:customStyle="1" w:styleId="BalloonTextChar">
    <w:name w:val="Balloon Text Char"/>
    <w:basedOn w:val="DefaultParagraphFont"/>
    <w:link w:val="BalloonText"/>
    <w:uiPriority w:val="99"/>
    <w:rsid w:val="00AF3EBC"/>
    <w:rPr>
      <w:rFonts w:ascii="Tahoma" w:hAnsi="Tahoma" w:cs="Tahoma"/>
      <w:sz w:val="16"/>
      <w:szCs w:val="16"/>
    </w:rPr>
  </w:style>
  <w:style w:type="paragraph" w:styleId="ListParagraph">
    <w:name w:val="List Paragraph"/>
    <w:basedOn w:val="Normal"/>
    <w:uiPriority w:val="99"/>
    <w:qFormat/>
    <w:rsid w:val="004E579A"/>
    <w:pPr>
      <w:ind w:left="720"/>
    </w:pPr>
  </w:style>
  <w:style w:type="paragraph" w:customStyle="1" w:styleId="Style1">
    <w:name w:val="Style1"/>
    <w:basedOn w:val="Normal"/>
    <w:uiPriority w:val="99"/>
    <w:rsid w:val="00485444"/>
    <w:pPr>
      <w:tabs>
        <w:tab w:val="decimal" w:pos="907"/>
        <w:tab w:val="left" w:pos="1077"/>
      </w:tabs>
    </w:pPr>
    <w:rPr>
      <w:lang w:eastAsia="ja-JP"/>
    </w:rPr>
  </w:style>
  <w:style w:type="character" w:customStyle="1" w:styleId="DecisionParagraphsChar">
    <w:name w:val="DecisionParagraphs Char"/>
    <w:link w:val="DecisionParagraphs"/>
    <w:uiPriority w:val="99"/>
    <w:rsid w:val="00C86AE3"/>
    <w:rPr>
      <w:rFonts w:ascii="Arial" w:hAnsi="Arial" w:cs="Arial"/>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upov.int/pluto/en/"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F71ED-B19D-4D20-AF1E-33164E8A1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17</Pages>
  <Words>6576</Words>
  <Characters>41160</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CAJ-AG/14/9/</vt:lpstr>
    </vt:vector>
  </TitlesOfParts>
  <Company>UPOV</Company>
  <LinksUpToDate>false</LinksUpToDate>
  <CharactersWithSpaces>47641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CAJ-AG/14/9/</dc:title>
  <dc:creator>MAY Jessica</dc:creator>
  <cp:lastModifiedBy>BESSE Ariane</cp:lastModifiedBy>
  <cp:revision>18</cp:revision>
  <cp:lastPrinted>2014-11-21T08:29:00Z</cp:lastPrinted>
  <dcterms:created xsi:type="dcterms:W3CDTF">2014-10-27T10:24:00Z</dcterms:created>
  <dcterms:modified xsi:type="dcterms:W3CDTF">2014-11-21T08:31:00Z</dcterms:modified>
</cp:coreProperties>
</file>