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08A23680" w14:textId="77777777" w:rsidTr="00EB4E9C">
        <w:tc>
          <w:tcPr>
            <w:tcW w:w="6522" w:type="dxa"/>
          </w:tcPr>
          <w:p w14:paraId="15E3722F" w14:textId="6BC1C539" w:rsidR="00DC3802" w:rsidRPr="00AC2883" w:rsidRDefault="00AC6D7D" w:rsidP="00AC2883">
            <w:r>
              <w:rPr>
                <w:noProof/>
                <w:sz w:val="16"/>
              </w:rPr>
              <w:drawing>
                <wp:inline distT="0" distB="0" distL="0" distR="0" wp14:anchorId="03B809DB" wp14:editId="465ECAA2">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51A02B19" w14:textId="2CC22BE7" w:rsidR="00DC3802" w:rsidRPr="007C1D92" w:rsidRDefault="00FB7ED8" w:rsidP="00AC2883">
            <w:pPr>
              <w:pStyle w:val="Lettrine"/>
            </w:pPr>
            <w:r>
              <w:t>F</w:t>
            </w:r>
          </w:p>
        </w:tc>
      </w:tr>
      <w:tr w:rsidR="00DC3802" w:rsidRPr="00144C10" w14:paraId="25E2BF5C" w14:textId="77777777" w:rsidTr="00645CA8">
        <w:trPr>
          <w:trHeight w:val="219"/>
        </w:trPr>
        <w:tc>
          <w:tcPr>
            <w:tcW w:w="6522" w:type="dxa"/>
          </w:tcPr>
          <w:p w14:paraId="52118CDD" w14:textId="77777777" w:rsidR="00DC3802" w:rsidRPr="00FB7ED8" w:rsidRDefault="00DC3802" w:rsidP="00AC2883">
            <w:pPr>
              <w:pStyle w:val="upove"/>
              <w:rPr>
                <w:lang w:val="fr-FR"/>
              </w:rPr>
            </w:pPr>
            <w:r w:rsidRPr="00FB7ED8">
              <w:rPr>
                <w:lang w:val="fr-FR"/>
              </w:rPr>
              <w:t>Union internationale pour la protection des obtentions végétales</w:t>
            </w:r>
          </w:p>
        </w:tc>
        <w:tc>
          <w:tcPr>
            <w:tcW w:w="3117" w:type="dxa"/>
          </w:tcPr>
          <w:p w14:paraId="0655D540" w14:textId="77777777" w:rsidR="00DC3802" w:rsidRPr="00FB7ED8" w:rsidRDefault="00DC3802" w:rsidP="00DA4973">
            <w:pPr>
              <w:rPr>
                <w:lang w:val="fr-FR"/>
              </w:rPr>
            </w:pPr>
          </w:p>
        </w:tc>
      </w:tr>
    </w:tbl>
    <w:p w14:paraId="06D3EE5D" w14:textId="77777777" w:rsidR="00DC3802" w:rsidRPr="00FB7ED8" w:rsidRDefault="00DC3802" w:rsidP="00DC3802">
      <w:pPr>
        <w:rPr>
          <w:lang w:val="fr-FR"/>
        </w:rPr>
      </w:pPr>
    </w:p>
    <w:p w14:paraId="0B6C1345" w14:textId="77777777" w:rsidR="00DA4973" w:rsidRPr="00FB7ED8" w:rsidRDefault="00DA4973" w:rsidP="00DC3802">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144C10" w14:paraId="7B7D2CD0" w14:textId="77777777" w:rsidTr="00EB4E9C">
        <w:tc>
          <w:tcPr>
            <w:tcW w:w="6512" w:type="dxa"/>
          </w:tcPr>
          <w:p w14:paraId="4C2BFB5B" w14:textId="77777777" w:rsidR="00EB4E9C" w:rsidRPr="00FB7ED8" w:rsidRDefault="00EB4E9C" w:rsidP="00AC2883">
            <w:pPr>
              <w:pStyle w:val="Sessiontc"/>
              <w:spacing w:line="240" w:lineRule="auto"/>
              <w:rPr>
                <w:lang w:val="fr-FR"/>
              </w:rPr>
            </w:pPr>
            <w:r w:rsidRPr="00FB7ED8">
              <w:rPr>
                <w:lang w:val="fr-FR"/>
              </w:rPr>
              <w:t xml:space="preserve">Comité </w:t>
            </w:r>
            <w:r w:rsidR="00B622E6" w:rsidRPr="00FB7ED8">
              <w:rPr>
                <w:lang w:val="fr-FR"/>
              </w:rPr>
              <w:t>administratif et juridique</w:t>
            </w:r>
          </w:p>
          <w:p w14:paraId="4E56C23A" w14:textId="46650A57" w:rsidR="00CF00FD" w:rsidRPr="00FB7ED8" w:rsidRDefault="00993AC0" w:rsidP="00CF00FD">
            <w:pPr>
              <w:pStyle w:val="Sessiontcplacedate"/>
              <w:rPr>
                <w:lang w:val="fr-FR"/>
              </w:rPr>
            </w:pPr>
            <w:r w:rsidRPr="00FB7ED8">
              <w:rPr>
                <w:lang w:val="fr-FR"/>
              </w:rPr>
              <w:t xml:space="preserve">Quatre-vingt-deuxième </w:t>
            </w:r>
            <w:r w:rsidR="00EB4E9C" w:rsidRPr="00FB7ED8">
              <w:rPr>
                <w:lang w:val="fr-FR"/>
              </w:rPr>
              <w:t>session</w:t>
            </w:r>
          </w:p>
          <w:p w14:paraId="716601AF" w14:textId="77777777" w:rsidR="00EB4E9C" w:rsidRPr="00DC3802" w:rsidRDefault="00EB4E9C" w:rsidP="00E54738">
            <w:pPr>
              <w:pStyle w:val="Sessiontcplacedate"/>
              <w:rPr>
                <w:sz w:val="22"/>
              </w:rPr>
            </w:pPr>
            <w:r w:rsidRPr="00DA4973">
              <w:t xml:space="preserve">Genève, </w:t>
            </w:r>
            <w:r w:rsidR="00B622E6">
              <w:t>le</w:t>
            </w:r>
            <w:r w:rsidR="00F537F9">
              <w:t xml:space="preserve"> 22</w:t>
            </w:r>
            <w:r w:rsidR="00B622E6">
              <w:t xml:space="preserve"> octobre</w:t>
            </w:r>
            <w:r w:rsidR="00F537F9">
              <w:t xml:space="preserve"> 2025</w:t>
            </w:r>
          </w:p>
        </w:tc>
        <w:tc>
          <w:tcPr>
            <w:tcW w:w="3127" w:type="dxa"/>
          </w:tcPr>
          <w:p w14:paraId="715B95E0" w14:textId="13277B61" w:rsidR="00EB4E9C" w:rsidRPr="00FB7ED8" w:rsidRDefault="001F51F5" w:rsidP="003C7FBE">
            <w:pPr>
              <w:pStyle w:val="Doccode"/>
              <w:rPr>
                <w:lang w:val="fr-FR"/>
              </w:rPr>
            </w:pPr>
            <w:r w:rsidRPr="00FB7ED8">
              <w:rPr>
                <w:lang w:val="fr-FR"/>
              </w:rPr>
              <w:t>CAJ/82/4</w:t>
            </w:r>
          </w:p>
          <w:p w14:paraId="6191A397" w14:textId="77777777" w:rsidR="00EB4E9C" w:rsidRPr="00FB7ED8" w:rsidRDefault="00EB4E9C" w:rsidP="003C7FBE">
            <w:pPr>
              <w:pStyle w:val="Docoriginal"/>
              <w:rPr>
                <w:lang w:val="fr-FR"/>
              </w:rPr>
            </w:pPr>
            <w:r w:rsidRPr="00FB7ED8">
              <w:rPr>
                <w:lang w:val="fr-FR"/>
              </w:rPr>
              <w:t xml:space="preserve">Original : </w:t>
            </w:r>
            <w:r w:rsidRPr="00FB7ED8">
              <w:rPr>
                <w:b w:val="0"/>
                <w:spacing w:val="0"/>
                <w:lang w:val="fr-FR"/>
              </w:rPr>
              <w:t>anglais</w:t>
            </w:r>
          </w:p>
          <w:p w14:paraId="2B3DC361" w14:textId="640539AD" w:rsidR="00EB4E9C" w:rsidRPr="00FB7ED8" w:rsidRDefault="00EB4E9C" w:rsidP="00CF00FD">
            <w:pPr>
              <w:pStyle w:val="Docoriginal"/>
              <w:rPr>
                <w:lang w:val="fr-FR"/>
              </w:rPr>
            </w:pPr>
            <w:r w:rsidRPr="00FB7ED8">
              <w:rPr>
                <w:lang w:val="fr-FR"/>
              </w:rPr>
              <w:t>Date :</w:t>
            </w:r>
            <w:r w:rsidRPr="00FB7ED8">
              <w:rPr>
                <w:b w:val="0"/>
                <w:spacing w:val="0"/>
                <w:lang w:val="fr-FR"/>
              </w:rPr>
              <w:t xml:space="preserve">  </w:t>
            </w:r>
            <w:r w:rsidR="009F194D" w:rsidRPr="00FB7ED8">
              <w:rPr>
                <w:b w:val="0"/>
                <w:spacing w:val="0"/>
                <w:lang w:val="fr-FR"/>
              </w:rPr>
              <w:t xml:space="preserve"> 25 </w:t>
            </w:r>
            <w:r w:rsidR="000A6071" w:rsidRPr="00FB7ED8">
              <w:rPr>
                <w:b w:val="0"/>
                <w:spacing w:val="0"/>
                <w:lang w:val="fr-FR"/>
              </w:rPr>
              <w:t>septembre</w:t>
            </w:r>
            <w:r w:rsidR="00F537F9" w:rsidRPr="00FB7ED8">
              <w:rPr>
                <w:b w:val="0"/>
                <w:spacing w:val="0"/>
                <w:lang w:val="fr-FR"/>
              </w:rPr>
              <w:t xml:space="preserve"> 2025</w:t>
            </w:r>
          </w:p>
        </w:tc>
      </w:tr>
    </w:tbl>
    <w:p w14:paraId="3DF068DF" w14:textId="60CCECF7" w:rsidR="00900657" w:rsidRPr="00FB7ED8" w:rsidRDefault="00900657" w:rsidP="00900657">
      <w:pPr>
        <w:pStyle w:val="Titleofdoc0"/>
        <w:rPr>
          <w:lang w:val="fr-FR"/>
        </w:rPr>
      </w:pPr>
      <w:r w:rsidRPr="00FB7ED8">
        <w:rPr>
          <w:lang w:val="fr-FR"/>
        </w:rPr>
        <w:t xml:space="preserve">Rapport du Groupe de travail </w:t>
      </w:r>
      <w:r w:rsidR="00FB7ED8" w:rsidRPr="00FB7ED8">
        <w:rPr>
          <w:lang w:val="fr-FR"/>
        </w:rPr>
        <w:t>sur le produit de la récolte et l’utilisation non autorisée de matériel de reproduction ou de multiplication (WG-HRV)</w:t>
      </w:r>
    </w:p>
    <w:p w14:paraId="3944B401" w14:textId="77777777" w:rsidR="006A644A" w:rsidRPr="00FB7ED8" w:rsidRDefault="00AE0EF1" w:rsidP="006A644A">
      <w:pPr>
        <w:pStyle w:val="preparedby1"/>
        <w:jc w:val="left"/>
        <w:rPr>
          <w:lang w:val="fr-FR"/>
        </w:rPr>
      </w:pPr>
      <w:r w:rsidRPr="00FB7ED8">
        <w:rPr>
          <w:lang w:val="fr-FR"/>
        </w:rPr>
        <w:t xml:space="preserve">Document </w:t>
      </w:r>
      <w:r w:rsidR="0061555F" w:rsidRPr="00FB7ED8">
        <w:rPr>
          <w:lang w:val="fr-FR"/>
        </w:rPr>
        <w:t>établi par le Bureau de l'Union</w:t>
      </w:r>
    </w:p>
    <w:p w14:paraId="7BCF7EB6" w14:textId="77777777" w:rsidR="00144C10" w:rsidRPr="006365CE" w:rsidRDefault="00144C10" w:rsidP="00144C10">
      <w:pPr>
        <w:pStyle w:val="Disclaimer"/>
        <w:rPr>
          <w:lang w:val="fr-FR"/>
        </w:rPr>
      </w:pPr>
      <w:bookmarkStart w:id="0" w:name="_Toc174970747"/>
      <w:r w:rsidRPr="006365CE">
        <w:rPr>
          <w:lang w:val="fr-FR"/>
        </w:rPr>
        <w:t>Avertissement : le présent document ne représente pas les principes ou les orientations de l’UPOV</w:t>
      </w:r>
      <w:r>
        <w:rPr>
          <w:lang w:val="fr-FR"/>
        </w:rPr>
        <w:t>.</w:t>
      </w:r>
      <w:r>
        <w:rPr>
          <w:lang w:val="fr-FR"/>
        </w:rPr>
        <w:br/>
      </w:r>
      <w:r>
        <w:rPr>
          <w:lang w:val="fr-FR"/>
        </w:rPr>
        <w:br/>
      </w:r>
      <w:r w:rsidRPr="006365CE">
        <w:rPr>
          <w:lang w:val="fr-FR"/>
        </w:rPr>
        <w:t>Ce document a été généré à l'aide d'une traduction automatique dont l'exactitude ne peut être garantie. Par conséquent, le texte dans la langue originale est la seule version authentique.</w:t>
      </w:r>
    </w:p>
    <w:p w14:paraId="59CBEFBF" w14:textId="77777777" w:rsidR="00900657" w:rsidRPr="00FB7ED8" w:rsidRDefault="00900657" w:rsidP="00900657">
      <w:pPr>
        <w:pStyle w:val="Heading1"/>
        <w:rPr>
          <w:lang w:val="fr-FR"/>
        </w:rPr>
      </w:pPr>
      <w:r w:rsidRPr="00FB7ED8">
        <w:rPr>
          <w:lang w:val="fr-FR"/>
        </w:rPr>
        <w:t>CONTEXTE</w:t>
      </w:r>
      <w:bookmarkEnd w:id="0"/>
    </w:p>
    <w:p w14:paraId="78B581F7" w14:textId="77777777" w:rsidR="00F42252" w:rsidRPr="00FB7ED8" w:rsidRDefault="00F42252" w:rsidP="00B10E5C">
      <w:pPr>
        <w:rPr>
          <w:lang w:val="fr-FR"/>
        </w:rPr>
      </w:pPr>
    </w:p>
    <w:p w14:paraId="20B3C662" w14:textId="6F27096E" w:rsidR="00F42252" w:rsidRPr="00FB7ED8" w:rsidRDefault="00B10E5C" w:rsidP="00B10E5C">
      <w:pPr>
        <w:rPr>
          <w:lang w:val="fr-FR"/>
        </w:rPr>
      </w:pPr>
      <w:r w:rsidRPr="00606666">
        <w:fldChar w:fldCharType="begin"/>
      </w:r>
      <w:r w:rsidRPr="00FB7ED8">
        <w:rPr>
          <w:lang w:val="fr-FR"/>
        </w:rPr>
        <w:instrText xml:space="preserve"> AUTONUM  </w:instrText>
      </w:r>
      <w:r w:rsidRPr="00606666">
        <w:fldChar w:fldCharType="end"/>
      </w:r>
      <w:r w:rsidRPr="00FB7ED8">
        <w:rPr>
          <w:lang w:val="fr-FR"/>
        </w:rPr>
        <w:tab/>
      </w:r>
      <w:r w:rsidR="00F42252" w:rsidRPr="00FB7ED8">
        <w:rPr>
          <w:lang w:val="fr-FR"/>
        </w:rPr>
        <w:t xml:space="preserve">Le présent rapport couvre la septième réunion du Groupe de travail </w:t>
      </w:r>
      <w:r w:rsidR="00FB7ED8" w:rsidRPr="00FB7ED8">
        <w:rPr>
          <w:lang w:val="fr-FR"/>
        </w:rPr>
        <w:t>sur le produit de la récolte et l’utilisation non autorisée de matériel de reproduction ou de multiplication (WG-HRV)</w:t>
      </w:r>
      <w:r w:rsidR="00F42252" w:rsidRPr="00FB7ED8">
        <w:rPr>
          <w:lang w:val="fr-FR"/>
        </w:rPr>
        <w:t xml:space="preserve">. </w:t>
      </w:r>
    </w:p>
    <w:p w14:paraId="24AEF9DE" w14:textId="77777777" w:rsidR="00F42252" w:rsidRPr="00FB7ED8" w:rsidRDefault="00F42252" w:rsidP="00900657">
      <w:pPr>
        <w:keepNext/>
        <w:rPr>
          <w:rFonts w:cs="Arial"/>
          <w:lang w:val="fr-FR"/>
        </w:rPr>
      </w:pPr>
    </w:p>
    <w:p w14:paraId="5926F0B8" w14:textId="47471E60" w:rsidR="005804AA" w:rsidRPr="00FB7ED8" w:rsidRDefault="00900657" w:rsidP="005804AA">
      <w:pPr>
        <w:rPr>
          <w:lang w:val="fr-FR"/>
        </w:rPr>
      </w:pPr>
      <w:r w:rsidRPr="00606666">
        <w:fldChar w:fldCharType="begin"/>
      </w:r>
      <w:r w:rsidRPr="00FB7ED8">
        <w:rPr>
          <w:lang w:val="fr-FR"/>
        </w:rPr>
        <w:instrText xml:space="preserve"> AUTONUM  </w:instrText>
      </w:r>
      <w:r w:rsidRPr="00606666">
        <w:fldChar w:fldCharType="end"/>
      </w:r>
      <w:r w:rsidRPr="00FB7ED8">
        <w:rPr>
          <w:lang w:val="fr-FR"/>
        </w:rPr>
        <w:tab/>
        <w:t xml:space="preserve">À sa quatre-vingt-unième session, tenue à Genève le 23 octobre 2024, le CAJ </w:t>
      </w:r>
      <w:r w:rsidRPr="00FB7ED8">
        <w:rPr>
          <w:snapToGrid w:val="0"/>
          <w:lang w:val="fr-FR"/>
        </w:rPr>
        <w:t xml:space="preserve">a pris note du rapport </w:t>
      </w:r>
      <w:r w:rsidR="009877D3" w:rsidRPr="00FB7ED8">
        <w:rPr>
          <w:snapToGrid w:val="0"/>
          <w:lang w:val="fr-FR"/>
        </w:rPr>
        <w:t xml:space="preserve">de la sixième réunion </w:t>
      </w:r>
      <w:r w:rsidRPr="00FB7ED8">
        <w:rPr>
          <w:snapToGrid w:val="0"/>
          <w:lang w:val="fr-FR"/>
        </w:rPr>
        <w:t>du WG-HRV</w:t>
      </w:r>
      <w:r w:rsidR="00476186">
        <w:rPr>
          <w:rStyle w:val="FootnoteReference"/>
        </w:rPr>
        <w:footnoteReference w:id="2"/>
      </w:r>
      <w:r w:rsidR="00F42252" w:rsidRPr="00FB7ED8">
        <w:rPr>
          <w:lang w:val="fr-FR"/>
        </w:rPr>
        <w:t xml:space="preserve"> et de l'addendum au rapport</w:t>
      </w:r>
      <w:r w:rsidR="00F42252">
        <w:rPr>
          <w:rStyle w:val="FootnoteReference"/>
          <w:bCs/>
          <w:snapToGrid w:val="0"/>
        </w:rPr>
        <w:footnoteReference w:id="3"/>
      </w:r>
      <w:r w:rsidR="00F42252" w:rsidRPr="00FB7ED8">
        <w:rPr>
          <w:bCs/>
          <w:snapToGrid w:val="0"/>
          <w:lang w:val="fr-FR"/>
        </w:rPr>
        <w:t xml:space="preserve"> et </w:t>
      </w:r>
      <w:r w:rsidR="005804AA" w:rsidRPr="00FB7ED8">
        <w:rPr>
          <w:lang w:val="fr-FR"/>
        </w:rPr>
        <w:t xml:space="preserve">a convenu que le Bureau de l'Union commanderait une étude afin d'aider le WG-HRV dans ses délibérations sur la </w:t>
      </w:r>
      <w:r w:rsidR="00F42252" w:rsidRPr="00FB7ED8">
        <w:rPr>
          <w:lang w:val="fr-FR"/>
        </w:rPr>
        <w:t>«</w:t>
      </w:r>
      <w:r w:rsidR="005804AA" w:rsidRPr="00FB7ED8">
        <w:rPr>
          <w:lang w:val="fr-FR"/>
        </w:rPr>
        <w:t xml:space="preserve"> portée du droit d'obtenteur </w:t>
      </w:r>
      <w:r w:rsidR="00F42252" w:rsidRPr="00FB7ED8">
        <w:rPr>
          <w:lang w:val="fr-FR"/>
        </w:rPr>
        <w:t>»</w:t>
      </w:r>
      <w:r w:rsidR="005804AA" w:rsidRPr="00FB7ED8">
        <w:rPr>
          <w:lang w:val="fr-FR"/>
        </w:rPr>
        <w:t xml:space="preserve"> visée à l'article 14(1) et (2) de l'Acte de 1991, y compris les notions d'« utilisation non autorisée » et d'«</w:t>
      </w:r>
      <w:r w:rsidR="00AF29F2">
        <w:rPr>
          <w:lang w:val="fr-FR"/>
        </w:rPr>
        <w:t> </w:t>
      </w:r>
      <w:r w:rsidR="005804AA" w:rsidRPr="00FB7ED8">
        <w:rPr>
          <w:lang w:val="fr-FR"/>
        </w:rPr>
        <w:t>occasion raisonnable » et la relation avec l'« épuisement du droit d'obtenteur » visé à l'article 16 de l'Acte de 1991,  conformément au mandat approuvé</w:t>
      </w:r>
      <w:r w:rsidR="00F42252" w:rsidRPr="00FB7ED8">
        <w:rPr>
          <w:lang w:val="fr-FR"/>
        </w:rPr>
        <w:t xml:space="preserve">. </w:t>
      </w:r>
    </w:p>
    <w:p w14:paraId="47650B19" w14:textId="77777777" w:rsidR="00900657" w:rsidRPr="00FB7ED8" w:rsidRDefault="00900657" w:rsidP="00900657">
      <w:pPr>
        <w:rPr>
          <w:snapToGrid w:val="0"/>
          <w:lang w:val="fr-FR"/>
        </w:rPr>
      </w:pPr>
    </w:p>
    <w:p w14:paraId="0A679EE5" w14:textId="605F4E21" w:rsidR="00900657" w:rsidRPr="00FB7ED8" w:rsidRDefault="00900657" w:rsidP="00900657">
      <w:pPr>
        <w:rPr>
          <w:snapToGrid w:val="0"/>
          <w:lang w:val="fr-FR"/>
        </w:rPr>
      </w:pPr>
    </w:p>
    <w:p w14:paraId="44477562" w14:textId="425E1218" w:rsidR="00900657" w:rsidRPr="00FB7ED8" w:rsidRDefault="005804AA" w:rsidP="00900657">
      <w:pPr>
        <w:pStyle w:val="Heading1"/>
        <w:rPr>
          <w:lang w:val="fr-FR"/>
        </w:rPr>
      </w:pPr>
      <w:bookmarkStart w:id="1" w:name="_Toc174970748"/>
      <w:r w:rsidRPr="00FB7ED8">
        <w:rPr>
          <w:lang w:val="fr-FR"/>
        </w:rPr>
        <w:t xml:space="preserve">Septième </w:t>
      </w:r>
      <w:r w:rsidR="00900657" w:rsidRPr="00FB7ED8">
        <w:rPr>
          <w:lang w:val="fr-FR"/>
        </w:rPr>
        <w:t>RÉUNION DU WG-HRV (</w:t>
      </w:r>
      <w:r w:rsidRPr="00FB7ED8">
        <w:rPr>
          <w:lang w:val="fr-FR"/>
        </w:rPr>
        <w:t>20 mars 2025</w:t>
      </w:r>
      <w:r w:rsidR="00900657" w:rsidRPr="00FB7ED8">
        <w:rPr>
          <w:lang w:val="fr-FR"/>
        </w:rPr>
        <w:t>)</w:t>
      </w:r>
      <w:bookmarkEnd w:id="1"/>
    </w:p>
    <w:p w14:paraId="046F014E" w14:textId="77777777" w:rsidR="00900657" w:rsidRPr="00FB7ED8" w:rsidRDefault="00900657" w:rsidP="00900657">
      <w:pPr>
        <w:rPr>
          <w:lang w:val="fr-FR"/>
        </w:rPr>
      </w:pPr>
    </w:p>
    <w:p w14:paraId="322BA263" w14:textId="5F106EB6" w:rsidR="00EA6DBA" w:rsidRPr="00FB7ED8" w:rsidRDefault="00900657" w:rsidP="00900657">
      <w:pPr>
        <w:rPr>
          <w:lang w:val="fr-FR"/>
        </w:rPr>
      </w:pPr>
      <w:r w:rsidRPr="00606666">
        <w:rPr>
          <w:rFonts w:cs="Arial"/>
        </w:rPr>
        <w:fldChar w:fldCharType="begin"/>
      </w:r>
      <w:r w:rsidRPr="00FB7ED8">
        <w:rPr>
          <w:rFonts w:cs="Arial"/>
          <w:lang w:val="fr-FR"/>
        </w:rPr>
        <w:instrText xml:space="preserve"> AUTONUM  </w:instrText>
      </w:r>
      <w:r w:rsidRPr="00606666">
        <w:rPr>
          <w:rFonts w:cs="Arial"/>
        </w:rPr>
        <w:fldChar w:fldCharType="end"/>
      </w:r>
      <w:r w:rsidRPr="00FB7ED8">
        <w:rPr>
          <w:rFonts w:cs="Arial"/>
          <w:lang w:val="fr-FR"/>
        </w:rPr>
        <w:tab/>
        <w:t xml:space="preserve">Le WG-HRV a tenu sa </w:t>
      </w:r>
      <w:r w:rsidR="005804AA" w:rsidRPr="00FB7ED8">
        <w:rPr>
          <w:rFonts w:cs="Arial"/>
          <w:lang w:val="fr-FR"/>
        </w:rPr>
        <w:t xml:space="preserve">septième </w:t>
      </w:r>
      <w:r w:rsidRPr="00FB7ED8">
        <w:rPr>
          <w:rFonts w:cs="Arial"/>
          <w:lang w:val="fr-FR"/>
        </w:rPr>
        <w:t>réunion le</w:t>
      </w:r>
      <w:r w:rsidR="005804AA" w:rsidRPr="00FB7ED8">
        <w:rPr>
          <w:rFonts w:cs="Arial"/>
          <w:lang w:val="fr-FR"/>
        </w:rPr>
        <w:t xml:space="preserve"> 20 mars 2025</w:t>
      </w:r>
      <w:r w:rsidRPr="00FB7ED8">
        <w:rPr>
          <w:rFonts w:cs="Arial"/>
          <w:lang w:val="fr-FR"/>
        </w:rPr>
        <w:t xml:space="preserve">, par des moyens </w:t>
      </w:r>
      <w:r w:rsidR="009877D3" w:rsidRPr="00FB7ED8">
        <w:rPr>
          <w:rFonts w:cs="Arial"/>
          <w:lang w:val="fr-FR"/>
        </w:rPr>
        <w:t>virtuels</w:t>
      </w:r>
      <w:r w:rsidRPr="00FB7ED8">
        <w:rPr>
          <w:rFonts w:cs="Arial"/>
          <w:lang w:val="fr-FR"/>
        </w:rPr>
        <w:t xml:space="preserve">.  Les documents et le rapport </w:t>
      </w:r>
      <w:r w:rsidR="005804AA" w:rsidRPr="00FB7ED8">
        <w:rPr>
          <w:rFonts w:cs="Arial"/>
          <w:lang w:val="fr-FR"/>
        </w:rPr>
        <w:t xml:space="preserve">du WG-HRV/7 </w:t>
      </w:r>
      <w:r w:rsidRPr="00FB7ED8">
        <w:rPr>
          <w:rFonts w:cs="Arial"/>
          <w:lang w:val="fr-FR"/>
        </w:rPr>
        <w:t xml:space="preserve">sont </w:t>
      </w:r>
      <w:r w:rsidRPr="00FB7ED8">
        <w:rPr>
          <w:lang w:val="fr-FR"/>
        </w:rPr>
        <w:t>disponibles à l'adresse suivante :</w:t>
      </w:r>
    </w:p>
    <w:p w14:paraId="3191B280" w14:textId="5976AFAB" w:rsidR="00900657" w:rsidRPr="00FB7ED8" w:rsidRDefault="00144C10" w:rsidP="00900657">
      <w:pPr>
        <w:rPr>
          <w:lang w:val="fr-FR"/>
        </w:rPr>
      </w:pPr>
      <w:hyperlink r:id="rId9" w:history="1">
        <w:r w:rsidRPr="0032110A">
          <w:rPr>
            <w:rStyle w:val="Hyperlink"/>
            <w:lang w:val="fr-FR"/>
          </w:rPr>
          <w:t>https://www.upov.int/meetings/fr/details.jsp?meeting_id=85866</w:t>
        </w:r>
      </w:hyperlink>
      <w:r w:rsidR="005804AA" w:rsidRPr="00FB7ED8">
        <w:rPr>
          <w:lang w:val="fr-FR"/>
        </w:rPr>
        <w:t xml:space="preserve">. </w:t>
      </w:r>
    </w:p>
    <w:p w14:paraId="3D79B5F0" w14:textId="77777777" w:rsidR="00900657" w:rsidRPr="00FB7ED8" w:rsidRDefault="00900657" w:rsidP="00900657">
      <w:pPr>
        <w:rPr>
          <w:lang w:val="fr-FR"/>
        </w:rPr>
      </w:pPr>
    </w:p>
    <w:p w14:paraId="5A288B1B" w14:textId="50FA9A98" w:rsidR="00EA6DBA" w:rsidRPr="00FB7ED8" w:rsidRDefault="00EA6DBA" w:rsidP="00EA6DBA">
      <w:pPr>
        <w:rPr>
          <w:lang w:val="fr-FR"/>
        </w:rPr>
      </w:pPr>
      <w:r>
        <w:rPr>
          <w:lang w:val="en-GB"/>
        </w:rPr>
        <w:fldChar w:fldCharType="begin"/>
      </w:r>
      <w:r w:rsidRPr="00FB7ED8">
        <w:rPr>
          <w:lang w:val="fr-FR"/>
        </w:rPr>
        <w:instrText xml:space="preserve"> AUTONUM  </w:instrText>
      </w:r>
      <w:r>
        <w:rPr>
          <w:lang w:val="en-GB"/>
        </w:rPr>
        <w:fldChar w:fldCharType="end"/>
      </w:r>
      <w:r w:rsidRPr="00FB7ED8">
        <w:rPr>
          <w:lang w:val="fr-FR"/>
        </w:rPr>
        <w:tab/>
      </w:r>
      <w:r w:rsidR="00204FF8" w:rsidRPr="00FB7ED8">
        <w:rPr>
          <w:lang w:val="fr-FR"/>
        </w:rPr>
        <w:t xml:space="preserve">Au cours de </w:t>
      </w:r>
      <w:r w:rsidR="00204FF8" w:rsidRPr="00FB7ED8">
        <w:rPr>
          <w:rFonts w:cs="Arial"/>
          <w:lang w:val="fr-FR"/>
        </w:rPr>
        <w:t xml:space="preserve">la septième réunion du </w:t>
      </w:r>
      <w:r w:rsidR="00545D61" w:rsidRPr="00FB7ED8">
        <w:rPr>
          <w:rFonts w:cs="Arial"/>
          <w:lang w:val="fr-FR"/>
        </w:rPr>
        <w:t xml:space="preserve">WG-HRV, </w:t>
      </w:r>
      <w:r w:rsidRPr="00FB7ED8">
        <w:rPr>
          <w:lang w:val="fr-FR"/>
        </w:rPr>
        <w:t>le Bureau de l'Union a présenté le contexte de l'étude, réaffirmant que celle-ci visait à appuyer les travaux du WG-HRV sur les notes explicatives concernant le matériel récolté et l'utilisation non autorisée de matériel de reproduction ou de multiplication, conformément au mandat convenu.</w:t>
      </w:r>
    </w:p>
    <w:p w14:paraId="2E34B5E5" w14:textId="77777777" w:rsidR="00EA6DBA" w:rsidRPr="00FB7ED8" w:rsidRDefault="00EA6DBA" w:rsidP="00EA6DBA">
      <w:pPr>
        <w:rPr>
          <w:lang w:val="fr-FR"/>
        </w:rPr>
      </w:pPr>
    </w:p>
    <w:p w14:paraId="4F1CA0D5" w14:textId="77777777" w:rsidR="00B10E5C" w:rsidRPr="00FB7ED8" w:rsidRDefault="00EA6DBA" w:rsidP="00EA6DBA">
      <w:pPr>
        <w:rPr>
          <w:lang w:val="fr-FR"/>
        </w:rPr>
      </w:pPr>
      <w:r>
        <w:rPr>
          <w:lang w:val="en-GB"/>
        </w:rPr>
        <w:fldChar w:fldCharType="begin"/>
      </w:r>
      <w:r w:rsidRPr="00FB7ED8">
        <w:rPr>
          <w:lang w:val="fr-FR"/>
        </w:rPr>
        <w:instrText xml:space="preserve"> AUTONUM  </w:instrText>
      </w:r>
      <w:r>
        <w:rPr>
          <w:lang w:val="en-GB"/>
        </w:rPr>
        <w:fldChar w:fldCharType="end"/>
      </w:r>
      <w:r w:rsidRPr="00FB7ED8">
        <w:rPr>
          <w:lang w:val="fr-FR"/>
        </w:rPr>
        <w:tab/>
        <w:t>M. Huib Ghijsen</w:t>
      </w:r>
      <w:r w:rsidR="009877D3" w:rsidRPr="00FB7ED8">
        <w:rPr>
          <w:lang w:val="fr-FR"/>
        </w:rPr>
        <w:t xml:space="preserve">, désigné par les auteurs comme coordonnateur, </w:t>
      </w:r>
      <w:r w:rsidRPr="00FB7ED8">
        <w:rPr>
          <w:lang w:val="fr-FR"/>
        </w:rPr>
        <w:t xml:space="preserve">a présenté les progrès réalisés par les auteurs (présentation disponible sur le site Web de l'UPOV, à l'adresse suivante : </w:t>
      </w:r>
    </w:p>
    <w:p w14:paraId="1EE7C01D" w14:textId="4F23F3FC" w:rsidR="00EA6DBA" w:rsidRPr="00FB7ED8" w:rsidRDefault="00144C10" w:rsidP="00EA6DBA">
      <w:pPr>
        <w:rPr>
          <w:lang w:val="fr-FR"/>
        </w:rPr>
      </w:pPr>
      <w:hyperlink r:id="rId10" w:history="1">
        <w:r w:rsidRPr="0032110A">
          <w:rPr>
            <w:rStyle w:val="Hyperlink"/>
            <w:lang w:val="fr-FR"/>
          </w:rPr>
          <w:t>https://www.upov.int/meetings/fr/details.jsp?meeting_id=85866</w:t>
        </w:r>
      </w:hyperlink>
      <w:r w:rsidR="00EA6DBA" w:rsidRPr="00FB7ED8">
        <w:rPr>
          <w:lang w:val="fr-FR"/>
        </w:rPr>
        <w:t>)</w:t>
      </w:r>
      <w:r w:rsidR="009877D3" w:rsidRPr="00FB7ED8">
        <w:rPr>
          <w:lang w:val="fr-FR"/>
        </w:rPr>
        <w:t>.</w:t>
      </w:r>
    </w:p>
    <w:p w14:paraId="0F485FEB" w14:textId="77777777" w:rsidR="005804AA" w:rsidRPr="00FB7ED8" w:rsidRDefault="005804AA" w:rsidP="00900657">
      <w:pPr>
        <w:rPr>
          <w:rFonts w:cs="Arial"/>
          <w:lang w:val="fr-FR"/>
        </w:rPr>
      </w:pPr>
    </w:p>
    <w:p w14:paraId="4B6877D9" w14:textId="223A9AFC" w:rsidR="00EA6DBA" w:rsidRPr="00FB7ED8" w:rsidRDefault="00EA6DBA" w:rsidP="00EA6DBA">
      <w:pPr>
        <w:rPr>
          <w:lang w:val="fr-FR"/>
        </w:rPr>
      </w:pPr>
      <w:r>
        <w:rPr>
          <w:lang w:val="en-GB"/>
        </w:rPr>
        <w:fldChar w:fldCharType="begin"/>
      </w:r>
      <w:r w:rsidRPr="00FB7ED8">
        <w:rPr>
          <w:lang w:val="fr-FR"/>
        </w:rPr>
        <w:instrText xml:space="preserve"> AUTONUM  </w:instrText>
      </w:r>
      <w:r>
        <w:rPr>
          <w:lang w:val="en-GB"/>
        </w:rPr>
        <w:fldChar w:fldCharType="end"/>
      </w:r>
      <w:r w:rsidRPr="00FB7ED8">
        <w:rPr>
          <w:lang w:val="fr-FR"/>
        </w:rPr>
        <w:tab/>
      </w:r>
      <w:r w:rsidR="00204FF8" w:rsidRPr="00FB7ED8">
        <w:rPr>
          <w:rFonts w:cs="Arial"/>
          <w:lang w:val="fr-FR"/>
        </w:rPr>
        <w:t>Les</w:t>
      </w:r>
      <w:r w:rsidRPr="00FB7ED8">
        <w:rPr>
          <w:lang w:val="fr-FR"/>
        </w:rPr>
        <w:t xml:space="preserve"> principales </w:t>
      </w:r>
      <w:r w:rsidR="00204FF8" w:rsidRPr="00FB7ED8">
        <w:rPr>
          <w:rFonts w:cs="Arial"/>
          <w:lang w:val="fr-FR"/>
        </w:rPr>
        <w:t xml:space="preserve">conclusions </w:t>
      </w:r>
      <w:r w:rsidRPr="00FB7ED8">
        <w:rPr>
          <w:rFonts w:cs="Arial"/>
          <w:lang w:val="fr-FR"/>
        </w:rPr>
        <w:t xml:space="preserve">de la réunion </w:t>
      </w:r>
      <w:r w:rsidR="00204FF8" w:rsidRPr="00FB7ED8">
        <w:rPr>
          <w:rFonts w:cs="Arial"/>
          <w:lang w:val="fr-FR"/>
        </w:rPr>
        <w:t xml:space="preserve">sont </w:t>
      </w:r>
      <w:r w:rsidRPr="00FB7ED8">
        <w:rPr>
          <w:rFonts w:cs="Arial"/>
          <w:lang w:val="fr-FR"/>
        </w:rPr>
        <w:t xml:space="preserve">résumées ci-dessous </w:t>
      </w:r>
      <w:r w:rsidR="00A04D02" w:rsidRPr="00FB7ED8">
        <w:rPr>
          <w:rFonts w:cs="Arial"/>
          <w:lang w:val="fr-FR"/>
        </w:rPr>
        <w:t>(document WG-HRV/7/3 «</w:t>
      </w:r>
      <w:r w:rsidR="00AF29F2">
        <w:rPr>
          <w:rFonts w:cs="Arial"/>
          <w:lang w:val="fr-FR"/>
        </w:rPr>
        <w:t> </w:t>
      </w:r>
      <w:r w:rsidR="00A04D02" w:rsidRPr="00FB7ED8">
        <w:rPr>
          <w:rFonts w:cs="Arial"/>
          <w:lang w:val="fr-FR"/>
        </w:rPr>
        <w:t>Rapport</w:t>
      </w:r>
      <w:r w:rsidR="00AF29F2">
        <w:rPr>
          <w:rFonts w:cs="Arial"/>
          <w:lang w:val="fr-FR"/>
        </w:rPr>
        <w:t> </w:t>
      </w:r>
      <w:r w:rsidR="00A04D02" w:rsidRPr="00FB7ED8">
        <w:rPr>
          <w:rFonts w:cs="Arial"/>
          <w:lang w:val="fr-FR"/>
        </w:rPr>
        <w:t xml:space="preserve">», paragraphe 12) </w:t>
      </w:r>
      <w:r w:rsidRPr="00FB7ED8">
        <w:rPr>
          <w:rFonts w:cs="Arial"/>
          <w:lang w:val="fr-FR"/>
        </w:rPr>
        <w:t>:</w:t>
      </w:r>
    </w:p>
    <w:p w14:paraId="01CAA763" w14:textId="77777777" w:rsidR="00EA6DBA" w:rsidRPr="00FB7ED8" w:rsidRDefault="00EA6DBA" w:rsidP="00EA6DBA">
      <w:pPr>
        <w:rPr>
          <w:lang w:val="fr-FR"/>
        </w:rPr>
      </w:pPr>
    </w:p>
    <w:p w14:paraId="69768B4A" w14:textId="77777777" w:rsidR="00A04D02" w:rsidRPr="00FB7ED8" w:rsidRDefault="00A04D02" w:rsidP="00A04D02">
      <w:pPr>
        <w:pStyle w:val="ListParagraph"/>
        <w:numPr>
          <w:ilvl w:val="0"/>
          <w:numId w:val="2"/>
        </w:numPr>
        <w:ind w:left="993" w:hanging="501"/>
        <w:rPr>
          <w:lang w:val="fr-FR"/>
        </w:rPr>
      </w:pPr>
      <w:r w:rsidRPr="00FB7ED8">
        <w:rPr>
          <w:lang w:val="fr-FR"/>
        </w:rPr>
        <w:t>La version finale de l'étude doit être remise le 1er septembre 2025, comme indiqué dans le mandat.  Le Bureau de l'Union publiera l'étude sur son site Web en tant que document à examiner lors de la huitième réunion du WG-HRV, le 22 octobre 2025.</w:t>
      </w:r>
    </w:p>
    <w:p w14:paraId="03CA86BB" w14:textId="77777777" w:rsidR="00A04D02" w:rsidRPr="00FB7ED8" w:rsidRDefault="00A04D02" w:rsidP="00A04D02">
      <w:pPr>
        <w:pStyle w:val="ListParagraph"/>
        <w:ind w:left="993" w:hanging="501"/>
        <w:rPr>
          <w:lang w:val="fr-FR"/>
        </w:rPr>
      </w:pPr>
    </w:p>
    <w:p w14:paraId="0B9F562E" w14:textId="09DB8C87" w:rsidR="00A04D02" w:rsidRPr="00FB7ED8" w:rsidRDefault="00037B1D" w:rsidP="00A04D02">
      <w:pPr>
        <w:pStyle w:val="ListParagraph"/>
        <w:numPr>
          <w:ilvl w:val="0"/>
          <w:numId w:val="2"/>
        </w:numPr>
        <w:ind w:left="993" w:hanging="501"/>
        <w:rPr>
          <w:lang w:val="fr-FR"/>
        </w:rPr>
      </w:pPr>
      <w:r w:rsidRPr="00037B1D">
        <w:rPr>
          <w:lang w:val="fr-FR"/>
        </w:rPr>
        <w:lastRenderedPageBreak/>
        <w:t>Le WG-HRV a noté les progrès réalisés par les auteurs et a pris note de l'approche structurée et de la coordination mises en place pour atteindre les objectifs de l'étude</w:t>
      </w:r>
      <w:r w:rsidR="00A04D02" w:rsidRPr="00FB7ED8">
        <w:rPr>
          <w:lang w:val="fr-FR"/>
        </w:rPr>
        <w:t>.</w:t>
      </w:r>
    </w:p>
    <w:p w14:paraId="7AB9D68F" w14:textId="77777777" w:rsidR="00A04D02" w:rsidRPr="00FB7ED8" w:rsidRDefault="00A04D02" w:rsidP="00A04D02">
      <w:pPr>
        <w:pStyle w:val="ListParagraph"/>
        <w:ind w:left="993" w:hanging="501"/>
        <w:rPr>
          <w:lang w:val="fr-FR"/>
        </w:rPr>
      </w:pPr>
    </w:p>
    <w:p w14:paraId="46692076" w14:textId="3A251B47" w:rsidR="00A04D02" w:rsidRPr="00FB7ED8" w:rsidRDefault="00037B1D" w:rsidP="00A04D02">
      <w:pPr>
        <w:pStyle w:val="ListParagraph"/>
        <w:numPr>
          <w:ilvl w:val="0"/>
          <w:numId w:val="2"/>
        </w:numPr>
        <w:ind w:left="993" w:hanging="501"/>
        <w:rPr>
          <w:lang w:val="fr-FR"/>
        </w:rPr>
      </w:pPr>
      <w:r w:rsidRPr="00037B1D">
        <w:rPr>
          <w:lang w:val="fr-FR"/>
        </w:rPr>
        <w:t>Le WG-HRV a pris note de l'intention des auteurs de traiter d'abord l'article 14 et d'examiner ensuite la relation avec l'article 16, comme indiqué dans le mandat</w:t>
      </w:r>
      <w:r w:rsidR="00A04D02" w:rsidRPr="00FB7ED8">
        <w:rPr>
          <w:lang w:val="fr-FR"/>
        </w:rPr>
        <w:t>.</w:t>
      </w:r>
    </w:p>
    <w:p w14:paraId="4A0F3A17" w14:textId="77777777" w:rsidR="00A04D02" w:rsidRPr="00037B1D" w:rsidRDefault="00A04D02" w:rsidP="00A04D02">
      <w:pPr>
        <w:pStyle w:val="ListParagraph"/>
        <w:ind w:left="993" w:hanging="501"/>
        <w:rPr>
          <w:lang w:val="fr-FR"/>
        </w:rPr>
      </w:pPr>
    </w:p>
    <w:p w14:paraId="45345B6C" w14:textId="55C6DF37" w:rsidR="00A04D02" w:rsidRPr="00FB7ED8" w:rsidRDefault="00A04D02" w:rsidP="00A04D02">
      <w:pPr>
        <w:pStyle w:val="ListParagraph"/>
        <w:numPr>
          <w:ilvl w:val="0"/>
          <w:numId w:val="2"/>
        </w:numPr>
        <w:ind w:left="993" w:hanging="501"/>
        <w:rPr>
          <w:lang w:val="fr-FR"/>
        </w:rPr>
      </w:pPr>
      <w:bookmarkStart w:id="2" w:name="_Hlk202790971"/>
      <w:r w:rsidRPr="00FB7ED8">
        <w:rPr>
          <w:lang w:val="fr-FR"/>
        </w:rPr>
        <w:t xml:space="preserve">Le </w:t>
      </w:r>
      <w:r w:rsidR="00037B1D" w:rsidRPr="00037B1D">
        <w:rPr>
          <w:lang w:val="fr-FR"/>
        </w:rPr>
        <w:t>WG-HRV a réaffirmé que l'étude doit fournir une analyse des intentions des rédacteurs de l'Acte de 1991 et que les membres de l'UPOV ne sont pas liés par le contenu et/ou les conclusions tirées par les auteurs de l'étude.</w:t>
      </w:r>
    </w:p>
    <w:bookmarkEnd w:id="2"/>
    <w:p w14:paraId="00AEC281" w14:textId="77777777" w:rsidR="00EA6DBA" w:rsidRPr="00FB7ED8" w:rsidRDefault="00EA6DBA" w:rsidP="00900657">
      <w:pPr>
        <w:rPr>
          <w:rFonts w:cs="Arial"/>
          <w:lang w:val="fr-FR"/>
        </w:rPr>
      </w:pPr>
    </w:p>
    <w:p w14:paraId="0F4FA670" w14:textId="77777777" w:rsidR="00900657" w:rsidRPr="00FB7ED8" w:rsidRDefault="00900657" w:rsidP="00900657">
      <w:pPr>
        <w:rPr>
          <w:rFonts w:cs="Arial"/>
          <w:lang w:val="fr-FR"/>
        </w:rPr>
      </w:pPr>
    </w:p>
    <w:p w14:paraId="7DB0C776" w14:textId="77B1C7F4" w:rsidR="00900657" w:rsidRPr="00FB7ED8" w:rsidRDefault="005804AA" w:rsidP="00900657">
      <w:pPr>
        <w:pStyle w:val="Heading1"/>
        <w:rPr>
          <w:caps w:val="0"/>
          <w:lang w:val="fr-FR"/>
        </w:rPr>
      </w:pPr>
      <w:bookmarkStart w:id="3" w:name="_Toc174970754"/>
      <w:r w:rsidRPr="00FB7ED8">
        <w:rPr>
          <w:lang w:val="fr-FR"/>
        </w:rPr>
        <w:t xml:space="preserve">HUITIÈME </w:t>
      </w:r>
      <w:r w:rsidR="00900657" w:rsidRPr="00FB7ED8">
        <w:rPr>
          <w:lang w:val="fr-FR"/>
        </w:rPr>
        <w:t>RÉUNION DU WG-HRV (22 OCTOBRE</w:t>
      </w:r>
      <w:r w:rsidRPr="00FB7ED8">
        <w:rPr>
          <w:lang w:val="fr-FR"/>
        </w:rPr>
        <w:t xml:space="preserve"> 2025</w:t>
      </w:r>
      <w:r w:rsidR="00900657" w:rsidRPr="00FB7ED8">
        <w:rPr>
          <w:lang w:val="fr-FR"/>
        </w:rPr>
        <w:t>)</w:t>
      </w:r>
      <w:bookmarkEnd w:id="3"/>
    </w:p>
    <w:p w14:paraId="01E10397" w14:textId="77777777" w:rsidR="00900657" w:rsidRPr="00FB7ED8" w:rsidRDefault="00900657" w:rsidP="00900657">
      <w:pPr>
        <w:rPr>
          <w:lang w:val="fr-FR"/>
        </w:rPr>
      </w:pPr>
    </w:p>
    <w:p w14:paraId="52143609" w14:textId="2D283ECB" w:rsidR="00037B1D" w:rsidRDefault="00900657" w:rsidP="00900657">
      <w:pPr>
        <w:rPr>
          <w:lang w:val="fr-FR"/>
        </w:rPr>
      </w:pPr>
      <w:r w:rsidRPr="00606666">
        <w:rPr>
          <w:rFonts w:cs="Arial"/>
        </w:rPr>
        <w:fldChar w:fldCharType="begin"/>
      </w:r>
      <w:r w:rsidRPr="00FB7ED8">
        <w:rPr>
          <w:rFonts w:cs="Arial"/>
          <w:lang w:val="fr-FR"/>
        </w:rPr>
        <w:instrText xml:space="preserve"> AUTONUM  </w:instrText>
      </w:r>
      <w:r w:rsidRPr="00606666">
        <w:rPr>
          <w:rFonts w:cs="Arial"/>
        </w:rPr>
        <w:fldChar w:fldCharType="end"/>
      </w:r>
      <w:r w:rsidRPr="00FB7ED8">
        <w:rPr>
          <w:rFonts w:cs="Arial"/>
          <w:lang w:val="fr-FR"/>
        </w:rPr>
        <w:tab/>
        <w:t xml:space="preserve">Le WG-HRV tiendra sa </w:t>
      </w:r>
      <w:r w:rsidR="005804AA" w:rsidRPr="00FB7ED8">
        <w:rPr>
          <w:rFonts w:cs="Arial"/>
          <w:lang w:val="fr-FR"/>
        </w:rPr>
        <w:t xml:space="preserve">huitième </w:t>
      </w:r>
      <w:r w:rsidRPr="00FB7ED8">
        <w:rPr>
          <w:rFonts w:cs="Arial"/>
          <w:lang w:val="fr-FR"/>
        </w:rPr>
        <w:t>réunion à Genève, le 22 octobre</w:t>
      </w:r>
      <w:r w:rsidR="005804AA" w:rsidRPr="00FB7ED8">
        <w:rPr>
          <w:rFonts w:cs="Arial"/>
          <w:lang w:val="fr-FR"/>
        </w:rPr>
        <w:t xml:space="preserve"> 2025</w:t>
      </w:r>
      <w:r w:rsidRPr="00FB7ED8">
        <w:rPr>
          <w:rFonts w:cs="Arial"/>
          <w:lang w:val="fr-FR"/>
        </w:rPr>
        <w:t xml:space="preserve">, par des moyens hybrides. </w:t>
      </w:r>
      <w:r w:rsidR="00037B1D">
        <w:rPr>
          <w:rFonts w:cs="Arial"/>
          <w:lang w:val="fr-FR"/>
        </w:rPr>
        <w:t xml:space="preserve"> </w:t>
      </w:r>
      <w:r w:rsidRPr="00FB7ED8">
        <w:rPr>
          <w:rFonts w:cs="Arial"/>
          <w:lang w:val="fr-FR"/>
        </w:rPr>
        <w:t xml:space="preserve">Les documents </w:t>
      </w:r>
      <w:r w:rsidR="005804AA" w:rsidRPr="00FB7ED8">
        <w:rPr>
          <w:rFonts w:cs="Arial"/>
          <w:lang w:val="fr-FR"/>
        </w:rPr>
        <w:t xml:space="preserve">WG-HRV/8 </w:t>
      </w:r>
      <w:r w:rsidRPr="00FB7ED8">
        <w:rPr>
          <w:rFonts w:cs="Arial"/>
          <w:lang w:val="fr-FR"/>
        </w:rPr>
        <w:t xml:space="preserve">seront </w:t>
      </w:r>
      <w:r w:rsidRPr="00FB7ED8">
        <w:rPr>
          <w:lang w:val="fr-FR"/>
        </w:rPr>
        <w:t>disponibles à l'adresse suivante</w:t>
      </w:r>
      <w:r w:rsidR="00037B1D">
        <w:rPr>
          <w:lang w:val="fr-FR"/>
        </w:rPr>
        <w:t> :</w:t>
      </w:r>
    </w:p>
    <w:p w14:paraId="172EE27D" w14:textId="60480D5C" w:rsidR="00900657" w:rsidRPr="00FB7ED8" w:rsidRDefault="00144C10" w:rsidP="00900657">
      <w:pPr>
        <w:rPr>
          <w:lang w:val="fr-FR"/>
        </w:rPr>
      </w:pPr>
      <w:hyperlink r:id="rId11" w:history="1">
        <w:r w:rsidRPr="0032110A">
          <w:rPr>
            <w:rStyle w:val="Hyperlink"/>
            <w:lang w:val="fr-FR"/>
          </w:rPr>
          <w:t>https://www.upov.int/meetings/fr/details.jsp?meeting_id=88391</w:t>
        </w:r>
      </w:hyperlink>
      <w:r w:rsidR="00900657" w:rsidRPr="00FB7ED8">
        <w:rPr>
          <w:lang w:val="fr-FR"/>
        </w:rPr>
        <w:t xml:space="preserve">. </w:t>
      </w:r>
    </w:p>
    <w:p w14:paraId="2355C89E" w14:textId="77777777" w:rsidR="00EA6DBA" w:rsidRPr="00FB7ED8" w:rsidRDefault="00EA6DBA" w:rsidP="00900657">
      <w:pPr>
        <w:rPr>
          <w:lang w:val="fr-FR"/>
        </w:rPr>
      </w:pPr>
    </w:p>
    <w:p w14:paraId="38906C8D" w14:textId="449481A0" w:rsidR="00A04D02" w:rsidRPr="00FB7ED8" w:rsidRDefault="00A04D02" w:rsidP="00A04D02">
      <w:pPr>
        <w:rPr>
          <w:lang w:val="fr-FR"/>
        </w:rPr>
      </w:pPr>
      <w:r>
        <w:fldChar w:fldCharType="begin"/>
      </w:r>
      <w:r w:rsidRPr="00FB7ED8">
        <w:rPr>
          <w:lang w:val="fr-FR"/>
        </w:rPr>
        <w:instrText xml:space="preserve"> AUTONUM  </w:instrText>
      </w:r>
      <w:r>
        <w:fldChar w:fldCharType="end"/>
      </w:r>
      <w:r w:rsidRPr="00FB7ED8">
        <w:rPr>
          <w:lang w:val="fr-FR"/>
        </w:rPr>
        <w:tab/>
        <w:t xml:space="preserve">Le CAJ est invité à noter que, </w:t>
      </w:r>
      <w:r w:rsidR="000A6071" w:rsidRPr="00FB7ED8">
        <w:rPr>
          <w:lang w:val="fr-FR"/>
        </w:rPr>
        <w:t xml:space="preserve">par la circulaire E-25/053 du 11 septembre 2025, </w:t>
      </w:r>
      <w:r w:rsidR="00037B1D" w:rsidRPr="00977881">
        <w:rPr>
          <w:lang w:val="fr-FR"/>
        </w:rPr>
        <w:t>le WG-HRV a été informé que les auteurs de l'étude avaient demandé de reporter la date de remise du rapport final au 15 décembre 2025, car la portée de l'étude, en particulier l'examen de l'historique de l'élaboration des articles 14 et 16 de l'Acte de 1991, était vaste et que la collecte et l'analyse des données nécessitaient plus de temps que prévu initialement.</w:t>
      </w:r>
    </w:p>
    <w:p w14:paraId="461DC757" w14:textId="77777777" w:rsidR="000A6071" w:rsidRPr="00FB7ED8" w:rsidRDefault="000A6071" w:rsidP="00A04D02">
      <w:pPr>
        <w:rPr>
          <w:lang w:val="fr-FR"/>
        </w:rPr>
      </w:pPr>
    </w:p>
    <w:p w14:paraId="28AFEAA9" w14:textId="7F23C18D" w:rsidR="00EA6DBA" w:rsidRPr="00FB7ED8" w:rsidRDefault="000A6071" w:rsidP="00A04D02">
      <w:pPr>
        <w:rPr>
          <w:lang w:val="fr-FR"/>
        </w:rPr>
      </w:pPr>
      <w:r>
        <w:rPr>
          <w:snapToGrid w:val="0"/>
        </w:rPr>
        <w:fldChar w:fldCharType="begin"/>
      </w:r>
      <w:r w:rsidRPr="00FB7ED8">
        <w:rPr>
          <w:snapToGrid w:val="0"/>
          <w:lang w:val="fr-FR"/>
        </w:rPr>
        <w:instrText xml:space="preserve"> AUTONUM  </w:instrText>
      </w:r>
      <w:r>
        <w:rPr>
          <w:snapToGrid w:val="0"/>
        </w:rPr>
        <w:fldChar w:fldCharType="end"/>
      </w:r>
      <w:r w:rsidRPr="00FB7ED8">
        <w:rPr>
          <w:snapToGrid w:val="0"/>
          <w:lang w:val="fr-FR"/>
        </w:rPr>
        <w:tab/>
        <w:t xml:space="preserve">Il a été convenu que </w:t>
      </w:r>
      <w:r w:rsidRPr="00FB7ED8">
        <w:rPr>
          <w:lang w:val="fr-FR"/>
        </w:rPr>
        <w:t>les auteurs seraient prêts à remettre</w:t>
      </w:r>
      <w:bookmarkStart w:id="4" w:name="_Hlk209444516"/>
      <w:r w:rsidR="00C81C53" w:rsidRPr="00FB7ED8">
        <w:rPr>
          <w:lang w:val="fr-FR"/>
        </w:rPr>
        <w:t xml:space="preserve"> une version finale de l'étude</w:t>
      </w:r>
      <w:bookmarkEnd w:id="4"/>
      <w:r w:rsidRPr="00FB7ED8">
        <w:rPr>
          <w:lang w:val="fr-FR"/>
        </w:rPr>
        <w:t xml:space="preserve"> le 15 décembre 2025 au Bureau de l'Union. </w:t>
      </w:r>
      <w:r w:rsidR="00CA4A8C" w:rsidRPr="00FB7ED8">
        <w:rPr>
          <w:lang w:val="fr-FR"/>
        </w:rPr>
        <w:t xml:space="preserve"> </w:t>
      </w:r>
      <w:r w:rsidR="00037B1D" w:rsidRPr="00037B1D">
        <w:rPr>
          <w:lang w:val="fr-FR"/>
        </w:rPr>
        <w:t xml:space="preserve">L'étude sera mise à la disposition du WG-HRV en janvier 2026, ce qui laissera aux membres le temps d'examiner la version finale de l'étude avant la neuvième réunion du WG-HRV, prévue en mars 2026, à une date qui reste à confirmer. </w:t>
      </w:r>
      <w:r w:rsidRPr="00FB7ED8">
        <w:rPr>
          <w:lang w:val="fr-FR"/>
        </w:rPr>
        <w:t xml:space="preserve"> </w:t>
      </w:r>
      <w:r w:rsidR="00EA3AE3" w:rsidRPr="00FB7ED8">
        <w:rPr>
          <w:lang w:val="fr-FR"/>
        </w:rPr>
        <w:t>Le mandat actualisé de l'étude est reproduit dans l'annexe du présent document.</w:t>
      </w:r>
    </w:p>
    <w:p w14:paraId="7CB3A5F4" w14:textId="77777777" w:rsidR="00900657" w:rsidRPr="00FB7ED8" w:rsidRDefault="00900657" w:rsidP="00900657">
      <w:pPr>
        <w:rPr>
          <w:lang w:val="fr-FR"/>
        </w:rPr>
      </w:pPr>
    </w:p>
    <w:p w14:paraId="12F28BF6" w14:textId="77777777" w:rsidR="00900657" w:rsidRPr="00FB7ED8" w:rsidRDefault="00900657" w:rsidP="00900657">
      <w:pPr>
        <w:pStyle w:val="DecisionParagraphs"/>
        <w:rPr>
          <w:rFonts w:cs="Arial"/>
          <w:highlight w:val="yellow"/>
          <w:lang w:val="fr-FR"/>
        </w:rPr>
      </w:pPr>
      <w:r w:rsidRPr="00606666">
        <w:rPr>
          <w:rFonts w:cs="Arial"/>
        </w:rPr>
        <w:fldChar w:fldCharType="begin"/>
      </w:r>
      <w:r w:rsidRPr="00FB7ED8">
        <w:rPr>
          <w:rFonts w:cs="Arial"/>
          <w:lang w:val="fr-FR"/>
        </w:rPr>
        <w:instrText xml:space="preserve"> AUTONUM  </w:instrText>
      </w:r>
      <w:r w:rsidRPr="00606666">
        <w:rPr>
          <w:rFonts w:cs="Arial"/>
        </w:rPr>
        <w:fldChar w:fldCharType="end"/>
      </w:r>
      <w:r w:rsidRPr="00FB7ED8">
        <w:rPr>
          <w:rFonts w:cs="Arial"/>
          <w:lang w:val="fr-FR"/>
        </w:rPr>
        <w:tab/>
        <w:t>Le CAJ est invité à prendre note des développements concernant les travaux du WG-HRV, tels que présentés dans le présent document.</w:t>
      </w:r>
    </w:p>
    <w:p w14:paraId="7DF01BD4" w14:textId="77777777" w:rsidR="00900657" w:rsidRPr="00FB7ED8" w:rsidRDefault="00900657" w:rsidP="00900657">
      <w:pPr>
        <w:rPr>
          <w:lang w:val="fr-FR"/>
        </w:rPr>
      </w:pPr>
    </w:p>
    <w:p w14:paraId="692DA41F" w14:textId="77777777" w:rsidR="00900657" w:rsidRPr="00FB7ED8" w:rsidRDefault="00900657" w:rsidP="00900657">
      <w:pPr>
        <w:rPr>
          <w:lang w:val="fr-FR"/>
        </w:rPr>
      </w:pPr>
    </w:p>
    <w:p w14:paraId="6B6DF646" w14:textId="3AEAB334" w:rsidR="004C6369" w:rsidRPr="00FB7ED8" w:rsidRDefault="00900657" w:rsidP="00900657">
      <w:pPr>
        <w:jc w:val="right"/>
        <w:rPr>
          <w:lang w:val="fr-FR"/>
        </w:rPr>
        <w:sectPr w:rsidR="004C6369" w:rsidRPr="00FB7ED8" w:rsidSect="00906DDC">
          <w:headerReference w:type="default" r:id="rId12"/>
          <w:pgSz w:w="11907" w:h="16840" w:code="9"/>
          <w:pgMar w:top="510" w:right="1134" w:bottom="1134" w:left="1134" w:header="510" w:footer="680" w:gutter="0"/>
          <w:cols w:space="720"/>
          <w:titlePg/>
        </w:sectPr>
      </w:pPr>
      <w:r w:rsidRPr="00FB7ED8">
        <w:rPr>
          <w:lang w:val="fr-FR"/>
        </w:rPr>
        <w:t>[</w:t>
      </w:r>
      <w:r w:rsidR="00B001E0">
        <w:rPr>
          <w:lang w:val="fr-FR"/>
        </w:rPr>
        <w:t>L’annexe suit</w:t>
      </w:r>
      <w:r w:rsidRPr="00FB7ED8">
        <w:rPr>
          <w:lang w:val="fr-FR"/>
        </w:rPr>
        <w:t>]</w:t>
      </w:r>
    </w:p>
    <w:p w14:paraId="16FE2B15" w14:textId="77777777" w:rsidR="00900657" w:rsidRPr="00FB7ED8" w:rsidRDefault="00900657" w:rsidP="00900657">
      <w:pPr>
        <w:jc w:val="right"/>
        <w:rPr>
          <w:lang w:val="fr-FR"/>
        </w:rPr>
      </w:pPr>
    </w:p>
    <w:p w14:paraId="5E0E7A28" w14:textId="77777777" w:rsidR="00037B1D" w:rsidRPr="00A81A00" w:rsidRDefault="00037B1D" w:rsidP="00037B1D">
      <w:pPr>
        <w:jc w:val="center"/>
        <w:rPr>
          <w:b/>
          <w:bCs/>
          <w:lang w:val="fr-CH"/>
        </w:rPr>
      </w:pPr>
      <w:bookmarkStart w:id="5" w:name="_Hlk172119356"/>
      <w:r w:rsidRPr="003C7870">
        <w:rPr>
          <w:rFonts w:cs="Arial"/>
          <w:lang w:val="fr-CH"/>
        </w:rPr>
        <w:t xml:space="preserve">MANDAT DE </w:t>
      </w:r>
      <w:r w:rsidRPr="003C7870">
        <w:rPr>
          <w:lang w:val="fr-CH"/>
        </w:rPr>
        <w:t>L'ETUDE SUR "L'ETENDUE DU DROIT D'OBTENTEUR" ET LE RAPPORT AVEC "L'EPUISEMENT DU DROIT D'OBTENTEUR"</w:t>
      </w:r>
    </w:p>
    <w:bookmarkEnd w:id="5"/>
    <w:p w14:paraId="6C7146A7" w14:textId="77777777" w:rsidR="00037B1D" w:rsidRPr="00977881" w:rsidRDefault="00037B1D" w:rsidP="00037B1D">
      <w:pPr>
        <w:jc w:val="center"/>
        <w:rPr>
          <w:i/>
          <w:iCs/>
          <w:lang w:val="fr-FR"/>
        </w:rPr>
      </w:pPr>
      <w:r w:rsidRPr="00977881">
        <w:rPr>
          <w:i/>
          <w:iCs/>
          <w:lang w:val="fr-FR"/>
        </w:rPr>
        <w:t>tel qu'approuvé par le WG-HRV lors de sa sixième réunion et modifié par la circulaire E-25/053</w:t>
      </w:r>
    </w:p>
    <w:p w14:paraId="50B06F66" w14:textId="77777777" w:rsidR="00037B1D" w:rsidRPr="00977881" w:rsidRDefault="00037B1D" w:rsidP="00037B1D">
      <w:pPr>
        <w:jc w:val="left"/>
        <w:rPr>
          <w:lang w:val="fr-FR"/>
        </w:rPr>
      </w:pPr>
    </w:p>
    <w:p w14:paraId="1BAE8A47" w14:textId="77777777" w:rsidR="00037B1D" w:rsidRDefault="00037B1D" w:rsidP="00037B1D">
      <w:pPr>
        <w:pStyle w:val="Heading1"/>
      </w:pPr>
      <w:r>
        <w:t>CHAMP D'APPLICATION :</w:t>
      </w:r>
    </w:p>
    <w:p w14:paraId="11FB80B1" w14:textId="77777777" w:rsidR="00037B1D" w:rsidRDefault="00037B1D" w:rsidP="00037B1D">
      <w:pPr>
        <w:jc w:val="left"/>
      </w:pPr>
    </w:p>
    <w:p w14:paraId="7884B0EF" w14:textId="77777777" w:rsidR="00037B1D" w:rsidRDefault="00037B1D" w:rsidP="00037B1D">
      <w:pPr>
        <w:widowControl w:val="0"/>
        <w:tabs>
          <w:tab w:val="left" w:pos="762"/>
        </w:tabs>
        <w:autoSpaceDE w:val="0"/>
        <w:autoSpaceDN w:val="0"/>
        <w:rPr>
          <w:color w:val="262626"/>
        </w:rPr>
      </w:pPr>
      <w:r w:rsidRPr="003338C4">
        <w:rPr>
          <w:color w:val="262626"/>
        </w:rPr>
        <w:t>L</w:t>
      </w:r>
      <w:r>
        <w:rPr>
          <w:color w:val="262626"/>
        </w:rPr>
        <w:t>'</w:t>
      </w:r>
      <w:r w:rsidRPr="003338C4">
        <w:rPr>
          <w:color w:val="262626"/>
        </w:rPr>
        <w:t>étude doit inclure</w:t>
      </w:r>
    </w:p>
    <w:p w14:paraId="1584A83A" w14:textId="77777777" w:rsidR="00037B1D" w:rsidRPr="003338C4" w:rsidRDefault="00037B1D" w:rsidP="00037B1D">
      <w:pPr>
        <w:widowControl w:val="0"/>
        <w:tabs>
          <w:tab w:val="left" w:pos="762"/>
        </w:tabs>
        <w:autoSpaceDE w:val="0"/>
        <w:autoSpaceDN w:val="0"/>
        <w:rPr>
          <w:color w:val="262626"/>
        </w:rPr>
      </w:pPr>
    </w:p>
    <w:p w14:paraId="1D368606" w14:textId="77777777" w:rsidR="00037B1D" w:rsidRPr="003C7870" w:rsidRDefault="00037B1D" w:rsidP="00037B1D">
      <w:pPr>
        <w:pStyle w:val="ListParagraph"/>
        <w:widowControl w:val="0"/>
        <w:numPr>
          <w:ilvl w:val="0"/>
          <w:numId w:val="4"/>
        </w:numPr>
        <w:tabs>
          <w:tab w:val="left" w:pos="762"/>
        </w:tabs>
        <w:autoSpaceDE w:val="0"/>
        <w:autoSpaceDN w:val="0"/>
        <w:rPr>
          <w:color w:val="262626"/>
          <w:lang w:val="fr-CH"/>
        </w:rPr>
      </w:pPr>
      <w:r w:rsidRPr="003C7870">
        <w:rPr>
          <w:color w:val="262626"/>
          <w:lang w:val="fr-CH"/>
        </w:rPr>
        <w:t xml:space="preserve">une </w:t>
      </w:r>
      <w:r w:rsidRPr="003C7870">
        <w:rPr>
          <w:color w:val="262626"/>
          <w:u w:val="single"/>
          <w:lang w:val="fr-CH"/>
        </w:rPr>
        <w:t xml:space="preserve">première partie </w:t>
      </w:r>
      <w:r w:rsidRPr="003C7870">
        <w:rPr>
          <w:color w:val="262626"/>
          <w:lang w:val="fr-CH"/>
        </w:rPr>
        <w:t xml:space="preserve">contenant une analyse des </w:t>
      </w:r>
      <w:r w:rsidRPr="003C7870">
        <w:rPr>
          <w:color w:val="161616"/>
          <w:lang w:val="fr-CH"/>
        </w:rPr>
        <w:t xml:space="preserve">intentions </w:t>
      </w:r>
      <w:r w:rsidRPr="003C7870">
        <w:rPr>
          <w:color w:val="262626"/>
          <w:lang w:val="fr-CH"/>
        </w:rPr>
        <w:t>des rédacteurs de l'</w:t>
      </w:r>
      <w:r w:rsidRPr="003C7870">
        <w:rPr>
          <w:color w:val="161616"/>
          <w:lang w:val="fr-CH"/>
        </w:rPr>
        <w:t xml:space="preserve">Acte de 1991 de la Convention UPOV </w:t>
      </w:r>
      <w:r w:rsidRPr="003C7870">
        <w:rPr>
          <w:color w:val="262626"/>
          <w:lang w:val="fr-CH"/>
        </w:rPr>
        <w:t>en ce qui concerne l'"Étendue du droit d'obtenteur" à l'article 14.1) et 2) de l'Acte de 1991, y compris les notions d'"utilisation non autorisée" et d'"opportunité raisonnable" et la relation avec l'"Épuisement du droit d'obtenteur" à l'article 16 de l'Acte de 1991 ; et</w:t>
      </w:r>
    </w:p>
    <w:p w14:paraId="4FC05C8F" w14:textId="77777777" w:rsidR="00037B1D" w:rsidRPr="003C7870" w:rsidRDefault="00037B1D" w:rsidP="00037B1D">
      <w:pPr>
        <w:pStyle w:val="ListParagraph"/>
        <w:widowControl w:val="0"/>
        <w:tabs>
          <w:tab w:val="left" w:pos="762"/>
        </w:tabs>
        <w:autoSpaceDE w:val="0"/>
        <w:autoSpaceDN w:val="0"/>
        <w:rPr>
          <w:color w:val="262626"/>
          <w:lang w:val="fr-CH"/>
        </w:rPr>
      </w:pPr>
    </w:p>
    <w:p w14:paraId="21ABC5A0" w14:textId="77777777" w:rsidR="00037B1D" w:rsidRPr="003C7870" w:rsidRDefault="00037B1D" w:rsidP="00037B1D">
      <w:pPr>
        <w:pStyle w:val="ListParagraph"/>
        <w:widowControl w:val="0"/>
        <w:numPr>
          <w:ilvl w:val="0"/>
          <w:numId w:val="4"/>
        </w:numPr>
        <w:tabs>
          <w:tab w:val="left" w:pos="762"/>
        </w:tabs>
        <w:autoSpaceDE w:val="0"/>
        <w:autoSpaceDN w:val="0"/>
        <w:rPr>
          <w:color w:val="343434"/>
          <w:lang w:val="fr-CH"/>
        </w:rPr>
      </w:pPr>
      <w:r w:rsidRPr="003C7870">
        <w:rPr>
          <w:color w:val="262626"/>
          <w:lang w:val="fr-CH"/>
        </w:rPr>
        <w:t xml:space="preserve">une </w:t>
      </w:r>
      <w:r w:rsidRPr="003C7870">
        <w:rPr>
          <w:color w:val="343434"/>
          <w:u w:val="single"/>
          <w:lang w:val="fr-CH"/>
        </w:rPr>
        <w:t xml:space="preserve">deuxième </w:t>
      </w:r>
      <w:r w:rsidRPr="003C7870">
        <w:rPr>
          <w:color w:val="262626"/>
          <w:u w:val="single"/>
          <w:lang w:val="fr-CH"/>
        </w:rPr>
        <w:t xml:space="preserve">partie </w:t>
      </w:r>
      <w:r w:rsidRPr="003C7870">
        <w:rPr>
          <w:color w:val="262626"/>
          <w:lang w:val="fr-CH"/>
        </w:rPr>
        <w:t xml:space="preserve">contenant des </w:t>
      </w:r>
      <w:r w:rsidRPr="003C7870">
        <w:rPr>
          <w:color w:val="161616"/>
          <w:lang w:val="fr-CH"/>
        </w:rPr>
        <w:t xml:space="preserve">résumés </w:t>
      </w:r>
      <w:r w:rsidRPr="003C7870">
        <w:rPr>
          <w:color w:val="343434"/>
          <w:lang w:val="fr-CH"/>
        </w:rPr>
        <w:t xml:space="preserve">des décisions </w:t>
      </w:r>
      <w:r w:rsidRPr="003C7870">
        <w:rPr>
          <w:color w:val="262626"/>
          <w:lang w:val="fr-CH"/>
        </w:rPr>
        <w:t xml:space="preserve">judiciaires pertinentes </w:t>
      </w:r>
      <w:r w:rsidRPr="003C7870">
        <w:rPr>
          <w:color w:val="343434"/>
          <w:lang w:val="fr-CH"/>
        </w:rPr>
        <w:t>des membres de l'UPOV liés par l'Acte de 1991.</w:t>
      </w:r>
    </w:p>
    <w:p w14:paraId="55C93F46" w14:textId="77777777" w:rsidR="00037B1D" w:rsidRPr="003C7870" w:rsidRDefault="00037B1D" w:rsidP="00037B1D">
      <w:pPr>
        <w:widowControl w:val="0"/>
        <w:tabs>
          <w:tab w:val="left" w:pos="762"/>
        </w:tabs>
        <w:autoSpaceDE w:val="0"/>
        <w:autoSpaceDN w:val="0"/>
        <w:rPr>
          <w:color w:val="262626"/>
          <w:lang w:val="fr-CH"/>
        </w:rPr>
      </w:pPr>
    </w:p>
    <w:p w14:paraId="248D4A75" w14:textId="77777777" w:rsidR="00037B1D" w:rsidRPr="003C7870" w:rsidRDefault="00037B1D" w:rsidP="00037B1D">
      <w:pPr>
        <w:widowControl w:val="0"/>
        <w:tabs>
          <w:tab w:val="left" w:pos="762"/>
        </w:tabs>
        <w:autoSpaceDE w:val="0"/>
        <w:autoSpaceDN w:val="0"/>
        <w:rPr>
          <w:color w:val="262626"/>
          <w:lang w:val="fr-CH"/>
        </w:rPr>
      </w:pPr>
    </w:p>
    <w:p w14:paraId="5B6E1ECD" w14:textId="77777777" w:rsidR="00037B1D" w:rsidRPr="003C7870" w:rsidRDefault="00037B1D" w:rsidP="00037B1D">
      <w:pPr>
        <w:pStyle w:val="Heading1"/>
        <w:rPr>
          <w:lang w:val="fr-CH"/>
        </w:rPr>
      </w:pPr>
      <w:bookmarkStart w:id="6" w:name="_Toc172119299"/>
      <w:bookmarkStart w:id="7" w:name="_Toc172119336"/>
      <w:r w:rsidRPr="003C7870">
        <w:rPr>
          <w:lang w:val="fr-CH"/>
        </w:rPr>
        <w:t>COMPOSITION :</w:t>
      </w:r>
      <w:bookmarkEnd w:id="6"/>
      <w:bookmarkEnd w:id="7"/>
    </w:p>
    <w:p w14:paraId="2AA0966F" w14:textId="77777777" w:rsidR="00037B1D" w:rsidRPr="003C7870" w:rsidRDefault="00037B1D" w:rsidP="00037B1D">
      <w:pPr>
        <w:widowControl w:val="0"/>
        <w:tabs>
          <w:tab w:val="left" w:pos="762"/>
        </w:tabs>
        <w:autoSpaceDE w:val="0"/>
        <w:autoSpaceDN w:val="0"/>
        <w:ind w:right="113"/>
        <w:rPr>
          <w:color w:val="262626"/>
          <w:lang w:val="fr-CH"/>
        </w:rPr>
      </w:pPr>
    </w:p>
    <w:p w14:paraId="6DB7F2BE" w14:textId="77777777" w:rsidR="00037B1D" w:rsidRPr="003C7870" w:rsidRDefault="00037B1D" w:rsidP="00037B1D">
      <w:pPr>
        <w:rPr>
          <w:lang w:val="fr-CH"/>
        </w:rPr>
      </w:pPr>
      <w:r w:rsidRPr="003C7870">
        <w:rPr>
          <w:lang w:val="fr-CH"/>
        </w:rPr>
        <w:t>L'étude doit être réalisée par les cinq auteurs mentionnés ci-dessous. Les auteurs doivent se mettre d'accord sur l'un d'entre eux pour coordonner leur travail.</w:t>
      </w:r>
    </w:p>
    <w:p w14:paraId="44E85BBC" w14:textId="77777777" w:rsidR="00037B1D" w:rsidRPr="003C7870" w:rsidRDefault="00037B1D" w:rsidP="00037B1D">
      <w:pPr>
        <w:rPr>
          <w:lang w:val="fr-CH"/>
        </w:rPr>
      </w:pPr>
    </w:p>
    <w:p w14:paraId="211406C0" w14:textId="77777777" w:rsidR="00037B1D" w:rsidRPr="003C7870" w:rsidRDefault="00037B1D" w:rsidP="00037B1D">
      <w:pPr>
        <w:rPr>
          <w:lang w:val="fr-CH"/>
        </w:rPr>
      </w:pPr>
      <w:r w:rsidRPr="003C7870">
        <w:rPr>
          <w:lang w:val="fr-CH"/>
        </w:rPr>
        <w:t xml:space="preserve">La langue de travail des auteurs doit être l'anglais et l'étude doit être rédigée en anglais. </w:t>
      </w:r>
    </w:p>
    <w:p w14:paraId="1853CA38" w14:textId="77777777" w:rsidR="00037B1D" w:rsidRPr="003C7870" w:rsidRDefault="00037B1D" w:rsidP="00037B1D">
      <w:pPr>
        <w:jc w:val="left"/>
        <w:rPr>
          <w:spacing w:val="-2"/>
          <w:lang w:val="fr-CH"/>
        </w:rPr>
      </w:pPr>
    </w:p>
    <w:tbl>
      <w:tblPr>
        <w:tblStyle w:val="TableGrid"/>
        <w:tblW w:w="3145" w:type="dxa"/>
        <w:jc w:val="center"/>
        <w:tblInd w:w="0" w:type="dxa"/>
        <w:tblLook w:val="04A0" w:firstRow="1" w:lastRow="0" w:firstColumn="1" w:lastColumn="0" w:noHBand="0" w:noVBand="1"/>
      </w:tblPr>
      <w:tblGrid>
        <w:gridCol w:w="3145"/>
      </w:tblGrid>
      <w:tr w:rsidR="00037B1D" w:rsidRPr="00E02B4F" w14:paraId="42B1D65A"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hideMark/>
          </w:tcPr>
          <w:p w14:paraId="61819158" w14:textId="77777777" w:rsidR="00037B1D" w:rsidRDefault="00037B1D" w:rsidP="005F36C9">
            <w:pPr>
              <w:jc w:val="left"/>
              <w:rPr>
                <w:b/>
                <w:bCs/>
                <w:spacing w:val="-2"/>
              </w:rPr>
            </w:pPr>
            <w:r w:rsidRPr="00073978">
              <w:rPr>
                <w:b/>
                <w:bCs/>
                <w:spacing w:val="-2"/>
              </w:rPr>
              <w:t>Experts (ordre alphabétique)</w:t>
            </w:r>
          </w:p>
        </w:tc>
      </w:tr>
      <w:tr w:rsidR="00037B1D" w:rsidRPr="00E02B4F" w14:paraId="30910C5F"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tcPr>
          <w:p w14:paraId="3B791E6D" w14:textId="77777777" w:rsidR="00037B1D" w:rsidRDefault="00037B1D" w:rsidP="005F36C9">
            <w:pPr>
              <w:jc w:val="left"/>
              <w:rPr>
                <w:spacing w:val="-2"/>
              </w:rPr>
            </w:pPr>
            <w:r w:rsidRPr="00073E6C">
              <w:rPr>
                <w:spacing w:val="-2"/>
              </w:rPr>
              <w:t>M</w:t>
            </w:r>
            <w:r>
              <w:rPr>
                <w:spacing w:val="-2"/>
              </w:rPr>
              <w:t xml:space="preserve">. </w:t>
            </w:r>
            <w:r w:rsidRPr="00073E6C">
              <w:rPr>
                <w:spacing w:val="-2"/>
              </w:rPr>
              <w:t>Huib Ghijsen</w:t>
            </w:r>
          </w:p>
        </w:tc>
      </w:tr>
      <w:tr w:rsidR="00037B1D" w:rsidRPr="00E02B4F" w14:paraId="23DA050B"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tcPr>
          <w:p w14:paraId="47946B02" w14:textId="77777777" w:rsidR="00037B1D" w:rsidRDefault="00037B1D" w:rsidP="005F36C9">
            <w:pPr>
              <w:jc w:val="left"/>
              <w:rPr>
                <w:spacing w:val="-2"/>
              </w:rPr>
            </w:pPr>
            <w:r w:rsidRPr="00073E6C">
              <w:rPr>
                <w:spacing w:val="-2"/>
                <w:lang w:val="es-ES_tradnl"/>
              </w:rPr>
              <w:t>Mme Vivianne Kunisawa</w:t>
            </w:r>
          </w:p>
        </w:tc>
      </w:tr>
      <w:tr w:rsidR="00037B1D" w:rsidRPr="00E02B4F" w14:paraId="6A61137C"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hideMark/>
          </w:tcPr>
          <w:p w14:paraId="7E003E40" w14:textId="77777777" w:rsidR="00037B1D" w:rsidRDefault="00037B1D" w:rsidP="005F36C9">
            <w:pPr>
              <w:jc w:val="left"/>
              <w:rPr>
                <w:spacing w:val="-2"/>
              </w:rPr>
            </w:pPr>
            <w:r w:rsidRPr="00073E6C">
              <w:rPr>
                <w:spacing w:val="-2"/>
              </w:rPr>
              <w:t>M</w:t>
            </w:r>
            <w:r>
              <w:rPr>
                <w:spacing w:val="-2"/>
              </w:rPr>
              <w:t xml:space="preserve">. </w:t>
            </w:r>
            <w:r w:rsidRPr="00073E6C">
              <w:rPr>
                <w:spacing w:val="-2"/>
              </w:rPr>
              <w:t>Charles Lawson</w:t>
            </w:r>
          </w:p>
        </w:tc>
      </w:tr>
      <w:tr w:rsidR="00037B1D" w:rsidRPr="00E02B4F" w14:paraId="01D00D3D"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tcPr>
          <w:p w14:paraId="29356E2A" w14:textId="77777777" w:rsidR="00037B1D" w:rsidRDefault="00037B1D" w:rsidP="005F36C9">
            <w:pPr>
              <w:jc w:val="left"/>
              <w:rPr>
                <w:spacing w:val="-2"/>
              </w:rPr>
            </w:pPr>
            <w:r w:rsidRPr="00073E6C">
              <w:rPr>
                <w:spacing w:val="-2"/>
              </w:rPr>
              <w:t>M</w:t>
            </w:r>
            <w:r>
              <w:rPr>
                <w:spacing w:val="-2"/>
              </w:rPr>
              <w:t xml:space="preserve">. </w:t>
            </w:r>
            <w:r w:rsidRPr="00073E6C">
              <w:rPr>
                <w:spacing w:val="-2"/>
              </w:rPr>
              <w:t>Axel Metzger</w:t>
            </w:r>
          </w:p>
        </w:tc>
      </w:tr>
      <w:tr w:rsidR="00037B1D" w:rsidRPr="00E02B4F" w14:paraId="69FFC2BB"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hideMark/>
          </w:tcPr>
          <w:p w14:paraId="259897AE" w14:textId="77777777" w:rsidR="00037B1D" w:rsidRDefault="00037B1D" w:rsidP="005F36C9">
            <w:pPr>
              <w:jc w:val="left"/>
              <w:rPr>
                <w:spacing w:val="-2"/>
                <w:lang w:val="es-ES_tradnl"/>
              </w:rPr>
            </w:pPr>
            <w:r>
              <w:rPr>
                <w:spacing w:val="-2"/>
              </w:rPr>
              <w:t xml:space="preserve">Monsieur </w:t>
            </w:r>
            <w:r w:rsidRPr="00073E6C">
              <w:rPr>
                <w:spacing w:val="-2"/>
              </w:rPr>
              <w:t>Joseph Straus</w:t>
            </w:r>
          </w:p>
        </w:tc>
      </w:tr>
    </w:tbl>
    <w:p w14:paraId="13DE6C95" w14:textId="77777777" w:rsidR="00037B1D" w:rsidRDefault="00037B1D" w:rsidP="00037B1D">
      <w:pPr>
        <w:widowControl w:val="0"/>
        <w:tabs>
          <w:tab w:val="left" w:pos="762"/>
        </w:tabs>
        <w:autoSpaceDE w:val="0"/>
        <w:autoSpaceDN w:val="0"/>
        <w:jc w:val="left"/>
        <w:rPr>
          <w:color w:val="262626"/>
        </w:rPr>
      </w:pPr>
    </w:p>
    <w:p w14:paraId="56F85224" w14:textId="77777777" w:rsidR="00037B1D" w:rsidRDefault="00037B1D" w:rsidP="00037B1D">
      <w:pPr>
        <w:rPr>
          <w:color w:val="262626"/>
        </w:rPr>
      </w:pPr>
    </w:p>
    <w:p w14:paraId="0F7409E5" w14:textId="77777777" w:rsidR="00037B1D" w:rsidRDefault="00037B1D" w:rsidP="00037B1D">
      <w:pPr>
        <w:widowControl w:val="0"/>
        <w:tabs>
          <w:tab w:val="left" w:pos="762"/>
        </w:tabs>
        <w:autoSpaceDE w:val="0"/>
        <w:autoSpaceDN w:val="0"/>
        <w:rPr>
          <w:caps/>
        </w:rPr>
      </w:pPr>
      <w:r w:rsidRPr="007F0F7A">
        <w:rPr>
          <w:caps/>
        </w:rPr>
        <w:t>MODUS OPERANDI :</w:t>
      </w:r>
    </w:p>
    <w:p w14:paraId="71AC4F5C" w14:textId="77777777" w:rsidR="00037B1D" w:rsidRDefault="00037B1D" w:rsidP="00037B1D">
      <w:pPr>
        <w:widowControl w:val="0"/>
        <w:tabs>
          <w:tab w:val="left" w:pos="762"/>
        </w:tabs>
        <w:autoSpaceDE w:val="0"/>
        <w:autoSpaceDN w:val="0"/>
        <w:rPr>
          <w:color w:val="262626"/>
        </w:rPr>
      </w:pPr>
    </w:p>
    <w:p w14:paraId="7A6D6CF6" w14:textId="77777777" w:rsidR="00037B1D" w:rsidRDefault="00037B1D" w:rsidP="00037B1D">
      <w:pPr>
        <w:pStyle w:val="Heading2"/>
      </w:pPr>
      <w:bookmarkStart w:id="8" w:name="_Toc172119300"/>
      <w:bookmarkStart w:id="9" w:name="_Toc172119337"/>
      <w:r w:rsidRPr="007F0F7A">
        <w:t xml:space="preserve">Indépendance : </w:t>
      </w:r>
      <w:bookmarkEnd w:id="8"/>
      <w:bookmarkEnd w:id="9"/>
    </w:p>
    <w:p w14:paraId="52FA12FA" w14:textId="77777777" w:rsidR="00037B1D" w:rsidRPr="003338C4" w:rsidRDefault="00037B1D" w:rsidP="00037B1D"/>
    <w:p w14:paraId="5EB6D32A" w14:textId="77777777" w:rsidR="00037B1D" w:rsidRPr="003C7870" w:rsidRDefault="00037B1D" w:rsidP="00037B1D">
      <w:pPr>
        <w:widowControl w:val="0"/>
        <w:tabs>
          <w:tab w:val="left" w:pos="762"/>
        </w:tabs>
        <w:autoSpaceDE w:val="0"/>
        <w:autoSpaceDN w:val="0"/>
        <w:rPr>
          <w:lang w:val="fr-CH"/>
        </w:rPr>
      </w:pPr>
      <w:r w:rsidRPr="003C7870">
        <w:rPr>
          <w:color w:val="262626"/>
          <w:lang w:val="fr-CH"/>
        </w:rPr>
        <w:t xml:space="preserve">Les auteurs sont indépendants dans la rédaction de l'étude, </w:t>
      </w:r>
      <w:r w:rsidRPr="003C7870">
        <w:rPr>
          <w:lang w:val="fr-CH"/>
        </w:rPr>
        <w:t xml:space="preserve">en ce sens qu'ils ne doivent recevoir d'instructions individuelles de personne et qu'ils doivent être impartiaux et objectifs. </w:t>
      </w:r>
    </w:p>
    <w:p w14:paraId="26CFE400" w14:textId="77777777" w:rsidR="00037B1D" w:rsidRPr="003C7870" w:rsidRDefault="00037B1D" w:rsidP="00037B1D">
      <w:pPr>
        <w:widowControl w:val="0"/>
        <w:tabs>
          <w:tab w:val="left" w:pos="762"/>
        </w:tabs>
        <w:autoSpaceDE w:val="0"/>
        <w:autoSpaceDN w:val="0"/>
        <w:rPr>
          <w:lang w:val="fr-CH"/>
        </w:rPr>
      </w:pPr>
    </w:p>
    <w:p w14:paraId="106AA381" w14:textId="77777777" w:rsidR="00037B1D" w:rsidRPr="003C7870" w:rsidRDefault="00037B1D" w:rsidP="00037B1D">
      <w:pPr>
        <w:widowControl w:val="0"/>
        <w:tabs>
          <w:tab w:val="left" w:pos="762"/>
        </w:tabs>
        <w:autoSpaceDE w:val="0"/>
        <w:autoSpaceDN w:val="0"/>
        <w:rPr>
          <w:color w:val="262626"/>
          <w:lang w:val="fr-CH"/>
        </w:rPr>
      </w:pPr>
      <w:r w:rsidRPr="003C7870">
        <w:rPr>
          <w:lang w:val="fr-CH"/>
        </w:rPr>
        <w:t>Les cinq auteurs doivent rédiger une seule étude et suivre une méthode de travail collaborative conforme aux normes académiques. Dans le respect de ces normes, les auteurs doivent gérer les éventuelles différences de points de vue ou d'analyse et, le cas échéant, la manière dont ces questions doivent être prises en compte dans l'étude.</w:t>
      </w:r>
    </w:p>
    <w:p w14:paraId="660F349F" w14:textId="77777777" w:rsidR="00037B1D" w:rsidRPr="003C7870" w:rsidRDefault="00037B1D" w:rsidP="00037B1D">
      <w:pPr>
        <w:widowControl w:val="0"/>
        <w:tabs>
          <w:tab w:val="left" w:pos="762"/>
        </w:tabs>
        <w:autoSpaceDE w:val="0"/>
        <w:autoSpaceDN w:val="0"/>
        <w:rPr>
          <w:color w:val="262626"/>
          <w:lang w:val="fr-CH"/>
        </w:rPr>
      </w:pPr>
    </w:p>
    <w:p w14:paraId="7062B0C5" w14:textId="77777777" w:rsidR="00037B1D" w:rsidRPr="003C7870" w:rsidRDefault="00037B1D" w:rsidP="00037B1D">
      <w:pPr>
        <w:widowControl w:val="0"/>
        <w:tabs>
          <w:tab w:val="left" w:pos="762"/>
        </w:tabs>
        <w:autoSpaceDE w:val="0"/>
        <w:autoSpaceDN w:val="0"/>
        <w:rPr>
          <w:color w:val="262626"/>
          <w:lang w:val="fr-CH"/>
        </w:rPr>
      </w:pPr>
      <w:r w:rsidRPr="003C7870">
        <w:rPr>
          <w:color w:val="262626"/>
          <w:lang w:val="fr-CH"/>
        </w:rPr>
        <w:t xml:space="preserve">Après avoir reçu l'étude, il appartient au WG-HRV d'envisager un éventuel suivi et de demander des orientations supplémentaires au CAJ, le cas échéant. </w:t>
      </w:r>
    </w:p>
    <w:p w14:paraId="15245CD2" w14:textId="77777777" w:rsidR="00037B1D" w:rsidRPr="003C7870" w:rsidRDefault="00037B1D" w:rsidP="00037B1D">
      <w:pPr>
        <w:widowControl w:val="0"/>
        <w:tabs>
          <w:tab w:val="left" w:pos="762"/>
        </w:tabs>
        <w:autoSpaceDE w:val="0"/>
        <w:autoSpaceDN w:val="0"/>
        <w:rPr>
          <w:color w:val="262626"/>
          <w:lang w:val="fr-CH"/>
        </w:rPr>
      </w:pPr>
    </w:p>
    <w:p w14:paraId="2F09A374" w14:textId="77777777" w:rsidR="00037B1D" w:rsidRPr="003C7870" w:rsidRDefault="00037B1D" w:rsidP="00037B1D">
      <w:pPr>
        <w:widowControl w:val="0"/>
        <w:tabs>
          <w:tab w:val="left" w:pos="762"/>
        </w:tabs>
        <w:autoSpaceDE w:val="0"/>
        <w:autoSpaceDN w:val="0"/>
        <w:rPr>
          <w:color w:val="262626"/>
          <w:lang w:val="fr-CH"/>
        </w:rPr>
      </w:pPr>
      <w:r w:rsidRPr="003C7870">
        <w:rPr>
          <w:color w:val="262626"/>
          <w:lang w:val="fr-CH"/>
        </w:rPr>
        <w:t>Les membres de l'UPOV ne sont pas liés par le contenu et/ou les conclusions de l'étude.</w:t>
      </w:r>
    </w:p>
    <w:p w14:paraId="1FD077B4" w14:textId="77777777" w:rsidR="00037B1D" w:rsidRPr="00977881" w:rsidRDefault="00037B1D" w:rsidP="00037B1D">
      <w:pPr>
        <w:widowControl w:val="0"/>
        <w:tabs>
          <w:tab w:val="left" w:pos="762"/>
        </w:tabs>
        <w:autoSpaceDE w:val="0"/>
        <w:autoSpaceDN w:val="0"/>
        <w:rPr>
          <w:color w:val="262626"/>
          <w:lang w:val="fr-FR"/>
        </w:rPr>
      </w:pPr>
    </w:p>
    <w:p w14:paraId="1B8CF0B6" w14:textId="77777777" w:rsidR="00037B1D" w:rsidRPr="00977881" w:rsidRDefault="00037B1D" w:rsidP="00037B1D">
      <w:pPr>
        <w:pStyle w:val="Heading2"/>
        <w:rPr>
          <w:lang w:val="fr-FR"/>
        </w:rPr>
      </w:pPr>
      <w:bookmarkStart w:id="10" w:name="_Toc172119301"/>
      <w:bookmarkStart w:id="11" w:name="_Toc172119338"/>
      <w:r w:rsidRPr="00977881">
        <w:rPr>
          <w:lang w:val="fr-FR"/>
        </w:rPr>
        <w:t>Calendrier :</w:t>
      </w:r>
      <w:bookmarkEnd w:id="10"/>
      <w:bookmarkEnd w:id="11"/>
    </w:p>
    <w:p w14:paraId="08FB3210" w14:textId="77777777" w:rsidR="00037B1D" w:rsidRPr="00977881" w:rsidRDefault="00037B1D" w:rsidP="00037B1D">
      <w:pPr>
        <w:widowControl w:val="0"/>
        <w:tabs>
          <w:tab w:val="left" w:pos="762"/>
        </w:tabs>
        <w:autoSpaceDE w:val="0"/>
        <w:autoSpaceDN w:val="0"/>
        <w:rPr>
          <w:color w:val="161616"/>
          <w:lang w:val="fr-FR"/>
        </w:rPr>
      </w:pPr>
    </w:p>
    <w:p w14:paraId="27BC4F47" w14:textId="77777777" w:rsidR="00037B1D" w:rsidRPr="00977881" w:rsidRDefault="00037B1D" w:rsidP="00037B1D">
      <w:pPr>
        <w:widowControl w:val="0"/>
        <w:tabs>
          <w:tab w:val="left" w:pos="762"/>
        </w:tabs>
        <w:autoSpaceDE w:val="0"/>
        <w:autoSpaceDN w:val="0"/>
        <w:rPr>
          <w:rFonts w:cs="Arial"/>
          <w:lang w:val="fr-FR"/>
        </w:rPr>
      </w:pPr>
      <w:bookmarkStart w:id="12" w:name="_Hlk209533393"/>
      <w:r w:rsidRPr="00977881">
        <w:rPr>
          <w:rFonts w:cs="Arial"/>
          <w:lang w:val="fr-FR"/>
        </w:rPr>
        <w:t>Les auteurs seront invités à remettre le projet d'étude au plus tard le 1er septembre 2025, pour examen lors de la huitième réunion du WG-HRV, le 22 octobre 2025. La version finale de l'étude devra être remise au plus tard le 15 décembre 2025.</w:t>
      </w:r>
    </w:p>
    <w:bookmarkEnd w:id="12"/>
    <w:p w14:paraId="58ED079C" w14:textId="77777777" w:rsidR="00B10E5C" w:rsidRPr="00FB7ED8" w:rsidRDefault="00B10E5C" w:rsidP="00B10E5C">
      <w:pPr>
        <w:widowControl w:val="0"/>
        <w:tabs>
          <w:tab w:val="left" w:pos="762"/>
        </w:tabs>
        <w:autoSpaceDE w:val="0"/>
        <w:autoSpaceDN w:val="0"/>
        <w:rPr>
          <w:color w:val="161616"/>
          <w:lang w:val="fr-FR"/>
        </w:rPr>
      </w:pPr>
    </w:p>
    <w:p w14:paraId="4869373B" w14:textId="77777777" w:rsidR="00037B1D" w:rsidRPr="003C7870" w:rsidRDefault="00037B1D" w:rsidP="00037B1D">
      <w:pPr>
        <w:pStyle w:val="Heading2"/>
        <w:rPr>
          <w:lang w:val="fr-CH"/>
        </w:rPr>
      </w:pPr>
      <w:bookmarkStart w:id="13" w:name="_Toc172119302"/>
      <w:bookmarkStart w:id="14" w:name="_Toc172119339"/>
      <w:r w:rsidRPr="003C7870">
        <w:rPr>
          <w:lang w:val="fr-CH"/>
        </w:rPr>
        <w:lastRenderedPageBreak/>
        <w:t>Soutien financier :</w:t>
      </w:r>
      <w:bookmarkEnd w:id="13"/>
      <w:bookmarkEnd w:id="14"/>
    </w:p>
    <w:p w14:paraId="0778ACE0" w14:textId="77777777" w:rsidR="00037B1D" w:rsidRPr="003C7870" w:rsidRDefault="00037B1D" w:rsidP="00037B1D">
      <w:pPr>
        <w:keepNext/>
        <w:jc w:val="left"/>
        <w:rPr>
          <w:lang w:val="fr-CH"/>
        </w:rPr>
      </w:pPr>
    </w:p>
    <w:p w14:paraId="3B8CCA11" w14:textId="77777777" w:rsidR="00037B1D" w:rsidRPr="003C7870" w:rsidRDefault="00037B1D" w:rsidP="00037B1D">
      <w:pPr>
        <w:keepNext/>
        <w:rPr>
          <w:lang w:val="fr-CH"/>
        </w:rPr>
      </w:pPr>
      <w:r w:rsidRPr="003C7870">
        <w:rPr>
          <w:lang w:val="fr-CH"/>
        </w:rPr>
        <w:t xml:space="preserve">55 000 francs suisses qui comprendraient : </w:t>
      </w:r>
    </w:p>
    <w:p w14:paraId="2330CCF6" w14:textId="77777777" w:rsidR="00037B1D" w:rsidRPr="003C7870" w:rsidRDefault="00037B1D" w:rsidP="00037B1D">
      <w:pPr>
        <w:keepNext/>
        <w:rPr>
          <w:lang w:val="fr-CH"/>
        </w:rPr>
      </w:pPr>
    </w:p>
    <w:p w14:paraId="2233CA97" w14:textId="77777777" w:rsidR="00037B1D" w:rsidRPr="003C7870" w:rsidRDefault="00037B1D" w:rsidP="00037B1D">
      <w:pPr>
        <w:keepNext/>
        <w:ind w:left="284" w:hanging="284"/>
        <w:rPr>
          <w:lang w:val="fr-CH"/>
        </w:rPr>
      </w:pPr>
      <w:r w:rsidRPr="00222C58">
        <w:rPr>
          <w:rFonts w:ascii="MS Gothic" w:eastAsia="MS Gothic" w:hAnsi="MS Gothic" w:cs="MS Gothic" w:hint="eastAsia"/>
        </w:rPr>
        <w:t>・</w:t>
      </w:r>
      <w:r w:rsidRPr="003C7870">
        <w:rPr>
          <w:rFonts w:ascii="MS Gothic" w:eastAsia="MS Gothic" w:hAnsi="MS Gothic" w:cs="MS Gothic"/>
          <w:lang w:val="fr-CH"/>
        </w:rPr>
        <w:tab/>
      </w:r>
      <w:r w:rsidRPr="003C7870">
        <w:rPr>
          <w:lang w:val="fr-CH"/>
        </w:rPr>
        <w:t xml:space="preserve">Honoraires de 10 000 francs suisses pour chacun des 5 auteurs. </w:t>
      </w:r>
    </w:p>
    <w:p w14:paraId="37EFD8CD" w14:textId="77777777" w:rsidR="00037B1D" w:rsidRPr="003C7870" w:rsidRDefault="00037B1D" w:rsidP="00037B1D">
      <w:pPr>
        <w:ind w:left="284" w:hanging="284"/>
        <w:rPr>
          <w:lang w:val="fr-CH"/>
        </w:rPr>
      </w:pPr>
      <w:r w:rsidRPr="00222C58">
        <w:rPr>
          <w:rFonts w:ascii="MS Gothic" w:eastAsia="MS Gothic" w:hAnsi="MS Gothic" w:cs="MS Gothic" w:hint="eastAsia"/>
        </w:rPr>
        <w:t>・</w:t>
      </w:r>
      <w:r w:rsidRPr="003C7870">
        <w:rPr>
          <w:rFonts w:ascii="MS Gothic" w:eastAsia="MS Gothic" w:hAnsi="MS Gothic" w:cs="MS Gothic"/>
          <w:lang w:val="fr-CH"/>
        </w:rPr>
        <w:tab/>
      </w:r>
      <w:r w:rsidRPr="003C7870">
        <w:rPr>
          <w:lang w:val="fr-CH"/>
        </w:rPr>
        <w:t>Frais de voyage jusqu'à 5 000 francs suisses au total pour les 5 auteurs. Le but de ce voyage peut être d'organiser une réunion entre les auteurs ou de financer le voyage pour venir à Genève présenter les résultats de l'étude ou toute autre dépense de voyage imprévue.</w:t>
      </w:r>
    </w:p>
    <w:p w14:paraId="075CF111" w14:textId="77777777" w:rsidR="00037B1D" w:rsidRPr="003C7870" w:rsidRDefault="00037B1D" w:rsidP="00037B1D">
      <w:pPr>
        <w:rPr>
          <w:lang w:val="fr-CH"/>
        </w:rPr>
      </w:pPr>
    </w:p>
    <w:p w14:paraId="1398BC52" w14:textId="77777777" w:rsidR="00037B1D" w:rsidRPr="003C7870" w:rsidRDefault="00037B1D" w:rsidP="00037B1D">
      <w:pPr>
        <w:rPr>
          <w:lang w:val="fr-CH"/>
        </w:rPr>
      </w:pPr>
      <w:r w:rsidRPr="003C7870">
        <w:rPr>
          <w:lang w:val="fr-CH"/>
        </w:rPr>
        <w:t xml:space="preserve">L'estimation globale des coûts à partager est la suivante :  Le budget ordinaire de l'UPOV couvrirait 30 000 francs suisses et l'accord de fonds fiduciaire entre le Gouvernement du Japon et l'UPOV (JP-FIT) couvrirait 25 000 francs suisses.  </w:t>
      </w:r>
    </w:p>
    <w:p w14:paraId="27118BA0" w14:textId="77777777" w:rsidR="00B10E5C" w:rsidRPr="00037B1D" w:rsidRDefault="00B10E5C" w:rsidP="00B10E5C">
      <w:pPr>
        <w:ind w:right="100"/>
        <w:jc w:val="left"/>
        <w:rPr>
          <w:lang w:val="fr-CH"/>
        </w:rPr>
      </w:pPr>
    </w:p>
    <w:p w14:paraId="6726470C" w14:textId="77777777" w:rsidR="00B10E5C" w:rsidRPr="00FB7ED8" w:rsidRDefault="00B10E5C" w:rsidP="00B10E5C">
      <w:pPr>
        <w:ind w:right="100"/>
        <w:jc w:val="left"/>
        <w:rPr>
          <w:lang w:val="fr-FR"/>
        </w:rPr>
      </w:pPr>
    </w:p>
    <w:p w14:paraId="428093F7" w14:textId="77777777" w:rsidR="00B10E5C" w:rsidRPr="00FB7ED8" w:rsidRDefault="00B10E5C" w:rsidP="00B10E5C">
      <w:pPr>
        <w:ind w:right="100"/>
        <w:jc w:val="left"/>
        <w:rPr>
          <w:lang w:val="fr-FR"/>
        </w:rPr>
      </w:pPr>
    </w:p>
    <w:p w14:paraId="59B94731" w14:textId="60645A90" w:rsidR="00B10E5C" w:rsidRPr="00FB7ED8" w:rsidRDefault="00B10E5C" w:rsidP="00B10E5C">
      <w:pPr>
        <w:jc w:val="right"/>
        <w:rPr>
          <w:lang w:val="fr-FR"/>
        </w:rPr>
      </w:pPr>
      <w:r w:rsidRPr="00FB7ED8">
        <w:rPr>
          <w:lang w:val="fr-FR"/>
        </w:rPr>
        <w:t>[Fin de l'annexe et du document]</w:t>
      </w:r>
    </w:p>
    <w:p w14:paraId="29217749" w14:textId="77777777" w:rsidR="00050E16" w:rsidRPr="00FB7ED8" w:rsidRDefault="00050E16" w:rsidP="004B1215">
      <w:pPr>
        <w:rPr>
          <w:lang w:val="fr-FR"/>
        </w:rPr>
      </w:pPr>
    </w:p>
    <w:p w14:paraId="26DD74C1" w14:textId="77777777" w:rsidR="00903264" w:rsidRPr="00FB7ED8" w:rsidRDefault="00903264">
      <w:pPr>
        <w:jc w:val="left"/>
        <w:rPr>
          <w:lang w:val="fr-FR"/>
        </w:rPr>
      </w:pPr>
    </w:p>
    <w:p w14:paraId="18D4D307" w14:textId="77777777" w:rsidR="00050E16" w:rsidRPr="00FB7ED8" w:rsidRDefault="00050E16" w:rsidP="009B440E">
      <w:pPr>
        <w:jc w:val="left"/>
        <w:rPr>
          <w:lang w:val="fr-FR"/>
        </w:rPr>
      </w:pPr>
    </w:p>
    <w:sectPr w:rsidR="00050E16" w:rsidRPr="00FB7ED8" w:rsidSect="00906DDC">
      <w:headerReference w:type="default" r:id="rId13"/>
      <w:headerReference w:type="first" r:id="rId14"/>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24FB" w14:textId="77777777" w:rsidR="00756B9C" w:rsidRDefault="00756B9C" w:rsidP="006655D3">
      <w:r>
        <w:separator/>
      </w:r>
    </w:p>
    <w:p w14:paraId="76359CA1" w14:textId="77777777" w:rsidR="00756B9C" w:rsidRDefault="00756B9C" w:rsidP="006655D3"/>
    <w:p w14:paraId="01C6B877" w14:textId="77777777" w:rsidR="00756B9C" w:rsidRDefault="00756B9C" w:rsidP="006655D3"/>
  </w:endnote>
  <w:endnote w:type="continuationSeparator" w:id="0">
    <w:p w14:paraId="5ED8223D" w14:textId="77777777" w:rsidR="00756B9C" w:rsidRDefault="00756B9C" w:rsidP="006655D3">
      <w:r>
        <w:separator/>
      </w:r>
    </w:p>
    <w:p w14:paraId="24A66D35" w14:textId="77777777" w:rsidR="00756B9C" w:rsidRPr="00294751" w:rsidRDefault="00756B9C">
      <w:pPr>
        <w:pStyle w:val="Footer"/>
        <w:spacing w:after="60"/>
        <w:rPr>
          <w:sz w:val="18"/>
          <w:lang w:val="fr-FR"/>
        </w:rPr>
      </w:pPr>
      <w:r w:rsidRPr="00294751">
        <w:rPr>
          <w:sz w:val="18"/>
          <w:lang w:val="fr-FR"/>
        </w:rPr>
        <w:t>[Suite de la note de la page précédente]</w:t>
      </w:r>
    </w:p>
    <w:p w14:paraId="1FB84513" w14:textId="77777777" w:rsidR="00756B9C" w:rsidRPr="00294751" w:rsidRDefault="00756B9C" w:rsidP="006655D3">
      <w:pPr>
        <w:rPr>
          <w:lang w:val="fr-FR"/>
        </w:rPr>
      </w:pPr>
    </w:p>
    <w:p w14:paraId="7B3EB3EE" w14:textId="77777777" w:rsidR="00756B9C" w:rsidRPr="00294751" w:rsidRDefault="00756B9C" w:rsidP="006655D3">
      <w:pPr>
        <w:rPr>
          <w:lang w:val="fr-FR"/>
        </w:rPr>
      </w:pPr>
    </w:p>
  </w:endnote>
  <w:endnote w:type="continuationNotice" w:id="1">
    <w:p w14:paraId="4D583C33" w14:textId="77777777" w:rsidR="00756B9C" w:rsidRPr="00294751" w:rsidRDefault="00756B9C" w:rsidP="006655D3">
      <w:pPr>
        <w:rPr>
          <w:lang w:val="fr-FR"/>
        </w:rPr>
      </w:pPr>
      <w:r w:rsidRPr="00294751">
        <w:rPr>
          <w:lang w:val="fr-FR"/>
        </w:rPr>
        <w:t>[Suite de la note page suivante]</w:t>
      </w:r>
    </w:p>
    <w:p w14:paraId="4D0A4366" w14:textId="77777777" w:rsidR="00756B9C" w:rsidRPr="00294751" w:rsidRDefault="00756B9C" w:rsidP="006655D3">
      <w:pPr>
        <w:rPr>
          <w:lang w:val="fr-FR"/>
        </w:rPr>
      </w:pPr>
    </w:p>
    <w:p w14:paraId="1DC875DA" w14:textId="77777777" w:rsidR="00756B9C" w:rsidRPr="00294751" w:rsidRDefault="00756B9C"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0BFD" w14:textId="77777777" w:rsidR="00756B9C" w:rsidRDefault="00756B9C" w:rsidP="006655D3">
      <w:r>
        <w:separator/>
      </w:r>
    </w:p>
  </w:footnote>
  <w:footnote w:type="continuationSeparator" w:id="0">
    <w:p w14:paraId="73AD51AD" w14:textId="77777777" w:rsidR="00756B9C" w:rsidRDefault="00756B9C" w:rsidP="006655D3">
      <w:r>
        <w:separator/>
      </w:r>
    </w:p>
  </w:footnote>
  <w:footnote w:type="continuationNotice" w:id="1">
    <w:p w14:paraId="776D6904" w14:textId="77777777" w:rsidR="00756B9C" w:rsidRPr="00AB530F" w:rsidRDefault="00756B9C" w:rsidP="00AB530F">
      <w:pPr>
        <w:pStyle w:val="Footer"/>
      </w:pPr>
    </w:p>
  </w:footnote>
  <w:footnote w:id="2">
    <w:p w14:paraId="10E6777A" w14:textId="1CB06025" w:rsidR="00476186" w:rsidRPr="00FB7ED8" w:rsidRDefault="00476186">
      <w:pPr>
        <w:pStyle w:val="FootnoteText"/>
        <w:rPr>
          <w:lang w:val="fr-FR"/>
        </w:rPr>
      </w:pPr>
      <w:r>
        <w:rPr>
          <w:rStyle w:val="FootnoteReference"/>
        </w:rPr>
        <w:footnoteRef/>
      </w:r>
      <w:r w:rsidRPr="00FB7ED8">
        <w:rPr>
          <w:lang w:val="fr-FR"/>
        </w:rPr>
        <w:t xml:space="preserve"> CAJ/81/5, Rapport du Groupe de travail sur les produits de la récolte et l'utilisation non autorisée des matériels de reproduction ou de multiplication (WG HRV)</w:t>
      </w:r>
    </w:p>
  </w:footnote>
  <w:footnote w:id="3">
    <w:p w14:paraId="0E6883B6" w14:textId="78101CAB" w:rsidR="00F42252" w:rsidRPr="00FB7ED8" w:rsidRDefault="00F42252" w:rsidP="00F42252">
      <w:pPr>
        <w:pStyle w:val="FootnoteText"/>
        <w:rPr>
          <w:lang w:val="fr-FR"/>
        </w:rPr>
      </w:pPr>
      <w:r>
        <w:rPr>
          <w:rStyle w:val="FootnoteReference"/>
        </w:rPr>
        <w:footnoteRef/>
      </w:r>
      <w:r w:rsidRPr="00FB7ED8">
        <w:rPr>
          <w:bCs/>
          <w:snapToGrid w:val="0"/>
          <w:lang w:val="fr-FR"/>
        </w:rPr>
        <w:t xml:space="preserve"> CAJ/81/5 </w:t>
      </w:r>
      <w:r w:rsidR="00354A67" w:rsidRPr="00FB7ED8">
        <w:rPr>
          <w:bCs/>
          <w:snapToGrid w:val="0"/>
          <w:lang w:val="fr-FR"/>
        </w:rPr>
        <w:t xml:space="preserve">Add., Addendum Rapport du groupe de travail sur les matériels récoltés et l'utilisation non autorisée de matériels de reproduction ou de multiplication (WG-HRV)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FC94" w14:textId="7B5CED36" w:rsidR="00182B99" w:rsidRPr="00C5280D" w:rsidRDefault="004C6369" w:rsidP="00EB048E">
    <w:pPr>
      <w:pStyle w:val="Header"/>
      <w:rPr>
        <w:rStyle w:val="PageNumber"/>
        <w:lang w:val="en-US"/>
      </w:rPr>
    </w:pPr>
    <w:r>
      <w:rPr>
        <w:rStyle w:val="PageNumber"/>
        <w:lang w:val="en-US"/>
      </w:rPr>
      <w:t>CAJ/82/4</w:t>
    </w:r>
  </w:p>
  <w:p w14:paraId="0BF89A20"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57F9F">
      <w:rPr>
        <w:rStyle w:val="PageNumber"/>
        <w:noProof/>
        <w:lang w:val="en-US"/>
      </w:rPr>
      <w:t>2</w:t>
    </w:r>
    <w:r w:rsidRPr="00C5280D">
      <w:rPr>
        <w:rStyle w:val="PageNumber"/>
        <w:lang w:val="en-US"/>
      </w:rPr>
      <w:fldChar w:fldCharType="end"/>
    </w:r>
  </w:p>
  <w:p w14:paraId="5B3D87BA"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782B" w14:textId="77777777" w:rsidR="00B10E5C" w:rsidRPr="00C5280D" w:rsidRDefault="00B10E5C" w:rsidP="00EB048E">
    <w:pPr>
      <w:pStyle w:val="Header"/>
      <w:rPr>
        <w:rStyle w:val="PageNumber"/>
        <w:lang w:val="en-US"/>
      </w:rPr>
    </w:pPr>
    <w:r>
      <w:rPr>
        <w:rStyle w:val="PageNumber"/>
        <w:lang w:val="en-US"/>
      </w:rPr>
      <w:t>CAJ/82/4</w:t>
    </w:r>
  </w:p>
  <w:p w14:paraId="1D77E868" w14:textId="3C137DE6" w:rsidR="00B10E5C" w:rsidRPr="00C5280D" w:rsidRDefault="00B10E5C" w:rsidP="00EB048E">
    <w:pPr>
      <w:pStyle w:val="Header"/>
      <w:rPr>
        <w:lang w:val="en-US"/>
      </w:rPr>
    </w:pPr>
    <w:r>
      <w:rPr>
        <w:rStyle w:val="PageNumber"/>
        <w:lang w:val="en-US"/>
      </w:rPr>
      <w:t>Annexe I, page 2</w:t>
    </w:r>
  </w:p>
  <w:p w14:paraId="1C1BAF02" w14:textId="77777777" w:rsidR="00B10E5C" w:rsidRPr="00C5280D" w:rsidRDefault="00B10E5C"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3176" w14:textId="7C757B11" w:rsidR="004C6369" w:rsidRDefault="004C6369">
    <w:pPr>
      <w:pStyle w:val="Header"/>
      <w:rPr>
        <w:lang w:val="fr-CH"/>
      </w:rPr>
    </w:pPr>
    <w:r>
      <w:rPr>
        <w:lang w:val="fr-CH"/>
      </w:rPr>
      <w:t>CAJ/82/4</w:t>
    </w:r>
  </w:p>
  <w:p w14:paraId="77AFA8BE" w14:textId="77777777" w:rsidR="004C6369" w:rsidRDefault="004C6369">
    <w:pPr>
      <w:pStyle w:val="Header"/>
      <w:rPr>
        <w:lang w:val="fr-CH"/>
      </w:rPr>
    </w:pPr>
  </w:p>
  <w:p w14:paraId="51518F43" w14:textId="1C4898CA" w:rsidR="004C6369" w:rsidRPr="004C6369" w:rsidRDefault="004C6369">
    <w:pPr>
      <w:pStyle w:val="Header"/>
      <w:rPr>
        <w:lang w:val="fr-CH"/>
      </w:rPr>
    </w:pPr>
    <w:r>
      <w:rPr>
        <w:lang w:val="fr-CH"/>
      </w:rPr>
      <w:t>ANNEXE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AC8"/>
    <w:multiLevelType w:val="hybridMultilevel"/>
    <w:tmpl w:val="88E8ACDE"/>
    <w:lvl w:ilvl="0" w:tplc="C11A9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77AC6"/>
    <w:multiLevelType w:val="hybridMultilevel"/>
    <w:tmpl w:val="96DA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03E37"/>
    <w:multiLevelType w:val="hybridMultilevel"/>
    <w:tmpl w:val="121ACAE8"/>
    <w:lvl w:ilvl="0" w:tplc="C11A9D06">
      <w:start w:val="1"/>
      <w:numFmt w:val="lowerLetter"/>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056373">
    <w:abstractNumId w:val="3"/>
  </w:num>
  <w:num w:numId="2" w16cid:durableId="1023819098">
    <w:abstractNumId w:val="0"/>
  </w:num>
  <w:num w:numId="3" w16cid:durableId="1292327249">
    <w:abstractNumId w:val="2"/>
  </w:num>
  <w:num w:numId="4" w16cid:durableId="769742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9C"/>
    <w:rsid w:val="00010CF3"/>
    <w:rsid w:val="00011E27"/>
    <w:rsid w:val="000148BC"/>
    <w:rsid w:val="00024AB8"/>
    <w:rsid w:val="00030854"/>
    <w:rsid w:val="00036028"/>
    <w:rsid w:val="00037B1D"/>
    <w:rsid w:val="00044642"/>
    <w:rsid w:val="000446B9"/>
    <w:rsid w:val="00047E21"/>
    <w:rsid w:val="00050E16"/>
    <w:rsid w:val="0008138D"/>
    <w:rsid w:val="00085505"/>
    <w:rsid w:val="0009266B"/>
    <w:rsid w:val="00092728"/>
    <w:rsid w:val="000A6071"/>
    <w:rsid w:val="000C4E25"/>
    <w:rsid w:val="000C7021"/>
    <w:rsid w:val="000D6BBC"/>
    <w:rsid w:val="000D7780"/>
    <w:rsid w:val="000E3FA2"/>
    <w:rsid w:val="000E636A"/>
    <w:rsid w:val="000F2F11"/>
    <w:rsid w:val="00105929"/>
    <w:rsid w:val="00106617"/>
    <w:rsid w:val="00110BED"/>
    <w:rsid w:val="00110C36"/>
    <w:rsid w:val="001131D5"/>
    <w:rsid w:val="00141DB8"/>
    <w:rsid w:val="00144C10"/>
    <w:rsid w:val="00172084"/>
    <w:rsid w:val="0017474A"/>
    <w:rsid w:val="001758C6"/>
    <w:rsid w:val="00182B99"/>
    <w:rsid w:val="001B4262"/>
    <w:rsid w:val="001C1525"/>
    <w:rsid w:val="001F51F5"/>
    <w:rsid w:val="00204FF8"/>
    <w:rsid w:val="0021332C"/>
    <w:rsid w:val="00213982"/>
    <w:rsid w:val="0024416D"/>
    <w:rsid w:val="00271911"/>
    <w:rsid w:val="002800A0"/>
    <w:rsid w:val="002801B3"/>
    <w:rsid w:val="00281060"/>
    <w:rsid w:val="002940E8"/>
    <w:rsid w:val="00294751"/>
    <w:rsid w:val="002A6E50"/>
    <w:rsid w:val="002B1ED5"/>
    <w:rsid w:val="002B4298"/>
    <w:rsid w:val="002B7A36"/>
    <w:rsid w:val="002C256A"/>
    <w:rsid w:val="002E1211"/>
    <w:rsid w:val="00305A7F"/>
    <w:rsid w:val="003152FE"/>
    <w:rsid w:val="00327436"/>
    <w:rsid w:val="00333018"/>
    <w:rsid w:val="00344BD6"/>
    <w:rsid w:val="00354A67"/>
    <w:rsid w:val="0035528D"/>
    <w:rsid w:val="00361821"/>
    <w:rsid w:val="00361E9E"/>
    <w:rsid w:val="003A5AAF"/>
    <w:rsid w:val="003C7FBE"/>
    <w:rsid w:val="003D227C"/>
    <w:rsid w:val="003D2B4D"/>
    <w:rsid w:val="003E1EFB"/>
    <w:rsid w:val="003F5176"/>
    <w:rsid w:val="00444A88"/>
    <w:rsid w:val="00454373"/>
    <w:rsid w:val="00470C17"/>
    <w:rsid w:val="00473834"/>
    <w:rsid w:val="00474DA4"/>
    <w:rsid w:val="00476186"/>
    <w:rsid w:val="00476B4D"/>
    <w:rsid w:val="004805FA"/>
    <w:rsid w:val="00491FCA"/>
    <w:rsid w:val="004935D2"/>
    <w:rsid w:val="004B1215"/>
    <w:rsid w:val="004C6369"/>
    <w:rsid w:val="004D047D"/>
    <w:rsid w:val="004F1E9E"/>
    <w:rsid w:val="004F305A"/>
    <w:rsid w:val="00501796"/>
    <w:rsid w:val="00512164"/>
    <w:rsid w:val="00520297"/>
    <w:rsid w:val="005338F9"/>
    <w:rsid w:val="0054281C"/>
    <w:rsid w:val="00544581"/>
    <w:rsid w:val="00545D61"/>
    <w:rsid w:val="0054642C"/>
    <w:rsid w:val="0055268D"/>
    <w:rsid w:val="00576BE4"/>
    <w:rsid w:val="005779DB"/>
    <w:rsid w:val="005804AA"/>
    <w:rsid w:val="005A400A"/>
    <w:rsid w:val="005F7B92"/>
    <w:rsid w:val="00612379"/>
    <w:rsid w:val="006153B6"/>
    <w:rsid w:val="0061555F"/>
    <w:rsid w:val="00617E1F"/>
    <w:rsid w:val="00636CA6"/>
    <w:rsid w:val="00641200"/>
    <w:rsid w:val="00645CA8"/>
    <w:rsid w:val="006655D3"/>
    <w:rsid w:val="00667404"/>
    <w:rsid w:val="00687EB4"/>
    <w:rsid w:val="00695C56"/>
    <w:rsid w:val="006A5CDE"/>
    <w:rsid w:val="006A644A"/>
    <w:rsid w:val="006B17D2"/>
    <w:rsid w:val="006B1CC1"/>
    <w:rsid w:val="006C224E"/>
    <w:rsid w:val="006D753E"/>
    <w:rsid w:val="006D780A"/>
    <w:rsid w:val="0071271E"/>
    <w:rsid w:val="00732DEC"/>
    <w:rsid w:val="00735BD5"/>
    <w:rsid w:val="0074120C"/>
    <w:rsid w:val="007451EC"/>
    <w:rsid w:val="007504FD"/>
    <w:rsid w:val="00751613"/>
    <w:rsid w:val="00753EE9"/>
    <w:rsid w:val="007556F6"/>
    <w:rsid w:val="00756B9C"/>
    <w:rsid w:val="00760EEF"/>
    <w:rsid w:val="00773E0B"/>
    <w:rsid w:val="00777EE5"/>
    <w:rsid w:val="00784836"/>
    <w:rsid w:val="0079023E"/>
    <w:rsid w:val="007A2854"/>
    <w:rsid w:val="007C1D92"/>
    <w:rsid w:val="007C4CB9"/>
    <w:rsid w:val="007D0B9D"/>
    <w:rsid w:val="007D19B0"/>
    <w:rsid w:val="007F498F"/>
    <w:rsid w:val="0080679D"/>
    <w:rsid w:val="008108B0"/>
    <w:rsid w:val="00811B20"/>
    <w:rsid w:val="00812609"/>
    <w:rsid w:val="008211B5"/>
    <w:rsid w:val="0082296E"/>
    <w:rsid w:val="00824099"/>
    <w:rsid w:val="00846D7C"/>
    <w:rsid w:val="00867AC1"/>
    <w:rsid w:val="00890DF8"/>
    <w:rsid w:val="008A743F"/>
    <w:rsid w:val="008C0970"/>
    <w:rsid w:val="008D0BC5"/>
    <w:rsid w:val="008D2CF7"/>
    <w:rsid w:val="0090020F"/>
    <w:rsid w:val="00900657"/>
    <w:rsid w:val="00900C26"/>
    <w:rsid w:val="0090197F"/>
    <w:rsid w:val="00903264"/>
    <w:rsid w:val="00906DDC"/>
    <w:rsid w:val="00912811"/>
    <w:rsid w:val="00934E09"/>
    <w:rsid w:val="00936253"/>
    <w:rsid w:val="00940D46"/>
    <w:rsid w:val="00952DD4"/>
    <w:rsid w:val="00957F9F"/>
    <w:rsid w:val="00965AE7"/>
    <w:rsid w:val="00970FED"/>
    <w:rsid w:val="009877D3"/>
    <w:rsid w:val="00992D82"/>
    <w:rsid w:val="00993AC0"/>
    <w:rsid w:val="00997029"/>
    <w:rsid w:val="009A10B5"/>
    <w:rsid w:val="009A418B"/>
    <w:rsid w:val="009A7339"/>
    <w:rsid w:val="009B440E"/>
    <w:rsid w:val="009C20EA"/>
    <w:rsid w:val="009D690D"/>
    <w:rsid w:val="009E65B6"/>
    <w:rsid w:val="009F194D"/>
    <w:rsid w:val="009F77CF"/>
    <w:rsid w:val="00A04D02"/>
    <w:rsid w:val="00A24C10"/>
    <w:rsid w:val="00A41A56"/>
    <w:rsid w:val="00A42AC3"/>
    <w:rsid w:val="00A430CF"/>
    <w:rsid w:val="00A54309"/>
    <w:rsid w:val="00A80F2A"/>
    <w:rsid w:val="00AB2B93"/>
    <w:rsid w:val="00AB530F"/>
    <w:rsid w:val="00AB7E5B"/>
    <w:rsid w:val="00AC2883"/>
    <w:rsid w:val="00AC6D7D"/>
    <w:rsid w:val="00AE0EF1"/>
    <w:rsid w:val="00AE2937"/>
    <w:rsid w:val="00AF29F2"/>
    <w:rsid w:val="00B001E0"/>
    <w:rsid w:val="00B07301"/>
    <w:rsid w:val="00B10E5C"/>
    <w:rsid w:val="00B11F3E"/>
    <w:rsid w:val="00B224DE"/>
    <w:rsid w:val="00B324D4"/>
    <w:rsid w:val="00B46575"/>
    <w:rsid w:val="00B61777"/>
    <w:rsid w:val="00B622E6"/>
    <w:rsid w:val="00B84818"/>
    <w:rsid w:val="00B84BBD"/>
    <w:rsid w:val="00B94B26"/>
    <w:rsid w:val="00BA43FB"/>
    <w:rsid w:val="00BC127D"/>
    <w:rsid w:val="00BC1FE6"/>
    <w:rsid w:val="00BF76BF"/>
    <w:rsid w:val="00C061B6"/>
    <w:rsid w:val="00C2446C"/>
    <w:rsid w:val="00C36AE5"/>
    <w:rsid w:val="00C41F17"/>
    <w:rsid w:val="00C527FA"/>
    <w:rsid w:val="00C5280D"/>
    <w:rsid w:val="00C53EB3"/>
    <w:rsid w:val="00C5791C"/>
    <w:rsid w:val="00C66290"/>
    <w:rsid w:val="00C72B7A"/>
    <w:rsid w:val="00C748A4"/>
    <w:rsid w:val="00C75A58"/>
    <w:rsid w:val="00C81C53"/>
    <w:rsid w:val="00C973F2"/>
    <w:rsid w:val="00CA304C"/>
    <w:rsid w:val="00CA4A8C"/>
    <w:rsid w:val="00CA774A"/>
    <w:rsid w:val="00CC11B0"/>
    <w:rsid w:val="00CC2841"/>
    <w:rsid w:val="00CF00FD"/>
    <w:rsid w:val="00CF1330"/>
    <w:rsid w:val="00CF7E36"/>
    <w:rsid w:val="00D3708D"/>
    <w:rsid w:val="00D40426"/>
    <w:rsid w:val="00D57C96"/>
    <w:rsid w:val="00D57D18"/>
    <w:rsid w:val="00D75A38"/>
    <w:rsid w:val="00D85637"/>
    <w:rsid w:val="00D91203"/>
    <w:rsid w:val="00D95174"/>
    <w:rsid w:val="00DA4973"/>
    <w:rsid w:val="00DA6F36"/>
    <w:rsid w:val="00DB596E"/>
    <w:rsid w:val="00DB7773"/>
    <w:rsid w:val="00DC00EA"/>
    <w:rsid w:val="00DC3802"/>
    <w:rsid w:val="00DD6208"/>
    <w:rsid w:val="00E02F4D"/>
    <w:rsid w:val="00E036B2"/>
    <w:rsid w:val="00E07D87"/>
    <w:rsid w:val="00E16558"/>
    <w:rsid w:val="00E249C8"/>
    <w:rsid w:val="00E32F7E"/>
    <w:rsid w:val="00E5267B"/>
    <w:rsid w:val="00E54738"/>
    <w:rsid w:val="00E559F0"/>
    <w:rsid w:val="00E63C0E"/>
    <w:rsid w:val="00E70A85"/>
    <w:rsid w:val="00E72D49"/>
    <w:rsid w:val="00E7593C"/>
    <w:rsid w:val="00E7678A"/>
    <w:rsid w:val="00E935F1"/>
    <w:rsid w:val="00E94A81"/>
    <w:rsid w:val="00EA1FFB"/>
    <w:rsid w:val="00EA3AE3"/>
    <w:rsid w:val="00EA6DBA"/>
    <w:rsid w:val="00EB048E"/>
    <w:rsid w:val="00EB4E9C"/>
    <w:rsid w:val="00EE34DF"/>
    <w:rsid w:val="00EF2F89"/>
    <w:rsid w:val="00F03E98"/>
    <w:rsid w:val="00F1237A"/>
    <w:rsid w:val="00F22CBD"/>
    <w:rsid w:val="00F272F1"/>
    <w:rsid w:val="00F31412"/>
    <w:rsid w:val="00F42252"/>
    <w:rsid w:val="00F45372"/>
    <w:rsid w:val="00F537F9"/>
    <w:rsid w:val="00F560F7"/>
    <w:rsid w:val="00F61A34"/>
    <w:rsid w:val="00F6334D"/>
    <w:rsid w:val="00F63599"/>
    <w:rsid w:val="00F8529F"/>
    <w:rsid w:val="00FA49AB"/>
    <w:rsid w:val="00FB6B64"/>
    <w:rsid w:val="00FB7ED8"/>
    <w:rsid w:val="00FD5B2B"/>
    <w:rsid w:val="00FD64F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7C24E"/>
  <w15:docId w15:val="{231788DB-A303-4D40-ADC3-A8A2E604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900657"/>
    <w:rPr>
      <w:rFonts w:ascii="Arial" w:hAnsi="Arial"/>
      <w:caps/>
    </w:rPr>
  </w:style>
  <w:style w:type="character" w:customStyle="1" w:styleId="Heading2Char">
    <w:name w:val="Heading 2 Char"/>
    <w:aliases w:val="VARIETY Char,variety Char"/>
    <w:basedOn w:val="DefaultParagraphFont"/>
    <w:link w:val="Heading2"/>
    <w:rsid w:val="00900657"/>
    <w:rPr>
      <w:rFonts w:ascii="Arial" w:hAnsi="Arial"/>
      <w:u w:val="single"/>
    </w:rPr>
  </w:style>
  <w:style w:type="character" w:styleId="FollowedHyperlink">
    <w:name w:val="FollowedHyperlink"/>
    <w:basedOn w:val="DefaultParagraphFont"/>
    <w:semiHidden/>
    <w:unhideWhenUsed/>
    <w:rsid w:val="005804AA"/>
    <w:rPr>
      <w:color w:val="800080" w:themeColor="followedHyperlink"/>
      <w:u w:val="single"/>
    </w:rPr>
  </w:style>
  <w:style w:type="character" w:styleId="UnresolvedMention">
    <w:name w:val="Unresolved Mention"/>
    <w:basedOn w:val="DefaultParagraphFont"/>
    <w:uiPriority w:val="99"/>
    <w:semiHidden/>
    <w:unhideWhenUsed/>
    <w:rsid w:val="005804AA"/>
    <w:rPr>
      <w:color w:val="605E5C"/>
      <w:shd w:val="clear" w:color="auto" w:fill="E1DFDD"/>
    </w:rPr>
  </w:style>
  <w:style w:type="paragraph" w:styleId="ListParagraph">
    <w:name w:val="List Paragraph"/>
    <w:basedOn w:val="Normal"/>
    <w:uiPriority w:val="34"/>
    <w:qFormat/>
    <w:rsid w:val="00EA6DBA"/>
    <w:pPr>
      <w:ind w:left="720"/>
      <w:contextualSpacing/>
    </w:pPr>
  </w:style>
  <w:style w:type="character" w:styleId="CommentReference">
    <w:name w:val="annotation reference"/>
    <w:basedOn w:val="DefaultParagraphFont"/>
    <w:semiHidden/>
    <w:unhideWhenUsed/>
    <w:rsid w:val="006B1CC1"/>
    <w:rPr>
      <w:sz w:val="16"/>
      <w:szCs w:val="16"/>
    </w:rPr>
  </w:style>
  <w:style w:type="paragraph" w:styleId="CommentText">
    <w:name w:val="annotation text"/>
    <w:basedOn w:val="Normal"/>
    <w:link w:val="CommentTextChar"/>
    <w:unhideWhenUsed/>
    <w:rsid w:val="006B1CC1"/>
  </w:style>
  <w:style w:type="character" w:customStyle="1" w:styleId="CommentTextChar">
    <w:name w:val="Comment Text Char"/>
    <w:basedOn w:val="DefaultParagraphFont"/>
    <w:link w:val="CommentText"/>
    <w:rsid w:val="006B1CC1"/>
    <w:rPr>
      <w:rFonts w:ascii="Arial" w:hAnsi="Arial"/>
    </w:rPr>
  </w:style>
  <w:style w:type="paragraph" w:styleId="CommentSubject">
    <w:name w:val="annotation subject"/>
    <w:basedOn w:val="CommentText"/>
    <w:next w:val="CommentText"/>
    <w:link w:val="CommentSubjectChar"/>
    <w:semiHidden/>
    <w:unhideWhenUsed/>
    <w:rsid w:val="006B1CC1"/>
    <w:rPr>
      <w:b/>
      <w:bCs/>
    </w:rPr>
  </w:style>
  <w:style w:type="character" w:customStyle="1" w:styleId="CommentSubjectChar">
    <w:name w:val="Comment Subject Char"/>
    <w:basedOn w:val="CommentTextChar"/>
    <w:link w:val="CommentSubject"/>
    <w:semiHidden/>
    <w:rsid w:val="006B1CC1"/>
    <w:rPr>
      <w:rFonts w:ascii="Arial" w:hAnsi="Arial"/>
      <w:b/>
      <w:bCs/>
    </w:rPr>
  </w:style>
  <w:style w:type="paragraph" w:styleId="Revision">
    <w:name w:val="Revision"/>
    <w:hidden/>
    <w:uiPriority w:val="99"/>
    <w:semiHidden/>
    <w:rsid w:val="000E3FA2"/>
    <w:rPr>
      <w:rFonts w:ascii="Arial" w:hAnsi="Arial"/>
    </w:rPr>
  </w:style>
  <w:style w:type="table" w:styleId="TableGrid">
    <w:name w:val="Table Grid"/>
    <w:basedOn w:val="TableNormal"/>
    <w:rsid w:val="00B10E5C"/>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meetings/fr/details.jsp?meeting_id=883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pov.int/meetings/fr/details.jsp?meeting_id=85866" TargetMode="External"/><Relationship Id="rId4" Type="http://schemas.openxmlformats.org/officeDocument/2006/relationships/settings" Target="settings.xml"/><Relationship Id="rId9" Type="http://schemas.openxmlformats.org/officeDocument/2006/relationships/hyperlink" Target="https://www.upov.int/meetings/fr/details.jsp?meeting_id=85866"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CAJ\CAJ82_(2025)\templates\caj_82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5B6C-E00D-43F1-8D6D-A3A358A2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caj_82_EN.dotx</Template>
  <TotalTime>301</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CAJ/82/4</vt:lpstr>
    </vt:vector>
  </TitlesOfParts>
  <Company>UPOV</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CAJ/82/4</dc:title>
  <dc:creator>NICOLO Laurianne</dc:creator>
  <cp:keywords>, docId:52C45F6BDBD00818CB7E866215AD44E3</cp:keywords>
  <cp:lastModifiedBy>NICOLO Laurianne</cp:lastModifiedBy>
  <cp:revision>36</cp:revision>
  <cp:lastPrinted>2016-11-22T15:41:00Z</cp:lastPrinted>
  <dcterms:created xsi:type="dcterms:W3CDTF">2025-05-06T12:17:00Z</dcterms:created>
  <dcterms:modified xsi:type="dcterms:W3CDTF">2025-10-06T11:54:00Z</dcterms:modified>
</cp:coreProperties>
</file>