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E58AF" w14:paraId="3BF4ADFD" w14:textId="77777777" w:rsidTr="00EB4E9C">
        <w:tc>
          <w:tcPr>
            <w:tcW w:w="6522" w:type="dxa"/>
          </w:tcPr>
          <w:p w14:paraId="3419DABE" w14:textId="77777777" w:rsidR="00DC3802" w:rsidRPr="00DE58AF" w:rsidRDefault="00DC3802" w:rsidP="00AC2883">
            <w:r w:rsidRPr="00DE58AF">
              <w:rPr>
                <w:noProof/>
              </w:rPr>
              <w:drawing>
                <wp:inline distT="0" distB="0" distL="0" distR="0" wp14:anchorId="6CDD066F" wp14:editId="764CB40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EE96C82" w14:textId="3E978710" w:rsidR="00BA45C5" w:rsidRPr="00DE58AF" w:rsidRDefault="00206CC0">
            <w:pPr>
              <w:pStyle w:val="Lettrine"/>
            </w:pPr>
            <w:r w:rsidRPr="00DE58AF">
              <w:t>F</w:t>
            </w:r>
          </w:p>
        </w:tc>
      </w:tr>
      <w:tr w:rsidR="00DC3802" w:rsidRPr="00DE58AF" w14:paraId="695D4733" w14:textId="77777777" w:rsidTr="00645CA8">
        <w:trPr>
          <w:trHeight w:val="219"/>
        </w:trPr>
        <w:tc>
          <w:tcPr>
            <w:tcW w:w="6522" w:type="dxa"/>
          </w:tcPr>
          <w:p w14:paraId="34C398EE" w14:textId="77777777" w:rsidR="00BA45C5" w:rsidRPr="00DE58AF" w:rsidRDefault="00206CC0">
            <w:pPr>
              <w:pStyle w:val="upove"/>
            </w:pPr>
            <w:r w:rsidRPr="00DE58AF">
              <w:t>Union internationale pour la protection des obtentions végétales</w:t>
            </w:r>
          </w:p>
        </w:tc>
        <w:tc>
          <w:tcPr>
            <w:tcW w:w="3117" w:type="dxa"/>
          </w:tcPr>
          <w:p w14:paraId="4ECEAA04" w14:textId="77777777" w:rsidR="00DC3802" w:rsidRPr="00DE58AF" w:rsidRDefault="00DC3802" w:rsidP="00DA4973"/>
        </w:tc>
      </w:tr>
    </w:tbl>
    <w:p w14:paraId="3A815102" w14:textId="77777777" w:rsidR="00DC3802" w:rsidRPr="00DE58AF" w:rsidRDefault="00DC3802" w:rsidP="00DC3802"/>
    <w:p w14:paraId="0E0D9FA2" w14:textId="77777777" w:rsidR="008F1F48" w:rsidRPr="00DE58AF"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DE58AF" w14:paraId="67F2C811" w14:textId="77777777" w:rsidTr="00B1137E">
        <w:tc>
          <w:tcPr>
            <w:tcW w:w="6512" w:type="dxa"/>
          </w:tcPr>
          <w:p w14:paraId="3BB1BE87" w14:textId="77777777" w:rsidR="00BA45C5" w:rsidRPr="00D17E9C" w:rsidRDefault="00206CC0">
            <w:pPr>
              <w:pStyle w:val="Sessiontc"/>
              <w:spacing w:line="240" w:lineRule="auto"/>
            </w:pPr>
            <w:r w:rsidRPr="00D17E9C">
              <w:t>Comité administratif et juridique</w:t>
            </w:r>
          </w:p>
          <w:p w14:paraId="2CE70F1F" w14:textId="77777777" w:rsidR="00BA45C5" w:rsidRPr="00D17E9C" w:rsidRDefault="00206CC0">
            <w:pPr>
              <w:pStyle w:val="Sessiontcplacedate"/>
            </w:pPr>
            <w:r w:rsidRPr="00D17E9C">
              <w:t>Quatre-vingt-unième session</w:t>
            </w:r>
          </w:p>
          <w:p w14:paraId="373BD614" w14:textId="77777777" w:rsidR="00BA45C5" w:rsidRPr="00D17E9C" w:rsidRDefault="00206CC0">
            <w:pPr>
              <w:pStyle w:val="Sessiontcplacedate"/>
              <w:rPr>
                <w:sz w:val="22"/>
              </w:rPr>
            </w:pPr>
            <w:r w:rsidRPr="00D17E9C">
              <w:t>Genève, 23 octobre 2024</w:t>
            </w:r>
          </w:p>
        </w:tc>
        <w:tc>
          <w:tcPr>
            <w:tcW w:w="3127" w:type="dxa"/>
          </w:tcPr>
          <w:p w14:paraId="0D90917D" w14:textId="77777777" w:rsidR="00BA45C5" w:rsidRPr="00D17E9C" w:rsidRDefault="002813D9">
            <w:pPr>
              <w:pStyle w:val="Doccode"/>
              <w:rPr>
                <w:spacing w:val="0"/>
                <w:lang w:val="fr-FR"/>
              </w:rPr>
            </w:pPr>
            <w:r w:rsidRPr="00D17E9C">
              <w:rPr>
                <w:spacing w:val="0"/>
                <w:lang w:val="fr-FR"/>
              </w:rPr>
              <w:t>CAJ/81/5</w:t>
            </w:r>
          </w:p>
          <w:p w14:paraId="7E2A222D" w14:textId="7A6CFA15" w:rsidR="00BA45C5" w:rsidRPr="00D17E9C" w:rsidRDefault="00206CC0">
            <w:pPr>
              <w:pStyle w:val="Docoriginal"/>
              <w:rPr>
                <w:spacing w:val="0"/>
              </w:rPr>
            </w:pPr>
            <w:r w:rsidRPr="00D17E9C">
              <w:rPr>
                <w:spacing w:val="0"/>
              </w:rPr>
              <w:t>Original :</w:t>
            </w:r>
            <w:r w:rsidRPr="00D17E9C">
              <w:rPr>
                <w:b w:val="0"/>
                <w:spacing w:val="0"/>
              </w:rPr>
              <w:t xml:space="preserve">  </w:t>
            </w:r>
            <w:r w:rsidR="00DF0692" w:rsidRPr="00D17E9C">
              <w:rPr>
                <w:b w:val="0"/>
                <w:spacing w:val="0"/>
              </w:rPr>
              <w:t>a</w:t>
            </w:r>
            <w:r w:rsidRPr="00D17E9C">
              <w:rPr>
                <w:b w:val="0"/>
                <w:spacing w:val="0"/>
              </w:rPr>
              <w:t>nglais</w:t>
            </w:r>
          </w:p>
          <w:p w14:paraId="316E1A46" w14:textId="76042753" w:rsidR="00BA45C5" w:rsidRPr="00DE58AF" w:rsidRDefault="00206CC0">
            <w:pPr>
              <w:pStyle w:val="Docoriginal"/>
              <w:rPr>
                <w:spacing w:val="0"/>
              </w:rPr>
            </w:pPr>
            <w:r w:rsidRPr="00D17E9C">
              <w:rPr>
                <w:spacing w:val="0"/>
              </w:rPr>
              <w:t xml:space="preserve">Date :  </w:t>
            </w:r>
            <w:r w:rsidR="00203EA0" w:rsidRPr="00D17E9C">
              <w:rPr>
                <w:b w:val="0"/>
                <w:spacing w:val="0"/>
              </w:rPr>
              <w:t>1</w:t>
            </w:r>
            <w:r w:rsidR="00D17E9C" w:rsidRPr="00D17E9C">
              <w:rPr>
                <w:b w:val="0"/>
                <w:spacing w:val="0"/>
              </w:rPr>
              <w:t>9</w:t>
            </w:r>
            <w:r w:rsidR="00203EA0" w:rsidRPr="00D17E9C">
              <w:rPr>
                <w:b w:val="0"/>
                <w:spacing w:val="0"/>
              </w:rPr>
              <w:t xml:space="preserve"> </w:t>
            </w:r>
            <w:r w:rsidR="002F0D3C" w:rsidRPr="00D17E9C">
              <w:rPr>
                <w:b w:val="0"/>
                <w:spacing w:val="0"/>
              </w:rPr>
              <w:t xml:space="preserve">août </w:t>
            </w:r>
            <w:r w:rsidRPr="00D17E9C">
              <w:rPr>
                <w:b w:val="0"/>
                <w:spacing w:val="0"/>
              </w:rPr>
              <w:t>2024</w:t>
            </w:r>
          </w:p>
        </w:tc>
      </w:tr>
    </w:tbl>
    <w:p w14:paraId="67F22FCE" w14:textId="47DF7CFE" w:rsidR="00BA45C5" w:rsidRPr="00DE58AF" w:rsidRDefault="00206CC0">
      <w:pPr>
        <w:pStyle w:val="Titleofdoc0"/>
      </w:pPr>
      <w:r w:rsidRPr="00DE58AF">
        <w:t xml:space="preserve">Compte rendu du </w:t>
      </w:r>
      <w:r w:rsidR="002B53E1" w:rsidRPr="00DE58AF">
        <w:t>GROUPE de travail sur le produit de la récolte et l’utilisation non autorisée de matériel de reproduction ou de multiplication</w:t>
      </w:r>
      <w:r w:rsidRPr="00DE58AF">
        <w:t xml:space="preserve"> (WG-HRV)</w:t>
      </w:r>
    </w:p>
    <w:p w14:paraId="5120E6CC" w14:textId="77777777" w:rsidR="00BA45C5" w:rsidRPr="00DE58AF" w:rsidRDefault="00206CC0">
      <w:pPr>
        <w:pStyle w:val="preparedby1"/>
        <w:jc w:val="left"/>
      </w:pPr>
      <w:r w:rsidRPr="00DE58AF">
        <w:t>Document préparé par le Bureau de l'Union</w:t>
      </w:r>
    </w:p>
    <w:p w14:paraId="76430EB3" w14:textId="7057E6C5" w:rsidR="00BA45C5" w:rsidRPr="00DE58AF" w:rsidRDefault="00206CC0">
      <w:pPr>
        <w:pStyle w:val="Disclaimer"/>
        <w:rPr>
          <w:lang w:val="fr-FR"/>
        </w:rPr>
      </w:pPr>
      <w:r w:rsidRPr="00DE58AF">
        <w:rPr>
          <w:lang w:val="fr-FR"/>
        </w:rPr>
        <w:t>Avertissement : le présent document ne représente pas les principes ou les orientations de l'UPOV.</w:t>
      </w:r>
      <w:r w:rsidRPr="00DE58AF">
        <w:rPr>
          <w:lang w:val="fr-FR"/>
        </w:rPr>
        <w:br/>
      </w:r>
      <w:r w:rsidRPr="00DE58AF">
        <w:rPr>
          <w:lang w:val="fr-FR"/>
        </w:rPr>
        <w:br/>
        <w:t>Ce document a été généré à l'aide d'une traduction automatique dont l'exactitude ne peut être garantie. Par conséquent, le texte dans la langue originale est la seule version authentique.</w:t>
      </w:r>
    </w:p>
    <w:p w14:paraId="0597ED21" w14:textId="77777777" w:rsidR="00BA45C5" w:rsidRPr="00DE58AF" w:rsidRDefault="00206CC0">
      <w:pPr>
        <w:pStyle w:val="Heading1"/>
        <w:rPr>
          <w:lang w:val="fr-FR"/>
        </w:rPr>
      </w:pPr>
      <w:bookmarkStart w:id="0" w:name="_Toc174970785"/>
      <w:r w:rsidRPr="00DE58AF">
        <w:rPr>
          <w:snapToGrid w:val="0"/>
          <w:lang w:val="fr-FR"/>
        </w:rPr>
        <w:t>RESUMÉ</w:t>
      </w:r>
      <w:bookmarkEnd w:id="0"/>
      <w:r w:rsidRPr="00DE58AF">
        <w:rPr>
          <w:snapToGrid w:val="0"/>
          <w:lang w:val="fr-FR"/>
        </w:rPr>
        <w:t xml:space="preserve"> </w:t>
      </w:r>
    </w:p>
    <w:p w14:paraId="3070C775" w14:textId="77777777" w:rsidR="008F19AF" w:rsidRPr="00DE58AF" w:rsidRDefault="008F19AF" w:rsidP="008F19AF">
      <w:pPr>
        <w:jc w:val="left"/>
        <w:rPr>
          <w:rFonts w:cs="Arial"/>
        </w:rPr>
      </w:pPr>
    </w:p>
    <w:p w14:paraId="71A09D61" w14:textId="5289117A"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008F4770" w:rsidRPr="00DE58AF">
        <w:t xml:space="preserve"> </w:t>
      </w:r>
      <w:r w:rsidR="00203EA0" w:rsidRPr="00DE58AF">
        <w:tab/>
      </w:r>
      <w:r w:rsidR="008F4770" w:rsidRPr="00DE58AF">
        <w:t xml:space="preserve">Ce Compte rendu couvre les quatrième, </w:t>
      </w:r>
      <w:proofErr w:type="gramStart"/>
      <w:r w:rsidR="008F4770" w:rsidRPr="00DE58AF">
        <w:t>cinquième et sixième réunions</w:t>
      </w:r>
      <w:proofErr w:type="gramEnd"/>
      <w:r w:rsidR="008F4770" w:rsidRPr="00DE58AF">
        <w:t xml:space="preserve"> du Groupe </w:t>
      </w:r>
      <w:r w:rsidR="00DF0692" w:rsidRPr="00DE58AF">
        <w:t xml:space="preserve">de travail </w:t>
      </w:r>
      <w:r w:rsidR="008F4770" w:rsidRPr="00DE58AF">
        <w:t xml:space="preserve">sur le </w:t>
      </w:r>
      <w:r w:rsidR="002B53E1" w:rsidRPr="00DE58AF">
        <w:t>produit</w:t>
      </w:r>
      <w:r w:rsidR="008F4770" w:rsidRPr="00DE58AF">
        <w:t xml:space="preserve"> de</w:t>
      </w:r>
      <w:r w:rsidR="002B53E1" w:rsidRPr="00DE58AF">
        <w:t xml:space="preserve"> la</w:t>
      </w:r>
      <w:r w:rsidR="008F4770" w:rsidRPr="00DE58AF">
        <w:t xml:space="preserve"> récolte et l'utilisation non autorisée de matériel </w:t>
      </w:r>
      <w:r w:rsidR="002B53E1" w:rsidRPr="00DE58AF">
        <w:t xml:space="preserve">de reproduction ou </w:t>
      </w:r>
      <w:r w:rsidR="008F4770" w:rsidRPr="00DE58AF">
        <w:t xml:space="preserve">de multiplication (WG-HRV). </w:t>
      </w:r>
    </w:p>
    <w:p w14:paraId="39C29630" w14:textId="77777777" w:rsidR="008F4770" w:rsidRPr="00DE58AF" w:rsidRDefault="008F4770" w:rsidP="008F4770"/>
    <w:p w14:paraId="79088454" w14:textId="77777777"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t xml:space="preserve"> </w:t>
      </w:r>
      <w:r w:rsidR="00203EA0" w:rsidRPr="00DE58AF">
        <w:tab/>
      </w:r>
      <w:r w:rsidRPr="00DE58AF">
        <w:t xml:space="preserve">Au cours de </w:t>
      </w:r>
      <w:r w:rsidR="00203EA0" w:rsidRPr="00DE58AF">
        <w:t xml:space="preserve">sa </w:t>
      </w:r>
      <w:r w:rsidRPr="00DE58AF">
        <w:t>quatrième réunion</w:t>
      </w:r>
      <w:r w:rsidR="00203EA0" w:rsidRPr="00DE58AF">
        <w:t xml:space="preserve">, </w:t>
      </w:r>
      <w:r w:rsidRPr="00DE58AF">
        <w:t>le WG-HRV a décidé de proposer au CAJ la révision des Notes explicatives sur le matériel de reproduction ou de multiplication selon la Convention UPOV. Le WG-HRV a également examiné la possibilité de commander une étude sur "l'étendue du droit d'obtenteur" et la relation avec "l'épuisement du droit d'obtenteur".</w:t>
      </w:r>
    </w:p>
    <w:p w14:paraId="56C98300" w14:textId="77777777" w:rsidR="008F4770" w:rsidRPr="00DE58AF" w:rsidRDefault="008F4770" w:rsidP="008F4770"/>
    <w:p w14:paraId="0BB373D7" w14:textId="77777777"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t xml:space="preserve"> </w:t>
      </w:r>
      <w:r w:rsidR="00203EA0" w:rsidRPr="00DE58AF">
        <w:tab/>
      </w:r>
      <w:r w:rsidRPr="00DE58AF">
        <w:t>Au cours de la cinquième réunion du WG-HRV</w:t>
      </w:r>
      <w:r w:rsidR="00203EA0" w:rsidRPr="00DE58AF">
        <w:t xml:space="preserve">, </w:t>
      </w:r>
      <w:r w:rsidRPr="00DE58AF">
        <w:t>les membres du WG-HRV se sont déclarés favorables à la réalisation d'une étude et le WG-HRV est convenu que le Bureau de l'Union convoquerait une réunion virtuelle avec les membres du WG-HRV qui ont fait des propositions concernant le nombre et le nom des auteurs et les questions relatives au financement, afin de discuter de l'organisation de l'étude. Il est convenu de suspendre les discussions sur les propositions de révision des Notes explicatives sur la protection provisoire selon la Convention UPOV jusqu'à ce que des progrès soient réalisés sur les questions relatives à l'étude.</w:t>
      </w:r>
    </w:p>
    <w:p w14:paraId="7E6FB49A" w14:textId="77777777" w:rsidR="008F4770" w:rsidRPr="00DE58AF" w:rsidRDefault="008F4770" w:rsidP="008F4770"/>
    <w:p w14:paraId="1E706C50" w14:textId="2EF7A29D"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t xml:space="preserve"> </w:t>
      </w:r>
      <w:r w:rsidR="00203EA0" w:rsidRPr="00DE58AF">
        <w:tab/>
      </w:r>
      <w:r w:rsidRPr="00DE58AF">
        <w:t>La sixième réunion du WG-HRV aura lieu le 22 octobre 2024, et le Bureau de l'Union publiera un</w:t>
      </w:r>
      <w:r w:rsidR="00DF0692" w:rsidRPr="00DE58AF">
        <w:t xml:space="preserve"> additif</w:t>
      </w:r>
      <w:r w:rsidRPr="00DE58AF">
        <w:t xml:space="preserve"> </w:t>
      </w:r>
      <w:r w:rsidR="00DF0692" w:rsidRPr="00DE58AF">
        <w:t>a</w:t>
      </w:r>
      <w:r w:rsidRPr="00DE58AF">
        <w:t xml:space="preserve">u présent document après la réunion du </w:t>
      </w:r>
      <w:r w:rsidR="00203EA0" w:rsidRPr="00DE58AF">
        <w:t xml:space="preserve">WG-HRV/6 </w:t>
      </w:r>
      <w:r w:rsidRPr="00DE58AF">
        <w:t>afin de rendre compte au CAJ/81 des derniers développements concernant ses travaux.</w:t>
      </w:r>
    </w:p>
    <w:p w14:paraId="59F7EFFC" w14:textId="1C8DD2DA" w:rsidR="008F4770" w:rsidRPr="00DE58AF" w:rsidRDefault="008F4770" w:rsidP="008F4770">
      <w:pPr>
        <w:rPr>
          <w:rFonts w:cs="Arial"/>
        </w:rPr>
      </w:pPr>
    </w:p>
    <w:p w14:paraId="17BE75DC" w14:textId="76D0917C"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t xml:space="preserve"> </w:t>
      </w:r>
      <w:r w:rsidR="00203EA0" w:rsidRPr="00DE58AF">
        <w:tab/>
      </w:r>
      <w:r w:rsidR="008F19AF" w:rsidRPr="00DE58AF">
        <w:rPr>
          <w:rFonts w:cs="Arial"/>
        </w:rPr>
        <w:t>Le Comité administratif et juridique (CAJ) est invité à prendre note</w:t>
      </w:r>
      <w:bookmarkStart w:id="1" w:name="_Hlk171412403"/>
      <w:r w:rsidR="008F19AF" w:rsidRPr="00DE58AF">
        <w:rPr>
          <w:rFonts w:cs="Arial"/>
        </w:rPr>
        <w:t xml:space="preserve"> des développements concernant les travaux du WG-HRV</w:t>
      </w:r>
      <w:bookmarkEnd w:id="1"/>
      <w:r w:rsidR="008F19AF" w:rsidRPr="00DE58AF">
        <w:rPr>
          <w:rFonts w:cs="Arial"/>
        </w:rPr>
        <w:t xml:space="preserve">, tels qu'ils sont rendus dans ce document. </w:t>
      </w:r>
    </w:p>
    <w:p w14:paraId="00BC2E33" w14:textId="77777777" w:rsidR="008F19AF" w:rsidRPr="00DE58AF" w:rsidRDefault="008F19AF" w:rsidP="008F19AF">
      <w:pPr>
        <w:rPr>
          <w:rFonts w:cs="Arial"/>
          <w:highlight w:val="yellow"/>
        </w:rPr>
      </w:pPr>
    </w:p>
    <w:p w14:paraId="4E45139F" w14:textId="77777777"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La structure de ce document est la suivante :</w:t>
      </w:r>
    </w:p>
    <w:sdt>
      <w:sdtPr>
        <w:rPr>
          <w:caps w:val="0"/>
          <w:lang w:val="fr-FR"/>
        </w:rPr>
        <w:id w:val="-454788501"/>
        <w:docPartObj>
          <w:docPartGallery w:val="Table of Contents"/>
          <w:docPartUnique/>
        </w:docPartObj>
      </w:sdtPr>
      <w:sdtEndPr/>
      <w:sdtContent>
        <w:p w14:paraId="5A414BEA" w14:textId="149A0B83" w:rsidR="003E17E7" w:rsidRPr="00DE58AF" w:rsidRDefault="007B45D6">
          <w:pPr>
            <w:pStyle w:val="TOC1"/>
            <w:rPr>
              <w:rFonts w:asciiTheme="minorHAnsi" w:eastAsiaTheme="minorEastAsia" w:hAnsiTheme="minorHAnsi" w:cstheme="minorBidi"/>
              <w:caps w:val="0"/>
              <w:noProof/>
              <w:kern w:val="2"/>
              <w:sz w:val="24"/>
              <w:szCs w:val="24"/>
              <w:lang w:val="en-GB" w:eastAsia="en-GB"/>
              <w14:ligatures w14:val="standardContextual"/>
            </w:rPr>
          </w:pPr>
          <w:r w:rsidRPr="00DE58AF">
            <w:fldChar w:fldCharType="begin"/>
          </w:r>
          <w:r w:rsidRPr="00DE58AF">
            <w:instrText xml:space="preserve"> TOC \o "1-3" \u </w:instrText>
          </w:r>
          <w:r w:rsidRPr="00DE58AF">
            <w:fldChar w:fldCharType="separate"/>
          </w:r>
          <w:r w:rsidR="003E17E7" w:rsidRPr="00DE58AF">
            <w:rPr>
              <w:noProof/>
              <w:snapToGrid w:val="0"/>
              <w:lang w:val="fr-FR"/>
            </w:rPr>
            <w:t>RESUMÉ</w:t>
          </w:r>
          <w:r w:rsidR="003E17E7" w:rsidRPr="00DE58AF">
            <w:rPr>
              <w:noProof/>
            </w:rPr>
            <w:tab/>
          </w:r>
          <w:r w:rsidR="003E17E7" w:rsidRPr="00DE58AF">
            <w:rPr>
              <w:noProof/>
            </w:rPr>
            <w:fldChar w:fldCharType="begin"/>
          </w:r>
          <w:r w:rsidR="003E17E7" w:rsidRPr="00DE58AF">
            <w:rPr>
              <w:noProof/>
            </w:rPr>
            <w:instrText xml:space="preserve"> PAGEREF _Toc174970785 \h </w:instrText>
          </w:r>
          <w:r w:rsidR="003E17E7" w:rsidRPr="00DE58AF">
            <w:rPr>
              <w:noProof/>
            </w:rPr>
          </w:r>
          <w:r w:rsidR="003E17E7" w:rsidRPr="00DE58AF">
            <w:rPr>
              <w:noProof/>
            </w:rPr>
            <w:fldChar w:fldCharType="separate"/>
          </w:r>
          <w:r w:rsidR="003E17E7" w:rsidRPr="00DE58AF">
            <w:rPr>
              <w:noProof/>
            </w:rPr>
            <w:t>1</w:t>
          </w:r>
          <w:r w:rsidR="003E17E7" w:rsidRPr="00DE58AF">
            <w:rPr>
              <w:noProof/>
            </w:rPr>
            <w:fldChar w:fldCharType="end"/>
          </w:r>
        </w:p>
        <w:p w14:paraId="160A3B62" w14:textId="33D57989" w:rsidR="003E17E7" w:rsidRPr="00DE58AF" w:rsidRDefault="003E17E7">
          <w:pPr>
            <w:pStyle w:val="TOC1"/>
            <w:rPr>
              <w:rFonts w:asciiTheme="minorHAnsi" w:eastAsiaTheme="minorEastAsia" w:hAnsiTheme="minorHAnsi" w:cstheme="minorBidi"/>
              <w:caps w:val="0"/>
              <w:noProof/>
              <w:kern w:val="2"/>
              <w:sz w:val="24"/>
              <w:szCs w:val="24"/>
              <w:lang w:val="en-GB" w:eastAsia="en-GB"/>
              <w14:ligatures w14:val="standardContextual"/>
            </w:rPr>
          </w:pPr>
          <w:r w:rsidRPr="00DE58AF">
            <w:rPr>
              <w:noProof/>
              <w:lang w:val="fr-FR"/>
            </w:rPr>
            <w:t>CONTEXTE</w:t>
          </w:r>
          <w:r w:rsidRPr="00DE58AF">
            <w:rPr>
              <w:noProof/>
            </w:rPr>
            <w:tab/>
          </w:r>
          <w:r w:rsidRPr="00DE58AF">
            <w:rPr>
              <w:noProof/>
            </w:rPr>
            <w:fldChar w:fldCharType="begin"/>
          </w:r>
          <w:r w:rsidRPr="00DE58AF">
            <w:rPr>
              <w:noProof/>
            </w:rPr>
            <w:instrText xml:space="preserve"> PAGEREF _Toc174970786 \h </w:instrText>
          </w:r>
          <w:r w:rsidRPr="00DE58AF">
            <w:rPr>
              <w:noProof/>
            </w:rPr>
          </w:r>
          <w:r w:rsidRPr="00DE58AF">
            <w:rPr>
              <w:noProof/>
            </w:rPr>
            <w:fldChar w:fldCharType="separate"/>
          </w:r>
          <w:r w:rsidRPr="00DE58AF">
            <w:rPr>
              <w:noProof/>
            </w:rPr>
            <w:t>2</w:t>
          </w:r>
          <w:r w:rsidRPr="00DE58AF">
            <w:rPr>
              <w:noProof/>
            </w:rPr>
            <w:fldChar w:fldCharType="end"/>
          </w:r>
        </w:p>
        <w:p w14:paraId="2194DD3E" w14:textId="55F5234D" w:rsidR="003E17E7" w:rsidRPr="00DE58AF" w:rsidRDefault="003E17E7">
          <w:pPr>
            <w:pStyle w:val="TOC1"/>
            <w:rPr>
              <w:rFonts w:asciiTheme="minorHAnsi" w:eastAsiaTheme="minorEastAsia" w:hAnsiTheme="minorHAnsi" w:cstheme="minorBidi"/>
              <w:caps w:val="0"/>
              <w:noProof/>
              <w:kern w:val="2"/>
              <w:sz w:val="24"/>
              <w:szCs w:val="24"/>
              <w:lang w:val="en-GB" w:eastAsia="en-GB"/>
              <w14:ligatures w14:val="standardContextual"/>
            </w:rPr>
          </w:pPr>
          <w:r w:rsidRPr="00DE58AF">
            <w:rPr>
              <w:noProof/>
              <w:lang w:val="fr-FR"/>
            </w:rPr>
            <w:t>QUATRIÈME RÉUNION DU WG-HRV (25 OCTOBRE 2023)</w:t>
          </w:r>
          <w:r w:rsidRPr="00DE58AF">
            <w:rPr>
              <w:noProof/>
            </w:rPr>
            <w:tab/>
          </w:r>
          <w:r w:rsidRPr="00DE58AF">
            <w:rPr>
              <w:noProof/>
            </w:rPr>
            <w:fldChar w:fldCharType="begin"/>
          </w:r>
          <w:r w:rsidRPr="00DE58AF">
            <w:rPr>
              <w:noProof/>
            </w:rPr>
            <w:instrText xml:space="preserve"> PAGEREF _Toc174970787 \h </w:instrText>
          </w:r>
          <w:r w:rsidRPr="00DE58AF">
            <w:rPr>
              <w:noProof/>
            </w:rPr>
          </w:r>
          <w:r w:rsidRPr="00DE58AF">
            <w:rPr>
              <w:noProof/>
            </w:rPr>
            <w:fldChar w:fldCharType="separate"/>
          </w:r>
          <w:r w:rsidRPr="00DE58AF">
            <w:rPr>
              <w:noProof/>
            </w:rPr>
            <w:t>2</w:t>
          </w:r>
          <w:r w:rsidRPr="00DE58AF">
            <w:rPr>
              <w:noProof/>
            </w:rPr>
            <w:fldChar w:fldCharType="end"/>
          </w:r>
        </w:p>
        <w:p w14:paraId="66F867AA" w14:textId="3F344AB3" w:rsidR="003E17E7" w:rsidRPr="00DE58AF" w:rsidRDefault="003E17E7">
          <w:pPr>
            <w:pStyle w:val="TOC2"/>
            <w:rPr>
              <w:rFonts w:asciiTheme="minorHAnsi" w:eastAsiaTheme="minorEastAsia" w:hAnsiTheme="minorHAnsi" w:cstheme="minorBidi"/>
              <w:bCs w:val="0"/>
              <w:noProof/>
              <w:kern w:val="2"/>
              <w:sz w:val="24"/>
              <w:szCs w:val="24"/>
              <w:lang w:val="en-GB" w:eastAsia="en-GB"/>
              <w14:ligatures w14:val="standardContextual"/>
            </w:rPr>
          </w:pPr>
          <w:r w:rsidRPr="00DE58AF">
            <w:rPr>
              <w:noProof/>
            </w:rPr>
            <w:t>Propositions concernant les notes explicatives sur le matériel de multiplication selon la Convention UPOV</w:t>
          </w:r>
          <w:r w:rsidRPr="00DE58AF">
            <w:rPr>
              <w:noProof/>
            </w:rPr>
            <w:tab/>
          </w:r>
          <w:r w:rsidRPr="00DE58AF">
            <w:rPr>
              <w:noProof/>
            </w:rPr>
            <w:fldChar w:fldCharType="begin"/>
          </w:r>
          <w:r w:rsidRPr="00DE58AF">
            <w:rPr>
              <w:noProof/>
            </w:rPr>
            <w:instrText xml:space="preserve"> PAGEREF _Toc174970788 \h </w:instrText>
          </w:r>
          <w:r w:rsidRPr="00DE58AF">
            <w:rPr>
              <w:noProof/>
            </w:rPr>
          </w:r>
          <w:r w:rsidRPr="00DE58AF">
            <w:rPr>
              <w:noProof/>
            </w:rPr>
            <w:fldChar w:fldCharType="separate"/>
          </w:r>
          <w:r w:rsidRPr="00DE58AF">
            <w:rPr>
              <w:noProof/>
            </w:rPr>
            <w:t>2</w:t>
          </w:r>
          <w:r w:rsidRPr="00DE58AF">
            <w:rPr>
              <w:noProof/>
            </w:rPr>
            <w:fldChar w:fldCharType="end"/>
          </w:r>
        </w:p>
        <w:p w14:paraId="62ADE449" w14:textId="3708CC9F" w:rsidR="003E17E7" w:rsidRPr="00DE58AF" w:rsidRDefault="003E17E7">
          <w:pPr>
            <w:pStyle w:val="TOC2"/>
            <w:rPr>
              <w:rFonts w:asciiTheme="minorHAnsi" w:eastAsiaTheme="minorEastAsia" w:hAnsiTheme="minorHAnsi" w:cstheme="minorBidi"/>
              <w:bCs w:val="0"/>
              <w:noProof/>
              <w:kern w:val="2"/>
              <w:sz w:val="24"/>
              <w:szCs w:val="24"/>
              <w:lang w:val="en-GB" w:eastAsia="en-GB"/>
              <w14:ligatures w14:val="standardContextual"/>
            </w:rPr>
          </w:pPr>
          <w:r w:rsidRPr="00DE58AF">
            <w:rPr>
              <w:noProof/>
            </w:rPr>
            <w:t>Perspectives de commander une étude sur "l'étendue du droit d'obtenteur" et le rapport avec "l'épuisement du droit d'obtenteur".</w:t>
          </w:r>
          <w:r w:rsidRPr="00DE58AF">
            <w:rPr>
              <w:noProof/>
            </w:rPr>
            <w:tab/>
          </w:r>
          <w:r w:rsidRPr="00DE58AF">
            <w:rPr>
              <w:noProof/>
            </w:rPr>
            <w:fldChar w:fldCharType="begin"/>
          </w:r>
          <w:r w:rsidRPr="00DE58AF">
            <w:rPr>
              <w:noProof/>
            </w:rPr>
            <w:instrText xml:space="preserve"> PAGEREF _Toc174970789 \h </w:instrText>
          </w:r>
          <w:r w:rsidRPr="00DE58AF">
            <w:rPr>
              <w:noProof/>
            </w:rPr>
          </w:r>
          <w:r w:rsidRPr="00DE58AF">
            <w:rPr>
              <w:noProof/>
            </w:rPr>
            <w:fldChar w:fldCharType="separate"/>
          </w:r>
          <w:r w:rsidRPr="00DE58AF">
            <w:rPr>
              <w:noProof/>
            </w:rPr>
            <w:t>3</w:t>
          </w:r>
          <w:r w:rsidRPr="00DE58AF">
            <w:rPr>
              <w:noProof/>
            </w:rPr>
            <w:fldChar w:fldCharType="end"/>
          </w:r>
        </w:p>
        <w:p w14:paraId="441BA434" w14:textId="1EE5A704" w:rsidR="003E17E7" w:rsidRPr="00DE58AF" w:rsidRDefault="003E17E7">
          <w:pPr>
            <w:pStyle w:val="TOC2"/>
            <w:rPr>
              <w:rFonts w:asciiTheme="minorHAnsi" w:eastAsiaTheme="minorEastAsia" w:hAnsiTheme="minorHAnsi" w:cstheme="minorBidi"/>
              <w:bCs w:val="0"/>
              <w:noProof/>
              <w:kern w:val="2"/>
              <w:sz w:val="24"/>
              <w:szCs w:val="24"/>
              <w:lang w:val="en-GB" w:eastAsia="en-GB"/>
              <w14:ligatures w14:val="standardContextual"/>
            </w:rPr>
          </w:pPr>
          <w:r w:rsidRPr="00DE58AF">
            <w:rPr>
              <w:noProof/>
            </w:rPr>
            <w:t xml:space="preserve">Propositions concernant les notes explicatives sur la </w:t>
          </w:r>
          <w:r w:rsidRPr="00DE58AF">
            <w:rPr>
              <w:rFonts w:cs="Arial"/>
              <w:noProof/>
            </w:rPr>
            <w:t xml:space="preserve">protection provisoire </w:t>
          </w:r>
          <w:r w:rsidRPr="00DE58AF">
            <w:rPr>
              <w:noProof/>
            </w:rPr>
            <w:t>selon la Convention UPOV</w:t>
          </w:r>
          <w:r w:rsidRPr="00DE58AF">
            <w:rPr>
              <w:noProof/>
            </w:rPr>
            <w:tab/>
          </w:r>
          <w:r w:rsidRPr="00DE58AF">
            <w:rPr>
              <w:noProof/>
            </w:rPr>
            <w:fldChar w:fldCharType="begin"/>
          </w:r>
          <w:r w:rsidRPr="00DE58AF">
            <w:rPr>
              <w:noProof/>
            </w:rPr>
            <w:instrText xml:space="preserve"> PAGEREF _Toc174970790 \h </w:instrText>
          </w:r>
          <w:r w:rsidRPr="00DE58AF">
            <w:rPr>
              <w:noProof/>
            </w:rPr>
          </w:r>
          <w:r w:rsidRPr="00DE58AF">
            <w:rPr>
              <w:noProof/>
            </w:rPr>
            <w:fldChar w:fldCharType="separate"/>
          </w:r>
          <w:r w:rsidRPr="00DE58AF">
            <w:rPr>
              <w:noProof/>
            </w:rPr>
            <w:t>3</w:t>
          </w:r>
          <w:r w:rsidRPr="00DE58AF">
            <w:rPr>
              <w:noProof/>
            </w:rPr>
            <w:fldChar w:fldCharType="end"/>
          </w:r>
        </w:p>
        <w:p w14:paraId="73773701" w14:textId="2A6A9EDD" w:rsidR="003E17E7" w:rsidRPr="00DE58AF" w:rsidRDefault="003E17E7">
          <w:pPr>
            <w:pStyle w:val="TOC1"/>
            <w:rPr>
              <w:rFonts w:asciiTheme="minorHAnsi" w:eastAsiaTheme="minorEastAsia" w:hAnsiTheme="minorHAnsi" w:cstheme="minorBidi"/>
              <w:caps w:val="0"/>
              <w:noProof/>
              <w:kern w:val="2"/>
              <w:sz w:val="24"/>
              <w:szCs w:val="24"/>
              <w:lang w:val="en-GB" w:eastAsia="en-GB"/>
              <w14:ligatures w14:val="standardContextual"/>
            </w:rPr>
          </w:pPr>
          <w:r w:rsidRPr="00DE58AF">
            <w:rPr>
              <w:noProof/>
              <w:lang w:val="fr-FR"/>
            </w:rPr>
            <w:t>CINQUIÈME RÉUNION DU WG-HRV (21 MARS 2024)</w:t>
          </w:r>
          <w:r w:rsidRPr="00DE58AF">
            <w:rPr>
              <w:noProof/>
            </w:rPr>
            <w:tab/>
          </w:r>
          <w:r w:rsidRPr="00DE58AF">
            <w:rPr>
              <w:noProof/>
            </w:rPr>
            <w:fldChar w:fldCharType="begin"/>
          </w:r>
          <w:r w:rsidRPr="00DE58AF">
            <w:rPr>
              <w:noProof/>
            </w:rPr>
            <w:instrText xml:space="preserve"> PAGEREF _Toc174970791 \h </w:instrText>
          </w:r>
          <w:r w:rsidRPr="00DE58AF">
            <w:rPr>
              <w:noProof/>
            </w:rPr>
          </w:r>
          <w:r w:rsidRPr="00DE58AF">
            <w:rPr>
              <w:noProof/>
            </w:rPr>
            <w:fldChar w:fldCharType="separate"/>
          </w:r>
          <w:r w:rsidRPr="00DE58AF">
            <w:rPr>
              <w:noProof/>
            </w:rPr>
            <w:t>3</w:t>
          </w:r>
          <w:r w:rsidRPr="00DE58AF">
            <w:rPr>
              <w:noProof/>
            </w:rPr>
            <w:fldChar w:fldCharType="end"/>
          </w:r>
        </w:p>
        <w:p w14:paraId="3F861295" w14:textId="5090E901" w:rsidR="003E17E7" w:rsidRPr="00DE58AF" w:rsidRDefault="003E17E7">
          <w:pPr>
            <w:pStyle w:val="TOC2"/>
            <w:rPr>
              <w:rFonts w:asciiTheme="minorHAnsi" w:eastAsiaTheme="minorEastAsia" w:hAnsiTheme="minorHAnsi" w:cstheme="minorBidi"/>
              <w:bCs w:val="0"/>
              <w:noProof/>
              <w:kern w:val="2"/>
              <w:sz w:val="24"/>
              <w:szCs w:val="24"/>
              <w:lang w:val="en-GB" w:eastAsia="en-GB"/>
              <w14:ligatures w14:val="standardContextual"/>
            </w:rPr>
          </w:pPr>
          <w:r w:rsidRPr="00DE58AF">
            <w:rPr>
              <w:noProof/>
            </w:rPr>
            <w:t>Perspectives de commander une étude sur "l'étendue du droit d'obtenteur" et le rapport avec "l'épuisement du droit d'obtenteur".</w:t>
          </w:r>
          <w:r w:rsidRPr="00DE58AF">
            <w:rPr>
              <w:noProof/>
            </w:rPr>
            <w:tab/>
          </w:r>
          <w:r w:rsidRPr="00DE58AF">
            <w:rPr>
              <w:noProof/>
            </w:rPr>
            <w:fldChar w:fldCharType="begin"/>
          </w:r>
          <w:r w:rsidRPr="00DE58AF">
            <w:rPr>
              <w:noProof/>
            </w:rPr>
            <w:instrText xml:space="preserve"> PAGEREF _Toc174970792 \h </w:instrText>
          </w:r>
          <w:r w:rsidRPr="00DE58AF">
            <w:rPr>
              <w:noProof/>
            </w:rPr>
          </w:r>
          <w:r w:rsidRPr="00DE58AF">
            <w:rPr>
              <w:noProof/>
            </w:rPr>
            <w:fldChar w:fldCharType="separate"/>
          </w:r>
          <w:r w:rsidRPr="00DE58AF">
            <w:rPr>
              <w:noProof/>
            </w:rPr>
            <w:t>4</w:t>
          </w:r>
          <w:r w:rsidRPr="00DE58AF">
            <w:rPr>
              <w:noProof/>
            </w:rPr>
            <w:fldChar w:fldCharType="end"/>
          </w:r>
        </w:p>
        <w:p w14:paraId="1583A34A" w14:textId="0F010ABE" w:rsidR="003E17E7" w:rsidRPr="00DE58AF" w:rsidRDefault="003E17E7">
          <w:pPr>
            <w:pStyle w:val="TOC1"/>
            <w:rPr>
              <w:rFonts w:asciiTheme="minorHAnsi" w:eastAsiaTheme="minorEastAsia" w:hAnsiTheme="minorHAnsi" w:cstheme="minorBidi"/>
              <w:caps w:val="0"/>
              <w:noProof/>
              <w:kern w:val="2"/>
              <w:sz w:val="24"/>
              <w:szCs w:val="24"/>
              <w:lang w:val="en-GB" w:eastAsia="en-GB"/>
              <w14:ligatures w14:val="standardContextual"/>
            </w:rPr>
          </w:pPr>
          <w:r w:rsidRPr="00DE58AF">
            <w:rPr>
              <w:noProof/>
              <w:lang w:val="fr-FR"/>
            </w:rPr>
            <w:lastRenderedPageBreak/>
            <w:t>SIXIÈME RÉUNION DU WG-HRV (22 OCTOBRE 2024)</w:t>
          </w:r>
          <w:r w:rsidRPr="00DE58AF">
            <w:rPr>
              <w:noProof/>
            </w:rPr>
            <w:tab/>
          </w:r>
          <w:r w:rsidRPr="00DE58AF">
            <w:rPr>
              <w:noProof/>
            </w:rPr>
            <w:fldChar w:fldCharType="begin"/>
          </w:r>
          <w:r w:rsidRPr="00DE58AF">
            <w:rPr>
              <w:noProof/>
            </w:rPr>
            <w:instrText xml:space="preserve"> PAGEREF _Toc174970793 \h </w:instrText>
          </w:r>
          <w:r w:rsidRPr="00DE58AF">
            <w:rPr>
              <w:noProof/>
            </w:rPr>
          </w:r>
          <w:r w:rsidRPr="00DE58AF">
            <w:rPr>
              <w:noProof/>
            </w:rPr>
            <w:fldChar w:fldCharType="separate"/>
          </w:r>
          <w:r w:rsidRPr="00DE58AF">
            <w:rPr>
              <w:noProof/>
            </w:rPr>
            <w:t>4</w:t>
          </w:r>
          <w:r w:rsidRPr="00DE58AF">
            <w:rPr>
              <w:noProof/>
            </w:rPr>
            <w:fldChar w:fldCharType="end"/>
          </w:r>
        </w:p>
        <w:p w14:paraId="69B44655" w14:textId="761C1A75" w:rsidR="00BA45C5" w:rsidRPr="00DE58AF" w:rsidRDefault="007B45D6" w:rsidP="003E17E7">
          <w:pPr>
            <w:ind w:left="993" w:right="283" w:hanging="993"/>
          </w:pPr>
          <w:r w:rsidRPr="00DE58AF">
            <w:fldChar w:fldCharType="end"/>
          </w:r>
          <w:r w:rsidR="00206CC0" w:rsidRPr="00DE58AF">
            <w:t>ANNEXE</w:t>
          </w:r>
          <w:r w:rsidRPr="00DE58AF">
            <w:tab/>
          </w:r>
          <w:r w:rsidR="00206CC0" w:rsidRPr="00DE58AF">
            <w:t>MANDAT DU GROUPE DE TRAVAIL SUR LE MATÉRIEL DE RÉCOLTE ET L'UTILISATION NON AUTORISÉE DE MATÉRIEL DE MULTIPLICATION (WG-HRV)</w:t>
          </w:r>
        </w:p>
      </w:sdtContent>
    </w:sdt>
    <w:p w14:paraId="1212FFF2" w14:textId="77777777" w:rsidR="008F19AF" w:rsidRPr="00DE58AF" w:rsidRDefault="008F19AF" w:rsidP="008F19AF">
      <w:pPr>
        <w:rPr>
          <w:rFonts w:cs="Arial"/>
        </w:rPr>
      </w:pPr>
    </w:p>
    <w:p w14:paraId="7DF1B091" w14:textId="77777777" w:rsidR="008F19AF" w:rsidRPr="00DE58AF" w:rsidRDefault="008F19AF" w:rsidP="008F19AF">
      <w:pPr>
        <w:rPr>
          <w:rFonts w:cs="Arial"/>
        </w:rPr>
      </w:pPr>
    </w:p>
    <w:p w14:paraId="3C0F99B8" w14:textId="77777777" w:rsidR="00BA45C5" w:rsidRPr="00DE58AF" w:rsidRDefault="00206CC0">
      <w:pPr>
        <w:pStyle w:val="Heading1"/>
        <w:rPr>
          <w:lang w:val="fr-FR"/>
        </w:rPr>
      </w:pPr>
      <w:bookmarkStart w:id="2" w:name="_Toc174970786"/>
      <w:r w:rsidRPr="00DE58AF">
        <w:rPr>
          <w:lang w:val="fr-FR"/>
        </w:rPr>
        <w:t>CONTEXTE</w:t>
      </w:r>
      <w:bookmarkEnd w:id="2"/>
    </w:p>
    <w:p w14:paraId="3D89092D" w14:textId="77777777" w:rsidR="008F19AF" w:rsidRPr="00DE58AF" w:rsidRDefault="008F19AF" w:rsidP="008F19AF">
      <w:pPr>
        <w:rPr>
          <w:rFonts w:cs="Arial"/>
        </w:rPr>
      </w:pPr>
    </w:p>
    <w:p w14:paraId="4D31DB50" w14:textId="188AE180" w:rsidR="00BA45C5" w:rsidRPr="00DE58AF" w:rsidRDefault="00206CC0" w:rsidP="00DE58AF">
      <w:pPr>
        <w:rPr>
          <w:snapToGrid w:val="0"/>
        </w:rPr>
      </w:pPr>
      <w:r w:rsidRPr="00DE58AF">
        <w:fldChar w:fldCharType="begin"/>
      </w:r>
      <w:r w:rsidRPr="00DE58AF">
        <w:instrText xml:space="preserve"> AUTONUM  </w:instrText>
      </w:r>
      <w:r w:rsidRPr="00DE58AF">
        <w:fldChar w:fldCharType="end"/>
      </w:r>
      <w:r w:rsidRPr="00DE58AF">
        <w:tab/>
        <w:t xml:space="preserve">Le CAJ, à sa </w:t>
      </w:r>
      <w:r w:rsidR="003F6A8E" w:rsidRPr="00DE58AF">
        <w:t xml:space="preserve">quatre-vingtième </w:t>
      </w:r>
      <w:r w:rsidRPr="00DE58AF">
        <w:t xml:space="preserve">session, tenue à Genève le </w:t>
      </w:r>
      <w:r w:rsidR="003F6A8E" w:rsidRPr="00DE58AF">
        <w:t>25</w:t>
      </w:r>
      <w:r w:rsidRPr="00DE58AF">
        <w:t xml:space="preserve"> octobre </w:t>
      </w:r>
      <w:r w:rsidR="003F6A8E" w:rsidRPr="00DE58AF">
        <w:t>2023</w:t>
      </w:r>
      <w:r w:rsidRPr="00DE58AF">
        <w:t xml:space="preserve">, </w:t>
      </w:r>
      <w:r w:rsidRPr="00DE58AF">
        <w:rPr>
          <w:snapToGrid w:val="0"/>
        </w:rPr>
        <w:t xml:space="preserve">a pris note du compte rendu du </w:t>
      </w:r>
      <w:r w:rsidR="00DE58AF" w:rsidRPr="00DE58AF">
        <w:rPr>
          <w:snapToGrid w:val="0"/>
        </w:rPr>
        <w:t>WG-</w:t>
      </w:r>
      <w:r w:rsidRPr="00DE58AF">
        <w:rPr>
          <w:snapToGrid w:val="0"/>
        </w:rPr>
        <w:t>HRV</w:t>
      </w:r>
      <w:r w:rsidRPr="00DE58AF">
        <w:t xml:space="preserve">, tel qu'il figure dans le document </w:t>
      </w:r>
      <w:r w:rsidR="003F6A8E" w:rsidRPr="00DE58AF">
        <w:t xml:space="preserve">CAJ/80/3 </w:t>
      </w:r>
      <w:r w:rsidRPr="00DE58AF">
        <w:t xml:space="preserve">"Compte rendu du Groupe de travail sur le matériel de récolte et l'utilisation non autorisée de matériel de reproduction ou de multiplication (WG-HRV)".  Le CAJ </w:t>
      </w:r>
      <w:r w:rsidRPr="00DE58AF">
        <w:rPr>
          <w:snapToGrid w:val="0"/>
        </w:rPr>
        <w:t>a exprimé son soutien aux travaux en cours du WG</w:t>
      </w:r>
      <w:r w:rsidR="00DE58AF" w:rsidRPr="00DE58AF">
        <w:rPr>
          <w:snapToGrid w:val="0"/>
        </w:rPr>
        <w:t>-</w:t>
      </w:r>
      <w:r w:rsidRPr="00DE58AF">
        <w:rPr>
          <w:snapToGrid w:val="0"/>
        </w:rPr>
        <w:t>HRV, qui portent notamment sur la nécessité de clarifier les notions de matériel de reproduction ou de multiplication et de récolte et d'épuisement du droit d'obtenteur, l'étendue de la protection provisoire, la notion d'"utilisation non autorisée" et d'"opportunité raisonnable" au titre de l'article 14.2) et le rôle des contrats et des droits d'obtenteur, y compris le fait que l'autorisation de l'obtenteur peut être soumise à des conditions et à des limitations</w:t>
      </w:r>
      <w:r w:rsidR="003F6A8E" w:rsidRPr="00DE58AF">
        <w:rPr>
          <w:snapToGrid w:val="0"/>
        </w:rPr>
        <w:t>.</w:t>
      </w:r>
    </w:p>
    <w:p w14:paraId="78A71FDB" w14:textId="77777777" w:rsidR="00DE58AF" w:rsidRPr="00DE58AF" w:rsidRDefault="00DE58AF" w:rsidP="00DE58AF">
      <w:pPr>
        <w:rPr>
          <w:snapToGrid w:val="0"/>
        </w:rPr>
      </w:pPr>
    </w:p>
    <w:p w14:paraId="73E35433" w14:textId="77777777" w:rsidR="00DE58AF" w:rsidRPr="00DE58AF" w:rsidRDefault="00DE58AF" w:rsidP="00DE58AF">
      <w:pPr>
        <w:rPr>
          <w:snapToGrid w:val="0"/>
        </w:rPr>
      </w:pPr>
    </w:p>
    <w:p w14:paraId="0CB76F59" w14:textId="77777777" w:rsidR="00BA45C5" w:rsidRPr="00DE58AF" w:rsidRDefault="00206CC0">
      <w:pPr>
        <w:pStyle w:val="Heading1"/>
        <w:rPr>
          <w:lang w:val="fr-FR"/>
        </w:rPr>
      </w:pPr>
      <w:bookmarkStart w:id="3" w:name="_Toc174970787"/>
      <w:r w:rsidRPr="00DE58AF">
        <w:rPr>
          <w:lang w:val="fr-FR"/>
        </w:rPr>
        <w:t>QUATRIÈME RÉUNION DU WG-HRV (25 OCTOBRE 2023)</w:t>
      </w:r>
      <w:bookmarkEnd w:id="3"/>
    </w:p>
    <w:p w14:paraId="7437504B" w14:textId="77777777" w:rsidR="008D0F14" w:rsidRPr="00DE58AF" w:rsidRDefault="008D0F14" w:rsidP="008D0F14"/>
    <w:p w14:paraId="53C994E5" w14:textId="77777777" w:rsidR="00DE58AF"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r>
      <w:r w:rsidR="003F6A8E" w:rsidRPr="00DE58AF">
        <w:rPr>
          <w:rFonts w:cs="Arial"/>
        </w:rPr>
        <w:t xml:space="preserve">Le WG-HRV a tenu sa quatrième réunion à Genève, le 25 octobre 2023, par des moyens hybrides. </w:t>
      </w:r>
      <w:r w:rsidRPr="00DE58AF">
        <w:rPr>
          <w:rFonts w:cs="Arial"/>
        </w:rPr>
        <w:t xml:space="preserve">Les documents </w:t>
      </w:r>
      <w:r w:rsidR="003F6A8E" w:rsidRPr="00DE58AF">
        <w:rPr>
          <w:rFonts w:cs="Arial"/>
        </w:rPr>
        <w:t xml:space="preserve">et le rendu du </w:t>
      </w:r>
      <w:r w:rsidRPr="00DE58AF">
        <w:rPr>
          <w:rFonts w:cs="Arial"/>
        </w:rPr>
        <w:t xml:space="preserve">WG-HRV/4 sont </w:t>
      </w:r>
      <w:r w:rsidRPr="00DE58AF">
        <w:t>disponibles à l'adresse suivante :</w:t>
      </w:r>
    </w:p>
    <w:p w14:paraId="09103879" w14:textId="7761EA75" w:rsidR="00BA45C5" w:rsidRPr="00DE58AF" w:rsidRDefault="00D17E9C">
      <w:hyperlink r:id="rId9" w:history="1">
        <w:r w:rsidR="007E366F" w:rsidRPr="00DE58AF">
          <w:rPr>
            <w:rStyle w:val="Hyperlink"/>
          </w:rPr>
          <w:t xml:space="preserve">https://www.upov.int/meetings/fr/details.jsp?meeting_id=77809. </w:t>
        </w:r>
      </w:hyperlink>
    </w:p>
    <w:p w14:paraId="4E532ABC" w14:textId="77777777" w:rsidR="00BA1949" w:rsidRPr="00DE58AF" w:rsidRDefault="00BA1949" w:rsidP="008F19AF"/>
    <w:p w14:paraId="679B51A6" w14:textId="77777777" w:rsidR="00BA45C5" w:rsidRPr="00DE58AF" w:rsidRDefault="00206CC0">
      <w:pPr>
        <w:pStyle w:val="Heading2"/>
        <w:rPr>
          <w:lang w:val="fr-FR"/>
        </w:rPr>
      </w:pPr>
      <w:bookmarkStart w:id="4" w:name="_Toc174970788"/>
      <w:bookmarkStart w:id="5" w:name="_Toc146199516"/>
      <w:r w:rsidRPr="00DE58AF">
        <w:rPr>
          <w:lang w:val="fr-FR"/>
        </w:rPr>
        <w:t>Propositions concernant les notes explicatives sur le matériel de multiplication selon la Convention UPOV</w:t>
      </w:r>
      <w:bookmarkEnd w:id="4"/>
      <w:r w:rsidRPr="00DE58AF">
        <w:rPr>
          <w:lang w:val="fr-FR"/>
        </w:rPr>
        <w:t xml:space="preserve"> </w:t>
      </w:r>
      <w:bookmarkEnd w:id="5"/>
    </w:p>
    <w:p w14:paraId="4C9847F6" w14:textId="77777777" w:rsidR="00E86031" w:rsidRPr="00DE58AF" w:rsidRDefault="00E86031" w:rsidP="00E86031">
      <w:pPr>
        <w:keepNext/>
        <w:rPr>
          <w:rFonts w:cs="Arial"/>
        </w:rPr>
      </w:pPr>
    </w:p>
    <w:p w14:paraId="090D8F79" w14:textId="194245EE" w:rsidR="00BA45C5" w:rsidRPr="00DE58AF" w:rsidRDefault="00206CC0">
      <w:pPr>
        <w:keepLines/>
        <w:spacing w:after="200"/>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 xml:space="preserve">Le WG-HRV/4 a examiné le document WGHRV/4/2 </w:t>
      </w:r>
      <w:r w:rsidRPr="00DE58AF">
        <w:t>"</w:t>
      </w:r>
      <w:r w:rsidRPr="00DE58AF">
        <w:rPr>
          <w:rFonts w:cs="Arial"/>
        </w:rPr>
        <w:t xml:space="preserve">Propositions concernant les notes explicatives sur le matériel de </w:t>
      </w:r>
      <w:r w:rsidR="00DE58AF" w:rsidRPr="00DE58AF">
        <w:rPr>
          <w:rFonts w:cs="Arial"/>
        </w:rPr>
        <w:t xml:space="preserve">reproduction ou de </w:t>
      </w:r>
      <w:r w:rsidRPr="00DE58AF">
        <w:rPr>
          <w:rFonts w:cs="Arial"/>
        </w:rPr>
        <w:t>multiplication selon la Convention UPOV".</w:t>
      </w:r>
    </w:p>
    <w:p w14:paraId="6845C608" w14:textId="0D0E1482"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 xml:space="preserve">Le WG-HRV a noté que, lors de sa troisième réunion, tenue à Genève le 21 mars 2023, </w:t>
      </w:r>
      <w:r w:rsidR="00B73FB8" w:rsidRPr="00DE58AF">
        <w:rPr>
          <w:rFonts w:cs="Arial"/>
        </w:rPr>
        <w:t xml:space="preserve">il a été </w:t>
      </w:r>
      <w:r w:rsidRPr="00DE58AF">
        <w:rPr>
          <w:rFonts w:cs="Arial"/>
        </w:rPr>
        <w:t xml:space="preserve">convenu de modifier la section "Facteurs qui ont été pris en compte en ce qui concerne le matériel de </w:t>
      </w:r>
      <w:r w:rsidR="00DE58AF" w:rsidRPr="00DE58AF">
        <w:rPr>
          <w:rFonts w:cs="Arial"/>
        </w:rPr>
        <w:t xml:space="preserve">reproduction ou de </w:t>
      </w:r>
      <w:r w:rsidRPr="00DE58AF">
        <w:rPr>
          <w:rFonts w:cs="Arial"/>
        </w:rPr>
        <w:t xml:space="preserve">propagation", comme présenté ci-dessous. </w:t>
      </w:r>
      <w:r w:rsidRPr="00DE58AF">
        <w:rPr>
          <w:rFonts w:cs="Arial"/>
        </w:rPr>
        <w:cr/>
      </w:r>
    </w:p>
    <w:p w14:paraId="16508120" w14:textId="77777777" w:rsidR="00DE58AF" w:rsidRPr="00DE58AF" w:rsidRDefault="00DE58AF" w:rsidP="00DE58AF">
      <w:pPr>
        <w:ind w:left="567" w:right="567"/>
        <w:rPr>
          <w:sz w:val="18"/>
          <w:szCs w:val="18"/>
        </w:rPr>
      </w:pPr>
      <w:r w:rsidRPr="00DE58AF">
        <w:rPr>
          <w:sz w:val="18"/>
          <w:szCs w:val="18"/>
        </w:rPr>
        <w:t>FACTEURS QUI ONT ÉTÉ PRIS EN COMPTE S’AGISSANT DU MATÉRIEL DE REPRODUCTION OU DE</w:t>
      </w:r>
    </w:p>
    <w:p w14:paraId="269CA287" w14:textId="29767521" w:rsidR="00BA45C5" w:rsidRPr="00DE58AF" w:rsidRDefault="00DE58AF" w:rsidP="00DE58AF">
      <w:pPr>
        <w:ind w:left="567" w:right="567"/>
        <w:rPr>
          <w:sz w:val="18"/>
          <w:szCs w:val="18"/>
        </w:rPr>
      </w:pPr>
      <w:r w:rsidRPr="00DE58AF">
        <w:rPr>
          <w:sz w:val="18"/>
          <w:szCs w:val="18"/>
        </w:rPr>
        <w:t>MULTIPLICATION</w:t>
      </w:r>
    </w:p>
    <w:p w14:paraId="6213D747" w14:textId="77777777" w:rsidR="00E86031" w:rsidRPr="00DE58AF" w:rsidRDefault="00E86031" w:rsidP="00DE58AF">
      <w:pPr>
        <w:ind w:left="567" w:right="567"/>
        <w:rPr>
          <w:sz w:val="10"/>
          <w:szCs w:val="18"/>
        </w:rPr>
      </w:pPr>
      <w:bookmarkStart w:id="6" w:name="_Toc178579799"/>
      <w:bookmarkStart w:id="7" w:name="_Toc178579820"/>
    </w:p>
    <w:bookmarkEnd w:id="6"/>
    <w:bookmarkEnd w:id="7"/>
    <w:p w14:paraId="2E36AE83" w14:textId="06786B73" w:rsidR="00BA45C5" w:rsidRPr="00DE58AF" w:rsidRDefault="00206CC0" w:rsidP="00DE58AF">
      <w:pPr>
        <w:ind w:left="567" w:right="567"/>
        <w:rPr>
          <w:sz w:val="18"/>
          <w:szCs w:val="18"/>
        </w:rPr>
      </w:pPr>
      <w:r w:rsidRPr="00DE58AF">
        <w:rPr>
          <w:sz w:val="18"/>
          <w:szCs w:val="18"/>
        </w:rPr>
        <w:t xml:space="preserve">La Convention UPOV ne donne pas de définition du "matériel de </w:t>
      </w:r>
      <w:r w:rsidR="00DE58AF" w:rsidRPr="00DE58AF">
        <w:rPr>
          <w:sz w:val="18"/>
          <w:szCs w:val="18"/>
        </w:rPr>
        <w:t xml:space="preserve">reproduction ou de </w:t>
      </w:r>
      <w:r w:rsidRPr="00DE58AF">
        <w:rPr>
          <w:sz w:val="18"/>
          <w:szCs w:val="18"/>
        </w:rPr>
        <w:t xml:space="preserve">multiplication".  Le matériel de </w:t>
      </w:r>
      <w:r w:rsidR="00DE58AF" w:rsidRPr="00DE58AF">
        <w:rPr>
          <w:sz w:val="18"/>
          <w:szCs w:val="18"/>
        </w:rPr>
        <w:t xml:space="preserve">reproduction ou de </w:t>
      </w:r>
      <w:r w:rsidRPr="00DE58AF">
        <w:rPr>
          <w:sz w:val="18"/>
          <w:szCs w:val="18"/>
        </w:rPr>
        <w:t xml:space="preserve">multiplication </w:t>
      </w:r>
      <w:r w:rsidR="00DE58AF">
        <w:rPr>
          <w:sz w:val="18"/>
          <w:szCs w:val="18"/>
        </w:rPr>
        <w:t xml:space="preserve">couvre </w:t>
      </w:r>
      <w:r w:rsidRPr="00DE58AF">
        <w:rPr>
          <w:sz w:val="18"/>
          <w:szCs w:val="18"/>
        </w:rPr>
        <w:t>le matériel de reproduction et de multiplication végétative.  On trouvera ci-après des exemples non exhaustifs de facteurs, dont un ou plusieurs pourraient être utilisés pour décider si un matériel est un matériel de reproduction ou de multiplication.  Ces facteurs doivent être examinés dans le contexte de chaque membre de l'Union et dans les circonstances particulières.</w:t>
      </w:r>
    </w:p>
    <w:p w14:paraId="02D1AAC4" w14:textId="77777777" w:rsidR="00E86031" w:rsidRPr="00DE58AF" w:rsidRDefault="00E86031" w:rsidP="00DE58AF">
      <w:pPr>
        <w:ind w:left="567" w:right="567"/>
        <w:rPr>
          <w:sz w:val="10"/>
          <w:szCs w:val="18"/>
        </w:rPr>
      </w:pPr>
    </w:p>
    <w:p w14:paraId="24EB7880" w14:textId="3F454C5F" w:rsidR="00CE31C2" w:rsidRPr="00DE58AF" w:rsidRDefault="00CE31C2" w:rsidP="00DE58AF">
      <w:pPr>
        <w:pStyle w:val="ListParagraph"/>
        <w:numPr>
          <w:ilvl w:val="0"/>
          <w:numId w:val="4"/>
        </w:numPr>
        <w:spacing w:after="80"/>
        <w:ind w:left="1134" w:right="567" w:firstLine="0"/>
        <w:rPr>
          <w:sz w:val="18"/>
          <w:szCs w:val="18"/>
        </w:rPr>
      </w:pPr>
      <w:r w:rsidRPr="00DE58AF">
        <w:rPr>
          <w:sz w:val="18"/>
          <w:szCs w:val="18"/>
        </w:rPr>
        <w:t>plantes ou parties de plantes utilisées pour la reproduction de la variété;</w:t>
      </w:r>
    </w:p>
    <w:p w14:paraId="787A8FA0" w14:textId="23EBD920" w:rsidR="00CE31C2" w:rsidRPr="00DE58AF" w:rsidRDefault="00CE31C2" w:rsidP="00DE58AF">
      <w:pPr>
        <w:spacing w:after="80"/>
        <w:ind w:left="1134" w:right="567"/>
        <w:rPr>
          <w:sz w:val="18"/>
          <w:szCs w:val="18"/>
        </w:rPr>
      </w:pPr>
      <w:r w:rsidRPr="00DE58AF">
        <w:rPr>
          <w:sz w:val="18"/>
          <w:szCs w:val="18"/>
        </w:rPr>
        <w:t>ii)</w:t>
      </w:r>
      <w:r w:rsidRPr="00DE58AF">
        <w:rPr>
          <w:sz w:val="18"/>
          <w:szCs w:val="18"/>
        </w:rPr>
        <w:tab/>
        <w:t>indiquer si le matériel a été utilisé pour reproduire ou multiplier la variété;</w:t>
      </w:r>
    </w:p>
    <w:p w14:paraId="10E4F81F" w14:textId="29F57153" w:rsidR="00CE31C2" w:rsidRPr="00DE58AF" w:rsidRDefault="00CE31C2" w:rsidP="00DE58AF">
      <w:pPr>
        <w:spacing w:after="80"/>
        <w:ind w:left="1134" w:right="567"/>
        <w:rPr>
          <w:sz w:val="18"/>
          <w:szCs w:val="18"/>
        </w:rPr>
      </w:pPr>
      <w:r w:rsidRPr="00DE58AF">
        <w:rPr>
          <w:sz w:val="18"/>
          <w:szCs w:val="18"/>
        </w:rPr>
        <w:t>iii)</w:t>
      </w:r>
      <w:r w:rsidRPr="00DE58AF">
        <w:rPr>
          <w:sz w:val="18"/>
          <w:szCs w:val="18"/>
        </w:rPr>
        <w:tab/>
        <w:t>indiquer si le matériel a la capacité innée de produire des plantes entières de la variété (par exemple, des semences, des tubercules);</w:t>
      </w:r>
    </w:p>
    <w:p w14:paraId="3B0F6EA4" w14:textId="1FCF4BAE" w:rsidR="00CE31C2" w:rsidRPr="00DE58AF" w:rsidRDefault="00CE31C2" w:rsidP="00DE58AF">
      <w:pPr>
        <w:autoSpaceDE w:val="0"/>
        <w:autoSpaceDN w:val="0"/>
        <w:adjustRightInd w:val="0"/>
        <w:spacing w:after="80"/>
        <w:ind w:left="1134" w:right="567"/>
        <w:rPr>
          <w:sz w:val="18"/>
          <w:szCs w:val="18"/>
        </w:rPr>
      </w:pPr>
      <w:r w:rsidRPr="00DE58AF">
        <w:rPr>
          <w:sz w:val="18"/>
          <w:szCs w:val="18"/>
        </w:rPr>
        <w:t>iv)</w:t>
      </w:r>
      <w:r w:rsidRPr="00DE58AF">
        <w:rPr>
          <w:sz w:val="18"/>
          <w:szCs w:val="18"/>
        </w:rPr>
        <w:tab/>
      </w:r>
      <w:r w:rsidR="00DE58AF">
        <w:rPr>
          <w:sz w:val="18"/>
          <w:szCs w:val="18"/>
        </w:rPr>
        <w:t xml:space="preserve">indiquer </w:t>
      </w:r>
      <w:r w:rsidRPr="00DE58AF">
        <w:rPr>
          <w:sz w:val="18"/>
          <w:szCs w:val="18"/>
        </w:rPr>
        <w:t>si le matériel pouvait être utilisé comme matériel de reproduction ou de multiplication grâce à des techniques de reproduction ou de multiplication (par exemple, des boutures, la culture de tissus);</w:t>
      </w:r>
    </w:p>
    <w:p w14:paraId="5A1457F4" w14:textId="6E97127F" w:rsidR="00CE31C2" w:rsidRPr="00DE58AF" w:rsidRDefault="00CE31C2" w:rsidP="00DE58AF">
      <w:pPr>
        <w:autoSpaceDE w:val="0"/>
        <w:autoSpaceDN w:val="0"/>
        <w:adjustRightInd w:val="0"/>
        <w:spacing w:after="80"/>
        <w:ind w:left="1134" w:right="567"/>
        <w:rPr>
          <w:sz w:val="18"/>
          <w:szCs w:val="18"/>
        </w:rPr>
      </w:pPr>
      <w:r w:rsidRPr="00DE58AF">
        <w:rPr>
          <w:sz w:val="18"/>
          <w:szCs w:val="18"/>
        </w:rPr>
        <w:t>v)</w:t>
      </w:r>
      <w:r w:rsidRPr="00DE58AF">
        <w:rPr>
          <w:sz w:val="18"/>
          <w:szCs w:val="18"/>
        </w:rPr>
        <w:tab/>
        <w:t xml:space="preserve">indiquer s’il y a eu une coutume ou pratique consistant à utiliser le matériel à cette fin ou si, </w:t>
      </w:r>
      <w:proofErr w:type="gramStart"/>
      <w:r w:rsidRPr="00DE58AF">
        <w:rPr>
          <w:sz w:val="18"/>
          <w:szCs w:val="18"/>
        </w:rPr>
        <w:t>suite à des</w:t>
      </w:r>
      <w:proofErr w:type="gramEnd"/>
      <w:r w:rsidRPr="00DE58AF">
        <w:rPr>
          <w:sz w:val="18"/>
          <w:szCs w:val="18"/>
        </w:rPr>
        <w:t xml:space="preserve"> faits nouveaux, il y a une nouvelle coutume ou pratique consistant à utiliser le matériel à cette fin;</w:t>
      </w:r>
    </w:p>
    <w:p w14:paraId="78FC519C" w14:textId="34AD8C7F" w:rsidR="00CE31C2" w:rsidRPr="00DE58AF" w:rsidRDefault="00CE31C2" w:rsidP="00DE58AF">
      <w:pPr>
        <w:spacing w:after="80"/>
        <w:ind w:left="1134" w:right="567"/>
        <w:rPr>
          <w:sz w:val="18"/>
          <w:szCs w:val="18"/>
          <w:u w:val="single"/>
        </w:rPr>
      </w:pPr>
      <w:r w:rsidRPr="00DE58AF">
        <w:rPr>
          <w:sz w:val="18"/>
          <w:szCs w:val="18"/>
        </w:rPr>
        <w:t>vi)</w:t>
      </w:r>
      <w:r w:rsidRPr="00DE58AF">
        <w:rPr>
          <w:sz w:val="18"/>
          <w:szCs w:val="18"/>
        </w:rPr>
        <w:tab/>
        <w:t xml:space="preserve">indiquer si, sur la base de la nature et de la condition du matériel et/ou de la forme de son utilisation, il peut être établi que le matériel est du “matériel de reproduction ou de multiplication”; </w:t>
      </w:r>
    </w:p>
    <w:p w14:paraId="02D3D5AC" w14:textId="00F3AF72" w:rsidR="00CE31C2" w:rsidRPr="00DE58AF" w:rsidRDefault="00CE31C2" w:rsidP="00DE58AF">
      <w:pPr>
        <w:spacing w:after="120"/>
        <w:ind w:left="1134" w:right="567"/>
        <w:rPr>
          <w:sz w:val="18"/>
          <w:szCs w:val="18"/>
          <w:u w:val="single"/>
        </w:rPr>
      </w:pPr>
      <w:r w:rsidRPr="00DE58AF">
        <w:rPr>
          <w:sz w:val="18"/>
          <w:szCs w:val="18"/>
        </w:rPr>
        <w:t>vii)</w:t>
      </w:r>
      <w:r w:rsidRPr="00DE58AF">
        <w:rPr>
          <w:sz w:val="18"/>
          <w:szCs w:val="18"/>
        </w:rPr>
        <w:tab/>
        <w:t>le matériel de la variété dont les conditions et le mode de production répondent à l’objectif de reproduction des nouvelles plantes de la variété mais ne sont pas destinés in fine à la consommation.</w:t>
      </w:r>
    </w:p>
    <w:p w14:paraId="692E77DC" w14:textId="41AA3F2D" w:rsidR="00E86031" w:rsidRPr="00DE58AF" w:rsidRDefault="00A414B3" w:rsidP="00DE58AF">
      <w:pPr>
        <w:ind w:left="567" w:right="567"/>
        <w:rPr>
          <w:sz w:val="18"/>
          <w:szCs w:val="18"/>
        </w:rPr>
      </w:pPr>
      <w:r w:rsidRPr="00DE58AF">
        <w:rPr>
          <w:sz w:val="18"/>
          <w:szCs w:val="18"/>
        </w:rPr>
        <w:t>Le texte ci-dessus n’est pas censé constituer une définition du “matériel de reproduction ou de multiplication”.</w:t>
      </w:r>
    </w:p>
    <w:p w14:paraId="38C93789" w14:textId="77777777" w:rsidR="00A414B3" w:rsidRPr="00DE58AF" w:rsidRDefault="00A414B3" w:rsidP="00E86031">
      <w:pPr>
        <w:rPr>
          <w:rFonts w:cs="Arial"/>
          <w:snapToGrid w:val="0"/>
          <w:highlight w:val="yellow"/>
        </w:rPr>
      </w:pPr>
    </w:p>
    <w:p w14:paraId="36B92BB5" w14:textId="77777777" w:rsidR="00BA45C5" w:rsidRPr="00DE58AF" w:rsidRDefault="00206CC0">
      <w:pPr>
        <w:ind w:firstLine="567"/>
        <w:rPr>
          <w:rFonts w:cs="Arial"/>
          <w:snapToGrid w:val="0"/>
        </w:rPr>
      </w:pPr>
      <w:r w:rsidRPr="00DE58AF">
        <w:rPr>
          <w:rFonts w:cs="Arial"/>
          <w:snapToGrid w:val="0"/>
        </w:rPr>
        <w:t>(voir le document WG-HRV/3/4 "Compte rendu", paragraphe 7).</w:t>
      </w:r>
    </w:p>
    <w:p w14:paraId="78CE9C90" w14:textId="77777777" w:rsidR="00E86031" w:rsidRPr="00DE58AF" w:rsidRDefault="00E86031" w:rsidP="00E86031">
      <w:pPr>
        <w:rPr>
          <w:rFonts w:cs="Arial"/>
          <w:snapToGrid w:val="0"/>
        </w:rPr>
      </w:pPr>
    </w:p>
    <w:p w14:paraId="29592A0A" w14:textId="39EF3CBF" w:rsidR="00BA45C5" w:rsidRPr="00DE58AF" w:rsidRDefault="00206CC0" w:rsidP="00DE58AF">
      <w:pPr>
        <w:keepLines/>
      </w:pPr>
      <w:r w:rsidRPr="00DE58AF">
        <w:rPr>
          <w:rFonts w:cs="Arial"/>
          <w:snapToGrid w:val="0"/>
        </w:rPr>
        <w:lastRenderedPageBreak/>
        <w:fldChar w:fldCharType="begin"/>
      </w:r>
      <w:r w:rsidRPr="00DE58AF">
        <w:rPr>
          <w:rFonts w:cs="Arial"/>
          <w:snapToGrid w:val="0"/>
        </w:rPr>
        <w:instrText xml:space="preserve"> AUTONUM  </w:instrText>
      </w:r>
      <w:r w:rsidRPr="00DE58AF">
        <w:rPr>
          <w:rFonts w:cs="Arial"/>
          <w:snapToGrid w:val="0"/>
        </w:rPr>
        <w:fldChar w:fldCharType="end"/>
      </w:r>
      <w:r w:rsidRPr="00DE58AF">
        <w:rPr>
          <w:rFonts w:cs="Arial"/>
          <w:snapToGrid w:val="0"/>
        </w:rPr>
        <w:tab/>
      </w:r>
      <w:r w:rsidRPr="00DE58AF">
        <w:t xml:space="preserve">Le WG-HRV est convenu de proposer au CAJ, à sa quatre-vingt-unième session en octobre 2024, d'approuver la révision des "Notes explicatives sur le matériel de </w:t>
      </w:r>
      <w:r w:rsidR="00DE58AF" w:rsidRPr="00DE58AF">
        <w:t xml:space="preserve">reproduction ou de </w:t>
      </w:r>
      <w:r w:rsidRPr="00DE58AF">
        <w:t>multiplication en vertu de la Convention UPOV" (</w:t>
      </w:r>
      <w:r w:rsidR="00DE58AF">
        <w:t xml:space="preserve">document </w:t>
      </w:r>
      <w:r w:rsidRPr="00DE58AF">
        <w:t>UPOV/EXN/PPM/1) comme indiqué au paragraphe 5 du document WG</w:t>
      </w:r>
      <w:r w:rsidR="00DE58AF">
        <w:noBreakHyphen/>
      </w:r>
      <w:r w:rsidRPr="00DE58AF">
        <w:t xml:space="preserve">HRV/4/2 (voir le paragraphe </w:t>
      </w:r>
      <w:r w:rsidR="00203EA0" w:rsidRPr="00DE58AF">
        <w:t xml:space="preserve">10 </w:t>
      </w:r>
      <w:r w:rsidRPr="00DE58AF">
        <w:t>ci-dessus).</w:t>
      </w:r>
    </w:p>
    <w:p w14:paraId="5CAE807F" w14:textId="77777777" w:rsidR="00E86031" w:rsidRPr="00DE58AF" w:rsidRDefault="00E86031" w:rsidP="00E86031"/>
    <w:p w14:paraId="2D847130" w14:textId="09FF9A77" w:rsidR="00BA45C5" w:rsidRPr="00DE58AF" w:rsidRDefault="00206CC0">
      <w:r w:rsidRPr="00DE58AF">
        <w:rPr>
          <w:rFonts w:cs="Arial"/>
          <w:snapToGrid w:val="0"/>
        </w:rPr>
        <w:fldChar w:fldCharType="begin"/>
      </w:r>
      <w:r w:rsidRPr="00DE58AF">
        <w:rPr>
          <w:rFonts w:cs="Arial"/>
          <w:snapToGrid w:val="0"/>
        </w:rPr>
        <w:instrText xml:space="preserve"> AUTONUM  </w:instrText>
      </w:r>
      <w:r w:rsidRPr="00DE58AF">
        <w:rPr>
          <w:rFonts w:cs="Arial"/>
          <w:snapToGrid w:val="0"/>
        </w:rPr>
        <w:fldChar w:fldCharType="end"/>
      </w:r>
      <w:r w:rsidRPr="00DE58AF">
        <w:rPr>
          <w:rFonts w:cs="Arial"/>
          <w:snapToGrid w:val="0"/>
        </w:rPr>
        <w:tab/>
        <w:t>Le CAJ est invité</w:t>
      </w:r>
      <w:r w:rsidR="00DB00A3" w:rsidRPr="00DE58AF">
        <w:rPr>
          <w:rFonts w:cs="Arial"/>
          <w:snapToGrid w:val="0"/>
        </w:rPr>
        <w:t xml:space="preserve">, au titre du point 5.a) de l'ordre du jour de la réunion de ce jour, à </w:t>
      </w:r>
      <w:r w:rsidRPr="00DE58AF">
        <w:t>approuver la révision des "Notes explicatives sur le matériel de reproduction ou de multiplication selon la Convention UPOV" (</w:t>
      </w:r>
      <w:r w:rsidR="00DE58AF">
        <w:t xml:space="preserve">document </w:t>
      </w:r>
      <w:r w:rsidRPr="00DE58AF">
        <w:t xml:space="preserve">UPOV/EXN/PPM/1), comme indiqué au paragraphe 5 du document WG-HRV/4/2 (voir le paragraphe </w:t>
      </w:r>
      <w:r w:rsidR="00203EA0" w:rsidRPr="00DE58AF">
        <w:t xml:space="preserve">10 </w:t>
      </w:r>
      <w:r w:rsidRPr="00DE58AF">
        <w:t>ci-dessus).</w:t>
      </w:r>
    </w:p>
    <w:p w14:paraId="4CF70B3D" w14:textId="77777777" w:rsidR="00E86031" w:rsidRPr="00DE58AF" w:rsidRDefault="00E86031" w:rsidP="00E86031"/>
    <w:p w14:paraId="3C7703F8" w14:textId="3A32929F" w:rsidR="00BA45C5" w:rsidRPr="00DE58AF" w:rsidRDefault="00206CC0">
      <w:pPr>
        <w:pStyle w:val="Heading2"/>
        <w:rPr>
          <w:lang w:val="fr-FR"/>
        </w:rPr>
      </w:pPr>
      <w:bookmarkStart w:id="8" w:name="_Toc174970789"/>
      <w:r w:rsidRPr="00DE58AF">
        <w:rPr>
          <w:lang w:val="fr-FR"/>
        </w:rPr>
        <w:t>Perspectives de commande</w:t>
      </w:r>
      <w:r w:rsidR="00C90DB7" w:rsidRPr="00DE58AF">
        <w:rPr>
          <w:lang w:val="fr-FR"/>
        </w:rPr>
        <w:t>r</w:t>
      </w:r>
      <w:r w:rsidRPr="00DE58AF">
        <w:rPr>
          <w:lang w:val="fr-FR"/>
        </w:rPr>
        <w:t xml:space="preserve"> une étude sur "l'étendue du droit d'obtenteur" et l</w:t>
      </w:r>
      <w:r w:rsidR="00982BC5" w:rsidRPr="00DE58AF">
        <w:rPr>
          <w:lang w:val="fr-FR"/>
        </w:rPr>
        <w:t>e rapport</w:t>
      </w:r>
      <w:r w:rsidRPr="00DE58AF">
        <w:rPr>
          <w:lang w:val="fr-FR"/>
        </w:rPr>
        <w:t xml:space="preserve"> avec "l'épuisement du droit d'obtenteur".</w:t>
      </w:r>
      <w:bookmarkEnd w:id="8"/>
    </w:p>
    <w:p w14:paraId="3CE00EA5" w14:textId="77777777" w:rsidR="00E86031" w:rsidRPr="00DE58AF" w:rsidRDefault="00E86031" w:rsidP="00E86031">
      <w:pPr>
        <w:rPr>
          <w:rFonts w:cs="Arial"/>
        </w:rPr>
      </w:pPr>
    </w:p>
    <w:p w14:paraId="33E14F75" w14:textId="2CF5E84A"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r>
      <w:bookmarkStart w:id="9" w:name="_Toc146199518"/>
      <w:r w:rsidRPr="00DE58AF">
        <w:rPr>
          <w:rFonts w:cs="Arial"/>
        </w:rPr>
        <w:t xml:space="preserve">Le WG-HRV a pris note des réponses à la circulaire E-23/071 de l'UPOV, telles qu'elles figurent aux paragraphes 9 et 10, et </w:t>
      </w:r>
      <w:r w:rsidR="00DE58AF">
        <w:rPr>
          <w:rFonts w:cs="Arial"/>
        </w:rPr>
        <w:t xml:space="preserve">à l’annexe </w:t>
      </w:r>
      <w:r w:rsidRPr="00DE58AF">
        <w:rPr>
          <w:rFonts w:cs="Arial"/>
        </w:rPr>
        <w:t>du document WG-HRV/4/2.</w:t>
      </w:r>
      <w:bookmarkEnd w:id="9"/>
    </w:p>
    <w:p w14:paraId="65B21916" w14:textId="77777777" w:rsidR="00E86031" w:rsidRPr="00DE58AF" w:rsidRDefault="00E86031" w:rsidP="00E86031"/>
    <w:p w14:paraId="7C795C2C" w14:textId="77777777"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Le WG-HRV a discuté de l'opportunité de sélectionner un auteur ou une équipe d'auteurs pour réaliser l'étude. Il a été convenu qu'il serait approprié de sélectionner une équipe d'auteurs afin d'intégrer une diversité de points de vue dans le travail. Il a été convenu que le nombre d'auteurs serait limité à un maximum de quatre et que l'un des auteurs serait désigné pour diriger l'équipe.</w:t>
      </w:r>
    </w:p>
    <w:p w14:paraId="56D1F580" w14:textId="77777777" w:rsidR="00E86031" w:rsidRPr="00DE58AF" w:rsidRDefault="00E86031" w:rsidP="00E86031">
      <w:pPr>
        <w:rPr>
          <w:rFonts w:cs="Arial"/>
        </w:rPr>
      </w:pPr>
    </w:p>
    <w:p w14:paraId="4FC41088" w14:textId="77777777"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Le WG-HRV est convenu que l'étude devrait comprendre une analyse des intentions des rédacteurs de l'Acte de 1991 de la Convention UPOV en ce qui concerne les articles 14 et 16 de l'Acte de 1991. La question de savoir si la jurisprudence des membres de l'UPOV devrait faire partie de l'étude a été examinée. Il est convenu qu'une partie de l'étude portera sur l'analyse des intentions des rédacteurs de l'Acte de 1991 et qu'une deuxième partie comprendra des résumés de décisions de justice rendues par des membres de l'UPOV liés par l'Acte de 1991.</w:t>
      </w:r>
    </w:p>
    <w:p w14:paraId="2FBB13DD" w14:textId="77777777" w:rsidR="00E86031" w:rsidRPr="00DE58AF" w:rsidRDefault="00E86031" w:rsidP="00E86031">
      <w:pPr>
        <w:rPr>
          <w:rFonts w:cs="Arial"/>
        </w:rPr>
      </w:pPr>
    </w:p>
    <w:p w14:paraId="36F5D2B0" w14:textId="70DD1D25" w:rsidR="00BA45C5" w:rsidRPr="00DE58AF" w:rsidRDefault="00206CC0">
      <w:r w:rsidRPr="00DE58AF">
        <w:fldChar w:fldCharType="begin"/>
      </w:r>
      <w:r w:rsidRPr="00DE58AF">
        <w:instrText xml:space="preserve"> AUTONUM  </w:instrText>
      </w:r>
      <w:r w:rsidRPr="00DE58AF">
        <w:fldChar w:fldCharType="end"/>
      </w:r>
      <w:r w:rsidRPr="00DE58AF">
        <w:tab/>
        <w:t>Le WG-HRV est convenu que, conformément aux discussions qui ont eu lieu au cours de la quatrième réunion du WG-HRV, le Bureau de l'Union consultera les membres du WG-HRV qui ont fourni des réponses à la circulaire de l'UPOV</w:t>
      </w:r>
      <w:r w:rsidR="00982BC5" w:rsidRPr="00DE58AF">
        <w:t xml:space="preserve"> </w:t>
      </w:r>
      <w:r w:rsidRPr="00DE58AF">
        <w:t>E-23/071 et proposera les bases d'une étude, y compris le mandat, le calendrier et les auteurs, pour examen par le WG-HRV à sa cinquième réunion.</w:t>
      </w:r>
    </w:p>
    <w:p w14:paraId="0FA075C5" w14:textId="77777777" w:rsidR="006233B9" w:rsidRPr="00DE58AF" w:rsidRDefault="006233B9" w:rsidP="008F19AF"/>
    <w:p w14:paraId="19D2B327" w14:textId="77777777" w:rsidR="00BA45C5" w:rsidRPr="00DE58AF" w:rsidRDefault="00206CC0">
      <w:pPr>
        <w:pStyle w:val="Heading2"/>
        <w:rPr>
          <w:lang w:val="fr-FR"/>
        </w:rPr>
      </w:pPr>
      <w:bookmarkStart w:id="10" w:name="_Toc174970790"/>
      <w:r w:rsidRPr="00DE58AF">
        <w:rPr>
          <w:lang w:val="fr-FR"/>
        </w:rPr>
        <w:t xml:space="preserve">Propositions concernant les notes explicatives sur la </w:t>
      </w:r>
      <w:r w:rsidRPr="00DE58AF">
        <w:rPr>
          <w:rFonts w:cs="Arial"/>
          <w:lang w:val="fr-FR"/>
        </w:rPr>
        <w:t xml:space="preserve">protection provisoire </w:t>
      </w:r>
      <w:r w:rsidRPr="00DE58AF">
        <w:rPr>
          <w:lang w:val="fr-FR"/>
        </w:rPr>
        <w:t>selon la Convention UPOV</w:t>
      </w:r>
      <w:bookmarkEnd w:id="10"/>
      <w:r w:rsidRPr="00DE58AF">
        <w:rPr>
          <w:lang w:val="fr-FR"/>
        </w:rPr>
        <w:t xml:space="preserve"> </w:t>
      </w:r>
    </w:p>
    <w:p w14:paraId="432F9591" w14:textId="77777777" w:rsidR="00E86031" w:rsidRPr="00DE58AF" w:rsidRDefault="00E86031" w:rsidP="008F19AF"/>
    <w:p w14:paraId="1389B093" w14:textId="69F6C9A9" w:rsidR="00BA45C5" w:rsidRPr="00DE58AF" w:rsidRDefault="00206CC0">
      <w:r w:rsidRPr="00DE58AF">
        <w:fldChar w:fldCharType="begin"/>
      </w:r>
      <w:r w:rsidRPr="00DE58AF">
        <w:instrText xml:space="preserve"> AUTONUM  </w:instrText>
      </w:r>
      <w:r w:rsidRPr="00DE58AF">
        <w:fldChar w:fldCharType="end"/>
      </w:r>
      <w:r w:rsidRPr="00DE58AF">
        <w:tab/>
        <w:t>Le WG-HRV a examiné le document WG-HRV/2/5 et a discuté des propositions des membres du WG</w:t>
      </w:r>
      <w:r w:rsidR="00004B75">
        <w:noBreakHyphen/>
      </w:r>
      <w:r w:rsidRPr="00DE58AF">
        <w:t>HRV concernant le texte des notes explicatives sur la protection provisoire.</w:t>
      </w:r>
    </w:p>
    <w:p w14:paraId="2447A32A" w14:textId="77777777" w:rsidR="006233B9" w:rsidRPr="00DE58AF" w:rsidRDefault="006233B9" w:rsidP="006233B9"/>
    <w:p w14:paraId="6B4B38BA" w14:textId="77777777" w:rsidR="00BA45C5" w:rsidRPr="00DE58AF" w:rsidRDefault="00206CC0">
      <w:r w:rsidRPr="00DE58AF">
        <w:fldChar w:fldCharType="begin"/>
      </w:r>
      <w:r w:rsidRPr="00DE58AF">
        <w:instrText xml:space="preserve"> AUTONUM  </w:instrText>
      </w:r>
      <w:r w:rsidRPr="00DE58AF">
        <w:fldChar w:fldCharType="end"/>
      </w:r>
      <w:r w:rsidRPr="00DE58AF">
        <w:tab/>
        <w:t>Les modifications proposées aux paragraphes 2 et 5 des notes explicatives sur la protection provisoire n'ont pas été retenues.</w:t>
      </w:r>
    </w:p>
    <w:p w14:paraId="3FCC39CC" w14:textId="77777777" w:rsidR="006233B9" w:rsidRPr="00DE58AF" w:rsidRDefault="006233B9" w:rsidP="006233B9"/>
    <w:p w14:paraId="18D21543" w14:textId="77777777" w:rsidR="00BA45C5" w:rsidRPr="00DE58AF" w:rsidRDefault="00206CC0">
      <w:r w:rsidRPr="00DE58AF">
        <w:fldChar w:fldCharType="begin"/>
      </w:r>
      <w:r w:rsidRPr="00DE58AF">
        <w:instrText xml:space="preserve"> AUTONUM  </w:instrText>
      </w:r>
      <w:r w:rsidRPr="00DE58AF">
        <w:fldChar w:fldCharType="end"/>
      </w:r>
      <w:r w:rsidRPr="00DE58AF">
        <w:tab/>
        <w:t>Les membres du WG-HRV ont soutenu l'idée d'introduire une phrase au paragraphe 6 des notes explicatives sur la protection provisoire indiquant que les publications d'une demande de droit d'obtenteur se réfèrent aux publications dans un journal officiel ou dans un bulletin officiel, soit dans un document physique, soit dans un format électronique. Le WG-HRV a demandé au Bureau de l'Union de rédiger un texte qui reprendrait cet élément pour examen par le WG-HRV lors de sa prochaine réunion.</w:t>
      </w:r>
    </w:p>
    <w:p w14:paraId="4E867020" w14:textId="77777777" w:rsidR="006233B9" w:rsidRPr="00DE58AF" w:rsidRDefault="006233B9" w:rsidP="006233B9"/>
    <w:p w14:paraId="16884BBA" w14:textId="77777777" w:rsidR="00BA45C5" w:rsidRPr="00DE58AF" w:rsidRDefault="00206CC0">
      <w:r w:rsidRPr="00DE58AF">
        <w:fldChar w:fldCharType="begin"/>
      </w:r>
      <w:r w:rsidRPr="00DE58AF">
        <w:instrText xml:space="preserve"> AUTONUM  </w:instrText>
      </w:r>
      <w:r w:rsidRPr="00DE58AF">
        <w:fldChar w:fldCharType="end"/>
      </w:r>
      <w:r w:rsidRPr="00DE58AF">
        <w:tab/>
        <w:t>Il a été conclu qu'il n'y avait pas d'accord sur un nouveau texte au paragraphe 8 concernant les mesures et que la formulation actuelle devait être maintenue.</w:t>
      </w:r>
    </w:p>
    <w:p w14:paraId="05CDD8B8" w14:textId="77777777" w:rsidR="006233B9" w:rsidRPr="00DE58AF" w:rsidRDefault="006233B9" w:rsidP="006233B9"/>
    <w:p w14:paraId="44FFBC85" w14:textId="77777777" w:rsidR="00BA45C5" w:rsidRPr="00DE58AF" w:rsidRDefault="00206CC0">
      <w:r w:rsidRPr="00DE58AF">
        <w:fldChar w:fldCharType="begin"/>
      </w:r>
      <w:r w:rsidRPr="00DE58AF">
        <w:instrText xml:space="preserve"> AUTONUM  </w:instrText>
      </w:r>
      <w:r w:rsidRPr="00DE58AF">
        <w:fldChar w:fldCharType="end"/>
      </w:r>
      <w:r w:rsidRPr="00DE58AF">
        <w:tab/>
        <w:t xml:space="preserve">Le WG-HRV a noté que les organisations représentant les obtenteurs (ISF, CIOPORA, </w:t>
      </w:r>
      <w:proofErr w:type="spellStart"/>
      <w:r w:rsidRPr="00DE58AF">
        <w:rPr>
          <w:i/>
          <w:iCs/>
        </w:rPr>
        <w:t>CropLife</w:t>
      </w:r>
      <w:proofErr w:type="spellEnd"/>
      <w:r w:rsidRPr="00DE58AF">
        <w:rPr>
          <w:i/>
          <w:iCs/>
        </w:rPr>
        <w:t xml:space="preserve"> International</w:t>
      </w:r>
      <w:r w:rsidRPr="00DE58AF">
        <w:t xml:space="preserve">, </w:t>
      </w:r>
      <w:proofErr w:type="spellStart"/>
      <w:r w:rsidRPr="00DE58AF">
        <w:rPr>
          <w:i/>
          <w:iCs/>
        </w:rPr>
        <w:t>Euroseeds</w:t>
      </w:r>
      <w:proofErr w:type="spellEnd"/>
      <w:r w:rsidRPr="00DE58AF">
        <w:t>, APSA, AFSTA et SAA) ont proposé de fournir un texte expliquant l'importance d'une protection efficace pendant la période de protection provisoire, qui sera examiné par le WG-HRV lors de sa cinquième réunion.</w:t>
      </w:r>
    </w:p>
    <w:p w14:paraId="21F02491" w14:textId="77777777" w:rsidR="006233B9" w:rsidRPr="00DE58AF" w:rsidRDefault="006233B9" w:rsidP="006233B9"/>
    <w:p w14:paraId="14B797E2" w14:textId="77777777" w:rsidR="003F6A8E" w:rsidRPr="00DE58AF" w:rsidRDefault="003F6A8E" w:rsidP="008F19AF"/>
    <w:p w14:paraId="624A7E55" w14:textId="77777777" w:rsidR="00BA45C5" w:rsidRPr="00DE58AF" w:rsidRDefault="00206CC0">
      <w:pPr>
        <w:pStyle w:val="Heading1"/>
        <w:rPr>
          <w:caps/>
          <w:lang w:val="fr-FR"/>
        </w:rPr>
      </w:pPr>
      <w:bookmarkStart w:id="11" w:name="_Toc174970791"/>
      <w:r w:rsidRPr="00DE58AF">
        <w:rPr>
          <w:caps/>
          <w:lang w:val="fr-FR"/>
        </w:rPr>
        <w:t xml:space="preserve">CINQUIÈME </w:t>
      </w:r>
      <w:r w:rsidRPr="00DE58AF">
        <w:rPr>
          <w:lang w:val="fr-FR"/>
        </w:rPr>
        <w:t>RÉUNION DU WG-HRV (</w:t>
      </w:r>
      <w:r w:rsidR="003F6A8E" w:rsidRPr="00DE58AF">
        <w:rPr>
          <w:caps/>
          <w:lang w:val="fr-FR"/>
        </w:rPr>
        <w:t xml:space="preserve">21 MARS </w:t>
      </w:r>
      <w:r w:rsidRPr="00DE58AF">
        <w:rPr>
          <w:caps/>
          <w:lang w:val="fr-FR"/>
        </w:rPr>
        <w:t>2024</w:t>
      </w:r>
      <w:r w:rsidRPr="00DE58AF">
        <w:rPr>
          <w:lang w:val="fr-FR"/>
        </w:rPr>
        <w:t>)</w:t>
      </w:r>
      <w:bookmarkEnd w:id="11"/>
    </w:p>
    <w:p w14:paraId="5EDD7CC9" w14:textId="77777777" w:rsidR="008F19AF" w:rsidRPr="00DE58AF" w:rsidRDefault="008F19AF" w:rsidP="008F19AF"/>
    <w:p w14:paraId="00DBE1AD" w14:textId="77777777" w:rsidR="00004B75"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 xml:space="preserve">Le WG-HRV a tenu sa cinquième réunion à Genève, le 21 mars 2024, par des moyens hybrides. Les documents et le rendu du WG-HRV/5 sont </w:t>
      </w:r>
      <w:r w:rsidRPr="00DE58AF">
        <w:t>disponibles à l'adresse suivante :</w:t>
      </w:r>
    </w:p>
    <w:p w14:paraId="72091929" w14:textId="0E6D65DE" w:rsidR="00BA45C5" w:rsidRPr="00DE58AF" w:rsidRDefault="00D17E9C">
      <w:hyperlink r:id="rId10" w:history="1">
        <w:r w:rsidR="007E366F" w:rsidRPr="00DE58AF">
          <w:rPr>
            <w:rStyle w:val="Hyperlink"/>
          </w:rPr>
          <w:t xml:space="preserve">https://www.upov.int/meetings/fr/details.jsp?meeting_id=80843. </w:t>
        </w:r>
      </w:hyperlink>
    </w:p>
    <w:p w14:paraId="62173A8B" w14:textId="77777777" w:rsidR="006233B9" w:rsidRPr="00DE58AF" w:rsidRDefault="006233B9" w:rsidP="008F19AF">
      <w:pPr>
        <w:rPr>
          <w:rFonts w:cs="Arial"/>
        </w:rPr>
      </w:pPr>
    </w:p>
    <w:p w14:paraId="302DE20E" w14:textId="71CC0C02" w:rsidR="00BA45C5" w:rsidRPr="00DE58AF" w:rsidRDefault="00206CC0">
      <w:pPr>
        <w:pStyle w:val="Heading2"/>
        <w:rPr>
          <w:lang w:val="fr-FR"/>
        </w:rPr>
      </w:pPr>
      <w:bookmarkStart w:id="12" w:name="_Toc174970792"/>
      <w:r w:rsidRPr="00DE58AF">
        <w:rPr>
          <w:lang w:val="fr-FR"/>
        </w:rPr>
        <w:lastRenderedPageBreak/>
        <w:t>Perspectives de commande</w:t>
      </w:r>
      <w:r w:rsidR="00C90DB7" w:rsidRPr="00DE58AF">
        <w:rPr>
          <w:lang w:val="fr-FR"/>
        </w:rPr>
        <w:t>r</w:t>
      </w:r>
      <w:r w:rsidRPr="00DE58AF">
        <w:rPr>
          <w:lang w:val="fr-FR"/>
        </w:rPr>
        <w:t xml:space="preserve"> une étude sur "l'étendue du droit d'obtenteur" et l</w:t>
      </w:r>
      <w:r w:rsidR="00982BC5" w:rsidRPr="00DE58AF">
        <w:rPr>
          <w:lang w:val="fr-FR"/>
        </w:rPr>
        <w:t>e rapport</w:t>
      </w:r>
      <w:r w:rsidRPr="00DE58AF">
        <w:rPr>
          <w:lang w:val="fr-FR"/>
        </w:rPr>
        <w:t xml:space="preserve"> avec "l'épuisement du droit d'obtenteur".</w:t>
      </w:r>
      <w:bookmarkEnd w:id="12"/>
    </w:p>
    <w:p w14:paraId="6B45FAB7" w14:textId="77777777" w:rsidR="006233B9" w:rsidRPr="00DE58AF" w:rsidRDefault="006233B9" w:rsidP="008F19AF">
      <w:pPr>
        <w:rPr>
          <w:rFonts w:cs="Arial"/>
        </w:rPr>
      </w:pPr>
    </w:p>
    <w:p w14:paraId="76B03131" w14:textId="77777777" w:rsidR="00BA45C5" w:rsidRPr="00DE58AF" w:rsidRDefault="00206CC0">
      <w:pPr>
        <w:rPr>
          <w:rFonts w:cs="Arial"/>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r>
      <w:r w:rsidRPr="00DE58AF">
        <w:t>Le WG-HRV a examiné le document WG-HRV/5/2.</w:t>
      </w:r>
    </w:p>
    <w:p w14:paraId="605C2899" w14:textId="77777777" w:rsidR="006233B9" w:rsidRPr="00DE58AF" w:rsidRDefault="006233B9" w:rsidP="006233B9"/>
    <w:p w14:paraId="4A8E62E7" w14:textId="77777777" w:rsidR="00BA45C5" w:rsidRPr="00DE58AF"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r>
      <w:r w:rsidRPr="00DE58AF">
        <w:t xml:space="preserve">Les membres du WG-HRV ont exprimé leur soutien à la commande d'une étude. </w:t>
      </w:r>
    </w:p>
    <w:p w14:paraId="53751248" w14:textId="77777777" w:rsidR="006233B9" w:rsidRPr="00DE58AF" w:rsidRDefault="006233B9" w:rsidP="006233B9"/>
    <w:p w14:paraId="4D4B303E" w14:textId="77777777" w:rsidR="00BA45C5" w:rsidRPr="00DE58AF" w:rsidRDefault="00206CC0">
      <w:r w:rsidRPr="00DE58AF">
        <w:fldChar w:fldCharType="begin"/>
      </w:r>
      <w:r w:rsidRPr="00DE58AF">
        <w:instrText xml:space="preserve"> AUTONUM  </w:instrText>
      </w:r>
      <w:r w:rsidRPr="00DE58AF">
        <w:fldChar w:fldCharType="end"/>
      </w:r>
      <w:r w:rsidRPr="00DE58AF">
        <w:tab/>
        <w:t xml:space="preserve">Quelques initiatives et idées initiales sur la manière de financer l'étude ont été identifiées, mais cette question devrait être examinée plus en détail. </w:t>
      </w:r>
    </w:p>
    <w:p w14:paraId="58869D6D" w14:textId="77777777" w:rsidR="006233B9" w:rsidRPr="00DE58AF" w:rsidRDefault="006233B9" w:rsidP="006233B9"/>
    <w:p w14:paraId="3F5255CF" w14:textId="77777777" w:rsidR="00BA45C5" w:rsidRPr="00DE58AF" w:rsidRDefault="00206CC0">
      <w:r w:rsidRPr="00DE58AF">
        <w:fldChar w:fldCharType="begin"/>
      </w:r>
      <w:r w:rsidRPr="00DE58AF">
        <w:instrText xml:space="preserve"> AUTONUM  </w:instrText>
      </w:r>
      <w:r w:rsidRPr="00DE58AF">
        <w:fldChar w:fldCharType="end"/>
      </w:r>
      <w:r w:rsidRPr="00DE58AF">
        <w:tab/>
        <w:t xml:space="preserve">Le WG-HRV a convenu que le Bureau de l'Union convoquerait une réunion virtuelle avec les membres du WG-HRV qui ont fait des propositions lors de </w:t>
      </w:r>
      <w:r w:rsidR="00203EA0" w:rsidRPr="00DE58AF">
        <w:t xml:space="preserve">sa cinquième </w:t>
      </w:r>
      <w:r w:rsidRPr="00DE58AF">
        <w:t>réunion sur le nombre et les noms des auteurs et les questions relatives au financement.</w:t>
      </w:r>
    </w:p>
    <w:p w14:paraId="54B2BFAA" w14:textId="77777777" w:rsidR="006233B9" w:rsidRPr="00DE58AF" w:rsidRDefault="006233B9" w:rsidP="006233B9"/>
    <w:p w14:paraId="686FB1F3" w14:textId="77777777" w:rsidR="00BA45C5" w:rsidRPr="00DE58AF" w:rsidRDefault="00206CC0">
      <w:r w:rsidRPr="00DE58AF">
        <w:fldChar w:fldCharType="begin"/>
      </w:r>
      <w:r w:rsidRPr="00DE58AF">
        <w:instrText xml:space="preserve"> AUTONUM  </w:instrText>
      </w:r>
      <w:r w:rsidRPr="00DE58AF">
        <w:fldChar w:fldCharType="end"/>
      </w:r>
      <w:r w:rsidRPr="00DE58AF">
        <w:tab/>
        <w:t>Le WG-HRV a convenu que, pour la prochaine réunion, la section "modus operandi" des termes de référence de l'étude soit mise à jour pour inclure les éléments du travail collaboratif suivant les normes académiques et les explications sur la notion d'indépendance.</w:t>
      </w:r>
    </w:p>
    <w:p w14:paraId="200AA546" w14:textId="77777777" w:rsidR="006233B9" w:rsidRPr="00DE58AF" w:rsidRDefault="006233B9" w:rsidP="006233B9"/>
    <w:p w14:paraId="53733AC8" w14:textId="77777777" w:rsidR="00BA45C5" w:rsidRPr="00DE58AF" w:rsidRDefault="00206CC0">
      <w:r w:rsidRPr="00DE58AF">
        <w:fldChar w:fldCharType="begin"/>
      </w:r>
      <w:r w:rsidRPr="00DE58AF">
        <w:instrText xml:space="preserve"> AUTONUM  </w:instrText>
      </w:r>
      <w:r w:rsidRPr="00DE58AF">
        <w:fldChar w:fldCharType="end"/>
      </w:r>
      <w:r w:rsidRPr="00DE58AF">
        <w:tab/>
      </w:r>
      <w:r w:rsidR="00AC172D" w:rsidRPr="00DE58AF">
        <w:t xml:space="preserve">Le WG-HRV est convenu que </w:t>
      </w:r>
      <w:r w:rsidRPr="00DE58AF">
        <w:t xml:space="preserve">les discussions sur </w:t>
      </w:r>
      <w:r w:rsidR="006233B9" w:rsidRPr="00DE58AF">
        <w:t>les propositions de révision des Notes explicatives sur la protection provisoire selon la Convention UPOV seront suspendues jusqu'à ce que des progrès soient réalisés sur les questions relatives à l'étude.</w:t>
      </w:r>
    </w:p>
    <w:p w14:paraId="06A2E805" w14:textId="77777777" w:rsidR="006233B9" w:rsidRPr="00DE58AF" w:rsidRDefault="006233B9" w:rsidP="008F19AF">
      <w:pPr>
        <w:rPr>
          <w:rFonts w:cs="Arial"/>
        </w:rPr>
      </w:pPr>
    </w:p>
    <w:p w14:paraId="32ABC7BB" w14:textId="77777777" w:rsidR="003F6A8E" w:rsidRPr="00DE58AF" w:rsidRDefault="003F6A8E" w:rsidP="008F19AF">
      <w:pPr>
        <w:rPr>
          <w:rFonts w:cs="Arial"/>
        </w:rPr>
      </w:pPr>
    </w:p>
    <w:p w14:paraId="1D8EA39D" w14:textId="77777777" w:rsidR="00BA45C5" w:rsidRPr="00DE58AF" w:rsidRDefault="00206CC0">
      <w:pPr>
        <w:pStyle w:val="Heading1"/>
        <w:rPr>
          <w:caps/>
          <w:lang w:val="fr-FR"/>
        </w:rPr>
      </w:pPr>
      <w:bookmarkStart w:id="13" w:name="_Toc174970793"/>
      <w:r w:rsidRPr="00DE58AF">
        <w:rPr>
          <w:caps/>
          <w:lang w:val="fr-FR"/>
        </w:rPr>
        <w:t xml:space="preserve">SIXIÈME </w:t>
      </w:r>
      <w:r w:rsidRPr="00DE58AF">
        <w:rPr>
          <w:lang w:val="fr-FR"/>
        </w:rPr>
        <w:t>RÉUNION DU WG-HRV (</w:t>
      </w:r>
      <w:r w:rsidRPr="00DE58AF">
        <w:rPr>
          <w:caps/>
          <w:lang w:val="fr-FR"/>
        </w:rPr>
        <w:t>22 OCTOBRE 2024</w:t>
      </w:r>
      <w:r w:rsidRPr="00DE58AF">
        <w:rPr>
          <w:lang w:val="fr-FR"/>
        </w:rPr>
        <w:t>)</w:t>
      </w:r>
      <w:bookmarkEnd w:id="13"/>
    </w:p>
    <w:p w14:paraId="04277DBB" w14:textId="77777777" w:rsidR="003F6A8E" w:rsidRPr="00DE58AF" w:rsidRDefault="003F6A8E" w:rsidP="003F6A8E"/>
    <w:p w14:paraId="5856D97C" w14:textId="77777777" w:rsidR="00004B75" w:rsidRDefault="00206CC0">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r>
      <w:r w:rsidR="006233B9" w:rsidRPr="00DE58AF">
        <w:rPr>
          <w:rFonts w:cs="Arial"/>
        </w:rPr>
        <w:t>Le</w:t>
      </w:r>
      <w:r w:rsidR="003F6A8E" w:rsidRPr="00DE58AF">
        <w:rPr>
          <w:rFonts w:cs="Arial"/>
        </w:rPr>
        <w:t xml:space="preserve"> WG-HRV </w:t>
      </w:r>
      <w:r w:rsidR="00DB00A3" w:rsidRPr="00DE58AF">
        <w:rPr>
          <w:rFonts w:cs="Arial"/>
        </w:rPr>
        <w:t xml:space="preserve">tiendra </w:t>
      </w:r>
      <w:r w:rsidR="003F6A8E" w:rsidRPr="00DE58AF">
        <w:rPr>
          <w:rFonts w:cs="Arial"/>
        </w:rPr>
        <w:t xml:space="preserve">sa sixième réunion à Genève, le </w:t>
      </w:r>
      <w:r w:rsidR="00DB00A3" w:rsidRPr="00DE58AF">
        <w:rPr>
          <w:rFonts w:cs="Arial"/>
        </w:rPr>
        <w:t>22</w:t>
      </w:r>
      <w:r w:rsidR="003F6A8E" w:rsidRPr="00DE58AF">
        <w:rPr>
          <w:rFonts w:cs="Arial"/>
        </w:rPr>
        <w:t xml:space="preserve"> octobre 2024, par des moyens hybrides. Les documents du WG-HRV/6 </w:t>
      </w:r>
      <w:r w:rsidR="006233B9" w:rsidRPr="00DE58AF">
        <w:rPr>
          <w:rFonts w:cs="Arial"/>
        </w:rPr>
        <w:t xml:space="preserve">seront </w:t>
      </w:r>
      <w:r w:rsidR="003F6A8E" w:rsidRPr="00DE58AF">
        <w:t xml:space="preserve">disponibles à l'adresse </w:t>
      </w:r>
      <w:r w:rsidR="00CF26D1" w:rsidRPr="00DE58AF">
        <w:t>suivante</w:t>
      </w:r>
      <w:r w:rsidR="00982BC5" w:rsidRPr="00DE58AF">
        <w:t> :</w:t>
      </w:r>
    </w:p>
    <w:p w14:paraId="7A0F222E" w14:textId="16E24AB5" w:rsidR="00BA45C5" w:rsidRPr="00DE58AF" w:rsidRDefault="00D17E9C">
      <w:hyperlink r:id="rId11" w:history="1">
        <w:r w:rsidR="007E366F" w:rsidRPr="00DE58AF">
          <w:rPr>
            <w:rStyle w:val="Hyperlink"/>
          </w:rPr>
          <w:t>https://www.upov.int/meetings/fr/details.jsp?meeting_id=83693</w:t>
        </w:r>
      </w:hyperlink>
      <w:r w:rsidR="00CF26D1" w:rsidRPr="00DE58AF">
        <w:t xml:space="preserve">. </w:t>
      </w:r>
    </w:p>
    <w:p w14:paraId="319F4835" w14:textId="77777777" w:rsidR="00737A63" w:rsidRPr="00DE58AF" w:rsidRDefault="00737A63" w:rsidP="003F6A8E"/>
    <w:p w14:paraId="46A1D8B8" w14:textId="00B3961F" w:rsidR="00BA45C5" w:rsidRPr="00DE58AF" w:rsidRDefault="00206CC0">
      <w:r w:rsidRPr="00DE58AF">
        <w:fldChar w:fldCharType="begin"/>
      </w:r>
      <w:r w:rsidRPr="00DE58AF">
        <w:instrText xml:space="preserve"> AUTONUM  </w:instrText>
      </w:r>
      <w:r w:rsidRPr="00DE58AF">
        <w:fldChar w:fldCharType="end"/>
      </w:r>
      <w:r w:rsidRPr="00DE58AF">
        <w:tab/>
      </w:r>
      <w:r w:rsidR="00737A63" w:rsidRPr="00DE58AF">
        <w:rPr>
          <w:rFonts w:cs="Arial"/>
        </w:rPr>
        <w:t xml:space="preserve">Le Bureau de l'Union publiera un </w:t>
      </w:r>
      <w:r w:rsidR="00004B75">
        <w:rPr>
          <w:rFonts w:cs="Arial"/>
        </w:rPr>
        <w:t xml:space="preserve">additif au présent </w:t>
      </w:r>
      <w:r w:rsidR="00737A63" w:rsidRPr="00DE58AF">
        <w:rPr>
          <w:rFonts w:cs="Arial"/>
        </w:rPr>
        <w:t xml:space="preserve">document après la réunion du </w:t>
      </w:r>
      <w:r w:rsidR="00AC172D" w:rsidRPr="00DE58AF">
        <w:rPr>
          <w:rFonts w:cs="Arial"/>
        </w:rPr>
        <w:t>WG-HRV/6</w:t>
      </w:r>
      <w:r w:rsidR="00737A63" w:rsidRPr="00DE58AF">
        <w:rPr>
          <w:rFonts w:cs="Arial"/>
        </w:rPr>
        <w:t>, afin de rendre compte au CAJ/81 des derniers développements concernant ses travaux.</w:t>
      </w:r>
    </w:p>
    <w:p w14:paraId="4A03DEEA" w14:textId="77777777" w:rsidR="003F6A8E" w:rsidRPr="00DE58AF" w:rsidRDefault="003F6A8E" w:rsidP="003F6A8E"/>
    <w:p w14:paraId="05324B69" w14:textId="77777777" w:rsidR="00BA45C5" w:rsidRPr="00DE58AF" w:rsidRDefault="00206CC0">
      <w:pPr>
        <w:pStyle w:val="DecisionParagraphs"/>
        <w:rPr>
          <w:rFonts w:cs="Arial"/>
          <w:highlight w:val="yellow"/>
        </w:rPr>
      </w:pPr>
      <w:r w:rsidRPr="00DE58AF">
        <w:rPr>
          <w:rFonts w:cs="Arial"/>
        </w:rPr>
        <w:fldChar w:fldCharType="begin"/>
      </w:r>
      <w:r w:rsidRPr="00DE58AF">
        <w:rPr>
          <w:rFonts w:cs="Arial"/>
        </w:rPr>
        <w:instrText xml:space="preserve"> AUTONUM  </w:instrText>
      </w:r>
      <w:r w:rsidRPr="00DE58AF">
        <w:rPr>
          <w:rFonts w:cs="Arial"/>
        </w:rPr>
        <w:fldChar w:fldCharType="end"/>
      </w:r>
      <w:r w:rsidRPr="00DE58AF">
        <w:rPr>
          <w:rFonts w:cs="Arial"/>
        </w:rPr>
        <w:tab/>
        <w:t>Le CAJ est invité à prendre note des développements concernant les travaux du WG-HRV, tels que rendus dans ce document.</w:t>
      </w:r>
    </w:p>
    <w:p w14:paraId="56170F38" w14:textId="77777777" w:rsidR="00050E16" w:rsidRPr="00DE58AF" w:rsidRDefault="00050E16" w:rsidP="00050E16"/>
    <w:p w14:paraId="4DAFC184" w14:textId="77777777" w:rsidR="00544581" w:rsidRPr="00DE58AF" w:rsidRDefault="00544581">
      <w:pPr>
        <w:jc w:val="left"/>
      </w:pPr>
    </w:p>
    <w:p w14:paraId="6A9FCD8D" w14:textId="77777777" w:rsidR="00050E16" w:rsidRPr="00DE58AF" w:rsidRDefault="00050E16" w:rsidP="00050E16"/>
    <w:p w14:paraId="0F9D89F2" w14:textId="77777777" w:rsidR="00BA45C5" w:rsidRPr="00DE58AF" w:rsidRDefault="00206CC0">
      <w:pPr>
        <w:jc w:val="right"/>
      </w:pPr>
      <w:r w:rsidRPr="00DE58AF">
        <w:t>[L'annexe suit]</w:t>
      </w:r>
    </w:p>
    <w:p w14:paraId="29C1B5B9" w14:textId="77777777" w:rsidR="008F19AF" w:rsidRPr="00DE58AF" w:rsidRDefault="008F19AF" w:rsidP="008F19AF">
      <w:pPr>
        <w:jc w:val="center"/>
      </w:pPr>
    </w:p>
    <w:p w14:paraId="07654584" w14:textId="77777777" w:rsidR="008F19AF" w:rsidRPr="00DE58AF" w:rsidRDefault="008F19AF" w:rsidP="008F19AF">
      <w:pPr>
        <w:sectPr w:rsidR="008F19AF" w:rsidRPr="00DE58AF" w:rsidSect="0004198B">
          <w:headerReference w:type="default" r:id="rId12"/>
          <w:pgSz w:w="11907" w:h="16840" w:code="9"/>
          <w:pgMar w:top="510" w:right="1134" w:bottom="1134" w:left="1134" w:header="510" w:footer="680" w:gutter="0"/>
          <w:pgNumType w:start="1"/>
          <w:cols w:space="720"/>
          <w:titlePg/>
        </w:sectPr>
      </w:pPr>
    </w:p>
    <w:p w14:paraId="53287B1F" w14:textId="77777777" w:rsidR="008F19AF" w:rsidRPr="00DE58AF" w:rsidRDefault="008F19AF" w:rsidP="008F19AF">
      <w:pPr>
        <w:jc w:val="center"/>
      </w:pPr>
    </w:p>
    <w:p w14:paraId="4ABC031F" w14:textId="77777777" w:rsidR="00DB3F6B" w:rsidRPr="00DE58AF" w:rsidRDefault="00DB3F6B" w:rsidP="00DB3F6B">
      <w:pPr>
        <w:jc w:val="center"/>
      </w:pPr>
      <w:r w:rsidRPr="00DE58AF">
        <w:t>MANDAT DU GROUPE DE TRAVAIL SUR</w:t>
      </w:r>
    </w:p>
    <w:p w14:paraId="29D08804" w14:textId="77777777" w:rsidR="00DB3F6B" w:rsidRPr="00DE58AF" w:rsidRDefault="00DB3F6B" w:rsidP="00DB3F6B">
      <w:pPr>
        <w:jc w:val="center"/>
        <w:rPr>
          <w:rFonts w:cs="Arial"/>
        </w:rPr>
      </w:pPr>
      <w:r w:rsidRPr="00DE58AF">
        <w:t>LE PRODUIT DE LA RÉCOLTE ET L’UTILISATION NON AUTORISÉE DE MATÉRIEL DE REPRODUCTION OU DE MULTIPLICATION</w:t>
      </w:r>
    </w:p>
    <w:p w14:paraId="3FFECD6E" w14:textId="77777777" w:rsidR="00DB3F6B" w:rsidRPr="00DE58AF" w:rsidRDefault="00DB3F6B" w:rsidP="00DB3F6B">
      <w:pPr>
        <w:jc w:val="center"/>
      </w:pPr>
      <w:r w:rsidRPr="00DE58AF">
        <w:t>(WG</w:t>
      </w:r>
      <w:r w:rsidRPr="00DE58AF">
        <w:noBreakHyphen/>
        <w:t>HRV)</w:t>
      </w:r>
    </w:p>
    <w:p w14:paraId="2D1BD5D8" w14:textId="77777777" w:rsidR="00DB3F6B" w:rsidRPr="00DE58AF" w:rsidRDefault="00DB3F6B" w:rsidP="00DB3F6B">
      <w:pPr>
        <w:tabs>
          <w:tab w:val="left" w:pos="284"/>
          <w:tab w:val="left" w:pos="851"/>
        </w:tabs>
        <w:autoSpaceDE w:val="0"/>
        <w:autoSpaceDN w:val="0"/>
        <w:adjustRightInd w:val="0"/>
        <w:jc w:val="center"/>
        <w:rPr>
          <w:i/>
        </w:rPr>
      </w:pPr>
      <w:r w:rsidRPr="00DE58AF">
        <w:rPr>
          <w:i/>
        </w:rPr>
        <w:t>approuvé par le Comité administratif et juridique le 21 septembre 2021</w:t>
      </w:r>
    </w:p>
    <w:p w14:paraId="1FE793FD" w14:textId="77777777" w:rsidR="00DB3F6B" w:rsidRPr="00DE58AF" w:rsidRDefault="00DB3F6B" w:rsidP="00DB3F6B"/>
    <w:p w14:paraId="1225268E" w14:textId="77777777" w:rsidR="00DB3F6B" w:rsidRPr="00DE58AF" w:rsidRDefault="00DB3F6B" w:rsidP="00DB3F6B"/>
    <w:p w14:paraId="3644E0AA" w14:textId="77777777" w:rsidR="00DB3F6B" w:rsidRPr="00DE58AF" w:rsidRDefault="00DB3F6B" w:rsidP="00DB3F6B">
      <w:r w:rsidRPr="00DE58AF">
        <w:t>OBJET :</w:t>
      </w:r>
    </w:p>
    <w:p w14:paraId="0B6BB3C0" w14:textId="77777777" w:rsidR="00DB3F6B" w:rsidRPr="00DE58AF" w:rsidRDefault="00DB3F6B" w:rsidP="00DB3F6B">
      <w:pPr>
        <w:rPr>
          <w:rFonts w:cs="Arial"/>
          <w:sz w:val="18"/>
        </w:rPr>
      </w:pPr>
    </w:p>
    <w:p w14:paraId="3DDB85FF" w14:textId="77777777" w:rsidR="00DB3F6B" w:rsidRPr="00DE58AF" w:rsidRDefault="00DB3F6B" w:rsidP="00DB3F6B">
      <w:pPr>
        <w:rPr>
          <w:rFonts w:cs="Arial"/>
        </w:rPr>
      </w:pPr>
      <w:r w:rsidRPr="00DE58AF">
        <w:t>Le WG</w:t>
      </w:r>
      <w:r w:rsidRPr="00DE58AF">
        <w:noBreakHyphen/>
        <w:t>HRV a pour mission de rédiger une version révisée des “Notes explicatives sur les actes à l’égard du produit de la récolte selon l’Acte de 1991 de la Convention UPOV” (document UPOV/EXN/HRV/1), des “Notes explicatives sur le matériel de reproduction ou de multiplication selon la Convention UPOV” (UPOV/EXN/PPM/1) et des “Notes explicatives sur la protection provisoire selon la Convention UPOV” (UPOV/EXN/PRP/2), pour examen par le Comité administratif et juridique (CAJ).</w:t>
      </w:r>
    </w:p>
    <w:p w14:paraId="29B058C9" w14:textId="77777777" w:rsidR="00DB3F6B" w:rsidRPr="00DE58AF" w:rsidRDefault="00DB3F6B" w:rsidP="00DB3F6B">
      <w:pPr>
        <w:rPr>
          <w:sz w:val="18"/>
          <w:szCs w:val="18"/>
        </w:rPr>
      </w:pPr>
    </w:p>
    <w:p w14:paraId="6D4AE5FE" w14:textId="77777777" w:rsidR="00DB3F6B" w:rsidRPr="00DE58AF" w:rsidRDefault="00DB3F6B" w:rsidP="00DB3F6B">
      <w:pPr>
        <w:rPr>
          <w:sz w:val="18"/>
          <w:szCs w:val="18"/>
        </w:rPr>
      </w:pPr>
    </w:p>
    <w:p w14:paraId="6D662C58" w14:textId="77777777" w:rsidR="00DB3F6B" w:rsidRPr="00DE58AF" w:rsidRDefault="00DB3F6B" w:rsidP="00DB3F6B">
      <w:pPr>
        <w:rPr>
          <w:sz w:val="18"/>
          <w:szCs w:val="18"/>
        </w:rPr>
      </w:pPr>
    </w:p>
    <w:p w14:paraId="03C01B8A" w14:textId="77777777" w:rsidR="00DB3F6B" w:rsidRPr="00DE58AF" w:rsidRDefault="00DB3F6B" w:rsidP="00DB3F6B">
      <w:r w:rsidRPr="00DE58AF">
        <w:t>COMPOSITION :</w:t>
      </w:r>
    </w:p>
    <w:p w14:paraId="7BED4270" w14:textId="77777777" w:rsidR="00DB3F6B" w:rsidRPr="00DE58AF" w:rsidRDefault="00DB3F6B" w:rsidP="00DB3F6B">
      <w:pPr>
        <w:rPr>
          <w:rFonts w:cs="Arial"/>
          <w:sz w:val="18"/>
          <w:szCs w:val="18"/>
        </w:rPr>
      </w:pPr>
    </w:p>
    <w:p w14:paraId="581AC390" w14:textId="77777777" w:rsidR="00DB3F6B" w:rsidRPr="00DE58AF" w:rsidRDefault="00DB3F6B" w:rsidP="00DB3F6B">
      <w:pPr>
        <w:pStyle w:val="ListParagraph"/>
        <w:numPr>
          <w:ilvl w:val="0"/>
          <w:numId w:val="5"/>
        </w:numPr>
        <w:ind w:left="1134" w:hanging="567"/>
      </w:pPr>
      <w:r w:rsidRPr="00DE58AF">
        <w:t>le WG</w:t>
      </w:r>
      <w:r w:rsidRPr="00DE58AF">
        <w:noBreakHyphen/>
        <w:t>HRV est composé des membres de l’Union et des observateurs accrédités par le CAJ;</w:t>
      </w:r>
    </w:p>
    <w:p w14:paraId="15CD5557" w14:textId="77777777" w:rsidR="00DB3F6B" w:rsidRPr="00DE58AF" w:rsidRDefault="00DB3F6B" w:rsidP="00DB3F6B">
      <w:pPr>
        <w:ind w:left="1134" w:hanging="567"/>
        <w:rPr>
          <w:rFonts w:cs="Arial"/>
          <w:sz w:val="18"/>
          <w:szCs w:val="18"/>
        </w:rPr>
      </w:pPr>
    </w:p>
    <w:p w14:paraId="014F9EE9" w14:textId="77777777" w:rsidR="00DB3F6B" w:rsidRPr="00DE58AF" w:rsidRDefault="00DB3F6B" w:rsidP="00DB3F6B">
      <w:pPr>
        <w:pStyle w:val="ListParagraph"/>
        <w:numPr>
          <w:ilvl w:val="0"/>
          <w:numId w:val="5"/>
        </w:numPr>
        <w:ind w:left="1134" w:hanging="567"/>
        <w:rPr>
          <w:rFonts w:cs="Arial"/>
        </w:rPr>
      </w:pPr>
      <w:r w:rsidRPr="00DE58AF">
        <w:t>les autres membres de l’Union seraient libres de participer à toute réunion du WG</w:t>
      </w:r>
      <w:r w:rsidRPr="00DE58AF">
        <w:noBreakHyphen/>
        <w:t>HRV et de formuler des observations s’ils le souhaitent;</w:t>
      </w:r>
    </w:p>
    <w:p w14:paraId="668FFBE0" w14:textId="77777777" w:rsidR="00DB3F6B" w:rsidRPr="00DE58AF" w:rsidRDefault="00DB3F6B" w:rsidP="00DB3F6B">
      <w:pPr>
        <w:ind w:left="1134" w:hanging="567"/>
        <w:rPr>
          <w:rFonts w:cs="Arial"/>
          <w:sz w:val="18"/>
          <w:szCs w:val="18"/>
        </w:rPr>
      </w:pPr>
    </w:p>
    <w:p w14:paraId="3CBEB929" w14:textId="77777777" w:rsidR="00DB3F6B" w:rsidRPr="00DE58AF" w:rsidRDefault="00DB3F6B" w:rsidP="00DB3F6B">
      <w:pPr>
        <w:pStyle w:val="ListParagraph"/>
        <w:numPr>
          <w:ilvl w:val="0"/>
          <w:numId w:val="5"/>
        </w:numPr>
        <w:ind w:left="1134" w:hanging="567"/>
        <w:rPr>
          <w:rFonts w:cs="Arial"/>
        </w:rPr>
      </w:pPr>
      <w:r w:rsidRPr="00DE58AF">
        <w:t>le WG</w:t>
      </w:r>
      <w:r w:rsidRPr="00DE58AF">
        <w:noBreakHyphen/>
        <w:t>HRV consulterait de nouveau le CAJ s’il recommandait d’inviter d’autres observateurs ou experts à l’une de ses réunions;  et</w:t>
      </w:r>
    </w:p>
    <w:p w14:paraId="7BD237B4" w14:textId="77777777" w:rsidR="00DB3F6B" w:rsidRPr="00DE58AF" w:rsidRDefault="00DB3F6B" w:rsidP="00DB3F6B">
      <w:pPr>
        <w:ind w:left="1134" w:hanging="567"/>
        <w:rPr>
          <w:rFonts w:cs="Arial"/>
          <w:sz w:val="18"/>
          <w:szCs w:val="18"/>
        </w:rPr>
      </w:pPr>
    </w:p>
    <w:p w14:paraId="4AAFDE1D" w14:textId="77777777" w:rsidR="00DB3F6B" w:rsidRPr="00DE58AF" w:rsidRDefault="00DB3F6B" w:rsidP="00DB3F6B">
      <w:pPr>
        <w:pStyle w:val="ListParagraph"/>
        <w:numPr>
          <w:ilvl w:val="0"/>
          <w:numId w:val="5"/>
        </w:numPr>
        <w:tabs>
          <w:tab w:val="left" w:pos="1134"/>
        </w:tabs>
        <w:ind w:left="1134" w:hanging="567"/>
        <w:rPr>
          <w:rFonts w:cs="Arial"/>
        </w:rPr>
      </w:pPr>
      <w:r w:rsidRPr="00DE58AF">
        <w:t>les réunions seraient présidées par le Secrétaire général adjoint.</w:t>
      </w:r>
    </w:p>
    <w:p w14:paraId="57E8E3C3" w14:textId="77777777" w:rsidR="00DB3F6B" w:rsidRPr="00DE58AF" w:rsidRDefault="00DB3F6B" w:rsidP="00DB3F6B">
      <w:pPr>
        <w:rPr>
          <w:sz w:val="18"/>
        </w:rPr>
      </w:pPr>
    </w:p>
    <w:p w14:paraId="1C7698E4" w14:textId="77777777" w:rsidR="00DB3F6B" w:rsidRPr="00DE58AF" w:rsidRDefault="00DB3F6B" w:rsidP="00DB3F6B">
      <w:pPr>
        <w:rPr>
          <w:sz w:val="18"/>
        </w:rPr>
      </w:pPr>
    </w:p>
    <w:p w14:paraId="0CD42FA2" w14:textId="77777777" w:rsidR="00DB3F6B" w:rsidRPr="00DE58AF" w:rsidRDefault="00DB3F6B" w:rsidP="00DB3F6B">
      <w:pPr>
        <w:rPr>
          <w:sz w:val="18"/>
        </w:rPr>
      </w:pPr>
    </w:p>
    <w:p w14:paraId="4334144C" w14:textId="77777777" w:rsidR="00DB3F6B" w:rsidRPr="00DE58AF" w:rsidRDefault="00DB3F6B" w:rsidP="00DB3F6B">
      <w:r w:rsidRPr="00DE58AF">
        <w:t>MODUS OPERANDI :</w:t>
      </w:r>
    </w:p>
    <w:p w14:paraId="3FFB7529" w14:textId="77777777" w:rsidR="00DB3F6B" w:rsidRPr="00DE58AF" w:rsidRDefault="00DB3F6B" w:rsidP="00DB3F6B">
      <w:pPr>
        <w:rPr>
          <w:rFonts w:cs="Arial"/>
          <w:sz w:val="18"/>
          <w:szCs w:val="18"/>
          <w:u w:val="single"/>
        </w:rPr>
      </w:pPr>
    </w:p>
    <w:p w14:paraId="2CCA7FA9" w14:textId="77777777" w:rsidR="00DB3F6B" w:rsidRPr="00DE58AF" w:rsidRDefault="00DB3F6B" w:rsidP="00DB3F6B">
      <w:pPr>
        <w:tabs>
          <w:tab w:val="left" w:pos="1134"/>
        </w:tabs>
        <w:ind w:firstLine="567"/>
        <w:rPr>
          <w:rFonts w:cs="Arial"/>
        </w:rPr>
      </w:pPr>
      <w:r w:rsidRPr="00DE58AF">
        <w:t>a)</w:t>
      </w:r>
      <w:r w:rsidRPr="00DE58AF">
        <w:tab/>
        <w:t>lors de la rédaction de la version révisée des documents UPOV/EXN/HRV/1, UPOV/EXN/PPM/1 et UPOV/EXN/PRP/2, le WG</w:t>
      </w:r>
      <w:r w:rsidRPr="00DE58AF">
        <w:noBreakHyphen/>
        <w:t>HRV examine les questions soulevées dans les réponses à la circulaire E</w:t>
      </w:r>
      <w:r w:rsidRPr="00DE58AF">
        <w:noBreakHyphen/>
        <w:t>19/232 de l’UPOV et, en particulier, les conclusions du Séminaire sur l’exercice du droit d’obtenteur en relation avec le produit de la récolte de 2021 :</w:t>
      </w:r>
    </w:p>
    <w:p w14:paraId="6F904118" w14:textId="77777777" w:rsidR="00DB3F6B" w:rsidRPr="00DE58AF" w:rsidRDefault="00DB3F6B" w:rsidP="00DB3F6B">
      <w:pPr>
        <w:keepNext/>
        <w:ind w:left="927"/>
        <w:rPr>
          <w:rFonts w:cs="Arial"/>
          <w:sz w:val="18"/>
        </w:rPr>
      </w:pPr>
    </w:p>
    <w:p w14:paraId="0C1E3999" w14:textId="77777777" w:rsidR="00DB3F6B" w:rsidRPr="00DE58AF" w:rsidRDefault="00DB3F6B" w:rsidP="00DB3F6B">
      <w:pPr>
        <w:pStyle w:val="ListParagraph"/>
        <w:keepNext/>
        <w:numPr>
          <w:ilvl w:val="0"/>
          <w:numId w:val="6"/>
        </w:numPr>
        <w:ind w:left="1701" w:right="639" w:hanging="567"/>
        <w:rPr>
          <w:rFonts w:cs="Arial"/>
          <w:i/>
          <w:sz w:val="18"/>
        </w:rPr>
      </w:pPr>
      <w:r w:rsidRPr="00DE58AF">
        <w:rPr>
          <w:i/>
          <w:sz w:val="18"/>
        </w:rPr>
        <w:t>“Quelles sont les incidences de l’absence de protection efficace du produit de la récolte sur les cultivateurs et les consommateurs?</w:t>
      </w:r>
    </w:p>
    <w:p w14:paraId="7E944A11" w14:textId="77777777" w:rsidR="00DB3F6B" w:rsidRPr="00DE58AF" w:rsidRDefault="00DB3F6B" w:rsidP="00DB3F6B">
      <w:pPr>
        <w:pStyle w:val="ListParagraph"/>
        <w:keepNext/>
        <w:ind w:left="1494" w:right="639"/>
        <w:rPr>
          <w:rFonts w:cs="Arial"/>
          <w:sz w:val="18"/>
        </w:rPr>
      </w:pPr>
    </w:p>
    <w:p w14:paraId="19EA63D1" w14:textId="77777777" w:rsidR="00DB3F6B" w:rsidRPr="00DE58AF" w:rsidRDefault="00DB3F6B" w:rsidP="00DB3F6B">
      <w:pPr>
        <w:pStyle w:val="ListParagraph"/>
        <w:keepLines/>
        <w:ind w:left="1908" w:right="639"/>
        <w:rPr>
          <w:rFonts w:cs="Arial"/>
          <w:sz w:val="18"/>
        </w:rPr>
      </w:pPr>
      <w:r w:rsidRPr="00DE58AF">
        <w:rPr>
          <w:sz w:val="18"/>
        </w:rPr>
        <w:t>“Lors du séminaire, il a été démontré que l’absence de protection efficace des nouvelles variétés d’arbres fruitiers, avant l’octroi des droits d’obtenteur, pouvait empêcher l’introduction précoce de variétés nouvelles et améliorées, limitant ainsi les avantages de ces variétés pour les cultivateurs et les consommateurs et, par conséquent, pour l’ensemble de la société.  En outre, si les obtenteurs ne bénéficient pas d’une protection efficace leur permettant de récupérer l’investissement réalisé en matière de sélection, les variétés améliorées risquent de ne pas être créées du tout.</w:t>
      </w:r>
    </w:p>
    <w:p w14:paraId="5004034B" w14:textId="77777777" w:rsidR="00DB3F6B" w:rsidRPr="00DE58AF" w:rsidRDefault="00DB3F6B" w:rsidP="00DB3F6B">
      <w:pPr>
        <w:pStyle w:val="ListParagraph"/>
        <w:ind w:left="1494" w:right="639"/>
        <w:rPr>
          <w:rFonts w:cs="Arial"/>
          <w:sz w:val="18"/>
        </w:rPr>
      </w:pPr>
    </w:p>
    <w:p w14:paraId="44FF4131" w14:textId="77777777" w:rsidR="00DB3F6B" w:rsidRPr="00DE58AF" w:rsidRDefault="00DB3F6B" w:rsidP="00DB3F6B">
      <w:pPr>
        <w:pStyle w:val="ListParagraph"/>
        <w:keepNext/>
        <w:numPr>
          <w:ilvl w:val="0"/>
          <w:numId w:val="6"/>
        </w:numPr>
        <w:ind w:left="1701" w:right="639" w:hanging="567"/>
        <w:rPr>
          <w:rFonts w:cs="Arial"/>
          <w:i/>
          <w:sz w:val="18"/>
        </w:rPr>
      </w:pPr>
      <w:r w:rsidRPr="00DE58AF">
        <w:rPr>
          <w:i/>
          <w:sz w:val="18"/>
        </w:rPr>
        <w:t>“Quels sont les principaux enjeux de l’exercice du droit d’obtenteur en relation avec le produit de la récolte?”</w:t>
      </w:r>
    </w:p>
    <w:p w14:paraId="0F74D2B0" w14:textId="77777777" w:rsidR="00DB3F6B" w:rsidRPr="00DE58AF" w:rsidRDefault="00DB3F6B" w:rsidP="00DB3F6B">
      <w:pPr>
        <w:pStyle w:val="ListParagraph"/>
        <w:keepNext/>
        <w:ind w:left="1494" w:right="639"/>
        <w:rPr>
          <w:rFonts w:cs="Arial"/>
          <w:sz w:val="18"/>
        </w:rPr>
      </w:pPr>
    </w:p>
    <w:p w14:paraId="0FC37445" w14:textId="77777777" w:rsidR="00DB3F6B" w:rsidRPr="00DE58AF" w:rsidRDefault="00DB3F6B" w:rsidP="00DB3F6B">
      <w:pPr>
        <w:pStyle w:val="ListParagraph"/>
        <w:keepLines/>
        <w:ind w:left="1908" w:right="639"/>
        <w:rPr>
          <w:sz w:val="18"/>
        </w:rPr>
      </w:pPr>
      <w:r w:rsidRPr="00DE58AF">
        <w:rPr>
          <w:sz w:val="18"/>
        </w:rPr>
        <w:t>“Un sujet de préoccupation commun est le manque de prévisibilité concernant le droit de l’obtenteur en relation avec le produit de la récolte.</w:t>
      </w:r>
    </w:p>
    <w:p w14:paraId="585035BC" w14:textId="77777777" w:rsidR="00DB3F6B" w:rsidRPr="00DE58AF" w:rsidRDefault="00DB3F6B" w:rsidP="00DB3F6B">
      <w:pPr>
        <w:pStyle w:val="ListParagraph"/>
        <w:ind w:left="1908" w:right="639"/>
        <w:rPr>
          <w:rFonts w:cs="Arial"/>
          <w:sz w:val="18"/>
        </w:rPr>
      </w:pPr>
    </w:p>
    <w:p w14:paraId="182A4FC1" w14:textId="77777777" w:rsidR="00DB3F6B" w:rsidRPr="00DE58AF" w:rsidRDefault="00DB3F6B" w:rsidP="00DB3F6B">
      <w:pPr>
        <w:pStyle w:val="ListParagraph"/>
        <w:keepLines/>
        <w:ind w:left="1908" w:right="639"/>
        <w:rPr>
          <w:rFonts w:cs="Arial"/>
          <w:sz w:val="18"/>
        </w:rPr>
      </w:pPr>
      <w:r w:rsidRPr="00DE58AF">
        <w:rPr>
          <w:sz w:val="18"/>
        </w:rPr>
        <w:t>“Pour certaines espèces, les arbres, une fois plantés, peuvent produire des fruits pendant de nombreuses années.  Par conséquent, une portée minimale de la protection provisoire ou une interprétation restrictive de l’expression ‘utilisation non autorisée du matériel de reproduction ou de multiplication’ peut ne pas donner à l’obtenteur les moyens d’exercer et de faire respecter son droit en relation avec la culture des plantes et la production et la vente des fruits.</w:t>
      </w:r>
    </w:p>
    <w:p w14:paraId="2A426C84" w14:textId="77777777" w:rsidR="00DB3F6B" w:rsidRPr="00DE58AF" w:rsidRDefault="00DB3F6B" w:rsidP="00DB3F6B">
      <w:pPr>
        <w:pStyle w:val="ListParagraph"/>
        <w:ind w:left="1494" w:right="639"/>
        <w:rPr>
          <w:rFonts w:cs="Arial"/>
          <w:sz w:val="18"/>
        </w:rPr>
      </w:pPr>
    </w:p>
    <w:p w14:paraId="5149CFC8" w14:textId="77777777" w:rsidR="00DB3F6B" w:rsidRPr="00DE58AF" w:rsidRDefault="00DB3F6B" w:rsidP="00DB3F6B">
      <w:pPr>
        <w:pStyle w:val="ListParagraph"/>
        <w:keepNext/>
        <w:numPr>
          <w:ilvl w:val="0"/>
          <w:numId w:val="6"/>
        </w:numPr>
        <w:ind w:left="1701" w:right="639" w:hanging="567"/>
        <w:rPr>
          <w:rFonts w:cs="Arial"/>
          <w:i/>
          <w:iCs/>
          <w:sz w:val="18"/>
        </w:rPr>
      </w:pPr>
      <w:r w:rsidRPr="00DE58AF">
        <w:rPr>
          <w:i/>
          <w:iCs/>
          <w:sz w:val="18"/>
        </w:rPr>
        <w:lastRenderedPageBreak/>
        <w:t>“Au niveau de l’UPOV : quelles solutions voyez</w:t>
      </w:r>
      <w:r w:rsidRPr="00DE58AF">
        <w:rPr>
          <w:i/>
          <w:iCs/>
          <w:sz w:val="18"/>
        </w:rPr>
        <w:noBreakHyphen/>
        <w:t>vous pour ces enjeux de l’exercice du droit d’obtenteur en relation avec le produit de la récolte?</w:t>
      </w:r>
    </w:p>
    <w:p w14:paraId="17B4FE9B" w14:textId="77777777" w:rsidR="00DB3F6B" w:rsidRPr="00DE58AF" w:rsidRDefault="00DB3F6B" w:rsidP="00DB3F6B">
      <w:pPr>
        <w:pStyle w:val="ListParagraph"/>
        <w:keepNext/>
        <w:ind w:left="1494" w:right="639"/>
        <w:rPr>
          <w:rFonts w:cs="Arial"/>
          <w:sz w:val="18"/>
        </w:rPr>
      </w:pPr>
    </w:p>
    <w:p w14:paraId="159836B6" w14:textId="77777777" w:rsidR="00DB3F6B" w:rsidRPr="00DE58AF" w:rsidRDefault="00DB3F6B" w:rsidP="00DB3F6B">
      <w:pPr>
        <w:pStyle w:val="ListParagraph"/>
        <w:keepLines/>
        <w:ind w:left="1908" w:right="639"/>
        <w:rPr>
          <w:rFonts w:cs="Arial"/>
          <w:sz w:val="18"/>
        </w:rPr>
      </w:pPr>
      <w:r w:rsidRPr="00DE58AF">
        <w:rPr>
          <w:sz w:val="18"/>
        </w:rPr>
        <w:t>“Il ressort clairement des exposés et des débats que les orientations contenues dans les notes explicatives sur le produit de la récolte gagneraient à être précisées.</w:t>
      </w:r>
    </w:p>
    <w:p w14:paraId="0B7792A7" w14:textId="77777777" w:rsidR="00DB3F6B" w:rsidRPr="00DE58AF" w:rsidRDefault="00DB3F6B" w:rsidP="00DB3F6B">
      <w:pPr>
        <w:pStyle w:val="ListParagraph"/>
        <w:ind w:left="1908" w:right="639"/>
        <w:rPr>
          <w:rFonts w:cs="Arial"/>
          <w:sz w:val="18"/>
        </w:rPr>
      </w:pPr>
    </w:p>
    <w:p w14:paraId="0541BC6E" w14:textId="77777777" w:rsidR="00DB3F6B" w:rsidRPr="00DE58AF" w:rsidRDefault="00DB3F6B" w:rsidP="00DB3F6B">
      <w:pPr>
        <w:pStyle w:val="ListParagraph"/>
        <w:keepNext/>
        <w:keepLines/>
        <w:ind w:left="1908" w:right="639"/>
        <w:rPr>
          <w:rFonts w:cs="Arial"/>
          <w:sz w:val="18"/>
        </w:rPr>
      </w:pPr>
      <w:r w:rsidRPr="00DE58AF">
        <w:rPr>
          <w:sz w:val="18"/>
        </w:rPr>
        <w:t>“Pour favoriser la mise au point de nouvelles variétés de plantes, il serait utile de disposer d’orientations supplémentaires sur :</w:t>
      </w:r>
    </w:p>
    <w:p w14:paraId="45E67E6F" w14:textId="77777777" w:rsidR="00DB3F6B" w:rsidRPr="00DE58AF" w:rsidRDefault="00DB3F6B" w:rsidP="00DB3F6B">
      <w:pPr>
        <w:pStyle w:val="ListParagraph"/>
        <w:keepNext/>
        <w:numPr>
          <w:ilvl w:val="2"/>
          <w:numId w:val="6"/>
        </w:numPr>
        <w:spacing w:before="120"/>
        <w:ind w:left="3402" w:right="639" w:hanging="567"/>
        <w:rPr>
          <w:rFonts w:cs="Arial"/>
          <w:sz w:val="18"/>
        </w:rPr>
      </w:pPr>
      <w:r w:rsidRPr="00DE58AF">
        <w:rPr>
          <w:sz w:val="18"/>
        </w:rPr>
        <w:t>“le matériel de reproduction ou de multiplication</w:t>
      </w:r>
    </w:p>
    <w:p w14:paraId="368D4430" w14:textId="77777777" w:rsidR="00DB3F6B" w:rsidRPr="00DE58AF" w:rsidRDefault="00DB3F6B" w:rsidP="00DB3F6B">
      <w:pPr>
        <w:pStyle w:val="ListParagraph"/>
        <w:numPr>
          <w:ilvl w:val="2"/>
          <w:numId w:val="6"/>
        </w:numPr>
        <w:spacing w:before="120"/>
        <w:ind w:left="3402" w:right="639" w:hanging="567"/>
        <w:rPr>
          <w:rFonts w:cs="Arial"/>
          <w:sz w:val="18"/>
        </w:rPr>
      </w:pPr>
      <w:r w:rsidRPr="00DE58AF">
        <w:rPr>
          <w:sz w:val="18"/>
        </w:rPr>
        <w:t>“le produit de la récolte</w:t>
      </w:r>
    </w:p>
    <w:p w14:paraId="647DB370" w14:textId="77777777" w:rsidR="00DB3F6B" w:rsidRPr="00DE58AF" w:rsidRDefault="00DB3F6B" w:rsidP="00DB3F6B">
      <w:pPr>
        <w:pStyle w:val="ListParagraph"/>
        <w:numPr>
          <w:ilvl w:val="2"/>
          <w:numId w:val="6"/>
        </w:numPr>
        <w:spacing w:before="120"/>
        <w:ind w:left="3402" w:right="639" w:hanging="567"/>
        <w:rPr>
          <w:rFonts w:cs="Arial"/>
          <w:sz w:val="18"/>
        </w:rPr>
      </w:pPr>
      <w:r w:rsidRPr="00DE58AF">
        <w:rPr>
          <w:sz w:val="18"/>
        </w:rPr>
        <w:t>“la protection provisoire efficace</w:t>
      </w:r>
    </w:p>
    <w:p w14:paraId="4559ACE6" w14:textId="77777777" w:rsidR="00DB3F6B" w:rsidRPr="00DE58AF" w:rsidRDefault="00DB3F6B" w:rsidP="00DB3F6B">
      <w:pPr>
        <w:pStyle w:val="ListParagraph"/>
        <w:numPr>
          <w:ilvl w:val="2"/>
          <w:numId w:val="6"/>
        </w:numPr>
        <w:spacing w:before="120"/>
        <w:ind w:left="3402" w:right="639" w:hanging="567"/>
        <w:rPr>
          <w:rFonts w:cs="Arial"/>
          <w:sz w:val="18"/>
        </w:rPr>
      </w:pPr>
      <w:r w:rsidRPr="00DE58AF">
        <w:rPr>
          <w:sz w:val="18"/>
        </w:rPr>
        <w:t>“la notion d’‘utilisation non autorisée de matériel de reproduction ou de multiplication’</w:t>
      </w:r>
    </w:p>
    <w:p w14:paraId="1C4ACBE6" w14:textId="77777777" w:rsidR="00DB3F6B" w:rsidRPr="00DE58AF" w:rsidRDefault="00DB3F6B" w:rsidP="00DB3F6B">
      <w:pPr>
        <w:pStyle w:val="ListParagraph"/>
        <w:numPr>
          <w:ilvl w:val="2"/>
          <w:numId w:val="6"/>
        </w:numPr>
        <w:spacing w:before="120"/>
        <w:ind w:left="3402" w:right="639" w:hanging="567"/>
        <w:rPr>
          <w:rFonts w:cs="Arial"/>
          <w:sz w:val="18"/>
        </w:rPr>
      </w:pPr>
      <w:r w:rsidRPr="00DE58AF">
        <w:rPr>
          <w:sz w:val="18"/>
        </w:rPr>
        <w:t>“la doctrine d’épuisement des droits en relation avec le renversement de la charge de la preuve.”</w:t>
      </w:r>
    </w:p>
    <w:p w14:paraId="7C7CEFF2" w14:textId="77777777" w:rsidR="00DB3F6B" w:rsidRPr="00DE58AF" w:rsidRDefault="00DB3F6B" w:rsidP="00DB3F6B">
      <w:pPr>
        <w:rPr>
          <w:rFonts w:cs="Arial"/>
          <w:sz w:val="18"/>
        </w:rPr>
      </w:pPr>
    </w:p>
    <w:p w14:paraId="600E1C5C" w14:textId="77777777" w:rsidR="00DB3F6B" w:rsidRPr="00DE58AF" w:rsidRDefault="00DB3F6B" w:rsidP="00DB3F6B">
      <w:pPr>
        <w:tabs>
          <w:tab w:val="left" w:pos="1134"/>
        </w:tabs>
        <w:ind w:firstLine="567"/>
        <w:rPr>
          <w:rFonts w:cs="Arial"/>
        </w:rPr>
      </w:pPr>
      <w:r w:rsidRPr="00DE58AF">
        <w:t>b)</w:t>
      </w:r>
      <w:r w:rsidRPr="00DE58AF">
        <w:tab/>
        <w:t>le WG</w:t>
      </w:r>
      <w:r w:rsidRPr="00DE58AF">
        <w:noBreakHyphen/>
        <w:t>HRV se réunit selon une périodicité lui permettant de remplir son mandat, par des moyens physiques ou virtuels, tel que convenu par le WG</w:t>
      </w:r>
      <w:r w:rsidRPr="00DE58AF">
        <w:noBreakHyphen/>
        <w:t>HRV;</w:t>
      </w:r>
    </w:p>
    <w:p w14:paraId="1862E298" w14:textId="77777777" w:rsidR="00DB3F6B" w:rsidRPr="00DE58AF" w:rsidRDefault="00DB3F6B" w:rsidP="00DB3F6B">
      <w:pPr>
        <w:tabs>
          <w:tab w:val="left" w:pos="1134"/>
        </w:tabs>
        <w:rPr>
          <w:rFonts w:cs="Arial"/>
          <w:sz w:val="18"/>
          <w:u w:val="single"/>
        </w:rPr>
      </w:pPr>
    </w:p>
    <w:p w14:paraId="249BADA6" w14:textId="77777777" w:rsidR="00DB3F6B" w:rsidRPr="00DE58AF" w:rsidRDefault="00DB3F6B" w:rsidP="00DB3F6B">
      <w:pPr>
        <w:tabs>
          <w:tab w:val="left" w:pos="1134"/>
        </w:tabs>
        <w:ind w:firstLine="567"/>
        <w:rPr>
          <w:rFonts w:cs="Arial"/>
        </w:rPr>
      </w:pPr>
      <w:r w:rsidRPr="00DE58AF">
        <w:t>c)</w:t>
      </w:r>
      <w:r w:rsidRPr="00DE58AF">
        <w:tab/>
        <w:t>le WG</w:t>
      </w:r>
      <w:r w:rsidRPr="00DE58AF">
        <w:noBreakHyphen/>
        <w:t>HRV rend compte au CAJ de l’avancement de ses travaux et sollicite des orientations supplémentaires auprès du CAJ, le cas échéant;</w:t>
      </w:r>
    </w:p>
    <w:p w14:paraId="03617746" w14:textId="77777777" w:rsidR="00DB3F6B" w:rsidRPr="00DE58AF" w:rsidRDefault="00DB3F6B" w:rsidP="00DB3F6B">
      <w:pPr>
        <w:tabs>
          <w:tab w:val="left" w:pos="1134"/>
        </w:tabs>
        <w:rPr>
          <w:rFonts w:cs="Arial"/>
          <w:sz w:val="18"/>
        </w:rPr>
      </w:pPr>
    </w:p>
    <w:p w14:paraId="4D297439" w14:textId="77777777" w:rsidR="00DB3F6B" w:rsidRPr="00DE58AF" w:rsidRDefault="00DB3F6B" w:rsidP="00DB3F6B">
      <w:pPr>
        <w:tabs>
          <w:tab w:val="left" w:pos="1134"/>
        </w:tabs>
        <w:ind w:firstLine="567"/>
        <w:rPr>
          <w:rFonts w:cs="Arial"/>
        </w:rPr>
      </w:pPr>
      <w:r w:rsidRPr="00DE58AF">
        <w:t>d)</w:t>
      </w:r>
      <w:r w:rsidRPr="00DE58AF">
        <w:tab/>
        <w:t>les documents du WG</w:t>
      </w:r>
      <w:r w:rsidRPr="00DE58AF">
        <w:noBreakHyphen/>
        <w:t>HRV sont mis à la disposition du CAJ.</w:t>
      </w:r>
    </w:p>
    <w:p w14:paraId="4A5C8699" w14:textId="77777777" w:rsidR="00DB3F6B" w:rsidRPr="00DE58AF" w:rsidRDefault="00DB3F6B" w:rsidP="00DB3F6B"/>
    <w:p w14:paraId="5AA477E4" w14:textId="77777777" w:rsidR="00DB3F6B" w:rsidRPr="00DE58AF" w:rsidRDefault="00DB3F6B" w:rsidP="00DB3F6B"/>
    <w:p w14:paraId="72985DA3" w14:textId="77777777" w:rsidR="00DB3F6B" w:rsidRPr="00DE58AF" w:rsidRDefault="00DB3F6B" w:rsidP="00DB3F6B"/>
    <w:p w14:paraId="5A4D2110" w14:textId="77777777" w:rsidR="00DB3F6B" w:rsidRPr="00DE58AF" w:rsidRDefault="00DB3F6B" w:rsidP="00DB3F6B">
      <w:pPr>
        <w:tabs>
          <w:tab w:val="left" w:pos="284"/>
          <w:tab w:val="left" w:pos="851"/>
        </w:tabs>
        <w:autoSpaceDE w:val="0"/>
        <w:autoSpaceDN w:val="0"/>
        <w:adjustRightInd w:val="0"/>
        <w:jc w:val="right"/>
        <w:rPr>
          <w:rFonts w:cs="Angsana New"/>
          <w:i/>
          <w:szCs w:val="24"/>
          <w:lang w:eastAsia="ja-JP" w:bidi="th-TH"/>
        </w:rPr>
      </w:pPr>
      <w:r w:rsidRPr="00DE58AF">
        <w:t>[Fin de l'annexe et du document]</w:t>
      </w:r>
    </w:p>
    <w:p w14:paraId="37CE9B91" w14:textId="77777777" w:rsidR="008F19AF" w:rsidRPr="00DE58AF" w:rsidRDefault="008F19AF" w:rsidP="008F19AF">
      <w:pPr>
        <w:jc w:val="left"/>
      </w:pPr>
    </w:p>
    <w:p w14:paraId="0C32E026" w14:textId="77777777" w:rsidR="00903264" w:rsidRPr="00DE58AF" w:rsidRDefault="00903264">
      <w:pPr>
        <w:jc w:val="left"/>
      </w:pPr>
    </w:p>
    <w:p w14:paraId="16CDB673" w14:textId="77777777" w:rsidR="00050E16" w:rsidRPr="00DE58AF" w:rsidRDefault="00050E16" w:rsidP="009B440E">
      <w:pPr>
        <w:jc w:val="left"/>
      </w:pPr>
    </w:p>
    <w:sectPr w:rsidR="00050E16" w:rsidRPr="00DE58AF"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13D81" w14:textId="77777777" w:rsidR="00561C00" w:rsidRDefault="00561C00" w:rsidP="006655D3">
      <w:r>
        <w:separator/>
      </w:r>
    </w:p>
    <w:p w14:paraId="64215FB8" w14:textId="77777777" w:rsidR="00561C00" w:rsidRDefault="00561C00" w:rsidP="006655D3"/>
    <w:p w14:paraId="6F61F839" w14:textId="77777777" w:rsidR="00561C00" w:rsidRDefault="00561C00" w:rsidP="006655D3"/>
  </w:endnote>
  <w:endnote w:type="continuationSeparator" w:id="0">
    <w:p w14:paraId="719A17CF" w14:textId="77777777" w:rsidR="00561C00" w:rsidRDefault="00561C00" w:rsidP="006655D3">
      <w:r>
        <w:separator/>
      </w:r>
    </w:p>
    <w:p w14:paraId="3F905922" w14:textId="77777777" w:rsidR="00BA45C5" w:rsidRDefault="00206CC0">
      <w:pPr>
        <w:pStyle w:val="Footer"/>
        <w:spacing w:after="60"/>
        <w:rPr>
          <w:sz w:val="18"/>
          <w:lang w:val="fr-FR"/>
        </w:rPr>
      </w:pPr>
      <w:r w:rsidRPr="00294751">
        <w:rPr>
          <w:sz w:val="18"/>
          <w:lang w:val="fr-FR"/>
        </w:rPr>
        <w:t>[Suite de la note de la page précédente].</w:t>
      </w:r>
    </w:p>
    <w:p w14:paraId="1FB84DC9" w14:textId="77777777" w:rsidR="00561C00" w:rsidRPr="00294751" w:rsidRDefault="00561C00" w:rsidP="006655D3"/>
    <w:p w14:paraId="7C8CE917" w14:textId="77777777" w:rsidR="00561C00" w:rsidRPr="00294751" w:rsidRDefault="00561C00" w:rsidP="006655D3"/>
  </w:endnote>
  <w:endnote w:type="continuationNotice" w:id="1">
    <w:p w14:paraId="0803797B" w14:textId="77777777" w:rsidR="00BA45C5" w:rsidRDefault="00206CC0">
      <w:r w:rsidRPr="00294751">
        <w:t>[Suite de la note page suivante]</w:t>
      </w:r>
    </w:p>
    <w:p w14:paraId="08580D0C" w14:textId="77777777" w:rsidR="00561C00" w:rsidRPr="00294751" w:rsidRDefault="00561C00" w:rsidP="006655D3"/>
    <w:p w14:paraId="34F94307" w14:textId="77777777" w:rsidR="00561C00" w:rsidRPr="00294751" w:rsidRDefault="00561C0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A35C" w14:textId="77777777" w:rsidR="00561C00" w:rsidRDefault="00561C00" w:rsidP="006655D3">
      <w:r>
        <w:separator/>
      </w:r>
    </w:p>
  </w:footnote>
  <w:footnote w:type="continuationSeparator" w:id="0">
    <w:p w14:paraId="3426C7BC" w14:textId="77777777" w:rsidR="00561C00" w:rsidRDefault="00561C00" w:rsidP="006655D3">
      <w:r>
        <w:separator/>
      </w:r>
    </w:p>
  </w:footnote>
  <w:footnote w:type="continuationNotice" w:id="1">
    <w:p w14:paraId="1AB0AF1B" w14:textId="77777777" w:rsidR="00561C00" w:rsidRPr="00AB530F" w:rsidRDefault="00561C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6C08" w14:textId="77777777" w:rsidR="00BA45C5" w:rsidRDefault="00206CC0">
    <w:pPr>
      <w:pStyle w:val="Header"/>
      <w:rPr>
        <w:rStyle w:val="PageNumber"/>
        <w:lang w:val="en-US"/>
      </w:rPr>
    </w:pPr>
    <w:r>
      <w:rPr>
        <w:rStyle w:val="PageNumber"/>
        <w:lang w:val="en-US"/>
      </w:rPr>
      <w:t>CAJ/81/5</w:t>
    </w:r>
  </w:p>
  <w:p w14:paraId="345F235B" w14:textId="77777777" w:rsidR="00BA45C5" w:rsidRDefault="00206CC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0DC3998" w14:textId="77777777" w:rsidR="008F19AF" w:rsidRPr="00C5280D" w:rsidRDefault="008F19A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B8A26" w14:textId="77777777" w:rsidR="00BA45C5" w:rsidRDefault="002813D9">
    <w:pPr>
      <w:pStyle w:val="Header"/>
      <w:rPr>
        <w:rStyle w:val="PageNumber"/>
        <w:lang w:val="en-US"/>
      </w:rPr>
    </w:pPr>
    <w:r>
      <w:rPr>
        <w:rStyle w:val="PageNumber"/>
        <w:lang w:val="en-US"/>
      </w:rPr>
      <w:t>CAJ/81/5</w:t>
    </w:r>
  </w:p>
  <w:p w14:paraId="2C3FBE81" w14:textId="77777777" w:rsidR="00BA45C5" w:rsidRDefault="00206CC0">
    <w:pPr>
      <w:pStyle w:val="Header"/>
      <w:rPr>
        <w:lang w:val="en-US"/>
      </w:rPr>
    </w:pPr>
    <w:proofErr w:type="spellStart"/>
    <w:r>
      <w:rPr>
        <w:lang w:val="en-US"/>
      </w:rPr>
      <w:t>Annexe</w:t>
    </w:r>
    <w:proofErr w:type="spellEnd"/>
    <w:r>
      <w:rPr>
        <w:lang w:val="en-US"/>
      </w:rPr>
      <w:t xml:space="preserv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247C2784"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0572" w14:textId="77777777" w:rsidR="00BA45C5" w:rsidRDefault="00206CC0">
    <w:pPr>
      <w:pStyle w:val="Header"/>
      <w:rPr>
        <w:lang w:val="fr-CH"/>
      </w:rPr>
    </w:pPr>
    <w:r>
      <w:rPr>
        <w:lang w:val="fr-CH"/>
      </w:rPr>
      <w:t>CAJ/81/5</w:t>
    </w:r>
  </w:p>
  <w:p w14:paraId="31ABBF6E" w14:textId="77777777" w:rsidR="008F19AF" w:rsidRDefault="008F19AF" w:rsidP="0004198B">
    <w:pPr>
      <w:pStyle w:val="Header"/>
      <w:rPr>
        <w:lang w:val="fr-CH"/>
      </w:rPr>
    </w:pPr>
  </w:p>
  <w:p w14:paraId="24DBB0B6" w14:textId="77777777" w:rsidR="00BA45C5" w:rsidRDefault="00206CC0">
    <w:pPr>
      <w:pStyle w:val="Header"/>
      <w:rPr>
        <w:lang w:val="fr-CH"/>
      </w:rPr>
    </w:pPr>
    <w:r>
      <w:rPr>
        <w:lang w:val="fr-CH"/>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D9631A"/>
    <w:multiLevelType w:val="hybridMultilevel"/>
    <w:tmpl w:val="FF04F10E"/>
    <w:lvl w:ilvl="0" w:tplc="E5A8116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DF42755"/>
    <w:multiLevelType w:val="hybridMultilevel"/>
    <w:tmpl w:val="E86CFFBC"/>
    <w:lvl w:ilvl="0" w:tplc="1D189BA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64D50EED"/>
    <w:multiLevelType w:val="hybridMultilevel"/>
    <w:tmpl w:val="86E45750"/>
    <w:lvl w:ilvl="0" w:tplc="4BEAAFB8">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93C483B"/>
    <w:multiLevelType w:val="hybridMultilevel"/>
    <w:tmpl w:val="C2B2C6E2"/>
    <w:lvl w:ilvl="0" w:tplc="6406A75A">
      <w:start w:val="1"/>
      <w:numFmt w:val="lowerLetter"/>
      <w:lvlText w:val="%1)"/>
      <w:lvlJc w:val="left"/>
      <w:pPr>
        <w:ind w:left="927" w:hanging="360"/>
      </w:pPr>
      <w:rPr>
        <w:rFonts w:cs="Times New Roman"/>
        <w:color w:val="auto"/>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num w:numId="1" w16cid:durableId="1385251035">
    <w:abstractNumId w:val="1"/>
  </w:num>
  <w:num w:numId="2" w16cid:durableId="1040933631">
    <w:abstractNumId w:val="3"/>
  </w:num>
  <w:num w:numId="3" w16cid:durableId="317808235">
    <w:abstractNumId w:val="0"/>
  </w:num>
  <w:num w:numId="4" w16cid:durableId="2322556">
    <w:abstractNumId w:val="2"/>
  </w:num>
  <w:num w:numId="5" w16cid:durableId="54665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255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04B75"/>
    <w:rsid w:val="00010CF3"/>
    <w:rsid w:val="00011E27"/>
    <w:rsid w:val="000148BC"/>
    <w:rsid w:val="00024AB8"/>
    <w:rsid w:val="00030854"/>
    <w:rsid w:val="00036028"/>
    <w:rsid w:val="0004198B"/>
    <w:rsid w:val="00044642"/>
    <w:rsid w:val="000446B9"/>
    <w:rsid w:val="000450F0"/>
    <w:rsid w:val="00047E21"/>
    <w:rsid w:val="00050E16"/>
    <w:rsid w:val="00052ED4"/>
    <w:rsid w:val="00085505"/>
    <w:rsid w:val="000A6B80"/>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1BC0"/>
    <w:rsid w:val="001D7688"/>
    <w:rsid w:val="001E430C"/>
    <w:rsid w:val="001F49C6"/>
    <w:rsid w:val="00203EA0"/>
    <w:rsid w:val="00206CC0"/>
    <w:rsid w:val="0021332C"/>
    <w:rsid w:val="00213982"/>
    <w:rsid w:val="0024416D"/>
    <w:rsid w:val="002469E8"/>
    <w:rsid w:val="00271911"/>
    <w:rsid w:val="00273187"/>
    <w:rsid w:val="002800A0"/>
    <w:rsid w:val="002801B3"/>
    <w:rsid w:val="00281060"/>
    <w:rsid w:val="002813D9"/>
    <w:rsid w:val="00284050"/>
    <w:rsid w:val="00285BD0"/>
    <w:rsid w:val="002940E8"/>
    <w:rsid w:val="00294751"/>
    <w:rsid w:val="002A6E50"/>
    <w:rsid w:val="002B4298"/>
    <w:rsid w:val="002B53E1"/>
    <w:rsid w:val="002B7A36"/>
    <w:rsid w:val="002C256A"/>
    <w:rsid w:val="002D5226"/>
    <w:rsid w:val="002F0D3C"/>
    <w:rsid w:val="00305A7F"/>
    <w:rsid w:val="00313304"/>
    <w:rsid w:val="003152FE"/>
    <w:rsid w:val="00327436"/>
    <w:rsid w:val="00344BD6"/>
    <w:rsid w:val="0035528D"/>
    <w:rsid w:val="00361821"/>
    <w:rsid w:val="00361E9E"/>
    <w:rsid w:val="00363882"/>
    <w:rsid w:val="003753EE"/>
    <w:rsid w:val="0038755D"/>
    <w:rsid w:val="003A0835"/>
    <w:rsid w:val="003A5AAF"/>
    <w:rsid w:val="003B700A"/>
    <w:rsid w:val="003C7FBE"/>
    <w:rsid w:val="003D227C"/>
    <w:rsid w:val="003D2B4D"/>
    <w:rsid w:val="003E17E7"/>
    <w:rsid w:val="003F37F5"/>
    <w:rsid w:val="003F6A8E"/>
    <w:rsid w:val="00444A88"/>
    <w:rsid w:val="00474DA4"/>
    <w:rsid w:val="004764A3"/>
    <w:rsid w:val="00476B4D"/>
    <w:rsid w:val="004805FA"/>
    <w:rsid w:val="0048387C"/>
    <w:rsid w:val="004935D2"/>
    <w:rsid w:val="004B1215"/>
    <w:rsid w:val="004D047D"/>
    <w:rsid w:val="004E2144"/>
    <w:rsid w:val="004F1E9E"/>
    <w:rsid w:val="004F305A"/>
    <w:rsid w:val="00512164"/>
    <w:rsid w:val="00520297"/>
    <w:rsid w:val="00532395"/>
    <w:rsid w:val="005338F9"/>
    <w:rsid w:val="0054281C"/>
    <w:rsid w:val="0054456B"/>
    <w:rsid w:val="00544581"/>
    <w:rsid w:val="0055268D"/>
    <w:rsid w:val="00561C00"/>
    <w:rsid w:val="00575DE2"/>
    <w:rsid w:val="00576BE4"/>
    <w:rsid w:val="005779DB"/>
    <w:rsid w:val="005A2A67"/>
    <w:rsid w:val="005A400A"/>
    <w:rsid w:val="005B0C9D"/>
    <w:rsid w:val="005B269D"/>
    <w:rsid w:val="005F7B92"/>
    <w:rsid w:val="00612379"/>
    <w:rsid w:val="006153B6"/>
    <w:rsid w:val="0061555F"/>
    <w:rsid w:val="006233B9"/>
    <w:rsid w:val="006245ED"/>
    <w:rsid w:val="00636CA6"/>
    <w:rsid w:val="00641200"/>
    <w:rsid w:val="00645CA8"/>
    <w:rsid w:val="006655D3"/>
    <w:rsid w:val="00667404"/>
    <w:rsid w:val="00687EB4"/>
    <w:rsid w:val="00695C56"/>
    <w:rsid w:val="006A5CDE"/>
    <w:rsid w:val="006A644A"/>
    <w:rsid w:val="006B17D2"/>
    <w:rsid w:val="006C224E"/>
    <w:rsid w:val="006D780A"/>
    <w:rsid w:val="006F10CA"/>
    <w:rsid w:val="00711B98"/>
    <w:rsid w:val="0071271E"/>
    <w:rsid w:val="00732DEC"/>
    <w:rsid w:val="00735BD5"/>
    <w:rsid w:val="00737A63"/>
    <w:rsid w:val="007451EC"/>
    <w:rsid w:val="00751613"/>
    <w:rsid w:val="00753EE9"/>
    <w:rsid w:val="007556F6"/>
    <w:rsid w:val="00760EEF"/>
    <w:rsid w:val="00777EE5"/>
    <w:rsid w:val="00782D3C"/>
    <w:rsid w:val="00784836"/>
    <w:rsid w:val="0079023E"/>
    <w:rsid w:val="007A2854"/>
    <w:rsid w:val="007B45D6"/>
    <w:rsid w:val="007C1D92"/>
    <w:rsid w:val="007C4CB9"/>
    <w:rsid w:val="007D0B9D"/>
    <w:rsid w:val="007D19B0"/>
    <w:rsid w:val="007E366F"/>
    <w:rsid w:val="007F498F"/>
    <w:rsid w:val="0080679D"/>
    <w:rsid w:val="008108B0"/>
    <w:rsid w:val="00811B20"/>
    <w:rsid w:val="00812609"/>
    <w:rsid w:val="008211B5"/>
    <w:rsid w:val="0082296E"/>
    <w:rsid w:val="00824099"/>
    <w:rsid w:val="00842ADF"/>
    <w:rsid w:val="00846D7C"/>
    <w:rsid w:val="00867AC1"/>
    <w:rsid w:val="008751DE"/>
    <w:rsid w:val="00890DF8"/>
    <w:rsid w:val="008A0ADE"/>
    <w:rsid w:val="008A743F"/>
    <w:rsid w:val="008C0970"/>
    <w:rsid w:val="008D0BC5"/>
    <w:rsid w:val="008D0F14"/>
    <w:rsid w:val="008D2CF7"/>
    <w:rsid w:val="008F19AF"/>
    <w:rsid w:val="008F1F48"/>
    <w:rsid w:val="008F4770"/>
    <w:rsid w:val="00900C26"/>
    <w:rsid w:val="0090197F"/>
    <w:rsid w:val="00903264"/>
    <w:rsid w:val="00906DDC"/>
    <w:rsid w:val="00932BD9"/>
    <w:rsid w:val="00934E09"/>
    <w:rsid w:val="00936253"/>
    <w:rsid w:val="00940D46"/>
    <w:rsid w:val="009413F1"/>
    <w:rsid w:val="00952DD4"/>
    <w:rsid w:val="009561F4"/>
    <w:rsid w:val="00965AE7"/>
    <w:rsid w:val="00970FED"/>
    <w:rsid w:val="00982BC5"/>
    <w:rsid w:val="00992D82"/>
    <w:rsid w:val="00997029"/>
    <w:rsid w:val="009A7339"/>
    <w:rsid w:val="009B440E"/>
    <w:rsid w:val="009D690D"/>
    <w:rsid w:val="009E65B6"/>
    <w:rsid w:val="009F0A51"/>
    <w:rsid w:val="009F77CF"/>
    <w:rsid w:val="00A24C10"/>
    <w:rsid w:val="00A414B3"/>
    <w:rsid w:val="00A42AC3"/>
    <w:rsid w:val="00A430CF"/>
    <w:rsid w:val="00A54309"/>
    <w:rsid w:val="00A610A9"/>
    <w:rsid w:val="00A80F2A"/>
    <w:rsid w:val="00A96C33"/>
    <w:rsid w:val="00AB2B93"/>
    <w:rsid w:val="00AB530F"/>
    <w:rsid w:val="00AB7E5B"/>
    <w:rsid w:val="00AC172D"/>
    <w:rsid w:val="00AC2883"/>
    <w:rsid w:val="00AE0EF1"/>
    <w:rsid w:val="00AE2937"/>
    <w:rsid w:val="00B07301"/>
    <w:rsid w:val="00B11F3E"/>
    <w:rsid w:val="00B224DE"/>
    <w:rsid w:val="00B324D4"/>
    <w:rsid w:val="00B46575"/>
    <w:rsid w:val="00B61777"/>
    <w:rsid w:val="00B622E6"/>
    <w:rsid w:val="00B73FB8"/>
    <w:rsid w:val="00B74F09"/>
    <w:rsid w:val="00B83E82"/>
    <w:rsid w:val="00B84BBD"/>
    <w:rsid w:val="00BA1949"/>
    <w:rsid w:val="00BA43FB"/>
    <w:rsid w:val="00BA45C5"/>
    <w:rsid w:val="00BC127D"/>
    <w:rsid w:val="00BC1FE6"/>
    <w:rsid w:val="00C061B6"/>
    <w:rsid w:val="00C24378"/>
    <w:rsid w:val="00C2446C"/>
    <w:rsid w:val="00C342EF"/>
    <w:rsid w:val="00C36AE5"/>
    <w:rsid w:val="00C41F17"/>
    <w:rsid w:val="00C527FA"/>
    <w:rsid w:val="00C5280D"/>
    <w:rsid w:val="00C53EB3"/>
    <w:rsid w:val="00C5791C"/>
    <w:rsid w:val="00C66290"/>
    <w:rsid w:val="00C72B7A"/>
    <w:rsid w:val="00C90691"/>
    <w:rsid w:val="00C90DB7"/>
    <w:rsid w:val="00C973F2"/>
    <w:rsid w:val="00CA304C"/>
    <w:rsid w:val="00CA774A"/>
    <w:rsid w:val="00CB4055"/>
    <w:rsid w:val="00CB4921"/>
    <w:rsid w:val="00CB6E94"/>
    <w:rsid w:val="00CC11B0"/>
    <w:rsid w:val="00CC2841"/>
    <w:rsid w:val="00CE31C2"/>
    <w:rsid w:val="00CF1330"/>
    <w:rsid w:val="00CF26D1"/>
    <w:rsid w:val="00CF7E36"/>
    <w:rsid w:val="00D10075"/>
    <w:rsid w:val="00D17E9C"/>
    <w:rsid w:val="00D301AB"/>
    <w:rsid w:val="00D3708D"/>
    <w:rsid w:val="00D40426"/>
    <w:rsid w:val="00D556D8"/>
    <w:rsid w:val="00D57C96"/>
    <w:rsid w:val="00D57D18"/>
    <w:rsid w:val="00D70E65"/>
    <w:rsid w:val="00D91203"/>
    <w:rsid w:val="00D95174"/>
    <w:rsid w:val="00DA4973"/>
    <w:rsid w:val="00DA6F36"/>
    <w:rsid w:val="00DB00A3"/>
    <w:rsid w:val="00DB3F6B"/>
    <w:rsid w:val="00DB596E"/>
    <w:rsid w:val="00DB7773"/>
    <w:rsid w:val="00DC00EA"/>
    <w:rsid w:val="00DC3802"/>
    <w:rsid w:val="00DD6208"/>
    <w:rsid w:val="00DE2C32"/>
    <w:rsid w:val="00DE2D69"/>
    <w:rsid w:val="00DE58AF"/>
    <w:rsid w:val="00DF0692"/>
    <w:rsid w:val="00DF6F88"/>
    <w:rsid w:val="00DF7E99"/>
    <w:rsid w:val="00E07D87"/>
    <w:rsid w:val="00E23286"/>
    <w:rsid w:val="00E249C8"/>
    <w:rsid w:val="00E32F7E"/>
    <w:rsid w:val="00E5267B"/>
    <w:rsid w:val="00E559F0"/>
    <w:rsid w:val="00E63C0E"/>
    <w:rsid w:val="00E72D49"/>
    <w:rsid w:val="00E7593C"/>
    <w:rsid w:val="00E7678A"/>
    <w:rsid w:val="00E85654"/>
    <w:rsid w:val="00E86031"/>
    <w:rsid w:val="00E935F1"/>
    <w:rsid w:val="00E94A81"/>
    <w:rsid w:val="00EA1FFB"/>
    <w:rsid w:val="00EB048E"/>
    <w:rsid w:val="00EB4E9C"/>
    <w:rsid w:val="00ED0F18"/>
    <w:rsid w:val="00ED6FA7"/>
    <w:rsid w:val="00EE34DF"/>
    <w:rsid w:val="00EE648E"/>
    <w:rsid w:val="00EE7708"/>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236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5CD37"/>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692"/>
    <w:pPr>
      <w:jc w:val="both"/>
    </w:pPr>
    <w:rPr>
      <w:rFonts w:ascii="Arial" w:hAnsi="Arial"/>
      <w:lang w:val="fr-FR"/>
    </w:rPr>
  </w:style>
  <w:style w:type="paragraph" w:styleId="Heading1">
    <w:name w:val="heading 1"/>
    <w:next w:val="Normal"/>
    <w:link w:val="Heading1Char"/>
    <w:autoRedefine/>
    <w:qFormat/>
    <w:rsid w:val="00BA1949"/>
    <w:pPr>
      <w:keepNext/>
      <w:jc w:val="both"/>
      <w:outlineLvl w:val="0"/>
    </w:pPr>
    <w:rPr>
      <w:rFonts w:ascii="Arial" w:hAnsi="Arial" w:cs="Arial"/>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B45D6"/>
    <w:pPr>
      <w:tabs>
        <w:tab w:val="right" w:leader="dot" w:pos="9639"/>
      </w:tabs>
      <w:spacing w:after="60"/>
      <w:ind w:left="284" w:right="284"/>
    </w:pPr>
    <w:rPr>
      <w:rFonts w:ascii="Arial" w:hAnsi="Arial"/>
      <w:bCs/>
      <w:lang w:val="fr-FR"/>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E17E7"/>
    <w:pPr>
      <w:tabs>
        <w:tab w:val="right" w:leader="dot" w:pos="9639"/>
      </w:tabs>
      <w:spacing w:before="120" w:after="120"/>
      <w:ind w:left="851" w:right="284" w:hanging="851"/>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BA1949"/>
    <w:rPr>
      <w:rFonts w:ascii="Arial" w:hAnsi="Arial" w:cs="Arial"/>
    </w:rPr>
  </w:style>
  <w:style w:type="paragraph" w:styleId="ListParagraph">
    <w:name w:val="List Paragraph"/>
    <w:aliases w:val="auto_list_(i),List Paragraph1"/>
    <w:basedOn w:val="Normal"/>
    <w:link w:val="ListParagraphChar"/>
    <w:uiPriority w:val="34"/>
    <w:qFormat/>
    <w:rsid w:val="008F19A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8F19AF"/>
    <w:rPr>
      <w:rFonts w:ascii="Arial" w:hAnsi="Arial"/>
    </w:rPr>
  </w:style>
  <w:style w:type="character" w:styleId="FollowedHyperlink">
    <w:name w:val="FollowedHyperlink"/>
    <w:basedOn w:val="DefaultParagraphFont"/>
    <w:semiHidden/>
    <w:unhideWhenUsed/>
    <w:rsid w:val="003F6A8E"/>
    <w:rPr>
      <w:color w:val="800080" w:themeColor="followedHyperlink"/>
      <w:u w:val="single"/>
    </w:rPr>
  </w:style>
  <w:style w:type="character" w:styleId="UnresolvedMention">
    <w:name w:val="Unresolved Mention"/>
    <w:basedOn w:val="DefaultParagraphFont"/>
    <w:uiPriority w:val="99"/>
    <w:semiHidden/>
    <w:unhideWhenUsed/>
    <w:rsid w:val="003F6A8E"/>
    <w:rPr>
      <w:color w:val="605E5C"/>
      <w:shd w:val="clear" w:color="auto" w:fill="E1DFDD"/>
    </w:rPr>
  </w:style>
  <w:style w:type="character" w:customStyle="1" w:styleId="Heading2Char">
    <w:name w:val="Heading 2 Char"/>
    <w:aliases w:val="VARIETY Char,variety Char"/>
    <w:basedOn w:val="DefaultParagraphFont"/>
    <w:link w:val="Heading2"/>
    <w:rsid w:val="00E86031"/>
    <w:rPr>
      <w:rFonts w:ascii="Arial" w:hAnsi="Arial"/>
      <w:u w:val="single"/>
    </w:rPr>
  </w:style>
  <w:style w:type="character" w:styleId="CommentReference">
    <w:name w:val="annotation reference"/>
    <w:basedOn w:val="DefaultParagraphFont"/>
    <w:semiHidden/>
    <w:unhideWhenUsed/>
    <w:rsid w:val="00E85654"/>
    <w:rPr>
      <w:sz w:val="16"/>
      <w:szCs w:val="16"/>
    </w:rPr>
  </w:style>
  <w:style w:type="paragraph" w:styleId="CommentText">
    <w:name w:val="annotation text"/>
    <w:basedOn w:val="Normal"/>
    <w:link w:val="CommentTextChar"/>
    <w:unhideWhenUsed/>
    <w:rsid w:val="00E85654"/>
  </w:style>
  <w:style w:type="character" w:customStyle="1" w:styleId="CommentTextChar">
    <w:name w:val="Comment Text Char"/>
    <w:basedOn w:val="DefaultParagraphFont"/>
    <w:link w:val="CommentText"/>
    <w:rsid w:val="00E85654"/>
    <w:rPr>
      <w:rFonts w:ascii="Arial" w:hAnsi="Arial"/>
    </w:rPr>
  </w:style>
  <w:style w:type="paragraph" w:styleId="CommentSubject">
    <w:name w:val="annotation subject"/>
    <w:basedOn w:val="CommentText"/>
    <w:next w:val="CommentText"/>
    <w:link w:val="CommentSubjectChar"/>
    <w:semiHidden/>
    <w:unhideWhenUsed/>
    <w:rsid w:val="00E85654"/>
    <w:rPr>
      <w:b/>
      <w:bCs/>
    </w:rPr>
  </w:style>
  <w:style w:type="character" w:customStyle="1" w:styleId="CommentSubjectChar">
    <w:name w:val="Comment Subject Char"/>
    <w:basedOn w:val="CommentTextChar"/>
    <w:link w:val="CommentSubject"/>
    <w:semiHidden/>
    <w:rsid w:val="00E85654"/>
    <w:rPr>
      <w:rFonts w:ascii="Arial" w:hAnsi="Arial"/>
      <w:b/>
      <w:bCs/>
    </w:rPr>
  </w:style>
  <w:style w:type="paragraph" w:styleId="Revision">
    <w:name w:val="Revision"/>
    <w:hidden/>
    <w:uiPriority w:val="99"/>
    <w:semiHidden/>
    <w:rsid w:val="00203EA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469334">
      <w:bodyDiv w:val="1"/>
      <w:marLeft w:val="0"/>
      <w:marRight w:val="0"/>
      <w:marTop w:val="0"/>
      <w:marBottom w:val="0"/>
      <w:divBdr>
        <w:top w:val="none" w:sz="0" w:space="0" w:color="auto"/>
        <w:left w:val="none" w:sz="0" w:space="0" w:color="auto"/>
        <w:bottom w:val="none" w:sz="0" w:space="0" w:color="auto"/>
        <w:right w:val="none" w:sz="0" w:space="0" w:color="auto"/>
      </w:divBdr>
    </w:div>
    <w:div w:id="1782916500">
      <w:bodyDiv w:val="1"/>
      <w:marLeft w:val="0"/>
      <w:marRight w:val="0"/>
      <w:marTop w:val="0"/>
      <w:marBottom w:val="0"/>
      <w:divBdr>
        <w:top w:val="none" w:sz="0" w:space="0" w:color="auto"/>
        <w:left w:val="none" w:sz="0" w:space="0" w:color="auto"/>
        <w:bottom w:val="none" w:sz="0" w:space="0" w:color="auto"/>
        <w:right w:val="none" w:sz="0" w:space="0" w:color="auto"/>
      </w:divBdr>
    </w:div>
    <w:div w:id="178476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836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fr/details.jsp?meeting_id=80843.%20" TargetMode="External"/><Relationship Id="rId4" Type="http://schemas.openxmlformats.org/officeDocument/2006/relationships/settings" Target="settings.xml"/><Relationship Id="rId9" Type="http://schemas.openxmlformats.org/officeDocument/2006/relationships/hyperlink" Target="https://www.upov.int/meetings/fr/details.jsp?meeting_id=77809.%20"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107</TotalTime>
  <Pages>6</Pages>
  <Words>2604</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CAJ/81/5</vt:lpstr>
    </vt:vector>
  </TitlesOfParts>
  <Company>UPOV</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CAJ/81/5</dc:title>
  <dc:creator>SANCHEZ VIZCAINO GOMEZ Rosa Maria</dc:creator>
  <cp:keywords>, docId:AE3152ABDE3D396DC7901E3CF82CD304</cp:keywords>
  <cp:lastModifiedBy>SANCHEZ VIZCAINO GOMEZ Rosa Maria</cp:lastModifiedBy>
  <cp:revision>14</cp:revision>
  <cp:lastPrinted>2016-11-22T15:41:00Z</cp:lastPrinted>
  <dcterms:created xsi:type="dcterms:W3CDTF">2024-08-13T08:32:00Z</dcterms:created>
  <dcterms:modified xsi:type="dcterms:W3CDTF">2024-08-19T14:43:00Z</dcterms:modified>
</cp:coreProperties>
</file>