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30161C" w14:paraId="1CA0B990" w14:textId="77777777" w:rsidTr="00EB4E9C">
        <w:tc>
          <w:tcPr>
            <w:tcW w:w="6522" w:type="dxa"/>
          </w:tcPr>
          <w:p w14:paraId="63694D5A" w14:textId="77777777" w:rsidR="00DC3802" w:rsidRPr="0030161C" w:rsidRDefault="00DC3802" w:rsidP="00AC2883">
            <w:pPr>
              <w:rPr>
                <w:lang w:val="fr-FR"/>
              </w:rPr>
            </w:pPr>
            <w:r w:rsidRPr="0030161C">
              <w:rPr>
                <w:lang w:val="fr-FR" w:eastAsia="de-DE"/>
              </w:rPr>
              <w:drawing>
                <wp:inline distT="0" distB="0" distL="0" distR="0" wp14:anchorId="0CA2CF14" wp14:editId="5CEEE24B">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9C95A79" w14:textId="0187483E" w:rsidR="00B3651F" w:rsidRPr="0030161C" w:rsidRDefault="0030161C">
            <w:pPr>
              <w:pStyle w:val="Lettrine"/>
              <w:rPr>
                <w:lang w:val="fr-FR"/>
              </w:rPr>
            </w:pPr>
            <w:r w:rsidRPr="0030161C">
              <w:rPr>
                <w:lang w:val="fr-FR"/>
              </w:rPr>
              <w:t>F</w:t>
            </w:r>
          </w:p>
        </w:tc>
      </w:tr>
      <w:tr w:rsidR="00DC3802" w:rsidRPr="0030161C" w14:paraId="4209306B" w14:textId="77777777" w:rsidTr="00645CA8">
        <w:trPr>
          <w:trHeight w:val="219"/>
        </w:trPr>
        <w:tc>
          <w:tcPr>
            <w:tcW w:w="6522" w:type="dxa"/>
          </w:tcPr>
          <w:p w14:paraId="5CFB887A" w14:textId="77777777" w:rsidR="00B3651F" w:rsidRPr="0030161C" w:rsidRDefault="001901A1">
            <w:pPr>
              <w:pStyle w:val="upove"/>
              <w:rPr>
                <w:lang w:val="fr-FR"/>
              </w:rPr>
            </w:pPr>
            <w:r w:rsidRPr="0030161C">
              <w:rPr>
                <w:lang w:val="fr-FR"/>
              </w:rPr>
              <w:t>Union internationale pour la protection des obtentions végétales</w:t>
            </w:r>
          </w:p>
        </w:tc>
        <w:tc>
          <w:tcPr>
            <w:tcW w:w="3117" w:type="dxa"/>
          </w:tcPr>
          <w:p w14:paraId="38AF8EE1" w14:textId="77777777" w:rsidR="00DC3802" w:rsidRPr="0030161C" w:rsidRDefault="00DC3802" w:rsidP="00DA4973">
            <w:pPr>
              <w:rPr>
                <w:lang w:val="fr-FR"/>
              </w:rPr>
            </w:pPr>
          </w:p>
        </w:tc>
      </w:tr>
    </w:tbl>
    <w:p w14:paraId="75935B2D" w14:textId="77777777" w:rsidR="00DC3802" w:rsidRPr="0030161C" w:rsidRDefault="00DC3802" w:rsidP="00DC3802">
      <w:pPr>
        <w:rPr>
          <w:lang w:val="fr-FR"/>
        </w:rPr>
      </w:pPr>
    </w:p>
    <w:p w14:paraId="311DB32D" w14:textId="77777777" w:rsidR="007B73A9" w:rsidRPr="0030161C" w:rsidRDefault="007B73A9" w:rsidP="007B73A9">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B73A9" w:rsidRPr="0030161C" w14:paraId="47E5B5BF" w14:textId="77777777" w:rsidTr="001B2C38">
        <w:tc>
          <w:tcPr>
            <w:tcW w:w="6512" w:type="dxa"/>
          </w:tcPr>
          <w:p w14:paraId="5B6F997E" w14:textId="77777777" w:rsidR="00B3651F" w:rsidRPr="0030161C" w:rsidRDefault="001901A1">
            <w:pPr>
              <w:pStyle w:val="Sessiontwp"/>
              <w:rPr>
                <w:lang w:val="fr-FR"/>
              </w:rPr>
            </w:pPr>
            <w:r w:rsidRPr="0030161C">
              <w:rPr>
                <w:lang w:val="fr-FR"/>
              </w:rPr>
              <w:t>Comité technique</w:t>
            </w:r>
          </w:p>
          <w:p w14:paraId="63604FF0" w14:textId="77777777" w:rsidR="00B3651F" w:rsidRPr="0030161C" w:rsidRDefault="001901A1">
            <w:pPr>
              <w:pStyle w:val="Sessiontwpplacedate"/>
              <w:rPr>
                <w:lang w:val="fr-FR"/>
              </w:rPr>
            </w:pPr>
            <w:r w:rsidRPr="0030161C">
              <w:rPr>
                <w:lang w:val="fr-FR"/>
              </w:rPr>
              <w:t>Cinquante-neuvième session</w:t>
            </w:r>
          </w:p>
          <w:p w14:paraId="00E789E0" w14:textId="77777777" w:rsidR="00B3651F" w:rsidRPr="0030161C" w:rsidRDefault="001901A1">
            <w:pPr>
              <w:rPr>
                <w:lang w:val="fr-FR"/>
              </w:rPr>
            </w:pPr>
            <w:r w:rsidRPr="0030161C">
              <w:rPr>
                <w:lang w:val="fr-FR"/>
              </w:rPr>
              <w:t>Genève, 23 et 24 octobre 2023</w:t>
            </w:r>
          </w:p>
          <w:p w14:paraId="4DA10820" w14:textId="77777777" w:rsidR="007B73A9" w:rsidRPr="0030161C" w:rsidRDefault="007B73A9" w:rsidP="001B2C38">
            <w:pPr>
              <w:rPr>
                <w:lang w:val="fr-FR"/>
              </w:rPr>
            </w:pPr>
          </w:p>
          <w:p w14:paraId="35C1A4D8" w14:textId="77777777" w:rsidR="00B3651F" w:rsidRPr="0030161C" w:rsidRDefault="001901A1">
            <w:pPr>
              <w:pStyle w:val="Sessiontwp"/>
              <w:rPr>
                <w:lang w:val="fr-FR"/>
              </w:rPr>
            </w:pPr>
            <w:r w:rsidRPr="0030161C">
              <w:rPr>
                <w:lang w:val="fr-FR"/>
              </w:rPr>
              <w:t>Comité administratif et juridique</w:t>
            </w:r>
          </w:p>
          <w:p w14:paraId="60DDC304" w14:textId="77777777" w:rsidR="00B3651F" w:rsidRPr="0030161C" w:rsidRDefault="001901A1">
            <w:pPr>
              <w:pStyle w:val="Sessiontwp"/>
              <w:rPr>
                <w:b w:val="0"/>
                <w:lang w:val="fr-FR"/>
              </w:rPr>
            </w:pPr>
            <w:r w:rsidRPr="0030161C">
              <w:rPr>
                <w:b w:val="0"/>
                <w:lang w:val="fr-FR"/>
              </w:rPr>
              <w:t>Quatre-vingtième session</w:t>
            </w:r>
          </w:p>
          <w:p w14:paraId="368F5469" w14:textId="77777777" w:rsidR="00B3651F" w:rsidRPr="0030161C" w:rsidRDefault="001901A1">
            <w:pPr>
              <w:pStyle w:val="Sessiontwpplacedate"/>
              <w:rPr>
                <w:lang w:val="fr-FR"/>
              </w:rPr>
            </w:pPr>
            <w:r w:rsidRPr="0030161C">
              <w:rPr>
                <w:lang w:val="fr-FR"/>
              </w:rPr>
              <w:t>Genève, 25 octobre 2023</w:t>
            </w:r>
          </w:p>
        </w:tc>
        <w:tc>
          <w:tcPr>
            <w:tcW w:w="3127" w:type="dxa"/>
          </w:tcPr>
          <w:p w14:paraId="33A5FF76" w14:textId="77777777" w:rsidR="00B3651F" w:rsidRPr="0030161C" w:rsidRDefault="00F531DD">
            <w:pPr>
              <w:pStyle w:val="Doccode"/>
              <w:rPr>
                <w:lang w:val="fr-FR"/>
              </w:rPr>
            </w:pPr>
            <w:r w:rsidRPr="0030161C">
              <w:rPr>
                <w:lang w:val="fr-FR"/>
              </w:rPr>
              <w:t>SESSIONS/2023/5</w:t>
            </w:r>
          </w:p>
          <w:p w14:paraId="02461801" w14:textId="7E9C9C82" w:rsidR="00B3651F" w:rsidRPr="0030161C" w:rsidRDefault="001901A1">
            <w:pPr>
              <w:pStyle w:val="Docoriginal"/>
              <w:rPr>
                <w:lang w:val="fr-FR"/>
              </w:rPr>
            </w:pPr>
            <w:r w:rsidRPr="0030161C">
              <w:rPr>
                <w:lang w:val="fr-FR"/>
              </w:rPr>
              <w:t>Original :</w:t>
            </w:r>
            <w:r w:rsidRPr="0030161C">
              <w:rPr>
                <w:b w:val="0"/>
                <w:spacing w:val="0"/>
                <w:lang w:val="fr-FR"/>
              </w:rPr>
              <w:t xml:space="preserve">  </w:t>
            </w:r>
            <w:r w:rsidR="0030161C" w:rsidRPr="0030161C">
              <w:rPr>
                <w:b w:val="0"/>
                <w:spacing w:val="0"/>
                <w:lang w:val="fr-FR"/>
              </w:rPr>
              <w:t>a</w:t>
            </w:r>
            <w:r w:rsidRPr="0030161C">
              <w:rPr>
                <w:b w:val="0"/>
                <w:spacing w:val="0"/>
                <w:lang w:val="fr-FR"/>
              </w:rPr>
              <w:t>nglais</w:t>
            </w:r>
          </w:p>
          <w:p w14:paraId="56139270" w14:textId="77777777" w:rsidR="00B3651F" w:rsidRPr="0030161C" w:rsidRDefault="001901A1">
            <w:pPr>
              <w:pStyle w:val="Docoriginal"/>
              <w:rPr>
                <w:lang w:val="fr-FR"/>
              </w:rPr>
            </w:pPr>
            <w:r w:rsidRPr="0030161C">
              <w:rPr>
                <w:lang w:val="fr-FR"/>
              </w:rPr>
              <w:t xml:space="preserve">Date :  </w:t>
            </w:r>
            <w:r w:rsidR="00F94922" w:rsidRPr="0030161C">
              <w:rPr>
                <w:b w:val="0"/>
                <w:spacing w:val="0"/>
                <w:lang w:val="fr-FR"/>
              </w:rPr>
              <w:t xml:space="preserve">6 </w:t>
            </w:r>
            <w:r w:rsidR="00B50C2C" w:rsidRPr="0030161C">
              <w:rPr>
                <w:b w:val="0"/>
                <w:spacing w:val="0"/>
                <w:lang w:val="fr-FR"/>
              </w:rPr>
              <w:t xml:space="preserve">octobre </w:t>
            </w:r>
            <w:r w:rsidRPr="0030161C">
              <w:rPr>
                <w:b w:val="0"/>
                <w:spacing w:val="0"/>
                <w:lang w:val="fr-FR"/>
              </w:rPr>
              <w:t>2023</w:t>
            </w:r>
          </w:p>
        </w:tc>
      </w:tr>
    </w:tbl>
    <w:p w14:paraId="527A2FCF" w14:textId="77777777" w:rsidR="00B3651F" w:rsidRPr="0030161C" w:rsidRDefault="001901A1">
      <w:pPr>
        <w:pStyle w:val="Titleofdoc0"/>
        <w:rPr>
          <w:lang w:val="fr-FR"/>
        </w:rPr>
      </w:pPr>
      <w:r w:rsidRPr="0030161C">
        <w:rPr>
          <w:lang w:val="fr-FR"/>
        </w:rPr>
        <w:t>Techniques moléculaires</w:t>
      </w:r>
    </w:p>
    <w:p w14:paraId="348906B8" w14:textId="77777777" w:rsidR="00B3651F" w:rsidRPr="0030161C" w:rsidRDefault="001901A1">
      <w:pPr>
        <w:pStyle w:val="preparedby1"/>
        <w:jc w:val="left"/>
        <w:rPr>
          <w:lang w:val="fr-FR"/>
        </w:rPr>
      </w:pPr>
      <w:r w:rsidRPr="0030161C">
        <w:rPr>
          <w:lang w:val="fr-FR"/>
        </w:rPr>
        <w:t>Document préparé par le Bureau de l'Union</w:t>
      </w:r>
    </w:p>
    <w:p w14:paraId="351E122B" w14:textId="77777777" w:rsidR="0030161C" w:rsidRPr="0030161C" w:rsidRDefault="0030161C" w:rsidP="0030161C">
      <w:pPr>
        <w:pStyle w:val="Disclaimer"/>
        <w:rPr>
          <w:lang w:val="fr-FR"/>
        </w:rPr>
      </w:pPr>
      <w:bookmarkStart w:id="0" w:name="_Toc84413225"/>
      <w:bookmarkStart w:id="1" w:name="_Toc97892774"/>
      <w:bookmarkStart w:id="2" w:name="_Hlk144484295"/>
      <w:r w:rsidRPr="0030161C">
        <w:rPr>
          <w:lang w:val="fr-FR"/>
        </w:rPr>
        <w:t>Avertissement: le présent document ne représente pas les principes ou les orientations de l'UPOV.</w:t>
      </w:r>
      <w:bookmarkEnd w:id="2"/>
      <w:r w:rsidRPr="0030161C">
        <w:rPr>
          <w:lang w:val="fr-FR"/>
        </w:rPr>
        <w:br/>
      </w:r>
      <w:r w:rsidRPr="0030161C">
        <w:rPr>
          <w:lang w:val="fr-FR"/>
        </w:rPr>
        <w:br/>
        <w:t>Ce document a été généré à l'aide d'une traduction automatique dont l'exactitude ne peut être garantie. Par conséquent, le texte dans la langue originale est la seule version authentique.</w:t>
      </w:r>
    </w:p>
    <w:p w14:paraId="5B6C228C" w14:textId="77777777" w:rsidR="00B3651F" w:rsidRPr="0030161C" w:rsidRDefault="001901A1">
      <w:pPr>
        <w:keepNext/>
        <w:outlineLvl w:val="0"/>
        <w:rPr>
          <w:caps/>
          <w:snapToGrid w:val="0"/>
          <w:lang w:val="fr-FR" w:eastAsia="ja-JP"/>
        </w:rPr>
      </w:pPr>
      <w:bookmarkStart w:id="3" w:name="_Toc148112873"/>
      <w:r w:rsidRPr="0030161C">
        <w:rPr>
          <w:caps/>
          <w:snapToGrid w:val="0"/>
          <w:lang w:val="fr-FR" w:eastAsia="ja-JP"/>
        </w:rPr>
        <w:t>Resumé</w:t>
      </w:r>
      <w:bookmarkEnd w:id="3"/>
    </w:p>
    <w:p w14:paraId="5E763DC2" w14:textId="77777777" w:rsidR="005054F9" w:rsidRPr="0030161C" w:rsidRDefault="005054F9" w:rsidP="00E209FA">
      <w:pPr>
        <w:rPr>
          <w:lang w:val="fr-FR" w:eastAsia="ja-JP"/>
        </w:rPr>
      </w:pPr>
    </w:p>
    <w:p w14:paraId="792C20B4" w14:textId="77777777" w:rsidR="00B3651F" w:rsidRPr="0030161C" w:rsidRDefault="001901A1">
      <w:pPr>
        <w:rPr>
          <w:lang w:val="fr-FR"/>
        </w:rPr>
      </w:pPr>
      <w:r w:rsidRPr="0030161C">
        <w:rPr>
          <w:lang w:val="fr-FR"/>
        </w:rPr>
        <w:fldChar w:fldCharType="begin"/>
      </w:r>
      <w:r w:rsidRPr="0030161C">
        <w:rPr>
          <w:lang w:val="fr-FR"/>
        </w:rPr>
        <w:instrText xml:space="preserve"> AUTONUM  </w:instrText>
      </w:r>
      <w:r w:rsidRPr="0030161C">
        <w:rPr>
          <w:lang w:val="fr-FR"/>
        </w:rPr>
        <w:fldChar w:fldCharType="end"/>
      </w:r>
      <w:r w:rsidRPr="0030161C">
        <w:rPr>
          <w:lang w:val="fr-FR"/>
        </w:rPr>
        <w:tab/>
        <w:t xml:space="preserve">Le présent document a pour objet de rendre compte </w:t>
      </w:r>
      <w:r w:rsidR="002F1698" w:rsidRPr="0030161C">
        <w:rPr>
          <w:lang w:val="fr-FR"/>
        </w:rPr>
        <w:t xml:space="preserve">au TC et au CAJ des </w:t>
      </w:r>
      <w:r w:rsidRPr="0030161C">
        <w:rPr>
          <w:lang w:val="fr-FR"/>
        </w:rPr>
        <w:t xml:space="preserve">faits nouveaux concernant les techniques moléculaires, d'inviter </w:t>
      </w:r>
      <w:r w:rsidRPr="0030161C">
        <w:rPr>
          <w:rFonts w:cs="Arial"/>
          <w:lang w:val="fr-FR"/>
        </w:rPr>
        <w:t>l</w:t>
      </w:r>
      <w:r w:rsidRPr="0030161C">
        <w:rPr>
          <w:rFonts w:cs="Arial"/>
          <w:lang w:val="fr-FR"/>
        </w:rPr>
        <w:t xml:space="preserve">e </w:t>
      </w:r>
      <w:r w:rsidR="00F33641" w:rsidRPr="0030161C">
        <w:rPr>
          <w:rFonts w:cs="Arial"/>
          <w:lang w:val="fr-FR"/>
        </w:rPr>
        <w:t xml:space="preserve">TC </w:t>
      </w:r>
      <w:r w:rsidRPr="0030161C">
        <w:rPr>
          <w:rFonts w:cs="Arial"/>
          <w:lang w:val="fr-FR"/>
        </w:rPr>
        <w:t xml:space="preserve">à </w:t>
      </w:r>
      <w:r w:rsidR="00F33641" w:rsidRPr="0030161C">
        <w:rPr>
          <w:rFonts w:cs="Arial"/>
          <w:lang w:val="fr-FR"/>
        </w:rPr>
        <w:t xml:space="preserve">examiner des propositions relatives à la </w:t>
      </w:r>
      <w:r w:rsidRPr="0030161C">
        <w:rPr>
          <w:lang w:val="fr-FR"/>
        </w:rPr>
        <w:t xml:space="preserve">confidentialité des informations moléculaires </w:t>
      </w:r>
      <w:r w:rsidR="00F33641" w:rsidRPr="0030161C">
        <w:rPr>
          <w:lang w:val="fr-FR"/>
        </w:rPr>
        <w:t>et de noter qu'</w:t>
      </w:r>
      <w:r w:rsidR="00F33641" w:rsidRPr="0030161C">
        <w:rPr>
          <w:iCs/>
          <w:snapToGrid w:val="0"/>
          <w:lang w:val="fr-FR" w:eastAsia="ja-JP"/>
        </w:rPr>
        <w:t xml:space="preserve">une séance de discussion sur les techniques moléculaires dans le cadre de l'examen DHS sera organisée lors de la cinquante-neuvième session du TC.  </w:t>
      </w:r>
    </w:p>
    <w:p w14:paraId="2CEF8271" w14:textId="77777777" w:rsidR="00E209FA" w:rsidRPr="0030161C" w:rsidRDefault="00E209FA" w:rsidP="00E209FA">
      <w:pPr>
        <w:rPr>
          <w:lang w:val="fr-FR"/>
        </w:rPr>
      </w:pPr>
    </w:p>
    <w:p w14:paraId="7B6BF600" w14:textId="77777777" w:rsidR="00B3651F" w:rsidRPr="0030161C" w:rsidRDefault="001901A1">
      <w:pPr>
        <w:tabs>
          <w:tab w:val="left" w:pos="567"/>
          <w:tab w:val="left" w:pos="1134"/>
          <w:tab w:val="left" w:pos="5387"/>
          <w:tab w:val="left" w:pos="5954"/>
        </w:tabs>
        <w:rPr>
          <w:lang w:val="fr-FR"/>
        </w:rPr>
      </w:pPr>
      <w:r w:rsidRPr="0030161C">
        <w:rPr>
          <w:lang w:val="fr-FR"/>
        </w:rPr>
        <w:fldChar w:fldCharType="begin"/>
      </w:r>
      <w:r w:rsidRPr="0030161C">
        <w:rPr>
          <w:lang w:val="fr-FR"/>
        </w:rPr>
        <w:instrText xml:space="preserve"> AUTONUM  </w:instrText>
      </w:r>
      <w:r w:rsidRPr="0030161C">
        <w:rPr>
          <w:lang w:val="fr-FR"/>
        </w:rPr>
        <w:fldChar w:fldCharType="end"/>
      </w:r>
      <w:r w:rsidRPr="0030161C">
        <w:rPr>
          <w:lang w:val="fr-FR"/>
        </w:rPr>
        <w:tab/>
        <w:t xml:space="preserve">Le </w:t>
      </w:r>
      <w:r w:rsidR="00F626D8" w:rsidRPr="0030161C">
        <w:rPr>
          <w:lang w:val="fr-FR"/>
        </w:rPr>
        <w:t xml:space="preserve">TC </w:t>
      </w:r>
      <w:r w:rsidRPr="0030161C">
        <w:rPr>
          <w:lang w:val="fr-FR"/>
        </w:rPr>
        <w:t>est invité à :</w:t>
      </w:r>
    </w:p>
    <w:p w14:paraId="77C94CBE" w14:textId="77777777" w:rsidR="00E209FA" w:rsidRPr="0030161C" w:rsidRDefault="00E209FA" w:rsidP="00E209FA">
      <w:pPr>
        <w:keepNext/>
        <w:keepLines/>
        <w:tabs>
          <w:tab w:val="left" w:pos="567"/>
          <w:tab w:val="left" w:pos="1134"/>
          <w:tab w:val="left" w:pos="5387"/>
          <w:tab w:val="left" w:pos="5954"/>
        </w:tabs>
        <w:rPr>
          <w:lang w:val="fr-FR"/>
        </w:rPr>
      </w:pPr>
    </w:p>
    <w:p w14:paraId="009200D9" w14:textId="77777777" w:rsidR="00B3651F" w:rsidRPr="0030161C" w:rsidRDefault="001901A1">
      <w:pPr>
        <w:tabs>
          <w:tab w:val="left" w:pos="567"/>
          <w:tab w:val="left" w:pos="1134"/>
          <w:tab w:val="left" w:pos="5387"/>
          <w:tab w:val="left" w:pos="5954"/>
        </w:tabs>
        <w:rPr>
          <w:iCs/>
          <w:snapToGrid w:val="0"/>
          <w:lang w:val="fr-FR" w:eastAsia="ja-JP"/>
        </w:rPr>
      </w:pPr>
      <w:r w:rsidRPr="0030161C">
        <w:rPr>
          <w:iCs/>
          <w:snapToGrid w:val="0"/>
          <w:lang w:val="fr-FR" w:eastAsia="ja-JP"/>
        </w:rPr>
        <w:tab/>
        <w:t>(a)</w:t>
      </w:r>
      <w:r w:rsidRPr="0030161C">
        <w:rPr>
          <w:iCs/>
          <w:snapToGrid w:val="0"/>
          <w:lang w:val="fr-FR" w:eastAsia="ja-JP"/>
        </w:rPr>
        <w:tab/>
        <w:t xml:space="preserve">prendre note des politiques rapportées et des discussions sur la confidentialité des informations moléculaires lors des sessions du TWP en 2023 ; </w:t>
      </w:r>
    </w:p>
    <w:p w14:paraId="7C3746FE" w14:textId="77777777" w:rsidR="00F33641" w:rsidRPr="0030161C" w:rsidRDefault="00F33641" w:rsidP="00F33641">
      <w:pPr>
        <w:tabs>
          <w:tab w:val="left" w:pos="567"/>
          <w:tab w:val="left" w:pos="1134"/>
          <w:tab w:val="left" w:pos="5387"/>
        </w:tabs>
        <w:rPr>
          <w:iCs/>
          <w:snapToGrid w:val="0"/>
          <w:lang w:val="fr-FR" w:eastAsia="ja-JP"/>
        </w:rPr>
      </w:pPr>
    </w:p>
    <w:p w14:paraId="6FAB6706" w14:textId="77777777" w:rsidR="00B3651F" w:rsidRPr="0030161C" w:rsidRDefault="001901A1">
      <w:pPr>
        <w:tabs>
          <w:tab w:val="left" w:pos="567"/>
          <w:tab w:val="left" w:pos="1134"/>
          <w:tab w:val="left" w:pos="5387"/>
          <w:tab w:val="left" w:pos="5954"/>
        </w:tabs>
        <w:rPr>
          <w:iCs/>
          <w:snapToGrid w:val="0"/>
          <w:lang w:val="fr-FR" w:eastAsia="ja-JP"/>
        </w:rPr>
      </w:pPr>
      <w:r w:rsidRPr="0030161C">
        <w:rPr>
          <w:iCs/>
          <w:snapToGrid w:val="0"/>
          <w:lang w:val="fr-FR" w:eastAsia="ja-JP"/>
        </w:rPr>
        <w:tab/>
        <w:t>(b)</w:t>
      </w:r>
      <w:r w:rsidRPr="0030161C">
        <w:rPr>
          <w:iCs/>
          <w:snapToGrid w:val="0"/>
          <w:lang w:val="fr-FR" w:eastAsia="ja-JP"/>
        </w:rPr>
        <w:tab/>
        <w:t xml:space="preserve">examiner s'il convient de poursuivre l'invitation faite aux </w:t>
      </w:r>
      <w:r w:rsidRPr="0030161C">
        <w:rPr>
          <w:iCs/>
          <w:snapToGrid w:val="0"/>
          <w:lang w:val="fr-FR" w:eastAsia="ja-JP"/>
        </w:rPr>
        <w:t xml:space="preserve">membres et aux observateurs de rendre compte des politiques existantes en matière de confidentialité des informations moléculaires aux TWP, lors de leurs sessions en 2024 </w:t>
      </w:r>
      <w:r w:rsidRPr="0030161C">
        <w:rPr>
          <w:iCs/>
          <w:snapToGrid w:val="0"/>
          <w:lang w:val="fr-FR" w:eastAsia="ja-JP"/>
        </w:rPr>
        <w:t xml:space="preserve">; </w:t>
      </w:r>
    </w:p>
    <w:p w14:paraId="1D9C3403" w14:textId="77777777" w:rsidR="00F33641" w:rsidRPr="0030161C" w:rsidRDefault="00F33641" w:rsidP="00F33641">
      <w:pPr>
        <w:tabs>
          <w:tab w:val="left" w:pos="567"/>
          <w:tab w:val="left" w:pos="1134"/>
          <w:tab w:val="left" w:pos="5387"/>
          <w:tab w:val="left" w:pos="5954"/>
        </w:tabs>
        <w:rPr>
          <w:iCs/>
          <w:snapToGrid w:val="0"/>
          <w:lang w:val="fr-FR" w:eastAsia="ja-JP"/>
        </w:rPr>
      </w:pPr>
    </w:p>
    <w:p w14:paraId="0C84210C" w14:textId="3CD89CDD" w:rsidR="00B3651F" w:rsidRPr="0030161C" w:rsidRDefault="001901A1">
      <w:pPr>
        <w:tabs>
          <w:tab w:val="left" w:pos="567"/>
          <w:tab w:val="left" w:pos="1134"/>
          <w:tab w:val="left" w:pos="5387"/>
          <w:tab w:val="left" w:pos="5954"/>
        </w:tabs>
        <w:rPr>
          <w:iCs/>
          <w:snapToGrid w:val="0"/>
          <w:lang w:val="fr-FR" w:eastAsia="ja-JP"/>
        </w:rPr>
      </w:pPr>
      <w:r w:rsidRPr="0030161C">
        <w:rPr>
          <w:iCs/>
          <w:snapToGrid w:val="0"/>
          <w:lang w:val="fr-FR" w:eastAsia="ja-JP"/>
        </w:rPr>
        <w:tab/>
        <w:t>(c)</w:t>
      </w:r>
      <w:r w:rsidRPr="0030161C">
        <w:rPr>
          <w:iCs/>
          <w:snapToGrid w:val="0"/>
          <w:lang w:val="fr-FR" w:eastAsia="ja-JP"/>
        </w:rPr>
        <w:tab/>
      </w:r>
      <w:r w:rsidRPr="0030161C">
        <w:rPr>
          <w:iCs/>
          <w:snapToGrid w:val="0"/>
          <w:lang w:val="fr-FR" w:eastAsia="ja-JP"/>
        </w:rPr>
        <w:t xml:space="preserve">noter qu'une séance de discussion sur les techniques moléculaires dans l'examen DHS sera organisée lors de </w:t>
      </w:r>
      <w:r w:rsidR="00674731" w:rsidRPr="0030161C">
        <w:rPr>
          <w:iCs/>
          <w:snapToGrid w:val="0"/>
          <w:lang w:val="fr-FR" w:eastAsia="ja-JP"/>
        </w:rPr>
        <w:t xml:space="preserve">sa </w:t>
      </w:r>
      <w:r w:rsidRPr="0030161C">
        <w:rPr>
          <w:iCs/>
          <w:snapToGrid w:val="0"/>
          <w:lang w:val="fr-FR" w:eastAsia="ja-JP"/>
        </w:rPr>
        <w:t xml:space="preserve">cinquante-neuvième session </w:t>
      </w:r>
      <w:r w:rsidR="00F94922" w:rsidRPr="0030161C">
        <w:rPr>
          <w:iCs/>
          <w:snapToGrid w:val="0"/>
          <w:lang w:val="fr-FR" w:eastAsia="ja-JP"/>
        </w:rPr>
        <w:t>; et</w:t>
      </w:r>
    </w:p>
    <w:p w14:paraId="43F4878D" w14:textId="77777777" w:rsidR="00F94922" w:rsidRPr="0030161C" w:rsidRDefault="00F94922" w:rsidP="00F33641">
      <w:pPr>
        <w:tabs>
          <w:tab w:val="left" w:pos="567"/>
          <w:tab w:val="left" w:pos="1134"/>
          <w:tab w:val="left" w:pos="5387"/>
          <w:tab w:val="left" w:pos="5954"/>
        </w:tabs>
        <w:rPr>
          <w:iCs/>
          <w:snapToGrid w:val="0"/>
          <w:lang w:val="fr-FR" w:eastAsia="ja-JP"/>
        </w:rPr>
      </w:pPr>
    </w:p>
    <w:p w14:paraId="1700FCEC" w14:textId="68694DEF" w:rsidR="00B3651F" w:rsidRPr="0030161C" w:rsidRDefault="001901A1">
      <w:pPr>
        <w:tabs>
          <w:tab w:val="left" w:pos="567"/>
          <w:tab w:val="left" w:pos="1134"/>
          <w:tab w:val="left" w:pos="5387"/>
          <w:tab w:val="left" w:pos="5954"/>
        </w:tabs>
        <w:rPr>
          <w:iCs/>
          <w:snapToGrid w:val="0"/>
          <w:lang w:val="fr-FR" w:eastAsia="ja-JP"/>
        </w:rPr>
      </w:pPr>
      <w:r w:rsidRPr="0030161C">
        <w:rPr>
          <w:iCs/>
          <w:snapToGrid w:val="0"/>
          <w:lang w:val="fr-FR" w:eastAsia="ja-JP"/>
        </w:rPr>
        <w:tab/>
        <w:t>(d)</w:t>
      </w:r>
      <w:r w:rsidRPr="0030161C">
        <w:rPr>
          <w:iCs/>
          <w:snapToGrid w:val="0"/>
          <w:lang w:val="fr-FR" w:eastAsia="ja-JP"/>
        </w:rPr>
        <w:tab/>
      </w:r>
      <w:r w:rsidRPr="0030161C">
        <w:rPr>
          <w:lang w:val="fr-FR" w:eastAsia="ja-JP"/>
        </w:rPr>
        <w:t>prendre note des éléments d'information fournis dans le présent document.</w:t>
      </w:r>
    </w:p>
    <w:p w14:paraId="1BF3B544" w14:textId="77777777" w:rsidR="004611F7" w:rsidRPr="0030161C" w:rsidRDefault="004611F7" w:rsidP="00E209FA">
      <w:pPr>
        <w:tabs>
          <w:tab w:val="left" w:pos="567"/>
          <w:tab w:val="left" w:pos="1134"/>
          <w:tab w:val="left" w:pos="5387"/>
          <w:tab w:val="left" w:pos="5954"/>
        </w:tabs>
        <w:rPr>
          <w:lang w:val="fr-FR"/>
        </w:rPr>
      </w:pPr>
    </w:p>
    <w:p w14:paraId="6F7DA8C6" w14:textId="77777777" w:rsidR="00B3651F" w:rsidRPr="0030161C" w:rsidRDefault="001901A1">
      <w:pPr>
        <w:rPr>
          <w:lang w:val="fr-FR"/>
        </w:rPr>
      </w:pPr>
      <w:r w:rsidRPr="0030161C">
        <w:rPr>
          <w:lang w:val="fr-FR"/>
        </w:rPr>
        <w:fldChar w:fldCharType="begin"/>
      </w:r>
      <w:r w:rsidRPr="0030161C">
        <w:rPr>
          <w:lang w:val="fr-FR"/>
        </w:rPr>
        <w:instrText xml:space="preserve"> AUTONUM  </w:instrText>
      </w:r>
      <w:r w:rsidRPr="0030161C">
        <w:rPr>
          <w:lang w:val="fr-FR"/>
        </w:rPr>
        <w:fldChar w:fldCharType="end"/>
      </w:r>
      <w:r w:rsidRPr="0030161C">
        <w:rPr>
          <w:lang w:val="fr-FR"/>
        </w:rPr>
        <w:tab/>
        <w:t>Les abréviations suivantes sont utilisées dans ce document :</w:t>
      </w:r>
    </w:p>
    <w:p w14:paraId="42C0A12D" w14:textId="77777777" w:rsidR="00E209FA" w:rsidRPr="0030161C" w:rsidRDefault="00E209FA" w:rsidP="00E209FA">
      <w:pPr>
        <w:rPr>
          <w:lang w:val="fr-FR"/>
        </w:rPr>
      </w:pPr>
    </w:p>
    <w:p w14:paraId="72F40EE4" w14:textId="77777777" w:rsidR="00B3651F" w:rsidRPr="0030161C" w:rsidRDefault="001901A1">
      <w:pPr>
        <w:keepNext/>
        <w:tabs>
          <w:tab w:val="left" w:pos="567"/>
        </w:tabs>
        <w:ind w:left="1701" w:hanging="1134"/>
        <w:rPr>
          <w:sz w:val="18"/>
          <w:lang w:val="fr-FR"/>
        </w:rPr>
      </w:pPr>
      <w:r w:rsidRPr="0030161C">
        <w:rPr>
          <w:sz w:val="18"/>
          <w:lang w:val="fr-FR"/>
        </w:rPr>
        <w:t xml:space="preserve">BMT : </w:t>
      </w:r>
      <w:r w:rsidRPr="0030161C">
        <w:rPr>
          <w:sz w:val="18"/>
          <w:lang w:val="fr-FR"/>
        </w:rPr>
        <w:tab/>
        <w:t>Groupe de travail sur les techniques biochimiques et moléculaires, notamment les profils d'ADN (</w:t>
      </w:r>
      <w:r w:rsidRPr="0030161C">
        <w:rPr>
          <w:sz w:val="18"/>
          <w:lang w:val="fr-FR"/>
        </w:rPr>
        <w:t>ADN-Profiling)</w:t>
      </w:r>
    </w:p>
    <w:p w14:paraId="17EC2EFA" w14:textId="3BF0FE2A" w:rsidR="00B3651F" w:rsidRPr="0030161C" w:rsidRDefault="001901A1">
      <w:pPr>
        <w:keepNext/>
        <w:tabs>
          <w:tab w:val="left" w:pos="567"/>
        </w:tabs>
        <w:ind w:left="1701" w:hanging="1134"/>
        <w:rPr>
          <w:sz w:val="18"/>
          <w:lang w:val="fr-FR"/>
        </w:rPr>
      </w:pPr>
      <w:r w:rsidRPr="0030161C">
        <w:rPr>
          <w:sz w:val="18"/>
          <w:lang w:val="fr-FR"/>
        </w:rPr>
        <w:t xml:space="preserve">CAJ : </w:t>
      </w:r>
      <w:r w:rsidRPr="0030161C">
        <w:rPr>
          <w:sz w:val="18"/>
          <w:lang w:val="fr-FR"/>
        </w:rPr>
        <w:tab/>
        <w:t>Comité administratif et juridique</w:t>
      </w:r>
      <w:r w:rsidRPr="0030161C">
        <w:rPr>
          <w:sz w:val="18"/>
          <w:lang w:val="fr-FR"/>
        </w:rPr>
        <w:t xml:space="preserve"> </w:t>
      </w:r>
    </w:p>
    <w:p w14:paraId="5AD2E0E5" w14:textId="27536ED8" w:rsidR="00B3651F" w:rsidRPr="0030161C" w:rsidRDefault="001901A1">
      <w:pPr>
        <w:ind w:left="1701" w:hanging="1134"/>
        <w:rPr>
          <w:rFonts w:cs="Arial"/>
          <w:snapToGrid w:val="0"/>
          <w:sz w:val="18"/>
          <w:szCs w:val="24"/>
          <w:lang w:val="fr-FR" w:eastAsia="ja-JP"/>
        </w:rPr>
      </w:pPr>
      <w:r w:rsidRPr="0030161C">
        <w:rPr>
          <w:rFonts w:eastAsia="PMingLiU" w:cs="Arial"/>
          <w:snapToGrid w:val="0"/>
          <w:sz w:val="18"/>
          <w:szCs w:val="24"/>
          <w:lang w:val="fr-FR" w:eastAsia="fr-FR"/>
        </w:rPr>
        <w:t xml:space="preserve">ISTA : </w:t>
      </w:r>
      <w:r w:rsidRPr="0030161C">
        <w:rPr>
          <w:rFonts w:eastAsia="PMingLiU" w:cs="Arial"/>
          <w:snapToGrid w:val="0"/>
          <w:sz w:val="18"/>
          <w:szCs w:val="24"/>
          <w:lang w:val="fr-FR" w:eastAsia="fr-FR"/>
        </w:rPr>
        <w:tab/>
        <w:t xml:space="preserve">Association internationale d'essais de semences </w:t>
      </w:r>
    </w:p>
    <w:p w14:paraId="670A943F" w14:textId="77777777" w:rsidR="00B3651F" w:rsidRPr="0030161C" w:rsidRDefault="001901A1">
      <w:pPr>
        <w:ind w:left="1701" w:hanging="1134"/>
        <w:rPr>
          <w:rFonts w:eastAsia="PMingLiU" w:cs="Arial"/>
          <w:snapToGrid w:val="0"/>
          <w:sz w:val="18"/>
          <w:szCs w:val="24"/>
          <w:lang w:val="fr-FR"/>
        </w:rPr>
      </w:pPr>
      <w:r w:rsidRPr="0030161C">
        <w:rPr>
          <w:rFonts w:eastAsia="PMingLiU" w:cs="Arial"/>
          <w:sz w:val="18"/>
          <w:szCs w:val="24"/>
          <w:lang w:val="fr-FR"/>
        </w:rPr>
        <w:t>OCDE :</w:t>
      </w:r>
      <w:r w:rsidRPr="0030161C">
        <w:rPr>
          <w:rFonts w:eastAsia="PMingLiU" w:cs="Arial"/>
          <w:sz w:val="18"/>
          <w:szCs w:val="24"/>
          <w:lang w:val="fr-FR"/>
        </w:rPr>
        <w:tab/>
      </w:r>
      <w:r w:rsidRPr="0030161C">
        <w:rPr>
          <w:rFonts w:eastAsia="PMingLiU" w:cs="Arial"/>
          <w:snapToGrid w:val="0"/>
          <w:sz w:val="18"/>
          <w:szCs w:val="24"/>
          <w:lang w:val="fr-FR"/>
        </w:rPr>
        <w:t>Organisation de coopération et de développement économiques</w:t>
      </w:r>
    </w:p>
    <w:p w14:paraId="1BE613AC" w14:textId="46D0294A" w:rsidR="00B3651F" w:rsidRPr="0030161C" w:rsidRDefault="001901A1">
      <w:pPr>
        <w:keepNext/>
        <w:tabs>
          <w:tab w:val="left" w:pos="567"/>
        </w:tabs>
        <w:ind w:left="1701" w:hanging="1134"/>
        <w:rPr>
          <w:sz w:val="18"/>
          <w:lang w:val="fr-FR"/>
        </w:rPr>
      </w:pPr>
      <w:r w:rsidRPr="0030161C">
        <w:rPr>
          <w:sz w:val="18"/>
          <w:lang w:val="fr-FR"/>
        </w:rPr>
        <w:t>TC:</w:t>
      </w:r>
      <w:r w:rsidRPr="0030161C">
        <w:rPr>
          <w:sz w:val="18"/>
          <w:lang w:val="fr-FR"/>
        </w:rPr>
        <w:tab/>
        <w:t xml:space="preserve">Comité technique </w:t>
      </w:r>
    </w:p>
    <w:p w14:paraId="648D7EB4" w14:textId="3ACCC709" w:rsidR="00B3651F" w:rsidRPr="0030161C" w:rsidRDefault="001901A1">
      <w:pPr>
        <w:ind w:left="1701" w:hanging="1134"/>
        <w:rPr>
          <w:rFonts w:eastAsia="PMingLiU" w:cs="Arial"/>
          <w:sz w:val="18"/>
          <w:szCs w:val="24"/>
          <w:lang w:val="fr-FR"/>
        </w:rPr>
      </w:pPr>
      <w:r w:rsidRPr="0030161C">
        <w:rPr>
          <w:rFonts w:eastAsia="PMingLiU" w:cs="Arial"/>
          <w:sz w:val="18"/>
          <w:szCs w:val="24"/>
          <w:lang w:val="fr-FR"/>
        </w:rPr>
        <w:t>TWA:</w:t>
      </w:r>
      <w:r w:rsidRPr="0030161C">
        <w:rPr>
          <w:rFonts w:eastAsia="PMingLiU" w:cs="Arial"/>
          <w:sz w:val="18"/>
          <w:szCs w:val="24"/>
          <w:lang w:val="fr-FR"/>
        </w:rPr>
        <w:tab/>
        <w:t>Groupe de travail technique sur</w:t>
      </w:r>
      <w:r w:rsidRPr="0030161C">
        <w:rPr>
          <w:rFonts w:eastAsia="PMingLiU" w:cs="Arial"/>
          <w:sz w:val="18"/>
          <w:szCs w:val="24"/>
          <w:lang w:val="fr-FR"/>
        </w:rPr>
        <w:t xml:space="preserve"> les plantes agricoles </w:t>
      </w:r>
    </w:p>
    <w:p w14:paraId="2342BBB3" w14:textId="5CFC853A" w:rsidR="00B3651F" w:rsidRPr="0030161C" w:rsidRDefault="001901A1">
      <w:pPr>
        <w:ind w:left="1701" w:hanging="1134"/>
        <w:rPr>
          <w:rFonts w:eastAsia="PMingLiU" w:cs="Arial"/>
          <w:sz w:val="18"/>
          <w:szCs w:val="24"/>
          <w:lang w:val="fr-FR"/>
        </w:rPr>
      </w:pPr>
      <w:r w:rsidRPr="0030161C">
        <w:rPr>
          <w:rFonts w:eastAsia="PMingLiU" w:cs="Arial"/>
          <w:sz w:val="18"/>
          <w:szCs w:val="24"/>
          <w:lang w:val="fr-FR"/>
        </w:rPr>
        <w:t>TWF:</w:t>
      </w:r>
      <w:r w:rsidRPr="0030161C">
        <w:rPr>
          <w:rFonts w:eastAsia="PMingLiU" w:cs="Arial"/>
          <w:sz w:val="18"/>
          <w:szCs w:val="24"/>
          <w:lang w:val="fr-FR"/>
        </w:rPr>
        <w:tab/>
        <w:t xml:space="preserve">Groupe de travail technique sur les plantes fruitières </w:t>
      </w:r>
    </w:p>
    <w:p w14:paraId="5227829D" w14:textId="5E8FDD8E" w:rsidR="00B3651F" w:rsidRPr="0030161C" w:rsidRDefault="001901A1">
      <w:pPr>
        <w:ind w:left="1701" w:hanging="1134"/>
        <w:rPr>
          <w:rFonts w:eastAsia="PMingLiU" w:cs="Arial"/>
          <w:sz w:val="18"/>
          <w:szCs w:val="24"/>
          <w:lang w:val="fr-FR"/>
        </w:rPr>
      </w:pPr>
      <w:r w:rsidRPr="0030161C">
        <w:rPr>
          <w:rFonts w:eastAsia="PMingLiU" w:cs="Arial"/>
          <w:sz w:val="18"/>
          <w:szCs w:val="24"/>
          <w:lang w:val="fr-FR"/>
        </w:rPr>
        <w:t>TWM:</w:t>
      </w:r>
      <w:r w:rsidRPr="0030161C">
        <w:rPr>
          <w:rFonts w:eastAsia="PMingLiU" w:cs="Arial"/>
          <w:sz w:val="18"/>
          <w:szCs w:val="24"/>
          <w:lang w:val="fr-FR"/>
        </w:rPr>
        <w:tab/>
        <w:t xml:space="preserve">Groupe de travail technique sur les méthodes et techniques d'essai </w:t>
      </w:r>
    </w:p>
    <w:p w14:paraId="50CAB0E7" w14:textId="33244E8A" w:rsidR="00B3651F" w:rsidRPr="0030161C" w:rsidRDefault="001D1AB1">
      <w:pPr>
        <w:ind w:left="1701" w:hanging="1134"/>
        <w:rPr>
          <w:rFonts w:eastAsia="PMingLiU" w:cs="Arial"/>
          <w:sz w:val="18"/>
          <w:szCs w:val="24"/>
          <w:lang w:val="fr-FR"/>
        </w:rPr>
      </w:pPr>
      <w:r>
        <w:rPr>
          <w:rFonts w:eastAsia="PMingLiU" w:cs="Arial"/>
          <w:sz w:val="18"/>
          <w:szCs w:val="24"/>
          <w:lang w:val="fr-FR"/>
        </w:rPr>
        <w:t>TWO :</w:t>
      </w:r>
      <w:r w:rsidR="001901A1" w:rsidRPr="0030161C">
        <w:rPr>
          <w:rFonts w:eastAsia="PMingLiU" w:cs="Arial"/>
          <w:sz w:val="18"/>
          <w:szCs w:val="24"/>
          <w:lang w:val="fr-FR"/>
        </w:rPr>
        <w:tab/>
      </w:r>
      <w:r w:rsidR="001901A1" w:rsidRPr="0030161C">
        <w:rPr>
          <w:rFonts w:eastAsia="PMingLiU" w:cs="Arial"/>
          <w:sz w:val="18"/>
          <w:szCs w:val="24"/>
          <w:lang w:val="fr-FR"/>
        </w:rPr>
        <w:t xml:space="preserve">Groupe de travail technique sur les ornementales et les arbres forestiers </w:t>
      </w:r>
    </w:p>
    <w:p w14:paraId="0AF16F07" w14:textId="1062A6EC" w:rsidR="00B3651F" w:rsidRPr="0030161C" w:rsidRDefault="001901A1">
      <w:pPr>
        <w:ind w:left="1701" w:hanging="1134"/>
        <w:rPr>
          <w:rFonts w:eastAsia="PMingLiU" w:cs="Arial"/>
          <w:sz w:val="18"/>
          <w:szCs w:val="24"/>
          <w:lang w:val="fr-FR"/>
        </w:rPr>
      </w:pPr>
      <w:r w:rsidRPr="0030161C">
        <w:rPr>
          <w:rFonts w:eastAsia="PMingLiU" w:cs="Arial"/>
          <w:sz w:val="18"/>
          <w:szCs w:val="24"/>
          <w:lang w:val="fr-FR"/>
        </w:rPr>
        <w:t>TWP:</w:t>
      </w:r>
      <w:r w:rsidRPr="0030161C">
        <w:rPr>
          <w:rFonts w:eastAsia="PMingLiU" w:cs="Arial"/>
          <w:sz w:val="18"/>
          <w:szCs w:val="24"/>
          <w:lang w:val="fr-FR"/>
        </w:rPr>
        <w:tab/>
      </w:r>
      <w:r w:rsidR="001D1AB1">
        <w:rPr>
          <w:rFonts w:eastAsia="PMingLiU" w:cs="Arial"/>
          <w:sz w:val="18"/>
          <w:szCs w:val="24"/>
          <w:lang w:val="fr-FR"/>
        </w:rPr>
        <w:t>G</w:t>
      </w:r>
      <w:r w:rsidRPr="0030161C">
        <w:rPr>
          <w:rFonts w:eastAsia="PMingLiU" w:cs="Arial"/>
          <w:sz w:val="18"/>
          <w:szCs w:val="24"/>
          <w:lang w:val="fr-FR"/>
        </w:rPr>
        <w:t>roupes de travail techniques</w:t>
      </w:r>
    </w:p>
    <w:p w14:paraId="6B3D229A" w14:textId="6E3312E9" w:rsidR="00B3651F" w:rsidRPr="0030161C" w:rsidRDefault="001D1AB1">
      <w:pPr>
        <w:ind w:left="1701" w:hanging="1134"/>
        <w:rPr>
          <w:rFonts w:eastAsia="PMingLiU" w:cs="Arial"/>
          <w:sz w:val="18"/>
          <w:szCs w:val="24"/>
          <w:lang w:val="fr-FR"/>
        </w:rPr>
      </w:pPr>
      <w:r>
        <w:rPr>
          <w:rFonts w:eastAsia="PMingLiU" w:cs="Arial"/>
          <w:sz w:val="18"/>
          <w:szCs w:val="24"/>
          <w:lang w:val="fr-FR"/>
        </w:rPr>
        <w:t>TWV :</w:t>
      </w:r>
      <w:r w:rsidR="001901A1" w:rsidRPr="0030161C">
        <w:rPr>
          <w:rFonts w:eastAsia="PMingLiU" w:cs="Arial"/>
          <w:sz w:val="18"/>
          <w:szCs w:val="24"/>
          <w:lang w:val="fr-FR"/>
        </w:rPr>
        <w:tab/>
        <w:t xml:space="preserve">Groupe de travail technique sur les plantes potagères </w:t>
      </w:r>
    </w:p>
    <w:p w14:paraId="23655D97" w14:textId="77777777" w:rsidR="00E209FA" w:rsidRPr="0030161C" w:rsidRDefault="00E209FA" w:rsidP="00E209FA">
      <w:pPr>
        <w:jc w:val="left"/>
        <w:rPr>
          <w:rFonts w:cs="Arial"/>
          <w:snapToGrid w:val="0"/>
          <w:sz w:val="18"/>
          <w:szCs w:val="24"/>
          <w:lang w:val="fr-FR" w:eastAsia="ja-JP"/>
        </w:rPr>
      </w:pPr>
    </w:p>
    <w:p w14:paraId="63E0BC89" w14:textId="77777777" w:rsidR="0030161C" w:rsidRDefault="0030161C">
      <w:pPr>
        <w:jc w:val="left"/>
        <w:rPr>
          <w:lang w:val="fr-FR"/>
        </w:rPr>
      </w:pPr>
      <w:r>
        <w:rPr>
          <w:lang w:val="fr-FR"/>
        </w:rPr>
        <w:br w:type="page"/>
      </w:r>
    </w:p>
    <w:p w14:paraId="02C43636" w14:textId="2ADFB99E" w:rsidR="00B3651F" w:rsidRPr="0030161C" w:rsidRDefault="001901A1">
      <w:pPr>
        <w:keepNext/>
        <w:rPr>
          <w:lang w:val="fr-FR"/>
        </w:rPr>
      </w:pPr>
      <w:r w:rsidRPr="0030161C">
        <w:rPr>
          <w:lang w:val="fr-FR"/>
        </w:rPr>
        <w:lastRenderedPageBreak/>
        <w:fldChar w:fldCharType="begin"/>
      </w:r>
      <w:r w:rsidRPr="0030161C">
        <w:rPr>
          <w:lang w:val="fr-FR"/>
        </w:rPr>
        <w:instrText xml:space="preserve"> AUTONUM  </w:instrText>
      </w:r>
      <w:r w:rsidRPr="0030161C">
        <w:rPr>
          <w:lang w:val="fr-FR"/>
        </w:rPr>
        <w:fldChar w:fldCharType="end"/>
      </w:r>
      <w:r w:rsidRPr="0030161C">
        <w:rPr>
          <w:lang w:val="fr-FR"/>
        </w:rPr>
        <w:tab/>
        <w:t>La structure de ce document est la suiva</w:t>
      </w:r>
      <w:r w:rsidRPr="0030161C">
        <w:rPr>
          <w:lang w:val="fr-FR"/>
        </w:rPr>
        <w:t>nte :</w:t>
      </w:r>
    </w:p>
    <w:p w14:paraId="3C606C9D" w14:textId="77777777" w:rsidR="00E209FA" w:rsidRPr="0030161C" w:rsidRDefault="00E209FA" w:rsidP="00E209FA">
      <w:pPr>
        <w:keepNext/>
        <w:tabs>
          <w:tab w:val="right" w:leader="dot" w:pos="9639"/>
        </w:tabs>
        <w:spacing w:before="60"/>
        <w:ind w:right="1418"/>
        <w:jc w:val="left"/>
        <w:rPr>
          <w:rFonts w:cs="Arial"/>
          <w:caps/>
          <w:szCs w:val="18"/>
          <w:lang w:val="fr-FR"/>
        </w:rPr>
      </w:pPr>
    </w:p>
    <w:p w14:paraId="278A677C" w14:textId="05E94524" w:rsidR="0030161C" w:rsidRDefault="005820D2">
      <w:pPr>
        <w:pStyle w:val="TOC1"/>
        <w:rPr>
          <w:rFonts w:asciiTheme="minorHAnsi" w:eastAsiaTheme="minorEastAsia" w:hAnsiTheme="minorHAnsi" w:cstheme="minorBidi"/>
          <w:caps w:val="0"/>
          <w:noProof/>
          <w:sz w:val="22"/>
          <w:szCs w:val="22"/>
          <w:lang w:val="en-GB" w:eastAsia="en-GB"/>
        </w:rPr>
      </w:pPr>
      <w:r w:rsidRPr="0030161C">
        <w:rPr>
          <w:rFonts w:cs="Arial"/>
          <w:bCs/>
          <w:caps w:val="0"/>
          <w:sz w:val="18"/>
          <w:szCs w:val="18"/>
          <w:lang w:val="fr-FR"/>
        </w:rPr>
        <w:fldChar w:fldCharType="begin"/>
      </w:r>
      <w:r w:rsidR="001901A1" w:rsidRPr="0030161C">
        <w:rPr>
          <w:rFonts w:cs="Arial"/>
          <w:bCs/>
          <w:caps w:val="0"/>
          <w:sz w:val="18"/>
          <w:szCs w:val="18"/>
          <w:lang w:val="fr-FR"/>
        </w:rPr>
        <w:instrText xml:space="preserve"> TOC \o "1-3" \u </w:instrText>
      </w:r>
      <w:r w:rsidRPr="0030161C">
        <w:rPr>
          <w:rFonts w:cs="Arial"/>
          <w:bCs/>
          <w:caps w:val="0"/>
          <w:sz w:val="18"/>
          <w:szCs w:val="18"/>
          <w:lang w:val="fr-FR"/>
        </w:rPr>
        <w:fldChar w:fldCharType="separate"/>
      </w:r>
      <w:r w:rsidR="0030161C" w:rsidRPr="00170F2D">
        <w:rPr>
          <w:noProof/>
          <w:snapToGrid w:val="0"/>
          <w:lang w:val="fr-FR" w:eastAsia="ja-JP"/>
        </w:rPr>
        <w:t>Resumé</w:t>
      </w:r>
      <w:r w:rsidR="0030161C">
        <w:rPr>
          <w:noProof/>
        </w:rPr>
        <w:tab/>
      </w:r>
      <w:r w:rsidR="0030161C">
        <w:rPr>
          <w:noProof/>
        </w:rPr>
        <w:fldChar w:fldCharType="begin"/>
      </w:r>
      <w:r w:rsidR="0030161C">
        <w:rPr>
          <w:noProof/>
        </w:rPr>
        <w:instrText xml:space="preserve"> PAGEREF _Toc148112873 \h </w:instrText>
      </w:r>
      <w:r w:rsidR="0030161C">
        <w:rPr>
          <w:noProof/>
        </w:rPr>
      </w:r>
      <w:r w:rsidR="0030161C">
        <w:rPr>
          <w:noProof/>
        </w:rPr>
        <w:fldChar w:fldCharType="separate"/>
      </w:r>
      <w:r w:rsidR="0030161C">
        <w:rPr>
          <w:noProof/>
        </w:rPr>
        <w:t>1</w:t>
      </w:r>
      <w:r w:rsidR="0030161C">
        <w:rPr>
          <w:noProof/>
        </w:rPr>
        <w:fldChar w:fldCharType="end"/>
      </w:r>
    </w:p>
    <w:p w14:paraId="03B0D219" w14:textId="2A37DBD5" w:rsidR="0030161C" w:rsidRDefault="0030161C">
      <w:pPr>
        <w:pStyle w:val="TOC1"/>
        <w:rPr>
          <w:rFonts w:asciiTheme="minorHAnsi" w:eastAsiaTheme="minorEastAsia" w:hAnsiTheme="minorHAnsi" w:cstheme="minorBidi"/>
          <w:caps w:val="0"/>
          <w:noProof/>
          <w:sz w:val="22"/>
          <w:szCs w:val="22"/>
          <w:lang w:val="en-GB" w:eastAsia="en-GB"/>
        </w:rPr>
      </w:pPr>
      <w:r w:rsidRPr="00170F2D">
        <w:rPr>
          <w:noProof/>
          <w:lang w:val="fr-FR"/>
        </w:rPr>
        <w:t>Confidentialité et propriété des informations moléculaires</w:t>
      </w:r>
      <w:r>
        <w:rPr>
          <w:noProof/>
        </w:rPr>
        <w:tab/>
      </w:r>
      <w:r>
        <w:rPr>
          <w:noProof/>
        </w:rPr>
        <w:fldChar w:fldCharType="begin"/>
      </w:r>
      <w:r>
        <w:rPr>
          <w:noProof/>
        </w:rPr>
        <w:instrText xml:space="preserve"> PAGEREF _Toc148112874 \h </w:instrText>
      </w:r>
      <w:r>
        <w:rPr>
          <w:noProof/>
        </w:rPr>
      </w:r>
      <w:r>
        <w:rPr>
          <w:noProof/>
        </w:rPr>
        <w:fldChar w:fldCharType="separate"/>
      </w:r>
      <w:r>
        <w:rPr>
          <w:noProof/>
        </w:rPr>
        <w:t>2</w:t>
      </w:r>
      <w:r>
        <w:rPr>
          <w:noProof/>
        </w:rPr>
        <w:fldChar w:fldCharType="end"/>
      </w:r>
    </w:p>
    <w:p w14:paraId="3178B896" w14:textId="1B3D5406" w:rsidR="0030161C" w:rsidRDefault="0030161C">
      <w:pPr>
        <w:pStyle w:val="TOC2"/>
        <w:rPr>
          <w:rFonts w:asciiTheme="minorHAnsi" w:eastAsiaTheme="minorEastAsia" w:hAnsiTheme="minorHAnsi" w:cstheme="minorBidi"/>
          <w:noProof/>
          <w:sz w:val="22"/>
          <w:szCs w:val="22"/>
          <w:lang w:val="en-GB" w:eastAsia="en-GB"/>
        </w:rPr>
      </w:pPr>
      <w:r w:rsidRPr="00170F2D">
        <w:rPr>
          <w:noProof/>
          <w:lang w:val="fr-FR"/>
        </w:rPr>
        <w:t>Contexte</w:t>
      </w:r>
      <w:r>
        <w:rPr>
          <w:noProof/>
        </w:rPr>
        <w:tab/>
      </w:r>
      <w:r>
        <w:rPr>
          <w:noProof/>
        </w:rPr>
        <w:fldChar w:fldCharType="begin"/>
      </w:r>
      <w:r>
        <w:rPr>
          <w:noProof/>
        </w:rPr>
        <w:instrText xml:space="preserve"> PAGEREF _Toc148112875 \h </w:instrText>
      </w:r>
      <w:r>
        <w:rPr>
          <w:noProof/>
        </w:rPr>
      </w:r>
      <w:r>
        <w:rPr>
          <w:noProof/>
        </w:rPr>
        <w:fldChar w:fldCharType="separate"/>
      </w:r>
      <w:r>
        <w:rPr>
          <w:noProof/>
        </w:rPr>
        <w:t>2</w:t>
      </w:r>
      <w:r>
        <w:rPr>
          <w:noProof/>
        </w:rPr>
        <w:fldChar w:fldCharType="end"/>
      </w:r>
    </w:p>
    <w:p w14:paraId="7F4E3279" w14:textId="7E68A4AE" w:rsidR="0030161C" w:rsidRDefault="0030161C">
      <w:pPr>
        <w:pStyle w:val="TOC2"/>
        <w:rPr>
          <w:rFonts w:asciiTheme="minorHAnsi" w:eastAsiaTheme="minorEastAsia" w:hAnsiTheme="minorHAnsi" w:cstheme="minorBidi"/>
          <w:noProof/>
          <w:sz w:val="22"/>
          <w:szCs w:val="22"/>
          <w:lang w:val="en-GB" w:eastAsia="en-GB"/>
        </w:rPr>
      </w:pPr>
      <w:r w:rsidRPr="00170F2D">
        <w:rPr>
          <w:noProof/>
          <w:lang w:val="fr-FR" w:eastAsia="ja-JP"/>
        </w:rPr>
        <w:t>Développements au sein des groupes de travail techniques lors de leurs sessions en 2023</w:t>
      </w:r>
      <w:r>
        <w:rPr>
          <w:noProof/>
        </w:rPr>
        <w:tab/>
      </w:r>
      <w:r>
        <w:rPr>
          <w:noProof/>
        </w:rPr>
        <w:fldChar w:fldCharType="begin"/>
      </w:r>
      <w:r>
        <w:rPr>
          <w:noProof/>
        </w:rPr>
        <w:instrText xml:space="preserve"> PAGEREF _Toc148112876 \h </w:instrText>
      </w:r>
      <w:r>
        <w:rPr>
          <w:noProof/>
        </w:rPr>
      </w:r>
      <w:r>
        <w:rPr>
          <w:noProof/>
        </w:rPr>
        <w:fldChar w:fldCharType="separate"/>
      </w:r>
      <w:r>
        <w:rPr>
          <w:noProof/>
        </w:rPr>
        <w:t>2</w:t>
      </w:r>
      <w:r>
        <w:rPr>
          <w:noProof/>
        </w:rPr>
        <w:fldChar w:fldCharType="end"/>
      </w:r>
    </w:p>
    <w:p w14:paraId="75F33FF1" w14:textId="67748E5F" w:rsidR="0030161C" w:rsidRDefault="0030161C">
      <w:pPr>
        <w:pStyle w:val="TOC3"/>
        <w:rPr>
          <w:rFonts w:asciiTheme="minorHAnsi" w:eastAsiaTheme="minorEastAsia" w:hAnsiTheme="minorHAnsi" w:cstheme="minorBidi"/>
          <w:i w:val="0"/>
          <w:noProof/>
          <w:sz w:val="22"/>
          <w:szCs w:val="22"/>
          <w:lang w:val="en-GB" w:eastAsia="en-GB"/>
        </w:rPr>
      </w:pPr>
      <w:r w:rsidRPr="00170F2D">
        <w:rPr>
          <w:noProof/>
        </w:rPr>
        <w:t>Politiques existantes en matière de confidentialité des informations moléculaires</w:t>
      </w:r>
      <w:r>
        <w:rPr>
          <w:noProof/>
        </w:rPr>
        <w:tab/>
      </w:r>
      <w:r>
        <w:rPr>
          <w:noProof/>
        </w:rPr>
        <w:fldChar w:fldCharType="begin"/>
      </w:r>
      <w:r>
        <w:rPr>
          <w:noProof/>
        </w:rPr>
        <w:instrText xml:space="preserve"> PAGEREF _Toc148112877 \h </w:instrText>
      </w:r>
      <w:r>
        <w:rPr>
          <w:noProof/>
        </w:rPr>
      </w:r>
      <w:r>
        <w:rPr>
          <w:noProof/>
        </w:rPr>
        <w:fldChar w:fldCharType="separate"/>
      </w:r>
      <w:r>
        <w:rPr>
          <w:noProof/>
        </w:rPr>
        <w:t>2</w:t>
      </w:r>
      <w:r>
        <w:rPr>
          <w:noProof/>
        </w:rPr>
        <w:fldChar w:fldCharType="end"/>
      </w:r>
    </w:p>
    <w:p w14:paraId="0FE907A6" w14:textId="149527B5" w:rsidR="0030161C" w:rsidRDefault="0030161C">
      <w:pPr>
        <w:pStyle w:val="TOC3"/>
        <w:rPr>
          <w:rFonts w:asciiTheme="minorHAnsi" w:eastAsiaTheme="minorEastAsia" w:hAnsiTheme="minorHAnsi" w:cstheme="minorBidi"/>
          <w:i w:val="0"/>
          <w:noProof/>
          <w:sz w:val="22"/>
          <w:szCs w:val="22"/>
          <w:lang w:val="en-GB" w:eastAsia="en-GB"/>
        </w:rPr>
      </w:pPr>
      <w:r w:rsidRPr="00170F2D">
        <w:rPr>
          <w:noProof/>
        </w:rPr>
        <w:t>Présentation sur la confidentialité des informations moléculaires</w:t>
      </w:r>
      <w:r>
        <w:rPr>
          <w:noProof/>
        </w:rPr>
        <w:tab/>
      </w:r>
      <w:r>
        <w:rPr>
          <w:noProof/>
        </w:rPr>
        <w:fldChar w:fldCharType="begin"/>
      </w:r>
      <w:r>
        <w:rPr>
          <w:noProof/>
        </w:rPr>
        <w:instrText xml:space="preserve"> PAGEREF _Toc148112878 \h </w:instrText>
      </w:r>
      <w:r>
        <w:rPr>
          <w:noProof/>
        </w:rPr>
      </w:r>
      <w:r>
        <w:rPr>
          <w:noProof/>
        </w:rPr>
        <w:fldChar w:fldCharType="separate"/>
      </w:r>
      <w:r>
        <w:rPr>
          <w:noProof/>
        </w:rPr>
        <w:t>3</w:t>
      </w:r>
      <w:r>
        <w:rPr>
          <w:noProof/>
        </w:rPr>
        <w:fldChar w:fldCharType="end"/>
      </w:r>
    </w:p>
    <w:p w14:paraId="79D731F5" w14:textId="18C498CE" w:rsidR="0030161C" w:rsidRDefault="0030161C">
      <w:pPr>
        <w:pStyle w:val="TOC1"/>
        <w:rPr>
          <w:rFonts w:asciiTheme="minorHAnsi" w:eastAsiaTheme="minorEastAsia" w:hAnsiTheme="minorHAnsi" w:cstheme="minorBidi"/>
          <w:caps w:val="0"/>
          <w:noProof/>
          <w:sz w:val="22"/>
          <w:szCs w:val="22"/>
          <w:lang w:val="en-GB" w:eastAsia="en-GB"/>
        </w:rPr>
      </w:pPr>
      <w:r w:rsidRPr="00170F2D">
        <w:rPr>
          <w:noProof/>
          <w:snapToGrid w:val="0"/>
          <w:lang w:val="fr-FR" w:eastAsia="ja-JP"/>
        </w:rPr>
        <w:t>Discussion sur les techniques moléculaires dans l'examen DHS</w:t>
      </w:r>
      <w:r>
        <w:rPr>
          <w:noProof/>
        </w:rPr>
        <w:tab/>
      </w:r>
      <w:r>
        <w:rPr>
          <w:noProof/>
        </w:rPr>
        <w:fldChar w:fldCharType="begin"/>
      </w:r>
      <w:r>
        <w:rPr>
          <w:noProof/>
        </w:rPr>
        <w:instrText xml:space="preserve"> PAGEREF _Toc148112879 \h </w:instrText>
      </w:r>
      <w:r>
        <w:rPr>
          <w:noProof/>
        </w:rPr>
      </w:r>
      <w:r>
        <w:rPr>
          <w:noProof/>
        </w:rPr>
        <w:fldChar w:fldCharType="separate"/>
      </w:r>
      <w:r>
        <w:rPr>
          <w:noProof/>
        </w:rPr>
        <w:t>4</w:t>
      </w:r>
      <w:r>
        <w:rPr>
          <w:noProof/>
        </w:rPr>
        <w:fldChar w:fldCharType="end"/>
      </w:r>
    </w:p>
    <w:p w14:paraId="4FA48F38" w14:textId="53F54BB3" w:rsidR="0030161C" w:rsidRDefault="0030161C">
      <w:pPr>
        <w:pStyle w:val="TOC1"/>
        <w:rPr>
          <w:rFonts w:asciiTheme="minorHAnsi" w:eastAsiaTheme="minorEastAsia" w:hAnsiTheme="minorHAnsi" w:cstheme="minorBidi"/>
          <w:caps w:val="0"/>
          <w:noProof/>
          <w:sz w:val="22"/>
          <w:szCs w:val="22"/>
          <w:lang w:val="en-GB" w:eastAsia="en-GB"/>
        </w:rPr>
      </w:pPr>
      <w:r w:rsidRPr="00170F2D">
        <w:rPr>
          <w:noProof/>
          <w:snapToGrid w:val="0"/>
          <w:lang w:val="fr-FR" w:eastAsia="ja-JP"/>
        </w:rPr>
        <w:t>Questions pour information</w:t>
      </w:r>
      <w:r>
        <w:rPr>
          <w:noProof/>
        </w:rPr>
        <w:tab/>
      </w:r>
      <w:r>
        <w:rPr>
          <w:noProof/>
        </w:rPr>
        <w:fldChar w:fldCharType="begin"/>
      </w:r>
      <w:r>
        <w:rPr>
          <w:noProof/>
        </w:rPr>
        <w:instrText xml:space="preserve"> PAGEREF _Toc148112880 \h </w:instrText>
      </w:r>
      <w:r>
        <w:rPr>
          <w:noProof/>
        </w:rPr>
      </w:r>
      <w:r>
        <w:rPr>
          <w:noProof/>
        </w:rPr>
        <w:fldChar w:fldCharType="separate"/>
      </w:r>
      <w:r>
        <w:rPr>
          <w:noProof/>
        </w:rPr>
        <w:t>4</w:t>
      </w:r>
      <w:r>
        <w:rPr>
          <w:noProof/>
        </w:rPr>
        <w:fldChar w:fldCharType="end"/>
      </w:r>
    </w:p>
    <w:p w14:paraId="77174410" w14:textId="6CE2C707" w:rsidR="0030161C" w:rsidRDefault="0030161C">
      <w:pPr>
        <w:pStyle w:val="TOC2"/>
        <w:rPr>
          <w:rFonts w:asciiTheme="minorHAnsi" w:eastAsiaTheme="minorEastAsia" w:hAnsiTheme="minorHAnsi" w:cstheme="minorBidi"/>
          <w:noProof/>
          <w:sz w:val="22"/>
          <w:szCs w:val="22"/>
          <w:lang w:val="en-GB" w:eastAsia="en-GB"/>
        </w:rPr>
      </w:pPr>
      <w:r w:rsidRPr="00170F2D">
        <w:rPr>
          <w:noProof/>
          <w:lang w:val="fr-FR"/>
        </w:rPr>
        <w:t>Deuxième session du Groupe de travail technique sur les méthodes et techniques d'essai (TWM)</w:t>
      </w:r>
      <w:r>
        <w:rPr>
          <w:noProof/>
        </w:rPr>
        <w:tab/>
      </w:r>
      <w:r>
        <w:rPr>
          <w:noProof/>
        </w:rPr>
        <w:fldChar w:fldCharType="begin"/>
      </w:r>
      <w:r>
        <w:rPr>
          <w:noProof/>
        </w:rPr>
        <w:instrText xml:space="preserve"> PAGEREF _Toc148112881 \h </w:instrText>
      </w:r>
      <w:r>
        <w:rPr>
          <w:noProof/>
        </w:rPr>
      </w:r>
      <w:r>
        <w:rPr>
          <w:noProof/>
        </w:rPr>
        <w:fldChar w:fldCharType="separate"/>
      </w:r>
      <w:r>
        <w:rPr>
          <w:noProof/>
        </w:rPr>
        <w:t>4</w:t>
      </w:r>
      <w:r>
        <w:rPr>
          <w:noProof/>
        </w:rPr>
        <w:fldChar w:fldCharType="end"/>
      </w:r>
    </w:p>
    <w:p w14:paraId="529B0928" w14:textId="03B835C1" w:rsidR="0030161C" w:rsidRDefault="0030161C">
      <w:pPr>
        <w:pStyle w:val="TOC2"/>
        <w:rPr>
          <w:rFonts w:asciiTheme="minorHAnsi" w:eastAsiaTheme="minorEastAsia" w:hAnsiTheme="minorHAnsi" w:cstheme="minorBidi"/>
          <w:noProof/>
          <w:sz w:val="22"/>
          <w:szCs w:val="22"/>
          <w:lang w:val="en-GB" w:eastAsia="en-GB"/>
        </w:rPr>
      </w:pPr>
      <w:r w:rsidRPr="00170F2D">
        <w:rPr>
          <w:rFonts w:eastAsia="MS Mincho"/>
          <w:noProof/>
          <w:lang w:val="fr-FR"/>
        </w:rPr>
        <w:t>Exposés sur l'utilisation des techniques moléculaires dans l'examen DHS</w:t>
      </w:r>
      <w:r>
        <w:rPr>
          <w:noProof/>
        </w:rPr>
        <w:tab/>
      </w:r>
      <w:r>
        <w:rPr>
          <w:noProof/>
        </w:rPr>
        <w:fldChar w:fldCharType="begin"/>
      </w:r>
      <w:r>
        <w:rPr>
          <w:noProof/>
        </w:rPr>
        <w:instrText xml:space="preserve"> PAGEREF _Toc148112882 \h </w:instrText>
      </w:r>
      <w:r>
        <w:rPr>
          <w:noProof/>
        </w:rPr>
      </w:r>
      <w:r>
        <w:rPr>
          <w:noProof/>
        </w:rPr>
        <w:fldChar w:fldCharType="separate"/>
      </w:r>
      <w:r>
        <w:rPr>
          <w:noProof/>
        </w:rPr>
        <w:t>5</w:t>
      </w:r>
      <w:r>
        <w:rPr>
          <w:noProof/>
        </w:rPr>
        <w:fldChar w:fldCharType="end"/>
      </w:r>
    </w:p>
    <w:p w14:paraId="20BB1A60" w14:textId="040D8F49" w:rsidR="0030161C" w:rsidRDefault="0030161C">
      <w:pPr>
        <w:pStyle w:val="TOC2"/>
        <w:rPr>
          <w:rFonts w:asciiTheme="minorHAnsi" w:eastAsiaTheme="minorEastAsia" w:hAnsiTheme="minorHAnsi" w:cstheme="minorBidi"/>
          <w:noProof/>
          <w:sz w:val="22"/>
          <w:szCs w:val="22"/>
          <w:lang w:val="en-GB" w:eastAsia="en-GB"/>
        </w:rPr>
      </w:pPr>
      <w:r w:rsidRPr="00170F2D">
        <w:rPr>
          <w:noProof/>
          <w:lang w:val="fr-FR" w:eastAsia="ja-JP"/>
        </w:rPr>
        <w:t>Coopération entre les organisations internationales</w:t>
      </w:r>
      <w:r>
        <w:rPr>
          <w:noProof/>
        </w:rPr>
        <w:tab/>
      </w:r>
      <w:r>
        <w:rPr>
          <w:noProof/>
        </w:rPr>
        <w:fldChar w:fldCharType="begin"/>
      </w:r>
      <w:r>
        <w:rPr>
          <w:noProof/>
        </w:rPr>
        <w:instrText xml:space="preserve"> PAGEREF _Toc148112883 \h </w:instrText>
      </w:r>
      <w:r>
        <w:rPr>
          <w:noProof/>
        </w:rPr>
      </w:r>
      <w:r>
        <w:rPr>
          <w:noProof/>
        </w:rPr>
        <w:fldChar w:fldCharType="separate"/>
      </w:r>
      <w:r>
        <w:rPr>
          <w:noProof/>
        </w:rPr>
        <w:t>6</w:t>
      </w:r>
      <w:r>
        <w:rPr>
          <w:noProof/>
        </w:rPr>
        <w:fldChar w:fldCharType="end"/>
      </w:r>
    </w:p>
    <w:p w14:paraId="44EF9C5B" w14:textId="4D856D41" w:rsidR="0030161C" w:rsidRDefault="0030161C">
      <w:pPr>
        <w:pStyle w:val="TOC3"/>
        <w:rPr>
          <w:rFonts w:asciiTheme="minorHAnsi" w:eastAsiaTheme="minorEastAsia" w:hAnsiTheme="minorHAnsi" w:cstheme="minorBidi"/>
          <w:i w:val="0"/>
          <w:noProof/>
          <w:sz w:val="22"/>
          <w:szCs w:val="22"/>
          <w:lang w:val="en-GB" w:eastAsia="en-GB"/>
        </w:rPr>
      </w:pPr>
      <w:r w:rsidRPr="00170F2D">
        <w:rPr>
          <w:rFonts w:eastAsiaTheme="minorEastAsia"/>
          <w:noProof/>
        </w:rPr>
        <w:t>Inventaire de l'utilisation des techniques de marquage moléculaire, par culture</w:t>
      </w:r>
      <w:r>
        <w:rPr>
          <w:noProof/>
        </w:rPr>
        <w:tab/>
      </w:r>
      <w:r>
        <w:rPr>
          <w:noProof/>
        </w:rPr>
        <w:fldChar w:fldCharType="begin"/>
      </w:r>
      <w:r>
        <w:rPr>
          <w:noProof/>
        </w:rPr>
        <w:instrText xml:space="preserve"> PAGEREF _Toc148112884 \h </w:instrText>
      </w:r>
      <w:r>
        <w:rPr>
          <w:noProof/>
        </w:rPr>
      </w:r>
      <w:r>
        <w:rPr>
          <w:noProof/>
        </w:rPr>
        <w:fldChar w:fldCharType="separate"/>
      </w:r>
      <w:r>
        <w:rPr>
          <w:noProof/>
        </w:rPr>
        <w:t>6</w:t>
      </w:r>
      <w:r>
        <w:rPr>
          <w:noProof/>
        </w:rPr>
        <w:fldChar w:fldCharType="end"/>
      </w:r>
    </w:p>
    <w:p w14:paraId="374E33D7" w14:textId="52CBFAC4" w:rsidR="0030161C" w:rsidRDefault="0030161C">
      <w:pPr>
        <w:pStyle w:val="TOC3"/>
        <w:rPr>
          <w:rFonts w:asciiTheme="minorHAnsi" w:eastAsiaTheme="minorEastAsia" w:hAnsiTheme="minorHAnsi" w:cstheme="minorBidi"/>
          <w:i w:val="0"/>
          <w:noProof/>
          <w:sz w:val="22"/>
          <w:szCs w:val="22"/>
          <w:lang w:val="en-GB" w:eastAsia="en-GB"/>
        </w:rPr>
      </w:pPr>
      <w:r w:rsidRPr="00170F2D">
        <w:rPr>
          <w:rFonts w:eastAsiaTheme="minorEastAsia"/>
          <w:noProof/>
        </w:rPr>
        <w:t>Document commun expliquant les principales caractéristiques des systèmes de l'OCDE, de l'UPOV et de l'ISTA</w:t>
      </w:r>
      <w:r>
        <w:rPr>
          <w:noProof/>
        </w:rPr>
        <w:tab/>
      </w:r>
      <w:r>
        <w:rPr>
          <w:noProof/>
        </w:rPr>
        <w:fldChar w:fldCharType="begin"/>
      </w:r>
      <w:r>
        <w:rPr>
          <w:noProof/>
        </w:rPr>
        <w:instrText xml:space="preserve"> PAGEREF _Toc148112885 \h </w:instrText>
      </w:r>
      <w:r>
        <w:rPr>
          <w:noProof/>
        </w:rPr>
      </w:r>
      <w:r>
        <w:rPr>
          <w:noProof/>
        </w:rPr>
        <w:fldChar w:fldCharType="separate"/>
      </w:r>
      <w:r>
        <w:rPr>
          <w:noProof/>
        </w:rPr>
        <w:t>6</w:t>
      </w:r>
      <w:r>
        <w:rPr>
          <w:noProof/>
        </w:rPr>
        <w:fldChar w:fldCharType="end"/>
      </w:r>
    </w:p>
    <w:p w14:paraId="4E277E58" w14:textId="38C35E6D" w:rsidR="0030161C" w:rsidRDefault="0030161C">
      <w:pPr>
        <w:pStyle w:val="TOC3"/>
        <w:rPr>
          <w:rFonts w:asciiTheme="minorHAnsi" w:eastAsiaTheme="minorEastAsia" w:hAnsiTheme="minorHAnsi" w:cstheme="minorBidi"/>
          <w:i w:val="0"/>
          <w:noProof/>
          <w:sz w:val="22"/>
          <w:szCs w:val="22"/>
          <w:lang w:val="en-GB" w:eastAsia="en-GB"/>
        </w:rPr>
      </w:pPr>
      <w:r w:rsidRPr="00170F2D">
        <w:rPr>
          <w:noProof/>
        </w:rPr>
        <w:t>Listes d'initiatives conjointes possibles avec l'OCDE et l'ISTA dans le domaine des techniques moléculaires</w:t>
      </w:r>
      <w:r>
        <w:rPr>
          <w:noProof/>
        </w:rPr>
        <w:tab/>
      </w:r>
      <w:r>
        <w:rPr>
          <w:noProof/>
        </w:rPr>
        <w:fldChar w:fldCharType="begin"/>
      </w:r>
      <w:r>
        <w:rPr>
          <w:noProof/>
        </w:rPr>
        <w:instrText xml:space="preserve"> PAGEREF _Toc148112886 \h </w:instrText>
      </w:r>
      <w:r>
        <w:rPr>
          <w:noProof/>
        </w:rPr>
      </w:r>
      <w:r>
        <w:rPr>
          <w:noProof/>
        </w:rPr>
        <w:fldChar w:fldCharType="separate"/>
      </w:r>
      <w:r>
        <w:rPr>
          <w:noProof/>
        </w:rPr>
        <w:t>6</w:t>
      </w:r>
      <w:r>
        <w:rPr>
          <w:noProof/>
        </w:rPr>
        <w:fldChar w:fldCharType="end"/>
      </w:r>
    </w:p>
    <w:p w14:paraId="5C26DB7F" w14:textId="031DC74E" w:rsidR="0030161C" w:rsidRDefault="0030161C">
      <w:pPr>
        <w:pStyle w:val="TOC2"/>
        <w:rPr>
          <w:rFonts w:asciiTheme="minorHAnsi" w:eastAsiaTheme="minorEastAsia" w:hAnsiTheme="minorHAnsi" w:cstheme="minorBidi"/>
          <w:noProof/>
          <w:sz w:val="22"/>
          <w:szCs w:val="22"/>
          <w:lang w:val="en-GB" w:eastAsia="en-GB"/>
        </w:rPr>
      </w:pPr>
      <w:r w:rsidRPr="00170F2D">
        <w:rPr>
          <w:noProof/>
          <w:snapToGrid w:val="0"/>
          <w:lang w:val="fr-FR"/>
        </w:rPr>
        <w:t>Session visant à faciliter la coopération en matière d'utilisation des techniques moléculaires</w:t>
      </w:r>
      <w:r>
        <w:rPr>
          <w:noProof/>
        </w:rPr>
        <w:tab/>
      </w:r>
      <w:r>
        <w:rPr>
          <w:noProof/>
        </w:rPr>
        <w:fldChar w:fldCharType="begin"/>
      </w:r>
      <w:r>
        <w:rPr>
          <w:noProof/>
        </w:rPr>
        <w:instrText xml:space="preserve"> PAGEREF _Toc148112887 \h </w:instrText>
      </w:r>
      <w:r>
        <w:rPr>
          <w:noProof/>
        </w:rPr>
      </w:r>
      <w:r>
        <w:rPr>
          <w:noProof/>
        </w:rPr>
        <w:fldChar w:fldCharType="separate"/>
      </w:r>
      <w:r>
        <w:rPr>
          <w:noProof/>
        </w:rPr>
        <w:t>7</w:t>
      </w:r>
      <w:r>
        <w:rPr>
          <w:noProof/>
        </w:rPr>
        <w:fldChar w:fldCharType="end"/>
      </w:r>
    </w:p>
    <w:p w14:paraId="1BB560B4" w14:textId="59BF75B2" w:rsidR="00E209FA" w:rsidRPr="0030161C" w:rsidRDefault="005820D2" w:rsidP="005820D2">
      <w:pPr>
        <w:keepNext/>
        <w:tabs>
          <w:tab w:val="center" w:pos="4479"/>
        </w:tabs>
        <w:spacing w:before="120"/>
        <w:ind w:right="851"/>
        <w:contextualSpacing/>
        <w:jc w:val="left"/>
        <w:rPr>
          <w:snapToGrid w:val="0"/>
          <w:sz w:val="18"/>
          <w:szCs w:val="18"/>
          <w:lang w:val="fr-FR" w:eastAsia="ja-JP"/>
        </w:rPr>
      </w:pPr>
      <w:r w:rsidRPr="0030161C">
        <w:rPr>
          <w:rFonts w:cs="Arial"/>
          <w:bCs/>
          <w:caps/>
          <w:sz w:val="18"/>
          <w:szCs w:val="18"/>
          <w:lang w:val="fr-FR"/>
        </w:rPr>
        <w:fldChar w:fldCharType="end"/>
      </w:r>
    </w:p>
    <w:p w14:paraId="184B921D" w14:textId="77777777" w:rsidR="00E209FA" w:rsidRPr="0030161C" w:rsidRDefault="00E209FA" w:rsidP="00E209FA">
      <w:pPr>
        <w:rPr>
          <w:lang w:val="fr-FR"/>
        </w:rPr>
      </w:pPr>
    </w:p>
    <w:p w14:paraId="26312945" w14:textId="77777777" w:rsidR="00B3651F" w:rsidRPr="0030161C" w:rsidRDefault="001901A1">
      <w:pPr>
        <w:keepNext/>
        <w:outlineLvl w:val="0"/>
        <w:rPr>
          <w:caps/>
          <w:lang w:val="fr-FR"/>
        </w:rPr>
      </w:pPr>
      <w:bookmarkStart w:id="4" w:name="_Toc148112874"/>
      <w:r w:rsidRPr="0030161C">
        <w:rPr>
          <w:caps/>
          <w:lang w:val="fr-FR"/>
        </w:rPr>
        <w:t>Confidentialité et propriété des informations molécu</w:t>
      </w:r>
      <w:r w:rsidRPr="0030161C">
        <w:rPr>
          <w:caps/>
          <w:lang w:val="fr-FR"/>
        </w:rPr>
        <w:t>laires</w:t>
      </w:r>
      <w:bookmarkEnd w:id="0"/>
      <w:bookmarkEnd w:id="1"/>
      <w:bookmarkEnd w:id="4"/>
    </w:p>
    <w:p w14:paraId="47090186" w14:textId="77777777" w:rsidR="00E209FA" w:rsidRPr="0030161C" w:rsidRDefault="00E209FA" w:rsidP="00E209FA">
      <w:pPr>
        <w:rPr>
          <w:lang w:val="fr-FR"/>
        </w:rPr>
      </w:pPr>
    </w:p>
    <w:p w14:paraId="3F8C5A21" w14:textId="77777777" w:rsidR="00B3651F" w:rsidRPr="0030161C" w:rsidRDefault="001901A1">
      <w:pPr>
        <w:pStyle w:val="Heading2"/>
        <w:rPr>
          <w:lang w:val="fr-FR"/>
        </w:rPr>
      </w:pPr>
      <w:bookmarkStart w:id="5" w:name="_Toc148112875"/>
      <w:r w:rsidRPr="0030161C">
        <w:rPr>
          <w:lang w:val="fr-FR"/>
        </w:rPr>
        <w:t>Contexte</w:t>
      </w:r>
      <w:bookmarkEnd w:id="5"/>
    </w:p>
    <w:p w14:paraId="066A85C6" w14:textId="77777777" w:rsidR="00E209FA" w:rsidRPr="0030161C" w:rsidRDefault="00E209FA" w:rsidP="00E209FA">
      <w:pPr>
        <w:keepNext/>
        <w:keepLines/>
        <w:rPr>
          <w:lang w:val="fr-FR"/>
        </w:rPr>
      </w:pPr>
    </w:p>
    <w:p w14:paraId="3F9AB1FB" w14:textId="77777777" w:rsidR="00B3651F" w:rsidRPr="0030161C" w:rsidRDefault="001901A1">
      <w:pPr>
        <w:keepNext/>
        <w:keepLines/>
        <w:rPr>
          <w:lang w:val="fr-FR"/>
        </w:rPr>
      </w:pPr>
      <w:r w:rsidRPr="0030161C">
        <w:rPr>
          <w:lang w:val="fr-FR"/>
        </w:rPr>
        <w:fldChar w:fldCharType="begin"/>
      </w:r>
      <w:r w:rsidRPr="0030161C">
        <w:rPr>
          <w:lang w:val="fr-FR"/>
        </w:rPr>
        <w:instrText xml:space="preserve"> AUTONUM  </w:instrText>
      </w:r>
      <w:r w:rsidRPr="0030161C">
        <w:rPr>
          <w:lang w:val="fr-FR"/>
        </w:rPr>
        <w:fldChar w:fldCharType="end"/>
      </w:r>
      <w:r w:rsidRPr="0030161C">
        <w:rPr>
          <w:lang w:val="fr-FR"/>
        </w:rPr>
        <w:tab/>
        <w:t xml:space="preserve">Le TC, à sa </w:t>
      </w:r>
      <w:r w:rsidR="00DC3BDA" w:rsidRPr="0030161C">
        <w:rPr>
          <w:lang w:val="fr-FR"/>
        </w:rPr>
        <w:t xml:space="preserve">cinquante-huitième </w:t>
      </w:r>
      <w:r w:rsidRPr="0030161C">
        <w:rPr>
          <w:lang w:val="fr-FR"/>
        </w:rPr>
        <w:t>session</w:t>
      </w:r>
      <w:r w:rsidRPr="0030161C">
        <w:rPr>
          <w:vertAlign w:val="superscript"/>
          <w:lang w:val="fr-FR"/>
        </w:rPr>
        <w:footnoteReference w:id="2"/>
      </w:r>
      <w:r w:rsidRPr="0030161C">
        <w:rPr>
          <w:lang w:val="fr-FR"/>
        </w:rPr>
        <w:t xml:space="preserve"> , a pris note des discussions qui ont eu lieu aux TWP, lors de leurs sessions en 2022, sur le thème "Confidentialité &amp; propriété des informations moléculaires" (voir le document TC/58/31 "Compte rendu", paragraphes 48 à 50). </w:t>
      </w:r>
    </w:p>
    <w:p w14:paraId="2CAAB4BD" w14:textId="77777777" w:rsidR="00E209FA" w:rsidRPr="0030161C" w:rsidRDefault="00E209FA" w:rsidP="00E209FA">
      <w:pPr>
        <w:rPr>
          <w:lang w:val="fr-FR"/>
        </w:rPr>
      </w:pPr>
    </w:p>
    <w:p w14:paraId="2BE4863C" w14:textId="77777777" w:rsidR="00B3651F" w:rsidRPr="0030161C" w:rsidRDefault="001901A1">
      <w:pPr>
        <w:rPr>
          <w:lang w:val="fr-FR"/>
        </w:rPr>
      </w:pPr>
      <w:r w:rsidRPr="0030161C">
        <w:rPr>
          <w:lang w:val="fr-FR"/>
        </w:rPr>
        <w:fldChar w:fldCharType="begin"/>
      </w:r>
      <w:r w:rsidRPr="0030161C">
        <w:rPr>
          <w:lang w:val="fr-FR"/>
        </w:rPr>
        <w:instrText xml:space="preserve"> AUTONUM  </w:instrText>
      </w:r>
      <w:r w:rsidRPr="0030161C">
        <w:rPr>
          <w:lang w:val="fr-FR"/>
        </w:rPr>
        <w:fldChar w:fldCharType="end"/>
      </w:r>
      <w:r w:rsidRPr="0030161C">
        <w:rPr>
          <w:lang w:val="fr-FR"/>
        </w:rPr>
        <w:tab/>
        <w:t>Le TC a pris no</w:t>
      </w:r>
      <w:r w:rsidRPr="0030161C">
        <w:rPr>
          <w:lang w:val="fr-FR"/>
        </w:rPr>
        <w:t>te des préoccupations exprimées par les organisations d'obtenteurs lors du TWM, à savoir que les informations moléculaires fournies pour l'examen d'une variété ne doivent pas être communiquées à d'autres personnes en dehors du service qui a reçu la demande</w:t>
      </w:r>
      <w:r w:rsidRPr="0030161C">
        <w:rPr>
          <w:lang w:val="fr-FR"/>
        </w:rPr>
        <w:t xml:space="preserve"> sans l'autorisation de l'obtenteur.</w:t>
      </w:r>
    </w:p>
    <w:p w14:paraId="78FE81E3" w14:textId="77777777" w:rsidR="00E209FA" w:rsidRPr="0030161C" w:rsidRDefault="00E209FA" w:rsidP="00E209FA">
      <w:pPr>
        <w:rPr>
          <w:lang w:val="fr-FR"/>
        </w:rPr>
      </w:pPr>
    </w:p>
    <w:p w14:paraId="56C9D65A" w14:textId="77777777" w:rsidR="00B3651F" w:rsidRPr="0030161C" w:rsidRDefault="001901A1">
      <w:pPr>
        <w:rPr>
          <w:lang w:val="fr-FR"/>
        </w:rPr>
      </w:pPr>
      <w:r w:rsidRPr="0030161C">
        <w:rPr>
          <w:lang w:val="fr-FR"/>
        </w:rPr>
        <w:fldChar w:fldCharType="begin"/>
      </w:r>
      <w:r w:rsidRPr="0030161C">
        <w:rPr>
          <w:lang w:val="fr-FR"/>
        </w:rPr>
        <w:instrText xml:space="preserve"> AUTONUM  </w:instrText>
      </w:r>
      <w:r w:rsidRPr="0030161C">
        <w:rPr>
          <w:lang w:val="fr-FR"/>
        </w:rPr>
        <w:fldChar w:fldCharType="end"/>
      </w:r>
      <w:r w:rsidRPr="0030161C">
        <w:rPr>
          <w:lang w:val="fr-FR"/>
        </w:rPr>
        <w:tab/>
      </w:r>
      <w:r w:rsidRPr="0030161C">
        <w:rPr>
          <w:lang w:val="fr-FR"/>
        </w:rPr>
        <w:t>Le TC est convenu d'inviter les membres et les observateurs à rendre compte des politiques existantes en matière de confidentialité des informations moléculaires aux TWP, lors de leurs sessions en 2023.</w:t>
      </w:r>
    </w:p>
    <w:p w14:paraId="18312253" w14:textId="77777777" w:rsidR="00E074B7" w:rsidRPr="0030161C" w:rsidRDefault="00E074B7" w:rsidP="00E074B7">
      <w:pPr>
        <w:rPr>
          <w:lang w:val="fr-FR"/>
        </w:rPr>
      </w:pPr>
    </w:p>
    <w:p w14:paraId="2FFE85A6" w14:textId="282BD771" w:rsidR="00B3651F" w:rsidRPr="0030161C" w:rsidRDefault="001901A1">
      <w:pPr>
        <w:rPr>
          <w:lang w:val="fr-FR"/>
        </w:rPr>
      </w:pPr>
      <w:r w:rsidRPr="0030161C">
        <w:rPr>
          <w:lang w:val="fr-FR"/>
        </w:rPr>
        <w:fldChar w:fldCharType="begin"/>
      </w:r>
      <w:r w:rsidRPr="0030161C">
        <w:rPr>
          <w:lang w:val="fr-FR"/>
        </w:rPr>
        <w:instrText xml:space="preserve"> AUTONUM  </w:instrText>
      </w:r>
      <w:r w:rsidRPr="0030161C">
        <w:rPr>
          <w:lang w:val="fr-FR"/>
        </w:rPr>
        <w:fldChar w:fldCharType="end"/>
      </w:r>
      <w:r w:rsidRPr="0030161C">
        <w:rPr>
          <w:lang w:val="fr-FR"/>
        </w:rPr>
        <w:tab/>
        <w:t xml:space="preserve">Le document </w:t>
      </w:r>
      <w:r w:rsidR="000D771D" w:rsidRPr="0030161C">
        <w:rPr>
          <w:lang w:val="fr-FR"/>
        </w:rPr>
        <w:t xml:space="preserve">TC/58/7 </w:t>
      </w:r>
      <w:r w:rsidRPr="0030161C">
        <w:rPr>
          <w:lang w:val="fr-FR"/>
        </w:rPr>
        <w:t>"Techniques molécul</w:t>
      </w:r>
      <w:r w:rsidRPr="0030161C">
        <w:rPr>
          <w:lang w:val="fr-FR"/>
        </w:rPr>
        <w:t xml:space="preserve">aires" </w:t>
      </w:r>
      <w:r w:rsidRPr="0030161C">
        <w:rPr>
          <w:lang w:val="fr-FR"/>
        </w:rPr>
        <w:t>fournit de plus amples informations sur cette question.</w:t>
      </w:r>
    </w:p>
    <w:p w14:paraId="5259ED52" w14:textId="77777777" w:rsidR="00323E4E" w:rsidRPr="0030161C" w:rsidRDefault="00323E4E" w:rsidP="00E209FA">
      <w:pPr>
        <w:rPr>
          <w:lang w:val="fr-FR" w:eastAsia="ja-JP"/>
        </w:rPr>
      </w:pPr>
    </w:p>
    <w:p w14:paraId="5EF24F95" w14:textId="77777777" w:rsidR="00B3651F" w:rsidRPr="0030161C" w:rsidRDefault="001901A1">
      <w:pPr>
        <w:pStyle w:val="Heading2"/>
        <w:rPr>
          <w:lang w:val="fr-FR" w:eastAsia="ja-JP"/>
        </w:rPr>
      </w:pPr>
      <w:bookmarkStart w:id="6" w:name="_Toc148112876"/>
      <w:r w:rsidRPr="0030161C">
        <w:rPr>
          <w:lang w:val="fr-FR" w:eastAsia="ja-JP"/>
        </w:rPr>
        <w:t xml:space="preserve">Développements au sein des </w:t>
      </w:r>
      <w:r w:rsidR="00544EA5" w:rsidRPr="0030161C">
        <w:rPr>
          <w:lang w:val="fr-FR" w:eastAsia="ja-JP"/>
        </w:rPr>
        <w:t>groupes de travail techniques lors de leurs sessions en 2023</w:t>
      </w:r>
      <w:bookmarkEnd w:id="6"/>
    </w:p>
    <w:p w14:paraId="10E3FD72" w14:textId="77777777" w:rsidR="00323E4E" w:rsidRPr="0030161C" w:rsidRDefault="00323E4E" w:rsidP="00323E4E">
      <w:pPr>
        <w:jc w:val="left"/>
        <w:rPr>
          <w:lang w:val="fr-FR"/>
        </w:rPr>
      </w:pPr>
    </w:p>
    <w:p w14:paraId="157EAAA0" w14:textId="77777777" w:rsidR="00B3651F" w:rsidRPr="0030161C" w:rsidRDefault="001901A1">
      <w:pPr>
        <w:rPr>
          <w:lang w:val="fr-FR"/>
        </w:rPr>
      </w:pPr>
      <w:r w:rsidRPr="0030161C">
        <w:rPr>
          <w:lang w:val="fr-FR"/>
        </w:rPr>
        <w:fldChar w:fldCharType="begin"/>
      </w:r>
      <w:r w:rsidRPr="0030161C">
        <w:rPr>
          <w:lang w:val="fr-FR"/>
        </w:rPr>
        <w:instrText xml:space="preserve"> AUTONUM  </w:instrText>
      </w:r>
      <w:r w:rsidRPr="0030161C">
        <w:rPr>
          <w:lang w:val="fr-FR"/>
        </w:rPr>
        <w:fldChar w:fldCharType="end"/>
      </w:r>
      <w:r w:rsidRPr="0030161C">
        <w:rPr>
          <w:lang w:val="fr-FR"/>
        </w:rPr>
        <w:tab/>
      </w:r>
      <w:r w:rsidRPr="0030161C">
        <w:rPr>
          <w:lang w:val="fr-FR"/>
        </w:rPr>
        <w:t xml:space="preserve">Lors de leurs sessions en 2023, </w:t>
      </w:r>
      <w:r w:rsidRPr="0030161C">
        <w:rPr>
          <w:rFonts w:eastAsia="PMingLiU"/>
          <w:szCs w:val="24"/>
          <w:lang w:val="fr-FR"/>
        </w:rPr>
        <w:t>les TWV</w:t>
      </w:r>
      <w:r w:rsidRPr="0030161C">
        <w:rPr>
          <w:rFonts w:eastAsia="PMingLiU"/>
          <w:szCs w:val="24"/>
          <w:vertAlign w:val="superscript"/>
          <w:lang w:val="fr-FR"/>
        </w:rPr>
        <w:footnoteReference w:id="3"/>
      </w:r>
      <w:r w:rsidRPr="0030161C">
        <w:rPr>
          <w:rFonts w:eastAsia="PMingLiU"/>
          <w:szCs w:val="24"/>
          <w:lang w:val="fr-FR"/>
        </w:rPr>
        <w:t xml:space="preserve"> , TWA</w:t>
      </w:r>
      <w:r w:rsidRPr="0030161C">
        <w:rPr>
          <w:rFonts w:eastAsia="PMingLiU"/>
          <w:szCs w:val="24"/>
          <w:vertAlign w:val="superscript"/>
          <w:lang w:val="fr-FR"/>
        </w:rPr>
        <w:footnoteReference w:id="4"/>
      </w:r>
      <w:r w:rsidRPr="0030161C">
        <w:rPr>
          <w:rFonts w:eastAsia="PMingLiU"/>
          <w:szCs w:val="24"/>
          <w:lang w:val="fr-FR"/>
        </w:rPr>
        <w:t xml:space="preserve"> , TWO</w:t>
      </w:r>
      <w:r w:rsidRPr="0030161C">
        <w:rPr>
          <w:rFonts w:eastAsia="PMingLiU"/>
          <w:szCs w:val="24"/>
          <w:vertAlign w:val="superscript"/>
          <w:lang w:val="fr-FR"/>
        </w:rPr>
        <w:footnoteReference w:id="5"/>
      </w:r>
      <w:r w:rsidRPr="0030161C">
        <w:rPr>
          <w:rFonts w:eastAsia="PMingLiU"/>
          <w:szCs w:val="24"/>
          <w:lang w:val="fr-FR"/>
        </w:rPr>
        <w:t xml:space="preserve"> et </w:t>
      </w:r>
      <w:r w:rsidRPr="0030161C">
        <w:rPr>
          <w:color w:val="000000"/>
          <w:lang w:val="fr-FR"/>
        </w:rPr>
        <w:t>TWF</w:t>
      </w:r>
      <w:r w:rsidRPr="0030161C">
        <w:rPr>
          <w:color w:val="000000"/>
          <w:vertAlign w:val="superscript"/>
          <w:lang w:val="fr-FR"/>
        </w:rPr>
        <w:footnoteReference w:id="6"/>
      </w:r>
      <w:r w:rsidRPr="0030161C">
        <w:rPr>
          <w:lang w:val="fr-FR"/>
        </w:rPr>
        <w:t xml:space="preserve"> ont examiné le documen</w:t>
      </w:r>
      <w:r w:rsidRPr="0030161C">
        <w:rPr>
          <w:lang w:val="fr-FR"/>
        </w:rPr>
        <w:t xml:space="preserve">t TWP/7/3 </w:t>
      </w:r>
      <w:r w:rsidRPr="0030161C">
        <w:rPr>
          <w:lang w:val="fr-FR"/>
        </w:rPr>
        <w:t>"</w:t>
      </w:r>
      <w:proofErr w:type="spellStart"/>
      <w:r w:rsidRPr="0030161C">
        <w:rPr>
          <w:lang w:val="fr-FR"/>
        </w:rPr>
        <w:t>Molecular</w:t>
      </w:r>
      <w:proofErr w:type="spellEnd"/>
      <w:r w:rsidRPr="0030161C">
        <w:rPr>
          <w:lang w:val="fr-FR"/>
        </w:rPr>
        <w:t xml:space="preserve"> Techniques</w:t>
      </w:r>
      <w:r w:rsidRPr="0030161C">
        <w:rPr>
          <w:lang w:val="fr-FR"/>
        </w:rPr>
        <w:t>"</w:t>
      </w:r>
      <w:r w:rsidR="00F418A0" w:rsidRPr="0030161C">
        <w:rPr>
          <w:rStyle w:val="FootnoteReference"/>
          <w:lang w:val="fr-FR"/>
        </w:rPr>
        <w:footnoteReference w:id="7"/>
      </w:r>
      <w:r w:rsidRPr="0030161C">
        <w:rPr>
          <w:lang w:val="fr-FR"/>
        </w:rPr>
        <w:t xml:space="preserve"> .</w:t>
      </w:r>
    </w:p>
    <w:p w14:paraId="3764760C" w14:textId="77777777" w:rsidR="004E38BD" w:rsidRPr="0030161C" w:rsidRDefault="004E38BD" w:rsidP="004E38BD">
      <w:pPr>
        <w:rPr>
          <w:i/>
          <w:lang w:val="fr-FR"/>
        </w:rPr>
      </w:pPr>
    </w:p>
    <w:p w14:paraId="24116D7F" w14:textId="77777777" w:rsidR="00B3651F" w:rsidRPr="0030161C" w:rsidRDefault="001901A1">
      <w:pPr>
        <w:pStyle w:val="Heading3"/>
        <w:rPr>
          <w:lang w:val="fr-FR"/>
        </w:rPr>
      </w:pPr>
      <w:bookmarkStart w:id="7" w:name="_Toc148112877"/>
      <w:r w:rsidRPr="0030161C">
        <w:rPr>
          <w:lang w:val="fr-FR"/>
        </w:rPr>
        <w:lastRenderedPageBreak/>
        <w:t>Politiques existantes en matière de confidentialité des informations moléculaires</w:t>
      </w:r>
      <w:bookmarkEnd w:id="7"/>
    </w:p>
    <w:p w14:paraId="4BA27162" w14:textId="77777777" w:rsidR="004B3AFD" w:rsidRPr="0030161C" w:rsidRDefault="004B3AFD" w:rsidP="0030161C">
      <w:pPr>
        <w:keepNext/>
        <w:rPr>
          <w:lang w:val="fr-FR"/>
        </w:rPr>
      </w:pPr>
    </w:p>
    <w:p w14:paraId="31E4AB0C" w14:textId="77777777" w:rsidR="00B3651F" w:rsidRPr="0030161C" w:rsidRDefault="001901A1">
      <w:pPr>
        <w:rPr>
          <w:lang w:val="fr-FR"/>
        </w:rPr>
      </w:pPr>
      <w:r w:rsidRPr="0030161C">
        <w:rPr>
          <w:lang w:val="fr-FR"/>
        </w:rPr>
        <w:fldChar w:fldCharType="begin"/>
      </w:r>
      <w:r w:rsidRPr="0030161C">
        <w:rPr>
          <w:lang w:val="fr-FR"/>
        </w:rPr>
        <w:instrText xml:space="preserve"> AUTONUM  </w:instrText>
      </w:r>
      <w:r w:rsidRPr="0030161C">
        <w:rPr>
          <w:lang w:val="fr-FR"/>
        </w:rPr>
        <w:fldChar w:fldCharType="end"/>
      </w:r>
      <w:r w:rsidRPr="0030161C">
        <w:rPr>
          <w:lang w:val="fr-FR"/>
        </w:rPr>
        <w:tab/>
        <w:t xml:space="preserve">Le TWV, le TWA, le TWO et le TWF ont noté que les experts des membres et des observateurs des TWP avaient été </w:t>
      </w:r>
      <w:r w:rsidRPr="0030161C">
        <w:rPr>
          <w:lang w:val="fr-FR"/>
        </w:rPr>
        <w:t>invités à re</w:t>
      </w:r>
      <w:r w:rsidRPr="0030161C">
        <w:rPr>
          <w:lang w:val="fr-FR"/>
        </w:rPr>
        <w:t>ndre compte des politiques existantes en matière de confidentialité des informations moléculaires</w:t>
      </w:r>
      <w:r w:rsidR="00BA37F9" w:rsidRPr="0030161C">
        <w:rPr>
          <w:rStyle w:val="FootnoteReference"/>
          <w:lang w:val="fr-FR"/>
        </w:rPr>
        <w:footnoteReference w:id="8"/>
      </w:r>
      <w:r w:rsidRPr="0030161C">
        <w:rPr>
          <w:lang w:val="fr-FR"/>
        </w:rPr>
        <w:t xml:space="preserve"> .</w:t>
      </w:r>
    </w:p>
    <w:p w14:paraId="2C82BB29" w14:textId="77777777" w:rsidR="004E38BD" w:rsidRPr="0030161C" w:rsidRDefault="004E38BD" w:rsidP="004E38BD">
      <w:pPr>
        <w:rPr>
          <w:lang w:val="fr-FR"/>
        </w:rPr>
      </w:pPr>
    </w:p>
    <w:p w14:paraId="2E52D888" w14:textId="77777777" w:rsidR="00B3651F" w:rsidRPr="0030161C" w:rsidRDefault="001901A1">
      <w:pPr>
        <w:rPr>
          <w:lang w:val="fr-FR"/>
        </w:rPr>
      </w:pPr>
      <w:r w:rsidRPr="0030161C">
        <w:rPr>
          <w:lang w:val="fr-FR"/>
        </w:rPr>
        <w:fldChar w:fldCharType="begin"/>
      </w:r>
      <w:r w:rsidRPr="0030161C">
        <w:rPr>
          <w:lang w:val="fr-FR"/>
        </w:rPr>
        <w:instrText xml:space="preserve"> AUTONUM  </w:instrText>
      </w:r>
      <w:r w:rsidRPr="0030161C">
        <w:rPr>
          <w:lang w:val="fr-FR"/>
        </w:rPr>
        <w:fldChar w:fldCharType="end"/>
      </w:r>
      <w:r w:rsidRPr="0030161C">
        <w:rPr>
          <w:lang w:val="fr-FR"/>
        </w:rPr>
        <w:tab/>
        <w:t xml:space="preserve">Le TWV a noté que l'Office communautaire des </w:t>
      </w:r>
      <w:r w:rsidRPr="0030161C">
        <w:rPr>
          <w:lang w:val="fr-FR"/>
        </w:rPr>
        <w:t xml:space="preserve">variétés végétales (OCVV) de l'Union européenne a créé un groupe de travail chargé de réviser la </w:t>
      </w:r>
      <w:r w:rsidRPr="0030161C">
        <w:rPr>
          <w:lang w:val="fr-FR"/>
        </w:rPr>
        <w:t>politique de l'</w:t>
      </w:r>
      <w:r w:rsidRPr="0030161C">
        <w:rPr>
          <w:lang w:val="fr-FR"/>
        </w:rPr>
        <w:t xml:space="preserve">OCVV </w:t>
      </w:r>
      <w:r w:rsidRPr="0030161C">
        <w:rPr>
          <w:lang w:val="fr-FR"/>
        </w:rPr>
        <w:t xml:space="preserve">concernant le </w:t>
      </w:r>
      <w:r w:rsidRPr="0030161C">
        <w:rPr>
          <w:lang w:val="fr-FR"/>
        </w:rPr>
        <w:t xml:space="preserve">statut du matériel végétal utilisé aux fins de l'examen DHS. Le </w:t>
      </w:r>
      <w:r w:rsidRPr="0030161C">
        <w:rPr>
          <w:lang w:val="fr-FR"/>
        </w:rPr>
        <w:t xml:space="preserve">TWV a noté que l'Afrique du Sud et la Türkiye </w:t>
      </w:r>
      <w:r w:rsidRPr="0030161C">
        <w:rPr>
          <w:lang w:val="fr-FR"/>
        </w:rPr>
        <w:t xml:space="preserve">ont des </w:t>
      </w:r>
      <w:r w:rsidRPr="0030161C">
        <w:rPr>
          <w:lang w:val="fr-FR"/>
        </w:rPr>
        <w:t>politiq</w:t>
      </w:r>
      <w:r w:rsidRPr="0030161C">
        <w:rPr>
          <w:lang w:val="fr-FR"/>
        </w:rPr>
        <w:t xml:space="preserve">ues en matière de </w:t>
      </w:r>
      <w:r w:rsidRPr="0030161C">
        <w:rPr>
          <w:lang w:val="fr-FR"/>
        </w:rPr>
        <w:t xml:space="preserve">confidentialité des </w:t>
      </w:r>
      <w:r w:rsidRPr="0030161C">
        <w:rPr>
          <w:lang w:val="fr-FR"/>
        </w:rPr>
        <w:t xml:space="preserve">informations moléculaires </w:t>
      </w:r>
      <w:r w:rsidRPr="0030161C">
        <w:rPr>
          <w:lang w:val="fr-FR"/>
        </w:rPr>
        <w:t xml:space="preserve">et ne partagent les </w:t>
      </w:r>
      <w:r w:rsidRPr="0030161C">
        <w:rPr>
          <w:lang w:val="fr-FR"/>
        </w:rPr>
        <w:t xml:space="preserve">informations </w:t>
      </w:r>
      <w:r w:rsidRPr="0030161C">
        <w:rPr>
          <w:lang w:val="fr-FR"/>
        </w:rPr>
        <w:t>qu'</w:t>
      </w:r>
      <w:r w:rsidRPr="0030161C">
        <w:rPr>
          <w:lang w:val="fr-FR"/>
        </w:rPr>
        <w:t xml:space="preserve">avec le consentement des obtenteurs. </w:t>
      </w:r>
    </w:p>
    <w:p w14:paraId="3B499B92" w14:textId="77777777" w:rsidR="00317807" w:rsidRPr="0030161C" w:rsidRDefault="00317807" w:rsidP="00317807">
      <w:pPr>
        <w:rPr>
          <w:lang w:val="fr-FR"/>
        </w:rPr>
      </w:pPr>
    </w:p>
    <w:p w14:paraId="11E1F26E" w14:textId="77777777" w:rsidR="00B3651F" w:rsidRPr="0030161C" w:rsidRDefault="001901A1">
      <w:pPr>
        <w:rPr>
          <w:lang w:val="fr-FR"/>
        </w:rPr>
      </w:pPr>
      <w:r w:rsidRPr="0030161C">
        <w:rPr>
          <w:lang w:val="fr-FR"/>
        </w:rPr>
        <w:fldChar w:fldCharType="begin"/>
      </w:r>
      <w:r w:rsidRPr="0030161C">
        <w:rPr>
          <w:lang w:val="fr-FR"/>
        </w:rPr>
        <w:instrText xml:space="preserve"> AUTONUM  </w:instrText>
      </w:r>
      <w:r w:rsidRPr="0030161C">
        <w:rPr>
          <w:lang w:val="fr-FR"/>
        </w:rPr>
        <w:fldChar w:fldCharType="end"/>
      </w:r>
      <w:r w:rsidRPr="0030161C">
        <w:rPr>
          <w:lang w:val="fr-FR"/>
        </w:rPr>
        <w:tab/>
      </w:r>
      <w:r w:rsidRPr="0030161C">
        <w:rPr>
          <w:lang w:val="fr-FR"/>
        </w:rPr>
        <w:t xml:space="preserve">Le TWA a pris note du Compte rendu de l'Union européenne selon lequel un groupe de travail a été créé pour examiner les questions liées à la confidentialité des informations moléculaires.  </w:t>
      </w:r>
    </w:p>
    <w:p w14:paraId="241E16E4" w14:textId="77777777" w:rsidR="00317807" w:rsidRPr="0030161C" w:rsidRDefault="00317807" w:rsidP="00317807">
      <w:pPr>
        <w:rPr>
          <w:lang w:val="fr-FR"/>
        </w:rPr>
      </w:pPr>
    </w:p>
    <w:p w14:paraId="3160F3C2" w14:textId="77777777" w:rsidR="00B3651F" w:rsidRPr="0030161C" w:rsidRDefault="001901A1">
      <w:pPr>
        <w:rPr>
          <w:lang w:val="fr-FR"/>
        </w:rPr>
      </w:pPr>
      <w:r w:rsidRPr="0030161C">
        <w:rPr>
          <w:lang w:val="fr-FR"/>
        </w:rPr>
        <w:fldChar w:fldCharType="begin"/>
      </w:r>
      <w:r w:rsidRPr="0030161C">
        <w:rPr>
          <w:lang w:val="fr-FR"/>
        </w:rPr>
        <w:instrText xml:space="preserve"> AUTONUM  </w:instrText>
      </w:r>
      <w:r w:rsidRPr="0030161C">
        <w:rPr>
          <w:lang w:val="fr-FR"/>
        </w:rPr>
        <w:fldChar w:fldCharType="end"/>
      </w:r>
      <w:r w:rsidRPr="0030161C">
        <w:rPr>
          <w:lang w:val="fr-FR"/>
        </w:rPr>
        <w:tab/>
        <w:t>Le TWF a pris note du compte rendu de la France selo</w:t>
      </w:r>
      <w:r w:rsidRPr="0030161C">
        <w:rPr>
          <w:lang w:val="fr-FR"/>
        </w:rPr>
        <w:t>n lequel une politique sur la confidentialité et la propriété des informations moléculaires était en cours d'examen dans le cadre d'un projet régional (projet INVITE).</w:t>
      </w:r>
    </w:p>
    <w:p w14:paraId="6F742587" w14:textId="77777777" w:rsidR="004E38BD" w:rsidRPr="0030161C" w:rsidRDefault="004E38BD" w:rsidP="00323E4E">
      <w:pPr>
        <w:jc w:val="left"/>
        <w:rPr>
          <w:lang w:val="fr-FR"/>
        </w:rPr>
      </w:pPr>
    </w:p>
    <w:p w14:paraId="55D093E5" w14:textId="77777777" w:rsidR="00B3651F" w:rsidRPr="0030161C" w:rsidRDefault="001901A1">
      <w:pPr>
        <w:pStyle w:val="Heading3"/>
        <w:rPr>
          <w:lang w:val="fr-FR"/>
        </w:rPr>
      </w:pPr>
      <w:bookmarkStart w:id="8" w:name="_Toc148112878"/>
      <w:r w:rsidRPr="0030161C">
        <w:rPr>
          <w:lang w:val="fr-FR"/>
        </w:rPr>
        <w:t>Présentation sur la confidentialité des informations moléculaires</w:t>
      </w:r>
      <w:bookmarkEnd w:id="8"/>
    </w:p>
    <w:p w14:paraId="3DC688BD" w14:textId="77777777" w:rsidR="009F4F6F" w:rsidRPr="0030161C" w:rsidRDefault="009F4F6F" w:rsidP="004718D1">
      <w:pPr>
        <w:keepNext/>
        <w:jc w:val="left"/>
        <w:rPr>
          <w:lang w:val="fr-FR"/>
        </w:rPr>
      </w:pPr>
    </w:p>
    <w:p w14:paraId="04789E9E" w14:textId="77777777" w:rsidR="00B3651F" w:rsidRPr="0030161C" w:rsidRDefault="001901A1">
      <w:pPr>
        <w:keepNext/>
        <w:autoSpaceDE w:val="0"/>
        <w:autoSpaceDN w:val="0"/>
        <w:adjustRightInd w:val="0"/>
        <w:rPr>
          <w:lang w:val="fr-FR"/>
        </w:rPr>
      </w:pPr>
      <w:r w:rsidRPr="0030161C">
        <w:rPr>
          <w:lang w:val="fr-FR"/>
        </w:rPr>
        <w:fldChar w:fldCharType="begin"/>
      </w:r>
      <w:r w:rsidRPr="0030161C">
        <w:rPr>
          <w:lang w:val="fr-FR"/>
        </w:rPr>
        <w:instrText xml:space="preserve"> AUTONUM  </w:instrText>
      </w:r>
      <w:r w:rsidRPr="0030161C">
        <w:rPr>
          <w:lang w:val="fr-FR"/>
        </w:rPr>
        <w:fldChar w:fldCharType="end"/>
      </w:r>
      <w:r w:rsidRPr="0030161C">
        <w:rPr>
          <w:lang w:val="fr-FR"/>
        </w:rPr>
        <w:tab/>
        <w:t xml:space="preserve">Le </w:t>
      </w:r>
      <w:r w:rsidR="00ED449E" w:rsidRPr="0030161C">
        <w:rPr>
          <w:lang w:val="fr-FR"/>
        </w:rPr>
        <w:t xml:space="preserve">TWV, le TWA, le TWO et le TWF ont </w:t>
      </w:r>
      <w:r w:rsidRPr="0030161C">
        <w:rPr>
          <w:lang w:val="fr-FR"/>
        </w:rPr>
        <w:t xml:space="preserve">entendu un exposé sur la confidentialité des informations moléculaires présenté </w:t>
      </w:r>
      <w:r w:rsidRPr="0030161C">
        <w:rPr>
          <w:lang w:val="fr-FR"/>
        </w:rPr>
        <w:t xml:space="preserve">par un </w:t>
      </w:r>
      <w:r w:rsidRPr="0030161C">
        <w:rPr>
          <w:lang w:val="fr-FR"/>
        </w:rPr>
        <w:t xml:space="preserve">expert de </w:t>
      </w:r>
      <w:proofErr w:type="spellStart"/>
      <w:r w:rsidRPr="0030161C">
        <w:rPr>
          <w:lang w:val="fr-FR"/>
        </w:rPr>
        <w:t>CropLife</w:t>
      </w:r>
      <w:proofErr w:type="spellEnd"/>
      <w:r w:rsidRPr="0030161C">
        <w:rPr>
          <w:lang w:val="fr-FR"/>
        </w:rPr>
        <w:t xml:space="preserve"> International, au nom de l'Association africaine du commerce des semences (AFSTA), de l'Association des semences de l'As</w:t>
      </w:r>
      <w:r w:rsidRPr="0030161C">
        <w:rPr>
          <w:lang w:val="fr-FR"/>
        </w:rPr>
        <w:t xml:space="preserve">ie et du Pacifique (APSA), de la Communauté internationale des obtenteurs de plantes horticoles à reproduction asexuée (CIOPORA), de </w:t>
      </w:r>
      <w:proofErr w:type="spellStart"/>
      <w:r w:rsidRPr="0030161C">
        <w:rPr>
          <w:lang w:val="fr-FR"/>
        </w:rPr>
        <w:t>CropLife</w:t>
      </w:r>
      <w:proofErr w:type="spellEnd"/>
      <w:r w:rsidRPr="0030161C">
        <w:rPr>
          <w:lang w:val="fr-FR"/>
        </w:rPr>
        <w:t xml:space="preserve"> International, d'</w:t>
      </w:r>
      <w:proofErr w:type="spellStart"/>
      <w:r w:rsidRPr="0030161C">
        <w:rPr>
          <w:lang w:val="fr-FR"/>
        </w:rPr>
        <w:t>Euroseeds</w:t>
      </w:r>
      <w:proofErr w:type="spellEnd"/>
      <w:r w:rsidRPr="0030161C">
        <w:rPr>
          <w:lang w:val="fr-FR"/>
        </w:rPr>
        <w:t>, de la Fédération internationale des semences (ISF) et de l'Association des semences de</w:t>
      </w:r>
      <w:r w:rsidRPr="0030161C">
        <w:rPr>
          <w:lang w:val="fr-FR"/>
        </w:rPr>
        <w:t>s Amériques (SAA)</w:t>
      </w:r>
      <w:r w:rsidRPr="0030161C">
        <w:rPr>
          <w:lang w:val="fr-FR"/>
        </w:rPr>
        <w:t xml:space="preserve">. Une copie de la présentation figure dans les </w:t>
      </w:r>
      <w:r w:rsidR="00ED449E" w:rsidRPr="0030161C">
        <w:rPr>
          <w:lang w:val="fr-FR"/>
        </w:rPr>
        <w:t xml:space="preserve">documents </w:t>
      </w:r>
      <w:r w:rsidRPr="0030161C">
        <w:rPr>
          <w:rFonts w:eastAsia="MS Mincho"/>
          <w:lang w:val="fr-FR"/>
        </w:rPr>
        <w:t>TWV/57/25</w:t>
      </w:r>
      <w:r w:rsidR="00ED449E" w:rsidRPr="0030161C">
        <w:rPr>
          <w:rFonts w:eastAsia="MS Mincho"/>
          <w:lang w:val="fr-FR"/>
        </w:rPr>
        <w:t xml:space="preserve">, </w:t>
      </w:r>
      <w:r w:rsidR="00ED449E" w:rsidRPr="0030161C">
        <w:rPr>
          <w:rFonts w:eastAsia="MS Mincho" w:cs="Arial"/>
          <w:lang w:val="fr-FR"/>
        </w:rPr>
        <w:t xml:space="preserve">TWA/52/8, </w:t>
      </w:r>
      <w:r w:rsidR="00ED449E" w:rsidRPr="0030161C">
        <w:rPr>
          <w:lang w:val="fr-FR"/>
        </w:rPr>
        <w:t>TWO/55/4 et TWF/54/4</w:t>
      </w:r>
      <w:r w:rsidR="00F418A0" w:rsidRPr="0030161C">
        <w:rPr>
          <w:rStyle w:val="FootnoteReference"/>
          <w:lang w:val="fr-FR"/>
        </w:rPr>
        <w:footnoteReference w:id="9"/>
      </w:r>
      <w:r w:rsidRPr="0030161C">
        <w:rPr>
          <w:rFonts w:eastAsia="MS Mincho"/>
          <w:lang w:val="fr-FR"/>
        </w:rPr>
        <w:t xml:space="preserve"> .</w:t>
      </w:r>
    </w:p>
    <w:p w14:paraId="2269D2B7" w14:textId="77777777" w:rsidR="00323E4E" w:rsidRPr="0030161C" w:rsidRDefault="00323E4E" w:rsidP="00323E4E">
      <w:pPr>
        <w:rPr>
          <w:lang w:val="fr-FR"/>
        </w:rPr>
      </w:pPr>
    </w:p>
    <w:p w14:paraId="50C57C9D" w14:textId="77777777" w:rsidR="00B3651F" w:rsidRPr="0030161C" w:rsidRDefault="001901A1">
      <w:pPr>
        <w:keepLines/>
        <w:rPr>
          <w:lang w:val="fr-FR"/>
        </w:rPr>
      </w:pPr>
      <w:r w:rsidRPr="0030161C">
        <w:rPr>
          <w:lang w:val="fr-FR"/>
        </w:rPr>
        <w:fldChar w:fldCharType="begin"/>
      </w:r>
      <w:r w:rsidRPr="0030161C">
        <w:rPr>
          <w:lang w:val="fr-FR"/>
        </w:rPr>
        <w:instrText xml:space="preserve"> AUTONUM  </w:instrText>
      </w:r>
      <w:r w:rsidRPr="0030161C">
        <w:rPr>
          <w:lang w:val="fr-FR"/>
        </w:rPr>
        <w:fldChar w:fldCharType="end"/>
      </w:r>
      <w:r w:rsidRPr="0030161C">
        <w:rPr>
          <w:lang w:val="fr-FR"/>
        </w:rPr>
        <w:tab/>
      </w:r>
      <w:r w:rsidRPr="0030161C">
        <w:rPr>
          <w:lang w:val="fr-FR"/>
        </w:rPr>
        <w:t>Le TWV a pris note des propositions des organisations d'obtenteurs concernant les situations dans lesquelles elles souhaiteraient que l'autorisation de l'obtenteur soit ou non requise avant la divulgation d'informations moléculaires à des tiers.  Les parti</w:t>
      </w:r>
      <w:r w:rsidRPr="0030161C">
        <w:rPr>
          <w:lang w:val="fr-FR"/>
        </w:rPr>
        <w:t xml:space="preserve">cipants au TWV ont demandé des éclaircissements sur les situations particulières décrites dans les propositions, notamment sur la manière d'obtenir l'autorisation de constituer des bases de données partagées contenant des informations moléculaires. </w:t>
      </w:r>
    </w:p>
    <w:p w14:paraId="434A6D79" w14:textId="77777777" w:rsidR="00317807" w:rsidRPr="0030161C" w:rsidRDefault="00317807" w:rsidP="00317807">
      <w:pPr>
        <w:rPr>
          <w:lang w:val="fr-FR"/>
        </w:rPr>
      </w:pPr>
    </w:p>
    <w:p w14:paraId="19569E04" w14:textId="34F4DC40" w:rsidR="00B3651F" w:rsidRPr="0030161C" w:rsidRDefault="001901A1">
      <w:pPr>
        <w:rPr>
          <w:lang w:val="fr-FR"/>
        </w:rPr>
      </w:pPr>
      <w:r w:rsidRPr="0030161C">
        <w:rPr>
          <w:lang w:val="fr-FR"/>
        </w:rPr>
        <w:fldChar w:fldCharType="begin"/>
      </w:r>
      <w:r w:rsidRPr="0030161C">
        <w:rPr>
          <w:lang w:val="fr-FR"/>
        </w:rPr>
        <w:instrText xml:space="preserve"> AUTO</w:instrText>
      </w:r>
      <w:r w:rsidRPr="0030161C">
        <w:rPr>
          <w:lang w:val="fr-FR"/>
        </w:rPr>
        <w:instrText xml:space="preserve">NUM  </w:instrText>
      </w:r>
      <w:r w:rsidRPr="0030161C">
        <w:rPr>
          <w:lang w:val="fr-FR"/>
        </w:rPr>
        <w:fldChar w:fldCharType="end"/>
      </w:r>
      <w:r w:rsidRPr="0030161C">
        <w:rPr>
          <w:lang w:val="fr-FR"/>
        </w:rPr>
        <w:tab/>
        <w:t xml:space="preserve">Le TWO a examiné les situations proposées dans lesquelles l'autorisation de l'obtenteur serait ou non requise en ce qui concerne les informations moléculaires.  Le TWO est convenu d'inviter les </w:t>
      </w:r>
      <w:r w:rsidRPr="0030161C">
        <w:rPr>
          <w:lang w:val="fr-FR"/>
        </w:rPr>
        <w:t>organisations d'</w:t>
      </w:r>
      <w:r w:rsidRPr="0030161C">
        <w:rPr>
          <w:lang w:val="fr-FR"/>
        </w:rPr>
        <w:t xml:space="preserve">obtenteurs </w:t>
      </w:r>
      <w:r w:rsidRPr="0030161C">
        <w:rPr>
          <w:lang w:val="fr-FR"/>
        </w:rPr>
        <w:t xml:space="preserve">à envisager de simplifier </w:t>
      </w:r>
      <w:r w:rsidRPr="0030161C">
        <w:rPr>
          <w:lang w:val="fr-FR"/>
        </w:rPr>
        <w:t xml:space="preserve">les propositions et à </w:t>
      </w:r>
      <w:r w:rsidRPr="0030161C">
        <w:rPr>
          <w:lang w:val="fr-FR"/>
        </w:rPr>
        <w:t>préciser les situations dans lesquelles il serait préjudiciable à l'obtenteur de divulguer des informations moléculaires relatives à une variété protégée.</w:t>
      </w:r>
    </w:p>
    <w:p w14:paraId="2AF8B7E0" w14:textId="77777777" w:rsidR="00317807" w:rsidRPr="0030161C" w:rsidRDefault="00317807" w:rsidP="00317807">
      <w:pPr>
        <w:rPr>
          <w:lang w:val="fr-FR"/>
        </w:rPr>
      </w:pPr>
    </w:p>
    <w:p w14:paraId="22B2DD99" w14:textId="77777777" w:rsidR="00B3651F" w:rsidRPr="0030161C" w:rsidRDefault="001901A1">
      <w:pPr>
        <w:rPr>
          <w:lang w:val="fr-FR"/>
        </w:rPr>
      </w:pPr>
      <w:r w:rsidRPr="0030161C">
        <w:rPr>
          <w:lang w:val="fr-FR"/>
        </w:rPr>
        <w:fldChar w:fldCharType="begin"/>
      </w:r>
      <w:r w:rsidRPr="0030161C">
        <w:rPr>
          <w:lang w:val="fr-FR"/>
        </w:rPr>
        <w:instrText xml:space="preserve"> AUTONUM  </w:instrText>
      </w:r>
      <w:r w:rsidRPr="0030161C">
        <w:rPr>
          <w:lang w:val="fr-FR"/>
        </w:rPr>
        <w:fldChar w:fldCharType="end"/>
      </w:r>
      <w:r w:rsidRPr="0030161C">
        <w:rPr>
          <w:lang w:val="fr-FR"/>
        </w:rPr>
        <w:tab/>
        <w:t>Le TWF a demandé des éclaircissements sur les situations décrites</w:t>
      </w:r>
      <w:r w:rsidRPr="0030161C">
        <w:rPr>
          <w:lang w:val="fr-FR"/>
        </w:rPr>
        <w:t xml:space="preserve"> dans l'exposé et a pris note des préoccupations particulières des organisations d'obtenteurs en ce qui concerne la divulgation des informations moléculaires des lignées parentales des variétés hybrides.  Le TWF a noté que les organisations d'obtenteurs on</w:t>
      </w:r>
      <w:r w:rsidRPr="0030161C">
        <w:rPr>
          <w:lang w:val="fr-FR"/>
        </w:rPr>
        <w:t>t encouragé leurs membres à fournir des informations sur leur politique en matière de confidentialité des informations moléculaires.</w:t>
      </w:r>
    </w:p>
    <w:p w14:paraId="42EC0C86" w14:textId="77777777" w:rsidR="009F4F6F" w:rsidRPr="0030161C" w:rsidRDefault="009F4F6F" w:rsidP="00E209FA">
      <w:pPr>
        <w:rPr>
          <w:lang w:val="fr-FR" w:eastAsia="ja-JP"/>
        </w:rPr>
      </w:pPr>
    </w:p>
    <w:bookmarkStart w:id="9" w:name="_Toc460313637"/>
    <w:p w14:paraId="74A957A1" w14:textId="77777777" w:rsidR="00B3651F" w:rsidRPr="0030161C" w:rsidRDefault="001901A1">
      <w:pPr>
        <w:tabs>
          <w:tab w:val="left" w:pos="5387"/>
        </w:tabs>
        <w:ind w:left="4820"/>
        <w:rPr>
          <w:i/>
          <w:snapToGrid w:val="0"/>
          <w:lang w:val="fr-FR" w:eastAsia="ja-JP"/>
        </w:rPr>
      </w:pPr>
      <w:r w:rsidRPr="0030161C">
        <w:rPr>
          <w:i/>
          <w:snapToGrid w:val="0"/>
          <w:lang w:val="fr-FR" w:eastAsia="ja-JP"/>
        </w:rPr>
        <w:fldChar w:fldCharType="begin"/>
      </w:r>
      <w:r w:rsidRPr="0030161C">
        <w:rPr>
          <w:i/>
          <w:snapToGrid w:val="0"/>
          <w:lang w:val="fr-FR" w:eastAsia="ja-JP"/>
        </w:rPr>
        <w:instrText xml:space="preserve"> AUTONUM  </w:instrText>
      </w:r>
      <w:r w:rsidRPr="0030161C">
        <w:rPr>
          <w:i/>
          <w:snapToGrid w:val="0"/>
          <w:lang w:val="fr-FR" w:eastAsia="ja-JP"/>
        </w:rPr>
        <w:fldChar w:fldCharType="end"/>
      </w:r>
      <w:r w:rsidRPr="0030161C">
        <w:rPr>
          <w:i/>
          <w:snapToGrid w:val="0"/>
          <w:lang w:val="fr-FR" w:eastAsia="ja-JP"/>
        </w:rPr>
        <w:tab/>
      </w:r>
      <w:r w:rsidR="00D60967" w:rsidRPr="0030161C">
        <w:rPr>
          <w:i/>
          <w:snapToGrid w:val="0"/>
          <w:lang w:val="fr-FR" w:eastAsia="ja-JP"/>
        </w:rPr>
        <w:t xml:space="preserve">Le TC est invité à </w:t>
      </w:r>
      <w:r w:rsidR="00A830D8" w:rsidRPr="0030161C">
        <w:rPr>
          <w:i/>
          <w:snapToGrid w:val="0"/>
          <w:lang w:val="fr-FR" w:eastAsia="ja-JP"/>
        </w:rPr>
        <w:t>:</w:t>
      </w:r>
    </w:p>
    <w:p w14:paraId="1F93AB5C" w14:textId="77777777" w:rsidR="00AD28D1" w:rsidRPr="0030161C" w:rsidRDefault="00AD28D1" w:rsidP="00E209FA">
      <w:pPr>
        <w:tabs>
          <w:tab w:val="left" w:pos="5387"/>
        </w:tabs>
        <w:ind w:left="4820"/>
        <w:rPr>
          <w:i/>
          <w:snapToGrid w:val="0"/>
          <w:lang w:val="fr-FR" w:eastAsia="ja-JP"/>
        </w:rPr>
      </w:pPr>
    </w:p>
    <w:p w14:paraId="7F21A33D" w14:textId="77777777" w:rsidR="00B3651F" w:rsidRPr="0030161C" w:rsidRDefault="001901A1">
      <w:pPr>
        <w:tabs>
          <w:tab w:val="left" w:pos="5387"/>
          <w:tab w:val="left" w:pos="5954"/>
        </w:tabs>
        <w:ind w:left="4820"/>
        <w:rPr>
          <w:i/>
          <w:snapToGrid w:val="0"/>
          <w:lang w:val="fr-FR" w:eastAsia="ja-JP"/>
        </w:rPr>
      </w:pPr>
      <w:r w:rsidRPr="0030161C">
        <w:rPr>
          <w:i/>
          <w:snapToGrid w:val="0"/>
          <w:lang w:val="fr-FR" w:eastAsia="ja-JP"/>
        </w:rPr>
        <w:tab/>
        <w:t>(a)</w:t>
      </w:r>
      <w:r w:rsidRPr="0030161C">
        <w:rPr>
          <w:i/>
          <w:snapToGrid w:val="0"/>
          <w:lang w:val="fr-FR" w:eastAsia="ja-JP"/>
        </w:rPr>
        <w:tab/>
        <w:t xml:space="preserve">prendre note des politiques </w:t>
      </w:r>
      <w:r w:rsidR="00AC5F03" w:rsidRPr="0030161C">
        <w:rPr>
          <w:i/>
          <w:snapToGrid w:val="0"/>
          <w:lang w:val="fr-FR" w:eastAsia="ja-JP"/>
        </w:rPr>
        <w:t xml:space="preserve">rendues et des discussions </w:t>
      </w:r>
      <w:r w:rsidRPr="0030161C">
        <w:rPr>
          <w:i/>
          <w:snapToGrid w:val="0"/>
          <w:lang w:val="fr-FR" w:eastAsia="ja-JP"/>
        </w:rPr>
        <w:t xml:space="preserve">sur la confidentialité des </w:t>
      </w:r>
      <w:r w:rsidRPr="0030161C">
        <w:rPr>
          <w:i/>
          <w:snapToGrid w:val="0"/>
          <w:lang w:val="fr-FR" w:eastAsia="ja-JP"/>
        </w:rPr>
        <w:t xml:space="preserve">informations moléculaires lors des sessions du TWP en 2023 ; </w:t>
      </w:r>
      <w:r w:rsidR="00AC5F03" w:rsidRPr="0030161C">
        <w:rPr>
          <w:i/>
          <w:snapToGrid w:val="0"/>
          <w:lang w:val="fr-FR" w:eastAsia="ja-JP"/>
        </w:rPr>
        <w:t>et</w:t>
      </w:r>
    </w:p>
    <w:p w14:paraId="48804B8D" w14:textId="77777777" w:rsidR="00AD28D1" w:rsidRPr="0030161C" w:rsidRDefault="00AD28D1" w:rsidP="00E209FA">
      <w:pPr>
        <w:tabs>
          <w:tab w:val="left" w:pos="5387"/>
        </w:tabs>
        <w:ind w:left="4820"/>
        <w:rPr>
          <w:i/>
          <w:snapToGrid w:val="0"/>
          <w:lang w:val="fr-FR" w:eastAsia="ja-JP"/>
        </w:rPr>
      </w:pPr>
    </w:p>
    <w:p w14:paraId="7CDF4BBE" w14:textId="77777777" w:rsidR="00B3651F" w:rsidRPr="0030161C" w:rsidRDefault="001901A1">
      <w:pPr>
        <w:tabs>
          <w:tab w:val="left" w:pos="5387"/>
          <w:tab w:val="left" w:pos="5954"/>
        </w:tabs>
        <w:ind w:left="4820"/>
        <w:rPr>
          <w:i/>
          <w:lang w:val="fr-FR" w:eastAsia="ja-JP"/>
        </w:rPr>
      </w:pPr>
      <w:r w:rsidRPr="0030161C">
        <w:rPr>
          <w:i/>
          <w:snapToGrid w:val="0"/>
          <w:lang w:val="fr-FR" w:eastAsia="ja-JP"/>
        </w:rPr>
        <w:tab/>
        <w:t>(b)</w:t>
      </w:r>
      <w:r w:rsidRPr="0030161C">
        <w:rPr>
          <w:i/>
          <w:snapToGrid w:val="0"/>
          <w:lang w:val="fr-FR" w:eastAsia="ja-JP"/>
        </w:rPr>
        <w:tab/>
      </w:r>
      <w:r w:rsidR="00D60967" w:rsidRPr="0030161C">
        <w:rPr>
          <w:i/>
          <w:snapToGrid w:val="0"/>
          <w:lang w:val="fr-FR" w:eastAsia="ja-JP"/>
        </w:rPr>
        <w:t xml:space="preserve">examiner s'il convient </w:t>
      </w:r>
      <w:r w:rsidR="00425B3B" w:rsidRPr="0030161C">
        <w:rPr>
          <w:i/>
          <w:snapToGrid w:val="0"/>
          <w:lang w:val="fr-FR" w:eastAsia="ja-JP"/>
        </w:rPr>
        <w:t>de poursuivre l'invitation faite aux membres et aux observateurs de rendre compte des politiques existantes en matière de confidentialité des informations moléculaires aux TWP</w:t>
      </w:r>
      <w:r w:rsidRPr="0030161C">
        <w:rPr>
          <w:i/>
          <w:snapToGrid w:val="0"/>
          <w:lang w:val="fr-FR" w:eastAsia="ja-JP"/>
        </w:rPr>
        <w:t>, lors de leurs sessions en 2024</w:t>
      </w:r>
      <w:r w:rsidR="00425B3B" w:rsidRPr="0030161C">
        <w:rPr>
          <w:i/>
          <w:snapToGrid w:val="0"/>
          <w:lang w:val="fr-FR" w:eastAsia="ja-JP"/>
        </w:rPr>
        <w:t>.</w:t>
      </w:r>
    </w:p>
    <w:p w14:paraId="1D69AAF7" w14:textId="77777777" w:rsidR="00E209FA" w:rsidRPr="0030161C" w:rsidRDefault="00E209FA" w:rsidP="00E209FA">
      <w:pPr>
        <w:rPr>
          <w:snapToGrid w:val="0"/>
          <w:lang w:val="fr-FR" w:eastAsia="ja-JP"/>
        </w:rPr>
      </w:pPr>
    </w:p>
    <w:p w14:paraId="79D091C8" w14:textId="77777777" w:rsidR="00A075C2" w:rsidRPr="0030161C" w:rsidRDefault="00A075C2" w:rsidP="00E209FA">
      <w:pPr>
        <w:rPr>
          <w:snapToGrid w:val="0"/>
          <w:lang w:val="fr-FR" w:eastAsia="ja-JP"/>
        </w:rPr>
      </w:pPr>
    </w:p>
    <w:p w14:paraId="51758D82" w14:textId="77777777" w:rsidR="00B3651F" w:rsidRPr="0030161C" w:rsidRDefault="001901A1">
      <w:pPr>
        <w:pStyle w:val="Heading1"/>
        <w:rPr>
          <w:snapToGrid w:val="0"/>
          <w:lang w:val="fr-FR" w:eastAsia="ja-JP"/>
        </w:rPr>
      </w:pPr>
      <w:bookmarkStart w:id="10" w:name="_Toc148112879"/>
      <w:r w:rsidRPr="0030161C">
        <w:rPr>
          <w:snapToGrid w:val="0"/>
          <w:lang w:val="fr-FR" w:eastAsia="ja-JP"/>
        </w:rPr>
        <w:t>Discussion sur les techniques moléculaires dans l'examen DHS</w:t>
      </w:r>
      <w:bookmarkEnd w:id="10"/>
    </w:p>
    <w:p w14:paraId="25C284C7" w14:textId="77777777" w:rsidR="00A075C2" w:rsidRPr="0030161C" w:rsidRDefault="00A075C2" w:rsidP="00E209FA">
      <w:pPr>
        <w:rPr>
          <w:snapToGrid w:val="0"/>
          <w:lang w:val="fr-FR" w:eastAsia="ja-JP"/>
        </w:rPr>
      </w:pPr>
    </w:p>
    <w:p w14:paraId="326C83E3" w14:textId="77777777" w:rsidR="00B3651F" w:rsidRPr="0030161C" w:rsidRDefault="001901A1">
      <w:pPr>
        <w:rPr>
          <w:lang w:val="fr-FR"/>
        </w:rPr>
      </w:pPr>
      <w:r w:rsidRPr="0030161C">
        <w:rPr>
          <w:lang w:val="fr-FR"/>
        </w:rPr>
        <w:fldChar w:fldCharType="begin"/>
      </w:r>
      <w:r w:rsidRPr="0030161C">
        <w:rPr>
          <w:lang w:val="fr-FR"/>
        </w:rPr>
        <w:instrText xml:space="preserve"> AUTONUM  </w:instrText>
      </w:r>
      <w:r w:rsidRPr="0030161C">
        <w:rPr>
          <w:lang w:val="fr-FR"/>
        </w:rPr>
        <w:fldChar w:fldCharType="end"/>
      </w:r>
      <w:r w:rsidRPr="0030161C">
        <w:rPr>
          <w:lang w:val="fr-FR"/>
        </w:rPr>
        <w:tab/>
        <w:t>Lors de sa cinquante-huitième session, le TC</w:t>
      </w:r>
      <w:r w:rsidRPr="0030161C">
        <w:rPr>
          <w:rStyle w:val="FootnoteReference"/>
          <w:lang w:val="fr-FR"/>
        </w:rPr>
        <w:footnoteReference w:id="10"/>
      </w:r>
      <w:r w:rsidRPr="0030161C">
        <w:rPr>
          <w:lang w:val="fr-FR"/>
        </w:rPr>
        <w:t xml:space="preserve"> a décidé d'inviter les participants à sa cinquante-neuvième session à présenter des exposés dans le cadre d'une séance de discussion s</w:t>
      </w:r>
      <w:r w:rsidRPr="0030161C">
        <w:rPr>
          <w:lang w:val="fr-FR"/>
        </w:rPr>
        <w:t>ur les techniques moléculaires dans le cadre de l'examen DHS</w:t>
      </w:r>
      <w:r w:rsidR="001612B5" w:rsidRPr="0030161C">
        <w:rPr>
          <w:rStyle w:val="FootnoteReference"/>
          <w:lang w:val="fr-FR"/>
        </w:rPr>
        <w:footnoteReference w:id="11"/>
      </w:r>
      <w:r w:rsidRPr="0030161C">
        <w:rPr>
          <w:lang w:val="fr-FR"/>
        </w:rPr>
        <w:t xml:space="preserve"> .  </w:t>
      </w:r>
    </w:p>
    <w:p w14:paraId="080C5AC8" w14:textId="77777777" w:rsidR="00953A45" w:rsidRPr="0030161C" w:rsidRDefault="00953A45" w:rsidP="00A075C2">
      <w:pPr>
        <w:rPr>
          <w:lang w:val="fr-FR"/>
        </w:rPr>
      </w:pPr>
    </w:p>
    <w:p w14:paraId="5D0370CA" w14:textId="77777777" w:rsidR="00B3651F" w:rsidRPr="0030161C" w:rsidRDefault="001901A1">
      <w:pPr>
        <w:rPr>
          <w:rFonts w:ascii="Calibri" w:hAnsi="Calibri"/>
          <w:lang w:val="fr-FR"/>
        </w:rPr>
      </w:pPr>
      <w:r w:rsidRPr="0030161C">
        <w:rPr>
          <w:lang w:val="fr-FR"/>
        </w:rPr>
        <w:fldChar w:fldCharType="begin"/>
      </w:r>
      <w:r w:rsidRPr="0030161C">
        <w:rPr>
          <w:lang w:val="fr-FR"/>
        </w:rPr>
        <w:instrText xml:space="preserve"> AUTONUM  </w:instrText>
      </w:r>
      <w:r w:rsidRPr="0030161C">
        <w:rPr>
          <w:lang w:val="fr-FR"/>
        </w:rPr>
        <w:fldChar w:fldCharType="end"/>
      </w:r>
      <w:r w:rsidRPr="0030161C">
        <w:rPr>
          <w:lang w:val="fr-FR"/>
        </w:rPr>
        <w:tab/>
      </w:r>
      <w:r w:rsidR="00A075C2" w:rsidRPr="0030161C">
        <w:rPr>
          <w:lang w:val="fr-FR"/>
        </w:rPr>
        <w:t xml:space="preserve">Le 22 août 2023, le Bureau de l'Union a publié la circulaire E-23/130 invitant les </w:t>
      </w:r>
      <w:r w:rsidR="00A075C2" w:rsidRPr="0030161C">
        <w:rPr>
          <w:rFonts w:cs="Arial"/>
          <w:lang w:val="fr-FR"/>
        </w:rPr>
        <w:t>membres de l'Union à présenter un exposé sur leur utilisation des techniques moléculaires dans l'examen DHS lors de la cinquante-neuvième session du Comité technique (TC), le 24 octobre 2023.</w:t>
      </w:r>
      <w:r w:rsidRPr="0030161C">
        <w:rPr>
          <w:rFonts w:cs="Arial"/>
          <w:lang w:val="fr-FR"/>
        </w:rPr>
        <w:t xml:space="preserve">  L'objectif est de fournir au TC des informations sur les politiques, les pratiques actuelles et les plans futurs concernant l'utilisation de marqueurs molé</w:t>
      </w:r>
      <w:r w:rsidRPr="0030161C">
        <w:rPr>
          <w:rFonts w:cs="Arial"/>
          <w:lang w:val="fr-FR"/>
        </w:rPr>
        <w:t>culaires dans l'examen DHS.</w:t>
      </w:r>
    </w:p>
    <w:p w14:paraId="680ACFD2" w14:textId="77777777" w:rsidR="00A075C2" w:rsidRPr="0030161C" w:rsidRDefault="00A075C2" w:rsidP="00E209FA">
      <w:pPr>
        <w:rPr>
          <w:snapToGrid w:val="0"/>
          <w:lang w:val="fr-FR" w:eastAsia="ja-JP"/>
        </w:rPr>
      </w:pPr>
    </w:p>
    <w:p w14:paraId="01D38E59" w14:textId="77777777" w:rsidR="00B3651F" w:rsidRPr="0030161C" w:rsidRDefault="001901A1">
      <w:pPr>
        <w:tabs>
          <w:tab w:val="left" w:pos="5387"/>
        </w:tabs>
        <w:ind w:left="4820"/>
        <w:rPr>
          <w:i/>
          <w:iCs/>
          <w:lang w:val="fr-FR"/>
        </w:rPr>
      </w:pPr>
      <w:r w:rsidRPr="0030161C">
        <w:rPr>
          <w:i/>
          <w:iCs/>
          <w:snapToGrid w:val="0"/>
          <w:lang w:val="fr-FR" w:eastAsia="ja-JP"/>
        </w:rPr>
        <w:fldChar w:fldCharType="begin"/>
      </w:r>
      <w:r w:rsidRPr="0030161C">
        <w:rPr>
          <w:i/>
          <w:iCs/>
          <w:snapToGrid w:val="0"/>
          <w:lang w:val="fr-FR" w:eastAsia="ja-JP"/>
        </w:rPr>
        <w:instrText xml:space="preserve"> AUTONUM  </w:instrText>
      </w:r>
      <w:r w:rsidRPr="0030161C">
        <w:rPr>
          <w:i/>
          <w:iCs/>
          <w:snapToGrid w:val="0"/>
          <w:lang w:val="fr-FR" w:eastAsia="ja-JP"/>
        </w:rPr>
        <w:fldChar w:fldCharType="end"/>
      </w:r>
      <w:r w:rsidRPr="0030161C">
        <w:rPr>
          <w:i/>
          <w:iCs/>
          <w:snapToGrid w:val="0"/>
          <w:lang w:val="fr-FR" w:eastAsia="ja-JP"/>
        </w:rPr>
        <w:tab/>
        <w:t xml:space="preserve">Le TC est invité à noter qu'une </w:t>
      </w:r>
      <w:r w:rsidRPr="0030161C">
        <w:rPr>
          <w:i/>
          <w:iCs/>
          <w:lang w:val="fr-FR"/>
        </w:rPr>
        <w:t xml:space="preserve">séance de discussion sur les techniques moléculaires dans l'examen DHS sera organisée lors de </w:t>
      </w:r>
      <w:r w:rsidR="00674731" w:rsidRPr="0030161C">
        <w:rPr>
          <w:i/>
          <w:iCs/>
          <w:lang w:val="fr-FR"/>
        </w:rPr>
        <w:t xml:space="preserve">sa </w:t>
      </w:r>
      <w:r w:rsidRPr="0030161C">
        <w:rPr>
          <w:i/>
          <w:iCs/>
          <w:lang w:val="fr-FR"/>
        </w:rPr>
        <w:t>cinquante-neuvième session.</w:t>
      </w:r>
    </w:p>
    <w:p w14:paraId="2C08A4C1" w14:textId="77777777" w:rsidR="000458A4" w:rsidRPr="0030161C" w:rsidRDefault="000458A4" w:rsidP="00E209FA">
      <w:pPr>
        <w:rPr>
          <w:snapToGrid w:val="0"/>
          <w:lang w:val="fr-FR" w:eastAsia="ja-JP"/>
        </w:rPr>
      </w:pPr>
    </w:p>
    <w:p w14:paraId="62A55156" w14:textId="77777777" w:rsidR="000458A4" w:rsidRPr="0030161C" w:rsidRDefault="000458A4" w:rsidP="00E209FA">
      <w:pPr>
        <w:rPr>
          <w:snapToGrid w:val="0"/>
          <w:lang w:val="fr-FR" w:eastAsia="ja-JP"/>
        </w:rPr>
      </w:pPr>
    </w:p>
    <w:p w14:paraId="7B2E3D2F" w14:textId="77777777" w:rsidR="00B3651F" w:rsidRPr="0030161C" w:rsidRDefault="001901A1">
      <w:pPr>
        <w:pStyle w:val="Heading1"/>
        <w:rPr>
          <w:snapToGrid w:val="0"/>
          <w:lang w:val="fr-FR" w:eastAsia="ja-JP"/>
        </w:rPr>
      </w:pPr>
      <w:bookmarkStart w:id="11" w:name="_Toc148112880"/>
      <w:r w:rsidRPr="0030161C">
        <w:rPr>
          <w:snapToGrid w:val="0"/>
          <w:lang w:val="fr-FR" w:eastAsia="ja-JP"/>
        </w:rPr>
        <w:t>Questions pour information</w:t>
      </w:r>
      <w:bookmarkEnd w:id="11"/>
    </w:p>
    <w:p w14:paraId="37EE3853" w14:textId="77777777" w:rsidR="002C721C" w:rsidRPr="0030161C" w:rsidRDefault="002C721C" w:rsidP="002C721C">
      <w:pPr>
        <w:rPr>
          <w:lang w:val="fr-FR"/>
        </w:rPr>
      </w:pPr>
    </w:p>
    <w:p w14:paraId="48F3928E" w14:textId="77777777" w:rsidR="00B3651F" w:rsidRPr="0030161C" w:rsidRDefault="001901A1">
      <w:pPr>
        <w:pStyle w:val="Heading2"/>
        <w:rPr>
          <w:lang w:val="fr-FR"/>
        </w:rPr>
      </w:pPr>
      <w:bookmarkStart w:id="12" w:name="_Toc148112881"/>
      <w:r w:rsidRPr="0030161C">
        <w:rPr>
          <w:lang w:val="fr-FR"/>
        </w:rPr>
        <w:t xml:space="preserve">Deuxième session du Groupe de travail technique sur les méthodes et techniques d'essai </w:t>
      </w:r>
      <w:r w:rsidRPr="0030161C">
        <w:rPr>
          <w:lang w:val="fr-FR"/>
        </w:rPr>
        <w:t>(TWM)</w:t>
      </w:r>
      <w:bookmarkEnd w:id="12"/>
    </w:p>
    <w:p w14:paraId="434A3996" w14:textId="77777777" w:rsidR="00D75187" w:rsidRPr="0030161C" w:rsidRDefault="00D75187" w:rsidP="002C721C">
      <w:pPr>
        <w:rPr>
          <w:lang w:val="fr-FR"/>
        </w:rPr>
      </w:pPr>
    </w:p>
    <w:p w14:paraId="11900DD4" w14:textId="77777777" w:rsidR="00B3651F" w:rsidRPr="0030161C" w:rsidRDefault="001901A1">
      <w:pPr>
        <w:rPr>
          <w:lang w:val="fr-FR"/>
        </w:rPr>
      </w:pPr>
      <w:r w:rsidRPr="0030161C">
        <w:rPr>
          <w:lang w:val="fr-FR"/>
        </w:rPr>
        <w:fldChar w:fldCharType="begin"/>
      </w:r>
      <w:r w:rsidRPr="0030161C">
        <w:rPr>
          <w:lang w:val="fr-FR"/>
        </w:rPr>
        <w:instrText xml:space="preserve"> AUTONUM  </w:instrText>
      </w:r>
      <w:r w:rsidRPr="0030161C">
        <w:rPr>
          <w:lang w:val="fr-FR"/>
        </w:rPr>
        <w:fldChar w:fldCharType="end"/>
      </w:r>
      <w:r w:rsidRPr="0030161C">
        <w:rPr>
          <w:lang w:val="fr-FR"/>
        </w:rPr>
        <w:tab/>
        <w:t xml:space="preserve">La deuxième session du Groupe technique sur les méthodes et techniques d'essai </w:t>
      </w:r>
      <w:r w:rsidRPr="0030161C">
        <w:rPr>
          <w:lang w:val="fr-FR"/>
        </w:rPr>
        <w:t xml:space="preserve">(TWM) se </w:t>
      </w:r>
      <w:r w:rsidRPr="0030161C">
        <w:rPr>
          <w:lang w:val="fr-FR"/>
        </w:rPr>
        <w:t xml:space="preserve">tiendra sous la forme d'une réunion virtuelle </w:t>
      </w:r>
      <w:r w:rsidRPr="0030161C">
        <w:rPr>
          <w:rFonts w:cs="Arial"/>
          <w:lang w:val="fr-FR"/>
        </w:rPr>
        <w:t>du 8 au 12 avri</w:t>
      </w:r>
      <w:r w:rsidRPr="0030161C">
        <w:rPr>
          <w:rFonts w:cs="Arial"/>
          <w:lang w:val="fr-FR"/>
        </w:rPr>
        <w:t xml:space="preserve">l 2024.  Les </w:t>
      </w:r>
      <w:r w:rsidRPr="0030161C">
        <w:rPr>
          <w:lang w:val="fr-FR"/>
        </w:rPr>
        <w:t>documents pour cette deuxième session doivent être soumis au Bureau de l'Union avant le 23 février 2024.</w:t>
      </w:r>
    </w:p>
    <w:p w14:paraId="5E6F4BCA" w14:textId="77777777" w:rsidR="00D75187" w:rsidRPr="0030161C" w:rsidRDefault="00D75187" w:rsidP="00D75187">
      <w:pPr>
        <w:rPr>
          <w:lang w:val="fr-FR"/>
        </w:rPr>
      </w:pPr>
    </w:p>
    <w:p w14:paraId="6EBB730D" w14:textId="36A5649E" w:rsidR="00B3651F" w:rsidRPr="0030161C" w:rsidRDefault="001901A1">
      <w:pPr>
        <w:keepNext/>
        <w:rPr>
          <w:snapToGrid w:val="0"/>
          <w:lang w:val="fr-FR"/>
        </w:rPr>
      </w:pPr>
      <w:r w:rsidRPr="0030161C">
        <w:rPr>
          <w:snapToGrid w:val="0"/>
          <w:lang w:val="fr-FR"/>
        </w:rPr>
        <w:fldChar w:fldCharType="begin"/>
      </w:r>
      <w:r w:rsidRPr="0030161C">
        <w:rPr>
          <w:snapToGrid w:val="0"/>
          <w:lang w:val="fr-FR"/>
        </w:rPr>
        <w:instrText xml:space="preserve"> AUTONUM  </w:instrText>
      </w:r>
      <w:r w:rsidRPr="0030161C">
        <w:rPr>
          <w:snapToGrid w:val="0"/>
          <w:lang w:val="fr-FR"/>
        </w:rPr>
        <w:fldChar w:fldCharType="end"/>
      </w:r>
      <w:r>
        <w:rPr>
          <w:snapToGrid w:val="0"/>
          <w:lang w:val="fr-FR"/>
        </w:rPr>
        <w:tab/>
      </w:r>
      <w:r w:rsidR="00754855" w:rsidRPr="0030161C">
        <w:rPr>
          <w:snapToGrid w:val="0"/>
          <w:lang w:val="fr-FR"/>
        </w:rPr>
        <w:t>Le</w:t>
      </w:r>
      <w:r w:rsidRPr="0030161C">
        <w:rPr>
          <w:snapToGrid w:val="0"/>
          <w:lang w:val="fr-FR"/>
        </w:rPr>
        <w:t xml:space="preserve"> TWM examinera les points suivants lors de la </w:t>
      </w:r>
      <w:r w:rsidRPr="0030161C">
        <w:rPr>
          <w:lang w:val="fr-FR"/>
        </w:rPr>
        <w:t xml:space="preserve">deuxième session </w:t>
      </w:r>
      <w:r w:rsidRPr="0030161C">
        <w:rPr>
          <w:snapToGrid w:val="0"/>
          <w:lang w:val="fr-FR"/>
        </w:rPr>
        <w:t>:</w:t>
      </w:r>
    </w:p>
    <w:p w14:paraId="28399E6E" w14:textId="77777777" w:rsidR="00D75187" w:rsidRPr="0030161C" w:rsidRDefault="00D75187" w:rsidP="00754855">
      <w:pPr>
        <w:keepNext/>
        <w:rPr>
          <w:snapToGrid w:val="0"/>
          <w:lang w:val="fr-FR"/>
        </w:rPr>
      </w:pPr>
    </w:p>
    <w:p w14:paraId="457F9A3B" w14:textId="77777777" w:rsidR="00B3651F" w:rsidRPr="0030161C" w:rsidRDefault="001901A1">
      <w:pPr>
        <w:spacing w:line="276" w:lineRule="auto"/>
        <w:ind w:left="567"/>
        <w:rPr>
          <w:lang w:val="fr-FR"/>
        </w:rPr>
      </w:pPr>
      <w:r w:rsidRPr="0030161C">
        <w:rPr>
          <w:lang w:val="fr-FR"/>
        </w:rPr>
        <w:t xml:space="preserve">1. </w:t>
      </w:r>
      <w:r w:rsidRPr="0030161C">
        <w:rPr>
          <w:lang w:val="fr-FR"/>
        </w:rPr>
        <w:tab/>
        <w:t>ouverture de la session</w:t>
      </w:r>
    </w:p>
    <w:p w14:paraId="4B4CB315" w14:textId="77777777" w:rsidR="00B3651F" w:rsidRPr="0030161C" w:rsidRDefault="001901A1">
      <w:pPr>
        <w:spacing w:line="276" w:lineRule="auto"/>
        <w:ind w:left="567"/>
        <w:rPr>
          <w:lang w:val="fr-FR"/>
        </w:rPr>
      </w:pPr>
      <w:r w:rsidRPr="0030161C">
        <w:rPr>
          <w:lang w:val="fr-FR"/>
        </w:rPr>
        <w:t xml:space="preserve">2. </w:t>
      </w:r>
      <w:r w:rsidRPr="0030161C">
        <w:rPr>
          <w:lang w:val="fr-FR"/>
        </w:rPr>
        <w:tab/>
        <w:t>adoption de l'ordre du j</w:t>
      </w:r>
      <w:r w:rsidRPr="0030161C">
        <w:rPr>
          <w:lang w:val="fr-FR"/>
        </w:rPr>
        <w:t>our</w:t>
      </w:r>
    </w:p>
    <w:p w14:paraId="587F0AD0" w14:textId="6583DA5E" w:rsidR="00B3651F" w:rsidRPr="0030161C" w:rsidRDefault="001901A1">
      <w:pPr>
        <w:spacing w:line="276" w:lineRule="auto"/>
        <w:ind w:left="567"/>
        <w:rPr>
          <w:lang w:val="fr-FR"/>
        </w:rPr>
      </w:pPr>
      <w:r w:rsidRPr="0030161C">
        <w:rPr>
          <w:lang w:val="fr-FR"/>
        </w:rPr>
        <w:t xml:space="preserve">3. </w:t>
      </w:r>
      <w:r w:rsidR="00551816">
        <w:rPr>
          <w:lang w:val="fr-FR"/>
        </w:rPr>
        <w:tab/>
      </w:r>
      <w:r w:rsidRPr="0030161C">
        <w:rPr>
          <w:lang w:val="fr-FR"/>
        </w:rPr>
        <w:t>l'</w:t>
      </w:r>
      <w:r w:rsidRPr="0030161C">
        <w:rPr>
          <w:lang w:val="fr-FR"/>
        </w:rPr>
        <w:t>évolution de la protection des obtentions végétales :</w:t>
      </w:r>
    </w:p>
    <w:p w14:paraId="1CCEB3C4" w14:textId="77777777" w:rsidR="00B3651F" w:rsidRPr="0030161C" w:rsidRDefault="001901A1">
      <w:pPr>
        <w:tabs>
          <w:tab w:val="left" w:pos="1701"/>
        </w:tabs>
        <w:spacing w:line="276" w:lineRule="auto"/>
        <w:ind w:left="1701" w:hanging="567"/>
        <w:rPr>
          <w:lang w:val="fr-FR"/>
        </w:rPr>
      </w:pPr>
      <w:r w:rsidRPr="0030161C">
        <w:rPr>
          <w:lang w:val="fr-FR"/>
        </w:rPr>
        <w:t xml:space="preserve">(a) </w:t>
      </w:r>
      <w:r w:rsidRPr="0030161C">
        <w:rPr>
          <w:lang w:val="fr-FR"/>
        </w:rPr>
        <w:tab/>
      </w:r>
      <w:r w:rsidRPr="0030161C">
        <w:rPr>
          <w:lang w:val="fr-FR"/>
        </w:rPr>
        <w:t>Rapports des membres et des observateurs (rapports écrits préparés par les membres et les observateurs)</w:t>
      </w:r>
    </w:p>
    <w:p w14:paraId="40D336C0" w14:textId="77777777" w:rsidR="00B3651F" w:rsidRPr="0030161C" w:rsidRDefault="001901A1">
      <w:pPr>
        <w:tabs>
          <w:tab w:val="left" w:pos="1701"/>
        </w:tabs>
        <w:spacing w:line="276" w:lineRule="auto"/>
        <w:ind w:left="1701" w:hanging="567"/>
        <w:rPr>
          <w:lang w:val="fr-FR"/>
        </w:rPr>
      </w:pPr>
      <w:r w:rsidRPr="0030161C">
        <w:rPr>
          <w:lang w:val="fr-FR"/>
        </w:rPr>
        <w:t xml:space="preserve">(b) </w:t>
      </w:r>
      <w:r w:rsidRPr="0030161C">
        <w:rPr>
          <w:lang w:val="fr-FR"/>
        </w:rPr>
        <w:tab/>
        <w:t xml:space="preserve">Compte rendu sur les faits nouveaux intervenus au sein de l'UPOV (rapport du Bureau de l'Union) </w:t>
      </w:r>
    </w:p>
    <w:p w14:paraId="01E847B5" w14:textId="2BA7B6A1" w:rsidR="00B3651F" w:rsidRPr="0030161C" w:rsidRDefault="001901A1">
      <w:pPr>
        <w:tabs>
          <w:tab w:val="left" w:pos="1134"/>
        </w:tabs>
        <w:spacing w:line="276" w:lineRule="auto"/>
        <w:ind w:left="1134" w:hanging="567"/>
        <w:rPr>
          <w:i/>
          <w:lang w:val="fr-FR"/>
        </w:rPr>
      </w:pPr>
      <w:r w:rsidRPr="0030161C">
        <w:rPr>
          <w:lang w:val="fr-FR"/>
        </w:rPr>
        <w:t xml:space="preserve">4. </w:t>
      </w:r>
      <w:r w:rsidR="00551816">
        <w:rPr>
          <w:lang w:val="fr-FR"/>
        </w:rPr>
        <w:tab/>
      </w:r>
      <w:r w:rsidRPr="0030161C">
        <w:rPr>
          <w:lang w:val="fr-FR"/>
        </w:rPr>
        <w:t>l'</w:t>
      </w:r>
      <w:r w:rsidRPr="0030161C">
        <w:rPr>
          <w:lang w:val="fr-FR"/>
        </w:rPr>
        <w:t xml:space="preserve">orientation et la </w:t>
      </w:r>
      <w:r w:rsidRPr="0030161C">
        <w:rPr>
          <w:i/>
          <w:lang w:val="fr-FR"/>
        </w:rPr>
        <w:t xml:space="preserve">coopération </w:t>
      </w:r>
    </w:p>
    <w:p w14:paraId="4713AA11" w14:textId="77777777" w:rsidR="00B3651F" w:rsidRPr="0030161C" w:rsidRDefault="001901A1">
      <w:pPr>
        <w:spacing w:line="276" w:lineRule="auto"/>
        <w:ind w:left="1710" w:hanging="630"/>
        <w:rPr>
          <w:lang w:val="fr-FR"/>
        </w:rPr>
      </w:pPr>
      <w:r w:rsidRPr="0030161C">
        <w:rPr>
          <w:lang w:val="fr-FR"/>
        </w:rPr>
        <w:t xml:space="preserve">(a) </w:t>
      </w:r>
      <w:r w:rsidRPr="0030161C">
        <w:rPr>
          <w:lang w:val="fr-FR"/>
        </w:rPr>
        <w:tab/>
        <w:t>Élaborat</w:t>
      </w:r>
      <w:r w:rsidRPr="0030161C">
        <w:rPr>
          <w:lang w:val="fr-FR"/>
        </w:rPr>
        <w:t>ion de matériel d'orientation et d'information (document à préparer par le Bureau de l'Union)</w:t>
      </w:r>
    </w:p>
    <w:p w14:paraId="58703AAC" w14:textId="77777777" w:rsidR="00B3651F" w:rsidRPr="0030161C" w:rsidRDefault="001901A1">
      <w:pPr>
        <w:spacing w:line="276" w:lineRule="auto"/>
        <w:ind w:left="1710" w:hanging="630"/>
        <w:rPr>
          <w:lang w:val="fr-FR"/>
        </w:rPr>
      </w:pPr>
      <w:r w:rsidRPr="0030161C">
        <w:rPr>
          <w:lang w:val="fr-FR"/>
        </w:rPr>
        <w:t xml:space="preserve">(b) </w:t>
      </w:r>
      <w:r w:rsidRPr="0030161C">
        <w:rPr>
          <w:lang w:val="fr-FR"/>
        </w:rPr>
        <w:tab/>
        <w:t>Accroître la participation aux travaux du TC et des TWP (document à préparer par le Bureau de l'Union)</w:t>
      </w:r>
    </w:p>
    <w:p w14:paraId="6487C9ED" w14:textId="77777777" w:rsidR="00B3651F" w:rsidRPr="0030161C" w:rsidRDefault="001901A1">
      <w:pPr>
        <w:spacing w:line="276" w:lineRule="auto"/>
        <w:ind w:left="1710" w:hanging="630"/>
        <w:rPr>
          <w:lang w:val="fr-FR"/>
        </w:rPr>
      </w:pPr>
      <w:r w:rsidRPr="0030161C">
        <w:rPr>
          <w:lang w:val="fr-FR"/>
        </w:rPr>
        <w:t xml:space="preserve">(c) </w:t>
      </w:r>
      <w:r w:rsidRPr="0030161C">
        <w:rPr>
          <w:lang w:val="fr-FR"/>
        </w:rPr>
        <w:tab/>
        <w:t>Coopération en matière d'examen (document à prépa</w:t>
      </w:r>
      <w:r w:rsidRPr="0030161C">
        <w:rPr>
          <w:lang w:val="fr-FR"/>
        </w:rPr>
        <w:t>rer par le Bureau de l'Union)</w:t>
      </w:r>
    </w:p>
    <w:p w14:paraId="485A6316" w14:textId="77777777" w:rsidR="00B3651F" w:rsidRPr="0030161C" w:rsidRDefault="001901A1">
      <w:pPr>
        <w:keepNext/>
        <w:spacing w:line="276" w:lineRule="auto"/>
        <w:ind w:left="1710" w:hanging="630"/>
        <w:rPr>
          <w:lang w:val="fr-FR"/>
        </w:rPr>
      </w:pPr>
      <w:r w:rsidRPr="0030161C">
        <w:rPr>
          <w:lang w:val="fr-FR"/>
        </w:rPr>
        <w:t xml:space="preserve">(d) </w:t>
      </w:r>
      <w:r w:rsidRPr="0030161C">
        <w:rPr>
          <w:lang w:val="fr-FR"/>
        </w:rPr>
        <w:tab/>
        <w:t>Informations et bases de données</w:t>
      </w:r>
    </w:p>
    <w:p w14:paraId="4E98229A" w14:textId="0851696F" w:rsidR="00B3651F" w:rsidRPr="0030161C" w:rsidRDefault="001901A1" w:rsidP="00551816">
      <w:pPr>
        <w:keepNext/>
        <w:spacing w:line="276" w:lineRule="auto"/>
        <w:ind w:left="1985" w:hanging="275"/>
        <w:rPr>
          <w:lang w:val="fr-FR"/>
        </w:rPr>
      </w:pPr>
      <w:r w:rsidRPr="0030161C">
        <w:rPr>
          <w:lang w:val="fr-FR"/>
        </w:rPr>
        <w:t>-</w:t>
      </w:r>
      <w:r w:rsidR="00551816">
        <w:rPr>
          <w:lang w:val="fr-FR"/>
        </w:rPr>
        <w:tab/>
      </w:r>
      <w:r w:rsidRPr="0030161C">
        <w:rPr>
          <w:lang w:val="fr-FR"/>
        </w:rPr>
        <w:t xml:space="preserve">UPOV </w:t>
      </w:r>
      <w:r w:rsidRPr="0030161C">
        <w:rPr>
          <w:lang w:val="fr-FR"/>
        </w:rPr>
        <w:t xml:space="preserve">PRISMA (document à préparer par le Bureau de l'Union) </w:t>
      </w:r>
    </w:p>
    <w:p w14:paraId="3D743F18" w14:textId="36467FAC" w:rsidR="00B3651F" w:rsidRPr="0030161C" w:rsidRDefault="001901A1" w:rsidP="00551816">
      <w:pPr>
        <w:spacing w:line="276" w:lineRule="auto"/>
        <w:ind w:left="1985" w:hanging="275"/>
        <w:rPr>
          <w:lang w:val="fr-FR"/>
        </w:rPr>
      </w:pPr>
      <w:r w:rsidRPr="0030161C">
        <w:rPr>
          <w:lang w:val="fr-FR"/>
        </w:rPr>
        <w:t>-</w:t>
      </w:r>
      <w:r w:rsidR="00551816">
        <w:rPr>
          <w:lang w:val="fr-FR"/>
        </w:rPr>
        <w:tab/>
      </w:r>
      <w:r w:rsidRPr="0030161C">
        <w:rPr>
          <w:lang w:val="fr-FR"/>
        </w:rPr>
        <w:t xml:space="preserve">Bases de données d'information UPOV </w:t>
      </w:r>
      <w:r w:rsidRPr="0030161C">
        <w:rPr>
          <w:lang w:val="fr-FR"/>
        </w:rPr>
        <w:t>(document à préparer par le Bureau de l'Union)</w:t>
      </w:r>
    </w:p>
    <w:p w14:paraId="2FA54AB2" w14:textId="499CB3BD" w:rsidR="00B3651F" w:rsidRPr="0030161C" w:rsidRDefault="001901A1" w:rsidP="00551816">
      <w:pPr>
        <w:spacing w:line="276" w:lineRule="auto"/>
        <w:ind w:left="1985" w:hanging="275"/>
        <w:rPr>
          <w:lang w:val="fr-FR"/>
        </w:rPr>
      </w:pPr>
      <w:r w:rsidRPr="0030161C">
        <w:rPr>
          <w:lang w:val="fr-FR"/>
        </w:rPr>
        <w:t>-</w:t>
      </w:r>
      <w:r w:rsidR="00551816">
        <w:rPr>
          <w:lang w:val="fr-FR"/>
        </w:rPr>
        <w:tab/>
      </w:r>
      <w:r w:rsidRPr="0030161C">
        <w:rPr>
          <w:lang w:val="fr-FR"/>
        </w:rPr>
        <w:t xml:space="preserve">Bases de données de description de la </w:t>
      </w:r>
      <w:r w:rsidRPr="0030161C">
        <w:rPr>
          <w:lang w:val="fr-FR"/>
        </w:rPr>
        <w:t>variété</w:t>
      </w:r>
      <w:r w:rsidRPr="0030161C">
        <w:rPr>
          <w:lang w:val="fr-FR"/>
        </w:rPr>
        <w:t xml:space="preserve">, y compris les bases de données contenant des données moléculaires (document à préparer par le Bureau de l'Union et invitation à soumettre des documents). </w:t>
      </w:r>
    </w:p>
    <w:p w14:paraId="732F535F" w14:textId="6231B5A8" w:rsidR="00B3651F" w:rsidRPr="0030161C" w:rsidRDefault="001901A1">
      <w:pPr>
        <w:spacing w:line="276" w:lineRule="auto"/>
        <w:ind w:left="2160" w:hanging="450"/>
        <w:rPr>
          <w:lang w:val="fr-FR"/>
        </w:rPr>
      </w:pPr>
      <w:r w:rsidRPr="0030161C">
        <w:rPr>
          <w:lang w:val="fr-FR"/>
        </w:rPr>
        <w:t>-</w:t>
      </w:r>
      <w:r w:rsidR="00551816">
        <w:rPr>
          <w:lang w:val="fr-FR"/>
        </w:rPr>
        <w:tab/>
      </w:r>
      <w:r w:rsidRPr="0030161C">
        <w:rPr>
          <w:lang w:val="fr-FR"/>
        </w:rPr>
        <w:t xml:space="preserve">Diverses </w:t>
      </w:r>
      <w:r w:rsidRPr="0030161C">
        <w:rPr>
          <w:lang w:val="fr-FR"/>
        </w:rPr>
        <w:t>dénominations (document à préparer par le Bureau de l'Union)</w:t>
      </w:r>
    </w:p>
    <w:p w14:paraId="799E5300" w14:textId="77777777" w:rsidR="00B3651F" w:rsidRPr="0030161C" w:rsidRDefault="001901A1">
      <w:pPr>
        <w:spacing w:line="276" w:lineRule="auto"/>
        <w:ind w:left="1134" w:hanging="567"/>
        <w:rPr>
          <w:i/>
          <w:lang w:val="fr-FR"/>
        </w:rPr>
      </w:pPr>
      <w:r w:rsidRPr="0030161C">
        <w:rPr>
          <w:lang w:val="fr-FR"/>
        </w:rPr>
        <w:t xml:space="preserve">5. </w:t>
      </w:r>
      <w:r w:rsidRPr="0030161C">
        <w:rPr>
          <w:lang w:val="fr-FR"/>
        </w:rPr>
        <w:tab/>
        <w:t>logiciels et mé</w:t>
      </w:r>
      <w:r w:rsidRPr="0030161C">
        <w:rPr>
          <w:lang w:val="fr-FR"/>
        </w:rPr>
        <w:t>thodes d'analyse statistique pour l'examen DHS</w:t>
      </w:r>
    </w:p>
    <w:p w14:paraId="49E331FE" w14:textId="0211D04E" w:rsidR="00B3651F" w:rsidRPr="0030161C" w:rsidRDefault="001901A1">
      <w:pPr>
        <w:spacing w:line="276" w:lineRule="auto"/>
        <w:ind w:left="1530" w:hanging="450"/>
        <w:rPr>
          <w:lang w:val="fr-FR"/>
        </w:rPr>
      </w:pPr>
      <w:r w:rsidRPr="0030161C">
        <w:rPr>
          <w:lang w:val="fr-FR"/>
        </w:rPr>
        <w:t xml:space="preserve">(a) </w:t>
      </w:r>
      <w:r w:rsidRPr="0030161C">
        <w:rPr>
          <w:lang w:val="fr-FR"/>
        </w:rPr>
        <w:tab/>
        <w:t>Outils et méthodes statistiques pour l'examen DHS (communications sollicitées)</w:t>
      </w:r>
    </w:p>
    <w:p w14:paraId="2C01B504" w14:textId="4B2980C6" w:rsidR="00B3651F" w:rsidRPr="0030161C" w:rsidRDefault="00551816" w:rsidP="00551816">
      <w:pPr>
        <w:spacing w:line="276" w:lineRule="auto"/>
        <w:ind w:left="1985" w:hanging="275"/>
        <w:rPr>
          <w:lang w:val="fr-FR"/>
        </w:rPr>
      </w:pPr>
      <w:r>
        <w:rPr>
          <w:lang w:val="fr-FR"/>
        </w:rPr>
        <w:t>-</w:t>
      </w:r>
      <w:r w:rsidR="001901A1" w:rsidRPr="0030161C">
        <w:rPr>
          <w:lang w:val="fr-FR"/>
        </w:rPr>
        <w:tab/>
      </w:r>
      <w:r w:rsidR="001901A1" w:rsidRPr="0030161C">
        <w:rPr>
          <w:lang w:val="fr-FR"/>
        </w:rPr>
        <w:t>Le critère d'uniformité combinée sur plusieurs années (COYU) (document à préparer par le Bureau de l'Union)</w:t>
      </w:r>
    </w:p>
    <w:p w14:paraId="588A28D4" w14:textId="4399BC8F" w:rsidR="00B3651F" w:rsidRPr="0030161C" w:rsidRDefault="001901A1" w:rsidP="00551816">
      <w:pPr>
        <w:spacing w:line="276" w:lineRule="auto"/>
        <w:ind w:left="1985" w:hanging="275"/>
        <w:rPr>
          <w:lang w:val="fr-FR"/>
        </w:rPr>
      </w:pPr>
      <w:r w:rsidRPr="0030161C">
        <w:rPr>
          <w:lang w:val="fr-FR"/>
        </w:rPr>
        <w:t>-</w:t>
      </w:r>
      <w:r w:rsidR="00551816">
        <w:rPr>
          <w:lang w:val="fr-FR"/>
        </w:rPr>
        <w:tab/>
      </w:r>
      <w:r w:rsidRPr="0030161C">
        <w:rPr>
          <w:lang w:val="fr-FR"/>
        </w:rPr>
        <w:t>Développement d</w:t>
      </w:r>
      <w:r w:rsidRPr="0030161C">
        <w:rPr>
          <w:lang w:val="fr-FR"/>
        </w:rPr>
        <w:t>'un logiciel pour la méthode COYU améliorée (</w:t>
      </w:r>
      <w:proofErr w:type="spellStart"/>
      <w:r w:rsidRPr="0030161C">
        <w:rPr>
          <w:lang w:val="fr-FR"/>
        </w:rPr>
        <w:t>splines</w:t>
      </w:r>
      <w:proofErr w:type="spellEnd"/>
      <w:r w:rsidRPr="0030161C">
        <w:rPr>
          <w:lang w:val="fr-FR"/>
        </w:rPr>
        <w:t>) (document à préparer par le Royaume-Uni)</w:t>
      </w:r>
    </w:p>
    <w:p w14:paraId="474D26B4" w14:textId="7BDE81FF" w:rsidR="00B3651F" w:rsidRPr="0030161C" w:rsidRDefault="001901A1">
      <w:pPr>
        <w:spacing w:line="276" w:lineRule="auto"/>
        <w:ind w:left="2160" w:hanging="450"/>
        <w:rPr>
          <w:lang w:val="fr-FR"/>
        </w:rPr>
      </w:pPr>
      <w:r w:rsidRPr="0030161C">
        <w:rPr>
          <w:lang w:val="fr-FR"/>
        </w:rPr>
        <w:lastRenderedPageBreak/>
        <w:t>-</w:t>
      </w:r>
      <w:r w:rsidR="00551816">
        <w:rPr>
          <w:lang w:val="fr-FR"/>
        </w:rPr>
        <w:tab/>
      </w:r>
      <w:r w:rsidRPr="0030161C">
        <w:rPr>
          <w:lang w:val="fr-FR"/>
        </w:rPr>
        <w:t xml:space="preserve">Extrapolation </w:t>
      </w:r>
      <w:r w:rsidRPr="0030161C">
        <w:rPr>
          <w:lang w:val="fr-FR"/>
        </w:rPr>
        <w:t xml:space="preserve">en relation avec COYU (document à préparer par le Royaume-Uni et communications sollicitées) </w:t>
      </w:r>
    </w:p>
    <w:p w14:paraId="75D2B17C" w14:textId="222E1231" w:rsidR="00B3651F" w:rsidRPr="0030161C" w:rsidRDefault="001901A1">
      <w:pPr>
        <w:spacing w:line="276" w:lineRule="auto"/>
        <w:ind w:left="2160" w:hanging="450"/>
        <w:rPr>
          <w:lang w:val="fr-FR"/>
        </w:rPr>
      </w:pPr>
      <w:r w:rsidRPr="0030161C">
        <w:rPr>
          <w:lang w:val="fr-FR"/>
        </w:rPr>
        <w:t>-</w:t>
      </w:r>
      <w:r w:rsidR="00551816">
        <w:rPr>
          <w:lang w:val="fr-FR"/>
        </w:rPr>
        <w:tab/>
      </w:r>
      <w:r w:rsidRPr="0030161C">
        <w:rPr>
          <w:lang w:val="fr-FR"/>
        </w:rPr>
        <w:t xml:space="preserve">Comparaison </w:t>
      </w:r>
      <w:r w:rsidRPr="0030161C">
        <w:rPr>
          <w:lang w:val="fr-FR"/>
        </w:rPr>
        <w:t>des résultats obtenu</w:t>
      </w:r>
      <w:r w:rsidRPr="0030161C">
        <w:rPr>
          <w:lang w:val="fr-FR"/>
        </w:rPr>
        <w:t>s pour les procédures COYD et COYU à l'aide de différents logiciels (document à préparer par la France)</w:t>
      </w:r>
    </w:p>
    <w:p w14:paraId="2EEFEA0B" w14:textId="5C7CB3B2" w:rsidR="00B3651F" w:rsidRPr="0030161C" w:rsidRDefault="001901A1">
      <w:pPr>
        <w:spacing w:line="276" w:lineRule="auto"/>
        <w:ind w:left="2160" w:hanging="450"/>
        <w:rPr>
          <w:lang w:val="fr-FR"/>
        </w:rPr>
      </w:pPr>
      <w:r w:rsidRPr="0030161C">
        <w:rPr>
          <w:lang w:val="fr-FR"/>
        </w:rPr>
        <w:t>-</w:t>
      </w:r>
      <w:r w:rsidR="00551816">
        <w:rPr>
          <w:lang w:val="fr-FR"/>
        </w:rPr>
        <w:tab/>
      </w:r>
      <w:r w:rsidRPr="0030161C">
        <w:rPr>
          <w:lang w:val="fr-FR"/>
        </w:rPr>
        <w:t>Développement d'</w:t>
      </w:r>
      <w:r w:rsidRPr="0030161C">
        <w:rPr>
          <w:lang w:val="fr-FR"/>
        </w:rPr>
        <w:t>une plateforme Big Data pour l'examen DHS (document à préparer par la Chine).</w:t>
      </w:r>
    </w:p>
    <w:p w14:paraId="44F2758C" w14:textId="77777777" w:rsidR="00B3651F" w:rsidRPr="0030161C" w:rsidRDefault="001901A1">
      <w:pPr>
        <w:spacing w:line="276" w:lineRule="auto"/>
        <w:ind w:left="1530" w:hanging="450"/>
        <w:rPr>
          <w:lang w:val="fr-FR"/>
        </w:rPr>
      </w:pPr>
      <w:r w:rsidRPr="0030161C">
        <w:rPr>
          <w:lang w:val="fr-FR"/>
        </w:rPr>
        <w:t xml:space="preserve">(b) </w:t>
      </w:r>
      <w:r w:rsidRPr="0030161C">
        <w:rPr>
          <w:lang w:val="fr-FR"/>
        </w:rPr>
        <w:tab/>
      </w:r>
      <w:r w:rsidRPr="0030161C">
        <w:rPr>
          <w:lang w:val="fr-FR"/>
        </w:rPr>
        <w:t>Échange et utilisation de logiciels et d'équipements (document à préparer par le Bureau de l'Union et documents sollicités)</w:t>
      </w:r>
    </w:p>
    <w:p w14:paraId="249455A0" w14:textId="11E12179" w:rsidR="00B3651F" w:rsidRPr="0030161C" w:rsidRDefault="001901A1">
      <w:pPr>
        <w:spacing w:line="276" w:lineRule="auto"/>
        <w:ind w:left="2160" w:hanging="450"/>
        <w:rPr>
          <w:lang w:val="fr-FR"/>
        </w:rPr>
      </w:pPr>
      <w:r w:rsidRPr="0030161C">
        <w:rPr>
          <w:lang w:val="fr-FR"/>
        </w:rPr>
        <w:t>-</w:t>
      </w:r>
      <w:r w:rsidR="00551816">
        <w:rPr>
          <w:lang w:val="fr-FR"/>
        </w:rPr>
        <w:tab/>
      </w:r>
      <w:r w:rsidRPr="0030161C">
        <w:rPr>
          <w:lang w:val="fr-FR"/>
        </w:rPr>
        <w:t>Développement d'</w:t>
      </w:r>
      <w:r w:rsidRPr="0030161C">
        <w:rPr>
          <w:lang w:val="fr-FR"/>
        </w:rPr>
        <w:t>un logiciel d'analyse statistique : DUSCEL (document à préparer par la Chine)</w:t>
      </w:r>
    </w:p>
    <w:p w14:paraId="69A5A5D4" w14:textId="77777777" w:rsidR="00B3651F" w:rsidRPr="0030161C" w:rsidRDefault="001901A1">
      <w:pPr>
        <w:spacing w:line="276" w:lineRule="auto"/>
        <w:ind w:left="1134" w:hanging="567"/>
        <w:rPr>
          <w:lang w:val="fr-FR"/>
        </w:rPr>
      </w:pPr>
      <w:r w:rsidRPr="0030161C">
        <w:rPr>
          <w:lang w:val="fr-FR"/>
        </w:rPr>
        <w:t xml:space="preserve">6. </w:t>
      </w:r>
      <w:r w:rsidRPr="0030161C">
        <w:rPr>
          <w:lang w:val="fr-FR"/>
        </w:rPr>
        <w:tab/>
        <w:t xml:space="preserve">phénotypage et analyse d'images </w:t>
      </w:r>
      <w:r w:rsidRPr="0030161C">
        <w:rPr>
          <w:lang w:val="fr-FR"/>
        </w:rPr>
        <w:t>(communications invitées)</w:t>
      </w:r>
    </w:p>
    <w:p w14:paraId="12D79387" w14:textId="78F82F15" w:rsidR="00B3651F" w:rsidRPr="0030161C" w:rsidRDefault="001901A1" w:rsidP="00551816">
      <w:pPr>
        <w:spacing w:line="276" w:lineRule="auto"/>
        <w:ind w:left="2160" w:hanging="450"/>
        <w:rPr>
          <w:lang w:val="fr-FR"/>
        </w:rPr>
      </w:pPr>
      <w:r w:rsidRPr="0030161C">
        <w:rPr>
          <w:lang w:val="fr-FR"/>
        </w:rPr>
        <w:t>-</w:t>
      </w:r>
      <w:r w:rsidR="00551816">
        <w:rPr>
          <w:lang w:val="fr-FR"/>
        </w:rPr>
        <w:tab/>
      </w:r>
      <w:r w:rsidRPr="0030161C">
        <w:rPr>
          <w:lang w:val="fr-FR"/>
        </w:rPr>
        <w:t xml:space="preserve">Évaluation des </w:t>
      </w:r>
      <w:r w:rsidRPr="0030161C">
        <w:rPr>
          <w:lang w:val="fr-FR"/>
        </w:rPr>
        <w:t>caractéristiques de la couleur à l'aide de l'analyse d'images (communications invitées)</w:t>
      </w:r>
    </w:p>
    <w:p w14:paraId="73436FE4" w14:textId="1A440D76" w:rsidR="00B3651F" w:rsidRPr="0030161C" w:rsidRDefault="001901A1">
      <w:pPr>
        <w:spacing w:line="276" w:lineRule="auto"/>
        <w:ind w:left="1134" w:hanging="567"/>
        <w:rPr>
          <w:lang w:val="fr-FR"/>
        </w:rPr>
      </w:pPr>
      <w:r w:rsidRPr="0030161C">
        <w:rPr>
          <w:lang w:val="fr-FR"/>
        </w:rPr>
        <w:t>7.</w:t>
      </w:r>
      <w:r w:rsidR="00551816">
        <w:rPr>
          <w:lang w:val="fr-FR"/>
        </w:rPr>
        <w:tab/>
      </w:r>
      <w:r w:rsidRPr="0030161C">
        <w:rPr>
          <w:lang w:val="fr-FR"/>
        </w:rPr>
        <w:t>l'</w:t>
      </w:r>
      <w:r w:rsidRPr="0030161C">
        <w:rPr>
          <w:lang w:val="fr-FR"/>
        </w:rPr>
        <w:t>évolution des techniques moléculaires et de la bio-informatique</w:t>
      </w:r>
    </w:p>
    <w:p w14:paraId="7D287376" w14:textId="77777777" w:rsidR="00B3651F" w:rsidRPr="0030161C" w:rsidRDefault="001901A1">
      <w:pPr>
        <w:spacing w:line="276" w:lineRule="auto"/>
        <w:ind w:left="1530" w:hanging="450"/>
        <w:rPr>
          <w:lang w:val="fr-FR"/>
        </w:rPr>
      </w:pPr>
      <w:r w:rsidRPr="0030161C">
        <w:rPr>
          <w:lang w:val="fr-FR"/>
        </w:rPr>
        <w:t xml:space="preserve">(a) </w:t>
      </w:r>
      <w:r w:rsidRPr="0030161C">
        <w:rPr>
          <w:lang w:val="fr-FR"/>
        </w:rPr>
        <w:tab/>
        <w:t>Derniers développements en matière de techniques m</w:t>
      </w:r>
      <w:r w:rsidRPr="0030161C">
        <w:rPr>
          <w:lang w:val="fr-FR"/>
        </w:rPr>
        <w:t xml:space="preserve">oléculaires et de </w:t>
      </w:r>
      <w:proofErr w:type="spellStart"/>
      <w:r w:rsidRPr="0030161C">
        <w:rPr>
          <w:lang w:val="fr-FR"/>
        </w:rPr>
        <w:t>bioinformatique</w:t>
      </w:r>
      <w:proofErr w:type="spellEnd"/>
      <w:r w:rsidRPr="0030161C">
        <w:rPr>
          <w:lang w:val="fr-FR"/>
        </w:rPr>
        <w:t xml:space="preserve"> (communications sollicitées)</w:t>
      </w:r>
    </w:p>
    <w:p w14:paraId="13E27CF7" w14:textId="77777777" w:rsidR="00B3651F" w:rsidRPr="0030161C" w:rsidRDefault="001901A1">
      <w:pPr>
        <w:spacing w:line="276" w:lineRule="auto"/>
        <w:ind w:left="1530" w:hanging="450"/>
        <w:rPr>
          <w:lang w:val="fr-FR"/>
        </w:rPr>
      </w:pPr>
      <w:r w:rsidRPr="0030161C">
        <w:rPr>
          <w:lang w:val="fr-FR"/>
        </w:rPr>
        <w:t xml:space="preserve">(b) </w:t>
      </w:r>
      <w:r w:rsidRPr="0030161C">
        <w:rPr>
          <w:lang w:val="fr-FR"/>
        </w:rPr>
        <w:tab/>
        <w:t>Coopération entre les organisations internationales (document à préparer par le Bureau de l'Union et documents sollicités)</w:t>
      </w:r>
    </w:p>
    <w:p w14:paraId="72E0D663" w14:textId="77777777" w:rsidR="00B3651F" w:rsidRPr="0030161C" w:rsidRDefault="001901A1">
      <w:pPr>
        <w:spacing w:line="276" w:lineRule="auto"/>
        <w:ind w:left="1530" w:hanging="450"/>
        <w:rPr>
          <w:lang w:val="fr-FR"/>
        </w:rPr>
      </w:pPr>
      <w:r w:rsidRPr="0030161C">
        <w:rPr>
          <w:lang w:val="fr-FR"/>
        </w:rPr>
        <w:t xml:space="preserve">(c) </w:t>
      </w:r>
      <w:r w:rsidRPr="0030161C">
        <w:rPr>
          <w:lang w:val="fr-FR"/>
        </w:rPr>
        <w:tab/>
        <w:t xml:space="preserve">Compte rendu des travaux sur les techniques moléculaires en </w:t>
      </w:r>
      <w:r w:rsidRPr="0030161C">
        <w:rPr>
          <w:lang w:val="fr-FR"/>
        </w:rPr>
        <w:t>relation avec l'examen DHS (documents sollicités)</w:t>
      </w:r>
    </w:p>
    <w:p w14:paraId="368D78D2" w14:textId="77777777" w:rsidR="00B3651F" w:rsidRPr="0030161C" w:rsidRDefault="001901A1">
      <w:pPr>
        <w:spacing w:line="276" w:lineRule="auto"/>
        <w:ind w:left="1530" w:hanging="450"/>
        <w:rPr>
          <w:lang w:val="fr-FR"/>
        </w:rPr>
      </w:pPr>
      <w:r w:rsidRPr="0030161C">
        <w:rPr>
          <w:lang w:val="fr-FR"/>
        </w:rPr>
        <w:t xml:space="preserve">(d) </w:t>
      </w:r>
      <w:r w:rsidRPr="0030161C">
        <w:rPr>
          <w:lang w:val="fr-FR"/>
        </w:rPr>
        <w:tab/>
        <w:t xml:space="preserve">Méthodes d'analyse des données moléculaires, gestion des bases de données et échange de données et de matériel (communications sollicitées) </w:t>
      </w:r>
    </w:p>
    <w:p w14:paraId="6C60D6A5" w14:textId="77777777" w:rsidR="00B3651F" w:rsidRPr="0030161C" w:rsidRDefault="001901A1">
      <w:pPr>
        <w:spacing w:line="276" w:lineRule="auto"/>
        <w:ind w:left="1530" w:hanging="450"/>
        <w:rPr>
          <w:lang w:val="fr-FR"/>
        </w:rPr>
      </w:pPr>
      <w:r w:rsidRPr="0030161C">
        <w:rPr>
          <w:lang w:val="fr-FR"/>
        </w:rPr>
        <w:t xml:space="preserve">(e) </w:t>
      </w:r>
      <w:r w:rsidRPr="0030161C">
        <w:rPr>
          <w:lang w:val="fr-FR"/>
        </w:rPr>
        <w:tab/>
        <w:t>Confidentialité, propriété et accès aux données molécul</w:t>
      </w:r>
      <w:r w:rsidRPr="0030161C">
        <w:rPr>
          <w:lang w:val="fr-FR"/>
        </w:rPr>
        <w:t>aires, y compris un modèle d'accord</w:t>
      </w:r>
      <w:r w:rsidRPr="0030161C">
        <w:rPr>
          <w:vertAlign w:val="superscript"/>
          <w:lang w:val="fr-FR"/>
        </w:rPr>
        <w:t xml:space="preserve">1 </w:t>
      </w:r>
      <w:r w:rsidRPr="0030161C">
        <w:rPr>
          <w:lang w:val="fr-FR"/>
        </w:rPr>
        <w:t xml:space="preserve"> (communications sollicitées)</w:t>
      </w:r>
    </w:p>
    <w:p w14:paraId="5A176749" w14:textId="77777777" w:rsidR="00B3651F" w:rsidRPr="0030161C" w:rsidRDefault="001901A1">
      <w:pPr>
        <w:spacing w:line="276" w:lineRule="auto"/>
        <w:ind w:left="2160" w:hanging="450"/>
        <w:rPr>
          <w:vertAlign w:val="superscript"/>
          <w:lang w:val="fr-FR"/>
        </w:rPr>
      </w:pPr>
      <w:r w:rsidRPr="0030161C">
        <w:rPr>
          <w:lang w:val="fr-FR"/>
        </w:rPr>
        <w:t>-</w:t>
      </w:r>
      <w:r w:rsidRPr="0030161C">
        <w:rPr>
          <w:lang w:val="fr-FR"/>
        </w:rPr>
        <w:tab/>
      </w:r>
      <w:r w:rsidRPr="0030161C">
        <w:rPr>
          <w:rFonts w:cs="Arial"/>
          <w:iCs/>
          <w:lang w:val="fr-FR"/>
        </w:rPr>
        <w:t xml:space="preserve">Exemples de politiques de confidentialité et d'accès aux données d'information moléculaire </w:t>
      </w:r>
      <w:r w:rsidRPr="0030161C">
        <w:rPr>
          <w:lang w:val="fr-FR"/>
        </w:rPr>
        <w:t>(communications sollicitées)</w:t>
      </w:r>
    </w:p>
    <w:p w14:paraId="4EE2325C" w14:textId="77777777" w:rsidR="00B3651F" w:rsidRPr="0030161C" w:rsidRDefault="001901A1">
      <w:pPr>
        <w:spacing w:line="276" w:lineRule="auto"/>
        <w:ind w:left="1530" w:hanging="450"/>
        <w:rPr>
          <w:lang w:val="fr-FR"/>
        </w:rPr>
      </w:pPr>
      <w:r w:rsidRPr="0030161C">
        <w:rPr>
          <w:lang w:val="fr-FR"/>
        </w:rPr>
        <w:t xml:space="preserve">(f) </w:t>
      </w:r>
      <w:r w:rsidRPr="0030161C">
        <w:rPr>
          <w:lang w:val="fr-FR"/>
        </w:rPr>
        <w:tab/>
        <w:t>L'utilisation de techniques moléculaires dans l'examen de la d</w:t>
      </w:r>
      <w:r w:rsidRPr="0030161C">
        <w:rPr>
          <w:lang w:val="fr-FR"/>
        </w:rPr>
        <w:t>érivation essentielle</w:t>
      </w:r>
      <w:r w:rsidRPr="0030161C">
        <w:rPr>
          <w:rStyle w:val="FootnoteReference"/>
          <w:lang w:val="fr-FR"/>
        </w:rPr>
        <w:footnoteReference w:id="12"/>
      </w:r>
      <w:r w:rsidRPr="0030161C">
        <w:rPr>
          <w:lang w:val="fr-FR"/>
        </w:rPr>
        <w:t xml:space="preserve"> (communications sollicitées)</w:t>
      </w:r>
    </w:p>
    <w:p w14:paraId="56B2E144" w14:textId="77777777" w:rsidR="00B3651F" w:rsidRPr="0030161C" w:rsidRDefault="001901A1">
      <w:pPr>
        <w:spacing w:line="276" w:lineRule="auto"/>
        <w:ind w:left="1530" w:hanging="450"/>
        <w:rPr>
          <w:lang w:val="fr-FR"/>
        </w:rPr>
      </w:pPr>
      <w:r w:rsidRPr="0030161C">
        <w:rPr>
          <w:lang w:val="fr-FR"/>
        </w:rPr>
        <w:t xml:space="preserve">(g) </w:t>
      </w:r>
      <w:r w:rsidRPr="0030161C">
        <w:rPr>
          <w:lang w:val="fr-FR"/>
        </w:rPr>
        <w:tab/>
        <w:t>L'utilisation de techniques moléculaires dans l'identification des variétés</w:t>
      </w:r>
      <w:r w:rsidRPr="0030161C">
        <w:rPr>
          <w:vertAlign w:val="superscript"/>
          <w:lang w:val="fr-FR"/>
        </w:rPr>
        <w:t>1</w:t>
      </w:r>
      <w:r w:rsidRPr="0030161C">
        <w:rPr>
          <w:lang w:val="fr-FR"/>
        </w:rPr>
        <w:t xml:space="preserve"> (communications sollicitées)</w:t>
      </w:r>
    </w:p>
    <w:p w14:paraId="2778D27C" w14:textId="77777777" w:rsidR="00B3651F" w:rsidRPr="0030161C" w:rsidRDefault="001901A1">
      <w:pPr>
        <w:spacing w:line="276" w:lineRule="auto"/>
        <w:ind w:left="1530" w:hanging="450"/>
        <w:rPr>
          <w:lang w:val="fr-FR"/>
        </w:rPr>
      </w:pPr>
      <w:r w:rsidRPr="0030161C">
        <w:rPr>
          <w:lang w:val="fr-FR"/>
        </w:rPr>
        <w:t xml:space="preserve">(h) </w:t>
      </w:r>
      <w:r w:rsidRPr="0030161C">
        <w:rPr>
          <w:lang w:val="fr-FR"/>
        </w:rPr>
        <w:tab/>
        <w:t>L'utilisation de techniques moléculaires pour l'application de la loi</w:t>
      </w:r>
      <w:r w:rsidRPr="0030161C">
        <w:rPr>
          <w:vertAlign w:val="superscript"/>
          <w:lang w:val="fr-FR"/>
        </w:rPr>
        <w:t>1</w:t>
      </w:r>
      <w:r w:rsidRPr="0030161C">
        <w:rPr>
          <w:lang w:val="fr-FR"/>
        </w:rPr>
        <w:t xml:space="preserve"> (communications </w:t>
      </w:r>
      <w:r w:rsidRPr="0030161C">
        <w:rPr>
          <w:lang w:val="fr-FR"/>
        </w:rPr>
        <w:t>sollicitées)</w:t>
      </w:r>
    </w:p>
    <w:p w14:paraId="612F9E49" w14:textId="77777777" w:rsidR="00B3651F" w:rsidRPr="0030161C" w:rsidRDefault="001901A1">
      <w:pPr>
        <w:spacing w:line="276" w:lineRule="auto"/>
        <w:ind w:left="1134" w:hanging="567"/>
        <w:rPr>
          <w:lang w:val="fr-FR"/>
        </w:rPr>
      </w:pPr>
      <w:r w:rsidRPr="0030161C">
        <w:rPr>
          <w:lang w:val="fr-FR"/>
        </w:rPr>
        <w:t xml:space="preserve">8. </w:t>
      </w:r>
      <w:r w:rsidRPr="0030161C">
        <w:rPr>
          <w:lang w:val="fr-FR"/>
        </w:rPr>
        <w:tab/>
        <w:t>date et lieu de la prochaine session</w:t>
      </w:r>
    </w:p>
    <w:p w14:paraId="7AD83C0B" w14:textId="77777777" w:rsidR="00B3651F" w:rsidRPr="0030161C" w:rsidRDefault="001901A1">
      <w:pPr>
        <w:spacing w:line="276" w:lineRule="auto"/>
        <w:ind w:left="1134" w:hanging="567"/>
        <w:rPr>
          <w:lang w:val="fr-FR"/>
        </w:rPr>
      </w:pPr>
      <w:r w:rsidRPr="0030161C">
        <w:rPr>
          <w:lang w:val="fr-FR"/>
        </w:rPr>
        <w:t xml:space="preserve">9. </w:t>
      </w:r>
      <w:r w:rsidRPr="0030161C">
        <w:rPr>
          <w:lang w:val="fr-FR"/>
        </w:rPr>
        <w:tab/>
        <w:t>Programme futur</w:t>
      </w:r>
    </w:p>
    <w:p w14:paraId="548476EB" w14:textId="77777777" w:rsidR="00B3651F" w:rsidRPr="0030161C" w:rsidRDefault="001901A1">
      <w:pPr>
        <w:spacing w:line="276" w:lineRule="auto"/>
        <w:ind w:left="1134" w:hanging="567"/>
        <w:rPr>
          <w:lang w:val="fr-FR"/>
        </w:rPr>
      </w:pPr>
      <w:r w:rsidRPr="0030161C">
        <w:rPr>
          <w:lang w:val="fr-FR"/>
        </w:rPr>
        <w:t>10.</w:t>
      </w:r>
      <w:r w:rsidRPr="0030161C">
        <w:rPr>
          <w:lang w:val="fr-FR"/>
        </w:rPr>
        <w:tab/>
        <w:t>Adoption du Compte rendu de la session (si le temps le permet)</w:t>
      </w:r>
    </w:p>
    <w:p w14:paraId="78D2F833" w14:textId="77777777" w:rsidR="00B3651F" w:rsidRPr="0030161C" w:rsidRDefault="001901A1">
      <w:pPr>
        <w:spacing w:line="276" w:lineRule="auto"/>
        <w:ind w:left="1134" w:hanging="567"/>
        <w:rPr>
          <w:lang w:val="fr-FR"/>
        </w:rPr>
      </w:pPr>
      <w:r w:rsidRPr="0030161C">
        <w:rPr>
          <w:lang w:val="fr-FR"/>
        </w:rPr>
        <w:t xml:space="preserve">11. </w:t>
      </w:r>
      <w:r w:rsidRPr="0030161C">
        <w:rPr>
          <w:lang w:val="fr-FR"/>
        </w:rPr>
        <w:tab/>
        <w:t>clôture de la session</w:t>
      </w:r>
    </w:p>
    <w:p w14:paraId="5088ACC5" w14:textId="77777777" w:rsidR="00D75187" w:rsidRPr="0030161C" w:rsidRDefault="00D75187" w:rsidP="002C721C">
      <w:pPr>
        <w:rPr>
          <w:lang w:val="fr-FR"/>
        </w:rPr>
      </w:pPr>
    </w:p>
    <w:p w14:paraId="2658DF4E" w14:textId="77777777" w:rsidR="00D75187" w:rsidRPr="0030161C" w:rsidRDefault="00D75187" w:rsidP="002C721C">
      <w:pPr>
        <w:rPr>
          <w:lang w:val="fr-FR"/>
        </w:rPr>
      </w:pPr>
    </w:p>
    <w:p w14:paraId="3A7B6FBB" w14:textId="77777777" w:rsidR="00B3651F" w:rsidRPr="0030161C" w:rsidRDefault="001901A1">
      <w:pPr>
        <w:pStyle w:val="Heading2"/>
        <w:rPr>
          <w:rFonts w:eastAsia="MS Mincho"/>
          <w:lang w:val="fr-FR"/>
        </w:rPr>
      </w:pPr>
      <w:bookmarkStart w:id="13" w:name="_Toc148112882"/>
      <w:r w:rsidRPr="0030161C">
        <w:rPr>
          <w:rFonts w:eastAsia="MS Mincho"/>
          <w:lang w:val="fr-FR"/>
        </w:rPr>
        <w:t xml:space="preserve">Exposés </w:t>
      </w:r>
      <w:r w:rsidRPr="0030161C">
        <w:rPr>
          <w:rFonts w:eastAsia="MS Mincho"/>
          <w:lang w:val="fr-FR"/>
        </w:rPr>
        <w:t>sur l'utilisation des techniques moléculaires dans l'examen DHS</w:t>
      </w:r>
      <w:bookmarkEnd w:id="13"/>
    </w:p>
    <w:p w14:paraId="2C7A1BD9" w14:textId="77777777" w:rsidR="002C721C" w:rsidRPr="0030161C" w:rsidRDefault="002C721C" w:rsidP="002C721C">
      <w:pPr>
        <w:keepNext/>
        <w:rPr>
          <w:lang w:val="fr-FR"/>
        </w:rPr>
      </w:pPr>
    </w:p>
    <w:p w14:paraId="638B0F2C" w14:textId="3FC52FE0" w:rsidR="00B3651F" w:rsidRPr="0030161C" w:rsidRDefault="001901A1">
      <w:pPr>
        <w:rPr>
          <w:lang w:val="fr-FR"/>
        </w:rPr>
      </w:pPr>
      <w:r w:rsidRPr="0030161C">
        <w:rPr>
          <w:lang w:val="fr-FR"/>
        </w:rPr>
        <w:fldChar w:fldCharType="begin"/>
      </w:r>
      <w:r w:rsidRPr="0030161C">
        <w:rPr>
          <w:lang w:val="fr-FR"/>
        </w:rPr>
        <w:instrText xml:space="preserve"> AUTONUM  </w:instrText>
      </w:r>
      <w:r w:rsidRPr="0030161C">
        <w:rPr>
          <w:lang w:val="fr-FR"/>
        </w:rPr>
        <w:fldChar w:fldCharType="end"/>
      </w:r>
      <w:r w:rsidR="00551816">
        <w:rPr>
          <w:lang w:val="fr-FR"/>
        </w:rPr>
        <w:tab/>
      </w:r>
      <w:r w:rsidRPr="0030161C">
        <w:rPr>
          <w:lang w:val="fr-FR"/>
        </w:rPr>
        <w:t>Le TWA</w:t>
      </w:r>
      <w:r w:rsidRPr="0030161C">
        <w:rPr>
          <w:rStyle w:val="FootnoteReference"/>
          <w:lang w:val="fr-FR"/>
        </w:rPr>
        <w:footnoteReference w:id="13"/>
      </w:r>
      <w:r w:rsidRPr="0030161C">
        <w:rPr>
          <w:lang w:val="fr-FR"/>
        </w:rPr>
        <w:t xml:space="preserve"> a reçu un exposé sur l'</w:t>
      </w:r>
      <w:r w:rsidRPr="0030161C">
        <w:rPr>
          <w:lang w:val="fr-FR"/>
        </w:rPr>
        <w:t xml:space="preserve">expérience de l'Argentine en matière de génotypage du riz, présenté par un expert de l'Argentine.  Un </w:t>
      </w:r>
      <w:r w:rsidRPr="0030161C">
        <w:rPr>
          <w:lang w:val="fr-FR"/>
        </w:rPr>
        <w:t xml:space="preserve">exemplaire de cet exposé </w:t>
      </w:r>
      <w:r w:rsidRPr="0030161C">
        <w:rPr>
          <w:lang w:val="fr-FR"/>
        </w:rPr>
        <w:t xml:space="preserve">figure </w:t>
      </w:r>
      <w:r w:rsidRPr="0030161C">
        <w:rPr>
          <w:lang w:val="fr-FR"/>
        </w:rPr>
        <w:t>à l'</w:t>
      </w:r>
      <w:r w:rsidRPr="0030161C">
        <w:rPr>
          <w:lang w:val="fr-FR"/>
        </w:rPr>
        <w:t xml:space="preserve">annexe I </w:t>
      </w:r>
      <w:r w:rsidR="006A1465" w:rsidRPr="0030161C">
        <w:rPr>
          <w:lang w:val="fr-FR"/>
        </w:rPr>
        <w:t xml:space="preserve">du </w:t>
      </w:r>
      <w:r w:rsidRPr="0030161C">
        <w:rPr>
          <w:lang w:val="fr-FR"/>
        </w:rPr>
        <w:t xml:space="preserve">document </w:t>
      </w:r>
      <w:r w:rsidRPr="0030161C">
        <w:rPr>
          <w:rFonts w:eastAsia="MS Mincho"/>
          <w:lang w:val="fr-FR"/>
        </w:rPr>
        <w:t>TWA/52/6</w:t>
      </w:r>
      <w:r w:rsidRPr="0030161C">
        <w:rPr>
          <w:rStyle w:val="FootnoteReference"/>
          <w:rFonts w:eastAsia="MS Mincho"/>
          <w:lang w:val="fr-FR"/>
        </w:rPr>
        <w:footnoteReference w:id="14"/>
      </w:r>
      <w:r w:rsidRPr="0030161C">
        <w:rPr>
          <w:rFonts w:eastAsia="MS Mincho"/>
          <w:lang w:val="fr-FR"/>
        </w:rPr>
        <w:t xml:space="preserve"> .</w:t>
      </w:r>
    </w:p>
    <w:p w14:paraId="68D205CA" w14:textId="77777777" w:rsidR="002C721C" w:rsidRPr="0030161C" w:rsidRDefault="002C721C" w:rsidP="002C721C">
      <w:pPr>
        <w:rPr>
          <w:lang w:val="fr-FR"/>
        </w:rPr>
      </w:pPr>
    </w:p>
    <w:p w14:paraId="5C350B6B" w14:textId="0ACA6D35" w:rsidR="00B3651F" w:rsidRPr="0030161C" w:rsidRDefault="001901A1">
      <w:pPr>
        <w:rPr>
          <w:lang w:val="fr-FR"/>
        </w:rPr>
      </w:pPr>
      <w:r w:rsidRPr="0030161C">
        <w:rPr>
          <w:lang w:val="fr-FR"/>
        </w:rPr>
        <w:fldChar w:fldCharType="begin"/>
      </w:r>
      <w:r w:rsidRPr="0030161C">
        <w:rPr>
          <w:lang w:val="fr-FR"/>
        </w:rPr>
        <w:instrText xml:space="preserve"> AUTONUM  </w:instrText>
      </w:r>
      <w:r w:rsidRPr="0030161C">
        <w:rPr>
          <w:lang w:val="fr-FR"/>
        </w:rPr>
        <w:fldChar w:fldCharType="end"/>
      </w:r>
      <w:r w:rsidR="00551816">
        <w:rPr>
          <w:lang w:val="fr-FR"/>
        </w:rPr>
        <w:tab/>
      </w:r>
      <w:r w:rsidRPr="0030161C">
        <w:rPr>
          <w:lang w:val="fr-FR"/>
        </w:rPr>
        <w:t xml:space="preserve">Le TWA </w:t>
      </w:r>
      <w:r w:rsidRPr="0030161C">
        <w:rPr>
          <w:lang w:val="fr-FR"/>
        </w:rPr>
        <w:t xml:space="preserve">a reçu un exposé sur </w:t>
      </w:r>
      <w:r w:rsidRPr="0030161C">
        <w:rPr>
          <w:lang w:val="fr-FR"/>
        </w:rPr>
        <w:t xml:space="preserve">"l'utilisation des techniques moléculaires dans l'examen DHS : Field trials </w:t>
      </w:r>
      <w:proofErr w:type="spellStart"/>
      <w:r w:rsidRPr="0030161C">
        <w:rPr>
          <w:lang w:val="fr-FR"/>
        </w:rPr>
        <w:t>details</w:t>
      </w:r>
      <w:proofErr w:type="spellEnd"/>
      <w:r w:rsidRPr="0030161C">
        <w:rPr>
          <w:lang w:val="fr-FR"/>
        </w:rPr>
        <w:t xml:space="preserve"> of the Argentine </w:t>
      </w:r>
      <w:proofErr w:type="spellStart"/>
      <w:r w:rsidRPr="0030161C">
        <w:rPr>
          <w:lang w:val="fr-FR"/>
        </w:rPr>
        <w:t>Soybean</w:t>
      </w:r>
      <w:proofErr w:type="spellEnd"/>
      <w:r w:rsidRPr="0030161C">
        <w:rPr>
          <w:lang w:val="fr-FR"/>
        </w:rPr>
        <w:t xml:space="preserve"> </w:t>
      </w:r>
      <w:proofErr w:type="spellStart"/>
      <w:r w:rsidRPr="0030161C">
        <w:rPr>
          <w:lang w:val="fr-FR"/>
        </w:rPr>
        <w:t>experience</w:t>
      </w:r>
      <w:proofErr w:type="spellEnd"/>
      <w:r w:rsidRPr="0030161C">
        <w:rPr>
          <w:lang w:val="fr-FR"/>
        </w:rPr>
        <w:t xml:space="preserve">" par un expert de l'Argentine.  Une </w:t>
      </w:r>
      <w:r w:rsidRPr="0030161C">
        <w:rPr>
          <w:lang w:val="fr-FR"/>
        </w:rPr>
        <w:t xml:space="preserve">copie de l'exposé </w:t>
      </w:r>
      <w:r w:rsidRPr="0030161C">
        <w:rPr>
          <w:lang w:val="fr-FR"/>
        </w:rPr>
        <w:t xml:space="preserve">figure </w:t>
      </w:r>
      <w:r w:rsidRPr="0030161C">
        <w:rPr>
          <w:lang w:val="fr-FR"/>
        </w:rPr>
        <w:t>à l'</w:t>
      </w:r>
      <w:r w:rsidRPr="0030161C">
        <w:rPr>
          <w:lang w:val="fr-FR"/>
        </w:rPr>
        <w:t xml:space="preserve">annexe II </w:t>
      </w:r>
      <w:r w:rsidR="006A1465" w:rsidRPr="0030161C">
        <w:rPr>
          <w:lang w:val="fr-FR"/>
        </w:rPr>
        <w:t xml:space="preserve">du </w:t>
      </w:r>
      <w:r w:rsidRPr="0030161C">
        <w:rPr>
          <w:lang w:val="fr-FR"/>
        </w:rPr>
        <w:t xml:space="preserve">document </w:t>
      </w:r>
      <w:r w:rsidRPr="0030161C">
        <w:rPr>
          <w:rFonts w:eastAsia="MS Mincho"/>
          <w:lang w:val="fr-FR"/>
        </w:rPr>
        <w:t>TWA/52/6</w:t>
      </w:r>
      <w:r w:rsidRPr="0030161C">
        <w:rPr>
          <w:rFonts w:eastAsia="MS Mincho"/>
          <w:lang w:val="fr-FR"/>
        </w:rPr>
        <w:t>.</w:t>
      </w:r>
    </w:p>
    <w:p w14:paraId="7A03FD6E" w14:textId="77777777" w:rsidR="002C721C" w:rsidRPr="0030161C" w:rsidRDefault="002C721C" w:rsidP="002C721C">
      <w:pPr>
        <w:keepNext/>
        <w:rPr>
          <w:lang w:val="fr-FR"/>
        </w:rPr>
      </w:pPr>
    </w:p>
    <w:p w14:paraId="061E64F1" w14:textId="77777777" w:rsidR="00B3651F" w:rsidRPr="0030161C" w:rsidRDefault="001901A1">
      <w:pPr>
        <w:keepNext/>
        <w:rPr>
          <w:lang w:val="fr-FR"/>
        </w:rPr>
      </w:pPr>
      <w:r w:rsidRPr="0030161C">
        <w:rPr>
          <w:lang w:val="fr-FR"/>
        </w:rPr>
        <w:fldChar w:fldCharType="begin"/>
      </w:r>
      <w:r w:rsidRPr="0030161C">
        <w:rPr>
          <w:lang w:val="fr-FR"/>
        </w:rPr>
        <w:instrText xml:space="preserve"> AUTONUM  </w:instrText>
      </w:r>
      <w:r w:rsidRPr="0030161C">
        <w:rPr>
          <w:lang w:val="fr-FR"/>
        </w:rPr>
        <w:fldChar w:fldCharType="end"/>
      </w:r>
      <w:r w:rsidRPr="0030161C">
        <w:rPr>
          <w:lang w:val="fr-FR"/>
        </w:rPr>
        <w:tab/>
        <w:t>Le TWF</w:t>
      </w:r>
      <w:r w:rsidRPr="0030161C">
        <w:rPr>
          <w:rStyle w:val="FootnoteReference"/>
          <w:lang w:val="fr-FR"/>
        </w:rPr>
        <w:footnoteReference w:id="15"/>
      </w:r>
      <w:r w:rsidRPr="0030161C">
        <w:rPr>
          <w:lang w:val="fr-FR"/>
        </w:rPr>
        <w:t xml:space="preserve"> a reçu un exposé</w:t>
      </w:r>
      <w:r w:rsidRPr="0030161C">
        <w:rPr>
          <w:lang w:val="fr-FR"/>
        </w:rPr>
        <w:t xml:space="preserve"> sur l'utilisation de marqueurs moléculaires à l'appui de l'examen DHS en France, dont une copie figurera dans le document TWF/54/3</w:t>
      </w:r>
      <w:r w:rsidRPr="0030161C">
        <w:rPr>
          <w:rStyle w:val="FootnoteReference"/>
          <w:lang w:val="fr-FR"/>
        </w:rPr>
        <w:footnoteReference w:id="16"/>
      </w:r>
      <w:r w:rsidRPr="0030161C">
        <w:rPr>
          <w:lang w:val="fr-FR"/>
        </w:rPr>
        <w:t xml:space="preserve"> .  </w:t>
      </w:r>
    </w:p>
    <w:p w14:paraId="57132E51" w14:textId="77777777" w:rsidR="002C721C" w:rsidRPr="0030161C" w:rsidRDefault="002C721C" w:rsidP="00E209FA">
      <w:pPr>
        <w:rPr>
          <w:snapToGrid w:val="0"/>
          <w:lang w:val="fr-FR" w:eastAsia="ja-JP"/>
        </w:rPr>
      </w:pPr>
    </w:p>
    <w:p w14:paraId="15E4BF2E" w14:textId="77777777" w:rsidR="002C721C" w:rsidRPr="0030161C" w:rsidRDefault="002C721C" w:rsidP="00E209FA">
      <w:pPr>
        <w:rPr>
          <w:snapToGrid w:val="0"/>
          <w:lang w:val="fr-FR" w:eastAsia="ja-JP"/>
        </w:rPr>
      </w:pPr>
    </w:p>
    <w:p w14:paraId="038714D1" w14:textId="77777777" w:rsidR="00B3651F" w:rsidRPr="0030161C" w:rsidRDefault="001901A1">
      <w:pPr>
        <w:pStyle w:val="Heading2"/>
        <w:rPr>
          <w:lang w:val="fr-FR" w:eastAsia="ja-JP"/>
        </w:rPr>
      </w:pPr>
      <w:bookmarkStart w:id="14" w:name="_Toc525647214"/>
      <w:bookmarkStart w:id="15" w:name="_Toc526175654"/>
      <w:bookmarkStart w:id="16" w:name="_Toc148112883"/>
      <w:r w:rsidRPr="0030161C">
        <w:rPr>
          <w:lang w:val="fr-FR" w:eastAsia="ja-JP"/>
        </w:rPr>
        <w:lastRenderedPageBreak/>
        <w:t>Coopération entre les organisations internationales</w:t>
      </w:r>
      <w:bookmarkEnd w:id="14"/>
      <w:bookmarkEnd w:id="15"/>
      <w:bookmarkEnd w:id="16"/>
    </w:p>
    <w:p w14:paraId="703645E1" w14:textId="77777777" w:rsidR="00E209FA" w:rsidRPr="0030161C" w:rsidRDefault="00E209FA" w:rsidP="00E209FA">
      <w:pPr>
        <w:keepNext/>
        <w:rPr>
          <w:rFonts w:cs="Arial"/>
          <w:iCs/>
          <w:lang w:val="fr-FR"/>
        </w:rPr>
      </w:pPr>
    </w:p>
    <w:p w14:paraId="6D23AC2A" w14:textId="77777777" w:rsidR="00B3651F" w:rsidRPr="0030161C" w:rsidRDefault="001901A1">
      <w:pPr>
        <w:rPr>
          <w:rFonts w:eastAsiaTheme="minorEastAsia"/>
          <w:lang w:val="fr-FR" w:eastAsia="ja-JP"/>
        </w:rPr>
      </w:pPr>
      <w:r w:rsidRPr="0030161C">
        <w:rPr>
          <w:lang w:val="fr-FR"/>
        </w:rPr>
        <w:fldChar w:fldCharType="begin"/>
      </w:r>
      <w:r w:rsidRPr="0030161C">
        <w:rPr>
          <w:lang w:val="fr-FR"/>
        </w:rPr>
        <w:instrText xml:space="preserve"> AUTONUM  </w:instrText>
      </w:r>
      <w:r w:rsidRPr="0030161C">
        <w:rPr>
          <w:lang w:val="fr-FR"/>
        </w:rPr>
        <w:fldChar w:fldCharType="end"/>
      </w:r>
      <w:r w:rsidRPr="0030161C">
        <w:rPr>
          <w:lang w:val="fr-FR"/>
        </w:rPr>
        <w:tab/>
      </w:r>
      <w:r w:rsidRPr="0030161C">
        <w:rPr>
          <w:rFonts w:eastAsiaTheme="minorEastAsia"/>
          <w:lang w:val="fr-FR" w:eastAsia="ja-JP"/>
        </w:rPr>
        <w:t xml:space="preserve">L'historique de </w:t>
      </w:r>
      <w:r w:rsidRPr="0030161C">
        <w:rPr>
          <w:rFonts w:eastAsiaTheme="minorEastAsia"/>
          <w:lang w:val="fr-FR" w:eastAsia="ja-JP"/>
        </w:rPr>
        <w:t>cette question est présenté dans l</w:t>
      </w:r>
      <w:r w:rsidRPr="0030161C">
        <w:rPr>
          <w:rFonts w:eastAsiaTheme="minorEastAsia"/>
          <w:lang w:val="fr-FR" w:eastAsia="ja-JP"/>
        </w:rPr>
        <w:t xml:space="preserve">e document </w:t>
      </w:r>
      <w:r w:rsidRPr="0030161C">
        <w:rPr>
          <w:rFonts w:eastAsiaTheme="minorEastAsia"/>
          <w:lang w:val="fr-FR" w:eastAsia="ja-JP"/>
        </w:rPr>
        <w:t xml:space="preserve">TC/58/7 </w:t>
      </w:r>
      <w:r w:rsidRPr="0030161C">
        <w:rPr>
          <w:lang w:val="fr-FR" w:eastAsia="ja-JP"/>
        </w:rPr>
        <w:t>"Techniques moléculaires".</w:t>
      </w:r>
    </w:p>
    <w:p w14:paraId="0C90C8F6" w14:textId="77777777" w:rsidR="00E209FA" w:rsidRPr="0030161C" w:rsidRDefault="00E209FA" w:rsidP="00E209FA">
      <w:pPr>
        <w:rPr>
          <w:rFonts w:eastAsiaTheme="minorEastAsia"/>
          <w:lang w:val="fr-FR" w:eastAsia="ja-JP"/>
        </w:rPr>
      </w:pPr>
    </w:p>
    <w:p w14:paraId="297A4907" w14:textId="77777777" w:rsidR="00B3651F" w:rsidRPr="0030161C" w:rsidRDefault="001901A1">
      <w:pPr>
        <w:rPr>
          <w:rFonts w:eastAsiaTheme="minorEastAsia"/>
          <w:lang w:val="fr-FR" w:eastAsia="ja-JP"/>
        </w:rPr>
      </w:pPr>
      <w:r w:rsidRPr="0030161C">
        <w:rPr>
          <w:rFonts w:eastAsiaTheme="minorEastAsia"/>
          <w:lang w:val="fr-FR" w:eastAsia="ja-JP"/>
        </w:rPr>
        <w:fldChar w:fldCharType="begin"/>
      </w:r>
      <w:r w:rsidRPr="0030161C">
        <w:rPr>
          <w:rFonts w:eastAsiaTheme="minorEastAsia"/>
          <w:lang w:val="fr-FR" w:eastAsia="ja-JP"/>
        </w:rPr>
        <w:instrText xml:space="preserve"> AUTONUM  </w:instrText>
      </w:r>
      <w:r w:rsidRPr="0030161C">
        <w:rPr>
          <w:rFonts w:eastAsiaTheme="minorEastAsia"/>
          <w:lang w:val="fr-FR" w:eastAsia="ja-JP"/>
        </w:rPr>
        <w:fldChar w:fldCharType="end"/>
      </w:r>
      <w:r w:rsidRPr="0030161C">
        <w:rPr>
          <w:rFonts w:eastAsiaTheme="minorEastAsia"/>
          <w:lang w:val="fr-FR" w:eastAsia="ja-JP"/>
        </w:rPr>
        <w:tab/>
        <w:t>Le TC, lors de sa cinquante-quatrième session</w:t>
      </w:r>
      <w:r w:rsidRPr="0030161C">
        <w:rPr>
          <w:rFonts w:eastAsiaTheme="minorEastAsia"/>
          <w:vertAlign w:val="superscript"/>
          <w:lang w:val="fr-FR" w:eastAsia="ja-JP"/>
        </w:rPr>
        <w:footnoteReference w:id="17"/>
      </w:r>
      <w:r w:rsidRPr="0030161C">
        <w:rPr>
          <w:rFonts w:eastAsiaTheme="minorEastAsia"/>
          <w:lang w:val="fr-FR" w:eastAsia="ja-JP"/>
        </w:rPr>
        <w:t xml:space="preserve"> , est convenu que l'UPOV et l'OCDE devraient progresser sur les questions précédemment approuvées par le TC, à savoir (voir le document TC/54/31 "Compte rendu", paragraphe 268</w:t>
      </w:r>
      <w:r w:rsidR="00794A18" w:rsidRPr="0030161C">
        <w:rPr>
          <w:rFonts w:eastAsiaTheme="minorEastAsia"/>
          <w:lang w:val="fr-FR" w:eastAsia="ja-JP"/>
        </w:rPr>
        <w:t xml:space="preserve">) </w:t>
      </w:r>
      <w:r w:rsidRPr="0030161C">
        <w:rPr>
          <w:rFonts w:eastAsiaTheme="minorEastAsia"/>
          <w:lang w:val="fr-FR" w:eastAsia="ja-JP"/>
        </w:rPr>
        <w:t xml:space="preserve">: </w:t>
      </w:r>
    </w:p>
    <w:p w14:paraId="53506C35" w14:textId="77777777" w:rsidR="00E209FA" w:rsidRPr="0030161C" w:rsidRDefault="00E209FA" w:rsidP="00E209FA">
      <w:pPr>
        <w:rPr>
          <w:rFonts w:eastAsiaTheme="minorEastAsia"/>
          <w:lang w:val="fr-FR" w:eastAsia="ja-JP"/>
        </w:rPr>
      </w:pPr>
    </w:p>
    <w:p w14:paraId="4F53FEDA" w14:textId="77777777" w:rsidR="00B3651F" w:rsidRPr="0030161C" w:rsidRDefault="001901A1">
      <w:pPr>
        <w:ind w:firstLine="567"/>
        <w:rPr>
          <w:rFonts w:eastAsiaTheme="minorEastAsia"/>
          <w:lang w:val="fr-FR" w:eastAsia="ja-JP"/>
        </w:rPr>
      </w:pPr>
      <w:r w:rsidRPr="0030161C">
        <w:rPr>
          <w:rFonts w:eastAsiaTheme="minorEastAsia"/>
          <w:lang w:val="fr-FR" w:eastAsia="ja-JP"/>
        </w:rPr>
        <w:t xml:space="preserve">(a) </w:t>
      </w:r>
      <w:r w:rsidRPr="0030161C">
        <w:rPr>
          <w:rFonts w:eastAsiaTheme="minorEastAsia"/>
          <w:lang w:val="fr-FR" w:eastAsia="ja-JP"/>
        </w:rPr>
        <w:tab/>
        <w:t>élaborer un document commun expliquant les principales caractéristiqu</w:t>
      </w:r>
      <w:r w:rsidRPr="0030161C">
        <w:rPr>
          <w:rFonts w:eastAsiaTheme="minorEastAsia"/>
          <w:lang w:val="fr-FR" w:eastAsia="ja-JP"/>
        </w:rPr>
        <w:t xml:space="preserve">es des systèmes de l'OCDE, de l'UPOV et de l'ISTA ; </w:t>
      </w:r>
    </w:p>
    <w:p w14:paraId="6464C39D" w14:textId="77777777" w:rsidR="00E209FA" w:rsidRPr="0030161C" w:rsidRDefault="00E209FA" w:rsidP="00E209FA">
      <w:pPr>
        <w:ind w:firstLine="567"/>
        <w:rPr>
          <w:rFonts w:eastAsiaTheme="minorEastAsia"/>
          <w:lang w:val="fr-FR" w:eastAsia="ja-JP"/>
        </w:rPr>
      </w:pPr>
    </w:p>
    <w:p w14:paraId="08B156C0" w14:textId="77777777" w:rsidR="00B3651F" w:rsidRPr="0030161C" w:rsidRDefault="001901A1">
      <w:pPr>
        <w:ind w:firstLine="567"/>
        <w:rPr>
          <w:rFonts w:eastAsiaTheme="minorEastAsia"/>
          <w:lang w:val="fr-FR" w:eastAsia="ja-JP"/>
        </w:rPr>
      </w:pPr>
      <w:r w:rsidRPr="0030161C">
        <w:rPr>
          <w:rFonts w:eastAsiaTheme="minorEastAsia"/>
          <w:lang w:val="fr-FR" w:eastAsia="ja-JP"/>
        </w:rPr>
        <w:t xml:space="preserve">(b) </w:t>
      </w:r>
      <w:r w:rsidRPr="0030161C">
        <w:rPr>
          <w:rFonts w:eastAsiaTheme="minorEastAsia"/>
          <w:lang w:val="fr-FR" w:eastAsia="ja-JP"/>
        </w:rPr>
        <w:tab/>
      </w:r>
      <w:r w:rsidRPr="0030161C">
        <w:rPr>
          <w:rFonts w:eastAsiaTheme="minorEastAsia"/>
          <w:lang w:val="fr-FR" w:eastAsia="ja-JP"/>
        </w:rPr>
        <w:t>de dresser un inventaire de l'utilisation des techniques de marquage moléculaire, par culture, en vue d'élaborer un document conjoint OCDE/UPOV/ISTA contenant ces informations, sous une forme similaire au document UPOV/INF/16 "Logiciel échangeable", sous r</w:t>
      </w:r>
      <w:r w:rsidRPr="0030161C">
        <w:rPr>
          <w:rFonts w:eastAsiaTheme="minorEastAsia"/>
          <w:lang w:val="fr-FR" w:eastAsia="ja-JP"/>
        </w:rPr>
        <w:t xml:space="preserve">éserve de l'approbation du Conseil et en coordination avec l'OCDE et l'ISTA ; et </w:t>
      </w:r>
    </w:p>
    <w:p w14:paraId="1659A8C4" w14:textId="77777777" w:rsidR="00E209FA" w:rsidRPr="0030161C" w:rsidRDefault="00E209FA" w:rsidP="00E209FA">
      <w:pPr>
        <w:ind w:firstLine="567"/>
        <w:rPr>
          <w:rFonts w:eastAsiaTheme="minorEastAsia"/>
          <w:lang w:val="fr-FR" w:eastAsia="ja-JP"/>
        </w:rPr>
      </w:pPr>
    </w:p>
    <w:p w14:paraId="08AC36B5" w14:textId="77777777" w:rsidR="00B3651F" w:rsidRPr="0030161C" w:rsidRDefault="001901A1">
      <w:pPr>
        <w:ind w:firstLine="567"/>
        <w:rPr>
          <w:rFonts w:eastAsiaTheme="minorEastAsia"/>
          <w:lang w:val="fr-FR" w:eastAsia="ja-JP"/>
        </w:rPr>
      </w:pPr>
      <w:r w:rsidRPr="0030161C">
        <w:rPr>
          <w:rFonts w:eastAsiaTheme="minorEastAsia"/>
          <w:lang w:val="fr-FR" w:eastAsia="ja-JP"/>
        </w:rPr>
        <w:t xml:space="preserve">(c) </w:t>
      </w:r>
      <w:r w:rsidRPr="0030161C">
        <w:rPr>
          <w:rFonts w:eastAsiaTheme="minorEastAsia"/>
          <w:lang w:val="fr-FR" w:eastAsia="ja-JP"/>
        </w:rPr>
        <w:tab/>
        <w:t xml:space="preserve">le BMT établira des listes d'initiatives conjointes possibles avec l'OCDE et l'ISTA en ce qui concerne les techniques moléculaires, pour examen par le TC. </w:t>
      </w:r>
    </w:p>
    <w:p w14:paraId="51BB6684" w14:textId="77777777" w:rsidR="005E68FB" w:rsidRPr="0030161C" w:rsidRDefault="005E68FB" w:rsidP="00E209FA">
      <w:pPr>
        <w:rPr>
          <w:rFonts w:eastAsiaTheme="minorEastAsia"/>
          <w:lang w:val="fr-FR" w:eastAsia="ja-JP"/>
        </w:rPr>
      </w:pPr>
    </w:p>
    <w:p w14:paraId="1D58A89A" w14:textId="77777777" w:rsidR="00A96C63" w:rsidRPr="0030161C" w:rsidRDefault="00A96C63" w:rsidP="00E209FA">
      <w:pPr>
        <w:rPr>
          <w:rFonts w:eastAsiaTheme="minorEastAsia"/>
          <w:lang w:val="fr-FR"/>
        </w:rPr>
      </w:pPr>
    </w:p>
    <w:p w14:paraId="6D48DCD5" w14:textId="77777777" w:rsidR="00B3651F" w:rsidRPr="0030161C" w:rsidRDefault="001901A1">
      <w:pPr>
        <w:pStyle w:val="Heading3"/>
        <w:rPr>
          <w:rFonts w:eastAsiaTheme="minorEastAsia"/>
          <w:lang w:val="fr-FR"/>
        </w:rPr>
      </w:pPr>
      <w:bookmarkStart w:id="17" w:name="_Toc14980928"/>
      <w:bookmarkStart w:id="18" w:name="_Toc15059498"/>
      <w:bookmarkStart w:id="19" w:name="_Toc15295343"/>
      <w:bookmarkStart w:id="20" w:name="_Toc22564623"/>
      <w:bookmarkStart w:id="21" w:name="_Toc27663377"/>
      <w:bookmarkStart w:id="22" w:name="_Toc148112884"/>
      <w:r w:rsidRPr="0030161C">
        <w:rPr>
          <w:rFonts w:eastAsiaTheme="minorEastAsia"/>
          <w:lang w:val="fr-FR"/>
        </w:rPr>
        <w:t>Inventaire</w:t>
      </w:r>
      <w:r w:rsidRPr="0030161C">
        <w:rPr>
          <w:rFonts w:eastAsiaTheme="minorEastAsia"/>
          <w:lang w:val="fr-FR"/>
        </w:rPr>
        <w:t xml:space="preserve"> de l'utilisation des techniques de marquage moléculaire, par culture</w:t>
      </w:r>
      <w:bookmarkEnd w:id="17"/>
      <w:bookmarkEnd w:id="18"/>
      <w:bookmarkEnd w:id="19"/>
      <w:bookmarkEnd w:id="20"/>
      <w:bookmarkEnd w:id="21"/>
      <w:bookmarkEnd w:id="22"/>
    </w:p>
    <w:p w14:paraId="1F4CBCC2" w14:textId="77777777" w:rsidR="00A96C63" w:rsidRPr="0030161C" w:rsidRDefault="00A96C63" w:rsidP="003308D5">
      <w:pPr>
        <w:keepNext/>
        <w:keepLines/>
        <w:rPr>
          <w:rFonts w:eastAsiaTheme="minorEastAsia"/>
          <w:lang w:val="fr-FR"/>
        </w:rPr>
      </w:pPr>
      <w:bookmarkStart w:id="23" w:name="_Toc14980927"/>
      <w:bookmarkStart w:id="24" w:name="_Toc15059497"/>
      <w:bookmarkStart w:id="25" w:name="_Toc15295342"/>
      <w:bookmarkStart w:id="26" w:name="_Toc22564625"/>
      <w:bookmarkStart w:id="27" w:name="_Toc27663379"/>
    </w:p>
    <w:p w14:paraId="5DF22F2C" w14:textId="77777777" w:rsidR="00B3651F" w:rsidRPr="0030161C" w:rsidRDefault="001901A1">
      <w:pPr>
        <w:keepNext/>
        <w:keepLines/>
        <w:rPr>
          <w:rFonts w:eastAsiaTheme="minorEastAsia"/>
          <w:lang w:val="fr-FR"/>
        </w:rPr>
      </w:pPr>
      <w:r w:rsidRPr="0030161C">
        <w:rPr>
          <w:rFonts w:eastAsiaTheme="minorEastAsia"/>
          <w:lang w:val="fr-FR"/>
        </w:rPr>
        <w:fldChar w:fldCharType="begin"/>
      </w:r>
      <w:r w:rsidRPr="0030161C">
        <w:rPr>
          <w:rFonts w:eastAsiaTheme="minorEastAsia"/>
          <w:lang w:val="fr-FR"/>
        </w:rPr>
        <w:instrText xml:space="preserve"> AUTONUM  </w:instrText>
      </w:r>
      <w:r w:rsidRPr="0030161C">
        <w:rPr>
          <w:rFonts w:eastAsiaTheme="minorEastAsia"/>
          <w:lang w:val="fr-FR"/>
        </w:rPr>
        <w:fldChar w:fldCharType="end"/>
      </w:r>
      <w:r w:rsidRPr="0030161C">
        <w:rPr>
          <w:rFonts w:eastAsiaTheme="minorEastAsia"/>
          <w:lang w:val="fr-FR"/>
        </w:rPr>
        <w:tab/>
        <w:t xml:space="preserve">L'historique de cette question est présenté dans le document TC/58/7 "Techniques moléculaires". </w:t>
      </w:r>
    </w:p>
    <w:p w14:paraId="2F089CE0" w14:textId="77777777" w:rsidR="00A96C63" w:rsidRPr="0030161C" w:rsidRDefault="00A96C63" w:rsidP="00A96C63">
      <w:pPr>
        <w:rPr>
          <w:rFonts w:eastAsiaTheme="minorEastAsia"/>
          <w:lang w:val="fr-FR"/>
        </w:rPr>
      </w:pPr>
    </w:p>
    <w:p w14:paraId="72913074" w14:textId="77777777" w:rsidR="001901A1" w:rsidRDefault="001901A1">
      <w:pPr>
        <w:keepNext/>
        <w:keepLines/>
        <w:rPr>
          <w:lang w:val="fr-FR"/>
        </w:rPr>
      </w:pPr>
      <w:r w:rsidRPr="0030161C">
        <w:rPr>
          <w:rFonts w:eastAsiaTheme="minorEastAsia"/>
          <w:lang w:val="fr-FR"/>
        </w:rPr>
        <w:fldChar w:fldCharType="begin"/>
      </w:r>
      <w:r w:rsidRPr="0030161C">
        <w:rPr>
          <w:rFonts w:eastAsiaTheme="minorEastAsia"/>
          <w:lang w:val="fr-FR"/>
        </w:rPr>
        <w:instrText xml:space="preserve"> AUTONUM  </w:instrText>
      </w:r>
      <w:r w:rsidRPr="0030161C">
        <w:rPr>
          <w:rFonts w:eastAsiaTheme="minorEastAsia"/>
          <w:lang w:val="fr-FR"/>
        </w:rPr>
        <w:fldChar w:fldCharType="end"/>
      </w:r>
      <w:r w:rsidRPr="0030161C">
        <w:rPr>
          <w:rFonts w:eastAsiaTheme="minorEastAsia"/>
          <w:lang w:val="fr-FR"/>
        </w:rPr>
        <w:tab/>
        <w:t>Le TC, à sa cinquante-huitième session</w:t>
      </w:r>
      <w:r w:rsidRPr="0030161C">
        <w:rPr>
          <w:rStyle w:val="FootnoteReference"/>
          <w:rFonts w:eastAsiaTheme="minorEastAsia"/>
          <w:lang w:val="fr-FR"/>
        </w:rPr>
        <w:footnoteReference w:id="18"/>
      </w:r>
      <w:r w:rsidR="00A96C63" w:rsidRPr="0030161C">
        <w:rPr>
          <w:lang w:val="fr-FR"/>
        </w:rPr>
        <w:t xml:space="preserve"> , a pris note des résultats des enquêtes sur l'utilisation des techniques de marquage moléculaire par les membres, par culture, tels qu'ils figurent dans l'annexe du document TC/58/7</w:t>
      </w:r>
      <w:r w:rsidR="00A96C63" w:rsidRPr="0030161C">
        <w:rPr>
          <w:rStyle w:val="FootnoteReference"/>
          <w:lang w:val="fr-FR"/>
        </w:rPr>
        <w:footnoteReference w:id="19"/>
      </w:r>
      <w:r w:rsidR="00A96C63" w:rsidRPr="0030161C">
        <w:rPr>
          <w:lang w:val="fr-FR"/>
        </w:rPr>
        <w:t xml:space="preserve"> .  Les résultats de l'enquête sont disponibles sous forme de </w:t>
      </w:r>
      <w:r w:rsidR="002965B9" w:rsidRPr="0030161C">
        <w:rPr>
          <w:lang w:val="fr-FR"/>
        </w:rPr>
        <w:t>fichier Excel sur la page TC/58 du site Web de l'UPOV (</w:t>
      </w:r>
      <w:r w:rsidR="00C955FB" w:rsidRPr="0030161C">
        <w:rPr>
          <w:lang w:val="fr-FR"/>
        </w:rPr>
        <w:t xml:space="preserve">disponible à l'adresse </w:t>
      </w:r>
      <w:r w:rsidR="002965B9" w:rsidRPr="001901A1">
        <w:rPr>
          <w:lang w:val="fr-FR"/>
        </w:rPr>
        <w:t>suivante :</w:t>
      </w:r>
    </w:p>
    <w:p w14:paraId="78771ACF" w14:textId="210BE076" w:rsidR="00B3651F" w:rsidRPr="0030161C" w:rsidRDefault="001901A1" w:rsidP="001901A1">
      <w:pPr>
        <w:rPr>
          <w:lang w:val="fr-FR"/>
        </w:rPr>
      </w:pPr>
      <w:hyperlink r:id="rId9" w:history="1">
        <w:r>
          <w:rPr>
            <w:rStyle w:val="Hyperlink"/>
            <w:lang w:val="fr-FR"/>
          </w:rPr>
          <w:t>https://www.upov.int/meetings/fr/doc_details.jsp?meeting_id=67786&amp;doc_id=586962</w:t>
        </w:r>
      </w:hyperlink>
      <w:r w:rsidR="002965B9" w:rsidRPr="001901A1">
        <w:rPr>
          <w:lang w:val="fr-FR"/>
        </w:rPr>
        <w:t>).</w:t>
      </w:r>
      <w:r>
        <w:rPr>
          <w:lang w:val="fr-FR"/>
        </w:rPr>
        <w:t xml:space="preserve"> </w:t>
      </w:r>
    </w:p>
    <w:p w14:paraId="0C4C6473" w14:textId="77777777" w:rsidR="008B2E00" w:rsidRPr="0030161C" w:rsidRDefault="008B2E00" w:rsidP="008B2E00">
      <w:pPr>
        <w:rPr>
          <w:lang w:val="fr-FR"/>
        </w:rPr>
      </w:pPr>
    </w:p>
    <w:p w14:paraId="69B63CF5" w14:textId="77777777" w:rsidR="00B3651F" w:rsidRPr="0030161C" w:rsidRDefault="001901A1">
      <w:pPr>
        <w:keepNext/>
        <w:keepLines/>
        <w:rPr>
          <w:lang w:val="fr-FR"/>
        </w:rPr>
      </w:pPr>
      <w:r w:rsidRPr="0030161C">
        <w:rPr>
          <w:lang w:val="fr-FR"/>
        </w:rPr>
        <w:fldChar w:fldCharType="begin"/>
      </w:r>
      <w:r w:rsidRPr="0030161C">
        <w:rPr>
          <w:lang w:val="fr-FR"/>
        </w:rPr>
        <w:instrText xml:space="preserve"> AUTONUM  </w:instrText>
      </w:r>
      <w:r w:rsidRPr="0030161C">
        <w:rPr>
          <w:lang w:val="fr-FR"/>
        </w:rPr>
        <w:fldChar w:fldCharType="end"/>
      </w:r>
      <w:r w:rsidRPr="0030161C">
        <w:rPr>
          <w:lang w:val="fr-FR"/>
        </w:rPr>
        <w:tab/>
        <w:t xml:space="preserve">Le 13 décembre 2021, le Bureau de l'Union a communiqué les résultats de l'enquête à l'OCDE. </w:t>
      </w:r>
    </w:p>
    <w:p w14:paraId="0F4D7127" w14:textId="77777777" w:rsidR="00E209FA" w:rsidRPr="0030161C" w:rsidRDefault="00E209FA" w:rsidP="00E209FA">
      <w:pPr>
        <w:rPr>
          <w:lang w:val="fr-FR"/>
        </w:rPr>
      </w:pPr>
    </w:p>
    <w:p w14:paraId="28FA9918" w14:textId="77777777" w:rsidR="00D513EC" w:rsidRPr="0030161C" w:rsidRDefault="00D513EC" w:rsidP="00E209FA">
      <w:pPr>
        <w:rPr>
          <w:lang w:val="fr-FR"/>
        </w:rPr>
      </w:pPr>
    </w:p>
    <w:p w14:paraId="30D002D7" w14:textId="77777777" w:rsidR="00B3651F" w:rsidRPr="0030161C" w:rsidRDefault="001901A1">
      <w:pPr>
        <w:pStyle w:val="Heading3"/>
        <w:keepLines/>
        <w:rPr>
          <w:rFonts w:eastAsiaTheme="minorEastAsia"/>
          <w:lang w:val="fr-FR"/>
        </w:rPr>
      </w:pPr>
      <w:bookmarkStart w:id="28" w:name="_Toc148112885"/>
      <w:r w:rsidRPr="0030161C">
        <w:rPr>
          <w:rFonts w:eastAsiaTheme="minorEastAsia"/>
          <w:lang w:val="fr-FR"/>
        </w:rPr>
        <w:t>Document commun expliquant les principales caractéristiques des systèmes de l'OCDE, de l'UPOV et de l'ISTA</w:t>
      </w:r>
      <w:bookmarkEnd w:id="23"/>
      <w:bookmarkEnd w:id="24"/>
      <w:bookmarkEnd w:id="25"/>
      <w:bookmarkEnd w:id="26"/>
      <w:bookmarkEnd w:id="27"/>
      <w:bookmarkEnd w:id="28"/>
    </w:p>
    <w:p w14:paraId="3709B2C5" w14:textId="77777777" w:rsidR="00E209FA" w:rsidRPr="0030161C" w:rsidRDefault="00E209FA" w:rsidP="005820D2">
      <w:pPr>
        <w:keepNext/>
        <w:keepLines/>
        <w:rPr>
          <w:lang w:val="fr-FR"/>
        </w:rPr>
      </w:pPr>
      <w:bookmarkStart w:id="29" w:name="_Toc22569703"/>
    </w:p>
    <w:p w14:paraId="0A1C000B" w14:textId="77777777" w:rsidR="00B3651F" w:rsidRPr="0030161C" w:rsidRDefault="001901A1">
      <w:pPr>
        <w:keepNext/>
        <w:keepLines/>
        <w:rPr>
          <w:lang w:val="fr-FR"/>
        </w:rPr>
      </w:pPr>
      <w:r w:rsidRPr="0030161C">
        <w:rPr>
          <w:lang w:val="fr-FR"/>
        </w:rPr>
        <w:fldChar w:fldCharType="begin"/>
      </w:r>
      <w:r w:rsidRPr="0030161C">
        <w:rPr>
          <w:lang w:val="fr-FR"/>
        </w:rPr>
        <w:instrText xml:space="preserve"> AUTONUM  </w:instrText>
      </w:r>
      <w:r w:rsidRPr="0030161C">
        <w:rPr>
          <w:lang w:val="fr-FR"/>
        </w:rPr>
        <w:fldChar w:fldCharType="end"/>
      </w:r>
      <w:r w:rsidRPr="0030161C">
        <w:rPr>
          <w:lang w:val="fr-FR"/>
        </w:rPr>
        <w:tab/>
        <w:t xml:space="preserve">Le TC, à sa cinquante-septième </w:t>
      </w:r>
      <w:r w:rsidRPr="0030161C">
        <w:rPr>
          <w:lang w:val="fr-FR"/>
        </w:rPr>
        <w:noBreakHyphen/>
        <w:t>session, a noté qu'il avait approuvé par correspondance le projet de document commun expliquant les pri</w:t>
      </w:r>
      <w:r w:rsidRPr="0030161C">
        <w:rPr>
          <w:lang w:val="fr-FR"/>
        </w:rPr>
        <w:t>ncipales caractéristiques des systèmes de l'OCDE, de l'UPOV et de l'ISTA.  Le TC a demandé au Bureau de l'Union d'informer l'OCDE et l'ISTA en conséquence (voir le document TC/57/25 "Compte rendu", paragraphe 52).</w:t>
      </w:r>
      <w:r w:rsidR="00891593" w:rsidRPr="0030161C">
        <w:rPr>
          <w:lang w:val="fr-FR"/>
        </w:rPr>
        <w:t xml:space="preserve">  </w:t>
      </w:r>
    </w:p>
    <w:p w14:paraId="6F3A5C9E" w14:textId="77777777" w:rsidR="00E209FA" w:rsidRPr="0030161C" w:rsidRDefault="00E209FA" w:rsidP="00E209FA">
      <w:pPr>
        <w:keepNext/>
        <w:keepLines/>
        <w:rPr>
          <w:lang w:val="fr-FR"/>
        </w:rPr>
      </w:pPr>
    </w:p>
    <w:p w14:paraId="2D000333" w14:textId="77777777" w:rsidR="00B3651F" w:rsidRPr="0030161C" w:rsidRDefault="001901A1">
      <w:pPr>
        <w:rPr>
          <w:lang w:val="fr-FR"/>
        </w:rPr>
      </w:pPr>
      <w:r w:rsidRPr="0030161C">
        <w:rPr>
          <w:lang w:val="fr-FR"/>
        </w:rPr>
        <w:fldChar w:fldCharType="begin"/>
      </w:r>
      <w:r w:rsidRPr="0030161C">
        <w:rPr>
          <w:lang w:val="fr-FR"/>
        </w:rPr>
        <w:instrText xml:space="preserve"> AUTONUM  </w:instrText>
      </w:r>
      <w:r w:rsidRPr="0030161C">
        <w:rPr>
          <w:lang w:val="fr-FR"/>
        </w:rPr>
        <w:fldChar w:fldCharType="end"/>
      </w:r>
      <w:r w:rsidRPr="0030161C">
        <w:rPr>
          <w:lang w:val="fr-FR"/>
        </w:rPr>
        <w:tab/>
        <w:t>Le 13 décembre 2021, le Bu</w:t>
      </w:r>
      <w:r w:rsidRPr="0030161C">
        <w:rPr>
          <w:lang w:val="fr-FR"/>
        </w:rPr>
        <w:t xml:space="preserve">reau de l'Union a transmis le projet de document conjoint à l'OCDE et à l'ISTA.  </w:t>
      </w:r>
    </w:p>
    <w:bookmarkEnd w:id="29"/>
    <w:p w14:paraId="74878148" w14:textId="77777777" w:rsidR="00E209FA" w:rsidRPr="0030161C" w:rsidRDefault="00E209FA" w:rsidP="00E209FA">
      <w:pPr>
        <w:rPr>
          <w:rFonts w:eastAsiaTheme="minorEastAsia"/>
          <w:lang w:val="fr-FR"/>
        </w:rPr>
      </w:pPr>
    </w:p>
    <w:p w14:paraId="0D77AB7C" w14:textId="77777777" w:rsidR="00E209FA" w:rsidRPr="0030161C" w:rsidRDefault="00E209FA" w:rsidP="00E209FA">
      <w:pPr>
        <w:rPr>
          <w:rFonts w:eastAsiaTheme="minorEastAsia"/>
          <w:lang w:val="fr-FR"/>
        </w:rPr>
      </w:pPr>
    </w:p>
    <w:p w14:paraId="42FA5F21" w14:textId="77777777" w:rsidR="00B3651F" w:rsidRPr="0030161C" w:rsidRDefault="001901A1">
      <w:pPr>
        <w:pStyle w:val="Heading3"/>
        <w:rPr>
          <w:lang w:val="fr-FR"/>
        </w:rPr>
      </w:pPr>
      <w:bookmarkStart w:id="30" w:name="_Toc14980929"/>
      <w:bookmarkStart w:id="31" w:name="_Toc15059500"/>
      <w:bookmarkStart w:id="32" w:name="_Toc15295345"/>
      <w:bookmarkStart w:id="33" w:name="_Toc22564624"/>
      <w:bookmarkStart w:id="34" w:name="_Toc27663378"/>
      <w:bookmarkStart w:id="35" w:name="_Toc69722878"/>
      <w:bookmarkStart w:id="36" w:name="_Toc84364038"/>
      <w:bookmarkStart w:id="37" w:name="_Toc84415953"/>
      <w:bookmarkStart w:id="38" w:name="_Toc97892770"/>
      <w:bookmarkStart w:id="39" w:name="_Toc148112886"/>
      <w:r w:rsidRPr="0030161C">
        <w:rPr>
          <w:lang w:val="fr-FR"/>
        </w:rPr>
        <w:t>Listes d'initiatives conjointes possibles avec l'OCDE et l'ISTA dans le domaine des techniques moléculaires</w:t>
      </w:r>
      <w:bookmarkEnd w:id="30"/>
      <w:bookmarkEnd w:id="31"/>
      <w:bookmarkEnd w:id="32"/>
      <w:bookmarkEnd w:id="33"/>
      <w:bookmarkEnd w:id="34"/>
      <w:bookmarkEnd w:id="35"/>
      <w:bookmarkEnd w:id="36"/>
      <w:bookmarkEnd w:id="37"/>
      <w:bookmarkEnd w:id="38"/>
      <w:bookmarkEnd w:id="39"/>
    </w:p>
    <w:p w14:paraId="1A205FD7" w14:textId="77777777" w:rsidR="00E209FA" w:rsidRPr="0030161C" w:rsidRDefault="00E209FA" w:rsidP="00E209FA">
      <w:pPr>
        <w:keepNext/>
        <w:jc w:val="left"/>
        <w:rPr>
          <w:lang w:val="fr-FR"/>
        </w:rPr>
      </w:pPr>
    </w:p>
    <w:p w14:paraId="67096F54" w14:textId="77777777" w:rsidR="00B3651F" w:rsidRPr="0030161C" w:rsidRDefault="001901A1">
      <w:pPr>
        <w:rPr>
          <w:lang w:val="fr-FR"/>
        </w:rPr>
      </w:pPr>
      <w:r w:rsidRPr="0030161C">
        <w:rPr>
          <w:lang w:val="fr-FR"/>
        </w:rPr>
        <w:fldChar w:fldCharType="begin"/>
      </w:r>
      <w:r w:rsidRPr="0030161C">
        <w:rPr>
          <w:lang w:val="fr-FR"/>
        </w:rPr>
        <w:instrText xml:space="preserve"> AUTONUM  </w:instrText>
      </w:r>
      <w:r w:rsidRPr="0030161C">
        <w:rPr>
          <w:lang w:val="fr-FR"/>
        </w:rPr>
        <w:fldChar w:fldCharType="end"/>
      </w:r>
      <w:r w:rsidRPr="0030161C">
        <w:rPr>
          <w:lang w:val="fr-FR"/>
        </w:rPr>
        <w:tab/>
        <w:t>Le TC, à sa cinquante-septième session, est convenu de proposer les thèmes suivants pour un futur atelier conjoint UPOV/OCDE/ISTA :</w:t>
      </w:r>
    </w:p>
    <w:p w14:paraId="7000DA81" w14:textId="77777777" w:rsidR="00E209FA" w:rsidRPr="0030161C" w:rsidRDefault="00E209FA" w:rsidP="00E209FA">
      <w:pPr>
        <w:rPr>
          <w:lang w:val="fr-FR"/>
        </w:rPr>
      </w:pPr>
    </w:p>
    <w:p w14:paraId="6BCB83C4" w14:textId="77777777" w:rsidR="00B3651F" w:rsidRPr="0030161C" w:rsidRDefault="001901A1">
      <w:pPr>
        <w:jc w:val="left"/>
        <w:rPr>
          <w:lang w:val="fr-FR"/>
        </w:rPr>
      </w:pPr>
      <w:r w:rsidRPr="0030161C">
        <w:rPr>
          <w:lang w:val="fr-FR"/>
        </w:rPr>
        <w:tab/>
      </w:r>
      <w:r w:rsidRPr="0030161C">
        <w:rPr>
          <w:lang w:val="fr-FR"/>
        </w:rPr>
        <w:t xml:space="preserve">(i) </w:t>
      </w:r>
      <w:r w:rsidRPr="0030161C">
        <w:rPr>
          <w:lang w:val="fr-FR"/>
        </w:rPr>
        <w:tab/>
        <w:t>fournir des informations sur l'utilisation des techniques moléculaires dans chaque organisation ;</w:t>
      </w:r>
    </w:p>
    <w:p w14:paraId="798AEE9C" w14:textId="43995BE1" w:rsidR="00B3651F" w:rsidRPr="0030161C" w:rsidRDefault="001901A1">
      <w:pPr>
        <w:jc w:val="left"/>
        <w:rPr>
          <w:lang w:val="fr-FR"/>
        </w:rPr>
      </w:pPr>
      <w:r w:rsidRPr="0030161C">
        <w:rPr>
          <w:lang w:val="fr-FR"/>
        </w:rPr>
        <w:tab/>
        <w:t xml:space="preserve">(ii) </w:t>
      </w:r>
      <w:r w:rsidR="00551816">
        <w:rPr>
          <w:lang w:val="fr-FR"/>
        </w:rPr>
        <w:tab/>
      </w:r>
      <w:r w:rsidRPr="0030161C">
        <w:rPr>
          <w:lang w:val="fr-FR"/>
        </w:rPr>
        <w:t xml:space="preserve">la </w:t>
      </w:r>
      <w:r w:rsidRPr="0030161C">
        <w:rPr>
          <w:lang w:val="fr-FR"/>
        </w:rPr>
        <w:t>procédure d'approbation des méthodes biochimiques et moléculaires dans chaque organisation ; et</w:t>
      </w:r>
    </w:p>
    <w:p w14:paraId="61F0D2FA" w14:textId="122E81D7" w:rsidR="00B3651F" w:rsidRPr="0030161C" w:rsidRDefault="001901A1">
      <w:pPr>
        <w:jc w:val="left"/>
        <w:rPr>
          <w:lang w:val="fr-FR"/>
        </w:rPr>
      </w:pPr>
      <w:r w:rsidRPr="0030161C">
        <w:rPr>
          <w:lang w:val="fr-FR"/>
        </w:rPr>
        <w:tab/>
        <w:t xml:space="preserve">(iii) </w:t>
      </w:r>
      <w:r w:rsidR="00551816">
        <w:rPr>
          <w:lang w:val="fr-FR"/>
        </w:rPr>
        <w:tab/>
      </w:r>
      <w:r w:rsidRPr="0030161C">
        <w:rPr>
          <w:lang w:val="fr-FR"/>
        </w:rPr>
        <w:t xml:space="preserve">les </w:t>
      </w:r>
      <w:r w:rsidRPr="0030161C">
        <w:rPr>
          <w:lang w:val="fr-FR"/>
        </w:rPr>
        <w:t>possibilités d'harmonisation des te</w:t>
      </w:r>
      <w:r w:rsidRPr="0030161C">
        <w:rPr>
          <w:lang w:val="fr-FR"/>
        </w:rPr>
        <w:t xml:space="preserve">rmes, des définitions et des méthodes entre l'UPOV, l'OCDE et l'ISTA. </w:t>
      </w:r>
    </w:p>
    <w:p w14:paraId="6EDAA7D8" w14:textId="77777777" w:rsidR="00E209FA" w:rsidRPr="0030161C" w:rsidRDefault="00E209FA" w:rsidP="00E209FA">
      <w:pPr>
        <w:jc w:val="left"/>
        <w:rPr>
          <w:lang w:val="fr-FR"/>
        </w:rPr>
      </w:pPr>
    </w:p>
    <w:p w14:paraId="5566004E" w14:textId="77777777" w:rsidR="00B3651F" w:rsidRPr="0030161C" w:rsidRDefault="001901A1">
      <w:pPr>
        <w:rPr>
          <w:lang w:val="fr-FR"/>
        </w:rPr>
      </w:pPr>
      <w:r w:rsidRPr="0030161C">
        <w:rPr>
          <w:lang w:val="fr-FR"/>
        </w:rPr>
        <w:lastRenderedPageBreak/>
        <w:fldChar w:fldCharType="begin"/>
      </w:r>
      <w:r w:rsidRPr="0030161C">
        <w:rPr>
          <w:lang w:val="fr-FR"/>
        </w:rPr>
        <w:instrText xml:space="preserve"> AUTONUM  </w:instrText>
      </w:r>
      <w:r w:rsidRPr="0030161C">
        <w:rPr>
          <w:lang w:val="fr-FR"/>
        </w:rPr>
        <w:fldChar w:fldCharType="end"/>
      </w:r>
      <w:r w:rsidRPr="0030161C">
        <w:rPr>
          <w:lang w:val="fr-FR"/>
        </w:rPr>
        <w:tab/>
        <w:t>Le TC est convenu de demander au Bureau de l'Union de contacter l'OCDE et l'ISTA afin d'étudier des dates appropriées pour un futur atelier conjoint, par exemple à l'occas</w:t>
      </w:r>
      <w:r w:rsidRPr="0030161C">
        <w:rPr>
          <w:lang w:val="fr-FR"/>
        </w:rPr>
        <w:t>ion de la première session sur le TWM, qui se tiendra en septembre 2022.</w:t>
      </w:r>
    </w:p>
    <w:p w14:paraId="45268D79" w14:textId="77777777" w:rsidR="00E209FA" w:rsidRPr="0030161C" w:rsidRDefault="00E209FA" w:rsidP="00E209FA">
      <w:pPr>
        <w:keepNext/>
        <w:keepLines/>
        <w:rPr>
          <w:lang w:val="fr-FR"/>
        </w:rPr>
      </w:pPr>
    </w:p>
    <w:p w14:paraId="730E2C54" w14:textId="77777777" w:rsidR="00B3651F" w:rsidRPr="0030161C" w:rsidRDefault="001901A1">
      <w:pPr>
        <w:rPr>
          <w:lang w:val="fr-FR"/>
        </w:rPr>
      </w:pPr>
      <w:r w:rsidRPr="0030161C">
        <w:rPr>
          <w:lang w:val="fr-FR"/>
        </w:rPr>
        <w:fldChar w:fldCharType="begin"/>
      </w:r>
      <w:r w:rsidRPr="0030161C">
        <w:rPr>
          <w:lang w:val="fr-FR"/>
        </w:rPr>
        <w:instrText xml:space="preserve"> AUTONUM  </w:instrText>
      </w:r>
      <w:r w:rsidRPr="0030161C">
        <w:rPr>
          <w:lang w:val="fr-FR"/>
        </w:rPr>
        <w:fldChar w:fldCharType="end"/>
      </w:r>
      <w:r w:rsidRPr="0030161C">
        <w:rPr>
          <w:lang w:val="fr-FR"/>
        </w:rPr>
        <w:tab/>
        <w:t>Le 13 décembre 2021, le Bureau de l'Union a communiqué une invitation à l'OCDE et à l'ISTA à organiser un autre atelier conjoint sur les techniques moléculaires, parallè</w:t>
      </w:r>
      <w:r w:rsidRPr="0030161C">
        <w:rPr>
          <w:lang w:val="fr-FR"/>
        </w:rPr>
        <w:t xml:space="preserve">lement à la première session du TWM, qui se tiendra le 21 septembre 2022, par voie électronique, afin d'examiner les thèmes i) à iii) ci-dessus.    </w:t>
      </w:r>
    </w:p>
    <w:p w14:paraId="01C77666" w14:textId="77777777" w:rsidR="00E209FA" w:rsidRPr="0030161C" w:rsidRDefault="00E209FA" w:rsidP="00E209FA">
      <w:pPr>
        <w:rPr>
          <w:lang w:val="fr-FR"/>
        </w:rPr>
      </w:pPr>
    </w:p>
    <w:p w14:paraId="5C15DF79" w14:textId="77777777" w:rsidR="00B3651F" w:rsidRPr="0030161C" w:rsidRDefault="001901A1">
      <w:pPr>
        <w:rPr>
          <w:lang w:val="fr-FR"/>
        </w:rPr>
      </w:pPr>
      <w:r w:rsidRPr="0030161C">
        <w:rPr>
          <w:lang w:val="fr-FR"/>
        </w:rPr>
        <w:fldChar w:fldCharType="begin"/>
      </w:r>
      <w:r w:rsidRPr="0030161C">
        <w:rPr>
          <w:lang w:val="fr-FR"/>
        </w:rPr>
        <w:instrText xml:space="preserve"> AUTONUM  </w:instrText>
      </w:r>
      <w:r w:rsidRPr="0030161C">
        <w:rPr>
          <w:lang w:val="fr-FR"/>
        </w:rPr>
        <w:fldChar w:fldCharType="end"/>
      </w:r>
      <w:r w:rsidRPr="0030161C">
        <w:rPr>
          <w:lang w:val="fr-FR"/>
        </w:rPr>
        <w:tab/>
        <w:t>Le 15 mai 2022, le Bureau de l'Union a rencontré l'OCDE et l'ISTA en marge du Congrès mondial</w:t>
      </w:r>
      <w:r w:rsidRPr="0030161C">
        <w:rPr>
          <w:lang w:val="fr-FR"/>
        </w:rPr>
        <w:t xml:space="preserve"> des semences de la Fédération internationale des semences et a discuté de la coopération entre l'OCDE, l'ISTA et l'UPOV en ce qui concerne le BMT. L'UPOV a évoqué l'idée d'un atelier conjoint OCDE/ISTA/UPOV en liaison avec le TWM, qui se tiendrait en sept</w:t>
      </w:r>
      <w:r w:rsidRPr="0030161C">
        <w:rPr>
          <w:lang w:val="fr-FR"/>
        </w:rPr>
        <w:t>embre 2022. Il a été convenu qu'il n'y avait pas de développements significatifs à discuter à ce stade et qu'il serait préférable de planifier un atelier conjoint en 2023 au plus tôt.</w:t>
      </w:r>
    </w:p>
    <w:p w14:paraId="4E2B1C8B" w14:textId="77777777" w:rsidR="00E209FA" w:rsidRPr="0030161C" w:rsidRDefault="00E209FA" w:rsidP="00E209FA">
      <w:pPr>
        <w:rPr>
          <w:lang w:val="fr-FR"/>
        </w:rPr>
      </w:pPr>
    </w:p>
    <w:p w14:paraId="66F2ED71" w14:textId="77777777" w:rsidR="008A7867" w:rsidRPr="0030161C" w:rsidRDefault="008A7867" w:rsidP="00E209FA">
      <w:pPr>
        <w:keepNext/>
        <w:outlineLvl w:val="1"/>
        <w:rPr>
          <w:snapToGrid w:val="0"/>
          <w:u w:val="single"/>
          <w:lang w:val="fr-FR"/>
        </w:rPr>
      </w:pPr>
      <w:bookmarkStart w:id="40" w:name="_Toc69722870"/>
      <w:bookmarkStart w:id="41" w:name="_Toc84364034"/>
      <w:bookmarkStart w:id="42" w:name="_Toc84415958"/>
      <w:bookmarkStart w:id="43" w:name="_Toc97892761"/>
    </w:p>
    <w:p w14:paraId="108BE5F0" w14:textId="77777777" w:rsidR="00B3651F" w:rsidRPr="0030161C" w:rsidRDefault="001901A1">
      <w:pPr>
        <w:pStyle w:val="Heading2"/>
        <w:rPr>
          <w:lang w:val="fr-FR"/>
        </w:rPr>
      </w:pPr>
      <w:bookmarkStart w:id="44" w:name="_Toc148112887"/>
      <w:r w:rsidRPr="0030161C">
        <w:rPr>
          <w:snapToGrid w:val="0"/>
          <w:lang w:val="fr-FR"/>
        </w:rPr>
        <w:t>Session visant à faciliter la coopération en matière d'utilisation des</w:t>
      </w:r>
      <w:r w:rsidRPr="0030161C">
        <w:rPr>
          <w:snapToGrid w:val="0"/>
          <w:lang w:val="fr-FR"/>
        </w:rPr>
        <w:t xml:space="preserve"> techniques moléculaires</w:t>
      </w:r>
      <w:bookmarkEnd w:id="40"/>
      <w:bookmarkEnd w:id="41"/>
      <w:bookmarkEnd w:id="42"/>
      <w:bookmarkEnd w:id="43"/>
      <w:bookmarkEnd w:id="44"/>
    </w:p>
    <w:p w14:paraId="6200F284" w14:textId="77777777" w:rsidR="00E209FA" w:rsidRPr="0030161C" w:rsidRDefault="00E209FA" w:rsidP="00E209FA">
      <w:pPr>
        <w:keepNext/>
        <w:rPr>
          <w:lang w:val="fr-FR"/>
        </w:rPr>
      </w:pPr>
    </w:p>
    <w:p w14:paraId="596492FC" w14:textId="77777777" w:rsidR="00B3651F" w:rsidRPr="0030161C" w:rsidRDefault="001901A1">
      <w:pPr>
        <w:keepNext/>
        <w:rPr>
          <w:lang w:val="fr-FR"/>
        </w:rPr>
      </w:pPr>
      <w:r w:rsidRPr="0030161C">
        <w:rPr>
          <w:lang w:val="fr-FR"/>
        </w:rPr>
        <w:fldChar w:fldCharType="begin"/>
      </w:r>
      <w:r w:rsidRPr="0030161C">
        <w:rPr>
          <w:lang w:val="fr-FR"/>
        </w:rPr>
        <w:instrText xml:space="preserve"> AUTONUM  </w:instrText>
      </w:r>
      <w:r w:rsidRPr="0030161C">
        <w:rPr>
          <w:lang w:val="fr-FR"/>
        </w:rPr>
        <w:fldChar w:fldCharType="end"/>
      </w:r>
      <w:r w:rsidRPr="0030161C">
        <w:rPr>
          <w:lang w:val="fr-FR"/>
        </w:rPr>
        <w:tab/>
        <w:t>Le TC, lors de sa cinquante-quatrième session</w:t>
      </w:r>
      <w:r w:rsidRPr="0030161C">
        <w:rPr>
          <w:vertAlign w:val="superscript"/>
          <w:lang w:val="fr-FR"/>
        </w:rPr>
        <w:footnoteReference w:id="20"/>
      </w:r>
      <w:r w:rsidRPr="0030161C">
        <w:rPr>
          <w:lang w:val="fr-FR"/>
        </w:rPr>
        <w:t xml:space="preserve"> , est convenu que des groupes de discussion devraient être formés pour les principales cultures à chaque TWP afin de permettre aux participants d'échanger des informatio</w:t>
      </w:r>
      <w:r w:rsidRPr="0030161C">
        <w:rPr>
          <w:lang w:val="fr-FR"/>
        </w:rPr>
        <w:t>ns sur leurs travaux et d'explorer les domaines de coopération (voir le document TC/54/31 "Compte rendu", paragraphe 281).</w:t>
      </w:r>
    </w:p>
    <w:p w14:paraId="0267B002" w14:textId="77777777" w:rsidR="00E209FA" w:rsidRPr="0030161C" w:rsidRDefault="00E209FA" w:rsidP="00E209FA">
      <w:pPr>
        <w:rPr>
          <w:lang w:val="fr-FR"/>
        </w:rPr>
      </w:pPr>
    </w:p>
    <w:p w14:paraId="5ED7E3C3" w14:textId="77777777" w:rsidR="00B3651F" w:rsidRPr="0030161C" w:rsidRDefault="001901A1">
      <w:pPr>
        <w:rPr>
          <w:lang w:val="fr-FR"/>
        </w:rPr>
      </w:pPr>
      <w:r w:rsidRPr="0030161C">
        <w:rPr>
          <w:lang w:val="fr-FR"/>
        </w:rPr>
        <w:fldChar w:fldCharType="begin"/>
      </w:r>
      <w:r w:rsidRPr="0030161C">
        <w:rPr>
          <w:lang w:val="fr-FR"/>
        </w:rPr>
        <w:instrText xml:space="preserve"> AUTONUM  </w:instrText>
      </w:r>
      <w:r w:rsidRPr="0030161C">
        <w:rPr>
          <w:lang w:val="fr-FR"/>
        </w:rPr>
        <w:fldChar w:fldCharType="end"/>
      </w:r>
      <w:r w:rsidRPr="0030161C">
        <w:rPr>
          <w:lang w:val="fr-FR"/>
        </w:rPr>
        <w:tab/>
        <w:t>Le TC, lors de sa cinquante-huitième session</w:t>
      </w:r>
      <w:r w:rsidR="001975E1" w:rsidRPr="0030161C">
        <w:rPr>
          <w:rStyle w:val="FootnoteReference"/>
          <w:lang w:val="fr-FR"/>
        </w:rPr>
        <w:footnoteReference w:id="21"/>
      </w:r>
      <w:r w:rsidRPr="0030161C">
        <w:rPr>
          <w:lang w:val="fr-FR"/>
        </w:rPr>
        <w:t xml:space="preserve"> , a pris note des comptes rendus des TWP sur l'organisation de groupes de discussion lors de leurs sessions en 2022.  Le TC est convenu que les présidents devraient disposer d'une certaine marge de manœuvre pour examiner s'il convient d'organiser des grou</w:t>
      </w:r>
      <w:r w:rsidRPr="0030161C">
        <w:rPr>
          <w:lang w:val="fr-FR"/>
        </w:rPr>
        <w:t>pes de discussion lors des sessions des TWP afin de permettre aux participants d'échanger des informations sur leurs travaux et d'explorer des domaines de coopération sur l'utilisation des techniques biochimiques et moléculaires dans le cadre de l'examen D</w:t>
      </w:r>
      <w:r w:rsidRPr="0030161C">
        <w:rPr>
          <w:lang w:val="fr-FR"/>
        </w:rPr>
        <w:t>HS</w:t>
      </w:r>
      <w:r w:rsidR="009421CE" w:rsidRPr="0030161C">
        <w:rPr>
          <w:rStyle w:val="FootnoteReference"/>
          <w:lang w:val="fr-FR"/>
        </w:rPr>
        <w:footnoteReference w:id="22"/>
      </w:r>
      <w:r w:rsidRPr="0030161C">
        <w:rPr>
          <w:lang w:val="fr-FR"/>
        </w:rPr>
        <w:t xml:space="preserve"> .  </w:t>
      </w:r>
    </w:p>
    <w:p w14:paraId="1B49A209" w14:textId="77777777" w:rsidR="00E209FA" w:rsidRPr="0030161C" w:rsidRDefault="00E209FA" w:rsidP="00E209FA">
      <w:pPr>
        <w:rPr>
          <w:lang w:val="fr-FR"/>
        </w:rPr>
      </w:pPr>
    </w:p>
    <w:bookmarkEnd w:id="9"/>
    <w:p w14:paraId="72D9F6DA" w14:textId="77777777" w:rsidR="00B3651F" w:rsidRPr="0030161C" w:rsidRDefault="001901A1">
      <w:pPr>
        <w:rPr>
          <w:lang w:val="fr-FR"/>
        </w:rPr>
      </w:pPr>
      <w:r w:rsidRPr="0030161C">
        <w:rPr>
          <w:lang w:val="fr-FR"/>
        </w:rPr>
        <w:fldChar w:fldCharType="begin"/>
      </w:r>
      <w:r w:rsidRPr="0030161C">
        <w:rPr>
          <w:lang w:val="fr-FR"/>
        </w:rPr>
        <w:instrText xml:space="preserve"> AUTONUM  </w:instrText>
      </w:r>
      <w:r w:rsidRPr="0030161C">
        <w:rPr>
          <w:lang w:val="fr-FR"/>
        </w:rPr>
        <w:fldChar w:fldCharType="end"/>
      </w:r>
      <w:r w:rsidRPr="0030161C">
        <w:rPr>
          <w:lang w:val="fr-FR"/>
        </w:rPr>
        <w:tab/>
      </w:r>
      <w:r w:rsidR="00CE16FE" w:rsidRPr="0030161C">
        <w:rPr>
          <w:lang w:val="fr-FR"/>
        </w:rPr>
        <w:t xml:space="preserve">Lors de leurs sessions de </w:t>
      </w:r>
      <w:r w:rsidR="00645DE3" w:rsidRPr="0030161C">
        <w:rPr>
          <w:lang w:val="fr-FR"/>
        </w:rPr>
        <w:t xml:space="preserve">2023, </w:t>
      </w:r>
      <w:r w:rsidR="00CE16FE" w:rsidRPr="0030161C">
        <w:rPr>
          <w:lang w:val="fr-FR"/>
        </w:rPr>
        <w:t xml:space="preserve">les TWP n'ont pas organisé de </w:t>
      </w:r>
      <w:r w:rsidRPr="0030161C">
        <w:rPr>
          <w:lang w:val="fr-FR"/>
        </w:rPr>
        <w:t>groupes de discussion pour échanger des informations et étudier les domaines de coopération concernant l'utilisation de techniques biochimiques et moléculaires dans le cadre de l'examen DHS</w:t>
      </w:r>
      <w:r w:rsidR="00645DE3" w:rsidRPr="0030161C">
        <w:rPr>
          <w:lang w:val="fr-FR"/>
        </w:rPr>
        <w:t xml:space="preserve">. </w:t>
      </w:r>
    </w:p>
    <w:p w14:paraId="2EE00341" w14:textId="77777777" w:rsidR="000D771D" w:rsidRPr="0030161C" w:rsidRDefault="000D771D" w:rsidP="00FA56F7">
      <w:pPr>
        <w:rPr>
          <w:lang w:val="fr-FR" w:eastAsia="ja-JP"/>
        </w:rPr>
      </w:pPr>
    </w:p>
    <w:p w14:paraId="62E9AA68" w14:textId="77777777" w:rsidR="00B3651F" w:rsidRPr="0030161C" w:rsidRDefault="001901A1">
      <w:pPr>
        <w:tabs>
          <w:tab w:val="left" w:pos="5387"/>
        </w:tabs>
        <w:ind w:left="4820"/>
        <w:rPr>
          <w:i/>
          <w:iCs/>
          <w:lang w:val="fr-FR" w:eastAsia="ja-JP"/>
        </w:rPr>
      </w:pPr>
      <w:r w:rsidRPr="0030161C">
        <w:rPr>
          <w:i/>
          <w:iCs/>
          <w:lang w:val="fr-FR" w:eastAsia="ja-JP"/>
        </w:rPr>
        <w:fldChar w:fldCharType="begin"/>
      </w:r>
      <w:r w:rsidRPr="0030161C">
        <w:rPr>
          <w:i/>
          <w:iCs/>
          <w:lang w:val="fr-FR" w:eastAsia="ja-JP"/>
        </w:rPr>
        <w:instrText xml:space="preserve"> AUTONUM  </w:instrText>
      </w:r>
      <w:r w:rsidRPr="0030161C">
        <w:rPr>
          <w:i/>
          <w:iCs/>
          <w:lang w:val="fr-FR" w:eastAsia="ja-JP"/>
        </w:rPr>
        <w:fldChar w:fldCharType="end"/>
      </w:r>
      <w:r w:rsidRPr="0030161C">
        <w:rPr>
          <w:i/>
          <w:iCs/>
          <w:lang w:val="fr-FR" w:eastAsia="ja-JP"/>
        </w:rPr>
        <w:tab/>
        <w:t xml:space="preserve">Le TC est invité à prendre note </w:t>
      </w:r>
      <w:r w:rsidRPr="0030161C">
        <w:rPr>
          <w:i/>
          <w:iCs/>
          <w:lang w:val="fr-FR" w:eastAsia="ja-JP"/>
        </w:rPr>
        <w:t xml:space="preserve">des </w:t>
      </w:r>
      <w:r w:rsidRPr="0030161C">
        <w:rPr>
          <w:i/>
          <w:iCs/>
          <w:lang w:val="fr-FR" w:eastAsia="ja-JP"/>
        </w:rPr>
        <w:t>éléments d'inf</w:t>
      </w:r>
      <w:r w:rsidRPr="0030161C">
        <w:rPr>
          <w:i/>
          <w:iCs/>
          <w:lang w:val="fr-FR" w:eastAsia="ja-JP"/>
        </w:rPr>
        <w:t>ormation fournis dans ce document.</w:t>
      </w:r>
    </w:p>
    <w:p w14:paraId="393B30CC" w14:textId="77777777" w:rsidR="00F94922" w:rsidRPr="0030161C" w:rsidRDefault="00F94922" w:rsidP="00FA56F7">
      <w:pPr>
        <w:rPr>
          <w:lang w:val="fr-FR" w:eastAsia="ja-JP"/>
        </w:rPr>
      </w:pPr>
    </w:p>
    <w:p w14:paraId="2ECBD3DC" w14:textId="77777777" w:rsidR="00E7019C" w:rsidRPr="0030161C" w:rsidRDefault="00E7019C" w:rsidP="00FA56F7">
      <w:pPr>
        <w:rPr>
          <w:lang w:val="fr-FR" w:eastAsia="ja-JP"/>
        </w:rPr>
      </w:pPr>
    </w:p>
    <w:p w14:paraId="5C8B58EA" w14:textId="77777777" w:rsidR="00FA56F7" w:rsidRPr="0030161C" w:rsidRDefault="00FA56F7" w:rsidP="00050E16">
      <w:pPr>
        <w:rPr>
          <w:lang w:val="fr-FR"/>
        </w:rPr>
      </w:pPr>
    </w:p>
    <w:p w14:paraId="68DEF979" w14:textId="77777777" w:rsidR="00B3651F" w:rsidRPr="0030161C" w:rsidRDefault="001901A1">
      <w:pPr>
        <w:jc w:val="right"/>
        <w:rPr>
          <w:lang w:val="fr-FR"/>
        </w:rPr>
      </w:pPr>
      <w:r w:rsidRPr="0030161C">
        <w:rPr>
          <w:lang w:val="fr-FR"/>
        </w:rPr>
        <w:t>[Fin du document]</w:t>
      </w:r>
    </w:p>
    <w:p w14:paraId="4D158972" w14:textId="77777777" w:rsidR="00903264" w:rsidRPr="0030161C" w:rsidRDefault="00903264">
      <w:pPr>
        <w:jc w:val="left"/>
        <w:rPr>
          <w:lang w:val="fr-FR"/>
        </w:rPr>
      </w:pPr>
    </w:p>
    <w:p w14:paraId="4E46C93C" w14:textId="77777777" w:rsidR="00050E16" w:rsidRPr="0030161C" w:rsidRDefault="00050E16" w:rsidP="009B440E">
      <w:pPr>
        <w:jc w:val="left"/>
        <w:rPr>
          <w:lang w:val="fr-FR"/>
        </w:rPr>
      </w:pPr>
    </w:p>
    <w:sectPr w:rsidR="00050E16" w:rsidRPr="0030161C" w:rsidSect="0004198B">
      <w:headerReference w:type="defaul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C9FD2" w14:textId="77777777" w:rsidR="00C67B45" w:rsidRDefault="00C67B45" w:rsidP="006655D3">
      <w:r>
        <w:separator/>
      </w:r>
    </w:p>
    <w:p w14:paraId="030C4529" w14:textId="77777777" w:rsidR="00C67B45" w:rsidRDefault="00C67B45" w:rsidP="006655D3"/>
    <w:p w14:paraId="08C5F1C4" w14:textId="77777777" w:rsidR="00C67B45" w:rsidRDefault="00C67B45" w:rsidP="006655D3"/>
  </w:endnote>
  <w:endnote w:type="continuationSeparator" w:id="0">
    <w:p w14:paraId="0E335637" w14:textId="77777777" w:rsidR="00C67B45" w:rsidRDefault="00C67B45" w:rsidP="006655D3">
      <w:r>
        <w:separator/>
      </w:r>
    </w:p>
    <w:p w14:paraId="627F357C" w14:textId="77777777" w:rsidR="00B3651F" w:rsidRDefault="001901A1">
      <w:pPr>
        <w:pStyle w:val="Footer"/>
        <w:spacing w:after="60"/>
        <w:rPr>
          <w:sz w:val="18"/>
          <w:lang w:val="fr-FR"/>
        </w:rPr>
      </w:pPr>
      <w:r w:rsidRPr="00294751">
        <w:rPr>
          <w:sz w:val="18"/>
          <w:lang w:val="fr-FR"/>
        </w:rPr>
        <w:t>[Suite de la note de la page précédente]</w:t>
      </w:r>
    </w:p>
    <w:p w14:paraId="4533D2C4" w14:textId="77777777" w:rsidR="00C67B45" w:rsidRPr="00294751" w:rsidRDefault="00C67B45" w:rsidP="006655D3">
      <w:pPr>
        <w:rPr>
          <w:lang w:val="fr-FR"/>
        </w:rPr>
      </w:pPr>
    </w:p>
    <w:p w14:paraId="70297CF8" w14:textId="77777777" w:rsidR="00C67B45" w:rsidRPr="00294751" w:rsidRDefault="00C67B45" w:rsidP="006655D3">
      <w:pPr>
        <w:rPr>
          <w:lang w:val="fr-FR"/>
        </w:rPr>
      </w:pPr>
    </w:p>
  </w:endnote>
  <w:endnote w:type="continuationNotice" w:id="1">
    <w:p w14:paraId="24190E72" w14:textId="77777777" w:rsidR="00B3651F" w:rsidRDefault="001901A1">
      <w:pPr>
        <w:rPr>
          <w:lang w:val="fr-FR"/>
        </w:rPr>
      </w:pPr>
      <w:r w:rsidRPr="00294751">
        <w:rPr>
          <w:lang w:val="fr-FR"/>
        </w:rPr>
        <w:t>[Suite de la note pag</w:t>
      </w:r>
      <w:r w:rsidRPr="00294751">
        <w:rPr>
          <w:lang w:val="fr-FR"/>
        </w:rPr>
        <w:t>e suivante]</w:t>
      </w:r>
    </w:p>
    <w:p w14:paraId="704BE243" w14:textId="77777777" w:rsidR="00C67B45" w:rsidRPr="00294751" w:rsidRDefault="00C67B45" w:rsidP="006655D3">
      <w:pPr>
        <w:rPr>
          <w:lang w:val="fr-FR"/>
        </w:rPr>
      </w:pPr>
    </w:p>
    <w:p w14:paraId="2A3413AF" w14:textId="77777777" w:rsidR="00C67B45" w:rsidRPr="00294751" w:rsidRDefault="00C67B4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C41A5" w14:textId="77777777" w:rsidR="00C67B45" w:rsidRDefault="00C67B45" w:rsidP="006655D3">
      <w:r>
        <w:separator/>
      </w:r>
    </w:p>
  </w:footnote>
  <w:footnote w:type="continuationSeparator" w:id="0">
    <w:p w14:paraId="7637BEFB" w14:textId="77777777" w:rsidR="00C67B45" w:rsidRDefault="00C67B45" w:rsidP="006655D3">
      <w:r>
        <w:separator/>
      </w:r>
    </w:p>
  </w:footnote>
  <w:footnote w:type="continuationNotice" w:id="1">
    <w:p w14:paraId="3A07E806" w14:textId="77777777" w:rsidR="00C67B45" w:rsidRPr="00AB530F" w:rsidRDefault="00C67B45" w:rsidP="00AB530F">
      <w:pPr>
        <w:pStyle w:val="Footer"/>
      </w:pPr>
    </w:p>
  </w:footnote>
  <w:footnote w:id="2">
    <w:p w14:paraId="6D60966B" w14:textId="77777777" w:rsidR="00B3651F" w:rsidRPr="001D1AB1" w:rsidRDefault="001901A1" w:rsidP="0030161C">
      <w:pPr>
        <w:pStyle w:val="FootnoteText"/>
        <w:rPr>
          <w:lang w:val="fr-FR"/>
        </w:rPr>
      </w:pPr>
      <w:r w:rsidRPr="001D1AB1">
        <w:rPr>
          <w:rStyle w:val="FootnoteReference"/>
          <w:lang w:val="fr-FR"/>
        </w:rPr>
        <w:footnoteRef/>
      </w:r>
      <w:r w:rsidR="00DC3BDA" w:rsidRPr="001D1AB1">
        <w:rPr>
          <w:lang w:val="fr-FR"/>
        </w:rPr>
        <w:t xml:space="preserve"> TC, cinquante-huitième session, </w:t>
      </w:r>
      <w:r w:rsidRPr="001D1AB1">
        <w:rPr>
          <w:lang w:val="fr-FR"/>
        </w:rPr>
        <w:t>tenue à Genève, les 24 et 25 octobre 2022.</w:t>
      </w:r>
    </w:p>
  </w:footnote>
  <w:footnote w:id="3">
    <w:p w14:paraId="2D77692E" w14:textId="77777777" w:rsidR="00B3651F" w:rsidRPr="001D1AB1" w:rsidRDefault="001901A1" w:rsidP="0030161C">
      <w:pPr>
        <w:pStyle w:val="FootnoteText"/>
        <w:rPr>
          <w:lang w:val="fr-FR"/>
        </w:rPr>
      </w:pPr>
      <w:r w:rsidRPr="001D1AB1">
        <w:rPr>
          <w:rStyle w:val="FootnoteReference"/>
          <w:lang w:val="fr-FR"/>
        </w:rPr>
        <w:footnoteRef/>
      </w:r>
      <w:r w:rsidR="0052589C" w:rsidRPr="001D1AB1">
        <w:rPr>
          <w:lang w:val="fr-FR"/>
        </w:rPr>
        <w:t xml:space="preserve"> TWV, </w:t>
      </w:r>
      <w:r w:rsidRPr="001D1AB1">
        <w:rPr>
          <w:lang w:val="fr-FR"/>
        </w:rPr>
        <w:t xml:space="preserve">cinquante-septième session, tenue à Antalya, Türkiye, du 1er au 5 </w:t>
      </w:r>
      <w:r w:rsidR="0052589C" w:rsidRPr="001D1AB1">
        <w:rPr>
          <w:lang w:val="fr-FR"/>
        </w:rPr>
        <w:t xml:space="preserve">mai </w:t>
      </w:r>
      <w:r w:rsidRPr="001D1AB1">
        <w:rPr>
          <w:lang w:val="fr-FR"/>
        </w:rPr>
        <w:t>2023.</w:t>
      </w:r>
    </w:p>
  </w:footnote>
  <w:footnote w:id="4">
    <w:p w14:paraId="590AC92D" w14:textId="77777777" w:rsidR="00B3651F" w:rsidRPr="001D1AB1" w:rsidRDefault="001901A1" w:rsidP="0030161C">
      <w:pPr>
        <w:pStyle w:val="FootnoteText"/>
        <w:rPr>
          <w:lang w:val="fr-FR"/>
        </w:rPr>
      </w:pPr>
      <w:r w:rsidRPr="001D1AB1">
        <w:rPr>
          <w:rStyle w:val="FootnoteReference"/>
          <w:lang w:val="fr-FR"/>
        </w:rPr>
        <w:footnoteRef/>
      </w:r>
      <w:r w:rsidR="0052589C" w:rsidRPr="001D1AB1">
        <w:rPr>
          <w:lang w:val="fr-FR"/>
        </w:rPr>
        <w:t xml:space="preserve"> TWA, </w:t>
      </w:r>
      <w:r w:rsidRPr="001D1AB1">
        <w:rPr>
          <w:lang w:val="fr-FR"/>
        </w:rPr>
        <w:t>cinquante-deuxième session, tenue par voie électronique, du 22 au 26 mai 2023.</w:t>
      </w:r>
    </w:p>
  </w:footnote>
  <w:footnote w:id="5">
    <w:p w14:paraId="0DD4976C" w14:textId="77777777" w:rsidR="00B3651F" w:rsidRPr="001D1AB1" w:rsidRDefault="001901A1" w:rsidP="0030161C">
      <w:pPr>
        <w:pStyle w:val="FootnoteText"/>
        <w:rPr>
          <w:lang w:val="fr-FR"/>
        </w:rPr>
      </w:pPr>
      <w:r w:rsidRPr="001D1AB1">
        <w:rPr>
          <w:rStyle w:val="FootnoteReference"/>
          <w:lang w:val="fr-FR"/>
        </w:rPr>
        <w:footnoteRef/>
      </w:r>
      <w:r w:rsidR="0052589C" w:rsidRPr="001D1AB1">
        <w:rPr>
          <w:lang w:val="fr-FR"/>
        </w:rPr>
        <w:t xml:space="preserve"> TWO, </w:t>
      </w:r>
      <w:r w:rsidRPr="001D1AB1">
        <w:rPr>
          <w:lang w:val="fr-FR"/>
        </w:rPr>
        <w:t>cinquante-cinquième session, tenue par voie électronique, du 12 au 16 juin 2023.</w:t>
      </w:r>
    </w:p>
  </w:footnote>
  <w:footnote w:id="6">
    <w:p w14:paraId="2FC1B612" w14:textId="77777777" w:rsidR="00B3651F" w:rsidRPr="001D1AB1" w:rsidRDefault="001901A1" w:rsidP="0030161C">
      <w:pPr>
        <w:pStyle w:val="FootnoteText"/>
        <w:rPr>
          <w:lang w:val="fr-FR"/>
        </w:rPr>
      </w:pPr>
      <w:r w:rsidRPr="001D1AB1">
        <w:rPr>
          <w:rStyle w:val="FootnoteReference"/>
          <w:lang w:val="fr-FR"/>
        </w:rPr>
        <w:footnoteRef/>
      </w:r>
      <w:r w:rsidR="0052589C" w:rsidRPr="001D1AB1">
        <w:rPr>
          <w:lang w:val="fr-FR"/>
        </w:rPr>
        <w:t xml:space="preserve"> TWF, </w:t>
      </w:r>
      <w:r w:rsidRPr="001D1AB1">
        <w:rPr>
          <w:lang w:val="fr-FR"/>
        </w:rPr>
        <w:t>cinquante-quatrième session, tenue à Nîmes (France), du 3 au 7 juillet 2023.</w:t>
      </w:r>
    </w:p>
  </w:footnote>
  <w:footnote w:id="7">
    <w:p w14:paraId="35728DFB" w14:textId="77777777" w:rsidR="00B3651F" w:rsidRPr="001D1AB1" w:rsidRDefault="001901A1" w:rsidP="0030161C">
      <w:pPr>
        <w:pStyle w:val="FootnoteText"/>
        <w:rPr>
          <w:lang w:val="fr-FR"/>
        </w:rPr>
      </w:pPr>
      <w:r w:rsidRPr="001D1AB1">
        <w:rPr>
          <w:rStyle w:val="FootnoteReference"/>
          <w:lang w:val="fr-FR"/>
        </w:rPr>
        <w:footnoteRef/>
      </w:r>
      <w:r w:rsidR="004B3AFD" w:rsidRPr="001D1AB1">
        <w:rPr>
          <w:lang w:val="fr-FR"/>
        </w:rPr>
        <w:t xml:space="preserve"> Voir les documents TWV/57/26 "Compte rendu", paragraphe 31 ; TWA/52/11 "Compte rendu", paragraphe 34 ; TWO/55/11 "Compte rendu", paragraphe 38 ; et TWF/54/13 "Compte rendu", paragraphe </w:t>
      </w:r>
      <w:r w:rsidR="00D220BB" w:rsidRPr="001D1AB1">
        <w:rPr>
          <w:lang w:val="fr-FR"/>
        </w:rPr>
        <w:t>33.</w:t>
      </w:r>
    </w:p>
  </w:footnote>
  <w:footnote w:id="8">
    <w:p w14:paraId="06BDADEE" w14:textId="77777777" w:rsidR="00B3651F" w:rsidRPr="001D1AB1" w:rsidRDefault="001901A1" w:rsidP="0030161C">
      <w:pPr>
        <w:pStyle w:val="FootnoteText"/>
        <w:rPr>
          <w:lang w:val="fr-FR"/>
        </w:rPr>
      </w:pPr>
      <w:r w:rsidRPr="001D1AB1">
        <w:rPr>
          <w:rStyle w:val="FootnoteReference"/>
          <w:lang w:val="fr-FR"/>
        </w:rPr>
        <w:footnoteRef/>
      </w:r>
      <w:r w:rsidRPr="001D1AB1">
        <w:rPr>
          <w:lang w:val="fr-FR"/>
        </w:rPr>
        <w:t xml:space="preserve"> Voir les documents TWV/57/26 "Compte rendu", paragraphes 32 et </w:t>
      </w:r>
      <w:r w:rsidR="00E60BFD" w:rsidRPr="001D1AB1">
        <w:rPr>
          <w:lang w:val="fr-FR"/>
        </w:rPr>
        <w:t xml:space="preserve">35 </w:t>
      </w:r>
      <w:r w:rsidRPr="001D1AB1">
        <w:rPr>
          <w:lang w:val="fr-FR"/>
        </w:rPr>
        <w:t xml:space="preserve">; TWA/52/11 "Compte rendu", </w:t>
      </w:r>
      <w:r w:rsidR="00566F0A" w:rsidRPr="001D1AB1">
        <w:rPr>
          <w:lang w:val="fr-FR"/>
        </w:rPr>
        <w:t xml:space="preserve">paragraphes 36 et 37 </w:t>
      </w:r>
      <w:r w:rsidRPr="001D1AB1">
        <w:rPr>
          <w:lang w:val="fr-FR"/>
        </w:rPr>
        <w:t xml:space="preserve">; TWO/55/11 "Compte rendu", paragraphe </w:t>
      </w:r>
      <w:r w:rsidR="00A23CF5" w:rsidRPr="001D1AB1">
        <w:rPr>
          <w:lang w:val="fr-FR"/>
        </w:rPr>
        <w:t xml:space="preserve">39 </w:t>
      </w:r>
      <w:r w:rsidRPr="001D1AB1">
        <w:rPr>
          <w:lang w:val="fr-FR"/>
        </w:rPr>
        <w:t xml:space="preserve">; et TWF/54/13 "Compte rendu", </w:t>
      </w:r>
      <w:r w:rsidR="00566F0A" w:rsidRPr="001D1AB1">
        <w:rPr>
          <w:lang w:val="fr-FR"/>
        </w:rPr>
        <w:t>paragraphes 34 et 37.</w:t>
      </w:r>
    </w:p>
  </w:footnote>
  <w:footnote w:id="9">
    <w:p w14:paraId="35C62B79" w14:textId="77777777" w:rsidR="00B3651F" w:rsidRPr="001D1AB1" w:rsidRDefault="001901A1" w:rsidP="0030161C">
      <w:pPr>
        <w:pStyle w:val="FootnoteText"/>
        <w:rPr>
          <w:lang w:val="fr-FR"/>
        </w:rPr>
      </w:pPr>
      <w:r w:rsidRPr="001D1AB1">
        <w:rPr>
          <w:rStyle w:val="FootnoteReference"/>
          <w:lang w:val="fr-FR"/>
        </w:rPr>
        <w:footnoteRef/>
      </w:r>
      <w:r w:rsidRPr="001D1AB1">
        <w:rPr>
          <w:lang w:val="fr-FR"/>
        </w:rPr>
        <w:t xml:space="preserve"> Voir les documents TWV/57/26 "Compte rendu", paragraphes </w:t>
      </w:r>
      <w:r w:rsidR="00E60BFD" w:rsidRPr="001D1AB1">
        <w:rPr>
          <w:lang w:val="fr-FR"/>
        </w:rPr>
        <w:t xml:space="preserve">33 et 34 </w:t>
      </w:r>
      <w:r w:rsidRPr="001D1AB1">
        <w:rPr>
          <w:lang w:val="fr-FR"/>
        </w:rPr>
        <w:t xml:space="preserve">; TWA/52/11 "Compte rendu", paragraphe </w:t>
      </w:r>
      <w:r w:rsidR="00D220BB" w:rsidRPr="001D1AB1">
        <w:rPr>
          <w:lang w:val="fr-FR"/>
        </w:rPr>
        <w:t xml:space="preserve">35 </w:t>
      </w:r>
      <w:r w:rsidRPr="001D1AB1">
        <w:rPr>
          <w:lang w:val="fr-FR"/>
        </w:rPr>
        <w:t xml:space="preserve">; TWO/55/11 "Compte rendu", paragraphes </w:t>
      </w:r>
      <w:r w:rsidR="00166E2F" w:rsidRPr="001D1AB1">
        <w:rPr>
          <w:lang w:val="fr-FR"/>
        </w:rPr>
        <w:t xml:space="preserve">40 et </w:t>
      </w:r>
      <w:r w:rsidRPr="001D1AB1">
        <w:rPr>
          <w:lang w:val="fr-FR"/>
        </w:rPr>
        <w:t xml:space="preserve">41 ; et TWF/54/13 "Compte rendu", paragraphes </w:t>
      </w:r>
      <w:r w:rsidR="00166E2F" w:rsidRPr="001D1AB1">
        <w:rPr>
          <w:lang w:val="fr-FR"/>
        </w:rPr>
        <w:t>35 et 36.</w:t>
      </w:r>
    </w:p>
  </w:footnote>
  <w:footnote w:id="10">
    <w:p w14:paraId="0E7E9AA6" w14:textId="77777777" w:rsidR="00B3651F" w:rsidRPr="001D1AB1" w:rsidRDefault="001901A1" w:rsidP="0030161C">
      <w:pPr>
        <w:pStyle w:val="FootnoteText"/>
        <w:rPr>
          <w:lang w:val="fr-FR"/>
        </w:rPr>
      </w:pPr>
      <w:r w:rsidRPr="001D1AB1">
        <w:rPr>
          <w:rStyle w:val="FootnoteReference"/>
          <w:lang w:val="fr-FR"/>
        </w:rPr>
        <w:footnoteRef/>
      </w:r>
      <w:r w:rsidRPr="001D1AB1">
        <w:rPr>
          <w:lang w:val="fr-FR"/>
        </w:rPr>
        <w:t xml:space="preserve"> TC, cinquante-huitième session, tenue à Genève les 25 et 26 octobre 2022.</w:t>
      </w:r>
    </w:p>
  </w:footnote>
  <w:footnote w:id="11">
    <w:p w14:paraId="29FF960B" w14:textId="77777777" w:rsidR="00B3651F" w:rsidRPr="001D1AB1" w:rsidRDefault="001901A1" w:rsidP="0030161C">
      <w:pPr>
        <w:pStyle w:val="FootnoteText"/>
        <w:rPr>
          <w:lang w:val="fr-FR"/>
        </w:rPr>
      </w:pPr>
      <w:r w:rsidRPr="001D1AB1">
        <w:rPr>
          <w:rStyle w:val="FootnoteReference"/>
          <w:lang w:val="fr-FR"/>
        </w:rPr>
        <w:footnoteRef/>
      </w:r>
      <w:r w:rsidRPr="001D1AB1">
        <w:rPr>
          <w:lang w:val="fr-FR"/>
        </w:rPr>
        <w:t xml:space="preserve"> </w:t>
      </w:r>
      <w:proofErr w:type="gramStart"/>
      <w:r w:rsidRPr="001D1AB1">
        <w:rPr>
          <w:lang w:val="fr-FR"/>
        </w:rPr>
        <w:t>voir</w:t>
      </w:r>
      <w:proofErr w:type="gramEnd"/>
      <w:r w:rsidRPr="001D1AB1">
        <w:rPr>
          <w:lang w:val="fr-FR"/>
        </w:rPr>
        <w:t xml:space="preserve"> le document TC/58/31 "Compte rendu", paragraphe 107</w:t>
      </w:r>
    </w:p>
  </w:footnote>
  <w:footnote w:id="12">
    <w:p w14:paraId="4D2BDF44" w14:textId="77777777" w:rsidR="00B3651F" w:rsidRPr="001D1AB1" w:rsidRDefault="001901A1" w:rsidP="0030161C">
      <w:pPr>
        <w:pStyle w:val="FootnoteText"/>
        <w:rPr>
          <w:lang w:val="fr-FR"/>
        </w:rPr>
      </w:pPr>
      <w:r w:rsidRPr="001D1AB1">
        <w:rPr>
          <w:rStyle w:val="FootnoteReference"/>
          <w:lang w:val="fr-FR"/>
        </w:rPr>
        <w:footnoteRef/>
      </w:r>
      <w:r w:rsidRPr="001D1AB1">
        <w:rPr>
          <w:lang w:val="fr-FR"/>
        </w:rPr>
        <w:t xml:space="preserve"> "Journée des éleveurs" 11 avril 2024</w:t>
      </w:r>
    </w:p>
  </w:footnote>
  <w:footnote w:id="13">
    <w:p w14:paraId="2721012E" w14:textId="77777777" w:rsidR="00B3651F" w:rsidRPr="001D1AB1" w:rsidRDefault="001901A1" w:rsidP="0030161C">
      <w:pPr>
        <w:pStyle w:val="FootnoteText"/>
        <w:rPr>
          <w:lang w:val="fr-FR"/>
        </w:rPr>
      </w:pPr>
      <w:r w:rsidRPr="001D1AB1">
        <w:rPr>
          <w:rStyle w:val="FootnoteReference"/>
          <w:lang w:val="fr-FR"/>
        </w:rPr>
        <w:footnoteRef/>
      </w:r>
      <w:r w:rsidRPr="001D1AB1">
        <w:rPr>
          <w:lang w:val="fr-FR"/>
        </w:rPr>
        <w:t xml:space="preserve"> TWA, cinquante-deuxième </w:t>
      </w:r>
      <w:r w:rsidRPr="001D1AB1">
        <w:rPr>
          <w:lang w:val="fr-FR"/>
        </w:rPr>
        <w:t>session, tenue par voie électronique, du 22 au 26 mai 2023.</w:t>
      </w:r>
    </w:p>
  </w:footnote>
  <w:footnote w:id="14">
    <w:p w14:paraId="38371482" w14:textId="77777777" w:rsidR="00B3651F" w:rsidRPr="001D1AB1" w:rsidRDefault="001901A1" w:rsidP="0030161C">
      <w:pPr>
        <w:pStyle w:val="FootnoteText"/>
        <w:rPr>
          <w:lang w:val="fr-FR"/>
        </w:rPr>
      </w:pPr>
      <w:r w:rsidRPr="001D1AB1">
        <w:rPr>
          <w:rStyle w:val="FootnoteReference"/>
          <w:lang w:val="fr-FR"/>
        </w:rPr>
        <w:footnoteRef/>
      </w:r>
      <w:r w:rsidRPr="001D1AB1">
        <w:rPr>
          <w:lang w:val="fr-FR"/>
        </w:rPr>
        <w:t xml:space="preserve"> Voir le document TWA/52/11 "Compte rendu", paragraphes 38 et 39.</w:t>
      </w:r>
    </w:p>
  </w:footnote>
  <w:footnote w:id="15">
    <w:p w14:paraId="341A8E0D" w14:textId="77777777" w:rsidR="00B3651F" w:rsidRPr="001D1AB1" w:rsidRDefault="001901A1" w:rsidP="0030161C">
      <w:pPr>
        <w:pStyle w:val="FootnoteText"/>
        <w:rPr>
          <w:lang w:val="fr-FR"/>
        </w:rPr>
      </w:pPr>
      <w:r w:rsidRPr="001D1AB1">
        <w:rPr>
          <w:rStyle w:val="FootnoteReference"/>
          <w:lang w:val="fr-FR"/>
        </w:rPr>
        <w:footnoteRef/>
      </w:r>
      <w:r w:rsidRPr="001D1AB1">
        <w:rPr>
          <w:lang w:val="fr-FR"/>
        </w:rPr>
        <w:t xml:space="preserve"> TWF, cinquante-quatrième session, tenue à Nîmes (France), du 3 au 7 juillet 2023.</w:t>
      </w:r>
    </w:p>
  </w:footnote>
  <w:footnote w:id="16">
    <w:p w14:paraId="79C865DB" w14:textId="77777777" w:rsidR="00B3651F" w:rsidRPr="001D1AB1" w:rsidRDefault="001901A1" w:rsidP="0030161C">
      <w:pPr>
        <w:pStyle w:val="FootnoteText"/>
        <w:rPr>
          <w:lang w:val="fr-FR"/>
        </w:rPr>
      </w:pPr>
      <w:r w:rsidRPr="001D1AB1">
        <w:rPr>
          <w:rStyle w:val="FootnoteReference"/>
          <w:lang w:val="fr-FR"/>
        </w:rPr>
        <w:footnoteRef/>
      </w:r>
      <w:r w:rsidRPr="001D1AB1">
        <w:rPr>
          <w:lang w:val="fr-FR"/>
        </w:rPr>
        <w:t xml:space="preserve"> Voir le document TWF/54/13 "Compte rendu", </w:t>
      </w:r>
      <w:r w:rsidRPr="001D1AB1">
        <w:rPr>
          <w:lang w:val="fr-FR"/>
        </w:rPr>
        <w:t>paragraphe 32.</w:t>
      </w:r>
    </w:p>
  </w:footnote>
  <w:footnote w:id="17">
    <w:p w14:paraId="17F87A4C" w14:textId="77777777" w:rsidR="00B3651F" w:rsidRPr="001D1AB1" w:rsidRDefault="001901A1" w:rsidP="0030161C">
      <w:pPr>
        <w:pStyle w:val="FootnoteText"/>
        <w:rPr>
          <w:lang w:val="fr-FR"/>
        </w:rPr>
      </w:pPr>
      <w:r w:rsidRPr="001D1AB1">
        <w:rPr>
          <w:rStyle w:val="FootnoteReference"/>
          <w:lang w:val="fr-FR"/>
        </w:rPr>
        <w:footnoteRef/>
      </w:r>
      <w:r w:rsidR="00873180" w:rsidRPr="001D1AB1">
        <w:rPr>
          <w:lang w:val="fr-FR"/>
        </w:rPr>
        <w:t xml:space="preserve"> TC, cinquante-quatrième session, </w:t>
      </w:r>
      <w:r w:rsidRPr="001D1AB1">
        <w:rPr>
          <w:rFonts w:eastAsiaTheme="minorEastAsia"/>
          <w:lang w:val="fr-FR" w:eastAsia="ja-JP"/>
        </w:rPr>
        <w:t>tenue à Genève, les 29 et 30 octobre 2018.</w:t>
      </w:r>
    </w:p>
  </w:footnote>
  <w:footnote w:id="18">
    <w:p w14:paraId="32787347" w14:textId="77777777" w:rsidR="00B3651F" w:rsidRPr="001D1AB1" w:rsidRDefault="001901A1" w:rsidP="0030161C">
      <w:pPr>
        <w:pStyle w:val="FootnoteText"/>
        <w:rPr>
          <w:lang w:val="fr-FR"/>
        </w:rPr>
      </w:pPr>
      <w:r w:rsidRPr="001D1AB1">
        <w:rPr>
          <w:rStyle w:val="FootnoteReference"/>
          <w:lang w:val="fr-FR"/>
        </w:rPr>
        <w:footnoteRef/>
      </w:r>
      <w:r w:rsidRPr="001D1AB1">
        <w:rPr>
          <w:lang w:val="fr-FR"/>
        </w:rPr>
        <w:t xml:space="preserve"> TC, cinquante-huitième session, tenue à Genève les 25 et 26 octobre 2022.</w:t>
      </w:r>
    </w:p>
  </w:footnote>
  <w:footnote w:id="19">
    <w:p w14:paraId="51EB3113" w14:textId="77777777" w:rsidR="00B3651F" w:rsidRPr="001D1AB1" w:rsidRDefault="001901A1" w:rsidP="0030161C">
      <w:pPr>
        <w:pStyle w:val="FootnoteText"/>
        <w:rPr>
          <w:lang w:val="fr-FR"/>
        </w:rPr>
      </w:pPr>
      <w:r w:rsidRPr="001D1AB1">
        <w:rPr>
          <w:rStyle w:val="FootnoteReference"/>
          <w:lang w:val="fr-FR"/>
        </w:rPr>
        <w:footnoteRef/>
      </w:r>
      <w:r w:rsidRPr="001D1AB1">
        <w:rPr>
          <w:lang w:val="fr-FR"/>
        </w:rPr>
        <w:t xml:space="preserve"> Voir le document TC/58/31 "Compte rendu", paragraphe 42</w:t>
      </w:r>
    </w:p>
  </w:footnote>
  <w:footnote w:id="20">
    <w:p w14:paraId="46C68E47" w14:textId="77777777" w:rsidR="00B3651F" w:rsidRPr="001D1AB1" w:rsidRDefault="001901A1" w:rsidP="0030161C">
      <w:pPr>
        <w:pStyle w:val="FootnoteText"/>
        <w:rPr>
          <w:lang w:val="fr-FR"/>
        </w:rPr>
      </w:pPr>
      <w:r w:rsidRPr="001D1AB1">
        <w:rPr>
          <w:rStyle w:val="FootnoteReference"/>
          <w:lang w:val="fr-FR"/>
        </w:rPr>
        <w:footnoteRef/>
      </w:r>
      <w:r w:rsidR="009421CE" w:rsidRPr="001D1AB1">
        <w:rPr>
          <w:lang w:val="fr-FR"/>
        </w:rPr>
        <w:t xml:space="preserve"> TC, cinquante-quatrième session, </w:t>
      </w:r>
      <w:r w:rsidRPr="001D1AB1">
        <w:rPr>
          <w:lang w:val="fr-FR"/>
        </w:rPr>
        <w:t xml:space="preserve">tenue à Genève, les 29 et 30 octobre 2018. </w:t>
      </w:r>
    </w:p>
  </w:footnote>
  <w:footnote w:id="21">
    <w:p w14:paraId="4A4D149B" w14:textId="77777777" w:rsidR="00B3651F" w:rsidRPr="001D1AB1" w:rsidRDefault="001901A1" w:rsidP="0030161C">
      <w:pPr>
        <w:pStyle w:val="FootnoteText"/>
        <w:rPr>
          <w:lang w:val="fr-FR"/>
        </w:rPr>
      </w:pPr>
      <w:r w:rsidRPr="001D1AB1">
        <w:rPr>
          <w:rStyle w:val="FootnoteReference"/>
          <w:lang w:val="fr-FR"/>
        </w:rPr>
        <w:footnoteRef/>
      </w:r>
      <w:r w:rsidRPr="001D1AB1">
        <w:rPr>
          <w:lang w:val="fr-FR"/>
        </w:rPr>
        <w:t xml:space="preserve"> TC, cinquante-huitième session, tenue à Genève les 25 et 26 octobre 2022.</w:t>
      </w:r>
    </w:p>
  </w:footnote>
  <w:footnote w:id="22">
    <w:p w14:paraId="0A1C5DD9" w14:textId="77777777" w:rsidR="00B3651F" w:rsidRPr="001D1AB1" w:rsidRDefault="001901A1" w:rsidP="0030161C">
      <w:pPr>
        <w:pStyle w:val="FootnoteText"/>
        <w:rPr>
          <w:lang w:val="fr-FR"/>
        </w:rPr>
      </w:pPr>
      <w:r w:rsidRPr="001D1AB1">
        <w:rPr>
          <w:rStyle w:val="FootnoteReference"/>
          <w:lang w:val="fr-FR"/>
        </w:rPr>
        <w:footnoteRef/>
      </w:r>
      <w:r w:rsidRPr="001D1AB1">
        <w:rPr>
          <w:lang w:val="fr-FR"/>
        </w:rPr>
        <w:t xml:space="preserve"> Voir le document TC/58/31 "Compte rendu", paragraphe </w:t>
      </w:r>
      <w:r w:rsidRPr="001D1AB1">
        <w:rPr>
          <w:lang w:val="fr-FR"/>
        </w:rPr>
        <w:t>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78B5B" w14:textId="77777777" w:rsidR="00B3651F" w:rsidRDefault="001901A1">
    <w:pPr>
      <w:pStyle w:val="Header"/>
      <w:rPr>
        <w:rStyle w:val="PageNumber"/>
        <w:lang w:val="en-US"/>
      </w:rPr>
    </w:pPr>
    <w:r>
      <w:rPr>
        <w:rStyle w:val="PageNumber"/>
        <w:lang w:val="en-US"/>
      </w:rPr>
      <w:t>SESSIONS/2023/5</w:t>
    </w:r>
  </w:p>
  <w:p w14:paraId="7EC9E078" w14:textId="77777777" w:rsidR="00B3651F" w:rsidRDefault="001901A1">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62FD4">
      <w:rPr>
        <w:rStyle w:val="PageNumber"/>
        <w:noProof/>
        <w:lang w:val="en-US"/>
      </w:rPr>
      <w:t>2</w:t>
    </w:r>
    <w:r w:rsidRPr="00C5280D">
      <w:rPr>
        <w:rStyle w:val="PageNumber"/>
        <w:lang w:val="en-US"/>
      </w:rPr>
      <w:fldChar w:fldCharType="end"/>
    </w:r>
  </w:p>
  <w:p w14:paraId="21B56790" w14:textId="77777777" w:rsidR="00FA56F7" w:rsidRPr="00C5280D" w:rsidRDefault="00FA56F7"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80919"/>
    <w:multiLevelType w:val="hybridMultilevel"/>
    <w:tmpl w:val="A7EC8664"/>
    <w:lvl w:ilvl="0" w:tplc="50124E3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4C470B"/>
    <w:multiLevelType w:val="hybridMultilevel"/>
    <w:tmpl w:val="B0AC2606"/>
    <w:lvl w:ilvl="0" w:tplc="931AE488">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2" w15:restartNumberingAfterBreak="0">
    <w:nsid w:val="37E62201"/>
    <w:multiLevelType w:val="hybridMultilevel"/>
    <w:tmpl w:val="BD7E0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D546BE"/>
    <w:multiLevelType w:val="hybridMultilevel"/>
    <w:tmpl w:val="548A8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489591">
    <w:abstractNumId w:val="0"/>
  </w:num>
  <w:num w:numId="2" w16cid:durableId="517548275">
    <w:abstractNumId w:val="2"/>
  </w:num>
  <w:num w:numId="3" w16cid:durableId="1535774018">
    <w:abstractNumId w:val="3"/>
  </w:num>
  <w:num w:numId="4" w16cid:durableId="70086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91"/>
    <w:rsid w:val="00010CF3"/>
    <w:rsid w:val="00011E27"/>
    <w:rsid w:val="000148BC"/>
    <w:rsid w:val="00024AB8"/>
    <w:rsid w:val="00030854"/>
    <w:rsid w:val="00036028"/>
    <w:rsid w:val="0004198B"/>
    <w:rsid w:val="00044642"/>
    <w:rsid w:val="000446B9"/>
    <w:rsid w:val="000458A4"/>
    <w:rsid w:val="00047E21"/>
    <w:rsid w:val="00050E16"/>
    <w:rsid w:val="00055B19"/>
    <w:rsid w:val="00085505"/>
    <w:rsid w:val="00085D73"/>
    <w:rsid w:val="000912E2"/>
    <w:rsid w:val="000C4E25"/>
    <w:rsid w:val="000C7021"/>
    <w:rsid w:val="000D6BBC"/>
    <w:rsid w:val="000D771D"/>
    <w:rsid w:val="000D7780"/>
    <w:rsid w:val="000E636A"/>
    <w:rsid w:val="000F2F11"/>
    <w:rsid w:val="00100A5F"/>
    <w:rsid w:val="00105929"/>
    <w:rsid w:val="0010768B"/>
    <w:rsid w:val="00110BED"/>
    <w:rsid w:val="00110C36"/>
    <w:rsid w:val="001131D5"/>
    <w:rsid w:val="00114547"/>
    <w:rsid w:val="00122C95"/>
    <w:rsid w:val="00141DB8"/>
    <w:rsid w:val="00145CD6"/>
    <w:rsid w:val="0015123B"/>
    <w:rsid w:val="001612B5"/>
    <w:rsid w:val="00166E2F"/>
    <w:rsid w:val="00172084"/>
    <w:rsid w:val="0017474A"/>
    <w:rsid w:val="001758C6"/>
    <w:rsid w:val="00182B99"/>
    <w:rsid w:val="001901A1"/>
    <w:rsid w:val="001975E1"/>
    <w:rsid w:val="001C1525"/>
    <w:rsid w:val="001D1AB1"/>
    <w:rsid w:val="001D736D"/>
    <w:rsid w:val="0021332C"/>
    <w:rsid w:val="00213982"/>
    <w:rsid w:val="0024416D"/>
    <w:rsid w:val="00271911"/>
    <w:rsid w:val="00273187"/>
    <w:rsid w:val="00274002"/>
    <w:rsid w:val="002800A0"/>
    <w:rsid w:val="002801B3"/>
    <w:rsid w:val="00280887"/>
    <w:rsid w:val="00281060"/>
    <w:rsid w:val="00285BD0"/>
    <w:rsid w:val="002940E8"/>
    <w:rsid w:val="00294751"/>
    <w:rsid w:val="002965B9"/>
    <w:rsid w:val="002A6E50"/>
    <w:rsid w:val="002B4298"/>
    <w:rsid w:val="002B7A36"/>
    <w:rsid w:val="002C256A"/>
    <w:rsid w:val="002C721C"/>
    <w:rsid w:val="002D5226"/>
    <w:rsid w:val="002E0E2D"/>
    <w:rsid w:val="002F1698"/>
    <w:rsid w:val="0030161C"/>
    <w:rsid w:val="00305A7F"/>
    <w:rsid w:val="003152FE"/>
    <w:rsid w:val="00317807"/>
    <w:rsid w:val="00323E4E"/>
    <w:rsid w:val="00327436"/>
    <w:rsid w:val="003308D5"/>
    <w:rsid w:val="00344BD6"/>
    <w:rsid w:val="00351CA1"/>
    <w:rsid w:val="0035528D"/>
    <w:rsid w:val="00361821"/>
    <w:rsid w:val="00361E9E"/>
    <w:rsid w:val="003753EE"/>
    <w:rsid w:val="00377135"/>
    <w:rsid w:val="00391FB4"/>
    <w:rsid w:val="003A0835"/>
    <w:rsid w:val="003A5AAF"/>
    <w:rsid w:val="003B700A"/>
    <w:rsid w:val="003C03EB"/>
    <w:rsid w:val="003C7FBE"/>
    <w:rsid w:val="003D227C"/>
    <w:rsid w:val="003D2B4D"/>
    <w:rsid w:val="003F37F5"/>
    <w:rsid w:val="00424E38"/>
    <w:rsid w:val="00425B3B"/>
    <w:rsid w:val="00444A88"/>
    <w:rsid w:val="00451D47"/>
    <w:rsid w:val="004611F7"/>
    <w:rsid w:val="004718D1"/>
    <w:rsid w:val="004722D8"/>
    <w:rsid w:val="00474DA4"/>
    <w:rsid w:val="00476B4D"/>
    <w:rsid w:val="004805FA"/>
    <w:rsid w:val="004935D2"/>
    <w:rsid w:val="004B1215"/>
    <w:rsid w:val="004B3AFD"/>
    <w:rsid w:val="004D047D"/>
    <w:rsid w:val="004E38BD"/>
    <w:rsid w:val="004F1E9E"/>
    <w:rsid w:val="004F305A"/>
    <w:rsid w:val="005054F9"/>
    <w:rsid w:val="00512164"/>
    <w:rsid w:val="00520297"/>
    <w:rsid w:val="0052589C"/>
    <w:rsid w:val="005338F9"/>
    <w:rsid w:val="0054281C"/>
    <w:rsid w:val="00544581"/>
    <w:rsid w:val="00544EA5"/>
    <w:rsid w:val="00551816"/>
    <w:rsid w:val="0055268D"/>
    <w:rsid w:val="00566F0A"/>
    <w:rsid w:val="00575DE2"/>
    <w:rsid w:val="00576BE4"/>
    <w:rsid w:val="005779DB"/>
    <w:rsid w:val="005820D2"/>
    <w:rsid w:val="00584B3E"/>
    <w:rsid w:val="005A400A"/>
    <w:rsid w:val="005B269D"/>
    <w:rsid w:val="005C1866"/>
    <w:rsid w:val="005C5244"/>
    <w:rsid w:val="005E68FB"/>
    <w:rsid w:val="005F2F0F"/>
    <w:rsid w:val="005F7B92"/>
    <w:rsid w:val="00612379"/>
    <w:rsid w:val="006153B6"/>
    <w:rsid w:val="0061555F"/>
    <w:rsid w:val="006245ED"/>
    <w:rsid w:val="00636CA6"/>
    <w:rsid w:val="00641200"/>
    <w:rsid w:val="00645CA8"/>
    <w:rsid w:val="00645DE3"/>
    <w:rsid w:val="006652D7"/>
    <w:rsid w:val="006655D3"/>
    <w:rsid w:val="00667404"/>
    <w:rsid w:val="00674731"/>
    <w:rsid w:val="006753D1"/>
    <w:rsid w:val="00676EFE"/>
    <w:rsid w:val="00677DC2"/>
    <w:rsid w:val="006868F8"/>
    <w:rsid w:val="00687EB4"/>
    <w:rsid w:val="00695C56"/>
    <w:rsid w:val="006A1465"/>
    <w:rsid w:val="006A5CDE"/>
    <w:rsid w:val="006A644A"/>
    <w:rsid w:val="006B17D2"/>
    <w:rsid w:val="006C224E"/>
    <w:rsid w:val="006D4C97"/>
    <w:rsid w:val="006D6698"/>
    <w:rsid w:val="006D780A"/>
    <w:rsid w:val="006F358B"/>
    <w:rsid w:val="0071271E"/>
    <w:rsid w:val="007154FD"/>
    <w:rsid w:val="00732DEC"/>
    <w:rsid w:val="00735BD5"/>
    <w:rsid w:val="007451EC"/>
    <w:rsid w:val="00751613"/>
    <w:rsid w:val="00753EE9"/>
    <w:rsid w:val="007546B2"/>
    <w:rsid w:val="00754855"/>
    <w:rsid w:val="007556F6"/>
    <w:rsid w:val="00760EEF"/>
    <w:rsid w:val="00777EE5"/>
    <w:rsid w:val="00784836"/>
    <w:rsid w:val="0079023E"/>
    <w:rsid w:val="00794A18"/>
    <w:rsid w:val="007A2854"/>
    <w:rsid w:val="007B73A9"/>
    <w:rsid w:val="007C01EB"/>
    <w:rsid w:val="007C1D92"/>
    <w:rsid w:val="007C4CB9"/>
    <w:rsid w:val="007D0B9D"/>
    <w:rsid w:val="007D19B0"/>
    <w:rsid w:val="007F498F"/>
    <w:rsid w:val="0080679D"/>
    <w:rsid w:val="008108B0"/>
    <w:rsid w:val="00811B20"/>
    <w:rsid w:val="00812609"/>
    <w:rsid w:val="008211B5"/>
    <w:rsid w:val="0082296E"/>
    <w:rsid w:val="00824099"/>
    <w:rsid w:val="00846D7C"/>
    <w:rsid w:val="008644FE"/>
    <w:rsid w:val="00867AC1"/>
    <w:rsid w:val="00873180"/>
    <w:rsid w:val="008751DE"/>
    <w:rsid w:val="008772C1"/>
    <w:rsid w:val="00887B91"/>
    <w:rsid w:val="00890DF8"/>
    <w:rsid w:val="00891593"/>
    <w:rsid w:val="008A0ADE"/>
    <w:rsid w:val="008A743F"/>
    <w:rsid w:val="008A7867"/>
    <w:rsid w:val="008B2E00"/>
    <w:rsid w:val="008C0970"/>
    <w:rsid w:val="008D0BC5"/>
    <w:rsid w:val="008D1EC9"/>
    <w:rsid w:val="008D2CF7"/>
    <w:rsid w:val="008E22AF"/>
    <w:rsid w:val="00900C26"/>
    <w:rsid w:val="0090197F"/>
    <w:rsid w:val="00903264"/>
    <w:rsid w:val="00906DDC"/>
    <w:rsid w:val="00934D2B"/>
    <w:rsid w:val="00934E09"/>
    <w:rsid w:val="00936253"/>
    <w:rsid w:val="00936AF0"/>
    <w:rsid w:val="00940D46"/>
    <w:rsid w:val="009413F1"/>
    <w:rsid w:val="009421CE"/>
    <w:rsid w:val="00952DD4"/>
    <w:rsid w:val="00953A45"/>
    <w:rsid w:val="009561F4"/>
    <w:rsid w:val="00962FD4"/>
    <w:rsid w:val="009632AF"/>
    <w:rsid w:val="00965AE7"/>
    <w:rsid w:val="00970FED"/>
    <w:rsid w:val="00971744"/>
    <w:rsid w:val="00987464"/>
    <w:rsid w:val="00990E7C"/>
    <w:rsid w:val="009928E5"/>
    <w:rsid w:val="00992D82"/>
    <w:rsid w:val="00997029"/>
    <w:rsid w:val="009A7339"/>
    <w:rsid w:val="009B440E"/>
    <w:rsid w:val="009D05A8"/>
    <w:rsid w:val="009D690D"/>
    <w:rsid w:val="009E2D99"/>
    <w:rsid w:val="009E65B6"/>
    <w:rsid w:val="009F0A51"/>
    <w:rsid w:val="009F4F6F"/>
    <w:rsid w:val="009F77CF"/>
    <w:rsid w:val="00A075C2"/>
    <w:rsid w:val="00A1614C"/>
    <w:rsid w:val="00A23CF5"/>
    <w:rsid w:val="00A24C10"/>
    <w:rsid w:val="00A34633"/>
    <w:rsid w:val="00A42AC3"/>
    <w:rsid w:val="00A430CF"/>
    <w:rsid w:val="00A54309"/>
    <w:rsid w:val="00A610A9"/>
    <w:rsid w:val="00A80F2A"/>
    <w:rsid w:val="00A830D8"/>
    <w:rsid w:val="00A83A48"/>
    <w:rsid w:val="00A96C33"/>
    <w:rsid w:val="00A96C63"/>
    <w:rsid w:val="00AA13A2"/>
    <w:rsid w:val="00AB2B93"/>
    <w:rsid w:val="00AB530F"/>
    <w:rsid w:val="00AB7E5B"/>
    <w:rsid w:val="00AC2883"/>
    <w:rsid w:val="00AC5F03"/>
    <w:rsid w:val="00AD28D1"/>
    <w:rsid w:val="00AD727F"/>
    <w:rsid w:val="00AE0EF1"/>
    <w:rsid w:val="00AE2937"/>
    <w:rsid w:val="00B07301"/>
    <w:rsid w:val="00B11F3E"/>
    <w:rsid w:val="00B224DE"/>
    <w:rsid w:val="00B3111B"/>
    <w:rsid w:val="00B324D4"/>
    <w:rsid w:val="00B3651F"/>
    <w:rsid w:val="00B42CC2"/>
    <w:rsid w:val="00B46575"/>
    <w:rsid w:val="00B50C2C"/>
    <w:rsid w:val="00B61777"/>
    <w:rsid w:val="00B622E6"/>
    <w:rsid w:val="00B83E82"/>
    <w:rsid w:val="00B84BBD"/>
    <w:rsid w:val="00B91BD8"/>
    <w:rsid w:val="00BA37F9"/>
    <w:rsid w:val="00BA43FB"/>
    <w:rsid w:val="00BC127D"/>
    <w:rsid w:val="00BC1FE6"/>
    <w:rsid w:val="00BC2BF0"/>
    <w:rsid w:val="00BE752F"/>
    <w:rsid w:val="00C061B6"/>
    <w:rsid w:val="00C2446C"/>
    <w:rsid w:val="00C36AE5"/>
    <w:rsid w:val="00C41F17"/>
    <w:rsid w:val="00C527FA"/>
    <w:rsid w:val="00C5280D"/>
    <w:rsid w:val="00C53EB3"/>
    <w:rsid w:val="00C5791C"/>
    <w:rsid w:val="00C66290"/>
    <w:rsid w:val="00C67B45"/>
    <w:rsid w:val="00C72B7A"/>
    <w:rsid w:val="00C955FB"/>
    <w:rsid w:val="00C973F2"/>
    <w:rsid w:val="00CA304C"/>
    <w:rsid w:val="00CA774A"/>
    <w:rsid w:val="00CB4921"/>
    <w:rsid w:val="00CC11B0"/>
    <w:rsid w:val="00CC2841"/>
    <w:rsid w:val="00CE16FE"/>
    <w:rsid w:val="00CF1330"/>
    <w:rsid w:val="00CF7E36"/>
    <w:rsid w:val="00D06A59"/>
    <w:rsid w:val="00D220BB"/>
    <w:rsid w:val="00D3375A"/>
    <w:rsid w:val="00D3708D"/>
    <w:rsid w:val="00D40426"/>
    <w:rsid w:val="00D513EC"/>
    <w:rsid w:val="00D52F5C"/>
    <w:rsid w:val="00D57C96"/>
    <w:rsid w:val="00D57D18"/>
    <w:rsid w:val="00D60967"/>
    <w:rsid w:val="00D65B8E"/>
    <w:rsid w:val="00D70E65"/>
    <w:rsid w:val="00D75187"/>
    <w:rsid w:val="00D91203"/>
    <w:rsid w:val="00D95174"/>
    <w:rsid w:val="00DA4973"/>
    <w:rsid w:val="00DA6F36"/>
    <w:rsid w:val="00DB2899"/>
    <w:rsid w:val="00DB596E"/>
    <w:rsid w:val="00DB7773"/>
    <w:rsid w:val="00DC00EA"/>
    <w:rsid w:val="00DC3802"/>
    <w:rsid w:val="00DC3BDA"/>
    <w:rsid w:val="00DD6208"/>
    <w:rsid w:val="00DF7E99"/>
    <w:rsid w:val="00E074B7"/>
    <w:rsid w:val="00E07D87"/>
    <w:rsid w:val="00E209FA"/>
    <w:rsid w:val="00E249C8"/>
    <w:rsid w:val="00E32F7E"/>
    <w:rsid w:val="00E5267B"/>
    <w:rsid w:val="00E559F0"/>
    <w:rsid w:val="00E60BFD"/>
    <w:rsid w:val="00E63C0E"/>
    <w:rsid w:val="00E7019C"/>
    <w:rsid w:val="00E72D49"/>
    <w:rsid w:val="00E7593C"/>
    <w:rsid w:val="00E7678A"/>
    <w:rsid w:val="00E935F1"/>
    <w:rsid w:val="00E94A81"/>
    <w:rsid w:val="00E97F81"/>
    <w:rsid w:val="00EA1FFB"/>
    <w:rsid w:val="00EB048E"/>
    <w:rsid w:val="00EB4E9C"/>
    <w:rsid w:val="00EB5EB3"/>
    <w:rsid w:val="00EC2F3D"/>
    <w:rsid w:val="00ED449E"/>
    <w:rsid w:val="00EE34DF"/>
    <w:rsid w:val="00EF2F89"/>
    <w:rsid w:val="00EF6D30"/>
    <w:rsid w:val="00F03E98"/>
    <w:rsid w:val="00F1237A"/>
    <w:rsid w:val="00F17DCF"/>
    <w:rsid w:val="00F22CBD"/>
    <w:rsid w:val="00F272F1"/>
    <w:rsid w:val="00F31412"/>
    <w:rsid w:val="00F33641"/>
    <w:rsid w:val="00F418A0"/>
    <w:rsid w:val="00F45372"/>
    <w:rsid w:val="00F531DD"/>
    <w:rsid w:val="00F560F7"/>
    <w:rsid w:val="00F626D8"/>
    <w:rsid w:val="00F6334D"/>
    <w:rsid w:val="00F63599"/>
    <w:rsid w:val="00F71781"/>
    <w:rsid w:val="00F73F7E"/>
    <w:rsid w:val="00F94922"/>
    <w:rsid w:val="00F9565D"/>
    <w:rsid w:val="00F97F47"/>
    <w:rsid w:val="00FA49AB"/>
    <w:rsid w:val="00FA56F7"/>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79273D5"/>
  <w15:docId w15:val="{160B37CB-91D4-427C-B979-DAD66A53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30161C"/>
    <w:pPr>
      <w:spacing w:before="60"/>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A1614C"/>
    <w:pPr>
      <w:tabs>
        <w:tab w:val="right" w:leader="dot" w:pos="9639"/>
      </w:tabs>
      <w:ind w:left="454" w:right="851" w:hanging="284"/>
      <w:contextualSpacing/>
    </w:pPr>
    <w:rPr>
      <w:rFonts w:ascii="Arial" w:hAnsi="Arial"/>
    </w:rPr>
  </w:style>
  <w:style w:type="paragraph" w:styleId="TOC3">
    <w:name w:val="toc 3"/>
    <w:next w:val="Normal"/>
    <w:autoRedefine/>
    <w:uiPriority w:val="39"/>
    <w:rsid w:val="00971744"/>
    <w:pPr>
      <w:tabs>
        <w:tab w:val="right" w:leader="dot" w:pos="9639"/>
      </w:tabs>
      <w:spacing w:after="120"/>
      <w:ind w:left="568" w:right="851" w:hanging="284"/>
    </w:pPr>
    <w:rPr>
      <w:rFonts w:ascii="Arial" w:hAnsi="Arial"/>
      <w:i/>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971744"/>
    <w:pPr>
      <w:tabs>
        <w:tab w:val="right" w:leader="dot" w:pos="9639"/>
      </w:tabs>
      <w:spacing w:after="120"/>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TitleofdocChar">
    <w:name w:val="Title_of_doc Char"/>
    <w:link w:val="Titleofdoc0"/>
    <w:rsid w:val="007B73A9"/>
    <w:rPr>
      <w:rFonts w:ascii="Arial" w:hAnsi="Arial"/>
      <w:b/>
      <w:caps/>
    </w:rPr>
  </w:style>
  <w:style w:type="paragraph" w:customStyle="1" w:styleId="Sessiontwp">
    <w:name w:val="Session_twp"/>
    <w:basedOn w:val="Normal"/>
    <w:next w:val="Normal"/>
    <w:qFormat/>
    <w:rsid w:val="007B73A9"/>
    <w:rPr>
      <w:b/>
    </w:rPr>
  </w:style>
  <w:style w:type="paragraph" w:customStyle="1" w:styleId="Sessiontwpplacedate">
    <w:name w:val="Session_twp_place_date"/>
    <w:basedOn w:val="Normal"/>
    <w:next w:val="Normal"/>
    <w:qFormat/>
    <w:rsid w:val="007B73A9"/>
  </w:style>
  <w:style w:type="character" w:customStyle="1" w:styleId="FootnoteTextChar">
    <w:name w:val="Footnote Text Char"/>
    <w:basedOn w:val="DefaultParagraphFont"/>
    <w:link w:val="FootnoteText"/>
    <w:rsid w:val="0030161C"/>
    <w:rPr>
      <w:rFonts w:ascii="Arial" w:hAnsi="Arial"/>
      <w:sz w:val="16"/>
    </w:rPr>
  </w:style>
  <w:style w:type="table" w:styleId="TableGrid">
    <w:name w:val="Table Grid"/>
    <w:basedOn w:val="TableNormal"/>
    <w:uiPriority w:val="39"/>
    <w:rsid w:val="00E209FA"/>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6D4C97"/>
    <w:rPr>
      <w:rFonts w:ascii="Arial" w:hAnsi="Arial"/>
      <w:i/>
    </w:rPr>
  </w:style>
  <w:style w:type="character" w:customStyle="1" w:styleId="HeaderChar">
    <w:name w:val="Header Char"/>
    <w:basedOn w:val="DefaultParagraphFont"/>
    <w:link w:val="Header"/>
    <w:uiPriority w:val="99"/>
    <w:rsid w:val="00F626D8"/>
    <w:rPr>
      <w:rFonts w:ascii="Arial" w:hAnsi="Arial"/>
      <w:lang w:val="fr-FR"/>
    </w:rPr>
  </w:style>
  <w:style w:type="character" w:customStyle="1" w:styleId="UnresolvedMention1">
    <w:name w:val="Unresolved Mention1"/>
    <w:basedOn w:val="DefaultParagraphFont"/>
    <w:uiPriority w:val="99"/>
    <w:semiHidden/>
    <w:unhideWhenUsed/>
    <w:rsid w:val="002965B9"/>
    <w:rPr>
      <w:color w:val="605E5C"/>
      <w:shd w:val="clear" w:color="auto" w:fill="E1DFDD"/>
    </w:rPr>
  </w:style>
  <w:style w:type="paragraph" w:styleId="ListParagraph">
    <w:name w:val="List Paragraph"/>
    <w:basedOn w:val="Normal"/>
    <w:uiPriority w:val="34"/>
    <w:qFormat/>
    <w:rsid w:val="00FA56F7"/>
    <w:pPr>
      <w:ind w:left="720"/>
      <w:contextualSpacing/>
    </w:pPr>
  </w:style>
  <w:style w:type="paragraph" w:styleId="Revision">
    <w:name w:val="Revision"/>
    <w:hidden/>
    <w:uiPriority w:val="99"/>
    <w:semiHidden/>
    <w:rsid w:val="002F1698"/>
    <w:rPr>
      <w:rFonts w:ascii="Arial" w:hAnsi="Arial"/>
    </w:rPr>
  </w:style>
  <w:style w:type="character" w:styleId="CommentReference">
    <w:name w:val="annotation reference"/>
    <w:basedOn w:val="DefaultParagraphFont"/>
    <w:semiHidden/>
    <w:unhideWhenUsed/>
    <w:rsid w:val="00962FD4"/>
    <w:rPr>
      <w:sz w:val="16"/>
      <w:szCs w:val="16"/>
    </w:rPr>
  </w:style>
  <w:style w:type="paragraph" w:styleId="CommentText">
    <w:name w:val="annotation text"/>
    <w:basedOn w:val="Normal"/>
    <w:link w:val="CommentTextChar"/>
    <w:semiHidden/>
    <w:unhideWhenUsed/>
    <w:rsid w:val="00962FD4"/>
  </w:style>
  <w:style w:type="character" w:customStyle="1" w:styleId="CommentTextChar">
    <w:name w:val="Comment Text Char"/>
    <w:basedOn w:val="DefaultParagraphFont"/>
    <w:link w:val="CommentText"/>
    <w:semiHidden/>
    <w:rsid w:val="00962FD4"/>
    <w:rPr>
      <w:rFonts w:ascii="Arial" w:hAnsi="Arial"/>
    </w:rPr>
  </w:style>
  <w:style w:type="paragraph" w:styleId="CommentSubject">
    <w:name w:val="annotation subject"/>
    <w:basedOn w:val="CommentText"/>
    <w:next w:val="CommentText"/>
    <w:link w:val="CommentSubjectChar"/>
    <w:semiHidden/>
    <w:unhideWhenUsed/>
    <w:rsid w:val="00962FD4"/>
    <w:rPr>
      <w:b/>
      <w:bCs/>
    </w:rPr>
  </w:style>
  <w:style w:type="character" w:customStyle="1" w:styleId="CommentSubjectChar">
    <w:name w:val="Comment Subject Char"/>
    <w:basedOn w:val="CommentTextChar"/>
    <w:link w:val="CommentSubject"/>
    <w:semiHidden/>
    <w:rsid w:val="00962FD4"/>
    <w:rPr>
      <w:rFonts w:ascii="Arial" w:hAnsi="Arial"/>
      <w:b/>
      <w:bCs/>
    </w:rPr>
  </w:style>
  <w:style w:type="character" w:styleId="UnresolvedMention">
    <w:name w:val="Unresolved Mention"/>
    <w:basedOn w:val="DefaultParagraphFont"/>
    <w:uiPriority w:val="99"/>
    <w:semiHidden/>
    <w:unhideWhenUsed/>
    <w:rsid w:val="001901A1"/>
    <w:rPr>
      <w:color w:val="605E5C"/>
      <w:shd w:val="clear" w:color="auto" w:fill="E1DFDD"/>
    </w:rPr>
  </w:style>
  <w:style w:type="character" w:styleId="FollowedHyperlink">
    <w:name w:val="FollowedHyperlink"/>
    <w:basedOn w:val="DefaultParagraphFont"/>
    <w:semiHidden/>
    <w:unhideWhenUsed/>
    <w:rsid w:val="001901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1930">
      <w:bodyDiv w:val="1"/>
      <w:marLeft w:val="0"/>
      <w:marRight w:val="0"/>
      <w:marTop w:val="0"/>
      <w:marBottom w:val="0"/>
      <w:divBdr>
        <w:top w:val="none" w:sz="0" w:space="0" w:color="auto"/>
        <w:left w:val="none" w:sz="0" w:space="0" w:color="auto"/>
        <w:bottom w:val="none" w:sz="0" w:space="0" w:color="auto"/>
        <w:right w:val="none" w:sz="0" w:space="0" w:color="auto"/>
      </w:divBdr>
    </w:div>
    <w:div w:id="1023359988">
      <w:bodyDiv w:val="1"/>
      <w:marLeft w:val="0"/>
      <w:marRight w:val="0"/>
      <w:marTop w:val="0"/>
      <w:marBottom w:val="0"/>
      <w:divBdr>
        <w:top w:val="none" w:sz="0" w:space="0" w:color="auto"/>
        <w:left w:val="none" w:sz="0" w:space="0" w:color="auto"/>
        <w:bottom w:val="none" w:sz="0" w:space="0" w:color="auto"/>
        <w:right w:val="none" w:sz="0" w:space="0" w:color="auto"/>
      </w:divBdr>
    </w:div>
    <w:div w:id="1358003307">
      <w:bodyDiv w:val="1"/>
      <w:marLeft w:val="0"/>
      <w:marRight w:val="0"/>
      <w:marTop w:val="0"/>
      <w:marBottom w:val="0"/>
      <w:divBdr>
        <w:top w:val="none" w:sz="0" w:space="0" w:color="auto"/>
        <w:left w:val="none" w:sz="0" w:space="0" w:color="auto"/>
        <w:bottom w:val="none" w:sz="0" w:space="0" w:color="auto"/>
        <w:right w:val="none" w:sz="0" w:space="0" w:color="auto"/>
      </w:divBdr>
    </w:div>
    <w:div w:id="1827895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meetings/fr/doc_details.jsp?meeting_id=67786&amp;doc_id=5869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F000A-20EB-4EC4-91F5-CD5D28183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2891</Words>
  <Characters>17528</Characters>
  <Application>Microsoft Office Word</Application>
  <DocSecurity>0</DocSecurity>
  <Lines>407</Lines>
  <Paragraphs>243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SESSIONS/2023/5</vt:lpstr>
      <vt:lpstr>SESSIONS/2023/5</vt:lpstr>
    </vt:vector>
  </TitlesOfParts>
  <Company>UPOV</Company>
  <LinksUpToDate>false</LinksUpToDate>
  <CharactersWithSpaces>20176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SESSIONS/2023/5</dc:title>
  <dc:creator>SANCHEZ VIZCAINO GOMEZ Rosa Maria</dc:creator>
  <cp:keywords>, docId:7EBA37A67EA6E3151DFB9B7837373845</cp:keywords>
  <cp:lastModifiedBy>SANCHEZ VIZCAINO GOMEZ Rosa Maria</cp:lastModifiedBy>
  <cp:revision>6</cp:revision>
  <cp:lastPrinted>2023-10-06T08:53:00Z</cp:lastPrinted>
  <dcterms:created xsi:type="dcterms:W3CDTF">2023-10-10T17:17:00Z</dcterms:created>
  <dcterms:modified xsi:type="dcterms:W3CDTF">2023-10-13T16:16:00Z</dcterms:modified>
</cp:coreProperties>
</file>