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D1B2F64" w14:textId="77777777" w:rsidTr="00EB4E9C">
        <w:tc>
          <w:tcPr>
            <w:tcW w:w="6522" w:type="dxa"/>
          </w:tcPr>
          <w:p w14:paraId="5C7F7075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65F23216" wp14:editId="56ED7C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00A102C" w14:textId="77777777"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4CB64AD7" w14:textId="77777777" w:rsidTr="00645CA8">
        <w:trPr>
          <w:trHeight w:val="219"/>
        </w:trPr>
        <w:tc>
          <w:tcPr>
            <w:tcW w:w="6522" w:type="dxa"/>
          </w:tcPr>
          <w:p w14:paraId="56F5ED23" w14:textId="77777777"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14:paraId="33974171" w14:textId="77777777" w:rsidR="00DC3802" w:rsidRPr="00DA4973" w:rsidRDefault="00DC3802" w:rsidP="00DA4973"/>
        </w:tc>
      </w:tr>
    </w:tbl>
    <w:p w14:paraId="0861FC31" w14:textId="77777777" w:rsidR="00DC3802" w:rsidRDefault="00DC3802" w:rsidP="00DC3802"/>
    <w:p w14:paraId="32148E5C" w14:textId="77777777" w:rsidR="008D0F14" w:rsidRPr="00365DC1" w:rsidRDefault="008D0F14" w:rsidP="008D0F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C5280D" w14:paraId="6E88FD40" w14:textId="77777777" w:rsidTr="002A2525">
        <w:tc>
          <w:tcPr>
            <w:tcW w:w="6512" w:type="dxa"/>
          </w:tcPr>
          <w:p w14:paraId="59A63FDA" w14:textId="77777777" w:rsidR="008D0F14" w:rsidRPr="00AC2883" w:rsidRDefault="008D0F14" w:rsidP="002A2525">
            <w:pPr>
              <w:pStyle w:val="Sessiontc"/>
              <w:spacing w:line="240" w:lineRule="auto"/>
            </w:pPr>
            <w:r>
              <w:t>Comité administratif et juridique</w:t>
            </w:r>
          </w:p>
          <w:p w14:paraId="59EC85A1" w14:textId="681A0487" w:rsidR="008D0F14" w:rsidRDefault="005B0C9D" w:rsidP="002A2525">
            <w:pPr>
              <w:pStyle w:val="Sessiontcplacedate"/>
            </w:pPr>
            <w:r>
              <w:t>Quatre</w:t>
            </w:r>
            <w:r w:rsidR="00610422">
              <w:noBreakHyphen/>
            </w:r>
            <w:r>
              <w:t>vingt</w:t>
            </w:r>
            <w:r w:rsidR="00DF1D73">
              <w:t>ième session</w:t>
            </w:r>
          </w:p>
          <w:p w14:paraId="61CF5FDB" w14:textId="77777777" w:rsidR="008D0F14" w:rsidRPr="00DC3802" w:rsidRDefault="008D0F14" w:rsidP="005B0C9D">
            <w:pPr>
              <w:pStyle w:val="Sessiontcplacedate"/>
              <w:rPr>
                <w:sz w:val="22"/>
              </w:rPr>
            </w:pPr>
            <w:r>
              <w:t>Genève, 25 octobre 2023</w:t>
            </w:r>
          </w:p>
        </w:tc>
        <w:tc>
          <w:tcPr>
            <w:tcW w:w="3127" w:type="dxa"/>
          </w:tcPr>
          <w:p w14:paraId="6B9D43C0" w14:textId="77777777" w:rsidR="008D0F14" w:rsidRPr="003C7FBE" w:rsidRDefault="005B0C9D" w:rsidP="002A2525">
            <w:pPr>
              <w:pStyle w:val="Doccode"/>
            </w:pPr>
            <w:r>
              <w:t>CAJ/80/4</w:t>
            </w:r>
          </w:p>
          <w:p w14:paraId="0B3D0BDF" w14:textId="1593C7EC" w:rsidR="008D0F14" w:rsidRPr="00C64909" w:rsidRDefault="008D0F14" w:rsidP="002A2525">
            <w:pPr>
              <w:pStyle w:val="Docoriginal"/>
            </w:pPr>
            <w:r>
              <w:t>Original</w:t>
            </w:r>
            <w:r w:rsidR="00DF1D73">
              <w:t> :</w:t>
            </w:r>
            <w:r>
              <w:rPr>
                <w:b w:val="0"/>
              </w:rPr>
              <w:t xml:space="preserve"> anglais</w:t>
            </w:r>
          </w:p>
          <w:p w14:paraId="3FFD2BE0" w14:textId="61697502" w:rsidR="008D0F14" w:rsidRPr="007C1D92" w:rsidRDefault="008D0F14" w:rsidP="00041409">
            <w:pPr>
              <w:pStyle w:val="Docoriginal"/>
            </w:pPr>
            <w:r>
              <w:t>Date</w:t>
            </w:r>
            <w:r w:rsidR="00DF1D73">
              <w:t> :</w:t>
            </w:r>
            <w:r>
              <w:rPr>
                <w:b w:val="0"/>
              </w:rPr>
              <w:t xml:space="preserve"> </w:t>
            </w:r>
            <w:r w:rsidR="00DF1D73">
              <w:rPr>
                <w:b w:val="0"/>
              </w:rPr>
              <w:t>6 octobre 20</w:t>
            </w:r>
            <w:r>
              <w:rPr>
                <w:b w:val="0"/>
              </w:rPr>
              <w:t>23</w:t>
            </w:r>
          </w:p>
        </w:tc>
      </w:tr>
    </w:tbl>
    <w:p w14:paraId="18686807" w14:textId="0901974C" w:rsidR="008D0F14" w:rsidRPr="006A644A" w:rsidRDefault="008D2989" w:rsidP="008D0F14">
      <w:pPr>
        <w:pStyle w:val="Titleofdoc0"/>
      </w:pPr>
      <w:r>
        <w:t>Révision des “Notes explicatives sur les exceptions au droit d</w:t>
      </w:r>
      <w:r w:rsidR="00DF1D73">
        <w:t>’</w:t>
      </w:r>
      <w:r>
        <w:t>obtenteur selon l</w:t>
      </w:r>
      <w:r w:rsidR="00DF1D73">
        <w:t>’</w:t>
      </w:r>
      <w:r>
        <w:t xml:space="preserve">Acte </w:t>
      </w:r>
      <w:r w:rsidR="00DF1D73">
        <w:t>de 1991</w:t>
      </w:r>
      <w:r>
        <w:t xml:space="preserve"> de la </w:t>
      </w:r>
      <w:r w:rsidR="00DF1D73">
        <w:t>Convention UPOV</w:t>
      </w:r>
      <w:r>
        <w:t>”</w:t>
      </w:r>
    </w:p>
    <w:p w14:paraId="786B9E0B" w14:textId="6BE13F96" w:rsidR="008D0F14" w:rsidRPr="006A644A" w:rsidRDefault="008D0F14" w:rsidP="008D0F14">
      <w:pPr>
        <w:pStyle w:val="preparedby1"/>
        <w:jc w:val="left"/>
      </w:pPr>
      <w:r>
        <w:t>Document établi par le Bureau de l</w:t>
      </w:r>
      <w:r w:rsidR="00DF1D73">
        <w:t>’</w:t>
      </w:r>
      <w:r>
        <w:t>Union</w:t>
      </w:r>
    </w:p>
    <w:p w14:paraId="539B1377" w14:textId="6A8A7D07" w:rsidR="008D0F14" w:rsidRPr="006A644A" w:rsidRDefault="008D0F14" w:rsidP="008D0F14">
      <w:pPr>
        <w:pStyle w:val="Disclaimer"/>
      </w:pPr>
      <w:r>
        <w:t>Avertissement</w:t>
      </w:r>
      <w:r w:rsidR="00DF1D73">
        <w:t> :</w:t>
      </w:r>
      <w:r>
        <w:t xml:space="preserve"> Le présent document ne représente pas les principes ou les orientations de l</w:t>
      </w:r>
      <w:r w:rsidR="00DF1D73">
        <w:t>’</w:t>
      </w:r>
      <w:r>
        <w:t>UPOV</w:t>
      </w:r>
    </w:p>
    <w:p w14:paraId="37E36572" w14:textId="77777777" w:rsidR="0040717F" w:rsidRPr="00125F1C" w:rsidRDefault="0040717F" w:rsidP="0040717F">
      <w:pPr>
        <w:pStyle w:val="Heading1"/>
        <w:rPr>
          <w:rFonts w:cs="Arial"/>
          <w:snapToGrid w:val="0"/>
        </w:rPr>
      </w:pPr>
      <w:bookmarkStart w:id="0" w:name="_Toc148120592"/>
      <w:r>
        <w:rPr>
          <w:snapToGrid w:val="0"/>
        </w:rPr>
        <w:t>Résumé</w:t>
      </w:r>
      <w:bookmarkEnd w:id="0"/>
    </w:p>
    <w:p w14:paraId="29B78F79" w14:textId="77777777" w:rsidR="0040717F" w:rsidRPr="00125F1C" w:rsidRDefault="0040717F" w:rsidP="0040717F">
      <w:pPr>
        <w:rPr>
          <w:rFonts w:cs="Arial"/>
          <w:snapToGrid w:val="0"/>
        </w:rPr>
      </w:pPr>
    </w:p>
    <w:p w14:paraId="0207CC42" w14:textId="77777777" w:rsidR="0040717F" w:rsidRPr="009610CC" w:rsidRDefault="0040717F" w:rsidP="0040717F">
      <w:pPr>
        <w:rPr>
          <w:rFonts w:cs="Arial"/>
          <w:spacing w:val="-4"/>
        </w:rPr>
      </w:pPr>
      <w:r w:rsidRPr="009610CC">
        <w:rPr>
          <w:rFonts w:cs="Arial"/>
          <w:snapToGrid w:val="0"/>
          <w:spacing w:val="-4"/>
        </w:rPr>
        <w:fldChar w:fldCharType="begin"/>
      </w:r>
      <w:r w:rsidRPr="009610CC">
        <w:rPr>
          <w:rFonts w:cs="Arial"/>
          <w:snapToGrid w:val="0"/>
          <w:spacing w:val="-4"/>
        </w:rPr>
        <w:instrText xml:space="preserve"> AUTONUM  </w:instrText>
      </w:r>
      <w:r w:rsidRPr="009610CC">
        <w:rPr>
          <w:rFonts w:cs="Arial"/>
          <w:snapToGrid w:val="0"/>
          <w:spacing w:val="-4"/>
        </w:rPr>
        <w:fldChar w:fldCharType="end"/>
      </w:r>
      <w:r w:rsidRPr="009610CC">
        <w:rPr>
          <w:snapToGrid w:val="0"/>
          <w:spacing w:val="-4"/>
        </w:rPr>
        <w:tab/>
      </w:r>
      <w:r w:rsidRPr="009610CC">
        <w:rPr>
          <w:spacing w:val="-4"/>
        </w:rPr>
        <w:t>Le présent document a pour objet de rendre compte des faits nouveaux concernant des orientations possibles liées à la mise en œuvre des exceptions relatives aux actes accomplis dans un cadre privé à des fins non commerciales.</w:t>
      </w:r>
    </w:p>
    <w:p w14:paraId="6CA214ED" w14:textId="77777777" w:rsidR="0040717F" w:rsidRPr="00125F1C" w:rsidRDefault="0040717F" w:rsidP="0040717F">
      <w:pPr>
        <w:rPr>
          <w:rFonts w:cs="Arial"/>
        </w:rPr>
      </w:pPr>
    </w:p>
    <w:p w14:paraId="2109B319" w14:textId="6E8EFEE5" w:rsidR="0040717F" w:rsidRPr="00125F1C" w:rsidRDefault="0040717F" w:rsidP="0040717F">
      <w:pPr>
        <w:rPr>
          <w:rFonts w:cs="Arial"/>
        </w:rPr>
      </w:pPr>
      <w:r w:rsidRPr="00125F1C">
        <w:rPr>
          <w:rFonts w:cs="Arial"/>
        </w:rPr>
        <w:fldChar w:fldCharType="begin"/>
      </w:r>
      <w:r w:rsidRPr="00125F1C">
        <w:rPr>
          <w:rFonts w:cs="Arial"/>
        </w:rPr>
        <w:instrText xml:space="preserve"> AUTONUM  </w:instrText>
      </w:r>
      <w:r w:rsidRPr="00125F1C">
        <w:rPr>
          <w:rFonts w:cs="Arial"/>
        </w:rPr>
        <w:fldChar w:fldCharType="end"/>
      </w:r>
      <w:r>
        <w:tab/>
        <w:t>Le présent document est structuré comme suit</w:t>
      </w:r>
      <w:r w:rsidR="00DF1D73">
        <w:t> :</w:t>
      </w:r>
    </w:p>
    <w:sdt>
      <w:sdtPr>
        <w:rPr>
          <w:rFonts w:cs="Arial"/>
          <w:caps w:val="0"/>
          <w:sz w:val="18"/>
          <w:szCs w:val="18"/>
        </w:rPr>
        <w:id w:val="-454788501"/>
        <w:docPartObj>
          <w:docPartGallery w:val="Table of Contents"/>
          <w:docPartUnique/>
        </w:docPartObj>
      </w:sdtPr>
      <w:sdtEndPr>
        <w:rPr>
          <w:noProof/>
          <w:spacing w:val="-4"/>
        </w:rPr>
      </w:sdtEndPr>
      <w:sdtContent>
        <w:p w14:paraId="3E1D6D7D" w14:textId="5A146C0A" w:rsidR="00610422" w:rsidRDefault="0040717F" w:rsidP="009610CC">
          <w:pPr>
            <w:pStyle w:val="TOC1"/>
            <w:spacing w:before="12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r w:rsidRPr="00F879C8">
            <w:rPr>
              <w:rFonts w:cs="Arial"/>
              <w:sz w:val="18"/>
            </w:rPr>
            <w:fldChar w:fldCharType="begin"/>
          </w:r>
          <w:r w:rsidRPr="00F879C8">
            <w:rPr>
              <w:rFonts w:cs="Arial"/>
              <w:sz w:val="18"/>
            </w:rPr>
            <w:instrText xml:space="preserve"> TOC \o "1-3" \h \z \u </w:instrText>
          </w:r>
          <w:r w:rsidRPr="00F879C8">
            <w:rPr>
              <w:rFonts w:cs="Arial"/>
              <w:sz w:val="18"/>
            </w:rPr>
            <w:fldChar w:fldCharType="separate"/>
          </w:r>
          <w:hyperlink w:anchor="_Toc148120592" w:history="1">
            <w:r w:rsidR="00610422" w:rsidRPr="008C0348">
              <w:rPr>
                <w:rStyle w:val="Hyperlink"/>
                <w:noProof/>
                <w:snapToGrid w:val="0"/>
              </w:rPr>
              <w:t>Résumé</w:t>
            </w:r>
            <w:r w:rsidR="00610422">
              <w:rPr>
                <w:noProof/>
                <w:webHidden/>
              </w:rPr>
              <w:tab/>
            </w:r>
            <w:r w:rsidR="00610422">
              <w:rPr>
                <w:noProof/>
                <w:webHidden/>
              </w:rPr>
              <w:fldChar w:fldCharType="begin"/>
            </w:r>
            <w:r w:rsidR="00610422">
              <w:rPr>
                <w:noProof/>
                <w:webHidden/>
              </w:rPr>
              <w:instrText xml:space="preserve"> PAGEREF _Toc148120592 \h </w:instrText>
            </w:r>
            <w:r w:rsidR="00610422">
              <w:rPr>
                <w:noProof/>
                <w:webHidden/>
              </w:rPr>
            </w:r>
            <w:r w:rsidR="00610422">
              <w:rPr>
                <w:noProof/>
                <w:webHidden/>
              </w:rPr>
              <w:fldChar w:fldCharType="separate"/>
            </w:r>
            <w:r w:rsidR="00610422">
              <w:rPr>
                <w:noProof/>
                <w:webHidden/>
              </w:rPr>
              <w:t>1</w:t>
            </w:r>
            <w:r w:rsidR="00610422">
              <w:rPr>
                <w:noProof/>
                <w:webHidden/>
              </w:rPr>
              <w:fldChar w:fldCharType="end"/>
            </w:r>
          </w:hyperlink>
        </w:p>
        <w:p w14:paraId="09FE17C6" w14:textId="7A52E194" w:rsidR="00610422" w:rsidRDefault="009610CC" w:rsidP="009610CC">
          <w:pPr>
            <w:pStyle w:val="TOC1"/>
            <w:spacing w:before="12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48120593" w:history="1">
            <w:r w:rsidR="00610422" w:rsidRPr="008C0348">
              <w:rPr>
                <w:rStyle w:val="Hyperlink"/>
                <w:noProof/>
              </w:rPr>
              <w:t>Informations générales</w:t>
            </w:r>
            <w:r w:rsidR="00610422">
              <w:rPr>
                <w:noProof/>
                <w:webHidden/>
              </w:rPr>
              <w:tab/>
            </w:r>
            <w:r w:rsidR="00610422">
              <w:rPr>
                <w:noProof/>
                <w:webHidden/>
              </w:rPr>
              <w:fldChar w:fldCharType="begin"/>
            </w:r>
            <w:r w:rsidR="00610422">
              <w:rPr>
                <w:noProof/>
                <w:webHidden/>
              </w:rPr>
              <w:instrText xml:space="preserve"> PAGEREF _Toc148120593 \h </w:instrText>
            </w:r>
            <w:r w:rsidR="00610422">
              <w:rPr>
                <w:noProof/>
                <w:webHidden/>
              </w:rPr>
            </w:r>
            <w:r w:rsidR="00610422">
              <w:rPr>
                <w:noProof/>
                <w:webHidden/>
              </w:rPr>
              <w:fldChar w:fldCharType="separate"/>
            </w:r>
            <w:r w:rsidR="00610422">
              <w:rPr>
                <w:noProof/>
                <w:webHidden/>
              </w:rPr>
              <w:t>1</w:t>
            </w:r>
            <w:r w:rsidR="00610422">
              <w:rPr>
                <w:noProof/>
                <w:webHidden/>
              </w:rPr>
              <w:fldChar w:fldCharType="end"/>
            </w:r>
          </w:hyperlink>
        </w:p>
        <w:p w14:paraId="73E2C5B7" w14:textId="4676BCFE" w:rsidR="00610422" w:rsidRDefault="009610CC" w:rsidP="009610CC">
          <w:pPr>
            <w:pStyle w:val="TOC1"/>
            <w:spacing w:before="12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48120594" w:history="1">
            <w:r w:rsidR="00610422" w:rsidRPr="008C0348">
              <w:rPr>
                <w:rStyle w:val="Hyperlink"/>
                <w:noProof/>
              </w:rPr>
              <w:t>Faits nouveaux depuis la soixante</w:t>
            </w:r>
            <w:r w:rsidR="00610422" w:rsidRPr="008C0348">
              <w:rPr>
                <w:rStyle w:val="Hyperlink"/>
                <w:noProof/>
              </w:rPr>
              <w:noBreakHyphen/>
              <w:t>dix</w:t>
            </w:r>
            <w:r w:rsidR="00610422" w:rsidRPr="008C0348">
              <w:rPr>
                <w:rStyle w:val="Hyperlink"/>
                <w:noProof/>
              </w:rPr>
              <w:noBreakHyphen/>
              <w:t>neuvième session du CAJ</w:t>
            </w:r>
            <w:r w:rsidR="00610422">
              <w:rPr>
                <w:noProof/>
                <w:webHidden/>
              </w:rPr>
              <w:tab/>
            </w:r>
            <w:r w:rsidR="00610422">
              <w:rPr>
                <w:noProof/>
                <w:webHidden/>
              </w:rPr>
              <w:fldChar w:fldCharType="begin"/>
            </w:r>
            <w:r w:rsidR="00610422">
              <w:rPr>
                <w:noProof/>
                <w:webHidden/>
              </w:rPr>
              <w:instrText xml:space="preserve"> PAGEREF _Toc148120594 \h </w:instrText>
            </w:r>
            <w:r w:rsidR="00610422">
              <w:rPr>
                <w:noProof/>
                <w:webHidden/>
              </w:rPr>
            </w:r>
            <w:r w:rsidR="00610422">
              <w:rPr>
                <w:noProof/>
                <w:webHidden/>
              </w:rPr>
              <w:fldChar w:fldCharType="separate"/>
            </w:r>
            <w:r w:rsidR="00610422">
              <w:rPr>
                <w:noProof/>
                <w:webHidden/>
              </w:rPr>
              <w:t>2</w:t>
            </w:r>
            <w:r w:rsidR="00610422">
              <w:rPr>
                <w:noProof/>
                <w:webHidden/>
              </w:rPr>
              <w:fldChar w:fldCharType="end"/>
            </w:r>
          </w:hyperlink>
        </w:p>
        <w:p w14:paraId="5DC805EC" w14:textId="73E2241F" w:rsidR="00610422" w:rsidRDefault="009610CC" w:rsidP="009610CC">
          <w:pPr>
            <w:pStyle w:val="TOC2"/>
            <w:spacing w:before="1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48120595" w:history="1">
            <w:r w:rsidR="00610422" w:rsidRPr="008C0348">
              <w:rPr>
                <w:rStyle w:val="Hyperlink"/>
                <w:noProof/>
              </w:rPr>
              <w:t>Troisième réunion du WG</w:t>
            </w:r>
            <w:r w:rsidR="00610422" w:rsidRPr="008C0348">
              <w:rPr>
                <w:rStyle w:val="Hyperlink"/>
                <w:noProof/>
              </w:rPr>
              <w:noBreakHyphen/>
              <w:t>SHF (24 mars 2023)</w:t>
            </w:r>
            <w:r w:rsidR="00610422">
              <w:rPr>
                <w:noProof/>
                <w:webHidden/>
              </w:rPr>
              <w:tab/>
            </w:r>
            <w:r w:rsidR="00610422">
              <w:rPr>
                <w:noProof/>
                <w:webHidden/>
              </w:rPr>
              <w:fldChar w:fldCharType="begin"/>
            </w:r>
            <w:r w:rsidR="00610422">
              <w:rPr>
                <w:noProof/>
                <w:webHidden/>
              </w:rPr>
              <w:instrText xml:space="preserve"> PAGEREF _Toc148120595 \h </w:instrText>
            </w:r>
            <w:r w:rsidR="00610422">
              <w:rPr>
                <w:noProof/>
                <w:webHidden/>
              </w:rPr>
            </w:r>
            <w:r w:rsidR="00610422">
              <w:rPr>
                <w:noProof/>
                <w:webHidden/>
              </w:rPr>
              <w:fldChar w:fldCharType="separate"/>
            </w:r>
            <w:r w:rsidR="00610422">
              <w:rPr>
                <w:noProof/>
                <w:webHidden/>
              </w:rPr>
              <w:t>2</w:t>
            </w:r>
            <w:r w:rsidR="00610422">
              <w:rPr>
                <w:noProof/>
                <w:webHidden/>
              </w:rPr>
              <w:fldChar w:fldCharType="end"/>
            </w:r>
          </w:hyperlink>
        </w:p>
        <w:p w14:paraId="5D982618" w14:textId="32A5434B" w:rsidR="00610422" w:rsidRDefault="009610CC" w:rsidP="009610CC">
          <w:pPr>
            <w:pStyle w:val="TOC2"/>
            <w:spacing w:before="1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48120596" w:history="1">
            <w:r w:rsidR="00610422" w:rsidRPr="008C0348">
              <w:rPr>
                <w:rStyle w:val="Hyperlink"/>
                <w:noProof/>
              </w:rPr>
              <w:t>Quatrième réunion du WG</w:t>
            </w:r>
            <w:r w:rsidR="00610422" w:rsidRPr="008C0348">
              <w:rPr>
                <w:rStyle w:val="Hyperlink"/>
                <w:noProof/>
              </w:rPr>
              <w:noBreakHyphen/>
              <w:t>EDV (25 octobre 2023)</w:t>
            </w:r>
            <w:r w:rsidR="00610422">
              <w:rPr>
                <w:noProof/>
                <w:webHidden/>
              </w:rPr>
              <w:tab/>
            </w:r>
            <w:r w:rsidR="00610422">
              <w:rPr>
                <w:noProof/>
                <w:webHidden/>
              </w:rPr>
              <w:fldChar w:fldCharType="begin"/>
            </w:r>
            <w:r w:rsidR="00610422">
              <w:rPr>
                <w:noProof/>
                <w:webHidden/>
              </w:rPr>
              <w:instrText xml:space="preserve"> PAGEREF _Toc148120596 \h </w:instrText>
            </w:r>
            <w:r w:rsidR="00610422">
              <w:rPr>
                <w:noProof/>
                <w:webHidden/>
              </w:rPr>
            </w:r>
            <w:r w:rsidR="00610422">
              <w:rPr>
                <w:noProof/>
                <w:webHidden/>
              </w:rPr>
              <w:fldChar w:fldCharType="separate"/>
            </w:r>
            <w:r w:rsidR="00610422">
              <w:rPr>
                <w:noProof/>
                <w:webHidden/>
              </w:rPr>
              <w:t>2</w:t>
            </w:r>
            <w:r w:rsidR="00610422">
              <w:rPr>
                <w:noProof/>
                <w:webHidden/>
              </w:rPr>
              <w:fldChar w:fldCharType="end"/>
            </w:r>
          </w:hyperlink>
        </w:p>
        <w:p w14:paraId="74E6CFBB" w14:textId="10B722A2" w:rsidR="0040717F" w:rsidRPr="009610CC" w:rsidRDefault="0040717F" w:rsidP="009610CC">
          <w:pPr>
            <w:keepNext/>
            <w:tabs>
              <w:tab w:val="left" w:pos="990"/>
              <w:tab w:val="right" w:leader="dot" w:pos="9639"/>
            </w:tabs>
            <w:spacing w:before="120"/>
            <w:ind w:left="990" w:hanging="990"/>
            <w:rPr>
              <w:rFonts w:cs="Arial"/>
              <w:caps/>
              <w:spacing w:val="-4"/>
              <w:sz w:val="18"/>
            </w:rPr>
          </w:pPr>
          <w:r w:rsidRPr="00F879C8">
            <w:rPr>
              <w:rFonts w:cs="Arial"/>
              <w:caps/>
              <w:sz w:val="18"/>
            </w:rPr>
            <w:fldChar w:fldCharType="end"/>
          </w:r>
          <w:r>
            <w:rPr>
              <w:caps/>
              <w:sz w:val="18"/>
            </w:rPr>
            <w:t>ANNEXE</w:t>
          </w:r>
          <w:r>
            <w:rPr>
              <w:caps/>
              <w:sz w:val="18"/>
            </w:rPr>
            <w:tab/>
          </w:r>
          <w:r w:rsidRPr="009610CC">
            <w:rPr>
              <w:caps/>
              <w:spacing w:val="-4"/>
              <w:sz w:val="18"/>
            </w:rPr>
            <w:t>MANDAT ET COMPOSITION DU GROUPE DE TRAVAIL SUR LES ORIENTATIONS CONCERNANT LES PETITS EXPLOITANTS AGRICOLES EN LIEN AVEC L</w:t>
          </w:r>
          <w:r w:rsidR="00DF1D73" w:rsidRPr="009610CC">
            <w:rPr>
              <w:caps/>
              <w:spacing w:val="-4"/>
              <w:sz w:val="18"/>
            </w:rPr>
            <w:t>’</w:t>
          </w:r>
          <w:r w:rsidRPr="009610CC">
            <w:rPr>
              <w:caps/>
              <w:spacing w:val="-4"/>
              <w:sz w:val="18"/>
            </w:rPr>
            <w:t xml:space="preserve">UTILISATION À DES FINS PRIVÉES ET </w:t>
          </w:r>
          <w:r w:rsidR="009610CC" w:rsidRPr="009610CC">
            <w:rPr>
              <w:caps/>
              <w:spacing w:val="-4"/>
              <w:sz w:val="18"/>
            </w:rPr>
            <w:t>NON </w:t>
          </w:r>
          <w:r w:rsidRPr="009610CC">
            <w:rPr>
              <w:caps/>
              <w:spacing w:val="-4"/>
              <w:sz w:val="18"/>
            </w:rPr>
            <w:t>COMMERCIALES (WG</w:t>
          </w:r>
          <w:r w:rsidR="00610422" w:rsidRPr="009610CC">
            <w:rPr>
              <w:caps/>
              <w:spacing w:val="-4"/>
              <w:sz w:val="18"/>
            </w:rPr>
            <w:noBreakHyphen/>
          </w:r>
          <w:r w:rsidRPr="009610CC">
            <w:rPr>
              <w:caps/>
              <w:spacing w:val="-4"/>
              <w:sz w:val="18"/>
            </w:rPr>
            <w:t>SHF)</w:t>
          </w:r>
        </w:p>
      </w:sdtContent>
    </w:sdt>
    <w:p w14:paraId="55BC24C1" w14:textId="77777777" w:rsidR="0040717F" w:rsidRPr="00125F1C" w:rsidRDefault="0040717F" w:rsidP="0040717F">
      <w:pPr>
        <w:rPr>
          <w:rFonts w:cs="Arial"/>
          <w:highlight w:val="yellow"/>
        </w:rPr>
      </w:pPr>
    </w:p>
    <w:p w14:paraId="421B9DF7" w14:textId="77777777" w:rsidR="0040717F" w:rsidRPr="00125F1C" w:rsidRDefault="0040717F" w:rsidP="0040717F">
      <w:pPr>
        <w:rPr>
          <w:rFonts w:cs="Arial"/>
          <w:highlight w:val="yellow"/>
        </w:rPr>
      </w:pPr>
    </w:p>
    <w:p w14:paraId="3887E406" w14:textId="4392C3F5" w:rsidR="0040717F" w:rsidRDefault="0040717F" w:rsidP="0040717F">
      <w:pPr>
        <w:pStyle w:val="Heading1"/>
        <w:rPr>
          <w:rFonts w:cs="Arial"/>
        </w:rPr>
      </w:pPr>
      <w:bookmarkStart w:id="1" w:name="_Toc148120593"/>
      <w:r>
        <w:t>I</w:t>
      </w:r>
      <w:r w:rsidR="00610422">
        <w:t>nformations générales</w:t>
      </w:r>
      <w:bookmarkEnd w:id="1"/>
    </w:p>
    <w:p w14:paraId="34411686" w14:textId="77777777" w:rsidR="002D2D26" w:rsidRPr="002D2D26" w:rsidRDefault="002D2D26" w:rsidP="002D2D26"/>
    <w:p w14:paraId="6BD70D58" w14:textId="04741ECD" w:rsidR="002D2D26" w:rsidRPr="00416F54" w:rsidRDefault="002D2D26" w:rsidP="002D2D26">
      <w:pPr>
        <w:keepNext/>
        <w:rPr>
          <w:rFonts w:cs="Arial"/>
        </w:rPr>
      </w:pPr>
      <w:r w:rsidRPr="00416F54">
        <w:rPr>
          <w:rFonts w:cs="Arial"/>
        </w:rPr>
        <w:fldChar w:fldCharType="begin"/>
      </w:r>
      <w:r w:rsidRPr="00416F54">
        <w:rPr>
          <w:rFonts w:cs="Arial"/>
        </w:rPr>
        <w:instrText xml:space="preserve"> AUTONUM  </w:instrText>
      </w:r>
      <w:r w:rsidRPr="00416F54">
        <w:rPr>
          <w:rFonts w:cs="Arial"/>
        </w:rPr>
        <w:fldChar w:fldCharType="end"/>
      </w:r>
      <w:r>
        <w:tab/>
        <w:t>Les informations générales sur cette question sont fournies dans le document</w:t>
      </w:r>
      <w:r w:rsidR="00610422">
        <w:t> </w:t>
      </w:r>
      <w:r>
        <w:t xml:space="preserve">CAJ/79/9 “Révision des </w:t>
      </w:r>
      <w:r w:rsidR="00DF1D73">
        <w:t>‘</w:t>
      </w:r>
      <w:r>
        <w:t>Notes explicatives sur les exceptions au droit d</w:t>
      </w:r>
      <w:r w:rsidR="00DF1D73">
        <w:t>’</w:t>
      </w:r>
      <w:r>
        <w:t>obtenteur selon l</w:t>
      </w:r>
      <w:r w:rsidR="00DF1D73">
        <w:t>’</w:t>
      </w:r>
      <w:r>
        <w:t xml:space="preserve">Acte de 1991 de la </w:t>
      </w:r>
      <w:r w:rsidR="00DF1D73">
        <w:t>Convention UPOV’</w:t>
      </w:r>
      <w:r>
        <w:t>”.</w:t>
      </w:r>
    </w:p>
    <w:p w14:paraId="2590A889" w14:textId="77777777" w:rsidR="002D2D26" w:rsidRDefault="002D2D26" w:rsidP="002D2D26"/>
    <w:p w14:paraId="399E55FA" w14:textId="22178625" w:rsidR="002D2D26" w:rsidRPr="00F510AB" w:rsidRDefault="002D2D26" w:rsidP="002D2D26">
      <w:pPr>
        <w:rPr>
          <w:rFonts w:cs="Arial"/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>Le mandat du WG</w:t>
      </w:r>
      <w:r w:rsidR="00610422">
        <w:rPr>
          <w:snapToGrid w:val="0"/>
        </w:rPr>
        <w:noBreakHyphen/>
      </w:r>
      <w:r>
        <w:rPr>
          <w:snapToGrid w:val="0"/>
        </w:rPr>
        <w:t>SHF figure dans l</w:t>
      </w:r>
      <w:r w:rsidR="00DF1D73">
        <w:rPr>
          <w:snapToGrid w:val="0"/>
        </w:rPr>
        <w:t>’</w:t>
      </w:r>
      <w:r>
        <w:rPr>
          <w:snapToGrid w:val="0"/>
        </w:rPr>
        <w:t>annexe du présent document.</w:t>
      </w:r>
    </w:p>
    <w:p w14:paraId="5185497E" w14:textId="77777777" w:rsidR="002D2D26" w:rsidRDefault="002D2D26" w:rsidP="002D2D26"/>
    <w:p w14:paraId="0A55393B" w14:textId="25D6B5EC" w:rsidR="002D2D26" w:rsidRDefault="002D2D26" w:rsidP="00BD2D14">
      <w:pPr>
        <w:keepNext/>
        <w:keepLines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À sa cinquante</w:t>
      </w:r>
      <w:r w:rsidR="00610422">
        <w:noBreakHyphen/>
      </w:r>
      <w:r>
        <w:t>six</w:t>
      </w:r>
      <w:r w:rsidR="00DF1D73">
        <w:t>ième session</w:t>
      </w:r>
      <w:r>
        <w:t xml:space="preserve"> ordinaire tenue à Genève le 28 octobre 2022, le Conseil a reçu le rapport ci</w:t>
      </w:r>
      <w:r w:rsidR="00610422">
        <w:noBreakHyphen/>
      </w:r>
      <w:r>
        <w:t>après sur les travaux du Comité consultatif (voir les paragraphes 48, 51 et 52 du document</w:t>
      </w:r>
      <w:r w:rsidR="00610422">
        <w:t> </w:t>
      </w:r>
      <w:r>
        <w:t>C/56/13 intitulé “Rapport du président sur les travaux de la quatre</w:t>
      </w:r>
      <w:r w:rsidR="00610422">
        <w:noBreakHyphen/>
      </w:r>
      <w:r>
        <w:t>vingt</w:t>
      </w:r>
      <w:r w:rsidR="00610422">
        <w:noBreakHyphen/>
      </w:r>
      <w:r>
        <w:t>dix</w:t>
      </w:r>
      <w:r w:rsidR="00610422">
        <w:noBreakHyphen/>
      </w:r>
      <w:r w:rsidR="00C53936">
        <w:t>huitième</w:t>
      </w:r>
      <w:r w:rsidR="00DF1D73">
        <w:t> session</w:t>
      </w:r>
      <w:r>
        <w:t xml:space="preserve"> du Comité consultatif;  adoption, le cas échéant, des recommandations élaborées par ce comité”)</w:t>
      </w:r>
      <w:r w:rsidR="00DF1D73">
        <w:t> :</w:t>
      </w:r>
    </w:p>
    <w:p w14:paraId="51E94481" w14:textId="77777777" w:rsidR="00BD2D14" w:rsidRPr="00BD2D14" w:rsidRDefault="00BD2D14" w:rsidP="00BD2D14">
      <w:pPr>
        <w:keepNext/>
        <w:keepLines/>
        <w:rPr>
          <w:rFonts w:cs="Arial"/>
          <w:sz w:val="18"/>
          <w:szCs w:val="18"/>
        </w:rPr>
      </w:pPr>
    </w:p>
    <w:p w14:paraId="744B719F" w14:textId="4AC4BC6F" w:rsidR="00BD2D14" w:rsidRPr="00BD2D14" w:rsidRDefault="00BD2D14" w:rsidP="009610CC">
      <w:pPr>
        <w:keepNext/>
        <w:keepLines/>
        <w:ind w:left="450" w:right="279"/>
        <w:rPr>
          <w:rFonts w:cs="Arial"/>
          <w:spacing w:val="-4"/>
          <w:sz w:val="18"/>
          <w:szCs w:val="18"/>
        </w:rPr>
      </w:pPr>
      <w:r>
        <w:rPr>
          <w:sz w:val="18"/>
        </w:rPr>
        <w:t>“48.</w:t>
      </w:r>
      <w:r>
        <w:rPr>
          <w:sz w:val="18"/>
        </w:rPr>
        <w:tab/>
        <w:t>Le Comité consultatif a pris note des faits nouveaux en rapport avec les orientations possibles concernant les petits exploitants agricoles en lien avec l</w:t>
      </w:r>
      <w:r w:rsidR="00DF1D73">
        <w:rPr>
          <w:sz w:val="18"/>
        </w:rPr>
        <w:t>’</w:t>
      </w:r>
      <w:r>
        <w:rPr>
          <w:sz w:val="18"/>
        </w:rPr>
        <w:t>utilisation à des fins privées et non commerciales.</w:t>
      </w:r>
    </w:p>
    <w:p w14:paraId="3B31E7A8" w14:textId="77777777" w:rsidR="00BD2D14" w:rsidRPr="00BD2D14" w:rsidRDefault="00BD2D14" w:rsidP="009610CC">
      <w:pPr>
        <w:keepLines/>
        <w:ind w:left="450" w:right="279"/>
        <w:rPr>
          <w:rFonts w:cs="Arial"/>
          <w:spacing w:val="-4"/>
          <w:sz w:val="18"/>
          <w:szCs w:val="18"/>
        </w:rPr>
      </w:pPr>
    </w:p>
    <w:p w14:paraId="386B5652" w14:textId="45A2A411" w:rsidR="006D21BF" w:rsidRPr="001422F8" w:rsidRDefault="00BD2D14" w:rsidP="009610CC">
      <w:pPr>
        <w:keepNext/>
        <w:keepLines/>
        <w:ind w:left="450" w:right="279"/>
        <w:rPr>
          <w:rFonts w:cs="Arial"/>
          <w:spacing w:val="-2"/>
          <w:sz w:val="18"/>
          <w:szCs w:val="18"/>
        </w:rPr>
      </w:pPr>
      <w:r>
        <w:rPr>
          <w:sz w:val="18"/>
        </w:rPr>
        <w:t>“51.</w:t>
      </w:r>
      <w:r>
        <w:rPr>
          <w:sz w:val="18"/>
        </w:rPr>
        <w:tab/>
        <w:t>Le Comité consultatif a examiné les conclusions du président du WG</w:t>
      </w:r>
      <w:r w:rsidR="00610422">
        <w:rPr>
          <w:sz w:val="18"/>
        </w:rPr>
        <w:noBreakHyphen/>
      </w:r>
      <w:r>
        <w:rPr>
          <w:sz w:val="18"/>
        </w:rPr>
        <w:t>SHF sur les travaux du WG</w:t>
      </w:r>
      <w:r w:rsidR="00610422">
        <w:rPr>
          <w:sz w:val="18"/>
        </w:rPr>
        <w:noBreakHyphen/>
      </w:r>
      <w:r>
        <w:rPr>
          <w:sz w:val="18"/>
        </w:rPr>
        <w:t>SHF et les prochaines étap</w:t>
      </w:r>
      <w:r w:rsidR="00610422">
        <w:rPr>
          <w:sz w:val="18"/>
        </w:rPr>
        <w:t>es.  Le</w:t>
      </w:r>
      <w:r>
        <w:rPr>
          <w:sz w:val="18"/>
        </w:rPr>
        <w:t xml:space="preserve"> Comité consultatif note que le WG</w:t>
      </w:r>
      <w:r w:rsidR="00610422">
        <w:rPr>
          <w:sz w:val="18"/>
        </w:rPr>
        <w:noBreakHyphen/>
      </w:r>
      <w:r>
        <w:rPr>
          <w:sz w:val="18"/>
        </w:rPr>
        <w:t>SHF n</w:t>
      </w:r>
      <w:r w:rsidR="00DF1D73">
        <w:rPr>
          <w:sz w:val="18"/>
        </w:rPr>
        <w:t>’</w:t>
      </w:r>
      <w:r>
        <w:rPr>
          <w:sz w:val="18"/>
        </w:rPr>
        <w:t>avait pas encore atteint les objectifs fixés dans son mandat, et est donc convenu qu</w:t>
      </w:r>
      <w:r w:rsidR="00DF1D73">
        <w:rPr>
          <w:sz w:val="18"/>
        </w:rPr>
        <w:t>’</w:t>
      </w:r>
      <w:r>
        <w:rPr>
          <w:sz w:val="18"/>
        </w:rPr>
        <w:t>il poursuive ses travaux conformément à son mandat et, en particulier, qu</w:t>
      </w:r>
      <w:r w:rsidR="00DF1D73">
        <w:rPr>
          <w:sz w:val="18"/>
        </w:rPr>
        <w:t>’</w:t>
      </w:r>
      <w:r>
        <w:rPr>
          <w:sz w:val="18"/>
        </w:rPr>
        <w:t>il s</w:t>
      </w:r>
      <w:r w:rsidR="00DF1D73">
        <w:rPr>
          <w:sz w:val="18"/>
        </w:rPr>
        <w:t>’</w:t>
      </w:r>
      <w:r>
        <w:rPr>
          <w:sz w:val="18"/>
        </w:rPr>
        <w:t>efforce de fournir des orientations pour la rédaction d</w:t>
      </w:r>
      <w:r w:rsidR="00DF1D73">
        <w:rPr>
          <w:sz w:val="18"/>
        </w:rPr>
        <w:t>’</w:t>
      </w:r>
      <w:r>
        <w:rPr>
          <w:sz w:val="18"/>
        </w:rPr>
        <w:t>une version révisée du document UPOV/EXN/EXC, à élaborer par le Comité administratif et juridique, ainsi que d</w:t>
      </w:r>
      <w:r w:rsidR="00DF1D73">
        <w:rPr>
          <w:sz w:val="18"/>
        </w:rPr>
        <w:t>’</w:t>
      </w:r>
      <w:r>
        <w:rPr>
          <w:sz w:val="18"/>
        </w:rPr>
        <w:t>une version révisée des questions</w:t>
      </w:r>
      <w:r w:rsidR="00610422">
        <w:rPr>
          <w:sz w:val="18"/>
        </w:rPr>
        <w:noBreakHyphen/>
      </w:r>
      <w:r>
        <w:rPr>
          <w:sz w:val="18"/>
        </w:rPr>
        <w:t>réponses sur les exceptions au droit d</w:t>
      </w:r>
      <w:r w:rsidR="00DF1D73">
        <w:rPr>
          <w:sz w:val="18"/>
        </w:rPr>
        <w:t>’</w:t>
      </w:r>
      <w:r>
        <w:rPr>
          <w:sz w:val="18"/>
        </w:rPr>
        <w:t>obtenteur, à élaborer par le Bureau de l</w:t>
      </w:r>
      <w:r w:rsidR="00DF1D73">
        <w:rPr>
          <w:sz w:val="18"/>
        </w:rPr>
        <w:t>’</w:t>
      </w:r>
      <w:r>
        <w:rPr>
          <w:sz w:val="18"/>
        </w:rPr>
        <w:t>Union (voir point c) “Modus Operandi” du mandat).</w:t>
      </w:r>
    </w:p>
    <w:p w14:paraId="54D8CFC7" w14:textId="77777777" w:rsidR="006D21BF" w:rsidRPr="00BD2D14" w:rsidRDefault="006D21BF" w:rsidP="009610CC">
      <w:pPr>
        <w:ind w:left="450" w:right="279"/>
        <w:rPr>
          <w:rFonts w:cs="Arial"/>
          <w:spacing w:val="-4"/>
          <w:sz w:val="18"/>
          <w:szCs w:val="18"/>
        </w:rPr>
      </w:pPr>
    </w:p>
    <w:p w14:paraId="60323235" w14:textId="2B6A12BB" w:rsidR="006D21BF" w:rsidRPr="00BD2D14" w:rsidRDefault="00BD2D14" w:rsidP="009610CC">
      <w:pPr>
        <w:keepNext/>
        <w:ind w:left="450" w:right="279"/>
        <w:rPr>
          <w:rFonts w:cs="Arial"/>
          <w:sz w:val="18"/>
          <w:szCs w:val="18"/>
        </w:rPr>
      </w:pPr>
      <w:r>
        <w:rPr>
          <w:sz w:val="18"/>
        </w:rPr>
        <w:lastRenderedPageBreak/>
        <w:t>“52.</w:t>
      </w:r>
      <w:r>
        <w:rPr>
          <w:sz w:val="18"/>
        </w:rPr>
        <w:tab/>
        <w:t>Le Comité consultatif est convenu</w:t>
      </w:r>
    </w:p>
    <w:p w14:paraId="70755E05" w14:textId="77777777" w:rsidR="006D21BF" w:rsidRPr="00BD2D14" w:rsidRDefault="006D21BF" w:rsidP="009610CC">
      <w:pPr>
        <w:keepNext/>
        <w:ind w:left="450" w:right="279"/>
        <w:rPr>
          <w:rFonts w:cs="Arial"/>
          <w:sz w:val="18"/>
          <w:szCs w:val="18"/>
        </w:rPr>
      </w:pPr>
    </w:p>
    <w:p w14:paraId="32325DAB" w14:textId="53094EB6" w:rsidR="002D2D26" w:rsidRPr="001422F8" w:rsidRDefault="00BD2D14" w:rsidP="009610CC">
      <w:pPr>
        <w:ind w:left="450" w:right="279" w:firstLine="630"/>
        <w:rPr>
          <w:rFonts w:cs="Arial"/>
          <w:spacing w:val="-2"/>
          <w:sz w:val="18"/>
          <w:szCs w:val="18"/>
        </w:rPr>
      </w:pPr>
      <w:r>
        <w:rPr>
          <w:sz w:val="18"/>
        </w:rPr>
        <w:t>“a)</w:t>
      </w:r>
      <w:r>
        <w:rPr>
          <w:sz w:val="18"/>
        </w:rPr>
        <w:tab/>
        <w:t>d</w:t>
      </w:r>
      <w:r w:rsidR="00DF1D73">
        <w:rPr>
          <w:sz w:val="18"/>
        </w:rPr>
        <w:t>’</w:t>
      </w:r>
      <w:r>
        <w:rPr>
          <w:sz w:val="18"/>
        </w:rPr>
        <w:t>inviter le Bureau de l</w:t>
      </w:r>
      <w:r w:rsidR="00DF1D73">
        <w:rPr>
          <w:sz w:val="18"/>
        </w:rPr>
        <w:t>’</w:t>
      </w:r>
      <w:r>
        <w:rPr>
          <w:sz w:val="18"/>
        </w:rPr>
        <w:t>Union à élaborer, pour la troisième réunion du WG</w:t>
      </w:r>
      <w:r w:rsidR="00610422">
        <w:rPr>
          <w:sz w:val="18"/>
        </w:rPr>
        <w:noBreakHyphen/>
      </w:r>
      <w:r>
        <w:rPr>
          <w:sz w:val="18"/>
        </w:rPr>
        <w:t>SHF, un document destiné à aider le groupe de travail à fournir les orientations demandées, sur la base des débats qui ont eu lieu lors de ses première et deuxième </w:t>
      </w:r>
      <w:proofErr w:type="gramStart"/>
      <w:r>
        <w:rPr>
          <w:sz w:val="18"/>
        </w:rPr>
        <w:t>réunions;  et</w:t>
      </w:r>
      <w:proofErr w:type="gramEnd"/>
    </w:p>
    <w:p w14:paraId="5140364C" w14:textId="77777777" w:rsidR="002D2D26" w:rsidRPr="00BD2D14" w:rsidRDefault="002D2D26" w:rsidP="009610CC">
      <w:pPr>
        <w:ind w:left="450" w:right="279" w:firstLine="630"/>
        <w:rPr>
          <w:rFonts w:cs="Arial"/>
          <w:sz w:val="18"/>
          <w:szCs w:val="18"/>
        </w:rPr>
      </w:pPr>
    </w:p>
    <w:p w14:paraId="276FDEE6" w14:textId="33B2A21A" w:rsidR="002D2D26" w:rsidRPr="009610CC" w:rsidRDefault="00BD2D14" w:rsidP="009610CC">
      <w:pPr>
        <w:ind w:left="450" w:right="279" w:firstLine="630"/>
        <w:rPr>
          <w:rFonts w:cs="Arial"/>
          <w:spacing w:val="-6"/>
          <w:sz w:val="18"/>
          <w:szCs w:val="18"/>
        </w:rPr>
      </w:pPr>
      <w:r w:rsidRPr="009610CC">
        <w:rPr>
          <w:spacing w:val="-6"/>
          <w:sz w:val="18"/>
        </w:rPr>
        <w:t>“b)</w:t>
      </w:r>
      <w:r w:rsidRPr="009610CC">
        <w:rPr>
          <w:spacing w:val="-6"/>
          <w:sz w:val="18"/>
        </w:rPr>
        <w:tab/>
        <w:t>d</w:t>
      </w:r>
      <w:r w:rsidR="00DF1D73" w:rsidRPr="009610CC">
        <w:rPr>
          <w:spacing w:val="-6"/>
          <w:sz w:val="18"/>
        </w:rPr>
        <w:t>’</w:t>
      </w:r>
      <w:r w:rsidRPr="009610CC">
        <w:rPr>
          <w:spacing w:val="-6"/>
          <w:sz w:val="18"/>
        </w:rPr>
        <w:t>inviter le WG</w:t>
      </w:r>
      <w:r w:rsidR="00610422" w:rsidRPr="009610CC">
        <w:rPr>
          <w:spacing w:val="-6"/>
          <w:sz w:val="18"/>
        </w:rPr>
        <w:noBreakHyphen/>
      </w:r>
      <w:r w:rsidRPr="009610CC">
        <w:rPr>
          <w:spacing w:val="-6"/>
          <w:sz w:val="18"/>
        </w:rPr>
        <w:t xml:space="preserve">SHF, à sa troisième réunion, sur la base des débats tenus lors </w:t>
      </w:r>
      <w:proofErr w:type="gramStart"/>
      <w:r w:rsidRPr="009610CC">
        <w:rPr>
          <w:spacing w:val="-6"/>
          <w:sz w:val="18"/>
        </w:rPr>
        <w:t>des première et deuxième réunions</w:t>
      </w:r>
      <w:proofErr w:type="gramEnd"/>
      <w:r w:rsidRPr="009610CC">
        <w:rPr>
          <w:spacing w:val="-6"/>
          <w:sz w:val="18"/>
        </w:rPr>
        <w:t>, à donner au Comité consultatif, à sa cent</w:t>
      </w:r>
      <w:r w:rsidR="00610422" w:rsidRPr="009610CC">
        <w:rPr>
          <w:spacing w:val="-6"/>
          <w:sz w:val="18"/>
        </w:rPr>
        <w:t xml:space="preserve"> </w:t>
      </w:r>
      <w:r w:rsidRPr="009610CC">
        <w:rPr>
          <w:spacing w:val="-6"/>
          <w:sz w:val="18"/>
        </w:rPr>
        <w:t>un</w:t>
      </w:r>
      <w:r w:rsidR="00DF1D73" w:rsidRPr="009610CC">
        <w:rPr>
          <w:spacing w:val="-6"/>
          <w:sz w:val="18"/>
        </w:rPr>
        <w:t>ième session</w:t>
      </w:r>
      <w:r w:rsidRPr="009610CC">
        <w:rPr>
          <w:spacing w:val="-6"/>
          <w:sz w:val="18"/>
        </w:rPr>
        <w:t>, des indications sur les options possibles</w:t>
      </w:r>
      <w:r w:rsidR="00DF1D73" w:rsidRPr="009610CC">
        <w:rPr>
          <w:spacing w:val="-6"/>
          <w:sz w:val="18"/>
        </w:rPr>
        <w:t> :</w:t>
      </w:r>
    </w:p>
    <w:p w14:paraId="09C6D681" w14:textId="77777777" w:rsidR="002D2D26" w:rsidRPr="00BD2D14" w:rsidRDefault="002D2D26" w:rsidP="009610CC">
      <w:pPr>
        <w:ind w:left="2160" w:right="279" w:firstLine="567"/>
        <w:rPr>
          <w:rFonts w:cs="Arial"/>
          <w:spacing w:val="-2"/>
          <w:sz w:val="18"/>
          <w:szCs w:val="18"/>
        </w:rPr>
      </w:pPr>
    </w:p>
    <w:p w14:paraId="14AB0701" w14:textId="7194F7EE" w:rsidR="00BD2D14" w:rsidRDefault="00BD2D14" w:rsidP="009610CC">
      <w:pPr>
        <w:ind w:left="2160" w:right="279" w:hanging="540"/>
        <w:rPr>
          <w:rFonts w:cs="Arial"/>
          <w:sz w:val="18"/>
          <w:szCs w:val="18"/>
        </w:rPr>
      </w:pPr>
      <w:r>
        <w:rPr>
          <w:sz w:val="18"/>
        </w:rPr>
        <w:t>“i)</w:t>
      </w:r>
      <w:r>
        <w:rPr>
          <w:sz w:val="18"/>
        </w:rPr>
        <w:tab/>
        <w:t xml:space="preserve">procéder à une révision du </w:t>
      </w:r>
      <w:r w:rsidR="00DF1D73">
        <w:rPr>
          <w:sz w:val="18"/>
        </w:rPr>
        <w:t>document UP</w:t>
      </w:r>
      <w:r>
        <w:rPr>
          <w:sz w:val="18"/>
        </w:rPr>
        <w:t>OV/EXN/EXC,</w:t>
      </w:r>
      <w:r w:rsidR="009610CC">
        <w:rPr>
          <w:sz w:val="18"/>
        </w:rPr>
        <w:t xml:space="preserve"> qui sera établie par le Comité </w:t>
      </w:r>
      <w:r>
        <w:rPr>
          <w:sz w:val="18"/>
        </w:rPr>
        <w:t xml:space="preserve">administratif et </w:t>
      </w:r>
      <w:proofErr w:type="gramStart"/>
      <w:r>
        <w:rPr>
          <w:sz w:val="18"/>
        </w:rPr>
        <w:t>juridique;  et</w:t>
      </w:r>
      <w:proofErr w:type="gramEnd"/>
    </w:p>
    <w:p w14:paraId="1183BB1F" w14:textId="77777777" w:rsidR="00BD2D14" w:rsidRDefault="00BD2D14" w:rsidP="009610CC">
      <w:pPr>
        <w:ind w:left="2160" w:right="279" w:hanging="540"/>
        <w:rPr>
          <w:rFonts w:cs="Arial"/>
          <w:sz w:val="18"/>
          <w:szCs w:val="18"/>
        </w:rPr>
      </w:pPr>
    </w:p>
    <w:p w14:paraId="74B86F8E" w14:textId="440ECF6F" w:rsidR="002D2D26" w:rsidRPr="00BD2D14" w:rsidRDefault="00BD2D14" w:rsidP="009610CC">
      <w:pPr>
        <w:ind w:left="2160" w:right="279" w:hanging="540"/>
        <w:rPr>
          <w:rFonts w:cs="Arial"/>
          <w:sz w:val="18"/>
          <w:szCs w:val="18"/>
        </w:rPr>
      </w:pPr>
      <w:r>
        <w:rPr>
          <w:sz w:val="18"/>
        </w:rPr>
        <w:t>“ii)</w:t>
      </w:r>
      <w:r>
        <w:rPr>
          <w:sz w:val="18"/>
        </w:rPr>
        <w:tab/>
        <w:t>établir une révision des questions</w:t>
      </w:r>
      <w:r w:rsidR="00610422">
        <w:rPr>
          <w:sz w:val="18"/>
        </w:rPr>
        <w:noBreakHyphen/>
      </w:r>
      <w:r>
        <w:rPr>
          <w:sz w:val="18"/>
        </w:rPr>
        <w:t>réponses sur les exceptions au droit d</w:t>
      </w:r>
      <w:r w:rsidR="00DF1D73">
        <w:rPr>
          <w:sz w:val="18"/>
        </w:rPr>
        <w:t>’</w:t>
      </w:r>
      <w:r>
        <w:rPr>
          <w:sz w:val="18"/>
        </w:rPr>
        <w:t>obtenteur.”</w:t>
      </w:r>
    </w:p>
    <w:p w14:paraId="3C26BD4E" w14:textId="77777777" w:rsidR="002D2D26" w:rsidRPr="009610CC" w:rsidRDefault="002D2D26" w:rsidP="002D2D26">
      <w:pPr>
        <w:rPr>
          <w:rFonts w:cs="Arial"/>
          <w:sz w:val="16"/>
        </w:rPr>
      </w:pPr>
    </w:p>
    <w:p w14:paraId="024C7D64" w14:textId="77777777" w:rsidR="0040717F" w:rsidRPr="009610CC" w:rsidRDefault="0040717F" w:rsidP="0040717F">
      <w:pPr>
        <w:rPr>
          <w:rFonts w:cs="Arial"/>
          <w:sz w:val="16"/>
        </w:rPr>
      </w:pPr>
    </w:p>
    <w:p w14:paraId="4B731522" w14:textId="77777777" w:rsidR="0040717F" w:rsidRPr="009610CC" w:rsidRDefault="0040717F" w:rsidP="0040717F">
      <w:pPr>
        <w:rPr>
          <w:rFonts w:cs="Arial"/>
          <w:sz w:val="16"/>
        </w:rPr>
      </w:pPr>
    </w:p>
    <w:p w14:paraId="18FE8EDA" w14:textId="16FE27FA" w:rsidR="0040717F" w:rsidRPr="00125F1C" w:rsidRDefault="0040717F" w:rsidP="0040717F">
      <w:pPr>
        <w:pStyle w:val="Heading1"/>
        <w:rPr>
          <w:rFonts w:cs="Arial"/>
        </w:rPr>
      </w:pPr>
      <w:bookmarkStart w:id="2" w:name="_Toc148120594"/>
      <w:r>
        <w:t>Faits nouveaux depuis la soixante</w:t>
      </w:r>
      <w:r w:rsidR="00610422">
        <w:noBreakHyphen/>
      </w:r>
      <w:r>
        <w:t>dix</w:t>
      </w:r>
      <w:r w:rsidR="00610422">
        <w:noBreakHyphen/>
      </w:r>
      <w:r>
        <w:t>neuv</w:t>
      </w:r>
      <w:r w:rsidR="00DF1D73">
        <w:t>ième session du CAJ</w:t>
      </w:r>
      <w:bookmarkEnd w:id="2"/>
    </w:p>
    <w:p w14:paraId="78BAEEF9" w14:textId="77777777" w:rsidR="0040717F" w:rsidRPr="00125F1C" w:rsidRDefault="0040717F" w:rsidP="0040717F">
      <w:pPr>
        <w:keepNext/>
        <w:rPr>
          <w:rFonts w:cs="Arial"/>
        </w:rPr>
      </w:pPr>
    </w:p>
    <w:p w14:paraId="4368A32A" w14:textId="5966E52F" w:rsidR="001422F8" w:rsidRPr="00416F54" w:rsidRDefault="001422F8" w:rsidP="001422F8">
      <w:pPr>
        <w:pStyle w:val="Heading2"/>
        <w:rPr>
          <w:rFonts w:cs="Arial"/>
        </w:rPr>
      </w:pPr>
      <w:bookmarkStart w:id="3" w:name="_Toc145676542"/>
      <w:bookmarkStart w:id="4" w:name="_Toc148120595"/>
      <w:r>
        <w:t>Troisième réunion du WG</w:t>
      </w:r>
      <w:r w:rsidR="00610422">
        <w:noBreakHyphen/>
      </w:r>
      <w:r>
        <w:t>SHF (24 mars 2023)</w:t>
      </w:r>
      <w:bookmarkEnd w:id="3"/>
      <w:bookmarkEnd w:id="4"/>
    </w:p>
    <w:p w14:paraId="20485E59" w14:textId="77777777" w:rsidR="001422F8" w:rsidRPr="00416F54" w:rsidRDefault="001422F8" w:rsidP="001422F8">
      <w:pPr>
        <w:rPr>
          <w:rFonts w:cs="Arial"/>
        </w:rPr>
      </w:pPr>
    </w:p>
    <w:p w14:paraId="135838E1" w14:textId="157883E0" w:rsidR="001422F8" w:rsidRPr="00844BE3" w:rsidRDefault="001422F8" w:rsidP="001422F8">
      <w:pPr>
        <w:rPr>
          <w:rFonts w:cs="Arial"/>
          <w:spacing w:val="-2"/>
        </w:rPr>
      </w:pPr>
      <w:r w:rsidRPr="00844BE3">
        <w:rPr>
          <w:rFonts w:cs="Arial"/>
        </w:rPr>
        <w:fldChar w:fldCharType="begin"/>
      </w:r>
      <w:r w:rsidRPr="00844BE3">
        <w:rPr>
          <w:rFonts w:cs="Arial"/>
        </w:rPr>
        <w:instrText xml:space="preserve"> AUTONUM  </w:instrText>
      </w:r>
      <w:r w:rsidRPr="00844BE3">
        <w:rPr>
          <w:rFonts w:cs="Arial"/>
        </w:rPr>
        <w:fldChar w:fldCharType="end"/>
      </w:r>
      <w:r>
        <w:tab/>
        <w:t>À sa troisième réunion, tenue à Genève le 2</w:t>
      </w:r>
      <w:r w:rsidR="00DF1D73">
        <w:t>4 mars 20</w:t>
      </w:r>
      <w:r>
        <w:t>23, le WG</w:t>
      </w:r>
      <w:r w:rsidR="00610422">
        <w:noBreakHyphen/>
      </w:r>
      <w:r>
        <w:t>SHF a examiné le document</w:t>
      </w:r>
      <w:r w:rsidR="00610422">
        <w:t> </w:t>
      </w:r>
      <w:r>
        <w:t>WG</w:t>
      </w:r>
      <w:r w:rsidR="00610422">
        <w:noBreakHyphen/>
      </w:r>
      <w:r>
        <w:t xml:space="preserve">SHF/3/2 intitulé “Options relatives au traitement des questions examinées lors </w:t>
      </w:r>
      <w:proofErr w:type="gramStart"/>
      <w:r>
        <w:t>des première et deuxième réunions</w:t>
      </w:r>
      <w:proofErr w:type="gramEnd"/>
      <w:r>
        <w:t xml:space="preserve"> du WG</w:t>
      </w:r>
      <w:r w:rsidR="00610422">
        <w:noBreakHyphen/>
      </w:r>
      <w:r>
        <w:t>SHF”.</w:t>
      </w:r>
    </w:p>
    <w:p w14:paraId="3A8ABA39" w14:textId="77777777" w:rsidR="001422F8" w:rsidRPr="00416F54" w:rsidRDefault="001422F8" w:rsidP="001422F8">
      <w:pPr>
        <w:rPr>
          <w:rFonts w:cs="Arial"/>
        </w:rPr>
      </w:pPr>
    </w:p>
    <w:p w14:paraId="7716F62B" w14:textId="6A6A0BDD" w:rsidR="001422F8" w:rsidRPr="00416F54" w:rsidRDefault="001422F8" w:rsidP="001422F8">
      <w:pPr>
        <w:rPr>
          <w:rFonts w:cs="Arial"/>
        </w:rPr>
      </w:pPr>
      <w:r w:rsidRPr="00416F54">
        <w:rPr>
          <w:rFonts w:cs="Arial"/>
        </w:rPr>
        <w:fldChar w:fldCharType="begin"/>
      </w:r>
      <w:r w:rsidRPr="00416F54">
        <w:rPr>
          <w:rFonts w:cs="Arial"/>
        </w:rPr>
        <w:instrText xml:space="preserve"> AUTONUM  </w:instrText>
      </w:r>
      <w:r w:rsidRPr="00416F54">
        <w:rPr>
          <w:rFonts w:cs="Arial"/>
        </w:rPr>
        <w:fldChar w:fldCharType="end"/>
      </w:r>
      <w:r>
        <w:tab/>
        <w:t>Les documents et le rapport de la troisième réunion du WG</w:t>
      </w:r>
      <w:r w:rsidR="00610422">
        <w:noBreakHyphen/>
      </w:r>
      <w:r>
        <w:t>SHF sont disponibles à l</w:t>
      </w:r>
      <w:r w:rsidR="00DF1D73">
        <w:t>’</w:t>
      </w:r>
      <w:r>
        <w:t>adresse suivante</w:t>
      </w:r>
      <w:r w:rsidR="00DF1D73">
        <w:t> :</w:t>
      </w:r>
      <w:r>
        <w:t xml:space="preserve"> </w:t>
      </w:r>
      <w:hyperlink r:id="rId9" w:history="1">
        <w:r>
          <w:rPr>
            <w:rStyle w:val="Hyperlink"/>
          </w:rPr>
          <w:t>https://www.upov.int/meetings/fr/details.jsp?meeting_id=74772</w:t>
        </w:r>
      </w:hyperlink>
      <w:r>
        <w:t>.</w:t>
      </w:r>
    </w:p>
    <w:p w14:paraId="46EECB2E" w14:textId="77777777" w:rsidR="001422F8" w:rsidRPr="00416F54" w:rsidRDefault="001422F8" w:rsidP="001422F8">
      <w:pPr>
        <w:rPr>
          <w:rFonts w:cs="Arial"/>
        </w:rPr>
      </w:pPr>
    </w:p>
    <w:p w14:paraId="39A64029" w14:textId="5FA4D6DB" w:rsidR="00DF1D73" w:rsidRDefault="001422F8" w:rsidP="001422F8">
      <w:pPr>
        <w:keepNext/>
        <w:keepLines/>
      </w:pPr>
      <w:r w:rsidRPr="006E60C1">
        <w:rPr>
          <w:rFonts w:cs="Arial"/>
        </w:rPr>
        <w:fldChar w:fldCharType="begin"/>
      </w:r>
      <w:r w:rsidRPr="006E60C1">
        <w:rPr>
          <w:rFonts w:cs="Arial"/>
        </w:rPr>
        <w:instrText xml:space="preserve"> AUTONUM  </w:instrText>
      </w:r>
      <w:r w:rsidRPr="006E60C1">
        <w:rPr>
          <w:rFonts w:cs="Arial"/>
        </w:rPr>
        <w:fldChar w:fldCharType="end"/>
      </w:r>
      <w:r>
        <w:tab/>
        <w:t>Le compte rendu de la troisième réunion contient les conclusions suivantes (voir les paragraphes 39 et 40 du document</w:t>
      </w:r>
      <w:r w:rsidR="00610422">
        <w:t> </w:t>
      </w:r>
      <w:r>
        <w:t>WG</w:t>
      </w:r>
      <w:r w:rsidR="00610422">
        <w:noBreakHyphen/>
      </w:r>
      <w:r>
        <w:t>SHF/3/3 “Compte rendu”)</w:t>
      </w:r>
      <w:r w:rsidR="00DF1D73">
        <w:t> :</w:t>
      </w:r>
    </w:p>
    <w:p w14:paraId="4F26BB31" w14:textId="5A63970A" w:rsidR="001422F8" w:rsidRPr="004C30A3" w:rsidRDefault="001422F8" w:rsidP="001422F8">
      <w:pPr>
        <w:keepNext/>
        <w:keepLines/>
        <w:rPr>
          <w:rFonts w:cs="Arial"/>
          <w:spacing w:val="-2"/>
        </w:rPr>
      </w:pPr>
    </w:p>
    <w:p w14:paraId="1BE8200B" w14:textId="5562C58F" w:rsidR="001422F8" w:rsidRPr="00762667" w:rsidRDefault="001422F8" w:rsidP="001422F8">
      <w:pPr>
        <w:ind w:left="567" w:right="459"/>
        <w:rPr>
          <w:rFonts w:cs="Arial"/>
          <w:sz w:val="18"/>
          <w:szCs w:val="18"/>
        </w:rPr>
      </w:pPr>
      <w:r>
        <w:rPr>
          <w:sz w:val="18"/>
        </w:rPr>
        <w:t>“39.</w:t>
      </w:r>
      <w:r>
        <w:rPr>
          <w:sz w:val="18"/>
        </w:rPr>
        <w:tab/>
        <w:t>Le WG</w:t>
      </w:r>
      <w:r w:rsidR="00610422">
        <w:rPr>
          <w:sz w:val="18"/>
        </w:rPr>
        <w:noBreakHyphen/>
      </w:r>
      <w:r>
        <w:rPr>
          <w:sz w:val="18"/>
        </w:rPr>
        <w:t>SHF convient, comme base à la poursuite de ses travaux, que le Bureau de l</w:t>
      </w:r>
      <w:r w:rsidR="00DF1D73">
        <w:rPr>
          <w:sz w:val="18"/>
        </w:rPr>
        <w:t>’</w:t>
      </w:r>
      <w:r>
        <w:rPr>
          <w:sz w:val="18"/>
        </w:rPr>
        <w:t>Union enverra une circulaire invitant le WG</w:t>
      </w:r>
      <w:r w:rsidR="00610422">
        <w:rPr>
          <w:sz w:val="18"/>
        </w:rPr>
        <w:noBreakHyphen/>
      </w:r>
      <w:r>
        <w:rPr>
          <w:sz w:val="18"/>
        </w:rPr>
        <w:t>SHF</w:t>
      </w:r>
      <w:r>
        <w:rPr>
          <w:sz w:val="18"/>
          <w:vertAlign w:val="superscript"/>
        </w:rPr>
        <w:t>1</w:t>
      </w:r>
    </w:p>
    <w:p w14:paraId="33220649" w14:textId="77777777" w:rsidR="001422F8" w:rsidRPr="00762667" w:rsidRDefault="001422F8" w:rsidP="001422F8">
      <w:pPr>
        <w:ind w:left="567" w:right="459"/>
        <w:rPr>
          <w:rFonts w:cs="Arial"/>
          <w:sz w:val="18"/>
          <w:szCs w:val="18"/>
        </w:rPr>
      </w:pPr>
    </w:p>
    <w:p w14:paraId="3B57F284" w14:textId="005CD595" w:rsidR="001422F8" w:rsidRPr="00762667" w:rsidRDefault="001422F8" w:rsidP="001422F8">
      <w:pPr>
        <w:pStyle w:val="ListParagraph"/>
        <w:numPr>
          <w:ilvl w:val="0"/>
          <w:numId w:val="3"/>
        </w:numPr>
        <w:ind w:left="1694" w:right="459"/>
        <w:jc w:val="both"/>
        <w:rPr>
          <w:rFonts w:ascii="Arial" w:hAnsi="Arial" w:cs="Arial"/>
          <w:snapToGrid w:val="0"/>
          <w:sz w:val="18"/>
          <w:szCs w:val="18"/>
        </w:rPr>
      </w:pPr>
      <w:proofErr w:type="gramStart"/>
      <w:r>
        <w:rPr>
          <w:rFonts w:ascii="Arial" w:hAnsi="Arial"/>
          <w:sz w:val="18"/>
        </w:rPr>
        <w:t>à</w:t>
      </w:r>
      <w:proofErr w:type="gramEnd"/>
      <w:r>
        <w:rPr>
          <w:rFonts w:ascii="Arial" w:hAnsi="Arial"/>
          <w:sz w:val="18"/>
        </w:rPr>
        <w:t> </w:t>
      </w:r>
      <w:r>
        <w:rPr>
          <w:rFonts w:ascii="Arial" w:hAnsi="Arial"/>
          <w:snapToGrid w:val="0"/>
          <w:sz w:val="18"/>
        </w:rPr>
        <w:t>examiner toutes les questions</w:t>
      </w:r>
      <w:r w:rsidR="00610422">
        <w:rPr>
          <w:rFonts w:ascii="Arial" w:hAnsi="Arial"/>
          <w:snapToGrid w:val="0"/>
          <w:sz w:val="18"/>
        </w:rPr>
        <w:noBreakHyphen/>
      </w:r>
      <w:r>
        <w:rPr>
          <w:rFonts w:ascii="Arial" w:hAnsi="Arial"/>
          <w:snapToGrid w:val="0"/>
          <w:sz w:val="18"/>
        </w:rPr>
        <w:t>réponses existantes relatives aux petits exploitants agricoles et aux agriculteurs de subsistance qui seront indiquées dans la circulaire et</w:t>
      </w:r>
    </w:p>
    <w:p w14:paraId="37FF7D2F" w14:textId="77777777" w:rsidR="001422F8" w:rsidRPr="00762667" w:rsidRDefault="001422F8" w:rsidP="001422F8">
      <w:pPr>
        <w:pStyle w:val="ListParagraph"/>
        <w:ind w:left="1694" w:right="459"/>
        <w:jc w:val="both"/>
        <w:rPr>
          <w:rFonts w:ascii="Arial" w:hAnsi="Arial" w:cs="Arial"/>
          <w:snapToGrid w:val="0"/>
          <w:sz w:val="18"/>
          <w:szCs w:val="18"/>
        </w:rPr>
      </w:pPr>
    </w:p>
    <w:p w14:paraId="5F7235A3" w14:textId="46D2B4BE" w:rsidR="001422F8" w:rsidRPr="00762667" w:rsidRDefault="001422F8" w:rsidP="001422F8">
      <w:pPr>
        <w:pStyle w:val="ListParagraph"/>
        <w:numPr>
          <w:ilvl w:val="0"/>
          <w:numId w:val="3"/>
        </w:numPr>
        <w:ind w:left="1694" w:right="459"/>
        <w:jc w:val="both"/>
        <w:rPr>
          <w:rFonts w:ascii="Arial" w:hAnsi="Arial" w:cs="Arial"/>
          <w:snapToGrid w:val="0"/>
          <w:sz w:val="18"/>
          <w:szCs w:val="18"/>
        </w:rPr>
      </w:pPr>
      <w:proofErr w:type="gramStart"/>
      <w:r>
        <w:rPr>
          <w:rFonts w:ascii="Arial" w:hAnsi="Arial"/>
          <w:snapToGrid w:val="0"/>
          <w:sz w:val="18"/>
        </w:rPr>
        <w:t>à</w:t>
      </w:r>
      <w:proofErr w:type="gramEnd"/>
      <w:r>
        <w:rPr>
          <w:rFonts w:ascii="Arial" w:hAnsi="Arial"/>
          <w:snapToGrid w:val="0"/>
          <w:sz w:val="18"/>
        </w:rPr>
        <w:t xml:space="preserve"> examiner si les questions recensées dans le </w:t>
      </w:r>
      <w:r w:rsidR="00DF1D73">
        <w:rPr>
          <w:rFonts w:ascii="Arial" w:hAnsi="Arial"/>
          <w:snapToGrid w:val="0"/>
          <w:sz w:val="18"/>
        </w:rPr>
        <w:t>document</w:t>
      </w:r>
      <w:r w:rsidR="00610422">
        <w:rPr>
          <w:rFonts w:ascii="Arial" w:hAnsi="Arial"/>
          <w:snapToGrid w:val="0"/>
          <w:sz w:val="18"/>
        </w:rPr>
        <w:t> </w:t>
      </w:r>
      <w:r w:rsidR="00DF1D73">
        <w:rPr>
          <w:rFonts w:ascii="Arial" w:hAnsi="Arial"/>
          <w:snapToGrid w:val="0"/>
          <w:sz w:val="18"/>
        </w:rPr>
        <w:t>WG</w:t>
      </w:r>
      <w:r w:rsidR="00610422">
        <w:rPr>
          <w:rFonts w:ascii="Arial" w:hAnsi="Arial"/>
          <w:snapToGrid w:val="0"/>
          <w:sz w:val="18"/>
        </w:rPr>
        <w:noBreakHyphen/>
      </w:r>
      <w:r>
        <w:rPr>
          <w:rFonts w:ascii="Arial" w:hAnsi="Arial"/>
          <w:snapToGrid w:val="0"/>
          <w:sz w:val="18"/>
        </w:rPr>
        <w:t>SHF/3/2 et soulevées durant les délibérations du WG</w:t>
      </w:r>
      <w:r w:rsidR="00610422">
        <w:rPr>
          <w:rFonts w:ascii="Arial" w:hAnsi="Arial"/>
          <w:snapToGrid w:val="0"/>
          <w:sz w:val="18"/>
        </w:rPr>
        <w:noBreakHyphen/>
      </w:r>
      <w:r>
        <w:rPr>
          <w:rFonts w:ascii="Arial" w:hAnsi="Arial"/>
          <w:snapToGrid w:val="0"/>
          <w:sz w:val="18"/>
        </w:rPr>
        <w:t>SHF sont couvertes de manière appropriée dans ces questions</w:t>
      </w:r>
      <w:r w:rsidR="00610422">
        <w:rPr>
          <w:rFonts w:ascii="Arial" w:hAnsi="Arial"/>
          <w:snapToGrid w:val="0"/>
          <w:sz w:val="18"/>
        </w:rPr>
        <w:noBreakHyphen/>
      </w:r>
      <w:r>
        <w:rPr>
          <w:rFonts w:ascii="Arial" w:hAnsi="Arial"/>
          <w:snapToGrid w:val="0"/>
          <w:sz w:val="18"/>
        </w:rPr>
        <w:t>réponses et si des révisions ou des questions</w:t>
      </w:r>
      <w:r w:rsidR="00610422">
        <w:rPr>
          <w:rFonts w:ascii="Arial" w:hAnsi="Arial"/>
          <w:snapToGrid w:val="0"/>
          <w:sz w:val="18"/>
        </w:rPr>
        <w:noBreakHyphen/>
      </w:r>
      <w:r>
        <w:rPr>
          <w:rFonts w:ascii="Arial" w:hAnsi="Arial"/>
          <w:snapToGrid w:val="0"/>
          <w:sz w:val="18"/>
        </w:rPr>
        <w:t>réponses supplémentaires seraient nécessaires pour répondre à celles</w:t>
      </w:r>
      <w:r w:rsidR="00610422">
        <w:rPr>
          <w:rFonts w:ascii="Arial" w:hAnsi="Arial"/>
          <w:snapToGrid w:val="0"/>
          <w:sz w:val="18"/>
        </w:rPr>
        <w:noBreakHyphen/>
      </w:r>
      <w:r>
        <w:rPr>
          <w:rFonts w:ascii="Arial" w:hAnsi="Arial"/>
          <w:snapToGrid w:val="0"/>
          <w:sz w:val="18"/>
        </w:rPr>
        <w:t>ci.</w:t>
      </w:r>
    </w:p>
    <w:p w14:paraId="3B808595" w14:textId="77777777" w:rsidR="001422F8" w:rsidRPr="00762667" w:rsidRDefault="001422F8" w:rsidP="001422F8">
      <w:pPr>
        <w:ind w:left="567" w:right="459"/>
        <w:rPr>
          <w:rFonts w:cs="Arial"/>
          <w:snapToGrid w:val="0"/>
          <w:sz w:val="18"/>
          <w:szCs w:val="18"/>
        </w:rPr>
      </w:pPr>
    </w:p>
    <w:p w14:paraId="4C917706" w14:textId="3FD8C1C3" w:rsidR="001422F8" w:rsidRPr="00762667" w:rsidRDefault="001422F8" w:rsidP="001422F8">
      <w:pPr>
        <w:ind w:left="567" w:right="459"/>
        <w:rPr>
          <w:rFonts w:cs="Arial"/>
          <w:snapToGrid w:val="0"/>
          <w:sz w:val="18"/>
          <w:szCs w:val="18"/>
        </w:rPr>
      </w:pPr>
      <w:r>
        <w:rPr>
          <w:snapToGrid w:val="0"/>
          <w:sz w:val="18"/>
        </w:rPr>
        <w:t>“40.</w:t>
      </w:r>
      <w:r>
        <w:rPr>
          <w:snapToGrid w:val="0"/>
          <w:sz w:val="18"/>
        </w:rPr>
        <w:tab/>
        <w:t>Le WG</w:t>
      </w:r>
      <w:r w:rsidR="00610422">
        <w:rPr>
          <w:snapToGrid w:val="0"/>
          <w:sz w:val="18"/>
        </w:rPr>
        <w:noBreakHyphen/>
      </w:r>
      <w:r>
        <w:rPr>
          <w:snapToGrid w:val="0"/>
          <w:sz w:val="18"/>
        </w:rPr>
        <w:t>SHF convient en outre, dans un souci de clarté et de transparence, que les travaux du WG</w:t>
      </w:r>
      <w:r w:rsidR="00610422">
        <w:rPr>
          <w:snapToGrid w:val="0"/>
          <w:sz w:val="18"/>
        </w:rPr>
        <w:noBreakHyphen/>
      </w:r>
      <w:r>
        <w:rPr>
          <w:snapToGrid w:val="0"/>
          <w:sz w:val="18"/>
        </w:rPr>
        <w:t>SHF fassent l</w:t>
      </w:r>
      <w:r w:rsidR="00DF1D73">
        <w:rPr>
          <w:snapToGrid w:val="0"/>
          <w:sz w:val="18"/>
        </w:rPr>
        <w:t>’</w:t>
      </w:r>
      <w:r>
        <w:rPr>
          <w:snapToGrid w:val="0"/>
          <w:sz w:val="18"/>
        </w:rPr>
        <w:t>objet d</w:t>
      </w:r>
      <w:r w:rsidR="00DF1D73">
        <w:rPr>
          <w:snapToGrid w:val="0"/>
          <w:sz w:val="18"/>
        </w:rPr>
        <w:t>’</w:t>
      </w:r>
      <w:r>
        <w:rPr>
          <w:snapToGrid w:val="0"/>
          <w:sz w:val="18"/>
        </w:rPr>
        <w:t>un compte rendu au Comité administratif et juridique et au Comité consultatif, lors de leurs sessions d</w:t>
      </w:r>
      <w:r w:rsidR="00DF1D73">
        <w:rPr>
          <w:snapToGrid w:val="0"/>
          <w:sz w:val="18"/>
        </w:rPr>
        <w:t>’</w:t>
      </w:r>
      <w:r>
        <w:rPr>
          <w:snapToGrid w:val="0"/>
          <w:sz w:val="18"/>
        </w:rPr>
        <w:t>octobre, et que le Comité consultatif soit invité à approuver les travaux décrits au paragraphe 39, notamment en ce qui concerne la possibilité pour le WG</w:t>
      </w:r>
      <w:r w:rsidR="00610422">
        <w:rPr>
          <w:snapToGrid w:val="0"/>
          <w:sz w:val="18"/>
        </w:rPr>
        <w:noBreakHyphen/>
      </w:r>
      <w:r>
        <w:rPr>
          <w:snapToGrid w:val="0"/>
          <w:sz w:val="18"/>
        </w:rPr>
        <w:t>SHF d</w:t>
      </w:r>
      <w:r w:rsidR="00DF1D73">
        <w:rPr>
          <w:snapToGrid w:val="0"/>
          <w:sz w:val="18"/>
        </w:rPr>
        <w:t>’</w:t>
      </w:r>
      <w:r>
        <w:rPr>
          <w:snapToGrid w:val="0"/>
          <w:sz w:val="18"/>
        </w:rPr>
        <w:t>examiner toutes les questions</w:t>
      </w:r>
      <w:r w:rsidR="00610422">
        <w:rPr>
          <w:snapToGrid w:val="0"/>
          <w:sz w:val="18"/>
        </w:rPr>
        <w:noBreakHyphen/>
      </w:r>
      <w:r>
        <w:rPr>
          <w:snapToGrid w:val="0"/>
          <w:sz w:val="18"/>
        </w:rPr>
        <w:t>réponses existantes relatives aux petits exploitants agricoles et aux agriculteurs de subsistance</w:t>
      </w:r>
      <w:r>
        <w:rPr>
          <w:snapToGrid w:val="0"/>
          <w:sz w:val="18"/>
          <w:vertAlign w:val="superscript"/>
        </w:rPr>
        <w:t>2</w:t>
      </w:r>
      <w:r>
        <w:rPr>
          <w:snapToGrid w:val="0"/>
          <w:sz w:val="18"/>
        </w:rPr>
        <w:t>.</w:t>
      </w:r>
    </w:p>
    <w:p w14:paraId="03900F7A" w14:textId="77777777" w:rsidR="001422F8" w:rsidRPr="009610CC" w:rsidRDefault="001422F8" w:rsidP="001422F8">
      <w:pPr>
        <w:ind w:right="459"/>
        <w:rPr>
          <w:rFonts w:cs="Arial"/>
          <w:sz w:val="16"/>
          <w:szCs w:val="18"/>
        </w:rPr>
      </w:pPr>
    </w:p>
    <w:p w14:paraId="48AE7D2F" w14:textId="1EA2F7F9" w:rsidR="001422F8" w:rsidRPr="0097442A" w:rsidRDefault="001422F8" w:rsidP="00610422">
      <w:pPr>
        <w:pStyle w:val="ListParagraph"/>
        <w:numPr>
          <w:ilvl w:val="0"/>
          <w:numId w:val="4"/>
        </w:numPr>
        <w:ind w:left="1701" w:right="459" w:hanging="567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/>
          <w:sz w:val="16"/>
        </w:rPr>
        <w:t>La délégation de la Norvège émet des réserves quant à la modification du mandat et souligne que les révisions des questions</w:t>
      </w:r>
      <w:r w:rsidR="00610422">
        <w:rPr>
          <w:rFonts w:ascii="Arial" w:hAnsi="Arial"/>
          <w:sz w:val="16"/>
        </w:rPr>
        <w:noBreakHyphen/>
      </w:r>
      <w:r>
        <w:rPr>
          <w:rFonts w:ascii="Arial" w:hAnsi="Arial"/>
          <w:sz w:val="16"/>
        </w:rPr>
        <w:t>réponses doivent s</w:t>
      </w:r>
      <w:r w:rsidR="00DF1D73">
        <w:rPr>
          <w:rFonts w:ascii="Arial" w:hAnsi="Arial"/>
          <w:sz w:val="16"/>
        </w:rPr>
        <w:t>’</w:t>
      </w:r>
      <w:r>
        <w:rPr>
          <w:rFonts w:ascii="Arial" w:hAnsi="Arial"/>
          <w:sz w:val="16"/>
        </w:rPr>
        <w:t>inscrire dans le mandat du WG</w:t>
      </w:r>
      <w:r w:rsidR="00610422">
        <w:rPr>
          <w:rFonts w:ascii="Arial" w:hAnsi="Arial"/>
          <w:sz w:val="16"/>
        </w:rPr>
        <w:noBreakHyphen/>
      </w:r>
      <w:r>
        <w:rPr>
          <w:rFonts w:ascii="Arial" w:hAnsi="Arial"/>
          <w:sz w:val="16"/>
        </w:rPr>
        <w:t>SHF “concernant les petits exploitants agricoles en relation avec l</w:t>
      </w:r>
      <w:r w:rsidR="00DF1D73">
        <w:rPr>
          <w:rFonts w:ascii="Arial" w:hAnsi="Arial"/>
          <w:sz w:val="16"/>
        </w:rPr>
        <w:t>’</w:t>
      </w:r>
      <w:r>
        <w:rPr>
          <w:rFonts w:ascii="Arial" w:hAnsi="Arial"/>
          <w:sz w:val="16"/>
        </w:rPr>
        <w:t>utilisation à des fins privées et non commerciales”.</w:t>
      </w:r>
    </w:p>
    <w:p w14:paraId="690540F3" w14:textId="77777777" w:rsidR="001422F8" w:rsidRPr="009610CC" w:rsidRDefault="001422F8" w:rsidP="00610422">
      <w:pPr>
        <w:ind w:left="1701" w:right="459" w:hanging="567"/>
        <w:rPr>
          <w:rFonts w:cs="Arial"/>
          <w:spacing w:val="-2"/>
          <w:sz w:val="12"/>
          <w:szCs w:val="16"/>
        </w:rPr>
      </w:pPr>
    </w:p>
    <w:p w14:paraId="0999920F" w14:textId="77777777" w:rsidR="001422F8" w:rsidRPr="0097442A" w:rsidRDefault="001422F8" w:rsidP="00610422">
      <w:pPr>
        <w:pStyle w:val="ListParagraph"/>
        <w:numPr>
          <w:ilvl w:val="0"/>
          <w:numId w:val="4"/>
        </w:numPr>
        <w:ind w:left="1701" w:right="459" w:hanging="567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/>
          <w:sz w:val="16"/>
        </w:rPr>
        <w:t>La délégation de la Norvège émet des réserves sur cette décision.”</w:t>
      </w:r>
    </w:p>
    <w:p w14:paraId="6384EC84" w14:textId="77777777" w:rsidR="001422F8" w:rsidRPr="009610CC" w:rsidRDefault="001422F8" w:rsidP="001422F8">
      <w:pPr>
        <w:rPr>
          <w:rFonts w:cs="Arial"/>
          <w:sz w:val="18"/>
          <w:highlight w:val="yellow"/>
        </w:rPr>
      </w:pPr>
    </w:p>
    <w:p w14:paraId="7D725E17" w14:textId="77777777" w:rsidR="001422F8" w:rsidRPr="009610CC" w:rsidRDefault="001422F8" w:rsidP="001422F8">
      <w:pPr>
        <w:tabs>
          <w:tab w:val="left" w:pos="2680"/>
        </w:tabs>
        <w:rPr>
          <w:rFonts w:cs="Arial"/>
          <w:sz w:val="18"/>
          <w:highlight w:val="yellow"/>
        </w:rPr>
      </w:pPr>
    </w:p>
    <w:p w14:paraId="279085E7" w14:textId="13474407" w:rsidR="001422F8" w:rsidRPr="00416F54" w:rsidRDefault="001422F8" w:rsidP="001422F8">
      <w:pPr>
        <w:pStyle w:val="Heading2"/>
        <w:rPr>
          <w:rFonts w:cs="Arial"/>
        </w:rPr>
      </w:pPr>
      <w:bookmarkStart w:id="5" w:name="_Toc145676544"/>
      <w:bookmarkStart w:id="6" w:name="_Toc148120596"/>
      <w:r>
        <w:t>Quatrième réunion du WG</w:t>
      </w:r>
      <w:r w:rsidR="00610422">
        <w:noBreakHyphen/>
      </w:r>
      <w:r>
        <w:t>EDV (25 octobre 2023)</w:t>
      </w:r>
      <w:bookmarkEnd w:id="5"/>
      <w:bookmarkEnd w:id="6"/>
    </w:p>
    <w:p w14:paraId="6E6DB7F8" w14:textId="77777777" w:rsidR="001422F8" w:rsidRPr="009610CC" w:rsidRDefault="001422F8" w:rsidP="001422F8">
      <w:pPr>
        <w:keepNext/>
        <w:rPr>
          <w:rFonts w:cs="Arial"/>
          <w:sz w:val="18"/>
        </w:rPr>
      </w:pPr>
    </w:p>
    <w:p w14:paraId="04409BD3" w14:textId="6D718CCF" w:rsidR="00DF1D73" w:rsidRDefault="001422F8" w:rsidP="001422F8">
      <w:pPr>
        <w:keepLines/>
      </w:pPr>
      <w:r w:rsidRPr="00F510AB">
        <w:rPr>
          <w:rFonts w:eastAsiaTheme="minorEastAsia" w:cs="Arial"/>
        </w:rPr>
        <w:fldChar w:fldCharType="begin"/>
      </w:r>
      <w:r w:rsidRPr="00F510AB">
        <w:rPr>
          <w:rFonts w:eastAsiaTheme="minorEastAsia" w:cs="Arial"/>
        </w:rPr>
        <w:instrText xml:space="preserve"> AUTONUM  </w:instrText>
      </w:r>
      <w:r w:rsidRPr="00F510AB">
        <w:rPr>
          <w:rFonts w:eastAsiaTheme="minorEastAsia" w:cs="Arial"/>
        </w:rPr>
        <w:fldChar w:fldCharType="end"/>
      </w:r>
      <w:r>
        <w:tab/>
        <w:t>La quatrième réunion du WG</w:t>
      </w:r>
      <w:r w:rsidR="00610422">
        <w:noBreakHyphen/>
      </w:r>
      <w:r>
        <w:t>SHF se tiendra sous une forme hybride, dans la soirée du 25 octobre 2023.</w:t>
      </w:r>
    </w:p>
    <w:p w14:paraId="50973F78" w14:textId="39F84374" w:rsidR="009F6E05" w:rsidRPr="009610CC" w:rsidRDefault="009F6E05" w:rsidP="001422F8">
      <w:pPr>
        <w:keepLines/>
        <w:rPr>
          <w:rFonts w:cs="Arial"/>
          <w:sz w:val="18"/>
        </w:rPr>
      </w:pPr>
    </w:p>
    <w:p w14:paraId="07329029" w14:textId="3555EC77" w:rsidR="00DF1D73" w:rsidRDefault="009F6E05" w:rsidP="001422F8">
      <w:pPr>
        <w:keepLines/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Les documents de la quatrième réunion du WG</w:t>
      </w:r>
      <w:r w:rsidR="00610422">
        <w:noBreakHyphen/>
      </w:r>
      <w:r>
        <w:t>SHF sont disponibles à l</w:t>
      </w:r>
      <w:r w:rsidR="00DF1D73">
        <w:t>’</w:t>
      </w:r>
      <w:r>
        <w:t>adresse suivante</w:t>
      </w:r>
      <w:r w:rsidR="00DF1D73">
        <w:t> :</w:t>
      </w:r>
      <w:r>
        <w:t xml:space="preserve"> </w:t>
      </w:r>
      <w:hyperlink r:id="rId10" w:history="1">
        <w:r>
          <w:rPr>
            <w:rStyle w:val="Hyperlink"/>
          </w:rPr>
          <w:t>https://www.upov.int/meetings/fr/details.jsp?meeting_id=77810</w:t>
        </w:r>
      </w:hyperlink>
    </w:p>
    <w:p w14:paraId="523BA63D" w14:textId="4C522A6E" w:rsidR="009F6E05" w:rsidRPr="009610CC" w:rsidRDefault="009F6E05" w:rsidP="001422F8">
      <w:pPr>
        <w:keepLines/>
        <w:rPr>
          <w:rFonts w:cs="Arial"/>
          <w:sz w:val="18"/>
        </w:rPr>
      </w:pPr>
    </w:p>
    <w:p w14:paraId="37C3719A" w14:textId="2E4110D6" w:rsidR="0040717F" w:rsidRPr="001422F8" w:rsidRDefault="0040717F" w:rsidP="001422F8">
      <w:pPr>
        <w:pStyle w:val="DecisionParagraphs"/>
        <w:keepNext/>
        <w:rPr>
          <w:rFonts w:cs="Arial"/>
        </w:rPr>
      </w:pPr>
      <w:r w:rsidRPr="00125F1C">
        <w:rPr>
          <w:rFonts w:cs="Arial"/>
        </w:rPr>
        <w:fldChar w:fldCharType="begin"/>
      </w:r>
      <w:r w:rsidRPr="00125F1C">
        <w:rPr>
          <w:rFonts w:cs="Arial"/>
        </w:rPr>
        <w:instrText xml:space="preserve"> AUTONUM  </w:instrText>
      </w:r>
      <w:r w:rsidRPr="00125F1C">
        <w:rPr>
          <w:rFonts w:cs="Arial"/>
        </w:rPr>
        <w:fldChar w:fldCharType="end"/>
      </w:r>
      <w:r>
        <w:tab/>
        <w:t>Le CAJ est invité à prendre note des faits nouveaux en rapport avec les orientations possibles concernant les petits exploitants agricoles en lien avec l</w:t>
      </w:r>
      <w:r w:rsidR="00DF1D73">
        <w:t>’</w:t>
      </w:r>
      <w:r>
        <w:t>utilisation à des fins privées et non</w:t>
      </w:r>
      <w:r w:rsidR="00610422">
        <w:t xml:space="preserve"> </w:t>
      </w:r>
      <w:r>
        <w:t>commerciales, dont il est rendu compte dans le présent document.</w:t>
      </w:r>
    </w:p>
    <w:p w14:paraId="0514002F" w14:textId="40BFEC8D" w:rsidR="0040717F" w:rsidRPr="00C52A37" w:rsidRDefault="009610CC" w:rsidP="00C52A3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2B591" wp14:editId="40B3FC51">
                <wp:simplePos x="0" y="0"/>
                <wp:positionH relativeFrom="column">
                  <wp:posOffset>4204624</wp:posOffset>
                </wp:positionH>
                <wp:positionV relativeFrom="paragraph">
                  <wp:posOffset>254653</wp:posOffset>
                </wp:positionV>
                <wp:extent cx="2009869" cy="28971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869" cy="289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FC1BC" w14:textId="6A01BBBF" w:rsidR="009610CC" w:rsidRPr="009610CC" w:rsidRDefault="009610CC" w:rsidP="009610CC">
                            <w:pPr>
                              <w:jc w:val="right"/>
                              <w:rPr>
                                <w:spacing w:val="-2"/>
                              </w:rPr>
                            </w:pPr>
                            <w:r>
                              <w:t>[L’annexe suit]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2B5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.05pt;margin-top:20.05pt;width:158.2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" filled="f" stroked="f" strokeweight=".5pt">
                <v:textbox>
                  <w:txbxContent>
                    <w:p w14:paraId="34AFC1BC" w14:textId="6A01BBBF" w:rsidR="009610CC" w:rsidRPr="009610CC" w:rsidRDefault="009610CC" w:rsidP="009610CC">
                      <w:pPr>
                        <w:jc w:val="right"/>
                        <w:rPr>
                          <w:spacing w:val="-2"/>
                        </w:rPr>
                      </w:pPr>
                      <w:r>
                        <w:t>[L’annexe suit]</w:t>
                      </w:r>
                    </w:p>
                  </w:txbxContent>
                </v:textbox>
              </v:shape>
            </w:pict>
          </mc:Fallback>
        </mc:AlternateContent>
      </w:r>
    </w:p>
    <w:p w14:paraId="3B964A00" w14:textId="7152D22E" w:rsidR="0040717F" w:rsidRDefault="0040717F" w:rsidP="0040717F">
      <w:pPr>
        <w:jc w:val="left"/>
        <w:rPr>
          <w:spacing w:val="-2"/>
        </w:rPr>
        <w:sectPr w:rsidR="0040717F" w:rsidSect="0004198B">
          <w:headerReference w:type="defaul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bookmarkStart w:id="7" w:name="_GoBack"/>
      <w:bookmarkEnd w:id="7"/>
    </w:p>
    <w:p w14:paraId="0FA1B09A" w14:textId="77777777" w:rsidR="0040717F" w:rsidRDefault="0040717F" w:rsidP="0040717F">
      <w:pPr>
        <w:jc w:val="center"/>
      </w:pPr>
    </w:p>
    <w:p w14:paraId="2984E4FC" w14:textId="77777777" w:rsidR="00DF1D73" w:rsidRDefault="0040717F" w:rsidP="0040717F">
      <w:pPr>
        <w:jc w:val="center"/>
      </w:pPr>
      <w:r>
        <w:t>MANDAT ET COMPOSITION DU GROUPE DE TRAVAIL SUR</w:t>
      </w:r>
    </w:p>
    <w:p w14:paraId="3EA5B815" w14:textId="5E098E5D" w:rsidR="0040717F" w:rsidRPr="005C6424" w:rsidRDefault="0040717F" w:rsidP="0040717F">
      <w:pPr>
        <w:jc w:val="center"/>
        <w:rPr>
          <w:rFonts w:cs="Arial"/>
        </w:rPr>
      </w:pPr>
      <w:r>
        <w:t xml:space="preserve">LES ORIENTATIONS CONCERNANT LES PETITS EXPLOITANTS AGRICOLES </w:t>
      </w:r>
      <w:r>
        <w:br/>
        <w:t>EN LIEN AVEC L</w:t>
      </w:r>
      <w:r w:rsidR="00DF1D73">
        <w:t>’</w:t>
      </w:r>
      <w:r>
        <w:t>UTILISATION À DES FINS PRIVÉES ET NON COMMERCIALES</w:t>
      </w:r>
    </w:p>
    <w:p w14:paraId="7693E062" w14:textId="64BC5BE9" w:rsidR="0040717F" w:rsidRPr="005C6424" w:rsidRDefault="0040717F" w:rsidP="0040717F">
      <w:pPr>
        <w:jc w:val="center"/>
        <w:rPr>
          <w:rFonts w:cs="Arial"/>
        </w:rPr>
      </w:pPr>
      <w:r>
        <w:t>(WG</w:t>
      </w:r>
      <w:r w:rsidR="00610422">
        <w:noBreakHyphen/>
      </w:r>
      <w:r>
        <w:t>SHF)</w:t>
      </w:r>
    </w:p>
    <w:p w14:paraId="2213F8E1" w14:textId="77777777" w:rsidR="0040717F" w:rsidRPr="005C6424" w:rsidRDefault="0040717F" w:rsidP="0040717F">
      <w:pPr>
        <w:jc w:val="center"/>
        <w:rPr>
          <w:rFonts w:cs="Arial"/>
        </w:rPr>
      </w:pPr>
    </w:p>
    <w:p w14:paraId="733F8B27" w14:textId="77777777" w:rsidR="0040717F" w:rsidRPr="005C6424" w:rsidRDefault="0040717F" w:rsidP="0040717F">
      <w:pPr>
        <w:jc w:val="center"/>
      </w:pPr>
    </w:p>
    <w:p w14:paraId="6BCC9D5D" w14:textId="77777777" w:rsidR="00610422" w:rsidRDefault="0040717F" w:rsidP="0040717F">
      <w:r>
        <w:t>À sa quatre</w:t>
      </w:r>
      <w:r w:rsidR="00610422">
        <w:noBreakHyphen/>
      </w:r>
      <w:r>
        <w:t>vingt</w:t>
      </w:r>
      <w:r w:rsidR="00610422">
        <w:noBreakHyphen/>
      </w:r>
      <w:r>
        <w:t>dix</w:t>
      </w:r>
      <w:r w:rsidR="00610422">
        <w:noBreakHyphen/>
      </w:r>
      <w:r>
        <w:t>huit</w:t>
      </w:r>
      <w:r w:rsidR="00DF1D73">
        <w:t>ième session</w:t>
      </w:r>
      <w:r>
        <w:t xml:space="preserve"> tenue par voie électronique le 28 octobre 2021, le Comité consultatif a décidé de créer un groupe de travail chargé d</w:t>
      </w:r>
      <w:r w:rsidR="00DF1D73">
        <w:t>’</w:t>
      </w:r>
      <w:r>
        <w:t>élaborer des orientations concernant les petits exploitants agricoles en lien avec l</w:t>
      </w:r>
      <w:r w:rsidR="00DF1D73">
        <w:t>’</w:t>
      </w:r>
      <w:r>
        <w:t>utilisation à des fins privées et non commerciales (WG</w:t>
      </w:r>
      <w:r w:rsidR="00610422">
        <w:noBreakHyphen/>
      </w:r>
      <w:r>
        <w:t>SHF) et il est convenu que le mandat du WG</w:t>
      </w:r>
      <w:r w:rsidR="00610422">
        <w:noBreakHyphen/>
      </w:r>
      <w:r>
        <w:t>SHF soit approuvé par le Comité consultatif par correspondance (voir le paragraphe 19 du document </w:t>
      </w:r>
      <w:hyperlink r:id="rId12" w:history="1">
        <w:r>
          <w:rPr>
            <w:rStyle w:val="Hyperlink"/>
          </w:rPr>
          <w:t>C/55/18</w:t>
        </w:r>
      </w:hyperlink>
      <w:r w:rsidR="00610422">
        <w:t xml:space="preserve"> “Compte rendu”).</w:t>
      </w:r>
    </w:p>
    <w:p w14:paraId="67CA58F1" w14:textId="2D45DA18" w:rsidR="0040717F" w:rsidRPr="005C6424" w:rsidRDefault="0040717F" w:rsidP="0040717F">
      <w:pPr>
        <w:rPr>
          <w:snapToGrid w:val="0"/>
          <w:spacing w:val="-2"/>
        </w:rPr>
      </w:pPr>
      <w:r>
        <w:t>Le Comité consultatif</w:t>
      </w:r>
      <w:r>
        <w:rPr>
          <w:color w:val="000000"/>
        </w:rPr>
        <w:t xml:space="preserve"> </w:t>
      </w:r>
      <w:r>
        <w:t xml:space="preserve">a </w:t>
      </w:r>
      <w:r>
        <w:rPr>
          <w:snapToGrid w:val="0"/>
        </w:rPr>
        <w:t xml:space="preserve">approuvé </w:t>
      </w:r>
      <w:r>
        <w:t xml:space="preserve">par correspondance, le 19 décembre 2021, </w:t>
      </w:r>
      <w:r>
        <w:rPr>
          <w:snapToGrid w:val="0"/>
        </w:rPr>
        <w:t>le mandat du WG</w:t>
      </w:r>
      <w:r w:rsidR="00610422">
        <w:rPr>
          <w:snapToGrid w:val="0"/>
        </w:rPr>
        <w:noBreakHyphen/>
      </w:r>
      <w:r>
        <w:rPr>
          <w:snapToGrid w:val="0"/>
        </w:rPr>
        <w:t xml:space="preserve">SHF </w:t>
      </w:r>
      <w:r>
        <w:t>(voir ci</w:t>
      </w:r>
      <w:r w:rsidR="00610422">
        <w:noBreakHyphen/>
      </w:r>
      <w:r>
        <w:t>dessous le mandat).</w:t>
      </w:r>
    </w:p>
    <w:p w14:paraId="58C30677" w14:textId="77777777" w:rsidR="0040717F" w:rsidRPr="005C6424" w:rsidRDefault="0040717F" w:rsidP="0040717F">
      <w:pPr>
        <w:rPr>
          <w:snapToGrid w:val="0"/>
          <w:spacing w:val="-2"/>
        </w:rPr>
      </w:pPr>
    </w:p>
    <w:p w14:paraId="4CDBF92B" w14:textId="47483316" w:rsidR="0040717F" w:rsidRDefault="0040717F" w:rsidP="0040717F">
      <w:pPr>
        <w:rPr>
          <w:rFonts w:cs="Arial"/>
        </w:rPr>
      </w:pPr>
      <w:r>
        <w:t>À sa quatre</w:t>
      </w:r>
      <w:r w:rsidR="00610422">
        <w:noBreakHyphen/>
      </w:r>
      <w:r>
        <w:t>vingt</w:t>
      </w:r>
      <w:r w:rsidR="00610422">
        <w:noBreakHyphen/>
      </w:r>
      <w:r>
        <w:t>dix</w:t>
      </w:r>
      <w:r w:rsidR="00610422">
        <w:noBreakHyphen/>
      </w:r>
      <w:r>
        <w:t>huit</w:t>
      </w:r>
      <w:r w:rsidR="00DF1D73">
        <w:t>ième session</w:t>
      </w:r>
      <w:r>
        <w:t>, le Comité consultatif est convenu que le WG</w:t>
      </w:r>
      <w:r w:rsidR="00610422">
        <w:noBreakHyphen/>
      </w:r>
      <w:r>
        <w:t>SHF est composé des membres de l</w:t>
      </w:r>
      <w:r w:rsidR="00DF1D73">
        <w:t>’</w:t>
      </w:r>
      <w:r>
        <w:t>Union et des observateurs auprès du Conseil qui répondent à une circulaire en exprimant leur intérêt à faire partie du groupe de travail (voir le paragraphe 19 du document </w:t>
      </w:r>
      <w:hyperlink r:id="rId13" w:history="1">
        <w:r>
          <w:rPr>
            <w:rStyle w:val="Hyperlink"/>
          </w:rPr>
          <w:t>C/55/18</w:t>
        </w:r>
      </w:hyperlink>
      <w:r>
        <w:t xml:space="preserve"> “Compte rendu”).  La circulaire E</w:t>
      </w:r>
      <w:r w:rsidR="00610422">
        <w:noBreakHyphen/>
      </w:r>
      <w:r>
        <w:t>21/230 du 19 novembre 2021 invitait les membres de l</w:t>
      </w:r>
      <w:r w:rsidR="00DF1D73">
        <w:t>’</w:t>
      </w:r>
      <w:r>
        <w:t>Union et les observateurs auprès du Conseil à faire part de leur souhait d</w:t>
      </w:r>
      <w:r w:rsidR="00DF1D73">
        <w:t>’</w:t>
      </w:r>
      <w:r>
        <w:t>être membres du WG</w:t>
      </w:r>
      <w:r w:rsidR="00610422">
        <w:noBreakHyphen/>
      </w:r>
      <w:r>
        <w:t>SHF avant le 19 décembre 2021 (voir ci</w:t>
      </w:r>
      <w:r w:rsidR="00610422">
        <w:noBreakHyphen/>
      </w:r>
      <w:r>
        <w:t>dessous “Composition”).</w:t>
      </w:r>
    </w:p>
    <w:p w14:paraId="2DF2BCB7" w14:textId="77777777" w:rsidR="0040717F" w:rsidRPr="005C6424" w:rsidRDefault="0040717F" w:rsidP="0040717F">
      <w:pPr>
        <w:rPr>
          <w:szCs w:val="18"/>
        </w:rPr>
      </w:pPr>
    </w:p>
    <w:p w14:paraId="543E8701" w14:textId="77777777" w:rsidR="0040717F" w:rsidRPr="005C6424" w:rsidRDefault="0040717F" w:rsidP="0040717F">
      <w:pPr>
        <w:rPr>
          <w:szCs w:val="18"/>
        </w:rPr>
      </w:pPr>
    </w:p>
    <w:p w14:paraId="7DCE18FC" w14:textId="26CE2557" w:rsidR="0040717F" w:rsidRPr="005C6424" w:rsidRDefault="0040717F" w:rsidP="0040717F">
      <w:pPr>
        <w:jc w:val="center"/>
        <w:rPr>
          <w:u w:val="single"/>
        </w:rPr>
      </w:pPr>
      <w:r>
        <w:rPr>
          <w:u w:val="single"/>
        </w:rPr>
        <w:t>MANDAT ET COMPOSITION DU WG</w:t>
      </w:r>
      <w:r w:rsidR="00610422">
        <w:rPr>
          <w:u w:val="single"/>
        </w:rPr>
        <w:noBreakHyphen/>
      </w:r>
      <w:r>
        <w:rPr>
          <w:u w:val="single"/>
        </w:rPr>
        <w:t>SHF</w:t>
      </w:r>
    </w:p>
    <w:p w14:paraId="66A183C4" w14:textId="77777777" w:rsidR="0040717F" w:rsidRPr="005C6424" w:rsidRDefault="0040717F" w:rsidP="0040717F">
      <w:pPr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i/>
        </w:rPr>
      </w:pPr>
    </w:p>
    <w:p w14:paraId="5D48D8BB" w14:textId="77777777" w:rsidR="0040717F" w:rsidRPr="005C6424" w:rsidRDefault="0040717F" w:rsidP="0040717F">
      <w:pPr>
        <w:rPr>
          <w:szCs w:val="18"/>
        </w:rPr>
      </w:pPr>
    </w:p>
    <w:p w14:paraId="4FBFE86C" w14:textId="35519343" w:rsidR="00DF1D73" w:rsidRDefault="0040717F" w:rsidP="0040717F">
      <w:r>
        <w:t>OBJECTIF</w:t>
      </w:r>
      <w:r w:rsidR="00DF1D73">
        <w:t> :</w:t>
      </w:r>
    </w:p>
    <w:p w14:paraId="3CB4FFD4" w14:textId="6A5165EB" w:rsidR="0040717F" w:rsidRPr="00CD7E48" w:rsidRDefault="0040717F" w:rsidP="0040717F">
      <w:pPr>
        <w:contextualSpacing/>
        <w:rPr>
          <w:rFonts w:cs="Arial"/>
          <w:szCs w:val="18"/>
        </w:rPr>
      </w:pPr>
    </w:p>
    <w:p w14:paraId="06C73B57" w14:textId="53678E15" w:rsidR="0040717F" w:rsidRPr="00CD7E48" w:rsidRDefault="0040717F" w:rsidP="0040717F">
      <w:pPr>
        <w:contextualSpacing/>
        <w:rPr>
          <w:rFonts w:cs="Arial"/>
          <w:szCs w:val="18"/>
        </w:rPr>
      </w:pPr>
      <w:r>
        <w:t>Le WG</w:t>
      </w:r>
      <w:r w:rsidR="00610422">
        <w:noBreakHyphen/>
      </w:r>
      <w:r>
        <w:t>SHF a pour objectif d</w:t>
      </w:r>
      <w:r w:rsidR="00DF1D73">
        <w:t>’</w:t>
      </w:r>
      <w:r>
        <w:t>élaborer des orientations concernant les petits exploitants agricoles en lien avec l</w:t>
      </w:r>
      <w:r w:rsidR="00DF1D73">
        <w:t>’</w:t>
      </w:r>
      <w:r>
        <w:t>utilisation à des fins privées et non commerciales, qui serviraient de base à une révision des “Notes explicatives sur les exceptions au droit d</w:t>
      </w:r>
      <w:r w:rsidR="00DF1D73">
        <w:t>’</w:t>
      </w:r>
      <w:r>
        <w:t>obtenteur selon l</w:t>
      </w:r>
      <w:r w:rsidR="00DF1D73">
        <w:t>’</w:t>
      </w:r>
      <w:r>
        <w:t xml:space="preserve">Acte </w:t>
      </w:r>
      <w:r w:rsidR="00DF1D73">
        <w:t>de 1991</w:t>
      </w:r>
      <w:r>
        <w:t xml:space="preserve"> de la </w:t>
      </w:r>
      <w:r w:rsidR="00DF1D73">
        <w:t>Convention UPOV</w:t>
      </w:r>
      <w:r>
        <w:t>” (</w:t>
      </w:r>
      <w:r w:rsidR="00DF1D73">
        <w:t>document UP</w:t>
      </w:r>
      <w:r>
        <w:t>OV/EXN/EXC) et à une version révisée des questions</w:t>
      </w:r>
      <w:r w:rsidR="00610422">
        <w:noBreakHyphen/>
      </w:r>
      <w:r>
        <w:t>réponses sur les exceptions au droit d</w:t>
      </w:r>
      <w:r w:rsidR="00DF1D73">
        <w:t>’</w:t>
      </w:r>
      <w:r>
        <w:t>obtenteur.</w:t>
      </w:r>
    </w:p>
    <w:p w14:paraId="243C2B7C" w14:textId="77777777" w:rsidR="0040717F" w:rsidRPr="00CD7E48" w:rsidRDefault="0040717F" w:rsidP="0040717F">
      <w:pPr>
        <w:rPr>
          <w:sz w:val="22"/>
        </w:rPr>
      </w:pPr>
    </w:p>
    <w:p w14:paraId="335CF456" w14:textId="77777777" w:rsidR="0040717F" w:rsidRPr="00CD7E48" w:rsidRDefault="0040717F" w:rsidP="0040717F">
      <w:pPr>
        <w:rPr>
          <w:sz w:val="22"/>
        </w:rPr>
      </w:pPr>
    </w:p>
    <w:p w14:paraId="10165B3D" w14:textId="18E49703" w:rsidR="0040717F" w:rsidRPr="00CD7E48" w:rsidRDefault="0040717F" w:rsidP="0040717F">
      <w:pPr>
        <w:rPr>
          <w:szCs w:val="18"/>
        </w:rPr>
      </w:pPr>
      <w:r>
        <w:t>COMPOSITION</w:t>
      </w:r>
      <w:r w:rsidR="00DF1D73">
        <w:t> :</w:t>
      </w:r>
    </w:p>
    <w:p w14:paraId="44B6FE63" w14:textId="77777777" w:rsidR="0040717F" w:rsidRPr="00CD7E48" w:rsidRDefault="0040717F" w:rsidP="0040717F">
      <w:pPr>
        <w:rPr>
          <w:rFonts w:cs="Arial"/>
          <w:szCs w:val="18"/>
        </w:rPr>
      </w:pPr>
    </w:p>
    <w:p w14:paraId="3B4A03E4" w14:textId="26D34F85" w:rsidR="0040717F" w:rsidRPr="00CD7E48" w:rsidRDefault="0040717F" w:rsidP="0040717F">
      <w:pPr>
        <w:ind w:firstLine="567"/>
        <w:rPr>
          <w:rFonts w:cs="Arial"/>
          <w:color w:val="000000"/>
          <w:szCs w:val="18"/>
        </w:rPr>
      </w:pPr>
      <w:r>
        <w:t>a)</w:t>
      </w:r>
      <w:r>
        <w:tab/>
        <w:t>les membres de l</w:t>
      </w:r>
      <w:r w:rsidR="00DF1D73">
        <w:t>’</w:t>
      </w:r>
      <w:r>
        <w:t>Union et les observateurs auprès du Conseil ayant exprimé le souhait de faire partie du WG</w:t>
      </w:r>
      <w:r w:rsidR="00610422">
        <w:noBreakHyphen/>
      </w:r>
      <w:r>
        <w:t>SHF en réponse à la circulaire E</w:t>
      </w:r>
      <w:r w:rsidR="00610422">
        <w:noBreakHyphen/>
      </w:r>
      <w:r>
        <w:t>21/230 du 19 novembre 2021 sont les suivants</w:t>
      </w:r>
      <w:r w:rsidR="00DF1D73">
        <w:t> :</w:t>
      </w:r>
    </w:p>
    <w:p w14:paraId="21841932" w14:textId="77777777" w:rsidR="0040717F" w:rsidRPr="005C6424" w:rsidRDefault="0040717F" w:rsidP="0040717F">
      <w:pPr>
        <w:rPr>
          <w:rFonts w:cs="Arial"/>
          <w:szCs w:val="18"/>
        </w:rPr>
      </w:pPr>
    </w:p>
    <w:p w14:paraId="63C7650F" w14:textId="50D108FE" w:rsidR="0040717F" w:rsidRPr="00FE1081" w:rsidRDefault="0040717F" w:rsidP="0040717F">
      <w:pPr>
        <w:ind w:left="540"/>
        <w:rPr>
          <w:spacing w:val="-2"/>
        </w:rPr>
      </w:pPr>
      <w:r>
        <w:t>Argentine, Autriche, Belgique, Canada, Chili, Colombie, États</w:t>
      </w:r>
      <w:r w:rsidR="00610422">
        <w:noBreakHyphen/>
      </w:r>
      <w:r>
        <w:t>Unis d</w:t>
      </w:r>
      <w:r w:rsidR="00DF1D73">
        <w:t>’</w:t>
      </w:r>
      <w:r>
        <w:t>Amérique, France, Ghana, Japon, Mexique, Norvège, Pays</w:t>
      </w:r>
      <w:r w:rsidR="00610422">
        <w:noBreakHyphen/>
      </w:r>
      <w:r>
        <w:t>Bas, République tchèque, Royaume</w:t>
      </w:r>
      <w:r w:rsidR="00610422">
        <w:noBreakHyphen/>
      </w:r>
      <w:r>
        <w:t>Uni, Suisse, Tunisie, Union européenne, Zimbabwe, Centre</w:t>
      </w:r>
      <w:r w:rsidR="00610422">
        <w:noBreakHyphen/>
      </w:r>
      <w:r>
        <w:t xml:space="preserve">Sud, Association africaine du commerce des semences (AFSTA), Association Asie Pacifique pour les semences (APSA), Association for Plant </w:t>
      </w:r>
      <w:proofErr w:type="spellStart"/>
      <w:r>
        <w:t>Breeding</w:t>
      </w:r>
      <w:proofErr w:type="spellEnd"/>
      <w:r>
        <w:t xml:space="preserve"> for the </w:t>
      </w:r>
      <w:proofErr w:type="spellStart"/>
      <w:r>
        <w:t>Benefit</w:t>
      </w:r>
      <w:proofErr w:type="spellEnd"/>
      <w:r>
        <w:t xml:space="preserve"> of Society (APBREBES), Communauté internationale des obtenteurs de plantes horticoles de reproduction asexuée (CIOPORA), Coordination européenne Via </w:t>
      </w:r>
      <w:proofErr w:type="spellStart"/>
      <w:r>
        <w:t>Campesina</w:t>
      </w:r>
      <w:proofErr w:type="spellEnd"/>
      <w:r>
        <w:t xml:space="preserve"> (ECVC), </w:t>
      </w:r>
      <w:proofErr w:type="spellStart"/>
      <w:r>
        <w:t>CropLife</w:t>
      </w:r>
      <w:proofErr w:type="spellEnd"/>
      <w:r>
        <w:t xml:space="preserve"> International, </w:t>
      </w:r>
      <w:proofErr w:type="spellStart"/>
      <w:r>
        <w:t>Euroseeds</w:t>
      </w:r>
      <w:proofErr w:type="spellEnd"/>
      <w:r>
        <w:t xml:space="preserve">, International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 (ISF) et </w:t>
      </w:r>
      <w:proofErr w:type="spellStart"/>
      <w:r>
        <w:t>Seed</w:t>
      </w:r>
      <w:proofErr w:type="spellEnd"/>
      <w:r>
        <w:t xml:space="preserve"> Association of the </w:t>
      </w:r>
      <w:proofErr w:type="spellStart"/>
      <w:r>
        <w:t>Americas</w:t>
      </w:r>
      <w:proofErr w:type="spellEnd"/>
      <w:r>
        <w:t> (SAA).</w:t>
      </w:r>
    </w:p>
    <w:p w14:paraId="737CDEBE" w14:textId="77777777" w:rsidR="0040717F" w:rsidRPr="00CD7E48" w:rsidRDefault="0040717F" w:rsidP="0040717F">
      <w:pPr>
        <w:rPr>
          <w:rFonts w:cs="Arial"/>
          <w:szCs w:val="18"/>
        </w:rPr>
      </w:pPr>
    </w:p>
    <w:p w14:paraId="187A0740" w14:textId="4C72BBC4" w:rsidR="0040717F" w:rsidRPr="00CD7E48" w:rsidRDefault="0040717F" w:rsidP="0040717F">
      <w:pPr>
        <w:ind w:firstLine="567"/>
        <w:rPr>
          <w:rFonts w:cs="Arial"/>
          <w:szCs w:val="18"/>
        </w:rPr>
      </w:pPr>
      <w:r>
        <w:t>b)</w:t>
      </w:r>
      <w:r>
        <w:tab/>
        <w:t>les autres membres de l</w:t>
      </w:r>
      <w:r w:rsidR="00DF1D73">
        <w:t>’</w:t>
      </w:r>
      <w:r>
        <w:t>Union sont libres de participer à toute réunion du WG</w:t>
      </w:r>
      <w:r w:rsidR="00610422">
        <w:noBreakHyphen/>
      </w:r>
      <w:r>
        <w:t>SHF;</w:t>
      </w:r>
    </w:p>
    <w:p w14:paraId="1C74EF34" w14:textId="77777777" w:rsidR="0040717F" w:rsidRPr="00CD7E48" w:rsidRDefault="0040717F" w:rsidP="0040717F">
      <w:pPr>
        <w:rPr>
          <w:rFonts w:cs="Arial"/>
          <w:szCs w:val="18"/>
        </w:rPr>
      </w:pPr>
    </w:p>
    <w:p w14:paraId="4D096645" w14:textId="1A5493EC" w:rsidR="0040717F" w:rsidRPr="00CD7E48" w:rsidRDefault="0040717F" w:rsidP="0040717F">
      <w:pPr>
        <w:keepLines/>
        <w:ind w:firstLine="567"/>
        <w:rPr>
          <w:rFonts w:cs="Arial"/>
          <w:szCs w:val="18"/>
        </w:rPr>
      </w:pPr>
      <w:r>
        <w:t>c)</w:t>
      </w:r>
      <w:r>
        <w:tab/>
        <w:t>Les membres du projet “Options d</w:t>
      </w:r>
      <w:r w:rsidR="00DF1D73">
        <w:t>’</w:t>
      </w:r>
      <w:r>
        <w:t>interprétation de la notion d</w:t>
      </w:r>
      <w:r w:rsidR="00DF1D73">
        <w:t>’</w:t>
      </w:r>
      <w:r>
        <w:t>utilisation dans un cadre privé à des fins non commerciales, visée à l</w:t>
      </w:r>
      <w:r w:rsidR="00DF1D73">
        <w:t>’</w:t>
      </w:r>
      <w:r w:rsidR="00610422">
        <w:t>article </w:t>
      </w:r>
      <w:proofErr w:type="gramStart"/>
      <w:r w:rsidR="00610422">
        <w:t>15.1)</w:t>
      </w:r>
      <w:r>
        <w:t>i</w:t>
      </w:r>
      <w:proofErr w:type="gramEnd"/>
      <w:r>
        <w:t xml:space="preserve">) de la </w:t>
      </w:r>
      <w:r w:rsidR="00DF1D73">
        <w:t>Convention UPOV</w:t>
      </w:r>
      <w:r>
        <w:t>” (</w:t>
      </w:r>
      <w:proofErr w:type="spellStart"/>
      <w:r>
        <w:t>Euroseeds</w:t>
      </w:r>
      <w:proofErr w:type="spellEnd"/>
      <w:r>
        <w:t xml:space="preserve">, </w:t>
      </w:r>
      <w:proofErr w:type="spellStart"/>
      <w:r>
        <w:t>Plantum</w:t>
      </w:r>
      <w:proofErr w:type="spellEnd"/>
      <w:r>
        <w:t xml:space="preserve"> et Oxfam</w:t>
      </w:r>
      <w:r w:rsidR="00DF1D73">
        <w:t> :</w:t>
      </w:r>
      <w:r>
        <w:t xml:space="preserve"> “équipe de projet”) seront invités à participer à la première réunion du WG</w:t>
      </w:r>
      <w:r w:rsidR="00610422">
        <w:noBreakHyphen/>
        <w:t>SHF.  De</w:t>
      </w:r>
      <w:r>
        <w:t>s invitations spéciales à d</w:t>
      </w:r>
      <w:r w:rsidR="00DF1D73">
        <w:t>’</w:t>
      </w:r>
      <w:r>
        <w:t>autres réunions du WG</w:t>
      </w:r>
      <w:r w:rsidR="00610422">
        <w:noBreakHyphen/>
      </w:r>
      <w:r>
        <w:t>SHF pourraient être envoyées à l</w:t>
      </w:r>
      <w:r w:rsidR="00DF1D73">
        <w:t>’</w:t>
      </w:r>
      <w:r>
        <w:t>équipe de projet, si le WG</w:t>
      </w:r>
      <w:r w:rsidR="00610422">
        <w:noBreakHyphen/>
      </w:r>
      <w:r>
        <w:t xml:space="preserve">SHF juge cette démarche </w:t>
      </w:r>
      <w:proofErr w:type="gramStart"/>
      <w:r>
        <w:t xml:space="preserve">appropriée; </w:t>
      </w:r>
      <w:r w:rsidR="00FE33C2">
        <w:t xml:space="preserve"> </w:t>
      </w:r>
      <w:r>
        <w:t>et</w:t>
      </w:r>
      <w:proofErr w:type="gramEnd"/>
    </w:p>
    <w:p w14:paraId="7CA550BC" w14:textId="77777777" w:rsidR="0040717F" w:rsidRPr="00CD7E48" w:rsidRDefault="0040717F" w:rsidP="0040717F">
      <w:pPr>
        <w:rPr>
          <w:rFonts w:cs="Arial"/>
          <w:szCs w:val="18"/>
        </w:rPr>
      </w:pPr>
    </w:p>
    <w:p w14:paraId="3DC5120C" w14:textId="70B4CBA9" w:rsidR="00DF1D73" w:rsidRDefault="0040717F" w:rsidP="00610422">
      <w:pPr>
        <w:ind w:left="567"/>
      </w:pPr>
      <w:r>
        <w:t>d)</w:t>
      </w:r>
      <w:r>
        <w:tab/>
        <w:t>les réunions sont présidées par le président du Conseil.</w:t>
      </w:r>
    </w:p>
    <w:p w14:paraId="2F92AB02" w14:textId="7674A61C" w:rsidR="0040717F" w:rsidRPr="00CD7E48" w:rsidRDefault="0040717F" w:rsidP="0040717F">
      <w:pPr>
        <w:keepNext/>
        <w:keepLines/>
        <w:tabs>
          <w:tab w:val="center" w:pos="4819"/>
        </w:tabs>
        <w:spacing w:before="600"/>
        <w:rPr>
          <w:szCs w:val="18"/>
        </w:rPr>
      </w:pPr>
      <w:r>
        <w:lastRenderedPageBreak/>
        <w:t>MODUS OPERANDI</w:t>
      </w:r>
      <w:r w:rsidR="00DF1D73">
        <w:t> :</w:t>
      </w:r>
      <w:r>
        <w:tab/>
      </w:r>
    </w:p>
    <w:p w14:paraId="28B74677" w14:textId="77777777" w:rsidR="0040717F" w:rsidRPr="00CD7E48" w:rsidRDefault="0040717F" w:rsidP="0040717F">
      <w:pPr>
        <w:keepNext/>
        <w:keepLines/>
        <w:rPr>
          <w:rFonts w:cs="Arial"/>
          <w:szCs w:val="18"/>
          <w:u w:val="single"/>
        </w:rPr>
      </w:pPr>
    </w:p>
    <w:p w14:paraId="2A56DB83" w14:textId="6991EF2E" w:rsidR="00DF1D73" w:rsidRDefault="0040717F" w:rsidP="0040717F">
      <w:pPr>
        <w:keepNext/>
        <w:keepLines/>
        <w:numPr>
          <w:ilvl w:val="0"/>
          <w:numId w:val="1"/>
        </w:numPr>
        <w:ind w:left="0" w:firstLine="540"/>
        <w:contextualSpacing/>
      </w:pPr>
      <w:proofErr w:type="gramStart"/>
      <w:r>
        <w:t>l</w:t>
      </w:r>
      <w:r w:rsidR="00DF1D73">
        <w:t>’</w:t>
      </w:r>
      <w:r>
        <w:t>analyse</w:t>
      </w:r>
      <w:proofErr w:type="gramEnd"/>
      <w:r>
        <w:t xml:space="preserve"> des contributions figurant dans le compendium avec les réponses à la circulaire E</w:t>
      </w:r>
      <w:r w:rsidR="00610422">
        <w:noBreakHyphen/>
      </w:r>
      <w:r>
        <w:t>20/246 de l</w:t>
      </w:r>
      <w:r w:rsidR="00DF1D73">
        <w:t>’</w:t>
      </w:r>
      <w:r>
        <w:t>UPOV et un rapport contenant des propositions établi par l</w:t>
      </w:r>
      <w:r w:rsidR="00DF1D73">
        <w:t>’</w:t>
      </w:r>
      <w:r>
        <w:t>équipe de projet, en collaboration avec le Bureau de l</w:t>
      </w:r>
      <w:r w:rsidR="00DF1D73">
        <w:t>’</w:t>
      </w:r>
      <w:r>
        <w:t>Union, serviront de base initiale aux discussions sur l</w:t>
      </w:r>
      <w:r w:rsidR="00DF1D73">
        <w:t>’</w:t>
      </w:r>
      <w:r>
        <w:t>élaboration d</w:t>
      </w:r>
      <w:r w:rsidR="00DF1D73">
        <w:t>’</w:t>
      </w:r>
      <w:r>
        <w:t>orientations concernant les petits exploitants agricoles en lien avec l</w:t>
      </w:r>
      <w:r w:rsidR="00DF1D73">
        <w:t>’</w:t>
      </w:r>
      <w:r>
        <w:t>utilisation à des fins privées et non commerciales;</w:t>
      </w:r>
    </w:p>
    <w:p w14:paraId="03922F6A" w14:textId="10446156" w:rsidR="0040717F" w:rsidRPr="00CD7E48" w:rsidRDefault="0040717F" w:rsidP="0040717F">
      <w:pPr>
        <w:keepNext/>
        <w:keepLines/>
        <w:ind w:firstLine="540"/>
        <w:rPr>
          <w:rFonts w:cs="Arial"/>
          <w:szCs w:val="18"/>
          <w:u w:val="single"/>
        </w:rPr>
      </w:pPr>
    </w:p>
    <w:p w14:paraId="1A31A1DE" w14:textId="7ED27DE5" w:rsidR="0040717F" w:rsidRPr="00CD7E48" w:rsidRDefault="0040717F" w:rsidP="0040717F">
      <w:pPr>
        <w:numPr>
          <w:ilvl w:val="0"/>
          <w:numId w:val="1"/>
        </w:numPr>
        <w:tabs>
          <w:tab w:val="left" w:pos="1134"/>
        </w:tabs>
        <w:ind w:left="0" w:firstLine="540"/>
        <w:contextualSpacing/>
        <w:rPr>
          <w:rFonts w:cs="Arial"/>
          <w:szCs w:val="18"/>
        </w:rPr>
      </w:pPr>
      <w:proofErr w:type="gramStart"/>
      <w:r>
        <w:t>le</w:t>
      </w:r>
      <w:proofErr w:type="gramEnd"/>
      <w:r>
        <w:t> WG</w:t>
      </w:r>
      <w:r w:rsidR="00610422">
        <w:noBreakHyphen/>
      </w:r>
      <w:r>
        <w:t>SHF se réunira selon une périodicité lui permettant de remplir son mandat, par des moyens physiques ou virtuels, tel que convenu par le WG</w:t>
      </w:r>
      <w:r w:rsidR="00610422">
        <w:noBreakHyphen/>
      </w:r>
      <w:r>
        <w:t>SHF;</w:t>
      </w:r>
    </w:p>
    <w:p w14:paraId="7D1B8980" w14:textId="77777777" w:rsidR="0040717F" w:rsidRPr="00CD7E48" w:rsidRDefault="0040717F" w:rsidP="0040717F">
      <w:pPr>
        <w:contextualSpacing/>
        <w:rPr>
          <w:rFonts w:cs="Arial"/>
          <w:szCs w:val="18"/>
          <w:u w:val="single"/>
        </w:rPr>
      </w:pPr>
    </w:p>
    <w:p w14:paraId="2476FB1F" w14:textId="67B2E686" w:rsidR="0040717F" w:rsidRPr="00CD7E48" w:rsidRDefault="0040717F" w:rsidP="0040717F">
      <w:pPr>
        <w:numPr>
          <w:ilvl w:val="0"/>
          <w:numId w:val="1"/>
        </w:numPr>
        <w:tabs>
          <w:tab w:val="left" w:pos="1134"/>
        </w:tabs>
        <w:ind w:left="0" w:firstLine="540"/>
        <w:contextualSpacing/>
        <w:rPr>
          <w:rFonts w:cs="Arial"/>
          <w:szCs w:val="18"/>
        </w:rPr>
      </w:pPr>
      <w:proofErr w:type="gramStart"/>
      <w:r>
        <w:t>le</w:t>
      </w:r>
      <w:proofErr w:type="gramEnd"/>
      <w:r>
        <w:t> WG</w:t>
      </w:r>
      <w:r w:rsidR="00610422">
        <w:noBreakHyphen/>
      </w:r>
      <w:r>
        <w:t>SHF fournira des orientations pour la rédaction d</w:t>
      </w:r>
      <w:r w:rsidR="00DF1D73">
        <w:t>’</w:t>
      </w:r>
      <w:r>
        <w:t xml:space="preserve">une version révisée du </w:t>
      </w:r>
      <w:r w:rsidR="00DF1D73">
        <w:t>document UP</w:t>
      </w:r>
      <w:r>
        <w:t>OV/EXN/EXC, à élaborer par le Comité administratif et juridique, ainsi que d</w:t>
      </w:r>
      <w:r w:rsidR="00DF1D73">
        <w:t>’</w:t>
      </w:r>
      <w:r>
        <w:t>une version révisée des questions</w:t>
      </w:r>
      <w:r w:rsidR="00610422">
        <w:noBreakHyphen/>
      </w:r>
      <w:r>
        <w:t>réponses sur les exceptions au droit d</w:t>
      </w:r>
      <w:r w:rsidR="00DF1D73">
        <w:t>’</w:t>
      </w:r>
      <w:r>
        <w:t>obtenteur, à élaborer par le Bureau de l</w:t>
      </w:r>
      <w:r w:rsidR="00DF1D73">
        <w:t>’</w:t>
      </w:r>
      <w:r>
        <w:t>Union;</w:t>
      </w:r>
    </w:p>
    <w:p w14:paraId="038CA56A" w14:textId="77777777" w:rsidR="0040717F" w:rsidRPr="00CD7E48" w:rsidRDefault="0040717F" w:rsidP="0040717F">
      <w:pPr>
        <w:tabs>
          <w:tab w:val="left" w:pos="1134"/>
        </w:tabs>
        <w:ind w:firstLine="540"/>
        <w:rPr>
          <w:rFonts w:cs="Arial"/>
          <w:szCs w:val="18"/>
          <w:u w:val="single"/>
        </w:rPr>
      </w:pPr>
    </w:p>
    <w:p w14:paraId="45B27C1E" w14:textId="736203F8" w:rsidR="0040717F" w:rsidRPr="00CD7E48" w:rsidRDefault="0040717F" w:rsidP="0040717F">
      <w:pPr>
        <w:numPr>
          <w:ilvl w:val="0"/>
          <w:numId w:val="1"/>
        </w:numPr>
        <w:tabs>
          <w:tab w:val="left" w:pos="1134"/>
        </w:tabs>
        <w:ind w:left="0" w:firstLine="540"/>
        <w:contextualSpacing/>
        <w:rPr>
          <w:rFonts w:cs="Arial"/>
          <w:szCs w:val="18"/>
        </w:rPr>
      </w:pPr>
      <w:proofErr w:type="gramStart"/>
      <w:r>
        <w:t>le</w:t>
      </w:r>
      <w:proofErr w:type="gramEnd"/>
      <w:r>
        <w:t> WG</w:t>
      </w:r>
      <w:r w:rsidR="00610422">
        <w:noBreakHyphen/>
      </w:r>
      <w:r>
        <w:t>SHF présentera au Comité consultatif un rapport sur l</w:t>
      </w:r>
      <w:r w:rsidR="00DF1D73">
        <w:t>’</w:t>
      </w:r>
      <w:r>
        <w:t>état d</w:t>
      </w:r>
      <w:r w:rsidR="00DF1D73">
        <w:t>’</w:t>
      </w:r>
      <w:r>
        <w:t>avancement de ses travaux et lui demandera des orientations supplémentaires, le cas échéant;  et</w:t>
      </w:r>
    </w:p>
    <w:p w14:paraId="6B5075F8" w14:textId="77777777" w:rsidR="0040717F" w:rsidRPr="00CD7E48" w:rsidRDefault="0040717F" w:rsidP="0040717F">
      <w:pPr>
        <w:tabs>
          <w:tab w:val="left" w:pos="1134"/>
        </w:tabs>
        <w:ind w:firstLine="540"/>
        <w:contextualSpacing/>
        <w:rPr>
          <w:rFonts w:cs="Arial"/>
          <w:szCs w:val="18"/>
        </w:rPr>
      </w:pPr>
    </w:p>
    <w:p w14:paraId="08CA9A97" w14:textId="1BDBFED9" w:rsidR="0040717F" w:rsidRPr="00CD7E48" w:rsidRDefault="0040717F" w:rsidP="0040717F">
      <w:pPr>
        <w:numPr>
          <w:ilvl w:val="0"/>
          <w:numId w:val="1"/>
        </w:numPr>
        <w:tabs>
          <w:tab w:val="left" w:pos="1134"/>
        </w:tabs>
        <w:ind w:left="0" w:firstLine="540"/>
        <w:contextualSpacing/>
        <w:rPr>
          <w:rFonts w:cs="Arial"/>
          <w:szCs w:val="18"/>
        </w:rPr>
      </w:pPr>
      <w:proofErr w:type="gramStart"/>
      <w:r>
        <w:t>les</w:t>
      </w:r>
      <w:proofErr w:type="gramEnd"/>
      <w:r>
        <w:t xml:space="preserve"> documents du WG</w:t>
      </w:r>
      <w:r w:rsidR="00610422">
        <w:noBreakHyphen/>
      </w:r>
      <w:r>
        <w:t>SHF seront mis à la disposition des membres de l</w:t>
      </w:r>
      <w:r w:rsidR="00DF1D73">
        <w:t>’</w:t>
      </w:r>
      <w:r>
        <w:t>Union et des observateurs auprès du Conseil.</w:t>
      </w:r>
    </w:p>
    <w:p w14:paraId="5F99511F" w14:textId="65CF994A" w:rsidR="0040717F" w:rsidRDefault="0040717F" w:rsidP="0040717F"/>
    <w:p w14:paraId="68389B39" w14:textId="77777777" w:rsidR="00C52A37" w:rsidRDefault="00C52A37" w:rsidP="0040717F"/>
    <w:p w14:paraId="17C9E9EE" w14:textId="77777777" w:rsidR="0040717F" w:rsidRDefault="0040717F" w:rsidP="0040717F"/>
    <w:p w14:paraId="382016DE" w14:textId="26D3BBE1" w:rsidR="0040717F" w:rsidRPr="00C5280D" w:rsidRDefault="0040717F" w:rsidP="0040717F">
      <w:pPr>
        <w:jc w:val="right"/>
      </w:pPr>
      <w:r>
        <w:t>[Fin de l</w:t>
      </w:r>
      <w:r w:rsidR="00DF1D73">
        <w:t>’</w:t>
      </w:r>
      <w:r>
        <w:t>annexe et du document]</w:t>
      </w:r>
    </w:p>
    <w:p w14:paraId="421A2075" w14:textId="77777777" w:rsidR="0040717F" w:rsidRDefault="0040717F" w:rsidP="0040717F">
      <w:pPr>
        <w:jc w:val="left"/>
      </w:pPr>
    </w:p>
    <w:p w14:paraId="7F5C1239" w14:textId="77777777" w:rsidR="0040717F" w:rsidRPr="00C5280D" w:rsidRDefault="0040717F" w:rsidP="0040717F">
      <w:pPr>
        <w:jc w:val="left"/>
      </w:pPr>
    </w:p>
    <w:p w14:paraId="23F76BE0" w14:textId="77777777" w:rsidR="00050E16" w:rsidRPr="00C5280D" w:rsidRDefault="00050E16" w:rsidP="0040717F"/>
    <w:sectPr w:rsidR="00050E16" w:rsidRPr="00C5280D" w:rsidSect="0004198B">
      <w:headerReference w:type="default" r:id="rId14"/>
      <w:headerReference w:type="first" r:id="rId1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7CDA" w14:textId="77777777" w:rsidR="00B230F4" w:rsidRDefault="00B230F4" w:rsidP="006655D3">
      <w:r>
        <w:separator/>
      </w:r>
    </w:p>
    <w:p w14:paraId="606F8E43" w14:textId="77777777" w:rsidR="00B230F4" w:rsidRDefault="00B230F4" w:rsidP="006655D3"/>
    <w:p w14:paraId="32B193BB" w14:textId="77777777" w:rsidR="00B230F4" w:rsidRDefault="00B230F4" w:rsidP="006655D3"/>
  </w:endnote>
  <w:endnote w:type="continuationSeparator" w:id="0">
    <w:p w14:paraId="1C7E7DB6" w14:textId="77777777" w:rsidR="00B230F4" w:rsidRDefault="00B230F4" w:rsidP="006655D3">
      <w:r>
        <w:separator/>
      </w:r>
    </w:p>
    <w:p w14:paraId="3BA963A4" w14:textId="77777777" w:rsidR="00B230F4" w:rsidRPr="00294751" w:rsidRDefault="00B230F4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6C607114" w14:textId="77777777" w:rsidR="00B230F4" w:rsidRPr="00294751" w:rsidRDefault="00B230F4" w:rsidP="006655D3"/>
    <w:p w14:paraId="4ADEF8B0" w14:textId="77777777" w:rsidR="00B230F4" w:rsidRPr="00294751" w:rsidRDefault="00B230F4" w:rsidP="006655D3"/>
  </w:endnote>
  <w:endnote w:type="continuationNotice" w:id="1">
    <w:p w14:paraId="38179BD4" w14:textId="77777777" w:rsidR="00B230F4" w:rsidRPr="00294751" w:rsidRDefault="00B230F4" w:rsidP="006655D3">
      <w:r w:rsidRPr="00294751">
        <w:t>[Suite de la note page suivante]</w:t>
      </w:r>
    </w:p>
    <w:p w14:paraId="7CC1EE4D" w14:textId="77777777" w:rsidR="00B230F4" w:rsidRPr="00294751" w:rsidRDefault="00B230F4" w:rsidP="006655D3"/>
    <w:p w14:paraId="36DFFB75" w14:textId="77777777" w:rsidR="00B230F4" w:rsidRPr="00294751" w:rsidRDefault="00B230F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3C43" w14:textId="77777777" w:rsidR="00B230F4" w:rsidRDefault="00B230F4" w:rsidP="006655D3">
      <w:r>
        <w:separator/>
      </w:r>
    </w:p>
  </w:footnote>
  <w:footnote w:type="continuationSeparator" w:id="0">
    <w:p w14:paraId="0B1021F0" w14:textId="77777777" w:rsidR="00B230F4" w:rsidRDefault="00B230F4" w:rsidP="006655D3">
      <w:r>
        <w:separator/>
      </w:r>
    </w:p>
  </w:footnote>
  <w:footnote w:type="continuationNotice" w:id="1">
    <w:p w14:paraId="6BCF19A9" w14:textId="77777777" w:rsidR="00B230F4" w:rsidRPr="00AB530F" w:rsidRDefault="00B230F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203A" w14:textId="7D79AFFE" w:rsidR="0040717F" w:rsidRPr="00CA181E" w:rsidRDefault="0040717F" w:rsidP="00EB048E">
    <w:pPr>
      <w:pStyle w:val="Header"/>
      <w:rPr>
        <w:rStyle w:val="PageNumber"/>
        <w:caps/>
      </w:rPr>
    </w:pPr>
    <w:r>
      <w:rPr>
        <w:rStyle w:val="PageNumber"/>
        <w:caps/>
      </w:rPr>
      <w:t>CAJ/80/4</w:t>
    </w:r>
  </w:p>
  <w:p w14:paraId="0CC50CF1" w14:textId="639F052A" w:rsidR="0040717F" w:rsidRPr="00C5280D" w:rsidRDefault="0040717F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9610CC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7E8E320B" w14:textId="77777777" w:rsidR="0040717F" w:rsidRPr="00C5280D" w:rsidRDefault="0040717F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D52E9" w14:textId="7D20BC43" w:rsidR="0004198B" w:rsidRPr="00C5280D" w:rsidRDefault="008D0F14" w:rsidP="00EB048E">
    <w:pPr>
      <w:pStyle w:val="Header"/>
      <w:rPr>
        <w:rStyle w:val="PageNumber"/>
      </w:rPr>
    </w:pPr>
    <w:r>
      <w:rPr>
        <w:rStyle w:val="PageNumber"/>
      </w:rPr>
      <w:t>CAJ/80/4</w:t>
    </w:r>
  </w:p>
  <w:p w14:paraId="4D0285F1" w14:textId="2896AB4A" w:rsidR="0004198B" w:rsidRPr="00C5280D" w:rsidRDefault="0040717F" w:rsidP="00EB048E">
    <w:pPr>
      <w:pStyle w:val="Header"/>
    </w:pPr>
    <w:r>
      <w:t xml:space="preserve">Annexe, page </w:t>
    </w:r>
    <w:r w:rsidR="0004198B" w:rsidRPr="00C5280D">
      <w:rPr>
        <w:rStyle w:val="PageNumber"/>
      </w:rPr>
      <w:fldChar w:fldCharType="begin"/>
    </w:r>
    <w:r w:rsidR="0004198B" w:rsidRPr="00C5280D">
      <w:rPr>
        <w:rStyle w:val="PageNumber"/>
      </w:rPr>
      <w:instrText xml:space="preserve"> PAGE </w:instrText>
    </w:r>
    <w:r w:rsidR="0004198B" w:rsidRPr="00C5280D">
      <w:rPr>
        <w:rStyle w:val="PageNumber"/>
      </w:rPr>
      <w:fldChar w:fldCharType="separate"/>
    </w:r>
    <w:r w:rsidR="009610CC">
      <w:rPr>
        <w:rStyle w:val="PageNumber"/>
        <w:noProof/>
      </w:rPr>
      <w:t>2</w:t>
    </w:r>
    <w:r w:rsidR="0004198B" w:rsidRPr="00C5280D">
      <w:rPr>
        <w:rStyle w:val="PageNumber"/>
      </w:rPr>
      <w:fldChar w:fldCharType="end"/>
    </w:r>
  </w:p>
  <w:p w14:paraId="74D94B75" w14:textId="77777777"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92DB" w14:textId="1C838158" w:rsidR="0040717F" w:rsidRPr="00CA181E" w:rsidRDefault="0040717F" w:rsidP="0040717F">
    <w:pPr>
      <w:pStyle w:val="Header"/>
      <w:rPr>
        <w:rStyle w:val="PageNumber"/>
        <w:caps/>
      </w:rPr>
    </w:pPr>
    <w:r>
      <w:rPr>
        <w:rStyle w:val="PageNumber"/>
        <w:caps/>
      </w:rPr>
      <w:t>CAJ/80/4</w:t>
    </w:r>
  </w:p>
  <w:p w14:paraId="1EC32CFC" w14:textId="7C05D0ED" w:rsidR="0004198B" w:rsidRDefault="0004198B" w:rsidP="0004198B">
    <w:pPr>
      <w:pStyle w:val="Header"/>
      <w:rPr>
        <w:lang w:val="en-US"/>
      </w:rPr>
    </w:pPr>
  </w:p>
  <w:p w14:paraId="062D0AA3" w14:textId="5A1145A7" w:rsidR="0040717F" w:rsidRDefault="0040717F" w:rsidP="0004198B">
    <w:pPr>
      <w:pStyle w:val="Header"/>
    </w:pPr>
    <w:r>
      <w:t>ANNEXE</w:t>
    </w:r>
  </w:p>
  <w:p w14:paraId="63A9F7F3" w14:textId="77777777" w:rsidR="0040717F" w:rsidRPr="0004198B" w:rsidRDefault="0040717F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8A3"/>
    <w:multiLevelType w:val="hybridMultilevel"/>
    <w:tmpl w:val="7CFA0E38"/>
    <w:lvl w:ilvl="0" w:tplc="04090017">
      <w:start w:val="1"/>
      <w:numFmt w:val="lowerLetter"/>
      <w:lvlText w:val="%1)"/>
      <w:lvlJc w:val="left"/>
      <w:pPr>
        <w:ind w:left="112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1E3336"/>
    <w:multiLevelType w:val="hybridMultilevel"/>
    <w:tmpl w:val="963AC5D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EA7F4E"/>
    <w:multiLevelType w:val="hybridMultilevel"/>
    <w:tmpl w:val="99302B68"/>
    <w:lvl w:ilvl="0" w:tplc="E1F2A9CC">
      <w:start w:val="2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FD80C4F"/>
    <w:multiLevelType w:val="hybridMultilevel"/>
    <w:tmpl w:val="404E5D92"/>
    <w:lvl w:ilvl="0" w:tplc="04090017">
      <w:start w:val="1"/>
      <w:numFmt w:val="lowerLetter"/>
      <w:lvlText w:val="%1)"/>
      <w:lvlJc w:val="left"/>
      <w:pPr>
        <w:ind w:left="2828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F4"/>
    <w:rsid w:val="00010CF3"/>
    <w:rsid w:val="00011E27"/>
    <w:rsid w:val="000148BC"/>
    <w:rsid w:val="00024AB8"/>
    <w:rsid w:val="00030854"/>
    <w:rsid w:val="00036028"/>
    <w:rsid w:val="00041409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22F8"/>
    <w:rsid w:val="00172084"/>
    <w:rsid w:val="0017474A"/>
    <w:rsid w:val="001758C6"/>
    <w:rsid w:val="00182B99"/>
    <w:rsid w:val="001C1525"/>
    <w:rsid w:val="0021332C"/>
    <w:rsid w:val="0021348F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2D26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71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0C9D"/>
    <w:rsid w:val="005B269D"/>
    <w:rsid w:val="005F7B92"/>
    <w:rsid w:val="00610422"/>
    <w:rsid w:val="00612379"/>
    <w:rsid w:val="006153B6"/>
    <w:rsid w:val="0061555F"/>
    <w:rsid w:val="006245ED"/>
    <w:rsid w:val="00636CA6"/>
    <w:rsid w:val="00641200"/>
    <w:rsid w:val="006427FD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21BF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4BE3"/>
    <w:rsid w:val="00846D7C"/>
    <w:rsid w:val="00867AC1"/>
    <w:rsid w:val="008751DE"/>
    <w:rsid w:val="00890DF8"/>
    <w:rsid w:val="008A0ADE"/>
    <w:rsid w:val="008A743F"/>
    <w:rsid w:val="008C0970"/>
    <w:rsid w:val="008D0BC5"/>
    <w:rsid w:val="008D0F14"/>
    <w:rsid w:val="008D2989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4A12"/>
    <w:rsid w:val="009561F4"/>
    <w:rsid w:val="009610CC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6E05"/>
    <w:rsid w:val="009F77CF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05A0"/>
    <w:rsid w:val="00B224DE"/>
    <w:rsid w:val="00B230F4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D2D14"/>
    <w:rsid w:val="00C061B6"/>
    <w:rsid w:val="00C2446C"/>
    <w:rsid w:val="00C36AE5"/>
    <w:rsid w:val="00C41F17"/>
    <w:rsid w:val="00C527FA"/>
    <w:rsid w:val="00C5280D"/>
    <w:rsid w:val="00C52A37"/>
    <w:rsid w:val="00C53936"/>
    <w:rsid w:val="00C53EB3"/>
    <w:rsid w:val="00C5791C"/>
    <w:rsid w:val="00C64909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E60B6"/>
    <w:rsid w:val="00DF1D73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6FA7"/>
    <w:rsid w:val="00EE34DF"/>
    <w:rsid w:val="00EF2F89"/>
    <w:rsid w:val="00F03E98"/>
    <w:rsid w:val="00F04E91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79C8"/>
    <w:rsid w:val="00FA49AB"/>
    <w:rsid w:val="00FC5FD0"/>
    <w:rsid w:val="00FE33C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87F392E"/>
  <w15:docId w15:val="{F1717CBF-3C00-4D59-A1CB-35238CA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1422F8"/>
    <w:pPr>
      <w:tabs>
        <w:tab w:val="right" w:leader="dot" w:pos="9639"/>
      </w:tabs>
      <w:spacing w:before="60" w:after="60"/>
      <w:ind w:left="720" w:right="720"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1422F8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40717F"/>
    <w:rPr>
      <w:rFonts w:ascii="Arial" w:hAnsi="Arial"/>
      <w:u w:val="single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2D2D26"/>
    <w:pPr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2D2D26"/>
    <w:rPr>
      <w:rFonts w:ascii="Calibri" w:eastAsiaTheme="minorHAnsi" w:hAnsi="Calibri" w:cs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22F8"/>
    <w:rPr>
      <w:rFonts w:ascii="Arial" w:hAnsi="Arial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mdocs/upov/fr/c_55/c_55_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mdocs/upov/fr/c_55/c_55_1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pov.int/meetings/fr/details.jsp?meeting_id=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7477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4561-2C8D-4B27-A653-4C42ABCD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1592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CAJ/80</vt:lpstr>
    </vt:vector>
  </TitlesOfParts>
  <Company>UPOV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CAJ/80/4</dc:title>
  <dc:creator>SANTOS Carla Marina</dc:creator>
  <cp:lastModifiedBy>SANTOS Carla Marina</cp:lastModifiedBy>
  <cp:revision>18</cp:revision>
  <cp:lastPrinted>2016-11-22T15:41:00Z</cp:lastPrinted>
  <dcterms:created xsi:type="dcterms:W3CDTF">2023-05-10T12:28:00Z</dcterms:created>
  <dcterms:modified xsi:type="dcterms:W3CDTF">2023-10-18T09:28:00Z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2023-10-13T18:15:49Z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5b379a69-7d30-45ed-8cd8-1bd6f3e6f1b0</vt:lpwstr>
  </property>
  <property fmtid="{D5CDD505-2E9C-101B-9397-08002B2CF9AE}" pid="8" name="MSIP_Label_20773ee6-353b-4fb9-a59d-0b94c8c67bea_ContentBits">
    <vt:lpwstr>0</vt:lpwstr>
  </property>
</Properties>
</file>