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20545" w14:paraId="25EE68F0" w14:textId="77777777" w:rsidTr="00EB4E9C">
        <w:tc>
          <w:tcPr>
            <w:tcW w:w="6522" w:type="dxa"/>
          </w:tcPr>
          <w:p w14:paraId="0C38CE74" w14:textId="77777777" w:rsidR="00DC3802" w:rsidRPr="00C20545" w:rsidRDefault="00DC3802" w:rsidP="00AC2883">
            <w:pPr>
              <w:rPr>
                <w:lang w:val="fr-FR"/>
              </w:rPr>
            </w:pPr>
            <w:r w:rsidRPr="00C20545">
              <w:rPr>
                <w:noProof/>
              </w:rPr>
              <w:drawing>
                <wp:inline distT="0" distB="0" distL="0" distR="0" wp14:anchorId="35CF0F6E" wp14:editId="638FC30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A54E552" w14:textId="64A3FBEE" w:rsidR="00DC3802" w:rsidRPr="00C20545" w:rsidRDefault="00810588" w:rsidP="00AC2883">
            <w:pPr>
              <w:pStyle w:val="Lettrine"/>
              <w:rPr>
                <w:lang w:val="fr-FR"/>
              </w:rPr>
            </w:pPr>
            <w:r w:rsidRPr="00C20545">
              <w:rPr>
                <w:lang w:val="fr-FR"/>
              </w:rPr>
              <w:t>F</w:t>
            </w:r>
          </w:p>
        </w:tc>
      </w:tr>
      <w:tr w:rsidR="00DC3802" w:rsidRPr="002C6F63" w14:paraId="6CFB6579" w14:textId="77777777" w:rsidTr="00645CA8">
        <w:trPr>
          <w:trHeight w:val="219"/>
        </w:trPr>
        <w:tc>
          <w:tcPr>
            <w:tcW w:w="6522" w:type="dxa"/>
          </w:tcPr>
          <w:p w14:paraId="463C7343" w14:textId="5B8FD250" w:rsidR="00DC3802" w:rsidRPr="00C20545" w:rsidRDefault="00810588" w:rsidP="00AC2883">
            <w:pPr>
              <w:pStyle w:val="upove"/>
              <w:rPr>
                <w:lang w:val="fr-FR"/>
              </w:rPr>
            </w:pPr>
            <w:r w:rsidRPr="00C20545">
              <w:rPr>
                <w:lang w:val="fr-FR"/>
              </w:rPr>
              <w:t>Union internationale pour la protection des obtentions végétales</w:t>
            </w:r>
          </w:p>
        </w:tc>
        <w:tc>
          <w:tcPr>
            <w:tcW w:w="3117" w:type="dxa"/>
          </w:tcPr>
          <w:p w14:paraId="181EB466" w14:textId="77777777" w:rsidR="00DC3802" w:rsidRPr="00C20545" w:rsidRDefault="00DC3802" w:rsidP="00DA4973">
            <w:pPr>
              <w:rPr>
                <w:lang w:val="fr-FR"/>
              </w:rPr>
            </w:pPr>
          </w:p>
        </w:tc>
      </w:tr>
    </w:tbl>
    <w:p w14:paraId="0370CA8C" w14:textId="77777777" w:rsidR="00DC3802" w:rsidRPr="00C20545" w:rsidRDefault="00DC3802" w:rsidP="00DC3802">
      <w:pPr>
        <w:rPr>
          <w:lang w:val="fr-FR"/>
        </w:rPr>
      </w:pPr>
    </w:p>
    <w:p w14:paraId="19170C71" w14:textId="77777777" w:rsidR="008D0F14" w:rsidRPr="00C20545" w:rsidRDefault="008D0F14" w:rsidP="008D0F14">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2C6F63" w14:paraId="38AFEE76" w14:textId="77777777" w:rsidTr="00531DCD">
        <w:tc>
          <w:tcPr>
            <w:tcW w:w="6512" w:type="dxa"/>
          </w:tcPr>
          <w:p w14:paraId="24450BA4" w14:textId="491EE063" w:rsidR="008D0F14" w:rsidRPr="00C20545" w:rsidRDefault="00810588" w:rsidP="00531DCD">
            <w:pPr>
              <w:pStyle w:val="Sessiontc"/>
              <w:spacing w:line="240" w:lineRule="auto"/>
              <w:rPr>
                <w:lang w:val="fr-FR"/>
              </w:rPr>
            </w:pPr>
            <w:r w:rsidRPr="00C20545">
              <w:rPr>
                <w:lang w:val="fr-FR"/>
              </w:rPr>
              <w:t>Comité administratif et juridique</w:t>
            </w:r>
          </w:p>
          <w:p w14:paraId="07DC5C16" w14:textId="2D25183C" w:rsidR="008D0F14" w:rsidRPr="00C20545" w:rsidRDefault="008D0F14" w:rsidP="00531DCD">
            <w:pPr>
              <w:pStyle w:val="Sessiontcplacedate"/>
              <w:rPr>
                <w:lang w:val="fr-FR"/>
              </w:rPr>
            </w:pPr>
            <w:r w:rsidRPr="00C20545">
              <w:rPr>
                <w:lang w:val="fr-FR"/>
              </w:rPr>
              <w:t>S</w:t>
            </w:r>
            <w:r w:rsidR="00810588" w:rsidRPr="00C20545">
              <w:rPr>
                <w:lang w:val="fr-FR"/>
              </w:rPr>
              <w:t>oixante</w:t>
            </w:r>
            <w:r w:rsidR="00E11BEB" w:rsidRPr="00C20545">
              <w:rPr>
                <w:lang w:val="fr-FR"/>
              </w:rPr>
              <w:t>-</w:t>
            </w:r>
            <w:r w:rsidR="00810588" w:rsidRPr="00C20545">
              <w:rPr>
                <w:lang w:val="fr-FR"/>
              </w:rPr>
              <w:t>dix</w:t>
            </w:r>
            <w:r w:rsidR="00E11BEB" w:rsidRPr="00C20545">
              <w:rPr>
                <w:lang w:val="fr-FR"/>
              </w:rPr>
              <w:t>-</w:t>
            </w:r>
            <w:r w:rsidR="00810588" w:rsidRPr="00C20545">
              <w:rPr>
                <w:lang w:val="fr-FR"/>
              </w:rPr>
              <w:t>neuv</w:t>
            </w:r>
            <w:r w:rsidR="00E11BEB" w:rsidRPr="00C20545">
              <w:rPr>
                <w:lang w:val="fr-FR"/>
              </w:rPr>
              <w:t>ième session</w:t>
            </w:r>
          </w:p>
          <w:p w14:paraId="2BC572BD" w14:textId="5AC1D262" w:rsidR="008D0F14" w:rsidRPr="00C20545" w:rsidRDefault="008D0F14" w:rsidP="00531DCD">
            <w:pPr>
              <w:pStyle w:val="Sessiontcplacedate"/>
              <w:rPr>
                <w:sz w:val="22"/>
                <w:lang w:val="fr-FR"/>
              </w:rPr>
            </w:pPr>
            <w:r w:rsidRPr="00C20545">
              <w:rPr>
                <w:lang w:val="fr-FR"/>
              </w:rPr>
              <w:t>Gen</w:t>
            </w:r>
            <w:r w:rsidR="00810588" w:rsidRPr="00C20545">
              <w:rPr>
                <w:lang w:val="fr-FR"/>
              </w:rPr>
              <w:t>è</w:t>
            </w:r>
            <w:r w:rsidRPr="00C20545">
              <w:rPr>
                <w:lang w:val="fr-FR"/>
              </w:rPr>
              <w:t>v</w:t>
            </w:r>
            <w:r w:rsidR="00810588" w:rsidRPr="00C20545">
              <w:rPr>
                <w:lang w:val="fr-FR"/>
              </w:rPr>
              <w:t>e</w:t>
            </w:r>
            <w:r w:rsidRPr="00C20545">
              <w:rPr>
                <w:lang w:val="fr-FR"/>
              </w:rPr>
              <w:t xml:space="preserve">, </w:t>
            </w:r>
            <w:r w:rsidR="00810588" w:rsidRPr="00C20545">
              <w:rPr>
                <w:lang w:val="fr-FR"/>
              </w:rPr>
              <w:t>2</w:t>
            </w:r>
            <w:r w:rsidR="00E11BEB" w:rsidRPr="00C20545">
              <w:rPr>
                <w:lang w:val="fr-FR"/>
              </w:rPr>
              <w:t>6 octobre 20</w:t>
            </w:r>
            <w:r w:rsidRPr="00C20545">
              <w:rPr>
                <w:lang w:val="fr-FR"/>
              </w:rPr>
              <w:t>22</w:t>
            </w:r>
          </w:p>
        </w:tc>
        <w:tc>
          <w:tcPr>
            <w:tcW w:w="3127" w:type="dxa"/>
          </w:tcPr>
          <w:p w14:paraId="50CF7FB8" w14:textId="77777777" w:rsidR="008D0F14" w:rsidRPr="00C20545" w:rsidRDefault="00B748DF" w:rsidP="00531DCD">
            <w:pPr>
              <w:pStyle w:val="Doccode"/>
              <w:rPr>
                <w:lang w:val="fr-FR"/>
              </w:rPr>
            </w:pPr>
            <w:r w:rsidRPr="00C20545">
              <w:rPr>
                <w:lang w:val="fr-FR"/>
              </w:rPr>
              <w:t>CAJ/79/</w:t>
            </w:r>
            <w:r w:rsidR="0017765A" w:rsidRPr="00C20545">
              <w:rPr>
                <w:lang w:val="fr-FR"/>
              </w:rPr>
              <w:t>INF/4</w:t>
            </w:r>
          </w:p>
          <w:p w14:paraId="4363A57D" w14:textId="610F40DB" w:rsidR="008D0F14" w:rsidRPr="00C20545" w:rsidRDefault="008D0F14" w:rsidP="00531DCD">
            <w:pPr>
              <w:pStyle w:val="Docoriginal"/>
              <w:rPr>
                <w:lang w:val="fr-FR"/>
              </w:rPr>
            </w:pPr>
            <w:r w:rsidRPr="00C20545">
              <w:rPr>
                <w:lang w:val="fr-FR"/>
              </w:rPr>
              <w:t>Original</w:t>
            </w:r>
            <w:r w:rsidR="00E11BEB" w:rsidRPr="00C20545">
              <w:rPr>
                <w:lang w:val="fr-FR"/>
              </w:rPr>
              <w:t> :</w:t>
            </w:r>
            <w:r w:rsidRPr="00C20545">
              <w:rPr>
                <w:b w:val="0"/>
                <w:spacing w:val="0"/>
                <w:lang w:val="fr-FR"/>
              </w:rPr>
              <w:t xml:space="preserve"> </w:t>
            </w:r>
            <w:r w:rsidR="00810588" w:rsidRPr="00C20545">
              <w:rPr>
                <w:b w:val="0"/>
                <w:spacing w:val="0"/>
                <w:lang w:val="fr-FR"/>
              </w:rPr>
              <w:t>anglais</w:t>
            </w:r>
          </w:p>
          <w:p w14:paraId="60D0789C" w14:textId="0B0FB54F" w:rsidR="008D0F14" w:rsidRPr="00C20545" w:rsidRDefault="008D0F14" w:rsidP="00D666A7">
            <w:pPr>
              <w:pStyle w:val="Docoriginal"/>
              <w:rPr>
                <w:lang w:val="fr-FR"/>
              </w:rPr>
            </w:pPr>
            <w:r w:rsidRPr="00A6649B">
              <w:rPr>
                <w:lang w:val="fr-FR"/>
              </w:rPr>
              <w:t>Date</w:t>
            </w:r>
            <w:r w:rsidR="00E11BEB" w:rsidRPr="00A6649B">
              <w:rPr>
                <w:lang w:val="fr-FR"/>
              </w:rPr>
              <w:t> :</w:t>
            </w:r>
            <w:r w:rsidRPr="00A6649B">
              <w:rPr>
                <w:b w:val="0"/>
                <w:spacing w:val="0"/>
                <w:lang w:val="fr-FR"/>
              </w:rPr>
              <w:t xml:space="preserve"> </w:t>
            </w:r>
            <w:r w:rsidR="00007CA2" w:rsidRPr="00A6649B">
              <w:rPr>
                <w:b w:val="0"/>
                <w:spacing w:val="0"/>
                <w:lang w:val="fr-FR"/>
              </w:rPr>
              <w:t>1</w:t>
            </w:r>
            <w:r w:rsidR="00A6649B" w:rsidRPr="00A6649B">
              <w:rPr>
                <w:b w:val="0"/>
                <w:spacing w:val="0"/>
                <w:lang w:val="fr-FR"/>
              </w:rPr>
              <w:t>5</w:t>
            </w:r>
            <w:r w:rsidR="00E11BEB" w:rsidRPr="00A6649B">
              <w:rPr>
                <w:b w:val="0"/>
                <w:spacing w:val="0"/>
                <w:lang w:val="fr-FR"/>
              </w:rPr>
              <w:t> octobre 20</w:t>
            </w:r>
            <w:r w:rsidRPr="00A6649B">
              <w:rPr>
                <w:b w:val="0"/>
                <w:spacing w:val="0"/>
                <w:lang w:val="fr-FR"/>
              </w:rPr>
              <w:t>22</w:t>
            </w:r>
          </w:p>
        </w:tc>
      </w:tr>
    </w:tbl>
    <w:p w14:paraId="505BED06" w14:textId="7D4A956A" w:rsidR="008D0F14" w:rsidRPr="00C20545" w:rsidRDefault="00E748CB" w:rsidP="008D0F14">
      <w:pPr>
        <w:pStyle w:val="Titleofdoc0"/>
        <w:rPr>
          <w:lang w:val="fr-FR"/>
        </w:rPr>
      </w:pPr>
      <w:r w:rsidRPr="00C20545">
        <w:rPr>
          <w:lang w:val="fr-FR"/>
        </w:rPr>
        <w:t>Techniques moléculaires</w:t>
      </w:r>
    </w:p>
    <w:p w14:paraId="71A0D5F2" w14:textId="46288666" w:rsidR="008D0F14" w:rsidRPr="00C20545" w:rsidRDefault="00E748CB" w:rsidP="008D0F14">
      <w:pPr>
        <w:pStyle w:val="preparedby1"/>
        <w:jc w:val="left"/>
        <w:rPr>
          <w:lang w:val="fr-FR"/>
        </w:rPr>
      </w:pPr>
      <w:r w:rsidRPr="00C20545">
        <w:rPr>
          <w:lang w:val="fr-FR"/>
        </w:rPr>
        <w:t>Document établi par le Bureau de l</w:t>
      </w:r>
      <w:r w:rsidR="00E11BEB" w:rsidRPr="00C20545">
        <w:rPr>
          <w:lang w:val="fr-FR"/>
        </w:rPr>
        <w:t>’</w:t>
      </w:r>
      <w:r w:rsidRPr="00C20545">
        <w:rPr>
          <w:lang w:val="fr-FR"/>
        </w:rPr>
        <w:t>Union</w:t>
      </w:r>
    </w:p>
    <w:p w14:paraId="423C8BCA" w14:textId="199D909C" w:rsidR="008D0F14" w:rsidRPr="00C20545" w:rsidRDefault="00E748CB" w:rsidP="008D0F14">
      <w:pPr>
        <w:pStyle w:val="Disclaimer"/>
        <w:rPr>
          <w:lang w:val="fr-FR"/>
        </w:rPr>
      </w:pPr>
      <w:r w:rsidRPr="00C20545">
        <w:rPr>
          <w:lang w:val="fr-FR"/>
        </w:rPr>
        <w:t>Avertissement</w:t>
      </w:r>
      <w:r w:rsidR="00E11BEB" w:rsidRPr="00C20545">
        <w:rPr>
          <w:lang w:val="fr-FR"/>
        </w:rPr>
        <w:t> :</w:t>
      </w:r>
      <w:r w:rsidRPr="00C20545">
        <w:rPr>
          <w:lang w:val="fr-FR"/>
        </w:rPr>
        <w:t xml:space="preserve"> le présent document ne représente pas les principes ou les orientations de l</w:t>
      </w:r>
      <w:r w:rsidR="00E11BEB" w:rsidRPr="00C20545">
        <w:rPr>
          <w:lang w:val="fr-FR"/>
        </w:rPr>
        <w:t>’</w:t>
      </w:r>
      <w:r w:rsidRPr="00C20545">
        <w:rPr>
          <w:lang w:val="fr-FR"/>
        </w:rPr>
        <w:t>UPOV</w:t>
      </w:r>
    </w:p>
    <w:p w14:paraId="27CBAD5C" w14:textId="03565FB2" w:rsidR="00C327B6" w:rsidRPr="00AF246C" w:rsidRDefault="003C4A1F" w:rsidP="00AF246C">
      <w:pPr>
        <w:pStyle w:val="Heading1"/>
      </w:pPr>
      <w:bookmarkStart w:id="0" w:name="_Toc116594873"/>
      <w:r w:rsidRPr="00AF246C">
        <w:t>R</w:t>
      </w:r>
      <w:r w:rsidR="00E748CB" w:rsidRPr="00AF246C">
        <w:t>ésumé</w:t>
      </w:r>
      <w:bookmarkEnd w:id="0"/>
    </w:p>
    <w:p w14:paraId="4BC66841" w14:textId="77777777" w:rsidR="00C327B6" w:rsidRPr="00C20545" w:rsidRDefault="00C327B6" w:rsidP="00C327B6">
      <w:pPr>
        <w:rPr>
          <w:lang w:val="fr-FR" w:eastAsia="ja-JP"/>
        </w:rPr>
      </w:pPr>
    </w:p>
    <w:p w14:paraId="5FF623AC" w14:textId="362B2970" w:rsidR="00C327B6" w:rsidRPr="00C20545" w:rsidRDefault="00C327B6" w:rsidP="00531DCD">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E748CB" w:rsidRPr="00C20545">
        <w:rPr>
          <w:lang w:val="fr-FR"/>
        </w:rPr>
        <w:t>L</w:t>
      </w:r>
      <w:r w:rsidR="00E11BEB" w:rsidRPr="00C20545">
        <w:rPr>
          <w:lang w:val="fr-FR"/>
        </w:rPr>
        <w:t>’</w:t>
      </w:r>
      <w:r w:rsidR="00E748CB" w:rsidRPr="00C20545">
        <w:rPr>
          <w:lang w:val="fr-FR"/>
        </w:rPr>
        <w:t>objet du présent</w:t>
      </w:r>
      <w:r w:rsidRPr="00C20545">
        <w:rPr>
          <w:lang w:val="fr-FR"/>
        </w:rPr>
        <w:t xml:space="preserve"> document </w:t>
      </w:r>
      <w:r w:rsidR="005E2C29" w:rsidRPr="00C20545">
        <w:rPr>
          <w:lang w:val="fr-FR"/>
        </w:rPr>
        <w:t xml:space="preserve">est de rendre compte des faits nouveaux survenus dans le domaine des </w:t>
      </w:r>
      <w:r w:rsidR="00E748CB" w:rsidRPr="00C20545">
        <w:rPr>
          <w:lang w:val="fr-FR"/>
        </w:rPr>
        <w:t>techniques moléculaires</w:t>
      </w:r>
      <w:r w:rsidR="00531DCD" w:rsidRPr="00C20545">
        <w:rPr>
          <w:lang w:val="fr-FR"/>
        </w:rPr>
        <w:t xml:space="preserve"> </w:t>
      </w:r>
      <w:r w:rsidR="005E2C29" w:rsidRPr="00C20545">
        <w:rPr>
          <w:lang w:val="fr-FR"/>
        </w:rPr>
        <w:t>depuis la soixante</w:t>
      </w:r>
      <w:r w:rsidR="00E11BEB" w:rsidRPr="00C20545">
        <w:rPr>
          <w:lang w:val="fr-FR"/>
        </w:rPr>
        <w:t>-</w:t>
      </w:r>
      <w:r w:rsidR="005E2C29" w:rsidRPr="00C20545">
        <w:rPr>
          <w:lang w:val="fr-FR"/>
        </w:rPr>
        <w:t>dix</w:t>
      </w:r>
      <w:r w:rsidR="00E11BEB" w:rsidRPr="00C20545">
        <w:rPr>
          <w:lang w:val="fr-FR"/>
        </w:rPr>
        <w:t>-</w:t>
      </w:r>
      <w:r w:rsidR="005E2C29" w:rsidRPr="00C20545">
        <w:rPr>
          <w:lang w:val="fr-FR"/>
        </w:rPr>
        <w:t>huit</w:t>
      </w:r>
      <w:r w:rsidR="00E11BEB" w:rsidRPr="00C20545">
        <w:rPr>
          <w:lang w:val="fr-FR"/>
        </w:rPr>
        <w:t>ième session</w:t>
      </w:r>
      <w:r w:rsidR="00531DCD" w:rsidRPr="00C20545">
        <w:rPr>
          <w:lang w:val="fr-FR"/>
        </w:rPr>
        <w:t xml:space="preserve"> </w:t>
      </w:r>
      <w:r w:rsidR="005E2C29" w:rsidRPr="00C20545">
        <w:rPr>
          <w:lang w:val="fr-FR"/>
        </w:rPr>
        <w:t>du</w:t>
      </w:r>
      <w:r w:rsidR="00531DCD" w:rsidRPr="00C20545">
        <w:rPr>
          <w:lang w:val="fr-FR"/>
        </w:rPr>
        <w:t xml:space="preserve"> </w:t>
      </w:r>
      <w:r w:rsidR="00810588" w:rsidRPr="00C20545">
        <w:rPr>
          <w:lang w:val="fr-FR"/>
        </w:rPr>
        <w:t>Comité administratif et juridique</w:t>
      </w:r>
      <w:r w:rsidR="00531DCD" w:rsidRPr="00C20545">
        <w:rPr>
          <w:lang w:val="fr-FR"/>
        </w:rPr>
        <w:t xml:space="preserve"> (CAJ).</w:t>
      </w:r>
    </w:p>
    <w:p w14:paraId="00C35AC6" w14:textId="77777777" w:rsidR="00C327B6" w:rsidRPr="00C20545" w:rsidRDefault="00C327B6" w:rsidP="00C327B6">
      <w:pPr>
        <w:jc w:val="left"/>
        <w:rPr>
          <w:rFonts w:cs="Arial"/>
          <w:snapToGrid w:val="0"/>
          <w:sz w:val="18"/>
          <w:szCs w:val="24"/>
          <w:lang w:val="fr-FR" w:eastAsia="ja-JP"/>
        </w:rPr>
      </w:pPr>
    </w:p>
    <w:p w14:paraId="617E16E0" w14:textId="14659ABE" w:rsidR="00C327B6" w:rsidRPr="00C20545" w:rsidRDefault="00C327B6" w:rsidP="00C327B6">
      <w:pPr>
        <w:keepNext/>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5E2C29" w:rsidRPr="00C20545">
        <w:rPr>
          <w:lang w:val="fr-FR"/>
        </w:rPr>
        <w:t>La</w:t>
      </w:r>
      <w:r w:rsidRPr="00C20545">
        <w:rPr>
          <w:lang w:val="fr-FR"/>
        </w:rPr>
        <w:t xml:space="preserve"> structure </w:t>
      </w:r>
      <w:r w:rsidR="00E748CB" w:rsidRPr="00C20545">
        <w:rPr>
          <w:lang w:val="fr-FR"/>
        </w:rPr>
        <w:t>du présent</w:t>
      </w:r>
      <w:r w:rsidRPr="00C20545">
        <w:rPr>
          <w:lang w:val="fr-FR"/>
        </w:rPr>
        <w:t xml:space="preserve"> document </w:t>
      </w:r>
      <w:r w:rsidR="005E2C29" w:rsidRPr="00C20545">
        <w:rPr>
          <w:lang w:val="fr-FR"/>
        </w:rPr>
        <w:t>est la suivante</w:t>
      </w:r>
      <w:r w:rsidR="00E11BEB" w:rsidRPr="00C20545">
        <w:rPr>
          <w:lang w:val="fr-FR"/>
        </w:rPr>
        <w:t> :</w:t>
      </w:r>
    </w:p>
    <w:sdt>
      <w:sdtPr>
        <w:rPr>
          <w:smallCaps/>
          <w:lang w:val="fr-FR"/>
        </w:rPr>
        <w:id w:val="-1800911247"/>
        <w:docPartObj>
          <w:docPartGallery w:val="Table of Contents"/>
          <w:docPartUnique/>
        </w:docPartObj>
      </w:sdtPr>
      <w:sdtEndPr>
        <w:rPr>
          <w:b/>
          <w:bCs/>
          <w:noProof/>
          <w:sz w:val="18"/>
          <w:szCs w:val="18"/>
        </w:rPr>
      </w:sdtEndPr>
      <w:sdtContent>
        <w:p w14:paraId="3D406B04" w14:textId="77777777" w:rsidR="00C327B6" w:rsidRPr="00C20545" w:rsidRDefault="00C327B6" w:rsidP="00C327B6">
          <w:pPr>
            <w:keepNext/>
            <w:rPr>
              <w:rFonts w:cs="Arial"/>
              <w:b/>
              <w:lang w:val="fr-FR"/>
            </w:rPr>
          </w:pPr>
        </w:p>
        <w:p w14:paraId="6B563D03" w14:textId="322F7BE0" w:rsidR="00C0568E" w:rsidRPr="00C20545" w:rsidRDefault="00C327B6" w:rsidP="00D666A7">
          <w:pPr>
            <w:pStyle w:val="TOC1"/>
            <w:ind w:left="0"/>
            <w:rPr>
              <w:rFonts w:asciiTheme="minorHAnsi" w:eastAsiaTheme="minorEastAsia" w:hAnsiTheme="minorHAnsi" w:cstheme="minorBidi"/>
              <w:noProof/>
              <w:sz w:val="22"/>
              <w:szCs w:val="22"/>
              <w:lang w:val="fr-FR" w:eastAsia="ja-JP"/>
            </w:rPr>
          </w:pPr>
          <w:r w:rsidRPr="00C20545">
            <w:rPr>
              <w:rFonts w:cs="Arial"/>
              <w:szCs w:val="18"/>
              <w:lang w:val="fr-FR"/>
            </w:rPr>
            <w:fldChar w:fldCharType="begin"/>
          </w:r>
          <w:r w:rsidRPr="00C20545">
            <w:rPr>
              <w:szCs w:val="18"/>
              <w:lang w:val="fr-FR"/>
            </w:rPr>
            <w:instrText xml:space="preserve"> TOC \o "1-3" \h \z \u </w:instrText>
          </w:r>
          <w:r w:rsidRPr="00C20545">
            <w:rPr>
              <w:rFonts w:cs="Arial"/>
              <w:szCs w:val="18"/>
              <w:lang w:val="fr-FR"/>
            </w:rPr>
            <w:fldChar w:fldCharType="separate"/>
          </w:r>
          <w:hyperlink w:anchor="_Toc116594873" w:history="1">
            <w:r w:rsidR="005E2C29" w:rsidRPr="00C20545">
              <w:rPr>
                <w:rStyle w:val="Hyperlink"/>
                <w:noProof/>
                <w:snapToGrid w:val="0"/>
                <w:lang w:val="fr-FR" w:eastAsia="ja-JP"/>
              </w:rPr>
              <w:t>résumé</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_Toc116594873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1</w:t>
            </w:r>
            <w:r w:rsidR="00C0568E" w:rsidRPr="00C20545">
              <w:rPr>
                <w:noProof/>
                <w:webHidden/>
                <w:lang w:val="fr-FR"/>
              </w:rPr>
              <w:fldChar w:fldCharType="end"/>
            </w:r>
          </w:hyperlink>
        </w:p>
        <w:p w14:paraId="666F7DA5" w14:textId="0CF04369" w:rsidR="00C0568E" w:rsidRPr="00C20545" w:rsidRDefault="002C6F63" w:rsidP="00D666A7">
          <w:pPr>
            <w:pStyle w:val="TOC1"/>
            <w:ind w:left="0"/>
            <w:rPr>
              <w:rFonts w:asciiTheme="minorHAnsi" w:eastAsiaTheme="minorEastAsia" w:hAnsiTheme="minorHAnsi" w:cstheme="minorBidi"/>
              <w:noProof/>
              <w:sz w:val="22"/>
              <w:szCs w:val="22"/>
              <w:lang w:val="fr-FR" w:eastAsia="ja-JP"/>
            </w:rPr>
          </w:pPr>
          <w:hyperlink w:anchor="_Toc116594874" w:history="1">
            <w:r w:rsidR="00C0568E" w:rsidRPr="00C20545">
              <w:rPr>
                <w:rStyle w:val="Hyperlink"/>
                <w:noProof/>
                <w:lang w:val="fr-FR" w:eastAsia="ja-JP"/>
              </w:rPr>
              <w:t>Coop</w:t>
            </w:r>
            <w:r w:rsidR="005E2C29" w:rsidRPr="00C20545">
              <w:rPr>
                <w:rStyle w:val="Hyperlink"/>
                <w:noProof/>
                <w:lang w:val="fr-FR" w:eastAsia="ja-JP"/>
              </w:rPr>
              <w:t>é</w:t>
            </w:r>
            <w:r w:rsidR="00C0568E" w:rsidRPr="00C20545">
              <w:rPr>
                <w:rStyle w:val="Hyperlink"/>
                <w:noProof/>
                <w:lang w:val="fr-FR" w:eastAsia="ja-JP"/>
              </w:rPr>
              <w:t xml:space="preserve">ration </w:t>
            </w:r>
            <w:r w:rsidR="005E2C29" w:rsidRPr="00C20545">
              <w:rPr>
                <w:rStyle w:val="Hyperlink"/>
                <w:noProof/>
                <w:lang w:val="fr-FR" w:eastAsia="ja-JP"/>
              </w:rPr>
              <w:t>e</w:t>
            </w:r>
            <w:r w:rsidR="00C0568E" w:rsidRPr="00C20545">
              <w:rPr>
                <w:rStyle w:val="Hyperlink"/>
                <w:noProof/>
                <w:lang w:val="fr-FR" w:eastAsia="ja-JP"/>
              </w:rPr>
              <w:t>n</w:t>
            </w:r>
            <w:r w:rsidR="005E2C29" w:rsidRPr="00C20545">
              <w:rPr>
                <w:rStyle w:val="Hyperlink"/>
                <w:noProof/>
                <w:lang w:val="fr-FR" w:eastAsia="ja-JP"/>
              </w:rPr>
              <w:t>tre</w:t>
            </w:r>
            <w:r w:rsidR="00C0568E" w:rsidRPr="00C20545">
              <w:rPr>
                <w:rStyle w:val="Hyperlink"/>
                <w:noProof/>
                <w:lang w:val="fr-FR" w:eastAsia="ja-JP"/>
              </w:rPr>
              <w:t xml:space="preserve"> </w:t>
            </w:r>
            <w:r w:rsidR="005E2C29" w:rsidRPr="00C20545">
              <w:rPr>
                <w:rStyle w:val="Hyperlink"/>
                <w:noProof/>
                <w:lang w:val="fr-FR" w:eastAsia="ja-JP"/>
              </w:rPr>
              <w:t xml:space="preserve">organisations </w:t>
            </w:r>
            <w:r w:rsidR="00C0568E" w:rsidRPr="00C20545">
              <w:rPr>
                <w:rStyle w:val="Hyperlink"/>
                <w:noProof/>
                <w:lang w:val="fr-FR" w:eastAsia="ja-JP"/>
              </w:rPr>
              <w:t>international</w:t>
            </w:r>
            <w:r w:rsidR="005E2C29" w:rsidRPr="00C20545">
              <w:rPr>
                <w:rStyle w:val="Hyperlink"/>
                <w:noProof/>
                <w:lang w:val="fr-FR" w:eastAsia="ja-JP"/>
              </w:rPr>
              <w:t>e</w:t>
            </w:r>
            <w:r w:rsidR="00C0568E" w:rsidRPr="00C20545">
              <w:rPr>
                <w:rStyle w:val="Hyperlink"/>
                <w:noProof/>
                <w:lang w:val="fr-FR" w:eastAsia="ja-JP"/>
              </w:rPr>
              <w:t>s</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_Toc116594874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hyperlink>
        </w:p>
        <w:p w14:paraId="5E340FF6" w14:textId="5F3AAD2C" w:rsidR="00C0568E" w:rsidRPr="00C20545" w:rsidRDefault="005E2C29" w:rsidP="00D666A7">
          <w:pPr>
            <w:pStyle w:val="TOC2"/>
            <w:rPr>
              <w:rFonts w:asciiTheme="minorHAnsi" w:eastAsiaTheme="minorEastAsia" w:hAnsiTheme="minorHAnsi" w:cstheme="minorBidi"/>
              <w:noProof/>
              <w:sz w:val="22"/>
              <w:szCs w:val="22"/>
              <w:lang w:val="fr-FR" w:eastAsia="ja-JP"/>
            </w:rPr>
          </w:pPr>
          <w:r w:rsidRPr="00C20545">
            <w:rPr>
              <w:lang w:val="fr-FR"/>
            </w:rPr>
            <w:t xml:space="preserve">Rappel </w:t>
          </w:r>
          <w:hyperlink w:anchor="_Toc116594875" w:history="1">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_Toc116594875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hyperlink>
        </w:p>
        <w:p w14:paraId="0E553539" w14:textId="57FA9EE0" w:rsidR="00C0568E" w:rsidRPr="00C20545" w:rsidRDefault="002C6F63" w:rsidP="00D666A7">
          <w:pPr>
            <w:pStyle w:val="TOC2"/>
            <w:rPr>
              <w:rFonts w:asciiTheme="minorHAnsi" w:eastAsiaTheme="minorEastAsia" w:hAnsiTheme="minorHAnsi" w:cstheme="minorBidi"/>
              <w:noProof/>
              <w:sz w:val="22"/>
              <w:szCs w:val="22"/>
              <w:lang w:val="fr-FR" w:eastAsia="ja-JP"/>
            </w:rPr>
          </w:pPr>
          <w:hyperlink w:anchor="_Toc116594876" w:history="1">
            <w:r w:rsidR="00C0568E" w:rsidRPr="00C20545">
              <w:rPr>
                <w:rStyle w:val="Hyperlink"/>
                <w:noProof/>
                <w:lang w:val="fr-FR"/>
              </w:rPr>
              <w:t>Invent</w:t>
            </w:r>
            <w:r w:rsidR="005E2C29" w:rsidRPr="00C20545">
              <w:rPr>
                <w:rStyle w:val="Hyperlink"/>
                <w:noProof/>
                <w:lang w:val="fr-FR"/>
              </w:rPr>
              <w:t>aire, par plante, de l</w:t>
            </w:r>
            <w:r w:rsidR="00E11BEB" w:rsidRPr="00C20545">
              <w:rPr>
                <w:rStyle w:val="Hyperlink"/>
                <w:noProof/>
                <w:lang w:val="fr-FR"/>
              </w:rPr>
              <w:t>’</w:t>
            </w:r>
            <w:r w:rsidR="005E2C29" w:rsidRPr="00C20545">
              <w:rPr>
                <w:rStyle w:val="Hyperlink"/>
                <w:noProof/>
                <w:lang w:val="fr-FR"/>
              </w:rPr>
              <w:t>utilisation des techniques faisant intervenir des marqueurs</w:t>
            </w:r>
            <w:r w:rsidR="00554EFD" w:rsidRPr="00C20545">
              <w:rPr>
                <w:rStyle w:val="Hyperlink"/>
                <w:noProof/>
                <w:lang w:val="fr-FR"/>
              </w:rPr>
              <w:t xml:space="preserve"> </w:t>
            </w:r>
            <w:r w:rsidR="00C0568E" w:rsidRPr="00C20545">
              <w:rPr>
                <w:rStyle w:val="Hyperlink"/>
                <w:noProof/>
                <w:lang w:val="fr-FR"/>
              </w:rPr>
              <w:t>mol</w:t>
            </w:r>
            <w:r w:rsidR="005E2C29" w:rsidRPr="00C20545">
              <w:rPr>
                <w:rStyle w:val="Hyperlink"/>
                <w:noProof/>
                <w:lang w:val="fr-FR"/>
              </w:rPr>
              <w:t>é</w:t>
            </w:r>
            <w:r w:rsidR="00C0568E" w:rsidRPr="00C20545">
              <w:rPr>
                <w:rStyle w:val="Hyperlink"/>
                <w:noProof/>
                <w:lang w:val="fr-FR"/>
              </w:rPr>
              <w:t>cula</w:t>
            </w:r>
            <w:r w:rsidR="005E2C29" w:rsidRPr="00C20545">
              <w:rPr>
                <w:rStyle w:val="Hyperlink"/>
                <w:noProof/>
                <w:lang w:val="fr-FR"/>
              </w:rPr>
              <w:t>ires</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_Toc116594876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hyperlink>
        </w:p>
        <w:p w14:paraId="75E791E9" w14:textId="56F1599A" w:rsidR="00C0568E" w:rsidRPr="00C20545" w:rsidRDefault="002C6F63" w:rsidP="00D666A7">
          <w:pPr>
            <w:pStyle w:val="TOC2"/>
            <w:rPr>
              <w:rFonts w:asciiTheme="minorHAnsi" w:eastAsiaTheme="minorEastAsia" w:hAnsiTheme="minorHAnsi" w:cstheme="minorBidi"/>
              <w:noProof/>
              <w:sz w:val="22"/>
              <w:szCs w:val="22"/>
              <w:lang w:val="fr-FR" w:eastAsia="ja-JP"/>
            </w:rPr>
          </w:pPr>
          <w:hyperlink w:anchor="_Toc116594877" w:history="1">
            <w:r w:rsidR="005E2C29" w:rsidRPr="00C20545">
              <w:rPr>
                <w:rStyle w:val="Hyperlink"/>
                <w:noProof/>
                <w:lang w:val="fr-FR"/>
              </w:rPr>
              <w:t>D</w:t>
            </w:r>
            <w:r w:rsidR="00C0568E" w:rsidRPr="00C20545">
              <w:rPr>
                <w:rStyle w:val="Hyperlink"/>
                <w:noProof/>
                <w:lang w:val="fr-FR"/>
              </w:rPr>
              <w:t xml:space="preserve">ocument </w:t>
            </w:r>
            <w:r w:rsidR="005E2C29" w:rsidRPr="00C20545">
              <w:rPr>
                <w:rStyle w:val="Hyperlink"/>
                <w:noProof/>
                <w:lang w:val="fr-FR"/>
              </w:rPr>
              <w:t>commun présentant les particularités des systèmes de l</w:t>
            </w:r>
            <w:r w:rsidR="00E11BEB" w:rsidRPr="00C20545">
              <w:rPr>
                <w:rStyle w:val="Hyperlink"/>
                <w:noProof/>
                <w:lang w:val="fr-FR"/>
              </w:rPr>
              <w:t>’</w:t>
            </w:r>
            <w:r w:rsidR="00C0568E" w:rsidRPr="00C20545">
              <w:rPr>
                <w:rStyle w:val="Hyperlink"/>
                <w:noProof/>
                <w:lang w:val="fr-FR"/>
              </w:rPr>
              <w:t>OCD</w:t>
            </w:r>
            <w:r w:rsidR="005E2C29" w:rsidRPr="00C20545">
              <w:rPr>
                <w:rStyle w:val="Hyperlink"/>
                <w:noProof/>
                <w:lang w:val="fr-FR"/>
              </w:rPr>
              <w:t>E</w:t>
            </w:r>
            <w:r w:rsidR="00C0568E" w:rsidRPr="00C20545">
              <w:rPr>
                <w:rStyle w:val="Hyperlink"/>
                <w:noProof/>
                <w:lang w:val="fr-FR"/>
              </w:rPr>
              <w:t xml:space="preserve">, </w:t>
            </w:r>
            <w:r w:rsidR="005E2C29" w:rsidRPr="00C20545">
              <w:rPr>
                <w:rStyle w:val="Hyperlink"/>
                <w:noProof/>
                <w:lang w:val="fr-FR"/>
              </w:rPr>
              <w:t>de l</w:t>
            </w:r>
            <w:r w:rsidR="00E11BEB" w:rsidRPr="00C20545">
              <w:rPr>
                <w:rStyle w:val="Hyperlink"/>
                <w:noProof/>
                <w:lang w:val="fr-FR"/>
              </w:rPr>
              <w:t>’</w:t>
            </w:r>
            <w:r w:rsidR="00C0568E" w:rsidRPr="00C20545">
              <w:rPr>
                <w:rStyle w:val="Hyperlink"/>
                <w:noProof/>
                <w:lang w:val="fr-FR"/>
              </w:rPr>
              <w:t xml:space="preserve">UPOV </w:t>
            </w:r>
            <w:r w:rsidR="005E2C29" w:rsidRPr="00C20545">
              <w:rPr>
                <w:rStyle w:val="Hyperlink"/>
                <w:noProof/>
                <w:lang w:val="fr-FR"/>
              </w:rPr>
              <w:t>et de l</w:t>
            </w:r>
            <w:r w:rsidR="00E11BEB" w:rsidRPr="00C20545">
              <w:rPr>
                <w:rStyle w:val="Hyperlink"/>
                <w:noProof/>
                <w:lang w:val="fr-FR"/>
              </w:rPr>
              <w:t>’</w:t>
            </w:r>
            <w:r w:rsidR="00C0568E" w:rsidRPr="00C20545">
              <w:rPr>
                <w:rStyle w:val="Hyperlink"/>
                <w:noProof/>
                <w:lang w:val="fr-FR"/>
              </w:rPr>
              <w:t>ISTA</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_Toc116594877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hyperlink>
        </w:p>
        <w:p w14:paraId="4FD59F6A" w14:textId="450B35C2" w:rsidR="00C0568E" w:rsidRPr="00C20545" w:rsidRDefault="002C6F63" w:rsidP="00D666A7">
          <w:pPr>
            <w:pStyle w:val="TOC2"/>
            <w:rPr>
              <w:rFonts w:asciiTheme="minorHAnsi" w:eastAsiaTheme="minorEastAsia" w:hAnsiTheme="minorHAnsi" w:cstheme="minorBidi"/>
              <w:noProof/>
              <w:sz w:val="22"/>
              <w:szCs w:val="22"/>
              <w:lang w:val="fr-FR" w:eastAsia="ja-JP"/>
            </w:rPr>
          </w:pPr>
          <w:hyperlink w:anchor="_Toc116594878" w:history="1">
            <w:r w:rsidR="00C0568E" w:rsidRPr="00C20545">
              <w:rPr>
                <w:rStyle w:val="Hyperlink"/>
                <w:noProof/>
                <w:lang w:val="fr-FR"/>
              </w:rPr>
              <w:t>List</w:t>
            </w:r>
            <w:r w:rsidR="005E2C29" w:rsidRPr="00C20545">
              <w:rPr>
                <w:rStyle w:val="Hyperlink"/>
                <w:noProof/>
                <w:lang w:val="fr-FR"/>
              </w:rPr>
              <w:t>e</w:t>
            </w:r>
            <w:r w:rsidR="00C0568E" w:rsidRPr="00C20545">
              <w:rPr>
                <w:rStyle w:val="Hyperlink"/>
                <w:noProof/>
                <w:lang w:val="fr-FR"/>
              </w:rPr>
              <w:t xml:space="preserve">s </w:t>
            </w:r>
            <w:r w:rsidR="005E2C29" w:rsidRPr="00C20545">
              <w:rPr>
                <w:rStyle w:val="Hyperlink"/>
                <w:noProof/>
                <w:lang w:val="fr-FR"/>
              </w:rPr>
              <w:t>d</w:t>
            </w:r>
            <w:r w:rsidR="00E11BEB" w:rsidRPr="00C20545">
              <w:rPr>
                <w:rStyle w:val="Hyperlink"/>
                <w:noProof/>
                <w:lang w:val="fr-FR"/>
              </w:rPr>
              <w:t>’</w:t>
            </w:r>
            <w:r w:rsidR="00C0568E" w:rsidRPr="00C20545">
              <w:rPr>
                <w:rStyle w:val="Hyperlink"/>
                <w:noProof/>
                <w:lang w:val="fr-FR"/>
              </w:rPr>
              <w:t xml:space="preserve">initiatives </w:t>
            </w:r>
            <w:r w:rsidR="005E2C29" w:rsidRPr="00C20545">
              <w:rPr>
                <w:rStyle w:val="Hyperlink"/>
                <w:noProof/>
                <w:lang w:val="fr-FR"/>
              </w:rPr>
              <w:t>conjointes possibles avec l</w:t>
            </w:r>
            <w:r w:rsidR="00E11BEB" w:rsidRPr="00C20545">
              <w:rPr>
                <w:rStyle w:val="Hyperlink"/>
                <w:noProof/>
                <w:lang w:val="fr-FR"/>
              </w:rPr>
              <w:t>’</w:t>
            </w:r>
            <w:r w:rsidR="00C0568E" w:rsidRPr="00C20545">
              <w:rPr>
                <w:rStyle w:val="Hyperlink"/>
                <w:noProof/>
                <w:lang w:val="fr-FR"/>
              </w:rPr>
              <w:t>OCD</w:t>
            </w:r>
            <w:r w:rsidR="005E2C29" w:rsidRPr="00C20545">
              <w:rPr>
                <w:rStyle w:val="Hyperlink"/>
                <w:noProof/>
                <w:lang w:val="fr-FR"/>
              </w:rPr>
              <w:t>E</w:t>
            </w:r>
            <w:r w:rsidR="00C0568E" w:rsidRPr="00C20545">
              <w:rPr>
                <w:rStyle w:val="Hyperlink"/>
                <w:noProof/>
                <w:lang w:val="fr-FR"/>
              </w:rPr>
              <w:t xml:space="preserve"> </w:t>
            </w:r>
            <w:r w:rsidR="005E2C29" w:rsidRPr="00C20545">
              <w:rPr>
                <w:rStyle w:val="Hyperlink"/>
                <w:noProof/>
                <w:lang w:val="fr-FR"/>
              </w:rPr>
              <w:t>et l</w:t>
            </w:r>
            <w:r w:rsidR="00E11BEB" w:rsidRPr="00C20545">
              <w:rPr>
                <w:rStyle w:val="Hyperlink"/>
                <w:noProof/>
                <w:lang w:val="fr-FR"/>
              </w:rPr>
              <w:t>’</w:t>
            </w:r>
            <w:r w:rsidR="00C0568E" w:rsidRPr="00C20545">
              <w:rPr>
                <w:rStyle w:val="Hyperlink"/>
                <w:noProof/>
                <w:lang w:val="fr-FR"/>
              </w:rPr>
              <w:t xml:space="preserve">ISTA </w:t>
            </w:r>
            <w:r w:rsidR="005E2C29" w:rsidRPr="00C20545">
              <w:rPr>
                <w:rStyle w:val="Hyperlink"/>
                <w:noProof/>
                <w:lang w:val="fr-FR"/>
              </w:rPr>
              <w:t>dans le domaine des</w:t>
            </w:r>
            <w:r w:rsidR="00C0568E" w:rsidRPr="00C20545">
              <w:rPr>
                <w:rStyle w:val="Hyperlink"/>
                <w:noProof/>
                <w:lang w:val="fr-FR"/>
              </w:rPr>
              <w:t xml:space="preserve"> </w:t>
            </w:r>
            <w:r w:rsidR="00E748CB" w:rsidRPr="00C20545">
              <w:rPr>
                <w:rStyle w:val="Hyperlink"/>
                <w:noProof/>
                <w:lang w:val="fr-FR"/>
              </w:rPr>
              <w:t>techniques moléculaires</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_Toc116594878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hyperlink>
        </w:p>
        <w:p w14:paraId="51518471" w14:textId="3A5A61D0" w:rsidR="00C0568E" w:rsidRPr="00C20545" w:rsidRDefault="005E2C29" w:rsidP="00D666A7">
          <w:pPr>
            <w:pStyle w:val="TOC2"/>
            <w:rPr>
              <w:rFonts w:asciiTheme="minorHAnsi" w:eastAsiaTheme="minorEastAsia" w:hAnsiTheme="minorHAnsi" w:cstheme="minorBidi"/>
              <w:noProof/>
              <w:sz w:val="22"/>
              <w:szCs w:val="22"/>
              <w:lang w:val="fr-FR" w:eastAsia="ja-JP"/>
            </w:rPr>
          </w:pPr>
          <w:r w:rsidRPr="00C20545">
            <w:rPr>
              <w:lang w:val="fr-FR"/>
            </w:rPr>
            <w:t>Association i</w:t>
          </w:r>
          <w:hyperlink w:anchor="_Toc116594879" w:history="1">
            <w:r w:rsidR="00C0568E" w:rsidRPr="00C20545">
              <w:rPr>
                <w:rStyle w:val="Hyperlink"/>
                <w:noProof/>
                <w:lang w:val="fr-FR"/>
              </w:rPr>
              <w:t>nternational</w:t>
            </w:r>
            <w:r w:rsidRPr="00C20545">
              <w:rPr>
                <w:rStyle w:val="Hyperlink"/>
                <w:noProof/>
                <w:lang w:val="fr-FR"/>
              </w:rPr>
              <w:t>e</w:t>
            </w:r>
            <w:r w:rsidR="00C0568E" w:rsidRPr="00C20545">
              <w:rPr>
                <w:rStyle w:val="Hyperlink"/>
                <w:noProof/>
                <w:lang w:val="fr-FR"/>
              </w:rPr>
              <w:t xml:space="preserve"> </w:t>
            </w:r>
            <w:r w:rsidRPr="00C20545">
              <w:rPr>
                <w:rStyle w:val="Hyperlink"/>
                <w:noProof/>
                <w:lang w:val="fr-FR"/>
              </w:rPr>
              <w:t>d</w:t>
            </w:r>
            <w:r w:rsidR="00E11BEB" w:rsidRPr="00C20545">
              <w:rPr>
                <w:rStyle w:val="Hyperlink"/>
                <w:noProof/>
                <w:lang w:val="fr-FR"/>
              </w:rPr>
              <w:t>’</w:t>
            </w:r>
            <w:r w:rsidRPr="00C20545">
              <w:rPr>
                <w:rStyle w:val="Hyperlink"/>
                <w:noProof/>
                <w:lang w:val="fr-FR"/>
              </w:rPr>
              <w:t>essais de semences</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_Toc116594879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hyperlink>
        </w:p>
        <w:p w14:paraId="3F52C236" w14:textId="127A9E27" w:rsidR="00C0568E" w:rsidRPr="00C20545" w:rsidRDefault="002C6F63" w:rsidP="00D666A7">
          <w:pPr>
            <w:pStyle w:val="TOC2"/>
            <w:rPr>
              <w:rFonts w:asciiTheme="minorHAnsi" w:eastAsiaTheme="minorEastAsia" w:hAnsiTheme="minorHAnsi" w:cstheme="minorBidi"/>
              <w:noProof/>
              <w:sz w:val="22"/>
              <w:szCs w:val="22"/>
              <w:lang w:val="fr-FR" w:eastAsia="ja-JP"/>
            </w:rPr>
          </w:pPr>
          <w:hyperlink w:anchor="_Toc116594880" w:history="1">
            <w:r w:rsidR="00C0568E" w:rsidRPr="00C20545">
              <w:rPr>
                <w:rStyle w:val="Hyperlink"/>
                <w:noProof/>
                <w:lang w:val="fr-FR"/>
              </w:rPr>
              <w:t xml:space="preserve">Organisation </w:t>
            </w:r>
            <w:r w:rsidR="00554EFD" w:rsidRPr="00C20545">
              <w:rPr>
                <w:rStyle w:val="Hyperlink"/>
                <w:noProof/>
                <w:lang w:val="fr-FR"/>
              </w:rPr>
              <w:t>de coopération et de développement é</w:t>
            </w:r>
            <w:r w:rsidR="00C0568E" w:rsidRPr="00C20545">
              <w:rPr>
                <w:rStyle w:val="Hyperlink"/>
                <w:noProof/>
                <w:lang w:val="fr-FR"/>
              </w:rPr>
              <w:t>conomi</w:t>
            </w:r>
            <w:r w:rsidR="00554EFD" w:rsidRPr="00C20545">
              <w:rPr>
                <w:rStyle w:val="Hyperlink"/>
                <w:noProof/>
                <w:lang w:val="fr-FR"/>
              </w:rPr>
              <w:t>ques</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_Toc116594880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hyperlink>
        </w:p>
        <w:p w14:paraId="64F15F51" w14:textId="6B2C2971" w:rsidR="00C0568E" w:rsidRPr="00C20545" w:rsidRDefault="005E2C29" w:rsidP="00D666A7">
          <w:pPr>
            <w:pStyle w:val="TOC1"/>
            <w:ind w:left="0"/>
            <w:rPr>
              <w:rFonts w:asciiTheme="minorHAnsi" w:eastAsiaTheme="minorEastAsia" w:hAnsiTheme="minorHAnsi" w:cstheme="minorBidi"/>
              <w:noProof/>
              <w:sz w:val="22"/>
              <w:szCs w:val="22"/>
              <w:lang w:val="fr-FR" w:eastAsia="ja-JP"/>
            </w:rPr>
          </w:pPr>
          <w:r w:rsidRPr="00C20545">
            <w:rPr>
              <w:lang w:val="fr-FR"/>
            </w:rPr>
            <w:t xml:space="preserve">réunion destinée à </w:t>
          </w:r>
          <w:r w:rsidR="002C6F63">
            <w:fldChar w:fldCharType="begin"/>
          </w:r>
          <w:r w:rsidR="002C6F63" w:rsidRPr="002C6F63">
            <w:rPr>
              <w:lang w:val="fr-CH"/>
            </w:rPr>
            <w:instrText xml:space="preserve"> HYPERLINK \l "_Toc116594881" </w:instrText>
          </w:r>
          <w:r w:rsidR="002C6F63">
            <w:fldChar w:fldCharType="separate"/>
          </w:r>
          <w:r w:rsidR="00C0568E" w:rsidRPr="00C20545">
            <w:rPr>
              <w:rStyle w:val="Hyperlink"/>
              <w:noProof/>
              <w:snapToGrid w:val="0"/>
              <w:lang w:val="fr-FR"/>
            </w:rPr>
            <w:t>fa</w:t>
          </w:r>
          <w:r w:rsidRPr="00C20545">
            <w:rPr>
              <w:rStyle w:val="Hyperlink"/>
              <w:noProof/>
              <w:snapToGrid w:val="0"/>
              <w:lang w:val="fr-FR"/>
            </w:rPr>
            <w:t>voriser la</w:t>
          </w:r>
          <w:r w:rsidR="00C0568E" w:rsidRPr="00C20545">
            <w:rPr>
              <w:rStyle w:val="Hyperlink"/>
              <w:noProof/>
              <w:snapToGrid w:val="0"/>
              <w:lang w:val="fr-FR"/>
            </w:rPr>
            <w:t xml:space="preserve"> coop</w:t>
          </w:r>
          <w:r w:rsidRPr="00C20545">
            <w:rPr>
              <w:rStyle w:val="Hyperlink"/>
              <w:noProof/>
              <w:snapToGrid w:val="0"/>
              <w:lang w:val="fr-FR"/>
            </w:rPr>
            <w:t>é</w:t>
          </w:r>
          <w:r w:rsidR="00C0568E" w:rsidRPr="00C20545">
            <w:rPr>
              <w:rStyle w:val="Hyperlink"/>
              <w:noProof/>
              <w:snapToGrid w:val="0"/>
              <w:lang w:val="fr-FR"/>
            </w:rPr>
            <w:t xml:space="preserve">ration </w:t>
          </w:r>
          <w:r w:rsidRPr="00C20545">
            <w:rPr>
              <w:rStyle w:val="Hyperlink"/>
              <w:noProof/>
              <w:snapToGrid w:val="0"/>
              <w:lang w:val="fr-FR"/>
            </w:rPr>
            <w:t>dans l</w:t>
          </w:r>
          <w:r w:rsidR="00E11BEB" w:rsidRPr="00C20545">
            <w:rPr>
              <w:rStyle w:val="Hyperlink"/>
              <w:noProof/>
              <w:snapToGrid w:val="0"/>
              <w:lang w:val="fr-FR"/>
            </w:rPr>
            <w:t>’</w:t>
          </w:r>
          <w:r w:rsidRPr="00C20545">
            <w:rPr>
              <w:rStyle w:val="Hyperlink"/>
              <w:noProof/>
              <w:snapToGrid w:val="0"/>
              <w:lang w:val="fr-FR"/>
            </w:rPr>
            <w:t>utilisation des t</w:t>
          </w:r>
          <w:r w:rsidR="00E748CB" w:rsidRPr="00C20545">
            <w:rPr>
              <w:rStyle w:val="Hyperlink"/>
              <w:noProof/>
              <w:snapToGrid w:val="0"/>
              <w:lang w:val="fr-FR"/>
            </w:rPr>
            <w:t>echniques moléculaires</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_Toc116594881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r w:rsidR="002C6F63">
            <w:rPr>
              <w:noProof/>
              <w:lang w:val="fr-FR"/>
            </w:rPr>
            <w:fldChar w:fldCharType="end"/>
          </w:r>
        </w:p>
        <w:p w14:paraId="1AE28E21" w14:textId="14997182" w:rsidR="00C0568E" w:rsidRPr="00C20545" w:rsidRDefault="00450431" w:rsidP="00D666A7">
          <w:pPr>
            <w:pStyle w:val="TOC2"/>
            <w:rPr>
              <w:rFonts w:asciiTheme="minorHAnsi" w:eastAsiaTheme="minorEastAsia" w:hAnsiTheme="minorHAnsi" w:cstheme="minorBidi"/>
              <w:noProof/>
              <w:sz w:val="22"/>
              <w:szCs w:val="22"/>
              <w:lang w:val="fr-FR" w:eastAsia="ja-JP"/>
            </w:rPr>
          </w:pPr>
          <w:r w:rsidRPr="00C20545">
            <w:rPr>
              <w:lang w:val="fr-FR"/>
            </w:rPr>
            <w:t>Groupes de travail t</w:t>
          </w:r>
          <w:r w:rsidR="002C6F63">
            <w:fldChar w:fldCharType="begin"/>
          </w:r>
          <w:r w:rsidR="002C6F63" w:rsidRPr="002C6F63">
            <w:rPr>
              <w:lang w:val="fr-CH"/>
            </w:rPr>
            <w:instrText xml:space="preserve"> HYPERLINK \l "_Toc116594882" </w:instrText>
          </w:r>
          <w:r w:rsidR="002C6F63">
            <w:fldChar w:fldCharType="separate"/>
          </w:r>
          <w:r w:rsidR="00C0568E" w:rsidRPr="00C20545">
            <w:rPr>
              <w:rStyle w:val="Hyperlink"/>
              <w:noProof/>
              <w:lang w:val="fr-FR"/>
            </w:rPr>
            <w:t>echni</w:t>
          </w:r>
          <w:r w:rsidRPr="00C20545">
            <w:rPr>
              <w:rStyle w:val="Hyperlink"/>
              <w:noProof/>
              <w:lang w:val="fr-FR"/>
            </w:rPr>
            <w:t>ques</w:t>
          </w:r>
          <w:r w:rsidR="00C0568E" w:rsidRPr="00C20545">
            <w:rPr>
              <w:rStyle w:val="Hyperlink"/>
              <w:noProof/>
              <w:lang w:val="fr-FR"/>
            </w:rPr>
            <w:t xml:space="preserve"> (TWP)</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_Toc116594882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2</w:t>
          </w:r>
          <w:r w:rsidR="00C0568E" w:rsidRPr="00C20545">
            <w:rPr>
              <w:noProof/>
              <w:webHidden/>
              <w:lang w:val="fr-FR"/>
            </w:rPr>
            <w:fldChar w:fldCharType="end"/>
          </w:r>
          <w:r w:rsidR="002C6F63">
            <w:rPr>
              <w:noProof/>
              <w:lang w:val="fr-FR"/>
            </w:rPr>
            <w:fldChar w:fldCharType="end"/>
          </w:r>
        </w:p>
        <w:p w14:paraId="00734A74" w14:textId="1BDE0E91" w:rsidR="00C0568E" w:rsidRPr="00C20545" w:rsidRDefault="002C6F63" w:rsidP="00D666A7">
          <w:pPr>
            <w:pStyle w:val="TOC1"/>
            <w:ind w:left="0"/>
            <w:rPr>
              <w:rFonts w:asciiTheme="minorHAnsi" w:eastAsiaTheme="minorEastAsia" w:hAnsiTheme="minorHAnsi" w:cstheme="minorBidi"/>
              <w:noProof/>
              <w:sz w:val="22"/>
              <w:szCs w:val="22"/>
              <w:lang w:val="fr-FR" w:eastAsia="ja-JP"/>
            </w:rPr>
          </w:pPr>
          <w:hyperlink w:anchor="_Toc116594883" w:history="1">
            <w:r w:rsidR="005E2C29" w:rsidRPr="00C20545">
              <w:rPr>
                <w:rStyle w:val="Hyperlink"/>
                <w:noProof/>
                <w:lang w:val="fr-FR"/>
              </w:rPr>
              <w:t>Confidentialité et titularité des informations moléculaires</w:t>
            </w:r>
            <w:r w:rsidR="00C0568E" w:rsidRPr="00C20545">
              <w:rPr>
                <w:noProof/>
                <w:webHidden/>
                <w:lang w:val="fr-FR"/>
              </w:rPr>
              <w:tab/>
            </w:r>
            <w:r w:rsidR="00C0568E" w:rsidRPr="00C20545">
              <w:rPr>
                <w:noProof/>
                <w:webHidden/>
                <w:lang w:val="fr-FR"/>
              </w:rPr>
              <w:fldChar w:fldCharType="begin"/>
            </w:r>
            <w:r w:rsidR="00C0568E" w:rsidRPr="00C20545">
              <w:rPr>
                <w:noProof/>
                <w:webHidden/>
                <w:lang w:val="fr-FR"/>
              </w:rPr>
              <w:instrText xml:space="preserve"> PAGEREF _Toc116594883 \h </w:instrText>
            </w:r>
            <w:r w:rsidR="00C0568E" w:rsidRPr="00C20545">
              <w:rPr>
                <w:noProof/>
                <w:webHidden/>
                <w:lang w:val="fr-FR"/>
              </w:rPr>
            </w:r>
            <w:r w:rsidR="00C0568E" w:rsidRPr="00C20545">
              <w:rPr>
                <w:noProof/>
                <w:webHidden/>
                <w:lang w:val="fr-FR"/>
              </w:rPr>
              <w:fldChar w:fldCharType="separate"/>
            </w:r>
            <w:r w:rsidR="00C0568E" w:rsidRPr="00C20545">
              <w:rPr>
                <w:noProof/>
                <w:webHidden/>
                <w:lang w:val="fr-FR"/>
              </w:rPr>
              <w:t>3</w:t>
            </w:r>
            <w:r w:rsidR="00C0568E" w:rsidRPr="00C20545">
              <w:rPr>
                <w:noProof/>
                <w:webHidden/>
                <w:lang w:val="fr-FR"/>
              </w:rPr>
              <w:fldChar w:fldCharType="end"/>
            </w:r>
          </w:hyperlink>
        </w:p>
        <w:p w14:paraId="4F3904E6" w14:textId="77777777" w:rsidR="00450431" w:rsidRPr="00C20545" w:rsidRDefault="00C327B6" w:rsidP="00D666A7">
          <w:pPr>
            <w:tabs>
              <w:tab w:val="center" w:pos="4479"/>
            </w:tabs>
            <w:spacing w:before="120"/>
            <w:ind w:right="851"/>
            <w:contextualSpacing/>
            <w:jc w:val="left"/>
            <w:rPr>
              <w:b/>
              <w:bCs/>
              <w:smallCaps/>
              <w:noProof/>
              <w:sz w:val="18"/>
              <w:szCs w:val="18"/>
              <w:lang w:val="fr-FR"/>
            </w:rPr>
          </w:pPr>
          <w:r w:rsidRPr="00C20545">
            <w:rPr>
              <w:b/>
              <w:bCs/>
              <w:smallCaps/>
              <w:noProof/>
              <w:sz w:val="18"/>
              <w:szCs w:val="18"/>
              <w:lang w:val="fr-FR"/>
            </w:rPr>
            <w:fldChar w:fldCharType="end"/>
          </w:r>
        </w:p>
      </w:sdtContent>
    </w:sdt>
    <w:bookmarkStart w:id="1" w:name="_Toc460313637" w:displacedByCustomXml="prev"/>
    <w:bookmarkStart w:id="2" w:name="_Toc410899581" w:displacedByCustomXml="prev"/>
    <w:bookmarkStart w:id="3" w:name="_Toc410823313" w:displacedByCustomXml="prev"/>
    <w:bookmarkStart w:id="4" w:name="_Toc410822806" w:displacedByCustomXml="prev"/>
    <w:bookmarkStart w:id="5" w:name="_Toc410822402" w:displacedByCustomXml="prev"/>
    <w:p w14:paraId="41EC8490" w14:textId="3CE03941" w:rsidR="00E11BEB" w:rsidRPr="00C20545" w:rsidRDefault="00C327B6" w:rsidP="00D666A7">
      <w:pPr>
        <w:tabs>
          <w:tab w:val="center" w:pos="4479"/>
        </w:tabs>
        <w:spacing w:before="120"/>
        <w:ind w:left="1134" w:right="851" w:hanging="1134"/>
        <w:contextualSpacing/>
        <w:jc w:val="left"/>
        <w:rPr>
          <w:snapToGrid w:val="0"/>
          <w:sz w:val="18"/>
          <w:szCs w:val="18"/>
          <w:lang w:val="fr-FR" w:eastAsia="ja-JP"/>
        </w:rPr>
      </w:pPr>
      <w:r w:rsidRPr="00C20545">
        <w:rPr>
          <w:snapToGrid w:val="0"/>
          <w:sz w:val="18"/>
          <w:szCs w:val="18"/>
          <w:lang w:val="fr-FR" w:eastAsia="ja-JP"/>
        </w:rPr>
        <w:t>ANNEX</w:t>
      </w:r>
      <w:r w:rsidR="00450431" w:rsidRPr="00C20545">
        <w:rPr>
          <w:snapToGrid w:val="0"/>
          <w:sz w:val="18"/>
          <w:szCs w:val="18"/>
          <w:lang w:val="fr-FR" w:eastAsia="ja-JP"/>
        </w:rPr>
        <w:t>E</w:t>
      </w:r>
      <w:r w:rsidRPr="00C20545">
        <w:rPr>
          <w:snapToGrid w:val="0"/>
          <w:sz w:val="18"/>
          <w:szCs w:val="18"/>
          <w:lang w:val="fr-FR" w:eastAsia="ja-JP"/>
        </w:rPr>
        <w:t xml:space="preserve"> </w:t>
      </w:r>
      <w:r w:rsidR="009D1203" w:rsidRPr="00C20545">
        <w:rPr>
          <w:snapToGrid w:val="0"/>
          <w:sz w:val="18"/>
          <w:szCs w:val="18"/>
          <w:lang w:val="fr-FR" w:eastAsia="ja-JP"/>
        </w:rPr>
        <w:t>I</w:t>
      </w:r>
      <w:r w:rsidR="00D666A7" w:rsidRPr="00C20545">
        <w:rPr>
          <w:snapToGrid w:val="0"/>
          <w:sz w:val="18"/>
          <w:szCs w:val="18"/>
          <w:lang w:val="fr-FR" w:eastAsia="ja-JP"/>
        </w:rPr>
        <w:tab/>
      </w:r>
      <w:r w:rsidR="00450431" w:rsidRPr="00C20545">
        <w:rPr>
          <w:caps/>
          <w:snapToGrid w:val="0"/>
          <w:sz w:val="18"/>
          <w:szCs w:val="18"/>
          <w:lang w:val="fr-FR" w:eastAsia="ja-JP"/>
        </w:rPr>
        <w:t>enquête, par plante, sur l</w:t>
      </w:r>
      <w:r w:rsidR="00E11BEB" w:rsidRPr="00C20545">
        <w:rPr>
          <w:caps/>
          <w:snapToGrid w:val="0"/>
          <w:sz w:val="18"/>
          <w:szCs w:val="18"/>
          <w:lang w:val="fr-FR" w:eastAsia="ja-JP"/>
        </w:rPr>
        <w:t>’</w:t>
      </w:r>
      <w:r w:rsidR="00450431" w:rsidRPr="00C20545">
        <w:rPr>
          <w:caps/>
          <w:snapToGrid w:val="0"/>
          <w:sz w:val="18"/>
          <w:szCs w:val="18"/>
          <w:lang w:val="fr-FR" w:eastAsia="ja-JP"/>
        </w:rPr>
        <w:t>utilisation des techniques faisant intervenir des marqueurs moléculaires</w:t>
      </w:r>
    </w:p>
    <w:p w14:paraId="099610F2" w14:textId="10FEBD33" w:rsidR="009D1203" w:rsidRPr="00C20545" w:rsidRDefault="00C0568E" w:rsidP="00D666A7">
      <w:pPr>
        <w:spacing w:before="120"/>
        <w:ind w:left="1134" w:right="851" w:hanging="1134"/>
        <w:rPr>
          <w:snapToGrid w:val="0"/>
          <w:sz w:val="18"/>
          <w:szCs w:val="18"/>
          <w:lang w:val="fr-FR" w:eastAsia="ja-JP"/>
        </w:rPr>
      </w:pPr>
      <w:r w:rsidRPr="00C20545">
        <w:rPr>
          <w:snapToGrid w:val="0"/>
          <w:sz w:val="18"/>
          <w:szCs w:val="18"/>
          <w:lang w:val="fr-FR" w:eastAsia="ja-JP"/>
        </w:rPr>
        <w:t>ANNEX</w:t>
      </w:r>
      <w:r w:rsidR="00450431" w:rsidRPr="00C20545">
        <w:rPr>
          <w:snapToGrid w:val="0"/>
          <w:sz w:val="18"/>
          <w:szCs w:val="18"/>
          <w:lang w:val="fr-FR" w:eastAsia="ja-JP"/>
        </w:rPr>
        <w:t>E</w:t>
      </w:r>
      <w:r w:rsidR="00CE3D2E">
        <w:rPr>
          <w:snapToGrid w:val="0"/>
          <w:sz w:val="18"/>
          <w:szCs w:val="18"/>
          <w:lang w:val="fr-FR" w:eastAsia="ja-JP"/>
        </w:rPr>
        <w:t> </w:t>
      </w:r>
      <w:r w:rsidRPr="00C20545">
        <w:rPr>
          <w:snapToGrid w:val="0"/>
          <w:sz w:val="18"/>
          <w:szCs w:val="18"/>
          <w:lang w:val="fr-FR" w:eastAsia="ja-JP"/>
        </w:rPr>
        <w:t>II</w:t>
      </w:r>
      <w:r w:rsidRPr="00C20545">
        <w:rPr>
          <w:snapToGrid w:val="0"/>
          <w:sz w:val="18"/>
          <w:szCs w:val="18"/>
          <w:lang w:val="fr-FR" w:eastAsia="ja-JP"/>
        </w:rPr>
        <w:tab/>
      </w:r>
      <w:r w:rsidR="00450431" w:rsidRPr="00C20545">
        <w:rPr>
          <w:snapToGrid w:val="0"/>
          <w:sz w:val="18"/>
          <w:szCs w:val="18"/>
          <w:lang w:val="fr-FR" w:eastAsia="ja-JP"/>
        </w:rPr>
        <w:t>ÉLÉMENTS POUR LE PROJET DE DOCUMENT COMMUN PRÉSENTANT LES PARTICULARITÉS DES SYSTÈMES DE L</w:t>
      </w:r>
      <w:r w:rsidR="00E11BEB" w:rsidRPr="00C20545">
        <w:rPr>
          <w:snapToGrid w:val="0"/>
          <w:sz w:val="18"/>
          <w:szCs w:val="18"/>
          <w:lang w:val="fr-FR" w:eastAsia="ja-JP"/>
        </w:rPr>
        <w:t>’</w:t>
      </w:r>
      <w:r w:rsidR="00450431" w:rsidRPr="00C20545">
        <w:rPr>
          <w:snapToGrid w:val="0"/>
          <w:sz w:val="18"/>
          <w:szCs w:val="18"/>
          <w:lang w:val="fr-FR" w:eastAsia="ja-JP"/>
        </w:rPr>
        <w:t>OCDE, DE L</w:t>
      </w:r>
      <w:r w:rsidR="00E11BEB" w:rsidRPr="00C20545">
        <w:rPr>
          <w:snapToGrid w:val="0"/>
          <w:sz w:val="18"/>
          <w:szCs w:val="18"/>
          <w:lang w:val="fr-FR" w:eastAsia="ja-JP"/>
        </w:rPr>
        <w:t>’</w:t>
      </w:r>
      <w:r w:rsidR="00450431" w:rsidRPr="00C20545">
        <w:rPr>
          <w:snapToGrid w:val="0"/>
          <w:sz w:val="18"/>
          <w:szCs w:val="18"/>
          <w:lang w:val="fr-FR" w:eastAsia="ja-JP"/>
        </w:rPr>
        <w:t>UPOV ET DE L</w:t>
      </w:r>
      <w:r w:rsidR="00E11BEB" w:rsidRPr="00C20545">
        <w:rPr>
          <w:snapToGrid w:val="0"/>
          <w:sz w:val="18"/>
          <w:szCs w:val="18"/>
          <w:lang w:val="fr-FR" w:eastAsia="ja-JP"/>
        </w:rPr>
        <w:t>’</w:t>
      </w:r>
      <w:r w:rsidR="00450431" w:rsidRPr="00C20545">
        <w:rPr>
          <w:snapToGrid w:val="0"/>
          <w:sz w:val="18"/>
          <w:szCs w:val="18"/>
          <w:lang w:val="fr-FR" w:eastAsia="ja-JP"/>
        </w:rPr>
        <w:t>ISTA</w:t>
      </w:r>
    </w:p>
    <w:p w14:paraId="30FFBE8B" w14:textId="77777777" w:rsidR="00450431" w:rsidRPr="00C20545" w:rsidRDefault="00450431" w:rsidP="00D666A7">
      <w:pPr>
        <w:spacing w:before="120"/>
        <w:ind w:left="1134" w:right="851" w:hanging="1134"/>
        <w:rPr>
          <w:snapToGrid w:val="0"/>
          <w:sz w:val="18"/>
          <w:szCs w:val="18"/>
          <w:lang w:val="fr-FR" w:eastAsia="ja-JP"/>
        </w:rPr>
      </w:pPr>
    </w:p>
    <w:p w14:paraId="5D14C9DC" w14:textId="454B1015" w:rsidR="00531DCD" w:rsidRPr="00C20545" w:rsidRDefault="00531DCD" w:rsidP="00531DCD">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5E2C29" w:rsidRPr="00C20545">
        <w:rPr>
          <w:lang w:val="fr-FR"/>
        </w:rPr>
        <w:t xml:space="preserve">Les </w:t>
      </w:r>
      <w:r w:rsidRPr="00C20545">
        <w:rPr>
          <w:lang w:val="fr-FR"/>
        </w:rPr>
        <w:t>abr</w:t>
      </w:r>
      <w:r w:rsidR="005E2C29" w:rsidRPr="00C20545">
        <w:rPr>
          <w:lang w:val="fr-FR"/>
        </w:rPr>
        <w:t>é</w:t>
      </w:r>
      <w:r w:rsidRPr="00C20545">
        <w:rPr>
          <w:lang w:val="fr-FR"/>
        </w:rPr>
        <w:t xml:space="preserve">viations </w:t>
      </w:r>
      <w:r w:rsidR="005E2C29" w:rsidRPr="00C20545">
        <w:rPr>
          <w:lang w:val="fr-FR"/>
        </w:rPr>
        <w:t>ci</w:t>
      </w:r>
      <w:r w:rsidR="00E11BEB" w:rsidRPr="00C20545">
        <w:rPr>
          <w:lang w:val="fr-FR"/>
        </w:rPr>
        <w:t>-</w:t>
      </w:r>
      <w:r w:rsidR="005E2C29" w:rsidRPr="00C20545">
        <w:rPr>
          <w:lang w:val="fr-FR"/>
        </w:rPr>
        <w:t xml:space="preserve">après sont utilisées dans le présent </w:t>
      </w:r>
      <w:r w:rsidRPr="00C20545">
        <w:rPr>
          <w:lang w:val="fr-FR"/>
        </w:rPr>
        <w:t>document</w:t>
      </w:r>
      <w:r w:rsidR="00E11BEB" w:rsidRPr="00C20545">
        <w:rPr>
          <w:lang w:val="fr-FR"/>
        </w:rPr>
        <w:t> :</w:t>
      </w:r>
    </w:p>
    <w:p w14:paraId="0190F4BD" w14:textId="77777777" w:rsidR="00531DCD" w:rsidRPr="00C20545" w:rsidRDefault="00531DCD" w:rsidP="00531DCD">
      <w:pPr>
        <w:rPr>
          <w:lang w:val="fr-FR"/>
        </w:rPr>
      </w:pPr>
    </w:p>
    <w:p w14:paraId="0890901F" w14:textId="372F8537" w:rsidR="00E11BEB" w:rsidRPr="00C20545" w:rsidRDefault="00531DCD" w:rsidP="00531DCD">
      <w:pPr>
        <w:keepNext/>
        <w:tabs>
          <w:tab w:val="left" w:pos="567"/>
        </w:tabs>
        <w:ind w:left="1701" w:hanging="1134"/>
        <w:rPr>
          <w:sz w:val="18"/>
          <w:lang w:val="fr-FR"/>
        </w:rPr>
      </w:pPr>
      <w:r w:rsidRPr="00C20545">
        <w:rPr>
          <w:sz w:val="18"/>
          <w:lang w:val="fr-FR"/>
        </w:rPr>
        <w:t>BMT</w:t>
      </w:r>
      <w:r w:rsidR="007E7826" w:rsidRPr="00C20545">
        <w:rPr>
          <w:sz w:val="18"/>
          <w:lang w:val="fr-FR"/>
        </w:rPr>
        <w:t xml:space="preserve"> : </w:t>
      </w:r>
      <w:r w:rsidRPr="00C20545">
        <w:rPr>
          <w:sz w:val="18"/>
          <w:lang w:val="fr-FR"/>
        </w:rPr>
        <w:tab/>
      </w:r>
      <w:r w:rsidR="005E2C29" w:rsidRPr="00C20545">
        <w:rPr>
          <w:sz w:val="18"/>
          <w:lang w:val="fr-FR"/>
        </w:rPr>
        <w:t>Groupe de travail sur les techniques biochimiques et moléculaires, notamment les profils d</w:t>
      </w:r>
      <w:r w:rsidR="00E11BEB" w:rsidRPr="00C20545">
        <w:rPr>
          <w:sz w:val="18"/>
          <w:lang w:val="fr-FR"/>
        </w:rPr>
        <w:t>’</w:t>
      </w:r>
      <w:r w:rsidR="005E2C29" w:rsidRPr="00C20545">
        <w:rPr>
          <w:sz w:val="18"/>
          <w:lang w:val="fr-FR"/>
        </w:rPr>
        <w:t>ADN</w:t>
      </w:r>
    </w:p>
    <w:p w14:paraId="579D973F" w14:textId="674C12E7" w:rsidR="00531DCD" w:rsidRPr="00C20545" w:rsidRDefault="00531DCD" w:rsidP="00531DCD">
      <w:pPr>
        <w:ind w:left="1701" w:hanging="1134"/>
        <w:rPr>
          <w:rFonts w:cs="Arial"/>
          <w:snapToGrid w:val="0"/>
          <w:sz w:val="18"/>
          <w:szCs w:val="24"/>
          <w:lang w:val="fr-FR" w:eastAsia="ja-JP"/>
        </w:rPr>
      </w:pPr>
      <w:r w:rsidRPr="00C20545">
        <w:rPr>
          <w:rFonts w:eastAsia="PMingLiU" w:cs="Arial"/>
          <w:snapToGrid w:val="0"/>
          <w:sz w:val="18"/>
          <w:szCs w:val="24"/>
          <w:lang w:val="fr-FR" w:eastAsia="fr-FR"/>
        </w:rPr>
        <w:t>ISTA</w:t>
      </w:r>
      <w:r w:rsidR="007E7826" w:rsidRPr="00C20545">
        <w:rPr>
          <w:rFonts w:eastAsia="PMingLiU" w:cs="Arial"/>
          <w:snapToGrid w:val="0"/>
          <w:sz w:val="18"/>
          <w:szCs w:val="24"/>
          <w:lang w:val="fr-FR" w:eastAsia="fr-FR"/>
        </w:rPr>
        <w:t> </w:t>
      </w:r>
      <w:r w:rsidRPr="00C20545">
        <w:rPr>
          <w:rFonts w:eastAsia="PMingLiU" w:cs="Arial"/>
          <w:snapToGrid w:val="0"/>
          <w:sz w:val="18"/>
          <w:szCs w:val="24"/>
          <w:lang w:val="fr-FR" w:eastAsia="fr-FR"/>
        </w:rPr>
        <w:t xml:space="preserve">: </w:t>
      </w:r>
      <w:r w:rsidRPr="00C20545">
        <w:rPr>
          <w:rFonts w:eastAsia="PMingLiU" w:cs="Arial"/>
          <w:snapToGrid w:val="0"/>
          <w:sz w:val="18"/>
          <w:szCs w:val="24"/>
          <w:lang w:val="fr-FR" w:eastAsia="fr-FR"/>
        </w:rPr>
        <w:tab/>
      </w:r>
      <w:r w:rsidR="005E2C29" w:rsidRPr="00C20545">
        <w:rPr>
          <w:rFonts w:eastAsia="PMingLiU" w:cs="Arial"/>
          <w:snapToGrid w:val="0"/>
          <w:sz w:val="18"/>
          <w:szCs w:val="24"/>
          <w:lang w:val="fr-FR" w:eastAsia="fr-FR"/>
        </w:rPr>
        <w:t>Association internationale d</w:t>
      </w:r>
      <w:r w:rsidR="00E11BEB" w:rsidRPr="00C20545">
        <w:rPr>
          <w:rFonts w:eastAsia="PMingLiU" w:cs="Arial"/>
          <w:snapToGrid w:val="0"/>
          <w:sz w:val="18"/>
          <w:szCs w:val="24"/>
          <w:lang w:val="fr-FR" w:eastAsia="fr-FR"/>
        </w:rPr>
        <w:t>’</w:t>
      </w:r>
      <w:r w:rsidR="005E2C29" w:rsidRPr="00C20545">
        <w:rPr>
          <w:rFonts w:eastAsia="PMingLiU" w:cs="Arial"/>
          <w:snapToGrid w:val="0"/>
          <w:sz w:val="18"/>
          <w:szCs w:val="24"/>
          <w:lang w:val="fr-FR" w:eastAsia="fr-FR"/>
        </w:rPr>
        <w:t>essais de semences</w:t>
      </w:r>
    </w:p>
    <w:p w14:paraId="53C02204" w14:textId="6C7E04E7" w:rsidR="00531DCD" w:rsidRPr="00C20545" w:rsidRDefault="005E2C29" w:rsidP="00531DCD">
      <w:pPr>
        <w:ind w:left="1701" w:hanging="1134"/>
        <w:rPr>
          <w:rFonts w:eastAsia="PMingLiU" w:cs="Arial"/>
          <w:snapToGrid w:val="0"/>
          <w:sz w:val="18"/>
          <w:szCs w:val="24"/>
          <w:lang w:val="fr-FR"/>
        </w:rPr>
      </w:pPr>
      <w:r w:rsidRPr="00C20545">
        <w:rPr>
          <w:rFonts w:eastAsia="PMingLiU" w:cs="Arial"/>
          <w:sz w:val="18"/>
          <w:szCs w:val="24"/>
          <w:lang w:val="fr-FR"/>
        </w:rPr>
        <w:t>OCDE</w:t>
      </w:r>
      <w:r w:rsidR="00E11BEB" w:rsidRPr="00C20545">
        <w:rPr>
          <w:rFonts w:eastAsia="PMingLiU" w:cs="Arial"/>
          <w:sz w:val="18"/>
          <w:szCs w:val="24"/>
          <w:lang w:val="fr-FR"/>
        </w:rPr>
        <w:t> :</w:t>
      </w:r>
      <w:r w:rsidR="007E7826" w:rsidRPr="00C20545">
        <w:rPr>
          <w:rFonts w:eastAsia="PMingLiU" w:cs="Arial"/>
          <w:sz w:val="18"/>
          <w:szCs w:val="24"/>
          <w:lang w:val="fr-FR"/>
        </w:rPr>
        <w:t xml:space="preserve"> </w:t>
      </w:r>
      <w:r w:rsidRPr="00C20545">
        <w:rPr>
          <w:rFonts w:eastAsia="PMingLiU" w:cs="Arial"/>
          <w:sz w:val="18"/>
          <w:szCs w:val="24"/>
          <w:lang w:val="fr-FR"/>
        </w:rPr>
        <w:tab/>
        <w:t>Organisation de coopération et de développement économiques</w:t>
      </w:r>
    </w:p>
    <w:p w14:paraId="1FA7CC77" w14:textId="398EFBB8" w:rsidR="005E2C29" w:rsidRPr="00C20545" w:rsidRDefault="005E2C29" w:rsidP="005E2C29">
      <w:pPr>
        <w:ind w:left="1701" w:hanging="1134"/>
        <w:rPr>
          <w:sz w:val="18"/>
          <w:lang w:val="fr-FR"/>
        </w:rPr>
      </w:pPr>
      <w:r w:rsidRPr="00C20545">
        <w:rPr>
          <w:sz w:val="18"/>
          <w:lang w:val="fr-FR"/>
        </w:rPr>
        <w:t>TC</w:t>
      </w:r>
      <w:r w:rsidR="00E11BEB" w:rsidRPr="00C20545">
        <w:rPr>
          <w:sz w:val="18"/>
          <w:lang w:val="fr-FR"/>
        </w:rPr>
        <w:t> :</w:t>
      </w:r>
      <w:r w:rsidR="007E7826" w:rsidRPr="00C20545">
        <w:rPr>
          <w:sz w:val="18"/>
          <w:lang w:val="fr-FR"/>
        </w:rPr>
        <w:t xml:space="preserve"> </w:t>
      </w:r>
      <w:r w:rsidRPr="00C20545">
        <w:rPr>
          <w:sz w:val="18"/>
          <w:lang w:val="fr-FR"/>
        </w:rPr>
        <w:tab/>
        <w:t>Comité technique</w:t>
      </w:r>
    </w:p>
    <w:p w14:paraId="035BA5FC" w14:textId="3D5B879A" w:rsidR="005E2C29" w:rsidRPr="00C20545" w:rsidRDefault="005E2C29" w:rsidP="005E2C29">
      <w:pPr>
        <w:ind w:left="1701" w:hanging="1134"/>
        <w:rPr>
          <w:sz w:val="18"/>
          <w:lang w:val="fr-FR"/>
        </w:rPr>
      </w:pPr>
      <w:r w:rsidRPr="00C20545">
        <w:rPr>
          <w:sz w:val="18"/>
          <w:lang w:val="fr-FR"/>
        </w:rPr>
        <w:t>TWA</w:t>
      </w:r>
      <w:r w:rsidR="00E11BEB" w:rsidRPr="00C20545">
        <w:rPr>
          <w:sz w:val="18"/>
          <w:lang w:val="fr-FR"/>
        </w:rPr>
        <w:t> :</w:t>
      </w:r>
      <w:r w:rsidR="007E7826" w:rsidRPr="00C20545">
        <w:rPr>
          <w:sz w:val="18"/>
          <w:lang w:val="fr-FR"/>
        </w:rPr>
        <w:t xml:space="preserve"> </w:t>
      </w:r>
      <w:r w:rsidRPr="00C20545">
        <w:rPr>
          <w:sz w:val="18"/>
          <w:lang w:val="fr-FR"/>
        </w:rPr>
        <w:tab/>
        <w:t>Groupe de travail technique sur les plantes agricoles</w:t>
      </w:r>
    </w:p>
    <w:p w14:paraId="6DFB633A" w14:textId="7B6DFCE7" w:rsidR="005E2C29" w:rsidRPr="00C20545" w:rsidRDefault="005E2C29" w:rsidP="005E2C29">
      <w:pPr>
        <w:ind w:left="1701" w:hanging="1134"/>
        <w:rPr>
          <w:sz w:val="18"/>
          <w:lang w:val="fr-FR"/>
        </w:rPr>
      </w:pPr>
      <w:r w:rsidRPr="00C20545">
        <w:rPr>
          <w:sz w:val="18"/>
          <w:lang w:val="fr-FR"/>
        </w:rPr>
        <w:t>TWF</w:t>
      </w:r>
      <w:r w:rsidR="00E11BEB" w:rsidRPr="00C20545">
        <w:rPr>
          <w:sz w:val="18"/>
          <w:lang w:val="fr-FR"/>
        </w:rPr>
        <w:t> :</w:t>
      </w:r>
      <w:r w:rsidR="007E7826" w:rsidRPr="00C20545">
        <w:rPr>
          <w:sz w:val="18"/>
          <w:lang w:val="fr-FR"/>
        </w:rPr>
        <w:t xml:space="preserve"> </w:t>
      </w:r>
      <w:r w:rsidRPr="00C20545">
        <w:rPr>
          <w:sz w:val="18"/>
          <w:lang w:val="fr-FR"/>
        </w:rPr>
        <w:tab/>
        <w:t>Groupe de travail technique sur les plantes fruitières</w:t>
      </w:r>
    </w:p>
    <w:p w14:paraId="601A8820" w14:textId="380DAE78" w:rsidR="005E2C29" w:rsidRPr="00C20545" w:rsidRDefault="005E2C29" w:rsidP="005E2C29">
      <w:pPr>
        <w:ind w:left="1701" w:hanging="1134"/>
        <w:rPr>
          <w:sz w:val="18"/>
          <w:lang w:val="fr-FR"/>
        </w:rPr>
      </w:pPr>
      <w:r w:rsidRPr="00C20545">
        <w:rPr>
          <w:sz w:val="18"/>
          <w:lang w:val="fr-FR"/>
        </w:rPr>
        <w:t>TWM</w:t>
      </w:r>
      <w:r w:rsidR="007E7826" w:rsidRPr="00C20545">
        <w:rPr>
          <w:sz w:val="18"/>
          <w:lang w:val="fr-FR"/>
        </w:rPr>
        <w:t xml:space="preserve"> : </w:t>
      </w:r>
      <w:r w:rsidRPr="00C20545">
        <w:rPr>
          <w:sz w:val="18"/>
          <w:lang w:val="fr-FR"/>
        </w:rPr>
        <w:tab/>
        <w:t>Groupe de travail technique sur les méthodes et techniques d</w:t>
      </w:r>
      <w:r w:rsidR="00E11BEB" w:rsidRPr="00C20545">
        <w:rPr>
          <w:sz w:val="18"/>
          <w:lang w:val="fr-FR"/>
        </w:rPr>
        <w:t>’</w:t>
      </w:r>
      <w:r w:rsidRPr="00C20545">
        <w:rPr>
          <w:sz w:val="18"/>
          <w:lang w:val="fr-FR"/>
        </w:rPr>
        <w:t>essai</w:t>
      </w:r>
    </w:p>
    <w:p w14:paraId="74E52EBB" w14:textId="2BF107C1" w:rsidR="005E2C29" w:rsidRPr="00C20545" w:rsidRDefault="005E2C29" w:rsidP="005E2C29">
      <w:pPr>
        <w:ind w:left="1701" w:hanging="1134"/>
        <w:rPr>
          <w:sz w:val="18"/>
          <w:lang w:val="fr-FR"/>
        </w:rPr>
      </w:pPr>
      <w:r w:rsidRPr="00C20545">
        <w:rPr>
          <w:sz w:val="18"/>
          <w:lang w:val="fr-FR"/>
        </w:rPr>
        <w:t>TWO</w:t>
      </w:r>
      <w:r w:rsidR="00E11BEB" w:rsidRPr="00C20545">
        <w:rPr>
          <w:sz w:val="18"/>
          <w:lang w:val="fr-FR"/>
        </w:rPr>
        <w:t> :</w:t>
      </w:r>
      <w:r w:rsidR="007E7826" w:rsidRPr="00C20545">
        <w:rPr>
          <w:sz w:val="18"/>
          <w:lang w:val="fr-FR"/>
        </w:rPr>
        <w:t xml:space="preserve"> </w:t>
      </w:r>
      <w:r w:rsidRPr="00C20545">
        <w:rPr>
          <w:sz w:val="18"/>
          <w:lang w:val="fr-FR"/>
        </w:rPr>
        <w:tab/>
        <w:t>Groupe de travail technique sur les plantes ornementales et les arbres forestiers</w:t>
      </w:r>
    </w:p>
    <w:p w14:paraId="173EA67C" w14:textId="58C33A8C" w:rsidR="005E2C29" w:rsidRPr="00C20545" w:rsidRDefault="005E2C29" w:rsidP="005E2C29">
      <w:pPr>
        <w:ind w:left="1701" w:hanging="1134"/>
        <w:rPr>
          <w:sz w:val="18"/>
          <w:lang w:val="fr-FR"/>
        </w:rPr>
      </w:pPr>
      <w:r w:rsidRPr="00C20545">
        <w:rPr>
          <w:sz w:val="18"/>
          <w:lang w:val="fr-FR"/>
        </w:rPr>
        <w:t>TWP</w:t>
      </w:r>
      <w:r w:rsidR="00E11BEB" w:rsidRPr="00C20545">
        <w:rPr>
          <w:sz w:val="18"/>
          <w:lang w:val="fr-FR"/>
        </w:rPr>
        <w:t> :</w:t>
      </w:r>
      <w:r w:rsidR="007E7826" w:rsidRPr="00C20545">
        <w:rPr>
          <w:sz w:val="18"/>
          <w:lang w:val="fr-FR"/>
        </w:rPr>
        <w:t xml:space="preserve"> </w:t>
      </w:r>
      <w:r w:rsidRPr="00C20545">
        <w:rPr>
          <w:sz w:val="18"/>
          <w:lang w:val="fr-FR"/>
        </w:rPr>
        <w:tab/>
        <w:t>Groupe(s) de travail technique(s)</w:t>
      </w:r>
    </w:p>
    <w:p w14:paraId="2A455BE5" w14:textId="54A9F8FB" w:rsidR="00531DCD" w:rsidRPr="00C20545" w:rsidRDefault="005E2C29" w:rsidP="005E2C29">
      <w:pPr>
        <w:ind w:left="1701" w:hanging="1134"/>
        <w:rPr>
          <w:rFonts w:eastAsia="PMingLiU" w:cs="Arial"/>
          <w:sz w:val="18"/>
          <w:szCs w:val="24"/>
          <w:lang w:val="fr-FR"/>
        </w:rPr>
      </w:pPr>
      <w:r w:rsidRPr="00C20545">
        <w:rPr>
          <w:sz w:val="18"/>
          <w:lang w:val="fr-FR"/>
        </w:rPr>
        <w:t>TWV</w:t>
      </w:r>
      <w:r w:rsidR="00E11BEB" w:rsidRPr="00C20545">
        <w:rPr>
          <w:sz w:val="18"/>
          <w:lang w:val="fr-FR"/>
        </w:rPr>
        <w:t> :</w:t>
      </w:r>
      <w:r w:rsidR="007E7826" w:rsidRPr="00C20545">
        <w:rPr>
          <w:sz w:val="18"/>
          <w:lang w:val="fr-FR"/>
        </w:rPr>
        <w:t xml:space="preserve"> </w:t>
      </w:r>
      <w:r w:rsidRPr="00C20545">
        <w:rPr>
          <w:sz w:val="18"/>
          <w:lang w:val="fr-FR"/>
        </w:rPr>
        <w:tab/>
        <w:t>Groupe de travail technique sur les plantes potagères</w:t>
      </w:r>
    </w:p>
    <w:p w14:paraId="41E328F2" w14:textId="77777777" w:rsidR="00C327B6" w:rsidRPr="00C20545" w:rsidRDefault="00C327B6" w:rsidP="00C327B6">
      <w:pPr>
        <w:rPr>
          <w:snapToGrid w:val="0"/>
          <w:lang w:val="fr-FR" w:eastAsia="ja-JP"/>
        </w:rPr>
      </w:pPr>
    </w:p>
    <w:p w14:paraId="42A6B411" w14:textId="77777777" w:rsidR="00531DCD" w:rsidRPr="00C20545" w:rsidRDefault="00531DCD" w:rsidP="00531DCD">
      <w:pPr>
        <w:rPr>
          <w:lang w:val="fr-FR"/>
        </w:rPr>
      </w:pPr>
      <w:bookmarkStart w:id="6" w:name="_Toc525647214"/>
      <w:bookmarkStart w:id="7" w:name="_Toc526175654"/>
    </w:p>
    <w:p w14:paraId="1056B616" w14:textId="51B3F7E9" w:rsidR="00531DCD" w:rsidRPr="00C20545" w:rsidRDefault="00450431" w:rsidP="00D666A7">
      <w:pPr>
        <w:keepNext/>
        <w:rPr>
          <w:lang w:val="fr-FR"/>
        </w:rPr>
      </w:pPr>
      <w:r w:rsidRPr="00C20545">
        <w:rPr>
          <w:lang w:val="fr-FR"/>
        </w:rPr>
        <w:lastRenderedPageBreak/>
        <w:t>RAPPEL</w:t>
      </w:r>
    </w:p>
    <w:p w14:paraId="69942F86" w14:textId="77777777" w:rsidR="00531DCD" w:rsidRPr="00C20545" w:rsidRDefault="00531DCD" w:rsidP="00D666A7">
      <w:pPr>
        <w:keepNext/>
        <w:rPr>
          <w:lang w:val="fr-FR"/>
        </w:rPr>
      </w:pPr>
    </w:p>
    <w:p w14:paraId="699EB214" w14:textId="63E7D310" w:rsidR="00E11BEB" w:rsidRPr="00C20545" w:rsidRDefault="00531DCD" w:rsidP="00531DCD">
      <w:pPr>
        <w:rPr>
          <w:rFonts w:eastAsiaTheme="minorEastAsia"/>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450431" w:rsidRPr="00C20545">
        <w:rPr>
          <w:lang w:val="fr-FR"/>
        </w:rPr>
        <w:t>Il sera rendu compte</w:t>
      </w:r>
      <w:r w:rsidR="00E11BEB" w:rsidRPr="00C20545">
        <w:rPr>
          <w:lang w:val="fr-FR"/>
        </w:rPr>
        <w:t xml:space="preserve"> au CAJ</w:t>
      </w:r>
      <w:r w:rsidR="00450431" w:rsidRPr="00C20545">
        <w:rPr>
          <w:lang w:val="fr-FR"/>
        </w:rPr>
        <w:t>, dans le document CAJ/79/2 “Rapport sur les faits nouveaux intervenus au sein du Comité technique”, des faits nouveaux intervenus à la cinquante</w:t>
      </w:r>
      <w:r w:rsidR="00E11BEB" w:rsidRPr="00C20545">
        <w:rPr>
          <w:lang w:val="fr-FR"/>
        </w:rPr>
        <w:t>-</w:t>
      </w:r>
      <w:r w:rsidR="00450431" w:rsidRPr="00C20545">
        <w:rPr>
          <w:lang w:val="fr-FR"/>
        </w:rPr>
        <w:t>huit</w:t>
      </w:r>
      <w:r w:rsidR="00E11BEB" w:rsidRPr="00C20545">
        <w:rPr>
          <w:lang w:val="fr-FR"/>
        </w:rPr>
        <w:t>ième session</w:t>
      </w:r>
      <w:r w:rsidR="00450431" w:rsidRPr="00C20545">
        <w:rPr>
          <w:lang w:val="fr-FR"/>
        </w:rPr>
        <w:t xml:space="preserve"> du</w:t>
      </w:r>
      <w:r w:rsidR="00E11BEB" w:rsidRPr="00C20545">
        <w:rPr>
          <w:lang w:val="fr-FR"/>
        </w:rPr>
        <w:t> TC</w:t>
      </w:r>
      <w:r w:rsidR="00450431" w:rsidRPr="00C20545">
        <w:rPr>
          <w:lang w:val="fr-FR"/>
        </w:rPr>
        <w:t xml:space="preserve"> en rapport avec les questions traitées dans le présent</w:t>
      </w:r>
      <w:r w:rsidRPr="00C20545">
        <w:rPr>
          <w:lang w:val="fr-FR"/>
        </w:rPr>
        <w:t xml:space="preserve"> document.</w:t>
      </w:r>
    </w:p>
    <w:p w14:paraId="39B2F7BE" w14:textId="2CF5B7F3" w:rsidR="00531DCD" w:rsidRPr="00C20545" w:rsidRDefault="00531DCD" w:rsidP="00531DCD">
      <w:pPr>
        <w:rPr>
          <w:rFonts w:eastAsiaTheme="minorEastAsia"/>
          <w:lang w:val="fr-FR"/>
        </w:rPr>
      </w:pPr>
    </w:p>
    <w:p w14:paraId="21D70FF6" w14:textId="77777777" w:rsidR="00531DCD" w:rsidRPr="00C20545" w:rsidRDefault="00531DCD" w:rsidP="00AF246C">
      <w:pPr>
        <w:pStyle w:val="Heading1"/>
      </w:pPr>
    </w:p>
    <w:bookmarkEnd w:id="6"/>
    <w:bookmarkEnd w:id="7"/>
    <w:p w14:paraId="528C2556" w14:textId="59AA482B" w:rsidR="00C327B6" w:rsidRPr="00C20545" w:rsidRDefault="00450431" w:rsidP="00AF246C">
      <w:pPr>
        <w:pStyle w:val="Heading1"/>
      </w:pPr>
      <w:r w:rsidRPr="00C20545">
        <w:t>COOPÉRATION ENTRE ORGANISATIONS INTERNATIONALES</w:t>
      </w:r>
    </w:p>
    <w:p w14:paraId="18C49643" w14:textId="77777777" w:rsidR="0022628A" w:rsidRPr="00C20545" w:rsidRDefault="0022628A" w:rsidP="00C327B6">
      <w:pPr>
        <w:pStyle w:val="Heading2"/>
        <w:rPr>
          <w:lang w:val="fr-FR"/>
        </w:rPr>
      </w:pPr>
    </w:p>
    <w:p w14:paraId="27B4EE99" w14:textId="2C9CDC85" w:rsidR="00C327B6" w:rsidRPr="00C20545" w:rsidRDefault="008F5D7D" w:rsidP="00C327B6">
      <w:pPr>
        <w:pStyle w:val="Heading2"/>
        <w:rPr>
          <w:lang w:val="fr-FR"/>
        </w:rPr>
      </w:pPr>
      <w:r w:rsidRPr="00C20545">
        <w:rPr>
          <w:lang w:val="fr-FR"/>
        </w:rPr>
        <w:t>Rappel</w:t>
      </w:r>
    </w:p>
    <w:p w14:paraId="63321974" w14:textId="77777777" w:rsidR="00C327B6" w:rsidRPr="00C20545" w:rsidRDefault="00C327B6" w:rsidP="00C327B6">
      <w:pPr>
        <w:rPr>
          <w:lang w:val="fr-FR"/>
        </w:rPr>
      </w:pPr>
    </w:p>
    <w:p w14:paraId="140767FC" w14:textId="43DDF486" w:rsidR="00C327B6" w:rsidRPr="00C20545" w:rsidRDefault="00C327B6" w:rsidP="00C327B6">
      <w:pPr>
        <w:rPr>
          <w:rFonts w:eastAsiaTheme="minorEastAsia"/>
          <w:lang w:val="fr-FR" w:eastAsia="ja-JP"/>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8F5D7D" w:rsidRPr="00C20545">
        <w:rPr>
          <w:rFonts w:eastAsiaTheme="minorEastAsia"/>
          <w:lang w:val="fr-FR" w:eastAsia="ja-JP"/>
        </w:rPr>
        <w:t xml:space="preserve">On trouvera des informations générales sur cette question aux </w:t>
      </w:r>
      <w:r w:rsidR="00E11BEB" w:rsidRPr="00C20545">
        <w:rPr>
          <w:rFonts w:eastAsiaTheme="minorEastAsia"/>
          <w:lang w:val="fr-FR" w:eastAsia="ja-JP"/>
        </w:rPr>
        <w:t>paragraphes 8</w:t>
      </w:r>
      <w:r w:rsidR="008F5D7D" w:rsidRPr="00C20545">
        <w:rPr>
          <w:rFonts w:eastAsiaTheme="minorEastAsia"/>
          <w:lang w:val="fr-FR" w:eastAsia="ja-JP"/>
        </w:rPr>
        <w:t xml:space="preserve"> à 31 du </w:t>
      </w:r>
      <w:r w:rsidR="00E12011">
        <w:rPr>
          <w:rFonts w:eastAsiaTheme="minorEastAsia"/>
          <w:lang w:val="fr-FR" w:eastAsia="ja-JP"/>
        </w:rPr>
        <w:br/>
      </w:r>
      <w:r w:rsidR="008F5D7D" w:rsidRPr="00C20545">
        <w:rPr>
          <w:rFonts w:eastAsiaTheme="minorEastAsia"/>
          <w:lang w:val="fr-FR" w:eastAsia="ja-JP"/>
        </w:rPr>
        <w:t>document CAJ/78/INF/5 “Techniques moléculaires”</w:t>
      </w:r>
      <w:r w:rsidR="00D51C0B" w:rsidRPr="00C20545">
        <w:rPr>
          <w:rFonts w:eastAsiaTheme="minorEastAsia"/>
          <w:lang w:val="fr-FR" w:eastAsia="ja-JP"/>
        </w:rPr>
        <w:t>.</w:t>
      </w:r>
    </w:p>
    <w:p w14:paraId="7B2CF726" w14:textId="77777777" w:rsidR="00C327B6" w:rsidRPr="00C20545" w:rsidRDefault="00C327B6" w:rsidP="00C327B6">
      <w:pPr>
        <w:rPr>
          <w:rFonts w:eastAsiaTheme="minorEastAsia"/>
          <w:lang w:val="fr-FR" w:eastAsia="ja-JP"/>
        </w:rPr>
      </w:pPr>
    </w:p>
    <w:p w14:paraId="7B4105FB" w14:textId="7BD4F452" w:rsidR="00E11BEB" w:rsidRPr="00C20545" w:rsidRDefault="00D51C0B" w:rsidP="001D0DDD">
      <w:pPr>
        <w:rPr>
          <w:lang w:val="fr-FR"/>
        </w:rPr>
      </w:pPr>
      <w:r w:rsidRPr="00C20545">
        <w:rPr>
          <w:rFonts w:eastAsiaTheme="minorEastAsia"/>
          <w:lang w:val="fr-FR" w:eastAsia="ja-JP"/>
        </w:rPr>
        <w:fldChar w:fldCharType="begin"/>
      </w:r>
      <w:r w:rsidRPr="00C20545">
        <w:rPr>
          <w:rFonts w:eastAsiaTheme="minorEastAsia"/>
          <w:lang w:val="fr-FR" w:eastAsia="ja-JP"/>
        </w:rPr>
        <w:instrText xml:space="preserve"> AUTONUM  </w:instrText>
      </w:r>
      <w:r w:rsidRPr="00C20545">
        <w:rPr>
          <w:rFonts w:eastAsiaTheme="minorEastAsia"/>
          <w:lang w:val="fr-FR" w:eastAsia="ja-JP"/>
        </w:rPr>
        <w:fldChar w:fldCharType="end"/>
      </w:r>
      <w:r w:rsidRPr="00C20545">
        <w:rPr>
          <w:rFonts w:eastAsiaTheme="minorEastAsia"/>
          <w:lang w:val="fr-FR" w:eastAsia="ja-JP"/>
        </w:rPr>
        <w:tab/>
      </w:r>
      <w:r w:rsidR="008F5D7D" w:rsidRPr="00C20545">
        <w:rPr>
          <w:rFonts w:eastAsiaTheme="minorEastAsia"/>
          <w:lang w:val="fr-FR" w:eastAsia="ja-JP"/>
        </w:rPr>
        <w:t>Les faits nouveaux concernant cette question depuis la soixante</w:t>
      </w:r>
      <w:r w:rsidR="00E11BEB" w:rsidRPr="00C20545">
        <w:rPr>
          <w:rFonts w:eastAsiaTheme="minorEastAsia"/>
          <w:lang w:val="fr-FR" w:eastAsia="ja-JP"/>
        </w:rPr>
        <w:t>-</w:t>
      </w:r>
      <w:r w:rsidR="008F5D7D" w:rsidRPr="00C20545">
        <w:rPr>
          <w:rFonts w:eastAsiaTheme="minorEastAsia"/>
          <w:lang w:val="fr-FR" w:eastAsia="ja-JP"/>
        </w:rPr>
        <w:t>dix</w:t>
      </w:r>
      <w:r w:rsidR="00E11BEB" w:rsidRPr="00C20545">
        <w:rPr>
          <w:rFonts w:eastAsiaTheme="minorEastAsia"/>
          <w:lang w:val="fr-FR" w:eastAsia="ja-JP"/>
        </w:rPr>
        <w:t>-</w:t>
      </w:r>
      <w:r w:rsidR="008F5D7D" w:rsidRPr="00C20545">
        <w:rPr>
          <w:rFonts w:eastAsiaTheme="minorEastAsia"/>
          <w:lang w:val="fr-FR" w:eastAsia="ja-JP"/>
        </w:rPr>
        <w:t>huit</w:t>
      </w:r>
      <w:r w:rsidR="00E11BEB" w:rsidRPr="00C20545">
        <w:rPr>
          <w:rFonts w:eastAsiaTheme="minorEastAsia"/>
          <w:lang w:val="fr-FR" w:eastAsia="ja-JP"/>
        </w:rPr>
        <w:t>ième session du </w:t>
      </w:r>
      <w:r w:rsidR="00E11BEB" w:rsidRPr="00C20545">
        <w:rPr>
          <w:lang w:val="fr-FR"/>
        </w:rPr>
        <w:t>CAJ</w:t>
      </w:r>
      <w:r w:rsidR="001D0DDD" w:rsidRPr="00C20545">
        <w:rPr>
          <w:lang w:val="fr-FR"/>
        </w:rPr>
        <w:t xml:space="preserve"> </w:t>
      </w:r>
      <w:r w:rsidR="008F5D7D" w:rsidRPr="00C20545">
        <w:rPr>
          <w:lang w:val="fr-FR"/>
        </w:rPr>
        <w:t xml:space="preserve">sont présentés dans les </w:t>
      </w:r>
      <w:r w:rsidRPr="00C20545">
        <w:rPr>
          <w:rFonts w:eastAsiaTheme="minorEastAsia"/>
          <w:lang w:val="fr-FR" w:eastAsia="ja-JP"/>
        </w:rPr>
        <w:t>paragraph</w:t>
      </w:r>
      <w:r w:rsidR="008F5D7D" w:rsidRPr="00C20545">
        <w:rPr>
          <w:rFonts w:eastAsiaTheme="minorEastAsia"/>
          <w:lang w:val="fr-FR" w:eastAsia="ja-JP"/>
        </w:rPr>
        <w:t>e</w:t>
      </w:r>
      <w:r w:rsidRPr="00C20545">
        <w:rPr>
          <w:rFonts w:eastAsiaTheme="minorEastAsia"/>
          <w:lang w:val="fr-FR" w:eastAsia="ja-JP"/>
        </w:rPr>
        <w:t>s</w:t>
      </w:r>
      <w:r w:rsidR="008F5D7D" w:rsidRPr="00C20545">
        <w:rPr>
          <w:rFonts w:eastAsiaTheme="minorEastAsia"/>
          <w:lang w:val="fr-FR" w:eastAsia="ja-JP"/>
        </w:rPr>
        <w:t xml:space="preserve"> ci</w:t>
      </w:r>
      <w:r w:rsidR="00E11BEB" w:rsidRPr="00C20545">
        <w:rPr>
          <w:rFonts w:eastAsiaTheme="minorEastAsia"/>
          <w:lang w:val="fr-FR" w:eastAsia="ja-JP"/>
        </w:rPr>
        <w:t>-</w:t>
      </w:r>
      <w:r w:rsidR="008F5D7D" w:rsidRPr="00C20545">
        <w:rPr>
          <w:rFonts w:eastAsiaTheme="minorEastAsia"/>
          <w:lang w:val="fr-FR" w:eastAsia="ja-JP"/>
        </w:rPr>
        <w:t>après</w:t>
      </w:r>
      <w:r w:rsidRPr="00C20545">
        <w:rPr>
          <w:rFonts w:eastAsiaTheme="minorEastAsia"/>
          <w:lang w:val="fr-FR" w:eastAsia="ja-JP"/>
        </w:rPr>
        <w:t>.</w:t>
      </w:r>
    </w:p>
    <w:p w14:paraId="68FB16C0" w14:textId="1B71E3E8" w:rsidR="00C327B6" w:rsidRPr="00C20545" w:rsidRDefault="00C327B6" w:rsidP="00C327B6">
      <w:pPr>
        <w:rPr>
          <w:rFonts w:eastAsiaTheme="minorEastAsia"/>
          <w:lang w:val="fr-FR"/>
        </w:rPr>
      </w:pPr>
    </w:p>
    <w:p w14:paraId="03A4AEE7" w14:textId="5654737B" w:rsidR="00C327B6" w:rsidRPr="00C20545" w:rsidRDefault="00C327B6" w:rsidP="00C327B6">
      <w:pPr>
        <w:pStyle w:val="Heading2"/>
        <w:rPr>
          <w:rFonts w:eastAsiaTheme="minorEastAsia"/>
          <w:lang w:val="fr-FR"/>
        </w:rPr>
      </w:pPr>
      <w:bookmarkStart w:id="8" w:name="_Toc14980928"/>
      <w:bookmarkStart w:id="9" w:name="_Toc15059498"/>
      <w:bookmarkStart w:id="10" w:name="_Toc15295343"/>
      <w:bookmarkStart w:id="11" w:name="_Toc22564623"/>
      <w:bookmarkStart w:id="12" w:name="_Toc27663377"/>
      <w:bookmarkStart w:id="13" w:name="_Toc116594876"/>
      <w:r w:rsidRPr="00C20545">
        <w:rPr>
          <w:rFonts w:eastAsiaTheme="minorEastAsia"/>
          <w:lang w:val="fr-FR"/>
        </w:rPr>
        <w:t>Invent</w:t>
      </w:r>
      <w:r w:rsidR="008F5D7D" w:rsidRPr="00C20545">
        <w:rPr>
          <w:rFonts w:eastAsiaTheme="minorEastAsia"/>
          <w:lang w:val="fr-FR"/>
        </w:rPr>
        <w:t>aire, par plante, de l</w:t>
      </w:r>
      <w:r w:rsidR="00E11BEB" w:rsidRPr="00C20545">
        <w:rPr>
          <w:rFonts w:eastAsiaTheme="minorEastAsia"/>
          <w:lang w:val="fr-FR"/>
        </w:rPr>
        <w:t>’</w:t>
      </w:r>
      <w:r w:rsidR="008F5D7D" w:rsidRPr="00C20545">
        <w:rPr>
          <w:rFonts w:eastAsiaTheme="minorEastAsia"/>
          <w:lang w:val="fr-FR"/>
        </w:rPr>
        <w:t>utilisation qui est faite des techniques faisant intervenir des marqueurs moléculaires</w:t>
      </w:r>
      <w:bookmarkEnd w:id="8"/>
      <w:bookmarkEnd w:id="9"/>
      <w:bookmarkEnd w:id="10"/>
      <w:bookmarkEnd w:id="11"/>
      <w:bookmarkEnd w:id="12"/>
      <w:bookmarkEnd w:id="13"/>
    </w:p>
    <w:p w14:paraId="5FD67DA7" w14:textId="77777777" w:rsidR="00C327B6" w:rsidRPr="00C20545" w:rsidRDefault="00C327B6" w:rsidP="00C327B6">
      <w:pPr>
        <w:rPr>
          <w:rFonts w:eastAsiaTheme="minorEastAsia"/>
          <w:lang w:val="fr-FR"/>
        </w:rPr>
      </w:pPr>
      <w:bookmarkStart w:id="14" w:name="_Toc14980927"/>
      <w:bookmarkStart w:id="15" w:name="_Toc15059497"/>
      <w:bookmarkStart w:id="16" w:name="_Toc15295342"/>
      <w:bookmarkStart w:id="17" w:name="_Toc22564625"/>
      <w:bookmarkStart w:id="18" w:name="_Toc27663379"/>
    </w:p>
    <w:p w14:paraId="0217774E" w14:textId="2E426A7F" w:rsidR="00E11BEB" w:rsidRPr="00C20545" w:rsidRDefault="00C327B6" w:rsidP="00C327B6">
      <w:pPr>
        <w:keepNext/>
        <w:keepLines/>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8F5D7D" w:rsidRPr="00C20545">
        <w:rPr>
          <w:lang w:val="fr-FR"/>
        </w:rPr>
        <w:t>À sa cinquante</w:t>
      </w:r>
      <w:r w:rsidR="007E7826" w:rsidRPr="00C20545">
        <w:rPr>
          <w:lang w:val="fr-FR"/>
        </w:rPr>
        <w:t>-</w:t>
      </w:r>
      <w:r w:rsidR="008F5D7D" w:rsidRPr="00C20545">
        <w:rPr>
          <w:lang w:val="fr-FR"/>
        </w:rPr>
        <w:t>sept</w:t>
      </w:r>
      <w:r w:rsidR="00E11BEB" w:rsidRPr="00C20545">
        <w:rPr>
          <w:lang w:val="fr-FR"/>
        </w:rPr>
        <w:t>ième session</w:t>
      </w:r>
      <w:r w:rsidRPr="00C20545">
        <w:rPr>
          <w:rStyle w:val="FootnoteReference"/>
          <w:lang w:val="fr-FR"/>
        </w:rPr>
        <w:footnoteReference w:id="2"/>
      </w:r>
      <w:r w:rsidRPr="00C20545">
        <w:rPr>
          <w:lang w:val="fr-FR"/>
        </w:rPr>
        <w:t xml:space="preserve">, </w:t>
      </w:r>
      <w:r w:rsidR="008F5D7D" w:rsidRPr="00C20545">
        <w:rPr>
          <w:lang w:val="fr-FR"/>
        </w:rPr>
        <w:t>le</w:t>
      </w:r>
      <w:r w:rsidR="00E11BEB" w:rsidRPr="00C20545">
        <w:rPr>
          <w:lang w:val="fr-FR"/>
        </w:rPr>
        <w:t> TC</w:t>
      </w:r>
      <w:r w:rsidR="001208B0" w:rsidRPr="00C20545">
        <w:rPr>
          <w:lang w:val="fr-FR"/>
        </w:rPr>
        <w:t xml:space="preserve"> a prié le Bureau de l</w:t>
      </w:r>
      <w:r w:rsidR="00E11BEB" w:rsidRPr="00C20545">
        <w:rPr>
          <w:lang w:val="fr-FR"/>
        </w:rPr>
        <w:t>’</w:t>
      </w:r>
      <w:r w:rsidR="001208B0" w:rsidRPr="00C20545">
        <w:rPr>
          <w:lang w:val="fr-FR"/>
        </w:rPr>
        <w:t>Union d</w:t>
      </w:r>
      <w:r w:rsidR="00E11BEB" w:rsidRPr="00C20545">
        <w:rPr>
          <w:lang w:val="fr-FR"/>
        </w:rPr>
        <w:t>’</w:t>
      </w:r>
      <w:r w:rsidR="001208B0" w:rsidRPr="00C20545">
        <w:rPr>
          <w:lang w:val="fr-FR"/>
        </w:rPr>
        <w:t>informer l</w:t>
      </w:r>
      <w:r w:rsidR="00E11BEB" w:rsidRPr="00C20545">
        <w:rPr>
          <w:lang w:val="fr-FR"/>
        </w:rPr>
        <w:t>’</w:t>
      </w:r>
      <w:r w:rsidR="001208B0" w:rsidRPr="00C20545">
        <w:rPr>
          <w:lang w:val="fr-FR"/>
        </w:rPr>
        <w:t>OCDE des résultats de l</w:t>
      </w:r>
      <w:r w:rsidR="00E11BEB" w:rsidRPr="00C20545">
        <w:rPr>
          <w:lang w:val="fr-FR"/>
        </w:rPr>
        <w:t>’</w:t>
      </w:r>
      <w:r w:rsidR="001208B0" w:rsidRPr="00C20545">
        <w:rPr>
          <w:lang w:val="fr-FR"/>
        </w:rPr>
        <w:t xml:space="preserve">enquête, </w:t>
      </w:r>
      <w:r w:rsidR="001E5969" w:rsidRPr="00C20545">
        <w:rPr>
          <w:lang w:val="fr-FR"/>
        </w:rPr>
        <w:t>figurant</w:t>
      </w:r>
      <w:r w:rsidR="001208B0" w:rsidRPr="00C20545">
        <w:rPr>
          <w:lang w:val="fr-FR"/>
        </w:rPr>
        <w:t xml:space="preserve"> dans le </w:t>
      </w:r>
      <w:r w:rsidR="00E11BEB" w:rsidRPr="00C20545">
        <w:rPr>
          <w:lang w:val="fr-FR"/>
        </w:rPr>
        <w:t>document TC</w:t>
      </w:r>
      <w:r w:rsidR="001208B0" w:rsidRPr="00C20545">
        <w:rPr>
          <w:lang w:val="fr-FR"/>
        </w:rPr>
        <w:t>/57/8 “Techniques moléculaires”, et de présenter les faits nouveaux au</w:t>
      </w:r>
      <w:r w:rsidR="00E11BEB" w:rsidRPr="00C20545">
        <w:rPr>
          <w:lang w:val="fr-FR"/>
        </w:rPr>
        <w:t> TC</w:t>
      </w:r>
      <w:r w:rsidR="001208B0" w:rsidRPr="00C20545">
        <w:rPr>
          <w:lang w:val="fr-FR"/>
        </w:rPr>
        <w:t>, à sa cinquante</w:t>
      </w:r>
      <w:r w:rsidR="00E11BEB" w:rsidRPr="00C20545">
        <w:rPr>
          <w:lang w:val="fr-FR"/>
        </w:rPr>
        <w:t>-</w:t>
      </w:r>
      <w:r w:rsidR="001208B0" w:rsidRPr="00C20545">
        <w:rPr>
          <w:lang w:val="fr-FR"/>
        </w:rPr>
        <w:t>huit</w:t>
      </w:r>
      <w:r w:rsidR="00E11BEB" w:rsidRPr="00C20545">
        <w:rPr>
          <w:lang w:val="fr-FR"/>
        </w:rPr>
        <w:t>ième session</w:t>
      </w:r>
      <w:r w:rsidR="001208B0" w:rsidRPr="00C20545">
        <w:rPr>
          <w:lang w:val="fr-FR"/>
        </w:rPr>
        <w:t xml:space="preserve"> (voir le </w:t>
      </w:r>
      <w:r w:rsidR="00E11BEB" w:rsidRPr="00C20545">
        <w:rPr>
          <w:lang w:val="fr-FR"/>
        </w:rPr>
        <w:t>paragraphe 4</w:t>
      </w:r>
      <w:r w:rsidR="001208B0" w:rsidRPr="00C20545">
        <w:rPr>
          <w:lang w:val="fr-FR"/>
        </w:rPr>
        <w:t xml:space="preserve">8 du </w:t>
      </w:r>
      <w:r w:rsidR="00E11BEB" w:rsidRPr="00C20545">
        <w:rPr>
          <w:lang w:val="fr-FR"/>
        </w:rPr>
        <w:t>document TC</w:t>
      </w:r>
      <w:r w:rsidR="001208B0" w:rsidRPr="00C20545">
        <w:rPr>
          <w:lang w:val="fr-FR"/>
        </w:rPr>
        <w:t xml:space="preserve">/57/25 “Compte rendu”). </w:t>
      </w:r>
      <w:r w:rsidR="007E7826" w:rsidRPr="00C20545">
        <w:rPr>
          <w:lang w:val="fr-FR"/>
        </w:rPr>
        <w:t xml:space="preserve"> </w:t>
      </w:r>
      <w:r w:rsidR="00E12011">
        <w:rPr>
          <w:lang w:val="fr-FR"/>
        </w:rPr>
        <w:br/>
      </w:r>
      <w:r w:rsidR="001208B0" w:rsidRPr="00C20545">
        <w:rPr>
          <w:lang w:val="fr-FR"/>
        </w:rPr>
        <w:t>Le 1</w:t>
      </w:r>
      <w:r w:rsidR="00E11BEB" w:rsidRPr="00C20545">
        <w:rPr>
          <w:lang w:val="fr-FR"/>
        </w:rPr>
        <w:t>3 décembre 20</w:t>
      </w:r>
      <w:r w:rsidR="001208B0" w:rsidRPr="00C20545">
        <w:rPr>
          <w:lang w:val="fr-FR"/>
        </w:rPr>
        <w:t>21, le Bureau de l</w:t>
      </w:r>
      <w:r w:rsidR="00E11BEB" w:rsidRPr="00C20545">
        <w:rPr>
          <w:lang w:val="fr-FR"/>
        </w:rPr>
        <w:t>’</w:t>
      </w:r>
      <w:r w:rsidR="001208B0" w:rsidRPr="00C20545">
        <w:rPr>
          <w:lang w:val="fr-FR"/>
        </w:rPr>
        <w:t>Union a informé l</w:t>
      </w:r>
      <w:r w:rsidR="00E11BEB" w:rsidRPr="00C20545">
        <w:rPr>
          <w:lang w:val="fr-FR"/>
        </w:rPr>
        <w:t>’</w:t>
      </w:r>
      <w:r w:rsidR="001208B0" w:rsidRPr="00C20545">
        <w:rPr>
          <w:lang w:val="fr-FR"/>
        </w:rPr>
        <w:t>OCDE des résultats de l</w:t>
      </w:r>
      <w:r w:rsidR="00E11BEB" w:rsidRPr="00C20545">
        <w:rPr>
          <w:lang w:val="fr-FR"/>
        </w:rPr>
        <w:t>’</w:t>
      </w:r>
      <w:r w:rsidR="001208B0" w:rsidRPr="00C20545">
        <w:rPr>
          <w:lang w:val="fr-FR"/>
        </w:rPr>
        <w:t>enquête</w:t>
      </w:r>
      <w:r w:rsidRPr="00C20545">
        <w:rPr>
          <w:lang w:val="fr-FR"/>
        </w:rPr>
        <w:t>.</w:t>
      </w:r>
    </w:p>
    <w:p w14:paraId="74D3A663" w14:textId="088F7210" w:rsidR="00C327B6" w:rsidRPr="00C20545" w:rsidRDefault="00C327B6" w:rsidP="00C327B6">
      <w:pPr>
        <w:rPr>
          <w:lang w:val="fr-FR"/>
        </w:rPr>
      </w:pPr>
    </w:p>
    <w:p w14:paraId="76A30E36" w14:textId="77A3CD2C"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8F5D7D" w:rsidRPr="00C20545">
        <w:rPr>
          <w:lang w:val="fr-FR"/>
        </w:rPr>
        <w:t>À sa cinquante</w:t>
      </w:r>
      <w:r w:rsidR="007E7826" w:rsidRPr="00C20545">
        <w:rPr>
          <w:lang w:val="fr-FR"/>
        </w:rPr>
        <w:t>-</w:t>
      </w:r>
      <w:r w:rsidR="008F5D7D" w:rsidRPr="00C20545">
        <w:rPr>
          <w:lang w:val="fr-FR"/>
        </w:rPr>
        <w:t>sept</w:t>
      </w:r>
      <w:r w:rsidR="00E11BEB" w:rsidRPr="00C20545">
        <w:rPr>
          <w:lang w:val="fr-FR"/>
        </w:rPr>
        <w:t>ième session</w:t>
      </w:r>
      <w:r w:rsidR="008F5D7D" w:rsidRPr="00C20545">
        <w:rPr>
          <w:lang w:val="fr-FR"/>
        </w:rPr>
        <w:t>, le</w:t>
      </w:r>
      <w:r w:rsidR="00E11BEB" w:rsidRPr="00C20545">
        <w:rPr>
          <w:lang w:val="fr-FR"/>
        </w:rPr>
        <w:t> TC</w:t>
      </w:r>
      <w:r w:rsidR="008F5D7D" w:rsidRPr="00C20545">
        <w:rPr>
          <w:lang w:val="fr-FR"/>
        </w:rPr>
        <w:t xml:space="preserve"> est convenu</w:t>
      </w:r>
      <w:r w:rsidRPr="00C20545">
        <w:rPr>
          <w:lang w:val="fr-FR"/>
        </w:rPr>
        <w:t xml:space="preserve"> </w:t>
      </w:r>
      <w:r w:rsidR="001208B0" w:rsidRPr="00C20545">
        <w:rPr>
          <w:lang w:val="fr-FR"/>
        </w:rPr>
        <w:t>de poursuivre l</w:t>
      </w:r>
      <w:r w:rsidR="00E11BEB" w:rsidRPr="00C20545">
        <w:rPr>
          <w:lang w:val="fr-FR"/>
        </w:rPr>
        <w:t>’</w:t>
      </w:r>
      <w:r w:rsidR="001208B0" w:rsidRPr="00C20545">
        <w:rPr>
          <w:lang w:val="fr-FR"/>
        </w:rPr>
        <w:t>enquête sur l</w:t>
      </w:r>
      <w:r w:rsidR="00E11BEB" w:rsidRPr="00C20545">
        <w:rPr>
          <w:lang w:val="fr-FR"/>
        </w:rPr>
        <w:t>’</w:t>
      </w:r>
      <w:r w:rsidR="001208B0" w:rsidRPr="00C20545">
        <w:rPr>
          <w:lang w:val="fr-FR"/>
        </w:rPr>
        <w:t>utilisation des marqueurs moléculaires pour obtenir des informations auprès d</w:t>
      </w:r>
      <w:r w:rsidR="00E11BEB" w:rsidRPr="00C20545">
        <w:rPr>
          <w:lang w:val="fr-FR"/>
        </w:rPr>
        <w:t>’</w:t>
      </w:r>
      <w:r w:rsidR="001208B0" w:rsidRPr="00C20545">
        <w:rPr>
          <w:lang w:val="fr-FR"/>
        </w:rPr>
        <w:t>un plus grand nombre de membres et rechercher les raisons pour lesquelles des membres n</w:t>
      </w:r>
      <w:r w:rsidR="00E11BEB" w:rsidRPr="00C20545">
        <w:rPr>
          <w:lang w:val="fr-FR"/>
        </w:rPr>
        <w:t>’</w:t>
      </w:r>
      <w:r w:rsidR="001208B0" w:rsidRPr="00C20545">
        <w:rPr>
          <w:lang w:val="fr-FR"/>
        </w:rPr>
        <w:t>ont pas répondu à la première enquête</w:t>
      </w:r>
      <w:r w:rsidRPr="00C20545">
        <w:rPr>
          <w:lang w:val="fr-FR"/>
        </w:rPr>
        <w:t>.</w:t>
      </w:r>
    </w:p>
    <w:p w14:paraId="68651D55" w14:textId="77777777" w:rsidR="00C327B6" w:rsidRPr="00C20545" w:rsidRDefault="00C327B6" w:rsidP="00C327B6">
      <w:pPr>
        <w:rPr>
          <w:lang w:val="fr-FR"/>
        </w:rPr>
      </w:pPr>
    </w:p>
    <w:p w14:paraId="0A233F7E" w14:textId="24FC8C18" w:rsidR="00C327B6" w:rsidRPr="00C20545" w:rsidRDefault="00C327B6" w:rsidP="00C327B6">
      <w:pPr>
        <w:rPr>
          <w:rFonts w:cs="Arial"/>
          <w:snapToGrid w:val="0"/>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1208B0" w:rsidRPr="00C20545">
        <w:rPr>
          <w:lang w:val="fr-FR"/>
        </w:rPr>
        <w:t>Le</w:t>
      </w:r>
      <w:r w:rsidR="00E11BEB" w:rsidRPr="00C20545">
        <w:rPr>
          <w:lang w:val="fr-FR"/>
        </w:rPr>
        <w:t xml:space="preserve"> 1</w:t>
      </w:r>
      <w:r w:rsidR="00E11BEB" w:rsidRPr="00C20545">
        <w:rPr>
          <w:vertAlign w:val="superscript"/>
          <w:lang w:val="fr-FR"/>
        </w:rPr>
        <w:t>er</w:t>
      </w:r>
      <w:r w:rsidR="00E11BEB" w:rsidRPr="00C20545">
        <w:rPr>
          <w:lang w:val="fr-FR"/>
        </w:rPr>
        <w:t> février 20</w:t>
      </w:r>
      <w:r w:rsidR="001208B0" w:rsidRPr="00C20545">
        <w:rPr>
          <w:lang w:val="fr-FR"/>
        </w:rPr>
        <w:t>22, le Bureau de l</w:t>
      </w:r>
      <w:r w:rsidR="00E11BEB" w:rsidRPr="00C20545">
        <w:rPr>
          <w:lang w:val="fr-FR"/>
        </w:rPr>
        <w:t>’</w:t>
      </w:r>
      <w:r w:rsidR="001208B0" w:rsidRPr="00C20545">
        <w:rPr>
          <w:lang w:val="fr-FR"/>
        </w:rPr>
        <w:t>Union a diffusé la circulaire E</w:t>
      </w:r>
      <w:r w:rsidR="00E11BEB" w:rsidRPr="00C20545">
        <w:rPr>
          <w:lang w:val="fr-FR"/>
        </w:rPr>
        <w:t>-</w:t>
      </w:r>
      <w:r w:rsidR="001208B0" w:rsidRPr="00C20545">
        <w:rPr>
          <w:lang w:val="fr-FR"/>
        </w:rPr>
        <w:t>22/009 invitant les membres de l</w:t>
      </w:r>
      <w:r w:rsidR="00E11BEB" w:rsidRPr="00C20545">
        <w:rPr>
          <w:lang w:val="fr-FR"/>
        </w:rPr>
        <w:t>’</w:t>
      </w:r>
      <w:r w:rsidR="001208B0" w:rsidRPr="00C20545">
        <w:rPr>
          <w:lang w:val="fr-FR"/>
        </w:rPr>
        <w:t>Union à indiquer s</w:t>
      </w:r>
      <w:r w:rsidR="00E11BEB" w:rsidRPr="00C20545">
        <w:rPr>
          <w:lang w:val="fr-FR"/>
        </w:rPr>
        <w:t>’</w:t>
      </w:r>
      <w:r w:rsidR="001208B0" w:rsidRPr="00C20545">
        <w:rPr>
          <w:lang w:val="fr-FR"/>
        </w:rPr>
        <w:t>ils utilisent des techniques faisant intervenir des marqueurs moléculaires et à poursuivre l</w:t>
      </w:r>
      <w:r w:rsidR="00E11BEB" w:rsidRPr="00C20545">
        <w:rPr>
          <w:lang w:val="fr-FR"/>
        </w:rPr>
        <w:t>’</w:t>
      </w:r>
      <w:r w:rsidR="001208B0" w:rsidRPr="00C20545">
        <w:rPr>
          <w:lang w:val="fr-FR"/>
        </w:rPr>
        <w:t>enquête sur leur utilisation</w:t>
      </w:r>
      <w:r w:rsidRPr="00C20545">
        <w:rPr>
          <w:rFonts w:cs="Arial"/>
          <w:snapToGrid w:val="0"/>
          <w:lang w:val="fr-FR"/>
        </w:rPr>
        <w:t>.</w:t>
      </w:r>
    </w:p>
    <w:p w14:paraId="054770AF" w14:textId="77777777" w:rsidR="00C327B6" w:rsidRPr="00C20545" w:rsidRDefault="00C327B6" w:rsidP="00C327B6">
      <w:pPr>
        <w:rPr>
          <w:rFonts w:cs="Arial"/>
          <w:snapToGrid w:val="0"/>
          <w:lang w:val="fr-FR"/>
        </w:rPr>
      </w:pPr>
    </w:p>
    <w:p w14:paraId="20BAADFC" w14:textId="01367C31"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1208B0" w:rsidRPr="00C20545">
        <w:rPr>
          <w:lang w:val="fr-FR"/>
        </w:rPr>
        <w:t>En réponse à la circulaire E</w:t>
      </w:r>
      <w:r w:rsidR="00E11BEB" w:rsidRPr="00C20545">
        <w:rPr>
          <w:lang w:val="fr-FR"/>
        </w:rPr>
        <w:t>-</w:t>
      </w:r>
      <w:r w:rsidR="001208B0" w:rsidRPr="00C20545">
        <w:rPr>
          <w:lang w:val="fr-FR"/>
        </w:rPr>
        <w:t>22/009, 28 membres de l</w:t>
      </w:r>
      <w:r w:rsidR="00E11BEB" w:rsidRPr="00C20545">
        <w:rPr>
          <w:lang w:val="fr-FR"/>
        </w:rPr>
        <w:t>’</w:t>
      </w:r>
      <w:r w:rsidR="001208B0" w:rsidRPr="00C20545">
        <w:rPr>
          <w:lang w:val="fr-FR"/>
        </w:rPr>
        <w:t>Union ont répondu, dont 15 étaient de nouvelles réponses et 8 des informations supplémentaires sur l</w:t>
      </w:r>
      <w:r w:rsidR="00E11BEB" w:rsidRPr="00C20545">
        <w:rPr>
          <w:lang w:val="fr-FR"/>
        </w:rPr>
        <w:t>’</w:t>
      </w:r>
      <w:r w:rsidR="001208B0" w:rsidRPr="00C20545">
        <w:rPr>
          <w:lang w:val="fr-FR"/>
        </w:rPr>
        <w:t>utilisation de techniques faisant intervenir des marqueurs moléculair</w:t>
      </w:r>
      <w:r w:rsidR="00C20545" w:rsidRPr="00C20545">
        <w:rPr>
          <w:lang w:val="fr-FR"/>
        </w:rPr>
        <w:t>es.  Le</w:t>
      </w:r>
      <w:r w:rsidR="001208B0" w:rsidRPr="00C20545">
        <w:rPr>
          <w:lang w:val="fr-FR"/>
        </w:rPr>
        <w:t xml:space="preserve"> résumé des réponses à l</w:t>
      </w:r>
      <w:r w:rsidR="00E11BEB" w:rsidRPr="00C20545">
        <w:rPr>
          <w:lang w:val="fr-FR"/>
        </w:rPr>
        <w:t>’</w:t>
      </w:r>
      <w:r w:rsidR="001208B0" w:rsidRPr="00C20545">
        <w:rPr>
          <w:lang w:val="fr-FR"/>
        </w:rPr>
        <w:t xml:space="preserve">enquête </w:t>
      </w:r>
      <w:r w:rsidR="00E11BEB" w:rsidRPr="00C20545">
        <w:rPr>
          <w:lang w:val="fr-FR"/>
        </w:rPr>
        <w:t>en 2020</w:t>
      </w:r>
      <w:r w:rsidR="001208B0" w:rsidRPr="00C20545">
        <w:rPr>
          <w:lang w:val="fr-FR"/>
        </w:rPr>
        <w:t xml:space="preserve"> et 2022 est présenté ci</w:t>
      </w:r>
      <w:r w:rsidR="00E11BEB" w:rsidRPr="00C20545">
        <w:rPr>
          <w:lang w:val="fr-FR"/>
        </w:rPr>
        <w:t>-</w:t>
      </w:r>
      <w:r w:rsidR="001E5969" w:rsidRPr="00C20545">
        <w:rPr>
          <w:lang w:val="fr-FR"/>
        </w:rPr>
        <w:t>aprè</w:t>
      </w:r>
      <w:r w:rsidR="001208B0" w:rsidRPr="00C20545">
        <w:rPr>
          <w:lang w:val="fr-FR"/>
        </w:rPr>
        <w:t>s</w:t>
      </w:r>
      <w:r w:rsidR="00E11BEB" w:rsidRPr="00C20545">
        <w:rPr>
          <w:lang w:val="fr-FR"/>
        </w:rPr>
        <w:t> :</w:t>
      </w:r>
    </w:p>
    <w:p w14:paraId="1628F060" w14:textId="6EF90A69" w:rsidR="0022628A" w:rsidRPr="00C20545" w:rsidRDefault="0022628A">
      <w:pPr>
        <w:jc w:val="left"/>
        <w:rPr>
          <w:rFonts w:cs="Arial"/>
          <w:bCs/>
          <w:color w:val="000000"/>
          <w:lang w:val="fr-FR" w:eastAsia="ja-JP"/>
        </w:rPr>
      </w:pPr>
      <w:r w:rsidRPr="00C20545">
        <w:rPr>
          <w:rFonts w:cs="Arial"/>
          <w:bCs/>
          <w:color w:val="000000"/>
          <w:lang w:val="fr-FR" w:eastAsia="ja-JP"/>
        </w:rPr>
        <w:br w:type="page"/>
      </w:r>
    </w:p>
    <w:p w14:paraId="63114791" w14:textId="77777777" w:rsidR="00C327B6" w:rsidRPr="00C20545" w:rsidRDefault="00C327B6" w:rsidP="00C327B6">
      <w:pPr>
        <w:jc w:val="center"/>
        <w:rPr>
          <w:rFonts w:cs="Arial"/>
          <w:bCs/>
          <w:color w:val="000000"/>
          <w:lang w:val="fr-FR" w:eastAsia="ja-JP"/>
        </w:rPr>
        <w:sectPr w:rsidR="00C327B6" w:rsidRPr="00C20545" w:rsidSect="0004198B">
          <w:headerReference w:type="default" r:id="rId9"/>
          <w:pgSz w:w="11907" w:h="16840" w:code="9"/>
          <w:pgMar w:top="510" w:right="1134" w:bottom="1134" w:left="1134" w:header="510" w:footer="680" w:gutter="0"/>
          <w:pgNumType w:start="1"/>
          <w:cols w:space="720"/>
          <w:titlePg/>
        </w:sectPr>
      </w:pPr>
    </w:p>
    <w:tbl>
      <w:tblPr>
        <w:tblStyle w:val="TableGrid"/>
        <w:tblW w:w="4820" w:type="dxa"/>
        <w:tblInd w:w="-5" w:type="dxa"/>
        <w:tblLook w:val="04A0" w:firstRow="1" w:lastRow="0" w:firstColumn="1" w:lastColumn="0" w:noHBand="0" w:noVBand="1"/>
      </w:tblPr>
      <w:tblGrid>
        <w:gridCol w:w="2410"/>
        <w:gridCol w:w="2410"/>
      </w:tblGrid>
      <w:tr w:rsidR="0022628A" w:rsidRPr="002C6F63" w14:paraId="2B91F6E6" w14:textId="77777777" w:rsidTr="0022628A">
        <w:trPr>
          <w:trHeight w:val="326"/>
        </w:trPr>
        <w:tc>
          <w:tcPr>
            <w:tcW w:w="2410" w:type="dxa"/>
            <w:vAlign w:val="center"/>
            <w:hideMark/>
          </w:tcPr>
          <w:p w14:paraId="3B9A42AE" w14:textId="46DAEBF7"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lastRenderedPageBreak/>
              <w:t>Membre</w:t>
            </w:r>
          </w:p>
        </w:tc>
        <w:tc>
          <w:tcPr>
            <w:tcW w:w="2410" w:type="dxa"/>
            <w:vAlign w:val="center"/>
            <w:hideMark/>
          </w:tcPr>
          <w:p w14:paraId="27FCE2B5" w14:textId="0EF92AB7"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Utilisation de techniques avec marqueurs moléculaires (OUI/NON)</w:t>
            </w:r>
          </w:p>
        </w:tc>
      </w:tr>
      <w:tr w:rsidR="0022628A" w:rsidRPr="00C20545" w14:paraId="26725FE9" w14:textId="77777777" w:rsidTr="0022628A">
        <w:trPr>
          <w:trHeight w:val="276"/>
        </w:trPr>
        <w:tc>
          <w:tcPr>
            <w:tcW w:w="2410" w:type="dxa"/>
            <w:vAlign w:val="center"/>
            <w:hideMark/>
          </w:tcPr>
          <w:p w14:paraId="19B9916D" w14:textId="78FC83E1"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Allemagne</w:t>
            </w:r>
          </w:p>
        </w:tc>
        <w:tc>
          <w:tcPr>
            <w:tcW w:w="2410" w:type="dxa"/>
            <w:vAlign w:val="center"/>
            <w:hideMark/>
          </w:tcPr>
          <w:p w14:paraId="7F0CBB17" w14:textId="772B5AE2"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353560D3" w14:textId="77777777" w:rsidTr="0022628A">
        <w:trPr>
          <w:trHeight w:val="276"/>
        </w:trPr>
        <w:tc>
          <w:tcPr>
            <w:tcW w:w="2410" w:type="dxa"/>
            <w:vAlign w:val="center"/>
            <w:hideMark/>
          </w:tcPr>
          <w:p w14:paraId="0CD63F8B" w14:textId="13F0F26B"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Argentine</w:t>
            </w:r>
          </w:p>
        </w:tc>
        <w:tc>
          <w:tcPr>
            <w:tcW w:w="2410" w:type="dxa"/>
            <w:vAlign w:val="center"/>
            <w:hideMark/>
          </w:tcPr>
          <w:p w14:paraId="12507F6E" w14:textId="264A2C35"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342B7EB8" w14:textId="77777777" w:rsidTr="0022628A">
        <w:trPr>
          <w:trHeight w:val="276"/>
        </w:trPr>
        <w:tc>
          <w:tcPr>
            <w:tcW w:w="2410" w:type="dxa"/>
            <w:vAlign w:val="center"/>
            <w:hideMark/>
          </w:tcPr>
          <w:p w14:paraId="5BD04B87" w14:textId="541635CD"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Australie</w:t>
            </w:r>
          </w:p>
        </w:tc>
        <w:tc>
          <w:tcPr>
            <w:tcW w:w="2410" w:type="dxa"/>
            <w:vAlign w:val="center"/>
            <w:hideMark/>
          </w:tcPr>
          <w:p w14:paraId="60EE61D1" w14:textId="2DB81E0F"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14C332D7" w14:textId="77777777" w:rsidTr="0022628A">
        <w:trPr>
          <w:trHeight w:val="276"/>
        </w:trPr>
        <w:tc>
          <w:tcPr>
            <w:tcW w:w="2410" w:type="dxa"/>
            <w:vAlign w:val="center"/>
            <w:hideMark/>
          </w:tcPr>
          <w:p w14:paraId="03A932FD" w14:textId="688B05D3"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Autriche</w:t>
            </w:r>
          </w:p>
        </w:tc>
        <w:tc>
          <w:tcPr>
            <w:tcW w:w="2410" w:type="dxa"/>
            <w:vAlign w:val="center"/>
            <w:hideMark/>
          </w:tcPr>
          <w:p w14:paraId="0D15B4BB" w14:textId="5E50E17B"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05C370A5" w14:textId="77777777" w:rsidTr="0022628A">
        <w:trPr>
          <w:trHeight w:val="276"/>
        </w:trPr>
        <w:tc>
          <w:tcPr>
            <w:tcW w:w="2410" w:type="dxa"/>
            <w:vAlign w:val="center"/>
            <w:hideMark/>
          </w:tcPr>
          <w:p w14:paraId="1F8231D5" w14:textId="0B6744FA"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Belgique</w:t>
            </w:r>
          </w:p>
        </w:tc>
        <w:tc>
          <w:tcPr>
            <w:tcW w:w="2410" w:type="dxa"/>
            <w:vAlign w:val="center"/>
            <w:hideMark/>
          </w:tcPr>
          <w:p w14:paraId="60BE760B" w14:textId="414C637E"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2F81E3AD" w14:textId="77777777" w:rsidTr="0022628A">
        <w:trPr>
          <w:trHeight w:val="276"/>
        </w:trPr>
        <w:tc>
          <w:tcPr>
            <w:tcW w:w="2410" w:type="dxa"/>
            <w:vAlign w:val="center"/>
            <w:hideMark/>
          </w:tcPr>
          <w:p w14:paraId="35C52BF4" w14:textId="5D2ECBC3"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Bolivie</w:t>
            </w:r>
          </w:p>
        </w:tc>
        <w:tc>
          <w:tcPr>
            <w:tcW w:w="2410" w:type="dxa"/>
            <w:vAlign w:val="center"/>
            <w:hideMark/>
          </w:tcPr>
          <w:p w14:paraId="68340A74" w14:textId="31FCA887"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6DAB78E9" w14:textId="77777777" w:rsidTr="0022628A">
        <w:trPr>
          <w:trHeight w:val="276"/>
        </w:trPr>
        <w:tc>
          <w:tcPr>
            <w:tcW w:w="2410" w:type="dxa"/>
            <w:vAlign w:val="center"/>
            <w:hideMark/>
          </w:tcPr>
          <w:p w14:paraId="25082E07" w14:textId="63478B6A"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Brésil</w:t>
            </w:r>
          </w:p>
        </w:tc>
        <w:tc>
          <w:tcPr>
            <w:tcW w:w="2410" w:type="dxa"/>
            <w:vAlign w:val="center"/>
            <w:hideMark/>
          </w:tcPr>
          <w:p w14:paraId="45DA95A3" w14:textId="7D8D478A"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3570915E" w14:textId="77777777" w:rsidTr="0022628A">
        <w:trPr>
          <w:trHeight w:val="276"/>
        </w:trPr>
        <w:tc>
          <w:tcPr>
            <w:tcW w:w="2410" w:type="dxa"/>
            <w:vAlign w:val="center"/>
            <w:hideMark/>
          </w:tcPr>
          <w:p w14:paraId="664A75A8" w14:textId="35C9EE23"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Canada</w:t>
            </w:r>
          </w:p>
        </w:tc>
        <w:tc>
          <w:tcPr>
            <w:tcW w:w="2410" w:type="dxa"/>
            <w:vAlign w:val="center"/>
            <w:hideMark/>
          </w:tcPr>
          <w:p w14:paraId="5190A757" w14:textId="4F25D9B6"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113F4BBD" w14:textId="77777777" w:rsidTr="0022628A">
        <w:trPr>
          <w:trHeight w:val="276"/>
        </w:trPr>
        <w:tc>
          <w:tcPr>
            <w:tcW w:w="2410" w:type="dxa"/>
            <w:vAlign w:val="center"/>
            <w:hideMark/>
          </w:tcPr>
          <w:p w14:paraId="3A85980B" w14:textId="02C5EC6B"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Chine</w:t>
            </w:r>
          </w:p>
        </w:tc>
        <w:tc>
          <w:tcPr>
            <w:tcW w:w="2410" w:type="dxa"/>
            <w:vAlign w:val="center"/>
            <w:hideMark/>
          </w:tcPr>
          <w:p w14:paraId="3226B01E" w14:textId="6C4DB586"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70F0D766" w14:textId="77777777" w:rsidTr="0022628A">
        <w:trPr>
          <w:trHeight w:val="276"/>
        </w:trPr>
        <w:tc>
          <w:tcPr>
            <w:tcW w:w="2410" w:type="dxa"/>
            <w:vAlign w:val="center"/>
            <w:hideMark/>
          </w:tcPr>
          <w:p w14:paraId="44494729" w14:textId="16ECD8D7"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Espagne</w:t>
            </w:r>
          </w:p>
        </w:tc>
        <w:tc>
          <w:tcPr>
            <w:tcW w:w="2410" w:type="dxa"/>
            <w:vAlign w:val="center"/>
            <w:hideMark/>
          </w:tcPr>
          <w:p w14:paraId="4A3BBDE5" w14:textId="507060A0"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678C98C0" w14:textId="77777777" w:rsidTr="0022628A">
        <w:trPr>
          <w:trHeight w:val="276"/>
        </w:trPr>
        <w:tc>
          <w:tcPr>
            <w:tcW w:w="2410" w:type="dxa"/>
            <w:vAlign w:val="center"/>
            <w:hideMark/>
          </w:tcPr>
          <w:p w14:paraId="628462C2" w14:textId="2A004E94"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Estonie</w:t>
            </w:r>
          </w:p>
        </w:tc>
        <w:tc>
          <w:tcPr>
            <w:tcW w:w="2410" w:type="dxa"/>
            <w:vAlign w:val="center"/>
            <w:hideMark/>
          </w:tcPr>
          <w:p w14:paraId="0BCD8C50" w14:textId="2F980A0A"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110CDB59" w14:textId="77777777" w:rsidTr="0022628A">
        <w:trPr>
          <w:trHeight w:val="300"/>
        </w:trPr>
        <w:tc>
          <w:tcPr>
            <w:tcW w:w="2410" w:type="dxa"/>
            <w:vAlign w:val="center"/>
            <w:hideMark/>
          </w:tcPr>
          <w:p w14:paraId="17CCE6BA" w14:textId="41AB8BD8"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États</w:t>
            </w:r>
            <w:r w:rsidR="00E11BEB" w:rsidRPr="00C20545">
              <w:rPr>
                <w:rFonts w:cs="Arial"/>
                <w:color w:val="000000"/>
                <w:sz w:val="20"/>
                <w:szCs w:val="20"/>
                <w:lang w:val="fr-FR" w:eastAsia="ja-JP"/>
              </w:rPr>
              <w:t>-</w:t>
            </w:r>
            <w:r w:rsidRPr="00C20545">
              <w:rPr>
                <w:rFonts w:cs="Arial"/>
                <w:color w:val="000000"/>
                <w:sz w:val="20"/>
                <w:szCs w:val="20"/>
                <w:lang w:val="fr-FR" w:eastAsia="ja-JP"/>
              </w:rPr>
              <w:t>Unis d</w:t>
            </w:r>
            <w:r w:rsidR="00E11BEB" w:rsidRPr="00C20545">
              <w:rPr>
                <w:rFonts w:cs="Arial"/>
                <w:color w:val="000000"/>
                <w:sz w:val="20"/>
                <w:szCs w:val="20"/>
                <w:lang w:val="fr-FR" w:eastAsia="ja-JP"/>
              </w:rPr>
              <w:t>’</w:t>
            </w:r>
            <w:r w:rsidRPr="00C20545">
              <w:rPr>
                <w:rFonts w:cs="Arial"/>
                <w:color w:val="000000"/>
                <w:sz w:val="20"/>
                <w:szCs w:val="20"/>
                <w:lang w:val="fr-FR" w:eastAsia="ja-JP"/>
              </w:rPr>
              <w:t>Amérique</w:t>
            </w:r>
          </w:p>
        </w:tc>
        <w:tc>
          <w:tcPr>
            <w:tcW w:w="2410" w:type="dxa"/>
            <w:vAlign w:val="center"/>
            <w:hideMark/>
          </w:tcPr>
          <w:p w14:paraId="2ABC3368" w14:textId="22C64B39"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54A53AE6" w14:textId="77777777" w:rsidTr="0022628A">
        <w:trPr>
          <w:trHeight w:val="276"/>
        </w:trPr>
        <w:tc>
          <w:tcPr>
            <w:tcW w:w="2410" w:type="dxa"/>
            <w:vAlign w:val="center"/>
            <w:hideMark/>
          </w:tcPr>
          <w:p w14:paraId="3547B282" w14:textId="77CB51A7"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Fédération de Russie</w:t>
            </w:r>
          </w:p>
        </w:tc>
        <w:tc>
          <w:tcPr>
            <w:tcW w:w="2410" w:type="dxa"/>
            <w:vAlign w:val="center"/>
            <w:hideMark/>
          </w:tcPr>
          <w:p w14:paraId="1A980284" w14:textId="4325EDB1"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3192158D" w14:textId="77777777" w:rsidTr="0022628A">
        <w:trPr>
          <w:trHeight w:val="276"/>
        </w:trPr>
        <w:tc>
          <w:tcPr>
            <w:tcW w:w="2410" w:type="dxa"/>
            <w:vAlign w:val="center"/>
            <w:hideMark/>
          </w:tcPr>
          <w:p w14:paraId="61D16531" w14:textId="32C2A13F"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France</w:t>
            </w:r>
          </w:p>
        </w:tc>
        <w:tc>
          <w:tcPr>
            <w:tcW w:w="2410" w:type="dxa"/>
            <w:vAlign w:val="center"/>
            <w:hideMark/>
          </w:tcPr>
          <w:p w14:paraId="3923E843" w14:textId="5C6BAB3B"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2E6F6B44" w14:textId="77777777" w:rsidTr="0022628A">
        <w:trPr>
          <w:trHeight w:val="276"/>
        </w:trPr>
        <w:tc>
          <w:tcPr>
            <w:tcW w:w="2410" w:type="dxa"/>
            <w:vAlign w:val="center"/>
            <w:hideMark/>
          </w:tcPr>
          <w:p w14:paraId="4C519970" w14:textId="69F9B29D"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Hongrie</w:t>
            </w:r>
          </w:p>
        </w:tc>
        <w:tc>
          <w:tcPr>
            <w:tcW w:w="2410" w:type="dxa"/>
            <w:vAlign w:val="center"/>
            <w:hideMark/>
          </w:tcPr>
          <w:p w14:paraId="71784802" w14:textId="503CFA1D"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0CF6DDE0" w14:textId="77777777" w:rsidTr="0022628A">
        <w:trPr>
          <w:trHeight w:val="276"/>
        </w:trPr>
        <w:tc>
          <w:tcPr>
            <w:tcW w:w="2410" w:type="dxa"/>
            <w:vAlign w:val="center"/>
            <w:hideMark/>
          </w:tcPr>
          <w:p w14:paraId="0372D0F8" w14:textId="3C691F07"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Irlande</w:t>
            </w:r>
          </w:p>
        </w:tc>
        <w:tc>
          <w:tcPr>
            <w:tcW w:w="2410" w:type="dxa"/>
            <w:vAlign w:val="center"/>
            <w:hideMark/>
          </w:tcPr>
          <w:p w14:paraId="66C77596" w14:textId="09BF96F6"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36B48574" w14:textId="77777777" w:rsidTr="0022628A">
        <w:trPr>
          <w:trHeight w:val="276"/>
        </w:trPr>
        <w:tc>
          <w:tcPr>
            <w:tcW w:w="2410" w:type="dxa"/>
            <w:vAlign w:val="center"/>
            <w:hideMark/>
          </w:tcPr>
          <w:p w14:paraId="75AAA0CE" w14:textId="274E8D97"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Israël</w:t>
            </w:r>
          </w:p>
        </w:tc>
        <w:tc>
          <w:tcPr>
            <w:tcW w:w="2410" w:type="dxa"/>
            <w:vAlign w:val="center"/>
            <w:hideMark/>
          </w:tcPr>
          <w:p w14:paraId="2DE7F526" w14:textId="5CE6ED0D"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3179E9EA" w14:textId="77777777" w:rsidTr="0022628A">
        <w:trPr>
          <w:trHeight w:val="276"/>
        </w:trPr>
        <w:tc>
          <w:tcPr>
            <w:tcW w:w="2410" w:type="dxa"/>
            <w:vAlign w:val="center"/>
          </w:tcPr>
          <w:p w14:paraId="715668F3" w14:textId="014CF5F5" w:rsidR="0022628A" w:rsidRPr="00C20545" w:rsidRDefault="0022628A" w:rsidP="0022628A">
            <w:pPr>
              <w:jc w:val="center"/>
              <w:rPr>
                <w:rFonts w:cs="Arial"/>
                <w:color w:val="000000"/>
                <w:lang w:val="fr-FR" w:eastAsia="ja-JP"/>
              </w:rPr>
            </w:pPr>
            <w:r w:rsidRPr="00C20545">
              <w:rPr>
                <w:rFonts w:cs="Arial"/>
                <w:color w:val="000000"/>
                <w:sz w:val="20"/>
                <w:szCs w:val="20"/>
                <w:lang w:val="fr-FR" w:eastAsia="ja-JP"/>
              </w:rPr>
              <w:t>Italie</w:t>
            </w:r>
          </w:p>
        </w:tc>
        <w:tc>
          <w:tcPr>
            <w:tcW w:w="2410" w:type="dxa"/>
            <w:vAlign w:val="center"/>
          </w:tcPr>
          <w:p w14:paraId="1B0532C8" w14:textId="0084577A" w:rsidR="0022628A" w:rsidRPr="00C20545" w:rsidRDefault="0022628A" w:rsidP="0022628A">
            <w:pPr>
              <w:jc w:val="center"/>
              <w:rPr>
                <w:rFonts w:cs="Arial"/>
                <w:bCs/>
                <w:color w:val="000000"/>
                <w:lang w:val="fr-FR" w:eastAsia="ja-JP"/>
              </w:rPr>
            </w:pPr>
            <w:r w:rsidRPr="00C20545">
              <w:rPr>
                <w:rFonts w:cs="Arial"/>
                <w:bCs/>
                <w:color w:val="000000"/>
                <w:sz w:val="20"/>
                <w:szCs w:val="20"/>
                <w:lang w:val="fr-FR" w:eastAsia="ja-JP"/>
              </w:rPr>
              <w:t>OUI</w:t>
            </w:r>
          </w:p>
        </w:tc>
      </w:tr>
      <w:tr w:rsidR="0022628A" w:rsidRPr="00C20545" w14:paraId="7AF929DA" w14:textId="77777777" w:rsidTr="0022628A">
        <w:trPr>
          <w:trHeight w:val="276"/>
        </w:trPr>
        <w:tc>
          <w:tcPr>
            <w:tcW w:w="2410" w:type="dxa"/>
            <w:vAlign w:val="center"/>
          </w:tcPr>
          <w:p w14:paraId="7991AFCB" w14:textId="701CA1E2" w:rsidR="0022628A" w:rsidRPr="00C20545" w:rsidRDefault="0022628A" w:rsidP="0022628A">
            <w:pPr>
              <w:jc w:val="center"/>
              <w:rPr>
                <w:rFonts w:cs="Arial"/>
                <w:color w:val="000000"/>
                <w:lang w:val="fr-FR" w:eastAsia="ja-JP"/>
              </w:rPr>
            </w:pPr>
            <w:r w:rsidRPr="00C20545">
              <w:rPr>
                <w:rFonts w:cs="Arial"/>
                <w:color w:val="000000"/>
                <w:sz w:val="20"/>
                <w:szCs w:val="20"/>
                <w:lang w:val="fr-FR" w:eastAsia="ja-JP"/>
              </w:rPr>
              <w:t>Japon</w:t>
            </w:r>
          </w:p>
        </w:tc>
        <w:tc>
          <w:tcPr>
            <w:tcW w:w="2410" w:type="dxa"/>
            <w:vAlign w:val="center"/>
          </w:tcPr>
          <w:p w14:paraId="6511E7DE" w14:textId="157B5A25" w:rsidR="0022628A" w:rsidRPr="00C20545" w:rsidRDefault="0022628A" w:rsidP="0022628A">
            <w:pPr>
              <w:jc w:val="center"/>
              <w:rPr>
                <w:rFonts w:cs="Arial"/>
                <w:bCs/>
                <w:color w:val="000000"/>
                <w:lang w:val="fr-FR" w:eastAsia="ja-JP"/>
              </w:rPr>
            </w:pPr>
            <w:r w:rsidRPr="00C20545">
              <w:rPr>
                <w:rFonts w:cs="Arial"/>
                <w:bCs/>
                <w:color w:val="000000"/>
                <w:sz w:val="20"/>
                <w:szCs w:val="20"/>
                <w:lang w:val="fr-FR" w:eastAsia="ja-JP"/>
              </w:rPr>
              <w:t>OUI</w:t>
            </w:r>
          </w:p>
        </w:tc>
      </w:tr>
      <w:tr w:rsidR="0022628A" w:rsidRPr="00C20545" w14:paraId="7C0111B6" w14:textId="77777777" w:rsidTr="0022628A">
        <w:trPr>
          <w:trHeight w:val="276"/>
        </w:trPr>
        <w:tc>
          <w:tcPr>
            <w:tcW w:w="2410" w:type="dxa"/>
            <w:vAlign w:val="center"/>
          </w:tcPr>
          <w:p w14:paraId="0B482A62" w14:textId="383DEC1F" w:rsidR="0022628A" w:rsidRPr="00C20545" w:rsidRDefault="0022628A" w:rsidP="0022628A">
            <w:pPr>
              <w:jc w:val="center"/>
              <w:rPr>
                <w:rFonts w:cs="Arial"/>
                <w:color w:val="000000"/>
                <w:lang w:val="fr-FR" w:eastAsia="ja-JP"/>
              </w:rPr>
            </w:pPr>
            <w:r w:rsidRPr="00C20545">
              <w:rPr>
                <w:rFonts w:cs="Arial"/>
                <w:color w:val="000000"/>
                <w:sz w:val="20"/>
                <w:szCs w:val="20"/>
                <w:lang w:val="fr-FR" w:eastAsia="ja-JP"/>
              </w:rPr>
              <w:t>Jordanie</w:t>
            </w:r>
          </w:p>
        </w:tc>
        <w:tc>
          <w:tcPr>
            <w:tcW w:w="2410" w:type="dxa"/>
            <w:vAlign w:val="center"/>
          </w:tcPr>
          <w:p w14:paraId="6A8E9BEF" w14:textId="3A984152" w:rsidR="0022628A" w:rsidRPr="00C20545" w:rsidRDefault="0022628A" w:rsidP="0022628A">
            <w:pPr>
              <w:jc w:val="center"/>
              <w:rPr>
                <w:rFonts w:cs="Arial"/>
                <w:bCs/>
                <w:color w:val="000000"/>
                <w:lang w:val="fr-FR" w:eastAsia="ja-JP"/>
              </w:rPr>
            </w:pPr>
            <w:r w:rsidRPr="00C20545">
              <w:rPr>
                <w:rFonts w:cs="Arial"/>
                <w:bCs/>
                <w:color w:val="000000"/>
                <w:sz w:val="20"/>
                <w:szCs w:val="20"/>
                <w:lang w:val="fr-FR" w:eastAsia="ja-JP"/>
              </w:rPr>
              <w:t>OUI</w:t>
            </w:r>
          </w:p>
        </w:tc>
      </w:tr>
      <w:tr w:rsidR="0022628A" w:rsidRPr="00C20545" w14:paraId="08AE2490" w14:textId="77777777" w:rsidTr="0022628A">
        <w:trPr>
          <w:trHeight w:val="276"/>
        </w:trPr>
        <w:tc>
          <w:tcPr>
            <w:tcW w:w="2410" w:type="dxa"/>
            <w:vAlign w:val="center"/>
          </w:tcPr>
          <w:p w14:paraId="67105CE1" w14:textId="16377B37" w:rsidR="0022628A" w:rsidRPr="00C20545" w:rsidRDefault="0022628A" w:rsidP="0022628A">
            <w:pPr>
              <w:jc w:val="center"/>
              <w:rPr>
                <w:rFonts w:cs="Arial"/>
                <w:color w:val="000000"/>
                <w:lang w:val="fr-FR" w:eastAsia="ja-JP"/>
              </w:rPr>
            </w:pPr>
            <w:r w:rsidRPr="00C20545">
              <w:rPr>
                <w:rFonts w:cs="Arial"/>
                <w:color w:val="000000"/>
                <w:sz w:val="20"/>
                <w:szCs w:val="20"/>
                <w:lang w:val="fr-FR" w:eastAsia="ja-JP"/>
              </w:rPr>
              <w:t>Kenya</w:t>
            </w:r>
          </w:p>
        </w:tc>
        <w:tc>
          <w:tcPr>
            <w:tcW w:w="2410" w:type="dxa"/>
            <w:vAlign w:val="center"/>
          </w:tcPr>
          <w:p w14:paraId="79C7FFD2" w14:textId="3CC9D88D" w:rsidR="0022628A" w:rsidRPr="00C20545" w:rsidRDefault="0022628A" w:rsidP="0022628A">
            <w:pPr>
              <w:jc w:val="center"/>
              <w:rPr>
                <w:rFonts w:cs="Arial"/>
                <w:bCs/>
                <w:color w:val="000000"/>
                <w:lang w:val="fr-FR" w:eastAsia="ja-JP"/>
              </w:rPr>
            </w:pPr>
            <w:r w:rsidRPr="00C20545">
              <w:rPr>
                <w:rFonts w:cs="Arial"/>
                <w:bCs/>
                <w:color w:val="000000"/>
                <w:sz w:val="20"/>
                <w:szCs w:val="20"/>
                <w:lang w:val="fr-FR" w:eastAsia="ja-JP"/>
              </w:rPr>
              <w:t>NON</w:t>
            </w:r>
          </w:p>
        </w:tc>
      </w:tr>
      <w:tr w:rsidR="0022628A" w:rsidRPr="002C6F63" w14:paraId="5E2E93EE" w14:textId="77777777" w:rsidTr="0022628A">
        <w:trPr>
          <w:trHeight w:val="276"/>
        </w:trPr>
        <w:tc>
          <w:tcPr>
            <w:tcW w:w="2410" w:type="dxa"/>
            <w:vAlign w:val="center"/>
          </w:tcPr>
          <w:p w14:paraId="4FC08466" w14:textId="619950D7" w:rsidR="0022628A" w:rsidRPr="00C20545" w:rsidRDefault="0022628A" w:rsidP="0022628A">
            <w:pPr>
              <w:jc w:val="center"/>
              <w:rPr>
                <w:rFonts w:cs="Arial"/>
                <w:color w:val="000000"/>
                <w:lang w:val="fr-FR" w:eastAsia="ja-JP"/>
              </w:rPr>
            </w:pPr>
            <w:r w:rsidRPr="00C20545">
              <w:rPr>
                <w:rFonts w:cs="Arial"/>
                <w:bCs/>
                <w:color w:val="000000"/>
                <w:sz w:val="20"/>
                <w:szCs w:val="20"/>
                <w:lang w:val="fr-FR" w:eastAsia="ja-JP"/>
              </w:rPr>
              <w:t>Membre</w:t>
            </w:r>
          </w:p>
        </w:tc>
        <w:tc>
          <w:tcPr>
            <w:tcW w:w="2410" w:type="dxa"/>
            <w:vAlign w:val="center"/>
          </w:tcPr>
          <w:p w14:paraId="27A41E63" w14:textId="374098DC" w:rsidR="0022628A" w:rsidRPr="00C20545" w:rsidRDefault="0022628A" w:rsidP="0022628A">
            <w:pPr>
              <w:jc w:val="center"/>
              <w:rPr>
                <w:rFonts w:cs="Arial"/>
                <w:bCs/>
                <w:color w:val="000000"/>
                <w:lang w:val="fr-FR" w:eastAsia="ja-JP"/>
              </w:rPr>
            </w:pPr>
            <w:r w:rsidRPr="00C20545">
              <w:rPr>
                <w:rFonts w:cs="Arial"/>
                <w:bCs/>
                <w:color w:val="000000"/>
                <w:sz w:val="20"/>
                <w:szCs w:val="20"/>
                <w:lang w:val="fr-FR" w:eastAsia="ja-JP"/>
              </w:rPr>
              <w:t>Utilisation de techniques avec marqueurs moléculaires (OUI/NON)</w:t>
            </w:r>
          </w:p>
        </w:tc>
      </w:tr>
      <w:tr w:rsidR="0022628A" w:rsidRPr="00C20545" w14:paraId="6075438E" w14:textId="77777777" w:rsidTr="0022628A">
        <w:trPr>
          <w:trHeight w:val="276"/>
        </w:trPr>
        <w:tc>
          <w:tcPr>
            <w:tcW w:w="2410" w:type="dxa"/>
            <w:vAlign w:val="center"/>
            <w:hideMark/>
          </w:tcPr>
          <w:p w14:paraId="3BEDF4BE" w14:textId="2F6E9118"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Lettonie</w:t>
            </w:r>
          </w:p>
        </w:tc>
        <w:tc>
          <w:tcPr>
            <w:tcW w:w="2410" w:type="dxa"/>
            <w:vAlign w:val="center"/>
            <w:hideMark/>
          </w:tcPr>
          <w:p w14:paraId="32D2EA5A" w14:textId="3E26B928"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2F164581" w14:textId="77777777" w:rsidTr="0022628A">
        <w:trPr>
          <w:trHeight w:val="276"/>
        </w:trPr>
        <w:tc>
          <w:tcPr>
            <w:tcW w:w="2410" w:type="dxa"/>
            <w:vAlign w:val="center"/>
            <w:hideMark/>
          </w:tcPr>
          <w:p w14:paraId="0DAD75A8" w14:textId="6A1919D7"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Lituanie</w:t>
            </w:r>
          </w:p>
        </w:tc>
        <w:tc>
          <w:tcPr>
            <w:tcW w:w="2410" w:type="dxa"/>
            <w:vAlign w:val="center"/>
            <w:hideMark/>
          </w:tcPr>
          <w:p w14:paraId="5287640E" w14:textId="2492E31F"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7BB2D260" w14:textId="77777777" w:rsidTr="0022628A">
        <w:trPr>
          <w:trHeight w:val="276"/>
        </w:trPr>
        <w:tc>
          <w:tcPr>
            <w:tcW w:w="2410" w:type="dxa"/>
            <w:vAlign w:val="center"/>
            <w:hideMark/>
          </w:tcPr>
          <w:p w14:paraId="0475263B" w14:textId="2C2DCAD0"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Mexique</w:t>
            </w:r>
          </w:p>
        </w:tc>
        <w:tc>
          <w:tcPr>
            <w:tcW w:w="2410" w:type="dxa"/>
            <w:vAlign w:val="center"/>
            <w:hideMark/>
          </w:tcPr>
          <w:p w14:paraId="1D485A09" w14:textId="0A90CA67"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71374274" w14:textId="77777777" w:rsidTr="0022628A">
        <w:trPr>
          <w:trHeight w:val="276"/>
        </w:trPr>
        <w:tc>
          <w:tcPr>
            <w:tcW w:w="2410" w:type="dxa"/>
            <w:vAlign w:val="center"/>
            <w:hideMark/>
          </w:tcPr>
          <w:p w14:paraId="163D952E" w14:textId="35F39758"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Moldova</w:t>
            </w:r>
          </w:p>
        </w:tc>
        <w:tc>
          <w:tcPr>
            <w:tcW w:w="2410" w:type="dxa"/>
            <w:vAlign w:val="center"/>
            <w:hideMark/>
          </w:tcPr>
          <w:p w14:paraId="5390B331" w14:textId="09AE4692"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3FBD6150" w14:textId="77777777" w:rsidTr="0022628A">
        <w:trPr>
          <w:trHeight w:val="276"/>
        </w:trPr>
        <w:tc>
          <w:tcPr>
            <w:tcW w:w="2410" w:type="dxa"/>
            <w:vAlign w:val="center"/>
            <w:hideMark/>
          </w:tcPr>
          <w:p w14:paraId="6FFD4C4E" w14:textId="4760720B" w:rsidR="0022628A" w:rsidRPr="00C20545" w:rsidRDefault="00E11BEB" w:rsidP="0022628A">
            <w:pPr>
              <w:jc w:val="center"/>
              <w:rPr>
                <w:rFonts w:cs="Arial"/>
                <w:color w:val="000000"/>
                <w:sz w:val="20"/>
                <w:szCs w:val="20"/>
                <w:lang w:val="fr-FR" w:eastAsia="ja-JP"/>
              </w:rPr>
            </w:pPr>
            <w:r w:rsidRPr="00C20545">
              <w:rPr>
                <w:rFonts w:cs="Arial"/>
                <w:color w:val="000000"/>
                <w:sz w:val="20"/>
                <w:szCs w:val="20"/>
                <w:lang w:val="fr-FR" w:eastAsia="ja-JP"/>
              </w:rPr>
              <w:t>Nouvelle-Zélande</w:t>
            </w:r>
          </w:p>
        </w:tc>
        <w:tc>
          <w:tcPr>
            <w:tcW w:w="2410" w:type="dxa"/>
            <w:vAlign w:val="center"/>
            <w:hideMark/>
          </w:tcPr>
          <w:p w14:paraId="63654964" w14:textId="18C635A0"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3AFC4C11" w14:textId="77777777" w:rsidTr="0022628A">
        <w:trPr>
          <w:trHeight w:val="276"/>
        </w:trPr>
        <w:tc>
          <w:tcPr>
            <w:tcW w:w="2410" w:type="dxa"/>
            <w:vAlign w:val="center"/>
            <w:hideMark/>
          </w:tcPr>
          <w:p w14:paraId="5F4B07B0" w14:textId="0B3AE6B5"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Norvège</w:t>
            </w:r>
          </w:p>
        </w:tc>
        <w:tc>
          <w:tcPr>
            <w:tcW w:w="2410" w:type="dxa"/>
            <w:vAlign w:val="center"/>
            <w:hideMark/>
          </w:tcPr>
          <w:p w14:paraId="5C72CBAB" w14:textId="3D4CD6F6"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4D606C1C" w14:textId="77777777" w:rsidTr="0022628A">
        <w:trPr>
          <w:trHeight w:val="276"/>
        </w:trPr>
        <w:tc>
          <w:tcPr>
            <w:tcW w:w="2410" w:type="dxa"/>
            <w:vAlign w:val="center"/>
            <w:hideMark/>
          </w:tcPr>
          <w:p w14:paraId="7BFF060F" w14:textId="4805F074"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Panama</w:t>
            </w:r>
          </w:p>
        </w:tc>
        <w:tc>
          <w:tcPr>
            <w:tcW w:w="2410" w:type="dxa"/>
            <w:vAlign w:val="center"/>
            <w:hideMark/>
          </w:tcPr>
          <w:p w14:paraId="01985E25" w14:textId="63527BE8"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17EDABDF" w14:textId="77777777" w:rsidTr="0022628A">
        <w:trPr>
          <w:trHeight w:val="276"/>
        </w:trPr>
        <w:tc>
          <w:tcPr>
            <w:tcW w:w="2410" w:type="dxa"/>
            <w:vAlign w:val="center"/>
            <w:hideMark/>
          </w:tcPr>
          <w:p w14:paraId="072050A2" w14:textId="5E0C1139"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Pays</w:t>
            </w:r>
            <w:r w:rsidR="00E11BEB" w:rsidRPr="00C20545">
              <w:rPr>
                <w:rFonts w:cs="Arial"/>
                <w:color w:val="000000"/>
                <w:sz w:val="20"/>
                <w:szCs w:val="20"/>
                <w:lang w:val="fr-FR" w:eastAsia="ja-JP"/>
              </w:rPr>
              <w:t>-</w:t>
            </w:r>
            <w:r w:rsidRPr="00C20545">
              <w:rPr>
                <w:rFonts w:cs="Arial"/>
                <w:color w:val="000000"/>
                <w:sz w:val="20"/>
                <w:szCs w:val="20"/>
                <w:lang w:val="fr-FR" w:eastAsia="ja-JP"/>
              </w:rPr>
              <w:t>Bas</w:t>
            </w:r>
          </w:p>
        </w:tc>
        <w:tc>
          <w:tcPr>
            <w:tcW w:w="2410" w:type="dxa"/>
            <w:vAlign w:val="center"/>
            <w:hideMark/>
          </w:tcPr>
          <w:p w14:paraId="7DC2095A" w14:textId="34465A35"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4A82035F" w14:textId="77777777" w:rsidTr="0022628A">
        <w:trPr>
          <w:trHeight w:val="276"/>
        </w:trPr>
        <w:tc>
          <w:tcPr>
            <w:tcW w:w="2410" w:type="dxa"/>
            <w:vAlign w:val="center"/>
            <w:hideMark/>
          </w:tcPr>
          <w:p w14:paraId="13E74C54" w14:textId="25B80498"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Pérou</w:t>
            </w:r>
          </w:p>
        </w:tc>
        <w:tc>
          <w:tcPr>
            <w:tcW w:w="2410" w:type="dxa"/>
            <w:vAlign w:val="center"/>
            <w:hideMark/>
          </w:tcPr>
          <w:p w14:paraId="2B67DC7A" w14:textId="291E5703"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22A56D48" w14:textId="77777777" w:rsidTr="0022628A">
        <w:trPr>
          <w:trHeight w:val="276"/>
        </w:trPr>
        <w:tc>
          <w:tcPr>
            <w:tcW w:w="2410" w:type="dxa"/>
            <w:vAlign w:val="center"/>
            <w:hideMark/>
          </w:tcPr>
          <w:p w14:paraId="78C81F30" w14:textId="312B421A"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Pologne</w:t>
            </w:r>
          </w:p>
        </w:tc>
        <w:tc>
          <w:tcPr>
            <w:tcW w:w="2410" w:type="dxa"/>
            <w:vAlign w:val="center"/>
            <w:hideMark/>
          </w:tcPr>
          <w:p w14:paraId="30615FD0" w14:textId="0054A765"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6CF4F435" w14:textId="77777777" w:rsidTr="0022628A">
        <w:trPr>
          <w:trHeight w:val="276"/>
        </w:trPr>
        <w:tc>
          <w:tcPr>
            <w:tcW w:w="2410" w:type="dxa"/>
            <w:vAlign w:val="center"/>
            <w:hideMark/>
          </w:tcPr>
          <w:p w14:paraId="3F5E17E8" w14:textId="344F21AB"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République tchèque</w:t>
            </w:r>
          </w:p>
        </w:tc>
        <w:tc>
          <w:tcPr>
            <w:tcW w:w="2410" w:type="dxa"/>
            <w:vAlign w:val="center"/>
            <w:hideMark/>
          </w:tcPr>
          <w:p w14:paraId="17C7F454" w14:textId="71E112D7"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72FF3242" w14:textId="77777777" w:rsidTr="0022628A">
        <w:trPr>
          <w:trHeight w:val="276"/>
        </w:trPr>
        <w:tc>
          <w:tcPr>
            <w:tcW w:w="2410" w:type="dxa"/>
            <w:vAlign w:val="center"/>
            <w:hideMark/>
          </w:tcPr>
          <w:p w14:paraId="0C499037" w14:textId="48D6819A"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Roumanie</w:t>
            </w:r>
          </w:p>
        </w:tc>
        <w:tc>
          <w:tcPr>
            <w:tcW w:w="2410" w:type="dxa"/>
            <w:vAlign w:val="center"/>
            <w:hideMark/>
          </w:tcPr>
          <w:p w14:paraId="7D2E444D" w14:textId="33F0D5C6"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4C70AA1C" w14:textId="77777777" w:rsidTr="0022628A">
        <w:trPr>
          <w:trHeight w:val="276"/>
        </w:trPr>
        <w:tc>
          <w:tcPr>
            <w:tcW w:w="2410" w:type="dxa"/>
            <w:vAlign w:val="center"/>
            <w:hideMark/>
          </w:tcPr>
          <w:p w14:paraId="43380A95" w14:textId="0FEA80D5"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Royaume</w:t>
            </w:r>
            <w:r w:rsidR="00E11BEB" w:rsidRPr="00C20545">
              <w:rPr>
                <w:rFonts w:cs="Arial"/>
                <w:color w:val="000000"/>
                <w:sz w:val="20"/>
                <w:szCs w:val="20"/>
                <w:lang w:val="fr-FR" w:eastAsia="ja-JP"/>
              </w:rPr>
              <w:t>-</w:t>
            </w:r>
            <w:r w:rsidRPr="00C20545">
              <w:rPr>
                <w:rFonts w:cs="Arial"/>
                <w:color w:val="000000"/>
                <w:sz w:val="20"/>
                <w:szCs w:val="20"/>
                <w:lang w:val="fr-FR" w:eastAsia="ja-JP"/>
              </w:rPr>
              <w:t>Uni</w:t>
            </w:r>
          </w:p>
        </w:tc>
        <w:tc>
          <w:tcPr>
            <w:tcW w:w="2410" w:type="dxa"/>
            <w:vAlign w:val="center"/>
            <w:hideMark/>
          </w:tcPr>
          <w:p w14:paraId="57FAD2AA" w14:textId="47A4DCE8"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07632974" w14:textId="77777777" w:rsidTr="0022628A">
        <w:trPr>
          <w:trHeight w:val="276"/>
        </w:trPr>
        <w:tc>
          <w:tcPr>
            <w:tcW w:w="2410" w:type="dxa"/>
            <w:vAlign w:val="center"/>
            <w:hideMark/>
          </w:tcPr>
          <w:p w14:paraId="193AD2A9" w14:textId="30C630A0"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Slovaquie</w:t>
            </w:r>
          </w:p>
        </w:tc>
        <w:tc>
          <w:tcPr>
            <w:tcW w:w="2410" w:type="dxa"/>
            <w:vAlign w:val="center"/>
            <w:hideMark/>
          </w:tcPr>
          <w:p w14:paraId="00B052BF" w14:textId="25A65058"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3B9E5222" w14:textId="77777777" w:rsidTr="0022628A">
        <w:trPr>
          <w:trHeight w:val="276"/>
        </w:trPr>
        <w:tc>
          <w:tcPr>
            <w:tcW w:w="2410" w:type="dxa"/>
            <w:vAlign w:val="center"/>
            <w:hideMark/>
          </w:tcPr>
          <w:p w14:paraId="023A063C" w14:textId="589A72D0"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Ukraine</w:t>
            </w:r>
          </w:p>
        </w:tc>
        <w:tc>
          <w:tcPr>
            <w:tcW w:w="2410" w:type="dxa"/>
            <w:hideMark/>
          </w:tcPr>
          <w:p w14:paraId="070DE888" w14:textId="19B85C29"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767D3218" w14:textId="77777777" w:rsidTr="001E5969">
        <w:trPr>
          <w:trHeight w:val="300"/>
        </w:trPr>
        <w:tc>
          <w:tcPr>
            <w:tcW w:w="2410" w:type="dxa"/>
            <w:tcBorders>
              <w:bottom w:val="single" w:sz="4" w:space="0" w:color="auto"/>
            </w:tcBorders>
            <w:vAlign w:val="center"/>
            <w:hideMark/>
          </w:tcPr>
          <w:p w14:paraId="43C1B553" w14:textId="27A77B34"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Union européenne</w:t>
            </w:r>
          </w:p>
        </w:tc>
        <w:tc>
          <w:tcPr>
            <w:tcW w:w="2410" w:type="dxa"/>
            <w:tcBorders>
              <w:bottom w:val="single" w:sz="4" w:space="0" w:color="auto"/>
            </w:tcBorders>
            <w:hideMark/>
          </w:tcPr>
          <w:p w14:paraId="79561554" w14:textId="0712435C"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r>
      <w:tr w:rsidR="0022628A" w:rsidRPr="00C20545" w14:paraId="0F7672DC" w14:textId="77777777" w:rsidTr="001E5969">
        <w:trPr>
          <w:trHeight w:val="288"/>
        </w:trPr>
        <w:tc>
          <w:tcPr>
            <w:tcW w:w="2410" w:type="dxa"/>
            <w:tcBorders>
              <w:bottom w:val="single" w:sz="4" w:space="0" w:color="auto"/>
            </w:tcBorders>
            <w:vAlign w:val="center"/>
            <w:hideMark/>
          </w:tcPr>
          <w:p w14:paraId="3BF7C937" w14:textId="0EB6A577" w:rsidR="0022628A" w:rsidRPr="00C20545" w:rsidRDefault="0022628A" w:rsidP="0022628A">
            <w:pPr>
              <w:jc w:val="center"/>
              <w:rPr>
                <w:rFonts w:cs="Arial"/>
                <w:color w:val="000000"/>
                <w:sz w:val="20"/>
                <w:szCs w:val="20"/>
                <w:lang w:val="fr-FR" w:eastAsia="ja-JP"/>
              </w:rPr>
            </w:pPr>
            <w:r w:rsidRPr="00C20545">
              <w:rPr>
                <w:rFonts w:cs="Arial"/>
                <w:color w:val="000000"/>
                <w:sz w:val="20"/>
                <w:szCs w:val="20"/>
                <w:lang w:val="fr-FR" w:eastAsia="ja-JP"/>
              </w:rPr>
              <w:t>Zimbabwe</w:t>
            </w:r>
          </w:p>
        </w:tc>
        <w:tc>
          <w:tcPr>
            <w:tcW w:w="2410" w:type="dxa"/>
            <w:tcBorders>
              <w:bottom w:val="single" w:sz="4" w:space="0" w:color="auto"/>
            </w:tcBorders>
            <w:vAlign w:val="center"/>
            <w:hideMark/>
          </w:tcPr>
          <w:p w14:paraId="2BEF1E9F" w14:textId="62AEDFCF" w:rsidR="0022628A" w:rsidRPr="00C20545" w:rsidRDefault="0022628A" w:rsidP="001E5969">
            <w:pPr>
              <w:jc w:val="center"/>
              <w:rPr>
                <w:rFonts w:cs="Arial"/>
                <w:bCs/>
                <w:color w:val="000000"/>
                <w:sz w:val="20"/>
                <w:szCs w:val="20"/>
                <w:lang w:val="fr-FR" w:eastAsia="ja-JP"/>
              </w:rPr>
            </w:pPr>
            <w:r w:rsidRPr="00C20545">
              <w:rPr>
                <w:rFonts w:cs="Arial"/>
                <w:bCs/>
                <w:color w:val="000000"/>
                <w:sz w:val="20"/>
                <w:szCs w:val="20"/>
                <w:lang w:val="fr-FR" w:eastAsia="ja-JP"/>
              </w:rPr>
              <w:t>NON</w:t>
            </w:r>
          </w:p>
        </w:tc>
      </w:tr>
      <w:tr w:rsidR="0022628A" w:rsidRPr="00C20545" w14:paraId="05778501" w14:textId="77777777" w:rsidTr="001E5969">
        <w:trPr>
          <w:trHeight w:val="276"/>
        </w:trPr>
        <w:tc>
          <w:tcPr>
            <w:tcW w:w="2410" w:type="dxa"/>
            <w:tcBorders>
              <w:top w:val="single" w:sz="4" w:space="0" w:color="auto"/>
            </w:tcBorders>
            <w:vAlign w:val="center"/>
            <w:hideMark/>
          </w:tcPr>
          <w:p w14:paraId="4E212522" w14:textId="7BD35B81"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OUI</w:t>
            </w:r>
          </w:p>
        </w:tc>
        <w:tc>
          <w:tcPr>
            <w:tcW w:w="2410" w:type="dxa"/>
            <w:tcBorders>
              <w:top w:val="single" w:sz="4" w:space="0" w:color="auto"/>
            </w:tcBorders>
            <w:noWrap/>
            <w:hideMark/>
          </w:tcPr>
          <w:p w14:paraId="689A6091" w14:textId="77777777"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20</w:t>
            </w:r>
          </w:p>
        </w:tc>
      </w:tr>
      <w:tr w:rsidR="0022628A" w:rsidRPr="00C20545" w14:paraId="52EA8EC9" w14:textId="77777777" w:rsidTr="001E5969">
        <w:trPr>
          <w:trHeight w:val="276"/>
        </w:trPr>
        <w:tc>
          <w:tcPr>
            <w:tcW w:w="2410" w:type="dxa"/>
            <w:tcBorders>
              <w:bottom w:val="single" w:sz="4" w:space="0" w:color="auto"/>
            </w:tcBorders>
            <w:vAlign w:val="center"/>
            <w:hideMark/>
          </w:tcPr>
          <w:p w14:paraId="5536212C" w14:textId="67AAF33B"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NON</w:t>
            </w:r>
          </w:p>
        </w:tc>
        <w:tc>
          <w:tcPr>
            <w:tcW w:w="2410" w:type="dxa"/>
            <w:tcBorders>
              <w:bottom w:val="single" w:sz="4" w:space="0" w:color="auto"/>
            </w:tcBorders>
            <w:noWrap/>
            <w:hideMark/>
          </w:tcPr>
          <w:p w14:paraId="18A37C77" w14:textId="77777777"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18</w:t>
            </w:r>
          </w:p>
        </w:tc>
      </w:tr>
      <w:tr w:rsidR="0022628A" w:rsidRPr="00C20545" w14:paraId="4191CB1E" w14:textId="77777777" w:rsidTr="001E5969">
        <w:trPr>
          <w:trHeight w:val="288"/>
        </w:trPr>
        <w:tc>
          <w:tcPr>
            <w:tcW w:w="2410" w:type="dxa"/>
            <w:tcBorders>
              <w:top w:val="single" w:sz="4" w:space="0" w:color="auto"/>
            </w:tcBorders>
            <w:vAlign w:val="center"/>
            <w:hideMark/>
          </w:tcPr>
          <w:p w14:paraId="0B749FA5" w14:textId="1764A77A"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TOTAL</w:t>
            </w:r>
          </w:p>
        </w:tc>
        <w:tc>
          <w:tcPr>
            <w:tcW w:w="2410" w:type="dxa"/>
            <w:tcBorders>
              <w:top w:val="single" w:sz="4" w:space="0" w:color="auto"/>
            </w:tcBorders>
            <w:noWrap/>
            <w:hideMark/>
          </w:tcPr>
          <w:p w14:paraId="141D42A1" w14:textId="77777777" w:rsidR="0022628A" w:rsidRPr="00C20545" w:rsidRDefault="0022628A" w:rsidP="0022628A">
            <w:pPr>
              <w:jc w:val="center"/>
              <w:rPr>
                <w:rFonts w:cs="Arial"/>
                <w:bCs/>
                <w:color w:val="000000"/>
                <w:sz w:val="20"/>
                <w:szCs w:val="20"/>
                <w:lang w:val="fr-FR" w:eastAsia="ja-JP"/>
              </w:rPr>
            </w:pPr>
            <w:r w:rsidRPr="00C20545">
              <w:rPr>
                <w:rFonts w:cs="Arial"/>
                <w:bCs/>
                <w:color w:val="000000"/>
                <w:sz w:val="20"/>
                <w:szCs w:val="20"/>
                <w:lang w:val="fr-FR" w:eastAsia="ja-JP"/>
              </w:rPr>
              <w:t>38</w:t>
            </w:r>
          </w:p>
        </w:tc>
      </w:tr>
    </w:tbl>
    <w:p w14:paraId="112A1352" w14:textId="77777777" w:rsidR="00C327B6" w:rsidRPr="00C20545" w:rsidRDefault="00C327B6" w:rsidP="00C327B6">
      <w:pPr>
        <w:rPr>
          <w:lang w:val="fr-FR"/>
        </w:rPr>
        <w:sectPr w:rsidR="00C327B6" w:rsidRPr="00C20545" w:rsidSect="00D666A7">
          <w:headerReference w:type="first" r:id="rId10"/>
          <w:type w:val="continuous"/>
          <w:pgSz w:w="11907" w:h="16840" w:code="9"/>
          <w:pgMar w:top="510" w:right="1134" w:bottom="1134" w:left="1134" w:header="510" w:footer="680" w:gutter="0"/>
          <w:cols w:num="2" w:space="720"/>
          <w:titlePg/>
        </w:sectPr>
      </w:pPr>
    </w:p>
    <w:p w14:paraId="1633E6F7" w14:textId="1BE87372" w:rsidR="00C327B6" w:rsidRPr="00C20545" w:rsidRDefault="00C327B6" w:rsidP="00C327B6">
      <w:pPr>
        <w:rPr>
          <w:lang w:val="fr-FR"/>
        </w:rPr>
      </w:pPr>
    </w:p>
    <w:p w14:paraId="603051B8" w14:textId="42E2CFEC" w:rsidR="006856D1"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1208B0" w:rsidRPr="00C20545">
        <w:rPr>
          <w:lang w:val="fr-FR"/>
        </w:rPr>
        <w:t>Les résultats détaillés de l</w:t>
      </w:r>
      <w:r w:rsidR="00E11BEB" w:rsidRPr="00C20545">
        <w:rPr>
          <w:lang w:val="fr-FR"/>
        </w:rPr>
        <w:t>’</w:t>
      </w:r>
      <w:r w:rsidR="001208B0" w:rsidRPr="00C20545">
        <w:rPr>
          <w:lang w:val="fr-FR"/>
        </w:rPr>
        <w:t>enquête sont présentés à l</w:t>
      </w:r>
      <w:r w:rsidR="00E11BEB" w:rsidRPr="00C20545">
        <w:rPr>
          <w:lang w:val="fr-FR"/>
        </w:rPr>
        <w:t>’annexe I</w:t>
      </w:r>
      <w:r w:rsidR="001208B0" w:rsidRPr="00C20545">
        <w:rPr>
          <w:lang w:val="fr-FR"/>
        </w:rPr>
        <w:t xml:space="preserve"> du présent document</w:t>
      </w:r>
      <w:r w:rsidRPr="00C20545">
        <w:rPr>
          <w:lang w:val="fr-FR"/>
        </w:rPr>
        <w:t>.</w:t>
      </w:r>
    </w:p>
    <w:p w14:paraId="098AE82D" w14:textId="77777777" w:rsidR="001208B0" w:rsidRPr="00C20545" w:rsidRDefault="001208B0" w:rsidP="00C327B6">
      <w:pPr>
        <w:rPr>
          <w:lang w:val="fr-FR"/>
        </w:rPr>
      </w:pPr>
    </w:p>
    <w:bookmarkEnd w:id="14"/>
    <w:bookmarkEnd w:id="15"/>
    <w:bookmarkEnd w:id="16"/>
    <w:bookmarkEnd w:id="17"/>
    <w:bookmarkEnd w:id="18"/>
    <w:p w14:paraId="1A4D183B" w14:textId="43C064A0" w:rsidR="00C327B6" w:rsidRPr="00C20545" w:rsidRDefault="001208B0" w:rsidP="00C327B6">
      <w:pPr>
        <w:pStyle w:val="Heading2"/>
        <w:rPr>
          <w:rFonts w:eastAsiaTheme="minorEastAsia"/>
          <w:lang w:val="fr-FR"/>
        </w:rPr>
      </w:pPr>
      <w:r w:rsidRPr="00C20545">
        <w:rPr>
          <w:rFonts w:eastAsiaTheme="minorEastAsia"/>
          <w:lang w:val="fr-FR"/>
        </w:rPr>
        <w:t>Document commun présentant les particularités des systèmes de l</w:t>
      </w:r>
      <w:r w:rsidR="00E11BEB" w:rsidRPr="00C20545">
        <w:rPr>
          <w:rFonts w:eastAsiaTheme="minorEastAsia"/>
          <w:lang w:val="fr-FR"/>
        </w:rPr>
        <w:t>’</w:t>
      </w:r>
      <w:r w:rsidRPr="00C20545">
        <w:rPr>
          <w:rFonts w:eastAsiaTheme="minorEastAsia"/>
          <w:lang w:val="fr-FR"/>
        </w:rPr>
        <w:t>OCDE, de l</w:t>
      </w:r>
      <w:r w:rsidR="00E11BEB" w:rsidRPr="00C20545">
        <w:rPr>
          <w:rFonts w:eastAsiaTheme="minorEastAsia"/>
          <w:lang w:val="fr-FR"/>
        </w:rPr>
        <w:t>’</w:t>
      </w:r>
      <w:r w:rsidRPr="00C20545">
        <w:rPr>
          <w:rFonts w:eastAsiaTheme="minorEastAsia"/>
          <w:lang w:val="fr-FR"/>
        </w:rPr>
        <w:t>UPOV et de l</w:t>
      </w:r>
      <w:r w:rsidR="00E11BEB" w:rsidRPr="00C20545">
        <w:rPr>
          <w:rFonts w:eastAsiaTheme="minorEastAsia"/>
          <w:lang w:val="fr-FR"/>
        </w:rPr>
        <w:t>’</w:t>
      </w:r>
      <w:r w:rsidRPr="00C20545">
        <w:rPr>
          <w:rFonts w:eastAsiaTheme="minorEastAsia"/>
          <w:lang w:val="fr-FR"/>
        </w:rPr>
        <w:t>ISTA</w:t>
      </w:r>
    </w:p>
    <w:p w14:paraId="1AA74F80" w14:textId="77777777" w:rsidR="00C327B6" w:rsidRPr="00C20545" w:rsidRDefault="00C327B6" w:rsidP="00C327B6">
      <w:pPr>
        <w:rPr>
          <w:lang w:val="fr-FR"/>
        </w:rPr>
      </w:pPr>
      <w:bookmarkStart w:id="19" w:name="_Toc22569703"/>
    </w:p>
    <w:p w14:paraId="1FA1A098" w14:textId="2F5468AB" w:rsidR="00C327B6" w:rsidRPr="00C20545" w:rsidRDefault="00C327B6" w:rsidP="00C327B6">
      <w:pPr>
        <w:keepNext/>
        <w:keepLines/>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1208B0" w:rsidRPr="00C20545">
        <w:rPr>
          <w:lang w:val="fr-FR"/>
        </w:rPr>
        <w:t>À sa cinquante</w:t>
      </w:r>
      <w:r w:rsidR="00E11BEB" w:rsidRPr="00C20545">
        <w:rPr>
          <w:lang w:val="fr-FR"/>
        </w:rPr>
        <w:t>-</w:t>
      </w:r>
      <w:r w:rsidR="001208B0" w:rsidRPr="00C20545">
        <w:rPr>
          <w:lang w:val="fr-FR"/>
        </w:rPr>
        <w:t>sept</w:t>
      </w:r>
      <w:r w:rsidR="00E11BEB" w:rsidRPr="00C20545">
        <w:rPr>
          <w:lang w:val="fr-FR"/>
        </w:rPr>
        <w:t>ième session</w:t>
      </w:r>
      <w:r w:rsidR="001208B0" w:rsidRPr="00C20545">
        <w:rPr>
          <w:lang w:val="fr-FR"/>
        </w:rPr>
        <w:t>, le</w:t>
      </w:r>
      <w:r w:rsidR="00E11BEB" w:rsidRPr="00C20545">
        <w:rPr>
          <w:lang w:val="fr-FR"/>
        </w:rPr>
        <w:t> TC</w:t>
      </w:r>
      <w:r w:rsidR="001208B0" w:rsidRPr="00C20545">
        <w:rPr>
          <w:lang w:val="fr-FR"/>
        </w:rPr>
        <w:t xml:space="preserve"> a pris note de son approbation par correspondance du projet de document commun présentant les particularités des systèmes de l</w:t>
      </w:r>
      <w:r w:rsidR="00E11BEB" w:rsidRPr="00C20545">
        <w:rPr>
          <w:lang w:val="fr-FR"/>
        </w:rPr>
        <w:t>’</w:t>
      </w:r>
      <w:r w:rsidR="001208B0" w:rsidRPr="00C20545">
        <w:rPr>
          <w:lang w:val="fr-FR"/>
        </w:rPr>
        <w:t>OCDE, de l</w:t>
      </w:r>
      <w:r w:rsidR="00E11BEB" w:rsidRPr="00C20545">
        <w:rPr>
          <w:lang w:val="fr-FR"/>
        </w:rPr>
        <w:t>’</w:t>
      </w:r>
      <w:r w:rsidR="001208B0" w:rsidRPr="00C20545">
        <w:rPr>
          <w:lang w:val="fr-FR"/>
        </w:rPr>
        <w:t>UPOV et de l</w:t>
      </w:r>
      <w:r w:rsidR="00E11BEB" w:rsidRPr="00C20545">
        <w:rPr>
          <w:lang w:val="fr-FR"/>
        </w:rPr>
        <w:t>’</w:t>
      </w:r>
      <w:r w:rsidR="001208B0" w:rsidRPr="00C20545">
        <w:rPr>
          <w:lang w:val="fr-FR"/>
        </w:rPr>
        <w:t>I</w:t>
      </w:r>
      <w:r w:rsidR="00C20545" w:rsidRPr="00C20545">
        <w:rPr>
          <w:lang w:val="fr-FR"/>
        </w:rPr>
        <w:t>STA.  Le</w:t>
      </w:r>
      <w:r w:rsidR="00E11BEB" w:rsidRPr="00C20545">
        <w:rPr>
          <w:lang w:val="fr-FR"/>
        </w:rPr>
        <w:t> TC</w:t>
      </w:r>
      <w:r w:rsidR="001208B0" w:rsidRPr="00C20545">
        <w:rPr>
          <w:lang w:val="fr-FR"/>
        </w:rPr>
        <w:t xml:space="preserve"> a prié le Bureau de l</w:t>
      </w:r>
      <w:r w:rsidR="00E11BEB" w:rsidRPr="00C20545">
        <w:rPr>
          <w:lang w:val="fr-FR"/>
        </w:rPr>
        <w:t>’</w:t>
      </w:r>
      <w:r w:rsidR="001208B0" w:rsidRPr="00C20545">
        <w:rPr>
          <w:lang w:val="fr-FR"/>
        </w:rPr>
        <w:t>Union d</w:t>
      </w:r>
      <w:r w:rsidR="00E11BEB" w:rsidRPr="00C20545">
        <w:rPr>
          <w:lang w:val="fr-FR"/>
        </w:rPr>
        <w:t>’</w:t>
      </w:r>
      <w:r w:rsidR="001208B0" w:rsidRPr="00C20545">
        <w:rPr>
          <w:lang w:val="fr-FR"/>
        </w:rPr>
        <w:t>en informer l</w:t>
      </w:r>
      <w:r w:rsidR="00E11BEB" w:rsidRPr="00C20545">
        <w:rPr>
          <w:lang w:val="fr-FR"/>
        </w:rPr>
        <w:t>’</w:t>
      </w:r>
      <w:r w:rsidR="001208B0" w:rsidRPr="00C20545">
        <w:rPr>
          <w:lang w:val="fr-FR"/>
        </w:rPr>
        <w:t>OCDE et l</w:t>
      </w:r>
      <w:r w:rsidR="00E11BEB" w:rsidRPr="00C20545">
        <w:rPr>
          <w:lang w:val="fr-FR"/>
        </w:rPr>
        <w:t>’</w:t>
      </w:r>
      <w:r w:rsidR="001208B0" w:rsidRPr="00C20545">
        <w:rPr>
          <w:lang w:val="fr-FR"/>
        </w:rPr>
        <w:t xml:space="preserve">ISTA (voir le </w:t>
      </w:r>
      <w:r w:rsidR="00E11BEB" w:rsidRPr="00C20545">
        <w:rPr>
          <w:lang w:val="fr-FR"/>
        </w:rPr>
        <w:t>paragraphe 5</w:t>
      </w:r>
      <w:r w:rsidR="001208B0" w:rsidRPr="00C20545">
        <w:rPr>
          <w:lang w:val="fr-FR"/>
        </w:rPr>
        <w:t xml:space="preserve">2 du </w:t>
      </w:r>
      <w:r w:rsidR="00E11BEB" w:rsidRPr="00C20545">
        <w:rPr>
          <w:lang w:val="fr-FR"/>
        </w:rPr>
        <w:t>document TC</w:t>
      </w:r>
      <w:r w:rsidR="001208B0" w:rsidRPr="00C20545">
        <w:rPr>
          <w:lang w:val="fr-FR"/>
        </w:rPr>
        <w:t>/57/25 “Compte rendu”)</w:t>
      </w:r>
      <w:r w:rsidRPr="00C20545">
        <w:rPr>
          <w:lang w:val="fr-FR"/>
        </w:rPr>
        <w:t>.</w:t>
      </w:r>
      <w:r w:rsidR="007263AF" w:rsidRPr="00C20545">
        <w:rPr>
          <w:lang w:val="fr-FR"/>
        </w:rPr>
        <w:t xml:space="preserve"> </w:t>
      </w:r>
      <w:r w:rsidR="007E7826" w:rsidRPr="00C20545">
        <w:rPr>
          <w:lang w:val="fr-FR"/>
        </w:rPr>
        <w:t xml:space="preserve"> </w:t>
      </w:r>
      <w:r w:rsidR="001208B0" w:rsidRPr="00C20545">
        <w:rPr>
          <w:lang w:val="fr-FR"/>
        </w:rPr>
        <w:t>Les é</w:t>
      </w:r>
      <w:r w:rsidR="007263AF" w:rsidRPr="00C20545">
        <w:rPr>
          <w:lang w:val="fr-FR"/>
        </w:rPr>
        <w:t>l</w:t>
      </w:r>
      <w:r w:rsidR="001208B0" w:rsidRPr="00C20545">
        <w:rPr>
          <w:lang w:val="fr-FR"/>
        </w:rPr>
        <w:t>é</w:t>
      </w:r>
      <w:r w:rsidR="007263AF" w:rsidRPr="00C20545">
        <w:rPr>
          <w:lang w:val="fr-FR"/>
        </w:rPr>
        <w:t xml:space="preserve">ments </w:t>
      </w:r>
      <w:r w:rsidR="001208B0" w:rsidRPr="00C20545">
        <w:rPr>
          <w:lang w:val="fr-FR"/>
        </w:rPr>
        <w:t xml:space="preserve">du projet de </w:t>
      </w:r>
      <w:r w:rsidR="007263AF" w:rsidRPr="00C20545">
        <w:rPr>
          <w:lang w:val="fr-FR"/>
        </w:rPr>
        <w:t xml:space="preserve">document </w:t>
      </w:r>
      <w:r w:rsidR="001208B0" w:rsidRPr="00C20545">
        <w:rPr>
          <w:lang w:val="fr-FR"/>
        </w:rPr>
        <w:t>commun sont présentés à l</w:t>
      </w:r>
      <w:r w:rsidR="00E11BEB" w:rsidRPr="00C20545">
        <w:rPr>
          <w:lang w:val="fr-FR"/>
        </w:rPr>
        <w:t>’annexe I</w:t>
      </w:r>
      <w:r w:rsidR="007263AF" w:rsidRPr="00C20545">
        <w:rPr>
          <w:lang w:val="fr-FR"/>
        </w:rPr>
        <w:t xml:space="preserve">I </w:t>
      </w:r>
      <w:r w:rsidR="001208B0" w:rsidRPr="00C20545">
        <w:rPr>
          <w:lang w:val="fr-FR"/>
        </w:rPr>
        <w:t>du présent</w:t>
      </w:r>
      <w:r w:rsidR="007263AF" w:rsidRPr="00C20545">
        <w:rPr>
          <w:lang w:val="fr-FR"/>
        </w:rPr>
        <w:t xml:space="preserve"> document.</w:t>
      </w:r>
    </w:p>
    <w:p w14:paraId="169A9873" w14:textId="77777777" w:rsidR="00041FEB" w:rsidRPr="00C20545" w:rsidRDefault="00041FEB" w:rsidP="00C327B6">
      <w:pPr>
        <w:keepNext/>
        <w:keepLines/>
        <w:rPr>
          <w:lang w:val="fr-FR"/>
        </w:rPr>
      </w:pPr>
    </w:p>
    <w:p w14:paraId="7143AA7D" w14:textId="22405171" w:rsidR="00E11BEB"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8C5C9A" w:rsidRPr="00C20545">
        <w:rPr>
          <w:lang w:val="fr-FR"/>
        </w:rPr>
        <w:t>Le 1</w:t>
      </w:r>
      <w:r w:rsidR="00E11BEB" w:rsidRPr="00C20545">
        <w:rPr>
          <w:lang w:val="fr-FR"/>
        </w:rPr>
        <w:t>3 décembre 20</w:t>
      </w:r>
      <w:r w:rsidR="008C5C9A" w:rsidRPr="00C20545">
        <w:rPr>
          <w:lang w:val="fr-FR"/>
        </w:rPr>
        <w:t>21, le Bureau de l</w:t>
      </w:r>
      <w:r w:rsidR="00E11BEB" w:rsidRPr="00C20545">
        <w:rPr>
          <w:lang w:val="fr-FR"/>
        </w:rPr>
        <w:t>’</w:t>
      </w:r>
      <w:r w:rsidR="008C5C9A" w:rsidRPr="00C20545">
        <w:rPr>
          <w:lang w:val="fr-FR"/>
        </w:rPr>
        <w:t>Union a transmis le projet de document commun à l</w:t>
      </w:r>
      <w:r w:rsidR="00E11BEB" w:rsidRPr="00C20545">
        <w:rPr>
          <w:lang w:val="fr-FR"/>
        </w:rPr>
        <w:t>’</w:t>
      </w:r>
      <w:r w:rsidR="008C5C9A" w:rsidRPr="00C20545">
        <w:rPr>
          <w:lang w:val="fr-FR"/>
        </w:rPr>
        <w:t>OCDE et à l</w:t>
      </w:r>
      <w:r w:rsidR="00E11BEB" w:rsidRPr="00C20545">
        <w:rPr>
          <w:lang w:val="fr-FR"/>
        </w:rPr>
        <w:t>’</w:t>
      </w:r>
      <w:r w:rsidR="008C5C9A" w:rsidRPr="00C20545">
        <w:rPr>
          <w:lang w:val="fr-FR"/>
        </w:rPr>
        <w:t>I</w:t>
      </w:r>
      <w:r w:rsidR="00C20545" w:rsidRPr="00C20545">
        <w:rPr>
          <w:lang w:val="fr-FR"/>
        </w:rPr>
        <w:t>STA.  Le</w:t>
      </w:r>
      <w:r w:rsidR="008C5C9A" w:rsidRPr="00C20545">
        <w:rPr>
          <w:lang w:val="fr-FR"/>
        </w:rPr>
        <w:t>s réponses de l</w:t>
      </w:r>
      <w:r w:rsidR="00E11BEB" w:rsidRPr="00C20545">
        <w:rPr>
          <w:lang w:val="fr-FR"/>
        </w:rPr>
        <w:t>’</w:t>
      </w:r>
      <w:r w:rsidR="008C5C9A" w:rsidRPr="00C20545">
        <w:rPr>
          <w:lang w:val="fr-FR"/>
        </w:rPr>
        <w:t>OCDE et de l</w:t>
      </w:r>
      <w:r w:rsidR="00E11BEB" w:rsidRPr="00C20545">
        <w:rPr>
          <w:lang w:val="fr-FR"/>
        </w:rPr>
        <w:t>’</w:t>
      </w:r>
      <w:r w:rsidR="008C5C9A" w:rsidRPr="00C20545">
        <w:rPr>
          <w:lang w:val="fr-FR"/>
        </w:rPr>
        <w:t>ISTA seront, le cas échéant, présentées au</w:t>
      </w:r>
      <w:r w:rsidR="00E11BEB" w:rsidRPr="00C20545">
        <w:rPr>
          <w:lang w:val="fr-FR"/>
        </w:rPr>
        <w:t> TC</w:t>
      </w:r>
      <w:r w:rsidR="008C5C9A" w:rsidRPr="00C20545">
        <w:rPr>
          <w:lang w:val="fr-FR"/>
        </w:rPr>
        <w:t xml:space="preserve"> et</w:t>
      </w:r>
      <w:r w:rsidR="00E11BEB" w:rsidRPr="00C20545">
        <w:rPr>
          <w:lang w:val="fr-FR"/>
        </w:rPr>
        <w:t xml:space="preserve"> au CAJ</w:t>
      </w:r>
      <w:r w:rsidRPr="00C20545">
        <w:rPr>
          <w:lang w:val="fr-FR"/>
        </w:rPr>
        <w:t>.</w:t>
      </w:r>
    </w:p>
    <w:p w14:paraId="20275505" w14:textId="29A670D7" w:rsidR="008C5C9A" w:rsidRPr="00C20545" w:rsidRDefault="008C5C9A" w:rsidP="00C327B6">
      <w:pPr>
        <w:rPr>
          <w:lang w:val="fr-FR"/>
        </w:rPr>
      </w:pPr>
    </w:p>
    <w:bookmarkEnd w:id="19"/>
    <w:p w14:paraId="05D1EAFF" w14:textId="5D34382D" w:rsidR="00C327B6" w:rsidRPr="00C20545" w:rsidRDefault="008C5C9A" w:rsidP="00C327B6">
      <w:pPr>
        <w:pStyle w:val="Heading2"/>
        <w:rPr>
          <w:lang w:val="fr-FR"/>
        </w:rPr>
      </w:pPr>
      <w:r w:rsidRPr="00C20545">
        <w:rPr>
          <w:lang w:val="fr-FR"/>
        </w:rPr>
        <w:t>Listes d</w:t>
      </w:r>
      <w:r w:rsidR="00E11BEB" w:rsidRPr="00C20545">
        <w:rPr>
          <w:lang w:val="fr-FR"/>
        </w:rPr>
        <w:t>’</w:t>
      </w:r>
      <w:r w:rsidRPr="00C20545">
        <w:rPr>
          <w:lang w:val="fr-FR"/>
        </w:rPr>
        <w:t>initiatives conjointes possibles avec l</w:t>
      </w:r>
      <w:r w:rsidR="00E11BEB" w:rsidRPr="00C20545">
        <w:rPr>
          <w:lang w:val="fr-FR"/>
        </w:rPr>
        <w:t>’</w:t>
      </w:r>
      <w:r w:rsidRPr="00C20545">
        <w:rPr>
          <w:lang w:val="fr-FR"/>
        </w:rPr>
        <w:t>OCDE et l</w:t>
      </w:r>
      <w:r w:rsidR="00E11BEB" w:rsidRPr="00C20545">
        <w:rPr>
          <w:lang w:val="fr-FR"/>
        </w:rPr>
        <w:t>’</w:t>
      </w:r>
      <w:r w:rsidRPr="00C20545">
        <w:rPr>
          <w:lang w:val="fr-FR"/>
        </w:rPr>
        <w:t>ISTA dans le domaine des techniques moléculaires</w:t>
      </w:r>
    </w:p>
    <w:p w14:paraId="6130FAF2" w14:textId="77777777" w:rsidR="00C327B6" w:rsidRPr="00C20545" w:rsidRDefault="00C327B6" w:rsidP="00C327B6">
      <w:pPr>
        <w:keepNext/>
        <w:jc w:val="left"/>
        <w:rPr>
          <w:lang w:val="fr-FR"/>
        </w:rPr>
      </w:pPr>
    </w:p>
    <w:p w14:paraId="2F180C9A" w14:textId="6D7EA63F"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8C5C9A" w:rsidRPr="00C20545">
        <w:rPr>
          <w:lang w:val="fr-FR"/>
        </w:rPr>
        <w:t>À sa cinquante</w:t>
      </w:r>
      <w:r w:rsidR="00E11BEB" w:rsidRPr="00C20545">
        <w:rPr>
          <w:lang w:val="fr-FR"/>
        </w:rPr>
        <w:t>-</w:t>
      </w:r>
      <w:r w:rsidR="008C5C9A" w:rsidRPr="00C20545">
        <w:rPr>
          <w:lang w:val="fr-FR"/>
        </w:rPr>
        <w:t>sept</w:t>
      </w:r>
      <w:r w:rsidR="00E11BEB" w:rsidRPr="00C20545">
        <w:rPr>
          <w:lang w:val="fr-FR"/>
        </w:rPr>
        <w:t>ième session</w:t>
      </w:r>
      <w:r w:rsidR="008C5C9A" w:rsidRPr="00C20545">
        <w:rPr>
          <w:lang w:val="fr-FR"/>
        </w:rPr>
        <w:t>, le</w:t>
      </w:r>
      <w:r w:rsidR="00E11BEB" w:rsidRPr="00C20545">
        <w:rPr>
          <w:lang w:val="fr-FR"/>
        </w:rPr>
        <w:t> TC</w:t>
      </w:r>
      <w:r w:rsidR="008C5C9A" w:rsidRPr="00C20545">
        <w:rPr>
          <w:lang w:val="fr-FR"/>
        </w:rPr>
        <w:t xml:space="preserve"> est convenu de proposer les </w:t>
      </w:r>
      <w:r w:rsidR="00A637C6" w:rsidRPr="00C20545">
        <w:rPr>
          <w:lang w:val="fr-FR"/>
        </w:rPr>
        <w:t>thèmes d</w:t>
      </w:r>
      <w:r w:rsidR="00E11BEB" w:rsidRPr="00C20545">
        <w:rPr>
          <w:lang w:val="fr-FR"/>
        </w:rPr>
        <w:t>’</w:t>
      </w:r>
      <w:r w:rsidR="00A637C6" w:rsidRPr="00C20545">
        <w:rPr>
          <w:lang w:val="fr-FR"/>
        </w:rPr>
        <w:t xml:space="preserve">étude </w:t>
      </w:r>
      <w:r w:rsidR="008C5C9A" w:rsidRPr="00C20545">
        <w:rPr>
          <w:lang w:val="fr-FR"/>
        </w:rPr>
        <w:t>ci</w:t>
      </w:r>
      <w:r w:rsidR="00E11BEB" w:rsidRPr="00C20545">
        <w:rPr>
          <w:lang w:val="fr-FR"/>
        </w:rPr>
        <w:t>-</w:t>
      </w:r>
      <w:r w:rsidR="008C5C9A" w:rsidRPr="00C20545">
        <w:rPr>
          <w:lang w:val="fr-FR"/>
        </w:rPr>
        <w:t>après à l</w:t>
      </w:r>
      <w:r w:rsidR="00E11BEB" w:rsidRPr="00C20545">
        <w:rPr>
          <w:lang w:val="fr-FR"/>
        </w:rPr>
        <w:t>’</w:t>
      </w:r>
      <w:r w:rsidR="008C5C9A" w:rsidRPr="00C20545">
        <w:rPr>
          <w:lang w:val="fr-FR"/>
        </w:rPr>
        <w:t>intention d</w:t>
      </w:r>
      <w:r w:rsidR="00E11BEB" w:rsidRPr="00C20545">
        <w:rPr>
          <w:lang w:val="fr-FR"/>
        </w:rPr>
        <w:t>’</w:t>
      </w:r>
      <w:r w:rsidR="008C5C9A" w:rsidRPr="00C20545">
        <w:rPr>
          <w:lang w:val="fr-FR"/>
        </w:rPr>
        <w:t>un futur atelier conjoint UPOV/OCDE/ISTA</w:t>
      </w:r>
      <w:r w:rsidR="00E11BEB" w:rsidRPr="00C20545">
        <w:rPr>
          <w:lang w:val="fr-FR"/>
        </w:rPr>
        <w:t> :</w:t>
      </w:r>
    </w:p>
    <w:p w14:paraId="48A83EFF" w14:textId="77777777" w:rsidR="00C327B6" w:rsidRPr="00C20545" w:rsidRDefault="00C327B6" w:rsidP="00C327B6">
      <w:pPr>
        <w:rPr>
          <w:lang w:val="fr-FR"/>
        </w:rPr>
      </w:pPr>
    </w:p>
    <w:p w14:paraId="79858850" w14:textId="6203172E" w:rsidR="00C327B6" w:rsidRPr="00C20545" w:rsidRDefault="00C327B6" w:rsidP="008C5C9A">
      <w:pPr>
        <w:ind w:left="1134" w:hanging="567"/>
        <w:jc w:val="left"/>
        <w:rPr>
          <w:lang w:val="fr-FR"/>
        </w:rPr>
      </w:pPr>
      <w:r w:rsidRPr="00C20545">
        <w:rPr>
          <w:lang w:val="fr-FR"/>
        </w:rPr>
        <w:t>i)</w:t>
      </w:r>
      <w:r w:rsidRPr="00C20545">
        <w:rPr>
          <w:lang w:val="fr-FR"/>
        </w:rPr>
        <w:tab/>
      </w:r>
      <w:r w:rsidR="008C5C9A" w:rsidRPr="00C20545">
        <w:rPr>
          <w:lang w:val="fr-FR"/>
        </w:rPr>
        <w:t>communication d</w:t>
      </w:r>
      <w:r w:rsidR="00E11BEB" w:rsidRPr="00C20545">
        <w:rPr>
          <w:lang w:val="fr-FR"/>
        </w:rPr>
        <w:t>’</w:t>
      </w:r>
      <w:r w:rsidR="008C5C9A" w:rsidRPr="00C20545">
        <w:rPr>
          <w:lang w:val="fr-FR"/>
        </w:rPr>
        <w:t>informations sur l</w:t>
      </w:r>
      <w:r w:rsidR="00E11BEB" w:rsidRPr="00C20545">
        <w:rPr>
          <w:lang w:val="fr-FR"/>
        </w:rPr>
        <w:t>’</w:t>
      </w:r>
      <w:r w:rsidR="008C5C9A" w:rsidRPr="00C20545">
        <w:rPr>
          <w:lang w:val="fr-FR"/>
        </w:rPr>
        <w:t>utilisation des techniques moléculaires dans chaque organisation;</w:t>
      </w:r>
    </w:p>
    <w:p w14:paraId="12CB5070" w14:textId="46C172AF" w:rsidR="00C327B6" w:rsidRPr="00C20545" w:rsidRDefault="00C327B6" w:rsidP="008C5C9A">
      <w:pPr>
        <w:ind w:left="1134" w:hanging="567"/>
        <w:jc w:val="left"/>
        <w:rPr>
          <w:lang w:val="fr-FR"/>
        </w:rPr>
      </w:pPr>
      <w:r w:rsidRPr="00C20545">
        <w:rPr>
          <w:lang w:val="fr-FR"/>
        </w:rPr>
        <w:t>ii)</w:t>
      </w:r>
      <w:r w:rsidRPr="00C20545">
        <w:rPr>
          <w:lang w:val="fr-FR"/>
        </w:rPr>
        <w:tab/>
      </w:r>
      <w:r w:rsidR="008C5C9A" w:rsidRPr="00C20545">
        <w:rPr>
          <w:lang w:val="fr-FR"/>
        </w:rPr>
        <w:t>procédure d</w:t>
      </w:r>
      <w:r w:rsidR="00E11BEB" w:rsidRPr="00C20545">
        <w:rPr>
          <w:lang w:val="fr-FR"/>
        </w:rPr>
        <w:t>’</w:t>
      </w:r>
      <w:r w:rsidR="008C5C9A" w:rsidRPr="00C20545">
        <w:rPr>
          <w:lang w:val="fr-FR"/>
        </w:rPr>
        <w:t>approbation des méthodes biochimiques et moléculaires dans chaque organisation</w:t>
      </w:r>
      <w:r w:rsidR="007E7826" w:rsidRPr="00C20545">
        <w:rPr>
          <w:lang w:val="fr-FR"/>
        </w:rPr>
        <w:t xml:space="preserve">; </w:t>
      </w:r>
      <w:r w:rsidR="008C5C9A" w:rsidRPr="00C20545">
        <w:rPr>
          <w:lang w:val="fr-FR"/>
        </w:rPr>
        <w:t xml:space="preserve"> et</w:t>
      </w:r>
    </w:p>
    <w:p w14:paraId="2E080300" w14:textId="4AD90159" w:rsidR="00E11BEB" w:rsidRPr="00C20545" w:rsidRDefault="00C327B6" w:rsidP="008C5C9A">
      <w:pPr>
        <w:ind w:left="1134" w:hanging="567"/>
        <w:jc w:val="left"/>
        <w:rPr>
          <w:lang w:val="fr-FR"/>
        </w:rPr>
      </w:pPr>
      <w:r w:rsidRPr="00C20545">
        <w:rPr>
          <w:lang w:val="fr-FR"/>
        </w:rPr>
        <w:t>iii)</w:t>
      </w:r>
      <w:r w:rsidRPr="00C20545">
        <w:rPr>
          <w:lang w:val="fr-FR"/>
        </w:rPr>
        <w:tab/>
      </w:r>
      <w:r w:rsidR="008C5C9A" w:rsidRPr="00C20545">
        <w:rPr>
          <w:lang w:val="fr-FR"/>
        </w:rPr>
        <w:t>possibilités d</w:t>
      </w:r>
      <w:r w:rsidR="00E11BEB" w:rsidRPr="00C20545">
        <w:rPr>
          <w:lang w:val="fr-FR"/>
        </w:rPr>
        <w:t>’</w:t>
      </w:r>
      <w:r w:rsidR="008C5C9A" w:rsidRPr="00C20545">
        <w:rPr>
          <w:lang w:val="fr-FR"/>
        </w:rPr>
        <w:t>harmonisation des termes, des définitions et des méthodes entre l</w:t>
      </w:r>
      <w:r w:rsidR="00E11BEB" w:rsidRPr="00C20545">
        <w:rPr>
          <w:lang w:val="fr-FR"/>
        </w:rPr>
        <w:t>’</w:t>
      </w:r>
      <w:r w:rsidR="008C5C9A" w:rsidRPr="00C20545">
        <w:rPr>
          <w:lang w:val="fr-FR"/>
        </w:rPr>
        <w:t>UPOV, l</w:t>
      </w:r>
      <w:r w:rsidR="00E11BEB" w:rsidRPr="00C20545">
        <w:rPr>
          <w:lang w:val="fr-FR"/>
        </w:rPr>
        <w:t>’</w:t>
      </w:r>
      <w:r w:rsidR="008C5C9A" w:rsidRPr="00C20545">
        <w:rPr>
          <w:lang w:val="fr-FR"/>
        </w:rPr>
        <w:t>OCDE et l</w:t>
      </w:r>
      <w:r w:rsidR="00E11BEB" w:rsidRPr="00C20545">
        <w:rPr>
          <w:lang w:val="fr-FR"/>
        </w:rPr>
        <w:t>’</w:t>
      </w:r>
      <w:r w:rsidR="008C5C9A" w:rsidRPr="00C20545">
        <w:rPr>
          <w:lang w:val="fr-FR"/>
        </w:rPr>
        <w:t>ISTA</w:t>
      </w:r>
      <w:r w:rsidRPr="00C20545">
        <w:rPr>
          <w:lang w:val="fr-FR"/>
        </w:rPr>
        <w:t>.</w:t>
      </w:r>
    </w:p>
    <w:p w14:paraId="62922587" w14:textId="6C705F61" w:rsidR="00C327B6" w:rsidRPr="00C20545" w:rsidRDefault="00C327B6" w:rsidP="00C327B6">
      <w:pPr>
        <w:jc w:val="left"/>
        <w:rPr>
          <w:lang w:val="fr-FR"/>
        </w:rPr>
      </w:pPr>
    </w:p>
    <w:p w14:paraId="1BB6A774" w14:textId="0102EE48"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A637C6" w:rsidRPr="00C20545">
        <w:rPr>
          <w:lang w:val="fr-FR"/>
        </w:rPr>
        <w:t>Le</w:t>
      </w:r>
      <w:r w:rsidR="00E11BEB" w:rsidRPr="00C20545">
        <w:rPr>
          <w:lang w:val="fr-FR"/>
        </w:rPr>
        <w:t> TC</w:t>
      </w:r>
      <w:r w:rsidR="00A637C6" w:rsidRPr="00C20545">
        <w:rPr>
          <w:lang w:val="fr-FR"/>
        </w:rPr>
        <w:t xml:space="preserve"> est convenu de prier le Bureau de l</w:t>
      </w:r>
      <w:r w:rsidR="00E11BEB" w:rsidRPr="00C20545">
        <w:rPr>
          <w:lang w:val="fr-FR"/>
        </w:rPr>
        <w:t>’</w:t>
      </w:r>
      <w:r w:rsidR="00A637C6" w:rsidRPr="00C20545">
        <w:rPr>
          <w:lang w:val="fr-FR"/>
        </w:rPr>
        <w:t>Union de contacter l</w:t>
      </w:r>
      <w:r w:rsidR="00E11BEB" w:rsidRPr="00C20545">
        <w:rPr>
          <w:lang w:val="fr-FR"/>
        </w:rPr>
        <w:t>’</w:t>
      </w:r>
      <w:r w:rsidR="00A637C6" w:rsidRPr="00C20545">
        <w:rPr>
          <w:lang w:val="fr-FR"/>
        </w:rPr>
        <w:t>OCDE et l</w:t>
      </w:r>
      <w:r w:rsidR="00E11BEB" w:rsidRPr="00C20545">
        <w:rPr>
          <w:lang w:val="fr-FR"/>
        </w:rPr>
        <w:t>’</w:t>
      </w:r>
      <w:r w:rsidR="00A637C6" w:rsidRPr="00C20545">
        <w:rPr>
          <w:lang w:val="fr-FR"/>
        </w:rPr>
        <w:t>ISTA afin d</w:t>
      </w:r>
      <w:r w:rsidR="00E11BEB" w:rsidRPr="00C20545">
        <w:rPr>
          <w:lang w:val="fr-FR"/>
        </w:rPr>
        <w:t>’</w:t>
      </w:r>
      <w:r w:rsidR="00A637C6" w:rsidRPr="00C20545">
        <w:rPr>
          <w:lang w:val="fr-FR"/>
        </w:rPr>
        <w:t>examiner les dates adéquates pour la tenue d</w:t>
      </w:r>
      <w:r w:rsidR="00E11BEB" w:rsidRPr="00C20545">
        <w:rPr>
          <w:lang w:val="fr-FR"/>
        </w:rPr>
        <w:t>’</w:t>
      </w:r>
      <w:r w:rsidR="00A637C6" w:rsidRPr="00C20545">
        <w:rPr>
          <w:lang w:val="fr-FR"/>
        </w:rPr>
        <w:t>un futur atelier conjoint, par exemple en parallèle avec la première session</w:t>
      </w:r>
      <w:r w:rsidR="00E11BEB" w:rsidRPr="00C20545">
        <w:rPr>
          <w:lang w:val="fr-FR"/>
        </w:rPr>
        <w:t xml:space="preserve"> du TWM</w:t>
      </w:r>
      <w:r w:rsidR="00A637C6" w:rsidRPr="00C20545">
        <w:rPr>
          <w:lang w:val="fr-FR"/>
        </w:rPr>
        <w:t xml:space="preserve"> qui se tiendra en </w:t>
      </w:r>
      <w:r w:rsidR="00E11BEB" w:rsidRPr="00C20545">
        <w:rPr>
          <w:lang w:val="fr-FR"/>
        </w:rPr>
        <w:t>septembre 20</w:t>
      </w:r>
      <w:r w:rsidR="00A637C6" w:rsidRPr="00C20545">
        <w:rPr>
          <w:lang w:val="fr-FR"/>
        </w:rPr>
        <w:t>22</w:t>
      </w:r>
      <w:r w:rsidRPr="00C20545">
        <w:rPr>
          <w:lang w:val="fr-FR"/>
        </w:rPr>
        <w:t>.</w:t>
      </w:r>
    </w:p>
    <w:p w14:paraId="4942C6D6" w14:textId="77777777" w:rsidR="00C327B6" w:rsidRPr="00C20545" w:rsidRDefault="00C327B6" w:rsidP="00C327B6">
      <w:pPr>
        <w:keepNext/>
        <w:keepLines/>
        <w:rPr>
          <w:lang w:val="fr-FR"/>
        </w:rPr>
      </w:pPr>
    </w:p>
    <w:p w14:paraId="21FF803F" w14:textId="000E2833" w:rsidR="00E11BEB"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A637C6" w:rsidRPr="00C20545">
        <w:rPr>
          <w:lang w:val="fr-FR"/>
        </w:rPr>
        <w:t>Le 1</w:t>
      </w:r>
      <w:r w:rsidR="00E11BEB" w:rsidRPr="00C20545">
        <w:rPr>
          <w:lang w:val="fr-FR"/>
        </w:rPr>
        <w:t>3 décembre 20</w:t>
      </w:r>
      <w:r w:rsidR="00A637C6" w:rsidRPr="00C20545">
        <w:rPr>
          <w:lang w:val="fr-FR"/>
        </w:rPr>
        <w:t>21, le Bureau de l</w:t>
      </w:r>
      <w:r w:rsidR="00E11BEB" w:rsidRPr="00C20545">
        <w:rPr>
          <w:lang w:val="fr-FR"/>
        </w:rPr>
        <w:t>’</w:t>
      </w:r>
      <w:r w:rsidR="00A637C6" w:rsidRPr="00C20545">
        <w:rPr>
          <w:lang w:val="fr-FR"/>
        </w:rPr>
        <w:t>Union a transmis à l</w:t>
      </w:r>
      <w:r w:rsidR="00E11BEB" w:rsidRPr="00C20545">
        <w:rPr>
          <w:lang w:val="fr-FR"/>
        </w:rPr>
        <w:t>’</w:t>
      </w:r>
      <w:r w:rsidR="00A637C6" w:rsidRPr="00C20545">
        <w:rPr>
          <w:lang w:val="fr-FR"/>
        </w:rPr>
        <w:t>OCDE et à l</w:t>
      </w:r>
      <w:r w:rsidR="00E11BEB" w:rsidRPr="00C20545">
        <w:rPr>
          <w:lang w:val="fr-FR"/>
        </w:rPr>
        <w:t>’</w:t>
      </w:r>
      <w:r w:rsidR="00A637C6" w:rsidRPr="00C20545">
        <w:rPr>
          <w:lang w:val="fr-FR"/>
        </w:rPr>
        <w:t>ISTA une invitation pour un nouvel atelier conjoint sur les techniques moléculaires, en parallèle avec la première session</w:t>
      </w:r>
      <w:r w:rsidR="00E11BEB" w:rsidRPr="00C20545">
        <w:rPr>
          <w:lang w:val="fr-FR"/>
        </w:rPr>
        <w:t xml:space="preserve"> du TWM</w:t>
      </w:r>
      <w:r w:rsidR="00A637C6" w:rsidRPr="00C20545">
        <w:rPr>
          <w:lang w:val="fr-FR"/>
        </w:rPr>
        <w:t xml:space="preserve"> qui se tiendra, par voie électronique, le 2</w:t>
      </w:r>
      <w:r w:rsidR="00E11BEB" w:rsidRPr="00C20545">
        <w:rPr>
          <w:lang w:val="fr-FR"/>
        </w:rPr>
        <w:t>1 septembre 20</w:t>
      </w:r>
      <w:r w:rsidR="00A637C6" w:rsidRPr="00C20545">
        <w:rPr>
          <w:lang w:val="fr-FR"/>
        </w:rPr>
        <w:t>22, afin d</w:t>
      </w:r>
      <w:r w:rsidR="00E11BEB" w:rsidRPr="00C20545">
        <w:rPr>
          <w:lang w:val="fr-FR"/>
        </w:rPr>
        <w:t>’</w:t>
      </w:r>
      <w:r w:rsidR="00A637C6" w:rsidRPr="00C20545">
        <w:rPr>
          <w:lang w:val="fr-FR"/>
        </w:rPr>
        <w:t>inclure l</w:t>
      </w:r>
      <w:r w:rsidR="00E11BEB" w:rsidRPr="00C20545">
        <w:rPr>
          <w:lang w:val="fr-FR"/>
        </w:rPr>
        <w:t>’</w:t>
      </w:r>
      <w:r w:rsidR="00A637C6" w:rsidRPr="00C20545">
        <w:rPr>
          <w:lang w:val="fr-FR"/>
        </w:rPr>
        <w:t>examen de</w:t>
      </w:r>
      <w:r w:rsidR="00C20545" w:rsidRPr="00C20545">
        <w:rPr>
          <w:lang w:val="fr-FR"/>
        </w:rPr>
        <w:t>s thèmes </w:t>
      </w:r>
      <w:r w:rsidR="00A637C6" w:rsidRPr="00C20545">
        <w:rPr>
          <w:lang w:val="fr-FR"/>
        </w:rPr>
        <w:t>i) à</w:t>
      </w:r>
      <w:r w:rsidR="00C20545" w:rsidRPr="00C20545">
        <w:rPr>
          <w:lang w:val="fr-FR"/>
        </w:rPr>
        <w:t> </w:t>
      </w:r>
      <w:r w:rsidR="00A637C6" w:rsidRPr="00C20545">
        <w:rPr>
          <w:lang w:val="fr-FR"/>
        </w:rPr>
        <w:t>iii) ci</w:t>
      </w:r>
      <w:r w:rsidR="00E11BEB" w:rsidRPr="00C20545">
        <w:rPr>
          <w:lang w:val="fr-FR"/>
        </w:rPr>
        <w:t>-</w:t>
      </w:r>
      <w:r w:rsidR="00A637C6" w:rsidRPr="00C20545">
        <w:rPr>
          <w:lang w:val="fr-FR"/>
        </w:rPr>
        <w:t>dessus</w:t>
      </w:r>
      <w:r w:rsidRPr="00C20545">
        <w:rPr>
          <w:lang w:val="fr-FR"/>
        </w:rPr>
        <w:t xml:space="preserve">. </w:t>
      </w:r>
      <w:r w:rsidR="007E7826" w:rsidRPr="00C20545">
        <w:rPr>
          <w:lang w:val="fr-FR"/>
        </w:rPr>
        <w:t xml:space="preserve"> </w:t>
      </w:r>
    </w:p>
    <w:p w14:paraId="3028C3DB" w14:textId="0467ED19" w:rsidR="00C327B6" w:rsidRPr="00C20545" w:rsidRDefault="00C327B6" w:rsidP="00C327B6">
      <w:pPr>
        <w:rPr>
          <w:lang w:val="fr-FR"/>
        </w:rPr>
      </w:pPr>
    </w:p>
    <w:p w14:paraId="26EE6F84" w14:textId="7761C5A2"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7F3081" w:rsidRPr="00C20545">
        <w:rPr>
          <w:lang w:val="fr-FR"/>
        </w:rPr>
        <w:t>Le 1</w:t>
      </w:r>
      <w:r w:rsidR="00E11BEB" w:rsidRPr="00C20545">
        <w:rPr>
          <w:lang w:val="fr-FR"/>
        </w:rPr>
        <w:t>5 mai 20</w:t>
      </w:r>
      <w:r w:rsidR="007F3081" w:rsidRPr="00C20545">
        <w:rPr>
          <w:lang w:val="fr-FR"/>
        </w:rPr>
        <w:t>22, le Bureau de l</w:t>
      </w:r>
      <w:r w:rsidR="00E11BEB" w:rsidRPr="00C20545">
        <w:rPr>
          <w:lang w:val="fr-FR"/>
        </w:rPr>
        <w:t>’</w:t>
      </w:r>
      <w:r w:rsidR="007F3081" w:rsidRPr="00C20545">
        <w:rPr>
          <w:lang w:val="fr-FR"/>
        </w:rPr>
        <w:t>Union a rencontré l</w:t>
      </w:r>
      <w:r w:rsidR="00E11BEB" w:rsidRPr="00C20545">
        <w:rPr>
          <w:lang w:val="fr-FR"/>
        </w:rPr>
        <w:t>’</w:t>
      </w:r>
      <w:r w:rsidR="007F3081" w:rsidRPr="00C20545">
        <w:rPr>
          <w:lang w:val="fr-FR"/>
        </w:rPr>
        <w:t>OCDE et l</w:t>
      </w:r>
      <w:r w:rsidR="00E11BEB" w:rsidRPr="00C20545">
        <w:rPr>
          <w:lang w:val="fr-FR"/>
        </w:rPr>
        <w:t>’</w:t>
      </w:r>
      <w:r w:rsidR="007F3081" w:rsidRPr="00C20545">
        <w:rPr>
          <w:lang w:val="fr-FR"/>
        </w:rPr>
        <w:t>ISTA en marge du Congrès mondial sur les semences</w:t>
      </w:r>
      <w:r w:rsidR="00F82FCF" w:rsidRPr="00C20545">
        <w:rPr>
          <w:lang w:val="fr-FR"/>
        </w:rPr>
        <w:t>,</w:t>
      </w:r>
      <w:r w:rsidR="007F3081" w:rsidRPr="00C20545">
        <w:rPr>
          <w:lang w:val="fr-FR"/>
        </w:rPr>
        <w:t xml:space="preserve"> organisé par l</w:t>
      </w:r>
      <w:r w:rsidR="00E11BEB" w:rsidRPr="00C20545">
        <w:rPr>
          <w:lang w:val="fr-FR"/>
        </w:rPr>
        <w:t>’</w:t>
      </w:r>
      <w:r w:rsidR="007F3081" w:rsidRPr="00C20545">
        <w:rPr>
          <w:lang w:val="fr-FR"/>
        </w:rPr>
        <w:t xml:space="preserve">International </w:t>
      </w:r>
      <w:proofErr w:type="spellStart"/>
      <w:r w:rsidR="007F3081" w:rsidRPr="00C20545">
        <w:rPr>
          <w:lang w:val="fr-FR"/>
        </w:rPr>
        <w:t>Seed</w:t>
      </w:r>
      <w:proofErr w:type="spellEnd"/>
      <w:r w:rsidR="007F3081" w:rsidRPr="00C20545">
        <w:rPr>
          <w:lang w:val="fr-FR"/>
        </w:rPr>
        <w:t xml:space="preserve"> </w:t>
      </w:r>
      <w:proofErr w:type="spellStart"/>
      <w:r w:rsidR="007F3081" w:rsidRPr="00C20545">
        <w:rPr>
          <w:lang w:val="fr-FR"/>
        </w:rPr>
        <w:t>Federation</w:t>
      </w:r>
      <w:proofErr w:type="spellEnd"/>
      <w:r w:rsidR="00F82FCF" w:rsidRPr="00C20545">
        <w:rPr>
          <w:lang w:val="fr-FR"/>
        </w:rPr>
        <w:t>,</w:t>
      </w:r>
      <w:r w:rsidR="007F3081" w:rsidRPr="00C20545">
        <w:rPr>
          <w:lang w:val="fr-FR"/>
        </w:rPr>
        <w:t xml:space="preserve"> et a discuté de la coopération entre l</w:t>
      </w:r>
      <w:r w:rsidR="00E11BEB" w:rsidRPr="00C20545">
        <w:rPr>
          <w:lang w:val="fr-FR"/>
        </w:rPr>
        <w:t>’</w:t>
      </w:r>
      <w:r w:rsidR="007F3081" w:rsidRPr="00C20545">
        <w:rPr>
          <w:lang w:val="fr-FR"/>
        </w:rPr>
        <w:t>OCDE, l</w:t>
      </w:r>
      <w:r w:rsidR="00E11BEB" w:rsidRPr="00C20545">
        <w:rPr>
          <w:lang w:val="fr-FR"/>
        </w:rPr>
        <w:t>’</w:t>
      </w:r>
      <w:r w:rsidR="007F3081" w:rsidRPr="00C20545">
        <w:rPr>
          <w:lang w:val="fr-FR"/>
        </w:rPr>
        <w:t>ISTA et l</w:t>
      </w:r>
      <w:r w:rsidR="00E11BEB" w:rsidRPr="00C20545">
        <w:rPr>
          <w:lang w:val="fr-FR"/>
        </w:rPr>
        <w:t>’</w:t>
      </w:r>
      <w:r w:rsidR="007F3081" w:rsidRPr="00C20545">
        <w:rPr>
          <w:lang w:val="fr-FR"/>
        </w:rPr>
        <w:t>UPOV concernant</w:t>
      </w:r>
      <w:r w:rsidR="00E11BEB" w:rsidRPr="00C20545">
        <w:rPr>
          <w:lang w:val="fr-FR"/>
        </w:rPr>
        <w:t xml:space="preserve"> le BMT</w:t>
      </w:r>
      <w:r w:rsidR="007F3081" w:rsidRPr="00C20545">
        <w:rPr>
          <w:lang w:val="fr-FR"/>
        </w:rPr>
        <w:t xml:space="preserve">. </w:t>
      </w:r>
      <w:r w:rsidR="007E7826" w:rsidRPr="00C20545">
        <w:rPr>
          <w:lang w:val="fr-FR"/>
        </w:rPr>
        <w:t xml:space="preserve"> </w:t>
      </w:r>
      <w:r w:rsidR="007F3081" w:rsidRPr="00C20545">
        <w:rPr>
          <w:lang w:val="fr-FR"/>
        </w:rPr>
        <w:t>L</w:t>
      </w:r>
      <w:r w:rsidR="00E11BEB" w:rsidRPr="00C20545">
        <w:rPr>
          <w:lang w:val="fr-FR"/>
        </w:rPr>
        <w:t>’</w:t>
      </w:r>
      <w:r w:rsidR="007F3081" w:rsidRPr="00C20545">
        <w:rPr>
          <w:lang w:val="fr-FR"/>
        </w:rPr>
        <w:t>UPOV avait émis l</w:t>
      </w:r>
      <w:r w:rsidR="00E11BEB" w:rsidRPr="00C20545">
        <w:rPr>
          <w:lang w:val="fr-FR"/>
        </w:rPr>
        <w:t>’</w:t>
      </w:r>
      <w:r w:rsidR="007F3081" w:rsidRPr="00C20545">
        <w:rPr>
          <w:lang w:val="fr-FR"/>
        </w:rPr>
        <w:t>idée d</w:t>
      </w:r>
      <w:r w:rsidR="00E11BEB" w:rsidRPr="00C20545">
        <w:rPr>
          <w:lang w:val="fr-FR"/>
        </w:rPr>
        <w:t>’</w:t>
      </w:r>
      <w:r w:rsidR="007F3081" w:rsidRPr="00C20545">
        <w:rPr>
          <w:lang w:val="fr-FR"/>
        </w:rPr>
        <w:t>un atelier conjoint OCDE/ISTA/UPOV en parallèle avec</w:t>
      </w:r>
      <w:r w:rsidR="00E11BEB" w:rsidRPr="00C20545">
        <w:rPr>
          <w:lang w:val="fr-FR"/>
        </w:rPr>
        <w:t xml:space="preserve"> le TWM</w:t>
      </w:r>
      <w:r w:rsidR="007F3081" w:rsidRPr="00C20545">
        <w:rPr>
          <w:lang w:val="fr-FR"/>
        </w:rPr>
        <w:t xml:space="preserve">, qui allait se tenir en </w:t>
      </w:r>
      <w:r w:rsidR="00E11BEB" w:rsidRPr="00C20545">
        <w:rPr>
          <w:lang w:val="fr-FR"/>
        </w:rPr>
        <w:t>septembre 20</w:t>
      </w:r>
      <w:r w:rsidR="007F3081" w:rsidRPr="00C20545">
        <w:rPr>
          <w:lang w:val="fr-FR"/>
        </w:rPr>
        <w:t xml:space="preserve">22. </w:t>
      </w:r>
      <w:r w:rsidR="007E7826" w:rsidRPr="00C20545">
        <w:rPr>
          <w:lang w:val="fr-FR"/>
        </w:rPr>
        <w:t xml:space="preserve"> </w:t>
      </w:r>
      <w:r w:rsidR="007F3081" w:rsidRPr="00C20545">
        <w:rPr>
          <w:lang w:val="fr-FR"/>
        </w:rPr>
        <w:t>Il a été convenu que, en l</w:t>
      </w:r>
      <w:r w:rsidR="00E11BEB" w:rsidRPr="00C20545">
        <w:rPr>
          <w:lang w:val="fr-FR"/>
        </w:rPr>
        <w:t>’</w:t>
      </w:r>
      <w:r w:rsidR="007F3081" w:rsidRPr="00C20545">
        <w:rPr>
          <w:lang w:val="fr-FR"/>
        </w:rPr>
        <w:t xml:space="preserve">absence de faits nouveaux significatifs à discuter, il était sans doute préférable de prévoir un atelier conjoint au plus tôt </w:t>
      </w:r>
      <w:r w:rsidR="00E11BEB" w:rsidRPr="00C20545">
        <w:rPr>
          <w:lang w:val="fr-FR"/>
        </w:rPr>
        <w:t>en 2023</w:t>
      </w:r>
      <w:r w:rsidRPr="00C20545">
        <w:rPr>
          <w:lang w:val="fr-FR"/>
        </w:rPr>
        <w:t>.</w:t>
      </w:r>
    </w:p>
    <w:p w14:paraId="56C1D217" w14:textId="77777777" w:rsidR="007F3081" w:rsidRPr="00C20545" w:rsidRDefault="007F3081" w:rsidP="00C327B6">
      <w:pPr>
        <w:rPr>
          <w:lang w:val="fr-FR"/>
        </w:rPr>
      </w:pPr>
    </w:p>
    <w:p w14:paraId="38280083" w14:textId="15D89953" w:rsidR="00C327B6" w:rsidRPr="00C20545" w:rsidRDefault="00A9133E" w:rsidP="00C327B6">
      <w:pPr>
        <w:pStyle w:val="Heading2"/>
        <w:rPr>
          <w:lang w:val="fr-FR"/>
        </w:rPr>
      </w:pPr>
      <w:r w:rsidRPr="00C20545">
        <w:rPr>
          <w:lang w:val="fr-FR"/>
        </w:rPr>
        <w:t>Association internationale d</w:t>
      </w:r>
      <w:r w:rsidR="00E11BEB" w:rsidRPr="00C20545">
        <w:rPr>
          <w:lang w:val="fr-FR"/>
        </w:rPr>
        <w:t>’</w:t>
      </w:r>
      <w:r w:rsidRPr="00C20545">
        <w:rPr>
          <w:lang w:val="fr-FR"/>
        </w:rPr>
        <w:t>essais de semences</w:t>
      </w:r>
    </w:p>
    <w:p w14:paraId="71A8847E" w14:textId="77777777" w:rsidR="00C327B6" w:rsidRPr="00C20545" w:rsidRDefault="00C327B6" w:rsidP="00C327B6">
      <w:pPr>
        <w:rPr>
          <w:lang w:val="fr-FR"/>
        </w:rPr>
      </w:pPr>
    </w:p>
    <w:p w14:paraId="68EFCCFB" w14:textId="06598BA7"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A9133E" w:rsidRPr="00C20545">
        <w:rPr>
          <w:lang w:val="fr-FR"/>
        </w:rPr>
        <w:t>Le TWM a assisté à un exposé présenté par Mme</w:t>
      </w:r>
      <w:r w:rsidR="007E7826" w:rsidRPr="00C20545">
        <w:rPr>
          <w:lang w:val="fr-FR"/>
        </w:rPr>
        <w:t> </w:t>
      </w:r>
      <w:r w:rsidR="00A9133E" w:rsidRPr="00C20545">
        <w:rPr>
          <w:lang w:val="fr-FR"/>
        </w:rPr>
        <w:t xml:space="preserve">Ana Laura </w:t>
      </w:r>
      <w:proofErr w:type="spellStart"/>
      <w:r w:rsidR="00A9133E" w:rsidRPr="00C20545">
        <w:rPr>
          <w:lang w:val="fr-FR"/>
        </w:rPr>
        <w:t>Vicario</w:t>
      </w:r>
      <w:proofErr w:type="spellEnd"/>
      <w:r w:rsidR="00A9133E" w:rsidRPr="00C20545">
        <w:rPr>
          <w:lang w:val="fr-FR"/>
        </w:rPr>
        <w:t xml:space="preserve"> (ISTA) intitulé “Compte rendu de l</w:t>
      </w:r>
      <w:r w:rsidR="00E11BEB" w:rsidRPr="00C20545">
        <w:rPr>
          <w:lang w:val="fr-FR"/>
        </w:rPr>
        <w:t>’</w:t>
      </w:r>
      <w:r w:rsidR="00A9133E" w:rsidRPr="00C20545">
        <w:rPr>
          <w:lang w:val="fr-FR"/>
        </w:rPr>
        <w:t>ISTA sur l</w:t>
      </w:r>
      <w:r w:rsidR="00E11BEB" w:rsidRPr="00C20545">
        <w:rPr>
          <w:lang w:val="fr-FR"/>
        </w:rPr>
        <w:t>’</w:t>
      </w:r>
      <w:r w:rsidR="00A9133E" w:rsidRPr="00C20545">
        <w:rPr>
          <w:lang w:val="fr-FR"/>
        </w:rPr>
        <w:t>utilisation des techniques moléculaires”, dont on trouvera une copie dans le document TWM/1/23</w:t>
      </w:r>
      <w:r w:rsidRPr="00C20545">
        <w:rPr>
          <w:lang w:val="fr-FR"/>
        </w:rPr>
        <w:t>.</w:t>
      </w:r>
    </w:p>
    <w:p w14:paraId="42B8C8B8" w14:textId="77777777" w:rsidR="007F3081" w:rsidRPr="00C20545" w:rsidRDefault="007F3081" w:rsidP="00C327B6">
      <w:pPr>
        <w:pStyle w:val="Heading2"/>
        <w:rPr>
          <w:lang w:val="fr-FR"/>
        </w:rPr>
      </w:pPr>
      <w:bookmarkStart w:id="20" w:name="_Toc84415957"/>
      <w:bookmarkStart w:id="21" w:name="_Toc116594880"/>
    </w:p>
    <w:bookmarkEnd w:id="20"/>
    <w:bookmarkEnd w:id="21"/>
    <w:p w14:paraId="21A45D28" w14:textId="7808665A" w:rsidR="00C327B6" w:rsidRPr="00C20545" w:rsidRDefault="00A9133E" w:rsidP="00C327B6">
      <w:pPr>
        <w:pStyle w:val="Heading2"/>
        <w:rPr>
          <w:rFonts w:cs="Arial"/>
          <w:lang w:val="fr-FR"/>
        </w:rPr>
      </w:pPr>
      <w:r w:rsidRPr="00C20545">
        <w:rPr>
          <w:lang w:val="fr-FR"/>
        </w:rPr>
        <w:t>Organisation de coopération et de développement économiques</w:t>
      </w:r>
    </w:p>
    <w:p w14:paraId="39968B0B" w14:textId="77777777" w:rsidR="00C327B6" w:rsidRPr="00C20545" w:rsidRDefault="00C327B6" w:rsidP="00C327B6">
      <w:pPr>
        <w:rPr>
          <w:lang w:val="fr-FR"/>
        </w:rPr>
      </w:pPr>
    </w:p>
    <w:p w14:paraId="5F60F1B9" w14:textId="0C477428"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A9133E" w:rsidRPr="00C20545">
        <w:rPr>
          <w:lang w:val="fr-FR"/>
        </w:rPr>
        <w:t>Le TWM a assisté à un exposé présenté par M.</w:t>
      </w:r>
      <w:r w:rsidR="007E7826" w:rsidRPr="00C20545">
        <w:rPr>
          <w:lang w:val="fr-FR"/>
        </w:rPr>
        <w:t> </w:t>
      </w:r>
      <w:r w:rsidR="00A9133E" w:rsidRPr="00C20545">
        <w:rPr>
          <w:lang w:val="fr-FR"/>
        </w:rPr>
        <w:t>Christophe</w:t>
      </w:r>
      <w:r w:rsidR="00CE3D2E">
        <w:rPr>
          <w:lang w:val="fr-FR"/>
        </w:rPr>
        <w:t> </w:t>
      </w:r>
      <w:proofErr w:type="spellStart"/>
      <w:r w:rsidR="00A9133E" w:rsidRPr="00C20545">
        <w:rPr>
          <w:lang w:val="fr-FR"/>
        </w:rPr>
        <w:t>Rouillard</w:t>
      </w:r>
      <w:proofErr w:type="spellEnd"/>
      <w:r w:rsidR="00A9133E" w:rsidRPr="00C20545">
        <w:rPr>
          <w:lang w:val="fr-FR"/>
        </w:rPr>
        <w:t xml:space="preserve"> (OCDE) intitulé “Faits nouveaux en matière d</w:t>
      </w:r>
      <w:r w:rsidR="00E11BEB" w:rsidRPr="00C20545">
        <w:rPr>
          <w:lang w:val="fr-FR"/>
        </w:rPr>
        <w:t>’</w:t>
      </w:r>
      <w:r w:rsidR="00A9133E" w:rsidRPr="00C20545">
        <w:rPr>
          <w:lang w:val="fr-FR"/>
        </w:rPr>
        <w:t>application</w:t>
      </w:r>
      <w:r w:rsidR="00E11BEB" w:rsidRPr="00C20545">
        <w:rPr>
          <w:lang w:val="fr-FR"/>
        </w:rPr>
        <w:t xml:space="preserve"> du BMT</w:t>
      </w:r>
      <w:r w:rsidR="00A9133E" w:rsidRPr="00C20545">
        <w:rPr>
          <w:lang w:val="fr-FR"/>
        </w:rPr>
        <w:t xml:space="preserve"> au regard des systèmes de semences de l</w:t>
      </w:r>
      <w:r w:rsidR="00E11BEB" w:rsidRPr="00C20545">
        <w:rPr>
          <w:lang w:val="fr-FR"/>
        </w:rPr>
        <w:t>’</w:t>
      </w:r>
      <w:r w:rsidR="00A9133E" w:rsidRPr="00C20545">
        <w:rPr>
          <w:lang w:val="fr-FR"/>
        </w:rPr>
        <w:t>OCDE”, dont on trouvera une copie dans le document TWM/1/24</w:t>
      </w:r>
      <w:r w:rsidRPr="00C20545">
        <w:rPr>
          <w:lang w:val="fr-FR"/>
        </w:rPr>
        <w:t>.</w:t>
      </w:r>
    </w:p>
    <w:p w14:paraId="2526200C" w14:textId="77777777" w:rsidR="00C327B6" w:rsidRPr="00C20545" w:rsidRDefault="00C327B6" w:rsidP="00C327B6">
      <w:pPr>
        <w:rPr>
          <w:rFonts w:cs="Arial"/>
          <w:iCs/>
          <w:lang w:val="fr-FR"/>
        </w:rPr>
      </w:pPr>
    </w:p>
    <w:p w14:paraId="42A83E08" w14:textId="48614ED4" w:rsidR="006856D1" w:rsidRPr="00C20545" w:rsidRDefault="00C327B6" w:rsidP="006856D1">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9C50D2" w:rsidRPr="00C20545">
        <w:rPr>
          <w:lang w:val="fr-FR"/>
        </w:rPr>
        <w:t>Le TWM a pris note que l</w:t>
      </w:r>
      <w:r w:rsidR="00E11BEB" w:rsidRPr="00C20545">
        <w:rPr>
          <w:lang w:val="fr-FR"/>
        </w:rPr>
        <w:t>’</w:t>
      </w:r>
      <w:r w:rsidR="009C50D2" w:rsidRPr="00C20545">
        <w:rPr>
          <w:lang w:val="fr-FR"/>
        </w:rPr>
        <w:t xml:space="preserve">OCDE a mis en place </w:t>
      </w:r>
      <w:r w:rsidR="00F82FCF" w:rsidRPr="00C20545">
        <w:rPr>
          <w:lang w:val="fr-FR"/>
        </w:rPr>
        <w:t>un</w:t>
      </w:r>
      <w:r w:rsidR="009C50D2" w:rsidRPr="00C20545">
        <w:rPr>
          <w:lang w:val="fr-FR"/>
        </w:rPr>
        <w:t xml:space="preserve"> Groupe consultatif BMT pour traiter de tous les thèmes relatifs</w:t>
      </w:r>
      <w:r w:rsidR="00E11BEB" w:rsidRPr="00C20545">
        <w:rPr>
          <w:lang w:val="fr-FR"/>
        </w:rPr>
        <w:t xml:space="preserve"> au BMT</w:t>
      </w:r>
      <w:r w:rsidR="009C50D2" w:rsidRPr="00C20545">
        <w:rPr>
          <w:lang w:val="fr-FR"/>
        </w:rPr>
        <w:t xml:space="preserve"> dans le cadre des systèmes de semences de l</w:t>
      </w:r>
      <w:r w:rsidR="00E11BEB" w:rsidRPr="00C20545">
        <w:rPr>
          <w:lang w:val="fr-FR"/>
        </w:rPr>
        <w:t>’</w:t>
      </w:r>
      <w:r w:rsidR="009C50D2" w:rsidRPr="00C20545">
        <w:rPr>
          <w:lang w:val="fr-FR"/>
        </w:rPr>
        <w:t>OCDE, notamment les questions en lien avec la coopération avec d</w:t>
      </w:r>
      <w:r w:rsidR="00E11BEB" w:rsidRPr="00C20545">
        <w:rPr>
          <w:lang w:val="fr-FR"/>
        </w:rPr>
        <w:t>’</w:t>
      </w:r>
      <w:r w:rsidR="009C50D2" w:rsidRPr="00C20545">
        <w:rPr>
          <w:lang w:val="fr-FR"/>
        </w:rPr>
        <w:t>autres organisations internationales</w:t>
      </w:r>
      <w:r w:rsidRPr="00C20545">
        <w:rPr>
          <w:lang w:val="fr-FR"/>
        </w:rPr>
        <w:t>.</w:t>
      </w:r>
      <w:bookmarkStart w:id="22" w:name="_Toc69722870"/>
      <w:bookmarkStart w:id="23" w:name="_Toc84364034"/>
      <w:bookmarkStart w:id="24" w:name="_Toc84415958"/>
      <w:bookmarkStart w:id="25" w:name="_Toc97892761"/>
    </w:p>
    <w:p w14:paraId="4B60924C" w14:textId="77777777" w:rsidR="006856D1" w:rsidRPr="00C20545" w:rsidRDefault="006856D1" w:rsidP="006856D1">
      <w:pPr>
        <w:rPr>
          <w:lang w:val="fr-FR"/>
        </w:rPr>
      </w:pPr>
    </w:p>
    <w:p w14:paraId="52D93BD5" w14:textId="77777777" w:rsidR="00010375" w:rsidRPr="00C20545" w:rsidRDefault="00010375" w:rsidP="006856D1">
      <w:pPr>
        <w:rPr>
          <w:lang w:val="fr-FR"/>
        </w:rPr>
      </w:pPr>
    </w:p>
    <w:bookmarkEnd w:id="22"/>
    <w:bookmarkEnd w:id="23"/>
    <w:bookmarkEnd w:id="24"/>
    <w:bookmarkEnd w:id="25"/>
    <w:p w14:paraId="72D94C7E" w14:textId="245EF988" w:rsidR="00C327B6" w:rsidRPr="00C20545" w:rsidRDefault="00F82FCF" w:rsidP="00AF246C">
      <w:pPr>
        <w:pStyle w:val="Heading1"/>
      </w:pPr>
      <w:r w:rsidRPr="00C20545">
        <w:t>RÉUNION DESTINÉE À FAVORISER</w:t>
      </w:r>
      <w:r w:rsidR="00E11BEB" w:rsidRPr="00C20545">
        <w:t xml:space="preserve"> la COO</w:t>
      </w:r>
      <w:r w:rsidR="009C50D2" w:rsidRPr="00C20545">
        <w:t xml:space="preserve">PÉRATION </w:t>
      </w:r>
      <w:r w:rsidRPr="00C20545">
        <w:t>dans l</w:t>
      </w:r>
      <w:r w:rsidR="00E11BEB" w:rsidRPr="00C20545">
        <w:t>’</w:t>
      </w:r>
      <w:r w:rsidR="009C50D2" w:rsidRPr="00C20545">
        <w:t>UTILISATION DES TECHNIQUES MOLÉCULAIRES</w:t>
      </w:r>
    </w:p>
    <w:p w14:paraId="1558701E" w14:textId="77777777" w:rsidR="00C327B6" w:rsidRPr="00C20545" w:rsidRDefault="00C327B6" w:rsidP="00C327B6">
      <w:pPr>
        <w:keepNext/>
        <w:rPr>
          <w:lang w:val="fr-FR"/>
        </w:rPr>
      </w:pPr>
    </w:p>
    <w:p w14:paraId="7CD1E990" w14:textId="28B17FEF" w:rsidR="006856D1" w:rsidRPr="00C20545" w:rsidRDefault="006856D1" w:rsidP="006856D1">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F82FCF" w:rsidRPr="00C20545">
        <w:rPr>
          <w:lang w:val="fr-FR"/>
        </w:rPr>
        <w:t>Les informations générales sur cette question f</w:t>
      </w:r>
      <w:r w:rsidR="00BB16A5" w:rsidRPr="00C20545">
        <w:rPr>
          <w:lang w:val="fr-FR"/>
        </w:rPr>
        <w:t>igure</w:t>
      </w:r>
      <w:r w:rsidR="00F82FCF" w:rsidRPr="00C20545">
        <w:rPr>
          <w:lang w:val="fr-FR"/>
        </w:rPr>
        <w:t>n</w:t>
      </w:r>
      <w:r w:rsidR="00BB16A5" w:rsidRPr="00C20545">
        <w:rPr>
          <w:lang w:val="fr-FR"/>
        </w:rPr>
        <w:t>t</w:t>
      </w:r>
      <w:r w:rsidR="009C50D2" w:rsidRPr="00C20545">
        <w:rPr>
          <w:lang w:val="fr-FR"/>
        </w:rPr>
        <w:t xml:space="preserve"> aux </w:t>
      </w:r>
      <w:r w:rsidR="00E11BEB" w:rsidRPr="00C20545">
        <w:rPr>
          <w:lang w:val="fr-FR"/>
        </w:rPr>
        <w:t>paragraphes 3</w:t>
      </w:r>
      <w:r w:rsidR="009C50D2" w:rsidRPr="00C20545">
        <w:rPr>
          <w:lang w:val="fr-FR"/>
        </w:rPr>
        <w:t xml:space="preserve">2 à 44 du </w:t>
      </w:r>
      <w:r w:rsidR="00E12011">
        <w:rPr>
          <w:lang w:val="fr-FR"/>
        </w:rPr>
        <w:br/>
      </w:r>
      <w:r w:rsidR="009C50D2" w:rsidRPr="00C20545">
        <w:rPr>
          <w:lang w:val="fr-FR"/>
        </w:rPr>
        <w:t>document CAJ/78/INF/5 “Techniques moléculaires”.</w:t>
      </w:r>
    </w:p>
    <w:p w14:paraId="1BFA4222" w14:textId="77777777" w:rsidR="00C327B6" w:rsidRPr="00C20545" w:rsidRDefault="00C327B6" w:rsidP="00C327B6">
      <w:pPr>
        <w:keepNext/>
        <w:rPr>
          <w:lang w:val="fr-FR"/>
        </w:rPr>
      </w:pPr>
    </w:p>
    <w:p w14:paraId="6AC7DFE6" w14:textId="48E29F98" w:rsidR="00C327B6" w:rsidRPr="00C20545" w:rsidRDefault="009C50D2" w:rsidP="00C327B6">
      <w:pPr>
        <w:pStyle w:val="Heading2"/>
        <w:rPr>
          <w:lang w:val="fr-FR"/>
        </w:rPr>
      </w:pPr>
      <w:r w:rsidRPr="00C20545">
        <w:rPr>
          <w:lang w:val="fr-FR"/>
        </w:rPr>
        <w:t>Groupes de travail techniques (TWP)</w:t>
      </w:r>
    </w:p>
    <w:p w14:paraId="10E57AAF" w14:textId="7250CC75" w:rsidR="00C327B6" w:rsidRPr="00C20545" w:rsidRDefault="00C327B6" w:rsidP="00C327B6">
      <w:pPr>
        <w:keepNext/>
        <w:rPr>
          <w:lang w:val="fr-FR"/>
        </w:rPr>
      </w:pPr>
    </w:p>
    <w:p w14:paraId="4EA0566D" w14:textId="6007DE53"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9C50D2" w:rsidRPr="00C20545">
        <w:rPr>
          <w:lang w:val="fr-FR"/>
        </w:rPr>
        <w:t>À sa cinquante</w:t>
      </w:r>
      <w:r w:rsidR="00E11BEB" w:rsidRPr="00C20545">
        <w:rPr>
          <w:lang w:val="fr-FR"/>
        </w:rPr>
        <w:t> et unième session</w:t>
      </w:r>
      <w:r w:rsidRPr="00C20545">
        <w:rPr>
          <w:vertAlign w:val="superscript"/>
          <w:lang w:val="fr-FR"/>
        </w:rPr>
        <w:footnoteReference w:id="3"/>
      </w:r>
      <w:r w:rsidRPr="00C20545">
        <w:rPr>
          <w:lang w:val="fr-FR"/>
        </w:rPr>
        <w:t>,</w:t>
      </w:r>
      <w:r w:rsidR="00E11BEB" w:rsidRPr="00C20545">
        <w:rPr>
          <w:lang w:val="fr-FR"/>
        </w:rPr>
        <w:t xml:space="preserve"> le TWA</w:t>
      </w:r>
      <w:r w:rsidR="009C50D2" w:rsidRPr="00C20545">
        <w:rPr>
          <w:lang w:val="fr-FR"/>
        </w:rPr>
        <w:t xml:space="preserve"> a </w:t>
      </w:r>
      <w:r w:rsidR="00F82FCF" w:rsidRPr="00C20545">
        <w:rPr>
          <w:lang w:val="fr-FR"/>
        </w:rPr>
        <w:t xml:space="preserve">organisé </w:t>
      </w:r>
      <w:r w:rsidR="009C50D2" w:rsidRPr="00C20545">
        <w:rPr>
          <w:lang w:val="fr-FR"/>
        </w:rPr>
        <w:t>une séance de discussion pour permettre aux participants d</w:t>
      </w:r>
      <w:r w:rsidR="00E11BEB" w:rsidRPr="00C20545">
        <w:rPr>
          <w:lang w:val="fr-FR"/>
        </w:rPr>
        <w:t>’</w:t>
      </w:r>
      <w:r w:rsidR="009C50D2" w:rsidRPr="00C20545">
        <w:rPr>
          <w:lang w:val="fr-FR"/>
        </w:rPr>
        <w:t xml:space="preserve">échanger des informations </w:t>
      </w:r>
      <w:r w:rsidR="00F82FCF" w:rsidRPr="00C20545">
        <w:rPr>
          <w:lang w:val="fr-FR"/>
        </w:rPr>
        <w:t>relatives à leur</w:t>
      </w:r>
      <w:r w:rsidR="009C50D2" w:rsidRPr="00C20545">
        <w:rPr>
          <w:lang w:val="fr-FR"/>
        </w:rPr>
        <w:t xml:space="preserve"> travail </w:t>
      </w:r>
      <w:r w:rsidR="00F82FCF" w:rsidRPr="00C20545">
        <w:rPr>
          <w:lang w:val="fr-FR"/>
        </w:rPr>
        <w:t>sur les</w:t>
      </w:r>
      <w:r w:rsidR="009C50D2" w:rsidRPr="00C20545">
        <w:rPr>
          <w:lang w:val="fr-FR"/>
        </w:rPr>
        <w:t xml:space="preserve"> techniques biochimiques et moléculaires et d</w:t>
      </w:r>
      <w:r w:rsidR="00E11BEB" w:rsidRPr="00C20545">
        <w:rPr>
          <w:lang w:val="fr-FR"/>
        </w:rPr>
        <w:t>’</w:t>
      </w:r>
      <w:r w:rsidR="009C50D2" w:rsidRPr="00C20545">
        <w:rPr>
          <w:lang w:val="fr-FR"/>
        </w:rPr>
        <w:t>explorer les domaines de coopération possibl</w:t>
      </w:r>
      <w:r w:rsidR="00C20545" w:rsidRPr="00C20545">
        <w:rPr>
          <w:lang w:val="fr-FR"/>
        </w:rPr>
        <w:t>es.  Le</w:t>
      </w:r>
      <w:r w:rsidR="00E11BEB" w:rsidRPr="00C20545">
        <w:rPr>
          <w:lang w:val="fr-FR"/>
        </w:rPr>
        <w:t> TWA</w:t>
      </w:r>
      <w:r w:rsidR="009C50D2" w:rsidRPr="00C20545">
        <w:rPr>
          <w:lang w:val="fr-FR"/>
        </w:rPr>
        <w:t xml:space="preserve"> a examiné </w:t>
      </w:r>
      <w:r w:rsidR="002B4659" w:rsidRPr="00C20545">
        <w:rPr>
          <w:lang w:val="fr-FR"/>
        </w:rPr>
        <w:t>l</w:t>
      </w:r>
      <w:r w:rsidR="00E11BEB" w:rsidRPr="00C20545">
        <w:rPr>
          <w:lang w:val="fr-FR"/>
        </w:rPr>
        <w:t>’</w:t>
      </w:r>
      <w:r w:rsidR="002B4659" w:rsidRPr="00C20545">
        <w:rPr>
          <w:lang w:val="fr-FR"/>
        </w:rPr>
        <w:t>aide</w:t>
      </w:r>
      <w:r w:rsidR="009C50D2" w:rsidRPr="00C20545">
        <w:rPr>
          <w:lang w:val="fr-FR"/>
        </w:rPr>
        <w:t xml:space="preserve"> que pouvait apporter l</w:t>
      </w:r>
      <w:r w:rsidR="00E11BEB" w:rsidRPr="00C20545">
        <w:rPr>
          <w:lang w:val="fr-FR"/>
        </w:rPr>
        <w:t>’</w:t>
      </w:r>
      <w:r w:rsidR="009C50D2" w:rsidRPr="00C20545">
        <w:rPr>
          <w:lang w:val="fr-FR"/>
        </w:rPr>
        <w:t>UPOV à l</w:t>
      </w:r>
      <w:r w:rsidR="00E11BEB" w:rsidRPr="00C20545">
        <w:rPr>
          <w:lang w:val="fr-FR"/>
        </w:rPr>
        <w:t>’</w:t>
      </w:r>
      <w:r w:rsidR="009C50D2" w:rsidRPr="00C20545">
        <w:rPr>
          <w:lang w:val="fr-FR"/>
        </w:rPr>
        <w:t xml:space="preserve">harmonisation et à la coopération entre les membres qui utilisent déjà les marqueurs moléculaires </w:t>
      </w:r>
      <w:r w:rsidR="00BB16A5" w:rsidRPr="00C20545">
        <w:rPr>
          <w:lang w:val="fr-FR"/>
        </w:rPr>
        <w:t>à des fins d</w:t>
      </w:r>
      <w:r w:rsidR="00E11BEB" w:rsidRPr="00C20545">
        <w:rPr>
          <w:lang w:val="fr-FR"/>
        </w:rPr>
        <w:t>’</w:t>
      </w:r>
      <w:r w:rsidR="00BB16A5" w:rsidRPr="00C20545">
        <w:rPr>
          <w:lang w:val="fr-FR"/>
        </w:rPr>
        <w:t>examen</w:t>
      </w:r>
      <w:r w:rsidR="007E7826" w:rsidRPr="00C20545">
        <w:rPr>
          <w:lang w:val="fr-FR"/>
        </w:rPr>
        <w:t> </w:t>
      </w:r>
      <w:r w:rsidR="00BB16A5" w:rsidRPr="00C20545">
        <w:rPr>
          <w:lang w:val="fr-FR"/>
        </w:rPr>
        <w:t>DHS</w:t>
      </w:r>
      <w:r w:rsidR="009C50D2" w:rsidRPr="00C20545">
        <w:rPr>
          <w:lang w:val="fr-FR"/>
        </w:rPr>
        <w:t>, ou à la mise à disposition d</w:t>
      </w:r>
      <w:r w:rsidR="00E11BEB" w:rsidRPr="00C20545">
        <w:rPr>
          <w:lang w:val="fr-FR"/>
        </w:rPr>
        <w:t>’</w:t>
      </w:r>
      <w:r w:rsidR="009C50D2" w:rsidRPr="00C20545">
        <w:rPr>
          <w:lang w:val="fr-FR"/>
        </w:rPr>
        <w:t>autres membres de l</w:t>
      </w:r>
      <w:r w:rsidR="00E11BEB" w:rsidRPr="00C20545">
        <w:rPr>
          <w:lang w:val="fr-FR"/>
        </w:rPr>
        <w:t>’</w:t>
      </w:r>
      <w:r w:rsidR="009C50D2" w:rsidRPr="00C20545">
        <w:rPr>
          <w:lang w:val="fr-FR"/>
        </w:rPr>
        <w:t>UPOV d</w:t>
      </w:r>
      <w:r w:rsidR="00E11BEB" w:rsidRPr="00C20545">
        <w:rPr>
          <w:lang w:val="fr-FR"/>
        </w:rPr>
        <w:t>’</w:t>
      </w:r>
      <w:r w:rsidR="009C50D2" w:rsidRPr="00C20545">
        <w:rPr>
          <w:lang w:val="fr-FR"/>
        </w:rPr>
        <w:t>informations ou de services BMT</w:t>
      </w:r>
      <w:r w:rsidRPr="00C20545">
        <w:rPr>
          <w:lang w:val="fr-FR"/>
        </w:rPr>
        <w:t>.</w:t>
      </w:r>
    </w:p>
    <w:p w14:paraId="78207F0B" w14:textId="77777777" w:rsidR="00C327B6" w:rsidRPr="00C20545" w:rsidRDefault="00C327B6" w:rsidP="00C327B6">
      <w:pPr>
        <w:rPr>
          <w:lang w:val="fr-FR"/>
        </w:rPr>
      </w:pPr>
    </w:p>
    <w:p w14:paraId="11B6B4F9" w14:textId="0E793059"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9C50D2" w:rsidRPr="00C20545">
        <w:rPr>
          <w:lang w:val="fr-FR"/>
        </w:rPr>
        <w:t>Le TWA est convenu que les groupes de travail techniques constituaient une plateforme d</w:t>
      </w:r>
      <w:r w:rsidR="00E11BEB" w:rsidRPr="00C20545">
        <w:rPr>
          <w:lang w:val="fr-FR"/>
        </w:rPr>
        <w:t>’</w:t>
      </w:r>
      <w:r w:rsidR="009C50D2" w:rsidRPr="00C20545">
        <w:rPr>
          <w:lang w:val="fr-FR"/>
        </w:rPr>
        <w:t>échange d</w:t>
      </w:r>
      <w:r w:rsidR="00E11BEB" w:rsidRPr="00C20545">
        <w:rPr>
          <w:lang w:val="fr-FR"/>
        </w:rPr>
        <w:t>’</w:t>
      </w:r>
      <w:r w:rsidR="009C50D2" w:rsidRPr="00C20545">
        <w:rPr>
          <w:lang w:val="fr-FR"/>
        </w:rPr>
        <w:t xml:space="preserve">informations sur les marqueurs moléculaires </w:t>
      </w:r>
      <w:r w:rsidR="00BB16A5" w:rsidRPr="00C20545">
        <w:rPr>
          <w:lang w:val="fr-FR"/>
        </w:rPr>
        <w:t>à des fins d</w:t>
      </w:r>
      <w:r w:rsidR="00E11BEB" w:rsidRPr="00C20545">
        <w:rPr>
          <w:lang w:val="fr-FR"/>
        </w:rPr>
        <w:t>’</w:t>
      </w:r>
      <w:r w:rsidR="00BB16A5" w:rsidRPr="00C20545">
        <w:rPr>
          <w:lang w:val="fr-FR"/>
        </w:rPr>
        <w:t>examen</w:t>
      </w:r>
      <w:r w:rsidR="007E7826" w:rsidRPr="00C20545">
        <w:rPr>
          <w:lang w:val="fr-FR"/>
        </w:rPr>
        <w:t> </w:t>
      </w:r>
      <w:r w:rsidR="00BB16A5" w:rsidRPr="00C20545">
        <w:rPr>
          <w:lang w:val="fr-FR"/>
        </w:rPr>
        <w:t>DHS</w:t>
      </w:r>
      <w:r w:rsidR="009C50D2" w:rsidRPr="00C20545">
        <w:rPr>
          <w:lang w:val="fr-FR"/>
        </w:rPr>
        <w:t>, notamment les projets, les collaborations et les services éventuellement fournis par les membr</w:t>
      </w:r>
      <w:r w:rsidR="00C20545" w:rsidRPr="00C20545">
        <w:rPr>
          <w:lang w:val="fr-FR"/>
        </w:rPr>
        <w:t>es.  Le</w:t>
      </w:r>
      <w:r w:rsidR="00E11BEB" w:rsidRPr="00C20545">
        <w:rPr>
          <w:lang w:val="fr-FR"/>
        </w:rPr>
        <w:t> TWA</w:t>
      </w:r>
      <w:r w:rsidR="009C50D2" w:rsidRPr="00C20545">
        <w:rPr>
          <w:lang w:val="fr-FR"/>
        </w:rPr>
        <w:t xml:space="preserve"> est convenu que l</w:t>
      </w:r>
      <w:r w:rsidR="00E11BEB" w:rsidRPr="00C20545">
        <w:rPr>
          <w:lang w:val="fr-FR"/>
        </w:rPr>
        <w:t>’</w:t>
      </w:r>
      <w:r w:rsidR="009C50D2" w:rsidRPr="00C20545">
        <w:rPr>
          <w:lang w:val="fr-FR"/>
        </w:rPr>
        <w:t>UPOV devrait continuer d</w:t>
      </w:r>
      <w:r w:rsidR="00E11BEB" w:rsidRPr="00C20545">
        <w:rPr>
          <w:lang w:val="fr-FR"/>
        </w:rPr>
        <w:t>’</w:t>
      </w:r>
      <w:r w:rsidR="009C50D2" w:rsidRPr="00C20545">
        <w:rPr>
          <w:lang w:val="fr-FR"/>
        </w:rPr>
        <w:t>encourager les exposés portant sur l</w:t>
      </w:r>
      <w:r w:rsidR="00E11BEB" w:rsidRPr="00C20545">
        <w:rPr>
          <w:lang w:val="fr-FR"/>
        </w:rPr>
        <w:t>’</w:t>
      </w:r>
      <w:r w:rsidR="009C50D2" w:rsidRPr="00C20545">
        <w:rPr>
          <w:lang w:val="fr-FR"/>
        </w:rPr>
        <w:t xml:space="preserve">utilisation des marqueurs moléculaires </w:t>
      </w:r>
      <w:r w:rsidR="00BB16A5" w:rsidRPr="00C20545">
        <w:rPr>
          <w:lang w:val="fr-FR"/>
        </w:rPr>
        <w:t>à des fins d</w:t>
      </w:r>
      <w:r w:rsidR="00E11BEB" w:rsidRPr="00C20545">
        <w:rPr>
          <w:lang w:val="fr-FR"/>
        </w:rPr>
        <w:t>’</w:t>
      </w:r>
      <w:r w:rsidR="00BB16A5" w:rsidRPr="00C20545">
        <w:rPr>
          <w:lang w:val="fr-FR"/>
        </w:rPr>
        <w:t>examen</w:t>
      </w:r>
      <w:r w:rsidR="007E7826" w:rsidRPr="00C20545">
        <w:rPr>
          <w:lang w:val="fr-FR"/>
        </w:rPr>
        <w:t> </w:t>
      </w:r>
      <w:r w:rsidR="00BB16A5" w:rsidRPr="00C20545">
        <w:rPr>
          <w:lang w:val="fr-FR"/>
        </w:rPr>
        <w:t>DHS</w:t>
      </w:r>
      <w:r w:rsidR="009C50D2" w:rsidRPr="00C20545">
        <w:rPr>
          <w:lang w:val="fr-FR"/>
        </w:rPr>
        <w:t>, notamment les aspects techniques, la confidentialité et l</w:t>
      </w:r>
      <w:r w:rsidR="00E11BEB" w:rsidRPr="00C20545">
        <w:rPr>
          <w:lang w:val="fr-FR"/>
        </w:rPr>
        <w:t>’</w:t>
      </w:r>
      <w:r w:rsidR="009C50D2" w:rsidRPr="00C20545">
        <w:rPr>
          <w:lang w:val="fr-FR"/>
        </w:rPr>
        <w:t>accès aux données.</w:t>
      </w:r>
    </w:p>
    <w:p w14:paraId="29495E32" w14:textId="77777777" w:rsidR="00C327B6" w:rsidRPr="00C20545" w:rsidRDefault="00C327B6" w:rsidP="00C327B6">
      <w:pPr>
        <w:rPr>
          <w:lang w:val="fr-FR"/>
        </w:rPr>
      </w:pPr>
    </w:p>
    <w:p w14:paraId="7EAF5E4E" w14:textId="5A40905C"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FC5B17" w:rsidRPr="00C20545">
        <w:rPr>
          <w:lang w:val="fr-FR"/>
        </w:rPr>
        <w:t xml:space="preserve">Le TWA a assisté à un exposé intitulé “Utilisation des techniques moléculaires </w:t>
      </w:r>
      <w:r w:rsidR="00BB16A5" w:rsidRPr="00C20545">
        <w:rPr>
          <w:lang w:val="fr-FR"/>
        </w:rPr>
        <w:t>à des fins d</w:t>
      </w:r>
      <w:r w:rsidR="00E11BEB" w:rsidRPr="00C20545">
        <w:rPr>
          <w:lang w:val="fr-FR"/>
        </w:rPr>
        <w:t>’</w:t>
      </w:r>
      <w:r w:rsidR="00BB16A5" w:rsidRPr="00C20545">
        <w:rPr>
          <w:lang w:val="fr-FR"/>
        </w:rPr>
        <w:t>examen</w:t>
      </w:r>
      <w:r w:rsidR="007E7826" w:rsidRPr="00C20545">
        <w:rPr>
          <w:lang w:val="fr-FR"/>
        </w:rPr>
        <w:t> </w:t>
      </w:r>
      <w:r w:rsidR="00BB16A5" w:rsidRPr="00C20545">
        <w:rPr>
          <w:lang w:val="fr-FR"/>
        </w:rPr>
        <w:t>DHS</w:t>
      </w:r>
      <w:r w:rsidR="00E11BEB" w:rsidRPr="00C20545">
        <w:rPr>
          <w:lang w:val="fr-FR"/>
        </w:rPr>
        <w:t> :</w:t>
      </w:r>
      <w:r w:rsidR="00FC5B17" w:rsidRPr="00C20545">
        <w:rPr>
          <w:lang w:val="fr-FR"/>
        </w:rPr>
        <w:t xml:space="preserve"> Compte rendu de l</w:t>
      </w:r>
      <w:r w:rsidR="00E11BEB" w:rsidRPr="00C20545">
        <w:rPr>
          <w:lang w:val="fr-FR"/>
        </w:rPr>
        <w:t>’</w:t>
      </w:r>
      <w:r w:rsidR="00FC5B17" w:rsidRPr="00C20545">
        <w:rPr>
          <w:lang w:val="fr-FR"/>
        </w:rPr>
        <w:t>Argentine” présenté par un expert de l</w:t>
      </w:r>
      <w:r w:rsidR="00E11BEB" w:rsidRPr="00C20545">
        <w:rPr>
          <w:lang w:val="fr-FR"/>
        </w:rPr>
        <w:t>’</w:t>
      </w:r>
      <w:r w:rsidR="00FC5B17" w:rsidRPr="00C20545">
        <w:rPr>
          <w:lang w:val="fr-FR"/>
        </w:rPr>
        <w:t>Argenti</w:t>
      </w:r>
      <w:r w:rsidR="00C20545" w:rsidRPr="00C20545">
        <w:rPr>
          <w:lang w:val="fr-FR"/>
        </w:rPr>
        <w:t>ne.  On</w:t>
      </w:r>
      <w:r w:rsidR="00FC5B17" w:rsidRPr="00C20545">
        <w:rPr>
          <w:lang w:val="fr-FR"/>
        </w:rPr>
        <w:t xml:space="preserve"> trouvera une copie de cet exposé dans le document TWA/51/4</w:t>
      </w:r>
      <w:r w:rsidRPr="00C20545">
        <w:rPr>
          <w:lang w:val="fr-FR"/>
        </w:rPr>
        <w:t>.</w:t>
      </w:r>
    </w:p>
    <w:p w14:paraId="28C1D4BE" w14:textId="77777777" w:rsidR="00C327B6" w:rsidRPr="00C20545" w:rsidRDefault="00C327B6" w:rsidP="00C327B6">
      <w:pPr>
        <w:rPr>
          <w:lang w:val="fr-FR"/>
        </w:rPr>
      </w:pPr>
    </w:p>
    <w:p w14:paraId="2F0B40FC" w14:textId="619D847D"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FC5B17" w:rsidRPr="00C20545">
        <w:rPr>
          <w:lang w:val="fr-FR"/>
        </w:rPr>
        <w:t>Le TWA a assisté à un exposé intitulé “Élaboration d</w:t>
      </w:r>
      <w:r w:rsidR="00E11BEB" w:rsidRPr="00C20545">
        <w:rPr>
          <w:lang w:val="fr-FR"/>
        </w:rPr>
        <w:t>’</w:t>
      </w:r>
      <w:r w:rsidR="00FC5B17" w:rsidRPr="00C20545">
        <w:rPr>
          <w:lang w:val="fr-FR"/>
        </w:rPr>
        <w:t>une stratégie relative à l</w:t>
      </w:r>
      <w:r w:rsidR="00E11BEB" w:rsidRPr="00C20545">
        <w:rPr>
          <w:lang w:val="fr-FR"/>
        </w:rPr>
        <w:t>’</w:t>
      </w:r>
      <w:r w:rsidR="00FC5B17" w:rsidRPr="00C20545">
        <w:rPr>
          <w:lang w:val="fr-FR"/>
        </w:rPr>
        <w:t xml:space="preserve">application de marqueurs moléculaires de type SNP </w:t>
      </w:r>
      <w:r w:rsidR="002B4659" w:rsidRPr="00C20545">
        <w:rPr>
          <w:lang w:val="fr-FR"/>
        </w:rPr>
        <w:t>à des fins d</w:t>
      </w:r>
      <w:r w:rsidR="00E11BEB" w:rsidRPr="00C20545">
        <w:rPr>
          <w:lang w:val="fr-FR"/>
        </w:rPr>
        <w:t>’</w:t>
      </w:r>
      <w:r w:rsidR="002B4659" w:rsidRPr="00C20545">
        <w:rPr>
          <w:lang w:val="fr-FR"/>
        </w:rPr>
        <w:t>examen</w:t>
      </w:r>
      <w:r w:rsidR="007E7826" w:rsidRPr="00C20545">
        <w:rPr>
          <w:lang w:val="fr-FR"/>
        </w:rPr>
        <w:t> </w:t>
      </w:r>
      <w:r w:rsidR="002B4659" w:rsidRPr="00C20545">
        <w:rPr>
          <w:lang w:val="fr-FR"/>
        </w:rPr>
        <w:t>DHS</w:t>
      </w:r>
      <w:r w:rsidR="00FC5B17" w:rsidRPr="00C20545">
        <w:rPr>
          <w:lang w:val="fr-FR"/>
        </w:rPr>
        <w:t xml:space="preserve"> du colza oléagineux d</w:t>
      </w:r>
      <w:r w:rsidR="00E11BEB" w:rsidRPr="00C20545">
        <w:rPr>
          <w:lang w:val="fr-FR"/>
        </w:rPr>
        <w:t>’</w:t>
      </w:r>
      <w:r w:rsidR="00FC5B17" w:rsidRPr="00C20545">
        <w:rPr>
          <w:lang w:val="fr-FR"/>
        </w:rPr>
        <w:t>hiver” présenté par un expert de la Fran</w:t>
      </w:r>
      <w:r w:rsidR="00C20545" w:rsidRPr="00C20545">
        <w:rPr>
          <w:lang w:val="fr-FR"/>
        </w:rPr>
        <w:t>ce.  On</w:t>
      </w:r>
      <w:r w:rsidR="00FC5B17" w:rsidRPr="00C20545">
        <w:rPr>
          <w:lang w:val="fr-FR"/>
        </w:rPr>
        <w:t xml:space="preserve"> trouvera une copie de cet exposé dans le document TWA/51/4</w:t>
      </w:r>
      <w:r w:rsidR="007E7826" w:rsidRPr="00C20545">
        <w:rPr>
          <w:lang w:val="fr-FR"/>
        </w:rPr>
        <w:t> </w:t>
      </w:r>
      <w:proofErr w:type="spellStart"/>
      <w:r w:rsidR="00FC5B17" w:rsidRPr="00C20545">
        <w:rPr>
          <w:lang w:val="fr-FR"/>
        </w:rPr>
        <w:t>Add</w:t>
      </w:r>
      <w:proofErr w:type="spellEnd"/>
      <w:r w:rsidRPr="00C20545">
        <w:rPr>
          <w:lang w:val="fr-FR"/>
        </w:rPr>
        <w:t>.</w:t>
      </w:r>
    </w:p>
    <w:p w14:paraId="5DC8D3B8" w14:textId="77777777" w:rsidR="00C327B6" w:rsidRPr="00C20545" w:rsidRDefault="00C327B6" w:rsidP="00C327B6">
      <w:pPr>
        <w:jc w:val="left"/>
        <w:rPr>
          <w:lang w:val="fr-FR"/>
        </w:rPr>
      </w:pPr>
    </w:p>
    <w:p w14:paraId="7C6F2151" w14:textId="72F0A1D3"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FC5B17" w:rsidRPr="00C20545">
        <w:rPr>
          <w:lang w:val="fr-FR"/>
        </w:rPr>
        <w:t>À sa cinquante</w:t>
      </w:r>
      <w:r w:rsidR="00E11BEB" w:rsidRPr="00C20545">
        <w:rPr>
          <w:lang w:val="fr-FR"/>
        </w:rPr>
        <w:t>-</w:t>
      </w:r>
      <w:r w:rsidR="00FC5B17" w:rsidRPr="00C20545">
        <w:rPr>
          <w:lang w:val="fr-FR"/>
        </w:rPr>
        <w:t>trois</w:t>
      </w:r>
      <w:r w:rsidR="00E11BEB" w:rsidRPr="00C20545">
        <w:rPr>
          <w:lang w:val="fr-FR"/>
        </w:rPr>
        <w:t>ième session</w:t>
      </w:r>
      <w:r w:rsidRPr="00C20545">
        <w:rPr>
          <w:vertAlign w:val="superscript"/>
          <w:lang w:val="fr-FR"/>
        </w:rPr>
        <w:footnoteReference w:id="4"/>
      </w:r>
      <w:r w:rsidRPr="00C20545">
        <w:rPr>
          <w:lang w:val="fr-FR"/>
        </w:rPr>
        <w:t>,</w:t>
      </w:r>
      <w:r w:rsidR="00E11BEB" w:rsidRPr="00C20545">
        <w:rPr>
          <w:lang w:val="fr-FR"/>
        </w:rPr>
        <w:t xml:space="preserve"> le TWF</w:t>
      </w:r>
      <w:r w:rsidR="00FC5B17" w:rsidRPr="00C20545">
        <w:rPr>
          <w:lang w:val="fr-FR"/>
        </w:rPr>
        <w:t xml:space="preserve"> a assisté à un exposé intitulé “Application des techniques moléculaires </w:t>
      </w:r>
      <w:r w:rsidR="002B4659" w:rsidRPr="00C20545">
        <w:rPr>
          <w:lang w:val="fr-FR"/>
        </w:rPr>
        <w:t>à des fins d</w:t>
      </w:r>
      <w:r w:rsidR="00E11BEB" w:rsidRPr="00C20545">
        <w:rPr>
          <w:lang w:val="fr-FR"/>
        </w:rPr>
        <w:t>’</w:t>
      </w:r>
      <w:r w:rsidR="002B4659" w:rsidRPr="00C20545">
        <w:rPr>
          <w:lang w:val="fr-FR"/>
        </w:rPr>
        <w:t>examen</w:t>
      </w:r>
      <w:r w:rsidR="007E7826" w:rsidRPr="00C20545">
        <w:rPr>
          <w:lang w:val="fr-FR"/>
        </w:rPr>
        <w:t> </w:t>
      </w:r>
      <w:r w:rsidR="002B4659" w:rsidRPr="00C20545">
        <w:rPr>
          <w:lang w:val="fr-FR"/>
        </w:rPr>
        <w:t>DHS</w:t>
      </w:r>
      <w:r w:rsidR="00FC5B17" w:rsidRPr="00C20545">
        <w:rPr>
          <w:lang w:val="fr-FR"/>
        </w:rPr>
        <w:t xml:space="preserve"> et respect du droit d</w:t>
      </w:r>
      <w:r w:rsidR="00E11BEB" w:rsidRPr="00C20545">
        <w:rPr>
          <w:lang w:val="fr-FR"/>
        </w:rPr>
        <w:t>’</w:t>
      </w:r>
      <w:r w:rsidR="00FC5B17" w:rsidRPr="00C20545">
        <w:rPr>
          <w:lang w:val="fr-FR"/>
        </w:rPr>
        <w:t>obtenteur dans le secteur des fruits en Chine”, présenté par un expert de la Chi</w:t>
      </w:r>
      <w:r w:rsidR="00C20545" w:rsidRPr="00C20545">
        <w:rPr>
          <w:lang w:val="fr-FR"/>
        </w:rPr>
        <w:t>ne.  On</w:t>
      </w:r>
      <w:r w:rsidR="00FC5B17" w:rsidRPr="00C20545">
        <w:rPr>
          <w:lang w:val="fr-FR"/>
        </w:rPr>
        <w:t xml:space="preserve"> trouvera une copie de cet exposé dans le document TWF/53/12</w:t>
      </w:r>
      <w:r w:rsidRPr="00C20545">
        <w:rPr>
          <w:lang w:val="fr-FR"/>
        </w:rPr>
        <w:t>.</w:t>
      </w:r>
    </w:p>
    <w:p w14:paraId="4E5E1AB5" w14:textId="77777777" w:rsidR="00C327B6" w:rsidRPr="00C20545" w:rsidRDefault="00C327B6" w:rsidP="00C327B6">
      <w:pPr>
        <w:rPr>
          <w:lang w:val="fr-FR"/>
        </w:rPr>
      </w:pPr>
    </w:p>
    <w:p w14:paraId="0B337C61" w14:textId="2F5B1CF8"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FC5B17" w:rsidRPr="00C20545">
        <w:rPr>
          <w:lang w:val="fr-FR"/>
        </w:rPr>
        <w:t>Le TWF a pris note que les marqueurs moléculaires pouvaient être utilisés en Chine dans un premier temps comme élément de preuve pour faire respecter les droits d</w:t>
      </w:r>
      <w:r w:rsidR="00E11BEB" w:rsidRPr="00C20545">
        <w:rPr>
          <w:lang w:val="fr-FR"/>
        </w:rPr>
        <w:t>’</w:t>
      </w:r>
      <w:r w:rsidR="00FC5B17" w:rsidRPr="00C20545">
        <w:rPr>
          <w:lang w:val="fr-FR"/>
        </w:rPr>
        <w:t>obtenteur, suivis d</w:t>
      </w:r>
      <w:r w:rsidR="00E11BEB" w:rsidRPr="00C20545">
        <w:rPr>
          <w:lang w:val="fr-FR"/>
        </w:rPr>
        <w:t>’</w:t>
      </w:r>
      <w:r w:rsidR="00FC5B17" w:rsidRPr="00C20545">
        <w:rPr>
          <w:lang w:val="fr-FR"/>
        </w:rPr>
        <w:t>un essai en culture, le cas échéant</w:t>
      </w:r>
      <w:r w:rsidRPr="00C20545">
        <w:rPr>
          <w:lang w:val="fr-FR"/>
        </w:rPr>
        <w:t>.</w:t>
      </w:r>
    </w:p>
    <w:p w14:paraId="51375AEC" w14:textId="77777777" w:rsidR="00C327B6" w:rsidRPr="00C20545" w:rsidRDefault="00C327B6" w:rsidP="00C327B6">
      <w:pPr>
        <w:rPr>
          <w:lang w:val="fr-FR"/>
        </w:rPr>
      </w:pPr>
    </w:p>
    <w:p w14:paraId="53A7E6BA" w14:textId="147D0382"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FC5B17" w:rsidRPr="00C20545">
        <w:rPr>
          <w:lang w:val="fr-FR"/>
        </w:rPr>
        <w:t>Après l</w:t>
      </w:r>
      <w:r w:rsidR="00E11BEB" w:rsidRPr="00C20545">
        <w:rPr>
          <w:lang w:val="fr-FR"/>
        </w:rPr>
        <w:t>’</w:t>
      </w:r>
      <w:r w:rsidR="00FC5B17" w:rsidRPr="00C20545">
        <w:rPr>
          <w:lang w:val="fr-FR"/>
        </w:rPr>
        <w:t>exposé présenté par la Chine,</w:t>
      </w:r>
      <w:r w:rsidR="00E11BEB" w:rsidRPr="00C20545">
        <w:rPr>
          <w:lang w:val="fr-FR"/>
        </w:rPr>
        <w:t xml:space="preserve"> le TWF</w:t>
      </w:r>
      <w:r w:rsidR="00FC5B17" w:rsidRPr="00C20545">
        <w:rPr>
          <w:lang w:val="fr-FR"/>
        </w:rPr>
        <w:t xml:space="preserve"> a débattu de l</w:t>
      </w:r>
      <w:r w:rsidR="00E11BEB" w:rsidRPr="00C20545">
        <w:rPr>
          <w:lang w:val="fr-FR"/>
        </w:rPr>
        <w:t>’</w:t>
      </w:r>
      <w:r w:rsidR="00FC5B17" w:rsidRPr="00C20545">
        <w:rPr>
          <w:lang w:val="fr-FR"/>
        </w:rPr>
        <w:t xml:space="preserve">utilisation des marqueurs moléculaires </w:t>
      </w:r>
      <w:r w:rsidR="002B4659" w:rsidRPr="00C20545">
        <w:rPr>
          <w:lang w:val="fr-FR"/>
        </w:rPr>
        <w:t>à des fins d</w:t>
      </w:r>
      <w:r w:rsidR="00E11BEB" w:rsidRPr="00C20545">
        <w:rPr>
          <w:lang w:val="fr-FR"/>
        </w:rPr>
        <w:t>’</w:t>
      </w:r>
      <w:r w:rsidR="002B4659" w:rsidRPr="00C20545">
        <w:rPr>
          <w:lang w:val="fr-FR"/>
        </w:rPr>
        <w:t>examen</w:t>
      </w:r>
      <w:r w:rsidR="007E7826" w:rsidRPr="00C20545">
        <w:rPr>
          <w:lang w:val="fr-FR"/>
        </w:rPr>
        <w:t> </w:t>
      </w:r>
      <w:r w:rsidR="002B4659" w:rsidRPr="00C20545">
        <w:rPr>
          <w:lang w:val="fr-FR"/>
        </w:rPr>
        <w:t>DHS</w:t>
      </w:r>
      <w:r w:rsidR="00FC5B17" w:rsidRPr="00C20545">
        <w:rPr>
          <w:lang w:val="fr-FR"/>
        </w:rPr>
        <w:t xml:space="preserve"> et de l</w:t>
      </w:r>
      <w:r w:rsidR="00E11BEB" w:rsidRPr="00C20545">
        <w:rPr>
          <w:lang w:val="fr-FR"/>
        </w:rPr>
        <w:t>’</w:t>
      </w:r>
      <w:r w:rsidR="00FC5B17" w:rsidRPr="00C20545">
        <w:rPr>
          <w:lang w:val="fr-FR"/>
        </w:rPr>
        <w:t>identification des variét</w:t>
      </w:r>
      <w:r w:rsidR="00C20545" w:rsidRPr="00C20545">
        <w:rPr>
          <w:lang w:val="fr-FR"/>
        </w:rPr>
        <w:t>és.  Le</w:t>
      </w:r>
      <w:r w:rsidR="00FC5B17" w:rsidRPr="00C20545">
        <w:rPr>
          <w:lang w:val="fr-FR"/>
        </w:rPr>
        <w:t>s aspects suivants ont été évoqués par les participants</w:t>
      </w:r>
      <w:r w:rsidR="00E11BEB" w:rsidRPr="00C20545">
        <w:rPr>
          <w:lang w:val="fr-FR"/>
        </w:rPr>
        <w:t> :</w:t>
      </w:r>
    </w:p>
    <w:p w14:paraId="383067AB" w14:textId="3405E4A9" w:rsidR="00FC5B17" w:rsidRPr="00C20545" w:rsidRDefault="00FC5B17" w:rsidP="00C327B6">
      <w:pPr>
        <w:rPr>
          <w:lang w:val="fr-FR"/>
        </w:rPr>
      </w:pPr>
    </w:p>
    <w:p w14:paraId="10AA3DAA" w14:textId="781EEE20" w:rsidR="00E11BEB" w:rsidRPr="0033214B" w:rsidRDefault="00FC5B17" w:rsidP="0033214B">
      <w:pPr>
        <w:pStyle w:val="ListParagraph"/>
        <w:numPr>
          <w:ilvl w:val="0"/>
          <w:numId w:val="9"/>
        </w:numPr>
        <w:ind w:left="1134" w:hanging="567"/>
        <w:rPr>
          <w:lang w:val="fr-FR"/>
        </w:rPr>
      </w:pPr>
      <w:r w:rsidRPr="0033214B">
        <w:rPr>
          <w:lang w:val="fr-FR"/>
        </w:rPr>
        <w:t>Possibilités de coopération en matière de constitution de bases de données communes, notamment concernant les autorités qui reçoivent relativement peu de demandes pour certaines plantes;</w:t>
      </w:r>
    </w:p>
    <w:p w14:paraId="0A2005A6" w14:textId="0A62386D" w:rsidR="00FC5B17" w:rsidRPr="0033214B" w:rsidRDefault="00FC5B17" w:rsidP="0033214B">
      <w:pPr>
        <w:pStyle w:val="ListParagraph"/>
        <w:numPr>
          <w:ilvl w:val="0"/>
          <w:numId w:val="9"/>
        </w:numPr>
        <w:ind w:left="1134" w:hanging="567"/>
        <w:rPr>
          <w:lang w:val="fr-FR"/>
        </w:rPr>
      </w:pPr>
      <w:r w:rsidRPr="0033214B">
        <w:rPr>
          <w:lang w:val="fr-FR"/>
        </w:rPr>
        <w:t>Origine du matériel végétal pour l</w:t>
      </w:r>
      <w:r w:rsidR="00E11BEB" w:rsidRPr="0033214B">
        <w:rPr>
          <w:lang w:val="fr-FR"/>
        </w:rPr>
        <w:t>’</w:t>
      </w:r>
      <w:r w:rsidRPr="0033214B">
        <w:rPr>
          <w:lang w:val="fr-FR"/>
        </w:rPr>
        <w:t>extraction d</w:t>
      </w:r>
      <w:r w:rsidR="00E11BEB" w:rsidRPr="0033214B">
        <w:rPr>
          <w:lang w:val="fr-FR"/>
        </w:rPr>
        <w:t>’</w:t>
      </w:r>
      <w:r w:rsidRPr="0033214B">
        <w:rPr>
          <w:lang w:val="fr-FR"/>
        </w:rPr>
        <w:t>ADN (par exemple, le matériel fourni pour l</w:t>
      </w:r>
      <w:r w:rsidR="00E11BEB" w:rsidRPr="0033214B">
        <w:rPr>
          <w:lang w:val="fr-FR"/>
        </w:rPr>
        <w:t>’</w:t>
      </w:r>
      <w:r w:rsidRPr="0033214B">
        <w:rPr>
          <w:lang w:val="fr-FR"/>
        </w:rPr>
        <w:t>examen</w:t>
      </w:r>
      <w:r w:rsidR="007E7826" w:rsidRPr="0033214B">
        <w:rPr>
          <w:lang w:val="fr-FR"/>
        </w:rPr>
        <w:t> </w:t>
      </w:r>
      <w:r w:rsidRPr="0033214B">
        <w:rPr>
          <w:lang w:val="fr-FR"/>
        </w:rPr>
        <w:t>DHS)</w:t>
      </w:r>
      <w:r w:rsidR="007E7826" w:rsidRPr="0033214B">
        <w:rPr>
          <w:lang w:val="fr-FR"/>
        </w:rPr>
        <w:t>;</w:t>
      </w:r>
    </w:p>
    <w:p w14:paraId="098562FC" w14:textId="4979E6AE" w:rsidR="00FC5B17" w:rsidRPr="0033214B" w:rsidRDefault="00FC5B17" w:rsidP="0033214B">
      <w:pPr>
        <w:pStyle w:val="ListParagraph"/>
        <w:numPr>
          <w:ilvl w:val="0"/>
          <w:numId w:val="9"/>
        </w:numPr>
        <w:ind w:left="1134" w:hanging="567"/>
        <w:rPr>
          <w:lang w:val="fr-FR"/>
        </w:rPr>
      </w:pPr>
      <w:r w:rsidRPr="0033214B">
        <w:rPr>
          <w:lang w:val="fr-FR"/>
        </w:rPr>
        <w:t>Sélection de marqueurs pour chaque plante, en fonction de l</w:t>
      </w:r>
      <w:r w:rsidR="00E11BEB" w:rsidRPr="0033214B">
        <w:rPr>
          <w:lang w:val="fr-FR"/>
        </w:rPr>
        <w:t>’</w:t>
      </w:r>
      <w:r w:rsidRPr="0033214B">
        <w:rPr>
          <w:lang w:val="fr-FR"/>
        </w:rPr>
        <w:t>utilisation visée (par exemple, pour les droits d</w:t>
      </w:r>
      <w:r w:rsidR="00E11BEB" w:rsidRPr="0033214B">
        <w:rPr>
          <w:lang w:val="fr-FR"/>
        </w:rPr>
        <w:t>’</w:t>
      </w:r>
      <w:r w:rsidRPr="0033214B">
        <w:rPr>
          <w:lang w:val="fr-FR"/>
        </w:rPr>
        <w:t>obtenteur ou l</w:t>
      </w:r>
      <w:r w:rsidR="00E11BEB" w:rsidRPr="0033214B">
        <w:rPr>
          <w:lang w:val="fr-FR"/>
        </w:rPr>
        <w:t>’</w:t>
      </w:r>
      <w:r w:rsidRPr="0033214B">
        <w:rPr>
          <w:lang w:val="fr-FR"/>
        </w:rPr>
        <w:t>identification de la variété)</w:t>
      </w:r>
      <w:r w:rsidR="007E7826" w:rsidRPr="0033214B">
        <w:rPr>
          <w:lang w:val="fr-FR"/>
        </w:rPr>
        <w:t>;</w:t>
      </w:r>
    </w:p>
    <w:p w14:paraId="5D33216E" w14:textId="61B9C947" w:rsidR="00FC5B17" w:rsidRPr="0033214B" w:rsidRDefault="00FC5B17" w:rsidP="0033214B">
      <w:pPr>
        <w:pStyle w:val="ListParagraph"/>
        <w:numPr>
          <w:ilvl w:val="0"/>
          <w:numId w:val="9"/>
        </w:numPr>
        <w:ind w:left="1134" w:hanging="567"/>
        <w:rPr>
          <w:lang w:val="fr-FR"/>
        </w:rPr>
      </w:pPr>
      <w:r w:rsidRPr="0033214B">
        <w:rPr>
          <w:lang w:val="fr-FR"/>
        </w:rPr>
        <w:t>Sélection d</w:t>
      </w:r>
      <w:r w:rsidR="00E11BEB" w:rsidRPr="0033214B">
        <w:rPr>
          <w:lang w:val="fr-FR"/>
        </w:rPr>
        <w:t>’</w:t>
      </w:r>
      <w:r w:rsidRPr="0033214B">
        <w:rPr>
          <w:lang w:val="fr-FR"/>
        </w:rPr>
        <w:t>un ou de plusieurs laboratoires capables de fournir des profils moléculaires de haute qualité (par exemple, des sauvegardes de sécurité)</w:t>
      </w:r>
      <w:r w:rsidR="007E7826" w:rsidRPr="0033214B">
        <w:rPr>
          <w:lang w:val="fr-FR"/>
        </w:rPr>
        <w:t>;</w:t>
      </w:r>
    </w:p>
    <w:p w14:paraId="6B9CBEB9" w14:textId="2FCEF98A" w:rsidR="00E11BEB" w:rsidRPr="0033214B" w:rsidRDefault="00FC5B17" w:rsidP="0033214B">
      <w:pPr>
        <w:pStyle w:val="ListParagraph"/>
        <w:numPr>
          <w:ilvl w:val="0"/>
          <w:numId w:val="9"/>
        </w:numPr>
        <w:ind w:left="1134" w:hanging="567"/>
        <w:rPr>
          <w:lang w:val="fr-FR"/>
        </w:rPr>
      </w:pPr>
      <w:r w:rsidRPr="0033214B">
        <w:rPr>
          <w:lang w:val="fr-FR"/>
        </w:rPr>
        <w:t>Coût élevé des méthodologies d</w:t>
      </w:r>
      <w:r w:rsidR="00E11BEB" w:rsidRPr="0033214B">
        <w:rPr>
          <w:lang w:val="fr-FR"/>
        </w:rPr>
        <w:t>’</w:t>
      </w:r>
      <w:r w:rsidRPr="0033214B">
        <w:rPr>
          <w:lang w:val="fr-FR"/>
        </w:rPr>
        <w:t>harmonisation pour les profils ADN entre les différents laboratoires;</w:t>
      </w:r>
    </w:p>
    <w:p w14:paraId="5E34EEA3" w14:textId="6755E9E4" w:rsidR="00FC5B17" w:rsidRPr="0033214B" w:rsidRDefault="00FC5B17" w:rsidP="0033214B">
      <w:pPr>
        <w:pStyle w:val="ListParagraph"/>
        <w:numPr>
          <w:ilvl w:val="0"/>
          <w:numId w:val="9"/>
        </w:numPr>
        <w:ind w:left="1134" w:hanging="567"/>
        <w:rPr>
          <w:lang w:val="fr-FR"/>
        </w:rPr>
      </w:pPr>
      <w:r w:rsidRPr="0033214B">
        <w:rPr>
          <w:lang w:val="fr-FR"/>
        </w:rPr>
        <w:t>Difficulté à obtenir des résultats identiques, même auprès de laboratoires utilisant des méthodologies harmonisées.</w:t>
      </w:r>
    </w:p>
    <w:p w14:paraId="6122038E" w14:textId="77777777" w:rsidR="00FC5B17" w:rsidRPr="00C20545" w:rsidRDefault="00FC5B17" w:rsidP="00C327B6">
      <w:pPr>
        <w:rPr>
          <w:lang w:val="fr-FR"/>
        </w:rPr>
      </w:pPr>
    </w:p>
    <w:p w14:paraId="54D01B01" w14:textId="7C172BB1"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EC2520" w:rsidRPr="00C20545">
        <w:rPr>
          <w:lang w:val="fr-FR"/>
        </w:rPr>
        <w:t>À sa cinquante</w:t>
      </w:r>
      <w:r w:rsidR="00E11BEB" w:rsidRPr="00C20545">
        <w:rPr>
          <w:lang w:val="fr-FR"/>
        </w:rPr>
        <w:t>-</w:t>
      </w:r>
      <w:r w:rsidR="00EC2520" w:rsidRPr="00C20545">
        <w:rPr>
          <w:lang w:val="fr-FR"/>
        </w:rPr>
        <w:t>quatr</w:t>
      </w:r>
      <w:r w:rsidR="00E11BEB" w:rsidRPr="00C20545">
        <w:rPr>
          <w:lang w:val="fr-FR"/>
        </w:rPr>
        <w:t>ième session</w:t>
      </w:r>
      <w:r w:rsidRPr="00C20545">
        <w:rPr>
          <w:vertAlign w:val="superscript"/>
          <w:lang w:val="fr-FR"/>
        </w:rPr>
        <w:footnoteReference w:id="5"/>
      </w:r>
      <w:r w:rsidRPr="00C20545">
        <w:rPr>
          <w:lang w:val="fr-FR"/>
        </w:rPr>
        <w:t>,</w:t>
      </w:r>
      <w:r w:rsidR="00E11BEB" w:rsidRPr="00C20545">
        <w:rPr>
          <w:lang w:val="fr-FR"/>
        </w:rPr>
        <w:t xml:space="preserve"> le TWO</w:t>
      </w:r>
      <w:r w:rsidR="00B24A53" w:rsidRPr="00C20545">
        <w:rPr>
          <w:lang w:val="fr-FR"/>
        </w:rPr>
        <w:t xml:space="preserve"> a pris note qu</w:t>
      </w:r>
      <w:r w:rsidR="00E11BEB" w:rsidRPr="00C20545">
        <w:rPr>
          <w:lang w:val="fr-FR"/>
        </w:rPr>
        <w:t>’</w:t>
      </w:r>
      <w:r w:rsidR="00B24A53" w:rsidRPr="00C20545">
        <w:rPr>
          <w:lang w:val="fr-FR"/>
        </w:rPr>
        <w:t>aucun compte rendu n</w:t>
      </w:r>
      <w:r w:rsidR="00E11BEB" w:rsidRPr="00C20545">
        <w:rPr>
          <w:lang w:val="fr-FR"/>
        </w:rPr>
        <w:t>’</w:t>
      </w:r>
      <w:r w:rsidR="00B24A53" w:rsidRPr="00C20545">
        <w:rPr>
          <w:lang w:val="fr-FR"/>
        </w:rPr>
        <w:t>avait été présenté concernant l</w:t>
      </w:r>
      <w:r w:rsidR="00E11BEB" w:rsidRPr="00C20545">
        <w:rPr>
          <w:lang w:val="fr-FR"/>
        </w:rPr>
        <w:t>’</w:t>
      </w:r>
      <w:r w:rsidR="00B24A53" w:rsidRPr="00C20545">
        <w:rPr>
          <w:lang w:val="fr-FR"/>
        </w:rPr>
        <w:t xml:space="preserve">utilisation des techniques biochimiques moléculaires </w:t>
      </w:r>
      <w:r w:rsidR="002B4659" w:rsidRPr="00C20545">
        <w:rPr>
          <w:lang w:val="fr-FR"/>
        </w:rPr>
        <w:t>à des fins d</w:t>
      </w:r>
      <w:r w:rsidR="00E11BEB" w:rsidRPr="00C20545">
        <w:rPr>
          <w:lang w:val="fr-FR"/>
        </w:rPr>
        <w:t>’</w:t>
      </w:r>
      <w:r w:rsidR="002B4659" w:rsidRPr="00C20545">
        <w:rPr>
          <w:lang w:val="fr-FR"/>
        </w:rPr>
        <w:t>examen</w:t>
      </w:r>
      <w:r w:rsidR="007E7826" w:rsidRPr="00C20545">
        <w:rPr>
          <w:lang w:val="fr-FR"/>
        </w:rPr>
        <w:t> </w:t>
      </w:r>
      <w:r w:rsidR="002B4659" w:rsidRPr="00C20545">
        <w:rPr>
          <w:lang w:val="fr-FR"/>
        </w:rPr>
        <w:t>DHS</w:t>
      </w:r>
      <w:r w:rsidR="00B24A53" w:rsidRPr="00C20545">
        <w:rPr>
          <w:lang w:val="fr-FR"/>
        </w:rPr>
        <w:t xml:space="preserve"> des plantes ornementales</w:t>
      </w:r>
      <w:r w:rsidRPr="00C20545">
        <w:rPr>
          <w:lang w:val="fr-FR"/>
        </w:rPr>
        <w:t>.</w:t>
      </w:r>
    </w:p>
    <w:p w14:paraId="4EA8E408" w14:textId="77777777" w:rsidR="00C327B6" w:rsidRPr="00C20545" w:rsidRDefault="00C327B6" w:rsidP="00C327B6">
      <w:pPr>
        <w:keepNext/>
        <w:rPr>
          <w:lang w:val="fr-FR"/>
        </w:rPr>
      </w:pPr>
    </w:p>
    <w:p w14:paraId="7B3981F6" w14:textId="10959B33" w:rsidR="00E11BEB"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B24A53" w:rsidRPr="00C20545">
        <w:rPr>
          <w:lang w:val="fr-FR"/>
        </w:rPr>
        <w:t>À sa première session</w:t>
      </w:r>
      <w:r w:rsidRPr="00C20545">
        <w:rPr>
          <w:snapToGrid w:val="0"/>
          <w:vertAlign w:val="superscript"/>
          <w:lang w:val="fr-FR"/>
        </w:rPr>
        <w:footnoteReference w:id="6"/>
      </w:r>
      <w:r w:rsidRPr="00C20545">
        <w:rPr>
          <w:lang w:val="fr-FR"/>
        </w:rPr>
        <w:t>,</w:t>
      </w:r>
      <w:r w:rsidR="00E11BEB" w:rsidRPr="00C20545">
        <w:rPr>
          <w:lang w:val="fr-FR"/>
        </w:rPr>
        <w:t xml:space="preserve"> le TWM</w:t>
      </w:r>
      <w:r w:rsidR="00B24A53" w:rsidRPr="00C20545">
        <w:rPr>
          <w:lang w:val="fr-FR"/>
        </w:rPr>
        <w:t xml:space="preserve"> a organisé une séance de discussion pour permettre aux participants d</w:t>
      </w:r>
      <w:r w:rsidR="00E11BEB" w:rsidRPr="00C20545">
        <w:rPr>
          <w:lang w:val="fr-FR"/>
        </w:rPr>
        <w:t>’</w:t>
      </w:r>
      <w:r w:rsidR="00B24A53" w:rsidRPr="00C20545">
        <w:rPr>
          <w:lang w:val="fr-FR"/>
        </w:rPr>
        <w:t xml:space="preserve">échanger des informations </w:t>
      </w:r>
      <w:r w:rsidR="00BB16A5" w:rsidRPr="00C20545">
        <w:rPr>
          <w:lang w:val="fr-FR"/>
        </w:rPr>
        <w:t>relatives à leur travail sur les techniques</w:t>
      </w:r>
      <w:r w:rsidR="00B24A53" w:rsidRPr="00C20545">
        <w:rPr>
          <w:lang w:val="fr-FR"/>
        </w:rPr>
        <w:t xml:space="preserve"> biochimiques et moléculaires et d</w:t>
      </w:r>
      <w:r w:rsidR="00E11BEB" w:rsidRPr="00C20545">
        <w:rPr>
          <w:lang w:val="fr-FR"/>
        </w:rPr>
        <w:t>’</w:t>
      </w:r>
      <w:r w:rsidR="00B24A53" w:rsidRPr="00C20545">
        <w:rPr>
          <w:lang w:val="fr-FR"/>
        </w:rPr>
        <w:t>explorer les domaines de coopération possibles</w:t>
      </w:r>
      <w:r w:rsidRPr="00C20545">
        <w:rPr>
          <w:lang w:val="fr-FR"/>
        </w:rPr>
        <w:t>.</w:t>
      </w:r>
    </w:p>
    <w:p w14:paraId="159B9E4F" w14:textId="774DB584" w:rsidR="00C327B6" w:rsidRPr="00C20545" w:rsidRDefault="00C327B6" w:rsidP="00C327B6">
      <w:pPr>
        <w:rPr>
          <w:lang w:val="fr-FR"/>
        </w:rPr>
      </w:pPr>
    </w:p>
    <w:p w14:paraId="0E14FFFD" w14:textId="29B3C1B1"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B24A53" w:rsidRPr="00C20545">
        <w:rPr>
          <w:lang w:val="fr-FR"/>
        </w:rPr>
        <w:t>Le TWM est convenu qu</w:t>
      </w:r>
      <w:r w:rsidR="00E11BEB" w:rsidRPr="00C20545">
        <w:rPr>
          <w:lang w:val="fr-FR"/>
        </w:rPr>
        <w:t>’</w:t>
      </w:r>
      <w:r w:rsidR="00B24A53" w:rsidRPr="00C20545">
        <w:rPr>
          <w:lang w:val="fr-FR"/>
        </w:rPr>
        <w:t>il conviendrait de consacrer suffisamment de temps à la discussion des points à inscrire à l</w:t>
      </w:r>
      <w:r w:rsidR="00E11BEB" w:rsidRPr="00C20545">
        <w:rPr>
          <w:lang w:val="fr-FR"/>
        </w:rPr>
        <w:t>’</w:t>
      </w:r>
      <w:r w:rsidR="00B24A53" w:rsidRPr="00C20545">
        <w:rPr>
          <w:lang w:val="fr-FR"/>
        </w:rPr>
        <w:t>ordre du jour du futur programme de travail des réunions, et qu</w:t>
      </w:r>
      <w:r w:rsidR="00E11BEB" w:rsidRPr="00C20545">
        <w:rPr>
          <w:lang w:val="fr-FR"/>
        </w:rPr>
        <w:t>’</w:t>
      </w:r>
      <w:r w:rsidR="00B24A53" w:rsidRPr="00C20545">
        <w:rPr>
          <w:lang w:val="fr-FR"/>
        </w:rPr>
        <w:t>une séance de débat ouvert ne serait pas nécessaire</w:t>
      </w:r>
      <w:r w:rsidRPr="00C20545">
        <w:rPr>
          <w:lang w:val="fr-FR"/>
        </w:rPr>
        <w:t>.</w:t>
      </w:r>
    </w:p>
    <w:bookmarkEnd w:id="1"/>
    <w:p w14:paraId="56AD44BB" w14:textId="77777777" w:rsidR="00C327B6" w:rsidRPr="00C20545" w:rsidRDefault="00C327B6" w:rsidP="00D666A7">
      <w:pPr>
        <w:rPr>
          <w:lang w:val="fr-FR"/>
        </w:rPr>
      </w:pPr>
    </w:p>
    <w:p w14:paraId="5032A023" w14:textId="77777777" w:rsidR="00C327B6" w:rsidRPr="00C20545" w:rsidRDefault="00C327B6" w:rsidP="00D666A7">
      <w:pPr>
        <w:rPr>
          <w:lang w:val="fr-FR"/>
        </w:rPr>
      </w:pPr>
    </w:p>
    <w:p w14:paraId="41362F43" w14:textId="35B848A2" w:rsidR="00C327B6" w:rsidRPr="00C20545" w:rsidRDefault="00202D20" w:rsidP="00AF246C">
      <w:pPr>
        <w:pStyle w:val="Heading1"/>
      </w:pPr>
      <w:r w:rsidRPr="00C20545">
        <w:t>Confidentialité ET titularité des informations moléculaires</w:t>
      </w:r>
    </w:p>
    <w:p w14:paraId="56C0014B" w14:textId="77777777" w:rsidR="00C327B6" w:rsidRPr="00C20545" w:rsidRDefault="00C327B6" w:rsidP="00C327B6">
      <w:pPr>
        <w:rPr>
          <w:lang w:val="fr-FR"/>
        </w:rPr>
      </w:pPr>
    </w:p>
    <w:p w14:paraId="1EFE7FED" w14:textId="52381B04" w:rsidR="00010375" w:rsidRPr="00C20545" w:rsidRDefault="00010375" w:rsidP="00010375">
      <w:pPr>
        <w:rPr>
          <w:rFonts w:eastAsiaTheme="minorEastAsia"/>
          <w:lang w:val="fr-FR" w:eastAsia="ja-JP"/>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202D20" w:rsidRPr="00C20545">
        <w:rPr>
          <w:rFonts w:eastAsiaTheme="minorEastAsia"/>
          <w:lang w:val="fr-FR" w:eastAsia="ja-JP"/>
        </w:rPr>
        <w:t xml:space="preserve">Les informations générales sur cette question figurent aux </w:t>
      </w:r>
      <w:r w:rsidR="00E11BEB" w:rsidRPr="00C20545">
        <w:rPr>
          <w:rFonts w:eastAsiaTheme="minorEastAsia"/>
          <w:lang w:val="fr-FR" w:eastAsia="ja-JP"/>
        </w:rPr>
        <w:t>paragraphes 4</w:t>
      </w:r>
      <w:r w:rsidR="00202D20" w:rsidRPr="00C20545">
        <w:rPr>
          <w:rFonts w:eastAsiaTheme="minorEastAsia"/>
          <w:lang w:val="fr-FR" w:eastAsia="ja-JP"/>
        </w:rPr>
        <w:t xml:space="preserve">5 à 55 du </w:t>
      </w:r>
      <w:r w:rsidR="00E12011">
        <w:rPr>
          <w:rFonts w:eastAsiaTheme="minorEastAsia"/>
          <w:lang w:val="fr-FR" w:eastAsia="ja-JP"/>
        </w:rPr>
        <w:br/>
      </w:r>
      <w:r w:rsidR="00202D20" w:rsidRPr="00C20545">
        <w:rPr>
          <w:rFonts w:eastAsiaTheme="minorEastAsia"/>
          <w:lang w:val="fr-FR" w:eastAsia="ja-JP"/>
        </w:rPr>
        <w:t>document</w:t>
      </w:r>
      <w:r w:rsidRPr="00C20545">
        <w:rPr>
          <w:rFonts w:eastAsiaTheme="minorEastAsia"/>
          <w:lang w:val="fr-FR" w:eastAsia="ja-JP"/>
        </w:rPr>
        <w:t xml:space="preserve"> CAJ/78/INF/5 </w:t>
      </w:r>
      <w:r w:rsidRPr="00C20545">
        <w:rPr>
          <w:lang w:val="fr-FR" w:eastAsia="ja-JP"/>
        </w:rPr>
        <w:t>“</w:t>
      </w:r>
      <w:r w:rsidR="00E748CB" w:rsidRPr="00C20545">
        <w:rPr>
          <w:lang w:val="fr-FR" w:eastAsia="ja-JP"/>
        </w:rPr>
        <w:t>Techniques moléculaires</w:t>
      </w:r>
      <w:r w:rsidRPr="00C20545">
        <w:rPr>
          <w:rFonts w:eastAsiaTheme="minorEastAsia"/>
          <w:lang w:val="fr-FR" w:eastAsia="ja-JP"/>
        </w:rPr>
        <w:t>”.</w:t>
      </w:r>
    </w:p>
    <w:p w14:paraId="247E6D3C" w14:textId="77777777" w:rsidR="00C327B6" w:rsidRPr="00C20545" w:rsidRDefault="00C327B6" w:rsidP="00C327B6">
      <w:pPr>
        <w:rPr>
          <w:lang w:val="fr-FR"/>
        </w:rPr>
      </w:pPr>
    </w:p>
    <w:p w14:paraId="21314AE0" w14:textId="45F269A6"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CA3E31" w:rsidRPr="00C20545">
        <w:rPr>
          <w:lang w:val="fr-FR"/>
        </w:rPr>
        <w:t>Le</w:t>
      </w:r>
      <w:r w:rsidR="00BB16A5" w:rsidRPr="00C20545">
        <w:rPr>
          <w:lang w:val="fr-FR"/>
        </w:rPr>
        <w:t>s</w:t>
      </w:r>
      <w:r w:rsidR="00CA3E31" w:rsidRPr="00C20545">
        <w:rPr>
          <w:lang w:val="fr-FR"/>
        </w:rPr>
        <w:t xml:space="preserve"> TWP et</w:t>
      </w:r>
      <w:r w:rsidR="00E11BEB" w:rsidRPr="00C20545">
        <w:rPr>
          <w:lang w:val="fr-FR"/>
        </w:rPr>
        <w:t xml:space="preserve"> le BMT</w:t>
      </w:r>
      <w:r w:rsidR="00CA3E31" w:rsidRPr="00C20545">
        <w:rPr>
          <w:lang w:val="fr-FR"/>
        </w:rPr>
        <w:t xml:space="preserve">, à leurs sessions </w:t>
      </w:r>
      <w:r w:rsidR="00E11BEB" w:rsidRPr="00C20545">
        <w:rPr>
          <w:lang w:val="fr-FR"/>
        </w:rPr>
        <w:t>de 2021</w:t>
      </w:r>
      <w:r w:rsidR="00CA3E31" w:rsidRPr="00C20545">
        <w:rPr>
          <w:lang w:val="fr-FR"/>
        </w:rPr>
        <w:t xml:space="preserve">, ont assisté à un exposé intitulé “Confidentialité </w:t>
      </w:r>
      <w:r w:rsidR="00C552F5">
        <w:rPr>
          <w:lang w:val="fr-FR"/>
        </w:rPr>
        <w:t>et</w:t>
      </w:r>
      <w:r w:rsidR="00CA3E31" w:rsidRPr="00C20545">
        <w:rPr>
          <w:lang w:val="fr-FR"/>
        </w:rPr>
        <w:t xml:space="preserve"> titularité des informations moléculaires</w:t>
      </w:r>
      <w:r w:rsidR="00E11BEB" w:rsidRPr="00C20545">
        <w:rPr>
          <w:lang w:val="fr-FR"/>
        </w:rPr>
        <w:t>”</w:t>
      </w:r>
      <w:r w:rsidR="00CA3E31" w:rsidRPr="00C20545">
        <w:rPr>
          <w:lang w:val="fr-FR"/>
        </w:rPr>
        <w:t xml:space="preserve"> présenté par un expert au nom de l</w:t>
      </w:r>
      <w:r w:rsidR="00E11BEB" w:rsidRPr="00C20545">
        <w:rPr>
          <w:lang w:val="fr-FR"/>
        </w:rPr>
        <w:t>’</w:t>
      </w:r>
      <w:r w:rsidR="00CA3E31" w:rsidRPr="00C20545">
        <w:rPr>
          <w:lang w:val="fr-FR"/>
        </w:rPr>
        <w:t xml:space="preserve">Association africaine du commerce des semences (AFSTA), </w:t>
      </w:r>
      <w:r w:rsidR="00BB16A5" w:rsidRPr="00C20545">
        <w:rPr>
          <w:lang w:val="fr-FR"/>
        </w:rPr>
        <w:t xml:space="preserve">de </w:t>
      </w:r>
      <w:r w:rsidR="00E12011">
        <w:rPr>
          <w:lang w:val="fr-FR"/>
        </w:rPr>
        <w:t>l’</w:t>
      </w:r>
      <w:r w:rsidR="00E12011" w:rsidRPr="00E12011">
        <w:rPr>
          <w:lang w:val="fr-CH"/>
        </w:rPr>
        <w:t>Association Asie</w:t>
      </w:r>
      <w:r w:rsidR="00E12011" w:rsidRPr="00E12011">
        <w:rPr>
          <w:lang w:val="fr-CH"/>
        </w:rPr>
        <w:noBreakHyphen/>
        <w:t>Pacifique pour les semences</w:t>
      </w:r>
      <w:r w:rsidR="00CA3E31" w:rsidRPr="00C20545">
        <w:rPr>
          <w:lang w:val="fr-FR"/>
        </w:rPr>
        <w:t xml:space="preserve"> (APSA), </w:t>
      </w:r>
      <w:r w:rsidR="00BB16A5" w:rsidRPr="00C20545">
        <w:rPr>
          <w:lang w:val="fr-FR"/>
        </w:rPr>
        <w:t xml:space="preserve">de </w:t>
      </w:r>
      <w:r w:rsidR="00CA3E31" w:rsidRPr="00C20545">
        <w:rPr>
          <w:lang w:val="fr-FR"/>
        </w:rPr>
        <w:t xml:space="preserve">la </w:t>
      </w:r>
      <w:r w:rsidR="00E12011" w:rsidRPr="00E12011">
        <w:rPr>
          <w:lang w:val="fr-CH"/>
        </w:rPr>
        <w:t>Communauté internationale des obtenteurs de plantes horticoles de reproduction asexuée</w:t>
      </w:r>
      <w:r w:rsidR="00E12011" w:rsidRPr="00E12011">
        <w:rPr>
          <w:lang w:val="fr-FR"/>
        </w:rPr>
        <w:t xml:space="preserve"> </w:t>
      </w:r>
      <w:r w:rsidR="00CA3E31" w:rsidRPr="00C20545">
        <w:rPr>
          <w:lang w:val="fr-FR"/>
        </w:rPr>
        <w:t xml:space="preserve">(CIOPORA), </w:t>
      </w:r>
      <w:r w:rsidR="00BB16A5" w:rsidRPr="00C20545">
        <w:rPr>
          <w:lang w:val="fr-FR"/>
        </w:rPr>
        <w:t xml:space="preserve">de </w:t>
      </w:r>
      <w:proofErr w:type="spellStart"/>
      <w:r w:rsidR="00CA3E31" w:rsidRPr="00E12011">
        <w:rPr>
          <w:i/>
          <w:lang w:val="fr-FR"/>
        </w:rPr>
        <w:t>CropLife</w:t>
      </w:r>
      <w:proofErr w:type="spellEnd"/>
      <w:r w:rsidR="00CA3E31" w:rsidRPr="00E12011">
        <w:rPr>
          <w:i/>
          <w:lang w:val="fr-FR"/>
        </w:rPr>
        <w:t xml:space="preserve"> International</w:t>
      </w:r>
      <w:r w:rsidR="00CA3E31" w:rsidRPr="00C20545">
        <w:rPr>
          <w:lang w:val="fr-FR"/>
        </w:rPr>
        <w:t xml:space="preserve">, </w:t>
      </w:r>
      <w:r w:rsidR="00BB16A5" w:rsidRPr="00C20545">
        <w:rPr>
          <w:lang w:val="fr-FR"/>
        </w:rPr>
        <w:t>d</w:t>
      </w:r>
      <w:r w:rsidR="00E11BEB" w:rsidRPr="00C20545">
        <w:rPr>
          <w:lang w:val="fr-FR"/>
        </w:rPr>
        <w:t>’</w:t>
      </w:r>
      <w:proofErr w:type="spellStart"/>
      <w:r w:rsidR="00CA3E31" w:rsidRPr="00C20545">
        <w:rPr>
          <w:lang w:val="fr-FR"/>
        </w:rPr>
        <w:t>Euroseeds</w:t>
      </w:r>
      <w:proofErr w:type="spellEnd"/>
      <w:r w:rsidR="00CA3E31" w:rsidRPr="00C20545">
        <w:rPr>
          <w:lang w:val="fr-FR"/>
        </w:rPr>
        <w:t xml:space="preserve">, </w:t>
      </w:r>
      <w:r w:rsidR="00BB16A5" w:rsidRPr="00C20545">
        <w:rPr>
          <w:lang w:val="fr-FR"/>
        </w:rPr>
        <w:t xml:space="preserve">de </w:t>
      </w:r>
      <w:r w:rsidR="00CA3E31" w:rsidRPr="00E12011">
        <w:rPr>
          <w:i/>
          <w:lang w:val="fr-FR"/>
        </w:rPr>
        <w:t xml:space="preserve">International </w:t>
      </w:r>
      <w:proofErr w:type="spellStart"/>
      <w:r w:rsidR="00CA3E31" w:rsidRPr="00E12011">
        <w:rPr>
          <w:i/>
          <w:lang w:val="fr-FR"/>
        </w:rPr>
        <w:t>Seed</w:t>
      </w:r>
      <w:proofErr w:type="spellEnd"/>
      <w:r w:rsidR="00CA3E31" w:rsidRPr="00E12011">
        <w:rPr>
          <w:i/>
          <w:lang w:val="fr-FR"/>
        </w:rPr>
        <w:t xml:space="preserve"> </w:t>
      </w:r>
      <w:proofErr w:type="spellStart"/>
      <w:r w:rsidR="00CA3E31" w:rsidRPr="00E12011">
        <w:rPr>
          <w:i/>
          <w:lang w:val="fr-FR"/>
        </w:rPr>
        <w:t>Federation</w:t>
      </w:r>
      <w:proofErr w:type="spellEnd"/>
      <w:r w:rsidR="00CA3E31" w:rsidRPr="00C20545">
        <w:rPr>
          <w:lang w:val="fr-FR"/>
        </w:rPr>
        <w:t xml:space="preserve"> (ISF) et </w:t>
      </w:r>
      <w:r w:rsidR="00BB16A5" w:rsidRPr="00C20545">
        <w:rPr>
          <w:lang w:val="fr-FR"/>
        </w:rPr>
        <w:t xml:space="preserve">de </w:t>
      </w:r>
      <w:r w:rsidR="00CA3E31" w:rsidRPr="00C20545">
        <w:rPr>
          <w:lang w:val="fr-FR"/>
        </w:rPr>
        <w:t xml:space="preserve">la </w:t>
      </w:r>
      <w:r w:rsidR="00E12011">
        <w:rPr>
          <w:lang w:val="fr-FR"/>
        </w:rPr>
        <w:br/>
      </w:r>
      <w:proofErr w:type="spellStart"/>
      <w:r w:rsidR="00CA3E31" w:rsidRPr="00E12011">
        <w:rPr>
          <w:i/>
          <w:lang w:val="fr-FR"/>
        </w:rPr>
        <w:t>Seed</w:t>
      </w:r>
      <w:proofErr w:type="spellEnd"/>
      <w:r w:rsidR="00CA3E31" w:rsidRPr="00E12011">
        <w:rPr>
          <w:i/>
          <w:lang w:val="fr-FR"/>
        </w:rPr>
        <w:t xml:space="preserve"> Association of the </w:t>
      </w:r>
      <w:proofErr w:type="spellStart"/>
      <w:r w:rsidR="00CA3E31" w:rsidRPr="00E12011">
        <w:rPr>
          <w:i/>
          <w:lang w:val="fr-FR"/>
        </w:rPr>
        <w:t>Americas</w:t>
      </w:r>
      <w:proofErr w:type="spellEnd"/>
      <w:r w:rsidR="00CA3E31" w:rsidRPr="00C20545">
        <w:rPr>
          <w:lang w:val="fr-FR"/>
        </w:rPr>
        <w:t xml:space="preserve"> (SAA).</w:t>
      </w:r>
      <w:r w:rsidR="00E11BEB" w:rsidRPr="00C20545">
        <w:rPr>
          <w:lang w:val="fr-FR"/>
        </w:rPr>
        <w:t xml:space="preserve"> </w:t>
      </w:r>
      <w:r w:rsidR="007E7826" w:rsidRPr="00C20545">
        <w:rPr>
          <w:lang w:val="fr-FR"/>
        </w:rPr>
        <w:t xml:space="preserve"> </w:t>
      </w:r>
      <w:r w:rsidR="00E11BEB" w:rsidRPr="00C20545">
        <w:rPr>
          <w:lang w:val="fr-FR"/>
        </w:rPr>
        <w:t>Les TWP</w:t>
      </w:r>
      <w:r w:rsidR="00CA3E31" w:rsidRPr="00C20545">
        <w:rPr>
          <w:lang w:val="fr-FR"/>
        </w:rPr>
        <w:t xml:space="preserve"> et</w:t>
      </w:r>
      <w:r w:rsidR="00E11BEB" w:rsidRPr="00C20545">
        <w:rPr>
          <w:lang w:val="fr-FR"/>
        </w:rPr>
        <w:t xml:space="preserve"> le BMT</w:t>
      </w:r>
      <w:r w:rsidR="00CA3E31" w:rsidRPr="00C20545">
        <w:rPr>
          <w:lang w:val="fr-FR"/>
        </w:rPr>
        <w:t xml:space="preserve"> ont examiné la proposition tendant à réviser la </w:t>
      </w:r>
      <w:r w:rsidR="00E11BEB" w:rsidRPr="00C20545">
        <w:rPr>
          <w:lang w:val="fr-FR"/>
        </w:rPr>
        <w:t>section 3</w:t>
      </w:r>
      <w:r w:rsidR="00CA3E31" w:rsidRPr="00C20545">
        <w:rPr>
          <w:lang w:val="fr-FR"/>
        </w:rPr>
        <w:t xml:space="preserve"> du document TGP/5, intitulée </w:t>
      </w:r>
      <w:r w:rsidR="00E11BEB" w:rsidRPr="00C20545">
        <w:rPr>
          <w:lang w:val="fr-FR"/>
        </w:rPr>
        <w:t>“F</w:t>
      </w:r>
      <w:r w:rsidR="00CA3E31" w:rsidRPr="00C20545">
        <w:rPr>
          <w:lang w:val="fr-FR"/>
        </w:rPr>
        <w:t>ormulaire de demande typ</w:t>
      </w:r>
      <w:r w:rsidR="00E11BEB" w:rsidRPr="00C20545">
        <w:rPr>
          <w:lang w:val="fr-FR"/>
        </w:rPr>
        <w:t>e”</w:t>
      </w:r>
      <w:r w:rsidR="00CA3E31" w:rsidRPr="00C20545">
        <w:rPr>
          <w:lang w:val="fr-FR"/>
        </w:rPr>
        <w:t>, afin d</w:t>
      </w:r>
      <w:r w:rsidR="00E11BEB" w:rsidRPr="00C20545">
        <w:rPr>
          <w:lang w:val="fr-FR"/>
        </w:rPr>
        <w:t>’</w:t>
      </w:r>
      <w:r w:rsidR="00CA3E31" w:rsidRPr="00C20545">
        <w:rPr>
          <w:lang w:val="fr-FR"/>
        </w:rPr>
        <w:t>y inclure une demande de confidentialité relative aux informations moléculaires des variétés candidates, dans les termes suivants</w:t>
      </w:r>
      <w:r w:rsidR="00E11BEB" w:rsidRPr="00C20545">
        <w:rPr>
          <w:lang w:val="fr-FR"/>
        </w:rPr>
        <w:t> :</w:t>
      </w:r>
    </w:p>
    <w:p w14:paraId="7B123010" w14:textId="77777777" w:rsidR="00C327B6" w:rsidRPr="00C20545" w:rsidRDefault="00C327B6" w:rsidP="00C327B6">
      <w:pPr>
        <w:ind w:left="567" w:right="567"/>
        <w:rPr>
          <w:lang w:val="fr-FR"/>
        </w:rPr>
      </w:pPr>
    </w:p>
    <w:p w14:paraId="03CADAF7" w14:textId="12E94F85" w:rsidR="00C327B6" w:rsidRPr="00C20545" w:rsidRDefault="00C327B6" w:rsidP="00C327B6">
      <w:pPr>
        <w:ind w:left="567" w:right="567"/>
        <w:rPr>
          <w:i/>
          <w:lang w:val="fr-FR"/>
        </w:rPr>
      </w:pPr>
      <w:r w:rsidRPr="00C20545">
        <w:rPr>
          <w:i/>
          <w:lang w:val="fr-FR"/>
        </w:rPr>
        <w:t>“</w:t>
      </w:r>
      <w:r w:rsidR="002C6F63" w:rsidRPr="002C6F63">
        <w:rPr>
          <w:i/>
          <w:lang w:val="fr-FR"/>
        </w:rPr>
        <w:t xml:space="preserve"> </w:t>
      </w:r>
      <w:r w:rsidR="002C6F63" w:rsidRPr="00C20545">
        <w:rPr>
          <w:i/>
          <w:lang w:val="fr-FR"/>
        </w:rPr>
        <w:t>Je demande</w:t>
      </w:r>
      <w:r w:rsidR="002C6F63">
        <w:rPr>
          <w:i/>
          <w:lang w:val="fr-FR"/>
        </w:rPr>
        <w:t>/</w:t>
      </w:r>
      <w:bookmarkStart w:id="26" w:name="_GoBack"/>
      <w:bookmarkEnd w:id="26"/>
      <w:r w:rsidR="00CA3E31" w:rsidRPr="00C20545">
        <w:rPr>
          <w:i/>
          <w:lang w:val="fr-FR"/>
        </w:rPr>
        <w:t>Nous demandons que les informations moléculaires relatives à la variété restent confidentielles et que l</w:t>
      </w:r>
      <w:r w:rsidR="00E11BEB" w:rsidRPr="00C20545">
        <w:rPr>
          <w:i/>
          <w:lang w:val="fr-FR"/>
        </w:rPr>
        <w:t>’</w:t>
      </w:r>
      <w:r w:rsidR="00CA3E31" w:rsidRPr="00C20545">
        <w:rPr>
          <w:i/>
          <w:lang w:val="fr-FR"/>
        </w:rPr>
        <w:t>échange avec un autre membre de l</w:t>
      </w:r>
      <w:r w:rsidR="00E11BEB" w:rsidRPr="00C20545">
        <w:rPr>
          <w:i/>
          <w:lang w:val="fr-FR"/>
        </w:rPr>
        <w:t>’</w:t>
      </w:r>
      <w:r w:rsidR="00CA3E31" w:rsidRPr="00C20545">
        <w:rPr>
          <w:i/>
          <w:lang w:val="fr-FR"/>
        </w:rPr>
        <w:t>UPOV ou un autre service d</w:t>
      </w:r>
      <w:r w:rsidR="00E11BEB" w:rsidRPr="00C20545">
        <w:rPr>
          <w:i/>
          <w:lang w:val="fr-FR"/>
        </w:rPr>
        <w:t>’</w:t>
      </w:r>
      <w:r w:rsidR="00CA3E31" w:rsidRPr="00C20545">
        <w:rPr>
          <w:i/>
          <w:lang w:val="fr-FR"/>
        </w:rPr>
        <w:t>examen soit soumis à l</w:t>
      </w:r>
      <w:r w:rsidR="00E11BEB" w:rsidRPr="00C20545">
        <w:rPr>
          <w:i/>
          <w:lang w:val="fr-FR"/>
        </w:rPr>
        <w:t>’</w:t>
      </w:r>
      <w:r w:rsidR="00CA3E31" w:rsidRPr="00C20545">
        <w:rPr>
          <w:i/>
          <w:lang w:val="fr-FR"/>
        </w:rPr>
        <w:t>approbation du demandeur</w:t>
      </w:r>
      <w:r w:rsidRPr="00C20545">
        <w:rPr>
          <w:i/>
          <w:lang w:val="fr-FR"/>
        </w:rPr>
        <w:t>.”</w:t>
      </w:r>
    </w:p>
    <w:p w14:paraId="183EE0AB" w14:textId="77777777" w:rsidR="00C327B6" w:rsidRPr="00C20545" w:rsidRDefault="00C327B6" w:rsidP="00C327B6">
      <w:pPr>
        <w:rPr>
          <w:lang w:val="fr-FR"/>
        </w:rPr>
      </w:pPr>
    </w:p>
    <w:p w14:paraId="5E88757F" w14:textId="54D9C22E" w:rsidR="00E11BEB" w:rsidRPr="00C20545" w:rsidRDefault="00C327B6" w:rsidP="00C327B6">
      <w:pPr>
        <w:keepNext/>
        <w:rPr>
          <w:rFonts w:cs="Arial"/>
          <w:iCs/>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CA3E31" w:rsidRPr="00C20545">
        <w:rPr>
          <w:lang w:val="fr-FR"/>
        </w:rPr>
        <w:t xml:space="preserve">À leurs </w:t>
      </w:r>
      <w:r w:rsidRPr="00C20545">
        <w:rPr>
          <w:lang w:val="fr-FR"/>
        </w:rPr>
        <w:t xml:space="preserve">sessions </w:t>
      </w:r>
      <w:r w:rsidR="00E11BEB" w:rsidRPr="00C20545">
        <w:rPr>
          <w:lang w:val="fr-FR"/>
        </w:rPr>
        <w:t>de 2022</w:t>
      </w:r>
      <w:r w:rsidRPr="00C20545">
        <w:rPr>
          <w:lang w:val="fr-FR"/>
        </w:rPr>
        <w:t>,</w:t>
      </w:r>
      <w:r w:rsidR="00E11BEB" w:rsidRPr="00C20545">
        <w:rPr>
          <w:lang w:val="fr-FR"/>
        </w:rPr>
        <w:t xml:space="preserve"> le TWV</w:t>
      </w:r>
      <w:r w:rsidRPr="00C20545">
        <w:rPr>
          <w:vertAlign w:val="superscript"/>
          <w:lang w:val="fr-FR"/>
        </w:rPr>
        <w:footnoteReference w:id="7"/>
      </w:r>
      <w:r w:rsidRPr="00C20545">
        <w:rPr>
          <w:lang w:val="fr-FR"/>
        </w:rPr>
        <w:t>,</w:t>
      </w:r>
      <w:r w:rsidR="00E11BEB" w:rsidRPr="00C20545">
        <w:rPr>
          <w:lang w:val="fr-FR"/>
        </w:rPr>
        <w:t xml:space="preserve"> le TWA</w:t>
      </w:r>
      <w:r w:rsidRPr="00C20545">
        <w:rPr>
          <w:vertAlign w:val="superscript"/>
          <w:lang w:val="fr-FR"/>
        </w:rPr>
        <w:footnoteReference w:id="8"/>
      </w:r>
      <w:r w:rsidRPr="00C20545">
        <w:rPr>
          <w:lang w:val="fr-FR"/>
        </w:rPr>
        <w:t>,</w:t>
      </w:r>
      <w:r w:rsidR="00E11BEB" w:rsidRPr="00C20545">
        <w:rPr>
          <w:lang w:val="fr-FR"/>
        </w:rPr>
        <w:t xml:space="preserve"> le TWO</w:t>
      </w:r>
      <w:r w:rsidRPr="00C20545">
        <w:rPr>
          <w:vertAlign w:val="superscript"/>
          <w:lang w:val="fr-FR"/>
        </w:rPr>
        <w:footnoteReference w:id="9"/>
      </w:r>
      <w:r w:rsidRPr="00C20545">
        <w:rPr>
          <w:lang w:val="fr-FR"/>
        </w:rPr>
        <w:t>,</w:t>
      </w:r>
      <w:r w:rsidR="00E11BEB" w:rsidRPr="00C20545">
        <w:rPr>
          <w:lang w:val="fr-FR"/>
        </w:rPr>
        <w:t xml:space="preserve"> le TWF</w:t>
      </w:r>
      <w:r w:rsidRPr="00C20545">
        <w:rPr>
          <w:vertAlign w:val="superscript"/>
          <w:lang w:val="fr-FR"/>
        </w:rPr>
        <w:footnoteReference w:id="10"/>
      </w:r>
      <w:r w:rsidRPr="00C20545">
        <w:rPr>
          <w:lang w:val="fr-FR"/>
        </w:rPr>
        <w:t xml:space="preserve"> </w:t>
      </w:r>
      <w:r w:rsidR="00CA3E31" w:rsidRPr="00C20545">
        <w:rPr>
          <w:lang w:val="fr-FR"/>
        </w:rPr>
        <w:t>et</w:t>
      </w:r>
      <w:r w:rsidR="00E11BEB" w:rsidRPr="00C20545">
        <w:rPr>
          <w:lang w:val="fr-FR"/>
        </w:rPr>
        <w:t xml:space="preserve"> le </w:t>
      </w:r>
      <w:r w:rsidR="00E11BEB" w:rsidRPr="00C20545">
        <w:rPr>
          <w:snapToGrid w:val="0"/>
          <w:lang w:val="fr-FR"/>
        </w:rPr>
        <w:t>TWM</w:t>
      </w:r>
      <w:r w:rsidRPr="00C20545">
        <w:rPr>
          <w:snapToGrid w:val="0"/>
          <w:vertAlign w:val="superscript"/>
          <w:lang w:val="fr-FR"/>
        </w:rPr>
        <w:footnoteReference w:id="11"/>
      </w:r>
      <w:r w:rsidR="00CA3E31" w:rsidRPr="00C20545">
        <w:rPr>
          <w:snapToGrid w:val="0"/>
          <w:lang w:val="fr-FR"/>
        </w:rPr>
        <w:t xml:space="preserve"> ont pris note des discussions organisées par</w:t>
      </w:r>
      <w:r w:rsidR="00E11BEB" w:rsidRPr="00C20545">
        <w:rPr>
          <w:snapToGrid w:val="0"/>
          <w:lang w:val="fr-FR"/>
        </w:rPr>
        <w:t xml:space="preserve"> les TWP</w:t>
      </w:r>
      <w:r w:rsidR="00CA3E31" w:rsidRPr="00C20545">
        <w:rPr>
          <w:snapToGrid w:val="0"/>
          <w:lang w:val="fr-FR"/>
        </w:rPr>
        <w:t xml:space="preserve"> et</w:t>
      </w:r>
      <w:r w:rsidR="00E11BEB" w:rsidRPr="00C20545">
        <w:rPr>
          <w:snapToGrid w:val="0"/>
          <w:lang w:val="fr-FR"/>
        </w:rPr>
        <w:t xml:space="preserve"> le BMT</w:t>
      </w:r>
      <w:r w:rsidR="00CA3E31" w:rsidRPr="00C20545">
        <w:rPr>
          <w:snapToGrid w:val="0"/>
          <w:lang w:val="fr-FR"/>
        </w:rPr>
        <w:t xml:space="preserve">, à leurs sessions </w:t>
      </w:r>
      <w:r w:rsidR="00E11BEB" w:rsidRPr="00C20545">
        <w:rPr>
          <w:snapToGrid w:val="0"/>
          <w:lang w:val="fr-FR"/>
        </w:rPr>
        <w:t>de 2021</w:t>
      </w:r>
      <w:r w:rsidR="00CA3E31" w:rsidRPr="00C20545">
        <w:rPr>
          <w:snapToGrid w:val="0"/>
          <w:lang w:val="fr-FR"/>
        </w:rPr>
        <w:t xml:space="preserve">, concernant la “Confidentialité </w:t>
      </w:r>
      <w:r w:rsidR="00CE3D2E">
        <w:rPr>
          <w:snapToGrid w:val="0"/>
          <w:lang w:val="fr-FR"/>
        </w:rPr>
        <w:t>et</w:t>
      </w:r>
      <w:r w:rsidR="00CA3E31" w:rsidRPr="00C20545">
        <w:rPr>
          <w:snapToGrid w:val="0"/>
          <w:lang w:val="fr-FR"/>
        </w:rPr>
        <w:t xml:space="preserve"> titularité des informations moléculaires</w:t>
      </w:r>
      <w:r w:rsidR="00E11BEB" w:rsidRPr="00C20545">
        <w:rPr>
          <w:snapToGrid w:val="0"/>
          <w:lang w:val="fr-FR"/>
        </w:rPr>
        <w:t>”</w:t>
      </w:r>
      <w:r w:rsidRPr="00C20545">
        <w:rPr>
          <w:rFonts w:cs="Arial"/>
          <w:iCs/>
          <w:lang w:val="fr-FR"/>
        </w:rPr>
        <w:t>.</w:t>
      </w:r>
    </w:p>
    <w:p w14:paraId="3D95A0F4" w14:textId="0198D0A2" w:rsidR="00C327B6" w:rsidRPr="00C20545" w:rsidRDefault="00C327B6" w:rsidP="00C327B6">
      <w:pPr>
        <w:rPr>
          <w:rFonts w:cs="Arial"/>
          <w:iCs/>
          <w:lang w:val="fr-FR"/>
        </w:rPr>
      </w:pPr>
    </w:p>
    <w:p w14:paraId="6F5E83A6" w14:textId="32D362FE" w:rsidR="00E11BEB" w:rsidRPr="00C20545" w:rsidRDefault="00C327B6" w:rsidP="00C327B6">
      <w:pPr>
        <w:keepNext/>
        <w:rPr>
          <w:lang w:val="fr-FR"/>
        </w:rPr>
      </w:pPr>
      <w:r w:rsidRPr="00C20545">
        <w:rPr>
          <w:rFonts w:cs="Arial"/>
          <w:lang w:val="fr-FR"/>
        </w:rPr>
        <w:lastRenderedPageBreak/>
        <w:fldChar w:fldCharType="begin"/>
      </w:r>
      <w:r w:rsidRPr="00C20545">
        <w:rPr>
          <w:rFonts w:cs="Arial"/>
          <w:lang w:val="fr-FR"/>
        </w:rPr>
        <w:instrText xml:space="preserve"> AUTONUM  </w:instrText>
      </w:r>
      <w:r w:rsidRPr="00C20545">
        <w:rPr>
          <w:rFonts w:cs="Arial"/>
          <w:lang w:val="fr-FR"/>
        </w:rPr>
        <w:fldChar w:fldCharType="end"/>
      </w:r>
      <w:r w:rsidRPr="00C20545">
        <w:rPr>
          <w:rFonts w:cs="Arial"/>
          <w:lang w:val="fr-FR"/>
        </w:rPr>
        <w:tab/>
      </w:r>
      <w:r w:rsidR="00CA3E31" w:rsidRPr="00C20545">
        <w:rPr>
          <w:rFonts w:cs="Arial"/>
          <w:lang w:val="fr-FR"/>
        </w:rPr>
        <w:t>À sa cinquante</w:t>
      </w:r>
      <w:r w:rsidR="00E11BEB" w:rsidRPr="00C20545">
        <w:rPr>
          <w:rFonts w:cs="Arial"/>
          <w:lang w:val="fr-FR"/>
        </w:rPr>
        <w:t> et unième session</w:t>
      </w:r>
      <w:r w:rsidR="00CA3E31" w:rsidRPr="00C20545">
        <w:rPr>
          <w:rFonts w:cs="Arial"/>
          <w:lang w:val="fr-FR"/>
        </w:rPr>
        <w:t>,</w:t>
      </w:r>
      <w:r w:rsidR="00E11BEB" w:rsidRPr="00C20545">
        <w:rPr>
          <w:rFonts w:cs="Arial"/>
          <w:lang w:val="fr-FR"/>
        </w:rPr>
        <w:t xml:space="preserve"> le TWA</w:t>
      </w:r>
      <w:r w:rsidR="00CA3E31" w:rsidRPr="00C20545">
        <w:rPr>
          <w:rFonts w:cs="Arial"/>
          <w:lang w:val="fr-FR"/>
        </w:rPr>
        <w:t xml:space="preserve"> a pris note du rapport des organisations conjointes d</w:t>
      </w:r>
      <w:r w:rsidR="00E11BEB" w:rsidRPr="00C20545">
        <w:rPr>
          <w:rFonts w:cs="Arial"/>
          <w:lang w:val="fr-FR"/>
        </w:rPr>
        <w:t>’</w:t>
      </w:r>
      <w:r w:rsidR="00CA3E31" w:rsidRPr="00C20545">
        <w:rPr>
          <w:rFonts w:cs="Arial"/>
          <w:lang w:val="fr-FR"/>
        </w:rPr>
        <w:t>obtenteurs indiquant qu</w:t>
      </w:r>
      <w:r w:rsidR="00E11BEB" w:rsidRPr="00C20545">
        <w:rPr>
          <w:rFonts w:cs="Arial"/>
          <w:lang w:val="fr-FR"/>
        </w:rPr>
        <w:t>’</w:t>
      </w:r>
      <w:r w:rsidR="00CA3E31" w:rsidRPr="00C20545">
        <w:rPr>
          <w:rFonts w:cs="Arial"/>
          <w:lang w:val="fr-FR"/>
        </w:rPr>
        <w:t>une enquête sur la confidentialité des informations moléculaires était en cours auprès d</w:t>
      </w:r>
      <w:r w:rsidR="00E11BEB" w:rsidRPr="00C20545">
        <w:rPr>
          <w:rFonts w:cs="Arial"/>
          <w:lang w:val="fr-FR"/>
        </w:rPr>
        <w:t>’</w:t>
      </w:r>
      <w:r w:rsidR="00CA3E31" w:rsidRPr="00C20545">
        <w:rPr>
          <w:rFonts w:cs="Arial"/>
          <w:lang w:val="fr-FR"/>
        </w:rPr>
        <w:t>entreprises spécialisées dans la sélection végétale dans diverses organisatio</w:t>
      </w:r>
      <w:r w:rsidR="00C20545" w:rsidRPr="00C20545">
        <w:rPr>
          <w:rFonts w:cs="Arial"/>
          <w:lang w:val="fr-FR"/>
        </w:rPr>
        <w:t>ns.  Le</w:t>
      </w:r>
      <w:r w:rsidR="00E11BEB" w:rsidRPr="00C20545">
        <w:rPr>
          <w:rFonts w:cs="Arial"/>
          <w:lang w:val="fr-FR"/>
        </w:rPr>
        <w:t> TWA</w:t>
      </w:r>
      <w:r w:rsidR="00CA3E31" w:rsidRPr="00C20545">
        <w:rPr>
          <w:rFonts w:cs="Arial"/>
          <w:lang w:val="fr-FR"/>
        </w:rPr>
        <w:t xml:space="preserve"> a pris note que les résultats de ladite enquête allaient être présentés</w:t>
      </w:r>
      <w:r w:rsidR="00E11BEB" w:rsidRPr="00C20545">
        <w:rPr>
          <w:rFonts w:cs="Arial"/>
          <w:lang w:val="fr-FR"/>
        </w:rPr>
        <w:t xml:space="preserve"> au TWM</w:t>
      </w:r>
      <w:r w:rsidR="00CA3E31" w:rsidRPr="00C20545">
        <w:rPr>
          <w:rFonts w:cs="Arial"/>
          <w:lang w:val="fr-FR"/>
        </w:rPr>
        <w:t>, à sa première sessi</w:t>
      </w:r>
      <w:r w:rsidR="00C20545" w:rsidRPr="00C20545">
        <w:rPr>
          <w:rFonts w:cs="Arial"/>
          <w:lang w:val="fr-FR"/>
        </w:rPr>
        <w:t>on.  Le</w:t>
      </w:r>
      <w:r w:rsidR="00E11BEB" w:rsidRPr="00C20545">
        <w:rPr>
          <w:rFonts w:cs="Arial"/>
          <w:lang w:val="fr-FR"/>
        </w:rPr>
        <w:t> TWA</w:t>
      </w:r>
      <w:r w:rsidR="00CA3E31" w:rsidRPr="00C20545">
        <w:rPr>
          <w:rFonts w:cs="Arial"/>
          <w:lang w:val="fr-FR"/>
        </w:rPr>
        <w:t xml:space="preserve"> est convenu d</w:t>
      </w:r>
      <w:r w:rsidR="00E11BEB" w:rsidRPr="00C20545">
        <w:rPr>
          <w:rFonts w:cs="Arial"/>
          <w:lang w:val="fr-FR"/>
        </w:rPr>
        <w:t>’</w:t>
      </w:r>
      <w:r w:rsidR="00CA3E31" w:rsidRPr="00C20545">
        <w:rPr>
          <w:rFonts w:cs="Arial"/>
          <w:lang w:val="fr-FR"/>
        </w:rPr>
        <w:t>inviter les organisations conjointes d</w:t>
      </w:r>
      <w:r w:rsidR="00E11BEB" w:rsidRPr="00C20545">
        <w:rPr>
          <w:rFonts w:cs="Arial"/>
          <w:lang w:val="fr-FR"/>
        </w:rPr>
        <w:t>’</w:t>
      </w:r>
      <w:r w:rsidR="00CA3E31" w:rsidRPr="00C20545">
        <w:rPr>
          <w:rFonts w:cs="Arial"/>
          <w:lang w:val="fr-FR"/>
        </w:rPr>
        <w:t>obtenteurs à faire rapport sur les faits nouveaux, à l</w:t>
      </w:r>
      <w:r w:rsidR="00E11BEB" w:rsidRPr="00C20545">
        <w:rPr>
          <w:rFonts w:cs="Arial"/>
          <w:lang w:val="fr-FR"/>
        </w:rPr>
        <w:t>’</w:t>
      </w:r>
      <w:r w:rsidR="00CA3E31" w:rsidRPr="00C20545">
        <w:rPr>
          <w:rFonts w:cs="Arial"/>
          <w:lang w:val="fr-FR"/>
        </w:rPr>
        <w:t>occasion de sa cinquante</w:t>
      </w:r>
      <w:r w:rsidR="00E11BEB" w:rsidRPr="00C20545">
        <w:rPr>
          <w:rFonts w:cs="Arial"/>
          <w:lang w:val="fr-FR"/>
        </w:rPr>
        <w:t>-</w:t>
      </w:r>
      <w:r w:rsidR="00CA3E31" w:rsidRPr="00C20545">
        <w:rPr>
          <w:rFonts w:cs="Arial"/>
          <w:lang w:val="fr-FR"/>
        </w:rPr>
        <w:t>deux</w:t>
      </w:r>
      <w:r w:rsidR="00E11BEB" w:rsidRPr="00C20545">
        <w:rPr>
          <w:rFonts w:cs="Arial"/>
          <w:lang w:val="fr-FR"/>
        </w:rPr>
        <w:t>ième session</w:t>
      </w:r>
      <w:r w:rsidRPr="00C20545">
        <w:rPr>
          <w:lang w:val="fr-FR"/>
        </w:rPr>
        <w:t>.</w:t>
      </w:r>
    </w:p>
    <w:p w14:paraId="01051DE8" w14:textId="2277F77F" w:rsidR="00C327B6" w:rsidRPr="00C20545" w:rsidRDefault="00C327B6" w:rsidP="00C327B6">
      <w:pPr>
        <w:keepNext/>
        <w:rPr>
          <w:rFonts w:cs="Arial"/>
          <w:lang w:val="fr-FR"/>
        </w:rPr>
      </w:pPr>
    </w:p>
    <w:p w14:paraId="3C58FBBD" w14:textId="604A327D" w:rsidR="00C327B6" w:rsidRPr="00C20545" w:rsidRDefault="00C327B6" w:rsidP="00C327B6">
      <w:pPr>
        <w:rPr>
          <w:lang w:val="fr-FR"/>
        </w:rPr>
      </w:pPr>
      <w:r w:rsidRPr="00C20545">
        <w:rPr>
          <w:lang w:val="fr-FR"/>
        </w:rPr>
        <w:fldChar w:fldCharType="begin"/>
      </w:r>
      <w:r w:rsidRPr="00C20545">
        <w:rPr>
          <w:lang w:val="fr-FR"/>
        </w:rPr>
        <w:instrText xml:space="preserve"> AUTONUM  </w:instrText>
      </w:r>
      <w:r w:rsidRPr="00C20545">
        <w:rPr>
          <w:lang w:val="fr-FR"/>
        </w:rPr>
        <w:fldChar w:fldCharType="end"/>
      </w:r>
      <w:r w:rsidRPr="00C20545">
        <w:rPr>
          <w:lang w:val="fr-FR"/>
        </w:rPr>
        <w:tab/>
      </w:r>
      <w:r w:rsidR="00CA3E31" w:rsidRPr="00C20545">
        <w:rPr>
          <w:lang w:val="fr-FR"/>
        </w:rPr>
        <w:t>À sa première session,</w:t>
      </w:r>
      <w:r w:rsidR="00E11BEB" w:rsidRPr="00C20545">
        <w:rPr>
          <w:lang w:val="fr-FR"/>
        </w:rPr>
        <w:t xml:space="preserve"> le TWM</w:t>
      </w:r>
      <w:r w:rsidR="00CA3E31" w:rsidRPr="00C20545">
        <w:rPr>
          <w:lang w:val="fr-FR"/>
        </w:rPr>
        <w:t xml:space="preserve"> a assisté à un exposé intitulé “Confidentialité et titularité des informations moléculaires” présenté par M.</w:t>
      </w:r>
      <w:r w:rsidR="007E7826" w:rsidRPr="00C20545">
        <w:rPr>
          <w:lang w:val="fr-FR"/>
        </w:rPr>
        <w:t> </w:t>
      </w:r>
      <w:r w:rsidR="00CA3E31" w:rsidRPr="00C20545">
        <w:rPr>
          <w:lang w:val="fr-FR"/>
        </w:rPr>
        <w:t>Marcel</w:t>
      </w:r>
      <w:r w:rsidR="00CE3D2E">
        <w:rPr>
          <w:lang w:val="fr-FR"/>
        </w:rPr>
        <w:t> </w:t>
      </w:r>
      <w:proofErr w:type="spellStart"/>
      <w:r w:rsidR="00CA3E31" w:rsidRPr="00C20545">
        <w:rPr>
          <w:lang w:val="fr-FR"/>
        </w:rPr>
        <w:t>Bruins</w:t>
      </w:r>
      <w:proofErr w:type="spellEnd"/>
      <w:r w:rsidR="00CA3E31" w:rsidRPr="00C20545">
        <w:rPr>
          <w:lang w:val="fr-FR"/>
        </w:rPr>
        <w:t xml:space="preserve"> (</w:t>
      </w:r>
      <w:proofErr w:type="spellStart"/>
      <w:r w:rsidR="00CA3E31" w:rsidRPr="00C20545">
        <w:rPr>
          <w:lang w:val="fr-FR"/>
        </w:rPr>
        <w:t>CropLife</w:t>
      </w:r>
      <w:proofErr w:type="spellEnd"/>
      <w:r w:rsidR="00CA3E31" w:rsidRPr="00C20545">
        <w:rPr>
          <w:lang w:val="fr-FR"/>
        </w:rPr>
        <w:t xml:space="preserve"> International), dont on trouvera une copie dans le document TWM/1/22</w:t>
      </w:r>
      <w:r w:rsidRPr="00C20545">
        <w:rPr>
          <w:lang w:val="fr-FR"/>
        </w:rPr>
        <w:t>.</w:t>
      </w:r>
    </w:p>
    <w:p w14:paraId="3CBE4CD1" w14:textId="77777777" w:rsidR="00C327B6" w:rsidRPr="00C20545" w:rsidRDefault="00C327B6" w:rsidP="00C327B6">
      <w:pPr>
        <w:rPr>
          <w:lang w:val="fr-FR"/>
        </w:rPr>
      </w:pPr>
    </w:p>
    <w:p w14:paraId="6B95B3FB" w14:textId="7E278EEA" w:rsidR="00C327B6" w:rsidRPr="00C20545" w:rsidRDefault="00C327B6" w:rsidP="00C327B6">
      <w:pPr>
        <w:rPr>
          <w:rFonts w:cs="Arial"/>
          <w:iCs/>
          <w:lang w:val="fr-FR"/>
        </w:rPr>
      </w:pPr>
      <w:r w:rsidRPr="00C20545">
        <w:rPr>
          <w:rFonts w:cs="Arial"/>
          <w:iCs/>
          <w:lang w:val="fr-FR"/>
        </w:rPr>
        <w:fldChar w:fldCharType="begin"/>
      </w:r>
      <w:r w:rsidRPr="00C20545">
        <w:rPr>
          <w:rFonts w:cs="Arial"/>
          <w:iCs/>
          <w:lang w:val="fr-FR"/>
        </w:rPr>
        <w:instrText xml:space="preserve"> AUTONUM  </w:instrText>
      </w:r>
      <w:r w:rsidRPr="00C20545">
        <w:rPr>
          <w:rFonts w:cs="Arial"/>
          <w:iCs/>
          <w:lang w:val="fr-FR"/>
        </w:rPr>
        <w:fldChar w:fldCharType="end"/>
      </w:r>
      <w:r w:rsidRPr="00C20545">
        <w:rPr>
          <w:rFonts w:cs="Arial"/>
          <w:iCs/>
          <w:lang w:val="fr-FR"/>
        </w:rPr>
        <w:tab/>
      </w:r>
      <w:r w:rsidR="00464534" w:rsidRPr="00C20545">
        <w:rPr>
          <w:rFonts w:cs="Arial"/>
          <w:iCs/>
          <w:lang w:val="fr-FR"/>
        </w:rPr>
        <w:t>Le TWM a pris note des préoccupations exprimées par les organisations d</w:t>
      </w:r>
      <w:r w:rsidR="00E11BEB" w:rsidRPr="00C20545">
        <w:rPr>
          <w:rFonts w:cs="Arial"/>
          <w:iCs/>
          <w:lang w:val="fr-FR"/>
        </w:rPr>
        <w:t>’</w:t>
      </w:r>
      <w:r w:rsidR="00464534" w:rsidRPr="00C20545">
        <w:rPr>
          <w:rFonts w:cs="Arial"/>
          <w:iCs/>
          <w:lang w:val="fr-FR"/>
        </w:rPr>
        <w:t>obtenteurs, selon lesquelles les informations moléculaires fournies pour l</w:t>
      </w:r>
      <w:r w:rsidR="00E11BEB" w:rsidRPr="00C20545">
        <w:rPr>
          <w:rFonts w:cs="Arial"/>
          <w:iCs/>
          <w:lang w:val="fr-FR"/>
        </w:rPr>
        <w:t>’</w:t>
      </w:r>
      <w:r w:rsidR="00464534" w:rsidRPr="00C20545">
        <w:rPr>
          <w:rFonts w:cs="Arial"/>
          <w:iCs/>
          <w:lang w:val="fr-FR"/>
        </w:rPr>
        <w:t>examen d</w:t>
      </w:r>
      <w:r w:rsidR="00E11BEB" w:rsidRPr="00C20545">
        <w:rPr>
          <w:rFonts w:cs="Arial"/>
          <w:iCs/>
          <w:lang w:val="fr-FR"/>
        </w:rPr>
        <w:t>’</w:t>
      </w:r>
      <w:r w:rsidR="00464534" w:rsidRPr="00C20545">
        <w:rPr>
          <w:rFonts w:cs="Arial"/>
          <w:iCs/>
          <w:lang w:val="fr-FR"/>
        </w:rPr>
        <w:t>une variété ne devraient pas être fournies à d</w:t>
      </w:r>
      <w:r w:rsidR="00E11BEB" w:rsidRPr="00C20545">
        <w:rPr>
          <w:rFonts w:cs="Arial"/>
          <w:iCs/>
          <w:lang w:val="fr-FR"/>
        </w:rPr>
        <w:t>’</w:t>
      </w:r>
      <w:r w:rsidR="00464534" w:rsidRPr="00C20545">
        <w:rPr>
          <w:rFonts w:cs="Arial"/>
          <w:iCs/>
          <w:lang w:val="fr-FR"/>
        </w:rPr>
        <w:t>autres personnes en dehors de l</w:t>
      </w:r>
      <w:r w:rsidR="00E11BEB" w:rsidRPr="00C20545">
        <w:rPr>
          <w:rFonts w:cs="Arial"/>
          <w:iCs/>
          <w:lang w:val="fr-FR"/>
        </w:rPr>
        <w:t>’</w:t>
      </w:r>
      <w:r w:rsidR="00464534" w:rsidRPr="00C20545">
        <w:rPr>
          <w:rFonts w:cs="Arial"/>
          <w:iCs/>
          <w:lang w:val="fr-FR"/>
        </w:rPr>
        <w:t>autorité qui a reçu la demande, sans la permission de l</w:t>
      </w:r>
      <w:r w:rsidR="00E11BEB" w:rsidRPr="00C20545">
        <w:rPr>
          <w:rFonts w:cs="Arial"/>
          <w:iCs/>
          <w:lang w:val="fr-FR"/>
        </w:rPr>
        <w:t>’</w:t>
      </w:r>
      <w:r w:rsidR="00464534" w:rsidRPr="00C20545">
        <w:rPr>
          <w:rFonts w:cs="Arial"/>
          <w:iCs/>
          <w:lang w:val="fr-FR"/>
        </w:rPr>
        <w:t>obtente</w:t>
      </w:r>
      <w:r w:rsidR="00C20545" w:rsidRPr="00C20545">
        <w:rPr>
          <w:rFonts w:cs="Arial"/>
          <w:iCs/>
          <w:lang w:val="fr-FR"/>
        </w:rPr>
        <w:t>ur.  Le</w:t>
      </w:r>
      <w:r w:rsidR="00E11BEB" w:rsidRPr="00C20545">
        <w:rPr>
          <w:rFonts w:cs="Arial"/>
          <w:iCs/>
          <w:lang w:val="fr-FR"/>
        </w:rPr>
        <w:t> TWM</w:t>
      </w:r>
      <w:r w:rsidR="00464534" w:rsidRPr="00C20545">
        <w:rPr>
          <w:rFonts w:cs="Arial"/>
          <w:iCs/>
          <w:lang w:val="fr-FR"/>
        </w:rPr>
        <w:t xml:space="preserve"> a en outre pris note de la préoccupation des obtenteurs concernant le manque de clarté et d</w:t>
      </w:r>
      <w:r w:rsidR="00E11BEB" w:rsidRPr="00C20545">
        <w:rPr>
          <w:rFonts w:cs="Arial"/>
          <w:iCs/>
          <w:lang w:val="fr-FR"/>
        </w:rPr>
        <w:t>’</w:t>
      </w:r>
      <w:r w:rsidR="00464534" w:rsidRPr="00C20545">
        <w:rPr>
          <w:rFonts w:cs="Arial"/>
          <w:iCs/>
          <w:lang w:val="fr-FR"/>
        </w:rPr>
        <w:t>informations quant aux modalités d</w:t>
      </w:r>
      <w:r w:rsidR="00E11BEB" w:rsidRPr="00C20545">
        <w:rPr>
          <w:rFonts w:cs="Arial"/>
          <w:iCs/>
          <w:lang w:val="fr-FR"/>
        </w:rPr>
        <w:t>’</w:t>
      </w:r>
      <w:r w:rsidR="00464534" w:rsidRPr="00C20545">
        <w:rPr>
          <w:rFonts w:cs="Arial"/>
          <w:iCs/>
          <w:lang w:val="fr-FR"/>
        </w:rPr>
        <w:t>utilisation des informations moléculaires, notamment en termes de partage</w:t>
      </w:r>
      <w:r w:rsidRPr="00C20545">
        <w:rPr>
          <w:rFonts w:cs="Arial"/>
          <w:iCs/>
          <w:lang w:val="fr-FR"/>
        </w:rPr>
        <w:t>.</w:t>
      </w:r>
    </w:p>
    <w:p w14:paraId="69269E04" w14:textId="77777777" w:rsidR="00C327B6" w:rsidRPr="00C20545" w:rsidRDefault="00C327B6" w:rsidP="00C327B6">
      <w:pPr>
        <w:rPr>
          <w:rFonts w:cs="Arial"/>
          <w:iCs/>
          <w:lang w:val="fr-FR"/>
        </w:rPr>
      </w:pPr>
    </w:p>
    <w:p w14:paraId="755E3AAF" w14:textId="41F16B29" w:rsidR="00E11BEB" w:rsidRPr="00C20545" w:rsidRDefault="00C327B6" w:rsidP="00C327B6">
      <w:pPr>
        <w:rPr>
          <w:rFonts w:cs="Arial"/>
          <w:iCs/>
          <w:lang w:val="fr-FR"/>
        </w:rPr>
      </w:pPr>
      <w:r w:rsidRPr="00C20545">
        <w:rPr>
          <w:rFonts w:cs="Arial"/>
          <w:iCs/>
          <w:lang w:val="fr-FR"/>
        </w:rPr>
        <w:fldChar w:fldCharType="begin"/>
      </w:r>
      <w:r w:rsidRPr="00C20545">
        <w:rPr>
          <w:rFonts w:cs="Arial"/>
          <w:iCs/>
          <w:lang w:val="fr-FR"/>
        </w:rPr>
        <w:instrText xml:space="preserve"> AUTONUM  </w:instrText>
      </w:r>
      <w:r w:rsidRPr="00C20545">
        <w:rPr>
          <w:rFonts w:cs="Arial"/>
          <w:iCs/>
          <w:lang w:val="fr-FR"/>
        </w:rPr>
        <w:fldChar w:fldCharType="end"/>
      </w:r>
      <w:r w:rsidRPr="00C20545">
        <w:rPr>
          <w:rFonts w:cs="Arial"/>
          <w:iCs/>
          <w:lang w:val="fr-FR"/>
        </w:rPr>
        <w:tab/>
      </w:r>
      <w:r w:rsidR="00464534" w:rsidRPr="00C20545">
        <w:rPr>
          <w:rFonts w:cs="Arial"/>
          <w:iCs/>
          <w:lang w:val="fr-FR"/>
        </w:rPr>
        <w:t>Le TWM est convenu qu</w:t>
      </w:r>
      <w:r w:rsidR="00E11BEB" w:rsidRPr="00C20545">
        <w:rPr>
          <w:rFonts w:cs="Arial"/>
          <w:iCs/>
          <w:lang w:val="fr-FR"/>
        </w:rPr>
        <w:t>’</w:t>
      </w:r>
      <w:r w:rsidR="00464534" w:rsidRPr="00C20545">
        <w:rPr>
          <w:rFonts w:cs="Arial"/>
          <w:iCs/>
          <w:lang w:val="fr-FR"/>
        </w:rPr>
        <w:t>il convient de clarifier davantage le type d</w:t>
      </w:r>
      <w:r w:rsidR="00E11BEB" w:rsidRPr="00C20545">
        <w:rPr>
          <w:rFonts w:cs="Arial"/>
          <w:iCs/>
          <w:lang w:val="fr-FR"/>
        </w:rPr>
        <w:t>’</w:t>
      </w:r>
      <w:r w:rsidR="00464534" w:rsidRPr="00C20545">
        <w:rPr>
          <w:rFonts w:cs="Arial"/>
          <w:iCs/>
          <w:lang w:val="fr-FR"/>
        </w:rPr>
        <w:t>information ainsi que l</w:t>
      </w:r>
      <w:r w:rsidR="00E11BEB" w:rsidRPr="00C20545">
        <w:rPr>
          <w:rFonts w:cs="Arial"/>
          <w:iCs/>
          <w:lang w:val="fr-FR"/>
        </w:rPr>
        <w:t>’</w:t>
      </w:r>
      <w:r w:rsidR="00464534" w:rsidRPr="00C20545">
        <w:rPr>
          <w:rFonts w:cs="Arial"/>
          <w:iCs/>
          <w:lang w:val="fr-FR"/>
        </w:rPr>
        <w:t>objectif de l</w:t>
      </w:r>
      <w:r w:rsidR="00E11BEB" w:rsidRPr="00C20545">
        <w:rPr>
          <w:rFonts w:cs="Arial"/>
          <w:iCs/>
          <w:lang w:val="fr-FR"/>
        </w:rPr>
        <w:t>’</w:t>
      </w:r>
      <w:r w:rsidR="00464534" w:rsidRPr="00C20545">
        <w:rPr>
          <w:rFonts w:cs="Arial"/>
          <w:iCs/>
          <w:lang w:val="fr-FR"/>
        </w:rPr>
        <w:t>utilisation des données à partager (par exemple, les distances moléculaires entre les variétés, les séquences de génotypes) soumis à permission, avant partage entre les services de protection des obtentions végétales</w:t>
      </w:r>
      <w:r w:rsidRPr="00C20545">
        <w:rPr>
          <w:rFonts w:cs="Arial"/>
          <w:iCs/>
          <w:lang w:val="fr-FR"/>
        </w:rPr>
        <w:t>.</w:t>
      </w:r>
    </w:p>
    <w:p w14:paraId="640A4CA3" w14:textId="34106E24" w:rsidR="00C327B6" w:rsidRPr="00C20545" w:rsidRDefault="00C327B6" w:rsidP="00C327B6">
      <w:pPr>
        <w:rPr>
          <w:rFonts w:cs="Arial"/>
          <w:iCs/>
          <w:lang w:val="fr-FR"/>
        </w:rPr>
      </w:pPr>
    </w:p>
    <w:p w14:paraId="7A2AFC14" w14:textId="745D1F91" w:rsidR="00C327B6" w:rsidRPr="00C20545" w:rsidRDefault="00C327B6" w:rsidP="009D1203">
      <w:pPr>
        <w:rPr>
          <w:i/>
          <w:lang w:val="fr-FR"/>
        </w:rPr>
      </w:pPr>
      <w:r w:rsidRPr="00C20545">
        <w:rPr>
          <w:rFonts w:cs="Arial"/>
          <w:iCs/>
          <w:lang w:val="fr-FR"/>
        </w:rPr>
        <w:fldChar w:fldCharType="begin"/>
      </w:r>
      <w:r w:rsidRPr="00C20545">
        <w:rPr>
          <w:rFonts w:cs="Arial"/>
          <w:iCs/>
          <w:lang w:val="fr-FR"/>
        </w:rPr>
        <w:instrText xml:space="preserve"> AUTONUM  </w:instrText>
      </w:r>
      <w:r w:rsidRPr="00C20545">
        <w:rPr>
          <w:rFonts w:cs="Arial"/>
          <w:iCs/>
          <w:lang w:val="fr-FR"/>
        </w:rPr>
        <w:fldChar w:fldCharType="end"/>
      </w:r>
      <w:r w:rsidRPr="00C20545">
        <w:rPr>
          <w:rFonts w:cs="Arial"/>
          <w:iCs/>
          <w:lang w:val="fr-FR"/>
        </w:rPr>
        <w:tab/>
      </w:r>
      <w:r w:rsidR="00464534" w:rsidRPr="00C20545">
        <w:rPr>
          <w:rFonts w:cs="Arial"/>
          <w:iCs/>
          <w:lang w:val="fr-FR"/>
        </w:rPr>
        <w:t>Le TWM est convenu d</w:t>
      </w:r>
      <w:r w:rsidR="00E11BEB" w:rsidRPr="00C20545">
        <w:rPr>
          <w:rFonts w:cs="Arial"/>
          <w:iCs/>
          <w:lang w:val="fr-FR"/>
        </w:rPr>
        <w:t>’</w:t>
      </w:r>
      <w:r w:rsidR="00464534" w:rsidRPr="00C20545">
        <w:rPr>
          <w:rFonts w:cs="Arial"/>
          <w:iCs/>
          <w:lang w:val="fr-FR"/>
        </w:rPr>
        <w:t>inviter les membres et les observateurs à présenter les mesures en vigueur en matière de confidentialité des informations moléculaires lors de la deux</w:t>
      </w:r>
      <w:r w:rsidR="00E11BEB" w:rsidRPr="00C20545">
        <w:rPr>
          <w:rFonts w:cs="Arial"/>
          <w:iCs/>
          <w:lang w:val="fr-FR"/>
        </w:rPr>
        <w:t>ième session du TWM</w:t>
      </w:r>
      <w:r w:rsidRPr="00C20545">
        <w:rPr>
          <w:rFonts w:cs="Arial"/>
          <w:iCs/>
          <w:lang w:val="fr-FR"/>
        </w:rPr>
        <w:t>.</w:t>
      </w:r>
    </w:p>
    <w:p w14:paraId="5E157690" w14:textId="77777777" w:rsidR="00C327B6" w:rsidRPr="00C20545" w:rsidRDefault="00C327B6" w:rsidP="00D666A7">
      <w:pPr>
        <w:pStyle w:val="DecisionParagraphs"/>
        <w:jc w:val="right"/>
        <w:rPr>
          <w:i w:val="0"/>
          <w:lang w:val="fr-FR"/>
        </w:rPr>
      </w:pPr>
    </w:p>
    <w:p w14:paraId="78725058" w14:textId="77777777" w:rsidR="00C327B6" w:rsidRPr="00C20545" w:rsidRDefault="00C327B6" w:rsidP="00D666A7">
      <w:pPr>
        <w:pStyle w:val="DecisionParagraphs"/>
        <w:jc w:val="right"/>
        <w:rPr>
          <w:i w:val="0"/>
          <w:lang w:val="fr-FR"/>
        </w:rPr>
      </w:pPr>
    </w:p>
    <w:p w14:paraId="54813E99" w14:textId="77777777" w:rsidR="00C327B6" w:rsidRPr="00C20545" w:rsidRDefault="00C327B6" w:rsidP="00D666A7">
      <w:pPr>
        <w:pStyle w:val="DecisionParagraphs"/>
        <w:jc w:val="right"/>
        <w:rPr>
          <w:i w:val="0"/>
          <w:lang w:val="fr-FR"/>
        </w:rPr>
      </w:pPr>
    </w:p>
    <w:p w14:paraId="7D4B4C85" w14:textId="3BC71556" w:rsidR="00C327B6" w:rsidRPr="00C20545" w:rsidRDefault="00C327B6" w:rsidP="00D666A7">
      <w:pPr>
        <w:pStyle w:val="DecisionParagraphs"/>
        <w:tabs>
          <w:tab w:val="clear" w:pos="5387"/>
          <w:tab w:val="clear" w:pos="5954"/>
        </w:tabs>
        <w:ind w:left="0"/>
        <w:jc w:val="right"/>
        <w:rPr>
          <w:lang w:val="fr-FR"/>
        </w:rPr>
        <w:sectPr w:rsidR="00C327B6" w:rsidRPr="00C20545" w:rsidSect="00D666A7">
          <w:headerReference w:type="default" r:id="rId11"/>
          <w:type w:val="continuous"/>
          <w:pgSz w:w="11907" w:h="16840" w:code="9"/>
          <w:pgMar w:top="510" w:right="1134" w:bottom="1134" w:left="1134" w:header="510" w:footer="680" w:gutter="0"/>
          <w:cols w:space="720"/>
          <w:titlePg/>
        </w:sectPr>
      </w:pPr>
      <w:r w:rsidRPr="00C20545">
        <w:rPr>
          <w:i w:val="0"/>
          <w:lang w:val="fr-FR"/>
        </w:rPr>
        <w:t>[</w:t>
      </w:r>
      <w:r w:rsidR="00674897" w:rsidRPr="00C20545">
        <w:rPr>
          <w:i w:val="0"/>
          <w:lang w:val="fr-FR"/>
        </w:rPr>
        <w:t>Les a</w:t>
      </w:r>
      <w:r w:rsidRPr="00C20545">
        <w:rPr>
          <w:i w:val="0"/>
          <w:lang w:val="fr-FR"/>
        </w:rPr>
        <w:t>nnex</w:t>
      </w:r>
      <w:r w:rsidR="00331E79" w:rsidRPr="00C20545">
        <w:rPr>
          <w:i w:val="0"/>
          <w:lang w:val="fr-FR"/>
        </w:rPr>
        <w:t xml:space="preserve">es </w:t>
      </w:r>
      <w:r w:rsidR="00674897" w:rsidRPr="00C20545">
        <w:rPr>
          <w:i w:val="0"/>
          <w:lang w:val="fr-FR"/>
        </w:rPr>
        <w:t>suivent</w:t>
      </w:r>
      <w:r w:rsidRPr="00C20545">
        <w:rPr>
          <w:i w:val="0"/>
          <w:lang w:val="fr-FR"/>
        </w:rPr>
        <w:t>]</w:t>
      </w:r>
      <w:bookmarkEnd w:id="5"/>
      <w:bookmarkEnd w:id="4"/>
      <w:bookmarkEnd w:id="3"/>
      <w:bookmarkEnd w:id="2"/>
    </w:p>
    <w:p w14:paraId="0E6E928C" w14:textId="77777777" w:rsidR="00AF246C" w:rsidRPr="00953DCC" w:rsidRDefault="00AF246C" w:rsidP="00AF246C">
      <w:pPr>
        <w:jc w:val="center"/>
        <w:rPr>
          <w:u w:val="single"/>
          <w:lang w:val="fr-FR"/>
        </w:rPr>
      </w:pPr>
      <w:r w:rsidRPr="00953DCC">
        <w:rPr>
          <w:u w:val="single"/>
          <w:lang w:val="fr-FR"/>
        </w:rPr>
        <w:lastRenderedPageBreak/>
        <w:t>ENQUÊTE, PAR PLANTE, SUR L</w:t>
      </w:r>
      <w:r>
        <w:rPr>
          <w:u w:val="single"/>
          <w:lang w:val="fr-FR"/>
        </w:rPr>
        <w:t>’</w:t>
      </w:r>
      <w:r w:rsidRPr="00953DCC">
        <w:rPr>
          <w:u w:val="single"/>
          <w:lang w:val="fr-FR"/>
        </w:rPr>
        <w:t>UTILISATION DES TECHNIQUES FAISANT INTERVENIR DES MARQUEURS MOLÉCULAIRES</w:t>
      </w:r>
    </w:p>
    <w:p w14:paraId="42F8C320" w14:textId="77777777" w:rsidR="00AF246C" w:rsidRPr="00953DCC" w:rsidRDefault="00AF246C" w:rsidP="00AF246C">
      <w:pPr>
        <w:rPr>
          <w:lang w:val="fr-FR"/>
        </w:rPr>
      </w:pPr>
    </w:p>
    <w:p w14:paraId="5C627A4A" w14:textId="77777777" w:rsidR="00AF246C" w:rsidRPr="00953DCC" w:rsidRDefault="00AF246C" w:rsidP="00AF246C">
      <w:pPr>
        <w:rPr>
          <w:snapToGrid w:val="0"/>
          <w:lang w:val="fr-FR"/>
        </w:rPr>
      </w:pPr>
    </w:p>
    <w:p w14:paraId="48FA56A7" w14:textId="77777777" w:rsidR="00AF246C" w:rsidRPr="00953DCC" w:rsidRDefault="00AF246C" w:rsidP="00AF246C">
      <w:pPr>
        <w:rPr>
          <w:snapToGrid w:val="0"/>
          <w:lang w:val="fr-FR"/>
        </w:rPr>
      </w:pPr>
    </w:p>
    <w:p w14:paraId="46DB227A" w14:textId="77777777" w:rsidR="00AF246C" w:rsidRPr="00953DCC" w:rsidRDefault="00AF246C" w:rsidP="00AF246C">
      <w:pPr>
        <w:jc w:val="center"/>
        <w:rPr>
          <w:rFonts w:cs="Arial"/>
          <w:i/>
          <w:lang w:val="fr-FR"/>
        </w:rPr>
      </w:pPr>
      <w:r w:rsidRPr="00953DCC">
        <w:rPr>
          <w:rFonts w:cs="Arial"/>
          <w:i/>
          <w:lang w:val="fr-FR"/>
        </w:rPr>
        <w:t>Voir la feuille de calcul Excel pour toutes les réponses reçues</w:t>
      </w:r>
    </w:p>
    <w:p w14:paraId="55981C04" w14:textId="77777777" w:rsidR="00C327B6" w:rsidRPr="00C20545" w:rsidRDefault="00C327B6" w:rsidP="00C327B6">
      <w:pPr>
        <w:rPr>
          <w:u w:val="single"/>
          <w:lang w:val="fr-FR"/>
        </w:rPr>
      </w:pPr>
    </w:p>
    <w:p w14:paraId="4777B33A" w14:textId="4B045E18" w:rsidR="00C327B6" w:rsidRPr="00C20545" w:rsidRDefault="00C327B6" w:rsidP="00C327B6">
      <w:pPr>
        <w:pStyle w:val="DecisionParagraphs"/>
        <w:jc w:val="right"/>
        <w:rPr>
          <w:i w:val="0"/>
          <w:lang w:val="fr-FR"/>
        </w:rPr>
      </w:pPr>
      <w:r w:rsidRPr="00C20545">
        <w:rPr>
          <w:i w:val="0"/>
          <w:lang w:val="fr-FR"/>
        </w:rPr>
        <w:t>[</w:t>
      </w:r>
      <w:r w:rsidR="00674897" w:rsidRPr="00C20545">
        <w:rPr>
          <w:i w:val="0"/>
          <w:lang w:val="fr-FR"/>
        </w:rPr>
        <w:t>L</w:t>
      </w:r>
      <w:r w:rsidR="00E11BEB" w:rsidRPr="00C20545">
        <w:rPr>
          <w:i w:val="0"/>
          <w:lang w:val="fr-FR"/>
        </w:rPr>
        <w:t>’</w:t>
      </w:r>
      <w:r w:rsidR="00674897" w:rsidRPr="00C20545">
        <w:rPr>
          <w:i w:val="0"/>
          <w:lang w:val="fr-FR"/>
        </w:rPr>
        <w:t>a</w:t>
      </w:r>
      <w:r w:rsidRPr="00C20545">
        <w:rPr>
          <w:i w:val="0"/>
          <w:lang w:val="fr-FR"/>
        </w:rPr>
        <w:t>ppendi</w:t>
      </w:r>
      <w:r w:rsidR="00674897" w:rsidRPr="00C20545">
        <w:rPr>
          <w:i w:val="0"/>
          <w:lang w:val="fr-FR"/>
        </w:rPr>
        <w:t>ce</w:t>
      </w:r>
      <w:r w:rsidRPr="00C20545">
        <w:rPr>
          <w:i w:val="0"/>
          <w:lang w:val="fr-FR"/>
        </w:rPr>
        <w:t xml:space="preserve"> </w:t>
      </w:r>
      <w:r w:rsidR="00674897" w:rsidRPr="00C20545">
        <w:rPr>
          <w:i w:val="0"/>
          <w:lang w:val="fr-FR"/>
        </w:rPr>
        <w:t>de l</w:t>
      </w:r>
      <w:r w:rsidR="00E11BEB" w:rsidRPr="00C20545">
        <w:rPr>
          <w:i w:val="0"/>
          <w:lang w:val="fr-FR"/>
        </w:rPr>
        <w:t>’annexe I</w:t>
      </w:r>
      <w:r w:rsidR="006936D3" w:rsidRPr="00C20545">
        <w:rPr>
          <w:i w:val="0"/>
          <w:lang w:val="fr-FR"/>
        </w:rPr>
        <w:t xml:space="preserve"> </w:t>
      </w:r>
      <w:r w:rsidR="00674897" w:rsidRPr="00C20545">
        <w:rPr>
          <w:i w:val="0"/>
          <w:lang w:val="fr-FR"/>
        </w:rPr>
        <w:t>suit</w:t>
      </w:r>
      <w:r w:rsidRPr="00C20545">
        <w:rPr>
          <w:i w:val="0"/>
          <w:lang w:val="fr-FR"/>
        </w:rPr>
        <w:t>]</w:t>
      </w:r>
    </w:p>
    <w:p w14:paraId="56238685" w14:textId="77777777" w:rsidR="00C327B6" w:rsidRPr="00C20545" w:rsidRDefault="00C327B6" w:rsidP="00C327B6">
      <w:pPr>
        <w:pStyle w:val="DecisionParagraphs"/>
        <w:rPr>
          <w:lang w:val="fr-FR"/>
        </w:rPr>
      </w:pPr>
    </w:p>
    <w:p w14:paraId="2BEC7CFA" w14:textId="77777777" w:rsidR="00C327B6" w:rsidRPr="00C20545" w:rsidRDefault="00C327B6" w:rsidP="00C327B6">
      <w:pPr>
        <w:rPr>
          <w:u w:val="single"/>
          <w:lang w:val="fr-FR"/>
        </w:rPr>
        <w:sectPr w:rsidR="00C327B6" w:rsidRPr="00C20545" w:rsidSect="00531DCD">
          <w:headerReference w:type="default" r:id="rId12"/>
          <w:headerReference w:type="first" r:id="rId13"/>
          <w:pgSz w:w="11907" w:h="16840" w:code="9"/>
          <w:pgMar w:top="510" w:right="1134" w:bottom="1134" w:left="1134" w:header="510" w:footer="624" w:gutter="0"/>
          <w:pgNumType w:start="1"/>
          <w:cols w:space="720"/>
          <w:titlePg/>
          <w:docGrid w:linePitch="272"/>
        </w:sectPr>
      </w:pPr>
    </w:p>
    <w:p w14:paraId="14176BF0" w14:textId="3F3D6C51" w:rsidR="00C327B6" w:rsidRDefault="00C327B6" w:rsidP="00C327B6">
      <w:pPr>
        <w:rPr>
          <w:u w:val="single"/>
          <w:lang w:val="fr-FR"/>
        </w:rPr>
      </w:pPr>
    </w:p>
    <w:p w14:paraId="3271469A" w14:textId="77777777" w:rsidR="00445126" w:rsidRPr="00C20545" w:rsidRDefault="00445126" w:rsidP="00C327B6">
      <w:pPr>
        <w:rPr>
          <w:u w:val="single"/>
          <w:lang w:val="fr-FR"/>
        </w:rPr>
      </w:pPr>
    </w:p>
    <w:p w14:paraId="7427C0DB" w14:textId="77777777" w:rsidR="00445126" w:rsidRDefault="00445126" w:rsidP="00445126">
      <w:pPr>
        <w:rPr>
          <w:u w:val="single"/>
          <w:lang w:val="fr-FR"/>
        </w:rPr>
      </w:pPr>
      <w:r w:rsidRPr="0062673E">
        <w:rPr>
          <w:u w:val="single"/>
          <w:lang w:val="fr-FR"/>
        </w:rPr>
        <w:t>Réponse de l</w:t>
      </w:r>
      <w:r>
        <w:rPr>
          <w:u w:val="single"/>
          <w:lang w:val="fr-FR"/>
        </w:rPr>
        <w:t>’</w:t>
      </w:r>
      <w:r w:rsidRPr="0062673E">
        <w:rPr>
          <w:u w:val="single"/>
          <w:lang w:val="fr-FR"/>
        </w:rPr>
        <w:t>Union européenne</w:t>
      </w:r>
      <w:r>
        <w:rPr>
          <w:lang w:val="fr-FR"/>
        </w:rPr>
        <w:t> :</w:t>
      </w:r>
    </w:p>
    <w:p w14:paraId="341E80FA" w14:textId="77777777" w:rsidR="00445126" w:rsidRPr="0007414F" w:rsidRDefault="00445126" w:rsidP="00445126">
      <w:pPr>
        <w:rPr>
          <w:lang w:val="fr-FR"/>
        </w:rPr>
      </w:pPr>
    </w:p>
    <w:p w14:paraId="1146D48F" w14:textId="77777777" w:rsidR="00445126" w:rsidRPr="0007414F" w:rsidRDefault="00445126" w:rsidP="00445126">
      <w:pPr>
        <w:rPr>
          <w:lang w:val="fr-FR"/>
        </w:rPr>
      </w:pPr>
    </w:p>
    <w:p w14:paraId="65552E57" w14:textId="77777777" w:rsidR="00445126" w:rsidRPr="004D3878" w:rsidRDefault="00445126" w:rsidP="00445126">
      <w:pPr>
        <w:jc w:val="center"/>
        <w:rPr>
          <w:rFonts w:eastAsia="Cambria"/>
          <w:lang w:val="fr-FR"/>
        </w:rPr>
      </w:pPr>
      <w:r w:rsidRPr="004D3878">
        <w:rPr>
          <w:rFonts w:eastAsia="Cambria"/>
          <w:lang w:val="fr-FR"/>
        </w:rPr>
        <w:t>UTILISATION DE TECHNIQUES FAISANT INTERVENIR DES MARQUEURS MOLÉCULAIRES À DES FINS D</w:t>
      </w:r>
      <w:r>
        <w:rPr>
          <w:rFonts w:eastAsia="Cambria"/>
          <w:lang w:val="fr-FR"/>
        </w:rPr>
        <w:t>’</w:t>
      </w:r>
      <w:r w:rsidRPr="004D3878">
        <w:rPr>
          <w:rFonts w:eastAsia="Cambria"/>
          <w:lang w:val="fr-FR"/>
        </w:rPr>
        <w:t>EXAMEN DHS DANS LE CADRE DE LA PROTECTION COMMUNAUTAIRE DES OBTENTIONS VÉGÉTALES</w:t>
      </w:r>
    </w:p>
    <w:p w14:paraId="0FDFA8E2" w14:textId="77777777" w:rsidR="00445126" w:rsidRPr="004D3878" w:rsidRDefault="00445126" w:rsidP="00445126">
      <w:pPr>
        <w:rPr>
          <w:rFonts w:eastAsia="Cambria"/>
          <w:lang w:val="fr-FR"/>
        </w:rPr>
      </w:pPr>
    </w:p>
    <w:p w14:paraId="125EA173" w14:textId="77777777" w:rsidR="00445126" w:rsidRPr="0007414F" w:rsidRDefault="00445126" w:rsidP="00445126">
      <w:pPr>
        <w:rPr>
          <w:rFonts w:eastAsia="Cambria"/>
          <w:lang w:val="fr-FR"/>
        </w:rPr>
      </w:pPr>
    </w:p>
    <w:p w14:paraId="536466DB" w14:textId="77777777" w:rsidR="00445126" w:rsidRPr="0007414F" w:rsidRDefault="00445126" w:rsidP="00445126">
      <w:pPr>
        <w:keepNext/>
        <w:outlineLvl w:val="1"/>
        <w:rPr>
          <w:rFonts w:eastAsia="Cambria"/>
          <w:u w:val="single"/>
          <w:lang w:val="fr-FR"/>
        </w:rPr>
      </w:pPr>
      <w:bookmarkStart w:id="27" w:name="_Toc115819544"/>
      <w:r>
        <w:rPr>
          <w:rFonts w:eastAsia="Cambria"/>
          <w:u w:val="single"/>
          <w:lang w:val="fr-FR"/>
        </w:rPr>
        <w:t xml:space="preserve">Éléments de </w:t>
      </w:r>
      <w:r w:rsidRPr="0007414F">
        <w:rPr>
          <w:rFonts w:eastAsia="Cambria"/>
          <w:u w:val="single"/>
          <w:lang w:val="fr-FR"/>
        </w:rPr>
        <w:t>context</w:t>
      </w:r>
      <w:bookmarkEnd w:id="27"/>
      <w:r>
        <w:rPr>
          <w:rFonts w:eastAsia="Cambria"/>
          <w:u w:val="single"/>
          <w:lang w:val="fr-FR"/>
        </w:rPr>
        <w:t>e</w:t>
      </w:r>
    </w:p>
    <w:p w14:paraId="4DCAD499" w14:textId="77777777" w:rsidR="00445126" w:rsidRPr="0007414F" w:rsidRDefault="00445126" w:rsidP="00445126">
      <w:pPr>
        <w:rPr>
          <w:rFonts w:eastAsia="Cambria"/>
          <w:lang w:val="fr-FR"/>
        </w:rPr>
      </w:pPr>
    </w:p>
    <w:p w14:paraId="794AC0C7" w14:textId="77777777" w:rsidR="00445126" w:rsidRPr="0007414F" w:rsidRDefault="00445126" w:rsidP="00445126">
      <w:pPr>
        <w:rPr>
          <w:rFonts w:eastAsia="Cambria"/>
          <w:lang w:val="fr-FR"/>
        </w:rPr>
      </w:pPr>
      <w:r w:rsidRPr="0062673E">
        <w:rPr>
          <w:rFonts w:eastAsia="Cambria"/>
          <w:lang w:val="fr-FR"/>
        </w:rPr>
        <w:t>À sa cinquante</w:t>
      </w:r>
      <w:r>
        <w:rPr>
          <w:rFonts w:eastAsia="Cambria"/>
          <w:lang w:val="fr-FR"/>
        </w:rPr>
        <w:noBreakHyphen/>
      </w:r>
      <w:r w:rsidRPr="0062673E">
        <w:rPr>
          <w:rFonts w:eastAsia="Cambria"/>
          <w:lang w:val="fr-FR"/>
        </w:rPr>
        <w:t>cinqu</w:t>
      </w:r>
      <w:r>
        <w:rPr>
          <w:rFonts w:eastAsia="Cambria"/>
          <w:lang w:val="fr-FR"/>
        </w:rPr>
        <w:t>ième session</w:t>
      </w:r>
      <w:r w:rsidRPr="0062673E">
        <w:rPr>
          <w:rFonts w:eastAsia="Cambria"/>
          <w:lang w:val="fr-FR"/>
        </w:rPr>
        <w:t xml:space="preserve"> tenue à Genève les 28 et 29</w:t>
      </w:r>
      <w:r>
        <w:rPr>
          <w:rFonts w:eastAsia="Cambria"/>
          <w:lang w:val="fr-FR"/>
        </w:rPr>
        <w:t> </w:t>
      </w:r>
      <w:r w:rsidRPr="0062673E">
        <w:rPr>
          <w:rFonts w:eastAsia="Cambria"/>
          <w:lang w:val="fr-FR"/>
        </w:rPr>
        <w:t>octobre</w:t>
      </w:r>
      <w:r>
        <w:rPr>
          <w:rFonts w:eastAsia="Cambria"/>
          <w:lang w:val="fr-FR"/>
        </w:rPr>
        <w:t> </w:t>
      </w:r>
      <w:r w:rsidRPr="0062673E">
        <w:rPr>
          <w:rFonts w:eastAsia="Cambria"/>
          <w:lang w:val="fr-FR"/>
        </w:rPr>
        <w:t>2019, le Comité technique (TC) de l</w:t>
      </w:r>
      <w:r>
        <w:rPr>
          <w:rFonts w:eastAsia="Cambria"/>
          <w:lang w:val="fr-FR"/>
        </w:rPr>
        <w:t>’</w:t>
      </w:r>
      <w:r w:rsidRPr="0062673E">
        <w:rPr>
          <w:rFonts w:eastAsia="Cambria"/>
          <w:lang w:val="fr-FR"/>
        </w:rPr>
        <w:t>UPOV est convenu d</w:t>
      </w:r>
      <w:r>
        <w:rPr>
          <w:rFonts w:eastAsia="Cambria"/>
          <w:lang w:val="fr-FR"/>
        </w:rPr>
        <w:t>’</w:t>
      </w:r>
      <w:r w:rsidRPr="0062673E">
        <w:rPr>
          <w:rFonts w:eastAsia="Cambria"/>
          <w:lang w:val="fr-FR"/>
        </w:rPr>
        <w:t>inviter les membres de l</w:t>
      </w:r>
      <w:r>
        <w:rPr>
          <w:rFonts w:eastAsia="Cambria"/>
          <w:lang w:val="fr-FR"/>
        </w:rPr>
        <w:t>’</w:t>
      </w:r>
      <w:r w:rsidRPr="0062673E">
        <w:rPr>
          <w:rFonts w:eastAsia="Cambria"/>
          <w:lang w:val="fr-FR"/>
        </w:rPr>
        <w:t>Union à répondre à une enquête afin de dresser un inventaire, par plante, de l</w:t>
      </w:r>
      <w:r>
        <w:rPr>
          <w:rFonts w:eastAsia="Cambria"/>
          <w:lang w:val="fr-FR"/>
        </w:rPr>
        <w:t>’</w:t>
      </w:r>
      <w:r w:rsidRPr="0062673E">
        <w:rPr>
          <w:rFonts w:eastAsia="Cambria"/>
          <w:lang w:val="fr-FR"/>
        </w:rPr>
        <w:t>utilisation de techniques faisant intervenir des marqueurs moléculaires, en concertation avec les Systèmes de semences de l</w:t>
      </w:r>
      <w:r>
        <w:rPr>
          <w:rFonts w:eastAsia="Cambria"/>
          <w:lang w:val="fr-FR"/>
        </w:rPr>
        <w:t>’</w:t>
      </w:r>
      <w:r w:rsidRPr="0062673E">
        <w:rPr>
          <w:rFonts w:eastAsia="Cambria"/>
          <w:lang w:val="fr-FR"/>
        </w:rPr>
        <w:t>OCDE (voir les paragraphes</w:t>
      </w:r>
      <w:r>
        <w:rPr>
          <w:rFonts w:eastAsia="Cambria"/>
          <w:lang w:val="fr-FR"/>
        </w:rPr>
        <w:t> </w:t>
      </w:r>
      <w:r w:rsidRPr="0062673E">
        <w:rPr>
          <w:rFonts w:eastAsia="Cambria"/>
          <w:lang w:val="fr-FR"/>
        </w:rPr>
        <w:t>184 et 185 du document</w:t>
      </w:r>
      <w:r>
        <w:rPr>
          <w:rFonts w:eastAsia="Cambria"/>
          <w:lang w:val="fr-FR"/>
        </w:rPr>
        <w:t xml:space="preserve"> TC</w:t>
      </w:r>
      <w:r w:rsidRPr="0062673E">
        <w:rPr>
          <w:rFonts w:eastAsia="Cambria"/>
          <w:lang w:val="fr-FR"/>
        </w:rPr>
        <w:t>/55/25 “Compte rendu”)</w:t>
      </w:r>
      <w:r w:rsidRPr="0007414F">
        <w:rPr>
          <w:rFonts w:eastAsia="Cambria"/>
          <w:lang w:val="fr-FR"/>
        </w:rPr>
        <w:t>.</w:t>
      </w:r>
    </w:p>
    <w:p w14:paraId="43D29245" w14:textId="77777777" w:rsidR="00445126" w:rsidRPr="0007414F" w:rsidRDefault="00445126" w:rsidP="00445126">
      <w:pPr>
        <w:rPr>
          <w:rFonts w:eastAsia="Cambria"/>
          <w:lang w:val="fr-FR"/>
        </w:rPr>
      </w:pPr>
    </w:p>
    <w:p w14:paraId="00424433" w14:textId="77777777" w:rsidR="00445126" w:rsidRPr="0007414F" w:rsidRDefault="00445126" w:rsidP="00445126">
      <w:pPr>
        <w:rPr>
          <w:rFonts w:eastAsia="Cambria"/>
          <w:lang w:val="fr-FR"/>
        </w:rPr>
      </w:pPr>
      <w:r w:rsidRPr="0062673E">
        <w:rPr>
          <w:rFonts w:eastAsia="Cambria"/>
          <w:lang w:val="fr-FR"/>
        </w:rPr>
        <w:t>Les informations relatives aux techniques faisant intervenir des marqueurs moléculaires utilisées par les membres de l</w:t>
      </w:r>
      <w:r>
        <w:rPr>
          <w:rFonts w:eastAsia="Cambria"/>
          <w:lang w:val="fr-FR"/>
        </w:rPr>
        <w:t>’</w:t>
      </w:r>
      <w:r w:rsidRPr="0062673E">
        <w:rPr>
          <w:rFonts w:eastAsia="Cambria"/>
          <w:lang w:val="fr-FR"/>
        </w:rPr>
        <w:t>Union seront utilisées aux fins de l</w:t>
      </w:r>
      <w:r>
        <w:rPr>
          <w:rFonts w:eastAsia="Cambria"/>
          <w:lang w:val="fr-FR"/>
        </w:rPr>
        <w:t>’</w:t>
      </w:r>
      <w:r w:rsidRPr="0062673E">
        <w:rPr>
          <w:rFonts w:eastAsia="Cambria"/>
          <w:lang w:val="fr-FR"/>
        </w:rPr>
        <w:t>élaboration d</w:t>
      </w:r>
      <w:r>
        <w:rPr>
          <w:rFonts w:eastAsia="Cambria"/>
          <w:lang w:val="fr-FR"/>
        </w:rPr>
        <w:t>’</w:t>
      </w:r>
      <w:r w:rsidRPr="0062673E">
        <w:rPr>
          <w:rFonts w:eastAsia="Cambria"/>
          <w:lang w:val="fr-FR"/>
        </w:rPr>
        <w:t>un document commun UPOV/OCDE/ISTA visant à présenter ces informations, dans un format similaire au document UPOV/INF/16 “Logiciels échangeables”, sous réserve de l</w:t>
      </w:r>
      <w:r>
        <w:rPr>
          <w:rFonts w:eastAsia="Cambria"/>
          <w:lang w:val="fr-FR"/>
        </w:rPr>
        <w:t>’</w:t>
      </w:r>
      <w:r w:rsidRPr="0062673E">
        <w:rPr>
          <w:rFonts w:eastAsia="Cambria"/>
          <w:lang w:val="fr-FR"/>
        </w:rPr>
        <w:t>approbation par le Conseil et en concertation avec l</w:t>
      </w:r>
      <w:r>
        <w:rPr>
          <w:rFonts w:eastAsia="Cambria"/>
          <w:lang w:val="fr-FR"/>
        </w:rPr>
        <w:t>’</w:t>
      </w:r>
      <w:r w:rsidRPr="0062673E">
        <w:rPr>
          <w:rFonts w:eastAsia="Cambria"/>
          <w:lang w:val="fr-FR"/>
        </w:rPr>
        <w:t>OCDE et l</w:t>
      </w:r>
      <w:r>
        <w:rPr>
          <w:rFonts w:eastAsia="Cambria"/>
          <w:lang w:val="fr-FR"/>
        </w:rPr>
        <w:t>’</w:t>
      </w:r>
      <w:r w:rsidRPr="0062673E">
        <w:rPr>
          <w:rFonts w:eastAsia="Cambria"/>
          <w:lang w:val="fr-FR"/>
        </w:rPr>
        <w:t>ISTA.</w:t>
      </w:r>
    </w:p>
    <w:p w14:paraId="093F17EC" w14:textId="77777777" w:rsidR="00445126" w:rsidRPr="0007414F" w:rsidRDefault="00445126" w:rsidP="00445126">
      <w:pPr>
        <w:rPr>
          <w:rFonts w:eastAsia="Cambria"/>
          <w:lang w:val="fr-FR"/>
        </w:rPr>
      </w:pPr>
    </w:p>
    <w:p w14:paraId="54855F79" w14:textId="77777777" w:rsidR="00445126" w:rsidRPr="0007414F" w:rsidRDefault="00445126" w:rsidP="00445126">
      <w:pPr>
        <w:rPr>
          <w:rFonts w:eastAsia="Cambria"/>
          <w:lang w:val="fr-FR"/>
        </w:rPr>
      </w:pPr>
      <w:r w:rsidRPr="009F18B9">
        <w:rPr>
          <w:rFonts w:eastAsia="Cambria"/>
          <w:lang w:val="fr-FR"/>
        </w:rPr>
        <w:t>Le présent document constitue la contribution de l</w:t>
      </w:r>
      <w:r>
        <w:rPr>
          <w:rFonts w:eastAsia="Cambria"/>
          <w:lang w:val="fr-FR"/>
        </w:rPr>
        <w:t>’</w:t>
      </w:r>
      <w:r w:rsidRPr="009F18B9">
        <w:rPr>
          <w:rFonts w:eastAsia="Cambria"/>
          <w:lang w:val="fr-FR"/>
        </w:rPr>
        <w:t>Office communautaire des variétés végétales (OCVV) à cette enquête et, à ce titre, décrit les techniques faisant intervenir des marqueurs moléculaires qui peuvent être utilisées en matière d</w:t>
      </w:r>
      <w:r>
        <w:rPr>
          <w:rFonts w:eastAsia="Cambria"/>
          <w:lang w:val="fr-FR"/>
        </w:rPr>
        <w:t>’</w:t>
      </w:r>
      <w:r w:rsidRPr="009F18B9">
        <w:rPr>
          <w:rFonts w:eastAsia="Cambria"/>
          <w:lang w:val="fr-FR"/>
        </w:rPr>
        <w:t>examen</w:t>
      </w:r>
      <w:r>
        <w:rPr>
          <w:rFonts w:eastAsia="Cambria"/>
          <w:lang w:val="fr-FR"/>
        </w:rPr>
        <w:t> </w:t>
      </w:r>
      <w:r w:rsidRPr="009F18B9">
        <w:rPr>
          <w:rFonts w:eastAsia="Cambria"/>
          <w:lang w:val="fr-FR"/>
        </w:rPr>
        <w:t>DHS à des fins d</w:t>
      </w:r>
      <w:r>
        <w:rPr>
          <w:rFonts w:eastAsia="Cambria"/>
          <w:lang w:val="fr-FR"/>
        </w:rPr>
        <w:t>’</w:t>
      </w:r>
      <w:r w:rsidRPr="009F18B9">
        <w:rPr>
          <w:rFonts w:eastAsia="Cambria"/>
          <w:lang w:val="fr-FR"/>
        </w:rPr>
        <w:t>octroi de la protection communautaire des obtentions végétales dans le cadre de la politique de l</w:t>
      </w:r>
      <w:r>
        <w:rPr>
          <w:rFonts w:eastAsia="Cambria"/>
          <w:lang w:val="fr-FR"/>
        </w:rPr>
        <w:t>’</w:t>
      </w:r>
      <w:r w:rsidRPr="009F18B9">
        <w:rPr>
          <w:rFonts w:eastAsia="Cambria"/>
          <w:lang w:val="fr-FR"/>
        </w:rPr>
        <w:t>OCVV</w:t>
      </w:r>
      <w:r w:rsidRPr="0007414F">
        <w:rPr>
          <w:rFonts w:eastAsia="Cambria"/>
          <w:lang w:val="fr-FR"/>
        </w:rPr>
        <w:t>.</w:t>
      </w:r>
    </w:p>
    <w:p w14:paraId="1BAC89A7" w14:textId="77777777" w:rsidR="00445126" w:rsidRPr="0007414F" w:rsidRDefault="00445126" w:rsidP="00445126">
      <w:pPr>
        <w:keepNext/>
        <w:numPr>
          <w:ilvl w:val="0"/>
          <w:numId w:val="1"/>
        </w:numPr>
        <w:suppressAutoHyphens/>
        <w:spacing w:before="360" w:after="240" w:line="259" w:lineRule="auto"/>
        <w:outlineLvl w:val="0"/>
        <w:rPr>
          <w:rFonts w:cs="Arial"/>
          <w:spacing w:val="-3"/>
          <w:kern w:val="32"/>
          <w:szCs w:val="32"/>
          <w:lang w:val="fr-FR"/>
        </w:rPr>
      </w:pPr>
      <w:bookmarkStart w:id="28" w:name="_Toc115819545"/>
      <w:r>
        <w:rPr>
          <w:rFonts w:cs="Arial"/>
          <w:spacing w:val="-3"/>
          <w:kern w:val="32"/>
          <w:szCs w:val="32"/>
          <w:lang w:val="fr-FR"/>
        </w:rPr>
        <w:t xml:space="preserve">Cadre </w:t>
      </w:r>
      <w:bookmarkEnd w:id="28"/>
      <w:r w:rsidRPr="009F18B9">
        <w:rPr>
          <w:rFonts w:cs="Arial"/>
          <w:spacing w:val="-3"/>
          <w:kern w:val="32"/>
          <w:szCs w:val="32"/>
          <w:lang w:val="fr-FR"/>
        </w:rPr>
        <w:t>juridique de l</w:t>
      </w:r>
      <w:r>
        <w:rPr>
          <w:rFonts w:cs="Arial"/>
          <w:spacing w:val="-3"/>
          <w:kern w:val="32"/>
          <w:szCs w:val="32"/>
          <w:lang w:val="fr-FR"/>
        </w:rPr>
        <w:t>’</w:t>
      </w:r>
      <w:r w:rsidRPr="009F18B9">
        <w:rPr>
          <w:rFonts w:cs="Arial"/>
          <w:spacing w:val="-3"/>
          <w:kern w:val="32"/>
          <w:szCs w:val="32"/>
          <w:lang w:val="fr-FR"/>
        </w:rPr>
        <w:t>utilisation de techniques faisant intervenir des marqueurs moléculaires en matière d</w:t>
      </w:r>
      <w:r>
        <w:rPr>
          <w:rFonts w:cs="Arial"/>
          <w:spacing w:val="-3"/>
          <w:kern w:val="32"/>
          <w:szCs w:val="32"/>
          <w:lang w:val="fr-FR"/>
        </w:rPr>
        <w:t>’</w:t>
      </w:r>
      <w:r w:rsidRPr="009F18B9">
        <w:rPr>
          <w:rFonts w:cs="Arial"/>
          <w:spacing w:val="-3"/>
          <w:kern w:val="32"/>
          <w:szCs w:val="32"/>
          <w:lang w:val="fr-FR"/>
        </w:rPr>
        <w:t>examen</w:t>
      </w:r>
      <w:r>
        <w:rPr>
          <w:rFonts w:cs="Arial"/>
          <w:spacing w:val="-3"/>
          <w:kern w:val="32"/>
          <w:szCs w:val="32"/>
          <w:lang w:val="fr-FR"/>
        </w:rPr>
        <w:t> </w:t>
      </w:r>
      <w:r w:rsidRPr="009F18B9">
        <w:rPr>
          <w:rFonts w:cs="Arial"/>
          <w:spacing w:val="-3"/>
          <w:kern w:val="32"/>
          <w:szCs w:val="32"/>
          <w:lang w:val="fr-FR"/>
        </w:rPr>
        <w:t>DHS pour la protection communautaire des obtentions végétales</w:t>
      </w:r>
    </w:p>
    <w:p w14:paraId="45299B04" w14:textId="77777777" w:rsidR="00445126" w:rsidRPr="0007414F" w:rsidRDefault="00445126" w:rsidP="00445126">
      <w:pPr>
        <w:rPr>
          <w:rFonts w:eastAsia="Cambria"/>
          <w:lang w:val="fr-FR"/>
        </w:rPr>
      </w:pPr>
      <w:r>
        <w:rPr>
          <w:rFonts w:eastAsia="Cambria"/>
          <w:lang w:val="fr-FR"/>
        </w:rPr>
        <w:t>Le</w:t>
      </w:r>
      <w:r w:rsidRPr="0007414F">
        <w:rPr>
          <w:rFonts w:eastAsia="Cambria"/>
          <w:lang w:val="fr-FR"/>
        </w:rPr>
        <w:t xml:space="preserve"> </w:t>
      </w:r>
      <w:r w:rsidRPr="009F18B9">
        <w:rPr>
          <w:rFonts w:eastAsia="Cambria"/>
          <w:lang w:val="fr-FR"/>
        </w:rPr>
        <w:t>cadre juridique pour la réalisation de l</w:t>
      </w:r>
      <w:r>
        <w:rPr>
          <w:rFonts w:eastAsia="Cambria"/>
          <w:lang w:val="fr-FR"/>
        </w:rPr>
        <w:t>’</w:t>
      </w:r>
      <w:r w:rsidRPr="009F18B9">
        <w:rPr>
          <w:rFonts w:eastAsia="Cambria"/>
          <w:lang w:val="fr-FR"/>
        </w:rPr>
        <w:t>examen</w:t>
      </w:r>
      <w:r>
        <w:rPr>
          <w:rFonts w:eastAsia="Cambria"/>
          <w:lang w:val="fr-FR"/>
        </w:rPr>
        <w:t> </w:t>
      </w:r>
      <w:r w:rsidRPr="009F18B9">
        <w:rPr>
          <w:rFonts w:eastAsia="Cambria"/>
          <w:lang w:val="fr-FR"/>
        </w:rPr>
        <w:t>DHS à des fins de protection communautaire d</w:t>
      </w:r>
      <w:r>
        <w:rPr>
          <w:rFonts w:eastAsia="Cambria"/>
          <w:lang w:val="fr-FR"/>
        </w:rPr>
        <w:t>’</w:t>
      </w:r>
      <w:r w:rsidRPr="009F18B9">
        <w:rPr>
          <w:rFonts w:eastAsia="Cambria"/>
          <w:lang w:val="fr-FR"/>
        </w:rPr>
        <w:t>obtentions végétales comprend le règlement de base</w:t>
      </w:r>
      <w:r>
        <w:rPr>
          <w:rFonts w:eastAsia="Cambria"/>
          <w:lang w:val="fr-FR"/>
        </w:rPr>
        <w:t> </w:t>
      </w:r>
      <w:r w:rsidRPr="009F18B9">
        <w:rPr>
          <w:rFonts w:eastAsia="Cambria"/>
          <w:lang w:val="fr-FR"/>
        </w:rPr>
        <w:t>2100/94 de l</w:t>
      </w:r>
      <w:r>
        <w:rPr>
          <w:rFonts w:eastAsia="Cambria"/>
          <w:lang w:val="fr-FR"/>
        </w:rPr>
        <w:t>’</w:t>
      </w:r>
      <w:r w:rsidRPr="009F18B9">
        <w:rPr>
          <w:rFonts w:eastAsia="Cambria"/>
          <w:lang w:val="fr-FR"/>
        </w:rPr>
        <w:t>OCVV et son règlement d</w:t>
      </w:r>
      <w:r>
        <w:rPr>
          <w:rFonts w:eastAsia="Cambria"/>
          <w:lang w:val="fr-FR"/>
        </w:rPr>
        <w:t>’</w:t>
      </w:r>
      <w:r w:rsidRPr="009F18B9">
        <w:rPr>
          <w:rFonts w:eastAsia="Cambria"/>
          <w:lang w:val="fr-FR"/>
        </w:rPr>
        <w:t>application, les protocoles techniques de l</w:t>
      </w:r>
      <w:r>
        <w:rPr>
          <w:rFonts w:eastAsia="Cambria"/>
          <w:lang w:val="fr-FR"/>
        </w:rPr>
        <w:t>’</w:t>
      </w:r>
      <w:r w:rsidRPr="009F18B9">
        <w:rPr>
          <w:rFonts w:eastAsia="Cambria"/>
          <w:lang w:val="fr-FR"/>
        </w:rPr>
        <w:t>OCVV et les documents d</w:t>
      </w:r>
      <w:r>
        <w:rPr>
          <w:rFonts w:eastAsia="Cambria"/>
          <w:lang w:val="fr-FR"/>
        </w:rPr>
        <w:t>’</w:t>
      </w:r>
      <w:r w:rsidRPr="009F18B9">
        <w:rPr>
          <w:rFonts w:eastAsia="Cambria"/>
          <w:lang w:val="fr-FR"/>
        </w:rPr>
        <w:t>orientation adoptés par l</w:t>
      </w:r>
      <w:r>
        <w:rPr>
          <w:rFonts w:eastAsia="Cambria"/>
          <w:lang w:val="fr-FR"/>
        </w:rPr>
        <w:t>’</w:t>
      </w:r>
      <w:r w:rsidRPr="009F18B9">
        <w:rPr>
          <w:rFonts w:eastAsia="Cambria"/>
          <w:lang w:val="fr-FR"/>
        </w:rPr>
        <w:t>UPOV</w:t>
      </w:r>
      <w:r w:rsidRPr="0007414F">
        <w:rPr>
          <w:rFonts w:eastAsia="Cambria"/>
          <w:lang w:val="fr-FR"/>
        </w:rPr>
        <w:t>.</w:t>
      </w:r>
    </w:p>
    <w:p w14:paraId="682CD000" w14:textId="77777777" w:rsidR="00445126" w:rsidRPr="0007414F" w:rsidRDefault="00445126" w:rsidP="00445126">
      <w:pPr>
        <w:rPr>
          <w:rFonts w:eastAsia="Cambria"/>
          <w:lang w:val="fr-FR"/>
        </w:rPr>
      </w:pPr>
    </w:p>
    <w:p w14:paraId="1A349141" w14:textId="77777777" w:rsidR="00445126" w:rsidRPr="0007414F" w:rsidRDefault="00445126" w:rsidP="00445126">
      <w:pPr>
        <w:rPr>
          <w:rFonts w:eastAsia="Cambria"/>
          <w:lang w:val="fr-FR"/>
        </w:rPr>
      </w:pPr>
      <w:r>
        <w:rPr>
          <w:rFonts w:eastAsia="Cambria"/>
          <w:lang w:val="fr-FR"/>
        </w:rPr>
        <w:t>L’OCVV</w:t>
      </w:r>
      <w:r w:rsidRPr="0007414F">
        <w:rPr>
          <w:rFonts w:eastAsia="Cambria"/>
          <w:lang w:val="fr-FR"/>
        </w:rPr>
        <w:t xml:space="preserve"> </w:t>
      </w:r>
      <w:r w:rsidRPr="00017871">
        <w:rPr>
          <w:rFonts w:eastAsia="Cambria"/>
          <w:lang w:val="fr-FR"/>
        </w:rPr>
        <w:t>n</w:t>
      </w:r>
      <w:r>
        <w:rPr>
          <w:rFonts w:eastAsia="Cambria"/>
          <w:lang w:val="fr-FR"/>
        </w:rPr>
        <w:t>’</w:t>
      </w:r>
      <w:r w:rsidRPr="00017871">
        <w:rPr>
          <w:rFonts w:eastAsia="Cambria"/>
          <w:lang w:val="fr-FR"/>
        </w:rPr>
        <w:t>effectue pas d</w:t>
      </w:r>
      <w:r>
        <w:rPr>
          <w:rFonts w:eastAsia="Cambria"/>
          <w:lang w:val="fr-FR"/>
        </w:rPr>
        <w:t>’</w:t>
      </w:r>
      <w:r w:rsidRPr="00017871">
        <w:rPr>
          <w:rFonts w:eastAsia="Cambria"/>
          <w:lang w:val="fr-FR"/>
        </w:rPr>
        <w:t>examens DHS lui</w:t>
      </w:r>
      <w:r>
        <w:rPr>
          <w:rFonts w:eastAsia="Cambria"/>
          <w:lang w:val="fr-FR"/>
        </w:rPr>
        <w:noBreakHyphen/>
      </w:r>
      <w:r w:rsidRPr="00017871">
        <w:rPr>
          <w:rFonts w:eastAsia="Cambria"/>
          <w:lang w:val="fr-FR"/>
        </w:rPr>
        <w:t>même mais, comme indiqué à l</w:t>
      </w:r>
      <w:r>
        <w:rPr>
          <w:rFonts w:eastAsia="Cambria"/>
          <w:lang w:val="fr-FR"/>
        </w:rPr>
        <w:t>’</w:t>
      </w:r>
      <w:r w:rsidRPr="00017871">
        <w:rPr>
          <w:rFonts w:eastAsia="Cambria"/>
          <w:lang w:val="fr-FR"/>
        </w:rPr>
        <w:t>article</w:t>
      </w:r>
      <w:r>
        <w:rPr>
          <w:rFonts w:eastAsia="Cambria"/>
          <w:lang w:val="fr-FR"/>
        </w:rPr>
        <w:t> </w:t>
      </w:r>
      <w:r w:rsidRPr="00017871">
        <w:rPr>
          <w:rFonts w:eastAsia="Cambria"/>
          <w:lang w:val="fr-FR"/>
        </w:rPr>
        <w:t>56 du règlement de base, “il prend les dispositions voulues pour que l</w:t>
      </w:r>
      <w:r>
        <w:rPr>
          <w:rFonts w:eastAsia="Cambria"/>
          <w:lang w:val="fr-FR"/>
        </w:rPr>
        <w:t>’</w:t>
      </w:r>
      <w:r w:rsidRPr="00017871">
        <w:rPr>
          <w:rFonts w:eastAsia="Cambria"/>
          <w:lang w:val="fr-FR"/>
        </w:rPr>
        <w:t>examen technique […] soit effectué, dans au moins un des États membres, par le ou les organismes compétents qui ont été chargés par le conseil d</w:t>
      </w:r>
      <w:r>
        <w:rPr>
          <w:rFonts w:eastAsia="Cambria"/>
          <w:lang w:val="fr-FR"/>
        </w:rPr>
        <w:t>’</w:t>
      </w:r>
      <w:r w:rsidRPr="00017871">
        <w:rPr>
          <w:rFonts w:eastAsia="Cambria"/>
          <w:lang w:val="fr-FR"/>
        </w:rPr>
        <w:t>administration de l</w:t>
      </w:r>
      <w:r>
        <w:rPr>
          <w:rFonts w:eastAsia="Cambria"/>
          <w:lang w:val="fr-FR"/>
        </w:rPr>
        <w:t>’</w:t>
      </w:r>
      <w:r w:rsidRPr="00017871">
        <w:rPr>
          <w:rFonts w:eastAsia="Cambria"/>
          <w:lang w:val="fr-FR"/>
        </w:rPr>
        <w:t>examen technique des variétés de l</w:t>
      </w:r>
      <w:r>
        <w:rPr>
          <w:rFonts w:eastAsia="Cambria"/>
          <w:lang w:val="fr-FR"/>
        </w:rPr>
        <w:t>’</w:t>
      </w:r>
      <w:r w:rsidRPr="00017871">
        <w:rPr>
          <w:rFonts w:eastAsia="Cambria"/>
          <w:lang w:val="fr-FR"/>
        </w:rPr>
        <w:t>espèce concernée”</w:t>
      </w:r>
      <w:r w:rsidRPr="0007414F">
        <w:rPr>
          <w:rFonts w:eastAsia="Cambria"/>
          <w:lang w:val="fr-FR"/>
        </w:rPr>
        <w:t>.</w:t>
      </w:r>
    </w:p>
    <w:p w14:paraId="6DB52AC0" w14:textId="77777777" w:rsidR="00445126" w:rsidRPr="0007414F" w:rsidRDefault="00445126" w:rsidP="00445126">
      <w:pPr>
        <w:rPr>
          <w:rFonts w:eastAsia="Cambria"/>
          <w:lang w:val="fr-FR"/>
        </w:rPr>
      </w:pPr>
    </w:p>
    <w:p w14:paraId="5A35F42C" w14:textId="77777777" w:rsidR="00445126" w:rsidRPr="0007414F" w:rsidRDefault="00445126" w:rsidP="00445126">
      <w:pPr>
        <w:rPr>
          <w:rFonts w:eastAsia="Cambria"/>
          <w:lang w:val="fr-FR"/>
        </w:rPr>
      </w:pPr>
      <w:r w:rsidRPr="00017871">
        <w:rPr>
          <w:rFonts w:eastAsia="Cambria"/>
          <w:lang w:val="fr-FR"/>
        </w:rPr>
        <w:t>Lorsqu</w:t>
      </w:r>
      <w:r>
        <w:rPr>
          <w:rFonts w:eastAsia="Cambria"/>
          <w:lang w:val="fr-FR"/>
        </w:rPr>
        <w:t>’</w:t>
      </w:r>
      <w:r w:rsidRPr="00017871">
        <w:rPr>
          <w:rFonts w:eastAsia="Cambria"/>
          <w:lang w:val="fr-FR"/>
        </w:rPr>
        <w:t xml:space="preserve">ils procèdent à un examen technique, “[…] les </w:t>
      </w:r>
      <w:r>
        <w:rPr>
          <w:rFonts w:eastAsia="Cambria"/>
          <w:lang w:val="fr-FR"/>
        </w:rPr>
        <w:t>servic</w:t>
      </w:r>
      <w:r w:rsidRPr="00017871">
        <w:rPr>
          <w:rFonts w:eastAsia="Cambria"/>
          <w:lang w:val="fr-FR"/>
        </w:rPr>
        <w:t>es d</w:t>
      </w:r>
      <w:r>
        <w:rPr>
          <w:rFonts w:eastAsia="Cambria"/>
          <w:lang w:val="fr-FR"/>
        </w:rPr>
        <w:t>’</w:t>
      </w:r>
      <w:r w:rsidRPr="00017871">
        <w:rPr>
          <w:rFonts w:eastAsia="Cambria"/>
          <w:lang w:val="fr-FR"/>
        </w:rPr>
        <w:t>examens procèdent, aux fins de l</w:t>
      </w:r>
      <w:r>
        <w:rPr>
          <w:rFonts w:eastAsia="Cambria"/>
          <w:lang w:val="fr-FR"/>
        </w:rPr>
        <w:t>’</w:t>
      </w:r>
      <w:r w:rsidRPr="00017871">
        <w:rPr>
          <w:rFonts w:eastAsia="Cambria"/>
          <w:lang w:val="fr-FR"/>
        </w:rPr>
        <w:t>examen technique, à des essais en culture de la variété ou à toute autre investigation nécessaire” (article</w:t>
      </w:r>
      <w:r>
        <w:rPr>
          <w:rFonts w:eastAsia="Cambria"/>
          <w:lang w:val="fr-FR"/>
        </w:rPr>
        <w:t> </w:t>
      </w:r>
      <w:r w:rsidRPr="00017871">
        <w:rPr>
          <w:rFonts w:eastAsia="Cambria"/>
          <w:lang w:val="fr-FR"/>
        </w:rPr>
        <w:t>56 du règlement de base)</w:t>
      </w:r>
      <w:r>
        <w:rPr>
          <w:rFonts w:eastAsia="Cambria"/>
          <w:lang w:val="fr-FR"/>
        </w:rPr>
        <w:t xml:space="preserve">.  </w:t>
      </w:r>
      <w:r w:rsidRPr="00017871">
        <w:rPr>
          <w:rFonts w:eastAsia="Cambria"/>
          <w:lang w:val="fr-FR"/>
        </w:rPr>
        <w:t>Les techniques moléculaires peuvent donc être utilisées à l</w:t>
      </w:r>
      <w:r>
        <w:rPr>
          <w:rFonts w:eastAsia="Cambria"/>
          <w:lang w:val="fr-FR"/>
        </w:rPr>
        <w:t>’</w:t>
      </w:r>
      <w:r w:rsidRPr="00017871">
        <w:rPr>
          <w:rFonts w:eastAsia="Cambria"/>
          <w:lang w:val="fr-FR"/>
        </w:rPr>
        <w:t>appui de l</w:t>
      </w:r>
      <w:r>
        <w:rPr>
          <w:rFonts w:eastAsia="Cambria"/>
          <w:lang w:val="fr-FR"/>
        </w:rPr>
        <w:t>’</w:t>
      </w:r>
      <w:r w:rsidRPr="00017871">
        <w:rPr>
          <w:rFonts w:eastAsia="Cambria"/>
          <w:lang w:val="fr-FR"/>
        </w:rPr>
        <w:t>examen</w:t>
      </w:r>
      <w:r>
        <w:rPr>
          <w:rFonts w:eastAsia="Cambria"/>
          <w:lang w:val="fr-FR"/>
        </w:rPr>
        <w:t> </w:t>
      </w:r>
      <w:r w:rsidRPr="00017871">
        <w:rPr>
          <w:rFonts w:eastAsia="Cambria"/>
          <w:lang w:val="fr-FR"/>
        </w:rPr>
        <w:t>DHS par le service d</w:t>
      </w:r>
      <w:r>
        <w:rPr>
          <w:rFonts w:eastAsia="Cambria"/>
          <w:lang w:val="fr-FR"/>
        </w:rPr>
        <w:t>’</w:t>
      </w:r>
      <w:r w:rsidRPr="00017871">
        <w:rPr>
          <w:rFonts w:eastAsia="Cambria"/>
          <w:lang w:val="fr-FR"/>
        </w:rPr>
        <w:t>examen compétent, à condition que l</w:t>
      </w:r>
      <w:r>
        <w:rPr>
          <w:rFonts w:eastAsia="Cambria"/>
          <w:lang w:val="fr-FR"/>
        </w:rPr>
        <w:t>’</w:t>
      </w:r>
      <w:r w:rsidRPr="00017871">
        <w:rPr>
          <w:rFonts w:eastAsia="Cambria"/>
          <w:lang w:val="fr-FR"/>
        </w:rPr>
        <w:t>examen technique soit effectué conformément aux principes directeurs d</w:t>
      </w:r>
      <w:r>
        <w:rPr>
          <w:rFonts w:eastAsia="Cambria"/>
          <w:lang w:val="fr-FR"/>
        </w:rPr>
        <w:t>’</w:t>
      </w:r>
      <w:r w:rsidRPr="00017871">
        <w:rPr>
          <w:rFonts w:eastAsia="Cambria"/>
          <w:lang w:val="fr-FR"/>
        </w:rPr>
        <w:t>examen formulés par le conseil d</w:t>
      </w:r>
      <w:r>
        <w:rPr>
          <w:rFonts w:eastAsia="Cambria"/>
          <w:lang w:val="fr-FR"/>
        </w:rPr>
        <w:t>’</w:t>
      </w:r>
      <w:r w:rsidRPr="00017871">
        <w:rPr>
          <w:rFonts w:eastAsia="Cambria"/>
          <w:lang w:val="fr-FR"/>
        </w:rPr>
        <w:t>administration de l</w:t>
      </w:r>
      <w:r>
        <w:rPr>
          <w:rFonts w:eastAsia="Cambria"/>
          <w:lang w:val="fr-FR"/>
        </w:rPr>
        <w:t>’</w:t>
      </w:r>
      <w:r w:rsidRPr="00017871">
        <w:rPr>
          <w:rFonts w:eastAsia="Cambria"/>
          <w:lang w:val="fr-FR"/>
        </w:rPr>
        <w:t>OCVV</w:t>
      </w:r>
      <w:r w:rsidRPr="0007414F">
        <w:rPr>
          <w:rFonts w:eastAsia="Cambria"/>
          <w:lang w:val="fr-FR"/>
        </w:rPr>
        <w:t>.</w:t>
      </w:r>
    </w:p>
    <w:p w14:paraId="62E50F87" w14:textId="77777777" w:rsidR="00445126" w:rsidRPr="0007414F" w:rsidRDefault="00445126" w:rsidP="00445126">
      <w:pPr>
        <w:rPr>
          <w:rFonts w:eastAsia="Cambria"/>
          <w:lang w:val="fr-FR"/>
        </w:rPr>
      </w:pPr>
    </w:p>
    <w:p w14:paraId="08919C31" w14:textId="77777777" w:rsidR="00445126" w:rsidRPr="0007414F" w:rsidRDefault="00445126" w:rsidP="00445126">
      <w:pPr>
        <w:rPr>
          <w:rFonts w:eastAsia="Cambria"/>
          <w:lang w:val="fr-FR"/>
        </w:rPr>
      </w:pPr>
      <w:r w:rsidRPr="00017871">
        <w:rPr>
          <w:rFonts w:eastAsia="Cambria"/>
          <w:lang w:val="fr-FR"/>
        </w:rPr>
        <w:t>Étant donné que lesdits principes directeurs sont utilisés à la fois pour la protection des obtentions végétales et pour leur enregistrement au sein de l</w:t>
      </w:r>
      <w:r>
        <w:rPr>
          <w:rFonts w:eastAsia="Cambria"/>
          <w:lang w:val="fr-FR"/>
        </w:rPr>
        <w:t>’</w:t>
      </w:r>
      <w:r w:rsidRPr="00017871">
        <w:rPr>
          <w:rFonts w:eastAsia="Cambria"/>
          <w:lang w:val="fr-FR"/>
        </w:rPr>
        <w:t>UE, les directives concernant le catalogue commun des variétés des espèces de plantes agricoles (directives du Conseil</w:t>
      </w:r>
      <w:r>
        <w:rPr>
          <w:rFonts w:eastAsia="Cambria"/>
          <w:lang w:val="fr-FR"/>
        </w:rPr>
        <w:t> </w:t>
      </w:r>
      <w:r w:rsidRPr="00017871">
        <w:rPr>
          <w:rFonts w:eastAsia="Cambria"/>
          <w:lang w:val="fr-FR"/>
        </w:rPr>
        <w:t>2002/53/CE et 2002/55/CE) doivent également être prises en considération</w:t>
      </w:r>
      <w:r>
        <w:rPr>
          <w:rFonts w:eastAsia="Cambria"/>
          <w:lang w:val="fr-FR"/>
        </w:rPr>
        <w:t xml:space="preserve">.  </w:t>
      </w:r>
      <w:r w:rsidRPr="00017871">
        <w:rPr>
          <w:rFonts w:eastAsia="Cambria"/>
          <w:lang w:val="fr-FR"/>
        </w:rPr>
        <w:t>Selon ces directives, l</w:t>
      </w:r>
      <w:r>
        <w:rPr>
          <w:rFonts w:eastAsia="Cambria"/>
          <w:lang w:val="fr-FR"/>
        </w:rPr>
        <w:t>’</w:t>
      </w:r>
      <w:r w:rsidRPr="00017871">
        <w:rPr>
          <w:rFonts w:eastAsia="Cambria"/>
          <w:lang w:val="fr-FR"/>
        </w:rPr>
        <w:t>acceptation des obtentions végétales repose sur les résultats des examens officiels, notamment les essais en culture, couvrant un nombre suffisant de caractères de l</w:t>
      </w:r>
      <w:r>
        <w:rPr>
          <w:rFonts w:eastAsia="Cambria"/>
          <w:lang w:val="fr-FR"/>
        </w:rPr>
        <w:t>’</w:t>
      </w:r>
      <w:r w:rsidRPr="00017871">
        <w:rPr>
          <w:rFonts w:eastAsia="Cambria"/>
          <w:lang w:val="fr-FR"/>
        </w:rPr>
        <w:t>obtention à décrire</w:t>
      </w:r>
      <w:r>
        <w:rPr>
          <w:rFonts w:eastAsia="Cambria"/>
          <w:lang w:val="fr-FR"/>
        </w:rPr>
        <w:t xml:space="preserve">.  </w:t>
      </w:r>
      <w:r w:rsidRPr="00017871">
        <w:rPr>
          <w:rFonts w:eastAsia="Cambria"/>
          <w:lang w:val="fr-FR"/>
        </w:rPr>
        <w:t>En conséquence, les techniques moléculaires peuvent être utilisées uniquement à titre d</w:t>
      </w:r>
      <w:r>
        <w:rPr>
          <w:rFonts w:eastAsia="Cambria"/>
          <w:lang w:val="fr-FR"/>
        </w:rPr>
        <w:t>’</w:t>
      </w:r>
      <w:r w:rsidRPr="00017871">
        <w:rPr>
          <w:rFonts w:eastAsia="Cambria"/>
          <w:lang w:val="fr-FR"/>
        </w:rPr>
        <w:t>instruments complémentaires, en sus des essais en culture</w:t>
      </w:r>
      <w:r w:rsidRPr="0007414F">
        <w:rPr>
          <w:rFonts w:eastAsia="Cambria"/>
          <w:lang w:val="fr-FR"/>
        </w:rPr>
        <w:t>.</w:t>
      </w:r>
    </w:p>
    <w:p w14:paraId="5521B7BA" w14:textId="77777777" w:rsidR="00445126" w:rsidRPr="0007414F" w:rsidRDefault="00445126" w:rsidP="00445126">
      <w:pPr>
        <w:rPr>
          <w:rFonts w:eastAsia="Cambria"/>
          <w:lang w:val="fr-FR"/>
        </w:rPr>
      </w:pPr>
    </w:p>
    <w:p w14:paraId="09922FB1" w14:textId="77777777" w:rsidR="00445126" w:rsidRPr="0007414F" w:rsidRDefault="00445126" w:rsidP="00445126">
      <w:pPr>
        <w:rPr>
          <w:rFonts w:eastAsia="Cambria"/>
          <w:lang w:val="fr-FR"/>
        </w:rPr>
      </w:pPr>
      <w:r w:rsidRPr="00017871">
        <w:rPr>
          <w:rFonts w:eastAsia="Cambria"/>
          <w:lang w:val="fr-FR"/>
        </w:rPr>
        <w:t>En tant que membre de l</w:t>
      </w:r>
      <w:r>
        <w:rPr>
          <w:rFonts w:eastAsia="Cambria"/>
          <w:lang w:val="fr-FR"/>
        </w:rPr>
        <w:t>’</w:t>
      </w:r>
      <w:r w:rsidRPr="00017871">
        <w:rPr>
          <w:rFonts w:eastAsia="Cambria"/>
          <w:lang w:val="fr-FR"/>
        </w:rPr>
        <w:t>UPOV, l</w:t>
      </w:r>
      <w:r>
        <w:rPr>
          <w:rFonts w:eastAsia="Cambria"/>
          <w:lang w:val="fr-FR"/>
        </w:rPr>
        <w:t>’</w:t>
      </w:r>
      <w:r w:rsidRPr="00017871">
        <w:rPr>
          <w:rFonts w:eastAsia="Cambria"/>
          <w:lang w:val="fr-FR"/>
        </w:rPr>
        <w:t>OCVV respecte le cadre convenu pour l</w:t>
      </w:r>
      <w:r>
        <w:rPr>
          <w:rFonts w:eastAsia="Cambria"/>
          <w:lang w:val="fr-FR"/>
        </w:rPr>
        <w:t>’</w:t>
      </w:r>
      <w:r w:rsidRPr="00017871">
        <w:rPr>
          <w:rFonts w:eastAsia="Cambria"/>
          <w:lang w:val="fr-FR"/>
        </w:rPr>
        <w:t>utilisation des techniques moléculaires en matière d</w:t>
      </w:r>
      <w:r>
        <w:rPr>
          <w:rFonts w:eastAsia="Cambria"/>
          <w:lang w:val="fr-FR"/>
        </w:rPr>
        <w:t>’</w:t>
      </w:r>
      <w:r w:rsidRPr="00017871">
        <w:rPr>
          <w:rFonts w:eastAsia="Cambria"/>
          <w:lang w:val="fr-FR"/>
        </w:rPr>
        <w:t>examen</w:t>
      </w:r>
      <w:r>
        <w:rPr>
          <w:rFonts w:eastAsia="Cambria"/>
          <w:lang w:val="fr-FR"/>
        </w:rPr>
        <w:t> </w:t>
      </w:r>
      <w:r w:rsidRPr="00017871">
        <w:rPr>
          <w:rFonts w:eastAsia="Cambria"/>
          <w:lang w:val="fr-FR"/>
        </w:rPr>
        <w:t>DHS tel qu</w:t>
      </w:r>
      <w:r>
        <w:rPr>
          <w:rFonts w:eastAsia="Cambria"/>
          <w:lang w:val="fr-FR"/>
        </w:rPr>
        <w:t>’</w:t>
      </w:r>
      <w:r w:rsidRPr="00017871">
        <w:rPr>
          <w:rFonts w:eastAsia="Cambria"/>
          <w:lang w:val="fr-FR"/>
        </w:rPr>
        <w:t>établi dans les documents UPOV/INF/18 (adopté par le Conseil de l</w:t>
      </w:r>
      <w:r>
        <w:rPr>
          <w:rFonts w:eastAsia="Cambria"/>
          <w:lang w:val="fr-FR"/>
        </w:rPr>
        <w:t>’</w:t>
      </w:r>
      <w:r w:rsidRPr="00017871">
        <w:rPr>
          <w:rFonts w:eastAsia="Cambria"/>
          <w:lang w:val="fr-FR"/>
        </w:rPr>
        <w:t>UPOV en</w:t>
      </w:r>
      <w:r>
        <w:rPr>
          <w:rFonts w:eastAsia="Cambria"/>
          <w:lang w:val="fr-FR"/>
        </w:rPr>
        <w:t> </w:t>
      </w:r>
      <w:r w:rsidRPr="00017871">
        <w:rPr>
          <w:rFonts w:eastAsia="Cambria"/>
          <w:lang w:val="fr-FR"/>
        </w:rPr>
        <w:t>2011) et UPOV/TGP/15/3 (adopté par le Conseil de l</w:t>
      </w:r>
      <w:r>
        <w:rPr>
          <w:rFonts w:eastAsia="Cambria"/>
          <w:lang w:val="fr-FR"/>
        </w:rPr>
        <w:t>’</w:t>
      </w:r>
      <w:r w:rsidRPr="00017871">
        <w:rPr>
          <w:rFonts w:eastAsia="Cambria"/>
          <w:lang w:val="fr-FR"/>
        </w:rPr>
        <w:t>UPOV en</w:t>
      </w:r>
      <w:r>
        <w:rPr>
          <w:rFonts w:eastAsia="Cambria"/>
          <w:lang w:val="fr-FR"/>
        </w:rPr>
        <w:t> </w:t>
      </w:r>
      <w:r w:rsidRPr="00017871">
        <w:rPr>
          <w:rFonts w:eastAsia="Cambria"/>
          <w:lang w:val="fr-FR"/>
        </w:rPr>
        <w:t xml:space="preserve">2020). </w:t>
      </w:r>
      <w:r>
        <w:rPr>
          <w:rFonts w:eastAsia="Cambria"/>
          <w:lang w:val="fr-FR"/>
        </w:rPr>
        <w:t xml:space="preserve"> </w:t>
      </w:r>
      <w:r w:rsidRPr="00017871">
        <w:rPr>
          <w:rFonts w:eastAsia="Cambria"/>
          <w:lang w:val="fr-FR"/>
        </w:rPr>
        <w:t>Plus précisément, l</w:t>
      </w:r>
      <w:r>
        <w:rPr>
          <w:rFonts w:eastAsia="Cambria"/>
          <w:lang w:val="fr-FR"/>
        </w:rPr>
        <w:t>’</w:t>
      </w:r>
      <w:r w:rsidRPr="00017871">
        <w:rPr>
          <w:rFonts w:eastAsia="Cambria"/>
          <w:lang w:val="fr-FR"/>
        </w:rPr>
        <w:t>OCVV encourage l</w:t>
      </w:r>
      <w:r>
        <w:rPr>
          <w:rFonts w:eastAsia="Cambria"/>
          <w:lang w:val="fr-FR"/>
        </w:rPr>
        <w:t>’</w:t>
      </w:r>
      <w:r w:rsidRPr="00017871">
        <w:rPr>
          <w:rFonts w:eastAsia="Cambria"/>
          <w:lang w:val="fr-FR"/>
        </w:rPr>
        <w:t>application</w:t>
      </w:r>
      <w:r>
        <w:rPr>
          <w:rFonts w:eastAsia="Cambria"/>
          <w:lang w:val="fr-FR"/>
        </w:rPr>
        <w:t>,</w:t>
      </w:r>
      <w:r w:rsidRPr="00017871">
        <w:rPr>
          <w:rFonts w:eastAsia="Cambria"/>
          <w:lang w:val="fr-FR"/>
        </w:rPr>
        <w:t xml:space="preserve"> par le réseau de ses </w:t>
      </w:r>
      <w:r>
        <w:rPr>
          <w:rFonts w:eastAsia="Cambria"/>
          <w:lang w:val="fr-FR"/>
        </w:rPr>
        <w:t>serv</w:t>
      </w:r>
      <w:r w:rsidRPr="00017871">
        <w:rPr>
          <w:rFonts w:eastAsia="Cambria"/>
          <w:lang w:val="fr-FR"/>
        </w:rPr>
        <w:t>ices d</w:t>
      </w:r>
      <w:r>
        <w:rPr>
          <w:rFonts w:eastAsia="Cambria"/>
          <w:lang w:val="fr-FR"/>
        </w:rPr>
        <w:t>’</w:t>
      </w:r>
      <w:r w:rsidRPr="00017871">
        <w:rPr>
          <w:rFonts w:eastAsia="Cambria"/>
          <w:lang w:val="fr-FR"/>
        </w:rPr>
        <w:t>examen compétents</w:t>
      </w:r>
      <w:r>
        <w:rPr>
          <w:rFonts w:eastAsia="Cambria"/>
          <w:lang w:val="fr-FR"/>
        </w:rPr>
        <w:t>,</w:t>
      </w:r>
      <w:r w:rsidRPr="00017871">
        <w:rPr>
          <w:rFonts w:eastAsia="Cambria"/>
          <w:lang w:val="fr-FR"/>
        </w:rPr>
        <w:t xml:space="preserve"> des outils moléculaires correspondant aux modèles évalués positive</w:t>
      </w:r>
      <w:r>
        <w:rPr>
          <w:rFonts w:eastAsia="Cambria"/>
          <w:lang w:val="fr-FR"/>
        </w:rPr>
        <w:t>ment en termes</w:t>
      </w:r>
      <w:r w:rsidRPr="00017871">
        <w:rPr>
          <w:rFonts w:eastAsia="Cambria"/>
          <w:lang w:val="fr-FR"/>
        </w:rPr>
        <w:t xml:space="preserve"> de conformité </w:t>
      </w:r>
      <w:r>
        <w:rPr>
          <w:rFonts w:eastAsia="Cambria"/>
          <w:lang w:val="fr-FR"/>
        </w:rPr>
        <w:t>avec</w:t>
      </w:r>
      <w:r w:rsidRPr="00017871">
        <w:rPr>
          <w:rFonts w:eastAsia="Cambria"/>
          <w:lang w:val="fr-FR"/>
        </w:rPr>
        <w:t xml:space="preserve"> la </w:t>
      </w:r>
      <w:r>
        <w:rPr>
          <w:rFonts w:eastAsia="Cambria"/>
          <w:lang w:val="fr-FR"/>
        </w:rPr>
        <w:t>Convention UPOV</w:t>
      </w:r>
      <w:r w:rsidRPr="0007414F">
        <w:rPr>
          <w:rFonts w:eastAsia="Cambria"/>
          <w:lang w:val="fr-FR"/>
        </w:rPr>
        <w:t>.</w:t>
      </w:r>
    </w:p>
    <w:p w14:paraId="483C59F7" w14:textId="77777777" w:rsidR="00445126" w:rsidRPr="0007414F" w:rsidRDefault="00445126" w:rsidP="00445126">
      <w:pPr>
        <w:keepNext/>
        <w:numPr>
          <w:ilvl w:val="0"/>
          <w:numId w:val="1"/>
        </w:numPr>
        <w:suppressAutoHyphens/>
        <w:spacing w:before="360" w:after="240" w:line="259" w:lineRule="auto"/>
        <w:jc w:val="left"/>
        <w:outlineLvl w:val="0"/>
        <w:rPr>
          <w:rFonts w:cs="Arial"/>
          <w:spacing w:val="-3"/>
          <w:kern w:val="32"/>
          <w:szCs w:val="32"/>
          <w:lang w:val="fr-FR"/>
        </w:rPr>
      </w:pPr>
      <w:r w:rsidRPr="007522CA">
        <w:rPr>
          <w:rFonts w:cs="Arial"/>
          <w:spacing w:val="-3"/>
          <w:kern w:val="32"/>
          <w:szCs w:val="32"/>
          <w:lang w:val="fr-FR"/>
        </w:rPr>
        <w:lastRenderedPageBreak/>
        <w:t>Modèles soutenus par l</w:t>
      </w:r>
      <w:r>
        <w:rPr>
          <w:rFonts w:cs="Arial"/>
          <w:spacing w:val="-3"/>
          <w:kern w:val="32"/>
          <w:szCs w:val="32"/>
          <w:lang w:val="fr-FR"/>
        </w:rPr>
        <w:t>’</w:t>
      </w:r>
      <w:r w:rsidRPr="007522CA">
        <w:rPr>
          <w:rFonts w:cs="Arial"/>
          <w:spacing w:val="-3"/>
          <w:kern w:val="32"/>
          <w:szCs w:val="32"/>
          <w:lang w:val="fr-FR"/>
        </w:rPr>
        <w:t>OCVV et exemples d</w:t>
      </w:r>
      <w:r>
        <w:rPr>
          <w:rFonts w:cs="Arial"/>
          <w:spacing w:val="-3"/>
          <w:kern w:val="32"/>
          <w:szCs w:val="32"/>
          <w:lang w:val="fr-FR"/>
        </w:rPr>
        <w:t>’</w:t>
      </w:r>
      <w:r w:rsidRPr="007522CA">
        <w:rPr>
          <w:rFonts w:cs="Arial"/>
          <w:spacing w:val="-3"/>
          <w:kern w:val="32"/>
          <w:szCs w:val="32"/>
          <w:lang w:val="fr-FR"/>
        </w:rPr>
        <w:t>application</w:t>
      </w:r>
    </w:p>
    <w:p w14:paraId="4E542934" w14:textId="77777777" w:rsidR="00445126" w:rsidRDefault="00445126" w:rsidP="00445126">
      <w:pPr>
        <w:pStyle w:val="ListParagraph"/>
        <w:numPr>
          <w:ilvl w:val="1"/>
          <w:numId w:val="1"/>
        </w:numPr>
        <w:rPr>
          <w:rFonts w:cs="Arial"/>
          <w:spacing w:val="-3"/>
          <w:kern w:val="32"/>
          <w:lang w:val="fr-FR"/>
        </w:rPr>
      </w:pPr>
      <w:r w:rsidRPr="007522CA">
        <w:rPr>
          <w:rFonts w:cs="Arial"/>
          <w:spacing w:val="-3"/>
          <w:kern w:val="32"/>
          <w:lang w:val="fr-FR"/>
        </w:rPr>
        <w:t>Marqueurs propres au caractère</w:t>
      </w:r>
    </w:p>
    <w:p w14:paraId="0DBD8CE1" w14:textId="77777777" w:rsidR="00445126" w:rsidRPr="007522CA" w:rsidRDefault="00445126" w:rsidP="00445126">
      <w:pPr>
        <w:pStyle w:val="ListParagraph"/>
        <w:ind w:left="567"/>
        <w:rPr>
          <w:rFonts w:cs="Arial"/>
          <w:spacing w:val="-3"/>
          <w:kern w:val="32"/>
          <w:lang w:val="fr-FR"/>
        </w:rPr>
      </w:pPr>
    </w:p>
    <w:p w14:paraId="3BD2572D" w14:textId="77777777" w:rsidR="00445126" w:rsidRDefault="00445126" w:rsidP="00445126">
      <w:pPr>
        <w:rPr>
          <w:rFonts w:eastAsia="Cambria"/>
          <w:lang w:val="fr-FR"/>
        </w:rPr>
      </w:pPr>
      <w:r>
        <w:rPr>
          <w:rFonts w:eastAsia="Cambria"/>
          <w:lang w:val="fr-FR"/>
        </w:rPr>
        <w:t xml:space="preserve">Les marqueurs moléculaires </w:t>
      </w:r>
      <w:r w:rsidRPr="007522CA">
        <w:rPr>
          <w:rFonts w:eastAsia="Cambria"/>
          <w:lang w:val="fr-FR"/>
        </w:rPr>
        <w:t>peuvent être utilisés comme une solution alternative à l</w:t>
      </w:r>
      <w:r>
        <w:rPr>
          <w:rFonts w:eastAsia="Cambria"/>
          <w:lang w:val="fr-FR"/>
        </w:rPr>
        <w:t>’</w:t>
      </w:r>
      <w:r w:rsidRPr="007522CA">
        <w:rPr>
          <w:rFonts w:eastAsia="Cambria"/>
          <w:lang w:val="fr-FR"/>
        </w:rPr>
        <w:t>observation phénotypique, en tant que prédicteurs de caractères traditionnels difficiles ou fastidieux à évaluer, s</w:t>
      </w:r>
      <w:r>
        <w:rPr>
          <w:rFonts w:eastAsia="Cambria"/>
          <w:lang w:val="fr-FR"/>
        </w:rPr>
        <w:t>’</w:t>
      </w:r>
      <w:r w:rsidRPr="007522CA">
        <w:rPr>
          <w:rFonts w:eastAsia="Cambria"/>
          <w:lang w:val="fr-FR"/>
        </w:rPr>
        <w:t>il existe un lien clair</w:t>
      </w:r>
      <w:r>
        <w:rPr>
          <w:rFonts w:eastAsia="Cambria"/>
          <w:lang w:val="fr-FR"/>
        </w:rPr>
        <w:t xml:space="preserve">.  </w:t>
      </w:r>
      <w:r w:rsidRPr="007522CA">
        <w:rPr>
          <w:rFonts w:eastAsia="Cambria"/>
          <w:lang w:val="fr-FR"/>
        </w:rPr>
        <w:t>Ils peuvent être totalement ou partiellement corrélés au phénotype</w:t>
      </w:r>
      <w:r>
        <w:rPr>
          <w:rFonts w:eastAsia="Cambria"/>
          <w:lang w:val="fr-FR"/>
        </w:rPr>
        <w:t xml:space="preserve">.  </w:t>
      </w:r>
      <w:r w:rsidRPr="007522CA">
        <w:rPr>
          <w:rFonts w:eastAsia="Cambria"/>
          <w:lang w:val="fr-FR"/>
        </w:rPr>
        <w:t>Ces méthodes font partie de protocoles techniques de l</w:t>
      </w:r>
      <w:r>
        <w:rPr>
          <w:rFonts w:eastAsia="Cambria"/>
          <w:lang w:val="fr-FR"/>
        </w:rPr>
        <w:t>’</w:t>
      </w:r>
      <w:r w:rsidRPr="007522CA">
        <w:rPr>
          <w:rFonts w:eastAsia="Cambria"/>
          <w:lang w:val="fr-FR"/>
        </w:rPr>
        <w:t xml:space="preserve">OCVV reposant sur une évaluation/validation et une suggestion des groupes de </w:t>
      </w:r>
      <w:proofErr w:type="spellStart"/>
      <w:r w:rsidRPr="007522CA">
        <w:rPr>
          <w:rFonts w:eastAsia="Cambria"/>
          <w:lang w:val="fr-FR"/>
        </w:rPr>
        <w:t>phytotechniciens</w:t>
      </w:r>
      <w:proofErr w:type="spellEnd"/>
      <w:r w:rsidRPr="007522CA">
        <w:rPr>
          <w:rFonts w:eastAsia="Cambria"/>
          <w:lang w:val="fr-FR"/>
        </w:rPr>
        <w:t xml:space="preserve"> de l</w:t>
      </w:r>
      <w:r>
        <w:rPr>
          <w:rFonts w:eastAsia="Cambria"/>
          <w:lang w:val="fr-FR"/>
        </w:rPr>
        <w:t>’</w:t>
      </w:r>
      <w:r w:rsidRPr="007522CA">
        <w:rPr>
          <w:rFonts w:eastAsia="Cambria"/>
          <w:lang w:val="fr-FR"/>
        </w:rPr>
        <w:t>OCVV</w:t>
      </w:r>
      <w:r w:rsidRPr="0007414F">
        <w:rPr>
          <w:rFonts w:eastAsia="Cambria"/>
          <w:lang w:val="fr-FR"/>
        </w:rPr>
        <w:t>.</w:t>
      </w:r>
    </w:p>
    <w:p w14:paraId="0F671F1C" w14:textId="77777777" w:rsidR="00445126" w:rsidRPr="0007414F" w:rsidRDefault="00445126" w:rsidP="00445126">
      <w:pPr>
        <w:keepNext/>
        <w:numPr>
          <w:ilvl w:val="2"/>
          <w:numId w:val="1"/>
        </w:numPr>
        <w:suppressAutoHyphens/>
        <w:spacing w:before="360" w:after="240" w:line="259" w:lineRule="auto"/>
        <w:jc w:val="left"/>
        <w:outlineLvl w:val="2"/>
        <w:rPr>
          <w:rFonts w:eastAsia="Cambria" w:cs="Arial"/>
          <w:bCs/>
          <w:spacing w:val="-3"/>
          <w:lang w:val="fr-FR"/>
        </w:rPr>
      </w:pPr>
      <w:r w:rsidRPr="007522CA">
        <w:rPr>
          <w:rFonts w:eastAsia="Cambria" w:cs="Arial"/>
          <w:bCs/>
          <w:spacing w:val="-3"/>
          <w:lang w:val="fr-FR"/>
        </w:rPr>
        <w:t>Marqueurs corrélés à 100% à un niveau d</w:t>
      </w:r>
      <w:r>
        <w:rPr>
          <w:rFonts w:eastAsia="Cambria" w:cs="Arial"/>
          <w:bCs/>
          <w:spacing w:val="-3"/>
          <w:lang w:val="fr-FR"/>
        </w:rPr>
        <w:t>’</w:t>
      </w:r>
      <w:r w:rsidRPr="007522CA">
        <w:rPr>
          <w:rFonts w:eastAsia="Cambria" w:cs="Arial"/>
          <w:bCs/>
          <w:spacing w:val="-3"/>
          <w:lang w:val="fr-FR"/>
        </w:rPr>
        <w:t>expression retenu du caractère</w:t>
      </w:r>
    </w:p>
    <w:p w14:paraId="02212CC6" w14:textId="77777777" w:rsidR="00445126" w:rsidRPr="006603D6" w:rsidRDefault="00445126" w:rsidP="00445126">
      <w:pPr>
        <w:rPr>
          <w:rFonts w:eastAsia="Cambria"/>
          <w:lang w:val="fr-FR"/>
        </w:rPr>
      </w:pPr>
      <w:r w:rsidRPr="006603D6">
        <w:rPr>
          <w:rFonts w:eastAsia="Cambria"/>
          <w:lang w:val="fr-FR"/>
        </w:rPr>
        <w:t>Dans ce cas, le marqueur peut remplacer l</w:t>
      </w:r>
      <w:r>
        <w:rPr>
          <w:rFonts w:eastAsia="Cambria"/>
          <w:lang w:val="fr-FR"/>
        </w:rPr>
        <w:t>’</w:t>
      </w:r>
      <w:r w:rsidRPr="006603D6">
        <w:rPr>
          <w:rFonts w:eastAsia="Cambria"/>
          <w:lang w:val="fr-FR"/>
        </w:rPr>
        <w:t>observation phénotypique.</w:t>
      </w:r>
    </w:p>
    <w:p w14:paraId="4DBF52DD" w14:textId="77777777" w:rsidR="00445126" w:rsidRPr="007522CA" w:rsidRDefault="00445126" w:rsidP="00445126">
      <w:pPr>
        <w:pStyle w:val="ListParagraph"/>
        <w:ind w:left="567"/>
        <w:rPr>
          <w:rFonts w:eastAsia="Cambria"/>
          <w:lang w:val="fr-FR"/>
        </w:rPr>
      </w:pPr>
    </w:p>
    <w:p w14:paraId="3FDAC533" w14:textId="77777777" w:rsidR="00445126" w:rsidRPr="007522CA" w:rsidRDefault="00445126" w:rsidP="00445126">
      <w:pPr>
        <w:pStyle w:val="ListParagraph"/>
        <w:ind w:left="0"/>
        <w:rPr>
          <w:rFonts w:eastAsia="Cambria"/>
          <w:lang w:val="fr-FR"/>
        </w:rPr>
      </w:pPr>
      <w:r w:rsidRPr="007522CA">
        <w:rPr>
          <w:rFonts w:eastAsia="Cambria"/>
          <w:lang w:val="fr-FR"/>
        </w:rPr>
        <w:t>Exemples de caractères concernés</w:t>
      </w:r>
      <w:r>
        <w:rPr>
          <w:rFonts w:eastAsia="Cambria"/>
          <w:lang w:val="fr-FR"/>
        </w:rPr>
        <w:t> :</w:t>
      </w:r>
    </w:p>
    <w:p w14:paraId="46CC08FF" w14:textId="77777777" w:rsidR="00445126" w:rsidRPr="007522CA" w:rsidRDefault="00445126" w:rsidP="00445126">
      <w:pPr>
        <w:pStyle w:val="ListParagraph"/>
        <w:tabs>
          <w:tab w:val="left" w:pos="1134"/>
        </w:tabs>
        <w:ind w:left="1134" w:hanging="567"/>
        <w:rPr>
          <w:rFonts w:eastAsia="Cambria"/>
          <w:lang w:val="fr-FR"/>
        </w:rPr>
      </w:pPr>
      <w:r>
        <w:rPr>
          <w:rFonts w:eastAsia="Cambria"/>
          <w:lang w:val="fr-FR"/>
        </w:rPr>
        <w:t>–</w:t>
      </w:r>
      <w:r w:rsidRPr="007522CA">
        <w:rPr>
          <w:rFonts w:eastAsia="Cambria"/>
          <w:lang w:val="fr-FR"/>
        </w:rPr>
        <w:t xml:space="preserve"> </w:t>
      </w:r>
      <w:r w:rsidRPr="007522CA">
        <w:rPr>
          <w:rFonts w:eastAsia="Cambria"/>
          <w:lang w:val="fr-FR"/>
        </w:rPr>
        <w:tab/>
        <w:t xml:space="preserve">résistances aux maladies </w:t>
      </w:r>
      <w:proofErr w:type="spellStart"/>
      <w:r w:rsidRPr="007522CA">
        <w:rPr>
          <w:rFonts w:eastAsia="Cambria"/>
          <w:lang w:val="fr-FR"/>
        </w:rPr>
        <w:t>monogéniques</w:t>
      </w:r>
      <w:proofErr w:type="spellEnd"/>
      <w:r w:rsidRPr="007522CA">
        <w:rPr>
          <w:rFonts w:eastAsia="Cambria"/>
          <w:lang w:val="fr-FR"/>
        </w:rPr>
        <w:t xml:space="preserve"> ou </w:t>
      </w:r>
      <w:proofErr w:type="spellStart"/>
      <w:r w:rsidRPr="007522CA">
        <w:rPr>
          <w:rFonts w:eastAsia="Cambria"/>
          <w:lang w:val="fr-FR"/>
        </w:rPr>
        <w:t>oligogéniques</w:t>
      </w:r>
      <w:proofErr w:type="spellEnd"/>
      <w:r w:rsidRPr="007522CA">
        <w:rPr>
          <w:rFonts w:eastAsia="Cambria"/>
          <w:lang w:val="fr-FR"/>
        </w:rPr>
        <w:t xml:space="preserve"> (p. ex. maladies des plantes potagères, résistance à la nématode </w:t>
      </w:r>
      <w:proofErr w:type="spellStart"/>
      <w:r w:rsidRPr="007522CA">
        <w:rPr>
          <w:rFonts w:eastAsia="Cambria"/>
          <w:i/>
          <w:iCs/>
          <w:lang w:val="fr-FR"/>
        </w:rPr>
        <w:t>Heterodera</w:t>
      </w:r>
      <w:proofErr w:type="spellEnd"/>
      <w:r w:rsidRPr="007522CA">
        <w:rPr>
          <w:rFonts w:eastAsia="Cambria"/>
          <w:i/>
          <w:iCs/>
          <w:lang w:val="fr-FR"/>
        </w:rPr>
        <w:t xml:space="preserve"> </w:t>
      </w:r>
      <w:proofErr w:type="spellStart"/>
      <w:r w:rsidRPr="007522CA">
        <w:rPr>
          <w:rFonts w:eastAsia="Cambria"/>
          <w:i/>
          <w:iCs/>
          <w:lang w:val="fr-FR"/>
        </w:rPr>
        <w:t>schaschtii</w:t>
      </w:r>
      <w:proofErr w:type="spellEnd"/>
      <w:r w:rsidRPr="007522CA">
        <w:rPr>
          <w:rFonts w:eastAsia="Cambria"/>
          <w:lang w:val="fr-FR"/>
        </w:rPr>
        <w:t xml:space="preserve"> chez la betterave à sucre)</w:t>
      </w:r>
    </w:p>
    <w:p w14:paraId="1C8205D1" w14:textId="77777777" w:rsidR="00445126" w:rsidRPr="007522CA" w:rsidRDefault="00445126" w:rsidP="00445126">
      <w:pPr>
        <w:pStyle w:val="ListParagraph"/>
        <w:tabs>
          <w:tab w:val="left" w:pos="1134"/>
        </w:tabs>
        <w:ind w:left="1134" w:hanging="567"/>
        <w:rPr>
          <w:rFonts w:eastAsia="Cambria"/>
          <w:lang w:val="fr-FR"/>
        </w:rPr>
      </w:pPr>
      <w:r>
        <w:rPr>
          <w:rFonts w:eastAsia="Cambria"/>
          <w:lang w:val="fr-FR"/>
        </w:rPr>
        <w:t>–</w:t>
      </w:r>
      <w:r w:rsidRPr="007522CA">
        <w:rPr>
          <w:rFonts w:eastAsia="Cambria"/>
          <w:lang w:val="fr-FR"/>
        </w:rPr>
        <w:t xml:space="preserve"> </w:t>
      </w:r>
      <w:r w:rsidRPr="007522CA">
        <w:rPr>
          <w:rFonts w:eastAsia="Cambria"/>
          <w:lang w:val="fr-FR"/>
        </w:rPr>
        <w:tab/>
        <w:t>stérilité mâle cytoplasmique du chou</w:t>
      </w:r>
    </w:p>
    <w:p w14:paraId="4325DAF9" w14:textId="77777777" w:rsidR="00445126" w:rsidRPr="007522CA" w:rsidRDefault="00445126" w:rsidP="00445126">
      <w:pPr>
        <w:pStyle w:val="ListParagraph"/>
        <w:tabs>
          <w:tab w:val="left" w:pos="1134"/>
        </w:tabs>
        <w:ind w:left="1134" w:hanging="567"/>
        <w:rPr>
          <w:rFonts w:eastAsia="Cambria"/>
          <w:lang w:val="fr-FR"/>
        </w:rPr>
      </w:pPr>
      <w:r>
        <w:rPr>
          <w:rFonts w:eastAsia="Cambria"/>
          <w:lang w:val="fr-FR"/>
        </w:rPr>
        <w:t>–</w:t>
      </w:r>
      <w:r w:rsidRPr="007522CA">
        <w:rPr>
          <w:rFonts w:eastAsia="Cambria"/>
          <w:lang w:val="fr-FR"/>
        </w:rPr>
        <w:t xml:space="preserve"> </w:t>
      </w:r>
      <w:r w:rsidRPr="007522CA">
        <w:rPr>
          <w:rFonts w:eastAsia="Cambria"/>
          <w:lang w:val="fr-FR"/>
        </w:rPr>
        <w:tab/>
        <w:t>herbicides (tournesol, colza)</w:t>
      </w:r>
    </w:p>
    <w:p w14:paraId="1E4E5734" w14:textId="77777777" w:rsidR="00445126" w:rsidRPr="007522CA" w:rsidRDefault="00445126" w:rsidP="00445126">
      <w:pPr>
        <w:pStyle w:val="ListParagraph"/>
        <w:ind w:left="567"/>
        <w:rPr>
          <w:rFonts w:eastAsia="Cambria"/>
          <w:lang w:val="fr-FR"/>
        </w:rPr>
      </w:pPr>
    </w:p>
    <w:p w14:paraId="3E742A13" w14:textId="77777777" w:rsidR="00445126" w:rsidRPr="007522CA" w:rsidRDefault="00445126" w:rsidP="00445126">
      <w:pPr>
        <w:pStyle w:val="ListParagraph"/>
        <w:ind w:left="0"/>
        <w:rPr>
          <w:rFonts w:eastAsia="Cambria"/>
          <w:lang w:val="fr-FR"/>
        </w:rPr>
      </w:pPr>
      <w:r w:rsidRPr="007522CA">
        <w:rPr>
          <w:rFonts w:eastAsia="Cambria"/>
          <w:lang w:val="fr-FR"/>
        </w:rPr>
        <w:t>À ce jour, aucun de ces marqueurs n</w:t>
      </w:r>
      <w:r>
        <w:rPr>
          <w:rFonts w:eastAsia="Cambria"/>
          <w:lang w:val="fr-FR"/>
        </w:rPr>
        <w:t>’</w:t>
      </w:r>
      <w:r w:rsidRPr="007522CA">
        <w:rPr>
          <w:rFonts w:eastAsia="Cambria"/>
          <w:lang w:val="fr-FR"/>
        </w:rPr>
        <w:t>a été inclus dans les protocoles techniques de l</w:t>
      </w:r>
      <w:r>
        <w:rPr>
          <w:rFonts w:eastAsia="Cambria"/>
          <w:lang w:val="fr-FR"/>
        </w:rPr>
        <w:t>’</w:t>
      </w:r>
      <w:r w:rsidRPr="007522CA">
        <w:rPr>
          <w:rFonts w:eastAsia="Cambria"/>
          <w:lang w:val="fr-FR"/>
        </w:rPr>
        <w:t>OCVV.</w:t>
      </w:r>
    </w:p>
    <w:p w14:paraId="097EFFFC" w14:textId="77777777" w:rsidR="00445126" w:rsidRPr="007522CA" w:rsidRDefault="00445126" w:rsidP="00445126">
      <w:pPr>
        <w:keepNext/>
        <w:numPr>
          <w:ilvl w:val="2"/>
          <w:numId w:val="1"/>
        </w:numPr>
        <w:suppressAutoHyphens/>
        <w:spacing w:before="360" w:after="240" w:line="259" w:lineRule="auto"/>
        <w:jc w:val="left"/>
        <w:outlineLvl w:val="2"/>
        <w:rPr>
          <w:rFonts w:eastAsia="Cambria" w:cs="Arial"/>
          <w:bCs/>
          <w:spacing w:val="-3"/>
          <w:lang w:val="fr-FR"/>
        </w:rPr>
      </w:pPr>
      <w:r w:rsidRPr="007522CA">
        <w:rPr>
          <w:rFonts w:eastAsia="Cambria" w:cs="Arial"/>
          <w:bCs/>
          <w:spacing w:val="-3"/>
          <w:lang w:val="fr-FR"/>
        </w:rPr>
        <w:t>Marqueurs fournissant des informations incomplètes sur le niveau d</w:t>
      </w:r>
      <w:r>
        <w:rPr>
          <w:rFonts w:eastAsia="Cambria" w:cs="Arial"/>
          <w:bCs/>
          <w:spacing w:val="-3"/>
          <w:lang w:val="fr-FR"/>
        </w:rPr>
        <w:t>’</w:t>
      </w:r>
      <w:r w:rsidRPr="007522CA">
        <w:rPr>
          <w:rFonts w:eastAsia="Cambria" w:cs="Arial"/>
          <w:bCs/>
          <w:spacing w:val="-3"/>
          <w:lang w:val="fr-FR"/>
        </w:rPr>
        <w:t>expression du caractère</w:t>
      </w:r>
    </w:p>
    <w:p w14:paraId="682F1B4B" w14:textId="77777777" w:rsidR="00445126" w:rsidRPr="007522CA" w:rsidRDefault="00445126" w:rsidP="00445126">
      <w:pPr>
        <w:rPr>
          <w:rFonts w:eastAsia="Cambria"/>
          <w:lang w:val="fr-FR"/>
        </w:rPr>
      </w:pPr>
      <w:r w:rsidRPr="007522CA">
        <w:rPr>
          <w:rFonts w:eastAsia="Cambria"/>
          <w:lang w:val="fr-FR"/>
        </w:rPr>
        <w:t>Dans ce cas, le marqueur est seulement partiellement relié au caractère et fournit une information incomplète sur le niveau d</w:t>
      </w:r>
      <w:r>
        <w:rPr>
          <w:rFonts w:eastAsia="Cambria"/>
          <w:lang w:val="fr-FR"/>
        </w:rPr>
        <w:t>’</w:t>
      </w:r>
      <w:r w:rsidRPr="007522CA">
        <w:rPr>
          <w:rFonts w:eastAsia="Cambria"/>
          <w:lang w:val="fr-FR"/>
        </w:rPr>
        <w:t>expression du trait</w:t>
      </w:r>
      <w:r>
        <w:rPr>
          <w:rFonts w:eastAsia="Cambria"/>
          <w:lang w:val="fr-FR"/>
        </w:rPr>
        <w:t xml:space="preserve">.  </w:t>
      </w:r>
      <w:r w:rsidRPr="007522CA">
        <w:rPr>
          <w:rFonts w:eastAsia="Cambria"/>
          <w:lang w:val="fr-FR"/>
        </w:rPr>
        <w:t>Son utilisation doit être décrite dans une procédure d</w:t>
      </w:r>
      <w:r>
        <w:rPr>
          <w:rFonts w:eastAsia="Cambria"/>
          <w:lang w:val="fr-FR"/>
        </w:rPr>
        <w:t>’</w:t>
      </w:r>
      <w:r w:rsidRPr="007522CA">
        <w:rPr>
          <w:rFonts w:eastAsia="Cambria"/>
          <w:lang w:val="fr-FR"/>
        </w:rPr>
        <w:t>évaluation qui précise les situations dans lesquelles ce marqueur peut être utilisé et quand il doit d</w:t>
      </w:r>
      <w:r>
        <w:rPr>
          <w:rFonts w:eastAsia="Cambria"/>
          <w:lang w:val="fr-FR"/>
        </w:rPr>
        <w:t>’</w:t>
      </w:r>
      <w:r w:rsidRPr="007522CA">
        <w:rPr>
          <w:rFonts w:eastAsia="Cambria"/>
          <w:lang w:val="fr-FR"/>
        </w:rPr>
        <w:t>être complété par une observation phénotypique.</w:t>
      </w:r>
    </w:p>
    <w:p w14:paraId="723707A6" w14:textId="77777777" w:rsidR="00445126" w:rsidRPr="007522CA" w:rsidRDefault="00445126" w:rsidP="00445126">
      <w:pPr>
        <w:rPr>
          <w:rFonts w:eastAsia="Cambria"/>
          <w:lang w:val="fr-FR"/>
        </w:rPr>
      </w:pPr>
    </w:p>
    <w:p w14:paraId="442D71BA" w14:textId="77777777" w:rsidR="00445126" w:rsidRPr="007522CA" w:rsidRDefault="00445126" w:rsidP="00445126">
      <w:pPr>
        <w:rPr>
          <w:rFonts w:eastAsia="Cambria"/>
          <w:lang w:val="fr-FR"/>
        </w:rPr>
      </w:pPr>
      <w:r w:rsidRPr="007522CA">
        <w:rPr>
          <w:rFonts w:eastAsia="Cambria"/>
          <w:lang w:val="fr-FR"/>
        </w:rPr>
        <w:t>Exemples de caractères concernés</w:t>
      </w:r>
      <w:r>
        <w:rPr>
          <w:rFonts w:eastAsia="Cambria"/>
          <w:lang w:val="fr-FR"/>
        </w:rPr>
        <w:t> :</w:t>
      </w:r>
      <w:r w:rsidRPr="007522CA">
        <w:rPr>
          <w:rFonts w:eastAsia="Cambria"/>
          <w:lang w:val="fr-FR"/>
        </w:rPr>
        <w:t xml:space="preserve"> résistances quantitatives aux maladies chez les légumes, telles que</w:t>
      </w:r>
    </w:p>
    <w:p w14:paraId="1E70C151" w14:textId="77777777" w:rsidR="00445126" w:rsidRPr="007522CA" w:rsidRDefault="00445126" w:rsidP="00445126">
      <w:pPr>
        <w:tabs>
          <w:tab w:val="left" w:pos="1134"/>
        </w:tabs>
        <w:ind w:left="567"/>
        <w:rPr>
          <w:rFonts w:eastAsia="Cambria"/>
          <w:lang w:val="fr-FR"/>
        </w:rPr>
      </w:pPr>
      <w:r>
        <w:rPr>
          <w:rFonts w:eastAsia="Cambria"/>
          <w:lang w:val="fr-FR"/>
        </w:rPr>
        <w:t>–</w:t>
      </w:r>
      <w:r w:rsidRPr="007522CA">
        <w:rPr>
          <w:rFonts w:eastAsia="Cambria"/>
          <w:lang w:val="fr-FR"/>
        </w:rPr>
        <w:t xml:space="preserve"> </w:t>
      </w:r>
      <w:r w:rsidRPr="007522CA">
        <w:rPr>
          <w:rFonts w:eastAsia="Cambria"/>
          <w:lang w:val="fr-FR"/>
        </w:rPr>
        <w:tab/>
        <w:t>virus de la mosaïque de la tomate (</w:t>
      </w:r>
      <w:proofErr w:type="spellStart"/>
      <w:r w:rsidRPr="007522CA">
        <w:rPr>
          <w:rFonts w:eastAsia="Cambria"/>
          <w:lang w:val="fr-FR"/>
        </w:rPr>
        <w:t>ToMV</w:t>
      </w:r>
      <w:proofErr w:type="spellEnd"/>
      <w:r w:rsidRPr="007522CA">
        <w:rPr>
          <w:rFonts w:eastAsia="Cambria"/>
          <w:lang w:val="fr-FR"/>
        </w:rPr>
        <w:t>)</w:t>
      </w:r>
    </w:p>
    <w:p w14:paraId="66B5049C" w14:textId="77777777" w:rsidR="00445126" w:rsidRPr="007522CA" w:rsidRDefault="00445126" w:rsidP="00445126">
      <w:pPr>
        <w:tabs>
          <w:tab w:val="left" w:pos="1134"/>
        </w:tabs>
        <w:ind w:left="567"/>
        <w:rPr>
          <w:rFonts w:eastAsia="Cambria"/>
          <w:lang w:val="fr-FR"/>
        </w:rPr>
      </w:pPr>
      <w:r>
        <w:rPr>
          <w:rFonts w:eastAsia="Cambria"/>
          <w:lang w:val="fr-FR"/>
        </w:rPr>
        <w:t>–</w:t>
      </w:r>
      <w:r w:rsidRPr="007522CA">
        <w:rPr>
          <w:rFonts w:eastAsia="Cambria"/>
          <w:lang w:val="fr-FR"/>
        </w:rPr>
        <w:t xml:space="preserve"> </w:t>
      </w:r>
      <w:r w:rsidRPr="007522CA">
        <w:rPr>
          <w:rFonts w:eastAsia="Cambria"/>
          <w:lang w:val="fr-FR"/>
        </w:rPr>
        <w:tab/>
        <w:t>virus de la tache bronzée de la tomate (TSWV)</w:t>
      </w:r>
    </w:p>
    <w:p w14:paraId="497EB9C0" w14:textId="77777777" w:rsidR="00445126" w:rsidRPr="007522CA" w:rsidRDefault="00445126" w:rsidP="00445126">
      <w:pPr>
        <w:rPr>
          <w:rFonts w:eastAsia="Cambria"/>
          <w:lang w:val="fr-FR"/>
        </w:rPr>
      </w:pPr>
    </w:p>
    <w:p w14:paraId="1DA8D5DD" w14:textId="77777777" w:rsidR="00445126" w:rsidRPr="0007414F" w:rsidRDefault="00445126" w:rsidP="00445126">
      <w:pPr>
        <w:rPr>
          <w:rFonts w:eastAsia="Cambria"/>
          <w:lang w:val="fr-FR"/>
        </w:rPr>
      </w:pPr>
      <w:r w:rsidRPr="007522CA">
        <w:rPr>
          <w:rFonts w:eastAsia="Cambria"/>
          <w:lang w:val="fr-FR"/>
        </w:rPr>
        <w:t xml:space="preserve">Les deux ensembles de marqueurs </w:t>
      </w:r>
      <w:proofErr w:type="spellStart"/>
      <w:r w:rsidRPr="007522CA">
        <w:rPr>
          <w:rFonts w:eastAsia="Cambria"/>
          <w:lang w:val="fr-FR"/>
        </w:rPr>
        <w:t>co</w:t>
      </w:r>
      <w:proofErr w:type="spellEnd"/>
      <w:r>
        <w:rPr>
          <w:rFonts w:eastAsia="Cambria"/>
          <w:lang w:val="fr-FR"/>
        </w:rPr>
        <w:noBreakHyphen/>
      </w:r>
      <w:r w:rsidRPr="007522CA">
        <w:rPr>
          <w:rFonts w:eastAsia="Cambria"/>
          <w:lang w:val="fr-FR"/>
        </w:rPr>
        <w:t>dominants élaborés pour ces deux virus de tomates ont été inclus dans des protocoles techniques de l</w:t>
      </w:r>
      <w:r>
        <w:rPr>
          <w:rFonts w:eastAsia="Cambria"/>
          <w:lang w:val="fr-FR"/>
        </w:rPr>
        <w:t>’</w:t>
      </w:r>
      <w:r w:rsidRPr="007522CA">
        <w:rPr>
          <w:rFonts w:eastAsia="Cambria"/>
          <w:lang w:val="fr-FR"/>
        </w:rPr>
        <w:t>OCVV pour la tomate (4.4</w:t>
      </w:r>
      <w:r>
        <w:rPr>
          <w:rFonts w:eastAsia="Cambria"/>
          <w:lang w:val="fr-FR"/>
        </w:rPr>
        <w:noBreakHyphen/>
      </w:r>
      <w:r w:rsidRPr="007522CA">
        <w:rPr>
          <w:rFonts w:eastAsia="Cambria"/>
          <w:lang w:val="fr-FR"/>
        </w:rPr>
        <w:t>2) et les porte</w:t>
      </w:r>
      <w:r>
        <w:rPr>
          <w:rFonts w:eastAsia="Cambria"/>
          <w:lang w:val="fr-FR"/>
        </w:rPr>
        <w:noBreakHyphen/>
      </w:r>
      <w:r w:rsidRPr="007522CA">
        <w:rPr>
          <w:rFonts w:eastAsia="Cambria"/>
          <w:lang w:val="fr-FR"/>
        </w:rPr>
        <w:t xml:space="preserve">greffes de tomate (1.4) comme solution alternative possible aux </w:t>
      </w:r>
      <w:proofErr w:type="spellStart"/>
      <w:r w:rsidRPr="007522CA">
        <w:rPr>
          <w:rFonts w:eastAsia="Cambria"/>
          <w:lang w:val="fr-FR"/>
        </w:rPr>
        <w:t>bio</w:t>
      </w:r>
      <w:r>
        <w:rPr>
          <w:rFonts w:eastAsia="Cambria"/>
          <w:lang w:val="fr-FR"/>
        </w:rPr>
        <w:t>essai</w:t>
      </w:r>
      <w:r w:rsidRPr="007522CA">
        <w:rPr>
          <w:rFonts w:eastAsia="Cambria"/>
          <w:lang w:val="fr-FR"/>
        </w:rPr>
        <w:t>s</w:t>
      </w:r>
      <w:proofErr w:type="spellEnd"/>
      <w:r w:rsidRPr="007522CA">
        <w:rPr>
          <w:rFonts w:eastAsia="Cambria"/>
          <w:lang w:val="fr-FR"/>
        </w:rPr>
        <w:t xml:space="preserve"> dans des cas bien précis</w:t>
      </w:r>
      <w:r w:rsidRPr="0007414F">
        <w:rPr>
          <w:rFonts w:eastAsia="Cambria"/>
          <w:lang w:val="fr-FR"/>
        </w:rPr>
        <w:t>.</w:t>
      </w:r>
    </w:p>
    <w:p w14:paraId="71215453" w14:textId="77777777" w:rsidR="00445126" w:rsidRPr="006603D6" w:rsidRDefault="00445126" w:rsidP="00445126">
      <w:pPr>
        <w:keepNext/>
        <w:numPr>
          <w:ilvl w:val="1"/>
          <w:numId w:val="1"/>
        </w:numPr>
        <w:suppressAutoHyphens/>
        <w:spacing w:before="360" w:after="240" w:line="259" w:lineRule="auto"/>
        <w:jc w:val="left"/>
        <w:outlineLvl w:val="1"/>
        <w:rPr>
          <w:rFonts w:cs="Arial"/>
          <w:spacing w:val="-3"/>
          <w:kern w:val="32"/>
        </w:rPr>
      </w:pPr>
      <w:proofErr w:type="spellStart"/>
      <w:r>
        <w:rPr>
          <w:rFonts w:cs="Arial"/>
          <w:spacing w:val="-3"/>
          <w:kern w:val="32"/>
        </w:rPr>
        <w:t>Ge</w:t>
      </w:r>
      <w:r w:rsidRPr="00161B14">
        <w:rPr>
          <w:rFonts w:cs="Arial"/>
          <w:spacing w:val="-3"/>
          <w:kern w:val="32"/>
        </w:rPr>
        <w:t>stion</w:t>
      </w:r>
      <w:proofErr w:type="spellEnd"/>
      <w:r w:rsidRPr="00161B14">
        <w:rPr>
          <w:rFonts w:cs="Arial"/>
          <w:spacing w:val="-3"/>
          <w:kern w:val="32"/>
        </w:rPr>
        <w:t xml:space="preserve"> des collections de </w:t>
      </w:r>
      <w:proofErr w:type="spellStart"/>
      <w:r w:rsidRPr="00161B14">
        <w:rPr>
          <w:rFonts w:cs="Arial"/>
          <w:spacing w:val="-3"/>
          <w:kern w:val="32"/>
        </w:rPr>
        <w:t>variétés</w:t>
      </w:r>
      <w:proofErr w:type="spellEnd"/>
    </w:p>
    <w:p w14:paraId="26ACFA93" w14:textId="77777777" w:rsidR="00445126" w:rsidRPr="006603D6" w:rsidRDefault="00445126" w:rsidP="00445126">
      <w:pPr>
        <w:pStyle w:val="ListParagraph"/>
        <w:numPr>
          <w:ilvl w:val="2"/>
          <w:numId w:val="1"/>
        </w:numPr>
        <w:rPr>
          <w:rFonts w:eastAsia="Cambria" w:cs="Arial"/>
          <w:bCs/>
          <w:spacing w:val="-3"/>
          <w:lang w:val="fr-FR"/>
        </w:rPr>
      </w:pPr>
      <w:r w:rsidRPr="006603D6">
        <w:rPr>
          <w:rFonts w:eastAsia="Cambria" w:cs="Arial"/>
          <w:bCs/>
          <w:spacing w:val="-3"/>
          <w:lang w:val="fr-FR"/>
        </w:rPr>
        <w:t xml:space="preserve">Combiner les seuils moléculaires et phénotypiques pour exclure des variétés </w:t>
      </w:r>
      <w:r>
        <w:rPr>
          <w:rFonts w:eastAsia="Cambria" w:cs="Arial"/>
          <w:bCs/>
          <w:spacing w:val="-3"/>
          <w:lang w:val="fr-FR"/>
        </w:rPr>
        <w:t>super distinctes</w:t>
      </w:r>
      <w:r w:rsidRPr="006603D6">
        <w:rPr>
          <w:rFonts w:eastAsia="Cambria" w:cs="Arial"/>
          <w:bCs/>
          <w:spacing w:val="-3"/>
          <w:lang w:val="fr-FR"/>
        </w:rPr>
        <w:t xml:space="preserve"> du deuxième essai en culture</w:t>
      </w:r>
    </w:p>
    <w:p w14:paraId="5515AE25" w14:textId="77777777" w:rsidR="00445126" w:rsidRPr="006603D6" w:rsidRDefault="00445126" w:rsidP="00445126">
      <w:pPr>
        <w:pStyle w:val="ListParagraph"/>
        <w:ind w:left="567"/>
        <w:rPr>
          <w:rFonts w:eastAsia="Cambria" w:cs="Arial"/>
          <w:bCs/>
          <w:spacing w:val="-3"/>
          <w:lang w:val="fr-FR"/>
        </w:rPr>
      </w:pPr>
    </w:p>
    <w:p w14:paraId="3BC6ABFD" w14:textId="77777777" w:rsidR="00445126" w:rsidRPr="006603D6" w:rsidRDefault="00445126" w:rsidP="00445126">
      <w:pPr>
        <w:rPr>
          <w:rFonts w:eastAsia="Cambria" w:cs="Arial"/>
          <w:bCs/>
          <w:spacing w:val="-3"/>
          <w:lang w:val="fr-FR"/>
        </w:rPr>
      </w:pPr>
      <w:r w:rsidRPr="006603D6">
        <w:rPr>
          <w:rFonts w:eastAsia="Cambria" w:cs="Arial"/>
          <w:bCs/>
          <w:spacing w:val="-3"/>
          <w:lang w:val="fr-FR"/>
        </w:rPr>
        <w:t>Dans ce modèle, deux</w:t>
      </w:r>
      <w:r>
        <w:rPr>
          <w:rFonts w:eastAsia="Cambria" w:cs="Arial"/>
          <w:bCs/>
          <w:spacing w:val="-3"/>
          <w:lang w:val="fr-FR"/>
        </w:rPr>
        <w:t> </w:t>
      </w:r>
      <w:r w:rsidRPr="006603D6">
        <w:rPr>
          <w:rFonts w:eastAsia="Cambria" w:cs="Arial"/>
          <w:bCs/>
          <w:spacing w:val="-3"/>
          <w:lang w:val="fr-FR"/>
        </w:rPr>
        <w:t>seuils indépendants sont fixés pour la sélection de variétés voisines à inclure dans l</w:t>
      </w:r>
      <w:r>
        <w:rPr>
          <w:rFonts w:eastAsia="Cambria" w:cs="Arial"/>
          <w:bCs/>
          <w:spacing w:val="-3"/>
          <w:lang w:val="fr-FR"/>
        </w:rPr>
        <w:t>’</w:t>
      </w:r>
      <w:r w:rsidRPr="006603D6">
        <w:rPr>
          <w:rFonts w:eastAsia="Cambria" w:cs="Arial"/>
          <w:bCs/>
          <w:spacing w:val="-3"/>
          <w:lang w:val="fr-FR"/>
        </w:rPr>
        <w:t>essai en culture</w:t>
      </w:r>
      <w:r>
        <w:rPr>
          <w:rFonts w:eastAsia="Cambria" w:cs="Arial"/>
          <w:bCs/>
          <w:spacing w:val="-3"/>
          <w:lang w:val="fr-FR"/>
        </w:rPr>
        <w:t xml:space="preserve">.  </w:t>
      </w:r>
      <w:r w:rsidRPr="006603D6">
        <w:rPr>
          <w:rFonts w:eastAsia="Cambria" w:cs="Arial"/>
          <w:bCs/>
          <w:spacing w:val="-3"/>
          <w:lang w:val="fr-FR"/>
        </w:rPr>
        <w:t>Le premier seuil repose sur les informations relatives aux caractères morphologiques et le deuxième sur la distance génétique calculée au moyen d</w:t>
      </w:r>
      <w:r>
        <w:rPr>
          <w:rFonts w:eastAsia="Cambria" w:cs="Arial"/>
          <w:bCs/>
          <w:spacing w:val="-3"/>
          <w:lang w:val="fr-FR"/>
        </w:rPr>
        <w:t>’</w:t>
      </w:r>
      <w:r w:rsidRPr="006603D6">
        <w:rPr>
          <w:rFonts w:eastAsia="Cambria" w:cs="Arial"/>
          <w:bCs/>
          <w:spacing w:val="-3"/>
          <w:lang w:val="fr-FR"/>
        </w:rPr>
        <w:t>un ensemble de marqueurs répartis dans l</w:t>
      </w:r>
      <w:r>
        <w:rPr>
          <w:rFonts w:eastAsia="Cambria" w:cs="Arial"/>
          <w:bCs/>
          <w:spacing w:val="-3"/>
          <w:lang w:val="fr-FR"/>
        </w:rPr>
        <w:t>’</w:t>
      </w:r>
      <w:r w:rsidRPr="006603D6">
        <w:rPr>
          <w:rFonts w:eastAsia="Cambria" w:cs="Arial"/>
          <w:bCs/>
          <w:spacing w:val="-3"/>
          <w:lang w:val="fr-FR"/>
        </w:rPr>
        <w:t>ensemble du génome</w:t>
      </w:r>
      <w:r>
        <w:rPr>
          <w:rFonts w:eastAsia="Cambria" w:cs="Arial"/>
          <w:bCs/>
          <w:spacing w:val="-3"/>
          <w:lang w:val="fr-FR"/>
        </w:rPr>
        <w:t xml:space="preserve">.  </w:t>
      </w:r>
      <w:r w:rsidRPr="006603D6">
        <w:rPr>
          <w:rFonts w:eastAsia="Cambria" w:cs="Arial"/>
          <w:bCs/>
          <w:spacing w:val="-3"/>
          <w:lang w:val="fr-FR"/>
        </w:rPr>
        <w:t>À l</w:t>
      </w:r>
      <w:r>
        <w:rPr>
          <w:rFonts w:eastAsia="Cambria" w:cs="Arial"/>
          <w:bCs/>
          <w:spacing w:val="-3"/>
          <w:lang w:val="fr-FR"/>
        </w:rPr>
        <w:t>’</w:t>
      </w:r>
      <w:r w:rsidRPr="006603D6">
        <w:rPr>
          <w:rFonts w:eastAsia="Cambria" w:cs="Arial"/>
          <w:bCs/>
          <w:spacing w:val="-3"/>
          <w:lang w:val="fr-FR"/>
        </w:rPr>
        <w:t>exception des variétés très voisines sur le plan morphologique, les variétés de référence qui dépassent les deux</w:t>
      </w:r>
      <w:r>
        <w:rPr>
          <w:rFonts w:eastAsia="Cambria" w:cs="Arial"/>
          <w:bCs/>
          <w:spacing w:val="-3"/>
          <w:lang w:val="fr-FR"/>
        </w:rPr>
        <w:t> </w:t>
      </w:r>
      <w:r w:rsidRPr="006603D6">
        <w:rPr>
          <w:rFonts w:eastAsia="Cambria" w:cs="Arial"/>
          <w:bCs/>
          <w:spacing w:val="-3"/>
          <w:lang w:val="fr-FR"/>
        </w:rPr>
        <w:t>seuils n</w:t>
      </w:r>
      <w:r>
        <w:rPr>
          <w:rFonts w:eastAsia="Cambria" w:cs="Arial"/>
          <w:bCs/>
          <w:spacing w:val="-3"/>
          <w:lang w:val="fr-FR"/>
        </w:rPr>
        <w:t>’</w:t>
      </w:r>
      <w:r w:rsidRPr="006603D6">
        <w:rPr>
          <w:rFonts w:eastAsia="Cambria" w:cs="Arial"/>
          <w:bCs/>
          <w:spacing w:val="-3"/>
          <w:lang w:val="fr-FR"/>
        </w:rPr>
        <w:t>ont pas besoin d</w:t>
      </w:r>
      <w:r>
        <w:rPr>
          <w:rFonts w:eastAsia="Cambria" w:cs="Arial"/>
          <w:bCs/>
          <w:spacing w:val="-3"/>
          <w:lang w:val="fr-FR"/>
        </w:rPr>
        <w:t>’</w:t>
      </w:r>
      <w:r w:rsidRPr="006603D6">
        <w:rPr>
          <w:rFonts w:eastAsia="Cambria" w:cs="Arial"/>
          <w:bCs/>
          <w:spacing w:val="-3"/>
          <w:lang w:val="fr-FR"/>
        </w:rPr>
        <w:t>être incluses dans l</w:t>
      </w:r>
      <w:r>
        <w:rPr>
          <w:rFonts w:eastAsia="Cambria" w:cs="Arial"/>
          <w:bCs/>
          <w:spacing w:val="-3"/>
          <w:lang w:val="fr-FR"/>
        </w:rPr>
        <w:t>’</w:t>
      </w:r>
      <w:r w:rsidRPr="006603D6">
        <w:rPr>
          <w:rFonts w:eastAsia="Cambria" w:cs="Arial"/>
          <w:bCs/>
          <w:spacing w:val="-3"/>
          <w:lang w:val="fr-FR"/>
        </w:rPr>
        <w:t>essai en culture (elles sont considérées comme “</w:t>
      </w:r>
      <w:r>
        <w:rPr>
          <w:rFonts w:eastAsia="Cambria" w:cs="Arial"/>
          <w:bCs/>
          <w:spacing w:val="-3"/>
          <w:lang w:val="fr-FR"/>
        </w:rPr>
        <w:t>super distinctes</w:t>
      </w:r>
      <w:r w:rsidRPr="006603D6">
        <w:rPr>
          <w:rFonts w:eastAsia="Cambria" w:cs="Arial"/>
          <w:bCs/>
          <w:spacing w:val="-3"/>
          <w:lang w:val="fr-FR"/>
        </w:rPr>
        <w:t>”).</w:t>
      </w:r>
    </w:p>
    <w:p w14:paraId="4FC0EDFD" w14:textId="77777777" w:rsidR="00445126" w:rsidRPr="006603D6" w:rsidRDefault="00445126" w:rsidP="00445126">
      <w:pPr>
        <w:rPr>
          <w:rFonts w:eastAsia="Cambria" w:cs="Arial"/>
          <w:bCs/>
          <w:spacing w:val="-3"/>
          <w:lang w:val="fr-FR"/>
        </w:rPr>
      </w:pPr>
    </w:p>
    <w:p w14:paraId="3776DE06" w14:textId="77777777" w:rsidR="00445126" w:rsidRDefault="00445126" w:rsidP="00445126">
      <w:pPr>
        <w:rPr>
          <w:rFonts w:eastAsia="Cambria" w:cs="Arial"/>
          <w:bCs/>
          <w:spacing w:val="-3"/>
          <w:lang w:val="fr-FR"/>
        </w:rPr>
      </w:pPr>
      <w:r w:rsidRPr="006603D6">
        <w:rPr>
          <w:rFonts w:eastAsia="Cambria" w:cs="Arial"/>
          <w:bCs/>
          <w:spacing w:val="-3"/>
          <w:lang w:val="fr-FR"/>
        </w:rPr>
        <w:t xml:space="preserve">Ce modèle est régulièrement appliqué par les </w:t>
      </w:r>
      <w:r>
        <w:rPr>
          <w:rFonts w:eastAsia="Cambria" w:cs="Arial"/>
          <w:bCs/>
          <w:spacing w:val="-3"/>
          <w:lang w:val="fr-FR"/>
        </w:rPr>
        <w:t>servi</w:t>
      </w:r>
      <w:r w:rsidRPr="006603D6">
        <w:rPr>
          <w:rFonts w:eastAsia="Cambria" w:cs="Arial"/>
          <w:bCs/>
          <w:spacing w:val="-3"/>
          <w:lang w:val="fr-FR"/>
        </w:rPr>
        <w:t>ces d</w:t>
      </w:r>
      <w:r>
        <w:rPr>
          <w:rFonts w:eastAsia="Cambria" w:cs="Arial"/>
          <w:bCs/>
          <w:spacing w:val="-3"/>
          <w:lang w:val="fr-FR"/>
        </w:rPr>
        <w:t>’</w:t>
      </w:r>
      <w:r w:rsidRPr="006603D6">
        <w:rPr>
          <w:rFonts w:eastAsia="Cambria" w:cs="Arial"/>
          <w:bCs/>
          <w:spacing w:val="-3"/>
          <w:lang w:val="fr-FR"/>
        </w:rPr>
        <w:t>examen compétents pour les espèces telles que le maïs, la laitue, le blé et l</w:t>
      </w:r>
      <w:r>
        <w:rPr>
          <w:rFonts w:eastAsia="Cambria" w:cs="Arial"/>
          <w:bCs/>
          <w:spacing w:val="-3"/>
          <w:lang w:val="fr-FR"/>
        </w:rPr>
        <w:t>’</w:t>
      </w:r>
      <w:r w:rsidRPr="006603D6">
        <w:rPr>
          <w:rFonts w:eastAsia="Cambria" w:cs="Arial"/>
          <w:bCs/>
          <w:spacing w:val="-3"/>
          <w:lang w:val="fr-FR"/>
        </w:rPr>
        <w:t>orge et fait actuellement l</w:t>
      </w:r>
      <w:r>
        <w:rPr>
          <w:rFonts w:eastAsia="Cambria" w:cs="Arial"/>
          <w:bCs/>
          <w:spacing w:val="-3"/>
          <w:lang w:val="fr-FR"/>
        </w:rPr>
        <w:t>’</w:t>
      </w:r>
      <w:r w:rsidRPr="006603D6">
        <w:rPr>
          <w:rFonts w:eastAsia="Cambria" w:cs="Arial"/>
          <w:bCs/>
          <w:spacing w:val="-3"/>
          <w:lang w:val="fr-FR"/>
        </w:rPr>
        <w:t>objet de tests pour le colza oléagineux dans le cadre de projets de recherche</w:t>
      </w:r>
      <w:r>
        <w:rPr>
          <w:rFonts w:eastAsia="Cambria" w:cs="Arial"/>
          <w:bCs/>
          <w:spacing w:val="-3"/>
          <w:lang w:val="fr-FR"/>
        </w:rPr>
        <w:noBreakHyphen/>
      </w:r>
      <w:r w:rsidRPr="006603D6">
        <w:rPr>
          <w:rFonts w:eastAsia="Cambria" w:cs="Arial"/>
          <w:bCs/>
          <w:spacing w:val="-3"/>
          <w:lang w:val="fr-FR"/>
        </w:rPr>
        <w:t>développement cofinancés par l</w:t>
      </w:r>
      <w:r>
        <w:rPr>
          <w:rFonts w:eastAsia="Cambria" w:cs="Arial"/>
          <w:bCs/>
          <w:spacing w:val="-3"/>
          <w:lang w:val="fr-FR"/>
        </w:rPr>
        <w:t>’</w:t>
      </w:r>
      <w:r w:rsidRPr="006603D6">
        <w:rPr>
          <w:rFonts w:eastAsia="Cambria" w:cs="Arial"/>
          <w:bCs/>
          <w:spacing w:val="-3"/>
          <w:lang w:val="fr-FR"/>
        </w:rPr>
        <w:t>OCVV</w:t>
      </w:r>
      <w:r>
        <w:rPr>
          <w:rFonts w:eastAsia="Cambria" w:cs="Arial"/>
          <w:bCs/>
          <w:spacing w:val="-3"/>
          <w:lang w:val="fr-FR"/>
        </w:rPr>
        <w:t>.</w:t>
      </w:r>
    </w:p>
    <w:p w14:paraId="66306139" w14:textId="77777777" w:rsidR="00445126" w:rsidRDefault="00445126" w:rsidP="00445126">
      <w:pPr>
        <w:rPr>
          <w:rFonts w:eastAsia="Cambria" w:cs="Arial"/>
          <w:bCs/>
          <w:spacing w:val="-3"/>
          <w:lang w:val="fr-FR"/>
        </w:rPr>
      </w:pPr>
    </w:p>
    <w:p w14:paraId="690EA7C3" w14:textId="77777777" w:rsidR="00445126" w:rsidRPr="00E60353" w:rsidRDefault="00445126" w:rsidP="00445126">
      <w:pPr>
        <w:ind w:left="567" w:hanging="567"/>
        <w:rPr>
          <w:rFonts w:eastAsia="Cambria"/>
          <w:lang w:val="fr-FR"/>
        </w:rPr>
      </w:pPr>
      <w:r w:rsidRPr="00E60353">
        <w:rPr>
          <w:rFonts w:eastAsia="Cambria"/>
          <w:lang w:val="fr-FR"/>
        </w:rPr>
        <w:t>2.2.2</w:t>
      </w:r>
      <w:r>
        <w:rPr>
          <w:rFonts w:eastAsia="Cambria"/>
          <w:lang w:val="fr-FR"/>
        </w:rPr>
        <w:tab/>
      </w:r>
      <w:r w:rsidRPr="00E60353">
        <w:rPr>
          <w:rFonts w:eastAsia="Cambria"/>
          <w:lang w:val="fr-FR"/>
        </w:rPr>
        <w:t>Sélection génétique de variétés voisines pour le premier cycle d</w:t>
      </w:r>
      <w:r>
        <w:rPr>
          <w:rFonts w:eastAsia="Cambria"/>
          <w:lang w:val="fr-FR"/>
        </w:rPr>
        <w:t>’</w:t>
      </w:r>
      <w:r w:rsidRPr="00E60353">
        <w:rPr>
          <w:rFonts w:eastAsia="Cambria"/>
          <w:lang w:val="fr-FR"/>
        </w:rPr>
        <w:t>essais en culture</w:t>
      </w:r>
    </w:p>
    <w:p w14:paraId="7246DECB" w14:textId="77777777" w:rsidR="00445126" w:rsidRDefault="00445126" w:rsidP="00445126">
      <w:pPr>
        <w:rPr>
          <w:rFonts w:eastAsia="Cambria"/>
          <w:lang w:val="fr-FR"/>
        </w:rPr>
      </w:pPr>
    </w:p>
    <w:p w14:paraId="23DE14B9" w14:textId="77777777" w:rsidR="00445126" w:rsidRPr="00E60353" w:rsidRDefault="00445126" w:rsidP="00445126">
      <w:pPr>
        <w:rPr>
          <w:rFonts w:eastAsia="Cambria"/>
          <w:lang w:val="fr-FR"/>
        </w:rPr>
      </w:pPr>
      <w:r w:rsidRPr="00E60353">
        <w:rPr>
          <w:rFonts w:eastAsia="Cambria"/>
          <w:lang w:val="fr-FR"/>
        </w:rPr>
        <w:t xml:space="preserve">La variété proposée est </w:t>
      </w:r>
      <w:proofErr w:type="spellStart"/>
      <w:r w:rsidRPr="00E60353">
        <w:rPr>
          <w:rFonts w:eastAsia="Cambria"/>
          <w:lang w:val="fr-FR"/>
        </w:rPr>
        <w:t>génotypée</w:t>
      </w:r>
      <w:proofErr w:type="spellEnd"/>
      <w:r w:rsidRPr="00E60353">
        <w:rPr>
          <w:rFonts w:eastAsia="Cambria"/>
          <w:lang w:val="fr-FR"/>
        </w:rPr>
        <w:t xml:space="preserve"> au moyen d</w:t>
      </w:r>
      <w:r>
        <w:rPr>
          <w:rFonts w:eastAsia="Cambria"/>
          <w:lang w:val="fr-FR"/>
        </w:rPr>
        <w:t>’</w:t>
      </w:r>
      <w:r w:rsidRPr="00E60353">
        <w:rPr>
          <w:rFonts w:eastAsia="Cambria"/>
          <w:lang w:val="fr-FR"/>
        </w:rPr>
        <w:t>une série de marqueurs et son profil est comparé aux variétés de la collection de référence</w:t>
      </w:r>
      <w:r>
        <w:rPr>
          <w:rFonts w:eastAsia="Cambria"/>
          <w:lang w:val="fr-FR"/>
        </w:rPr>
        <w:t xml:space="preserve">.  </w:t>
      </w:r>
      <w:r w:rsidRPr="00E60353">
        <w:rPr>
          <w:rFonts w:eastAsia="Cambria"/>
          <w:lang w:val="fr-FR"/>
        </w:rPr>
        <w:t>Toutes les variétés de référence présentant une similarité génétique avec la variété proposée supérieures à un pourcentage donné (p.</w:t>
      </w:r>
      <w:r>
        <w:rPr>
          <w:rFonts w:eastAsia="Cambria"/>
          <w:lang w:val="fr-FR"/>
        </w:rPr>
        <w:t> </w:t>
      </w:r>
      <w:r w:rsidRPr="00E60353">
        <w:rPr>
          <w:rFonts w:eastAsia="Cambria"/>
          <w:lang w:val="fr-FR"/>
        </w:rPr>
        <w:t>ex.</w:t>
      </w:r>
      <w:r>
        <w:rPr>
          <w:rFonts w:eastAsia="Cambria"/>
          <w:lang w:val="fr-FR"/>
        </w:rPr>
        <w:t> </w:t>
      </w:r>
      <w:r w:rsidRPr="00E60353">
        <w:rPr>
          <w:rFonts w:eastAsia="Cambria"/>
          <w:lang w:val="fr-FR"/>
        </w:rPr>
        <w:t>80%) doivent être incluses dans le premier cycle de culture, et toutes les autres doivent en être exclues.</w:t>
      </w:r>
    </w:p>
    <w:p w14:paraId="19CDC42B" w14:textId="77777777" w:rsidR="00445126" w:rsidRPr="00E60353" w:rsidRDefault="00445126" w:rsidP="00445126">
      <w:pPr>
        <w:rPr>
          <w:rFonts w:eastAsia="Cambria"/>
          <w:lang w:val="fr-FR"/>
        </w:rPr>
      </w:pPr>
    </w:p>
    <w:p w14:paraId="05EB59A0" w14:textId="77777777" w:rsidR="00445126" w:rsidRPr="00E60353" w:rsidRDefault="00445126" w:rsidP="00445126">
      <w:pPr>
        <w:rPr>
          <w:rFonts w:eastAsia="Cambria"/>
          <w:lang w:val="fr-FR"/>
        </w:rPr>
      </w:pPr>
      <w:r w:rsidRPr="00E60353">
        <w:rPr>
          <w:rFonts w:eastAsia="Cambria"/>
          <w:lang w:val="fr-FR"/>
        </w:rPr>
        <w:t>Durant le premier cycle, la variété proposée est évaluée quant à son homogénéité et décrite sur le plan morphologique conformément au protocole technique</w:t>
      </w:r>
      <w:r>
        <w:rPr>
          <w:rFonts w:eastAsia="Cambria"/>
          <w:lang w:val="fr-FR"/>
        </w:rPr>
        <w:t xml:space="preserve">.  </w:t>
      </w:r>
      <w:r w:rsidRPr="00E60353">
        <w:rPr>
          <w:rFonts w:eastAsia="Cambria"/>
          <w:lang w:val="fr-FR"/>
        </w:rPr>
        <w:t>Sa description morphologique est ensuite comparée in silico aux descriptions de toutes les autres variétés de référence.</w:t>
      </w:r>
    </w:p>
    <w:p w14:paraId="30DA04DA" w14:textId="77777777" w:rsidR="00445126" w:rsidRPr="00E60353" w:rsidRDefault="00445126" w:rsidP="00445126">
      <w:pPr>
        <w:rPr>
          <w:rFonts w:eastAsia="Cambria"/>
          <w:lang w:val="fr-FR"/>
        </w:rPr>
      </w:pPr>
    </w:p>
    <w:p w14:paraId="36F8DBBD" w14:textId="77777777" w:rsidR="00445126" w:rsidRPr="00391BC6" w:rsidRDefault="00445126" w:rsidP="00445126">
      <w:pPr>
        <w:rPr>
          <w:rFonts w:eastAsia="Cambria"/>
          <w:i/>
          <w:iCs/>
          <w:sz w:val="16"/>
          <w:szCs w:val="16"/>
          <w:lang w:val="fr-FR"/>
        </w:rPr>
      </w:pPr>
      <w:r w:rsidRPr="00391BC6">
        <w:rPr>
          <w:rFonts w:eastAsia="Cambria"/>
          <w:i/>
          <w:iCs/>
          <w:sz w:val="16"/>
          <w:szCs w:val="16"/>
          <w:lang w:val="fr-FR"/>
        </w:rPr>
        <w:t>Remarque</w:t>
      </w:r>
      <w:r>
        <w:rPr>
          <w:rFonts w:eastAsia="Cambria"/>
          <w:i/>
          <w:iCs/>
          <w:sz w:val="16"/>
          <w:szCs w:val="16"/>
          <w:lang w:val="fr-FR"/>
        </w:rPr>
        <w:t> :</w:t>
      </w:r>
      <w:r w:rsidRPr="00391BC6">
        <w:rPr>
          <w:rFonts w:eastAsia="Cambria"/>
          <w:i/>
          <w:iCs/>
          <w:sz w:val="16"/>
          <w:szCs w:val="16"/>
          <w:lang w:val="fr-FR"/>
        </w:rPr>
        <w:t xml:space="preserve"> les descriptions morphologiques des variétés de référence utilisées pour la comparaison in silico doivent reposer sur les observations faites par le service d</w:t>
      </w:r>
      <w:r>
        <w:rPr>
          <w:rFonts w:eastAsia="Cambria"/>
          <w:i/>
          <w:iCs/>
          <w:sz w:val="16"/>
          <w:szCs w:val="16"/>
          <w:lang w:val="fr-FR"/>
        </w:rPr>
        <w:t>’</w:t>
      </w:r>
      <w:r w:rsidRPr="00391BC6">
        <w:rPr>
          <w:rFonts w:eastAsia="Cambria"/>
          <w:i/>
          <w:iCs/>
          <w:sz w:val="16"/>
          <w:szCs w:val="16"/>
          <w:lang w:val="fr-FR"/>
        </w:rPr>
        <w:t>examen (descriptions des variétés en interne)</w:t>
      </w:r>
      <w:r>
        <w:rPr>
          <w:rFonts w:eastAsia="Cambria"/>
          <w:i/>
          <w:iCs/>
          <w:sz w:val="16"/>
          <w:szCs w:val="16"/>
          <w:lang w:val="fr-FR"/>
        </w:rPr>
        <w:t xml:space="preserve">.  </w:t>
      </w:r>
      <w:r w:rsidRPr="00391BC6">
        <w:rPr>
          <w:rFonts w:eastAsia="Cambria"/>
          <w:i/>
          <w:iCs/>
          <w:sz w:val="16"/>
          <w:szCs w:val="16"/>
          <w:lang w:val="fr-FR"/>
        </w:rPr>
        <w:t>Si les descriptions des variétés utilisées ne sont pas faites en interne, elles ne peuvent être utilisées que si les échelles de notation ont été harmonisées entre les services d</w:t>
      </w:r>
      <w:r>
        <w:rPr>
          <w:rFonts w:eastAsia="Cambria"/>
          <w:i/>
          <w:iCs/>
          <w:sz w:val="16"/>
          <w:szCs w:val="16"/>
          <w:lang w:val="fr-FR"/>
        </w:rPr>
        <w:t>’</w:t>
      </w:r>
      <w:r w:rsidRPr="00391BC6">
        <w:rPr>
          <w:rFonts w:eastAsia="Cambria"/>
          <w:i/>
          <w:iCs/>
          <w:sz w:val="16"/>
          <w:szCs w:val="16"/>
          <w:lang w:val="fr-FR"/>
        </w:rPr>
        <w:t>examen qui les produisent et les utilisent (grâce à des tests d</w:t>
      </w:r>
      <w:r>
        <w:rPr>
          <w:rFonts w:eastAsia="Cambria"/>
          <w:i/>
          <w:iCs/>
          <w:sz w:val="16"/>
          <w:szCs w:val="16"/>
          <w:lang w:val="fr-FR"/>
        </w:rPr>
        <w:t>’</w:t>
      </w:r>
      <w:r w:rsidRPr="00391BC6">
        <w:rPr>
          <w:rFonts w:eastAsia="Cambria"/>
          <w:i/>
          <w:iCs/>
          <w:sz w:val="16"/>
          <w:szCs w:val="16"/>
          <w:lang w:val="fr-FR"/>
        </w:rPr>
        <w:t>étalonnage par exemple).</w:t>
      </w:r>
    </w:p>
    <w:p w14:paraId="0412B283" w14:textId="77777777" w:rsidR="00445126" w:rsidRPr="00E60353" w:rsidRDefault="00445126" w:rsidP="00445126">
      <w:pPr>
        <w:rPr>
          <w:rFonts w:eastAsia="Cambria"/>
          <w:lang w:val="fr-FR"/>
        </w:rPr>
      </w:pPr>
    </w:p>
    <w:p w14:paraId="5C56FEB1" w14:textId="77777777" w:rsidR="00445126" w:rsidRPr="00E60353" w:rsidRDefault="00445126" w:rsidP="00445126">
      <w:pPr>
        <w:rPr>
          <w:rFonts w:eastAsia="Cambria"/>
          <w:lang w:val="fr-FR"/>
        </w:rPr>
      </w:pPr>
      <w:r w:rsidRPr="00E60353">
        <w:rPr>
          <w:rFonts w:eastAsia="Cambria"/>
          <w:lang w:val="fr-FR"/>
        </w:rPr>
        <w:t>Les variétés de référence identifiées comme étant morphologiquement voisines de la variété candidate seront incluses pour comparaison dans un deuxième essai en culture</w:t>
      </w:r>
      <w:r>
        <w:rPr>
          <w:rFonts w:eastAsia="Cambria"/>
          <w:lang w:val="fr-FR"/>
        </w:rPr>
        <w:t xml:space="preserve">.  </w:t>
      </w:r>
      <w:r w:rsidRPr="00E60353">
        <w:rPr>
          <w:rFonts w:eastAsia="Cambria"/>
          <w:lang w:val="fr-FR"/>
        </w:rPr>
        <w:t>Si la variété se révèle nettement distincte des variétés voisines durant le premier cycle de culture et qu</w:t>
      </w:r>
      <w:r>
        <w:rPr>
          <w:rFonts w:eastAsia="Cambria"/>
          <w:lang w:val="fr-FR"/>
        </w:rPr>
        <w:t>’</w:t>
      </w:r>
      <w:r w:rsidRPr="00E60353">
        <w:rPr>
          <w:rFonts w:eastAsia="Cambria"/>
          <w:lang w:val="fr-FR"/>
        </w:rPr>
        <w:t>aucune variété voisine n</w:t>
      </w:r>
      <w:r>
        <w:rPr>
          <w:rFonts w:eastAsia="Cambria"/>
          <w:lang w:val="fr-FR"/>
        </w:rPr>
        <w:t>’</w:t>
      </w:r>
      <w:r w:rsidRPr="00E60353">
        <w:rPr>
          <w:rFonts w:eastAsia="Cambria"/>
          <w:lang w:val="fr-FR"/>
        </w:rPr>
        <w:t>est détectée sur la base de la description de la variété après le premier cycle de culture, une décision positive concernant la distinction peut être prise après un seul cycle de culture.</w:t>
      </w:r>
    </w:p>
    <w:p w14:paraId="1075A17F" w14:textId="77777777" w:rsidR="00445126" w:rsidRPr="00E60353" w:rsidRDefault="00445126" w:rsidP="00445126">
      <w:pPr>
        <w:rPr>
          <w:rFonts w:eastAsia="Cambria"/>
          <w:lang w:val="fr-FR"/>
        </w:rPr>
      </w:pPr>
    </w:p>
    <w:p w14:paraId="0BC14CC6" w14:textId="77777777" w:rsidR="00445126" w:rsidRPr="00E60353" w:rsidRDefault="00445126" w:rsidP="00445126">
      <w:pPr>
        <w:rPr>
          <w:rFonts w:eastAsia="Cambria"/>
          <w:lang w:val="fr-FR"/>
        </w:rPr>
      </w:pPr>
      <w:r w:rsidRPr="00E60353">
        <w:rPr>
          <w:rFonts w:eastAsia="Cambria"/>
          <w:lang w:val="fr-FR"/>
        </w:rPr>
        <w:t>Ce modèle est appliqué par certains services d</w:t>
      </w:r>
      <w:r>
        <w:rPr>
          <w:rFonts w:eastAsia="Cambria"/>
          <w:lang w:val="fr-FR"/>
        </w:rPr>
        <w:t>’</w:t>
      </w:r>
      <w:r w:rsidRPr="00E60353">
        <w:rPr>
          <w:rFonts w:eastAsia="Cambria"/>
          <w:lang w:val="fr-FR"/>
        </w:rPr>
        <w:t>examen compétents pour des espèces comme le haricot et la pomme de terre</w:t>
      </w:r>
      <w:r>
        <w:rPr>
          <w:rFonts w:eastAsia="Cambria"/>
          <w:lang w:val="fr-FR"/>
        </w:rPr>
        <w:t xml:space="preserve">.  </w:t>
      </w:r>
      <w:r w:rsidRPr="00E60353">
        <w:rPr>
          <w:rFonts w:eastAsia="Cambria"/>
          <w:lang w:val="fr-FR"/>
        </w:rPr>
        <w:t>Il est actuellement à l</w:t>
      </w:r>
      <w:r>
        <w:rPr>
          <w:rFonts w:eastAsia="Cambria"/>
          <w:lang w:val="fr-FR"/>
        </w:rPr>
        <w:t>’</w:t>
      </w:r>
      <w:r w:rsidRPr="00E60353">
        <w:rPr>
          <w:rFonts w:eastAsia="Cambria"/>
          <w:lang w:val="fr-FR"/>
        </w:rPr>
        <w:t>essai pour le blé dur et sera étudié pour la tomate et le chanvre dans le cadre de projets de recherche</w:t>
      </w:r>
      <w:r>
        <w:rPr>
          <w:rFonts w:eastAsia="Cambria"/>
          <w:lang w:val="fr-FR"/>
        </w:rPr>
        <w:noBreakHyphen/>
      </w:r>
      <w:r w:rsidRPr="00E60353">
        <w:rPr>
          <w:rFonts w:eastAsia="Cambria"/>
          <w:lang w:val="fr-FR"/>
        </w:rPr>
        <w:t>développement cofinancés par l</w:t>
      </w:r>
      <w:r>
        <w:rPr>
          <w:rFonts w:eastAsia="Cambria"/>
          <w:lang w:val="fr-FR"/>
        </w:rPr>
        <w:t>’</w:t>
      </w:r>
      <w:r w:rsidRPr="00E60353">
        <w:rPr>
          <w:rFonts w:eastAsia="Cambria"/>
          <w:lang w:val="fr-FR"/>
        </w:rPr>
        <w:t>OCVV.</w:t>
      </w:r>
    </w:p>
    <w:p w14:paraId="11AAEDEC" w14:textId="77777777" w:rsidR="00445126" w:rsidRPr="00E60353" w:rsidRDefault="00445126" w:rsidP="00445126">
      <w:pPr>
        <w:rPr>
          <w:rFonts w:eastAsia="Cambria"/>
          <w:lang w:val="fr-FR"/>
        </w:rPr>
      </w:pPr>
    </w:p>
    <w:p w14:paraId="65762DBB" w14:textId="77777777" w:rsidR="00445126" w:rsidRDefault="00445126" w:rsidP="00445126">
      <w:pPr>
        <w:rPr>
          <w:rFonts w:eastAsia="Cambria"/>
          <w:lang w:val="fr-FR"/>
        </w:rPr>
      </w:pPr>
      <w:r w:rsidRPr="00E60353">
        <w:rPr>
          <w:rFonts w:eastAsia="Cambria"/>
          <w:lang w:val="fr-FR"/>
        </w:rPr>
        <w:t xml:space="preserve">Les méthodes sont évaluées par des groupes de </w:t>
      </w:r>
      <w:proofErr w:type="spellStart"/>
      <w:r w:rsidRPr="00E60353">
        <w:rPr>
          <w:rFonts w:eastAsia="Cambria"/>
          <w:lang w:val="fr-FR"/>
        </w:rPr>
        <w:t>phytotechniciens</w:t>
      </w:r>
      <w:proofErr w:type="spellEnd"/>
      <w:r w:rsidRPr="00E60353">
        <w:rPr>
          <w:rFonts w:eastAsia="Cambria"/>
          <w:lang w:val="fr-FR"/>
        </w:rPr>
        <w:t xml:space="preserve"> de l</w:t>
      </w:r>
      <w:r>
        <w:rPr>
          <w:rFonts w:eastAsia="Cambria"/>
          <w:lang w:val="fr-FR"/>
        </w:rPr>
        <w:t>’</w:t>
      </w:r>
      <w:r w:rsidRPr="00E60353">
        <w:rPr>
          <w:rFonts w:eastAsia="Cambria"/>
          <w:lang w:val="fr-FR"/>
        </w:rPr>
        <w:t>OCVV.</w:t>
      </w:r>
    </w:p>
    <w:p w14:paraId="01C54537" w14:textId="77777777" w:rsidR="00445126" w:rsidRPr="00E60353" w:rsidRDefault="00445126" w:rsidP="00445126">
      <w:pPr>
        <w:rPr>
          <w:rFonts w:eastAsia="Cambria"/>
          <w:lang w:val="fr-FR"/>
        </w:rPr>
      </w:pPr>
    </w:p>
    <w:p w14:paraId="07FD0023" w14:textId="77777777" w:rsidR="00445126" w:rsidRPr="00E60353" w:rsidRDefault="00445126" w:rsidP="00445126">
      <w:pPr>
        <w:rPr>
          <w:rFonts w:eastAsia="Cambria"/>
          <w:lang w:val="fr-FR"/>
        </w:rPr>
      </w:pPr>
      <w:r w:rsidRPr="00E60353">
        <w:rPr>
          <w:rFonts w:eastAsia="Cambria"/>
          <w:lang w:val="fr-FR"/>
        </w:rPr>
        <w:t>2.3</w:t>
      </w:r>
      <w:r w:rsidRPr="00E60353">
        <w:rPr>
          <w:rFonts w:eastAsia="Cambria"/>
          <w:lang w:val="fr-FR"/>
        </w:rPr>
        <w:tab/>
        <w:t>Autres utilisations</w:t>
      </w:r>
    </w:p>
    <w:p w14:paraId="0FFAF831" w14:textId="77777777" w:rsidR="00445126" w:rsidRPr="00E60353" w:rsidRDefault="00445126" w:rsidP="00445126">
      <w:pPr>
        <w:rPr>
          <w:rFonts w:eastAsia="Cambria"/>
          <w:lang w:val="fr-FR"/>
        </w:rPr>
      </w:pPr>
    </w:p>
    <w:p w14:paraId="2A10201F" w14:textId="77777777" w:rsidR="00445126" w:rsidRDefault="00445126" w:rsidP="00445126">
      <w:pPr>
        <w:rPr>
          <w:rFonts w:eastAsia="Cambria"/>
          <w:lang w:val="fr-FR"/>
        </w:rPr>
      </w:pPr>
      <w:r w:rsidRPr="00E60353">
        <w:rPr>
          <w:rFonts w:eastAsia="Cambria"/>
          <w:lang w:val="fr-FR"/>
        </w:rPr>
        <w:t>2.3.1.</w:t>
      </w:r>
      <w:r w:rsidRPr="00E60353">
        <w:rPr>
          <w:rFonts w:eastAsia="Cambria"/>
          <w:lang w:val="fr-FR"/>
        </w:rPr>
        <w:tab/>
        <w:t>Identification en faveur de la conservation des collections de variétés</w:t>
      </w:r>
    </w:p>
    <w:p w14:paraId="47AD15EC" w14:textId="77777777" w:rsidR="00445126" w:rsidRPr="00E60353" w:rsidRDefault="00445126" w:rsidP="00445126">
      <w:pPr>
        <w:rPr>
          <w:rFonts w:eastAsia="Cambria"/>
          <w:lang w:val="fr-FR"/>
        </w:rPr>
      </w:pPr>
    </w:p>
    <w:p w14:paraId="562ED9F5" w14:textId="77777777" w:rsidR="00445126" w:rsidRPr="00E60353" w:rsidRDefault="00445126" w:rsidP="00445126">
      <w:pPr>
        <w:rPr>
          <w:rFonts w:eastAsia="Cambria"/>
          <w:lang w:val="fr-FR"/>
        </w:rPr>
      </w:pPr>
      <w:r w:rsidRPr="00E60353">
        <w:rPr>
          <w:rFonts w:eastAsia="Cambria"/>
          <w:lang w:val="fr-FR"/>
        </w:rPr>
        <w:t>Tous les marqueurs moléculaires utilisés dans les exemples cités précédemment peuvent être utilisés à des fins d</w:t>
      </w:r>
      <w:r>
        <w:rPr>
          <w:rFonts w:eastAsia="Cambria"/>
          <w:lang w:val="fr-FR"/>
        </w:rPr>
        <w:t>’</w:t>
      </w:r>
      <w:r w:rsidRPr="00E60353">
        <w:rPr>
          <w:rFonts w:eastAsia="Cambria"/>
          <w:lang w:val="fr-FR"/>
        </w:rPr>
        <w:t>identification en faveur de la conservation des collections de référence.</w:t>
      </w:r>
    </w:p>
    <w:p w14:paraId="5E6C7EA5" w14:textId="77777777" w:rsidR="00445126" w:rsidRPr="00E60353" w:rsidRDefault="00445126" w:rsidP="00445126">
      <w:pPr>
        <w:rPr>
          <w:rFonts w:eastAsia="Cambria"/>
          <w:lang w:val="fr-FR"/>
        </w:rPr>
      </w:pPr>
    </w:p>
    <w:p w14:paraId="03435656" w14:textId="77777777" w:rsidR="00445126" w:rsidRDefault="00445126" w:rsidP="00445126">
      <w:pPr>
        <w:rPr>
          <w:rFonts w:eastAsia="Cambria"/>
          <w:lang w:val="fr-FR"/>
        </w:rPr>
      </w:pPr>
      <w:r w:rsidRPr="00E60353">
        <w:rPr>
          <w:rFonts w:eastAsia="Cambria"/>
          <w:lang w:val="fr-FR"/>
        </w:rPr>
        <w:t>En outre, d</w:t>
      </w:r>
      <w:r>
        <w:rPr>
          <w:rFonts w:eastAsia="Cambria"/>
          <w:lang w:val="fr-FR"/>
        </w:rPr>
        <w:t>’</w:t>
      </w:r>
      <w:r w:rsidRPr="00E60353">
        <w:rPr>
          <w:rFonts w:eastAsia="Cambria"/>
          <w:lang w:val="fr-FR"/>
        </w:rPr>
        <w:t>autres séries de marqueurs peuvent également être utilisées à des fins d</w:t>
      </w:r>
      <w:r>
        <w:rPr>
          <w:rFonts w:eastAsia="Cambria"/>
          <w:lang w:val="fr-FR"/>
        </w:rPr>
        <w:t>’</w:t>
      </w:r>
      <w:r w:rsidRPr="00E60353">
        <w:rPr>
          <w:rFonts w:eastAsia="Cambria"/>
          <w:lang w:val="fr-FR"/>
        </w:rPr>
        <w:t>identification par certains services d</w:t>
      </w:r>
      <w:r>
        <w:rPr>
          <w:rFonts w:eastAsia="Cambria"/>
          <w:lang w:val="fr-FR"/>
        </w:rPr>
        <w:t>’</w:t>
      </w:r>
      <w:r w:rsidRPr="00E60353">
        <w:rPr>
          <w:rFonts w:eastAsia="Cambria"/>
          <w:lang w:val="fr-FR"/>
        </w:rPr>
        <w:t xml:space="preserve">examen compétents pour des espèces telles que le rosier, le cerisier, le pêcher, la vigne, le citrus… </w:t>
      </w:r>
      <w:r>
        <w:rPr>
          <w:rFonts w:eastAsia="Cambria"/>
          <w:lang w:val="fr-FR"/>
        </w:rPr>
        <w:t xml:space="preserve"> </w:t>
      </w:r>
      <w:r w:rsidRPr="00E60353">
        <w:rPr>
          <w:rFonts w:eastAsia="Cambria"/>
          <w:lang w:val="fr-FR"/>
        </w:rPr>
        <w:t>Ces séries peuvent être harmonisées ou pas entre les services d</w:t>
      </w:r>
      <w:r>
        <w:rPr>
          <w:rFonts w:eastAsia="Cambria"/>
          <w:lang w:val="fr-FR"/>
        </w:rPr>
        <w:t>’</w:t>
      </w:r>
      <w:r w:rsidRPr="00E60353">
        <w:rPr>
          <w:rFonts w:eastAsia="Cambria"/>
          <w:lang w:val="fr-FR"/>
        </w:rPr>
        <w:t>examen (comme pour la pomme de terre, grâce à des projets soutenus par l</w:t>
      </w:r>
      <w:r>
        <w:rPr>
          <w:rFonts w:eastAsia="Cambria"/>
          <w:lang w:val="fr-FR"/>
        </w:rPr>
        <w:t>’</w:t>
      </w:r>
      <w:r w:rsidRPr="00E60353">
        <w:rPr>
          <w:rFonts w:eastAsia="Cambria"/>
          <w:lang w:val="fr-FR"/>
        </w:rPr>
        <w:t>OCVV).</w:t>
      </w:r>
    </w:p>
    <w:p w14:paraId="4953E547" w14:textId="77777777" w:rsidR="00445126" w:rsidRPr="00E60353" w:rsidRDefault="00445126" w:rsidP="00445126">
      <w:pPr>
        <w:rPr>
          <w:rFonts w:eastAsia="Cambria"/>
          <w:lang w:val="fr-FR"/>
        </w:rPr>
      </w:pPr>
    </w:p>
    <w:p w14:paraId="328FABF0" w14:textId="77777777" w:rsidR="00445126" w:rsidRPr="00E60353" w:rsidRDefault="00445126" w:rsidP="00445126">
      <w:pPr>
        <w:rPr>
          <w:rFonts w:eastAsia="Cambria"/>
          <w:lang w:val="fr-FR"/>
        </w:rPr>
      </w:pPr>
      <w:r w:rsidRPr="00E60353">
        <w:rPr>
          <w:rFonts w:eastAsia="Cambria"/>
          <w:lang w:val="fr-FR"/>
        </w:rPr>
        <w:t>2.3.2</w:t>
      </w:r>
      <w:r w:rsidRPr="00E60353">
        <w:rPr>
          <w:rFonts w:eastAsia="Cambria"/>
          <w:lang w:val="fr-FR"/>
        </w:rPr>
        <w:tab/>
        <w:t>Détection des organismes génétiquement modifiés (OGM) (au sens de la directive</w:t>
      </w:r>
      <w:r>
        <w:rPr>
          <w:rFonts w:eastAsia="Cambria"/>
          <w:lang w:val="fr-FR"/>
        </w:rPr>
        <w:t> </w:t>
      </w:r>
      <w:r w:rsidRPr="00E60353">
        <w:rPr>
          <w:rFonts w:eastAsia="Cambria"/>
          <w:lang w:val="fr-FR"/>
        </w:rPr>
        <w:t>2001/18/CE)</w:t>
      </w:r>
    </w:p>
    <w:p w14:paraId="4CC3EA2F" w14:textId="77777777" w:rsidR="00445126" w:rsidRDefault="00445126" w:rsidP="00445126">
      <w:pPr>
        <w:rPr>
          <w:rFonts w:eastAsia="Cambria"/>
          <w:lang w:val="fr-FR"/>
        </w:rPr>
      </w:pPr>
    </w:p>
    <w:p w14:paraId="12FBD84E" w14:textId="77777777" w:rsidR="00445126" w:rsidRPr="00E60353" w:rsidRDefault="00445126" w:rsidP="00445126">
      <w:pPr>
        <w:rPr>
          <w:rFonts w:eastAsia="Cambria"/>
          <w:lang w:val="fr-FR"/>
        </w:rPr>
      </w:pPr>
      <w:r w:rsidRPr="00E60353">
        <w:rPr>
          <w:rFonts w:eastAsia="Cambria"/>
          <w:lang w:val="fr-FR"/>
        </w:rPr>
        <w:t xml:space="preserve">Dans certains cas particuliers, les marqueurs sont utilisés par les </w:t>
      </w:r>
      <w:r>
        <w:rPr>
          <w:rFonts w:eastAsia="Cambria"/>
          <w:lang w:val="fr-FR"/>
        </w:rPr>
        <w:t>services</w:t>
      </w:r>
      <w:r w:rsidRPr="00E60353">
        <w:rPr>
          <w:rFonts w:eastAsia="Cambria"/>
          <w:lang w:val="fr-FR"/>
        </w:rPr>
        <w:t xml:space="preserve"> d</w:t>
      </w:r>
      <w:r>
        <w:rPr>
          <w:rFonts w:eastAsia="Cambria"/>
          <w:lang w:val="fr-FR"/>
        </w:rPr>
        <w:t>’</w:t>
      </w:r>
      <w:r w:rsidRPr="00E60353">
        <w:rPr>
          <w:rFonts w:eastAsia="Cambria"/>
          <w:lang w:val="fr-FR"/>
        </w:rPr>
        <w:t>examen pour détecter des variétés produites à l</w:t>
      </w:r>
      <w:r>
        <w:rPr>
          <w:rFonts w:eastAsia="Cambria"/>
          <w:lang w:val="fr-FR"/>
        </w:rPr>
        <w:t>’</w:t>
      </w:r>
      <w:r w:rsidRPr="00E60353">
        <w:rPr>
          <w:rFonts w:eastAsia="Cambria"/>
          <w:lang w:val="fr-FR"/>
        </w:rPr>
        <w:t>aide de techni</w:t>
      </w:r>
      <w:r>
        <w:rPr>
          <w:rFonts w:eastAsia="Cambria"/>
          <w:lang w:val="fr-FR"/>
        </w:rPr>
        <w:t>ques de transgénèse ou de mutagé</w:t>
      </w:r>
      <w:r w:rsidRPr="00E60353">
        <w:rPr>
          <w:rFonts w:eastAsia="Cambria"/>
          <w:lang w:val="fr-FR"/>
        </w:rPr>
        <w:t>nèse ciblée pour</w:t>
      </w:r>
      <w:r>
        <w:rPr>
          <w:rFonts w:eastAsia="Cambria"/>
          <w:lang w:val="fr-FR"/>
        </w:rPr>
        <w:t> :</w:t>
      </w:r>
    </w:p>
    <w:p w14:paraId="62A5E9E5" w14:textId="77777777" w:rsidR="00445126" w:rsidRPr="00E60353" w:rsidRDefault="00445126" w:rsidP="00445126">
      <w:pPr>
        <w:ind w:left="1134" w:hanging="567"/>
        <w:rPr>
          <w:rFonts w:eastAsia="Cambria"/>
          <w:lang w:val="fr-FR"/>
        </w:rPr>
      </w:pPr>
      <w:r>
        <w:rPr>
          <w:rFonts w:eastAsia="Cambria"/>
          <w:lang w:val="fr-FR"/>
        </w:rPr>
        <w:t>–</w:t>
      </w:r>
      <w:r w:rsidRPr="00E60353">
        <w:rPr>
          <w:rFonts w:eastAsia="Cambria"/>
          <w:lang w:val="fr-FR"/>
        </w:rPr>
        <w:t xml:space="preserve"> </w:t>
      </w:r>
      <w:r w:rsidRPr="00E60353">
        <w:rPr>
          <w:rFonts w:eastAsia="Cambria"/>
          <w:lang w:val="fr-FR"/>
        </w:rPr>
        <w:tab/>
        <w:t>la confirmation de la présence d</w:t>
      </w:r>
      <w:r>
        <w:rPr>
          <w:rFonts w:eastAsia="Cambria"/>
          <w:lang w:val="fr-FR"/>
        </w:rPr>
        <w:t>’</w:t>
      </w:r>
      <w:r w:rsidRPr="00E60353">
        <w:rPr>
          <w:rFonts w:eastAsia="Cambria"/>
          <w:lang w:val="fr-FR"/>
        </w:rPr>
        <w:t>une transformation génétique déclarée (insertion transgénique classique ou mutations ponctuelles déclenchées par des technologies de modification génétique).</w:t>
      </w:r>
    </w:p>
    <w:p w14:paraId="120AF3ED" w14:textId="77777777" w:rsidR="00445126" w:rsidRPr="00E60353" w:rsidRDefault="00445126" w:rsidP="00445126">
      <w:pPr>
        <w:ind w:left="1134" w:hanging="567"/>
        <w:rPr>
          <w:rFonts w:eastAsia="Cambria"/>
          <w:lang w:val="fr-FR"/>
        </w:rPr>
      </w:pPr>
      <w:r>
        <w:rPr>
          <w:rFonts w:eastAsia="Cambria"/>
          <w:lang w:val="fr-FR"/>
        </w:rPr>
        <w:t>–</w:t>
      </w:r>
      <w:r w:rsidRPr="00E60353">
        <w:rPr>
          <w:rFonts w:eastAsia="Cambria"/>
          <w:lang w:val="fr-FR"/>
        </w:rPr>
        <w:t xml:space="preserve"> </w:t>
      </w:r>
      <w:r w:rsidRPr="00E60353">
        <w:rPr>
          <w:rFonts w:eastAsia="Cambria"/>
          <w:lang w:val="fr-FR"/>
        </w:rPr>
        <w:tab/>
        <w:t>la détection de la présence accidentelle de semences génétiquement modifiées dans les lots de référence soumis.</w:t>
      </w:r>
    </w:p>
    <w:p w14:paraId="493C76A1" w14:textId="77777777" w:rsidR="00445126" w:rsidRPr="00E60353" w:rsidRDefault="00445126" w:rsidP="00445126">
      <w:pPr>
        <w:rPr>
          <w:rFonts w:eastAsia="Cambria"/>
          <w:lang w:val="fr-FR"/>
        </w:rPr>
      </w:pPr>
    </w:p>
    <w:p w14:paraId="2F9FECC9" w14:textId="77777777" w:rsidR="00445126" w:rsidRPr="00E60353" w:rsidRDefault="00445126" w:rsidP="00445126">
      <w:pPr>
        <w:rPr>
          <w:rFonts w:eastAsia="Cambria"/>
          <w:lang w:val="fr-FR"/>
        </w:rPr>
      </w:pPr>
      <w:r w:rsidRPr="00E60353">
        <w:rPr>
          <w:rFonts w:eastAsia="Cambria"/>
          <w:lang w:val="fr-FR"/>
        </w:rPr>
        <w:t>Conclusion</w:t>
      </w:r>
    </w:p>
    <w:p w14:paraId="254B9CE2" w14:textId="77777777" w:rsidR="00445126" w:rsidRPr="00E60353" w:rsidRDefault="00445126" w:rsidP="00445126">
      <w:pPr>
        <w:rPr>
          <w:rFonts w:eastAsia="Cambria"/>
          <w:lang w:val="fr-FR"/>
        </w:rPr>
      </w:pPr>
    </w:p>
    <w:p w14:paraId="60CE56FA" w14:textId="77777777" w:rsidR="00445126" w:rsidRPr="00E60353" w:rsidRDefault="00445126" w:rsidP="00445126">
      <w:pPr>
        <w:rPr>
          <w:rFonts w:eastAsia="Cambria"/>
          <w:lang w:val="fr-FR"/>
        </w:rPr>
      </w:pPr>
      <w:r w:rsidRPr="00E60353">
        <w:rPr>
          <w:rFonts w:eastAsia="Cambria"/>
          <w:lang w:val="fr-FR"/>
        </w:rPr>
        <w:t>Pour résumer, de nombreuses méthodes moléculaires sont actuellement utilisées ou en cours d</w:t>
      </w:r>
      <w:r>
        <w:rPr>
          <w:rFonts w:eastAsia="Cambria"/>
          <w:lang w:val="fr-FR"/>
        </w:rPr>
        <w:t>’</w:t>
      </w:r>
      <w:r w:rsidRPr="00E60353">
        <w:rPr>
          <w:rFonts w:eastAsia="Cambria"/>
          <w:lang w:val="fr-FR"/>
        </w:rPr>
        <w:t>élaboration par le réseau des services d</w:t>
      </w:r>
      <w:r>
        <w:rPr>
          <w:rFonts w:eastAsia="Cambria"/>
          <w:lang w:val="fr-FR"/>
        </w:rPr>
        <w:t>’</w:t>
      </w:r>
      <w:r w:rsidRPr="00E60353">
        <w:rPr>
          <w:rFonts w:eastAsia="Cambria"/>
          <w:lang w:val="fr-FR"/>
        </w:rPr>
        <w:t>examen compétents de l</w:t>
      </w:r>
      <w:r>
        <w:rPr>
          <w:rFonts w:eastAsia="Cambria"/>
          <w:lang w:val="fr-FR"/>
        </w:rPr>
        <w:t>’</w:t>
      </w:r>
      <w:r w:rsidRPr="00E60353">
        <w:rPr>
          <w:rFonts w:eastAsia="Cambria"/>
          <w:lang w:val="fr-FR"/>
        </w:rPr>
        <w:t>OCVV à l</w:t>
      </w:r>
      <w:r>
        <w:rPr>
          <w:rFonts w:eastAsia="Cambria"/>
          <w:lang w:val="fr-FR"/>
        </w:rPr>
        <w:t>’</w:t>
      </w:r>
      <w:r w:rsidRPr="00E60353">
        <w:rPr>
          <w:rFonts w:eastAsia="Cambria"/>
          <w:lang w:val="fr-FR"/>
        </w:rPr>
        <w:t>appui de l</w:t>
      </w:r>
      <w:r>
        <w:rPr>
          <w:rFonts w:eastAsia="Cambria"/>
          <w:lang w:val="fr-FR"/>
        </w:rPr>
        <w:t>’</w:t>
      </w:r>
      <w:r w:rsidRPr="00E60353">
        <w:rPr>
          <w:rFonts w:eastAsia="Cambria"/>
          <w:lang w:val="fr-FR"/>
        </w:rPr>
        <w:t>examen</w:t>
      </w:r>
      <w:r>
        <w:rPr>
          <w:rFonts w:eastAsia="Cambria"/>
          <w:lang w:val="fr-FR"/>
        </w:rPr>
        <w:t> </w:t>
      </w:r>
      <w:r w:rsidRPr="00E60353">
        <w:rPr>
          <w:rFonts w:eastAsia="Cambria"/>
          <w:lang w:val="fr-FR"/>
        </w:rPr>
        <w:t>DHS.</w:t>
      </w:r>
    </w:p>
    <w:p w14:paraId="66EB9C98" w14:textId="77777777" w:rsidR="00445126" w:rsidRPr="00E60353" w:rsidRDefault="00445126" w:rsidP="00445126">
      <w:pPr>
        <w:rPr>
          <w:rFonts w:eastAsia="Cambria"/>
          <w:lang w:val="fr-FR"/>
        </w:rPr>
      </w:pPr>
      <w:r w:rsidRPr="00E60353">
        <w:rPr>
          <w:rFonts w:eastAsia="Cambria"/>
          <w:lang w:val="fr-FR"/>
        </w:rPr>
        <w:t>Cependant, seuls deux</w:t>
      </w:r>
      <w:r>
        <w:rPr>
          <w:rFonts w:eastAsia="Cambria"/>
          <w:lang w:val="fr-FR"/>
        </w:rPr>
        <w:t> </w:t>
      </w:r>
      <w:r w:rsidRPr="00E60353">
        <w:rPr>
          <w:rFonts w:eastAsia="Cambria"/>
          <w:lang w:val="fr-FR"/>
        </w:rPr>
        <w:t>ensembles de marqueurs moléculaires propres aux caractères sont officiellement décrits dans les protocoles techniques de l</w:t>
      </w:r>
      <w:r>
        <w:rPr>
          <w:rFonts w:eastAsia="Cambria"/>
          <w:lang w:val="fr-FR"/>
        </w:rPr>
        <w:t>’</w:t>
      </w:r>
      <w:r w:rsidRPr="00E60353">
        <w:rPr>
          <w:rFonts w:eastAsia="Cambria"/>
          <w:lang w:val="fr-FR"/>
        </w:rPr>
        <w:t>OCVV sur la base d</w:t>
      </w:r>
      <w:r>
        <w:rPr>
          <w:rFonts w:eastAsia="Cambria"/>
          <w:lang w:val="fr-FR"/>
        </w:rPr>
        <w:t>’</w:t>
      </w:r>
      <w:r w:rsidRPr="00E60353">
        <w:rPr>
          <w:rFonts w:eastAsia="Cambria"/>
          <w:lang w:val="fr-FR"/>
        </w:rPr>
        <w:t>une évaluation/validation par des experts des groupes d</w:t>
      </w:r>
      <w:r>
        <w:rPr>
          <w:rFonts w:eastAsia="Cambria"/>
          <w:lang w:val="fr-FR"/>
        </w:rPr>
        <w:t>’</w:t>
      </w:r>
      <w:r w:rsidRPr="00E60353">
        <w:rPr>
          <w:rFonts w:eastAsia="Cambria"/>
          <w:lang w:val="fr-FR"/>
        </w:rPr>
        <w:t>experts de l</w:t>
      </w:r>
      <w:r>
        <w:rPr>
          <w:rFonts w:eastAsia="Cambria"/>
          <w:lang w:val="fr-FR"/>
        </w:rPr>
        <w:t>’</w:t>
      </w:r>
      <w:r w:rsidRPr="00E60353">
        <w:rPr>
          <w:rFonts w:eastAsia="Cambria"/>
          <w:lang w:val="fr-FR"/>
        </w:rPr>
        <w:t>OCVV</w:t>
      </w:r>
      <w:r>
        <w:rPr>
          <w:rFonts w:eastAsia="Cambria"/>
          <w:lang w:val="fr-FR"/>
        </w:rPr>
        <w:t xml:space="preserve">.  </w:t>
      </w:r>
      <w:r w:rsidRPr="00E60353">
        <w:rPr>
          <w:rFonts w:eastAsia="Cambria"/>
          <w:lang w:val="fr-FR"/>
        </w:rPr>
        <w:t>Ces marqueurs sont publiquement disponibles.</w:t>
      </w:r>
    </w:p>
    <w:p w14:paraId="77E36302" w14:textId="77777777" w:rsidR="00445126" w:rsidRPr="0007414F" w:rsidRDefault="00445126" w:rsidP="00445126">
      <w:pPr>
        <w:rPr>
          <w:rFonts w:eastAsia="Cambria"/>
          <w:lang w:val="fr-FR"/>
        </w:rPr>
      </w:pPr>
      <w:r w:rsidRPr="00E60353">
        <w:rPr>
          <w:rFonts w:eastAsia="Cambria"/>
          <w:lang w:val="fr-FR"/>
        </w:rPr>
        <w:t>Par conséquent, l</w:t>
      </w:r>
      <w:r>
        <w:rPr>
          <w:rFonts w:eastAsia="Cambria"/>
          <w:lang w:val="fr-FR"/>
        </w:rPr>
        <w:t>’</w:t>
      </w:r>
      <w:r w:rsidRPr="00E60353">
        <w:rPr>
          <w:rFonts w:eastAsia="Cambria"/>
          <w:lang w:val="fr-FR"/>
        </w:rPr>
        <w:t>OCVV confie à ses services d</w:t>
      </w:r>
      <w:r>
        <w:rPr>
          <w:rFonts w:eastAsia="Cambria"/>
          <w:lang w:val="fr-FR"/>
        </w:rPr>
        <w:t>’</w:t>
      </w:r>
      <w:r w:rsidRPr="00E60353">
        <w:rPr>
          <w:rFonts w:eastAsia="Cambria"/>
          <w:lang w:val="fr-FR"/>
        </w:rPr>
        <w:t>examen compétents la charge de décrire les outils moléculaires qu</w:t>
      </w:r>
      <w:r>
        <w:rPr>
          <w:rFonts w:eastAsia="Cambria"/>
          <w:lang w:val="fr-FR"/>
        </w:rPr>
        <w:t>’</w:t>
      </w:r>
      <w:r w:rsidRPr="00E60353">
        <w:rPr>
          <w:rFonts w:eastAsia="Cambria"/>
          <w:lang w:val="fr-FR"/>
        </w:rPr>
        <w:t>ils utilisent dans le respect de la politique de l</w:t>
      </w:r>
      <w:r>
        <w:rPr>
          <w:rFonts w:eastAsia="Cambria"/>
          <w:lang w:val="fr-FR"/>
        </w:rPr>
        <w:t>’</w:t>
      </w:r>
      <w:r w:rsidRPr="00E60353">
        <w:rPr>
          <w:rFonts w:eastAsia="Cambria"/>
          <w:lang w:val="fr-FR"/>
        </w:rPr>
        <w:t>OCVV pour les méthodes employées en relation avec les collections de référence de variétés.</w:t>
      </w:r>
    </w:p>
    <w:p w14:paraId="6DB31F19" w14:textId="77777777" w:rsidR="00445126" w:rsidRDefault="00445126" w:rsidP="00445126">
      <w:pPr>
        <w:jc w:val="left"/>
        <w:rPr>
          <w:rStyle w:val="PageNumber"/>
          <w:lang w:val="fr-FR"/>
        </w:rPr>
      </w:pPr>
    </w:p>
    <w:p w14:paraId="2DA95368" w14:textId="77777777" w:rsidR="00445126" w:rsidRDefault="00445126" w:rsidP="00445126">
      <w:pPr>
        <w:jc w:val="left"/>
        <w:rPr>
          <w:rStyle w:val="PageNumber"/>
          <w:lang w:val="fr-FR"/>
        </w:rPr>
      </w:pPr>
    </w:p>
    <w:p w14:paraId="76714500" w14:textId="3D9C3BA7" w:rsidR="00C327B6" w:rsidRPr="00C20545" w:rsidRDefault="007263AF" w:rsidP="00445126">
      <w:pPr>
        <w:jc w:val="right"/>
        <w:rPr>
          <w:lang w:val="fr-FR"/>
        </w:rPr>
      </w:pPr>
      <w:r w:rsidRPr="00C20545">
        <w:rPr>
          <w:lang w:val="fr-FR"/>
        </w:rPr>
        <w:t>[</w:t>
      </w:r>
      <w:r w:rsidR="00674897" w:rsidRPr="00C20545">
        <w:rPr>
          <w:lang w:val="fr-FR"/>
        </w:rPr>
        <w:t>L</w:t>
      </w:r>
      <w:r w:rsidR="00E11BEB" w:rsidRPr="00C20545">
        <w:rPr>
          <w:lang w:val="fr-FR"/>
        </w:rPr>
        <w:t>’annexe I</w:t>
      </w:r>
      <w:r w:rsidRPr="00C20545">
        <w:rPr>
          <w:lang w:val="fr-FR"/>
        </w:rPr>
        <w:t xml:space="preserve">I </w:t>
      </w:r>
      <w:r w:rsidR="00674897" w:rsidRPr="00C20545">
        <w:rPr>
          <w:lang w:val="fr-FR"/>
        </w:rPr>
        <w:t>suit</w:t>
      </w:r>
      <w:r w:rsidR="00C327B6" w:rsidRPr="00C20545">
        <w:rPr>
          <w:lang w:val="fr-FR"/>
        </w:rPr>
        <w:t>]</w:t>
      </w:r>
    </w:p>
    <w:p w14:paraId="72710AC1" w14:textId="77777777" w:rsidR="007263AF" w:rsidRPr="00C20545" w:rsidRDefault="007263AF" w:rsidP="00C327B6">
      <w:pPr>
        <w:jc w:val="right"/>
        <w:rPr>
          <w:lang w:val="fr-FR"/>
        </w:rPr>
      </w:pPr>
    </w:p>
    <w:p w14:paraId="75B694C2" w14:textId="77777777" w:rsidR="007263AF" w:rsidRPr="00C20545" w:rsidRDefault="007263AF" w:rsidP="00C327B6">
      <w:pPr>
        <w:jc w:val="right"/>
        <w:rPr>
          <w:lang w:val="fr-FR"/>
        </w:rPr>
        <w:sectPr w:rsidR="007263AF" w:rsidRPr="00C20545" w:rsidSect="0004198B">
          <w:headerReference w:type="default" r:id="rId14"/>
          <w:headerReference w:type="first" r:id="rId15"/>
          <w:pgSz w:w="11907" w:h="16840" w:code="9"/>
          <w:pgMar w:top="510" w:right="1134" w:bottom="1134" w:left="1134" w:header="510" w:footer="680" w:gutter="0"/>
          <w:pgNumType w:start="1"/>
          <w:cols w:space="720"/>
          <w:titlePg/>
        </w:sectPr>
      </w:pPr>
    </w:p>
    <w:p w14:paraId="3EE4D355" w14:textId="77777777" w:rsidR="00AF246C" w:rsidRPr="00953DCC" w:rsidRDefault="00AF246C" w:rsidP="00AF246C">
      <w:pPr>
        <w:rPr>
          <w:lang w:val="fr-FR"/>
        </w:rPr>
      </w:pPr>
      <w:r w:rsidRPr="00953DCC">
        <w:rPr>
          <w:lang w:val="fr-FR"/>
        </w:rPr>
        <w:lastRenderedPageBreak/>
        <w:t>ÉLÉMENTS POUR LE PROJET DE DOCUMENT COMMUN PRÉSENTANT LES PARTICULARITÉS DES SYSTÈMES DE L</w:t>
      </w:r>
      <w:r>
        <w:rPr>
          <w:lang w:val="fr-FR"/>
        </w:rPr>
        <w:t>’</w:t>
      </w:r>
      <w:r w:rsidRPr="00953DCC">
        <w:rPr>
          <w:lang w:val="fr-FR"/>
        </w:rPr>
        <w:t>OCDE, DE L</w:t>
      </w:r>
      <w:r>
        <w:rPr>
          <w:lang w:val="fr-FR"/>
        </w:rPr>
        <w:t>’</w:t>
      </w:r>
      <w:r w:rsidRPr="00953DCC">
        <w:rPr>
          <w:lang w:val="fr-FR"/>
        </w:rPr>
        <w:t>UPOV ET DE L</w:t>
      </w:r>
      <w:r>
        <w:rPr>
          <w:lang w:val="fr-FR"/>
        </w:rPr>
        <w:t>’</w:t>
      </w:r>
      <w:r w:rsidRPr="00953DCC">
        <w:rPr>
          <w:lang w:val="fr-FR"/>
        </w:rPr>
        <w:t>ISTA</w:t>
      </w:r>
    </w:p>
    <w:p w14:paraId="6B8C461C" w14:textId="77777777" w:rsidR="00AF246C" w:rsidRPr="00953DCC" w:rsidRDefault="00AF246C" w:rsidP="00AF246C">
      <w:pPr>
        <w:rPr>
          <w:lang w:val="fr-FR"/>
        </w:rPr>
      </w:pPr>
    </w:p>
    <w:p w14:paraId="7F6A7F07" w14:textId="30D9EF64" w:rsidR="00AF246C" w:rsidRPr="006C32CE" w:rsidRDefault="00AF246C" w:rsidP="00AF246C">
      <w:pPr>
        <w:rPr>
          <w:u w:val="single"/>
          <w:lang w:val="fr-FR"/>
        </w:rPr>
      </w:pPr>
      <w:r w:rsidRPr="006C32CE">
        <w:rPr>
          <w:u w:val="single"/>
          <w:lang w:val="fr-FR"/>
        </w:rPr>
        <w:t xml:space="preserve">Organisation de </w:t>
      </w:r>
      <w:r>
        <w:rPr>
          <w:u w:val="single"/>
          <w:lang w:val="fr-FR"/>
        </w:rPr>
        <w:t>c</w:t>
      </w:r>
      <w:r w:rsidRPr="006C32CE">
        <w:rPr>
          <w:u w:val="single"/>
          <w:lang w:val="fr-FR"/>
        </w:rPr>
        <w:t xml:space="preserve">oopération et de </w:t>
      </w:r>
      <w:r>
        <w:rPr>
          <w:u w:val="single"/>
          <w:lang w:val="fr-FR"/>
        </w:rPr>
        <w:t>d</w:t>
      </w:r>
      <w:r w:rsidRPr="006C32CE">
        <w:rPr>
          <w:u w:val="single"/>
          <w:lang w:val="fr-FR"/>
        </w:rPr>
        <w:t>éveloppement économiques (OCDE)</w:t>
      </w:r>
    </w:p>
    <w:p w14:paraId="33982E3F" w14:textId="77777777" w:rsidR="00AF246C" w:rsidRPr="00953DCC" w:rsidRDefault="00AF246C" w:rsidP="00AF246C">
      <w:pPr>
        <w:rPr>
          <w:lang w:val="fr-FR"/>
        </w:rPr>
      </w:pPr>
    </w:p>
    <w:p w14:paraId="703306B8" w14:textId="77777777" w:rsidR="00AF246C" w:rsidRPr="00953DCC" w:rsidRDefault="00AF246C" w:rsidP="00AF246C">
      <w:pPr>
        <w:spacing w:before="91"/>
        <w:rPr>
          <w:i/>
          <w:lang w:val="fr-FR"/>
        </w:rPr>
      </w:pPr>
      <w:r w:rsidRPr="00953DCC">
        <w:rPr>
          <w:i/>
          <w:lang w:val="fr-FR"/>
        </w:rPr>
        <w:t>Que sont les Systèmes des semences de l</w:t>
      </w:r>
      <w:r>
        <w:rPr>
          <w:i/>
          <w:lang w:val="fr-FR"/>
        </w:rPr>
        <w:t>’</w:t>
      </w:r>
      <w:r w:rsidRPr="00953DCC">
        <w:rPr>
          <w:i/>
          <w:lang w:val="fr-FR"/>
        </w:rPr>
        <w:t>OCDE?</w:t>
      </w:r>
    </w:p>
    <w:p w14:paraId="7095A6E5" w14:textId="77777777" w:rsidR="00AF246C" w:rsidRPr="00953DCC" w:rsidRDefault="00AF246C" w:rsidP="00AF246C">
      <w:pPr>
        <w:spacing w:before="4"/>
        <w:rPr>
          <w:b/>
          <w:lang w:val="fr-FR"/>
        </w:rPr>
      </w:pPr>
    </w:p>
    <w:p w14:paraId="38308851" w14:textId="77777777" w:rsidR="00AF246C" w:rsidRPr="00953DCC" w:rsidRDefault="00AF246C" w:rsidP="00AF246C">
      <w:pPr>
        <w:widowControl w:val="0"/>
        <w:tabs>
          <w:tab w:val="left" w:pos="1125"/>
          <w:tab w:val="left" w:pos="1126"/>
        </w:tabs>
        <w:autoSpaceDE w:val="0"/>
        <w:autoSpaceDN w:val="0"/>
        <w:spacing w:before="1"/>
        <w:ind w:right="214"/>
        <w:rPr>
          <w:rFonts w:cs="Arial"/>
          <w:lang w:val="fr-FR" w:eastAsia="en-GB" w:bidi="en-GB"/>
        </w:rPr>
      </w:pPr>
      <w:r w:rsidRPr="00953DCC">
        <w:rPr>
          <w:rFonts w:cs="Arial"/>
          <w:lang w:val="fr-FR" w:eastAsia="en-GB" w:bidi="en-GB"/>
        </w:rPr>
        <w:t>Les Systèmes de semences de l</w:t>
      </w:r>
      <w:r>
        <w:rPr>
          <w:rFonts w:cs="Arial"/>
          <w:lang w:val="fr-FR" w:eastAsia="en-GB" w:bidi="en-GB"/>
        </w:rPr>
        <w:t>’</w:t>
      </w:r>
      <w:r w:rsidRPr="00953DCC">
        <w:rPr>
          <w:rFonts w:cs="Arial"/>
          <w:lang w:val="fr-FR" w:eastAsia="en-GB" w:bidi="en-GB"/>
        </w:rPr>
        <w:t>OCDE fournissent un cadre international pour la certification des semences agricoles commercialisées</w:t>
      </w:r>
      <w:r>
        <w:rPr>
          <w:rFonts w:cs="Arial"/>
          <w:lang w:val="fr-FR" w:eastAsia="en-GB" w:bidi="en-GB"/>
        </w:rPr>
        <w:t xml:space="preserve">.  </w:t>
      </w:r>
      <w:r w:rsidRPr="00953DCC">
        <w:rPr>
          <w:rFonts w:cs="Arial"/>
          <w:lang w:val="fr-FR" w:eastAsia="en-GB" w:bidi="en-GB"/>
        </w:rPr>
        <w:t>Les programmes ont été créés en</w:t>
      </w:r>
      <w:r>
        <w:rPr>
          <w:rFonts w:cs="Arial"/>
          <w:lang w:val="fr-FR" w:eastAsia="en-GB" w:bidi="en-GB"/>
        </w:rPr>
        <w:t> </w:t>
      </w:r>
      <w:r w:rsidRPr="00953DCC">
        <w:rPr>
          <w:rFonts w:cs="Arial"/>
          <w:lang w:val="fr-FR" w:eastAsia="en-GB" w:bidi="en-GB"/>
        </w:rPr>
        <w:t>1958 en raison de plusieurs facteurs, dont un commerce des semences en forte croissance, une harmonisation de la réglementation en Europe, le développement de la production hors saison, la sélection des semences et le potentiel de production des grands pays exportateurs d</w:t>
      </w:r>
      <w:r>
        <w:rPr>
          <w:rFonts w:cs="Arial"/>
          <w:lang w:val="fr-FR" w:eastAsia="en-GB" w:bidi="en-GB"/>
        </w:rPr>
        <w:t>’</w:t>
      </w:r>
      <w:r w:rsidRPr="00953DCC">
        <w:rPr>
          <w:rFonts w:cs="Arial"/>
          <w:lang w:val="fr-FR" w:eastAsia="en-GB" w:bidi="en-GB"/>
        </w:rPr>
        <w:t>Amérique (Nord et Sud) et d</w:t>
      </w:r>
      <w:r>
        <w:rPr>
          <w:rFonts w:cs="Arial"/>
          <w:lang w:val="fr-FR" w:eastAsia="en-GB" w:bidi="en-GB"/>
        </w:rPr>
        <w:t>’</w:t>
      </w:r>
      <w:r w:rsidRPr="00953DCC">
        <w:rPr>
          <w:rFonts w:cs="Arial"/>
          <w:lang w:val="fr-FR" w:eastAsia="en-GB" w:bidi="en-GB"/>
        </w:rPr>
        <w:t>Europe et le soutien du secteur privé</w:t>
      </w:r>
      <w:r>
        <w:rPr>
          <w:rFonts w:cs="Arial"/>
          <w:lang w:val="fr-FR" w:eastAsia="en-GB" w:bidi="en-GB"/>
        </w:rPr>
        <w:t xml:space="preserve">.  </w:t>
      </w:r>
      <w:r w:rsidRPr="00953DCC">
        <w:rPr>
          <w:rFonts w:cs="Arial"/>
          <w:lang w:val="fr-FR" w:eastAsia="en-GB" w:bidi="en-GB"/>
        </w:rPr>
        <w:t>L</w:t>
      </w:r>
      <w:r>
        <w:rPr>
          <w:rFonts w:cs="Arial"/>
          <w:lang w:val="fr-FR" w:eastAsia="en-GB" w:bidi="en-GB"/>
        </w:rPr>
        <w:t>’</w:t>
      </w:r>
      <w:r w:rsidRPr="00953DCC">
        <w:rPr>
          <w:rFonts w:cs="Arial"/>
          <w:lang w:val="fr-FR" w:eastAsia="en-GB" w:bidi="en-GB"/>
        </w:rPr>
        <w:t>adhésion aux programmes est volontaire et la participation varie</w:t>
      </w:r>
      <w:r>
        <w:rPr>
          <w:rFonts w:cs="Arial"/>
          <w:lang w:val="fr-FR" w:eastAsia="en-GB" w:bidi="en-GB"/>
        </w:rPr>
        <w:t xml:space="preserve">.  </w:t>
      </w:r>
      <w:r w:rsidRPr="00953DCC">
        <w:rPr>
          <w:rFonts w:cs="Arial"/>
          <w:lang w:val="fr-FR" w:eastAsia="en-GB" w:bidi="en-GB"/>
        </w:rPr>
        <w:t>Il existe sept</w:t>
      </w:r>
      <w:r>
        <w:rPr>
          <w:rFonts w:cs="Arial"/>
          <w:lang w:val="fr-FR" w:eastAsia="en-GB" w:bidi="en-GB"/>
        </w:rPr>
        <w:t> </w:t>
      </w:r>
      <w:r w:rsidRPr="00953DCC">
        <w:rPr>
          <w:rFonts w:cs="Arial"/>
          <w:lang w:val="fr-FR" w:eastAsia="en-GB" w:bidi="en-GB"/>
        </w:rPr>
        <w:t>systèmes de semences agricoles.</w:t>
      </w:r>
    </w:p>
    <w:p w14:paraId="38EA5F45" w14:textId="77777777" w:rsidR="00AF246C" w:rsidRPr="00953DCC" w:rsidRDefault="00AF246C" w:rsidP="00AF246C">
      <w:pPr>
        <w:spacing w:before="3"/>
        <w:rPr>
          <w:rFonts w:cs="Arial"/>
          <w:lang w:val="fr-FR"/>
        </w:rPr>
      </w:pPr>
    </w:p>
    <w:p w14:paraId="1255BDB9" w14:textId="77777777" w:rsidR="00AF246C" w:rsidRPr="00953DCC" w:rsidRDefault="00AF246C" w:rsidP="00AF246C">
      <w:pPr>
        <w:rPr>
          <w:i/>
          <w:lang w:val="fr-FR"/>
        </w:rPr>
      </w:pPr>
      <w:bookmarkStart w:id="29" w:name="Participating_countries"/>
      <w:bookmarkEnd w:id="29"/>
      <w:r w:rsidRPr="00953DCC">
        <w:rPr>
          <w:i/>
          <w:lang w:val="fr-FR"/>
        </w:rPr>
        <w:t>Pays participants</w:t>
      </w:r>
    </w:p>
    <w:p w14:paraId="7E5C2C02" w14:textId="77777777" w:rsidR="00AF246C" w:rsidRPr="00953DCC" w:rsidRDefault="00AF246C" w:rsidP="00AF246C">
      <w:pPr>
        <w:spacing w:before="4"/>
        <w:rPr>
          <w:rFonts w:cs="Arial"/>
          <w:b/>
          <w:lang w:val="fr-FR"/>
        </w:rPr>
      </w:pPr>
    </w:p>
    <w:p w14:paraId="311145B5" w14:textId="77777777" w:rsidR="00AF246C" w:rsidRPr="00953DCC" w:rsidRDefault="00AF246C" w:rsidP="00AF246C">
      <w:pPr>
        <w:widowControl w:val="0"/>
        <w:tabs>
          <w:tab w:val="left" w:pos="567"/>
        </w:tabs>
        <w:autoSpaceDE w:val="0"/>
        <w:autoSpaceDN w:val="0"/>
        <w:spacing w:before="1"/>
        <w:ind w:right="216"/>
        <w:rPr>
          <w:rFonts w:cs="Arial"/>
          <w:lang w:val="fr-FR" w:eastAsia="en-GB" w:bidi="en-GB"/>
        </w:rPr>
      </w:pPr>
      <w:r w:rsidRPr="00953DCC">
        <w:rPr>
          <w:rFonts w:cs="Arial"/>
          <w:lang w:val="fr-FR" w:eastAsia="en-GB" w:bidi="en-GB"/>
        </w:rPr>
        <w:t>59 pays d</w:t>
      </w:r>
      <w:r>
        <w:rPr>
          <w:rFonts w:cs="Arial"/>
          <w:lang w:val="fr-FR" w:eastAsia="en-GB" w:bidi="en-GB"/>
        </w:rPr>
        <w:t>’</w:t>
      </w:r>
      <w:r w:rsidRPr="00953DCC">
        <w:rPr>
          <w:rFonts w:cs="Arial"/>
          <w:lang w:val="fr-FR" w:eastAsia="en-GB" w:bidi="en-GB"/>
        </w:rPr>
        <w:t>Europe, d</w:t>
      </w:r>
      <w:r>
        <w:rPr>
          <w:rFonts w:cs="Arial"/>
          <w:lang w:val="fr-FR" w:eastAsia="en-GB" w:bidi="en-GB"/>
        </w:rPr>
        <w:t>’</w:t>
      </w:r>
      <w:r w:rsidRPr="00953DCC">
        <w:rPr>
          <w:rFonts w:cs="Arial"/>
          <w:lang w:val="fr-FR" w:eastAsia="en-GB" w:bidi="en-GB"/>
        </w:rPr>
        <w:t>Amérique du Nord et du Sud, d</w:t>
      </w:r>
      <w:r>
        <w:rPr>
          <w:rFonts w:cs="Arial"/>
          <w:lang w:val="fr-FR" w:eastAsia="en-GB" w:bidi="en-GB"/>
        </w:rPr>
        <w:t>’</w:t>
      </w:r>
      <w:r w:rsidRPr="00953DCC">
        <w:rPr>
          <w:rFonts w:cs="Arial"/>
          <w:lang w:val="fr-FR" w:eastAsia="en-GB" w:bidi="en-GB"/>
        </w:rPr>
        <w:t>Afrique, du Moyen</w:t>
      </w:r>
      <w:r>
        <w:rPr>
          <w:rFonts w:cs="Arial"/>
          <w:lang w:val="fr-FR" w:eastAsia="en-GB" w:bidi="en-GB"/>
        </w:rPr>
        <w:noBreakHyphen/>
      </w:r>
      <w:r w:rsidRPr="00953DCC">
        <w:rPr>
          <w:rFonts w:cs="Arial"/>
          <w:lang w:val="fr-FR" w:eastAsia="en-GB" w:bidi="en-GB"/>
        </w:rPr>
        <w:t>Orient, d</w:t>
      </w:r>
      <w:r>
        <w:rPr>
          <w:rFonts w:cs="Arial"/>
          <w:lang w:val="fr-FR" w:eastAsia="en-GB" w:bidi="en-GB"/>
        </w:rPr>
        <w:t>’</w:t>
      </w:r>
      <w:r w:rsidRPr="00953DCC">
        <w:rPr>
          <w:rFonts w:cs="Arial"/>
          <w:lang w:val="fr-FR" w:eastAsia="en-GB" w:bidi="en-GB"/>
        </w:rPr>
        <w:t>Asie et d</w:t>
      </w:r>
      <w:r>
        <w:rPr>
          <w:rFonts w:cs="Arial"/>
          <w:lang w:val="fr-FR" w:eastAsia="en-GB" w:bidi="en-GB"/>
        </w:rPr>
        <w:t>’</w:t>
      </w:r>
      <w:r w:rsidRPr="00953DCC">
        <w:rPr>
          <w:rFonts w:cs="Arial"/>
          <w:lang w:val="fr-FR" w:eastAsia="en-GB" w:bidi="en-GB"/>
        </w:rPr>
        <w:t>Océanie participent actuellement aux Systèmes des semences de l</w:t>
      </w:r>
      <w:r>
        <w:rPr>
          <w:rFonts w:cs="Arial"/>
          <w:lang w:val="fr-FR" w:eastAsia="en-GB" w:bidi="en-GB"/>
        </w:rPr>
        <w:t>’</w:t>
      </w:r>
      <w:r w:rsidRPr="00953DCC">
        <w:rPr>
          <w:rFonts w:cs="Arial"/>
          <w:lang w:val="fr-FR" w:eastAsia="en-GB" w:bidi="en-GB"/>
        </w:rPr>
        <w:t>OCDE.</w:t>
      </w:r>
    </w:p>
    <w:p w14:paraId="7EAC09B1" w14:textId="77777777" w:rsidR="00AF246C" w:rsidRPr="00953DCC" w:rsidRDefault="00AF246C" w:rsidP="00AF246C">
      <w:pPr>
        <w:spacing w:before="5"/>
        <w:rPr>
          <w:sz w:val="21"/>
          <w:lang w:val="fr-FR"/>
        </w:rPr>
      </w:pPr>
    </w:p>
    <w:tbl>
      <w:tblPr>
        <w:tblW w:w="0" w:type="auto"/>
        <w:tblInd w:w="1418" w:type="dxa"/>
        <w:tblLayout w:type="fixed"/>
        <w:tblCellMar>
          <w:left w:w="0" w:type="dxa"/>
          <w:right w:w="0" w:type="dxa"/>
        </w:tblCellMar>
        <w:tblLook w:val="01E0" w:firstRow="1" w:lastRow="1" w:firstColumn="1" w:lastColumn="1" w:noHBand="0" w:noVBand="0"/>
      </w:tblPr>
      <w:tblGrid>
        <w:gridCol w:w="2835"/>
        <w:gridCol w:w="992"/>
        <w:gridCol w:w="2552"/>
        <w:gridCol w:w="382"/>
        <w:gridCol w:w="610"/>
      </w:tblGrid>
      <w:tr w:rsidR="00AF246C" w:rsidRPr="00953DCC" w14:paraId="6786F841" w14:textId="77777777" w:rsidTr="00A947B1">
        <w:trPr>
          <w:trHeight w:val="257"/>
        </w:trPr>
        <w:tc>
          <w:tcPr>
            <w:tcW w:w="2835" w:type="dxa"/>
            <w:tcBorders>
              <w:top w:val="single" w:sz="4" w:space="0" w:color="000000"/>
            </w:tcBorders>
            <w:shd w:val="clear" w:color="auto" w:fill="DBE5F1"/>
          </w:tcPr>
          <w:p w14:paraId="28FCBC72" w14:textId="77777777" w:rsidR="00AF246C" w:rsidRPr="00953DCC" w:rsidRDefault="00AF246C" w:rsidP="00A947B1">
            <w:pPr>
              <w:widowControl w:val="0"/>
              <w:autoSpaceDE w:val="0"/>
              <w:autoSpaceDN w:val="0"/>
              <w:spacing w:before="34" w:line="208" w:lineRule="exact"/>
              <w:jc w:val="left"/>
              <w:rPr>
                <w:rFonts w:ascii="Trebuchet MS" w:eastAsia="Trebuchet MS" w:hAnsi="Trebuchet MS" w:cs="Trebuchet MS"/>
                <w:sz w:val="18"/>
                <w:szCs w:val="22"/>
                <w:lang w:val="fr-FR" w:eastAsia="en-GB" w:bidi="en-GB"/>
              </w:rPr>
            </w:pPr>
            <w:bookmarkStart w:id="30" w:name="_Hlk86301318"/>
            <w:r w:rsidRPr="00953DCC">
              <w:rPr>
                <w:rFonts w:ascii="Trebuchet MS" w:eastAsia="Trebuchet MS" w:hAnsi="Trebuchet MS" w:cs="Trebuchet MS"/>
                <w:sz w:val="18"/>
                <w:szCs w:val="22"/>
                <w:lang w:val="fr-FR" w:eastAsia="en-GB" w:bidi="en-GB"/>
              </w:rPr>
              <w:t>ALBANIE</w:t>
            </w:r>
          </w:p>
        </w:tc>
        <w:tc>
          <w:tcPr>
            <w:tcW w:w="992" w:type="dxa"/>
            <w:tcBorders>
              <w:top w:val="single" w:sz="4" w:space="0" w:color="000000"/>
            </w:tcBorders>
          </w:tcPr>
          <w:p w14:paraId="02D61FAF" w14:textId="77777777" w:rsidR="00AF246C" w:rsidRPr="00953DCC" w:rsidRDefault="00AF246C" w:rsidP="00A947B1">
            <w:pPr>
              <w:widowControl w:val="0"/>
              <w:autoSpaceDE w:val="0"/>
              <w:autoSpaceDN w:val="0"/>
              <w:spacing w:before="34"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tcBorders>
              <w:top w:val="single" w:sz="4" w:space="0" w:color="auto"/>
            </w:tcBorders>
            <w:shd w:val="clear" w:color="auto" w:fill="DBE5F1" w:themeFill="accent1" w:themeFillTint="33"/>
          </w:tcPr>
          <w:p w14:paraId="6B8A2DE0"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KENYA</w:t>
            </w:r>
          </w:p>
        </w:tc>
        <w:tc>
          <w:tcPr>
            <w:tcW w:w="992" w:type="dxa"/>
            <w:gridSpan w:val="2"/>
            <w:tcBorders>
              <w:top w:val="single" w:sz="4" w:space="0" w:color="auto"/>
            </w:tcBorders>
          </w:tcPr>
          <w:p w14:paraId="2F0ED826"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(2)</w:t>
            </w:r>
          </w:p>
        </w:tc>
      </w:tr>
      <w:tr w:rsidR="00AF246C" w:rsidRPr="00953DCC" w14:paraId="3E75C6FB" w14:textId="77777777" w:rsidTr="00A947B1">
        <w:trPr>
          <w:trHeight w:val="265"/>
        </w:trPr>
        <w:tc>
          <w:tcPr>
            <w:tcW w:w="2835" w:type="dxa"/>
            <w:shd w:val="clear" w:color="auto" w:fill="DBE5F1"/>
          </w:tcPr>
          <w:p w14:paraId="3FEEB645"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AFRIQUE DU SUD</w:t>
            </w:r>
          </w:p>
        </w:tc>
        <w:tc>
          <w:tcPr>
            <w:tcW w:w="992" w:type="dxa"/>
          </w:tcPr>
          <w:p w14:paraId="43D35B0B"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1E589701" w14:textId="77777777" w:rsidR="00AF246C" w:rsidRPr="00953DCC" w:rsidRDefault="00AF246C" w:rsidP="00A947B1">
            <w:pPr>
              <w:jc w:val="left"/>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KIRGHIZISTAN</w:t>
            </w:r>
          </w:p>
        </w:tc>
        <w:tc>
          <w:tcPr>
            <w:tcW w:w="992" w:type="dxa"/>
            <w:gridSpan w:val="2"/>
          </w:tcPr>
          <w:p w14:paraId="47A5CB51" w14:textId="77777777" w:rsidR="00AF246C" w:rsidRPr="00953DCC" w:rsidRDefault="00AF246C" w:rsidP="00A947B1">
            <w:pPr>
              <w:jc w:val="left"/>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(2)</w:t>
            </w:r>
          </w:p>
        </w:tc>
      </w:tr>
      <w:bookmarkEnd w:id="30"/>
      <w:tr w:rsidR="00AF246C" w:rsidRPr="00953DCC" w14:paraId="51F48F94" w14:textId="77777777" w:rsidTr="00A947B1">
        <w:trPr>
          <w:trHeight w:val="265"/>
        </w:trPr>
        <w:tc>
          <w:tcPr>
            <w:tcW w:w="2835" w:type="dxa"/>
            <w:shd w:val="clear" w:color="auto" w:fill="DBE5F1"/>
          </w:tcPr>
          <w:p w14:paraId="475F5BE2"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ALLEMAGNE</w:t>
            </w:r>
          </w:p>
        </w:tc>
        <w:tc>
          <w:tcPr>
            <w:tcW w:w="992" w:type="dxa"/>
          </w:tcPr>
          <w:p w14:paraId="3054B8A1"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3D3BD5ED" w14:textId="77777777" w:rsidR="00AF246C" w:rsidRPr="00953DCC" w:rsidRDefault="00AF246C" w:rsidP="00A947B1">
            <w:pPr>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LETTONIE</w:t>
            </w:r>
          </w:p>
        </w:tc>
        <w:tc>
          <w:tcPr>
            <w:tcW w:w="992" w:type="dxa"/>
            <w:gridSpan w:val="2"/>
          </w:tcPr>
          <w:p w14:paraId="3B8AABFB" w14:textId="77777777" w:rsidR="00AF246C" w:rsidRPr="00953DCC" w:rsidRDefault="00AF246C" w:rsidP="00A947B1">
            <w:pPr>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r>
      <w:tr w:rsidR="00AF246C" w:rsidRPr="00953DCC" w14:paraId="06B0C69C" w14:textId="77777777" w:rsidTr="00A947B1">
        <w:trPr>
          <w:trHeight w:val="265"/>
        </w:trPr>
        <w:tc>
          <w:tcPr>
            <w:tcW w:w="2835" w:type="dxa"/>
            <w:shd w:val="clear" w:color="auto" w:fill="DBE5F1"/>
          </w:tcPr>
          <w:p w14:paraId="2E3500FA"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ARGENTINE</w:t>
            </w:r>
          </w:p>
        </w:tc>
        <w:tc>
          <w:tcPr>
            <w:tcW w:w="992" w:type="dxa"/>
          </w:tcPr>
          <w:p w14:paraId="427332FD"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5877E847"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LITUANIE</w:t>
            </w:r>
          </w:p>
        </w:tc>
        <w:tc>
          <w:tcPr>
            <w:tcW w:w="992" w:type="dxa"/>
            <w:gridSpan w:val="2"/>
          </w:tcPr>
          <w:p w14:paraId="0B16D9DE"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(2)</w:t>
            </w:r>
          </w:p>
        </w:tc>
      </w:tr>
      <w:tr w:rsidR="00AF246C" w:rsidRPr="00953DCC" w14:paraId="56AC9EC5" w14:textId="77777777" w:rsidTr="00A947B1">
        <w:trPr>
          <w:trHeight w:val="248"/>
        </w:trPr>
        <w:tc>
          <w:tcPr>
            <w:tcW w:w="2835" w:type="dxa"/>
            <w:shd w:val="clear" w:color="auto" w:fill="DBE5F1"/>
          </w:tcPr>
          <w:p w14:paraId="46C0018C"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AUSTRALIE</w:t>
            </w:r>
          </w:p>
        </w:tc>
        <w:tc>
          <w:tcPr>
            <w:tcW w:w="992" w:type="dxa"/>
          </w:tcPr>
          <w:p w14:paraId="4F083E83"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0A52FB97"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LUXEMBOURG</w:t>
            </w:r>
          </w:p>
        </w:tc>
        <w:tc>
          <w:tcPr>
            <w:tcW w:w="992" w:type="dxa"/>
            <w:gridSpan w:val="2"/>
          </w:tcPr>
          <w:p w14:paraId="2C8A74B9"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(1)</w:t>
            </w:r>
          </w:p>
        </w:tc>
      </w:tr>
      <w:tr w:rsidR="00AF246C" w:rsidRPr="00953DCC" w14:paraId="46698D6D" w14:textId="77777777" w:rsidTr="00A947B1">
        <w:trPr>
          <w:trHeight w:val="249"/>
        </w:trPr>
        <w:tc>
          <w:tcPr>
            <w:tcW w:w="2835" w:type="dxa"/>
            <w:shd w:val="clear" w:color="auto" w:fill="DBE5F1"/>
          </w:tcPr>
          <w:p w14:paraId="3753C2EF"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AUTRICHE</w:t>
            </w:r>
          </w:p>
        </w:tc>
        <w:tc>
          <w:tcPr>
            <w:tcW w:w="992" w:type="dxa"/>
          </w:tcPr>
          <w:p w14:paraId="236A1CB9"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38DCAD24"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MAROC</w:t>
            </w:r>
          </w:p>
        </w:tc>
        <w:tc>
          <w:tcPr>
            <w:tcW w:w="992" w:type="dxa"/>
            <w:gridSpan w:val="2"/>
          </w:tcPr>
          <w:p w14:paraId="04EAFFF2"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(2)</w:t>
            </w:r>
          </w:p>
        </w:tc>
      </w:tr>
      <w:tr w:rsidR="00AF246C" w:rsidRPr="00953DCC" w14:paraId="015E1CEC" w14:textId="77777777" w:rsidTr="00A947B1">
        <w:trPr>
          <w:trHeight w:val="249"/>
        </w:trPr>
        <w:tc>
          <w:tcPr>
            <w:tcW w:w="2835" w:type="dxa"/>
            <w:shd w:val="clear" w:color="auto" w:fill="DBE5F1"/>
          </w:tcPr>
          <w:p w14:paraId="5A63765F"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BELGIQUE</w:t>
            </w:r>
          </w:p>
        </w:tc>
        <w:tc>
          <w:tcPr>
            <w:tcW w:w="992" w:type="dxa"/>
          </w:tcPr>
          <w:p w14:paraId="34C10A4E"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6CB52C79"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MEXIQUE</w:t>
            </w:r>
          </w:p>
        </w:tc>
        <w:tc>
          <w:tcPr>
            <w:tcW w:w="992" w:type="dxa"/>
            <w:gridSpan w:val="2"/>
          </w:tcPr>
          <w:p w14:paraId="7D780B80"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(1)</w:t>
            </w:r>
          </w:p>
        </w:tc>
      </w:tr>
      <w:tr w:rsidR="00AF246C" w:rsidRPr="00953DCC" w14:paraId="5BD33F30" w14:textId="77777777" w:rsidTr="00A947B1">
        <w:trPr>
          <w:trHeight w:val="248"/>
        </w:trPr>
        <w:tc>
          <w:tcPr>
            <w:tcW w:w="2835" w:type="dxa"/>
            <w:shd w:val="clear" w:color="auto" w:fill="DBE5F1"/>
          </w:tcPr>
          <w:p w14:paraId="1288411C" w14:textId="77777777" w:rsidR="00AF246C" w:rsidRPr="00953DCC" w:rsidRDefault="00AF246C" w:rsidP="00A947B1">
            <w:pPr>
              <w:widowControl w:val="0"/>
              <w:autoSpaceDE w:val="0"/>
              <w:autoSpaceDN w:val="0"/>
              <w:spacing w:before="20"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BOLIVIE (ÉTAT PLURINATIONAL DE)</w:t>
            </w:r>
          </w:p>
        </w:tc>
        <w:tc>
          <w:tcPr>
            <w:tcW w:w="992" w:type="dxa"/>
          </w:tcPr>
          <w:p w14:paraId="10368B92" w14:textId="77777777" w:rsidR="00AF246C" w:rsidRPr="00953DCC" w:rsidRDefault="00AF246C" w:rsidP="00A947B1">
            <w:pPr>
              <w:widowControl w:val="0"/>
              <w:autoSpaceDE w:val="0"/>
              <w:autoSpaceDN w:val="0"/>
              <w:spacing w:before="20"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17950817"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MOLDOVA</w:t>
            </w:r>
          </w:p>
        </w:tc>
        <w:tc>
          <w:tcPr>
            <w:tcW w:w="992" w:type="dxa"/>
            <w:gridSpan w:val="2"/>
          </w:tcPr>
          <w:p w14:paraId="4B642459"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(2)</w:t>
            </w:r>
          </w:p>
        </w:tc>
      </w:tr>
      <w:tr w:rsidR="00AF246C" w:rsidRPr="00953DCC" w14:paraId="3CAA6C25" w14:textId="77777777" w:rsidTr="00A947B1">
        <w:trPr>
          <w:trHeight w:val="248"/>
        </w:trPr>
        <w:tc>
          <w:tcPr>
            <w:tcW w:w="2835" w:type="dxa"/>
            <w:shd w:val="clear" w:color="auto" w:fill="DBE5F1"/>
          </w:tcPr>
          <w:p w14:paraId="522BF64B"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BRÉSIL</w:t>
            </w:r>
          </w:p>
        </w:tc>
        <w:tc>
          <w:tcPr>
            <w:tcW w:w="992" w:type="dxa"/>
          </w:tcPr>
          <w:p w14:paraId="7B947DA0"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0AA44FED"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NORVÈGE</w:t>
            </w:r>
          </w:p>
        </w:tc>
        <w:tc>
          <w:tcPr>
            <w:tcW w:w="992" w:type="dxa"/>
            <w:gridSpan w:val="2"/>
          </w:tcPr>
          <w:p w14:paraId="5C9AE0AE"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(1)</w:t>
            </w:r>
          </w:p>
        </w:tc>
      </w:tr>
      <w:tr w:rsidR="00AF246C" w:rsidRPr="00953DCC" w14:paraId="21374C37" w14:textId="77777777" w:rsidTr="00A947B1">
        <w:trPr>
          <w:trHeight w:val="249"/>
        </w:trPr>
        <w:tc>
          <w:tcPr>
            <w:tcW w:w="2835" w:type="dxa"/>
            <w:shd w:val="clear" w:color="auto" w:fill="DBE5F1"/>
          </w:tcPr>
          <w:p w14:paraId="7103A7B9"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BULGARIE</w:t>
            </w:r>
          </w:p>
        </w:tc>
        <w:tc>
          <w:tcPr>
            <w:tcW w:w="992" w:type="dxa"/>
          </w:tcPr>
          <w:p w14:paraId="34464DB5"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081FE901"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NOUVELLE</w:t>
            </w:r>
            <w:r>
              <w:rPr>
                <w:rFonts w:ascii="Trebuchet MS" w:eastAsia="Trebuchet MS" w:hAnsi="Trebuchet MS" w:cs="Trebuchet MS"/>
                <w:sz w:val="18"/>
                <w:szCs w:val="22"/>
                <w:lang w:val="fr-FR" w:eastAsia="en-GB" w:bidi="en-GB"/>
              </w:rPr>
              <w:noBreakHyphen/>
            </w:r>
            <w:r w:rsidRPr="00953DCC">
              <w:rPr>
                <w:rFonts w:ascii="Trebuchet MS" w:eastAsia="Trebuchet MS" w:hAnsi="Trebuchet MS" w:cs="Trebuchet MS"/>
                <w:sz w:val="18"/>
                <w:szCs w:val="22"/>
                <w:lang w:val="fr-FR" w:eastAsia="en-GB" w:bidi="en-GB"/>
              </w:rPr>
              <w:t>ZÉLANDE</w:t>
            </w:r>
          </w:p>
        </w:tc>
        <w:tc>
          <w:tcPr>
            <w:tcW w:w="992" w:type="dxa"/>
            <w:gridSpan w:val="2"/>
          </w:tcPr>
          <w:p w14:paraId="4B3A9372"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(1)</w:t>
            </w:r>
          </w:p>
        </w:tc>
      </w:tr>
      <w:tr w:rsidR="00AF246C" w:rsidRPr="00953DCC" w14:paraId="7C9585B7" w14:textId="77777777" w:rsidTr="00A947B1">
        <w:trPr>
          <w:trHeight w:val="249"/>
        </w:trPr>
        <w:tc>
          <w:tcPr>
            <w:tcW w:w="2835" w:type="dxa"/>
            <w:shd w:val="clear" w:color="auto" w:fill="DBE5F1"/>
          </w:tcPr>
          <w:p w14:paraId="61739E9D"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CANADA</w:t>
            </w:r>
          </w:p>
        </w:tc>
        <w:tc>
          <w:tcPr>
            <w:tcW w:w="992" w:type="dxa"/>
          </w:tcPr>
          <w:p w14:paraId="2B98D590"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2145B7B3" w14:textId="77777777" w:rsidR="00AF246C" w:rsidRPr="00953DCC" w:rsidRDefault="00AF246C" w:rsidP="00A947B1">
            <w:pPr>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OUGANDA</w:t>
            </w:r>
          </w:p>
        </w:tc>
        <w:tc>
          <w:tcPr>
            <w:tcW w:w="992" w:type="dxa"/>
            <w:gridSpan w:val="2"/>
          </w:tcPr>
          <w:p w14:paraId="0AA52553" w14:textId="77777777" w:rsidR="00AF246C" w:rsidRPr="00953DCC" w:rsidRDefault="00AF246C" w:rsidP="00A947B1">
            <w:pPr>
              <w:jc w:val="left"/>
              <w:rPr>
                <w:rFonts w:ascii="Trebuchet MS" w:eastAsia="Trebuchet MS" w:hAnsi="Trebuchet MS" w:cs="Trebuchet MS"/>
                <w:sz w:val="18"/>
                <w:szCs w:val="22"/>
                <w:lang w:val="fr-FR" w:eastAsia="en-GB" w:bidi="en-GB"/>
              </w:rPr>
            </w:pPr>
            <w:r w:rsidRPr="009E0B44">
              <w:rPr>
                <w:rFonts w:ascii="Trebuchet MS" w:eastAsia="Trebuchet MS" w:hAnsi="Trebuchet MS" w:cs="Trebuchet MS"/>
                <w:sz w:val="18"/>
                <w:szCs w:val="18"/>
                <w:lang w:val="fr-FR" w:eastAsia="en-GB" w:bidi="en-GB"/>
              </w:rPr>
              <w:t>(2)</w:t>
            </w:r>
          </w:p>
        </w:tc>
      </w:tr>
      <w:tr w:rsidR="00AF246C" w:rsidRPr="00953DCC" w14:paraId="2F3917E1" w14:textId="77777777" w:rsidTr="00A947B1">
        <w:trPr>
          <w:trHeight w:val="249"/>
        </w:trPr>
        <w:tc>
          <w:tcPr>
            <w:tcW w:w="2835" w:type="dxa"/>
            <w:shd w:val="clear" w:color="auto" w:fill="DBE5F1"/>
          </w:tcPr>
          <w:p w14:paraId="0F37AFE6"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CHILI</w:t>
            </w:r>
          </w:p>
        </w:tc>
        <w:tc>
          <w:tcPr>
            <w:tcW w:w="992" w:type="dxa"/>
          </w:tcPr>
          <w:p w14:paraId="6663CC1D"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1D9A7244"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PAYS</w:t>
            </w:r>
            <w:r>
              <w:rPr>
                <w:rFonts w:ascii="Trebuchet MS" w:eastAsia="Trebuchet MS" w:hAnsi="Trebuchet MS" w:cs="Trebuchet MS"/>
                <w:sz w:val="18"/>
                <w:szCs w:val="22"/>
                <w:lang w:val="fr-FR" w:eastAsia="en-GB" w:bidi="en-GB"/>
              </w:rPr>
              <w:noBreakHyphen/>
            </w:r>
            <w:r w:rsidRPr="00953DCC">
              <w:rPr>
                <w:rFonts w:ascii="Trebuchet MS" w:eastAsia="Trebuchet MS" w:hAnsi="Trebuchet MS" w:cs="Trebuchet MS"/>
                <w:sz w:val="18"/>
                <w:szCs w:val="22"/>
                <w:lang w:val="fr-FR" w:eastAsia="en-GB" w:bidi="en-GB"/>
              </w:rPr>
              <w:t>BAS</w:t>
            </w:r>
          </w:p>
        </w:tc>
        <w:tc>
          <w:tcPr>
            <w:tcW w:w="992" w:type="dxa"/>
            <w:gridSpan w:val="2"/>
          </w:tcPr>
          <w:p w14:paraId="491E6C99"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(1)</w:t>
            </w:r>
          </w:p>
        </w:tc>
      </w:tr>
      <w:tr w:rsidR="00AF246C" w:rsidRPr="00953DCC" w14:paraId="681CC972" w14:textId="77777777" w:rsidTr="00A947B1">
        <w:trPr>
          <w:trHeight w:val="248"/>
        </w:trPr>
        <w:tc>
          <w:tcPr>
            <w:tcW w:w="2835" w:type="dxa"/>
            <w:shd w:val="clear" w:color="auto" w:fill="DBE5F1"/>
          </w:tcPr>
          <w:p w14:paraId="3C55D49A" w14:textId="77777777" w:rsidR="00AF246C" w:rsidRPr="00953DCC" w:rsidRDefault="00AF246C" w:rsidP="00A947B1">
            <w:pPr>
              <w:widowControl w:val="0"/>
              <w:autoSpaceDE w:val="0"/>
              <w:autoSpaceDN w:val="0"/>
              <w:spacing w:before="20"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CHYPRE</w:t>
            </w:r>
            <w:r w:rsidRPr="00953DCC">
              <w:rPr>
                <w:rFonts w:ascii="Trebuchet MS" w:eastAsia="Trebuchet MS" w:hAnsi="Trebuchet MS" w:cs="Trebuchet MS"/>
                <w:sz w:val="18"/>
                <w:szCs w:val="22"/>
                <w:vertAlign w:val="superscript"/>
                <w:lang w:val="fr-FR" w:eastAsia="en-GB" w:bidi="en-GB"/>
              </w:rPr>
              <w:t>1</w:t>
            </w:r>
          </w:p>
        </w:tc>
        <w:tc>
          <w:tcPr>
            <w:tcW w:w="992" w:type="dxa"/>
          </w:tcPr>
          <w:p w14:paraId="43C9E4D2" w14:textId="77777777" w:rsidR="00AF246C" w:rsidRPr="00953DCC" w:rsidRDefault="00AF246C" w:rsidP="00A947B1">
            <w:pPr>
              <w:widowControl w:val="0"/>
              <w:autoSpaceDE w:val="0"/>
              <w:autoSpaceDN w:val="0"/>
              <w:spacing w:before="20"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335C3411"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POLOGNE</w:t>
            </w:r>
          </w:p>
        </w:tc>
        <w:tc>
          <w:tcPr>
            <w:tcW w:w="992" w:type="dxa"/>
            <w:gridSpan w:val="2"/>
          </w:tcPr>
          <w:p w14:paraId="7346399A"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(1)</w:t>
            </w:r>
          </w:p>
        </w:tc>
      </w:tr>
      <w:tr w:rsidR="00AF246C" w:rsidRPr="00953DCC" w14:paraId="69C7F82D" w14:textId="77777777" w:rsidTr="00A947B1">
        <w:trPr>
          <w:trHeight w:val="260"/>
        </w:trPr>
        <w:tc>
          <w:tcPr>
            <w:tcW w:w="2835" w:type="dxa"/>
            <w:shd w:val="clear" w:color="auto" w:fill="DBE5F1"/>
          </w:tcPr>
          <w:p w14:paraId="33690809"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CROATIE</w:t>
            </w:r>
          </w:p>
        </w:tc>
        <w:tc>
          <w:tcPr>
            <w:tcW w:w="992" w:type="dxa"/>
          </w:tcPr>
          <w:p w14:paraId="5F661124"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69AC840B"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PORTUGAL</w:t>
            </w:r>
          </w:p>
        </w:tc>
        <w:tc>
          <w:tcPr>
            <w:tcW w:w="992" w:type="dxa"/>
            <w:gridSpan w:val="2"/>
          </w:tcPr>
          <w:p w14:paraId="1A527E67"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(1)</w:t>
            </w:r>
          </w:p>
        </w:tc>
      </w:tr>
      <w:tr w:rsidR="00AF246C" w:rsidRPr="00953DCC" w14:paraId="3C9A0DEC" w14:textId="77777777" w:rsidTr="00A947B1">
        <w:trPr>
          <w:trHeight w:val="283"/>
        </w:trPr>
        <w:tc>
          <w:tcPr>
            <w:tcW w:w="2835" w:type="dxa"/>
            <w:shd w:val="clear" w:color="auto" w:fill="DBE5F1"/>
          </w:tcPr>
          <w:p w14:paraId="3788D07B" w14:textId="77777777" w:rsidR="00AF246C" w:rsidRPr="00953DCC" w:rsidRDefault="00AF246C" w:rsidP="00A947B1">
            <w:pPr>
              <w:widowControl w:val="0"/>
              <w:autoSpaceDE w:val="0"/>
              <w:autoSpaceDN w:val="0"/>
              <w:spacing w:before="3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DANEMARK</w:t>
            </w:r>
          </w:p>
        </w:tc>
        <w:tc>
          <w:tcPr>
            <w:tcW w:w="992" w:type="dxa"/>
          </w:tcPr>
          <w:p w14:paraId="16B2DB5F" w14:textId="77777777" w:rsidR="00AF246C" w:rsidRPr="00953DCC" w:rsidRDefault="00AF246C" w:rsidP="00A947B1">
            <w:pPr>
              <w:widowControl w:val="0"/>
              <w:autoSpaceDE w:val="0"/>
              <w:autoSpaceDN w:val="0"/>
              <w:spacing w:before="3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6696996F"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RÉPUBLIQUE</w:t>
            </w:r>
            <w:r>
              <w:rPr>
                <w:rFonts w:ascii="Trebuchet MS" w:eastAsia="Trebuchet MS" w:hAnsi="Trebuchet MS" w:cs="Trebuchet MS"/>
                <w:sz w:val="18"/>
                <w:szCs w:val="22"/>
                <w:lang w:val="fr-FR" w:eastAsia="en-GB" w:bidi="en-GB"/>
              </w:rPr>
              <w:t> TC</w:t>
            </w:r>
            <w:r w:rsidRPr="00953DCC">
              <w:rPr>
                <w:rFonts w:ascii="Trebuchet MS" w:eastAsia="Trebuchet MS" w:hAnsi="Trebuchet MS" w:cs="Trebuchet MS"/>
                <w:sz w:val="18"/>
                <w:szCs w:val="22"/>
                <w:lang w:val="fr-FR" w:eastAsia="en-GB" w:bidi="en-GB"/>
              </w:rPr>
              <w:t>HÈQUE</w:t>
            </w:r>
          </w:p>
        </w:tc>
        <w:tc>
          <w:tcPr>
            <w:tcW w:w="992" w:type="dxa"/>
            <w:gridSpan w:val="2"/>
          </w:tcPr>
          <w:p w14:paraId="3A8933EE"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(1)</w:t>
            </w:r>
          </w:p>
        </w:tc>
      </w:tr>
      <w:tr w:rsidR="00AF246C" w:rsidRPr="00953DCC" w14:paraId="39961D04" w14:textId="77777777" w:rsidTr="00A947B1">
        <w:trPr>
          <w:trHeight w:val="272"/>
        </w:trPr>
        <w:tc>
          <w:tcPr>
            <w:tcW w:w="2835" w:type="dxa"/>
            <w:shd w:val="clear" w:color="auto" w:fill="DBE5F1"/>
          </w:tcPr>
          <w:p w14:paraId="7D14F61D" w14:textId="77777777" w:rsidR="00AF246C" w:rsidRPr="00953DCC" w:rsidRDefault="00AF246C" w:rsidP="00A947B1">
            <w:pPr>
              <w:widowControl w:val="0"/>
              <w:autoSpaceDE w:val="0"/>
              <w:autoSpaceDN w:val="0"/>
              <w:spacing w:before="32"/>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ÉGYPTE</w:t>
            </w:r>
          </w:p>
        </w:tc>
        <w:tc>
          <w:tcPr>
            <w:tcW w:w="992" w:type="dxa"/>
          </w:tcPr>
          <w:p w14:paraId="2832BF81" w14:textId="77777777" w:rsidR="00AF246C" w:rsidRPr="00953DCC" w:rsidRDefault="00AF246C" w:rsidP="00A947B1">
            <w:pPr>
              <w:widowControl w:val="0"/>
              <w:autoSpaceDE w:val="0"/>
              <w:autoSpaceDN w:val="0"/>
              <w:spacing w:before="32"/>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3DE99334"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ROUMANIE</w:t>
            </w:r>
          </w:p>
        </w:tc>
        <w:tc>
          <w:tcPr>
            <w:tcW w:w="992" w:type="dxa"/>
            <w:gridSpan w:val="2"/>
          </w:tcPr>
          <w:p w14:paraId="44C0F57A"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(2)</w:t>
            </w:r>
          </w:p>
        </w:tc>
      </w:tr>
      <w:tr w:rsidR="00AF246C" w:rsidRPr="00953DCC" w14:paraId="0D492FA3" w14:textId="77777777" w:rsidTr="00A947B1">
        <w:trPr>
          <w:trHeight w:val="272"/>
        </w:trPr>
        <w:tc>
          <w:tcPr>
            <w:tcW w:w="2835" w:type="dxa"/>
            <w:shd w:val="clear" w:color="auto" w:fill="DBE5F1"/>
          </w:tcPr>
          <w:p w14:paraId="4EE3F82C"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ESPAGNE</w:t>
            </w:r>
          </w:p>
        </w:tc>
        <w:tc>
          <w:tcPr>
            <w:tcW w:w="992" w:type="dxa"/>
          </w:tcPr>
          <w:p w14:paraId="1AB48209"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19ED42C7"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ROYAUME</w:t>
            </w:r>
            <w:r>
              <w:rPr>
                <w:rFonts w:ascii="Trebuchet MS" w:eastAsia="Trebuchet MS" w:hAnsi="Trebuchet MS" w:cs="Trebuchet MS"/>
                <w:sz w:val="18"/>
                <w:szCs w:val="22"/>
                <w:lang w:val="fr-FR" w:eastAsia="en-GB" w:bidi="en-GB"/>
              </w:rPr>
              <w:noBreakHyphen/>
            </w:r>
            <w:r w:rsidRPr="00953DCC">
              <w:rPr>
                <w:rFonts w:ascii="Trebuchet MS" w:eastAsia="Trebuchet MS" w:hAnsi="Trebuchet MS" w:cs="Trebuchet MS"/>
                <w:sz w:val="18"/>
                <w:szCs w:val="22"/>
                <w:lang w:val="fr-FR" w:eastAsia="en-GB" w:bidi="en-GB"/>
              </w:rPr>
              <w:t>UNI</w:t>
            </w:r>
          </w:p>
        </w:tc>
        <w:tc>
          <w:tcPr>
            <w:tcW w:w="992" w:type="dxa"/>
            <w:gridSpan w:val="2"/>
          </w:tcPr>
          <w:p w14:paraId="3E2785EA" w14:textId="77777777" w:rsidR="00AF246C" w:rsidRPr="00953DCC" w:rsidRDefault="00AF246C" w:rsidP="00A947B1">
            <w:pPr>
              <w:jc w:val="left"/>
              <w:rPr>
                <w:lang w:val="fr-FR"/>
              </w:rPr>
            </w:pPr>
            <w:r w:rsidRPr="009E0B44">
              <w:rPr>
                <w:rFonts w:ascii="Trebuchet MS" w:eastAsia="Trebuchet MS" w:hAnsi="Trebuchet MS" w:cs="Trebuchet MS"/>
                <w:sz w:val="18"/>
                <w:szCs w:val="18"/>
                <w:lang w:val="fr-FR" w:eastAsia="en-GB" w:bidi="en-GB"/>
              </w:rPr>
              <w:t>(1)</w:t>
            </w:r>
          </w:p>
        </w:tc>
      </w:tr>
      <w:tr w:rsidR="00AF246C" w:rsidRPr="00953DCC" w14:paraId="1F7D3628" w14:textId="77777777" w:rsidTr="00A947B1">
        <w:trPr>
          <w:trHeight w:val="272"/>
        </w:trPr>
        <w:tc>
          <w:tcPr>
            <w:tcW w:w="2835" w:type="dxa"/>
            <w:shd w:val="clear" w:color="auto" w:fill="DBE5F1"/>
          </w:tcPr>
          <w:p w14:paraId="4BB53A95"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ESTONIE</w:t>
            </w:r>
          </w:p>
        </w:tc>
        <w:tc>
          <w:tcPr>
            <w:tcW w:w="992" w:type="dxa"/>
          </w:tcPr>
          <w:p w14:paraId="02955314"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35A0DDCA"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SÉNÉGAL</w:t>
            </w:r>
          </w:p>
        </w:tc>
        <w:tc>
          <w:tcPr>
            <w:tcW w:w="992" w:type="dxa"/>
            <w:gridSpan w:val="2"/>
          </w:tcPr>
          <w:p w14:paraId="776958B6" w14:textId="77777777" w:rsidR="00AF246C" w:rsidRPr="00953DCC" w:rsidRDefault="00AF246C" w:rsidP="00A947B1">
            <w:pPr>
              <w:jc w:val="left"/>
              <w:rPr>
                <w:lang w:val="fr-FR"/>
              </w:rPr>
            </w:pPr>
            <w:r w:rsidRPr="00953DCC">
              <w:rPr>
                <w:rFonts w:ascii="Trebuchet MS" w:eastAsia="Trebuchet MS" w:hAnsi="Trebuchet MS" w:cs="Trebuchet MS"/>
                <w:sz w:val="18"/>
                <w:szCs w:val="22"/>
                <w:lang w:val="fr-FR" w:eastAsia="en-GB" w:bidi="en-GB"/>
              </w:rPr>
              <w:t>(2)</w:t>
            </w:r>
          </w:p>
        </w:tc>
      </w:tr>
      <w:tr w:rsidR="00AF246C" w:rsidRPr="00953DCC" w14:paraId="658610DA" w14:textId="77777777" w:rsidTr="00A947B1">
        <w:trPr>
          <w:gridAfter w:val="1"/>
          <w:wAfter w:w="610" w:type="dxa"/>
          <w:trHeight w:val="265"/>
        </w:trPr>
        <w:tc>
          <w:tcPr>
            <w:tcW w:w="2835" w:type="dxa"/>
            <w:shd w:val="clear" w:color="auto" w:fill="DBE5F1"/>
          </w:tcPr>
          <w:p w14:paraId="21934FB6"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ÉTATS</w:t>
            </w:r>
            <w:r>
              <w:rPr>
                <w:rFonts w:ascii="Trebuchet MS" w:eastAsia="Trebuchet MS" w:hAnsi="Trebuchet MS" w:cs="Trebuchet MS"/>
                <w:sz w:val="18"/>
                <w:szCs w:val="22"/>
                <w:lang w:val="fr-FR" w:eastAsia="en-GB" w:bidi="en-GB"/>
              </w:rPr>
              <w:noBreakHyphen/>
            </w:r>
            <w:r w:rsidRPr="00953DCC">
              <w:rPr>
                <w:rFonts w:ascii="Trebuchet MS" w:eastAsia="Trebuchet MS" w:hAnsi="Trebuchet MS" w:cs="Trebuchet MS"/>
                <w:sz w:val="18"/>
                <w:szCs w:val="22"/>
                <w:lang w:val="fr-FR" w:eastAsia="en-GB" w:bidi="en-GB"/>
              </w:rPr>
              <w:t>UNIS D</w:t>
            </w:r>
            <w:r>
              <w:rPr>
                <w:rFonts w:ascii="Trebuchet MS" w:eastAsia="Trebuchet MS" w:hAnsi="Trebuchet MS" w:cs="Trebuchet MS"/>
                <w:sz w:val="18"/>
                <w:szCs w:val="22"/>
                <w:lang w:val="fr-FR" w:eastAsia="en-GB" w:bidi="en-GB"/>
              </w:rPr>
              <w:t>’</w:t>
            </w:r>
            <w:r w:rsidRPr="00953DCC">
              <w:rPr>
                <w:rFonts w:ascii="Trebuchet MS" w:eastAsia="Trebuchet MS" w:hAnsi="Trebuchet MS" w:cs="Trebuchet MS"/>
                <w:sz w:val="18"/>
                <w:szCs w:val="22"/>
                <w:lang w:val="fr-FR" w:eastAsia="en-GB" w:bidi="en-GB"/>
              </w:rPr>
              <w:t>AMÉRIQUE</w:t>
            </w:r>
          </w:p>
        </w:tc>
        <w:tc>
          <w:tcPr>
            <w:tcW w:w="992" w:type="dxa"/>
          </w:tcPr>
          <w:p w14:paraId="2B65AEEB"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E0B44">
              <w:rPr>
                <w:rFonts w:ascii="Trebuchet MS" w:eastAsia="Trebuchet MS" w:hAnsi="Trebuchet MS" w:cs="Trebuchet MS"/>
                <w:sz w:val="18"/>
                <w:szCs w:val="18"/>
                <w:lang w:val="fr-FR" w:eastAsia="en-GB" w:bidi="en-GB"/>
              </w:rPr>
              <w:t>(1)</w:t>
            </w:r>
          </w:p>
        </w:tc>
        <w:tc>
          <w:tcPr>
            <w:tcW w:w="2552" w:type="dxa"/>
            <w:shd w:val="clear" w:color="auto" w:fill="DBE5F1" w:themeFill="accent1" w:themeFillTint="33"/>
          </w:tcPr>
          <w:p w14:paraId="76F430E1" w14:textId="77777777" w:rsidR="00AF246C" w:rsidRPr="00953DCC" w:rsidRDefault="00AF246C" w:rsidP="00A947B1">
            <w:pPr>
              <w:jc w:val="left"/>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SERBIE</w:t>
            </w:r>
          </w:p>
        </w:tc>
        <w:tc>
          <w:tcPr>
            <w:tcW w:w="382" w:type="dxa"/>
          </w:tcPr>
          <w:p w14:paraId="11041AD5" w14:textId="77777777" w:rsidR="00AF246C" w:rsidRPr="00953DCC" w:rsidRDefault="00AF246C" w:rsidP="00A947B1">
            <w:pPr>
              <w:jc w:val="left"/>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(2)</w:t>
            </w:r>
          </w:p>
        </w:tc>
      </w:tr>
    </w:tbl>
    <w:p w14:paraId="6341733B" w14:textId="77777777" w:rsidR="00AF246C" w:rsidRPr="00953DCC" w:rsidRDefault="00AF246C" w:rsidP="00AF246C">
      <w:pPr>
        <w:spacing w:before="2"/>
        <w:rPr>
          <w:sz w:val="15"/>
          <w:lang w:val="fr-FR"/>
        </w:rPr>
      </w:pPr>
    </w:p>
    <w:p w14:paraId="60EE77D2" w14:textId="77777777" w:rsidR="00AF246C" w:rsidRPr="00953DCC" w:rsidRDefault="00AF246C" w:rsidP="00AF246C">
      <w:pPr>
        <w:spacing w:before="2"/>
        <w:rPr>
          <w:sz w:val="15"/>
          <w:lang w:val="fr-FR"/>
        </w:rPr>
      </w:pPr>
    </w:p>
    <w:p w14:paraId="3777A7E1" w14:textId="77777777" w:rsidR="00AF246C" w:rsidRPr="00953DCC" w:rsidRDefault="00AF246C" w:rsidP="00AF246C">
      <w:pPr>
        <w:spacing w:before="2"/>
        <w:rPr>
          <w:sz w:val="15"/>
          <w:lang w:val="fr-FR"/>
        </w:rPr>
      </w:pPr>
    </w:p>
    <w:p w14:paraId="04702E7F" w14:textId="77777777" w:rsidR="00AF246C" w:rsidRPr="00953DCC" w:rsidRDefault="00AF246C" w:rsidP="00AF246C">
      <w:pPr>
        <w:spacing w:before="2"/>
        <w:rPr>
          <w:sz w:val="15"/>
          <w:lang w:val="fr-FR"/>
        </w:rPr>
      </w:pPr>
    </w:p>
    <w:p w14:paraId="5EB463C0" w14:textId="77777777" w:rsidR="00AF246C" w:rsidRPr="00953DCC" w:rsidRDefault="00AF246C" w:rsidP="00AF246C">
      <w:pPr>
        <w:spacing w:before="2"/>
        <w:rPr>
          <w:sz w:val="15"/>
          <w:lang w:val="fr-FR"/>
        </w:rPr>
      </w:pPr>
    </w:p>
    <w:p w14:paraId="49639DA2" w14:textId="77777777" w:rsidR="00AF246C" w:rsidRPr="00953DCC" w:rsidRDefault="00AF246C" w:rsidP="00AF246C">
      <w:pPr>
        <w:spacing w:before="2"/>
        <w:rPr>
          <w:sz w:val="15"/>
          <w:lang w:val="fr-FR"/>
        </w:rPr>
      </w:pPr>
    </w:p>
    <w:p w14:paraId="0DA32460" w14:textId="77777777" w:rsidR="00AF246C" w:rsidRPr="00953DCC" w:rsidRDefault="00AF246C" w:rsidP="00AF246C">
      <w:pPr>
        <w:spacing w:before="2"/>
        <w:rPr>
          <w:sz w:val="15"/>
          <w:lang w:val="fr-FR"/>
        </w:rPr>
      </w:pPr>
    </w:p>
    <w:p w14:paraId="46B72628" w14:textId="77777777" w:rsidR="00AF246C" w:rsidRPr="00953DCC" w:rsidRDefault="00AF246C" w:rsidP="00AF246C">
      <w:pPr>
        <w:spacing w:before="2"/>
        <w:rPr>
          <w:sz w:val="15"/>
          <w:lang w:val="fr-FR"/>
        </w:rPr>
      </w:pPr>
    </w:p>
    <w:p w14:paraId="7B3F979B" w14:textId="77777777" w:rsidR="00AF246C" w:rsidRPr="00953DCC" w:rsidRDefault="00AF246C" w:rsidP="00AF246C">
      <w:pPr>
        <w:spacing w:before="2"/>
        <w:rPr>
          <w:sz w:val="15"/>
          <w:lang w:val="fr-FR"/>
        </w:rPr>
      </w:pPr>
    </w:p>
    <w:p w14:paraId="51A815A9" w14:textId="77777777" w:rsidR="00AF246C" w:rsidRPr="00953DCC" w:rsidRDefault="00AF246C" w:rsidP="00AF246C">
      <w:pPr>
        <w:spacing w:before="2"/>
        <w:rPr>
          <w:sz w:val="15"/>
          <w:lang w:val="fr-FR"/>
        </w:rPr>
      </w:pPr>
      <w:r w:rsidRPr="00953DCC">
        <w:rPr>
          <w:noProof/>
          <w:sz w:val="22"/>
        </w:rPr>
        <mc:AlternateContent>
          <mc:Choice Requires="wps">
            <w:drawing>
              <wp:anchor distT="0" distB="0" distL="0" distR="0" simplePos="0" relativeHeight="251660288" behindDoc="1" locked="0" layoutInCell="1" allowOverlap="1" wp14:anchorId="77B28B63" wp14:editId="179A5F5C">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2D44" id="Freeform 21" o:spid="_x0000_s1026" style="position:absolute;margin-left:36pt;margin-top:11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14:paraId="3853D414" w14:textId="77777777" w:rsidR="00AF246C" w:rsidRPr="00953DCC" w:rsidRDefault="00AF246C" w:rsidP="00AF246C">
      <w:pPr>
        <w:spacing w:before="35"/>
        <w:rPr>
          <w:rFonts w:ascii="Trebuchet MS"/>
          <w:sz w:val="18"/>
          <w:lang w:val="fr-FR"/>
        </w:rPr>
      </w:pPr>
      <w:r w:rsidRPr="00953DCC">
        <w:rPr>
          <w:rFonts w:ascii="Trebuchet MS"/>
          <w:position w:val="9"/>
          <w:sz w:val="13"/>
          <w:lang w:val="fr-FR"/>
        </w:rPr>
        <w:t xml:space="preserve">1 </w:t>
      </w:r>
      <w:r>
        <w:rPr>
          <w:rFonts w:ascii="Trebuchet MS"/>
          <w:position w:val="9"/>
          <w:sz w:val="13"/>
          <w:lang w:val="fr-FR"/>
        </w:rPr>
        <w:tab/>
      </w:r>
      <w:r w:rsidRPr="00953DCC">
        <w:rPr>
          <w:rFonts w:ascii="Trebuchet MS"/>
          <w:sz w:val="18"/>
          <w:lang w:val="fr-FR"/>
        </w:rPr>
        <w:t xml:space="preserve">Source OCDE </w:t>
      </w:r>
      <w:r>
        <w:rPr>
          <w:rFonts w:ascii="Trebuchet MS"/>
          <w:sz w:val="18"/>
          <w:lang w:val="fr-FR"/>
        </w:rPr>
        <w:t>“</w:t>
      </w:r>
      <w:r w:rsidRPr="00953DCC">
        <w:rPr>
          <w:rFonts w:ascii="Trebuchet MS"/>
          <w:sz w:val="18"/>
          <w:lang w:val="fr-FR"/>
        </w:rPr>
        <w:t>Note de la Turquie</w:t>
      </w:r>
    </w:p>
    <w:p w14:paraId="02FBDB63" w14:textId="77777777" w:rsidR="00AF246C" w:rsidRPr="00953DCC" w:rsidRDefault="00AF246C" w:rsidP="00AF246C">
      <w:pPr>
        <w:spacing w:before="127"/>
        <w:ind w:right="216"/>
        <w:rPr>
          <w:rFonts w:ascii="Trebuchet MS" w:hAnsi="Trebuchet MS"/>
          <w:sz w:val="18"/>
          <w:lang w:val="fr-FR"/>
        </w:rPr>
      </w:pPr>
      <w:r w:rsidRPr="00953DCC">
        <w:rPr>
          <w:rFonts w:ascii="Trebuchet MS" w:hAnsi="Trebuchet MS"/>
          <w:sz w:val="18"/>
          <w:lang w:val="fr-FR"/>
        </w:rPr>
        <w:t>Les informations figurant dans le présent document mentionnant “Chypre” se rapportent à la partie méridionale de l</w:t>
      </w:r>
      <w:r>
        <w:rPr>
          <w:rFonts w:ascii="Trebuchet MS" w:hAnsi="Trebuchet MS"/>
          <w:sz w:val="18"/>
          <w:lang w:val="fr-FR"/>
        </w:rPr>
        <w:t>’</w:t>
      </w:r>
      <w:r w:rsidRPr="00953DCC">
        <w:rPr>
          <w:rFonts w:ascii="Trebuchet MS" w:hAnsi="Trebuchet MS"/>
          <w:sz w:val="18"/>
          <w:lang w:val="fr-FR"/>
        </w:rPr>
        <w:t>île</w:t>
      </w:r>
      <w:r>
        <w:rPr>
          <w:rFonts w:ascii="Trebuchet MS" w:hAnsi="Trebuchet MS"/>
          <w:sz w:val="18"/>
          <w:lang w:val="fr-FR"/>
        </w:rPr>
        <w:t xml:space="preserve">.  </w:t>
      </w:r>
      <w:r w:rsidRPr="00953DCC">
        <w:rPr>
          <w:rFonts w:ascii="Trebuchet MS" w:hAnsi="Trebuchet MS"/>
          <w:sz w:val="18"/>
          <w:lang w:val="fr-FR"/>
        </w:rPr>
        <w:t>Il n</w:t>
      </w:r>
      <w:r>
        <w:rPr>
          <w:rFonts w:ascii="Trebuchet MS" w:hAnsi="Trebuchet MS"/>
          <w:sz w:val="18"/>
          <w:lang w:val="fr-FR"/>
        </w:rPr>
        <w:t>’</w:t>
      </w:r>
      <w:r w:rsidRPr="00953DCC">
        <w:rPr>
          <w:rFonts w:ascii="Trebuchet MS" w:hAnsi="Trebuchet MS"/>
          <w:sz w:val="18"/>
          <w:lang w:val="fr-FR"/>
        </w:rPr>
        <w:t>existe pas d</w:t>
      </w:r>
      <w:r>
        <w:rPr>
          <w:rFonts w:ascii="Trebuchet MS" w:hAnsi="Trebuchet MS"/>
          <w:sz w:val="18"/>
          <w:lang w:val="fr-FR"/>
        </w:rPr>
        <w:t>’</w:t>
      </w:r>
      <w:r w:rsidRPr="00953DCC">
        <w:rPr>
          <w:rFonts w:ascii="Trebuchet MS" w:hAnsi="Trebuchet MS"/>
          <w:sz w:val="18"/>
          <w:lang w:val="fr-FR"/>
        </w:rPr>
        <w:t>administration unique représentant à la fois les Chypriotes turcs et grecs sur l</w:t>
      </w:r>
      <w:r>
        <w:rPr>
          <w:rFonts w:ascii="Trebuchet MS" w:hAnsi="Trebuchet MS"/>
          <w:sz w:val="18"/>
          <w:lang w:val="fr-FR"/>
        </w:rPr>
        <w:t>’</w:t>
      </w:r>
      <w:r w:rsidRPr="00953DCC">
        <w:rPr>
          <w:rFonts w:ascii="Trebuchet MS" w:hAnsi="Trebuchet MS"/>
          <w:sz w:val="18"/>
          <w:lang w:val="fr-FR"/>
        </w:rPr>
        <w:t>île</w:t>
      </w:r>
      <w:r>
        <w:rPr>
          <w:rFonts w:ascii="Trebuchet MS" w:hAnsi="Trebuchet MS"/>
          <w:sz w:val="18"/>
          <w:lang w:val="fr-FR"/>
        </w:rPr>
        <w:t xml:space="preserve">.  </w:t>
      </w:r>
      <w:r w:rsidRPr="00953DCC">
        <w:rPr>
          <w:rFonts w:ascii="Trebuchet MS" w:hAnsi="Trebuchet MS"/>
          <w:sz w:val="18"/>
          <w:lang w:val="fr-FR"/>
        </w:rPr>
        <w:t>La Turquie reconnaît la République turque de Chypre</w:t>
      </w:r>
      <w:r>
        <w:rPr>
          <w:rFonts w:ascii="Trebuchet MS" w:hAnsi="Trebuchet MS"/>
          <w:sz w:val="18"/>
          <w:lang w:val="fr-FR"/>
        </w:rPr>
        <w:noBreakHyphen/>
      </w:r>
      <w:r w:rsidRPr="00953DCC">
        <w:rPr>
          <w:rFonts w:ascii="Trebuchet MS" w:hAnsi="Trebuchet MS"/>
          <w:sz w:val="18"/>
          <w:lang w:val="fr-FR"/>
        </w:rPr>
        <w:t>Nord</w:t>
      </w:r>
      <w:r>
        <w:rPr>
          <w:rFonts w:ascii="Trebuchet MS" w:hAnsi="Trebuchet MS"/>
          <w:sz w:val="18"/>
          <w:lang w:val="fr-FR"/>
        </w:rPr>
        <w:t xml:space="preserve">.  </w:t>
      </w:r>
      <w:r w:rsidRPr="00953DCC">
        <w:rPr>
          <w:rFonts w:ascii="Trebuchet MS" w:hAnsi="Trebuchet MS"/>
          <w:sz w:val="18"/>
          <w:lang w:val="fr-FR"/>
        </w:rPr>
        <w:t>À moins qu</w:t>
      </w:r>
      <w:r>
        <w:rPr>
          <w:rFonts w:ascii="Trebuchet MS" w:hAnsi="Trebuchet MS"/>
          <w:sz w:val="18"/>
          <w:lang w:val="fr-FR"/>
        </w:rPr>
        <w:t>’</w:t>
      </w:r>
      <w:r w:rsidRPr="00953DCC">
        <w:rPr>
          <w:rFonts w:ascii="Trebuchet MS" w:hAnsi="Trebuchet MS"/>
          <w:sz w:val="18"/>
          <w:lang w:val="fr-FR"/>
        </w:rPr>
        <w:t xml:space="preserve">une solution durable et équitable ne soit trouvée dans le contexte des </w:t>
      </w:r>
      <w:r>
        <w:rPr>
          <w:rFonts w:ascii="Trebuchet MS" w:hAnsi="Trebuchet MS"/>
          <w:sz w:val="18"/>
          <w:lang w:val="fr-FR"/>
        </w:rPr>
        <w:t>Nations Unies</w:t>
      </w:r>
      <w:r w:rsidRPr="00953DCC">
        <w:rPr>
          <w:rFonts w:ascii="Trebuchet MS" w:hAnsi="Trebuchet MS"/>
          <w:sz w:val="18"/>
          <w:lang w:val="fr-FR"/>
        </w:rPr>
        <w:t>, la Turquie maintient sa position concernant la “question chypriote”.</w:t>
      </w:r>
    </w:p>
    <w:p w14:paraId="131C0975" w14:textId="77777777" w:rsidR="00AF246C" w:rsidRPr="00953DCC" w:rsidRDefault="00AF246C" w:rsidP="00AF246C">
      <w:pPr>
        <w:spacing w:before="119"/>
        <w:rPr>
          <w:rFonts w:ascii="Trebuchet MS"/>
          <w:sz w:val="18"/>
          <w:lang w:val="fr-FR"/>
        </w:rPr>
      </w:pPr>
      <w:r w:rsidRPr="00953DCC">
        <w:rPr>
          <w:rFonts w:ascii="Trebuchet MS"/>
          <w:sz w:val="18"/>
          <w:lang w:val="fr-FR"/>
        </w:rPr>
        <w:t xml:space="preserve">Note de tous les </w:t>
      </w:r>
      <w:r w:rsidRPr="00953DCC">
        <w:rPr>
          <w:rFonts w:ascii="Trebuchet MS"/>
          <w:sz w:val="18"/>
          <w:lang w:val="fr-FR"/>
        </w:rPr>
        <w:t>É</w:t>
      </w:r>
      <w:r w:rsidRPr="00953DCC">
        <w:rPr>
          <w:rFonts w:ascii="Trebuchet MS"/>
          <w:sz w:val="18"/>
          <w:lang w:val="fr-FR"/>
        </w:rPr>
        <w:t>tats de l</w:t>
      </w:r>
      <w:r>
        <w:rPr>
          <w:rFonts w:ascii="Trebuchet MS"/>
          <w:sz w:val="18"/>
          <w:lang w:val="fr-FR"/>
        </w:rPr>
        <w:t>’</w:t>
      </w:r>
      <w:r w:rsidRPr="00953DCC">
        <w:rPr>
          <w:rFonts w:ascii="Trebuchet MS"/>
          <w:sz w:val="18"/>
          <w:lang w:val="fr-FR"/>
        </w:rPr>
        <w:t>Union europ</w:t>
      </w:r>
      <w:r w:rsidRPr="00953DCC">
        <w:rPr>
          <w:rFonts w:ascii="Trebuchet MS"/>
          <w:sz w:val="18"/>
          <w:lang w:val="fr-FR"/>
        </w:rPr>
        <w:t>é</w:t>
      </w:r>
      <w:r w:rsidRPr="00953DCC">
        <w:rPr>
          <w:rFonts w:ascii="Trebuchet MS"/>
          <w:sz w:val="18"/>
          <w:lang w:val="fr-FR"/>
        </w:rPr>
        <w:t>enne membres de l</w:t>
      </w:r>
      <w:r>
        <w:rPr>
          <w:rFonts w:ascii="Trebuchet MS"/>
          <w:sz w:val="18"/>
          <w:lang w:val="fr-FR"/>
        </w:rPr>
        <w:t>’</w:t>
      </w:r>
      <w:r w:rsidRPr="00953DCC">
        <w:rPr>
          <w:rFonts w:ascii="Trebuchet MS"/>
          <w:sz w:val="18"/>
          <w:lang w:val="fr-FR"/>
        </w:rPr>
        <w:t>OCDE et de l</w:t>
      </w:r>
      <w:r>
        <w:rPr>
          <w:rFonts w:ascii="Trebuchet MS"/>
          <w:sz w:val="18"/>
          <w:lang w:val="fr-FR"/>
        </w:rPr>
        <w:t>’</w:t>
      </w:r>
      <w:r w:rsidRPr="00953DCC">
        <w:rPr>
          <w:rFonts w:ascii="Trebuchet MS"/>
          <w:sz w:val="18"/>
          <w:lang w:val="fr-FR"/>
        </w:rPr>
        <w:t>Union europ</w:t>
      </w:r>
      <w:r w:rsidRPr="00953DCC">
        <w:rPr>
          <w:rFonts w:ascii="Trebuchet MS"/>
          <w:sz w:val="18"/>
          <w:lang w:val="fr-FR"/>
        </w:rPr>
        <w:t>é</w:t>
      </w:r>
      <w:r w:rsidRPr="00953DCC">
        <w:rPr>
          <w:rFonts w:ascii="Trebuchet MS"/>
          <w:sz w:val="18"/>
          <w:lang w:val="fr-FR"/>
        </w:rPr>
        <w:t>enne</w:t>
      </w:r>
    </w:p>
    <w:p w14:paraId="35A39297" w14:textId="77777777" w:rsidR="00AF246C" w:rsidRPr="00953DCC" w:rsidRDefault="00AF246C" w:rsidP="00AF246C">
      <w:pPr>
        <w:spacing w:before="120"/>
        <w:ind w:right="216"/>
        <w:rPr>
          <w:rFonts w:ascii="Trebuchet MS"/>
          <w:sz w:val="18"/>
          <w:lang w:val="fr-FR"/>
        </w:rPr>
      </w:pPr>
      <w:r w:rsidRPr="00953DCC">
        <w:rPr>
          <w:rFonts w:ascii="Trebuchet MS"/>
          <w:sz w:val="18"/>
          <w:lang w:val="fr-FR"/>
        </w:rPr>
        <w:t>La R</w:t>
      </w:r>
      <w:r w:rsidRPr="00953DCC">
        <w:rPr>
          <w:rFonts w:ascii="Trebuchet MS"/>
          <w:sz w:val="18"/>
          <w:lang w:val="fr-FR"/>
        </w:rPr>
        <w:t>é</w:t>
      </w:r>
      <w:r w:rsidRPr="00953DCC">
        <w:rPr>
          <w:rFonts w:ascii="Trebuchet MS"/>
          <w:sz w:val="18"/>
          <w:lang w:val="fr-FR"/>
        </w:rPr>
        <w:t xml:space="preserve">publique de Chypre est reconnue par tous les </w:t>
      </w:r>
      <w:r w:rsidRPr="00953DCC">
        <w:rPr>
          <w:rFonts w:ascii="Trebuchet MS"/>
          <w:sz w:val="18"/>
          <w:lang w:val="fr-FR"/>
        </w:rPr>
        <w:t>É</w:t>
      </w:r>
      <w:r w:rsidRPr="00953DCC">
        <w:rPr>
          <w:rFonts w:ascii="Trebuchet MS"/>
          <w:sz w:val="18"/>
          <w:lang w:val="fr-FR"/>
        </w:rPr>
        <w:t xml:space="preserve">tats membres des </w:t>
      </w:r>
      <w:r>
        <w:rPr>
          <w:rFonts w:ascii="Trebuchet MS"/>
          <w:sz w:val="18"/>
          <w:lang w:val="fr-FR"/>
        </w:rPr>
        <w:t>Nations</w:t>
      </w:r>
      <w:r>
        <w:rPr>
          <w:rFonts w:ascii="Trebuchet MS"/>
          <w:sz w:val="18"/>
          <w:lang w:val="fr-FR"/>
        </w:rPr>
        <w:t> </w:t>
      </w:r>
      <w:r>
        <w:rPr>
          <w:rFonts w:ascii="Trebuchet MS"/>
          <w:sz w:val="18"/>
          <w:lang w:val="fr-FR"/>
        </w:rPr>
        <w:t>Unies</w:t>
      </w:r>
      <w:r w:rsidRPr="00953DCC">
        <w:rPr>
          <w:rFonts w:ascii="Trebuchet MS"/>
          <w:sz w:val="18"/>
          <w:lang w:val="fr-FR"/>
        </w:rPr>
        <w:t xml:space="preserve"> </w:t>
      </w:r>
      <w:r w:rsidRPr="00953DCC">
        <w:rPr>
          <w:rFonts w:ascii="Trebuchet MS"/>
          <w:sz w:val="18"/>
          <w:lang w:val="fr-FR"/>
        </w:rPr>
        <w:t>à</w:t>
      </w:r>
      <w:r w:rsidRPr="00953DCC">
        <w:rPr>
          <w:rFonts w:ascii="Trebuchet MS"/>
          <w:sz w:val="18"/>
          <w:lang w:val="fr-FR"/>
        </w:rPr>
        <w:t xml:space="preserve"> l</w:t>
      </w:r>
      <w:r>
        <w:rPr>
          <w:rFonts w:ascii="Trebuchet MS"/>
          <w:sz w:val="18"/>
          <w:lang w:val="fr-FR"/>
        </w:rPr>
        <w:t>’</w:t>
      </w:r>
      <w:r w:rsidRPr="00953DCC">
        <w:rPr>
          <w:rFonts w:ascii="Trebuchet MS"/>
          <w:sz w:val="18"/>
          <w:lang w:val="fr-FR"/>
        </w:rPr>
        <w:t>exception de la Turquie</w:t>
      </w:r>
      <w:r>
        <w:rPr>
          <w:rFonts w:ascii="Trebuchet MS"/>
          <w:sz w:val="18"/>
          <w:lang w:val="fr-FR"/>
        </w:rPr>
        <w:t xml:space="preserve">.  </w:t>
      </w:r>
      <w:r w:rsidRPr="00953DCC">
        <w:rPr>
          <w:rFonts w:ascii="Trebuchet MS"/>
          <w:sz w:val="18"/>
          <w:lang w:val="fr-FR"/>
        </w:rPr>
        <w:t>Les informations pr</w:t>
      </w:r>
      <w:r w:rsidRPr="00953DCC">
        <w:rPr>
          <w:rFonts w:ascii="Trebuchet MS"/>
          <w:sz w:val="18"/>
          <w:lang w:val="fr-FR"/>
        </w:rPr>
        <w:t>é</w:t>
      </w:r>
      <w:r w:rsidRPr="00953DCC">
        <w:rPr>
          <w:rFonts w:ascii="Trebuchet MS"/>
          <w:sz w:val="18"/>
          <w:lang w:val="fr-FR"/>
        </w:rPr>
        <w:t>sent</w:t>
      </w:r>
      <w:r w:rsidRPr="00953DCC">
        <w:rPr>
          <w:rFonts w:ascii="Trebuchet MS"/>
          <w:sz w:val="18"/>
          <w:lang w:val="fr-FR"/>
        </w:rPr>
        <w:t>é</w:t>
      </w:r>
      <w:r w:rsidRPr="00953DCC">
        <w:rPr>
          <w:rFonts w:ascii="Trebuchet MS"/>
          <w:sz w:val="18"/>
          <w:lang w:val="fr-FR"/>
        </w:rPr>
        <w:t>es dans ce document concernent la zone sous le contr</w:t>
      </w:r>
      <w:r w:rsidRPr="00953DCC">
        <w:rPr>
          <w:rFonts w:ascii="Trebuchet MS"/>
          <w:sz w:val="18"/>
          <w:lang w:val="fr-FR"/>
        </w:rPr>
        <w:t>ô</w:t>
      </w:r>
      <w:r w:rsidRPr="00953DCC">
        <w:rPr>
          <w:rFonts w:ascii="Trebuchet MS"/>
          <w:sz w:val="18"/>
          <w:lang w:val="fr-FR"/>
        </w:rPr>
        <w:t>le effectif du Gouvernement de la R</w:t>
      </w:r>
      <w:r w:rsidRPr="00953DCC">
        <w:rPr>
          <w:rFonts w:ascii="Trebuchet MS"/>
          <w:sz w:val="18"/>
          <w:lang w:val="fr-FR"/>
        </w:rPr>
        <w:t>é</w:t>
      </w:r>
      <w:r w:rsidRPr="00953DCC">
        <w:rPr>
          <w:rFonts w:ascii="Trebuchet MS"/>
          <w:sz w:val="18"/>
          <w:lang w:val="fr-FR"/>
        </w:rPr>
        <w:t>publique de Chypre.</w:t>
      </w:r>
      <w:r>
        <w:rPr>
          <w:rFonts w:ascii="Trebuchet MS"/>
          <w:sz w:val="18"/>
          <w:lang w:val="fr-FR"/>
        </w:rPr>
        <w:t>”</w:t>
      </w:r>
    </w:p>
    <w:p w14:paraId="5F3B8777" w14:textId="77777777" w:rsidR="00AF246C" w:rsidRPr="00953DCC" w:rsidRDefault="00AF246C" w:rsidP="00AF246C">
      <w:pPr>
        <w:spacing w:before="120"/>
        <w:ind w:right="216"/>
        <w:rPr>
          <w:rFonts w:ascii="Trebuchet MS"/>
          <w:sz w:val="18"/>
          <w:lang w:val="fr-FR"/>
        </w:rPr>
      </w:pPr>
    </w:p>
    <w:p w14:paraId="09C8CD8E" w14:textId="77777777" w:rsidR="00AF246C" w:rsidRPr="00953DCC" w:rsidRDefault="00AF246C" w:rsidP="00AF246C">
      <w:pPr>
        <w:spacing w:before="3" w:after="1"/>
        <w:rPr>
          <w:rFonts w:ascii="Trebuchet MS"/>
          <w:lang w:val="fr-FR"/>
        </w:rPr>
      </w:pPr>
    </w:p>
    <w:tbl>
      <w:tblPr>
        <w:tblW w:w="7942" w:type="dxa"/>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AF246C" w:rsidRPr="00953DCC" w14:paraId="5533CD3C" w14:textId="77777777" w:rsidTr="00A947B1">
        <w:trPr>
          <w:trHeight w:val="279"/>
        </w:trPr>
        <w:tc>
          <w:tcPr>
            <w:tcW w:w="2482" w:type="dxa"/>
            <w:shd w:val="clear" w:color="auto" w:fill="DBE5F1"/>
          </w:tcPr>
          <w:p w14:paraId="77827495" w14:textId="77777777" w:rsidR="00AF246C" w:rsidRPr="00953DCC" w:rsidRDefault="00AF246C" w:rsidP="00A947B1">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lastRenderedPageBreak/>
              <w:t>FÉDÉRATION DE RUSSIE</w:t>
            </w:r>
          </w:p>
        </w:tc>
        <w:tc>
          <w:tcPr>
            <w:tcW w:w="1438" w:type="dxa"/>
          </w:tcPr>
          <w:p w14:paraId="62BF7A94" w14:textId="77777777" w:rsidR="00AF246C" w:rsidRPr="009E0B44" w:rsidRDefault="00AF246C" w:rsidP="00A947B1">
            <w:pPr>
              <w:widowControl w:val="0"/>
              <w:autoSpaceDE w:val="0"/>
              <w:autoSpaceDN w:val="0"/>
              <w:spacing w:before="27"/>
              <w:jc w:val="left"/>
              <w:rPr>
                <w:rFonts w:ascii="Trebuchet MS" w:eastAsia="Trebuchet MS" w:hAnsi="Trebuchet MS" w:cs="Trebuchet MS"/>
                <w:sz w:val="18"/>
                <w:szCs w:val="18"/>
                <w:lang w:val="fr-FR" w:eastAsia="en-GB" w:bidi="en-GB"/>
              </w:rPr>
            </w:pPr>
            <w:r w:rsidRPr="00953DCC">
              <w:rPr>
                <w:rFonts w:ascii="Trebuchet MS" w:eastAsia="Trebuchet MS" w:hAnsi="Trebuchet MS" w:cs="Trebuchet MS"/>
                <w:sz w:val="18"/>
                <w:szCs w:val="22"/>
                <w:lang w:val="fr-FR" w:eastAsia="en-GB" w:bidi="en-GB"/>
              </w:rPr>
              <w:t>(2)</w:t>
            </w:r>
          </w:p>
        </w:tc>
        <w:tc>
          <w:tcPr>
            <w:tcW w:w="2879" w:type="dxa"/>
            <w:shd w:val="clear" w:color="auto" w:fill="DBE5F1"/>
          </w:tcPr>
          <w:p w14:paraId="66CE62BE" w14:textId="77777777" w:rsidR="00AF246C" w:rsidRPr="00953DCC" w:rsidRDefault="00AF246C" w:rsidP="00A947B1">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SLOVAQUIE</w:t>
            </w:r>
          </w:p>
        </w:tc>
        <w:tc>
          <w:tcPr>
            <w:tcW w:w="1143" w:type="dxa"/>
          </w:tcPr>
          <w:p w14:paraId="16AF1135" w14:textId="77777777" w:rsidR="00AF246C" w:rsidRPr="00953DCC" w:rsidRDefault="00AF246C" w:rsidP="00A947B1">
            <w:pPr>
              <w:widowControl w:val="0"/>
              <w:autoSpaceDE w:val="0"/>
              <w:autoSpaceDN w:val="0"/>
              <w:spacing w:before="28" w:line="232" w:lineRule="exact"/>
              <w:ind w:right="427"/>
              <w:jc w:val="center"/>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(1)</w:t>
            </w:r>
          </w:p>
        </w:tc>
      </w:tr>
      <w:tr w:rsidR="00AF246C" w:rsidRPr="00953DCC" w14:paraId="5C7CC4BD" w14:textId="77777777" w:rsidTr="00A947B1">
        <w:trPr>
          <w:trHeight w:val="279"/>
        </w:trPr>
        <w:tc>
          <w:tcPr>
            <w:tcW w:w="2482" w:type="dxa"/>
            <w:shd w:val="clear" w:color="auto" w:fill="DBE5F1"/>
          </w:tcPr>
          <w:p w14:paraId="3F554C5E" w14:textId="77777777" w:rsidR="00AF246C" w:rsidRPr="00953DCC" w:rsidRDefault="00AF246C" w:rsidP="00A947B1">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FINLANDE</w:t>
            </w:r>
          </w:p>
        </w:tc>
        <w:tc>
          <w:tcPr>
            <w:tcW w:w="1438" w:type="dxa"/>
          </w:tcPr>
          <w:p w14:paraId="465F7642" w14:textId="77777777" w:rsidR="00AF246C" w:rsidRPr="00953DCC" w:rsidRDefault="00AF246C" w:rsidP="00A947B1">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shd w:val="clear" w:color="auto" w:fill="DBE5F1"/>
          </w:tcPr>
          <w:p w14:paraId="5748A016" w14:textId="77777777" w:rsidR="00AF246C" w:rsidRPr="00953DCC" w:rsidRDefault="00AF246C" w:rsidP="00A947B1">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SLOVÉNIE</w:t>
            </w:r>
          </w:p>
        </w:tc>
        <w:tc>
          <w:tcPr>
            <w:tcW w:w="1143" w:type="dxa"/>
          </w:tcPr>
          <w:p w14:paraId="18324B3B" w14:textId="77777777" w:rsidR="00AF246C" w:rsidRPr="00953DCC" w:rsidRDefault="00AF246C" w:rsidP="00A947B1">
            <w:pPr>
              <w:widowControl w:val="0"/>
              <w:autoSpaceDE w:val="0"/>
              <w:autoSpaceDN w:val="0"/>
              <w:spacing w:before="28" w:line="232" w:lineRule="exact"/>
              <w:ind w:right="427"/>
              <w:jc w:val="center"/>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(1)</w:t>
            </w:r>
          </w:p>
        </w:tc>
      </w:tr>
      <w:tr w:rsidR="00AF246C" w:rsidRPr="00953DCC" w14:paraId="02F7F52C" w14:textId="77777777" w:rsidTr="00A947B1">
        <w:trPr>
          <w:trHeight w:val="279"/>
        </w:trPr>
        <w:tc>
          <w:tcPr>
            <w:tcW w:w="2482" w:type="dxa"/>
            <w:shd w:val="clear" w:color="auto" w:fill="DBE5F1"/>
          </w:tcPr>
          <w:p w14:paraId="39946A3E" w14:textId="77777777" w:rsidR="00AF246C" w:rsidRPr="00953DCC" w:rsidRDefault="00AF246C" w:rsidP="00A947B1">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FRANCE</w:t>
            </w:r>
          </w:p>
        </w:tc>
        <w:tc>
          <w:tcPr>
            <w:tcW w:w="1438" w:type="dxa"/>
          </w:tcPr>
          <w:p w14:paraId="0DBC8F5D" w14:textId="77777777" w:rsidR="00AF246C" w:rsidRPr="00953DCC" w:rsidRDefault="00AF246C" w:rsidP="00A947B1">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shd w:val="clear" w:color="auto" w:fill="DBE5F1"/>
          </w:tcPr>
          <w:p w14:paraId="15D4972A" w14:textId="77777777" w:rsidR="00AF246C" w:rsidRPr="00953DCC" w:rsidRDefault="00AF246C" w:rsidP="00A947B1">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SUÈDE</w:t>
            </w:r>
          </w:p>
        </w:tc>
        <w:tc>
          <w:tcPr>
            <w:tcW w:w="1143" w:type="dxa"/>
          </w:tcPr>
          <w:p w14:paraId="17B7D876" w14:textId="77777777" w:rsidR="00AF246C" w:rsidRPr="00953DCC" w:rsidRDefault="00AF246C" w:rsidP="00A947B1">
            <w:pPr>
              <w:widowControl w:val="0"/>
              <w:autoSpaceDE w:val="0"/>
              <w:autoSpaceDN w:val="0"/>
              <w:spacing w:before="28" w:line="232" w:lineRule="exact"/>
              <w:ind w:right="427"/>
              <w:jc w:val="center"/>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(1)</w:t>
            </w:r>
          </w:p>
        </w:tc>
      </w:tr>
      <w:tr w:rsidR="00AF246C" w:rsidRPr="00953DCC" w14:paraId="5E6F2548" w14:textId="77777777" w:rsidTr="00A947B1">
        <w:trPr>
          <w:trHeight w:val="272"/>
        </w:trPr>
        <w:tc>
          <w:tcPr>
            <w:tcW w:w="2482" w:type="dxa"/>
            <w:shd w:val="clear" w:color="auto" w:fill="DBE5F1"/>
          </w:tcPr>
          <w:p w14:paraId="7D854557"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GRÈCE</w:t>
            </w:r>
          </w:p>
        </w:tc>
        <w:tc>
          <w:tcPr>
            <w:tcW w:w="1438" w:type="dxa"/>
          </w:tcPr>
          <w:p w14:paraId="7CC208D3"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shd w:val="clear" w:color="auto" w:fill="DBE5F1"/>
          </w:tcPr>
          <w:p w14:paraId="3AD97EEA"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SUISSE</w:t>
            </w:r>
          </w:p>
        </w:tc>
        <w:tc>
          <w:tcPr>
            <w:tcW w:w="1143" w:type="dxa"/>
          </w:tcPr>
          <w:p w14:paraId="44E69F04" w14:textId="77777777" w:rsidR="00AF246C" w:rsidRPr="009E0B44" w:rsidRDefault="00AF246C" w:rsidP="00A947B1">
            <w:pPr>
              <w:widowControl w:val="0"/>
              <w:autoSpaceDE w:val="0"/>
              <w:autoSpaceDN w:val="0"/>
              <w:spacing w:before="20"/>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(1)</w:t>
            </w:r>
          </w:p>
        </w:tc>
      </w:tr>
      <w:tr w:rsidR="00AF246C" w:rsidRPr="00953DCC" w14:paraId="357CF8AD" w14:textId="77777777" w:rsidTr="00A947B1">
        <w:trPr>
          <w:trHeight w:val="272"/>
        </w:trPr>
        <w:tc>
          <w:tcPr>
            <w:tcW w:w="2482" w:type="dxa"/>
            <w:shd w:val="clear" w:color="auto" w:fill="DBE5F1"/>
          </w:tcPr>
          <w:p w14:paraId="68F62A46"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HONGRIE</w:t>
            </w:r>
          </w:p>
        </w:tc>
        <w:tc>
          <w:tcPr>
            <w:tcW w:w="1438" w:type="dxa"/>
          </w:tcPr>
          <w:p w14:paraId="46C0A794"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shd w:val="clear" w:color="auto" w:fill="DBE5F1"/>
          </w:tcPr>
          <w:p w14:paraId="67E9C509"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TUNISIE</w:t>
            </w:r>
          </w:p>
        </w:tc>
        <w:tc>
          <w:tcPr>
            <w:tcW w:w="1143" w:type="dxa"/>
          </w:tcPr>
          <w:p w14:paraId="0E38D62B" w14:textId="77777777" w:rsidR="00AF246C" w:rsidRPr="009E0B44" w:rsidRDefault="00AF246C" w:rsidP="00A947B1">
            <w:pPr>
              <w:widowControl w:val="0"/>
              <w:autoSpaceDE w:val="0"/>
              <w:autoSpaceDN w:val="0"/>
              <w:spacing w:before="21" w:line="231" w:lineRule="exact"/>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(2)</w:t>
            </w:r>
          </w:p>
        </w:tc>
      </w:tr>
      <w:tr w:rsidR="00AF246C" w:rsidRPr="00953DCC" w14:paraId="3FC9D435" w14:textId="77777777" w:rsidTr="00A947B1">
        <w:trPr>
          <w:trHeight w:val="272"/>
        </w:trPr>
        <w:tc>
          <w:tcPr>
            <w:tcW w:w="2482" w:type="dxa"/>
            <w:shd w:val="clear" w:color="auto" w:fill="DBE5F1"/>
          </w:tcPr>
          <w:p w14:paraId="165CE283"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INDE</w:t>
            </w:r>
          </w:p>
        </w:tc>
        <w:tc>
          <w:tcPr>
            <w:tcW w:w="1438" w:type="dxa"/>
          </w:tcPr>
          <w:p w14:paraId="046A7105"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879" w:type="dxa"/>
            <w:shd w:val="clear" w:color="auto" w:fill="DBE5F1"/>
          </w:tcPr>
          <w:p w14:paraId="027E6D7D"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TURQUIE</w:t>
            </w:r>
          </w:p>
        </w:tc>
        <w:tc>
          <w:tcPr>
            <w:tcW w:w="1143" w:type="dxa"/>
          </w:tcPr>
          <w:p w14:paraId="473B0F61" w14:textId="77777777" w:rsidR="00AF246C" w:rsidRPr="009E0B44" w:rsidRDefault="00AF246C" w:rsidP="00A947B1">
            <w:pPr>
              <w:widowControl w:val="0"/>
              <w:autoSpaceDE w:val="0"/>
              <w:autoSpaceDN w:val="0"/>
              <w:spacing w:before="19"/>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(1)</w:t>
            </w:r>
          </w:p>
        </w:tc>
      </w:tr>
      <w:tr w:rsidR="00AF246C" w:rsidRPr="00953DCC" w14:paraId="1AEB9325" w14:textId="77777777" w:rsidTr="00A947B1">
        <w:trPr>
          <w:trHeight w:val="272"/>
        </w:trPr>
        <w:tc>
          <w:tcPr>
            <w:tcW w:w="2482" w:type="dxa"/>
            <w:shd w:val="clear" w:color="auto" w:fill="DBE5F1"/>
          </w:tcPr>
          <w:p w14:paraId="3CDEC92D"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IRAN</w:t>
            </w:r>
          </w:p>
        </w:tc>
        <w:tc>
          <w:tcPr>
            <w:tcW w:w="1438" w:type="dxa"/>
          </w:tcPr>
          <w:p w14:paraId="49D8879B"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879" w:type="dxa"/>
            <w:shd w:val="clear" w:color="auto" w:fill="DBE5F1"/>
          </w:tcPr>
          <w:p w14:paraId="12D7315C"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UKRAINE</w:t>
            </w:r>
          </w:p>
        </w:tc>
        <w:tc>
          <w:tcPr>
            <w:tcW w:w="1143" w:type="dxa"/>
          </w:tcPr>
          <w:p w14:paraId="648D470C" w14:textId="77777777" w:rsidR="00AF246C" w:rsidRPr="009E0B44" w:rsidRDefault="00AF246C" w:rsidP="00A947B1">
            <w:pPr>
              <w:widowControl w:val="0"/>
              <w:autoSpaceDE w:val="0"/>
              <w:autoSpaceDN w:val="0"/>
              <w:spacing w:before="21" w:line="231" w:lineRule="exact"/>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(2)</w:t>
            </w:r>
          </w:p>
        </w:tc>
      </w:tr>
      <w:tr w:rsidR="00AF246C" w:rsidRPr="00953DCC" w14:paraId="311399D7" w14:textId="77777777" w:rsidTr="00A947B1">
        <w:trPr>
          <w:trHeight w:val="259"/>
        </w:trPr>
        <w:tc>
          <w:tcPr>
            <w:tcW w:w="2482" w:type="dxa"/>
            <w:shd w:val="clear" w:color="auto" w:fill="DBE5F1"/>
          </w:tcPr>
          <w:p w14:paraId="5A78A89D"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IRLANDE</w:t>
            </w:r>
          </w:p>
        </w:tc>
        <w:tc>
          <w:tcPr>
            <w:tcW w:w="1438" w:type="dxa"/>
          </w:tcPr>
          <w:p w14:paraId="61E97563"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Borders>
              <w:bottom w:val="single" w:sz="8" w:space="0" w:color="000000"/>
            </w:tcBorders>
            <w:shd w:val="clear" w:color="auto" w:fill="DBE5F1"/>
          </w:tcPr>
          <w:p w14:paraId="54493573"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URUGUAY</w:t>
            </w:r>
          </w:p>
        </w:tc>
        <w:tc>
          <w:tcPr>
            <w:tcW w:w="1143" w:type="dxa"/>
            <w:tcBorders>
              <w:bottom w:val="single" w:sz="8" w:space="0" w:color="000000"/>
            </w:tcBorders>
          </w:tcPr>
          <w:p w14:paraId="1794587E" w14:textId="77777777" w:rsidR="00AF246C" w:rsidRPr="009E0B44" w:rsidRDefault="00AF246C" w:rsidP="00A947B1">
            <w:pPr>
              <w:widowControl w:val="0"/>
              <w:autoSpaceDE w:val="0"/>
              <w:autoSpaceDN w:val="0"/>
              <w:spacing w:before="19" w:line="220" w:lineRule="exact"/>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(2)</w:t>
            </w:r>
          </w:p>
        </w:tc>
      </w:tr>
      <w:tr w:rsidR="00AF246C" w:rsidRPr="00953DCC" w14:paraId="6CCCA189" w14:textId="77777777" w:rsidTr="00A947B1">
        <w:trPr>
          <w:trHeight w:val="284"/>
        </w:trPr>
        <w:tc>
          <w:tcPr>
            <w:tcW w:w="2482" w:type="dxa"/>
            <w:shd w:val="clear" w:color="auto" w:fill="DBE5F1"/>
          </w:tcPr>
          <w:p w14:paraId="58018C32" w14:textId="77777777" w:rsidR="00AF246C" w:rsidRPr="00953DCC" w:rsidRDefault="00AF246C" w:rsidP="00A947B1">
            <w:pPr>
              <w:widowControl w:val="0"/>
              <w:autoSpaceDE w:val="0"/>
              <w:autoSpaceDN w:val="0"/>
              <w:spacing w:before="31"/>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ISLANDE</w:t>
            </w:r>
          </w:p>
        </w:tc>
        <w:tc>
          <w:tcPr>
            <w:tcW w:w="1438" w:type="dxa"/>
          </w:tcPr>
          <w:p w14:paraId="4E6C31C1" w14:textId="77777777" w:rsidR="00AF246C" w:rsidRPr="00953DCC" w:rsidRDefault="00AF246C" w:rsidP="00A947B1">
            <w:pPr>
              <w:widowControl w:val="0"/>
              <w:autoSpaceDE w:val="0"/>
              <w:autoSpaceDN w:val="0"/>
              <w:spacing w:before="31"/>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Borders>
              <w:top w:val="single" w:sz="8" w:space="0" w:color="000000"/>
            </w:tcBorders>
            <w:shd w:val="clear" w:color="auto" w:fill="auto"/>
          </w:tcPr>
          <w:p w14:paraId="27BD9FEB" w14:textId="77777777" w:rsidR="00AF246C" w:rsidRPr="00953DCC" w:rsidRDefault="00AF246C" w:rsidP="00A947B1">
            <w:pPr>
              <w:widowControl w:val="0"/>
              <w:autoSpaceDE w:val="0"/>
              <w:autoSpaceDN w:val="0"/>
              <w:spacing w:before="31"/>
              <w:jc w:val="left"/>
              <w:rPr>
                <w:rFonts w:ascii="Trebuchet MS" w:eastAsia="Trebuchet MS" w:hAnsi="Trebuchet MS" w:cs="Trebuchet MS"/>
                <w:sz w:val="18"/>
                <w:szCs w:val="22"/>
                <w:lang w:val="fr-FR" w:eastAsia="en-GB" w:bidi="en-GB"/>
              </w:rPr>
            </w:pPr>
          </w:p>
        </w:tc>
        <w:tc>
          <w:tcPr>
            <w:tcW w:w="1143" w:type="dxa"/>
            <w:tcBorders>
              <w:top w:val="single" w:sz="8" w:space="0" w:color="000000"/>
            </w:tcBorders>
            <w:shd w:val="clear" w:color="auto" w:fill="auto"/>
          </w:tcPr>
          <w:p w14:paraId="30ACB5F1" w14:textId="77777777" w:rsidR="00AF246C" w:rsidRPr="009E0B44" w:rsidRDefault="00AF246C" w:rsidP="00A947B1">
            <w:pPr>
              <w:widowControl w:val="0"/>
              <w:autoSpaceDE w:val="0"/>
              <w:autoSpaceDN w:val="0"/>
              <w:spacing w:before="31"/>
              <w:ind w:right="427"/>
              <w:jc w:val="center"/>
              <w:rPr>
                <w:rFonts w:ascii="Trebuchet MS" w:eastAsia="Trebuchet MS" w:hAnsi="Trebuchet MS" w:cs="Trebuchet MS"/>
                <w:sz w:val="18"/>
                <w:szCs w:val="18"/>
                <w:lang w:val="fr-FR" w:eastAsia="en-GB" w:bidi="en-GB"/>
              </w:rPr>
            </w:pPr>
          </w:p>
        </w:tc>
      </w:tr>
      <w:tr w:rsidR="00AF246C" w:rsidRPr="00953DCC" w14:paraId="6973EF78" w14:textId="77777777" w:rsidTr="00A947B1">
        <w:trPr>
          <w:trHeight w:val="272"/>
        </w:trPr>
        <w:tc>
          <w:tcPr>
            <w:tcW w:w="2482" w:type="dxa"/>
            <w:shd w:val="clear" w:color="auto" w:fill="DBE5F1"/>
          </w:tcPr>
          <w:p w14:paraId="015DED73"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ISRAËL</w:t>
            </w:r>
          </w:p>
        </w:tc>
        <w:tc>
          <w:tcPr>
            <w:tcW w:w="1438" w:type="dxa"/>
          </w:tcPr>
          <w:p w14:paraId="0B6AFED1"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Pr>
          <w:p w14:paraId="22BE4795" w14:textId="77777777" w:rsidR="00AF246C" w:rsidRPr="00953DCC" w:rsidRDefault="00AF246C" w:rsidP="00A947B1">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 Pays membres de l</w:t>
            </w:r>
            <w:r>
              <w:rPr>
                <w:rFonts w:ascii="Trebuchet MS" w:eastAsia="Trebuchet MS" w:hAnsi="Trebuchet MS" w:cs="Trebuchet MS"/>
                <w:sz w:val="18"/>
                <w:szCs w:val="22"/>
                <w:lang w:val="fr-FR" w:eastAsia="en-GB" w:bidi="en-GB"/>
              </w:rPr>
              <w:t>’</w:t>
            </w:r>
            <w:r w:rsidRPr="00953DCC">
              <w:rPr>
                <w:rFonts w:ascii="Trebuchet MS" w:eastAsia="Trebuchet MS" w:hAnsi="Trebuchet MS" w:cs="Trebuchet MS"/>
                <w:sz w:val="18"/>
                <w:szCs w:val="22"/>
                <w:lang w:val="fr-FR" w:eastAsia="en-GB" w:bidi="en-GB"/>
              </w:rPr>
              <w:t>OCDE</w:t>
            </w:r>
          </w:p>
        </w:tc>
        <w:tc>
          <w:tcPr>
            <w:tcW w:w="1143" w:type="dxa"/>
          </w:tcPr>
          <w:p w14:paraId="78CCF22F" w14:textId="77777777" w:rsidR="00AF246C" w:rsidRPr="009E0B44" w:rsidRDefault="00AF246C" w:rsidP="00A947B1">
            <w:pPr>
              <w:widowControl w:val="0"/>
              <w:autoSpaceDE w:val="0"/>
              <w:autoSpaceDN w:val="0"/>
              <w:spacing w:before="21" w:line="231" w:lineRule="exact"/>
              <w:ind w:right="427"/>
              <w:jc w:val="center"/>
              <w:rPr>
                <w:rFonts w:ascii="Trebuchet MS" w:eastAsia="Trebuchet MS" w:hAnsi="Trebuchet MS" w:cs="Trebuchet MS"/>
                <w:sz w:val="18"/>
                <w:szCs w:val="18"/>
                <w:lang w:val="fr-FR" w:eastAsia="en-GB" w:bidi="en-GB"/>
              </w:rPr>
            </w:pPr>
          </w:p>
        </w:tc>
      </w:tr>
      <w:tr w:rsidR="00AF246C" w:rsidRPr="002C6F63" w14:paraId="7B73562B" w14:textId="77777777" w:rsidTr="00A947B1">
        <w:trPr>
          <w:trHeight w:val="264"/>
        </w:trPr>
        <w:tc>
          <w:tcPr>
            <w:tcW w:w="2482" w:type="dxa"/>
            <w:shd w:val="clear" w:color="auto" w:fill="DBE5F1"/>
          </w:tcPr>
          <w:p w14:paraId="1FB6B087"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ITALIE</w:t>
            </w:r>
          </w:p>
        </w:tc>
        <w:tc>
          <w:tcPr>
            <w:tcW w:w="1438" w:type="dxa"/>
          </w:tcPr>
          <w:p w14:paraId="3E9EEE07"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Pr>
          <w:p w14:paraId="721E6B37"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 Pays non</w:t>
            </w:r>
            <w:r>
              <w:rPr>
                <w:rFonts w:ascii="Trebuchet MS" w:eastAsia="Trebuchet MS" w:hAnsi="Trebuchet MS" w:cs="Trebuchet MS"/>
                <w:sz w:val="18"/>
                <w:szCs w:val="22"/>
                <w:lang w:val="fr-FR" w:eastAsia="en-GB" w:bidi="en-GB"/>
              </w:rPr>
              <w:t xml:space="preserve"> </w:t>
            </w:r>
            <w:r w:rsidRPr="00953DCC">
              <w:rPr>
                <w:rFonts w:ascii="Trebuchet MS" w:eastAsia="Trebuchet MS" w:hAnsi="Trebuchet MS" w:cs="Trebuchet MS"/>
                <w:sz w:val="18"/>
                <w:szCs w:val="22"/>
                <w:lang w:val="fr-FR" w:eastAsia="en-GB" w:bidi="en-GB"/>
              </w:rPr>
              <w:t>membres de l</w:t>
            </w:r>
            <w:r>
              <w:rPr>
                <w:rFonts w:ascii="Trebuchet MS" w:eastAsia="Trebuchet MS" w:hAnsi="Trebuchet MS" w:cs="Trebuchet MS"/>
                <w:sz w:val="18"/>
                <w:szCs w:val="22"/>
                <w:lang w:val="fr-FR" w:eastAsia="en-GB" w:bidi="en-GB"/>
              </w:rPr>
              <w:t>’</w:t>
            </w:r>
            <w:r w:rsidRPr="00953DCC">
              <w:rPr>
                <w:rFonts w:ascii="Trebuchet MS" w:eastAsia="Trebuchet MS" w:hAnsi="Trebuchet MS" w:cs="Trebuchet MS"/>
                <w:sz w:val="18"/>
                <w:szCs w:val="22"/>
                <w:lang w:val="fr-FR" w:eastAsia="en-GB" w:bidi="en-GB"/>
              </w:rPr>
              <w:t>OCDE</w:t>
            </w:r>
          </w:p>
        </w:tc>
        <w:tc>
          <w:tcPr>
            <w:tcW w:w="1143" w:type="dxa"/>
          </w:tcPr>
          <w:p w14:paraId="140413AB" w14:textId="77777777" w:rsidR="00AF246C" w:rsidRPr="009E0B44" w:rsidRDefault="00AF246C" w:rsidP="00A947B1">
            <w:pPr>
              <w:widowControl w:val="0"/>
              <w:autoSpaceDE w:val="0"/>
              <w:autoSpaceDN w:val="0"/>
              <w:spacing w:before="19" w:line="225" w:lineRule="exact"/>
              <w:ind w:right="427"/>
              <w:jc w:val="center"/>
              <w:rPr>
                <w:rFonts w:ascii="Trebuchet MS" w:eastAsia="Trebuchet MS" w:hAnsi="Trebuchet MS" w:cs="Trebuchet MS"/>
                <w:sz w:val="18"/>
                <w:szCs w:val="18"/>
                <w:lang w:val="fr-FR" w:eastAsia="en-GB" w:bidi="en-GB"/>
              </w:rPr>
            </w:pPr>
          </w:p>
        </w:tc>
      </w:tr>
      <w:tr w:rsidR="00AF246C" w:rsidRPr="00953DCC" w14:paraId="0CA85EB4" w14:textId="77777777" w:rsidTr="00A947B1">
        <w:trPr>
          <w:trHeight w:val="264"/>
        </w:trPr>
        <w:tc>
          <w:tcPr>
            <w:tcW w:w="2482" w:type="dxa"/>
            <w:shd w:val="clear" w:color="auto" w:fill="DBE5F1"/>
          </w:tcPr>
          <w:p w14:paraId="12BDA1AA"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JAPON</w:t>
            </w:r>
          </w:p>
        </w:tc>
        <w:tc>
          <w:tcPr>
            <w:tcW w:w="1438" w:type="dxa"/>
          </w:tcPr>
          <w:p w14:paraId="0FEFBBEB"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Pr>
          <w:p w14:paraId="7B08F2F2" w14:textId="77777777" w:rsidR="00AF246C" w:rsidRPr="00953DCC" w:rsidRDefault="00AF246C" w:rsidP="00A947B1">
            <w:pPr>
              <w:widowControl w:val="0"/>
              <w:autoSpaceDE w:val="0"/>
              <w:autoSpaceDN w:val="0"/>
              <w:spacing w:before="19"/>
              <w:jc w:val="left"/>
              <w:rPr>
                <w:rFonts w:ascii="Trebuchet MS" w:eastAsia="Trebuchet MS" w:hAnsi="Trebuchet MS" w:cs="Trebuchet MS"/>
                <w:sz w:val="18"/>
                <w:szCs w:val="22"/>
                <w:lang w:val="fr-FR" w:eastAsia="en-GB" w:bidi="en-GB"/>
              </w:rPr>
            </w:pPr>
          </w:p>
        </w:tc>
        <w:tc>
          <w:tcPr>
            <w:tcW w:w="1143" w:type="dxa"/>
          </w:tcPr>
          <w:p w14:paraId="215D202F" w14:textId="77777777" w:rsidR="00AF246C" w:rsidRPr="00953DCC" w:rsidRDefault="00AF246C" w:rsidP="00A947B1">
            <w:pPr>
              <w:widowControl w:val="0"/>
              <w:autoSpaceDE w:val="0"/>
              <w:autoSpaceDN w:val="0"/>
              <w:spacing w:before="19" w:line="225" w:lineRule="exact"/>
              <w:ind w:right="427"/>
              <w:jc w:val="center"/>
              <w:rPr>
                <w:rFonts w:ascii="Trebuchet MS" w:eastAsia="Trebuchet MS" w:hAnsi="Trebuchet MS" w:cs="Trebuchet MS"/>
                <w:szCs w:val="22"/>
                <w:lang w:val="fr-FR" w:eastAsia="en-GB" w:bidi="en-GB"/>
              </w:rPr>
            </w:pPr>
          </w:p>
        </w:tc>
      </w:tr>
    </w:tbl>
    <w:p w14:paraId="3245D8A3" w14:textId="77777777" w:rsidR="00AF246C" w:rsidRPr="002C77EB" w:rsidRDefault="00AF246C" w:rsidP="00AF246C">
      <w:pPr>
        <w:rPr>
          <w:sz w:val="12"/>
        </w:rPr>
      </w:pPr>
    </w:p>
    <w:p w14:paraId="3C94B65D" w14:textId="77777777" w:rsidR="00AF246C" w:rsidRPr="002C77EB" w:rsidRDefault="00AF246C" w:rsidP="00AF246C">
      <w:pPr>
        <w:rPr>
          <w:sz w:val="12"/>
        </w:rPr>
      </w:pPr>
    </w:p>
    <w:p w14:paraId="3024DCC3" w14:textId="77777777" w:rsidR="00AF246C" w:rsidRPr="00953DCC" w:rsidRDefault="00AF246C" w:rsidP="00AF246C">
      <w:pPr>
        <w:rPr>
          <w:lang w:val="fr-FR"/>
        </w:rPr>
      </w:pPr>
      <w:r w:rsidRPr="00953DCC">
        <w:rPr>
          <w:lang w:val="fr-FR"/>
        </w:rPr>
        <w:t>Figure</w:t>
      </w:r>
      <w:r>
        <w:rPr>
          <w:lang w:val="fr-FR"/>
        </w:rPr>
        <w:t> </w:t>
      </w:r>
      <w:r w:rsidRPr="00953DCC">
        <w:rPr>
          <w:lang w:val="fr-FR"/>
        </w:rPr>
        <w:t>1 Carte des pays participants aux Systèmes des semences de l</w:t>
      </w:r>
      <w:r>
        <w:rPr>
          <w:lang w:val="fr-FR"/>
        </w:rPr>
        <w:t>’</w:t>
      </w:r>
      <w:r w:rsidRPr="00953DCC">
        <w:rPr>
          <w:lang w:val="fr-FR"/>
        </w:rPr>
        <w:t>OCDE (2016)</w:t>
      </w:r>
    </w:p>
    <w:p w14:paraId="1135E98D" w14:textId="77777777" w:rsidR="00AF246C" w:rsidRPr="002C77EB" w:rsidRDefault="00AF246C" w:rsidP="00AF246C">
      <w:pPr>
        <w:rPr>
          <w:b/>
          <w:sz w:val="16"/>
          <w:lang w:val="fr-FR"/>
        </w:rPr>
      </w:pPr>
    </w:p>
    <w:p w14:paraId="5C4D8F5A" w14:textId="77777777" w:rsidR="00AF246C" w:rsidRPr="00953DCC" w:rsidRDefault="00AF246C" w:rsidP="00AF246C">
      <w:pPr>
        <w:spacing w:before="5"/>
        <w:rPr>
          <w:b/>
          <w:sz w:val="23"/>
          <w:lang w:val="fr-FR"/>
        </w:rPr>
      </w:pPr>
      <w:r w:rsidRPr="00953DCC">
        <w:rPr>
          <w:noProof/>
        </w:rPr>
        <w:drawing>
          <wp:anchor distT="0" distB="0" distL="0" distR="0" simplePos="0" relativeHeight="251659264" behindDoc="0" locked="0" layoutInCell="1" allowOverlap="1" wp14:anchorId="184912C8" wp14:editId="46624BA3">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6348250" cy="2987040"/>
                    </a:xfrm>
                    <a:prstGeom prst="rect">
                      <a:avLst/>
                    </a:prstGeom>
                  </pic:spPr>
                </pic:pic>
              </a:graphicData>
            </a:graphic>
          </wp:anchor>
        </w:drawing>
      </w:r>
    </w:p>
    <w:p w14:paraId="26815453" w14:textId="77777777" w:rsidR="00AF246C" w:rsidRPr="00953DCC" w:rsidRDefault="00AF246C" w:rsidP="00AF246C">
      <w:pPr>
        <w:rPr>
          <w:i/>
          <w:lang w:val="fr-FR"/>
        </w:rPr>
      </w:pPr>
      <w:bookmarkStart w:id="31" w:name="Objectives"/>
      <w:bookmarkEnd w:id="31"/>
      <w:r w:rsidRPr="00953DCC">
        <w:rPr>
          <w:i/>
          <w:color w:val="000000"/>
          <w:lang w:val="fr-FR"/>
        </w:rPr>
        <w:t>Objectifs</w:t>
      </w:r>
    </w:p>
    <w:p w14:paraId="4A8CCBD1" w14:textId="77777777" w:rsidR="00AF246C" w:rsidRPr="00953DCC" w:rsidRDefault="00AF246C" w:rsidP="00AF246C">
      <w:pPr>
        <w:spacing w:before="4"/>
        <w:rPr>
          <w:rFonts w:cs="Arial"/>
          <w:b/>
          <w:lang w:val="fr-FR"/>
        </w:rPr>
      </w:pPr>
    </w:p>
    <w:p w14:paraId="1673FEB3" w14:textId="77777777" w:rsidR="00AF246C" w:rsidRPr="00953DCC" w:rsidRDefault="00AF246C" w:rsidP="00AF246C">
      <w:pPr>
        <w:widowControl w:val="0"/>
        <w:tabs>
          <w:tab w:val="left" w:pos="1069"/>
          <w:tab w:val="left" w:pos="1071"/>
        </w:tabs>
        <w:autoSpaceDE w:val="0"/>
        <w:autoSpaceDN w:val="0"/>
        <w:ind w:right="213"/>
        <w:rPr>
          <w:rFonts w:cs="Arial"/>
          <w:lang w:val="fr-FR" w:eastAsia="en-GB" w:bidi="en-GB"/>
        </w:rPr>
      </w:pPr>
      <w:r w:rsidRPr="00953DCC">
        <w:rPr>
          <w:rFonts w:cs="Arial"/>
          <w:lang w:val="fr-FR" w:eastAsia="en-GB" w:bidi="en-GB"/>
        </w:rPr>
        <w:t>Ces systèmes visent à encourager la production et l</w:t>
      </w:r>
      <w:r>
        <w:rPr>
          <w:rFonts w:cs="Arial"/>
          <w:lang w:val="fr-FR" w:eastAsia="en-GB" w:bidi="en-GB"/>
        </w:rPr>
        <w:t>’</w:t>
      </w:r>
      <w:r w:rsidRPr="00953DCC">
        <w:rPr>
          <w:rFonts w:cs="Arial"/>
          <w:lang w:val="fr-FR" w:eastAsia="en-GB" w:bidi="en-GB"/>
        </w:rPr>
        <w:t>utilisation de semences “de qualité garantie” dans les pays participants</w:t>
      </w:r>
      <w:r>
        <w:rPr>
          <w:rFonts w:cs="Arial"/>
          <w:lang w:val="fr-FR" w:eastAsia="en-GB" w:bidi="en-GB"/>
        </w:rPr>
        <w:t xml:space="preserve">.  </w:t>
      </w:r>
      <w:r w:rsidRPr="00953DCC">
        <w:rPr>
          <w:rFonts w:cs="Arial"/>
          <w:lang w:val="fr-FR" w:eastAsia="en-GB" w:bidi="en-GB"/>
        </w:rPr>
        <w:t>Ils autorisent l</w:t>
      </w:r>
      <w:r>
        <w:rPr>
          <w:rFonts w:cs="Arial"/>
          <w:lang w:val="fr-FR" w:eastAsia="en-GB" w:bidi="en-GB"/>
        </w:rPr>
        <w:t>’</w:t>
      </w:r>
      <w:r w:rsidRPr="00953DCC">
        <w:rPr>
          <w:rFonts w:cs="Arial"/>
          <w:lang w:val="fr-FR" w:eastAsia="en-GB" w:bidi="en-GB"/>
        </w:rPr>
        <w:t>utilisation d</w:t>
      </w:r>
      <w:r>
        <w:rPr>
          <w:rFonts w:cs="Arial"/>
          <w:lang w:val="fr-FR" w:eastAsia="en-GB" w:bidi="en-GB"/>
        </w:rPr>
        <w:t>’</w:t>
      </w:r>
      <w:r w:rsidRPr="00953DCC">
        <w:rPr>
          <w:rFonts w:cs="Arial"/>
          <w:lang w:val="fr-FR" w:eastAsia="en-GB" w:bidi="en-GB"/>
        </w:rPr>
        <w:t>étiquettes et de certificats pour les semences produites et transformées à des fins de commerce international conformément à des principes convenus garantissant l</w:t>
      </w:r>
      <w:r>
        <w:rPr>
          <w:rFonts w:cs="Arial"/>
          <w:lang w:val="fr-FR" w:eastAsia="en-GB" w:bidi="en-GB"/>
        </w:rPr>
        <w:t>’</w:t>
      </w:r>
      <w:r w:rsidRPr="00953DCC">
        <w:rPr>
          <w:rFonts w:cs="Arial"/>
          <w:lang w:val="fr-FR" w:eastAsia="en-GB" w:bidi="en-GB"/>
        </w:rPr>
        <w:t>identité et la pureté variétales.</w:t>
      </w:r>
    </w:p>
    <w:p w14:paraId="7AFED079" w14:textId="77777777" w:rsidR="00AF246C" w:rsidRPr="00953DCC" w:rsidRDefault="00AF246C" w:rsidP="00AF246C">
      <w:pPr>
        <w:rPr>
          <w:rFonts w:cs="Arial"/>
          <w:lang w:val="fr-FR"/>
        </w:rPr>
      </w:pPr>
    </w:p>
    <w:p w14:paraId="1C909BAF" w14:textId="77777777" w:rsidR="00AF246C" w:rsidRPr="00953DCC" w:rsidRDefault="00AF246C" w:rsidP="00AF246C">
      <w:pPr>
        <w:widowControl w:val="0"/>
        <w:tabs>
          <w:tab w:val="left" w:pos="1069"/>
          <w:tab w:val="left" w:pos="1071"/>
        </w:tabs>
        <w:autoSpaceDE w:val="0"/>
        <w:autoSpaceDN w:val="0"/>
        <w:spacing w:before="1"/>
        <w:ind w:right="212"/>
        <w:rPr>
          <w:rFonts w:cs="Arial"/>
          <w:lang w:val="fr-FR" w:eastAsia="en-GB" w:bidi="en-GB"/>
        </w:rPr>
      </w:pPr>
      <w:r w:rsidRPr="00953DCC">
        <w:rPr>
          <w:rFonts w:cs="Arial"/>
          <w:lang w:val="fr-FR" w:eastAsia="en-GB" w:bidi="en-GB"/>
        </w:rPr>
        <w:t>Ces systèmes facilitent l</w:t>
      </w:r>
      <w:r>
        <w:rPr>
          <w:rFonts w:cs="Arial"/>
          <w:lang w:val="fr-FR" w:eastAsia="en-GB" w:bidi="en-GB"/>
        </w:rPr>
        <w:t>’</w:t>
      </w:r>
      <w:r w:rsidRPr="00953DCC">
        <w:rPr>
          <w:rFonts w:cs="Arial"/>
          <w:lang w:val="fr-FR" w:eastAsia="en-GB" w:bidi="en-GB"/>
        </w:rPr>
        <w:t>importation et l</w:t>
      </w:r>
      <w:r>
        <w:rPr>
          <w:rFonts w:cs="Arial"/>
          <w:lang w:val="fr-FR" w:eastAsia="en-GB" w:bidi="en-GB"/>
        </w:rPr>
        <w:t>’</w:t>
      </w:r>
      <w:r w:rsidRPr="00953DCC">
        <w:rPr>
          <w:rFonts w:cs="Arial"/>
          <w:lang w:val="fr-FR" w:eastAsia="en-GB" w:bidi="en-GB"/>
        </w:rPr>
        <w:t>exportation de semences en supprimant les obstacles techniques au commerce et en assurant l</w:t>
      </w:r>
      <w:r>
        <w:rPr>
          <w:rFonts w:cs="Arial"/>
          <w:lang w:val="fr-FR" w:eastAsia="en-GB" w:bidi="en-GB"/>
        </w:rPr>
        <w:t>’</w:t>
      </w:r>
      <w:r w:rsidRPr="00953DCC">
        <w:rPr>
          <w:rFonts w:cs="Arial"/>
          <w:lang w:val="fr-FR" w:eastAsia="en-GB" w:bidi="en-GB"/>
        </w:rPr>
        <w:t>identification et l</w:t>
      </w:r>
      <w:r>
        <w:rPr>
          <w:rFonts w:cs="Arial"/>
          <w:lang w:val="fr-FR" w:eastAsia="en-GB" w:bidi="en-GB"/>
        </w:rPr>
        <w:t>’</w:t>
      </w:r>
      <w:r w:rsidRPr="00953DCC">
        <w:rPr>
          <w:rFonts w:cs="Arial"/>
          <w:lang w:val="fr-FR" w:eastAsia="en-GB" w:bidi="en-GB"/>
        </w:rPr>
        <w:t>origine par le biais d</w:t>
      </w:r>
      <w:r>
        <w:rPr>
          <w:rFonts w:cs="Arial"/>
          <w:lang w:val="fr-FR" w:eastAsia="en-GB" w:bidi="en-GB"/>
        </w:rPr>
        <w:t>’</w:t>
      </w:r>
      <w:r w:rsidRPr="00953DCC">
        <w:rPr>
          <w:rFonts w:cs="Arial"/>
          <w:lang w:val="fr-FR" w:eastAsia="en-GB" w:bidi="en-GB"/>
        </w:rPr>
        <w:t>étiquettes (“passeports”) internationalement reconnues pour le commerce</w:t>
      </w:r>
      <w:r>
        <w:rPr>
          <w:rFonts w:cs="Arial"/>
          <w:lang w:val="fr-FR" w:eastAsia="en-GB" w:bidi="en-GB"/>
        </w:rPr>
        <w:t xml:space="preserve">.  </w:t>
      </w:r>
      <w:r w:rsidRPr="00953DCC">
        <w:rPr>
          <w:rFonts w:cs="Arial"/>
          <w:lang w:val="fr-FR" w:eastAsia="en-GB" w:bidi="en-GB"/>
        </w:rPr>
        <w:t>Ils établissent également des lignes directrices pour la multiplication des semences à l</w:t>
      </w:r>
      <w:r>
        <w:rPr>
          <w:rFonts w:cs="Arial"/>
          <w:lang w:val="fr-FR" w:eastAsia="en-GB" w:bidi="en-GB"/>
        </w:rPr>
        <w:t>’</w:t>
      </w:r>
      <w:r w:rsidRPr="00953DCC">
        <w:rPr>
          <w:rFonts w:cs="Arial"/>
          <w:lang w:val="fr-FR" w:eastAsia="en-GB" w:bidi="en-GB"/>
        </w:rPr>
        <w:t xml:space="preserve">étranger, ainsi que pour la délégation de certaines activités de contrôle au secteur privé (“autorisation”). </w:t>
      </w:r>
      <w:r>
        <w:rPr>
          <w:rFonts w:cs="Arial"/>
          <w:lang w:val="fr-FR" w:eastAsia="en-GB" w:bidi="en-GB"/>
        </w:rPr>
        <w:t xml:space="preserve"> </w:t>
      </w:r>
      <w:r w:rsidRPr="00953DCC">
        <w:rPr>
          <w:rFonts w:cs="Arial"/>
          <w:lang w:val="fr-FR" w:eastAsia="en-GB" w:bidi="en-GB"/>
        </w:rPr>
        <w:t>La quantité de semences certifiées dans le cadre des systèmes de l</w:t>
      </w:r>
      <w:r>
        <w:rPr>
          <w:rFonts w:cs="Arial"/>
          <w:lang w:val="fr-FR" w:eastAsia="en-GB" w:bidi="en-GB"/>
        </w:rPr>
        <w:t>’</w:t>
      </w:r>
      <w:r w:rsidRPr="00953DCC">
        <w:rPr>
          <w:rFonts w:cs="Arial"/>
          <w:lang w:val="fr-FR" w:eastAsia="en-GB" w:bidi="en-GB"/>
        </w:rPr>
        <w:t>OCDE a augmenté rapidement ces dernières années et dépasse désormais le million de tonnes.</w:t>
      </w:r>
    </w:p>
    <w:p w14:paraId="72B14770" w14:textId="77777777" w:rsidR="00AF246C" w:rsidRPr="00953DCC" w:rsidRDefault="00AF246C" w:rsidP="00AF246C">
      <w:pPr>
        <w:spacing w:before="5"/>
        <w:rPr>
          <w:sz w:val="14"/>
          <w:lang w:val="fr-FR"/>
        </w:rPr>
      </w:pPr>
    </w:p>
    <w:p w14:paraId="160E7CBD" w14:textId="77777777" w:rsidR="00AF246C" w:rsidRPr="00953DCC" w:rsidRDefault="00AF246C" w:rsidP="00AF246C">
      <w:pPr>
        <w:rPr>
          <w:i/>
          <w:lang w:val="fr-FR"/>
        </w:rPr>
      </w:pPr>
      <w:bookmarkStart w:id="32" w:name="How_do_the_Seed_Schemes_operate"/>
      <w:bookmarkEnd w:id="32"/>
      <w:r w:rsidRPr="00953DCC">
        <w:rPr>
          <w:i/>
          <w:lang w:val="fr-FR"/>
        </w:rPr>
        <w:t>Comment fonctionnent les Systèmes des semences de l</w:t>
      </w:r>
      <w:r>
        <w:rPr>
          <w:i/>
          <w:lang w:val="fr-FR"/>
        </w:rPr>
        <w:t>’</w:t>
      </w:r>
      <w:r w:rsidRPr="00953DCC">
        <w:rPr>
          <w:i/>
          <w:lang w:val="fr-FR"/>
        </w:rPr>
        <w:t>OCDE?</w:t>
      </w:r>
    </w:p>
    <w:p w14:paraId="44D42B9D" w14:textId="77777777" w:rsidR="00AF246C" w:rsidRPr="00953DCC" w:rsidRDefault="00AF246C" w:rsidP="00AF246C">
      <w:pPr>
        <w:spacing w:before="4"/>
        <w:rPr>
          <w:rFonts w:cs="Arial"/>
          <w:b/>
          <w:lang w:val="fr-FR"/>
        </w:rPr>
      </w:pPr>
    </w:p>
    <w:p w14:paraId="1A99EE6B" w14:textId="77777777" w:rsidR="00AF246C" w:rsidRPr="00953DCC" w:rsidRDefault="00AF246C" w:rsidP="00AF246C">
      <w:pPr>
        <w:widowControl w:val="0"/>
        <w:tabs>
          <w:tab w:val="left" w:pos="1069"/>
          <w:tab w:val="left" w:pos="1071"/>
        </w:tabs>
        <w:autoSpaceDE w:val="0"/>
        <w:autoSpaceDN w:val="0"/>
        <w:spacing w:after="160"/>
        <w:ind w:right="216"/>
        <w:rPr>
          <w:rFonts w:cs="Arial"/>
          <w:lang w:val="fr-FR" w:eastAsia="en-GB" w:bidi="en-GB"/>
        </w:rPr>
      </w:pPr>
      <w:r w:rsidRPr="00953DCC">
        <w:rPr>
          <w:rFonts w:cs="Arial"/>
          <w:lang w:val="fr-FR" w:eastAsia="en-GB" w:bidi="en-GB"/>
        </w:rPr>
        <w:t>Le succès de la certification internationale dépend de la coopération étroite entre les conservateurs, les producteurs de semences, les négociants et l</w:t>
      </w:r>
      <w:r>
        <w:rPr>
          <w:rFonts w:cs="Arial"/>
          <w:lang w:val="fr-FR" w:eastAsia="en-GB" w:bidi="en-GB"/>
        </w:rPr>
        <w:t>’</w:t>
      </w:r>
      <w:r w:rsidRPr="00953DCC">
        <w:rPr>
          <w:rFonts w:cs="Arial"/>
          <w:lang w:val="fr-FR" w:eastAsia="en-GB" w:bidi="en-GB"/>
        </w:rPr>
        <w:t>administration désignée (désignée par le gouvernement) dans chaque pays participant</w:t>
      </w:r>
      <w:r>
        <w:rPr>
          <w:rFonts w:cs="Arial"/>
          <w:lang w:val="fr-FR" w:eastAsia="en-GB" w:bidi="en-GB"/>
        </w:rPr>
        <w:t xml:space="preserve">.  </w:t>
      </w:r>
      <w:r w:rsidRPr="00953DCC">
        <w:rPr>
          <w:rFonts w:cs="Arial"/>
          <w:lang w:val="fr-FR" w:eastAsia="en-GB" w:bidi="en-GB"/>
        </w:rPr>
        <w:t>Des réunions fréquentes permettent un dialogue multipartite pour échanger des informations, discuter d</w:t>
      </w:r>
      <w:r>
        <w:rPr>
          <w:rFonts w:cs="Arial"/>
          <w:lang w:val="fr-FR" w:eastAsia="en-GB" w:bidi="en-GB"/>
        </w:rPr>
        <w:t>’</w:t>
      </w:r>
      <w:r w:rsidRPr="00953DCC">
        <w:rPr>
          <w:rFonts w:cs="Arial"/>
          <w:lang w:val="fr-FR" w:eastAsia="en-GB" w:bidi="en-GB"/>
        </w:rPr>
        <w:t>études de cas, réviser les règles et mettre à jour les systèmes</w:t>
      </w:r>
      <w:r>
        <w:rPr>
          <w:rFonts w:cs="Arial"/>
          <w:lang w:val="fr-FR" w:eastAsia="en-GB" w:bidi="en-GB"/>
        </w:rPr>
        <w:t xml:space="preserve">.  </w:t>
      </w:r>
      <w:r w:rsidRPr="00953DCC">
        <w:rPr>
          <w:rFonts w:cs="Arial"/>
          <w:lang w:val="fr-FR" w:eastAsia="en-GB" w:bidi="en-GB"/>
        </w:rPr>
        <w:t>Un large éventail d</w:t>
      </w:r>
      <w:r>
        <w:rPr>
          <w:rFonts w:cs="Arial"/>
          <w:lang w:val="fr-FR" w:eastAsia="en-GB" w:bidi="en-GB"/>
        </w:rPr>
        <w:t>’</w:t>
      </w:r>
      <w:r w:rsidRPr="00953DCC">
        <w:rPr>
          <w:rFonts w:cs="Arial"/>
          <w:lang w:val="fr-FR" w:eastAsia="en-GB" w:bidi="en-GB"/>
        </w:rPr>
        <w:t>organisations internationales et d</w:t>
      </w:r>
      <w:r>
        <w:rPr>
          <w:rFonts w:cs="Arial"/>
          <w:lang w:val="fr-FR" w:eastAsia="en-GB" w:bidi="en-GB"/>
        </w:rPr>
        <w:t>’</w:t>
      </w:r>
      <w:r w:rsidRPr="00953DCC">
        <w:rPr>
          <w:rFonts w:cs="Arial"/>
          <w:lang w:val="fr-FR" w:eastAsia="en-GB" w:bidi="en-GB"/>
        </w:rPr>
        <w:t>organisations non gouvernementales, ainsi que des réseaux de l</w:t>
      </w:r>
      <w:r>
        <w:rPr>
          <w:rFonts w:cs="Arial"/>
          <w:lang w:val="fr-FR" w:eastAsia="en-GB" w:bidi="en-GB"/>
        </w:rPr>
        <w:t>’</w:t>
      </w:r>
      <w:r w:rsidRPr="00953DCC">
        <w:rPr>
          <w:rFonts w:cs="Arial"/>
          <w:lang w:val="fr-FR" w:eastAsia="en-GB" w:bidi="en-GB"/>
        </w:rPr>
        <w:t>industrie semencière, participent activement à ces systèmes.</w:t>
      </w:r>
    </w:p>
    <w:p w14:paraId="1E5C442F" w14:textId="77777777" w:rsidR="00AF246C" w:rsidRPr="00953DCC" w:rsidRDefault="00AF246C" w:rsidP="00AF246C">
      <w:pPr>
        <w:keepNext/>
        <w:rPr>
          <w:i/>
          <w:lang w:val="fr-FR"/>
        </w:rPr>
      </w:pPr>
      <w:bookmarkStart w:id="33" w:name="Benefits_of_the_Schemes"/>
      <w:bookmarkEnd w:id="33"/>
      <w:r>
        <w:rPr>
          <w:i/>
          <w:lang w:val="fr-FR"/>
        </w:rPr>
        <w:lastRenderedPageBreak/>
        <w:t>L</w:t>
      </w:r>
      <w:r w:rsidRPr="00953DCC">
        <w:rPr>
          <w:i/>
          <w:lang w:val="fr-FR"/>
        </w:rPr>
        <w:t xml:space="preserve">es avantages </w:t>
      </w:r>
      <w:r>
        <w:rPr>
          <w:i/>
          <w:lang w:val="fr-FR"/>
        </w:rPr>
        <w:t>de ces systèmes</w:t>
      </w:r>
    </w:p>
    <w:p w14:paraId="54B07339" w14:textId="77777777" w:rsidR="00AF246C" w:rsidRPr="00953DCC" w:rsidRDefault="00AF246C" w:rsidP="00AF246C">
      <w:pPr>
        <w:spacing w:before="5"/>
        <w:rPr>
          <w:rFonts w:cs="Arial"/>
          <w:b/>
          <w:lang w:val="fr-FR"/>
        </w:rPr>
      </w:pPr>
    </w:p>
    <w:p w14:paraId="10413BBC" w14:textId="77777777" w:rsidR="00AF246C" w:rsidRPr="00953DCC" w:rsidRDefault="00AF246C" w:rsidP="00AF246C">
      <w:pPr>
        <w:widowControl w:val="0"/>
        <w:numPr>
          <w:ilvl w:val="1"/>
          <w:numId w:val="6"/>
        </w:numPr>
        <w:autoSpaceDE w:val="0"/>
        <w:autoSpaceDN w:val="0"/>
        <w:ind w:left="1134" w:right="219" w:hanging="567"/>
        <w:rPr>
          <w:rFonts w:cs="Arial"/>
          <w:lang w:val="fr-FR" w:eastAsia="en-GB" w:bidi="en-GB"/>
        </w:rPr>
      </w:pPr>
      <w:r w:rsidRPr="00953DCC">
        <w:rPr>
          <w:rFonts w:cs="Arial"/>
          <w:lang w:val="fr-FR" w:eastAsia="en-GB" w:bidi="en-GB"/>
        </w:rPr>
        <w:t>Faciliter le commerce international en utilisant des procédures de certification harmonisées, des techniques d</w:t>
      </w:r>
      <w:r>
        <w:rPr>
          <w:rFonts w:cs="Arial"/>
          <w:lang w:val="fr-FR" w:eastAsia="en-GB" w:bidi="en-GB"/>
        </w:rPr>
        <w:t>’</w:t>
      </w:r>
      <w:r w:rsidRPr="00953DCC">
        <w:rPr>
          <w:rFonts w:cs="Arial"/>
          <w:lang w:val="fr-FR" w:eastAsia="en-GB" w:bidi="en-GB"/>
        </w:rPr>
        <w:t>inspection des cultures et l</w:t>
      </w:r>
      <w:r>
        <w:rPr>
          <w:rFonts w:cs="Arial"/>
          <w:lang w:val="fr-FR" w:eastAsia="en-GB" w:bidi="en-GB"/>
        </w:rPr>
        <w:t>’</w:t>
      </w:r>
      <w:r w:rsidRPr="00953DCC">
        <w:rPr>
          <w:rFonts w:cs="Arial"/>
          <w:lang w:val="fr-FR" w:eastAsia="en-GB" w:bidi="en-GB"/>
        </w:rPr>
        <w:t>utilisation de parcelles témoins</w:t>
      </w:r>
      <w:r>
        <w:rPr>
          <w:rFonts w:cs="Arial"/>
          <w:lang w:val="fr-FR" w:eastAsia="en-GB" w:bidi="en-GB"/>
        </w:rPr>
        <w:t xml:space="preserve">.  </w:t>
      </w:r>
      <w:r w:rsidRPr="00953DCC">
        <w:rPr>
          <w:rFonts w:cs="Arial"/>
          <w:lang w:val="fr-FR" w:eastAsia="en-GB" w:bidi="en-GB"/>
        </w:rPr>
        <w:t>Les normes de pureté variétale pour les espèces appropriées sont également approuvées et normalisées par tous les États membres.</w:t>
      </w:r>
    </w:p>
    <w:p w14:paraId="319D4F99" w14:textId="77777777" w:rsidR="00AF246C" w:rsidRPr="00953DCC" w:rsidRDefault="00AF246C" w:rsidP="00AF246C">
      <w:pPr>
        <w:widowControl w:val="0"/>
        <w:numPr>
          <w:ilvl w:val="1"/>
          <w:numId w:val="6"/>
        </w:numPr>
        <w:autoSpaceDE w:val="0"/>
        <w:autoSpaceDN w:val="0"/>
        <w:ind w:left="1134" w:hanging="567"/>
        <w:jc w:val="left"/>
        <w:rPr>
          <w:rFonts w:cs="Arial"/>
          <w:lang w:val="fr-FR" w:eastAsia="en-GB" w:bidi="en-GB"/>
        </w:rPr>
      </w:pPr>
      <w:r w:rsidRPr="00953DCC">
        <w:rPr>
          <w:rFonts w:cs="Arial"/>
          <w:lang w:val="fr-FR" w:eastAsia="en-GB" w:bidi="en-GB"/>
        </w:rPr>
        <w:t>Fournir un cadre pour développer la production de semences avec d</w:t>
      </w:r>
      <w:r>
        <w:rPr>
          <w:rFonts w:cs="Arial"/>
          <w:lang w:val="fr-FR" w:eastAsia="en-GB" w:bidi="en-GB"/>
        </w:rPr>
        <w:t>’</w:t>
      </w:r>
      <w:r w:rsidRPr="00953DCC">
        <w:rPr>
          <w:rFonts w:cs="Arial"/>
          <w:lang w:val="fr-FR" w:eastAsia="en-GB" w:bidi="en-GB"/>
        </w:rPr>
        <w:t>autres pays ou entreprises.</w:t>
      </w:r>
    </w:p>
    <w:p w14:paraId="7B03722D" w14:textId="77777777" w:rsidR="00AF246C" w:rsidRPr="00953DCC" w:rsidRDefault="00AF246C" w:rsidP="00AF246C">
      <w:pPr>
        <w:widowControl w:val="0"/>
        <w:numPr>
          <w:ilvl w:val="1"/>
          <w:numId w:val="6"/>
        </w:numPr>
        <w:autoSpaceDE w:val="0"/>
        <w:autoSpaceDN w:val="0"/>
        <w:ind w:left="1134" w:hanging="567"/>
        <w:jc w:val="left"/>
        <w:rPr>
          <w:rFonts w:cs="Arial"/>
          <w:lang w:val="fr-FR" w:eastAsia="en-GB" w:bidi="en-GB"/>
        </w:rPr>
      </w:pPr>
      <w:r w:rsidRPr="00953DCC">
        <w:rPr>
          <w:rFonts w:cs="Arial"/>
          <w:lang w:val="fr-FR" w:eastAsia="en-GB" w:bidi="en-GB"/>
        </w:rPr>
        <w:t>Participer à l</w:t>
      </w:r>
      <w:r>
        <w:rPr>
          <w:rFonts w:cs="Arial"/>
          <w:lang w:val="fr-FR" w:eastAsia="en-GB" w:bidi="en-GB"/>
        </w:rPr>
        <w:t>’</w:t>
      </w:r>
      <w:r w:rsidRPr="00953DCC">
        <w:rPr>
          <w:rFonts w:cs="Arial"/>
          <w:lang w:val="fr-FR" w:eastAsia="en-GB" w:bidi="en-GB"/>
        </w:rPr>
        <w:t>élaboration de règles internationales pour la certification des semences.</w:t>
      </w:r>
    </w:p>
    <w:p w14:paraId="4E402122" w14:textId="77777777" w:rsidR="00AF246C" w:rsidRPr="00953DCC" w:rsidRDefault="00AF246C" w:rsidP="00AF246C">
      <w:pPr>
        <w:widowControl w:val="0"/>
        <w:numPr>
          <w:ilvl w:val="1"/>
          <w:numId w:val="6"/>
        </w:numPr>
        <w:autoSpaceDE w:val="0"/>
        <w:autoSpaceDN w:val="0"/>
        <w:ind w:left="1134" w:hanging="567"/>
        <w:jc w:val="left"/>
        <w:rPr>
          <w:rFonts w:cs="Arial"/>
          <w:lang w:val="fr-FR" w:eastAsia="en-GB" w:bidi="en-GB"/>
        </w:rPr>
      </w:pPr>
      <w:r w:rsidRPr="00953DCC">
        <w:rPr>
          <w:rFonts w:cs="Arial"/>
          <w:lang w:val="fr-FR" w:eastAsia="en-GB" w:bidi="en-GB"/>
        </w:rPr>
        <w:t>Renforcer la collaboration entre les secteurs public et privé.</w:t>
      </w:r>
    </w:p>
    <w:p w14:paraId="0D43E7B4" w14:textId="77777777" w:rsidR="00AF246C" w:rsidRPr="00953DCC" w:rsidRDefault="00AF246C" w:rsidP="00AF246C">
      <w:pPr>
        <w:widowControl w:val="0"/>
        <w:numPr>
          <w:ilvl w:val="1"/>
          <w:numId w:val="6"/>
        </w:numPr>
        <w:autoSpaceDE w:val="0"/>
        <w:autoSpaceDN w:val="0"/>
        <w:ind w:left="1134" w:right="225" w:hanging="567"/>
        <w:rPr>
          <w:rFonts w:cs="Arial"/>
          <w:lang w:val="fr-FR" w:eastAsia="en-GB" w:bidi="en-GB"/>
        </w:rPr>
      </w:pPr>
      <w:r w:rsidRPr="00953DCC">
        <w:rPr>
          <w:rFonts w:cs="Arial"/>
          <w:lang w:val="fr-FR" w:eastAsia="en-GB" w:bidi="en-GB"/>
        </w:rPr>
        <w:t>Bénéficier d</w:t>
      </w:r>
      <w:r>
        <w:rPr>
          <w:rFonts w:cs="Arial"/>
          <w:lang w:val="fr-FR" w:eastAsia="en-GB" w:bidi="en-GB"/>
        </w:rPr>
        <w:t>’</w:t>
      </w:r>
      <w:r w:rsidRPr="00953DCC">
        <w:rPr>
          <w:rFonts w:cs="Arial"/>
          <w:lang w:val="fr-FR" w:eastAsia="en-GB" w:bidi="en-GB"/>
        </w:rPr>
        <w:t>échanges réguliers d</w:t>
      </w:r>
      <w:r>
        <w:rPr>
          <w:rFonts w:cs="Arial"/>
          <w:lang w:val="fr-FR" w:eastAsia="en-GB" w:bidi="en-GB"/>
        </w:rPr>
        <w:t>’</w:t>
      </w:r>
      <w:r w:rsidRPr="00953DCC">
        <w:rPr>
          <w:rFonts w:cs="Arial"/>
          <w:lang w:val="fr-FR" w:eastAsia="en-GB" w:bidi="en-GB"/>
        </w:rPr>
        <w:t>informations avec d</w:t>
      </w:r>
      <w:r>
        <w:rPr>
          <w:rFonts w:cs="Arial"/>
          <w:lang w:val="fr-FR" w:eastAsia="en-GB" w:bidi="en-GB"/>
        </w:rPr>
        <w:t>’</w:t>
      </w:r>
      <w:r w:rsidRPr="00953DCC">
        <w:rPr>
          <w:rFonts w:cs="Arial"/>
          <w:lang w:val="fr-FR" w:eastAsia="en-GB" w:bidi="en-GB"/>
        </w:rPr>
        <w:t>autres organismes nationaux de certification et organisations observatrices.</w:t>
      </w:r>
    </w:p>
    <w:p w14:paraId="011C8969" w14:textId="77777777" w:rsidR="00AF246C" w:rsidRPr="00953DCC" w:rsidRDefault="00AF246C" w:rsidP="00AF246C">
      <w:pPr>
        <w:spacing w:before="5"/>
        <w:rPr>
          <w:rFonts w:cs="Arial"/>
          <w:lang w:val="fr-FR"/>
        </w:rPr>
      </w:pPr>
    </w:p>
    <w:p w14:paraId="3ED02A48" w14:textId="77777777" w:rsidR="00AF246C" w:rsidRPr="00953DCC" w:rsidRDefault="00AF246C" w:rsidP="00AF246C">
      <w:pPr>
        <w:rPr>
          <w:i/>
          <w:lang w:val="fr-FR"/>
        </w:rPr>
      </w:pPr>
      <w:bookmarkStart w:id="34" w:name="Annual_List_of_Varieties"/>
      <w:bookmarkEnd w:id="34"/>
      <w:r w:rsidRPr="00953DCC">
        <w:rPr>
          <w:i/>
          <w:lang w:val="fr-FR"/>
        </w:rPr>
        <w:t>Listes annuelles des variétés</w:t>
      </w:r>
    </w:p>
    <w:p w14:paraId="52F2DB48" w14:textId="77777777" w:rsidR="00AF246C" w:rsidRPr="00953DCC" w:rsidRDefault="00AF246C" w:rsidP="00AF246C">
      <w:pPr>
        <w:spacing w:before="4"/>
        <w:rPr>
          <w:rFonts w:cs="Arial"/>
          <w:b/>
          <w:lang w:val="fr-FR"/>
        </w:rPr>
      </w:pPr>
    </w:p>
    <w:p w14:paraId="49D33744" w14:textId="77777777" w:rsidR="00AF246C" w:rsidRPr="00953DCC" w:rsidRDefault="00AF246C" w:rsidP="00AF246C">
      <w:pPr>
        <w:widowControl w:val="0"/>
        <w:tabs>
          <w:tab w:val="left" w:pos="1127"/>
          <w:tab w:val="left" w:pos="1128"/>
        </w:tabs>
        <w:autoSpaceDE w:val="0"/>
        <w:autoSpaceDN w:val="0"/>
        <w:ind w:right="216"/>
        <w:rPr>
          <w:rFonts w:cs="Arial"/>
          <w:lang w:val="fr-FR" w:eastAsia="en-GB" w:bidi="en-GB"/>
        </w:rPr>
      </w:pPr>
      <w:r w:rsidRPr="00953DCC">
        <w:rPr>
          <w:rFonts w:cs="Arial"/>
          <w:w w:val="105"/>
          <w:lang w:val="fr-FR" w:eastAsia="en-GB" w:bidi="en-GB"/>
        </w:rPr>
        <w:t>La liste annuelle des variétés remplissant les conditions requises pour bénéficier de la certification de l</w:t>
      </w:r>
      <w:r>
        <w:rPr>
          <w:rFonts w:cs="Arial"/>
          <w:w w:val="105"/>
          <w:lang w:val="fr-FR" w:eastAsia="en-GB" w:bidi="en-GB"/>
        </w:rPr>
        <w:t>’</w:t>
      </w:r>
      <w:r w:rsidRPr="00953DCC">
        <w:rPr>
          <w:rFonts w:cs="Arial"/>
          <w:w w:val="105"/>
          <w:lang w:val="fr-FR" w:eastAsia="en-GB" w:bidi="en-GB"/>
        </w:rPr>
        <w:t>OCDE comprend les variétés qui sont officiellement reconnues comme étant distinctes, homogènes et stables et qui ont une valeur acceptable dans un ou plusieurs pays participants</w:t>
      </w:r>
      <w:r>
        <w:rPr>
          <w:rFonts w:cs="Arial"/>
          <w:w w:val="105"/>
          <w:lang w:val="fr-FR" w:eastAsia="en-GB" w:bidi="en-GB"/>
        </w:rPr>
        <w:t xml:space="preserve">.  </w:t>
      </w:r>
      <w:r w:rsidRPr="00953DCC">
        <w:rPr>
          <w:rFonts w:cs="Arial"/>
          <w:w w:val="105"/>
          <w:lang w:val="fr-FR" w:eastAsia="en-GB" w:bidi="en-GB"/>
        </w:rPr>
        <w:t>Cette liste contient les variétés de semences commercialisées au niveau international au moyen des Systèmes des semences de l</w:t>
      </w:r>
      <w:r>
        <w:rPr>
          <w:rFonts w:cs="Arial"/>
          <w:w w:val="105"/>
          <w:lang w:val="fr-FR" w:eastAsia="en-GB" w:bidi="en-GB"/>
        </w:rPr>
        <w:t>’</w:t>
      </w:r>
      <w:r w:rsidRPr="00953DCC">
        <w:rPr>
          <w:rFonts w:cs="Arial"/>
          <w:w w:val="105"/>
          <w:lang w:val="fr-FR" w:eastAsia="en-GB" w:bidi="en-GB"/>
        </w:rPr>
        <w:t>OCDE</w:t>
      </w:r>
      <w:r>
        <w:rPr>
          <w:rFonts w:cs="Arial"/>
          <w:w w:val="105"/>
          <w:lang w:val="fr-FR" w:eastAsia="en-GB" w:bidi="en-GB"/>
        </w:rPr>
        <w:t xml:space="preserve">.  </w:t>
      </w:r>
      <w:r w:rsidRPr="00953DCC">
        <w:rPr>
          <w:rFonts w:cs="Arial"/>
          <w:w w:val="105"/>
          <w:lang w:val="fr-FR" w:eastAsia="en-GB" w:bidi="en-GB"/>
        </w:rPr>
        <w:t>Le nombre de variétés n</w:t>
      </w:r>
      <w:r>
        <w:rPr>
          <w:rFonts w:cs="Arial"/>
          <w:w w:val="105"/>
          <w:lang w:val="fr-FR" w:eastAsia="en-GB" w:bidi="en-GB"/>
        </w:rPr>
        <w:t>’</w:t>
      </w:r>
      <w:r w:rsidRPr="00953DCC">
        <w:rPr>
          <w:rFonts w:cs="Arial"/>
          <w:w w:val="105"/>
          <w:lang w:val="fr-FR" w:eastAsia="en-GB" w:bidi="en-GB"/>
        </w:rPr>
        <w:t>a cessé d</w:t>
      </w:r>
      <w:r>
        <w:rPr>
          <w:rFonts w:cs="Arial"/>
          <w:w w:val="105"/>
          <w:lang w:val="fr-FR" w:eastAsia="en-GB" w:bidi="en-GB"/>
        </w:rPr>
        <w:t>’</w:t>
      </w:r>
      <w:r w:rsidRPr="00953DCC">
        <w:rPr>
          <w:rFonts w:cs="Arial"/>
          <w:w w:val="105"/>
          <w:lang w:val="fr-FR" w:eastAsia="en-GB" w:bidi="en-GB"/>
        </w:rPr>
        <w:t>augmenter au cours de ces trente</w:t>
      </w:r>
      <w:r>
        <w:rPr>
          <w:rFonts w:cs="Arial"/>
          <w:w w:val="105"/>
          <w:lang w:val="fr-FR" w:eastAsia="en-GB" w:bidi="en-GB"/>
        </w:rPr>
        <w:t xml:space="preserve"> </w:t>
      </w:r>
      <w:r w:rsidRPr="00953DCC">
        <w:rPr>
          <w:rFonts w:cs="Arial"/>
          <w:w w:val="105"/>
          <w:lang w:val="fr-FR" w:eastAsia="en-GB" w:bidi="en-GB"/>
        </w:rPr>
        <w:t>dernières années</w:t>
      </w:r>
      <w:r>
        <w:rPr>
          <w:rFonts w:cs="Arial"/>
          <w:w w:val="105"/>
          <w:lang w:val="fr-FR" w:eastAsia="en-GB" w:bidi="en-GB"/>
        </w:rPr>
        <w:t xml:space="preserve">.  </w:t>
      </w:r>
      <w:r w:rsidRPr="00953DCC">
        <w:rPr>
          <w:rFonts w:cs="Arial"/>
          <w:w w:val="105"/>
          <w:lang w:val="fr-FR" w:eastAsia="en-GB" w:bidi="en-GB"/>
        </w:rPr>
        <w:t>Actuellement, le nombre de variétés répertoriées s</w:t>
      </w:r>
      <w:r>
        <w:rPr>
          <w:rFonts w:cs="Arial"/>
          <w:w w:val="105"/>
          <w:lang w:val="fr-FR" w:eastAsia="en-GB" w:bidi="en-GB"/>
        </w:rPr>
        <w:t>’</w:t>
      </w:r>
      <w:r w:rsidRPr="00953DCC">
        <w:rPr>
          <w:rFonts w:cs="Arial"/>
          <w:w w:val="105"/>
          <w:lang w:val="fr-FR" w:eastAsia="en-GB" w:bidi="en-GB"/>
        </w:rPr>
        <w:t>élève à plus de 62</w:t>
      </w:r>
      <w:r>
        <w:rPr>
          <w:rFonts w:cs="Arial"/>
          <w:w w:val="105"/>
          <w:lang w:val="fr-FR" w:eastAsia="en-GB" w:bidi="en-GB"/>
        </w:rPr>
        <w:t> </w:t>
      </w:r>
      <w:r w:rsidRPr="00953DCC">
        <w:rPr>
          <w:rFonts w:cs="Arial"/>
          <w:w w:val="105"/>
          <w:lang w:val="fr-FR" w:eastAsia="en-GB" w:bidi="en-GB"/>
        </w:rPr>
        <w:t>000, correspondant à 200 espèces</w:t>
      </w:r>
      <w:r>
        <w:rPr>
          <w:rFonts w:cs="Arial"/>
          <w:w w:val="105"/>
          <w:lang w:val="fr-FR" w:eastAsia="en-GB" w:bidi="en-GB"/>
        </w:rPr>
        <w:t xml:space="preserve">.  </w:t>
      </w:r>
      <w:r w:rsidRPr="00953DCC">
        <w:rPr>
          <w:rFonts w:cs="Arial"/>
          <w:w w:val="105"/>
          <w:lang w:val="fr-FR" w:eastAsia="en-GB" w:bidi="en-GB"/>
        </w:rPr>
        <w:t>La liste est accessible en ligne et mise à jour régulièrement.</w:t>
      </w:r>
    </w:p>
    <w:p w14:paraId="46FC0AF0" w14:textId="77777777" w:rsidR="00AF246C" w:rsidRPr="00953DCC" w:rsidRDefault="00AF246C" w:rsidP="00AF246C">
      <w:pPr>
        <w:spacing w:before="4"/>
        <w:rPr>
          <w:rFonts w:cs="Arial"/>
          <w:lang w:val="fr-FR"/>
        </w:rPr>
      </w:pPr>
    </w:p>
    <w:p w14:paraId="4E3C6DDB" w14:textId="77777777" w:rsidR="00AF246C" w:rsidRPr="00953DCC" w:rsidRDefault="00AF246C" w:rsidP="00AF246C">
      <w:pPr>
        <w:rPr>
          <w:i/>
          <w:lang w:val="fr-FR"/>
        </w:rPr>
      </w:pPr>
      <w:bookmarkStart w:id="35" w:name="Outlook"/>
      <w:bookmarkEnd w:id="35"/>
      <w:r w:rsidRPr="00953DCC">
        <w:rPr>
          <w:i/>
          <w:lang w:val="fr-FR"/>
        </w:rPr>
        <w:t>Perspectives</w:t>
      </w:r>
    </w:p>
    <w:p w14:paraId="7F4F4E22" w14:textId="77777777" w:rsidR="00AF246C" w:rsidRPr="00953DCC" w:rsidRDefault="00AF246C" w:rsidP="00AF246C">
      <w:pPr>
        <w:spacing w:before="6"/>
        <w:rPr>
          <w:rFonts w:cs="Arial"/>
          <w:b/>
          <w:lang w:val="fr-FR"/>
        </w:rPr>
      </w:pPr>
    </w:p>
    <w:p w14:paraId="20757DEB" w14:textId="77777777" w:rsidR="00AF246C" w:rsidRPr="00953DCC" w:rsidRDefault="00AF246C" w:rsidP="00AF246C">
      <w:pPr>
        <w:widowControl w:val="0"/>
        <w:tabs>
          <w:tab w:val="left" w:pos="1069"/>
          <w:tab w:val="left" w:pos="1071"/>
        </w:tabs>
        <w:autoSpaceDE w:val="0"/>
        <w:autoSpaceDN w:val="0"/>
        <w:spacing w:before="1"/>
        <w:ind w:right="223"/>
        <w:rPr>
          <w:rFonts w:cs="Arial"/>
          <w:lang w:val="fr-FR" w:eastAsia="en-GB" w:bidi="en-GB"/>
        </w:rPr>
      </w:pPr>
      <w:r w:rsidRPr="00953DCC">
        <w:rPr>
          <w:rFonts w:cs="Arial"/>
          <w:lang w:val="fr-FR" w:eastAsia="en-GB" w:bidi="en-GB"/>
        </w:rPr>
        <w:t>Les “consommateurs” de semences devenant de plus en plus exigeants, les besoins en matière de normes uniformes pour les semences sont plus importants, alors que dans le même temps, les ressources financières publiques pour la réglementation et le contrôle de la qualité sont limitées.</w:t>
      </w:r>
    </w:p>
    <w:p w14:paraId="566C54BF" w14:textId="77777777" w:rsidR="00AF246C" w:rsidRPr="00953DCC" w:rsidRDefault="00AF246C" w:rsidP="00AF246C">
      <w:pPr>
        <w:spacing w:before="8"/>
        <w:rPr>
          <w:rFonts w:cs="Arial"/>
          <w:lang w:val="fr-FR"/>
        </w:rPr>
      </w:pPr>
    </w:p>
    <w:p w14:paraId="14FBFBF4" w14:textId="77777777" w:rsidR="00AF246C" w:rsidRPr="00953DCC" w:rsidRDefault="00AF246C" w:rsidP="00AF246C">
      <w:pPr>
        <w:widowControl w:val="0"/>
        <w:tabs>
          <w:tab w:val="left" w:pos="1069"/>
          <w:tab w:val="left" w:pos="1071"/>
        </w:tabs>
        <w:autoSpaceDE w:val="0"/>
        <w:autoSpaceDN w:val="0"/>
        <w:ind w:right="214"/>
        <w:rPr>
          <w:rFonts w:cs="Arial"/>
          <w:lang w:val="fr-FR" w:eastAsia="en-GB" w:bidi="en-GB"/>
        </w:rPr>
      </w:pPr>
      <w:r w:rsidRPr="00953DCC">
        <w:rPr>
          <w:rFonts w:cs="Arial"/>
          <w:lang w:val="fr-FR" w:eastAsia="en-GB" w:bidi="en-GB"/>
        </w:rPr>
        <w:t>La coopération entre les pays et les parties prenantes dans le cadre de ces systèmes constitue une réponse aux préoccupations liées à une approche réglementaire adaptée au marché</w:t>
      </w:r>
      <w:r>
        <w:rPr>
          <w:rFonts w:cs="Arial"/>
          <w:lang w:val="fr-FR" w:eastAsia="en-GB" w:bidi="en-GB"/>
        </w:rPr>
        <w:t xml:space="preserve">.  </w:t>
      </w:r>
      <w:r w:rsidRPr="00953DCC">
        <w:rPr>
          <w:rFonts w:cs="Arial"/>
          <w:i/>
          <w:lang w:val="fr-FR" w:eastAsia="en-GB" w:bidi="en-GB"/>
        </w:rPr>
        <w:t>Chaque pays fait face à un cadre juridique, des relations commerciales et des obstacles institutionnels différents, alors que les diverses approches doivent rester cohérentes entre les pays entrant sur les marchés internationaux en tant qu</w:t>
      </w:r>
      <w:r>
        <w:rPr>
          <w:rFonts w:cs="Arial"/>
          <w:i/>
          <w:lang w:val="fr-FR" w:eastAsia="en-GB" w:bidi="en-GB"/>
        </w:rPr>
        <w:t>’</w:t>
      </w:r>
      <w:r w:rsidRPr="00953DCC">
        <w:rPr>
          <w:rFonts w:cs="Arial"/>
          <w:i/>
          <w:lang w:val="fr-FR" w:eastAsia="en-GB" w:bidi="en-GB"/>
        </w:rPr>
        <w:t>importateurs ou exportateurs de semences.</w:t>
      </w:r>
    </w:p>
    <w:p w14:paraId="21FD8DF1" w14:textId="77777777" w:rsidR="00AF246C" w:rsidRPr="00953DCC" w:rsidRDefault="00AF246C" w:rsidP="00AF246C">
      <w:pPr>
        <w:spacing w:before="10"/>
        <w:rPr>
          <w:rFonts w:cs="Arial"/>
          <w:lang w:val="fr-FR"/>
        </w:rPr>
      </w:pPr>
    </w:p>
    <w:p w14:paraId="173B2946" w14:textId="77777777" w:rsidR="00AF246C" w:rsidRPr="00953DCC" w:rsidRDefault="00AF246C" w:rsidP="00AF246C">
      <w:pPr>
        <w:widowControl w:val="0"/>
        <w:tabs>
          <w:tab w:val="left" w:pos="1069"/>
          <w:tab w:val="left" w:pos="1071"/>
        </w:tabs>
        <w:autoSpaceDE w:val="0"/>
        <w:autoSpaceDN w:val="0"/>
        <w:spacing w:before="1"/>
        <w:ind w:right="217"/>
        <w:rPr>
          <w:rFonts w:cs="Arial"/>
          <w:lang w:val="fr-FR" w:eastAsia="en-GB" w:bidi="en-GB"/>
        </w:rPr>
      </w:pPr>
      <w:r w:rsidRPr="00953DCC">
        <w:rPr>
          <w:rFonts w:cs="Arial"/>
          <w:lang w:val="fr-FR" w:eastAsia="en-GB" w:bidi="en-GB"/>
        </w:rPr>
        <w:t>Les conservateurs et les entreprises semencières ont la responsabilité de s</w:t>
      </w:r>
      <w:r>
        <w:rPr>
          <w:rFonts w:cs="Arial"/>
          <w:lang w:val="fr-FR" w:eastAsia="en-GB" w:bidi="en-GB"/>
        </w:rPr>
        <w:t>’</w:t>
      </w:r>
      <w:r w:rsidRPr="00953DCC">
        <w:rPr>
          <w:rFonts w:cs="Arial"/>
          <w:lang w:val="fr-FR" w:eastAsia="en-GB" w:bidi="en-GB"/>
        </w:rPr>
        <w:t>assurer que leurs variétés restent pures et fidèles à la description et à l</w:t>
      </w:r>
      <w:r>
        <w:rPr>
          <w:rFonts w:cs="Arial"/>
          <w:lang w:val="fr-FR" w:eastAsia="en-GB" w:bidi="en-GB"/>
        </w:rPr>
        <w:t>’</w:t>
      </w:r>
      <w:r w:rsidRPr="00953DCC">
        <w:rPr>
          <w:rFonts w:cs="Arial"/>
          <w:lang w:val="fr-FR" w:eastAsia="en-GB" w:bidi="en-GB"/>
        </w:rPr>
        <w:t>échantillon faisant autorité (qui est la “description vivante” de la variété), non seulement sur le plan national, mais étalement au</w:t>
      </w:r>
      <w:r>
        <w:rPr>
          <w:rFonts w:cs="Arial"/>
          <w:lang w:val="fr-FR" w:eastAsia="en-GB" w:bidi="en-GB"/>
        </w:rPr>
        <w:noBreakHyphen/>
      </w:r>
      <w:r w:rsidRPr="00953DCC">
        <w:rPr>
          <w:rFonts w:cs="Arial"/>
          <w:lang w:val="fr-FR" w:eastAsia="en-GB" w:bidi="en-GB"/>
        </w:rPr>
        <w:t>delà des frontières</w:t>
      </w:r>
      <w:r>
        <w:rPr>
          <w:rFonts w:cs="Arial"/>
          <w:lang w:val="fr-FR" w:eastAsia="en-GB" w:bidi="en-GB"/>
        </w:rPr>
        <w:t xml:space="preserve">.  </w:t>
      </w:r>
      <w:r w:rsidRPr="00953DCC">
        <w:rPr>
          <w:rFonts w:cs="Arial"/>
          <w:lang w:val="fr-FR" w:eastAsia="en-GB" w:bidi="en-GB"/>
        </w:rPr>
        <w:t>Il faut toutefois que des critères minimums soient conjointement définis, approuvés et mis en œuvre lors de la multiplication des semences en grandes quantités pour le commerce</w:t>
      </w:r>
      <w:r>
        <w:rPr>
          <w:rFonts w:cs="Arial"/>
          <w:lang w:val="fr-FR" w:eastAsia="en-GB" w:bidi="en-GB"/>
        </w:rPr>
        <w:t xml:space="preserve">.  </w:t>
      </w:r>
      <w:r w:rsidRPr="00953DCC">
        <w:rPr>
          <w:rFonts w:cs="Arial"/>
          <w:lang w:val="fr-FR" w:eastAsia="en-GB" w:bidi="en-GB"/>
        </w:rPr>
        <w:t>Les Systèmes des semences de l</w:t>
      </w:r>
      <w:r>
        <w:rPr>
          <w:rFonts w:cs="Arial"/>
          <w:lang w:val="fr-FR" w:eastAsia="en-GB" w:bidi="en-GB"/>
        </w:rPr>
        <w:t>’</w:t>
      </w:r>
      <w:r w:rsidRPr="00953DCC">
        <w:rPr>
          <w:rFonts w:cs="Arial"/>
          <w:lang w:val="fr-FR" w:eastAsia="en-GB" w:bidi="en-GB"/>
        </w:rPr>
        <w:t>OCDE fournissent ce cadre juridique au niveau international.</w:t>
      </w:r>
    </w:p>
    <w:p w14:paraId="53AB2A49" w14:textId="77777777" w:rsidR="00AF246C" w:rsidRPr="00953DCC" w:rsidRDefault="00AF246C" w:rsidP="00AF246C">
      <w:pPr>
        <w:widowControl w:val="0"/>
        <w:tabs>
          <w:tab w:val="left" w:pos="1069"/>
          <w:tab w:val="left" w:pos="1071"/>
        </w:tabs>
        <w:autoSpaceDE w:val="0"/>
        <w:autoSpaceDN w:val="0"/>
        <w:spacing w:before="1"/>
        <w:ind w:left="220" w:right="217"/>
        <w:rPr>
          <w:rFonts w:cs="Arial"/>
          <w:lang w:val="fr-FR" w:eastAsia="en-GB" w:bidi="en-GB"/>
        </w:rPr>
      </w:pPr>
    </w:p>
    <w:p w14:paraId="688213C6" w14:textId="77777777" w:rsidR="00AF246C" w:rsidRPr="00953DCC" w:rsidRDefault="00AF246C" w:rsidP="00AF246C">
      <w:pPr>
        <w:rPr>
          <w:i/>
          <w:lang w:val="fr-FR"/>
        </w:rPr>
      </w:pPr>
      <w:r w:rsidRPr="00953DCC">
        <w:rPr>
          <w:i/>
          <w:lang w:val="fr-FR"/>
        </w:rPr>
        <w:t>Situation des techniques biochimiques et moléculaires dans les Systèmes des semences de l</w:t>
      </w:r>
      <w:r>
        <w:rPr>
          <w:i/>
          <w:lang w:val="fr-FR"/>
        </w:rPr>
        <w:t>’</w:t>
      </w:r>
      <w:r w:rsidRPr="00953DCC">
        <w:rPr>
          <w:i/>
          <w:lang w:val="fr-FR"/>
        </w:rPr>
        <w:t>OCDE</w:t>
      </w:r>
    </w:p>
    <w:p w14:paraId="613D8A4A" w14:textId="77777777" w:rsidR="00AF246C" w:rsidRPr="00953DCC" w:rsidRDefault="00AF246C" w:rsidP="00AF246C">
      <w:pPr>
        <w:ind w:right="556"/>
        <w:rPr>
          <w:lang w:val="fr-FR"/>
        </w:rPr>
      </w:pPr>
    </w:p>
    <w:p w14:paraId="10EF2049" w14:textId="77777777" w:rsidR="00AF246C" w:rsidRPr="00953DCC" w:rsidRDefault="00AF246C" w:rsidP="00AF246C">
      <w:pPr>
        <w:spacing w:line="247" w:lineRule="exact"/>
        <w:rPr>
          <w:lang w:val="fr-FR"/>
        </w:rPr>
      </w:pPr>
      <w:r w:rsidRPr="00953DCC">
        <w:rPr>
          <w:lang w:val="fr-FR"/>
        </w:rPr>
        <w:t>Les Systèmes des semences de l</w:t>
      </w:r>
      <w:r>
        <w:rPr>
          <w:lang w:val="fr-FR"/>
        </w:rPr>
        <w:t>’</w:t>
      </w:r>
      <w:r w:rsidRPr="00953DCC">
        <w:rPr>
          <w:lang w:val="fr-FR"/>
        </w:rPr>
        <w:t>OCDE n</w:t>
      </w:r>
      <w:r>
        <w:rPr>
          <w:lang w:val="fr-FR"/>
        </w:rPr>
        <w:t>’</w:t>
      </w:r>
      <w:r w:rsidRPr="00953DCC">
        <w:rPr>
          <w:lang w:val="fr-FR"/>
        </w:rPr>
        <w:t>approuvent pas particulièrement une méthode de laboratoire pour déterminer l</w:t>
      </w:r>
      <w:r>
        <w:rPr>
          <w:lang w:val="fr-FR"/>
        </w:rPr>
        <w:t>’</w:t>
      </w:r>
      <w:r w:rsidRPr="00953DCC">
        <w:rPr>
          <w:lang w:val="fr-FR"/>
        </w:rPr>
        <w:t>identité variétale ou la pureté variétale</w:t>
      </w:r>
      <w:r>
        <w:rPr>
          <w:lang w:val="fr-FR"/>
        </w:rPr>
        <w:t xml:space="preserve">.  </w:t>
      </w:r>
      <w:r w:rsidRPr="00953DCC">
        <w:rPr>
          <w:lang w:val="fr-FR"/>
        </w:rPr>
        <w:t>Les méthodes traditionnelles de l</w:t>
      </w:r>
      <w:r>
        <w:rPr>
          <w:lang w:val="fr-FR"/>
        </w:rPr>
        <w:t>’</w:t>
      </w:r>
      <w:r w:rsidRPr="00953DCC">
        <w:rPr>
          <w:lang w:val="fr-FR"/>
        </w:rPr>
        <w:t>OCDE consistant à utiliser des techniques d</w:t>
      </w:r>
      <w:r>
        <w:rPr>
          <w:lang w:val="fr-FR"/>
        </w:rPr>
        <w:t>’</w:t>
      </w:r>
      <w:r w:rsidRPr="00953DCC">
        <w:rPr>
          <w:lang w:val="fr-FR"/>
        </w:rPr>
        <w:t>inspection sur le terrain, de concert avec des parcelles de contrôles avant et après, doivent être considérées comme les méthodes requises de détermination de l</w:t>
      </w:r>
      <w:r>
        <w:rPr>
          <w:lang w:val="fr-FR"/>
        </w:rPr>
        <w:t>’</w:t>
      </w:r>
      <w:r w:rsidRPr="00953DCC">
        <w:rPr>
          <w:lang w:val="fr-FR"/>
        </w:rPr>
        <w:t>identité et de la pureté variétales.</w:t>
      </w:r>
    </w:p>
    <w:p w14:paraId="40B65D79" w14:textId="77777777" w:rsidR="00AF246C" w:rsidRPr="00953DCC" w:rsidRDefault="00AF246C" w:rsidP="00AF246C">
      <w:pPr>
        <w:spacing w:line="247" w:lineRule="exact"/>
        <w:rPr>
          <w:lang w:val="fr-FR"/>
        </w:rPr>
      </w:pPr>
    </w:p>
    <w:p w14:paraId="2F2CB357" w14:textId="77777777" w:rsidR="00AF246C" w:rsidRPr="00953DCC" w:rsidRDefault="00AF246C" w:rsidP="00AF246C">
      <w:pPr>
        <w:ind w:right="102"/>
        <w:rPr>
          <w:lang w:val="fr-FR"/>
        </w:rPr>
      </w:pPr>
      <w:r w:rsidRPr="00953DCC">
        <w:rPr>
          <w:lang w:val="fr-FR"/>
        </w:rPr>
        <w:t>Toutefois, les Systèmes des semences de l</w:t>
      </w:r>
      <w:r>
        <w:rPr>
          <w:lang w:val="fr-FR"/>
        </w:rPr>
        <w:t>’</w:t>
      </w:r>
      <w:r w:rsidRPr="00953DCC">
        <w:rPr>
          <w:lang w:val="fr-FR"/>
        </w:rPr>
        <w:t>OCDE reconnaissent qu</w:t>
      </w:r>
      <w:r>
        <w:rPr>
          <w:lang w:val="fr-FR"/>
        </w:rPr>
        <w:t>’</w:t>
      </w:r>
      <w:r w:rsidRPr="00953DCC">
        <w:rPr>
          <w:lang w:val="fr-FR"/>
        </w:rPr>
        <w:t>il existe des cas où ces méthodes traditionnelles limitent la certitude en matière de détermination variétale et que, parfois, les variétés de certaines espèces ne peuvent pas être identifiées avec certitude au moyen de ces méthodes traditionnelles</w:t>
      </w:r>
      <w:r>
        <w:rPr>
          <w:lang w:val="fr-FR"/>
        </w:rPr>
        <w:t xml:space="preserve">.  </w:t>
      </w:r>
      <w:r w:rsidRPr="00953DCC">
        <w:rPr>
          <w:lang w:val="fr-FR"/>
        </w:rPr>
        <w:t>Dans certaines circonstances particulières, il pourrait être bénéfique d</w:t>
      </w:r>
      <w:r>
        <w:rPr>
          <w:lang w:val="fr-FR"/>
        </w:rPr>
        <w:t>’</w:t>
      </w:r>
      <w:r w:rsidRPr="00953DCC">
        <w:rPr>
          <w:lang w:val="fr-FR"/>
        </w:rPr>
        <w:t>utiliser des techniques non basées sur le terrain telles que des techniques biochimiques et moléculaires qui doivent être considérées comme complétant les méthodes plus traditionnelles et non comme remplaçant celles</w:t>
      </w:r>
      <w:r>
        <w:rPr>
          <w:lang w:val="fr-FR"/>
        </w:rPr>
        <w:noBreakHyphen/>
      </w:r>
      <w:r w:rsidRPr="00953DCC">
        <w:rPr>
          <w:lang w:val="fr-FR"/>
        </w:rPr>
        <w:t>ci.</w:t>
      </w:r>
    </w:p>
    <w:p w14:paraId="60E8D5EA" w14:textId="77777777" w:rsidR="00AF246C" w:rsidRPr="00953DCC" w:rsidRDefault="00AF246C" w:rsidP="00AF246C">
      <w:pPr>
        <w:spacing w:before="8"/>
        <w:rPr>
          <w:lang w:val="fr-FR"/>
        </w:rPr>
      </w:pPr>
    </w:p>
    <w:p w14:paraId="5F634C85" w14:textId="77777777" w:rsidR="00AF246C" w:rsidRPr="00953DCC" w:rsidRDefault="00AF246C" w:rsidP="00AF246C">
      <w:pPr>
        <w:spacing w:before="1"/>
        <w:rPr>
          <w:b/>
          <w:lang w:val="fr-FR"/>
        </w:rPr>
      </w:pPr>
      <w:r w:rsidRPr="00953DCC">
        <w:rPr>
          <w:lang w:val="fr-FR"/>
        </w:rPr>
        <w:t>Pour de plus amples informations sur les Systèmes de semences de l</w:t>
      </w:r>
      <w:r>
        <w:rPr>
          <w:lang w:val="fr-FR"/>
        </w:rPr>
        <w:t>’</w:t>
      </w:r>
      <w:r w:rsidRPr="00953DCC">
        <w:rPr>
          <w:lang w:val="fr-FR"/>
        </w:rPr>
        <w:t>OCDE, voir</w:t>
      </w:r>
      <w:r>
        <w:rPr>
          <w:lang w:val="fr-FR"/>
        </w:rPr>
        <w:t> :</w:t>
      </w:r>
      <w:r w:rsidRPr="00953DCC">
        <w:rPr>
          <w:lang w:val="fr-FR"/>
        </w:rPr>
        <w:t xml:space="preserve"> www.oecd.org/tad/seed</w:t>
      </w:r>
    </w:p>
    <w:p w14:paraId="7F7B7456" w14:textId="77777777" w:rsidR="00AF246C" w:rsidRPr="00953DCC" w:rsidRDefault="00AF246C" w:rsidP="00AF246C">
      <w:pPr>
        <w:rPr>
          <w:lang w:val="fr-FR"/>
        </w:rPr>
      </w:pPr>
    </w:p>
    <w:p w14:paraId="3E2B0845" w14:textId="77777777" w:rsidR="00AF246C" w:rsidRPr="00953DCC" w:rsidRDefault="00AF246C" w:rsidP="00AF246C">
      <w:pPr>
        <w:rPr>
          <w:lang w:val="fr-FR"/>
        </w:rPr>
      </w:pPr>
    </w:p>
    <w:p w14:paraId="13E910D1" w14:textId="77777777" w:rsidR="00AF246C" w:rsidRPr="00953DCC" w:rsidRDefault="00AF246C" w:rsidP="00AF246C">
      <w:pPr>
        <w:keepNext/>
        <w:rPr>
          <w:bCs/>
          <w:u w:val="single"/>
          <w:lang w:val="fr-FR"/>
        </w:rPr>
      </w:pPr>
      <w:r w:rsidRPr="00953DCC">
        <w:rPr>
          <w:bCs/>
          <w:color w:val="000000"/>
          <w:u w:val="single"/>
          <w:lang w:val="fr-FR"/>
        </w:rPr>
        <w:lastRenderedPageBreak/>
        <w:t>Union internationale pour la protection des obtentions végétales (UPOV)</w:t>
      </w:r>
    </w:p>
    <w:p w14:paraId="6F36DBEB" w14:textId="77777777" w:rsidR="00AF246C" w:rsidRPr="00953DCC" w:rsidRDefault="00AF246C" w:rsidP="00AF246C">
      <w:pPr>
        <w:rPr>
          <w:lang w:val="fr-FR"/>
        </w:rPr>
      </w:pPr>
    </w:p>
    <w:p w14:paraId="269FB6D7" w14:textId="77777777" w:rsidR="00AF246C" w:rsidRPr="00953DCC" w:rsidRDefault="00AF246C" w:rsidP="00AF246C">
      <w:pPr>
        <w:rPr>
          <w:lang w:val="fr-FR"/>
        </w:rPr>
      </w:pPr>
      <w:r w:rsidRPr="00953DCC">
        <w:rPr>
          <w:lang w:val="fr-FR"/>
        </w:rPr>
        <w:t>Type d</w:t>
      </w:r>
      <w:r>
        <w:rPr>
          <w:lang w:val="fr-FR"/>
        </w:rPr>
        <w:t>’</w:t>
      </w:r>
      <w:r w:rsidRPr="00953DCC">
        <w:rPr>
          <w:lang w:val="fr-FR"/>
        </w:rPr>
        <w:t>organisation</w:t>
      </w:r>
      <w:r>
        <w:rPr>
          <w:lang w:val="fr-FR"/>
        </w:rPr>
        <w:t> :</w:t>
      </w:r>
      <w:r w:rsidRPr="00953DCC">
        <w:rPr>
          <w:lang w:val="fr-FR"/>
        </w:rPr>
        <w:t xml:space="preserve"> intergouvernementale</w:t>
      </w:r>
    </w:p>
    <w:p w14:paraId="5836224E" w14:textId="77777777" w:rsidR="00AF246C" w:rsidRDefault="00AF246C" w:rsidP="00AF246C">
      <w:pPr>
        <w:rPr>
          <w:lang w:val="fr-FR"/>
        </w:rPr>
      </w:pPr>
    </w:p>
    <w:p w14:paraId="2FCF0020" w14:textId="77777777" w:rsidR="00AF246C" w:rsidRPr="00953DCC" w:rsidRDefault="00AF246C" w:rsidP="00AF246C">
      <w:pPr>
        <w:rPr>
          <w:bCs/>
          <w:lang w:val="fr-FR"/>
        </w:rPr>
      </w:pPr>
      <w:r w:rsidRPr="00953DCC">
        <w:rPr>
          <w:bCs/>
          <w:lang w:val="fr-FR"/>
        </w:rPr>
        <w:t>Membres</w:t>
      </w:r>
    </w:p>
    <w:p w14:paraId="334493C8" w14:textId="77777777" w:rsidR="00AF246C" w:rsidRPr="00953DCC" w:rsidRDefault="002C6F63" w:rsidP="00AF246C">
      <w:pPr>
        <w:rPr>
          <w:lang w:val="fr-FR"/>
        </w:rPr>
      </w:pPr>
      <w:hyperlink r:id="rId17" w:history="1">
        <w:r w:rsidR="00AF246C" w:rsidRPr="00D9517D">
          <w:rPr>
            <w:rStyle w:val="Hyperlink"/>
            <w:lang w:val="fr-FR"/>
          </w:rPr>
          <w:t>Liste des membres de l’UPOV</w:t>
        </w:r>
      </w:hyperlink>
      <w:r w:rsidR="00AF246C" w:rsidRPr="00953DCC">
        <w:rPr>
          <w:lang w:val="fr-FR"/>
        </w:rPr>
        <w:t>/</w:t>
      </w:r>
      <w:hyperlink r:id="rId18" w:history="1">
        <w:r w:rsidR="00AF246C" w:rsidRPr="00D9517D">
          <w:rPr>
            <w:rStyle w:val="Hyperlink"/>
            <w:lang w:val="fr-FR"/>
          </w:rPr>
          <w:t>Situation de l’UPOV</w:t>
        </w:r>
      </w:hyperlink>
    </w:p>
    <w:p w14:paraId="68E6366C" w14:textId="77777777" w:rsidR="00AF246C" w:rsidRDefault="00AF246C" w:rsidP="00AF246C">
      <w:pPr>
        <w:rPr>
          <w:lang w:val="fr-FR"/>
        </w:rPr>
      </w:pPr>
    </w:p>
    <w:p w14:paraId="62C2B41C" w14:textId="77777777" w:rsidR="00AF246C" w:rsidRPr="00953DCC" w:rsidRDefault="00AF246C" w:rsidP="00AF246C">
      <w:pPr>
        <w:keepNext/>
        <w:rPr>
          <w:bCs/>
          <w:i/>
          <w:lang w:val="fr-FR"/>
        </w:rPr>
      </w:pPr>
      <w:r w:rsidRPr="00953DCC">
        <w:rPr>
          <w:bCs/>
          <w:i/>
          <w:lang w:val="fr-FR"/>
        </w:rPr>
        <w:t>Qu</w:t>
      </w:r>
      <w:r>
        <w:rPr>
          <w:bCs/>
          <w:i/>
          <w:lang w:val="fr-FR"/>
        </w:rPr>
        <w:t>’</w:t>
      </w:r>
      <w:r w:rsidRPr="00953DCC">
        <w:rPr>
          <w:bCs/>
          <w:i/>
          <w:lang w:val="fr-FR"/>
        </w:rPr>
        <w:t>est</w:t>
      </w:r>
      <w:r>
        <w:rPr>
          <w:bCs/>
          <w:i/>
          <w:lang w:val="fr-FR"/>
        </w:rPr>
        <w:noBreakHyphen/>
      </w:r>
      <w:r w:rsidRPr="00953DCC">
        <w:rPr>
          <w:bCs/>
          <w:i/>
          <w:lang w:val="fr-FR"/>
        </w:rPr>
        <w:t>ce que l</w:t>
      </w:r>
      <w:r>
        <w:rPr>
          <w:bCs/>
          <w:i/>
          <w:lang w:val="fr-FR"/>
        </w:rPr>
        <w:t>’</w:t>
      </w:r>
      <w:r w:rsidRPr="00953DCC">
        <w:rPr>
          <w:bCs/>
          <w:i/>
          <w:lang w:val="fr-FR"/>
        </w:rPr>
        <w:t>UPOV?</w:t>
      </w:r>
    </w:p>
    <w:p w14:paraId="62847F12" w14:textId="77777777" w:rsidR="00AF246C" w:rsidRPr="00953DCC" w:rsidRDefault="00AF246C" w:rsidP="00AF246C">
      <w:pPr>
        <w:keepNext/>
        <w:rPr>
          <w:bCs/>
          <w:lang w:val="fr-FR"/>
        </w:rPr>
      </w:pPr>
    </w:p>
    <w:p w14:paraId="100BBAC5" w14:textId="77777777" w:rsidR="00AF246C" w:rsidRPr="00953DCC" w:rsidRDefault="00AF246C" w:rsidP="00AF246C">
      <w:pPr>
        <w:rPr>
          <w:lang w:val="fr-FR"/>
        </w:rPr>
      </w:pPr>
      <w:r w:rsidRPr="00953DCC">
        <w:rPr>
          <w:lang w:val="fr-FR"/>
        </w:rPr>
        <w:t>L</w:t>
      </w:r>
      <w:r>
        <w:rPr>
          <w:lang w:val="fr-FR"/>
        </w:rPr>
        <w:t>’</w:t>
      </w:r>
      <w:r w:rsidRPr="00953DCC">
        <w:rPr>
          <w:lang w:val="fr-FR"/>
        </w:rPr>
        <w:t xml:space="preserve">Union internationale pour la protection des obtentions végétales (UPOV) est une organisation intergouvernementale dont le siège est à Genève (Suisse). </w:t>
      </w:r>
      <w:r>
        <w:rPr>
          <w:lang w:val="fr-FR"/>
        </w:rPr>
        <w:t xml:space="preserve"> </w:t>
      </w:r>
      <w:r w:rsidRPr="00953DCC">
        <w:rPr>
          <w:lang w:val="fr-FR"/>
        </w:rPr>
        <w:t>L</w:t>
      </w:r>
      <w:r>
        <w:rPr>
          <w:lang w:val="fr-FR"/>
        </w:rPr>
        <w:t>’</w:t>
      </w:r>
      <w:r w:rsidRPr="00953DCC">
        <w:rPr>
          <w:lang w:val="fr-FR"/>
        </w:rPr>
        <w:t>UPOV a été créée en 1961 par la Convention internationale pour la protection des obtentions végétales (la “</w:t>
      </w:r>
      <w:r>
        <w:rPr>
          <w:lang w:val="fr-FR"/>
        </w:rPr>
        <w:t>Convention UPOV</w:t>
      </w:r>
      <w:r w:rsidRPr="00953DCC">
        <w:rPr>
          <w:lang w:val="fr-FR"/>
        </w:rPr>
        <w:t>”).</w:t>
      </w:r>
    </w:p>
    <w:p w14:paraId="2D08DA41" w14:textId="77777777" w:rsidR="00AF246C" w:rsidRPr="00953DCC" w:rsidRDefault="00AF246C" w:rsidP="00AF246C">
      <w:pPr>
        <w:rPr>
          <w:lang w:val="fr-FR"/>
        </w:rPr>
      </w:pPr>
      <w:r w:rsidRPr="00953DCC">
        <w:rPr>
          <w:lang w:val="fr-FR"/>
        </w:rPr>
        <w:t>La mission de l</w:t>
      </w:r>
      <w:r>
        <w:rPr>
          <w:lang w:val="fr-FR"/>
        </w:rPr>
        <w:t>’</w:t>
      </w:r>
      <w:r w:rsidRPr="00953DCC">
        <w:rPr>
          <w:lang w:val="fr-FR"/>
        </w:rPr>
        <w:t>UPOV consiste à mettre en place et à promouvoir un système efficace de protection des variétés végétales afin d</w:t>
      </w:r>
      <w:r>
        <w:rPr>
          <w:lang w:val="fr-FR"/>
        </w:rPr>
        <w:t>’</w:t>
      </w:r>
      <w:r w:rsidRPr="00953DCC">
        <w:rPr>
          <w:lang w:val="fr-FR"/>
        </w:rPr>
        <w:t>encourager l</w:t>
      </w:r>
      <w:r>
        <w:rPr>
          <w:lang w:val="fr-FR"/>
        </w:rPr>
        <w:t>’</w:t>
      </w:r>
      <w:r w:rsidRPr="00953DCC">
        <w:rPr>
          <w:lang w:val="fr-FR"/>
        </w:rPr>
        <w:t>obtention de variétés, dans l</w:t>
      </w:r>
      <w:r>
        <w:rPr>
          <w:lang w:val="fr-FR"/>
        </w:rPr>
        <w:t>’</w:t>
      </w:r>
      <w:r w:rsidRPr="00953DCC">
        <w:rPr>
          <w:lang w:val="fr-FR"/>
        </w:rPr>
        <w:t>intérêt de tous.</w:t>
      </w:r>
    </w:p>
    <w:p w14:paraId="47A9BC6A" w14:textId="77777777" w:rsidR="00AF246C" w:rsidRPr="00953DCC" w:rsidRDefault="00AF246C" w:rsidP="00AF246C">
      <w:pPr>
        <w:rPr>
          <w:lang w:val="fr-FR"/>
        </w:rPr>
      </w:pPr>
      <w:r w:rsidRPr="00953DCC">
        <w:rPr>
          <w:lang w:val="fr-FR"/>
        </w:rPr>
        <w:t xml:space="preserve">La </w:t>
      </w:r>
      <w:r>
        <w:rPr>
          <w:lang w:val="fr-FR"/>
        </w:rPr>
        <w:t>Convention UPOV</w:t>
      </w:r>
      <w:r w:rsidRPr="00953DCC">
        <w:rPr>
          <w:lang w:val="fr-FR"/>
        </w:rPr>
        <w:t xml:space="preserve"> fournit la base aux membres de l</w:t>
      </w:r>
      <w:r>
        <w:rPr>
          <w:lang w:val="fr-FR"/>
        </w:rPr>
        <w:t>’</w:t>
      </w:r>
      <w:r w:rsidRPr="00953DCC">
        <w:rPr>
          <w:lang w:val="fr-FR"/>
        </w:rPr>
        <w:t>Union pour encourager l</w:t>
      </w:r>
      <w:r>
        <w:rPr>
          <w:lang w:val="fr-FR"/>
        </w:rPr>
        <w:t>’</w:t>
      </w:r>
      <w:r w:rsidRPr="00953DCC">
        <w:rPr>
          <w:lang w:val="fr-FR"/>
        </w:rPr>
        <w:t>amélioration des plantes en octroyant aux obtenteurs de nouvelles variétés végétales un droit de propriété intellectuelle</w:t>
      </w:r>
      <w:r>
        <w:rPr>
          <w:lang w:val="fr-FR"/>
        </w:rPr>
        <w:t> :</w:t>
      </w:r>
      <w:r w:rsidRPr="00953DCC">
        <w:rPr>
          <w:lang w:val="fr-FR"/>
        </w:rPr>
        <w:t xml:space="preserve"> le droit d</w:t>
      </w:r>
      <w:r>
        <w:rPr>
          <w:lang w:val="fr-FR"/>
        </w:rPr>
        <w:t>’</w:t>
      </w:r>
      <w:r w:rsidRPr="00953DCC">
        <w:rPr>
          <w:lang w:val="fr-FR"/>
        </w:rPr>
        <w:t>obtenteur.</w:t>
      </w:r>
    </w:p>
    <w:p w14:paraId="55AE0F50" w14:textId="77777777" w:rsidR="00AF246C" w:rsidRDefault="00AF246C" w:rsidP="00AF246C">
      <w:pPr>
        <w:rPr>
          <w:lang w:val="fr-FR"/>
        </w:rPr>
      </w:pPr>
    </w:p>
    <w:p w14:paraId="118E63FB" w14:textId="77777777" w:rsidR="00AF246C" w:rsidRPr="00953DCC" w:rsidRDefault="00AF246C" w:rsidP="00AF246C">
      <w:pPr>
        <w:rPr>
          <w:bCs/>
          <w:i/>
          <w:lang w:val="fr-FR"/>
        </w:rPr>
      </w:pPr>
      <w:r w:rsidRPr="00953DCC">
        <w:rPr>
          <w:bCs/>
          <w:i/>
          <w:lang w:val="fr-FR"/>
        </w:rPr>
        <w:t>Que fait l</w:t>
      </w:r>
      <w:r>
        <w:rPr>
          <w:bCs/>
          <w:i/>
          <w:lang w:val="fr-FR"/>
        </w:rPr>
        <w:t>’</w:t>
      </w:r>
      <w:r w:rsidRPr="00953DCC">
        <w:rPr>
          <w:bCs/>
          <w:i/>
          <w:lang w:val="fr-FR"/>
        </w:rPr>
        <w:t>UPOV?</w:t>
      </w:r>
    </w:p>
    <w:p w14:paraId="1E9E4796" w14:textId="77777777" w:rsidR="00AF246C" w:rsidRPr="00953DCC" w:rsidRDefault="00AF246C" w:rsidP="00AF246C">
      <w:pPr>
        <w:rPr>
          <w:bCs/>
          <w:lang w:val="fr-FR"/>
        </w:rPr>
      </w:pPr>
    </w:p>
    <w:p w14:paraId="392D1032" w14:textId="77777777" w:rsidR="00AF246C" w:rsidRPr="00953DCC" w:rsidRDefault="00AF246C" w:rsidP="00AF246C">
      <w:pPr>
        <w:rPr>
          <w:lang w:val="fr-FR"/>
        </w:rPr>
      </w:pPr>
      <w:r w:rsidRPr="00953DCC">
        <w:rPr>
          <w:lang w:val="fr-FR"/>
        </w:rPr>
        <w:t>L</w:t>
      </w:r>
      <w:r>
        <w:rPr>
          <w:lang w:val="fr-FR"/>
        </w:rPr>
        <w:t>’</w:t>
      </w:r>
      <w:r w:rsidRPr="00953DCC">
        <w:rPr>
          <w:lang w:val="fr-FR"/>
        </w:rPr>
        <w:t>UPOV a pour mission de mettre en place et de promouvoir un système efficace de protection des variétés végétales afin d</w:t>
      </w:r>
      <w:r>
        <w:rPr>
          <w:lang w:val="fr-FR"/>
        </w:rPr>
        <w:t>’</w:t>
      </w:r>
      <w:r w:rsidRPr="00953DCC">
        <w:rPr>
          <w:lang w:val="fr-FR"/>
        </w:rPr>
        <w:t>encourager l</w:t>
      </w:r>
      <w:r>
        <w:rPr>
          <w:lang w:val="fr-FR"/>
        </w:rPr>
        <w:t>’</w:t>
      </w:r>
      <w:r w:rsidRPr="00953DCC">
        <w:rPr>
          <w:lang w:val="fr-FR"/>
        </w:rPr>
        <w:t>obtention de variétés dans l</w:t>
      </w:r>
      <w:r>
        <w:rPr>
          <w:lang w:val="fr-FR"/>
        </w:rPr>
        <w:t>’</w:t>
      </w:r>
      <w:r w:rsidRPr="00953DCC">
        <w:rPr>
          <w:lang w:val="fr-FR"/>
        </w:rPr>
        <w:t>intérêt de tous</w:t>
      </w:r>
      <w:r>
        <w:rPr>
          <w:lang w:val="fr-FR"/>
        </w:rPr>
        <w:t xml:space="preserve">.  </w:t>
      </w:r>
      <w:r w:rsidRPr="00953DCC">
        <w:rPr>
          <w:lang w:val="fr-FR"/>
        </w:rPr>
        <w:t xml:space="preserve">Conformément à la </w:t>
      </w:r>
      <w:r>
        <w:rPr>
          <w:lang w:val="fr-FR"/>
        </w:rPr>
        <w:t>Convention UPOV</w:t>
      </w:r>
      <w:r w:rsidRPr="00953DCC">
        <w:rPr>
          <w:lang w:val="fr-FR"/>
        </w:rPr>
        <w:t>, l</w:t>
      </w:r>
      <w:r>
        <w:rPr>
          <w:lang w:val="fr-FR"/>
        </w:rPr>
        <w:t>’</w:t>
      </w:r>
      <w:r w:rsidRPr="00953DCC">
        <w:rPr>
          <w:lang w:val="fr-FR"/>
        </w:rPr>
        <w:t>Union a pour principaux objectifs</w:t>
      </w:r>
      <w:r>
        <w:rPr>
          <w:lang w:val="fr-FR"/>
        </w:rPr>
        <w:t> :</w:t>
      </w:r>
    </w:p>
    <w:p w14:paraId="10D32BAE" w14:textId="77777777" w:rsidR="00AF246C" w:rsidRPr="00953DCC" w:rsidRDefault="00AF246C" w:rsidP="00AF246C">
      <w:pPr>
        <w:numPr>
          <w:ilvl w:val="0"/>
          <w:numId w:val="3"/>
        </w:numPr>
        <w:tabs>
          <w:tab w:val="clear" w:pos="720"/>
          <w:tab w:val="num" w:pos="1134"/>
        </w:tabs>
        <w:ind w:left="1134" w:hanging="567"/>
        <w:rPr>
          <w:lang w:val="fr-FR"/>
        </w:rPr>
      </w:pPr>
      <w:r w:rsidRPr="00953DCC">
        <w:rPr>
          <w:lang w:val="fr-FR"/>
        </w:rPr>
        <w:t>de mettre en place et de perfectionner la base juridique, administrative et technique d</w:t>
      </w:r>
      <w:r>
        <w:rPr>
          <w:lang w:val="fr-FR"/>
        </w:rPr>
        <w:t>’</w:t>
      </w:r>
      <w:r w:rsidRPr="00953DCC">
        <w:rPr>
          <w:lang w:val="fr-FR"/>
        </w:rPr>
        <w:t>une coopération internationale en matière de protection des obtentions végétales;</w:t>
      </w:r>
    </w:p>
    <w:p w14:paraId="103F59B4" w14:textId="77777777" w:rsidR="00AF246C" w:rsidRPr="00953DCC" w:rsidRDefault="00AF246C" w:rsidP="00AF246C">
      <w:pPr>
        <w:numPr>
          <w:ilvl w:val="0"/>
          <w:numId w:val="3"/>
        </w:numPr>
        <w:tabs>
          <w:tab w:val="clear" w:pos="720"/>
          <w:tab w:val="num" w:pos="1134"/>
        </w:tabs>
        <w:ind w:left="1134" w:hanging="567"/>
        <w:rPr>
          <w:lang w:val="fr-FR"/>
        </w:rPr>
      </w:pPr>
      <w:r w:rsidRPr="00953DCC">
        <w:rPr>
          <w:lang w:val="fr-FR"/>
        </w:rPr>
        <w:t>d</w:t>
      </w:r>
      <w:r>
        <w:rPr>
          <w:lang w:val="fr-FR"/>
        </w:rPr>
        <w:t>’</w:t>
      </w:r>
      <w:r w:rsidRPr="00953DCC">
        <w:rPr>
          <w:lang w:val="fr-FR"/>
        </w:rPr>
        <w:t xml:space="preserve">aider les États et les organisations à établir des lois et mettre en œuvre un système efficace de protection des variétés végétales; </w:t>
      </w:r>
      <w:r>
        <w:rPr>
          <w:lang w:val="fr-FR"/>
        </w:rPr>
        <w:t xml:space="preserve"> </w:t>
      </w:r>
      <w:r w:rsidRPr="00953DCC">
        <w:rPr>
          <w:lang w:val="fr-FR"/>
        </w:rPr>
        <w:t>et</w:t>
      </w:r>
    </w:p>
    <w:p w14:paraId="6960F74D" w14:textId="77777777" w:rsidR="00AF246C" w:rsidRPr="00953DCC" w:rsidRDefault="00AF246C" w:rsidP="00AF246C">
      <w:pPr>
        <w:numPr>
          <w:ilvl w:val="0"/>
          <w:numId w:val="3"/>
        </w:numPr>
        <w:tabs>
          <w:tab w:val="clear" w:pos="720"/>
          <w:tab w:val="num" w:pos="1134"/>
        </w:tabs>
        <w:ind w:left="1134" w:hanging="567"/>
        <w:rPr>
          <w:lang w:val="fr-FR"/>
        </w:rPr>
      </w:pPr>
      <w:r w:rsidRPr="00953DCC">
        <w:rPr>
          <w:lang w:val="fr-FR"/>
        </w:rPr>
        <w:t xml:space="preserve">de renforcer la sensibilité et la compréhension du public </w:t>
      </w:r>
      <w:r>
        <w:rPr>
          <w:lang w:val="fr-FR"/>
        </w:rPr>
        <w:t>à l’égard</w:t>
      </w:r>
      <w:r w:rsidRPr="00953DCC">
        <w:rPr>
          <w:lang w:val="fr-FR"/>
        </w:rPr>
        <w:t xml:space="preserve"> du système UPOV de protection des variétés végétales.</w:t>
      </w:r>
    </w:p>
    <w:p w14:paraId="47FC258E" w14:textId="77777777" w:rsidR="00AF246C" w:rsidRDefault="00AF246C" w:rsidP="00AF246C">
      <w:pPr>
        <w:rPr>
          <w:bCs/>
          <w:lang w:val="fr-FR"/>
        </w:rPr>
      </w:pPr>
    </w:p>
    <w:p w14:paraId="2F399799" w14:textId="77777777" w:rsidR="00AF246C" w:rsidRPr="00953DCC" w:rsidRDefault="00AF246C" w:rsidP="00AF246C">
      <w:pPr>
        <w:rPr>
          <w:bCs/>
          <w:i/>
          <w:lang w:val="fr-FR"/>
        </w:rPr>
      </w:pPr>
      <w:r w:rsidRPr="00953DCC">
        <w:rPr>
          <w:bCs/>
          <w:i/>
          <w:lang w:val="fr-FR"/>
        </w:rPr>
        <w:t>Quels sont les avantages de la protection des obtentions végétales et de l</w:t>
      </w:r>
      <w:r>
        <w:rPr>
          <w:bCs/>
          <w:i/>
          <w:lang w:val="fr-FR"/>
        </w:rPr>
        <w:t>’</w:t>
      </w:r>
      <w:r w:rsidRPr="00953DCC">
        <w:rPr>
          <w:bCs/>
          <w:i/>
          <w:lang w:val="fr-FR"/>
        </w:rPr>
        <w:t>adhésion à l</w:t>
      </w:r>
      <w:r>
        <w:rPr>
          <w:bCs/>
          <w:i/>
          <w:lang w:val="fr-FR"/>
        </w:rPr>
        <w:t>’</w:t>
      </w:r>
      <w:r w:rsidRPr="00953DCC">
        <w:rPr>
          <w:bCs/>
          <w:i/>
          <w:lang w:val="fr-FR"/>
        </w:rPr>
        <w:t>UPOV?</w:t>
      </w:r>
    </w:p>
    <w:p w14:paraId="4F798858" w14:textId="77777777" w:rsidR="00AF246C" w:rsidRPr="00953DCC" w:rsidRDefault="00AF246C" w:rsidP="00AF246C">
      <w:pPr>
        <w:rPr>
          <w:bCs/>
          <w:lang w:val="fr-FR"/>
        </w:rPr>
      </w:pPr>
    </w:p>
    <w:p w14:paraId="047087EA" w14:textId="77777777" w:rsidR="00AF246C" w:rsidRPr="00953DCC" w:rsidRDefault="00AF246C" w:rsidP="00AF246C">
      <w:pPr>
        <w:rPr>
          <w:lang w:val="fr-FR"/>
        </w:rPr>
      </w:pPr>
      <w:r w:rsidRPr="00953DCC">
        <w:rPr>
          <w:lang w:val="fr-FR"/>
        </w:rPr>
        <w:t>Le rapport de l</w:t>
      </w:r>
      <w:r>
        <w:rPr>
          <w:lang w:val="fr-FR"/>
        </w:rPr>
        <w:t>’</w:t>
      </w:r>
      <w:r w:rsidRPr="00953DCC">
        <w:rPr>
          <w:lang w:val="fr-FR"/>
        </w:rPr>
        <w:t>UPOV sur l</w:t>
      </w:r>
      <w:r>
        <w:rPr>
          <w:lang w:val="fr-FR"/>
        </w:rPr>
        <w:t>’</w:t>
      </w:r>
      <w:r w:rsidRPr="00953DCC">
        <w:rPr>
          <w:lang w:val="fr-FR"/>
        </w:rPr>
        <w:t xml:space="preserve">impact de la protection des obtentions végétales a clairement démontré que, pour tirer pleinement parti des avantages de la protection des obtentions végétales, il est important à la fois de mettre en œuvre la </w:t>
      </w:r>
      <w:r>
        <w:rPr>
          <w:lang w:val="fr-FR"/>
        </w:rPr>
        <w:t>Convention UPOV</w:t>
      </w:r>
      <w:r w:rsidRPr="00953DCC">
        <w:rPr>
          <w:lang w:val="fr-FR"/>
        </w:rPr>
        <w:t xml:space="preserve"> et d</w:t>
      </w:r>
      <w:r>
        <w:rPr>
          <w:lang w:val="fr-FR"/>
        </w:rPr>
        <w:t>’</w:t>
      </w:r>
      <w:r w:rsidRPr="00953DCC">
        <w:rPr>
          <w:lang w:val="fr-FR"/>
        </w:rPr>
        <w:t>être membre de l</w:t>
      </w:r>
      <w:r>
        <w:rPr>
          <w:lang w:val="fr-FR"/>
        </w:rPr>
        <w:t>’</w:t>
      </w:r>
      <w:r w:rsidRPr="00953DCC">
        <w:rPr>
          <w:lang w:val="fr-FR"/>
        </w:rPr>
        <w:t>Union</w:t>
      </w:r>
      <w:r>
        <w:rPr>
          <w:lang w:val="fr-FR"/>
        </w:rPr>
        <w:t xml:space="preserve">.  </w:t>
      </w:r>
      <w:r w:rsidRPr="00953DCC">
        <w:rPr>
          <w:lang w:val="fr-FR"/>
        </w:rPr>
        <w:t>Il a été estimé que la mise en place du système de protection des obtentions végétales de l</w:t>
      </w:r>
      <w:r>
        <w:rPr>
          <w:lang w:val="fr-FR"/>
        </w:rPr>
        <w:t>’</w:t>
      </w:r>
      <w:r w:rsidRPr="00953DCC">
        <w:rPr>
          <w:lang w:val="fr-FR"/>
        </w:rPr>
        <w:t>UPOV et l</w:t>
      </w:r>
      <w:r>
        <w:rPr>
          <w:lang w:val="fr-FR"/>
        </w:rPr>
        <w:t>’</w:t>
      </w:r>
      <w:r w:rsidRPr="00953DCC">
        <w:rPr>
          <w:lang w:val="fr-FR"/>
        </w:rPr>
        <w:t>adhésion à l</w:t>
      </w:r>
      <w:r>
        <w:rPr>
          <w:lang w:val="fr-FR"/>
        </w:rPr>
        <w:t>’</w:t>
      </w:r>
      <w:r w:rsidRPr="00953DCC">
        <w:rPr>
          <w:lang w:val="fr-FR"/>
        </w:rPr>
        <w:t>Union ont pour effet</w:t>
      </w:r>
      <w:r>
        <w:rPr>
          <w:lang w:val="fr-FR"/>
        </w:rPr>
        <w:t> :</w:t>
      </w:r>
    </w:p>
    <w:p w14:paraId="6C1ADDB8" w14:textId="77777777" w:rsidR="00AF246C" w:rsidRPr="00953DCC" w:rsidRDefault="00AF246C" w:rsidP="00AF246C">
      <w:pPr>
        <w:rPr>
          <w:lang w:val="fr-FR"/>
        </w:rPr>
      </w:pPr>
    </w:p>
    <w:p w14:paraId="5DB8C125" w14:textId="77777777" w:rsidR="00AF246C" w:rsidRPr="00953DCC" w:rsidRDefault="00AF246C" w:rsidP="00AF246C">
      <w:pPr>
        <w:rPr>
          <w:lang w:val="fr-FR"/>
        </w:rPr>
      </w:pPr>
      <w:r w:rsidRPr="00953DCC">
        <w:rPr>
          <w:lang w:val="fr-FR"/>
        </w:rPr>
        <w:t>a) de renforcer les activités d</w:t>
      </w:r>
      <w:r>
        <w:rPr>
          <w:lang w:val="fr-FR"/>
        </w:rPr>
        <w:t>’</w:t>
      </w:r>
      <w:r w:rsidRPr="00953DCC">
        <w:rPr>
          <w:lang w:val="fr-FR"/>
        </w:rPr>
        <w:t>amélioration des plantes;</w:t>
      </w:r>
    </w:p>
    <w:p w14:paraId="13D69876" w14:textId="77777777" w:rsidR="00AF246C" w:rsidRPr="00953DCC" w:rsidRDefault="00AF246C" w:rsidP="00AF246C">
      <w:pPr>
        <w:rPr>
          <w:lang w:val="fr-FR"/>
        </w:rPr>
      </w:pPr>
      <w:r w:rsidRPr="00953DCC">
        <w:rPr>
          <w:lang w:val="fr-FR"/>
        </w:rPr>
        <w:t>b) de donner accès à des variétés améliorées;</w:t>
      </w:r>
    </w:p>
    <w:p w14:paraId="2AA3AF8D" w14:textId="77777777" w:rsidR="00AF246C" w:rsidRPr="00953DCC" w:rsidRDefault="00AF246C" w:rsidP="00AF246C">
      <w:pPr>
        <w:rPr>
          <w:lang w:val="fr-FR"/>
        </w:rPr>
      </w:pPr>
      <w:r w:rsidRPr="00953DCC">
        <w:rPr>
          <w:lang w:val="fr-FR"/>
        </w:rPr>
        <w:t>c) d</w:t>
      </w:r>
      <w:r>
        <w:rPr>
          <w:lang w:val="fr-FR"/>
        </w:rPr>
        <w:t>’</w:t>
      </w:r>
      <w:r w:rsidRPr="00953DCC">
        <w:rPr>
          <w:lang w:val="fr-FR"/>
        </w:rPr>
        <w:t>augmenter le nombre de nouvelles variétés;</w:t>
      </w:r>
    </w:p>
    <w:p w14:paraId="64926F0A" w14:textId="77777777" w:rsidR="00AF246C" w:rsidRPr="00953DCC" w:rsidRDefault="00AF246C" w:rsidP="00AF246C">
      <w:pPr>
        <w:rPr>
          <w:lang w:val="fr-FR"/>
        </w:rPr>
      </w:pPr>
      <w:r w:rsidRPr="00953DCC">
        <w:rPr>
          <w:lang w:val="fr-FR"/>
        </w:rPr>
        <w:t>d) de contribuer à la diversification des types d</w:t>
      </w:r>
      <w:r>
        <w:rPr>
          <w:lang w:val="fr-FR"/>
        </w:rPr>
        <w:t>’</w:t>
      </w:r>
      <w:r w:rsidRPr="00953DCC">
        <w:rPr>
          <w:lang w:val="fr-FR"/>
        </w:rPr>
        <w:t>obtenteurs (particuliers, chercheurs);</w:t>
      </w:r>
    </w:p>
    <w:p w14:paraId="60BAC306" w14:textId="77777777" w:rsidR="00AF246C" w:rsidRPr="00953DCC" w:rsidRDefault="00AF246C" w:rsidP="00AF246C">
      <w:pPr>
        <w:rPr>
          <w:lang w:val="fr-FR"/>
        </w:rPr>
      </w:pPr>
      <w:r w:rsidRPr="00953DCC">
        <w:rPr>
          <w:lang w:val="fr-FR"/>
        </w:rPr>
        <w:t>e) d</w:t>
      </w:r>
      <w:r>
        <w:rPr>
          <w:lang w:val="fr-FR"/>
        </w:rPr>
        <w:t>’</w:t>
      </w:r>
      <w:r w:rsidRPr="00953DCC">
        <w:rPr>
          <w:lang w:val="fr-FR"/>
        </w:rPr>
        <w:t>augmenter le nombre de nouvelles variétés étrangères;</w:t>
      </w:r>
    </w:p>
    <w:p w14:paraId="77D8A8B3" w14:textId="77777777" w:rsidR="00AF246C" w:rsidRPr="00953DCC" w:rsidRDefault="00AF246C" w:rsidP="00AF246C">
      <w:pPr>
        <w:rPr>
          <w:lang w:val="fr-FR"/>
        </w:rPr>
      </w:pPr>
      <w:r w:rsidRPr="00953DCC">
        <w:rPr>
          <w:lang w:val="fr-FR"/>
        </w:rPr>
        <w:t>f) d</w:t>
      </w:r>
      <w:r>
        <w:rPr>
          <w:lang w:val="fr-FR"/>
        </w:rPr>
        <w:t>’</w:t>
      </w:r>
      <w:r w:rsidRPr="00953DCC">
        <w:rPr>
          <w:lang w:val="fr-FR"/>
        </w:rPr>
        <w:t xml:space="preserve">encourager une nouvelle compétitivité des entreprises sur les marchés étrangers; </w:t>
      </w:r>
      <w:r>
        <w:rPr>
          <w:lang w:val="fr-FR"/>
        </w:rPr>
        <w:t xml:space="preserve"> </w:t>
      </w:r>
      <w:r w:rsidRPr="00953DCC">
        <w:rPr>
          <w:lang w:val="fr-FR"/>
        </w:rPr>
        <w:t>et</w:t>
      </w:r>
    </w:p>
    <w:p w14:paraId="4DCCCDF8" w14:textId="77777777" w:rsidR="00AF246C" w:rsidRPr="00953DCC" w:rsidRDefault="00AF246C" w:rsidP="00AF246C">
      <w:pPr>
        <w:rPr>
          <w:lang w:val="fr-FR"/>
        </w:rPr>
      </w:pPr>
      <w:r w:rsidRPr="00953DCC">
        <w:rPr>
          <w:lang w:val="fr-FR"/>
        </w:rPr>
        <w:t>g) de favoriser l</w:t>
      </w:r>
      <w:r>
        <w:rPr>
          <w:lang w:val="fr-FR"/>
        </w:rPr>
        <w:t>’</w:t>
      </w:r>
      <w:r w:rsidRPr="00953DCC">
        <w:rPr>
          <w:lang w:val="fr-FR"/>
        </w:rPr>
        <w:t>accès aux variétés végétales étrangères et d</w:t>
      </w:r>
      <w:r>
        <w:rPr>
          <w:lang w:val="fr-FR"/>
        </w:rPr>
        <w:t>’</w:t>
      </w:r>
      <w:r w:rsidRPr="00953DCC">
        <w:rPr>
          <w:lang w:val="fr-FR"/>
        </w:rPr>
        <w:t>améliorer les programmes de sélection nationaux.</w:t>
      </w:r>
    </w:p>
    <w:p w14:paraId="45066F25" w14:textId="77777777" w:rsidR="00AF246C" w:rsidRPr="00953DCC" w:rsidRDefault="00AF246C" w:rsidP="00AF246C">
      <w:pPr>
        <w:rPr>
          <w:lang w:val="fr-FR"/>
        </w:rPr>
      </w:pPr>
      <w:r w:rsidRPr="00953DCC">
        <w:rPr>
          <w:lang w:val="fr-FR"/>
        </w:rPr>
        <w:t>L</w:t>
      </w:r>
      <w:r>
        <w:rPr>
          <w:lang w:val="fr-FR"/>
        </w:rPr>
        <w:t>’</w:t>
      </w:r>
      <w:r w:rsidRPr="00953DCC">
        <w:rPr>
          <w:lang w:val="fr-FR"/>
        </w:rPr>
        <w:t>adhésion à l</w:t>
      </w:r>
      <w:r>
        <w:rPr>
          <w:lang w:val="fr-FR"/>
        </w:rPr>
        <w:t>’</w:t>
      </w:r>
      <w:r w:rsidRPr="00953DCC">
        <w:rPr>
          <w:lang w:val="fr-FR"/>
        </w:rPr>
        <w:t>UPOV requiert l</w:t>
      </w:r>
      <w:r>
        <w:rPr>
          <w:lang w:val="fr-FR"/>
        </w:rPr>
        <w:t>’</w:t>
      </w:r>
      <w:r w:rsidRPr="00953DCC">
        <w:rPr>
          <w:lang w:val="fr-FR"/>
        </w:rPr>
        <w:t>avis du Conseil de l</w:t>
      </w:r>
      <w:r>
        <w:rPr>
          <w:lang w:val="fr-FR"/>
        </w:rPr>
        <w:t>’</w:t>
      </w:r>
      <w:r w:rsidRPr="00953DCC">
        <w:rPr>
          <w:lang w:val="fr-FR"/>
        </w:rPr>
        <w:t>UPOV quant à la conformité de la législation d</w:t>
      </w:r>
      <w:r>
        <w:rPr>
          <w:lang w:val="fr-FR"/>
        </w:rPr>
        <w:t>’</w:t>
      </w:r>
      <w:r w:rsidRPr="00953DCC">
        <w:rPr>
          <w:lang w:val="fr-FR"/>
        </w:rPr>
        <w:t xml:space="preserve">un futur membre avec les dispositions de la </w:t>
      </w:r>
      <w:r>
        <w:rPr>
          <w:lang w:val="fr-FR"/>
        </w:rPr>
        <w:t xml:space="preserve">Convention UPOV.  </w:t>
      </w:r>
      <w:r w:rsidRPr="00953DCC">
        <w:rPr>
          <w:lang w:val="fr-FR"/>
        </w:rPr>
        <w:t>Cette procédure entraîne, en elle</w:t>
      </w:r>
      <w:r>
        <w:rPr>
          <w:lang w:val="fr-FR"/>
        </w:rPr>
        <w:noBreakHyphen/>
      </w:r>
      <w:r w:rsidRPr="00953DCC">
        <w:rPr>
          <w:lang w:val="fr-FR"/>
        </w:rPr>
        <w:t>même, un haut degré d</w:t>
      </w:r>
      <w:r>
        <w:rPr>
          <w:lang w:val="fr-FR"/>
        </w:rPr>
        <w:t>’</w:t>
      </w:r>
      <w:r w:rsidRPr="00953DCC">
        <w:rPr>
          <w:lang w:val="fr-FR"/>
        </w:rPr>
        <w:t>harmonie dans les législations, facilitant ainsi la coopération entre les membres dans la mise en œuvre du système.</w:t>
      </w:r>
    </w:p>
    <w:p w14:paraId="22E2C64B" w14:textId="77777777" w:rsidR="00AF246C" w:rsidRPr="00953DCC" w:rsidRDefault="00AF246C" w:rsidP="00AF246C">
      <w:pPr>
        <w:keepNext/>
        <w:rPr>
          <w:i/>
          <w:lang w:val="fr-FR"/>
        </w:rPr>
      </w:pPr>
    </w:p>
    <w:p w14:paraId="70DDFBA4" w14:textId="77777777" w:rsidR="00AF246C" w:rsidRPr="00953DCC" w:rsidRDefault="00AF246C" w:rsidP="00AF246C">
      <w:pPr>
        <w:keepNext/>
        <w:rPr>
          <w:i/>
          <w:lang w:val="fr-FR"/>
        </w:rPr>
      </w:pPr>
      <w:r w:rsidRPr="00953DCC">
        <w:rPr>
          <w:i/>
          <w:lang w:val="fr-FR"/>
        </w:rPr>
        <w:t>L</w:t>
      </w:r>
      <w:r>
        <w:rPr>
          <w:i/>
          <w:lang w:val="fr-FR"/>
        </w:rPr>
        <w:t>’</w:t>
      </w:r>
      <w:r w:rsidRPr="00953DCC">
        <w:rPr>
          <w:i/>
          <w:lang w:val="fr-FR"/>
        </w:rPr>
        <w:t>UPOV autorise</w:t>
      </w:r>
      <w:r>
        <w:rPr>
          <w:i/>
          <w:lang w:val="fr-FR"/>
        </w:rPr>
        <w:noBreakHyphen/>
      </w:r>
      <w:r w:rsidRPr="00953DCC">
        <w:rPr>
          <w:i/>
          <w:lang w:val="fr-FR"/>
        </w:rPr>
        <w:t>t</w:t>
      </w:r>
      <w:r>
        <w:rPr>
          <w:i/>
          <w:lang w:val="fr-FR"/>
        </w:rPr>
        <w:noBreakHyphen/>
      </w:r>
      <w:r w:rsidRPr="00953DCC">
        <w:rPr>
          <w:i/>
          <w:lang w:val="fr-FR"/>
        </w:rPr>
        <w:t>elle l</w:t>
      </w:r>
      <w:r>
        <w:rPr>
          <w:i/>
          <w:lang w:val="fr-FR"/>
        </w:rPr>
        <w:t>’</w:t>
      </w:r>
      <w:r w:rsidRPr="00953DCC">
        <w:rPr>
          <w:i/>
          <w:lang w:val="fr-FR"/>
        </w:rPr>
        <w:t>utilisation de données biochimiques ou moléculaires dans le cadre de l</w:t>
      </w:r>
      <w:r>
        <w:rPr>
          <w:i/>
          <w:lang w:val="fr-FR"/>
        </w:rPr>
        <w:t>’</w:t>
      </w:r>
      <w:r w:rsidRPr="00953DCC">
        <w:rPr>
          <w:i/>
          <w:lang w:val="fr-FR"/>
        </w:rPr>
        <w:t>examen</w:t>
      </w:r>
      <w:r>
        <w:rPr>
          <w:i/>
          <w:lang w:val="fr-FR"/>
        </w:rPr>
        <w:t> </w:t>
      </w:r>
      <w:r w:rsidRPr="00953DCC">
        <w:rPr>
          <w:i/>
          <w:lang w:val="fr-FR"/>
        </w:rPr>
        <w:t>DHS?</w:t>
      </w:r>
    </w:p>
    <w:p w14:paraId="0F0BBEF6" w14:textId="77777777" w:rsidR="00AF246C" w:rsidRPr="00953DCC" w:rsidRDefault="00AF246C" w:rsidP="00AF246C">
      <w:pPr>
        <w:keepNext/>
        <w:rPr>
          <w:lang w:val="fr-FR"/>
        </w:rPr>
      </w:pPr>
    </w:p>
    <w:p w14:paraId="50A9AAEC" w14:textId="77777777" w:rsidR="00AF246C" w:rsidRPr="00953DCC" w:rsidRDefault="00AF246C" w:rsidP="00AF246C">
      <w:pPr>
        <w:keepNext/>
        <w:rPr>
          <w:lang w:val="fr-FR"/>
        </w:rPr>
      </w:pPr>
      <w:r w:rsidRPr="00953DCC">
        <w:rPr>
          <w:lang w:val="fr-FR"/>
        </w:rPr>
        <w:t>Il importe de noter que, dans certains cas, les variétés peuvent avoir un profil d</w:t>
      </w:r>
      <w:r>
        <w:rPr>
          <w:lang w:val="fr-FR"/>
        </w:rPr>
        <w:t>’</w:t>
      </w:r>
      <w:r w:rsidRPr="00953DCC">
        <w:rPr>
          <w:lang w:val="fr-FR"/>
        </w:rPr>
        <w:t>ADN différent tout en étant phénotypiquement identiques;</w:t>
      </w:r>
      <w:r>
        <w:rPr>
          <w:lang w:val="fr-FR"/>
        </w:rPr>
        <w:t xml:space="preserve"> </w:t>
      </w:r>
      <w:r w:rsidRPr="00953DCC">
        <w:rPr>
          <w:lang w:val="fr-FR"/>
        </w:rPr>
        <w:t xml:space="preserve"> dans d</w:t>
      </w:r>
      <w:r>
        <w:rPr>
          <w:lang w:val="fr-FR"/>
        </w:rPr>
        <w:t>’</w:t>
      </w:r>
      <w:r w:rsidRPr="00953DCC">
        <w:rPr>
          <w:lang w:val="fr-FR"/>
        </w:rPr>
        <w:t>autres cas, des variétés ayant une grande différence phénotypique peuvent présenter le même profil d</w:t>
      </w:r>
      <w:r>
        <w:rPr>
          <w:lang w:val="fr-FR"/>
        </w:rPr>
        <w:t>’</w:t>
      </w:r>
      <w:r w:rsidRPr="00953DCC">
        <w:rPr>
          <w:lang w:val="fr-FR"/>
        </w:rPr>
        <w:t>ADN pour un ensemble particulier de marqueurs moléculaires (dans le cas de certaines mutations, par exemple).</w:t>
      </w:r>
    </w:p>
    <w:p w14:paraId="180F0B7C" w14:textId="77777777" w:rsidR="00AF246C" w:rsidRPr="00953DCC" w:rsidRDefault="00AF246C" w:rsidP="00AF246C">
      <w:pPr>
        <w:rPr>
          <w:lang w:val="fr-FR"/>
        </w:rPr>
      </w:pPr>
    </w:p>
    <w:p w14:paraId="14384F2B" w14:textId="77777777" w:rsidR="00AF246C" w:rsidRPr="00953DCC" w:rsidRDefault="00AF246C" w:rsidP="00AF246C">
      <w:pPr>
        <w:rPr>
          <w:lang w:val="fr-FR"/>
        </w:rPr>
      </w:pPr>
      <w:r w:rsidRPr="00953DCC">
        <w:rPr>
          <w:lang w:val="fr-FR"/>
        </w:rPr>
        <w:t>Dans le cas de marqueurs moléculaires qui ne sont pas liés à des différences phénotypiques, le problème est qu</w:t>
      </w:r>
      <w:r>
        <w:rPr>
          <w:lang w:val="fr-FR"/>
        </w:rPr>
        <w:t>’</w:t>
      </w:r>
      <w:r w:rsidRPr="00953DCC">
        <w:rPr>
          <w:lang w:val="fr-FR"/>
        </w:rPr>
        <w:t>il peut s</w:t>
      </w:r>
      <w:r>
        <w:rPr>
          <w:lang w:val="fr-FR"/>
        </w:rPr>
        <w:t>’</w:t>
      </w:r>
      <w:r w:rsidRPr="00953DCC">
        <w:rPr>
          <w:lang w:val="fr-FR"/>
        </w:rPr>
        <w:t>avérer possible d</w:t>
      </w:r>
      <w:r>
        <w:rPr>
          <w:lang w:val="fr-FR"/>
        </w:rPr>
        <w:t>’</w:t>
      </w:r>
      <w:r w:rsidRPr="00953DCC">
        <w:rPr>
          <w:lang w:val="fr-FR"/>
        </w:rPr>
        <w:t>utiliser un nombre illimité de marqueurs pour trouver des différences entre les variétés au niveau génétique, des différences qui n</w:t>
      </w:r>
      <w:r>
        <w:rPr>
          <w:lang w:val="fr-FR"/>
        </w:rPr>
        <w:t>’</w:t>
      </w:r>
      <w:r w:rsidRPr="00953DCC">
        <w:rPr>
          <w:lang w:val="fr-FR"/>
        </w:rPr>
        <w:t>apparaissent pas dans les caractères phénotypiques.</w:t>
      </w:r>
    </w:p>
    <w:p w14:paraId="4F41E429" w14:textId="77777777" w:rsidR="00AF246C" w:rsidRPr="00953DCC" w:rsidRDefault="00AF246C" w:rsidP="00AF246C">
      <w:pPr>
        <w:rPr>
          <w:lang w:val="fr-FR"/>
        </w:rPr>
      </w:pPr>
    </w:p>
    <w:p w14:paraId="2DDAD3EF" w14:textId="77777777" w:rsidR="00AF246C" w:rsidRPr="00953DCC" w:rsidRDefault="00AF246C" w:rsidP="00AF246C">
      <w:pPr>
        <w:rPr>
          <w:lang w:val="fr-FR"/>
        </w:rPr>
      </w:pPr>
      <w:r w:rsidRPr="00953DCC">
        <w:rPr>
          <w:lang w:val="fr-FR"/>
        </w:rPr>
        <w:lastRenderedPageBreak/>
        <w:t>Compte tenu de ces observations, l</w:t>
      </w:r>
      <w:r>
        <w:rPr>
          <w:lang w:val="fr-FR"/>
        </w:rPr>
        <w:t>’</w:t>
      </w:r>
      <w:r w:rsidRPr="00953DCC">
        <w:rPr>
          <w:lang w:val="fr-FR"/>
        </w:rPr>
        <w:t>UPOV est convenue d</w:t>
      </w:r>
      <w:r>
        <w:rPr>
          <w:lang w:val="fr-FR"/>
        </w:rPr>
        <w:t>’</w:t>
      </w:r>
      <w:r w:rsidRPr="00953DCC">
        <w:rPr>
          <w:lang w:val="fr-FR"/>
        </w:rPr>
        <w:t>utiliser les marqueurs moléculaires dans les conditions suivantes aux fins de l</w:t>
      </w:r>
      <w:r>
        <w:rPr>
          <w:lang w:val="fr-FR"/>
        </w:rPr>
        <w:t>’</w:t>
      </w:r>
      <w:r w:rsidRPr="00953DCC">
        <w:rPr>
          <w:lang w:val="fr-FR"/>
        </w:rPr>
        <w:t>examen DHS</w:t>
      </w:r>
      <w:r>
        <w:rPr>
          <w:lang w:val="fr-FR"/>
        </w:rPr>
        <w:t> :</w:t>
      </w:r>
    </w:p>
    <w:p w14:paraId="3F0145E6" w14:textId="77777777" w:rsidR="00AF246C" w:rsidRPr="00953DCC" w:rsidRDefault="00AF246C" w:rsidP="00AF246C">
      <w:pPr>
        <w:rPr>
          <w:lang w:val="fr-FR"/>
        </w:rPr>
      </w:pPr>
    </w:p>
    <w:p w14:paraId="2EE36CBC" w14:textId="77777777" w:rsidR="00AF246C" w:rsidRPr="00953DCC" w:rsidRDefault="00AF246C" w:rsidP="00AF246C">
      <w:pPr>
        <w:rPr>
          <w:lang w:val="fr-FR"/>
        </w:rPr>
      </w:pPr>
      <w:r w:rsidRPr="00953DCC">
        <w:rPr>
          <w:lang w:val="fr-FR"/>
        </w:rPr>
        <w:t>a) Les marqueurs moléculaires peuvent être utilisés pour examiner les caractères DHS qui répondent aux critères des caractères tels qu</w:t>
      </w:r>
      <w:r>
        <w:rPr>
          <w:lang w:val="fr-FR"/>
        </w:rPr>
        <w:t>’</w:t>
      </w:r>
      <w:r w:rsidRPr="00953DCC">
        <w:rPr>
          <w:lang w:val="fr-FR"/>
        </w:rPr>
        <w:t>ils sont indiqués dans l</w:t>
      </w:r>
      <w:r>
        <w:rPr>
          <w:lang w:val="fr-FR"/>
        </w:rPr>
        <w:t>’</w:t>
      </w:r>
      <w:r w:rsidRPr="00953DCC">
        <w:rPr>
          <w:lang w:val="fr-FR"/>
        </w:rPr>
        <w:t>Introduction générale à condition qu</w:t>
      </w:r>
      <w:r>
        <w:rPr>
          <w:lang w:val="fr-FR"/>
        </w:rPr>
        <w:t>’</w:t>
      </w:r>
      <w:r w:rsidRPr="00953DCC">
        <w:rPr>
          <w:lang w:val="fr-FR"/>
        </w:rPr>
        <w:t>il existe une corrélation fiable entre le marqueur et le caractère.</w:t>
      </w:r>
    </w:p>
    <w:p w14:paraId="65CF3C84" w14:textId="77777777" w:rsidR="00AF246C" w:rsidRPr="00953DCC" w:rsidRDefault="00AF246C" w:rsidP="00AF246C">
      <w:pPr>
        <w:rPr>
          <w:lang w:val="fr-FR"/>
        </w:rPr>
      </w:pPr>
    </w:p>
    <w:p w14:paraId="5A517416" w14:textId="77777777" w:rsidR="00AF246C" w:rsidRPr="00953DCC" w:rsidRDefault="00AF246C" w:rsidP="00AF246C">
      <w:pPr>
        <w:rPr>
          <w:lang w:val="fr-FR"/>
        </w:rPr>
      </w:pPr>
      <w:r w:rsidRPr="00953DCC">
        <w:rPr>
          <w:lang w:val="fr-FR"/>
        </w:rPr>
        <w:t>b) Une combinaison de distances phénotypiques et moléculaires peut être utilisée pour d</w:t>
      </w:r>
      <w:r>
        <w:rPr>
          <w:lang w:val="fr-FR"/>
        </w:rPr>
        <w:t>’</w:t>
      </w:r>
      <w:r w:rsidRPr="00953DCC">
        <w:rPr>
          <w:lang w:val="fr-FR"/>
        </w:rPr>
        <w:t>améliorer la sélection des variétés qu</w:t>
      </w:r>
      <w:r>
        <w:rPr>
          <w:lang w:val="fr-FR"/>
        </w:rPr>
        <w:t>’</w:t>
      </w:r>
      <w:r w:rsidRPr="00953DCC">
        <w:rPr>
          <w:lang w:val="fr-FR"/>
        </w:rPr>
        <w:t>il y a lieu de comparer dans le cadre de l</w:t>
      </w:r>
      <w:r>
        <w:rPr>
          <w:lang w:val="fr-FR"/>
        </w:rPr>
        <w:t>’</w:t>
      </w:r>
      <w:r w:rsidRPr="00953DCC">
        <w:rPr>
          <w:lang w:val="fr-FR"/>
        </w:rPr>
        <w:t>essai en culture si les distances moléculaires sont suffisamment liées aux différences phénotypiques, et si la méthode ne crée pas un risque accru de ne pas sélectionner une variété figurant dans la collection de variétés qu</w:t>
      </w:r>
      <w:r>
        <w:rPr>
          <w:lang w:val="fr-FR"/>
        </w:rPr>
        <w:t>’</w:t>
      </w:r>
      <w:r w:rsidRPr="00953DCC">
        <w:rPr>
          <w:lang w:val="fr-FR"/>
        </w:rPr>
        <w:t>il faut comparer aux variétés candidates dans le cadre de l</w:t>
      </w:r>
      <w:r>
        <w:rPr>
          <w:lang w:val="fr-FR"/>
        </w:rPr>
        <w:t>’</w:t>
      </w:r>
      <w:r w:rsidRPr="00953DCC">
        <w:rPr>
          <w:lang w:val="fr-FR"/>
        </w:rPr>
        <w:t>essai DHS en culture.</w:t>
      </w:r>
    </w:p>
    <w:p w14:paraId="01DF4B8F" w14:textId="77777777" w:rsidR="00AF246C" w:rsidRPr="00953DCC" w:rsidRDefault="00AF246C" w:rsidP="00AF246C">
      <w:pPr>
        <w:rPr>
          <w:lang w:val="fr-FR"/>
        </w:rPr>
      </w:pPr>
    </w:p>
    <w:p w14:paraId="6E625F13" w14:textId="77777777" w:rsidR="00AF246C" w:rsidRPr="00953DCC" w:rsidRDefault="00AF246C" w:rsidP="00AF246C">
      <w:pPr>
        <w:rPr>
          <w:lang w:val="fr-FR"/>
        </w:rPr>
      </w:pPr>
      <w:r w:rsidRPr="00953DCC">
        <w:rPr>
          <w:lang w:val="fr-FR"/>
        </w:rPr>
        <w:t>La position de l</w:t>
      </w:r>
      <w:r>
        <w:rPr>
          <w:lang w:val="fr-FR"/>
        </w:rPr>
        <w:t>’</w:t>
      </w:r>
      <w:r w:rsidRPr="00953DCC">
        <w:rPr>
          <w:lang w:val="fr-FR"/>
        </w:rPr>
        <w:t>UPOV est exposée dans les documents TGP/15 “Conseils en ce qui concerne l</w:t>
      </w:r>
      <w:r>
        <w:rPr>
          <w:lang w:val="fr-FR"/>
        </w:rPr>
        <w:t>’</w:t>
      </w:r>
      <w:r w:rsidRPr="00953DCC">
        <w:rPr>
          <w:lang w:val="fr-FR"/>
        </w:rPr>
        <w:t>utilisation des marqueurs biochimiques et moléculaires dans l</w:t>
      </w:r>
      <w:r>
        <w:rPr>
          <w:lang w:val="fr-FR"/>
        </w:rPr>
        <w:t>’</w:t>
      </w:r>
      <w:r w:rsidRPr="00953DCC">
        <w:rPr>
          <w:lang w:val="fr-FR"/>
        </w:rPr>
        <w:t>examen de la distinction, de l</w:t>
      </w:r>
      <w:r>
        <w:rPr>
          <w:lang w:val="fr-FR"/>
        </w:rPr>
        <w:t>’</w:t>
      </w:r>
      <w:r w:rsidRPr="00953DCC">
        <w:rPr>
          <w:lang w:val="fr-FR"/>
        </w:rPr>
        <w:t>homogénéité et de la stabilité (DHS)” et UPOV/INF/18 “Utilisation possible des marqueurs moléculaires dans l</w:t>
      </w:r>
      <w:r>
        <w:rPr>
          <w:lang w:val="fr-FR"/>
        </w:rPr>
        <w:t>’</w:t>
      </w:r>
      <w:r w:rsidRPr="00953DCC">
        <w:rPr>
          <w:lang w:val="fr-FR"/>
        </w:rPr>
        <w:t>examen de la distinction, de l</w:t>
      </w:r>
      <w:r>
        <w:rPr>
          <w:lang w:val="fr-FR"/>
        </w:rPr>
        <w:t>’</w:t>
      </w:r>
      <w:r w:rsidRPr="00953DCC">
        <w:rPr>
          <w:lang w:val="fr-FR"/>
        </w:rPr>
        <w:t>homogénéité et de la stabilité (DHS)”.</w:t>
      </w:r>
    </w:p>
    <w:p w14:paraId="4EE64999" w14:textId="77777777" w:rsidR="00AF246C" w:rsidRPr="00953DCC" w:rsidRDefault="00AF246C" w:rsidP="00AF246C">
      <w:pPr>
        <w:rPr>
          <w:lang w:val="fr-FR"/>
        </w:rPr>
      </w:pPr>
    </w:p>
    <w:p w14:paraId="73A26080" w14:textId="77777777" w:rsidR="00AF246C" w:rsidRPr="00953DCC" w:rsidRDefault="002C6F63" w:rsidP="00AF246C">
      <w:pPr>
        <w:rPr>
          <w:lang w:val="fr-FR"/>
        </w:rPr>
      </w:pPr>
      <w:hyperlink r:id="rId19" w:anchor="QB80" w:history="1">
        <w:r w:rsidR="00AF246C" w:rsidRPr="00953DCC">
          <w:rPr>
            <w:rStyle w:val="Hyperlink"/>
            <w:lang w:val="fr-FR"/>
          </w:rPr>
          <w:t>https://www.upov.int/about/fr/faq.html#QB80</w:t>
        </w:r>
      </w:hyperlink>
    </w:p>
    <w:p w14:paraId="375CFA3F" w14:textId="77777777" w:rsidR="00AF246C" w:rsidRPr="00953DCC" w:rsidRDefault="00AF246C" w:rsidP="00AF246C">
      <w:pPr>
        <w:rPr>
          <w:lang w:val="fr-FR"/>
        </w:rPr>
      </w:pPr>
    </w:p>
    <w:p w14:paraId="04F92486" w14:textId="77777777" w:rsidR="00AF246C" w:rsidRPr="00953DCC" w:rsidRDefault="00AF246C" w:rsidP="00AF246C">
      <w:pPr>
        <w:rPr>
          <w:lang w:val="fr-FR"/>
        </w:rPr>
      </w:pPr>
    </w:p>
    <w:p w14:paraId="64FACFCA" w14:textId="77777777" w:rsidR="00AF246C" w:rsidRPr="00953DCC" w:rsidRDefault="00AF246C" w:rsidP="00AF246C">
      <w:pPr>
        <w:rPr>
          <w:bCs/>
          <w:u w:val="single"/>
          <w:lang w:val="fr-FR"/>
        </w:rPr>
      </w:pPr>
      <w:r w:rsidRPr="00953DCC">
        <w:rPr>
          <w:bCs/>
          <w:u w:val="single"/>
          <w:lang w:val="fr-FR"/>
        </w:rPr>
        <w:t>Association internationale d</w:t>
      </w:r>
      <w:r>
        <w:rPr>
          <w:bCs/>
          <w:u w:val="single"/>
          <w:lang w:val="fr-FR"/>
        </w:rPr>
        <w:t>’</w:t>
      </w:r>
      <w:r w:rsidRPr="00953DCC">
        <w:rPr>
          <w:bCs/>
          <w:u w:val="single"/>
          <w:lang w:val="fr-FR"/>
        </w:rPr>
        <w:t>essais de semences (ISTA)</w:t>
      </w:r>
    </w:p>
    <w:p w14:paraId="0502718C" w14:textId="77777777" w:rsidR="00AF246C" w:rsidRPr="00953DCC" w:rsidRDefault="00AF246C" w:rsidP="00AF246C">
      <w:pPr>
        <w:rPr>
          <w:lang w:val="fr-FR"/>
        </w:rPr>
      </w:pPr>
    </w:p>
    <w:p w14:paraId="49CAB052" w14:textId="77777777" w:rsidR="00AF246C" w:rsidRPr="00953DCC" w:rsidRDefault="00AF246C" w:rsidP="00AF246C">
      <w:pPr>
        <w:rPr>
          <w:rFonts w:eastAsia="Calibri"/>
          <w:lang w:val="fr-FR"/>
        </w:rPr>
      </w:pPr>
      <w:r w:rsidRPr="00953DCC">
        <w:rPr>
          <w:rFonts w:eastAsia="Calibri"/>
          <w:lang w:val="fr-FR"/>
        </w:rPr>
        <w:t>LA VISION DE L</w:t>
      </w:r>
      <w:r>
        <w:rPr>
          <w:rFonts w:eastAsia="Calibri"/>
          <w:lang w:val="fr-FR"/>
        </w:rPr>
        <w:t>’</w:t>
      </w:r>
      <w:r w:rsidRPr="00953DCC">
        <w:rPr>
          <w:rFonts w:eastAsia="Calibri"/>
          <w:lang w:val="fr-FR"/>
        </w:rPr>
        <w:t>ISTA</w:t>
      </w:r>
      <w:r>
        <w:rPr>
          <w:rFonts w:eastAsia="Calibri"/>
          <w:lang w:val="fr-FR"/>
        </w:rPr>
        <w:t> :</w:t>
      </w:r>
      <w:r w:rsidRPr="00953DCC">
        <w:rPr>
          <w:rFonts w:eastAsia="Calibri"/>
          <w:lang w:val="fr-FR"/>
        </w:rPr>
        <w:t xml:space="preserve"> L</w:t>
      </w:r>
      <w:r>
        <w:rPr>
          <w:rFonts w:eastAsia="Calibri"/>
          <w:lang w:val="fr-FR"/>
        </w:rPr>
        <w:t>’</w:t>
      </w:r>
      <w:r w:rsidRPr="00953DCC">
        <w:rPr>
          <w:rFonts w:eastAsia="Calibri"/>
          <w:lang w:val="fr-FR"/>
        </w:rPr>
        <w:t>HARMONISATION DES ESSAIS DE SEMENCES</w:t>
      </w:r>
    </w:p>
    <w:p w14:paraId="7FDB16EC" w14:textId="77777777" w:rsidR="00AF246C" w:rsidRPr="00953DCC" w:rsidRDefault="00AF246C" w:rsidP="00AF246C">
      <w:pPr>
        <w:rPr>
          <w:rFonts w:eastAsia="Calibri"/>
          <w:lang w:val="fr-FR"/>
        </w:rPr>
      </w:pPr>
    </w:p>
    <w:p w14:paraId="130B5379" w14:textId="77777777" w:rsidR="00AF246C" w:rsidRPr="00953DCC" w:rsidRDefault="00AF246C" w:rsidP="00AF246C">
      <w:pPr>
        <w:spacing w:after="160" w:line="259" w:lineRule="auto"/>
        <w:rPr>
          <w:rFonts w:eastAsia="Calibri" w:cs="Arial"/>
          <w:shd w:val="clear" w:color="auto" w:fill="FFFFFF"/>
          <w:lang w:val="fr-FR"/>
        </w:rPr>
      </w:pPr>
      <w:r w:rsidRPr="00953DCC">
        <w:rPr>
          <w:rFonts w:eastAsia="Calibri" w:cs="Arial"/>
          <w:shd w:val="clear" w:color="auto" w:fill="FFFFFF"/>
          <w:lang w:val="fr-FR"/>
        </w:rPr>
        <w:t>Fondée en 1924, l</w:t>
      </w:r>
      <w:r>
        <w:rPr>
          <w:rFonts w:eastAsia="Calibri" w:cs="Arial"/>
          <w:shd w:val="clear" w:color="auto" w:fill="FFFFFF"/>
          <w:lang w:val="fr-FR"/>
        </w:rPr>
        <w:t>’</w:t>
      </w:r>
      <w:r w:rsidRPr="00953DCC">
        <w:rPr>
          <w:rFonts w:eastAsia="Calibri" w:cs="Arial"/>
          <w:shd w:val="clear" w:color="auto" w:fill="FFFFFF"/>
          <w:lang w:val="fr-FR"/>
        </w:rPr>
        <w:t>ISTA a pour objectif premier d</w:t>
      </w:r>
      <w:r>
        <w:rPr>
          <w:rFonts w:eastAsia="Calibri" w:cs="Arial"/>
          <w:shd w:val="clear" w:color="auto" w:fill="FFFFFF"/>
          <w:lang w:val="fr-FR"/>
        </w:rPr>
        <w:t>’</w:t>
      </w:r>
      <w:r w:rsidRPr="00953DCC">
        <w:rPr>
          <w:rFonts w:eastAsia="Calibri" w:cs="Arial"/>
          <w:shd w:val="clear" w:color="auto" w:fill="FFFFFF"/>
          <w:lang w:val="fr-FR"/>
        </w:rPr>
        <w:t>élaborer et de publier des procédures standard dans le domaine des essais de semences et est inextricablement liée à l</w:t>
      </w:r>
      <w:r>
        <w:rPr>
          <w:rFonts w:eastAsia="Calibri" w:cs="Arial"/>
          <w:shd w:val="clear" w:color="auto" w:fill="FFFFFF"/>
          <w:lang w:val="fr-FR"/>
        </w:rPr>
        <w:t>’</w:t>
      </w:r>
      <w:r w:rsidRPr="00953DCC">
        <w:rPr>
          <w:rFonts w:eastAsia="Calibri" w:cs="Arial"/>
          <w:shd w:val="clear" w:color="auto" w:fill="FFFFFF"/>
          <w:lang w:val="fr-FR"/>
        </w:rPr>
        <w:t>histoire des essais de semences</w:t>
      </w:r>
      <w:r>
        <w:rPr>
          <w:rFonts w:eastAsia="Calibri" w:cs="Arial"/>
          <w:shd w:val="clear" w:color="auto" w:fill="FFFFFF"/>
          <w:lang w:val="fr-FR"/>
        </w:rPr>
        <w:t xml:space="preserve">.  </w:t>
      </w:r>
      <w:r w:rsidRPr="00953DCC">
        <w:rPr>
          <w:rFonts w:eastAsia="Calibri" w:cs="Arial"/>
          <w:shd w:val="clear" w:color="auto" w:fill="FFFFFF"/>
          <w:lang w:val="fr-FR"/>
        </w:rPr>
        <w:t>Avec des laboratoires membres dans plus de 80 pays/entités économiques distinctes dans le monde, les membres de l</w:t>
      </w:r>
      <w:r>
        <w:rPr>
          <w:rFonts w:eastAsia="Calibri" w:cs="Arial"/>
          <w:shd w:val="clear" w:color="auto" w:fill="FFFFFF"/>
          <w:lang w:val="fr-FR"/>
        </w:rPr>
        <w:t>’</w:t>
      </w:r>
      <w:r w:rsidRPr="00953DCC">
        <w:rPr>
          <w:rFonts w:eastAsia="Calibri" w:cs="Arial"/>
          <w:shd w:val="clear" w:color="auto" w:fill="FFFFFF"/>
          <w:lang w:val="fr-FR"/>
        </w:rPr>
        <w:t>ISTA constituent un véritable réseau mondial.</w:t>
      </w:r>
    </w:p>
    <w:p w14:paraId="348E06A0" w14:textId="77777777" w:rsidR="00AF246C" w:rsidRPr="00953DCC" w:rsidRDefault="00AF246C" w:rsidP="00AF246C">
      <w:pPr>
        <w:spacing w:after="160" w:line="259" w:lineRule="auto"/>
        <w:rPr>
          <w:rFonts w:eastAsia="Calibri" w:cs="Arial"/>
          <w:shd w:val="clear" w:color="auto" w:fill="FFFFFF"/>
          <w:lang w:val="fr-FR"/>
        </w:rPr>
      </w:pPr>
      <w:r w:rsidRPr="00953DCC">
        <w:rPr>
          <w:rFonts w:eastAsia="Calibri" w:cs="Arial"/>
          <w:shd w:val="clear" w:color="auto" w:fill="FFFFFF"/>
          <w:lang w:val="fr-FR"/>
        </w:rPr>
        <w:t>Notre association produit des règles internationalement reconnues pour l</w:t>
      </w:r>
      <w:r>
        <w:rPr>
          <w:rFonts w:eastAsia="Calibri" w:cs="Arial"/>
          <w:shd w:val="clear" w:color="auto" w:fill="FFFFFF"/>
          <w:lang w:val="fr-FR"/>
        </w:rPr>
        <w:t>’</w:t>
      </w:r>
      <w:r w:rsidRPr="00953DCC">
        <w:rPr>
          <w:rFonts w:eastAsia="Calibri" w:cs="Arial"/>
          <w:shd w:val="clear" w:color="auto" w:fill="FFFFFF"/>
          <w:lang w:val="fr-FR"/>
        </w:rPr>
        <w:t>échantillonnage et l</w:t>
      </w:r>
      <w:r>
        <w:rPr>
          <w:rFonts w:eastAsia="Calibri" w:cs="Arial"/>
          <w:shd w:val="clear" w:color="auto" w:fill="FFFFFF"/>
          <w:lang w:val="fr-FR"/>
        </w:rPr>
        <w:t>’</w:t>
      </w:r>
      <w:r w:rsidRPr="00953DCC">
        <w:rPr>
          <w:rFonts w:eastAsia="Calibri" w:cs="Arial"/>
          <w:shd w:val="clear" w:color="auto" w:fill="FFFFFF"/>
          <w:lang w:val="fr-FR"/>
        </w:rPr>
        <w:t>essai de semences, accrédite des laboratoires, encourage la recherche, délivre des certificats internationaux d</w:t>
      </w:r>
      <w:r>
        <w:rPr>
          <w:rFonts w:eastAsia="Calibri" w:cs="Arial"/>
          <w:shd w:val="clear" w:color="auto" w:fill="FFFFFF"/>
          <w:lang w:val="fr-FR"/>
        </w:rPr>
        <w:t>’</w:t>
      </w:r>
      <w:r w:rsidRPr="00953DCC">
        <w:rPr>
          <w:rFonts w:eastAsia="Calibri" w:cs="Arial"/>
          <w:shd w:val="clear" w:color="auto" w:fill="FFFFFF"/>
          <w:lang w:val="fr-FR"/>
        </w:rPr>
        <w:t xml:space="preserve">analyse de semences et dispense des formations; </w:t>
      </w:r>
      <w:r>
        <w:rPr>
          <w:rFonts w:eastAsia="Calibri" w:cs="Arial"/>
          <w:shd w:val="clear" w:color="auto" w:fill="FFFFFF"/>
          <w:lang w:val="fr-FR"/>
        </w:rPr>
        <w:t xml:space="preserve"> </w:t>
      </w:r>
      <w:r w:rsidRPr="00953DCC">
        <w:rPr>
          <w:rFonts w:eastAsia="Calibri" w:cs="Arial"/>
          <w:shd w:val="clear" w:color="auto" w:fill="FFFFFF"/>
          <w:lang w:val="fr-FR"/>
        </w:rPr>
        <w:t>elle diffuse les connaissances en sciences et technologies des semences au nom de ses membres et est régie par ses pays membres/entités économiques distinctes</w:t>
      </w:r>
      <w:r>
        <w:rPr>
          <w:rFonts w:eastAsia="Calibri" w:cs="Arial"/>
          <w:shd w:val="clear" w:color="auto" w:fill="FFFFFF"/>
          <w:lang w:val="fr-FR"/>
        </w:rPr>
        <w:t xml:space="preserve">.  </w:t>
      </w:r>
      <w:r w:rsidRPr="00953DCC">
        <w:rPr>
          <w:rFonts w:eastAsia="Calibri" w:cs="Arial"/>
          <w:shd w:val="clear" w:color="auto" w:fill="FFFFFF"/>
          <w:lang w:val="fr-FR"/>
        </w:rPr>
        <w:t>Tout cela facilite le commerce des semences au niveau national et international, contribuant ainsi à la sécurité alimentaire.</w:t>
      </w:r>
    </w:p>
    <w:p w14:paraId="47A0EE68" w14:textId="77777777" w:rsidR="00AF246C" w:rsidRPr="00953DCC" w:rsidRDefault="00AF246C" w:rsidP="00AF246C">
      <w:pPr>
        <w:spacing w:after="160" w:line="259" w:lineRule="auto"/>
        <w:jc w:val="left"/>
        <w:rPr>
          <w:rFonts w:eastAsia="Calibri" w:cs="Arial"/>
          <w:bCs/>
          <w:lang w:val="fr-FR"/>
        </w:rPr>
      </w:pPr>
      <w:r w:rsidRPr="00953DCC">
        <w:rPr>
          <w:rFonts w:eastAsia="Calibri" w:cs="Arial"/>
          <w:bCs/>
          <w:lang w:val="fr-FR"/>
        </w:rPr>
        <w:t>MEMBRES DE L</w:t>
      </w:r>
      <w:r>
        <w:rPr>
          <w:rFonts w:eastAsia="Calibri" w:cs="Arial"/>
          <w:bCs/>
          <w:lang w:val="fr-FR"/>
        </w:rPr>
        <w:t>’</w:t>
      </w:r>
      <w:r w:rsidRPr="00953DCC">
        <w:rPr>
          <w:rFonts w:eastAsia="Calibri" w:cs="Arial"/>
          <w:bCs/>
          <w:lang w:val="fr-FR"/>
        </w:rPr>
        <w:t>ISTA 2019</w:t>
      </w:r>
    </w:p>
    <w:p w14:paraId="03E6F429" w14:textId="77777777" w:rsidR="00AF246C" w:rsidRPr="00953DCC" w:rsidRDefault="00AF246C" w:rsidP="00AF246C">
      <w:pPr>
        <w:spacing w:after="160" w:line="259" w:lineRule="auto"/>
        <w:rPr>
          <w:rFonts w:eastAsia="Calibri" w:cs="Arial"/>
          <w:lang w:val="fr-FR"/>
        </w:rPr>
      </w:pPr>
      <w:r w:rsidRPr="00953DCC">
        <w:rPr>
          <w:rFonts w:eastAsia="Calibri" w:cs="Arial"/>
          <w:lang w:val="fr-FR"/>
        </w:rPr>
        <w:t>Avec des laboratoires membres dans 82 pays/entités économiques distinctes dans le monde, les membres de l</w:t>
      </w:r>
      <w:r>
        <w:rPr>
          <w:rFonts w:eastAsia="Calibri" w:cs="Arial"/>
          <w:lang w:val="fr-FR"/>
        </w:rPr>
        <w:t>’</w:t>
      </w:r>
      <w:r w:rsidRPr="00953DCC">
        <w:rPr>
          <w:rFonts w:eastAsia="Calibri" w:cs="Arial"/>
          <w:lang w:val="fr-FR"/>
        </w:rPr>
        <w:t>ISTA constituent un véritable réseau mondial</w:t>
      </w:r>
      <w:r>
        <w:rPr>
          <w:rFonts w:eastAsia="Calibri" w:cs="Arial"/>
          <w:lang w:val="fr-FR"/>
        </w:rPr>
        <w:t xml:space="preserve">.  </w:t>
      </w:r>
      <w:r w:rsidRPr="00953DCC">
        <w:rPr>
          <w:rFonts w:eastAsia="Calibri" w:cs="Arial"/>
          <w:lang w:val="fr-FR"/>
        </w:rPr>
        <w:t>Actuellement, les membres de l</w:t>
      </w:r>
      <w:r>
        <w:rPr>
          <w:rFonts w:eastAsia="Calibri" w:cs="Arial"/>
          <w:lang w:val="fr-FR"/>
        </w:rPr>
        <w:t>’</w:t>
      </w:r>
      <w:r w:rsidRPr="00953DCC">
        <w:rPr>
          <w:rFonts w:eastAsia="Calibri" w:cs="Arial"/>
          <w:lang w:val="fr-FR"/>
        </w:rPr>
        <w:t>ISTA sont</w:t>
      </w:r>
      <w:r>
        <w:rPr>
          <w:rFonts w:eastAsia="Calibri" w:cs="Arial"/>
          <w:lang w:val="fr-FR"/>
        </w:rPr>
        <w:t> :</w:t>
      </w:r>
    </w:p>
    <w:p w14:paraId="4E317D58" w14:textId="77777777" w:rsidR="00AF246C" w:rsidRDefault="00AF246C" w:rsidP="00AF246C">
      <w:pPr>
        <w:numPr>
          <w:ilvl w:val="0"/>
          <w:numId w:val="5"/>
        </w:numPr>
        <w:autoSpaceDE w:val="0"/>
        <w:autoSpaceDN w:val="0"/>
        <w:adjustRightInd w:val="0"/>
        <w:spacing w:after="278" w:line="259" w:lineRule="auto"/>
        <w:ind w:left="1134" w:hanging="567"/>
        <w:jc w:val="left"/>
        <w:rPr>
          <w:rFonts w:eastAsia="Calibri" w:cs="Arial"/>
          <w:lang w:val="fr-FR"/>
        </w:rPr>
      </w:pPr>
      <w:r w:rsidRPr="00953DCC">
        <w:rPr>
          <w:rFonts w:eastAsia="Calibri" w:cs="Arial"/>
          <w:lang w:val="fr-FR"/>
        </w:rPr>
        <w:t>235 laboratoires membres, dont 136 accrédités par l</w:t>
      </w:r>
      <w:r>
        <w:rPr>
          <w:rFonts w:eastAsia="Calibri" w:cs="Arial"/>
          <w:lang w:val="fr-FR"/>
        </w:rPr>
        <w:t>’</w:t>
      </w:r>
      <w:r w:rsidRPr="00953DCC">
        <w:rPr>
          <w:rFonts w:eastAsia="Calibri" w:cs="Arial"/>
          <w:lang w:val="fr-FR"/>
        </w:rPr>
        <w:t>ISTA</w:t>
      </w:r>
    </w:p>
    <w:p w14:paraId="5BA27880" w14:textId="77777777" w:rsidR="00AF246C" w:rsidRPr="00953DCC" w:rsidRDefault="00AF246C" w:rsidP="00AF246C">
      <w:pPr>
        <w:numPr>
          <w:ilvl w:val="0"/>
          <w:numId w:val="5"/>
        </w:numPr>
        <w:autoSpaceDE w:val="0"/>
        <w:autoSpaceDN w:val="0"/>
        <w:adjustRightInd w:val="0"/>
        <w:spacing w:after="278" w:line="259" w:lineRule="auto"/>
        <w:ind w:left="1134" w:hanging="567"/>
        <w:jc w:val="left"/>
        <w:rPr>
          <w:rFonts w:eastAsia="Calibri" w:cs="Arial"/>
          <w:lang w:val="fr-FR"/>
        </w:rPr>
      </w:pPr>
      <w:r w:rsidRPr="00953DCC">
        <w:rPr>
          <w:rFonts w:eastAsia="Calibri" w:cs="Arial"/>
          <w:lang w:val="fr-FR"/>
        </w:rPr>
        <w:t>63 membres associés</w:t>
      </w:r>
    </w:p>
    <w:p w14:paraId="02F5B70C" w14:textId="77777777" w:rsidR="00AF246C" w:rsidRPr="00953DCC" w:rsidRDefault="00AF246C" w:rsidP="00AF246C">
      <w:pPr>
        <w:numPr>
          <w:ilvl w:val="0"/>
          <w:numId w:val="5"/>
        </w:numPr>
        <w:autoSpaceDE w:val="0"/>
        <w:autoSpaceDN w:val="0"/>
        <w:adjustRightInd w:val="0"/>
        <w:spacing w:after="278" w:line="259" w:lineRule="auto"/>
        <w:ind w:left="1134" w:hanging="567"/>
        <w:jc w:val="left"/>
        <w:rPr>
          <w:rFonts w:eastAsia="Calibri" w:cs="Arial"/>
          <w:lang w:val="fr-FR"/>
        </w:rPr>
      </w:pPr>
      <w:r w:rsidRPr="00953DCC">
        <w:rPr>
          <w:rFonts w:eastAsia="Calibri" w:cs="Arial"/>
          <w:lang w:val="fr-FR"/>
        </w:rPr>
        <w:t>39 membres à titre personnel</w:t>
      </w:r>
    </w:p>
    <w:p w14:paraId="277BF418" w14:textId="77777777" w:rsidR="00AF246C" w:rsidRPr="00953DCC" w:rsidRDefault="00AF246C" w:rsidP="00AF246C">
      <w:pPr>
        <w:autoSpaceDE w:val="0"/>
        <w:autoSpaceDN w:val="0"/>
        <w:adjustRightInd w:val="0"/>
        <w:jc w:val="left"/>
        <w:rPr>
          <w:rFonts w:eastAsia="Calibri" w:cs="Arial"/>
          <w:bCs/>
          <w:lang w:val="fr-FR"/>
        </w:rPr>
      </w:pPr>
      <w:r w:rsidRPr="00953DCC">
        <w:rPr>
          <w:rFonts w:eastAsia="Calibri" w:cs="Arial"/>
          <w:bCs/>
          <w:lang w:val="fr-FR"/>
        </w:rPr>
        <w:t>TRAVAUX TECHNIQUES DE L</w:t>
      </w:r>
      <w:r>
        <w:rPr>
          <w:rFonts w:eastAsia="Calibri" w:cs="Arial"/>
          <w:bCs/>
          <w:lang w:val="fr-FR"/>
        </w:rPr>
        <w:t>’</w:t>
      </w:r>
      <w:r w:rsidRPr="00953DCC">
        <w:rPr>
          <w:rFonts w:eastAsia="Calibri" w:cs="Arial"/>
          <w:bCs/>
          <w:lang w:val="fr-FR"/>
        </w:rPr>
        <w:t>ISTA</w:t>
      </w:r>
    </w:p>
    <w:p w14:paraId="5950010E" w14:textId="77777777" w:rsidR="00AF246C" w:rsidRPr="00953DCC" w:rsidRDefault="00AF246C" w:rsidP="00AF246C">
      <w:pPr>
        <w:autoSpaceDE w:val="0"/>
        <w:autoSpaceDN w:val="0"/>
        <w:adjustRightInd w:val="0"/>
        <w:jc w:val="left"/>
        <w:rPr>
          <w:rFonts w:eastAsia="Calibri" w:cs="Arial"/>
          <w:b/>
          <w:bCs/>
          <w:lang w:val="fr-FR"/>
        </w:rPr>
      </w:pPr>
    </w:p>
    <w:p w14:paraId="6D4559BD" w14:textId="77777777" w:rsidR="00AF246C" w:rsidRPr="00953DCC" w:rsidRDefault="00AF246C" w:rsidP="00AF246C">
      <w:pPr>
        <w:autoSpaceDE w:val="0"/>
        <w:autoSpaceDN w:val="0"/>
        <w:adjustRightInd w:val="0"/>
        <w:rPr>
          <w:rFonts w:eastAsia="Calibri" w:cs="Arial"/>
          <w:lang w:val="fr-FR"/>
        </w:rPr>
      </w:pPr>
      <w:r w:rsidRPr="00953DCC">
        <w:rPr>
          <w:rFonts w:eastAsia="Calibri" w:cs="Arial"/>
          <w:lang w:val="fr-FR"/>
        </w:rPr>
        <w:t>Les comités techniques de l</w:t>
      </w:r>
      <w:r>
        <w:rPr>
          <w:rFonts w:eastAsia="Calibri" w:cs="Arial"/>
          <w:lang w:val="fr-FR"/>
        </w:rPr>
        <w:t>’</w:t>
      </w:r>
      <w:r w:rsidRPr="00953DCC">
        <w:rPr>
          <w:rFonts w:eastAsia="Calibri" w:cs="Arial"/>
          <w:lang w:val="fr-FR"/>
        </w:rPr>
        <w:t>ISTA ont pour principal objet d</w:t>
      </w:r>
      <w:r>
        <w:rPr>
          <w:rFonts w:eastAsia="Calibri" w:cs="Arial"/>
          <w:lang w:val="fr-FR"/>
        </w:rPr>
        <w:t>’</w:t>
      </w:r>
      <w:r w:rsidRPr="00953DCC">
        <w:rPr>
          <w:rFonts w:eastAsia="Calibri" w:cs="Arial"/>
          <w:lang w:val="fr-FR"/>
        </w:rPr>
        <w:t>élaborer, de normaliser et de valider des méthodes d</w:t>
      </w:r>
      <w:r>
        <w:rPr>
          <w:rFonts w:eastAsia="Calibri" w:cs="Arial"/>
          <w:lang w:val="fr-FR"/>
        </w:rPr>
        <w:t>’</w:t>
      </w:r>
      <w:r w:rsidRPr="00953DCC">
        <w:rPr>
          <w:rFonts w:eastAsia="Calibri" w:cs="Arial"/>
          <w:lang w:val="fr-FR"/>
        </w:rPr>
        <w:t>échantillonnage et d</w:t>
      </w:r>
      <w:r>
        <w:rPr>
          <w:rFonts w:eastAsia="Calibri" w:cs="Arial"/>
          <w:lang w:val="fr-FR"/>
        </w:rPr>
        <w:t>’</w:t>
      </w:r>
      <w:r w:rsidRPr="00953DCC">
        <w:rPr>
          <w:rFonts w:eastAsia="Calibri" w:cs="Arial"/>
          <w:lang w:val="fr-FR"/>
        </w:rPr>
        <w:t>essai à l</w:t>
      </w:r>
      <w:r>
        <w:rPr>
          <w:rFonts w:eastAsia="Calibri" w:cs="Arial"/>
          <w:lang w:val="fr-FR"/>
        </w:rPr>
        <w:t>’</w:t>
      </w:r>
      <w:r w:rsidRPr="00953DCC">
        <w:rPr>
          <w:rFonts w:eastAsia="Calibri" w:cs="Arial"/>
          <w:lang w:val="fr-FR"/>
        </w:rPr>
        <w:t>aide des meilleures connaissances scientifiques disponibles</w:t>
      </w:r>
      <w:r>
        <w:rPr>
          <w:rFonts w:eastAsia="Calibri" w:cs="Arial"/>
          <w:lang w:val="fr-FR"/>
        </w:rPr>
        <w:t xml:space="preserve">.  </w:t>
      </w:r>
      <w:r w:rsidRPr="00953DCC">
        <w:rPr>
          <w:rFonts w:eastAsia="Calibri" w:cs="Arial"/>
          <w:lang w:val="fr-FR"/>
        </w:rPr>
        <w:t>Ils travaillent à l</w:t>
      </w:r>
      <w:r>
        <w:rPr>
          <w:rFonts w:eastAsia="Calibri" w:cs="Arial"/>
          <w:lang w:val="fr-FR"/>
        </w:rPr>
        <w:t>’</w:t>
      </w:r>
      <w:r w:rsidRPr="00953DCC">
        <w:rPr>
          <w:rFonts w:eastAsia="Calibri" w:cs="Arial"/>
          <w:lang w:val="fr-FR"/>
        </w:rPr>
        <w:t>amélioration des “Règles internationales de l</w:t>
      </w:r>
      <w:r>
        <w:rPr>
          <w:rFonts w:eastAsia="Calibri" w:cs="Arial"/>
          <w:lang w:val="fr-FR"/>
        </w:rPr>
        <w:t>’</w:t>
      </w:r>
      <w:r w:rsidRPr="00953DCC">
        <w:rPr>
          <w:rFonts w:eastAsia="Calibri" w:cs="Arial"/>
          <w:lang w:val="fr-FR"/>
        </w:rPr>
        <w:t>ISTA pour les essais de semences” et à l</w:t>
      </w:r>
      <w:r>
        <w:rPr>
          <w:rFonts w:eastAsia="Calibri" w:cs="Arial"/>
          <w:lang w:val="fr-FR"/>
        </w:rPr>
        <w:t>’</w:t>
      </w:r>
      <w:r w:rsidRPr="00953DCC">
        <w:rPr>
          <w:rFonts w:eastAsia="Calibri" w:cs="Arial"/>
          <w:lang w:val="fr-FR"/>
        </w:rPr>
        <w:t>élaboration de manuels de l</w:t>
      </w:r>
      <w:r>
        <w:rPr>
          <w:rFonts w:eastAsia="Calibri" w:cs="Arial"/>
          <w:lang w:val="fr-FR"/>
        </w:rPr>
        <w:t>’</w:t>
      </w:r>
      <w:r w:rsidRPr="00953DCC">
        <w:rPr>
          <w:rFonts w:eastAsia="Calibri" w:cs="Arial"/>
          <w:lang w:val="fr-FR"/>
        </w:rPr>
        <w:t>ISTA sur les méthodes de semences, notamment l</w:t>
      </w:r>
      <w:r>
        <w:rPr>
          <w:rFonts w:eastAsia="Calibri" w:cs="Arial"/>
          <w:lang w:val="fr-FR"/>
        </w:rPr>
        <w:t>’</w:t>
      </w:r>
      <w:r w:rsidRPr="00953DCC">
        <w:rPr>
          <w:rFonts w:eastAsia="Calibri" w:cs="Arial"/>
          <w:lang w:val="fr-FR"/>
        </w:rPr>
        <w:t>échantillonnage et les essais</w:t>
      </w:r>
      <w:r>
        <w:rPr>
          <w:rFonts w:eastAsia="Calibri" w:cs="Arial"/>
          <w:lang w:val="fr-FR"/>
        </w:rPr>
        <w:t xml:space="preserve">.  </w:t>
      </w:r>
      <w:r w:rsidRPr="00953DCC">
        <w:rPr>
          <w:rFonts w:eastAsia="Calibri" w:cs="Arial"/>
          <w:lang w:val="fr-FR"/>
        </w:rPr>
        <w:t>Ils sont en outre responsables de l</w:t>
      </w:r>
      <w:r>
        <w:rPr>
          <w:rFonts w:eastAsia="Calibri" w:cs="Arial"/>
          <w:lang w:val="fr-FR"/>
        </w:rPr>
        <w:t>’</w:t>
      </w:r>
      <w:r w:rsidRPr="00953DCC">
        <w:rPr>
          <w:rFonts w:eastAsia="Calibri" w:cs="Arial"/>
          <w:lang w:val="fr-FR"/>
        </w:rPr>
        <w:t>organisation de colloques, séminaires et ateliers</w:t>
      </w:r>
      <w:r>
        <w:rPr>
          <w:rFonts w:eastAsia="Calibri" w:cs="Arial"/>
          <w:lang w:val="fr-FR"/>
        </w:rPr>
        <w:t xml:space="preserve">.  </w:t>
      </w:r>
      <w:r w:rsidRPr="00953DCC">
        <w:rPr>
          <w:rFonts w:eastAsia="Calibri" w:cs="Arial"/>
          <w:lang w:val="fr-FR"/>
        </w:rPr>
        <w:t>Les comités techniques de l</w:t>
      </w:r>
      <w:r>
        <w:rPr>
          <w:rFonts w:eastAsia="Calibri" w:cs="Arial"/>
          <w:lang w:val="fr-FR"/>
        </w:rPr>
        <w:t>’</w:t>
      </w:r>
      <w:r w:rsidRPr="00953DCC">
        <w:rPr>
          <w:rFonts w:eastAsia="Calibri" w:cs="Arial"/>
          <w:lang w:val="fr-FR"/>
        </w:rPr>
        <w:t>ISTA tiennent régulièrement des ateliers qui offrent une plateforme de formation et d</w:t>
      </w:r>
      <w:r>
        <w:rPr>
          <w:rFonts w:eastAsia="Calibri" w:cs="Arial"/>
          <w:lang w:val="fr-FR"/>
        </w:rPr>
        <w:t>’</w:t>
      </w:r>
      <w:r w:rsidRPr="00953DCC">
        <w:rPr>
          <w:rFonts w:eastAsia="Calibri" w:cs="Arial"/>
          <w:lang w:val="fr-FR"/>
        </w:rPr>
        <w:t>échange d</w:t>
      </w:r>
      <w:r>
        <w:rPr>
          <w:rFonts w:eastAsia="Calibri" w:cs="Arial"/>
          <w:lang w:val="fr-FR"/>
        </w:rPr>
        <w:t>’</w:t>
      </w:r>
      <w:r w:rsidRPr="00953DCC">
        <w:rPr>
          <w:rFonts w:eastAsia="Calibri" w:cs="Arial"/>
          <w:lang w:val="fr-FR"/>
        </w:rPr>
        <w:t>informations, de données d</w:t>
      </w:r>
      <w:r>
        <w:rPr>
          <w:rFonts w:eastAsia="Calibri" w:cs="Arial"/>
          <w:lang w:val="fr-FR"/>
        </w:rPr>
        <w:t>’</w:t>
      </w:r>
      <w:r w:rsidRPr="00953DCC">
        <w:rPr>
          <w:rFonts w:eastAsia="Calibri" w:cs="Arial"/>
          <w:lang w:val="fr-FR"/>
        </w:rPr>
        <w:t>expérience et d</w:t>
      </w:r>
      <w:r>
        <w:rPr>
          <w:rFonts w:eastAsia="Calibri" w:cs="Arial"/>
          <w:lang w:val="fr-FR"/>
        </w:rPr>
        <w:t>’</w:t>
      </w:r>
      <w:r w:rsidRPr="00953DCC">
        <w:rPr>
          <w:rFonts w:eastAsia="Calibri" w:cs="Arial"/>
          <w:lang w:val="fr-FR"/>
        </w:rPr>
        <w:t>idées.</w:t>
      </w:r>
    </w:p>
    <w:p w14:paraId="189097D5" w14:textId="77777777" w:rsidR="00AF246C" w:rsidRPr="00953DCC" w:rsidRDefault="00AF246C" w:rsidP="00AF246C">
      <w:pPr>
        <w:jc w:val="left"/>
        <w:rPr>
          <w:rFonts w:eastAsia="Calibri" w:cs="Arial"/>
          <w:color w:val="000000"/>
          <w:lang w:val="fr-FR"/>
        </w:rPr>
      </w:pPr>
    </w:p>
    <w:p w14:paraId="7E1D76B4" w14:textId="77777777" w:rsidR="00AF246C" w:rsidRPr="00953DCC" w:rsidRDefault="00AF246C" w:rsidP="00AF246C">
      <w:pPr>
        <w:autoSpaceDE w:val="0"/>
        <w:autoSpaceDN w:val="0"/>
        <w:adjustRightInd w:val="0"/>
        <w:jc w:val="left"/>
        <w:rPr>
          <w:rFonts w:eastAsia="Calibri" w:cs="Arial"/>
          <w:color w:val="000000"/>
          <w:lang w:val="fr-FR"/>
        </w:rPr>
      </w:pPr>
    </w:p>
    <w:p w14:paraId="4B5FDDA9" w14:textId="77777777" w:rsidR="00AF246C" w:rsidRPr="00953DCC" w:rsidRDefault="00AF246C" w:rsidP="00AF246C">
      <w:pPr>
        <w:keepNext/>
        <w:autoSpaceDE w:val="0"/>
        <w:autoSpaceDN w:val="0"/>
        <w:adjustRightInd w:val="0"/>
        <w:jc w:val="left"/>
        <w:rPr>
          <w:rFonts w:eastAsia="Calibri" w:cs="Arial"/>
          <w:lang w:val="fr-FR"/>
        </w:rPr>
      </w:pPr>
      <w:r w:rsidRPr="00953DCC">
        <w:rPr>
          <w:rFonts w:eastAsia="Calibri" w:cs="Arial"/>
          <w:lang w:val="fr-FR"/>
        </w:rPr>
        <w:lastRenderedPageBreak/>
        <w:t>L</w:t>
      </w:r>
      <w:r>
        <w:rPr>
          <w:rFonts w:eastAsia="Calibri" w:cs="Arial"/>
          <w:lang w:val="fr-FR"/>
        </w:rPr>
        <w:t>’</w:t>
      </w:r>
      <w:r w:rsidRPr="00953DCC">
        <w:rPr>
          <w:rFonts w:eastAsia="Calibri" w:cs="Arial"/>
          <w:lang w:val="fr-FR"/>
        </w:rPr>
        <w:t>ISTA compte 20 comités techniques</w:t>
      </w:r>
      <w:r>
        <w:rPr>
          <w:rFonts w:eastAsia="Calibri" w:cs="Arial"/>
          <w:lang w:val="fr-FR"/>
        </w:rPr>
        <w:t> :</w:t>
      </w:r>
    </w:p>
    <w:p w14:paraId="37C7896B" w14:textId="77777777" w:rsidR="00AF246C" w:rsidRPr="00953DCC" w:rsidRDefault="00AF246C" w:rsidP="00AF246C">
      <w:pPr>
        <w:keepNext/>
        <w:autoSpaceDE w:val="0"/>
        <w:autoSpaceDN w:val="0"/>
        <w:adjustRightInd w:val="0"/>
        <w:jc w:val="left"/>
        <w:rPr>
          <w:rFonts w:eastAsia="Calibri" w:cs="Arial"/>
          <w:color w:val="000000"/>
          <w:lang w:val="fr-FR"/>
        </w:rPr>
      </w:pPr>
    </w:p>
    <w:tbl>
      <w:tblPr>
        <w:tblStyle w:val="TableGrid1"/>
        <w:tblW w:w="0" w:type="auto"/>
        <w:tblLook w:val="04A0" w:firstRow="1" w:lastRow="0" w:firstColumn="1" w:lastColumn="0" w:noHBand="0" w:noVBand="1"/>
      </w:tblPr>
      <w:tblGrid>
        <w:gridCol w:w="495"/>
        <w:gridCol w:w="5312"/>
      </w:tblGrid>
      <w:tr w:rsidR="00AF246C" w:rsidRPr="00953DCC" w14:paraId="6929CC7D" w14:textId="77777777" w:rsidTr="00A947B1">
        <w:trPr>
          <w:trHeight w:val="474"/>
        </w:trPr>
        <w:tc>
          <w:tcPr>
            <w:tcW w:w="495" w:type="dxa"/>
          </w:tcPr>
          <w:p w14:paraId="7CEF8C5C" w14:textId="77777777" w:rsidR="00AF246C" w:rsidRPr="00953DCC" w:rsidRDefault="00AF246C" w:rsidP="00A947B1">
            <w:pPr>
              <w:autoSpaceDE w:val="0"/>
              <w:autoSpaceDN w:val="0"/>
              <w:adjustRightInd w:val="0"/>
              <w:jc w:val="left"/>
              <w:rPr>
                <w:rFonts w:ascii="Calibri" w:hAnsi="Calibri" w:cs="Arial"/>
                <w:lang w:val="fr-FR"/>
              </w:rPr>
            </w:pPr>
          </w:p>
        </w:tc>
        <w:tc>
          <w:tcPr>
            <w:tcW w:w="5312" w:type="dxa"/>
          </w:tcPr>
          <w:p w14:paraId="0CE891FF" w14:textId="77777777" w:rsidR="00AF246C" w:rsidRPr="00953DCC" w:rsidRDefault="00AF246C" w:rsidP="00A947B1">
            <w:pPr>
              <w:autoSpaceDE w:val="0"/>
              <w:autoSpaceDN w:val="0"/>
              <w:adjustRightInd w:val="0"/>
              <w:jc w:val="left"/>
              <w:rPr>
                <w:rFonts w:ascii="Calibri" w:hAnsi="Calibri" w:cs="Arial"/>
                <w:b/>
                <w:bCs/>
                <w:lang w:val="fr-FR"/>
              </w:rPr>
            </w:pPr>
          </w:p>
          <w:p w14:paraId="51359EC1" w14:textId="77777777" w:rsidR="00AF246C" w:rsidRPr="00953DCC" w:rsidRDefault="00AF246C" w:rsidP="00A947B1">
            <w:pPr>
              <w:autoSpaceDE w:val="0"/>
              <w:autoSpaceDN w:val="0"/>
              <w:adjustRightInd w:val="0"/>
              <w:jc w:val="left"/>
              <w:rPr>
                <w:rFonts w:ascii="Calibri" w:hAnsi="Calibri" w:cs="Arial"/>
                <w:b/>
                <w:bCs/>
                <w:lang w:val="fr-FR"/>
              </w:rPr>
            </w:pPr>
            <w:r w:rsidRPr="00953DCC">
              <w:rPr>
                <w:rFonts w:ascii="Calibri" w:hAnsi="Calibri" w:cs="Arial"/>
                <w:b/>
                <w:bCs/>
                <w:lang w:val="fr-FR"/>
              </w:rPr>
              <w:t>Comités techniques</w:t>
            </w:r>
          </w:p>
          <w:p w14:paraId="11183805" w14:textId="77777777" w:rsidR="00AF246C" w:rsidRPr="00953DCC" w:rsidRDefault="00AF246C" w:rsidP="00A947B1">
            <w:pPr>
              <w:autoSpaceDE w:val="0"/>
              <w:autoSpaceDN w:val="0"/>
              <w:adjustRightInd w:val="0"/>
              <w:jc w:val="left"/>
              <w:rPr>
                <w:rFonts w:ascii="Calibri" w:hAnsi="Calibri" w:cs="Arial"/>
                <w:lang w:val="fr-FR"/>
              </w:rPr>
            </w:pPr>
          </w:p>
        </w:tc>
      </w:tr>
      <w:tr w:rsidR="00AF246C" w:rsidRPr="002C6F63" w14:paraId="5266CF4F" w14:textId="77777777" w:rsidTr="00A947B1">
        <w:tc>
          <w:tcPr>
            <w:tcW w:w="495" w:type="dxa"/>
          </w:tcPr>
          <w:p w14:paraId="0396CBDA"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w:t>
            </w:r>
          </w:p>
        </w:tc>
        <w:tc>
          <w:tcPr>
            <w:tcW w:w="5312" w:type="dxa"/>
          </w:tcPr>
          <w:p w14:paraId="4B172803"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des technologies de pointe</w:t>
            </w:r>
          </w:p>
        </w:tc>
      </w:tr>
      <w:tr w:rsidR="00AF246C" w:rsidRPr="00953DCC" w14:paraId="7957D50A" w14:textId="77777777" w:rsidTr="00A947B1">
        <w:tc>
          <w:tcPr>
            <w:tcW w:w="495" w:type="dxa"/>
          </w:tcPr>
          <w:p w14:paraId="4D2BE9D5"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2.</w:t>
            </w:r>
          </w:p>
        </w:tc>
        <w:tc>
          <w:tcPr>
            <w:tcW w:w="5312" w:type="dxa"/>
          </w:tcPr>
          <w:p w14:paraId="28B66BF1"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l</w:t>
            </w:r>
            <w:r>
              <w:rPr>
                <w:rFonts w:ascii="Calibri" w:hAnsi="Calibri" w:cs="Arial"/>
                <w:lang w:val="fr-FR"/>
              </w:rPr>
              <w:t>’</w:t>
            </w:r>
            <w:r w:rsidRPr="00953DCC">
              <w:rPr>
                <w:rFonts w:ascii="Calibri" w:hAnsi="Calibri" w:cs="Arial"/>
                <w:lang w:val="fr-FR"/>
              </w:rPr>
              <w:t>échantillonnage</w:t>
            </w:r>
          </w:p>
        </w:tc>
      </w:tr>
      <w:tr w:rsidR="00AF246C" w:rsidRPr="002C6F63" w14:paraId="7D70E7E6" w14:textId="77777777" w:rsidTr="00A947B1">
        <w:tc>
          <w:tcPr>
            <w:tcW w:w="495" w:type="dxa"/>
          </w:tcPr>
          <w:p w14:paraId="3994CE54"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3.</w:t>
            </w:r>
          </w:p>
        </w:tc>
        <w:tc>
          <w:tcPr>
            <w:tcW w:w="5312" w:type="dxa"/>
          </w:tcPr>
          <w:p w14:paraId="1CBC435C"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rédaction des sciences et technologies semencières</w:t>
            </w:r>
          </w:p>
        </w:tc>
      </w:tr>
      <w:tr w:rsidR="00AF246C" w:rsidRPr="002C6F63" w14:paraId="4E19952D" w14:textId="77777777" w:rsidTr="00A947B1">
        <w:tc>
          <w:tcPr>
            <w:tcW w:w="495" w:type="dxa"/>
          </w:tcPr>
          <w:p w14:paraId="6F7D6DB2"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4.</w:t>
            </w:r>
          </w:p>
        </w:tc>
        <w:tc>
          <w:tcPr>
            <w:tcW w:w="5312" w:type="dxa"/>
          </w:tcPr>
          <w:p w14:paraId="39E62B58"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des essais de semences florales</w:t>
            </w:r>
          </w:p>
        </w:tc>
      </w:tr>
      <w:tr w:rsidR="00AF246C" w:rsidRPr="002C6F63" w14:paraId="5F122A84" w14:textId="77777777" w:rsidTr="00A947B1">
        <w:tc>
          <w:tcPr>
            <w:tcW w:w="495" w:type="dxa"/>
          </w:tcPr>
          <w:p w14:paraId="467CC0C1" w14:textId="77777777" w:rsidR="00AF246C" w:rsidRPr="00953DCC" w:rsidRDefault="00AF246C" w:rsidP="00A947B1">
            <w:pPr>
              <w:autoSpaceDE w:val="0"/>
              <w:autoSpaceDN w:val="0"/>
              <w:adjustRightInd w:val="0"/>
              <w:jc w:val="left"/>
              <w:rPr>
                <w:rFonts w:ascii="Calibri" w:hAnsi="Calibri" w:cs="Arial"/>
                <w:lang w:val="fr-FR"/>
              </w:rPr>
            </w:pPr>
            <w:r>
              <w:rPr>
                <w:rFonts w:ascii="Calibri" w:hAnsi="Calibri" w:cs="Arial"/>
                <w:lang w:val="fr-FR"/>
              </w:rPr>
              <w:t>5.</w:t>
            </w:r>
          </w:p>
        </w:tc>
        <w:tc>
          <w:tcPr>
            <w:tcW w:w="5312" w:type="dxa"/>
          </w:tcPr>
          <w:p w14:paraId="3AFB8B0C"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des semences d</w:t>
            </w:r>
            <w:r>
              <w:rPr>
                <w:rFonts w:ascii="Calibri" w:hAnsi="Calibri" w:cs="Arial"/>
                <w:lang w:val="fr-FR"/>
              </w:rPr>
              <w:t>’</w:t>
            </w:r>
            <w:r w:rsidRPr="00953DCC">
              <w:rPr>
                <w:rFonts w:ascii="Calibri" w:hAnsi="Calibri" w:cs="Arial"/>
                <w:lang w:val="fr-FR"/>
              </w:rPr>
              <w:t>arbres et d</w:t>
            </w:r>
            <w:r>
              <w:rPr>
                <w:rFonts w:ascii="Calibri" w:hAnsi="Calibri" w:cs="Arial"/>
                <w:lang w:val="fr-FR"/>
              </w:rPr>
              <w:t>’</w:t>
            </w:r>
            <w:r w:rsidRPr="00953DCC">
              <w:rPr>
                <w:rFonts w:ascii="Calibri" w:hAnsi="Calibri" w:cs="Arial"/>
                <w:lang w:val="fr-FR"/>
              </w:rPr>
              <w:t>arbustes forestiers</w:t>
            </w:r>
          </w:p>
        </w:tc>
      </w:tr>
      <w:tr w:rsidR="00AF246C" w:rsidRPr="00953DCC" w14:paraId="55CB0BFE" w14:textId="77777777" w:rsidTr="00A947B1">
        <w:tc>
          <w:tcPr>
            <w:tcW w:w="495" w:type="dxa"/>
          </w:tcPr>
          <w:p w14:paraId="56F5FE04"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6.</w:t>
            </w:r>
          </w:p>
        </w:tc>
        <w:tc>
          <w:tcPr>
            <w:tcW w:w="5312" w:type="dxa"/>
          </w:tcPr>
          <w:p w14:paraId="361EC728"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la germination</w:t>
            </w:r>
          </w:p>
        </w:tc>
      </w:tr>
      <w:tr w:rsidR="00AF246C" w:rsidRPr="00953DCC" w14:paraId="4D126531" w14:textId="77777777" w:rsidTr="00A947B1">
        <w:tc>
          <w:tcPr>
            <w:tcW w:w="495" w:type="dxa"/>
          </w:tcPr>
          <w:p w14:paraId="6997ED88"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7.</w:t>
            </w:r>
          </w:p>
        </w:tc>
        <w:tc>
          <w:tcPr>
            <w:tcW w:w="5312" w:type="dxa"/>
          </w:tcPr>
          <w:p w14:paraId="04806795"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des</w:t>
            </w:r>
            <w:r>
              <w:rPr>
                <w:rFonts w:ascii="Calibri" w:hAnsi="Calibri" w:cs="Arial"/>
                <w:lang w:val="fr-FR"/>
              </w:rPr>
              <w:t> </w:t>
            </w:r>
            <w:r w:rsidRPr="00953DCC">
              <w:rPr>
                <w:rFonts w:ascii="Calibri" w:hAnsi="Calibri" w:cs="Arial"/>
                <w:lang w:val="fr-FR"/>
              </w:rPr>
              <w:t>OGM</w:t>
            </w:r>
          </w:p>
        </w:tc>
      </w:tr>
      <w:tr w:rsidR="00AF246C" w:rsidRPr="00953DCC" w14:paraId="2C777C55" w14:textId="77777777" w:rsidTr="00A947B1">
        <w:tc>
          <w:tcPr>
            <w:tcW w:w="495" w:type="dxa"/>
          </w:tcPr>
          <w:p w14:paraId="55C0ED21"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8.</w:t>
            </w:r>
          </w:p>
        </w:tc>
        <w:tc>
          <w:tcPr>
            <w:tcW w:w="5312" w:type="dxa"/>
          </w:tcPr>
          <w:p w14:paraId="6555ED24"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l</w:t>
            </w:r>
            <w:r>
              <w:rPr>
                <w:rFonts w:ascii="Calibri" w:hAnsi="Calibri" w:cs="Arial"/>
                <w:lang w:val="fr-FR"/>
              </w:rPr>
              <w:t>’</w:t>
            </w:r>
            <w:r w:rsidRPr="00953DCC">
              <w:rPr>
                <w:rFonts w:ascii="Calibri" w:hAnsi="Calibri" w:cs="Arial"/>
                <w:lang w:val="fr-FR"/>
              </w:rPr>
              <w:t>humidité</w:t>
            </w:r>
          </w:p>
        </w:tc>
      </w:tr>
      <w:tr w:rsidR="00AF246C" w:rsidRPr="00953DCC" w14:paraId="2EC2CDD0" w14:textId="77777777" w:rsidTr="00A947B1">
        <w:tc>
          <w:tcPr>
            <w:tcW w:w="495" w:type="dxa"/>
          </w:tcPr>
          <w:p w14:paraId="7EE9A530"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9.</w:t>
            </w:r>
          </w:p>
        </w:tc>
        <w:tc>
          <w:tcPr>
            <w:tcW w:w="5312" w:type="dxa"/>
          </w:tcPr>
          <w:p w14:paraId="64731A3F"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nomenclature</w:t>
            </w:r>
          </w:p>
        </w:tc>
      </w:tr>
      <w:tr w:rsidR="00AF246C" w:rsidRPr="002C6F63" w14:paraId="18B1A978" w14:textId="77777777" w:rsidTr="00A947B1">
        <w:tc>
          <w:tcPr>
            <w:tcW w:w="495" w:type="dxa"/>
          </w:tcPr>
          <w:p w14:paraId="025E5FC3"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10.</w:t>
            </w:r>
          </w:p>
        </w:tc>
        <w:tc>
          <w:tcPr>
            <w:tcW w:w="5312" w:type="dxa"/>
          </w:tcPr>
          <w:p w14:paraId="798C5BFB"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des essais de rendement</w:t>
            </w:r>
          </w:p>
        </w:tc>
      </w:tr>
      <w:tr w:rsidR="00AF246C" w:rsidRPr="00953DCC" w14:paraId="0603201B" w14:textId="77777777" w:rsidTr="00A947B1">
        <w:tc>
          <w:tcPr>
            <w:tcW w:w="495" w:type="dxa"/>
          </w:tcPr>
          <w:p w14:paraId="72BF1FC1"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11.</w:t>
            </w:r>
          </w:p>
        </w:tc>
        <w:tc>
          <w:tcPr>
            <w:tcW w:w="5312" w:type="dxa"/>
          </w:tcPr>
          <w:p w14:paraId="2932340A"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la pureté</w:t>
            </w:r>
          </w:p>
        </w:tc>
      </w:tr>
      <w:tr w:rsidR="00AF246C" w:rsidRPr="00953DCC" w14:paraId="4624277B" w14:textId="77777777" w:rsidTr="00A947B1">
        <w:tc>
          <w:tcPr>
            <w:tcW w:w="495" w:type="dxa"/>
          </w:tcPr>
          <w:p w14:paraId="40F34F53"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12.</w:t>
            </w:r>
          </w:p>
        </w:tc>
        <w:tc>
          <w:tcPr>
            <w:tcW w:w="5312" w:type="dxa"/>
          </w:tcPr>
          <w:p w14:paraId="513700BD"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des règles</w:t>
            </w:r>
          </w:p>
        </w:tc>
      </w:tr>
      <w:tr w:rsidR="00AF246C" w:rsidRPr="002C6F63" w14:paraId="482D1CAA" w14:textId="77777777" w:rsidTr="00A947B1">
        <w:tc>
          <w:tcPr>
            <w:tcW w:w="495" w:type="dxa"/>
          </w:tcPr>
          <w:p w14:paraId="740B64D5"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13.</w:t>
            </w:r>
          </w:p>
        </w:tc>
        <w:tc>
          <w:tcPr>
            <w:tcW w:w="5312" w:type="dxa"/>
          </w:tcPr>
          <w:p w14:paraId="742846B2"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la santé des semences</w:t>
            </w:r>
          </w:p>
        </w:tc>
      </w:tr>
      <w:tr w:rsidR="00AF246C" w:rsidRPr="002C6F63" w14:paraId="467420B1" w14:textId="77777777" w:rsidTr="00A947B1">
        <w:tc>
          <w:tcPr>
            <w:tcW w:w="495" w:type="dxa"/>
          </w:tcPr>
          <w:p w14:paraId="05B1854C"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14.</w:t>
            </w:r>
          </w:p>
        </w:tc>
        <w:tc>
          <w:tcPr>
            <w:tcW w:w="5312" w:type="dxa"/>
          </w:tcPr>
          <w:p w14:paraId="0653586E"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Groupe consultatif sur la science des semences</w:t>
            </w:r>
          </w:p>
        </w:tc>
      </w:tr>
      <w:tr w:rsidR="00AF246C" w:rsidRPr="00953DCC" w14:paraId="0DBD4E9E" w14:textId="77777777" w:rsidTr="00A947B1">
        <w:tc>
          <w:tcPr>
            <w:tcW w:w="495" w:type="dxa"/>
          </w:tcPr>
          <w:p w14:paraId="701710FF"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15.</w:t>
            </w:r>
          </w:p>
        </w:tc>
        <w:tc>
          <w:tcPr>
            <w:tcW w:w="5312" w:type="dxa"/>
          </w:tcPr>
          <w:p w14:paraId="3FF3F9A7"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statistique</w:t>
            </w:r>
          </w:p>
        </w:tc>
      </w:tr>
      <w:tr w:rsidR="00AF246C" w:rsidRPr="002C6F63" w14:paraId="6866A47C" w14:textId="77777777" w:rsidTr="00A947B1">
        <w:tc>
          <w:tcPr>
            <w:tcW w:w="495" w:type="dxa"/>
          </w:tcPr>
          <w:p w14:paraId="327DB9CC"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16.</w:t>
            </w:r>
          </w:p>
        </w:tc>
        <w:tc>
          <w:tcPr>
            <w:tcW w:w="5312" w:type="dxa"/>
          </w:tcPr>
          <w:p w14:paraId="1C4D9C01"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la conservation des semences</w:t>
            </w:r>
          </w:p>
        </w:tc>
      </w:tr>
      <w:tr w:rsidR="00AF246C" w:rsidRPr="00953DCC" w14:paraId="21DEF3BC" w14:textId="77777777" w:rsidTr="00A947B1">
        <w:tc>
          <w:tcPr>
            <w:tcW w:w="495" w:type="dxa"/>
          </w:tcPr>
          <w:p w14:paraId="44C105E2"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17.</w:t>
            </w:r>
          </w:p>
        </w:tc>
        <w:tc>
          <w:tcPr>
            <w:tcW w:w="5312" w:type="dxa"/>
          </w:tcPr>
          <w:p w14:paraId="3C0B8AF7"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 xml:space="preserve">Comité du </w:t>
            </w:r>
            <w:proofErr w:type="spellStart"/>
            <w:r w:rsidRPr="00953DCC">
              <w:rPr>
                <w:rFonts w:ascii="Calibri" w:hAnsi="Calibri" w:cs="Arial"/>
                <w:lang w:val="fr-FR"/>
              </w:rPr>
              <w:t>tétrazolium</w:t>
            </w:r>
            <w:proofErr w:type="spellEnd"/>
          </w:p>
        </w:tc>
      </w:tr>
      <w:tr w:rsidR="00AF246C" w:rsidRPr="00953DCC" w14:paraId="2B6EC96B" w14:textId="77777777" w:rsidTr="00A947B1">
        <w:tc>
          <w:tcPr>
            <w:tcW w:w="495" w:type="dxa"/>
          </w:tcPr>
          <w:p w14:paraId="01392A26"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18.</w:t>
            </w:r>
          </w:p>
        </w:tc>
        <w:tc>
          <w:tcPr>
            <w:tcW w:w="5312" w:type="dxa"/>
          </w:tcPr>
          <w:p w14:paraId="0912A5C9"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des variétés</w:t>
            </w:r>
          </w:p>
        </w:tc>
      </w:tr>
      <w:tr w:rsidR="00AF246C" w:rsidRPr="00953DCC" w14:paraId="71848347" w14:textId="77777777" w:rsidTr="00A947B1">
        <w:tc>
          <w:tcPr>
            <w:tcW w:w="495" w:type="dxa"/>
          </w:tcPr>
          <w:p w14:paraId="5431D218"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19.</w:t>
            </w:r>
          </w:p>
        </w:tc>
        <w:tc>
          <w:tcPr>
            <w:tcW w:w="5312" w:type="dxa"/>
          </w:tcPr>
          <w:p w14:paraId="1655B81A"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Comité de la vigueur</w:t>
            </w:r>
          </w:p>
        </w:tc>
      </w:tr>
      <w:tr w:rsidR="00AF246C" w:rsidRPr="002C6F63" w14:paraId="508B71C2" w14:textId="77777777" w:rsidTr="00A947B1">
        <w:tc>
          <w:tcPr>
            <w:tcW w:w="495" w:type="dxa"/>
          </w:tcPr>
          <w:p w14:paraId="03AD1FBA"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20.</w:t>
            </w:r>
          </w:p>
        </w:tc>
        <w:tc>
          <w:tcPr>
            <w:tcW w:w="5312" w:type="dxa"/>
          </w:tcPr>
          <w:p w14:paraId="23A6C976" w14:textId="77777777" w:rsidR="00AF246C" w:rsidRPr="00953DCC" w:rsidRDefault="00AF246C" w:rsidP="00A947B1">
            <w:pPr>
              <w:autoSpaceDE w:val="0"/>
              <w:autoSpaceDN w:val="0"/>
              <w:adjustRightInd w:val="0"/>
              <w:jc w:val="left"/>
              <w:rPr>
                <w:rFonts w:ascii="Calibri" w:hAnsi="Calibri" w:cs="Arial"/>
                <w:lang w:val="fr-FR"/>
              </w:rPr>
            </w:pPr>
            <w:r w:rsidRPr="00953DCC">
              <w:rPr>
                <w:rFonts w:ascii="Calibri" w:hAnsi="Calibri" w:cs="Arial"/>
                <w:lang w:val="fr-FR"/>
              </w:rPr>
              <w:t>Groupe de travail sur les espèces sauvages</w:t>
            </w:r>
          </w:p>
        </w:tc>
      </w:tr>
    </w:tbl>
    <w:p w14:paraId="1097FAAB" w14:textId="77777777" w:rsidR="00AF246C" w:rsidRPr="00953DCC" w:rsidRDefault="00AF246C" w:rsidP="00AF246C">
      <w:pPr>
        <w:spacing w:after="160" w:line="259" w:lineRule="auto"/>
        <w:jc w:val="left"/>
        <w:rPr>
          <w:rFonts w:ascii="Calibri" w:eastAsia="Calibri" w:hAnsi="Calibri"/>
          <w:b/>
          <w:bCs/>
          <w:sz w:val="22"/>
          <w:szCs w:val="22"/>
          <w:lang w:val="fr-FR"/>
        </w:rPr>
      </w:pPr>
    </w:p>
    <w:p w14:paraId="317827C5" w14:textId="77777777" w:rsidR="00AF246C" w:rsidRPr="00D9517D" w:rsidRDefault="00AF246C" w:rsidP="00AF246C">
      <w:pPr>
        <w:spacing w:after="160" w:line="259" w:lineRule="auto"/>
        <w:jc w:val="left"/>
        <w:rPr>
          <w:rFonts w:ascii="Calibri" w:eastAsia="Calibri" w:hAnsi="Calibri"/>
          <w:bCs/>
          <w:caps/>
          <w:sz w:val="22"/>
          <w:szCs w:val="22"/>
          <w:lang w:val="fr-FR"/>
        </w:rPr>
      </w:pPr>
      <w:r w:rsidRPr="00D9517D">
        <w:rPr>
          <w:rFonts w:ascii="Calibri" w:eastAsia="Calibri" w:hAnsi="Calibri"/>
          <w:bCs/>
          <w:caps/>
          <w:sz w:val="22"/>
          <w:szCs w:val="22"/>
          <w:lang w:val="fr-FR"/>
        </w:rPr>
        <w:t>Programme d’accréditation de l’ISTA :</w:t>
      </w:r>
    </w:p>
    <w:p w14:paraId="699A8C80" w14:textId="77777777" w:rsidR="00AF246C" w:rsidRPr="00953DCC" w:rsidRDefault="00AF246C" w:rsidP="00AF246C">
      <w:pPr>
        <w:rPr>
          <w:rFonts w:eastAsia="Calibri" w:cs="Arial"/>
          <w:lang w:val="fr-FR"/>
        </w:rPr>
      </w:pPr>
      <w:r w:rsidRPr="00953DCC">
        <w:rPr>
          <w:rFonts w:eastAsia="Calibri" w:cs="Arial"/>
          <w:lang w:val="fr-FR"/>
        </w:rPr>
        <w:t>L</w:t>
      </w:r>
      <w:r>
        <w:rPr>
          <w:rFonts w:eastAsia="Calibri" w:cs="Arial"/>
          <w:lang w:val="fr-FR"/>
        </w:rPr>
        <w:t>’</w:t>
      </w:r>
      <w:r w:rsidRPr="00953DCC">
        <w:rPr>
          <w:rFonts w:eastAsia="Calibri" w:cs="Arial"/>
          <w:lang w:val="fr-FR"/>
        </w:rPr>
        <w:t>accréditation de l</w:t>
      </w:r>
      <w:r>
        <w:rPr>
          <w:rFonts w:eastAsia="Calibri" w:cs="Arial"/>
          <w:lang w:val="fr-FR"/>
        </w:rPr>
        <w:t>’</w:t>
      </w:r>
      <w:r w:rsidRPr="00953DCC">
        <w:rPr>
          <w:rFonts w:eastAsia="Calibri" w:cs="Arial"/>
          <w:lang w:val="fr-FR"/>
        </w:rPr>
        <w:t>ISTA consiste à vérifier si un laboratoire est techniquement compétent pour mener des procédures d</w:t>
      </w:r>
      <w:r>
        <w:rPr>
          <w:rFonts w:eastAsia="Calibri" w:cs="Arial"/>
          <w:lang w:val="fr-FR"/>
        </w:rPr>
        <w:t>’</w:t>
      </w:r>
      <w:r w:rsidRPr="00953DCC">
        <w:rPr>
          <w:rFonts w:eastAsia="Calibri" w:cs="Arial"/>
          <w:lang w:val="fr-FR"/>
        </w:rPr>
        <w:t>échantillonnage et d</w:t>
      </w:r>
      <w:r>
        <w:rPr>
          <w:rFonts w:eastAsia="Calibri" w:cs="Arial"/>
          <w:lang w:val="fr-FR"/>
        </w:rPr>
        <w:t>’</w:t>
      </w:r>
      <w:r w:rsidRPr="00953DCC">
        <w:rPr>
          <w:rFonts w:eastAsia="Calibri" w:cs="Arial"/>
          <w:lang w:val="fr-FR"/>
        </w:rPr>
        <w:t>essais de semences conformément aux Règles internationales de l</w:t>
      </w:r>
      <w:r>
        <w:rPr>
          <w:rFonts w:eastAsia="Calibri" w:cs="Arial"/>
          <w:lang w:val="fr-FR"/>
        </w:rPr>
        <w:t>’</w:t>
      </w:r>
      <w:r w:rsidRPr="00953DCC">
        <w:rPr>
          <w:rFonts w:eastAsia="Calibri" w:cs="Arial"/>
          <w:lang w:val="fr-FR"/>
        </w:rPr>
        <w:t>ISTA pour les essais de semences</w:t>
      </w:r>
      <w:r>
        <w:rPr>
          <w:rFonts w:eastAsia="Calibri" w:cs="Arial"/>
          <w:lang w:val="fr-FR"/>
        </w:rPr>
        <w:t xml:space="preserve">.  </w:t>
      </w:r>
      <w:r w:rsidRPr="00953DCC">
        <w:rPr>
          <w:rFonts w:eastAsia="Calibri" w:cs="Arial"/>
          <w:lang w:val="fr-FR"/>
        </w:rPr>
        <w:t>Les laboratoires accrédités doivent gérer un système d</w:t>
      </w:r>
      <w:r>
        <w:rPr>
          <w:rFonts w:eastAsia="Calibri" w:cs="Arial"/>
          <w:lang w:val="fr-FR"/>
        </w:rPr>
        <w:t>’</w:t>
      </w:r>
      <w:r w:rsidRPr="00953DCC">
        <w:rPr>
          <w:rFonts w:eastAsia="Calibri" w:cs="Arial"/>
          <w:lang w:val="fr-FR"/>
        </w:rPr>
        <w:t>assurance qualité, remplissant les exigences de la norme</w:t>
      </w:r>
      <w:r>
        <w:rPr>
          <w:rFonts w:eastAsia="Calibri" w:cs="Arial"/>
          <w:lang w:val="fr-FR"/>
        </w:rPr>
        <w:t> </w:t>
      </w:r>
      <w:r w:rsidRPr="00953DCC">
        <w:rPr>
          <w:rFonts w:eastAsia="Calibri" w:cs="Arial"/>
          <w:lang w:val="fr-FR"/>
        </w:rPr>
        <w:t>ISTA d</w:t>
      </w:r>
      <w:r>
        <w:rPr>
          <w:rFonts w:eastAsia="Calibri" w:cs="Arial"/>
          <w:lang w:val="fr-FR"/>
        </w:rPr>
        <w:t>’</w:t>
      </w:r>
      <w:r w:rsidRPr="00953DCC">
        <w:rPr>
          <w:rFonts w:eastAsia="Calibri" w:cs="Arial"/>
          <w:lang w:val="fr-FR"/>
        </w:rPr>
        <w:t>accréditation</w:t>
      </w:r>
      <w:r>
        <w:rPr>
          <w:rFonts w:eastAsia="Calibri" w:cs="Arial"/>
          <w:lang w:val="fr-FR"/>
        </w:rPr>
        <w:t xml:space="preserve">.  </w:t>
      </w:r>
      <w:r w:rsidRPr="00953DCC">
        <w:rPr>
          <w:rFonts w:eastAsia="Calibri" w:cs="Arial"/>
          <w:lang w:val="fr-FR"/>
        </w:rPr>
        <w:t>L</w:t>
      </w:r>
      <w:r>
        <w:rPr>
          <w:rFonts w:eastAsia="Calibri" w:cs="Arial"/>
          <w:lang w:val="fr-FR"/>
        </w:rPr>
        <w:t>’</w:t>
      </w:r>
      <w:r w:rsidRPr="00953DCC">
        <w:rPr>
          <w:rFonts w:eastAsia="Calibri" w:cs="Arial"/>
          <w:lang w:val="fr-FR"/>
        </w:rPr>
        <w:t>accréditation peut être accordée aux</w:t>
      </w:r>
      <w:r>
        <w:rPr>
          <w:rFonts w:eastAsia="Calibri" w:cs="Arial"/>
          <w:lang w:val="fr-FR"/>
        </w:rPr>
        <w:t> :</w:t>
      </w:r>
    </w:p>
    <w:p w14:paraId="690D05D4" w14:textId="77777777" w:rsidR="00AF246C" w:rsidRPr="00953DCC" w:rsidRDefault="00AF246C" w:rsidP="00AF246C">
      <w:pPr>
        <w:numPr>
          <w:ilvl w:val="0"/>
          <w:numId w:val="4"/>
        </w:numPr>
        <w:shd w:val="clear" w:color="auto" w:fill="FFFFFF"/>
        <w:tabs>
          <w:tab w:val="clear" w:pos="720"/>
          <w:tab w:val="num" w:pos="1134"/>
        </w:tabs>
        <w:spacing w:before="100" w:beforeAutospacing="1" w:after="100" w:afterAutospacing="1" w:line="259" w:lineRule="auto"/>
        <w:ind w:left="1134" w:hanging="567"/>
        <w:jc w:val="left"/>
        <w:rPr>
          <w:rFonts w:eastAsia="Calibri" w:cs="Arial"/>
          <w:lang w:val="fr-FR"/>
        </w:rPr>
      </w:pPr>
      <w:r w:rsidRPr="00953DCC">
        <w:rPr>
          <w:rFonts w:eastAsia="Calibri" w:cs="Arial"/>
          <w:lang w:val="fr-FR"/>
        </w:rPr>
        <w:t>entités effectuant uniquement des échantillonnages</w:t>
      </w:r>
    </w:p>
    <w:p w14:paraId="33A59578" w14:textId="77777777" w:rsidR="00AF246C" w:rsidRPr="00953DCC" w:rsidRDefault="00AF246C" w:rsidP="00AF246C">
      <w:pPr>
        <w:numPr>
          <w:ilvl w:val="0"/>
          <w:numId w:val="4"/>
        </w:numPr>
        <w:shd w:val="clear" w:color="auto" w:fill="FFFFFF"/>
        <w:tabs>
          <w:tab w:val="clear" w:pos="720"/>
          <w:tab w:val="num" w:pos="1134"/>
        </w:tabs>
        <w:spacing w:before="100" w:beforeAutospacing="1" w:after="100" w:afterAutospacing="1" w:line="259" w:lineRule="auto"/>
        <w:ind w:left="1134" w:hanging="567"/>
        <w:jc w:val="left"/>
        <w:rPr>
          <w:rFonts w:eastAsia="Calibri" w:cs="Arial"/>
          <w:lang w:val="fr-FR"/>
        </w:rPr>
      </w:pPr>
      <w:r w:rsidRPr="00953DCC">
        <w:rPr>
          <w:rFonts w:eastAsia="Calibri" w:cs="Arial"/>
          <w:lang w:val="fr-FR"/>
        </w:rPr>
        <w:t>laboratoires effectuant uniquement des essais</w:t>
      </w:r>
    </w:p>
    <w:p w14:paraId="7263F54E" w14:textId="77777777" w:rsidR="00AF246C" w:rsidRPr="00953DCC" w:rsidRDefault="00AF246C" w:rsidP="00AF246C">
      <w:pPr>
        <w:numPr>
          <w:ilvl w:val="0"/>
          <w:numId w:val="4"/>
        </w:numPr>
        <w:shd w:val="clear" w:color="auto" w:fill="FFFFFF"/>
        <w:tabs>
          <w:tab w:val="clear" w:pos="720"/>
          <w:tab w:val="num" w:pos="1134"/>
        </w:tabs>
        <w:spacing w:before="100" w:beforeAutospacing="1" w:after="100" w:afterAutospacing="1" w:line="259" w:lineRule="auto"/>
        <w:ind w:left="1134" w:hanging="567"/>
        <w:jc w:val="left"/>
        <w:rPr>
          <w:rFonts w:eastAsia="Calibri" w:cs="Arial"/>
          <w:lang w:val="fr-FR"/>
        </w:rPr>
      </w:pPr>
      <w:r w:rsidRPr="00953DCC">
        <w:rPr>
          <w:rFonts w:eastAsia="Calibri" w:cs="Arial"/>
          <w:lang w:val="fr-FR"/>
        </w:rPr>
        <w:t>laboratoires effectuant des échantillonnages et des essais.</w:t>
      </w:r>
    </w:p>
    <w:p w14:paraId="7FC6B3EF" w14:textId="77777777" w:rsidR="00AF246C" w:rsidRPr="00953DCC" w:rsidRDefault="00AF246C" w:rsidP="00AF246C">
      <w:pPr>
        <w:rPr>
          <w:rFonts w:eastAsia="Calibri"/>
          <w:lang w:val="fr-FR"/>
        </w:rPr>
      </w:pPr>
    </w:p>
    <w:p w14:paraId="04F1C8BF" w14:textId="77777777" w:rsidR="00AF246C" w:rsidRPr="00D9517D" w:rsidRDefault="00AF246C" w:rsidP="00AF246C">
      <w:pPr>
        <w:spacing w:after="160" w:line="259" w:lineRule="auto"/>
        <w:jc w:val="left"/>
        <w:rPr>
          <w:rFonts w:eastAsia="Calibri" w:cs="Arial"/>
          <w:bCs/>
          <w:lang w:val="fr-FR"/>
        </w:rPr>
      </w:pPr>
      <w:r w:rsidRPr="00D9517D">
        <w:rPr>
          <w:rFonts w:eastAsia="Calibri" w:cs="Arial"/>
          <w:bCs/>
          <w:lang w:val="fr-FR"/>
        </w:rPr>
        <w:t>LES CERTIFICATS DE L’ISTA : UN PASSEPORT POUR LE COMMERCE INTERNATIONAL DES SEMENCES</w:t>
      </w:r>
    </w:p>
    <w:p w14:paraId="4AAEF0AC" w14:textId="77777777" w:rsidR="00AF246C" w:rsidRPr="00953DCC" w:rsidRDefault="00AF246C" w:rsidP="00AF246C">
      <w:pPr>
        <w:spacing w:after="160" w:line="259" w:lineRule="auto"/>
        <w:rPr>
          <w:rFonts w:eastAsia="Calibri" w:cs="Arial"/>
          <w:lang w:val="fr-FR"/>
        </w:rPr>
      </w:pPr>
      <w:r w:rsidRPr="00953DCC">
        <w:rPr>
          <w:rFonts w:eastAsia="Calibri" w:cs="Arial"/>
          <w:lang w:val="fr-FR"/>
        </w:rPr>
        <w:t>Seuls les laboratoires agréés par l</w:t>
      </w:r>
      <w:r>
        <w:rPr>
          <w:rFonts w:eastAsia="Calibri" w:cs="Arial"/>
          <w:lang w:val="fr-FR"/>
        </w:rPr>
        <w:t>’</w:t>
      </w:r>
      <w:r w:rsidRPr="00953DCC">
        <w:rPr>
          <w:rFonts w:eastAsia="Calibri" w:cs="Arial"/>
          <w:lang w:val="fr-FR"/>
        </w:rPr>
        <w:t>ISTA sont autorisés à délivrer des certificats de l</w:t>
      </w:r>
      <w:r>
        <w:rPr>
          <w:rFonts w:eastAsia="Calibri" w:cs="Arial"/>
          <w:lang w:val="fr-FR"/>
        </w:rPr>
        <w:t>’</w:t>
      </w:r>
      <w:r w:rsidRPr="00953DCC">
        <w:rPr>
          <w:rFonts w:eastAsia="Calibri" w:cs="Arial"/>
          <w:lang w:val="fr-FR"/>
        </w:rPr>
        <w:t>ISTA pour l</w:t>
      </w:r>
      <w:r>
        <w:rPr>
          <w:rFonts w:eastAsia="Calibri" w:cs="Arial"/>
          <w:lang w:val="fr-FR"/>
        </w:rPr>
        <w:t>’</w:t>
      </w:r>
      <w:r w:rsidRPr="00953DCC">
        <w:rPr>
          <w:rFonts w:eastAsia="Calibri" w:cs="Arial"/>
          <w:lang w:val="fr-FR"/>
        </w:rPr>
        <w:t>analyse des semences.</w:t>
      </w:r>
    </w:p>
    <w:p w14:paraId="3453D38C" w14:textId="77777777" w:rsidR="00AF246C" w:rsidRPr="00953DCC" w:rsidRDefault="00AF246C" w:rsidP="00AF246C">
      <w:pPr>
        <w:spacing w:after="160" w:line="259" w:lineRule="auto"/>
        <w:rPr>
          <w:rFonts w:eastAsia="Calibri" w:cs="Arial"/>
          <w:lang w:val="fr-FR"/>
        </w:rPr>
      </w:pPr>
      <w:r w:rsidRPr="00953DCC">
        <w:rPr>
          <w:rFonts w:eastAsia="Calibri" w:cs="Arial"/>
          <w:lang w:val="fr-FR"/>
        </w:rPr>
        <w:t>En reportant les résultats des essais de semences sur les certificats de l</w:t>
      </w:r>
      <w:r>
        <w:rPr>
          <w:rFonts w:eastAsia="Calibri" w:cs="Arial"/>
          <w:lang w:val="fr-FR"/>
        </w:rPr>
        <w:t>’</w:t>
      </w:r>
      <w:r w:rsidRPr="00953DCC">
        <w:rPr>
          <w:rFonts w:eastAsia="Calibri" w:cs="Arial"/>
          <w:lang w:val="fr-FR"/>
        </w:rPr>
        <w:t>ISTA, le laboratoire qui délivre le certificat garantit que l</w:t>
      </w:r>
      <w:r>
        <w:rPr>
          <w:rFonts w:eastAsia="Calibri" w:cs="Arial"/>
          <w:lang w:val="fr-FR"/>
        </w:rPr>
        <w:t>’</w:t>
      </w:r>
      <w:r w:rsidRPr="00953DCC">
        <w:rPr>
          <w:rFonts w:eastAsia="Calibri" w:cs="Arial"/>
          <w:lang w:val="fr-FR"/>
        </w:rPr>
        <w:t>échantillonnage et les essais ont été effectués conformément aux règles de l</w:t>
      </w:r>
      <w:r>
        <w:rPr>
          <w:rFonts w:eastAsia="Calibri" w:cs="Arial"/>
          <w:lang w:val="fr-FR"/>
        </w:rPr>
        <w:t>’</w:t>
      </w:r>
      <w:r w:rsidRPr="00953DCC">
        <w:rPr>
          <w:rFonts w:eastAsia="Calibri" w:cs="Arial"/>
          <w:lang w:val="fr-FR"/>
        </w:rPr>
        <w:t>ISTA</w:t>
      </w:r>
      <w:r>
        <w:rPr>
          <w:rFonts w:eastAsia="Calibri" w:cs="Arial"/>
          <w:lang w:val="fr-FR"/>
        </w:rPr>
        <w:t xml:space="preserve">.  </w:t>
      </w:r>
      <w:r w:rsidRPr="00953DCC">
        <w:rPr>
          <w:rFonts w:eastAsia="Calibri" w:cs="Arial"/>
          <w:lang w:val="fr-FR"/>
        </w:rPr>
        <w:t>Les certificats de l</w:t>
      </w:r>
      <w:r>
        <w:rPr>
          <w:rFonts w:eastAsia="Calibri" w:cs="Arial"/>
          <w:lang w:val="fr-FR"/>
        </w:rPr>
        <w:t>’</w:t>
      </w:r>
      <w:r w:rsidRPr="00953DCC">
        <w:rPr>
          <w:rFonts w:eastAsia="Calibri" w:cs="Arial"/>
          <w:lang w:val="fr-FR"/>
        </w:rPr>
        <w:t>ISTA sont reconnus par la plupart des autorités et sont mentionnés dans les lois sur les semences de plusieurs pays.</w:t>
      </w:r>
    </w:p>
    <w:p w14:paraId="0EE76C44" w14:textId="77777777" w:rsidR="00AF246C" w:rsidRPr="00953DCC" w:rsidRDefault="00AF246C" w:rsidP="00AF246C">
      <w:pPr>
        <w:spacing w:after="160" w:line="259" w:lineRule="auto"/>
        <w:rPr>
          <w:rFonts w:eastAsia="Calibri" w:cs="Arial"/>
          <w:lang w:val="fr-FR"/>
        </w:rPr>
      </w:pPr>
      <w:r w:rsidRPr="00953DCC">
        <w:rPr>
          <w:rFonts w:eastAsia="Calibri" w:cs="Arial"/>
          <w:lang w:val="fr-FR"/>
        </w:rPr>
        <w:t>Les certificats de l</w:t>
      </w:r>
      <w:r>
        <w:rPr>
          <w:rFonts w:eastAsia="Calibri" w:cs="Arial"/>
          <w:lang w:val="fr-FR"/>
        </w:rPr>
        <w:t>’</w:t>
      </w:r>
      <w:r w:rsidRPr="00953DCC">
        <w:rPr>
          <w:rFonts w:eastAsia="Calibri" w:cs="Arial"/>
          <w:lang w:val="fr-FR"/>
        </w:rPr>
        <w:t>ISTA garantissent que les résultats sont reproductibles et authentiques et attestent la qualité des semences.</w:t>
      </w:r>
    </w:p>
    <w:p w14:paraId="5F312E57" w14:textId="77777777" w:rsidR="00AF246C" w:rsidRPr="00953DCC" w:rsidRDefault="00AF246C" w:rsidP="00AF246C">
      <w:pPr>
        <w:tabs>
          <w:tab w:val="left" w:pos="6104"/>
        </w:tabs>
        <w:spacing w:after="160" w:line="259" w:lineRule="auto"/>
        <w:jc w:val="left"/>
        <w:rPr>
          <w:rFonts w:ascii="Calibri" w:eastAsia="Calibri" w:hAnsi="Calibri"/>
          <w:sz w:val="22"/>
          <w:szCs w:val="22"/>
          <w:lang w:val="fr-FR"/>
        </w:rPr>
      </w:pPr>
      <w:r w:rsidRPr="00953DCC">
        <w:rPr>
          <w:rFonts w:ascii="Calibri" w:eastAsia="Calibri" w:hAnsi="Calibri"/>
          <w:sz w:val="22"/>
          <w:szCs w:val="22"/>
          <w:lang w:val="fr-FR"/>
        </w:rPr>
        <w:tab/>
      </w:r>
    </w:p>
    <w:p w14:paraId="7CCB9DF0" w14:textId="77777777" w:rsidR="00AF246C" w:rsidRPr="00953DCC" w:rsidRDefault="00AF246C" w:rsidP="00AF246C">
      <w:pPr>
        <w:tabs>
          <w:tab w:val="left" w:pos="2434"/>
          <w:tab w:val="left" w:pos="6871"/>
        </w:tabs>
        <w:spacing w:after="160" w:line="259" w:lineRule="auto"/>
        <w:jc w:val="left"/>
        <w:rPr>
          <w:rFonts w:ascii="Calibri" w:eastAsia="Calibri" w:hAnsi="Calibri"/>
          <w:sz w:val="22"/>
          <w:szCs w:val="22"/>
          <w:lang w:val="fr-FR"/>
        </w:rPr>
      </w:pPr>
      <w:r w:rsidRPr="00953DCC">
        <w:rPr>
          <w:rFonts w:ascii="Calibri" w:eastAsia="Calibri" w:hAnsi="Calibri"/>
          <w:sz w:val="22"/>
          <w:szCs w:val="22"/>
          <w:lang w:val="fr-FR"/>
        </w:rPr>
        <w:lastRenderedPageBreak/>
        <w:tab/>
      </w:r>
      <w:r w:rsidRPr="00953DCC">
        <w:rPr>
          <w:rFonts w:ascii="Calibri" w:eastAsia="Calibri" w:hAnsi="Calibri"/>
          <w:noProof/>
          <w:sz w:val="22"/>
          <w:szCs w:val="22"/>
        </w:rPr>
        <w:drawing>
          <wp:inline distT="0" distB="0" distL="0" distR="0" wp14:anchorId="43FC82E8" wp14:editId="4936DE30">
            <wp:extent cx="4157980" cy="17437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7980" cy="1743710"/>
                    </a:xfrm>
                    <a:prstGeom prst="rect">
                      <a:avLst/>
                    </a:prstGeom>
                    <a:noFill/>
                  </pic:spPr>
                </pic:pic>
              </a:graphicData>
            </a:graphic>
          </wp:inline>
        </w:drawing>
      </w:r>
      <w:r w:rsidRPr="00953DCC">
        <w:rPr>
          <w:rFonts w:ascii="Calibri" w:eastAsia="Calibri" w:hAnsi="Calibri"/>
          <w:sz w:val="22"/>
          <w:szCs w:val="22"/>
          <w:lang w:val="fr-FR"/>
        </w:rPr>
        <w:tab/>
      </w:r>
    </w:p>
    <w:p w14:paraId="2A76F454" w14:textId="77777777" w:rsidR="00AF246C" w:rsidRPr="00953DCC" w:rsidRDefault="00AF246C" w:rsidP="00AF246C">
      <w:pPr>
        <w:tabs>
          <w:tab w:val="left" w:pos="7433"/>
        </w:tabs>
        <w:spacing w:after="160" w:line="259" w:lineRule="auto"/>
        <w:jc w:val="left"/>
        <w:rPr>
          <w:rFonts w:ascii="Calibri" w:eastAsia="Calibri" w:hAnsi="Calibri"/>
          <w:sz w:val="22"/>
          <w:szCs w:val="22"/>
          <w:lang w:val="fr-FR"/>
        </w:rPr>
      </w:pPr>
      <w:r w:rsidRPr="00953DCC">
        <w:rPr>
          <w:rFonts w:ascii="Calibri" w:eastAsia="Calibri" w:hAnsi="Calibri"/>
          <w:sz w:val="22"/>
          <w:szCs w:val="22"/>
          <w:lang w:val="fr-FR"/>
        </w:rPr>
        <w:tab/>
      </w:r>
    </w:p>
    <w:p w14:paraId="308802F9" w14:textId="77777777" w:rsidR="00AF246C" w:rsidRPr="00953DCC" w:rsidRDefault="00AF246C" w:rsidP="00AF246C">
      <w:pPr>
        <w:spacing w:after="160" w:line="259" w:lineRule="auto"/>
        <w:rPr>
          <w:rFonts w:eastAsia="Calibri" w:cs="Arial"/>
          <w:lang w:val="fr-FR"/>
        </w:rPr>
      </w:pPr>
      <w:r w:rsidRPr="00953DCC">
        <w:rPr>
          <w:rFonts w:eastAsia="Calibri" w:cs="Arial"/>
          <w:lang w:val="fr-FR"/>
        </w:rPr>
        <w:t>Plus de 200 000 certificats bleus et orange de l</w:t>
      </w:r>
      <w:r>
        <w:rPr>
          <w:rFonts w:eastAsia="Calibri" w:cs="Arial"/>
          <w:lang w:val="fr-FR"/>
        </w:rPr>
        <w:t>’</w:t>
      </w:r>
      <w:r w:rsidRPr="00953DCC">
        <w:rPr>
          <w:rFonts w:eastAsia="Calibri" w:cs="Arial"/>
          <w:lang w:val="fr-FR"/>
        </w:rPr>
        <w:t>ISTA sont délivrés chaque année, facilitant le commerce des semences au niveau international.</w:t>
      </w:r>
    </w:p>
    <w:p w14:paraId="6CE6D6BB" w14:textId="77777777" w:rsidR="00AF246C" w:rsidRPr="00953DCC" w:rsidRDefault="00AF246C" w:rsidP="00AF246C">
      <w:pPr>
        <w:spacing w:line="259" w:lineRule="auto"/>
        <w:rPr>
          <w:rFonts w:eastAsia="Calibri" w:cs="Arial"/>
          <w:lang w:val="fr-FR"/>
        </w:rPr>
      </w:pPr>
    </w:p>
    <w:p w14:paraId="6EC8C0B0" w14:textId="77777777" w:rsidR="00AF246C" w:rsidRPr="00953DCC" w:rsidRDefault="00AF246C" w:rsidP="00AF246C">
      <w:pPr>
        <w:keepNext/>
        <w:spacing w:after="160" w:line="259" w:lineRule="auto"/>
        <w:rPr>
          <w:rFonts w:eastAsia="Calibri" w:cs="Arial"/>
          <w:b/>
          <w:bCs/>
          <w:lang w:val="fr-FR"/>
        </w:rPr>
      </w:pPr>
      <w:r w:rsidRPr="00953DCC">
        <w:rPr>
          <w:rFonts w:eastAsia="Calibri" w:cs="Arial"/>
          <w:b/>
          <w:bCs/>
          <w:lang w:val="fr-FR"/>
        </w:rPr>
        <w:t>SITUATION DES TECHNIQUES BIOCHIMIQUES ET MOLÉCULAIRES AU SEIN DE L</w:t>
      </w:r>
      <w:r>
        <w:rPr>
          <w:rFonts w:eastAsia="Calibri" w:cs="Arial"/>
          <w:b/>
          <w:bCs/>
          <w:lang w:val="fr-FR"/>
        </w:rPr>
        <w:t>’</w:t>
      </w:r>
      <w:r w:rsidRPr="00953DCC">
        <w:rPr>
          <w:rFonts w:eastAsia="Calibri" w:cs="Arial"/>
          <w:b/>
          <w:bCs/>
          <w:lang w:val="fr-FR"/>
        </w:rPr>
        <w:t>ISTA</w:t>
      </w:r>
    </w:p>
    <w:p w14:paraId="26950A6A" w14:textId="77777777" w:rsidR="00AF246C" w:rsidRPr="00953DCC" w:rsidRDefault="00AF246C" w:rsidP="00AF246C">
      <w:pPr>
        <w:keepLines/>
        <w:rPr>
          <w:rFonts w:eastAsia="Calibri" w:cs="Arial"/>
          <w:lang w:val="fr-FR"/>
        </w:rPr>
      </w:pPr>
      <w:r w:rsidRPr="00953DCC">
        <w:rPr>
          <w:rFonts w:eastAsia="Calibri" w:cs="Arial"/>
          <w:lang w:val="fr-FR"/>
        </w:rPr>
        <w:t>Les règles internationales de l</w:t>
      </w:r>
      <w:r>
        <w:rPr>
          <w:rFonts w:eastAsia="Calibri" w:cs="Arial"/>
          <w:lang w:val="fr-FR"/>
        </w:rPr>
        <w:t>’</w:t>
      </w:r>
      <w:r w:rsidRPr="00953DCC">
        <w:rPr>
          <w:rFonts w:eastAsia="Calibri" w:cs="Arial"/>
          <w:lang w:val="fr-FR"/>
        </w:rPr>
        <w:t>ISTA pour les essais de semences incluent les techniques biochimiques et moléculaires depuis de nombreuses années</w:t>
      </w:r>
      <w:r>
        <w:rPr>
          <w:rFonts w:eastAsia="Calibri" w:cs="Arial"/>
          <w:lang w:val="fr-FR"/>
        </w:rPr>
        <w:t xml:space="preserve">.  </w:t>
      </w:r>
      <w:r w:rsidRPr="00953DCC">
        <w:rPr>
          <w:rFonts w:eastAsia="Calibri" w:cs="Arial"/>
          <w:lang w:val="fr-FR"/>
        </w:rPr>
        <w:t>Les techniques biochimiques et moléculaires sont par exemple acceptables pour les essais d</w:t>
      </w:r>
      <w:r>
        <w:rPr>
          <w:rFonts w:eastAsia="Calibri" w:cs="Arial"/>
          <w:lang w:val="fr-FR"/>
        </w:rPr>
        <w:t>’</w:t>
      </w:r>
      <w:r w:rsidRPr="00953DCC">
        <w:rPr>
          <w:rFonts w:eastAsia="Calibri" w:cs="Arial"/>
          <w:lang w:val="fr-FR"/>
        </w:rPr>
        <w:t>OGM dans le cadre d</w:t>
      </w:r>
      <w:r>
        <w:rPr>
          <w:rFonts w:eastAsia="Calibri" w:cs="Arial"/>
          <w:lang w:val="fr-FR"/>
        </w:rPr>
        <w:t>’</w:t>
      </w:r>
      <w:r w:rsidRPr="00953DCC">
        <w:rPr>
          <w:rFonts w:eastAsia="Calibri" w:cs="Arial"/>
          <w:lang w:val="fr-FR"/>
        </w:rPr>
        <w:t xml:space="preserve">une “approche axée sur la performance”; </w:t>
      </w:r>
      <w:r>
        <w:rPr>
          <w:rFonts w:eastAsia="Calibri" w:cs="Arial"/>
          <w:lang w:val="fr-FR"/>
        </w:rPr>
        <w:t xml:space="preserve"> </w:t>
      </w:r>
      <w:r w:rsidRPr="00953DCC">
        <w:rPr>
          <w:rFonts w:eastAsia="Calibri" w:cs="Arial"/>
          <w:lang w:val="fr-FR"/>
        </w:rPr>
        <w:t>les méthodes fréquemment utilisées comprennent des analyses quantitatives et qualitatives de détection de protéines et diverses méthodes fondées sur l</w:t>
      </w:r>
      <w:r>
        <w:rPr>
          <w:rFonts w:eastAsia="Calibri" w:cs="Arial"/>
          <w:lang w:val="fr-FR"/>
        </w:rPr>
        <w:t>’</w:t>
      </w:r>
      <w:r w:rsidRPr="00953DCC">
        <w:rPr>
          <w:rFonts w:eastAsia="Calibri" w:cs="Arial"/>
          <w:lang w:val="fr-FR"/>
        </w:rPr>
        <w:t>ADN</w:t>
      </w:r>
      <w:r>
        <w:rPr>
          <w:rFonts w:eastAsia="Calibri" w:cs="Arial"/>
          <w:lang w:val="fr-FR"/>
        </w:rPr>
        <w:t xml:space="preserve">.  </w:t>
      </w:r>
      <w:r w:rsidRPr="00953DCC">
        <w:rPr>
          <w:rFonts w:eastAsia="Calibri" w:cs="Arial"/>
          <w:lang w:val="fr-FR"/>
        </w:rPr>
        <w:t>Les techniques biochimiques et moléculaires sont utilisées comme outils de diagnostic et d</w:t>
      </w:r>
      <w:r>
        <w:rPr>
          <w:rFonts w:eastAsia="Calibri" w:cs="Arial"/>
          <w:lang w:val="fr-FR"/>
        </w:rPr>
        <w:t>’</w:t>
      </w:r>
      <w:r w:rsidRPr="00953DCC">
        <w:rPr>
          <w:rFonts w:eastAsia="Calibri" w:cs="Arial"/>
          <w:lang w:val="fr-FR"/>
        </w:rPr>
        <w:t>évaluation quantitative dans les méthodes d</w:t>
      </w:r>
      <w:r>
        <w:rPr>
          <w:rFonts w:eastAsia="Calibri" w:cs="Arial"/>
          <w:lang w:val="fr-FR"/>
        </w:rPr>
        <w:t>’</w:t>
      </w:r>
      <w:r w:rsidRPr="00953DCC">
        <w:rPr>
          <w:rFonts w:eastAsia="Calibri" w:cs="Arial"/>
          <w:lang w:val="fr-FR"/>
        </w:rPr>
        <w:t>essais relatifs à la santé des semences</w:t>
      </w:r>
      <w:r>
        <w:rPr>
          <w:rFonts w:eastAsia="Calibri" w:cs="Arial"/>
          <w:lang w:val="fr-FR"/>
        </w:rPr>
        <w:t xml:space="preserve">.  </w:t>
      </w:r>
      <w:r w:rsidRPr="00953DCC">
        <w:rPr>
          <w:rFonts w:eastAsia="Calibri" w:cs="Arial"/>
          <w:lang w:val="fr-FR"/>
        </w:rPr>
        <w:t>Les essais portant sur la vérification des espèces et des variétés font également appel aux techniques biochimiques et moléculaires en analysant les profils des protéines de réserve pour le tournesol, le maïs, l</w:t>
      </w:r>
      <w:r>
        <w:rPr>
          <w:rFonts w:eastAsia="Calibri" w:cs="Arial"/>
          <w:lang w:val="fr-FR"/>
        </w:rPr>
        <w:t>’</w:t>
      </w:r>
      <w:r w:rsidRPr="00953DCC">
        <w:rPr>
          <w:rFonts w:eastAsia="Calibri" w:cs="Arial"/>
          <w:lang w:val="fr-FR"/>
        </w:rPr>
        <w:t>avoine, l</w:t>
      </w:r>
      <w:r>
        <w:rPr>
          <w:rFonts w:eastAsia="Calibri" w:cs="Arial"/>
          <w:lang w:val="fr-FR"/>
        </w:rPr>
        <w:t>’</w:t>
      </w:r>
      <w:r w:rsidRPr="00953DCC">
        <w:rPr>
          <w:rFonts w:eastAsia="Calibri" w:cs="Arial"/>
          <w:lang w:val="fr-FR"/>
        </w:rPr>
        <w:t>orge, le blé, le ray</w:t>
      </w:r>
      <w:r>
        <w:rPr>
          <w:rFonts w:eastAsia="Calibri" w:cs="Arial"/>
          <w:lang w:val="fr-FR"/>
        </w:rPr>
        <w:noBreakHyphen/>
      </w:r>
      <w:r w:rsidRPr="00953DCC">
        <w:rPr>
          <w:rFonts w:eastAsia="Calibri" w:cs="Arial"/>
          <w:lang w:val="fr-FR"/>
        </w:rPr>
        <w:t>grass et le pois ou à l</w:t>
      </w:r>
      <w:r>
        <w:rPr>
          <w:rFonts w:eastAsia="Calibri" w:cs="Arial"/>
          <w:lang w:val="fr-FR"/>
        </w:rPr>
        <w:t>’</w:t>
      </w:r>
      <w:r w:rsidRPr="00953DCC">
        <w:rPr>
          <w:rFonts w:eastAsia="Calibri" w:cs="Arial"/>
          <w:lang w:val="fr-FR"/>
        </w:rPr>
        <w:t>empreinte ADN au moyen de marqueurs moléculaires pour le maïs et le blé</w:t>
      </w:r>
      <w:r>
        <w:rPr>
          <w:rFonts w:eastAsia="Calibri" w:cs="Arial"/>
          <w:lang w:val="fr-FR"/>
        </w:rPr>
        <w:t xml:space="preserve">.  </w:t>
      </w:r>
      <w:r w:rsidRPr="00953DCC">
        <w:rPr>
          <w:rFonts w:eastAsia="Calibri" w:cs="Arial"/>
          <w:lang w:val="fr-FR"/>
        </w:rPr>
        <w:t>Comme la polyvalence de ces méthodes augmente et que le coût de leur utilisation diminue, elles peuvent être amenées à jouer un rôle encore plus important dans les essais de semences à l</w:t>
      </w:r>
      <w:r>
        <w:rPr>
          <w:rFonts w:eastAsia="Calibri" w:cs="Arial"/>
          <w:lang w:val="fr-FR"/>
        </w:rPr>
        <w:t>’</w:t>
      </w:r>
      <w:r w:rsidRPr="00953DCC">
        <w:rPr>
          <w:rFonts w:eastAsia="Calibri" w:cs="Arial"/>
          <w:lang w:val="fr-FR"/>
        </w:rPr>
        <w:t>avenir.</w:t>
      </w:r>
    </w:p>
    <w:p w14:paraId="3EBD3C54" w14:textId="77777777" w:rsidR="00AF246C" w:rsidRPr="00953DCC" w:rsidRDefault="00AF246C" w:rsidP="00AF246C">
      <w:pPr>
        <w:spacing w:after="160" w:line="259" w:lineRule="auto"/>
        <w:jc w:val="left"/>
        <w:rPr>
          <w:rFonts w:eastAsia="Calibri" w:cs="Arial"/>
          <w:lang w:val="fr-FR"/>
        </w:rPr>
      </w:pPr>
    </w:p>
    <w:p w14:paraId="7CC048B7" w14:textId="77777777" w:rsidR="00AF246C" w:rsidRPr="00953DCC" w:rsidRDefault="00AF246C" w:rsidP="00AF246C">
      <w:pPr>
        <w:spacing w:after="160" w:line="259" w:lineRule="auto"/>
        <w:jc w:val="left"/>
        <w:rPr>
          <w:rFonts w:eastAsia="Calibri" w:cs="Arial"/>
          <w:lang w:val="fr-FR"/>
        </w:rPr>
      </w:pPr>
      <w:r w:rsidRPr="00953DCC">
        <w:rPr>
          <w:rFonts w:eastAsia="Calibri" w:cs="Arial"/>
          <w:lang w:val="fr-FR"/>
        </w:rPr>
        <w:t>Pour en savoir plus à propos de l</w:t>
      </w:r>
      <w:r>
        <w:rPr>
          <w:rFonts w:eastAsia="Calibri" w:cs="Arial"/>
          <w:lang w:val="fr-FR"/>
        </w:rPr>
        <w:t>’</w:t>
      </w:r>
      <w:r w:rsidRPr="00953DCC">
        <w:rPr>
          <w:rFonts w:eastAsia="Calibri" w:cs="Arial"/>
          <w:lang w:val="fr-FR"/>
        </w:rPr>
        <w:t>ISTA, consultez notre site</w:t>
      </w:r>
      <w:r>
        <w:rPr>
          <w:rFonts w:eastAsia="Calibri" w:cs="Arial"/>
          <w:lang w:val="fr-FR"/>
        </w:rPr>
        <w:t> </w:t>
      </w:r>
      <w:r w:rsidRPr="00953DCC">
        <w:rPr>
          <w:rFonts w:eastAsia="Calibri" w:cs="Arial"/>
          <w:lang w:val="fr-FR"/>
        </w:rPr>
        <w:t>Web</w:t>
      </w:r>
      <w:r>
        <w:rPr>
          <w:rFonts w:eastAsia="Calibri" w:cs="Arial"/>
          <w:lang w:val="fr-FR"/>
        </w:rPr>
        <w:t> :</w:t>
      </w:r>
      <w:r w:rsidRPr="00953DCC">
        <w:rPr>
          <w:rFonts w:eastAsia="Calibri" w:cs="Arial"/>
          <w:lang w:val="fr-FR"/>
        </w:rPr>
        <w:t xml:space="preserve"> www.seedtest.org</w:t>
      </w:r>
    </w:p>
    <w:p w14:paraId="7E7D3D68" w14:textId="77777777" w:rsidR="007263AF" w:rsidRPr="00C20545" w:rsidRDefault="007263AF" w:rsidP="007263AF">
      <w:pPr>
        <w:rPr>
          <w:rFonts w:cs="Arial"/>
          <w:lang w:val="fr-FR"/>
        </w:rPr>
      </w:pPr>
    </w:p>
    <w:p w14:paraId="25A9B5EB" w14:textId="77777777" w:rsidR="007263AF" w:rsidRPr="00C20545" w:rsidRDefault="007263AF" w:rsidP="007263AF">
      <w:pPr>
        <w:rPr>
          <w:lang w:val="fr-FR"/>
        </w:rPr>
      </w:pPr>
    </w:p>
    <w:p w14:paraId="7AB4CB04" w14:textId="77777777" w:rsidR="007263AF" w:rsidRPr="00C20545" w:rsidRDefault="007263AF" w:rsidP="007263AF">
      <w:pPr>
        <w:rPr>
          <w:rFonts w:cs="Arial"/>
          <w:lang w:val="fr-FR"/>
        </w:rPr>
      </w:pPr>
    </w:p>
    <w:p w14:paraId="04DD3FB5" w14:textId="77777777" w:rsidR="007263AF" w:rsidRPr="00C20545" w:rsidRDefault="007263AF" w:rsidP="007263AF">
      <w:pPr>
        <w:rPr>
          <w:lang w:val="fr-FR"/>
        </w:rPr>
      </w:pPr>
    </w:p>
    <w:p w14:paraId="3815C263" w14:textId="6637E7CF" w:rsidR="00050E16" w:rsidRPr="00C20545" w:rsidRDefault="007263AF" w:rsidP="00E76161">
      <w:pPr>
        <w:jc w:val="right"/>
        <w:rPr>
          <w:lang w:val="fr-FR"/>
        </w:rPr>
      </w:pPr>
      <w:r w:rsidRPr="00C20545">
        <w:rPr>
          <w:lang w:val="fr-FR"/>
        </w:rPr>
        <w:t>[</w:t>
      </w:r>
      <w:r w:rsidR="00AC1FA7" w:rsidRPr="00C20545">
        <w:rPr>
          <w:lang w:val="fr-FR"/>
        </w:rPr>
        <w:t>Fin de l</w:t>
      </w:r>
      <w:r w:rsidR="00E11BEB" w:rsidRPr="00C20545">
        <w:rPr>
          <w:lang w:val="fr-FR"/>
        </w:rPr>
        <w:t>’annexe I</w:t>
      </w:r>
      <w:r w:rsidRPr="00C20545">
        <w:rPr>
          <w:lang w:val="fr-FR"/>
        </w:rPr>
        <w:t xml:space="preserve">I </w:t>
      </w:r>
      <w:r w:rsidR="00AC1FA7" w:rsidRPr="00C20545">
        <w:rPr>
          <w:lang w:val="fr-FR"/>
        </w:rPr>
        <w:t xml:space="preserve">et </w:t>
      </w:r>
      <w:r w:rsidRPr="00C20545">
        <w:rPr>
          <w:lang w:val="fr-FR"/>
        </w:rPr>
        <w:t>d</w:t>
      </w:r>
      <w:r w:rsidR="00AC1FA7" w:rsidRPr="00C20545">
        <w:rPr>
          <w:lang w:val="fr-FR"/>
        </w:rPr>
        <w:t>u</w:t>
      </w:r>
      <w:r w:rsidRPr="00C20545">
        <w:rPr>
          <w:lang w:val="fr-FR"/>
        </w:rPr>
        <w:t xml:space="preserve"> document]</w:t>
      </w:r>
    </w:p>
    <w:sectPr w:rsidR="00050E16" w:rsidRPr="00C20545" w:rsidSect="0004198B">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119A1" w14:textId="77777777" w:rsidR="00977D00" w:rsidRDefault="00977D00" w:rsidP="006655D3">
      <w:r>
        <w:separator/>
      </w:r>
    </w:p>
    <w:p w14:paraId="2C00E405" w14:textId="77777777" w:rsidR="00977D00" w:rsidRDefault="00977D00" w:rsidP="006655D3"/>
    <w:p w14:paraId="393865F0" w14:textId="77777777" w:rsidR="00977D00" w:rsidRDefault="00977D00" w:rsidP="006655D3"/>
  </w:endnote>
  <w:endnote w:type="continuationSeparator" w:id="0">
    <w:p w14:paraId="261B130B" w14:textId="77777777" w:rsidR="00977D00" w:rsidRDefault="00977D00" w:rsidP="006655D3">
      <w:r>
        <w:separator/>
      </w:r>
    </w:p>
    <w:p w14:paraId="77B65AFE" w14:textId="77777777" w:rsidR="00977D00" w:rsidRPr="00294751" w:rsidRDefault="00977D00">
      <w:pPr>
        <w:pStyle w:val="Footer"/>
        <w:spacing w:after="60"/>
        <w:rPr>
          <w:sz w:val="18"/>
          <w:lang w:val="fr-FR"/>
        </w:rPr>
      </w:pPr>
      <w:r w:rsidRPr="00294751">
        <w:rPr>
          <w:sz w:val="18"/>
          <w:lang w:val="fr-FR"/>
        </w:rPr>
        <w:t>[Suite de la note de la page précédente]</w:t>
      </w:r>
    </w:p>
    <w:p w14:paraId="29CDC5D9" w14:textId="77777777" w:rsidR="00977D00" w:rsidRPr="00294751" w:rsidRDefault="00977D00" w:rsidP="006655D3">
      <w:pPr>
        <w:rPr>
          <w:lang w:val="fr-FR"/>
        </w:rPr>
      </w:pPr>
    </w:p>
    <w:p w14:paraId="562BEE2C" w14:textId="77777777" w:rsidR="00977D00" w:rsidRPr="00294751" w:rsidRDefault="00977D00" w:rsidP="006655D3">
      <w:pPr>
        <w:rPr>
          <w:lang w:val="fr-FR"/>
        </w:rPr>
      </w:pPr>
    </w:p>
  </w:endnote>
  <w:endnote w:type="continuationNotice" w:id="1">
    <w:p w14:paraId="7E19711B" w14:textId="77777777" w:rsidR="00977D00" w:rsidRPr="00294751" w:rsidRDefault="00977D00" w:rsidP="006655D3">
      <w:pPr>
        <w:rPr>
          <w:lang w:val="fr-FR"/>
        </w:rPr>
      </w:pPr>
      <w:r w:rsidRPr="00294751">
        <w:rPr>
          <w:lang w:val="fr-FR"/>
        </w:rPr>
        <w:t>[Suite de la note page suivante]</w:t>
      </w:r>
    </w:p>
    <w:p w14:paraId="311505FB" w14:textId="77777777" w:rsidR="00977D00" w:rsidRPr="00294751" w:rsidRDefault="00977D00" w:rsidP="006655D3">
      <w:pPr>
        <w:rPr>
          <w:lang w:val="fr-FR"/>
        </w:rPr>
      </w:pPr>
    </w:p>
    <w:p w14:paraId="0E933AB0" w14:textId="77777777" w:rsidR="00977D00" w:rsidRPr="00294751" w:rsidRDefault="00977D0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44FE7" w14:textId="77777777" w:rsidR="00977D00" w:rsidRDefault="00977D00" w:rsidP="006655D3">
      <w:r>
        <w:separator/>
      </w:r>
    </w:p>
  </w:footnote>
  <w:footnote w:type="continuationSeparator" w:id="0">
    <w:p w14:paraId="238B19BC" w14:textId="77777777" w:rsidR="00977D00" w:rsidRDefault="00977D00" w:rsidP="006655D3">
      <w:r>
        <w:separator/>
      </w:r>
    </w:p>
  </w:footnote>
  <w:footnote w:type="continuationNotice" w:id="1">
    <w:p w14:paraId="4EABB4DB" w14:textId="77777777" w:rsidR="00977D00" w:rsidRPr="00AB530F" w:rsidRDefault="00977D00" w:rsidP="00AB530F">
      <w:pPr>
        <w:pStyle w:val="Footer"/>
      </w:pPr>
    </w:p>
  </w:footnote>
  <w:footnote w:id="2">
    <w:p w14:paraId="346270D2" w14:textId="3732983A" w:rsidR="00544D65" w:rsidRPr="00383096" w:rsidRDefault="00544D65" w:rsidP="00C327B6">
      <w:pPr>
        <w:pStyle w:val="FootnoteText"/>
        <w:rPr>
          <w:lang w:val="fr-FR"/>
        </w:rPr>
      </w:pPr>
      <w:r>
        <w:rPr>
          <w:rStyle w:val="FootnoteReference"/>
        </w:rPr>
        <w:footnoteRef/>
      </w:r>
      <w:r w:rsidRPr="00A6649B">
        <w:rPr>
          <w:lang w:val="fr-CH"/>
        </w:rPr>
        <w:t xml:space="preserve"> </w:t>
      </w:r>
      <w:r w:rsidR="00D666A7" w:rsidRPr="00A6649B">
        <w:rPr>
          <w:lang w:val="fr-CH"/>
        </w:rPr>
        <w:tab/>
      </w:r>
      <w:r w:rsidR="008F5D7D" w:rsidRPr="00383096">
        <w:rPr>
          <w:lang w:val="fr-FR"/>
        </w:rPr>
        <w:t>Tenue par voie électronique les 26 et 2</w:t>
      </w:r>
      <w:r w:rsidR="003E221B" w:rsidRPr="00383096">
        <w:rPr>
          <w:lang w:val="fr-FR"/>
        </w:rPr>
        <w:t>7</w:t>
      </w:r>
      <w:r w:rsidR="003E221B">
        <w:rPr>
          <w:lang w:val="fr-FR"/>
        </w:rPr>
        <w:t> </w:t>
      </w:r>
      <w:r w:rsidR="003E221B" w:rsidRPr="00383096">
        <w:rPr>
          <w:lang w:val="fr-FR"/>
        </w:rPr>
        <w:t>octobre</w:t>
      </w:r>
      <w:r w:rsidR="003E221B">
        <w:rPr>
          <w:lang w:val="fr-FR"/>
        </w:rPr>
        <w:t> </w:t>
      </w:r>
      <w:r w:rsidR="003E221B" w:rsidRPr="00383096">
        <w:rPr>
          <w:lang w:val="fr-FR"/>
        </w:rPr>
        <w:t>20</w:t>
      </w:r>
      <w:r w:rsidRPr="00383096">
        <w:rPr>
          <w:lang w:val="fr-FR"/>
        </w:rPr>
        <w:t>21</w:t>
      </w:r>
      <w:r w:rsidR="00D666A7">
        <w:rPr>
          <w:lang w:val="fr-FR"/>
        </w:rPr>
        <w:t>.</w:t>
      </w:r>
    </w:p>
  </w:footnote>
  <w:footnote w:id="3">
    <w:p w14:paraId="3F8EF145" w14:textId="2FBCE1B3" w:rsidR="00544D65" w:rsidRPr="00383096" w:rsidRDefault="00544D65" w:rsidP="00C327B6">
      <w:pPr>
        <w:pStyle w:val="FootnoteText"/>
        <w:rPr>
          <w:lang w:val="fr-FR"/>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Organisée par le Royaume</w:t>
      </w:r>
      <w:r w:rsidR="003E221B">
        <w:rPr>
          <w:lang w:val="fr-FR"/>
        </w:rPr>
        <w:t>-</w:t>
      </w:r>
      <w:r w:rsidR="00383096" w:rsidRPr="00383096">
        <w:rPr>
          <w:lang w:val="fr-FR"/>
        </w:rPr>
        <w:t>Uni, par voie électronique, du 23 au 2</w:t>
      </w:r>
      <w:r w:rsidR="003E221B" w:rsidRPr="00383096">
        <w:rPr>
          <w:lang w:val="fr-FR"/>
        </w:rPr>
        <w:t>7</w:t>
      </w:r>
      <w:r w:rsidR="003E221B">
        <w:rPr>
          <w:lang w:val="fr-FR"/>
        </w:rPr>
        <w:t> </w:t>
      </w:r>
      <w:r w:rsidR="003E221B" w:rsidRPr="00383096">
        <w:rPr>
          <w:lang w:val="fr-FR"/>
        </w:rPr>
        <w:t>mai</w:t>
      </w:r>
      <w:r w:rsidR="003E221B">
        <w:rPr>
          <w:lang w:val="fr-FR"/>
        </w:rPr>
        <w:t> </w:t>
      </w:r>
      <w:r w:rsidR="003E221B" w:rsidRPr="00383096">
        <w:rPr>
          <w:lang w:val="fr-FR"/>
        </w:rPr>
        <w:t>20</w:t>
      </w:r>
      <w:r w:rsidR="00383096" w:rsidRPr="00383096">
        <w:rPr>
          <w:lang w:val="fr-FR"/>
        </w:rPr>
        <w:t>22.</w:t>
      </w:r>
    </w:p>
  </w:footnote>
  <w:footnote w:id="4">
    <w:p w14:paraId="69CABAC2" w14:textId="0CD62376" w:rsidR="00544D65" w:rsidRPr="00383096" w:rsidRDefault="00544D65" w:rsidP="00C327B6">
      <w:pPr>
        <w:pStyle w:val="FootnoteText"/>
        <w:rPr>
          <w:lang w:val="fr-FR"/>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Organisée par voie électronique du 11 au 1</w:t>
      </w:r>
      <w:r w:rsidR="003E221B" w:rsidRPr="00383096">
        <w:rPr>
          <w:lang w:val="fr-FR"/>
        </w:rPr>
        <w:t>5</w:t>
      </w:r>
      <w:r w:rsidR="003E221B">
        <w:rPr>
          <w:lang w:val="fr-FR"/>
        </w:rPr>
        <w:t> </w:t>
      </w:r>
      <w:r w:rsidR="003E221B" w:rsidRPr="00383096">
        <w:rPr>
          <w:lang w:val="fr-FR"/>
        </w:rPr>
        <w:t>juillet</w:t>
      </w:r>
      <w:r w:rsidR="003E221B">
        <w:rPr>
          <w:lang w:val="fr-FR"/>
        </w:rPr>
        <w:t> </w:t>
      </w:r>
      <w:r w:rsidR="003E221B" w:rsidRPr="00383096">
        <w:rPr>
          <w:lang w:val="fr-FR"/>
        </w:rPr>
        <w:t>20</w:t>
      </w:r>
      <w:r w:rsidR="00383096" w:rsidRPr="00383096">
        <w:rPr>
          <w:lang w:val="fr-FR"/>
        </w:rPr>
        <w:t>22.</w:t>
      </w:r>
    </w:p>
  </w:footnote>
  <w:footnote w:id="5">
    <w:p w14:paraId="216B8463" w14:textId="7FCE6DDE" w:rsidR="00544D65" w:rsidRPr="00383096" w:rsidRDefault="00544D65" w:rsidP="00C327B6">
      <w:pPr>
        <w:pStyle w:val="FootnoteText"/>
        <w:rPr>
          <w:highlight w:val="cyan"/>
          <w:lang w:val="fr-FR"/>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Organisée par l</w:t>
      </w:r>
      <w:r w:rsidR="003E221B">
        <w:rPr>
          <w:lang w:val="fr-FR"/>
        </w:rPr>
        <w:t>’</w:t>
      </w:r>
      <w:r w:rsidR="00383096" w:rsidRPr="00383096">
        <w:rPr>
          <w:lang w:val="fr-FR"/>
        </w:rPr>
        <w:t>Allemagne, par voie électronique, du 13 au 1</w:t>
      </w:r>
      <w:r w:rsidR="003E221B" w:rsidRPr="00383096">
        <w:rPr>
          <w:lang w:val="fr-FR"/>
        </w:rPr>
        <w:t>7</w:t>
      </w:r>
      <w:r w:rsidR="003E221B">
        <w:rPr>
          <w:lang w:val="fr-FR"/>
        </w:rPr>
        <w:t> </w:t>
      </w:r>
      <w:r w:rsidR="003E221B" w:rsidRPr="00383096">
        <w:rPr>
          <w:lang w:val="fr-FR"/>
        </w:rPr>
        <w:t>juin</w:t>
      </w:r>
      <w:r w:rsidR="003E221B">
        <w:rPr>
          <w:lang w:val="fr-FR"/>
        </w:rPr>
        <w:t> </w:t>
      </w:r>
      <w:r w:rsidR="003E221B" w:rsidRPr="00383096">
        <w:rPr>
          <w:lang w:val="fr-FR"/>
        </w:rPr>
        <w:t>20</w:t>
      </w:r>
      <w:r w:rsidR="00383096" w:rsidRPr="00383096">
        <w:rPr>
          <w:lang w:val="fr-FR"/>
        </w:rPr>
        <w:t>22.</w:t>
      </w:r>
    </w:p>
  </w:footnote>
  <w:footnote w:id="6">
    <w:p w14:paraId="34C290A0" w14:textId="545F74F2" w:rsidR="00544D65" w:rsidRPr="00383096" w:rsidRDefault="00544D65" w:rsidP="00C327B6">
      <w:pPr>
        <w:pStyle w:val="FootnoteText"/>
        <w:rPr>
          <w:lang w:val="fr-FR"/>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Tenue par voie électronique du 19 au 2</w:t>
      </w:r>
      <w:r w:rsidR="003E221B" w:rsidRPr="00383096">
        <w:rPr>
          <w:lang w:val="fr-FR"/>
        </w:rPr>
        <w:t>3</w:t>
      </w:r>
      <w:r w:rsidR="003E221B">
        <w:rPr>
          <w:lang w:val="fr-FR"/>
        </w:rPr>
        <w:t> </w:t>
      </w:r>
      <w:r w:rsidR="003E221B" w:rsidRPr="00383096">
        <w:rPr>
          <w:lang w:val="fr-FR"/>
        </w:rPr>
        <w:t>septembre</w:t>
      </w:r>
      <w:r w:rsidR="003E221B">
        <w:rPr>
          <w:lang w:val="fr-FR"/>
        </w:rPr>
        <w:t> </w:t>
      </w:r>
      <w:r w:rsidR="003E221B" w:rsidRPr="00383096">
        <w:rPr>
          <w:lang w:val="fr-FR"/>
        </w:rPr>
        <w:t>20</w:t>
      </w:r>
      <w:r w:rsidR="00383096" w:rsidRPr="00383096">
        <w:rPr>
          <w:lang w:val="fr-FR"/>
        </w:rPr>
        <w:t>22.</w:t>
      </w:r>
    </w:p>
  </w:footnote>
  <w:footnote w:id="7">
    <w:p w14:paraId="2733089E" w14:textId="2444F171" w:rsidR="00544D65" w:rsidRPr="00383096" w:rsidRDefault="00544D65" w:rsidP="00C327B6">
      <w:pPr>
        <w:pStyle w:val="FootnoteText"/>
        <w:rPr>
          <w:lang w:val="fr-FR"/>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À sa cinquante</w:t>
      </w:r>
      <w:r w:rsidR="003E221B">
        <w:rPr>
          <w:lang w:val="fr-FR"/>
        </w:rPr>
        <w:t>-</w:t>
      </w:r>
      <w:r w:rsidR="00383096" w:rsidRPr="00383096">
        <w:rPr>
          <w:lang w:val="fr-FR"/>
        </w:rPr>
        <w:t>six</w:t>
      </w:r>
      <w:r w:rsidR="003E221B">
        <w:rPr>
          <w:lang w:val="fr-FR"/>
        </w:rPr>
        <w:t>ième session</w:t>
      </w:r>
      <w:r w:rsidR="00383096" w:rsidRPr="00383096">
        <w:rPr>
          <w:lang w:val="fr-FR"/>
        </w:rPr>
        <w:t>, tenue par voie électronique du 18 au 2</w:t>
      </w:r>
      <w:r w:rsidR="003E221B" w:rsidRPr="00383096">
        <w:rPr>
          <w:lang w:val="fr-FR"/>
        </w:rPr>
        <w:t>2</w:t>
      </w:r>
      <w:r w:rsidR="003E221B">
        <w:rPr>
          <w:lang w:val="fr-FR"/>
        </w:rPr>
        <w:t> </w:t>
      </w:r>
      <w:r w:rsidR="003E221B" w:rsidRPr="00383096">
        <w:rPr>
          <w:lang w:val="fr-FR"/>
        </w:rPr>
        <w:t>avril</w:t>
      </w:r>
      <w:r w:rsidR="003E221B">
        <w:rPr>
          <w:lang w:val="fr-FR"/>
        </w:rPr>
        <w:t> </w:t>
      </w:r>
      <w:r w:rsidR="003E221B" w:rsidRPr="00383096">
        <w:rPr>
          <w:lang w:val="fr-FR"/>
        </w:rPr>
        <w:t>20</w:t>
      </w:r>
      <w:r w:rsidR="00383096" w:rsidRPr="00383096">
        <w:rPr>
          <w:lang w:val="fr-FR"/>
        </w:rPr>
        <w:t>22.</w:t>
      </w:r>
    </w:p>
  </w:footnote>
  <w:footnote w:id="8">
    <w:p w14:paraId="6BDE5B9B" w14:textId="7A0C2AC7" w:rsidR="00544D65" w:rsidRPr="00383096" w:rsidRDefault="00544D65" w:rsidP="00C327B6">
      <w:pPr>
        <w:pStyle w:val="FootnoteText"/>
        <w:rPr>
          <w:highlight w:val="cyan"/>
          <w:lang w:val="fr-FR"/>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À sa cinquante</w:t>
      </w:r>
      <w:r w:rsidR="003E221B">
        <w:rPr>
          <w:lang w:val="fr-FR"/>
        </w:rPr>
        <w:t> et unième session</w:t>
      </w:r>
      <w:r w:rsidR="00383096" w:rsidRPr="00383096">
        <w:rPr>
          <w:lang w:val="fr-FR"/>
        </w:rPr>
        <w:t>, organisée par le Royaume</w:t>
      </w:r>
      <w:r w:rsidR="003E221B">
        <w:rPr>
          <w:lang w:val="fr-FR"/>
        </w:rPr>
        <w:t>-</w:t>
      </w:r>
      <w:r w:rsidR="00383096" w:rsidRPr="00383096">
        <w:rPr>
          <w:lang w:val="fr-FR"/>
        </w:rPr>
        <w:t>Uni par voie électronique du 23 au 2</w:t>
      </w:r>
      <w:r w:rsidR="003E221B" w:rsidRPr="00383096">
        <w:rPr>
          <w:lang w:val="fr-FR"/>
        </w:rPr>
        <w:t>7</w:t>
      </w:r>
      <w:r w:rsidR="003E221B">
        <w:rPr>
          <w:lang w:val="fr-FR"/>
        </w:rPr>
        <w:t> </w:t>
      </w:r>
      <w:r w:rsidR="003E221B" w:rsidRPr="00383096">
        <w:rPr>
          <w:lang w:val="fr-FR"/>
        </w:rPr>
        <w:t>mai</w:t>
      </w:r>
      <w:r w:rsidR="003E221B">
        <w:rPr>
          <w:lang w:val="fr-FR"/>
        </w:rPr>
        <w:t> </w:t>
      </w:r>
      <w:r w:rsidR="003E221B" w:rsidRPr="00383096">
        <w:rPr>
          <w:lang w:val="fr-FR"/>
        </w:rPr>
        <w:t>20</w:t>
      </w:r>
      <w:r w:rsidR="00383096" w:rsidRPr="00383096">
        <w:rPr>
          <w:lang w:val="fr-FR"/>
        </w:rPr>
        <w:t>22.</w:t>
      </w:r>
    </w:p>
  </w:footnote>
  <w:footnote w:id="9">
    <w:p w14:paraId="4C6D2AB7" w14:textId="1473ADE9" w:rsidR="00544D65" w:rsidRPr="00383096" w:rsidRDefault="00544D65" w:rsidP="00C327B6">
      <w:pPr>
        <w:pStyle w:val="FootnoteText"/>
        <w:rPr>
          <w:highlight w:val="cyan"/>
          <w:lang w:val="fr-FR"/>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À sa cinquante</w:t>
      </w:r>
      <w:r w:rsidR="003E221B">
        <w:rPr>
          <w:lang w:val="fr-FR"/>
        </w:rPr>
        <w:t>-</w:t>
      </w:r>
      <w:r w:rsidR="00383096" w:rsidRPr="00383096">
        <w:rPr>
          <w:lang w:val="fr-FR"/>
        </w:rPr>
        <w:t>quatr</w:t>
      </w:r>
      <w:r w:rsidR="003E221B">
        <w:rPr>
          <w:lang w:val="fr-FR"/>
        </w:rPr>
        <w:t>ième session</w:t>
      </w:r>
      <w:r w:rsidR="00383096" w:rsidRPr="00383096">
        <w:rPr>
          <w:lang w:val="fr-FR"/>
        </w:rPr>
        <w:t>, organisée par l</w:t>
      </w:r>
      <w:r w:rsidR="003E221B">
        <w:rPr>
          <w:lang w:val="fr-FR"/>
        </w:rPr>
        <w:t>’</w:t>
      </w:r>
      <w:r w:rsidR="00383096" w:rsidRPr="00383096">
        <w:rPr>
          <w:lang w:val="fr-FR"/>
        </w:rPr>
        <w:t xml:space="preserve">Allemagne </w:t>
      </w:r>
      <w:r w:rsidR="00E01224">
        <w:rPr>
          <w:lang w:val="fr-FR"/>
        </w:rPr>
        <w:t>par voie électronique du 13 au 1</w:t>
      </w:r>
      <w:r w:rsidR="003E221B" w:rsidRPr="00383096">
        <w:rPr>
          <w:lang w:val="fr-FR"/>
        </w:rPr>
        <w:t>7</w:t>
      </w:r>
      <w:r w:rsidR="003E221B">
        <w:rPr>
          <w:lang w:val="fr-FR"/>
        </w:rPr>
        <w:t> </w:t>
      </w:r>
      <w:r w:rsidR="003E221B" w:rsidRPr="00383096">
        <w:rPr>
          <w:lang w:val="fr-FR"/>
        </w:rPr>
        <w:t>juin</w:t>
      </w:r>
      <w:r w:rsidR="003E221B">
        <w:rPr>
          <w:lang w:val="fr-FR"/>
        </w:rPr>
        <w:t> </w:t>
      </w:r>
      <w:r w:rsidR="003E221B" w:rsidRPr="00383096">
        <w:rPr>
          <w:lang w:val="fr-FR"/>
        </w:rPr>
        <w:t>20</w:t>
      </w:r>
      <w:r w:rsidR="00383096" w:rsidRPr="00383096">
        <w:rPr>
          <w:lang w:val="fr-FR"/>
        </w:rPr>
        <w:t>22.</w:t>
      </w:r>
    </w:p>
  </w:footnote>
  <w:footnote w:id="10">
    <w:p w14:paraId="130C8D6B" w14:textId="0DC48622" w:rsidR="00544D65" w:rsidRPr="00383096" w:rsidRDefault="00544D65" w:rsidP="00C327B6">
      <w:pPr>
        <w:pStyle w:val="FootnoteText"/>
        <w:rPr>
          <w:lang w:val="fr-FR"/>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À sa cinquante</w:t>
      </w:r>
      <w:r w:rsidR="003E221B">
        <w:rPr>
          <w:lang w:val="fr-FR"/>
        </w:rPr>
        <w:t>-</w:t>
      </w:r>
      <w:r w:rsidR="00383096" w:rsidRPr="00383096">
        <w:rPr>
          <w:lang w:val="fr-FR"/>
        </w:rPr>
        <w:t>trois</w:t>
      </w:r>
      <w:r w:rsidR="003E221B">
        <w:rPr>
          <w:lang w:val="fr-FR"/>
        </w:rPr>
        <w:t>ième session</w:t>
      </w:r>
      <w:r w:rsidR="00383096" w:rsidRPr="00383096">
        <w:rPr>
          <w:lang w:val="fr-FR"/>
        </w:rPr>
        <w:t>, tenue par voie électronique du 11 au 1</w:t>
      </w:r>
      <w:r w:rsidR="003E221B" w:rsidRPr="00383096">
        <w:rPr>
          <w:lang w:val="fr-FR"/>
        </w:rPr>
        <w:t>5</w:t>
      </w:r>
      <w:r w:rsidR="003E221B">
        <w:rPr>
          <w:lang w:val="fr-FR"/>
        </w:rPr>
        <w:t> </w:t>
      </w:r>
      <w:r w:rsidR="003E221B" w:rsidRPr="00383096">
        <w:rPr>
          <w:lang w:val="fr-FR"/>
        </w:rPr>
        <w:t>juillet</w:t>
      </w:r>
      <w:r w:rsidR="003E221B">
        <w:rPr>
          <w:lang w:val="fr-FR"/>
        </w:rPr>
        <w:t> </w:t>
      </w:r>
      <w:r w:rsidR="003E221B" w:rsidRPr="00383096">
        <w:rPr>
          <w:lang w:val="fr-FR"/>
        </w:rPr>
        <w:t>20</w:t>
      </w:r>
      <w:r w:rsidR="00383096" w:rsidRPr="00383096">
        <w:rPr>
          <w:lang w:val="fr-FR"/>
        </w:rPr>
        <w:t>22.</w:t>
      </w:r>
    </w:p>
  </w:footnote>
  <w:footnote w:id="11">
    <w:p w14:paraId="6399FAAA" w14:textId="3308FF3E" w:rsidR="00544D65" w:rsidRPr="00A6649B" w:rsidRDefault="00544D65" w:rsidP="00C327B6">
      <w:pPr>
        <w:pStyle w:val="FootnoteText"/>
        <w:rPr>
          <w:lang w:val="fr-CH"/>
        </w:rPr>
      </w:pPr>
      <w:r w:rsidRPr="00383096">
        <w:rPr>
          <w:rStyle w:val="FootnoteReference"/>
          <w:lang w:val="fr-FR"/>
        </w:rPr>
        <w:footnoteRef/>
      </w:r>
      <w:r w:rsidRPr="00383096">
        <w:rPr>
          <w:lang w:val="fr-FR"/>
        </w:rPr>
        <w:t xml:space="preserve"> </w:t>
      </w:r>
      <w:r w:rsidR="00D666A7">
        <w:rPr>
          <w:lang w:val="fr-FR"/>
        </w:rPr>
        <w:tab/>
      </w:r>
      <w:r w:rsidR="00383096" w:rsidRPr="00383096">
        <w:rPr>
          <w:lang w:val="fr-FR"/>
        </w:rPr>
        <w:t>À sa première session, tenue par voie électronique du 19 au 2</w:t>
      </w:r>
      <w:r w:rsidR="003E221B" w:rsidRPr="00383096">
        <w:rPr>
          <w:lang w:val="fr-FR"/>
        </w:rPr>
        <w:t>3</w:t>
      </w:r>
      <w:r w:rsidR="003E221B">
        <w:rPr>
          <w:lang w:val="fr-FR"/>
        </w:rPr>
        <w:t> </w:t>
      </w:r>
      <w:r w:rsidR="003E221B" w:rsidRPr="00383096">
        <w:rPr>
          <w:lang w:val="fr-FR"/>
        </w:rPr>
        <w:t>septembre</w:t>
      </w:r>
      <w:r w:rsidR="003E221B">
        <w:rPr>
          <w:lang w:val="fr-FR"/>
        </w:rPr>
        <w:t> </w:t>
      </w:r>
      <w:r w:rsidR="003E221B" w:rsidRPr="00383096">
        <w:rPr>
          <w:lang w:val="fr-FR"/>
        </w:rPr>
        <w:t>20</w:t>
      </w:r>
      <w:r w:rsidR="00383096" w:rsidRPr="00383096">
        <w:rPr>
          <w:lang w:val="fr-FR"/>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3B8A" w14:textId="77777777" w:rsidR="00544D65" w:rsidRPr="00C5280D" w:rsidRDefault="00544D65" w:rsidP="00262086">
    <w:pPr>
      <w:pStyle w:val="Header"/>
      <w:rPr>
        <w:rStyle w:val="PageNumber"/>
        <w:lang w:val="en-US"/>
      </w:rPr>
    </w:pPr>
    <w:r>
      <w:rPr>
        <w:rStyle w:val="PageNumber"/>
        <w:lang w:val="en-US"/>
      </w:rPr>
      <w:t>CAJ/79/INF/4</w:t>
    </w:r>
  </w:p>
  <w:p w14:paraId="3BBD04E9" w14:textId="0B0AFD5A" w:rsidR="00544D65" w:rsidRPr="00C5280D" w:rsidRDefault="00D666A7" w:rsidP="00EB048E">
    <w:pPr>
      <w:pStyle w:val="Header"/>
      <w:rPr>
        <w:lang w:val="en-US"/>
      </w:rPr>
    </w:pPr>
    <w:r>
      <w:rPr>
        <w:lang w:val="en-US"/>
      </w:rPr>
      <w:t>p</w:t>
    </w:r>
    <w:r w:rsidR="00544D65" w:rsidRPr="00C5280D">
      <w:rPr>
        <w:lang w:val="en-US"/>
      </w:rPr>
      <w:t>age</w:t>
    </w:r>
    <w:r>
      <w:rPr>
        <w:lang w:val="en-US"/>
      </w:rPr>
      <w:t> </w:t>
    </w:r>
    <w:r w:rsidR="00544D65" w:rsidRPr="00C5280D">
      <w:rPr>
        <w:rStyle w:val="PageNumber"/>
        <w:lang w:val="en-US"/>
      </w:rPr>
      <w:fldChar w:fldCharType="begin"/>
    </w:r>
    <w:r w:rsidR="00544D65" w:rsidRPr="00C5280D">
      <w:rPr>
        <w:rStyle w:val="PageNumber"/>
        <w:lang w:val="en-US"/>
      </w:rPr>
      <w:instrText xml:space="preserve"> PAGE </w:instrText>
    </w:r>
    <w:r w:rsidR="00544D65" w:rsidRPr="00C5280D">
      <w:rPr>
        <w:rStyle w:val="PageNumber"/>
        <w:lang w:val="en-US"/>
      </w:rPr>
      <w:fldChar w:fldCharType="separate"/>
    </w:r>
    <w:r w:rsidR="002C6F63">
      <w:rPr>
        <w:rStyle w:val="PageNumber"/>
        <w:noProof/>
        <w:lang w:val="en-US"/>
      </w:rPr>
      <w:t>2</w:t>
    </w:r>
    <w:r w:rsidR="00544D65" w:rsidRPr="00C5280D">
      <w:rPr>
        <w:rStyle w:val="PageNumber"/>
        <w:lang w:val="en-US"/>
      </w:rPr>
      <w:fldChar w:fldCharType="end"/>
    </w:r>
  </w:p>
  <w:p w14:paraId="5D722826" w14:textId="77777777" w:rsidR="00544D65" w:rsidRPr="00C5280D" w:rsidRDefault="00544D6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A67A" w14:textId="77777777" w:rsidR="00D666A7" w:rsidRPr="00C5280D" w:rsidRDefault="00D666A7" w:rsidP="00D666A7">
    <w:pPr>
      <w:pStyle w:val="Header"/>
      <w:rPr>
        <w:rStyle w:val="PageNumber"/>
        <w:lang w:val="en-US"/>
      </w:rPr>
    </w:pPr>
    <w:r>
      <w:rPr>
        <w:rStyle w:val="PageNumber"/>
        <w:lang w:val="en-US"/>
      </w:rPr>
      <w:t>CAJ/79/INF/4</w:t>
    </w:r>
  </w:p>
  <w:p w14:paraId="444F56C2" w14:textId="63832DAE" w:rsidR="00D666A7" w:rsidRPr="00C5280D" w:rsidRDefault="00D666A7" w:rsidP="00D666A7">
    <w:pPr>
      <w:pStyle w:val="Header"/>
      <w:rPr>
        <w:lang w:val="en-US"/>
      </w:rPr>
    </w:pPr>
    <w:r>
      <w:rPr>
        <w:lang w:val="en-US"/>
      </w:rPr>
      <w:t>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C6F63">
      <w:rPr>
        <w:rStyle w:val="PageNumber"/>
        <w:noProof/>
        <w:lang w:val="en-US"/>
      </w:rPr>
      <w:t>3</w:t>
    </w:r>
    <w:r w:rsidRPr="00C5280D">
      <w:rPr>
        <w:rStyle w:val="PageNumber"/>
        <w:lang w:val="en-US"/>
      </w:rPr>
      <w:fldChar w:fldCharType="end"/>
    </w:r>
  </w:p>
  <w:p w14:paraId="32C03269" w14:textId="77777777" w:rsidR="00D666A7" w:rsidRPr="00C5280D" w:rsidRDefault="00D666A7" w:rsidP="00D666A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D448" w14:textId="77777777" w:rsidR="00D666A7" w:rsidRPr="00C5280D" w:rsidRDefault="00D666A7" w:rsidP="00D666A7">
    <w:pPr>
      <w:pStyle w:val="Header"/>
      <w:rPr>
        <w:rStyle w:val="PageNumber"/>
        <w:lang w:val="en-US"/>
      </w:rPr>
    </w:pPr>
    <w:r>
      <w:rPr>
        <w:rStyle w:val="PageNumber"/>
        <w:lang w:val="en-US"/>
      </w:rPr>
      <w:t>CAJ/79/INF/4</w:t>
    </w:r>
  </w:p>
  <w:p w14:paraId="58D4ACF0" w14:textId="1EEC135A" w:rsidR="00D666A7" w:rsidRPr="00C5280D" w:rsidRDefault="00D666A7" w:rsidP="00D666A7">
    <w:pPr>
      <w:pStyle w:val="Header"/>
      <w:rPr>
        <w:lang w:val="en-US"/>
      </w:rPr>
    </w:pPr>
    <w:r>
      <w:rPr>
        <w:lang w:val="en-US"/>
      </w:rPr>
      <w:t>p</w:t>
    </w:r>
    <w:r w:rsidRPr="00C5280D">
      <w:rPr>
        <w:lang w:val="en-US"/>
      </w:rPr>
      <w:t>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C6F63">
      <w:rPr>
        <w:rStyle w:val="PageNumber"/>
        <w:noProof/>
        <w:lang w:val="en-US"/>
      </w:rPr>
      <w:t>6</w:t>
    </w:r>
    <w:r w:rsidRPr="00C5280D">
      <w:rPr>
        <w:rStyle w:val="PageNumber"/>
        <w:lang w:val="en-US"/>
      </w:rPr>
      <w:fldChar w:fldCharType="end"/>
    </w:r>
  </w:p>
  <w:p w14:paraId="71FB6AC5" w14:textId="77777777" w:rsidR="00D666A7" w:rsidRPr="00C5280D" w:rsidRDefault="00D666A7" w:rsidP="00D666A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4612" w14:textId="77777777" w:rsidR="00544D65" w:rsidRPr="00956417" w:rsidRDefault="00544D65">
    <w:pPr>
      <w:pStyle w:val="Header"/>
      <w:rPr>
        <w:lang w:val="en-US"/>
      </w:rPr>
    </w:pPr>
    <w:r w:rsidRPr="00956417">
      <w:rPr>
        <w:lang w:val="en-US"/>
      </w:rPr>
      <w:t>TC/5</w:t>
    </w:r>
    <w:r>
      <w:rPr>
        <w:lang w:val="en-US"/>
      </w:rPr>
      <w:t>8</w:t>
    </w:r>
    <w:r w:rsidRPr="00956417">
      <w:rPr>
        <w:lang w:val="en-US"/>
      </w:rPr>
      <w:t>/</w:t>
    </w:r>
    <w:r>
      <w:rPr>
        <w:lang w:val="en-US"/>
      </w:rPr>
      <w:t>7</w:t>
    </w:r>
  </w:p>
  <w:p w14:paraId="74C0E9E4" w14:textId="77777777" w:rsidR="00544D65" w:rsidRPr="00956417" w:rsidRDefault="00544D65">
    <w:pPr>
      <w:pStyle w:val="Header"/>
      <w:rPr>
        <w:noProof/>
        <w:lang w:val="en-US"/>
      </w:rPr>
    </w:pPr>
    <w:r w:rsidRPr="00956417">
      <w:rPr>
        <w:lang w:val="en-US"/>
      </w:rPr>
      <w:t xml:space="preserve">Appendix to Annex, page </w:t>
    </w:r>
    <w:r w:rsidRPr="00EF6C3B">
      <w:rPr>
        <w:lang w:val="fr-CH"/>
      </w:rPr>
      <w:fldChar w:fldCharType="begin"/>
    </w:r>
    <w:r w:rsidRPr="00956417">
      <w:rPr>
        <w:lang w:val="en-US"/>
      </w:rPr>
      <w:instrText xml:space="preserve"> PAGE   \* MERGEFORMAT </w:instrText>
    </w:r>
    <w:r w:rsidRPr="00EF6C3B">
      <w:rPr>
        <w:lang w:val="fr-CH"/>
      </w:rPr>
      <w:fldChar w:fldCharType="separate"/>
    </w:r>
    <w:r>
      <w:rPr>
        <w:noProof/>
        <w:lang w:val="en-US"/>
      </w:rPr>
      <w:t>3</w:t>
    </w:r>
    <w:r w:rsidRPr="00EF6C3B">
      <w:rPr>
        <w:noProof/>
        <w:lang w:val="fr-CH"/>
      </w:rPr>
      <w:fldChar w:fldCharType="end"/>
    </w:r>
  </w:p>
  <w:p w14:paraId="27D9C95D" w14:textId="77777777" w:rsidR="00544D65" w:rsidRPr="00956417" w:rsidRDefault="00544D65">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BAA0" w14:textId="77777777" w:rsidR="00544D65" w:rsidRPr="00262086" w:rsidRDefault="00544D65">
    <w:pPr>
      <w:pStyle w:val="Header"/>
      <w:rPr>
        <w:lang w:val="en-US"/>
      </w:rPr>
    </w:pPr>
    <w:r w:rsidRPr="00262086">
      <w:rPr>
        <w:lang w:val="en-US"/>
      </w:rPr>
      <w:t>CAJ/7</w:t>
    </w:r>
    <w:r>
      <w:rPr>
        <w:lang w:val="en-US"/>
      </w:rPr>
      <w:t>9/INF</w:t>
    </w:r>
    <w:r w:rsidRPr="00262086">
      <w:rPr>
        <w:lang w:val="en-US"/>
      </w:rPr>
      <w:t>/</w:t>
    </w:r>
    <w:r>
      <w:rPr>
        <w:lang w:val="en-US"/>
      </w:rPr>
      <w:t>4</w:t>
    </w:r>
  </w:p>
  <w:p w14:paraId="55917D7E" w14:textId="77777777" w:rsidR="00544D65" w:rsidRPr="00262086" w:rsidRDefault="00544D65">
    <w:pPr>
      <w:pStyle w:val="Header"/>
      <w:rPr>
        <w:lang w:val="en-US"/>
      </w:rPr>
    </w:pPr>
  </w:p>
  <w:p w14:paraId="49881DDE" w14:textId="31DFB7E6" w:rsidR="00544D65" w:rsidRPr="00262086" w:rsidRDefault="00544D65">
    <w:pPr>
      <w:pStyle w:val="Header"/>
      <w:rPr>
        <w:lang w:val="en-US"/>
      </w:rPr>
    </w:pPr>
    <w:r w:rsidRPr="00AC1FA7">
      <w:t>ANNEX</w:t>
    </w:r>
    <w:r w:rsidR="00AC1FA7" w:rsidRPr="00AC1FA7">
      <w:t>E</w:t>
    </w:r>
    <w:r w:rsidRPr="00262086">
      <w:rPr>
        <w:lang w:val="en-US"/>
      </w:rPr>
      <w:t xml:space="preserve"> I</w:t>
    </w:r>
  </w:p>
  <w:p w14:paraId="05EEB85A" w14:textId="77777777" w:rsidR="00544D65" w:rsidRPr="00262086" w:rsidRDefault="00544D6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686C" w14:textId="77777777" w:rsidR="00544D65" w:rsidRPr="00A6649B" w:rsidRDefault="00544D65" w:rsidP="00331E79">
    <w:pPr>
      <w:pStyle w:val="Header"/>
      <w:rPr>
        <w:rStyle w:val="PageNumber"/>
        <w:lang w:val="fr-CH"/>
      </w:rPr>
    </w:pPr>
    <w:r w:rsidRPr="00A6649B">
      <w:rPr>
        <w:rStyle w:val="PageNumber"/>
        <w:lang w:val="fr-CH"/>
      </w:rPr>
      <w:t>CAJ/79/INF/4</w:t>
    </w:r>
  </w:p>
  <w:p w14:paraId="34C9A6AA" w14:textId="77777777" w:rsidR="00544D65" w:rsidRPr="00A6649B" w:rsidRDefault="00544D65" w:rsidP="00EB048E">
    <w:pPr>
      <w:pStyle w:val="Header"/>
      <w:rPr>
        <w:lang w:val="fr-CH"/>
      </w:rPr>
    </w:pPr>
  </w:p>
  <w:p w14:paraId="370BA0C7" w14:textId="7A2F8297" w:rsidR="00544D65" w:rsidRPr="00A6649B" w:rsidRDefault="00E76161" w:rsidP="00EB048E">
    <w:pPr>
      <w:pStyle w:val="Header"/>
      <w:rPr>
        <w:caps/>
        <w:lang w:val="fr-CH"/>
      </w:rPr>
    </w:pPr>
    <w:r>
      <w:t>A</w:t>
    </w:r>
    <w:r w:rsidRPr="00674897">
      <w:t>ppendice de l’</w:t>
    </w:r>
    <w:r>
      <w:t>a</w:t>
    </w:r>
    <w:r w:rsidRPr="00674897">
      <w:t>nnexe</w:t>
    </w:r>
    <w:r>
      <w:t> </w:t>
    </w:r>
    <w:r w:rsidR="00544D65" w:rsidRPr="00A6649B">
      <w:rPr>
        <w:caps/>
        <w:lang w:val="fr-CH"/>
      </w:rPr>
      <w:t xml:space="preserve">I, </w:t>
    </w:r>
    <w:r w:rsidRPr="00A6649B">
      <w:rPr>
        <w:lang w:val="fr-CH"/>
      </w:rPr>
      <w:t>page </w:t>
    </w:r>
    <w:r w:rsidR="00544D65" w:rsidRPr="00674897">
      <w:rPr>
        <w:rStyle w:val="PageNumber"/>
        <w:caps/>
        <w:lang w:val="en-US"/>
      </w:rPr>
      <w:fldChar w:fldCharType="begin"/>
    </w:r>
    <w:r w:rsidR="00544D65" w:rsidRPr="00A6649B">
      <w:rPr>
        <w:rStyle w:val="PageNumber"/>
        <w:caps/>
        <w:lang w:val="fr-CH"/>
      </w:rPr>
      <w:instrText xml:space="preserve"> PAGE </w:instrText>
    </w:r>
    <w:r w:rsidR="00544D65" w:rsidRPr="00674897">
      <w:rPr>
        <w:rStyle w:val="PageNumber"/>
        <w:caps/>
        <w:lang w:val="en-US"/>
      </w:rPr>
      <w:fldChar w:fldCharType="separate"/>
    </w:r>
    <w:r w:rsidR="002C6F63">
      <w:rPr>
        <w:rStyle w:val="PageNumber"/>
        <w:caps/>
        <w:noProof/>
        <w:lang w:val="fr-CH"/>
      </w:rPr>
      <w:t>3</w:t>
    </w:r>
    <w:r w:rsidR="00544D65" w:rsidRPr="00674897">
      <w:rPr>
        <w:rStyle w:val="PageNumber"/>
        <w:caps/>
        <w:lang w:val="en-US"/>
      </w:rPr>
      <w:fldChar w:fldCharType="end"/>
    </w:r>
  </w:p>
  <w:p w14:paraId="5423B4AE" w14:textId="77777777" w:rsidR="00544D65" w:rsidRPr="00A6649B" w:rsidRDefault="00544D65"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75CA" w14:textId="77777777" w:rsidR="00544D65" w:rsidRPr="00A6649B" w:rsidRDefault="00544D65" w:rsidP="00331E79">
    <w:pPr>
      <w:pStyle w:val="Header"/>
      <w:rPr>
        <w:rStyle w:val="PageNumber"/>
        <w:lang w:val="fr-CH"/>
      </w:rPr>
    </w:pPr>
    <w:r w:rsidRPr="00A6649B">
      <w:rPr>
        <w:rStyle w:val="PageNumber"/>
        <w:lang w:val="fr-CH"/>
      </w:rPr>
      <w:t>CAJ/79/INF/4</w:t>
    </w:r>
  </w:p>
  <w:p w14:paraId="4212B8CC" w14:textId="77777777" w:rsidR="00544D65" w:rsidRPr="00A6649B" w:rsidRDefault="00544D65" w:rsidP="00331E79">
    <w:pPr>
      <w:pStyle w:val="Header"/>
      <w:rPr>
        <w:lang w:val="fr-CH"/>
      </w:rPr>
    </w:pPr>
  </w:p>
  <w:p w14:paraId="63485208" w14:textId="1A63FA9F" w:rsidR="00544D65" w:rsidRPr="00A6649B" w:rsidRDefault="00544D65" w:rsidP="00331E79">
    <w:pPr>
      <w:pStyle w:val="Header"/>
      <w:rPr>
        <w:lang w:val="fr-CH"/>
      </w:rPr>
    </w:pPr>
    <w:r w:rsidRPr="00AC1FA7">
      <w:t>APPENDI</w:t>
    </w:r>
    <w:r w:rsidR="00AC1FA7" w:rsidRPr="00AC1FA7">
      <w:t>CE DE L’</w:t>
    </w:r>
    <w:r w:rsidRPr="00AC1FA7">
      <w:t>ANNEX</w:t>
    </w:r>
    <w:r w:rsidR="00AC1FA7" w:rsidRPr="00AC1FA7">
      <w:t>E</w:t>
    </w:r>
    <w:r w:rsidRPr="00A6649B">
      <w:rPr>
        <w:lang w:val="fr-CH"/>
      </w:rPr>
      <w:t xml:space="preserve"> I</w:t>
    </w:r>
  </w:p>
  <w:p w14:paraId="687FFAA2" w14:textId="77777777" w:rsidR="00544D65" w:rsidRPr="00A6649B" w:rsidRDefault="00544D65" w:rsidP="0004198B">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4D78" w14:textId="77777777" w:rsidR="00544D65" w:rsidRDefault="00544D65" w:rsidP="00331E79">
    <w:pPr>
      <w:pStyle w:val="Header"/>
      <w:rPr>
        <w:rStyle w:val="PageNumber"/>
        <w:lang w:val="fr-CH"/>
      </w:rPr>
    </w:pPr>
    <w:r>
      <w:rPr>
        <w:rStyle w:val="PageNumber"/>
        <w:lang w:val="fr-CH"/>
      </w:rPr>
      <w:t>CAJ/79/INF/4</w:t>
    </w:r>
  </w:p>
  <w:p w14:paraId="5FA8B674" w14:textId="772CDD69" w:rsidR="00544D65" w:rsidRPr="007263AF" w:rsidRDefault="00544D65" w:rsidP="00EB048E">
    <w:pPr>
      <w:pStyle w:val="Header"/>
    </w:pPr>
    <w:r w:rsidRPr="007263AF">
      <w:t xml:space="preserve">Annex II, page </w:t>
    </w:r>
    <w:r w:rsidRPr="00C5280D">
      <w:rPr>
        <w:rStyle w:val="PageNumber"/>
        <w:lang w:val="en-US"/>
      </w:rPr>
      <w:fldChar w:fldCharType="begin"/>
    </w:r>
    <w:r w:rsidRPr="007263AF">
      <w:rPr>
        <w:rStyle w:val="PageNumber"/>
      </w:rPr>
      <w:instrText xml:space="preserve"> PAGE </w:instrText>
    </w:r>
    <w:r w:rsidRPr="00C5280D">
      <w:rPr>
        <w:rStyle w:val="PageNumber"/>
        <w:lang w:val="en-US"/>
      </w:rPr>
      <w:fldChar w:fldCharType="separate"/>
    </w:r>
    <w:r w:rsidR="002C6F63">
      <w:rPr>
        <w:rStyle w:val="PageNumber"/>
        <w:noProof/>
      </w:rPr>
      <w:t>7</w:t>
    </w:r>
    <w:r w:rsidRPr="00C5280D">
      <w:rPr>
        <w:rStyle w:val="PageNumber"/>
        <w:lang w:val="en-US"/>
      </w:rPr>
      <w:fldChar w:fldCharType="end"/>
    </w:r>
  </w:p>
  <w:p w14:paraId="666C7361" w14:textId="77777777" w:rsidR="00544D65" w:rsidRPr="007263AF" w:rsidRDefault="00544D65" w:rsidP="006655D3">
    <w:pP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BAE2" w14:textId="77777777" w:rsidR="00544D65" w:rsidRPr="00331E79" w:rsidRDefault="00544D65" w:rsidP="00331E79">
    <w:pPr>
      <w:pStyle w:val="Header"/>
      <w:rPr>
        <w:rStyle w:val="PageNumber"/>
        <w:lang w:val="en-US"/>
      </w:rPr>
    </w:pPr>
    <w:r w:rsidRPr="00331E79">
      <w:rPr>
        <w:rStyle w:val="PageNumber"/>
        <w:lang w:val="en-US"/>
      </w:rPr>
      <w:t>CAJ/79/INF/4</w:t>
    </w:r>
  </w:p>
  <w:p w14:paraId="48864A3D" w14:textId="77777777" w:rsidR="00544D65" w:rsidRPr="00331E79" w:rsidRDefault="00544D65" w:rsidP="00331E79">
    <w:pPr>
      <w:pStyle w:val="Header"/>
      <w:rPr>
        <w:lang w:val="en-US"/>
      </w:rPr>
    </w:pPr>
  </w:p>
  <w:p w14:paraId="62DAF3B4" w14:textId="51B2E3FA" w:rsidR="00544D65" w:rsidRPr="00331E79" w:rsidRDefault="00544D65" w:rsidP="00331E79">
    <w:pPr>
      <w:pStyle w:val="Header"/>
      <w:rPr>
        <w:lang w:val="en-US"/>
      </w:rPr>
    </w:pPr>
    <w:r w:rsidRPr="00AC1FA7">
      <w:t>ANNEX</w:t>
    </w:r>
    <w:r w:rsidR="00AC1FA7" w:rsidRPr="00AC1FA7">
      <w:t>E</w:t>
    </w:r>
    <w:r w:rsidRPr="00AC1FA7">
      <w:t xml:space="preserve"> I</w:t>
    </w:r>
    <w:r>
      <w:rPr>
        <w:lang w:val="en-US"/>
      </w:rPr>
      <w:t>I</w:t>
    </w:r>
  </w:p>
  <w:p w14:paraId="04C42FAA" w14:textId="77777777" w:rsidR="00544D65" w:rsidRPr="00331E79" w:rsidRDefault="00544D65"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2"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A14D7B"/>
    <w:multiLevelType w:val="hybridMultilevel"/>
    <w:tmpl w:val="1DC21F1E"/>
    <w:lvl w:ilvl="0" w:tplc="0494FE66">
      <w:numFmt w:val="bullet"/>
      <w:lvlText w:val="-"/>
      <w:lvlJc w:val="left"/>
      <w:pPr>
        <w:ind w:left="1131" w:hanging="564"/>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DDB6D9D"/>
    <w:multiLevelType w:val="hybridMultilevel"/>
    <w:tmpl w:val="C9B6F556"/>
    <w:lvl w:ilvl="0" w:tplc="50124E3C">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800E0E"/>
    <w:multiLevelType w:val="hybridMultilevel"/>
    <w:tmpl w:val="B598FBBC"/>
    <w:lvl w:ilvl="0" w:tplc="1B18B274">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4"/>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7CA2"/>
    <w:rsid w:val="00010375"/>
    <w:rsid w:val="00010CF3"/>
    <w:rsid w:val="00011E27"/>
    <w:rsid w:val="000148BC"/>
    <w:rsid w:val="00024AB8"/>
    <w:rsid w:val="00030854"/>
    <w:rsid w:val="00036028"/>
    <w:rsid w:val="0004198B"/>
    <w:rsid w:val="00041FE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208B0"/>
    <w:rsid w:val="0013313F"/>
    <w:rsid w:val="00141DB8"/>
    <w:rsid w:val="00172084"/>
    <w:rsid w:val="0017474A"/>
    <w:rsid w:val="001758C6"/>
    <w:rsid w:val="0017765A"/>
    <w:rsid w:val="00182B99"/>
    <w:rsid w:val="001C1525"/>
    <w:rsid w:val="001D00D6"/>
    <w:rsid w:val="001D0DDD"/>
    <w:rsid w:val="001E5969"/>
    <w:rsid w:val="00202D20"/>
    <w:rsid w:val="0021332C"/>
    <w:rsid w:val="00213982"/>
    <w:rsid w:val="0022628A"/>
    <w:rsid w:val="0024416D"/>
    <w:rsid w:val="00244B87"/>
    <w:rsid w:val="00262086"/>
    <w:rsid w:val="00271911"/>
    <w:rsid w:val="00273187"/>
    <w:rsid w:val="00277329"/>
    <w:rsid w:val="002800A0"/>
    <w:rsid w:val="002801B3"/>
    <w:rsid w:val="00281060"/>
    <w:rsid w:val="00284050"/>
    <w:rsid w:val="00285BD0"/>
    <w:rsid w:val="002940E8"/>
    <w:rsid w:val="00294751"/>
    <w:rsid w:val="002A6E50"/>
    <w:rsid w:val="002B4298"/>
    <w:rsid w:val="002B4659"/>
    <w:rsid w:val="002B7A36"/>
    <w:rsid w:val="002C256A"/>
    <w:rsid w:val="002C6F63"/>
    <w:rsid w:val="002D5226"/>
    <w:rsid w:val="002E07AF"/>
    <w:rsid w:val="00303EDC"/>
    <w:rsid w:val="00305A7F"/>
    <w:rsid w:val="003152FE"/>
    <w:rsid w:val="00327436"/>
    <w:rsid w:val="00331E79"/>
    <w:rsid w:val="0033214B"/>
    <w:rsid w:val="00332D5A"/>
    <w:rsid w:val="00344BD6"/>
    <w:rsid w:val="0035528D"/>
    <w:rsid w:val="00361821"/>
    <w:rsid w:val="00361E9E"/>
    <w:rsid w:val="003753EE"/>
    <w:rsid w:val="00383096"/>
    <w:rsid w:val="00393BEA"/>
    <w:rsid w:val="003A0835"/>
    <w:rsid w:val="003A5AAF"/>
    <w:rsid w:val="003B700A"/>
    <w:rsid w:val="003C4A1F"/>
    <w:rsid w:val="003C7FBE"/>
    <w:rsid w:val="003D227C"/>
    <w:rsid w:val="003D2B4D"/>
    <w:rsid w:val="003E221B"/>
    <w:rsid w:val="003F37F5"/>
    <w:rsid w:val="00444A88"/>
    <w:rsid w:val="00445126"/>
    <w:rsid w:val="00450431"/>
    <w:rsid w:val="00464534"/>
    <w:rsid w:val="00474DA4"/>
    <w:rsid w:val="00476B4D"/>
    <w:rsid w:val="004805FA"/>
    <w:rsid w:val="004935D2"/>
    <w:rsid w:val="004B1215"/>
    <w:rsid w:val="004C7358"/>
    <w:rsid w:val="004D047D"/>
    <w:rsid w:val="004F1E9E"/>
    <w:rsid w:val="004F305A"/>
    <w:rsid w:val="00512164"/>
    <w:rsid w:val="00520297"/>
    <w:rsid w:val="00531DCD"/>
    <w:rsid w:val="00532395"/>
    <w:rsid w:val="005338F9"/>
    <w:rsid w:val="0054281C"/>
    <w:rsid w:val="00544581"/>
    <w:rsid w:val="00544D65"/>
    <w:rsid w:val="0055268D"/>
    <w:rsid w:val="00554EFD"/>
    <w:rsid w:val="00575DE2"/>
    <w:rsid w:val="00576BE4"/>
    <w:rsid w:val="005779DB"/>
    <w:rsid w:val="005A2A67"/>
    <w:rsid w:val="005A400A"/>
    <w:rsid w:val="005B269D"/>
    <w:rsid w:val="005E2C29"/>
    <w:rsid w:val="005F7B92"/>
    <w:rsid w:val="00612379"/>
    <w:rsid w:val="006153B6"/>
    <w:rsid w:val="0061555F"/>
    <w:rsid w:val="006245ED"/>
    <w:rsid w:val="00636CA6"/>
    <w:rsid w:val="00641200"/>
    <w:rsid w:val="00645CA8"/>
    <w:rsid w:val="006655D3"/>
    <w:rsid w:val="00667404"/>
    <w:rsid w:val="00674897"/>
    <w:rsid w:val="006856D1"/>
    <w:rsid w:val="00687EB4"/>
    <w:rsid w:val="006936D3"/>
    <w:rsid w:val="00695C56"/>
    <w:rsid w:val="006A5CDE"/>
    <w:rsid w:val="006A644A"/>
    <w:rsid w:val="006A6D51"/>
    <w:rsid w:val="006B17D2"/>
    <w:rsid w:val="006C224E"/>
    <w:rsid w:val="006D780A"/>
    <w:rsid w:val="0071271E"/>
    <w:rsid w:val="007263AF"/>
    <w:rsid w:val="00732DEC"/>
    <w:rsid w:val="00735BD5"/>
    <w:rsid w:val="007451EC"/>
    <w:rsid w:val="00751613"/>
    <w:rsid w:val="00753EE9"/>
    <w:rsid w:val="007556F6"/>
    <w:rsid w:val="00760EEF"/>
    <w:rsid w:val="00777EE5"/>
    <w:rsid w:val="00784836"/>
    <w:rsid w:val="0079023E"/>
    <w:rsid w:val="00790BF4"/>
    <w:rsid w:val="007A2854"/>
    <w:rsid w:val="007B5C79"/>
    <w:rsid w:val="007C1D92"/>
    <w:rsid w:val="007C4CB9"/>
    <w:rsid w:val="007D0B9D"/>
    <w:rsid w:val="007D19B0"/>
    <w:rsid w:val="007E7826"/>
    <w:rsid w:val="007F3081"/>
    <w:rsid w:val="007F498F"/>
    <w:rsid w:val="0080679D"/>
    <w:rsid w:val="00810588"/>
    <w:rsid w:val="008108B0"/>
    <w:rsid w:val="00811B20"/>
    <w:rsid w:val="00812609"/>
    <w:rsid w:val="008211B5"/>
    <w:rsid w:val="0082296E"/>
    <w:rsid w:val="00824099"/>
    <w:rsid w:val="00846D7C"/>
    <w:rsid w:val="00867AC1"/>
    <w:rsid w:val="008721D2"/>
    <w:rsid w:val="008751DE"/>
    <w:rsid w:val="008861A4"/>
    <w:rsid w:val="00890DF8"/>
    <w:rsid w:val="008A0ADE"/>
    <w:rsid w:val="008A743F"/>
    <w:rsid w:val="008C0970"/>
    <w:rsid w:val="008C5C9A"/>
    <w:rsid w:val="008D0BC5"/>
    <w:rsid w:val="008D0F14"/>
    <w:rsid w:val="008D2CF7"/>
    <w:rsid w:val="008F5D7D"/>
    <w:rsid w:val="00900C26"/>
    <w:rsid w:val="0090197F"/>
    <w:rsid w:val="00903264"/>
    <w:rsid w:val="00906DDC"/>
    <w:rsid w:val="00934E09"/>
    <w:rsid w:val="00936253"/>
    <w:rsid w:val="00940D46"/>
    <w:rsid w:val="009413F1"/>
    <w:rsid w:val="00952DD4"/>
    <w:rsid w:val="009561F4"/>
    <w:rsid w:val="00965AE7"/>
    <w:rsid w:val="00970FED"/>
    <w:rsid w:val="00971116"/>
    <w:rsid w:val="00977D00"/>
    <w:rsid w:val="00992D82"/>
    <w:rsid w:val="00997029"/>
    <w:rsid w:val="009A7339"/>
    <w:rsid w:val="009B440E"/>
    <w:rsid w:val="009C50D2"/>
    <w:rsid w:val="009D1203"/>
    <w:rsid w:val="009D690D"/>
    <w:rsid w:val="009E65B6"/>
    <w:rsid w:val="009F0A51"/>
    <w:rsid w:val="009F77CF"/>
    <w:rsid w:val="00A24C10"/>
    <w:rsid w:val="00A42AC3"/>
    <w:rsid w:val="00A430CF"/>
    <w:rsid w:val="00A535F5"/>
    <w:rsid w:val="00A54309"/>
    <w:rsid w:val="00A610A9"/>
    <w:rsid w:val="00A637C6"/>
    <w:rsid w:val="00A6649B"/>
    <w:rsid w:val="00A80F2A"/>
    <w:rsid w:val="00A9133E"/>
    <w:rsid w:val="00A96C33"/>
    <w:rsid w:val="00AB2B93"/>
    <w:rsid w:val="00AB530F"/>
    <w:rsid w:val="00AB7E5B"/>
    <w:rsid w:val="00AC1FA7"/>
    <w:rsid w:val="00AC2883"/>
    <w:rsid w:val="00AE0EF1"/>
    <w:rsid w:val="00AE2937"/>
    <w:rsid w:val="00AF246C"/>
    <w:rsid w:val="00B07301"/>
    <w:rsid w:val="00B11F3E"/>
    <w:rsid w:val="00B224DE"/>
    <w:rsid w:val="00B24A53"/>
    <w:rsid w:val="00B324D4"/>
    <w:rsid w:val="00B46575"/>
    <w:rsid w:val="00B61777"/>
    <w:rsid w:val="00B622E6"/>
    <w:rsid w:val="00B748DF"/>
    <w:rsid w:val="00B83E82"/>
    <w:rsid w:val="00B84BBD"/>
    <w:rsid w:val="00BA43FB"/>
    <w:rsid w:val="00BB16A5"/>
    <w:rsid w:val="00BC127D"/>
    <w:rsid w:val="00BC1FE6"/>
    <w:rsid w:val="00BF72A1"/>
    <w:rsid w:val="00C0568E"/>
    <w:rsid w:val="00C061B6"/>
    <w:rsid w:val="00C20545"/>
    <w:rsid w:val="00C2446C"/>
    <w:rsid w:val="00C327B6"/>
    <w:rsid w:val="00C36AE5"/>
    <w:rsid w:val="00C41F17"/>
    <w:rsid w:val="00C527FA"/>
    <w:rsid w:val="00C5280D"/>
    <w:rsid w:val="00C53EB3"/>
    <w:rsid w:val="00C552F5"/>
    <w:rsid w:val="00C5791C"/>
    <w:rsid w:val="00C66290"/>
    <w:rsid w:val="00C72B7A"/>
    <w:rsid w:val="00C973F2"/>
    <w:rsid w:val="00CA304C"/>
    <w:rsid w:val="00CA3E31"/>
    <w:rsid w:val="00CA774A"/>
    <w:rsid w:val="00CB4921"/>
    <w:rsid w:val="00CC11B0"/>
    <w:rsid w:val="00CC2841"/>
    <w:rsid w:val="00CE3D2E"/>
    <w:rsid w:val="00CF1330"/>
    <w:rsid w:val="00CF7E36"/>
    <w:rsid w:val="00D3708D"/>
    <w:rsid w:val="00D40426"/>
    <w:rsid w:val="00D51C0B"/>
    <w:rsid w:val="00D57C96"/>
    <w:rsid w:val="00D57D18"/>
    <w:rsid w:val="00D666A7"/>
    <w:rsid w:val="00D70E65"/>
    <w:rsid w:val="00D91203"/>
    <w:rsid w:val="00D95174"/>
    <w:rsid w:val="00DA4973"/>
    <w:rsid w:val="00DA6F36"/>
    <w:rsid w:val="00DB596E"/>
    <w:rsid w:val="00DB7773"/>
    <w:rsid w:val="00DC00EA"/>
    <w:rsid w:val="00DC3802"/>
    <w:rsid w:val="00DD6208"/>
    <w:rsid w:val="00DF1025"/>
    <w:rsid w:val="00DF7E99"/>
    <w:rsid w:val="00E01224"/>
    <w:rsid w:val="00E07D87"/>
    <w:rsid w:val="00E11BEB"/>
    <w:rsid w:val="00E12011"/>
    <w:rsid w:val="00E249C8"/>
    <w:rsid w:val="00E32F7E"/>
    <w:rsid w:val="00E5267B"/>
    <w:rsid w:val="00E559F0"/>
    <w:rsid w:val="00E63C0E"/>
    <w:rsid w:val="00E72D49"/>
    <w:rsid w:val="00E748CB"/>
    <w:rsid w:val="00E7593C"/>
    <w:rsid w:val="00E76161"/>
    <w:rsid w:val="00E7678A"/>
    <w:rsid w:val="00E76EB8"/>
    <w:rsid w:val="00E935F1"/>
    <w:rsid w:val="00E94A81"/>
    <w:rsid w:val="00EA1FFB"/>
    <w:rsid w:val="00EB048E"/>
    <w:rsid w:val="00EB4E9C"/>
    <w:rsid w:val="00EC2520"/>
    <w:rsid w:val="00EE34DF"/>
    <w:rsid w:val="00EF2F89"/>
    <w:rsid w:val="00F03E98"/>
    <w:rsid w:val="00F1237A"/>
    <w:rsid w:val="00F22CBD"/>
    <w:rsid w:val="00F272F1"/>
    <w:rsid w:val="00F31412"/>
    <w:rsid w:val="00F45372"/>
    <w:rsid w:val="00F560F7"/>
    <w:rsid w:val="00F6334D"/>
    <w:rsid w:val="00F63599"/>
    <w:rsid w:val="00F71781"/>
    <w:rsid w:val="00F82FCF"/>
    <w:rsid w:val="00FA49AB"/>
    <w:rsid w:val="00FC5B1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1CCBC"/>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AF246C"/>
    <w:pPr>
      <w:keepNext/>
      <w:outlineLvl w:val="0"/>
    </w:pPr>
    <w:rPr>
      <w:rFonts w:ascii="Arial" w:hAnsi="Arial"/>
      <w:caps/>
      <w:snapToGrid w:val="0"/>
      <w:lang w:val="fr-CH" w:eastAsia="ja-JP"/>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D666A7"/>
    <w:pPr>
      <w:tabs>
        <w:tab w:val="right" w:leader="dot" w:pos="9639"/>
      </w:tabs>
      <w:spacing w:after="120"/>
      <w:ind w:left="284" w:right="851"/>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554EFD"/>
    <w:pPr>
      <w:tabs>
        <w:tab w:val="right" w:leader="dot" w:pos="9639"/>
      </w:tabs>
      <w:spacing w:after="120"/>
      <w:ind w:left="170" w:right="851"/>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F246C"/>
    <w:rPr>
      <w:rFonts w:ascii="Arial" w:hAnsi="Arial"/>
      <w:caps/>
      <w:snapToGrid w:val="0"/>
      <w:lang w:val="fr-CH" w:eastAsia="ja-JP"/>
    </w:rPr>
  </w:style>
  <w:style w:type="character" w:customStyle="1" w:styleId="Heading2Char">
    <w:name w:val="Heading 2 Char"/>
    <w:aliases w:val="VARIETY Char,variety Char"/>
    <w:link w:val="Heading2"/>
    <w:locked/>
    <w:rsid w:val="00C327B6"/>
    <w:rPr>
      <w:rFonts w:ascii="Arial" w:hAnsi="Arial"/>
      <w:u w:val="single"/>
    </w:rPr>
  </w:style>
  <w:style w:type="character" w:customStyle="1" w:styleId="Heading3Char">
    <w:name w:val="Heading 3 Char"/>
    <w:basedOn w:val="DefaultParagraphFont"/>
    <w:link w:val="Heading3"/>
    <w:rsid w:val="00C327B6"/>
    <w:rPr>
      <w:rFonts w:ascii="Arial" w:hAnsi="Arial"/>
      <w:i/>
    </w:rPr>
  </w:style>
  <w:style w:type="character" w:customStyle="1" w:styleId="FootnoteTextChar">
    <w:name w:val="Footnote Text Char"/>
    <w:basedOn w:val="DefaultParagraphFont"/>
    <w:link w:val="FootnoteText"/>
    <w:rsid w:val="00C327B6"/>
    <w:rPr>
      <w:rFonts w:ascii="Arial" w:hAnsi="Arial"/>
      <w:sz w:val="16"/>
    </w:rPr>
  </w:style>
  <w:style w:type="paragraph" w:styleId="ListParagraph">
    <w:name w:val="List Paragraph"/>
    <w:aliases w:val="auto_list_(i),List Paragraph1"/>
    <w:basedOn w:val="Normal"/>
    <w:link w:val="ListParagraphChar"/>
    <w:uiPriority w:val="34"/>
    <w:qFormat/>
    <w:rsid w:val="00C327B6"/>
    <w:pPr>
      <w:ind w:left="720"/>
      <w:contextualSpacing/>
    </w:pPr>
  </w:style>
  <w:style w:type="table" w:styleId="TableGrid">
    <w:name w:val="Table Grid"/>
    <w:basedOn w:val="TableNormal"/>
    <w:uiPriority w:val="39"/>
    <w:rsid w:val="00C327B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C327B6"/>
    <w:rPr>
      <w:rFonts w:ascii="Arial" w:hAnsi="Arial"/>
    </w:rPr>
  </w:style>
  <w:style w:type="table" w:customStyle="1" w:styleId="TableGrid1">
    <w:name w:val="Table Grid1"/>
    <w:basedOn w:val="TableNormal"/>
    <w:next w:val="TableGrid"/>
    <w:uiPriority w:val="39"/>
    <w:rsid w:val="007263AF"/>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358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s://www.upov.int/export/sites/upov/images/worldmap_fr.jpg"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upov.int/export/sites/upov/members/en/pdf/pub423.pdf"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pov.int/about/fr/faq.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8661-0EB8-4478-AE86-563159B1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17</Pages>
  <Words>6787</Words>
  <Characters>40740</Characters>
  <Application>Microsoft Office Word</Application>
  <DocSecurity>0</DocSecurity>
  <Lines>339</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CAJ/79/1</vt:lpstr>
      <vt:lpstr>CAJ/79/1</vt:lpstr>
    </vt:vector>
  </TitlesOfParts>
  <Company>UPOV</Company>
  <LinksUpToDate>false</LinksUpToDate>
  <CharactersWithSpaces>47433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CAJ/79/INF/4</dc:title>
  <dc:creator>SANCHEZ VIZCAINO GOMEZ Rosa Maria</dc:creator>
  <cp:lastModifiedBy>NICOLO Laurianne</cp:lastModifiedBy>
  <cp:revision>59</cp:revision>
  <cp:lastPrinted>2016-11-22T15:41:00Z</cp:lastPrinted>
  <dcterms:created xsi:type="dcterms:W3CDTF">2022-10-14T12:41:00Z</dcterms:created>
  <dcterms:modified xsi:type="dcterms:W3CDTF">2022-10-25T11:57:00Z</dcterms:modified>
</cp:coreProperties>
</file>