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A3CBA" w:rsidTr="00EB4E9C">
        <w:tc>
          <w:tcPr>
            <w:tcW w:w="6522" w:type="dxa"/>
          </w:tcPr>
          <w:p w:rsidR="00DC3802" w:rsidRPr="002A3CBA" w:rsidRDefault="00DC3802" w:rsidP="00AC2883">
            <w:r w:rsidRPr="002A3CBA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A3CBA" w:rsidRDefault="00DC3802" w:rsidP="00AC2883">
            <w:pPr>
              <w:pStyle w:val="Lettrine"/>
            </w:pPr>
            <w:r w:rsidRPr="002A3CBA">
              <w:t>F</w:t>
            </w:r>
          </w:p>
        </w:tc>
      </w:tr>
      <w:tr w:rsidR="00DC3802" w:rsidRPr="002A3CBA" w:rsidTr="00645CA8">
        <w:trPr>
          <w:trHeight w:val="219"/>
        </w:trPr>
        <w:tc>
          <w:tcPr>
            <w:tcW w:w="6522" w:type="dxa"/>
          </w:tcPr>
          <w:p w:rsidR="00DC3802" w:rsidRPr="002A3CBA" w:rsidRDefault="00DC3802" w:rsidP="00AC2883">
            <w:pPr>
              <w:pStyle w:val="upove"/>
            </w:pPr>
            <w:r w:rsidRPr="002A3CBA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2A3CBA" w:rsidRDefault="00DC3802" w:rsidP="00DA4973"/>
        </w:tc>
      </w:tr>
    </w:tbl>
    <w:p w:rsidR="00DC3802" w:rsidRPr="002A3CBA" w:rsidRDefault="00DC3802" w:rsidP="00DC3802"/>
    <w:p w:rsidR="008D0F14" w:rsidRPr="002A3CBA" w:rsidRDefault="008D0F14" w:rsidP="008D0F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2A3CBA" w:rsidTr="00F41350">
        <w:tc>
          <w:tcPr>
            <w:tcW w:w="6512" w:type="dxa"/>
          </w:tcPr>
          <w:p w:rsidR="008D0F14" w:rsidRPr="002A3CBA" w:rsidRDefault="008D0F14" w:rsidP="00F41350">
            <w:pPr>
              <w:pStyle w:val="Sessiontc"/>
              <w:spacing w:line="240" w:lineRule="auto"/>
            </w:pPr>
            <w:r w:rsidRPr="002A3CBA">
              <w:t>Comité administratif et juridique</w:t>
            </w:r>
          </w:p>
          <w:p w:rsidR="008D0F14" w:rsidRPr="002A3CBA" w:rsidRDefault="008D0F14" w:rsidP="00F41350">
            <w:pPr>
              <w:pStyle w:val="Sessiontcplacedate"/>
            </w:pPr>
            <w:r w:rsidRPr="002A3CBA">
              <w:t>Soixante</w:t>
            </w:r>
            <w:r w:rsidR="00502918" w:rsidRPr="002A3CBA">
              <w:t>-</w:t>
            </w:r>
            <w:r w:rsidRPr="002A3CBA">
              <w:t>dix</w:t>
            </w:r>
            <w:r w:rsidR="00502918" w:rsidRPr="002A3CBA">
              <w:t>-</w:t>
            </w:r>
            <w:r w:rsidRPr="002A3CBA">
              <w:t>neuv</w:t>
            </w:r>
            <w:r w:rsidR="00502918" w:rsidRPr="002A3CBA">
              <w:t>ième session</w:t>
            </w:r>
          </w:p>
          <w:p w:rsidR="008D0F14" w:rsidRPr="002A3CBA" w:rsidRDefault="008D0F14" w:rsidP="00F41350">
            <w:pPr>
              <w:pStyle w:val="Sessiontcplacedate"/>
              <w:rPr>
                <w:sz w:val="22"/>
              </w:rPr>
            </w:pPr>
            <w:r w:rsidRPr="002A3CBA">
              <w:t>Genève, 2</w:t>
            </w:r>
            <w:r w:rsidR="00502918" w:rsidRPr="002A3CBA">
              <w:t>6 octobre 20</w:t>
            </w:r>
            <w:r w:rsidRPr="002A3CBA">
              <w:t>22</w:t>
            </w:r>
          </w:p>
        </w:tc>
        <w:tc>
          <w:tcPr>
            <w:tcW w:w="3127" w:type="dxa"/>
          </w:tcPr>
          <w:p w:rsidR="008D0F14" w:rsidRPr="002A3CBA" w:rsidRDefault="00B748DF" w:rsidP="00F41350">
            <w:pPr>
              <w:pStyle w:val="Doccode"/>
            </w:pPr>
            <w:r w:rsidRPr="002A3CBA">
              <w:t>CAJ/79/INF/3</w:t>
            </w:r>
          </w:p>
          <w:p w:rsidR="008D0F14" w:rsidRPr="002A3CBA" w:rsidRDefault="008D0F14" w:rsidP="00F41350">
            <w:pPr>
              <w:pStyle w:val="Docoriginal"/>
            </w:pPr>
            <w:r w:rsidRPr="002A3CBA">
              <w:t>Original</w:t>
            </w:r>
            <w:r w:rsidR="00502918" w:rsidRPr="002A3CBA">
              <w:t> :</w:t>
            </w:r>
            <w:r w:rsidR="003434EF" w:rsidRPr="002A3CBA">
              <w:rPr>
                <w:b w:val="0"/>
              </w:rPr>
              <w:t xml:space="preserve"> </w:t>
            </w:r>
            <w:r w:rsidRPr="002A3CBA">
              <w:rPr>
                <w:b w:val="0"/>
              </w:rPr>
              <w:t>anglais</w:t>
            </w:r>
          </w:p>
          <w:p w:rsidR="008D0F14" w:rsidRPr="002A3CBA" w:rsidRDefault="008D0F14" w:rsidP="003434EF">
            <w:pPr>
              <w:pStyle w:val="Docoriginal"/>
            </w:pPr>
            <w:r w:rsidRPr="002A3CBA">
              <w:t>Date</w:t>
            </w:r>
            <w:r w:rsidR="00502918" w:rsidRPr="002A3CBA">
              <w:t> </w:t>
            </w:r>
            <w:r w:rsidR="00502918" w:rsidRPr="00923259">
              <w:t>:</w:t>
            </w:r>
            <w:r w:rsidRPr="00923259">
              <w:rPr>
                <w:b w:val="0"/>
              </w:rPr>
              <w:t xml:space="preserve"> 1</w:t>
            </w:r>
            <w:r w:rsidR="00923259" w:rsidRPr="00923259">
              <w:rPr>
                <w:b w:val="0"/>
              </w:rPr>
              <w:t>5</w:t>
            </w:r>
            <w:r w:rsidR="00502918" w:rsidRPr="00923259">
              <w:rPr>
                <w:b w:val="0"/>
              </w:rPr>
              <w:t> octobre 20</w:t>
            </w:r>
            <w:r w:rsidRPr="00923259">
              <w:rPr>
                <w:b w:val="0"/>
              </w:rPr>
              <w:t>22</w:t>
            </w:r>
          </w:p>
        </w:tc>
      </w:tr>
    </w:tbl>
    <w:p w:rsidR="008D0F14" w:rsidRPr="002A3CBA" w:rsidRDefault="00F41350" w:rsidP="008D0F14">
      <w:pPr>
        <w:pStyle w:val="Titleofdoc0"/>
      </w:pPr>
      <w:r w:rsidRPr="002A3CBA">
        <w:t>Bases de données d</w:t>
      </w:r>
      <w:r w:rsidR="00502918" w:rsidRPr="002A3CBA">
        <w:t>’</w:t>
      </w:r>
      <w:r w:rsidRPr="002A3CBA">
        <w:t>information de l</w:t>
      </w:r>
      <w:r w:rsidR="00502918" w:rsidRPr="002A3CBA">
        <w:t>’</w:t>
      </w:r>
      <w:r w:rsidRPr="002A3CBA">
        <w:t>UPOV</w:t>
      </w:r>
    </w:p>
    <w:p w:rsidR="008D0F14" w:rsidRPr="002A3CBA" w:rsidRDefault="001526FB" w:rsidP="008D0F14">
      <w:pPr>
        <w:pStyle w:val="preparedby1"/>
        <w:jc w:val="left"/>
      </w:pPr>
      <w:r w:rsidRPr="002A3CBA">
        <w:t>Document établi par le Bureau de l</w:t>
      </w:r>
      <w:r w:rsidR="00502918" w:rsidRPr="002A3CBA">
        <w:t>’</w:t>
      </w:r>
      <w:r w:rsidRPr="002A3CBA">
        <w:t>Union</w:t>
      </w:r>
    </w:p>
    <w:p w:rsidR="00F41350" w:rsidRPr="002A3CBA" w:rsidRDefault="001526FB" w:rsidP="00F41350">
      <w:pPr>
        <w:pStyle w:val="Disclaimer"/>
      </w:pPr>
      <w:r w:rsidRPr="002A3CBA">
        <w:t>Le présent document ne représente pas les principes ou les orientations de l</w:t>
      </w:r>
      <w:r w:rsidR="00502918" w:rsidRPr="002A3CBA">
        <w:t>’</w:t>
      </w:r>
      <w:r w:rsidRPr="002A3CBA">
        <w:t>UPOV</w:t>
      </w:r>
    </w:p>
    <w:p w:rsidR="00F41350" w:rsidRPr="002A3CBA" w:rsidRDefault="00F41350" w:rsidP="00443830">
      <w:pPr>
        <w:pStyle w:val="Heading1"/>
        <w:rPr>
          <w:rFonts w:eastAsiaTheme="minorEastAsia"/>
        </w:rPr>
      </w:pPr>
      <w:bookmarkStart w:id="0" w:name="_Toc438657852"/>
      <w:bookmarkStart w:id="1" w:name="_Toc477797635"/>
      <w:bookmarkStart w:id="2" w:name="_Toc117157016"/>
      <w:r w:rsidRPr="002A3CBA">
        <w:t>R</w:t>
      </w:r>
      <w:r w:rsidR="002A3CBA">
        <w:t>ésumé</w:t>
      </w:r>
      <w:bookmarkEnd w:id="0"/>
      <w:bookmarkEnd w:id="1"/>
      <w:bookmarkEnd w:id="2"/>
    </w:p>
    <w:p w:rsidR="00F41350" w:rsidRPr="002A3CBA" w:rsidRDefault="00F41350" w:rsidP="00F41350">
      <w:pPr>
        <w:rPr>
          <w:rFonts w:eastAsiaTheme="minorEastAsia"/>
          <w:lang w:eastAsia="ja-JP"/>
        </w:rPr>
      </w:pPr>
    </w:p>
    <w:p w:rsidR="00502918" w:rsidRPr="002A3CBA" w:rsidRDefault="00F41350" w:rsidP="00F41350">
      <w:r w:rsidRPr="002A3CBA">
        <w:rPr>
          <w:rFonts w:eastAsiaTheme="minorEastAsia"/>
        </w:rPr>
        <w:fldChar w:fldCharType="begin"/>
      </w:r>
      <w:r w:rsidRPr="002A3CBA">
        <w:rPr>
          <w:rFonts w:eastAsiaTheme="minorEastAsia"/>
        </w:rPr>
        <w:instrText xml:space="preserve"> AUTONUM  </w:instrText>
      </w:r>
      <w:r w:rsidRPr="002A3CBA">
        <w:rPr>
          <w:rFonts w:eastAsiaTheme="minorEastAsia"/>
        </w:rPr>
        <w:fldChar w:fldCharType="end"/>
      </w:r>
      <w:r w:rsidRPr="002A3CBA">
        <w:tab/>
        <w:t>L</w:t>
      </w:r>
      <w:r w:rsidR="00502918" w:rsidRPr="002A3CBA">
        <w:t>’</w:t>
      </w:r>
      <w:r w:rsidRPr="002A3CBA">
        <w:t>objet du présent document est de faire le point sur les faits nouveaux concernant la base de données GENIE et le système de codes UPOV.</w:t>
      </w:r>
    </w:p>
    <w:p w:rsidR="00F41350" w:rsidRPr="002A3CBA" w:rsidRDefault="00F41350" w:rsidP="00F41350"/>
    <w:p w:rsidR="00F41350" w:rsidRPr="002A3CBA" w:rsidRDefault="00F41350" w:rsidP="00F41350">
      <w:r w:rsidRPr="002A3CBA">
        <w:fldChar w:fldCharType="begin"/>
      </w:r>
      <w:r w:rsidRPr="002A3CBA">
        <w:instrText xml:space="preserve"> AUTONUM  </w:instrText>
      </w:r>
      <w:r w:rsidRPr="002A3CBA">
        <w:fldChar w:fldCharType="end"/>
      </w:r>
      <w:r w:rsidRPr="002A3CBA">
        <w:tab/>
        <w:t>Les questions relatives aux faits nouveaux concernant la base de données PLUTO sur les variétés végétales (base de données PLUTO) sont présentées dans les document CAJ/79/5 “Base de données PLUTO sur les variétés végétales” et CAJ/79/6 “Outil de recherche de similarité de l</w:t>
      </w:r>
      <w:r w:rsidR="00502918" w:rsidRPr="002A3CBA">
        <w:t>’</w:t>
      </w:r>
      <w:r w:rsidRPr="002A3CBA">
        <w:t>UPOV aux fins de la dénomination variétale”.</w:t>
      </w:r>
    </w:p>
    <w:p w:rsidR="00FE7190" w:rsidRPr="002A3CBA" w:rsidRDefault="00FE7190" w:rsidP="00F41350"/>
    <w:p w:rsidR="00FE7190" w:rsidRPr="002A3CBA" w:rsidRDefault="00FE7190">
      <w:r w:rsidRPr="002A3CBA">
        <w:fldChar w:fldCharType="begin"/>
      </w:r>
      <w:r w:rsidRPr="002A3CBA">
        <w:instrText xml:space="preserve"> AUTONUM  </w:instrText>
      </w:r>
      <w:r w:rsidRPr="002A3CBA">
        <w:fldChar w:fldCharType="end"/>
      </w:r>
      <w:r w:rsidRPr="002A3CBA">
        <w:tab/>
        <w:t>À sa cinquante</w:t>
      </w:r>
      <w:r w:rsidR="00502918" w:rsidRPr="002A3CBA">
        <w:t>-</w:t>
      </w:r>
      <w:r w:rsidRPr="002A3CBA">
        <w:t>huit</w:t>
      </w:r>
      <w:r w:rsidR="00502918" w:rsidRPr="002A3CBA">
        <w:t>ième session</w:t>
      </w:r>
      <w:r w:rsidRPr="002A3CBA">
        <w:t>, le</w:t>
      </w:r>
      <w:r w:rsidR="00502918" w:rsidRPr="002A3CBA">
        <w:t> TC</w:t>
      </w:r>
      <w:r w:rsidRPr="002A3CBA">
        <w:t xml:space="preserve"> sera invité à examiner une proposition de révision du document UPOV/INF/23 “Système de codes UPOV” visant à préciser le nombre maximal de caractères à utiliser dans l</w:t>
      </w:r>
      <w:r w:rsidR="00502918" w:rsidRPr="002A3CBA">
        <w:t>’</w:t>
      </w:r>
      <w:r w:rsidRPr="002A3CBA">
        <w:t xml:space="preserve">élément ajouté aux codes UPOV, comme indiqué au </w:t>
      </w:r>
      <w:r w:rsidR="00502918" w:rsidRPr="002A3CBA">
        <w:t>paragraphe 9</w:t>
      </w:r>
      <w:r w:rsidRPr="002A3CBA">
        <w:t xml:space="preserve"> du présent docume</w:t>
      </w:r>
      <w:r w:rsidR="002A3CBA" w:rsidRPr="002A3CBA">
        <w:t>nt.  Il</w:t>
      </w:r>
      <w:r w:rsidRPr="002A3CBA">
        <w:t xml:space="preserve"> sera rendu compte</w:t>
      </w:r>
      <w:r w:rsidR="00502918" w:rsidRPr="002A3CBA">
        <w:t xml:space="preserve"> au CAJ</w:t>
      </w:r>
      <w:r w:rsidRPr="002A3CBA">
        <w:t xml:space="preserve"> des conclusions du</w:t>
      </w:r>
      <w:r w:rsidR="00502918" w:rsidRPr="002A3CBA">
        <w:t> TC</w:t>
      </w:r>
      <w:r w:rsidRPr="002A3CBA">
        <w:t xml:space="preserve"> dans le document CAJ/79/2 “Rapport sur les faits nouveaux intervenus au sein du Comité technique”.</w:t>
      </w:r>
    </w:p>
    <w:p w:rsidR="00F41350" w:rsidRPr="002A3CBA" w:rsidRDefault="00F41350" w:rsidP="00F41350">
      <w:pPr>
        <w:rPr>
          <w:rFonts w:cs="Arial"/>
          <w:snapToGrid w:val="0"/>
        </w:rPr>
      </w:pPr>
    </w:p>
    <w:p w:rsidR="00F41350" w:rsidRPr="002A3CBA" w:rsidRDefault="00F41350" w:rsidP="00F41350">
      <w:pPr>
        <w:keepNext/>
        <w:keepLines/>
      </w:pPr>
      <w:r w:rsidRPr="002A3CBA">
        <w:fldChar w:fldCharType="begin"/>
      </w:r>
      <w:r w:rsidRPr="002A3CBA">
        <w:instrText xml:space="preserve"> AUTONUM  </w:instrText>
      </w:r>
      <w:r w:rsidRPr="002A3CBA">
        <w:fldChar w:fldCharType="end"/>
      </w:r>
      <w:r w:rsidRPr="002A3CBA">
        <w:tab/>
        <w:t>Le présent document est structuré comme suit</w:t>
      </w:r>
      <w:r w:rsidR="00502918" w:rsidRPr="002A3CBA">
        <w:t> 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F41350" w:rsidRPr="002A3CBA" w:rsidRDefault="00F41350" w:rsidP="00F41350">
          <w:pPr>
            <w:keepNext/>
            <w:keepLines/>
            <w:rPr>
              <w:rFonts w:cs="Arial"/>
              <w:b/>
              <w:sz w:val="12"/>
            </w:rPr>
          </w:pPr>
        </w:p>
        <w:p w:rsidR="003434EF" w:rsidRPr="002A3CBA" w:rsidRDefault="00F4135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A3CBA">
            <w:rPr>
              <w:caps w:val="0"/>
            </w:rPr>
            <w:fldChar w:fldCharType="begin"/>
          </w:r>
          <w:r w:rsidRPr="002A3CBA">
            <w:rPr>
              <w:caps w:val="0"/>
            </w:rPr>
            <w:instrText xml:space="preserve"> TOC \o "1-3" \u </w:instrText>
          </w:r>
          <w:r w:rsidRPr="002A3CBA">
            <w:rPr>
              <w:caps w:val="0"/>
            </w:rPr>
            <w:fldChar w:fldCharType="separate"/>
          </w:r>
          <w:r w:rsidR="003434EF" w:rsidRPr="002A3CBA">
            <w:rPr>
              <w:noProof/>
            </w:rPr>
            <w:t>RÉSUMÉ</w:t>
          </w:r>
          <w:r w:rsidR="003434EF" w:rsidRPr="002A3CBA">
            <w:rPr>
              <w:noProof/>
            </w:rPr>
            <w:tab/>
          </w:r>
          <w:r w:rsidR="003434EF" w:rsidRPr="002A3CBA">
            <w:rPr>
              <w:noProof/>
            </w:rPr>
            <w:fldChar w:fldCharType="begin"/>
          </w:r>
          <w:r w:rsidR="003434EF" w:rsidRPr="002A3CBA">
            <w:rPr>
              <w:noProof/>
            </w:rPr>
            <w:instrText xml:space="preserve"> PAGEREF _Toc117157016 \h </w:instrText>
          </w:r>
          <w:r w:rsidR="003434EF" w:rsidRPr="002A3CBA">
            <w:rPr>
              <w:noProof/>
            </w:rPr>
          </w:r>
          <w:r w:rsidR="003434EF" w:rsidRPr="002A3CBA">
            <w:rPr>
              <w:noProof/>
            </w:rPr>
            <w:fldChar w:fldCharType="separate"/>
          </w:r>
          <w:r w:rsidR="003434EF" w:rsidRPr="002A3CBA">
            <w:rPr>
              <w:noProof/>
            </w:rPr>
            <w:t>1</w:t>
          </w:r>
          <w:r w:rsidR="003434EF" w:rsidRPr="002A3CBA">
            <w:rPr>
              <w:noProof/>
            </w:rPr>
            <w:fldChar w:fldCharType="end"/>
          </w:r>
        </w:p>
        <w:p w:rsidR="003434EF" w:rsidRPr="002A3CBA" w:rsidRDefault="003434E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A3CBA">
            <w:rPr>
              <w:noProof/>
            </w:rPr>
            <w:t>Base de données GENIE</w:t>
          </w:r>
          <w:r w:rsidRPr="002A3CBA">
            <w:rPr>
              <w:noProof/>
            </w:rPr>
            <w:tab/>
          </w:r>
          <w:r w:rsidRPr="002A3CBA">
            <w:rPr>
              <w:noProof/>
            </w:rPr>
            <w:fldChar w:fldCharType="begin"/>
          </w:r>
          <w:r w:rsidRPr="002A3CBA">
            <w:rPr>
              <w:noProof/>
            </w:rPr>
            <w:instrText xml:space="preserve"> PAGEREF _Toc117157017 \h </w:instrText>
          </w:r>
          <w:r w:rsidRPr="002A3CBA">
            <w:rPr>
              <w:noProof/>
            </w:rPr>
          </w:r>
          <w:r w:rsidRPr="002A3CBA">
            <w:rPr>
              <w:noProof/>
            </w:rPr>
            <w:fldChar w:fldCharType="separate"/>
          </w:r>
          <w:r w:rsidRPr="002A3CBA">
            <w:rPr>
              <w:noProof/>
            </w:rPr>
            <w:t>2</w:t>
          </w:r>
          <w:r w:rsidRPr="002A3CBA">
            <w:rPr>
              <w:noProof/>
            </w:rPr>
            <w:fldChar w:fldCharType="end"/>
          </w:r>
        </w:p>
        <w:p w:rsidR="003434EF" w:rsidRPr="002A3CBA" w:rsidRDefault="003434EF" w:rsidP="003434E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3CBA">
            <w:rPr>
              <w:noProof/>
            </w:rPr>
            <w:t>Rappel</w:t>
          </w:r>
          <w:r w:rsidRPr="002A3CBA">
            <w:rPr>
              <w:noProof/>
            </w:rPr>
            <w:tab/>
          </w:r>
          <w:r w:rsidRPr="002A3CBA">
            <w:rPr>
              <w:noProof/>
            </w:rPr>
            <w:fldChar w:fldCharType="begin"/>
          </w:r>
          <w:r w:rsidRPr="002A3CBA">
            <w:rPr>
              <w:noProof/>
            </w:rPr>
            <w:instrText xml:space="preserve"> PAGEREF _Toc117157018 \h </w:instrText>
          </w:r>
          <w:r w:rsidRPr="002A3CBA">
            <w:rPr>
              <w:noProof/>
            </w:rPr>
          </w:r>
          <w:r w:rsidRPr="002A3CBA">
            <w:rPr>
              <w:noProof/>
            </w:rPr>
            <w:fldChar w:fldCharType="separate"/>
          </w:r>
          <w:r w:rsidRPr="002A3CBA">
            <w:rPr>
              <w:noProof/>
            </w:rPr>
            <w:t>2</w:t>
          </w:r>
          <w:r w:rsidRPr="002A3CBA">
            <w:rPr>
              <w:noProof/>
            </w:rPr>
            <w:fldChar w:fldCharType="end"/>
          </w:r>
        </w:p>
        <w:p w:rsidR="003434EF" w:rsidRPr="002A3CBA" w:rsidRDefault="003434E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2A3CBA">
            <w:rPr>
              <w:noProof/>
            </w:rPr>
            <w:t>Système de codes UPOV</w:t>
          </w:r>
          <w:r w:rsidRPr="002A3CBA">
            <w:rPr>
              <w:noProof/>
            </w:rPr>
            <w:tab/>
          </w:r>
          <w:r w:rsidRPr="002A3CBA">
            <w:rPr>
              <w:noProof/>
            </w:rPr>
            <w:fldChar w:fldCharType="begin"/>
          </w:r>
          <w:r w:rsidRPr="002A3CBA">
            <w:rPr>
              <w:noProof/>
            </w:rPr>
            <w:instrText xml:space="preserve"> PAGEREF _Toc117157019 \h </w:instrText>
          </w:r>
          <w:r w:rsidRPr="002A3CBA">
            <w:rPr>
              <w:noProof/>
            </w:rPr>
          </w:r>
          <w:r w:rsidRPr="002A3CBA">
            <w:rPr>
              <w:noProof/>
            </w:rPr>
            <w:fldChar w:fldCharType="separate"/>
          </w:r>
          <w:r w:rsidRPr="002A3CBA">
            <w:rPr>
              <w:noProof/>
            </w:rPr>
            <w:t>2</w:t>
          </w:r>
          <w:r w:rsidRPr="002A3CBA">
            <w:rPr>
              <w:noProof/>
            </w:rPr>
            <w:fldChar w:fldCharType="end"/>
          </w:r>
        </w:p>
        <w:p w:rsidR="003434EF" w:rsidRPr="002A3CBA" w:rsidRDefault="003434EF" w:rsidP="003434E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3CBA">
            <w:rPr>
              <w:noProof/>
            </w:rPr>
            <w:t>Propositions de révision du document UPOV/INF/23 “Introduction au système de codes UPOV”</w:t>
          </w:r>
          <w:r w:rsidRPr="002A3CBA">
            <w:rPr>
              <w:noProof/>
            </w:rPr>
            <w:tab/>
          </w:r>
          <w:r w:rsidRPr="002A3CBA">
            <w:rPr>
              <w:noProof/>
            </w:rPr>
            <w:fldChar w:fldCharType="begin"/>
          </w:r>
          <w:r w:rsidRPr="002A3CBA">
            <w:rPr>
              <w:noProof/>
            </w:rPr>
            <w:instrText xml:space="preserve"> PAGEREF _Toc117157020 \h </w:instrText>
          </w:r>
          <w:r w:rsidRPr="002A3CBA">
            <w:rPr>
              <w:noProof/>
            </w:rPr>
          </w:r>
          <w:r w:rsidRPr="002A3CBA">
            <w:rPr>
              <w:noProof/>
            </w:rPr>
            <w:fldChar w:fldCharType="separate"/>
          </w:r>
          <w:r w:rsidRPr="002A3CBA">
            <w:rPr>
              <w:noProof/>
            </w:rPr>
            <w:t>2</w:t>
          </w:r>
          <w:r w:rsidRPr="002A3CBA">
            <w:rPr>
              <w:noProof/>
            </w:rPr>
            <w:fldChar w:fldCharType="end"/>
          </w:r>
        </w:p>
        <w:p w:rsidR="003434EF" w:rsidRPr="002A3CBA" w:rsidRDefault="003434EF" w:rsidP="003434E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3CBA">
            <w:rPr>
              <w:noProof/>
            </w:rPr>
            <w:t>Faits nouveaux concernant les codes UPOV</w:t>
          </w:r>
          <w:r w:rsidRPr="002A3CBA">
            <w:rPr>
              <w:noProof/>
            </w:rPr>
            <w:tab/>
          </w:r>
          <w:r w:rsidRPr="002A3CBA">
            <w:rPr>
              <w:noProof/>
            </w:rPr>
            <w:fldChar w:fldCharType="begin"/>
          </w:r>
          <w:r w:rsidRPr="002A3CBA">
            <w:rPr>
              <w:noProof/>
            </w:rPr>
            <w:instrText xml:space="preserve"> PAGEREF _Toc117157021 \h </w:instrText>
          </w:r>
          <w:r w:rsidRPr="002A3CBA">
            <w:rPr>
              <w:noProof/>
            </w:rPr>
          </w:r>
          <w:r w:rsidRPr="002A3CBA">
            <w:rPr>
              <w:noProof/>
            </w:rPr>
            <w:fldChar w:fldCharType="separate"/>
          </w:r>
          <w:r w:rsidRPr="002A3CBA">
            <w:rPr>
              <w:noProof/>
            </w:rPr>
            <w:t>3</w:t>
          </w:r>
          <w:r w:rsidRPr="002A3CBA">
            <w:rPr>
              <w:noProof/>
            </w:rPr>
            <w:fldChar w:fldCharType="end"/>
          </w:r>
        </w:p>
        <w:p w:rsidR="00502918" w:rsidRPr="002A3CBA" w:rsidRDefault="00F41350" w:rsidP="00A00508">
          <w:pPr>
            <w:keepNext/>
            <w:rPr>
              <w:b/>
            </w:rPr>
          </w:pPr>
          <w:r w:rsidRPr="002A3CBA">
            <w:rPr>
              <w:rFonts w:cs="Arial"/>
              <w:caps/>
              <w:sz w:val="18"/>
            </w:rPr>
            <w:fldChar w:fldCharType="end"/>
          </w:r>
        </w:p>
      </w:sdtContent>
    </w:sdt>
    <w:p w:rsidR="00F41350" w:rsidRPr="002A3CBA" w:rsidRDefault="00F41350" w:rsidP="00A00508">
      <w:pPr>
        <w:tabs>
          <w:tab w:val="right" w:leader="dot" w:pos="9639"/>
        </w:tabs>
        <w:ind w:left="993" w:hanging="993"/>
        <w:jc w:val="left"/>
        <w:rPr>
          <w:rFonts w:eastAsiaTheme="minorEastAsia"/>
          <w:color w:val="000000"/>
        </w:rPr>
      </w:pPr>
      <w:r w:rsidRPr="002A3CBA">
        <w:rPr>
          <w:rFonts w:eastAsiaTheme="minorEastAsia"/>
          <w:color w:val="000000"/>
        </w:rPr>
        <w:fldChar w:fldCharType="begin"/>
      </w:r>
      <w:r w:rsidRPr="002A3CBA">
        <w:rPr>
          <w:rFonts w:eastAsiaTheme="minorEastAsia"/>
          <w:color w:val="000000"/>
        </w:rPr>
        <w:instrText xml:space="preserve"> AUTONUM  </w:instrText>
      </w:r>
      <w:r w:rsidRPr="002A3CBA">
        <w:rPr>
          <w:rFonts w:eastAsiaTheme="minorEastAsia"/>
          <w:color w:val="000000"/>
        </w:rPr>
        <w:fldChar w:fldCharType="end"/>
      </w:r>
      <w:r w:rsidRPr="002A3CBA">
        <w:rPr>
          <w:color w:val="000000"/>
        </w:rPr>
        <w:tab/>
        <w:t>Les abréviations suivantes sont utilisées dans le présent document</w:t>
      </w:r>
      <w:r w:rsidR="00502918" w:rsidRPr="002A3CBA">
        <w:rPr>
          <w:color w:val="000000"/>
        </w:rPr>
        <w:t> :</w:t>
      </w:r>
    </w:p>
    <w:p w:rsidR="00F41350" w:rsidRPr="002A3CBA" w:rsidRDefault="00F41350" w:rsidP="00F41350">
      <w:pPr>
        <w:keepNext/>
        <w:rPr>
          <w:rFonts w:eastAsiaTheme="minorEastAsia"/>
          <w:color w:val="000000"/>
        </w:rPr>
      </w:pPr>
    </w:p>
    <w:p w:rsidR="00502918" w:rsidRPr="002A3CBA" w:rsidRDefault="00F41350" w:rsidP="00F41350">
      <w:pPr>
        <w:keepNext/>
        <w:tabs>
          <w:tab w:val="left" w:pos="567"/>
          <w:tab w:val="left" w:pos="1701"/>
        </w:tabs>
        <w:ind w:left="567"/>
      </w:pPr>
      <w:r w:rsidRPr="002A3CBA">
        <w:t>CAJ</w:t>
      </w:r>
      <w:r w:rsidR="00502918" w:rsidRPr="002A3CBA">
        <w:t> :</w:t>
      </w:r>
      <w:r w:rsidRPr="002A3CBA">
        <w:t xml:space="preserve"> </w:t>
      </w:r>
      <w:r w:rsidRPr="002A3CBA">
        <w:tab/>
      </w:r>
      <w:r w:rsidRPr="002A3CBA">
        <w:tab/>
        <w:t>Comité administratif et juridique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2A3CBA">
        <w:rPr>
          <w:snapToGrid w:val="0"/>
        </w:rPr>
        <w:t>GRIN</w:t>
      </w:r>
      <w:r w:rsidR="00502918" w:rsidRPr="002A3CBA">
        <w:rPr>
          <w:snapToGrid w:val="0"/>
        </w:rPr>
        <w:t> :</w:t>
      </w:r>
      <w:r w:rsidR="000E25DC" w:rsidRPr="002A3CBA">
        <w:rPr>
          <w:snapToGrid w:val="0"/>
        </w:rPr>
        <w:t xml:space="preserve"> </w:t>
      </w:r>
      <w:r w:rsidRPr="002A3CBA">
        <w:rPr>
          <w:snapToGrid w:val="0"/>
        </w:rPr>
        <w:tab/>
        <w:t>Réseau d</w:t>
      </w:r>
      <w:r w:rsidR="00502918" w:rsidRPr="002A3CBA">
        <w:rPr>
          <w:snapToGrid w:val="0"/>
        </w:rPr>
        <w:t>’</w:t>
      </w:r>
      <w:r w:rsidRPr="002A3CBA">
        <w:rPr>
          <w:snapToGrid w:val="0"/>
        </w:rPr>
        <w:t xml:space="preserve">information sur les ressources en </w:t>
      </w:r>
      <w:proofErr w:type="spellStart"/>
      <w:r w:rsidRPr="002A3CBA">
        <w:rPr>
          <w:snapToGrid w:val="0"/>
        </w:rPr>
        <w:t>germoplasme</w:t>
      </w:r>
      <w:proofErr w:type="spellEnd"/>
    </w:p>
    <w:p w:rsidR="00502918" w:rsidRPr="002A3CBA" w:rsidRDefault="00F41350" w:rsidP="00F41350">
      <w:pPr>
        <w:keepNext/>
        <w:tabs>
          <w:tab w:val="left" w:pos="567"/>
          <w:tab w:val="left" w:pos="1701"/>
        </w:tabs>
      </w:pPr>
      <w:r w:rsidRPr="002A3CBA">
        <w:tab/>
        <w:t>TC</w:t>
      </w:r>
      <w:r w:rsidR="00502918" w:rsidRPr="002A3CBA">
        <w:t> :</w:t>
      </w:r>
      <w:r w:rsidRPr="002A3CBA">
        <w:t xml:space="preserve"> </w:t>
      </w:r>
      <w:r w:rsidRPr="002A3CBA">
        <w:tab/>
      </w:r>
      <w:r w:rsidRPr="002A3CBA">
        <w:tab/>
        <w:t>Comité technique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A3CBA">
        <w:tab/>
        <w:t>TWA</w:t>
      </w:r>
      <w:r w:rsidR="00502918" w:rsidRPr="002A3CBA">
        <w:t> :</w:t>
      </w:r>
      <w:r w:rsidR="000E25DC" w:rsidRPr="002A3CBA">
        <w:t xml:space="preserve"> </w:t>
      </w:r>
      <w:r w:rsidRPr="002A3CBA">
        <w:tab/>
        <w:t>Groupe de travail technique sur les plantes agricoles</w:t>
      </w:r>
    </w:p>
    <w:p w:rsidR="00F41350" w:rsidRPr="002A3CBA" w:rsidRDefault="00F41350" w:rsidP="002A3CBA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</w:rPr>
      </w:pPr>
      <w:r w:rsidRPr="002A3CBA">
        <w:tab/>
        <w:t>TWC</w:t>
      </w:r>
      <w:r w:rsidR="000E25DC" w:rsidRPr="002A3CBA">
        <w:t> </w:t>
      </w:r>
      <w:r w:rsidR="002A3CBA" w:rsidRPr="002A3CBA">
        <w:t xml:space="preserve">: </w:t>
      </w:r>
      <w:r w:rsidRPr="002A3CBA">
        <w:tab/>
        <w:t>Groupe de travail technique sur les systèmes d</w:t>
      </w:r>
      <w:r w:rsidR="00502918" w:rsidRPr="002A3CBA">
        <w:t>’</w:t>
      </w:r>
      <w:r w:rsidRPr="002A3CBA">
        <w:t>automatisation et les programmes d</w:t>
      </w:r>
      <w:r w:rsidR="00502918" w:rsidRPr="002A3CBA">
        <w:t>’</w:t>
      </w:r>
      <w:r w:rsidRPr="002A3CBA">
        <w:t>ordinateur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A3CBA">
        <w:tab/>
        <w:t>TWF</w:t>
      </w:r>
      <w:r w:rsidR="00502918" w:rsidRPr="002A3CBA">
        <w:t> :</w:t>
      </w:r>
      <w:r w:rsidRPr="002A3CBA">
        <w:t xml:space="preserve"> </w:t>
      </w:r>
      <w:r w:rsidRPr="002A3CBA">
        <w:tab/>
        <w:t>Groupe de travail technique sur les plantes fruitières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A3CBA">
        <w:tab/>
        <w:t>TWM</w:t>
      </w:r>
      <w:r w:rsidR="00502918" w:rsidRPr="002A3CBA">
        <w:t> :</w:t>
      </w:r>
      <w:r w:rsidR="000E25DC" w:rsidRPr="002A3CBA">
        <w:t xml:space="preserve"> </w:t>
      </w:r>
      <w:r w:rsidRPr="002A3CBA">
        <w:tab/>
        <w:t>Groupe de travail technique sur les méthodes et techniques d</w:t>
      </w:r>
      <w:r w:rsidR="00502918" w:rsidRPr="002A3CBA">
        <w:t>’</w:t>
      </w:r>
      <w:r w:rsidRPr="002A3CBA">
        <w:t>essai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A3CBA">
        <w:tab/>
        <w:t>TWO</w:t>
      </w:r>
      <w:r w:rsidR="00502918" w:rsidRPr="002A3CBA">
        <w:t> :</w:t>
      </w:r>
      <w:r w:rsidR="000E25DC" w:rsidRPr="002A3CBA">
        <w:t xml:space="preserve"> </w:t>
      </w:r>
      <w:r w:rsidRPr="002A3CBA">
        <w:tab/>
        <w:t>Groupe de travail technique sur les plantes ornementales et les arbres forestiers</w:t>
      </w:r>
    </w:p>
    <w:p w:rsidR="00F41350" w:rsidRPr="002A3CBA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A3CBA">
        <w:tab/>
        <w:t>TWP</w:t>
      </w:r>
      <w:r w:rsidR="00502918" w:rsidRPr="002A3CBA">
        <w:t> :</w:t>
      </w:r>
      <w:r w:rsidR="000E25DC" w:rsidRPr="002A3CBA">
        <w:t xml:space="preserve"> </w:t>
      </w:r>
      <w:r w:rsidRPr="002A3CBA">
        <w:tab/>
        <w:t>Groupe(s) de travail technique(s)</w:t>
      </w:r>
    </w:p>
    <w:p w:rsidR="00F41350" w:rsidRPr="002A3CBA" w:rsidRDefault="00F41350" w:rsidP="00F41350">
      <w:pPr>
        <w:tabs>
          <w:tab w:val="left" w:pos="567"/>
          <w:tab w:val="left" w:pos="1701"/>
        </w:tabs>
        <w:rPr>
          <w:rFonts w:eastAsiaTheme="minorEastAsia"/>
        </w:rPr>
      </w:pPr>
      <w:r w:rsidRPr="002A3CBA">
        <w:tab/>
        <w:t>TWV</w:t>
      </w:r>
      <w:r w:rsidR="00502918" w:rsidRPr="002A3CBA">
        <w:t> :</w:t>
      </w:r>
      <w:r w:rsidR="000E25DC" w:rsidRPr="002A3CBA">
        <w:t xml:space="preserve"> </w:t>
      </w:r>
      <w:r w:rsidRPr="002A3CBA">
        <w:tab/>
        <w:t>Groupe de travail technique sur les plantes potagères</w:t>
      </w:r>
    </w:p>
    <w:p w:rsidR="00F41350" w:rsidRPr="002A3CBA" w:rsidRDefault="00F41350" w:rsidP="00F41350">
      <w:pPr>
        <w:rPr>
          <w:rFonts w:eastAsiaTheme="minorEastAsia"/>
        </w:rPr>
      </w:pPr>
    </w:p>
    <w:p w:rsidR="00D15C69" w:rsidRPr="002A3CBA" w:rsidRDefault="00D15C69" w:rsidP="00D15C69">
      <w:pPr>
        <w:rPr>
          <w:rFonts w:eastAsiaTheme="minorEastAsia"/>
        </w:rPr>
      </w:pPr>
    </w:p>
    <w:p w:rsidR="00D15C69" w:rsidRPr="00443830" w:rsidRDefault="00D15C69" w:rsidP="00443830">
      <w:pPr>
        <w:pStyle w:val="Heading1"/>
      </w:pPr>
      <w:bookmarkStart w:id="3" w:name="_Toc477797636"/>
      <w:bookmarkStart w:id="4" w:name="_Toc38109178"/>
      <w:bookmarkStart w:id="5" w:name="_Toc68852028"/>
      <w:bookmarkStart w:id="6" w:name="_Toc100763983"/>
      <w:bookmarkStart w:id="7" w:name="_Toc117157017"/>
      <w:r w:rsidRPr="00443830">
        <w:lastRenderedPageBreak/>
        <w:t>B</w:t>
      </w:r>
      <w:r w:rsidR="002A3CBA" w:rsidRPr="00443830">
        <w:t>ase de données GENIE</w:t>
      </w:r>
      <w:bookmarkEnd w:id="3"/>
      <w:bookmarkEnd w:id="4"/>
      <w:bookmarkEnd w:id="5"/>
      <w:bookmarkEnd w:id="6"/>
      <w:bookmarkEnd w:id="7"/>
    </w:p>
    <w:p w:rsidR="00D15C69" w:rsidRPr="002A3CBA" w:rsidRDefault="00D15C69" w:rsidP="00D15C69"/>
    <w:p w:rsidR="00502918" w:rsidRPr="002A3CBA" w:rsidRDefault="00D15C69" w:rsidP="00E44B19">
      <w:pPr>
        <w:pStyle w:val="Heading2"/>
      </w:pPr>
      <w:bookmarkStart w:id="8" w:name="_Toc117157018"/>
      <w:r w:rsidRPr="002A3CBA">
        <w:t>Rappel</w:t>
      </w:r>
      <w:bookmarkEnd w:id="8"/>
    </w:p>
    <w:p w:rsidR="00D15C69" w:rsidRPr="002A3CBA" w:rsidRDefault="00D15C69" w:rsidP="00D15C69">
      <w:pPr>
        <w:rPr>
          <w:rFonts w:eastAsiaTheme="minorEastAsia"/>
          <w:lang w:eastAsia="ja-JP"/>
        </w:rPr>
      </w:pPr>
    </w:p>
    <w:p w:rsidR="00D15C69" w:rsidRPr="002A3CBA" w:rsidRDefault="00D15C69" w:rsidP="00D15C69">
      <w:pPr>
        <w:rPr>
          <w:rFonts w:eastAsiaTheme="minorEastAsia"/>
          <w:caps/>
        </w:rPr>
      </w:pPr>
      <w:r w:rsidRPr="002A3CBA">
        <w:rPr>
          <w:rFonts w:eastAsiaTheme="minorEastAsia" w:cs="Arial"/>
        </w:rPr>
        <w:fldChar w:fldCharType="begin"/>
      </w:r>
      <w:r w:rsidRPr="002A3CBA">
        <w:rPr>
          <w:rFonts w:eastAsiaTheme="minorEastAsia" w:cs="Arial"/>
        </w:rPr>
        <w:instrText xml:space="preserve"> AUTONUM  </w:instrText>
      </w:r>
      <w:r w:rsidRPr="002A3CBA">
        <w:rPr>
          <w:rFonts w:eastAsiaTheme="minorEastAsia" w:cs="Arial"/>
        </w:rPr>
        <w:fldChar w:fldCharType="end"/>
      </w:r>
      <w:r w:rsidRPr="002A3CBA">
        <w:tab/>
        <w:t>La base de données GENIE (</w:t>
      </w:r>
      <w:hyperlink r:id="rId9" w:history="1">
        <w:r w:rsidRPr="002A3CBA">
          <w:rPr>
            <w:color w:val="0000FF"/>
            <w:u w:val="single"/>
          </w:rPr>
          <w:t>http://www.upov.int/genie/fr/</w:t>
        </w:r>
      </w:hyperlink>
      <w:r w:rsidRPr="002A3CBA">
        <w:t>) a été élaborée pour fournir des informations en ligne relatives à l</w:t>
      </w:r>
      <w:r w:rsidR="00502918" w:rsidRPr="002A3CBA">
        <w:t>’</w:t>
      </w:r>
      <w:r w:rsidRPr="002A3CBA">
        <w:t>état de la protection, à la coopération en matière d</w:t>
      </w:r>
      <w:r w:rsidR="00502918" w:rsidRPr="002A3CBA">
        <w:t>’</w:t>
      </w:r>
      <w:r w:rsidRPr="002A3CBA">
        <w:t>examen, à l</w:t>
      </w:r>
      <w:r w:rsidR="00502918" w:rsidRPr="002A3CBA">
        <w:t>’</w:t>
      </w:r>
      <w:r w:rsidRPr="002A3CBA">
        <w:t>expérience en matière d</w:t>
      </w:r>
      <w:r w:rsidR="00502918" w:rsidRPr="002A3CBA">
        <w:t>’</w:t>
      </w:r>
      <w:r w:rsidRPr="002A3CBA">
        <w:t>examen</w:t>
      </w:r>
      <w:r w:rsidR="000E25DC" w:rsidRPr="002A3CBA">
        <w:t> </w:t>
      </w:r>
      <w:r w:rsidRPr="002A3CBA">
        <w:t>DHS et à l</w:t>
      </w:r>
      <w:r w:rsidR="00502918" w:rsidRPr="002A3CBA">
        <w:t>’</w:t>
      </w:r>
      <w:r w:rsidRPr="002A3CBA">
        <w:t>existence de principes directeurs d</w:t>
      </w:r>
      <w:r w:rsidR="00502918" w:rsidRPr="002A3CBA">
        <w:t>’</w:t>
      </w:r>
      <w:r w:rsidRPr="002A3CBA">
        <w:t>examen de l</w:t>
      </w:r>
      <w:r w:rsidR="00502918" w:rsidRPr="002A3CBA">
        <w:t>’</w:t>
      </w:r>
      <w:r w:rsidRPr="002A3CBA">
        <w:t>UPOV pour différents genres et espèces (“</w:t>
      </w:r>
      <w:proofErr w:type="spellStart"/>
      <w:r w:rsidRPr="002A3CBA">
        <w:rPr>
          <w:u w:val="single"/>
        </w:rPr>
        <w:t>GEN</w:t>
      </w:r>
      <w:r w:rsidRPr="002A3CBA">
        <w:t>era</w:t>
      </w:r>
      <w:proofErr w:type="spellEnd"/>
      <w:r w:rsidRPr="002A3CBA">
        <w:t>” et “</w:t>
      </w:r>
      <w:proofErr w:type="spellStart"/>
      <w:r w:rsidRPr="002A3CBA">
        <w:t>spec</w:t>
      </w:r>
      <w:r w:rsidRPr="002A3CBA">
        <w:rPr>
          <w:u w:val="single"/>
        </w:rPr>
        <w:t>IE</w:t>
      </w:r>
      <w:r w:rsidRPr="002A3CBA">
        <w:t>s</w:t>
      </w:r>
      <w:proofErr w:type="spellEnd"/>
      <w:r w:rsidRPr="002A3CBA">
        <w:t>”, d</w:t>
      </w:r>
      <w:r w:rsidR="00502918" w:rsidRPr="002A3CBA">
        <w:t>’</w:t>
      </w:r>
      <w:r w:rsidRPr="002A3CBA">
        <w:t>où “GENIE”).  La base de données GENIE est utilisée pour rédiger les documents pertinents du Conseil et du</w:t>
      </w:r>
      <w:r w:rsidR="00502918" w:rsidRPr="002A3CBA">
        <w:t> TC</w:t>
      </w:r>
      <w:r w:rsidRPr="002A3CBA">
        <w:t xml:space="preserve"> concernant ces informations</w:t>
      </w:r>
      <w:r w:rsidRPr="002A3CBA">
        <w:rPr>
          <w:rStyle w:val="FootnoteReference"/>
          <w:rFonts w:eastAsiaTheme="minorEastAsia" w:cs="Arial"/>
        </w:rPr>
        <w:footnoteReference w:id="2"/>
      </w:r>
      <w:r w:rsidRPr="002A3CBA">
        <w:t>.</w:t>
      </w:r>
    </w:p>
    <w:p w:rsidR="00D15C69" w:rsidRPr="002A3CBA" w:rsidRDefault="00D15C69" w:rsidP="00D15C69">
      <w:pPr>
        <w:rPr>
          <w:rFonts w:eastAsiaTheme="minorEastAsia" w:cs="Arial"/>
        </w:rPr>
      </w:pPr>
    </w:p>
    <w:p w:rsidR="00D15C69" w:rsidRPr="002A3CBA" w:rsidRDefault="00D15C69" w:rsidP="00D15C69">
      <w:pPr>
        <w:rPr>
          <w:rFonts w:eastAsiaTheme="minorEastAsia" w:cs="Arial"/>
        </w:rPr>
      </w:pPr>
      <w:r w:rsidRPr="002A3CBA">
        <w:rPr>
          <w:rFonts w:eastAsiaTheme="minorEastAsia" w:cs="Arial"/>
        </w:rPr>
        <w:fldChar w:fldCharType="begin"/>
      </w:r>
      <w:r w:rsidRPr="002A3CBA">
        <w:rPr>
          <w:rFonts w:eastAsiaTheme="minorEastAsia" w:cs="Arial"/>
        </w:rPr>
        <w:instrText xml:space="preserve"> AUTONUM  </w:instrText>
      </w:r>
      <w:r w:rsidRPr="002A3CBA">
        <w:rPr>
          <w:rFonts w:eastAsiaTheme="minorEastAsia" w:cs="Arial"/>
        </w:rPr>
        <w:fldChar w:fldCharType="end"/>
      </w:r>
      <w:r w:rsidRPr="002A3CBA">
        <w:tab/>
        <w:t>La base de données GENIE contient la liste des codes UPOV, ainsi que des renseignements sur les principaux et les autres noms botaniques et noms communs des taxons végétaux.</w:t>
      </w:r>
    </w:p>
    <w:p w:rsidR="00D15C69" w:rsidRPr="002A3CBA" w:rsidRDefault="00D15C69" w:rsidP="00D15C69">
      <w:pPr>
        <w:rPr>
          <w:snapToGrid w:val="0"/>
        </w:rPr>
      </w:pPr>
    </w:p>
    <w:p w:rsidR="00E44B19" w:rsidRPr="002A3CBA" w:rsidRDefault="00E44B19" w:rsidP="00D15C69">
      <w:pPr>
        <w:rPr>
          <w:snapToGrid w:val="0"/>
        </w:rPr>
      </w:pPr>
    </w:p>
    <w:p w:rsidR="00502918" w:rsidRPr="002A3CBA" w:rsidRDefault="00D15C69" w:rsidP="00E44B19">
      <w:pPr>
        <w:pStyle w:val="Heading1"/>
      </w:pPr>
      <w:bookmarkStart w:id="9" w:name="_Toc316492046"/>
      <w:bookmarkStart w:id="10" w:name="_Toc477797641"/>
      <w:bookmarkStart w:id="11" w:name="_Toc38109181"/>
      <w:bookmarkStart w:id="12" w:name="_Toc68852031"/>
      <w:bookmarkStart w:id="13" w:name="_Toc100763986"/>
      <w:bookmarkStart w:id="14" w:name="_Toc117157019"/>
      <w:r w:rsidRPr="002A3CBA">
        <w:t>S</w:t>
      </w:r>
      <w:r w:rsidR="002A3CBA">
        <w:t>ystème de codes UPOV</w:t>
      </w:r>
      <w:bookmarkEnd w:id="9"/>
      <w:bookmarkEnd w:id="10"/>
      <w:bookmarkEnd w:id="11"/>
      <w:bookmarkEnd w:id="12"/>
      <w:bookmarkEnd w:id="13"/>
      <w:bookmarkEnd w:id="14"/>
    </w:p>
    <w:p w:rsidR="00CD668B" w:rsidRPr="002A3CBA" w:rsidRDefault="00CD668B" w:rsidP="00CD668B">
      <w:pPr>
        <w:rPr>
          <w:snapToGrid w:val="0"/>
        </w:rPr>
      </w:pPr>
    </w:p>
    <w:p w:rsidR="00CD668B" w:rsidRPr="002A3CBA" w:rsidRDefault="00CD668B" w:rsidP="00CD668B">
      <w:pPr>
        <w:pStyle w:val="Heading2"/>
      </w:pPr>
      <w:bookmarkStart w:id="15" w:name="_Toc117157020"/>
      <w:r w:rsidRPr="002A3CBA">
        <w:t>Propositions de révision du document UPOV/INF/23 “Introduction au système de codes UPOV”</w:t>
      </w:r>
      <w:bookmarkEnd w:id="15"/>
    </w:p>
    <w:p w:rsidR="00E44B19" w:rsidRPr="002A3CBA" w:rsidRDefault="00E44B19" w:rsidP="00E44B19">
      <w:pPr>
        <w:keepNext/>
      </w:pPr>
    </w:p>
    <w:p w:rsidR="00E44B19" w:rsidRPr="002A3CBA" w:rsidRDefault="00E44B19" w:rsidP="00E44B19">
      <w:pPr>
        <w:keepLines/>
      </w:pPr>
      <w:r w:rsidRPr="002A3CBA">
        <w:fldChar w:fldCharType="begin"/>
      </w:r>
      <w:r w:rsidRPr="002A3CBA">
        <w:instrText xml:space="preserve"> AUTONUM  </w:instrText>
      </w:r>
      <w:r w:rsidRPr="002A3CBA">
        <w:fldChar w:fldCharType="end"/>
      </w:r>
      <w:r w:rsidRPr="002A3CBA">
        <w:tab/>
        <w:t>L</w:t>
      </w:r>
      <w:r w:rsidR="00502918" w:rsidRPr="002A3CBA">
        <w:t>’</w:t>
      </w:r>
      <w:r w:rsidRPr="002A3CBA">
        <w:t>introduction au système de codes UPOV (document UPOV/INF/23 “Introduction au système de codes UPOV”), adoptée par le Conseil le 2</w:t>
      </w:r>
      <w:r w:rsidR="00502918" w:rsidRPr="002A3CBA">
        <w:t>1 septembre 20</w:t>
      </w:r>
      <w:r w:rsidRPr="002A3CBA">
        <w:t>21 est disponible sur le site</w:t>
      </w:r>
      <w:r w:rsidR="000E25DC" w:rsidRPr="002A3CBA">
        <w:t> </w:t>
      </w:r>
      <w:r w:rsidRPr="002A3CBA">
        <w:t>Web de l</w:t>
      </w:r>
      <w:r w:rsidR="00502918" w:rsidRPr="002A3CBA">
        <w:t>’</w:t>
      </w:r>
      <w:r w:rsidRPr="002A3CBA">
        <w:t>UPOV à l</w:t>
      </w:r>
      <w:r w:rsidR="00502918" w:rsidRPr="002A3CBA">
        <w:t>’</w:t>
      </w:r>
      <w:r w:rsidRPr="002A3CBA">
        <w:t xml:space="preserve">adresse </w:t>
      </w:r>
      <w:hyperlink r:id="rId10" w:history="1">
        <w:r w:rsidRPr="002A3CBA">
          <w:rPr>
            <w:rStyle w:val="Hyperlink"/>
          </w:rPr>
          <w:t>https://www.upov.int/genie/resources/pdfs/upov_code_system_fr.pdf</w:t>
        </w:r>
      </w:hyperlink>
      <w:r w:rsidRPr="002A3CBA">
        <w:t xml:space="preserve"> (voir le paragraphe 32 du document C/55/12 intitulé “Résultats de l</w:t>
      </w:r>
      <w:r w:rsidR="00502918" w:rsidRPr="002A3CBA">
        <w:t>’</w:t>
      </w:r>
      <w:r w:rsidRPr="002A3CBA">
        <w:t>examen des documents par correspondance”).</w:t>
      </w:r>
    </w:p>
    <w:p w:rsidR="00CD668B" w:rsidRPr="002A3CBA" w:rsidRDefault="00CD668B" w:rsidP="00CD668B">
      <w:pPr>
        <w:keepNext/>
        <w:jc w:val="left"/>
      </w:pPr>
    </w:p>
    <w:p w:rsidR="00E44B19" w:rsidRPr="002A3CBA" w:rsidRDefault="00E44B19" w:rsidP="00CD668B">
      <w:pPr>
        <w:keepNext/>
      </w:pPr>
      <w:r w:rsidRPr="002A3CBA">
        <w:fldChar w:fldCharType="begin"/>
      </w:r>
      <w:r w:rsidRPr="002A3CBA">
        <w:instrText xml:space="preserve"> AUTONUM  </w:instrText>
      </w:r>
      <w:r w:rsidRPr="002A3CBA">
        <w:fldChar w:fldCharType="end"/>
      </w:r>
      <w:r w:rsidRPr="002A3CBA">
        <w:tab/>
        <w:t>Le CAJ est invité à prendre note que, à sa cinquante</w:t>
      </w:r>
      <w:r w:rsidR="00502918" w:rsidRPr="002A3CBA">
        <w:t>-</w:t>
      </w:r>
      <w:r w:rsidRPr="002A3CBA">
        <w:t>huit</w:t>
      </w:r>
      <w:r w:rsidR="00502918" w:rsidRPr="002A3CBA">
        <w:t>ième session</w:t>
      </w:r>
      <w:r w:rsidRPr="002A3CBA">
        <w:t>, le</w:t>
      </w:r>
      <w:r w:rsidR="00502918" w:rsidRPr="002A3CBA">
        <w:t> TC</w:t>
      </w:r>
      <w:r w:rsidRPr="002A3CBA">
        <w:t xml:space="preserve"> sera invité à examiner une proposition de révision du document UPOV/INF/23 “Système de codes UPOV” visant à préciser le nombre maximal de caractères à utiliser dans l</w:t>
      </w:r>
      <w:r w:rsidR="00502918" w:rsidRPr="002A3CBA">
        <w:t>’</w:t>
      </w:r>
      <w:r w:rsidRPr="002A3CBA">
        <w:t xml:space="preserve">élément ajouté aux codes UPOV, comme suit (les éléments à supprimer sont surlignés et </w:t>
      </w:r>
      <w:r w:rsidRPr="002A3CBA">
        <w:rPr>
          <w:strike/>
          <w:highlight w:val="lightGray"/>
        </w:rPr>
        <w:t>biffés</w:t>
      </w:r>
      <w:r w:rsidRPr="002A3CBA">
        <w:t xml:space="preserve"> et les éléments à ajouter sont surlignés et </w:t>
      </w:r>
      <w:r w:rsidRPr="002A3CBA">
        <w:rPr>
          <w:highlight w:val="lightGray"/>
          <w:u w:val="single"/>
        </w:rPr>
        <w:t>soulignés</w:t>
      </w:r>
      <w:r w:rsidRPr="002A3CBA">
        <w:t>)</w:t>
      </w:r>
      <w:r w:rsidR="00502918" w:rsidRPr="002A3CBA">
        <w:t> :</w:t>
      </w:r>
    </w:p>
    <w:p w:rsidR="00E44B19" w:rsidRPr="002A3CBA" w:rsidRDefault="00E44B19" w:rsidP="00E44B19"/>
    <w:p w:rsidR="00E44B19" w:rsidRPr="002A3CBA" w:rsidRDefault="00E44B19" w:rsidP="00E44B19">
      <w:pPr>
        <w:ind w:left="567"/>
      </w:pPr>
      <w:r w:rsidRPr="002A3CBA">
        <w:t>“5</w:t>
      </w:r>
      <w:r w:rsidRPr="002A3CBA">
        <w:tab/>
        <w:t>CODE UPOV</w:t>
      </w:r>
      <w:r w:rsidR="00502918" w:rsidRPr="002A3CBA">
        <w:t> :</w:t>
      </w:r>
      <w:r w:rsidRPr="002A3CBA">
        <w:t xml:space="preserve"> INFORMATIONS AJOUTÉES</w:t>
      </w:r>
    </w:p>
    <w:p w:rsidR="00E44B19" w:rsidRPr="002A3CBA" w:rsidRDefault="00E44B19" w:rsidP="00E44B19">
      <w:pPr>
        <w:ind w:left="567" w:right="283"/>
        <w:rPr>
          <w:rFonts w:cs="Arial"/>
        </w:rPr>
      </w:pPr>
    </w:p>
    <w:p w:rsidR="00E44B19" w:rsidRPr="002A3CBA" w:rsidRDefault="00E44B19" w:rsidP="00E44B19">
      <w:pPr>
        <w:ind w:left="567"/>
        <w:rPr>
          <w:u w:val="single"/>
        </w:rPr>
      </w:pPr>
      <w:r w:rsidRPr="002A3CBA">
        <w:rPr>
          <w:u w:val="single"/>
        </w:rPr>
        <w:t>“5.1</w:t>
      </w:r>
      <w:r w:rsidRPr="002A3CBA">
        <w:rPr>
          <w:u w:val="single"/>
        </w:rPr>
        <w:tab/>
        <w:t>Construction des éléments ajoutés</w:t>
      </w:r>
    </w:p>
    <w:p w:rsidR="00E44B19" w:rsidRPr="002A3CBA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:rsidR="00502918" w:rsidRPr="002A3CBA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</w:pPr>
      <w:r w:rsidRPr="002A3CBA">
        <w:t>“5.1.1.</w:t>
      </w:r>
      <w:r w:rsidRPr="002A3CBA">
        <w:tab/>
        <w:t>Au besoin, un élément peut être ajouté au code UPOV afin de fournir des informations sur le groupe de variété, le type de variété et/ou la dénomination.</w:t>
      </w:r>
    </w:p>
    <w:p w:rsidR="00E44B19" w:rsidRPr="002A3CBA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:rsidR="00E44B19" w:rsidRPr="002A3CBA" w:rsidRDefault="00E44B19" w:rsidP="00E44B19">
      <w:pPr>
        <w:ind w:left="567" w:right="283"/>
        <w:rPr>
          <w:rFonts w:cs="Arial"/>
        </w:rPr>
      </w:pPr>
      <w:r w:rsidRPr="002A3CBA">
        <w:t>“L</w:t>
      </w:r>
      <w:r w:rsidR="00502918" w:rsidRPr="002A3CBA">
        <w:t>’</w:t>
      </w:r>
      <w:r w:rsidRPr="002A3CBA">
        <w:t>élément ajouté au code UPOV est identifiable grâce à la convention de nommage suivante</w:t>
      </w:r>
      <w:r w:rsidR="00502918" w:rsidRPr="002A3CBA">
        <w:t> :</w:t>
      </w:r>
    </w:p>
    <w:p w:rsidR="00E44B19" w:rsidRPr="002A3CBA" w:rsidRDefault="00E44B19" w:rsidP="00E44B19">
      <w:pPr>
        <w:ind w:left="567" w:right="283"/>
        <w:rPr>
          <w:rFonts w:eastAsiaTheme="minorEastAsia" w:cs="Arial"/>
          <w:bCs/>
        </w:rPr>
      </w:pPr>
    </w:p>
    <w:p w:rsidR="00502918" w:rsidRPr="002A3CBA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</w:pPr>
      <w:r w:rsidRPr="002A3CBA">
        <w:t xml:space="preserve">“un préfixe numérique </w:t>
      </w:r>
      <w:r w:rsidRPr="002A3CBA">
        <w:rPr>
          <w:highlight w:val="lightGray"/>
          <w:u w:val="single"/>
        </w:rPr>
        <w:t xml:space="preserve">(chiffre de 1 à 9) </w:t>
      </w:r>
      <w:r w:rsidRPr="002A3CBA">
        <w:t>permet d</w:t>
      </w:r>
      <w:r w:rsidR="00502918" w:rsidRPr="002A3CBA">
        <w:t>’</w:t>
      </w:r>
      <w:r w:rsidRPr="002A3CBA">
        <w:t>identifier le nouvel élément ajouté.</w:t>
      </w:r>
    </w:p>
    <w:p w:rsidR="00502918" w:rsidRPr="002A3CBA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color w:val="000000"/>
        </w:rPr>
      </w:pPr>
      <w:r w:rsidRPr="002A3CBA">
        <w:t>“</w:t>
      </w:r>
      <w:r w:rsidRPr="002A3CBA">
        <w:rPr>
          <w:highlight w:val="lightGray"/>
          <w:u w:val="single"/>
        </w:rPr>
        <w:t xml:space="preserve">des lettres ou </w:t>
      </w:r>
      <w:r w:rsidRPr="002A3CBA">
        <w:t>des chiffres différents pourraient, le cas échéant, indiquer différentes catégories d</w:t>
      </w:r>
      <w:r w:rsidR="00502918" w:rsidRPr="002A3CBA">
        <w:t>’</w:t>
      </w:r>
      <w:r w:rsidRPr="002A3CBA">
        <w:t>information.</w:t>
      </w:r>
    </w:p>
    <w:p w:rsidR="00E44B19" w:rsidRPr="002A3CBA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rPr>
          <w:rFonts w:eastAsiaTheme="minorEastAsia"/>
          <w:color w:val="000000"/>
          <w:highlight w:val="lightGray"/>
          <w:u w:val="single"/>
        </w:rPr>
      </w:pPr>
      <w:r w:rsidRPr="002A3CBA">
        <w:rPr>
          <w:highlight w:val="lightGray"/>
          <w:u w:val="single"/>
        </w:rPr>
        <w:t>“Les éléments ajoutés devraient contenir au maximum six</w:t>
      </w:r>
      <w:r w:rsidR="000E25DC" w:rsidRPr="002A3CBA">
        <w:rPr>
          <w:highlight w:val="lightGray"/>
          <w:u w:val="single"/>
        </w:rPr>
        <w:t> </w:t>
      </w:r>
      <w:r w:rsidRPr="002A3CBA">
        <w:rPr>
          <w:highlight w:val="lightGray"/>
          <w:u w:val="single"/>
        </w:rPr>
        <w:t>chiffres ou lettres au total (p.</w:t>
      </w:r>
      <w:r w:rsidR="000E25DC" w:rsidRPr="002A3CBA">
        <w:rPr>
          <w:highlight w:val="lightGray"/>
          <w:u w:val="single"/>
        </w:rPr>
        <w:t> </w:t>
      </w:r>
      <w:r w:rsidRPr="002A3CBA">
        <w:rPr>
          <w:highlight w:val="lightGray"/>
          <w:u w:val="single"/>
        </w:rPr>
        <w:t>ex.</w:t>
      </w:r>
      <w:r w:rsidR="000E25DC" w:rsidRPr="002A3CBA">
        <w:rPr>
          <w:highlight w:val="lightGray"/>
          <w:u w:val="single"/>
        </w:rPr>
        <w:t> </w:t>
      </w:r>
      <w:r w:rsidR="00502918" w:rsidRPr="002A3CBA">
        <w:rPr>
          <w:highlight w:val="lightGray"/>
          <w:u w:val="single"/>
        </w:rPr>
        <w:t>‘</w:t>
      </w:r>
      <w:r w:rsidRPr="002A3CBA">
        <w:rPr>
          <w:highlight w:val="lightGray"/>
          <w:u w:val="single"/>
        </w:rPr>
        <w:t>1AC2TG</w:t>
      </w:r>
      <w:r w:rsidR="00502918" w:rsidRPr="002A3CBA">
        <w:rPr>
          <w:highlight w:val="lightGray"/>
          <w:u w:val="single"/>
        </w:rPr>
        <w:t>’</w:t>
      </w:r>
      <w:r w:rsidRPr="002A3CBA">
        <w:rPr>
          <w:highlight w:val="lightGray"/>
          <w:u w:val="single"/>
        </w:rPr>
        <w:t>)</w:t>
      </w:r>
    </w:p>
    <w:p w:rsidR="00E44B19" w:rsidRPr="002A3CBA" w:rsidRDefault="00E44B19" w:rsidP="00E44B19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color w:val="000000"/>
        </w:rPr>
      </w:pPr>
    </w:p>
    <w:p w:rsidR="00E44B19" w:rsidRPr="002A3CBA" w:rsidRDefault="00E44B19" w:rsidP="00E44B19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 w:rsidRPr="002A3CBA">
        <w:t>“Cet élément peut être ajouté à n</w:t>
      </w:r>
      <w:r w:rsidR="00502918" w:rsidRPr="002A3CBA">
        <w:t>’</w:t>
      </w:r>
      <w:r w:rsidRPr="002A3CBA">
        <w:t>importe quel code UPOV, indépendamment des taxons végétaux (au niveau des genres, des espèces ou des sous</w:t>
      </w:r>
      <w:r w:rsidR="00502918" w:rsidRPr="002A3CBA">
        <w:t>-</w:t>
      </w:r>
      <w:r w:rsidRPr="002A3CBA">
        <w:t>espèc</w:t>
      </w:r>
      <w:r w:rsidR="002A3CBA" w:rsidRPr="002A3CBA">
        <w:t>es).  Ex</w:t>
      </w:r>
      <w:r w:rsidRPr="002A3CBA">
        <w:t>emples</w:t>
      </w:r>
      <w:r w:rsidR="00502918" w:rsidRPr="002A3CBA">
        <w:t> :</w:t>
      </w:r>
    </w:p>
    <w:p w:rsidR="00E44B19" w:rsidRPr="002A3CBA" w:rsidRDefault="00E44B19" w:rsidP="00E44B19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</w:rPr>
      </w:pPr>
    </w:p>
    <w:p w:rsidR="00502918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</w:pPr>
      <w:r w:rsidRPr="002A3CBA">
        <w:t xml:space="preserve">“Code UPOV pour le genre </w:t>
      </w:r>
      <w:r w:rsidRPr="002A3CBA">
        <w:rPr>
          <w:i/>
          <w:iCs/>
        </w:rPr>
        <w:t>Abies</w:t>
      </w:r>
      <w:r w:rsidR="00502918" w:rsidRPr="002A3CBA">
        <w:t> :</w:t>
      </w:r>
      <w:r w:rsidR="000E25DC" w:rsidRPr="002A3CBA">
        <w:t xml:space="preserve"> </w:t>
      </w:r>
      <w:r w:rsidRPr="002A3CBA">
        <w:tab/>
        <w:t>ABIES</w:t>
      </w: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2A3CBA">
        <w:t>“Code UPOV avec élément ajouté</w:t>
      </w:r>
      <w:r w:rsidR="00502918" w:rsidRPr="002A3CBA">
        <w:t> :</w:t>
      </w:r>
      <w:r w:rsidRPr="002A3CBA">
        <w:t xml:space="preserve"> </w:t>
      </w:r>
      <w:r w:rsidRPr="002A3CBA">
        <w:tab/>
        <w:t>ABIES_</w:t>
      </w:r>
      <w:r w:rsidRPr="002A3CBA">
        <w:rPr>
          <w:strike/>
          <w:highlight w:val="lightGray"/>
        </w:rPr>
        <w:t>1234</w:t>
      </w:r>
      <w:r w:rsidRPr="002A3CBA">
        <w:t xml:space="preserve"> </w:t>
      </w:r>
      <w:r w:rsidRPr="002A3CBA">
        <w:rPr>
          <w:highlight w:val="lightGray"/>
          <w:u w:val="single"/>
        </w:rPr>
        <w:t>1AC2TG</w:t>
      </w: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2A3CBA">
        <w:t xml:space="preserve">“Code UPOV pour les espèces </w:t>
      </w:r>
      <w:r w:rsidRPr="002A3CBA">
        <w:rPr>
          <w:i/>
          <w:iCs/>
        </w:rPr>
        <w:t xml:space="preserve">Abies </w:t>
      </w:r>
      <w:proofErr w:type="spellStart"/>
      <w:r w:rsidRPr="002A3CBA">
        <w:rPr>
          <w:i/>
          <w:iCs/>
        </w:rPr>
        <w:t>Sibirica</w:t>
      </w:r>
      <w:proofErr w:type="spellEnd"/>
      <w:r w:rsidR="00502918" w:rsidRPr="002A3CBA">
        <w:t> :</w:t>
      </w:r>
      <w:r w:rsidRPr="002A3CBA">
        <w:t xml:space="preserve"> </w:t>
      </w:r>
      <w:r w:rsidRPr="002A3CBA">
        <w:tab/>
        <w:t>ABIES_SIB</w:t>
      </w: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2A3CBA">
        <w:t>“Code UPOV avec élément ajouté</w:t>
      </w:r>
      <w:r w:rsidR="00502918" w:rsidRPr="002A3CBA">
        <w:t> :</w:t>
      </w:r>
      <w:r w:rsidRPr="002A3CBA">
        <w:t xml:space="preserve"> </w:t>
      </w:r>
      <w:r w:rsidRPr="002A3CBA">
        <w:tab/>
        <w:t>ABIES_SIB_</w:t>
      </w:r>
      <w:r w:rsidRPr="002A3CBA">
        <w:rPr>
          <w:strike/>
          <w:highlight w:val="lightGray"/>
        </w:rPr>
        <w:t>1234</w:t>
      </w:r>
      <w:r w:rsidRPr="002A3CBA">
        <w:t xml:space="preserve"> </w:t>
      </w:r>
      <w:r w:rsidRPr="002A3CBA">
        <w:rPr>
          <w:highlight w:val="lightGray"/>
          <w:u w:val="single"/>
        </w:rPr>
        <w:t>1AC2TG</w:t>
      </w: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2A3CBA">
        <w:t>“Code UPOV pour les sous</w:t>
      </w:r>
      <w:r w:rsidR="00502918" w:rsidRPr="002A3CBA">
        <w:t>-</w:t>
      </w:r>
      <w:r w:rsidRPr="002A3CBA">
        <w:t xml:space="preserve">espèces </w:t>
      </w:r>
      <w:r w:rsidRPr="002A3CBA">
        <w:rPr>
          <w:i/>
          <w:iCs/>
        </w:rPr>
        <w:t xml:space="preserve">Abies </w:t>
      </w:r>
      <w:proofErr w:type="spellStart"/>
      <w:r w:rsidRPr="002A3CBA">
        <w:rPr>
          <w:i/>
          <w:iCs/>
        </w:rPr>
        <w:t>sibirica</w:t>
      </w:r>
      <w:proofErr w:type="spellEnd"/>
      <w:r w:rsidRPr="002A3CBA">
        <w:t xml:space="preserve"> </w:t>
      </w:r>
      <w:proofErr w:type="spellStart"/>
      <w:r w:rsidRPr="002A3CBA">
        <w:t>subsp</w:t>
      </w:r>
      <w:proofErr w:type="spellEnd"/>
      <w:r w:rsidRPr="002A3CBA">
        <w:t xml:space="preserve">. </w:t>
      </w:r>
      <w:r w:rsidR="000E25DC" w:rsidRPr="002A3CBA">
        <w:t xml:space="preserve"> </w:t>
      </w:r>
      <w:proofErr w:type="spellStart"/>
      <w:r w:rsidRPr="002A3CBA">
        <w:rPr>
          <w:i/>
          <w:iCs/>
        </w:rPr>
        <w:t>semenovii</w:t>
      </w:r>
      <w:proofErr w:type="spellEnd"/>
      <w:r w:rsidR="00502918" w:rsidRPr="002A3CBA">
        <w:t> :</w:t>
      </w:r>
      <w:r w:rsidR="000E25DC" w:rsidRPr="002A3CBA">
        <w:t xml:space="preserve"> </w:t>
      </w:r>
      <w:r w:rsidRPr="002A3CBA">
        <w:tab/>
        <w:t>ABIES_SIB_SEM</w:t>
      </w:r>
    </w:p>
    <w:p w:rsidR="00E44B19" w:rsidRPr="002A3CBA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2A3CBA">
        <w:t>“Code UPOV avec élément ajouté</w:t>
      </w:r>
      <w:r w:rsidR="00502918" w:rsidRPr="002A3CBA">
        <w:t> :</w:t>
      </w:r>
      <w:r w:rsidRPr="002A3CBA">
        <w:t xml:space="preserve"> </w:t>
      </w:r>
      <w:r w:rsidRPr="002A3CBA">
        <w:tab/>
        <w:t>ABIES_SIB_SEM_</w:t>
      </w:r>
      <w:r w:rsidRPr="002A3CBA">
        <w:rPr>
          <w:strike/>
          <w:highlight w:val="lightGray"/>
        </w:rPr>
        <w:t>1234</w:t>
      </w:r>
      <w:r w:rsidRPr="002A3CBA">
        <w:t xml:space="preserve"> </w:t>
      </w:r>
      <w:r w:rsidRPr="002A3CBA">
        <w:rPr>
          <w:highlight w:val="lightGray"/>
          <w:u w:val="single"/>
        </w:rPr>
        <w:t>1AC2TG</w:t>
      </w:r>
      <w:r w:rsidRPr="002A3CBA">
        <w:t>”</w:t>
      </w:r>
    </w:p>
    <w:p w:rsidR="0047050D" w:rsidRPr="002A3CBA" w:rsidRDefault="0047050D" w:rsidP="008A06F6">
      <w:pPr>
        <w:rPr>
          <w:rFonts w:eastAsiaTheme="minorEastAsia"/>
        </w:rPr>
      </w:pPr>
    </w:p>
    <w:p w:rsidR="008A06F6" w:rsidRPr="002A3CBA" w:rsidRDefault="008A06F6" w:rsidP="008A06F6">
      <w:pPr>
        <w:rPr>
          <w:rFonts w:eastAsiaTheme="minorEastAsia"/>
        </w:rPr>
      </w:pPr>
    </w:p>
    <w:p w:rsidR="0047050D" w:rsidRPr="002A3CBA" w:rsidRDefault="008A06F6" w:rsidP="008A06F6">
      <w:r w:rsidRPr="002A3CBA">
        <w:t>9.</w:t>
      </w:r>
      <w:r w:rsidRPr="002A3CBA">
        <w:tab/>
        <w:t>Il sera rendu compte</w:t>
      </w:r>
      <w:r w:rsidR="00502918" w:rsidRPr="002A3CBA">
        <w:t xml:space="preserve"> au CAJ</w:t>
      </w:r>
      <w:r w:rsidRPr="002A3CBA">
        <w:t>, dans le document CAJ/79/2 “Rapport sur les faits nouveaux intervenus au sein du Comité technique”, des faits nouveaux intervenus à la cinquante</w:t>
      </w:r>
      <w:r w:rsidR="00502918" w:rsidRPr="002A3CBA">
        <w:t>-</w:t>
      </w:r>
      <w:r w:rsidRPr="002A3CBA">
        <w:t>huit</w:t>
      </w:r>
      <w:r w:rsidR="00502918" w:rsidRPr="002A3CBA">
        <w:t>ième session</w:t>
      </w:r>
      <w:r w:rsidRPr="002A3CBA">
        <w:t xml:space="preserve"> du</w:t>
      </w:r>
      <w:r w:rsidR="00502918" w:rsidRPr="002A3CBA">
        <w:t> TC</w:t>
      </w:r>
      <w:r w:rsidRPr="002A3CBA">
        <w:t xml:space="preserve"> en rapport avec les questions traitées dans le présent document.</w:t>
      </w:r>
    </w:p>
    <w:p w:rsidR="00E44B19" w:rsidRPr="002A3CBA" w:rsidRDefault="00E44B19" w:rsidP="008A06F6">
      <w:pPr>
        <w:rPr>
          <w:rFonts w:eastAsiaTheme="minorEastAsia"/>
          <w:highlight w:val="cyan"/>
        </w:rPr>
      </w:pPr>
    </w:p>
    <w:p w:rsidR="00502918" w:rsidRPr="002A3CBA" w:rsidRDefault="00EF0608" w:rsidP="00EF0608">
      <w:pPr>
        <w:pStyle w:val="Heading2"/>
      </w:pPr>
      <w:bookmarkStart w:id="16" w:name="_Toc117157021"/>
      <w:r w:rsidRPr="002A3CBA">
        <w:t>Faits nouveaux concernant les codes UPOV</w:t>
      </w:r>
      <w:bookmarkEnd w:id="16"/>
    </w:p>
    <w:p w:rsidR="00EF0608" w:rsidRPr="002A3CBA" w:rsidRDefault="00EF0608" w:rsidP="008A06F6">
      <w:pPr>
        <w:rPr>
          <w:rFonts w:eastAsiaTheme="minorEastAsia"/>
          <w:highlight w:val="cyan"/>
        </w:rPr>
      </w:pPr>
    </w:p>
    <w:p w:rsidR="00D15C69" w:rsidRPr="002A3CBA" w:rsidRDefault="008A06F6" w:rsidP="008A06F6">
      <w:pPr>
        <w:rPr>
          <w:rFonts w:eastAsiaTheme="minorEastAsia"/>
        </w:rPr>
      </w:pPr>
      <w:r w:rsidRPr="002A3CBA">
        <w:t>10.</w:t>
      </w:r>
      <w:r w:rsidRPr="002A3CBA">
        <w:tab/>
      </w:r>
      <w:r w:rsidR="00502918" w:rsidRPr="002A3CBA">
        <w:t>En 2021</w:t>
      </w:r>
      <w:r w:rsidRPr="002A3CBA">
        <w:t>, 131 nouve</w:t>
      </w:r>
      <w:bookmarkStart w:id="17" w:name="_GoBack"/>
      <w:bookmarkEnd w:id="17"/>
      <w:r w:rsidRPr="002A3CBA">
        <w:t>aux codes UPOV ont été cré</w:t>
      </w:r>
      <w:r w:rsidR="002A3CBA" w:rsidRPr="002A3CBA">
        <w:t>és.  Le</w:t>
      </w:r>
      <w:r w:rsidRPr="002A3CBA">
        <w:t xml:space="preserve"> nombre total de codes UPOV figurant dans la base de données GENIE était </w:t>
      </w:r>
      <w:r w:rsidR="00502918" w:rsidRPr="002A3CBA">
        <w:t>de 9342</w:t>
      </w:r>
      <w:r w:rsidRPr="002A3CBA">
        <w:t xml:space="preserve"> au 3</w:t>
      </w:r>
      <w:r w:rsidR="00502918" w:rsidRPr="002A3CBA">
        <w:t>1 décembre 20</w:t>
      </w:r>
      <w:r w:rsidRPr="002A3CBA">
        <w:t>21.</w:t>
      </w:r>
    </w:p>
    <w:p w:rsidR="00D15C69" w:rsidRPr="002A3CBA" w:rsidRDefault="00D15C69" w:rsidP="008A06F6">
      <w:pPr>
        <w:rPr>
          <w:rFonts w:eastAsiaTheme="minorEastAsia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15C69" w:rsidRPr="002A3CBA" w:rsidTr="00D15C6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15C69" w:rsidRPr="002A3CBA" w:rsidRDefault="00D15C69" w:rsidP="00D15C69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</w:rPr>
              <w:t>Année</w:t>
            </w:r>
          </w:p>
        </w:tc>
      </w:tr>
      <w:tr w:rsidR="00D15C69" w:rsidRPr="002A3CBA" w:rsidTr="00D15C69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2011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2012</w:t>
            </w:r>
          </w:p>
        </w:tc>
        <w:tc>
          <w:tcPr>
            <w:tcW w:w="708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2013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2A3CBA">
              <w:rPr>
                <w:snapToGrid w:val="0"/>
                <w:sz w:val="18"/>
                <w:u w:val="single"/>
              </w:rPr>
              <w:t>2021</w:t>
            </w:r>
          </w:p>
        </w:tc>
      </w:tr>
      <w:tr w:rsidR="00D15C69" w:rsidRPr="002A3CBA" w:rsidTr="00D15C69">
        <w:trPr>
          <w:trHeight w:val="426"/>
        </w:trPr>
        <w:tc>
          <w:tcPr>
            <w:tcW w:w="1701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</w:rPr>
              <w:t>Nouveaux codes UPOV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577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440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242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71D08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243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71D08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177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D71D08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131</w:t>
            </w:r>
          </w:p>
        </w:tc>
      </w:tr>
      <w:tr w:rsidR="00D15C69" w:rsidRPr="002A3CBA" w:rsidTr="00D15C69">
        <w:trPr>
          <w:trHeight w:val="404"/>
        </w:trPr>
        <w:tc>
          <w:tcPr>
            <w:tcW w:w="1701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</w:rPr>
              <w:t>Modifications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35</w:t>
            </w:r>
          </w:p>
        </w:tc>
      </w:tr>
      <w:tr w:rsidR="00D15C69" w:rsidRPr="002A3CBA" w:rsidTr="00D15C69">
        <w:trPr>
          <w:trHeight w:val="425"/>
        </w:trPr>
        <w:tc>
          <w:tcPr>
            <w:tcW w:w="1701" w:type="dxa"/>
            <w:vAlign w:val="center"/>
          </w:tcPr>
          <w:p w:rsidR="00D15C69" w:rsidRPr="002A3CBA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snapToGrid w:val="0"/>
                <w:sz w:val="18"/>
              </w:rPr>
              <w:t>Nombre total de codes UPOV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6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851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061</w:t>
            </w:r>
          </w:p>
        </w:tc>
        <w:tc>
          <w:tcPr>
            <w:tcW w:w="708" w:type="dxa"/>
            <w:vAlign w:val="center"/>
          </w:tcPr>
          <w:p w:rsidR="00D15C69" w:rsidRPr="002A3CBA" w:rsidRDefault="00D15C69" w:rsidP="002A3CBA">
            <w:pPr>
              <w:keepNext/>
              <w:tabs>
                <w:tab w:val="left" w:pos="630"/>
                <w:tab w:val="left" w:pos="748"/>
              </w:tabs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tabs>
                <w:tab w:val="left" w:pos="630"/>
                <w:tab w:val="left" w:pos="748"/>
              </w:tabs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808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149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589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844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9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077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9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vAlign w:val="center"/>
          </w:tcPr>
          <w:p w:rsidR="00D15C69" w:rsidRPr="002A3CBA" w:rsidRDefault="00D15C69" w:rsidP="002A3CBA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9</w:t>
            </w:r>
            <w:r w:rsidR="002A3CBA" w:rsidRPr="002A3CBA"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 w:rsidRPr="002A3CBA">
              <w:rPr>
                <w:rFonts w:eastAsiaTheme="minorEastAsia" w:cs="Arial"/>
                <w:snapToGrid w:val="0"/>
                <w:sz w:val="18"/>
                <w:szCs w:val="18"/>
              </w:rPr>
              <w:t>342</w:t>
            </w:r>
          </w:p>
        </w:tc>
      </w:tr>
    </w:tbl>
    <w:p w:rsidR="00D15C69" w:rsidRPr="002A3CBA" w:rsidRDefault="00D15C69" w:rsidP="00D15C69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</w:rPr>
      </w:pPr>
      <w:r w:rsidRPr="002A3CBA">
        <w:rPr>
          <w:sz w:val="16"/>
        </w:rPr>
        <w:t xml:space="preserve">* </w:t>
      </w:r>
      <w:r w:rsidRPr="002A3CBA">
        <w:rPr>
          <w:sz w:val="16"/>
        </w:rPr>
        <w:tab/>
      </w:r>
      <w:r w:rsidR="00502918" w:rsidRPr="002A3CBA">
        <w:rPr>
          <w:sz w:val="16"/>
        </w:rPr>
        <w:t>y compris</w:t>
      </w:r>
      <w:r w:rsidRPr="002A3CBA">
        <w:rPr>
          <w:sz w:val="16"/>
        </w:rPr>
        <w:t xml:space="preserve"> les modifications des codes UPOV résultant de la modification de l</w:t>
      </w:r>
      <w:r w:rsidR="00502918" w:rsidRPr="002A3CBA">
        <w:rPr>
          <w:sz w:val="16"/>
        </w:rPr>
        <w:t>’</w:t>
      </w:r>
      <w:r w:rsidRPr="002A3CBA">
        <w:rPr>
          <w:sz w:val="16"/>
        </w:rPr>
        <w:t xml:space="preserve">“Introduction au système de codes UPOV” concernant les hybrides (voir le </w:t>
      </w:r>
      <w:r w:rsidR="00502918" w:rsidRPr="002A3CBA">
        <w:rPr>
          <w:sz w:val="16"/>
        </w:rPr>
        <w:t>document TC</w:t>
      </w:r>
      <w:r w:rsidRPr="002A3CBA">
        <w:rPr>
          <w:sz w:val="16"/>
        </w:rPr>
        <w:t>/49/6).</w:t>
      </w:r>
    </w:p>
    <w:p w:rsidR="00D15C69" w:rsidRPr="002A3CBA" w:rsidRDefault="00D15C69" w:rsidP="002A3CBA">
      <w:pPr>
        <w:jc w:val="right"/>
        <w:rPr>
          <w:rFonts w:eastAsiaTheme="minorEastAsia"/>
        </w:rPr>
      </w:pPr>
    </w:p>
    <w:p w:rsidR="00F41350" w:rsidRPr="002A3CBA" w:rsidRDefault="00F41350" w:rsidP="002A3CBA">
      <w:pPr>
        <w:pStyle w:val="DecisionParagraphs"/>
        <w:ind w:left="0"/>
        <w:jc w:val="right"/>
        <w:rPr>
          <w:i w:val="0"/>
          <w:snapToGrid w:val="0"/>
        </w:rPr>
      </w:pPr>
      <w:bookmarkStart w:id="18" w:name="_Toc38109189"/>
    </w:p>
    <w:bookmarkEnd w:id="18"/>
    <w:p w:rsidR="00F41350" w:rsidRPr="002A3CBA" w:rsidRDefault="00F41350" w:rsidP="002A3CBA">
      <w:pPr>
        <w:jc w:val="right"/>
        <w:rPr>
          <w:lang w:eastAsia="ja-JP"/>
        </w:rPr>
      </w:pPr>
    </w:p>
    <w:p w:rsidR="00F41350" w:rsidRPr="002A3CBA" w:rsidRDefault="00CD668B" w:rsidP="00727A8C">
      <w:pPr>
        <w:jc w:val="right"/>
        <w:rPr>
          <w:i/>
        </w:rPr>
      </w:pPr>
      <w:r w:rsidRPr="002A3CBA">
        <w:rPr>
          <w:snapToGrid w:val="0"/>
        </w:rPr>
        <w:t>[Fin du document]</w:t>
      </w:r>
    </w:p>
    <w:sectPr w:rsidR="00F41350" w:rsidRPr="002A3CBA" w:rsidSect="00727A8C">
      <w:headerReference w:type="default" r:id="rId11"/>
      <w:foot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9B" w:rsidRDefault="00C8259B" w:rsidP="006655D3">
      <w:r>
        <w:separator/>
      </w:r>
    </w:p>
    <w:p w:rsidR="00C8259B" w:rsidRDefault="00C8259B" w:rsidP="006655D3"/>
    <w:p w:rsidR="00C8259B" w:rsidRDefault="00C8259B" w:rsidP="006655D3"/>
  </w:endnote>
  <w:endnote w:type="continuationSeparator" w:id="0">
    <w:p w:rsidR="00C8259B" w:rsidRDefault="00C8259B" w:rsidP="006655D3">
      <w:r>
        <w:separator/>
      </w:r>
    </w:p>
    <w:p w:rsidR="00C8259B" w:rsidRPr="00294751" w:rsidRDefault="00C8259B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C8259B" w:rsidRPr="00294751" w:rsidRDefault="00C8259B" w:rsidP="006655D3"/>
    <w:p w:rsidR="00C8259B" w:rsidRPr="00294751" w:rsidRDefault="00C8259B" w:rsidP="006655D3"/>
  </w:endnote>
  <w:endnote w:type="continuationNotice" w:id="1">
    <w:p w:rsidR="00C8259B" w:rsidRPr="00294751" w:rsidRDefault="00C8259B" w:rsidP="006655D3">
      <w:r w:rsidRPr="00294751">
        <w:t>[Suite de la note page suivante]</w:t>
      </w:r>
    </w:p>
    <w:p w:rsidR="00C8259B" w:rsidRPr="00294751" w:rsidRDefault="00C8259B" w:rsidP="006655D3"/>
    <w:p w:rsidR="00C8259B" w:rsidRPr="00294751" w:rsidRDefault="00C8259B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algun Gothic Semilight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BA" w:rsidRDefault="002A3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9B" w:rsidRDefault="00C8259B" w:rsidP="006655D3">
      <w:r>
        <w:separator/>
      </w:r>
    </w:p>
  </w:footnote>
  <w:footnote w:type="continuationSeparator" w:id="0">
    <w:p w:rsidR="00C8259B" w:rsidRDefault="00C8259B" w:rsidP="006655D3">
      <w:r>
        <w:separator/>
      </w:r>
    </w:p>
  </w:footnote>
  <w:footnote w:type="continuationNotice" w:id="1">
    <w:p w:rsidR="00C8259B" w:rsidRPr="00AB530F" w:rsidRDefault="00C8259B" w:rsidP="00AB530F">
      <w:pPr>
        <w:pStyle w:val="Footer"/>
      </w:pPr>
    </w:p>
  </w:footnote>
  <w:footnote w:id="2">
    <w:p w:rsidR="00D15C69" w:rsidRPr="006C77BF" w:rsidRDefault="00D15C69" w:rsidP="002A3CBA">
      <w:pPr>
        <w:pStyle w:val="FootnoteText"/>
      </w:pPr>
      <w:r>
        <w:rPr>
          <w:rStyle w:val="FootnoteReference"/>
          <w:szCs w:val="16"/>
        </w:rPr>
        <w:footnoteRef/>
      </w:r>
      <w:r>
        <w:tab/>
        <w:t>Voir les documents C/[session]/INF/6 “</w:t>
      </w:r>
      <w:r>
        <w:rPr>
          <w:shd w:val="clear" w:color="auto" w:fill="FFFFFF"/>
        </w:rPr>
        <w:t>Liste des taxons protégés par les membres de l</w:t>
      </w:r>
      <w:r w:rsidR="00654C2E">
        <w:rPr>
          <w:shd w:val="clear" w:color="auto" w:fill="FFFFFF"/>
        </w:rPr>
        <w:t>’</w:t>
      </w:r>
      <w:r>
        <w:rPr>
          <w:shd w:val="clear" w:color="auto" w:fill="FFFFFF"/>
        </w:rPr>
        <w:t xml:space="preserve">Union”; </w:t>
      </w:r>
      <w:r w:rsidR="000E25DC">
        <w:rPr>
          <w:shd w:val="clear" w:color="auto" w:fill="FFFFFF"/>
        </w:rPr>
        <w:t xml:space="preserve"> </w:t>
      </w:r>
      <w:r>
        <w:t>C/[session]/INF/5 “</w:t>
      </w:r>
      <w:r>
        <w:rPr>
          <w:shd w:val="clear" w:color="auto" w:fill="FFFFFF"/>
        </w:rPr>
        <w:t>Coopération en matière d</w:t>
      </w:r>
      <w:r w:rsidR="00654C2E">
        <w:rPr>
          <w:shd w:val="clear" w:color="auto" w:fill="FFFFFF"/>
        </w:rPr>
        <w:t>’</w:t>
      </w:r>
      <w:r>
        <w:rPr>
          <w:shd w:val="clear" w:color="auto" w:fill="FFFFFF"/>
        </w:rPr>
        <w:t>examen”;</w:t>
      </w:r>
      <w:r w:rsidR="000E25DC">
        <w:rPr>
          <w:shd w:val="clear" w:color="auto" w:fill="FFFFFF"/>
        </w:rPr>
        <w:t xml:space="preserve">  </w:t>
      </w:r>
      <w:r w:rsidR="00654C2E">
        <w:rPr>
          <w:shd w:val="clear" w:color="auto" w:fill="FFFFFF"/>
        </w:rPr>
        <w:t>TC</w:t>
      </w:r>
      <w:r>
        <w:t>/[session]/INF/4 “</w:t>
      </w:r>
      <w:r>
        <w:rPr>
          <w:shd w:val="clear" w:color="auto" w:fill="FFFFFF"/>
        </w:rPr>
        <w:t>Liste des genres et espèces pour lesquels les services ont une expérience pratique en matière d</w:t>
      </w:r>
      <w:r w:rsidR="00654C2E">
        <w:rPr>
          <w:shd w:val="clear" w:color="auto" w:fill="FFFFFF"/>
        </w:rPr>
        <w:t>’</w:t>
      </w:r>
      <w:r>
        <w:rPr>
          <w:shd w:val="clear" w:color="auto" w:fill="FFFFFF"/>
        </w:rPr>
        <w:t>examen de la distinction, de l</w:t>
      </w:r>
      <w:r w:rsidR="00654C2E">
        <w:rPr>
          <w:shd w:val="clear" w:color="auto" w:fill="FFFFFF"/>
        </w:rPr>
        <w:t>’</w:t>
      </w:r>
      <w:r>
        <w:rPr>
          <w:shd w:val="clear" w:color="auto" w:fill="FFFFFF"/>
        </w:rPr>
        <w:t xml:space="preserve">homogénéité et de la stabilité”; </w:t>
      </w:r>
      <w:r w:rsidR="000E25DC">
        <w:rPr>
          <w:shd w:val="clear" w:color="auto" w:fill="FFFFFF"/>
        </w:rPr>
        <w:t xml:space="preserve"> </w:t>
      </w:r>
      <w:r>
        <w:rPr>
          <w:shd w:val="clear" w:color="auto" w:fill="FFFFFF"/>
        </w:rPr>
        <w:t>et</w:t>
      </w:r>
      <w:r w:rsidR="00654C2E">
        <w:rPr>
          <w:shd w:val="clear" w:color="auto" w:fill="FFFFFF"/>
        </w:rPr>
        <w:t> TC</w:t>
      </w:r>
      <w:r>
        <w:t>/[session]/2 “Principes directeurs d</w:t>
      </w:r>
      <w:r w:rsidR="00654C2E">
        <w:t>’</w:t>
      </w:r>
      <w:r>
        <w:t>examen”.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69" w:rsidRPr="00C5280D" w:rsidRDefault="00D15C69" w:rsidP="00EB048E">
    <w:pPr>
      <w:pStyle w:val="Header"/>
      <w:rPr>
        <w:rStyle w:val="PageNumber"/>
      </w:rPr>
    </w:pPr>
    <w:r>
      <w:rPr>
        <w:rStyle w:val="PageNumber"/>
      </w:rPr>
      <w:t>CAJ/79/INF/3</w:t>
    </w:r>
  </w:p>
  <w:p w:rsidR="00D15C69" w:rsidRPr="00C5280D" w:rsidRDefault="00D15C69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4383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D15C69" w:rsidRPr="00C5280D" w:rsidRDefault="00D15C6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69" w:rsidRPr="0004198B" w:rsidRDefault="00D15C69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0919"/>
    <w:multiLevelType w:val="hybridMultilevel"/>
    <w:tmpl w:val="A7EC8664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3DB"/>
    <w:multiLevelType w:val="multilevel"/>
    <w:tmpl w:val="8D3CD7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1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1588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0FF5"/>
    <w:rsid w:val="00085505"/>
    <w:rsid w:val="000C4E25"/>
    <w:rsid w:val="000C7021"/>
    <w:rsid w:val="000C7270"/>
    <w:rsid w:val="000D6BBC"/>
    <w:rsid w:val="000D7780"/>
    <w:rsid w:val="000E25DC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26FB"/>
    <w:rsid w:val="00172084"/>
    <w:rsid w:val="0017474A"/>
    <w:rsid w:val="001758C6"/>
    <w:rsid w:val="0017765A"/>
    <w:rsid w:val="00182B99"/>
    <w:rsid w:val="001C1525"/>
    <w:rsid w:val="001C2E2B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3CBA"/>
    <w:rsid w:val="002A6E50"/>
    <w:rsid w:val="002B4298"/>
    <w:rsid w:val="002B7A36"/>
    <w:rsid w:val="002C256A"/>
    <w:rsid w:val="002D5226"/>
    <w:rsid w:val="00305A7F"/>
    <w:rsid w:val="003152FE"/>
    <w:rsid w:val="003237BA"/>
    <w:rsid w:val="00327436"/>
    <w:rsid w:val="003434EF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3830"/>
    <w:rsid w:val="00444A88"/>
    <w:rsid w:val="0047050D"/>
    <w:rsid w:val="00474DA4"/>
    <w:rsid w:val="00476B4D"/>
    <w:rsid w:val="004805FA"/>
    <w:rsid w:val="004935D2"/>
    <w:rsid w:val="004B1215"/>
    <w:rsid w:val="004C3718"/>
    <w:rsid w:val="004D047D"/>
    <w:rsid w:val="004F1E9E"/>
    <w:rsid w:val="004F305A"/>
    <w:rsid w:val="00502918"/>
    <w:rsid w:val="00512164"/>
    <w:rsid w:val="00520297"/>
    <w:rsid w:val="00532395"/>
    <w:rsid w:val="005338F9"/>
    <w:rsid w:val="0054281C"/>
    <w:rsid w:val="00544581"/>
    <w:rsid w:val="0055268D"/>
    <w:rsid w:val="00574609"/>
    <w:rsid w:val="00575DE2"/>
    <w:rsid w:val="00576BE4"/>
    <w:rsid w:val="005771C5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54C2E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7A8C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2C33"/>
    <w:rsid w:val="00867AC1"/>
    <w:rsid w:val="008751DE"/>
    <w:rsid w:val="008861A4"/>
    <w:rsid w:val="0088775A"/>
    <w:rsid w:val="00890DF8"/>
    <w:rsid w:val="008A06F6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23259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00508"/>
    <w:rsid w:val="00A16BD6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0EB7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48DF"/>
    <w:rsid w:val="00B83E82"/>
    <w:rsid w:val="00B84BBD"/>
    <w:rsid w:val="00BA43FB"/>
    <w:rsid w:val="00BC127D"/>
    <w:rsid w:val="00BC1FE6"/>
    <w:rsid w:val="00C061B6"/>
    <w:rsid w:val="00C21C71"/>
    <w:rsid w:val="00C2446C"/>
    <w:rsid w:val="00C327B6"/>
    <w:rsid w:val="00C36AE5"/>
    <w:rsid w:val="00C41F17"/>
    <w:rsid w:val="00C527FA"/>
    <w:rsid w:val="00C5280D"/>
    <w:rsid w:val="00C53EB3"/>
    <w:rsid w:val="00C5791C"/>
    <w:rsid w:val="00C66290"/>
    <w:rsid w:val="00C72B7A"/>
    <w:rsid w:val="00C8259B"/>
    <w:rsid w:val="00C973F2"/>
    <w:rsid w:val="00CA2CE2"/>
    <w:rsid w:val="00CA304C"/>
    <w:rsid w:val="00CA774A"/>
    <w:rsid w:val="00CB4921"/>
    <w:rsid w:val="00CC11B0"/>
    <w:rsid w:val="00CC2841"/>
    <w:rsid w:val="00CD668B"/>
    <w:rsid w:val="00CF1330"/>
    <w:rsid w:val="00CF7E36"/>
    <w:rsid w:val="00D15C69"/>
    <w:rsid w:val="00D3708D"/>
    <w:rsid w:val="00D40426"/>
    <w:rsid w:val="00D57C96"/>
    <w:rsid w:val="00D57D18"/>
    <w:rsid w:val="00D70E65"/>
    <w:rsid w:val="00D71D0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1621"/>
    <w:rsid w:val="00E32F7E"/>
    <w:rsid w:val="00E44B19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0608"/>
    <w:rsid w:val="00EF2F89"/>
    <w:rsid w:val="00F03E98"/>
    <w:rsid w:val="00F1237A"/>
    <w:rsid w:val="00F22CBD"/>
    <w:rsid w:val="00F246DC"/>
    <w:rsid w:val="00F272F1"/>
    <w:rsid w:val="00F31412"/>
    <w:rsid w:val="00F41350"/>
    <w:rsid w:val="00F45372"/>
    <w:rsid w:val="00F560F7"/>
    <w:rsid w:val="00F6334D"/>
    <w:rsid w:val="00F63599"/>
    <w:rsid w:val="00F71781"/>
    <w:rsid w:val="00FA49AB"/>
    <w:rsid w:val="00FB7BAA"/>
    <w:rsid w:val="00FC5FD0"/>
    <w:rsid w:val="00FE39C7"/>
    <w:rsid w:val="00FE719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FDB1E14"/>
  <w15:docId w15:val="{0C7C68E8-9AAC-44C2-AE81-49710FD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4383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A3CBA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3434EF"/>
    <w:pPr>
      <w:tabs>
        <w:tab w:val="right" w:leader="dot" w:pos="9639"/>
      </w:tabs>
      <w:spacing w:after="120"/>
      <w:ind w:left="170" w:right="851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443830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C327B6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C327B6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2A3CBA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C327B6"/>
    <w:pPr>
      <w:ind w:left="720"/>
      <w:contextualSpacing/>
    </w:pPr>
  </w:style>
  <w:style w:type="table" w:styleId="TableGrid">
    <w:name w:val="Table Grid"/>
    <w:basedOn w:val="TableNormal"/>
    <w:rsid w:val="00C327B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C327B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F41350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F41350"/>
    <w:rPr>
      <w:rFonts w:ascii="Arial" w:hAnsi="Arial"/>
      <w:i/>
    </w:rPr>
  </w:style>
  <w:style w:type="character" w:customStyle="1" w:styleId="TitleofdocChar">
    <w:name w:val="Title_of_doc Char"/>
    <w:link w:val="Titleofdoc0"/>
    <w:rsid w:val="00F41350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41350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F41350"/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F41350"/>
  </w:style>
  <w:style w:type="character" w:customStyle="1" w:styleId="HeaderChar">
    <w:name w:val="Header Char"/>
    <w:basedOn w:val="DefaultParagraphFont"/>
    <w:link w:val="Header"/>
    <w:rsid w:val="00F41350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F41350"/>
    <w:rPr>
      <w:rFonts w:ascii="Arial" w:hAnsi="Arial"/>
      <w:i/>
    </w:rPr>
  </w:style>
  <w:style w:type="paragraph" w:styleId="Revision">
    <w:name w:val="Revision"/>
    <w:hidden/>
    <w:uiPriority w:val="99"/>
    <w:semiHidden/>
    <w:rsid w:val="00F41350"/>
    <w:rPr>
      <w:rFonts w:ascii="Arial" w:eastAsia="MS Mincho" w:hAnsi="Arial"/>
    </w:rPr>
  </w:style>
  <w:style w:type="character" w:styleId="CommentReference">
    <w:name w:val="annotation reference"/>
    <w:basedOn w:val="DefaultParagraphFont"/>
    <w:semiHidden/>
    <w:unhideWhenUsed/>
    <w:rsid w:val="00F413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350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semiHidden/>
    <w:rsid w:val="00F41350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350"/>
    <w:rPr>
      <w:rFonts w:ascii="Arial" w:eastAsia="MS Mincho" w:hAnsi="Arial"/>
      <w:b/>
      <w:bCs/>
    </w:rPr>
  </w:style>
  <w:style w:type="character" w:styleId="Emphasis">
    <w:name w:val="Emphasis"/>
    <w:basedOn w:val="DefaultParagraphFont"/>
    <w:qFormat/>
    <w:rsid w:val="00D15C69"/>
    <w:rPr>
      <w:i/>
      <w:iCs/>
    </w:rPr>
  </w:style>
  <w:style w:type="character" w:styleId="Strong">
    <w:name w:val="Strong"/>
    <w:basedOn w:val="DefaultParagraphFont"/>
    <w:qFormat/>
    <w:rsid w:val="00D15C6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15C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15C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E44B19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genie/resources/pdfs/upov_code_system_f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genie/index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4D5F-249F-466E-B654-20C5E904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938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</vt:lpstr>
    </vt:vector>
  </TitlesOfParts>
  <Company>UPOV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CAJ/79/INF/3</dc:title>
  <dc:subject/>
  <dc:creator>SANCHEZ VIZCAINO GOMEZ Rosa Maria</dc:creator>
  <cp:keywords/>
  <dc:description/>
  <cp:lastModifiedBy>NICOLO Laurianne</cp:lastModifiedBy>
  <cp:revision>9</cp:revision>
  <cp:lastPrinted>2016-11-22T15:41:00Z</cp:lastPrinted>
  <dcterms:created xsi:type="dcterms:W3CDTF">2022-10-14T12:11:00Z</dcterms:created>
  <dcterms:modified xsi:type="dcterms:W3CDTF">2022-10-20T15:13:00Z</dcterms:modified>
</cp:coreProperties>
</file>