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8D0F14" w:rsidRPr="00365DC1" w:rsidRDefault="008D0F14" w:rsidP="008D0F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C5280D" w:rsidTr="002A2525">
        <w:tc>
          <w:tcPr>
            <w:tcW w:w="6512" w:type="dxa"/>
          </w:tcPr>
          <w:p w:rsidR="008D0F14" w:rsidRPr="00AC2883" w:rsidRDefault="008D0F14" w:rsidP="002A2525">
            <w:pPr>
              <w:pStyle w:val="Sessiontc"/>
              <w:spacing w:line="240" w:lineRule="auto"/>
            </w:pPr>
            <w:r>
              <w:t>Comité administratif et juridique</w:t>
            </w:r>
          </w:p>
          <w:p w:rsidR="008D0F14" w:rsidRDefault="008D0F14" w:rsidP="002A2525">
            <w:pPr>
              <w:pStyle w:val="Sessiontcplacedate"/>
            </w:pPr>
            <w:r>
              <w:t>Soixante</w:t>
            </w:r>
            <w:r w:rsidR="00C53B1D">
              <w:noBreakHyphen/>
            </w:r>
            <w:r>
              <w:t>dix</w:t>
            </w:r>
            <w:r w:rsidR="00C53B1D">
              <w:noBreakHyphen/>
            </w:r>
            <w:r>
              <w:t>neuv</w:t>
            </w:r>
            <w:r w:rsidR="00322223">
              <w:t>ième session</w:t>
            </w:r>
          </w:p>
          <w:p w:rsidR="008D0F14" w:rsidRPr="00DC3802" w:rsidRDefault="008D0F14" w:rsidP="002A2525">
            <w:pPr>
              <w:pStyle w:val="Sessiontcplacedate"/>
              <w:rPr>
                <w:sz w:val="22"/>
              </w:rPr>
            </w:pPr>
            <w:r>
              <w:t>Genève, 2</w:t>
            </w:r>
            <w:r w:rsidR="0040439A">
              <w:t>6 octobre 20</w:t>
            </w:r>
            <w:r>
              <w:t>22</w:t>
            </w:r>
          </w:p>
        </w:tc>
        <w:tc>
          <w:tcPr>
            <w:tcW w:w="3127" w:type="dxa"/>
          </w:tcPr>
          <w:p w:rsidR="008D0F14" w:rsidRPr="003C7FBE" w:rsidRDefault="002A0B9E" w:rsidP="002A2525">
            <w:pPr>
              <w:pStyle w:val="Doccode"/>
            </w:pPr>
            <w:r>
              <w:t>CAJ/79/8</w:t>
            </w:r>
          </w:p>
          <w:p w:rsidR="008D0F14" w:rsidRPr="002E3165" w:rsidRDefault="008D0F14" w:rsidP="002A2525">
            <w:pPr>
              <w:pStyle w:val="Docoriginal"/>
            </w:pPr>
            <w:r>
              <w:t>Origina</w:t>
            </w:r>
            <w:r w:rsidRPr="002E3165">
              <w:t>l</w:t>
            </w:r>
            <w:r w:rsidR="00322223" w:rsidRPr="002E3165">
              <w:t> :</w:t>
            </w:r>
            <w:r w:rsidRPr="002E3165">
              <w:rPr>
                <w:b w:val="0"/>
              </w:rPr>
              <w:t xml:space="preserve"> anglais</w:t>
            </w:r>
          </w:p>
          <w:p w:rsidR="008D0F14" w:rsidRPr="007C1D92" w:rsidRDefault="008D0F14" w:rsidP="0040439A">
            <w:pPr>
              <w:pStyle w:val="Docoriginal"/>
            </w:pPr>
            <w:r w:rsidRPr="002E3165">
              <w:t>Date</w:t>
            </w:r>
            <w:r w:rsidR="00322223" w:rsidRPr="002E3165">
              <w:t> :</w:t>
            </w:r>
            <w:r w:rsidRPr="002E3165">
              <w:rPr>
                <w:b w:val="0"/>
              </w:rPr>
              <w:t xml:space="preserve"> 3 octobre 2022</w:t>
            </w:r>
          </w:p>
        </w:tc>
      </w:tr>
    </w:tbl>
    <w:p w:rsidR="0040439A" w:rsidRDefault="002A0B9E" w:rsidP="008D0F14">
      <w:pPr>
        <w:pStyle w:val="Titleofdoc0"/>
      </w:pPr>
      <w:r>
        <w:t>Rapport sur le Groupe de travail sur le produit de la récolte et l</w:t>
      </w:r>
      <w:r w:rsidR="00322223">
        <w:t>’</w:t>
      </w:r>
      <w:r>
        <w:t>utilisation non autorisée de matériel de reproduction ou de multiplication (WG</w:t>
      </w:r>
      <w:r w:rsidR="00C53B1D">
        <w:noBreakHyphen/>
      </w:r>
      <w:r>
        <w:t>HRV)</w:t>
      </w:r>
    </w:p>
    <w:p w:rsidR="008D0F14" w:rsidRPr="006A644A" w:rsidRDefault="002E1A43" w:rsidP="008D0F14">
      <w:pPr>
        <w:pStyle w:val="preparedby1"/>
        <w:jc w:val="left"/>
      </w:pPr>
      <w:r>
        <w:t>Document établi par le Bureau de l</w:t>
      </w:r>
      <w:r w:rsidR="00322223">
        <w:t>’</w:t>
      </w:r>
      <w:r>
        <w:t>Union</w:t>
      </w:r>
    </w:p>
    <w:p w:rsidR="008D0F14" w:rsidRPr="006A644A" w:rsidRDefault="008D0F14" w:rsidP="008D0F14">
      <w:pPr>
        <w:pStyle w:val="Disclaimer"/>
      </w:pPr>
      <w:r>
        <w:t>Avertissement</w:t>
      </w:r>
      <w:r w:rsidR="00322223">
        <w:t> :</w:t>
      </w:r>
      <w:r>
        <w:t xml:space="preserve"> Le présent document ne représente pas les principes ou les orientations de l</w:t>
      </w:r>
      <w:r w:rsidR="00322223">
        <w:t>’</w:t>
      </w:r>
      <w:r>
        <w:t>UPOV</w:t>
      </w:r>
    </w:p>
    <w:p w:rsidR="0040439A" w:rsidRDefault="002A0B9E" w:rsidP="002A0B9E">
      <w:pPr>
        <w:pStyle w:val="Heading1"/>
        <w:rPr>
          <w:snapToGrid w:val="0"/>
        </w:rPr>
      </w:pPr>
      <w:bookmarkStart w:id="0" w:name="_Toc116051170"/>
      <w:r>
        <w:rPr>
          <w:snapToGrid w:val="0"/>
        </w:rPr>
        <w:t>R</w:t>
      </w:r>
      <w:r w:rsidR="00C53B1D">
        <w:rPr>
          <w:snapToGrid w:val="0"/>
        </w:rPr>
        <w:t>ésumé</w:t>
      </w:r>
      <w:bookmarkEnd w:id="0"/>
    </w:p>
    <w:p w:rsidR="0004198B" w:rsidRPr="00B00A6A" w:rsidRDefault="0004198B">
      <w:pPr>
        <w:jc w:val="left"/>
        <w:rPr>
          <w:rFonts w:cs="Arial"/>
        </w:rPr>
      </w:pPr>
    </w:p>
    <w:p w:rsidR="0040439A" w:rsidRDefault="002A0B9E" w:rsidP="001C238A"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Le Comité administratif et juridique (CAJ) est invité à prendre note des faits nouveaux concernant les travaux du Groupe de travail sur le produit de la récolte et l</w:t>
      </w:r>
      <w:r w:rsidR="00322223">
        <w:t>’</w:t>
      </w:r>
      <w:r>
        <w:t>utilisation non autorisée de matériel de reproduction ou de multiplication (WG</w:t>
      </w:r>
      <w:r w:rsidR="00C53B1D">
        <w:noBreakHyphen/>
      </w:r>
      <w:r>
        <w:t>HRV), dont il est rendu compte dans le présent document.</w:t>
      </w:r>
    </w:p>
    <w:p w:rsidR="002A0B9E" w:rsidRPr="00B00A6A" w:rsidRDefault="002A0B9E" w:rsidP="002A0B9E">
      <w:pPr>
        <w:rPr>
          <w:rFonts w:cs="Arial"/>
          <w:highlight w:val="yellow"/>
        </w:rPr>
      </w:pPr>
    </w:p>
    <w:p w:rsidR="002A0B9E" w:rsidRPr="00B00A6A" w:rsidRDefault="002A0B9E" w:rsidP="002A0B9E">
      <w:pPr>
        <w:rPr>
          <w:rFonts w:cs="Arial"/>
        </w:rPr>
      </w:pPr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Le présent document est structuré comme suit</w:t>
      </w:r>
      <w:r w:rsidR="00322223">
        <w:t> :</w:t>
      </w:r>
    </w:p>
    <w:sdt>
      <w:sdtPr>
        <w:rPr>
          <w:rFonts w:cs="Arial"/>
          <w:caps w:val="0"/>
        </w:rPr>
        <w:id w:val="-4547885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0439A" w:rsidRDefault="000148C8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r w:rsidRPr="00B00A6A">
            <w:rPr>
              <w:rFonts w:cs="Arial"/>
            </w:rPr>
            <w:fldChar w:fldCharType="begin"/>
          </w:r>
          <w:r w:rsidRPr="00B00A6A">
            <w:rPr>
              <w:rFonts w:cs="Arial"/>
            </w:rPr>
            <w:instrText xml:space="preserve"> TOC \o "1-3" \h \z \u </w:instrText>
          </w:r>
          <w:r w:rsidRPr="00B00A6A">
            <w:rPr>
              <w:rFonts w:cs="Arial"/>
            </w:rPr>
            <w:fldChar w:fldCharType="separate"/>
          </w:r>
          <w:hyperlink w:anchor="_Toc116051170" w:history="1">
            <w:r w:rsidR="0040439A" w:rsidRPr="003674AD">
              <w:rPr>
                <w:rStyle w:val="Hyperlink"/>
                <w:noProof/>
                <w:snapToGrid w:val="0"/>
              </w:rPr>
              <w:t>RÉSUMÉ</w:t>
            </w:r>
            <w:r w:rsidR="0040439A">
              <w:rPr>
                <w:noProof/>
                <w:webHidden/>
              </w:rPr>
              <w:tab/>
            </w:r>
            <w:r w:rsidR="0040439A">
              <w:rPr>
                <w:noProof/>
                <w:webHidden/>
              </w:rPr>
              <w:fldChar w:fldCharType="begin"/>
            </w:r>
            <w:r w:rsidR="0040439A">
              <w:rPr>
                <w:noProof/>
                <w:webHidden/>
              </w:rPr>
              <w:instrText xml:space="preserve"> PAGEREF _Toc116051170 \h </w:instrText>
            </w:r>
            <w:r w:rsidR="0040439A">
              <w:rPr>
                <w:noProof/>
                <w:webHidden/>
              </w:rPr>
            </w:r>
            <w:r w:rsidR="0040439A">
              <w:rPr>
                <w:noProof/>
                <w:webHidden/>
              </w:rPr>
              <w:fldChar w:fldCharType="separate"/>
            </w:r>
            <w:r w:rsidR="000667A0">
              <w:rPr>
                <w:noProof/>
                <w:webHidden/>
              </w:rPr>
              <w:t>1</w:t>
            </w:r>
            <w:r w:rsidR="0040439A">
              <w:rPr>
                <w:noProof/>
                <w:webHidden/>
              </w:rPr>
              <w:fldChar w:fldCharType="end"/>
            </w:r>
          </w:hyperlink>
        </w:p>
        <w:p w:rsidR="0040439A" w:rsidRDefault="000667A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051171" w:history="1">
            <w:r w:rsidR="0040439A" w:rsidRPr="003674AD">
              <w:rPr>
                <w:rStyle w:val="Hyperlink"/>
                <w:noProof/>
              </w:rPr>
              <w:t>INFORMATIONS GÉNÉRALES</w:t>
            </w:r>
            <w:r w:rsidR="0040439A">
              <w:rPr>
                <w:noProof/>
                <w:webHidden/>
              </w:rPr>
              <w:tab/>
            </w:r>
            <w:r w:rsidR="0040439A">
              <w:rPr>
                <w:noProof/>
                <w:webHidden/>
              </w:rPr>
              <w:fldChar w:fldCharType="begin"/>
            </w:r>
            <w:r w:rsidR="0040439A">
              <w:rPr>
                <w:noProof/>
                <w:webHidden/>
              </w:rPr>
              <w:instrText xml:space="preserve"> PAGEREF _Toc116051171 \h </w:instrText>
            </w:r>
            <w:r w:rsidR="0040439A">
              <w:rPr>
                <w:noProof/>
                <w:webHidden/>
              </w:rPr>
            </w:r>
            <w:r w:rsidR="0040439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40439A">
              <w:rPr>
                <w:noProof/>
                <w:webHidden/>
              </w:rPr>
              <w:fldChar w:fldCharType="end"/>
            </w:r>
          </w:hyperlink>
        </w:p>
        <w:p w:rsidR="0040439A" w:rsidRDefault="000667A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051172" w:history="1">
            <w:r w:rsidR="0040439A" w:rsidRPr="003674AD">
              <w:rPr>
                <w:rStyle w:val="Hyperlink"/>
                <w:noProof/>
              </w:rPr>
              <w:t>Première réunion du WG</w:t>
            </w:r>
            <w:r w:rsidR="00C53B1D">
              <w:rPr>
                <w:rStyle w:val="Hyperlink"/>
                <w:noProof/>
              </w:rPr>
              <w:noBreakHyphen/>
            </w:r>
            <w:r w:rsidR="0040439A" w:rsidRPr="003674AD">
              <w:rPr>
                <w:rStyle w:val="Hyperlink"/>
                <w:noProof/>
              </w:rPr>
              <w:t>HRV (15 mars 2022)</w:t>
            </w:r>
            <w:r w:rsidR="0040439A">
              <w:rPr>
                <w:noProof/>
                <w:webHidden/>
              </w:rPr>
              <w:tab/>
            </w:r>
            <w:r w:rsidR="0040439A">
              <w:rPr>
                <w:noProof/>
                <w:webHidden/>
              </w:rPr>
              <w:fldChar w:fldCharType="begin"/>
            </w:r>
            <w:r w:rsidR="0040439A">
              <w:rPr>
                <w:noProof/>
                <w:webHidden/>
              </w:rPr>
              <w:instrText xml:space="preserve"> PAGEREF _Toc116051172 \h </w:instrText>
            </w:r>
            <w:r w:rsidR="0040439A">
              <w:rPr>
                <w:noProof/>
                <w:webHidden/>
              </w:rPr>
            </w:r>
            <w:r w:rsidR="0040439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0439A">
              <w:rPr>
                <w:noProof/>
                <w:webHidden/>
              </w:rPr>
              <w:fldChar w:fldCharType="end"/>
            </w:r>
          </w:hyperlink>
        </w:p>
        <w:p w:rsidR="0040439A" w:rsidRDefault="000667A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051173" w:history="1">
            <w:r w:rsidR="0040439A" w:rsidRPr="003674AD">
              <w:rPr>
                <w:rStyle w:val="Hyperlink"/>
                <w:noProof/>
              </w:rPr>
              <w:t>Deuxième réunion du WG</w:t>
            </w:r>
            <w:r w:rsidR="00C53B1D">
              <w:rPr>
                <w:rStyle w:val="Hyperlink"/>
                <w:noProof/>
              </w:rPr>
              <w:noBreakHyphen/>
            </w:r>
            <w:r w:rsidR="0040439A" w:rsidRPr="003674AD">
              <w:rPr>
                <w:rStyle w:val="Hyperlink"/>
                <w:noProof/>
              </w:rPr>
              <w:t>HRV (6 septembre 2022)</w:t>
            </w:r>
            <w:r w:rsidR="0040439A">
              <w:rPr>
                <w:noProof/>
                <w:webHidden/>
              </w:rPr>
              <w:tab/>
            </w:r>
            <w:r w:rsidR="0040439A">
              <w:rPr>
                <w:noProof/>
                <w:webHidden/>
              </w:rPr>
              <w:fldChar w:fldCharType="begin"/>
            </w:r>
            <w:r w:rsidR="0040439A">
              <w:rPr>
                <w:noProof/>
                <w:webHidden/>
              </w:rPr>
              <w:instrText xml:space="preserve"> PAGEREF _Toc116051173 \h </w:instrText>
            </w:r>
            <w:r w:rsidR="0040439A">
              <w:rPr>
                <w:noProof/>
                <w:webHidden/>
              </w:rPr>
            </w:r>
            <w:r w:rsidR="0040439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0439A">
              <w:rPr>
                <w:noProof/>
                <w:webHidden/>
              </w:rPr>
              <w:fldChar w:fldCharType="end"/>
            </w:r>
          </w:hyperlink>
        </w:p>
        <w:p w:rsidR="0040439A" w:rsidRDefault="000667A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051174" w:history="1">
            <w:r w:rsidR="0040439A" w:rsidRPr="003674AD">
              <w:rPr>
                <w:rStyle w:val="Hyperlink"/>
                <w:noProof/>
              </w:rPr>
              <w:t>Troisième r</w:t>
            </w:r>
            <w:bookmarkStart w:id="1" w:name="_GoBack"/>
            <w:bookmarkEnd w:id="1"/>
            <w:r w:rsidR="0040439A" w:rsidRPr="003674AD">
              <w:rPr>
                <w:rStyle w:val="Hyperlink"/>
                <w:noProof/>
              </w:rPr>
              <w:t>éunion du WG</w:t>
            </w:r>
            <w:r w:rsidR="00C53B1D">
              <w:rPr>
                <w:rStyle w:val="Hyperlink"/>
                <w:noProof/>
              </w:rPr>
              <w:noBreakHyphen/>
            </w:r>
            <w:r w:rsidR="0040439A" w:rsidRPr="003674AD">
              <w:rPr>
                <w:rStyle w:val="Hyperlink"/>
                <w:noProof/>
              </w:rPr>
              <w:t>HRV (14 mars 2023)</w:t>
            </w:r>
            <w:r w:rsidR="0040439A">
              <w:rPr>
                <w:noProof/>
                <w:webHidden/>
              </w:rPr>
              <w:tab/>
            </w:r>
            <w:r w:rsidR="0040439A">
              <w:rPr>
                <w:noProof/>
                <w:webHidden/>
              </w:rPr>
              <w:fldChar w:fldCharType="begin"/>
            </w:r>
            <w:r w:rsidR="0040439A">
              <w:rPr>
                <w:noProof/>
                <w:webHidden/>
              </w:rPr>
              <w:instrText xml:space="preserve"> PAGEREF _Toc116051174 \h </w:instrText>
            </w:r>
            <w:r w:rsidR="0040439A">
              <w:rPr>
                <w:noProof/>
                <w:webHidden/>
              </w:rPr>
            </w:r>
            <w:r w:rsidR="0040439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0439A">
              <w:rPr>
                <w:noProof/>
                <w:webHidden/>
              </w:rPr>
              <w:fldChar w:fldCharType="end"/>
            </w:r>
          </w:hyperlink>
        </w:p>
        <w:p w:rsidR="001C238A" w:rsidRPr="00B00A6A" w:rsidRDefault="000148C8" w:rsidP="002E3165">
          <w:pPr>
            <w:keepNext/>
            <w:tabs>
              <w:tab w:val="left" w:pos="990"/>
              <w:tab w:val="right" w:leader="dot" w:pos="9639"/>
            </w:tabs>
            <w:spacing w:before="120"/>
            <w:ind w:left="994" w:hanging="994"/>
            <w:jc w:val="left"/>
            <w:rPr>
              <w:rFonts w:cs="Arial"/>
              <w:caps/>
            </w:rPr>
          </w:pPr>
          <w:r w:rsidRPr="00B00A6A">
            <w:rPr>
              <w:rFonts w:cs="Arial"/>
              <w:caps/>
            </w:rPr>
            <w:fldChar w:fldCharType="end"/>
          </w:r>
          <w:r>
            <w:rPr>
              <w:caps/>
            </w:rPr>
            <w:t>ANNEXE</w:t>
          </w:r>
          <w:r>
            <w:rPr>
              <w:caps/>
            </w:rPr>
            <w:tab/>
            <w:t>MANDAT DU GROUPE DE TRAVAIL SUR LE PRODUIT DE LA RÉCOLTE ET L</w:t>
          </w:r>
          <w:r w:rsidR="00322223">
            <w:rPr>
              <w:caps/>
            </w:rPr>
            <w:t>’</w:t>
          </w:r>
          <w:r>
            <w:rPr>
              <w:caps/>
            </w:rPr>
            <w:t>UTILISATION NON AUTORISÉE DE MATÉRIEL DE REPRODUCTION OU DE MULTIPLICATION (WG</w:t>
          </w:r>
          <w:r w:rsidR="00C53B1D">
            <w:rPr>
              <w:caps/>
            </w:rPr>
            <w:noBreakHyphen/>
          </w:r>
          <w:r>
            <w:rPr>
              <w:caps/>
            </w:rPr>
            <w:t>HRV)</w:t>
          </w:r>
        </w:p>
      </w:sdtContent>
    </w:sdt>
    <w:p w:rsidR="000148C8" w:rsidRPr="00B00A6A" w:rsidRDefault="000148C8" w:rsidP="001C238A">
      <w:pPr>
        <w:rPr>
          <w:rFonts w:cs="Arial"/>
        </w:rPr>
      </w:pPr>
    </w:p>
    <w:p w:rsidR="00B00A6A" w:rsidRPr="00B00A6A" w:rsidRDefault="00B00A6A" w:rsidP="001C238A">
      <w:pPr>
        <w:rPr>
          <w:rFonts w:cs="Arial"/>
        </w:rPr>
      </w:pPr>
    </w:p>
    <w:p w:rsidR="00862669" w:rsidRPr="00B00A6A" w:rsidRDefault="00862669" w:rsidP="001C238A">
      <w:pPr>
        <w:rPr>
          <w:rFonts w:cs="Arial"/>
        </w:rPr>
      </w:pPr>
    </w:p>
    <w:p w:rsidR="003C6823" w:rsidRPr="00B00A6A" w:rsidRDefault="003C6823" w:rsidP="003C6823">
      <w:pPr>
        <w:pStyle w:val="Heading1"/>
        <w:rPr>
          <w:rFonts w:cs="Arial"/>
        </w:rPr>
      </w:pPr>
      <w:bookmarkStart w:id="2" w:name="_Toc116051171"/>
      <w:r>
        <w:t>I</w:t>
      </w:r>
      <w:r w:rsidR="00C53B1D">
        <w:t>nformations générales</w:t>
      </w:r>
      <w:bookmarkEnd w:id="2"/>
    </w:p>
    <w:p w:rsidR="003C6823" w:rsidRPr="00B00A6A" w:rsidRDefault="003C6823" w:rsidP="00D23823">
      <w:pPr>
        <w:rPr>
          <w:rFonts w:cs="Arial"/>
        </w:rPr>
      </w:pPr>
    </w:p>
    <w:p w:rsidR="00D221FB" w:rsidRPr="00B00A6A" w:rsidRDefault="00274DE4" w:rsidP="00D23823">
      <w:pPr>
        <w:rPr>
          <w:rFonts w:cs="Arial"/>
          <w:snapToGrid w:val="0"/>
        </w:rPr>
      </w:pPr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À sa soixante</w:t>
      </w:r>
      <w:r w:rsidR="00C53B1D">
        <w:noBreakHyphen/>
      </w:r>
      <w:r>
        <w:t>dix</w:t>
      </w:r>
      <w:r w:rsidR="00C53B1D">
        <w:noBreakHyphen/>
      </w:r>
      <w:r>
        <w:t>huit</w:t>
      </w:r>
      <w:r w:rsidR="00322223">
        <w:t>ième session</w:t>
      </w:r>
      <w:r>
        <w:t xml:space="preserve"> tenue par voie électronique le 27 octobre 2021,</w:t>
      </w:r>
      <w:r w:rsidR="0040439A">
        <w:t xml:space="preserve"> le CAJ</w:t>
      </w:r>
      <w:r>
        <w:t xml:space="preserve"> a noté que les décisions figurant dans le document CAJ/78/5 avaient été prises par</w:t>
      </w:r>
      <w:r w:rsidR="0040439A">
        <w:t xml:space="preserve"> le CAJ</w:t>
      </w:r>
      <w:r>
        <w:t xml:space="preserve"> par correspondance, le 21 septembre 2021, telles qu</w:t>
      </w:r>
      <w:r w:rsidR="00322223">
        <w:t>’</w:t>
      </w:r>
      <w:r>
        <w:t xml:space="preserve">elles figurent au paragraphe 31 du </w:t>
      </w:r>
      <w:r w:rsidR="0040439A">
        <w:t>document CA</w:t>
      </w:r>
      <w:r>
        <w:t>J/78/12 et sont reproduites ci</w:t>
      </w:r>
      <w:r w:rsidR="00C53B1D">
        <w:noBreakHyphen/>
      </w:r>
      <w:r>
        <w:t>desso</w:t>
      </w:r>
      <w:r w:rsidR="00C33394">
        <w:t>us.  Le</w:t>
      </w:r>
      <w:r w:rsidR="0040439A">
        <w:t> CAJ</w:t>
      </w:r>
    </w:p>
    <w:p w:rsidR="00D221FB" w:rsidRPr="00B00A6A" w:rsidRDefault="00D221FB" w:rsidP="00D23823">
      <w:pPr>
        <w:keepNext/>
        <w:keepLines/>
        <w:ind w:left="567" w:right="549"/>
        <w:rPr>
          <w:rFonts w:cs="Arial"/>
          <w:snapToGrid w:val="0"/>
        </w:rPr>
      </w:pPr>
    </w:p>
    <w:p w:rsidR="00D221FB" w:rsidRPr="002E3165" w:rsidRDefault="00D221FB" w:rsidP="00D23823">
      <w:pPr>
        <w:keepLines/>
        <w:ind w:right="9" w:firstLine="567"/>
        <w:rPr>
          <w:rFonts w:cs="Arial"/>
          <w:snapToGrid w:val="0"/>
          <w:spacing w:val="2"/>
        </w:rPr>
      </w:pPr>
      <w:r w:rsidRPr="002E3165">
        <w:rPr>
          <w:snapToGrid w:val="0"/>
          <w:spacing w:val="2"/>
        </w:rPr>
        <w:t>i)</w:t>
      </w:r>
      <w:r w:rsidRPr="002E3165">
        <w:rPr>
          <w:snapToGrid w:val="0"/>
          <w:spacing w:val="2"/>
        </w:rPr>
        <w:tab/>
        <w:t>a décidé d</w:t>
      </w:r>
      <w:r w:rsidR="00322223" w:rsidRPr="002E3165">
        <w:rPr>
          <w:snapToGrid w:val="0"/>
          <w:spacing w:val="2"/>
        </w:rPr>
        <w:t>’</w:t>
      </w:r>
      <w:r w:rsidRPr="002E3165">
        <w:rPr>
          <w:snapToGrid w:val="0"/>
          <w:spacing w:val="2"/>
        </w:rPr>
        <w:t xml:space="preserve">entreprendre la révision des “Notes explicatives sur les actes </w:t>
      </w:r>
      <w:r w:rsidR="00322223" w:rsidRPr="002E3165">
        <w:rPr>
          <w:snapToGrid w:val="0"/>
          <w:spacing w:val="2"/>
        </w:rPr>
        <w:t>à l’égard</w:t>
      </w:r>
      <w:r w:rsidRPr="002E3165">
        <w:rPr>
          <w:snapToGrid w:val="0"/>
          <w:spacing w:val="2"/>
        </w:rPr>
        <w:t xml:space="preserve"> du produit de la récolte selon l</w:t>
      </w:r>
      <w:r w:rsidR="00322223" w:rsidRPr="002E3165">
        <w:rPr>
          <w:snapToGrid w:val="0"/>
          <w:spacing w:val="2"/>
        </w:rPr>
        <w:t>’</w:t>
      </w:r>
      <w:r w:rsidRPr="002E3165">
        <w:rPr>
          <w:snapToGrid w:val="0"/>
          <w:spacing w:val="2"/>
        </w:rPr>
        <w:t xml:space="preserve">Acte de 1991 de la </w:t>
      </w:r>
      <w:r w:rsidR="00322223" w:rsidRPr="002E3165">
        <w:rPr>
          <w:snapToGrid w:val="0"/>
          <w:spacing w:val="2"/>
        </w:rPr>
        <w:t>Convention UPOV</w:t>
      </w:r>
      <w:r w:rsidRPr="002E3165">
        <w:rPr>
          <w:snapToGrid w:val="0"/>
          <w:spacing w:val="2"/>
        </w:rPr>
        <w:t>” (</w:t>
      </w:r>
      <w:r w:rsidR="0040439A" w:rsidRPr="002E3165">
        <w:rPr>
          <w:snapToGrid w:val="0"/>
          <w:spacing w:val="2"/>
        </w:rPr>
        <w:t>document UP</w:t>
      </w:r>
      <w:r w:rsidR="002E3165" w:rsidRPr="002E3165">
        <w:rPr>
          <w:snapToGrid w:val="0"/>
          <w:spacing w:val="2"/>
        </w:rPr>
        <w:t>OV/EXN/HRV/1), des “Notes </w:t>
      </w:r>
      <w:r w:rsidRPr="002E3165">
        <w:rPr>
          <w:snapToGrid w:val="0"/>
          <w:spacing w:val="2"/>
        </w:rPr>
        <w:t xml:space="preserve">explicatives sur le matériel de reproduction ou de multiplication selon la </w:t>
      </w:r>
      <w:r w:rsidR="00322223" w:rsidRPr="002E3165">
        <w:rPr>
          <w:snapToGrid w:val="0"/>
          <w:spacing w:val="2"/>
        </w:rPr>
        <w:t>Convention UPOV</w:t>
      </w:r>
      <w:r w:rsidRPr="002E3165">
        <w:rPr>
          <w:snapToGrid w:val="0"/>
          <w:spacing w:val="2"/>
        </w:rPr>
        <w:t>” (</w:t>
      </w:r>
      <w:r w:rsidR="002E3165" w:rsidRPr="002E3165">
        <w:rPr>
          <w:snapToGrid w:val="0"/>
          <w:spacing w:val="2"/>
        </w:rPr>
        <w:t>document </w:t>
      </w:r>
      <w:r w:rsidR="0040439A" w:rsidRPr="002E3165">
        <w:rPr>
          <w:snapToGrid w:val="0"/>
          <w:spacing w:val="2"/>
        </w:rPr>
        <w:t>UP</w:t>
      </w:r>
      <w:r w:rsidRPr="002E3165">
        <w:rPr>
          <w:snapToGrid w:val="0"/>
          <w:spacing w:val="2"/>
        </w:rPr>
        <w:t xml:space="preserve">OV/EXN/PPM/1) et des “Notes explicatives sur la protection provisoire selon la </w:t>
      </w:r>
      <w:r w:rsidR="00322223" w:rsidRPr="002E3165">
        <w:rPr>
          <w:snapToGrid w:val="0"/>
          <w:spacing w:val="2"/>
        </w:rPr>
        <w:t>Convention UPOV</w:t>
      </w:r>
      <w:r w:rsidRPr="002E3165">
        <w:rPr>
          <w:snapToGrid w:val="0"/>
          <w:spacing w:val="2"/>
        </w:rPr>
        <w:t>” (</w:t>
      </w:r>
      <w:r w:rsidR="0040439A" w:rsidRPr="002E3165">
        <w:rPr>
          <w:snapToGrid w:val="0"/>
          <w:spacing w:val="2"/>
        </w:rPr>
        <w:t>document UP</w:t>
      </w:r>
      <w:r w:rsidRPr="002E3165">
        <w:rPr>
          <w:snapToGrid w:val="0"/>
          <w:spacing w:val="2"/>
        </w:rPr>
        <w:t>OV/EXN/PRP/2),</w:t>
      </w:r>
    </w:p>
    <w:p w:rsidR="00D221FB" w:rsidRPr="00B00A6A" w:rsidRDefault="00D221FB" w:rsidP="00D23823">
      <w:pPr>
        <w:ind w:right="9"/>
        <w:rPr>
          <w:rFonts w:cs="Arial"/>
          <w:snapToGrid w:val="0"/>
        </w:rPr>
      </w:pPr>
    </w:p>
    <w:p w:rsidR="00D221FB" w:rsidRPr="00B00A6A" w:rsidRDefault="00D221FB" w:rsidP="00D23823">
      <w:pPr>
        <w:ind w:right="9" w:firstLine="567"/>
        <w:rPr>
          <w:rFonts w:cs="Arial"/>
          <w:snapToGrid w:val="0"/>
        </w:rPr>
      </w:pPr>
      <w:r>
        <w:rPr>
          <w:snapToGrid w:val="0"/>
        </w:rPr>
        <w:t>ii)</w:t>
      </w:r>
      <w:r>
        <w:rPr>
          <w:snapToGrid w:val="0"/>
        </w:rPr>
        <w:tab/>
        <w:t>a décidé de créer un groupe de travail sur le produit de la récolte et l</w:t>
      </w:r>
      <w:r w:rsidR="00322223">
        <w:rPr>
          <w:snapToGrid w:val="0"/>
        </w:rPr>
        <w:t>’</w:t>
      </w:r>
      <w:r>
        <w:rPr>
          <w:snapToGrid w:val="0"/>
        </w:rPr>
        <w:t>utilisation non autorisée de matériel de reproduction ou de multiplication (WG</w:t>
      </w:r>
      <w:r w:rsidR="00C53B1D">
        <w:rPr>
          <w:snapToGrid w:val="0"/>
        </w:rPr>
        <w:noBreakHyphen/>
      </w:r>
      <w:r>
        <w:rPr>
          <w:snapToGrid w:val="0"/>
        </w:rPr>
        <w:t>HRV),</w:t>
      </w:r>
    </w:p>
    <w:p w:rsidR="00D221FB" w:rsidRPr="00B00A6A" w:rsidRDefault="00D221FB" w:rsidP="00D23823">
      <w:pPr>
        <w:ind w:right="9"/>
        <w:rPr>
          <w:rFonts w:cs="Arial"/>
          <w:snapToGrid w:val="0"/>
        </w:rPr>
      </w:pPr>
    </w:p>
    <w:p w:rsidR="0040439A" w:rsidRDefault="00D221FB" w:rsidP="00D23823">
      <w:pPr>
        <w:ind w:right="9" w:firstLine="567"/>
        <w:rPr>
          <w:snapToGrid w:val="0"/>
        </w:rPr>
      </w:pPr>
      <w:r>
        <w:rPr>
          <w:snapToGrid w:val="0"/>
        </w:rPr>
        <w:t>iii)</w:t>
      </w:r>
      <w:r>
        <w:rPr>
          <w:snapToGrid w:val="0"/>
        </w:rPr>
        <w:tab/>
        <w:t>a approuvé le mandat du WG</w:t>
      </w:r>
      <w:r w:rsidR="00C53B1D">
        <w:rPr>
          <w:snapToGrid w:val="0"/>
        </w:rPr>
        <w:noBreakHyphen/>
      </w:r>
      <w:r>
        <w:rPr>
          <w:snapToGrid w:val="0"/>
        </w:rPr>
        <w:t>HRV figurant dans l</w:t>
      </w:r>
      <w:r w:rsidR="00322223">
        <w:rPr>
          <w:snapToGrid w:val="0"/>
        </w:rPr>
        <w:t>’</w:t>
      </w:r>
      <w:r>
        <w:rPr>
          <w:snapToGrid w:val="0"/>
        </w:rPr>
        <w:t xml:space="preserve">annexe du </w:t>
      </w:r>
      <w:r w:rsidR="0040439A">
        <w:rPr>
          <w:snapToGrid w:val="0"/>
        </w:rPr>
        <w:t>document CA</w:t>
      </w:r>
      <w:r>
        <w:rPr>
          <w:snapToGrid w:val="0"/>
        </w:rPr>
        <w:t>J/78/12,</w:t>
      </w:r>
    </w:p>
    <w:p w:rsidR="00D221FB" w:rsidRPr="00B00A6A" w:rsidRDefault="00D221FB" w:rsidP="00D23823">
      <w:pPr>
        <w:ind w:right="9"/>
        <w:rPr>
          <w:rFonts w:cs="Arial"/>
          <w:snapToGrid w:val="0"/>
        </w:rPr>
      </w:pPr>
    </w:p>
    <w:p w:rsidR="00D221FB" w:rsidRPr="00B00A6A" w:rsidRDefault="00D221FB" w:rsidP="00D23823">
      <w:pPr>
        <w:ind w:right="9" w:firstLine="567"/>
        <w:rPr>
          <w:rFonts w:cs="Arial"/>
          <w:snapToGrid w:val="0"/>
        </w:rPr>
      </w:pPr>
      <w:r>
        <w:rPr>
          <w:snapToGrid w:val="0"/>
        </w:rPr>
        <w:t>iv)</w:t>
      </w:r>
      <w:r>
        <w:rPr>
          <w:snapToGrid w:val="0"/>
        </w:rPr>
        <w:tab/>
        <w:t>a demandé au Bureau de l</w:t>
      </w:r>
      <w:r w:rsidR="00322223">
        <w:rPr>
          <w:snapToGrid w:val="0"/>
        </w:rPr>
        <w:t>’</w:t>
      </w:r>
      <w:r>
        <w:rPr>
          <w:snapToGrid w:val="0"/>
        </w:rPr>
        <w:t>Union de publier une circulaire afin d</w:t>
      </w:r>
      <w:r w:rsidR="00322223">
        <w:rPr>
          <w:snapToGrid w:val="0"/>
        </w:rPr>
        <w:t>’</w:t>
      </w:r>
      <w:r>
        <w:rPr>
          <w:snapToGrid w:val="0"/>
        </w:rPr>
        <w:t>inviter les membres de l</w:t>
      </w:r>
      <w:r w:rsidR="00322223">
        <w:rPr>
          <w:snapToGrid w:val="0"/>
        </w:rPr>
        <w:t>’</w:t>
      </w:r>
      <w:r>
        <w:rPr>
          <w:snapToGrid w:val="0"/>
        </w:rPr>
        <w:t>Union et les observateurs auprès</w:t>
      </w:r>
      <w:r w:rsidR="0040439A">
        <w:rPr>
          <w:snapToGrid w:val="0"/>
        </w:rPr>
        <w:t xml:space="preserve"> du CAJ</w:t>
      </w:r>
      <w:r>
        <w:rPr>
          <w:snapToGrid w:val="0"/>
        </w:rPr>
        <w:t xml:space="preserve"> à faire part de leur volonté d</w:t>
      </w:r>
      <w:r w:rsidR="00322223">
        <w:rPr>
          <w:snapToGrid w:val="0"/>
        </w:rPr>
        <w:t>’</w:t>
      </w:r>
      <w:r>
        <w:rPr>
          <w:snapToGrid w:val="0"/>
        </w:rPr>
        <w:t>être membre du WG</w:t>
      </w:r>
      <w:r w:rsidR="00C53B1D">
        <w:rPr>
          <w:snapToGrid w:val="0"/>
        </w:rPr>
        <w:noBreakHyphen/>
      </w:r>
      <w:r>
        <w:rPr>
          <w:snapToGrid w:val="0"/>
        </w:rPr>
        <w:t>HRV, et</w:t>
      </w:r>
    </w:p>
    <w:p w:rsidR="00D221FB" w:rsidRPr="00B00A6A" w:rsidRDefault="00D221FB" w:rsidP="00D23823">
      <w:pPr>
        <w:ind w:right="9"/>
        <w:rPr>
          <w:rFonts w:cs="Arial"/>
          <w:snapToGrid w:val="0"/>
        </w:rPr>
      </w:pPr>
    </w:p>
    <w:p w:rsidR="00D221FB" w:rsidRPr="00B00A6A" w:rsidRDefault="00D221FB" w:rsidP="00D23823">
      <w:pPr>
        <w:ind w:right="9" w:firstLine="567"/>
        <w:rPr>
          <w:rFonts w:cs="Arial"/>
          <w:snapToGrid w:val="0"/>
        </w:rPr>
      </w:pPr>
      <w:r>
        <w:rPr>
          <w:snapToGrid w:val="0"/>
        </w:rPr>
        <w:t>v)</w:t>
      </w:r>
      <w:r>
        <w:rPr>
          <w:snapToGrid w:val="0"/>
        </w:rPr>
        <w:tab/>
        <w:t>a noté que, à sa soixante</w:t>
      </w:r>
      <w:r w:rsidR="00C53B1D">
        <w:rPr>
          <w:snapToGrid w:val="0"/>
        </w:rPr>
        <w:noBreakHyphen/>
      </w:r>
      <w:r>
        <w:rPr>
          <w:snapToGrid w:val="0"/>
        </w:rPr>
        <w:t>dix</w:t>
      </w:r>
      <w:r w:rsidR="00C53B1D">
        <w:rPr>
          <w:snapToGrid w:val="0"/>
        </w:rPr>
        <w:noBreakHyphen/>
      </w:r>
      <w:r>
        <w:rPr>
          <w:snapToGrid w:val="0"/>
        </w:rPr>
        <w:t>huit</w:t>
      </w:r>
      <w:r w:rsidR="00322223">
        <w:rPr>
          <w:snapToGrid w:val="0"/>
        </w:rPr>
        <w:t>ième session</w:t>
      </w:r>
      <w:r>
        <w:rPr>
          <w:snapToGrid w:val="0"/>
        </w:rPr>
        <w:t>,</w:t>
      </w:r>
      <w:r w:rsidR="0040439A">
        <w:rPr>
          <w:snapToGrid w:val="0"/>
        </w:rPr>
        <w:t xml:space="preserve"> le CAJ</w:t>
      </w:r>
      <w:r>
        <w:rPr>
          <w:snapToGrid w:val="0"/>
        </w:rPr>
        <w:t xml:space="preserve"> recevrait un compte rendu des réponses à la circulaire avec les manifestations d</w:t>
      </w:r>
      <w:r w:rsidR="00322223">
        <w:rPr>
          <w:snapToGrid w:val="0"/>
        </w:rPr>
        <w:t>’</w:t>
      </w:r>
      <w:r>
        <w:rPr>
          <w:snapToGrid w:val="0"/>
        </w:rPr>
        <w:t>intérêt concernant une participation au WG</w:t>
      </w:r>
      <w:r w:rsidR="00C53B1D">
        <w:rPr>
          <w:snapToGrid w:val="0"/>
        </w:rPr>
        <w:noBreakHyphen/>
      </w:r>
      <w:r>
        <w:rPr>
          <w:snapToGrid w:val="0"/>
        </w:rPr>
        <w:t>HRV, avec une demande d</w:t>
      </w:r>
      <w:r w:rsidR="00322223">
        <w:rPr>
          <w:snapToGrid w:val="0"/>
        </w:rPr>
        <w:t>’</w:t>
      </w:r>
      <w:r>
        <w:rPr>
          <w:snapToGrid w:val="0"/>
        </w:rPr>
        <w:t>approbation par</w:t>
      </w:r>
      <w:r w:rsidR="0040439A">
        <w:rPr>
          <w:snapToGrid w:val="0"/>
        </w:rPr>
        <w:t xml:space="preserve"> le CAJ</w:t>
      </w:r>
      <w:r>
        <w:rPr>
          <w:snapToGrid w:val="0"/>
        </w:rPr>
        <w:t xml:space="preserve"> de la composition et de la date de la première réunion du WG</w:t>
      </w:r>
      <w:r w:rsidR="00C53B1D">
        <w:rPr>
          <w:snapToGrid w:val="0"/>
        </w:rPr>
        <w:noBreakHyphen/>
      </w:r>
      <w:r>
        <w:rPr>
          <w:snapToGrid w:val="0"/>
        </w:rPr>
        <w:t>HRV.</w:t>
      </w:r>
    </w:p>
    <w:p w:rsidR="00D221FB" w:rsidRPr="00B00A6A" w:rsidRDefault="007546E6" w:rsidP="00D23823">
      <w:pPr>
        <w:spacing w:before="240"/>
        <w:ind w:right="14"/>
        <w:rPr>
          <w:rFonts w:cs="Arial"/>
          <w:snapToGrid w:val="0"/>
        </w:rPr>
      </w:pPr>
      <w:r w:rsidRPr="00B00A6A">
        <w:rPr>
          <w:rFonts w:cs="Arial"/>
        </w:rPr>
        <w:lastRenderedPageBreak/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Le CAJ a examiné le document CAJ/78/5 </w:t>
      </w:r>
      <w:proofErr w:type="spellStart"/>
      <w:r>
        <w:t>Add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</w:t>
      </w:r>
      <w:r>
        <w:rPr>
          <w:snapToGrid w:val="0"/>
        </w:rPr>
        <w:t>approuvé la composition suivante du WG</w:t>
      </w:r>
      <w:r w:rsidR="00C53B1D">
        <w:rPr>
          <w:snapToGrid w:val="0"/>
        </w:rPr>
        <w:noBreakHyphen/>
      </w:r>
      <w:r>
        <w:rPr>
          <w:snapToGrid w:val="0"/>
        </w:rPr>
        <w:t>HRV</w:t>
      </w:r>
      <w:r w:rsidR="00322223">
        <w:t> :</w:t>
      </w:r>
    </w:p>
    <w:p w:rsidR="00D221FB" w:rsidRPr="00B00A6A" w:rsidRDefault="00D221FB" w:rsidP="00D23823">
      <w:pPr>
        <w:ind w:right="9"/>
        <w:rPr>
          <w:rFonts w:cs="Arial"/>
          <w:snapToGrid w:val="0"/>
        </w:rPr>
      </w:pPr>
    </w:p>
    <w:p w:rsidR="00D221FB" w:rsidRDefault="007546E6" w:rsidP="00D23823">
      <w:pPr>
        <w:ind w:left="567" w:right="549"/>
        <w:rPr>
          <w:rFonts w:cs="Arial"/>
          <w:sz w:val="18"/>
          <w:highlight w:val="lightGray"/>
        </w:rPr>
      </w:pPr>
      <w:r>
        <w:rPr>
          <w:snapToGrid w:val="0"/>
          <w:sz w:val="18"/>
        </w:rPr>
        <w:t>“3.</w:t>
      </w:r>
      <w:r>
        <w:rPr>
          <w:snapToGrid w:val="0"/>
          <w:sz w:val="18"/>
        </w:rPr>
        <w:tab/>
        <w:t>En réponse à la circulaire E</w:t>
      </w:r>
      <w:r w:rsidR="00C53B1D">
        <w:rPr>
          <w:snapToGrid w:val="0"/>
          <w:sz w:val="18"/>
        </w:rPr>
        <w:noBreakHyphen/>
      </w:r>
      <w:r>
        <w:rPr>
          <w:snapToGrid w:val="0"/>
          <w:sz w:val="18"/>
        </w:rPr>
        <w:t>21/157 du 23 septembre 2021, les membres de l</w:t>
      </w:r>
      <w:r w:rsidR="00322223">
        <w:rPr>
          <w:snapToGrid w:val="0"/>
          <w:sz w:val="18"/>
        </w:rPr>
        <w:t>’</w:t>
      </w:r>
      <w:r>
        <w:rPr>
          <w:snapToGrid w:val="0"/>
          <w:sz w:val="18"/>
        </w:rPr>
        <w:t>Union et les observateurs auprès</w:t>
      </w:r>
      <w:r w:rsidR="0040439A">
        <w:rPr>
          <w:snapToGrid w:val="0"/>
          <w:sz w:val="18"/>
        </w:rPr>
        <w:t xml:space="preserve"> du CAJ</w:t>
      </w:r>
      <w:r>
        <w:rPr>
          <w:snapToGrid w:val="0"/>
          <w:sz w:val="18"/>
        </w:rPr>
        <w:t xml:space="preserve"> ci</w:t>
      </w:r>
      <w:r w:rsidR="00C53B1D">
        <w:rPr>
          <w:snapToGrid w:val="0"/>
          <w:sz w:val="18"/>
        </w:rPr>
        <w:noBreakHyphen/>
      </w:r>
      <w:r>
        <w:rPr>
          <w:snapToGrid w:val="0"/>
          <w:sz w:val="18"/>
        </w:rPr>
        <w:t>après ont fait part de leur souhait d</w:t>
      </w:r>
      <w:r w:rsidR="00322223">
        <w:rPr>
          <w:snapToGrid w:val="0"/>
          <w:sz w:val="18"/>
        </w:rPr>
        <w:t>’</w:t>
      </w:r>
      <w:r>
        <w:rPr>
          <w:snapToGrid w:val="0"/>
          <w:sz w:val="18"/>
        </w:rPr>
        <w:t>être membres du WG</w:t>
      </w:r>
      <w:r w:rsidR="00C53B1D">
        <w:rPr>
          <w:snapToGrid w:val="0"/>
          <w:sz w:val="18"/>
        </w:rPr>
        <w:noBreakHyphen/>
      </w:r>
      <w:r>
        <w:rPr>
          <w:snapToGrid w:val="0"/>
          <w:sz w:val="18"/>
        </w:rPr>
        <w:t>HRV</w:t>
      </w:r>
      <w:r w:rsidR="00322223">
        <w:rPr>
          <w:snapToGrid w:val="0"/>
          <w:sz w:val="18"/>
        </w:rPr>
        <w:t> :</w:t>
      </w:r>
      <w:r>
        <w:rPr>
          <w:snapToGrid w:val="0"/>
          <w:sz w:val="18"/>
        </w:rPr>
        <w:t xml:space="preserve"> Argentine, Australie, Brésil, Chili, Chine, Espagne, États</w:t>
      </w:r>
      <w:r w:rsidR="00C53B1D">
        <w:rPr>
          <w:snapToGrid w:val="0"/>
          <w:sz w:val="18"/>
        </w:rPr>
        <w:noBreakHyphen/>
      </w:r>
      <w:r>
        <w:rPr>
          <w:snapToGrid w:val="0"/>
          <w:sz w:val="18"/>
        </w:rPr>
        <w:t>Unis d</w:t>
      </w:r>
      <w:r w:rsidR="00322223">
        <w:rPr>
          <w:snapToGrid w:val="0"/>
          <w:sz w:val="18"/>
        </w:rPr>
        <w:t>’</w:t>
      </w:r>
      <w:r>
        <w:rPr>
          <w:snapToGrid w:val="0"/>
          <w:sz w:val="18"/>
        </w:rPr>
        <w:t>Amérique, France, Japon, Norvège, Nouvelle</w:t>
      </w:r>
      <w:r w:rsidR="00C53B1D">
        <w:rPr>
          <w:snapToGrid w:val="0"/>
          <w:sz w:val="18"/>
        </w:rPr>
        <w:noBreakHyphen/>
      </w:r>
      <w:r>
        <w:rPr>
          <w:snapToGrid w:val="0"/>
          <w:sz w:val="18"/>
        </w:rPr>
        <w:t>Zélande, Pays</w:t>
      </w:r>
      <w:r w:rsidR="00C53B1D">
        <w:rPr>
          <w:snapToGrid w:val="0"/>
          <w:sz w:val="18"/>
        </w:rPr>
        <w:noBreakHyphen/>
      </w:r>
      <w:r>
        <w:rPr>
          <w:snapToGrid w:val="0"/>
          <w:sz w:val="18"/>
        </w:rPr>
        <w:t>Bas, République de Corée, République tchèque, République</w:t>
      </w:r>
      <w:r w:rsidR="00C53B1D">
        <w:rPr>
          <w:snapToGrid w:val="0"/>
          <w:sz w:val="18"/>
        </w:rPr>
        <w:noBreakHyphen/>
      </w:r>
      <w:r>
        <w:rPr>
          <w:snapToGrid w:val="0"/>
          <w:sz w:val="18"/>
        </w:rPr>
        <w:t>Unie de Tanzanie, Royaume</w:t>
      </w:r>
      <w:r w:rsidR="00C53B1D">
        <w:rPr>
          <w:snapToGrid w:val="0"/>
          <w:sz w:val="18"/>
        </w:rPr>
        <w:noBreakHyphen/>
      </w:r>
      <w:r w:rsidR="00D23823">
        <w:rPr>
          <w:snapToGrid w:val="0"/>
          <w:sz w:val="18"/>
        </w:rPr>
        <w:t>Uni, Union </w:t>
      </w:r>
      <w:r>
        <w:rPr>
          <w:snapToGrid w:val="0"/>
          <w:sz w:val="18"/>
        </w:rPr>
        <w:t xml:space="preserve">européenne, </w:t>
      </w:r>
      <w:r w:rsidRPr="002E3165">
        <w:rPr>
          <w:i/>
          <w:snapToGrid w:val="0"/>
          <w:sz w:val="18"/>
        </w:rPr>
        <w:t xml:space="preserve">Association for Plant </w:t>
      </w:r>
      <w:proofErr w:type="spellStart"/>
      <w:r w:rsidRPr="002E3165">
        <w:rPr>
          <w:i/>
          <w:snapToGrid w:val="0"/>
          <w:sz w:val="18"/>
        </w:rPr>
        <w:t>Breeding</w:t>
      </w:r>
      <w:proofErr w:type="spellEnd"/>
      <w:r w:rsidRPr="002E3165">
        <w:rPr>
          <w:i/>
          <w:snapToGrid w:val="0"/>
          <w:sz w:val="18"/>
        </w:rPr>
        <w:t xml:space="preserve"> for the </w:t>
      </w:r>
      <w:proofErr w:type="spellStart"/>
      <w:r w:rsidRPr="002E3165">
        <w:rPr>
          <w:i/>
          <w:snapToGrid w:val="0"/>
          <w:sz w:val="18"/>
        </w:rPr>
        <w:t>Benefit</w:t>
      </w:r>
      <w:proofErr w:type="spellEnd"/>
      <w:r w:rsidRPr="002E3165">
        <w:rPr>
          <w:i/>
          <w:snapToGrid w:val="0"/>
          <w:sz w:val="18"/>
        </w:rPr>
        <w:t xml:space="preserve"> of Society</w:t>
      </w:r>
      <w:r w:rsidR="00D23823">
        <w:rPr>
          <w:snapToGrid w:val="0"/>
          <w:sz w:val="18"/>
        </w:rPr>
        <w:t xml:space="preserve"> (APBREBES), Association </w:t>
      </w:r>
      <w:r>
        <w:rPr>
          <w:snapToGrid w:val="0"/>
          <w:sz w:val="18"/>
        </w:rPr>
        <w:t xml:space="preserve">internationale des producteurs horticoles (AIPH), Communauté internationale des obtenteurs de plantes horticoles de reproduction asexuée (CIOPORA), </w:t>
      </w:r>
      <w:proofErr w:type="spellStart"/>
      <w:r>
        <w:rPr>
          <w:snapToGrid w:val="0"/>
          <w:sz w:val="18"/>
        </w:rPr>
        <w:t>C</w:t>
      </w:r>
      <w:r w:rsidRPr="002E3165">
        <w:rPr>
          <w:i/>
          <w:snapToGrid w:val="0"/>
          <w:sz w:val="18"/>
        </w:rPr>
        <w:t>ropLife</w:t>
      </w:r>
      <w:proofErr w:type="spellEnd"/>
      <w:r w:rsidRPr="002E3165">
        <w:rPr>
          <w:i/>
          <w:snapToGrid w:val="0"/>
          <w:sz w:val="18"/>
        </w:rPr>
        <w:t xml:space="preserve"> International</w:t>
      </w:r>
      <w:r>
        <w:rPr>
          <w:snapToGrid w:val="0"/>
          <w:sz w:val="18"/>
        </w:rPr>
        <w:t xml:space="preserve">, </w:t>
      </w:r>
      <w:proofErr w:type="spellStart"/>
      <w:r>
        <w:rPr>
          <w:snapToGrid w:val="0"/>
          <w:sz w:val="18"/>
        </w:rPr>
        <w:t>Euroseeds</w:t>
      </w:r>
      <w:proofErr w:type="spellEnd"/>
      <w:r>
        <w:rPr>
          <w:snapToGrid w:val="0"/>
          <w:sz w:val="18"/>
        </w:rPr>
        <w:t xml:space="preserve">, </w:t>
      </w:r>
      <w:r w:rsidRPr="002E3165">
        <w:rPr>
          <w:i/>
          <w:snapToGrid w:val="0"/>
          <w:sz w:val="18"/>
        </w:rPr>
        <w:t>Intern</w:t>
      </w:r>
      <w:r w:rsidR="00D23823">
        <w:rPr>
          <w:i/>
          <w:snapToGrid w:val="0"/>
          <w:sz w:val="18"/>
        </w:rPr>
        <w:t>ational </w:t>
      </w:r>
      <w:proofErr w:type="spellStart"/>
      <w:r w:rsidRPr="002E3165">
        <w:rPr>
          <w:i/>
          <w:snapToGrid w:val="0"/>
          <w:sz w:val="18"/>
        </w:rPr>
        <w:t>Seed</w:t>
      </w:r>
      <w:proofErr w:type="spellEnd"/>
      <w:r w:rsidRPr="002E3165">
        <w:rPr>
          <w:i/>
          <w:snapToGrid w:val="0"/>
          <w:sz w:val="18"/>
        </w:rPr>
        <w:t xml:space="preserve"> </w:t>
      </w:r>
      <w:proofErr w:type="spellStart"/>
      <w:r w:rsidRPr="002E3165">
        <w:rPr>
          <w:i/>
          <w:snapToGrid w:val="0"/>
          <w:sz w:val="18"/>
        </w:rPr>
        <w:t>Federation</w:t>
      </w:r>
      <w:proofErr w:type="spellEnd"/>
      <w:r>
        <w:rPr>
          <w:snapToGrid w:val="0"/>
          <w:sz w:val="18"/>
        </w:rPr>
        <w:t xml:space="preserve"> (ISF) et </w:t>
      </w:r>
      <w:proofErr w:type="spellStart"/>
      <w:r w:rsidRPr="002E3165">
        <w:rPr>
          <w:i/>
          <w:snapToGrid w:val="0"/>
          <w:sz w:val="18"/>
        </w:rPr>
        <w:t>Seed</w:t>
      </w:r>
      <w:proofErr w:type="spellEnd"/>
      <w:r w:rsidRPr="002E3165">
        <w:rPr>
          <w:i/>
          <w:snapToGrid w:val="0"/>
          <w:sz w:val="18"/>
        </w:rPr>
        <w:t xml:space="preserve"> Association of the </w:t>
      </w:r>
      <w:proofErr w:type="spellStart"/>
      <w:r w:rsidRPr="002E3165">
        <w:rPr>
          <w:i/>
          <w:snapToGrid w:val="0"/>
          <w:sz w:val="18"/>
        </w:rPr>
        <w:t>Americas</w:t>
      </w:r>
      <w:proofErr w:type="spellEnd"/>
      <w:r w:rsidRPr="002E3165">
        <w:rPr>
          <w:i/>
          <w:snapToGrid w:val="0"/>
          <w:sz w:val="18"/>
        </w:rPr>
        <w:t xml:space="preserve"> </w:t>
      </w:r>
      <w:r>
        <w:rPr>
          <w:snapToGrid w:val="0"/>
          <w:sz w:val="18"/>
        </w:rPr>
        <w:t>(SAA).</w:t>
      </w:r>
      <w:r w:rsidR="00245C32">
        <w:rPr>
          <w:snapToGrid w:val="0"/>
          <w:sz w:val="18"/>
        </w:rPr>
        <w:t>”</w:t>
      </w:r>
    </w:p>
    <w:p w:rsidR="00D23823" w:rsidRPr="00D23823" w:rsidRDefault="00D23823" w:rsidP="00D23823">
      <w:pPr>
        <w:ind w:left="567" w:right="549"/>
        <w:rPr>
          <w:rFonts w:cs="Arial"/>
          <w:highlight w:val="lightGray"/>
        </w:rPr>
      </w:pPr>
    </w:p>
    <w:p w:rsidR="007546E6" w:rsidRPr="00B00A6A" w:rsidRDefault="007546E6" w:rsidP="00D23823">
      <w:pPr>
        <w:ind w:right="9"/>
        <w:rPr>
          <w:rFonts w:cs="Arial"/>
          <w:snapToGrid w:val="0"/>
        </w:rPr>
      </w:pPr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Le CAJ</w:t>
      </w:r>
      <w:r>
        <w:rPr>
          <w:snapToGrid w:val="0"/>
        </w:rPr>
        <w:t xml:space="preserve"> a approuvé la date du 15 mars 2022 pour la première réunion du WG</w:t>
      </w:r>
      <w:r w:rsidR="00C53B1D">
        <w:rPr>
          <w:snapToGrid w:val="0"/>
        </w:rPr>
        <w:noBreakHyphen/>
      </w:r>
      <w:r>
        <w:rPr>
          <w:snapToGrid w:val="0"/>
        </w:rPr>
        <w:t xml:space="preserve">HRV, qui devait se tenir par voie électronique </w:t>
      </w:r>
      <w:r>
        <w:t xml:space="preserve">(voir les paragraphes 23 à 28 du </w:t>
      </w:r>
      <w:r w:rsidR="0040439A">
        <w:t>document CA</w:t>
      </w:r>
      <w:r>
        <w:t>J/78/13 “Compte rendu”).</w:t>
      </w:r>
    </w:p>
    <w:p w:rsidR="007546E6" w:rsidRPr="00B00A6A" w:rsidRDefault="007546E6" w:rsidP="00D23823">
      <w:pPr>
        <w:rPr>
          <w:rFonts w:cs="Arial"/>
        </w:rPr>
      </w:pPr>
    </w:p>
    <w:p w:rsidR="003C77AC" w:rsidRPr="00B00A6A" w:rsidRDefault="00C05E15" w:rsidP="00D23823">
      <w:pPr>
        <w:rPr>
          <w:rFonts w:cs="Arial"/>
        </w:rPr>
      </w:pPr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Outre les membres du WG</w:t>
      </w:r>
      <w:r w:rsidR="00C53B1D">
        <w:noBreakHyphen/>
      </w:r>
      <w:r>
        <w:t>HRV, les membres de l</w:t>
      </w:r>
      <w:r w:rsidR="00322223">
        <w:t>’</w:t>
      </w:r>
      <w:r>
        <w:t>Union suivants ont fait part de leur souhait de participer aux réunions du WG</w:t>
      </w:r>
      <w:r w:rsidR="00C53B1D">
        <w:noBreakHyphen/>
      </w:r>
      <w:r>
        <w:t>HRV</w:t>
      </w:r>
      <w:r w:rsidR="00322223">
        <w:t> :</w:t>
      </w:r>
      <w:r>
        <w:t xml:space="preserve"> Afrique du Sud, Canada, Kenya, Rouman</w:t>
      </w:r>
      <w:r w:rsidR="00C33394">
        <w:t>ie.  Co</w:t>
      </w:r>
      <w:r>
        <w:t>nformément au mandat du WG</w:t>
      </w:r>
      <w:r w:rsidR="00C53B1D">
        <w:noBreakHyphen/>
      </w:r>
      <w:r>
        <w:t>HRV, ces membres de l</w:t>
      </w:r>
      <w:r w:rsidR="00322223">
        <w:t>’</w:t>
      </w:r>
      <w:r>
        <w:t>Union ont également été invités à participer aux réunions du WG</w:t>
      </w:r>
      <w:r w:rsidR="00C53B1D">
        <w:noBreakHyphen/>
      </w:r>
      <w:r>
        <w:t>HRV.</w:t>
      </w:r>
    </w:p>
    <w:p w:rsidR="003737E9" w:rsidRPr="00D23823" w:rsidRDefault="003737E9" w:rsidP="00D23823">
      <w:pPr>
        <w:rPr>
          <w:rFonts w:cs="Arial"/>
          <w:sz w:val="16"/>
        </w:rPr>
      </w:pPr>
    </w:p>
    <w:p w:rsidR="00D23823" w:rsidRPr="00D23823" w:rsidRDefault="00D23823" w:rsidP="00D23823">
      <w:pPr>
        <w:rPr>
          <w:rFonts w:cs="Arial"/>
          <w:sz w:val="16"/>
        </w:rPr>
      </w:pPr>
    </w:p>
    <w:p w:rsidR="003C6823" w:rsidRPr="00D23823" w:rsidRDefault="003C6823" w:rsidP="00D23823">
      <w:pPr>
        <w:rPr>
          <w:rFonts w:cs="Arial"/>
          <w:sz w:val="16"/>
        </w:rPr>
      </w:pPr>
    </w:p>
    <w:p w:rsidR="00E47E71" w:rsidRPr="00B00A6A" w:rsidRDefault="00E47E71" w:rsidP="00D23823">
      <w:pPr>
        <w:pStyle w:val="Heading1"/>
        <w:rPr>
          <w:rFonts w:cs="Arial"/>
        </w:rPr>
      </w:pPr>
      <w:bookmarkStart w:id="3" w:name="_Toc116051172"/>
      <w:r>
        <w:t>Première réunion du WG</w:t>
      </w:r>
      <w:r w:rsidR="00C53B1D">
        <w:noBreakHyphen/>
      </w:r>
      <w:r>
        <w:t>HRV (15 mars 2022)</w:t>
      </w:r>
      <w:bookmarkEnd w:id="3"/>
    </w:p>
    <w:p w:rsidR="002A0B9E" w:rsidRPr="00B00A6A" w:rsidRDefault="002A0B9E" w:rsidP="00D23823">
      <w:pPr>
        <w:keepNext/>
        <w:rPr>
          <w:rFonts w:cs="Arial"/>
        </w:rPr>
      </w:pPr>
    </w:p>
    <w:p w:rsidR="00A34DE6" w:rsidRPr="00B00A6A" w:rsidRDefault="00A34DE6" w:rsidP="00D23823">
      <w:pPr>
        <w:keepLines/>
        <w:rPr>
          <w:rFonts w:cs="Arial"/>
        </w:rPr>
      </w:pPr>
      <w:r w:rsidRPr="00B00A6A">
        <w:rPr>
          <w:rFonts w:cs="Arial"/>
          <w:snapToGrid w:val="0"/>
        </w:rPr>
        <w:fldChar w:fldCharType="begin"/>
      </w:r>
      <w:r w:rsidRPr="00B00A6A">
        <w:rPr>
          <w:rFonts w:cs="Arial"/>
          <w:snapToGrid w:val="0"/>
        </w:rPr>
        <w:instrText xml:space="preserve"> AUTONUM  </w:instrText>
      </w:r>
      <w:r w:rsidRPr="00B00A6A">
        <w:rPr>
          <w:rFonts w:cs="Arial"/>
          <w:snapToGrid w:val="0"/>
        </w:rPr>
        <w:fldChar w:fldCharType="end"/>
      </w:r>
      <w:r>
        <w:rPr>
          <w:snapToGrid w:val="0"/>
        </w:rPr>
        <w:tab/>
      </w:r>
      <w:r>
        <w:t>À sa première réunion tenue par voie électronique le 15 mars 2022, le WG</w:t>
      </w:r>
      <w:r w:rsidR="00C53B1D">
        <w:noBreakHyphen/>
      </w:r>
      <w:r>
        <w:t>HRV a examiné les observations et les propositions reçues en réponse à la circulaire E</w:t>
      </w:r>
      <w:r w:rsidR="00C53B1D">
        <w:noBreakHyphen/>
      </w:r>
      <w:r>
        <w:t xml:space="preserve">21/228 du 18 novembre 2021 qui ont été présentées dans les </w:t>
      </w:r>
      <w:r w:rsidR="0040439A">
        <w:t>documents WG</w:t>
      </w:r>
      <w:r w:rsidR="00C53B1D">
        <w:noBreakHyphen/>
      </w:r>
      <w:r>
        <w:t>HRV/1/2, WG</w:t>
      </w:r>
      <w:r w:rsidR="00C53B1D">
        <w:noBreakHyphen/>
      </w:r>
      <w:r>
        <w:t xml:space="preserve">HRV/1/3 (propositions concernant le </w:t>
      </w:r>
      <w:r w:rsidR="0040439A">
        <w:t>document UP</w:t>
      </w:r>
      <w:r>
        <w:t>OV/EXN/PPM/1), WG</w:t>
      </w:r>
      <w:r w:rsidR="00C53B1D">
        <w:noBreakHyphen/>
      </w:r>
      <w:r>
        <w:t xml:space="preserve">HRV/1/4 (propositions concernant le </w:t>
      </w:r>
      <w:r w:rsidR="0040439A">
        <w:t>document UP</w:t>
      </w:r>
      <w:r>
        <w:t>OV/EXN/HRV/1) et WG</w:t>
      </w:r>
      <w:r w:rsidR="00C53B1D">
        <w:noBreakHyphen/>
      </w:r>
      <w:r>
        <w:t xml:space="preserve">HRV/1/5 (propositions concernant le </w:t>
      </w:r>
      <w:r w:rsidR="0040439A">
        <w:t>document UP</w:t>
      </w:r>
      <w:r>
        <w:t>OV/EXN/PRP/2).</w:t>
      </w:r>
    </w:p>
    <w:p w:rsidR="00130E0D" w:rsidRPr="00B00A6A" w:rsidRDefault="00130E0D" w:rsidP="00D23823">
      <w:pPr>
        <w:ind w:right="567"/>
        <w:rPr>
          <w:rFonts w:cs="Arial"/>
        </w:rPr>
      </w:pPr>
    </w:p>
    <w:p w:rsidR="0040439A" w:rsidRDefault="00D04D31" w:rsidP="00D23823"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Les documents et le compte rendu de la première réunion du WG</w:t>
      </w:r>
      <w:r w:rsidR="00C53B1D">
        <w:noBreakHyphen/>
      </w:r>
      <w:r>
        <w:t>HRV sont disponibles à l</w:t>
      </w:r>
      <w:r w:rsidR="00322223">
        <w:t>’</w:t>
      </w:r>
      <w:r>
        <w:t>adresse suivante</w:t>
      </w:r>
      <w:r w:rsidR="00322223">
        <w:t> :</w:t>
      </w:r>
      <w:r>
        <w:t xml:space="preserve"> </w:t>
      </w:r>
      <w:hyperlink r:id="rId9" w:history="1">
        <w:r>
          <w:rPr>
            <w:rStyle w:val="Hyperlink"/>
          </w:rPr>
          <w:t>https://www.upov.int/meetings/fr/details.jsp?meeting_id=67773</w:t>
        </w:r>
      </w:hyperlink>
      <w:r>
        <w:t>.</w:t>
      </w:r>
    </w:p>
    <w:p w:rsidR="00130E0D" w:rsidRPr="00D23823" w:rsidRDefault="00130E0D" w:rsidP="00D23823">
      <w:pPr>
        <w:ind w:right="567"/>
        <w:rPr>
          <w:rFonts w:cs="Arial"/>
          <w:sz w:val="16"/>
        </w:rPr>
      </w:pPr>
    </w:p>
    <w:p w:rsidR="00D23823" w:rsidRPr="00D23823" w:rsidRDefault="00D23823" w:rsidP="00D23823">
      <w:pPr>
        <w:ind w:right="567"/>
        <w:rPr>
          <w:rFonts w:cs="Arial"/>
          <w:sz w:val="16"/>
        </w:rPr>
      </w:pPr>
    </w:p>
    <w:p w:rsidR="007546E6" w:rsidRPr="00D23823" w:rsidRDefault="007546E6" w:rsidP="00D23823">
      <w:pPr>
        <w:ind w:right="567"/>
        <w:rPr>
          <w:rFonts w:cs="Arial"/>
          <w:sz w:val="16"/>
        </w:rPr>
      </w:pPr>
    </w:p>
    <w:p w:rsidR="00130E0D" w:rsidRPr="00B00A6A" w:rsidRDefault="00130E0D" w:rsidP="00D23823">
      <w:pPr>
        <w:pStyle w:val="Heading1"/>
        <w:rPr>
          <w:rFonts w:cs="Arial"/>
        </w:rPr>
      </w:pPr>
      <w:bookmarkStart w:id="4" w:name="_Toc116051173"/>
      <w:r>
        <w:t>Deuxième réunion du WG</w:t>
      </w:r>
      <w:r w:rsidR="00C53B1D">
        <w:noBreakHyphen/>
      </w:r>
      <w:r>
        <w:t>HRV (6 septembre 2022)</w:t>
      </w:r>
      <w:bookmarkEnd w:id="4"/>
    </w:p>
    <w:p w:rsidR="002A0B9E" w:rsidRPr="00B00A6A" w:rsidRDefault="002A0B9E" w:rsidP="00D23823">
      <w:pPr>
        <w:keepNext/>
        <w:rPr>
          <w:rFonts w:cs="Arial"/>
        </w:rPr>
      </w:pPr>
    </w:p>
    <w:p w:rsidR="00A34DE6" w:rsidRPr="00B00A6A" w:rsidRDefault="00A34DE6" w:rsidP="00D23823">
      <w:pPr>
        <w:rPr>
          <w:rFonts w:cs="Arial"/>
        </w:rPr>
      </w:pPr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À sa deuxième réunion tenue par voie électronique le 6 septembre 2022, le WG</w:t>
      </w:r>
      <w:r w:rsidR="00C53B1D">
        <w:noBreakHyphen/>
      </w:r>
      <w:r>
        <w:t>HRV a examiné le document WG</w:t>
      </w:r>
      <w:r w:rsidR="00C53B1D">
        <w:noBreakHyphen/>
      </w:r>
      <w:r>
        <w:t xml:space="preserve">HRV/2/2 “Informations concernant le matériel de reproduction ou de multiplication, les actes </w:t>
      </w:r>
      <w:r w:rsidR="00322223">
        <w:t>à l’égard</w:t>
      </w:r>
      <w:r>
        <w:t xml:space="preserve"> du produit de la récolte et la protection provisoire selon la </w:t>
      </w:r>
      <w:r w:rsidR="00322223">
        <w:t>Convention UPOV</w:t>
      </w:r>
      <w:r>
        <w:t>”.  L</w:t>
      </w:r>
      <w:r w:rsidR="00322223">
        <w:t>’</w:t>
      </w:r>
      <w:r>
        <w:t xml:space="preserve">annexe du </w:t>
      </w:r>
      <w:r w:rsidR="0040439A">
        <w:t>document WG</w:t>
      </w:r>
      <w:r w:rsidR="00C53B1D">
        <w:noBreakHyphen/>
      </w:r>
      <w:r>
        <w:t>HRV/2/2 contenait les résultats d</w:t>
      </w:r>
      <w:r w:rsidR="00322223">
        <w:t>’</w:t>
      </w:r>
      <w:r>
        <w:t>une recherche à partir des documents historiques par ordre chronologique du principe de cascade concernant les dispositions relatives au matériel de reproduction ou de multiplication, au produit de la récolte et à l</w:t>
      </w:r>
      <w:r w:rsidR="00322223">
        <w:t>’</w:t>
      </w:r>
      <w:r>
        <w:t>épuisement du droit d</w:t>
      </w:r>
      <w:r w:rsidR="00322223">
        <w:t>’</w:t>
      </w:r>
      <w:r>
        <w:t>obtenteur.</w:t>
      </w:r>
    </w:p>
    <w:p w:rsidR="00A34DE6" w:rsidRPr="00B00A6A" w:rsidRDefault="00A34DE6" w:rsidP="00D23823">
      <w:pPr>
        <w:rPr>
          <w:rFonts w:cs="Arial"/>
        </w:rPr>
      </w:pPr>
    </w:p>
    <w:p w:rsidR="00A34DE6" w:rsidRPr="00B00A6A" w:rsidRDefault="00A34DE6" w:rsidP="00D23823">
      <w:pPr>
        <w:rPr>
          <w:rFonts w:cs="Arial"/>
        </w:rPr>
      </w:pPr>
      <w:r>
        <w:t>6.</w:t>
      </w:r>
      <w:r>
        <w:tab/>
        <w:t>Le WG</w:t>
      </w:r>
      <w:r w:rsidR="00C53B1D">
        <w:noBreakHyphen/>
      </w:r>
      <w:r>
        <w:t>HRV a examiné les conclusions adoptées à sa première réunion, ainsi que les observations et les propositions reçues en réponse à la circulaire E</w:t>
      </w:r>
      <w:r w:rsidR="00C53B1D">
        <w:noBreakHyphen/>
      </w:r>
      <w:r>
        <w:t>22/058 du 1</w:t>
      </w:r>
      <w:r w:rsidR="0040439A">
        <w:t>2 avril</w:t>
      </w:r>
      <w:r>
        <w:t> 2022, présentées dans les documents WG</w:t>
      </w:r>
      <w:r w:rsidR="00C53B1D">
        <w:noBreakHyphen/>
      </w:r>
      <w:r>
        <w:t xml:space="preserve">HRV/2/3 (propositions concernant le </w:t>
      </w:r>
      <w:r w:rsidR="0040439A">
        <w:t>document UP</w:t>
      </w:r>
      <w:r>
        <w:t>OV/EXN/PPM/1), WG</w:t>
      </w:r>
      <w:r w:rsidR="00C53B1D">
        <w:noBreakHyphen/>
      </w:r>
      <w:r>
        <w:t xml:space="preserve">HRV/2/4 (propositions concernant le </w:t>
      </w:r>
      <w:r w:rsidR="0040439A">
        <w:t>document UP</w:t>
      </w:r>
      <w:r>
        <w:t>OV/EXN/HRV/1) et WG</w:t>
      </w:r>
      <w:r w:rsidR="00C53B1D">
        <w:noBreakHyphen/>
      </w:r>
      <w:r>
        <w:t xml:space="preserve">HRV/2/5 (propositions concernant le </w:t>
      </w:r>
      <w:r w:rsidR="0040439A">
        <w:t>document UP</w:t>
      </w:r>
      <w:r>
        <w:t>OV/EXN/PRP/2).</w:t>
      </w:r>
    </w:p>
    <w:p w:rsidR="00A34DE6" w:rsidRPr="00B00A6A" w:rsidRDefault="00A34DE6" w:rsidP="00D23823">
      <w:pPr>
        <w:rPr>
          <w:rFonts w:cs="Arial"/>
        </w:rPr>
      </w:pPr>
    </w:p>
    <w:p w:rsidR="00A2796A" w:rsidRPr="00B00A6A" w:rsidRDefault="00A2796A" w:rsidP="00D23823">
      <w:pPr>
        <w:rPr>
          <w:rStyle w:val="Hyperlink"/>
          <w:rFonts w:cs="Arial"/>
        </w:rPr>
      </w:pPr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Les documents de la deuxième réunion du WG</w:t>
      </w:r>
      <w:r w:rsidR="00C53B1D">
        <w:noBreakHyphen/>
      </w:r>
      <w:r>
        <w:t>HRV sont disponibles à l</w:t>
      </w:r>
      <w:r w:rsidR="00322223">
        <w:t>’</w:t>
      </w:r>
      <w:r>
        <w:t>adresse suivante</w:t>
      </w:r>
      <w:r w:rsidR="00322223">
        <w:t> :</w:t>
      </w:r>
      <w:r>
        <w:t xml:space="preserve"> </w:t>
      </w:r>
      <w:hyperlink r:id="rId10" w:history="1">
        <w:r>
          <w:rPr>
            <w:rStyle w:val="Hyperlink"/>
          </w:rPr>
          <w:t>https://www.upov.int/meetings/fr/details.jsp?meeting_id=70188</w:t>
        </w:r>
      </w:hyperlink>
      <w:r>
        <w:t>.</w:t>
      </w:r>
    </w:p>
    <w:p w:rsidR="00A2796A" w:rsidRPr="00B00A6A" w:rsidRDefault="00A2796A" w:rsidP="00D23823">
      <w:pPr>
        <w:rPr>
          <w:rFonts w:cs="Arial"/>
        </w:rPr>
      </w:pPr>
    </w:p>
    <w:p w:rsidR="00A34DE6" w:rsidRPr="00B00A6A" w:rsidRDefault="00A34DE6" w:rsidP="00D23823">
      <w:pPr>
        <w:rPr>
          <w:rFonts w:cs="Arial"/>
        </w:rPr>
      </w:pPr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Le compte rendu de la deuxième réunion du WG</w:t>
      </w:r>
      <w:r w:rsidR="00C53B1D">
        <w:noBreakHyphen/>
      </w:r>
      <w:r>
        <w:t>HRV sera disponible à l</w:t>
      </w:r>
      <w:r w:rsidR="00322223">
        <w:t>’</w:t>
      </w:r>
      <w:r>
        <w:t>adresse</w:t>
      </w:r>
      <w:r w:rsidR="00322223">
        <w:t> </w:t>
      </w:r>
      <w:hyperlink r:id="rId11" w:history="1">
        <w:r>
          <w:rPr>
            <w:rStyle w:val="Hyperlink"/>
          </w:rPr>
          <w:t>https://www.upov.int/meetings/fr/details.jsp?meeting_id=70188</w:t>
        </w:r>
      </w:hyperlink>
      <w:r>
        <w:t>.</w:t>
      </w:r>
    </w:p>
    <w:p w:rsidR="00A34DE6" w:rsidRPr="00D23823" w:rsidRDefault="00A34DE6" w:rsidP="00D23823">
      <w:pPr>
        <w:rPr>
          <w:rFonts w:cs="Arial"/>
          <w:sz w:val="16"/>
        </w:rPr>
      </w:pPr>
    </w:p>
    <w:p w:rsidR="00B00A6A" w:rsidRPr="00D23823" w:rsidRDefault="00B00A6A" w:rsidP="00D23823">
      <w:pPr>
        <w:rPr>
          <w:rFonts w:cs="Arial"/>
          <w:sz w:val="16"/>
        </w:rPr>
      </w:pPr>
    </w:p>
    <w:p w:rsidR="00D23823" w:rsidRPr="00D23823" w:rsidRDefault="00D23823" w:rsidP="00D23823">
      <w:pPr>
        <w:rPr>
          <w:rFonts w:cs="Arial"/>
          <w:sz w:val="16"/>
        </w:rPr>
      </w:pPr>
    </w:p>
    <w:p w:rsidR="00D04D31" w:rsidRPr="00B00A6A" w:rsidRDefault="00FF5A0E" w:rsidP="00D23823">
      <w:pPr>
        <w:pStyle w:val="Heading1"/>
        <w:rPr>
          <w:rFonts w:eastAsiaTheme="minorEastAsia"/>
        </w:rPr>
      </w:pPr>
      <w:bookmarkStart w:id="5" w:name="_Toc82174231"/>
      <w:bookmarkStart w:id="6" w:name="_Toc116051174"/>
      <w:r>
        <w:t>Troisième réunion du WG</w:t>
      </w:r>
      <w:r w:rsidR="00C53B1D">
        <w:noBreakHyphen/>
      </w:r>
      <w:r>
        <w:t>HRV (14 mars 2023)</w:t>
      </w:r>
      <w:bookmarkEnd w:id="5"/>
      <w:bookmarkEnd w:id="6"/>
    </w:p>
    <w:p w:rsidR="00D04D31" w:rsidRPr="00B00A6A" w:rsidRDefault="00D04D31" w:rsidP="00D23823">
      <w:pPr>
        <w:keepNext/>
        <w:rPr>
          <w:rFonts w:cs="Arial"/>
        </w:rPr>
      </w:pPr>
    </w:p>
    <w:p w:rsidR="0040439A" w:rsidRDefault="00D04D31" w:rsidP="00D23823"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La troisième réunion du WG</w:t>
      </w:r>
      <w:r w:rsidR="00C53B1D">
        <w:noBreakHyphen/>
      </w:r>
      <w:r>
        <w:t>HRV se tiendra par voie électronique le 14 mars 2023.</w:t>
      </w:r>
    </w:p>
    <w:p w:rsidR="00D04D31" w:rsidRPr="00B00A6A" w:rsidRDefault="00D04D31" w:rsidP="00D23823">
      <w:pPr>
        <w:rPr>
          <w:rFonts w:cs="Arial"/>
        </w:rPr>
      </w:pPr>
    </w:p>
    <w:p w:rsidR="00FF5A0E" w:rsidRPr="00B00A6A" w:rsidRDefault="00EE6A58" w:rsidP="00D23823">
      <w:pPr>
        <w:pStyle w:val="DecisionParagraphs"/>
        <w:rPr>
          <w:rFonts w:cs="Arial"/>
          <w:highlight w:val="yellow"/>
        </w:rPr>
      </w:pPr>
      <w:r w:rsidRPr="00B00A6A">
        <w:rPr>
          <w:rFonts w:cs="Arial"/>
        </w:rPr>
        <w:fldChar w:fldCharType="begin"/>
      </w:r>
      <w:r w:rsidRPr="00B00A6A">
        <w:rPr>
          <w:rFonts w:cs="Arial"/>
        </w:rPr>
        <w:instrText xml:space="preserve"> AUTONUM  </w:instrText>
      </w:r>
      <w:r w:rsidRPr="00B00A6A">
        <w:rPr>
          <w:rFonts w:cs="Arial"/>
        </w:rPr>
        <w:fldChar w:fldCharType="end"/>
      </w:r>
      <w:r>
        <w:tab/>
        <w:t>Le CAJ est invité à prendre note des faits nouveaux concernant les travaux du WG</w:t>
      </w:r>
      <w:r w:rsidR="00C53B1D">
        <w:noBreakHyphen/>
      </w:r>
      <w:r>
        <w:t>HRV dont il est rendu compte dans le présent document.</w:t>
      </w:r>
    </w:p>
    <w:p w:rsidR="00FF5A0E" w:rsidRPr="00B00A6A" w:rsidRDefault="00FF5A0E" w:rsidP="00FF5A0E">
      <w:pPr>
        <w:rPr>
          <w:sz w:val="16"/>
        </w:rPr>
      </w:pPr>
    </w:p>
    <w:p w:rsidR="00B00A6A" w:rsidRPr="00B00A6A" w:rsidRDefault="00B00A6A" w:rsidP="00FF5A0E">
      <w:pPr>
        <w:rPr>
          <w:sz w:val="16"/>
        </w:rPr>
      </w:pPr>
    </w:p>
    <w:p w:rsidR="001321CA" w:rsidRPr="0050731E" w:rsidRDefault="001321CA" w:rsidP="00B00A6A">
      <w:pPr>
        <w:jc w:val="right"/>
        <w:rPr>
          <w:spacing w:val="-2"/>
        </w:rPr>
      </w:pPr>
      <w:r>
        <w:t>[L</w:t>
      </w:r>
      <w:r w:rsidR="00322223">
        <w:t>’</w:t>
      </w:r>
      <w:r>
        <w:t>annexe suit]</w:t>
      </w:r>
    </w:p>
    <w:p w:rsidR="001321CA" w:rsidRDefault="001321CA" w:rsidP="00050E16">
      <w:pPr>
        <w:jc w:val="right"/>
        <w:sectPr w:rsidR="001321CA" w:rsidSect="0004198B">
          <w:headerReference w:type="defaul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321CA" w:rsidRDefault="001321CA" w:rsidP="001321CA">
      <w:pPr>
        <w:jc w:val="center"/>
      </w:pPr>
    </w:p>
    <w:p w:rsidR="00322223" w:rsidRDefault="00322223" w:rsidP="00322223">
      <w:pPr>
        <w:jc w:val="center"/>
      </w:pPr>
      <w:r w:rsidRPr="00B57FD2">
        <w:t>MANDAT DU GROUPE DE TRAVAIL SUR</w:t>
      </w:r>
    </w:p>
    <w:p w:rsidR="00322223" w:rsidRPr="00B57FD2" w:rsidRDefault="00322223" w:rsidP="00322223">
      <w:pPr>
        <w:jc w:val="center"/>
        <w:rPr>
          <w:rFonts w:cs="Arial"/>
        </w:rPr>
      </w:pPr>
      <w:r w:rsidRPr="00B57FD2">
        <w:t>LE PRODUIT DE LA RÉCOLTE ET L</w:t>
      </w:r>
      <w:r>
        <w:t>’</w:t>
      </w:r>
      <w:r w:rsidRPr="00B57FD2">
        <w:t>UTILISATION NON AUTORISÉE DE MATÉRIEL DE REPRODUCTION OU DE MULTIPLICATION</w:t>
      </w:r>
    </w:p>
    <w:p w:rsidR="00322223" w:rsidRPr="00B57FD2" w:rsidRDefault="00322223" w:rsidP="00322223">
      <w:pPr>
        <w:jc w:val="center"/>
      </w:pPr>
      <w:r w:rsidRPr="00B57FD2">
        <w:t>(WG</w:t>
      </w:r>
      <w:r w:rsidR="00C53B1D">
        <w:noBreakHyphen/>
      </w:r>
      <w:r w:rsidRPr="00B57FD2">
        <w:t>HRV)</w:t>
      </w:r>
    </w:p>
    <w:p w:rsidR="00322223" w:rsidRPr="00B57FD2" w:rsidRDefault="00322223" w:rsidP="00322223">
      <w:pPr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i/>
        </w:rPr>
      </w:pPr>
      <w:proofErr w:type="gramStart"/>
      <w:r w:rsidRPr="00B57FD2">
        <w:rPr>
          <w:i/>
        </w:rPr>
        <w:t>approuvé</w:t>
      </w:r>
      <w:proofErr w:type="gramEnd"/>
      <w:r w:rsidRPr="00B57FD2">
        <w:rPr>
          <w:i/>
        </w:rPr>
        <w:t xml:space="preserve"> par le Comité administratif et juridique le 21</w:t>
      </w:r>
      <w:r>
        <w:rPr>
          <w:i/>
        </w:rPr>
        <w:t> </w:t>
      </w:r>
      <w:r w:rsidRPr="00B57FD2">
        <w:rPr>
          <w:i/>
        </w:rPr>
        <w:t>septembre</w:t>
      </w:r>
      <w:r>
        <w:rPr>
          <w:i/>
        </w:rPr>
        <w:t> </w:t>
      </w:r>
      <w:r w:rsidRPr="00B57FD2">
        <w:rPr>
          <w:i/>
        </w:rPr>
        <w:t>2021</w:t>
      </w:r>
    </w:p>
    <w:p w:rsidR="00322223" w:rsidRPr="00B57FD2" w:rsidRDefault="00322223" w:rsidP="00322223"/>
    <w:p w:rsidR="00322223" w:rsidRPr="00B57FD2" w:rsidRDefault="00322223" w:rsidP="00322223"/>
    <w:p w:rsidR="00322223" w:rsidRPr="00B57FD2" w:rsidRDefault="00322223" w:rsidP="00322223">
      <w:r w:rsidRPr="00B57FD2">
        <w:t>OBJET</w:t>
      </w:r>
      <w:r>
        <w:t> :</w:t>
      </w:r>
    </w:p>
    <w:p w:rsidR="00322223" w:rsidRPr="00B57FD2" w:rsidRDefault="00322223" w:rsidP="00322223">
      <w:pPr>
        <w:contextualSpacing/>
        <w:rPr>
          <w:rFonts w:cs="Arial"/>
          <w:sz w:val="18"/>
        </w:rPr>
      </w:pPr>
    </w:p>
    <w:p w:rsidR="00322223" w:rsidRPr="00B57FD2" w:rsidRDefault="00322223" w:rsidP="00322223">
      <w:pPr>
        <w:contextualSpacing/>
        <w:rPr>
          <w:rFonts w:cs="Arial"/>
        </w:rPr>
      </w:pPr>
      <w:r w:rsidRPr="00B57FD2">
        <w:t>Le WG</w:t>
      </w:r>
      <w:r w:rsidR="00C53B1D">
        <w:noBreakHyphen/>
      </w:r>
      <w:r w:rsidRPr="00B57FD2">
        <w:t xml:space="preserve">HRV a pour mission de rédiger une version révisée des “Notes explicatives sur les actes </w:t>
      </w:r>
      <w:r>
        <w:t>à l’égard</w:t>
      </w:r>
      <w:r w:rsidRPr="00B57FD2">
        <w:t xml:space="preserve"> du produit de la récolte selon l</w:t>
      </w:r>
      <w:r>
        <w:t>’</w:t>
      </w:r>
      <w:r w:rsidRPr="00B57FD2">
        <w:t>Acte de</w:t>
      </w:r>
      <w:r>
        <w:t> </w:t>
      </w:r>
      <w:r w:rsidRPr="00B57FD2">
        <w:t xml:space="preserve">1991 de la </w:t>
      </w:r>
      <w:r>
        <w:t>Convention UPOV</w:t>
      </w:r>
      <w:r w:rsidRPr="00B57FD2">
        <w:t xml:space="preserve">” (document UPOV/EXN/HRV/1), des “Notes explicatives sur le matériel de reproduction ou de multiplication selon la </w:t>
      </w:r>
      <w:r>
        <w:t>Convention UPOV</w:t>
      </w:r>
      <w:r w:rsidRPr="00B57FD2">
        <w:t xml:space="preserve">” (UPOV/EXN/PPM/1) et des “Notes explicatives sur la protection provisoire selon la </w:t>
      </w:r>
      <w:r>
        <w:t>Convention UPOV</w:t>
      </w:r>
      <w:r w:rsidRPr="00B57FD2">
        <w:t>” (UPOV/EXN/PRP/2), pour examen par le Comité administratif et juridique (CAJ).</w:t>
      </w:r>
    </w:p>
    <w:p w:rsidR="00322223" w:rsidRPr="00B57FD2" w:rsidRDefault="00322223" w:rsidP="00322223">
      <w:pPr>
        <w:rPr>
          <w:sz w:val="18"/>
          <w:szCs w:val="18"/>
        </w:rPr>
      </w:pPr>
    </w:p>
    <w:p w:rsidR="00322223" w:rsidRPr="00B57FD2" w:rsidRDefault="00322223" w:rsidP="00322223">
      <w:pPr>
        <w:rPr>
          <w:sz w:val="18"/>
          <w:szCs w:val="18"/>
        </w:rPr>
      </w:pPr>
    </w:p>
    <w:p w:rsidR="00322223" w:rsidRPr="00B57FD2" w:rsidRDefault="00322223" w:rsidP="00322223">
      <w:pPr>
        <w:rPr>
          <w:sz w:val="18"/>
          <w:szCs w:val="18"/>
        </w:rPr>
      </w:pPr>
    </w:p>
    <w:p w:rsidR="00322223" w:rsidRPr="00B57FD2" w:rsidRDefault="00322223" w:rsidP="00322223">
      <w:r w:rsidRPr="00B57FD2">
        <w:t>COMPOSITION</w:t>
      </w:r>
      <w:r>
        <w:t> :</w:t>
      </w:r>
    </w:p>
    <w:p w:rsidR="00322223" w:rsidRPr="00B57FD2" w:rsidRDefault="00322223" w:rsidP="00322223">
      <w:pPr>
        <w:rPr>
          <w:rFonts w:cs="Arial"/>
          <w:sz w:val="18"/>
          <w:szCs w:val="18"/>
        </w:rPr>
      </w:pPr>
    </w:p>
    <w:p w:rsidR="00322223" w:rsidRDefault="00322223" w:rsidP="00322223">
      <w:pPr>
        <w:pStyle w:val="ListParagraph"/>
        <w:numPr>
          <w:ilvl w:val="0"/>
          <w:numId w:val="3"/>
        </w:numPr>
        <w:ind w:left="1134" w:hanging="567"/>
      </w:pPr>
      <w:proofErr w:type="gramStart"/>
      <w:r w:rsidRPr="00B57FD2">
        <w:t>le</w:t>
      </w:r>
      <w:proofErr w:type="gramEnd"/>
      <w:r w:rsidRPr="00B57FD2">
        <w:t xml:space="preserve"> WG</w:t>
      </w:r>
      <w:r w:rsidR="00C53B1D">
        <w:noBreakHyphen/>
      </w:r>
      <w:r w:rsidRPr="00B57FD2">
        <w:t>HRV est composé des membres de l</w:t>
      </w:r>
      <w:r>
        <w:t>’</w:t>
      </w:r>
      <w:r w:rsidRPr="00B57FD2">
        <w:t>Union et des observateurs accrédités par le</w:t>
      </w:r>
      <w:r>
        <w:t> </w:t>
      </w:r>
      <w:r w:rsidRPr="00B57FD2">
        <w:t>CAJ;</w:t>
      </w:r>
    </w:p>
    <w:p w:rsidR="00322223" w:rsidRPr="00B57FD2" w:rsidRDefault="00322223" w:rsidP="00322223">
      <w:pPr>
        <w:ind w:left="1134" w:hanging="567"/>
        <w:rPr>
          <w:rFonts w:cs="Arial"/>
          <w:sz w:val="18"/>
          <w:szCs w:val="18"/>
        </w:rPr>
      </w:pPr>
    </w:p>
    <w:p w:rsidR="00322223" w:rsidRPr="00B57FD2" w:rsidRDefault="00322223" w:rsidP="00322223">
      <w:pPr>
        <w:pStyle w:val="ListParagraph"/>
        <w:numPr>
          <w:ilvl w:val="0"/>
          <w:numId w:val="3"/>
        </w:numPr>
        <w:ind w:left="1134" w:hanging="567"/>
        <w:rPr>
          <w:rFonts w:cs="Arial"/>
        </w:rPr>
      </w:pPr>
      <w:proofErr w:type="gramStart"/>
      <w:r w:rsidRPr="00B57FD2">
        <w:t>les</w:t>
      </w:r>
      <w:proofErr w:type="gramEnd"/>
      <w:r w:rsidRPr="00B57FD2">
        <w:t xml:space="preserve"> autres membres de l</w:t>
      </w:r>
      <w:r>
        <w:t>’</w:t>
      </w:r>
      <w:r w:rsidRPr="00B57FD2">
        <w:t>Union seraient libres de participer à toute réunion du WG</w:t>
      </w:r>
      <w:r w:rsidR="00C53B1D">
        <w:noBreakHyphen/>
      </w:r>
      <w:r w:rsidRPr="00B57FD2">
        <w:t>HRV et de formuler des observations s</w:t>
      </w:r>
      <w:r>
        <w:t>’</w:t>
      </w:r>
      <w:r w:rsidRPr="00B57FD2">
        <w:t>ils le souhaitent;</w:t>
      </w:r>
    </w:p>
    <w:p w:rsidR="00322223" w:rsidRPr="00B57FD2" w:rsidRDefault="00322223" w:rsidP="00322223">
      <w:pPr>
        <w:ind w:left="1134" w:hanging="567"/>
        <w:rPr>
          <w:rFonts w:cs="Arial"/>
          <w:sz w:val="18"/>
          <w:szCs w:val="18"/>
        </w:rPr>
      </w:pPr>
    </w:p>
    <w:p w:rsidR="00322223" w:rsidRPr="00B57FD2" w:rsidRDefault="00322223" w:rsidP="00322223">
      <w:pPr>
        <w:pStyle w:val="ListParagraph"/>
        <w:numPr>
          <w:ilvl w:val="0"/>
          <w:numId w:val="3"/>
        </w:numPr>
        <w:ind w:left="1134" w:hanging="567"/>
        <w:rPr>
          <w:rFonts w:cs="Arial"/>
        </w:rPr>
      </w:pPr>
      <w:proofErr w:type="gramStart"/>
      <w:r w:rsidRPr="00B57FD2">
        <w:t>le</w:t>
      </w:r>
      <w:proofErr w:type="gramEnd"/>
      <w:r w:rsidRPr="00B57FD2">
        <w:t xml:space="preserve"> WG</w:t>
      </w:r>
      <w:r w:rsidR="00C53B1D">
        <w:noBreakHyphen/>
      </w:r>
      <w:r w:rsidRPr="00B57FD2">
        <w:t>HRV consulterait de nouveau le</w:t>
      </w:r>
      <w:r>
        <w:t> </w:t>
      </w:r>
      <w:r w:rsidRPr="00B57FD2">
        <w:t>CAJ s</w:t>
      </w:r>
      <w:r>
        <w:t>’</w:t>
      </w:r>
      <w:r w:rsidRPr="00B57FD2">
        <w:t>il recommandait d</w:t>
      </w:r>
      <w:r>
        <w:t>’</w:t>
      </w:r>
      <w:r w:rsidRPr="00B57FD2">
        <w:t>inviter d</w:t>
      </w:r>
      <w:r>
        <w:t>’</w:t>
      </w:r>
      <w:r w:rsidRPr="00B57FD2">
        <w:t>autres observateurs ou experts à l</w:t>
      </w:r>
      <w:r>
        <w:t>’</w:t>
      </w:r>
      <w:r w:rsidRPr="00B57FD2">
        <w:t xml:space="preserve">une de ses réunions; </w:t>
      </w:r>
      <w:r>
        <w:t xml:space="preserve"> </w:t>
      </w:r>
      <w:r w:rsidRPr="00B57FD2">
        <w:t>et</w:t>
      </w:r>
    </w:p>
    <w:p w:rsidR="00322223" w:rsidRPr="00B57FD2" w:rsidRDefault="00322223" w:rsidP="00322223">
      <w:pPr>
        <w:ind w:left="1134" w:hanging="567"/>
        <w:rPr>
          <w:rFonts w:cs="Arial"/>
          <w:sz w:val="18"/>
          <w:szCs w:val="18"/>
        </w:rPr>
      </w:pPr>
    </w:p>
    <w:p w:rsidR="00322223" w:rsidRPr="00B57FD2" w:rsidRDefault="00322223" w:rsidP="00322223">
      <w:pPr>
        <w:pStyle w:val="ListParagraph"/>
        <w:numPr>
          <w:ilvl w:val="0"/>
          <w:numId w:val="3"/>
        </w:numPr>
        <w:tabs>
          <w:tab w:val="left" w:pos="1134"/>
        </w:tabs>
        <w:ind w:left="1134" w:hanging="567"/>
        <w:rPr>
          <w:rFonts w:cs="Arial"/>
        </w:rPr>
      </w:pPr>
      <w:proofErr w:type="gramStart"/>
      <w:r w:rsidRPr="00B57FD2">
        <w:t>les</w:t>
      </w:r>
      <w:proofErr w:type="gramEnd"/>
      <w:r w:rsidRPr="00B57FD2">
        <w:t xml:space="preserve"> réunions seraient présidées par le Secrétaire général adjoint.</w:t>
      </w:r>
    </w:p>
    <w:p w:rsidR="00322223" w:rsidRPr="00B57FD2" w:rsidRDefault="00322223" w:rsidP="00322223">
      <w:pPr>
        <w:rPr>
          <w:sz w:val="18"/>
        </w:rPr>
      </w:pPr>
    </w:p>
    <w:p w:rsidR="00322223" w:rsidRPr="00B57FD2" w:rsidRDefault="00322223" w:rsidP="00322223">
      <w:pPr>
        <w:rPr>
          <w:sz w:val="18"/>
        </w:rPr>
      </w:pPr>
    </w:p>
    <w:p w:rsidR="00322223" w:rsidRPr="00B57FD2" w:rsidRDefault="00322223" w:rsidP="00322223">
      <w:pPr>
        <w:rPr>
          <w:sz w:val="18"/>
        </w:rPr>
      </w:pPr>
    </w:p>
    <w:p w:rsidR="00322223" w:rsidRPr="00B57FD2" w:rsidRDefault="00322223" w:rsidP="00322223">
      <w:r w:rsidRPr="00B57FD2">
        <w:t>MODUS OPERANDI</w:t>
      </w:r>
      <w:r>
        <w:t> :</w:t>
      </w:r>
    </w:p>
    <w:p w:rsidR="00322223" w:rsidRPr="00B57FD2" w:rsidRDefault="00322223" w:rsidP="00322223">
      <w:pPr>
        <w:rPr>
          <w:rFonts w:cs="Arial"/>
          <w:sz w:val="18"/>
          <w:szCs w:val="18"/>
          <w:u w:val="single"/>
        </w:rPr>
      </w:pPr>
    </w:p>
    <w:p w:rsidR="00322223" w:rsidRPr="00B57FD2" w:rsidRDefault="009049D6" w:rsidP="009049D6">
      <w:pPr>
        <w:tabs>
          <w:tab w:val="left" w:pos="1134"/>
        </w:tabs>
        <w:ind w:firstLine="567"/>
        <w:rPr>
          <w:rFonts w:cs="Arial"/>
          <w:spacing w:val="-2"/>
        </w:rPr>
      </w:pPr>
      <w:r>
        <w:t>a)</w:t>
      </w:r>
      <w:r w:rsidR="00322223" w:rsidRPr="00B57FD2">
        <w:tab/>
        <w:t>lors de la rédaction de la version révisée des documents UPOV/EXN/HRV/1, UPOV/EXN/PPM/1 et UPOV/EXN/PRP/2, le WG</w:t>
      </w:r>
      <w:r w:rsidR="00C53B1D">
        <w:noBreakHyphen/>
      </w:r>
      <w:r w:rsidR="00322223" w:rsidRPr="00B57FD2">
        <w:t>HRV examine les questions soulevées dans les réponses à la circulaire</w:t>
      </w:r>
      <w:r w:rsidR="00C33394">
        <w:t> </w:t>
      </w:r>
      <w:r w:rsidR="00322223" w:rsidRPr="00B57FD2">
        <w:t>E</w:t>
      </w:r>
      <w:r w:rsidR="00C53B1D">
        <w:noBreakHyphen/>
      </w:r>
      <w:r w:rsidR="00322223" w:rsidRPr="00B57FD2">
        <w:t>19/232 de l</w:t>
      </w:r>
      <w:r w:rsidR="00322223">
        <w:t>’</w:t>
      </w:r>
      <w:r w:rsidR="00322223" w:rsidRPr="00B57FD2">
        <w:t>UPOV et, en particulier, les conclusions du Séminaire sur l</w:t>
      </w:r>
      <w:r w:rsidR="00322223">
        <w:t>’</w:t>
      </w:r>
      <w:r w:rsidR="00322223" w:rsidRPr="00B57FD2">
        <w:t>exercice du droit d</w:t>
      </w:r>
      <w:r w:rsidR="00322223">
        <w:t>’</w:t>
      </w:r>
      <w:r w:rsidR="00322223" w:rsidRPr="00B57FD2">
        <w:t>obtenteur en relation avec le produit de la récolte de</w:t>
      </w:r>
      <w:r w:rsidR="00322223">
        <w:t> </w:t>
      </w:r>
      <w:r w:rsidR="00322223" w:rsidRPr="00B57FD2">
        <w:t>2021</w:t>
      </w:r>
      <w:r w:rsidR="00322223">
        <w:t> :</w:t>
      </w:r>
    </w:p>
    <w:p w:rsidR="00322223" w:rsidRPr="00B57FD2" w:rsidRDefault="00322223" w:rsidP="00322223">
      <w:pPr>
        <w:keepNext/>
        <w:ind w:left="927"/>
        <w:rPr>
          <w:rFonts w:cs="Arial"/>
          <w:sz w:val="18"/>
        </w:rPr>
      </w:pPr>
    </w:p>
    <w:p w:rsidR="00322223" w:rsidRPr="00B57FD2" w:rsidRDefault="00322223" w:rsidP="009049D6">
      <w:pPr>
        <w:pStyle w:val="ListParagraph"/>
        <w:keepNext/>
        <w:numPr>
          <w:ilvl w:val="0"/>
          <w:numId w:val="2"/>
        </w:numPr>
        <w:ind w:left="1701" w:right="639" w:hanging="567"/>
        <w:rPr>
          <w:rFonts w:cs="Arial"/>
          <w:i/>
          <w:sz w:val="18"/>
        </w:rPr>
      </w:pPr>
      <w:r w:rsidRPr="00B57FD2">
        <w:rPr>
          <w:i/>
          <w:sz w:val="18"/>
        </w:rPr>
        <w:t>“Quelles sont les incidences de l</w:t>
      </w:r>
      <w:r>
        <w:rPr>
          <w:i/>
          <w:sz w:val="18"/>
        </w:rPr>
        <w:t>’</w:t>
      </w:r>
      <w:r w:rsidRPr="00B57FD2">
        <w:rPr>
          <w:i/>
          <w:sz w:val="18"/>
        </w:rPr>
        <w:t>absence de protection efficace du produit de la récolte sur les cultivateurs et les consommateurs?</w:t>
      </w:r>
    </w:p>
    <w:p w:rsidR="00322223" w:rsidRPr="00B57FD2" w:rsidRDefault="00322223" w:rsidP="00322223">
      <w:pPr>
        <w:pStyle w:val="ListParagraph"/>
        <w:keepNext/>
        <w:ind w:left="1494" w:right="639"/>
        <w:rPr>
          <w:rFonts w:cs="Arial"/>
          <w:sz w:val="18"/>
        </w:rPr>
      </w:pPr>
    </w:p>
    <w:p w:rsidR="00322223" w:rsidRPr="00B57FD2" w:rsidRDefault="00322223" w:rsidP="00322223">
      <w:pPr>
        <w:pStyle w:val="ListParagraph"/>
        <w:keepLines/>
        <w:ind w:left="1908" w:right="639"/>
        <w:rPr>
          <w:rFonts w:cs="Arial"/>
          <w:sz w:val="18"/>
        </w:rPr>
      </w:pPr>
      <w:r w:rsidRPr="00B57FD2">
        <w:rPr>
          <w:sz w:val="18"/>
        </w:rPr>
        <w:t>“Lors du séminaire, il a été démontré que l</w:t>
      </w:r>
      <w:r>
        <w:rPr>
          <w:sz w:val="18"/>
        </w:rPr>
        <w:t>’</w:t>
      </w:r>
      <w:r w:rsidRPr="00B57FD2">
        <w:rPr>
          <w:sz w:val="18"/>
        </w:rPr>
        <w:t>absence de protection efficace des nouvelles variétés d</w:t>
      </w:r>
      <w:r>
        <w:rPr>
          <w:sz w:val="18"/>
        </w:rPr>
        <w:t>’</w:t>
      </w:r>
      <w:r w:rsidRPr="00B57FD2">
        <w:rPr>
          <w:sz w:val="18"/>
        </w:rPr>
        <w:t>arbres fruitiers, avant l</w:t>
      </w:r>
      <w:r>
        <w:rPr>
          <w:sz w:val="18"/>
        </w:rPr>
        <w:t>’</w:t>
      </w:r>
      <w:r w:rsidRPr="00B57FD2">
        <w:rPr>
          <w:sz w:val="18"/>
        </w:rPr>
        <w:t>octroi des droits d</w:t>
      </w:r>
      <w:r>
        <w:rPr>
          <w:sz w:val="18"/>
        </w:rPr>
        <w:t>’</w:t>
      </w:r>
      <w:r w:rsidRPr="00B57FD2">
        <w:rPr>
          <w:sz w:val="18"/>
        </w:rPr>
        <w:t>obtenteur, pouvait empêcher l</w:t>
      </w:r>
      <w:r>
        <w:rPr>
          <w:sz w:val="18"/>
        </w:rPr>
        <w:t>’</w:t>
      </w:r>
      <w:r w:rsidRPr="00B57FD2">
        <w:rPr>
          <w:sz w:val="18"/>
        </w:rPr>
        <w:t>introduction précoce de variétés nouvelles et améliorées, limitant ainsi les avantages de ces variétés pour les cultivateurs et les consommateurs et, par conséquent, pour l</w:t>
      </w:r>
      <w:r>
        <w:rPr>
          <w:sz w:val="18"/>
        </w:rPr>
        <w:t>’</w:t>
      </w:r>
      <w:r w:rsidRPr="00B57FD2">
        <w:rPr>
          <w:sz w:val="18"/>
        </w:rPr>
        <w:t>ensemble de la socié</w:t>
      </w:r>
      <w:r w:rsidR="00C33394" w:rsidRPr="00B57FD2">
        <w:rPr>
          <w:sz w:val="18"/>
        </w:rPr>
        <w:t>té</w:t>
      </w:r>
      <w:r w:rsidR="00C33394">
        <w:rPr>
          <w:sz w:val="18"/>
        </w:rPr>
        <w:t xml:space="preserve">.  </w:t>
      </w:r>
      <w:r w:rsidR="00C33394" w:rsidRPr="00B57FD2">
        <w:rPr>
          <w:sz w:val="18"/>
        </w:rPr>
        <w:t>En</w:t>
      </w:r>
      <w:r w:rsidRPr="00B57FD2">
        <w:rPr>
          <w:sz w:val="18"/>
        </w:rPr>
        <w:t xml:space="preserve"> outre, si les obtenteurs ne bénéficient pas d</w:t>
      </w:r>
      <w:r>
        <w:rPr>
          <w:sz w:val="18"/>
        </w:rPr>
        <w:t>’</w:t>
      </w:r>
      <w:r w:rsidRPr="00B57FD2">
        <w:rPr>
          <w:sz w:val="18"/>
        </w:rPr>
        <w:t>une protection efficace leur permettant de récupérer l</w:t>
      </w:r>
      <w:r>
        <w:rPr>
          <w:sz w:val="18"/>
        </w:rPr>
        <w:t>’</w:t>
      </w:r>
      <w:r w:rsidRPr="00B57FD2">
        <w:rPr>
          <w:sz w:val="18"/>
        </w:rPr>
        <w:t>investissement réalisé en matière de sélection, les variétés améliorées risquent de ne pas être créées du tout.</w:t>
      </w:r>
    </w:p>
    <w:p w:rsidR="00322223" w:rsidRPr="00B57FD2" w:rsidRDefault="00322223" w:rsidP="00322223">
      <w:pPr>
        <w:pStyle w:val="ListParagraph"/>
        <w:ind w:left="1494" w:right="639"/>
        <w:rPr>
          <w:rFonts w:cs="Arial"/>
          <w:sz w:val="18"/>
        </w:rPr>
      </w:pPr>
    </w:p>
    <w:p w:rsidR="00322223" w:rsidRPr="00B57FD2" w:rsidRDefault="00322223" w:rsidP="009049D6">
      <w:pPr>
        <w:pStyle w:val="ListParagraph"/>
        <w:keepNext/>
        <w:numPr>
          <w:ilvl w:val="0"/>
          <w:numId w:val="2"/>
        </w:numPr>
        <w:ind w:left="1701" w:right="639" w:hanging="567"/>
        <w:rPr>
          <w:rFonts w:cs="Arial"/>
          <w:i/>
          <w:spacing w:val="-2"/>
          <w:sz w:val="18"/>
        </w:rPr>
      </w:pPr>
      <w:r w:rsidRPr="00B57FD2">
        <w:rPr>
          <w:i/>
          <w:sz w:val="18"/>
        </w:rPr>
        <w:t>“Quels sont les principaux enjeux de l</w:t>
      </w:r>
      <w:r>
        <w:rPr>
          <w:i/>
          <w:sz w:val="18"/>
        </w:rPr>
        <w:t>’</w:t>
      </w:r>
      <w:r w:rsidRPr="00B57FD2">
        <w:rPr>
          <w:i/>
          <w:sz w:val="18"/>
        </w:rPr>
        <w:t>exercice du droit d</w:t>
      </w:r>
      <w:r>
        <w:rPr>
          <w:i/>
          <w:sz w:val="18"/>
        </w:rPr>
        <w:t>’</w:t>
      </w:r>
      <w:r w:rsidRPr="00B57FD2">
        <w:rPr>
          <w:i/>
          <w:sz w:val="18"/>
        </w:rPr>
        <w:t>obtenteur en relation avec le produit de la récolte?”</w:t>
      </w:r>
    </w:p>
    <w:p w:rsidR="00322223" w:rsidRPr="00B57FD2" w:rsidRDefault="00322223" w:rsidP="00322223">
      <w:pPr>
        <w:pStyle w:val="ListParagraph"/>
        <w:keepNext/>
        <w:ind w:left="1494" w:right="639"/>
        <w:rPr>
          <w:rFonts w:cs="Arial"/>
          <w:sz w:val="18"/>
        </w:rPr>
      </w:pPr>
    </w:p>
    <w:p w:rsidR="00322223" w:rsidRDefault="00322223" w:rsidP="00322223">
      <w:pPr>
        <w:pStyle w:val="ListParagraph"/>
        <w:keepLines/>
        <w:ind w:left="1908" w:right="639"/>
        <w:rPr>
          <w:sz w:val="18"/>
        </w:rPr>
      </w:pPr>
      <w:r w:rsidRPr="00B57FD2">
        <w:rPr>
          <w:sz w:val="18"/>
        </w:rPr>
        <w:t>“Un sujet de préoccupation commun est le manque de prévisibilité concernant le droit de l</w:t>
      </w:r>
      <w:r>
        <w:rPr>
          <w:sz w:val="18"/>
        </w:rPr>
        <w:t>’</w:t>
      </w:r>
      <w:r w:rsidRPr="00B57FD2">
        <w:rPr>
          <w:sz w:val="18"/>
        </w:rPr>
        <w:t>obtenteur en relation avec le produit de la récolte.</w:t>
      </w:r>
    </w:p>
    <w:p w:rsidR="00322223" w:rsidRPr="00B57FD2" w:rsidRDefault="00322223" w:rsidP="00322223">
      <w:pPr>
        <w:pStyle w:val="ListParagraph"/>
        <w:ind w:left="1908" w:right="639"/>
        <w:rPr>
          <w:rFonts w:cs="Arial"/>
          <w:sz w:val="18"/>
        </w:rPr>
      </w:pPr>
    </w:p>
    <w:p w:rsidR="00322223" w:rsidRPr="00B57FD2" w:rsidRDefault="00322223" w:rsidP="00322223">
      <w:pPr>
        <w:pStyle w:val="ListParagraph"/>
        <w:keepLines/>
        <w:ind w:left="1908" w:right="639"/>
        <w:rPr>
          <w:rFonts w:cs="Arial"/>
          <w:sz w:val="18"/>
        </w:rPr>
      </w:pPr>
      <w:r w:rsidRPr="00B57FD2">
        <w:rPr>
          <w:sz w:val="18"/>
        </w:rPr>
        <w:t>“Pour certaines espèces, les arbres, une fois plantés, peuvent produire des fruits pendant de nombreuses anné</w:t>
      </w:r>
      <w:r w:rsidR="00C33394" w:rsidRPr="00B57FD2">
        <w:rPr>
          <w:sz w:val="18"/>
        </w:rPr>
        <w:t>es</w:t>
      </w:r>
      <w:r w:rsidR="00C33394">
        <w:rPr>
          <w:sz w:val="18"/>
        </w:rPr>
        <w:t xml:space="preserve">.  </w:t>
      </w:r>
      <w:r w:rsidR="00C33394" w:rsidRPr="00B57FD2">
        <w:rPr>
          <w:sz w:val="18"/>
        </w:rPr>
        <w:t>Pa</w:t>
      </w:r>
      <w:r w:rsidRPr="00B57FD2">
        <w:rPr>
          <w:sz w:val="18"/>
        </w:rPr>
        <w:t>r conséquent, une portée minimale de la protection provisoire ou une interprétation restrictive de l</w:t>
      </w:r>
      <w:r>
        <w:rPr>
          <w:sz w:val="18"/>
        </w:rPr>
        <w:t>’</w:t>
      </w:r>
      <w:r w:rsidRPr="00B57FD2">
        <w:rPr>
          <w:sz w:val="18"/>
        </w:rPr>
        <w:t xml:space="preserve">expression </w:t>
      </w:r>
      <w:r w:rsidR="00241297">
        <w:rPr>
          <w:sz w:val="18"/>
        </w:rPr>
        <w:t>‘</w:t>
      </w:r>
      <w:r w:rsidRPr="00B57FD2">
        <w:rPr>
          <w:sz w:val="18"/>
        </w:rPr>
        <w:t>utilisation non autorisée du matériel de reproduction ou de multiplication</w:t>
      </w:r>
      <w:r w:rsidR="00241297">
        <w:rPr>
          <w:sz w:val="18"/>
        </w:rPr>
        <w:t>’</w:t>
      </w:r>
      <w:r w:rsidRPr="00B57FD2">
        <w:rPr>
          <w:sz w:val="18"/>
        </w:rPr>
        <w:t xml:space="preserve"> peut ne pas donner à l</w:t>
      </w:r>
      <w:r>
        <w:rPr>
          <w:sz w:val="18"/>
        </w:rPr>
        <w:t>’</w:t>
      </w:r>
      <w:r w:rsidRPr="00B57FD2">
        <w:rPr>
          <w:sz w:val="18"/>
        </w:rPr>
        <w:t>obtenteur les moyens d</w:t>
      </w:r>
      <w:r>
        <w:rPr>
          <w:sz w:val="18"/>
        </w:rPr>
        <w:t>’</w:t>
      </w:r>
      <w:r w:rsidRPr="00B57FD2">
        <w:rPr>
          <w:sz w:val="18"/>
        </w:rPr>
        <w:t>exercer et de faire respecter son droit en relation avec la culture des plantes et la production et la vente des fruits.</w:t>
      </w:r>
    </w:p>
    <w:p w:rsidR="00322223" w:rsidRPr="00B57FD2" w:rsidRDefault="00322223" w:rsidP="00322223">
      <w:pPr>
        <w:pStyle w:val="ListParagraph"/>
        <w:ind w:left="1494" w:right="639"/>
        <w:rPr>
          <w:rFonts w:cs="Arial"/>
          <w:sz w:val="18"/>
        </w:rPr>
      </w:pPr>
    </w:p>
    <w:p w:rsidR="00322223" w:rsidRPr="00B57FD2" w:rsidRDefault="00322223" w:rsidP="009049D6">
      <w:pPr>
        <w:pStyle w:val="ListParagraph"/>
        <w:keepNext/>
        <w:numPr>
          <w:ilvl w:val="0"/>
          <w:numId w:val="2"/>
        </w:numPr>
        <w:ind w:left="1701" w:right="639" w:hanging="567"/>
        <w:rPr>
          <w:rFonts w:cs="Arial"/>
          <w:i/>
          <w:iCs/>
          <w:sz w:val="18"/>
        </w:rPr>
      </w:pPr>
      <w:r w:rsidRPr="00B57FD2">
        <w:rPr>
          <w:i/>
          <w:iCs/>
          <w:sz w:val="18"/>
        </w:rPr>
        <w:lastRenderedPageBreak/>
        <w:t>“Au niveau de l</w:t>
      </w:r>
      <w:r>
        <w:rPr>
          <w:i/>
          <w:iCs/>
          <w:sz w:val="18"/>
        </w:rPr>
        <w:t>’</w:t>
      </w:r>
      <w:r w:rsidRPr="00B57FD2">
        <w:rPr>
          <w:i/>
          <w:iCs/>
          <w:sz w:val="18"/>
        </w:rPr>
        <w:t>UPOV</w:t>
      </w:r>
      <w:r>
        <w:rPr>
          <w:i/>
          <w:iCs/>
          <w:sz w:val="18"/>
        </w:rPr>
        <w:t> :</w:t>
      </w:r>
      <w:r w:rsidRPr="00B57FD2">
        <w:rPr>
          <w:i/>
          <w:iCs/>
          <w:sz w:val="18"/>
        </w:rPr>
        <w:t xml:space="preserve"> quelles solutions voyez</w:t>
      </w:r>
      <w:r w:rsidR="00C53B1D">
        <w:rPr>
          <w:i/>
          <w:iCs/>
          <w:sz w:val="18"/>
        </w:rPr>
        <w:noBreakHyphen/>
      </w:r>
      <w:r w:rsidRPr="00B57FD2">
        <w:rPr>
          <w:i/>
          <w:iCs/>
          <w:sz w:val="18"/>
        </w:rPr>
        <w:t>vous pour ces enjeux de l</w:t>
      </w:r>
      <w:r>
        <w:rPr>
          <w:i/>
          <w:iCs/>
          <w:sz w:val="18"/>
        </w:rPr>
        <w:t>’</w:t>
      </w:r>
      <w:r w:rsidRPr="00B57FD2">
        <w:rPr>
          <w:i/>
          <w:iCs/>
          <w:sz w:val="18"/>
        </w:rPr>
        <w:t>exercice du droit d</w:t>
      </w:r>
      <w:r>
        <w:rPr>
          <w:i/>
          <w:iCs/>
          <w:sz w:val="18"/>
        </w:rPr>
        <w:t>’</w:t>
      </w:r>
      <w:r w:rsidRPr="00B57FD2">
        <w:rPr>
          <w:i/>
          <w:iCs/>
          <w:sz w:val="18"/>
        </w:rPr>
        <w:t>obtenteur en relation avec le produit de la récolte?</w:t>
      </w:r>
    </w:p>
    <w:p w:rsidR="00322223" w:rsidRPr="00B57FD2" w:rsidRDefault="00322223" w:rsidP="00322223">
      <w:pPr>
        <w:pStyle w:val="ListParagraph"/>
        <w:keepNext/>
        <w:ind w:left="1494" w:right="639"/>
        <w:rPr>
          <w:rFonts w:cs="Arial"/>
          <w:sz w:val="18"/>
        </w:rPr>
      </w:pPr>
    </w:p>
    <w:p w:rsidR="00322223" w:rsidRPr="00B57FD2" w:rsidRDefault="00322223" w:rsidP="00322223">
      <w:pPr>
        <w:pStyle w:val="ListParagraph"/>
        <w:keepLines/>
        <w:ind w:left="1908" w:right="639"/>
        <w:rPr>
          <w:rFonts w:cs="Arial"/>
          <w:sz w:val="18"/>
        </w:rPr>
      </w:pPr>
      <w:r w:rsidRPr="00B57FD2">
        <w:rPr>
          <w:sz w:val="18"/>
        </w:rPr>
        <w:t>“Il ressort clairement des exposés et des débats que les orientations contenues dans les notes explicatives sur le produit de la récolte gagneraient à être précisées.</w:t>
      </w:r>
    </w:p>
    <w:p w:rsidR="00322223" w:rsidRPr="00B57FD2" w:rsidRDefault="00322223" w:rsidP="00322223">
      <w:pPr>
        <w:pStyle w:val="ListParagraph"/>
        <w:ind w:left="1908" w:right="639"/>
        <w:rPr>
          <w:rFonts w:cs="Arial"/>
          <w:sz w:val="18"/>
        </w:rPr>
      </w:pPr>
    </w:p>
    <w:p w:rsidR="00322223" w:rsidRPr="00B57FD2" w:rsidRDefault="00322223" w:rsidP="00322223">
      <w:pPr>
        <w:pStyle w:val="ListParagraph"/>
        <w:keepNext/>
        <w:keepLines/>
        <w:ind w:left="1908" w:right="639"/>
        <w:rPr>
          <w:rFonts w:cs="Arial"/>
          <w:sz w:val="18"/>
        </w:rPr>
      </w:pPr>
      <w:r w:rsidRPr="00B57FD2">
        <w:rPr>
          <w:sz w:val="18"/>
        </w:rPr>
        <w:t>“Pour favoriser la mise au point de nouvelles variétés de plantes, il serait utile de disposer d</w:t>
      </w:r>
      <w:r>
        <w:rPr>
          <w:sz w:val="18"/>
        </w:rPr>
        <w:t>’</w:t>
      </w:r>
      <w:r w:rsidRPr="00B57FD2">
        <w:rPr>
          <w:sz w:val="18"/>
        </w:rPr>
        <w:t>orientations supplémentaires sur</w:t>
      </w:r>
      <w:r>
        <w:rPr>
          <w:sz w:val="18"/>
        </w:rPr>
        <w:t> :</w:t>
      </w:r>
    </w:p>
    <w:p w:rsidR="00322223" w:rsidRPr="00B57FD2" w:rsidRDefault="00322223" w:rsidP="00322223">
      <w:pPr>
        <w:pStyle w:val="ListParagraph"/>
        <w:keepNext/>
        <w:numPr>
          <w:ilvl w:val="2"/>
          <w:numId w:val="2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>“le matériel de reproduction ou de multiplication</w:t>
      </w:r>
    </w:p>
    <w:p w:rsidR="00322223" w:rsidRPr="00B57FD2" w:rsidRDefault="00322223" w:rsidP="00322223">
      <w:pPr>
        <w:pStyle w:val="ListParagraph"/>
        <w:numPr>
          <w:ilvl w:val="2"/>
          <w:numId w:val="2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>“le produit de la récolte</w:t>
      </w:r>
    </w:p>
    <w:p w:rsidR="00322223" w:rsidRPr="00B57FD2" w:rsidRDefault="00322223" w:rsidP="00322223">
      <w:pPr>
        <w:pStyle w:val="ListParagraph"/>
        <w:numPr>
          <w:ilvl w:val="2"/>
          <w:numId w:val="2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>“la protection provisoire efficace</w:t>
      </w:r>
    </w:p>
    <w:p w:rsidR="00322223" w:rsidRPr="00B57FD2" w:rsidRDefault="00322223" w:rsidP="00322223">
      <w:pPr>
        <w:pStyle w:val="ListParagraph"/>
        <w:numPr>
          <w:ilvl w:val="2"/>
          <w:numId w:val="2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>“la notion d</w:t>
      </w:r>
      <w:r>
        <w:rPr>
          <w:sz w:val="18"/>
        </w:rPr>
        <w:t>’</w:t>
      </w:r>
      <w:r w:rsidR="00241297">
        <w:rPr>
          <w:sz w:val="18"/>
        </w:rPr>
        <w:t>‘</w:t>
      </w:r>
      <w:r w:rsidRPr="00B57FD2">
        <w:rPr>
          <w:sz w:val="18"/>
        </w:rPr>
        <w:t>utilisation non autorisée de matériel de reproduction ou de multiplication</w:t>
      </w:r>
      <w:r w:rsidR="00241297">
        <w:rPr>
          <w:sz w:val="18"/>
        </w:rPr>
        <w:t>’</w:t>
      </w:r>
    </w:p>
    <w:p w:rsidR="00322223" w:rsidRPr="00B57FD2" w:rsidRDefault="00322223" w:rsidP="00322223">
      <w:pPr>
        <w:pStyle w:val="ListParagraph"/>
        <w:numPr>
          <w:ilvl w:val="2"/>
          <w:numId w:val="2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>“la doctrine d</w:t>
      </w:r>
      <w:r>
        <w:rPr>
          <w:sz w:val="18"/>
        </w:rPr>
        <w:t>’</w:t>
      </w:r>
      <w:r w:rsidRPr="00B57FD2">
        <w:rPr>
          <w:sz w:val="18"/>
        </w:rPr>
        <w:t>épuisement des droits en relation avec le renversement de la charge de la preuve.”</w:t>
      </w:r>
    </w:p>
    <w:p w:rsidR="00322223" w:rsidRPr="00B57FD2" w:rsidRDefault="00322223" w:rsidP="00322223">
      <w:pPr>
        <w:rPr>
          <w:rFonts w:cs="Arial"/>
          <w:sz w:val="18"/>
        </w:rPr>
      </w:pPr>
    </w:p>
    <w:p w:rsidR="00322223" w:rsidRPr="00B57FD2" w:rsidRDefault="00322223" w:rsidP="00322223">
      <w:pPr>
        <w:tabs>
          <w:tab w:val="left" w:pos="1134"/>
        </w:tabs>
        <w:ind w:firstLine="567"/>
        <w:rPr>
          <w:rFonts w:cs="Arial"/>
        </w:rPr>
      </w:pPr>
      <w:r w:rsidRPr="00B57FD2">
        <w:t>b)</w:t>
      </w:r>
      <w:r w:rsidRPr="00B57FD2">
        <w:tab/>
        <w:t>le WG</w:t>
      </w:r>
      <w:r w:rsidR="00C53B1D">
        <w:noBreakHyphen/>
      </w:r>
      <w:r w:rsidRPr="00B57FD2">
        <w:t>HRV se réunit selon une périodicité lui permettant de remplir son mandat, par des moyens physiques ou virtuels, tel que convenu par le WG</w:t>
      </w:r>
      <w:r w:rsidR="00C53B1D">
        <w:noBreakHyphen/>
      </w:r>
      <w:r w:rsidRPr="00B57FD2">
        <w:t>HRV;</w:t>
      </w:r>
    </w:p>
    <w:p w:rsidR="00322223" w:rsidRPr="00B57FD2" w:rsidRDefault="00322223" w:rsidP="00322223">
      <w:pPr>
        <w:tabs>
          <w:tab w:val="left" w:pos="1134"/>
        </w:tabs>
        <w:rPr>
          <w:rFonts w:cs="Arial"/>
          <w:sz w:val="18"/>
          <w:u w:val="single"/>
        </w:rPr>
      </w:pPr>
    </w:p>
    <w:p w:rsidR="00322223" w:rsidRPr="00B57FD2" w:rsidRDefault="00322223" w:rsidP="00322223">
      <w:pPr>
        <w:tabs>
          <w:tab w:val="left" w:pos="1134"/>
        </w:tabs>
        <w:ind w:firstLine="567"/>
        <w:rPr>
          <w:rFonts w:cs="Arial"/>
        </w:rPr>
      </w:pPr>
      <w:r w:rsidRPr="00B57FD2">
        <w:t>c)</w:t>
      </w:r>
      <w:r w:rsidRPr="00B57FD2">
        <w:tab/>
        <w:t>le WG</w:t>
      </w:r>
      <w:r w:rsidR="00C53B1D">
        <w:noBreakHyphen/>
      </w:r>
      <w:r w:rsidRPr="00B57FD2">
        <w:t>HRV rend compte au</w:t>
      </w:r>
      <w:r>
        <w:t> </w:t>
      </w:r>
      <w:r w:rsidRPr="00B57FD2">
        <w:t>CAJ de l</w:t>
      </w:r>
      <w:r>
        <w:t>’</w:t>
      </w:r>
      <w:r w:rsidRPr="00B57FD2">
        <w:t>avancement de ses travaux et sollicite des orientations supplémentaires auprès du</w:t>
      </w:r>
      <w:r>
        <w:t> </w:t>
      </w:r>
      <w:r w:rsidRPr="00B57FD2">
        <w:t>CAJ, le cas échéant;</w:t>
      </w:r>
    </w:p>
    <w:p w:rsidR="00322223" w:rsidRPr="00B57FD2" w:rsidRDefault="00322223" w:rsidP="00322223">
      <w:pPr>
        <w:tabs>
          <w:tab w:val="left" w:pos="1134"/>
        </w:tabs>
        <w:rPr>
          <w:rFonts w:cs="Arial"/>
          <w:sz w:val="18"/>
        </w:rPr>
      </w:pPr>
    </w:p>
    <w:p w:rsidR="00322223" w:rsidRPr="00B57FD2" w:rsidRDefault="00322223" w:rsidP="00322223">
      <w:pPr>
        <w:tabs>
          <w:tab w:val="left" w:pos="1134"/>
        </w:tabs>
        <w:ind w:firstLine="567"/>
        <w:rPr>
          <w:rFonts w:cs="Arial"/>
        </w:rPr>
      </w:pPr>
      <w:r w:rsidRPr="00B57FD2">
        <w:t>d)</w:t>
      </w:r>
      <w:r w:rsidRPr="00B57FD2">
        <w:tab/>
        <w:t>les documents du WG</w:t>
      </w:r>
      <w:r w:rsidR="00C53B1D">
        <w:noBreakHyphen/>
      </w:r>
      <w:r w:rsidRPr="00B57FD2">
        <w:t>HRV sont mis à la disposition du</w:t>
      </w:r>
      <w:r>
        <w:t> </w:t>
      </w:r>
      <w:r w:rsidRPr="00B57FD2">
        <w:t>CAJ.</w:t>
      </w:r>
    </w:p>
    <w:p w:rsidR="00322223" w:rsidRPr="00B57FD2" w:rsidRDefault="00322223" w:rsidP="00322223"/>
    <w:p w:rsidR="00322223" w:rsidRPr="00B57FD2" w:rsidRDefault="00322223" w:rsidP="00322223"/>
    <w:p w:rsidR="00322223" w:rsidRPr="00B57FD2" w:rsidRDefault="00322223" w:rsidP="00322223">
      <w:pPr>
        <w:tabs>
          <w:tab w:val="left" w:pos="284"/>
          <w:tab w:val="left" w:pos="851"/>
        </w:tabs>
        <w:autoSpaceDE w:val="0"/>
        <w:autoSpaceDN w:val="0"/>
        <w:adjustRightInd w:val="0"/>
        <w:jc w:val="right"/>
        <w:rPr>
          <w:rFonts w:cs="Angsana New"/>
          <w:iCs/>
          <w:szCs w:val="24"/>
        </w:rPr>
      </w:pPr>
      <w:r w:rsidRPr="00B57FD2">
        <w:rPr>
          <w:iCs/>
          <w:szCs w:val="24"/>
        </w:rPr>
        <w:t>[Fin de l</w:t>
      </w:r>
      <w:r>
        <w:rPr>
          <w:iCs/>
          <w:szCs w:val="24"/>
        </w:rPr>
        <w:t>’</w:t>
      </w:r>
      <w:r w:rsidRPr="00B57FD2">
        <w:rPr>
          <w:iCs/>
          <w:szCs w:val="24"/>
        </w:rPr>
        <w:t>annexe et du document]</w:t>
      </w:r>
    </w:p>
    <w:sectPr w:rsidR="00322223" w:rsidRPr="00B57FD2" w:rsidSect="0043467F">
      <w:headerReference w:type="default" r:id="rId13"/>
      <w:head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A4" w:rsidRDefault="008861A4" w:rsidP="006655D3">
      <w:r>
        <w:separator/>
      </w:r>
    </w:p>
    <w:p w:rsidR="008861A4" w:rsidRDefault="008861A4" w:rsidP="006655D3"/>
    <w:p w:rsidR="008861A4" w:rsidRDefault="008861A4" w:rsidP="006655D3"/>
  </w:endnote>
  <w:endnote w:type="continuationSeparator" w:id="0">
    <w:p w:rsidR="008861A4" w:rsidRDefault="008861A4" w:rsidP="006655D3">
      <w:r>
        <w:separator/>
      </w:r>
    </w:p>
    <w:p w:rsidR="008861A4" w:rsidRPr="00294751" w:rsidRDefault="008861A4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8861A4" w:rsidRPr="00294751" w:rsidRDefault="008861A4" w:rsidP="006655D3"/>
    <w:p w:rsidR="008861A4" w:rsidRPr="00294751" w:rsidRDefault="008861A4" w:rsidP="006655D3"/>
  </w:endnote>
  <w:endnote w:type="continuationNotice" w:id="1">
    <w:p w:rsidR="008861A4" w:rsidRPr="00294751" w:rsidRDefault="008861A4" w:rsidP="006655D3">
      <w:r w:rsidRPr="00294751">
        <w:t>[Suite de la note page suivante]</w:t>
      </w:r>
    </w:p>
    <w:p w:rsidR="008861A4" w:rsidRPr="00294751" w:rsidRDefault="008861A4" w:rsidP="006655D3"/>
    <w:p w:rsidR="008861A4" w:rsidRPr="00294751" w:rsidRDefault="008861A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A4" w:rsidRDefault="008861A4" w:rsidP="006655D3">
      <w:r>
        <w:separator/>
      </w:r>
    </w:p>
  </w:footnote>
  <w:footnote w:type="continuationSeparator" w:id="0">
    <w:p w:rsidR="008861A4" w:rsidRDefault="008861A4" w:rsidP="006655D3">
      <w:r>
        <w:separator/>
      </w:r>
    </w:p>
  </w:footnote>
  <w:footnote w:type="continuationNotice" w:id="1">
    <w:p w:rsidR="008861A4" w:rsidRPr="00AB530F" w:rsidRDefault="008861A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A0B9E" w:rsidP="00EB048E">
    <w:pPr>
      <w:pStyle w:val="Header"/>
      <w:rPr>
        <w:rStyle w:val="PageNumber"/>
      </w:rPr>
    </w:pPr>
    <w:r>
      <w:rPr>
        <w:rStyle w:val="PageNumber"/>
      </w:rPr>
      <w:t>CAJ/79/8</w:t>
    </w:r>
  </w:p>
  <w:p w:rsidR="0004198B" w:rsidRPr="00C5280D" w:rsidRDefault="0004198B" w:rsidP="00EB048E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667A0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7F" w:rsidRPr="00C5280D" w:rsidRDefault="001321CA" w:rsidP="0043467F">
    <w:pPr>
      <w:pStyle w:val="Header"/>
      <w:rPr>
        <w:rStyle w:val="PageNumber"/>
      </w:rPr>
    </w:pPr>
    <w:r>
      <w:rPr>
        <w:rStyle w:val="PageNumber"/>
      </w:rPr>
      <w:t>CAJ/79/8</w:t>
    </w:r>
  </w:p>
  <w:p w:rsidR="0068387F" w:rsidRPr="00C5280D" w:rsidRDefault="001321CA" w:rsidP="0043467F">
    <w:pPr>
      <w:pStyle w:val="Header"/>
    </w:pPr>
    <w:r>
      <w:t>Annexe, 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667A0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68387F" w:rsidRDefault="00066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7F" w:rsidRPr="00C5280D" w:rsidRDefault="001321CA" w:rsidP="0068387F">
    <w:pPr>
      <w:pStyle w:val="Header"/>
      <w:rPr>
        <w:rStyle w:val="PageNumber"/>
      </w:rPr>
    </w:pPr>
    <w:r>
      <w:rPr>
        <w:rStyle w:val="PageNumber"/>
      </w:rPr>
      <w:t>CAJ/79/8</w:t>
    </w:r>
  </w:p>
  <w:p w:rsidR="0068387F" w:rsidRDefault="000667A0" w:rsidP="0068387F">
    <w:pPr>
      <w:pStyle w:val="Header"/>
    </w:pPr>
  </w:p>
  <w:p w:rsidR="0068387F" w:rsidRDefault="001321CA">
    <w:pPr>
      <w:pStyle w:val="Header"/>
    </w:pPr>
    <w:r>
      <w:t>ANNEXE</w:t>
    </w:r>
  </w:p>
  <w:p w:rsidR="0068387F" w:rsidRDefault="00066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1BC0"/>
    <w:multiLevelType w:val="hybridMultilevel"/>
    <w:tmpl w:val="A3DA5076"/>
    <w:lvl w:ilvl="0" w:tplc="62DE4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85CE8"/>
    <w:multiLevelType w:val="hybridMultilevel"/>
    <w:tmpl w:val="AF640EFC"/>
    <w:lvl w:ilvl="0" w:tplc="F8F219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83B"/>
    <w:multiLevelType w:val="hybridMultilevel"/>
    <w:tmpl w:val="C2B2C6E2"/>
    <w:lvl w:ilvl="0" w:tplc="6406A75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4"/>
    <w:rsid w:val="00010CF3"/>
    <w:rsid w:val="00011E27"/>
    <w:rsid w:val="00012ED9"/>
    <w:rsid w:val="000148BC"/>
    <w:rsid w:val="000148C8"/>
    <w:rsid w:val="00022620"/>
    <w:rsid w:val="00024AB8"/>
    <w:rsid w:val="00030854"/>
    <w:rsid w:val="00036028"/>
    <w:rsid w:val="0004198B"/>
    <w:rsid w:val="00044642"/>
    <w:rsid w:val="000446B9"/>
    <w:rsid w:val="00047E21"/>
    <w:rsid w:val="00050E16"/>
    <w:rsid w:val="000667A0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2308"/>
    <w:rsid w:val="001131D5"/>
    <w:rsid w:val="00114547"/>
    <w:rsid w:val="00130E0D"/>
    <w:rsid w:val="001321CA"/>
    <w:rsid w:val="00141DB8"/>
    <w:rsid w:val="00172084"/>
    <w:rsid w:val="001726C8"/>
    <w:rsid w:val="0017474A"/>
    <w:rsid w:val="001758C6"/>
    <w:rsid w:val="00182B99"/>
    <w:rsid w:val="001C1525"/>
    <w:rsid w:val="001C238A"/>
    <w:rsid w:val="0021332C"/>
    <w:rsid w:val="00213982"/>
    <w:rsid w:val="00241297"/>
    <w:rsid w:val="0024416D"/>
    <w:rsid w:val="00245C32"/>
    <w:rsid w:val="00271911"/>
    <w:rsid w:val="00273187"/>
    <w:rsid w:val="00274DE4"/>
    <w:rsid w:val="002800A0"/>
    <w:rsid w:val="002801B3"/>
    <w:rsid w:val="00281060"/>
    <w:rsid w:val="00284050"/>
    <w:rsid w:val="00285BD0"/>
    <w:rsid w:val="002940E8"/>
    <w:rsid w:val="00294751"/>
    <w:rsid w:val="002A0B9E"/>
    <w:rsid w:val="002A6E50"/>
    <w:rsid w:val="002B4298"/>
    <w:rsid w:val="002B7A36"/>
    <w:rsid w:val="002C256A"/>
    <w:rsid w:val="002D5226"/>
    <w:rsid w:val="002E1A43"/>
    <w:rsid w:val="002E3165"/>
    <w:rsid w:val="00305A7F"/>
    <w:rsid w:val="003152FE"/>
    <w:rsid w:val="00322223"/>
    <w:rsid w:val="00327436"/>
    <w:rsid w:val="00344BD6"/>
    <w:rsid w:val="0035528D"/>
    <w:rsid w:val="00361821"/>
    <w:rsid w:val="00361E9E"/>
    <w:rsid w:val="003737E9"/>
    <w:rsid w:val="003753EE"/>
    <w:rsid w:val="003954D4"/>
    <w:rsid w:val="003A0835"/>
    <w:rsid w:val="003A5AAF"/>
    <w:rsid w:val="003B700A"/>
    <w:rsid w:val="003C6823"/>
    <w:rsid w:val="003C77AC"/>
    <w:rsid w:val="003C7FBE"/>
    <w:rsid w:val="003D227C"/>
    <w:rsid w:val="003D2B4D"/>
    <w:rsid w:val="003F37F5"/>
    <w:rsid w:val="0040439A"/>
    <w:rsid w:val="0042230B"/>
    <w:rsid w:val="00444A88"/>
    <w:rsid w:val="00474DA4"/>
    <w:rsid w:val="00476B4D"/>
    <w:rsid w:val="00477609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5DE2"/>
    <w:rsid w:val="00576BE4"/>
    <w:rsid w:val="005779DB"/>
    <w:rsid w:val="00595B67"/>
    <w:rsid w:val="005A2A67"/>
    <w:rsid w:val="005A400A"/>
    <w:rsid w:val="005B269D"/>
    <w:rsid w:val="005E3EBB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96BC1"/>
    <w:rsid w:val="006A5CDE"/>
    <w:rsid w:val="006A644A"/>
    <w:rsid w:val="006B17D2"/>
    <w:rsid w:val="006C224E"/>
    <w:rsid w:val="006D780A"/>
    <w:rsid w:val="0071271E"/>
    <w:rsid w:val="007264DB"/>
    <w:rsid w:val="00732DEC"/>
    <w:rsid w:val="00735BD5"/>
    <w:rsid w:val="007451EC"/>
    <w:rsid w:val="00751613"/>
    <w:rsid w:val="00753EE9"/>
    <w:rsid w:val="007546E6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0BD4"/>
    <w:rsid w:val="008211B5"/>
    <w:rsid w:val="0082296E"/>
    <w:rsid w:val="00824099"/>
    <w:rsid w:val="00846D7C"/>
    <w:rsid w:val="00862669"/>
    <w:rsid w:val="00867AC1"/>
    <w:rsid w:val="008751DE"/>
    <w:rsid w:val="008861A4"/>
    <w:rsid w:val="00890DF8"/>
    <w:rsid w:val="008A0ADE"/>
    <w:rsid w:val="008A743F"/>
    <w:rsid w:val="008C0970"/>
    <w:rsid w:val="008D0BC5"/>
    <w:rsid w:val="008D0F14"/>
    <w:rsid w:val="008D2B1F"/>
    <w:rsid w:val="008D2CF7"/>
    <w:rsid w:val="008D689F"/>
    <w:rsid w:val="00900C26"/>
    <w:rsid w:val="0090197F"/>
    <w:rsid w:val="00903264"/>
    <w:rsid w:val="009049D6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2796A"/>
    <w:rsid w:val="00A34DE6"/>
    <w:rsid w:val="00A42AC3"/>
    <w:rsid w:val="00A430CF"/>
    <w:rsid w:val="00A54309"/>
    <w:rsid w:val="00A610A9"/>
    <w:rsid w:val="00A75AD7"/>
    <w:rsid w:val="00A80F2A"/>
    <w:rsid w:val="00A96C33"/>
    <w:rsid w:val="00AB2B93"/>
    <w:rsid w:val="00AB530F"/>
    <w:rsid w:val="00AB7E5B"/>
    <w:rsid w:val="00AC2883"/>
    <w:rsid w:val="00AE0EF1"/>
    <w:rsid w:val="00AE2937"/>
    <w:rsid w:val="00AE7B1D"/>
    <w:rsid w:val="00B00A6A"/>
    <w:rsid w:val="00B07301"/>
    <w:rsid w:val="00B11F3E"/>
    <w:rsid w:val="00B224DE"/>
    <w:rsid w:val="00B324D4"/>
    <w:rsid w:val="00B46575"/>
    <w:rsid w:val="00B61777"/>
    <w:rsid w:val="00B622E6"/>
    <w:rsid w:val="00B748DF"/>
    <w:rsid w:val="00B7546C"/>
    <w:rsid w:val="00B83E82"/>
    <w:rsid w:val="00B84BBD"/>
    <w:rsid w:val="00BA43FB"/>
    <w:rsid w:val="00BA4A7A"/>
    <w:rsid w:val="00BC127D"/>
    <w:rsid w:val="00BC1FE6"/>
    <w:rsid w:val="00BC4537"/>
    <w:rsid w:val="00BC4BED"/>
    <w:rsid w:val="00C02EBD"/>
    <w:rsid w:val="00C05E15"/>
    <w:rsid w:val="00C061B6"/>
    <w:rsid w:val="00C2446C"/>
    <w:rsid w:val="00C33394"/>
    <w:rsid w:val="00C36AE5"/>
    <w:rsid w:val="00C41F17"/>
    <w:rsid w:val="00C527FA"/>
    <w:rsid w:val="00C5280D"/>
    <w:rsid w:val="00C53B1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4D31"/>
    <w:rsid w:val="00D221FB"/>
    <w:rsid w:val="00D23823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7E71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A58"/>
    <w:rsid w:val="00EF2F89"/>
    <w:rsid w:val="00EF30F3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A711B"/>
    <w:rsid w:val="00FC5FD0"/>
    <w:rsid w:val="00FC758E"/>
    <w:rsid w:val="00FE39C7"/>
    <w:rsid w:val="00FF4D07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53B72513-2694-4458-B236-F6A3A6E0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C682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0148C8"/>
    <w:pPr>
      <w:tabs>
        <w:tab w:val="right" w:leader="dot" w:pos="9639"/>
      </w:tabs>
      <w:spacing w:before="60"/>
      <w:ind w:left="720"/>
      <w:jc w:val="both"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rsid w:val="000148C8"/>
    <w:pPr>
      <w:tabs>
        <w:tab w:val="right" w:leader="dot" w:pos="9639"/>
      </w:tabs>
      <w:spacing w:before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2A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C238A"/>
    <w:pPr>
      <w:ind w:left="720"/>
      <w:contextualSpacing/>
    </w:pPr>
  </w:style>
  <w:style w:type="character" w:customStyle="1" w:styleId="Heading2Char">
    <w:name w:val="Heading 2 Char"/>
    <w:aliases w:val="VARIETY Char,variety Char"/>
    <w:basedOn w:val="DefaultParagraphFont"/>
    <w:link w:val="Heading2"/>
    <w:rsid w:val="00D04D31"/>
    <w:rPr>
      <w:rFonts w:ascii="Arial" w:hAnsi="Arial"/>
      <w:u w:val="single"/>
    </w:rPr>
  </w:style>
  <w:style w:type="character" w:styleId="FollowedHyperlink">
    <w:name w:val="FollowedHyperlink"/>
    <w:basedOn w:val="DefaultParagraphFont"/>
    <w:semiHidden/>
    <w:unhideWhenUsed/>
    <w:rsid w:val="00A34DE6"/>
    <w:rPr>
      <w:color w:val="800080" w:themeColor="followedHyperlink"/>
      <w:u w:val="single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1321C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meetings/fr/details.jsp?meeting_id=701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pov.int/meetings/fr/details.jsp?meeting_id=70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fr/details.jsp?meeting_id=6777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8355-8C91-4131-88A5-0B93FA6E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1577</Words>
  <Characters>9597</Characters>
  <Application>Microsoft Office Word</Application>
  <DocSecurity>0</DocSecurity>
  <Lines>234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CAJ/79/8</vt:lpstr>
    </vt:vector>
  </TitlesOfParts>
  <Company>UPOV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CAJ/79/8</dc:title>
  <dc:creator>SANCHEZ VIZCAINO GOMEZ Rosa Maria</dc:creator>
  <cp:lastModifiedBy>SANTOS Carla Marina</cp:lastModifiedBy>
  <cp:revision>16</cp:revision>
  <cp:lastPrinted>2016-11-22T15:41:00Z</cp:lastPrinted>
  <dcterms:created xsi:type="dcterms:W3CDTF">2022-09-30T17:48:00Z</dcterms:created>
  <dcterms:modified xsi:type="dcterms:W3CDTF">2022-10-12T08:16:00Z</dcterms:modified>
</cp:coreProperties>
</file>