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9D481E" w:rsidRPr="00997100" w:rsidTr="00A85706">
        <w:tc>
          <w:tcPr>
            <w:tcW w:w="6522" w:type="dxa"/>
          </w:tcPr>
          <w:p w:rsidR="003F09A7" w:rsidRPr="00997100" w:rsidRDefault="003F09A7" w:rsidP="00A85706">
            <w:pPr>
              <w:rPr>
                <w:lang w:val="fr-FR"/>
              </w:rPr>
            </w:pPr>
            <w:bookmarkStart w:id="0" w:name="_GoBack"/>
            <w:bookmarkEnd w:id="0"/>
            <w:r w:rsidRPr="00997100">
              <w:rPr>
                <w:noProof/>
              </w:rPr>
              <w:drawing>
                <wp:inline distT="0" distB="0" distL="0" distR="0" wp14:anchorId="2CB68936" wp14:editId="71BA94A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3F09A7" w:rsidRPr="00997100" w:rsidRDefault="003F09A7" w:rsidP="00A85706">
            <w:pPr>
              <w:pStyle w:val="Lettrine"/>
              <w:rPr>
                <w:lang w:val="fr-FR"/>
              </w:rPr>
            </w:pPr>
            <w:r w:rsidRPr="00997100">
              <w:rPr>
                <w:lang w:val="fr-FR"/>
              </w:rPr>
              <w:t>F</w:t>
            </w:r>
          </w:p>
        </w:tc>
      </w:tr>
      <w:tr w:rsidR="003F09A7" w:rsidRPr="00A87E6E" w:rsidTr="00A85706">
        <w:trPr>
          <w:trHeight w:val="219"/>
        </w:trPr>
        <w:tc>
          <w:tcPr>
            <w:tcW w:w="6522" w:type="dxa"/>
          </w:tcPr>
          <w:p w:rsidR="003F09A7" w:rsidRPr="00997100" w:rsidRDefault="003F09A7" w:rsidP="00A85706">
            <w:pPr>
              <w:pStyle w:val="upove"/>
              <w:rPr>
                <w:lang w:val="fr-FR"/>
              </w:rPr>
            </w:pPr>
            <w:r w:rsidRPr="00997100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3F09A7" w:rsidRPr="00997100" w:rsidRDefault="003F09A7" w:rsidP="00A85706">
            <w:pPr>
              <w:rPr>
                <w:lang w:val="fr-FR"/>
              </w:rPr>
            </w:pPr>
          </w:p>
        </w:tc>
      </w:tr>
    </w:tbl>
    <w:p w:rsidR="005278EE" w:rsidRPr="00997100" w:rsidRDefault="005278EE" w:rsidP="003F09A7">
      <w:pPr>
        <w:rPr>
          <w:lang w:val="fr-FR"/>
        </w:rPr>
      </w:pPr>
    </w:p>
    <w:p w:rsidR="003F09A7" w:rsidRPr="00997100" w:rsidRDefault="003F09A7" w:rsidP="003F09A7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9D481E" w:rsidRPr="00A87E6E" w:rsidTr="00A85706">
        <w:tc>
          <w:tcPr>
            <w:tcW w:w="6512" w:type="dxa"/>
          </w:tcPr>
          <w:p w:rsidR="005278EE" w:rsidRPr="00997100" w:rsidRDefault="003F09A7" w:rsidP="00A85706">
            <w:pPr>
              <w:pStyle w:val="Sessiontc"/>
              <w:spacing w:line="240" w:lineRule="auto"/>
              <w:rPr>
                <w:lang w:val="fr-FR"/>
              </w:rPr>
            </w:pPr>
            <w:r w:rsidRPr="00997100">
              <w:rPr>
                <w:lang w:val="fr-FR"/>
              </w:rPr>
              <w:t>Comité administratif et juridique</w:t>
            </w:r>
          </w:p>
          <w:p w:rsidR="003F09A7" w:rsidRPr="00997100" w:rsidRDefault="003F09A7" w:rsidP="00A85706">
            <w:pPr>
              <w:pStyle w:val="Sessiontcplacedate"/>
              <w:rPr>
                <w:sz w:val="22"/>
                <w:lang w:val="fr-FR"/>
              </w:rPr>
            </w:pPr>
            <w:r w:rsidRPr="00997100">
              <w:rPr>
                <w:lang w:val="fr-FR"/>
              </w:rPr>
              <w:t>Soixante</w:t>
            </w:r>
            <w:r w:rsidR="00B43F1D" w:rsidRPr="00997100">
              <w:rPr>
                <w:lang w:val="fr-FR"/>
              </w:rPr>
              <w:t>-</w:t>
            </w:r>
            <w:r w:rsidRPr="00997100">
              <w:rPr>
                <w:lang w:val="fr-FR"/>
              </w:rPr>
              <w:t>dix</w:t>
            </w:r>
            <w:r w:rsidR="00B43F1D" w:rsidRPr="00997100">
              <w:rPr>
                <w:lang w:val="fr-FR"/>
              </w:rPr>
              <w:t>-</w:t>
            </w:r>
            <w:r w:rsidRPr="00997100">
              <w:rPr>
                <w:lang w:val="fr-FR"/>
              </w:rPr>
              <w:t>neuv</w:t>
            </w:r>
            <w:r w:rsidR="00B43F1D" w:rsidRPr="00997100">
              <w:rPr>
                <w:lang w:val="fr-FR"/>
              </w:rPr>
              <w:t>ième session</w:t>
            </w:r>
            <w:r w:rsidRPr="00997100">
              <w:rPr>
                <w:lang w:val="fr-FR"/>
              </w:rPr>
              <w:br/>
              <w:t>Genève, 2</w:t>
            </w:r>
            <w:r w:rsidR="00B43F1D" w:rsidRPr="00997100">
              <w:rPr>
                <w:lang w:val="fr-FR"/>
              </w:rPr>
              <w:t>6 octobre 20</w:t>
            </w:r>
            <w:r w:rsidRPr="00997100">
              <w:rPr>
                <w:lang w:val="fr-FR"/>
              </w:rPr>
              <w:t>22</w:t>
            </w:r>
          </w:p>
        </w:tc>
        <w:tc>
          <w:tcPr>
            <w:tcW w:w="3127" w:type="dxa"/>
          </w:tcPr>
          <w:p w:rsidR="005278EE" w:rsidRPr="00997100" w:rsidRDefault="003F09A7" w:rsidP="00A85706">
            <w:pPr>
              <w:pStyle w:val="Doccode"/>
              <w:rPr>
                <w:lang w:val="fr-FR"/>
              </w:rPr>
            </w:pPr>
            <w:r w:rsidRPr="00997100">
              <w:rPr>
                <w:lang w:val="fr-FR"/>
              </w:rPr>
              <w:t>CAJ/79/7</w:t>
            </w:r>
          </w:p>
          <w:p w:rsidR="005278EE" w:rsidRPr="00997100" w:rsidRDefault="003F09A7" w:rsidP="00A85706">
            <w:pPr>
              <w:pStyle w:val="Docoriginal"/>
              <w:rPr>
                <w:lang w:val="fr-FR"/>
              </w:rPr>
            </w:pPr>
            <w:r w:rsidRPr="00997100">
              <w:rPr>
                <w:lang w:val="fr-FR"/>
              </w:rPr>
              <w:t>Original</w:t>
            </w:r>
            <w:r w:rsidR="009C3A48" w:rsidRPr="00997100">
              <w:rPr>
                <w:lang w:val="fr-FR"/>
              </w:rPr>
              <w:t> :</w:t>
            </w:r>
            <w:r w:rsidRPr="00997100">
              <w:rPr>
                <w:b w:val="0"/>
                <w:spacing w:val="0"/>
                <w:lang w:val="fr-FR"/>
              </w:rPr>
              <w:t xml:space="preserve"> anglais</w:t>
            </w:r>
          </w:p>
          <w:p w:rsidR="003F09A7" w:rsidRPr="00997100" w:rsidRDefault="003F09A7" w:rsidP="00470FF3">
            <w:pPr>
              <w:pStyle w:val="Docoriginal"/>
              <w:rPr>
                <w:lang w:val="fr-FR"/>
              </w:rPr>
            </w:pPr>
            <w:r w:rsidRPr="00997100">
              <w:rPr>
                <w:lang w:val="fr-FR"/>
              </w:rPr>
              <w:t>Date</w:t>
            </w:r>
            <w:r w:rsidR="009C3A48" w:rsidRPr="00997100">
              <w:rPr>
                <w:lang w:val="fr-FR"/>
              </w:rPr>
              <w:t> :</w:t>
            </w:r>
            <w:r w:rsidRPr="00997100">
              <w:rPr>
                <w:b w:val="0"/>
                <w:spacing w:val="0"/>
                <w:lang w:val="fr-FR"/>
              </w:rPr>
              <w:t xml:space="preserve"> </w:t>
            </w:r>
            <w:r w:rsidRPr="00470FF3">
              <w:rPr>
                <w:b w:val="0"/>
                <w:spacing w:val="0"/>
                <w:lang w:val="fr-FR"/>
              </w:rPr>
              <w:t>2</w:t>
            </w:r>
            <w:r w:rsidR="00470FF3">
              <w:rPr>
                <w:b w:val="0"/>
                <w:spacing w:val="0"/>
                <w:lang w:val="fr-FR"/>
              </w:rPr>
              <w:t>2</w:t>
            </w:r>
            <w:r w:rsidR="00B43F1D" w:rsidRPr="00470FF3">
              <w:rPr>
                <w:b w:val="0"/>
                <w:spacing w:val="0"/>
                <w:lang w:val="fr-FR"/>
              </w:rPr>
              <w:t> juillet 20</w:t>
            </w:r>
            <w:r w:rsidRPr="00470FF3">
              <w:rPr>
                <w:b w:val="0"/>
                <w:spacing w:val="0"/>
                <w:lang w:val="fr-FR"/>
              </w:rPr>
              <w:t>22</w:t>
            </w:r>
          </w:p>
        </w:tc>
      </w:tr>
    </w:tbl>
    <w:p w:rsidR="005278EE" w:rsidRPr="00997100" w:rsidRDefault="003F09A7" w:rsidP="003F09A7">
      <w:pPr>
        <w:pStyle w:val="Titleofdoc0"/>
        <w:rPr>
          <w:lang w:val="fr-FR"/>
        </w:rPr>
      </w:pPr>
      <w:r w:rsidRPr="00997100">
        <w:rPr>
          <w:lang w:val="fr-FR"/>
        </w:rPr>
        <w:t>Mesures visant à renforcer la coopération en matière d</w:t>
      </w:r>
      <w:r w:rsidR="00B43F1D" w:rsidRPr="00997100">
        <w:rPr>
          <w:lang w:val="fr-FR"/>
        </w:rPr>
        <w:t>’</w:t>
      </w:r>
      <w:r w:rsidRPr="00997100">
        <w:rPr>
          <w:lang w:val="fr-FR"/>
        </w:rPr>
        <w:t>examen</w:t>
      </w:r>
    </w:p>
    <w:p w:rsidR="005278EE" w:rsidRPr="00997100" w:rsidRDefault="005278EE" w:rsidP="005278EE">
      <w:pPr>
        <w:pStyle w:val="preparedby1"/>
        <w:jc w:val="left"/>
        <w:rPr>
          <w:lang w:val="fr-FR"/>
        </w:rPr>
      </w:pPr>
      <w:r w:rsidRPr="00997100">
        <w:rPr>
          <w:lang w:val="fr-FR"/>
        </w:rPr>
        <w:t>Document établi par le Bureau de l</w:t>
      </w:r>
      <w:r w:rsidR="00B43F1D" w:rsidRPr="00997100">
        <w:rPr>
          <w:lang w:val="fr-FR"/>
        </w:rPr>
        <w:t>’</w:t>
      </w:r>
      <w:r w:rsidRPr="00997100">
        <w:rPr>
          <w:lang w:val="fr-FR"/>
        </w:rPr>
        <w:t>Union</w:t>
      </w:r>
    </w:p>
    <w:p w:rsidR="005278EE" w:rsidRPr="00997100" w:rsidRDefault="003F09A7" w:rsidP="003F09A7">
      <w:pPr>
        <w:pStyle w:val="Disclaimer"/>
        <w:rPr>
          <w:color w:val="A6A6A6"/>
          <w:lang w:val="fr-FR"/>
        </w:rPr>
      </w:pPr>
      <w:r w:rsidRPr="00997100">
        <w:rPr>
          <w:color w:val="A6A6A6"/>
          <w:lang w:val="fr-FR"/>
        </w:rPr>
        <w:t>‏Avertissement</w:t>
      </w:r>
      <w:r w:rsidR="00B43F1D" w:rsidRPr="00997100">
        <w:rPr>
          <w:color w:val="A6A6A6"/>
          <w:lang w:val="fr-FR"/>
        </w:rPr>
        <w:t> :</w:t>
      </w:r>
      <w:r w:rsidRPr="00997100">
        <w:rPr>
          <w:color w:val="A6A6A6"/>
          <w:lang w:val="fr-FR"/>
        </w:rPr>
        <w:t xml:space="preserve"> le présent document ne représente pas les principes ou les orientations de l</w:t>
      </w:r>
      <w:r w:rsidR="00B43F1D" w:rsidRPr="00997100">
        <w:rPr>
          <w:color w:val="A6A6A6"/>
          <w:lang w:val="fr-FR"/>
        </w:rPr>
        <w:t>’</w:t>
      </w:r>
      <w:r w:rsidRPr="00997100">
        <w:rPr>
          <w:color w:val="A6A6A6"/>
          <w:lang w:val="fr-FR"/>
        </w:rPr>
        <w:t>UPOV</w:t>
      </w:r>
    </w:p>
    <w:p w:rsidR="005278EE" w:rsidRPr="00997100" w:rsidRDefault="003F09A7" w:rsidP="003F09A7">
      <w:pPr>
        <w:pStyle w:val="Heading1"/>
        <w:rPr>
          <w:lang w:val="fr-FR"/>
        </w:rPr>
      </w:pPr>
      <w:r w:rsidRPr="00997100">
        <w:rPr>
          <w:lang w:val="fr-FR"/>
        </w:rPr>
        <w:t>RÉSUMÉ</w:t>
      </w:r>
    </w:p>
    <w:p w:rsidR="005278EE" w:rsidRPr="00997100" w:rsidRDefault="005278EE" w:rsidP="00807712">
      <w:pPr>
        <w:rPr>
          <w:lang w:val="fr-FR"/>
        </w:rPr>
      </w:pPr>
    </w:p>
    <w:p w:rsidR="00B43F1D" w:rsidRPr="00997100" w:rsidRDefault="00807712" w:rsidP="00807712">
      <w:pPr>
        <w:rPr>
          <w:spacing w:val="-4"/>
          <w:lang w:val="fr-FR"/>
        </w:rPr>
      </w:pPr>
      <w:r w:rsidRPr="00997100">
        <w:rPr>
          <w:lang w:val="fr-FR"/>
        </w:rPr>
        <w:fldChar w:fldCharType="begin"/>
      </w:r>
      <w:r w:rsidRPr="00997100">
        <w:rPr>
          <w:lang w:val="fr-FR"/>
        </w:rPr>
        <w:instrText xml:space="preserve"> AUTONUM  </w:instrText>
      </w:r>
      <w:r w:rsidRPr="00997100">
        <w:rPr>
          <w:lang w:val="fr-FR"/>
        </w:rPr>
        <w:fldChar w:fldCharType="end"/>
      </w:r>
      <w:r w:rsidRPr="00997100">
        <w:rPr>
          <w:lang w:val="fr-FR"/>
        </w:rPr>
        <w:tab/>
      </w:r>
      <w:r w:rsidR="00470FF3">
        <w:rPr>
          <w:lang w:val="fr-FR"/>
        </w:rPr>
        <w:t xml:space="preserve">Le </w:t>
      </w:r>
      <w:r w:rsidR="005278EE" w:rsidRPr="00997100">
        <w:rPr>
          <w:lang w:val="fr-FR"/>
        </w:rPr>
        <w:t xml:space="preserve">présent document </w:t>
      </w:r>
      <w:r w:rsidR="00470FF3">
        <w:rPr>
          <w:lang w:val="fr-FR"/>
        </w:rPr>
        <w:t xml:space="preserve">a pour objet </w:t>
      </w:r>
      <w:r w:rsidR="005278EE" w:rsidRPr="00997100">
        <w:rPr>
          <w:lang w:val="fr-FR"/>
        </w:rPr>
        <w:t>d</w:t>
      </w:r>
      <w:r w:rsidR="00B43F1D" w:rsidRPr="00997100">
        <w:rPr>
          <w:lang w:val="fr-FR"/>
        </w:rPr>
        <w:t>’</w:t>
      </w:r>
      <w:r w:rsidR="005278EE" w:rsidRPr="00997100">
        <w:rPr>
          <w:lang w:val="fr-FR"/>
        </w:rPr>
        <w:t>inviter le Comité administratif et juridique (CAJ) à examiner des propositions concernant les mesures à prendre pour surmonter les obstacles politiques ou juridiques que le Comité technique (TC) a identifiés comme entravant la coopération internationale en matière d</w:t>
      </w:r>
      <w:r w:rsidR="00B43F1D" w:rsidRPr="00997100">
        <w:rPr>
          <w:lang w:val="fr-FR"/>
        </w:rPr>
        <w:t>’</w:t>
      </w:r>
      <w:r w:rsidR="005278EE" w:rsidRPr="00997100">
        <w:rPr>
          <w:lang w:val="fr-FR"/>
        </w:rPr>
        <w:t>examen</w:t>
      </w:r>
      <w:r w:rsidR="009C3A48" w:rsidRPr="00997100">
        <w:rPr>
          <w:lang w:val="fr-FR"/>
        </w:rPr>
        <w:t> </w:t>
      </w:r>
      <w:r w:rsidR="005278EE" w:rsidRPr="00997100">
        <w:rPr>
          <w:lang w:val="fr-FR"/>
        </w:rPr>
        <w:t>DHS</w:t>
      </w:r>
      <w:r w:rsidR="009C3A48" w:rsidRPr="00997100">
        <w:rPr>
          <w:lang w:val="fr-FR"/>
        </w:rPr>
        <w:t>.</w:t>
      </w:r>
    </w:p>
    <w:p w:rsidR="005278EE" w:rsidRPr="00997100" w:rsidRDefault="005278EE" w:rsidP="00807712">
      <w:pPr>
        <w:rPr>
          <w:spacing w:val="-4"/>
          <w:lang w:val="fr-FR"/>
        </w:rPr>
      </w:pPr>
    </w:p>
    <w:p w:rsidR="005278EE" w:rsidRPr="00997100" w:rsidRDefault="00701D7A" w:rsidP="005278EE">
      <w:pPr>
        <w:rPr>
          <w:snapToGrid w:val="0"/>
          <w:lang w:val="fr-FR"/>
        </w:rPr>
      </w:pPr>
      <w:r w:rsidRPr="00997100">
        <w:rPr>
          <w:snapToGrid w:val="0"/>
          <w:lang w:val="fr-FR"/>
        </w:rPr>
        <w:fldChar w:fldCharType="begin"/>
      </w:r>
      <w:r w:rsidRPr="00997100">
        <w:rPr>
          <w:snapToGrid w:val="0"/>
          <w:lang w:val="fr-FR"/>
        </w:rPr>
        <w:instrText xml:space="preserve"> AUTONUM  </w:instrText>
      </w:r>
      <w:r w:rsidRPr="00997100">
        <w:rPr>
          <w:snapToGrid w:val="0"/>
          <w:lang w:val="fr-FR"/>
        </w:rPr>
        <w:fldChar w:fldCharType="end"/>
      </w:r>
      <w:r w:rsidRPr="00997100">
        <w:rPr>
          <w:snapToGrid w:val="0"/>
          <w:lang w:val="fr-FR"/>
        </w:rPr>
        <w:tab/>
      </w:r>
      <w:r w:rsidR="005278EE" w:rsidRPr="00997100">
        <w:rPr>
          <w:snapToGrid w:val="0"/>
          <w:lang w:val="fr-FR"/>
        </w:rPr>
        <w:t>Le CAJ est invité</w:t>
      </w:r>
      <w:r w:rsidR="00470FF3">
        <w:rPr>
          <w:snapToGrid w:val="0"/>
          <w:lang w:val="fr-FR"/>
        </w:rPr>
        <w:t xml:space="preserve"> à</w:t>
      </w:r>
      <w:r w:rsidR="00B43F1D" w:rsidRPr="00997100">
        <w:rPr>
          <w:snapToGrid w:val="0"/>
          <w:lang w:val="fr-FR"/>
        </w:rPr>
        <w:t> :</w:t>
      </w:r>
    </w:p>
    <w:p w:rsidR="005278EE" w:rsidRPr="00997100" w:rsidRDefault="005278EE" w:rsidP="00701D7A">
      <w:pPr>
        <w:rPr>
          <w:snapToGrid w:val="0"/>
          <w:lang w:val="fr-FR"/>
        </w:rPr>
      </w:pPr>
    </w:p>
    <w:p w:rsidR="005278EE" w:rsidRPr="00997100" w:rsidRDefault="00701D7A" w:rsidP="00701D7A">
      <w:pPr>
        <w:ind w:firstLine="567"/>
        <w:rPr>
          <w:snapToGrid w:val="0"/>
          <w:lang w:val="fr-FR"/>
        </w:rPr>
      </w:pPr>
      <w:r w:rsidRPr="00997100">
        <w:rPr>
          <w:snapToGrid w:val="0"/>
          <w:lang w:val="fr-FR"/>
        </w:rPr>
        <w:t>a)</w:t>
      </w:r>
      <w:r w:rsidRPr="00997100">
        <w:rPr>
          <w:snapToGrid w:val="0"/>
          <w:lang w:val="fr-FR"/>
        </w:rPr>
        <w:tab/>
      </w:r>
      <w:r w:rsidR="00031071" w:rsidRPr="00997100">
        <w:rPr>
          <w:snapToGrid w:val="0"/>
          <w:lang w:val="fr-FR"/>
        </w:rPr>
        <w:t>examiner les propositions de questions pour l</w:t>
      </w:r>
      <w:r w:rsidR="00B43F1D" w:rsidRPr="00997100">
        <w:rPr>
          <w:snapToGrid w:val="0"/>
          <w:lang w:val="fr-FR"/>
        </w:rPr>
        <w:t>’</w:t>
      </w:r>
      <w:r w:rsidR="00031071" w:rsidRPr="00997100">
        <w:rPr>
          <w:snapToGrid w:val="0"/>
          <w:lang w:val="fr-FR"/>
        </w:rPr>
        <w:t>enquête qui sera menée auprès des membres de l</w:t>
      </w:r>
      <w:r w:rsidR="00B43F1D" w:rsidRPr="00997100">
        <w:rPr>
          <w:snapToGrid w:val="0"/>
          <w:lang w:val="fr-FR"/>
        </w:rPr>
        <w:t>’</w:t>
      </w:r>
      <w:r w:rsidR="00031071" w:rsidRPr="00997100">
        <w:rPr>
          <w:snapToGrid w:val="0"/>
          <w:lang w:val="fr-FR"/>
        </w:rPr>
        <w:t>Union afin d</w:t>
      </w:r>
      <w:r w:rsidR="00B43F1D" w:rsidRPr="00997100">
        <w:rPr>
          <w:snapToGrid w:val="0"/>
          <w:lang w:val="fr-FR"/>
        </w:rPr>
        <w:t>’</w:t>
      </w:r>
      <w:r w:rsidR="00031071" w:rsidRPr="00997100">
        <w:rPr>
          <w:snapToGrid w:val="0"/>
          <w:lang w:val="fr-FR"/>
        </w:rPr>
        <w:t>obtenir des informations sur leurs politiques ou obstacles juridiques susceptibles d</w:t>
      </w:r>
      <w:r w:rsidR="00B43F1D" w:rsidRPr="00997100">
        <w:rPr>
          <w:snapToGrid w:val="0"/>
          <w:lang w:val="fr-FR"/>
        </w:rPr>
        <w:t>’</w:t>
      </w:r>
      <w:r w:rsidR="00031071" w:rsidRPr="00997100">
        <w:rPr>
          <w:snapToGrid w:val="0"/>
          <w:lang w:val="fr-FR"/>
        </w:rPr>
        <w:t>empêcher la coopération internationale en matière d</w:t>
      </w:r>
      <w:r w:rsidR="00B43F1D" w:rsidRPr="00997100">
        <w:rPr>
          <w:snapToGrid w:val="0"/>
          <w:lang w:val="fr-FR"/>
        </w:rPr>
        <w:t>’</w:t>
      </w:r>
      <w:r w:rsidR="00031071" w:rsidRPr="00997100">
        <w:rPr>
          <w:snapToGrid w:val="0"/>
          <w:lang w:val="fr-FR"/>
        </w:rPr>
        <w:t>examen</w:t>
      </w:r>
      <w:r w:rsidR="009C3A48" w:rsidRPr="00997100">
        <w:rPr>
          <w:snapToGrid w:val="0"/>
          <w:lang w:val="fr-FR"/>
        </w:rPr>
        <w:t> </w:t>
      </w:r>
      <w:r w:rsidR="00031071" w:rsidRPr="00997100">
        <w:rPr>
          <w:snapToGrid w:val="0"/>
          <w:lang w:val="fr-FR"/>
        </w:rPr>
        <w:t>DHS</w:t>
      </w:r>
      <w:r w:rsidRPr="00997100">
        <w:rPr>
          <w:snapToGrid w:val="0"/>
          <w:lang w:val="fr-FR"/>
        </w:rPr>
        <w:t>;</w:t>
      </w:r>
    </w:p>
    <w:p w:rsidR="005278EE" w:rsidRPr="00997100" w:rsidRDefault="005278EE" w:rsidP="00701D7A">
      <w:pPr>
        <w:ind w:firstLine="567"/>
        <w:rPr>
          <w:snapToGrid w:val="0"/>
          <w:lang w:val="fr-FR"/>
        </w:rPr>
      </w:pPr>
    </w:p>
    <w:p w:rsidR="005278EE" w:rsidRPr="00997100" w:rsidRDefault="00701D7A" w:rsidP="00701D7A">
      <w:pPr>
        <w:ind w:firstLine="567"/>
        <w:rPr>
          <w:snapToGrid w:val="0"/>
          <w:lang w:val="fr-FR"/>
        </w:rPr>
      </w:pPr>
      <w:r w:rsidRPr="00997100">
        <w:rPr>
          <w:snapToGrid w:val="0"/>
          <w:lang w:val="fr-FR"/>
        </w:rPr>
        <w:t>b)</w:t>
      </w:r>
      <w:r w:rsidRPr="00997100">
        <w:rPr>
          <w:snapToGrid w:val="0"/>
          <w:lang w:val="fr-FR"/>
        </w:rPr>
        <w:tab/>
      </w:r>
      <w:r w:rsidR="00031071" w:rsidRPr="00997100">
        <w:rPr>
          <w:snapToGrid w:val="0"/>
          <w:lang w:val="fr-FR"/>
        </w:rPr>
        <w:t>prendre note de la demande qui a été faite aux organisations d</w:t>
      </w:r>
      <w:r w:rsidR="00B43F1D" w:rsidRPr="00997100">
        <w:rPr>
          <w:snapToGrid w:val="0"/>
          <w:lang w:val="fr-FR"/>
        </w:rPr>
        <w:t>’</w:t>
      </w:r>
      <w:r w:rsidR="00031071" w:rsidRPr="00997100">
        <w:rPr>
          <w:snapToGrid w:val="0"/>
          <w:lang w:val="fr-FR"/>
        </w:rPr>
        <w:t>obtenteurs d</w:t>
      </w:r>
      <w:r w:rsidR="00B43F1D" w:rsidRPr="00997100">
        <w:rPr>
          <w:snapToGrid w:val="0"/>
          <w:lang w:val="fr-FR"/>
        </w:rPr>
        <w:t>’</w:t>
      </w:r>
      <w:r w:rsidR="00031071" w:rsidRPr="00997100">
        <w:rPr>
          <w:snapToGrid w:val="0"/>
          <w:lang w:val="fr-FR"/>
        </w:rPr>
        <w:t>apporter des précisions sur les difficultés que pose la volonté des obtenteurs d</w:t>
      </w:r>
      <w:r w:rsidR="00B43F1D" w:rsidRPr="00997100">
        <w:rPr>
          <w:snapToGrid w:val="0"/>
          <w:lang w:val="fr-FR"/>
        </w:rPr>
        <w:t>’</w:t>
      </w:r>
      <w:r w:rsidR="00031071" w:rsidRPr="00997100">
        <w:rPr>
          <w:snapToGrid w:val="0"/>
          <w:lang w:val="fr-FR"/>
        </w:rPr>
        <w:t>utiliser, ou de ne pas utiliser, les rapports d</w:t>
      </w:r>
      <w:r w:rsidR="00B43F1D" w:rsidRPr="00997100">
        <w:rPr>
          <w:snapToGrid w:val="0"/>
          <w:lang w:val="fr-FR"/>
        </w:rPr>
        <w:t>’</w:t>
      </w:r>
      <w:r w:rsidR="00031071" w:rsidRPr="00997100">
        <w:rPr>
          <w:snapToGrid w:val="0"/>
          <w:lang w:val="fr-FR"/>
        </w:rPr>
        <w:t>examen</w:t>
      </w:r>
      <w:r w:rsidR="009C3A48" w:rsidRPr="00997100">
        <w:rPr>
          <w:snapToGrid w:val="0"/>
          <w:lang w:val="fr-FR"/>
        </w:rPr>
        <w:t> </w:t>
      </w:r>
      <w:r w:rsidR="00031071" w:rsidRPr="00997100">
        <w:rPr>
          <w:snapToGrid w:val="0"/>
          <w:lang w:val="fr-FR"/>
        </w:rPr>
        <w:t>DHS existants</w:t>
      </w:r>
      <w:r w:rsidR="0042112A" w:rsidRPr="00997100">
        <w:rPr>
          <w:snapToGrid w:val="0"/>
          <w:lang w:val="fr-FR"/>
        </w:rPr>
        <w:t xml:space="preserve">, </w:t>
      </w:r>
      <w:r w:rsidR="00031071" w:rsidRPr="00997100">
        <w:rPr>
          <w:snapToGrid w:val="0"/>
          <w:lang w:val="fr-FR"/>
        </w:rPr>
        <w:t xml:space="preserve">comme indiqué au </w:t>
      </w:r>
      <w:r w:rsidR="00B43F1D" w:rsidRPr="00997100">
        <w:rPr>
          <w:snapToGrid w:val="0"/>
          <w:lang w:val="fr-FR"/>
        </w:rPr>
        <w:t>paragraphe </w:t>
      </w:r>
      <w:r w:rsidR="00B43F1D" w:rsidRPr="00470FF3">
        <w:rPr>
          <w:snapToGrid w:val="0"/>
          <w:lang w:val="fr-FR"/>
        </w:rPr>
        <w:t>2</w:t>
      </w:r>
      <w:r w:rsidR="00031071" w:rsidRPr="00470FF3">
        <w:rPr>
          <w:snapToGrid w:val="0"/>
          <w:lang w:val="fr-FR"/>
        </w:rPr>
        <w:t>0</w:t>
      </w:r>
      <w:r w:rsidRPr="00470FF3">
        <w:rPr>
          <w:snapToGrid w:val="0"/>
          <w:lang w:val="fr-FR"/>
        </w:rPr>
        <w:t xml:space="preserve">; </w:t>
      </w:r>
      <w:r w:rsidR="00B03C2A" w:rsidRPr="00470FF3">
        <w:rPr>
          <w:snapToGrid w:val="0"/>
          <w:lang w:val="fr-FR"/>
        </w:rPr>
        <w:t xml:space="preserve"> </w:t>
      </w:r>
      <w:r w:rsidR="00031071" w:rsidRPr="00470FF3">
        <w:rPr>
          <w:snapToGrid w:val="0"/>
          <w:lang w:val="fr-FR"/>
        </w:rPr>
        <w:t>et</w:t>
      </w:r>
    </w:p>
    <w:p w:rsidR="005278EE" w:rsidRPr="00997100" w:rsidRDefault="005278EE" w:rsidP="00701D7A">
      <w:pPr>
        <w:ind w:firstLine="567"/>
        <w:rPr>
          <w:snapToGrid w:val="0"/>
          <w:lang w:val="fr-FR"/>
        </w:rPr>
      </w:pPr>
    </w:p>
    <w:p w:rsidR="005278EE" w:rsidRPr="00997100" w:rsidRDefault="00701D7A" w:rsidP="00701D7A">
      <w:pPr>
        <w:ind w:firstLine="567"/>
        <w:rPr>
          <w:snapToGrid w:val="0"/>
          <w:lang w:val="fr-FR"/>
        </w:rPr>
      </w:pPr>
      <w:r w:rsidRPr="0053766F">
        <w:rPr>
          <w:snapToGrid w:val="0"/>
          <w:lang w:val="fr-FR"/>
        </w:rPr>
        <w:t>c)</w:t>
      </w:r>
      <w:r w:rsidRPr="00997100">
        <w:rPr>
          <w:snapToGrid w:val="0"/>
          <w:lang w:val="fr-FR"/>
        </w:rPr>
        <w:tab/>
      </w:r>
      <w:r w:rsidR="0053766F" w:rsidRPr="0053766F">
        <w:rPr>
          <w:snapToGrid w:val="0"/>
          <w:lang w:val="fr-FR"/>
        </w:rPr>
        <w:t xml:space="preserve">à reporter la rédaction des “notes explicatives” sur l’article 12 de la Convention UPOV (“Examen de la demande”) jusqu’à ce que ces informations, </w:t>
      </w:r>
      <w:r w:rsidR="008A674B">
        <w:rPr>
          <w:snapToGrid w:val="0"/>
          <w:lang w:val="fr-FR"/>
        </w:rPr>
        <w:t xml:space="preserve">provenant </w:t>
      </w:r>
      <w:r w:rsidR="0053766F" w:rsidRPr="0053766F">
        <w:rPr>
          <w:snapToGrid w:val="0"/>
          <w:lang w:val="fr-FR"/>
        </w:rPr>
        <w:t>des membres de l’Union en réponse à l’enquête et des organisations d’obtenteurs, soient disponibles et aient été examinées par le CAJ.</w:t>
      </w:r>
    </w:p>
    <w:p w:rsidR="005278EE" w:rsidRPr="00997100" w:rsidRDefault="005278EE" w:rsidP="00701D7A">
      <w:pPr>
        <w:rPr>
          <w:lang w:val="fr-FR"/>
        </w:rPr>
      </w:pPr>
    </w:p>
    <w:p w:rsidR="005278EE" w:rsidRPr="00997100" w:rsidRDefault="00807712" w:rsidP="00807712">
      <w:pPr>
        <w:rPr>
          <w:lang w:val="fr-FR"/>
        </w:rPr>
      </w:pPr>
      <w:r w:rsidRPr="00997100">
        <w:rPr>
          <w:lang w:val="fr-FR"/>
        </w:rPr>
        <w:fldChar w:fldCharType="begin"/>
      </w:r>
      <w:r w:rsidRPr="00997100">
        <w:rPr>
          <w:lang w:val="fr-FR"/>
        </w:rPr>
        <w:instrText xml:space="preserve"> AUTONUM  </w:instrText>
      </w:r>
      <w:r w:rsidRPr="00997100">
        <w:rPr>
          <w:lang w:val="fr-FR"/>
        </w:rPr>
        <w:fldChar w:fldCharType="end"/>
      </w:r>
      <w:r w:rsidRPr="00997100">
        <w:rPr>
          <w:lang w:val="fr-FR"/>
        </w:rPr>
        <w:tab/>
      </w:r>
      <w:r w:rsidR="00745304" w:rsidRPr="00997100">
        <w:rPr>
          <w:lang w:val="fr-FR"/>
        </w:rPr>
        <w:t>L</w:t>
      </w:r>
      <w:r w:rsidR="009D481E" w:rsidRPr="00997100">
        <w:rPr>
          <w:lang w:val="fr-FR"/>
        </w:rPr>
        <w:t>e présent document est structuré</w:t>
      </w:r>
      <w:r w:rsidR="00745304" w:rsidRPr="00997100">
        <w:rPr>
          <w:lang w:val="fr-FR"/>
        </w:rPr>
        <w:t xml:space="preserve"> comme suit</w:t>
      </w:r>
      <w:r w:rsidR="009C3A48" w:rsidRPr="00997100">
        <w:rPr>
          <w:lang w:val="fr-FR"/>
        </w:rPr>
        <w:t> </w:t>
      </w:r>
      <w:r w:rsidR="00745304" w:rsidRPr="00997100">
        <w:rPr>
          <w:lang w:val="fr-FR"/>
        </w:rPr>
        <w:t>:</w:t>
      </w:r>
    </w:p>
    <w:p w:rsidR="005278EE" w:rsidRPr="00997100" w:rsidRDefault="005278EE" w:rsidP="00807712">
      <w:pPr>
        <w:rPr>
          <w:lang w:val="fr-FR"/>
        </w:rPr>
      </w:pPr>
    </w:p>
    <w:p w:rsidR="005278EE" w:rsidRPr="00997100" w:rsidRDefault="00807712" w:rsidP="00807712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val="fr-FR"/>
        </w:rPr>
      </w:pPr>
      <w:r w:rsidRPr="00997100">
        <w:rPr>
          <w:rFonts w:eastAsia="MS Mincho" w:cs="Arial"/>
          <w:sz w:val="18"/>
          <w:lang w:val="fr-FR" w:eastAsia="ja-JP"/>
        </w:rPr>
        <w:fldChar w:fldCharType="begin"/>
      </w:r>
      <w:r w:rsidRPr="00997100">
        <w:rPr>
          <w:rFonts w:eastAsia="MS Mincho" w:cs="Arial"/>
          <w:lang w:val="fr-FR" w:eastAsia="ja-JP"/>
        </w:rPr>
        <w:instrText xml:space="preserve"> TOC \o "1-2" \u </w:instrText>
      </w:r>
      <w:r w:rsidRPr="00997100">
        <w:rPr>
          <w:rFonts w:eastAsia="MS Mincho" w:cs="Arial"/>
          <w:sz w:val="18"/>
          <w:lang w:val="fr-FR" w:eastAsia="ja-JP"/>
        </w:rPr>
        <w:fldChar w:fldCharType="separate"/>
      </w:r>
      <w:r w:rsidR="003F770F" w:rsidRPr="00997100">
        <w:rPr>
          <w:lang w:val="fr-FR"/>
        </w:rPr>
        <w:t>résumé</w:t>
      </w:r>
      <w:r w:rsidRPr="00997100">
        <w:rPr>
          <w:lang w:val="fr-FR"/>
        </w:rPr>
        <w:tab/>
      </w:r>
      <w:r w:rsidRPr="00997100">
        <w:rPr>
          <w:lang w:val="fr-FR"/>
        </w:rPr>
        <w:fldChar w:fldCharType="begin"/>
      </w:r>
      <w:r w:rsidRPr="00997100">
        <w:rPr>
          <w:lang w:val="fr-FR"/>
        </w:rPr>
        <w:instrText xml:space="preserve"> PAGEREF _Toc82009360 \h </w:instrText>
      </w:r>
      <w:r w:rsidRPr="00997100">
        <w:rPr>
          <w:lang w:val="fr-FR"/>
        </w:rPr>
      </w:r>
      <w:r w:rsidRPr="00997100">
        <w:rPr>
          <w:lang w:val="fr-FR"/>
        </w:rPr>
        <w:fldChar w:fldCharType="separate"/>
      </w:r>
      <w:r w:rsidRPr="00997100">
        <w:rPr>
          <w:lang w:val="fr-FR"/>
        </w:rPr>
        <w:t>1</w:t>
      </w:r>
      <w:r w:rsidRPr="00997100">
        <w:rPr>
          <w:lang w:val="fr-FR"/>
        </w:rPr>
        <w:fldChar w:fldCharType="end"/>
      </w:r>
    </w:p>
    <w:p w:rsidR="005278EE" w:rsidRPr="00997100" w:rsidRDefault="003F770F" w:rsidP="00807712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val="fr-FR"/>
        </w:rPr>
      </w:pPr>
      <w:r w:rsidRPr="00997100">
        <w:rPr>
          <w:lang w:val="fr-FR"/>
        </w:rPr>
        <w:t>informations générales</w:t>
      </w:r>
      <w:r w:rsidR="00807712" w:rsidRPr="00997100">
        <w:rPr>
          <w:lang w:val="fr-FR"/>
        </w:rPr>
        <w:tab/>
      </w:r>
      <w:r w:rsidR="00807712" w:rsidRPr="00997100">
        <w:rPr>
          <w:lang w:val="fr-FR"/>
        </w:rPr>
        <w:fldChar w:fldCharType="begin"/>
      </w:r>
      <w:r w:rsidR="00807712" w:rsidRPr="00997100">
        <w:rPr>
          <w:lang w:val="fr-FR"/>
        </w:rPr>
        <w:instrText xml:space="preserve"> PAGEREF _Toc82009361 \h </w:instrText>
      </w:r>
      <w:r w:rsidR="00807712" w:rsidRPr="00997100">
        <w:rPr>
          <w:lang w:val="fr-FR"/>
        </w:rPr>
      </w:r>
      <w:r w:rsidR="00807712" w:rsidRPr="00997100">
        <w:rPr>
          <w:lang w:val="fr-FR"/>
        </w:rPr>
        <w:fldChar w:fldCharType="separate"/>
      </w:r>
      <w:r w:rsidR="00807712" w:rsidRPr="00997100">
        <w:rPr>
          <w:lang w:val="fr-FR"/>
        </w:rPr>
        <w:t>1</w:t>
      </w:r>
      <w:r w:rsidR="00807712" w:rsidRPr="00997100">
        <w:rPr>
          <w:lang w:val="fr-FR"/>
        </w:rPr>
        <w:fldChar w:fldCharType="end"/>
      </w:r>
    </w:p>
    <w:p w:rsidR="005278EE" w:rsidRPr="00997100" w:rsidRDefault="00455555" w:rsidP="00807712">
      <w:pPr>
        <w:pStyle w:val="TOC1"/>
        <w:jc w:val="both"/>
        <w:rPr>
          <w:rFonts w:asciiTheme="minorHAnsi" w:eastAsiaTheme="minorEastAsia" w:hAnsiTheme="minorHAnsi" w:cstheme="minorBidi"/>
          <w:caps w:val="0"/>
          <w:sz w:val="22"/>
          <w:szCs w:val="22"/>
          <w:lang w:val="fr-FR"/>
        </w:rPr>
      </w:pPr>
      <w:r w:rsidRPr="00997100">
        <w:rPr>
          <w:snapToGrid w:val="0"/>
          <w:lang w:val="fr-FR"/>
        </w:rPr>
        <w:t xml:space="preserve">éventuelles </w:t>
      </w:r>
      <w:r w:rsidR="003F770F" w:rsidRPr="00997100">
        <w:rPr>
          <w:snapToGrid w:val="0"/>
          <w:lang w:val="fr-FR"/>
        </w:rPr>
        <w:t>mesures à prendre pour surmonter les obstacles politiques ou juridiques entravant la coopération internationale en matière d’examen DHS</w:t>
      </w:r>
      <w:r w:rsidR="00807712" w:rsidRPr="00997100">
        <w:rPr>
          <w:lang w:val="fr-FR"/>
        </w:rPr>
        <w:tab/>
      </w:r>
      <w:r w:rsidR="00807712" w:rsidRPr="00997100">
        <w:rPr>
          <w:lang w:val="fr-FR"/>
        </w:rPr>
        <w:fldChar w:fldCharType="begin"/>
      </w:r>
      <w:r w:rsidR="00807712" w:rsidRPr="00997100">
        <w:rPr>
          <w:lang w:val="fr-FR"/>
        </w:rPr>
        <w:instrText xml:space="preserve"> PAGEREF _Toc82009362 \h </w:instrText>
      </w:r>
      <w:r w:rsidR="00807712" w:rsidRPr="00997100">
        <w:rPr>
          <w:lang w:val="fr-FR"/>
        </w:rPr>
      </w:r>
      <w:r w:rsidR="00807712" w:rsidRPr="00997100">
        <w:rPr>
          <w:lang w:val="fr-FR"/>
        </w:rPr>
        <w:fldChar w:fldCharType="separate"/>
      </w:r>
      <w:r w:rsidR="00807712" w:rsidRPr="00997100">
        <w:rPr>
          <w:lang w:val="fr-FR"/>
        </w:rPr>
        <w:t>2</w:t>
      </w:r>
      <w:r w:rsidR="00807712" w:rsidRPr="00997100">
        <w:rPr>
          <w:lang w:val="fr-FR"/>
        </w:rPr>
        <w:fldChar w:fldCharType="end"/>
      </w:r>
    </w:p>
    <w:p w:rsidR="005278EE" w:rsidRPr="00997100" w:rsidRDefault="00807712" w:rsidP="00807712">
      <w:pPr>
        <w:tabs>
          <w:tab w:val="left" w:pos="1134"/>
          <w:tab w:val="left" w:pos="1701"/>
        </w:tabs>
        <w:ind w:left="1134" w:hanging="1134"/>
        <w:rPr>
          <w:lang w:val="fr-FR"/>
        </w:rPr>
      </w:pPr>
      <w:r w:rsidRPr="00997100">
        <w:rPr>
          <w:rFonts w:eastAsia="MS Mincho" w:cs="Arial"/>
          <w:bCs/>
          <w:i/>
          <w:lang w:val="fr-FR" w:eastAsia="ja-JP"/>
        </w:rPr>
        <w:fldChar w:fldCharType="end"/>
      </w:r>
      <w:r w:rsidRPr="00997100">
        <w:rPr>
          <w:rFonts w:eastAsia="MS Mincho" w:cs="Arial"/>
          <w:bCs/>
          <w:lang w:val="fr-FR" w:eastAsia="ja-JP"/>
        </w:rPr>
        <w:t>ANNEX</w:t>
      </w:r>
      <w:r w:rsidR="00745304" w:rsidRPr="00997100">
        <w:rPr>
          <w:rFonts w:eastAsia="MS Mincho" w:cs="Arial"/>
          <w:bCs/>
          <w:lang w:val="fr-FR" w:eastAsia="ja-JP"/>
        </w:rPr>
        <w:t>E</w:t>
      </w:r>
      <w:r w:rsidRPr="00997100">
        <w:rPr>
          <w:rFonts w:eastAsia="MS Mincho" w:cs="Arial"/>
          <w:bCs/>
          <w:lang w:val="fr-FR" w:eastAsia="ja-JP"/>
        </w:rPr>
        <w:tab/>
      </w:r>
      <w:r w:rsidR="00745304" w:rsidRPr="00997100">
        <w:rPr>
          <w:rFonts w:eastAsia="MS Mincho" w:cs="Arial"/>
          <w:bCs/>
          <w:lang w:val="fr-FR" w:eastAsia="ja-JP"/>
        </w:rPr>
        <w:t>MESURES CONVENUES PAR LE</w:t>
      </w:r>
      <w:r w:rsidR="00B43F1D" w:rsidRPr="00997100">
        <w:rPr>
          <w:rFonts w:eastAsia="MS Mincho" w:cs="Arial"/>
          <w:bCs/>
          <w:lang w:val="fr-FR" w:eastAsia="ja-JP"/>
        </w:rPr>
        <w:t> TC</w:t>
      </w:r>
      <w:r w:rsidR="00745304" w:rsidRPr="00997100">
        <w:rPr>
          <w:rFonts w:eastAsia="MS Mincho" w:cs="Arial"/>
          <w:bCs/>
          <w:lang w:val="fr-FR" w:eastAsia="ja-JP"/>
        </w:rPr>
        <w:t xml:space="preserve"> POUR LEVER LES OBSTACLES QUI EMPÊCHENT LA COOPÉRATION INTERNATIONALE EN MATIÈRE D</w:t>
      </w:r>
      <w:r w:rsidR="00B43F1D" w:rsidRPr="00997100">
        <w:rPr>
          <w:rFonts w:eastAsia="MS Mincho" w:cs="Arial"/>
          <w:bCs/>
          <w:lang w:val="fr-FR" w:eastAsia="ja-JP"/>
        </w:rPr>
        <w:t>’</w:t>
      </w:r>
      <w:r w:rsidR="00745304" w:rsidRPr="00997100">
        <w:rPr>
          <w:rFonts w:eastAsia="MS Mincho" w:cs="Arial"/>
          <w:bCs/>
          <w:lang w:val="fr-FR" w:eastAsia="ja-JP"/>
        </w:rPr>
        <w:t>EXAMEN DHS</w:t>
      </w:r>
    </w:p>
    <w:p w:rsidR="005278EE" w:rsidRPr="00997100" w:rsidRDefault="005278EE" w:rsidP="00807712">
      <w:pPr>
        <w:rPr>
          <w:lang w:val="fr-FR"/>
        </w:rPr>
      </w:pPr>
    </w:p>
    <w:p w:rsidR="005278EE" w:rsidRPr="00997100" w:rsidRDefault="00807712" w:rsidP="00807712">
      <w:pPr>
        <w:keepNext/>
        <w:rPr>
          <w:lang w:val="fr-FR"/>
        </w:rPr>
      </w:pPr>
      <w:r w:rsidRPr="00997100">
        <w:rPr>
          <w:lang w:val="fr-FR"/>
        </w:rPr>
        <w:fldChar w:fldCharType="begin"/>
      </w:r>
      <w:r w:rsidRPr="00997100">
        <w:rPr>
          <w:lang w:val="fr-FR"/>
        </w:rPr>
        <w:instrText xml:space="preserve"> AUTONUM  </w:instrText>
      </w:r>
      <w:r w:rsidRPr="00997100">
        <w:rPr>
          <w:lang w:val="fr-FR"/>
        </w:rPr>
        <w:fldChar w:fldCharType="end"/>
      </w:r>
      <w:r w:rsidRPr="00997100">
        <w:rPr>
          <w:lang w:val="fr-FR"/>
        </w:rPr>
        <w:tab/>
      </w:r>
      <w:r w:rsidR="00AB4C9A" w:rsidRPr="00997100">
        <w:rPr>
          <w:lang w:val="fr-FR"/>
        </w:rPr>
        <w:t>Les abréviations ci</w:t>
      </w:r>
      <w:r w:rsidR="00B43F1D" w:rsidRPr="00997100">
        <w:rPr>
          <w:lang w:val="fr-FR"/>
        </w:rPr>
        <w:t>-</w:t>
      </w:r>
      <w:r w:rsidR="00AB4C9A" w:rsidRPr="00997100">
        <w:rPr>
          <w:lang w:val="fr-FR"/>
        </w:rPr>
        <w:t>après sont utilisées dans le présent document</w:t>
      </w:r>
      <w:r w:rsidR="00B43F1D" w:rsidRPr="00997100">
        <w:rPr>
          <w:lang w:val="fr-FR"/>
        </w:rPr>
        <w:t> :</w:t>
      </w:r>
    </w:p>
    <w:p w:rsidR="005278EE" w:rsidRPr="00997100" w:rsidRDefault="005278EE" w:rsidP="00AF73C3">
      <w:pPr>
        <w:keepNext/>
        <w:jc w:val="left"/>
        <w:rPr>
          <w:lang w:val="fr-FR"/>
        </w:rPr>
      </w:pPr>
    </w:p>
    <w:p w:rsidR="005278EE" w:rsidRPr="00997100" w:rsidRDefault="00807712" w:rsidP="00807712">
      <w:pPr>
        <w:keepNext/>
        <w:tabs>
          <w:tab w:val="left" w:pos="567"/>
          <w:tab w:val="left" w:pos="1701"/>
        </w:tabs>
        <w:rPr>
          <w:lang w:val="fr-FR"/>
        </w:rPr>
      </w:pPr>
      <w:r w:rsidRPr="00997100">
        <w:rPr>
          <w:lang w:val="fr-FR"/>
        </w:rPr>
        <w:tab/>
        <w:t>CAJ</w:t>
      </w:r>
      <w:r w:rsidR="009C3A48" w:rsidRPr="00997100">
        <w:rPr>
          <w:lang w:val="fr-FR"/>
        </w:rPr>
        <w:t xml:space="preserve"> : </w:t>
      </w:r>
      <w:r w:rsidRPr="00997100">
        <w:rPr>
          <w:lang w:val="fr-FR"/>
        </w:rPr>
        <w:tab/>
      </w:r>
      <w:r w:rsidR="00AB4C9A" w:rsidRPr="00997100">
        <w:rPr>
          <w:lang w:val="fr-FR"/>
        </w:rPr>
        <w:t>Comité administratif et juridique</w:t>
      </w:r>
    </w:p>
    <w:p w:rsidR="005278EE" w:rsidRPr="00997100" w:rsidRDefault="00807712" w:rsidP="00807712">
      <w:pPr>
        <w:keepNext/>
        <w:tabs>
          <w:tab w:val="left" w:pos="567"/>
          <w:tab w:val="left" w:pos="1701"/>
        </w:tabs>
        <w:rPr>
          <w:lang w:val="fr-FR"/>
        </w:rPr>
      </w:pPr>
      <w:r w:rsidRPr="00997100">
        <w:rPr>
          <w:lang w:val="fr-FR"/>
        </w:rPr>
        <w:tab/>
        <w:t>TC</w:t>
      </w:r>
      <w:r w:rsidR="009C3A48" w:rsidRPr="00997100">
        <w:rPr>
          <w:lang w:val="fr-FR"/>
        </w:rPr>
        <w:t xml:space="preserve"> : </w:t>
      </w:r>
      <w:r w:rsidRPr="00997100">
        <w:rPr>
          <w:lang w:val="fr-FR"/>
        </w:rPr>
        <w:tab/>
      </w:r>
      <w:r w:rsidR="00AB4C9A" w:rsidRPr="00997100">
        <w:rPr>
          <w:lang w:val="fr-FR"/>
        </w:rPr>
        <w:t>Comité technique</w:t>
      </w:r>
    </w:p>
    <w:p w:rsidR="005278EE" w:rsidRPr="00997100" w:rsidRDefault="00807712" w:rsidP="00807712">
      <w:pPr>
        <w:keepNext/>
        <w:tabs>
          <w:tab w:val="left" w:pos="567"/>
          <w:tab w:val="left" w:pos="1701"/>
        </w:tabs>
        <w:rPr>
          <w:rFonts w:eastAsia="PMingLiU"/>
          <w:szCs w:val="24"/>
          <w:lang w:val="fr-FR"/>
        </w:rPr>
      </w:pPr>
      <w:r w:rsidRPr="00997100">
        <w:rPr>
          <w:rFonts w:eastAsia="PMingLiU"/>
          <w:szCs w:val="24"/>
          <w:lang w:val="fr-FR"/>
        </w:rPr>
        <w:tab/>
        <w:t>TC</w:t>
      </w:r>
      <w:r w:rsidR="00B43F1D" w:rsidRPr="00997100">
        <w:rPr>
          <w:rFonts w:eastAsia="PMingLiU"/>
          <w:szCs w:val="24"/>
          <w:lang w:val="fr-FR"/>
        </w:rPr>
        <w:t>-</w:t>
      </w:r>
      <w:r w:rsidRPr="00997100">
        <w:rPr>
          <w:rFonts w:eastAsia="PMingLiU"/>
          <w:szCs w:val="24"/>
          <w:lang w:val="fr-FR"/>
        </w:rPr>
        <w:t>EDC</w:t>
      </w:r>
      <w:r w:rsidR="009C3A48" w:rsidRPr="00997100">
        <w:rPr>
          <w:rFonts w:eastAsia="PMingLiU"/>
          <w:szCs w:val="24"/>
          <w:lang w:val="fr-FR"/>
        </w:rPr>
        <w:t xml:space="preserve"> : </w:t>
      </w:r>
      <w:r w:rsidRPr="00997100">
        <w:rPr>
          <w:rFonts w:eastAsia="PMingLiU"/>
          <w:szCs w:val="24"/>
          <w:lang w:val="fr-FR"/>
        </w:rPr>
        <w:tab/>
      </w:r>
      <w:r w:rsidR="00AB4C9A" w:rsidRPr="00997100">
        <w:rPr>
          <w:rFonts w:eastAsia="PMingLiU"/>
          <w:szCs w:val="24"/>
          <w:lang w:val="fr-FR"/>
        </w:rPr>
        <w:t>Comité de rédaction élargi</w:t>
      </w:r>
    </w:p>
    <w:p w:rsidR="005278EE" w:rsidRPr="00997100" w:rsidRDefault="00807712" w:rsidP="00807712">
      <w:pPr>
        <w:keepNext/>
        <w:tabs>
          <w:tab w:val="left" w:pos="567"/>
          <w:tab w:val="left" w:pos="1701"/>
        </w:tabs>
        <w:rPr>
          <w:rFonts w:eastAsia="PMingLiU"/>
          <w:szCs w:val="24"/>
          <w:lang w:val="fr-FR"/>
        </w:rPr>
      </w:pPr>
      <w:r w:rsidRPr="00997100">
        <w:rPr>
          <w:rFonts w:eastAsia="PMingLiU"/>
          <w:szCs w:val="24"/>
          <w:lang w:val="fr-FR"/>
        </w:rPr>
        <w:tab/>
        <w:t>TWA</w:t>
      </w:r>
      <w:r w:rsidR="009C3A48" w:rsidRPr="00997100">
        <w:rPr>
          <w:rFonts w:eastAsia="PMingLiU"/>
          <w:szCs w:val="24"/>
          <w:lang w:val="fr-FR"/>
        </w:rPr>
        <w:t xml:space="preserve"> : </w:t>
      </w:r>
      <w:r w:rsidRPr="00997100">
        <w:rPr>
          <w:rFonts w:eastAsia="PMingLiU"/>
          <w:szCs w:val="24"/>
          <w:lang w:val="fr-FR"/>
        </w:rPr>
        <w:tab/>
      </w:r>
      <w:r w:rsidR="00AB4C9A" w:rsidRPr="00997100">
        <w:rPr>
          <w:rFonts w:eastAsia="PMingLiU"/>
          <w:szCs w:val="24"/>
          <w:lang w:val="fr-FR"/>
        </w:rPr>
        <w:t>Groupe de travail technique sur les plantes agricoles</w:t>
      </w:r>
    </w:p>
    <w:p w:rsidR="005278EE" w:rsidRPr="00997100" w:rsidRDefault="00807712" w:rsidP="008B78E9">
      <w:pPr>
        <w:keepNext/>
        <w:tabs>
          <w:tab w:val="left" w:pos="567"/>
          <w:tab w:val="left" w:pos="1701"/>
        </w:tabs>
        <w:ind w:left="1701" w:hanging="1701"/>
        <w:rPr>
          <w:rFonts w:eastAsia="PMingLiU"/>
          <w:szCs w:val="24"/>
          <w:lang w:val="fr-FR"/>
        </w:rPr>
      </w:pPr>
      <w:r w:rsidRPr="00997100">
        <w:rPr>
          <w:rFonts w:eastAsia="PMingLiU"/>
          <w:szCs w:val="24"/>
          <w:lang w:val="fr-FR"/>
        </w:rPr>
        <w:tab/>
        <w:t>TWC</w:t>
      </w:r>
      <w:r w:rsidR="009C3A48" w:rsidRPr="00997100">
        <w:rPr>
          <w:rFonts w:eastAsia="PMingLiU"/>
          <w:szCs w:val="24"/>
          <w:lang w:val="fr-FR"/>
        </w:rPr>
        <w:t xml:space="preserve"> : </w:t>
      </w:r>
      <w:r w:rsidRPr="00997100">
        <w:rPr>
          <w:rFonts w:eastAsia="PMingLiU"/>
          <w:szCs w:val="24"/>
          <w:lang w:val="fr-FR"/>
        </w:rPr>
        <w:tab/>
      </w:r>
      <w:r w:rsidR="00AB4C9A" w:rsidRPr="00997100">
        <w:rPr>
          <w:rFonts w:eastAsia="PMingLiU"/>
          <w:szCs w:val="24"/>
          <w:lang w:val="fr-FR"/>
        </w:rPr>
        <w:t>Groupe de travail technique sur les systèmes d</w:t>
      </w:r>
      <w:r w:rsidR="00B43F1D" w:rsidRPr="00997100">
        <w:rPr>
          <w:rFonts w:eastAsia="PMingLiU"/>
          <w:szCs w:val="24"/>
          <w:lang w:val="fr-FR"/>
        </w:rPr>
        <w:t>’</w:t>
      </w:r>
      <w:r w:rsidR="00AB4C9A" w:rsidRPr="00997100">
        <w:rPr>
          <w:rFonts w:eastAsia="PMingLiU"/>
          <w:szCs w:val="24"/>
          <w:lang w:val="fr-FR"/>
        </w:rPr>
        <w:t>automatisation et les programmes d</w:t>
      </w:r>
      <w:r w:rsidR="00B43F1D" w:rsidRPr="00997100">
        <w:rPr>
          <w:rFonts w:eastAsia="PMingLiU"/>
          <w:szCs w:val="24"/>
          <w:lang w:val="fr-FR"/>
        </w:rPr>
        <w:t>’</w:t>
      </w:r>
      <w:r w:rsidR="00AB4C9A" w:rsidRPr="00997100">
        <w:rPr>
          <w:rFonts w:eastAsia="PMingLiU"/>
          <w:szCs w:val="24"/>
          <w:lang w:val="fr-FR"/>
        </w:rPr>
        <w:t>ordinateur</w:t>
      </w:r>
    </w:p>
    <w:p w:rsidR="005278EE" w:rsidRPr="00997100" w:rsidRDefault="00E1218B" w:rsidP="00807712">
      <w:pPr>
        <w:keepNext/>
        <w:tabs>
          <w:tab w:val="left" w:pos="567"/>
          <w:tab w:val="left" w:pos="1701"/>
        </w:tabs>
        <w:rPr>
          <w:rFonts w:eastAsia="PMingLiU"/>
          <w:szCs w:val="24"/>
          <w:lang w:val="fr-FR"/>
        </w:rPr>
      </w:pPr>
      <w:r w:rsidRPr="00997100">
        <w:rPr>
          <w:rFonts w:eastAsia="PMingLiU"/>
          <w:szCs w:val="24"/>
          <w:lang w:val="fr-FR"/>
        </w:rPr>
        <w:tab/>
        <w:t>TWM</w:t>
      </w:r>
      <w:r w:rsidR="009C3A48" w:rsidRPr="00997100">
        <w:rPr>
          <w:rFonts w:eastAsia="PMingLiU"/>
          <w:szCs w:val="24"/>
          <w:lang w:val="fr-FR"/>
        </w:rPr>
        <w:t> </w:t>
      </w:r>
      <w:r w:rsidRPr="00997100">
        <w:rPr>
          <w:rFonts w:eastAsia="PMingLiU"/>
          <w:szCs w:val="24"/>
          <w:lang w:val="fr-FR"/>
        </w:rPr>
        <w:t xml:space="preserve">: </w:t>
      </w:r>
      <w:r w:rsidRPr="00997100">
        <w:rPr>
          <w:rFonts w:eastAsia="PMingLiU"/>
          <w:szCs w:val="24"/>
          <w:lang w:val="fr-FR"/>
        </w:rPr>
        <w:tab/>
      </w:r>
      <w:r w:rsidR="00AB4C9A" w:rsidRPr="00997100">
        <w:rPr>
          <w:rFonts w:eastAsia="PMingLiU"/>
          <w:szCs w:val="24"/>
          <w:lang w:val="fr-FR"/>
        </w:rPr>
        <w:t>Groupe de travail technique sur les méthodes et techniques d</w:t>
      </w:r>
      <w:r w:rsidR="00B43F1D" w:rsidRPr="00997100">
        <w:rPr>
          <w:rFonts w:eastAsia="PMingLiU"/>
          <w:szCs w:val="24"/>
          <w:lang w:val="fr-FR"/>
        </w:rPr>
        <w:t>’</w:t>
      </w:r>
      <w:r w:rsidR="00AB4C9A" w:rsidRPr="00997100">
        <w:rPr>
          <w:rFonts w:eastAsia="PMingLiU"/>
          <w:szCs w:val="24"/>
          <w:lang w:val="fr-FR"/>
        </w:rPr>
        <w:t>essai</w:t>
      </w:r>
    </w:p>
    <w:p w:rsidR="005278EE" w:rsidRPr="00997100" w:rsidRDefault="00807712" w:rsidP="00807712">
      <w:pPr>
        <w:keepNext/>
        <w:tabs>
          <w:tab w:val="left" w:pos="567"/>
          <w:tab w:val="left" w:pos="1701"/>
        </w:tabs>
        <w:rPr>
          <w:rFonts w:eastAsia="PMingLiU"/>
          <w:szCs w:val="24"/>
          <w:lang w:val="fr-FR"/>
        </w:rPr>
      </w:pPr>
      <w:r w:rsidRPr="00997100">
        <w:rPr>
          <w:rFonts w:eastAsia="PMingLiU"/>
          <w:szCs w:val="24"/>
          <w:lang w:val="fr-FR"/>
        </w:rPr>
        <w:tab/>
        <w:t>TWF</w:t>
      </w:r>
      <w:r w:rsidR="009C3A48" w:rsidRPr="00997100">
        <w:rPr>
          <w:rFonts w:eastAsia="PMingLiU"/>
          <w:szCs w:val="24"/>
          <w:lang w:val="fr-FR"/>
        </w:rPr>
        <w:t> </w:t>
      </w:r>
      <w:r w:rsidRPr="00997100">
        <w:rPr>
          <w:rFonts w:eastAsia="PMingLiU"/>
          <w:szCs w:val="24"/>
          <w:lang w:val="fr-FR"/>
        </w:rPr>
        <w:t xml:space="preserve">: </w:t>
      </w:r>
      <w:r w:rsidRPr="00997100">
        <w:rPr>
          <w:rFonts w:eastAsia="PMingLiU"/>
          <w:szCs w:val="24"/>
          <w:lang w:val="fr-FR"/>
        </w:rPr>
        <w:tab/>
      </w:r>
      <w:r w:rsidR="00AB4C9A" w:rsidRPr="00997100">
        <w:rPr>
          <w:rFonts w:eastAsia="PMingLiU"/>
          <w:szCs w:val="24"/>
          <w:lang w:val="fr-FR"/>
        </w:rPr>
        <w:t>Groupe de travail technique sur les plantes fruitières</w:t>
      </w:r>
    </w:p>
    <w:p w:rsidR="005278EE" w:rsidRPr="00997100" w:rsidRDefault="00807712" w:rsidP="00807712">
      <w:pPr>
        <w:keepNext/>
        <w:tabs>
          <w:tab w:val="left" w:pos="567"/>
          <w:tab w:val="left" w:pos="1701"/>
        </w:tabs>
        <w:rPr>
          <w:rFonts w:eastAsia="PMingLiU"/>
          <w:szCs w:val="24"/>
          <w:lang w:val="fr-FR"/>
        </w:rPr>
      </w:pPr>
      <w:r w:rsidRPr="00997100">
        <w:rPr>
          <w:rFonts w:eastAsia="PMingLiU"/>
          <w:szCs w:val="24"/>
          <w:lang w:val="fr-FR"/>
        </w:rPr>
        <w:tab/>
        <w:t>TWO</w:t>
      </w:r>
      <w:r w:rsidR="009C3A48" w:rsidRPr="00997100">
        <w:rPr>
          <w:rFonts w:eastAsia="PMingLiU"/>
          <w:szCs w:val="24"/>
          <w:lang w:val="fr-FR"/>
        </w:rPr>
        <w:t xml:space="preserve"> : </w:t>
      </w:r>
      <w:r w:rsidRPr="00997100">
        <w:rPr>
          <w:rFonts w:eastAsia="PMingLiU"/>
          <w:szCs w:val="24"/>
          <w:lang w:val="fr-FR"/>
        </w:rPr>
        <w:tab/>
      </w:r>
      <w:r w:rsidR="003516A9" w:rsidRPr="00997100">
        <w:rPr>
          <w:rFonts w:eastAsia="PMingLiU"/>
          <w:szCs w:val="24"/>
          <w:lang w:val="fr-FR"/>
        </w:rPr>
        <w:t>Groupe de travail technique sur les plantes ornementales et les arbres forestiers</w:t>
      </w:r>
    </w:p>
    <w:p w:rsidR="005278EE" w:rsidRPr="00997100" w:rsidRDefault="00807712" w:rsidP="00807712">
      <w:pPr>
        <w:keepNext/>
        <w:tabs>
          <w:tab w:val="left" w:pos="567"/>
          <w:tab w:val="left" w:pos="1701"/>
        </w:tabs>
        <w:rPr>
          <w:rFonts w:eastAsia="PMingLiU"/>
          <w:szCs w:val="24"/>
          <w:lang w:val="fr-FR"/>
        </w:rPr>
      </w:pPr>
      <w:r w:rsidRPr="00997100">
        <w:rPr>
          <w:rFonts w:eastAsia="PMingLiU"/>
          <w:szCs w:val="24"/>
          <w:lang w:val="fr-FR"/>
        </w:rPr>
        <w:tab/>
        <w:t>TWP</w:t>
      </w:r>
      <w:r w:rsidR="009C3A48" w:rsidRPr="00997100">
        <w:rPr>
          <w:rFonts w:eastAsia="PMingLiU"/>
          <w:szCs w:val="24"/>
          <w:lang w:val="fr-FR"/>
        </w:rPr>
        <w:t xml:space="preserve"> : </w:t>
      </w:r>
      <w:r w:rsidRPr="00997100">
        <w:rPr>
          <w:rFonts w:eastAsia="PMingLiU"/>
          <w:szCs w:val="24"/>
          <w:lang w:val="fr-FR"/>
        </w:rPr>
        <w:tab/>
      </w:r>
      <w:r w:rsidR="003516A9" w:rsidRPr="00997100">
        <w:rPr>
          <w:rFonts w:eastAsia="PMingLiU"/>
          <w:szCs w:val="24"/>
          <w:lang w:val="fr-FR"/>
        </w:rPr>
        <w:t>Groupes de travail techniques</w:t>
      </w:r>
    </w:p>
    <w:p w:rsidR="005278EE" w:rsidRPr="00997100" w:rsidRDefault="00807712" w:rsidP="00807712">
      <w:pPr>
        <w:keepNext/>
        <w:tabs>
          <w:tab w:val="left" w:pos="567"/>
          <w:tab w:val="left" w:pos="1701"/>
        </w:tabs>
        <w:rPr>
          <w:rFonts w:eastAsia="PMingLiU"/>
          <w:szCs w:val="24"/>
          <w:lang w:val="fr-FR"/>
        </w:rPr>
      </w:pPr>
      <w:r w:rsidRPr="00997100">
        <w:rPr>
          <w:rFonts w:eastAsia="PMingLiU"/>
          <w:szCs w:val="24"/>
          <w:lang w:val="fr-FR"/>
        </w:rPr>
        <w:tab/>
        <w:t>TWV</w:t>
      </w:r>
      <w:r w:rsidR="009C3A48" w:rsidRPr="00997100">
        <w:rPr>
          <w:rFonts w:eastAsia="PMingLiU"/>
          <w:szCs w:val="24"/>
          <w:lang w:val="fr-FR"/>
        </w:rPr>
        <w:t xml:space="preserve"> : </w:t>
      </w:r>
      <w:r w:rsidRPr="00997100">
        <w:rPr>
          <w:rFonts w:eastAsia="PMingLiU"/>
          <w:szCs w:val="24"/>
          <w:lang w:val="fr-FR"/>
        </w:rPr>
        <w:tab/>
      </w:r>
      <w:r w:rsidR="003516A9" w:rsidRPr="00997100">
        <w:rPr>
          <w:rFonts w:eastAsia="PMingLiU"/>
          <w:szCs w:val="24"/>
          <w:lang w:val="fr-FR"/>
        </w:rPr>
        <w:t>Groupe de travail technique sur les plantes potagères</w:t>
      </w:r>
    </w:p>
    <w:p w:rsidR="00AF73C3" w:rsidRDefault="00AF73C3">
      <w:pPr>
        <w:jc w:val="left"/>
        <w:rPr>
          <w:lang w:val="fr-FR"/>
        </w:rPr>
      </w:pPr>
    </w:p>
    <w:p w:rsidR="00AF73C3" w:rsidRDefault="00AF73C3">
      <w:pPr>
        <w:jc w:val="left"/>
        <w:rPr>
          <w:lang w:val="fr-FR"/>
        </w:rPr>
      </w:pPr>
      <w:r>
        <w:rPr>
          <w:lang w:val="fr-FR"/>
        </w:rPr>
        <w:br w:type="page"/>
      </w:r>
    </w:p>
    <w:p w:rsidR="005278EE" w:rsidRPr="00997100" w:rsidRDefault="008B78E9" w:rsidP="003F09A7">
      <w:pPr>
        <w:keepNext/>
        <w:outlineLvl w:val="0"/>
        <w:rPr>
          <w:snapToGrid w:val="0"/>
          <w:lang w:val="fr-FR"/>
        </w:rPr>
      </w:pPr>
      <w:r w:rsidRPr="00997100">
        <w:rPr>
          <w:snapToGrid w:val="0"/>
          <w:lang w:val="fr-FR"/>
        </w:rPr>
        <w:lastRenderedPageBreak/>
        <w:t>INFORMATIONS GÉNÉRALES</w:t>
      </w:r>
    </w:p>
    <w:p w:rsidR="005278EE" w:rsidRPr="00997100" w:rsidRDefault="005278EE" w:rsidP="00807712">
      <w:pPr>
        <w:keepNext/>
        <w:rPr>
          <w:u w:val="single"/>
          <w:lang w:val="fr-FR"/>
        </w:rPr>
      </w:pPr>
    </w:p>
    <w:p w:rsidR="005278EE" w:rsidRPr="00997100" w:rsidRDefault="00182E86" w:rsidP="00637716">
      <w:pPr>
        <w:pStyle w:val="Heading2"/>
        <w:rPr>
          <w:lang w:val="fr-FR"/>
        </w:rPr>
      </w:pPr>
      <w:r w:rsidRPr="00997100">
        <w:rPr>
          <w:lang w:val="fr-FR"/>
        </w:rPr>
        <w:t>Obstacles politiques ou juridiques que le</w:t>
      </w:r>
      <w:r w:rsidR="00B43F1D" w:rsidRPr="00997100">
        <w:rPr>
          <w:lang w:val="fr-FR"/>
        </w:rPr>
        <w:t> TC</w:t>
      </w:r>
      <w:r w:rsidRPr="00997100">
        <w:rPr>
          <w:lang w:val="fr-FR"/>
        </w:rPr>
        <w:t xml:space="preserve"> a identifiés comme entravant la coopération internationale en matière d</w:t>
      </w:r>
      <w:r w:rsidR="00B43F1D" w:rsidRPr="00997100">
        <w:rPr>
          <w:lang w:val="fr-FR"/>
        </w:rPr>
        <w:t>’</w:t>
      </w:r>
      <w:r w:rsidRPr="00997100">
        <w:rPr>
          <w:lang w:val="fr-FR"/>
        </w:rPr>
        <w:t>examen</w:t>
      </w:r>
      <w:r w:rsidR="009C3A48" w:rsidRPr="00997100">
        <w:rPr>
          <w:lang w:val="fr-FR"/>
        </w:rPr>
        <w:t> </w:t>
      </w:r>
      <w:r w:rsidRPr="00997100">
        <w:rPr>
          <w:lang w:val="fr-FR"/>
        </w:rPr>
        <w:t>DHS</w:t>
      </w:r>
    </w:p>
    <w:p w:rsidR="005278EE" w:rsidRPr="00997100" w:rsidRDefault="005278EE" w:rsidP="00807712">
      <w:pPr>
        <w:keepNext/>
        <w:rPr>
          <w:u w:val="single"/>
          <w:lang w:val="fr-FR"/>
        </w:rPr>
      </w:pPr>
    </w:p>
    <w:p w:rsidR="005278EE" w:rsidRPr="00997100" w:rsidRDefault="00807712" w:rsidP="003F09A7">
      <w:pPr>
        <w:rPr>
          <w:lang w:val="fr-FR"/>
        </w:rPr>
      </w:pPr>
      <w:r w:rsidRPr="00997100">
        <w:rPr>
          <w:lang w:val="fr-FR"/>
        </w:rPr>
        <w:fldChar w:fldCharType="begin"/>
      </w:r>
      <w:r w:rsidRPr="00997100">
        <w:rPr>
          <w:lang w:val="fr-FR"/>
        </w:rPr>
        <w:instrText xml:space="preserve"> AUTONUM  </w:instrText>
      </w:r>
      <w:r w:rsidRPr="00997100">
        <w:rPr>
          <w:lang w:val="fr-FR"/>
        </w:rPr>
        <w:fldChar w:fldCharType="end"/>
      </w:r>
      <w:r w:rsidRPr="00997100">
        <w:rPr>
          <w:lang w:val="fr-FR"/>
        </w:rPr>
        <w:tab/>
      </w:r>
      <w:r w:rsidR="003F09A7" w:rsidRPr="00997100">
        <w:rPr>
          <w:lang w:val="fr-FR"/>
        </w:rPr>
        <w:t>À sa soixante</w:t>
      </w:r>
      <w:r w:rsidR="00B43F1D" w:rsidRPr="00997100">
        <w:rPr>
          <w:lang w:val="fr-FR"/>
        </w:rPr>
        <w:t>-</w:t>
      </w:r>
      <w:r w:rsidR="003F09A7" w:rsidRPr="00997100">
        <w:rPr>
          <w:lang w:val="fr-FR"/>
        </w:rPr>
        <w:t>dix</w:t>
      </w:r>
      <w:r w:rsidR="00B43F1D" w:rsidRPr="00997100">
        <w:rPr>
          <w:lang w:val="fr-FR"/>
        </w:rPr>
        <w:t>-</w:t>
      </w:r>
      <w:r w:rsidR="003F09A7" w:rsidRPr="00997100">
        <w:rPr>
          <w:lang w:val="fr-FR"/>
        </w:rPr>
        <w:t>sept</w:t>
      </w:r>
      <w:r w:rsidR="00B43F1D" w:rsidRPr="00997100">
        <w:rPr>
          <w:lang w:val="fr-FR"/>
        </w:rPr>
        <w:t>ième session</w:t>
      </w:r>
      <w:r w:rsidR="003F09A7" w:rsidRPr="00997100">
        <w:rPr>
          <w:rStyle w:val="FootnoteReference"/>
          <w:lang w:val="fr-FR"/>
        </w:rPr>
        <w:footnoteReference w:id="2"/>
      </w:r>
      <w:r w:rsidR="003F09A7" w:rsidRPr="00997100">
        <w:rPr>
          <w:lang w:val="fr-FR"/>
        </w:rPr>
        <w:t>, le CAJ a pris note des informations figurant dans le document</w:t>
      </w:r>
      <w:r w:rsidR="008C34BA" w:rsidRPr="00997100">
        <w:rPr>
          <w:lang w:val="fr-FR"/>
        </w:rPr>
        <w:t> </w:t>
      </w:r>
      <w:r w:rsidR="003F09A7" w:rsidRPr="00997100">
        <w:rPr>
          <w:lang w:val="fr-FR"/>
        </w:rPr>
        <w:t>CAJ/77/2 et dans le rapport verbal présenté par M. Nik Hulse, président du</w:t>
      </w:r>
      <w:r w:rsidR="00B43F1D" w:rsidRPr="00997100">
        <w:rPr>
          <w:lang w:val="fr-FR"/>
        </w:rPr>
        <w:t> TC</w:t>
      </w:r>
      <w:r w:rsidR="003F09A7" w:rsidRPr="00997100">
        <w:rPr>
          <w:lang w:val="fr-FR"/>
        </w:rPr>
        <w:t xml:space="preserve"> (voir les paragraphes 11 à 15 du document</w:t>
      </w:r>
      <w:r w:rsidR="008C34BA" w:rsidRPr="00997100">
        <w:rPr>
          <w:lang w:val="fr-FR"/>
        </w:rPr>
        <w:t> </w:t>
      </w:r>
      <w:r w:rsidR="003F09A7" w:rsidRPr="00997100">
        <w:rPr>
          <w:lang w:val="fr-FR"/>
        </w:rPr>
        <w:t>CAJ/77/10 “</w:t>
      </w:r>
      <w:r w:rsidR="008B78E9" w:rsidRPr="00997100">
        <w:rPr>
          <w:lang w:val="fr-FR"/>
        </w:rPr>
        <w:t>Compte rendu</w:t>
      </w:r>
      <w:r w:rsidR="003F09A7" w:rsidRPr="00997100">
        <w:rPr>
          <w:lang w:val="fr-FR"/>
        </w:rPr>
        <w:t>”).</w:t>
      </w:r>
    </w:p>
    <w:p w:rsidR="005278EE" w:rsidRPr="00997100" w:rsidRDefault="005278EE" w:rsidP="00807712">
      <w:pPr>
        <w:rPr>
          <w:spacing w:val="-4"/>
          <w:lang w:val="fr-FR"/>
        </w:rPr>
      </w:pPr>
    </w:p>
    <w:p w:rsidR="005278EE" w:rsidRPr="00997100" w:rsidRDefault="00807712" w:rsidP="00807712">
      <w:pPr>
        <w:rPr>
          <w:spacing w:val="-4"/>
          <w:lang w:val="fr-FR"/>
        </w:rPr>
      </w:pPr>
      <w:r w:rsidRPr="00997100">
        <w:rPr>
          <w:spacing w:val="-4"/>
          <w:lang w:val="fr-FR"/>
        </w:rPr>
        <w:fldChar w:fldCharType="begin"/>
      </w:r>
      <w:r w:rsidRPr="00997100">
        <w:rPr>
          <w:spacing w:val="-4"/>
          <w:lang w:val="fr-FR"/>
        </w:rPr>
        <w:instrText xml:space="preserve"> AUTONUM  </w:instrText>
      </w:r>
      <w:r w:rsidRPr="00997100">
        <w:rPr>
          <w:spacing w:val="-4"/>
          <w:lang w:val="fr-FR"/>
        </w:rPr>
        <w:fldChar w:fldCharType="end"/>
      </w:r>
      <w:r w:rsidRPr="00997100">
        <w:rPr>
          <w:spacing w:val="-4"/>
          <w:lang w:val="fr-FR"/>
        </w:rPr>
        <w:tab/>
      </w:r>
      <w:r w:rsidR="00182E86" w:rsidRPr="00997100">
        <w:rPr>
          <w:spacing w:val="-4"/>
          <w:lang w:val="fr-FR"/>
        </w:rPr>
        <w:t>Le CAJ a pris note des mesures convenues par le</w:t>
      </w:r>
      <w:r w:rsidR="00B43F1D" w:rsidRPr="00997100">
        <w:rPr>
          <w:spacing w:val="-4"/>
          <w:lang w:val="fr-FR"/>
        </w:rPr>
        <w:t> TC</w:t>
      </w:r>
      <w:r w:rsidR="00182E86" w:rsidRPr="00997100">
        <w:rPr>
          <w:spacing w:val="-4"/>
          <w:lang w:val="fr-FR"/>
        </w:rPr>
        <w:t xml:space="preserve"> pour lever les obstacles qui empêchent la coopération internationale en matière d</w:t>
      </w:r>
      <w:r w:rsidR="00B43F1D" w:rsidRPr="00997100">
        <w:rPr>
          <w:spacing w:val="-4"/>
          <w:lang w:val="fr-FR"/>
        </w:rPr>
        <w:t>’</w:t>
      </w:r>
      <w:r w:rsidR="00182E86" w:rsidRPr="00997100">
        <w:rPr>
          <w:spacing w:val="-4"/>
          <w:lang w:val="fr-FR"/>
        </w:rPr>
        <w:t>examen</w:t>
      </w:r>
      <w:r w:rsidR="009C3A48" w:rsidRPr="00997100">
        <w:rPr>
          <w:spacing w:val="-4"/>
          <w:lang w:val="fr-FR"/>
        </w:rPr>
        <w:t> </w:t>
      </w:r>
      <w:r w:rsidR="00182E86" w:rsidRPr="00997100">
        <w:rPr>
          <w:spacing w:val="-4"/>
          <w:lang w:val="fr-FR"/>
        </w:rPr>
        <w:t>DHS (voir l</w:t>
      </w:r>
      <w:r w:rsidR="00B43F1D" w:rsidRPr="00997100">
        <w:rPr>
          <w:spacing w:val="-4"/>
          <w:lang w:val="fr-FR"/>
        </w:rPr>
        <w:t>’</w:t>
      </w:r>
      <w:r w:rsidR="00182E86" w:rsidRPr="00997100">
        <w:rPr>
          <w:spacing w:val="-4"/>
          <w:lang w:val="fr-FR"/>
        </w:rPr>
        <w:t>annexe du présent document).</w:t>
      </w:r>
    </w:p>
    <w:p w:rsidR="005278EE" w:rsidRPr="00997100" w:rsidRDefault="005278EE" w:rsidP="00807712">
      <w:pPr>
        <w:rPr>
          <w:spacing w:val="-4"/>
          <w:lang w:val="fr-FR"/>
        </w:rPr>
      </w:pPr>
    </w:p>
    <w:p w:rsidR="00B43F1D" w:rsidRPr="00997100" w:rsidRDefault="00807712" w:rsidP="003F09A7">
      <w:pPr>
        <w:rPr>
          <w:spacing w:val="-4"/>
          <w:lang w:val="fr-FR"/>
        </w:rPr>
      </w:pPr>
      <w:r w:rsidRPr="00997100">
        <w:rPr>
          <w:spacing w:val="-4"/>
          <w:lang w:val="fr-FR"/>
        </w:rPr>
        <w:fldChar w:fldCharType="begin"/>
      </w:r>
      <w:r w:rsidRPr="00997100">
        <w:rPr>
          <w:spacing w:val="-4"/>
          <w:lang w:val="fr-FR"/>
        </w:rPr>
        <w:instrText xml:space="preserve"> AUTONUM  </w:instrText>
      </w:r>
      <w:r w:rsidRPr="00997100">
        <w:rPr>
          <w:spacing w:val="-4"/>
          <w:lang w:val="fr-FR"/>
        </w:rPr>
        <w:fldChar w:fldCharType="end"/>
      </w:r>
      <w:r w:rsidRPr="00997100">
        <w:rPr>
          <w:spacing w:val="-4"/>
          <w:lang w:val="fr-FR"/>
        </w:rPr>
        <w:tab/>
      </w:r>
      <w:r w:rsidR="003F09A7" w:rsidRPr="00997100">
        <w:rPr>
          <w:spacing w:val="-4"/>
          <w:lang w:val="fr-FR"/>
        </w:rPr>
        <w:t>En réponse à la demande du</w:t>
      </w:r>
      <w:r w:rsidR="00B43F1D" w:rsidRPr="00997100">
        <w:rPr>
          <w:spacing w:val="-4"/>
          <w:lang w:val="fr-FR"/>
        </w:rPr>
        <w:t> TC</w:t>
      </w:r>
      <w:r w:rsidR="003F09A7" w:rsidRPr="00997100">
        <w:rPr>
          <w:spacing w:val="-4"/>
          <w:lang w:val="fr-FR"/>
        </w:rPr>
        <w:t>, le CAJ a prié le Bureau de l</w:t>
      </w:r>
      <w:r w:rsidR="00B43F1D" w:rsidRPr="00997100">
        <w:rPr>
          <w:spacing w:val="-4"/>
          <w:lang w:val="fr-FR"/>
        </w:rPr>
        <w:t>’</w:t>
      </w:r>
      <w:r w:rsidR="003F09A7" w:rsidRPr="00997100">
        <w:rPr>
          <w:spacing w:val="-4"/>
          <w:lang w:val="fr-FR"/>
        </w:rPr>
        <w:t>Union d</w:t>
      </w:r>
      <w:r w:rsidR="00B43F1D" w:rsidRPr="00997100">
        <w:rPr>
          <w:spacing w:val="-4"/>
          <w:lang w:val="fr-FR"/>
        </w:rPr>
        <w:t>’</w:t>
      </w:r>
      <w:r w:rsidR="003F09A7" w:rsidRPr="00997100">
        <w:rPr>
          <w:spacing w:val="-4"/>
          <w:lang w:val="fr-FR"/>
        </w:rPr>
        <w:t>établir un document, pour examen à sa soixante</w:t>
      </w:r>
      <w:r w:rsidR="00B43F1D" w:rsidRPr="00997100">
        <w:rPr>
          <w:spacing w:val="-4"/>
          <w:lang w:val="fr-FR"/>
        </w:rPr>
        <w:t>-</w:t>
      </w:r>
      <w:r w:rsidR="003F09A7" w:rsidRPr="00997100">
        <w:rPr>
          <w:spacing w:val="-4"/>
          <w:lang w:val="fr-FR"/>
        </w:rPr>
        <w:t>dix</w:t>
      </w:r>
      <w:r w:rsidR="00B43F1D" w:rsidRPr="00997100">
        <w:rPr>
          <w:spacing w:val="-4"/>
          <w:lang w:val="fr-FR"/>
        </w:rPr>
        <w:t>-</w:t>
      </w:r>
      <w:r w:rsidR="003F09A7" w:rsidRPr="00997100">
        <w:rPr>
          <w:spacing w:val="-4"/>
          <w:lang w:val="fr-FR"/>
        </w:rPr>
        <w:t>huit</w:t>
      </w:r>
      <w:r w:rsidR="00B43F1D" w:rsidRPr="00997100">
        <w:rPr>
          <w:spacing w:val="-4"/>
          <w:lang w:val="fr-FR"/>
        </w:rPr>
        <w:t>ième session</w:t>
      </w:r>
      <w:r w:rsidR="003F09A7" w:rsidRPr="00997100">
        <w:rPr>
          <w:spacing w:val="-4"/>
          <w:lang w:val="fr-FR"/>
        </w:rPr>
        <w:t>, sur les obstacles politiques ou juridiques ci</w:t>
      </w:r>
      <w:r w:rsidR="00B43F1D" w:rsidRPr="00997100">
        <w:rPr>
          <w:spacing w:val="-4"/>
          <w:lang w:val="fr-FR"/>
        </w:rPr>
        <w:t>-</w:t>
      </w:r>
      <w:r w:rsidR="003F09A7" w:rsidRPr="00997100">
        <w:rPr>
          <w:spacing w:val="-4"/>
          <w:lang w:val="fr-FR"/>
        </w:rPr>
        <w:t>après, que le</w:t>
      </w:r>
      <w:r w:rsidR="00B43F1D" w:rsidRPr="00997100">
        <w:rPr>
          <w:spacing w:val="-4"/>
          <w:lang w:val="fr-FR"/>
        </w:rPr>
        <w:t> TC</w:t>
      </w:r>
      <w:r w:rsidR="003F09A7" w:rsidRPr="00997100">
        <w:rPr>
          <w:spacing w:val="-4"/>
          <w:lang w:val="fr-FR"/>
        </w:rPr>
        <w:t xml:space="preserve"> a identifiés comme entravant la coopération internationale en matière d</w:t>
      </w:r>
      <w:r w:rsidR="00B43F1D" w:rsidRPr="00997100">
        <w:rPr>
          <w:spacing w:val="-4"/>
          <w:lang w:val="fr-FR"/>
        </w:rPr>
        <w:t>’</w:t>
      </w:r>
      <w:r w:rsidR="003F09A7" w:rsidRPr="00997100">
        <w:rPr>
          <w:spacing w:val="-4"/>
          <w:lang w:val="fr-FR"/>
        </w:rPr>
        <w:t>examen DHS, et les éventuelles mesures à prendre pour surmonter ces obstacles</w:t>
      </w:r>
      <w:r w:rsidR="00B43F1D" w:rsidRPr="00997100">
        <w:rPr>
          <w:spacing w:val="-4"/>
          <w:lang w:val="fr-FR"/>
        </w:rPr>
        <w:t> :</w:t>
      </w:r>
    </w:p>
    <w:p w:rsidR="005278EE" w:rsidRPr="00997100" w:rsidRDefault="005278EE" w:rsidP="00807712">
      <w:pPr>
        <w:rPr>
          <w:spacing w:val="-4"/>
          <w:lang w:val="fr-FR"/>
        </w:rPr>
      </w:pPr>
    </w:p>
    <w:p w:rsidR="005278EE" w:rsidRPr="00997100" w:rsidRDefault="00807712" w:rsidP="00807712">
      <w:pPr>
        <w:tabs>
          <w:tab w:val="left" w:pos="1134"/>
        </w:tabs>
        <w:spacing w:after="120"/>
        <w:ind w:left="562"/>
        <w:rPr>
          <w:spacing w:val="-4"/>
          <w:lang w:val="fr-FR"/>
        </w:rPr>
      </w:pPr>
      <w:r w:rsidRPr="00997100">
        <w:rPr>
          <w:spacing w:val="-4"/>
          <w:lang w:val="fr-FR"/>
        </w:rPr>
        <w:t>i)</w:t>
      </w:r>
      <w:r w:rsidRPr="00997100">
        <w:rPr>
          <w:spacing w:val="-4"/>
          <w:lang w:val="fr-FR"/>
        </w:rPr>
        <w:tab/>
      </w:r>
      <w:r w:rsidR="00997100" w:rsidRPr="00997100">
        <w:rPr>
          <w:spacing w:val="-4"/>
          <w:lang w:val="fr-FR"/>
        </w:rPr>
        <w:t>B</w:t>
      </w:r>
      <w:r w:rsidR="00182E86" w:rsidRPr="00997100">
        <w:rPr>
          <w:spacing w:val="-4"/>
          <w:lang w:val="fr-FR"/>
        </w:rPr>
        <w:t>esoin d</w:t>
      </w:r>
      <w:r w:rsidR="00B43F1D" w:rsidRPr="00997100">
        <w:rPr>
          <w:spacing w:val="-4"/>
          <w:lang w:val="fr-FR"/>
        </w:rPr>
        <w:t>’</w:t>
      </w:r>
      <w:r w:rsidR="00182E86" w:rsidRPr="00997100">
        <w:rPr>
          <w:spacing w:val="-4"/>
          <w:lang w:val="fr-FR"/>
        </w:rPr>
        <w:t>un accord de coopération formel</w:t>
      </w:r>
      <w:r w:rsidRPr="00997100">
        <w:rPr>
          <w:spacing w:val="-4"/>
          <w:lang w:val="fr-FR"/>
        </w:rPr>
        <w:t>;</w:t>
      </w:r>
    </w:p>
    <w:p w:rsidR="005278EE" w:rsidRPr="00997100" w:rsidRDefault="00807712" w:rsidP="00807712">
      <w:pPr>
        <w:tabs>
          <w:tab w:val="left" w:pos="1134"/>
        </w:tabs>
        <w:spacing w:after="120"/>
        <w:ind w:left="562"/>
        <w:rPr>
          <w:spacing w:val="-4"/>
          <w:lang w:val="fr-FR"/>
        </w:rPr>
      </w:pPr>
      <w:r w:rsidRPr="00997100">
        <w:rPr>
          <w:spacing w:val="-4"/>
          <w:lang w:val="fr-FR"/>
        </w:rPr>
        <w:t>ii)</w:t>
      </w:r>
      <w:r w:rsidRPr="00997100">
        <w:rPr>
          <w:spacing w:val="-4"/>
          <w:lang w:val="fr-FR"/>
        </w:rPr>
        <w:tab/>
      </w:r>
      <w:r w:rsidR="00997100" w:rsidRPr="00997100">
        <w:rPr>
          <w:rFonts w:cs="Arial"/>
          <w:lang w:val="fr-FR"/>
        </w:rPr>
        <w:t>L’examen DHS doit être conduit par le service chargé de l’octroi des droits</w:t>
      </w:r>
      <w:r w:rsidRPr="00997100">
        <w:rPr>
          <w:spacing w:val="-4"/>
          <w:lang w:val="fr-FR"/>
        </w:rPr>
        <w:t>;</w:t>
      </w:r>
    </w:p>
    <w:p w:rsidR="005278EE" w:rsidRPr="00997100" w:rsidRDefault="00807712" w:rsidP="00807712">
      <w:pPr>
        <w:tabs>
          <w:tab w:val="left" w:pos="1134"/>
        </w:tabs>
        <w:spacing w:after="120"/>
        <w:ind w:left="562"/>
        <w:rPr>
          <w:spacing w:val="-4"/>
          <w:lang w:val="fr-FR"/>
        </w:rPr>
      </w:pPr>
      <w:r w:rsidRPr="00997100">
        <w:rPr>
          <w:spacing w:val="-4"/>
          <w:lang w:val="fr-FR"/>
        </w:rPr>
        <w:t>iii)</w:t>
      </w:r>
      <w:r w:rsidRPr="00997100">
        <w:rPr>
          <w:spacing w:val="-4"/>
          <w:lang w:val="fr-FR"/>
        </w:rPr>
        <w:tab/>
      </w:r>
      <w:r w:rsidR="00997100">
        <w:rPr>
          <w:spacing w:val="-4"/>
          <w:lang w:val="fr-FR"/>
        </w:rPr>
        <w:t>N</w:t>
      </w:r>
      <w:r w:rsidR="00182E86" w:rsidRPr="00997100">
        <w:rPr>
          <w:spacing w:val="-4"/>
          <w:lang w:val="fr-FR"/>
        </w:rPr>
        <w:t>on</w:t>
      </w:r>
      <w:r w:rsidR="00B43F1D" w:rsidRPr="00997100">
        <w:rPr>
          <w:spacing w:val="-4"/>
          <w:lang w:val="fr-FR"/>
        </w:rPr>
        <w:t>-</w:t>
      </w:r>
      <w:r w:rsidR="00182E86" w:rsidRPr="00997100">
        <w:rPr>
          <w:spacing w:val="-4"/>
          <w:lang w:val="fr-FR"/>
        </w:rPr>
        <w:t>acceptation des rapports d</w:t>
      </w:r>
      <w:r w:rsidR="00B43F1D" w:rsidRPr="00997100">
        <w:rPr>
          <w:spacing w:val="-4"/>
          <w:lang w:val="fr-FR"/>
        </w:rPr>
        <w:t>’</w:t>
      </w:r>
      <w:r w:rsidR="00182E86" w:rsidRPr="00997100">
        <w:rPr>
          <w:spacing w:val="-4"/>
          <w:lang w:val="fr-FR"/>
        </w:rPr>
        <w:t>examen</w:t>
      </w:r>
      <w:r w:rsidR="009C3A48" w:rsidRPr="00997100">
        <w:rPr>
          <w:spacing w:val="-4"/>
          <w:lang w:val="fr-FR"/>
        </w:rPr>
        <w:t> </w:t>
      </w:r>
      <w:r w:rsidR="00182E86" w:rsidRPr="00997100">
        <w:rPr>
          <w:spacing w:val="-4"/>
          <w:lang w:val="fr-FR"/>
        </w:rPr>
        <w:t>DHS établis par l</w:t>
      </w:r>
      <w:r w:rsidR="00B43F1D" w:rsidRPr="00997100">
        <w:rPr>
          <w:spacing w:val="-4"/>
          <w:lang w:val="fr-FR"/>
        </w:rPr>
        <w:t>’</w:t>
      </w:r>
      <w:r w:rsidR="00182E86" w:rsidRPr="00997100">
        <w:rPr>
          <w:spacing w:val="-4"/>
          <w:lang w:val="fr-FR"/>
        </w:rPr>
        <w:t>obtenteur</w:t>
      </w:r>
      <w:r w:rsidRPr="00997100">
        <w:rPr>
          <w:spacing w:val="-4"/>
          <w:lang w:val="fr-FR"/>
        </w:rPr>
        <w:t>;</w:t>
      </w:r>
    </w:p>
    <w:p w:rsidR="00B43F1D" w:rsidRPr="00997100" w:rsidRDefault="00807712" w:rsidP="00807712">
      <w:pPr>
        <w:tabs>
          <w:tab w:val="left" w:pos="1134"/>
        </w:tabs>
        <w:spacing w:after="120"/>
        <w:ind w:left="562"/>
        <w:rPr>
          <w:spacing w:val="-4"/>
          <w:lang w:val="fr-FR"/>
        </w:rPr>
      </w:pPr>
      <w:r w:rsidRPr="00997100">
        <w:rPr>
          <w:spacing w:val="-4"/>
          <w:lang w:val="fr-FR"/>
        </w:rPr>
        <w:t>iv)</w:t>
      </w:r>
      <w:r w:rsidRPr="00997100">
        <w:rPr>
          <w:spacing w:val="-4"/>
          <w:lang w:val="fr-FR"/>
        </w:rPr>
        <w:tab/>
      </w:r>
      <w:r w:rsidR="00997100">
        <w:rPr>
          <w:spacing w:val="-4"/>
          <w:lang w:val="fr-FR"/>
        </w:rPr>
        <w:t>V</w:t>
      </w:r>
      <w:r w:rsidR="00182E86" w:rsidRPr="00997100">
        <w:rPr>
          <w:spacing w:val="-4"/>
          <w:lang w:val="fr-FR"/>
        </w:rPr>
        <w:t>olonté (ou non) des obtenteurs d</w:t>
      </w:r>
      <w:r w:rsidR="00B43F1D" w:rsidRPr="00997100">
        <w:rPr>
          <w:spacing w:val="-4"/>
          <w:lang w:val="fr-FR"/>
        </w:rPr>
        <w:t>’</w:t>
      </w:r>
      <w:r w:rsidR="00182E86" w:rsidRPr="00997100">
        <w:rPr>
          <w:spacing w:val="-4"/>
          <w:lang w:val="fr-FR"/>
        </w:rPr>
        <w:t>utiliser les rapports d</w:t>
      </w:r>
      <w:r w:rsidR="00B43F1D" w:rsidRPr="00997100">
        <w:rPr>
          <w:spacing w:val="-4"/>
          <w:lang w:val="fr-FR"/>
        </w:rPr>
        <w:t>’</w:t>
      </w:r>
      <w:r w:rsidR="00182E86" w:rsidRPr="00997100">
        <w:rPr>
          <w:spacing w:val="-4"/>
          <w:lang w:val="fr-FR"/>
        </w:rPr>
        <w:t>examen</w:t>
      </w:r>
      <w:r w:rsidR="009C3A48" w:rsidRPr="00997100">
        <w:rPr>
          <w:spacing w:val="-4"/>
          <w:lang w:val="fr-FR"/>
        </w:rPr>
        <w:t> </w:t>
      </w:r>
      <w:r w:rsidR="00182E86" w:rsidRPr="00997100">
        <w:rPr>
          <w:spacing w:val="-4"/>
          <w:lang w:val="fr-FR"/>
        </w:rPr>
        <w:t>DHS existants</w:t>
      </w:r>
      <w:r w:rsidRPr="00997100">
        <w:rPr>
          <w:spacing w:val="-4"/>
          <w:lang w:val="fr-FR"/>
        </w:rPr>
        <w:t>.</w:t>
      </w:r>
    </w:p>
    <w:p w:rsidR="005278EE" w:rsidRPr="00AF73C3" w:rsidRDefault="005278EE" w:rsidP="00807712">
      <w:pPr>
        <w:rPr>
          <w:snapToGrid w:val="0"/>
          <w:lang w:val="fr-FR"/>
        </w:rPr>
      </w:pPr>
    </w:p>
    <w:p w:rsidR="005278EE" w:rsidRPr="00997100" w:rsidRDefault="00422AE0" w:rsidP="00182E86">
      <w:pPr>
        <w:keepNext/>
        <w:keepLines/>
        <w:rPr>
          <w:lang w:val="fr-FR"/>
        </w:rPr>
      </w:pPr>
      <w:r w:rsidRPr="00997100">
        <w:rPr>
          <w:snapToGrid w:val="0"/>
          <w:lang w:val="fr-FR"/>
        </w:rPr>
        <w:fldChar w:fldCharType="begin"/>
      </w:r>
      <w:r w:rsidRPr="00997100">
        <w:rPr>
          <w:snapToGrid w:val="0"/>
          <w:lang w:val="fr-FR"/>
        </w:rPr>
        <w:instrText xml:space="preserve"> AUTONUM  </w:instrText>
      </w:r>
      <w:r w:rsidRPr="00997100">
        <w:rPr>
          <w:snapToGrid w:val="0"/>
          <w:lang w:val="fr-FR"/>
        </w:rPr>
        <w:fldChar w:fldCharType="end"/>
      </w:r>
      <w:r w:rsidRPr="00997100">
        <w:rPr>
          <w:snapToGrid w:val="0"/>
          <w:lang w:val="fr-FR"/>
        </w:rPr>
        <w:tab/>
      </w:r>
      <w:r w:rsidR="00182E86" w:rsidRPr="00997100">
        <w:rPr>
          <w:snapToGrid w:val="0"/>
          <w:lang w:val="fr-FR"/>
        </w:rPr>
        <w:t>À sa soixante</w:t>
      </w:r>
      <w:r w:rsidR="00B43F1D" w:rsidRPr="00997100">
        <w:rPr>
          <w:snapToGrid w:val="0"/>
          <w:lang w:val="fr-FR"/>
        </w:rPr>
        <w:t>-</w:t>
      </w:r>
      <w:r w:rsidR="00182E86" w:rsidRPr="00997100">
        <w:rPr>
          <w:snapToGrid w:val="0"/>
          <w:lang w:val="fr-FR"/>
        </w:rPr>
        <w:t>dix</w:t>
      </w:r>
      <w:r w:rsidR="00B43F1D" w:rsidRPr="00997100">
        <w:rPr>
          <w:snapToGrid w:val="0"/>
          <w:lang w:val="fr-FR"/>
        </w:rPr>
        <w:t>-</w:t>
      </w:r>
      <w:r w:rsidR="00182E86" w:rsidRPr="00997100">
        <w:rPr>
          <w:snapToGrid w:val="0"/>
          <w:lang w:val="fr-FR"/>
        </w:rPr>
        <w:t>huit</w:t>
      </w:r>
      <w:r w:rsidR="00B43F1D" w:rsidRPr="00997100">
        <w:rPr>
          <w:snapToGrid w:val="0"/>
          <w:lang w:val="fr-FR"/>
        </w:rPr>
        <w:t>ième session</w:t>
      </w:r>
      <w:r w:rsidRPr="00997100">
        <w:rPr>
          <w:rStyle w:val="FootnoteReference"/>
          <w:lang w:val="fr-FR"/>
        </w:rPr>
        <w:footnoteReference w:id="3"/>
      </w:r>
      <w:r w:rsidRPr="00997100">
        <w:rPr>
          <w:lang w:val="fr-FR"/>
        </w:rPr>
        <w:t>,</w:t>
      </w:r>
      <w:r w:rsidR="00B43F1D" w:rsidRPr="00997100">
        <w:rPr>
          <w:lang w:val="fr-FR"/>
        </w:rPr>
        <w:t xml:space="preserve"> le CAJ</w:t>
      </w:r>
      <w:r w:rsidR="00182E86" w:rsidRPr="00997100">
        <w:rPr>
          <w:lang w:val="fr-FR"/>
        </w:rPr>
        <w:t xml:space="preserve"> a approuvé les mesures ci</w:t>
      </w:r>
      <w:r w:rsidR="00B43F1D" w:rsidRPr="00997100">
        <w:rPr>
          <w:lang w:val="fr-FR"/>
        </w:rPr>
        <w:t>-</w:t>
      </w:r>
      <w:r w:rsidR="00182E86" w:rsidRPr="00997100">
        <w:rPr>
          <w:lang w:val="fr-FR"/>
        </w:rPr>
        <w:t>après pour lever les obstacles politiques ou juridiques que le</w:t>
      </w:r>
      <w:r w:rsidR="00B43F1D" w:rsidRPr="00997100">
        <w:rPr>
          <w:lang w:val="fr-FR"/>
        </w:rPr>
        <w:t> TC</w:t>
      </w:r>
      <w:r w:rsidR="00182E86" w:rsidRPr="00997100">
        <w:rPr>
          <w:lang w:val="fr-FR"/>
        </w:rPr>
        <w:t xml:space="preserve"> a identifiés comme entravant la coopération internationale en matière d</w:t>
      </w:r>
      <w:r w:rsidR="00B43F1D" w:rsidRPr="00997100">
        <w:rPr>
          <w:lang w:val="fr-FR"/>
        </w:rPr>
        <w:t>’</w:t>
      </w:r>
      <w:r w:rsidR="00182E86" w:rsidRPr="00997100">
        <w:rPr>
          <w:lang w:val="fr-FR"/>
        </w:rPr>
        <w:t>examen</w:t>
      </w:r>
      <w:r w:rsidR="009C3A48" w:rsidRPr="00997100">
        <w:rPr>
          <w:lang w:val="fr-FR"/>
        </w:rPr>
        <w:t> </w:t>
      </w:r>
      <w:r w:rsidR="00182E86" w:rsidRPr="00997100">
        <w:rPr>
          <w:lang w:val="fr-FR"/>
        </w:rPr>
        <w:t>DHS</w:t>
      </w:r>
      <w:r w:rsidR="005A2621" w:rsidRPr="00997100">
        <w:rPr>
          <w:lang w:val="fr-FR"/>
        </w:rPr>
        <w:t xml:space="preserve"> (</w:t>
      </w:r>
      <w:r w:rsidR="00182E86" w:rsidRPr="00997100">
        <w:rPr>
          <w:lang w:val="fr-FR"/>
        </w:rPr>
        <w:t xml:space="preserve">voir les </w:t>
      </w:r>
      <w:r w:rsidR="00B43F1D" w:rsidRPr="00997100">
        <w:rPr>
          <w:lang w:val="fr-FR"/>
        </w:rPr>
        <w:t>paragraphes 4</w:t>
      </w:r>
      <w:r w:rsidR="00182E86" w:rsidRPr="00997100">
        <w:rPr>
          <w:lang w:val="fr-FR"/>
        </w:rPr>
        <w:t>0 à 43 du</w:t>
      </w:r>
      <w:r w:rsidR="005A2621" w:rsidRPr="00997100">
        <w:rPr>
          <w:lang w:val="fr-FR"/>
        </w:rPr>
        <w:t xml:space="preserve"> document</w:t>
      </w:r>
      <w:r w:rsidR="008C34BA" w:rsidRPr="00997100">
        <w:rPr>
          <w:lang w:val="fr-FR"/>
        </w:rPr>
        <w:t> </w:t>
      </w:r>
      <w:r w:rsidR="005A2621" w:rsidRPr="00997100">
        <w:rPr>
          <w:lang w:val="fr-FR"/>
        </w:rPr>
        <w:t>CAJ/78/13 “</w:t>
      </w:r>
      <w:r w:rsidR="00182E86" w:rsidRPr="00997100">
        <w:rPr>
          <w:lang w:val="fr-FR"/>
        </w:rPr>
        <w:t>Compte rendu</w:t>
      </w:r>
      <w:r w:rsidR="005A2621" w:rsidRPr="00997100">
        <w:rPr>
          <w:lang w:val="fr-FR"/>
        </w:rPr>
        <w:t>”)</w:t>
      </w:r>
      <w:r w:rsidR="009C3A48" w:rsidRPr="00997100">
        <w:rPr>
          <w:lang w:val="fr-FR"/>
        </w:rPr>
        <w:t> :</w:t>
      </w:r>
    </w:p>
    <w:p w:rsidR="005278EE" w:rsidRPr="00997100" w:rsidRDefault="005278EE" w:rsidP="00422AE0">
      <w:pPr>
        <w:keepNext/>
        <w:rPr>
          <w:lang w:val="fr-FR"/>
        </w:rPr>
      </w:pPr>
    </w:p>
    <w:p w:rsidR="005278EE" w:rsidRPr="00997100" w:rsidRDefault="00422AE0" w:rsidP="00422AE0">
      <w:pPr>
        <w:rPr>
          <w:lang w:val="fr-FR"/>
        </w:rPr>
      </w:pPr>
      <w:r w:rsidRPr="00997100">
        <w:rPr>
          <w:lang w:val="fr-FR"/>
        </w:rPr>
        <w:tab/>
      </w:r>
      <w:r w:rsidR="00182E86" w:rsidRPr="00997100">
        <w:rPr>
          <w:lang w:val="fr-FR"/>
        </w:rPr>
        <w:t>a</w:t>
      </w:r>
      <w:r w:rsidRPr="00997100">
        <w:rPr>
          <w:lang w:val="fr-FR"/>
        </w:rPr>
        <w:t xml:space="preserve">) </w:t>
      </w:r>
      <w:r w:rsidRPr="00997100">
        <w:rPr>
          <w:lang w:val="fr-FR"/>
        </w:rPr>
        <w:tab/>
      </w:r>
      <w:r w:rsidR="00182E86" w:rsidRPr="00997100">
        <w:rPr>
          <w:lang w:val="fr-FR"/>
        </w:rPr>
        <w:t>enquêter auprès des membres de l</w:t>
      </w:r>
      <w:r w:rsidR="00B43F1D" w:rsidRPr="00997100">
        <w:rPr>
          <w:lang w:val="fr-FR"/>
        </w:rPr>
        <w:t>’</w:t>
      </w:r>
      <w:r w:rsidR="00182E86" w:rsidRPr="00997100">
        <w:rPr>
          <w:lang w:val="fr-FR"/>
        </w:rPr>
        <w:t>Union afin d</w:t>
      </w:r>
      <w:r w:rsidR="00B43F1D" w:rsidRPr="00997100">
        <w:rPr>
          <w:lang w:val="fr-FR"/>
        </w:rPr>
        <w:t>’</w:t>
      </w:r>
      <w:r w:rsidR="00182E86" w:rsidRPr="00997100">
        <w:rPr>
          <w:lang w:val="fr-FR"/>
        </w:rPr>
        <w:t>obtenir des informations sur leurs politiques ou obstacles juridiques susceptibles d</w:t>
      </w:r>
      <w:r w:rsidR="00B43F1D" w:rsidRPr="00997100">
        <w:rPr>
          <w:lang w:val="fr-FR"/>
        </w:rPr>
        <w:t>’</w:t>
      </w:r>
      <w:r w:rsidR="00182E86" w:rsidRPr="00997100">
        <w:rPr>
          <w:lang w:val="fr-FR"/>
        </w:rPr>
        <w:t>empêcher la coopération internationale en matière d</w:t>
      </w:r>
      <w:r w:rsidR="00B43F1D" w:rsidRPr="00997100">
        <w:rPr>
          <w:lang w:val="fr-FR"/>
        </w:rPr>
        <w:t>’</w:t>
      </w:r>
      <w:r w:rsidR="00182E86" w:rsidRPr="00997100">
        <w:rPr>
          <w:lang w:val="fr-FR"/>
        </w:rPr>
        <w:t>examen</w:t>
      </w:r>
      <w:r w:rsidR="009C3A48" w:rsidRPr="00997100">
        <w:rPr>
          <w:lang w:val="fr-FR"/>
        </w:rPr>
        <w:t> </w:t>
      </w:r>
      <w:r w:rsidR="00182E86" w:rsidRPr="00997100">
        <w:rPr>
          <w:lang w:val="fr-FR"/>
        </w:rPr>
        <w:t>DHS</w:t>
      </w:r>
      <w:r w:rsidRPr="00997100">
        <w:rPr>
          <w:lang w:val="fr-FR"/>
        </w:rPr>
        <w:t>;</w:t>
      </w:r>
    </w:p>
    <w:p w:rsidR="005278EE" w:rsidRPr="00997100" w:rsidRDefault="005278EE" w:rsidP="00422AE0">
      <w:pPr>
        <w:rPr>
          <w:lang w:val="fr-FR"/>
        </w:rPr>
      </w:pPr>
    </w:p>
    <w:p w:rsidR="005278EE" w:rsidRPr="00997100" w:rsidRDefault="00422AE0" w:rsidP="00422AE0">
      <w:pPr>
        <w:rPr>
          <w:lang w:val="fr-FR"/>
        </w:rPr>
      </w:pPr>
      <w:r w:rsidRPr="00997100">
        <w:rPr>
          <w:lang w:val="fr-FR"/>
        </w:rPr>
        <w:tab/>
        <w:t xml:space="preserve">b) </w:t>
      </w:r>
      <w:r w:rsidRPr="00997100">
        <w:rPr>
          <w:lang w:val="fr-FR"/>
        </w:rPr>
        <w:tab/>
      </w:r>
      <w:r w:rsidR="00182E86" w:rsidRPr="00997100">
        <w:rPr>
          <w:lang w:val="fr-FR"/>
        </w:rPr>
        <w:t xml:space="preserve">rédiger des </w:t>
      </w:r>
      <w:r w:rsidR="00B43F1D" w:rsidRPr="00997100">
        <w:rPr>
          <w:lang w:val="fr-FR"/>
        </w:rPr>
        <w:t>“n</w:t>
      </w:r>
      <w:r w:rsidR="00182E86" w:rsidRPr="00997100">
        <w:rPr>
          <w:lang w:val="fr-FR"/>
        </w:rPr>
        <w:t>otes explicatives” sur l</w:t>
      </w:r>
      <w:r w:rsidR="00B43F1D" w:rsidRPr="00997100">
        <w:rPr>
          <w:lang w:val="fr-FR"/>
        </w:rPr>
        <w:t>’article 1</w:t>
      </w:r>
      <w:r w:rsidR="00182E86" w:rsidRPr="00997100">
        <w:rPr>
          <w:lang w:val="fr-FR"/>
        </w:rPr>
        <w:t xml:space="preserve">2 de la </w:t>
      </w:r>
      <w:r w:rsidR="00B43F1D" w:rsidRPr="00997100">
        <w:rPr>
          <w:lang w:val="fr-FR"/>
        </w:rPr>
        <w:t>Convention UPOV</w:t>
      </w:r>
      <w:r w:rsidR="00182E86" w:rsidRPr="00997100">
        <w:rPr>
          <w:lang w:val="fr-FR"/>
        </w:rPr>
        <w:t xml:space="preserve"> (</w:t>
      </w:r>
      <w:r w:rsidR="00B43F1D" w:rsidRPr="00997100">
        <w:rPr>
          <w:lang w:val="fr-FR"/>
        </w:rPr>
        <w:t>“E</w:t>
      </w:r>
      <w:r w:rsidR="00182E86" w:rsidRPr="00997100">
        <w:rPr>
          <w:lang w:val="fr-FR"/>
        </w:rPr>
        <w:t xml:space="preserve">xamen de la demande”); </w:t>
      </w:r>
      <w:r w:rsidR="009C3A48" w:rsidRPr="00997100">
        <w:rPr>
          <w:lang w:val="fr-FR"/>
        </w:rPr>
        <w:t xml:space="preserve"> </w:t>
      </w:r>
      <w:r w:rsidR="00182E86" w:rsidRPr="00997100">
        <w:rPr>
          <w:lang w:val="fr-FR"/>
        </w:rPr>
        <w:t>et</w:t>
      </w:r>
    </w:p>
    <w:p w:rsidR="005278EE" w:rsidRPr="00997100" w:rsidRDefault="005278EE" w:rsidP="00422AE0">
      <w:pPr>
        <w:rPr>
          <w:lang w:val="fr-FR"/>
        </w:rPr>
      </w:pPr>
    </w:p>
    <w:p w:rsidR="005278EE" w:rsidRPr="00997100" w:rsidRDefault="00422AE0" w:rsidP="00422AE0">
      <w:pPr>
        <w:rPr>
          <w:lang w:val="fr-FR"/>
        </w:rPr>
      </w:pPr>
      <w:r w:rsidRPr="00997100">
        <w:rPr>
          <w:lang w:val="fr-FR"/>
        </w:rPr>
        <w:tab/>
        <w:t xml:space="preserve">c) </w:t>
      </w:r>
      <w:r w:rsidRPr="00997100">
        <w:rPr>
          <w:lang w:val="fr-FR"/>
        </w:rPr>
        <w:tab/>
      </w:r>
      <w:r w:rsidR="00182E86" w:rsidRPr="00997100">
        <w:rPr>
          <w:lang w:val="fr-FR"/>
        </w:rPr>
        <w:t>demander aux organisations d</w:t>
      </w:r>
      <w:r w:rsidR="00B43F1D" w:rsidRPr="00997100">
        <w:rPr>
          <w:lang w:val="fr-FR"/>
        </w:rPr>
        <w:t>’</w:t>
      </w:r>
      <w:r w:rsidR="00182E86" w:rsidRPr="00997100">
        <w:rPr>
          <w:lang w:val="fr-FR"/>
        </w:rPr>
        <w:t>obtenteurs d</w:t>
      </w:r>
      <w:r w:rsidR="00B43F1D" w:rsidRPr="00997100">
        <w:rPr>
          <w:lang w:val="fr-FR"/>
        </w:rPr>
        <w:t>’</w:t>
      </w:r>
      <w:r w:rsidR="00182E86" w:rsidRPr="00997100">
        <w:rPr>
          <w:lang w:val="fr-FR"/>
        </w:rPr>
        <w:t>apporter des précisions sur les difficultés que pose la volonté des obtenteurs d</w:t>
      </w:r>
      <w:r w:rsidR="00B43F1D" w:rsidRPr="00997100">
        <w:rPr>
          <w:lang w:val="fr-FR"/>
        </w:rPr>
        <w:t>’</w:t>
      </w:r>
      <w:r w:rsidR="00182E86" w:rsidRPr="00997100">
        <w:rPr>
          <w:lang w:val="fr-FR"/>
        </w:rPr>
        <w:t>utiliser, ou de ne pas utiliser, les rapports d</w:t>
      </w:r>
      <w:r w:rsidR="00B43F1D" w:rsidRPr="00997100">
        <w:rPr>
          <w:lang w:val="fr-FR"/>
        </w:rPr>
        <w:t>’</w:t>
      </w:r>
      <w:r w:rsidR="00182E86" w:rsidRPr="00997100">
        <w:rPr>
          <w:lang w:val="fr-FR"/>
        </w:rPr>
        <w:t>examen</w:t>
      </w:r>
      <w:r w:rsidR="009C3A48" w:rsidRPr="00997100">
        <w:rPr>
          <w:lang w:val="fr-FR"/>
        </w:rPr>
        <w:t> </w:t>
      </w:r>
      <w:r w:rsidR="00182E86" w:rsidRPr="00997100">
        <w:rPr>
          <w:lang w:val="fr-FR"/>
        </w:rPr>
        <w:t>DHS existants.</w:t>
      </w:r>
    </w:p>
    <w:p w:rsidR="005278EE" w:rsidRPr="00997100" w:rsidRDefault="005278EE" w:rsidP="00422AE0">
      <w:pPr>
        <w:rPr>
          <w:lang w:val="fr-FR"/>
        </w:rPr>
      </w:pPr>
    </w:p>
    <w:p w:rsidR="00B43F1D" w:rsidRPr="00997100" w:rsidRDefault="00E8286B" w:rsidP="00E8286B">
      <w:pPr>
        <w:rPr>
          <w:lang w:val="fr-FR"/>
        </w:rPr>
      </w:pPr>
      <w:r w:rsidRPr="00997100">
        <w:rPr>
          <w:lang w:val="fr-FR"/>
        </w:rPr>
        <w:fldChar w:fldCharType="begin"/>
      </w:r>
      <w:r w:rsidRPr="00997100">
        <w:rPr>
          <w:lang w:val="fr-FR"/>
        </w:rPr>
        <w:instrText xml:space="preserve"> AUTONUM  </w:instrText>
      </w:r>
      <w:r w:rsidRPr="00997100">
        <w:rPr>
          <w:lang w:val="fr-FR"/>
        </w:rPr>
        <w:fldChar w:fldCharType="end"/>
      </w:r>
      <w:r w:rsidRPr="00997100">
        <w:rPr>
          <w:lang w:val="fr-FR"/>
        </w:rPr>
        <w:tab/>
      </w:r>
      <w:r w:rsidR="0024045C" w:rsidRPr="00997100">
        <w:rPr>
          <w:lang w:val="fr-FR"/>
        </w:rPr>
        <w:t>Le CAJ est convenu que l</w:t>
      </w:r>
      <w:r w:rsidR="00B43F1D" w:rsidRPr="00997100">
        <w:rPr>
          <w:lang w:val="fr-FR"/>
        </w:rPr>
        <w:t>’</w:t>
      </w:r>
      <w:r w:rsidR="0024045C" w:rsidRPr="00997100">
        <w:rPr>
          <w:lang w:val="fr-FR"/>
        </w:rPr>
        <w:t>enquête devrait inclure la reprise des rapports d</w:t>
      </w:r>
      <w:r w:rsidR="00B43F1D" w:rsidRPr="00997100">
        <w:rPr>
          <w:lang w:val="fr-FR"/>
        </w:rPr>
        <w:t>’</w:t>
      </w:r>
      <w:r w:rsidR="0024045C" w:rsidRPr="00997100">
        <w:rPr>
          <w:lang w:val="fr-FR"/>
        </w:rPr>
        <w:t>examen lorsque les descriptions variétales ne correspondent pas aux caractères des principes directeurs d</w:t>
      </w:r>
      <w:r w:rsidR="00B43F1D" w:rsidRPr="00997100">
        <w:rPr>
          <w:lang w:val="fr-FR"/>
        </w:rPr>
        <w:t>’</w:t>
      </w:r>
      <w:r w:rsidR="0024045C" w:rsidRPr="00997100">
        <w:rPr>
          <w:lang w:val="fr-FR"/>
        </w:rPr>
        <w:t>examen de l</w:t>
      </w:r>
      <w:r w:rsidR="00B43F1D" w:rsidRPr="00997100">
        <w:rPr>
          <w:lang w:val="fr-FR"/>
        </w:rPr>
        <w:t>’</w:t>
      </w:r>
      <w:r w:rsidR="0024045C" w:rsidRPr="00997100">
        <w:rPr>
          <w:lang w:val="fr-FR"/>
        </w:rPr>
        <w:t>UPOV.</w:t>
      </w:r>
    </w:p>
    <w:p w:rsidR="005278EE" w:rsidRPr="00997100" w:rsidRDefault="005278EE" w:rsidP="00E8286B">
      <w:pPr>
        <w:rPr>
          <w:lang w:val="fr-FR"/>
        </w:rPr>
      </w:pPr>
    </w:p>
    <w:p w:rsidR="005278EE" w:rsidRPr="00997100" w:rsidRDefault="00E8286B" w:rsidP="003F09A7">
      <w:pPr>
        <w:rPr>
          <w:lang w:val="fr-FR"/>
        </w:rPr>
      </w:pPr>
      <w:r w:rsidRPr="00997100">
        <w:rPr>
          <w:lang w:val="fr-FR"/>
        </w:rPr>
        <w:fldChar w:fldCharType="begin"/>
      </w:r>
      <w:r w:rsidRPr="00997100">
        <w:rPr>
          <w:lang w:val="fr-FR"/>
        </w:rPr>
        <w:instrText xml:space="preserve"> AUTONUM  </w:instrText>
      </w:r>
      <w:r w:rsidRPr="00997100">
        <w:rPr>
          <w:lang w:val="fr-FR"/>
        </w:rPr>
        <w:fldChar w:fldCharType="end"/>
      </w:r>
      <w:r w:rsidRPr="00997100">
        <w:rPr>
          <w:lang w:val="fr-FR"/>
        </w:rPr>
        <w:tab/>
      </w:r>
      <w:r w:rsidR="0024045C" w:rsidRPr="00997100">
        <w:rPr>
          <w:lang w:val="fr-FR"/>
        </w:rPr>
        <w:t>En réponse à l</w:t>
      </w:r>
      <w:r w:rsidR="00B43F1D" w:rsidRPr="00997100">
        <w:rPr>
          <w:lang w:val="fr-FR"/>
        </w:rPr>
        <w:t>’</w:t>
      </w:r>
      <w:r w:rsidR="0024045C" w:rsidRPr="00997100">
        <w:rPr>
          <w:lang w:val="fr-FR"/>
        </w:rPr>
        <w:t>observation de l</w:t>
      </w:r>
      <w:r w:rsidR="00B43F1D" w:rsidRPr="00997100">
        <w:rPr>
          <w:lang w:val="fr-FR"/>
        </w:rPr>
        <w:t>’</w:t>
      </w:r>
      <w:r w:rsidR="0024045C" w:rsidRPr="00997100">
        <w:rPr>
          <w:lang w:val="fr-FR"/>
        </w:rPr>
        <w:t>Union européenne,</w:t>
      </w:r>
      <w:r w:rsidR="00B43F1D" w:rsidRPr="00997100">
        <w:rPr>
          <w:lang w:val="fr-FR"/>
        </w:rPr>
        <w:t xml:space="preserve"> le CAJ</w:t>
      </w:r>
      <w:r w:rsidR="0024045C" w:rsidRPr="00997100">
        <w:rPr>
          <w:lang w:val="fr-FR"/>
        </w:rPr>
        <w:t xml:space="preserve"> </w:t>
      </w:r>
      <w:r w:rsidR="00DC7265">
        <w:rPr>
          <w:lang w:val="fr-FR"/>
        </w:rPr>
        <w:t>a noté</w:t>
      </w:r>
      <w:r w:rsidR="0024045C" w:rsidRPr="00997100">
        <w:rPr>
          <w:lang w:val="fr-FR"/>
        </w:rPr>
        <w:t xml:space="preserve"> que les notes explicatives sur </w:t>
      </w:r>
      <w:r w:rsidR="00B43F1D" w:rsidRPr="00997100">
        <w:rPr>
          <w:lang w:val="fr-FR"/>
        </w:rPr>
        <w:t>“l’</w:t>
      </w:r>
      <w:r w:rsidR="0024045C" w:rsidRPr="00997100">
        <w:rPr>
          <w:lang w:val="fr-FR"/>
        </w:rPr>
        <w:t>examen de la demande” devraient expliquer toutes les options d</w:t>
      </w:r>
      <w:r w:rsidR="00B43F1D" w:rsidRPr="00997100">
        <w:rPr>
          <w:lang w:val="fr-FR"/>
        </w:rPr>
        <w:t>’</w:t>
      </w:r>
      <w:r w:rsidR="0024045C" w:rsidRPr="00997100">
        <w:rPr>
          <w:lang w:val="fr-FR"/>
        </w:rPr>
        <w:t xml:space="preserve">examen des variétés, comme le prévoit la </w:t>
      </w:r>
      <w:r w:rsidR="00B43F1D" w:rsidRPr="00997100">
        <w:rPr>
          <w:lang w:val="fr-FR"/>
        </w:rPr>
        <w:t>Convention UPOV</w:t>
      </w:r>
      <w:r w:rsidR="0024045C" w:rsidRPr="00997100">
        <w:rPr>
          <w:lang w:val="fr-FR"/>
        </w:rPr>
        <w:t>.</w:t>
      </w:r>
    </w:p>
    <w:p w:rsidR="005278EE" w:rsidRPr="00997100" w:rsidRDefault="005278EE" w:rsidP="00807712">
      <w:pPr>
        <w:rPr>
          <w:snapToGrid w:val="0"/>
          <w:lang w:val="fr-FR"/>
        </w:rPr>
      </w:pPr>
    </w:p>
    <w:p w:rsidR="005278EE" w:rsidRPr="00997100" w:rsidRDefault="005278EE" w:rsidP="00807712">
      <w:pPr>
        <w:rPr>
          <w:snapToGrid w:val="0"/>
          <w:lang w:val="fr-FR"/>
        </w:rPr>
      </w:pPr>
    </w:p>
    <w:p w:rsidR="005278EE" w:rsidRPr="00997100" w:rsidRDefault="00145EAD" w:rsidP="00637716">
      <w:pPr>
        <w:pStyle w:val="Heading2"/>
        <w:rPr>
          <w:snapToGrid w:val="0"/>
          <w:lang w:val="fr-FR"/>
        </w:rPr>
      </w:pPr>
      <w:r w:rsidRPr="00997100">
        <w:rPr>
          <w:snapToGrid w:val="0"/>
          <w:lang w:val="fr-FR"/>
        </w:rPr>
        <w:t>Encourager les membres à prendre à leur compte les rapports d</w:t>
      </w:r>
      <w:r w:rsidR="00B43F1D" w:rsidRPr="00997100">
        <w:rPr>
          <w:snapToGrid w:val="0"/>
          <w:lang w:val="fr-FR"/>
        </w:rPr>
        <w:t>’</w:t>
      </w:r>
      <w:r w:rsidRPr="00997100">
        <w:rPr>
          <w:snapToGrid w:val="0"/>
          <w:lang w:val="fr-FR"/>
        </w:rPr>
        <w:t>examen</w:t>
      </w:r>
      <w:r w:rsidR="009C3A48" w:rsidRPr="00997100">
        <w:rPr>
          <w:snapToGrid w:val="0"/>
          <w:lang w:val="fr-FR"/>
        </w:rPr>
        <w:t> </w:t>
      </w:r>
      <w:r w:rsidRPr="00997100">
        <w:rPr>
          <w:snapToGrid w:val="0"/>
          <w:lang w:val="fr-FR"/>
        </w:rPr>
        <w:t>DHS lorsque les demandeurs ne sont pas en mesure de remettre du matériel végétal pour des raisons phytosanitaires ou autres</w:t>
      </w:r>
    </w:p>
    <w:p w:rsidR="005278EE" w:rsidRPr="00997100" w:rsidRDefault="005278EE" w:rsidP="00637716">
      <w:pPr>
        <w:rPr>
          <w:snapToGrid w:val="0"/>
          <w:lang w:val="fr-FR"/>
        </w:rPr>
      </w:pPr>
    </w:p>
    <w:p w:rsidR="005278EE" w:rsidRPr="00997100" w:rsidRDefault="00637716" w:rsidP="00637716">
      <w:pPr>
        <w:rPr>
          <w:snapToGrid w:val="0"/>
          <w:lang w:val="fr-FR"/>
        </w:rPr>
      </w:pPr>
      <w:r w:rsidRPr="00997100">
        <w:rPr>
          <w:lang w:val="fr-FR"/>
        </w:rPr>
        <w:fldChar w:fldCharType="begin"/>
      </w:r>
      <w:r w:rsidRPr="00997100">
        <w:rPr>
          <w:lang w:val="fr-FR"/>
        </w:rPr>
        <w:instrText xml:space="preserve"> AUTONUM  </w:instrText>
      </w:r>
      <w:r w:rsidRPr="00997100">
        <w:rPr>
          <w:lang w:val="fr-FR"/>
        </w:rPr>
        <w:fldChar w:fldCharType="end"/>
      </w:r>
      <w:r w:rsidRPr="00997100">
        <w:rPr>
          <w:lang w:val="fr-FR"/>
        </w:rPr>
        <w:tab/>
      </w:r>
      <w:r w:rsidR="00145EAD" w:rsidRPr="00997100">
        <w:rPr>
          <w:lang w:val="fr-FR"/>
        </w:rPr>
        <w:t>À sa cinquante</w:t>
      </w:r>
      <w:r w:rsidR="00B43F1D" w:rsidRPr="00997100">
        <w:rPr>
          <w:lang w:val="fr-FR"/>
        </w:rPr>
        <w:t>-</w:t>
      </w:r>
      <w:r w:rsidR="00145EAD" w:rsidRPr="00997100">
        <w:rPr>
          <w:lang w:val="fr-FR"/>
        </w:rPr>
        <w:t>six</w:t>
      </w:r>
      <w:r w:rsidR="00B43F1D" w:rsidRPr="00997100">
        <w:rPr>
          <w:lang w:val="fr-FR"/>
        </w:rPr>
        <w:t>ième session</w:t>
      </w:r>
      <w:r w:rsidRPr="00997100">
        <w:rPr>
          <w:rStyle w:val="FootnoteReference"/>
          <w:lang w:val="fr-FR"/>
        </w:rPr>
        <w:footnoteReference w:id="4"/>
      </w:r>
      <w:r w:rsidR="00145EAD" w:rsidRPr="00997100">
        <w:rPr>
          <w:lang w:val="fr-FR"/>
        </w:rPr>
        <w:t>, le Comité technique a pris note de l</w:t>
      </w:r>
      <w:r w:rsidR="00B43F1D" w:rsidRPr="00997100">
        <w:rPr>
          <w:lang w:val="fr-FR"/>
        </w:rPr>
        <w:t>’</w:t>
      </w:r>
      <w:r w:rsidR="00145EAD" w:rsidRPr="00997100">
        <w:rPr>
          <w:lang w:val="fr-FR"/>
        </w:rPr>
        <w:t>observation formulée par le Japon en réponse à la circulaire</w:t>
      </w:r>
      <w:r w:rsidR="008C34BA" w:rsidRPr="00997100">
        <w:rPr>
          <w:lang w:val="fr-FR"/>
        </w:rPr>
        <w:t> </w:t>
      </w:r>
      <w:r w:rsidR="00145EAD" w:rsidRPr="00997100">
        <w:rPr>
          <w:lang w:val="fr-FR"/>
        </w:rPr>
        <w:t>E</w:t>
      </w:r>
      <w:r w:rsidR="00B43F1D" w:rsidRPr="00997100">
        <w:rPr>
          <w:lang w:val="fr-FR"/>
        </w:rPr>
        <w:t>-</w:t>
      </w:r>
      <w:r w:rsidR="00145EAD" w:rsidRPr="00997100">
        <w:rPr>
          <w:lang w:val="fr-FR"/>
        </w:rPr>
        <w:t>20/119 du 2</w:t>
      </w:r>
      <w:r w:rsidR="00B43F1D" w:rsidRPr="00997100">
        <w:rPr>
          <w:lang w:val="fr-FR"/>
        </w:rPr>
        <w:t>1 août 20</w:t>
      </w:r>
      <w:r w:rsidR="00145EAD" w:rsidRPr="00997100">
        <w:rPr>
          <w:lang w:val="fr-FR"/>
        </w:rPr>
        <w:t xml:space="preserve">20 concernant les difficultés rencontrées pour soumettre du matériel végétal au service qui reçoit la demande pour des raisons phytosanitaires, de quarantaine ou autres, </w:t>
      </w:r>
      <w:r w:rsidR="008C34BA" w:rsidRPr="00997100">
        <w:rPr>
          <w:lang w:val="fr-FR"/>
        </w:rPr>
        <w:t>comme indiqué a</w:t>
      </w:r>
      <w:r w:rsidR="00145EAD" w:rsidRPr="00997100">
        <w:rPr>
          <w:lang w:val="fr-FR"/>
        </w:rPr>
        <w:t xml:space="preserve">u </w:t>
      </w:r>
      <w:r w:rsidR="00B43F1D" w:rsidRPr="00997100">
        <w:rPr>
          <w:lang w:val="fr-FR"/>
        </w:rPr>
        <w:t>paragraphe 4</w:t>
      </w:r>
      <w:r w:rsidR="00145EAD" w:rsidRPr="00997100">
        <w:rPr>
          <w:lang w:val="fr-FR"/>
        </w:rPr>
        <w:t xml:space="preserve">7 du </w:t>
      </w:r>
      <w:r w:rsidR="00B43F1D" w:rsidRPr="00997100">
        <w:rPr>
          <w:lang w:val="fr-FR"/>
        </w:rPr>
        <w:t>document</w:t>
      </w:r>
      <w:r w:rsidR="008C34BA" w:rsidRPr="00997100">
        <w:rPr>
          <w:lang w:val="fr-FR"/>
        </w:rPr>
        <w:t> </w:t>
      </w:r>
      <w:r w:rsidR="00B43F1D" w:rsidRPr="00997100">
        <w:rPr>
          <w:lang w:val="fr-FR"/>
        </w:rPr>
        <w:t>TC</w:t>
      </w:r>
      <w:r w:rsidR="008C34BA" w:rsidRPr="00997100">
        <w:rPr>
          <w:lang w:val="fr-FR"/>
        </w:rPr>
        <w:t xml:space="preserve">/56/22, </w:t>
      </w:r>
      <w:r w:rsidR="00145EAD" w:rsidRPr="00997100">
        <w:rPr>
          <w:lang w:val="fr-FR"/>
        </w:rPr>
        <w:t>reproduit ci</w:t>
      </w:r>
      <w:r w:rsidR="00B43F1D" w:rsidRPr="00997100">
        <w:rPr>
          <w:lang w:val="fr-FR"/>
        </w:rPr>
        <w:t>-</w:t>
      </w:r>
      <w:r w:rsidR="00145EAD" w:rsidRPr="00997100">
        <w:rPr>
          <w:lang w:val="fr-FR"/>
        </w:rPr>
        <w:t xml:space="preserve">après (voir les </w:t>
      </w:r>
      <w:r w:rsidR="00B43F1D" w:rsidRPr="00997100">
        <w:rPr>
          <w:lang w:val="fr-FR"/>
        </w:rPr>
        <w:t>paragraphes 6</w:t>
      </w:r>
      <w:r w:rsidR="00145EAD" w:rsidRPr="00997100">
        <w:rPr>
          <w:lang w:val="fr-FR"/>
        </w:rPr>
        <w:t xml:space="preserve">1 à 63 du </w:t>
      </w:r>
      <w:r w:rsidR="00B43F1D" w:rsidRPr="00997100">
        <w:rPr>
          <w:lang w:val="fr-FR"/>
        </w:rPr>
        <w:t>document</w:t>
      </w:r>
      <w:r w:rsidR="008C34BA" w:rsidRPr="00997100">
        <w:rPr>
          <w:lang w:val="fr-FR"/>
        </w:rPr>
        <w:t> </w:t>
      </w:r>
      <w:r w:rsidR="00B43F1D" w:rsidRPr="00997100">
        <w:rPr>
          <w:lang w:val="fr-FR"/>
        </w:rPr>
        <w:t>TC</w:t>
      </w:r>
      <w:r w:rsidR="00145EAD" w:rsidRPr="00997100">
        <w:rPr>
          <w:lang w:val="fr-FR"/>
        </w:rPr>
        <w:t xml:space="preserve">/56/23 </w:t>
      </w:r>
      <w:r w:rsidR="00B43F1D" w:rsidRPr="00997100">
        <w:rPr>
          <w:lang w:val="fr-FR"/>
        </w:rPr>
        <w:t>“C</w:t>
      </w:r>
      <w:r w:rsidR="00145EAD" w:rsidRPr="00997100">
        <w:rPr>
          <w:lang w:val="fr-FR"/>
        </w:rPr>
        <w:t>ompte rendu”)</w:t>
      </w:r>
      <w:r w:rsidR="00B43F1D" w:rsidRPr="00997100">
        <w:rPr>
          <w:lang w:val="fr-FR"/>
        </w:rPr>
        <w:t> :</w:t>
      </w:r>
    </w:p>
    <w:p w:rsidR="005278EE" w:rsidRPr="00997100" w:rsidRDefault="005278EE" w:rsidP="00637716">
      <w:pPr>
        <w:rPr>
          <w:lang w:val="fr-FR"/>
        </w:rPr>
      </w:pPr>
    </w:p>
    <w:p w:rsidR="005278EE" w:rsidRPr="00997100" w:rsidRDefault="00B43F1D" w:rsidP="003F09A7">
      <w:pPr>
        <w:keepNext/>
        <w:ind w:left="567" w:right="562"/>
        <w:rPr>
          <w:sz w:val="18"/>
          <w:lang w:val="fr-FR"/>
        </w:rPr>
      </w:pPr>
      <w:r w:rsidRPr="00997100">
        <w:rPr>
          <w:sz w:val="18"/>
          <w:lang w:val="fr-FR"/>
        </w:rPr>
        <w:lastRenderedPageBreak/>
        <w:t>“R</w:t>
      </w:r>
      <w:r w:rsidR="00145EAD" w:rsidRPr="00997100">
        <w:rPr>
          <w:sz w:val="18"/>
          <w:lang w:val="fr-FR"/>
        </w:rPr>
        <w:t>appel</w:t>
      </w:r>
    </w:p>
    <w:p w:rsidR="005278EE" w:rsidRPr="00997100" w:rsidRDefault="005278EE" w:rsidP="00637716">
      <w:pPr>
        <w:keepNext/>
        <w:ind w:left="567"/>
        <w:rPr>
          <w:sz w:val="14"/>
          <w:lang w:val="fr-FR"/>
        </w:rPr>
      </w:pPr>
    </w:p>
    <w:p w:rsidR="00B43F1D" w:rsidRPr="00997100" w:rsidRDefault="00B43F1D" w:rsidP="00637716">
      <w:pPr>
        <w:keepNext/>
        <w:autoSpaceDE w:val="0"/>
        <w:autoSpaceDN w:val="0"/>
        <w:ind w:left="567" w:right="562"/>
        <w:rPr>
          <w:rFonts w:cs="Arial"/>
          <w:sz w:val="18"/>
          <w:szCs w:val="18"/>
          <w:lang w:val="fr-FR" w:eastAsia="ja-JP"/>
        </w:rPr>
      </w:pPr>
      <w:r w:rsidRPr="00997100">
        <w:rPr>
          <w:rFonts w:cs="Arial"/>
          <w:sz w:val="18"/>
          <w:szCs w:val="18"/>
          <w:lang w:val="fr-FR" w:eastAsia="ja-JP"/>
        </w:rPr>
        <w:t>“L</w:t>
      </w:r>
      <w:r w:rsidR="00145EAD" w:rsidRPr="00997100">
        <w:rPr>
          <w:rFonts w:cs="Arial"/>
          <w:sz w:val="18"/>
          <w:szCs w:val="18"/>
          <w:lang w:val="fr-FR" w:eastAsia="ja-JP"/>
        </w:rPr>
        <w:t>orsqu</w:t>
      </w:r>
      <w:r w:rsidRPr="00997100">
        <w:rPr>
          <w:rFonts w:cs="Arial"/>
          <w:sz w:val="18"/>
          <w:szCs w:val="18"/>
          <w:lang w:val="fr-FR" w:eastAsia="ja-JP"/>
        </w:rPr>
        <w:t>’</w:t>
      </w:r>
      <w:r w:rsidR="00145EAD" w:rsidRPr="00997100">
        <w:rPr>
          <w:rFonts w:cs="Arial"/>
          <w:sz w:val="18"/>
          <w:szCs w:val="18"/>
          <w:lang w:val="fr-FR" w:eastAsia="ja-JP"/>
        </w:rPr>
        <w:t>ils demandent la protection d</w:t>
      </w:r>
      <w:r w:rsidRPr="00997100">
        <w:rPr>
          <w:rFonts w:cs="Arial"/>
          <w:sz w:val="18"/>
          <w:szCs w:val="18"/>
          <w:lang w:val="fr-FR" w:eastAsia="ja-JP"/>
        </w:rPr>
        <w:t>’</w:t>
      </w:r>
      <w:r w:rsidR="00145EAD" w:rsidRPr="00997100">
        <w:rPr>
          <w:rFonts w:cs="Arial"/>
          <w:sz w:val="18"/>
          <w:szCs w:val="18"/>
          <w:lang w:val="fr-FR" w:eastAsia="ja-JP"/>
        </w:rPr>
        <w:t>une obtention végétale dans un autre membre de l</w:t>
      </w:r>
      <w:r w:rsidRPr="00997100">
        <w:rPr>
          <w:rFonts w:cs="Arial"/>
          <w:sz w:val="18"/>
          <w:szCs w:val="18"/>
          <w:lang w:val="fr-FR" w:eastAsia="ja-JP"/>
        </w:rPr>
        <w:t>’</w:t>
      </w:r>
      <w:r w:rsidR="00145EAD" w:rsidRPr="00997100">
        <w:rPr>
          <w:rFonts w:cs="Arial"/>
          <w:sz w:val="18"/>
          <w:szCs w:val="18"/>
          <w:lang w:val="fr-FR" w:eastAsia="ja-JP"/>
        </w:rPr>
        <w:t>UPOV, les obtenteurs peuvent rencontrer des difficultés pour soumettre du matériel végétal au service qui reçoit la demande pour des raisons phytosanitaires, de quarantaine ou autres.</w:t>
      </w:r>
    </w:p>
    <w:p w:rsidR="005278EE" w:rsidRPr="00997100" w:rsidRDefault="005278EE" w:rsidP="00637716">
      <w:pPr>
        <w:ind w:left="567"/>
        <w:rPr>
          <w:sz w:val="16"/>
          <w:lang w:val="fr-FR"/>
        </w:rPr>
      </w:pPr>
    </w:p>
    <w:p w:rsidR="005278EE" w:rsidRPr="00997100" w:rsidRDefault="00637716" w:rsidP="00145EAD">
      <w:pPr>
        <w:autoSpaceDE w:val="0"/>
        <w:autoSpaceDN w:val="0"/>
        <w:ind w:left="567" w:right="562"/>
        <w:rPr>
          <w:rFonts w:cs="Arial"/>
          <w:sz w:val="18"/>
          <w:szCs w:val="18"/>
          <w:lang w:val="fr-FR" w:eastAsia="ja-JP"/>
        </w:rPr>
      </w:pPr>
      <w:r w:rsidRPr="00997100">
        <w:rPr>
          <w:rFonts w:cs="Arial"/>
          <w:sz w:val="18"/>
          <w:szCs w:val="18"/>
          <w:lang w:val="fr-FR" w:eastAsia="ja-JP"/>
        </w:rPr>
        <w:t>“</w:t>
      </w:r>
      <w:r w:rsidR="00145EAD" w:rsidRPr="00997100">
        <w:rPr>
          <w:rFonts w:cs="Arial"/>
          <w:sz w:val="18"/>
          <w:szCs w:val="18"/>
          <w:lang w:val="fr-FR" w:eastAsia="ja-JP"/>
        </w:rPr>
        <w:t xml:space="preserve">Ces raisons sanitaires, de quarantaine ou autres devraient être débattues et résolues dans le cadre de consultations bilatérales. </w:t>
      </w:r>
      <w:r w:rsidR="009C3A48" w:rsidRPr="00997100">
        <w:rPr>
          <w:rFonts w:cs="Arial"/>
          <w:sz w:val="18"/>
          <w:szCs w:val="18"/>
          <w:lang w:val="fr-FR" w:eastAsia="ja-JP"/>
        </w:rPr>
        <w:t xml:space="preserve"> </w:t>
      </w:r>
      <w:r w:rsidR="00145EAD" w:rsidRPr="00997100">
        <w:rPr>
          <w:rFonts w:cs="Arial"/>
          <w:sz w:val="18"/>
          <w:szCs w:val="18"/>
          <w:lang w:val="fr-FR" w:eastAsia="ja-JP"/>
        </w:rPr>
        <w:t>Ces consultations peuvent prendre beaucoup de temps.</w:t>
      </w:r>
      <w:r w:rsidR="009C3A48" w:rsidRPr="00997100">
        <w:rPr>
          <w:rFonts w:cs="Arial"/>
          <w:sz w:val="18"/>
          <w:szCs w:val="18"/>
          <w:lang w:val="fr-FR" w:eastAsia="ja-JP"/>
        </w:rPr>
        <w:t xml:space="preserve"> </w:t>
      </w:r>
      <w:r w:rsidR="00145EAD" w:rsidRPr="00997100">
        <w:rPr>
          <w:rFonts w:cs="Arial"/>
          <w:sz w:val="18"/>
          <w:szCs w:val="18"/>
          <w:lang w:val="fr-FR" w:eastAsia="ja-JP"/>
        </w:rPr>
        <w:t xml:space="preserve"> Au cours de cette période, les demandes de protection des obtentions végétales peuvent être rejetées en raison de l</w:t>
      </w:r>
      <w:r w:rsidR="00B43F1D" w:rsidRPr="00997100">
        <w:rPr>
          <w:rFonts w:cs="Arial"/>
          <w:sz w:val="18"/>
          <w:szCs w:val="18"/>
          <w:lang w:val="fr-FR" w:eastAsia="ja-JP"/>
        </w:rPr>
        <w:t>’</w:t>
      </w:r>
      <w:r w:rsidR="00145EAD" w:rsidRPr="00997100">
        <w:rPr>
          <w:rFonts w:cs="Arial"/>
          <w:sz w:val="18"/>
          <w:szCs w:val="18"/>
          <w:lang w:val="fr-FR" w:eastAsia="ja-JP"/>
        </w:rPr>
        <w:t>impossibilité pour les demandeurs de remettre du matériel végétal aux fins d</w:t>
      </w:r>
      <w:r w:rsidR="00B43F1D" w:rsidRPr="00997100">
        <w:rPr>
          <w:rFonts w:cs="Arial"/>
          <w:sz w:val="18"/>
          <w:szCs w:val="18"/>
          <w:lang w:val="fr-FR" w:eastAsia="ja-JP"/>
        </w:rPr>
        <w:t>’</w:t>
      </w:r>
      <w:r w:rsidR="00145EAD" w:rsidRPr="00997100">
        <w:rPr>
          <w:rFonts w:cs="Arial"/>
          <w:sz w:val="18"/>
          <w:szCs w:val="18"/>
          <w:lang w:val="fr-FR" w:eastAsia="ja-JP"/>
        </w:rPr>
        <w:t>examen dans ces autres membres de l</w:t>
      </w:r>
      <w:r w:rsidR="00B43F1D" w:rsidRPr="00997100">
        <w:rPr>
          <w:rFonts w:cs="Arial"/>
          <w:sz w:val="18"/>
          <w:szCs w:val="18"/>
          <w:lang w:val="fr-FR" w:eastAsia="ja-JP"/>
        </w:rPr>
        <w:t>’</w:t>
      </w:r>
      <w:r w:rsidR="00145EAD" w:rsidRPr="00997100">
        <w:rPr>
          <w:rFonts w:cs="Arial"/>
          <w:sz w:val="18"/>
          <w:szCs w:val="18"/>
          <w:lang w:val="fr-FR" w:eastAsia="ja-JP"/>
        </w:rPr>
        <w:t>UPOV.</w:t>
      </w:r>
    </w:p>
    <w:p w:rsidR="005278EE" w:rsidRPr="00997100" w:rsidRDefault="005278EE" w:rsidP="00637716">
      <w:pPr>
        <w:ind w:left="567"/>
        <w:rPr>
          <w:sz w:val="16"/>
          <w:lang w:val="fr-FR"/>
        </w:rPr>
      </w:pPr>
    </w:p>
    <w:p w:rsidR="005278EE" w:rsidRPr="00997100" w:rsidRDefault="00637716" w:rsidP="00145EAD">
      <w:pPr>
        <w:ind w:left="567" w:right="562"/>
        <w:rPr>
          <w:rFonts w:cs="Arial"/>
          <w:sz w:val="18"/>
          <w:szCs w:val="18"/>
          <w:lang w:val="fr-FR" w:eastAsia="ja-JP"/>
        </w:rPr>
      </w:pPr>
      <w:r w:rsidRPr="00997100">
        <w:rPr>
          <w:rFonts w:cs="Arial"/>
          <w:sz w:val="18"/>
          <w:szCs w:val="18"/>
          <w:lang w:val="fr-FR" w:eastAsia="ja-JP"/>
        </w:rPr>
        <w:t>“</w:t>
      </w:r>
      <w:r w:rsidR="00145EAD" w:rsidRPr="00997100">
        <w:rPr>
          <w:rFonts w:cs="Arial"/>
          <w:sz w:val="18"/>
          <w:szCs w:val="18"/>
          <w:lang w:val="fr-FR" w:eastAsia="ja-JP"/>
        </w:rPr>
        <w:t>Dans certains cas, du matériel de reproduction ou de multiplication d</w:t>
      </w:r>
      <w:r w:rsidR="00B43F1D" w:rsidRPr="00997100">
        <w:rPr>
          <w:rFonts w:cs="Arial"/>
          <w:sz w:val="18"/>
          <w:szCs w:val="18"/>
          <w:lang w:val="fr-FR" w:eastAsia="ja-JP"/>
        </w:rPr>
        <w:t>’</w:t>
      </w:r>
      <w:r w:rsidR="00145EAD" w:rsidRPr="00997100">
        <w:rPr>
          <w:rFonts w:cs="Arial"/>
          <w:sz w:val="18"/>
          <w:szCs w:val="18"/>
          <w:lang w:val="fr-FR" w:eastAsia="ja-JP"/>
        </w:rPr>
        <w:t>une variété peut entrer sur le territoire d</w:t>
      </w:r>
      <w:r w:rsidR="00B43F1D" w:rsidRPr="00997100">
        <w:rPr>
          <w:rFonts w:cs="Arial"/>
          <w:sz w:val="18"/>
          <w:szCs w:val="18"/>
          <w:lang w:val="fr-FR" w:eastAsia="ja-JP"/>
        </w:rPr>
        <w:t>’</w:t>
      </w:r>
      <w:r w:rsidR="00145EAD" w:rsidRPr="00997100">
        <w:rPr>
          <w:rFonts w:cs="Arial"/>
          <w:sz w:val="18"/>
          <w:szCs w:val="18"/>
          <w:lang w:val="fr-FR" w:eastAsia="ja-JP"/>
        </w:rPr>
        <w:t>un autre membre de l</w:t>
      </w:r>
      <w:r w:rsidR="00B43F1D" w:rsidRPr="00997100">
        <w:rPr>
          <w:rFonts w:cs="Arial"/>
          <w:sz w:val="18"/>
          <w:szCs w:val="18"/>
          <w:lang w:val="fr-FR" w:eastAsia="ja-JP"/>
        </w:rPr>
        <w:t>’</w:t>
      </w:r>
      <w:r w:rsidR="00145EAD" w:rsidRPr="00997100">
        <w:rPr>
          <w:rFonts w:cs="Arial"/>
          <w:sz w:val="18"/>
          <w:szCs w:val="18"/>
          <w:lang w:val="fr-FR" w:eastAsia="ja-JP"/>
        </w:rPr>
        <w:t>UPOV sans le consentement de l</w:t>
      </w:r>
      <w:r w:rsidR="00B43F1D" w:rsidRPr="00997100">
        <w:rPr>
          <w:rFonts w:cs="Arial"/>
          <w:sz w:val="18"/>
          <w:szCs w:val="18"/>
          <w:lang w:val="fr-FR" w:eastAsia="ja-JP"/>
        </w:rPr>
        <w:t>’</w:t>
      </w:r>
      <w:r w:rsidR="00145EAD" w:rsidRPr="00997100">
        <w:rPr>
          <w:rFonts w:cs="Arial"/>
          <w:sz w:val="18"/>
          <w:szCs w:val="18"/>
          <w:lang w:val="fr-FR" w:eastAsia="ja-JP"/>
        </w:rPr>
        <w:t xml:space="preserve">obtenteur, </w:t>
      </w:r>
      <w:r w:rsidR="00B43F1D" w:rsidRPr="00997100">
        <w:rPr>
          <w:rFonts w:cs="Arial"/>
          <w:sz w:val="18"/>
          <w:szCs w:val="18"/>
          <w:lang w:val="fr-FR" w:eastAsia="ja-JP"/>
        </w:rPr>
        <w:t>y compris</w:t>
      </w:r>
      <w:r w:rsidR="00145EAD" w:rsidRPr="00997100">
        <w:rPr>
          <w:rFonts w:cs="Arial"/>
          <w:sz w:val="18"/>
          <w:szCs w:val="18"/>
          <w:lang w:val="fr-FR" w:eastAsia="ja-JP"/>
        </w:rPr>
        <w:t xml:space="preserve"> en cas de quarantaine ou d</w:t>
      </w:r>
      <w:r w:rsidR="00B43F1D" w:rsidRPr="00997100">
        <w:rPr>
          <w:rFonts w:cs="Arial"/>
          <w:sz w:val="18"/>
          <w:szCs w:val="18"/>
          <w:lang w:val="fr-FR" w:eastAsia="ja-JP"/>
        </w:rPr>
        <w:t>’</w:t>
      </w:r>
      <w:r w:rsidR="00145EAD" w:rsidRPr="00997100">
        <w:rPr>
          <w:rFonts w:cs="Arial"/>
          <w:sz w:val="18"/>
          <w:szCs w:val="18"/>
          <w:lang w:val="fr-FR" w:eastAsia="ja-JP"/>
        </w:rPr>
        <w:t>interdiction d</w:t>
      </w:r>
      <w:r w:rsidR="00B43F1D" w:rsidRPr="00997100">
        <w:rPr>
          <w:rFonts w:cs="Arial"/>
          <w:sz w:val="18"/>
          <w:szCs w:val="18"/>
          <w:lang w:val="fr-FR" w:eastAsia="ja-JP"/>
        </w:rPr>
        <w:t>’</w:t>
      </w:r>
      <w:r w:rsidR="00145EAD" w:rsidRPr="00997100">
        <w:rPr>
          <w:rFonts w:cs="Arial"/>
          <w:sz w:val="18"/>
          <w:szCs w:val="18"/>
          <w:lang w:val="fr-FR" w:eastAsia="ja-JP"/>
        </w:rPr>
        <w:t xml:space="preserve">importation. </w:t>
      </w:r>
      <w:r w:rsidR="009C3A48" w:rsidRPr="00997100">
        <w:rPr>
          <w:rFonts w:cs="Arial"/>
          <w:sz w:val="18"/>
          <w:szCs w:val="18"/>
          <w:lang w:val="fr-FR" w:eastAsia="ja-JP"/>
        </w:rPr>
        <w:t xml:space="preserve"> </w:t>
      </w:r>
      <w:r w:rsidR="00145EAD" w:rsidRPr="00997100">
        <w:rPr>
          <w:rFonts w:cs="Arial"/>
          <w:sz w:val="18"/>
          <w:szCs w:val="18"/>
          <w:lang w:val="fr-FR" w:eastAsia="ja-JP"/>
        </w:rPr>
        <w:t>Cette situation pourrait poser de graves problèmes dans le cas où les droits d</w:t>
      </w:r>
      <w:r w:rsidR="00B43F1D" w:rsidRPr="00997100">
        <w:rPr>
          <w:rFonts w:cs="Arial"/>
          <w:sz w:val="18"/>
          <w:szCs w:val="18"/>
          <w:lang w:val="fr-FR" w:eastAsia="ja-JP"/>
        </w:rPr>
        <w:t>’</w:t>
      </w:r>
      <w:r w:rsidR="00145EAD" w:rsidRPr="00997100">
        <w:rPr>
          <w:rFonts w:cs="Arial"/>
          <w:sz w:val="18"/>
          <w:szCs w:val="18"/>
          <w:lang w:val="fr-FR" w:eastAsia="ja-JP"/>
        </w:rPr>
        <w:t>obtenteur ne sont pas octroyés dans ce membre de l</w:t>
      </w:r>
      <w:r w:rsidR="00B43F1D" w:rsidRPr="00997100">
        <w:rPr>
          <w:rFonts w:cs="Arial"/>
          <w:sz w:val="18"/>
          <w:szCs w:val="18"/>
          <w:lang w:val="fr-FR" w:eastAsia="ja-JP"/>
        </w:rPr>
        <w:t>’</w:t>
      </w:r>
      <w:r w:rsidR="00145EAD" w:rsidRPr="00997100">
        <w:rPr>
          <w:rFonts w:cs="Arial"/>
          <w:sz w:val="18"/>
          <w:szCs w:val="18"/>
          <w:lang w:val="fr-FR" w:eastAsia="ja-JP"/>
        </w:rPr>
        <w:t>UPOV en raison de problèmes phytosanitaires, de quarantaine ou autres.</w:t>
      </w:r>
    </w:p>
    <w:p w:rsidR="005278EE" w:rsidRPr="00997100" w:rsidRDefault="005278EE" w:rsidP="00637716">
      <w:pPr>
        <w:ind w:left="567"/>
        <w:rPr>
          <w:sz w:val="16"/>
          <w:lang w:val="fr-FR"/>
        </w:rPr>
      </w:pPr>
    </w:p>
    <w:p w:rsidR="005278EE" w:rsidRPr="00997100" w:rsidRDefault="00637716" w:rsidP="00637716">
      <w:pPr>
        <w:keepNext/>
        <w:autoSpaceDE w:val="0"/>
        <w:autoSpaceDN w:val="0"/>
        <w:ind w:left="567" w:right="562"/>
        <w:rPr>
          <w:rFonts w:cs="Arial"/>
          <w:sz w:val="18"/>
          <w:szCs w:val="18"/>
          <w:lang w:val="fr-FR" w:eastAsia="ja-JP"/>
        </w:rPr>
      </w:pPr>
      <w:r w:rsidRPr="00997100">
        <w:rPr>
          <w:rFonts w:cs="Arial"/>
          <w:sz w:val="18"/>
          <w:szCs w:val="18"/>
          <w:lang w:val="fr-FR" w:eastAsia="ja-JP"/>
        </w:rPr>
        <w:t>“</w:t>
      </w:r>
      <w:r w:rsidR="00FA3E36" w:rsidRPr="00997100">
        <w:rPr>
          <w:rFonts w:cs="Arial"/>
          <w:sz w:val="18"/>
          <w:szCs w:val="18"/>
          <w:lang w:val="fr-FR" w:eastAsia="ja-JP"/>
        </w:rPr>
        <w:t>Proposition</w:t>
      </w:r>
      <w:r w:rsidR="00B43F1D" w:rsidRPr="00997100">
        <w:rPr>
          <w:rFonts w:cs="Arial"/>
          <w:sz w:val="18"/>
          <w:szCs w:val="18"/>
          <w:lang w:val="fr-FR" w:eastAsia="ja-JP"/>
        </w:rPr>
        <w:t> :</w:t>
      </w:r>
    </w:p>
    <w:p w:rsidR="005278EE" w:rsidRPr="00997100" w:rsidRDefault="005278EE" w:rsidP="00637716">
      <w:pPr>
        <w:ind w:left="567"/>
        <w:rPr>
          <w:sz w:val="14"/>
          <w:lang w:val="fr-FR"/>
        </w:rPr>
      </w:pPr>
    </w:p>
    <w:p w:rsidR="005278EE" w:rsidRPr="00997100" w:rsidRDefault="00637716" w:rsidP="00FA3E36">
      <w:pPr>
        <w:keepNext/>
        <w:autoSpaceDE w:val="0"/>
        <w:autoSpaceDN w:val="0"/>
        <w:ind w:left="567" w:right="562"/>
        <w:rPr>
          <w:rFonts w:cs="Arial"/>
          <w:sz w:val="18"/>
          <w:szCs w:val="18"/>
          <w:lang w:val="fr-FR" w:eastAsia="ja-JP"/>
        </w:rPr>
      </w:pPr>
      <w:r w:rsidRPr="00997100">
        <w:rPr>
          <w:rFonts w:cs="Arial"/>
          <w:sz w:val="18"/>
          <w:szCs w:val="18"/>
          <w:lang w:val="fr-FR" w:eastAsia="ja-JP"/>
        </w:rPr>
        <w:t>“</w:t>
      </w:r>
      <w:r w:rsidR="00FA3E36" w:rsidRPr="00997100">
        <w:rPr>
          <w:rFonts w:cs="Arial"/>
          <w:sz w:val="18"/>
          <w:szCs w:val="18"/>
          <w:lang w:val="fr-FR" w:eastAsia="ja-JP"/>
        </w:rPr>
        <w:t>Le Japon souhaiterait proposer d</w:t>
      </w:r>
      <w:r w:rsidR="00B43F1D" w:rsidRPr="00997100">
        <w:rPr>
          <w:rFonts w:cs="Arial"/>
          <w:sz w:val="18"/>
          <w:szCs w:val="18"/>
          <w:lang w:val="fr-FR" w:eastAsia="ja-JP"/>
        </w:rPr>
        <w:t>’</w:t>
      </w:r>
      <w:r w:rsidR="00FA3E36" w:rsidRPr="00997100">
        <w:rPr>
          <w:rFonts w:cs="Arial"/>
          <w:sz w:val="18"/>
          <w:szCs w:val="18"/>
          <w:lang w:val="fr-FR" w:eastAsia="ja-JP"/>
        </w:rPr>
        <w:t>élaborer des orientations pour encourager les membres de l</w:t>
      </w:r>
      <w:r w:rsidR="00B43F1D" w:rsidRPr="00997100">
        <w:rPr>
          <w:rFonts w:cs="Arial"/>
          <w:sz w:val="18"/>
          <w:szCs w:val="18"/>
          <w:lang w:val="fr-FR" w:eastAsia="ja-JP"/>
        </w:rPr>
        <w:t>’</w:t>
      </w:r>
      <w:r w:rsidR="00FA3E36" w:rsidRPr="00997100">
        <w:rPr>
          <w:rFonts w:cs="Arial"/>
          <w:sz w:val="18"/>
          <w:szCs w:val="18"/>
          <w:lang w:val="fr-FR" w:eastAsia="ja-JP"/>
        </w:rPr>
        <w:t>UPOV à prendre à leur compte les rapports d</w:t>
      </w:r>
      <w:r w:rsidR="00B43F1D" w:rsidRPr="00997100">
        <w:rPr>
          <w:rFonts w:cs="Arial"/>
          <w:sz w:val="18"/>
          <w:szCs w:val="18"/>
          <w:lang w:val="fr-FR" w:eastAsia="ja-JP"/>
        </w:rPr>
        <w:t>’</w:t>
      </w:r>
      <w:r w:rsidR="00FA3E36" w:rsidRPr="00997100">
        <w:rPr>
          <w:rFonts w:cs="Arial"/>
          <w:sz w:val="18"/>
          <w:szCs w:val="18"/>
          <w:lang w:val="fr-FR" w:eastAsia="ja-JP"/>
        </w:rPr>
        <w:t>examen</w:t>
      </w:r>
      <w:r w:rsidR="009C3A48" w:rsidRPr="00997100">
        <w:rPr>
          <w:rFonts w:cs="Arial"/>
          <w:sz w:val="18"/>
          <w:szCs w:val="18"/>
          <w:lang w:val="fr-FR" w:eastAsia="ja-JP"/>
        </w:rPr>
        <w:t> </w:t>
      </w:r>
      <w:r w:rsidR="00FA3E36" w:rsidRPr="00997100">
        <w:rPr>
          <w:rFonts w:cs="Arial"/>
          <w:sz w:val="18"/>
          <w:szCs w:val="18"/>
          <w:lang w:val="fr-FR" w:eastAsia="ja-JP"/>
        </w:rPr>
        <w:t xml:space="preserve">DHS lorsque les demandeurs ne sont pas en mesure de remettre du matériel végétal pour des raisons phytosanitaires ou autres. </w:t>
      </w:r>
      <w:r w:rsidR="009C3A48" w:rsidRPr="00997100">
        <w:rPr>
          <w:rFonts w:cs="Arial"/>
          <w:sz w:val="18"/>
          <w:szCs w:val="18"/>
          <w:lang w:val="fr-FR" w:eastAsia="ja-JP"/>
        </w:rPr>
        <w:t xml:space="preserve"> </w:t>
      </w:r>
      <w:r w:rsidR="00FA3E36" w:rsidRPr="00997100">
        <w:rPr>
          <w:rFonts w:cs="Arial"/>
          <w:sz w:val="18"/>
          <w:szCs w:val="18"/>
          <w:lang w:val="fr-FR" w:eastAsia="ja-JP"/>
        </w:rPr>
        <w:t>Dans le cas où le Comité technique accepterait d</w:t>
      </w:r>
      <w:r w:rsidR="00B43F1D" w:rsidRPr="00997100">
        <w:rPr>
          <w:rFonts w:cs="Arial"/>
          <w:sz w:val="18"/>
          <w:szCs w:val="18"/>
          <w:lang w:val="fr-FR" w:eastAsia="ja-JP"/>
        </w:rPr>
        <w:t>’</w:t>
      </w:r>
      <w:r w:rsidR="00FA3E36" w:rsidRPr="00997100">
        <w:rPr>
          <w:rFonts w:cs="Arial"/>
          <w:sz w:val="18"/>
          <w:szCs w:val="18"/>
          <w:lang w:val="fr-FR" w:eastAsia="ja-JP"/>
        </w:rPr>
        <w:t>élaborer de telles orientations, la proposition pourrait être soumise</w:t>
      </w:r>
      <w:r w:rsidR="00B43F1D" w:rsidRPr="00997100">
        <w:rPr>
          <w:rFonts w:cs="Arial"/>
          <w:sz w:val="18"/>
          <w:szCs w:val="18"/>
          <w:lang w:val="fr-FR" w:eastAsia="ja-JP"/>
        </w:rPr>
        <w:t xml:space="preserve"> au CAJ</w:t>
      </w:r>
      <w:r w:rsidR="00FA3E36" w:rsidRPr="00997100">
        <w:rPr>
          <w:rFonts w:cs="Arial"/>
          <w:sz w:val="18"/>
          <w:szCs w:val="18"/>
          <w:lang w:val="fr-FR" w:eastAsia="ja-JP"/>
        </w:rPr>
        <w:t xml:space="preserve"> pour examen.</w:t>
      </w:r>
      <w:r w:rsidRPr="00997100">
        <w:rPr>
          <w:rFonts w:cs="Arial"/>
          <w:sz w:val="18"/>
          <w:szCs w:val="18"/>
          <w:lang w:val="fr-FR" w:eastAsia="ja-JP"/>
        </w:rPr>
        <w:t>”</w:t>
      </w:r>
    </w:p>
    <w:p w:rsidR="005278EE" w:rsidRPr="00997100" w:rsidRDefault="005278EE" w:rsidP="00637716">
      <w:pPr>
        <w:rPr>
          <w:rFonts w:cs="Arial"/>
          <w:sz w:val="18"/>
          <w:szCs w:val="18"/>
          <w:lang w:val="fr-FR" w:eastAsia="ja-JP"/>
        </w:rPr>
      </w:pPr>
    </w:p>
    <w:p w:rsidR="005278EE" w:rsidRPr="00997100" w:rsidRDefault="00637716" w:rsidP="00637716">
      <w:pPr>
        <w:rPr>
          <w:rFonts w:cs="Arial"/>
          <w:szCs w:val="18"/>
          <w:lang w:val="fr-FR" w:eastAsia="ja-JP"/>
        </w:rPr>
      </w:pPr>
      <w:r w:rsidRPr="00997100">
        <w:rPr>
          <w:rFonts w:cs="Arial"/>
          <w:szCs w:val="18"/>
          <w:lang w:val="fr-FR" w:eastAsia="ja-JP"/>
        </w:rPr>
        <w:fldChar w:fldCharType="begin"/>
      </w:r>
      <w:r w:rsidRPr="00997100">
        <w:rPr>
          <w:rFonts w:cs="Arial"/>
          <w:szCs w:val="18"/>
          <w:lang w:val="fr-FR" w:eastAsia="ja-JP"/>
        </w:rPr>
        <w:instrText xml:space="preserve"> AUTONUM  </w:instrText>
      </w:r>
      <w:r w:rsidRPr="00997100">
        <w:rPr>
          <w:rFonts w:cs="Arial"/>
          <w:szCs w:val="18"/>
          <w:lang w:val="fr-FR" w:eastAsia="ja-JP"/>
        </w:rPr>
        <w:fldChar w:fldCharType="end"/>
      </w:r>
      <w:r w:rsidRPr="00997100">
        <w:rPr>
          <w:rFonts w:cs="Arial"/>
          <w:szCs w:val="18"/>
          <w:lang w:val="fr-FR" w:eastAsia="ja-JP"/>
        </w:rPr>
        <w:tab/>
      </w:r>
      <w:r w:rsidR="00801E51" w:rsidRPr="00997100">
        <w:rPr>
          <w:rFonts w:cs="Arial"/>
          <w:szCs w:val="18"/>
          <w:lang w:val="fr-FR" w:eastAsia="ja-JP"/>
        </w:rPr>
        <w:t>À sa cinquante</w:t>
      </w:r>
      <w:r w:rsidR="00B43F1D" w:rsidRPr="00997100">
        <w:rPr>
          <w:rFonts w:cs="Arial"/>
          <w:szCs w:val="18"/>
          <w:lang w:val="fr-FR" w:eastAsia="ja-JP"/>
        </w:rPr>
        <w:t>-</w:t>
      </w:r>
      <w:r w:rsidR="00801E51" w:rsidRPr="00997100">
        <w:rPr>
          <w:rFonts w:cs="Arial"/>
          <w:szCs w:val="18"/>
          <w:lang w:val="fr-FR" w:eastAsia="ja-JP"/>
        </w:rPr>
        <w:t>six</w:t>
      </w:r>
      <w:r w:rsidR="00B43F1D" w:rsidRPr="00997100">
        <w:rPr>
          <w:rFonts w:cs="Arial"/>
          <w:szCs w:val="18"/>
          <w:lang w:val="fr-FR" w:eastAsia="ja-JP"/>
        </w:rPr>
        <w:t>ième session</w:t>
      </w:r>
      <w:r w:rsidR="00801E51" w:rsidRPr="00997100">
        <w:rPr>
          <w:rFonts w:cs="Arial"/>
          <w:szCs w:val="18"/>
          <w:lang w:val="fr-FR" w:eastAsia="ja-JP"/>
        </w:rPr>
        <w:t>, le</w:t>
      </w:r>
      <w:r w:rsidR="00B43F1D" w:rsidRPr="00997100">
        <w:rPr>
          <w:rFonts w:cs="Arial"/>
          <w:szCs w:val="18"/>
          <w:lang w:val="fr-FR" w:eastAsia="ja-JP"/>
        </w:rPr>
        <w:t> TC</w:t>
      </w:r>
      <w:r w:rsidR="00801E51" w:rsidRPr="00997100">
        <w:rPr>
          <w:rFonts w:cs="Arial"/>
          <w:szCs w:val="18"/>
          <w:lang w:val="fr-FR" w:eastAsia="ja-JP"/>
        </w:rPr>
        <w:t xml:space="preserve"> a noté que la soumission du matériel végétal était requise pour l</w:t>
      </w:r>
      <w:r w:rsidR="00B43F1D" w:rsidRPr="00997100">
        <w:rPr>
          <w:rFonts w:cs="Arial"/>
          <w:szCs w:val="18"/>
          <w:lang w:val="fr-FR" w:eastAsia="ja-JP"/>
        </w:rPr>
        <w:t>’</w:t>
      </w:r>
      <w:r w:rsidR="00801E51" w:rsidRPr="00997100">
        <w:rPr>
          <w:rFonts w:cs="Arial"/>
          <w:szCs w:val="18"/>
          <w:lang w:val="fr-FR" w:eastAsia="ja-JP"/>
        </w:rPr>
        <w:t>octroi de droits d</w:t>
      </w:r>
      <w:r w:rsidR="00B43F1D" w:rsidRPr="00997100">
        <w:rPr>
          <w:rFonts w:cs="Arial"/>
          <w:szCs w:val="18"/>
          <w:lang w:val="fr-FR" w:eastAsia="ja-JP"/>
        </w:rPr>
        <w:t>’</w:t>
      </w:r>
      <w:r w:rsidR="00801E51" w:rsidRPr="00997100">
        <w:rPr>
          <w:rFonts w:cs="Arial"/>
          <w:szCs w:val="18"/>
          <w:lang w:val="fr-FR" w:eastAsia="ja-JP"/>
        </w:rPr>
        <w:t>obtenteur dans certains membres de l</w:t>
      </w:r>
      <w:r w:rsidR="00B43F1D" w:rsidRPr="00997100">
        <w:rPr>
          <w:rFonts w:cs="Arial"/>
          <w:szCs w:val="18"/>
          <w:lang w:val="fr-FR" w:eastAsia="ja-JP"/>
        </w:rPr>
        <w:t>’</w:t>
      </w:r>
      <w:r w:rsidR="00801E51" w:rsidRPr="00997100">
        <w:rPr>
          <w:rFonts w:cs="Arial"/>
          <w:szCs w:val="18"/>
          <w:lang w:val="fr-FR" w:eastAsia="ja-JP"/>
        </w:rPr>
        <w:t>Union.</w:t>
      </w:r>
    </w:p>
    <w:p w:rsidR="005278EE" w:rsidRPr="00997100" w:rsidRDefault="005278EE" w:rsidP="00637716">
      <w:pPr>
        <w:rPr>
          <w:rFonts w:cs="Arial"/>
          <w:sz w:val="18"/>
          <w:szCs w:val="18"/>
          <w:lang w:val="fr-FR" w:eastAsia="ja-JP"/>
        </w:rPr>
      </w:pPr>
    </w:p>
    <w:p w:rsidR="005278EE" w:rsidRPr="00997100" w:rsidRDefault="00637716" w:rsidP="00801E51">
      <w:pPr>
        <w:rPr>
          <w:lang w:val="fr-FR"/>
        </w:rPr>
      </w:pPr>
      <w:r w:rsidRPr="00997100">
        <w:rPr>
          <w:rFonts w:cs="Arial"/>
          <w:szCs w:val="18"/>
          <w:lang w:val="fr-FR" w:eastAsia="ja-JP"/>
        </w:rPr>
        <w:fldChar w:fldCharType="begin"/>
      </w:r>
      <w:r w:rsidRPr="00997100">
        <w:rPr>
          <w:rFonts w:cs="Arial"/>
          <w:szCs w:val="18"/>
          <w:lang w:val="fr-FR" w:eastAsia="ja-JP"/>
        </w:rPr>
        <w:instrText xml:space="preserve"> AUTONUM  </w:instrText>
      </w:r>
      <w:r w:rsidRPr="00997100">
        <w:rPr>
          <w:rFonts w:cs="Arial"/>
          <w:szCs w:val="18"/>
          <w:lang w:val="fr-FR" w:eastAsia="ja-JP"/>
        </w:rPr>
        <w:fldChar w:fldCharType="end"/>
      </w:r>
      <w:r w:rsidRPr="00997100">
        <w:rPr>
          <w:rFonts w:cs="Arial"/>
          <w:szCs w:val="18"/>
          <w:lang w:val="fr-FR" w:eastAsia="ja-JP"/>
        </w:rPr>
        <w:tab/>
      </w:r>
      <w:r w:rsidR="00801E51" w:rsidRPr="00997100">
        <w:rPr>
          <w:rFonts w:cs="Arial"/>
          <w:szCs w:val="18"/>
          <w:lang w:val="fr-FR" w:eastAsia="ja-JP"/>
        </w:rPr>
        <w:t>Le</w:t>
      </w:r>
      <w:r w:rsidR="00B43F1D" w:rsidRPr="00997100">
        <w:rPr>
          <w:rFonts w:cs="Arial"/>
          <w:szCs w:val="18"/>
          <w:lang w:val="fr-FR" w:eastAsia="ja-JP"/>
        </w:rPr>
        <w:t> TC</w:t>
      </w:r>
      <w:r w:rsidR="00801E51" w:rsidRPr="00997100">
        <w:rPr>
          <w:rFonts w:cs="Arial"/>
          <w:szCs w:val="18"/>
          <w:lang w:val="fr-FR" w:eastAsia="ja-JP"/>
        </w:rPr>
        <w:t xml:space="preserve"> est convenu de proposer</w:t>
      </w:r>
      <w:r w:rsidR="00B43F1D" w:rsidRPr="00997100">
        <w:rPr>
          <w:rFonts w:cs="Arial"/>
          <w:szCs w:val="18"/>
          <w:lang w:val="fr-FR" w:eastAsia="ja-JP"/>
        </w:rPr>
        <w:t xml:space="preserve"> au CAJ</w:t>
      </w:r>
      <w:r w:rsidR="00801E51" w:rsidRPr="00997100">
        <w:rPr>
          <w:rFonts w:cs="Arial"/>
          <w:szCs w:val="18"/>
          <w:lang w:val="fr-FR" w:eastAsia="ja-JP"/>
        </w:rPr>
        <w:t xml:space="preserve"> d</w:t>
      </w:r>
      <w:r w:rsidR="00B43F1D" w:rsidRPr="00997100">
        <w:rPr>
          <w:rFonts w:cs="Arial"/>
          <w:szCs w:val="18"/>
          <w:lang w:val="fr-FR" w:eastAsia="ja-JP"/>
        </w:rPr>
        <w:t>’</w:t>
      </w:r>
      <w:r w:rsidR="00801E51" w:rsidRPr="00997100">
        <w:rPr>
          <w:rFonts w:cs="Arial"/>
          <w:szCs w:val="18"/>
          <w:lang w:val="fr-FR" w:eastAsia="ja-JP"/>
        </w:rPr>
        <w:t>élaborer des orientations pour encourager les membres de l</w:t>
      </w:r>
      <w:r w:rsidR="00B43F1D" w:rsidRPr="00997100">
        <w:rPr>
          <w:rFonts w:cs="Arial"/>
          <w:szCs w:val="18"/>
          <w:lang w:val="fr-FR" w:eastAsia="ja-JP"/>
        </w:rPr>
        <w:t>’</w:t>
      </w:r>
      <w:r w:rsidR="00801E51" w:rsidRPr="00997100">
        <w:rPr>
          <w:rFonts w:cs="Arial"/>
          <w:szCs w:val="18"/>
          <w:lang w:val="fr-FR" w:eastAsia="ja-JP"/>
        </w:rPr>
        <w:t>UPOV, sur une base volontaire, à prendre à leur compte les rapports d</w:t>
      </w:r>
      <w:r w:rsidR="00B43F1D" w:rsidRPr="00997100">
        <w:rPr>
          <w:rFonts w:cs="Arial"/>
          <w:szCs w:val="18"/>
          <w:lang w:val="fr-FR" w:eastAsia="ja-JP"/>
        </w:rPr>
        <w:t>’</w:t>
      </w:r>
      <w:r w:rsidR="00801E51" w:rsidRPr="00997100">
        <w:rPr>
          <w:rFonts w:cs="Arial"/>
          <w:szCs w:val="18"/>
          <w:lang w:val="fr-FR" w:eastAsia="ja-JP"/>
        </w:rPr>
        <w:t>examen</w:t>
      </w:r>
      <w:r w:rsidR="009C3A48" w:rsidRPr="00997100">
        <w:rPr>
          <w:rFonts w:cs="Arial"/>
          <w:szCs w:val="18"/>
          <w:lang w:val="fr-FR" w:eastAsia="ja-JP"/>
        </w:rPr>
        <w:t> </w:t>
      </w:r>
      <w:r w:rsidR="00801E51" w:rsidRPr="00997100">
        <w:rPr>
          <w:rFonts w:cs="Arial"/>
          <w:szCs w:val="18"/>
          <w:lang w:val="fr-FR" w:eastAsia="ja-JP"/>
        </w:rPr>
        <w:t>DHS lorsque les demandeurs ne sont pas en mesure de remettre du matériel végétal pour des raisons phytosanitaires ou autres, lorsque cela est acceptable pour les membres de l</w:t>
      </w:r>
      <w:r w:rsidR="00B43F1D" w:rsidRPr="00997100">
        <w:rPr>
          <w:rFonts w:cs="Arial"/>
          <w:szCs w:val="18"/>
          <w:lang w:val="fr-FR" w:eastAsia="ja-JP"/>
        </w:rPr>
        <w:t>’</w:t>
      </w:r>
      <w:r w:rsidR="00801E51" w:rsidRPr="00997100">
        <w:rPr>
          <w:rFonts w:cs="Arial"/>
          <w:szCs w:val="18"/>
          <w:lang w:val="fr-FR" w:eastAsia="ja-JP"/>
        </w:rPr>
        <w:t xml:space="preserve">UPOV concernés. </w:t>
      </w:r>
      <w:r w:rsidR="009C3A48" w:rsidRPr="00997100">
        <w:rPr>
          <w:rFonts w:cs="Arial"/>
          <w:szCs w:val="18"/>
          <w:lang w:val="fr-FR" w:eastAsia="ja-JP"/>
        </w:rPr>
        <w:t xml:space="preserve"> </w:t>
      </w:r>
      <w:r w:rsidR="00801E51" w:rsidRPr="00997100">
        <w:rPr>
          <w:rFonts w:cs="Arial"/>
          <w:szCs w:val="18"/>
          <w:lang w:val="fr-FR" w:eastAsia="ja-JP"/>
        </w:rPr>
        <w:t>Le</w:t>
      </w:r>
      <w:r w:rsidR="00B43F1D" w:rsidRPr="00997100">
        <w:rPr>
          <w:rFonts w:cs="Arial"/>
          <w:szCs w:val="18"/>
          <w:lang w:val="fr-FR" w:eastAsia="ja-JP"/>
        </w:rPr>
        <w:t> TC</w:t>
      </w:r>
      <w:r w:rsidR="00801E51" w:rsidRPr="00997100">
        <w:rPr>
          <w:rFonts w:cs="Arial"/>
          <w:szCs w:val="18"/>
          <w:lang w:val="fr-FR" w:eastAsia="ja-JP"/>
        </w:rPr>
        <w:t xml:space="preserve"> est convenu que cette proposition devrait être soumise</w:t>
      </w:r>
      <w:r w:rsidR="00B43F1D" w:rsidRPr="00997100">
        <w:rPr>
          <w:rFonts w:cs="Arial"/>
          <w:szCs w:val="18"/>
          <w:lang w:val="fr-FR" w:eastAsia="ja-JP"/>
        </w:rPr>
        <w:t xml:space="preserve"> au CAJ</w:t>
      </w:r>
      <w:r w:rsidR="00801E51" w:rsidRPr="00997100">
        <w:rPr>
          <w:rFonts w:cs="Arial"/>
          <w:szCs w:val="18"/>
          <w:lang w:val="fr-FR" w:eastAsia="ja-JP"/>
        </w:rPr>
        <w:t xml:space="preserve"> pour examen dans le document</w:t>
      </w:r>
      <w:r w:rsidR="008C34BA" w:rsidRPr="00997100">
        <w:rPr>
          <w:rFonts w:cs="Arial"/>
          <w:szCs w:val="18"/>
          <w:lang w:val="fr-FR" w:eastAsia="ja-JP"/>
        </w:rPr>
        <w:t> </w:t>
      </w:r>
      <w:r w:rsidR="00801E51" w:rsidRPr="00997100">
        <w:rPr>
          <w:rFonts w:cs="Arial"/>
          <w:szCs w:val="18"/>
          <w:lang w:val="fr-FR" w:eastAsia="ja-JP"/>
        </w:rPr>
        <w:t xml:space="preserve">CAJ/77/2 </w:t>
      </w:r>
      <w:r w:rsidR="00B43F1D" w:rsidRPr="00997100">
        <w:rPr>
          <w:rFonts w:cs="Arial"/>
          <w:szCs w:val="18"/>
          <w:lang w:val="fr-FR" w:eastAsia="ja-JP"/>
        </w:rPr>
        <w:t>“R</w:t>
      </w:r>
      <w:r w:rsidR="00801E51" w:rsidRPr="00997100">
        <w:rPr>
          <w:rFonts w:cs="Arial"/>
          <w:szCs w:val="18"/>
          <w:lang w:val="fr-FR" w:eastAsia="ja-JP"/>
        </w:rPr>
        <w:t>apport sur les faits nouveaux intervenus au sein du Comité technique”.</w:t>
      </w:r>
    </w:p>
    <w:p w:rsidR="005278EE" w:rsidRPr="00997100" w:rsidRDefault="005278EE" w:rsidP="00637716">
      <w:pPr>
        <w:rPr>
          <w:spacing w:val="-4"/>
          <w:sz w:val="18"/>
          <w:lang w:val="fr-FR"/>
        </w:rPr>
      </w:pPr>
    </w:p>
    <w:p w:rsidR="005278EE" w:rsidRPr="00997100" w:rsidRDefault="00637716" w:rsidP="00637716">
      <w:pPr>
        <w:spacing w:after="120"/>
        <w:rPr>
          <w:lang w:val="fr-FR"/>
        </w:rPr>
      </w:pPr>
      <w:r w:rsidRPr="00997100">
        <w:rPr>
          <w:spacing w:val="-4"/>
          <w:lang w:val="fr-FR"/>
        </w:rPr>
        <w:fldChar w:fldCharType="begin"/>
      </w:r>
      <w:r w:rsidRPr="00997100">
        <w:rPr>
          <w:spacing w:val="-4"/>
          <w:lang w:val="fr-FR"/>
        </w:rPr>
        <w:instrText xml:space="preserve"> AUTONUM  </w:instrText>
      </w:r>
      <w:r w:rsidRPr="00997100">
        <w:rPr>
          <w:spacing w:val="-4"/>
          <w:lang w:val="fr-FR"/>
        </w:rPr>
        <w:fldChar w:fldCharType="end"/>
      </w:r>
      <w:r w:rsidRPr="00997100">
        <w:rPr>
          <w:spacing w:val="-4"/>
          <w:lang w:val="fr-FR"/>
        </w:rPr>
        <w:tab/>
      </w:r>
      <w:r w:rsidR="00AD2489" w:rsidRPr="00997100">
        <w:rPr>
          <w:spacing w:val="-4"/>
          <w:lang w:val="fr-FR"/>
        </w:rPr>
        <w:t>En réponse à la demande du</w:t>
      </w:r>
      <w:r w:rsidR="00B43F1D" w:rsidRPr="00997100">
        <w:rPr>
          <w:spacing w:val="-4"/>
          <w:lang w:val="fr-FR"/>
        </w:rPr>
        <w:t> TC</w:t>
      </w:r>
      <w:r w:rsidR="00AD2489" w:rsidRPr="00997100">
        <w:rPr>
          <w:spacing w:val="-4"/>
          <w:lang w:val="fr-FR"/>
        </w:rPr>
        <w:t>, à sa soixante</w:t>
      </w:r>
      <w:r w:rsidR="00B43F1D" w:rsidRPr="00997100">
        <w:rPr>
          <w:spacing w:val="-4"/>
          <w:lang w:val="fr-FR"/>
        </w:rPr>
        <w:t>-</w:t>
      </w:r>
      <w:r w:rsidR="00AD2489" w:rsidRPr="00997100">
        <w:rPr>
          <w:spacing w:val="-4"/>
          <w:lang w:val="fr-FR"/>
        </w:rPr>
        <w:t>dix</w:t>
      </w:r>
      <w:r w:rsidR="00B43F1D" w:rsidRPr="00997100">
        <w:rPr>
          <w:spacing w:val="-4"/>
          <w:lang w:val="fr-FR"/>
        </w:rPr>
        <w:t>-</w:t>
      </w:r>
      <w:r w:rsidR="00AD2489" w:rsidRPr="00997100">
        <w:rPr>
          <w:spacing w:val="-4"/>
          <w:lang w:val="fr-FR"/>
        </w:rPr>
        <w:t>sept</w:t>
      </w:r>
      <w:r w:rsidR="00B43F1D" w:rsidRPr="00997100">
        <w:rPr>
          <w:spacing w:val="-4"/>
          <w:lang w:val="fr-FR"/>
        </w:rPr>
        <w:t>ième session</w:t>
      </w:r>
      <w:r w:rsidRPr="00997100">
        <w:rPr>
          <w:rStyle w:val="FootnoteReference"/>
          <w:spacing w:val="-4"/>
          <w:lang w:val="fr-FR"/>
        </w:rPr>
        <w:footnoteReference w:id="5"/>
      </w:r>
      <w:r w:rsidRPr="00997100">
        <w:rPr>
          <w:spacing w:val="-4"/>
          <w:lang w:val="fr-FR"/>
        </w:rPr>
        <w:t>,</w:t>
      </w:r>
      <w:r w:rsidR="00B43F1D" w:rsidRPr="00997100">
        <w:rPr>
          <w:spacing w:val="-4"/>
          <w:lang w:val="fr-FR"/>
        </w:rPr>
        <w:t xml:space="preserve"> le CAJ</w:t>
      </w:r>
      <w:r w:rsidR="00AD2489" w:rsidRPr="00997100">
        <w:rPr>
          <w:spacing w:val="-4"/>
          <w:lang w:val="fr-FR"/>
        </w:rPr>
        <w:t xml:space="preserve"> a en outre prié le Bureau de l</w:t>
      </w:r>
      <w:r w:rsidR="00B43F1D" w:rsidRPr="00997100">
        <w:rPr>
          <w:spacing w:val="-4"/>
          <w:lang w:val="fr-FR"/>
        </w:rPr>
        <w:t>’</w:t>
      </w:r>
      <w:r w:rsidR="00AD2489" w:rsidRPr="00997100">
        <w:rPr>
          <w:spacing w:val="-4"/>
          <w:lang w:val="fr-FR"/>
        </w:rPr>
        <w:t>Union d</w:t>
      </w:r>
      <w:r w:rsidR="00B43F1D" w:rsidRPr="00997100">
        <w:rPr>
          <w:spacing w:val="-4"/>
          <w:lang w:val="fr-FR"/>
        </w:rPr>
        <w:t>’</w:t>
      </w:r>
      <w:r w:rsidR="00AD2489" w:rsidRPr="00997100">
        <w:rPr>
          <w:spacing w:val="-4"/>
          <w:lang w:val="fr-FR"/>
        </w:rPr>
        <w:t>établir, pour examen à sa soixante</w:t>
      </w:r>
      <w:r w:rsidR="00B43F1D" w:rsidRPr="00997100">
        <w:rPr>
          <w:spacing w:val="-4"/>
          <w:lang w:val="fr-FR"/>
        </w:rPr>
        <w:t>-</w:t>
      </w:r>
      <w:r w:rsidR="00AD2489" w:rsidRPr="00997100">
        <w:rPr>
          <w:spacing w:val="-4"/>
          <w:lang w:val="fr-FR"/>
        </w:rPr>
        <w:t>dix</w:t>
      </w:r>
      <w:r w:rsidR="00B43F1D" w:rsidRPr="00997100">
        <w:rPr>
          <w:spacing w:val="-4"/>
          <w:lang w:val="fr-FR"/>
        </w:rPr>
        <w:t>-</w:t>
      </w:r>
      <w:r w:rsidR="00AD2489" w:rsidRPr="00997100">
        <w:rPr>
          <w:spacing w:val="-4"/>
          <w:lang w:val="fr-FR"/>
        </w:rPr>
        <w:t>huit</w:t>
      </w:r>
      <w:r w:rsidR="00B43F1D" w:rsidRPr="00997100">
        <w:rPr>
          <w:spacing w:val="-4"/>
          <w:lang w:val="fr-FR"/>
        </w:rPr>
        <w:t>ième session</w:t>
      </w:r>
      <w:r w:rsidR="00AD2489" w:rsidRPr="00997100">
        <w:rPr>
          <w:spacing w:val="-4"/>
          <w:lang w:val="fr-FR"/>
        </w:rPr>
        <w:t>, un document contenant des propositions visant à élaborer des orientations pour encourager les membres de l</w:t>
      </w:r>
      <w:r w:rsidR="00B43F1D" w:rsidRPr="00997100">
        <w:rPr>
          <w:spacing w:val="-4"/>
          <w:lang w:val="fr-FR"/>
        </w:rPr>
        <w:t>’</w:t>
      </w:r>
      <w:r w:rsidR="00AD2489" w:rsidRPr="00997100">
        <w:rPr>
          <w:spacing w:val="-4"/>
          <w:lang w:val="fr-FR"/>
        </w:rPr>
        <w:t>Union, sur une base volontaire, à prendre à leur compte les rapports d</w:t>
      </w:r>
      <w:r w:rsidR="00B43F1D" w:rsidRPr="00997100">
        <w:rPr>
          <w:spacing w:val="-4"/>
          <w:lang w:val="fr-FR"/>
        </w:rPr>
        <w:t>’</w:t>
      </w:r>
      <w:r w:rsidR="00AD2489" w:rsidRPr="00997100">
        <w:rPr>
          <w:spacing w:val="-4"/>
          <w:lang w:val="fr-FR"/>
        </w:rPr>
        <w:t>examen</w:t>
      </w:r>
      <w:r w:rsidR="009C3A48" w:rsidRPr="00997100">
        <w:rPr>
          <w:spacing w:val="-4"/>
          <w:lang w:val="fr-FR"/>
        </w:rPr>
        <w:t> </w:t>
      </w:r>
      <w:r w:rsidR="00AD2489" w:rsidRPr="00997100">
        <w:rPr>
          <w:spacing w:val="-4"/>
          <w:lang w:val="fr-FR"/>
        </w:rPr>
        <w:t>DHS lorsque les demandeurs ne sont pas en mesure de remettre du matériel végétal pour des raisons phytosanitaires ou autres, lorsque cela est acceptable pour les membres de l</w:t>
      </w:r>
      <w:r w:rsidR="00B43F1D" w:rsidRPr="00997100">
        <w:rPr>
          <w:spacing w:val="-4"/>
          <w:lang w:val="fr-FR"/>
        </w:rPr>
        <w:t>’</w:t>
      </w:r>
      <w:r w:rsidR="00AD2489" w:rsidRPr="00997100">
        <w:rPr>
          <w:spacing w:val="-4"/>
          <w:lang w:val="fr-FR"/>
        </w:rPr>
        <w:t xml:space="preserve">Union concernés (voir le </w:t>
      </w:r>
      <w:r w:rsidR="00B43F1D" w:rsidRPr="00997100">
        <w:rPr>
          <w:spacing w:val="-4"/>
          <w:lang w:val="fr-FR"/>
        </w:rPr>
        <w:t>paragraphe 1</w:t>
      </w:r>
      <w:r w:rsidR="00AD2489" w:rsidRPr="00997100">
        <w:rPr>
          <w:spacing w:val="-4"/>
          <w:lang w:val="fr-FR"/>
        </w:rPr>
        <w:t>5 du document</w:t>
      </w:r>
      <w:r w:rsidR="008C34BA" w:rsidRPr="00997100">
        <w:rPr>
          <w:spacing w:val="-4"/>
          <w:lang w:val="fr-FR"/>
        </w:rPr>
        <w:t> </w:t>
      </w:r>
      <w:r w:rsidR="00AD2489" w:rsidRPr="00997100">
        <w:rPr>
          <w:spacing w:val="-4"/>
          <w:lang w:val="fr-FR"/>
        </w:rPr>
        <w:t xml:space="preserve">CAJ/77/10 </w:t>
      </w:r>
      <w:r w:rsidR="00B43F1D" w:rsidRPr="00997100">
        <w:rPr>
          <w:spacing w:val="-4"/>
          <w:lang w:val="fr-FR"/>
        </w:rPr>
        <w:t>“C</w:t>
      </w:r>
      <w:r w:rsidR="00AD2489" w:rsidRPr="00997100">
        <w:rPr>
          <w:spacing w:val="-4"/>
          <w:lang w:val="fr-FR"/>
        </w:rPr>
        <w:t>ompte rendu”).</w:t>
      </w:r>
    </w:p>
    <w:p w:rsidR="00B43F1D" w:rsidRPr="00997100" w:rsidRDefault="00681818" w:rsidP="00637716">
      <w:pPr>
        <w:spacing w:after="120"/>
        <w:rPr>
          <w:lang w:val="fr-FR"/>
        </w:rPr>
      </w:pPr>
      <w:r w:rsidRPr="00997100">
        <w:rPr>
          <w:lang w:val="fr-FR"/>
        </w:rPr>
        <w:fldChar w:fldCharType="begin"/>
      </w:r>
      <w:r w:rsidRPr="00997100">
        <w:rPr>
          <w:lang w:val="fr-FR"/>
        </w:rPr>
        <w:instrText xml:space="preserve"> AUTONUM  </w:instrText>
      </w:r>
      <w:r w:rsidRPr="00997100">
        <w:rPr>
          <w:lang w:val="fr-FR"/>
        </w:rPr>
        <w:fldChar w:fldCharType="end"/>
      </w:r>
      <w:r w:rsidRPr="00997100">
        <w:rPr>
          <w:lang w:val="fr-FR"/>
        </w:rPr>
        <w:tab/>
      </w:r>
      <w:r w:rsidR="00D50585" w:rsidRPr="00997100">
        <w:rPr>
          <w:lang w:val="fr-FR"/>
        </w:rPr>
        <w:t>À sa soixante</w:t>
      </w:r>
      <w:r w:rsidR="00B43F1D" w:rsidRPr="00997100">
        <w:rPr>
          <w:lang w:val="fr-FR"/>
        </w:rPr>
        <w:t>-</w:t>
      </w:r>
      <w:r w:rsidR="00D50585" w:rsidRPr="00997100">
        <w:rPr>
          <w:lang w:val="fr-FR"/>
        </w:rPr>
        <w:t>dix</w:t>
      </w:r>
      <w:r w:rsidR="00B43F1D" w:rsidRPr="00997100">
        <w:rPr>
          <w:lang w:val="fr-FR"/>
        </w:rPr>
        <w:t>-</w:t>
      </w:r>
      <w:r w:rsidR="00D50585" w:rsidRPr="00997100">
        <w:rPr>
          <w:lang w:val="fr-FR"/>
        </w:rPr>
        <w:t>huit</w:t>
      </w:r>
      <w:r w:rsidR="00B43F1D" w:rsidRPr="00997100">
        <w:rPr>
          <w:lang w:val="fr-FR"/>
        </w:rPr>
        <w:t>ième session</w:t>
      </w:r>
      <w:r w:rsidRPr="00997100">
        <w:rPr>
          <w:rStyle w:val="FootnoteReference"/>
          <w:lang w:val="fr-FR"/>
        </w:rPr>
        <w:footnoteReference w:id="6"/>
      </w:r>
      <w:r w:rsidR="00D50585" w:rsidRPr="00997100">
        <w:rPr>
          <w:lang w:val="fr-FR"/>
        </w:rPr>
        <w:t>,</w:t>
      </w:r>
      <w:r w:rsidR="00B43F1D" w:rsidRPr="00997100">
        <w:rPr>
          <w:lang w:val="fr-FR"/>
        </w:rPr>
        <w:t xml:space="preserve"> le CAJ</w:t>
      </w:r>
      <w:r w:rsidR="00D50585" w:rsidRPr="00997100">
        <w:rPr>
          <w:lang w:val="fr-FR"/>
        </w:rPr>
        <w:t xml:space="preserve"> a examiné le </w:t>
      </w:r>
      <w:r w:rsidRPr="00997100">
        <w:rPr>
          <w:lang w:val="fr-FR"/>
        </w:rPr>
        <w:t>document</w:t>
      </w:r>
      <w:r w:rsidR="008C34BA" w:rsidRPr="00997100">
        <w:rPr>
          <w:lang w:val="fr-FR"/>
        </w:rPr>
        <w:t> </w:t>
      </w:r>
      <w:r w:rsidRPr="00997100">
        <w:rPr>
          <w:lang w:val="fr-FR"/>
        </w:rPr>
        <w:t>CAJ/78/10 “</w:t>
      </w:r>
      <w:r w:rsidR="00D50585" w:rsidRPr="00997100">
        <w:rPr>
          <w:lang w:val="fr-FR"/>
        </w:rPr>
        <w:t>Orientations possibles sur l</w:t>
      </w:r>
      <w:r w:rsidR="00B43F1D" w:rsidRPr="00997100">
        <w:rPr>
          <w:lang w:val="fr-FR"/>
        </w:rPr>
        <w:t>’</w:t>
      </w:r>
      <w:r w:rsidR="00D50585" w:rsidRPr="00997100">
        <w:rPr>
          <w:lang w:val="fr-FR"/>
        </w:rPr>
        <w:t>utilisation de rapports d</w:t>
      </w:r>
      <w:r w:rsidR="00B43F1D" w:rsidRPr="00997100">
        <w:rPr>
          <w:lang w:val="fr-FR"/>
        </w:rPr>
        <w:t>’</w:t>
      </w:r>
      <w:r w:rsidR="00D50585" w:rsidRPr="00997100">
        <w:rPr>
          <w:lang w:val="fr-FR"/>
        </w:rPr>
        <w:t>examen</w:t>
      </w:r>
      <w:r w:rsidR="009C3A48" w:rsidRPr="00997100">
        <w:rPr>
          <w:lang w:val="fr-FR"/>
        </w:rPr>
        <w:t> </w:t>
      </w:r>
      <w:r w:rsidR="00D50585" w:rsidRPr="00997100">
        <w:rPr>
          <w:lang w:val="fr-FR"/>
        </w:rPr>
        <w:t>DHS lorsque les demandeurs ne sont pas en mesure de remettre du matériel végétal</w:t>
      </w:r>
      <w:r w:rsidRPr="00997100">
        <w:rPr>
          <w:lang w:val="fr-FR"/>
        </w:rPr>
        <w:t>”.</w:t>
      </w:r>
    </w:p>
    <w:p w:rsidR="005278EE" w:rsidRPr="00997100" w:rsidRDefault="00681818" w:rsidP="003F09A7">
      <w:pPr>
        <w:spacing w:after="120"/>
        <w:rPr>
          <w:lang w:val="fr-FR"/>
        </w:rPr>
      </w:pPr>
      <w:r w:rsidRPr="00997100">
        <w:rPr>
          <w:lang w:val="fr-FR"/>
        </w:rPr>
        <w:fldChar w:fldCharType="begin"/>
      </w:r>
      <w:r w:rsidRPr="00997100">
        <w:rPr>
          <w:lang w:val="fr-FR"/>
        </w:rPr>
        <w:instrText xml:space="preserve"> AUTONUM  </w:instrText>
      </w:r>
      <w:r w:rsidRPr="00997100">
        <w:rPr>
          <w:lang w:val="fr-FR"/>
        </w:rPr>
        <w:fldChar w:fldCharType="end"/>
      </w:r>
      <w:r w:rsidRPr="00997100">
        <w:rPr>
          <w:lang w:val="fr-FR"/>
        </w:rPr>
        <w:tab/>
      </w:r>
      <w:r w:rsidR="005D219E" w:rsidRPr="00997100">
        <w:rPr>
          <w:lang w:val="fr-FR"/>
        </w:rPr>
        <w:t>Le CAJ a noté que des propositions visant à renforcer la coopération et la reprise des rapports d</w:t>
      </w:r>
      <w:r w:rsidR="00B43F1D" w:rsidRPr="00997100">
        <w:rPr>
          <w:lang w:val="fr-FR"/>
        </w:rPr>
        <w:t>’</w:t>
      </w:r>
      <w:r w:rsidR="005D219E" w:rsidRPr="00997100">
        <w:rPr>
          <w:lang w:val="fr-FR"/>
        </w:rPr>
        <w:t>examen figuraient dans le document</w:t>
      </w:r>
      <w:r w:rsidR="008C34BA" w:rsidRPr="00997100">
        <w:rPr>
          <w:lang w:val="fr-FR"/>
        </w:rPr>
        <w:t> </w:t>
      </w:r>
      <w:r w:rsidR="005D219E" w:rsidRPr="00997100">
        <w:rPr>
          <w:lang w:val="fr-FR"/>
        </w:rPr>
        <w:t xml:space="preserve">CAJ/78/9 </w:t>
      </w:r>
      <w:r w:rsidR="00B43F1D" w:rsidRPr="00997100">
        <w:rPr>
          <w:lang w:val="fr-FR"/>
        </w:rPr>
        <w:t>“M</w:t>
      </w:r>
      <w:r w:rsidR="005D219E" w:rsidRPr="00997100">
        <w:rPr>
          <w:lang w:val="fr-FR"/>
        </w:rPr>
        <w:t>esures visant à renforcer la coopération en matière d</w:t>
      </w:r>
      <w:r w:rsidR="00B43F1D" w:rsidRPr="00997100">
        <w:rPr>
          <w:lang w:val="fr-FR"/>
        </w:rPr>
        <w:t>’</w:t>
      </w:r>
      <w:r w:rsidR="005D219E" w:rsidRPr="00997100">
        <w:rPr>
          <w:lang w:val="fr-FR"/>
        </w:rPr>
        <w:t>examen”.</w:t>
      </w:r>
    </w:p>
    <w:p w:rsidR="00B43F1D" w:rsidRPr="00997100" w:rsidRDefault="00681818" w:rsidP="00807712">
      <w:pPr>
        <w:rPr>
          <w:lang w:val="fr-FR"/>
        </w:rPr>
      </w:pPr>
      <w:r w:rsidRPr="00997100">
        <w:rPr>
          <w:lang w:val="fr-FR"/>
        </w:rPr>
        <w:fldChar w:fldCharType="begin"/>
      </w:r>
      <w:r w:rsidRPr="00997100">
        <w:rPr>
          <w:lang w:val="fr-FR"/>
        </w:rPr>
        <w:instrText xml:space="preserve"> AUTONUM  </w:instrText>
      </w:r>
      <w:r w:rsidRPr="00997100">
        <w:rPr>
          <w:lang w:val="fr-FR"/>
        </w:rPr>
        <w:fldChar w:fldCharType="end"/>
      </w:r>
      <w:r w:rsidRPr="00997100">
        <w:rPr>
          <w:lang w:val="fr-FR"/>
        </w:rPr>
        <w:tab/>
      </w:r>
      <w:r w:rsidR="005D219E" w:rsidRPr="00997100">
        <w:rPr>
          <w:lang w:val="fr-FR"/>
        </w:rPr>
        <w:t>Le CAJ est convenu d</w:t>
      </w:r>
      <w:r w:rsidR="00B43F1D" w:rsidRPr="00997100">
        <w:rPr>
          <w:lang w:val="fr-FR"/>
        </w:rPr>
        <w:t>’</w:t>
      </w:r>
      <w:r w:rsidR="005D219E" w:rsidRPr="00997100">
        <w:rPr>
          <w:lang w:val="fr-FR"/>
        </w:rPr>
        <w:t xml:space="preserve">inclure les possibles </w:t>
      </w:r>
      <w:r w:rsidR="00B43F1D" w:rsidRPr="00997100">
        <w:rPr>
          <w:lang w:val="fr-FR"/>
        </w:rPr>
        <w:t>“o</w:t>
      </w:r>
      <w:r w:rsidR="005D219E" w:rsidRPr="00997100">
        <w:rPr>
          <w:lang w:val="fr-FR"/>
        </w:rPr>
        <w:t>rientations pour encourager les membres de l</w:t>
      </w:r>
      <w:r w:rsidR="00B43F1D" w:rsidRPr="00997100">
        <w:rPr>
          <w:lang w:val="fr-FR"/>
        </w:rPr>
        <w:t>’</w:t>
      </w:r>
      <w:r w:rsidR="005D219E" w:rsidRPr="00997100">
        <w:rPr>
          <w:lang w:val="fr-FR"/>
        </w:rPr>
        <w:t>Union, sur une base volontaire, à prendre à leur compte les rapports d</w:t>
      </w:r>
      <w:r w:rsidR="00B43F1D" w:rsidRPr="00997100">
        <w:rPr>
          <w:lang w:val="fr-FR"/>
        </w:rPr>
        <w:t>’</w:t>
      </w:r>
      <w:r w:rsidR="005D219E" w:rsidRPr="00997100">
        <w:rPr>
          <w:lang w:val="fr-FR"/>
        </w:rPr>
        <w:t>examen</w:t>
      </w:r>
      <w:r w:rsidR="009C3A48" w:rsidRPr="00997100">
        <w:rPr>
          <w:lang w:val="fr-FR"/>
        </w:rPr>
        <w:t> </w:t>
      </w:r>
      <w:r w:rsidR="005D219E" w:rsidRPr="00997100">
        <w:rPr>
          <w:lang w:val="fr-FR"/>
        </w:rPr>
        <w:t>DHS lorsque les demandeurs ne sont pas en mesure de remettre du matériel végétal pour des raisons phytosanitaires ou autres, lorsque cela est acceptable pour les membres de l</w:t>
      </w:r>
      <w:r w:rsidR="00B43F1D" w:rsidRPr="00997100">
        <w:rPr>
          <w:lang w:val="fr-FR"/>
        </w:rPr>
        <w:t>’</w:t>
      </w:r>
      <w:r w:rsidR="005D219E" w:rsidRPr="00997100">
        <w:rPr>
          <w:lang w:val="fr-FR"/>
        </w:rPr>
        <w:t>Union concernés” comme faisant partie intégrante des travaux à convenir par</w:t>
      </w:r>
      <w:r w:rsidR="00B43F1D" w:rsidRPr="00997100">
        <w:rPr>
          <w:lang w:val="fr-FR"/>
        </w:rPr>
        <w:t xml:space="preserve"> le CAJ</w:t>
      </w:r>
      <w:r w:rsidR="005D219E" w:rsidRPr="00997100">
        <w:rPr>
          <w:lang w:val="fr-FR"/>
        </w:rPr>
        <w:t xml:space="preserve"> au titre du document</w:t>
      </w:r>
      <w:r w:rsidR="008C34BA" w:rsidRPr="00997100">
        <w:rPr>
          <w:lang w:val="fr-FR"/>
        </w:rPr>
        <w:t> </w:t>
      </w:r>
      <w:r w:rsidR="005D219E" w:rsidRPr="00997100">
        <w:rPr>
          <w:lang w:val="fr-FR"/>
        </w:rPr>
        <w:t>CAJ/78/9</w:t>
      </w:r>
      <w:r w:rsidRPr="00997100">
        <w:rPr>
          <w:lang w:val="fr-FR"/>
        </w:rPr>
        <w:t xml:space="preserve"> </w:t>
      </w:r>
      <w:r w:rsidRPr="00997100">
        <w:rPr>
          <w:spacing w:val="-4"/>
          <w:lang w:val="fr-FR"/>
        </w:rPr>
        <w:t>(</w:t>
      </w:r>
      <w:r w:rsidR="005D219E" w:rsidRPr="00997100">
        <w:rPr>
          <w:spacing w:val="-4"/>
          <w:lang w:val="fr-FR"/>
        </w:rPr>
        <w:t xml:space="preserve">voir les </w:t>
      </w:r>
      <w:r w:rsidR="00B43F1D" w:rsidRPr="00997100">
        <w:rPr>
          <w:spacing w:val="-4"/>
          <w:lang w:val="fr-FR"/>
        </w:rPr>
        <w:t>paragraphes 3</w:t>
      </w:r>
      <w:r w:rsidR="005D219E" w:rsidRPr="00997100">
        <w:rPr>
          <w:spacing w:val="-4"/>
          <w:lang w:val="fr-FR"/>
        </w:rPr>
        <w:t>7 à 39 du</w:t>
      </w:r>
      <w:r w:rsidRPr="00997100">
        <w:rPr>
          <w:spacing w:val="-4"/>
          <w:lang w:val="fr-FR"/>
        </w:rPr>
        <w:t xml:space="preserve"> </w:t>
      </w:r>
      <w:r w:rsidR="00470FF3">
        <w:rPr>
          <w:spacing w:val="-4"/>
          <w:lang w:val="fr-FR"/>
        </w:rPr>
        <w:br/>
      </w:r>
      <w:r w:rsidRPr="00997100">
        <w:rPr>
          <w:spacing w:val="-4"/>
          <w:lang w:val="fr-FR"/>
        </w:rPr>
        <w:t>document</w:t>
      </w:r>
      <w:r w:rsidR="008C34BA" w:rsidRPr="00997100">
        <w:rPr>
          <w:lang w:val="fr-FR"/>
        </w:rPr>
        <w:t> </w:t>
      </w:r>
      <w:r w:rsidRPr="00997100">
        <w:rPr>
          <w:lang w:val="fr-FR"/>
        </w:rPr>
        <w:t>CAJ/78/13 “</w:t>
      </w:r>
      <w:r w:rsidR="005D219E" w:rsidRPr="00997100">
        <w:rPr>
          <w:lang w:val="fr-FR"/>
        </w:rPr>
        <w:t>Compte rendu</w:t>
      </w:r>
      <w:r w:rsidRPr="00997100">
        <w:rPr>
          <w:lang w:val="fr-FR"/>
        </w:rPr>
        <w:t>”).</w:t>
      </w:r>
    </w:p>
    <w:p w:rsidR="005278EE" w:rsidRPr="00997100" w:rsidRDefault="005278EE" w:rsidP="00807712">
      <w:pPr>
        <w:rPr>
          <w:snapToGrid w:val="0"/>
          <w:lang w:val="fr-FR"/>
        </w:rPr>
      </w:pPr>
    </w:p>
    <w:p w:rsidR="005278EE" w:rsidRPr="00997100" w:rsidRDefault="005278EE" w:rsidP="00807712">
      <w:pPr>
        <w:rPr>
          <w:snapToGrid w:val="0"/>
          <w:lang w:val="fr-FR"/>
        </w:rPr>
      </w:pPr>
    </w:p>
    <w:p w:rsidR="005278EE" w:rsidRPr="00997100" w:rsidRDefault="00A85706" w:rsidP="00AF73C3">
      <w:pPr>
        <w:pStyle w:val="Heading1"/>
        <w:rPr>
          <w:snapToGrid w:val="0"/>
          <w:lang w:val="fr-FR"/>
        </w:rPr>
      </w:pPr>
      <w:r w:rsidRPr="00997100">
        <w:rPr>
          <w:snapToGrid w:val="0"/>
          <w:lang w:val="fr-FR"/>
        </w:rPr>
        <w:lastRenderedPageBreak/>
        <w:t>mesures à prendre pour surmonter les obstacles politiques ou juridiques entravant la coopération internationale en matière d</w:t>
      </w:r>
      <w:r w:rsidR="00B43F1D" w:rsidRPr="00997100">
        <w:rPr>
          <w:snapToGrid w:val="0"/>
          <w:lang w:val="fr-FR"/>
        </w:rPr>
        <w:t>’</w:t>
      </w:r>
      <w:r w:rsidRPr="00997100">
        <w:rPr>
          <w:snapToGrid w:val="0"/>
          <w:lang w:val="fr-FR"/>
        </w:rPr>
        <w:t>examen</w:t>
      </w:r>
      <w:r w:rsidR="009C3A48" w:rsidRPr="00997100">
        <w:rPr>
          <w:snapToGrid w:val="0"/>
          <w:lang w:val="fr-FR"/>
        </w:rPr>
        <w:t> </w:t>
      </w:r>
      <w:r w:rsidRPr="00997100">
        <w:rPr>
          <w:snapToGrid w:val="0"/>
          <w:lang w:val="fr-FR"/>
        </w:rPr>
        <w:t>DHS</w:t>
      </w:r>
    </w:p>
    <w:p w:rsidR="005278EE" w:rsidRPr="00997100" w:rsidRDefault="005278EE" w:rsidP="00AF73C3">
      <w:pPr>
        <w:keepNext/>
        <w:rPr>
          <w:snapToGrid w:val="0"/>
          <w:spacing w:val="-4"/>
          <w:u w:val="single"/>
          <w:lang w:val="fr-FR"/>
        </w:rPr>
      </w:pPr>
    </w:p>
    <w:p w:rsidR="005278EE" w:rsidRPr="00997100" w:rsidRDefault="00A85706" w:rsidP="00AF73C3">
      <w:pPr>
        <w:pStyle w:val="Heading2"/>
        <w:rPr>
          <w:snapToGrid w:val="0"/>
          <w:spacing w:val="-4"/>
          <w:lang w:val="fr-FR"/>
        </w:rPr>
      </w:pPr>
      <w:r w:rsidRPr="00997100">
        <w:rPr>
          <w:snapToGrid w:val="0"/>
          <w:spacing w:val="-4"/>
          <w:lang w:val="fr-FR"/>
        </w:rPr>
        <w:t>E</w:t>
      </w:r>
      <w:r w:rsidR="003F09A7" w:rsidRPr="00997100">
        <w:rPr>
          <w:snapToGrid w:val="0"/>
          <w:spacing w:val="-4"/>
          <w:lang w:val="fr-FR"/>
        </w:rPr>
        <w:t>nquêter auprès des membres de l</w:t>
      </w:r>
      <w:r w:rsidR="00B43F1D" w:rsidRPr="00997100">
        <w:rPr>
          <w:snapToGrid w:val="0"/>
          <w:spacing w:val="-4"/>
          <w:lang w:val="fr-FR"/>
        </w:rPr>
        <w:t>’</w:t>
      </w:r>
      <w:r w:rsidR="003F09A7" w:rsidRPr="00997100">
        <w:rPr>
          <w:snapToGrid w:val="0"/>
          <w:spacing w:val="-4"/>
          <w:lang w:val="fr-FR"/>
        </w:rPr>
        <w:t>Union afin d</w:t>
      </w:r>
      <w:r w:rsidR="00B43F1D" w:rsidRPr="00997100">
        <w:rPr>
          <w:snapToGrid w:val="0"/>
          <w:spacing w:val="-4"/>
          <w:lang w:val="fr-FR"/>
        </w:rPr>
        <w:t>’</w:t>
      </w:r>
      <w:r w:rsidR="003F09A7" w:rsidRPr="00997100">
        <w:rPr>
          <w:snapToGrid w:val="0"/>
          <w:spacing w:val="-4"/>
          <w:lang w:val="fr-FR"/>
        </w:rPr>
        <w:t>obtenir des informations sur leurs politiques ou obstacles juridiques susceptibles d</w:t>
      </w:r>
      <w:r w:rsidR="00B43F1D" w:rsidRPr="00997100">
        <w:rPr>
          <w:snapToGrid w:val="0"/>
          <w:spacing w:val="-4"/>
          <w:lang w:val="fr-FR"/>
        </w:rPr>
        <w:t>’</w:t>
      </w:r>
      <w:r w:rsidR="003F09A7" w:rsidRPr="00997100">
        <w:rPr>
          <w:snapToGrid w:val="0"/>
          <w:spacing w:val="-4"/>
          <w:lang w:val="fr-FR"/>
        </w:rPr>
        <w:t>empêcher la coopération internationale en matière d</w:t>
      </w:r>
      <w:r w:rsidR="00B43F1D" w:rsidRPr="00997100">
        <w:rPr>
          <w:snapToGrid w:val="0"/>
          <w:spacing w:val="-4"/>
          <w:lang w:val="fr-FR"/>
        </w:rPr>
        <w:t>’</w:t>
      </w:r>
      <w:r w:rsidR="003F09A7" w:rsidRPr="00997100">
        <w:rPr>
          <w:snapToGrid w:val="0"/>
          <w:spacing w:val="-4"/>
          <w:lang w:val="fr-FR"/>
        </w:rPr>
        <w:t>examen DHS;</w:t>
      </w:r>
    </w:p>
    <w:p w:rsidR="005278EE" w:rsidRPr="00997100" w:rsidRDefault="005278EE" w:rsidP="00AF73C3">
      <w:pPr>
        <w:keepNext/>
        <w:rPr>
          <w:snapToGrid w:val="0"/>
          <w:spacing w:val="-4"/>
          <w:u w:val="single"/>
          <w:lang w:val="fr-FR"/>
        </w:rPr>
      </w:pPr>
    </w:p>
    <w:p w:rsidR="005278EE" w:rsidRPr="00997100" w:rsidRDefault="00807712" w:rsidP="00AF73C3">
      <w:pPr>
        <w:keepNext/>
        <w:rPr>
          <w:spacing w:val="-4"/>
          <w:lang w:val="fr-FR"/>
        </w:rPr>
      </w:pPr>
      <w:r w:rsidRPr="00997100">
        <w:rPr>
          <w:spacing w:val="-4"/>
          <w:lang w:val="fr-FR"/>
        </w:rPr>
        <w:fldChar w:fldCharType="begin"/>
      </w:r>
      <w:r w:rsidRPr="00997100">
        <w:rPr>
          <w:spacing w:val="-4"/>
          <w:lang w:val="fr-FR"/>
        </w:rPr>
        <w:instrText xml:space="preserve"> AUTONUM  </w:instrText>
      </w:r>
      <w:r w:rsidRPr="00997100">
        <w:rPr>
          <w:spacing w:val="-4"/>
          <w:lang w:val="fr-FR"/>
        </w:rPr>
        <w:fldChar w:fldCharType="end"/>
      </w:r>
      <w:r w:rsidRPr="00997100">
        <w:rPr>
          <w:spacing w:val="-4"/>
          <w:lang w:val="fr-FR"/>
        </w:rPr>
        <w:tab/>
      </w:r>
      <w:r w:rsidR="00A85706" w:rsidRPr="00997100">
        <w:rPr>
          <w:spacing w:val="-4"/>
          <w:lang w:val="fr-FR"/>
        </w:rPr>
        <w:t>Les questions ci</w:t>
      </w:r>
      <w:r w:rsidR="00B43F1D" w:rsidRPr="00997100">
        <w:rPr>
          <w:spacing w:val="-4"/>
          <w:lang w:val="fr-FR"/>
        </w:rPr>
        <w:t>-</w:t>
      </w:r>
      <w:r w:rsidR="00A85706" w:rsidRPr="00997100">
        <w:rPr>
          <w:spacing w:val="-4"/>
          <w:lang w:val="fr-FR"/>
        </w:rPr>
        <w:t>après sont proposées pour l</w:t>
      </w:r>
      <w:r w:rsidR="00B43F1D" w:rsidRPr="00997100">
        <w:rPr>
          <w:spacing w:val="-4"/>
          <w:lang w:val="fr-FR"/>
        </w:rPr>
        <w:t>’</w:t>
      </w:r>
      <w:r w:rsidR="00A85706" w:rsidRPr="00997100">
        <w:rPr>
          <w:spacing w:val="-4"/>
          <w:lang w:val="fr-FR"/>
        </w:rPr>
        <w:t>enquête qui sera menée auprès des membres de l</w:t>
      </w:r>
      <w:r w:rsidR="00B43F1D" w:rsidRPr="00997100">
        <w:rPr>
          <w:spacing w:val="-4"/>
          <w:lang w:val="fr-FR"/>
        </w:rPr>
        <w:t>’</w:t>
      </w:r>
      <w:r w:rsidR="00A85706" w:rsidRPr="00997100">
        <w:rPr>
          <w:spacing w:val="-4"/>
          <w:lang w:val="fr-FR"/>
        </w:rPr>
        <w:t>Union</w:t>
      </w:r>
      <w:r w:rsidR="009C3A48" w:rsidRPr="00997100">
        <w:rPr>
          <w:spacing w:val="-4"/>
          <w:lang w:val="fr-FR"/>
        </w:rPr>
        <w:t> </w:t>
      </w:r>
      <w:r w:rsidR="00F5160C" w:rsidRPr="00997100">
        <w:rPr>
          <w:spacing w:val="-4"/>
          <w:lang w:val="fr-FR"/>
        </w:rPr>
        <w:t>:</w:t>
      </w:r>
    </w:p>
    <w:p w:rsidR="005278EE" w:rsidRPr="00997100" w:rsidRDefault="005278EE" w:rsidP="00807712">
      <w:pPr>
        <w:rPr>
          <w:spacing w:val="-4"/>
          <w:lang w:val="fr-FR"/>
        </w:rPr>
      </w:pPr>
    </w:p>
    <w:p w:rsidR="00B43F1D" w:rsidRPr="00997100" w:rsidRDefault="003E4641" w:rsidP="00AF73C3">
      <w:pPr>
        <w:pStyle w:val="ListParagraph"/>
        <w:numPr>
          <w:ilvl w:val="0"/>
          <w:numId w:val="7"/>
        </w:numPr>
        <w:ind w:left="1134" w:hanging="567"/>
        <w:contextualSpacing w:val="0"/>
        <w:jc w:val="both"/>
        <w:rPr>
          <w:spacing w:val="-4"/>
          <w:lang w:val="fr-FR"/>
        </w:rPr>
      </w:pPr>
      <w:r>
        <w:rPr>
          <w:spacing w:val="-4"/>
          <w:lang w:val="fr-FR"/>
        </w:rPr>
        <w:t>Le service</w:t>
      </w:r>
      <w:r w:rsidR="00A85706" w:rsidRPr="00997100">
        <w:rPr>
          <w:spacing w:val="-4"/>
          <w:lang w:val="fr-FR"/>
        </w:rPr>
        <w:t xml:space="preserve"> chargé de l</w:t>
      </w:r>
      <w:r w:rsidR="00B43F1D" w:rsidRPr="00997100">
        <w:rPr>
          <w:spacing w:val="-4"/>
          <w:lang w:val="fr-FR"/>
        </w:rPr>
        <w:t>’</w:t>
      </w:r>
      <w:r w:rsidR="00A85706" w:rsidRPr="00997100">
        <w:rPr>
          <w:spacing w:val="-4"/>
          <w:lang w:val="fr-FR"/>
        </w:rPr>
        <w:t>octroi des droits d</w:t>
      </w:r>
      <w:r w:rsidR="00B43F1D" w:rsidRPr="00997100">
        <w:rPr>
          <w:spacing w:val="-4"/>
          <w:lang w:val="fr-FR"/>
        </w:rPr>
        <w:t>’</w:t>
      </w:r>
      <w:r w:rsidR="00A85706" w:rsidRPr="00997100">
        <w:rPr>
          <w:spacing w:val="-4"/>
          <w:lang w:val="fr-FR"/>
        </w:rPr>
        <w:t>obtenteur dans votre pays ou organisation est</w:t>
      </w:r>
      <w:r w:rsidR="00B43F1D" w:rsidRPr="00997100">
        <w:rPr>
          <w:spacing w:val="-4"/>
          <w:lang w:val="fr-FR"/>
        </w:rPr>
        <w:t>-</w:t>
      </w:r>
      <w:r w:rsidR="00B43847">
        <w:rPr>
          <w:spacing w:val="-4"/>
          <w:lang w:val="fr-FR"/>
        </w:rPr>
        <w:t>il</w:t>
      </w:r>
      <w:r w:rsidR="00A85706" w:rsidRPr="00997100">
        <w:rPr>
          <w:spacing w:val="-4"/>
          <w:lang w:val="fr-FR"/>
        </w:rPr>
        <w:t xml:space="preserve"> tenu </w:t>
      </w:r>
      <w:r w:rsidR="001B6BD8" w:rsidRPr="00997100">
        <w:rPr>
          <w:spacing w:val="-4"/>
          <w:lang w:val="fr-FR"/>
        </w:rPr>
        <w:t>d</w:t>
      </w:r>
      <w:r w:rsidR="00B43F1D" w:rsidRPr="00997100">
        <w:rPr>
          <w:spacing w:val="-4"/>
          <w:lang w:val="fr-FR"/>
        </w:rPr>
        <w:t>’</w:t>
      </w:r>
      <w:r w:rsidR="001B6BD8" w:rsidRPr="00997100">
        <w:rPr>
          <w:spacing w:val="-4"/>
          <w:lang w:val="fr-FR"/>
        </w:rPr>
        <w:t>effectuer</w:t>
      </w:r>
      <w:r w:rsidR="00A85706" w:rsidRPr="00997100">
        <w:rPr>
          <w:spacing w:val="-4"/>
          <w:lang w:val="fr-FR"/>
        </w:rPr>
        <w:t xml:space="preserve"> l</w:t>
      </w:r>
      <w:r w:rsidR="00B43F1D" w:rsidRPr="00997100">
        <w:rPr>
          <w:spacing w:val="-4"/>
          <w:lang w:val="fr-FR"/>
        </w:rPr>
        <w:t>’</w:t>
      </w:r>
      <w:r w:rsidR="00A85706" w:rsidRPr="00997100">
        <w:rPr>
          <w:spacing w:val="-4"/>
          <w:lang w:val="fr-FR"/>
        </w:rPr>
        <w:t>examen</w:t>
      </w:r>
      <w:r w:rsidR="009C3A48" w:rsidRPr="00997100">
        <w:rPr>
          <w:spacing w:val="-4"/>
          <w:lang w:val="fr-FR"/>
        </w:rPr>
        <w:t> </w:t>
      </w:r>
      <w:r w:rsidR="00A85706" w:rsidRPr="00997100">
        <w:rPr>
          <w:spacing w:val="-4"/>
          <w:lang w:val="fr-FR"/>
        </w:rPr>
        <w:t>DHS pour toutes les demandes</w:t>
      </w:r>
      <w:r w:rsidR="00B02359" w:rsidRPr="00997100">
        <w:rPr>
          <w:spacing w:val="-4"/>
          <w:lang w:val="fr-FR"/>
        </w:rPr>
        <w:t>?</w:t>
      </w:r>
      <w:r w:rsidR="009C3A48" w:rsidRPr="00997100">
        <w:rPr>
          <w:spacing w:val="-4"/>
          <w:lang w:val="fr-FR"/>
        </w:rPr>
        <w:t xml:space="preserve"> </w:t>
      </w:r>
      <w:r w:rsidR="00334026" w:rsidRPr="00997100">
        <w:rPr>
          <w:spacing w:val="-4"/>
          <w:lang w:val="fr-FR"/>
        </w:rPr>
        <w:t xml:space="preserve"> </w:t>
      </w:r>
      <w:r w:rsidR="00401A2E" w:rsidRPr="00997100">
        <w:rPr>
          <w:spacing w:val="-4"/>
          <w:lang w:val="fr-FR"/>
        </w:rPr>
        <w:t>[</w:t>
      </w:r>
      <w:r w:rsidR="00A85706" w:rsidRPr="00997100">
        <w:rPr>
          <w:spacing w:val="-4"/>
          <w:lang w:val="fr-FR"/>
        </w:rPr>
        <w:t>oui</w:t>
      </w:r>
      <w:r w:rsidR="00401A2E" w:rsidRPr="00997100">
        <w:rPr>
          <w:spacing w:val="-4"/>
          <w:lang w:val="fr-FR"/>
        </w:rPr>
        <w:t>/no</w:t>
      </w:r>
      <w:r w:rsidR="00A85706" w:rsidRPr="00997100">
        <w:rPr>
          <w:spacing w:val="-4"/>
          <w:lang w:val="fr-FR"/>
        </w:rPr>
        <w:t>n</w:t>
      </w:r>
      <w:r w:rsidR="00401A2E" w:rsidRPr="00997100">
        <w:rPr>
          <w:spacing w:val="-4"/>
          <w:lang w:val="fr-FR"/>
        </w:rPr>
        <w:t>]</w:t>
      </w:r>
    </w:p>
    <w:p w:rsidR="005278EE" w:rsidRPr="00997100" w:rsidRDefault="00A85706" w:rsidP="00AF73C3">
      <w:pPr>
        <w:pStyle w:val="ListParagraph"/>
        <w:numPr>
          <w:ilvl w:val="0"/>
          <w:numId w:val="7"/>
        </w:numPr>
        <w:ind w:left="1134" w:hanging="567"/>
        <w:jc w:val="both"/>
        <w:rPr>
          <w:spacing w:val="-4"/>
          <w:lang w:val="fr-FR"/>
        </w:rPr>
      </w:pPr>
      <w:r w:rsidRPr="00997100">
        <w:rPr>
          <w:spacing w:val="-4"/>
          <w:lang w:val="fr-FR"/>
        </w:rPr>
        <w:t>Dans l</w:t>
      </w:r>
      <w:r w:rsidR="00B43F1D" w:rsidRPr="00997100">
        <w:rPr>
          <w:spacing w:val="-4"/>
          <w:lang w:val="fr-FR"/>
        </w:rPr>
        <w:t>’</w:t>
      </w:r>
      <w:r w:rsidRPr="00997100">
        <w:rPr>
          <w:spacing w:val="-4"/>
          <w:lang w:val="fr-FR"/>
        </w:rPr>
        <w:t>affirmative, veuillez indiquer si cette exigence est précisée dans</w:t>
      </w:r>
    </w:p>
    <w:p w:rsidR="005278EE" w:rsidRPr="00997100" w:rsidRDefault="00DD1499" w:rsidP="00AF73C3">
      <w:pPr>
        <w:pStyle w:val="ListParagraph"/>
        <w:ind w:left="1134"/>
        <w:jc w:val="both"/>
        <w:rPr>
          <w:spacing w:val="-4"/>
          <w:lang w:val="fr-FR"/>
        </w:rPr>
      </w:pPr>
      <w:r w:rsidRPr="00997100">
        <w:rPr>
          <w:spacing w:val="-4"/>
          <w:lang w:val="fr-FR"/>
        </w:rPr>
        <w:t xml:space="preserve">a. </w:t>
      </w:r>
      <w:r w:rsidR="00AF73C3">
        <w:rPr>
          <w:spacing w:val="-4"/>
          <w:lang w:val="fr-FR"/>
        </w:rPr>
        <w:tab/>
      </w:r>
      <w:r w:rsidR="00A85706" w:rsidRPr="00997100">
        <w:rPr>
          <w:spacing w:val="-4"/>
          <w:lang w:val="fr-FR"/>
        </w:rPr>
        <w:t>une loi</w:t>
      </w:r>
    </w:p>
    <w:p w:rsidR="00B43F1D" w:rsidRPr="00997100" w:rsidRDefault="00DD1499" w:rsidP="00AF73C3">
      <w:pPr>
        <w:pStyle w:val="ListParagraph"/>
        <w:ind w:left="1134"/>
        <w:jc w:val="both"/>
        <w:rPr>
          <w:spacing w:val="-4"/>
          <w:lang w:val="fr-FR"/>
        </w:rPr>
      </w:pPr>
      <w:r w:rsidRPr="00997100">
        <w:rPr>
          <w:spacing w:val="-4"/>
          <w:lang w:val="fr-FR"/>
        </w:rPr>
        <w:t xml:space="preserve">b. </w:t>
      </w:r>
      <w:r w:rsidR="00AF73C3">
        <w:rPr>
          <w:spacing w:val="-4"/>
          <w:lang w:val="fr-FR"/>
        </w:rPr>
        <w:tab/>
      </w:r>
      <w:r w:rsidR="00A85706" w:rsidRPr="00997100">
        <w:rPr>
          <w:spacing w:val="-4"/>
          <w:lang w:val="fr-FR"/>
        </w:rPr>
        <w:t>un règlement</w:t>
      </w:r>
    </w:p>
    <w:p w:rsidR="005278EE" w:rsidRPr="00997100" w:rsidRDefault="00DD1499" w:rsidP="00AF73C3">
      <w:pPr>
        <w:pStyle w:val="ListParagraph"/>
        <w:ind w:left="1134"/>
        <w:jc w:val="both"/>
        <w:rPr>
          <w:spacing w:val="-4"/>
          <w:lang w:val="fr-FR"/>
        </w:rPr>
      </w:pPr>
      <w:r w:rsidRPr="00997100">
        <w:rPr>
          <w:spacing w:val="-4"/>
          <w:lang w:val="fr-FR"/>
        </w:rPr>
        <w:t xml:space="preserve">c. </w:t>
      </w:r>
      <w:r w:rsidR="00AF73C3">
        <w:rPr>
          <w:spacing w:val="-4"/>
          <w:lang w:val="fr-FR"/>
        </w:rPr>
        <w:tab/>
      </w:r>
      <w:r w:rsidR="00A85706" w:rsidRPr="00997100">
        <w:rPr>
          <w:spacing w:val="-4"/>
          <w:lang w:val="fr-FR"/>
        </w:rPr>
        <w:t>des procédures administratives</w:t>
      </w:r>
    </w:p>
    <w:p w:rsidR="005278EE" w:rsidRPr="00997100" w:rsidRDefault="00DD1499" w:rsidP="00AF73C3">
      <w:pPr>
        <w:pStyle w:val="ListParagraph"/>
        <w:ind w:left="1134"/>
        <w:jc w:val="both"/>
        <w:rPr>
          <w:spacing w:val="-4"/>
          <w:lang w:val="fr-FR"/>
        </w:rPr>
      </w:pPr>
      <w:r w:rsidRPr="00997100">
        <w:rPr>
          <w:spacing w:val="-4"/>
          <w:lang w:val="fr-FR"/>
        </w:rPr>
        <w:t>d.</w:t>
      </w:r>
      <w:r w:rsidR="009C3A48" w:rsidRPr="00997100">
        <w:rPr>
          <w:spacing w:val="-4"/>
          <w:lang w:val="fr-FR"/>
        </w:rPr>
        <w:t xml:space="preserve"> </w:t>
      </w:r>
      <w:r w:rsidR="00AF73C3">
        <w:rPr>
          <w:spacing w:val="-4"/>
          <w:lang w:val="fr-FR"/>
        </w:rPr>
        <w:tab/>
      </w:r>
      <w:r w:rsidR="00A85706" w:rsidRPr="00997100">
        <w:rPr>
          <w:spacing w:val="-4"/>
          <w:lang w:val="fr-FR"/>
        </w:rPr>
        <w:t>autre</w:t>
      </w:r>
    </w:p>
    <w:p w:rsidR="005278EE" w:rsidRPr="00997100" w:rsidRDefault="00DD1499" w:rsidP="00AF73C3">
      <w:pPr>
        <w:pStyle w:val="ListParagraph"/>
        <w:ind w:left="1134"/>
        <w:contextualSpacing w:val="0"/>
        <w:jc w:val="both"/>
        <w:rPr>
          <w:spacing w:val="-4"/>
          <w:lang w:val="fr-FR"/>
        </w:rPr>
      </w:pPr>
      <w:r w:rsidRPr="00997100">
        <w:rPr>
          <w:lang w:val="fr-FR"/>
        </w:rPr>
        <w:t>[</w:t>
      </w:r>
      <w:r w:rsidR="00A85706" w:rsidRPr="00997100">
        <w:rPr>
          <w:lang w:val="fr-FR"/>
        </w:rPr>
        <w:t>Observations</w:t>
      </w:r>
      <w:r w:rsidRPr="00997100">
        <w:rPr>
          <w:lang w:val="fr-FR"/>
        </w:rPr>
        <w:t>]</w:t>
      </w:r>
    </w:p>
    <w:p w:rsidR="005278EE" w:rsidRPr="00997100" w:rsidRDefault="00A85706" w:rsidP="00AF73C3">
      <w:pPr>
        <w:pStyle w:val="ListParagraph"/>
        <w:numPr>
          <w:ilvl w:val="0"/>
          <w:numId w:val="7"/>
        </w:numPr>
        <w:ind w:left="1134" w:hanging="567"/>
        <w:contextualSpacing w:val="0"/>
        <w:jc w:val="both"/>
        <w:rPr>
          <w:spacing w:val="-4"/>
          <w:lang w:val="fr-FR"/>
        </w:rPr>
      </w:pPr>
      <w:r w:rsidRPr="00997100">
        <w:rPr>
          <w:spacing w:val="-4"/>
          <w:lang w:val="fr-FR"/>
        </w:rPr>
        <w:t>Votre pays ou votre organisation exige</w:t>
      </w:r>
      <w:r w:rsidR="00B43F1D" w:rsidRPr="00997100">
        <w:rPr>
          <w:spacing w:val="-4"/>
          <w:lang w:val="fr-FR"/>
        </w:rPr>
        <w:t>-</w:t>
      </w:r>
      <w:r w:rsidRPr="00997100">
        <w:rPr>
          <w:spacing w:val="-4"/>
          <w:lang w:val="fr-FR"/>
        </w:rPr>
        <w:t>t</w:t>
      </w:r>
      <w:r w:rsidR="00B43F1D" w:rsidRPr="00997100">
        <w:rPr>
          <w:spacing w:val="-4"/>
          <w:lang w:val="fr-FR"/>
        </w:rPr>
        <w:t>-</w:t>
      </w:r>
      <w:r w:rsidRPr="00997100">
        <w:rPr>
          <w:spacing w:val="-4"/>
          <w:lang w:val="fr-FR"/>
        </w:rPr>
        <w:t>il un accord formel pour pouvoir utiliser les rapports d</w:t>
      </w:r>
      <w:r w:rsidR="00B43F1D" w:rsidRPr="00997100">
        <w:rPr>
          <w:spacing w:val="-4"/>
          <w:lang w:val="fr-FR"/>
        </w:rPr>
        <w:t>’</w:t>
      </w:r>
      <w:r w:rsidRPr="00997100">
        <w:rPr>
          <w:spacing w:val="-4"/>
          <w:lang w:val="fr-FR"/>
        </w:rPr>
        <w:t>examen</w:t>
      </w:r>
      <w:r w:rsidR="009C3A48" w:rsidRPr="00997100">
        <w:rPr>
          <w:spacing w:val="-4"/>
          <w:lang w:val="fr-FR"/>
        </w:rPr>
        <w:t> </w:t>
      </w:r>
      <w:r w:rsidRPr="00997100">
        <w:rPr>
          <w:spacing w:val="-4"/>
          <w:lang w:val="fr-FR"/>
        </w:rPr>
        <w:t>DHS d</w:t>
      </w:r>
      <w:r w:rsidR="00B43F1D" w:rsidRPr="00997100">
        <w:rPr>
          <w:spacing w:val="-4"/>
          <w:lang w:val="fr-FR"/>
        </w:rPr>
        <w:t>’</w:t>
      </w:r>
      <w:r w:rsidRPr="00997100">
        <w:rPr>
          <w:spacing w:val="-4"/>
          <w:lang w:val="fr-FR"/>
        </w:rPr>
        <w:t>un autre membre de l</w:t>
      </w:r>
      <w:r w:rsidR="00B43F1D" w:rsidRPr="00997100">
        <w:rPr>
          <w:spacing w:val="-4"/>
          <w:lang w:val="fr-FR"/>
        </w:rPr>
        <w:t>’</w:t>
      </w:r>
      <w:r w:rsidRPr="00997100">
        <w:rPr>
          <w:spacing w:val="-4"/>
          <w:lang w:val="fr-FR"/>
        </w:rPr>
        <w:t>UPOV</w:t>
      </w:r>
      <w:r w:rsidR="00C83921" w:rsidRPr="00997100">
        <w:rPr>
          <w:spacing w:val="-4"/>
          <w:lang w:val="fr-FR"/>
        </w:rPr>
        <w:t>?</w:t>
      </w:r>
      <w:r w:rsidR="009C3A48" w:rsidRPr="00997100">
        <w:rPr>
          <w:spacing w:val="-4"/>
          <w:lang w:val="fr-FR"/>
        </w:rPr>
        <w:t xml:space="preserve"> </w:t>
      </w:r>
      <w:r w:rsidR="00C83921" w:rsidRPr="00997100">
        <w:rPr>
          <w:spacing w:val="-4"/>
          <w:lang w:val="fr-FR"/>
        </w:rPr>
        <w:t xml:space="preserve"> </w:t>
      </w:r>
      <w:r w:rsidR="0040561B" w:rsidRPr="00997100">
        <w:rPr>
          <w:spacing w:val="-4"/>
          <w:lang w:val="fr-FR"/>
        </w:rPr>
        <w:t>[</w:t>
      </w:r>
      <w:r w:rsidRPr="00997100">
        <w:rPr>
          <w:spacing w:val="-4"/>
          <w:lang w:val="fr-FR"/>
        </w:rPr>
        <w:t>oui</w:t>
      </w:r>
      <w:r w:rsidR="0040561B" w:rsidRPr="00997100">
        <w:rPr>
          <w:spacing w:val="-4"/>
          <w:lang w:val="fr-FR"/>
        </w:rPr>
        <w:t>/no</w:t>
      </w:r>
      <w:r w:rsidRPr="00997100">
        <w:rPr>
          <w:spacing w:val="-4"/>
          <w:lang w:val="fr-FR"/>
        </w:rPr>
        <w:t>n</w:t>
      </w:r>
      <w:r w:rsidR="0057113A" w:rsidRPr="00997100">
        <w:rPr>
          <w:spacing w:val="-4"/>
          <w:lang w:val="fr-FR"/>
        </w:rPr>
        <w:t>]</w:t>
      </w:r>
    </w:p>
    <w:p w:rsidR="00A85706" w:rsidRPr="00997100" w:rsidRDefault="00A85706" w:rsidP="00AF73C3">
      <w:pPr>
        <w:pStyle w:val="ListParagraph"/>
        <w:numPr>
          <w:ilvl w:val="0"/>
          <w:numId w:val="7"/>
        </w:numPr>
        <w:ind w:left="1134" w:hanging="567"/>
        <w:jc w:val="both"/>
        <w:rPr>
          <w:spacing w:val="-4"/>
          <w:lang w:val="fr-FR"/>
        </w:rPr>
      </w:pPr>
      <w:r w:rsidRPr="00997100">
        <w:rPr>
          <w:spacing w:val="-4"/>
          <w:lang w:val="fr-FR"/>
        </w:rPr>
        <w:t>Dans l</w:t>
      </w:r>
      <w:r w:rsidR="00B43F1D" w:rsidRPr="00997100">
        <w:rPr>
          <w:spacing w:val="-4"/>
          <w:lang w:val="fr-FR"/>
        </w:rPr>
        <w:t>’</w:t>
      </w:r>
      <w:r w:rsidRPr="00997100">
        <w:rPr>
          <w:spacing w:val="-4"/>
          <w:lang w:val="fr-FR"/>
        </w:rPr>
        <w:t>affirmative, veuillez indiquer si cette exigence est précisée dans</w:t>
      </w:r>
    </w:p>
    <w:p w:rsidR="00A85706" w:rsidRPr="00997100" w:rsidRDefault="00A85706" w:rsidP="00AF73C3">
      <w:pPr>
        <w:pStyle w:val="ListParagraph"/>
        <w:ind w:left="1134"/>
        <w:jc w:val="both"/>
        <w:rPr>
          <w:spacing w:val="-4"/>
          <w:lang w:val="fr-FR"/>
        </w:rPr>
      </w:pPr>
      <w:r w:rsidRPr="00997100">
        <w:rPr>
          <w:spacing w:val="-4"/>
          <w:lang w:val="fr-FR"/>
        </w:rPr>
        <w:t xml:space="preserve">a. </w:t>
      </w:r>
      <w:r w:rsidR="00AF73C3">
        <w:rPr>
          <w:spacing w:val="-4"/>
          <w:lang w:val="fr-FR"/>
        </w:rPr>
        <w:tab/>
      </w:r>
      <w:r w:rsidRPr="00997100">
        <w:rPr>
          <w:spacing w:val="-4"/>
          <w:lang w:val="fr-FR"/>
        </w:rPr>
        <w:t>une loi</w:t>
      </w:r>
    </w:p>
    <w:p w:rsidR="00B43F1D" w:rsidRPr="00997100" w:rsidRDefault="00A85706" w:rsidP="00AF73C3">
      <w:pPr>
        <w:pStyle w:val="ListParagraph"/>
        <w:ind w:left="1134"/>
        <w:jc w:val="both"/>
        <w:rPr>
          <w:spacing w:val="-4"/>
          <w:lang w:val="fr-FR"/>
        </w:rPr>
      </w:pPr>
      <w:r w:rsidRPr="00997100">
        <w:rPr>
          <w:spacing w:val="-4"/>
          <w:lang w:val="fr-FR"/>
        </w:rPr>
        <w:t xml:space="preserve">b. </w:t>
      </w:r>
      <w:r w:rsidR="00AF73C3">
        <w:rPr>
          <w:spacing w:val="-4"/>
          <w:lang w:val="fr-FR"/>
        </w:rPr>
        <w:tab/>
      </w:r>
      <w:r w:rsidRPr="00997100">
        <w:rPr>
          <w:spacing w:val="-4"/>
          <w:lang w:val="fr-FR"/>
        </w:rPr>
        <w:t>un règlement</w:t>
      </w:r>
    </w:p>
    <w:p w:rsidR="00A85706" w:rsidRPr="00AF73C3" w:rsidRDefault="00A85706" w:rsidP="00AF73C3">
      <w:pPr>
        <w:pStyle w:val="ListParagraph"/>
        <w:ind w:left="1134"/>
        <w:jc w:val="both"/>
        <w:rPr>
          <w:spacing w:val="-4"/>
          <w:lang w:val="fr-FR"/>
        </w:rPr>
      </w:pPr>
      <w:r w:rsidRPr="00997100">
        <w:rPr>
          <w:spacing w:val="-4"/>
          <w:lang w:val="fr-FR"/>
        </w:rPr>
        <w:t xml:space="preserve">c. </w:t>
      </w:r>
      <w:r w:rsidR="00AF73C3">
        <w:rPr>
          <w:spacing w:val="-4"/>
          <w:lang w:val="fr-FR"/>
        </w:rPr>
        <w:tab/>
      </w:r>
      <w:r w:rsidRPr="00AF73C3">
        <w:rPr>
          <w:spacing w:val="-4"/>
          <w:lang w:val="fr-FR"/>
        </w:rPr>
        <w:t>des procédures administratives</w:t>
      </w:r>
    </w:p>
    <w:p w:rsidR="00A85706" w:rsidRPr="00997100" w:rsidRDefault="00A85706" w:rsidP="00AF73C3">
      <w:pPr>
        <w:pStyle w:val="ListParagraph"/>
        <w:ind w:left="1134"/>
        <w:jc w:val="both"/>
        <w:rPr>
          <w:spacing w:val="-4"/>
          <w:lang w:val="fr-FR"/>
        </w:rPr>
      </w:pPr>
      <w:r w:rsidRPr="00997100">
        <w:rPr>
          <w:spacing w:val="-4"/>
          <w:lang w:val="fr-FR"/>
        </w:rPr>
        <w:t>d.</w:t>
      </w:r>
      <w:r w:rsidR="009C3A48" w:rsidRPr="00997100">
        <w:rPr>
          <w:spacing w:val="-4"/>
          <w:lang w:val="fr-FR"/>
        </w:rPr>
        <w:t xml:space="preserve"> </w:t>
      </w:r>
      <w:r w:rsidR="00AF73C3">
        <w:rPr>
          <w:spacing w:val="-4"/>
          <w:lang w:val="fr-FR"/>
        </w:rPr>
        <w:tab/>
      </w:r>
      <w:r w:rsidRPr="00997100">
        <w:rPr>
          <w:spacing w:val="-4"/>
          <w:lang w:val="fr-FR"/>
        </w:rPr>
        <w:t>autre</w:t>
      </w:r>
    </w:p>
    <w:p w:rsidR="00A85706" w:rsidRPr="00997100" w:rsidRDefault="00A85706" w:rsidP="00AF73C3">
      <w:pPr>
        <w:pStyle w:val="ListParagraph"/>
        <w:ind w:left="1134"/>
        <w:contextualSpacing w:val="0"/>
        <w:jc w:val="both"/>
        <w:rPr>
          <w:spacing w:val="-4"/>
          <w:lang w:val="fr-FR"/>
        </w:rPr>
      </w:pPr>
      <w:r w:rsidRPr="00997100">
        <w:rPr>
          <w:lang w:val="fr-FR"/>
        </w:rPr>
        <w:t>[Observations]</w:t>
      </w:r>
    </w:p>
    <w:p w:rsidR="005278EE" w:rsidRPr="00997100" w:rsidRDefault="00A85706" w:rsidP="00AF73C3">
      <w:pPr>
        <w:pStyle w:val="ListParagraph"/>
        <w:numPr>
          <w:ilvl w:val="0"/>
          <w:numId w:val="7"/>
        </w:numPr>
        <w:ind w:left="1134" w:hanging="567"/>
        <w:contextualSpacing w:val="0"/>
        <w:rPr>
          <w:spacing w:val="-4"/>
          <w:lang w:val="fr-FR"/>
        </w:rPr>
      </w:pPr>
      <w:r w:rsidRPr="00997100">
        <w:rPr>
          <w:spacing w:val="-4"/>
          <w:lang w:val="fr-FR"/>
        </w:rPr>
        <w:t>Votre pays ou votre organisation prévoit</w:t>
      </w:r>
      <w:r w:rsidR="00B43F1D" w:rsidRPr="00997100">
        <w:rPr>
          <w:spacing w:val="-4"/>
          <w:lang w:val="fr-FR"/>
        </w:rPr>
        <w:t>-</w:t>
      </w:r>
      <w:r w:rsidRPr="00997100">
        <w:rPr>
          <w:spacing w:val="-4"/>
          <w:lang w:val="fr-FR"/>
        </w:rPr>
        <w:t>il des exigences pour pouvoir utiliser les rapports d</w:t>
      </w:r>
      <w:r w:rsidR="00B43F1D" w:rsidRPr="00997100">
        <w:rPr>
          <w:spacing w:val="-4"/>
          <w:lang w:val="fr-FR"/>
        </w:rPr>
        <w:t>’</w:t>
      </w:r>
      <w:r w:rsidRPr="00997100">
        <w:rPr>
          <w:spacing w:val="-4"/>
          <w:lang w:val="fr-FR"/>
        </w:rPr>
        <w:t>examen</w:t>
      </w:r>
      <w:r w:rsidR="009C3A48" w:rsidRPr="00997100">
        <w:rPr>
          <w:spacing w:val="-4"/>
          <w:lang w:val="fr-FR"/>
        </w:rPr>
        <w:t> </w:t>
      </w:r>
      <w:r w:rsidRPr="00997100">
        <w:rPr>
          <w:spacing w:val="-4"/>
          <w:lang w:val="fr-FR"/>
        </w:rPr>
        <w:t>DHS d</w:t>
      </w:r>
      <w:r w:rsidR="00B43F1D" w:rsidRPr="00997100">
        <w:rPr>
          <w:spacing w:val="-4"/>
          <w:lang w:val="fr-FR"/>
        </w:rPr>
        <w:t>’</w:t>
      </w:r>
      <w:r w:rsidRPr="00997100">
        <w:rPr>
          <w:spacing w:val="-4"/>
          <w:lang w:val="fr-FR"/>
        </w:rPr>
        <w:t>un autre membre de l</w:t>
      </w:r>
      <w:r w:rsidR="00B43F1D" w:rsidRPr="00997100">
        <w:rPr>
          <w:spacing w:val="-4"/>
          <w:lang w:val="fr-FR"/>
        </w:rPr>
        <w:t>’</w:t>
      </w:r>
      <w:r w:rsidRPr="00997100">
        <w:rPr>
          <w:spacing w:val="-4"/>
          <w:lang w:val="fr-FR"/>
        </w:rPr>
        <w:t>UPOV?</w:t>
      </w:r>
      <w:r w:rsidR="009C3A48" w:rsidRPr="00997100">
        <w:rPr>
          <w:spacing w:val="-4"/>
          <w:lang w:val="fr-FR"/>
        </w:rPr>
        <w:t xml:space="preserve"> </w:t>
      </w:r>
      <w:r w:rsidRPr="00997100">
        <w:rPr>
          <w:spacing w:val="-4"/>
          <w:lang w:val="fr-FR"/>
        </w:rPr>
        <w:t xml:space="preserve"> [oui/non]</w:t>
      </w:r>
      <w:r w:rsidR="0057113A" w:rsidRPr="00997100">
        <w:rPr>
          <w:spacing w:val="-4"/>
          <w:lang w:val="fr-FR"/>
        </w:rPr>
        <w:t xml:space="preserve"> </w:t>
      </w:r>
      <w:r w:rsidR="00F32E46" w:rsidRPr="00997100">
        <w:rPr>
          <w:spacing w:val="-4"/>
          <w:lang w:val="fr-FR"/>
        </w:rPr>
        <w:t>[</w:t>
      </w:r>
      <w:r w:rsidRPr="00997100">
        <w:rPr>
          <w:spacing w:val="-4"/>
          <w:lang w:val="fr-FR"/>
        </w:rPr>
        <w:t>dans l</w:t>
      </w:r>
      <w:r w:rsidR="00B43F1D" w:rsidRPr="00997100">
        <w:rPr>
          <w:spacing w:val="-4"/>
          <w:lang w:val="fr-FR"/>
        </w:rPr>
        <w:t>’</w:t>
      </w:r>
      <w:r w:rsidRPr="00997100">
        <w:rPr>
          <w:spacing w:val="-4"/>
          <w:lang w:val="fr-FR"/>
        </w:rPr>
        <w:t>affirmative, veuille</w:t>
      </w:r>
      <w:r w:rsidR="008C34BA" w:rsidRPr="00997100">
        <w:rPr>
          <w:spacing w:val="-4"/>
          <w:lang w:val="fr-FR"/>
        </w:rPr>
        <w:t>z</w:t>
      </w:r>
      <w:r w:rsidRPr="00997100">
        <w:rPr>
          <w:spacing w:val="-4"/>
          <w:lang w:val="fr-FR"/>
        </w:rPr>
        <w:t xml:space="preserve"> les énumérer</w:t>
      </w:r>
      <w:r w:rsidR="00F32E46" w:rsidRPr="00997100">
        <w:rPr>
          <w:spacing w:val="-4"/>
          <w:lang w:val="fr-FR"/>
        </w:rPr>
        <w:t>]</w:t>
      </w:r>
    </w:p>
    <w:p w:rsidR="001B6BD8" w:rsidRPr="00997100" w:rsidRDefault="001B6BD8" w:rsidP="00AF73C3">
      <w:pPr>
        <w:pStyle w:val="ListParagraph"/>
        <w:numPr>
          <w:ilvl w:val="0"/>
          <w:numId w:val="7"/>
        </w:numPr>
        <w:ind w:left="1134" w:hanging="567"/>
        <w:jc w:val="both"/>
        <w:rPr>
          <w:spacing w:val="-4"/>
          <w:lang w:val="fr-FR"/>
        </w:rPr>
      </w:pPr>
      <w:r w:rsidRPr="00997100">
        <w:rPr>
          <w:spacing w:val="-4"/>
          <w:lang w:val="fr-FR"/>
        </w:rPr>
        <w:t>Dans l</w:t>
      </w:r>
      <w:r w:rsidR="00B43F1D" w:rsidRPr="00997100">
        <w:rPr>
          <w:spacing w:val="-4"/>
          <w:lang w:val="fr-FR"/>
        </w:rPr>
        <w:t>’</w:t>
      </w:r>
      <w:r w:rsidRPr="00997100">
        <w:rPr>
          <w:spacing w:val="-4"/>
          <w:lang w:val="fr-FR"/>
        </w:rPr>
        <w:t xml:space="preserve">affirmative, veuillez indiquer si </w:t>
      </w:r>
      <w:r w:rsidR="00E460C3">
        <w:rPr>
          <w:spacing w:val="-4"/>
          <w:lang w:val="fr-FR"/>
        </w:rPr>
        <w:t>ces</w:t>
      </w:r>
      <w:r w:rsidRPr="00997100">
        <w:rPr>
          <w:spacing w:val="-4"/>
          <w:lang w:val="fr-FR"/>
        </w:rPr>
        <w:t xml:space="preserve"> exigence</w:t>
      </w:r>
      <w:r w:rsidR="00E460C3">
        <w:rPr>
          <w:spacing w:val="-4"/>
          <w:lang w:val="fr-FR"/>
        </w:rPr>
        <w:t>s</w:t>
      </w:r>
      <w:r w:rsidRPr="00997100">
        <w:rPr>
          <w:spacing w:val="-4"/>
          <w:lang w:val="fr-FR"/>
        </w:rPr>
        <w:t xml:space="preserve"> </w:t>
      </w:r>
      <w:r w:rsidR="00E460C3">
        <w:rPr>
          <w:spacing w:val="-4"/>
          <w:lang w:val="fr-FR"/>
        </w:rPr>
        <w:t>sont</w:t>
      </w:r>
      <w:r w:rsidRPr="00997100">
        <w:rPr>
          <w:spacing w:val="-4"/>
          <w:lang w:val="fr-FR"/>
        </w:rPr>
        <w:t xml:space="preserve"> précisée</w:t>
      </w:r>
      <w:r w:rsidR="00E460C3">
        <w:rPr>
          <w:spacing w:val="-4"/>
          <w:lang w:val="fr-FR"/>
        </w:rPr>
        <w:t>s</w:t>
      </w:r>
      <w:r w:rsidRPr="00997100">
        <w:rPr>
          <w:spacing w:val="-4"/>
          <w:lang w:val="fr-FR"/>
        </w:rPr>
        <w:t xml:space="preserve"> dans</w:t>
      </w:r>
    </w:p>
    <w:p w:rsidR="001B6BD8" w:rsidRPr="00997100" w:rsidRDefault="001B6BD8" w:rsidP="00AF73C3">
      <w:pPr>
        <w:pStyle w:val="ListParagraph"/>
        <w:ind w:left="1134"/>
        <w:jc w:val="both"/>
        <w:rPr>
          <w:spacing w:val="-4"/>
          <w:lang w:val="fr-FR"/>
        </w:rPr>
      </w:pPr>
      <w:r w:rsidRPr="00997100">
        <w:rPr>
          <w:spacing w:val="-4"/>
          <w:lang w:val="fr-FR"/>
        </w:rPr>
        <w:t xml:space="preserve">a. </w:t>
      </w:r>
      <w:r w:rsidR="00AF73C3">
        <w:rPr>
          <w:spacing w:val="-4"/>
          <w:lang w:val="fr-FR"/>
        </w:rPr>
        <w:tab/>
      </w:r>
      <w:r w:rsidRPr="00997100">
        <w:rPr>
          <w:spacing w:val="-4"/>
          <w:lang w:val="fr-FR"/>
        </w:rPr>
        <w:t>une loi</w:t>
      </w:r>
    </w:p>
    <w:p w:rsidR="00B43F1D" w:rsidRPr="00997100" w:rsidRDefault="001B6BD8" w:rsidP="00AF73C3">
      <w:pPr>
        <w:pStyle w:val="ListParagraph"/>
        <w:ind w:left="1134"/>
        <w:jc w:val="both"/>
        <w:rPr>
          <w:spacing w:val="-4"/>
          <w:lang w:val="fr-FR"/>
        </w:rPr>
      </w:pPr>
      <w:r w:rsidRPr="00997100">
        <w:rPr>
          <w:spacing w:val="-4"/>
          <w:lang w:val="fr-FR"/>
        </w:rPr>
        <w:t xml:space="preserve">b. </w:t>
      </w:r>
      <w:r w:rsidR="00AF73C3">
        <w:rPr>
          <w:spacing w:val="-4"/>
          <w:lang w:val="fr-FR"/>
        </w:rPr>
        <w:tab/>
      </w:r>
      <w:r w:rsidRPr="00997100">
        <w:rPr>
          <w:spacing w:val="-4"/>
          <w:lang w:val="fr-FR"/>
        </w:rPr>
        <w:t>un règlement</w:t>
      </w:r>
    </w:p>
    <w:p w:rsidR="001B6BD8" w:rsidRPr="00997100" w:rsidRDefault="001B6BD8" w:rsidP="00AF73C3">
      <w:pPr>
        <w:pStyle w:val="ListParagraph"/>
        <w:ind w:left="1134"/>
        <w:jc w:val="both"/>
        <w:rPr>
          <w:spacing w:val="-4"/>
          <w:lang w:val="fr-FR"/>
        </w:rPr>
      </w:pPr>
      <w:r w:rsidRPr="00997100">
        <w:rPr>
          <w:spacing w:val="-4"/>
          <w:lang w:val="fr-FR"/>
        </w:rPr>
        <w:t xml:space="preserve">c. </w:t>
      </w:r>
      <w:r w:rsidR="00AF73C3">
        <w:rPr>
          <w:spacing w:val="-4"/>
          <w:lang w:val="fr-FR"/>
        </w:rPr>
        <w:tab/>
      </w:r>
      <w:r w:rsidRPr="00997100">
        <w:rPr>
          <w:spacing w:val="-4"/>
          <w:lang w:val="fr-FR"/>
        </w:rPr>
        <w:t>des procédures administratives</w:t>
      </w:r>
    </w:p>
    <w:p w:rsidR="001B6BD8" w:rsidRPr="00997100" w:rsidRDefault="001B6BD8" w:rsidP="00AF73C3">
      <w:pPr>
        <w:pStyle w:val="ListParagraph"/>
        <w:ind w:left="1134"/>
        <w:jc w:val="both"/>
        <w:rPr>
          <w:spacing w:val="-4"/>
          <w:lang w:val="fr-FR"/>
        </w:rPr>
      </w:pPr>
      <w:r w:rsidRPr="00997100">
        <w:rPr>
          <w:spacing w:val="-4"/>
          <w:lang w:val="fr-FR"/>
        </w:rPr>
        <w:t xml:space="preserve">d. </w:t>
      </w:r>
      <w:r w:rsidR="00AF73C3">
        <w:rPr>
          <w:spacing w:val="-4"/>
          <w:lang w:val="fr-FR"/>
        </w:rPr>
        <w:tab/>
      </w:r>
      <w:r w:rsidRPr="00997100">
        <w:rPr>
          <w:spacing w:val="-4"/>
          <w:lang w:val="fr-FR"/>
        </w:rPr>
        <w:t>autre</w:t>
      </w:r>
    </w:p>
    <w:p w:rsidR="001B6BD8" w:rsidRPr="00997100" w:rsidRDefault="001B6BD8" w:rsidP="00AF73C3">
      <w:pPr>
        <w:pStyle w:val="ListParagraph"/>
        <w:ind w:left="1134"/>
        <w:contextualSpacing w:val="0"/>
        <w:jc w:val="both"/>
        <w:rPr>
          <w:spacing w:val="-4"/>
          <w:lang w:val="fr-FR"/>
        </w:rPr>
      </w:pPr>
      <w:r w:rsidRPr="00997100">
        <w:rPr>
          <w:lang w:val="fr-FR"/>
        </w:rPr>
        <w:t>[Observations]</w:t>
      </w:r>
    </w:p>
    <w:p w:rsidR="00B43F1D" w:rsidRPr="00997100" w:rsidRDefault="001B6BD8" w:rsidP="00AF73C3">
      <w:pPr>
        <w:pStyle w:val="ListParagraph"/>
        <w:keepNext/>
        <w:numPr>
          <w:ilvl w:val="0"/>
          <w:numId w:val="7"/>
        </w:numPr>
        <w:ind w:left="1134" w:hanging="567"/>
        <w:jc w:val="both"/>
        <w:rPr>
          <w:spacing w:val="-4"/>
          <w:lang w:val="fr-FR"/>
        </w:rPr>
      </w:pPr>
      <w:r w:rsidRPr="00997100">
        <w:rPr>
          <w:spacing w:val="-4"/>
          <w:lang w:val="fr-FR"/>
        </w:rPr>
        <w:t>Votre pays ou votre organisation accepte</w:t>
      </w:r>
      <w:r w:rsidR="00B43F1D" w:rsidRPr="00997100">
        <w:rPr>
          <w:spacing w:val="-4"/>
          <w:lang w:val="fr-FR"/>
        </w:rPr>
        <w:t>-</w:t>
      </w:r>
      <w:r w:rsidRPr="00997100">
        <w:rPr>
          <w:spacing w:val="-4"/>
          <w:lang w:val="fr-FR"/>
        </w:rPr>
        <w:t>t</w:t>
      </w:r>
      <w:r w:rsidR="00B43F1D" w:rsidRPr="00997100">
        <w:rPr>
          <w:spacing w:val="-4"/>
          <w:lang w:val="fr-FR"/>
        </w:rPr>
        <w:t>-</w:t>
      </w:r>
      <w:r w:rsidRPr="00997100">
        <w:rPr>
          <w:spacing w:val="-4"/>
          <w:lang w:val="fr-FR"/>
        </w:rPr>
        <w:t>il des rapports d</w:t>
      </w:r>
      <w:r w:rsidR="00B43F1D" w:rsidRPr="00997100">
        <w:rPr>
          <w:spacing w:val="-4"/>
          <w:lang w:val="fr-FR"/>
        </w:rPr>
        <w:t>’</w:t>
      </w:r>
      <w:r w:rsidRPr="00997100">
        <w:rPr>
          <w:spacing w:val="-4"/>
          <w:lang w:val="fr-FR"/>
        </w:rPr>
        <w:t>examen</w:t>
      </w:r>
      <w:r w:rsidR="009C3A48" w:rsidRPr="00997100">
        <w:rPr>
          <w:spacing w:val="-4"/>
          <w:lang w:val="fr-FR"/>
        </w:rPr>
        <w:t> </w:t>
      </w:r>
      <w:r w:rsidRPr="00997100">
        <w:rPr>
          <w:spacing w:val="-4"/>
          <w:lang w:val="fr-FR"/>
        </w:rPr>
        <w:t xml:space="preserve">DHS </w:t>
      </w:r>
      <w:r w:rsidR="00534BB7" w:rsidRPr="00997100">
        <w:rPr>
          <w:spacing w:val="-4"/>
          <w:lang w:val="fr-FR"/>
        </w:rPr>
        <w:t>sur la base d</w:t>
      </w:r>
      <w:r w:rsidR="00B43F1D" w:rsidRPr="00997100">
        <w:rPr>
          <w:spacing w:val="-4"/>
          <w:lang w:val="fr-FR"/>
        </w:rPr>
        <w:t>’</w:t>
      </w:r>
      <w:r w:rsidR="005A7448" w:rsidRPr="00997100">
        <w:rPr>
          <w:spacing w:val="-4"/>
          <w:lang w:val="fr-FR"/>
        </w:rPr>
        <w:t xml:space="preserve">essais </w:t>
      </w:r>
      <w:r w:rsidR="005A7448" w:rsidRPr="003E4641">
        <w:rPr>
          <w:spacing w:val="-4"/>
          <w:u w:val="single"/>
          <w:lang w:val="fr-FR"/>
        </w:rPr>
        <w:t>sur</w:t>
      </w:r>
      <w:r w:rsidR="005A7448" w:rsidRPr="00997100">
        <w:rPr>
          <w:spacing w:val="-4"/>
          <w:lang w:val="fr-FR"/>
        </w:rPr>
        <w:t xml:space="preserve"> le territoire de votre pays </w:t>
      </w:r>
      <w:r w:rsidR="00534BB7" w:rsidRPr="00997100">
        <w:rPr>
          <w:spacing w:val="-4"/>
          <w:lang w:val="fr-FR"/>
        </w:rPr>
        <w:t>ou de votre organisation effectués dans les locaux de l</w:t>
      </w:r>
      <w:r w:rsidR="00B43F1D" w:rsidRPr="00997100">
        <w:rPr>
          <w:spacing w:val="-4"/>
          <w:lang w:val="fr-FR"/>
        </w:rPr>
        <w:t>’</w:t>
      </w:r>
      <w:r w:rsidR="00534BB7" w:rsidRPr="00997100">
        <w:rPr>
          <w:spacing w:val="-4"/>
          <w:lang w:val="fr-FR"/>
        </w:rPr>
        <w:t>obtenteur</w:t>
      </w:r>
      <w:r w:rsidR="00F5160C" w:rsidRPr="00997100">
        <w:rPr>
          <w:spacing w:val="-4"/>
          <w:lang w:val="fr-FR"/>
        </w:rPr>
        <w:t>?</w:t>
      </w:r>
    </w:p>
    <w:p w:rsidR="005278EE" w:rsidRPr="00997100" w:rsidRDefault="00534BB7" w:rsidP="00AF73C3">
      <w:pPr>
        <w:pStyle w:val="ListParagraph"/>
        <w:keepNext/>
        <w:numPr>
          <w:ilvl w:val="1"/>
          <w:numId w:val="10"/>
        </w:numPr>
        <w:ind w:left="1134" w:firstLine="0"/>
        <w:jc w:val="both"/>
        <w:rPr>
          <w:spacing w:val="-4"/>
          <w:lang w:val="fr-FR"/>
        </w:rPr>
      </w:pPr>
      <w:r w:rsidRPr="00997100">
        <w:rPr>
          <w:spacing w:val="-4"/>
          <w:lang w:val="fr-FR"/>
        </w:rPr>
        <w:t>Oui, toujours</w:t>
      </w:r>
    </w:p>
    <w:p w:rsidR="00B43F1D" w:rsidRPr="00997100" w:rsidRDefault="00534BB7" w:rsidP="00AF73C3">
      <w:pPr>
        <w:pStyle w:val="ListParagraph"/>
        <w:keepNext/>
        <w:numPr>
          <w:ilvl w:val="1"/>
          <w:numId w:val="10"/>
        </w:numPr>
        <w:ind w:left="1134" w:firstLine="0"/>
        <w:jc w:val="both"/>
        <w:rPr>
          <w:spacing w:val="-4"/>
          <w:lang w:val="fr-FR"/>
        </w:rPr>
      </w:pPr>
      <w:r w:rsidRPr="00997100">
        <w:rPr>
          <w:spacing w:val="-4"/>
          <w:lang w:val="fr-FR"/>
        </w:rPr>
        <w:t>Oui, à certaines conditions</w:t>
      </w:r>
      <w:r w:rsidR="00C503A5" w:rsidRPr="00997100">
        <w:rPr>
          <w:spacing w:val="-4"/>
          <w:lang w:val="fr-FR"/>
        </w:rPr>
        <w:t xml:space="preserve"> [</w:t>
      </w:r>
      <w:r w:rsidRPr="00997100">
        <w:rPr>
          <w:spacing w:val="-4"/>
          <w:lang w:val="fr-FR"/>
        </w:rPr>
        <w:t>veuillez les énumérer</w:t>
      </w:r>
      <w:r w:rsidR="00C503A5" w:rsidRPr="00997100">
        <w:rPr>
          <w:spacing w:val="-4"/>
          <w:lang w:val="fr-FR"/>
        </w:rPr>
        <w:t>]</w:t>
      </w:r>
    </w:p>
    <w:p w:rsidR="005278EE" w:rsidRPr="00997100" w:rsidRDefault="00534BB7" w:rsidP="00AF73C3">
      <w:pPr>
        <w:pStyle w:val="ListParagraph"/>
        <w:keepNext/>
        <w:numPr>
          <w:ilvl w:val="1"/>
          <w:numId w:val="10"/>
        </w:numPr>
        <w:ind w:left="1134" w:firstLine="0"/>
        <w:contextualSpacing w:val="0"/>
        <w:jc w:val="both"/>
        <w:rPr>
          <w:spacing w:val="-4"/>
          <w:lang w:val="fr-FR"/>
        </w:rPr>
      </w:pPr>
      <w:r w:rsidRPr="00997100">
        <w:rPr>
          <w:spacing w:val="-4"/>
          <w:lang w:val="fr-FR"/>
        </w:rPr>
        <w:t>Non</w:t>
      </w:r>
      <w:r w:rsidR="00334026" w:rsidRPr="00997100">
        <w:rPr>
          <w:spacing w:val="-4"/>
          <w:lang w:val="fr-FR"/>
        </w:rPr>
        <w:t xml:space="preserve"> </w:t>
      </w:r>
      <w:r w:rsidR="00C503A5" w:rsidRPr="00997100">
        <w:rPr>
          <w:spacing w:val="-4"/>
          <w:lang w:val="fr-FR"/>
        </w:rPr>
        <w:t>[</w:t>
      </w:r>
      <w:r w:rsidRPr="00997100">
        <w:rPr>
          <w:spacing w:val="-4"/>
          <w:lang w:val="fr-FR"/>
        </w:rPr>
        <w:t>veuillez en indiquer les raisons</w:t>
      </w:r>
      <w:r w:rsidR="00C503A5" w:rsidRPr="00997100">
        <w:rPr>
          <w:spacing w:val="-4"/>
          <w:lang w:val="fr-FR"/>
        </w:rPr>
        <w:t>]</w:t>
      </w:r>
    </w:p>
    <w:p w:rsidR="00B43F1D" w:rsidRPr="00997100" w:rsidRDefault="004F623D" w:rsidP="00AF73C3">
      <w:pPr>
        <w:pStyle w:val="ListParagraph"/>
        <w:numPr>
          <w:ilvl w:val="0"/>
          <w:numId w:val="7"/>
        </w:numPr>
        <w:ind w:left="1134" w:hanging="567"/>
        <w:jc w:val="both"/>
        <w:rPr>
          <w:spacing w:val="-4"/>
          <w:lang w:val="fr-FR"/>
        </w:rPr>
      </w:pPr>
      <w:r>
        <w:rPr>
          <w:spacing w:val="-4"/>
          <w:lang w:val="fr-FR"/>
        </w:rPr>
        <w:t>Si vous avez répondu b ou c</w:t>
      </w:r>
      <w:r w:rsidR="00534BB7" w:rsidRPr="00997100">
        <w:rPr>
          <w:spacing w:val="-4"/>
          <w:lang w:val="fr-FR"/>
        </w:rPr>
        <w:t xml:space="preserve"> veuillez indiquer si les conditions ou la non</w:t>
      </w:r>
      <w:r w:rsidR="00B43F1D" w:rsidRPr="00997100">
        <w:rPr>
          <w:spacing w:val="-4"/>
          <w:lang w:val="fr-FR"/>
        </w:rPr>
        <w:t>-</w:t>
      </w:r>
      <w:r w:rsidR="00534BB7" w:rsidRPr="00997100">
        <w:rPr>
          <w:spacing w:val="-4"/>
          <w:lang w:val="fr-FR"/>
        </w:rPr>
        <w:t>acceptation est précisée dans</w:t>
      </w:r>
    </w:p>
    <w:p w:rsidR="00534BB7" w:rsidRPr="00997100" w:rsidRDefault="00534BB7" w:rsidP="00AF73C3">
      <w:pPr>
        <w:pStyle w:val="ListParagraph"/>
        <w:ind w:left="1134"/>
        <w:jc w:val="both"/>
        <w:rPr>
          <w:spacing w:val="-4"/>
          <w:lang w:val="fr-FR"/>
        </w:rPr>
      </w:pPr>
      <w:r w:rsidRPr="00997100">
        <w:rPr>
          <w:spacing w:val="-4"/>
          <w:lang w:val="fr-FR"/>
        </w:rPr>
        <w:t xml:space="preserve">a. </w:t>
      </w:r>
      <w:r w:rsidR="00AF73C3">
        <w:rPr>
          <w:spacing w:val="-4"/>
          <w:lang w:val="fr-FR"/>
        </w:rPr>
        <w:tab/>
      </w:r>
      <w:r w:rsidRPr="00997100">
        <w:rPr>
          <w:spacing w:val="-4"/>
          <w:lang w:val="fr-FR"/>
        </w:rPr>
        <w:t>une loi</w:t>
      </w:r>
    </w:p>
    <w:p w:rsidR="00B43F1D" w:rsidRPr="00997100" w:rsidRDefault="00534BB7" w:rsidP="00AF73C3">
      <w:pPr>
        <w:pStyle w:val="ListParagraph"/>
        <w:ind w:left="1134"/>
        <w:jc w:val="both"/>
        <w:rPr>
          <w:spacing w:val="-4"/>
          <w:lang w:val="fr-FR"/>
        </w:rPr>
      </w:pPr>
      <w:r w:rsidRPr="00997100">
        <w:rPr>
          <w:spacing w:val="-4"/>
          <w:lang w:val="fr-FR"/>
        </w:rPr>
        <w:t xml:space="preserve">b. </w:t>
      </w:r>
      <w:r w:rsidR="00AF73C3">
        <w:rPr>
          <w:spacing w:val="-4"/>
          <w:lang w:val="fr-FR"/>
        </w:rPr>
        <w:tab/>
      </w:r>
      <w:r w:rsidRPr="00997100">
        <w:rPr>
          <w:spacing w:val="-4"/>
          <w:lang w:val="fr-FR"/>
        </w:rPr>
        <w:t>un règlement</w:t>
      </w:r>
    </w:p>
    <w:p w:rsidR="00534BB7" w:rsidRPr="00997100" w:rsidRDefault="00534BB7" w:rsidP="00AF73C3">
      <w:pPr>
        <w:pStyle w:val="ListParagraph"/>
        <w:ind w:left="1134"/>
        <w:jc w:val="both"/>
        <w:rPr>
          <w:spacing w:val="-4"/>
          <w:lang w:val="fr-FR"/>
        </w:rPr>
      </w:pPr>
      <w:r w:rsidRPr="00997100">
        <w:rPr>
          <w:spacing w:val="-4"/>
          <w:lang w:val="fr-FR"/>
        </w:rPr>
        <w:t xml:space="preserve">c. </w:t>
      </w:r>
      <w:r w:rsidR="00AF73C3">
        <w:rPr>
          <w:spacing w:val="-4"/>
          <w:lang w:val="fr-FR"/>
        </w:rPr>
        <w:tab/>
      </w:r>
      <w:r w:rsidRPr="00997100">
        <w:rPr>
          <w:spacing w:val="-4"/>
          <w:lang w:val="fr-FR"/>
        </w:rPr>
        <w:t>des procédures administratives</w:t>
      </w:r>
    </w:p>
    <w:p w:rsidR="00534BB7" w:rsidRPr="00997100" w:rsidRDefault="00534BB7" w:rsidP="00AF73C3">
      <w:pPr>
        <w:pStyle w:val="ListParagraph"/>
        <w:ind w:left="1134"/>
        <w:jc w:val="both"/>
        <w:rPr>
          <w:spacing w:val="-4"/>
          <w:lang w:val="fr-FR"/>
        </w:rPr>
      </w:pPr>
      <w:r w:rsidRPr="00997100">
        <w:rPr>
          <w:spacing w:val="-4"/>
          <w:lang w:val="fr-FR"/>
        </w:rPr>
        <w:t xml:space="preserve">d. </w:t>
      </w:r>
      <w:r w:rsidR="00AF73C3">
        <w:rPr>
          <w:spacing w:val="-4"/>
          <w:lang w:val="fr-FR"/>
        </w:rPr>
        <w:tab/>
      </w:r>
      <w:r w:rsidRPr="00997100">
        <w:rPr>
          <w:spacing w:val="-4"/>
          <w:lang w:val="fr-FR"/>
        </w:rPr>
        <w:t>autre</w:t>
      </w:r>
    </w:p>
    <w:p w:rsidR="00534BB7" w:rsidRPr="00997100" w:rsidRDefault="00534BB7" w:rsidP="00AF73C3">
      <w:pPr>
        <w:pStyle w:val="ListParagraph"/>
        <w:ind w:left="1134"/>
        <w:contextualSpacing w:val="0"/>
        <w:jc w:val="both"/>
        <w:rPr>
          <w:spacing w:val="-4"/>
          <w:lang w:val="fr-FR"/>
        </w:rPr>
      </w:pPr>
      <w:r w:rsidRPr="00997100">
        <w:rPr>
          <w:lang w:val="fr-FR"/>
        </w:rPr>
        <w:t>[Observations]</w:t>
      </w:r>
    </w:p>
    <w:p w:rsidR="00B43F1D" w:rsidRPr="00997100" w:rsidRDefault="00534BB7" w:rsidP="00AF73C3">
      <w:pPr>
        <w:pStyle w:val="ListParagraph"/>
        <w:keepNext/>
        <w:numPr>
          <w:ilvl w:val="0"/>
          <w:numId w:val="7"/>
        </w:numPr>
        <w:ind w:left="1134" w:hanging="567"/>
        <w:jc w:val="both"/>
        <w:rPr>
          <w:spacing w:val="-4"/>
          <w:lang w:val="fr-FR"/>
        </w:rPr>
      </w:pPr>
      <w:r w:rsidRPr="00997100">
        <w:rPr>
          <w:spacing w:val="-4"/>
          <w:lang w:val="fr-FR"/>
        </w:rPr>
        <w:lastRenderedPageBreak/>
        <w:t>Votre pays ou votre organisation accepte</w:t>
      </w:r>
      <w:r w:rsidR="00B43F1D" w:rsidRPr="00997100">
        <w:rPr>
          <w:spacing w:val="-4"/>
          <w:lang w:val="fr-FR"/>
        </w:rPr>
        <w:t>-</w:t>
      </w:r>
      <w:r w:rsidRPr="00997100">
        <w:rPr>
          <w:spacing w:val="-4"/>
          <w:lang w:val="fr-FR"/>
        </w:rPr>
        <w:t>t</w:t>
      </w:r>
      <w:r w:rsidR="00B43F1D" w:rsidRPr="00997100">
        <w:rPr>
          <w:spacing w:val="-4"/>
          <w:lang w:val="fr-FR"/>
        </w:rPr>
        <w:t>-</w:t>
      </w:r>
      <w:r w:rsidRPr="00997100">
        <w:rPr>
          <w:spacing w:val="-4"/>
          <w:lang w:val="fr-FR"/>
        </w:rPr>
        <w:t>il des rapports d</w:t>
      </w:r>
      <w:r w:rsidR="00B43F1D" w:rsidRPr="00997100">
        <w:rPr>
          <w:spacing w:val="-4"/>
          <w:lang w:val="fr-FR"/>
        </w:rPr>
        <w:t>’</w:t>
      </w:r>
      <w:r w:rsidRPr="00997100">
        <w:rPr>
          <w:spacing w:val="-4"/>
          <w:lang w:val="fr-FR"/>
        </w:rPr>
        <w:t>examen</w:t>
      </w:r>
      <w:r w:rsidR="009C3A48" w:rsidRPr="00997100">
        <w:rPr>
          <w:spacing w:val="-4"/>
          <w:lang w:val="fr-FR"/>
        </w:rPr>
        <w:t> </w:t>
      </w:r>
      <w:r w:rsidRPr="00997100">
        <w:rPr>
          <w:spacing w:val="-4"/>
          <w:lang w:val="fr-FR"/>
        </w:rPr>
        <w:t>DHS sur la base d</w:t>
      </w:r>
      <w:r w:rsidR="00B43F1D" w:rsidRPr="00997100">
        <w:rPr>
          <w:spacing w:val="-4"/>
          <w:lang w:val="fr-FR"/>
        </w:rPr>
        <w:t>’</w:t>
      </w:r>
      <w:r w:rsidRPr="00997100">
        <w:rPr>
          <w:spacing w:val="-4"/>
          <w:lang w:val="fr-FR"/>
        </w:rPr>
        <w:t xml:space="preserve">essais </w:t>
      </w:r>
      <w:r w:rsidR="003E4641" w:rsidRPr="003E4641">
        <w:rPr>
          <w:spacing w:val="-4"/>
          <w:u w:val="single"/>
          <w:lang w:val="fr-FR"/>
        </w:rPr>
        <w:t>hors</w:t>
      </w:r>
      <w:r w:rsidRPr="00997100">
        <w:rPr>
          <w:spacing w:val="-4"/>
          <w:lang w:val="fr-FR"/>
        </w:rPr>
        <w:t xml:space="preserve"> du territoire de votre pays ou de votre organisation effectués dans les locaux de l</w:t>
      </w:r>
      <w:r w:rsidR="00B43F1D" w:rsidRPr="00997100">
        <w:rPr>
          <w:spacing w:val="-4"/>
          <w:lang w:val="fr-FR"/>
        </w:rPr>
        <w:t>’</w:t>
      </w:r>
      <w:r w:rsidRPr="00997100">
        <w:rPr>
          <w:spacing w:val="-4"/>
          <w:lang w:val="fr-FR"/>
        </w:rPr>
        <w:t>obtenteur?</w:t>
      </w:r>
    </w:p>
    <w:p w:rsidR="00534BB7" w:rsidRPr="00997100" w:rsidRDefault="00534BB7" w:rsidP="00AF73C3">
      <w:pPr>
        <w:pStyle w:val="ListParagraph"/>
        <w:keepNext/>
        <w:numPr>
          <w:ilvl w:val="1"/>
          <w:numId w:val="7"/>
        </w:numPr>
        <w:ind w:left="1134" w:firstLine="0"/>
        <w:rPr>
          <w:spacing w:val="-4"/>
          <w:lang w:val="fr-FR"/>
        </w:rPr>
      </w:pPr>
      <w:r w:rsidRPr="00997100">
        <w:rPr>
          <w:spacing w:val="-4"/>
          <w:lang w:val="fr-FR"/>
        </w:rPr>
        <w:t>Oui, toujours</w:t>
      </w:r>
    </w:p>
    <w:p w:rsidR="00B43F1D" w:rsidRPr="00997100" w:rsidRDefault="00534BB7" w:rsidP="00AF73C3">
      <w:pPr>
        <w:pStyle w:val="ListParagraph"/>
        <w:keepNext/>
        <w:numPr>
          <w:ilvl w:val="1"/>
          <w:numId w:val="7"/>
        </w:numPr>
        <w:ind w:left="1134" w:firstLine="0"/>
        <w:jc w:val="both"/>
        <w:rPr>
          <w:spacing w:val="-4"/>
          <w:lang w:val="fr-FR"/>
        </w:rPr>
      </w:pPr>
      <w:r w:rsidRPr="00997100">
        <w:rPr>
          <w:spacing w:val="-4"/>
          <w:lang w:val="fr-FR"/>
        </w:rPr>
        <w:t>Oui, à certaines conditions [veuillez les énumérer]</w:t>
      </w:r>
    </w:p>
    <w:p w:rsidR="00534BB7" w:rsidRDefault="00534BB7" w:rsidP="00AF73C3">
      <w:pPr>
        <w:pStyle w:val="ListParagraph"/>
        <w:keepNext/>
        <w:numPr>
          <w:ilvl w:val="1"/>
          <w:numId w:val="7"/>
        </w:numPr>
        <w:ind w:left="1134" w:firstLine="0"/>
        <w:contextualSpacing w:val="0"/>
        <w:jc w:val="both"/>
        <w:rPr>
          <w:spacing w:val="-4"/>
          <w:lang w:val="fr-FR"/>
        </w:rPr>
      </w:pPr>
      <w:r w:rsidRPr="00997100">
        <w:rPr>
          <w:spacing w:val="-4"/>
          <w:lang w:val="fr-FR"/>
        </w:rPr>
        <w:t>Non [veuillez en indiquer les raisons]</w:t>
      </w:r>
    </w:p>
    <w:p w:rsidR="004F623D" w:rsidRPr="004F623D" w:rsidRDefault="004F623D" w:rsidP="004F623D">
      <w:pPr>
        <w:keepNext/>
        <w:ind w:left="1134"/>
        <w:rPr>
          <w:spacing w:val="-4"/>
          <w:lang w:val="fr-FR"/>
        </w:rPr>
      </w:pPr>
    </w:p>
    <w:p w:rsidR="00B43F1D" w:rsidRPr="00997100" w:rsidRDefault="004F623D" w:rsidP="00AF73C3">
      <w:pPr>
        <w:pStyle w:val="ListParagraph"/>
        <w:numPr>
          <w:ilvl w:val="0"/>
          <w:numId w:val="7"/>
        </w:numPr>
        <w:ind w:left="1134" w:hanging="567"/>
        <w:jc w:val="both"/>
        <w:rPr>
          <w:spacing w:val="-4"/>
          <w:lang w:val="fr-FR"/>
        </w:rPr>
      </w:pPr>
      <w:r>
        <w:rPr>
          <w:spacing w:val="-4"/>
          <w:lang w:val="fr-FR"/>
        </w:rPr>
        <w:t>Si vous avez répondu b ou c</w:t>
      </w:r>
      <w:r w:rsidR="00534BB7" w:rsidRPr="00997100">
        <w:rPr>
          <w:spacing w:val="-4"/>
          <w:lang w:val="fr-FR"/>
        </w:rPr>
        <w:t xml:space="preserve"> veuillez indiquer si les conditions ou la non</w:t>
      </w:r>
      <w:r w:rsidR="00B43F1D" w:rsidRPr="00997100">
        <w:rPr>
          <w:spacing w:val="-4"/>
          <w:lang w:val="fr-FR"/>
        </w:rPr>
        <w:t>-</w:t>
      </w:r>
      <w:r w:rsidR="00534BB7" w:rsidRPr="00997100">
        <w:rPr>
          <w:spacing w:val="-4"/>
          <w:lang w:val="fr-FR"/>
        </w:rPr>
        <w:t>acceptation est précisée dans</w:t>
      </w:r>
    </w:p>
    <w:p w:rsidR="00534BB7" w:rsidRPr="00997100" w:rsidRDefault="00534BB7" w:rsidP="00AF73C3">
      <w:pPr>
        <w:pStyle w:val="ListParagraph"/>
        <w:ind w:left="1134"/>
        <w:jc w:val="both"/>
        <w:rPr>
          <w:spacing w:val="-4"/>
          <w:lang w:val="fr-FR"/>
        </w:rPr>
      </w:pPr>
      <w:r w:rsidRPr="00997100">
        <w:rPr>
          <w:spacing w:val="-4"/>
          <w:lang w:val="fr-FR"/>
        </w:rPr>
        <w:t xml:space="preserve">a. </w:t>
      </w:r>
      <w:r w:rsidR="00AF73C3">
        <w:rPr>
          <w:spacing w:val="-4"/>
          <w:lang w:val="fr-FR"/>
        </w:rPr>
        <w:tab/>
      </w:r>
      <w:r w:rsidRPr="00997100">
        <w:rPr>
          <w:spacing w:val="-4"/>
          <w:lang w:val="fr-FR"/>
        </w:rPr>
        <w:t>une loi</w:t>
      </w:r>
    </w:p>
    <w:p w:rsidR="00B43F1D" w:rsidRPr="00997100" w:rsidRDefault="00534BB7" w:rsidP="00AF73C3">
      <w:pPr>
        <w:pStyle w:val="ListParagraph"/>
        <w:ind w:left="1134"/>
        <w:jc w:val="both"/>
        <w:rPr>
          <w:spacing w:val="-4"/>
          <w:lang w:val="fr-FR"/>
        </w:rPr>
      </w:pPr>
      <w:r w:rsidRPr="00997100">
        <w:rPr>
          <w:spacing w:val="-4"/>
          <w:lang w:val="fr-FR"/>
        </w:rPr>
        <w:t xml:space="preserve">b. </w:t>
      </w:r>
      <w:r w:rsidR="00AF73C3">
        <w:rPr>
          <w:spacing w:val="-4"/>
          <w:lang w:val="fr-FR"/>
        </w:rPr>
        <w:tab/>
      </w:r>
      <w:r w:rsidRPr="00997100">
        <w:rPr>
          <w:spacing w:val="-4"/>
          <w:lang w:val="fr-FR"/>
        </w:rPr>
        <w:t>un règlement</w:t>
      </w:r>
    </w:p>
    <w:p w:rsidR="00534BB7" w:rsidRPr="00997100" w:rsidRDefault="00534BB7" w:rsidP="00AF73C3">
      <w:pPr>
        <w:pStyle w:val="ListParagraph"/>
        <w:ind w:left="1134"/>
        <w:jc w:val="both"/>
        <w:rPr>
          <w:spacing w:val="-4"/>
          <w:lang w:val="fr-FR"/>
        </w:rPr>
      </w:pPr>
      <w:r w:rsidRPr="00997100">
        <w:rPr>
          <w:spacing w:val="-4"/>
          <w:lang w:val="fr-FR"/>
        </w:rPr>
        <w:t xml:space="preserve">c. </w:t>
      </w:r>
      <w:r w:rsidR="00AF73C3">
        <w:rPr>
          <w:spacing w:val="-4"/>
          <w:lang w:val="fr-FR"/>
        </w:rPr>
        <w:tab/>
      </w:r>
      <w:r w:rsidRPr="00997100">
        <w:rPr>
          <w:spacing w:val="-4"/>
          <w:lang w:val="fr-FR"/>
        </w:rPr>
        <w:t>des procédures administratives</w:t>
      </w:r>
    </w:p>
    <w:p w:rsidR="00534BB7" w:rsidRPr="00997100" w:rsidRDefault="00534BB7" w:rsidP="00AF73C3">
      <w:pPr>
        <w:pStyle w:val="ListParagraph"/>
        <w:ind w:left="1134"/>
        <w:jc w:val="both"/>
        <w:rPr>
          <w:spacing w:val="-4"/>
          <w:lang w:val="fr-FR"/>
        </w:rPr>
      </w:pPr>
      <w:r w:rsidRPr="00997100">
        <w:rPr>
          <w:spacing w:val="-4"/>
          <w:lang w:val="fr-FR"/>
        </w:rPr>
        <w:t xml:space="preserve">d. </w:t>
      </w:r>
      <w:r w:rsidR="00AF73C3">
        <w:rPr>
          <w:spacing w:val="-4"/>
          <w:lang w:val="fr-FR"/>
        </w:rPr>
        <w:tab/>
      </w:r>
      <w:r w:rsidRPr="00997100">
        <w:rPr>
          <w:spacing w:val="-4"/>
          <w:lang w:val="fr-FR"/>
        </w:rPr>
        <w:t>autre</w:t>
      </w:r>
    </w:p>
    <w:p w:rsidR="00534BB7" w:rsidRPr="00997100" w:rsidRDefault="00534BB7" w:rsidP="00AF73C3">
      <w:pPr>
        <w:pStyle w:val="ListParagraph"/>
        <w:ind w:left="1134"/>
        <w:contextualSpacing w:val="0"/>
        <w:jc w:val="both"/>
        <w:rPr>
          <w:spacing w:val="-4"/>
          <w:lang w:val="fr-FR"/>
        </w:rPr>
      </w:pPr>
      <w:r w:rsidRPr="00997100">
        <w:rPr>
          <w:lang w:val="fr-FR"/>
        </w:rPr>
        <w:t>[Observations]</w:t>
      </w:r>
    </w:p>
    <w:p w:rsidR="005278EE" w:rsidRPr="00997100" w:rsidRDefault="00534BB7" w:rsidP="00AF73C3">
      <w:pPr>
        <w:pStyle w:val="ListParagraph"/>
        <w:numPr>
          <w:ilvl w:val="0"/>
          <w:numId w:val="7"/>
        </w:numPr>
        <w:ind w:left="1134" w:hanging="567"/>
        <w:contextualSpacing w:val="0"/>
        <w:rPr>
          <w:spacing w:val="-4"/>
          <w:lang w:val="fr-FR"/>
        </w:rPr>
      </w:pPr>
      <w:r w:rsidRPr="00997100">
        <w:rPr>
          <w:spacing w:val="-4"/>
          <w:lang w:val="fr-FR"/>
        </w:rPr>
        <w:t>Votre pays ou votre organisation reprend</w:t>
      </w:r>
      <w:r w:rsidR="00B43F1D" w:rsidRPr="00997100">
        <w:rPr>
          <w:spacing w:val="-4"/>
          <w:lang w:val="fr-FR"/>
        </w:rPr>
        <w:t>-</w:t>
      </w:r>
      <w:r w:rsidRPr="00997100">
        <w:rPr>
          <w:spacing w:val="-4"/>
          <w:lang w:val="fr-FR"/>
        </w:rPr>
        <w:t>il les rapports d</w:t>
      </w:r>
      <w:r w:rsidR="00B43F1D" w:rsidRPr="00997100">
        <w:rPr>
          <w:spacing w:val="-4"/>
          <w:lang w:val="fr-FR"/>
        </w:rPr>
        <w:t>’</w:t>
      </w:r>
      <w:r w:rsidRPr="00997100">
        <w:rPr>
          <w:spacing w:val="-4"/>
          <w:lang w:val="fr-FR"/>
        </w:rPr>
        <w:t>examen</w:t>
      </w:r>
      <w:r w:rsidR="009C3A48" w:rsidRPr="00997100">
        <w:rPr>
          <w:spacing w:val="-4"/>
          <w:lang w:val="fr-FR"/>
        </w:rPr>
        <w:t> </w:t>
      </w:r>
      <w:r w:rsidRPr="00997100">
        <w:rPr>
          <w:spacing w:val="-4"/>
          <w:lang w:val="fr-FR"/>
        </w:rPr>
        <w:t xml:space="preserve">DHS lorsque les descriptions variétales ne correspondent pas aux caractères des </w:t>
      </w:r>
      <w:r w:rsidRPr="00997100">
        <w:rPr>
          <w:spacing w:val="-4"/>
          <w:u w:val="single"/>
          <w:lang w:val="fr-FR"/>
        </w:rPr>
        <w:t>principes directeurs d</w:t>
      </w:r>
      <w:r w:rsidR="00B43F1D" w:rsidRPr="00997100">
        <w:rPr>
          <w:spacing w:val="-4"/>
          <w:u w:val="single"/>
          <w:lang w:val="fr-FR"/>
        </w:rPr>
        <w:t>’</w:t>
      </w:r>
      <w:r w:rsidRPr="00997100">
        <w:rPr>
          <w:spacing w:val="-4"/>
          <w:u w:val="single"/>
          <w:lang w:val="fr-FR"/>
        </w:rPr>
        <w:t>examen de l</w:t>
      </w:r>
      <w:r w:rsidR="00B43F1D" w:rsidRPr="00997100">
        <w:rPr>
          <w:spacing w:val="-4"/>
          <w:u w:val="single"/>
          <w:lang w:val="fr-FR"/>
        </w:rPr>
        <w:t>’</w:t>
      </w:r>
      <w:r w:rsidRPr="00997100">
        <w:rPr>
          <w:spacing w:val="-4"/>
          <w:u w:val="single"/>
          <w:lang w:val="fr-FR"/>
        </w:rPr>
        <w:t>UPOV</w:t>
      </w:r>
      <w:r w:rsidR="00C83921" w:rsidRPr="00997100">
        <w:rPr>
          <w:lang w:val="fr-FR"/>
        </w:rPr>
        <w:t>?</w:t>
      </w:r>
      <w:r w:rsidRPr="00997100">
        <w:rPr>
          <w:lang w:val="fr-FR"/>
        </w:rPr>
        <w:t xml:space="preserve"> </w:t>
      </w:r>
      <w:r w:rsidR="009C3A48" w:rsidRPr="00997100">
        <w:rPr>
          <w:lang w:val="fr-FR"/>
        </w:rPr>
        <w:t xml:space="preserve"> </w:t>
      </w:r>
      <w:r w:rsidRPr="00997100">
        <w:rPr>
          <w:lang w:val="fr-FR"/>
        </w:rPr>
        <w:t>[oui</w:t>
      </w:r>
      <w:r w:rsidR="00372EA9" w:rsidRPr="00997100">
        <w:rPr>
          <w:lang w:val="fr-FR"/>
        </w:rPr>
        <w:t>/no</w:t>
      </w:r>
      <w:r w:rsidRPr="00997100">
        <w:rPr>
          <w:lang w:val="fr-FR"/>
        </w:rPr>
        <w:t>n</w:t>
      </w:r>
      <w:r w:rsidR="00372EA9" w:rsidRPr="00997100">
        <w:rPr>
          <w:lang w:val="fr-FR"/>
        </w:rPr>
        <w:t>] [</w:t>
      </w:r>
      <w:r w:rsidRPr="00997100">
        <w:rPr>
          <w:lang w:val="fr-FR"/>
        </w:rPr>
        <w:t>Observations</w:t>
      </w:r>
      <w:r w:rsidR="00372EA9" w:rsidRPr="00997100">
        <w:rPr>
          <w:lang w:val="fr-FR"/>
        </w:rPr>
        <w:t>]</w:t>
      </w:r>
    </w:p>
    <w:p w:rsidR="00534BB7" w:rsidRPr="00997100" w:rsidRDefault="00534BB7" w:rsidP="00AF73C3">
      <w:pPr>
        <w:pStyle w:val="ListParagraph"/>
        <w:numPr>
          <w:ilvl w:val="0"/>
          <w:numId w:val="7"/>
        </w:numPr>
        <w:ind w:left="1134" w:hanging="567"/>
        <w:contextualSpacing w:val="0"/>
        <w:rPr>
          <w:spacing w:val="-4"/>
          <w:lang w:val="fr-FR"/>
        </w:rPr>
      </w:pPr>
      <w:r w:rsidRPr="00997100">
        <w:rPr>
          <w:spacing w:val="-4"/>
          <w:lang w:val="fr-FR"/>
        </w:rPr>
        <w:t>Votre pays ou votre organisation reprend</w:t>
      </w:r>
      <w:r w:rsidR="00B43F1D" w:rsidRPr="00997100">
        <w:rPr>
          <w:spacing w:val="-4"/>
          <w:lang w:val="fr-FR"/>
        </w:rPr>
        <w:t>-</w:t>
      </w:r>
      <w:r w:rsidRPr="00997100">
        <w:rPr>
          <w:spacing w:val="-4"/>
          <w:lang w:val="fr-FR"/>
        </w:rPr>
        <w:t>il les rapports d</w:t>
      </w:r>
      <w:r w:rsidR="00B43F1D" w:rsidRPr="00997100">
        <w:rPr>
          <w:spacing w:val="-4"/>
          <w:lang w:val="fr-FR"/>
        </w:rPr>
        <w:t>’</w:t>
      </w:r>
      <w:r w:rsidRPr="00997100">
        <w:rPr>
          <w:spacing w:val="-4"/>
          <w:lang w:val="fr-FR"/>
        </w:rPr>
        <w:t>examen</w:t>
      </w:r>
      <w:r w:rsidR="009C3A48" w:rsidRPr="00997100">
        <w:rPr>
          <w:spacing w:val="-4"/>
          <w:lang w:val="fr-FR"/>
        </w:rPr>
        <w:t> </w:t>
      </w:r>
      <w:r w:rsidRPr="00997100">
        <w:rPr>
          <w:spacing w:val="-4"/>
          <w:lang w:val="fr-FR"/>
        </w:rPr>
        <w:t xml:space="preserve">DHS lorsque les descriptions variétales ne correspondent pas aux caractères des </w:t>
      </w:r>
      <w:r w:rsidRPr="00997100">
        <w:rPr>
          <w:spacing w:val="-4"/>
          <w:u w:val="single"/>
          <w:lang w:val="fr-FR"/>
        </w:rPr>
        <w:t>principes directeurs d</w:t>
      </w:r>
      <w:r w:rsidR="00B43F1D" w:rsidRPr="00997100">
        <w:rPr>
          <w:spacing w:val="-4"/>
          <w:u w:val="single"/>
          <w:lang w:val="fr-FR"/>
        </w:rPr>
        <w:t>’</w:t>
      </w:r>
      <w:r w:rsidRPr="00997100">
        <w:rPr>
          <w:spacing w:val="-4"/>
          <w:u w:val="single"/>
          <w:lang w:val="fr-FR"/>
        </w:rPr>
        <w:t xml:space="preserve">examen </w:t>
      </w:r>
      <w:r w:rsidR="003E4641">
        <w:rPr>
          <w:spacing w:val="-4"/>
          <w:u w:val="single"/>
          <w:lang w:val="fr-FR"/>
        </w:rPr>
        <w:t>du service</w:t>
      </w:r>
      <w:r w:rsidRPr="00997100">
        <w:rPr>
          <w:spacing w:val="-4"/>
          <w:u w:val="single"/>
          <w:lang w:val="fr-FR"/>
        </w:rPr>
        <w:t xml:space="preserve"> de votre pays ou de votre organisation</w:t>
      </w:r>
      <w:r w:rsidRPr="00997100">
        <w:rPr>
          <w:lang w:val="fr-FR"/>
        </w:rPr>
        <w:t xml:space="preserve">? </w:t>
      </w:r>
      <w:r w:rsidR="009C3A48" w:rsidRPr="00997100">
        <w:rPr>
          <w:lang w:val="fr-FR"/>
        </w:rPr>
        <w:t xml:space="preserve"> </w:t>
      </w:r>
      <w:r w:rsidRPr="00997100">
        <w:rPr>
          <w:lang w:val="fr-FR"/>
        </w:rPr>
        <w:t>[oui/non] [Observations]</w:t>
      </w:r>
    </w:p>
    <w:p w:rsidR="00B43F1D" w:rsidRPr="00997100" w:rsidRDefault="005F0AFB" w:rsidP="00AF73C3">
      <w:pPr>
        <w:pStyle w:val="ListParagraph"/>
        <w:keepNext/>
        <w:numPr>
          <w:ilvl w:val="0"/>
          <w:numId w:val="7"/>
        </w:numPr>
        <w:ind w:left="1134" w:hanging="567"/>
        <w:jc w:val="both"/>
        <w:rPr>
          <w:lang w:val="fr-FR"/>
        </w:rPr>
      </w:pPr>
      <w:r w:rsidRPr="00997100">
        <w:rPr>
          <w:spacing w:val="-4"/>
          <w:lang w:val="fr-FR"/>
        </w:rPr>
        <w:t xml:space="preserve">Votre pays ou votre organisation </w:t>
      </w:r>
      <w:r w:rsidR="004F623D" w:rsidRPr="00997100">
        <w:rPr>
          <w:spacing w:val="-4"/>
          <w:lang w:val="fr-FR"/>
        </w:rPr>
        <w:t xml:space="preserve">reprend-il les rapports d’examen DHS </w:t>
      </w:r>
      <w:r w:rsidRPr="00997100">
        <w:rPr>
          <w:spacing w:val="-4"/>
          <w:lang w:val="fr-FR"/>
        </w:rPr>
        <w:t>lorsque les demandeurs ne sont pas en mesure de remettre du matériel végétal pour des raisons phytosanitaires ou autres</w:t>
      </w:r>
      <w:r w:rsidR="00FC2178" w:rsidRPr="00997100">
        <w:rPr>
          <w:lang w:val="fr-FR"/>
        </w:rPr>
        <w:t>?</w:t>
      </w:r>
    </w:p>
    <w:p w:rsidR="005F0AFB" w:rsidRPr="00997100" w:rsidRDefault="005F0AFB" w:rsidP="00AF73C3">
      <w:pPr>
        <w:pStyle w:val="ListParagraph"/>
        <w:keepNext/>
        <w:numPr>
          <w:ilvl w:val="1"/>
          <w:numId w:val="7"/>
        </w:numPr>
        <w:ind w:left="1134" w:firstLine="0"/>
        <w:rPr>
          <w:spacing w:val="-4"/>
          <w:lang w:val="fr-FR"/>
        </w:rPr>
      </w:pPr>
      <w:r w:rsidRPr="00997100">
        <w:rPr>
          <w:spacing w:val="-4"/>
          <w:lang w:val="fr-FR"/>
        </w:rPr>
        <w:t>Oui, toujours</w:t>
      </w:r>
    </w:p>
    <w:p w:rsidR="00B43F1D" w:rsidRPr="00997100" w:rsidRDefault="005F0AFB" w:rsidP="00AF73C3">
      <w:pPr>
        <w:pStyle w:val="ListParagraph"/>
        <w:keepNext/>
        <w:numPr>
          <w:ilvl w:val="1"/>
          <w:numId w:val="7"/>
        </w:numPr>
        <w:ind w:left="1134" w:firstLine="0"/>
        <w:jc w:val="both"/>
        <w:rPr>
          <w:spacing w:val="-4"/>
          <w:lang w:val="fr-FR"/>
        </w:rPr>
      </w:pPr>
      <w:r w:rsidRPr="00997100">
        <w:rPr>
          <w:spacing w:val="-4"/>
          <w:lang w:val="fr-FR"/>
        </w:rPr>
        <w:t>Oui, à certaines conditions [veuillez les énumérer]</w:t>
      </w:r>
    </w:p>
    <w:p w:rsidR="005F0AFB" w:rsidRPr="00997100" w:rsidRDefault="005F0AFB" w:rsidP="00AF73C3">
      <w:pPr>
        <w:pStyle w:val="ListParagraph"/>
        <w:keepNext/>
        <w:numPr>
          <w:ilvl w:val="1"/>
          <w:numId w:val="7"/>
        </w:numPr>
        <w:ind w:left="1134" w:firstLine="0"/>
        <w:contextualSpacing w:val="0"/>
        <w:jc w:val="both"/>
        <w:rPr>
          <w:spacing w:val="-4"/>
          <w:lang w:val="fr-FR"/>
        </w:rPr>
      </w:pPr>
      <w:r w:rsidRPr="00997100">
        <w:rPr>
          <w:spacing w:val="-4"/>
          <w:lang w:val="fr-FR"/>
        </w:rPr>
        <w:t>Non [veuillez en indiquer les raisons]</w:t>
      </w:r>
    </w:p>
    <w:p w:rsidR="00B43F1D" w:rsidRPr="00997100" w:rsidRDefault="005F0AFB" w:rsidP="00AF73C3">
      <w:pPr>
        <w:pStyle w:val="ListParagraph"/>
        <w:numPr>
          <w:ilvl w:val="0"/>
          <w:numId w:val="7"/>
        </w:numPr>
        <w:ind w:left="1134" w:hanging="567"/>
        <w:jc w:val="both"/>
        <w:rPr>
          <w:spacing w:val="-4"/>
          <w:lang w:val="fr-FR"/>
        </w:rPr>
      </w:pPr>
      <w:r w:rsidRPr="00997100">
        <w:rPr>
          <w:spacing w:val="-4"/>
          <w:lang w:val="fr-FR"/>
        </w:rPr>
        <w:t xml:space="preserve">Si </w:t>
      </w:r>
      <w:r w:rsidR="004F623D">
        <w:rPr>
          <w:spacing w:val="-4"/>
          <w:lang w:val="fr-FR"/>
        </w:rPr>
        <w:t>vous avez répondu b ou c</w:t>
      </w:r>
      <w:r w:rsidRPr="00997100">
        <w:rPr>
          <w:spacing w:val="-4"/>
          <w:lang w:val="fr-FR"/>
        </w:rPr>
        <w:t xml:space="preserve"> veuillez indiquer si les conditions ou la non</w:t>
      </w:r>
      <w:r w:rsidR="00B43F1D" w:rsidRPr="00997100">
        <w:rPr>
          <w:spacing w:val="-4"/>
          <w:lang w:val="fr-FR"/>
        </w:rPr>
        <w:t>-</w:t>
      </w:r>
      <w:r w:rsidRPr="00997100">
        <w:rPr>
          <w:spacing w:val="-4"/>
          <w:lang w:val="fr-FR"/>
        </w:rPr>
        <w:t>acceptation est précisée dans</w:t>
      </w:r>
    </w:p>
    <w:p w:rsidR="005F0AFB" w:rsidRPr="00997100" w:rsidRDefault="005F0AFB" w:rsidP="00AF73C3">
      <w:pPr>
        <w:pStyle w:val="ListParagraph"/>
        <w:ind w:left="1134"/>
        <w:jc w:val="both"/>
        <w:rPr>
          <w:spacing w:val="-4"/>
          <w:lang w:val="fr-FR"/>
        </w:rPr>
      </w:pPr>
      <w:r w:rsidRPr="00997100">
        <w:rPr>
          <w:spacing w:val="-4"/>
          <w:lang w:val="fr-FR"/>
        </w:rPr>
        <w:t xml:space="preserve">a. </w:t>
      </w:r>
      <w:r w:rsidR="00AF73C3">
        <w:rPr>
          <w:spacing w:val="-4"/>
          <w:lang w:val="fr-FR"/>
        </w:rPr>
        <w:tab/>
      </w:r>
      <w:r w:rsidRPr="00997100">
        <w:rPr>
          <w:spacing w:val="-4"/>
          <w:lang w:val="fr-FR"/>
        </w:rPr>
        <w:t>une loi</w:t>
      </w:r>
    </w:p>
    <w:p w:rsidR="00B43F1D" w:rsidRPr="00997100" w:rsidRDefault="005F0AFB" w:rsidP="00AF73C3">
      <w:pPr>
        <w:pStyle w:val="ListParagraph"/>
        <w:ind w:left="1134"/>
        <w:jc w:val="both"/>
        <w:rPr>
          <w:spacing w:val="-4"/>
          <w:lang w:val="fr-FR"/>
        </w:rPr>
      </w:pPr>
      <w:r w:rsidRPr="00997100">
        <w:rPr>
          <w:spacing w:val="-4"/>
          <w:lang w:val="fr-FR"/>
        </w:rPr>
        <w:t xml:space="preserve">b. </w:t>
      </w:r>
      <w:r w:rsidR="00AF73C3">
        <w:rPr>
          <w:spacing w:val="-4"/>
          <w:lang w:val="fr-FR"/>
        </w:rPr>
        <w:tab/>
      </w:r>
      <w:r w:rsidRPr="00997100">
        <w:rPr>
          <w:spacing w:val="-4"/>
          <w:lang w:val="fr-FR"/>
        </w:rPr>
        <w:t>un règlement</w:t>
      </w:r>
    </w:p>
    <w:p w:rsidR="005F0AFB" w:rsidRPr="00997100" w:rsidRDefault="005F0AFB" w:rsidP="00AF73C3">
      <w:pPr>
        <w:pStyle w:val="ListParagraph"/>
        <w:ind w:left="1134"/>
        <w:jc w:val="both"/>
        <w:rPr>
          <w:spacing w:val="-4"/>
          <w:lang w:val="fr-FR"/>
        </w:rPr>
      </w:pPr>
      <w:r w:rsidRPr="00997100">
        <w:rPr>
          <w:spacing w:val="-4"/>
          <w:lang w:val="fr-FR"/>
        </w:rPr>
        <w:t xml:space="preserve">c. </w:t>
      </w:r>
      <w:r w:rsidR="00AF73C3">
        <w:rPr>
          <w:spacing w:val="-4"/>
          <w:lang w:val="fr-FR"/>
        </w:rPr>
        <w:tab/>
      </w:r>
      <w:r w:rsidRPr="00997100">
        <w:rPr>
          <w:spacing w:val="-4"/>
          <w:lang w:val="fr-FR"/>
        </w:rPr>
        <w:t>des procédures administratives</w:t>
      </w:r>
    </w:p>
    <w:p w:rsidR="005F0AFB" w:rsidRPr="00997100" w:rsidRDefault="005F0AFB" w:rsidP="00AF73C3">
      <w:pPr>
        <w:pStyle w:val="ListParagraph"/>
        <w:ind w:left="1134"/>
        <w:jc w:val="both"/>
        <w:rPr>
          <w:spacing w:val="-4"/>
          <w:lang w:val="fr-FR"/>
        </w:rPr>
      </w:pPr>
      <w:r w:rsidRPr="00997100">
        <w:rPr>
          <w:spacing w:val="-4"/>
          <w:lang w:val="fr-FR"/>
        </w:rPr>
        <w:t>d.</w:t>
      </w:r>
      <w:r w:rsidR="009C3A48" w:rsidRPr="00997100">
        <w:rPr>
          <w:spacing w:val="-4"/>
          <w:lang w:val="fr-FR"/>
        </w:rPr>
        <w:t xml:space="preserve"> </w:t>
      </w:r>
      <w:r w:rsidR="00AF73C3">
        <w:rPr>
          <w:spacing w:val="-4"/>
          <w:lang w:val="fr-FR"/>
        </w:rPr>
        <w:tab/>
      </w:r>
      <w:r w:rsidRPr="00997100">
        <w:rPr>
          <w:spacing w:val="-4"/>
          <w:lang w:val="fr-FR"/>
        </w:rPr>
        <w:t>autre</w:t>
      </w:r>
    </w:p>
    <w:p w:rsidR="005F0AFB" w:rsidRPr="00997100" w:rsidRDefault="005F0AFB" w:rsidP="00AF73C3">
      <w:pPr>
        <w:pStyle w:val="ListParagraph"/>
        <w:ind w:left="1134"/>
        <w:jc w:val="both"/>
        <w:rPr>
          <w:spacing w:val="-4"/>
          <w:lang w:val="fr-FR"/>
        </w:rPr>
      </w:pPr>
      <w:r w:rsidRPr="00997100">
        <w:rPr>
          <w:lang w:val="fr-FR"/>
        </w:rPr>
        <w:t>[Observations]</w:t>
      </w:r>
    </w:p>
    <w:p w:rsidR="005278EE" w:rsidRPr="00997100" w:rsidRDefault="00FC2178" w:rsidP="00AF73C3">
      <w:pPr>
        <w:pStyle w:val="ListParagraph"/>
        <w:ind w:left="1134"/>
        <w:contextualSpacing w:val="0"/>
        <w:jc w:val="both"/>
        <w:rPr>
          <w:spacing w:val="-4"/>
          <w:lang w:val="fr-FR"/>
        </w:rPr>
      </w:pPr>
      <w:r w:rsidRPr="00997100">
        <w:rPr>
          <w:spacing w:val="-4"/>
          <w:lang w:val="fr-FR"/>
        </w:rPr>
        <w:t>[</w:t>
      </w:r>
      <w:r w:rsidR="005F0AFB" w:rsidRPr="00997100">
        <w:rPr>
          <w:spacing w:val="-4"/>
          <w:lang w:val="fr-FR"/>
        </w:rPr>
        <w:t>Veuillez fournir des informations sur les autres raisons</w:t>
      </w:r>
      <w:r w:rsidRPr="00997100">
        <w:rPr>
          <w:spacing w:val="-4"/>
          <w:lang w:val="fr-FR"/>
        </w:rPr>
        <w:t xml:space="preserve">, </w:t>
      </w:r>
      <w:r w:rsidR="005F0AFB" w:rsidRPr="00997100">
        <w:rPr>
          <w:spacing w:val="-4"/>
          <w:lang w:val="fr-FR"/>
        </w:rPr>
        <w:t>le cas échéant</w:t>
      </w:r>
      <w:r w:rsidRPr="00997100">
        <w:rPr>
          <w:spacing w:val="-4"/>
          <w:lang w:val="fr-FR"/>
        </w:rPr>
        <w:t>]</w:t>
      </w:r>
    </w:p>
    <w:p w:rsidR="00AF73C3" w:rsidRDefault="00AF73C3" w:rsidP="003F09A7">
      <w:pPr>
        <w:pStyle w:val="Heading2"/>
        <w:rPr>
          <w:lang w:val="fr-FR"/>
        </w:rPr>
      </w:pPr>
    </w:p>
    <w:p w:rsidR="00AF73C3" w:rsidRDefault="00AF73C3" w:rsidP="003F09A7">
      <w:pPr>
        <w:pStyle w:val="Heading2"/>
        <w:rPr>
          <w:lang w:val="fr-FR"/>
        </w:rPr>
      </w:pPr>
    </w:p>
    <w:p w:rsidR="005278EE" w:rsidRPr="00997100" w:rsidRDefault="005F0AFB" w:rsidP="003F09A7">
      <w:pPr>
        <w:pStyle w:val="Heading2"/>
        <w:rPr>
          <w:lang w:val="fr-FR"/>
        </w:rPr>
      </w:pPr>
      <w:r w:rsidRPr="00997100">
        <w:rPr>
          <w:lang w:val="fr-FR"/>
        </w:rPr>
        <w:t>D</w:t>
      </w:r>
      <w:r w:rsidR="003F09A7" w:rsidRPr="00997100">
        <w:rPr>
          <w:lang w:val="fr-FR"/>
        </w:rPr>
        <w:t>emander aux organisations d</w:t>
      </w:r>
      <w:r w:rsidR="00B43F1D" w:rsidRPr="00997100">
        <w:rPr>
          <w:lang w:val="fr-FR"/>
        </w:rPr>
        <w:t>’</w:t>
      </w:r>
      <w:r w:rsidR="003F09A7" w:rsidRPr="00997100">
        <w:rPr>
          <w:lang w:val="fr-FR"/>
        </w:rPr>
        <w:t>obtenteurs d</w:t>
      </w:r>
      <w:r w:rsidR="00B43F1D" w:rsidRPr="00997100">
        <w:rPr>
          <w:lang w:val="fr-FR"/>
        </w:rPr>
        <w:t>’</w:t>
      </w:r>
      <w:r w:rsidR="003F09A7" w:rsidRPr="00997100">
        <w:rPr>
          <w:lang w:val="fr-FR"/>
        </w:rPr>
        <w:t>apporter des précisions sur les difficultés que pose la volonté des obtenteurs d</w:t>
      </w:r>
      <w:r w:rsidR="00B43F1D" w:rsidRPr="00997100">
        <w:rPr>
          <w:lang w:val="fr-FR"/>
        </w:rPr>
        <w:t>’</w:t>
      </w:r>
      <w:r w:rsidR="003F09A7" w:rsidRPr="00997100">
        <w:rPr>
          <w:lang w:val="fr-FR"/>
        </w:rPr>
        <w:t>utiliser, ou de ne pas utiliser, les rapports d</w:t>
      </w:r>
      <w:r w:rsidR="00B43F1D" w:rsidRPr="00997100">
        <w:rPr>
          <w:lang w:val="fr-FR"/>
        </w:rPr>
        <w:t>’</w:t>
      </w:r>
      <w:r w:rsidR="003F09A7" w:rsidRPr="00997100">
        <w:rPr>
          <w:lang w:val="fr-FR"/>
        </w:rPr>
        <w:t>examen DHS existants.</w:t>
      </w:r>
    </w:p>
    <w:p w:rsidR="005278EE" w:rsidRPr="00997100" w:rsidRDefault="005278EE" w:rsidP="00D7270F">
      <w:pPr>
        <w:rPr>
          <w:lang w:val="fr-FR"/>
        </w:rPr>
      </w:pPr>
    </w:p>
    <w:p w:rsidR="00B43F1D" w:rsidRPr="00997100" w:rsidRDefault="00D7270F" w:rsidP="00D7270F">
      <w:pPr>
        <w:tabs>
          <w:tab w:val="left" w:pos="567"/>
        </w:tabs>
        <w:rPr>
          <w:spacing w:val="-4"/>
          <w:lang w:val="fr-FR"/>
        </w:rPr>
      </w:pPr>
      <w:r w:rsidRPr="00997100">
        <w:rPr>
          <w:spacing w:val="-4"/>
          <w:lang w:val="fr-FR"/>
        </w:rPr>
        <w:fldChar w:fldCharType="begin"/>
      </w:r>
      <w:r w:rsidRPr="00997100">
        <w:rPr>
          <w:spacing w:val="-4"/>
          <w:lang w:val="fr-FR"/>
        </w:rPr>
        <w:instrText xml:space="preserve"> AUTONUM  </w:instrText>
      </w:r>
      <w:r w:rsidRPr="00997100">
        <w:rPr>
          <w:spacing w:val="-4"/>
          <w:lang w:val="fr-FR"/>
        </w:rPr>
        <w:fldChar w:fldCharType="end"/>
      </w:r>
      <w:r w:rsidRPr="00997100">
        <w:rPr>
          <w:spacing w:val="-4"/>
          <w:lang w:val="fr-FR"/>
        </w:rPr>
        <w:tab/>
      </w:r>
      <w:r w:rsidR="0078575E" w:rsidRPr="00997100">
        <w:rPr>
          <w:spacing w:val="-4"/>
          <w:lang w:val="fr-FR"/>
        </w:rPr>
        <w:t>Avant de proposer des mesures pour surmonter l</w:t>
      </w:r>
      <w:r w:rsidR="00B43F1D" w:rsidRPr="00997100">
        <w:rPr>
          <w:spacing w:val="-4"/>
          <w:lang w:val="fr-FR"/>
        </w:rPr>
        <w:t>’</w:t>
      </w:r>
      <w:r w:rsidR="0078575E" w:rsidRPr="00997100">
        <w:rPr>
          <w:spacing w:val="-4"/>
          <w:lang w:val="fr-FR"/>
        </w:rPr>
        <w:t>obstacle politique ou juridique</w:t>
      </w:r>
      <w:r w:rsidR="008C34BA" w:rsidRPr="00997100">
        <w:rPr>
          <w:spacing w:val="-4"/>
          <w:lang w:val="fr-FR"/>
        </w:rPr>
        <w:t> </w:t>
      </w:r>
      <w:r w:rsidR="0078575E" w:rsidRPr="00997100">
        <w:rPr>
          <w:spacing w:val="-4"/>
          <w:lang w:val="fr-FR"/>
        </w:rPr>
        <w:t xml:space="preserve">iv) </w:t>
      </w:r>
      <w:r w:rsidR="00B43F1D" w:rsidRPr="00997100">
        <w:rPr>
          <w:spacing w:val="-4"/>
          <w:lang w:val="fr-FR"/>
        </w:rPr>
        <w:t>“v</w:t>
      </w:r>
      <w:r w:rsidR="0078575E" w:rsidRPr="00997100">
        <w:rPr>
          <w:spacing w:val="-4"/>
          <w:lang w:val="fr-FR"/>
        </w:rPr>
        <w:t>olonté (ou non) des obtenteurs d</w:t>
      </w:r>
      <w:r w:rsidR="00B43F1D" w:rsidRPr="00997100">
        <w:rPr>
          <w:spacing w:val="-4"/>
          <w:lang w:val="fr-FR"/>
        </w:rPr>
        <w:t>’</w:t>
      </w:r>
      <w:r w:rsidR="0078575E" w:rsidRPr="00997100">
        <w:rPr>
          <w:spacing w:val="-4"/>
          <w:lang w:val="fr-FR"/>
        </w:rPr>
        <w:t>utiliser les rapports d</w:t>
      </w:r>
      <w:r w:rsidR="00B43F1D" w:rsidRPr="00997100">
        <w:rPr>
          <w:spacing w:val="-4"/>
          <w:lang w:val="fr-FR"/>
        </w:rPr>
        <w:t>’</w:t>
      </w:r>
      <w:r w:rsidR="0078575E" w:rsidRPr="00997100">
        <w:rPr>
          <w:spacing w:val="-4"/>
          <w:lang w:val="fr-FR"/>
        </w:rPr>
        <w:t>examen</w:t>
      </w:r>
      <w:r w:rsidR="009C3A48" w:rsidRPr="00997100">
        <w:rPr>
          <w:spacing w:val="-4"/>
          <w:lang w:val="fr-FR"/>
        </w:rPr>
        <w:t> </w:t>
      </w:r>
      <w:r w:rsidR="0078575E" w:rsidRPr="00997100">
        <w:rPr>
          <w:spacing w:val="-4"/>
          <w:lang w:val="fr-FR"/>
        </w:rPr>
        <w:t>DHS existants”, il serait utile de clarifier les questions qui se posent avec les organisations d</w:t>
      </w:r>
      <w:r w:rsidR="00B43F1D" w:rsidRPr="00997100">
        <w:rPr>
          <w:spacing w:val="-4"/>
          <w:lang w:val="fr-FR"/>
        </w:rPr>
        <w:t>’</w:t>
      </w:r>
      <w:r w:rsidR="0078575E" w:rsidRPr="00997100">
        <w:rPr>
          <w:spacing w:val="-4"/>
          <w:lang w:val="fr-FR"/>
        </w:rPr>
        <w:t>obtenteurs</w:t>
      </w:r>
      <w:r w:rsidRPr="00997100">
        <w:rPr>
          <w:spacing w:val="-4"/>
          <w:lang w:val="fr-FR"/>
        </w:rPr>
        <w:t>.</w:t>
      </w:r>
    </w:p>
    <w:p w:rsidR="005278EE" w:rsidRPr="00997100" w:rsidRDefault="005278EE" w:rsidP="00D7270F">
      <w:pPr>
        <w:tabs>
          <w:tab w:val="left" w:pos="567"/>
        </w:tabs>
        <w:rPr>
          <w:spacing w:val="-4"/>
          <w:lang w:val="fr-FR"/>
        </w:rPr>
      </w:pPr>
    </w:p>
    <w:p w:rsidR="005278EE" w:rsidRPr="00997100" w:rsidRDefault="007C7BDD" w:rsidP="003C1298">
      <w:pPr>
        <w:rPr>
          <w:lang w:val="fr-FR"/>
        </w:rPr>
      </w:pPr>
      <w:r w:rsidRPr="00470FF3">
        <w:rPr>
          <w:lang w:val="fr-FR"/>
        </w:rPr>
        <w:fldChar w:fldCharType="begin"/>
      </w:r>
      <w:r w:rsidRPr="00470FF3">
        <w:rPr>
          <w:lang w:val="fr-FR"/>
        </w:rPr>
        <w:instrText xml:space="preserve"> AUTONUM  </w:instrText>
      </w:r>
      <w:r w:rsidRPr="00470FF3">
        <w:rPr>
          <w:lang w:val="fr-FR"/>
        </w:rPr>
        <w:fldChar w:fldCharType="end"/>
      </w:r>
      <w:r w:rsidRPr="00470FF3">
        <w:rPr>
          <w:lang w:val="fr-FR"/>
        </w:rPr>
        <w:tab/>
      </w:r>
      <w:r w:rsidR="008653F0" w:rsidRPr="00470FF3">
        <w:rPr>
          <w:lang w:val="fr-FR"/>
        </w:rPr>
        <w:t>Le 2</w:t>
      </w:r>
      <w:r w:rsidR="00B43F1D" w:rsidRPr="00470FF3">
        <w:rPr>
          <w:lang w:val="fr-FR"/>
        </w:rPr>
        <w:t>6 juillet 20</w:t>
      </w:r>
      <w:r w:rsidR="008653F0" w:rsidRPr="00470FF3">
        <w:rPr>
          <w:lang w:val="fr-FR"/>
        </w:rPr>
        <w:t>22, le Bureau de l</w:t>
      </w:r>
      <w:r w:rsidR="00B43F1D" w:rsidRPr="00470FF3">
        <w:rPr>
          <w:lang w:val="fr-FR"/>
        </w:rPr>
        <w:t>’</w:t>
      </w:r>
      <w:r w:rsidR="008653F0" w:rsidRPr="00470FF3">
        <w:rPr>
          <w:lang w:val="fr-FR"/>
        </w:rPr>
        <w:t>Union a diffusé la circulaire</w:t>
      </w:r>
      <w:r w:rsidR="008C34BA" w:rsidRPr="00470FF3">
        <w:rPr>
          <w:lang w:val="fr-FR"/>
        </w:rPr>
        <w:t> </w:t>
      </w:r>
      <w:r w:rsidR="007E7021" w:rsidRPr="00470FF3">
        <w:rPr>
          <w:lang w:val="fr-FR"/>
        </w:rPr>
        <w:t>E</w:t>
      </w:r>
      <w:r w:rsidR="00B43F1D" w:rsidRPr="00470FF3">
        <w:rPr>
          <w:lang w:val="fr-FR"/>
        </w:rPr>
        <w:t>-</w:t>
      </w:r>
      <w:r w:rsidR="007E7021" w:rsidRPr="00470FF3">
        <w:rPr>
          <w:lang w:val="fr-FR"/>
        </w:rPr>
        <w:t xml:space="preserve">22/104 </w:t>
      </w:r>
      <w:r w:rsidR="008653F0" w:rsidRPr="00470FF3">
        <w:rPr>
          <w:lang w:val="fr-FR"/>
        </w:rPr>
        <w:t>invitant les organisations d</w:t>
      </w:r>
      <w:r w:rsidR="00B43F1D" w:rsidRPr="00470FF3">
        <w:rPr>
          <w:lang w:val="fr-FR"/>
        </w:rPr>
        <w:t>’</w:t>
      </w:r>
      <w:r w:rsidR="008653F0" w:rsidRPr="00470FF3">
        <w:rPr>
          <w:lang w:val="fr-FR"/>
        </w:rPr>
        <w:t xml:space="preserve">obtenteurs à fournir des informations sur les </w:t>
      </w:r>
      <w:r w:rsidR="0087496B" w:rsidRPr="00470FF3">
        <w:rPr>
          <w:lang w:val="fr-FR"/>
        </w:rPr>
        <w:t>cas de figure</w:t>
      </w:r>
      <w:r w:rsidR="008653F0" w:rsidRPr="00470FF3">
        <w:rPr>
          <w:lang w:val="fr-FR"/>
        </w:rPr>
        <w:t xml:space="preserve"> dans lesquels les obtenteurs qui choisissent de conduire un nouvel examen</w:t>
      </w:r>
      <w:r w:rsidR="009C3A48" w:rsidRPr="00470FF3">
        <w:rPr>
          <w:lang w:val="fr-FR"/>
        </w:rPr>
        <w:t> </w:t>
      </w:r>
      <w:r w:rsidR="008653F0" w:rsidRPr="00470FF3">
        <w:rPr>
          <w:lang w:val="fr-FR"/>
        </w:rPr>
        <w:t>DHS plutôt que de reprendre les rapports d</w:t>
      </w:r>
      <w:r w:rsidR="00B43F1D" w:rsidRPr="00470FF3">
        <w:rPr>
          <w:lang w:val="fr-FR"/>
        </w:rPr>
        <w:t>’</w:t>
      </w:r>
      <w:r w:rsidR="008653F0" w:rsidRPr="00470FF3">
        <w:rPr>
          <w:lang w:val="fr-FR"/>
        </w:rPr>
        <w:t xml:space="preserve">examen existants, ainsi que sur les </w:t>
      </w:r>
      <w:r w:rsidR="0087496B" w:rsidRPr="00470FF3">
        <w:rPr>
          <w:lang w:val="fr-FR"/>
        </w:rPr>
        <w:t>cas de figure</w:t>
      </w:r>
      <w:r w:rsidR="008653F0" w:rsidRPr="00470FF3">
        <w:rPr>
          <w:lang w:val="fr-FR"/>
        </w:rPr>
        <w:t xml:space="preserve"> dans lesquels ils préféreraient reprendre les rapports existants</w:t>
      </w:r>
      <w:r w:rsidRPr="00470FF3">
        <w:rPr>
          <w:lang w:val="fr-FR"/>
        </w:rPr>
        <w:t xml:space="preserve"> (</w:t>
      </w:r>
      <w:r w:rsidR="008653F0" w:rsidRPr="00470FF3">
        <w:rPr>
          <w:lang w:val="fr-FR"/>
        </w:rPr>
        <w:t>plutôt que de procéder à un nouvel examen</w:t>
      </w:r>
      <w:r w:rsidRPr="00470FF3">
        <w:rPr>
          <w:lang w:val="fr-FR"/>
        </w:rPr>
        <w:t xml:space="preserve">).  </w:t>
      </w:r>
      <w:r w:rsidR="008653F0" w:rsidRPr="00470FF3">
        <w:rPr>
          <w:lang w:val="fr-FR"/>
        </w:rPr>
        <w:t>Les réponses à la circulaire</w:t>
      </w:r>
      <w:r w:rsidR="008C34BA" w:rsidRPr="00470FF3">
        <w:rPr>
          <w:lang w:val="fr-FR"/>
        </w:rPr>
        <w:t> </w:t>
      </w:r>
      <w:r w:rsidR="007E7021" w:rsidRPr="00470FF3">
        <w:rPr>
          <w:lang w:val="fr-FR"/>
        </w:rPr>
        <w:t>E</w:t>
      </w:r>
      <w:r w:rsidR="00B43F1D" w:rsidRPr="00470FF3">
        <w:rPr>
          <w:lang w:val="fr-FR"/>
        </w:rPr>
        <w:t>-</w:t>
      </w:r>
      <w:r w:rsidR="007E7021" w:rsidRPr="00470FF3">
        <w:rPr>
          <w:lang w:val="fr-FR"/>
        </w:rPr>
        <w:t xml:space="preserve">22/104 </w:t>
      </w:r>
      <w:r w:rsidR="008653F0" w:rsidRPr="00470FF3">
        <w:rPr>
          <w:lang w:val="fr-FR"/>
        </w:rPr>
        <w:t>seront présentées</w:t>
      </w:r>
      <w:r w:rsidR="00B43F1D" w:rsidRPr="00470FF3">
        <w:rPr>
          <w:lang w:val="fr-FR"/>
        </w:rPr>
        <w:t xml:space="preserve"> au CAJ</w:t>
      </w:r>
      <w:r w:rsidR="008653F0" w:rsidRPr="00470FF3">
        <w:rPr>
          <w:lang w:val="fr-FR"/>
        </w:rPr>
        <w:t>, à sa soixante</w:t>
      </w:r>
      <w:r w:rsidR="00B43F1D" w:rsidRPr="00470FF3">
        <w:rPr>
          <w:lang w:val="fr-FR"/>
        </w:rPr>
        <w:t>-</w:t>
      </w:r>
      <w:r w:rsidR="008653F0" w:rsidRPr="00470FF3">
        <w:rPr>
          <w:lang w:val="fr-FR"/>
        </w:rPr>
        <w:t>dix</w:t>
      </w:r>
      <w:r w:rsidR="00B43F1D" w:rsidRPr="00470FF3">
        <w:rPr>
          <w:lang w:val="fr-FR"/>
        </w:rPr>
        <w:t>-</w:t>
      </w:r>
      <w:r w:rsidR="008653F0" w:rsidRPr="00470FF3">
        <w:rPr>
          <w:lang w:val="fr-FR"/>
        </w:rPr>
        <w:t>neuv</w:t>
      </w:r>
      <w:r w:rsidR="00B43F1D" w:rsidRPr="00470FF3">
        <w:rPr>
          <w:lang w:val="fr-FR"/>
        </w:rPr>
        <w:t>ième session</w:t>
      </w:r>
      <w:r w:rsidRPr="00470FF3">
        <w:rPr>
          <w:lang w:val="fr-FR"/>
        </w:rPr>
        <w:t>.</w:t>
      </w:r>
    </w:p>
    <w:p w:rsidR="005278EE" w:rsidRDefault="005278EE" w:rsidP="00D7270F">
      <w:pPr>
        <w:tabs>
          <w:tab w:val="left" w:pos="567"/>
        </w:tabs>
        <w:rPr>
          <w:spacing w:val="-4"/>
          <w:lang w:val="fr-FR"/>
        </w:rPr>
      </w:pPr>
    </w:p>
    <w:p w:rsidR="00131DAA" w:rsidRPr="00997100" w:rsidRDefault="00131DAA" w:rsidP="00D7270F">
      <w:pPr>
        <w:tabs>
          <w:tab w:val="left" w:pos="567"/>
        </w:tabs>
        <w:rPr>
          <w:spacing w:val="-4"/>
          <w:lang w:val="fr-FR"/>
        </w:rPr>
      </w:pPr>
    </w:p>
    <w:p w:rsidR="005278EE" w:rsidRPr="00997100" w:rsidRDefault="00B43F1D" w:rsidP="00D7270F">
      <w:pPr>
        <w:pStyle w:val="Heading2"/>
        <w:rPr>
          <w:spacing w:val="-4"/>
          <w:lang w:val="fr-FR"/>
        </w:rPr>
      </w:pPr>
      <w:r w:rsidRPr="00997100">
        <w:rPr>
          <w:lang w:val="fr-FR"/>
        </w:rPr>
        <w:lastRenderedPageBreak/>
        <w:t>“N</w:t>
      </w:r>
      <w:r w:rsidR="00FE63AE" w:rsidRPr="00997100">
        <w:rPr>
          <w:lang w:val="fr-FR"/>
        </w:rPr>
        <w:t>otes explicatives” sur l</w:t>
      </w:r>
      <w:r w:rsidRPr="00997100">
        <w:rPr>
          <w:lang w:val="fr-FR"/>
        </w:rPr>
        <w:t>’article 1</w:t>
      </w:r>
      <w:r w:rsidR="00FE63AE" w:rsidRPr="00997100">
        <w:rPr>
          <w:lang w:val="fr-FR"/>
        </w:rPr>
        <w:t xml:space="preserve">2 de la </w:t>
      </w:r>
      <w:r w:rsidRPr="00997100">
        <w:rPr>
          <w:lang w:val="fr-FR"/>
        </w:rPr>
        <w:t>Convention UPOV</w:t>
      </w:r>
      <w:r w:rsidR="00FE63AE" w:rsidRPr="00997100">
        <w:rPr>
          <w:lang w:val="fr-FR"/>
        </w:rPr>
        <w:t xml:space="preserve"> (</w:t>
      </w:r>
      <w:r w:rsidRPr="00997100">
        <w:rPr>
          <w:lang w:val="fr-FR"/>
        </w:rPr>
        <w:t>“E</w:t>
      </w:r>
      <w:r w:rsidR="00FE63AE" w:rsidRPr="00997100">
        <w:rPr>
          <w:lang w:val="fr-FR"/>
        </w:rPr>
        <w:t>xamen de la demande”)</w:t>
      </w:r>
    </w:p>
    <w:p w:rsidR="005278EE" w:rsidRPr="00997100" w:rsidRDefault="005278EE" w:rsidP="00131DAA">
      <w:pPr>
        <w:keepNext/>
        <w:keepLines/>
        <w:tabs>
          <w:tab w:val="left" w:pos="567"/>
        </w:tabs>
        <w:rPr>
          <w:spacing w:val="-4"/>
          <w:lang w:val="fr-FR"/>
        </w:rPr>
      </w:pPr>
    </w:p>
    <w:p w:rsidR="005278EE" w:rsidRPr="00997100" w:rsidRDefault="00C83921" w:rsidP="00131DAA">
      <w:pPr>
        <w:keepNext/>
        <w:keepLines/>
        <w:tabs>
          <w:tab w:val="left" w:pos="567"/>
        </w:tabs>
        <w:rPr>
          <w:lang w:val="fr-FR"/>
        </w:rPr>
      </w:pPr>
      <w:r w:rsidRPr="00997100">
        <w:rPr>
          <w:spacing w:val="-4"/>
          <w:lang w:val="fr-FR"/>
        </w:rPr>
        <w:fldChar w:fldCharType="begin"/>
      </w:r>
      <w:r w:rsidRPr="00997100">
        <w:rPr>
          <w:spacing w:val="-4"/>
          <w:lang w:val="fr-FR"/>
        </w:rPr>
        <w:instrText xml:space="preserve"> AUTONUM  </w:instrText>
      </w:r>
      <w:r w:rsidRPr="00997100">
        <w:rPr>
          <w:spacing w:val="-4"/>
          <w:lang w:val="fr-FR"/>
        </w:rPr>
        <w:fldChar w:fldCharType="end"/>
      </w:r>
      <w:r w:rsidRPr="00997100">
        <w:rPr>
          <w:spacing w:val="-4"/>
          <w:lang w:val="fr-FR"/>
        </w:rPr>
        <w:tab/>
      </w:r>
      <w:r w:rsidR="0087496B" w:rsidRPr="00997100">
        <w:rPr>
          <w:spacing w:val="-4"/>
          <w:lang w:val="fr-FR"/>
        </w:rPr>
        <w:t>L</w:t>
      </w:r>
      <w:r w:rsidR="00B43F1D" w:rsidRPr="00997100">
        <w:rPr>
          <w:spacing w:val="-4"/>
          <w:lang w:val="fr-FR"/>
        </w:rPr>
        <w:t>’</w:t>
      </w:r>
      <w:r w:rsidR="00497EC4" w:rsidRPr="00997100">
        <w:rPr>
          <w:spacing w:val="-4"/>
          <w:lang w:val="fr-FR"/>
        </w:rPr>
        <w:t>obje</w:t>
      </w:r>
      <w:r w:rsidR="0087496B" w:rsidRPr="00997100">
        <w:rPr>
          <w:spacing w:val="-4"/>
          <w:lang w:val="fr-FR"/>
        </w:rPr>
        <w:t>t des notes explicatives sur l</w:t>
      </w:r>
      <w:r w:rsidR="00B43F1D" w:rsidRPr="00997100">
        <w:rPr>
          <w:spacing w:val="-4"/>
          <w:lang w:val="fr-FR"/>
        </w:rPr>
        <w:t>’</w:t>
      </w:r>
      <w:r w:rsidR="002F137D" w:rsidRPr="00997100">
        <w:rPr>
          <w:spacing w:val="-4"/>
          <w:lang w:val="fr-FR"/>
        </w:rPr>
        <w:t>“Exam</w:t>
      </w:r>
      <w:r w:rsidR="0087496B" w:rsidRPr="00997100">
        <w:rPr>
          <w:spacing w:val="-4"/>
          <w:lang w:val="fr-FR"/>
        </w:rPr>
        <w:t>en de la demande</w:t>
      </w:r>
      <w:r w:rsidR="002F137D" w:rsidRPr="00997100">
        <w:rPr>
          <w:spacing w:val="-4"/>
          <w:lang w:val="fr-FR"/>
        </w:rPr>
        <w:t xml:space="preserve">” </w:t>
      </w:r>
      <w:r w:rsidR="0087496B" w:rsidRPr="00997100">
        <w:rPr>
          <w:spacing w:val="-4"/>
          <w:lang w:val="fr-FR"/>
        </w:rPr>
        <w:t>serait d</w:t>
      </w:r>
      <w:r w:rsidR="00B43F1D" w:rsidRPr="00997100">
        <w:rPr>
          <w:spacing w:val="-4"/>
          <w:lang w:val="fr-FR"/>
        </w:rPr>
        <w:t>’</w:t>
      </w:r>
      <w:r w:rsidR="0087496B" w:rsidRPr="00997100">
        <w:rPr>
          <w:spacing w:val="-4"/>
          <w:lang w:val="fr-FR"/>
        </w:rPr>
        <w:t>élaborer un ensemble cohérent d</w:t>
      </w:r>
      <w:r w:rsidR="00B43F1D" w:rsidRPr="00997100">
        <w:rPr>
          <w:spacing w:val="-4"/>
          <w:lang w:val="fr-FR"/>
        </w:rPr>
        <w:t>’</w:t>
      </w:r>
      <w:r w:rsidR="0087496B" w:rsidRPr="00997100">
        <w:rPr>
          <w:spacing w:val="-4"/>
          <w:lang w:val="fr-FR"/>
        </w:rPr>
        <w:t xml:space="preserve">orientations et </w:t>
      </w:r>
      <w:r w:rsidR="00D04FBE">
        <w:rPr>
          <w:spacing w:val="-4"/>
          <w:lang w:val="fr-FR"/>
        </w:rPr>
        <w:t>de modèles</w:t>
      </w:r>
      <w:r w:rsidR="0087496B" w:rsidRPr="00997100">
        <w:rPr>
          <w:spacing w:val="-4"/>
          <w:lang w:val="fr-FR"/>
        </w:rPr>
        <w:t xml:space="preserve"> concernant la coopération en matière d</w:t>
      </w:r>
      <w:r w:rsidR="00B43F1D" w:rsidRPr="00997100">
        <w:rPr>
          <w:spacing w:val="-4"/>
          <w:lang w:val="fr-FR"/>
        </w:rPr>
        <w:t>’</w:t>
      </w:r>
      <w:r w:rsidR="0087496B" w:rsidRPr="00997100">
        <w:rPr>
          <w:spacing w:val="-4"/>
          <w:lang w:val="fr-FR"/>
        </w:rPr>
        <w:t>examen</w:t>
      </w:r>
      <w:r w:rsidR="009C3A48" w:rsidRPr="00997100">
        <w:rPr>
          <w:spacing w:val="-4"/>
          <w:lang w:val="fr-FR"/>
        </w:rPr>
        <w:t> </w:t>
      </w:r>
      <w:r w:rsidR="0087496B" w:rsidRPr="00997100">
        <w:rPr>
          <w:spacing w:val="-4"/>
          <w:lang w:val="fr-FR"/>
        </w:rPr>
        <w:t>DHS pour les différents cas de figure</w:t>
      </w:r>
      <w:r w:rsidR="002F137D" w:rsidRPr="00997100">
        <w:rPr>
          <w:spacing w:val="-4"/>
          <w:lang w:val="fr-FR"/>
        </w:rPr>
        <w:t>.</w:t>
      </w:r>
      <w:r w:rsidR="00B740CB" w:rsidRPr="00997100">
        <w:rPr>
          <w:spacing w:val="-4"/>
          <w:lang w:val="fr-FR"/>
        </w:rPr>
        <w:t xml:space="preserve">  </w:t>
      </w:r>
      <w:r w:rsidR="00497EC4" w:rsidRPr="00997100">
        <w:rPr>
          <w:lang w:val="fr-FR"/>
        </w:rPr>
        <w:t xml:space="preserve">Les notes explicatives sur </w:t>
      </w:r>
      <w:r w:rsidR="00B43F1D" w:rsidRPr="00997100">
        <w:rPr>
          <w:lang w:val="fr-FR"/>
        </w:rPr>
        <w:t>“l’</w:t>
      </w:r>
      <w:r w:rsidR="00497EC4" w:rsidRPr="00997100">
        <w:rPr>
          <w:lang w:val="fr-FR"/>
        </w:rPr>
        <w:t>examen de la demande” devraient expliquer toutes les options d</w:t>
      </w:r>
      <w:r w:rsidR="00B43F1D" w:rsidRPr="00997100">
        <w:rPr>
          <w:lang w:val="fr-FR"/>
        </w:rPr>
        <w:t>’</w:t>
      </w:r>
      <w:r w:rsidR="00497EC4" w:rsidRPr="00997100">
        <w:rPr>
          <w:lang w:val="fr-FR"/>
        </w:rPr>
        <w:t xml:space="preserve">examen des variétés, comme le prévoit la </w:t>
      </w:r>
      <w:r w:rsidR="00B43F1D" w:rsidRPr="00997100">
        <w:rPr>
          <w:lang w:val="fr-FR"/>
        </w:rPr>
        <w:t>Convention UPOV</w:t>
      </w:r>
      <w:r w:rsidR="009C3A48" w:rsidRPr="00997100">
        <w:rPr>
          <w:lang w:val="fr-FR"/>
        </w:rPr>
        <w:t>.</w:t>
      </w:r>
    </w:p>
    <w:p w:rsidR="005278EE" w:rsidRPr="00997100" w:rsidRDefault="005278EE" w:rsidP="00B740CB">
      <w:pPr>
        <w:tabs>
          <w:tab w:val="left" w:pos="567"/>
        </w:tabs>
        <w:rPr>
          <w:lang w:val="fr-FR"/>
        </w:rPr>
      </w:pPr>
    </w:p>
    <w:p w:rsidR="005278EE" w:rsidRPr="00997100" w:rsidRDefault="00B740CB" w:rsidP="00B740CB">
      <w:pPr>
        <w:tabs>
          <w:tab w:val="left" w:pos="567"/>
        </w:tabs>
        <w:rPr>
          <w:lang w:val="fr-FR"/>
        </w:rPr>
      </w:pPr>
      <w:r w:rsidRPr="00997100">
        <w:rPr>
          <w:lang w:val="fr-FR"/>
        </w:rPr>
        <w:fldChar w:fldCharType="begin"/>
      </w:r>
      <w:r w:rsidRPr="00997100">
        <w:rPr>
          <w:lang w:val="fr-FR"/>
        </w:rPr>
        <w:instrText xml:space="preserve"> AUTONUM  </w:instrText>
      </w:r>
      <w:r w:rsidRPr="00997100">
        <w:rPr>
          <w:lang w:val="fr-FR"/>
        </w:rPr>
        <w:fldChar w:fldCharType="end"/>
      </w:r>
      <w:r w:rsidRPr="00997100">
        <w:rPr>
          <w:lang w:val="fr-FR"/>
        </w:rPr>
        <w:tab/>
      </w:r>
      <w:r w:rsidR="00497EC4" w:rsidRPr="00997100">
        <w:rPr>
          <w:lang w:val="fr-FR"/>
        </w:rPr>
        <w:t>Les informations récoltées auprès des membres de l</w:t>
      </w:r>
      <w:r w:rsidR="00B43F1D" w:rsidRPr="00997100">
        <w:rPr>
          <w:lang w:val="fr-FR"/>
        </w:rPr>
        <w:t>’</w:t>
      </w:r>
      <w:r w:rsidR="00497EC4" w:rsidRPr="00997100">
        <w:rPr>
          <w:lang w:val="fr-FR"/>
        </w:rPr>
        <w:t>Union et des organisations d</w:t>
      </w:r>
      <w:r w:rsidR="00B43F1D" w:rsidRPr="00997100">
        <w:rPr>
          <w:lang w:val="fr-FR"/>
        </w:rPr>
        <w:t>’</w:t>
      </w:r>
      <w:r w:rsidR="00497EC4" w:rsidRPr="00997100">
        <w:rPr>
          <w:lang w:val="fr-FR"/>
        </w:rPr>
        <w:t xml:space="preserve">obtenteurs aideront à mieux comprendre les politiques ou obstacles juridiques </w:t>
      </w:r>
      <w:r w:rsidR="00497EC4" w:rsidRPr="00470FF3">
        <w:rPr>
          <w:lang w:val="fr-FR"/>
        </w:rPr>
        <w:t>susceptibles d</w:t>
      </w:r>
      <w:r w:rsidR="00B43F1D" w:rsidRPr="00470FF3">
        <w:rPr>
          <w:lang w:val="fr-FR"/>
        </w:rPr>
        <w:t>’</w:t>
      </w:r>
      <w:r w:rsidR="00497EC4" w:rsidRPr="00470FF3">
        <w:rPr>
          <w:lang w:val="fr-FR"/>
        </w:rPr>
        <w:t>empêcher la coopération internationale en matière d</w:t>
      </w:r>
      <w:r w:rsidR="00B43F1D" w:rsidRPr="00470FF3">
        <w:rPr>
          <w:lang w:val="fr-FR"/>
        </w:rPr>
        <w:t>’</w:t>
      </w:r>
      <w:r w:rsidR="00497EC4" w:rsidRPr="00470FF3">
        <w:rPr>
          <w:lang w:val="fr-FR"/>
        </w:rPr>
        <w:t>examen</w:t>
      </w:r>
      <w:r w:rsidR="009C3A48" w:rsidRPr="00470FF3">
        <w:rPr>
          <w:lang w:val="fr-FR"/>
        </w:rPr>
        <w:t> </w:t>
      </w:r>
      <w:r w:rsidR="00497EC4" w:rsidRPr="00470FF3">
        <w:rPr>
          <w:lang w:val="fr-FR"/>
        </w:rPr>
        <w:t>DHS</w:t>
      </w:r>
      <w:r w:rsidR="0042112A" w:rsidRPr="00470FF3">
        <w:rPr>
          <w:lang w:val="fr-FR"/>
        </w:rPr>
        <w:t xml:space="preserve"> (</w:t>
      </w:r>
      <w:r w:rsidR="00497EC4" w:rsidRPr="00470FF3">
        <w:rPr>
          <w:lang w:val="fr-FR"/>
        </w:rPr>
        <w:t xml:space="preserve">voir les </w:t>
      </w:r>
      <w:r w:rsidR="00B43F1D" w:rsidRPr="00470FF3">
        <w:rPr>
          <w:lang w:val="fr-FR"/>
        </w:rPr>
        <w:t>paragraphes 1</w:t>
      </w:r>
      <w:r w:rsidR="00497EC4" w:rsidRPr="00470FF3">
        <w:rPr>
          <w:lang w:val="fr-FR"/>
        </w:rPr>
        <w:t>8 et 20 ci</w:t>
      </w:r>
      <w:r w:rsidR="00B43F1D" w:rsidRPr="00470FF3">
        <w:rPr>
          <w:lang w:val="fr-FR"/>
        </w:rPr>
        <w:t>-</w:t>
      </w:r>
      <w:r w:rsidR="00497EC4" w:rsidRPr="00470FF3">
        <w:rPr>
          <w:lang w:val="fr-FR"/>
        </w:rPr>
        <w:t>dessus</w:t>
      </w:r>
      <w:r w:rsidR="0042112A" w:rsidRPr="00470FF3">
        <w:rPr>
          <w:lang w:val="fr-FR"/>
        </w:rPr>
        <w:t>).</w:t>
      </w:r>
      <w:r w:rsidRPr="00470FF3">
        <w:rPr>
          <w:lang w:val="fr-FR"/>
        </w:rPr>
        <w:t xml:space="preserve">  </w:t>
      </w:r>
      <w:r w:rsidR="00497EC4" w:rsidRPr="00470FF3">
        <w:rPr>
          <w:lang w:val="fr-FR"/>
        </w:rPr>
        <w:t xml:space="preserve">Il est donc proposé de </w:t>
      </w:r>
      <w:r w:rsidR="00497EC4" w:rsidRPr="00470FF3">
        <w:rPr>
          <w:snapToGrid w:val="0"/>
          <w:lang w:val="fr-FR"/>
        </w:rPr>
        <w:t xml:space="preserve">reporter la rédaction des </w:t>
      </w:r>
      <w:r w:rsidR="00B43F1D" w:rsidRPr="00470FF3">
        <w:rPr>
          <w:snapToGrid w:val="0"/>
          <w:lang w:val="fr-FR"/>
        </w:rPr>
        <w:t>“n</w:t>
      </w:r>
      <w:r w:rsidR="00497EC4" w:rsidRPr="00470FF3">
        <w:rPr>
          <w:snapToGrid w:val="0"/>
          <w:lang w:val="fr-FR"/>
        </w:rPr>
        <w:t>otes explicatives” jusqu</w:t>
      </w:r>
      <w:r w:rsidR="00B43F1D" w:rsidRPr="00470FF3">
        <w:rPr>
          <w:snapToGrid w:val="0"/>
          <w:lang w:val="fr-FR"/>
        </w:rPr>
        <w:t>’</w:t>
      </w:r>
      <w:r w:rsidR="00497EC4" w:rsidRPr="00470FF3">
        <w:rPr>
          <w:snapToGrid w:val="0"/>
          <w:lang w:val="fr-FR"/>
        </w:rPr>
        <w:t>à ce que</w:t>
      </w:r>
      <w:r w:rsidR="00497EC4" w:rsidRPr="00997100">
        <w:rPr>
          <w:snapToGrid w:val="0"/>
          <w:lang w:val="fr-FR"/>
        </w:rPr>
        <w:t xml:space="preserve"> </w:t>
      </w:r>
      <w:r w:rsidR="003B05F7">
        <w:rPr>
          <w:snapToGrid w:val="0"/>
          <w:lang w:val="fr-FR"/>
        </w:rPr>
        <w:t>ces</w:t>
      </w:r>
      <w:r w:rsidR="00497EC4" w:rsidRPr="00997100">
        <w:rPr>
          <w:snapToGrid w:val="0"/>
          <w:lang w:val="fr-FR"/>
        </w:rPr>
        <w:t xml:space="preserve"> informations soient disponibles et aient été examinées par</w:t>
      </w:r>
      <w:r w:rsidR="00B43F1D" w:rsidRPr="00997100">
        <w:rPr>
          <w:snapToGrid w:val="0"/>
          <w:lang w:val="fr-FR"/>
        </w:rPr>
        <w:t xml:space="preserve"> le CAJ</w:t>
      </w:r>
      <w:r w:rsidRPr="00997100">
        <w:rPr>
          <w:spacing w:val="-4"/>
          <w:lang w:val="fr-FR"/>
        </w:rPr>
        <w:t>.</w:t>
      </w:r>
    </w:p>
    <w:p w:rsidR="005278EE" w:rsidRPr="00997100" w:rsidRDefault="005278EE" w:rsidP="00807712">
      <w:pPr>
        <w:tabs>
          <w:tab w:val="left" w:pos="567"/>
        </w:tabs>
        <w:rPr>
          <w:spacing w:val="-4"/>
          <w:lang w:val="fr-FR"/>
        </w:rPr>
      </w:pPr>
    </w:p>
    <w:p w:rsidR="005278EE" w:rsidRPr="00997100" w:rsidRDefault="005278EE" w:rsidP="00807712">
      <w:pPr>
        <w:tabs>
          <w:tab w:val="left" w:pos="567"/>
        </w:tabs>
        <w:rPr>
          <w:spacing w:val="-4"/>
          <w:lang w:val="fr-FR"/>
        </w:rPr>
      </w:pPr>
    </w:p>
    <w:p w:rsidR="005278EE" w:rsidRPr="00997100" w:rsidRDefault="00807712" w:rsidP="00807712">
      <w:pPr>
        <w:keepNext/>
        <w:keepLines/>
        <w:tabs>
          <w:tab w:val="left" w:pos="5387"/>
          <w:tab w:val="left" w:pos="5954"/>
        </w:tabs>
        <w:ind w:left="4820"/>
        <w:rPr>
          <w:i/>
          <w:snapToGrid w:val="0"/>
          <w:lang w:val="fr-FR"/>
        </w:rPr>
      </w:pPr>
      <w:r w:rsidRPr="00997100">
        <w:rPr>
          <w:i/>
          <w:snapToGrid w:val="0"/>
          <w:lang w:val="fr-FR"/>
        </w:rPr>
        <w:fldChar w:fldCharType="begin"/>
      </w:r>
      <w:r w:rsidRPr="00997100">
        <w:rPr>
          <w:i/>
          <w:snapToGrid w:val="0"/>
          <w:lang w:val="fr-FR"/>
        </w:rPr>
        <w:instrText xml:space="preserve"> AUTONUM  </w:instrText>
      </w:r>
      <w:r w:rsidRPr="00997100">
        <w:rPr>
          <w:i/>
          <w:snapToGrid w:val="0"/>
          <w:lang w:val="fr-FR"/>
        </w:rPr>
        <w:fldChar w:fldCharType="end"/>
      </w:r>
      <w:r w:rsidRPr="00997100">
        <w:rPr>
          <w:i/>
          <w:snapToGrid w:val="0"/>
          <w:lang w:val="fr-FR"/>
        </w:rPr>
        <w:tab/>
      </w:r>
      <w:r w:rsidR="00103459" w:rsidRPr="00997100">
        <w:rPr>
          <w:i/>
          <w:snapToGrid w:val="0"/>
          <w:lang w:val="fr-FR"/>
        </w:rPr>
        <w:t>Le CAJ est invité</w:t>
      </w:r>
    </w:p>
    <w:p w:rsidR="005278EE" w:rsidRPr="00997100" w:rsidRDefault="005278EE" w:rsidP="00807712">
      <w:pPr>
        <w:keepNext/>
        <w:keepLines/>
        <w:tabs>
          <w:tab w:val="left" w:pos="5387"/>
          <w:tab w:val="left" w:pos="5954"/>
        </w:tabs>
        <w:ind w:left="4820"/>
        <w:rPr>
          <w:i/>
          <w:snapToGrid w:val="0"/>
          <w:lang w:val="fr-FR"/>
        </w:rPr>
      </w:pPr>
    </w:p>
    <w:p w:rsidR="00103459" w:rsidRPr="00997100" w:rsidRDefault="00131DAA" w:rsidP="00103459">
      <w:pPr>
        <w:pStyle w:val="DecisionParagraphs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="00103459" w:rsidRPr="00997100">
        <w:rPr>
          <w:snapToGrid w:val="0"/>
          <w:lang w:val="fr-FR"/>
        </w:rPr>
        <w:t>a)</w:t>
      </w:r>
      <w:r w:rsidR="00103459" w:rsidRPr="00997100">
        <w:rPr>
          <w:snapToGrid w:val="0"/>
          <w:lang w:val="fr-FR"/>
        </w:rPr>
        <w:tab/>
        <w:t>à examiner les propositions de questions pour l</w:t>
      </w:r>
      <w:r w:rsidR="00B43F1D" w:rsidRPr="00997100">
        <w:rPr>
          <w:snapToGrid w:val="0"/>
          <w:lang w:val="fr-FR"/>
        </w:rPr>
        <w:t>’</w:t>
      </w:r>
      <w:r w:rsidR="00103459" w:rsidRPr="00997100">
        <w:rPr>
          <w:snapToGrid w:val="0"/>
          <w:lang w:val="fr-FR"/>
        </w:rPr>
        <w:t>enquête qui sera menée auprès des membres de l</w:t>
      </w:r>
      <w:r w:rsidR="00B43F1D" w:rsidRPr="00997100">
        <w:rPr>
          <w:snapToGrid w:val="0"/>
          <w:lang w:val="fr-FR"/>
        </w:rPr>
        <w:t>’</w:t>
      </w:r>
      <w:r w:rsidR="00103459" w:rsidRPr="00997100">
        <w:rPr>
          <w:snapToGrid w:val="0"/>
          <w:lang w:val="fr-FR"/>
        </w:rPr>
        <w:t>Union afin d</w:t>
      </w:r>
      <w:r w:rsidR="00B43F1D" w:rsidRPr="00997100">
        <w:rPr>
          <w:snapToGrid w:val="0"/>
          <w:lang w:val="fr-FR"/>
        </w:rPr>
        <w:t>’</w:t>
      </w:r>
      <w:r w:rsidR="00103459" w:rsidRPr="00997100">
        <w:rPr>
          <w:snapToGrid w:val="0"/>
          <w:lang w:val="fr-FR"/>
        </w:rPr>
        <w:t>obtenir des informations sur leurs politiques ou obstacles juridiques susceptibles d</w:t>
      </w:r>
      <w:r w:rsidR="00B43F1D" w:rsidRPr="00997100">
        <w:rPr>
          <w:snapToGrid w:val="0"/>
          <w:lang w:val="fr-FR"/>
        </w:rPr>
        <w:t>’</w:t>
      </w:r>
      <w:r w:rsidR="00103459" w:rsidRPr="00997100">
        <w:rPr>
          <w:snapToGrid w:val="0"/>
          <w:lang w:val="fr-FR"/>
        </w:rPr>
        <w:t>empêcher la coopération internationale en matière d</w:t>
      </w:r>
      <w:r w:rsidR="00B43F1D" w:rsidRPr="00997100">
        <w:rPr>
          <w:snapToGrid w:val="0"/>
          <w:lang w:val="fr-FR"/>
        </w:rPr>
        <w:t>’</w:t>
      </w:r>
      <w:r w:rsidR="00103459" w:rsidRPr="00997100">
        <w:rPr>
          <w:snapToGrid w:val="0"/>
          <w:lang w:val="fr-FR"/>
        </w:rPr>
        <w:t>examen</w:t>
      </w:r>
      <w:r w:rsidR="009C3A48" w:rsidRPr="00997100">
        <w:rPr>
          <w:snapToGrid w:val="0"/>
          <w:lang w:val="fr-FR"/>
        </w:rPr>
        <w:t> </w:t>
      </w:r>
      <w:r>
        <w:rPr>
          <w:snapToGrid w:val="0"/>
          <w:lang w:val="fr-FR"/>
        </w:rPr>
        <w:t>DHS,</w:t>
      </w:r>
    </w:p>
    <w:p w:rsidR="00103459" w:rsidRPr="00997100" w:rsidRDefault="00103459" w:rsidP="00103459">
      <w:pPr>
        <w:pStyle w:val="DecisionParagraphs"/>
        <w:rPr>
          <w:snapToGrid w:val="0"/>
          <w:lang w:val="fr-FR"/>
        </w:rPr>
      </w:pPr>
    </w:p>
    <w:p w:rsidR="00103459" w:rsidRPr="00997100" w:rsidRDefault="00131DAA" w:rsidP="00103459">
      <w:pPr>
        <w:pStyle w:val="DecisionParagraphs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="00103459" w:rsidRPr="00997100">
        <w:rPr>
          <w:snapToGrid w:val="0"/>
          <w:lang w:val="fr-FR"/>
        </w:rPr>
        <w:t>b)</w:t>
      </w:r>
      <w:r w:rsidR="00103459" w:rsidRPr="00997100">
        <w:rPr>
          <w:snapToGrid w:val="0"/>
          <w:lang w:val="fr-FR"/>
        </w:rPr>
        <w:tab/>
        <w:t>à prendre note de la demande qui a été faite aux organisations d</w:t>
      </w:r>
      <w:r w:rsidR="00B43F1D" w:rsidRPr="00997100">
        <w:rPr>
          <w:snapToGrid w:val="0"/>
          <w:lang w:val="fr-FR"/>
        </w:rPr>
        <w:t>’</w:t>
      </w:r>
      <w:r w:rsidR="00103459" w:rsidRPr="00997100">
        <w:rPr>
          <w:snapToGrid w:val="0"/>
          <w:lang w:val="fr-FR"/>
        </w:rPr>
        <w:t>obtenteurs d</w:t>
      </w:r>
      <w:r w:rsidR="00B43F1D" w:rsidRPr="00997100">
        <w:rPr>
          <w:snapToGrid w:val="0"/>
          <w:lang w:val="fr-FR"/>
        </w:rPr>
        <w:t>’</w:t>
      </w:r>
      <w:r w:rsidR="00103459" w:rsidRPr="00997100">
        <w:rPr>
          <w:snapToGrid w:val="0"/>
          <w:lang w:val="fr-FR"/>
        </w:rPr>
        <w:t>apporter des précisions sur les difficultés que pose la volonté des obtenteurs d</w:t>
      </w:r>
      <w:r w:rsidR="00B43F1D" w:rsidRPr="00997100">
        <w:rPr>
          <w:snapToGrid w:val="0"/>
          <w:lang w:val="fr-FR"/>
        </w:rPr>
        <w:t>’</w:t>
      </w:r>
      <w:r w:rsidR="00103459" w:rsidRPr="00997100">
        <w:rPr>
          <w:snapToGrid w:val="0"/>
          <w:lang w:val="fr-FR"/>
        </w:rPr>
        <w:t xml:space="preserve">utiliser, ou de ne pas utiliser, les rapports </w:t>
      </w:r>
      <w:r w:rsidR="00103459" w:rsidRPr="00470FF3">
        <w:rPr>
          <w:snapToGrid w:val="0"/>
          <w:lang w:val="fr-FR"/>
        </w:rPr>
        <w:t>d</w:t>
      </w:r>
      <w:r w:rsidR="00B43F1D" w:rsidRPr="00470FF3">
        <w:rPr>
          <w:snapToGrid w:val="0"/>
          <w:lang w:val="fr-FR"/>
        </w:rPr>
        <w:t>’</w:t>
      </w:r>
      <w:r w:rsidR="00103459" w:rsidRPr="00470FF3">
        <w:rPr>
          <w:snapToGrid w:val="0"/>
          <w:lang w:val="fr-FR"/>
        </w:rPr>
        <w:t>examen</w:t>
      </w:r>
      <w:r w:rsidR="009C3A48" w:rsidRPr="00470FF3">
        <w:rPr>
          <w:snapToGrid w:val="0"/>
          <w:lang w:val="fr-FR"/>
        </w:rPr>
        <w:t> </w:t>
      </w:r>
      <w:r w:rsidR="00103459" w:rsidRPr="00470FF3">
        <w:rPr>
          <w:snapToGrid w:val="0"/>
          <w:lang w:val="fr-FR"/>
        </w:rPr>
        <w:t xml:space="preserve">DHS existants, comme indiqué au </w:t>
      </w:r>
      <w:r w:rsidR="00B43F1D" w:rsidRPr="00470FF3">
        <w:rPr>
          <w:snapToGrid w:val="0"/>
          <w:lang w:val="fr-FR"/>
        </w:rPr>
        <w:t>paragraphe 2</w:t>
      </w:r>
      <w:r w:rsidR="00103459" w:rsidRPr="00470FF3">
        <w:rPr>
          <w:snapToGrid w:val="0"/>
          <w:lang w:val="fr-FR"/>
        </w:rPr>
        <w:t>0</w:t>
      </w:r>
      <w:r w:rsidRPr="00470FF3">
        <w:rPr>
          <w:snapToGrid w:val="0"/>
          <w:lang w:val="fr-FR"/>
        </w:rPr>
        <w:t>,</w:t>
      </w:r>
      <w:r w:rsidR="00103459" w:rsidRPr="00470FF3">
        <w:rPr>
          <w:snapToGrid w:val="0"/>
          <w:lang w:val="fr-FR"/>
        </w:rPr>
        <w:t xml:space="preserve"> e</w:t>
      </w:r>
      <w:r w:rsidR="00103459" w:rsidRPr="00997100">
        <w:rPr>
          <w:snapToGrid w:val="0"/>
          <w:lang w:val="fr-FR"/>
        </w:rPr>
        <w:t>t</w:t>
      </w:r>
    </w:p>
    <w:p w:rsidR="00103459" w:rsidRPr="00997100" w:rsidRDefault="00103459" w:rsidP="00103459">
      <w:pPr>
        <w:pStyle w:val="DecisionParagraphs"/>
        <w:rPr>
          <w:snapToGrid w:val="0"/>
          <w:lang w:val="fr-FR"/>
        </w:rPr>
      </w:pPr>
    </w:p>
    <w:p w:rsidR="00103459" w:rsidRPr="00997100" w:rsidRDefault="00131DAA" w:rsidP="00103459">
      <w:pPr>
        <w:pStyle w:val="DecisionParagraphs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="00103459" w:rsidRPr="00997100">
        <w:rPr>
          <w:snapToGrid w:val="0"/>
          <w:lang w:val="fr-FR"/>
        </w:rPr>
        <w:t>c)</w:t>
      </w:r>
      <w:r w:rsidR="00103459" w:rsidRPr="00997100">
        <w:rPr>
          <w:snapToGrid w:val="0"/>
          <w:lang w:val="fr-FR"/>
        </w:rPr>
        <w:tab/>
        <w:t xml:space="preserve">à reporter la rédaction des </w:t>
      </w:r>
      <w:r w:rsidR="00B43F1D" w:rsidRPr="00997100">
        <w:rPr>
          <w:snapToGrid w:val="0"/>
          <w:lang w:val="fr-FR"/>
        </w:rPr>
        <w:t>“n</w:t>
      </w:r>
      <w:r w:rsidR="00103459" w:rsidRPr="00997100">
        <w:rPr>
          <w:snapToGrid w:val="0"/>
          <w:lang w:val="fr-FR"/>
        </w:rPr>
        <w:t>otes explicatives” sur l</w:t>
      </w:r>
      <w:r w:rsidR="00B43F1D" w:rsidRPr="00997100">
        <w:rPr>
          <w:snapToGrid w:val="0"/>
          <w:lang w:val="fr-FR"/>
        </w:rPr>
        <w:t>’article 1</w:t>
      </w:r>
      <w:r w:rsidR="00103459" w:rsidRPr="00997100">
        <w:rPr>
          <w:snapToGrid w:val="0"/>
          <w:lang w:val="fr-FR"/>
        </w:rPr>
        <w:t xml:space="preserve">2 de la </w:t>
      </w:r>
      <w:r w:rsidR="00B43F1D" w:rsidRPr="00997100">
        <w:rPr>
          <w:snapToGrid w:val="0"/>
          <w:lang w:val="fr-FR"/>
        </w:rPr>
        <w:t>Convention UPOV</w:t>
      </w:r>
      <w:r w:rsidR="00103459" w:rsidRPr="00997100">
        <w:rPr>
          <w:snapToGrid w:val="0"/>
          <w:lang w:val="fr-FR"/>
        </w:rPr>
        <w:t xml:space="preserve"> (</w:t>
      </w:r>
      <w:r w:rsidR="00B43F1D" w:rsidRPr="00997100">
        <w:rPr>
          <w:snapToGrid w:val="0"/>
          <w:lang w:val="fr-FR"/>
        </w:rPr>
        <w:t>“E</w:t>
      </w:r>
      <w:r w:rsidR="00103459" w:rsidRPr="00997100">
        <w:rPr>
          <w:snapToGrid w:val="0"/>
          <w:lang w:val="fr-FR"/>
        </w:rPr>
        <w:t>xamen de la demande”) jusqu</w:t>
      </w:r>
      <w:r w:rsidR="00B43F1D" w:rsidRPr="00997100">
        <w:rPr>
          <w:snapToGrid w:val="0"/>
          <w:lang w:val="fr-FR"/>
        </w:rPr>
        <w:t>’</w:t>
      </w:r>
      <w:r w:rsidR="00103459" w:rsidRPr="00997100">
        <w:rPr>
          <w:snapToGrid w:val="0"/>
          <w:lang w:val="fr-FR"/>
        </w:rPr>
        <w:t xml:space="preserve">à ce que </w:t>
      </w:r>
      <w:r w:rsidR="0053766F">
        <w:rPr>
          <w:snapToGrid w:val="0"/>
          <w:lang w:val="fr-FR"/>
        </w:rPr>
        <w:t>ces</w:t>
      </w:r>
      <w:r w:rsidR="0053766F" w:rsidRPr="00997100">
        <w:rPr>
          <w:snapToGrid w:val="0"/>
          <w:lang w:val="fr-FR"/>
        </w:rPr>
        <w:t xml:space="preserve"> informations</w:t>
      </w:r>
      <w:r w:rsidR="0053766F">
        <w:rPr>
          <w:snapToGrid w:val="0"/>
          <w:lang w:val="fr-FR"/>
        </w:rPr>
        <w:t xml:space="preserve">, </w:t>
      </w:r>
      <w:r w:rsidR="008A674B">
        <w:rPr>
          <w:snapToGrid w:val="0"/>
          <w:lang w:val="fr-FR"/>
        </w:rPr>
        <w:t>provenant des</w:t>
      </w:r>
      <w:r w:rsidR="0053766F" w:rsidRPr="00997100">
        <w:rPr>
          <w:snapToGrid w:val="0"/>
          <w:lang w:val="fr-FR"/>
        </w:rPr>
        <w:t xml:space="preserve"> membres de l’</w:t>
      </w:r>
      <w:r w:rsidR="0053766F">
        <w:rPr>
          <w:snapToGrid w:val="0"/>
          <w:lang w:val="fr-FR"/>
        </w:rPr>
        <w:t xml:space="preserve">Union </w:t>
      </w:r>
      <w:r w:rsidR="0053766F" w:rsidRPr="00997100">
        <w:rPr>
          <w:snapToGrid w:val="0"/>
          <w:lang w:val="fr-FR"/>
        </w:rPr>
        <w:t>en réponse à l’</w:t>
      </w:r>
      <w:r w:rsidR="0053766F">
        <w:rPr>
          <w:snapToGrid w:val="0"/>
          <w:lang w:val="fr-FR"/>
        </w:rPr>
        <w:t>enquête</w:t>
      </w:r>
      <w:r w:rsidR="0053766F" w:rsidRPr="00997100">
        <w:rPr>
          <w:snapToGrid w:val="0"/>
          <w:lang w:val="fr-FR"/>
        </w:rPr>
        <w:t xml:space="preserve"> et des organisations d’obtenteurs</w:t>
      </w:r>
      <w:r w:rsidR="0053766F">
        <w:rPr>
          <w:snapToGrid w:val="0"/>
          <w:lang w:val="fr-FR"/>
        </w:rPr>
        <w:t>,</w:t>
      </w:r>
      <w:r w:rsidR="0053766F" w:rsidRPr="00997100">
        <w:rPr>
          <w:snapToGrid w:val="0"/>
          <w:lang w:val="fr-FR"/>
        </w:rPr>
        <w:t xml:space="preserve"> soient disponibles et aient été examinées par le CAJ</w:t>
      </w:r>
      <w:r w:rsidR="00103459" w:rsidRPr="00997100">
        <w:rPr>
          <w:snapToGrid w:val="0"/>
          <w:lang w:val="fr-FR"/>
        </w:rPr>
        <w:t>.</w:t>
      </w:r>
    </w:p>
    <w:p w:rsidR="005278EE" w:rsidRPr="00997100" w:rsidRDefault="005278EE" w:rsidP="00807712">
      <w:pPr>
        <w:rPr>
          <w:snapToGrid w:val="0"/>
          <w:lang w:val="fr-FR"/>
        </w:rPr>
      </w:pPr>
    </w:p>
    <w:p w:rsidR="00103459" w:rsidRPr="00997100" w:rsidRDefault="00103459" w:rsidP="00807712">
      <w:pPr>
        <w:rPr>
          <w:snapToGrid w:val="0"/>
          <w:lang w:val="fr-FR"/>
        </w:rPr>
      </w:pPr>
    </w:p>
    <w:p w:rsidR="005278EE" w:rsidRPr="00997100" w:rsidRDefault="003F09A7" w:rsidP="00103459">
      <w:pPr>
        <w:pStyle w:val="endofdoc"/>
        <w:rPr>
          <w:snapToGrid w:val="0"/>
          <w:lang w:val="fr-FR"/>
        </w:rPr>
      </w:pPr>
      <w:r w:rsidRPr="00997100">
        <w:rPr>
          <w:snapToGrid w:val="0"/>
          <w:lang w:val="fr-FR"/>
        </w:rPr>
        <w:t>[L</w:t>
      </w:r>
      <w:r w:rsidR="00B43F1D" w:rsidRPr="00997100">
        <w:rPr>
          <w:snapToGrid w:val="0"/>
          <w:lang w:val="fr-FR"/>
        </w:rPr>
        <w:t>’</w:t>
      </w:r>
      <w:r w:rsidRPr="00997100">
        <w:rPr>
          <w:snapToGrid w:val="0"/>
          <w:lang w:val="fr-FR"/>
        </w:rPr>
        <w:t>annexe suit]</w:t>
      </w:r>
    </w:p>
    <w:p w:rsidR="005278EE" w:rsidRPr="00997100" w:rsidRDefault="005278EE" w:rsidP="00807712">
      <w:pPr>
        <w:rPr>
          <w:snapToGrid w:val="0"/>
          <w:lang w:val="fr-FR"/>
        </w:rPr>
      </w:pPr>
    </w:p>
    <w:p w:rsidR="00807712" w:rsidRPr="00997100" w:rsidRDefault="00807712" w:rsidP="00807712">
      <w:pPr>
        <w:rPr>
          <w:snapToGrid w:val="0"/>
          <w:lang w:val="fr-FR"/>
        </w:rPr>
        <w:sectPr w:rsidR="00807712" w:rsidRPr="00997100" w:rsidSect="0004198B">
          <w:headerReference w:type="default" r:id="rId9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5278EE" w:rsidRPr="00997100" w:rsidRDefault="005278EE" w:rsidP="00131DAA">
      <w:pPr>
        <w:jc w:val="center"/>
        <w:rPr>
          <w:snapToGrid w:val="0"/>
          <w:lang w:val="fr-FR"/>
        </w:rPr>
      </w:pPr>
    </w:p>
    <w:p w:rsidR="005278EE" w:rsidRPr="00997100" w:rsidRDefault="005278EE" w:rsidP="00131DAA">
      <w:pPr>
        <w:jc w:val="center"/>
        <w:rPr>
          <w:snapToGrid w:val="0"/>
          <w:lang w:val="fr-FR"/>
        </w:rPr>
      </w:pPr>
    </w:p>
    <w:p w:rsidR="00B43F1D" w:rsidRPr="00997100" w:rsidRDefault="003F09A7" w:rsidP="003F09A7">
      <w:pPr>
        <w:jc w:val="center"/>
        <w:rPr>
          <w:caps/>
          <w:snapToGrid w:val="0"/>
          <w:lang w:val="fr-FR"/>
        </w:rPr>
      </w:pPr>
      <w:r w:rsidRPr="00997100">
        <w:rPr>
          <w:caps/>
          <w:snapToGrid w:val="0"/>
          <w:lang w:val="fr-FR"/>
        </w:rPr>
        <w:t>Mesures convenues par le</w:t>
      </w:r>
      <w:r w:rsidR="00B43F1D" w:rsidRPr="00997100">
        <w:rPr>
          <w:caps/>
          <w:snapToGrid w:val="0"/>
          <w:lang w:val="fr-FR"/>
        </w:rPr>
        <w:t> TC</w:t>
      </w:r>
      <w:r w:rsidRPr="00997100">
        <w:rPr>
          <w:caps/>
          <w:snapToGrid w:val="0"/>
          <w:lang w:val="fr-FR"/>
        </w:rPr>
        <w:t xml:space="preserve"> pour lever les obstacles qui empêchent la coopération internationale en matière d</w:t>
      </w:r>
      <w:r w:rsidR="00B43F1D" w:rsidRPr="00997100">
        <w:rPr>
          <w:caps/>
          <w:snapToGrid w:val="0"/>
          <w:lang w:val="fr-FR"/>
        </w:rPr>
        <w:t>’</w:t>
      </w:r>
      <w:r w:rsidRPr="00997100">
        <w:rPr>
          <w:caps/>
          <w:snapToGrid w:val="0"/>
          <w:lang w:val="fr-FR"/>
        </w:rPr>
        <w:t>examen DHS</w:t>
      </w:r>
      <w:r w:rsidRPr="00997100">
        <w:rPr>
          <w:rStyle w:val="FootnoteReference"/>
          <w:caps/>
          <w:snapToGrid w:val="0"/>
          <w:lang w:val="fr-FR"/>
        </w:rPr>
        <w:footnoteReference w:id="7"/>
      </w:r>
    </w:p>
    <w:p w:rsidR="005278EE" w:rsidRPr="00997100" w:rsidRDefault="005278EE" w:rsidP="00807712">
      <w:pPr>
        <w:jc w:val="center"/>
        <w:rPr>
          <w:snapToGrid w:val="0"/>
          <w:lang w:val="fr-FR"/>
        </w:rPr>
      </w:pPr>
    </w:p>
    <w:p w:rsidR="005278EE" w:rsidRPr="00997100" w:rsidRDefault="005278EE" w:rsidP="00131DAA">
      <w:pPr>
        <w:jc w:val="center"/>
        <w:rPr>
          <w:lang w:val="fr-FR"/>
        </w:rPr>
      </w:pPr>
    </w:p>
    <w:p w:rsidR="005278EE" w:rsidRPr="00997100" w:rsidRDefault="003F09A7" w:rsidP="003F09A7">
      <w:pPr>
        <w:rPr>
          <w:lang w:val="fr-FR"/>
        </w:rPr>
      </w:pPr>
      <w:r w:rsidRPr="00997100">
        <w:rPr>
          <w:lang w:val="fr-FR"/>
        </w:rPr>
        <w:t>À sa cinquante</w:t>
      </w:r>
      <w:r w:rsidR="00B43F1D" w:rsidRPr="00997100">
        <w:rPr>
          <w:lang w:val="fr-FR"/>
        </w:rPr>
        <w:t>-</w:t>
      </w:r>
      <w:r w:rsidRPr="00997100">
        <w:rPr>
          <w:lang w:val="fr-FR"/>
        </w:rPr>
        <w:t>cinqu</w:t>
      </w:r>
      <w:r w:rsidR="00B43F1D" w:rsidRPr="00997100">
        <w:rPr>
          <w:lang w:val="fr-FR"/>
        </w:rPr>
        <w:t>ième session</w:t>
      </w:r>
      <w:r w:rsidRPr="00997100">
        <w:rPr>
          <w:rStyle w:val="FootnoteReference"/>
          <w:lang w:val="fr-FR"/>
        </w:rPr>
        <w:footnoteReference w:id="8"/>
      </w:r>
      <w:r w:rsidRPr="00997100">
        <w:rPr>
          <w:lang w:val="fr-FR"/>
        </w:rPr>
        <w:t>, le</w:t>
      </w:r>
      <w:r w:rsidR="00B43F1D" w:rsidRPr="00997100">
        <w:rPr>
          <w:lang w:val="fr-FR"/>
        </w:rPr>
        <w:t> TC</w:t>
      </w:r>
      <w:r w:rsidRPr="00997100">
        <w:rPr>
          <w:lang w:val="fr-FR"/>
        </w:rPr>
        <w:t xml:space="preserve"> a noté que les TWP, à leurs sessions de 2019, avaient constitué des groupes de discussion chargés d</w:t>
      </w:r>
      <w:r w:rsidR="00B43F1D" w:rsidRPr="00997100">
        <w:rPr>
          <w:lang w:val="fr-FR"/>
        </w:rPr>
        <w:t>’</w:t>
      </w:r>
      <w:r w:rsidRPr="00997100">
        <w:rPr>
          <w:lang w:val="fr-FR"/>
        </w:rPr>
        <w:t>examiner les difficultés techniques qui empêchaient la coopération en matière d</w:t>
      </w:r>
      <w:r w:rsidR="00B43F1D" w:rsidRPr="00997100">
        <w:rPr>
          <w:lang w:val="fr-FR"/>
        </w:rPr>
        <w:t>’</w:t>
      </w:r>
      <w:r w:rsidRPr="00997100">
        <w:rPr>
          <w:lang w:val="fr-FR"/>
        </w:rPr>
        <w:t>examen DHS et de proposer des solutions pour remédier aux difficultés techniques soulevées.</w:t>
      </w:r>
    </w:p>
    <w:p w:rsidR="005278EE" w:rsidRPr="00997100" w:rsidRDefault="005278EE" w:rsidP="00807712">
      <w:pPr>
        <w:rPr>
          <w:lang w:val="fr-FR"/>
        </w:rPr>
      </w:pPr>
    </w:p>
    <w:p w:rsidR="005278EE" w:rsidRPr="00997100" w:rsidRDefault="003F09A7" w:rsidP="003F09A7">
      <w:pPr>
        <w:rPr>
          <w:snapToGrid w:val="0"/>
          <w:lang w:val="fr-FR"/>
        </w:rPr>
      </w:pPr>
      <w:r w:rsidRPr="00997100">
        <w:rPr>
          <w:snapToGrid w:val="0"/>
          <w:lang w:val="fr-FR"/>
        </w:rPr>
        <w:t>Le</w:t>
      </w:r>
      <w:r w:rsidR="00B43F1D" w:rsidRPr="00997100">
        <w:rPr>
          <w:snapToGrid w:val="0"/>
          <w:lang w:val="fr-FR"/>
        </w:rPr>
        <w:t> TC</w:t>
      </w:r>
      <w:r w:rsidRPr="00997100">
        <w:rPr>
          <w:snapToGrid w:val="0"/>
          <w:lang w:val="fr-FR"/>
        </w:rPr>
        <w:t xml:space="preserve"> a examiné les résultats des délibérations du TWO, du TWV, du TWF, du TWA et du TWC à leurs sessions de 2019 indiqués aux paragraphes 19 à 26 du </w:t>
      </w:r>
      <w:r w:rsidR="00B43F1D" w:rsidRPr="00997100">
        <w:rPr>
          <w:snapToGrid w:val="0"/>
          <w:lang w:val="fr-FR"/>
        </w:rPr>
        <w:t>document</w:t>
      </w:r>
      <w:r w:rsidR="008C34BA" w:rsidRPr="00997100">
        <w:rPr>
          <w:snapToGrid w:val="0"/>
          <w:lang w:val="fr-FR"/>
        </w:rPr>
        <w:t> </w:t>
      </w:r>
      <w:r w:rsidR="00B43F1D" w:rsidRPr="00997100">
        <w:rPr>
          <w:snapToGrid w:val="0"/>
          <w:lang w:val="fr-FR"/>
        </w:rPr>
        <w:t>TC</w:t>
      </w:r>
      <w:r w:rsidRPr="00997100">
        <w:rPr>
          <w:snapToGrid w:val="0"/>
          <w:lang w:val="fr-FR"/>
        </w:rPr>
        <w:t>/55/10, reproduits ci</w:t>
      </w:r>
      <w:r w:rsidR="00B43F1D" w:rsidRPr="00997100">
        <w:rPr>
          <w:snapToGrid w:val="0"/>
          <w:lang w:val="fr-FR"/>
        </w:rPr>
        <w:t>-</w:t>
      </w:r>
      <w:r w:rsidR="003A0EE1" w:rsidRPr="00997100">
        <w:rPr>
          <w:snapToGrid w:val="0"/>
          <w:lang w:val="fr-FR"/>
        </w:rPr>
        <w:t>après</w:t>
      </w:r>
      <w:r w:rsidR="00B43F1D" w:rsidRPr="00997100">
        <w:rPr>
          <w:snapToGrid w:val="0"/>
          <w:lang w:val="fr-FR"/>
        </w:rPr>
        <w:t> :</w:t>
      </w:r>
    </w:p>
    <w:p w:rsidR="005278EE" w:rsidRPr="00997100" w:rsidRDefault="005278EE" w:rsidP="00807712">
      <w:pPr>
        <w:rPr>
          <w:snapToGrid w:val="0"/>
          <w:lang w:val="fr-FR"/>
        </w:rPr>
      </w:pPr>
    </w:p>
    <w:p w:rsidR="005278EE" w:rsidRPr="00997100" w:rsidRDefault="003F09A7" w:rsidP="003F09A7">
      <w:pPr>
        <w:pStyle w:val="Heading3"/>
        <w:ind w:left="567"/>
        <w:rPr>
          <w:sz w:val="18"/>
          <w:lang w:val="fr-FR"/>
        </w:rPr>
      </w:pPr>
      <w:r w:rsidRPr="00997100">
        <w:rPr>
          <w:sz w:val="18"/>
          <w:lang w:val="fr-FR"/>
        </w:rPr>
        <w:t>“Questions techniques et questions administratives connexes</w:t>
      </w:r>
      <w:r w:rsidR="00B43F1D" w:rsidRPr="00997100">
        <w:rPr>
          <w:sz w:val="18"/>
          <w:lang w:val="fr-FR"/>
        </w:rPr>
        <w:t> :</w:t>
      </w:r>
    </w:p>
    <w:p w:rsidR="005278EE" w:rsidRPr="00997100" w:rsidRDefault="005278EE" w:rsidP="00807712">
      <w:pPr>
        <w:keepNext/>
        <w:ind w:left="567"/>
        <w:rPr>
          <w:i/>
          <w:sz w:val="18"/>
          <w:lang w:val="fr-FR"/>
        </w:rPr>
      </w:pPr>
    </w:p>
    <w:p w:rsidR="005278EE" w:rsidRPr="00997100" w:rsidRDefault="003F09A7" w:rsidP="003F09A7">
      <w:pPr>
        <w:numPr>
          <w:ilvl w:val="0"/>
          <w:numId w:val="1"/>
        </w:numPr>
        <w:spacing w:after="120"/>
        <w:ind w:left="1700" w:right="562" w:hanging="562"/>
        <w:rPr>
          <w:sz w:val="18"/>
          <w:szCs w:val="22"/>
          <w:lang w:val="fr-FR"/>
        </w:rPr>
      </w:pPr>
      <w:r w:rsidRPr="00997100">
        <w:rPr>
          <w:sz w:val="18"/>
          <w:szCs w:val="22"/>
          <w:lang w:val="fr-FR"/>
        </w:rPr>
        <w:t>“Expérience suffisante pour conduire l</w:t>
      </w:r>
      <w:r w:rsidR="00B43F1D" w:rsidRPr="00997100">
        <w:rPr>
          <w:sz w:val="18"/>
          <w:szCs w:val="22"/>
          <w:lang w:val="fr-FR"/>
        </w:rPr>
        <w:t>’</w:t>
      </w:r>
      <w:r w:rsidRPr="00997100">
        <w:rPr>
          <w:sz w:val="18"/>
          <w:szCs w:val="22"/>
          <w:lang w:val="fr-FR"/>
        </w:rPr>
        <w:t>examen DHS pour une plante particulière/qualité de l</w:t>
      </w:r>
      <w:r w:rsidR="00B43F1D" w:rsidRPr="00997100">
        <w:rPr>
          <w:sz w:val="18"/>
          <w:szCs w:val="22"/>
          <w:lang w:val="fr-FR"/>
        </w:rPr>
        <w:t>’</w:t>
      </w:r>
      <w:r w:rsidRPr="00997100">
        <w:rPr>
          <w:sz w:val="18"/>
          <w:szCs w:val="22"/>
          <w:lang w:val="fr-FR"/>
        </w:rPr>
        <w:t>examen effectué</w:t>
      </w:r>
    </w:p>
    <w:p w:rsidR="005278EE" w:rsidRPr="00997100" w:rsidRDefault="003F09A7" w:rsidP="003F09A7">
      <w:pPr>
        <w:numPr>
          <w:ilvl w:val="0"/>
          <w:numId w:val="1"/>
        </w:numPr>
        <w:spacing w:after="120"/>
        <w:ind w:left="1700" w:right="562" w:hanging="562"/>
        <w:rPr>
          <w:sz w:val="18"/>
          <w:szCs w:val="22"/>
          <w:lang w:val="fr-FR"/>
        </w:rPr>
      </w:pPr>
      <w:r w:rsidRPr="00997100">
        <w:rPr>
          <w:sz w:val="18"/>
          <w:szCs w:val="22"/>
          <w:lang w:val="fr-FR"/>
        </w:rPr>
        <w:t>“Collection de variétés appropriée</w:t>
      </w:r>
    </w:p>
    <w:p w:rsidR="005278EE" w:rsidRPr="00997100" w:rsidRDefault="003F09A7" w:rsidP="003F09A7">
      <w:pPr>
        <w:numPr>
          <w:ilvl w:val="0"/>
          <w:numId w:val="1"/>
        </w:numPr>
        <w:spacing w:after="120"/>
        <w:ind w:left="1700" w:right="562" w:hanging="562"/>
        <w:rPr>
          <w:sz w:val="18"/>
          <w:szCs w:val="22"/>
          <w:lang w:val="fr-FR"/>
        </w:rPr>
      </w:pPr>
      <w:r w:rsidRPr="00997100">
        <w:rPr>
          <w:sz w:val="18"/>
          <w:szCs w:val="22"/>
          <w:lang w:val="fr-FR"/>
        </w:rPr>
        <w:t>“Informations sur les variétés prises en considération dans l</w:t>
      </w:r>
      <w:r w:rsidR="00B43F1D" w:rsidRPr="00997100">
        <w:rPr>
          <w:sz w:val="18"/>
          <w:szCs w:val="22"/>
          <w:lang w:val="fr-FR"/>
        </w:rPr>
        <w:t>’</w:t>
      </w:r>
      <w:r w:rsidRPr="00997100">
        <w:rPr>
          <w:sz w:val="18"/>
          <w:szCs w:val="22"/>
          <w:lang w:val="fr-FR"/>
        </w:rPr>
        <w:t>examen DHS</w:t>
      </w:r>
    </w:p>
    <w:p w:rsidR="005278EE" w:rsidRPr="00997100" w:rsidRDefault="003F09A7" w:rsidP="003F09A7">
      <w:pPr>
        <w:numPr>
          <w:ilvl w:val="0"/>
          <w:numId w:val="1"/>
        </w:numPr>
        <w:spacing w:after="120"/>
        <w:ind w:left="1700" w:right="562" w:hanging="562"/>
        <w:rPr>
          <w:sz w:val="18"/>
          <w:szCs w:val="22"/>
          <w:lang w:val="fr-FR"/>
        </w:rPr>
      </w:pPr>
      <w:r w:rsidRPr="00997100">
        <w:rPr>
          <w:sz w:val="18"/>
          <w:szCs w:val="22"/>
          <w:lang w:val="fr-FR"/>
        </w:rPr>
        <w:t>“Différentes descriptions dues à l</w:t>
      </w:r>
      <w:r w:rsidR="00B43F1D" w:rsidRPr="00997100">
        <w:rPr>
          <w:sz w:val="18"/>
          <w:szCs w:val="22"/>
          <w:lang w:val="fr-FR"/>
        </w:rPr>
        <w:t>’</w:t>
      </w:r>
      <w:r w:rsidRPr="00997100">
        <w:rPr>
          <w:sz w:val="18"/>
          <w:szCs w:val="22"/>
          <w:lang w:val="fr-FR"/>
        </w:rPr>
        <w:t>influence du milieu sur l</w:t>
      </w:r>
      <w:r w:rsidR="00B43F1D" w:rsidRPr="00997100">
        <w:rPr>
          <w:sz w:val="18"/>
          <w:szCs w:val="22"/>
          <w:lang w:val="fr-FR"/>
        </w:rPr>
        <w:t>’</w:t>
      </w:r>
      <w:r w:rsidRPr="00997100">
        <w:rPr>
          <w:sz w:val="18"/>
          <w:szCs w:val="22"/>
          <w:lang w:val="fr-FR"/>
        </w:rPr>
        <w:t>expression des caractères</w:t>
      </w:r>
    </w:p>
    <w:p w:rsidR="005278EE" w:rsidRPr="00997100" w:rsidRDefault="003F09A7" w:rsidP="003F09A7">
      <w:pPr>
        <w:numPr>
          <w:ilvl w:val="0"/>
          <w:numId w:val="1"/>
        </w:numPr>
        <w:spacing w:after="120"/>
        <w:ind w:left="1700" w:right="562" w:hanging="562"/>
        <w:rPr>
          <w:sz w:val="18"/>
          <w:szCs w:val="22"/>
          <w:lang w:val="fr-FR"/>
        </w:rPr>
      </w:pPr>
      <w:r w:rsidRPr="00997100">
        <w:rPr>
          <w:sz w:val="18"/>
          <w:szCs w:val="22"/>
          <w:lang w:val="fr-FR"/>
        </w:rPr>
        <w:t>“Pas d</w:t>
      </w:r>
      <w:r w:rsidR="00B43F1D" w:rsidRPr="00997100">
        <w:rPr>
          <w:sz w:val="18"/>
          <w:szCs w:val="22"/>
          <w:lang w:val="fr-FR"/>
        </w:rPr>
        <w:t>’</w:t>
      </w:r>
      <w:r w:rsidRPr="00997100">
        <w:rPr>
          <w:sz w:val="18"/>
          <w:szCs w:val="22"/>
          <w:lang w:val="fr-FR"/>
        </w:rPr>
        <w:t>évaluation ou protocoles et nomenclatures différents pour les caractères de résistance aux maladies</w:t>
      </w:r>
    </w:p>
    <w:p w:rsidR="005278EE" w:rsidRPr="00997100" w:rsidRDefault="003F09A7" w:rsidP="003F09A7">
      <w:pPr>
        <w:numPr>
          <w:ilvl w:val="0"/>
          <w:numId w:val="1"/>
        </w:numPr>
        <w:spacing w:after="120"/>
        <w:ind w:left="1700" w:right="562" w:hanging="562"/>
        <w:rPr>
          <w:sz w:val="18"/>
          <w:szCs w:val="22"/>
          <w:lang w:val="fr-FR"/>
        </w:rPr>
      </w:pPr>
      <w:r w:rsidRPr="00997100">
        <w:rPr>
          <w:sz w:val="18"/>
          <w:szCs w:val="22"/>
          <w:lang w:val="fr-FR"/>
        </w:rPr>
        <w:t>“Nécessité de décrire une variété de comparaison spécifique par rapport à la variété candidate</w:t>
      </w:r>
    </w:p>
    <w:p w:rsidR="005278EE" w:rsidRPr="00997100" w:rsidRDefault="003F09A7" w:rsidP="003F09A7">
      <w:pPr>
        <w:numPr>
          <w:ilvl w:val="0"/>
          <w:numId w:val="1"/>
        </w:numPr>
        <w:spacing w:after="120"/>
        <w:ind w:left="1700" w:right="562" w:hanging="562"/>
        <w:rPr>
          <w:sz w:val="18"/>
          <w:szCs w:val="22"/>
          <w:lang w:val="fr-FR"/>
        </w:rPr>
      </w:pPr>
      <w:r w:rsidRPr="00997100">
        <w:rPr>
          <w:sz w:val="18"/>
          <w:szCs w:val="22"/>
          <w:lang w:val="fr-FR"/>
        </w:rPr>
        <w:t>“Manque d</w:t>
      </w:r>
      <w:r w:rsidR="00B43F1D" w:rsidRPr="00997100">
        <w:rPr>
          <w:sz w:val="18"/>
          <w:szCs w:val="22"/>
          <w:lang w:val="fr-FR"/>
        </w:rPr>
        <w:t>’</w:t>
      </w:r>
      <w:r w:rsidRPr="00997100">
        <w:rPr>
          <w:sz w:val="18"/>
          <w:szCs w:val="22"/>
          <w:lang w:val="fr-FR"/>
        </w:rPr>
        <w:t>informations sur les contrôles de qualité relatifs à l</w:t>
      </w:r>
      <w:r w:rsidR="00B43F1D" w:rsidRPr="00997100">
        <w:rPr>
          <w:sz w:val="18"/>
          <w:szCs w:val="22"/>
          <w:lang w:val="fr-FR"/>
        </w:rPr>
        <w:t>’</w:t>
      </w:r>
      <w:r w:rsidRPr="00997100">
        <w:rPr>
          <w:sz w:val="18"/>
          <w:szCs w:val="22"/>
          <w:lang w:val="fr-FR"/>
        </w:rPr>
        <w:t>examen DHS sur l</w:t>
      </w:r>
      <w:r w:rsidR="00B43F1D" w:rsidRPr="00997100">
        <w:rPr>
          <w:sz w:val="18"/>
          <w:szCs w:val="22"/>
          <w:lang w:val="fr-FR"/>
        </w:rPr>
        <w:t>’</w:t>
      </w:r>
      <w:r w:rsidRPr="00997100">
        <w:rPr>
          <w:sz w:val="18"/>
          <w:szCs w:val="22"/>
          <w:lang w:val="fr-FR"/>
        </w:rPr>
        <w:t>exploitation de l</w:t>
      </w:r>
      <w:r w:rsidR="00B43F1D" w:rsidRPr="00997100">
        <w:rPr>
          <w:sz w:val="18"/>
          <w:szCs w:val="22"/>
          <w:lang w:val="fr-FR"/>
        </w:rPr>
        <w:t>’</w:t>
      </w:r>
      <w:r w:rsidRPr="00997100">
        <w:rPr>
          <w:sz w:val="18"/>
          <w:szCs w:val="22"/>
          <w:lang w:val="fr-FR"/>
        </w:rPr>
        <w:t>obtenteur</w:t>
      </w:r>
    </w:p>
    <w:p w:rsidR="005278EE" w:rsidRPr="00997100" w:rsidRDefault="003F09A7" w:rsidP="003F09A7">
      <w:pPr>
        <w:numPr>
          <w:ilvl w:val="0"/>
          <w:numId w:val="1"/>
        </w:numPr>
        <w:spacing w:after="120"/>
        <w:ind w:left="1700" w:right="562" w:hanging="562"/>
        <w:rPr>
          <w:sz w:val="18"/>
          <w:szCs w:val="22"/>
          <w:lang w:val="fr-FR"/>
        </w:rPr>
      </w:pPr>
      <w:r w:rsidRPr="00997100">
        <w:rPr>
          <w:sz w:val="18"/>
          <w:szCs w:val="22"/>
          <w:lang w:val="fr-FR"/>
        </w:rPr>
        <w:t>“Non</w:t>
      </w:r>
      <w:r w:rsidR="00B43F1D" w:rsidRPr="00997100">
        <w:rPr>
          <w:sz w:val="18"/>
          <w:szCs w:val="22"/>
          <w:lang w:val="fr-FR"/>
        </w:rPr>
        <w:t>-</w:t>
      </w:r>
      <w:r w:rsidRPr="00997100">
        <w:rPr>
          <w:sz w:val="18"/>
          <w:szCs w:val="22"/>
          <w:lang w:val="fr-FR"/>
        </w:rPr>
        <w:t>conformité des rapports d</w:t>
      </w:r>
      <w:r w:rsidR="00B43F1D" w:rsidRPr="00997100">
        <w:rPr>
          <w:sz w:val="18"/>
          <w:szCs w:val="22"/>
          <w:lang w:val="fr-FR"/>
        </w:rPr>
        <w:t>’</w:t>
      </w:r>
      <w:r w:rsidRPr="00997100">
        <w:rPr>
          <w:sz w:val="18"/>
          <w:szCs w:val="22"/>
          <w:lang w:val="fr-FR"/>
        </w:rPr>
        <w:t>examen DHS par rapport aux principes directeurs d</w:t>
      </w:r>
      <w:r w:rsidR="00B43F1D" w:rsidRPr="00997100">
        <w:rPr>
          <w:sz w:val="18"/>
          <w:szCs w:val="22"/>
          <w:lang w:val="fr-FR"/>
        </w:rPr>
        <w:t>’</w:t>
      </w:r>
      <w:r w:rsidRPr="00997100">
        <w:rPr>
          <w:sz w:val="18"/>
          <w:szCs w:val="22"/>
          <w:lang w:val="fr-FR"/>
        </w:rPr>
        <w:t>examen de l</w:t>
      </w:r>
      <w:r w:rsidR="00B43F1D" w:rsidRPr="00997100">
        <w:rPr>
          <w:sz w:val="18"/>
          <w:szCs w:val="22"/>
          <w:lang w:val="fr-FR"/>
        </w:rPr>
        <w:t>’</w:t>
      </w:r>
      <w:r w:rsidRPr="00997100">
        <w:rPr>
          <w:sz w:val="18"/>
          <w:szCs w:val="22"/>
          <w:lang w:val="fr-FR"/>
        </w:rPr>
        <w:t>UPOV (caractères manquants ou différents)</w:t>
      </w:r>
    </w:p>
    <w:p w:rsidR="005278EE" w:rsidRPr="00997100" w:rsidRDefault="003F09A7" w:rsidP="003F09A7">
      <w:pPr>
        <w:numPr>
          <w:ilvl w:val="0"/>
          <w:numId w:val="1"/>
        </w:numPr>
        <w:spacing w:after="120"/>
        <w:ind w:left="1700" w:right="562" w:hanging="562"/>
        <w:rPr>
          <w:sz w:val="18"/>
          <w:szCs w:val="22"/>
          <w:lang w:val="fr-FR"/>
        </w:rPr>
      </w:pPr>
      <w:r w:rsidRPr="00997100">
        <w:rPr>
          <w:sz w:val="18"/>
          <w:szCs w:val="22"/>
          <w:lang w:val="fr-FR"/>
        </w:rPr>
        <w:t>“Difficulté à compléter les collections de variétés (p. ex. difficultés relatives à l</w:t>
      </w:r>
      <w:r w:rsidR="00B43F1D" w:rsidRPr="00997100">
        <w:rPr>
          <w:sz w:val="18"/>
          <w:szCs w:val="22"/>
          <w:lang w:val="fr-FR"/>
        </w:rPr>
        <w:t>’</w:t>
      </w:r>
      <w:r w:rsidRPr="00997100">
        <w:rPr>
          <w:sz w:val="18"/>
          <w:szCs w:val="22"/>
          <w:lang w:val="fr-FR"/>
        </w:rPr>
        <w:t>importation ou d</w:t>
      </w:r>
      <w:r w:rsidR="00B43F1D" w:rsidRPr="00997100">
        <w:rPr>
          <w:sz w:val="18"/>
          <w:szCs w:val="22"/>
          <w:lang w:val="fr-FR"/>
        </w:rPr>
        <w:t>’</w:t>
      </w:r>
      <w:r w:rsidRPr="00997100">
        <w:rPr>
          <w:sz w:val="18"/>
          <w:szCs w:val="22"/>
          <w:lang w:val="fr-FR"/>
        </w:rPr>
        <w:t>ordre phytosanitaire)</w:t>
      </w:r>
    </w:p>
    <w:p w:rsidR="005278EE" w:rsidRPr="00997100" w:rsidRDefault="003F09A7" w:rsidP="003F09A7">
      <w:pPr>
        <w:numPr>
          <w:ilvl w:val="0"/>
          <w:numId w:val="1"/>
        </w:numPr>
        <w:spacing w:after="120"/>
        <w:ind w:left="1700" w:right="562" w:hanging="562"/>
        <w:rPr>
          <w:sz w:val="18"/>
          <w:szCs w:val="22"/>
          <w:lang w:val="fr-FR"/>
        </w:rPr>
      </w:pPr>
      <w:r w:rsidRPr="00997100">
        <w:rPr>
          <w:sz w:val="18"/>
          <w:szCs w:val="22"/>
          <w:lang w:val="fr-FR"/>
        </w:rPr>
        <w:t>“Manque de base de données d</w:t>
      </w:r>
      <w:r w:rsidR="00B43F1D" w:rsidRPr="00997100">
        <w:rPr>
          <w:sz w:val="18"/>
          <w:szCs w:val="22"/>
          <w:lang w:val="fr-FR"/>
        </w:rPr>
        <w:t>’</w:t>
      </w:r>
      <w:r w:rsidRPr="00997100">
        <w:rPr>
          <w:sz w:val="18"/>
          <w:szCs w:val="22"/>
          <w:lang w:val="fr-FR"/>
        </w:rPr>
        <w:t>ADN mondiale pour la sélection de variétés similaires</w:t>
      </w:r>
    </w:p>
    <w:p w:rsidR="005278EE" w:rsidRPr="00997100" w:rsidRDefault="003F09A7" w:rsidP="003F09A7">
      <w:pPr>
        <w:numPr>
          <w:ilvl w:val="0"/>
          <w:numId w:val="1"/>
        </w:numPr>
        <w:spacing w:after="120"/>
        <w:ind w:left="1700" w:right="562" w:hanging="562"/>
        <w:rPr>
          <w:sz w:val="18"/>
          <w:szCs w:val="22"/>
          <w:lang w:val="fr-FR"/>
        </w:rPr>
      </w:pPr>
      <w:r w:rsidRPr="00997100">
        <w:rPr>
          <w:sz w:val="18"/>
          <w:szCs w:val="22"/>
          <w:lang w:val="fr-FR"/>
        </w:rPr>
        <w:t>“Barrières linguistiques</w:t>
      </w:r>
    </w:p>
    <w:p w:rsidR="005278EE" w:rsidRPr="00997100" w:rsidRDefault="003F09A7" w:rsidP="003F09A7">
      <w:pPr>
        <w:numPr>
          <w:ilvl w:val="0"/>
          <w:numId w:val="1"/>
        </w:numPr>
        <w:spacing w:after="120"/>
        <w:ind w:left="1700" w:right="562" w:hanging="562"/>
        <w:rPr>
          <w:sz w:val="18"/>
          <w:szCs w:val="22"/>
          <w:lang w:val="fr-FR"/>
        </w:rPr>
      </w:pPr>
      <w:r w:rsidRPr="00997100">
        <w:rPr>
          <w:sz w:val="18"/>
          <w:szCs w:val="22"/>
          <w:lang w:val="fr-FR"/>
        </w:rPr>
        <w:t>“Difficulté à identifier les interlocuteurs</w:t>
      </w:r>
    </w:p>
    <w:p w:rsidR="00B43F1D" w:rsidRPr="00997100" w:rsidRDefault="003F09A7" w:rsidP="003F09A7">
      <w:pPr>
        <w:numPr>
          <w:ilvl w:val="0"/>
          <w:numId w:val="1"/>
        </w:numPr>
        <w:spacing w:after="120"/>
        <w:ind w:left="1700" w:right="562" w:hanging="562"/>
        <w:rPr>
          <w:sz w:val="18"/>
          <w:szCs w:val="22"/>
          <w:lang w:val="fr-FR"/>
        </w:rPr>
      </w:pPr>
      <w:r w:rsidRPr="00997100">
        <w:rPr>
          <w:sz w:val="18"/>
          <w:szCs w:val="22"/>
          <w:lang w:val="fr-FR"/>
        </w:rPr>
        <w:t>“Manque d</w:t>
      </w:r>
      <w:r w:rsidR="00B43F1D" w:rsidRPr="00997100">
        <w:rPr>
          <w:sz w:val="18"/>
          <w:szCs w:val="22"/>
          <w:lang w:val="fr-FR"/>
        </w:rPr>
        <w:t>’</w:t>
      </w:r>
      <w:r w:rsidRPr="00997100">
        <w:rPr>
          <w:sz w:val="18"/>
          <w:szCs w:val="22"/>
          <w:lang w:val="fr-FR"/>
        </w:rPr>
        <w:t>informations sur les rapports d</w:t>
      </w:r>
      <w:r w:rsidR="00B43F1D" w:rsidRPr="00997100">
        <w:rPr>
          <w:sz w:val="18"/>
          <w:szCs w:val="22"/>
          <w:lang w:val="fr-FR"/>
        </w:rPr>
        <w:t>’</w:t>
      </w:r>
      <w:r w:rsidRPr="00997100">
        <w:rPr>
          <w:sz w:val="18"/>
          <w:szCs w:val="22"/>
          <w:lang w:val="fr-FR"/>
        </w:rPr>
        <w:t>examen DHS disponibles</w:t>
      </w:r>
    </w:p>
    <w:p w:rsidR="005278EE" w:rsidRPr="00997100" w:rsidRDefault="003F09A7" w:rsidP="003F09A7">
      <w:pPr>
        <w:pStyle w:val="Heading3"/>
        <w:ind w:left="567"/>
        <w:rPr>
          <w:sz w:val="18"/>
          <w:lang w:val="fr-FR"/>
        </w:rPr>
      </w:pPr>
      <w:r w:rsidRPr="00997100">
        <w:rPr>
          <w:sz w:val="18"/>
          <w:lang w:val="fr-FR"/>
        </w:rPr>
        <w:t>“Questions politiques ou juridiques</w:t>
      </w:r>
      <w:r w:rsidR="00B43F1D" w:rsidRPr="00997100">
        <w:rPr>
          <w:sz w:val="18"/>
          <w:lang w:val="fr-FR"/>
        </w:rPr>
        <w:t> :</w:t>
      </w:r>
    </w:p>
    <w:p w:rsidR="005278EE" w:rsidRPr="00997100" w:rsidRDefault="005278EE" w:rsidP="00807712">
      <w:pPr>
        <w:keepNext/>
        <w:ind w:left="567"/>
        <w:outlineLvl w:val="2"/>
        <w:rPr>
          <w:i/>
          <w:sz w:val="18"/>
          <w:lang w:val="fr-FR"/>
        </w:rPr>
      </w:pPr>
    </w:p>
    <w:p w:rsidR="005278EE" w:rsidRPr="00997100" w:rsidRDefault="003F09A7" w:rsidP="003F09A7">
      <w:pPr>
        <w:numPr>
          <w:ilvl w:val="0"/>
          <w:numId w:val="1"/>
        </w:numPr>
        <w:spacing w:after="120"/>
        <w:ind w:left="1700" w:right="562" w:hanging="562"/>
        <w:rPr>
          <w:sz w:val="18"/>
          <w:szCs w:val="22"/>
          <w:lang w:val="fr-FR"/>
        </w:rPr>
      </w:pPr>
      <w:r w:rsidRPr="00997100">
        <w:rPr>
          <w:sz w:val="18"/>
          <w:szCs w:val="22"/>
          <w:lang w:val="fr-FR"/>
        </w:rPr>
        <w:t>“Besoin d</w:t>
      </w:r>
      <w:r w:rsidR="00B43F1D" w:rsidRPr="00997100">
        <w:rPr>
          <w:sz w:val="18"/>
          <w:szCs w:val="22"/>
          <w:lang w:val="fr-FR"/>
        </w:rPr>
        <w:t>’</w:t>
      </w:r>
      <w:r w:rsidRPr="00997100">
        <w:rPr>
          <w:sz w:val="18"/>
          <w:szCs w:val="22"/>
          <w:lang w:val="fr-FR"/>
        </w:rPr>
        <w:t>un accord de coopération formel</w:t>
      </w:r>
    </w:p>
    <w:p w:rsidR="005278EE" w:rsidRPr="00997100" w:rsidRDefault="003F09A7" w:rsidP="003F09A7">
      <w:pPr>
        <w:numPr>
          <w:ilvl w:val="0"/>
          <w:numId w:val="1"/>
        </w:numPr>
        <w:spacing w:after="120"/>
        <w:ind w:left="1700" w:right="562" w:hanging="562"/>
        <w:rPr>
          <w:sz w:val="18"/>
          <w:szCs w:val="22"/>
          <w:lang w:val="fr-FR"/>
        </w:rPr>
      </w:pPr>
      <w:r w:rsidRPr="00997100">
        <w:rPr>
          <w:sz w:val="18"/>
          <w:szCs w:val="22"/>
          <w:lang w:val="fr-FR"/>
        </w:rPr>
        <w:t>“L</w:t>
      </w:r>
      <w:r w:rsidR="00B43F1D" w:rsidRPr="00997100">
        <w:rPr>
          <w:sz w:val="18"/>
          <w:szCs w:val="22"/>
          <w:lang w:val="fr-FR"/>
        </w:rPr>
        <w:t>’</w:t>
      </w:r>
      <w:r w:rsidRPr="00997100">
        <w:rPr>
          <w:sz w:val="18"/>
          <w:szCs w:val="22"/>
          <w:lang w:val="fr-FR"/>
        </w:rPr>
        <w:t>examen DHS doit être conduit par le service chargé de l</w:t>
      </w:r>
      <w:r w:rsidR="00B43F1D" w:rsidRPr="00997100">
        <w:rPr>
          <w:sz w:val="18"/>
          <w:szCs w:val="22"/>
          <w:lang w:val="fr-FR"/>
        </w:rPr>
        <w:t>’</w:t>
      </w:r>
      <w:r w:rsidRPr="00997100">
        <w:rPr>
          <w:sz w:val="18"/>
          <w:szCs w:val="22"/>
          <w:lang w:val="fr-FR"/>
        </w:rPr>
        <w:t>octroi des droits</w:t>
      </w:r>
    </w:p>
    <w:p w:rsidR="00B43F1D" w:rsidRPr="00997100" w:rsidRDefault="003F09A7" w:rsidP="003F09A7">
      <w:pPr>
        <w:numPr>
          <w:ilvl w:val="0"/>
          <w:numId w:val="1"/>
        </w:numPr>
        <w:spacing w:after="120"/>
        <w:ind w:left="1700" w:right="562" w:hanging="562"/>
        <w:rPr>
          <w:sz w:val="18"/>
          <w:szCs w:val="22"/>
          <w:lang w:val="fr-FR"/>
        </w:rPr>
      </w:pPr>
      <w:r w:rsidRPr="00997100">
        <w:rPr>
          <w:sz w:val="18"/>
          <w:szCs w:val="22"/>
          <w:lang w:val="fr-FR"/>
        </w:rPr>
        <w:t>“Non</w:t>
      </w:r>
      <w:r w:rsidR="00B43F1D" w:rsidRPr="00997100">
        <w:rPr>
          <w:sz w:val="18"/>
          <w:szCs w:val="22"/>
          <w:lang w:val="fr-FR"/>
        </w:rPr>
        <w:t>-</w:t>
      </w:r>
      <w:r w:rsidRPr="00997100">
        <w:rPr>
          <w:sz w:val="18"/>
          <w:szCs w:val="22"/>
          <w:lang w:val="fr-FR"/>
        </w:rPr>
        <w:t>acceptation des rapports d</w:t>
      </w:r>
      <w:r w:rsidR="00B43F1D" w:rsidRPr="00997100">
        <w:rPr>
          <w:sz w:val="18"/>
          <w:szCs w:val="22"/>
          <w:lang w:val="fr-FR"/>
        </w:rPr>
        <w:t>’</w:t>
      </w:r>
      <w:r w:rsidRPr="00997100">
        <w:rPr>
          <w:sz w:val="18"/>
          <w:szCs w:val="22"/>
          <w:lang w:val="fr-FR"/>
        </w:rPr>
        <w:t>examen DHS établis par l</w:t>
      </w:r>
      <w:r w:rsidR="00B43F1D" w:rsidRPr="00997100">
        <w:rPr>
          <w:sz w:val="18"/>
          <w:szCs w:val="22"/>
          <w:lang w:val="fr-FR"/>
        </w:rPr>
        <w:t>’</w:t>
      </w:r>
      <w:r w:rsidRPr="00997100">
        <w:rPr>
          <w:sz w:val="18"/>
          <w:szCs w:val="22"/>
          <w:lang w:val="fr-FR"/>
        </w:rPr>
        <w:t>obtenteur</w:t>
      </w:r>
    </w:p>
    <w:p w:rsidR="005278EE" w:rsidRPr="00997100" w:rsidRDefault="005F2F6A" w:rsidP="003F09A7">
      <w:pPr>
        <w:numPr>
          <w:ilvl w:val="0"/>
          <w:numId w:val="1"/>
        </w:numPr>
        <w:spacing w:after="120"/>
        <w:ind w:left="1700" w:right="562" w:hanging="562"/>
        <w:rPr>
          <w:sz w:val="18"/>
          <w:szCs w:val="22"/>
          <w:lang w:val="fr-FR"/>
        </w:rPr>
      </w:pPr>
      <w:r>
        <w:rPr>
          <w:sz w:val="18"/>
          <w:szCs w:val="22"/>
          <w:lang w:val="fr-FR"/>
        </w:rPr>
        <w:t xml:space="preserve">“Volonté (on non) </w:t>
      </w:r>
      <w:r w:rsidR="003F09A7" w:rsidRPr="00997100">
        <w:rPr>
          <w:sz w:val="18"/>
          <w:szCs w:val="22"/>
          <w:lang w:val="fr-FR"/>
        </w:rPr>
        <w:t>des obtenteurs d</w:t>
      </w:r>
      <w:r w:rsidR="00B43F1D" w:rsidRPr="00997100">
        <w:rPr>
          <w:sz w:val="18"/>
          <w:szCs w:val="22"/>
          <w:lang w:val="fr-FR"/>
        </w:rPr>
        <w:t>’</w:t>
      </w:r>
      <w:r w:rsidR="003F09A7" w:rsidRPr="00997100">
        <w:rPr>
          <w:sz w:val="18"/>
          <w:szCs w:val="22"/>
          <w:lang w:val="fr-FR"/>
        </w:rPr>
        <w:t>utiliser les rapports d</w:t>
      </w:r>
      <w:r w:rsidR="00B43F1D" w:rsidRPr="00997100">
        <w:rPr>
          <w:sz w:val="18"/>
          <w:szCs w:val="22"/>
          <w:lang w:val="fr-FR"/>
        </w:rPr>
        <w:t>’</w:t>
      </w:r>
      <w:r w:rsidR="003F09A7" w:rsidRPr="00997100">
        <w:rPr>
          <w:sz w:val="18"/>
          <w:szCs w:val="22"/>
          <w:lang w:val="fr-FR"/>
        </w:rPr>
        <w:t>examen DHS existants</w:t>
      </w:r>
      <w:r>
        <w:rPr>
          <w:sz w:val="18"/>
          <w:szCs w:val="22"/>
          <w:lang w:val="fr-FR"/>
        </w:rPr>
        <w:t>”.</w:t>
      </w:r>
    </w:p>
    <w:p w:rsidR="005278EE" w:rsidRPr="00997100" w:rsidRDefault="005278EE" w:rsidP="00807712">
      <w:pPr>
        <w:tabs>
          <w:tab w:val="left" w:pos="567"/>
        </w:tabs>
        <w:rPr>
          <w:lang w:val="fr-FR"/>
        </w:rPr>
      </w:pPr>
    </w:p>
    <w:p w:rsidR="005278EE" w:rsidRPr="00997100" w:rsidRDefault="003F09A7" w:rsidP="003F09A7">
      <w:pPr>
        <w:keepNext/>
        <w:rPr>
          <w:lang w:val="fr-FR"/>
        </w:rPr>
      </w:pPr>
      <w:r w:rsidRPr="00997100">
        <w:rPr>
          <w:lang w:val="fr-FR"/>
        </w:rPr>
        <w:t>À sa cinquante</w:t>
      </w:r>
      <w:r w:rsidR="00B43F1D" w:rsidRPr="00997100">
        <w:rPr>
          <w:lang w:val="fr-FR"/>
        </w:rPr>
        <w:t>-</w:t>
      </w:r>
      <w:r w:rsidRPr="00997100">
        <w:rPr>
          <w:lang w:val="fr-FR"/>
        </w:rPr>
        <w:t>cinqu</w:t>
      </w:r>
      <w:r w:rsidR="00B43F1D" w:rsidRPr="00997100">
        <w:rPr>
          <w:lang w:val="fr-FR"/>
        </w:rPr>
        <w:t>ième session</w:t>
      </w:r>
      <w:r w:rsidRPr="00997100">
        <w:rPr>
          <w:lang w:val="fr-FR"/>
        </w:rPr>
        <w:t>, le</w:t>
      </w:r>
      <w:r w:rsidR="00B43F1D" w:rsidRPr="00997100">
        <w:rPr>
          <w:lang w:val="fr-FR"/>
        </w:rPr>
        <w:t> TC</w:t>
      </w:r>
      <w:r w:rsidRPr="00997100">
        <w:rPr>
          <w:lang w:val="fr-FR"/>
        </w:rPr>
        <w:t xml:space="preserve"> est convenu de rendre compte au CAJ des questions politiques ou juridiques connexes présentées aux paragraphes 27 et 28 du </w:t>
      </w:r>
      <w:r w:rsidR="00B43F1D" w:rsidRPr="00997100">
        <w:rPr>
          <w:lang w:val="fr-FR"/>
        </w:rPr>
        <w:t>document</w:t>
      </w:r>
      <w:r w:rsidR="008C34BA" w:rsidRPr="00997100">
        <w:rPr>
          <w:lang w:val="fr-FR"/>
        </w:rPr>
        <w:t> </w:t>
      </w:r>
      <w:r w:rsidR="00B43F1D" w:rsidRPr="00997100">
        <w:rPr>
          <w:lang w:val="fr-FR"/>
        </w:rPr>
        <w:t>TC</w:t>
      </w:r>
      <w:r w:rsidRPr="00997100">
        <w:rPr>
          <w:lang w:val="fr-FR"/>
        </w:rPr>
        <w:t xml:space="preserve">/55/10, </w:t>
      </w:r>
      <w:r w:rsidR="001B30B5" w:rsidRPr="00997100">
        <w:rPr>
          <w:lang w:val="fr-FR"/>
        </w:rPr>
        <w:t>reproduites</w:t>
      </w:r>
      <w:r w:rsidRPr="00997100">
        <w:rPr>
          <w:lang w:val="fr-FR"/>
        </w:rPr>
        <w:t xml:space="preserve"> ci</w:t>
      </w:r>
      <w:r w:rsidR="008C34BA" w:rsidRPr="00997100">
        <w:rPr>
          <w:lang w:val="fr-FR"/>
        </w:rPr>
        <w:t>-d</w:t>
      </w:r>
      <w:r w:rsidRPr="00997100">
        <w:rPr>
          <w:lang w:val="fr-FR"/>
        </w:rPr>
        <w:t>essous</w:t>
      </w:r>
      <w:r w:rsidR="00B43F1D" w:rsidRPr="00997100">
        <w:rPr>
          <w:lang w:val="fr-FR"/>
        </w:rPr>
        <w:t> :</w:t>
      </w:r>
    </w:p>
    <w:p w:rsidR="005278EE" w:rsidRPr="00997100" w:rsidRDefault="005278EE" w:rsidP="00807712">
      <w:pPr>
        <w:keepNext/>
        <w:rPr>
          <w:lang w:val="fr-FR"/>
        </w:rPr>
      </w:pPr>
    </w:p>
    <w:p w:rsidR="005278EE" w:rsidRPr="00997100" w:rsidRDefault="003F09A7" w:rsidP="003F09A7">
      <w:pPr>
        <w:pStyle w:val="ListParagraph"/>
        <w:keepNext/>
        <w:numPr>
          <w:ilvl w:val="0"/>
          <w:numId w:val="1"/>
        </w:numPr>
        <w:spacing w:after="120" w:line="240" w:lineRule="auto"/>
        <w:ind w:left="1700" w:right="562" w:hanging="562"/>
        <w:contextualSpacing w:val="0"/>
        <w:jc w:val="both"/>
        <w:rPr>
          <w:sz w:val="18"/>
          <w:lang w:val="fr-FR"/>
        </w:rPr>
      </w:pPr>
      <w:r w:rsidRPr="00997100">
        <w:rPr>
          <w:sz w:val="18"/>
          <w:lang w:val="fr-FR"/>
        </w:rPr>
        <w:t>“Besoin d</w:t>
      </w:r>
      <w:r w:rsidR="00B43F1D" w:rsidRPr="00997100">
        <w:rPr>
          <w:sz w:val="18"/>
          <w:lang w:val="fr-FR"/>
        </w:rPr>
        <w:t>’</w:t>
      </w:r>
      <w:r w:rsidRPr="00997100">
        <w:rPr>
          <w:sz w:val="18"/>
          <w:lang w:val="fr-FR"/>
        </w:rPr>
        <w:t>un accord de coopération formel</w:t>
      </w:r>
    </w:p>
    <w:p w:rsidR="005278EE" w:rsidRPr="00997100" w:rsidRDefault="003F09A7" w:rsidP="003F09A7">
      <w:pPr>
        <w:pStyle w:val="ListParagraph"/>
        <w:numPr>
          <w:ilvl w:val="0"/>
          <w:numId w:val="1"/>
        </w:numPr>
        <w:spacing w:after="120" w:line="240" w:lineRule="auto"/>
        <w:ind w:left="1700" w:right="562" w:hanging="562"/>
        <w:contextualSpacing w:val="0"/>
        <w:jc w:val="both"/>
        <w:rPr>
          <w:sz w:val="18"/>
          <w:lang w:val="fr-FR"/>
        </w:rPr>
      </w:pPr>
      <w:r w:rsidRPr="00997100">
        <w:rPr>
          <w:sz w:val="18"/>
          <w:lang w:val="fr-FR"/>
        </w:rPr>
        <w:t>“L</w:t>
      </w:r>
      <w:r w:rsidR="00B43F1D" w:rsidRPr="00997100">
        <w:rPr>
          <w:sz w:val="18"/>
          <w:lang w:val="fr-FR"/>
        </w:rPr>
        <w:t>’</w:t>
      </w:r>
      <w:r w:rsidRPr="00997100">
        <w:rPr>
          <w:sz w:val="18"/>
          <w:lang w:val="fr-FR"/>
        </w:rPr>
        <w:t>examen DHS doit être conduit par le service chargé de l</w:t>
      </w:r>
      <w:r w:rsidR="00B43F1D" w:rsidRPr="00997100">
        <w:rPr>
          <w:sz w:val="18"/>
          <w:lang w:val="fr-FR"/>
        </w:rPr>
        <w:t>’</w:t>
      </w:r>
      <w:r w:rsidRPr="00997100">
        <w:rPr>
          <w:sz w:val="18"/>
          <w:lang w:val="fr-FR"/>
        </w:rPr>
        <w:t>octroi des droits</w:t>
      </w:r>
    </w:p>
    <w:p w:rsidR="00B43F1D" w:rsidRPr="00997100" w:rsidRDefault="003F09A7" w:rsidP="003F09A7">
      <w:pPr>
        <w:pStyle w:val="ListParagraph"/>
        <w:numPr>
          <w:ilvl w:val="0"/>
          <w:numId w:val="1"/>
        </w:numPr>
        <w:spacing w:after="120" w:line="240" w:lineRule="auto"/>
        <w:ind w:left="1700" w:right="562" w:hanging="562"/>
        <w:contextualSpacing w:val="0"/>
        <w:jc w:val="both"/>
        <w:rPr>
          <w:sz w:val="18"/>
          <w:lang w:val="fr-FR"/>
        </w:rPr>
      </w:pPr>
      <w:r w:rsidRPr="00997100">
        <w:rPr>
          <w:sz w:val="18"/>
          <w:lang w:val="fr-FR"/>
        </w:rPr>
        <w:t>“Non</w:t>
      </w:r>
      <w:r w:rsidR="00B43F1D" w:rsidRPr="00997100">
        <w:rPr>
          <w:sz w:val="18"/>
          <w:lang w:val="fr-FR"/>
        </w:rPr>
        <w:t>-</w:t>
      </w:r>
      <w:r w:rsidRPr="00997100">
        <w:rPr>
          <w:sz w:val="18"/>
          <w:lang w:val="fr-FR"/>
        </w:rPr>
        <w:t>acceptation des rapports d</w:t>
      </w:r>
      <w:r w:rsidR="00B43F1D" w:rsidRPr="00997100">
        <w:rPr>
          <w:sz w:val="18"/>
          <w:lang w:val="fr-FR"/>
        </w:rPr>
        <w:t>’</w:t>
      </w:r>
      <w:r w:rsidRPr="00997100">
        <w:rPr>
          <w:sz w:val="18"/>
          <w:lang w:val="fr-FR"/>
        </w:rPr>
        <w:t>examen DHS établis par l</w:t>
      </w:r>
      <w:r w:rsidR="00B43F1D" w:rsidRPr="00997100">
        <w:rPr>
          <w:sz w:val="18"/>
          <w:lang w:val="fr-FR"/>
        </w:rPr>
        <w:t>’</w:t>
      </w:r>
      <w:r w:rsidRPr="00997100">
        <w:rPr>
          <w:sz w:val="18"/>
          <w:lang w:val="fr-FR"/>
        </w:rPr>
        <w:t>obtenteur</w:t>
      </w:r>
    </w:p>
    <w:p w:rsidR="005278EE" w:rsidRPr="00997100" w:rsidRDefault="005F2F6A" w:rsidP="003F09A7">
      <w:pPr>
        <w:pStyle w:val="ListParagraph"/>
        <w:numPr>
          <w:ilvl w:val="0"/>
          <w:numId w:val="1"/>
        </w:numPr>
        <w:spacing w:after="0" w:line="240" w:lineRule="auto"/>
        <w:ind w:left="1700" w:right="562" w:hanging="562"/>
        <w:contextualSpacing w:val="0"/>
        <w:jc w:val="both"/>
        <w:rPr>
          <w:sz w:val="18"/>
          <w:lang w:val="fr-FR"/>
        </w:rPr>
      </w:pPr>
      <w:r>
        <w:rPr>
          <w:sz w:val="18"/>
          <w:lang w:val="fr-FR"/>
        </w:rPr>
        <w:t xml:space="preserve">“Volonté (on non) </w:t>
      </w:r>
      <w:r w:rsidR="003F09A7" w:rsidRPr="00997100">
        <w:rPr>
          <w:sz w:val="18"/>
          <w:lang w:val="fr-FR"/>
        </w:rPr>
        <w:t>des obtenteurs d</w:t>
      </w:r>
      <w:r w:rsidR="00B43F1D" w:rsidRPr="00997100">
        <w:rPr>
          <w:sz w:val="18"/>
          <w:lang w:val="fr-FR"/>
        </w:rPr>
        <w:t>’</w:t>
      </w:r>
      <w:r w:rsidR="003F09A7" w:rsidRPr="00997100">
        <w:rPr>
          <w:sz w:val="18"/>
          <w:lang w:val="fr-FR"/>
        </w:rPr>
        <w:t>utiliser les rapports d</w:t>
      </w:r>
      <w:r w:rsidR="00B43F1D" w:rsidRPr="00997100">
        <w:rPr>
          <w:sz w:val="18"/>
          <w:lang w:val="fr-FR"/>
        </w:rPr>
        <w:t>’</w:t>
      </w:r>
      <w:r w:rsidR="003F09A7" w:rsidRPr="00997100">
        <w:rPr>
          <w:sz w:val="18"/>
          <w:lang w:val="fr-FR"/>
        </w:rPr>
        <w:t>examen DHS existants”.</w:t>
      </w:r>
    </w:p>
    <w:p w:rsidR="005278EE" w:rsidRPr="00997100" w:rsidRDefault="005278EE" w:rsidP="00807712">
      <w:pPr>
        <w:rPr>
          <w:lang w:val="fr-FR"/>
        </w:rPr>
      </w:pPr>
    </w:p>
    <w:p w:rsidR="00B43F1D" w:rsidRPr="00997100" w:rsidRDefault="003F09A7" w:rsidP="003F09A7">
      <w:pPr>
        <w:keepNext/>
        <w:keepLines/>
        <w:tabs>
          <w:tab w:val="left" w:pos="567"/>
        </w:tabs>
        <w:rPr>
          <w:spacing w:val="2"/>
          <w:lang w:val="fr-FR"/>
        </w:rPr>
      </w:pPr>
      <w:r w:rsidRPr="00997100">
        <w:rPr>
          <w:spacing w:val="2"/>
          <w:lang w:val="fr-FR"/>
        </w:rPr>
        <w:lastRenderedPageBreak/>
        <w:t>À sa cinquante</w:t>
      </w:r>
      <w:r w:rsidR="00B43F1D" w:rsidRPr="00997100">
        <w:rPr>
          <w:spacing w:val="2"/>
          <w:lang w:val="fr-FR"/>
        </w:rPr>
        <w:t>-</w:t>
      </w:r>
      <w:r w:rsidRPr="00997100">
        <w:rPr>
          <w:spacing w:val="2"/>
          <w:lang w:val="fr-FR"/>
        </w:rPr>
        <w:t>six</w:t>
      </w:r>
      <w:r w:rsidR="00B43F1D" w:rsidRPr="00997100">
        <w:rPr>
          <w:spacing w:val="2"/>
          <w:lang w:val="fr-FR"/>
        </w:rPr>
        <w:t>ième session</w:t>
      </w:r>
      <w:r w:rsidRPr="00997100">
        <w:rPr>
          <w:rStyle w:val="FootnoteReference"/>
          <w:spacing w:val="2"/>
          <w:lang w:val="fr-FR"/>
        </w:rPr>
        <w:footnoteReference w:id="9"/>
      </w:r>
      <w:r w:rsidRPr="00997100">
        <w:rPr>
          <w:spacing w:val="2"/>
          <w:lang w:val="fr-FR"/>
        </w:rPr>
        <w:t>, le</w:t>
      </w:r>
      <w:r w:rsidR="00B43F1D" w:rsidRPr="00997100">
        <w:rPr>
          <w:spacing w:val="2"/>
          <w:lang w:val="fr-FR"/>
        </w:rPr>
        <w:t> TC</w:t>
      </w:r>
      <w:r w:rsidRPr="00997100">
        <w:rPr>
          <w:spacing w:val="2"/>
          <w:lang w:val="fr-FR"/>
        </w:rPr>
        <w:t xml:space="preserve"> a indiqué qu</w:t>
      </w:r>
      <w:r w:rsidR="00B43F1D" w:rsidRPr="00997100">
        <w:rPr>
          <w:spacing w:val="2"/>
          <w:lang w:val="fr-FR"/>
        </w:rPr>
        <w:t>’</w:t>
      </w:r>
      <w:r w:rsidRPr="00997100">
        <w:rPr>
          <w:spacing w:val="2"/>
          <w:lang w:val="fr-FR"/>
        </w:rPr>
        <w:t xml:space="preserve">il avait examiné le </w:t>
      </w:r>
      <w:r w:rsidR="00B43F1D" w:rsidRPr="00997100">
        <w:rPr>
          <w:spacing w:val="2"/>
          <w:lang w:val="fr-FR"/>
        </w:rPr>
        <w:t>document</w:t>
      </w:r>
      <w:r w:rsidR="008C34BA" w:rsidRPr="00997100">
        <w:rPr>
          <w:spacing w:val="2"/>
          <w:lang w:val="fr-FR"/>
        </w:rPr>
        <w:t> </w:t>
      </w:r>
      <w:r w:rsidR="00B43F1D" w:rsidRPr="00997100">
        <w:rPr>
          <w:spacing w:val="2"/>
          <w:lang w:val="fr-FR"/>
        </w:rPr>
        <w:t>TC</w:t>
      </w:r>
      <w:r w:rsidRPr="00997100">
        <w:rPr>
          <w:spacing w:val="2"/>
          <w:lang w:val="fr-FR"/>
        </w:rPr>
        <w:t>/56/11 par correspondance.</w:t>
      </w:r>
      <w:r w:rsidR="00807712" w:rsidRPr="00997100">
        <w:rPr>
          <w:spacing w:val="2"/>
          <w:lang w:val="fr-FR"/>
        </w:rPr>
        <w:t xml:space="preserve">  </w:t>
      </w:r>
      <w:r w:rsidRPr="00997100">
        <w:rPr>
          <w:spacing w:val="2"/>
          <w:lang w:val="fr-FR"/>
        </w:rPr>
        <w:t xml:space="preserve">Il a noté que les décisions concernant le </w:t>
      </w:r>
      <w:r w:rsidR="00B43F1D" w:rsidRPr="00997100">
        <w:rPr>
          <w:spacing w:val="2"/>
          <w:lang w:val="fr-FR"/>
        </w:rPr>
        <w:t>document</w:t>
      </w:r>
      <w:r w:rsidR="008C34BA" w:rsidRPr="00997100">
        <w:rPr>
          <w:spacing w:val="2"/>
          <w:lang w:val="fr-FR"/>
        </w:rPr>
        <w:t> </w:t>
      </w:r>
      <w:r w:rsidR="00B43F1D" w:rsidRPr="00997100">
        <w:rPr>
          <w:spacing w:val="2"/>
          <w:lang w:val="fr-FR"/>
        </w:rPr>
        <w:t>TC</w:t>
      </w:r>
      <w:r w:rsidRPr="00997100">
        <w:rPr>
          <w:spacing w:val="2"/>
          <w:lang w:val="fr-FR"/>
        </w:rPr>
        <w:t>/56/11 avaient été prises par le</w:t>
      </w:r>
      <w:r w:rsidR="00B43F1D" w:rsidRPr="00997100">
        <w:rPr>
          <w:spacing w:val="2"/>
          <w:lang w:val="fr-FR"/>
        </w:rPr>
        <w:t> TC</w:t>
      </w:r>
      <w:r w:rsidRPr="00997100">
        <w:rPr>
          <w:spacing w:val="2"/>
          <w:lang w:val="fr-FR"/>
        </w:rPr>
        <w:t xml:space="preserve"> par correspondance et figuraient aux paragraphes 39 à 44 du </w:t>
      </w:r>
      <w:r w:rsidR="00B43F1D" w:rsidRPr="00997100">
        <w:rPr>
          <w:spacing w:val="2"/>
          <w:lang w:val="fr-FR"/>
        </w:rPr>
        <w:t>document</w:t>
      </w:r>
      <w:r w:rsidR="008C34BA" w:rsidRPr="00997100">
        <w:rPr>
          <w:spacing w:val="2"/>
          <w:lang w:val="fr-FR"/>
        </w:rPr>
        <w:t> </w:t>
      </w:r>
      <w:r w:rsidR="00B43F1D" w:rsidRPr="00997100">
        <w:rPr>
          <w:spacing w:val="2"/>
          <w:lang w:val="fr-FR"/>
        </w:rPr>
        <w:t>TC</w:t>
      </w:r>
      <w:r w:rsidRPr="00997100">
        <w:rPr>
          <w:spacing w:val="2"/>
          <w:lang w:val="fr-FR"/>
        </w:rPr>
        <w:t>/56/22, reproduits ci</w:t>
      </w:r>
      <w:r w:rsidR="00B43F1D" w:rsidRPr="00997100">
        <w:rPr>
          <w:spacing w:val="2"/>
          <w:lang w:val="fr-FR"/>
        </w:rPr>
        <w:t>-</w:t>
      </w:r>
      <w:r w:rsidRPr="00997100">
        <w:rPr>
          <w:spacing w:val="2"/>
          <w:lang w:val="fr-FR"/>
        </w:rPr>
        <w:t>dessous</w:t>
      </w:r>
      <w:r w:rsidR="00B43F1D" w:rsidRPr="00997100">
        <w:rPr>
          <w:spacing w:val="2"/>
          <w:lang w:val="fr-FR"/>
        </w:rPr>
        <w:t> :</w:t>
      </w:r>
    </w:p>
    <w:p w:rsidR="005278EE" w:rsidRPr="00997100" w:rsidRDefault="005278EE" w:rsidP="00807712">
      <w:pPr>
        <w:keepNext/>
        <w:keepLines/>
        <w:jc w:val="left"/>
        <w:rPr>
          <w:sz w:val="18"/>
          <w:lang w:val="fr-FR"/>
        </w:rPr>
      </w:pPr>
    </w:p>
    <w:p w:rsidR="005278EE" w:rsidRPr="00997100" w:rsidRDefault="00807712" w:rsidP="005F2F6A">
      <w:pPr>
        <w:tabs>
          <w:tab w:val="left" w:pos="1701"/>
        </w:tabs>
        <w:ind w:left="1134" w:right="567"/>
        <w:jc w:val="left"/>
        <w:rPr>
          <w:sz w:val="18"/>
          <w:lang w:val="fr-FR"/>
        </w:rPr>
      </w:pPr>
      <w:r w:rsidRPr="00997100">
        <w:rPr>
          <w:sz w:val="18"/>
          <w:lang w:val="fr-FR"/>
        </w:rPr>
        <w:t>“39.</w:t>
      </w:r>
      <w:r w:rsidRPr="00997100">
        <w:rPr>
          <w:sz w:val="18"/>
          <w:lang w:val="fr-FR"/>
        </w:rPr>
        <w:tab/>
      </w:r>
      <w:r w:rsidR="00103459" w:rsidRPr="00997100">
        <w:rPr>
          <w:sz w:val="18"/>
          <w:lang w:val="fr-FR"/>
        </w:rPr>
        <w:t>Le</w:t>
      </w:r>
      <w:r w:rsidR="00B43F1D" w:rsidRPr="00997100">
        <w:rPr>
          <w:sz w:val="18"/>
          <w:lang w:val="fr-FR"/>
        </w:rPr>
        <w:t> TC</w:t>
      </w:r>
      <w:r w:rsidR="00103459" w:rsidRPr="00997100">
        <w:rPr>
          <w:sz w:val="18"/>
          <w:lang w:val="fr-FR"/>
        </w:rPr>
        <w:t xml:space="preserve"> a examiné le</w:t>
      </w:r>
      <w:r w:rsidR="00B43F1D" w:rsidRPr="00997100">
        <w:rPr>
          <w:sz w:val="18"/>
          <w:lang w:val="fr-FR"/>
        </w:rPr>
        <w:t> TC</w:t>
      </w:r>
      <w:r w:rsidRPr="00997100">
        <w:rPr>
          <w:sz w:val="18"/>
          <w:lang w:val="fr-FR"/>
        </w:rPr>
        <w:t>/56/11.</w:t>
      </w:r>
    </w:p>
    <w:p w:rsidR="005278EE" w:rsidRPr="00997100" w:rsidRDefault="005278EE" w:rsidP="005F2F6A">
      <w:pPr>
        <w:tabs>
          <w:tab w:val="left" w:pos="1701"/>
        </w:tabs>
        <w:ind w:left="1134" w:right="567"/>
        <w:jc w:val="left"/>
        <w:rPr>
          <w:sz w:val="18"/>
          <w:lang w:val="fr-FR"/>
        </w:rPr>
      </w:pPr>
    </w:p>
    <w:p w:rsidR="005278EE" w:rsidRPr="00997100" w:rsidRDefault="003F09A7" w:rsidP="003F09A7">
      <w:pPr>
        <w:keepNext/>
        <w:tabs>
          <w:tab w:val="left" w:pos="567"/>
          <w:tab w:val="left" w:pos="1134"/>
          <w:tab w:val="left" w:pos="1701"/>
          <w:tab w:val="left" w:pos="5387"/>
        </w:tabs>
        <w:ind w:left="1134" w:right="567"/>
        <w:rPr>
          <w:snapToGrid w:val="0"/>
          <w:sz w:val="18"/>
          <w:lang w:val="fr-FR"/>
        </w:rPr>
      </w:pPr>
      <w:r w:rsidRPr="00997100">
        <w:rPr>
          <w:snapToGrid w:val="0"/>
          <w:sz w:val="18"/>
          <w:lang w:val="fr-FR"/>
        </w:rPr>
        <w:t>“40.</w:t>
      </w:r>
      <w:r w:rsidRPr="00997100">
        <w:rPr>
          <w:snapToGrid w:val="0"/>
          <w:sz w:val="18"/>
          <w:lang w:val="fr-FR"/>
        </w:rPr>
        <w:tab/>
        <w:t>Le</w:t>
      </w:r>
      <w:r w:rsidR="00B43F1D" w:rsidRPr="00997100">
        <w:rPr>
          <w:snapToGrid w:val="0"/>
          <w:sz w:val="18"/>
          <w:lang w:val="fr-FR"/>
        </w:rPr>
        <w:t> TC</w:t>
      </w:r>
      <w:r w:rsidRPr="00997100">
        <w:rPr>
          <w:snapToGrid w:val="0"/>
          <w:sz w:val="18"/>
          <w:lang w:val="fr-FR"/>
        </w:rPr>
        <w:t xml:space="preserve"> a noté que les membres de l</w:t>
      </w:r>
      <w:r w:rsidR="00B43F1D" w:rsidRPr="00997100">
        <w:rPr>
          <w:snapToGrid w:val="0"/>
          <w:sz w:val="18"/>
          <w:lang w:val="fr-FR"/>
        </w:rPr>
        <w:t>’</w:t>
      </w:r>
      <w:r w:rsidRPr="00997100">
        <w:rPr>
          <w:snapToGrid w:val="0"/>
          <w:sz w:val="18"/>
          <w:lang w:val="fr-FR"/>
        </w:rPr>
        <w:t>Union ont la possibilité de mettre à jour les coordonnées des personnes à contacter pour les questions concernant la coopération internationale en matière d</w:t>
      </w:r>
      <w:r w:rsidR="00B43F1D" w:rsidRPr="00997100">
        <w:rPr>
          <w:snapToGrid w:val="0"/>
          <w:sz w:val="18"/>
          <w:lang w:val="fr-FR"/>
        </w:rPr>
        <w:t>’</w:t>
      </w:r>
      <w:r w:rsidRPr="00997100">
        <w:rPr>
          <w:snapToGrid w:val="0"/>
          <w:sz w:val="18"/>
          <w:lang w:val="fr-FR"/>
        </w:rPr>
        <w:t>examen DHS de la manière suivante</w:t>
      </w:r>
      <w:r w:rsidR="00B43F1D" w:rsidRPr="00997100">
        <w:rPr>
          <w:snapToGrid w:val="0"/>
          <w:sz w:val="18"/>
          <w:lang w:val="fr-FR"/>
        </w:rPr>
        <w:t> :</w:t>
      </w:r>
    </w:p>
    <w:p w:rsidR="005278EE" w:rsidRPr="00997100" w:rsidRDefault="005278EE" w:rsidP="00807712">
      <w:pPr>
        <w:keepNext/>
        <w:tabs>
          <w:tab w:val="left" w:pos="1701"/>
          <w:tab w:val="left" w:pos="2268"/>
        </w:tabs>
        <w:ind w:left="1134" w:right="567"/>
        <w:rPr>
          <w:snapToGrid w:val="0"/>
          <w:sz w:val="18"/>
          <w:lang w:val="fr-FR"/>
        </w:rPr>
      </w:pPr>
    </w:p>
    <w:p w:rsidR="005278EE" w:rsidRPr="00997100" w:rsidRDefault="003F09A7" w:rsidP="003F09A7">
      <w:pPr>
        <w:keepNext/>
        <w:keepLines/>
        <w:tabs>
          <w:tab w:val="left" w:pos="567"/>
          <w:tab w:val="left" w:pos="1134"/>
          <w:tab w:val="left" w:pos="1701"/>
          <w:tab w:val="left" w:pos="2268"/>
          <w:tab w:val="left" w:pos="5387"/>
          <w:tab w:val="left" w:pos="6521"/>
        </w:tabs>
        <w:ind w:left="1134" w:right="567" w:firstLine="567"/>
        <w:rPr>
          <w:snapToGrid w:val="0"/>
          <w:sz w:val="18"/>
          <w:lang w:val="fr-FR"/>
        </w:rPr>
      </w:pPr>
      <w:r w:rsidRPr="00997100">
        <w:rPr>
          <w:snapToGrid w:val="0"/>
          <w:sz w:val="18"/>
          <w:lang w:val="fr-FR"/>
        </w:rPr>
        <w:t>“i)</w:t>
      </w:r>
      <w:r w:rsidRPr="00997100">
        <w:rPr>
          <w:snapToGrid w:val="0"/>
          <w:sz w:val="18"/>
          <w:lang w:val="fr-FR"/>
        </w:rPr>
        <w:tab/>
        <w:t>mettre à jour les coordonnées lorsqu</w:t>
      </w:r>
      <w:r w:rsidR="00B43F1D" w:rsidRPr="00997100">
        <w:rPr>
          <w:snapToGrid w:val="0"/>
          <w:sz w:val="18"/>
          <w:lang w:val="fr-FR"/>
        </w:rPr>
        <w:t>’</w:t>
      </w:r>
      <w:r w:rsidRPr="00997100">
        <w:rPr>
          <w:snapToGrid w:val="0"/>
          <w:sz w:val="18"/>
          <w:lang w:val="fr-FR"/>
        </w:rPr>
        <w:t xml:space="preserve">ils sont invités à fournir des informations pour le </w:t>
      </w:r>
      <w:r w:rsidR="00B43F1D" w:rsidRPr="00997100">
        <w:rPr>
          <w:snapToGrid w:val="0"/>
          <w:sz w:val="18"/>
          <w:lang w:val="fr-FR"/>
        </w:rPr>
        <w:t>document</w:t>
      </w:r>
      <w:r w:rsidR="008C34BA" w:rsidRPr="00997100">
        <w:rPr>
          <w:snapToGrid w:val="0"/>
          <w:sz w:val="18"/>
          <w:lang w:val="fr-FR"/>
        </w:rPr>
        <w:t> </w:t>
      </w:r>
      <w:r w:rsidR="00B43F1D" w:rsidRPr="00997100">
        <w:rPr>
          <w:snapToGrid w:val="0"/>
          <w:sz w:val="18"/>
          <w:lang w:val="fr-FR"/>
        </w:rPr>
        <w:t>TC</w:t>
      </w:r>
      <w:r w:rsidR="005F2F6A">
        <w:rPr>
          <w:snapToGrid w:val="0"/>
          <w:sz w:val="18"/>
          <w:lang w:val="fr-FR"/>
        </w:rPr>
        <w:t>/[xx]/4 ‘</w:t>
      </w:r>
      <w:r w:rsidRPr="00997100">
        <w:rPr>
          <w:snapToGrid w:val="0"/>
          <w:sz w:val="18"/>
          <w:lang w:val="fr-FR"/>
        </w:rPr>
        <w:t>Liste des genres et espèces pour lesquels les services ont une expérience pratique en matière d</w:t>
      </w:r>
      <w:r w:rsidR="00B43F1D" w:rsidRPr="00997100">
        <w:rPr>
          <w:snapToGrid w:val="0"/>
          <w:sz w:val="18"/>
          <w:lang w:val="fr-FR"/>
        </w:rPr>
        <w:t>’</w:t>
      </w:r>
      <w:r w:rsidRPr="00997100">
        <w:rPr>
          <w:snapToGrid w:val="0"/>
          <w:sz w:val="18"/>
          <w:lang w:val="fr-FR"/>
        </w:rPr>
        <w:t>examen de la distinction, de l</w:t>
      </w:r>
      <w:r w:rsidR="00B43F1D" w:rsidRPr="00997100">
        <w:rPr>
          <w:snapToGrid w:val="0"/>
          <w:sz w:val="18"/>
          <w:lang w:val="fr-FR"/>
        </w:rPr>
        <w:t>’</w:t>
      </w:r>
      <w:r w:rsidRPr="00997100">
        <w:rPr>
          <w:snapToGrid w:val="0"/>
          <w:sz w:val="18"/>
          <w:lang w:val="fr-FR"/>
        </w:rPr>
        <w:t>homogénéité et de la stabilité</w:t>
      </w:r>
      <w:r w:rsidR="005F2F6A">
        <w:rPr>
          <w:snapToGrid w:val="0"/>
          <w:sz w:val="18"/>
          <w:lang w:val="fr-FR"/>
        </w:rPr>
        <w:t>’</w:t>
      </w:r>
      <w:r w:rsidRPr="00997100">
        <w:rPr>
          <w:snapToGrid w:val="0"/>
          <w:sz w:val="18"/>
          <w:lang w:val="fr-FR"/>
        </w:rPr>
        <w:t xml:space="preserve"> ou</w:t>
      </w:r>
    </w:p>
    <w:p w:rsidR="005278EE" w:rsidRPr="00997100" w:rsidRDefault="005278EE" w:rsidP="00807712">
      <w:pPr>
        <w:tabs>
          <w:tab w:val="left" w:pos="1701"/>
          <w:tab w:val="left" w:pos="2268"/>
        </w:tabs>
        <w:ind w:left="1134" w:right="567"/>
        <w:rPr>
          <w:snapToGrid w:val="0"/>
          <w:sz w:val="18"/>
          <w:lang w:val="fr-FR"/>
        </w:rPr>
      </w:pPr>
    </w:p>
    <w:p w:rsidR="005278EE" w:rsidRPr="00997100" w:rsidRDefault="005F2F6A" w:rsidP="00807712">
      <w:pPr>
        <w:keepNext/>
        <w:keepLines/>
        <w:tabs>
          <w:tab w:val="left" w:pos="567"/>
          <w:tab w:val="left" w:pos="1134"/>
          <w:tab w:val="left" w:pos="1701"/>
          <w:tab w:val="left" w:pos="2268"/>
          <w:tab w:val="left" w:pos="5387"/>
          <w:tab w:val="left" w:pos="6521"/>
        </w:tabs>
        <w:ind w:left="1134" w:right="567" w:firstLine="567"/>
        <w:rPr>
          <w:sz w:val="18"/>
          <w:lang w:val="fr-FR"/>
        </w:rPr>
      </w:pPr>
      <w:r>
        <w:rPr>
          <w:sz w:val="18"/>
          <w:lang w:val="fr-FR"/>
        </w:rPr>
        <w:t>“</w:t>
      </w:r>
      <w:r w:rsidR="00807712" w:rsidRPr="00997100">
        <w:rPr>
          <w:sz w:val="18"/>
          <w:lang w:val="fr-FR"/>
        </w:rPr>
        <w:t>ii)</w:t>
      </w:r>
      <w:r w:rsidR="00807712" w:rsidRPr="00997100">
        <w:rPr>
          <w:sz w:val="18"/>
          <w:lang w:val="fr-FR"/>
        </w:rPr>
        <w:tab/>
      </w:r>
      <w:r w:rsidR="00103459" w:rsidRPr="00997100">
        <w:rPr>
          <w:snapToGrid w:val="0"/>
          <w:spacing w:val="-2"/>
          <w:sz w:val="18"/>
          <w:lang w:val="fr-FR"/>
        </w:rPr>
        <w:t>informer le Bureau de l</w:t>
      </w:r>
      <w:r w:rsidR="00B43F1D" w:rsidRPr="00997100">
        <w:rPr>
          <w:snapToGrid w:val="0"/>
          <w:spacing w:val="-2"/>
          <w:sz w:val="18"/>
          <w:lang w:val="fr-FR"/>
        </w:rPr>
        <w:t>’</w:t>
      </w:r>
      <w:r w:rsidR="00103459" w:rsidRPr="00997100">
        <w:rPr>
          <w:snapToGrid w:val="0"/>
          <w:spacing w:val="-2"/>
          <w:sz w:val="18"/>
          <w:lang w:val="fr-FR"/>
        </w:rPr>
        <w:t>Union en envoyant un message électronique à l</w:t>
      </w:r>
      <w:r w:rsidR="00B43F1D" w:rsidRPr="00997100">
        <w:rPr>
          <w:snapToGrid w:val="0"/>
          <w:spacing w:val="-2"/>
          <w:sz w:val="18"/>
          <w:lang w:val="fr-FR"/>
        </w:rPr>
        <w:t>’</w:t>
      </w:r>
      <w:r w:rsidR="00103459" w:rsidRPr="00997100">
        <w:rPr>
          <w:snapToGrid w:val="0"/>
          <w:spacing w:val="-2"/>
          <w:sz w:val="18"/>
          <w:lang w:val="fr-FR"/>
        </w:rPr>
        <w:t xml:space="preserve">adresse </w:t>
      </w:r>
      <w:hyperlink r:id="rId10" w:history="1">
        <w:r w:rsidR="00103459" w:rsidRPr="008D5A24">
          <w:rPr>
            <w:rStyle w:val="Hyperlink"/>
            <w:snapToGrid w:val="0"/>
            <w:spacing w:val="-2"/>
            <w:sz w:val="18"/>
            <w:lang w:val="fr-FR"/>
          </w:rPr>
          <w:t>upov.mail@upov.int</w:t>
        </w:r>
      </w:hyperlink>
      <w:r w:rsidR="00103459" w:rsidRPr="00997100">
        <w:rPr>
          <w:snapToGrid w:val="0"/>
          <w:spacing w:val="-2"/>
          <w:sz w:val="18"/>
          <w:lang w:val="fr-FR"/>
        </w:rPr>
        <w:t>.</w:t>
      </w:r>
    </w:p>
    <w:p w:rsidR="005278EE" w:rsidRPr="00997100" w:rsidRDefault="005278EE" w:rsidP="00807712">
      <w:pPr>
        <w:tabs>
          <w:tab w:val="left" w:pos="567"/>
          <w:tab w:val="left" w:pos="1134"/>
          <w:tab w:val="left" w:pos="1701"/>
        </w:tabs>
        <w:ind w:left="1134" w:right="567"/>
        <w:rPr>
          <w:sz w:val="18"/>
          <w:lang w:val="fr-FR"/>
        </w:rPr>
      </w:pPr>
    </w:p>
    <w:p w:rsidR="00B43F1D" w:rsidRPr="00997100" w:rsidRDefault="00807712" w:rsidP="00807712">
      <w:pPr>
        <w:tabs>
          <w:tab w:val="left" w:pos="567"/>
          <w:tab w:val="left" w:pos="1134"/>
          <w:tab w:val="left" w:pos="1701"/>
          <w:tab w:val="left" w:pos="5387"/>
          <w:tab w:val="left" w:pos="5954"/>
        </w:tabs>
        <w:ind w:left="1134" w:right="567"/>
        <w:rPr>
          <w:sz w:val="18"/>
          <w:lang w:val="fr-FR"/>
        </w:rPr>
      </w:pPr>
      <w:r w:rsidRPr="00997100">
        <w:rPr>
          <w:snapToGrid w:val="0"/>
          <w:sz w:val="18"/>
          <w:lang w:val="fr-FR"/>
        </w:rPr>
        <w:t>“41.</w:t>
      </w:r>
      <w:r w:rsidRPr="00997100">
        <w:rPr>
          <w:snapToGrid w:val="0"/>
          <w:sz w:val="18"/>
          <w:lang w:val="fr-FR"/>
        </w:rPr>
        <w:tab/>
      </w:r>
      <w:r w:rsidR="00103459" w:rsidRPr="00997100">
        <w:rPr>
          <w:snapToGrid w:val="0"/>
          <w:sz w:val="18"/>
          <w:lang w:val="fr-FR"/>
        </w:rPr>
        <w:t>Le</w:t>
      </w:r>
      <w:r w:rsidR="00B43F1D" w:rsidRPr="00997100">
        <w:rPr>
          <w:snapToGrid w:val="0"/>
          <w:sz w:val="18"/>
          <w:lang w:val="fr-FR"/>
        </w:rPr>
        <w:t> TC</w:t>
      </w:r>
      <w:r w:rsidR="00103459" w:rsidRPr="00997100">
        <w:rPr>
          <w:snapToGrid w:val="0"/>
          <w:sz w:val="18"/>
          <w:lang w:val="fr-FR"/>
        </w:rPr>
        <w:t xml:space="preserve"> est convenu de proposer la mise au point d</w:t>
      </w:r>
      <w:r w:rsidR="00B43F1D" w:rsidRPr="00997100">
        <w:rPr>
          <w:snapToGrid w:val="0"/>
          <w:sz w:val="18"/>
          <w:lang w:val="fr-FR"/>
        </w:rPr>
        <w:t>’</w:t>
      </w:r>
      <w:r w:rsidR="00103459" w:rsidRPr="00997100">
        <w:rPr>
          <w:snapToGrid w:val="0"/>
          <w:sz w:val="18"/>
          <w:lang w:val="fr-FR"/>
        </w:rPr>
        <w:t>un ensemble d</w:t>
      </w:r>
      <w:r w:rsidR="00B43F1D" w:rsidRPr="00997100">
        <w:rPr>
          <w:snapToGrid w:val="0"/>
          <w:sz w:val="18"/>
          <w:lang w:val="fr-FR"/>
        </w:rPr>
        <w:t>’</w:t>
      </w:r>
      <w:r w:rsidR="00103459" w:rsidRPr="00997100">
        <w:rPr>
          <w:snapToGrid w:val="0"/>
          <w:sz w:val="18"/>
          <w:lang w:val="fr-FR"/>
        </w:rPr>
        <w:t>outils informatiques compatibles comprenant les éléments suivants</w:t>
      </w:r>
      <w:r w:rsidR="00B43F1D" w:rsidRPr="00997100">
        <w:rPr>
          <w:snapToGrid w:val="0"/>
          <w:sz w:val="18"/>
          <w:lang w:val="fr-FR"/>
        </w:rPr>
        <w:t> :</w:t>
      </w:r>
    </w:p>
    <w:p w:rsidR="005278EE" w:rsidRPr="00997100" w:rsidRDefault="005278EE" w:rsidP="00807712">
      <w:pPr>
        <w:tabs>
          <w:tab w:val="left" w:pos="567"/>
          <w:tab w:val="left" w:pos="1134"/>
          <w:tab w:val="left" w:pos="1701"/>
          <w:tab w:val="left" w:pos="5387"/>
          <w:tab w:val="left" w:pos="5954"/>
        </w:tabs>
        <w:ind w:left="1134" w:right="567"/>
        <w:rPr>
          <w:sz w:val="18"/>
          <w:lang w:val="fr-FR"/>
        </w:rPr>
      </w:pPr>
    </w:p>
    <w:p w:rsidR="005278EE" w:rsidRPr="00997100" w:rsidRDefault="00B43F1D" w:rsidP="00807712">
      <w:pPr>
        <w:keepNext/>
        <w:tabs>
          <w:tab w:val="left" w:pos="1701"/>
        </w:tabs>
        <w:spacing w:after="120"/>
        <w:ind w:left="1699" w:right="562"/>
        <w:rPr>
          <w:rFonts w:cs="Arial"/>
          <w:sz w:val="18"/>
          <w:lang w:val="fr-FR"/>
        </w:rPr>
      </w:pPr>
      <w:r w:rsidRPr="00997100">
        <w:rPr>
          <w:rFonts w:cs="Arial"/>
          <w:sz w:val="18"/>
          <w:lang w:val="fr-FR"/>
        </w:rPr>
        <w:t>“a</w:t>
      </w:r>
      <w:r w:rsidR="00807712" w:rsidRPr="00997100">
        <w:rPr>
          <w:rFonts w:cs="Arial"/>
          <w:sz w:val="18"/>
          <w:lang w:val="fr-FR"/>
        </w:rPr>
        <w:t>)</w:t>
      </w:r>
      <w:r w:rsidR="00807712" w:rsidRPr="00997100">
        <w:rPr>
          <w:rFonts w:cs="Arial"/>
          <w:sz w:val="18"/>
          <w:lang w:val="fr-FR"/>
        </w:rPr>
        <w:tab/>
      </w:r>
      <w:r w:rsidR="00103459" w:rsidRPr="00997100">
        <w:rPr>
          <w:rFonts w:cs="Arial"/>
          <w:sz w:val="18"/>
          <w:lang w:val="fr-FR"/>
        </w:rPr>
        <w:t>Plateforme pour</w:t>
      </w:r>
      <w:r w:rsidRPr="00997100">
        <w:rPr>
          <w:rFonts w:cs="Arial"/>
          <w:sz w:val="18"/>
          <w:lang w:val="fr-FR"/>
        </w:rPr>
        <w:t> :</w:t>
      </w:r>
    </w:p>
    <w:p w:rsidR="005278EE" w:rsidRPr="00997100" w:rsidRDefault="00103459" w:rsidP="00807712">
      <w:pPr>
        <w:keepNext/>
        <w:spacing w:before="120"/>
        <w:ind w:left="2268" w:right="562"/>
        <w:rPr>
          <w:rFonts w:cs="Arial"/>
          <w:sz w:val="18"/>
          <w:lang w:val="fr-FR"/>
        </w:rPr>
      </w:pPr>
      <w:r w:rsidRPr="00997100">
        <w:rPr>
          <w:rFonts w:cs="Arial"/>
          <w:sz w:val="18"/>
          <w:lang w:val="fr-FR"/>
        </w:rPr>
        <w:t>“</w:t>
      </w:r>
      <w:r w:rsidR="00807712" w:rsidRPr="00997100">
        <w:rPr>
          <w:rFonts w:cs="Arial"/>
          <w:sz w:val="18"/>
          <w:lang w:val="fr-FR"/>
        </w:rPr>
        <w:t>i)</w:t>
      </w:r>
      <w:r w:rsidR="00807712" w:rsidRPr="00997100">
        <w:rPr>
          <w:rFonts w:cs="Arial"/>
          <w:sz w:val="18"/>
          <w:lang w:val="fr-FR"/>
        </w:rPr>
        <w:tab/>
      </w:r>
      <w:r w:rsidRPr="00997100">
        <w:rPr>
          <w:rFonts w:cs="Arial"/>
          <w:sz w:val="18"/>
          <w:lang w:val="fr-FR"/>
        </w:rPr>
        <w:t>échanger des rapports DHS existants</w:t>
      </w:r>
    </w:p>
    <w:p w:rsidR="005278EE" w:rsidRPr="00997100" w:rsidRDefault="00103459" w:rsidP="00807712">
      <w:pPr>
        <w:keepNext/>
        <w:tabs>
          <w:tab w:val="left" w:pos="2835"/>
        </w:tabs>
        <w:spacing w:before="120"/>
        <w:ind w:left="2835" w:right="562"/>
        <w:rPr>
          <w:rFonts w:cs="Arial"/>
          <w:sz w:val="18"/>
          <w:lang w:val="fr-FR"/>
        </w:rPr>
      </w:pPr>
      <w:r w:rsidRPr="00997100">
        <w:rPr>
          <w:rFonts w:cs="Arial"/>
          <w:sz w:val="18"/>
          <w:lang w:val="fr-FR"/>
        </w:rPr>
        <w:t>“</w:t>
      </w:r>
      <w:r w:rsidR="00807712" w:rsidRPr="00997100">
        <w:rPr>
          <w:rFonts w:cs="Arial"/>
          <w:sz w:val="18"/>
          <w:lang w:val="fr-FR"/>
        </w:rPr>
        <w:t>1)</w:t>
      </w:r>
      <w:r w:rsidR="00807712" w:rsidRPr="00997100">
        <w:rPr>
          <w:rFonts w:cs="Arial"/>
          <w:sz w:val="18"/>
          <w:lang w:val="fr-FR"/>
        </w:rPr>
        <w:tab/>
      </w:r>
      <w:r w:rsidRPr="00997100">
        <w:rPr>
          <w:rFonts w:cs="Arial"/>
          <w:sz w:val="18"/>
          <w:lang w:val="fr-FR"/>
        </w:rPr>
        <w:t>afin que les membres de l</w:t>
      </w:r>
      <w:r w:rsidR="00B43F1D" w:rsidRPr="00997100">
        <w:rPr>
          <w:rFonts w:cs="Arial"/>
          <w:sz w:val="18"/>
          <w:lang w:val="fr-FR"/>
        </w:rPr>
        <w:t>’</w:t>
      </w:r>
      <w:r w:rsidRPr="00997100">
        <w:rPr>
          <w:rFonts w:cs="Arial"/>
          <w:sz w:val="18"/>
          <w:lang w:val="fr-FR"/>
        </w:rPr>
        <w:t>UPOV publient et reçoivent les rapports DHS existants et conviennent des modalités de paiement, le cas échéant</w:t>
      </w:r>
      <w:r w:rsidR="00807712" w:rsidRPr="00997100">
        <w:rPr>
          <w:rFonts w:cs="Arial"/>
          <w:sz w:val="18"/>
          <w:lang w:val="fr-FR"/>
        </w:rPr>
        <w:t>;</w:t>
      </w:r>
    </w:p>
    <w:p w:rsidR="005278EE" w:rsidRPr="00997100" w:rsidRDefault="00103459" w:rsidP="00807712">
      <w:pPr>
        <w:tabs>
          <w:tab w:val="left" w:pos="2835"/>
        </w:tabs>
        <w:spacing w:before="120"/>
        <w:ind w:left="2835" w:right="562"/>
        <w:rPr>
          <w:rFonts w:cs="Arial"/>
          <w:sz w:val="18"/>
          <w:lang w:val="fr-FR"/>
        </w:rPr>
      </w:pPr>
      <w:r w:rsidRPr="00997100">
        <w:rPr>
          <w:rFonts w:cs="Arial"/>
          <w:sz w:val="18"/>
          <w:lang w:val="fr-FR"/>
        </w:rPr>
        <w:t>“</w:t>
      </w:r>
      <w:r w:rsidR="00807712" w:rsidRPr="00997100">
        <w:rPr>
          <w:rFonts w:cs="Arial"/>
          <w:sz w:val="18"/>
          <w:lang w:val="fr-FR"/>
        </w:rPr>
        <w:t>2)</w:t>
      </w:r>
      <w:r w:rsidR="00807712" w:rsidRPr="00997100">
        <w:rPr>
          <w:rFonts w:cs="Arial"/>
          <w:sz w:val="18"/>
          <w:lang w:val="fr-FR"/>
        </w:rPr>
        <w:tab/>
      </w:r>
      <w:r w:rsidRPr="00997100">
        <w:rPr>
          <w:rFonts w:cs="Arial"/>
          <w:sz w:val="18"/>
          <w:lang w:val="fr-FR"/>
        </w:rPr>
        <w:t>et que les déposants d</w:t>
      </w:r>
      <w:r w:rsidR="00B43F1D" w:rsidRPr="00997100">
        <w:rPr>
          <w:rFonts w:cs="Arial"/>
          <w:sz w:val="18"/>
          <w:lang w:val="fr-FR"/>
        </w:rPr>
        <w:t>’</w:t>
      </w:r>
      <w:r w:rsidRPr="00997100">
        <w:rPr>
          <w:rFonts w:cs="Arial"/>
          <w:sz w:val="18"/>
          <w:lang w:val="fr-FR"/>
        </w:rPr>
        <w:t>une demande de protection des obtentions végétales puissent demander à utiliser les rapports DHS existants et effectuer des paiements, le cas échéant</w:t>
      </w:r>
      <w:r w:rsidR="00807712" w:rsidRPr="00997100">
        <w:rPr>
          <w:rFonts w:cs="Arial"/>
          <w:sz w:val="18"/>
          <w:lang w:val="fr-FR"/>
        </w:rPr>
        <w:t>.</w:t>
      </w:r>
    </w:p>
    <w:p w:rsidR="005278EE" w:rsidRPr="00997100" w:rsidRDefault="00103459" w:rsidP="00807712">
      <w:pPr>
        <w:spacing w:before="120"/>
        <w:ind w:left="2268" w:right="562"/>
        <w:rPr>
          <w:rFonts w:cs="Arial"/>
          <w:sz w:val="18"/>
          <w:lang w:val="fr-FR"/>
        </w:rPr>
      </w:pPr>
      <w:r w:rsidRPr="00997100">
        <w:rPr>
          <w:rFonts w:cs="Arial"/>
          <w:sz w:val="18"/>
          <w:lang w:val="fr-FR"/>
        </w:rPr>
        <w:t>“</w:t>
      </w:r>
      <w:r w:rsidR="00807712" w:rsidRPr="00997100">
        <w:rPr>
          <w:rFonts w:cs="Arial"/>
          <w:sz w:val="18"/>
          <w:lang w:val="fr-FR"/>
        </w:rPr>
        <w:t>ii)</w:t>
      </w:r>
      <w:r w:rsidR="00807712" w:rsidRPr="00997100">
        <w:rPr>
          <w:rFonts w:cs="Arial"/>
          <w:sz w:val="18"/>
          <w:lang w:val="fr-FR"/>
        </w:rPr>
        <w:tab/>
      </w:r>
      <w:r w:rsidRPr="00997100">
        <w:rPr>
          <w:rFonts w:cs="Arial"/>
          <w:sz w:val="18"/>
          <w:lang w:val="fr-FR"/>
        </w:rPr>
        <w:t>aider les membres de l</w:t>
      </w:r>
      <w:r w:rsidR="00B43F1D" w:rsidRPr="00997100">
        <w:rPr>
          <w:rFonts w:cs="Arial"/>
          <w:sz w:val="18"/>
          <w:lang w:val="fr-FR"/>
        </w:rPr>
        <w:t>’</w:t>
      </w:r>
      <w:r w:rsidRPr="00997100">
        <w:rPr>
          <w:rFonts w:cs="Arial"/>
          <w:sz w:val="18"/>
          <w:lang w:val="fr-FR"/>
        </w:rPr>
        <w:t>UPOV à mettre à la disposition des autres membres de l</w:t>
      </w:r>
      <w:r w:rsidR="00B43F1D" w:rsidRPr="00997100">
        <w:rPr>
          <w:rFonts w:cs="Arial"/>
          <w:sz w:val="18"/>
          <w:lang w:val="fr-FR"/>
        </w:rPr>
        <w:t>’</w:t>
      </w:r>
      <w:r w:rsidRPr="00997100">
        <w:rPr>
          <w:rFonts w:cs="Arial"/>
          <w:sz w:val="18"/>
          <w:lang w:val="fr-FR"/>
        </w:rPr>
        <w:t>Union leurs procédures écrites en matière d</w:t>
      </w:r>
      <w:r w:rsidR="00B43F1D" w:rsidRPr="00997100">
        <w:rPr>
          <w:rFonts w:cs="Arial"/>
          <w:sz w:val="18"/>
          <w:lang w:val="fr-FR"/>
        </w:rPr>
        <w:t>’</w:t>
      </w:r>
      <w:r w:rsidRPr="00997100">
        <w:rPr>
          <w:rFonts w:cs="Arial"/>
          <w:sz w:val="18"/>
          <w:lang w:val="fr-FR"/>
        </w:rPr>
        <w:t>examen</w:t>
      </w:r>
      <w:r w:rsidR="009C3A48" w:rsidRPr="00997100">
        <w:rPr>
          <w:rFonts w:cs="Arial"/>
          <w:sz w:val="18"/>
          <w:lang w:val="fr-FR"/>
        </w:rPr>
        <w:t> </w:t>
      </w:r>
      <w:r w:rsidRPr="00997100">
        <w:rPr>
          <w:rFonts w:cs="Arial"/>
          <w:sz w:val="18"/>
          <w:lang w:val="fr-FR"/>
        </w:rPr>
        <w:t>DHS et des informations consignées sur leurs systèmes de gestion de la qualité</w:t>
      </w:r>
    </w:p>
    <w:p w:rsidR="005278EE" w:rsidRPr="00997100" w:rsidRDefault="005278EE" w:rsidP="005F2F6A">
      <w:pPr>
        <w:tabs>
          <w:tab w:val="left" w:pos="1701"/>
        </w:tabs>
        <w:ind w:left="1701" w:right="567"/>
        <w:contextualSpacing/>
        <w:rPr>
          <w:rFonts w:cs="Arial"/>
          <w:sz w:val="18"/>
          <w:lang w:val="fr-FR"/>
        </w:rPr>
      </w:pPr>
    </w:p>
    <w:p w:rsidR="005278EE" w:rsidRPr="00997100" w:rsidRDefault="00807712" w:rsidP="00807712">
      <w:pPr>
        <w:tabs>
          <w:tab w:val="left" w:pos="1701"/>
        </w:tabs>
        <w:ind w:left="1701" w:right="567"/>
        <w:contextualSpacing/>
        <w:rPr>
          <w:rFonts w:cs="Arial"/>
          <w:sz w:val="18"/>
          <w:lang w:val="fr-FR"/>
        </w:rPr>
      </w:pPr>
      <w:r w:rsidRPr="00997100">
        <w:rPr>
          <w:rFonts w:cs="Arial"/>
          <w:sz w:val="18"/>
          <w:lang w:val="fr-FR"/>
        </w:rPr>
        <w:t>“b)</w:t>
      </w:r>
      <w:r w:rsidRPr="00997100">
        <w:rPr>
          <w:rFonts w:cs="Arial"/>
          <w:sz w:val="18"/>
          <w:lang w:val="fr-FR"/>
        </w:rPr>
        <w:tab/>
      </w:r>
      <w:r w:rsidR="00103459" w:rsidRPr="00997100">
        <w:rPr>
          <w:rFonts w:cs="Arial"/>
          <w:sz w:val="18"/>
          <w:lang w:val="fr-FR"/>
        </w:rPr>
        <w:t>Outil pour communiquer des informations sur la coopération en matière d</w:t>
      </w:r>
      <w:r w:rsidR="00B43F1D" w:rsidRPr="00997100">
        <w:rPr>
          <w:rFonts w:cs="Arial"/>
          <w:sz w:val="18"/>
          <w:lang w:val="fr-FR"/>
        </w:rPr>
        <w:t>’</w:t>
      </w:r>
      <w:r w:rsidR="00103459" w:rsidRPr="00997100">
        <w:rPr>
          <w:rFonts w:cs="Arial"/>
          <w:sz w:val="18"/>
          <w:lang w:val="fr-FR"/>
        </w:rPr>
        <w:t>examen</w:t>
      </w:r>
      <w:r w:rsidR="009C3A48" w:rsidRPr="00997100">
        <w:rPr>
          <w:rFonts w:cs="Arial"/>
          <w:sz w:val="18"/>
          <w:lang w:val="fr-FR"/>
        </w:rPr>
        <w:t> </w:t>
      </w:r>
      <w:r w:rsidR="00103459" w:rsidRPr="00997100">
        <w:rPr>
          <w:rFonts w:cs="Arial"/>
          <w:sz w:val="18"/>
          <w:lang w:val="fr-FR"/>
        </w:rPr>
        <w:t>DHS entre les membres de l</w:t>
      </w:r>
      <w:r w:rsidR="00B43F1D" w:rsidRPr="00997100">
        <w:rPr>
          <w:rFonts w:cs="Arial"/>
          <w:sz w:val="18"/>
          <w:lang w:val="fr-FR"/>
        </w:rPr>
        <w:t>’</w:t>
      </w:r>
      <w:r w:rsidR="00103459" w:rsidRPr="00997100">
        <w:rPr>
          <w:rFonts w:cs="Arial"/>
          <w:sz w:val="18"/>
          <w:lang w:val="fr-FR"/>
        </w:rPr>
        <w:t>UPOV et les déposants d</w:t>
      </w:r>
      <w:r w:rsidR="00B43F1D" w:rsidRPr="00997100">
        <w:rPr>
          <w:rFonts w:cs="Arial"/>
          <w:sz w:val="18"/>
          <w:lang w:val="fr-FR"/>
        </w:rPr>
        <w:t>’</w:t>
      </w:r>
      <w:r w:rsidR="00103459" w:rsidRPr="00997100">
        <w:rPr>
          <w:rFonts w:cs="Arial"/>
          <w:sz w:val="18"/>
          <w:lang w:val="fr-FR"/>
        </w:rPr>
        <w:t>une demande de protection des obtentions végétales dans un format convivial, en utilisant les informations contenues dans la base de données GENIE</w:t>
      </w:r>
      <w:r w:rsidRPr="00997100">
        <w:rPr>
          <w:rFonts w:cs="Arial"/>
          <w:sz w:val="18"/>
          <w:lang w:val="fr-FR"/>
        </w:rPr>
        <w:t>;</w:t>
      </w:r>
    </w:p>
    <w:p w:rsidR="005278EE" w:rsidRPr="00997100" w:rsidRDefault="005278EE" w:rsidP="00807712">
      <w:pPr>
        <w:tabs>
          <w:tab w:val="left" w:pos="1701"/>
        </w:tabs>
        <w:ind w:left="1701" w:right="567"/>
        <w:contextualSpacing/>
        <w:rPr>
          <w:rFonts w:cs="Arial"/>
          <w:sz w:val="18"/>
          <w:lang w:val="fr-FR"/>
        </w:rPr>
      </w:pPr>
    </w:p>
    <w:p w:rsidR="005278EE" w:rsidRPr="00997100" w:rsidRDefault="00807712" w:rsidP="00807712">
      <w:pPr>
        <w:tabs>
          <w:tab w:val="left" w:pos="1701"/>
        </w:tabs>
        <w:ind w:left="1701" w:right="567"/>
        <w:contextualSpacing/>
        <w:rPr>
          <w:rFonts w:cs="Arial"/>
          <w:sz w:val="18"/>
          <w:lang w:val="fr-FR"/>
        </w:rPr>
      </w:pPr>
      <w:r w:rsidRPr="00997100">
        <w:rPr>
          <w:rFonts w:cs="Arial"/>
          <w:sz w:val="18"/>
          <w:lang w:val="fr-FR"/>
        </w:rPr>
        <w:t>“c)</w:t>
      </w:r>
      <w:r w:rsidRPr="00997100">
        <w:rPr>
          <w:rFonts w:cs="Arial"/>
          <w:sz w:val="18"/>
          <w:lang w:val="fr-FR"/>
        </w:rPr>
        <w:tab/>
      </w:r>
      <w:r w:rsidR="00103459" w:rsidRPr="00997100">
        <w:rPr>
          <w:rFonts w:cs="Arial"/>
          <w:sz w:val="18"/>
          <w:lang w:val="fr-FR"/>
        </w:rPr>
        <w:t>Module permettant aux membres de l</w:t>
      </w:r>
      <w:r w:rsidR="00B43F1D" w:rsidRPr="00997100">
        <w:rPr>
          <w:rFonts w:cs="Arial"/>
          <w:sz w:val="18"/>
          <w:lang w:val="fr-FR"/>
        </w:rPr>
        <w:t>’</w:t>
      </w:r>
      <w:r w:rsidR="00103459" w:rsidRPr="00997100">
        <w:rPr>
          <w:rFonts w:cs="Arial"/>
          <w:sz w:val="18"/>
          <w:lang w:val="fr-FR"/>
        </w:rPr>
        <w:t>UPOV d</w:t>
      </w:r>
      <w:r w:rsidR="00B43F1D" w:rsidRPr="00997100">
        <w:rPr>
          <w:rFonts w:cs="Arial"/>
          <w:sz w:val="18"/>
          <w:lang w:val="fr-FR"/>
        </w:rPr>
        <w:t>’</w:t>
      </w:r>
      <w:r w:rsidR="00103459" w:rsidRPr="00997100">
        <w:rPr>
          <w:rFonts w:cs="Arial"/>
          <w:sz w:val="18"/>
          <w:lang w:val="fr-FR"/>
        </w:rPr>
        <w:t>utiliser le modèle de principes directeurs d</w:t>
      </w:r>
      <w:r w:rsidR="00B43F1D" w:rsidRPr="00997100">
        <w:rPr>
          <w:rFonts w:cs="Arial"/>
          <w:sz w:val="18"/>
          <w:lang w:val="fr-FR"/>
        </w:rPr>
        <w:t>’</w:t>
      </w:r>
      <w:r w:rsidR="00103459" w:rsidRPr="00997100">
        <w:rPr>
          <w:rFonts w:cs="Arial"/>
          <w:sz w:val="18"/>
          <w:lang w:val="fr-FR"/>
        </w:rPr>
        <w:t>examen et la base de données de caractères fondés sur le Web afin que les différents services d</w:t>
      </w:r>
      <w:r w:rsidR="00B43F1D" w:rsidRPr="00997100">
        <w:rPr>
          <w:rFonts w:cs="Arial"/>
          <w:sz w:val="18"/>
          <w:lang w:val="fr-FR"/>
        </w:rPr>
        <w:t>’</w:t>
      </w:r>
      <w:r w:rsidR="00103459" w:rsidRPr="00997100">
        <w:rPr>
          <w:rFonts w:cs="Arial"/>
          <w:sz w:val="18"/>
          <w:lang w:val="fr-FR"/>
        </w:rPr>
        <w:t>examen élaborent leurs propres principes directeurs d</w:t>
      </w:r>
      <w:r w:rsidR="00B43F1D" w:rsidRPr="00997100">
        <w:rPr>
          <w:rFonts w:cs="Arial"/>
          <w:sz w:val="18"/>
          <w:lang w:val="fr-FR"/>
        </w:rPr>
        <w:t>’</w:t>
      </w:r>
      <w:r w:rsidR="00103459" w:rsidRPr="00997100">
        <w:rPr>
          <w:rFonts w:cs="Arial"/>
          <w:sz w:val="18"/>
          <w:lang w:val="fr-FR"/>
        </w:rPr>
        <w:t>examen dans leur langue</w:t>
      </w:r>
      <w:r w:rsidRPr="00997100">
        <w:rPr>
          <w:rFonts w:cs="Arial"/>
          <w:sz w:val="18"/>
          <w:lang w:val="fr-FR"/>
        </w:rPr>
        <w:t>;</w:t>
      </w:r>
    </w:p>
    <w:p w:rsidR="005278EE" w:rsidRPr="00997100" w:rsidRDefault="005278EE" w:rsidP="00807712">
      <w:pPr>
        <w:tabs>
          <w:tab w:val="left" w:pos="1701"/>
        </w:tabs>
        <w:ind w:left="1701" w:right="567"/>
        <w:contextualSpacing/>
        <w:rPr>
          <w:rFonts w:cs="Arial"/>
          <w:sz w:val="18"/>
          <w:lang w:val="fr-FR"/>
        </w:rPr>
      </w:pPr>
    </w:p>
    <w:p w:rsidR="005278EE" w:rsidRPr="00997100" w:rsidRDefault="00807712" w:rsidP="00807712">
      <w:pPr>
        <w:tabs>
          <w:tab w:val="left" w:pos="1701"/>
        </w:tabs>
        <w:ind w:left="1701" w:right="567"/>
        <w:contextualSpacing/>
        <w:rPr>
          <w:rFonts w:cs="Arial"/>
          <w:sz w:val="18"/>
          <w:lang w:val="fr-FR"/>
        </w:rPr>
      </w:pPr>
      <w:r w:rsidRPr="00997100">
        <w:rPr>
          <w:rFonts w:cs="Arial"/>
          <w:sz w:val="18"/>
          <w:lang w:val="fr-FR"/>
        </w:rPr>
        <w:t>“d)</w:t>
      </w:r>
      <w:r w:rsidRPr="00997100">
        <w:rPr>
          <w:rFonts w:cs="Arial"/>
          <w:sz w:val="18"/>
          <w:lang w:val="fr-FR"/>
        </w:rPr>
        <w:tab/>
      </w:r>
      <w:r w:rsidR="00103459" w:rsidRPr="00997100">
        <w:rPr>
          <w:rFonts w:cs="Arial"/>
          <w:sz w:val="18"/>
          <w:lang w:val="fr-FR"/>
        </w:rPr>
        <w:t>Plateforme permettant d</w:t>
      </w:r>
      <w:r w:rsidR="00B43F1D" w:rsidRPr="00997100">
        <w:rPr>
          <w:rFonts w:cs="Arial"/>
          <w:sz w:val="18"/>
          <w:lang w:val="fr-FR"/>
        </w:rPr>
        <w:t>’</w:t>
      </w:r>
      <w:r w:rsidR="00103459" w:rsidRPr="00997100">
        <w:rPr>
          <w:rFonts w:cs="Arial"/>
          <w:sz w:val="18"/>
          <w:lang w:val="fr-FR"/>
        </w:rPr>
        <w:t>accéder aux bases de données des membres de l</w:t>
      </w:r>
      <w:r w:rsidR="00B43F1D" w:rsidRPr="00997100">
        <w:rPr>
          <w:rFonts w:cs="Arial"/>
          <w:sz w:val="18"/>
          <w:lang w:val="fr-FR"/>
        </w:rPr>
        <w:t>’</w:t>
      </w:r>
      <w:r w:rsidR="00103459" w:rsidRPr="00997100">
        <w:rPr>
          <w:rFonts w:cs="Arial"/>
          <w:sz w:val="18"/>
          <w:lang w:val="fr-FR"/>
        </w:rPr>
        <w:t>UPOV contenant des descriptions variétales</w:t>
      </w:r>
      <w:r w:rsidRPr="00997100">
        <w:rPr>
          <w:rFonts w:cs="Arial"/>
          <w:sz w:val="18"/>
          <w:lang w:val="fr-FR"/>
        </w:rPr>
        <w:t>.</w:t>
      </w:r>
    </w:p>
    <w:p w:rsidR="005278EE" w:rsidRPr="00997100" w:rsidRDefault="005278EE" w:rsidP="00807712">
      <w:pPr>
        <w:tabs>
          <w:tab w:val="left" w:pos="567"/>
          <w:tab w:val="left" w:pos="1134"/>
          <w:tab w:val="left" w:pos="1701"/>
          <w:tab w:val="left" w:pos="5387"/>
          <w:tab w:val="left" w:pos="5954"/>
        </w:tabs>
        <w:ind w:left="1134" w:right="567"/>
        <w:rPr>
          <w:sz w:val="18"/>
          <w:lang w:val="fr-FR"/>
        </w:rPr>
      </w:pPr>
    </w:p>
    <w:p w:rsidR="005278EE" w:rsidRPr="00997100" w:rsidRDefault="003F09A7" w:rsidP="003F09A7">
      <w:pPr>
        <w:tabs>
          <w:tab w:val="left" w:pos="567"/>
          <w:tab w:val="left" w:pos="1134"/>
          <w:tab w:val="left" w:pos="1701"/>
          <w:tab w:val="left" w:pos="5387"/>
          <w:tab w:val="left" w:pos="5954"/>
        </w:tabs>
        <w:spacing w:after="20"/>
        <w:ind w:left="1138" w:right="562"/>
        <w:rPr>
          <w:sz w:val="18"/>
          <w:lang w:val="fr-FR"/>
        </w:rPr>
      </w:pPr>
      <w:r w:rsidRPr="00997100">
        <w:rPr>
          <w:sz w:val="18"/>
          <w:lang w:val="fr-FR"/>
        </w:rPr>
        <w:t>“42.</w:t>
      </w:r>
      <w:r w:rsidRPr="00997100">
        <w:rPr>
          <w:sz w:val="18"/>
          <w:lang w:val="fr-FR"/>
        </w:rPr>
        <w:tab/>
        <w:t>Le</w:t>
      </w:r>
      <w:r w:rsidR="00B43F1D" w:rsidRPr="00997100">
        <w:rPr>
          <w:sz w:val="18"/>
          <w:lang w:val="fr-FR"/>
        </w:rPr>
        <w:t> TC</w:t>
      </w:r>
      <w:r w:rsidRPr="00997100">
        <w:rPr>
          <w:sz w:val="18"/>
          <w:lang w:val="fr-FR"/>
        </w:rPr>
        <w:t xml:space="preserve"> a pris note du potentiel de la traduction automatique pour réduire les coûts de traduction des documents de l</w:t>
      </w:r>
      <w:r w:rsidR="00B43F1D" w:rsidRPr="00997100">
        <w:rPr>
          <w:sz w:val="18"/>
          <w:lang w:val="fr-FR"/>
        </w:rPr>
        <w:t>’</w:t>
      </w:r>
      <w:r w:rsidRPr="00997100">
        <w:rPr>
          <w:sz w:val="18"/>
          <w:lang w:val="fr-FR"/>
        </w:rPr>
        <w:t>UPOV dans les langues de l</w:t>
      </w:r>
      <w:r w:rsidR="00B43F1D" w:rsidRPr="00997100">
        <w:rPr>
          <w:sz w:val="18"/>
          <w:lang w:val="fr-FR"/>
        </w:rPr>
        <w:t>’</w:t>
      </w:r>
      <w:r w:rsidRPr="00997100">
        <w:rPr>
          <w:sz w:val="18"/>
          <w:lang w:val="fr-FR"/>
        </w:rPr>
        <w:t>UPOV et produire des documents de l</w:t>
      </w:r>
      <w:r w:rsidR="00B43F1D" w:rsidRPr="00997100">
        <w:rPr>
          <w:sz w:val="18"/>
          <w:lang w:val="fr-FR"/>
        </w:rPr>
        <w:t>’</w:t>
      </w:r>
      <w:r w:rsidRPr="00997100">
        <w:rPr>
          <w:sz w:val="18"/>
          <w:lang w:val="fr-FR"/>
        </w:rPr>
        <w:t>UPOV dans un plus grand nombre de langues.</w:t>
      </w:r>
    </w:p>
    <w:p w:rsidR="005278EE" w:rsidRPr="00997100" w:rsidRDefault="005278EE" w:rsidP="00807712">
      <w:pPr>
        <w:tabs>
          <w:tab w:val="left" w:pos="567"/>
          <w:tab w:val="left" w:pos="1134"/>
          <w:tab w:val="left" w:pos="1701"/>
          <w:tab w:val="left" w:pos="5954"/>
        </w:tabs>
        <w:ind w:left="1134" w:right="567"/>
        <w:rPr>
          <w:sz w:val="18"/>
          <w:lang w:val="fr-FR"/>
        </w:rPr>
      </w:pPr>
    </w:p>
    <w:p w:rsidR="005278EE" w:rsidRPr="00997100" w:rsidRDefault="003F09A7" w:rsidP="003F09A7">
      <w:pPr>
        <w:tabs>
          <w:tab w:val="left" w:pos="567"/>
          <w:tab w:val="left" w:pos="1134"/>
          <w:tab w:val="left" w:pos="1701"/>
          <w:tab w:val="left" w:pos="5387"/>
          <w:tab w:val="left" w:pos="5954"/>
        </w:tabs>
        <w:ind w:left="1134" w:right="567"/>
        <w:rPr>
          <w:sz w:val="18"/>
          <w:lang w:val="fr-FR"/>
        </w:rPr>
      </w:pPr>
      <w:r w:rsidRPr="00997100">
        <w:rPr>
          <w:sz w:val="18"/>
          <w:lang w:val="fr-FR"/>
        </w:rPr>
        <w:t>“43.</w:t>
      </w:r>
      <w:r w:rsidRPr="00997100">
        <w:rPr>
          <w:sz w:val="18"/>
          <w:lang w:val="fr-FR"/>
        </w:rPr>
        <w:tab/>
        <w:t>Le</w:t>
      </w:r>
      <w:r w:rsidR="00B43F1D" w:rsidRPr="00997100">
        <w:rPr>
          <w:sz w:val="18"/>
          <w:lang w:val="fr-FR"/>
        </w:rPr>
        <w:t> TC</w:t>
      </w:r>
      <w:r w:rsidRPr="00997100">
        <w:rPr>
          <w:sz w:val="18"/>
          <w:lang w:val="fr-FR"/>
        </w:rPr>
        <w:t xml:space="preserve"> est convenu de réviser le document</w:t>
      </w:r>
      <w:r w:rsidR="008C34BA" w:rsidRPr="00997100">
        <w:rPr>
          <w:sz w:val="18"/>
          <w:lang w:val="fr-FR"/>
        </w:rPr>
        <w:t> </w:t>
      </w:r>
      <w:r w:rsidRPr="00997100">
        <w:rPr>
          <w:sz w:val="18"/>
          <w:lang w:val="fr-FR"/>
        </w:rPr>
        <w:t>TGP/5, section 6</w:t>
      </w:r>
      <w:r w:rsidR="00B43F1D" w:rsidRPr="00997100">
        <w:rPr>
          <w:sz w:val="18"/>
          <w:lang w:val="fr-FR"/>
        </w:rPr>
        <w:t> :</w:t>
      </w:r>
      <w:r w:rsidR="005F2F6A">
        <w:rPr>
          <w:sz w:val="18"/>
          <w:lang w:val="fr-FR"/>
        </w:rPr>
        <w:t xml:space="preserve"> ‘</w:t>
      </w:r>
      <w:r w:rsidRPr="00997100">
        <w:rPr>
          <w:sz w:val="18"/>
          <w:lang w:val="fr-FR"/>
        </w:rPr>
        <w:t>Rapport UPOV d</w:t>
      </w:r>
      <w:r w:rsidR="00B43F1D" w:rsidRPr="00997100">
        <w:rPr>
          <w:sz w:val="18"/>
          <w:lang w:val="fr-FR"/>
        </w:rPr>
        <w:t>’</w:t>
      </w:r>
      <w:r w:rsidRPr="00997100">
        <w:rPr>
          <w:sz w:val="18"/>
          <w:lang w:val="fr-FR"/>
        </w:rPr>
        <w:t>examen technique et Formulaire UPOV de description variétale</w:t>
      </w:r>
      <w:r w:rsidR="005F2F6A">
        <w:rPr>
          <w:sz w:val="18"/>
          <w:lang w:val="fr-FR"/>
        </w:rPr>
        <w:t>’</w:t>
      </w:r>
      <w:r w:rsidRPr="00997100">
        <w:rPr>
          <w:sz w:val="18"/>
          <w:lang w:val="fr-FR"/>
        </w:rPr>
        <w:t>, afin d</w:t>
      </w:r>
      <w:r w:rsidR="00B43F1D" w:rsidRPr="00997100">
        <w:rPr>
          <w:sz w:val="18"/>
          <w:lang w:val="fr-FR"/>
        </w:rPr>
        <w:t>’</w:t>
      </w:r>
      <w:r w:rsidRPr="00997100">
        <w:rPr>
          <w:sz w:val="18"/>
          <w:lang w:val="fr-FR"/>
        </w:rPr>
        <w:t>inclure des informations additionnelles dans les rapports d</w:t>
      </w:r>
      <w:r w:rsidR="00B43F1D" w:rsidRPr="00997100">
        <w:rPr>
          <w:sz w:val="18"/>
          <w:lang w:val="fr-FR"/>
        </w:rPr>
        <w:t>’</w:t>
      </w:r>
      <w:r w:rsidRPr="00997100">
        <w:rPr>
          <w:sz w:val="18"/>
          <w:lang w:val="fr-FR"/>
        </w:rPr>
        <w:t>examen DHS, pour</w:t>
      </w:r>
      <w:r w:rsidR="00B43F1D" w:rsidRPr="00997100">
        <w:rPr>
          <w:sz w:val="18"/>
          <w:lang w:val="fr-FR"/>
        </w:rPr>
        <w:t> :</w:t>
      </w:r>
    </w:p>
    <w:p w:rsidR="005278EE" w:rsidRPr="00997100" w:rsidRDefault="005278EE" w:rsidP="00807712">
      <w:pPr>
        <w:tabs>
          <w:tab w:val="left" w:pos="567"/>
          <w:tab w:val="left" w:pos="1134"/>
          <w:tab w:val="left" w:pos="1701"/>
          <w:tab w:val="left" w:pos="5387"/>
          <w:tab w:val="left" w:pos="5954"/>
        </w:tabs>
        <w:ind w:left="1134" w:right="567"/>
        <w:rPr>
          <w:sz w:val="18"/>
          <w:lang w:val="fr-FR"/>
        </w:rPr>
      </w:pPr>
    </w:p>
    <w:p w:rsidR="005278EE" w:rsidRPr="00997100" w:rsidRDefault="003F09A7" w:rsidP="003F09A7">
      <w:pPr>
        <w:numPr>
          <w:ilvl w:val="0"/>
          <w:numId w:val="2"/>
        </w:numPr>
        <w:spacing w:after="200" w:line="276" w:lineRule="auto"/>
        <w:ind w:left="2160" w:right="567" w:hanging="450"/>
        <w:contextualSpacing/>
        <w:jc w:val="left"/>
        <w:rPr>
          <w:rFonts w:cs="Arial"/>
          <w:sz w:val="18"/>
          <w:lang w:val="fr-FR"/>
        </w:rPr>
      </w:pPr>
      <w:r w:rsidRPr="00997100">
        <w:rPr>
          <w:rFonts w:cs="Arial"/>
          <w:sz w:val="18"/>
          <w:lang w:val="fr-FR"/>
        </w:rPr>
        <w:t>fournir des informations sur les variétés figurant dans la collection de variétés</w:t>
      </w:r>
    </w:p>
    <w:p w:rsidR="005278EE" w:rsidRPr="00997100" w:rsidRDefault="003F09A7" w:rsidP="003F09A7">
      <w:pPr>
        <w:numPr>
          <w:ilvl w:val="0"/>
          <w:numId w:val="2"/>
        </w:numPr>
        <w:spacing w:after="200" w:line="276" w:lineRule="auto"/>
        <w:ind w:left="2160" w:right="567" w:hanging="450"/>
        <w:contextualSpacing/>
        <w:jc w:val="left"/>
        <w:rPr>
          <w:rFonts w:cs="Arial"/>
          <w:sz w:val="18"/>
          <w:lang w:val="fr-FR"/>
        </w:rPr>
      </w:pPr>
      <w:r w:rsidRPr="00997100">
        <w:rPr>
          <w:rFonts w:cs="Arial"/>
          <w:sz w:val="18"/>
          <w:lang w:val="fr-FR"/>
        </w:rPr>
        <w:t>indiquer les variétés prises en considération dans l</w:t>
      </w:r>
      <w:r w:rsidR="00B43F1D" w:rsidRPr="00997100">
        <w:rPr>
          <w:rFonts w:cs="Arial"/>
          <w:sz w:val="18"/>
          <w:lang w:val="fr-FR"/>
        </w:rPr>
        <w:t>’</w:t>
      </w:r>
      <w:r w:rsidRPr="00997100">
        <w:rPr>
          <w:rFonts w:cs="Arial"/>
          <w:sz w:val="18"/>
          <w:lang w:val="fr-FR"/>
        </w:rPr>
        <w:t>examen (pas uniquement les variétés similaires)</w:t>
      </w:r>
    </w:p>
    <w:p w:rsidR="005278EE" w:rsidRPr="00997100" w:rsidRDefault="003F09A7" w:rsidP="003F09A7">
      <w:pPr>
        <w:numPr>
          <w:ilvl w:val="0"/>
          <w:numId w:val="2"/>
        </w:numPr>
        <w:spacing w:after="200" w:line="276" w:lineRule="auto"/>
        <w:ind w:left="2160" w:right="567" w:hanging="450"/>
        <w:contextualSpacing/>
        <w:jc w:val="left"/>
        <w:rPr>
          <w:rFonts w:cs="Arial"/>
          <w:sz w:val="18"/>
          <w:lang w:val="fr-FR"/>
        </w:rPr>
      </w:pPr>
      <w:r w:rsidRPr="00997100">
        <w:rPr>
          <w:rFonts w:cs="Arial"/>
          <w:sz w:val="18"/>
          <w:lang w:val="fr-FR"/>
        </w:rPr>
        <w:t>fournir les données sur les observations réalisées sur le terrain avec le rapport d</w:t>
      </w:r>
      <w:r w:rsidR="00B43F1D" w:rsidRPr="00997100">
        <w:rPr>
          <w:rFonts w:cs="Arial"/>
          <w:sz w:val="18"/>
          <w:lang w:val="fr-FR"/>
        </w:rPr>
        <w:t>’</w:t>
      </w:r>
      <w:r w:rsidRPr="00997100">
        <w:rPr>
          <w:rFonts w:cs="Arial"/>
          <w:sz w:val="18"/>
          <w:lang w:val="fr-FR"/>
        </w:rPr>
        <w:t>examen DHS pour chaque variété</w:t>
      </w:r>
    </w:p>
    <w:p w:rsidR="005278EE" w:rsidRPr="00997100" w:rsidRDefault="003F09A7" w:rsidP="003F09A7">
      <w:pPr>
        <w:numPr>
          <w:ilvl w:val="0"/>
          <w:numId w:val="2"/>
        </w:numPr>
        <w:spacing w:after="200" w:line="276" w:lineRule="auto"/>
        <w:ind w:left="2160" w:right="567" w:hanging="450"/>
        <w:contextualSpacing/>
        <w:jc w:val="left"/>
        <w:rPr>
          <w:rFonts w:cs="Arial"/>
          <w:sz w:val="18"/>
          <w:lang w:val="fr-FR"/>
        </w:rPr>
      </w:pPr>
      <w:r w:rsidRPr="00997100">
        <w:rPr>
          <w:rFonts w:cs="Arial"/>
          <w:sz w:val="18"/>
          <w:lang w:val="fr-FR"/>
        </w:rPr>
        <w:t>fournir des informations sur le milieu dans lequel l</w:t>
      </w:r>
      <w:r w:rsidR="00B43F1D" w:rsidRPr="00997100">
        <w:rPr>
          <w:rFonts w:cs="Arial"/>
          <w:sz w:val="18"/>
          <w:lang w:val="fr-FR"/>
        </w:rPr>
        <w:t>’</w:t>
      </w:r>
      <w:r w:rsidRPr="00997100">
        <w:rPr>
          <w:rFonts w:cs="Arial"/>
          <w:sz w:val="18"/>
          <w:lang w:val="fr-FR"/>
        </w:rPr>
        <w:t>examen DHS a été effectué</w:t>
      </w:r>
    </w:p>
    <w:p w:rsidR="005278EE" w:rsidRPr="00997100" w:rsidRDefault="005278EE" w:rsidP="00807712">
      <w:pPr>
        <w:tabs>
          <w:tab w:val="left" w:pos="1701"/>
        </w:tabs>
        <w:spacing w:after="200" w:line="276" w:lineRule="auto"/>
        <w:ind w:left="1134" w:right="567"/>
        <w:contextualSpacing/>
        <w:jc w:val="left"/>
        <w:rPr>
          <w:rFonts w:cs="Arial"/>
          <w:sz w:val="18"/>
          <w:lang w:val="fr-FR"/>
        </w:rPr>
      </w:pPr>
    </w:p>
    <w:p w:rsidR="005278EE" w:rsidRPr="00997100" w:rsidRDefault="003F09A7" w:rsidP="003F09A7">
      <w:pPr>
        <w:tabs>
          <w:tab w:val="left" w:pos="567"/>
          <w:tab w:val="left" w:pos="1134"/>
          <w:tab w:val="left" w:pos="1701"/>
          <w:tab w:val="left" w:pos="5387"/>
          <w:tab w:val="left" w:pos="5954"/>
        </w:tabs>
        <w:ind w:left="1134" w:right="567"/>
        <w:rPr>
          <w:snapToGrid w:val="0"/>
          <w:sz w:val="18"/>
          <w:lang w:val="fr-FR"/>
        </w:rPr>
      </w:pPr>
      <w:r w:rsidRPr="00997100">
        <w:rPr>
          <w:snapToGrid w:val="0"/>
          <w:sz w:val="18"/>
          <w:lang w:val="fr-FR"/>
        </w:rPr>
        <w:t>“44.</w:t>
      </w:r>
      <w:r w:rsidRPr="00997100">
        <w:rPr>
          <w:snapToGrid w:val="0"/>
          <w:sz w:val="18"/>
          <w:lang w:val="fr-FR"/>
        </w:rPr>
        <w:tab/>
        <w:t>Le</w:t>
      </w:r>
      <w:r w:rsidR="00B43F1D" w:rsidRPr="00997100">
        <w:rPr>
          <w:snapToGrid w:val="0"/>
          <w:sz w:val="18"/>
          <w:lang w:val="fr-FR"/>
        </w:rPr>
        <w:t> TC</w:t>
      </w:r>
      <w:r w:rsidRPr="00997100">
        <w:rPr>
          <w:snapToGrid w:val="0"/>
          <w:sz w:val="18"/>
          <w:lang w:val="fr-FR"/>
        </w:rPr>
        <w:t xml:space="preserve"> est convenu d</w:t>
      </w:r>
      <w:r w:rsidR="00B43F1D" w:rsidRPr="00997100">
        <w:rPr>
          <w:snapToGrid w:val="0"/>
          <w:sz w:val="18"/>
          <w:lang w:val="fr-FR"/>
        </w:rPr>
        <w:t>’</w:t>
      </w:r>
      <w:r w:rsidRPr="00997100">
        <w:rPr>
          <w:snapToGrid w:val="0"/>
          <w:sz w:val="18"/>
          <w:lang w:val="fr-FR"/>
        </w:rPr>
        <w:t>évaluer les incidences du plan proposé sur la base du nombre d</w:t>
      </w:r>
      <w:r w:rsidR="00B43F1D" w:rsidRPr="00997100">
        <w:rPr>
          <w:snapToGrid w:val="0"/>
          <w:sz w:val="18"/>
          <w:lang w:val="fr-FR"/>
        </w:rPr>
        <w:t>’</w:t>
      </w:r>
      <w:r w:rsidRPr="00997100">
        <w:rPr>
          <w:snapToGrid w:val="0"/>
          <w:sz w:val="18"/>
          <w:lang w:val="fr-FR"/>
        </w:rPr>
        <w:t>accords de coopération signalés par les membres de l</w:t>
      </w:r>
      <w:r w:rsidR="00B43F1D" w:rsidRPr="00997100">
        <w:rPr>
          <w:snapToGrid w:val="0"/>
          <w:sz w:val="18"/>
          <w:lang w:val="fr-FR"/>
        </w:rPr>
        <w:t>’</w:t>
      </w:r>
      <w:r w:rsidRPr="00997100">
        <w:rPr>
          <w:snapToGrid w:val="0"/>
          <w:sz w:val="18"/>
          <w:lang w:val="fr-FR"/>
        </w:rPr>
        <w:t>Union, tel que présenté dans le document</w:t>
      </w:r>
      <w:r w:rsidR="008C34BA" w:rsidRPr="00997100">
        <w:rPr>
          <w:snapToGrid w:val="0"/>
          <w:sz w:val="18"/>
          <w:lang w:val="fr-FR"/>
        </w:rPr>
        <w:t> </w:t>
      </w:r>
      <w:r w:rsidR="005F2F6A">
        <w:rPr>
          <w:snapToGrid w:val="0"/>
          <w:sz w:val="18"/>
          <w:lang w:val="fr-FR"/>
        </w:rPr>
        <w:t>C/[xx]/INF/5 ‘</w:t>
      </w:r>
      <w:r w:rsidRPr="00997100">
        <w:rPr>
          <w:snapToGrid w:val="0"/>
          <w:sz w:val="18"/>
          <w:lang w:val="fr-FR"/>
        </w:rPr>
        <w:t>Coopération en matière d</w:t>
      </w:r>
      <w:r w:rsidR="00B43F1D" w:rsidRPr="00997100">
        <w:rPr>
          <w:snapToGrid w:val="0"/>
          <w:sz w:val="18"/>
          <w:lang w:val="fr-FR"/>
        </w:rPr>
        <w:t>’</w:t>
      </w:r>
      <w:r w:rsidRPr="00997100">
        <w:rPr>
          <w:snapToGrid w:val="0"/>
          <w:sz w:val="18"/>
          <w:lang w:val="fr-FR"/>
        </w:rPr>
        <w:t>examen</w:t>
      </w:r>
      <w:r w:rsidR="005F2F6A">
        <w:rPr>
          <w:snapToGrid w:val="0"/>
          <w:sz w:val="18"/>
          <w:lang w:val="fr-FR"/>
        </w:rPr>
        <w:t>’”</w:t>
      </w:r>
      <w:r w:rsidRPr="00997100">
        <w:rPr>
          <w:snapToGrid w:val="0"/>
          <w:sz w:val="18"/>
          <w:lang w:val="fr-FR"/>
        </w:rPr>
        <w:t>.</w:t>
      </w:r>
    </w:p>
    <w:p w:rsidR="005278EE" w:rsidRPr="00997100" w:rsidRDefault="005278EE" w:rsidP="00807712">
      <w:pPr>
        <w:rPr>
          <w:lang w:val="fr-FR"/>
        </w:rPr>
      </w:pPr>
    </w:p>
    <w:p w:rsidR="00050E16" w:rsidRPr="00997100" w:rsidRDefault="003F09A7" w:rsidP="005F2F6A">
      <w:pPr>
        <w:jc w:val="right"/>
        <w:rPr>
          <w:lang w:val="fr-FR"/>
        </w:rPr>
      </w:pPr>
      <w:r w:rsidRPr="00997100">
        <w:rPr>
          <w:lang w:val="fr-FR"/>
        </w:rPr>
        <w:t>[Fin de l</w:t>
      </w:r>
      <w:r w:rsidR="00B43F1D" w:rsidRPr="00997100">
        <w:rPr>
          <w:lang w:val="fr-FR"/>
        </w:rPr>
        <w:t>’</w:t>
      </w:r>
      <w:r w:rsidRPr="00997100">
        <w:rPr>
          <w:lang w:val="fr-FR"/>
        </w:rPr>
        <w:t>annexe et du document]</w:t>
      </w:r>
    </w:p>
    <w:sectPr w:rsidR="00050E16" w:rsidRPr="00997100" w:rsidSect="0004198B">
      <w:headerReference w:type="default" r:id="rId11"/>
      <w:headerReference w:type="first" r:id="rId12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706" w:rsidRDefault="00A85706" w:rsidP="006655D3">
      <w:r>
        <w:separator/>
      </w:r>
    </w:p>
    <w:p w:rsidR="00A85706" w:rsidRDefault="00A85706" w:rsidP="006655D3"/>
    <w:p w:rsidR="00A85706" w:rsidRDefault="00A85706" w:rsidP="006655D3"/>
  </w:endnote>
  <w:endnote w:type="continuationSeparator" w:id="0">
    <w:p w:rsidR="00A85706" w:rsidRDefault="00A85706" w:rsidP="006655D3">
      <w:r>
        <w:separator/>
      </w:r>
    </w:p>
    <w:p w:rsidR="00A85706" w:rsidRPr="00294751" w:rsidRDefault="00A8570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A85706" w:rsidRPr="00294751" w:rsidRDefault="00A85706" w:rsidP="006655D3">
      <w:pPr>
        <w:rPr>
          <w:lang w:val="fr-FR"/>
        </w:rPr>
      </w:pPr>
    </w:p>
    <w:p w:rsidR="00A85706" w:rsidRPr="00294751" w:rsidRDefault="00A85706" w:rsidP="006655D3">
      <w:pPr>
        <w:rPr>
          <w:lang w:val="fr-FR"/>
        </w:rPr>
      </w:pPr>
    </w:p>
  </w:endnote>
  <w:endnote w:type="continuationNotice" w:id="1">
    <w:p w:rsidR="00A85706" w:rsidRPr="00294751" w:rsidRDefault="00A8570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A85706" w:rsidRPr="00294751" w:rsidRDefault="00A85706" w:rsidP="006655D3">
      <w:pPr>
        <w:rPr>
          <w:lang w:val="fr-FR"/>
        </w:rPr>
      </w:pPr>
    </w:p>
    <w:p w:rsidR="00A85706" w:rsidRPr="00294751" w:rsidRDefault="00A8570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706" w:rsidRDefault="00A85706" w:rsidP="006655D3">
      <w:r>
        <w:separator/>
      </w:r>
    </w:p>
  </w:footnote>
  <w:footnote w:type="continuationSeparator" w:id="0">
    <w:p w:rsidR="00A85706" w:rsidRDefault="00A85706" w:rsidP="006655D3">
      <w:r>
        <w:separator/>
      </w:r>
    </w:p>
  </w:footnote>
  <w:footnote w:type="continuationNotice" w:id="1">
    <w:p w:rsidR="00A85706" w:rsidRPr="00AB530F" w:rsidRDefault="00A85706" w:rsidP="00AB530F">
      <w:pPr>
        <w:pStyle w:val="Footer"/>
      </w:pPr>
    </w:p>
  </w:footnote>
  <w:footnote w:id="2">
    <w:p w:rsidR="00A85706" w:rsidRPr="008B78E9" w:rsidRDefault="00A85706" w:rsidP="00AF73C3">
      <w:pPr>
        <w:pStyle w:val="FootnoteText"/>
        <w:tabs>
          <w:tab w:val="left" w:pos="567"/>
        </w:tabs>
        <w:rPr>
          <w:lang w:val="fr-FR"/>
        </w:rPr>
      </w:pPr>
      <w:r w:rsidRPr="008B78E9">
        <w:rPr>
          <w:rStyle w:val="FootnoteReference"/>
          <w:lang w:val="fr-FR"/>
        </w:rPr>
        <w:footnoteRef/>
      </w:r>
      <w:r w:rsidRPr="008B78E9">
        <w:rPr>
          <w:lang w:val="fr-FR"/>
        </w:rPr>
        <w:t xml:space="preserve"> </w:t>
      </w:r>
      <w:r w:rsidR="00AF73C3">
        <w:rPr>
          <w:lang w:val="fr-FR"/>
        </w:rPr>
        <w:tab/>
      </w:r>
      <w:r w:rsidRPr="008B78E9">
        <w:rPr>
          <w:lang w:val="fr-FR"/>
        </w:rPr>
        <w:t>Tenue à Genève le 28 octobre 2020 par voie électronique.</w:t>
      </w:r>
    </w:p>
  </w:footnote>
  <w:footnote w:id="3">
    <w:p w:rsidR="00A85706" w:rsidRPr="008B78E9" w:rsidRDefault="00A85706" w:rsidP="00AF73C3">
      <w:pPr>
        <w:pStyle w:val="FootnoteText"/>
        <w:tabs>
          <w:tab w:val="left" w:pos="567"/>
        </w:tabs>
        <w:rPr>
          <w:lang w:val="fr-FR"/>
        </w:rPr>
      </w:pPr>
      <w:r w:rsidRPr="008B78E9">
        <w:rPr>
          <w:rStyle w:val="FootnoteReference"/>
          <w:lang w:val="fr-FR"/>
        </w:rPr>
        <w:footnoteRef/>
      </w:r>
      <w:r w:rsidRPr="008B78E9">
        <w:rPr>
          <w:lang w:val="fr-FR"/>
        </w:rPr>
        <w:t xml:space="preserve"> </w:t>
      </w:r>
      <w:r w:rsidR="00AF73C3">
        <w:rPr>
          <w:lang w:val="fr-FR"/>
        </w:rPr>
        <w:tab/>
      </w:r>
      <w:r w:rsidRPr="008B78E9">
        <w:rPr>
          <w:lang w:val="fr-FR"/>
        </w:rPr>
        <w:t xml:space="preserve">Tenue à Genève le 27 octobre 2021 par voie électronique.  </w:t>
      </w:r>
    </w:p>
  </w:footnote>
  <w:footnote w:id="4">
    <w:p w:rsidR="00A85706" w:rsidRPr="008B78E9" w:rsidRDefault="00A85706" w:rsidP="00AF73C3">
      <w:pPr>
        <w:pStyle w:val="FootnoteText"/>
        <w:tabs>
          <w:tab w:val="left" w:pos="567"/>
        </w:tabs>
        <w:rPr>
          <w:lang w:val="fr-FR"/>
        </w:rPr>
      </w:pPr>
      <w:r w:rsidRPr="008B78E9">
        <w:rPr>
          <w:rStyle w:val="FootnoteReference"/>
          <w:lang w:val="fr-FR"/>
        </w:rPr>
        <w:footnoteRef/>
      </w:r>
      <w:r w:rsidRPr="008B78E9">
        <w:rPr>
          <w:lang w:val="fr-FR"/>
        </w:rPr>
        <w:t xml:space="preserve"> </w:t>
      </w:r>
      <w:r w:rsidR="00AF73C3">
        <w:rPr>
          <w:lang w:val="fr-FR"/>
        </w:rPr>
        <w:tab/>
      </w:r>
      <w:r w:rsidRPr="008B78E9">
        <w:rPr>
          <w:lang w:val="fr-FR"/>
        </w:rPr>
        <w:t>Tenue à Genève les 26 et 27 octobre 2020 par voie électronique.</w:t>
      </w:r>
    </w:p>
  </w:footnote>
  <w:footnote w:id="5">
    <w:p w:rsidR="00A85706" w:rsidRPr="008B78E9" w:rsidRDefault="00A85706" w:rsidP="00AF73C3">
      <w:pPr>
        <w:pStyle w:val="FootnoteText"/>
        <w:tabs>
          <w:tab w:val="left" w:pos="567"/>
        </w:tabs>
        <w:rPr>
          <w:lang w:val="fr-FR"/>
        </w:rPr>
      </w:pPr>
      <w:r w:rsidRPr="008B78E9">
        <w:rPr>
          <w:rStyle w:val="FootnoteReference"/>
          <w:lang w:val="fr-FR"/>
        </w:rPr>
        <w:footnoteRef/>
      </w:r>
      <w:r w:rsidRPr="008B78E9">
        <w:rPr>
          <w:lang w:val="fr-FR"/>
        </w:rPr>
        <w:t xml:space="preserve"> </w:t>
      </w:r>
      <w:r w:rsidR="00AF73C3">
        <w:rPr>
          <w:lang w:val="fr-FR"/>
        </w:rPr>
        <w:tab/>
      </w:r>
      <w:r w:rsidRPr="008B78E9">
        <w:rPr>
          <w:lang w:val="fr-FR"/>
        </w:rPr>
        <w:t>Tenue à Genève le 28 octobre 2020 par voie électronique.</w:t>
      </w:r>
    </w:p>
  </w:footnote>
  <w:footnote w:id="6">
    <w:p w:rsidR="00A85706" w:rsidRPr="008B78E9" w:rsidRDefault="00A85706" w:rsidP="00AF73C3">
      <w:pPr>
        <w:pStyle w:val="FootnoteText"/>
        <w:tabs>
          <w:tab w:val="left" w:pos="567"/>
        </w:tabs>
        <w:rPr>
          <w:lang w:val="fr-FR"/>
        </w:rPr>
      </w:pPr>
      <w:r w:rsidRPr="008B78E9">
        <w:rPr>
          <w:rStyle w:val="FootnoteReference"/>
          <w:lang w:val="fr-FR"/>
        </w:rPr>
        <w:footnoteRef/>
      </w:r>
      <w:r w:rsidRPr="008B78E9">
        <w:rPr>
          <w:lang w:val="fr-FR"/>
        </w:rPr>
        <w:t xml:space="preserve"> </w:t>
      </w:r>
      <w:r w:rsidR="00AF73C3">
        <w:rPr>
          <w:lang w:val="fr-FR"/>
        </w:rPr>
        <w:tab/>
      </w:r>
      <w:r w:rsidRPr="008B78E9">
        <w:rPr>
          <w:lang w:val="fr-FR"/>
        </w:rPr>
        <w:t>Tenue à Genève le 27 octobre 2021 par voie électronique.</w:t>
      </w:r>
    </w:p>
  </w:footnote>
  <w:footnote w:id="7">
    <w:p w:rsidR="00A85706" w:rsidRPr="008B78E9" w:rsidRDefault="00A85706" w:rsidP="00AF73C3">
      <w:pPr>
        <w:pStyle w:val="FootnoteText"/>
        <w:tabs>
          <w:tab w:val="left" w:pos="567"/>
        </w:tabs>
        <w:rPr>
          <w:lang w:val="fr-FR"/>
        </w:rPr>
      </w:pPr>
      <w:r w:rsidRPr="008B78E9">
        <w:rPr>
          <w:rStyle w:val="FootnoteReference"/>
          <w:lang w:val="fr-FR"/>
        </w:rPr>
        <w:footnoteRef/>
      </w:r>
      <w:r w:rsidRPr="008B78E9">
        <w:rPr>
          <w:lang w:val="fr-FR"/>
        </w:rPr>
        <w:t xml:space="preserve"> </w:t>
      </w:r>
      <w:r w:rsidR="005F2F6A">
        <w:rPr>
          <w:lang w:val="fr-FR"/>
        </w:rPr>
        <w:tab/>
      </w:r>
      <w:r w:rsidRPr="008B78E9">
        <w:rPr>
          <w:lang w:val="fr-FR"/>
        </w:rPr>
        <w:t>Extrait du document</w:t>
      </w:r>
      <w:r w:rsidR="008C34BA" w:rsidRPr="008B78E9">
        <w:rPr>
          <w:lang w:val="fr-FR"/>
        </w:rPr>
        <w:t> </w:t>
      </w:r>
      <w:r w:rsidRPr="008B78E9">
        <w:rPr>
          <w:lang w:val="fr-FR"/>
        </w:rPr>
        <w:t>CAJ/77/2 “Rapports sur les faits nouveaux intervenus au sein du Comité technique”.</w:t>
      </w:r>
    </w:p>
  </w:footnote>
  <w:footnote w:id="8">
    <w:p w:rsidR="00A85706" w:rsidRPr="008B78E9" w:rsidRDefault="00A85706" w:rsidP="00AF73C3">
      <w:pPr>
        <w:pStyle w:val="FootnoteText"/>
        <w:tabs>
          <w:tab w:val="left" w:pos="567"/>
        </w:tabs>
        <w:rPr>
          <w:lang w:val="fr-FR"/>
        </w:rPr>
      </w:pPr>
      <w:r w:rsidRPr="008B78E9">
        <w:rPr>
          <w:rStyle w:val="FootnoteReference"/>
          <w:lang w:val="fr-FR"/>
        </w:rPr>
        <w:footnoteRef/>
      </w:r>
      <w:r w:rsidRPr="008B78E9">
        <w:rPr>
          <w:lang w:val="fr-FR"/>
        </w:rPr>
        <w:t xml:space="preserve"> </w:t>
      </w:r>
      <w:r w:rsidR="005F2F6A">
        <w:rPr>
          <w:lang w:val="fr-FR"/>
        </w:rPr>
        <w:tab/>
      </w:r>
      <w:r w:rsidRPr="008B78E9">
        <w:rPr>
          <w:lang w:val="fr-FR"/>
        </w:rPr>
        <w:t>Tenue à Genève les 28 et 29 octobre 2019.</w:t>
      </w:r>
    </w:p>
  </w:footnote>
  <w:footnote w:id="9">
    <w:p w:rsidR="00A85706" w:rsidRPr="008B78E9" w:rsidRDefault="00A85706" w:rsidP="00AF73C3">
      <w:pPr>
        <w:pStyle w:val="FootnoteText"/>
        <w:tabs>
          <w:tab w:val="left" w:pos="567"/>
        </w:tabs>
        <w:rPr>
          <w:lang w:val="fr-FR"/>
        </w:rPr>
      </w:pPr>
      <w:r w:rsidRPr="008B78E9">
        <w:rPr>
          <w:rStyle w:val="FootnoteReference"/>
          <w:lang w:val="fr-FR"/>
        </w:rPr>
        <w:footnoteRef/>
      </w:r>
      <w:r w:rsidRPr="008B78E9">
        <w:rPr>
          <w:lang w:val="fr-FR"/>
        </w:rPr>
        <w:t xml:space="preserve"> </w:t>
      </w:r>
      <w:r w:rsidR="005F2F6A">
        <w:rPr>
          <w:lang w:val="fr-FR"/>
        </w:rPr>
        <w:tab/>
      </w:r>
      <w:r w:rsidRPr="008B78E9">
        <w:rPr>
          <w:lang w:val="fr-FR"/>
        </w:rPr>
        <w:t>Tenue à Genève les 26 et 27 octobre 2020 par voie électronique.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706" w:rsidRPr="00C5280D" w:rsidRDefault="00A8570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CAJ/79/7</w:t>
    </w:r>
  </w:p>
  <w:p w:rsidR="00A85706" w:rsidRPr="00C5280D" w:rsidRDefault="00A85706" w:rsidP="00A85706">
    <w:pPr>
      <w:pStyle w:val="Header"/>
      <w:tabs>
        <w:tab w:val="center" w:pos="4819"/>
        <w:tab w:val="left" w:pos="5918"/>
      </w:tabs>
      <w:rPr>
        <w:lang w:val="en-US"/>
      </w:rPr>
    </w:pPr>
    <w:r w:rsidRPr="00C5280D">
      <w:rPr>
        <w:lang w:val="en-US"/>
      </w:rPr>
      <w:t>page</w:t>
    </w:r>
    <w:r w:rsidR="008C34BA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87E6E">
      <w:rPr>
        <w:rStyle w:val="PageNumber"/>
        <w:noProof/>
        <w:lang w:val="en-US"/>
      </w:rPr>
      <w:t>6</w:t>
    </w:r>
    <w:r w:rsidRPr="00C5280D">
      <w:rPr>
        <w:rStyle w:val="PageNumber"/>
        <w:lang w:val="en-US"/>
      </w:rPr>
      <w:fldChar w:fldCharType="end"/>
    </w:r>
  </w:p>
  <w:p w:rsidR="00A85706" w:rsidRPr="00C5280D" w:rsidRDefault="00A85706" w:rsidP="00AF73C3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706" w:rsidRPr="00AD680F" w:rsidRDefault="00A85706" w:rsidP="00EB048E">
    <w:pPr>
      <w:pStyle w:val="Header"/>
      <w:rPr>
        <w:rStyle w:val="PageNumber"/>
      </w:rPr>
    </w:pPr>
    <w:r w:rsidRPr="00AD680F">
      <w:rPr>
        <w:rStyle w:val="PageNumber"/>
      </w:rPr>
      <w:t>CAJ/79/7</w:t>
    </w:r>
  </w:p>
  <w:p w:rsidR="00A85706" w:rsidRPr="00AD680F" w:rsidRDefault="00A85706" w:rsidP="00EB048E">
    <w:pPr>
      <w:pStyle w:val="Header"/>
    </w:pPr>
    <w:r w:rsidRPr="00AD680F">
      <w:t>Annex</w:t>
    </w:r>
    <w:r w:rsidR="0078575E" w:rsidRPr="00AD680F">
      <w:t>e</w:t>
    </w:r>
    <w:r w:rsidRPr="00AD680F">
      <w:t xml:space="preserve">, </w:t>
    </w:r>
    <w:r w:rsidR="00AD680F" w:rsidRPr="00AD680F">
      <w:t>page </w:t>
    </w:r>
    <w:r w:rsidRPr="00AD680F">
      <w:rPr>
        <w:rStyle w:val="PageNumber"/>
      </w:rPr>
      <w:fldChar w:fldCharType="begin"/>
    </w:r>
    <w:r w:rsidRPr="00AD680F">
      <w:rPr>
        <w:rStyle w:val="PageNumber"/>
      </w:rPr>
      <w:instrText xml:space="preserve"> PAGE </w:instrText>
    </w:r>
    <w:r w:rsidRPr="00AD680F">
      <w:rPr>
        <w:rStyle w:val="PageNumber"/>
      </w:rPr>
      <w:fldChar w:fldCharType="separate"/>
    </w:r>
    <w:r w:rsidR="00A87E6E">
      <w:rPr>
        <w:rStyle w:val="PageNumber"/>
        <w:noProof/>
      </w:rPr>
      <w:t>2</w:t>
    </w:r>
    <w:r w:rsidRPr="00AD680F">
      <w:rPr>
        <w:rStyle w:val="PageNumber"/>
      </w:rPr>
      <w:fldChar w:fldCharType="end"/>
    </w:r>
  </w:p>
  <w:p w:rsidR="00A85706" w:rsidRPr="00AD680F" w:rsidRDefault="00A85706" w:rsidP="00AD680F">
    <w:pPr>
      <w:jc w:val="center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706" w:rsidRDefault="00A85706" w:rsidP="0004198B">
    <w:pPr>
      <w:pStyle w:val="Header"/>
      <w:rPr>
        <w:lang w:val="en-US"/>
      </w:rPr>
    </w:pPr>
    <w:r>
      <w:rPr>
        <w:lang w:val="en-US"/>
      </w:rPr>
      <w:t>CAJ/79/7</w:t>
    </w:r>
  </w:p>
  <w:p w:rsidR="00A85706" w:rsidRDefault="00A85706" w:rsidP="0004198B">
    <w:pPr>
      <w:pStyle w:val="Header"/>
      <w:rPr>
        <w:lang w:val="en-US"/>
      </w:rPr>
    </w:pPr>
  </w:p>
  <w:p w:rsidR="00A85706" w:rsidRPr="00E1218B" w:rsidRDefault="00A85706" w:rsidP="0004198B">
    <w:pPr>
      <w:pStyle w:val="Header"/>
      <w:rPr>
        <w:lang w:val="en-US"/>
      </w:rPr>
    </w:pPr>
    <w:r>
      <w:rPr>
        <w:lang w:val="en-US"/>
      </w:rPr>
      <w:t>ANNEX</w:t>
    </w:r>
    <w:r w:rsidR="0078575E">
      <w:rPr>
        <w:lang w:val="en-US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7549"/>
    <w:multiLevelType w:val="hybridMultilevel"/>
    <w:tmpl w:val="EB44145C"/>
    <w:lvl w:ilvl="0" w:tplc="EFAC626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2660E"/>
    <w:multiLevelType w:val="hybridMultilevel"/>
    <w:tmpl w:val="E2FEBCDE"/>
    <w:lvl w:ilvl="0" w:tplc="EFAC626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E1EE13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86661"/>
    <w:multiLevelType w:val="hybridMultilevel"/>
    <w:tmpl w:val="5950A532"/>
    <w:lvl w:ilvl="0" w:tplc="0376148A">
      <w:start w:val="1"/>
      <w:numFmt w:val="lowerLetter"/>
      <w:lvlText w:val="(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" w15:restartNumberingAfterBreak="0">
    <w:nsid w:val="2D18286D"/>
    <w:multiLevelType w:val="hybridMultilevel"/>
    <w:tmpl w:val="3174B1C8"/>
    <w:lvl w:ilvl="0" w:tplc="0409000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4" w15:restartNumberingAfterBreak="0">
    <w:nsid w:val="31942DB5"/>
    <w:multiLevelType w:val="hybridMultilevel"/>
    <w:tmpl w:val="52004112"/>
    <w:lvl w:ilvl="0" w:tplc="9A227656">
      <w:start w:val="9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F0233"/>
    <w:multiLevelType w:val="hybridMultilevel"/>
    <w:tmpl w:val="3A9CF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7370F"/>
    <w:multiLevelType w:val="hybridMultilevel"/>
    <w:tmpl w:val="162265DC"/>
    <w:lvl w:ilvl="0" w:tplc="2F205C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E3B0618"/>
    <w:multiLevelType w:val="hybridMultilevel"/>
    <w:tmpl w:val="77963A46"/>
    <w:lvl w:ilvl="0" w:tplc="2DC2ED7C">
      <w:start w:val="10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F694B"/>
    <w:multiLevelType w:val="hybridMultilevel"/>
    <w:tmpl w:val="7204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2219E"/>
    <w:multiLevelType w:val="hybridMultilevel"/>
    <w:tmpl w:val="7A0C8E46"/>
    <w:lvl w:ilvl="0" w:tplc="EFAC626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44BAD"/>
    <w:multiLevelType w:val="hybridMultilevel"/>
    <w:tmpl w:val="162265DC"/>
    <w:lvl w:ilvl="0" w:tplc="2F205C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5EC601D"/>
    <w:multiLevelType w:val="hybridMultilevel"/>
    <w:tmpl w:val="D21AD6CE"/>
    <w:lvl w:ilvl="0" w:tplc="91FE23DA">
      <w:start w:val="8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02741"/>
    <w:multiLevelType w:val="hybridMultilevel"/>
    <w:tmpl w:val="D2F0ED7E"/>
    <w:lvl w:ilvl="0" w:tplc="E68C3A60">
      <w:start w:val="1"/>
      <w:numFmt w:val="lowerLetter"/>
      <w:lvlText w:val="(%1)"/>
      <w:lvlJc w:val="left"/>
      <w:pPr>
        <w:ind w:left="114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76044A70"/>
    <w:multiLevelType w:val="hybridMultilevel"/>
    <w:tmpl w:val="9CB096F4"/>
    <w:lvl w:ilvl="0" w:tplc="EFAC626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F116D"/>
    <w:multiLevelType w:val="hybridMultilevel"/>
    <w:tmpl w:val="5950A532"/>
    <w:lvl w:ilvl="0" w:tplc="0376148A">
      <w:start w:val="1"/>
      <w:numFmt w:val="lowerLetter"/>
      <w:lvlText w:val="(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2"/>
  </w:num>
  <w:num w:numId="5">
    <w:abstractNumId w:val="14"/>
  </w:num>
  <w:num w:numId="6">
    <w:abstractNumId w:val="5"/>
  </w:num>
  <w:num w:numId="7">
    <w:abstractNumId w:val="9"/>
  </w:num>
  <w:num w:numId="8">
    <w:abstractNumId w:val="12"/>
  </w:num>
  <w:num w:numId="9">
    <w:abstractNumId w:val="6"/>
  </w:num>
  <w:num w:numId="10">
    <w:abstractNumId w:val="1"/>
  </w:num>
  <w:num w:numId="11">
    <w:abstractNumId w:val="11"/>
  </w:num>
  <w:num w:numId="12">
    <w:abstractNumId w:val="7"/>
  </w:num>
  <w:num w:numId="13">
    <w:abstractNumId w:val="13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Empty"/>
    <w:docVar w:name="TermBaseURL" w:val="empty"/>
    <w:docVar w:name="TextBases" w:val="TextBase TMs\WorkspaceFTS\UPOV\UPOV"/>
    <w:docVar w:name="TextBaseURL" w:val="empty"/>
    <w:docVar w:name="UILng" w:val="en"/>
  </w:docVars>
  <w:rsids>
    <w:rsidRoot w:val="00DD6655"/>
    <w:rsid w:val="00010CF3"/>
    <w:rsid w:val="00011E27"/>
    <w:rsid w:val="000148BC"/>
    <w:rsid w:val="00024AB8"/>
    <w:rsid w:val="00030854"/>
    <w:rsid w:val="00031071"/>
    <w:rsid w:val="00036028"/>
    <w:rsid w:val="0004198B"/>
    <w:rsid w:val="00044642"/>
    <w:rsid w:val="000446B9"/>
    <w:rsid w:val="00047E21"/>
    <w:rsid w:val="00050E16"/>
    <w:rsid w:val="00061804"/>
    <w:rsid w:val="00085505"/>
    <w:rsid w:val="000C4E25"/>
    <w:rsid w:val="000C7021"/>
    <w:rsid w:val="000D6BBC"/>
    <w:rsid w:val="000D7780"/>
    <w:rsid w:val="000E19E4"/>
    <w:rsid w:val="000E636A"/>
    <w:rsid w:val="000F2F11"/>
    <w:rsid w:val="00100A5F"/>
    <w:rsid w:val="00103459"/>
    <w:rsid w:val="00105929"/>
    <w:rsid w:val="00110BED"/>
    <w:rsid w:val="00110C36"/>
    <w:rsid w:val="001131D5"/>
    <w:rsid w:val="00114547"/>
    <w:rsid w:val="0012505A"/>
    <w:rsid w:val="00131DAA"/>
    <w:rsid w:val="00131DC5"/>
    <w:rsid w:val="00141DB8"/>
    <w:rsid w:val="00145EAD"/>
    <w:rsid w:val="00172084"/>
    <w:rsid w:val="0017474A"/>
    <w:rsid w:val="001758C6"/>
    <w:rsid w:val="00182B99"/>
    <w:rsid w:val="00182E86"/>
    <w:rsid w:val="00195A96"/>
    <w:rsid w:val="001B30B5"/>
    <w:rsid w:val="001B6BD8"/>
    <w:rsid w:val="001B76D7"/>
    <w:rsid w:val="001C1525"/>
    <w:rsid w:val="001C3593"/>
    <w:rsid w:val="0021332C"/>
    <w:rsid w:val="00213982"/>
    <w:rsid w:val="0024045C"/>
    <w:rsid w:val="0024416D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4298"/>
    <w:rsid w:val="002B7A36"/>
    <w:rsid w:val="002C256A"/>
    <w:rsid w:val="002D5226"/>
    <w:rsid w:val="002F137D"/>
    <w:rsid w:val="00305A7F"/>
    <w:rsid w:val="003152FE"/>
    <w:rsid w:val="00327436"/>
    <w:rsid w:val="00334026"/>
    <w:rsid w:val="00344BD6"/>
    <w:rsid w:val="003516A9"/>
    <w:rsid w:val="0035528D"/>
    <w:rsid w:val="00361821"/>
    <w:rsid w:val="00361E9E"/>
    <w:rsid w:val="00372EA9"/>
    <w:rsid w:val="003753EE"/>
    <w:rsid w:val="003A0835"/>
    <w:rsid w:val="003A0EE1"/>
    <w:rsid w:val="003A5AAF"/>
    <w:rsid w:val="003B05F7"/>
    <w:rsid w:val="003B700A"/>
    <w:rsid w:val="003C1298"/>
    <w:rsid w:val="003C7FBE"/>
    <w:rsid w:val="003D227C"/>
    <w:rsid w:val="003D2B4D"/>
    <w:rsid w:val="003E4641"/>
    <w:rsid w:val="003F09A7"/>
    <w:rsid w:val="003F37F5"/>
    <w:rsid w:val="003F770F"/>
    <w:rsid w:val="00401A2E"/>
    <w:rsid w:val="0040561B"/>
    <w:rsid w:val="0042112A"/>
    <w:rsid w:val="00422AE0"/>
    <w:rsid w:val="00444A88"/>
    <w:rsid w:val="00455555"/>
    <w:rsid w:val="00470FF3"/>
    <w:rsid w:val="00474DA4"/>
    <w:rsid w:val="00476B4D"/>
    <w:rsid w:val="004805FA"/>
    <w:rsid w:val="004935D2"/>
    <w:rsid w:val="00497EC4"/>
    <w:rsid w:val="004B1215"/>
    <w:rsid w:val="004C3629"/>
    <w:rsid w:val="004D047D"/>
    <w:rsid w:val="004F1E9E"/>
    <w:rsid w:val="004F305A"/>
    <w:rsid w:val="004F5812"/>
    <w:rsid w:val="004F623D"/>
    <w:rsid w:val="00512164"/>
    <w:rsid w:val="00520297"/>
    <w:rsid w:val="00522427"/>
    <w:rsid w:val="005278EE"/>
    <w:rsid w:val="00532395"/>
    <w:rsid w:val="005338F9"/>
    <w:rsid w:val="00534BB7"/>
    <w:rsid w:val="0053766F"/>
    <w:rsid w:val="0054281C"/>
    <w:rsid w:val="00544581"/>
    <w:rsid w:val="0055268D"/>
    <w:rsid w:val="0057113A"/>
    <w:rsid w:val="00575DE2"/>
    <w:rsid w:val="00576BE4"/>
    <w:rsid w:val="005779DB"/>
    <w:rsid w:val="005A2621"/>
    <w:rsid w:val="005A2A67"/>
    <w:rsid w:val="005A400A"/>
    <w:rsid w:val="005A7448"/>
    <w:rsid w:val="005B269D"/>
    <w:rsid w:val="005D219E"/>
    <w:rsid w:val="005D6B28"/>
    <w:rsid w:val="005F0AFB"/>
    <w:rsid w:val="005F2F6A"/>
    <w:rsid w:val="005F7B92"/>
    <w:rsid w:val="00612379"/>
    <w:rsid w:val="006153B6"/>
    <w:rsid w:val="0061555F"/>
    <w:rsid w:val="006245ED"/>
    <w:rsid w:val="00636CA6"/>
    <w:rsid w:val="00637716"/>
    <w:rsid w:val="00641200"/>
    <w:rsid w:val="00645CA8"/>
    <w:rsid w:val="006655D3"/>
    <w:rsid w:val="00667404"/>
    <w:rsid w:val="00675AA7"/>
    <w:rsid w:val="00681818"/>
    <w:rsid w:val="00687EB4"/>
    <w:rsid w:val="00695C56"/>
    <w:rsid w:val="006A5CDE"/>
    <w:rsid w:val="006A644A"/>
    <w:rsid w:val="006B1484"/>
    <w:rsid w:val="006B17D2"/>
    <w:rsid w:val="006C0527"/>
    <w:rsid w:val="006C224E"/>
    <w:rsid w:val="006D780A"/>
    <w:rsid w:val="00701D7A"/>
    <w:rsid w:val="00711AED"/>
    <w:rsid w:val="00711FAF"/>
    <w:rsid w:val="0071271E"/>
    <w:rsid w:val="00732DEC"/>
    <w:rsid w:val="00734D2D"/>
    <w:rsid w:val="00735BD5"/>
    <w:rsid w:val="007451EC"/>
    <w:rsid w:val="00745304"/>
    <w:rsid w:val="00751613"/>
    <w:rsid w:val="00753EE9"/>
    <w:rsid w:val="007556F6"/>
    <w:rsid w:val="00760EEF"/>
    <w:rsid w:val="00777EE5"/>
    <w:rsid w:val="00784836"/>
    <w:rsid w:val="0078575E"/>
    <w:rsid w:val="0079023E"/>
    <w:rsid w:val="007A2854"/>
    <w:rsid w:val="007C1D92"/>
    <w:rsid w:val="007C4CB9"/>
    <w:rsid w:val="007C7BDD"/>
    <w:rsid w:val="007D0B9D"/>
    <w:rsid w:val="007D19B0"/>
    <w:rsid w:val="007E7021"/>
    <w:rsid w:val="007F498F"/>
    <w:rsid w:val="00801E51"/>
    <w:rsid w:val="0080679D"/>
    <w:rsid w:val="00807712"/>
    <w:rsid w:val="008108B0"/>
    <w:rsid w:val="00811B20"/>
    <w:rsid w:val="00812609"/>
    <w:rsid w:val="008211B5"/>
    <w:rsid w:val="0082296E"/>
    <w:rsid w:val="00824099"/>
    <w:rsid w:val="00846D7C"/>
    <w:rsid w:val="0086237E"/>
    <w:rsid w:val="008653F0"/>
    <w:rsid w:val="00867AC1"/>
    <w:rsid w:val="0087496B"/>
    <w:rsid w:val="008751DE"/>
    <w:rsid w:val="00890DF8"/>
    <w:rsid w:val="008A0ADE"/>
    <w:rsid w:val="008A674B"/>
    <w:rsid w:val="008A743F"/>
    <w:rsid w:val="008B721B"/>
    <w:rsid w:val="008B78E9"/>
    <w:rsid w:val="008C0970"/>
    <w:rsid w:val="008C34BA"/>
    <w:rsid w:val="008D0BC5"/>
    <w:rsid w:val="008D0F14"/>
    <w:rsid w:val="008D2CF7"/>
    <w:rsid w:val="008D5A24"/>
    <w:rsid w:val="00900C26"/>
    <w:rsid w:val="0090197F"/>
    <w:rsid w:val="00903264"/>
    <w:rsid w:val="00906DDC"/>
    <w:rsid w:val="0091035D"/>
    <w:rsid w:val="00934E09"/>
    <w:rsid w:val="00936253"/>
    <w:rsid w:val="00940D46"/>
    <w:rsid w:val="009413F1"/>
    <w:rsid w:val="00952DD4"/>
    <w:rsid w:val="009561F4"/>
    <w:rsid w:val="00965AE7"/>
    <w:rsid w:val="00970FED"/>
    <w:rsid w:val="00992D82"/>
    <w:rsid w:val="00997029"/>
    <w:rsid w:val="00997100"/>
    <w:rsid w:val="009A7339"/>
    <w:rsid w:val="009B440E"/>
    <w:rsid w:val="009C3A48"/>
    <w:rsid w:val="009C7FCE"/>
    <w:rsid w:val="009D481E"/>
    <w:rsid w:val="009D690D"/>
    <w:rsid w:val="009E65B6"/>
    <w:rsid w:val="009F0A51"/>
    <w:rsid w:val="009F4087"/>
    <w:rsid w:val="009F77CF"/>
    <w:rsid w:val="00A2121E"/>
    <w:rsid w:val="00A24C10"/>
    <w:rsid w:val="00A42AC3"/>
    <w:rsid w:val="00A430CF"/>
    <w:rsid w:val="00A54309"/>
    <w:rsid w:val="00A610A9"/>
    <w:rsid w:val="00A80F2A"/>
    <w:rsid w:val="00A85706"/>
    <w:rsid w:val="00A87E6E"/>
    <w:rsid w:val="00A96404"/>
    <w:rsid w:val="00A967D3"/>
    <w:rsid w:val="00A96C33"/>
    <w:rsid w:val="00AB2B93"/>
    <w:rsid w:val="00AB4C9A"/>
    <w:rsid w:val="00AB530F"/>
    <w:rsid w:val="00AB7E5B"/>
    <w:rsid w:val="00AC2883"/>
    <w:rsid w:val="00AD2489"/>
    <w:rsid w:val="00AD680F"/>
    <w:rsid w:val="00AE0EF1"/>
    <w:rsid w:val="00AE2937"/>
    <w:rsid w:val="00AF73C3"/>
    <w:rsid w:val="00B02359"/>
    <w:rsid w:val="00B03C2A"/>
    <w:rsid w:val="00B07301"/>
    <w:rsid w:val="00B11F3E"/>
    <w:rsid w:val="00B224DE"/>
    <w:rsid w:val="00B324D4"/>
    <w:rsid w:val="00B43847"/>
    <w:rsid w:val="00B43F1D"/>
    <w:rsid w:val="00B46575"/>
    <w:rsid w:val="00B61777"/>
    <w:rsid w:val="00B622E6"/>
    <w:rsid w:val="00B7380D"/>
    <w:rsid w:val="00B740CB"/>
    <w:rsid w:val="00B83E82"/>
    <w:rsid w:val="00B84BBD"/>
    <w:rsid w:val="00BA43FB"/>
    <w:rsid w:val="00BC127D"/>
    <w:rsid w:val="00BC1FE6"/>
    <w:rsid w:val="00C061B6"/>
    <w:rsid w:val="00C17804"/>
    <w:rsid w:val="00C2446C"/>
    <w:rsid w:val="00C36AE5"/>
    <w:rsid w:val="00C41F17"/>
    <w:rsid w:val="00C42D64"/>
    <w:rsid w:val="00C503A5"/>
    <w:rsid w:val="00C527FA"/>
    <w:rsid w:val="00C5280D"/>
    <w:rsid w:val="00C53EB3"/>
    <w:rsid w:val="00C5791C"/>
    <w:rsid w:val="00C66290"/>
    <w:rsid w:val="00C72B7A"/>
    <w:rsid w:val="00C731C0"/>
    <w:rsid w:val="00C83921"/>
    <w:rsid w:val="00C96D6E"/>
    <w:rsid w:val="00C973F2"/>
    <w:rsid w:val="00CA304C"/>
    <w:rsid w:val="00CA774A"/>
    <w:rsid w:val="00CB4921"/>
    <w:rsid w:val="00CC11B0"/>
    <w:rsid w:val="00CC2841"/>
    <w:rsid w:val="00CF1330"/>
    <w:rsid w:val="00CF7E36"/>
    <w:rsid w:val="00D04FBE"/>
    <w:rsid w:val="00D05E15"/>
    <w:rsid w:val="00D217C3"/>
    <w:rsid w:val="00D3708D"/>
    <w:rsid w:val="00D40426"/>
    <w:rsid w:val="00D50585"/>
    <w:rsid w:val="00D57C96"/>
    <w:rsid w:val="00D57D18"/>
    <w:rsid w:val="00D60852"/>
    <w:rsid w:val="00D67C2A"/>
    <w:rsid w:val="00D70E65"/>
    <w:rsid w:val="00D7270F"/>
    <w:rsid w:val="00D91203"/>
    <w:rsid w:val="00D95174"/>
    <w:rsid w:val="00DA4973"/>
    <w:rsid w:val="00DA6F36"/>
    <w:rsid w:val="00DB596E"/>
    <w:rsid w:val="00DB7773"/>
    <w:rsid w:val="00DC00EA"/>
    <w:rsid w:val="00DC3802"/>
    <w:rsid w:val="00DC7265"/>
    <w:rsid w:val="00DC7A26"/>
    <w:rsid w:val="00DD1008"/>
    <w:rsid w:val="00DD1499"/>
    <w:rsid w:val="00DD6208"/>
    <w:rsid w:val="00DD6655"/>
    <w:rsid w:val="00DF7E99"/>
    <w:rsid w:val="00E007B8"/>
    <w:rsid w:val="00E02A30"/>
    <w:rsid w:val="00E07D87"/>
    <w:rsid w:val="00E1218B"/>
    <w:rsid w:val="00E249C8"/>
    <w:rsid w:val="00E32F7E"/>
    <w:rsid w:val="00E460C3"/>
    <w:rsid w:val="00E5267B"/>
    <w:rsid w:val="00E559F0"/>
    <w:rsid w:val="00E63C0E"/>
    <w:rsid w:val="00E678C5"/>
    <w:rsid w:val="00E72D49"/>
    <w:rsid w:val="00E7593C"/>
    <w:rsid w:val="00E7678A"/>
    <w:rsid w:val="00E8286B"/>
    <w:rsid w:val="00E86D31"/>
    <w:rsid w:val="00E935F1"/>
    <w:rsid w:val="00E94A81"/>
    <w:rsid w:val="00EA1FFB"/>
    <w:rsid w:val="00EB048E"/>
    <w:rsid w:val="00EB4E9C"/>
    <w:rsid w:val="00ED6FA7"/>
    <w:rsid w:val="00EE34DF"/>
    <w:rsid w:val="00EF2F89"/>
    <w:rsid w:val="00F03E98"/>
    <w:rsid w:val="00F11BE9"/>
    <w:rsid w:val="00F1237A"/>
    <w:rsid w:val="00F22CBD"/>
    <w:rsid w:val="00F272F1"/>
    <w:rsid w:val="00F31412"/>
    <w:rsid w:val="00F32E46"/>
    <w:rsid w:val="00F45372"/>
    <w:rsid w:val="00F5160C"/>
    <w:rsid w:val="00F560F7"/>
    <w:rsid w:val="00F6334D"/>
    <w:rsid w:val="00F63599"/>
    <w:rsid w:val="00F71781"/>
    <w:rsid w:val="00FA3E36"/>
    <w:rsid w:val="00FA49AB"/>
    <w:rsid w:val="00FC2178"/>
    <w:rsid w:val="00FC5FD0"/>
    <w:rsid w:val="00FE39C7"/>
    <w:rsid w:val="00FE63AE"/>
    <w:rsid w:val="00FF0A95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B8454D71-DD3A-427D-A7E7-A4B23C11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aliases w:val="Heading 3 Scientific Name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807712"/>
    <w:pPr>
      <w:spacing w:after="200" w:line="276" w:lineRule="auto"/>
      <w:ind w:left="720"/>
      <w:contextualSpacing/>
      <w:jc w:val="left"/>
    </w:pPr>
    <w:rPr>
      <w:rFonts w:eastAsiaTheme="minorEastAsia" w:cstheme="minorBidi"/>
      <w:szCs w:val="22"/>
    </w:r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locked/>
    <w:rsid w:val="00807712"/>
    <w:rPr>
      <w:rFonts w:ascii="Arial" w:eastAsiaTheme="minorEastAsia" w:hAnsi="Arial" w:cstheme="minorBidi"/>
      <w:szCs w:val="22"/>
    </w:rPr>
  </w:style>
  <w:style w:type="character" w:customStyle="1" w:styleId="Heading3Char">
    <w:name w:val="Heading 3 Char"/>
    <w:aliases w:val="Heading 3 Scientific Name Char"/>
    <w:basedOn w:val="DefaultParagraphFont"/>
    <w:link w:val="Heading3"/>
    <w:rsid w:val="00807712"/>
    <w:rPr>
      <w:rFonts w:ascii="Arial" w:hAnsi="Arial"/>
      <w:i/>
    </w:rPr>
  </w:style>
  <w:style w:type="character" w:customStyle="1" w:styleId="FootnoteTextChar">
    <w:name w:val="Footnote Text Char"/>
    <w:basedOn w:val="DefaultParagraphFont"/>
    <w:link w:val="FootnoteText"/>
    <w:rsid w:val="00807712"/>
    <w:rPr>
      <w:rFonts w:ascii="Arial" w:hAnsi="Arial"/>
      <w:sz w:val="16"/>
    </w:rPr>
  </w:style>
  <w:style w:type="character" w:customStyle="1" w:styleId="Heading1Char">
    <w:name w:val="Heading 1 Char"/>
    <w:basedOn w:val="DefaultParagraphFont"/>
    <w:link w:val="Heading1"/>
    <w:rsid w:val="00807712"/>
    <w:rPr>
      <w:rFonts w:ascii="Arial" w:hAnsi="Arial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upov.mail@upov.int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3065B-D115-4072-8310-A7BD2ED9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8</Pages>
  <Words>3298</Words>
  <Characters>18930</Characters>
  <Application>Microsoft Office Word</Application>
  <DocSecurity>0</DocSecurity>
  <Lines>473</Lines>
  <Paragraphs>252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CAJ/79</vt:lpstr>
      <vt:lpstr>CAJ/79</vt:lpstr>
    </vt:vector>
  </TitlesOfParts>
  <Company>UPOV</Company>
  <LinksUpToDate>false</LinksUpToDate>
  <CharactersWithSpaces>21976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CAJ/79/7</dc:title>
  <dc:creator>REZENDE TAVEIRA Leontino</dc:creator>
  <cp:lastModifiedBy>NICOLO Laurianne</cp:lastModifiedBy>
  <cp:revision>52</cp:revision>
  <cp:lastPrinted>2016-11-22T15:41:00Z</cp:lastPrinted>
  <dcterms:created xsi:type="dcterms:W3CDTF">2022-07-22T06:38:00Z</dcterms:created>
  <dcterms:modified xsi:type="dcterms:W3CDTF">2022-07-29T16:39:00Z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f57187e8-6ab4-47d0-a696-cec94eea7706</vt:lpwstr>
  </property>
</Properties>
</file>