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E0F29" w:rsidRPr="004E0F29" w:rsidTr="00783D01">
        <w:tc>
          <w:tcPr>
            <w:tcW w:w="6522" w:type="dxa"/>
          </w:tcPr>
          <w:p w:rsidR="004E0F29" w:rsidRPr="004E0F29" w:rsidRDefault="004E0F29" w:rsidP="00783D01">
            <w:pPr>
              <w:rPr>
                <w:lang w:val="fr-FR"/>
              </w:rPr>
            </w:pPr>
            <w:bookmarkStart w:id="0" w:name="_GoBack"/>
            <w:bookmarkEnd w:id="0"/>
            <w:r w:rsidRPr="004E0F29">
              <w:rPr>
                <w:noProof/>
              </w:rPr>
              <w:drawing>
                <wp:inline distT="0" distB="0" distL="0" distR="0" wp14:anchorId="6F9506A2" wp14:editId="432C655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E0F29" w:rsidRPr="004E0F29" w:rsidRDefault="004E0F29" w:rsidP="00783D01">
            <w:pPr>
              <w:pStyle w:val="Lettrine"/>
              <w:rPr>
                <w:lang w:val="fr-FR"/>
              </w:rPr>
            </w:pPr>
            <w:r w:rsidRPr="004E0F29">
              <w:rPr>
                <w:lang w:val="fr-FR"/>
              </w:rPr>
              <w:t>F</w:t>
            </w:r>
          </w:p>
        </w:tc>
      </w:tr>
      <w:tr w:rsidR="004E0F29" w:rsidRPr="009932F8" w:rsidTr="00783D01">
        <w:trPr>
          <w:trHeight w:val="219"/>
        </w:trPr>
        <w:tc>
          <w:tcPr>
            <w:tcW w:w="6522" w:type="dxa"/>
          </w:tcPr>
          <w:p w:rsidR="004E0F29" w:rsidRPr="004E0F29" w:rsidRDefault="004E0F29" w:rsidP="00783D01">
            <w:pPr>
              <w:pStyle w:val="upove"/>
              <w:rPr>
                <w:lang w:val="fr-FR"/>
              </w:rPr>
            </w:pPr>
            <w:r w:rsidRPr="004E0F29">
              <w:rPr>
                <w:lang w:val="fr-FR"/>
              </w:rPr>
              <w:t>Union internationale pour la protection des obtentions végétales</w:t>
            </w:r>
          </w:p>
        </w:tc>
        <w:tc>
          <w:tcPr>
            <w:tcW w:w="3117" w:type="dxa"/>
          </w:tcPr>
          <w:p w:rsidR="004E0F29" w:rsidRPr="004E0F29" w:rsidRDefault="004E0F29" w:rsidP="00783D01">
            <w:pPr>
              <w:rPr>
                <w:lang w:val="fr-FR"/>
              </w:rPr>
            </w:pPr>
          </w:p>
        </w:tc>
      </w:tr>
    </w:tbl>
    <w:p w:rsidR="004E0F29" w:rsidRPr="004E0F29" w:rsidRDefault="004E0F29" w:rsidP="004E0F29">
      <w:pPr>
        <w:rPr>
          <w:lang w:val="fr-FR"/>
        </w:rPr>
      </w:pPr>
    </w:p>
    <w:p w:rsidR="004E0F29" w:rsidRPr="004E0F29" w:rsidRDefault="004E0F29" w:rsidP="004E0F29">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E0F29" w:rsidRPr="009932F8" w:rsidTr="00783D01">
        <w:tc>
          <w:tcPr>
            <w:tcW w:w="6512" w:type="dxa"/>
          </w:tcPr>
          <w:p w:rsidR="004E0F29" w:rsidRPr="004E0F29" w:rsidRDefault="004E0F29" w:rsidP="00783D01">
            <w:pPr>
              <w:pStyle w:val="Sessiontc"/>
              <w:spacing w:line="240" w:lineRule="auto"/>
              <w:rPr>
                <w:lang w:val="fr-FR"/>
              </w:rPr>
            </w:pPr>
            <w:r w:rsidRPr="004E0F29">
              <w:rPr>
                <w:lang w:val="fr-FR"/>
              </w:rPr>
              <w:t>Comité administratif et juridique</w:t>
            </w:r>
          </w:p>
          <w:p w:rsidR="004E0F29" w:rsidRPr="004E0F29" w:rsidRDefault="004E0F29" w:rsidP="00783D01">
            <w:pPr>
              <w:pStyle w:val="Sessiontcplacedate"/>
              <w:rPr>
                <w:lang w:val="fr-FR"/>
              </w:rPr>
            </w:pPr>
            <w:r w:rsidRPr="004E0F29">
              <w:rPr>
                <w:lang w:val="fr-FR"/>
              </w:rPr>
              <w:t>Soixante</w:t>
            </w:r>
            <w:r w:rsidRPr="004E0F29">
              <w:rPr>
                <w:lang w:val="fr-FR"/>
              </w:rPr>
              <w:noBreakHyphen/>
              <w:t>dix</w:t>
            </w:r>
            <w:r w:rsidRPr="004E0F29">
              <w:rPr>
                <w:lang w:val="fr-FR"/>
              </w:rPr>
              <w:noBreakHyphen/>
              <w:t>neuvième session</w:t>
            </w:r>
          </w:p>
          <w:p w:rsidR="004E0F29" w:rsidRPr="004E0F29" w:rsidRDefault="004E0F29" w:rsidP="00783D01">
            <w:pPr>
              <w:pStyle w:val="Sessiontcplacedate"/>
              <w:rPr>
                <w:sz w:val="22"/>
                <w:lang w:val="fr-FR"/>
              </w:rPr>
            </w:pPr>
            <w:r w:rsidRPr="004E0F29">
              <w:rPr>
                <w:lang w:val="fr-FR"/>
              </w:rPr>
              <w:t>Genève, 26 octobre 2022</w:t>
            </w:r>
          </w:p>
        </w:tc>
        <w:tc>
          <w:tcPr>
            <w:tcW w:w="3127" w:type="dxa"/>
          </w:tcPr>
          <w:p w:rsidR="004E0F29" w:rsidRPr="004E0F29" w:rsidRDefault="004E0F29" w:rsidP="00783D01">
            <w:pPr>
              <w:pStyle w:val="Doccode"/>
              <w:rPr>
                <w:lang w:val="fr-FR"/>
              </w:rPr>
            </w:pPr>
            <w:r w:rsidRPr="004E0F29">
              <w:rPr>
                <w:lang w:val="fr-FR"/>
              </w:rPr>
              <w:t>CAJ/79/3</w:t>
            </w:r>
          </w:p>
          <w:p w:rsidR="004E0F29" w:rsidRPr="004E0F29" w:rsidRDefault="004E0F29" w:rsidP="00783D01">
            <w:pPr>
              <w:pStyle w:val="Docoriginal"/>
              <w:rPr>
                <w:lang w:val="fr-FR"/>
              </w:rPr>
            </w:pPr>
            <w:r w:rsidRPr="004E0F29">
              <w:rPr>
                <w:lang w:val="fr-FR"/>
              </w:rPr>
              <w:t>Original :</w:t>
            </w:r>
            <w:r w:rsidRPr="004E0F29">
              <w:rPr>
                <w:b w:val="0"/>
                <w:spacing w:val="0"/>
                <w:lang w:val="fr-FR"/>
              </w:rPr>
              <w:t xml:space="preserve"> anglais</w:t>
            </w:r>
          </w:p>
          <w:p w:rsidR="004E0F29" w:rsidRPr="004E0F29" w:rsidRDefault="004E0F29" w:rsidP="00107916">
            <w:pPr>
              <w:pStyle w:val="Docoriginal"/>
              <w:rPr>
                <w:lang w:val="fr-FR"/>
              </w:rPr>
            </w:pPr>
            <w:r w:rsidRPr="004E0F29">
              <w:rPr>
                <w:lang w:val="fr-FR"/>
              </w:rPr>
              <w:t>Date :</w:t>
            </w:r>
            <w:r w:rsidRPr="004E0F29">
              <w:rPr>
                <w:b w:val="0"/>
                <w:spacing w:val="0"/>
                <w:lang w:val="fr-FR"/>
              </w:rPr>
              <w:t xml:space="preserve"> </w:t>
            </w:r>
            <w:r w:rsidR="00107916" w:rsidRPr="00FB026A">
              <w:rPr>
                <w:b w:val="0"/>
                <w:spacing w:val="0"/>
                <w:lang w:val="fr-FR"/>
              </w:rPr>
              <w:t>17</w:t>
            </w:r>
            <w:r w:rsidRPr="00FB026A">
              <w:rPr>
                <w:b w:val="0"/>
                <w:spacing w:val="0"/>
                <w:lang w:val="fr-FR"/>
              </w:rPr>
              <w:t> juillet 2022</w:t>
            </w:r>
          </w:p>
        </w:tc>
      </w:tr>
    </w:tbl>
    <w:p w:rsidR="004E0F29" w:rsidRPr="004E0F29" w:rsidRDefault="004E0F29" w:rsidP="004E0F29">
      <w:pPr>
        <w:pStyle w:val="Titleofdoc0"/>
        <w:rPr>
          <w:lang w:val="fr-FR"/>
        </w:rPr>
      </w:pPr>
      <w:r w:rsidRPr="004E0F29">
        <w:rPr>
          <w:lang w:val="fr-FR"/>
        </w:rPr>
        <w:t>Élaboration de documents d’orientation et d’information</w:t>
      </w:r>
    </w:p>
    <w:p w:rsidR="004E0F29" w:rsidRPr="004E0F29" w:rsidRDefault="004E0F29" w:rsidP="004E0F29">
      <w:pPr>
        <w:pStyle w:val="preparedby1"/>
        <w:jc w:val="left"/>
        <w:rPr>
          <w:lang w:val="fr-FR"/>
        </w:rPr>
      </w:pPr>
      <w:r w:rsidRPr="004E0F29">
        <w:rPr>
          <w:lang w:val="fr-FR"/>
        </w:rPr>
        <w:t>Document établi par le Bureau de l’Union</w:t>
      </w:r>
    </w:p>
    <w:p w:rsidR="004E0F29" w:rsidRPr="004E0F29" w:rsidRDefault="004E0F29" w:rsidP="004E0F29">
      <w:pPr>
        <w:pStyle w:val="Disclaimer"/>
        <w:rPr>
          <w:lang w:val="fr-FR"/>
        </w:rPr>
      </w:pPr>
      <w:r w:rsidRPr="004E0F29">
        <w:rPr>
          <w:lang w:val="fr-FR"/>
        </w:rPr>
        <w:t>Avertissement : le présent document ne représente pas les principes ou les orientations de l’UPOV</w:t>
      </w:r>
    </w:p>
    <w:p w:rsidR="00653682" w:rsidRPr="004E0F29" w:rsidRDefault="007E4E45" w:rsidP="000E6DEB">
      <w:pPr>
        <w:pStyle w:val="Heading1"/>
        <w:rPr>
          <w:lang w:val="fr-FR"/>
        </w:rPr>
      </w:pPr>
      <w:bookmarkStart w:id="1" w:name="_Toc109232371"/>
      <w:r w:rsidRPr="004E0F29">
        <w:rPr>
          <w:lang w:val="fr-FR"/>
        </w:rPr>
        <w:t>R</w:t>
      </w:r>
      <w:r w:rsidR="00744476">
        <w:rPr>
          <w:lang w:val="fr-FR"/>
        </w:rPr>
        <w:t>é</w:t>
      </w:r>
      <w:r w:rsidRPr="004E0F29">
        <w:rPr>
          <w:lang w:val="fr-FR"/>
        </w:rPr>
        <w:t>sum</w:t>
      </w:r>
      <w:r w:rsidR="00744476">
        <w:rPr>
          <w:lang w:val="fr-FR"/>
        </w:rPr>
        <w:t>é</w:t>
      </w:r>
      <w:bookmarkEnd w:id="1"/>
    </w:p>
    <w:p w:rsidR="000E6DEB" w:rsidRPr="004E0F29" w:rsidRDefault="000E6DEB" w:rsidP="008D0F14">
      <w:pPr>
        <w:rPr>
          <w:lang w:val="fr-FR"/>
        </w:rPr>
      </w:pPr>
    </w:p>
    <w:p w:rsidR="00653682" w:rsidRPr="004E0F29" w:rsidRDefault="0077169A" w:rsidP="000E6DEB">
      <w:pPr>
        <w:rPr>
          <w:lang w:val="fr-FR"/>
        </w:rPr>
      </w:pPr>
      <w:r w:rsidRPr="004E0F29">
        <w:rPr>
          <w:lang w:val="fr-FR"/>
        </w:rPr>
        <w:fldChar w:fldCharType="begin"/>
      </w:r>
      <w:r w:rsidRPr="004E0F29">
        <w:rPr>
          <w:lang w:val="fr-FR"/>
        </w:rPr>
        <w:instrText xml:space="preserve"> AUTONUM  </w:instrText>
      </w:r>
      <w:r w:rsidRPr="004E0F29">
        <w:rPr>
          <w:lang w:val="fr-FR"/>
        </w:rPr>
        <w:fldChar w:fldCharType="end"/>
      </w:r>
      <w:r w:rsidRPr="004E0F29">
        <w:rPr>
          <w:lang w:val="fr-FR"/>
        </w:rPr>
        <w:tab/>
      </w:r>
      <w:r w:rsidR="000E6DEB" w:rsidRPr="004E0F29">
        <w:rPr>
          <w:lang w:val="fr-FR"/>
        </w:rPr>
        <w:t>Le présent document a pour objet de rendre compte des avancées concernant les documents d</w:t>
      </w:r>
      <w:r w:rsidR="00653682" w:rsidRPr="004E0F29">
        <w:rPr>
          <w:lang w:val="fr-FR"/>
        </w:rPr>
        <w:t>’</w:t>
      </w:r>
      <w:r w:rsidR="000E6DEB" w:rsidRPr="004E0F29">
        <w:rPr>
          <w:lang w:val="fr-FR"/>
        </w:rPr>
        <w:t>orientation et d</w:t>
      </w:r>
      <w:r w:rsidR="00653682" w:rsidRPr="004E0F29">
        <w:rPr>
          <w:lang w:val="fr-FR"/>
        </w:rPr>
        <w:t>’</w:t>
      </w:r>
      <w:r w:rsidR="000E6DEB" w:rsidRPr="004E0F29">
        <w:rPr>
          <w:lang w:val="fr-FR"/>
        </w:rPr>
        <w:t>information et de présenter des propositions pour examen par le Comité administratif et juridique (CAJ).</w:t>
      </w:r>
    </w:p>
    <w:p w:rsidR="000E6DEB" w:rsidRPr="00744476" w:rsidRDefault="000E6DEB" w:rsidP="00744476">
      <w:pPr>
        <w:rPr>
          <w:lang w:val="fr-FR"/>
        </w:rPr>
      </w:pPr>
    </w:p>
    <w:p w:rsidR="000E6DEB" w:rsidRPr="004E0F29" w:rsidRDefault="0077169A" w:rsidP="000E6DEB">
      <w:pPr>
        <w:rPr>
          <w:lang w:val="fr-FR"/>
        </w:rPr>
      </w:pPr>
      <w:r w:rsidRPr="004E0F29">
        <w:rPr>
          <w:lang w:val="fr-FR"/>
        </w:rPr>
        <w:fldChar w:fldCharType="begin"/>
      </w:r>
      <w:r w:rsidRPr="004E0F29">
        <w:rPr>
          <w:lang w:val="fr-FR"/>
        </w:rPr>
        <w:instrText xml:space="preserve"> AUTONUM  </w:instrText>
      </w:r>
      <w:r w:rsidRPr="004E0F29">
        <w:rPr>
          <w:lang w:val="fr-FR"/>
        </w:rPr>
        <w:fldChar w:fldCharType="end"/>
      </w:r>
      <w:r w:rsidRPr="004E0F29">
        <w:rPr>
          <w:lang w:val="fr-FR"/>
        </w:rPr>
        <w:tab/>
      </w:r>
      <w:r w:rsidR="000E6DEB" w:rsidRPr="004E0F29">
        <w:rPr>
          <w:lang w:val="fr-FR"/>
        </w:rPr>
        <w:t>Le CAJ est invité</w:t>
      </w:r>
      <w:r w:rsidR="00872F92">
        <w:rPr>
          <w:lang w:val="fr-FR"/>
        </w:rPr>
        <w:t xml:space="preserve"> à :</w:t>
      </w:r>
    </w:p>
    <w:p w:rsidR="000E6DEB" w:rsidRPr="004E0F29" w:rsidRDefault="000E6DEB" w:rsidP="0077169A">
      <w:pPr>
        <w:rPr>
          <w:lang w:val="fr-FR"/>
        </w:rPr>
      </w:pPr>
    </w:p>
    <w:p w:rsidR="000E6DEB" w:rsidRPr="004E0F29" w:rsidRDefault="0077169A" w:rsidP="000E6DEB">
      <w:pPr>
        <w:rPr>
          <w:lang w:val="fr-FR"/>
        </w:rPr>
      </w:pPr>
      <w:r w:rsidRPr="004E0F29">
        <w:rPr>
          <w:lang w:val="fr-FR"/>
        </w:rPr>
        <w:tab/>
      </w:r>
      <w:r w:rsidR="000E6DEB" w:rsidRPr="004E0F29">
        <w:rPr>
          <w:lang w:val="fr-FR"/>
        </w:rPr>
        <w:t xml:space="preserve">a) </w:t>
      </w:r>
      <w:r w:rsidR="00744476">
        <w:rPr>
          <w:lang w:val="fr-FR"/>
        </w:rPr>
        <w:tab/>
      </w:r>
      <w:r w:rsidR="000E6DEB" w:rsidRPr="004E0F29">
        <w:rPr>
          <w:lang w:val="fr-FR"/>
        </w:rPr>
        <w:t>approuver la proposition de r</w:t>
      </w:r>
      <w:r w:rsidR="007E4E45" w:rsidRPr="004E0F29">
        <w:rPr>
          <w:lang w:val="fr-FR"/>
        </w:rPr>
        <w:t xml:space="preserve">évision du document UPOV/INF/16 </w:t>
      </w:r>
      <w:r w:rsidR="000E6DEB" w:rsidRPr="004E0F29">
        <w:rPr>
          <w:lang w:val="fr-FR"/>
        </w:rPr>
        <w:t>“Logiciels échangeables” sur la base du document UPOV/INF/16/11</w:t>
      </w:r>
      <w:r w:rsidR="00744476">
        <w:rPr>
          <w:lang w:val="fr-FR"/>
        </w:rPr>
        <w:t> </w:t>
      </w:r>
      <w:r w:rsidR="000E6DEB" w:rsidRPr="004E0F29">
        <w:rPr>
          <w:lang w:val="fr-FR"/>
        </w:rPr>
        <w:t>Draft</w:t>
      </w:r>
      <w:r w:rsidR="004E0F29" w:rsidRPr="004E0F29">
        <w:rPr>
          <w:lang w:val="fr-FR"/>
        </w:rPr>
        <w:t> </w:t>
      </w:r>
      <w:r w:rsidR="00B17FEA">
        <w:rPr>
          <w:lang w:val="fr-FR"/>
        </w:rPr>
        <w:t>1;</w:t>
      </w:r>
    </w:p>
    <w:p w:rsidR="000E6DEB" w:rsidRPr="004E0F29" w:rsidRDefault="000E6DEB" w:rsidP="0077169A">
      <w:pPr>
        <w:rPr>
          <w:lang w:val="fr-FR"/>
        </w:rPr>
      </w:pPr>
    </w:p>
    <w:p w:rsidR="000E6DEB" w:rsidRPr="004E0F29" w:rsidRDefault="0077169A" w:rsidP="004B225D">
      <w:pPr>
        <w:rPr>
          <w:lang w:val="fr-FR"/>
        </w:rPr>
      </w:pPr>
      <w:r w:rsidRPr="004E0F29">
        <w:rPr>
          <w:lang w:val="fr-FR"/>
        </w:rPr>
        <w:tab/>
      </w:r>
      <w:r w:rsidR="004B225D" w:rsidRPr="004E0F29">
        <w:rPr>
          <w:lang w:val="fr-FR"/>
        </w:rPr>
        <w:t xml:space="preserve">b) </w:t>
      </w:r>
      <w:r w:rsidR="00744476">
        <w:rPr>
          <w:lang w:val="fr-FR"/>
        </w:rPr>
        <w:tab/>
      </w:r>
      <w:r w:rsidR="004B225D" w:rsidRPr="004E0F29">
        <w:rPr>
          <w:lang w:val="fr-FR"/>
        </w:rPr>
        <w:t xml:space="preserve">noter que, sous réserve de </w:t>
      </w:r>
      <w:r w:rsidR="007E4E45" w:rsidRPr="004E0F29">
        <w:rPr>
          <w:lang w:val="fr-FR"/>
        </w:rPr>
        <w:t>l</w:t>
      </w:r>
      <w:r w:rsidR="00653682" w:rsidRPr="004E0F29">
        <w:rPr>
          <w:lang w:val="fr-FR"/>
        </w:rPr>
        <w:t>’</w:t>
      </w:r>
      <w:r w:rsidR="007E4E45" w:rsidRPr="004E0F29">
        <w:rPr>
          <w:lang w:val="fr-FR"/>
        </w:rPr>
        <w:t>accord du</w:t>
      </w:r>
      <w:r w:rsidR="00653682" w:rsidRPr="004E0F29">
        <w:rPr>
          <w:lang w:val="fr-FR"/>
        </w:rPr>
        <w:t> TC</w:t>
      </w:r>
      <w:r w:rsidR="004B225D" w:rsidRPr="004E0F29">
        <w:rPr>
          <w:lang w:val="fr-FR"/>
        </w:rPr>
        <w:t xml:space="preserve"> et</w:t>
      </w:r>
      <w:r w:rsidR="00653682" w:rsidRPr="004E0F29">
        <w:rPr>
          <w:lang w:val="fr-FR"/>
        </w:rPr>
        <w:t xml:space="preserve"> du CAJ</w:t>
      </w:r>
      <w:r w:rsidR="004B225D" w:rsidRPr="004E0F29">
        <w:rPr>
          <w:lang w:val="fr-FR"/>
        </w:rPr>
        <w:t>, un projet a</w:t>
      </w:r>
      <w:r w:rsidR="007E4E45" w:rsidRPr="004E0F29">
        <w:rPr>
          <w:lang w:val="fr-FR"/>
        </w:rPr>
        <w:t xml:space="preserve">pprouvé du document UPOV/INF/16 </w:t>
      </w:r>
      <w:r w:rsidR="004B225D" w:rsidRPr="004E0F29">
        <w:rPr>
          <w:lang w:val="fr-FR"/>
        </w:rPr>
        <w:t xml:space="preserve">sera présenté </w:t>
      </w:r>
      <w:r w:rsidR="002571A3" w:rsidRPr="004E0F29">
        <w:rPr>
          <w:lang w:val="fr-FR"/>
        </w:rPr>
        <w:t>pour adoption par le Conseil</w:t>
      </w:r>
      <w:r w:rsidR="004B225D" w:rsidRPr="004E0F29">
        <w:rPr>
          <w:lang w:val="fr-FR"/>
        </w:rPr>
        <w:t xml:space="preserve"> </w:t>
      </w:r>
      <w:r w:rsidR="00653682" w:rsidRPr="004E0F29">
        <w:rPr>
          <w:lang w:val="fr-FR"/>
        </w:rPr>
        <w:t>en 2022</w:t>
      </w:r>
      <w:r w:rsidR="00B17FEA">
        <w:rPr>
          <w:lang w:val="fr-FR"/>
        </w:rPr>
        <w:t>;</w:t>
      </w:r>
    </w:p>
    <w:p w:rsidR="000E6DEB" w:rsidRPr="004E0F29" w:rsidRDefault="000E6DEB" w:rsidP="0077169A">
      <w:pPr>
        <w:rPr>
          <w:lang w:val="fr-FR"/>
        </w:rPr>
      </w:pPr>
    </w:p>
    <w:p w:rsidR="000E6DEB" w:rsidRPr="004E0F29" w:rsidRDefault="0077169A" w:rsidP="004B225D">
      <w:pPr>
        <w:rPr>
          <w:lang w:val="fr-FR"/>
        </w:rPr>
      </w:pPr>
      <w:r w:rsidRPr="004E0F29">
        <w:rPr>
          <w:lang w:val="fr-FR"/>
        </w:rPr>
        <w:tab/>
      </w:r>
      <w:r w:rsidR="004B225D" w:rsidRPr="004E0F29">
        <w:rPr>
          <w:lang w:val="fr-FR"/>
        </w:rPr>
        <w:t xml:space="preserve">c) </w:t>
      </w:r>
      <w:r w:rsidR="00744476">
        <w:rPr>
          <w:lang w:val="fr-FR"/>
        </w:rPr>
        <w:tab/>
      </w:r>
      <w:r w:rsidR="004B225D" w:rsidRPr="004E0F29">
        <w:rPr>
          <w:lang w:val="fr-FR"/>
        </w:rPr>
        <w:t>approuver la proposition de révision du document UPOV/INF/22 “Logiciels et équipements utilisés par les membres de l</w:t>
      </w:r>
      <w:r w:rsidR="00653682" w:rsidRPr="004E0F29">
        <w:rPr>
          <w:lang w:val="fr-FR"/>
        </w:rPr>
        <w:t>’</w:t>
      </w:r>
      <w:r w:rsidR="004B225D" w:rsidRPr="004E0F29">
        <w:rPr>
          <w:lang w:val="fr-FR"/>
        </w:rPr>
        <w:t>Union”, sur la</w:t>
      </w:r>
      <w:r w:rsidR="00744476">
        <w:rPr>
          <w:lang w:val="fr-FR"/>
        </w:rPr>
        <w:t xml:space="preserve"> base du document UPOV/INF/22/9 </w:t>
      </w:r>
      <w:r w:rsidR="004B225D" w:rsidRPr="004E0F29">
        <w:rPr>
          <w:lang w:val="fr-FR"/>
        </w:rPr>
        <w:t>Draft</w:t>
      </w:r>
      <w:r w:rsidR="004E0F29" w:rsidRPr="004E0F29">
        <w:rPr>
          <w:lang w:val="fr-FR"/>
        </w:rPr>
        <w:t> </w:t>
      </w:r>
      <w:r w:rsidR="00B17FEA">
        <w:rPr>
          <w:lang w:val="fr-FR"/>
        </w:rPr>
        <w:t>1;</w:t>
      </w:r>
    </w:p>
    <w:p w:rsidR="000E6DEB" w:rsidRPr="004E0F29" w:rsidRDefault="000E6DEB" w:rsidP="0077169A">
      <w:pPr>
        <w:rPr>
          <w:lang w:val="fr-FR"/>
        </w:rPr>
      </w:pPr>
    </w:p>
    <w:p w:rsidR="000E6DEB" w:rsidRPr="004E0F29" w:rsidRDefault="0077169A" w:rsidP="00FF4BCB">
      <w:pPr>
        <w:rPr>
          <w:lang w:val="fr-FR"/>
        </w:rPr>
      </w:pPr>
      <w:r w:rsidRPr="004E0F29">
        <w:rPr>
          <w:lang w:val="fr-FR"/>
        </w:rPr>
        <w:tab/>
      </w:r>
      <w:r w:rsidR="00FF4BCB" w:rsidRPr="004E0F29">
        <w:rPr>
          <w:lang w:val="fr-FR"/>
        </w:rPr>
        <w:t xml:space="preserve">d) </w:t>
      </w:r>
      <w:r w:rsidR="00744476">
        <w:rPr>
          <w:lang w:val="fr-FR"/>
        </w:rPr>
        <w:tab/>
      </w:r>
      <w:r w:rsidR="00FF4BCB" w:rsidRPr="004E0F29">
        <w:rPr>
          <w:lang w:val="fr-FR"/>
        </w:rPr>
        <w:t xml:space="preserve">noter que, sous réserve de </w:t>
      </w:r>
      <w:r w:rsidR="007E4E45" w:rsidRPr="004E0F29">
        <w:rPr>
          <w:lang w:val="fr-FR"/>
        </w:rPr>
        <w:t>l</w:t>
      </w:r>
      <w:r w:rsidR="00653682" w:rsidRPr="004E0F29">
        <w:rPr>
          <w:lang w:val="fr-FR"/>
        </w:rPr>
        <w:t>’</w:t>
      </w:r>
      <w:r w:rsidR="007E4E45" w:rsidRPr="004E0F29">
        <w:rPr>
          <w:lang w:val="fr-FR"/>
        </w:rPr>
        <w:t>accord du</w:t>
      </w:r>
      <w:r w:rsidR="00653682" w:rsidRPr="004E0F29">
        <w:rPr>
          <w:lang w:val="fr-FR"/>
        </w:rPr>
        <w:t> TC</w:t>
      </w:r>
      <w:r w:rsidR="00FF4BCB" w:rsidRPr="004E0F29">
        <w:rPr>
          <w:lang w:val="fr-FR"/>
        </w:rPr>
        <w:t xml:space="preserve"> et</w:t>
      </w:r>
      <w:r w:rsidR="00653682" w:rsidRPr="004E0F29">
        <w:rPr>
          <w:lang w:val="fr-FR"/>
        </w:rPr>
        <w:t xml:space="preserve"> du CAJ</w:t>
      </w:r>
      <w:r w:rsidR="00FF4BCB" w:rsidRPr="004E0F29">
        <w:rPr>
          <w:lang w:val="fr-FR"/>
        </w:rPr>
        <w:t xml:space="preserve">, un projet approuvé du document UPOV/INF/22 sera présenté </w:t>
      </w:r>
      <w:r w:rsidR="002571A3" w:rsidRPr="004E0F29">
        <w:rPr>
          <w:lang w:val="fr-FR"/>
        </w:rPr>
        <w:t>pour adoption par le Conseil</w:t>
      </w:r>
      <w:r w:rsidR="00FF4BCB" w:rsidRPr="004E0F29">
        <w:rPr>
          <w:lang w:val="fr-FR"/>
        </w:rPr>
        <w:t xml:space="preserve"> </w:t>
      </w:r>
      <w:r w:rsidR="00653682" w:rsidRPr="004E0F29">
        <w:rPr>
          <w:lang w:val="fr-FR"/>
        </w:rPr>
        <w:t>en 2022</w:t>
      </w:r>
      <w:r w:rsidR="00B17FEA">
        <w:rPr>
          <w:lang w:val="fr-FR"/>
        </w:rPr>
        <w:t>;</w:t>
      </w:r>
    </w:p>
    <w:p w:rsidR="000E6DEB" w:rsidRPr="004E0F29" w:rsidRDefault="000E6DEB" w:rsidP="00B17FEA">
      <w:pPr>
        <w:rPr>
          <w:lang w:val="fr-FR"/>
        </w:rPr>
      </w:pPr>
    </w:p>
    <w:p w:rsidR="00653682" w:rsidRPr="004E0F29" w:rsidRDefault="00B17FEA" w:rsidP="00FF4BCB">
      <w:pPr>
        <w:ind w:firstLine="567"/>
        <w:rPr>
          <w:lang w:val="fr-FR"/>
        </w:rPr>
      </w:pPr>
      <w:r>
        <w:rPr>
          <w:lang w:val="fr-FR"/>
        </w:rPr>
        <w:t>e</w:t>
      </w:r>
      <w:r w:rsidR="00FF4BCB" w:rsidRPr="004E0F29">
        <w:rPr>
          <w:lang w:val="fr-FR"/>
        </w:rPr>
        <w:t xml:space="preserve">) </w:t>
      </w:r>
      <w:r w:rsidR="00744476">
        <w:rPr>
          <w:lang w:val="fr-FR"/>
        </w:rPr>
        <w:tab/>
      </w:r>
      <w:r w:rsidR="00FF4BCB" w:rsidRPr="004E0F29">
        <w:rPr>
          <w:lang w:val="fr-FR"/>
        </w:rPr>
        <w:t xml:space="preserve">approuver la proposition de révision du document UPOV/EXN/DEN </w:t>
      </w:r>
      <w:r w:rsidR="00653682" w:rsidRPr="004E0F29">
        <w:rPr>
          <w:lang w:val="fr-FR"/>
        </w:rPr>
        <w:t>“N</w:t>
      </w:r>
      <w:r w:rsidR="00FF4BCB" w:rsidRPr="004E0F29">
        <w:rPr>
          <w:lang w:val="fr-FR"/>
        </w:rPr>
        <w:t xml:space="preserve">otes explicatives concernant les dénominations variétales en vertu de la </w:t>
      </w:r>
      <w:r w:rsidR="00653682" w:rsidRPr="004E0F29">
        <w:rPr>
          <w:lang w:val="fr-FR"/>
        </w:rPr>
        <w:t>Convention UPOV”</w:t>
      </w:r>
      <w:r w:rsidR="00FF4BCB" w:rsidRPr="004E0F29">
        <w:rPr>
          <w:lang w:val="fr-FR"/>
        </w:rPr>
        <w:t>, qui figure à l</w:t>
      </w:r>
      <w:r w:rsidR="00653682" w:rsidRPr="004E0F29">
        <w:rPr>
          <w:lang w:val="fr-FR"/>
        </w:rPr>
        <w:t>’annexe I</w:t>
      </w:r>
      <w:r>
        <w:rPr>
          <w:lang w:val="fr-FR"/>
        </w:rPr>
        <w:t xml:space="preserve"> du présent document ;</w:t>
      </w:r>
    </w:p>
    <w:p w:rsidR="000E6DEB" w:rsidRPr="004E0F29" w:rsidRDefault="000E6DEB" w:rsidP="002843B4">
      <w:pPr>
        <w:ind w:firstLine="567"/>
        <w:rPr>
          <w:lang w:val="fr-FR"/>
        </w:rPr>
      </w:pPr>
    </w:p>
    <w:p w:rsidR="000E6DEB" w:rsidRPr="004E0F29" w:rsidRDefault="00B17FEA" w:rsidP="00FF4BCB">
      <w:pPr>
        <w:ind w:firstLine="567"/>
        <w:rPr>
          <w:lang w:val="fr-FR"/>
        </w:rPr>
      </w:pPr>
      <w:r>
        <w:rPr>
          <w:lang w:val="fr-FR"/>
        </w:rPr>
        <w:t>f</w:t>
      </w:r>
      <w:r w:rsidR="00FF4BCB" w:rsidRPr="004E0F29">
        <w:rPr>
          <w:lang w:val="fr-FR"/>
        </w:rPr>
        <w:t xml:space="preserve">) </w:t>
      </w:r>
      <w:r w:rsidR="00744476">
        <w:rPr>
          <w:lang w:val="fr-FR"/>
        </w:rPr>
        <w:tab/>
      </w:r>
      <w:r w:rsidR="00FF4BCB" w:rsidRPr="004E0F29">
        <w:rPr>
          <w:lang w:val="fr-FR"/>
        </w:rPr>
        <w:t xml:space="preserve">noter que, sous réserve de </w:t>
      </w:r>
      <w:r w:rsidR="007E4E45" w:rsidRPr="004E0F29">
        <w:rPr>
          <w:lang w:val="fr-FR"/>
        </w:rPr>
        <w:t>l</w:t>
      </w:r>
      <w:r w:rsidR="00653682" w:rsidRPr="004E0F29">
        <w:rPr>
          <w:lang w:val="fr-FR"/>
        </w:rPr>
        <w:t>’</w:t>
      </w:r>
      <w:r w:rsidR="007E4E45" w:rsidRPr="004E0F29">
        <w:rPr>
          <w:lang w:val="fr-FR"/>
        </w:rPr>
        <w:t>accord</w:t>
      </w:r>
      <w:r w:rsidR="00653682" w:rsidRPr="004E0F29">
        <w:rPr>
          <w:lang w:val="fr-FR"/>
        </w:rPr>
        <w:t xml:space="preserve"> du CAJ</w:t>
      </w:r>
      <w:r w:rsidR="00FF4BCB" w:rsidRPr="004E0F29">
        <w:rPr>
          <w:lang w:val="fr-FR"/>
        </w:rPr>
        <w:t>, la proposition de révision du document UPOV/EXN/DEN/1, qui figure à l</w:t>
      </w:r>
      <w:r w:rsidR="00653682" w:rsidRPr="004E0F29">
        <w:rPr>
          <w:lang w:val="fr-FR"/>
        </w:rPr>
        <w:t>’annexe I</w:t>
      </w:r>
      <w:r w:rsidR="00FF4BCB" w:rsidRPr="004E0F29">
        <w:rPr>
          <w:lang w:val="fr-FR"/>
        </w:rPr>
        <w:t xml:space="preserve"> du présent document, sera présentée</w:t>
      </w:r>
      <w:r w:rsidR="002571A3" w:rsidRPr="004E0F29">
        <w:rPr>
          <w:lang w:val="fr-FR"/>
        </w:rPr>
        <w:t xml:space="preserve"> pour adoption par le Conseil </w:t>
      </w:r>
      <w:r w:rsidR="00653682" w:rsidRPr="004E0F29">
        <w:rPr>
          <w:lang w:val="fr-FR"/>
        </w:rPr>
        <w:t>en 2022</w:t>
      </w:r>
      <w:r>
        <w:rPr>
          <w:lang w:val="fr-FR"/>
        </w:rPr>
        <w:t> ;</w:t>
      </w:r>
    </w:p>
    <w:p w:rsidR="000E6DEB" w:rsidRPr="004E0F29" w:rsidRDefault="000E6DEB" w:rsidP="002843B4">
      <w:pPr>
        <w:ind w:firstLine="567"/>
        <w:rPr>
          <w:lang w:val="fr-FR"/>
        </w:rPr>
      </w:pPr>
    </w:p>
    <w:p w:rsidR="000E6DEB" w:rsidRPr="004E0F29" w:rsidRDefault="00AE4AD4" w:rsidP="00A45A68">
      <w:pPr>
        <w:rPr>
          <w:lang w:val="fr-FR"/>
        </w:rPr>
      </w:pPr>
      <w:r w:rsidRPr="004E0F29">
        <w:rPr>
          <w:lang w:val="fr-FR"/>
        </w:rPr>
        <w:tab/>
      </w:r>
      <w:r w:rsidR="00B17FEA">
        <w:rPr>
          <w:lang w:val="fr-FR"/>
        </w:rPr>
        <w:t>g</w:t>
      </w:r>
      <w:r w:rsidR="00A45A68" w:rsidRPr="004E0F29">
        <w:rPr>
          <w:lang w:val="fr-FR"/>
        </w:rPr>
        <w:t xml:space="preserve">) </w:t>
      </w:r>
      <w:r w:rsidR="00744476">
        <w:rPr>
          <w:lang w:val="fr-FR"/>
        </w:rPr>
        <w:tab/>
      </w:r>
      <w:r w:rsidR="00A45A68" w:rsidRPr="004E0F29">
        <w:rPr>
          <w:lang w:val="fr-FR"/>
        </w:rPr>
        <w:t>noter que les questions concernant l</w:t>
      </w:r>
      <w:r w:rsidR="00653682" w:rsidRPr="004E0F29">
        <w:rPr>
          <w:lang w:val="fr-FR"/>
        </w:rPr>
        <w:t>’</w:t>
      </w:r>
      <w:r w:rsidR="00A45A68" w:rsidRPr="004E0F29">
        <w:rPr>
          <w:lang w:val="fr-FR"/>
        </w:rPr>
        <w:t xml:space="preserve">élaboration de </w:t>
      </w:r>
      <w:r w:rsidR="00653682" w:rsidRPr="004E0F29">
        <w:rPr>
          <w:lang w:val="fr-FR"/>
        </w:rPr>
        <w:t>“N</w:t>
      </w:r>
      <w:r w:rsidR="00A45A68" w:rsidRPr="004E0F29">
        <w:rPr>
          <w:lang w:val="fr-FR"/>
        </w:rPr>
        <w:t>otes explicatives sur l</w:t>
      </w:r>
      <w:r w:rsidR="00653682" w:rsidRPr="004E0F29">
        <w:rPr>
          <w:lang w:val="fr-FR"/>
        </w:rPr>
        <w:t>’</w:t>
      </w:r>
      <w:r w:rsidR="00A45A68" w:rsidRPr="004E0F29">
        <w:rPr>
          <w:lang w:val="fr-FR"/>
        </w:rPr>
        <w:t xml:space="preserve">examen de la demande selon la </w:t>
      </w:r>
      <w:r w:rsidR="00653682" w:rsidRPr="004E0F29">
        <w:rPr>
          <w:lang w:val="fr-FR"/>
        </w:rPr>
        <w:t>Convention UPOV”</w:t>
      </w:r>
      <w:r w:rsidR="00A45A68" w:rsidRPr="004E0F29">
        <w:rPr>
          <w:lang w:val="fr-FR"/>
        </w:rPr>
        <w:t xml:space="preserve"> sont examinées dans le document CAJ/79/7 </w:t>
      </w:r>
      <w:r w:rsidR="00653682" w:rsidRPr="004E0F29">
        <w:rPr>
          <w:lang w:val="fr-FR"/>
        </w:rPr>
        <w:t>“M</w:t>
      </w:r>
      <w:r w:rsidR="00A45A68" w:rsidRPr="004E0F29">
        <w:rPr>
          <w:lang w:val="fr-FR"/>
        </w:rPr>
        <w:t>esures visant à renforcer la coopération en matière d</w:t>
      </w:r>
      <w:r w:rsidR="00653682" w:rsidRPr="004E0F29">
        <w:rPr>
          <w:lang w:val="fr-FR"/>
        </w:rPr>
        <w:t>’</w:t>
      </w:r>
      <w:r w:rsidR="00A45A68" w:rsidRPr="004E0F29">
        <w:rPr>
          <w:lang w:val="fr-FR"/>
        </w:rPr>
        <w:t>exame</w:t>
      </w:r>
      <w:r w:rsidR="00653682" w:rsidRPr="004E0F29">
        <w:rPr>
          <w:lang w:val="fr-FR"/>
        </w:rPr>
        <w:t>n”</w:t>
      </w:r>
      <w:r w:rsidR="00B17FEA">
        <w:rPr>
          <w:lang w:val="fr-FR"/>
        </w:rPr>
        <w:t> ;</w:t>
      </w:r>
    </w:p>
    <w:p w:rsidR="000E6DEB" w:rsidRPr="004E0F29" w:rsidRDefault="000E6DEB" w:rsidP="00F82B40">
      <w:pPr>
        <w:rPr>
          <w:lang w:val="fr-FR"/>
        </w:rPr>
      </w:pPr>
    </w:p>
    <w:p w:rsidR="000E6DEB" w:rsidRPr="004E0F29" w:rsidRDefault="00B17FEA" w:rsidP="00A45A68">
      <w:pPr>
        <w:ind w:firstLine="567"/>
        <w:rPr>
          <w:lang w:val="fr-FR"/>
        </w:rPr>
      </w:pPr>
      <w:r>
        <w:rPr>
          <w:lang w:val="fr-FR"/>
        </w:rPr>
        <w:t>h</w:t>
      </w:r>
      <w:r w:rsidR="00A45A68" w:rsidRPr="004E0F29">
        <w:rPr>
          <w:lang w:val="fr-FR"/>
        </w:rPr>
        <w:t xml:space="preserve">) </w:t>
      </w:r>
      <w:r w:rsidR="00744476">
        <w:rPr>
          <w:lang w:val="fr-FR"/>
        </w:rPr>
        <w:tab/>
      </w:r>
      <w:r w:rsidR="00A45A68" w:rsidRPr="004E0F29">
        <w:rPr>
          <w:lang w:val="fr-FR"/>
        </w:rPr>
        <w:t>approuver la proposition de révision du document TGP/5 “Expérience et coopération en matière d</w:t>
      </w:r>
      <w:r w:rsidR="00653682" w:rsidRPr="004E0F29">
        <w:rPr>
          <w:lang w:val="fr-FR"/>
        </w:rPr>
        <w:t>’</w:t>
      </w:r>
      <w:r w:rsidR="00A45A68" w:rsidRPr="004E0F29">
        <w:rPr>
          <w:lang w:val="fr-FR"/>
        </w:rPr>
        <w:t>examen</w:t>
      </w:r>
      <w:r w:rsidR="002B477C" w:rsidRPr="004E0F29">
        <w:rPr>
          <w:lang w:val="fr-FR"/>
        </w:rPr>
        <w:t> </w:t>
      </w:r>
      <w:r w:rsidR="00A45A68" w:rsidRPr="004E0F29">
        <w:rPr>
          <w:lang w:val="fr-FR"/>
        </w:rPr>
        <w:t xml:space="preserve">DHS”, </w:t>
      </w:r>
      <w:r w:rsidR="00653682" w:rsidRPr="004E0F29">
        <w:rPr>
          <w:lang w:val="fr-FR"/>
        </w:rPr>
        <w:t>section 6</w:t>
      </w:r>
      <w:r w:rsidR="00A45A68" w:rsidRPr="004E0F29">
        <w:rPr>
          <w:lang w:val="fr-FR"/>
        </w:rPr>
        <w:t>/3 “Rapport UPOV d</w:t>
      </w:r>
      <w:r w:rsidR="00653682" w:rsidRPr="004E0F29">
        <w:rPr>
          <w:lang w:val="fr-FR"/>
        </w:rPr>
        <w:t>’</w:t>
      </w:r>
      <w:r w:rsidR="00A45A68" w:rsidRPr="004E0F29">
        <w:rPr>
          <w:lang w:val="fr-FR"/>
        </w:rPr>
        <w:t>examen technique et Formulaire UPOV de description variétale”, sur la base du document TGP/5</w:t>
      </w:r>
      <w:r w:rsidR="00653682" w:rsidRPr="004E0F29">
        <w:rPr>
          <w:lang w:val="fr-FR"/>
        </w:rPr>
        <w:t> :</w:t>
      </w:r>
      <w:r w:rsidR="00A45A68" w:rsidRPr="004E0F29">
        <w:rPr>
          <w:lang w:val="fr-FR"/>
        </w:rPr>
        <w:t xml:space="preserve"> </w:t>
      </w:r>
      <w:r w:rsidR="00653682" w:rsidRPr="004E0F29">
        <w:rPr>
          <w:lang w:val="fr-FR"/>
        </w:rPr>
        <w:t>section 6</w:t>
      </w:r>
      <w:r w:rsidR="00A45A68" w:rsidRPr="004E0F29">
        <w:rPr>
          <w:lang w:val="fr-FR"/>
        </w:rPr>
        <w:t>/4</w:t>
      </w:r>
      <w:r w:rsidR="004E0F29" w:rsidRPr="004E0F29">
        <w:rPr>
          <w:lang w:val="fr-FR"/>
        </w:rPr>
        <w:t> </w:t>
      </w:r>
      <w:r w:rsidR="00A45A68" w:rsidRPr="004E0F29">
        <w:rPr>
          <w:lang w:val="fr-FR"/>
        </w:rPr>
        <w:t>Draft</w:t>
      </w:r>
      <w:r w:rsidR="004E0F29" w:rsidRPr="004E0F29">
        <w:rPr>
          <w:lang w:val="fr-FR"/>
        </w:rPr>
        <w:t> </w:t>
      </w:r>
      <w:r>
        <w:rPr>
          <w:lang w:val="fr-FR"/>
        </w:rPr>
        <w:t>1 ;</w:t>
      </w:r>
    </w:p>
    <w:p w:rsidR="000E6DEB" w:rsidRPr="004E0F29" w:rsidRDefault="000E6DEB" w:rsidP="00F82B40">
      <w:pPr>
        <w:rPr>
          <w:lang w:val="fr-FR" w:eastAsia="zh-CN"/>
        </w:rPr>
      </w:pPr>
    </w:p>
    <w:p w:rsidR="000E6DEB" w:rsidRPr="004E0F29" w:rsidRDefault="00B17FEA" w:rsidP="00434AF8">
      <w:pPr>
        <w:ind w:firstLine="567"/>
        <w:rPr>
          <w:lang w:val="fr-FR" w:eastAsia="zh-CN"/>
        </w:rPr>
      </w:pPr>
      <w:r>
        <w:rPr>
          <w:lang w:val="fr-FR" w:eastAsia="zh-CN"/>
        </w:rPr>
        <w:t>i</w:t>
      </w:r>
      <w:r w:rsidR="00434AF8" w:rsidRPr="004E0F29">
        <w:rPr>
          <w:lang w:val="fr-FR" w:eastAsia="zh-CN"/>
        </w:rPr>
        <w:t xml:space="preserve">) </w:t>
      </w:r>
      <w:r w:rsidR="00744476">
        <w:rPr>
          <w:lang w:val="fr-FR" w:eastAsia="zh-CN"/>
        </w:rPr>
        <w:tab/>
      </w:r>
      <w:r w:rsidR="00434AF8" w:rsidRPr="004E0F29">
        <w:rPr>
          <w:lang w:val="fr-FR" w:eastAsia="zh-CN"/>
        </w:rPr>
        <w:t>noter que, sous réserve de l</w:t>
      </w:r>
      <w:r w:rsidR="00653682" w:rsidRPr="004E0F29">
        <w:rPr>
          <w:lang w:val="fr-FR" w:eastAsia="zh-CN"/>
        </w:rPr>
        <w:t>’</w:t>
      </w:r>
      <w:r w:rsidR="00434AF8" w:rsidRPr="004E0F29">
        <w:rPr>
          <w:lang w:val="fr-FR" w:eastAsia="zh-CN"/>
        </w:rPr>
        <w:t>accord</w:t>
      </w:r>
      <w:r w:rsidR="00653682" w:rsidRPr="004E0F29">
        <w:rPr>
          <w:lang w:val="fr-FR" w:eastAsia="zh-CN"/>
        </w:rPr>
        <w:t xml:space="preserve"> du CAJ</w:t>
      </w:r>
      <w:r w:rsidR="002571A3" w:rsidRPr="004E0F29">
        <w:rPr>
          <w:lang w:val="fr-FR" w:eastAsia="zh-CN"/>
        </w:rPr>
        <w:t>, un</w:t>
      </w:r>
      <w:r w:rsidR="00434AF8" w:rsidRPr="004E0F29">
        <w:rPr>
          <w:lang w:val="fr-FR" w:eastAsia="zh-CN"/>
        </w:rPr>
        <w:t xml:space="preserve"> projet approuvé du document TGP/5</w:t>
      </w:r>
      <w:r w:rsidR="00653682" w:rsidRPr="004E0F29">
        <w:rPr>
          <w:lang w:val="fr-FR" w:eastAsia="zh-CN"/>
        </w:rPr>
        <w:t> :</w:t>
      </w:r>
      <w:r w:rsidR="00434AF8" w:rsidRPr="004E0F29">
        <w:rPr>
          <w:lang w:val="fr-FR" w:eastAsia="zh-CN"/>
        </w:rPr>
        <w:t xml:space="preserve"> </w:t>
      </w:r>
      <w:r w:rsidR="00653682" w:rsidRPr="004E0F29">
        <w:rPr>
          <w:lang w:val="fr-FR" w:eastAsia="zh-CN"/>
        </w:rPr>
        <w:t>section 6</w:t>
      </w:r>
      <w:r w:rsidR="00434AF8" w:rsidRPr="004E0F29">
        <w:rPr>
          <w:lang w:val="fr-FR" w:eastAsia="zh-CN"/>
        </w:rPr>
        <w:t xml:space="preserve"> sera présenté </w:t>
      </w:r>
      <w:r w:rsidR="002571A3" w:rsidRPr="004E0F29">
        <w:rPr>
          <w:lang w:val="fr-FR" w:eastAsia="zh-CN"/>
        </w:rPr>
        <w:t>pour adoption par le Conseil</w:t>
      </w:r>
      <w:r w:rsidR="00434AF8" w:rsidRPr="004E0F29">
        <w:rPr>
          <w:lang w:val="fr-FR" w:eastAsia="zh-CN"/>
        </w:rPr>
        <w:t xml:space="preserve"> </w:t>
      </w:r>
      <w:r w:rsidR="00653682" w:rsidRPr="004E0F29">
        <w:rPr>
          <w:lang w:val="fr-FR" w:eastAsia="zh-CN"/>
        </w:rPr>
        <w:t>en 2022</w:t>
      </w:r>
      <w:r>
        <w:rPr>
          <w:lang w:val="fr-FR" w:eastAsia="zh-CN"/>
        </w:rPr>
        <w:t> ;</w:t>
      </w:r>
    </w:p>
    <w:p w:rsidR="000E6DEB" w:rsidRPr="004E0F29" w:rsidRDefault="000E6DEB" w:rsidP="0077169A">
      <w:pPr>
        <w:rPr>
          <w:lang w:val="fr-FR" w:eastAsia="zh-CN"/>
        </w:rPr>
      </w:pPr>
    </w:p>
    <w:p w:rsidR="00653682" w:rsidRPr="004E0F29" w:rsidRDefault="00F82B40" w:rsidP="00434AF8">
      <w:pPr>
        <w:rPr>
          <w:lang w:val="fr-FR"/>
        </w:rPr>
      </w:pPr>
      <w:r w:rsidRPr="004E0F29">
        <w:rPr>
          <w:lang w:val="fr-FR" w:eastAsia="zh-CN"/>
        </w:rPr>
        <w:tab/>
      </w:r>
      <w:r w:rsidR="00B17FEA">
        <w:rPr>
          <w:lang w:val="fr-FR" w:eastAsia="zh-CN"/>
        </w:rPr>
        <w:t>j</w:t>
      </w:r>
      <w:r w:rsidR="00434AF8" w:rsidRPr="004E0F29">
        <w:rPr>
          <w:lang w:val="fr-FR" w:eastAsia="zh-CN"/>
        </w:rPr>
        <w:t xml:space="preserve">) </w:t>
      </w:r>
      <w:r w:rsidR="00744476">
        <w:rPr>
          <w:lang w:val="fr-FR" w:eastAsia="zh-CN"/>
        </w:rPr>
        <w:tab/>
      </w:r>
      <w:r w:rsidR="00434AF8" w:rsidRPr="004E0F29">
        <w:rPr>
          <w:lang w:val="fr-FR" w:eastAsia="zh-CN"/>
        </w:rPr>
        <w:t xml:space="preserve">approuver la proposition de révision du document TGP/8/4 </w:t>
      </w:r>
      <w:r w:rsidR="00653682" w:rsidRPr="004E0F29">
        <w:rPr>
          <w:lang w:val="fr-FR" w:eastAsia="zh-CN"/>
        </w:rPr>
        <w:t>“P</w:t>
      </w:r>
      <w:r w:rsidR="00434AF8" w:rsidRPr="004E0F29">
        <w:rPr>
          <w:lang w:val="fr-FR" w:eastAsia="zh-CN"/>
        </w:rPr>
        <w:t>rotocol</w:t>
      </w:r>
      <w:r w:rsidR="00D84616" w:rsidRPr="004E0F29">
        <w:rPr>
          <w:lang w:val="fr-FR" w:eastAsia="zh-CN"/>
        </w:rPr>
        <w:t>e d</w:t>
      </w:r>
      <w:r w:rsidR="00653682" w:rsidRPr="004E0F29">
        <w:rPr>
          <w:lang w:val="fr-FR" w:eastAsia="zh-CN"/>
        </w:rPr>
        <w:t>’</w:t>
      </w:r>
      <w:r w:rsidR="00D84616" w:rsidRPr="004E0F29">
        <w:rPr>
          <w:lang w:val="fr-FR" w:eastAsia="zh-CN"/>
        </w:rPr>
        <w:t>essai et techniques utilisé</w:t>
      </w:r>
      <w:r w:rsidR="00434AF8" w:rsidRPr="004E0F29">
        <w:rPr>
          <w:lang w:val="fr-FR" w:eastAsia="zh-CN"/>
        </w:rPr>
        <w:t>s dans l</w:t>
      </w:r>
      <w:r w:rsidR="00653682" w:rsidRPr="004E0F29">
        <w:rPr>
          <w:lang w:val="fr-FR" w:eastAsia="zh-CN"/>
        </w:rPr>
        <w:t>’</w:t>
      </w:r>
      <w:r w:rsidR="00434AF8" w:rsidRPr="004E0F29">
        <w:rPr>
          <w:lang w:val="fr-FR" w:eastAsia="zh-CN"/>
        </w:rPr>
        <w:t>examen de la distinction, de l</w:t>
      </w:r>
      <w:r w:rsidR="00653682" w:rsidRPr="004E0F29">
        <w:rPr>
          <w:lang w:val="fr-FR" w:eastAsia="zh-CN"/>
        </w:rPr>
        <w:t>’</w:t>
      </w:r>
      <w:r w:rsidR="00434AF8" w:rsidRPr="004E0F29">
        <w:rPr>
          <w:lang w:val="fr-FR" w:eastAsia="zh-CN"/>
        </w:rPr>
        <w:t>homogénéité et de la stabilit</w:t>
      </w:r>
      <w:r w:rsidR="00653682" w:rsidRPr="004E0F29">
        <w:rPr>
          <w:lang w:val="fr-FR" w:eastAsia="zh-CN"/>
        </w:rPr>
        <w:t>é”</w:t>
      </w:r>
      <w:r w:rsidR="00434AF8" w:rsidRPr="004E0F29">
        <w:rPr>
          <w:lang w:val="fr-FR" w:eastAsia="zh-CN"/>
        </w:rPr>
        <w:t>, qui figure à l</w:t>
      </w:r>
      <w:r w:rsidR="00653682" w:rsidRPr="004E0F29">
        <w:rPr>
          <w:lang w:val="fr-FR" w:eastAsia="zh-CN"/>
        </w:rPr>
        <w:t>’annexe I</w:t>
      </w:r>
      <w:r w:rsidR="00B17FEA">
        <w:rPr>
          <w:lang w:val="fr-FR" w:eastAsia="zh-CN"/>
        </w:rPr>
        <w:t>I du présent document ;</w:t>
      </w:r>
    </w:p>
    <w:p w:rsidR="000E6DEB" w:rsidRPr="004E0F29" w:rsidRDefault="000E6DEB" w:rsidP="0077169A">
      <w:pPr>
        <w:rPr>
          <w:lang w:val="fr-FR"/>
        </w:rPr>
      </w:pPr>
    </w:p>
    <w:p w:rsidR="000E6DEB" w:rsidRPr="004E0F29" w:rsidRDefault="00B17FEA" w:rsidP="00434AF8">
      <w:pPr>
        <w:ind w:firstLine="567"/>
        <w:rPr>
          <w:lang w:val="fr-FR"/>
        </w:rPr>
      </w:pPr>
      <w:r>
        <w:rPr>
          <w:lang w:val="fr-FR"/>
        </w:rPr>
        <w:t>k</w:t>
      </w:r>
      <w:r w:rsidR="00434AF8" w:rsidRPr="004E0F29">
        <w:rPr>
          <w:lang w:val="fr-FR"/>
        </w:rPr>
        <w:t xml:space="preserve">) </w:t>
      </w:r>
      <w:r w:rsidR="00744476">
        <w:rPr>
          <w:lang w:val="fr-FR"/>
        </w:rPr>
        <w:tab/>
      </w:r>
      <w:r w:rsidR="00434AF8" w:rsidRPr="004E0F29">
        <w:rPr>
          <w:lang w:val="fr-FR"/>
        </w:rPr>
        <w:t>noter que, sous réserve de l</w:t>
      </w:r>
      <w:r w:rsidR="00653682" w:rsidRPr="004E0F29">
        <w:rPr>
          <w:lang w:val="fr-FR"/>
        </w:rPr>
        <w:t>’</w:t>
      </w:r>
      <w:r w:rsidR="00434AF8" w:rsidRPr="004E0F29">
        <w:rPr>
          <w:lang w:val="fr-FR"/>
        </w:rPr>
        <w:t>accord</w:t>
      </w:r>
      <w:r w:rsidR="00653682" w:rsidRPr="004E0F29">
        <w:rPr>
          <w:lang w:val="fr-FR"/>
        </w:rPr>
        <w:t xml:space="preserve"> du CAJ</w:t>
      </w:r>
      <w:r w:rsidR="00434AF8" w:rsidRPr="004E0F29">
        <w:rPr>
          <w:lang w:val="fr-FR"/>
        </w:rPr>
        <w:t>, la proposition de révision du document TGP/8/4, qui figure à l</w:t>
      </w:r>
      <w:r w:rsidR="00653682" w:rsidRPr="004E0F29">
        <w:rPr>
          <w:lang w:val="fr-FR"/>
        </w:rPr>
        <w:t>’annexe I</w:t>
      </w:r>
      <w:r w:rsidR="00434AF8" w:rsidRPr="004E0F29">
        <w:rPr>
          <w:lang w:val="fr-FR"/>
        </w:rPr>
        <w:t xml:space="preserve">I du présent document, sera présentée </w:t>
      </w:r>
      <w:r w:rsidR="002571A3" w:rsidRPr="004E0F29">
        <w:rPr>
          <w:lang w:val="fr-FR"/>
        </w:rPr>
        <w:t>pour adoption par le Conseil</w:t>
      </w:r>
      <w:r w:rsidR="00434AF8" w:rsidRPr="004E0F29">
        <w:rPr>
          <w:lang w:val="fr-FR"/>
        </w:rPr>
        <w:t xml:space="preserve"> </w:t>
      </w:r>
      <w:r w:rsidR="00653682" w:rsidRPr="004E0F29">
        <w:rPr>
          <w:lang w:val="fr-FR"/>
        </w:rPr>
        <w:t>en 2022</w:t>
      </w:r>
      <w:r>
        <w:rPr>
          <w:lang w:val="fr-FR"/>
        </w:rPr>
        <w:t> ;</w:t>
      </w:r>
    </w:p>
    <w:p w:rsidR="000E6DEB" w:rsidRPr="004E0F29" w:rsidRDefault="000E6DEB" w:rsidP="0077169A">
      <w:pPr>
        <w:rPr>
          <w:lang w:val="fr-FR"/>
        </w:rPr>
      </w:pPr>
    </w:p>
    <w:p w:rsidR="000E6DEB" w:rsidRPr="004E0F29" w:rsidRDefault="00F82B40" w:rsidP="00434AF8">
      <w:pPr>
        <w:rPr>
          <w:lang w:val="fr-FR"/>
        </w:rPr>
      </w:pPr>
      <w:r w:rsidRPr="004E0F29">
        <w:rPr>
          <w:lang w:val="fr-FR"/>
        </w:rPr>
        <w:tab/>
      </w:r>
      <w:r w:rsidR="00B17FEA">
        <w:rPr>
          <w:lang w:val="fr-FR"/>
        </w:rPr>
        <w:t>l</w:t>
      </w:r>
      <w:r w:rsidR="00434AF8" w:rsidRPr="004E0F29">
        <w:rPr>
          <w:lang w:val="fr-FR"/>
        </w:rPr>
        <w:t xml:space="preserve">) </w:t>
      </w:r>
      <w:r w:rsidR="00744476">
        <w:rPr>
          <w:lang w:val="fr-FR"/>
        </w:rPr>
        <w:tab/>
      </w:r>
      <w:r w:rsidR="00434AF8" w:rsidRPr="004E0F29">
        <w:rPr>
          <w:lang w:val="fr-FR"/>
        </w:rPr>
        <w:t xml:space="preserve">approuver la proposition de révision du document TGP/12/2 </w:t>
      </w:r>
      <w:r w:rsidR="00653682" w:rsidRPr="004E0F29">
        <w:rPr>
          <w:lang w:val="fr-FR"/>
        </w:rPr>
        <w:t>“C</w:t>
      </w:r>
      <w:r w:rsidR="00434AF8" w:rsidRPr="004E0F29">
        <w:rPr>
          <w:lang w:val="fr-FR"/>
        </w:rPr>
        <w:t>onseils sur certains caractères physiologique</w:t>
      </w:r>
      <w:r w:rsidR="00653682" w:rsidRPr="004E0F29">
        <w:rPr>
          <w:lang w:val="fr-FR"/>
        </w:rPr>
        <w:t>s”</w:t>
      </w:r>
      <w:r w:rsidR="00434AF8" w:rsidRPr="004E0F29">
        <w:rPr>
          <w:lang w:val="fr-FR"/>
        </w:rPr>
        <w:t>, qui figure à l</w:t>
      </w:r>
      <w:r w:rsidR="00653682" w:rsidRPr="004E0F29">
        <w:rPr>
          <w:lang w:val="fr-FR"/>
        </w:rPr>
        <w:t>’annexe I</w:t>
      </w:r>
      <w:r w:rsidR="00B17FEA">
        <w:rPr>
          <w:lang w:val="fr-FR"/>
        </w:rPr>
        <w:t>II du présent document ;</w:t>
      </w:r>
      <w:r w:rsidR="00434AF8" w:rsidRPr="004E0F29">
        <w:rPr>
          <w:lang w:val="fr-FR"/>
        </w:rPr>
        <w:t xml:space="preserve"> et</w:t>
      </w:r>
    </w:p>
    <w:p w:rsidR="000E6DEB" w:rsidRPr="004E0F29" w:rsidRDefault="000E6DEB" w:rsidP="0077169A">
      <w:pPr>
        <w:rPr>
          <w:lang w:val="fr-FR"/>
        </w:rPr>
      </w:pPr>
    </w:p>
    <w:p w:rsidR="000E6DEB" w:rsidRPr="004E0F29" w:rsidRDefault="00B17FEA" w:rsidP="00434AF8">
      <w:pPr>
        <w:ind w:firstLine="567"/>
        <w:rPr>
          <w:lang w:val="fr-FR"/>
        </w:rPr>
      </w:pPr>
      <w:r>
        <w:rPr>
          <w:lang w:val="fr-FR"/>
        </w:rPr>
        <w:t>m</w:t>
      </w:r>
      <w:r w:rsidR="00434AF8" w:rsidRPr="004E0F29">
        <w:rPr>
          <w:lang w:val="fr-FR"/>
        </w:rPr>
        <w:t xml:space="preserve">) </w:t>
      </w:r>
      <w:r w:rsidR="00744476">
        <w:rPr>
          <w:lang w:val="fr-FR"/>
        </w:rPr>
        <w:tab/>
      </w:r>
      <w:r w:rsidR="00434AF8" w:rsidRPr="004E0F29">
        <w:rPr>
          <w:lang w:val="fr-FR"/>
        </w:rPr>
        <w:t>noter que, sous réserve de l</w:t>
      </w:r>
      <w:r w:rsidR="00653682" w:rsidRPr="004E0F29">
        <w:rPr>
          <w:lang w:val="fr-FR"/>
        </w:rPr>
        <w:t>’</w:t>
      </w:r>
      <w:r w:rsidR="00434AF8" w:rsidRPr="004E0F29">
        <w:rPr>
          <w:lang w:val="fr-FR"/>
        </w:rPr>
        <w:t>accord</w:t>
      </w:r>
      <w:r w:rsidR="00653682" w:rsidRPr="004E0F29">
        <w:rPr>
          <w:lang w:val="fr-FR"/>
        </w:rPr>
        <w:t xml:space="preserve"> du CAJ</w:t>
      </w:r>
      <w:r w:rsidR="00434AF8" w:rsidRPr="004E0F29">
        <w:rPr>
          <w:lang w:val="fr-FR"/>
        </w:rPr>
        <w:t>, la proposition de révision du document TGP/12/2, qui figure à l</w:t>
      </w:r>
      <w:r w:rsidR="00653682" w:rsidRPr="004E0F29">
        <w:rPr>
          <w:lang w:val="fr-FR"/>
        </w:rPr>
        <w:t>’annexe I</w:t>
      </w:r>
      <w:r w:rsidR="00434AF8" w:rsidRPr="004E0F29">
        <w:rPr>
          <w:lang w:val="fr-FR"/>
        </w:rPr>
        <w:t xml:space="preserve">II du présent document, sera présentée </w:t>
      </w:r>
      <w:r w:rsidR="002571A3" w:rsidRPr="004E0F29">
        <w:rPr>
          <w:lang w:val="fr-FR"/>
        </w:rPr>
        <w:t>pour adoption par le Conseil</w:t>
      </w:r>
      <w:r w:rsidR="00434AF8" w:rsidRPr="004E0F29">
        <w:rPr>
          <w:lang w:val="fr-FR"/>
        </w:rPr>
        <w:t xml:space="preserve"> </w:t>
      </w:r>
      <w:r w:rsidR="00653682" w:rsidRPr="004E0F29">
        <w:rPr>
          <w:lang w:val="fr-FR"/>
        </w:rPr>
        <w:t>en 2022</w:t>
      </w:r>
      <w:r w:rsidR="00434AF8" w:rsidRPr="004E0F29">
        <w:rPr>
          <w:lang w:val="fr-FR"/>
        </w:rPr>
        <w:t>.</w:t>
      </w:r>
    </w:p>
    <w:p w:rsidR="000E6DEB" w:rsidRPr="004E0F29" w:rsidRDefault="000E6DEB" w:rsidP="0077169A">
      <w:pPr>
        <w:rPr>
          <w:lang w:val="fr-FR"/>
        </w:rPr>
      </w:pPr>
    </w:p>
    <w:p w:rsidR="000E6DEB" w:rsidRPr="004E0F29" w:rsidRDefault="000E6DEB" w:rsidP="0077169A">
      <w:pPr>
        <w:rPr>
          <w:lang w:val="fr-FR"/>
        </w:rPr>
      </w:pPr>
    </w:p>
    <w:p w:rsidR="000E6DEB" w:rsidRPr="004E0F29" w:rsidRDefault="000E6DEB" w:rsidP="0077169A">
      <w:pPr>
        <w:rPr>
          <w:lang w:val="fr-FR"/>
        </w:rPr>
      </w:pPr>
    </w:p>
    <w:p w:rsidR="000E6DEB" w:rsidRPr="004E0F29" w:rsidRDefault="0077169A" w:rsidP="00434AF8">
      <w:pPr>
        <w:keepNext/>
        <w:rPr>
          <w:lang w:val="fr-FR"/>
        </w:rPr>
      </w:pPr>
      <w:r w:rsidRPr="004E0F29">
        <w:rPr>
          <w:lang w:val="fr-FR"/>
        </w:rPr>
        <w:fldChar w:fldCharType="begin"/>
      </w:r>
      <w:r w:rsidRPr="004E0F29">
        <w:rPr>
          <w:lang w:val="fr-FR"/>
        </w:rPr>
        <w:instrText xml:space="preserve"> AUTONUM  </w:instrText>
      </w:r>
      <w:r w:rsidRPr="004E0F29">
        <w:rPr>
          <w:lang w:val="fr-FR"/>
        </w:rPr>
        <w:fldChar w:fldCharType="end"/>
      </w:r>
      <w:r w:rsidRPr="004E0F29">
        <w:rPr>
          <w:lang w:val="fr-FR"/>
        </w:rPr>
        <w:tab/>
      </w:r>
      <w:r w:rsidR="00434AF8" w:rsidRPr="004E0F29">
        <w:rPr>
          <w:lang w:val="fr-FR"/>
        </w:rPr>
        <w:t>Le présent document est structuré comme suit</w:t>
      </w:r>
      <w:r w:rsidR="00653682" w:rsidRPr="004E0F29">
        <w:rPr>
          <w:lang w:val="fr-FR"/>
        </w:rPr>
        <w:t> :</w:t>
      </w:r>
    </w:p>
    <w:p w:rsidR="000E6DEB" w:rsidRPr="004E0F29" w:rsidRDefault="000E6DEB" w:rsidP="003F5CA0">
      <w:pPr>
        <w:rPr>
          <w:lang w:val="fr-FR"/>
        </w:rPr>
      </w:pPr>
    </w:p>
    <w:sdt>
      <w:sdtPr>
        <w:rPr>
          <w:caps w:val="0"/>
          <w:lang w:val="fr-FR"/>
        </w:rPr>
        <w:id w:val="-561723093"/>
        <w:docPartObj>
          <w:docPartGallery w:val="Table of Contents"/>
          <w:docPartUnique/>
        </w:docPartObj>
      </w:sdtPr>
      <w:sdtEndPr>
        <w:rPr>
          <w:rStyle w:val="Hyperlink"/>
          <w:color w:val="0000FF"/>
          <w:u w:val="single"/>
        </w:rPr>
      </w:sdtEndPr>
      <w:sdtContent>
        <w:p w:rsidR="00C372EE" w:rsidRDefault="003F5CA0">
          <w:pPr>
            <w:pStyle w:val="TOC1"/>
            <w:rPr>
              <w:rFonts w:asciiTheme="minorHAnsi" w:eastAsiaTheme="minorEastAsia" w:hAnsiTheme="minorHAnsi" w:cstheme="minorBidi"/>
              <w:caps w:val="0"/>
              <w:noProof/>
              <w:sz w:val="22"/>
              <w:szCs w:val="22"/>
            </w:rPr>
          </w:pPr>
          <w:r w:rsidRPr="004E0F29">
            <w:rPr>
              <w:lang w:val="fr-FR"/>
            </w:rPr>
            <w:fldChar w:fldCharType="begin"/>
          </w:r>
          <w:r w:rsidRPr="004E0F29">
            <w:rPr>
              <w:lang w:val="fr-FR"/>
            </w:rPr>
            <w:instrText xml:space="preserve"> TOC \o "1-3" \h \z \u </w:instrText>
          </w:r>
          <w:r w:rsidRPr="004E0F29">
            <w:rPr>
              <w:lang w:val="fr-FR"/>
            </w:rPr>
            <w:fldChar w:fldCharType="separate"/>
          </w:r>
          <w:hyperlink w:anchor="_Toc109232371" w:history="1">
            <w:r w:rsidR="00C372EE" w:rsidRPr="00241738">
              <w:rPr>
                <w:rStyle w:val="Hyperlink"/>
                <w:noProof/>
                <w:lang w:val="fr-FR"/>
              </w:rPr>
              <w:t>Résumé</w:t>
            </w:r>
            <w:r w:rsidR="00C372EE">
              <w:rPr>
                <w:noProof/>
                <w:webHidden/>
              </w:rPr>
              <w:tab/>
            </w:r>
            <w:r w:rsidR="00C372EE">
              <w:rPr>
                <w:noProof/>
                <w:webHidden/>
              </w:rPr>
              <w:fldChar w:fldCharType="begin"/>
            </w:r>
            <w:r w:rsidR="00C372EE">
              <w:rPr>
                <w:noProof/>
                <w:webHidden/>
              </w:rPr>
              <w:instrText xml:space="preserve"> PAGEREF _Toc109232371 \h </w:instrText>
            </w:r>
            <w:r w:rsidR="00C372EE">
              <w:rPr>
                <w:noProof/>
                <w:webHidden/>
              </w:rPr>
            </w:r>
            <w:r w:rsidR="00C372EE">
              <w:rPr>
                <w:noProof/>
                <w:webHidden/>
              </w:rPr>
              <w:fldChar w:fldCharType="separate"/>
            </w:r>
            <w:r w:rsidR="00C372EE">
              <w:rPr>
                <w:noProof/>
                <w:webHidden/>
              </w:rPr>
              <w:t>1</w:t>
            </w:r>
            <w:r w:rsidR="00C372EE">
              <w:rPr>
                <w:noProof/>
                <w:webHidden/>
              </w:rPr>
              <w:fldChar w:fldCharType="end"/>
            </w:r>
          </w:hyperlink>
        </w:p>
        <w:p w:rsidR="00C372EE" w:rsidRDefault="009932F8">
          <w:pPr>
            <w:pStyle w:val="TOC1"/>
            <w:rPr>
              <w:rFonts w:asciiTheme="minorHAnsi" w:eastAsiaTheme="minorEastAsia" w:hAnsiTheme="minorHAnsi" w:cstheme="minorBidi"/>
              <w:caps w:val="0"/>
              <w:noProof/>
              <w:sz w:val="22"/>
              <w:szCs w:val="22"/>
            </w:rPr>
          </w:pPr>
          <w:hyperlink w:anchor="_Toc109232372" w:history="1">
            <w:r w:rsidR="00C372EE" w:rsidRPr="00241738">
              <w:rPr>
                <w:rStyle w:val="Hyperlink"/>
                <w:noProof/>
                <w:lang w:val="fr-FR"/>
              </w:rPr>
              <w:t>Informations générales</w:t>
            </w:r>
            <w:r w:rsidR="00C372EE">
              <w:rPr>
                <w:noProof/>
                <w:webHidden/>
              </w:rPr>
              <w:tab/>
            </w:r>
            <w:r w:rsidR="00C372EE">
              <w:rPr>
                <w:noProof/>
                <w:webHidden/>
              </w:rPr>
              <w:fldChar w:fldCharType="begin"/>
            </w:r>
            <w:r w:rsidR="00C372EE">
              <w:rPr>
                <w:noProof/>
                <w:webHidden/>
              </w:rPr>
              <w:instrText xml:space="preserve"> PAGEREF _Toc109232372 \h </w:instrText>
            </w:r>
            <w:r w:rsidR="00C372EE">
              <w:rPr>
                <w:noProof/>
                <w:webHidden/>
              </w:rPr>
            </w:r>
            <w:r w:rsidR="00C372EE">
              <w:rPr>
                <w:noProof/>
                <w:webHidden/>
              </w:rPr>
              <w:fldChar w:fldCharType="separate"/>
            </w:r>
            <w:r w:rsidR="00C372EE">
              <w:rPr>
                <w:noProof/>
                <w:webHidden/>
              </w:rPr>
              <w:t>2</w:t>
            </w:r>
            <w:r w:rsidR="00C372EE">
              <w:rPr>
                <w:noProof/>
                <w:webHidden/>
              </w:rPr>
              <w:fldChar w:fldCharType="end"/>
            </w:r>
          </w:hyperlink>
        </w:p>
        <w:p w:rsidR="00C372EE" w:rsidRDefault="009932F8">
          <w:pPr>
            <w:pStyle w:val="TOC1"/>
            <w:rPr>
              <w:rFonts w:asciiTheme="minorHAnsi" w:eastAsiaTheme="minorEastAsia" w:hAnsiTheme="minorHAnsi" w:cstheme="minorBidi"/>
              <w:caps w:val="0"/>
              <w:noProof/>
              <w:sz w:val="22"/>
              <w:szCs w:val="22"/>
            </w:rPr>
          </w:pPr>
          <w:hyperlink w:anchor="_Toc109232373" w:history="1">
            <w:r w:rsidR="00C372EE" w:rsidRPr="00241738">
              <w:rPr>
                <w:rStyle w:val="Hyperlink"/>
                <w:noProof/>
                <w:lang w:val="fr-FR"/>
              </w:rPr>
              <w:t>Questions proposées pour adoption par le Conseil en 2022</w:t>
            </w:r>
            <w:r w:rsidR="00C372EE">
              <w:rPr>
                <w:noProof/>
                <w:webHidden/>
              </w:rPr>
              <w:tab/>
            </w:r>
            <w:r w:rsidR="00C372EE">
              <w:rPr>
                <w:noProof/>
                <w:webHidden/>
              </w:rPr>
              <w:fldChar w:fldCharType="begin"/>
            </w:r>
            <w:r w:rsidR="00C372EE">
              <w:rPr>
                <w:noProof/>
                <w:webHidden/>
              </w:rPr>
              <w:instrText xml:space="preserve"> PAGEREF _Toc109232373 \h </w:instrText>
            </w:r>
            <w:r w:rsidR="00C372EE">
              <w:rPr>
                <w:noProof/>
                <w:webHidden/>
              </w:rPr>
            </w:r>
            <w:r w:rsidR="00C372EE">
              <w:rPr>
                <w:noProof/>
                <w:webHidden/>
              </w:rPr>
              <w:fldChar w:fldCharType="separate"/>
            </w:r>
            <w:r w:rsidR="00C372EE">
              <w:rPr>
                <w:noProof/>
                <w:webHidden/>
              </w:rPr>
              <w:t>3</w:t>
            </w:r>
            <w:r w:rsidR="00C372EE">
              <w:rPr>
                <w:noProof/>
                <w:webHidden/>
              </w:rPr>
              <w:fldChar w:fldCharType="end"/>
            </w:r>
          </w:hyperlink>
        </w:p>
        <w:p w:rsidR="00C372EE" w:rsidRDefault="009932F8">
          <w:pPr>
            <w:pStyle w:val="TOC1"/>
            <w:rPr>
              <w:rFonts w:asciiTheme="minorHAnsi" w:eastAsiaTheme="minorEastAsia" w:hAnsiTheme="minorHAnsi" w:cstheme="minorBidi"/>
              <w:caps w:val="0"/>
              <w:noProof/>
              <w:sz w:val="22"/>
              <w:szCs w:val="22"/>
            </w:rPr>
          </w:pPr>
          <w:hyperlink w:anchor="_Toc109232374" w:history="1">
            <w:r w:rsidR="00C372EE" w:rsidRPr="00241738">
              <w:rPr>
                <w:rStyle w:val="Hyperlink"/>
                <w:noProof/>
                <w:lang w:val="fr-FR"/>
              </w:rPr>
              <w:t>Documents d’information</w:t>
            </w:r>
            <w:r w:rsidR="00C372EE">
              <w:rPr>
                <w:noProof/>
                <w:webHidden/>
              </w:rPr>
              <w:tab/>
            </w:r>
            <w:r w:rsidR="00C372EE">
              <w:rPr>
                <w:noProof/>
                <w:webHidden/>
              </w:rPr>
              <w:fldChar w:fldCharType="begin"/>
            </w:r>
            <w:r w:rsidR="00C372EE">
              <w:rPr>
                <w:noProof/>
                <w:webHidden/>
              </w:rPr>
              <w:instrText xml:space="preserve"> PAGEREF _Toc109232374 \h </w:instrText>
            </w:r>
            <w:r w:rsidR="00C372EE">
              <w:rPr>
                <w:noProof/>
                <w:webHidden/>
              </w:rPr>
            </w:r>
            <w:r w:rsidR="00C372EE">
              <w:rPr>
                <w:noProof/>
                <w:webHidden/>
              </w:rPr>
              <w:fldChar w:fldCharType="separate"/>
            </w:r>
            <w:r w:rsidR="00C372EE">
              <w:rPr>
                <w:noProof/>
                <w:webHidden/>
              </w:rPr>
              <w:t>3</w:t>
            </w:r>
            <w:r w:rsidR="00C372EE">
              <w:rPr>
                <w:noProof/>
                <w:webHidden/>
              </w:rPr>
              <w:fldChar w:fldCharType="end"/>
            </w:r>
          </w:hyperlink>
        </w:p>
        <w:p w:rsidR="00C372EE" w:rsidRDefault="009932F8">
          <w:pPr>
            <w:pStyle w:val="TOC2"/>
            <w:rPr>
              <w:rFonts w:asciiTheme="minorHAnsi" w:eastAsiaTheme="minorEastAsia" w:hAnsiTheme="minorHAnsi" w:cstheme="minorBidi"/>
              <w:noProof/>
              <w:sz w:val="22"/>
              <w:szCs w:val="22"/>
            </w:rPr>
          </w:pPr>
          <w:hyperlink w:anchor="_Toc109232375" w:history="1">
            <w:r w:rsidR="00C372EE" w:rsidRPr="00241738">
              <w:rPr>
                <w:rStyle w:val="Hyperlink"/>
                <w:noProof/>
                <w:lang w:val="fr-FR"/>
              </w:rPr>
              <w:t>Révision du document UPOV/INF/16 “Logiciels échangeables” (document UPOV/INF/16/11 Draft 1)</w:t>
            </w:r>
            <w:r w:rsidR="00C372EE">
              <w:rPr>
                <w:noProof/>
                <w:webHidden/>
              </w:rPr>
              <w:tab/>
            </w:r>
            <w:r w:rsidR="00C372EE">
              <w:rPr>
                <w:noProof/>
                <w:webHidden/>
              </w:rPr>
              <w:fldChar w:fldCharType="begin"/>
            </w:r>
            <w:r w:rsidR="00C372EE">
              <w:rPr>
                <w:noProof/>
                <w:webHidden/>
              </w:rPr>
              <w:instrText xml:space="preserve"> PAGEREF _Toc109232375 \h </w:instrText>
            </w:r>
            <w:r w:rsidR="00C372EE">
              <w:rPr>
                <w:noProof/>
                <w:webHidden/>
              </w:rPr>
            </w:r>
            <w:r w:rsidR="00C372EE">
              <w:rPr>
                <w:noProof/>
                <w:webHidden/>
              </w:rPr>
              <w:fldChar w:fldCharType="separate"/>
            </w:r>
            <w:r w:rsidR="00C372EE">
              <w:rPr>
                <w:noProof/>
                <w:webHidden/>
              </w:rPr>
              <w:t>3</w:t>
            </w:r>
            <w:r w:rsidR="00C372EE">
              <w:rPr>
                <w:noProof/>
                <w:webHidden/>
              </w:rPr>
              <w:fldChar w:fldCharType="end"/>
            </w:r>
          </w:hyperlink>
        </w:p>
        <w:p w:rsidR="00C372EE" w:rsidRDefault="009932F8">
          <w:pPr>
            <w:pStyle w:val="TOC2"/>
            <w:rPr>
              <w:rFonts w:asciiTheme="minorHAnsi" w:eastAsiaTheme="minorEastAsia" w:hAnsiTheme="minorHAnsi" w:cstheme="minorBidi"/>
              <w:noProof/>
              <w:sz w:val="22"/>
              <w:szCs w:val="22"/>
            </w:rPr>
          </w:pPr>
          <w:hyperlink w:anchor="_Toc109232376" w:history="1">
            <w:r w:rsidR="00C372EE" w:rsidRPr="00241738">
              <w:rPr>
                <w:rStyle w:val="Hyperlink"/>
                <w:noProof/>
                <w:lang w:val="fr-FR"/>
              </w:rPr>
              <w:t>Révision du document UPOV/INF/22 “Logiciels et équipements utilisés par les membres de l’Union” (document UPOV/INF/22/9 Draft 1)</w:t>
            </w:r>
            <w:r w:rsidR="00C372EE">
              <w:rPr>
                <w:noProof/>
                <w:webHidden/>
              </w:rPr>
              <w:tab/>
            </w:r>
            <w:r w:rsidR="00C372EE">
              <w:rPr>
                <w:noProof/>
                <w:webHidden/>
              </w:rPr>
              <w:fldChar w:fldCharType="begin"/>
            </w:r>
            <w:r w:rsidR="00C372EE">
              <w:rPr>
                <w:noProof/>
                <w:webHidden/>
              </w:rPr>
              <w:instrText xml:space="preserve"> PAGEREF _Toc109232376 \h </w:instrText>
            </w:r>
            <w:r w:rsidR="00C372EE">
              <w:rPr>
                <w:noProof/>
                <w:webHidden/>
              </w:rPr>
            </w:r>
            <w:r w:rsidR="00C372EE">
              <w:rPr>
                <w:noProof/>
                <w:webHidden/>
              </w:rPr>
              <w:fldChar w:fldCharType="separate"/>
            </w:r>
            <w:r w:rsidR="00C372EE">
              <w:rPr>
                <w:noProof/>
                <w:webHidden/>
              </w:rPr>
              <w:t>3</w:t>
            </w:r>
            <w:r w:rsidR="00C372EE">
              <w:rPr>
                <w:noProof/>
                <w:webHidden/>
              </w:rPr>
              <w:fldChar w:fldCharType="end"/>
            </w:r>
          </w:hyperlink>
        </w:p>
        <w:p w:rsidR="00C372EE" w:rsidRDefault="009932F8">
          <w:pPr>
            <w:pStyle w:val="TOC1"/>
            <w:rPr>
              <w:rFonts w:asciiTheme="minorHAnsi" w:eastAsiaTheme="minorEastAsia" w:hAnsiTheme="minorHAnsi" w:cstheme="minorBidi"/>
              <w:caps w:val="0"/>
              <w:noProof/>
              <w:sz w:val="22"/>
              <w:szCs w:val="22"/>
            </w:rPr>
          </w:pPr>
          <w:hyperlink w:anchor="_Toc109232377" w:history="1">
            <w:r w:rsidR="00C372EE" w:rsidRPr="00241738">
              <w:rPr>
                <w:rStyle w:val="Hyperlink"/>
                <w:noProof/>
                <w:lang w:val="fr-FR"/>
              </w:rPr>
              <w:t>Notes explicatives</w:t>
            </w:r>
            <w:r w:rsidR="00C372EE">
              <w:rPr>
                <w:noProof/>
                <w:webHidden/>
              </w:rPr>
              <w:tab/>
            </w:r>
            <w:r w:rsidR="00C372EE">
              <w:rPr>
                <w:noProof/>
                <w:webHidden/>
              </w:rPr>
              <w:fldChar w:fldCharType="begin"/>
            </w:r>
            <w:r w:rsidR="00C372EE">
              <w:rPr>
                <w:noProof/>
                <w:webHidden/>
              </w:rPr>
              <w:instrText xml:space="preserve"> PAGEREF _Toc109232377 \h </w:instrText>
            </w:r>
            <w:r w:rsidR="00C372EE">
              <w:rPr>
                <w:noProof/>
                <w:webHidden/>
              </w:rPr>
            </w:r>
            <w:r w:rsidR="00C372EE">
              <w:rPr>
                <w:noProof/>
                <w:webHidden/>
              </w:rPr>
              <w:fldChar w:fldCharType="separate"/>
            </w:r>
            <w:r w:rsidR="00C372EE">
              <w:rPr>
                <w:noProof/>
                <w:webHidden/>
              </w:rPr>
              <w:t>3</w:t>
            </w:r>
            <w:r w:rsidR="00C372EE">
              <w:rPr>
                <w:noProof/>
                <w:webHidden/>
              </w:rPr>
              <w:fldChar w:fldCharType="end"/>
            </w:r>
          </w:hyperlink>
        </w:p>
        <w:p w:rsidR="00C372EE" w:rsidRDefault="009932F8">
          <w:pPr>
            <w:pStyle w:val="TOC2"/>
            <w:rPr>
              <w:rFonts w:asciiTheme="minorHAnsi" w:eastAsiaTheme="minorEastAsia" w:hAnsiTheme="minorHAnsi" w:cstheme="minorBidi"/>
              <w:noProof/>
              <w:sz w:val="22"/>
              <w:szCs w:val="22"/>
            </w:rPr>
          </w:pPr>
          <w:hyperlink w:anchor="_Toc109232378" w:history="1">
            <w:r w:rsidR="00C372EE" w:rsidRPr="00241738">
              <w:rPr>
                <w:rStyle w:val="Hyperlink"/>
                <w:noProof/>
                <w:lang w:val="fr-FR"/>
              </w:rPr>
              <w:t>Notes explicatives concernant les dénominations variétales en vertu de la Convention UPOV (document UPOV/EXN/DEN)</w:t>
            </w:r>
            <w:r w:rsidR="00C372EE">
              <w:rPr>
                <w:noProof/>
                <w:webHidden/>
              </w:rPr>
              <w:tab/>
            </w:r>
            <w:r w:rsidR="00C372EE">
              <w:rPr>
                <w:noProof/>
                <w:webHidden/>
              </w:rPr>
              <w:fldChar w:fldCharType="begin"/>
            </w:r>
            <w:r w:rsidR="00C372EE">
              <w:rPr>
                <w:noProof/>
                <w:webHidden/>
              </w:rPr>
              <w:instrText xml:space="preserve"> PAGEREF _Toc109232378 \h </w:instrText>
            </w:r>
            <w:r w:rsidR="00C372EE">
              <w:rPr>
                <w:noProof/>
                <w:webHidden/>
              </w:rPr>
            </w:r>
            <w:r w:rsidR="00C372EE">
              <w:rPr>
                <w:noProof/>
                <w:webHidden/>
              </w:rPr>
              <w:fldChar w:fldCharType="separate"/>
            </w:r>
            <w:r w:rsidR="00C372EE">
              <w:rPr>
                <w:noProof/>
                <w:webHidden/>
              </w:rPr>
              <w:t>3</w:t>
            </w:r>
            <w:r w:rsidR="00C372EE">
              <w:rPr>
                <w:noProof/>
                <w:webHidden/>
              </w:rPr>
              <w:fldChar w:fldCharType="end"/>
            </w:r>
          </w:hyperlink>
        </w:p>
        <w:p w:rsidR="00C372EE" w:rsidRDefault="009932F8">
          <w:pPr>
            <w:pStyle w:val="TOC2"/>
            <w:rPr>
              <w:rFonts w:asciiTheme="minorHAnsi" w:eastAsiaTheme="minorEastAsia" w:hAnsiTheme="minorHAnsi" w:cstheme="minorBidi"/>
              <w:noProof/>
              <w:sz w:val="22"/>
              <w:szCs w:val="22"/>
            </w:rPr>
          </w:pPr>
          <w:hyperlink w:anchor="_Toc109232379" w:history="1">
            <w:r w:rsidR="00C372EE" w:rsidRPr="00241738">
              <w:rPr>
                <w:rStyle w:val="Hyperlink"/>
                <w:noProof/>
                <w:lang w:val="fr-FR"/>
              </w:rPr>
              <w:t>Notes explicatives sur l’examen de la demande selon la Convention UPOV</w:t>
            </w:r>
            <w:r w:rsidR="00C372EE">
              <w:rPr>
                <w:noProof/>
                <w:webHidden/>
              </w:rPr>
              <w:tab/>
            </w:r>
            <w:r w:rsidR="00C372EE">
              <w:rPr>
                <w:noProof/>
                <w:webHidden/>
              </w:rPr>
              <w:fldChar w:fldCharType="begin"/>
            </w:r>
            <w:r w:rsidR="00C372EE">
              <w:rPr>
                <w:noProof/>
                <w:webHidden/>
              </w:rPr>
              <w:instrText xml:space="preserve"> PAGEREF _Toc109232379 \h </w:instrText>
            </w:r>
            <w:r w:rsidR="00C372EE">
              <w:rPr>
                <w:noProof/>
                <w:webHidden/>
              </w:rPr>
            </w:r>
            <w:r w:rsidR="00C372EE">
              <w:rPr>
                <w:noProof/>
                <w:webHidden/>
              </w:rPr>
              <w:fldChar w:fldCharType="separate"/>
            </w:r>
            <w:r w:rsidR="00C372EE">
              <w:rPr>
                <w:noProof/>
                <w:webHidden/>
              </w:rPr>
              <w:t>4</w:t>
            </w:r>
            <w:r w:rsidR="00C372EE">
              <w:rPr>
                <w:noProof/>
                <w:webHidden/>
              </w:rPr>
              <w:fldChar w:fldCharType="end"/>
            </w:r>
          </w:hyperlink>
        </w:p>
        <w:p w:rsidR="00C372EE" w:rsidRDefault="009932F8">
          <w:pPr>
            <w:pStyle w:val="TOC1"/>
            <w:rPr>
              <w:rFonts w:asciiTheme="minorHAnsi" w:eastAsiaTheme="minorEastAsia" w:hAnsiTheme="minorHAnsi" w:cstheme="minorBidi"/>
              <w:caps w:val="0"/>
              <w:noProof/>
              <w:sz w:val="22"/>
              <w:szCs w:val="22"/>
            </w:rPr>
          </w:pPr>
          <w:hyperlink w:anchor="_Toc109232380" w:history="1">
            <w:r w:rsidR="00C372EE" w:rsidRPr="00241738">
              <w:rPr>
                <w:rStyle w:val="Hyperlink"/>
                <w:noProof/>
                <w:lang w:val="fr-FR"/>
              </w:rPr>
              <w:t>Documents TGP</w:t>
            </w:r>
            <w:r w:rsidR="00C372EE">
              <w:rPr>
                <w:noProof/>
                <w:webHidden/>
              </w:rPr>
              <w:tab/>
            </w:r>
            <w:r w:rsidR="00C372EE">
              <w:rPr>
                <w:noProof/>
                <w:webHidden/>
              </w:rPr>
              <w:fldChar w:fldCharType="begin"/>
            </w:r>
            <w:r w:rsidR="00C372EE">
              <w:rPr>
                <w:noProof/>
                <w:webHidden/>
              </w:rPr>
              <w:instrText xml:space="preserve"> PAGEREF _Toc109232380 \h </w:instrText>
            </w:r>
            <w:r w:rsidR="00C372EE">
              <w:rPr>
                <w:noProof/>
                <w:webHidden/>
              </w:rPr>
            </w:r>
            <w:r w:rsidR="00C372EE">
              <w:rPr>
                <w:noProof/>
                <w:webHidden/>
              </w:rPr>
              <w:fldChar w:fldCharType="separate"/>
            </w:r>
            <w:r w:rsidR="00C372EE">
              <w:rPr>
                <w:noProof/>
                <w:webHidden/>
              </w:rPr>
              <w:t>4</w:t>
            </w:r>
            <w:r w:rsidR="00C372EE">
              <w:rPr>
                <w:noProof/>
                <w:webHidden/>
              </w:rPr>
              <w:fldChar w:fldCharType="end"/>
            </w:r>
          </w:hyperlink>
        </w:p>
        <w:p w:rsidR="00C372EE" w:rsidRDefault="009932F8">
          <w:pPr>
            <w:pStyle w:val="TOC2"/>
            <w:rPr>
              <w:rFonts w:asciiTheme="minorHAnsi" w:eastAsiaTheme="minorEastAsia" w:hAnsiTheme="minorHAnsi" w:cstheme="minorBidi"/>
              <w:noProof/>
              <w:sz w:val="22"/>
              <w:szCs w:val="22"/>
            </w:rPr>
          </w:pPr>
          <w:hyperlink w:anchor="_Toc109232381" w:history="1">
            <w:r w:rsidR="00C372EE" w:rsidRPr="00241738">
              <w:rPr>
                <w:rStyle w:val="Hyperlink"/>
                <w:noProof/>
                <w:lang w:val="fr-FR"/>
              </w:rPr>
              <w:t>TGP/5 : Expérience et coopération en matière d’examen DHS, section 6 : Rapport UPOV d’examen technique et Formulaire UPOV de description variétale (révision) (document TGP/5 : section 6/4 Draft 1)</w:t>
            </w:r>
            <w:r w:rsidR="00C372EE">
              <w:rPr>
                <w:noProof/>
                <w:webHidden/>
              </w:rPr>
              <w:tab/>
            </w:r>
            <w:r w:rsidR="00C372EE">
              <w:rPr>
                <w:noProof/>
                <w:webHidden/>
              </w:rPr>
              <w:fldChar w:fldCharType="begin"/>
            </w:r>
            <w:r w:rsidR="00C372EE">
              <w:rPr>
                <w:noProof/>
                <w:webHidden/>
              </w:rPr>
              <w:instrText xml:space="preserve"> PAGEREF _Toc109232381 \h </w:instrText>
            </w:r>
            <w:r w:rsidR="00C372EE">
              <w:rPr>
                <w:noProof/>
                <w:webHidden/>
              </w:rPr>
            </w:r>
            <w:r w:rsidR="00C372EE">
              <w:rPr>
                <w:noProof/>
                <w:webHidden/>
              </w:rPr>
              <w:fldChar w:fldCharType="separate"/>
            </w:r>
            <w:r w:rsidR="00C372EE">
              <w:rPr>
                <w:noProof/>
                <w:webHidden/>
              </w:rPr>
              <w:t>4</w:t>
            </w:r>
            <w:r w:rsidR="00C372EE">
              <w:rPr>
                <w:noProof/>
                <w:webHidden/>
              </w:rPr>
              <w:fldChar w:fldCharType="end"/>
            </w:r>
          </w:hyperlink>
        </w:p>
        <w:p w:rsidR="00C372EE" w:rsidRDefault="009932F8">
          <w:pPr>
            <w:pStyle w:val="TOC2"/>
            <w:rPr>
              <w:rFonts w:asciiTheme="minorHAnsi" w:eastAsiaTheme="minorEastAsia" w:hAnsiTheme="minorHAnsi" w:cstheme="minorBidi"/>
              <w:noProof/>
              <w:sz w:val="22"/>
              <w:szCs w:val="22"/>
            </w:rPr>
          </w:pPr>
          <w:hyperlink w:anchor="_Toc109232382" w:history="1">
            <w:r w:rsidR="00C372EE" w:rsidRPr="00241738">
              <w:rPr>
                <w:rStyle w:val="Hyperlink"/>
                <w:rFonts w:cs="Arial"/>
                <w:noProof/>
                <w:lang w:val="fr-FR"/>
              </w:rPr>
              <w:t>TGP/8 : Protocole d’essai et techniques utilisés dans l’examen de la distinction, de l’homogénéité et de la stabilité (révision) (annexe II)</w:t>
            </w:r>
            <w:r w:rsidR="00C372EE">
              <w:rPr>
                <w:noProof/>
                <w:webHidden/>
              </w:rPr>
              <w:tab/>
            </w:r>
            <w:r w:rsidR="00C372EE">
              <w:rPr>
                <w:noProof/>
                <w:webHidden/>
              </w:rPr>
              <w:fldChar w:fldCharType="begin"/>
            </w:r>
            <w:r w:rsidR="00C372EE">
              <w:rPr>
                <w:noProof/>
                <w:webHidden/>
              </w:rPr>
              <w:instrText xml:space="preserve"> PAGEREF _Toc109232382 \h </w:instrText>
            </w:r>
            <w:r w:rsidR="00C372EE">
              <w:rPr>
                <w:noProof/>
                <w:webHidden/>
              </w:rPr>
            </w:r>
            <w:r w:rsidR="00C372EE">
              <w:rPr>
                <w:noProof/>
                <w:webHidden/>
              </w:rPr>
              <w:fldChar w:fldCharType="separate"/>
            </w:r>
            <w:r w:rsidR="00C372EE">
              <w:rPr>
                <w:noProof/>
                <w:webHidden/>
              </w:rPr>
              <w:t>4</w:t>
            </w:r>
            <w:r w:rsidR="00C372EE">
              <w:rPr>
                <w:noProof/>
                <w:webHidden/>
              </w:rPr>
              <w:fldChar w:fldCharType="end"/>
            </w:r>
          </w:hyperlink>
        </w:p>
        <w:p w:rsidR="00C372EE" w:rsidRDefault="009932F8">
          <w:pPr>
            <w:pStyle w:val="TOC2"/>
            <w:rPr>
              <w:rFonts w:asciiTheme="minorHAnsi" w:eastAsiaTheme="minorEastAsia" w:hAnsiTheme="minorHAnsi" w:cstheme="minorBidi"/>
              <w:noProof/>
              <w:sz w:val="22"/>
              <w:szCs w:val="22"/>
            </w:rPr>
          </w:pPr>
          <w:hyperlink w:anchor="_Toc109232383" w:history="1">
            <w:r w:rsidR="00C372EE" w:rsidRPr="00241738">
              <w:rPr>
                <w:rStyle w:val="Hyperlink"/>
                <w:noProof/>
                <w:lang w:val="fr-FR"/>
              </w:rPr>
              <w:t>TGP/12 : Conseils en ce qui concerne certains caractères physiologiques (révision) (annexe III)</w:t>
            </w:r>
            <w:r w:rsidR="00C372EE">
              <w:rPr>
                <w:noProof/>
                <w:webHidden/>
              </w:rPr>
              <w:tab/>
            </w:r>
            <w:r w:rsidR="00C372EE">
              <w:rPr>
                <w:noProof/>
                <w:webHidden/>
              </w:rPr>
              <w:fldChar w:fldCharType="begin"/>
            </w:r>
            <w:r w:rsidR="00C372EE">
              <w:rPr>
                <w:noProof/>
                <w:webHidden/>
              </w:rPr>
              <w:instrText xml:space="preserve"> PAGEREF _Toc109232383 \h </w:instrText>
            </w:r>
            <w:r w:rsidR="00C372EE">
              <w:rPr>
                <w:noProof/>
                <w:webHidden/>
              </w:rPr>
            </w:r>
            <w:r w:rsidR="00C372EE">
              <w:rPr>
                <w:noProof/>
                <w:webHidden/>
              </w:rPr>
              <w:fldChar w:fldCharType="separate"/>
            </w:r>
            <w:r w:rsidR="00C372EE">
              <w:rPr>
                <w:noProof/>
                <w:webHidden/>
              </w:rPr>
              <w:t>5</w:t>
            </w:r>
            <w:r w:rsidR="00C372EE">
              <w:rPr>
                <w:noProof/>
                <w:webHidden/>
              </w:rPr>
              <w:fldChar w:fldCharType="end"/>
            </w:r>
          </w:hyperlink>
        </w:p>
        <w:p w:rsidR="00653682" w:rsidRPr="004E0F29" w:rsidRDefault="003F5CA0" w:rsidP="003A0E68">
          <w:pPr>
            <w:spacing w:before="240"/>
            <w:jc w:val="left"/>
            <w:rPr>
              <w:bCs/>
              <w:noProof/>
              <w:lang w:val="fr-FR"/>
            </w:rPr>
          </w:pPr>
          <w:r w:rsidRPr="004E0F29">
            <w:rPr>
              <w:b/>
              <w:bCs/>
              <w:noProof/>
              <w:lang w:val="fr-FR"/>
            </w:rPr>
            <w:fldChar w:fldCharType="end"/>
          </w:r>
          <w:r w:rsidR="00434AF8" w:rsidRPr="004E0F29">
            <w:rPr>
              <w:bCs/>
              <w:noProof/>
              <w:lang w:val="fr-FR"/>
            </w:rPr>
            <w:t>ANNEXE I Document UPOV/EXN/DEN</w:t>
          </w:r>
          <w:r w:rsidR="00653682" w:rsidRPr="004E0F29">
            <w:rPr>
              <w:bCs/>
              <w:noProof/>
              <w:lang w:val="fr-FR"/>
            </w:rPr>
            <w:t> :</w:t>
          </w:r>
          <w:r w:rsidR="00434AF8" w:rsidRPr="004E0F29">
            <w:rPr>
              <w:bCs/>
              <w:noProof/>
              <w:lang w:val="fr-FR"/>
            </w:rPr>
            <w:t xml:space="preserve"> Notes explicatives concernant les dénominations variétales en vertu de la </w:t>
          </w:r>
          <w:r w:rsidR="00653682" w:rsidRPr="004E0F29">
            <w:rPr>
              <w:bCs/>
              <w:noProof/>
              <w:lang w:val="fr-FR"/>
            </w:rPr>
            <w:t>Convention UPOV</w:t>
          </w:r>
          <w:r w:rsidR="00434AF8" w:rsidRPr="004E0F29">
            <w:rPr>
              <w:bCs/>
              <w:noProof/>
              <w:lang w:val="fr-FR"/>
            </w:rPr>
            <w:t xml:space="preserve"> (révision)</w:t>
          </w:r>
        </w:p>
        <w:p w:rsidR="000E6DEB" w:rsidRPr="004E0F29" w:rsidRDefault="00434AF8" w:rsidP="003A0E68">
          <w:pPr>
            <w:spacing w:before="240"/>
            <w:jc w:val="left"/>
            <w:rPr>
              <w:lang w:val="fr-FR"/>
            </w:rPr>
          </w:pPr>
          <w:r w:rsidRPr="004E0F29">
            <w:rPr>
              <w:bCs/>
              <w:noProof/>
              <w:lang w:val="fr-FR"/>
            </w:rPr>
            <w:t>ANNEXE II Document TGP/8</w:t>
          </w:r>
          <w:r w:rsidR="00653682" w:rsidRPr="004E0F29">
            <w:rPr>
              <w:bCs/>
              <w:noProof/>
              <w:lang w:val="fr-FR"/>
            </w:rPr>
            <w:t> :</w:t>
          </w:r>
          <w:r w:rsidRPr="004E0F29">
            <w:rPr>
              <w:bCs/>
              <w:noProof/>
              <w:lang w:val="fr-FR"/>
            </w:rPr>
            <w:t xml:space="preserve"> Protocole d</w:t>
          </w:r>
          <w:r w:rsidR="00653682" w:rsidRPr="004E0F29">
            <w:rPr>
              <w:bCs/>
              <w:noProof/>
              <w:lang w:val="fr-FR"/>
            </w:rPr>
            <w:t>’</w:t>
          </w:r>
          <w:r w:rsidRPr="004E0F29">
            <w:rPr>
              <w:bCs/>
              <w:noProof/>
              <w:lang w:val="fr-FR"/>
            </w:rPr>
            <w:t>essai et techniques utilisés dans l</w:t>
          </w:r>
          <w:r w:rsidR="00653682" w:rsidRPr="004E0F29">
            <w:rPr>
              <w:bCs/>
              <w:noProof/>
              <w:lang w:val="fr-FR"/>
            </w:rPr>
            <w:t>’</w:t>
          </w:r>
          <w:r w:rsidRPr="004E0F29">
            <w:rPr>
              <w:bCs/>
              <w:noProof/>
              <w:lang w:val="fr-FR"/>
            </w:rPr>
            <w:t>examen de la distinction, de l</w:t>
          </w:r>
          <w:r w:rsidR="00653682" w:rsidRPr="004E0F29">
            <w:rPr>
              <w:bCs/>
              <w:noProof/>
              <w:lang w:val="fr-FR"/>
            </w:rPr>
            <w:t>’</w:t>
          </w:r>
          <w:r w:rsidRPr="004E0F29">
            <w:rPr>
              <w:bCs/>
              <w:noProof/>
              <w:lang w:val="fr-FR"/>
            </w:rPr>
            <w:t>homogénéité et de la stabilité (révision)</w:t>
          </w:r>
        </w:p>
        <w:p w:rsidR="00D84616" w:rsidRPr="004E0F29" w:rsidRDefault="00D84616" w:rsidP="00434AF8">
          <w:pPr>
            <w:rPr>
              <w:rStyle w:val="Hyperlink"/>
              <w:color w:val="auto"/>
              <w:u w:val="none"/>
              <w:lang w:val="fr-FR"/>
            </w:rPr>
          </w:pPr>
        </w:p>
        <w:p w:rsidR="000E6DEB" w:rsidRPr="004E0F29" w:rsidRDefault="00434AF8" w:rsidP="00434AF8">
          <w:pPr>
            <w:rPr>
              <w:rStyle w:val="Hyperlink"/>
              <w:color w:val="auto"/>
              <w:u w:val="none"/>
              <w:lang w:val="fr-FR"/>
            </w:rPr>
          </w:pPr>
          <w:r w:rsidRPr="004E0F29">
            <w:rPr>
              <w:rStyle w:val="Hyperlink"/>
              <w:color w:val="auto"/>
              <w:u w:val="none"/>
              <w:lang w:val="fr-FR"/>
            </w:rPr>
            <w:t>ANNEXE III Document TGP/12</w:t>
          </w:r>
          <w:r w:rsidR="004E0F29" w:rsidRPr="004E0F29">
            <w:rPr>
              <w:rStyle w:val="Hyperlink"/>
              <w:color w:val="auto"/>
              <w:u w:val="none"/>
              <w:lang w:val="fr-FR"/>
            </w:rPr>
            <w:t> </w:t>
          </w:r>
          <w:r w:rsidR="005E04E3" w:rsidRPr="004E0F29">
            <w:rPr>
              <w:rStyle w:val="Hyperlink"/>
              <w:color w:val="auto"/>
              <w:u w:val="none"/>
              <w:lang w:val="fr-FR"/>
            </w:rPr>
            <w:t>:</w:t>
          </w:r>
          <w:r w:rsidRPr="004E0F29">
            <w:rPr>
              <w:rStyle w:val="Hyperlink"/>
              <w:color w:val="auto"/>
              <w:u w:val="none"/>
              <w:lang w:val="fr-FR"/>
            </w:rPr>
            <w:t xml:space="preserve"> Conseils sur certains caractères physiologiques (révision)</w:t>
          </w:r>
        </w:p>
      </w:sdtContent>
    </w:sdt>
    <w:p w:rsidR="000E6DEB" w:rsidRDefault="000E6DEB" w:rsidP="00823C3A">
      <w:pPr>
        <w:keepNext/>
        <w:keepLines/>
        <w:rPr>
          <w:lang w:val="fr-FR"/>
        </w:rPr>
      </w:pPr>
    </w:p>
    <w:p w:rsidR="007D4D4A" w:rsidRPr="004E0F29" w:rsidRDefault="007D4D4A" w:rsidP="00823C3A">
      <w:pPr>
        <w:keepNext/>
        <w:keepLines/>
        <w:rPr>
          <w:lang w:val="fr-FR"/>
        </w:rPr>
      </w:pPr>
    </w:p>
    <w:p w:rsidR="00653682" w:rsidRPr="004E0F29" w:rsidRDefault="0077169A" w:rsidP="00434AF8">
      <w:pPr>
        <w:keepNext/>
        <w:keepLines/>
        <w:rPr>
          <w:lang w:val="fr-FR"/>
        </w:rPr>
      </w:pPr>
      <w:r w:rsidRPr="004E0F29">
        <w:rPr>
          <w:lang w:val="fr-FR"/>
        </w:rPr>
        <w:fldChar w:fldCharType="begin"/>
      </w:r>
      <w:r w:rsidRPr="004E0F29">
        <w:rPr>
          <w:lang w:val="fr-FR"/>
        </w:rPr>
        <w:instrText xml:space="preserve"> AUTONUM  </w:instrText>
      </w:r>
      <w:r w:rsidRPr="004E0F29">
        <w:rPr>
          <w:lang w:val="fr-FR"/>
        </w:rPr>
        <w:fldChar w:fldCharType="end"/>
      </w:r>
      <w:r w:rsidRPr="004E0F29">
        <w:rPr>
          <w:lang w:val="fr-FR"/>
        </w:rPr>
        <w:tab/>
      </w:r>
      <w:r w:rsidR="00434AF8" w:rsidRPr="004E0F29">
        <w:rPr>
          <w:lang w:val="fr-FR"/>
        </w:rPr>
        <w:t>Les abréviations ci</w:t>
      </w:r>
      <w:r w:rsidR="00653682" w:rsidRPr="004E0F29">
        <w:rPr>
          <w:lang w:val="fr-FR"/>
        </w:rPr>
        <w:t>-</w:t>
      </w:r>
      <w:r w:rsidR="00434AF8" w:rsidRPr="004E0F29">
        <w:rPr>
          <w:lang w:val="fr-FR"/>
        </w:rPr>
        <w:t>après sont utilisées dans le présent document</w:t>
      </w:r>
      <w:r w:rsidR="00653682" w:rsidRPr="004E0F29">
        <w:rPr>
          <w:lang w:val="fr-FR"/>
        </w:rPr>
        <w:t> :</w:t>
      </w:r>
    </w:p>
    <w:p w:rsidR="000E6DEB" w:rsidRPr="00C372EE" w:rsidRDefault="000E6DEB" w:rsidP="00C372EE">
      <w:pPr>
        <w:keepNext/>
        <w:rPr>
          <w:lang w:val="fr-FR"/>
        </w:rPr>
      </w:pPr>
    </w:p>
    <w:p w:rsidR="00653682" w:rsidRPr="004E0F29" w:rsidRDefault="00434AF8" w:rsidP="007D4D4A">
      <w:pPr>
        <w:pStyle w:val="ListParagraph"/>
        <w:keepNext/>
        <w:tabs>
          <w:tab w:val="left" w:pos="1701"/>
        </w:tabs>
        <w:ind w:left="567"/>
        <w:rPr>
          <w:lang w:val="fr-FR"/>
        </w:rPr>
      </w:pPr>
      <w:r w:rsidRPr="004E0F29">
        <w:rPr>
          <w:lang w:val="fr-FR"/>
        </w:rPr>
        <w:t>CAJ</w:t>
      </w:r>
      <w:r w:rsidR="004E0F29" w:rsidRPr="004E0F29">
        <w:rPr>
          <w:lang w:val="fr-FR"/>
        </w:rPr>
        <w:t> </w:t>
      </w:r>
      <w:r w:rsidR="00653682" w:rsidRPr="004E0F29">
        <w:rPr>
          <w:lang w:val="fr-FR"/>
        </w:rPr>
        <w:t>:</w:t>
      </w:r>
      <w:r w:rsidRPr="004E0F29">
        <w:rPr>
          <w:lang w:val="fr-FR"/>
        </w:rPr>
        <w:t xml:space="preserve"> </w:t>
      </w:r>
      <w:r w:rsidR="007D4D4A">
        <w:rPr>
          <w:lang w:val="fr-FR"/>
        </w:rPr>
        <w:tab/>
      </w:r>
      <w:r w:rsidRPr="004E0F29">
        <w:rPr>
          <w:lang w:val="fr-FR"/>
        </w:rPr>
        <w:t>Comité administratif et juridique</w:t>
      </w:r>
    </w:p>
    <w:p w:rsidR="00653682" w:rsidRPr="004E0F29" w:rsidRDefault="00434AF8" w:rsidP="007D4D4A">
      <w:pPr>
        <w:pStyle w:val="ListParagraph"/>
        <w:keepNext/>
        <w:tabs>
          <w:tab w:val="left" w:pos="1701"/>
        </w:tabs>
        <w:ind w:left="567"/>
        <w:rPr>
          <w:lang w:val="fr-FR"/>
        </w:rPr>
      </w:pPr>
      <w:r w:rsidRPr="004E0F29">
        <w:rPr>
          <w:lang w:val="fr-FR"/>
        </w:rPr>
        <w:t>TC</w:t>
      </w:r>
      <w:r w:rsidR="00653682" w:rsidRPr="004E0F29">
        <w:rPr>
          <w:lang w:val="fr-FR"/>
        </w:rPr>
        <w:t> :</w:t>
      </w:r>
      <w:r w:rsidRPr="004E0F29">
        <w:rPr>
          <w:lang w:val="fr-FR"/>
        </w:rPr>
        <w:t xml:space="preserve"> </w:t>
      </w:r>
      <w:r w:rsidR="007D4D4A">
        <w:rPr>
          <w:lang w:val="fr-FR"/>
        </w:rPr>
        <w:tab/>
      </w:r>
      <w:r w:rsidRPr="004E0F29">
        <w:rPr>
          <w:lang w:val="fr-FR"/>
        </w:rPr>
        <w:t>Comité technique</w:t>
      </w:r>
    </w:p>
    <w:p w:rsidR="00653682" w:rsidRPr="004E0F29" w:rsidRDefault="00434AF8" w:rsidP="007D4D4A">
      <w:pPr>
        <w:pStyle w:val="ListParagraph"/>
        <w:keepNext/>
        <w:tabs>
          <w:tab w:val="left" w:pos="1701"/>
        </w:tabs>
        <w:ind w:left="567"/>
        <w:rPr>
          <w:lang w:val="fr-FR"/>
        </w:rPr>
      </w:pPr>
      <w:r w:rsidRPr="004E0F29">
        <w:rPr>
          <w:lang w:val="fr-FR"/>
        </w:rPr>
        <w:t>TWP</w:t>
      </w:r>
      <w:r w:rsidR="00653682" w:rsidRPr="004E0F29">
        <w:rPr>
          <w:lang w:val="fr-FR"/>
        </w:rPr>
        <w:t> :</w:t>
      </w:r>
      <w:r w:rsidRPr="004E0F29">
        <w:rPr>
          <w:lang w:val="fr-FR"/>
        </w:rPr>
        <w:t xml:space="preserve"> </w:t>
      </w:r>
      <w:r w:rsidR="007D4D4A">
        <w:rPr>
          <w:lang w:val="fr-FR"/>
        </w:rPr>
        <w:tab/>
      </w:r>
      <w:r w:rsidRPr="004E0F29">
        <w:rPr>
          <w:lang w:val="fr-FR"/>
        </w:rPr>
        <w:t>Groupes de travail techniques</w:t>
      </w:r>
    </w:p>
    <w:p w:rsidR="000E6DEB" w:rsidRPr="004E0F29" w:rsidRDefault="000E6DEB">
      <w:pPr>
        <w:jc w:val="left"/>
        <w:rPr>
          <w:lang w:val="fr-FR"/>
        </w:rPr>
      </w:pPr>
    </w:p>
    <w:p w:rsidR="000E6DEB" w:rsidRPr="004E0F29" w:rsidRDefault="000E6DEB" w:rsidP="004C7CD6">
      <w:pPr>
        <w:pStyle w:val="Heading1"/>
        <w:rPr>
          <w:lang w:val="fr-FR"/>
        </w:rPr>
      </w:pPr>
    </w:p>
    <w:p w:rsidR="000E6DEB" w:rsidRPr="004E0F29" w:rsidRDefault="00D84616" w:rsidP="00434AF8">
      <w:pPr>
        <w:pStyle w:val="Heading1"/>
        <w:rPr>
          <w:lang w:val="fr-FR"/>
        </w:rPr>
      </w:pPr>
      <w:bookmarkStart w:id="2" w:name="_Toc109232372"/>
      <w:r w:rsidRPr="004E0F29">
        <w:rPr>
          <w:lang w:val="fr-FR"/>
        </w:rPr>
        <w:t>Informations g</w:t>
      </w:r>
      <w:r w:rsidR="00C372EE">
        <w:rPr>
          <w:lang w:val="fr-FR"/>
        </w:rPr>
        <w:t>é</w:t>
      </w:r>
      <w:r w:rsidRPr="004E0F29">
        <w:rPr>
          <w:lang w:val="fr-FR"/>
        </w:rPr>
        <w:t>n</w:t>
      </w:r>
      <w:r w:rsidR="00C372EE">
        <w:rPr>
          <w:lang w:val="fr-FR"/>
        </w:rPr>
        <w:t>é</w:t>
      </w:r>
      <w:r w:rsidR="00434AF8" w:rsidRPr="004E0F29">
        <w:rPr>
          <w:lang w:val="fr-FR"/>
        </w:rPr>
        <w:t>rales</w:t>
      </w:r>
      <w:bookmarkEnd w:id="2"/>
    </w:p>
    <w:p w:rsidR="000E6DEB" w:rsidRPr="004E0F29" w:rsidRDefault="000E6DEB" w:rsidP="003B4BB6">
      <w:pPr>
        <w:rPr>
          <w:lang w:val="fr-FR"/>
        </w:rPr>
      </w:pPr>
    </w:p>
    <w:p w:rsidR="000E6DEB" w:rsidRDefault="003B4BB6" w:rsidP="007D4D4A">
      <w:pPr>
        <w:rPr>
          <w:rFonts w:cs="Arial"/>
          <w:spacing w:val="-2"/>
          <w:lang w:val="fr-FR"/>
        </w:rPr>
      </w:pPr>
      <w:r w:rsidRPr="004E0F29">
        <w:rPr>
          <w:rFonts w:cs="Arial"/>
          <w:spacing w:val="-2"/>
          <w:lang w:val="fr-FR"/>
        </w:rPr>
        <w:fldChar w:fldCharType="begin"/>
      </w:r>
      <w:r w:rsidRPr="004E0F29">
        <w:rPr>
          <w:rFonts w:cs="Arial"/>
          <w:spacing w:val="-2"/>
          <w:lang w:val="fr-FR"/>
        </w:rPr>
        <w:instrText xml:space="preserve"> AUTONUM  </w:instrText>
      </w:r>
      <w:r w:rsidRPr="004E0F29">
        <w:rPr>
          <w:rFonts w:cs="Arial"/>
          <w:spacing w:val="-2"/>
          <w:lang w:val="fr-FR"/>
        </w:rPr>
        <w:fldChar w:fldCharType="end"/>
      </w:r>
      <w:r w:rsidRPr="004E0F29">
        <w:rPr>
          <w:rFonts w:cs="Arial"/>
          <w:spacing w:val="-2"/>
          <w:lang w:val="fr-FR"/>
        </w:rPr>
        <w:tab/>
      </w:r>
      <w:r w:rsidR="00434AF8" w:rsidRPr="004E0F29">
        <w:rPr>
          <w:rFonts w:cs="Arial"/>
          <w:spacing w:val="-2"/>
          <w:lang w:val="fr-FR"/>
        </w:rPr>
        <w:t>Les documents d</w:t>
      </w:r>
      <w:r w:rsidR="00653682" w:rsidRPr="004E0F29">
        <w:rPr>
          <w:rFonts w:cs="Arial"/>
          <w:spacing w:val="-2"/>
          <w:lang w:val="fr-FR"/>
        </w:rPr>
        <w:t>’</w:t>
      </w:r>
      <w:r w:rsidR="00434AF8" w:rsidRPr="004E0F29">
        <w:rPr>
          <w:rFonts w:cs="Arial"/>
          <w:spacing w:val="-2"/>
          <w:lang w:val="fr-FR"/>
        </w:rPr>
        <w:t>orientation et d</w:t>
      </w:r>
      <w:r w:rsidR="00653682" w:rsidRPr="004E0F29">
        <w:rPr>
          <w:rFonts w:cs="Arial"/>
          <w:spacing w:val="-2"/>
          <w:lang w:val="fr-FR"/>
        </w:rPr>
        <w:t>’</w:t>
      </w:r>
      <w:r w:rsidR="00434AF8" w:rsidRPr="004E0F29">
        <w:rPr>
          <w:rFonts w:cs="Arial"/>
          <w:spacing w:val="-2"/>
          <w:lang w:val="fr-FR"/>
        </w:rPr>
        <w:t>information approuvés sont publiés sur le site</w:t>
      </w:r>
      <w:r w:rsidR="002B477C" w:rsidRPr="004E0F29">
        <w:rPr>
          <w:rFonts w:cs="Arial"/>
          <w:spacing w:val="-2"/>
          <w:lang w:val="fr-FR"/>
        </w:rPr>
        <w:t> </w:t>
      </w:r>
      <w:r w:rsidR="00434AF8" w:rsidRPr="004E0F29">
        <w:rPr>
          <w:rFonts w:cs="Arial"/>
          <w:spacing w:val="-2"/>
          <w:lang w:val="fr-FR"/>
        </w:rPr>
        <w:t>Web de l</w:t>
      </w:r>
      <w:r w:rsidR="00653682" w:rsidRPr="004E0F29">
        <w:rPr>
          <w:rFonts w:cs="Arial"/>
          <w:spacing w:val="-2"/>
          <w:lang w:val="fr-FR"/>
        </w:rPr>
        <w:t>’</w:t>
      </w:r>
      <w:r w:rsidR="00434AF8" w:rsidRPr="004E0F29">
        <w:rPr>
          <w:rFonts w:cs="Arial"/>
          <w:spacing w:val="-2"/>
          <w:lang w:val="fr-FR"/>
        </w:rPr>
        <w:t>UPOV à l</w:t>
      </w:r>
      <w:r w:rsidR="00653682" w:rsidRPr="004E0F29">
        <w:rPr>
          <w:rFonts w:cs="Arial"/>
          <w:spacing w:val="-2"/>
          <w:lang w:val="fr-FR"/>
        </w:rPr>
        <w:t>’</w:t>
      </w:r>
      <w:r w:rsidR="00434AF8" w:rsidRPr="004E0F29">
        <w:rPr>
          <w:rFonts w:cs="Arial"/>
          <w:spacing w:val="-2"/>
          <w:lang w:val="fr-FR"/>
        </w:rPr>
        <w:t xml:space="preserve">adresse </w:t>
      </w:r>
      <w:hyperlink r:id="rId9" w:history="1">
        <w:r w:rsidR="00434AF8" w:rsidRPr="007D4D4A">
          <w:rPr>
            <w:rStyle w:val="Hyperlink"/>
            <w:rFonts w:cs="Arial"/>
            <w:lang w:val="fr-FR"/>
          </w:rPr>
          <w:t>http://www.upov.int/upov_collection/fr/</w:t>
        </w:r>
      </w:hyperlink>
      <w:r w:rsidR="00434AF8" w:rsidRPr="004E0F29">
        <w:rPr>
          <w:rFonts w:cs="Arial"/>
          <w:spacing w:val="-2"/>
          <w:lang w:val="fr-FR"/>
        </w:rPr>
        <w:t>.</w:t>
      </w:r>
    </w:p>
    <w:p w:rsidR="00B17FEA" w:rsidRDefault="00B17FEA" w:rsidP="007D4D4A">
      <w:pPr>
        <w:rPr>
          <w:rFonts w:cs="Arial"/>
          <w:spacing w:val="-2"/>
          <w:lang w:val="fr-FR"/>
        </w:rPr>
      </w:pPr>
    </w:p>
    <w:p w:rsidR="00B17FEA" w:rsidRDefault="00B17FEA" w:rsidP="007D4D4A">
      <w:pPr>
        <w:rPr>
          <w:rFonts w:cs="Arial"/>
          <w:spacing w:val="-2"/>
          <w:lang w:val="fr-FR"/>
        </w:rPr>
      </w:pPr>
    </w:p>
    <w:p w:rsidR="00B17FEA" w:rsidRDefault="00B17FEA" w:rsidP="007D4D4A">
      <w:pPr>
        <w:rPr>
          <w:rFonts w:cs="Arial"/>
          <w:spacing w:val="-2"/>
          <w:lang w:val="fr-FR"/>
        </w:rPr>
      </w:pPr>
    </w:p>
    <w:p w:rsidR="00B17FEA" w:rsidRPr="004E0F29" w:rsidRDefault="00B17FEA" w:rsidP="007D4D4A">
      <w:pPr>
        <w:rPr>
          <w:lang w:val="fr-FR"/>
        </w:rPr>
      </w:pPr>
    </w:p>
    <w:p w:rsidR="000E6DEB" w:rsidRPr="004E0F29" w:rsidRDefault="000E6DEB" w:rsidP="003B4BB6">
      <w:pPr>
        <w:rPr>
          <w:lang w:val="fr-FR"/>
        </w:rPr>
      </w:pPr>
    </w:p>
    <w:p w:rsidR="000E6DEB" w:rsidRPr="004E0F29" w:rsidRDefault="002571A3" w:rsidP="00434AF8">
      <w:pPr>
        <w:pStyle w:val="Heading1"/>
        <w:rPr>
          <w:lang w:val="fr-FR"/>
        </w:rPr>
      </w:pPr>
      <w:bookmarkStart w:id="3" w:name="_Toc109232373"/>
      <w:r w:rsidRPr="004E0F29">
        <w:rPr>
          <w:lang w:val="fr-FR"/>
        </w:rPr>
        <w:lastRenderedPageBreak/>
        <w:t>Questions propos</w:t>
      </w:r>
      <w:r w:rsidR="00C372EE">
        <w:rPr>
          <w:lang w:val="fr-FR"/>
        </w:rPr>
        <w:t>é</w:t>
      </w:r>
      <w:r w:rsidR="00434AF8" w:rsidRPr="004E0F29">
        <w:rPr>
          <w:lang w:val="fr-FR"/>
        </w:rPr>
        <w:t xml:space="preserve">es </w:t>
      </w:r>
      <w:r w:rsidR="00C372EE">
        <w:rPr>
          <w:lang w:val="fr-FR"/>
        </w:rPr>
        <w:t>p</w:t>
      </w:r>
      <w:r w:rsidRPr="004E0F29">
        <w:rPr>
          <w:lang w:val="fr-FR"/>
        </w:rPr>
        <w:t>our adoption par le Conseil</w:t>
      </w:r>
      <w:r w:rsidR="00434AF8" w:rsidRPr="004E0F29">
        <w:rPr>
          <w:lang w:val="fr-FR"/>
        </w:rPr>
        <w:t xml:space="preserve"> </w:t>
      </w:r>
      <w:r w:rsidR="00653682" w:rsidRPr="004E0F29">
        <w:rPr>
          <w:lang w:val="fr-FR"/>
        </w:rPr>
        <w:t>en 2022</w:t>
      </w:r>
      <w:bookmarkEnd w:id="3"/>
    </w:p>
    <w:p w:rsidR="000E6DEB" w:rsidRPr="004E0F29" w:rsidRDefault="000E6DEB" w:rsidP="004C7CD6">
      <w:pPr>
        <w:jc w:val="left"/>
        <w:rPr>
          <w:lang w:val="fr-FR"/>
        </w:rPr>
      </w:pPr>
    </w:p>
    <w:p w:rsidR="000E6DEB" w:rsidRPr="004E0F29" w:rsidRDefault="00434AF8" w:rsidP="00434AF8">
      <w:pPr>
        <w:pStyle w:val="Heading1"/>
        <w:rPr>
          <w:lang w:val="fr-FR"/>
        </w:rPr>
      </w:pPr>
      <w:bookmarkStart w:id="4" w:name="_Toc109232374"/>
      <w:r w:rsidRPr="004E0F29">
        <w:rPr>
          <w:lang w:val="fr-FR"/>
        </w:rPr>
        <w:t>Documents d</w:t>
      </w:r>
      <w:r w:rsidR="00653682" w:rsidRPr="004E0F29">
        <w:rPr>
          <w:lang w:val="fr-FR"/>
        </w:rPr>
        <w:t>’</w:t>
      </w:r>
      <w:r w:rsidRPr="004E0F29">
        <w:rPr>
          <w:lang w:val="fr-FR"/>
        </w:rPr>
        <w:t>information</w:t>
      </w:r>
      <w:bookmarkEnd w:id="4"/>
    </w:p>
    <w:p w:rsidR="000E6DEB" w:rsidRPr="004E0F29" w:rsidRDefault="000E6DEB" w:rsidP="003859A6">
      <w:pPr>
        <w:rPr>
          <w:lang w:val="fr-FR"/>
        </w:rPr>
      </w:pPr>
    </w:p>
    <w:p w:rsidR="000E6DEB" w:rsidRPr="004E0F29" w:rsidRDefault="00434AF8" w:rsidP="00434AF8">
      <w:pPr>
        <w:pStyle w:val="Heading2"/>
        <w:rPr>
          <w:lang w:val="fr-FR"/>
        </w:rPr>
      </w:pPr>
      <w:bookmarkStart w:id="5" w:name="_Toc109232375"/>
      <w:r w:rsidRPr="004E0F29">
        <w:rPr>
          <w:lang w:val="fr-FR"/>
        </w:rPr>
        <w:t xml:space="preserve">Révision du document UPOV/INF/16 “Logiciels échangeables” </w:t>
      </w:r>
      <w:r w:rsidR="007D4D4A">
        <w:rPr>
          <w:lang w:val="fr-FR"/>
        </w:rPr>
        <w:t>(document UPOV/INF/16/11 </w:t>
      </w:r>
      <w:r w:rsidRPr="004E0F29">
        <w:rPr>
          <w:lang w:val="fr-FR"/>
        </w:rPr>
        <w:t>Draft</w:t>
      </w:r>
      <w:r w:rsidR="004E0F29" w:rsidRPr="004E0F29">
        <w:rPr>
          <w:lang w:val="fr-FR"/>
        </w:rPr>
        <w:t> </w:t>
      </w:r>
      <w:r w:rsidRPr="004E0F29">
        <w:rPr>
          <w:lang w:val="fr-FR"/>
        </w:rPr>
        <w:t>1)</w:t>
      </w:r>
      <w:bookmarkEnd w:id="5"/>
    </w:p>
    <w:p w:rsidR="000E6DEB" w:rsidRPr="004E0F29" w:rsidRDefault="000E6DEB" w:rsidP="00002258">
      <w:pPr>
        <w:pStyle w:val="Heading2"/>
        <w:rPr>
          <w:lang w:val="fr-FR"/>
        </w:rPr>
      </w:pPr>
    </w:p>
    <w:p w:rsidR="000E6DEB" w:rsidRPr="004E0F29" w:rsidRDefault="00823C3A" w:rsidP="00434AF8">
      <w:pPr>
        <w:keepNext/>
        <w:rPr>
          <w:spacing w:val="-2"/>
          <w:lang w:val="fr-FR"/>
        </w:rPr>
      </w:pPr>
      <w:r w:rsidRPr="004E0F29">
        <w:rPr>
          <w:lang w:val="fr-FR"/>
        </w:rPr>
        <w:fldChar w:fldCharType="begin"/>
      </w:r>
      <w:r w:rsidRPr="004E0F29">
        <w:rPr>
          <w:lang w:val="fr-FR"/>
        </w:rPr>
        <w:instrText xml:space="preserve"> AUTONUM  </w:instrText>
      </w:r>
      <w:r w:rsidRPr="004E0F29">
        <w:rPr>
          <w:lang w:val="fr-FR"/>
        </w:rPr>
        <w:fldChar w:fldCharType="end"/>
      </w:r>
      <w:r w:rsidRPr="004E0F29">
        <w:rPr>
          <w:lang w:val="fr-FR"/>
        </w:rPr>
        <w:tab/>
      </w:r>
      <w:r w:rsidR="00434AF8" w:rsidRPr="004E0F29">
        <w:rPr>
          <w:lang w:val="fr-FR"/>
        </w:rPr>
        <w:t>Le</w:t>
      </w:r>
      <w:r w:rsidR="00653682" w:rsidRPr="004E0F29">
        <w:rPr>
          <w:lang w:val="fr-FR"/>
        </w:rPr>
        <w:t> TC</w:t>
      </w:r>
      <w:r w:rsidR="00434AF8" w:rsidRPr="004E0F29">
        <w:rPr>
          <w:lang w:val="fr-FR"/>
        </w:rPr>
        <w:t xml:space="preserve"> et</w:t>
      </w:r>
      <w:r w:rsidR="00653682" w:rsidRPr="004E0F29">
        <w:rPr>
          <w:lang w:val="fr-FR"/>
        </w:rPr>
        <w:t xml:space="preserve"> le CAJ</w:t>
      </w:r>
      <w:r w:rsidR="00434AF8" w:rsidRPr="004E0F29">
        <w:rPr>
          <w:lang w:val="fr-FR"/>
        </w:rPr>
        <w:t xml:space="preserve"> seront invités à approuver les propositions de révision du document UPOV/INF/16/10 “Logiciels échangeables”, qui figurent dans le document UPOV/INF/16/11</w:t>
      </w:r>
      <w:r w:rsidR="007D4D4A">
        <w:rPr>
          <w:lang w:val="fr-FR"/>
        </w:rPr>
        <w:t> </w:t>
      </w:r>
      <w:r w:rsidR="00434AF8" w:rsidRPr="004E0F29">
        <w:rPr>
          <w:lang w:val="fr-FR"/>
        </w:rPr>
        <w:t>Draft</w:t>
      </w:r>
      <w:r w:rsidR="004E0F29" w:rsidRPr="004E0F29">
        <w:rPr>
          <w:lang w:val="fr-FR"/>
        </w:rPr>
        <w:t> </w:t>
      </w:r>
      <w:r w:rsidR="00434AF8" w:rsidRPr="004E0F29">
        <w:rPr>
          <w:lang w:val="fr-FR"/>
        </w:rPr>
        <w:t>1.</w:t>
      </w:r>
    </w:p>
    <w:p w:rsidR="000E6DEB" w:rsidRPr="004E0F29" w:rsidRDefault="000E6DEB" w:rsidP="00823C3A">
      <w:pPr>
        <w:keepNext/>
        <w:rPr>
          <w:spacing w:val="-2"/>
          <w:lang w:val="fr-FR"/>
        </w:rPr>
      </w:pPr>
    </w:p>
    <w:p w:rsidR="000E6DEB" w:rsidRPr="004E0F29" w:rsidRDefault="003E1732" w:rsidP="00434AF8">
      <w:pPr>
        <w:keepNext/>
        <w:rPr>
          <w:lang w:val="fr-FR"/>
        </w:rPr>
      </w:pPr>
      <w:r w:rsidRPr="004E0F29">
        <w:rPr>
          <w:snapToGrid w:val="0"/>
          <w:lang w:val="fr-FR"/>
        </w:rPr>
        <w:fldChar w:fldCharType="begin"/>
      </w:r>
      <w:r w:rsidRPr="004E0F29">
        <w:rPr>
          <w:snapToGrid w:val="0"/>
          <w:lang w:val="fr-FR"/>
        </w:rPr>
        <w:instrText xml:space="preserve"> AUTONUM  </w:instrText>
      </w:r>
      <w:r w:rsidRPr="004E0F29">
        <w:rPr>
          <w:snapToGrid w:val="0"/>
          <w:lang w:val="fr-FR"/>
        </w:rPr>
        <w:fldChar w:fldCharType="end"/>
      </w:r>
      <w:r w:rsidRPr="004E0F29">
        <w:rPr>
          <w:snapToGrid w:val="0"/>
          <w:lang w:val="fr-FR"/>
        </w:rPr>
        <w:tab/>
      </w:r>
      <w:r w:rsidR="00434AF8" w:rsidRPr="004E0F29">
        <w:rPr>
          <w:snapToGrid w:val="0"/>
          <w:lang w:val="fr-FR"/>
        </w:rPr>
        <w:t xml:space="preserve">La </w:t>
      </w:r>
      <w:r w:rsidR="00653682" w:rsidRPr="004E0F29">
        <w:rPr>
          <w:snapToGrid w:val="0"/>
          <w:lang w:val="fr-FR"/>
        </w:rPr>
        <w:t>section 4</w:t>
      </w:r>
      <w:r w:rsidR="00434AF8" w:rsidRPr="004E0F29">
        <w:rPr>
          <w:snapToGrid w:val="0"/>
          <w:lang w:val="fr-FR"/>
        </w:rPr>
        <w:t xml:space="preserve"> du document UPOV/INF/16 “Logiciels échangeables” est ainsi libellée</w:t>
      </w:r>
      <w:r w:rsidR="00653682" w:rsidRPr="004E0F29">
        <w:rPr>
          <w:snapToGrid w:val="0"/>
          <w:lang w:val="fr-FR"/>
        </w:rPr>
        <w:t> :</w:t>
      </w:r>
    </w:p>
    <w:p w:rsidR="000E6DEB" w:rsidRPr="004E0F29" w:rsidRDefault="000E6DEB" w:rsidP="003E1732">
      <w:pPr>
        <w:keepNext/>
        <w:rPr>
          <w:lang w:val="fr-FR"/>
        </w:rPr>
      </w:pPr>
    </w:p>
    <w:p w:rsidR="000E6DEB" w:rsidRPr="004E0F29" w:rsidRDefault="00434AF8" w:rsidP="00434AF8">
      <w:pPr>
        <w:keepNext/>
        <w:ind w:left="567" w:right="566"/>
        <w:rPr>
          <w:snapToGrid w:val="0"/>
          <w:sz w:val="18"/>
          <w:szCs w:val="18"/>
          <w:u w:val="single"/>
          <w:lang w:val="fr-FR"/>
        </w:rPr>
      </w:pPr>
      <w:r w:rsidRPr="004E0F29">
        <w:rPr>
          <w:snapToGrid w:val="0"/>
          <w:sz w:val="18"/>
          <w:szCs w:val="18"/>
          <w:lang w:val="fr-FR"/>
        </w:rPr>
        <w:t xml:space="preserve">“4. </w:t>
      </w:r>
      <w:r w:rsidR="007D4D4A">
        <w:rPr>
          <w:snapToGrid w:val="0"/>
          <w:sz w:val="18"/>
          <w:szCs w:val="18"/>
          <w:lang w:val="fr-FR"/>
        </w:rPr>
        <w:tab/>
      </w:r>
      <w:r w:rsidRPr="004E0F29">
        <w:rPr>
          <w:snapToGrid w:val="0"/>
          <w:sz w:val="18"/>
          <w:szCs w:val="18"/>
          <w:u w:val="single"/>
          <w:lang w:val="fr-FR"/>
        </w:rPr>
        <w:t>Renseignements sur l</w:t>
      </w:r>
      <w:r w:rsidR="00653682" w:rsidRPr="004E0F29">
        <w:rPr>
          <w:snapToGrid w:val="0"/>
          <w:sz w:val="18"/>
          <w:szCs w:val="18"/>
          <w:u w:val="single"/>
          <w:lang w:val="fr-FR"/>
        </w:rPr>
        <w:t>’</w:t>
      </w:r>
      <w:r w:rsidRPr="004E0F29">
        <w:rPr>
          <w:snapToGrid w:val="0"/>
          <w:sz w:val="18"/>
          <w:szCs w:val="18"/>
          <w:u w:val="single"/>
          <w:lang w:val="fr-FR"/>
        </w:rPr>
        <w:t>utilisation des logiciels par les membres de l</w:t>
      </w:r>
      <w:r w:rsidR="00653682" w:rsidRPr="004E0F29">
        <w:rPr>
          <w:snapToGrid w:val="0"/>
          <w:sz w:val="18"/>
          <w:szCs w:val="18"/>
          <w:u w:val="single"/>
          <w:lang w:val="fr-FR"/>
        </w:rPr>
        <w:t>’</w:t>
      </w:r>
      <w:r w:rsidRPr="004E0F29">
        <w:rPr>
          <w:snapToGrid w:val="0"/>
          <w:sz w:val="18"/>
          <w:szCs w:val="18"/>
          <w:u w:val="single"/>
          <w:lang w:val="fr-FR"/>
        </w:rPr>
        <w:t>Union</w:t>
      </w:r>
    </w:p>
    <w:p w:rsidR="000E6DEB" w:rsidRPr="004E0F29" w:rsidRDefault="000E6DEB" w:rsidP="003E1732">
      <w:pPr>
        <w:keepNext/>
        <w:ind w:left="567" w:right="566"/>
        <w:rPr>
          <w:snapToGrid w:val="0"/>
          <w:sz w:val="16"/>
          <w:szCs w:val="18"/>
          <w:lang w:val="fr-FR"/>
        </w:rPr>
      </w:pPr>
    </w:p>
    <w:p w:rsidR="000E6DEB" w:rsidRPr="004E0F29" w:rsidRDefault="007D4D4A" w:rsidP="00434AF8">
      <w:pPr>
        <w:ind w:left="567" w:right="566"/>
        <w:rPr>
          <w:snapToGrid w:val="0"/>
          <w:sz w:val="18"/>
          <w:szCs w:val="18"/>
          <w:lang w:val="fr-FR"/>
        </w:rPr>
      </w:pPr>
      <w:r>
        <w:rPr>
          <w:snapToGrid w:val="0"/>
          <w:sz w:val="18"/>
          <w:szCs w:val="18"/>
          <w:lang w:val="fr-FR"/>
        </w:rPr>
        <w:t>“</w:t>
      </w:r>
      <w:r w:rsidR="00434AF8" w:rsidRPr="004E0F29">
        <w:rPr>
          <w:snapToGrid w:val="0"/>
          <w:sz w:val="18"/>
          <w:szCs w:val="18"/>
          <w:lang w:val="fr-FR"/>
        </w:rPr>
        <w:t xml:space="preserve">4.1 </w:t>
      </w:r>
      <w:r>
        <w:rPr>
          <w:snapToGrid w:val="0"/>
          <w:sz w:val="18"/>
          <w:szCs w:val="18"/>
          <w:lang w:val="fr-FR"/>
        </w:rPr>
        <w:tab/>
      </w:r>
      <w:r w:rsidR="00434AF8" w:rsidRPr="004E0F29">
        <w:rPr>
          <w:snapToGrid w:val="0"/>
          <w:sz w:val="18"/>
          <w:szCs w:val="18"/>
          <w:lang w:val="fr-FR"/>
        </w:rPr>
        <w:t>Une circulaire est diffusée aux membres de l</w:t>
      </w:r>
      <w:r w:rsidR="00653682" w:rsidRPr="004E0F29">
        <w:rPr>
          <w:snapToGrid w:val="0"/>
          <w:sz w:val="18"/>
          <w:szCs w:val="18"/>
          <w:lang w:val="fr-FR"/>
        </w:rPr>
        <w:t>’</w:t>
      </w:r>
      <w:r w:rsidR="00434AF8" w:rsidRPr="004E0F29">
        <w:rPr>
          <w:snapToGrid w:val="0"/>
          <w:sz w:val="18"/>
          <w:szCs w:val="18"/>
          <w:lang w:val="fr-FR"/>
        </w:rPr>
        <w:t>Union chaque année, en vue de les inviter à donner des renseignements sur leur utilisation des logiciels figurant dans le document UPOV/INF/16.</w:t>
      </w:r>
    </w:p>
    <w:p w:rsidR="000E6DEB" w:rsidRPr="004E0F29" w:rsidRDefault="000E6DEB" w:rsidP="003E1732">
      <w:pPr>
        <w:ind w:left="567" w:right="566"/>
        <w:rPr>
          <w:snapToGrid w:val="0"/>
          <w:sz w:val="14"/>
          <w:szCs w:val="18"/>
          <w:lang w:val="fr-FR" w:eastAsia="ja-JP"/>
        </w:rPr>
      </w:pPr>
    </w:p>
    <w:p w:rsidR="00653682" w:rsidRPr="004E0F29" w:rsidRDefault="007D4D4A" w:rsidP="00434AF8">
      <w:pPr>
        <w:ind w:left="567" w:right="566"/>
        <w:rPr>
          <w:snapToGrid w:val="0"/>
          <w:spacing w:val="-2"/>
          <w:sz w:val="18"/>
          <w:szCs w:val="18"/>
          <w:lang w:val="fr-FR"/>
        </w:rPr>
      </w:pPr>
      <w:r>
        <w:rPr>
          <w:snapToGrid w:val="0"/>
          <w:spacing w:val="-2"/>
          <w:sz w:val="18"/>
          <w:szCs w:val="18"/>
          <w:lang w:val="fr-FR"/>
        </w:rPr>
        <w:t>“</w:t>
      </w:r>
      <w:r w:rsidR="00434AF8" w:rsidRPr="004E0F29">
        <w:rPr>
          <w:snapToGrid w:val="0"/>
          <w:spacing w:val="-2"/>
          <w:sz w:val="18"/>
          <w:szCs w:val="18"/>
          <w:lang w:val="fr-FR"/>
        </w:rPr>
        <w:t xml:space="preserve">4.2 </w:t>
      </w:r>
      <w:r>
        <w:rPr>
          <w:snapToGrid w:val="0"/>
          <w:spacing w:val="-2"/>
          <w:sz w:val="18"/>
          <w:szCs w:val="18"/>
          <w:lang w:val="fr-FR"/>
        </w:rPr>
        <w:tab/>
      </w:r>
      <w:r w:rsidR="00434AF8" w:rsidRPr="004E0F29">
        <w:rPr>
          <w:snapToGrid w:val="0"/>
          <w:spacing w:val="-2"/>
          <w:sz w:val="18"/>
          <w:szCs w:val="18"/>
          <w:lang w:val="fr-FR"/>
        </w:rPr>
        <w:t>Les renseignements sur l</w:t>
      </w:r>
      <w:r w:rsidR="00653682" w:rsidRPr="004E0F29">
        <w:rPr>
          <w:snapToGrid w:val="0"/>
          <w:spacing w:val="-2"/>
          <w:sz w:val="18"/>
          <w:szCs w:val="18"/>
          <w:lang w:val="fr-FR"/>
        </w:rPr>
        <w:t>’</w:t>
      </w:r>
      <w:r w:rsidR="00434AF8" w:rsidRPr="004E0F29">
        <w:rPr>
          <w:snapToGrid w:val="0"/>
          <w:spacing w:val="-2"/>
          <w:sz w:val="18"/>
          <w:szCs w:val="18"/>
          <w:lang w:val="fr-FR"/>
        </w:rPr>
        <w:t>utilisation des logiciels par les membres de l</w:t>
      </w:r>
      <w:r w:rsidR="00653682" w:rsidRPr="004E0F29">
        <w:rPr>
          <w:snapToGrid w:val="0"/>
          <w:spacing w:val="-2"/>
          <w:sz w:val="18"/>
          <w:szCs w:val="18"/>
          <w:lang w:val="fr-FR"/>
        </w:rPr>
        <w:t>’</w:t>
      </w:r>
      <w:r w:rsidR="00434AF8" w:rsidRPr="004E0F29">
        <w:rPr>
          <w:snapToGrid w:val="0"/>
          <w:spacing w:val="-2"/>
          <w:sz w:val="18"/>
          <w:szCs w:val="18"/>
          <w:lang w:val="fr-FR"/>
        </w:rPr>
        <w:t>Union sont indiqués dans les colonnes “Membre(s) de l</w:t>
      </w:r>
      <w:r w:rsidR="00653682" w:rsidRPr="004E0F29">
        <w:rPr>
          <w:snapToGrid w:val="0"/>
          <w:spacing w:val="-2"/>
          <w:sz w:val="18"/>
          <w:szCs w:val="18"/>
          <w:lang w:val="fr-FR"/>
        </w:rPr>
        <w:t>’</w:t>
      </w:r>
      <w:r w:rsidR="00434AF8" w:rsidRPr="004E0F29">
        <w:rPr>
          <w:snapToGrid w:val="0"/>
          <w:spacing w:val="-2"/>
          <w:sz w:val="18"/>
          <w:szCs w:val="18"/>
          <w:lang w:val="fr-FR"/>
        </w:rPr>
        <w:t>UPOV utilisant le logiciel” et “Application par l</w:t>
      </w:r>
      <w:r w:rsidR="00653682" w:rsidRPr="004E0F29">
        <w:rPr>
          <w:snapToGrid w:val="0"/>
          <w:spacing w:val="-2"/>
          <w:sz w:val="18"/>
          <w:szCs w:val="18"/>
          <w:lang w:val="fr-FR"/>
        </w:rPr>
        <w:t>’</w:t>
      </w:r>
      <w:r w:rsidR="00434AF8" w:rsidRPr="004E0F29">
        <w:rPr>
          <w:snapToGrid w:val="0"/>
          <w:spacing w:val="-2"/>
          <w:sz w:val="18"/>
          <w:szCs w:val="18"/>
          <w:lang w:val="fr-FR"/>
        </w:rPr>
        <w:t>(les) utilisateur(s)”.</w:t>
      </w:r>
      <w:r w:rsidR="003E1732" w:rsidRPr="004E0F29">
        <w:rPr>
          <w:snapToGrid w:val="0"/>
          <w:spacing w:val="-2"/>
          <w:sz w:val="18"/>
          <w:szCs w:val="18"/>
          <w:lang w:val="fr-FR"/>
        </w:rPr>
        <w:t xml:space="preserve">  </w:t>
      </w:r>
      <w:r w:rsidR="00434AF8" w:rsidRPr="004E0F29">
        <w:rPr>
          <w:snapToGrid w:val="0"/>
          <w:spacing w:val="-2"/>
          <w:sz w:val="18"/>
          <w:szCs w:val="18"/>
          <w:lang w:val="fr-FR"/>
        </w:rPr>
        <w:t>En ce qui concerne la colonne “Application par l</w:t>
      </w:r>
      <w:r w:rsidR="00653682" w:rsidRPr="004E0F29">
        <w:rPr>
          <w:snapToGrid w:val="0"/>
          <w:spacing w:val="-2"/>
          <w:sz w:val="18"/>
          <w:szCs w:val="18"/>
          <w:lang w:val="fr-FR"/>
        </w:rPr>
        <w:t>’</w:t>
      </w:r>
      <w:r w:rsidR="00434AF8" w:rsidRPr="004E0F29">
        <w:rPr>
          <w:snapToGrid w:val="0"/>
          <w:spacing w:val="-2"/>
          <w:sz w:val="18"/>
          <w:szCs w:val="18"/>
          <w:lang w:val="fr-FR"/>
        </w:rPr>
        <w:t>(les) utilisateur(s)”, les membres de l</w:t>
      </w:r>
      <w:r w:rsidR="00653682" w:rsidRPr="004E0F29">
        <w:rPr>
          <w:snapToGrid w:val="0"/>
          <w:spacing w:val="-2"/>
          <w:sz w:val="18"/>
          <w:szCs w:val="18"/>
          <w:lang w:val="fr-FR"/>
        </w:rPr>
        <w:t>’</w:t>
      </w:r>
      <w:r w:rsidR="00434AF8" w:rsidRPr="004E0F29">
        <w:rPr>
          <w:snapToGrid w:val="0"/>
          <w:spacing w:val="-2"/>
          <w:sz w:val="18"/>
          <w:szCs w:val="18"/>
          <w:lang w:val="fr-FR"/>
        </w:rPr>
        <w:t>Union peuvent indiquer, par exemple, les cultures ou les types de cultures pour lesquels les logiciels sont utilisés”.</w:t>
      </w:r>
    </w:p>
    <w:p w:rsidR="000E6DEB" w:rsidRPr="004E0F29" w:rsidRDefault="000E6DEB" w:rsidP="00823C3A">
      <w:pPr>
        <w:rPr>
          <w:lang w:val="fr-FR"/>
        </w:rPr>
      </w:pPr>
    </w:p>
    <w:p w:rsidR="000E6DEB" w:rsidRPr="004E0F29" w:rsidRDefault="00823C3A" w:rsidP="00434AF8">
      <w:pPr>
        <w:keepNext/>
        <w:tabs>
          <w:tab w:val="left" w:pos="5387"/>
          <w:tab w:val="left" w:pos="5954"/>
        </w:tabs>
        <w:ind w:left="4820"/>
        <w:rPr>
          <w:i/>
          <w:lang w:val="fr-FR"/>
        </w:rPr>
      </w:pPr>
      <w:r w:rsidRPr="004E0F29">
        <w:rPr>
          <w:i/>
          <w:lang w:val="fr-FR"/>
        </w:rPr>
        <w:fldChar w:fldCharType="begin"/>
      </w:r>
      <w:r w:rsidRPr="004E0F29">
        <w:rPr>
          <w:i/>
          <w:lang w:val="fr-FR"/>
        </w:rPr>
        <w:instrText xml:space="preserve"> AUTONUM  </w:instrText>
      </w:r>
      <w:r w:rsidRPr="004E0F29">
        <w:rPr>
          <w:i/>
          <w:lang w:val="fr-FR"/>
        </w:rPr>
        <w:fldChar w:fldCharType="end"/>
      </w:r>
      <w:r w:rsidRPr="004E0F29">
        <w:rPr>
          <w:i/>
          <w:lang w:val="fr-FR"/>
        </w:rPr>
        <w:tab/>
      </w:r>
      <w:r w:rsidR="00434AF8" w:rsidRPr="004E0F29">
        <w:rPr>
          <w:i/>
          <w:lang w:val="fr-FR"/>
        </w:rPr>
        <w:t>Le CAJ est invité</w:t>
      </w:r>
      <w:r w:rsidR="00872F92">
        <w:rPr>
          <w:i/>
          <w:lang w:val="fr-FR"/>
        </w:rPr>
        <w:t xml:space="preserve"> à :</w:t>
      </w:r>
    </w:p>
    <w:p w:rsidR="000E6DEB" w:rsidRPr="004E0F29" w:rsidRDefault="000E6DEB" w:rsidP="003E1732">
      <w:pPr>
        <w:keepNext/>
        <w:tabs>
          <w:tab w:val="left" w:pos="5387"/>
          <w:tab w:val="left" w:pos="5954"/>
        </w:tabs>
        <w:ind w:left="4820"/>
        <w:rPr>
          <w:i/>
          <w:lang w:val="fr-FR"/>
        </w:rPr>
      </w:pPr>
    </w:p>
    <w:p w:rsidR="000E6DEB" w:rsidRPr="004E0F29" w:rsidRDefault="003E1732" w:rsidP="00434AF8">
      <w:pPr>
        <w:pStyle w:val="DecisionParagraphs"/>
        <w:rPr>
          <w:lang w:val="fr-FR"/>
        </w:rPr>
      </w:pPr>
      <w:r w:rsidRPr="004E0F29">
        <w:rPr>
          <w:lang w:val="fr-FR"/>
        </w:rPr>
        <w:tab/>
      </w:r>
      <w:r w:rsidR="00434AF8" w:rsidRPr="004E0F29">
        <w:rPr>
          <w:lang w:val="fr-FR"/>
        </w:rPr>
        <w:t xml:space="preserve">a) </w:t>
      </w:r>
      <w:r w:rsidR="007D4D4A">
        <w:rPr>
          <w:lang w:val="fr-FR"/>
        </w:rPr>
        <w:tab/>
      </w:r>
      <w:r w:rsidR="00434AF8" w:rsidRPr="004E0F29">
        <w:rPr>
          <w:lang w:val="fr-FR"/>
        </w:rPr>
        <w:t xml:space="preserve">approuver la proposition de révision du document UPOV/INF/16 “Logiciels échangeables” sur la </w:t>
      </w:r>
      <w:r w:rsidR="007D4D4A">
        <w:rPr>
          <w:lang w:val="fr-FR"/>
        </w:rPr>
        <w:t>base du document UPOV/INF/16/11 </w:t>
      </w:r>
      <w:r w:rsidR="00434AF8" w:rsidRPr="004E0F29">
        <w:rPr>
          <w:lang w:val="fr-FR"/>
        </w:rPr>
        <w:t>Draft</w:t>
      </w:r>
      <w:r w:rsidR="004E0F29" w:rsidRPr="004E0F29">
        <w:rPr>
          <w:lang w:val="fr-FR"/>
        </w:rPr>
        <w:t> </w:t>
      </w:r>
      <w:r w:rsidR="00434AF8" w:rsidRPr="004E0F29">
        <w:rPr>
          <w:lang w:val="fr-FR"/>
        </w:rPr>
        <w:t>1</w:t>
      </w:r>
      <w:r w:rsidR="00872F92">
        <w:rPr>
          <w:lang w:val="fr-FR"/>
        </w:rPr>
        <w:t> ;</w:t>
      </w:r>
      <w:r w:rsidR="00434AF8" w:rsidRPr="004E0F29">
        <w:rPr>
          <w:lang w:val="fr-FR"/>
        </w:rPr>
        <w:t xml:space="preserve"> et</w:t>
      </w:r>
    </w:p>
    <w:p w:rsidR="000E6DEB" w:rsidRPr="004E0F29" w:rsidRDefault="000E6DEB" w:rsidP="003E1732">
      <w:pPr>
        <w:pStyle w:val="DecisionParagraphs"/>
        <w:rPr>
          <w:lang w:val="fr-FR"/>
        </w:rPr>
      </w:pPr>
    </w:p>
    <w:p w:rsidR="000E6DEB" w:rsidRPr="004E0F29" w:rsidRDefault="003E1732" w:rsidP="00434AF8">
      <w:pPr>
        <w:pStyle w:val="DecisionParagraphs"/>
        <w:rPr>
          <w:lang w:val="fr-FR"/>
        </w:rPr>
      </w:pPr>
      <w:r w:rsidRPr="004E0F29">
        <w:rPr>
          <w:lang w:val="fr-FR"/>
        </w:rPr>
        <w:tab/>
      </w:r>
      <w:r w:rsidR="00434AF8" w:rsidRPr="004E0F29">
        <w:rPr>
          <w:lang w:val="fr-FR"/>
        </w:rPr>
        <w:t xml:space="preserve">b) </w:t>
      </w:r>
      <w:r w:rsidR="007D4D4A">
        <w:rPr>
          <w:lang w:val="fr-FR"/>
        </w:rPr>
        <w:tab/>
      </w:r>
      <w:r w:rsidR="00434AF8" w:rsidRPr="004E0F29">
        <w:rPr>
          <w:lang w:val="fr-FR"/>
        </w:rPr>
        <w:t>noter que, sous réserve de l</w:t>
      </w:r>
      <w:r w:rsidR="00653682" w:rsidRPr="004E0F29">
        <w:rPr>
          <w:lang w:val="fr-FR"/>
        </w:rPr>
        <w:t>’</w:t>
      </w:r>
      <w:r w:rsidR="00434AF8" w:rsidRPr="004E0F29">
        <w:rPr>
          <w:lang w:val="fr-FR"/>
        </w:rPr>
        <w:t>accord du</w:t>
      </w:r>
      <w:r w:rsidR="00653682" w:rsidRPr="004E0F29">
        <w:rPr>
          <w:lang w:val="fr-FR"/>
        </w:rPr>
        <w:t> TC</w:t>
      </w:r>
      <w:r w:rsidR="00434AF8" w:rsidRPr="004E0F29">
        <w:rPr>
          <w:lang w:val="fr-FR"/>
        </w:rPr>
        <w:t xml:space="preserve"> et</w:t>
      </w:r>
      <w:r w:rsidR="00653682" w:rsidRPr="004E0F29">
        <w:rPr>
          <w:lang w:val="fr-FR"/>
        </w:rPr>
        <w:t xml:space="preserve"> du CAJ</w:t>
      </w:r>
      <w:r w:rsidR="00434AF8" w:rsidRPr="004E0F29">
        <w:rPr>
          <w:lang w:val="fr-FR"/>
        </w:rPr>
        <w:t xml:space="preserve">, un projet approuvé du document UPOV/INF/16 sera présenté </w:t>
      </w:r>
      <w:r w:rsidR="002571A3" w:rsidRPr="004E0F29">
        <w:rPr>
          <w:lang w:val="fr-FR"/>
        </w:rPr>
        <w:t xml:space="preserve">pour adoption par le Conseil </w:t>
      </w:r>
      <w:r w:rsidR="00653682" w:rsidRPr="004E0F29">
        <w:rPr>
          <w:lang w:val="fr-FR"/>
        </w:rPr>
        <w:t>en 2022</w:t>
      </w:r>
      <w:r w:rsidR="00434AF8" w:rsidRPr="004E0F29">
        <w:rPr>
          <w:lang w:val="fr-FR"/>
        </w:rPr>
        <w:t>.</w:t>
      </w:r>
    </w:p>
    <w:p w:rsidR="000E6DEB" w:rsidRPr="00CF63CE" w:rsidRDefault="000E6DEB" w:rsidP="00823C3A">
      <w:pPr>
        <w:rPr>
          <w:lang w:val="fr-FR"/>
        </w:rPr>
      </w:pPr>
    </w:p>
    <w:p w:rsidR="000E6DEB" w:rsidRPr="004E0F29" w:rsidRDefault="00434AF8" w:rsidP="00434AF8">
      <w:pPr>
        <w:pStyle w:val="Heading2"/>
        <w:rPr>
          <w:lang w:val="fr-FR"/>
        </w:rPr>
      </w:pPr>
      <w:bookmarkStart w:id="6" w:name="_Toc109232376"/>
      <w:r w:rsidRPr="004E0F29">
        <w:rPr>
          <w:lang w:val="fr-FR"/>
        </w:rPr>
        <w:t>Révision du document UPOV/INF/22 “Logiciels et équipements utilisés par les membres de l</w:t>
      </w:r>
      <w:r w:rsidR="00653682" w:rsidRPr="004E0F29">
        <w:rPr>
          <w:lang w:val="fr-FR"/>
        </w:rPr>
        <w:t>’</w:t>
      </w:r>
      <w:r w:rsidR="00CF63CE">
        <w:rPr>
          <w:lang w:val="fr-FR"/>
        </w:rPr>
        <w:t>Union” (document UPOV/INF/22/9 </w:t>
      </w:r>
      <w:r w:rsidRPr="004E0F29">
        <w:rPr>
          <w:lang w:val="fr-FR"/>
        </w:rPr>
        <w:t>Draft</w:t>
      </w:r>
      <w:r w:rsidR="004E0F29" w:rsidRPr="004E0F29">
        <w:rPr>
          <w:lang w:val="fr-FR"/>
        </w:rPr>
        <w:t> </w:t>
      </w:r>
      <w:r w:rsidRPr="004E0F29">
        <w:rPr>
          <w:lang w:val="fr-FR"/>
        </w:rPr>
        <w:t>1)</w:t>
      </w:r>
      <w:bookmarkEnd w:id="6"/>
    </w:p>
    <w:p w:rsidR="000E6DEB" w:rsidRPr="004E0F29" w:rsidRDefault="000E6DEB" w:rsidP="004C7CD6">
      <w:pPr>
        <w:rPr>
          <w:lang w:val="fr-FR"/>
        </w:rPr>
      </w:pPr>
    </w:p>
    <w:p w:rsidR="000E6DEB" w:rsidRPr="004E0F29" w:rsidRDefault="00823C3A" w:rsidP="00434AF8">
      <w:pPr>
        <w:keepNext/>
        <w:rPr>
          <w:lang w:val="fr-FR"/>
        </w:rPr>
      </w:pPr>
      <w:r w:rsidRPr="004E0F29">
        <w:rPr>
          <w:lang w:val="fr-FR"/>
        </w:rPr>
        <w:fldChar w:fldCharType="begin"/>
      </w:r>
      <w:r w:rsidRPr="004E0F29">
        <w:rPr>
          <w:lang w:val="fr-FR"/>
        </w:rPr>
        <w:instrText xml:space="preserve"> AUTONUM  </w:instrText>
      </w:r>
      <w:r w:rsidRPr="004E0F29">
        <w:rPr>
          <w:lang w:val="fr-FR"/>
        </w:rPr>
        <w:fldChar w:fldCharType="end"/>
      </w:r>
      <w:r w:rsidRPr="004E0F29">
        <w:rPr>
          <w:lang w:val="fr-FR"/>
        </w:rPr>
        <w:tab/>
      </w:r>
      <w:r w:rsidR="00434AF8" w:rsidRPr="004E0F29">
        <w:rPr>
          <w:lang w:val="fr-FR"/>
        </w:rPr>
        <w:t>Le</w:t>
      </w:r>
      <w:r w:rsidR="00653682" w:rsidRPr="004E0F29">
        <w:rPr>
          <w:lang w:val="fr-FR"/>
        </w:rPr>
        <w:t> TC</w:t>
      </w:r>
      <w:r w:rsidR="00434AF8" w:rsidRPr="004E0F29">
        <w:rPr>
          <w:lang w:val="fr-FR"/>
        </w:rPr>
        <w:t xml:space="preserve"> et</w:t>
      </w:r>
      <w:r w:rsidR="00653682" w:rsidRPr="004E0F29">
        <w:rPr>
          <w:lang w:val="fr-FR"/>
        </w:rPr>
        <w:t xml:space="preserve"> le CAJ</w:t>
      </w:r>
      <w:r w:rsidR="00434AF8" w:rsidRPr="004E0F29">
        <w:rPr>
          <w:lang w:val="fr-FR"/>
        </w:rPr>
        <w:t xml:space="preserve"> seront invités à approuver les propositions de révision du document UPOV/INF/22/8 “Logiciels et équipements utilisés par les membres de l</w:t>
      </w:r>
      <w:r w:rsidR="00653682" w:rsidRPr="004E0F29">
        <w:rPr>
          <w:lang w:val="fr-FR"/>
        </w:rPr>
        <w:t>’</w:t>
      </w:r>
      <w:r w:rsidR="00434AF8" w:rsidRPr="004E0F29">
        <w:rPr>
          <w:lang w:val="fr-FR"/>
        </w:rPr>
        <w:t>Union”, qui figurent</w:t>
      </w:r>
      <w:r w:rsidR="007D4D4A">
        <w:rPr>
          <w:lang w:val="fr-FR"/>
        </w:rPr>
        <w:t xml:space="preserve"> dans le document UPOV/INF/22/9 </w:t>
      </w:r>
      <w:r w:rsidR="00434AF8" w:rsidRPr="004E0F29">
        <w:rPr>
          <w:lang w:val="fr-FR"/>
        </w:rPr>
        <w:t>Draft</w:t>
      </w:r>
      <w:r w:rsidR="004E0F29" w:rsidRPr="004E0F29">
        <w:rPr>
          <w:lang w:val="fr-FR"/>
        </w:rPr>
        <w:t> </w:t>
      </w:r>
      <w:r w:rsidR="00434AF8" w:rsidRPr="004E0F29">
        <w:rPr>
          <w:lang w:val="fr-FR"/>
        </w:rPr>
        <w:t>1.</w:t>
      </w:r>
    </w:p>
    <w:p w:rsidR="000E6DEB" w:rsidRPr="004E0F29" w:rsidRDefault="000E6DEB" w:rsidP="00823C3A">
      <w:pPr>
        <w:keepNext/>
        <w:rPr>
          <w:lang w:val="fr-FR"/>
        </w:rPr>
      </w:pPr>
    </w:p>
    <w:p w:rsidR="000E6DEB" w:rsidRPr="004E0F29" w:rsidRDefault="00823C3A" w:rsidP="00434AF8">
      <w:pPr>
        <w:pStyle w:val="DecisionParagraphs"/>
        <w:rPr>
          <w:lang w:val="fr-FR"/>
        </w:rPr>
      </w:pPr>
      <w:r w:rsidRPr="004E0F29">
        <w:rPr>
          <w:lang w:val="fr-FR" w:eastAsia="zh-CN"/>
        </w:rPr>
        <w:fldChar w:fldCharType="begin"/>
      </w:r>
      <w:r w:rsidRPr="004E0F29">
        <w:rPr>
          <w:lang w:val="fr-FR" w:eastAsia="zh-CN"/>
        </w:rPr>
        <w:instrText xml:space="preserve"> AUTONUM  </w:instrText>
      </w:r>
      <w:r w:rsidRPr="004E0F29">
        <w:rPr>
          <w:lang w:val="fr-FR" w:eastAsia="zh-CN"/>
        </w:rPr>
        <w:fldChar w:fldCharType="end"/>
      </w:r>
      <w:r w:rsidRPr="004E0F29">
        <w:rPr>
          <w:lang w:val="fr-FR" w:eastAsia="zh-CN"/>
        </w:rPr>
        <w:tab/>
      </w:r>
      <w:r w:rsidR="00434AF8" w:rsidRPr="004E0F29">
        <w:rPr>
          <w:lang w:val="fr-FR" w:eastAsia="zh-CN"/>
        </w:rPr>
        <w:t>Le CAJ est invité</w:t>
      </w:r>
      <w:r w:rsidR="00872F92">
        <w:rPr>
          <w:lang w:val="fr-FR" w:eastAsia="zh-CN"/>
        </w:rPr>
        <w:t xml:space="preserve"> à :</w:t>
      </w:r>
    </w:p>
    <w:p w:rsidR="000E6DEB" w:rsidRPr="00CF63CE" w:rsidRDefault="000E6DEB" w:rsidP="003E1732">
      <w:pPr>
        <w:pStyle w:val="DecisionParagraphs"/>
        <w:rPr>
          <w:i w:val="0"/>
          <w:lang w:val="fr-FR"/>
        </w:rPr>
      </w:pPr>
    </w:p>
    <w:p w:rsidR="000E6DEB" w:rsidRPr="004E0F29" w:rsidRDefault="003E1732" w:rsidP="00434AF8">
      <w:pPr>
        <w:pStyle w:val="DecisionParagraphs"/>
        <w:rPr>
          <w:lang w:val="fr-FR"/>
        </w:rPr>
      </w:pPr>
      <w:r w:rsidRPr="004E0F29">
        <w:rPr>
          <w:lang w:val="fr-FR"/>
        </w:rPr>
        <w:tab/>
      </w:r>
      <w:r w:rsidR="00434AF8" w:rsidRPr="004E0F29">
        <w:rPr>
          <w:lang w:val="fr-FR"/>
        </w:rPr>
        <w:t xml:space="preserve">a) </w:t>
      </w:r>
      <w:r w:rsidR="007D4D4A">
        <w:rPr>
          <w:lang w:val="fr-FR"/>
        </w:rPr>
        <w:tab/>
      </w:r>
      <w:r w:rsidR="00434AF8" w:rsidRPr="004E0F29">
        <w:rPr>
          <w:lang w:val="fr-FR"/>
        </w:rPr>
        <w:t>approuver la proposition de révision du document UPOV/INF/22 “Logiciels et équipements utilisés par les membres de l</w:t>
      </w:r>
      <w:r w:rsidR="00653682" w:rsidRPr="004E0F29">
        <w:rPr>
          <w:lang w:val="fr-FR"/>
        </w:rPr>
        <w:t>’</w:t>
      </w:r>
      <w:r w:rsidR="00434AF8" w:rsidRPr="004E0F29">
        <w:rPr>
          <w:lang w:val="fr-FR"/>
        </w:rPr>
        <w:t>Union” sur la</w:t>
      </w:r>
      <w:r w:rsidR="007D4D4A">
        <w:rPr>
          <w:lang w:val="fr-FR"/>
        </w:rPr>
        <w:t xml:space="preserve"> base du document UPOV/INF/22/9 </w:t>
      </w:r>
      <w:r w:rsidR="00434AF8" w:rsidRPr="004E0F29">
        <w:rPr>
          <w:lang w:val="fr-FR"/>
        </w:rPr>
        <w:t>Draft</w:t>
      </w:r>
      <w:r w:rsidR="004E0F29" w:rsidRPr="004E0F29">
        <w:rPr>
          <w:lang w:val="fr-FR"/>
        </w:rPr>
        <w:t> </w:t>
      </w:r>
      <w:r w:rsidR="00872F92">
        <w:rPr>
          <w:lang w:val="fr-FR"/>
        </w:rPr>
        <w:t xml:space="preserve">1 ; </w:t>
      </w:r>
      <w:r w:rsidR="00434AF8" w:rsidRPr="004E0F29">
        <w:rPr>
          <w:lang w:val="fr-FR"/>
        </w:rPr>
        <w:t>et</w:t>
      </w:r>
    </w:p>
    <w:p w:rsidR="000E6DEB" w:rsidRPr="00CF63CE" w:rsidRDefault="000E6DEB" w:rsidP="003E1732">
      <w:pPr>
        <w:pStyle w:val="DecisionParagraphs"/>
        <w:rPr>
          <w:i w:val="0"/>
          <w:lang w:val="fr-FR"/>
        </w:rPr>
      </w:pPr>
    </w:p>
    <w:p w:rsidR="000E6DEB" w:rsidRPr="004E0F29" w:rsidRDefault="003E1732" w:rsidP="00313DAF">
      <w:pPr>
        <w:pStyle w:val="DecisionParagraphs"/>
        <w:rPr>
          <w:lang w:val="fr-FR"/>
        </w:rPr>
      </w:pPr>
      <w:r w:rsidRPr="004E0F29">
        <w:rPr>
          <w:lang w:val="fr-FR"/>
        </w:rPr>
        <w:tab/>
      </w:r>
      <w:r w:rsidR="00313DAF" w:rsidRPr="004E0F29">
        <w:rPr>
          <w:lang w:val="fr-FR"/>
        </w:rPr>
        <w:t xml:space="preserve">b) </w:t>
      </w:r>
      <w:r w:rsidR="007D4D4A">
        <w:rPr>
          <w:lang w:val="fr-FR"/>
        </w:rPr>
        <w:tab/>
      </w:r>
      <w:r w:rsidR="00313DAF" w:rsidRPr="004E0F29">
        <w:rPr>
          <w:lang w:val="fr-FR"/>
        </w:rPr>
        <w:t xml:space="preserve">noter que, sous réserve de </w:t>
      </w:r>
      <w:r w:rsidR="007E4E45" w:rsidRPr="004E0F29">
        <w:rPr>
          <w:lang w:val="fr-FR"/>
        </w:rPr>
        <w:t>l</w:t>
      </w:r>
      <w:r w:rsidR="00653682" w:rsidRPr="004E0F29">
        <w:rPr>
          <w:lang w:val="fr-FR"/>
        </w:rPr>
        <w:t>’</w:t>
      </w:r>
      <w:r w:rsidR="007E4E45" w:rsidRPr="004E0F29">
        <w:rPr>
          <w:lang w:val="fr-FR"/>
        </w:rPr>
        <w:t>accord du</w:t>
      </w:r>
      <w:r w:rsidR="00653682" w:rsidRPr="004E0F29">
        <w:rPr>
          <w:lang w:val="fr-FR"/>
        </w:rPr>
        <w:t> TC</w:t>
      </w:r>
      <w:r w:rsidR="00313DAF" w:rsidRPr="004E0F29">
        <w:rPr>
          <w:lang w:val="fr-FR"/>
        </w:rPr>
        <w:t xml:space="preserve"> et</w:t>
      </w:r>
      <w:r w:rsidR="00653682" w:rsidRPr="004E0F29">
        <w:rPr>
          <w:lang w:val="fr-FR"/>
        </w:rPr>
        <w:t xml:space="preserve"> du CAJ</w:t>
      </w:r>
      <w:r w:rsidR="00313DAF" w:rsidRPr="004E0F29">
        <w:rPr>
          <w:lang w:val="fr-FR"/>
        </w:rPr>
        <w:t xml:space="preserve">, un projet approuvé du document UPOV/INF/22 sera présenté pour adoption par le Conseil </w:t>
      </w:r>
      <w:r w:rsidR="00653682" w:rsidRPr="004E0F29">
        <w:rPr>
          <w:lang w:val="fr-FR"/>
        </w:rPr>
        <w:t>en 2022</w:t>
      </w:r>
      <w:r w:rsidR="00313DAF" w:rsidRPr="004E0F29">
        <w:rPr>
          <w:lang w:val="fr-FR"/>
        </w:rPr>
        <w:t>.</w:t>
      </w:r>
    </w:p>
    <w:p w:rsidR="000E6DEB" w:rsidRPr="004E0F29" w:rsidRDefault="000E6DEB" w:rsidP="004C7CD6">
      <w:pPr>
        <w:rPr>
          <w:lang w:val="fr-FR"/>
        </w:rPr>
      </w:pPr>
    </w:p>
    <w:p w:rsidR="000E6DEB" w:rsidRPr="004E0F29" w:rsidRDefault="000E6DEB" w:rsidP="004C7CD6">
      <w:pPr>
        <w:rPr>
          <w:lang w:val="fr-FR"/>
        </w:rPr>
      </w:pPr>
    </w:p>
    <w:p w:rsidR="000E6DEB" w:rsidRPr="004E0F29" w:rsidRDefault="00313DAF" w:rsidP="007D4D4A">
      <w:pPr>
        <w:pStyle w:val="Heading1"/>
        <w:rPr>
          <w:lang w:val="fr-FR"/>
        </w:rPr>
      </w:pPr>
      <w:bookmarkStart w:id="7" w:name="_Toc109232377"/>
      <w:r w:rsidRPr="004E0F29">
        <w:rPr>
          <w:lang w:val="fr-FR"/>
        </w:rPr>
        <w:t>Notes explicatives</w:t>
      </w:r>
      <w:bookmarkEnd w:id="7"/>
    </w:p>
    <w:p w:rsidR="000E6DEB" w:rsidRPr="004E0F29" w:rsidRDefault="000E6DEB" w:rsidP="007D4D4A">
      <w:pPr>
        <w:keepNext/>
        <w:rPr>
          <w:lang w:val="fr-FR"/>
        </w:rPr>
      </w:pPr>
    </w:p>
    <w:p w:rsidR="000E6DEB" w:rsidRPr="004E0F29" w:rsidRDefault="00313DAF" w:rsidP="00313DAF">
      <w:pPr>
        <w:pStyle w:val="Heading2"/>
        <w:rPr>
          <w:lang w:val="fr-FR"/>
        </w:rPr>
      </w:pPr>
      <w:bookmarkStart w:id="8" w:name="_Toc109232378"/>
      <w:r w:rsidRPr="004E0F29">
        <w:rPr>
          <w:lang w:val="fr-FR"/>
        </w:rPr>
        <w:t xml:space="preserve">Notes explicatives concernant les dénominations variétales en vertu de la </w:t>
      </w:r>
      <w:r w:rsidR="00653682" w:rsidRPr="004E0F29">
        <w:rPr>
          <w:lang w:val="fr-FR"/>
        </w:rPr>
        <w:t>Convention UPOV</w:t>
      </w:r>
      <w:r w:rsidRPr="004E0F29">
        <w:rPr>
          <w:lang w:val="fr-FR"/>
        </w:rPr>
        <w:t xml:space="preserve"> (document UPOV/EXN/DEN)</w:t>
      </w:r>
      <w:bookmarkEnd w:id="8"/>
    </w:p>
    <w:p w:rsidR="000E6DEB" w:rsidRPr="004E0F29" w:rsidRDefault="000E6DEB" w:rsidP="00823C3A">
      <w:pPr>
        <w:keepNext/>
        <w:rPr>
          <w:lang w:val="fr-FR"/>
        </w:rPr>
      </w:pPr>
    </w:p>
    <w:p w:rsidR="000E6DEB" w:rsidRPr="004E0F29" w:rsidRDefault="00472F22" w:rsidP="00313DAF">
      <w:pPr>
        <w:keepNext/>
        <w:rPr>
          <w:lang w:val="fr-FR"/>
        </w:rPr>
      </w:pPr>
      <w:r w:rsidRPr="004E0F29">
        <w:rPr>
          <w:lang w:val="fr-FR"/>
        </w:rPr>
        <w:fldChar w:fldCharType="begin"/>
      </w:r>
      <w:r w:rsidRPr="004E0F29">
        <w:rPr>
          <w:lang w:val="fr-FR"/>
        </w:rPr>
        <w:instrText xml:space="preserve"> AUTONUM  </w:instrText>
      </w:r>
      <w:r w:rsidRPr="004E0F29">
        <w:rPr>
          <w:lang w:val="fr-FR"/>
        </w:rPr>
        <w:fldChar w:fldCharType="end"/>
      </w:r>
      <w:r w:rsidRPr="004E0F29">
        <w:rPr>
          <w:lang w:val="fr-FR"/>
        </w:rPr>
        <w:tab/>
      </w:r>
      <w:r w:rsidR="00313DAF" w:rsidRPr="004E0F29">
        <w:rPr>
          <w:lang w:val="fr-FR"/>
        </w:rPr>
        <w:t xml:space="preserve">Le CAJ sera invité à approuver les propositions de révision du document UPOV/EXN/DEN/1 </w:t>
      </w:r>
      <w:r w:rsidR="00653682" w:rsidRPr="004E0F29">
        <w:rPr>
          <w:lang w:val="fr-FR"/>
        </w:rPr>
        <w:t>“N</w:t>
      </w:r>
      <w:r w:rsidR="00313DAF" w:rsidRPr="004E0F29">
        <w:rPr>
          <w:lang w:val="fr-FR"/>
        </w:rPr>
        <w:t xml:space="preserve">otes explicatives concernant les dénominations variétales en vertu de la </w:t>
      </w:r>
      <w:r w:rsidR="00653682" w:rsidRPr="004E0F29">
        <w:rPr>
          <w:lang w:val="fr-FR"/>
        </w:rPr>
        <w:t>Convention UPOV”</w:t>
      </w:r>
      <w:r w:rsidR="00313DAF" w:rsidRPr="004E0F29">
        <w:rPr>
          <w:lang w:val="fr-FR"/>
        </w:rPr>
        <w:t>, qui figurent à l</w:t>
      </w:r>
      <w:r w:rsidR="00653682" w:rsidRPr="004E0F29">
        <w:rPr>
          <w:lang w:val="fr-FR"/>
        </w:rPr>
        <w:t>’</w:t>
      </w:r>
      <w:r w:rsidR="00D84616" w:rsidRPr="004E0F29">
        <w:rPr>
          <w:lang w:val="fr-FR"/>
        </w:rPr>
        <w:t>annexe </w:t>
      </w:r>
      <w:r w:rsidR="00313DAF" w:rsidRPr="004E0F29">
        <w:rPr>
          <w:lang w:val="fr-FR"/>
        </w:rPr>
        <w:t>I du présent document.</w:t>
      </w:r>
    </w:p>
    <w:p w:rsidR="000E6DEB" w:rsidRPr="004E0F29" w:rsidRDefault="000E6DEB" w:rsidP="00CF63CE">
      <w:pPr>
        <w:rPr>
          <w:lang w:val="fr-FR"/>
        </w:rPr>
      </w:pPr>
    </w:p>
    <w:p w:rsidR="000E6DEB" w:rsidRPr="004E0F29" w:rsidRDefault="00C22D85" w:rsidP="00CF63CE">
      <w:pPr>
        <w:pStyle w:val="DecisionParagraphs"/>
        <w:keepNext/>
        <w:rPr>
          <w:lang w:val="fr-FR" w:eastAsia="zh-CN"/>
        </w:rPr>
      </w:pPr>
      <w:r w:rsidRPr="004E0F29">
        <w:rPr>
          <w:lang w:val="fr-FR" w:eastAsia="zh-CN"/>
        </w:rPr>
        <w:lastRenderedPageBreak/>
        <w:fldChar w:fldCharType="begin"/>
      </w:r>
      <w:r w:rsidRPr="004E0F29">
        <w:rPr>
          <w:lang w:val="fr-FR" w:eastAsia="zh-CN"/>
        </w:rPr>
        <w:instrText xml:space="preserve"> AUTONUM  </w:instrText>
      </w:r>
      <w:r w:rsidRPr="004E0F29">
        <w:rPr>
          <w:lang w:val="fr-FR" w:eastAsia="zh-CN"/>
        </w:rPr>
        <w:fldChar w:fldCharType="end"/>
      </w:r>
      <w:r w:rsidRPr="004E0F29">
        <w:rPr>
          <w:lang w:val="fr-FR" w:eastAsia="zh-CN"/>
        </w:rPr>
        <w:tab/>
      </w:r>
      <w:r w:rsidR="00313DAF" w:rsidRPr="004E0F29">
        <w:rPr>
          <w:lang w:val="fr-FR" w:eastAsia="zh-CN"/>
        </w:rPr>
        <w:t>Le CAJ est invité</w:t>
      </w:r>
      <w:r w:rsidR="00872F92">
        <w:rPr>
          <w:lang w:val="fr-FR" w:eastAsia="zh-CN"/>
        </w:rPr>
        <w:t xml:space="preserve"> à :</w:t>
      </w:r>
    </w:p>
    <w:p w:rsidR="00653682" w:rsidRPr="004E0F29" w:rsidRDefault="00653682" w:rsidP="00CF63CE">
      <w:pPr>
        <w:pStyle w:val="DecisionParagraphs"/>
        <w:keepNext/>
        <w:rPr>
          <w:lang w:val="fr-FR" w:eastAsia="zh-CN"/>
        </w:rPr>
      </w:pPr>
    </w:p>
    <w:p w:rsidR="00653682" w:rsidRPr="004E0F29" w:rsidRDefault="007D4D4A" w:rsidP="007D4D4A">
      <w:pPr>
        <w:pStyle w:val="DecisionParagraphs"/>
        <w:rPr>
          <w:lang w:val="fr-FR"/>
        </w:rPr>
      </w:pPr>
      <w:r>
        <w:rPr>
          <w:lang w:val="fr-FR"/>
        </w:rPr>
        <w:tab/>
        <w:t>a)</w:t>
      </w:r>
      <w:r>
        <w:rPr>
          <w:lang w:val="fr-FR"/>
        </w:rPr>
        <w:tab/>
      </w:r>
      <w:r w:rsidR="00313DAF" w:rsidRPr="004E0F29">
        <w:rPr>
          <w:lang w:val="fr-FR"/>
        </w:rPr>
        <w:t>approuve</w:t>
      </w:r>
      <w:r w:rsidR="00D84616" w:rsidRPr="004E0F29">
        <w:rPr>
          <w:lang w:val="fr-FR"/>
        </w:rPr>
        <w:t xml:space="preserve">r la proposition de révision du </w:t>
      </w:r>
      <w:r w:rsidR="00313DAF" w:rsidRPr="004E0F29">
        <w:rPr>
          <w:lang w:val="fr-FR"/>
        </w:rPr>
        <w:t>document</w:t>
      </w:r>
      <w:r w:rsidR="00D84616" w:rsidRPr="004E0F29">
        <w:rPr>
          <w:lang w:val="fr-FR"/>
        </w:rPr>
        <w:t xml:space="preserve"> </w:t>
      </w:r>
      <w:r w:rsidR="00313DAF" w:rsidRPr="004E0F29">
        <w:rPr>
          <w:lang w:val="fr-FR"/>
        </w:rPr>
        <w:t xml:space="preserve">UPOV/EXN/DEN </w:t>
      </w:r>
      <w:r w:rsidR="00653682" w:rsidRPr="004E0F29">
        <w:rPr>
          <w:lang w:val="fr-FR"/>
        </w:rPr>
        <w:t>“N</w:t>
      </w:r>
      <w:r w:rsidR="00313DAF" w:rsidRPr="004E0F29">
        <w:rPr>
          <w:lang w:val="fr-FR"/>
        </w:rPr>
        <w:t xml:space="preserve">otes explicatives concernant les dénominations variétales en vertu de la </w:t>
      </w:r>
      <w:r w:rsidR="00653682" w:rsidRPr="004E0F29">
        <w:rPr>
          <w:lang w:val="fr-FR"/>
        </w:rPr>
        <w:t>Convention UPOV”</w:t>
      </w:r>
      <w:r w:rsidR="00313DAF" w:rsidRPr="004E0F29">
        <w:rPr>
          <w:lang w:val="fr-FR"/>
        </w:rPr>
        <w:t>, qui figure à l</w:t>
      </w:r>
      <w:r w:rsidR="00653682" w:rsidRPr="004E0F29">
        <w:rPr>
          <w:lang w:val="fr-FR"/>
        </w:rPr>
        <w:t>’annexe I</w:t>
      </w:r>
      <w:r w:rsidR="00313DAF" w:rsidRPr="004E0F29">
        <w:rPr>
          <w:lang w:val="fr-FR"/>
        </w:rPr>
        <w:t xml:space="preserve"> du présent document, et</w:t>
      </w:r>
    </w:p>
    <w:p w:rsidR="000E6DEB" w:rsidRPr="004E0F29" w:rsidRDefault="000E6DEB" w:rsidP="002843B4">
      <w:pPr>
        <w:pStyle w:val="DecisionParagraphs"/>
        <w:rPr>
          <w:lang w:val="fr-FR"/>
        </w:rPr>
      </w:pPr>
    </w:p>
    <w:p w:rsidR="000E6DEB" w:rsidRPr="004E0F29" w:rsidRDefault="007D4D4A" w:rsidP="00313DAF">
      <w:pPr>
        <w:pStyle w:val="DecisionParagraphs"/>
        <w:rPr>
          <w:lang w:val="fr-FR"/>
        </w:rPr>
      </w:pPr>
      <w:r>
        <w:rPr>
          <w:lang w:val="fr-FR"/>
        </w:rPr>
        <w:tab/>
      </w:r>
      <w:r w:rsidR="00313DAF" w:rsidRPr="004E0F29">
        <w:rPr>
          <w:lang w:val="fr-FR"/>
        </w:rPr>
        <w:t xml:space="preserve">b) </w:t>
      </w:r>
      <w:r>
        <w:rPr>
          <w:lang w:val="fr-FR"/>
        </w:rPr>
        <w:tab/>
      </w:r>
      <w:r w:rsidR="00313DAF" w:rsidRPr="004E0F29">
        <w:rPr>
          <w:lang w:val="fr-FR"/>
        </w:rPr>
        <w:t xml:space="preserve">noter que, sous réserve de </w:t>
      </w:r>
      <w:r w:rsidR="007E4E45" w:rsidRPr="004E0F29">
        <w:rPr>
          <w:lang w:val="fr-FR"/>
        </w:rPr>
        <w:t>l</w:t>
      </w:r>
      <w:r w:rsidR="00653682" w:rsidRPr="004E0F29">
        <w:rPr>
          <w:lang w:val="fr-FR"/>
        </w:rPr>
        <w:t>’</w:t>
      </w:r>
      <w:r w:rsidR="007E4E45" w:rsidRPr="004E0F29">
        <w:rPr>
          <w:lang w:val="fr-FR"/>
        </w:rPr>
        <w:t>accord</w:t>
      </w:r>
      <w:r w:rsidR="00653682" w:rsidRPr="004E0F29">
        <w:rPr>
          <w:lang w:val="fr-FR"/>
        </w:rPr>
        <w:t xml:space="preserve"> du CAJ</w:t>
      </w:r>
      <w:r w:rsidR="00313DAF" w:rsidRPr="004E0F29">
        <w:rPr>
          <w:lang w:val="fr-FR"/>
        </w:rPr>
        <w:t>, la proposition de révision du document UPOV/EXN/DEN/1, qui figure à l</w:t>
      </w:r>
      <w:r w:rsidR="00653682" w:rsidRPr="004E0F29">
        <w:rPr>
          <w:lang w:val="fr-FR"/>
        </w:rPr>
        <w:t>’annexe I</w:t>
      </w:r>
      <w:r w:rsidR="00313DAF" w:rsidRPr="004E0F29">
        <w:rPr>
          <w:lang w:val="fr-FR"/>
        </w:rPr>
        <w:t xml:space="preserve"> du présent document, sera présentée pour adoption par le Conseil </w:t>
      </w:r>
      <w:r w:rsidR="00653682" w:rsidRPr="004E0F29">
        <w:rPr>
          <w:lang w:val="fr-FR"/>
        </w:rPr>
        <w:t>en 2022</w:t>
      </w:r>
      <w:r w:rsidR="00313DAF" w:rsidRPr="004E0F29">
        <w:rPr>
          <w:lang w:val="fr-FR"/>
        </w:rPr>
        <w:t>.</w:t>
      </w:r>
    </w:p>
    <w:p w:rsidR="000E6DEB" w:rsidRPr="004E0F29" w:rsidRDefault="000E6DEB" w:rsidP="003859A6">
      <w:pPr>
        <w:jc w:val="left"/>
        <w:rPr>
          <w:lang w:val="fr-FR"/>
        </w:rPr>
      </w:pPr>
    </w:p>
    <w:p w:rsidR="00653682" w:rsidRPr="004E0F29" w:rsidRDefault="00313DAF" w:rsidP="00313DAF">
      <w:pPr>
        <w:pStyle w:val="Heading2"/>
        <w:rPr>
          <w:lang w:val="fr-FR"/>
        </w:rPr>
      </w:pPr>
      <w:bookmarkStart w:id="9" w:name="_Toc107846187"/>
      <w:bookmarkStart w:id="10" w:name="_Toc109232379"/>
      <w:r w:rsidRPr="004E0F29">
        <w:rPr>
          <w:lang w:val="fr-FR"/>
        </w:rPr>
        <w:t>Notes explicatives sur l</w:t>
      </w:r>
      <w:r w:rsidR="00653682" w:rsidRPr="004E0F29">
        <w:rPr>
          <w:lang w:val="fr-FR"/>
        </w:rPr>
        <w:t>’</w:t>
      </w:r>
      <w:r w:rsidRPr="004E0F29">
        <w:rPr>
          <w:lang w:val="fr-FR"/>
        </w:rPr>
        <w:t xml:space="preserve">examen de la demande selon la </w:t>
      </w:r>
      <w:r w:rsidR="00653682" w:rsidRPr="004E0F29">
        <w:rPr>
          <w:lang w:val="fr-FR"/>
        </w:rPr>
        <w:t>Convention UPOV</w:t>
      </w:r>
      <w:bookmarkEnd w:id="9"/>
      <w:bookmarkEnd w:id="10"/>
    </w:p>
    <w:p w:rsidR="000E6DEB" w:rsidRPr="004E0F29" w:rsidRDefault="000E6DEB" w:rsidP="00823C3A">
      <w:pPr>
        <w:rPr>
          <w:lang w:val="fr-FR"/>
        </w:rPr>
      </w:pPr>
    </w:p>
    <w:p w:rsidR="00653682" w:rsidRPr="004E0F29" w:rsidRDefault="00002D93" w:rsidP="00313DAF">
      <w:pPr>
        <w:keepNext/>
        <w:rPr>
          <w:lang w:val="fr-FR"/>
        </w:rPr>
      </w:pPr>
      <w:r w:rsidRPr="004E0F29">
        <w:rPr>
          <w:lang w:val="fr-FR"/>
        </w:rPr>
        <w:fldChar w:fldCharType="begin"/>
      </w:r>
      <w:r w:rsidRPr="004E0F29">
        <w:rPr>
          <w:lang w:val="fr-FR"/>
        </w:rPr>
        <w:instrText xml:space="preserve"> AUTONUM  </w:instrText>
      </w:r>
      <w:r w:rsidRPr="004E0F29">
        <w:rPr>
          <w:lang w:val="fr-FR"/>
        </w:rPr>
        <w:fldChar w:fldCharType="end"/>
      </w:r>
      <w:r w:rsidRPr="004E0F29">
        <w:rPr>
          <w:lang w:val="fr-FR"/>
        </w:rPr>
        <w:tab/>
      </w:r>
      <w:r w:rsidR="00313DAF" w:rsidRPr="004E0F29">
        <w:rPr>
          <w:lang w:val="fr-FR"/>
        </w:rPr>
        <w:t>Les questions relatives à l</w:t>
      </w:r>
      <w:r w:rsidR="00653682" w:rsidRPr="004E0F29">
        <w:rPr>
          <w:lang w:val="fr-FR"/>
        </w:rPr>
        <w:t>’</w:t>
      </w:r>
      <w:r w:rsidR="00313DAF" w:rsidRPr="004E0F29">
        <w:rPr>
          <w:lang w:val="fr-FR"/>
        </w:rPr>
        <w:t xml:space="preserve">élaboration des </w:t>
      </w:r>
      <w:r w:rsidR="00653682" w:rsidRPr="004E0F29">
        <w:rPr>
          <w:lang w:val="fr-FR"/>
        </w:rPr>
        <w:t>“N</w:t>
      </w:r>
      <w:r w:rsidR="00313DAF" w:rsidRPr="004E0F29">
        <w:rPr>
          <w:lang w:val="fr-FR"/>
        </w:rPr>
        <w:t>otes explicatives sur l</w:t>
      </w:r>
      <w:r w:rsidR="00653682" w:rsidRPr="004E0F29">
        <w:rPr>
          <w:lang w:val="fr-FR"/>
        </w:rPr>
        <w:t>’</w:t>
      </w:r>
      <w:r w:rsidR="00313DAF" w:rsidRPr="004E0F29">
        <w:rPr>
          <w:lang w:val="fr-FR"/>
        </w:rPr>
        <w:t xml:space="preserve">examen de la demande selon la </w:t>
      </w:r>
      <w:r w:rsidR="00653682" w:rsidRPr="004E0F29">
        <w:rPr>
          <w:lang w:val="fr-FR"/>
        </w:rPr>
        <w:t>Convention UPOV”</w:t>
      </w:r>
      <w:r w:rsidR="00313DAF" w:rsidRPr="004E0F29">
        <w:rPr>
          <w:lang w:val="fr-FR"/>
        </w:rPr>
        <w:t xml:space="preserve"> sont examinées dans le document CAJ/79/7 </w:t>
      </w:r>
      <w:r w:rsidR="00653682" w:rsidRPr="004E0F29">
        <w:rPr>
          <w:lang w:val="fr-FR"/>
        </w:rPr>
        <w:t>“M</w:t>
      </w:r>
      <w:r w:rsidR="00313DAF" w:rsidRPr="004E0F29">
        <w:rPr>
          <w:lang w:val="fr-FR"/>
        </w:rPr>
        <w:t>esures visant à renforcer la coopération en matière d</w:t>
      </w:r>
      <w:r w:rsidR="00653682" w:rsidRPr="004E0F29">
        <w:rPr>
          <w:lang w:val="fr-FR"/>
        </w:rPr>
        <w:t>’</w:t>
      </w:r>
      <w:r w:rsidR="00313DAF" w:rsidRPr="004E0F29">
        <w:rPr>
          <w:lang w:val="fr-FR"/>
        </w:rPr>
        <w:t>exame</w:t>
      </w:r>
      <w:r w:rsidR="00653682" w:rsidRPr="004E0F29">
        <w:rPr>
          <w:lang w:val="fr-FR"/>
        </w:rPr>
        <w:t>n”</w:t>
      </w:r>
      <w:r w:rsidR="00313DAF" w:rsidRPr="004E0F29">
        <w:rPr>
          <w:lang w:val="fr-FR"/>
        </w:rPr>
        <w:t>.</w:t>
      </w:r>
    </w:p>
    <w:p w:rsidR="000E6DEB" w:rsidRPr="004E0F29" w:rsidRDefault="000E6DEB" w:rsidP="00002D93">
      <w:pPr>
        <w:keepNext/>
        <w:rPr>
          <w:lang w:val="fr-FR"/>
        </w:rPr>
      </w:pPr>
    </w:p>
    <w:p w:rsidR="000E6DEB" w:rsidRPr="004E0F29" w:rsidRDefault="00002D93" w:rsidP="00313DAF">
      <w:pPr>
        <w:pStyle w:val="DecisionParagraphs"/>
        <w:rPr>
          <w:lang w:val="fr-FR"/>
        </w:rPr>
      </w:pPr>
      <w:r w:rsidRPr="004E0F29">
        <w:rPr>
          <w:lang w:val="fr-FR"/>
        </w:rPr>
        <w:fldChar w:fldCharType="begin"/>
      </w:r>
      <w:r w:rsidRPr="004E0F29">
        <w:rPr>
          <w:lang w:val="fr-FR"/>
        </w:rPr>
        <w:instrText xml:space="preserve"> AUTONUM  </w:instrText>
      </w:r>
      <w:r w:rsidRPr="004E0F29">
        <w:rPr>
          <w:lang w:val="fr-FR"/>
        </w:rPr>
        <w:fldChar w:fldCharType="end"/>
      </w:r>
      <w:r w:rsidRPr="004E0F29">
        <w:rPr>
          <w:lang w:val="fr-FR"/>
        </w:rPr>
        <w:tab/>
      </w:r>
      <w:r w:rsidR="00313DAF" w:rsidRPr="004E0F29">
        <w:rPr>
          <w:lang w:val="fr-FR"/>
        </w:rPr>
        <w:t>Le CAJ est invité à noter que les questions concernant l</w:t>
      </w:r>
      <w:r w:rsidR="00653682" w:rsidRPr="004E0F29">
        <w:rPr>
          <w:lang w:val="fr-FR"/>
        </w:rPr>
        <w:t>’</w:t>
      </w:r>
      <w:r w:rsidR="00313DAF" w:rsidRPr="004E0F29">
        <w:rPr>
          <w:lang w:val="fr-FR"/>
        </w:rPr>
        <w:t xml:space="preserve">élaboration de </w:t>
      </w:r>
      <w:r w:rsidR="00653682" w:rsidRPr="004E0F29">
        <w:rPr>
          <w:lang w:val="fr-FR"/>
        </w:rPr>
        <w:t>“N</w:t>
      </w:r>
      <w:r w:rsidR="00313DAF" w:rsidRPr="004E0F29">
        <w:rPr>
          <w:lang w:val="fr-FR"/>
        </w:rPr>
        <w:t>otes explicatives sur l</w:t>
      </w:r>
      <w:r w:rsidR="00653682" w:rsidRPr="004E0F29">
        <w:rPr>
          <w:lang w:val="fr-FR"/>
        </w:rPr>
        <w:t>’</w:t>
      </w:r>
      <w:r w:rsidR="00313DAF" w:rsidRPr="004E0F29">
        <w:rPr>
          <w:lang w:val="fr-FR"/>
        </w:rPr>
        <w:t xml:space="preserve">examen de la demande selon la </w:t>
      </w:r>
      <w:r w:rsidR="00653682" w:rsidRPr="004E0F29">
        <w:rPr>
          <w:lang w:val="fr-FR"/>
        </w:rPr>
        <w:t>Convention UPOV”</w:t>
      </w:r>
      <w:r w:rsidR="00313DAF" w:rsidRPr="004E0F29">
        <w:rPr>
          <w:lang w:val="fr-FR"/>
        </w:rPr>
        <w:t xml:space="preserve"> sont examinées dans le document CAJ/79/7 </w:t>
      </w:r>
      <w:r w:rsidR="00653682" w:rsidRPr="004E0F29">
        <w:rPr>
          <w:lang w:val="fr-FR"/>
        </w:rPr>
        <w:t>“M</w:t>
      </w:r>
      <w:r w:rsidR="00313DAF" w:rsidRPr="004E0F29">
        <w:rPr>
          <w:lang w:val="fr-FR"/>
        </w:rPr>
        <w:t>esures visant à renforcer la coopération en matière d</w:t>
      </w:r>
      <w:r w:rsidR="00653682" w:rsidRPr="004E0F29">
        <w:rPr>
          <w:lang w:val="fr-FR"/>
        </w:rPr>
        <w:t>’</w:t>
      </w:r>
      <w:r w:rsidR="00313DAF" w:rsidRPr="004E0F29">
        <w:rPr>
          <w:lang w:val="fr-FR"/>
        </w:rPr>
        <w:t>exame</w:t>
      </w:r>
      <w:r w:rsidR="00653682" w:rsidRPr="004E0F29">
        <w:rPr>
          <w:lang w:val="fr-FR"/>
        </w:rPr>
        <w:t>n”</w:t>
      </w:r>
      <w:r w:rsidR="00313DAF" w:rsidRPr="004E0F29">
        <w:rPr>
          <w:lang w:val="fr-FR"/>
        </w:rPr>
        <w:t>.</w:t>
      </w:r>
    </w:p>
    <w:p w:rsidR="000E6DEB" w:rsidRPr="004E0F29" w:rsidRDefault="000E6DEB" w:rsidP="00823C3A">
      <w:pPr>
        <w:rPr>
          <w:lang w:val="fr-FR"/>
        </w:rPr>
      </w:pPr>
    </w:p>
    <w:p w:rsidR="000E6DEB" w:rsidRPr="004E0F29" w:rsidRDefault="000E6DEB" w:rsidP="007D4D4A">
      <w:pPr>
        <w:rPr>
          <w:lang w:val="fr-FR"/>
        </w:rPr>
      </w:pPr>
    </w:p>
    <w:p w:rsidR="000E6DEB" w:rsidRPr="004E0F29" w:rsidRDefault="00313DAF" w:rsidP="00313DAF">
      <w:pPr>
        <w:pStyle w:val="Heading1"/>
        <w:rPr>
          <w:lang w:val="fr-FR"/>
        </w:rPr>
      </w:pPr>
      <w:bookmarkStart w:id="11" w:name="_Toc109232380"/>
      <w:r w:rsidRPr="004E0F29">
        <w:rPr>
          <w:lang w:val="fr-FR"/>
        </w:rPr>
        <w:t>Documents TGP</w:t>
      </w:r>
      <w:bookmarkEnd w:id="11"/>
    </w:p>
    <w:p w:rsidR="000E6DEB" w:rsidRPr="004E0F29" w:rsidRDefault="000E6DEB" w:rsidP="00002258">
      <w:pPr>
        <w:rPr>
          <w:lang w:val="fr-FR"/>
        </w:rPr>
      </w:pPr>
    </w:p>
    <w:p w:rsidR="00653682" w:rsidRPr="004E0F29" w:rsidRDefault="007D6C56" w:rsidP="007D6C56">
      <w:pPr>
        <w:pStyle w:val="Heading2"/>
        <w:rPr>
          <w:lang w:val="fr-FR"/>
        </w:rPr>
      </w:pPr>
      <w:bookmarkStart w:id="12" w:name="_Toc109232381"/>
      <w:r w:rsidRPr="004E0F29">
        <w:rPr>
          <w:lang w:val="fr-FR"/>
        </w:rPr>
        <w:t>TGP/5</w:t>
      </w:r>
      <w:r w:rsidR="00653682" w:rsidRPr="004E0F29">
        <w:rPr>
          <w:lang w:val="fr-FR"/>
        </w:rPr>
        <w:t> :</w:t>
      </w:r>
      <w:r w:rsidRPr="004E0F29">
        <w:rPr>
          <w:lang w:val="fr-FR"/>
        </w:rPr>
        <w:t xml:space="preserve"> Expérience et coopération en matière d</w:t>
      </w:r>
      <w:r w:rsidR="00653682" w:rsidRPr="004E0F29">
        <w:rPr>
          <w:lang w:val="fr-FR"/>
        </w:rPr>
        <w:t>’</w:t>
      </w:r>
      <w:r w:rsidRPr="004E0F29">
        <w:rPr>
          <w:lang w:val="fr-FR"/>
        </w:rPr>
        <w:t>examen</w:t>
      </w:r>
      <w:r w:rsidR="002B477C" w:rsidRPr="004E0F29">
        <w:rPr>
          <w:lang w:val="fr-FR"/>
        </w:rPr>
        <w:t> </w:t>
      </w:r>
      <w:r w:rsidRPr="004E0F29">
        <w:rPr>
          <w:lang w:val="fr-FR"/>
        </w:rPr>
        <w:t xml:space="preserve">DHS, </w:t>
      </w:r>
      <w:r w:rsidR="00653682" w:rsidRPr="004E0F29">
        <w:rPr>
          <w:lang w:val="fr-FR"/>
        </w:rPr>
        <w:t>section 6 :</w:t>
      </w:r>
      <w:r w:rsidRPr="004E0F29">
        <w:rPr>
          <w:lang w:val="fr-FR"/>
        </w:rPr>
        <w:t xml:space="preserve"> Rapport UPOV d</w:t>
      </w:r>
      <w:r w:rsidR="00653682" w:rsidRPr="004E0F29">
        <w:rPr>
          <w:lang w:val="fr-FR"/>
        </w:rPr>
        <w:t>’</w:t>
      </w:r>
      <w:r w:rsidRPr="004E0F29">
        <w:rPr>
          <w:lang w:val="fr-FR"/>
        </w:rPr>
        <w:t>examen technique et Formulaire UPOV de description variétale (révision) (document TGP/5</w:t>
      </w:r>
      <w:r w:rsidR="00653682" w:rsidRPr="004E0F29">
        <w:rPr>
          <w:lang w:val="fr-FR"/>
        </w:rPr>
        <w:t> :</w:t>
      </w:r>
      <w:r w:rsidRPr="004E0F29">
        <w:rPr>
          <w:lang w:val="fr-FR"/>
        </w:rPr>
        <w:t xml:space="preserve"> </w:t>
      </w:r>
      <w:r w:rsidR="00653682" w:rsidRPr="004E0F29">
        <w:rPr>
          <w:lang w:val="fr-FR"/>
        </w:rPr>
        <w:t>section 6</w:t>
      </w:r>
      <w:r w:rsidRPr="004E0F29">
        <w:rPr>
          <w:lang w:val="fr-FR"/>
        </w:rPr>
        <w:t>/4</w:t>
      </w:r>
      <w:r w:rsidR="004E0F29" w:rsidRPr="004E0F29">
        <w:rPr>
          <w:lang w:val="fr-FR"/>
        </w:rPr>
        <w:t> </w:t>
      </w:r>
      <w:r w:rsidRPr="004E0F29">
        <w:rPr>
          <w:lang w:val="fr-FR"/>
        </w:rPr>
        <w:t>Draft</w:t>
      </w:r>
      <w:r w:rsidR="004E0F29" w:rsidRPr="004E0F29">
        <w:rPr>
          <w:lang w:val="fr-FR"/>
        </w:rPr>
        <w:t> </w:t>
      </w:r>
      <w:r w:rsidRPr="004E0F29">
        <w:rPr>
          <w:lang w:val="fr-FR"/>
        </w:rPr>
        <w:t>1)</w:t>
      </w:r>
      <w:bookmarkEnd w:id="12"/>
    </w:p>
    <w:p w:rsidR="000E6DEB" w:rsidRPr="004E0F29" w:rsidRDefault="000E6DEB" w:rsidP="00002258">
      <w:pPr>
        <w:rPr>
          <w:lang w:val="fr-FR"/>
        </w:rPr>
      </w:pPr>
    </w:p>
    <w:p w:rsidR="000E6DEB" w:rsidRPr="004E0F29" w:rsidRDefault="00002258" w:rsidP="007D6C56">
      <w:pPr>
        <w:keepNext/>
        <w:rPr>
          <w:lang w:val="fr-FR"/>
        </w:rPr>
      </w:pPr>
      <w:r w:rsidRPr="004E0F29">
        <w:rPr>
          <w:lang w:val="fr-FR"/>
        </w:rPr>
        <w:fldChar w:fldCharType="begin"/>
      </w:r>
      <w:r w:rsidRPr="004E0F29">
        <w:rPr>
          <w:lang w:val="fr-FR"/>
        </w:rPr>
        <w:instrText xml:space="preserve"> AUTONUM  </w:instrText>
      </w:r>
      <w:r w:rsidRPr="004E0F29">
        <w:rPr>
          <w:lang w:val="fr-FR"/>
        </w:rPr>
        <w:fldChar w:fldCharType="end"/>
      </w:r>
      <w:r w:rsidRPr="004E0F29">
        <w:rPr>
          <w:lang w:val="fr-FR"/>
        </w:rPr>
        <w:tab/>
      </w:r>
      <w:r w:rsidR="007D6C56" w:rsidRPr="004E0F29">
        <w:rPr>
          <w:lang w:val="fr-FR"/>
        </w:rPr>
        <w:t>Le</w:t>
      </w:r>
      <w:r w:rsidR="00653682" w:rsidRPr="004E0F29">
        <w:rPr>
          <w:lang w:val="fr-FR"/>
        </w:rPr>
        <w:t> TC</w:t>
      </w:r>
      <w:r w:rsidR="007D6C56" w:rsidRPr="004E0F29">
        <w:rPr>
          <w:lang w:val="fr-FR"/>
        </w:rPr>
        <w:t xml:space="preserve"> et</w:t>
      </w:r>
      <w:r w:rsidR="00653682" w:rsidRPr="004E0F29">
        <w:rPr>
          <w:lang w:val="fr-FR"/>
        </w:rPr>
        <w:t xml:space="preserve"> le CAJ</w:t>
      </w:r>
      <w:r w:rsidR="007D6C56" w:rsidRPr="004E0F29">
        <w:rPr>
          <w:lang w:val="fr-FR"/>
        </w:rPr>
        <w:t xml:space="preserve"> seront invités à approuver les propositions de révision du document TGP/5 </w:t>
      </w:r>
      <w:r w:rsidR="00653682" w:rsidRPr="004E0F29">
        <w:rPr>
          <w:lang w:val="fr-FR"/>
        </w:rPr>
        <w:t>“E</w:t>
      </w:r>
      <w:r w:rsidR="007D6C56" w:rsidRPr="004E0F29">
        <w:rPr>
          <w:lang w:val="fr-FR"/>
        </w:rPr>
        <w:t>xpérience et coopération en matière d</w:t>
      </w:r>
      <w:r w:rsidR="00653682" w:rsidRPr="004E0F29">
        <w:rPr>
          <w:lang w:val="fr-FR"/>
        </w:rPr>
        <w:t>’</w:t>
      </w:r>
      <w:r w:rsidR="007D6C56" w:rsidRPr="004E0F29">
        <w:rPr>
          <w:lang w:val="fr-FR"/>
        </w:rPr>
        <w:t>examen</w:t>
      </w:r>
      <w:r w:rsidR="002B477C" w:rsidRPr="004E0F29">
        <w:rPr>
          <w:lang w:val="fr-FR"/>
        </w:rPr>
        <w:t> </w:t>
      </w:r>
      <w:r w:rsidR="007D6C56" w:rsidRPr="004E0F29">
        <w:rPr>
          <w:lang w:val="fr-FR"/>
        </w:rPr>
        <w:t>DH</w:t>
      </w:r>
      <w:r w:rsidR="00653682" w:rsidRPr="004E0F29">
        <w:rPr>
          <w:lang w:val="fr-FR"/>
        </w:rPr>
        <w:t>S”</w:t>
      </w:r>
      <w:r w:rsidR="007D6C56" w:rsidRPr="004E0F29">
        <w:rPr>
          <w:lang w:val="fr-FR"/>
        </w:rPr>
        <w:t xml:space="preserve">, </w:t>
      </w:r>
      <w:r w:rsidR="00653682" w:rsidRPr="004E0F29">
        <w:rPr>
          <w:lang w:val="fr-FR"/>
        </w:rPr>
        <w:t>section 6</w:t>
      </w:r>
      <w:r w:rsidR="007D6C56" w:rsidRPr="004E0F29">
        <w:rPr>
          <w:lang w:val="fr-FR"/>
        </w:rPr>
        <w:t xml:space="preserve"> </w:t>
      </w:r>
      <w:r w:rsidR="00653682" w:rsidRPr="004E0F29">
        <w:rPr>
          <w:lang w:val="fr-FR"/>
        </w:rPr>
        <w:t>“R</w:t>
      </w:r>
      <w:r w:rsidR="007D6C56" w:rsidRPr="004E0F29">
        <w:rPr>
          <w:lang w:val="fr-FR"/>
        </w:rPr>
        <w:t>apport UPOV d</w:t>
      </w:r>
      <w:r w:rsidR="00653682" w:rsidRPr="004E0F29">
        <w:rPr>
          <w:lang w:val="fr-FR"/>
        </w:rPr>
        <w:t>’</w:t>
      </w:r>
      <w:r w:rsidR="007D6C56" w:rsidRPr="004E0F29">
        <w:rPr>
          <w:lang w:val="fr-FR"/>
        </w:rPr>
        <w:t>examen technique et Formulaire UPOV de description variétal</w:t>
      </w:r>
      <w:r w:rsidR="00653682" w:rsidRPr="004E0F29">
        <w:rPr>
          <w:lang w:val="fr-FR"/>
        </w:rPr>
        <w:t>e”</w:t>
      </w:r>
      <w:r w:rsidR="007D6C56" w:rsidRPr="004E0F29">
        <w:rPr>
          <w:lang w:val="fr-FR"/>
        </w:rPr>
        <w:t>, qui figurent dans le document TGP/5</w:t>
      </w:r>
      <w:r w:rsidR="00653682" w:rsidRPr="004E0F29">
        <w:rPr>
          <w:lang w:val="fr-FR"/>
        </w:rPr>
        <w:t> :</w:t>
      </w:r>
      <w:r w:rsidR="007D6C56" w:rsidRPr="004E0F29">
        <w:rPr>
          <w:lang w:val="fr-FR"/>
        </w:rPr>
        <w:t xml:space="preserve"> </w:t>
      </w:r>
      <w:r w:rsidR="00653682" w:rsidRPr="004E0F29">
        <w:rPr>
          <w:lang w:val="fr-FR"/>
        </w:rPr>
        <w:t>section 6</w:t>
      </w:r>
      <w:r w:rsidR="007D6C56" w:rsidRPr="004E0F29">
        <w:rPr>
          <w:lang w:val="fr-FR"/>
        </w:rPr>
        <w:t>/4</w:t>
      </w:r>
      <w:r w:rsidR="004E0F29" w:rsidRPr="004E0F29">
        <w:rPr>
          <w:lang w:val="fr-FR"/>
        </w:rPr>
        <w:t> </w:t>
      </w:r>
      <w:r w:rsidR="007D6C56" w:rsidRPr="004E0F29">
        <w:rPr>
          <w:lang w:val="fr-FR"/>
        </w:rPr>
        <w:t>Draft</w:t>
      </w:r>
      <w:r w:rsidR="004E0F29" w:rsidRPr="004E0F29">
        <w:rPr>
          <w:lang w:val="fr-FR"/>
        </w:rPr>
        <w:t> </w:t>
      </w:r>
      <w:r w:rsidR="007D6C56" w:rsidRPr="004E0F29">
        <w:rPr>
          <w:lang w:val="fr-FR"/>
        </w:rPr>
        <w:t>1.</w:t>
      </w:r>
    </w:p>
    <w:p w:rsidR="000E6DEB" w:rsidRPr="004E0F29" w:rsidRDefault="000E6DEB" w:rsidP="00002258">
      <w:pPr>
        <w:keepNext/>
        <w:rPr>
          <w:lang w:val="fr-FR"/>
        </w:rPr>
      </w:pPr>
    </w:p>
    <w:p w:rsidR="000E6DEB" w:rsidRPr="004E0F29" w:rsidRDefault="00002258" w:rsidP="007D6C56">
      <w:pPr>
        <w:pStyle w:val="DecisionParagraphs"/>
        <w:rPr>
          <w:lang w:val="fr-FR" w:eastAsia="zh-CN"/>
        </w:rPr>
      </w:pPr>
      <w:r w:rsidRPr="004E0F29">
        <w:rPr>
          <w:lang w:val="fr-FR" w:eastAsia="zh-CN"/>
        </w:rPr>
        <w:fldChar w:fldCharType="begin"/>
      </w:r>
      <w:r w:rsidRPr="004E0F29">
        <w:rPr>
          <w:lang w:val="fr-FR" w:eastAsia="zh-CN"/>
        </w:rPr>
        <w:instrText xml:space="preserve"> AUTONUM  </w:instrText>
      </w:r>
      <w:r w:rsidRPr="004E0F29">
        <w:rPr>
          <w:lang w:val="fr-FR" w:eastAsia="zh-CN"/>
        </w:rPr>
        <w:fldChar w:fldCharType="end"/>
      </w:r>
      <w:r w:rsidRPr="004E0F29">
        <w:rPr>
          <w:lang w:val="fr-FR" w:eastAsia="zh-CN"/>
        </w:rPr>
        <w:tab/>
      </w:r>
      <w:r w:rsidR="007D6C56" w:rsidRPr="004E0F29">
        <w:rPr>
          <w:lang w:val="fr-FR" w:eastAsia="zh-CN"/>
        </w:rPr>
        <w:t>Le CAJ est invité</w:t>
      </w:r>
      <w:r w:rsidR="00872F92">
        <w:rPr>
          <w:lang w:val="fr-FR" w:eastAsia="zh-CN"/>
        </w:rPr>
        <w:t xml:space="preserve"> à :</w:t>
      </w:r>
    </w:p>
    <w:p w:rsidR="00653682" w:rsidRPr="004E0F29" w:rsidRDefault="00653682" w:rsidP="00171305">
      <w:pPr>
        <w:pStyle w:val="DecisionParagraphs"/>
        <w:rPr>
          <w:lang w:val="fr-FR" w:eastAsia="zh-CN"/>
        </w:rPr>
      </w:pPr>
    </w:p>
    <w:p w:rsidR="000E6DEB" w:rsidRPr="004E0F29" w:rsidRDefault="007D4D4A" w:rsidP="007D4D4A">
      <w:pPr>
        <w:pStyle w:val="DecisionParagraphs"/>
        <w:rPr>
          <w:lang w:val="fr-FR"/>
        </w:rPr>
      </w:pPr>
      <w:r>
        <w:rPr>
          <w:lang w:val="fr-FR" w:eastAsia="zh-CN"/>
        </w:rPr>
        <w:tab/>
        <w:t>a)</w:t>
      </w:r>
      <w:r>
        <w:rPr>
          <w:lang w:val="fr-FR" w:eastAsia="zh-CN"/>
        </w:rPr>
        <w:tab/>
      </w:r>
      <w:r w:rsidR="007D6C56" w:rsidRPr="004E0F29">
        <w:rPr>
          <w:lang w:val="fr-FR" w:eastAsia="zh-CN"/>
        </w:rPr>
        <w:t xml:space="preserve">approuver la proposition de révision du document TGP/5 </w:t>
      </w:r>
      <w:r w:rsidR="00653682" w:rsidRPr="004E0F29">
        <w:rPr>
          <w:lang w:val="fr-FR" w:eastAsia="zh-CN"/>
        </w:rPr>
        <w:t>“E</w:t>
      </w:r>
      <w:r w:rsidR="007D6C56" w:rsidRPr="004E0F29">
        <w:rPr>
          <w:lang w:val="fr-FR" w:eastAsia="zh-CN"/>
        </w:rPr>
        <w:t>xpérience et coopération en matière d</w:t>
      </w:r>
      <w:r w:rsidR="00653682" w:rsidRPr="004E0F29">
        <w:rPr>
          <w:lang w:val="fr-FR" w:eastAsia="zh-CN"/>
        </w:rPr>
        <w:t>’</w:t>
      </w:r>
      <w:r w:rsidR="007D6C56" w:rsidRPr="004E0F29">
        <w:rPr>
          <w:lang w:val="fr-FR" w:eastAsia="zh-CN"/>
        </w:rPr>
        <w:t>examen</w:t>
      </w:r>
      <w:r w:rsidR="002B477C" w:rsidRPr="004E0F29">
        <w:rPr>
          <w:lang w:val="fr-FR" w:eastAsia="zh-CN"/>
        </w:rPr>
        <w:t> </w:t>
      </w:r>
      <w:r w:rsidR="007D6C56" w:rsidRPr="004E0F29">
        <w:rPr>
          <w:lang w:val="fr-FR" w:eastAsia="zh-CN"/>
        </w:rPr>
        <w:t>DH</w:t>
      </w:r>
      <w:r w:rsidR="00653682" w:rsidRPr="004E0F29">
        <w:rPr>
          <w:lang w:val="fr-FR" w:eastAsia="zh-CN"/>
        </w:rPr>
        <w:t>S”</w:t>
      </w:r>
      <w:r w:rsidR="007D6C56" w:rsidRPr="004E0F29">
        <w:rPr>
          <w:lang w:val="fr-FR" w:eastAsia="zh-CN"/>
        </w:rPr>
        <w:t xml:space="preserve">, </w:t>
      </w:r>
      <w:r w:rsidR="00653682" w:rsidRPr="004E0F29">
        <w:rPr>
          <w:lang w:val="fr-FR" w:eastAsia="zh-CN"/>
        </w:rPr>
        <w:t>section 6</w:t>
      </w:r>
      <w:r w:rsidR="007D6C56" w:rsidRPr="004E0F29">
        <w:rPr>
          <w:lang w:val="fr-FR" w:eastAsia="zh-CN"/>
        </w:rPr>
        <w:t xml:space="preserve">/3 </w:t>
      </w:r>
      <w:r w:rsidR="00653682" w:rsidRPr="004E0F29">
        <w:rPr>
          <w:lang w:val="fr-FR" w:eastAsia="zh-CN"/>
        </w:rPr>
        <w:t>“R</w:t>
      </w:r>
      <w:r w:rsidR="007D6C56" w:rsidRPr="004E0F29">
        <w:rPr>
          <w:lang w:val="fr-FR" w:eastAsia="zh-CN"/>
        </w:rPr>
        <w:t>apport UPOV d</w:t>
      </w:r>
      <w:r w:rsidR="00653682" w:rsidRPr="004E0F29">
        <w:rPr>
          <w:lang w:val="fr-FR" w:eastAsia="zh-CN"/>
        </w:rPr>
        <w:t>’</w:t>
      </w:r>
      <w:r w:rsidR="007D6C56" w:rsidRPr="004E0F29">
        <w:rPr>
          <w:lang w:val="fr-FR" w:eastAsia="zh-CN"/>
        </w:rPr>
        <w:t>examen technique et Formulaire UPOV de description variétale”, sur la base du document TGP/5</w:t>
      </w:r>
      <w:r w:rsidR="00653682" w:rsidRPr="004E0F29">
        <w:rPr>
          <w:lang w:val="fr-FR" w:eastAsia="zh-CN"/>
        </w:rPr>
        <w:t> :</w:t>
      </w:r>
      <w:r w:rsidR="007D6C56" w:rsidRPr="004E0F29">
        <w:rPr>
          <w:lang w:val="fr-FR" w:eastAsia="zh-CN"/>
        </w:rPr>
        <w:t xml:space="preserve"> </w:t>
      </w:r>
      <w:r w:rsidR="00653682" w:rsidRPr="004E0F29">
        <w:rPr>
          <w:lang w:val="fr-FR" w:eastAsia="zh-CN"/>
        </w:rPr>
        <w:t>section 6</w:t>
      </w:r>
      <w:r w:rsidR="007D6C56" w:rsidRPr="004E0F29">
        <w:rPr>
          <w:lang w:val="fr-FR" w:eastAsia="zh-CN"/>
        </w:rPr>
        <w:t>/4</w:t>
      </w:r>
      <w:r w:rsidR="004E0F29" w:rsidRPr="004E0F29">
        <w:rPr>
          <w:lang w:val="fr-FR" w:eastAsia="zh-CN"/>
        </w:rPr>
        <w:t> </w:t>
      </w:r>
      <w:r w:rsidR="007D6C56" w:rsidRPr="004E0F29">
        <w:rPr>
          <w:lang w:val="fr-FR" w:eastAsia="zh-CN"/>
        </w:rPr>
        <w:t>Draft</w:t>
      </w:r>
      <w:r w:rsidR="004E0F29" w:rsidRPr="004E0F29">
        <w:rPr>
          <w:lang w:val="fr-FR" w:eastAsia="zh-CN"/>
        </w:rPr>
        <w:t> </w:t>
      </w:r>
      <w:r w:rsidR="007D6C56" w:rsidRPr="004E0F29">
        <w:rPr>
          <w:lang w:val="fr-FR" w:eastAsia="zh-CN"/>
        </w:rPr>
        <w:t>1, et</w:t>
      </w:r>
    </w:p>
    <w:p w:rsidR="000E6DEB" w:rsidRPr="004E0F29" w:rsidRDefault="000E6DEB" w:rsidP="007D4D4A">
      <w:pPr>
        <w:pStyle w:val="DecisionParagraphs"/>
        <w:rPr>
          <w:lang w:val="fr-FR"/>
        </w:rPr>
      </w:pPr>
    </w:p>
    <w:p w:rsidR="000E6DEB" w:rsidRPr="004E0F29" w:rsidRDefault="007D4D4A" w:rsidP="007D4D4A">
      <w:pPr>
        <w:pStyle w:val="DecisionParagraphs"/>
        <w:rPr>
          <w:lang w:val="fr-FR"/>
        </w:rPr>
      </w:pPr>
      <w:r>
        <w:rPr>
          <w:lang w:val="fr-FR"/>
        </w:rPr>
        <w:tab/>
        <w:t>b)</w:t>
      </w:r>
      <w:r>
        <w:rPr>
          <w:lang w:val="fr-FR"/>
        </w:rPr>
        <w:tab/>
      </w:r>
      <w:r w:rsidR="007D6C56" w:rsidRPr="004E0F29">
        <w:rPr>
          <w:lang w:val="fr-FR"/>
        </w:rPr>
        <w:t>noter que, sous réserve de l</w:t>
      </w:r>
      <w:r w:rsidR="00653682" w:rsidRPr="004E0F29">
        <w:rPr>
          <w:lang w:val="fr-FR"/>
        </w:rPr>
        <w:t>’</w:t>
      </w:r>
      <w:r w:rsidR="007D6C56" w:rsidRPr="004E0F29">
        <w:rPr>
          <w:lang w:val="fr-FR"/>
        </w:rPr>
        <w:t>accord</w:t>
      </w:r>
      <w:r w:rsidR="00653682" w:rsidRPr="004E0F29">
        <w:rPr>
          <w:lang w:val="fr-FR"/>
        </w:rPr>
        <w:t xml:space="preserve"> du CAJ</w:t>
      </w:r>
      <w:r w:rsidR="007D6C56" w:rsidRPr="004E0F29">
        <w:rPr>
          <w:lang w:val="fr-FR"/>
        </w:rPr>
        <w:t>, un projet approuvé du document TGP/5</w:t>
      </w:r>
      <w:r w:rsidR="00653682" w:rsidRPr="004E0F29">
        <w:rPr>
          <w:lang w:val="fr-FR"/>
        </w:rPr>
        <w:t> :</w:t>
      </w:r>
      <w:r w:rsidR="007D6C56" w:rsidRPr="004E0F29">
        <w:rPr>
          <w:lang w:val="fr-FR"/>
        </w:rPr>
        <w:t xml:space="preserve"> </w:t>
      </w:r>
      <w:r w:rsidR="00653682" w:rsidRPr="004E0F29">
        <w:rPr>
          <w:lang w:val="fr-FR"/>
        </w:rPr>
        <w:t>section 6</w:t>
      </w:r>
      <w:r w:rsidR="007D6C56" w:rsidRPr="004E0F29">
        <w:rPr>
          <w:lang w:val="fr-FR"/>
        </w:rPr>
        <w:t xml:space="preserve"> sera présenté pour adoption par le Conseil </w:t>
      </w:r>
      <w:r w:rsidR="00653682" w:rsidRPr="004E0F29">
        <w:rPr>
          <w:lang w:val="fr-FR"/>
        </w:rPr>
        <w:t>en 2022</w:t>
      </w:r>
      <w:r w:rsidR="007D6C56" w:rsidRPr="004E0F29">
        <w:rPr>
          <w:lang w:val="fr-FR"/>
        </w:rPr>
        <w:t>.</w:t>
      </w:r>
    </w:p>
    <w:p w:rsidR="000E6DEB" w:rsidRPr="004E0F29" w:rsidRDefault="000E6DEB" w:rsidP="00002258">
      <w:pPr>
        <w:rPr>
          <w:lang w:val="fr-FR"/>
        </w:rPr>
      </w:pPr>
    </w:p>
    <w:p w:rsidR="000E6DEB" w:rsidRPr="004E0F29" w:rsidRDefault="00280DFC" w:rsidP="00280DFC">
      <w:pPr>
        <w:pStyle w:val="Heading2"/>
        <w:rPr>
          <w:rFonts w:cs="Arial"/>
          <w:lang w:val="fr-FR"/>
        </w:rPr>
      </w:pPr>
      <w:bookmarkStart w:id="13" w:name="_Toc109232382"/>
      <w:r w:rsidRPr="004E0F29">
        <w:rPr>
          <w:rFonts w:cs="Arial"/>
          <w:lang w:val="fr-FR"/>
        </w:rPr>
        <w:t>TGP/8</w:t>
      </w:r>
      <w:r w:rsidR="00653682" w:rsidRPr="004E0F29">
        <w:rPr>
          <w:rFonts w:cs="Arial"/>
          <w:lang w:val="fr-FR"/>
        </w:rPr>
        <w:t> :</w:t>
      </w:r>
      <w:r w:rsidRPr="004E0F29">
        <w:rPr>
          <w:rFonts w:cs="Arial"/>
          <w:lang w:val="fr-FR"/>
        </w:rPr>
        <w:t xml:space="preserve"> Protocole d</w:t>
      </w:r>
      <w:r w:rsidR="00653682" w:rsidRPr="004E0F29">
        <w:rPr>
          <w:rFonts w:cs="Arial"/>
          <w:lang w:val="fr-FR"/>
        </w:rPr>
        <w:t>’</w:t>
      </w:r>
      <w:r w:rsidRPr="004E0F29">
        <w:rPr>
          <w:rFonts w:cs="Arial"/>
          <w:lang w:val="fr-FR"/>
        </w:rPr>
        <w:t>essai et techniques utilisés dans l</w:t>
      </w:r>
      <w:r w:rsidR="00653682" w:rsidRPr="004E0F29">
        <w:rPr>
          <w:rFonts w:cs="Arial"/>
          <w:lang w:val="fr-FR"/>
        </w:rPr>
        <w:t>’</w:t>
      </w:r>
      <w:r w:rsidRPr="004E0F29">
        <w:rPr>
          <w:rFonts w:cs="Arial"/>
          <w:lang w:val="fr-FR"/>
        </w:rPr>
        <w:t>examen de la distinction, de l</w:t>
      </w:r>
      <w:r w:rsidR="00653682" w:rsidRPr="004E0F29">
        <w:rPr>
          <w:rFonts w:cs="Arial"/>
          <w:lang w:val="fr-FR"/>
        </w:rPr>
        <w:t>’</w:t>
      </w:r>
      <w:r w:rsidRPr="004E0F29">
        <w:rPr>
          <w:rFonts w:cs="Arial"/>
          <w:lang w:val="fr-FR"/>
        </w:rPr>
        <w:t>homogénéité et de la stabilité (révision) (</w:t>
      </w:r>
      <w:r w:rsidR="00653682" w:rsidRPr="004E0F29">
        <w:rPr>
          <w:rFonts w:cs="Arial"/>
          <w:lang w:val="fr-FR"/>
        </w:rPr>
        <w:t>annexe I</w:t>
      </w:r>
      <w:r w:rsidRPr="004E0F29">
        <w:rPr>
          <w:rFonts w:cs="Arial"/>
          <w:lang w:val="fr-FR"/>
        </w:rPr>
        <w:t>I)</w:t>
      </w:r>
      <w:bookmarkEnd w:id="13"/>
    </w:p>
    <w:p w:rsidR="000E6DEB" w:rsidRPr="004E0F29" w:rsidRDefault="000E6DEB" w:rsidP="00002258">
      <w:pPr>
        <w:rPr>
          <w:rFonts w:cs="Arial"/>
          <w:lang w:val="fr-FR"/>
        </w:rPr>
      </w:pPr>
    </w:p>
    <w:p w:rsidR="00653682" w:rsidRPr="004E0F29" w:rsidRDefault="00002258" w:rsidP="00280DFC">
      <w:pPr>
        <w:keepNext/>
        <w:rPr>
          <w:lang w:val="fr-FR"/>
        </w:rPr>
      </w:pPr>
      <w:r w:rsidRPr="004E0F29">
        <w:rPr>
          <w:rFonts w:cs="Arial"/>
          <w:lang w:val="fr-FR"/>
        </w:rPr>
        <w:fldChar w:fldCharType="begin"/>
      </w:r>
      <w:r w:rsidRPr="004E0F29">
        <w:rPr>
          <w:rFonts w:cs="Arial"/>
          <w:lang w:val="fr-FR"/>
        </w:rPr>
        <w:instrText xml:space="preserve"> AUTONUM  </w:instrText>
      </w:r>
      <w:r w:rsidRPr="004E0F29">
        <w:rPr>
          <w:rFonts w:cs="Arial"/>
          <w:lang w:val="fr-FR"/>
        </w:rPr>
        <w:fldChar w:fldCharType="end"/>
      </w:r>
      <w:r w:rsidRPr="004E0F29">
        <w:rPr>
          <w:rFonts w:cs="Arial"/>
          <w:lang w:val="fr-FR"/>
        </w:rPr>
        <w:tab/>
      </w:r>
      <w:r w:rsidR="00280DFC" w:rsidRPr="004E0F29">
        <w:rPr>
          <w:rFonts w:cs="Arial"/>
          <w:lang w:val="fr-FR"/>
        </w:rPr>
        <w:t>Le CAJ sera invité à approuver la proposition du</w:t>
      </w:r>
      <w:r w:rsidR="00653682" w:rsidRPr="004E0F29">
        <w:rPr>
          <w:rFonts w:cs="Arial"/>
          <w:lang w:val="fr-FR"/>
        </w:rPr>
        <w:t> TC</w:t>
      </w:r>
      <w:r w:rsidR="00280DFC" w:rsidRPr="004E0F29">
        <w:rPr>
          <w:rFonts w:cs="Arial"/>
          <w:lang w:val="fr-FR"/>
        </w:rPr>
        <w:t xml:space="preserve"> </w:t>
      </w:r>
      <w:r w:rsidR="000B755D" w:rsidRPr="004E0F29">
        <w:rPr>
          <w:rFonts w:cs="Arial"/>
          <w:lang w:val="fr-FR"/>
        </w:rPr>
        <w:t>qui vise à</w:t>
      </w:r>
      <w:r w:rsidR="00280DFC" w:rsidRPr="004E0F29">
        <w:rPr>
          <w:rFonts w:cs="Arial"/>
          <w:lang w:val="fr-FR"/>
        </w:rPr>
        <w:t xml:space="preserve"> modifier le document TGP/8/4 </w:t>
      </w:r>
      <w:r w:rsidR="00653682" w:rsidRPr="004E0F29">
        <w:rPr>
          <w:rFonts w:cs="Arial"/>
          <w:lang w:val="fr-FR"/>
        </w:rPr>
        <w:t>“P</w:t>
      </w:r>
      <w:r w:rsidR="00280DFC" w:rsidRPr="004E0F29">
        <w:rPr>
          <w:rFonts w:cs="Arial"/>
          <w:lang w:val="fr-FR"/>
        </w:rPr>
        <w:t>rotocole d</w:t>
      </w:r>
      <w:r w:rsidR="00653682" w:rsidRPr="004E0F29">
        <w:rPr>
          <w:rFonts w:cs="Arial"/>
          <w:lang w:val="fr-FR"/>
        </w:rPr>
        <w:t>’</w:t>
      </w:r>
      <w:r w:rsidR="00280DFC" w:rsidRPr="004E0F29">
        <w:rPr>
          <w:rFonts w:cs="Arial"/>
          <w:lang w:val="fr-FR"/>
        </w:rPr>
        <w:t>essai et techniques utilisés dans l</w:t>
      </w:r>
      <w:r w:rsidR="00653682" w:rsidRPr="004E0F29">
        <w:rPr>
          <w:rFonts w:cs="Arial"/>
          <w:lang w:val="fr-FR"/>
        </w:rPr>
        <w:t>’</w:t>
      </w:r>
      <w:r w:rsidR="00280DFC" w:rsidRPr="004E0F29">
        <w:rPr>
          <w:rFonts w:cs="Arial"/>
          <w:lang w:val="fr-FR"/>
        </w:rPr>
        <w:t>examen de la distinction, de l</w:t>
      </w:r>
      <w:r w:rsidR="00653682" w:rsidRPr="004E0F29">
        <w:rPr>
          <w:rFonts w:cs="Arial"/>
          <w:lang w:val="fr-FR"/>
        </w:rPr>
        <w:t>’</w:t>
      </w:r>
      <w:r w:rsidR="00280DFC" w:rsidRPr="004E0F29">
        <w:rPr>
          <w:rFonts w:cs="Arial"/>
          <w:lang w:val="fr-FR"/>
        </w:rPr>
        <w:t>homogénéité et de la stabilit</w:t>
      </w:r>
      <w:r w:rsidR="00653682" w:rsidRPr="004E0F29">
        <w:rPr>
          <w:rFonts w:cs="Arial"/>
          <w:lang w:val="fr-FR"/>
        </w:rPr>
        <w:t>é”</w:t>
      </w:r>
      <w:r w:rsidR="00280DFC" w:rsidRPr="004E0F29">
        <w:rPr>
          <w:rFonts w:cs="Arial"/>
          <w:lang w:val="fr-FR"/>
        </w:rPr>
        <w:t>, qui figure à l</w:t>
      </w:r>
      <w:r w:rsidR="00653682" w:rsidRPr="004E0F29">
        <w:rPr>
          <w:rFonts w:cs="Arial"/>
          <w:lang w:val="fr-FR"/>
        </w:rPr>
        <w:t>’annexe I</w:t>
      </w:r>
      <w:r w:rsidR="00280DFC" w:rsidRPr="004E0F29">
        <w:rPr>
          <w:rFonts w:cs="Arial"/>
          <w:lang w:val="fr-FR"/>
        </w:rPr>
        <w:t>I du présent document.</w:t>
      </w:r>
    </w:p>
    <w:p w:rsidR="000E6DEB" w:rsidRPr="004E0F29" w:rsidRDefault="000E6DEB" w:rsidP="00002258">
      <w:pPr>
        <w:rPr>
          <w:lang w:val="fr-FR"/>
        </w:rPr>
      </w:pPr>
    </w:p>
    <w:p w:rsidR="001D5080" w:rsidRDefault="001D5080">
      <w:pPr>
        <w:jc w:val="left"/>
        <w:rPr>
          <w:i/>
          <w:lang w:val="fr-FR"/>
        </w:rPr>
      </w:pPr>
      <w:r>
        <w:rPr>
          <w:lang w:val="fr-FR"/>
        </w:rPr>
        <w:br w:type="page"/>
      </w:r>
    </w:p>
    <w:p w:rsidR="000E6DEB" w:rsidRPr="004E0F29" w:rsidRDefault="00002258" w:rsidP="00280DFC">
      <w:pPr>
        <w:pStyle w:val="DecisionParagraphs"/>
        <w:rPr>
          <w:lang w:val="fr-FR"/>
        </w:rPr>
      </w:pPr>
      <w:r w:rsidRPr="004E0F29">
        <w:rPr>
          <w:lang w:val="fr-FR"/>
        </w:rPr>
        <w:lastRenderedPageBreak/>
        <w:fldChar w:fldCharType="begin"/>
      </w:r>
      <w:r w:rsidRPr="004E0F29">
        <w:rPr>
          <w:lang w:val="fr-FR"/>
        </w:rPr>
        <w:instrText xml:space="preserve"> AUTONUM  </w:instrText>
      </w:r>
      <w:r w:rsidRPr="004E0F29">
        <w:rPr>
          <w:lang w:val="fr-FR"/>
        </w:rPr>
        <w:fldChar w:fldCharType="end"/>
      </w:r>
      <w:r w:rsidRPr="004E0F29">
        <w:rPr>
          <w:lang w:val="fr-FR"/>
        </w:rPr>
        <w:tab/>
      </w:r>
      <w:r w:rsidR="00280DFC" w:rsidRPr="004E0F29">
        <w:rPr>
          <w:lang w:val="fr-FR"/>
        </w:rPr>
        <w:t>Le CAJ est invité</w:t>
      </w:r>
      <w:r w:rsidR="00872F92">
        <w:rPr>
          <w:lang w:val="fr-FR"/>
        </w:rPr>
        <w:t xml:space="preserve"> à :</w:t>
      </w:r>
    </w:p>
    <w:p w:rsidR="000E6DEB" w:rsidRPr="004E0F29" w:rsidRDefault="000E6DEB" w:rsidP="00680983">
      <w:pPr>
        <w:pStyle w:val="DecisionParagraphs"/>
        <w:rPr>
          <w:lang w:val="fr-FR"/>
        </w:rPr>
      </w:pPr>
    </w:p>
    <w:p w:rsidR="000E6DEB" w:rsidRPr="004E0F29" w:rsidRDefault="007D4D4A" w:rsidP="007D4D4A">
      <w:pPr>
        <w:pStyle w:val="DecisionParagraphs"/>
        <w:rPr>
          <w:lang w:val="fr-FR"/>
        </w:rPr>
      </w:pPr>
      <w:r>
        <w:rPr>
          <w:lang w:val="fr-FR"/>
        </w:rPr>
        <w:tab/>
        <w:t>a)</w:t>
      </w:r>
      <w:r>
        <w:rPr>
          <w:lang w:val="fr-FR"/>
        </w:rPr>
        <w:tab/>
      </w:r>
      <w:r w:rsidR="00280DFC" w:rsidRPr="004E0F29">
        <w:rPr>
          <w:lang w:val="fr-FR"/>
        </w:rPr>
        <w:t xml:space="preserve">approuver la proposition de révision du document TGP/8/4 </w:t>
      </w:r>
      <w:r w:rsidR="00653682" w:rsidRPr="004E0F29">
        <w:rPr>
          <w:lang w:val="fr-FR"/>
        </w:rPr>
        <w:t>“P</w:t>
      </w:r>
      <w:r w:rsidR="00280DFC" w:rsidRPr="004E0F29">
        <w:rPr>
          <w:lang w:val="fr-FR"/>
        </w:rPr>
        <w:t>rotocole d</w:t>
      </w:r>
      <w:r w:rsidR="00653682" w:rsidRPr="004E0F29">
        <w:rPr>
          <w:lang w:val="fr-FR"/>
        </w:rPr>
        <w:t>’</w:t>
      </w:r>
      <w:r w:rsidR="00280DFC" w:rsidRPr="004E0F29">
        <w:rPr>
          <w:lang w:val="fr-FR"/>
        </w:rPr>
        <w:t>essai et techniques utilisés dans l</w:t>
      </w:r>
      <w:r w:rsidR="00653682" w:rsidRPr="004E0F29">
        <w:rPr>
          <w:lang w:val="fr-FR"/>
        </w:rPr>
        <w:t>’</w:t>
      </w:r>
      <w:r w:rsidR="00280DFC" w:rsidRPr="004E0F29">
        <w:rPr>
          <w:lang w:val="fr-FR"/>
        </w:rPr>
        <w:t>examen de la distinction, de l</w:t>
      </w:r>
      <w:r w:rsidR="00653682" w:rsidRPr="004E0F29">
        <w:rPr>
          <w:lang w:val="fr-FR"/>
        </w:rPr>
        <w:t>’</w:t>
      </w:r>
      <w:r w:rsidR="00280DFC" w:rsidRPr="004E0F29">
        <w:rPr>
          <w:lang w:val="fr-FR"/>
        </w:rPr>
        <w:t>homogénéité et de la stabilit</w:t>
      </w:r>
      <w:r w:rsidR="00653682" w:rsidRPr="004E0F29">
        <w:rPr>
          <w:lang w:val="fr-FR"/>
        </w:rPr>
        <w:t>é”</w:t>
      </w:r>
      <w:r w:rsidR="00280DFC" w:rsidRPr="004E0F29">
        <w:rPr>
          <w:lang w:val="fr-FR"/>
        </w:rPr>
        <w:t>, qui figure à l</w:t>
      </w:r>
      <w:r w:rsidR="00653682" w:rsidRPr="004E0F29">
        <w:rPr>
          <w:lang w:val="fr-FR"/>
        </w:rPr>
        <w:t>’annexe I</w:t>
      </w:r>
      <w:r w:rsidR="00280DFC" w:rsidRPr="004E0F29">
        <w:rPr>
          <w:lang w:val="fr-FR"/>
        </w:rPr>
        <w:t>I du présent document, et</w:t>
      </w:r>
    </w:p>
    <w:p w:rsidR="000E6DEB" w:rsidRPr="004E0F29" w:rsidRDefault="000E6DEB" w:rsidP="00CF63CE">
      <w:pPr>
        <w:pStyle w:val="DecisionParagraphs"/>
        <w:rPr>
          <w:lang w:val="fr-FR"/>
        </w:rPr>
      </w:pPr>
    </w:p>
    <w:p w:rsidR="000E6DEB" w:rsidRPr="004E0F29" w:rsidRDefault="007D4D4A" w:rsidP="007D4D4A">
      <w:pPr>
        <w:pStyle w:val="DecisionParagraphs"/>
        <w:rPr>
          <w:lang w:val="fr-FR"/>
        </w:rPr>
      </w:pPr>
      <w:r>
        <w:rPr>
          <w:lang w:val="fr-FR"/>
        </w:rPr>
        <w:tab/>
        <w:t>b)</w:t>
      </w:r>
      <w:r>
        <w:rPr>
          <w:lang w:val="fr-FR"/>
        </w:rPr>
        <w:tab/>
      </w:r>
      <w:r w:rsidR="00280DFC" w:rsidRPr="004E0F29">
        <w:rPr>
          <w:lang w:val="fr-FR"/>
        </w:rPr>
        <w:t>noter que, sous réserve de l</w:t>
      </w:r>
      <w:r w:rsidR="00653682" w:rsidRPr="004E0F29">
        <w:rPr>
          <w:lang w:val="fr-FR"/>
        </w:rPr>
        <w:t>’</w:t>
      </w:r>
      <w:r w:rsidR="00280DFC" w:rsidRPr="004E0F29">
        <w:rPr>
          <w:lang w:val="fr-FR"/>
        </w:rPr>
        <w:t>accord</w:t>
      </w:r>
      <w:r w:rsidR="00653682" w:rsidRPr="004E0F29">
        <w:rPr>
          <w:lang w:val="fr-FR"/>
        </w:rPr>
        <w:t xml:space="preserve"> du CAJ</w:t>
      </w:r>
      <w:r w:rsidR="00280DFC" w:rsidRPr="004E0F29">
        <w:rPr>
          <w:lang w:val="fr-FR"/>
        </w:rPr>
        <w:t>, la proposition de révision du document TGP/8/4, qui figure à l</w:t>
      </w:r>
      <w:r w:rsidR="00653682" w:rsidRPr="004E0F29">
        <w:rPr>
          <w:lang w:val="fr-FR"/>
        </w:rPr>
        <w:t>’annexe I</w:t>
      </w:r>
      <w:r w:rsidR="00280DFC" w:rsidRPr="004E0F29">
        <w:rPr>
          <w:lang w:val="fr-FR"/>
        </w:rPr>
        <w:t xml:space="preserve">I du présent document, sera présentée pour adoption par le Conseil </w:t>
      </w:r>
      <w:r w:rsidR="00653682" w:rsidRPr="004E0F29">
        <w:rPr>
          <w:lang w:val="fr-FR"/>
        </w:rPr>
        <w:t>en 2022</w:t>
      </w:r>
      <w:r w:rsidR="00280DFC" w:rsidRPr="004E0F29">
        <w:rPr>
          <w:lang w:val="fr-FR"/>
        </w:rPr>
        <w:t>.</w:t>
      </w:r>
    </w:p>
    <w:p w:rsidR="000E6DEB" w:rsidRPr="007D4D4A" w:rsidRDefault="000E6DEB" w:rsidP="007D4D4A">
      <w:pPr>
        <w:pStyle w:val="DecisionParagraphs"/>
        <w:ind w:left="0"/>
        <w:rPr>
          <w:i w:val="0"/>
          <w:lang w:val="fr-FR"/>
        </w:rPr>
      </w:pPr>
    </w:p>
    <w:p w:rsidR="000E6DEB" w:rsidRPr="004E0F29" w:rsidRDefault="00280DFC" w:rsidP="00280DFC">
      <w:pPr>
        <w:pStyle w:val="Heading2"/>
        <w:rPr>
          <w:lang w:val="fr-FR"/>
        </w:rPr>
      </w:pPr>
      <w:bookmarkStart w:id="14" w:name="_Toc109232383"/>
      <w:r w:rsidRPr="004E0F29">
        <w:rPr>
          <w:lang w:val="fr-FR"/>
        </w:rPr>
        <w:t>TGP/12</w:t>
      </w:r>
      <w:r w:rsidR="00653682" w:rsidRPr="004E0F29">
        <w:rPr>
          <w:lang w:val="fr-FR"/>
        </w:rPr>
        <w:t> :</w:t>
      </w:r>
      <w:r w:rsidRPr="004E0F29">
        <w:rPr>
          <w:lang w:val="fr-FR"/>
        </w:rPr>
        <w:t xml:space="preserve"> Conseils en ce qui concerne certains caractères physiologiques (révision) (</w:t>
      </w:r>
      <w:r w:rsidR="00653682" w:rsidRPr="004E0F29">
        <w:rPr>
          <w:lang w:val="fr-FR"/>
        </w:rPr>
        <w:t>annexe I</w:t>
      </w:r>
      <w:r w:rsidRPr="004E0F29">
        <w:rPr>
          <w:lang w:val="fr-FR"/>
        </w:rPr>
        <w:t>II)</w:t>
      </w:r>
      <w:bookmarkEnd w:id="14"/>
    </w:p>
    <w:p w:rsidR="000E6DEB" w:rsidRPr="004E0F29" w:rsidRDefault="000E6DEB" w:rsidP="00002258">
      <w:pPr>
        <w:pStyle w:val="Heading2"/>
        <w:rPr>
          <w:snapToGrid w:val="0"/>
          <w:lang w:val="fr-FR"/>
        </w:rPr>
      </w:pPr>
    </w:p>
    <w:p w:rsidR="00653682" w:rsidRPr="004E0F29" w:rsidRDefault="00002258" w:rsidP="00280DFC">
      <w:pPr>
        <w:keepNext/>
        <w:rPr>
          <w:lang w:val="fr-FR"/>
        </w:rPr>
      </w:pPr>
      <w:r w:rsidRPr="004E0F29">
        <w:rPr>
          <w:lang w:val="fr-FR"/>
        </w:rPr>
        <w:fldChar w:fldCharType="begin"/>
      </w:r>
      <w:r w:rsidRPr="004E0F29">
        <w:rPr>
          <w:lang w:val="fr-FR"/>
        </w:rPr>
        <w:instrText xml:space="preserve"> AUTONUM  </w:instrText>
      </w:r>
      <w:r w:rsidRPr="004E0F29">
        <w:rPr>
          <w:lang w:val="fr-FR"/>
        </w:rPr>
        <w:fldChar w:fldCharType="end"/>
      </w:r>
      <w:r w:rsidRPr="004E0F29">
        <w:rPr>
          <w:lang w:val="fr-FR"/>
        </w:rPr>
        <w:tab/>
      </w:r>
      <w:r w:rsidR="00280DFC" w:rsidRPr="004E0F29">
        <w:rPr>
          <w:lang w:val="fr-FR"/>
        </w:rPr>
        <w:t>Le CAJ sera invité à approuver la proposition du</w:t>
      </w:r>
      <w:r w:rsidR="00653682" w:rsidRPr="004E0F29">
        <w:rPr>
          <w:lang w:val="fr-FR"/>
        </w:rPr>
        <w:t> TC</w:t>
      </w:r>
      <w:r w:rsidR="00280DFC" w:rsidRPr="004E0F29">
        <w:rPr>
          <w:lang w:val="fr-FR"/>
        </w:rPr>
        <w:t xml:space="preserve"> qui vise à modifier le document TGP/12/2 </w:t>
      </w:r>
      <w:r w:rsidR="00653682" w:rsidRPr="004E0F29">
        <w:rPr>
          <w:lang w:val="fr-FR"/>
        </w:rPr>
        <w:t>“C</w:t>
      </w:r>
      <w:r w:rsidR="00280DFC" w:rsidRPr="004E0F29">
        <w:rPr>
          <w:lang w:val="fr-FR"/>
        </w:rPr>
        <w:t>onseils en ce qui concerne certains caractères physiologique</w:t>
      </w:r>
      <w:r w:rsidR="00653682" w:rsidRPr="004E0F29">
        <w:rPr>
          <w:lang w:val="fr-FR"/>
        </w:rPr>
        <w:t>s”</w:t>
      </w:r>
      <w:r w:rsidR="00280DFC" w:rsidRPr="004E0F29">
        <w:rPr>
          <w:lang w:val="fr-FR"/>
        </w:rPr>
        <w:t>, qui figure à l</w:t>
      </w:r>
      <w:r w:rsidR="00653682" w:rsidRPr="004E0F29">
        <w:rPr>
          <w:lang w:val="fr-FR"/>
        </w:rPr>
        <w:t>’annexe I</w:t>
      </w:r>
      <w:r w:rsidR="00280DFC" w:rsidRPr="004E0F29">
        <w:rPr>
          <w:lang w:val="fr-FR"/>
        </w:rPr>
        <w:t>II du présent document.</w:t>
      </w:r>
    </w:p>
    <w:p w:rsidR="000E6DEB" w:rsidRPr="004E0F29" w:rsidRDefault="000E6DEB" w:rsidP="00002258">
      <w:pPr>
        <w:keepNext/>
        <w:rPr>
          <w:lang w:val="fr-FR"/>
        </w:rPr>
      </w:pPr>
    </w:p>
    <w:p w:rsidR="000E6DEB" w:rsidRPr="004E0F29" w:rsidRDefault="00002258" w:rsidP="00280DFC">
      <w:pPr>
        <w:pStyle w:val="DecisionParagraphs"/>
        <w:rPr>
          <w:lang w:val="fr-FR"/>
        </w:rPr>
      </w:pPr>
      <w:r w:rsidRPr="004E0F29">
        <w:rPr>
          <w:lang w:val="fr-FR"/>
        </w:rPr>
        <w:fldChar w:fldCharType="begin"/>
      </w:r>
      <w:r w:rsidRPr="004E0F29">
        <w:rPr>
          <w:lang w:val="fr-FR"/>
        </w:rPr>
        <w:instrText xml:space="preserve"> AUTONUM  </w:instrText>
      </w:r>
      <w:r w:rsidRPr="004E0F29">
        <w:rPr>
          <w:lang w:val="fr-FR"/>
        </w:rPr>
        <w:fldChar w:fldCharType="end"/>
      </w:r>
      <w:r w:rsidRPr="004E0F29">
        <w:rPr>
          <w:lang w:val="fr-FR"/>
        </w:rPr>
        <w:tab/>
      </w:r>
      <w:r w:rsidR="00280DFC" w:rsidRPr="004E0F29">
        <w:rPr>
          <w:lang w:val="fr-FR"/>
        </w:rPr>
        <w:t>Le CAJ est invité</w:t>
      </w:r>
      <w:r w:rsidR="00872F92">
        <w:rPr>
          <w:lang w:val="fr-FR"/>
        </w:rPr>
        <w:t xml:space="preserve"> à :</w:t>
      </w:r>
    </w:p>
    <w:p w:rsidR="00653682" w:rsidRPr="004E0F29" w:rsidRDefault="00653682" w:rsidP="00002258">
      <w:pPr>
        <w:pStyle w:val="DecisionParagraphs"/>
        <w:rPr>
          <w:lang w:val="fr-FR"/>
        </w:rPr>
      </w:pPr>
    </w:p>
    <w:p w:rsidR="000E6DEB" w:rsidRPr="004E0F29" w:rsidRDefault="007D4D4A" w:rsidP="007D4D4A">
      <w:pPr>
        <w:pStyle w:val="DecisionParagraphs"/>
        <w:rPr>
          <w:lang w:val="fr-FR"/>
        </w:rPr>
      </w:pPr>
      <w:r>
        <w:rPr>
          <w:lang w:val="fr-FR"/>
        </w:rPr>
        <w:tab/>
        <w:t>a)</w:t>
      </w:r>
      <w:r>
        <w:rPr>
          <w:lang w:val="fr-FR"/>
        </w:rPr>
        <w:tab/>
      </w:r>
      <w:r w:rsidR="00280DFC" w:rsidRPr="004E0F29">
        <w:rPr>
          <w:lang w:val="fr-FR"/>
        </w:rPr>
        <w:t xml:space="preserve">approuver la proposition de révision du document TGP/12/2 </w:t>
      </w:r>
      <w:r w:rsidR="00653682" w:rsidRPr="004E0F29">
        <w:rPr>
          <w:lang w:val="fr-FR"/>
        </w:rPr>
        <w:t>“C</w:t>
      </w:r>
      <w:r w:rsidR="00280DFC" w:rsidRPr="004E0F29">
        <w:rPr>
          <w:lang w:val="fr-FR"/>
        </w:rPr>
        <w:t>onseils en ce qui concerne certains caractères physiologique</w:t>
      </w:r>
      <w:r w:rsidR="00653682" w:rsidRPr="004E0F29">
        <w:rPr>
          <w:lang w:val="fr-FR"/>
        </w:rPr>
        <w:t>s”</w:t>
      </w:r>
      <w:r w:rsidR="00280DFC" w:rsidRPr="004E0F29">
        <w:rPr>
          <w:lang w:val="fr-FR"/>
        </w:rPr>
        <w:t>, qui figure à l</w:t>
      </w:r>
      <w:r w:rsidR="00653682" w:rsidRPr="004E0F29">
        <w:rPr>
          <w:lang w:val="fr-FR"/>
        </w:rPr>
        <w:t>’annexe I</w:t>
      </w:r>
      <w:r w:rsidR="00280DFC" w:rsidRPr="004E0F29">
        <w:rPr>
          <w:lang w:val="fr-FR"/>
        </w:rPr>
        <w:t>II, et</w:t>
      </w:r>
    </w:p>
    <w:p w:rsidR="000E6DEB" w:rsidRPr="004E0F29" w:rsidRDefault="000E6DEB" w:rsidP="007D4D4A">
      <w:pPr>
        <w:pStyle w:val="DecisionParagraphs"/>
        <w:rPr>
          <w:lang w:val="fr-FR"/>
        </w:rPr>
      </w:pPr>
    </w:p>
    <w:p w:rsidR="000E6DEB" w:rsidRPr="004E0F29" w:rsidRDefault="007D4D4A" w:rsidP="007D4D4A">
      <w:pPr>
        <w:pStyle w:val="DecisionParagraphs"/>
        <w:rPr>
          <w:lang w:val="fr-FR"/>
        </w:rPr>
      </w:pPr>
      <w:r>
        <w:rPr>
          <w:lang w:val="fr-FR"/>
        </w:rPr>
        <w:tab/>
        <w:t>b)</w:t>
      </w:r>
      <w:r>
        <w:rPr>
          <w:lang w:val="fr-FR"/>
        </w:rPr>
        <w:tab/>
      </w:r>
      <w:r w:rsidR="00280DFC" w:rsidRPr="004E0F29">
        <w:rPr>
          <w:lang w:val="fr-FR"/>
        </w:rPr>
        <w:t>noter que, sous réserve de l</w:t>
      </w:r>
      <w:r w:rsidR="00653682" w:rsidRPr="004E0F29">
        <w:rPr>
          <w:lang w:val="fr-FR"/>
        </w:rPr>
        <w:t>’</w:t>
      </w:r>
      <w:r w:rsidR="00280DFC" w:rsidRPr="004E0F29">
        <w:rPr>
          <w:lang w:val="fr-FR"/>
        </w:rPr>
        <w:t>accord</w:t>
      </w:r>
      <w:r w:rsidR="00653682" w:rsidRPr="004E0F29">
        <w:rPr>
          <w:lang w:val="fr-FR"/>
        </w:rPr>
        <w:t xml:space="preserve"> du CAJ</w:t>
      </w:r>
      <w:r w:rsidR="00280DFC" w:rsidRPr="004E0F29">
        <w:rPr>
          <w:lang w:val="fr-FR"/>
        </w:rPr>
        <w:t>, la proposition de révision du document TGP/12/2, qui fig</w:t>
      </w:r>
      <w:r w:rsidR="007E4E45" w:rsidRPr="004E0F29">
        <w:rPr>
          <w:lang w:val="fr-FR"/>
        </w:rPr>
        <w:t>u</w:t>
      </w:r>
      <w:r w:rsidR="00280DFC" w:rsidRPr="004E0F29">
        <w:rPr>
          <w:lang w:val="fr-FR"/>
        </w:rPr>
        <w:t>re à l</w:t>
      </w:r>
      <w:r w:rsidR="00653682" w:rsidRPr="004E0F29">
        <w:rPr>
          <w:lang w:val="fr-FR"/>
        </w:rPr>
        <w:t>’annexe I</w:t>
      </w:r>
      <w:r w:rsidR="00280DFC" w:rsidRPr="004E0F29">
        <w:rPr>
          <w:lang w:val="fr-FR"/>
        </w:rPr>
        <w:t xml:space="preserve">II du présent document, sera présentée pour adoption par le Conseil </w:t>
      </w:r>
      <w:r w:rsidR="00653682" w:rsidRPr="004E0F29">
        <w:rPr>
          <w:lang w:val="fr-FR"/>
        </w:rPr>
        <w:t>en 2022</w:t>
      </w:r>
      <w:r w:rsidR="00280DFC" w:rsidRPr="004E0F29">
        <w:rPr>
          <w:lang w:val="fr-FR"/>
        </w:rPr>
        <w:t>.</w:t>
      </w:r>
    </w:p>
    <w:p w:rsidR="000E6DEB" w:rsidRPr="004E0F29" w:rsidRDefault="000E6DEB" w:rsidP="00002258">
      <w:pPr>
        <w:rPr>
          <w:lang w:val="fr-FR"/>
        </w:rPr>
      </w:pPr>
    </w:p>
    <w:p w:rsidR="000E6DEB" w:rsidRPr="004E0F29" w:rsidRDefault="000E6DEB" w:rsidP="007D4D4A">
      <w:pPr>
        <w:rPr>
          <w:lang w:val="fr-FR"/>
        </w:rPr>
      </w:pPr>
    </w:p>
    <w:p w:rsidR="00002258" w:rsidRDefault="00280DFC" w:rsidP="00B22A56">
      <w:pPr>
        <w:jc w:val="right"/>
        <w:rPr>
          <w:lang w:val="fr-FR"/>
        </w:rPr>
      </w:pPr>
      <w:r w:rsidRPr="004E0F29">
        <w:rPr>
          <w:lang w:val="fr-FR"/>
        </w:rPr>
        <w:t>[Les annexes suivent]</w:t>
      </w:r>
    </w:p>
    <w:p w:rsidR="00F044C1" w:rsidRDefault="00F044C1" w:rsidP="00B22A56">
      <w:pPr>
        <w:jc w:val="right"/>
        <w:rPr>
          <w:lang w:val="fr-FR"/>
        </w:rPr>
      </w:pPr>
    </w:p>
    <w:p w:rsidR="00F044C1" w:rsidRDefault="00F044C1" w:rsidP="00B22A56">
      <w:pPr>
        <w:jc w:val="right"/>
        <w:rPr>
          <w:lang w:val="fr-FR"/>
        </w:rPr>
        <w:sectPr w:rsidR="00F044C1" w:rsidSect="00744476">
          <w:headerReference w:type="even" r:id="rId10"/>
          <w:headerReference w:type="default" r:id="rId11"/>
          <w:pgSz w:w="11907" w:h="16840" w:code="9"/>
          <w:pgMar w:top="510" w:right="1134" w:bottom="1134" w:left="1134" w:header="510" w:footer="680" w:gutter="0"/>
          <w:pgNumType w:start="1"/>
          <w:cols w:space="720"/>
          <w:titlePg/>
          <w:docGrid w:linePitch="272"/>
        </w:sectPr>
      </w:pPr>
    </w:p>
    <w:p w:rsidR="00F044C1" w:rsidRPr="00E51C73" w:rsidRDefault="00F044C1" w:rsidP="00F044C1">
      <w:pPr>
        <w:jc w:val="center"/>
        <w:rPr>
          <w:lang w:val="fr-FR"/>
        </w:rPr>
      </w:pPr>
      <w:r>
        <w:rPr>
          <w:lang w:val="fr-FR"/>
        </w:rPr>
        <w:lastRenderedPageBreak/>
        <w:t>CAJ/79/3</w:t>
      </w:r>
    </w:p>
    <w:p w:rsidR="00F044C1" w:rsidRPr="00E51C73" w:rsidRDefault="00F044C1" w:rsidP="00F044C1">
      <w:pPr>
        <w:jc w:val="center"/>
        <w:rPr>
          <w:lang w:val="fr-FR"/>
        </w:rPr>
      </w:pPr>
    </w:p>
    <w:p w:rsidR="00F044C1" w:rsidRPr="00E51C73" w:rsidRDefault="00F044C1" w:rsidP="00F044C1">
      <w:pPr>
        <w:jc w:val="center"/>
        <w:rPr>
          <w:lang w:val="fr-FR"/>
        </w:rPr>
      </w:pPr>
      <w:r w:rsidRPr="00E51C73">
        <w:rPr>
          <w:lang w:val="fr-FR"/>
        </w:rPr>
        <w:t>ANNEXE I</w:t>
      </w:r>
    </w:p>
    <w:p w:rsidR="00F044C1" w:rsidRPr="00E51C73" w:rsidRDefault="00F044C1" w:rsidP="00F044C1">
      <w:pPr>
        <w:rPr>
          <w:lang w:val="fr-FR"/>
        </w:rPr>
      </w:pPr>
    </w:p>
    <w:p w:rsidR="00F044C1" w:rsidRPr="00E51C73" w:rsidRDefault="00F044C1" w:rsidP="00F044C1">
      <w:pPr>
        <w:rPr>
          <w:lang w:val="fr-FR"/>
        </w:rPr>
      </w:pPr>
    </w:p>
    <w:p w:rsidR="00F044C1" w:rsidRPr="00E51C73" w:rsidRDefault="00F044C1" w:rsidP="00F044C1">
      <w:pPr>
        <w:rPr>
          <w:u w:val="single"/>
          <w:lang w:val="fr-FR"/>
        </w:rPr>
      </w:pPr>
      <w:r w:rsidRPr="00E51C73">
        <w:rPr>
          <w:u w:val="single"/>
          <w:lang w:val="fr-FR"/>
        </w:rPr>
        <w:t>Document UPOV/EXN/DEN : Notes explicatives concernant les dénominations variétales en vertu de la Convention UPOV (révision)</w:t>
      </w:r>
    </w:p>
    <w:p w:rsidR="00F044C1" w:rsidRPr="00E51C73" w:rsidRDefault="00F044C1" w:rsidP="00F044C1">
      <w:pPr>
        <w:rPr>
          <w:lang w:val="fr-FR"/>
        </w:rPr>
      </w:pPr>
    </w:p>
    <w:p w:rsidR="00F044C1" w:rsidRPr="00E51C73" w:rsidRDefault="00F044C1" w:rsidP="00F044C1">
      <w:pPr>
        <w:rPr>
          <w:i/>
          <w:lang w:val="fr-FR"/>
        </w:rPr>
      </w:pPr>
      <w:r w:rsidRPr="00E51C73">
        <w:rPr>
          <w:i/>
          <w:lang w:val="fr-FR"/>
        </w:rPr>
        <w:t>Révision de la classe de dénomination 201</w:t>
      </w:r>
    </w:p>
    <w:p w:rsidR="00F044C1" w:rsidRPr="00E51C73" w:rsidRDefault="00F044C1" w:rsidP="00F044C1">
      <w:pPr>
        <w:rPr>
          <w:lang w:val="fr-FR"/>
        </w:rPr>
      </w:pPr>
    </w:p>
    <w:p w:rsidR="00F044C1" w:rsidRPr="00E51C73" w:rsidRDefault="00F044C1" w:rsidP="00F044C1">
      <w:pPr>
        <w:rPr>
          <w:lang w:val="fr-FR"/>
        </w:rPr>
      </w:pPr>
      <w:r w:rsidRPr="00E51C73">
        <w:rPr>
          <w:lang w:val="fr-FR"/>
        </w:rPr>
        <w:t>À sa cinquante-septième session tenue par voie électronique les 25 et 26 octobre 2021, le TC a examiné une proposition de révision du document UPOV/EXN/DEN/1, annexe I, deuxième partie “Classes englobant plusieurs genres”, et a décidé de proposer l’inclusion du gène “</w:t>
      </w:r>
      <w:r w:rsidRPr="00E51C73">
        <w:rPr>
          <w:i/>
          <w:lang w:val="fr-FR"/>
        </w:rPr>
        <w:t>×Trititrigia”</w:t>
      </w:r>
      <w:r w:rsidRPr="00E51C73">
        <w:rPr>
          <w:lang w:val="fr-FR"/>
        </w:rPr>
        <w:t xml:space="preserve"> dans la classe 201 des dénominations variétales, comme suit (voir le paragraphe 34 du document TC/57/25 “Compte rendu”) :</w:t>
      </w:r>
    </w:p>
    <w:p w:rsidR="00F044C1" w:rsidRPr="00E51C73" w:rsidRDefault="00F044C1" w:rsidP="00F044C1">
      <w:pPr>
        <w:rPr>
          <w:rFonts w:cs="Arial"/>
          <w:highlight w:val="cyan"/>
          <w:lang w:val="fr-FR"/>
        </w:rPr>
      </w:pPr>
    </w:p>
    <w:p w:rsidR="00F044C1" w:rsidRPr="0060449D" w:rsidRDefault="00F044C1" w:rsidP="00F044C1">
      <w:pPr>
        <w:jc w:val="center"/>
        <w:rPr>
          <w:lang w:val="fr-FR"/>
        </w:rPr>
      </w:pPr>
      <w:r w:rsidRPr="0060449D">
        <w:rPr>
          <w:lang w:val="fr-FR"/>
        </w:rPr>
        <w:t>LISTE DES CLASSES (deuxième partie)</w:t>
      </w:r>
    </w:p>
    <w:p w:rsidR="00F044C1" w:rsidRPr="00E51C73" w:rsidRDefault="00F044C1" w:rsidP="00F044C1">
      <w:pPr>
        <w:rPr>
          <w:lang w:val="fr-FR"/>
        </w:rPr>
      </w:pPr>
    </w:p>
    <w:p w:rsidR="00F044C1" w:rsidRPr="00E51C73" w:rsidRDefault="00F044C1" w:rsidP="00F044C1">
      <w:pPr>
        <w:jc w:val="center"/>
        <w:rPr>
          <w:i/>
          <w:lang w:val="fr-FR"/>
        </w:rPr>
      </w:pPr>
      <w:r w:rsidRPr="00E51C73">
        <w:rPr>
          <w:i/>
          <w:lang w:val="fr-FR"/>
        </w:rPr>
        <w:t>Classes englobant plusieurs genres</w:t>
      </w:r>
    </w:p>
    <w:p w:rsidR="00F044C1" w:rsidRPr="00E51C73" w:rsidRDefault="00F044C1" w:rsidP="00F044C1">
      <w:pPr>
        <w:jc w:val="center"/>
        <w:rPr>
          <w:i/>
          <w:lang w:val="fr-FR"/>
        </w:rPr>
      </w:pP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F044C1" w:rsidRPr="00E51C73" w:rsidTr="00BC78D5">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44C1" w:rsidRPr="00E51C73" w:rsidRDefault="00F044C1" w:rsidP="00BC78D5">
            <w:pPr>
              <w:spacing w:before="40" w:after="40"/>
              <w:jc w:val="left"/>
              <w:rPr>
                <w:sz w:val="18"/>
                <w:szCs w:val="18"/>
                <w:u w:val="single"/>
                <w:lang w:val="fr-FR"/>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44C1" w:rsidRPr="00E51C73" w:rsidRDefault="00F044C1" w:rsidP="00BC78D5">
            <w:pPr>
              <w:spacing w:before="40" w:after="40"/>
              <w:jc w:val="center"/>
              <w:rPr>
                <w:sz w:val="18"/>
                <w:szCs w:val="18"/>
                <w:lang w:val="fr-FR"/>
              </w:rPr>
            </w:pPr>
            <w:r w:rsidRPr="00E51C73">
              <w:rPr>
                <w:sz w:val="18"/>
                <w:szCs w:val="18"/>
                <w:lang w:val="fr-FR"/>
              </w:rPr>
              <w:t>Noms botaniques</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044C1" w:rsidRPr="00E51C73" w:rsidRDefault="00F044C1" w:rsidP="00BC78D5">
            <w:pPr>
              <w:spacing w:before="40" w:after="40"/>
              <w:jc w:val="center"/>
              <w:rPr>
                <w:sz w:val="18"/>
                <w:szCs w:val="18"/>
                <w:lang w:val="fr-FR"/>
              </w:rPr>
            </w:pPr>
            <w:r w:rsidRPr="00E51C73">
              <w:rPr>
                <w:sz w:val="18"/>
                <w:szCs w:val="18"/>
                <w:lang w:val="fr-FR"/>
              </w:rPr>
              <w:t>Codes UPOV</w:t>
            </w:r>
          </w:p>
        </w:tc>
      </w:tr>
      <w:tr w:rsidR="00F044C1" w:rsidRPr="00E51C73" w:rsidTr="00BC78D5">
        <w:trPr>
          <w:cantSplit/>
          <w:tblHeader/>
        </w:trPr>
        <w:tc>
          <w:tcPr>
            <w:tcW w:w="1277" w:type="dxa"/>
            <w:tcBorders>
              <w:top w:val="nil"/>
              <w:left w:val="nil"/>
              <w:bottom w:val="nil"/>
              <w:right w:val="nil"/>
            </w:tcBorders>
          </w:tcPr>
          <w:p w:rsidR="00F044C1" w:rsidRPr="00E51C73" w:rsidRDefault="00F044C1" w:rsidP="00BC78D5">
            <w:pPr>
              <w:keepNext/>
              <w:spacing w:before="40" w:after="40"/>
              <w:jc w:val="left"/>
              <w:rPr>
                <w:sz w:val="10"/>
                <w:szCs w:val="18"/>
                <w:lang w:val="fr-FR"/>
              </w:rPr>
            </w:pPr>
          </w:p>
        </w:tc>
        <w:tc>
          <w:tcPr>
            <w:tcW w:w="4473" w:type="dxa"/>
            <w:tcBorders>
              <w:top w:val="nil"/>
              <w:left w:val="nil"/>
              <w:bottom w:val="nil"/>
              <w:right w:val="nil"/>
            </w:tcBorders>
          </w:tcPr>
          <w:p w:rsidR="00F044C1" w:rsidRPr="00E51C73" w:rsidRDefault="00F044C1" w:rsidP="00BC78D5">
            <w:pPr>
              <w:keepNext/>
              <w:spacing w:before="40" w:after="40"/>
              <w:jc w:val="left"/>
              <w:rPr>
                <w:sz w:val="10"/>
                <w:szCs w:val="18"/>
                <w:lang w:val="fr-FR"/>
              </w:rPr>
            </w:pPr>
          </w:p>
        </w:tc>
        <w:tc>
          <w:tcPr>
            <w:tcW w:w="4034" w:type="dxa"/>
            <w:tcBorders>
              <w:top w:val="nil"/>
              <w:left w:val="nil"/>
              <w:bottom w:val="nil"/>
              <w:right w:val="nil"/>
            </w:tcBorders>
          </w:tcPr>
          <w:p w:rsidR="00F044C1" w:rsidRPr="00E51C73" w:rsidRDefault="00F044C1" w:rsidP="00BC78D5">
            <w:pPr>
              <w:keepNext/>
              <w:spacing w:before="40" w:after="40"/>
              <w:jc w:val="left"/>
              <w:rPr>
                <w:sz w:val="10"/>
                <w:szCs w:val="18"/>
                <w:lang w:val="fr-FR"/>
              </w:rPr>
            </w:pPr>
          </w:p>
        </w:tc>
      </w:tr>
      <w:tr w:rsidR="00F044C1" w:rsidRPr="00E51C73" w:rsidTr="00BC78D5">
        <w:trPr>
          <w:cantSplit/>
        </w:trPr>
        <w:tc>
          <w:tcPr>
            <w:tcW w:w="1277"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spacing w:before="40" w:after="40"/>
              <w:jc w:val="left"/>
              <w:rPr>
                <w:sz w:val="18"/>
                <w:szCs w:val="18"/>
                <w:lang w:val="fr-FR"/>
              </w:rPr>
            </w:pPr>
            <w:r w:rsidRPr="00E51C73">
              <w:rPr>
                <w:sz w:val="18"/>
                <w:szCs w:val="18"/>
                <w:lang w:val="fr-FR"/>
              </w:rPr>
              <w:t>Classe 201</w:t>
            </w:r>
          </w:p>
        </w:tc>
        <w:tc>
          <w:tcPr>
            <w:tcW w:w="4473"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keepNext/>
              <w:spacing w:before="40" w:after="40"/>
              <w:jc w:val="left"/>
              <w:rPr>
                <w:sz w:val="18"/>
                <w:szCs w:val="18"/>
                <w:lang w:val="fr-FR"/>
              </w:rPr>
            </w:pPr>
            <w:r w:rsidRPr="00E51C73">
              <w:rPr>
                <w:i/>
                <w:sz w:val="18"/>
                <w:szCs w:val="18"/>
                <w:lang w:val="fr-FR"/>
              </w:rPr>
              <w:t>Secale</w:t>
            </w:r>
            <w:r w:rsidRPr="00E51C73">
              <w:rPr>
                <w:sz w:val="18"/>
                <w:szCs w:val="18"/>
                <w:lang w:val="fr-FR"/>
              </w:rPr>
              <w:t xml:space="preserve">, </w:t>
            </w:r>
            <w:r w:rsidRPr="00E51C73">
              <w:rPr>
                <w:i/>
                <w:sz w:val="18"/>
                <w:szCs w:val="18"/>
                <w:lang w:val="fr-FR"/>
              </w:rPr>
              <w:t>Triticale</w:t>
            </w:r>
            <w:r w:rsidRPr="00E51C73">
              <w:rPr>
                <w:sz w:val="18"/>
                <w:szCs w:val="18"/>
                <w:lang w:val="fr-FR"/>
              </w:rPr>
              <w:t xml:space="preserve">, </w:t>
            </w:r>
            <w:r w:rsidRPr="00E51C73">
              <w:rPr>
                <w:i/>
                <w:sz w:val="18"/>
                <w:szCs w:val="18"/>
                <w:lang w:val="fr-FR"/>
              </w:rPr>
              <w:t>Triticum</w:t>
            </w:r>
            <w:r w:rsidRPr="00E51C73">
              <w:rPr>
                <w:sz w:val="18"/>
                <w:szCs w:val="18"/>
                <w:lang w:val="fr-FR"/>
              </w:rPr>
              <w:t xml:space="preserve">, </w:t>
            </w:r>
            <w:r w:rsidRPr="00E51C73">
              <w:rPr>
                <w:rFonts w:cs="Arial"/>
                <w:i/>
                <w:sz w:val="18"/>
                <w:u w:val="single"/>
                <w:shd w:val="pct15" w:color="auto" w:fill="FFFFFF"/>
                <w:lang w:val="fr-FR"/>
              </w:rPr>
              <w:t>×Trititrigia</w:t>
            </w:r>
          </w:p>
        </w:tc>
        <w:tc>
          <w:tcPr>
            <w:tcW w:w="4034"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keepNext/>
              <w:spacing w:before="40" w:after="40"/>
              <w:jc w:val="left"/>
              <w:rPr>
                <w:sz w:val="18"/>
                <w:szCs w:val="18"/>
                <w:lang w:val="fr-FR"/>
              </w:rPr>
            </w:pPr>
            <w:r w:rsidRPr="00E51C73">
              <w:rPr>
                <w:sz w:val="18"/>
                <w:szCs w:val="18"/>
                <w:lang w:val="fr-FR"/>
              </w:rPr>
              <w:t xml:space="preserve">SECAL, TRITL, TRITI, </w:t>
            </w:r>
            <w:r w:rsidRPr="00E51C73">
              <w:rPr>
                <w:rFonts w:cs="Arial"/>
                <w:sz w:val="18"/>
                <w:u w:val="single"/>
                <w:shd w:val="pct15" w:color="auto" w:fill="FFFFFF"/>
                <w:lang w:val="fr-FR"/>
              </w:rPr>
              <w:t>TRITT</w:t>
            </w:r>
          </w:p>
        </w:tc>
      </w:tr>
    </w:tbl>
    <w:p w:rsidR="00F044C1" w:rsidRPr="00E51C73" w:rsidRDefault="00F044C1" w:rsidP="00F044C1">
      <w:pPr>
        <w:rPr>
          <w:lang w:val="fr-FR"/>
        </w:rPr>
      </w:pPr>
    </w:p>
    <w:p w:rsidR="00F044C1" w:rsidRPr="00E51C73" w:rsidRDefault="00F044C1" w:rsidP="00F044C1">
      <w:pPr>
        <w:rPr>
          <w:lang w:val="fr-FR"/>
        </w:rPr>
      </w:pPr>
    </w:p>
    <w:p w:rsidR="00F044C1" w:rsidRPr="00E51C73" w:rsidRDefault="00F044C1" w:rsidP="00F044C1">
      <w:pPr>
        <w:jc w:val="left"/>
        <w:rPr>
          <w:lang w:val="fr-FR"/>
        </w:rPr>
      </w:pPr>
    </w:p>
    <w:p w:rsidR="00F044C1" w:rsidRPr="00E51C73" w:rsidRDefault="00F044C1" w:rsidP="00F044C1">
      <w:pPr>
        <w:jc w:val="right"/>
        <w:rPr>
          <w:lang w:val="fr-FR"/>
        </w:rPr>
      </w:pPr>
      <w:r w:rsidRPr="00E51C73">
        <w:rPr>
          <w:lang w:val="fr-FR"/>
        </w:rPr>
        <w:t>[L’annexe II suit]</w:t>
      </w:r>
    </w:p>
    <w:p w:rsidR="00F044C1" w:rsidRPr="00E51C73" w:rsidRDefault="00F044C1" w:rsidP="00F044C1">
      <w:pPr>
        <w:rPr>
          <w:lang w:val="fr-FR"/>
        </w:rPr>
        <w:sectPr w:rsidR="00F044C1" w:rsidRPr="00E51C73" w:rsidSect="0004198B">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pgNumType w:start="1"/>
          <w:cols w:space="720"/>
          <w:titlePg/>
        </w:sectPr>
      </w:pPr>
    </w:p>
    <w:p w:rsidR="00F044C1" w:rsidRPr="00E51C73" w:rsidRDefault="00F044C1" w:rsidP="00F044C1">
      <w:pPr>
        <w:jc w:val="center"/>
        <w:rPr>
          <w:lang w:val="fr-FR"/>
        </w:rPr>
      </w:pPr>
      <w:r>
        <w:rPr>
          <w:lang w:val="fr-FR"/>
        </w:rPr>
        <w:lastRenderedPageBreak/>
        <w:t>CAJ/79/3</w:t>
      </w:r>
    </w:p>
    <w:p w:rsidR="00F044C1" w:rsidRPr="00E51C73" w:rsidRDefault="00F044C1" w:rsidP="00F044C1">
      <w:pPr>
        <w:jc w:val="center"/>
        <w:rPr>
          <w:lang w:val="fr-FR"/>
        </w:rPr>
      </w:pPr>
    </w:p>
    <w:p w:rsidR="00F044C1" w:rsidRPr="00E51C73" w:rsidRDefault="00F044C1" w:rsidP="00F044C1">
      <w:pPr>
        <w:jc w:val="center"/>
        <w:rPr>
          <w:lang w:val="fr-FR"/>
        </w:rPr>
      </w:pPr>
      <w:r w:rsidRPr="00E51C73">
        <w:rPr>
          <w:lang w:val="fr-FR"/>
        </w:rPr>
        <w:t>ANNEXE II</w:t>
      </w:r>
    </w:p>
    <w:p w:rsidR="00F044C1" w:rsidRPr="00E51C73" w:rsidRDefault="00F044C1" w:rsidP="00F044C1">
      <w:pPr>
        <w:rPr>
          <w:lang w:val="fr-FR"/>
        </w:rPr>
      </w:pPr>
    </w:p>
    <w:p w:rsidR="00F044C1" w:rsidRPr="00E51C73" w:rsidRDefault="00F044C1" w:rsidP="00F044C1">
      <w:pPr>
        <w:rPr>
          <w:lang w:val="fr-FR"/>
        </w:rPr>
      </w:pPr>
    </w:p>
    <w:p w:rsidR="00F044C1" w:rsidRPr="00E51C73" w:rsidRDefault="00F044C1" w:rsidP="00F044C1">
      <w:pPr>
        <w:rPr>
          <w:u w:val="single"/>
          <w:lang w:val="fr-FR"/>
        </w:rPr>
      </w:pPr>
      <w:r w:rsidRPr="00E51C73">
        <w:rPr>
          <w:u w:val="single"/>
          <w:lang w:val="fr-FR"/>
        </w:rPr>
        <w:t>Document TGP/8 : Protocole d’essai et techniques utilisés dans l’examen de la distinction, de l’homogénéité et de la stabilité (révision)</w:t>
      </w:r>
    </w:p>
    <w:p w:rsidR="00F044C1" w:rsidRPr="00E51C73" w:rsidRDefault="00F044C1" w:rsidP="00F044C1">
      <w:pPr>
        <w:keepNext/>
        <w:rPr>
          <w:lang w:val="fr-FR"/>
        </w:rPr>
      </w:pPr>
    </w:p>
    <w:p w:rsidR="00F044C1" w:rsidRPr="00E51C73" w:rsidRDefault="00F044C1" w:rsidP="00F044C1">
      <w:pPr>
        <w:rPr>
          <w:rFonts w:eastAsia="MS Mincho"/>
          <w:i/>
          <w:lang w:val="fr-FR"/>
        </w:rPr>
      </w:pPr>
      <w:r w:rsidRPr="00E51C73">
        <w:rPr>
          <w:rFonts w:eastAsia="MS Mincho"/>
          <w:i/>
          <w:lang w:val="fr-FR"/>
        </w:rPr>
        <w:t>Traitement des données aux fins de l’élaboration de descriptions variétales concernant des caractères quantitatifs mesurés</w:t>
      </w:r>
    </w:p>
    <w:p w:rsidR="00F044C1" w:rsidRPr="00E51C73" w:rsidRDefault="00F044C1" w:rsidP="00F044C1">
      <w:pPr>
        <w:rPr>
          <w:lang w:val="fr-FR"/>
        </w:rPr>
      </w:pPr>
    </w:p>
    <w:p w:rsidR="00F044C1" w:rsidRPr="00E51C73" w:rsidRDefault="00F044C1" w:rsidP="00F044C1">
      <w:pPr>
        <w:rPr>
          <w:lang w:val="fr-FR"/>
        </w:rPr>
      </w:pPr>
      <w:r w:rsidRPr="00E51C73">
        <w:rPr>
          <w:lang w:val="fr-FR"/>
        </w:rPr>
        <w:t>À sa cinquante-septième session tenue par voie électronique les 25 et 26 octobre 2021, le TC a approuvé l’inclusion d’orientations sur “Les différentes formes que pourraient prendre les descriptions variétales et la pertinence des niveaux d’échelle” dans le document TGP/8, première partie, section 2 “Données à enregistrer” en tant que nouvelle section 2.5, comme suit (voir le paragraphe 27 du document TC/57/25 “Compte rendu”) :</w:t>
      </w:r>
    </w:p>
    <w:p w:rsidR="00F044C1" w:rsidRPr="00E51C73" w:rsidRDefault="00F044C1" w:rsidP="00F044C1">
      <w:pPr>
        <w:keepNext/>
        <w:rPr>
          <w:lang w:val="fr-FR"/>
        </w:rPr>
      </w:pPr>
    </w:p>
    <w:p w:rsidR="00F044C1" w:rsidRPr="00E51C73" w:rsidRDefault="00F044C1" w:rsidP="00F044C1">
      <w:pPr>
        <w:rPr>
          <w:lang w:val="fr-FR"/>
        </w:rPr>
      </w:pPr>
    </w:p>
    <w:p w:rsidR="00F044C1" w:rsidRPr="00E51C73" w:rsidRDefault="00F044C1" w:rsidP="00F044C1">
      <w:pPr>
        <w:ind w:left="567"/>
        <w:jc w:val="center"/>
        <w:rPr>
          <w:sz w:val="18"/>
          <w:lang w:val="fr-FR"/>
        </w:rPr>
      </w:pPr>
      <w:r w:rsidRPr="00E51C73">
        <w:rPr>
          <w:sz w:val="18"/>
          <w:lang w:val="fr-FR"/>
        </w:rPr>
        <w:t>“LES DIFFÉRENTES FORMES QUE POURRAIENT PRENDRE LES DESCRIPTIONS VARIÉTALES</w:t>
      </w:r>
    </w:p>
    <w:p w:rsidR="00F044C1" w:rsidRPr="00E51C73" w:rsidRDefault="00F044C1" w:rsidP="00F044C1">
      <w:pPr>
        <w:ind w:left="567"/>
        <w:jc w:val="center"/>
        <w:rPr>
          <w:sz w:val="18"/>
          <w:lang w:val="fr-FR"/>
        </w:rPr>
      </w:pPr>
      <w:r w:rsidRPr="00E51C73">
        <w:rPr>
          <w:sz w:val="18"/>
          <w:lang w:val="fr-FR"/>
        </w:rPr>
        <w:t>ET LA PERTINENCE DES NIVEAUX D’ÉCHELLE</w:t>
      </w:r>
    </w:p>
    <w:p w:rsidR="00F044C1" w:rsidRPr="00E51C73" w:rsidRDefault="00F044C1" w:rsidP="00F044C1">
      <w:pPr>
        <w:ind w:left="567"/>
        <w:rPr>
          <w:sz w:val="18"/>
          <w:lang w:val="fr-FR"/>
        </w:rPr>
      </w:pPr>
    </w:p>
    <w:p w:rsidR="00F044C1" w:rsidRPr="00E51C73" w:rsidRDefault="00F044C1" w:rsidP="00F044C1">
      <w:pPr>
        <w:ind w:left="567" w:right="567"/>
        <w:rPr>
          <w:rFonts w:cs="Arial"/>
          <w:sz w:val="18"/>
          <w:lang w:val="fr-FR"/>
        </w:rPr>
      </w:pPr>
      <w:r w:rsidRPr="00E51C73">
        <w:rPr>
          <w:rFonts w:cs="Arial"/>
          <w:sz w:val="18"/>
          <w:lang w:val="fr-FR"/>
        </w:rPr>
        <w:t>“Les descriptions variétales peuvent être fondées sur des données différentes selon la finalité de la description.  Des descriptions variétales différentes peuvent être utilisées aux fins de l’évaluation de la distinction ou dans le document officiel sur lequel repose l’octroi de la protection.  Lorsque des descriptions variétales sont utilisées pour l’évaluation de la distinction, il est important de tenir compte des données sur lesquelles les descriptions des différentes variétés sont fondées.  Une attention particulière doit être accordée à l’influence éventuelle des années et des sites.</w:t>
      </w:r>
    </w:p>
    <w:p w:rsidR="00F044C1" w:rsidRPr="00E51C73" w:rsidRDefault="00F044C1" w:rsidP="00F044C1">
      <w:pPr>
        <w:ind w:left="567" w:right="567"/>
        <w:rPr>
          <w:rFonts w:cs="Arial"/>
          <w:sz w:val="18"/>
          <w:lang w:val="fr-FR"/>
        </w:rPr>
      </w:pPr>
    </w:p>
    <w:p w:rsidR="00F044C1" w:rsidRPr="00E51C73" w:rsidRDefault="00F044C1" w:rsidP="00F044C1">
      <w:pPr>
        <w:ind w:left="567" w:right="567"/>
        <w:rPr>
          <w:rFonts w:cs="Arial"/>
          <w:sz w:val="18"/>
          <w:lang w:val="fr-FR"/>
        </w:rPr>
      </w:pPr>
      <w:r w:rsidRPr="00E51C73">
        <w:rPr>
          <w:rFonts w:cs="Arial"/>
          <w:sz w:val="18"/>
          <w:lang w:val="fr-FR"/>
        </w:rPr>
        <w:t>“Les différentes formes de description variétale et leur pertinence pour l’évaluation de la distinction peuvent être classées selon les différents niveaux de processus aux fins de l’examen d’un caractère.  Les niveaux de processus sont définis dans le document TGP/8 : première partie ‘Protocole d’essai DHS et analyse des données’, section 2 ‘Données à enregistrer’ comme suit :</w:t>
      </w:r>
    </w:p>
    <w:p w:rsidR="00F044C1" w:rsidRPr="00E51C73" w:rsidRDefault="00F044C1" w:rsidP="00F044C1">
      <w:pPr>
        <w:rPr>
          <w:rFonts w:cs="Arial"/>
          <w:lang w:val="fr-FR"/>
        </w:rPr>
      </w:pPr>
    </w:p>
    <w:p w:rsidR="00F044C1" w:rsidRPr="00E51C73" w:rsidRDefault="00F044C1" w:rsidP="00F044C1">
      <w:pPr>
        <w:tabs>
          <w:tab w:val="left" w:pos="9072"/>
        </w:tabs>
        <w:autoSpaceDE w:val="0"/>
        <w:autoSpaceDN w:val="0"/>
        <w:adjustRightInd w:val="0"/>
        <w:spacing w:line="271" w:lineRule="exact"/>
        <w:ind w:left="567"/>
        <w:rPr>
          <w:rFonts w:cs="Arial"/>
          <w:sz w:val="18"/>
          <w:lang w:val="fr-FR"/>
        </w:rPr>
      </w:pPr>
      <w:r>
        <w:rPr>
          <w:rFonts w:cs="Arial"/>
          <w:i/>
          <w:sz w:val="18"/>
          <w:lang w:val="fr-FR"/>
        </w:rPr>
        <w:t>“</w:t>
      </w:r>
      <w:r w:rsidRPr="00E51C73">
        <w:rPr>
          <w:rFonts w:cs="Arial"/>
          <w:i/>
          <w:sz w:val="18"/>
          <w:lang w:val="fr-FR"/>
        </w:rPr>
        <w:t>Tableau 5 : Définition des différents niveaux de processus aux fins de l’examen des caractères</w:t>
      </w:r>
    </w:p>
    <w:p w:rsidR="00F044C1" w:rsidRPr="00E51C73" w:rsidRDefault="00F044C1" w:rsidP="00F044C1">
      <w:pPr>
        <w:autoSpaceDE w:val="0"/>
        <w:autoSpaceDN w:val="0"/>
        <w:adjustRightInd w:val="0"/>
        <w:spacing w:before="2" w:line="280" w:lineRule="exact"/>
        <w:rPr>
          <w:rFonts w:cs="Arial"/>
          <w:sz w:val="18"/>
          <w:lang w:val="fr-FR"/>
        </w:rPr>
      </w:pPr>
    </w:p>
    <w:tbl>
      <w:tblPr>
        <w:tblW w:w="0" w:type="auto"/>
        <w:tblInd w:w="572" w:type="dxa"/>
        <w:tblLayout w:type="fixed"/>
        <w:tblCellMar>
          <w:left w:w="0" w:type="dxa"/>
          <w:right w:w="0" w:type="dxa"/>
        </w:tblCellMar>
        <w:tblLook w:val="04A0" w:firstRow="1" w:lastRow="0" w:firstColumn="1" w:lastColumn="0" w:noHBand="0" w:noVBand="1"/>
      </w:tblPr>
      <w:tblGrid>
        <w:gridCol w:w="1833"/>
        <w:gridCol w:w="5092"/>
      </w:tblGrid>
      <w:tr w:rsidR="00F044C1" w:rsidRPr="00B17FEA" w:rsidTr="00BC78D5">
        <w:trPr>
          <w:trHeight w:hRule="exact" w:val="343"/>
        </w:trPr>
        <w:tc>
          <w:tcPr>
            <w:tcW w:w="1833" w:type="dxa"/>
            <w:tcBorders>
              <w:top w:val="single" w:sz="4" w:space="0" w:color="auto"/>
              <w:left w:val="single" w:sz="4" w:space="0" w:color="auto"/>
              <w:bottom w:val="single" w:sz="4" w:space="0" w:color="auto"/>
              <w:right w:val="single" w:sz="4" w:space="0" w:color="auto"/>
            </w:tcBorders>
            <w:shd w:val="clear" w:color="auto" w:fill="DFDFDF"/>
            <w:hideMark/>
          </w:tcPr>
          <w:p w:rsidR="00F044C1" w:rsidRPr="00E51C73" w:rsidRDefault="00F044C1" w:rsidP="00BC78D5">
            <w:pPr>
              <w:autoSpaceDE w:val="0"/>
              <w:autoSpaceDN w:val="0"/>
              <w:adjustRightInd w:val="0"/>
              <w:spacing w:before="37"/>
              <w:ind w:left="35"/>
              <w:jc w:val="center"/>
              <w:rPr>
                <w:rFonts w:cs="Arial"/>
                <w:sz w:val="18"/>
                <w:lang w:val="fr-FR"/>
              </w:rPr>
            </w:pPr>
            <w:r w:rsidRPr="00E51C73">
              <w:rPr>
                <w:rFonts w:cs="Arial"/>
                <w:sz w:val="18"/>
                <w:lang w:val="fr-FR"/>
              </w:rPr>
              <w:t>Niveau de processus</w:t>
            </w:r>
          </w:p>
        </w:tc>
        <w:tc>
          <w:tcPr>
            <w:tcW w:w="5092" w:type="dxa"/>
            <w:tcBorders>
              <w:top w:val="single" w:sz="4" w:space="0" w:color="auto"/>
              <w:left w:val="single" w:sz="4" w:space="0" w:color="auto"/>
              <w:bottom w:val="single" w:sz="4" w:space="0" w:color="auto"/>
              <w:right w:val="single" w:sz="4" w:space="0" w:color="auto"/>
            </w:tcBorders>
            <w:shd w:val="clear" w:color="auto" w:fill="DFDFDF"/>
            <w:hideMark/>
          </w:tcPr>
          <w:p w:rsidR="00F044C1" w:rsidRPr="00E51C73" w:rsidRDefault="00F044C1" w:rsidP="00BC78D5">
            <w:pPr>
              <w:autoSpaceDE w:val="0"/>
              <w:autoSpaceDN w:val="0"/>
              <w:adjustRightInd w:val="0"/>
              <w:spacing w:before="37"/>
              <w:ind w:left="231"/>
              <w:rPr>
                <w:rFonts w:cs="Arial"/>
                <w:sz w:val="18"/>
                <w:lang w:val="fr-FR"/>
              </w:rPr>
            </w:pPr>
            <w:r w:rsidRPr="00E51C73">
              <w:rPr>
                <w:rFonts w:cs="Arial"/>
                <w:sz w:val="18"/>
                <w:lang w:val="fr-FR"/>
              </w:rPr>
              <w:t>Description du niveau de processus</w:t>
            </w:r>
          </w:p>
        </w:tc>
      </w:tr>
      <w:tr w:rsidR="00F044C1" w:rsidRPr="00B17FEA" w:rsidTr="00BC78D5">
        <w:trPr>
          <w:trHeight w:hRule="exact" w:val="342"/>
        </w:trPr>
        <w:tc>
          <w:tcPr>
            <w:tcW w:w="1833"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autoSpaceDE w:val="0"/>
              <w:autoSpaceDN w:val="0"/>
              <w:adjustRightInd w:val="0"/>
              <w:spacing w:before="37"/>
              <w:ind w:left="60"/>
              <w:jc w:val="center"/>
              <w:rPr>
                <w:rFonts w:cs="Arial"/>
                <w:sz w:val="18"/>
                <w:lang w:val="fr-FR"/>
              </w:rPr>
            </w:pPr>
            <w:r w:rsidRPr="00E51C73">
              <w:rPr>
                <w:rFonts w:cs="Arial"/>
                <w:sz w:val="18"/>
                <w:lang w:val="fr-FR"/>
              </w:rPr>
              <w:t>1</w:t>
            </w:r>
          </w:p>
        </w:tc>
        <w:tc>
          <w:tcPr>
            <w:tcW w:w="5092"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autoSpaceDE w:val="0"/>
              <w:autoSpaceDN w:val="0"/>
              <w:adjustRightInd w:val="0"/>
              <w:spacing w:before="37"/>
              <w:ind w:left="231"/>
              <w:rPr>
                <w:rFonts w:cs="Arial"/>
                <w:sz w:val="18"/>
                <w:lang w:val="fr-FR"/>
              </w:rPr>
            </w:pPr>
            <w:r w:rsidRPr="00E51C73">
              <w:rPr>
                <w:rFonts w:cs="Arial"/>
                <w:sz w:val="18"/>
                <w:lang w:val="fr-FR"/>
              </w:rPr>
              <w:t>caractère tel qu’il est exprimé dans l’essai</w:t>
            </w:r>
          </w:p>
        </w:tc>
      </w:tr>
      <w:tr w:rsidR="00F044C1" w:rsidRPr="00B17FEA" w:rsidTr="00BC78D5">
        <w:trPr>
          <w:trHeight w:hRule="exact" w:val="343"/>
        </w:trPr>
        <w:tc>
          <w:tcPr>
            <w:tcW w:w="1833"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autoSpaceDE w:val="0"/>
              <w:autoSpaceDN w:val="0"/>
              <w:adjustRightInd w:val="0"/>
              <w:spacing w:before="37"/>
              <w:ind w:left="60"/>
              <w:jc w:val="center"/>
              <w:rPr>
                <w:rFonts w:cs="Arial"/>
                <w:sz w:val="18"/>
                <w:lang w:val="fr-FR"/>
              </w:rPr>
            </w:pPr>
            <w:r w:rsidRPr="00E51C73">
              <w:rPr>
                <w:rFonts w:cs="Arial"/>
                <w:sz w:val="18"/>
                <w:lang w:val="fr-FR"/>
              </w:rPr>
              <w:t>2</w:t>
            </w:r>
          </w:p>
        </w:tc>
        <w:tc>
          <w:tcPr>
            <w:tcW w:w="5092"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autoSpaceDE w:val="0"/>
              <w:autoSpaceDN w:val="0"/>
              <w:adjustRightInd w:val="0"/>
              <w:spacing w:before="37"/>
              <w:ind w:left="231"/>
              <w:rPr>
                <w:rFonts w:cs="Arial"/>
                <w:sz w:val="18"/>
                <w:lang w:val="fr-FR"/>
              </w:rPr>
            </w:pPr>
            <w:r w:rsidRPr="00E51C73">
              <w:rPr>
                <w:rFonts w:cs="Arial"/>
                <w:sz w:val="18"/>
                <w:lang w:val="fr-FR"/>
              </w:rPr>
              <w:t>données pour l’évaluation du caractère</w:t>
            </w:r>
          </w:p>
        </w:tc>
      </w:tr>
      <w:tr w:rsidR="00F044C1" w:rsidRPr="00E51C73" w:rsidTr="00BC78D5">
        <w:trPr>
          <w:trHeight w:hRule="exact" w:val="343"/>
        </w:trPr>
        <w:tc>
          <w:tcPr>
            <w:tcW w:w="1833"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autoSpaceDE w:val="0"/>
              <w:autoSpaceDN w:val="0"/>
              <w:adjustRightInd w:val="0"/>
              <w:spacing w:before="37"/>
              <w:ind w:left="60"/>
              <w:jc w:val="center"/>
              <w:rPr>
                <w:rFonts w:cs="Arial"/>
                <w:sz w:val="18"/>
                <w:lang w:val="fr-FR"/>
              </w:rPr>
            </w:pPr>
            <w:r w:rsidRPr="00E51C73">
              <w:rPr>
                <w:rFonts w:cs="Arial"/>
                <w:sz w:val="18"/>
                <w:lang w:val="fr-FR"/>
              </w:rPr>
              <w:t>3</w:t>
            </w:r>
          </w:p>
        </w:tc>
        <w:tc>
          <w:tcPr>
            <w:tcW w:w="5092"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autoSpaceDE w:val="0"/>
              <w:autoSpaceDN w:val="0"/>
              <w:adjustRightInd w:val="0"/>
              <w:spacing w:before="37"/>
              <w:ind w:left="231"/>
              <w:rPr>
                <w:rFonts w:cs="Arial"/>
                <w:sz w:val="18"/>
                <w:lang w:val="fr-FR"/>
              </w:rPr>
            </w:pPr>
            <w:r w:rsidRPr="00E51C73">
              <w:rPr>
                <w:rFonts w:cs="Arial"/>
                <w:sz w:val="18"/>
                <w:lang w:val="fr-FR"/>
              </w:rPr>
              <w:t>description variétale</w:t>
            </w:r>
          </w:p>
        </w:tc>
      </w:tr>
    </w:tbl>
    <w:p w:rsidR="00F044C1" w:rsidRPr="00E51C73" w:rsidRDefault="00F044C1" w:rsidP="00F044C1">
      <w:pPr>
        <w:autoSpaceDE w:val="0"/>
        <w:autoSpaceDN w:val="0"/>
        <w:adjustRightInd w:val="0"/>
        <w:spacing w:before="18" w:line="220" w:lineRule="exact"/>
        <w:ind w:left="7797"/>
        <w:rPr>
          <w:rFonts w:cs="Arial"/>
          <w:sz w:val="18"/>
          <w:lang w:val="fr-FR"/>
        </w:rPr>
      </w:pPr>
    </w:p>
    <w:p w:rsidR="00F044C1" w:rsidRPr="00E51C73" w:rsidRDefault="00F044C1" w:rsidP="00F044C1">
      <w:pPr>
        <w:autoSpaceDE w:val="0"/>
        <w:autoSpaceDN w:val="0"/>
        <w:adjustRightInd w:val="0"/>
        <w:spacing w:before="18" w:line="220" w:lineRule="exact"/>
        <w:rPr>
          <w:rFonts w:cs="Arial"/>
          <w:lang w:val="fr-FR"/>
        </w:rPr>
      </w:pPr>
    </w:p>
    <w:p w:rsidR="00F044C1" w:rsidRPr="00E51C73" w:rsidRDefault="00F044C1" w:rsidP="00F044C1">
      <w:pPr>
        <w:ind w:left="567" w:right="567"/>
        <w:rPr>
          <w:rFonts w:cs="Arial"/>
          <w:sz w:val="18"/>
          <w:lang w:val="fr-FR"/>
        </w:rPr>
      </w:pPr>
      <w:r w:rsidRPr="00E51C73">
        <w:rPr>
          <w:rFonts w:cs="Arial"/>
          <w:sz w:val="18"/>
          <w:lang w:val="fr-FR"/>
        </w:rPr>
        <w:t>“Les niveaux de processus pertinents aux fins de l’évaluation de la distinction sont les niveaux 2 et 3.  Toute comparaison entre des variétés au sein d’un même essai (même(s) année(s), même(s) site(s)) est faite sur la base des données réelles enregistrées durant l’essai.  Cette méthode s’applique au niveau de processus 2.  Si les variétés ne sont pas cultivées dans le cadre d’un même essai, elles doivent être comparées sur la base des descriptions variétales qui se rapportent au niveau de processus 3.  En général, l’identification de variétés voisines à inclure dans l’essai en culture (‘gestion de la collection de variétés’) a trait au niveau de processus 3 tandis que l’évaluation des données au sein de l’essai en culture se rapporte au niveau de processus 2.</w:t>
      </w:r>
    </w:p>
    <w:p w:rsidR="00F044C1" w:rsidRPr="00E51C73" w:rsidRDefault="00F044C1" w:rsidP="00F044C1">
      <w:pPr>
        <w:rPr>
          <w:rFonts w:cs="Arial"/>
          <w:lang w:val="fr-FR"/>
        </w:rPr>
      </w:pPr>
    </w:p>
    <w:tbl>
      <w:tblPr>
        <w:tblStyle w:val="TableGrid"/>
        <w:tblW w:w="0" w:type="auto"/>
        <w:tblInd w:w="108" w:type="dxa"/>
        <w:tblLook w:val="04A0" w:firstRow="1" w:lastRow="0" w:firstColumn="1" w:lastColumn="0" w:noHBand="0" w:noVBand="1"/>
      </w:tblPr>
      <w:tblGrid>
        <w:gridCol w:w="1101"/>
        <w:gridCol w:w="2268"/>
        <w:gridCol w:w="2976"/>
        <w:gridCol w:w="2867"/>
      </w:tblGrid>
      <w:tr w:rsidR="00F044C1" w:rsidRPr="00E51C73" w:rsidTr="00BC78D5">
        <w:tc>
          <w:tcPr>
            <w:tcW w:w="1101"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jc w:val="center"/>
              <w:rPr>
                <w:rFonts w:cs="Arial"/>
                <w:sz w:val="18"/>
                <w:lang w:val="fr-FR"/>
              </w:rPr>
            </w:pPr>
            <w:r w:rsidRPr="00E51C73">
              <w:rPr>
                <w:rFonts w:cs="Arial"/>
                <w:sz w:val="18"/>
                <w:lang w:val="fr-FR"/>
              </w:rPr>
              <w:t>Niveau de processus</w:t>
            </w:r>
          </w:p>
        </w:tc>
        <w:tc>
          <w:tcPr>
            <w:tcW w:w="2268"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jc w:val="center"/>
              <w:rPr>
                <w:rFonts w:cs="Arial"/>
                <w:sz w:val="18"/>
                <w:lang w:val="fr-FR"/>
              </w:rPr>
            </w:pPr>
            <w:r w:rsidRPr="00E51C73">
              <w:rPr>
                <w:rFonts w:cs="Arial"/>
                <w:sz w:val="18"/>
                <w:lang w:val="fr-FR"/>
              </w:rPr>
              <w:t>Mesures</w:t>
            </w:r>
          </w:p>
          <w:p w:rsidR="00F044C1" w:rsidRPr="00E51C73" w:rsidRDefault="00F044C1" w:rsidP="00BC78D5">
            <w:pPr>
              <w:jc w:val="center"/>
              <w:rPr>
                <w:rFonts w:cs="Arial"/>
                <w:sz w:val="18"/>
                <w:lang w:val="fr-FR"/>
              </w:rPr>
            </w:pPr>
            <w:r w:rsidRPr="00E51C73">
              <w:rPr>
                <w:rFonts w:cs="Arial"/>
                <w:sz w:val="18"/>
                <w:lang w:val="fr-FR"/>
              </w:rPr>
              <w:t>(QN)</w:t>
            </w:r>
          </w:p>
        </w:tc>
        <w:tc>
          <w:tcPr>
            <w:tcW w:w="2976"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jc w:val="center"/>
              <w:rPr>
                <w:rFonts w:cs="Arial"/>
                <w:sz w:val="18"/>
                <w:lang w:val="fr-FR"/>
              </w:rPr>
            </w:pPr>
            <w:r w:rsidRPr="00E51C73">
              <w:rPr>
                <w:rFonts w:cs="Arial"/>
                <w:sz w:val="18"/>
                <w:lang w:val="fr-FR"/>
              </w:rPr>
              <w:t>Évaluation visuelle</w:t>
            </w:r>
          </w:p>
          <w:p w:rsidR="00F044C1" w:rsidRPr="00E51C73" w:rsidRDefault="00F044C1" w:rsidP="00BC78D5">
            <w:pPr>
              <w:jc w:val="center"/>
              <w:rPr>
                <w:rFonts w:cs="Arial"/>
                <w:sz w:val="18"/>
                <w:lang w:val="fr-FR"/>
              </w:rPr>
            </w:pPr>
            <w:r w:rsidRPr="00E51C73">
              <w:rPr>
                <w:rFonts w:cs="Arial"/>
                <w:sz w:val="18"/>
                <w:lang w:val="fr-FR"/>
              </w:rPr>
              <w:t>(QN/QL/PQ)</w:t>
            </w:r>
          </w:p>
        </w:tc>
        <w:tc>
          <w:tcPr>
            <w:tcW w:w="2867"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rPr>
                <w:rFonts w:cs="Arial"/>
                <w:sz w:val="18"/>
                <w:lang w:val="fr-FR"/>
              </w:rPr>
            </w:pPr>
            <w:r w:rsidRPr="00E51C73">
              <w:rPr>
                <w:rFonts w:cs="Arial"/>
                <w:sz w:val="18"/>
                <w:lang w:val="fr-FR"/>
              </w:rPr>
              <w:t>Observations</w:t>
            </w:r>
          </w:p>
        </w:tc>
      </w:tr>
      <w:tr w:rsidR="00F044C1" w:rsidRPr="00B17FEA" w:rsidTr="00BC78D5">
        <w:tc>
          <w:tcPr>
            <w:tcW w:w="1101"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spacing w:before="240"/>
              <w:jc w:val="center"/>
              <w:rPr>
                <w:rFonts w:cs="Arial"/>
                <w:sz w:val="18"/>
                <w:lang w:val="fr-FR"/>
              </w:rPr>
            </w:pPr>
            <w:r w:rsidRPr="00E51C73">
              <w:rPr>
                <w:rFonts w:cs="Arial"/>
                <w:sz w:val="18"/>
                <w:lang w:val="fr-FR"/>
              </w:rPr>
              <w:t>2</w:t>
            </w:r>
          </w:p>
        </w:tc>
        <w:tc>
          <w:tcPr>
            <w:tcW w:w="2268"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rPr>
                <w:rFonts w:cs="Arial"/>
                <w:sz w:val="18"/>
                <w:lang w:val="fr-FR"/>
              </w:rPr>
            </w:pPr>
            <w:r w:rsidRPr="00E51C73">
              <w:rPr>
                <w:noProof/>
              </w:rPr>
              <mc:AlternateContent>
                <mc:Choice Requires="wps">
                  <w:drawing>
                    <wp:anchor distT="0" distB="0" distL="114300" distR="114300" simplePos="0" relativeHeight="251659264" behindDoc="0" locked="0" layoutInCell="1" allowOverlap="1" wp14:anchorId="29350ABC" wp14:editId="72E9A882">
                      <wp:simplePos x="0" y="0"/>
                      <wp:positionH relativeFrom="column">
                        <wp:posOffset>118110</wp:posOffset>
                      </wp:positionH>
                      <wp:positionV relativeFrom="paragraph">
                        <wp:posOffset>396240</wp:posOffset>
                      </wp:positionV>
                      <wp:extent cx="116840" cy="619125"/>
                      <wp:effectExtent l="19050" t="0" r="35560" b="47625"/>
                      <wp:wrapNone/>
                      <wp:docPr id="18" name="Down Arrow 18"/>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txbx>
                              <w:txbxContent>
                                <w:p w:rsidR="00F044C1" w:rsidRDefault="00F044C1" w:rsidP="00F044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50A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left:0;text-align:left;margin-left:9.3pt;margin-top:31.2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" adj="19562" fillcolor="#4f81bd" strokecolor="#385d8a" strokeweight="2pt">
                      <v:textbox>
                        <w:txbxContent>
                          <w:p w:rsidR="00F044C1" w:rsidRDefault="00F044C1" w:rsidP="00F044C1">
                            <w:pPr>
                              <w:jc w:val="center"/>
                            </w:pPr>
                          </w:p>
                        </w:txbxContent>
                      </v:textbox>
                    </v:shape>
                  </w:pict>
                </mc:Fallback>
              </mc:AlternateContent>
            </w:r>
            <w:r w:rsidRPr="00E51C73">
              <w:rPr>
                <w:rFonts w:cs="Arial"/>
                <w:sz w:val="18"/>
                <w:lang w:val="fr-FR"/>
              </w:rPr>
              <w:t>Valeurs</w:t>
            </w:r>
          </w:p>
        </w:tc>
        <w:tc>
          <w:tcPr>
            <w:tcW w:w="2976" w:type="dxa"/>
            <w:tcBorders>
              <w:top w:val="single" w:sz="4" w:space="0" w:color="auto"/>
              <w:left w:val="single" w:sz="4" w:space="0" w:color="auto"/>
              <w:bottom w:val="single" w:sz="4" w:space="0" w:color="auto"/>
              <w:right w:val="single" w:sz="4" w:space="0" w:color="auto"/>
            </w:tcBorders>
            <w:hideMark/>
          </w:tcPr>
          <w:p w:rsidR="00F044C1" w:rsidRPr="00E51C73" w:rsidRDefault="00F044C1" w:rsidP="00BC78D5">
            <w:pPr>
              <w:rPr>
                <w:rFonts w:cs="Arial"/>
                <w:sz w:val="18"/>
                <w:lang w:val="fr-FR"/>
              </w:rPr>
            </w:pPr>
            <w:r w:rsidRPr="00E51C73">
              <w:rPr>
                <w:noProof/>
              </w:rPr>
              <mc:AlternateContent>
                <mc:Choice Requires="wps">
                  <w:drawing>
                    <wp:anchor distT="0" distB="0" distL="114300" distR="114300" simplePos="0" relativeHeight="251660288" behindDoc="0" locked="0" layoutInCell="1" allowOverlap="1" wp14:anchorId="08F277BE" wp14:editId="58E878E2">
                      <wp:simplePos x="0" y="0"/>
                      <wp:positionH relativeFrom="column">
                        <wp:posOffset>122555</wp:posOffset>
                      </wp:positionH>
                      <wp:positionV relativeFrom="paragraph">
                        <wp:posOffset>396240</wp:posOffset>
                      </wp:positionV>
                      <wp:extent cx="116840" cy="619125"/>
                      <wp:effectExtent l="19050" t="0" r="35560" b="47625"/>
                      <wp:wrapNone/>
                      <wp:docPr id="19" name="Down Arrow 19"/>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txbx>
                              <w:txbxContent>
                                <w:p w:rsidR="00F044C1" w:rsidRDefault="00F044C1" w:rsidP="00F044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277BE" id="Down Arrow 19" o:spid="_x0000_s1027" type="#_x0000_t67" style="position:absolute;left:0;text-align:left;margin-left:9.65pt;margin-top:31.2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" adj="19562" fillcolor="#4f81bd" strokecolor="#385d8a" strokeweight="2pt">
                      <v:textbox>
                        <w:txbxContent>
                          <w:p w:rsidR="00F044C1" w:rsidRDefault="00F044C1" w:rsidP="00F044C1">
                            <w:pPr>
                              <w:jc w:val="center"/>
                            </w:pPr>
                          </w:p>
                        </w:txbxContent>
                      </v:textbox>
                    </v:shape>
                  </w:pict>
                </mc:Fallback>
              </mc:AlternateContent>
            </w:r>
            <w:r w:rsidRPr="00E51C73">
              <w:rPr>
                <w:rFonts w:cs="Arial"/>
                <w:sz w:val="18"/>
                <w:lang w:val="fr-FR"/>
              </w:rPr>
              <w:t>Notes</w:t>
            </w:r>
          </w:p>
        </w:tc>
        <w:tc>
          <w:tcPr>
            <w:tcW w:w="2867" w:type="dxa"/>
            <w:tcBorders>
              <w:top w:val="single" w:sz="4" w:space="0" w:color="auto"/>
              <w:left w:val="single" w:sz="4" w:space="0" w:color="auto"/>
              <w:bottom w:val="single" w:sz="4" w:space="0" w:color="auto"/>
              <w:right w:val="single" w:sz="4" w:space="0" w:color="auto"/>
            </w:tcBorders>
          </w:tcPr>
          <w:p w:rsidR="00F044C1" w:rsidRPr="00E51C73" w:rsidRDefault="00F044C1" w:rsidP="00BC78D5">
            <w:pPr>
              <w:spacing w:before="240"/>
              <w:rPr>
                <w:rFonts w:cs="Arial"/>
                <w:sz w:val="18"/>
                <w:lang w:val="fr-FR"/>
              </w:rPr>
            </w:pPr>
            <w:r w:rsidRPr="00E51C73">
              <w:rPr>
                <w:rFonts w:cs="Arial"/>
                <w:sz w:val="18"/>
                <w:lang w:val="fr-FR"/>
              </w:rPr>
              <w:t>Base de la comparaison au sein d’un même essai</w:t>
            </w:r>
          </w:p>
          <w:p w:rsidR="00F044C1" w:rsidRPr="00E51C73" w:rsidRDefault="00F044C1" w:rsidP="00BC78D5">
            <w:pPr>
              <w:rPr>
                <w:rFonts w:cs="Arial"/>
                <w:sz w:val="18"/>
                <w:lang w:val="fr-FR"/>
              </w:rPr>
            </w:pPr>
          </w:p>
        </w:tc>
      </w:tr>
      <w:tr w:rsidR="00F044C1" w:rsidRPr="00B17FEA" w:rsidTr="00BC78D5">
        <w:tc>
          <w:tcPr>
            <w:tcW w:w="1101" w:type="dxa"/>
            <w:tcBorders>
              <w:top w:val="single" w:sz="4" w:space="0" w:color="auto"/>
              <w:left w:val="single" w:sz="4" w:space="0" w:color="auto"/>
              <w:bottom w:val="nil"/>
              <w:right w:val="single" w:sz="4" w:space="0" w:color="auto"/>
            </w:tcBorders>
            <w:hideMark/>
          </w:tcPr>
          <w:p w:rsidR="00F044C1" w:rsidRPr="00E51C73" w:rsidRDefault="00F044C1" w:rsidP="00BC78D5">
            <w:pPr>
              <w:spacing w:before="240"/>
              <w:jc w:val="center"/>
              <w:rPr>
                <w:rFonts w:cs="Arial"/>
                <w:sz w:val="18"/>
                <w:lang w:val="fr-FR"/>
              </w:rPr>
            </w:pPr>
            <w:r w:rsidRPr="00E51C73">
              <w:rPr>
                <w:rFonts w:cs="Arial"/>
                <w:sz w:val="18"/>
                <w:lang w:val="fr-FR"/>
              </w:rPr>
              <w:t>3</w:t>
            </w:r>
          </w:p>
        </w:tc>
        <w:tc>
          <w:tcPr>
            <w:tcW w:w="2268" w:type="dxa"/>
            <w:tcBorders>
              <w:top w:val="single" w:sz="4" w:space="0" w:color="auto"/>
              <w:left w:val="single" w:sz="4" w:space="0" w:color="auto"/>
              <w:bottom w:val="nil"/>
              <w:right w:val="single" w:sz="4" w:space="0" w:color="auto"/>
            </w:tcBorders>
            <w:hideMark/>
          </w:tcPr>
          <w:p w:rsidR="00F044C1" w:rsidRPr="00E51C73" w:rsidRDefault="00F044C1" w:rsidP="00BC78D5">
            <w:pPr>
              <w:spacing w:before="120"/>
              <w:ind w:left="600"/>
              <w:rPr>
                <w:rFonts w:cs="Arial"/>
                <w:sz w:val="18"/>
                <w:lang w:val="fr-FR"/>
              </w:rPr>
            </w:pPr>
            <w:r w:rsidRPr="00E51C73">
              <w:rPr>
                <w:rFonts w:cs="Arial"/>
                <w:sz w:val="18"/>
                <w:lang w:val="fr-FR"/>
              </w:rPr>
              <w:t>Conversion en notes</w:t>
            </w:r>
          </w:p>
          <w:p w:rsidR="00F044C1" w:rsidRDefault="00F044C1" w:rsidP="00BC78D5">
            <w:pPr>
              <w:spacing w:before="120"/>
              <w:rPr>
                <w:rFonts w:cs="Arial"/>
                <w:sz w:val="18"/>
                <w:lang w:val="fr-FR"/>
              </w:rPr>
            </w:pPr>
          </w:p>
          <w:p w:rsidR="00F044C1" w:rsidRPr="00E51C73" w:rsidRDefault="00F044C1" w:rsidP="00BC78D5">
            <w:pPr>
              <w:rPr>
                <w:rFonts w:cs="Arial"/>
                <w:sz w:val="18"/>
                <w:lang w:val="fr-FR"/>
              </w:rPr>
            </w:pPr>
            <w:r w:rsidRPr="00E51C73">
              <w:rPr>
                <w:rFonts w:cs="Arial"/>
                <w:sz w:val="18"/>
                <w:lang w:val="fr-FR"/>
              </w:rPr>
              <w:t>Notes</w:t>
            </w:r>
          </w:p>
        </w:tc>
        <w:tc>
          <w:tcPr>
            <w:tcW w:w="2976" w:type="dxa"/>
            <w:tcBorders>
              <w:top w:val="single" w:sz="4" w:space="0" w:color="auto"/>
              <w:left w:val="single" w:sz="4" w:space="0" w:color="auto"/>
              <w:bottom w:val="nil"/>
              <w:right w:val="single" w:sz="4" w:space="0" w:color="auto"/>
            </w:tcBorders>
          </w:tcPr>
          <w:p w:rsidR="00F044C1" w:rsidRPr="00E51C73" w:rsidRDefault="00F044C1" w:rsidP="00BC78D5">
            <w:pPr>
              <w:spacing w:before="120"/>
              <w:ind w:left="459"/>
              <w:rPr>
                <w:rFonts w:cs="Arial"/>
                <w:sz w:val="18"/>
                <w:lang w:val="fr-FR"/>
              </w:rPr>
            </w:pPr>
            <w:r w:rsidRPr="00E51C73">
              <w:rPr>
                <w:rFonts w:cs="Arial"/>
                <w:sz w:val="18"/>
                <w:lang w:val="fr-FR"/>
              </w:rPr>
              <w:t>Mêmes notes que dans le niveau de processus 1</w:t>
            </w:r>
          </w:p>
          <w:p w:rsidR="00F044C1" w:rsidRPr="00E51C73" w:rsidRDefault="00F044C1" w:rsidP="00BC78D5">
            <w:pPr>
              <w:spacing w:before="120"/>
              <w:ind w:left="34"/>
              <w:rPr>
                <w:rFonts w:cs="Arial"/>
                <w:sz w:val="18"/>
                <w:lang w:val="fr-FR"/>
              </w:rPr>
            </w:pPr>
          </w:p>
          <w:p w:rsidR="00F044C1" w:rsidRPr="00E51C73" w:rsidRDefault="00F044C1" w:rsidP="00BC78D5">
            <w:pPr>
              <w:ind w:left="34"/>
              <w:rPr>
                <w:rFonts w:cs="Arial"/>
                <w:sz w:val="18"/>
                <w:lang w:val="fr-FR"/>
              </w:rPr>
            </w:pPr>
            <w:r w:rsidRPr="00E51C73">
              <w:rPr>
                <w:rFonts w:cs="Arial"/>
                <w:sz w:val="18"/>
                <w:lang w:val="fr-FR"/>
              </w:rPr>
              <w:t>Notes</w:t>
            </w:r>
          </w:p>
        </w:tc>
        <w:tc>
          <w:tcPr>
            <w:tcW w:w="2867" w:type="dxa"/>
            <w:tcBorders>
              <w:top w:val="single" w:sz="4" w:space="0" w:color="auto"/>
              <w:left w:val="single" w:sz="4" w:space="0" w:color="auto"/>
              <w:bottom w:val="nil"/>
              <w:right w:val="single" w:sz="4" w:space="0" w:color="auto"/>
            </w:tcBorders>
            <w:hideMark/>
          </w:tcPr>
          <w:p w:rsidR="00F044C1" w:rsidRPr="00E51C73" w:rsidRDefault="00F044C1" w:rsidP="00BC78D5">
            <w:pPr>
              <w:spacing w:before="240"/>
              <w:rPr>
                <w:rFonts w:cs="Arial"/>
                <w:sz w:val="18"/>
                <w:lang w:val="fr-FR"/>
              </w:rPr>
            </w:pPr>
            <w:r w:rsidRPr="00E51C73">
              <w:rPr>
                <w:rFonts w:cs="Arial"/>
                <w:sz w:val="18"/>
                <w:lang w:val="fr-FR"/>
              </w:rPr>
              <w:t>Notes relatives à une année et à un site</w:t>
            </w:r>
          </w:p>
        </w:tc>
      </w:tr>
      <w:tr w:rsidR="00F044C1" w:rsidRPr="00B17FEA" w:rsidTr="00BC78D5">
        <w:tc>
          <w:tcPr>
            <w:tcW w:w="1101" w:type="dxa"/>
            <w:tcBorders>
              <w:top w:val="nil"/>
              <w:left w:val="single" w:sz="4" w:space="0" w:color="auto"/>
              <w:bottom w:val="single" w:sz="4" w:space="0" w:color="auto"/>
              <w:right w:val="single" w:sz="4" w:space="0" w:color="auto"/>
            </w:tcBorders>
          </w:tcPr>
          <w:p w:rsidR="00F044C1" w:rsidRPr="00E51C73" w:rsidRDefault="00F044C1" w:rsidP="00BC78D5">
            <w:pPr>
              <w:jc w:val="center"/>
              <w:rPr>
                <w:rFonts w:cs="Arial"/>
                <w:sz w:val="18"/>
                <w:lang w:val="fr-FR"/>
              </w:rPr>
            </w:pPr>
          </w:p>
        </w:tc>
        <w:tc>
          <w:tcPr>
            <w:tcW w:w="5244" w:type="dxa"/>
            <w:gridSpan w:val="2"/>
            <w:tcBorders>
              <w:top w:val="nil"/>
              <w:left w:val="single" w:sz="4" w:space="0" w:color="auto"/>
              <w:bottom w:val="single" w:sz="4" w:space="0" w:color="auto"/>
              <w:right w:val="single" w:sz="4" w:space="0" w:color="auto"/>
            </w:tcBorders>
            <w:hideMark/>
          </w:tcPr>
          <w:p w:rsidR="00F044C1" w:rsidRPr="00E51C73" w:rsidRDefault="00F044C1" w:rsidP="00BC78D5">
            <w:pPr>
              <w:jc w:val="center"/>
              <w:rPr>
                <w:rFonts w:cs="Arial"/>
                <w:sz w:val="18"/>
                <w:lang w:val="fr-FR"/>
              </w:rPr>
            </w:pPr>
            <w:r w:rsidRPr="00E51C73">
              <w:rPr>
                <w:noProof/>
              </w:rPr>
              <mc:AlternateContent>
                <mc:Choice Requires="wps">
                  <w:drawing>
                    <wp:anchor distT="0" distB="0" distL="114300" distR="114300" simplePos="0" relativeHeight="251661312" behindDoc="0" locked="0" layoutInCell="1" allowOverlap="1" wp14:anchorId="69724D2B" wp14:editId="61074702">
                      <wp:simplePos x="0" y="0"/>
                      <wp:positionH relativeFrom="column">
                        <wp:posOffset>1311621</wp:posOffset>
                      </wp:positionH>
                      <wp:positionV relativeFrom="paragraph">
                        <wp:posOffset>-28824</wp:posOffset>
                      </wp:positionV>
                      <wp:extent cx="116840" cy="314325"/>
                      <wp:effectExtent l="19050" t="0" r="35560" b="47625"/>
                      <wp:wrapNone/>
                      <wp:docPr id="20" name="Down Arrow 20"/>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txbx>
                              <w:txbxContent>
                                <w:p w:rsidR="00F044C1" w:rsidRDefault="00F044C1" w:rsidP="00F044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24D2B" id="Down Arrow 20" o:spid="_x0000_s1028" type="#_x0000_t67" style="position:absolute;left:0;text-align:left;margin-left:103.3pt;margin-top:-2.25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" adj="17585" fillcolor="#4f81bd" strokecolor="#385d8a" strokeweight="2pt">
                      <v:textbox>
                        <w:txbxContent>
                          <w:p w:rsidR="00F044C1" w:rsidRDefault="00F044C1" w:rsidP="00F044C1">
                            <w:pPr>
                              <w:jc w:val="center"/>
                            </w:pPr>
                          </w:p>
                        </w:txbxContent>
                      </v:textbox>
                    </v:shape>
                  </w:pict>
                </mc:Fallback>
              </mc:AlternateContent>
            </w:r>
          </w:p>
          <w:p w:rsidR="00F044C1" w:rsidRPr="00E51C73" w:rsidRDefault="00F044C1" w:rsidP="00BC78D5">
            <w:pPr>
              <w:spacing w:before="240"/>
              <w:jc w:val="center"/>
              <w:rPr>
                <w:rFonts w:cs="Arial"/>
                <w:sz w:val="18"/>
                <w:lang w:val="fr-FR"/>
              </w:rPr>
            </w:pPr>
            <w:r w:rsidRPr="00E51C73">
              <w:rPr>
                <w:rFonts w:cs="Arial"/>
                <w:b/>
                <w:sz w:val="18"/>
                <w:lang w:val="fr-FR"/>
              </w:rPr>
              <w:t>“Description variétale moyenne”</w:t>
            </w:r>
          </w:p>
          <w:p w:rsidR="00F044C1" w:rsidRPr="00E51C73" w:rsidRDefault="00F044C1" w:rsidP="00BC78D5">
            <w:pPr>
              <w:spacing w:before="120"/>
              <w:jc w:val="center"/>
              <w:rPr>
                <w:rFonts w:cs="Arial"/>
                <w:sz w:val="18"/>
                <w:lang w:val="fr-FR"/>
              </w:rPr>
            </w:pPr>
            <w:r w:rsidRPr="00E51C73">
              <w:rPr>
                <w:rFonts w:cs="Arial"/>
                <w:sz w:val="18"/>
                <w:lang w:val="fr-FR"/>
              </w:rPr>
              <w:t>Si les variétés sont évaluées sur plusieurs essais/années/sites, des descriptions moyennes peuvent être établies.</w:t>
            </w:r>
          </w:p>
        </w:tc>
        <w:tc>
          <w:tcPr>
            <w:tcW w:w="2867" w:type="dxa"/>
            <w:tcBorders>
              <w:top w:val="nil"/>
              <w:left w:val="single" w:sz="4" w:space="0" w:color="auto"/>
              <w:bottom w:val="single" w:sz="4" w:space="0" w:color="auto"/>
              <w:right w:val="single" w:sz="4" w:space="0" w:color="auto"/>
            </w:tcBorders>
          </w:tcPr>
          <w:p w:rsidR="00F044C1" w:rsidRPr="00E51C73" w:rsidRDefault="00F044C1" w:rsidP="00BC78D5">
            <w:pPr>
              <w:spacing w:before="240"/>
              <w:rPr>
                <w:rFonts w:cs="Arial"/>
                <w:sz w:val="18"/>
                <w:lang w:val="fr-FR"/>
              </w:rPr>
            </w:pPr>
          </w:p>
          <w:p w:rsidR="00F044C1" w:rsidRPr="00E51C73" w:rsidRDefault="00F044C1" w:rsidP="00BC78D5">
            <w:pPr>
              <w:spacing w:before="240"/>
              <w:rPr>
                <w:rFonts w:cs="Arial"/>
                <w:sz w:val="18"/>
                <w:lang w:val="fr-FR"/>
              </w:rPr>
            </w:pPr>
            <w:r w:rsidRPr="00E51C73">
              <w:rPr>
                <w:rFonts w:cs="Arial"/>
                <w:sz w:val="18"/>
                <w:lang w:val="fr-FR"/>
              </w:rPr>
              <w:t>Base de la gestion de la collection de variétés</w:t>
            </w:r>
          </w:p>
        </w:tc>
      </w:tr>
    </w:tbl>
    <w:p w:rsidR="00F044C1" w:rsidRPr="00E51C73" w:rsidRDefault="00F044C1" w:rsidP="00F044C1">
      <w:pPr>
        <w:rPr>
          <w:rFonts w:cs="Arial"/>
          <w:sz w:val="18"/>
          <w:lang w:val="fr-FR"/>
        </w:rPr>
      </w:pPr>
    </w:p>
    <w:p w:rsidR="00F044C1" w:rsidRPr="00E51C73" w:rsidRDefault="00F044C1" w:rsidP="00F044C1">
      <w:pPr>
        <w:ind w:left="567" w:right="567"/>
        <w:rPr>
          <w:rFonts w:cs="Arial"/>
          <w:sz w:val="18"/>
          <w:lang w:val="fr-FR"/>
        </w:rPr>
      </w:pPr>
      <w:r w:rsidRPr="00E51C73">
        <w:rPr>
          <w:rFonts w:cs="Arial"/>
          <w:sz w:val="18"/>
          <w:lang w:val="fr-FR"/>
        </w:rPr>
        <w:t>“En général, les caractères quantitatifs sont influencés par le milieu.  Un moyen efficace de réduire l’impact de l’environnement consiste à convertir les mesures réelles en notes.  Les notes représentent une description normalisée des variétés par rapport à des variétés indiquées à titre d’exemple (voir le document TGP/7).</w:t>
      </w:r>
      <w:r w:rsidRPr="00E51C73">
        <w:rPr>
          <w:sz w:val="18"/>
          <w:lang w:val="fr-FR"/>
        </w:rPr>
        <w:t xml:space="preserve">  </w:t>
      </w:r>
      <w:r w:rsidRPr="00E51C73">
        <w:rPr>
          <w:rFonts w:cs="Arial"/>
          <w:sz w:val="18"/>
          <w:lang w:val="fr-FR"/>
        </w:rPr>
        <w:t>De plus, la comparabilité des descriptions pour des variétés qui n’ont pas été examinées dans le cadre d’un même essai peut être améliorée en calculant une description moyenne sur plusieurs cycles de végétation.  En particulier, la description moyenne pour plusieurs cycles de végétation sur le même site peut constituer une description représentative liée au site.  Le calcul d’une description moyenne pour plusieurs sites différents ne devrait être envisagé que si les incidences des sites sont parfaitement connues et que les interactions entre variété et site peuvent être exclues pour tous les caractères.  Le calcul des descriptions moyennes pour plusieurs sites devrait être limité aux cas où ces conditions sont remplies.</w:t>
      </w:r>
    </w:p>
    <w:p w:rsidR="00F044C1" w:rsidRPr="00E51C73" w:rsidRDefault="00F044C1" w:rsidP="00F044C1">
      <w:pPr>
        <w:ind w:left="567" w:right="567"/>
        <w:rPr>
          <w:rFonts w:cs="Arial"/>
          <w:sz w:val="18"/>
          <w:lang w:val="fr-FR"/>
        </w:rPr>
      </w:pPr>
    </w:p>
    <w:p w:rsidR="00F044C1" w:rsidRPr="00E51C73" w:rsidRDefault="00F044C1" w:rsidP="00F044C1">
      <w:pPr>
        <w:keepLines/>
        <w:ind w:left="567" w:right="567"/>
        <w:rPr>
          <w:rFonts w:cs="Arial"/>
          <w:sz w:val="18"/>
          <w:lang w:val="fr-FR"/>
        </w:rPr>
      </w:pPr>
      <w:r w:rsidRPr="00E51C73">
        <w:rPr>
          <w:rFonts w:cs="Arial"/>
          <w:sz w:val="18"/>
          <w:lang w:val="fr-FR"/>
        </w:rPr>
        <w:t>“Si des descriptions variétales établies sur la base de plusieurs essais en culture sont utilisées pour l’évaluation de la distinction – c’est-à-dire pour la gestion des collections de variétés – il est important de tenir compte de l’origine des différentes descriptions de la variété candidate et des variétés notoirement connues.  La comparabilité des descriptions variétales est influencée par de nombreux facteurs, dont les suivants :</w:t>
      </w:r>
    </w:p>
    <w:p w:rsidR="00F044C1" w:rsidRPr="00E51C73" w:rsidRDefault="00F044C1" w:rsidP="00F044C1">
      <w:pPr>
        <w:ind w:left="567" w:right="567"/>
        <w:rPr>
          <w:rFonts w:cs="Arial"/>
          <w:sz w:val="18"/>
          <w:lang w:val="fr-FR"/>
        </w:rPr>
      </w:pPr>
    </w:p>
    <w:p w:rsidR="00F044C1" w:rsidRPr="00E51C73" w:rsidRDefault="00F044C1" w:rsidP="00F044C1">
      <w:pPr>
        <w:ind w:left="567" w:right="567"/>
        <w:rPr>
          <w:rFonts w:cs="Arial"/>
          <w:sz w:val="18"/>
          <w:lang w:val="fr-FR"/>
        </w:rPr>
      </w:pPr>
      <w:r w:rsidRPr="00E51C73">
        <w:rPr>
          <w:rFonts w:cs="Arial"/>
          <w:sz w:val="18"/>
          <w:lang w:val="fr-FR"/>
        </w:rPr>
        <w:t>“-</w:t>
      </w:r>
      <w:r w:rsidRPr="00E51C73">
        <w:rPr>
          <w:rFonts w:cs="Arial"/>
          <w:sz w:val="18"/>
          <w:lang w:val="fr-FR"/>
        </w:rPr>
        <w:tab/>
        <w:t>Description fondée sur une seule année ou sur la moyenne de plusieurs années?</w:t>
      </w:r>
    </w:p>
    <w:p w:rsidR="00F044C1" w:rsidRPr="00E51C73" w:rsidRDefault="00F044C1" w:rsidP="00F044C1">
      <w:pPr>
        <w:ind w:left="567" w:right="567"/>
        <w:rPr>
          <w:rFonts w:cs="Arial"/>
          <w:sz w:val="18"/>
          <w:lang w:val="fr-FR"/>
        </w:rPr>
      </w:pPr>
      <w:r w:rsidRPr="00E51C73">
        <w:rPr>
          <w:rFonts w:cs="Arial"/>
          <w:sz w:val="18"/>
          <w:lang w:val="fr-FR"/>
        </w:rPr>
        <w:t>“-</w:t>
      </w:r>
      <w:r w:rsidRPr="00E51C73">
        <w:rPr>
          <w:rFonts w:cs="Arial"/>
          <w:sz w:val="18"/>
          <w:lang w:val="fr-FR"/>
        </w:rPr>
        <w:tab/>
        <w:t>Description fondée sur un seul site ou sur plusieurs?</w:t>
      </w:r>
    </w:p>
    <w:p w:rsidR="00F044C1" w:rsidRPr="00E51C73" w:rsidRDefault="00F044C1" w:rsidP="00F044C1">
      <w:pPr>
        <w:ind w:left="567" w:right="567"/>
        <w:rPr>
          <w:rFonts w:cs="Arial"/>
          <w:sz w:val="18"/>
          <w:lang w:val="fr-FR"/>
        </w:rPr>
      </w:pPr>
      <w:r w:rsidRPr="00E51C73">
        <w:rPr>
          <w:rFonts w:cs="Arial"/>
          <w:sz w:val="18"/>
          <w:lang w:val="fr-FR"/>
        </w:rPr>
        <w:t>“-</w:t>
      </w:r>
      <w:r w:rsidRPr="00E51C73">
        <w:rPr>
          <w:rFonts w:cs="Arial"/>
          <w:sz w:val="18"/>
          <w:lang w:val="fr-FR"/>
        </w:rPr>
        <w:tab/>
        <w:t>Les incidences du site différent sont-elles connues?</w:t>
      </w:r>
    </w:p>
    <w:p w:rsidR="00F044C1" w:rsidRPr="00E51C73" w:rsidRDefault="00F044C1" w:rsidP="00F044C1">
      <w:pPr>
        <w:ind w:left="1134" w:right="567" w:hanging="567"/>
        <w:rPr>
          <w:rFonts w:cs="Arial"/>
          <w:sz w:val="18"/>
          <w:lang w:val="fr-FR"/>
        </w:rPr>
      </w:pPr>
      <w:r w:rsidRPr="00E51C73">
        <w:rPr>
          <w:rFonts w:cs="Arial"/>
          <w:sz w:val="18"/>
          <w:lang w:val="fr-FR"/>
        </w:rPr>
        <w:t>“-</w:t>
      </w:r>
      <w:r w:rsidRPr="00E51C73">
        <w:rPr>
          <w:rFonts w:cs="Arial"/>
          <w:sz w:val="18"/>
          <w:lang w:val="fr-FR"/>
        </w:rPr>
        <w:tab/>
        <w:t>Variétés décrites par rapport à une même collection de variétés ou collection de variétés couvrant une amplitude de variation différente?</w:t>
      </w:r>
    </w:p>
    <w:p w:rsidR="00F044C1" w:rsidRPr="00E51C73" w:rsidRDefault="00F044C1" w:rsidP="00F044C1">
      <w:pPr>
        <w:ind w:left="567" w:right="567"/>
        <w:rPr>
          <w:rFonts w:cs="Arial"/>
          <w:sz w:val="18"/>
          <w:lang w:val="fr-FR"/>
        </w:rPr>
      </w:pPr>
    </w:p>
    <w:p w:rsidR="00F044C1" w:rsidRPr="00E51C73" w:rsidRDefault="00F044C1" w:rsidP="00F044C1">
      <w:pPr>
        <w:ind w:left="567" w:right="567"/>
        <w:rPr>
          <w:rFonts w:cs="Arial"/>
          <w:sz w:val="18"/>
          <w:lang w:val="fr-FR"/>
        </w:rPr>
      </w:pPr>
      <w:r w:rsidRPr="00E51C73">
        <w:rPr>
          <w:rFonts w:cs="Arial"/>
          <w:sz w:val="18"/>
          <w:lang w:val="fr-FR"/>
        </w:rPr>
        <w:t>“Les différences éventuelles des descriptions variétales liées aux effets du milieu entre les variétés candidates et les variétés de la collection doivent être prises en considération dans le cadre du processus d’examen de la distinction, notamment pour l’identification des variétés notoirement connues à inclure dans l’essai en culture.”</w:t>
      </w:r>
    </w:p>
    <w:p w:rsidR="00F044C1" w:rsidRPr="00E51C73" w:rsidRDefault="00F044C1" w:rsidP="00F044C1">
      <w:pPr>
        <w:ind w:left="567" w:right="567"/>
        <w:rPr>
          <w:rFonts w:cs="Arial"/>
          <w:sz w:val="18"/>
          <w:lang w:val="fr-FR"/>
        </w:rPr>
      </w:pPr>
    </w:p>
    <w:p w:rsidR="00F044C1" w:rsidRPr="00E51C73" w:rsidRDefault="00F044C1" w:rsidP="00F044C1">
      <w:pPr>
        <w:ind w:left="567" w:right="567"/>
        <w:rPr>
          <w:rFonts w:cs="Arial"/>
          <w:sz w:val="18"/>
          <w:lang w:val="fr-FR"/>
        </w:rPr>
      </w:pPr>
    </w:p>
    <w:p w:rsidR="00F044C1" w:rsidRPr="00E51C73" w:rsidRDefault="00F044C1" w:rsidP="00F044C1">
      <w:pPr>
        <w:ind w:left="567" w:right="567"/>
        <w:rPr>
          <w:rFonts w:cs="Arial"/>
          <w:sz w:val="18"/>
          <w:lang w:val="fr-FR"/>
        </w:rPr>
      </w:pPr>
    </w:p>
    <w:p w:rsidR="00F044C1" w:rsidRPr="00E51C73" w:rsidRDefault="00F044C1" w:rsidP="00F044C1">
      <w:pPr>
        <w:jc w:val="right"/>
        <w:rPr>
          <w:lang w:val="fr-FR"/>
        </w:rPr>
      </w:pPr>
      <w:r w:rsidRPr="00E51C73">
        <w:rPr>
          <w:lang w:val="fr-FR"/>
        </w:rPr>
        <w:t>[L’annexe III suit]</w:t>
      </w:r>
    </w:p>
    <w:p w:rsidR="00F044C1" w:rsidRPr="00E51C73" w:rsidRDefault="00F044C1" w:rsidP="00F044C1">
      <w:pPr>
        <w:jc w:val="right"/>
        <w:rPr>
          <w:lang w:val="fr-FR"/>
        </w:rPr>
        <w:sectPr w:rsidR="00F044C1" w:rsidRPr="00E51C73" w:rsidSect="0004198B">
          <w:headerReference w:type="even" r:id="rId18"/>
          <w:headerReference w:type="default" r:id="rId19"/>
          <w:footerReference w:type="even" r:id="rId20"/>
          <w:footerReference w:type="default" r:id="rId21"/>
          <w:headerReference w:type="first" r:id="rId22"/>
          <w:footerReference w:type="first" r:id="rId23"/>
          <w:pgSz w:w="11907" w:h="16840" w:code="9"/>
          <w:pgMar w:top="510" w:right="1134" w:bottom="1134" w:left="1134" w:header="510" w:footer="680" w:gutter="0"/>
          <w:pgNumType w:start="1"/>
          <w:cols w:space="720"/>
          <w:titlePg/>
        </w:sectPr>
      </w:pPr>
    </w:p>
    <w:p w:rsidR="00F044C1" w:rsidRPr="00E51C73" w:rsidRDefault="00F044C1" w:rsidP="00F044C1">
      <w:pPr>
        <w:jc w:val="center"/>
        <w:rPr>
          <w:lang w:val="fr-FR"/>
        </w:rPr>
      </w:pPr>
      <w:r>
        <w:rPr>
          <w:lang w:val="fr-FR"/>
        </w:rPr>
        <w:lastRenderedPageBreak/>
        <w:t>CAJ/79/3</w:t>
      </w:r>
    </w:p>
    <w:p w:rsidR="00F044C1" w:rsidRPr="00E51C73" w:rsidRDefault="00F044C1" w:rsidP="00F044C1">
      <w:pPr>
        <w:jc w:val="center"/>
        <w:rPr>
          <w:lang w:val="fr-FR"/>
        </w:rPr>
      </w:pPr>
    </w:p>
    <w:p w:rsidR="00F044C1" w:rsidRPr="00E51C73" w:rsidRDefault="00F044C1" w:rsidP="00F044C1">
      <w:pPr>
        <w:jc w:val="center"/>
        <w:rPr>
          <w:lang w:val="fr-FR"/>
        </w:rPr>
      </w:pPr>
      <w:r w:rsidRPr="00E51C73">
        <w:rPr>
          <w:lang w:val="fr-FR"/>
        </w:rPr>
        <w:t>ANNEXE III</w:t>
      </w:r>
    </w:p>
    <w:p w:rsidR="00F044C1" w:rsidRPr="00E51C73" w:rsidRDefault="00F044C1" w:rsidP="00F044C1">
      <w:pPr>
        <w:rPr>
          <w:lang w:val="fr-FR"/>
        </w:rPr>
      </w:pPr>
    </w:p>
    <w:p w:rsidR="00F044C1" w:rsidRPr="00E51C73" w:rsidRDefault="00F044C1" w:rsidP="00F044C1">
      <w:pPr>
        <w:rPr>
          <w:lang w:val="fr-FR"/>
        </w:rPr>
      </w:pPr>
    </w:p>
    <w:p w:rsidR="00F044C1" w:rsidRPr="00E51C73" w:rsidRDefault="00F044C1" w:rsidP="00F044C1">
      <w:pPr>
        <w:rPr>
          <w:u w:val="single"/>
          <w:lang w:val="fr-FR"/>
        </w:rPr>
      </w:pPr>
      <w:r w:rsidRPr="00E51C73">
        <w:rPr>
          <w:u w:val="single"/>
          <w:lang w:val="fr-FR"/>
        </w:rPr>
        <w:t>Document TGP/12 : Conseils en ce qui concerne certains caractères physiologiques (révision)</w:t>
      </w:r>
    </w:p>
    <w:p w:rsidR="00F044C1" w:rsidRPr="00E51C73" w:rsidRDefault="00F044C1" w:rsidP="00F044C1">
      <w:pPr>
        <w:rPr>
          <w:u w:val="single"/>
          <w:lang w:val="fr-FR"/>
        </w:rPr>
      </w:pPr>
    </w:p>
    <w:p w:rsidR="00F044C1" w:rsidRPr="00E51C73" w:rsidRDefault="00F044C1" w:rsidP="00F044C1">
      <w:pPr>
        <w:rPr>
          <w:lang w:val="fr-FR"/>
        </w:rPr>
      </w:pPr>
    </w:p>
    <w:p w:rsidR="00F044C1" w:rsidRPr="00E51C73" w:rsidRDefault="00F044C1" w:rsidP="00F044C1">
      <w:pPr>
        <w:rPr>
          <w:snapToGrid w:val="0"/>
          <w:lang w:val="fr-FR"/>
        </w:rPr>
      </w:pPr>
      <w:r w:rsidRPr="00E51C73">
        <w:rPr>
          <w:snapToGrid w:val="0"/>
          <w:lang w:val="fr-FR"/>
        </w:rPr>
        <w:t>À sa cinquante-septième session tenue par voie électronique les 25 et 26 octobre 2021, le TC a décidé de modifier la section 2.3.2 du document TGP/12/2 pour remplacer le niveau d’expression “moyennement résistant” par “intermédiaire” dans l’exemple concernant les caractères de résistance aux maladies avec l’échelle de “1 à 3”, comme suit (voir les paragraphes 44 et 45 du document TC/57/25 “Compte rendu”) :</w:t>
      </w:r>
    </w:p>
    <w:p w:rsidR="00F044C1" w:rsidRPr="00E51C73" w:rsidRDefault="00F044C1" w:rsidP="00F044C1">
      <w:pPr>
        <w:rPr>
          <w:snapToGrid w:val="0"/>
          <w:lang w:val="fr-FR"/>
        </w:rPr>
      </w:pPr>
    </w:p>
    <w:p w:rsidR="00F044C1" w:rsidRPr="00E51C73" w:rsidRDefault="00F044C1" w:rsidP="00F044C1">
      <w:pPr>
        <w:keepNext/>
        <w:keepLines/>
        <w:ind w:left="567"/>
        <w:jc w:val="left"/>
        <w:rPr>
          <w:lang w:val="fr-FR"/>
        </w:rPr>
      </w:pPr>
      <w:r w:rsidRPr="00E51C73">
        <w:rPr>
          <w:u w:val="single"/>
          <w:lang w:val="fr-FR"/>
        </w:rPr>
        <w:t>Exemple avec l’échelle de “1 à 3”</w:t>
      </w:r>
      <w:r w:rsidRPr="00E51C73">
        <w:rPr>
          <w:lang w:val="fr-FR"/>
        </w:rPr>
        <w:t xml:space="preserve"> : </w:t>
      </w:r>
      <w:r w:rsidRPr="00E51C73">
        <w:rPr>
          <w:lang w:val="fr-FR"/>
        </w:rPr>
        <w:tab/>
        <w:t xml:space="preserve">Résistance du melon à </w:t>
      </w:r>
      <w:r w:rsidRPr="00E51C73">
        <w:rPr>
          <w:i/>
          <w:lang w:val="fr-FR"/>
        </w:rPr>
        <w:t>Sphaerotheca fuliginea</w:t>
      </w:r>
      <w:r w:rsidRPr="00E51C73">
        <w:rPr>
          <w:lang w:val="fr-FR"/>
        </w:rPr>
        <w:t xml:space="preserve"> (</w:t>
      </w:r>
      <w:r w:rsidRPr="00E51C73">
        <w:rPr>
          <w:i/>
          <w:lang w:val="fr-FR"/>
        </w:rPr>
        <w:t>Podosphaera xanthii</w:t>
      </w:r>
      <w:r w:rsidRPr="00E51C73">
        <w:rPr>
          <w:lang w:val="fr-FR"/>
        </w:rPr>
        <w:t>) (oïdium) (principes directeurs d’examen de l’UPOV : TG/104/5)</w:t>
      </w:r>
    </w:p>
    <w:p w:rsidR="00F044C1" w:rsidRPr="00E51C73" w:rsidRDefault="00F044C1" w:rsidP="00F044C1">
      <w:pPr>
        <w:keepNext/>
        <w:keepLines/>
        <w:rPr>
          <w:sz w:val="18"/>
          <w:lang w:val="fr-FR"/>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425"/>
        <w:gridCol w:w="1733"/>
        <w:gridCol w:w="1734"/>
        <w:gridCol w:w="1342"/>
        <w:gridCol w:w="1134"/>
        <w:gridCol w:w="676"/>
      </w:tblGrid>
      <w:tr w:rsidR="00F044C1" w:rsidRPr="00E51C73" w:rsidTr="00BC78D5">
        <w:trPr>
          <w:cantSplit/>
          <w:tblHeader/>
          <w:jc w:val="center"/>
        </w:trPr>
        <w:tc>
          <w:tcPr>
            <w:tcW w:w="578" w:type="dxa"/>
            <w:tcBorders>
              <w:top w:val="single" w:sz="6" w:space="0" w:color="auto"/>
              <w:left w:val="nil"/>
              <w:bottom w:val="single" w:sz="4" w:space="0" w:color="auto"/>
              <w:right w:val="nil"/>
            </w:tcBorders>
            <w:vAlign w:val="center"/>
          </w:tcPr>
          <w:p w:rsidR="00F044C1" w:rsidRPr="00E51C73" w:rsidRDefault="00F044C1" w:rsidP="00BC78D5">
            <w:pPr>
              <w:keepNext/>
              <w:keepLines/>
              <w:spacing w:before="120" w:after="120"/>
              <w:jc w:val="left"/>
              <w:rPr>
                <w:sz w:val="16"/>
                <w:lang w:val="fr-FR"/>
              </w:rPr>
            </w:pPr>
          </w:p>
        </w:tc>
        <w:tc>
          <w:tcPr>
            <w:tcW w:w="425" w:type="dxa"/>
            <w:tcBorders>
              <w:top w:val="single" w:sz="6" w:space="0" w:color="auto"/>
              <w:left w:val="nil"/>
              <w:bottom w:val="single" w:sz="4" w:space="0" w:color="auto"/>
              <w:right w:val="nil"/>
            </w:tcBorders>
            <w:vAlign w:val="center"/>
          </w:tcPr>
          <w:p w:rsidR="00F044C1" w:rsidRPr="00E51C73" w:rsidRDefault="00F044C1" w:rsidP="00BC78D5">
            <w:pPr>
              <w:keepNext/>
              <w:keepLines/>
              <w:spacing w:before="120" w:after="120"/>
              <w:jc w:val="left"/>
              <w:rPr>
                <w:sz w:val="16"/>
                <w:lang w:val="fr-FR"/>
              </w:rPr>
            </w:pPr>
          </w:p>
        </w:tc>
        <w:tc>
          <w:tcPr>
            <w:tcW w:w="1733" w:type="dxa"/>
            <w:tcBorders>
              <w:top w:val="single" w:sz="6" w:space="0" w:color="auto"/>
              <w:left w:val="nil"/>
              <w:bottom w:val="single" w:sz="4" w:space="0" w:color="auto"/>
              <w:right w:val="nil"/>
            </w:tcBorders>
            <w:vAlign w:val="center"/>
            <w:hideMark/>
          </w:tcPr>
          <w:p w:rsidR="00F044C1" w:rsidRPr="00E51C73" w:rsidRDefault="00F044C1" w:rsidP="00BC78D5">
            <w:pPr>
              <w:keepNext/>
              <w:keepLines/>
              <w:spacing w:before="120" w:after="120"/>
              <w:jc w:val="left"/>
              <w:rPr>
                <w:sz w:val="16"/>
                <w:lang w:val="fr-FR"/>
              </w:rPr>
            </w:pPr>
            <w:r w:rsidRPr="00E51C73">
              <w:rPr>
                <w:sz w:val="16"/>
                <w:lang w:val="fr-FR"/>
              </w:rPr>
              <w:t>Français</w:t>
            </w:r>
          </w:p>
        </w:tc>
        <w:tc>
          <w:tcPr>
            <w:tcW w:w="1734" w:type="dxa"/>
            <w:tcBorders>
              <w:top w:val="single" w:sz="6" w:space="0" w:color="auto"/>
              <w:left w:val="nil"/>
              <w:bottom w:val="single" w:sz="4" w:space="0" w:color="auto"/>
              <w:right w:val="nil"/>
            </w:tcBorders>
            <w:vAlign w:val="center"/>
          </w:tcPr>
          <w:p w:rsidR="00F044C1" w:rsidRPr="00E51C73" w:rsidRDefault="00F044C1" w:rsidP="00BC78D5">
            <w:pPr>
              <w:keepNext/>
              <w:keepLines/>
              <w:spacing w:before="120" w:after="120"/>
              <w:jc w:val="left"/>
              <w:rPr>
                <w:sz w:val="16"/>
                <w:lang w:val="fr-FR"/>
              </w:rPr>
            </w:pPr>
          </w:p>
        </w:tc>
        <w:tc>
          <w:tcPr>
            <w:tcW w:w="1342" w:type="dxa"/>
            <w:tcBorders>
              <w:top w:val="single" w:sz="6" w:space="0" w:color="auto"/>
              <w:left w:val="nil"/>
              <w:bottom w:val="single" w:sz="4" w:space="0" w:color="auto"/>
              <w:right w:val="nil"/>
            </w:tcBorders>
            <w:vAlign w:val="center"/>
          </w:tcPr>
          <w:p w:rsidR="00F044C1" w:rsidRPr="00E51C73" w:rsidRDefault="00F044C1" w:rsidP="00BC78D5">
            <w:pPr>
              <w:keepNext/>
              <w:keepLines/>
              <w:spacing w:before="120" w:after="120"/>
              <w:jc w:val="left"/>
              <w:rPr>
                <w:sz w:val="16"/>
                <w:lang w:val="fr-FR"/>
              </w:rPr>
            </w:pPr>
          </w:p>
        </w:tc>
        <w:tc>
          <w:tcPr>
            <w:tcW w:w="1134" w:type="dxa"/>
            <w:tcBorders>
              <w:top w:val="single" w:sz="6" w:space="0" w:color="auto"/>
              <w:left w:val="nil"/>
              <w:bottom w:val="single" w:sz="4" w:space="0" w:color="auto"/>
              <w:right w:val="nil"/>
            </w:tcBorders>
            <w:vAlign w:val="center"/>
            <w:hideMark/>
          </w:tcPr>
          <w:p w:rsidR="00F044C1" w:rsidRPr="00E51C73" w:rsidRDefault="00F044C1" w:rsidP="00BC78D5">
            <w:pPr>
              <w:keepNext/>
              <w:keepLines/>
              <w:spacing w:before="120" w:after="120"/>
              <w:jc w:val="left"/>
              <w:rPr>
                <w:sz w:val="16"/>
                <w:lang w:val="fr-FR"/>
              </w:rPr>
            </w:pPr>
            <w:r w:rsidRPr="00E51C73">
              <w:rPr>
                <w:sz w:val="16"/>
                <w:lang w:val="fr-FR"/>
              </w:rPr>
              <w:t>Variétés indiquées à titre d’exemples</w:t>
            </w:r>
          </w:p>
        </w:tc>
        <w:tc>
          <w:tcPr>
            <w:tcW w:w="676" w:type="dxa"/>
            <w:tcBorders>
              <w:top w:val="single" w:sz="6" w:space="0" w:color="auto"/>
              <w:left w:val="nil"/>
              <w:bottom w:val="single" w:sz="4" w:space="0" w:color="auto"/>
              <w:right w:val="nil"/>
            </w:tcBorders>
            <w:vAlign w:val="center"/>
            <w:hideMark/>
          </w:tcPr>
          <w:p w:rsidR="00F044C1" w:rsidRPr="00E51C73" w:rsidRDefault="00F044C1" w:rsidP="00BC78D5">
            <w:pPr>
              <w:keepNext/>
              <w:keepLines/>
              <w:spacing w:before="120" w:after="120"/>
              <w:jc w:val="left"/>
              <w:rPr>
                <w:sz w:val="16"/>
                <w:lang w:val="fr-FR"/>
              </w:rPr>
            </w:pPr>
            <w:r w:rsidRPr="00E51C73">
              <w:rPr>
                <w:sz w:val="16"/>
                <w:lang w:val="fr-FR"/>
              </w:rPr>
              <w:t>Note</w:t>
            </w:r>
          </w:p>
        </w:tc>
      </w:tr>
      <w:tr w:rsidR="00F044C1" w:rsidRPr="00B17FEA" w:rsidTr="00BC78D5">
        <w:trPr>
          <w:cantSplit/>
          <w:jc w:val="center"/>
        </w:trPr>
        <w:tc>
          <w:tcPr>
            <w:tcW w:w="578" w:type="dxa"/>
            <w:tcBorders>
              <w:top w:val="single" w:sz="4" w:space="0" w:color="auto"/>
              <w:left w:val="nil"/>
              <w:bottom w:val="nil"/>
              <w:right w:val="nil"/>
            </w:tcBorders>
            <w:hideMark/>
          </w:tcPr>
          <w:p w:rsidR="00F044C1" w:rsidRPr="00E51C73" w:rsidRDefault="00F044C1" w:rsidP="00BC78D5">
            <w:pPr>
              <w:keepNext/>
              <w:keepLines/>
              <w:spacing w:before="120" w:after="120"/>
              <w:jc w:val="left"/>
              <w:rPr>
                <w:b/>
                <w:bCs/>
                <w:sz w:val="16"/>
                <w:lang w:val="fr-FR"/>
              </w:rPr>
            </w:pPr>
            <w:r w:rsidRPr="00E51C73">
              <w:rPr>
                <w:b/>
                <w:bCs/>
                <w:sz w:val="16"/>
                <w:lang w:val="fr-FR"/>
              </w:rPr>
              <w:t>70.</w:t>
            </w:r>
          </w:p>
          <w:p w:rsidR="00F044C1" w:rsidRPr="00E51C73" w:rsidRDefault="00F044C1" w:rsidP="00BC78D5">
            <w:pPr>
              <w:keepNext/>
              <w:keepLines/>
              <w:spacing w:before="120" w:after="120"/>
              <w:jc w:val="left"/>
              <w:rPr>
                <w:b/>
                <w:bCs/>
                <w:sz w:val="16"/>
                <w:lang w:val="fr-FR"/>
              </w:rPr>
            </w:pPr>
            <w:r w:rsidRPr="00E51C73">
              <w:rPr>
                <w:b/>
                <w:bCs/>
                <w:sz w:val="16"/>
                <w:lang w:val="fr-FR"/>
              </w:rPr>
              <w:t>(+)</w:t>
            </w:r>
          </w:p>
        </w:tc>
        <w:tc>
          <w:tcPr>
            <w:tcW w:w="425" w:type="dxa"/>
            <w:tcBorders>
              <w:top w:val="single" w:sz="4" w:space="0" w:color="auto"/>
              <w:left w:val="nil"/>
              <w:bottom w:val="nil"/>
              <w:right w:val="nil"/>
            </w:tcBorders>
            <w:hideMark/>
          </w:tcPr>
          <w:p w:rsidR="00F044C1" w:rsidRPr="00E51C73" w:rsidRDefault="00F044C1" w:rsidP="00BC78D5">
            <w:pPr>
              <w:keepNext/>
              <w:keepLines/>
              <w:spacing w:before="120" w:after="120"/>
              <w:jc w:val="left"/>
              <w:rPr>
                <w:b/>
                <w:bCs/>
                <w:sz w:val="16"/>
                <w:lang w:val="fr-FR"/>
              </w:rPr>
            </w:pPr>
            <w:r w:rsidRPr="00E51C73">
              <w:rPr>
                <w:b/>
                <w:bCs/>
                <w:sz w:val="16"/>
                <w:lang w:val="fr-FR"/>
              </w:rPr>
              <w:t>VG</w:t>
            </w:r>
          </w:p>
        </w:tc>
        <w:tc>
          <w:tcPr>
            <w:tcW w:w="1733" w:type="dxa"/>
            <w:tcBorders>
              <w:top w:val="single" w:sz="4" w:space="0" w:color="auto"/>
              <w:left w:val="nil"/>
              <w:bottom w:val="nil"/>
              <w:right w:val="nil"/>
            </w:tcBorders>
            <w:hideMark/>
          </w:tcPr>
          <w:p w:rsidR="00F044C1" w:rsidRPr="00E51C73" w:rsidRDefault="00F044C1" w:rsidP="00BC78D5">
            <w:pPr>
              <w:keepNext/>
              <w:keepLines/>
              <w:spacing w:before="120" w:after="120"/>
              <w:jc w:val="left"/>
              <w:rPr>
                <w:b/>
                <w:bCs/>
                <w:sz w:val="16"/>
                <w:lang w:val="fr-FR"/>
              </w:rPr>
            </w:pPr>
            <w:r w:rsidRPr="00E51C73">
              <w:rPr>
                <w:b/>
                <w:bCs/>
                <w:sz w:val="16"/>
                <w:lang w:val="fr-FR"/>
              </w:rPr>
              <w:t>Résistance à Sphaerotheca fuliginea (Podosphaera xanthii) (Oïdium)</w:t>
            </w:r>
          </w:p>
        </w:tc>
        <w:tc>
          <w:tcPr>
            <w:tcW w:w="1734" w:type="dxa"/>
            <w:tcBorders>
              <w:top w:val="single" w:sz="4" w:space="0" w:color="auto"/>
              <w:left w:val="nil"/>
              <w:bottom w:val="nil"/>
              <w:right w:val="nil"/>
            </w:tcBorders>
          </w:tcPr>
          <w:p w:rsidR="00F044C1" w:rsidRPr="00E51C73" w:rsidRDefault="00F044C1" w:rsidP="00BC78D5">
            <w:pPr>
              <w:keepNext/>
              <w:keepLines/>
              <w:spacing w:before="120" w:after="120"/>
              <w:jc w:val="left"/>
              <w:rPr>
                <w:b/>
                <w:bCs/>
                <w:sz w:val="16"/>
                <w:lang w:val="fr-FR"/>
              </w:rPr>
            </w:pPr>
          </w:p>
        </w:tc>
        <w:tc>
          <w:tcPr>
            <w:tcW w:w="1342" w:type="dxa"/>
            <w:tcBorders>
              <w:top w:val="single" w:sz="4" w:space="0" w:color="auto"/>
              <w:left w:val="nil"/>
              <w:bottom w:val="nil"/>
              <w:right w:val="nil"/>
            </w:tcBorders>
          </w:tcPr>
          <w:p w:rsidR="00F044C1" w:rsidRPr="00E51C73" w:rsidRDefault="00F044C1" w:rsidP="00BC78D5">
            <w:pPr>
              <w:keepNext/>
              <w:keepLines/>
              <w:spacing w:before="120" w:after="120"/>
              <w:jc w:val="left"/>
              <w:rPr>
                <w:b/>
                <w:bCs/>
                <w:sz w:val="16"/>
                <w:lang w:val="fr-FR"/>
              </w:rPr>
            </w:pPr>
          </w:p>
        </w:tc>
        <w:tc>
          <w:tcPr>
            <w:tcW w:w="1134" w:type="dxa"/>
            <w:tcBorders>
              <w:top w:val="single" w:sz="4" w:space="0" w:color="auto"/>
              <w:left w:val="nil"/>
              <w:bottom w:val="nil"/>
              <w:right w:val="nil"/>
            </w:tcBorders>
          </w:tcPr>
          <w:p w:rsidR="00F044C1" w:rsidRPr="00E51C73" w:rsidRDefault="00F044C1" w:rsidP="00BC78D5">
            <w:pPr>
              <w:keepNext/>
              <w:keepLines/>
              <w:spacing w:before="120" w:after="120"/>
              <w:jc w:val="left"/>
              <w:rPr>
                <w:b/>
                <w:bCs/>
                <w:sz w:val="16"/>
                <w:lang w:val="fr-FR"/>
              </w:rPr>
            </w:pPr>
          </w:p>
        </w:tc>
        <w:tc>
          <w:tcPr>
            <w:tcW w:w="676" w:type="dxa"/>
            <w:tcBorders>
              <w:top w:val="single" w:sz="4" w:space="0" w:color="auto"/>
              <w:left w:val="nil"/>
              <w:bottom w:val="nil"/>
              <w:right w:val="nil"/>
            </w:tcBorders>
          </w:tcPr>
          <w:p w:rsidR="00F044C1" w:rsidRPr="00E51C73" w:rsidRDefault="00F044C1" w:rsidP="00BC78D5">
            <w:pPr>
              <w:keepNext/>
              <w:keepLines/>
              <w:spacing w:before="120" w:after="120"/>
              <w:jc w:val="left"/>
              <w:rPr>
                <w:b/>
                <w:bCs/>
                <w:sz w:val="16"/>
                <w:lang w:val="fr-FR"/>
              </w:rPr>
            </w:pPr>
          </w:p>
        </w:tc>
      </w:tr>
      <w:tr w:rsidR="00F044C1" w:rsidRPr="00E51C73" w:rsidTr="00BC78D5">
        <w:trPr>
          <w:cantSplit/>
          <w:jc w:val="center"/>
        </w:trPr>
        <w:tc>
          <w:tcPr>
            <w:tcW w:w="578" w:type="dxa"/>
            <w:tcBorders>
              <w:top w:val="nil"/>
              <w:left w:val="nil"/>
              <w:bottom w:val="nil"/>
              <w:right w:val="nil"/>
            </w:tcBorders>
            <w:hideMark/>
          </w:tcPr>
          <w:p w:rsidR="00F044C1" w:rsidRPr="00E51C73" w:rsidRDefault="00F044C1" w:rsidP="00BC78D5">
            <w:pPr>
              <w:keepNext/>
              <w:keepLines/>
              <w:spacing w:before="120" w:after="120"/>
              <w:jc w:val="left"/>
              <w:rPr>
                <w:b/>
                <w:sz w:val="16"/>
                <w:lang w:val="fr-FR"/>
              </w:rPr>
            </w:pPr>
            <w:r w:rsidRPr="00E51C73">
              <w:rPr>
                <w:b/>
                <w:sz w:val="16"/>
                <w:lang w:val="fr-FR"/>
              </w:rPr>
              <w:t>70.1</w:t>
            </w:r>
          </w:p>
        </w:tc>
        <w:tc>
          <w:tcPr>
            <w:tcW w:w="425" w:type="dxa"/>
            <w:tcBorders>
              <w:top w:val="nil"/>
              <w:left w:val="nil"/>
              <w:bottom w:val="nil"/>
              <w:right w:val="nil"/>
            </w:tcBorders>
          </w:tcPr>
          <w:p w:rsidR="00F044C1" w:rsidRPr="00E51C73" w:rsidRDefault="00F044C1" w:rsidP="00BC78D5">
            <w:pPr>
              <w:keepNext/>
              <w:keepLines/>
              <w:spacing w:before="120" w:after="120"/>
              <w:jc w:val="left"/>
              <w:rPr>
                <w:b/>
                <w:sz w:val="16"/>
                <w:lang w:val="fr-FR"/>
              </w:rPr>
            </w:pPr>
          </w:p>
        </w:tc>
        <w:tc>
          <w:tcPr>
            <w:tcW w:w="1733" w:type="dxa"/>
            <w:tcBorders>
              <w:top w:val="nil"/>
              <w:left w:val="nil"/>
              <w:bottom w:val="nil"/>
              <w:right w:val="nil"/>
            </w:tcBorders>
            <w:hideMark/>
          </w:tcPr>
          <w:p w:rsidR="00F044C1" w:rsidRPr="00E51C73" w:rsidRDefault="00F044C1" w:rsidP="00BC78D5">
            <w:pPr>
              <w:keepNext/>
              <w:keepLines/>
              <w:spacing w:before="120" w:after="120"/>
              <w:jc w:val="left"/>
              <w:rPr>
                <w:b/>
                <w:sz w:val="16"/>
                <w:lang w:val="fr-FR"/>
              </w:rPr>
            </w:pPr>
            <w:r w:rsidRPr="00E51C73">
              <w:rPr>
                <w:b/>
                <w:sz w:val="16"/>
                <w:lang w:val="fr-FR"/>
              </w:rPr>
              <w:t>Pathotype 1</w:t>
            </w:r>
          </w:p>
        </w:tc>
        <w:tc>
          <w:tcPr>
            <w:tcW w:w="1734" w:type="dxa"/>
            <w:tcBorders>
              <w:top w:val="nil"/>
              <w:left w:val="nil"/>
              <w:bottom w:val="nil"/>
              <w:right w:val="nil"/>
            </w:tcBorders>
          </w:tcPr>
          <w:p w:rsidR="00F044C1" w:rsidRPr="00E51C73" w:rsidRDefault="00F044C1" w:rsidP="00BC78D5">
            <w:pPr>
              <w:keepNext/>
              <w:keepLines/>
              <w:spacing w:before="120" w:after="120"/>
              <w:jc w:val="left"/>
              <w:rPr>
                <w:b/>
                <w:sz w:val="16"/>
                <w:lang w:val="fr-FR"/>
              </w:rPr>
            </w:pPr>
          </w:p>
        </w:tc>
        <w:tc>
          <w:tcPr>
            <w:tcW w:w="1342" w:type="dxa"/>
            <w:tcBorders>
              <w:top w:val="nil"/>
              <w:left w:val="nil"/>
              <w:bottom w:val="nil"/>
              <w:right w:val="nil"/>
            </w:tcBorders>
          </w:tcPr>
          <w:p w:rsidR="00F044C1" w:rsidRPr="00E51C73" w:rsidRDefault="00F044C1" w:rsidP="00BC78D5">
            <w:pPr>
              <w:keepNext/>
              <w:keepLines/>
              <w:spacing w:before="120" w:after="120"/>
              <w:jc w:val="left"/>
              <w:rPr>
                <w:b/>
                <w:sz w:val="16"/>
                <w:lang w:val="fr-FR"/>
              </w:rPr>
            </w:pPr>
          </w:p>
        </w:tc>
        <w:tc>
          <w:tcPr>
            <w:tcW w:w="1134" w:type="dxa"/>
            <w:tcBorders>
              <w:top w:val="nil"/>
              <w:left w:val="nil"/>
              <w:bottom w:val="nil"/>
              <w:right w:val="nil"/>
            </w:tcBorders>
          </w:tcPr>
          <w:p w:rsidR="00F044C1" w:rsidRPr="00E51C73" w:rsidRDefault="00F044C1" w:rsidP="00BC78D5">
            <w:pPr>
              <w:keepNext/>
              <w:keepLines/>
              <w:spacing w:before="120" w:after="120"/>
              <w:jc w:val="left"/>
              <w:rPr>
                <w:sz w:val="16"/>
                <w:lang w:val="fr-FR"/>
              </w:rPr>
            </w:pPr>
          </w:p>
        </w:tc>
        <w:tc>
          <w:tcPr>
            <w:tcW w:w="676" w:type="dxa"/>
            <w:tcBorders>
              <w:top w:val="nil"/>
              <w:left w:val="nil"/>
              <w:bottom w:val="nil"/>
              <w:right w:val="nil"/>
            </w:tcBorders>
          </w:tcPr>
          <w:p w:rsidR="00F044C1" w:rsidRPr="00E51C73" w:rsidRDefault="00F044C1" w:rsidP="00BC78D5">
            <w:pPr>
              <w:keepNext/>
              <w:keepLines/>
              <w:spacing w:before="120" w:after="120"/>
              <w:jc w:val="left"/>
              <w:rPr>
                <w:sz w:val="16"/>
                <w:lang w:val="fr-FR"/>
              </w:rPr>
            </w:pPr>
          </w:p>
        </w:tc>
      </w:tr>
      <w:tr w:rsidR="00F044C1" w:rsidRPr="00E51C73" w:rsidTr="00BC78D5">
        <w:trPr>
          <w:cantSplit/>
          <w:jc w:val="center"/>
        </w:trPr>
        <w:tc>
          <w:tcPr>
            <w:tcW w:w="578" w:type="dxa"/>
            <w:tcBorders>
              <w:top w:val="nil"/>
              <w:left w:val="nil"/>
              <w:bottom w:val="nil"/>
              <w:right w:val="nil"/>
            </w:tcBorders>
            <w:hideMark/>
          </w:tcPr>
          <w:p w:rsidR="00F044C1" w:rsidRPr="00E51C73" w:rsidRDefault="00F044C1" w:rsidP="00BC78D5">
            <w:pPr>
              <w:keepNext/>
              <w:keepLines/>
              <w:spacing w:before="120" w:after="120"/>
              <w:jc w:val="left"/>
              <w:rPr>
                <w:sz w:val="16"/>
                <w:lang w:val="fr-FR"/>
              </w:rPr>
            </w:pPr>
            <w:r w:rsidRPr="00E51C73">
              <w:rPr>
                <w:sz w:val="16"/>
                <w:lang w:val="fr-FR"/>
              </w:rPr>
              <w:t>QN</w:t>
            </w:r>
          </w:p>
        </w:tc>
        <w:tc>
          <w:tcPr>
            <w:tcW w:w="425" w:type="dxa"/>
            <w:tcBorders>
              <w:top w:val="nil"/>
              <w:left w:val="nil"/>
              <w:bottom w:val="nil"/>
              <w:right w:val="nil"/>
            </w:tcBorders>
          </w:tcPr>
          <w:p w:rsidR="00F044C1" w:rsidRPr="00E51C73" w:rsidRDefault="00F044C1" w:rsidP="00BC78D5">
            <w:pPr>
              <w:keepNext/>
              <w:keepLines/>
              <w:spacing w:before="120" w:after="120"/>
              <w:jc w:val="left"/>
              <w:rPr>
                <w:sz w:val="16"/>
                <w:lang w:val="fr-FR"/>
              </w:rPr>
            </w:pPr>
          </w:p>
        </w:tc>
        <w:tc>
          <w:tcPr>
            <w:tcW w:w="1733" w:type="dxa"/>
            <w:tcBorders>
              <w:top w:val="nil"/>
              <w:left w:val="nil"/>
              <w:bottom w:val="nil"/>
              <w:right w:val="nil"/>
            </w:tcBorders>
            <w:hideMark/>
          </w:tcPr>
          <w:p w:rsidR="00F044C1" w:rsidRPr="00E51C73" w:rsidRDefault="00F044C1" w:rsidP="00BC78D5">
            <w:pPr>
              <w:keepNext/>
              <w:keepLines/>
              <w:spacing w:before="120" w:after="120"/>
              <w:jc w:val="left"/>
              <w:rPr>
                <w:sz w:val="16"/>
                <w:lang w:val="fr-FR"/>
              </w:rPr>
            </w:pPr>
            <w:r w:rsidRPr="00E51C73">
              <w:rPr>
                <w:sz w:val="16"/>
                <w:lang w:val="fr-FR"/>
              </w:rPr>
              <w:t>sensible</w:t>
            </w:r>
          </w:p>
        </w:tc>
        <w:tc>
          <w:tcPr>
            <w:tcW w:w="1734" w:type="dxa"/>
            <w:tcBorders>
              <w:top w:val="nil"/>
              <w:left w:val="nil"/>
              <w:bottom w:val="nil"/>
              <w:right w:val="nil"/>
            </w:tcBorders>
          </w:tcPr>
          <w:p w:rsidR="00F044C1" w:rsidRPr="00E51C73" w:rsidRDefault="00F044C1" w:rsidP="00BC78D5">
            <w:pPr>
              <w:keepNext/>
              <w:keepLines/>
              <w:spacing w:before="120" w:after="120"/>
              <w:jc w:val="left"/>
              <w:rPr>
                <w:sz w:val="16"/>
                <w:lang w:val="fr-FR"/>
              </w:rPr>
            </w:pPr>
          </w:p>
        </w:tc>
        <w:tc>
          <w:tcPr>
            <w:tcW w:w="1342" w:type="dxa"/>
            <w:tcBorders>
              <w:top w:val="nil"/>
              <w:left w:val="nil"/>
              <w:bottom w:val="nil"/>
              <w:right w:val="nil"/>
            </w:tcBorders>
          </w:tcPr>
          <w:p w:rsidR="00F044C1" w:rsidRPr="00E51C73" w:rsidRDefault="00F044C1" w:rsidP="00BC78D5">
            <w:pPr>
              <w:keepNext/>
              <w:keepLines/>
              <w:spacing w:before="120" w:after="120"/>
              <w:jc w:val="left"/>
              <w:rPr>
                <w:sz w:val="16"/>
                <w:lang w:val="fr-FR"/>
              </w:rPr>
            </w:pPr>
          </w:p>
        </w:tc>
        <w:tc>
          <w:tcPr>
            <w:tcW w:w="1134" w:type="dxa"/>
            <w:tcBorders>
              <w:top w:val="nil"/>
              <w:left w:val="nil"/>
              <w:bottom w:val="nil"/>
              <w:right w:val="nil"/>
            </w:tcBorders>
            <w:hideMark/>
          </w:tcPr>
          <w:p w:rsidR="00F044C1" w:rsidRPr="00E51C73" w:rsidRDefault="00F044C1" w:rsidP="00BC78D5">
            <w:pPr>
              <w:keepNext/>
              <w:keepLines/>
              <w:spacing w:before="120" w:after="120"/>
              <w:jc w:val="left"/>
              <w:rPr>
                <w:sz w:val="16"/>
                <w:lang w:val="fr-FR"/>
              </w:rPr>
            </w:pPr>
            <w:r w:rsidRPr="00E51C73">
              <w:rPr>
                <w:sz w:val="16"/>
                <w:lang w:val="fr-FR"/>
              </w:rPr>
              <w:t>[…]</w:t>
            </w:r>
          </w:p>
        </w:tc>
        <w:tc>
          <w:tcPr>
            <w:tcW w:w="676" w:type="dxa"/>
            <w:tcBorders>
              <w:top w:val="nil"/>
              <w:left w:val="nil"/>
              <w:bottom w:val="nil"/>
              <w:right w:val="nil"/>
            </w:tcBorders>
            <w:hideMark/>
          </w:tcPr>
          <w:p w:rsidR="00F044C1" w:rsidRPr="00E51C73" w:rsidRDefault="00F044C1" w:rsidP="00BC78D5">
            <w:pPr>
              <w:keepNext/>
              <w:keepLines/>
              <w:spacing w:before="120" w:after="120"/>
              <w:jc w:val="left"/>
              <w:rPr>
                <w:sz w:val="16"/>
                <w:lang w:val="fr-FR"/>
              </w:rPr>
            </w:pPr>
            <w:r w:rsidRPr="00E51C73">
              <w:rPr>
                <w:sz w:val="16"/>
                <w:lang w:val="fr-FR"/>
              </w:rPr>
              <w:t>1</w:t>
            </w:r>
          </w:p>
        </w:tc>
      </w:tr>
      <w:tr w:rsidR="00F044C1" w:rsidRPr="00E51C73" w:rsidTr="00BC78D5">
        <w:trPr>
          <w:cantSplit/>
          <w:jc w:val="center"/>
        </w:trPr>
        <w:tc>
          <w:tcPr>
            <w:tcW w:w="578" w:type="dxa"/>
            <w:tcBorders>
              <w:top w:val="nil"/>
              <w:left w:val="nil"/>
              <w:bottom w:val="nil"/>
              <w:right w:val="nil"/>
            </w:tcBorders>
          </w:tcPr>
          <w:p w:rsidR="00F044C1" w:rsidRPr="00E51C73" w:rsidRDefault="00F044C1" w:rsidP="00BC78D5">
            <w:pPr>
              <w:keepNext/>
              <w:keepLines/>
              <w:spacing w:before="120" w:after="120"/>
              <w:jc w:val="left"/>
              <w:rPr>
                <w:sz w:val="16"/>
                <w:lang w:val="fr-FR"/>
              </w:rPr>
            </w:pPr>
          </w:p>
        </w:tc>
        <w:tc>
          <w:tcPr>
            <w:tcW w:w="425" w:type="dxa"/>
            <w:tcBorders>
              <w:top w:val="nil"/>
              <w:left w:val="nil"/>
              <w:bottom w:val="nil"/>
              <w:right w:val="nil"/>
            </w:tcBorders>
          </w:tcPr>
          <w:p w:rsidR="00F044C1" w:rsidRPr="00E51C73" w:rsidRDefault="00F044C1" w:rsidP="00BC78D5">
            <w:pPr>
              <w:keepNext/>
              <w:keepLines/>
              <w:spacing w:before="120" w:after="120"/>
              <w:jc w:val="left"/>
              <w:rPr>
                <w:sz w:val="16"/>
                <w:lang w:val="fr-FR"/>
              </w:rPr>
            </w:pPr>
          </w:p>
        </w:tc>
        <w:tc>
          <w:tcPr>
            <w:tcW w:w="3467" w:type="dxa"/>
            <w:gridSpan w:val="2"/>
            <w:tcBorders>
              <w:top w:val="nil"/>
              <w:left w:val="nil"/>
              <w:bottom w:val="nil"/>
              <w:right w:val="nil"/>
            </w:tcBorders>
            <w:hideMark/>
          </w:tcPr>
          <w:p w:rsidR="00F044C1" w:rsidRPr="00E51C73" w:rsidRDefault="00F044C1" w:rsidP="00BC78D5">
            <w:pPr>
              <w:keepNext/>
              <w:keepLines/>
              <w:spacing w:before="120" w:after="120"/>
              <w:jc w:val="left"/>
              <w:rPr>
                <w:sz w:val="16"/>
                <w:lang w:val="fr-FR"/>
              </w:rPr>
            </w:pPr>
            <w:r w:rsidRPr="00E51C73">
              <w:rPr>
                <w:strike/>
                <w:sz w:val="16"/>
                <w:highlight w:val="lightGray"/>
                <w:lang w:val="fr-FR"/>
              </w:rPr>
              <w:t xml:space="preserve">moyennement résistant </w:t>
            </w:r>
            <w:r w:rsidRPr="00E51C73">
              <w:rPr>
                <w:sz w:val="16"/>
                <w:highlight w:val="lightGray"/>
                <w:u w:val="single"/>
                <w:lang w:val="fr-FR"/>
              </w:rPr>
              <w:t>intermédiaire</w:t>
            </w:r>
            <w:r w:rsidRPr="00E51C73">
              <w:rPr>
                <w:rStyle w:val="FootnoteReference"/>
                <w:sz w:val="16"/>
                <w:lang w:val="fr-FR"/>
              </w:rPr>
              <w:footnoteReference w:id="2"/>
            </w:r>
            <w:r w:rsidRPr="00E51C73">
              <w:rPr>
                <w:sz w:val="16"/>
                <w:lang w:val="fr-FR"/>
              </w:rPr>
              <w:t xml:space="preserve"> </w:t>
            </w:r>
          </w:p>
        </w:tc>
        <w:tc>
          <w:tcPr>
            <w:tcW w:w="1342" w:type="dxa"/>
            <w:tcBorders>
              <w:top w:val="nil"/>
              <w:left w:val="nil"/>
              <w:bottom w:val="nil"/>
              <w:right w:val="nil"/>
            </w:tcBorders>
          </w:tcPr>
          <w:p w:rsidR="00F044C1" w:rsidRPr="00E51C73" w:rsidRDefault="00F044C1" w:rsidP="00BC78D5">
            <w:pPr>
              <w:keepNext/>
              <w:keepLines/>
              <w:spacing w:before="120" w:after="120"/>
              <w:jc w:val="left"/>
              <w:rPr>
                <w:sz w:val="16"/>
                <w:lang w:val="fr-FR"/>
              </w:rPr>
            </w:pPr>
          </w:p>
        </w:tc>
        <w:tc>
          <w:tcPr>
            <w:tcW w:w="1134" w:type="dxa"/>
            <w:tcBorders>
              <w:top w:val="nil"/>
              <w:left w:val="nil"/>
              <w:bottom w:val="nil"/>
              <w:right w:val="nil"/>
            </w:tcBorders>
            <w:hideMark/>
          </w:tcPr>
          <w:p w:rsidR="00F044C1" w:rsidRPr="00E51C73" w:rsidRDefault="00F044C1" w:rsidP="00BC78D5">
            <w:pPr>
              <w:keepNext/>
              <w:keepLines/>
              <w:spacing w:before="120" w:after="120"/>
              <w:jc w:val="left"/>
              <w:rPr>
                <w:sz w:val="16"/>
                <w:lang w:val="fr-FR"/>
              </w:rPr>
            </w:pPr>
            <w:r w:rsidRPr="00E51C73">
              <w:rPr>
                <w:sz w:val="16"/>
                <w:lang w:val="fr-FR"/>
              </w:rPr>
              <w:t>[…]</w:t>
            </w:r>
          </w:p>
        </w:tc>
        <w:tc>
          <w:tcPr>
            <w:tcW w:w="676" w:type="dxa"/>
            <w:tcBorders>
              <w:top w:val="nil"/>
              <w:left w:val="nil"/>
              <w:bottom w:val="nil"/>
              <w:right w:val="nil"/>
            </w:tcBorders>
            <w:hideMark/>
          </w:tcPr>
          <w:p w:rsidR="00F044C1" w:rsidRPr="00E51C73" w:rsidRDefault="00F044C1" w:rsidP="00BC78D5">
            <w:pPr>
              <w:keepNext/>
              <w:keepLines/>
              <w:spacing w:before="120" w:after="120"/>
              <w:jc w:val="left"/>
              <w:rPr>
                <w:sz w:val="16"/>
                <w:lang w:val="fr-FR"/>
              </w:rPr>
            </w:pPr>
            <w:r w:rsidRPr="00E51C73">
              <w:rPr>
                <w:sz w:val="16"/>
                <w:lang w:val="fr-FR"/>
              </w:rPr>
              <w:t>2</w:t>
            </w:r>
          </w:p>
        </w:tc>
      </w:tr>
      <w:tr w:rsidR="00F044C1" w:rsidRPr="00E51C73" w:rsidTr="00BC78D5">
        <w:trPr>
          <w:cantSplit/>
          <w:jc w:val="center"/>
        </w:trPr>
        <w:tc>
          <w:tcPr>
            <w:tcW w:w="578" w:type="dxa"/>
            <w:tcBorders>
              <w:top w:val="nil"/>
              <w:left w:val="nil"/>
              <w:bottom w:val="single" w:sz="4" w:space="0" w:color="auto"/>
              <w:right w:val="nil"/>
            </w:tcBorders>
          </w:tcPr>
          <w:p w:rsidR="00F044C1" w:rsidRPr="00E51C73" w:rsidRDefault="00F044C1" w:rsidP="00BC78D5">
            <w:pPr>
              <w:keepNext/>
              <w:keepLines/>
              <w:spacing w:before="120" w:after="120"/>
              <w:jc w:val="left"/>
              <w:rPr>
                <w:sz w:val="16"/>
                <w:lang w:val="fr-FR"/>
              </w:rPr>
            </w:pPr>
          </w:p>
        </w:tc>
        <w:tc>
          <w:tcPr>
            <w:tcW w:w="425" w:type="dxa"/>
            <w:tcBorders>
              <w:top w:val="nil"/>
              <w:left w:val="nil"/>
              <w:bottom w:val="single" w:sz="4" w:space="0" w:color="auto"/>
              <w:right w:val="nil"/>
            </w:tcBorders>
          </w:tcPr>
          <w:p w:rsidR="00F044C1" w:rsidRPr="00E51C73" w:rsidRDefault="00F044C1" w:rsidP="00BC78D5">
            <w:pPr>
              <w:keepNext/>
              <w:keepLines/>
              <w:spacing w:before="120" w:after="120"/>
              <w:jc w:val="left"/>
              <w:rPr>
                <w:sz w:val="16"/>
                <w:lang w:val="fr-FR"/>
              </w:rPr>
            </w:pPr>
          </w:p>
        </w:tc>
        <w:tc>
          <w:tcPr>
            <w:tcW w:w="1733" w:type="dxa"/>
            <w:tcBorders>
              <w:top w:val="nil"/>
              <w:left w:val="nil"/>
              <w:bottom w:val="single" w:sz="4" w:space="0" w:color="auto"/>
              <w:right w:val="nil"/>
            </w:tcBorders>
            <w:hideMark/>
          </w:tcPr>
          <w:p w:rsidR="00F044C1" w:rsidRPr="00E51C73" w:rsidRDefault="00F044C1" w:rsidP="00BC78D5">
            <w:pPr>
              <w:keepNext/>
              <w:keepLines/>
              <w:spacing w:before="120" w:after="120"/>
              <w:jc w:val="left"/>
              <w:rPr>
                <w:sz w:val="16"/>
                <w:lang w:val="fr-FR"/>
              </w:rPr>
            </w:pPr>
            <w:r w:rsidRPr="00E51C73">
              <w:rPr>
                <w:sz w:val="16"/>
                <w:lang w:val="fr-FR"/>
              </w:rPr>
              <w:t>hautement résistant</w:t>
            </w:r>
          </w:p>
        </w:tc>
        <w:tc>
          <w:tcPr>
            <w:tcW w:w="1734" w:type="dxa"/>
            <w:tcBorders>
              <w:top w:val="nil"/>
              <w:left w:val="nil"/>
              <w:bottom w:val="single" w:sz="4" w:space="0" w:color="auto"/>
              <w:right w:val="nil"/>
            </w:tcBorders>
          </w:tcPr>
          <w:p w:rsidR="00F044C1" w:rsidRPr="00E51C73" w:rsidRDefault="00F044C1" w:rsidP="00BC78D5">
            <w:pPr>
              <w:keepNext/>
              <w:keepLines/>
              <w:spacing w:before="120" w:after="120"/>
              <w:jc w:val="left"/>
              <w:rPr>
                <w:sz w:val="16"/>
                <w:lang w:val="fr-FR"/>
              </w:rPr>
            </w:pPr>
          </w:p>
        </w:tc>
        <w:tc>
          <w:tcPr>
            <w:tcW w:w="1342" w:type="dxa"/>
            <w:tcBorders>
              <w:top w:val="nil"/>
              <w:left w:val="nil"/>
              <w:bottom w:val="single" w:sz="4" w:space="0" w:color="auto"/>
              <w:right w:val="nil"/>
            </w:tcBorders>
          </w:tcPr>
          <w:p w:rsidR="00F044C1" w:rsidRPr="00E51C73" w:rsidRDefault="00F044C1" w:rsidP="00BC78D5">
            <w:pPr>
              <w:keepNext/>
              <w:keepLines/>
              <w:spacing w:before="120" w:after="120"/>
              <w:jc w:val="left"/>
              <w:rPr>
                <w:sz w:val="16"/>
                <w:lang w:val="fr-FR"/>
              </w:rPr>
            </w:pPr>
          </w:p>
        </w:tc>
        <w:tc>
          <w:tcPr>
            <w:tcW w:w="1134" w:type="dxa"/>
            <w:tcBorders>
              <w:top w:val="nil"/>
              <w:left w:val="nil"/>
              <w:bottom w:val="single" w:sz="4" w:space="0" w:color="auto"/>
              <w:right w:val="nil"/>
            </w:tcBorders>
            <w:hideMark/>
          </w:tcPr>
          <w:p w:rsidR="00F044C1" w:rsidRPr="00E51C73" w:rsidRDefault="00F044C1" w:rsidP="00BC78D5">
            <w:pPr>
              <w:keepNext/>
              <w:keepLines/>
              <w:spacing w:before="120" w:after="120"/>
              <w:jc w:val="left"/>
              <w:rPr>
                <w:sz w:val="16"/>
                <w:lang w:val="fr-FR"/>
              </w:rPr>
            </w:pPr>
            <w:r w:rsidRPr="00E51C73">
              <w:rPr>
                <w:sz w:val="16"/>
                <w:lang w:val="fr-FR"/>
              </w:rPr>
              <w:t>[…]</w:t>
            </w:r>
          </w:p>
        </w:tc>
        <w:tc>
          <w:tcPr>
            <w:tcW w:w="676" w:type="dxa"/>
            <w:tcBorders>
              <w:top w:val="nil"/>
              <w:left w:val="nil"/>
              <w:bottom w:val="single" w:sz="4" w:space="0" w:color="auto"/>
              <w:right w:val="nil"/>
            </w:tcBorders>
            <w:hideMark/>
          </w:tcPr>
          <w:p w:rsidR="00F044C1" w:rsidRPr="00E51C73" w:rsidRDefault="00F044C1" w:rsidP="00BC78D5">
            <w:pPr>
              <w:keepNext/>
              <w:keepLines/>
              <w:spacing w:before="120" w:after="120"/>
              <w:jc w:val="left"/>
              <w:rPr>
                <w:sz w:val="16"/>
                <w:lang w:val="fr-FR"/>
              </w:rPr>
            </w:pPr>
            <w:r w:rsidRPr="00E51C73">
              <w:rPr>
                <w:sz w:val="16"/>
                <w:lang w:val="fr-FR"/>
              </w:rPr>
              <w:t>3</w:t>
            </w:r>
          </w:p>
        </w:tc>
      </w:tr>
    </w:tbl>
    <w:p w:rsidR="00F044C1" w:rsidRPr="00E51C73" w:rsidRDefault="00F044C1" w:rsidP="00F044C1">
      <w:pPr>
        <w:rPr>
          <w:lang w:val="fr-FR"/>
        </w:rPr>
      </w:pPr>
    </w:p>
    <w:p w:rsidR="00F044C1" w:rsidRPr="00E51C73" w:rsidRDefault="00F044C1" w:rsidP="00F044C1">
      <w:pPr>
        <w:rPr>
          <w:lang w:val="fr-FR"/>
        </w:rPr>
      </w:pPr>
    </w:p>
    <w:p w:rsidR="00F044C1" w:rsidRPr="00E51C73" w:rsidRDefault="00F044C1" w:rsidP="00F044C1">
      <w:pPr>
        <w:rPr>
          <w:lang w:val="fr-FR"/>
        </w:rPr>
      </w:pPr>
    </w:p>
    <w:p w:rsidR="00F044C1" w:rsidRPr="00E51C73" w:rsidRDefault="00F044C1" w:rsidP="00F044C1">
      <w:pPr>
        <w:jc w:val="right"/>
        <w:rPr>
          <w:lang w:val="fr-FR"/>
        </w:rPr>
      </w:pPr>
      <w:r w:rsidRPr="00E51C73">
        <w:rPr>
          <w:lang w:val="fr-FR"/>
        </w:rPr>
        <w:t>[Fin de l’annexe III et du document]</w:t>
      </w:r>
    </w:p>
    <w:p w:rsidR="00F044C1" w:rsidRPr="004E0F29" w:rsidRDefault="00F044C1" w:rsidP="00B22A56">
      <w:pPr>
        <w:jc w:val="right"/>
        <w:rPr>
          <w:lang w:val="fr-FR"/>
        </w:rPr>
      </w:pPr>
    </w:p>
    <w:sectPr w:rsidR="00F044C1" w:rsidRPr="004E0F29" w:rsidSect="0004198B">
      <w:headerReference w:type="default" r:id="rId24"/>
      <w:headerReference w:type="first" r:id="rId2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1A4" w:rsidRDefault="008861A4" w:rsidP="006655D3">
      <w:r>
        <w:separator/>
      </w:r>
    </w:p>
    <w:p w:rsidR="008861A4" w:rsidRDefault="008861A4" w:rsidP="006655D3"/>
    <w:p w:rsidR="008861A4" w:rsidRDefault="008861A4" w:rsidP="006655D3"/>
  </w:endnote>
  <w:endnote w:type="continuationSeparator" w:id="0">
    <w:p w:rsidR="008861A4" w:rsidRDefault="008861A4" w:rsidP="006655D3">
      <w:r>
        <w:separator/>
      </w:r>
    </w:p>
    <w:p w:rsidR="008861A4" w:rsidRPr="00294751" w:rsidRDefault="008861A4">
      <w:pPr>
        <w:pStyle w:val="Footer"/>
        <w:spacing w:after="60"/>
        <w:rPr>
          <w:sz w:val="18"/>
          <w:lang w:val="fr-FR"/>
        </w:rPr>
      </w:pPr>
      <w:r w:rsidRPr="00294751">
        <w:rPr>
          <w:sz w:val="18"/>
          <w:lang w:val="fr-FR"/>
        </w:rPr>
        <w:t>[Suite de la note de la page précédente]</w:t>
      </w:r>
    </w:p>
    <w:p w:rsidR="008861A4" w:rsidRPr="00294751" w:rsidRDefault="008861A4" w:rsidP="006655D3">
      <w:pPr>
        <w:rPr>
          <w:lang w:val="fr-FR"/>
        </w:rPr>
      </w:pPr>
    </w:p>
    <w:p w:rsidR="008861A4" w:rsidRPr="00294751" w:rsidRDefault="008861A4" w:rsidP="006655D3">
      <w:pPr>
        <w:rPr>
          <w:lang w:val="fr-FR"/>
        </w:rPr>
      </w:pPr>
    </w:p>
  </w:endnote>
  <w:endnote w:type="continuationNotice" w:id="1">
    <w:p w:rsidR="008861A4" w:rsidRPr="00294751" w:rsidRDefault="008861A4" w:rsidP="006655D3">
      <w:pPr>
        <w:rPr>
          <w:lang w:val="fr-FR"/>
        </w:rPr>
      </w:pPr>
      <w:r w:rsidRPr="00294751">
        <w:rPr>
          <w:lang w:val="fr-FR"/>
        </w:rPr>
        <w:t>[Suite de la note page suivante]</w:t>
      </w:r>
    </w:p>
    <w:p w:rsidR="008861A4" w:rsidRPr="00294751" w:rsidRDefault="008861A4" w:rsidP="006655D3">
      <w:pPr>
        <w:rPr>
          <w:lang w:val="fr-FR"/>
        </w:rPr>
      </w:pPr>
    </w:p>
    <w:p w:rsidR="008861A4" w:rsidRPr="00294751" w:rsidRDefault="008861A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C1" w:rsidRDefault="00F044C1" w:rsidP="00C30490">
    <w:pPr>
      <w:pStyle w:val="Footer"/>
    </w:pPr>
    <w:r>
      <w:rPr>
        <w:noProof/>
      </w:rPr>
      <mc:AlternateContent>
        <mc:Choice Requires="wps">
          <w:drawing>
            <wp:anchor distT="558800" distB="0" distL="114300" distR="114300" simplePos="0" relativeHeight="251660288" behindDoc="0" locked="0" layoutInCell="0" allowOverlap="1" wp14:anchorId="5DCCE0A4" wp14:editId="17D2D1B1">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044C1" w:rsidRDefault="00F044C1" w:rsidP="00C30490">
                          <w:pPr>
                            <w:jc w:val="center"/>
                          </w:pPr>
                          <w:r w:rsidRPr="007B5EF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CCE0A4" id="_x0000_t202" coordsize="21600,21600" o:spt="202" path="m,l,21600r21600,l21600,xe">
              <v:stroke joinstyle="miter"/>
              <v:path gradientshapeok="t" o:connecttype="rect"/>
            </v:shapetype>
            <v:shape id="TITUSE3footer" o:spid="_x0000_s1029"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6t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N6FKtRo9Xt6nH55bwEcMJ4hvbaZghcaoS65goaRIdqrV4Af7EIiU4w7QGLaM9IU5ra/7FWggfx&#10;lt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mN3q2mAgAAXgUAAA4AAAAAAAAAAAAAAAAALgIA&#10;AGRycy9lMm9Eb2MueG1sUEsBAi0AFAAGAAgAAAAhAM3y8yjaAAAACAEAAA8AAAAAAAAAAAAAAAAA&#10;AAUAAGRycy9kb3ducmV2LnhtbFBLBQYAAAAABAAEAPMAAAAHBgAAAAA=&#10;" o:allowincell="f" filled="f" stroked="f" strokeweight=".5pt">
              <v:path arrowok="t"/>
              <v:textbox>
                <w:txbxContent>
                  <w:p w:rsidR="00F044C1" w:rsidRDefault="00F044C1" w:rsidP="00C30490">
                    <w:pPr>
                      <w:jc w:val="center"/>
                    </w:pPr>
                    <w:r w:rsidRPr="007B5EF3">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C1" w:rsidRDefault="00F044C1">
    <w:pPr>
      <w:pStyle w:val="Footer"/>
    </w:pPr>
    <w:r>
      <w:rPr>
        <w:noProof/>
      </w:rPr>
      <mc:AlternateContent>
        <mc:Choice Requires="wps">
          <w:drawing>
            <wp:anchor distT="558800" distB="0" distL="114300" distR="114300" simplePos="0" relativeHeight="251659264" behindDoc="0" locked="0" layoutInCell="0" allowOverlap="1" wp14:anchorId="0DC32C2D" wp14:editId="138268A8">
              <wp:simplePos x="0" y="0"/>
              <wp:positionH relativeFrom="margin">
                <wp:align>center</wp:align>
              </wp:positionH>
              <wp:positionV relativeFrom="bottomMargin">
                <wp:posOffset>558800</wp:posOffset>
              </wp:positionV>
              <wp:extent cx="7620000" cy="317500"/>
              <wp:effectExtent l="0" t="0" r="0" b="6350"/>
              <wp:wrapNone/>
              <wp:docPr id="9"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044C1" w:rsidRDefault="00F044C1" w:rsidP="00C30490">
                          <w:pPr>
                            <w:jc w:val="center"/>
                          </w:pPr>
                          <w:r w:rsidRPr="007B5EF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C32C2D" id="_x0000_t202" coordsize="21600,21600" o:spt="202" path="m,l,21600r21600,l21600,xe">
              <v:stroke joinstyle="miter"/>
              <v:path gradientshapeok="t" o:connecttype="rect"/>
            </v:shapetype>
            <v:shape id="TITUSO3footer" o:spid="_x0000_s1030"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JqgIAAGQ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2zV/JqgIAAGQFAAAOAAAAAAAAAAAAAAAA&#10;AC4CAABkcnMvZTJvRG9jLnhtbFBLAQItABQABgAIAAAAIQDN8vMo2gAAAAgBAAAPAAAAAAAAAAAA&#10;AAAAAAQFAABkcnMvZG93bnJldi54bWxQSwUGAAAAAAQABADzAAAACwYAAAAA&#10;" o:allowincell="f" filled="f" stroked="f" strokeweight=".5pt">
              <v:path arrowok="t"/>
              <v:textbox>
                <w:txbxContent>
                  <w:p w:rsidR="00F044C1" w:rsidRDefault="00F044C1" w:rsidP="00C30490">
                    <w:pPr>
                      <w:jc w:val="center"/>
                    </w:pPr>
                    <w:r w:rsidRPr="007B5EF3">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C1" w:rsidRDefault="00F044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C1" w:rsidRDefault="00F044C1" w:rsidP="00C304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C1" w:rsidRDefault="00F044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C1" w:rsidRDefault="00F044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1A4" w:rsidRDefault="008861A4" w:rsidP="006655D3">
      <w:r>
        <w:separator/>
      </w:r>
    </w:p>
  </w:footnote>
  <w:footnote w:type="continuationSeparator" w:id="0">
    <w:p w:rsidR="008861A4" w:rsidRDefault="008861A4" w:rsidP="006655D3">
      <w:r>
        <w:separator/>
      </w:r>
    </w:p>
  </w:footnote>
  <w:footnote w:type="continuationNotice" w:id="1">
    <w:p w:rsidR="008861A4" w:rsidRPr="00AB530F" w:rsidRDefault="008861A4" w:rsidP="00AB530F">
      <w:pPr>
        <w:pStyle w:val="Footer"/>
      </w:pPr>
    </w:p>
  </w:footnote>
  <w:footnote w:id="2">
    <w:p w:rsidR="00F044C1" w:rsidRPr="003E3E05" w:rsidRDefault="00F044C1" w:rsidP="00F044C1">
      <w:pPr>
        <w:pStyle w:val="FootnoteText"/>
        <w:tabs>
          <w:tab w:val="left" w:pos="567"/>
        </w:tabs>
        <w:rPr>
          <w:lang w:val="fr-FR"/>
        </w:rPr>
      </w:pPr>
      <w:r>
        <w:rPr>
          <w:rStyle w:val="FootnoteReference"/>
        </w:rPr>
        <w:footnoteRef/>
      </w:r>
      <w:r w:rsidRPr="003E3E05">
        <w:rPr>
          <w:lang w:val="fr-FR"/>
        </w:rPr>
        <w:t xml:space="preserve"> </w:t>
      </w:r>
      <w:r w:rsidRPr="003E3E05">
        <w:rPr>
          <w:lang w:val="fr-FR"/>
        </w:rPr>
        <w:tab/>
      </w:r>
      <w:r w:rsidRPr="003E3E05">
        <w:rPr>
          <w:color w:val="000000"/>
          <w:lang w:val="fr-FR"/>
        </w:rPr>
        <w:t>À</w:t>
      </w:r>
      <w:r w:rsidRPr="003E3E05">
        <w:rPr>
          <w:lang w:val="fr-FR"/>
        </w:rPr>
        <w:t xml:space="preserve"> sa cinquante</w:t>
      </w:r>
      <w:r>
        <w:rPr>
          <w:lang w:val="fr-FR"/>
        </w:rPr>
        <w:t>-</w:t>
      </w:r>
      <w:r w:rsidRPr="003E3E05">
        <w:rPr>
          <w:lang w:val="fr-FR"/>
        </w:rPr>
        <w:t>six</w:t>
      </w:r>
      <w:r>
        <w:rPr>
          <w:lang w:val="fr-FR"/>
        </w:rPr>
        <w:t>ième session</w:t>
      </w:r>
      <w:r w:rsidRPr="003E3E05">
        <w:rPr>
          <w:lang w:val="fr-FR"/>
        </w:rPr>
        <w:t xml:space="preserve"> tenue par voie électronique du 18 au 22</w:t>
      </w:r>
      <w:r>
        <w:rPr>
          <w:lang w:val="fr-FR"/>
        </w:rPr>
        <w:t> </w:t>
      </w:r>
      <w:r w:rsidRPr="003E3E05">
        <w:rPr>
          <w:lang w:val="fr-FR"/>
        </w:rPr>
        <w:t>avril</w:t>
      </w:r>
      <w:r>
        <w:rPr>
          <w:lang w:val="fr-FR"/>
        </w:rPr>
        <w:t> </w:t>
      </w:r>
      <w:r w:rsidRPr="003E3E05">
        <w:rPr>
          <w:lang w:val="fr-FR"/>
        </w:rPr>
        <w:t xml:space="preserve">2022, </w:t>
      </w:r>
      <w:r w:rsidRPr="003E3E05">
        <w:rPr>
          <w:color w:val="000000"/>
          <w:lang w:val="fr-FR"/>
        </w:rPr>
        <w:t>le</w:t>
      </w:r>
      <w:r>
        <w:rPr>
          <w:lang w:val="fr-FR"/>
        </w:rPr>
        <w:t> </w:t>
      </w:r>
      <w:r w:rsidRPr="003E3E05">
        <w:rPr>
          <w:color w:val="000000"/>
          <w:lang w:val="fr-FR"/>
        </w:rPr>
        <w:t>TWV a décidé</w:t>
      </w:r>
      <w:r w:rsidRPr="003E3E05">
        <w:rPr>
          <w:lang w:val="fr-FR"/>
        </w:rPr>
        <w:t xml:space="preserve"> que le terme </w:t>
      </w:r>
      <w:r>
        <w:rPr>
          <w:lang w:val="fr-FR"/>
        </w:rPr>
        <w:t>“</w:t>
      </w:r>
      <w:r w:rsidRPr="003E3E05">
        <w:rPr>
          <w:color w:val="000000"/>
          <w:lang w:val="fr-FR"/>
        </w:rPr>
        <w:t>moyennement résistant</w:t>
      </w:r>
      <w:r>
        <w:rPr>
          <w:color w:val="000000"/>
          <w:lang w:val="fr-FR"/>
        </w:rPr>
        <w:t>”</w:t>
      </w:r>
      <w:r w:rsidRPr="003E3E05">
        <w:rPr>
          <w:lang w:val="fr-FR"/>
        </w:rPr>
        <w:t xml:space="preserve"> dans l</w:t>
      </w:r>
      <w:r>
        <w:rPr>
          <w:lang w:val="fr-FR"/>
        </w:rPr>
        <w:t>’</w:t>
      </w:r>
      <w:r w:rsidRPr="003E3E05">
        <w:rPr>
          <w:lang w:val="fr-FR"/>
        </w:rPr>
        <w:t>exemple fourni au paragraphe</w:t>
      </w:r>
      <w:r>
        <w:rPr>
          <w:lang w:val="fr-FR"/>
        </w:rPr>
        <w:t> </w:t>
      </w:r>
      <w:r w:rsidRPr="003E3E05">
        <w:rPr>
          <w:lang w:val="fr-FR"/>
        </w:rPr>
        <w:t>28 du document TWP/6/1 d</w:t>
      </w:r>
      <w:r w:rsidRPr="003E3E05">
        <w:rPr>
          <w:color w:val="000000"/>
          <w:lang w:val="fr-FR"/>
        </w:rPr>
        <w:t>eva</w:t>
      </w:r>
      <w:r>
        <w:rPr>
          <w:color w:val="000000"/>
          <w:lang w:val="fr-FR"/>
        </w:rPr>
        <w:t>i</w:t>
      </w:r>
      <w:r w:rsidRPr="003E3E05">
        <w:rPr>
          <w:lang w:val="fr-FR"/>
        </w:rPr>
        <w:t xml:space="preserve">t être remplacé par </w:t>
      </w:r>
      <w:r>
        <w:rPr>
          <w:lang w:val="fr-FR"/>
        </w:rPr>
        <w:t>“</w:t>
      </w:r>
      <w:r w:rsidRPr="003E3E05">
        <w:rPr>
          <w:color w:val="000000"/>
          <w:lang w:val="fr-FR"/>
        </w:rPr>
        <w:t>intermédiaire</w:t>
      </w:r>
      <w:r>
        <w:rPr>
          <w:color w:val="000000"/>
          <w:lang w:val="fr-FR"/>
        </w:rPr>
        <w:t>”</w:t>
      </w:r>
      <w:r w:rsidRPr="003E3E05">
        <w:rPr>
          <w:lang w:val="fr-FR"/>
        </w:rPr>
        <w:t xml:space="preserve"> (voir le paragraphe</w:t>
      </w:r>
      <w:r>
        <w:rPr>
          <w:lang w:val="fr-FR"/>
        </w:rPr>
        <w:t> </w:t>
      </w:r>
      <w:r w:rsidRPr="003E3E05">
        <w:rPr>
          <w:lang w:val="fr-FR"/>
        </w:rPr>
        <w:t xml:space="preserve">20 du document TWV/56/22 </w:t>
      </w:r>
      <w:r>
        <w:rPr>
          <w:lang w:val="fr-FR"/>
        </w:rPr>
        <w:t>“</w:t>
      </w:r>
      <w:r w:rsidRPr="003E3E05">
        <w:rPr>
          <w:color w:val="000000"/>
          <w:lang w:val="fr-FR"/>
        </w:rPr>
        <w:t>Compte rendu</w:t>
      </w:r>
      <w:r>
        <w:rPr>
          <w:color w:val="000000"/>
          <w:lang w:val="fr-FR"/>
        </w:rPr>
        <w:t>”</w:t>
      </w:r>
      <w:r w:rsidRPr="003E3E05">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76" w:rsidRPr="000E087A" w:rsidRDefault="00744476" w:rsidP="00744476">
    <w:pPr>
      <w:jc w:val="center"/>
      <w:rPr>
        <w:lang w:val="fr-CH"/>
      </w:rPr>
    </w:pPr>
    <w:r w:rsidRPr="000E087A">
      <w:rPr>
        <w:lang w:val="fr-CH"/>
      </w:rPr>
      <w:t>CAJ/7</w:t>
    </w:r>
    <w:r>
      <w:rPr>
        <w:lang w:val="fr-CH"/>
      </w:rPr>
      <w:t>9</w:t>
    </w:r>
    <w:r w:rsidRPr="000E087A">
      <w:rPr>
        <w:lang w:val="fr-CH"/>
      </w:rPr>
      <w:t>/3</w:t>
    </w:r>
  </w:p>
  <w:p w:rsidR="00744476" w:rsidRPr="00E320FB" w:rsidRDefault="00744476" w:rsidP="00744476">
    <w:pPr>
      <w:pStyle w:val="Header"/>
    </w:pPr>
    <w:r w:rsidRPr="00E320FB">
      <w:t>page</w:t>
    </w:r>
    <w:r>
      <w:t> </w:t>
    </w:r>
    <w:r w:rsidRPr="00E320FB">
      <w:rPr>
        <w:rStyle w:val="PageNumber"/>
        <w:rFonts w:eastAsia="SimSun"/>
      </w:rPr>
      <w:fldChar w:fldCharType="begin"/>
    </w:r>
    <w:r w:rsidRPr="00E320FB">
      <w:rPr>
        <w:rStyle w:val="PageNumber"/>
        <w:rFonts w:eastAsia="SimSun"/>
      </w:rPr>
      <w:instrText xml:space="preserve"> PAGE </w:instrText>
    </w:r>
    <w:r w:rsidRPr="00E320FB">
      <w:rPr>
        <w:rStyle w:val="PageNumber"/>
        <w:rFonts w:eastAsia="SimSun"/>
      </w:rPr>
      <w:fldChar w:fldCharType="separate"/>
    </w:r>
    <w:r>
      <w:rPr>
        <w:rStyle w:val="PageNumber"/>
        <w:rFonts w:eastAsia="SimSun"/>
        <w:noProof/>
      </w:rPr>
      <w:t>2</w:t>
    </w:r>
    <w:r w:rsidRPr="00E320FB">
      <w:rPr>
        <w:rStyle w:val="PageNumber"/>
        <w:rFonts w:eastAsia="SimSun"/>
      </w:rPr>
      <w:fldChar w:fldCharType="end"/>
    </w:r>
  </w:p>
  <w:p w:rsidR="00313DAF" w:rsidRPr="00C5280D" w:rsidRDefault="00313DAF" w:rsidP="00313DAF">
    <w:pPr>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Pr="0004198B" w:rsidRDefault="009932F8"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476" w:rsidRPr="000E087A" w:rsidRDefault="00744476" w:rsidP="00744476">
    <w:pPr>
      <w:jc w:val="center"/>
      <w:rPr>
        <w:lang w:val="fr-CH"/>
      </w:rPr>
    </w:pPr>
    <w:r w:rsidRPr="000E087A">
      <w:rPr>
        <w:lang w:val="fr-CH"/>
      </w:rPr>
      <w:t>CAJ/7</w:t>
    </w:r>
    <w:r>
      <w:rPr>
        <w:lang w:val="fr-CH"/>
      </w:rPr>
      <w:t>9</w:t>
    </w:r>
    <w:r w:rsidRPr="000E087A">
      <w:rPr>
        <w:lang w:val="fr-CH"/>
      </w:rPr>
      <w:t>/3</w:t>
    </w:r>
  </w:p>
  <w:p w:rsidR="00744476" w:rsidRPr="00E320FB" w:rsidRDefault="00744476" w:rsidP="00744476">
    <w:pPr>
      <w:pStyle w:val="Header"/>
    </w:pPr>
    <w:r w:rsidRPr="00E320FB">
      <w:t>page</w:t>
    </w:r>
    <w:r>
      <w:t> </w:t>
    </w:r>
    <w:r w:rsidRPr="00E320FB">
      <w:rPr>
        <w:rStyle w:val="PageNumber"/>
        <w:rFonts w:eastAsia="SimSun"/>
      </w:rPr>
      <w:fldChar w:fldCharType="begin"/>
    </w:r>
    <w:r w:rsidRPr="00E320FB">
      <w:rPr>
        <w:rStyle w:val="PageNumber"/>
        <w:rFonts w:eastAsia="SimSun"/>
      </w:rPr>
      <w:instrText xml:space="preserve"> PAGE </w:instrText>
    </w:r>
    <w:r w:rsidRPr="00E320FB">
      <w:rPr>
        <w:rStyle w:val="PageNumber"/>
        <w:rFonts w:eastAsia="SimSun"/>
      </w:rPr>
      <w:fldChar w:fldCharType="separate"/>
    </w:r>
    <w:r w:rsidR="009932F8">
      <w:rPr>
        <w:rStyle w:val="PageNumber"/>
        <w:rFonts w:eastAsia="SimSun"/>
        <w:noProof/>
      </w:rPr>
      <w:t>5</w:t>
    </w:r>
    <w:r w:rsidRPr="00E320FB">
      <w:rPr>
        <w:rStyle w:val="PageNumber"/>
        <w:rFonts w:eastAsia="SimSun"/>
      </w:rPr>
      <w:fldChar w:fldCharType="end"/>
    </w:r>
  </w:p>
  <w:p w:rsidR="00744476" w:rsidRPr="00C5280D" w:rsidRDefault="00744476" w:rsidP="00744476">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C1" w:rsidRPr="00C5280D" w:rsidRDefault="00F044C1" w:rsidP="00C30490">
    <w:pPr>
      <w:pStyle w:val="Header"/>
      <w:rPr>
        <w:rStyle w:val="PageNumber"/>
        <w:lang w:val="en-US"/>
      </w:rPr>
    </w:pPr>
    <w:r>
      <w:rPr>
        <w:rStyle w:val="PageNumber"/>
        <w:lang w:val="en-US"/>
      </w:rPr>
      <w:t>TC/58/4</w:t>
    </w:r>
  </w:p>
  <w:p w:rsidR="00F044C1" w:rsidRPr="00C5280D" w:rsidRDefault="00F044C1" w:rsidP="00C3049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F044C1" w:rsidRPr="00C5280D" w:rsidRDefault="00F044C1" w:rsidP="00C3049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C1" w:rsidRPr="00C5280D" w:rsidRDefault="00F044C1" w:rsidP="00EB048E">
    <w:pPr>
      <w:pStyle w:val="Header"/>
      <w:rPr>
        <w:rStyle w:val="PageNumber"/>
        <w:lang w:val="en-US"/>
      </w:rPr>
    </w:pPr>
    <w:r>
      <w:rPr>
        <w:rStyle w:val="PageNumber"/>
        <w:lang w:val="en-US"/>
      </w:rPr>
      <w:t>TC/58/4</w:t>
    </w:r>
  </w:p>
  <w:p w:rsidR="00F044C1" w:rsidRPr="00C5280D" w:rsidRDefault="00F044C1" w:rsidP="00C30490">
    <w:pPr>
      <w:pStyle w:val="Header"/>
      <w:rPr>
        <w:lang w:val="en-US"/>
      </w:rPr>
    </w:pPr>
    <w:r w:rsidRPr="003E3E05">
      <w:rPr>
        <w:color w:val="FF00FF"/>
        <w:lang w:val="en-US"/>
      </w:rPr>
      <w:t>Page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rsidR="00F044C1" w:rsidRPr="00C5280D" w:rsidRDefault="00F044C1"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C1" w:rsidRPr="0004198B" w:rsidRDefault="00F044C1" w:rsidP="000419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C1" w:rsidRPr="00C5280D" w:rsidRDefault="00F044C1" w:rsidP="00C30490">
    <w:pPr>
      <w:pStyle w:val="Header"/>
      <w:rPr>
        <w:rStyle w:val="PageNumber"/>
        <w:lang w:val="en-US"/>
      </w:rPr>
    </w:pPr>
    <w:r>
      <w:rPr>
        <w:rStyle w:val="PageNumber"/>
        <w:lang w:val="en-US"/>
      </w:rPr>
      <w:t>TC/58/4</w:t>
    </w:r>
  </w:p>
  <w:p w:rsidR="00F044C1" w:rsidRPr="00C5280D" w:rsidRDefault="00F044C1" w:rsidP="00C30490">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F044C1" w:rsidRPr="00C5280D" w:rsidRDefault="00F044C1" w:rsidP="00C3049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C1" w:rsidRPr="00E51C73" w:rsidRDefault="00F044C1" w:rsidP="00EB048E">
    <w:pPr>
      <w:pStyle w:val="Header"/>
      <w:rPr>
        <w:rStyle w:val="PageNumber"/>
        <w:lang w:val="en-US"/>
      </w:rPr>
    </w:pPr>
    <w:r>
      <w:rPr>
        <w:rStyle w:val="PageNumber"/>
        <w:lang w:val="en-US"/>
      </w:rPr>
      <w:t>CAJ/79/3</w:t>
    </w:r>
  </w:p>
  <w:p w:rsidR="00F044C1" w:rsidRPr="00E51C73" w:rsidRDefault="00F044C1" w:rsidP="00C30490">
    <w:pPr>
      <w:pStyle w:val="Header"/>
      <w:rPr>
        <w:lang w:val="en-US"/>
      </w:rPr>
    </w:pPr>
    <w:r>
      <w:rPr>
        <w:lang w:val="en-US"/>
      </w:rPr>
      <w:t>a</w:t>
    </w:r>
    <w:r w:rsidRPr="00E51C73">
      <w:rPr>
        <w:lang w:val="en-US"/>
      </w:rPr>
      <w:t>nnexe II, page </w:t>
    </w:r>
    <w:r w:rsidRPr="00E51C73">
      <w:rPr>
        <w:rStyle w:val="PageNumber"/>
        <w:lang w:val="en-US"/>
      </w:rPr>
      <w:fldChar w:fldCharType="begin"/>
    </w:r>
    <w:r w:rsidRPr="00E51C73">
      <w:rPr>
        <w:rStyle w:val="PageNumber"/>
        <w:lang w:val="en-US"/>
      </w:rPr>
      <w:instrText xml:space="preserve"> PAGE </w:instrText>
    </w:r>
    <w:r w:rsidRPr="00E51C73">
      <w:rPr>
        <w:rStyle w:val="PageNumber"/>
        <w:lang w:val="en-US"/>
      </w:rPr>
      <w:fldChar w:fldCharType="separate"/>
    </w:r>
    <w:r w:rsidR="009932F8">
      <w:rPr>
        <w:rStyle w:val="PageNumber"/>
        <w:noProof/>
        <w:lang w:val="en-US"/>
      </w:rPr>
      <w:t>2</w:t>
    </w:r>
    <w:r w:rsidRPr="00E51C73">
      <w:rPr>
        <w:rStyle w:val="PageNumber"/>
        <w:lang w:val="en-US"/>
      </w:rPr>
      <w:fldChar w:fldCharType="end"/>
    </w:r>
  </w:p>
  <w:p w:rsidR="00F044C1" w:rsidRPr="00E51C73" w:rsidRDefault="00F044C1" w:rsidP="00E41222">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4C1" w:rsidRPr="00E51C73" w:rsidRDefault="00F044C1" w:rsidP="000419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Pr="00C5280D" w:rsidRDefault="001D5080" w:rsidP="00EB048E">
    <w:pPr>
      <w:pStyle w:val="Header"/>
      <w:rPr>
        <w:rStyle w:val="PageNumber"/>
        <w:lang w:val="en-US"/>
      </w:rPr>
    </w:pPr>
    <w:r>
      <w:rPr>
        <w:rStyle w:val="PageNumber"/>
        <w:lang w:val="en-US"/>
      </w:rPr>
      <w:t>TC/58/4</w:t>
    </w:r>
  </w:p>
  <w:p w:rsidR="00C30490" w:rsidRPr="00C5280D" w:rsidRDefault="001D5080"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C30490" w:rsidRPr="00C5280D" w:rsidRDefault="009932F8"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69A"/>
    <w:multiLevelType w:val="hybridMultilevel"/>
    <w:tmpl w:val="4D24F634"/>
    <w:lvl w:ilvl="0" w:tplc="0409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B7D5924"/>
    <w:multiLevelType w:val="hybridMultilevel"/>
    <w:tmpl w:val="0B9A8F94"/>
    <w:lvl w:ilvl="0" w:tplc="04090017">
      <w:start w:val="1"/>
      <w:numFmt w:val="lowerLetter"/>
      <w:lvlText w:val="%1)"/>
      <w:lvlJc w:val="left"/>
      <w:pPr>
        <w:ind w:left="5180" w:hanging="360"/>
      </w:pPr>
      <w:rPr>
        <w:rFonts w:hint="default"/>
        <w:lang w:val="en-US"/>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 w15:restartNumberingAfterBreak="0">
    <w:nsid w:val="416F0014"/>
    <w:multiLevelType w:val="hybridMultilevel"/>
    <w:tmpl w:val="CFCA1952"/>
    <w:lvl w:ilvl="0" w:tplc="00F41076">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4" w15:restartNumberingAfterBreak="0">
    <w:nsid w:val="4423287E"/>
    <w:multiLevelType w:val="hybridMultilevel"/>
    <w:tmpl w:val="EF08B7E2"/>
    <w:lvl w:ilvl="0" w:tplc="5CBAC548">
      <w:start w:val="1"/>
      <w:numFmt w:val="lowerLetter"/>
      <w:lvlText w:val="(%1)"/>
      <w:lvlJc w:val="left"/>
      <w:pPr>
        <w:ind w:left="5450" w:hanging="63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15:restartNumberingAfterBreak="0">
    <w:nsid w:val="535A5E14"/>
    <w:multiLevelType w:val="hybridMultilevel"/>
    <w:tmpl w:val="C9123F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726F6B"/>
    <w:multiLevelType w:val="hybridMultilevel"/>
    <w:tmpl w:val="29AE4E5C"/>
    <w:lvl w:ilvl="0" w:tplc="04090017">
      <w:start w:val="1"/>
      <w:numFmt w:val="lowerLetter"/>
      <w:lvlText w:val="%1)"/>
      <w:lvlJc w:val="left"/>
      <w:pPr>
        <w:ind w:left="5230" w:hanging="41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15:restartNumberingAfterBreak="0">
    <w:nsid w:val="75BC10BC"/>
    <w:multiLevelType w:val="hybridMultilevel"/>
    <w:tmpl w:val="DB3E9458"/>
    <w:lvl w:ilvl="0" w:tplc="1292DEC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7A36483F"/>
    <w:multiLevelType w:val="hybridMultilevel"/>
    <w:tmpl w:val="FEC8DD7C"/>
    <w:lvl w:ilvl="0" w:tplc="0409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5"/>
  </w:num>
  <w:num w:numId="2">
    <w:abstractNumId w:val="4"/>
  </w:num>
  <w:num w:numId="3">
    <w:abstractNumId w:val="8"/>
  </w:num>
  <w:num w:numId="4">
    <w:abstractNumId w:val="1"/>
  </w:num>
  <w:num w:numId="5">
    <w:abstractNumId w:val="3"/>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Glossaires|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8861A4"/>
    <w:rsid w:val="00002258"/>
    <w:rsid w:val="00002D93"/>
    <w:rsid w:val="00010CF3"/>
    <w:rsid w:val="00011E27"/>
    <w:rsid w:val="000148BC"/>
    <w:rsid w:val="00024AB8"/>
    <w:rsid w:val="00030854"/>
    <w:rsid w:val="00036028"/>
    <w:rsid w:val="0004198B"/>
    <w:rsid w:val="00044642"/>
    <w:rsid w:val="000446B9"/>
    <w:rsid w:val="00047E21"/>
    <w:rsid w:val="00050E16"/>
    <w:rsid w:val="00085505"/>
    <w:rsid w:val="000B755D"/>
    <w:rsid w:val="000C4E25"/>
    <w:rsid w:val="000C7021"/>
    <w:rsid w:val="000D6BBC"/>
    <w:rsid w:val="000D7780"/>
    <w:rsid w:val="000E636A"/>
    <w:rsid w:val="000E6DEB"/>
    <w:rsid w:val="000F2F11"/>
    <w:rsid w:val="00100A5F"/>
    <w:rsid w:val="0010442B"/>
    <w:rsid w:val="00105041"/>
    <w:rsid w:val="00105929"/>
    <w:rsid w:val="00107916"/>
    <w:rsid w:val="00110BED"/>
    <w:rsid w:val="00110C36"/>
    <w:rsid w:val="001131D5"/>
    <w:rsid w:val="00114547"/>
    <w:rsid w:val="00141DB8"/>
    <w:rsid w:val="00171305"/>
    <w:rsid w:val="00172084"/>
    <w:rsid w:val="0017474A"/>
    <w:rsid w:val="001758C6"/>
    <w:rsid w:val="00182B99"/>
    <w:rsid w:val="001C1525"/>
    <w:rsid w:val="001D5080"/>
    <w:rsid w:val="0021332C"/>
    <w:rsid w:val="00213982"/>
    <w:rsid w:val="0024416D"/>
    <w:rsid w:val="002571A3"/>
    <w:rsid w:val="00271911"/>
    <w:rsid w:val="00273187"/>
    <w:rsid w:val="002800A0"/>
    <w:rsid w:val="002801B3"/>
    <w:rsid w:val="00280DFC"/>
    <w:rsid w:val="00281060"/>
    <w:rsid w:val="00284050"/>
    <w:rsid w:val="002843B4"/>
    <w:rsid w:val="00285BD0"/>
    <w:rsid w:val="002940E8"/>
    <w:rsid w:val="00294751"/>
    <w:rsid w:val="002A6E50"/>
    <w:rsid w:val="002B4298"/>
    <w:rsid w:val="002B477C"/>
    <w:rsid w:val="002B7A36"/>
    <w:rsid w:val="002C256A"/>
    <w:rsid w:val="002D5226"/>
    <w:rsid w:val="00305A7F"/>
    <w:rsid w:val="00313DAF"/>
    <w:rsid w:val="003152FE"/>
    <w:rsid w:val="00322D5A"/>
    <w:rsid w:val="003248FC"/>
    <w:rsid w:val="00327436"/>
    <w:rsid w:val="00344BD6"/>
    <w:rsid w:val="0035528D"/>
    <w:rsid w:val="00361821"/>
    <w:rsid w:val="00361E9E"/>
    <w:rsid w:val="003753EE"/>
    <w:rsid w:val="003859A6"/>
    <w:rsid w:val="003A0835"/>
    <w:rsid w:val="003A0E68"/>
    <w:rsid w:val="003A5AAF"/>
    <w:rsid w:val="003B4BB6"/>
    <w:rsid w:val="003B700A"/>
    <w:rsid w:val="003C7FBE"/>
    <w:rsid w:val="003D227C"/>
    <w:rsid w:val="003D2B4D"/>
    <w:rsid w:val="003E1732"/>
    <w:rsid w:val="003F37F5"/>
    <w:rsid w:val="003F5CA0"/>
    <w:rsid w:val="00434AF8"/>
    <w:rsid w:val="00444A88"/>
    <w:rsid w:val="00445D99"/>
    <w:rsid w:val="00472F22"/>
    <w:rsid w:val="00474DA4"/>
    <w:rsid w:val="00476B4D"/>
    <w:rsid w:val="004805FA"/>
    <w:rsid w:val="004935D2"/>
    <w:rsid w:val="004B1215"/>
    <w:rsid w:val="004B225D"/>
    <w:rsid w:val="004C7CD6"/>
    <w:rsid w:val="004D047D"/>
    <w:rsid w:val="004E0F29"/>
    <w:rsid w:val="004F1E9E"/>
    <w:rsid w:val="004F305A"/>
    <w:rsid w:val="00512164"/>
    <w:rsid w:val="00520297"/>
    <w:rsid w:val="00532395"/>
    <w:rsid w:val="005338F9"/>
    <w:rsid w:val="0054281C"/>
    <w:rsid w:val="00544581"/>
    <w:rsid w:val="0055268D"/>
    <w:rsid w:val="00575DE2"/>
    <w:rsid w:val="00576BE4"/>
    <w:rsid w:val="005779DB"/>
    <w:rsid w:val="00591270"/>
    <w:rsid w:val="005A2A67"/>
    <w:rsid w:val="005A400A"/>
    <w:rsid w:val="005B269D"/>
    <w:rsid w:val="005E04E3"/>
    <w:rsid w:val="005F7B92"/>
    <w:rsid w:val="006105AC"/>
    <w:rsid w:val="00612379"/>
    <w:rsid w:val="006153B6"/>
    <w:rsid w:val="0061555F"/>
    <w:rsid w:val="006245ED"/>
    <w:rsid w:val="00631871"/>
    <w:rsid w:val="00636CA6"/>
    <w:rsid w:val="00641200"/>
    <w:rsid w:val="00645CA8"/>
    <w:rsid w:val="00653682"/>
    <w:rsid w:val="00654434"/>
    <w:rsid w:val="006655D3"/>
    <w:rsid w:val="00667404"/>
    <w:rsid w:val="00680983"/>
    <w:rsid w:val="00687EB4"/>
    <w:rsid w:val="00695C56"/>
    <w:rsid w:val="006A5CDE"/>
    <w:rsid w:val="006A644A"/>
    <w:rsid w:val="006B17D2"/>
    <w:rsid w:val="006C224E"/>
    <w:rsid w:val="006D780A"/>
    <w:rsid w:val="006E2336"/>
    <w:rsid w:val="0071271E"/>
    <w:rsid w:val="00732DEC"/>
    <w:rsid w:val="00735BD5"/>
    <w:rsid w:val="00744476"/>
    <w:rsid w:val="007451EC"/>
    <w:rsid w:val="00751613"/>
    <w:rsid w:val="00753EE9"/>
    <w:rsid w:val="007556F6"/>
    <w:rsid w:val="00760EEF"/>
    <w:rsid w:val="0077169A"/>
    <w:rsid w:val="00777EE5"/>
    <w:rsid w:val="00784836"/>
    <w:rsid w:val="0079023E"/>
    <w:rsid w:val="007A2854"/>
    <w:rsid w:val="007A5EEB"/>
    <w:rsid w:val="007C1D92"/>
    <w:rsid w:val="007C47CF"/>
    <w:rsid w:val="007C4CB9"/>
    <w:rsid w:val="007D0B9D"/>
    <w:rsid w:val="007D19B0"/>
    <w:rsid w:val="007D4D4A"/>
    <w:rsid w:val="007D6C56"/>
    <w:rsid w:val="007E4E45"/>
    <w:rsid w:val="007F498F"/>
    <w:rsid w:val="0080679D"/>
    <w:rsid w:val="008108B0"/>
    <w:rsid w:val="00811B20"/>
    <w:rsid w:val="00812609"/>
    <w:rsid w:val="008211B5"/>
    <w:rsid w:val="0082296E"/>
    <w:rsid w:val="00823C3A"/>
    <w:rsid w:val="00824099"/>
    <w:rsid w:val="00846D7C"/>
    <w:rsid w:val="00867AC1"/>
    <w:rsid w:val="00872F92"/>
    <w:rsid w:val="008751DE"/>
    <w:rsid w:val="008861A4"/>
    <w:rsid w:val="00890DF8"/>
    <w:rsid w:val="008A0ADE"/>
    <w:rsid w:val="008A743F"/>
    <w:rsid w:val="008C0970"/>
    <w:rsid w:val="008D0BC5"/>
    <w:rsid w:val="008D0F14"/>
    <w:rsid w:val="008D2CF7"/>
    <w:rsid w:val="00900C26"/>
    <w:rsid w:val="0090197F"/>
    <w:rsid w:val="00903264"/>
    <w:rsid w:val="00906DDC"/>
    <w:rsid w:val="00930992"/>
    <w:rsid w:val="00934E09"/>
    <w:rsid w:val="00936253"/>
    <w:rsid w:val="00940D46"/>
    <w:rsid w:val="009413F1"/>
    <w:rsid w:val="00952DD4"/>
    <w:rsid w:val="009561F4"/>
    <w:rsid w:val="00965AE7"/>
    <w:rsid w:val="00970FED"/>
    <w:rsid w:val="00992D82"/>
    <w:rsid w:val="009932F8"/>
    <w:rsid w:val="00997029"/>
    <w:rsid w:val="009A7339"/>
    <w:rsid w:val="009B440E"/>
    <w:rsid w:val="009D690D"/>
    <w:rsid w:val="009E65B6"/>
    <w:rsid w:val="009F0A51"/>
    <w:rsid w:val="009F77CF"/>
    <w:rsid w:val="00A24C10"/>
    <w:rsid w:val="00A42AC3"/>
    <w:rsid w:val="00A430CF"/>
    <w:rsid w:val="00A45A68"/>
    <w:rsid w:val="00A54309"/>
    <w:rsid w:val="00A610A9"/>
    <w:rsid w:val="00A80F2A"/>
    <w:rsid w:val="00A96C33"/>
    <w:rsid w:val="00AB2B93"/>
    <w:rsid w:val="00AB530F"/>
    <w:rsid w:val="00AB7E5B"/>
    <w:rsid w:val="00AC2883"/>
    <w:rsid w:val="00AD762F"/>
    <w:rsid w:val="00AE0EF1"/>
    <w:rsid w:val="00AE2937"/>
    <w:rsid w:val="00AE4AD4"/>
    <w:rsid w:val="00B07301"/>
    <w:rsid w:val="00B11F3E"/>
    <w:rsid w:val="00B16054"/>
    <w:rsid w:val="00B17FEA"/>
    <w:rsid w:val="00B224DE"/>
    <w:rsid w:val="00B22A56"/>
    <w:rsid w:val="00B324D4"/>
    <w:rsid w:val="00B46575"/>
    <w:rsid w:val="00B61777"/>
    <w:rsid w:val="00B622E6"/>
    <w:rsid w:val="00B748DF"/>
    <w:rsid w:val="00B83E82"/>
    <w:rsid w:val="00B84BBD"/>
    <w:rsid w:val="00BA43FB"/>
    <w:rsid w:val="00BB23EC"/>
    <w:rsid w:val="00BC127D"/>
    <w:rsid w:val="00BC1FE6"/>
    <w:rsid w:val="00BF36D1"/>
    <w:rsid w:val="00C061B6"/>
    <w:rsid w:val="00C22D85"/>
    <w:rsid w:val="00C2446C"/>
    <w:rsid w:val="00C36AE5"/>
    <w:rsid w:val="00C372EE"/>
    <w:rsid w:val="00C41F17"/>
    <w:rsid w:val="00C527FA"/>
    <w:rsid w:val="00C5280D"/>
    <w:rsid w:val="00C53EB3"/>
    <w:rsid w:val="00C5791C"/>
    <w:rsid w:val="00C66290"/>
    <w:rsid w:val="00C72B7A"/>
    <w:rsid w:val="00C82D79"/>
    <w:rsid w:val="00C973F2"/>
    <w:rsid w:val="00CA304C"/>
    <w:rsid w:val="00CA774A"/>
    <w:rsid w:val="00CB4921"/>
    <w:rsid w:val="00CC11B0"/>
    <w:rsid w:val="00CC2841"/>
    <w:rsid w:val="00CF1330"/>
    <w:rsid w:val="00CF63CE"/>
    <w:rsid w:val="00CF7E36"/>
    <w:rsid w:val="00D21051"/>
    <w:rsid w:val="00D32155"/>
    <w:rsid w:val="00D3708D"/>
    <w:rsid w:val="00D40426"/>
    <w:rsid w:val="00D57C96"/>
    <w:rsid w:val="00D57D18"/>
    <w:rsid w:val="00D70E65"/>
    <w:rsid w:val="00D84616"/>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044C1"/>
    <w:rsid w:val="00F1237A"/>
    <w:rsid w:val="00F22CBD"/>
    <w:rsid w:val="00F272F1"/>
    <w:rsid w:val="00F31412"/>
    <w:rsid w:val="00F45372"/>
    <w:rsid w:val="00F560F7"/>
    <w:rsid w:val="00F6334D"/>
    <w:rsid w:val="00F63599"/>
    <w:rsid w:val="00F71781"/>
    <w:rsid w:val="00F82B40"/>
    <w:rsid w:val="00FA04BF"/>
    <w:rsid w:val="00FA49AB"/>
    <w:rsid w:val="00FB026A"/>
    <w:rsid w:val="00FC5FD0"/>
    <w:rsid w:val="00FE39C7"/>
    <w:rsid w:val="00FF4BCB"/>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02258"/>
    <w:pPr>
      <w:keepNext/>
      <w:keepLines/>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D4D4A"/>
    <w:pPr>
      <w:tabs>
        <w:tab w:val="right" w:leader="dot" w:pos="9639"/>
      </w:tabs>
      <w:spacing w:after="120"/>
      <w:ind w:left="567" w:right="851"/>
      <w:contextualSpacing/>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CA0"/>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C7CD6"/>
    <w:pPr>
      <w:ind w:left="720"/>
      <w:contextualSpacing/>
    </w:pPr>
  </w:style>
  <w:style w:type="paragraph" w:styleId="TOCHeading">
    <w:name w:val="TOC Heading"/>
    <w:basedOn w:val="Heading1"/>
    <w:next w:val="Normal"/>
    <w:uiPriority w:val="39"/>
    <w:unhideWhenUsed/>
    <w:qFormat/>
    <w:rsid w:val="003F5CA0"/>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DecisionParagraphsChar">
    <w:name w:val="DecisionParagraphs Char"/>
    <w:basedOn w:val="DefaultParagraphFont"/>
    <w:link w:val="DecisionParagraphs"/>
    <w:rsid w:val="003E1732"/>
    <w:rPr>
      <w:rFonts w:ascii="Arial" w:hAnsi="Arial"/>
      <w:i/>
    </w:rPr>
  </w:style>
  <w:style w:type="character" w:customStyle="1" w:styleId="FootnoteTextChar">
    <w:name w:val="Footnote Text Char"/>
    <w:basedOn w:val="DefaultParagraphFont"/>
    <w:link w:val="FootnoteText"/>
    <w:rsid w:val="003B4BB6"/>
    <w:rPr>
      <w:rFonts w:ascii="Arial" w:hAnsi="Arial"/>
      <w:sz w:val="16"/>
    </w:rPr>
  </w:style>
  <w:style w:type="character" w:customStyle="1" w:styleId="Heading1Char">
    <w:name w:val="Heading 1 Char"/>
    <w:aliases w:val="COMMON NAME Char,common Char"/>
    <w:basedOn w:val="DefaultParagraphFont"/>
    <w:link w:val="Heading1"/>
    <w:rsid w:val="003B4BB6"/>
    <w:rPr>
      <w:rFonts w:ascii="Arial" w:hAnsi="Arial"/>
      <w:caps/>
    </w:rPr>
  </w:style>
  <w:style w:type="table" w:styleId="TableGrid">
    <w:name w:val="Table Grid"/>
    <w:basedOn w:val="TableNormal"/>
    <w:uiPriority w:val="59"/>
    <w:rsid w:val="0000225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44476"/>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upov.int/upov_collection/fr/" TargetMode="Externa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3EF93-66CE-429C-9532-2772EA8B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9</Pages>
  <Words>2751</Words>
  <Characters>16630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CAJ/79/1</vt:lpstr>
    </vt:vector>
  </TitlesOfParts>
  <Company>UPOV</Company>
  <LinksUpToDate>false</LinksUpToDate>
  <CharactersWithSpaces>19343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CAJ/79/3</dc:title>
  <dc:creator>SANCHEZ VIZCAINO GOMEZ Rosa Maria</dc:creator>
  <cp:keywords>FOR OFFICIAL USE ONLY</cp:keywords>
  <cp:lastModifiedBy>NICOLO Laurianne</cp:lastModifiedBy>
  <cp:revision>24</cp:revision>
  <cp:lastPrinted>2016-11-22T15:41:00Z</cp:lastPrinted>
  <dcterms:created xsi:type="dcterms:W3CDTF">2022-07-20T10:24:00Z</dcterms:created>
  <dcterms:modified xsi:type="dcterms:W3CDTF">2022-07-29T16:29:00Z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f41e2aa0-9a90-453e-b105-d7443751562c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