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316C0" w:rsidTr="00EB4E9C">
        <w:tc>
          <w:tcPr>
            <w:tcW w:w="6522" w:type="dxa"/>
          </w:tcPr>
          <w:p w:rsidR="00DC3802" w:rsidRPr="008316C0" w:rsidRDefault="00DC3802" w:rsidP="00AC2883">
            <w:r w:rsidRPr="008316C0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316C0" w:rsidRDefault="00A706D3" w:rsidP="00AC2883">
            <w:pPr>
              <w:pStyle w:val="Lettrine"/>
            </w:pPr>
            <w:r w:rsidRPr="008316C0">
              <w:t>F</w:t>
            </w:r>
          </w:p>
        </w:tc>
      </w:tr>
      <w:tr w:rsidR="00DC3802" w:rsidRPr="008316C0" w:rsidTr="00645CA8">
        <w:trPr>
          <w:trHeight w:val="219"/>
        </w:trPr>
        <w:tc>
          <w:tcPr>
            <w:tcW w:w="6522" w:type="dxa"/>
          </w:tcPr>
          <w:p w:rsidR="00DC3802" w:rsidRPr="008316C0" w:rsidRDefault="00DC3802" w:rsidP="00A706D3">
            <w:pPr>
              <w:pStyle w:val="upove"/>
            </w:pPr>
            <w:r w:rsidRPr="008316C0">
              <w:t xml:space="preserve">Union </w:t>
            </w:r>
            <w:r w:rsidR="00A706D3" w:rsidRPr="008316C0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8316C0" w:rsidRDefault="00DC3802" w:rsidP="00DA4973"/>
        </w:tc>
      </w:tr>
    </w:tbl>
    <w:p w:rsidR="008316C0" w:rsidRDefault="008316C0" w:rsidP="00DC3802"/>
    <w:p w:rsidR="00DA4973" w:rsidRPr="008316C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316C0" w:rsidTr="00602AD5">
        <w:tc>
          <w:tcPr>
            <w:tcW w:w="6512" w:type="dxa"/>
            <w:tcBorders>
              <w:bottom w:val="single" w:sz="4" w:space="0" w:color="auto"/>
            </w:tcBorders>
          </w:tcPr>
          <w:p w:rsidR="008316C0" w:rsidRDefault="001C176C" w:rsidP="00AC2883">
            <w:pPr>
              <w:pStyle w:val="Sessiontc"/>
              <w:spacing w:line="240" w:lineRule="auto"/>
            </w:pPr>
            <w:r w:rsidRPr="008316C0">
              <w:t>Comité administratif et juridique</w:t>
            </w:r>
          </w:p>
          <w:p w:rsidR="00EB4E9C" w:rsidRPr="008316C0" w:rsidRDefault="001C176C" w:rsidP="005429CF">
            <w:pPr>
              <w:pStyle w:val="Sessiontcplacedate"/>
              <w:rPr>
                <w:sz w:val="22"/>
              </w:rPr>
            </w:pPr>
            <w:r w:rsidRPr="008316C0">
              <w:t>Soixante</w:t>
            </w:r>
            <w:r w:rsidR="00081538">
              <w:t>-</w:t>
            </w:r>
            <w:r w:rsidR="00E86C32" w:rsidRPr="008316C0">
              <w:t>dix</w:t>
            </w:r>
            <w:r w:rsidR="00081538">
              <w:t>-</w:t>
            </w:r>
            <w:r w:rsidR="005429CF" w:rsidRPr="008316C0">
              <w:t>neuv</w:t>
            </w:r>
            <w:r w:rsidR="00081538">
              <w:t>ième session</w:t>
            </w:r>
            <w:r w:rsidR="00EB4E9C" w:rsidRPr="008316C0">
              <w:br/>
              <w:t>Gen</w:t>
            </w:r>
            <w:r w:rsidR="00A706D3" w:rsidRPr="008316C0">
              <w:t>è</w:t>
            </w:r>
            <w:r w:rsidR="00EB4E9C" w:rsidRPr="008316C0">
              <w:t>v</w:t>
            </w:r>
            <w:r w:rsidR="00A706D3" w:rsidRPr="008316C0">
              <w:t>e</w:t>
            </w:r>
            <w:r w:rsidR="00EB4E9C" w:rsidRPr="008316C0">
              <w:t xml:space="preserve">, </w:t>
            </w:r>
            <w:r w:rsidR="00E86C32" w:rsidRPr="008316C0">
              <w:t>2</w:t>
            </w:r>
            <w:r w:rsidR="00571E2E" w:rsidRPr="008316C0">
              <w:t>6</w:t>
            </w:r>
            <w:r w:rsidR="00571E2E">
              <w:t> </w:t>
            </w:r>
            <w:r w:rsidR="00571E2E" w:rsidRPr="008316C0">
              <w:t>octobre</w:t>
            </w:r>
            <w:r w:rsidR="00571E2E">
              <w:t> </w:t>
            </w:r>
            <w:r w:rsidR="00571E2E" w:rsidRPr="008316C0">
              <w:t>20</w:t>
            </w:r>
            <w:r w:rsidR="005429CF" w:rsidRPr="008316C0">
              <w:t>22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8316C0" w:rsidRDefault="00B7317C" w:rsidP="003C7FBE">
            <w:pPr>
              <w:pStyle w:val="Doccode"/>
              <w:rPr>
                <w:lang w:val="fr-FR"/>
              </w:rPr>
            </w:pPr>
            <w:r w:rsidRPr="008316C0">
              <w:rPr>
                <w:lang w:val="fr-FR"/>
              </w:rPr>
              <w:t>CAJ/7</w:t>
            </w:r>
            <w:r w:rsidR="005429CF" w:rsidRPr="008316C0">
              <w:rPr>
                <w:lang w:val="fr-FR"/>
              </w:rPr>
              <w:t>9</w:t>
            </w:r>
            <w:r w:rsidR="00EB4E9C" w:rsidRPr="008316C0">
              <w:rPr>
                <w:lang w:val="fr-FR"/>
              </w:rPr>
              <w:t>/</w:t>
            </w:r>
            <w:r w:rsidR="005429CF" w:rsidRPr="008316C0">
              <w:rPr>
                <w:lang w:val="fr-FR"/>
              </w:rPr>
              <w:t>10</w:t>
            </w:r>
          </w:p>
          <w:p w:rsidR="008316C0" w:rsidRDefault="00EB4E9C" w:rsidP="003C7FBE">
            <w:pPr>
              <w:pStyle w:val="Docoriginal"/>
            </w:pPr>
            <w:r w:rsidRPr="008316C0">
              <w:t>Original</w:t>
            </w:r>
            <w:r w:rsidR="00081538">
              <w:t> :</w:t>
            </w:r>
            <w:r w:rsidRPr="008316C0">
              <w:rPr>
                <w:b w:val="0"/>
                <w:spacing w:val="0"/>
              </w:rPr>
              <w:t xml:space="preserve"> </w:t>
            </w:r>
            <w:r w:rsidR="00A706D3" w:rsidRPr="008316C0">
              <w:rPr>
                <w:b w:val="0"/>
                <w:spacing w:val="0"/>
              </w:rPr>
              <w:t>anglais</w:t>
            </w:r>
          </w:p>
          <w:p w:rsidR="00602AD5" w:rsidRPr="008316C0" w:rsidRDefault="00EB4E9C" w:rsidP="005429CF">
            <w:pPr>
              <w:pStyle w:val="Docoriginal"/>
              <w:rPr>
                <w:b w:val="0"/>
                <w:spacing w:val="0"/>
              </w:rPr>
            </w:pPr>
            <w:r w:rsidRPr="008316C0">
              <w:t>Date</w:t>
            </w:r>
            <w:r w:rsidR="00081538">
              <w:t> :</w:t>
            </w:r>
            <w:r w:rsidRPr="008316C0">
              <w:rPr>
                <w:b w:val="0"/>
                <w:spacing w:val="0"/>
              </w:rPr>
              <w:t xml:space="preserve"> </w:t>
            </w:r>
            <w:r w:rsidR="00A759BD" w:rsidRPr="001323A4">
              <w:rPr>
                <w:b w:val="0"/>
                <w:spacing w:val="0"/>
              </w:rPr>
              <w:t>21</w:t>
            </w:r>
            <w:r w:rsidR="005429CF" w:rsidRPr="001323A4">
              <w:rPr>
                <w:b w:val="0"/>
                <w:spacing w:val="0"/>
              </w:rPr>
              <w:t> juillet 2022</w:t>
            </w:r>
          </w:p>
        </w:tc>
      </w:tr>
    </w:tbl>
    <w:p w:rsidR="00571E2E" w:rsidRPr="00792B79" w:rsidRDefault="008316C0" w:rsidP="008316C0">
      <w:pPr>
        <w:pStyle w:val="Titleofdoc0"/>
      </w:pPr>
      <w:bookmarkStart w:id="0" w:name="TitleOfDoc"/>
      <w:bookmarkStart w:id="1" w:name="Prepared"/>
      <w:bookmarkEnd w:id="0"/>
      <w:bookmarkEnd w:id="1"/>
      <w:r w:rsidRPr="00792B79">
        <w:t>Réunions sur l</w:t>
      </w:r>
      <w:r w:rsidR="00081538">
        <w:t>’</w:t>
      </w:r>
      <w:r w:rsidRPr="00792B79">
        <w:t>élaboration d</w:t>
      </w:r>
      <w:r w:rsidR="00081538">
        <w:t>’</w:t>
      </w:r>
      <w:r w:rsidRPr="00792B79">
        <w:t xml:space="preserve">un formulaire de demande électronique </w:t>
      </w:r>
      <w:r w:rsidR="00A759BD">
        <w:br/>
      </w:r>
      <w:r w:rsidRPr="00792B79">
        <w:t>(“réunions EA</w:t>
      </w:r>
      <w:r w:rsidR="00571E2E" w:rsidRPr="00792B79">
        <w:t>F”</w:t>
      </w:r>
      <w:r w:rsidRPr="00792B79">
        <w:t>)</w:t>
      </w:r>
    </w:p>
    <w:p w:rsidR="008316C0" w:rsidRDefault="00AE0EF1" w:rsidP="006A644A">
      <w:pPr>
        <w:pStyle w:val="preparedby1"/>
        <w:jc w:val="left"/>
      </w:pPr>
      <w:r w:rsidRPr="008316C0">
        <w:t xml:space="preserve">Document </w:t>
      </w:r>
      <w:r w:rsidR="00A706D3" w:rsidRPr="008316C0">
        <w:t>établi par le Bureau de l</w:t>
      </w:r>
      <w:r w:rsidR="00081538">
        <w:t>’</w:t>
      </w:r>
      <w:r w:rsidR="00A706D3" w:rsidRPr="008316C0">
        <w:t>Union</w:t>
      </w:r>
    </w:p>
    <w:p w:rsidR="008316C0" w:rsidRDefault="00A706D3" w:rsidP="006A644A">
      <w:pPr>
        <w:pStyle w:val="Disclaimer"/>
      </w:pPr>
      <w:r w:rsidRPr="008316C0">
        <w:t>Avertissement</w:t>
      </w:r>
      <w:r w:rsidR="00081538">
        <w:t> :</w:t>
      </w:r>
      <w:r w:rsidRPr="008316C0">
        <w:t xml:space="preserve"> le présent document ne représente pas les principes ou les orientations de l</w:t>
      </w:r>
      <w:r w:rsidR="00081538">
        <w:t>’</w:t>
      </w:r>
      <w:r w:rsidRPr="008316C0">
        <w:t>UPOV</w:t>
      </w:r>
    </w:p>
    <w:p w:rsidR="008316C0" w:rsidRPr="003179D0" w:rsidRDefault="008316C0" w:rsidP="008316C0">
      <w:pPr>
        <w:pStyle w:val="Heading1"/>
      </w:pPr>
      <w:bookmarkStart w:id="2" w:name="_Toc110247314"/>
      <w:r w:rsidRPr="003179D0">
        <w:t>Résumé</w:t>
      </w:r>
      <w:bookmarkEnd w:id="2"/>
    </w:p>
    <w:p w:rsidR="008316C0" w:rsidRPr="003179D0" w:rsidRDefault="008316C0" w:rsidP="005429CF">
      <w:pPr>
        <w:rPr>
          <w:snapToGrid w:val="0"/>
        </w:rPr>
      </w:pPr>
    </w:p>
    <w:p w:rsidR="00571E2E" w:rsidRPr="003179D0" w:rsidRDefault="005429CF" w:rsidP="008316C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>Le CAJ est invité</w:t>
      </w:r>
      <w:r w:rsidR="00A759BD">
        <w:t xml:space="preserve"> à</w:t>
      </w:r>
    </w:p>
    <w:p w:rsidR="008316C0" w:rsidRPr="003179D0" w:rsidRDefault="008316C0" w:rsidP="005429CF"/>
    <w:p w:rsidR="008316C0" w:rsidRPr="003179D0" w:rsidRDefault="005429CF" w:rsidP="008316C0">
      <w:r w:rsidRPr="003179D0">
        <w:tab/>
      </w:r>
      <w:r w:rsidR="00A759BD">
        <w:t>a)</w:t>
      </w:r>
      <w:r w:rsidR="00A759BD">
        <w:tab/>
      </w:r>
      <w:r w:rsidR="008316C0" w:rsidRPr="003179D0">
        <w:t>prendre note des faits nouveaux concernant UPOV PRISMA</w:t>
      </w:r>
      <w:r w:rsidR="00A759BD">
        <w:t> ;</w:t>
      </w:r>
      <w:r w:rsidR="008316C0" w:rsidRPr="003179D0">
        <w:t xml:space="preserve"> et</w:t>
      </w:r>
    </w:p>
    <w:p w:rsidR="008316C0" w:rsidRPr="003179D0" w:rsidRDefault="008316C0" w:rsidP="005429CF"/>
    <w:p w:rsidR="008316C0" w:rsidRPr="003179D0" w:rsidRDefault="005429CF" w:rsidP="008316C0">
      <w:r w:rsidRPr="003179D0">
        <w:tab/>
      </w:r>
      <w:r w:rsidR="00A759BD">
        <w:t>b)</w:t>
      </w:r>
      <w:r w:rsidR="00A759BD">
        <w:tab/>
      </w:r>
      <w:r w:rsidR="008316C0" w:rsidRPr="003179D0">
        <w:t>approuver la proposition d</w:t>
      </w:r>
      <w:r w:rsidR="00081538">
        <w:t>’</w:t>
      </w:r>
      <w:r w:rsidR="008316C0" w:rsidRPr="003179D0">
        <w:t>étendre le champ d</w:t>
      </w:r>
      <w:r w:rsidR="00081538">
        <w:t>’</w:t>
      </w:r>
      <w:r w:rsidR="008316C0" w:rsidRPr="003179D0">
        <w:t xml:space="preserve">application des réunions EAF pour couvrir le compte rendu des </w:t>
      </w:r>
      <w:r w:rsidR="00792B79" w:rsidRPr="003179D0">
        <w:t>faits nouveaux</w:t>
      </w:r>
      <w:r w:rsidR="008316C0" w:rsidRPr="003179D0">
        <w:t xml:space="preserve"> </w:t>
      </w:r>
      <w:r w:rsidR="00792B79" w:rsidRPr="003179D0">
        <w:t>concernant le</w:t>
      </w:r>
      <w:r w:rsidR="008316C0" w:rsidRPr="003179D0">
        <w:t xml:space="preserve"> module de gestion électronique de la protection des obtentions végétales (</w:t>
      </w:r>
      <w:r w:rsidR="00792B79" w:rsidRPr="003179D0">
        <w:t xml:space="preserve">module </w:t>
      </w:r>
      <w:r w:rsidR="008316C0" w:rsidRPr="003179D0">
        <w:t>e</w:t>
      </w:r>
      <w:r w:rsidR="00081538">
        <w:t>-</w:t>
      </w:r>
      <w:r w:rsidR="008316C0" w:rsidRPr="003179D0">
        <w:t xml:space="preserve">PVP) et à changer le nom des réunions en </w:t>
      </w:r>
      <w:r w:rsidR="00571E2E" w:rsidRPr="003179D0">
        <w:t>“R</w:t>
      </w:r>
      <w:r w:rsidR="008316C0" w:rsidRPr="003179D0">
        <w:t xml:space="preserve">éunion sur les </w:t>
      </w:r>
      <w:r w:rsidR="00792B79" w:rsidRPr="003179D0">
        <w:t>demandes</w:t>
      </w:r>
      <w:r w:rsidR="008316C0" w:rsidRPr="003179D0">
        <w:t xml:space="preserve"> électronique</w:t>
      </w:r>
      <w:r w:rsidR="00571E2E" w:rsidRPr="003179D0">
        <w:t>s”</w:t>
      </w:r>
      <w:r w:rsidR="008316C0" w:rsidRPr="003179D0">
        <w:t>.</w:t>
      </w:r>
    </w:p>
    <w:p w:rsidR="008316C0" w:rsidRPr="003179D0" w:rsidRDefault="008316C0" w:rsidP="005429CF"/>
    <w:p w:rsidR="008316C0" w:rsidRPr="003179D0" w:rsidRDefault="005429CF" w:rsidP="008316C0">
      <w:pPr>
        <w:keepNext/>
        <w:rPr>
          <w:rFonts w:cs="Arial"/>
          <w:snapToGrid w:val="0"/>
          <w:lang w:eastAsia="ja-JP"/>
        </w:rPr>
      </w:pPr>
      <w:r w:rsidRPr="003179D0">
        <w:rPr>
          <w:rFonts w:cs="Arial"/>
          <w:snapToGrid w:val="0"/>
        </w:rPr>
        <w:fldChar w:fldCharType="begin"/>
      </w:r>
      <w:r w:rsidRPr="003179D0">
        <w:rPr>
          <w:rFonts w:cs="Arial"/>
          <w:snapToGrid w:val="0"/>
        </w:rPr>
        <w:instrText xml:space="preserve"> AUTONUM  </w:instrText>
      </w:r>
      <w:r w:rsidRPr="003179D0">
        <w:rPr>
          <w:rFonts w:cs="Arial"/>
          <w:snapToGrid w:val="0"/>
        </w:rPr>
        <w:fldChar w:fldCharType="end"/>
      </w:r>
      <w:r w:rsidRPr="003179D0">
        <w:rPr>
          <w:rFonts w:cs="Arial"/>
          <w:snapToGrid w:val="0"/>
        </w:rPr>
        <w:tab/>
      </w:r>
      <w:r w:rsidR="008316C0" w:rsidRPr="003179D0">
        <w:rPr>
          <w:rFonts w:cs="Arial"/>
          <w:snapToGrid w:val="0"/>
        </w:rPr>
        <w:t>Le présent document est structuré comme suit</w:t>
      </w:r>
      <w:r w:rsidR="00081538">
        <w:rPr>
          <w:rFonts w:cs="Arial"/>
          <w:snapToGrid w:val="0"/>
        </w:rPr>
        <w:t> :</w:t>
      </w:r>
    </w:p>
    <w:p w:rsidR="008316C0" w:rsidRPr="003179D0" w:rsidRDefault="008316C0" w:rsidP="005429CF">
      <w:pPr>
        <w:keepNext/>
      </w:pPr>
      <w:bookmarkStart w:id="3" w:name="_Toc15644058"/>
    </w:p>
    <w:p w:rsidR="00CD7377" w:rsidRDefault="005429CF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179D0">
        <w:rPr>
          <w:sz w:val="18"/>
          <w:lang w:val="fr-FR"/>
        </w:rPr>
        <w:fldChar w:fldCharType="begin"/>
      </w:r>
      <w:r w:rsidRPr="003179D0">
        <w:rPr>
          <w:lang w:val="fr-FR"/>
        </w:rPr>
        <w:instrText xml:space="preserve"> TOC \o "1-3" \h \z \u </w:instrText>
      </w:r>
      <w:r w:rsidRPr="003179D0">
        <w:rPr>
          <w:sz w:val="18"/>
          <w:lang w:val="fr-FR"/>
        </w:rPr>
        <w:fldChar w:fldCharType="separate"/>
      </w:r>
      <w:hyperlink w:anchor="_Toc110247314" w:history="1">
        <w:r w:rsidR="00CD7377" w:rsidRPr="00373EA1">
          <w:rPr>
            <w:rStyle w:val="Hyperlink"/>
            <w:noProof/>
            <w:lang w:val="fr-FR"/>
          </w:rPr>
          <w:t>Résumé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_Toc110247314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1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5" w:history="1">
        <w:r w:rsidR="00CD7377" w:rsidRPr="00373EA1">
          <w:rPr>
            <w:rStyle w:val="Hyperlink"/>
            <w:noProof/>
            <w:snapToGrid w:val="0"/>
            <w:lang w:val="fr-FR"/>
          </w:rPr>
          <w:t>Rappel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_Toc110247315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6" w:history="1">
        <w:r w:rsidR="00CD7377" w:rsidRPr="00373EA1">
          <w:rPr>
            <w:rStyle w:val="Hyperlink"/>
            <w:noProof/>
            <w:lang w:val="fr-FR"/>
          </w:rPr>
          <w:t>FAITS NOUVEAUX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_Toc110247316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7" w:history="1">
        <w:r w:rsidR="00CD7377" w:rsidRPr="00373EA1">
          <w:rPr>
            <w:rStyle w:val="Hyperlink"/>
            <w:noProof/>
            <w:lang w:val="fr-FR"/>
          </w:rPr>
          <w:t>Dix-huitième réunion sur l’élaboration d’un formulaire de demande électronique (“réunion EAF/18”) en octobre 2021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_Toc110247317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8" w:history="1">
        <w:r w:rsidR="00CD7377" w:rsidRPr="00373EA1">
          <w:rPr>
            <w:rStyle w:val="Hyperlink"/>
            <w:noProof/>
            <w:lang w:val="fr-FR"/>
          </w:rPr>
          <w:t>Faits nouveaux survenus au sein du Comité administratif et juridique (CAJ) en octobre 2021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_Toc110247318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9" w:history="1">
        <w:r w:rsidR="00CD7377" w:rsidRPr="00373EA1">
          <w:rPr>
            <w:rStyle w:val="Hyperlink"/>
            <w:noProof/>
            <w:lang w:val="fr-FR"/>
          </w:rPr>
          <w:t>Utilisation d’UPOV PRISMA (au 30 juin 2022)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_Toc110247319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0" w:history="1">
        <w:r w:rsidR="00CD7377" w:rsidRPr="00373EA1">
          <w:rPr>
            <w:rStyle w:val="Hyperlink"/>
            <w:noProof/>
          </w:rPr>
          <w:t>Nombre de demandes présentées via UPOV PRISMA :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_Toc110247320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1" w:history="1">
        <w:r w:rsidR="00CD7377" w:rsidRPr="00373EA1">
          <w:rPr>
            <w:rStyle w:val="Hyperlink"/>
            <w:noProof/>
          </w:rPr>
          <w:t>Nombre de demandes déposées par l’intermédiaire d’UPOV PRISMA par service participant :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_Toc110247321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3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22" w:history="1">
        <w:r w:rsidR="00CD7377" w:rsidRPr="00373EA1">
          <w:rPr>
            <w:rStyle w:val="Hyperlink"/>
            <w:noProof/>
            <w:lang w:val="fr-FR"/>
          </w:rPr>
          <w:t>Lancement de la version 2.7 (janvier 2022)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_Toc110247322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3" w:history="1">
        <w:r w:rsidR="00CD7377" w:rsidRPr="00373EA1">
          <w:rPr>
            <w:rStyle w:val="Hyperlink"/>
            <w:noProof/>
          </w:rPr>
          <w:t>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_Toc110247323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4" w:history="1">
        <w:r w:rsidR="00CD7377" w:rsidRPr="00373EA1">
          <w:rPr>
            <w:rStyle w:val="Hyperlink"/>
            <w:noProof/>
          </w:rPr>
          <w:t>Champ d’application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_Toc110247324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25" w:history="1">
        <w:r w:rsidR="00CD7377" w:rsidRPr="00373EA1">
          <w:rPr>
            <w:rStyle w:val="Hyperlink"/>
            <w:rFonts w:eastAsia="MS Mincho"/>
            <w:noProof/>
            <w:snapToGrid w:val="0"/>
            <w:lang w:val="fr-FR"/>
          </w:rPr>
          <w:t>Réunion sur l’élaboration d’un formulaire de demande électronique (“réunion EAF/19”)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_Toc110247325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26" w:history="1">
        <w:r w:rsidR="00CD7377" w:rsidRPr="00373EA1">
          <w:rPr>
            <w:rStyle w:val="Hyperlink"/>
            <w:noProof/>
            <w:lang w:val="fr-FR"/>
          </w:rPr>
          <w:t>Lancement prévu de la version 2.8 (septembre 2022)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_Toc110247326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7" w:history="1">
        <w:r w:rsidR="00CD7377" w:rsidRPr="00373EA1">
          <w:rPr>
            <w:rStyle w:val="Hyperlink"/>
            <w:noProof/>
          </w:rPr>
          <w:t>Membres de l’UPOV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_Toc110247327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8" w:history="1">
        <w:r w:rsidR="00CD7377" w:rsidRPr="00373EA1">
          <w:rPr>
            <w:rStyle w:val="Hyperlink"/>
            <w:noProof/>
          </w:rPr>
          <w:t>Plantes et espèces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_Toc110247328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9" w:history="1">
        <w:r w:rsidR="00CD7377" w:rsidRPr="00373EA1">
          <w:rPr>
            <w:rStyle w:val="Hyperlink"/>
            <w:noProof/>
          </w:rPr>
          <w:t>Nouvelles 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_Toc110247329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0" w:history="1">
        <w:r w:rsidR="00CD7377" w:rsidRPr="00373EA1">
          <w:rPr>
            <w:rStyle w:val="Hyperlink"/>
            <w:noProof/>
            <w:lang w:val="fr-FR"/>
          </w:rPr>
          <w:t>Autres faits nouveaux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_Toc110247330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5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1" w:history="1">
        <w:r w:rsidR="00CD7377" w:rsidRPr="00373EA1">
          <w:rPr>
            <w:rStyle w:val="Hyperlink"/>
            <w:noProof/>
          </w:rPr>
          <w:t>Audit de la qualité des logiciels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_Toc110247331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5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2" w:history="1">
        <w:r w:rsidR="00CD7377" w:rsidRPr="00373EA1">
          <w:rPr>
            <w:rStyle w:val="Hyperlink"/>
            <w:noProof/>
          </w:rPr>
          <w:t>Amélioration de la facilité d’utilisation d’UPOV PRISMA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_Toc110247332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6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3" w:history="1">
        <w:r w:rsidR="00CD7377" w:rsidRPr="00373EA1">
          <w:rPr>
            <w:rStyle w:val="Hyperlink"/>
            <w:noProof/>
          </w:rPr>
          <w:t>Synchronisation avec l’OCVV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_Toc110247333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6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4" w:history="1">
        <w:r w:rsidR="00CD7377" w:rsidRPr="00373EA1">
          <w:rPr>
            <w:rStyle w:val="Hyperlink"/>
            <w:noProof/>
          </w:rPr>
          <w:t>Couverture des principes directeurs d’examen : betterave à sucre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_Toc110247334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6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5" w:history="1">
        <w:r w:rsidR="00CD7377" w:rsidRPr="00373EA1">
          <w:rPr>
            <w:rStyle w:val="Hyperlink"/>
            <w:noProof/>
            <w:lang w:val="fr-FR"/>
          </w:rPr>
          <w:t>Plans pour la version 2.9 (septembre 2023)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_Toc110247335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6" w:history="1">
        <w:r w:rsidR="00CD7377" w:rsidRPr="00373EA1">
          <w:rPr>
            <w:rStyle w:val="Hyperlink"/>
            <w:noProof/>
          </w:rPr>
          <w:t>Couverture des membres de l’UPOV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_Toc110247336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7" w:history="1">
        <w:r w:rsidR="00CD7377" w:rsidRPr="00373EA1">
          <w:rPr>
            <w:rStyle w:val="Hyperlink"/>
            <w:noProof/>
          </w:rPr>
          <w:t>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_Toc110247337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8" w:history="1">
        <w:r w:rsidR="00CD7377" w:rsidRPr="00373EA1">
          <w:rPr>
            <w:rStyle w:val="Hyperlink"/>
            <w:noProof/>
            <w:lang w:val="fr-FR"/>
          </w:rPr>
          <w:t>Évolution possible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_Toc110247338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9" w:history="1">
        <w:r w:rsidR="00CD7377" w:rsidRPr="00373EA1">
          <w:rPr>
            <w:rStyle w:val="Hyperlink"/>
            <w:noProof/>
            <w:lang w:val="fr-FR"/>
          </w:rPr>
          <w:t>Champ d’application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_Toc110247339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0" w:history="1">
        <w:r w:rsidR="00CD7377" w:rsidRPr="00373EA1">
          <w:rPr>
            <w:rStyle w:val="Hyperlink"/>
            <w:noProof/>
            <w:lang w:val="fr-FR"/>
          </w:rPr>
          <w:t>Convivialité de l’outil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_Toc110247340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1" w:history="1">
        <w:r w:rsidR="00CD7377" w:rsidRPr="00373EA1">
          <w:rPr>
            <w:rStyle w:val="Hyperlink"/>
            <w:noProof/>
            <w:lang w:val="fr-FR"/>
          </w:rPr>
          <w:t>Nouvelles 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_Toc110247341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2" w:history="1">
        <w:r w:rsidR="00CD7377" w:rsidRPr="00373EA1">
          <w:rPr>
            <w:rStyle w:val="Hyperlink"/>
            <w:noProof/>
            <w:lang w:val="fr-FR"/>
          </w:rPr>
          <w:t>Vingtième réunion concernant l’élaboration d’un formulaire de demande électronique (EAF/20)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_Toc110247342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9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1323A4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3" w:history="1">
        <w:r w:rsidR="00CD7377" w:rsidRPr="00373EA1">
          <w:rPr>
            <w:rStyle w:val="Hyperlink"/>
            <w:noProof/>
            <w:lang w:val="fr-FR"/>
          </w:rPr>
          <w:t>EXTENSION DU CHAMP D’APPLICATION DE LA RÉUNION EAF POUR COUVRIR Le module de gestion électronique E-PVP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_Toc110247343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9</w:t>
        </w:r>
        <w:r w:rsidR="00CD7377">
          <w:rPr>
            <w:noProof/>
            <w:webHidden/>
          </w:rPr>
          <w:fldChar w:fldCharType="end"/>
        </w:r>
      </w:hyperlink>
    </w:p>
    <w:p w:rsidR="008316C0" w:rsidRPr="003179D0" w:rsidRDefault="005429CF" w:rsidP="005429CF">
      <w:pPr>
        <w:spacing w:before="120"/>
        <w:rPr>
          <w:sz w:val="18"/>
        </w:rPr>
      </w:pPr>
      <w:r w:rsidRPr="003179D0">
        <w:fldChar w:fldCharType="end"/>
      </w:r>
    </w:p>
    <w:p w:rsidR="008316C0" w:rsidRPr="003179D0" w:rsidRDefault="008316C0" w:rsidP="005429CF"/>
    <w:p w:rsidR="008316C0" w:rsidRPr="003179D0" w:rsidRDefault="008316C0" w:rsidP="008316C0">
      <w:pPr>
        <w:pStyle w:val="Heading1"/>
        <w:rPr>
          <w:snapToGrid w:val="0"/>
        </w:rPr>
      </w:pPr>
      <w:bookmarkStart w:id="4" w:name="_Toc110247315"/>
      <w:bookmarkEnd w:id="3"/>
      <w:r w:rsidRPr="003179D0">
        <w:rPr>
          <w:snapToGrid w:val="0"/>
        </w:rPr>
        <w:t>Rappel</w:t>
      </w:r>
      <w:bookmarkEnd w:id="4"/>
    </w:p>
    <w:p w:rsidR="008316C0" w:rsidRPr="003179D0" w:rsidRDefault="008316C0" w:rsidP="005429CF">
      <w:pPr>
        <w:rPr>
          <w:snapToGrid w:val="0"/>
        </w:rPr>
      </w:pPr>
    </w:p>
    <w:p w:rsidR="008316C0" w:rsidRPr="00A759BD" w:rsidRDefault="005429CF" w:rsidP="008316C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 xml:space="preserve">Les </w:t>
      </w:r>
      <w:r w:rsidR="008316C0" w:rsidRPr="00A759BD">
        <w:t xml:space="preserve">informations générales et les faits nouveaux concernant UPOV PRISMA (précédemment dénommé “projet de formulaire de demande électronique”) figurent dans le </w:t>
      </w:r>
      <w:r w:rsidR="00081538" w:rsidRPr="00A759BD">
        <w:t>document</w:t>
      </w:r>
      <w:r w:rsidR="001325D3" w:rsidRPr="00A759BD">
        <w:t> </w:t>
      </w:r>
      <w:r w:rsidR="00081538" w:rsidRPr="00A759BD">
        <w:t>CA</w:t>
      </w:r>
      <w:r w:rsidR="008316C0" w:rsidRPr="00A759BD">
        <w:t>J/78/INF/4 “UPOV PRISMA”.</w:t>
      </w:r>
    </w:p>
    <w:p w:rsidR="008316C0" w:rsidRPr="003179D0" w:rsidRDefault="008316C0" w:rsidP="005429CF">
      <w:pPr>
        <w:rPr>
          <w:sz w:val="18"/>
        </w:rPr>
      </w:pPr>
    </w:p>
    <w:p w:rsidR="008316C0" w:rsidRPr="003179D0" w:rsidRDefault="008316C0" w:rsidP="005429CF">
      <w:pPr>
        <w:rPr>
          <w:sz w:val="18"/>
        </w:rPr>
      </w:pPr>
    </w:p>
    <w:p w:rsidR="00571E2E" w:rsidRPr="00A759BD" w:rsidRDefault="008316C0" w:rsidP="00A759BD">
      <w:pPr>
        <w:pStyle w:val="Heading1"/>
      </w:pPr>
      <w:bookmarkStart w:id="5" w:name="_Toc514397857"/>
      <w:bookmarkStart w:id="6" w:name="_Toc15644062"/>
      <w:bookmarkStart w:id="7" w:name="_Toc110247316"/>
      <w:r w:rsidRPr="00A759BD">
        <w:t>FAITS NOUVEAUX</w:t>
      </w:r>
      <w:bookmarkEnd w:id="5"/>
      <w:bookmarkEnd w:id="6"/>
      <w:bookmarkEnd w:id="7"/>
    </w:p>
    <w:p w:rsidR="008316C0" w:rsidRPr="003179D0" w:rsidRDefault="008316C0" w:rsidP="005429CF">
      <w:pPr>
        <w:keepNext/>
      </w:pPr>
    </w:p>
    <w:p w:rsidR="008316C0" w:rsidRPr="00A759BD" w:rsidRDefault="008316C0" w:rsidP="00A759BD">
      <w:pPr>
        <w:pStyle w:val="Heading2"/>
      </w:pPr>
      <w:bookmarkStart w:id="8" w:name="_Toc110247317"/>
      <w:bookmarkStart w:id="9" w:name="_Toc945744"/>
      <w:bookmarkStart w:id="10" w:name="_Toc945761"/>
      <w:r w:rsidRPr="00A759BD">
        <w:t>Dix</w:t>
      </w:r>
      <w:r w:rsidR="00081538" w:rsidRPr="00A759BD">
        <w:t>-</w:t>
      </w:r>
      <w:r w:rsidRPr="00A759BD">
        <w:t>huitième réunion sur l</w:t>
      </w:r>
      <w:r w:rsidR="00081538" w:rsidRPr="00A759BD">
        <w:t>’</w:t>
      </w:r>
      <w:r w:rsidRPr="00A759BD">
        <w:t>élaboration d</w:t>
      </w:r>
      <w:r w:rsidR="00081538" w:rsidRPr="00A759BD">
        <w:t>’</w:t>
      </w:r>
      <w:r w:rsidRPr="00A759BD">
        <w:t>un formulaire de demande électronique (“réunion</w:t>
      </w:r>
      <w:r w:rsidR="00890F1B" w:rsidRPr="00A759BD">
        <w:t> </w:t>
      </w:r>
      <w:r w:rsidRPr="00A759BD">
        <w:t xml:space="preserve">EAF/18”) en </w:t>
      </w:r>
      <w:r w:rsidR="00571E2E" w:rsidRPr="00A759BD">
        <w:t>octobre 20</w:t>
      </w:r>
      <w:r w:rsidRPr="00A759BD">
        <w:t>21</w:t>
      </w:r>
      <w:bookmarkEnd w:id="8"/>
    </w:p>
    <w:p w:rsidR="008316C0" w:rsidRPr="003179D0" w:rsidRDefault="008316C0" w:rsidP="005429CF">
      <w:pPr>
        <w:rPr>
          <w:rFonts w:eastAsia="MS Mincho"/>
          <w:highlight w:val="cyan"/>
        </w:rPr>
      </w:pPr>
    </w:p>
    <w:p w:rsidR="008316C0" w:rsidRPr="00472FAF" w:rsidRDefault="005429CF" w:rsidP="00A759BD">
      <w:r w:rsidRPr="00472FAF">
        <w:fldChar w:fldCharType="begin"/>
      </w:r>
      <w:r w:rsidRPr="00472FAF">
        <w:instrText xml:space="preserve"> AUTONUM  </w:instrText>
      </w:r>
      <w:r w:rsidRPr="00472FAF">
        <w:fldChar w:fldCharType="end"/>
      </w:r>
      <w:r w:rsidRPr="00472FAF">
        <w:tab/>
      </w:r>
      <w:r w:rsidR="008316C0" w:rsidRPr="00472FAF">
        <w:t>La dix</w:t>
      </w:r>
      <w:r w:rsidR="00081538" w:rsidRPr="00472FAF">
        <w:t>-</w:t>
      </w:r>
      <w:r w:rsidR="008316C0" w:rsidRPr="00472FAF">
        <w:t>huitième réunion sur l</w:t>
      </w:r>
      <w:r w:rsidR="00081538" w:rsidRPr="00472FAF">
        <w:t>’</w:t>
      </w:r>
      <w:r w:rsidR="008316C0" w:rsidRPr="00472FAF">
        <w:t>élaboration d</w:t>
      </w:r>
      <w:r w:rsidR="00081538" w:rsidRPr="00472FAF">
        <w:t>’</w:t>
      </w:r>
      <w:r w:rsidR="008316C0" w:rsidRPr="00472FAF">
        <w:t>un formulaire de demande électronique (“réunion</w:t>
      </w:r>
      <w:r w:rsidR="00890F1B" w:rsidRPr="00472FAF">
        <w:t> </w:t>
      </w:r>
      <w:r w:rsidR="008316C0" w:rsidRPr="00472FAF">
        <w:t>EAF/18”) s</w:t>
      </w:r>
      <w:r w:rsidR="00081538" w:rsidRPr="00472FAF">
        <w:t>’</w:t>
      </w:r>
      <w:r w:rsidR="008316C0" w:rsidRPr="00472FAF">
        <w:t>est tenue par des moyens électroniques le 2</w:t>
      </w:r>
      <w:r w:rsidR="00571E2E" w:rsidRPr="00472FAF">
        <w:t>1 octobre 20</w:t>
      </w:r>
      <w:r w:rsidR="008316C0" w:rsidRPr="00472FAF">
        <w:t>21.</w:t>
      </w:r>
      <w:r w:rsidRPr="00472FAF">
        <w:t xml:space="preserve">  </w:t>
      </w:r>
      <w:r w:rsidR="008316C0" w:rsidRPr="00472FAF">
        <w:t xml:space="preserve">Le compte rendu de la réunion figure dans le </w:t>
      </w:r>
      <w:r w:rsidR="00081538" w:rsidRPr="00472FAF">
        <w:t>document</w:t>
      </w:r>
      <w:r w:rsidR="001325D3" w:rsidRPr="00472FAF">
        <w:t> </w:t>
      </w:r>
      <w:r w:rsidR="00081538" w:rsidRPr="00472FAF">
        <w:t>EA</w:t>
      </w:r>
      <w:r w:rsidR="008316C0" w:rsidRPr="00472FAF">
        <w:t>F/18/3 “</w:t>
      </w:r>
      <w:r w:rsidR="00792B79" w:rsidRPr="00472FAF">
        <w:t>Compte rendu</w:t>
      </w:r>
      <w:r w:rsidR="008316C0" w:rsidRPr="00472FAF">
        <w:t>” disponible à l</w:t>
      </w:r>
      <w:r w:rsidR="00081538" w:rsidRPr="00472FAF">
        <w:t>’</w:t>
      </w:r>
      <w:r w:rsidR="008316C0" w:rsidRPr="00472FAF">
        <w:t>adresse</w:t>
      </w:r>
      <w:r w:rsidR="00472FAF" w:rsidRPr="00472FAF">
        <w:t xml:space="preserve"> </w:t>
      </w:r>
      <w:hyperlink r:id="rId8" w:history="1">
        <w:r w:rsidR="00792B79" w:rsidRPr="00472FAF">
          <w:rPr>
            <w:rStyle w:val="Hyperlink"/>
            <w:rFonts w:cs="Arial"/>
            <w:color w:val="auto"/>
            <w:spacing w:val="4"/>
          </w:rPr>
          <w:t>https://www.upov.int/edocs/mdocs/upov/fr/upov_eaf_18/upov_eaf_18_3.pdf</w:t>
        </w:r>
      </w:hyperlink>
      <w:r w:rsidR="008316C0" w:rsidRPr="00472FAF">
        <w:t>.</w:t>
      </w:r>
    </w:p>
    <w:p w:rsidR="008316C0" w:rsidRPr="003179D0" w:rsidRDefault="008316C0" w:rsidP="00A759BD"/>
    <w:p w:rsidR="008316C0" w:rsidRPr="003179D0" w:rsidRDefault="008316C0" w:rsidP="008316C0">
      <w:pPr>
        <w:pStyle w:val="Heading2"/>
      </w:pPr>
      <w:bookmarkStart w:id="11" w:name="_Toc110247318"/>
      <w:r w:rsidRPr="003179D0">
        <w:t xml:space="preserve">Faits nouveaux survenus au sein du Comité administratif et juridique (CAJ) en </w:t>
      </w:r>
      <w:r w:rsidR="00571E2E" w:rsidRPr="003179D0">
        <w:t>octobre 20</w:t>
      </w:r>
      <w:r w:rsidRPr="003179D0">
        <w:t>21</w:t>
      </w:r>
      <w:bookmarkEnd w:id="11"/>
    </w:p>
    <w:p w:rsidR="008316C0" w:rsidRPr="003179D0" w:rsidRDefault="008316C0" w:rsidP="005429CF">
      <w:pPr>
        <w:keepNext/>
        <w:rPr>
          <w:rFonts w:cs="Arial"/>
        </w:rPr>
      </w:pPr>
    </w:p>
    <w:p w:rsidR="008316C0" w:rsidRPr="00A759BD" w:rsidRDefault="005429CF" w:rsidP="008316C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 xml:space="preserve">À </w:t>
      </w:r>
      <w:r w:rsidR="008316C0" w:rsidRPr="00A759BD">
        <w:t>sa soixante</w:t>
      </w:r>
      <w:r w:rsidR="00081538" w:rsidRPr="00A759BD">
        <w:t>-</w:t>
      </w:r>
      <w:r w:rsidR="008316C0" w:rsidRPr="00A759BD">
        <w:t>dix</w:t>
      </w:r>
      <w:r w:rsidR="00081538" w:rsidRPr="00A759BD">
        <w:t>-</w:t>
      </w:r>
      <w:r w:rsidR="008316C0" w:rsidRPr="00A759BD">
        <w:t>huit</w:t>
      </w:r>
      <w:r w:rsidR="00081538" w:rsidRPr="00A759BD">
        <w:t>ième session</w:t>
      </w:r>
      <w:r w:rsidR="008316C0" w:rsidRPr="00A759BD">
        <w:t xml:space="preserve"> organisée par des moyens électroniques le 2</w:t>
      </w:r>
      <w:r w:rsidR="00571E2E" w:rsidRPr="00A759BD">
        <w:t>7 octobre 20</w:t>
      </w:r>
      <w:r w:rsidR="008316C0" w:rsidRPr="00A759BD">
        <w:t xml:space="preserve">21, le Comité administratif et juridique (CAJ) a pris note des informations contenues dans le </w:t>
      </w:r>
      <w:r w:rsidR="00081538" w:rsidRPr="00A759BD">
        <w:t>document</w:t>
      </w:r>
      <w:r w:rsidR="001325D3" w:rsidRPr="00A759BD">
        <w:t> </w:t>
      </w:r>
      <w:r w:rsidR="00081538" w:rsidRPr="00A759BD">
        <w:t>CA</w:t>
      </w:r>
      <w:r w:rsidR="008316C0" w:rsidRPr="00A759BD">
        <w:t xml:space="preserve">J/78/INF/4 sur les faits nouveaux concernant UPOV PRISMA (voir le </w:t>
      </w:r>
      <w:r w:rsidR="00571E2E" w:rsidRPr="00A759BD">
        <w:t>paragraphe 4</w:t>
      </w:r>
      <w:r w:rsidR="008316C0" w:rsidRPr="00A759BD">
        <w:t xml:space="preserve">4 du </w:t>
      </w:r>
      <w:r w:rsidR="00A759BD">
        <w:br/>
      </w:r>
      <w:r w:rsidR="008316C0" w:rsidRPr="00A759BD">
        <w:t>document CAJ/78/13 “Compte rendu”).</w:t>
      </w:r>
    </w:p>
    <w:p w:rsidR="008316C0" w:rsidRPr="003179D0" w:rsidRDefault="008316C0" w:rsidP="005429CF">
      <w:pPr>
        <w:rPr>
          <w:highlight w:val="cyan"/>
        </w:rPr>
      </w:pPr>
    </w:p>
    <w:p w:rsidR="008316C0" w:rsidRPr="003179D0" w:rsidRDefault="008316C0" w:rsidP="008316C0">
      <w:pPr>
        <w:pStyle w:val="Heading2"/>
      </w:pPr>
      <w:bookmarkStart w:id="12" w:name="_Toc110247319"/>
      <w:bookmarkEnd w:id="9"/>
      <w:r w:rsidRPr="003179D0">
        <w:t>Utilisation d</w:t>
      </w:r>
      <w:r w:rsidR="00081538">
        <w:t>’</w:t>
      </w:r>
      <w:r w:rsidRPr="003179D0">
        <w:t>UPOV PRISMA (au 3</w:t>
      </w:r>
      <w:r w:rsidR="00571E2E" w:rsidRPr="003179D0">
        <w:t>0 juin 20</w:t>
      </w:r>
      <w:r w:rsidRPr="003179D0">
        <w:t>22)</w:t>
      </w:r>
      <w:bookmarkEnd w:id="12"/>
    </w:p>
    <w:p w:rsidR="008316C0" w:rsidRPr="003179D0" w:rsidRDefault="008316C0" w:rsidP="005429CF"/>
    <w:p w:rsidR="008316C0" w:rsidRPr="003179D0" w:rsidRDefault="005429CF" w:rsidP="008316C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>On trouvera ci</w:t>
      </w:r>
      <w:r w:rsidR="00081538">
        <w:t>-</w:t>
      </w:r>
      <w:r w:rsidR="008316C0" w:rsidRPr="003179D0">
        <w:t>après des informations relatives à l</w:t>
      </w:r>
      <w:r w:rsidR="00081538">
        <w:t>’</w:t>
      </w:r>
      <w:r w:rsidR="008316C0" w:rsidRPr="003179D0">
        <w:t>utilisation d</w:t>
      </w:r>
      <w:r w:rsidR="00081538">
        <w:t>’</w:t>
      </w:r>
      <w:r w:rsidR="008316C0" w:rsidRPr="003179D0">
        <w:t>UPOV PRISMA</w:t>
      </w:r>
      <w:r w:rsidR="00081538">
        <w:t> :</w:t>
      </w:r>
    </w:p>
    <w:p w:rsidR="008316C0" w:rsidRPr="003179D0" w:rsidRDefault="008316C0" w:rsidP="005429CF"/>
    <w:p w:rsidR="008316C0" w:rsidRPr="003179D0" w:rsidRDefault="008316C0" w:rsidP="008316C0">
      <w:pPr>
        <w:pStyle w:val="Heading3"/>
      </w:pPr>
      <w:bookmarkStart w:id="13" w:name="_Toc110247320"/>
      <w:r w:rsidRPr="003179D0">
        <w:t>Nombre de demandes présentées via UPOV PRISMA</w:t>
      </w:r>
      <w:r w:rsidR="00081538">
        <w:t> :</w:t>
      </w:r>
      <w:bookmarkEnd w:id="13"/>
    </w:p>
    <w:p w:rsidR="005429CF" w:rsidRPr="003179D0" w:rsidRDefault="005429CF" w:rsidP="005429CF"/>
    <w:tbl>
      <w:tblPr>
        <w:tblStyle w:val="TableGrid"/>
        <w:tblW w:w="0" w:type="auto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  <w:gridCol w:w="1134"/>
      </w:tblGrid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2022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Janvier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232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Février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95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Mars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121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Avril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105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96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Mai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67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Juin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819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78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Juillet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Août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379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Septembre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154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Octobre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Novembre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407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Décembre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32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174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2509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689</w:t>
            </w:r>
          </w:p>
        </w:tc>
      </w:tr>
    </w:tbl>
    <w:p w:rsidR="008316C0" w:rsidRPr="003179D0" w:rsidRDefault="008316C0" w:rsidP="005429CF">
      <w:pPr>
        <w:rPr>
          <w:highlight w:val="cyan"/>
        </w:rPr>
      </w:pPr>
    </w:p>
    <w:p w:rsidR="008316C0" w:rsidRPr="003179D0" w:rsidRDefault="001C2F83" w:rsidP="001C2F83">
      <w:pPr>
        <w:pStyle w:val="Heading3"/>
      </w:pPr>
      <w:bookmarkStart w:id="14" w:name="_Toc110247321"/>
      <w:r w:rsidRPr="003179D0">
        <w:lastRenderedPageBreak/>
        <w:t>Nombre de demandes déposées par l</w:t>
      </w:r>
      <w:r w:rsidR="00081538">
        <w:t>’</w:t>
      </w:r>
      <w:r w:rsidRPr="003179D0">
        <w:t>intermédiaire d</w:t>
      </w:r>
      <w:r w:rsidR="00081538">
        <w:t>’</w:t>
      </w:r>
      <w:r w:rsidRPr="003179D0">
        <w:t>UPOV PRISMA par service participant</w:t>
      </w:r>
      <w:r w:rsidR="00081538">
        <w:t> :</w:t>
      </w:r>
      <w:bookmarkEnd w:id="14"/>
    </w:p>
    <w:p w:rsidR="005429CF" w:rsidRPr="003179D0" w:rsidRDefault="005429CF" w:rsidP="005429CF">
      <w:pPr>
        <w:keepNext/>
        <w:rPr>
          <w:highlight w:val="cyan"/>
        </w:rPr>
      </w:pPr>
    </w:p>
    <w:tbl>
      <w:tblPr>
        <w:tblStyle w:val="TableGrid1"/>
        <w:tblW w:w="9776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1020"/>
        <w:gridCol w:w="1021"/>
        <w:gridCol w:w="1021"/>
        <w:gridCol w:w="1021"/>
        <w:gridCol w:w="1021"/>
        <w:gridCol w:w="1021"/>
        <w:gridCol w:w="1104"/>
      </w:tblGrid>
      <w:tr w:rsidR="005429CF" w:rsidRPr="003179D0" w:rsidTr="00792B79">
        <w:trPr>
          <w:cantSplit/>
          <w:tblHeader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429CF" w:rsidRPr="003179D0" w:rsidRDefault="001C2F83" w:rsidP="001C2F83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Service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429CF" w:rsidRPr="003179D0" w:rsidRDefault="005429CF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2017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2018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2019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2020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2021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71E2E" w:rsidRPr="003179D0" w:rsidRDefault="001C2F83" w:rsidP="001C2F83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2022</w:t>
            </w:r>
          </w:p>
          <w:p w:rsidR="005429CF" w:rsidRPr="003179D0" w:rsidRDefault="001C2F83" w:rsidP="001C2F83">
            <w:pPr>
              <w:keepNext/>
              <w:jc w:val="center"/>
              <w:rPr>
                <w:rFonts w:cs="Arial"/>
                <w:bCs/>
                <w:sz w:val="15"/>
                <w:szCs w:val="15"/>
              </w:rPr>
            </w:pPr>
            <w:r w:rsidRPr="003179D0">
              <w:rPr>
                <w:rFonts w:cs="Arial"/>
                <w:bCs/>
                <w:sz w:val="15"/>
                <w:szCs w:val="15"/>
              </w:rPr>
              <w:t>(au 3</w:t>
            </w:r>
            <w:r w:rsidR="00571E2E" w:rsidRPr="003179D0">
              <w:rPr>
                <w:rFonts w:cs="Arial"/>
                <w:bCs/>
                <w:sz w:val="15"/>
                <w:szCs w:val="15"/>
              </w:rPr>
              <w:t>0 juin 20</w:t>
            </w:r>
            <w:r w:rsidRPr="003179D0">
              <w:rPr>
                <w:rFonts w:cs="Arial"/>
                <w:bCs/>
                <w:sz w:val="15"/>
                <w:szCs w:val="15"/>
              </w:rPr>
              <w:t>22)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316C0" w:rsidRPr="003179D0" w:rsidRDefault="001C2F83" w:rsidP="001C2F83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Nombre total de demandes dans UPOV PRISMA</w:t>
            </w:r>
          </w:p>
          <w:p w:rsidR="005429CF" w:rsidRPr="003179D0" w:rsidRDefault="001C2F83" w:rsidP="001C2F83">
            <w:pPr>
              <w:keepNext/>
              <w:jc w:val="center"/>
              <w:rPr>
                <w:rFonts w:cs="Arial"/>
                <w:bCs/>
                <w:sz w:val="15"/>
                <w:szCs w:val="15"/>
              </w:rPr>
            </w:pPr>
            <w:r w:rsidRPr="003179D0">
              <w:rPr>
                <w:rFonts w:cs="Arial"/>
                <w:bCs/>
                <w:sz w:val="15"/>
                <w:szCs w:val="15"/>
              </w:rPr>
              <w:t>(au 3</w:t>
            </w:r>
            <w:r w:rsidR="00571E2E" w:rsidRPr="003179D0">
              <w:rPr>
                <w:rFonts w:cs="Arial"/>
                <w:bCs/>
                <w:sz w:val="15"/>
                <w:szCs w:val="15"/>
              </w:rPr>
              <w:t>0 septembre 20</w:t>
            </w:r>
            <w:r w:rsidRPr="003179D0">
              <w:rPr>
                <w:rFonts w:cs="Arial"/>
                <w:bCs/>
                <w:sz w:val="15"/>
                <w:szCs w:val="15"/>
              </w:rPr>
              <w:t>21)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Afrique du Sud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ZA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Argentine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Australie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AU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27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100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Bolivie (État plurinational de) 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BO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34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108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Chili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CL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Chine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CN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Colombie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Costa Rica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Équateur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EC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États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Unis d</w:t>
            </w:r>
            <w:r>
              <w:rPr>
                <w:rFonts w:cs="Arial"/>
                <w:sz w:val="17"/>
                <w:szCs w:val="17"/>
              </w:rPr>
              <w:t>’</w:t>
            </w:r>
            <w:r w:rsidRPr="003179D0">
              <w:rPr>
                <w:rFonts w:cs="Arial"/>
                <w:sz w:val="17"/>
                <w:szCs w:val="17"/>
              </w:rPr>
              <w:t>Amérique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US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15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30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25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Géorgie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59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Maroc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Mexique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MX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13 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63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Norvège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Nouvelle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Zélande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NZ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44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Organisation africaine de la propriété intellectuelle (OAPI) 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OA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PY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Pays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Bas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NL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6 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28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Pérou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de Corée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de Moldova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MD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dominicaine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DO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Royaume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Uni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GB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2138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532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2713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Serbie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RS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Suède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43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Trinité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et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Tobago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TT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TN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Türkiye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Union européenne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QZ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190</w:t>
            </w:r>
          </w:p>
        </w:tc>
      </w:tr>
      <w:tr w:rsidR="006D574A" w:rsidRPr="003179D0" w:rsidTr="00792B79">
        <w:trPr>
          <w:cantSplit/>
          <w:trHeight w:val="43"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UY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</w:tr>
      <w:tr w:rsidR="006D574A" w:rsidRPr="003179D0" w:rsidTr="00792B79">
        <w:trPr>
          <w:cantSplit/>
          <w:trHeight w:val="120"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Viet Nam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VN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5429CF" w:rsidRPr="003179D0" w:rsidRDefault="005429CF" w:rsidP="00927738">
            <w:pPr>
              <w:ind w:right="167"/>
              <w:jc w:val="right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35</w:t>
            </w:r>
          </w:p>
        </w:tc>
        <w:tc>
          <w:tcPr>
            <w:tcW w:w="1020" w:type="dxa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021" w:type="dxa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021" w:type="dxa"/>
          </w:tcPr>
          <w:p w:rsidR="005429CF" w:rsidRPr="003179D0" w:rsidRDefault="005429CF" w:rsidP="00472FAF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222</w:t>
            </w:r>
          </w:p>
        </w:tc>
        <w:tc>
          <w:tcPr>
            <w:tcW w:w="1021" w:type="dxa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2</w:t>
            </w:r>
            <w:r w:rsidR="00472FAF">
              <w:rPr>
                <w:rFonts w:cs="Arial"/>
                <w:bCs/>
                <w:sz w:val="17"/>
                <w:szCs w:val="17"/>
              </w:rPr>
              <w:t> </w:t>
            </w:r>
            <w:r w:rsidRPr="003179D0">
              <w:rPr>
                <w:rFonts w:cs="Arial"/>
                <w:bCs/>
                <w:sz w:val="17"/>
                <w:szCs w:val="17"/>
              </w:rPr>
              <w:t>509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689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3</w:t>
            </w:r>
            <w:r w:rsidR="00472FAF">
              <w:rPr>
                <w:rFonts w:cs="Arial"/>
                <w:bCs/>
                <w:sz w:val="17"/>
                <w:szCs w:val="17"/>
              </w:rPr>
              <w:t> </w:t>
            </w:r>
            <w:r w:rsidRPr="003179D0">
              <w:rPr>
                <w:rFonts w:cs="Arial"/>
                <w:bCs/>
                <w:sz w:val="17"/>
                <w:szCs w:val="17"/>
              </w:rPr>
              <w:t>730</w:t>
            </w:r>
          </w:p>
        </w:tc>
      </w:tr>
    </w:tbl>
    <w:p w:rsidR="00571E2E" w:rsidRPr="003179D0" w:rsidRDefault="001C2F83" w:rsidP="001C2F83">
      <w:pPr>
        <w:spacing w:before="120"/>
        <w:rPr>
          <w:i/>
          <w:sz w:val="16"/>
        </w:rPr>
      </w:pPr>
      <w:r w:rsidRPr="003179D0">
        <w:rPr>
          <w:i/>
          <w:sz w:val="16"/>
        </w:rPr>
        <w:t>*Tant que les informations requises ne sont pas fournies, les demandeurs ne sont pas en mesure de communiquer les données relatives à la demande</w:t>
      </w:r>
      <w:r w:rsidR="00472FAF">
        <w:rPr>
          <w:i/>
          <w:sz w:val="16"/>
        </w:rPr>
        <w:t>.</w:t>
      </w:r>
    </w:p>
    <w:p w:rsidR="008316C0" w:rsidRPr="003179D0" w:rsidRDefault="008316C0" w:rsidP="005429CF">
      <w:pPr>
        <w:rPr>
          <w:highlight w:val="cyan"/>
        </w:rPr>
      </w:pPr>
    </w:p>
    <w:p w:rsidR="008316C0" w:rsidRPr="003179D0" w:rsidRDefault="005429CF" w:rsidP="005429CF">
      <w:pPr>
        <w:jc w:val="left"/>
        <w:rPr>
          <w:highlight w:val="cyan"/>
        </w:rPr>
      </w:pPr>
      <w:r w:rsidRPr="003179D0">
        <w:rPr>
          <w:highlight w:val="cyan"/>
        </w:rPr>
        <w:br w:type="page"/>
      </w:r>
    </w:p>
    <w:p w:rsidR="008316C0" w:rsidRPr="003179D0" w:rsidRDefault="001C2F83" w:rsidP="00A759BD">
      <w:pPr>
        <w:pStyle w:val="Heading2"/>
      </w:pPr>
      <w:bookmarkStart w:id="15" w:name="_Toc110247322"/>
      <w:r w:rsidRPr="003179D0">
        <w:lastRenderedPageBreak/>
        <w:t>Lancement de la version</w:t>
      </w:r>
      <w:r w:rsidR="00890F1B" w:rsidRPr="003179D0">
        <w:t> </w:t>
      </w:r>
      <w:r w:rsidRPr="003179D0">
        <w:t>2.7 (</w:t>
      </w:r>
      <w:r w:rsidR="00571E2E" w:rsidRPr="003179D0">
        <w:t>janvier 20</w:t>
      </w:r>
      <w:r w:rsidRPr="003179D0">
        <w:t>22)</w:t>
      </w:r>
      <w:bookmarkEnd w:id="15"/>
    </w:p>
    <w:p w:rsidR="008316C0" w:rsidRPr="003179D0" w:rsidRDefault="008316C0" w:rsidP="005429CF">
      <w:pPr>
        <w:rPr>
          <w:i/>
        </w:rPr>
      </w:pPr>
    </w:p>
    <w:p w:rsidR="008316C0" w:rsidRPr="003179D0" w:rsidRDefault="004E36B5" w:rsidP="004E36B5">
      <w:pPr>
        <w:pStyle w:val="Heading3"/>
      </w:pPr>
      <w:bookmarkStart w:id="16" w:name="_Toc110247323"/>
      <w:r w:rsidRPr="003179D0">
        <w:t>Fonctions</w:t>
      </w:r>
      <w:bookmarkEnd w:id="16"/>
    </w:p>
    <w:p w:rsidR="008316C0" w:rsidRPr="003179D0" w:rsidRDefault="008316C0" w:rsidP="005429CF">
      <w:pPr>
        <w:rPr>
          <w:i/>
        </w:rPr>
      </w:pPr>
    </w:p>
    <w:p w:rsidR="008316C0" w:rsidRPr="00A759BD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4E36B5" w:rsidRPr="00A759BD">
        <w:t>La version</w:t>
      </w:r>
      <w:r w:rsidR="00890F1B" w:rsidRPr="00A759BD">
        <w:t> </w:t>
      </w:r>
      <w:r w:rsidR="004E36B5" w:rsidRPr="00A759BD">
        <w:t>2.7 d</w:t>
      </w:r>
      <w:r w:rsidR="00081538" w:rsidRPr="00A759BD">
        <w:t>’</w:t>
      </w:r>
      <w:r w:rsidR="004E36B5" w:rsidRPr="00A759BD">
        <w:t xml:space="preserve">UPOV PRISMA a été déployée en </w:t>
      </w:r>
      <w:r w:rsidR="00571E2E" w:rsidRPr="00A759BD">
        <w:t>janvier 20</w:t>
      </w:r>
      <w:r w:rsidR="004E36B5" w:rsidRPr="00A759BD">
        <w:t>22, avec les nouvelles fonctions suivantes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4E36B5" w:rsidP="004E36B5">
      <w:pPr>
        <w:ind w:left="567"/>
      </w:pPr>
      <w:r w:rsidRPr="003179D0">
        <w:t>a)</w:t>
      </w:r>
      <w:r w:rsidRPr="003179D0">
        <w:tab/>
        <w:t>possibilité de télécharger la liste des demandes telle qu</w:t>
      </w:r>
      <w:r w:rsidR="00081538">
        <w:t>’</w:t>
      </w:r>
      <w:r w:rsidRPr="003179D0">
        <w:t>elle est affichée sur le tableau de bord en ce qui concerne le service de protection des obtentions végétales au format Excel;</w:t>
      </w:r>
    </w:p>
    <w:p w:rsidR="008316C0" w:rsidRPr="003179D0" w:rsidRDefault="004E36B5" w:rsidP="004E36B5">
      <w:pPr>
        <w:ind w:left="567"/>
      </w:pPr>
      <w:r w:rsidRPr="003179D0">
        <w:t>b)</w:t>
      </w:r>
      <w:r w:rsidRPr="003179D0">
        <w:tab/>
        <w:t>introduction de la barre de navigation du Portail de propriété intellectuelle de l</w:t>
      </w:r>
      <w:r w:rsidR="00081538">
        <w:t>’</w:t>
      </w:r>
      <w:r w:rsidRPr="003179D0">
        <w:t>OMPI;</w:t>
      </w:r>
    </w:p>
    <w:p w:rsidR="008316C0" w:rsidRPr="003179D0" w:rsidRDefault="004E36B5" w:rsidP="004E36B5">
      <w:pPr>
        <w:ind w:left="567"/>
      </w:pPr>
      <w:r w:rsidRPr="003179D0">
        <w:t>c)</w:t>
      </w:r>
      <w:r w:rsidRPr="003179D0">
        <w:tab/>
        <w:t>téléch</w:t>
      </w:r>
      <w:r w:rsidR="00432F76" w:rsidRPr="003179D0">
        <w:t xml:space="preserve">argement groupé (pour le maïs, </w:t>
      </w:r>
      <w:r w:rsidRPr="003179D0">
        <w:t>Union européenne);</w:t>
      </w:r>
    </w:p>
    <w:p w:rsidR="008316C0" w:rsidRPr="003179D0" w:rsidRDefault="004E36B5" w:rsidP="004E36B5">
      <w:pPr>
        <w:ind w:left="567"/>
      </w:pPr>
      <w:r w:rsidRPr="003179D0">
        <w:t>d)</w:t>
      </w:r>
      <w:r w:rsidRPr="003179D0">
        <w:tab/>
        <w:t xml:space="preserve">donner au signataire autorisé le droit de consulter les demandes </w:t>
      </w:r>
      <w:r w:rsidR="00432F76" w:rsidRPr="003179D0">
        <w:t>de</w:t>
      </w:r>
      <w:r w:rsidRPr="003179D0">
        <w:t xml:space="preserve"> collègues.</w:t>
      </w:r>
    </w:p>
    <w:p w:rsidR="008316C0" w:rsidRPr="003179D0" w:rsidRDefault="008316C0" w:rsidP="005429CF"/>
    <w:p w:rsidR="008316C0" w:rsidRPr="003179D0" w:rsidRDefault="00B36715" w:rsidP="00A759BD">
      <w:pPr>
        <w:pStyle w:val="Heading3"/>
      </w:pPr>
      <w:bookmarkStart w:id="17" w:name="_Toc110247324"/>
      <w:r w:rsidRPr="003179D0">
        <w:t xml:space="preserve">Champ </w:t>
      </w:r>
      <w:r w:rsidRPr="00A759BD">
        <w:t>d</w:t>
      </w:r>
      <w:r w:rsidR="00081538" w:rsidRPr="00A759BD">
        <w:t>’</w:t>
      </w:r>
      <w:r w:rsidRPr="00A759BD">
        <w:t>application</w:t>
      </w:r>
      <w:bookmarkEnd w:id="17"/>
    </w:p>
    <w:p w:rsidR="008316C0" w:rsidRPr="003179D0" w:rsidRDefault="008316C0" w:rsidP="005429CF"/>
    <w:p w:rsidR="008316C0" w:rsidRPr="00A759BD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4E36B5" w:rsidRPr="003179D0">
        <w:t xml:space="preserve">Dans la </w:t>
      </w:r>
      <w:r w:rsidR="004E36B5" w:rsidRPr="00A759BD">
        <w:t>version</w:t>
      </w:r>
      <w:r w:rsidR="00890F1B" w:rsidRPr="00A759BD">
        <w:t> </w:t>
      </w:r>
      <w:r w:rsidR="004E36B5" w:rsidRPr="00A759BD">
        <w:t>2.7, les formulaires de demande ou de questionnaire technique ont été actualisés pour les services chargés d</w:t>
      </w:r>
      <w:r w:rsidR="00081538" w:rsidRPr="00A759BD">
        <w:t>’</w:t>
      </w:r>
      <w:r w:rsidR="004E36B5" w:rsidRPr="00A759BD">
        <w:t>octroyer des droits d</w:t>
      </w:r>
      <w:r w:rsidR="00081538" w:rsidRPr="00A759BD">
        <w:t>’</w:t>
      </w:r>
      <w:r w:rsidR="004E36B5" w:rsidRPr="00A759BD">
        <w:t>obtenteur participants suivants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4E36B5" w:rsidP="00472FAF">
      <w:pPr>
        <w:pStyle w:val="ListParagraph"/>
        <w:numPr>
          <w:ilvl w:val="0"/>
          <w:numId w:val="1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Union européenne</w:t>
      </w:r>
    </w:p>
    <w:p w:rsidR="008316C0" w:rsidRPr="003179D0" w:rsidRDefault="004E36B5" w:rsidP="00472FAF">
      <w:pPr>
        <w:pStyle w:val="ListParagraph"/>
        <w:numPr>
          <w:ilvl w:val="0"/>
          <w:numId w:val="1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Pays</w:t>
      </w:r>
      <w:r w:rsidR="00081538">
        <w:rPr>
          <w:lang w:val="fr-FR"/>
        </w:rPr>
        <w:t>-</w:t>
      </w:r>
      <w:r w:rsidRPr="003179D0">
        <w:rPr>
          <w:lang w:val="fr-FR"/>
        </w:rPr>
        <w:t>Bas</w:t>
      </w:r>
    </w:p>
    <w:p w:rsidR="008316C0" w:rsidRPr="003179D0" w:rsidRDefault="008316C0" w:rsidP="005429CF"/>
    <w:p w:rsidR="008316C0" w:rsidRPr="00A759BD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4E36B5" w:rsidRPr="00A759BD">
        <w:t>Saint</w:t>
      </w:r>
      <w:r w:rsidR="00081538" w:rsidRPr="00A759BD">
        <w:t>-</w:t>
      </w:r>
      <w:r w:rsidR="004E36B5" w:rsidRPr="00A759BD">
        <w:t>Vincent</w:t>
      </w:r>
      <w:r w:rsidR="00081538" w:rsidRPr="00A759BD">
        <w:t>-</w:t>
      </w:r>
      <w:r w:rsidR="004E36B5" w:rsidRPr="00A759BD">
        <w:t>et</w:t>
      </w:r>
      <w:r w:rsidR="00081538" w:rsidRPr="00A759BD">
        <w:t>-</w:t>
      </w:r>
      <w:r w:rsidR="004E36B5" w:rsidRPr="00A759BD">
        <w:t>les Grenadines a été introduit dans UPOV PRISMA en qualité de nouveau membre de l</w:t>
      </w:r>
      <w:r w:rsidR="00081538" w:rsidRPr="00A759BD">
        <w:t>’</w:t>
      </w:r>
      <w:r w:rsidR="004E36B5" w:rsidRPr="00A759BD">
        <w:t>UPOV participant.</w:t>
      </w:r>
    </w:p>
    <w:p w:rsidR="008316C0" w:rsidRDefault="008316C0" w:rsidP="005429CF"/>
    <w:p w:rsidR="008316C0" w:rsidRPr="003179D0" w:rsidRDefault="004E36B5" w:rsidP="004E36B5">
      <w:pPr>
        <w:pStyle w:val="Heading2"/>
        <w:rPr>
          <w:rFonts w:eastAsia="MS Mincho"/>
          <w:snapToGrid w:val="0"/>
        </w:rPr>
      </w:pPr>
      <w:bookmarkStart w:id="18" w:name="_Toc110247325"/>
      <w:r w:rsidRPr="003179D0">
        <w:rPr>
          <w:rFonts w:eastAsia="MS Mincho"/>
          <w:snapToGrid w:val="0"/>
        </w:rPr>
        <w:t>Réunion sur l</w:t>
      </w:r>
      <w:r w:rsidR="00081538">
        <w:rPr>
          <w:rFonts w:eastAsia="MS Mincho"/>
          <w:snapToGrid w:val="0"/>
        </w:rPr>
        <w:t>’</w:t>
      </w:r>
      <w:r w:rsidRPr="003179D0">
        <w:rPr>
          <w:rFonts w:eastAsia="MS Mincho"/>
          <w:snapToGrid w:val="0"/>
        </w:rPr>
        <w:t>élaboration d</w:t>
      </w:r>
      <w:r w:rsidR="00081538">
        <w:rPr>
          <w:rFonts w:eastAsia="MS Mincho"/>
          <w:snapToGrid w:val="0"/>
        </w:rPr>
        <w:t>’</w:t>
      </w:r>
      <w:r w:rsidRPr="003179D0">
        <w:rPr>
          <w:rFonts w:eastAsia="MS Mincho"/>
          <w:snapToGrid w:val="0"/>
        </w:rPr>
        <w:t>un formulaire de demande électronique (“réunion</w:t>
      </w:r>
      <w:r w:rsidR="00890F1B" w:rsidRPr="003179D0">
        <w:rPr>
          <w:rFonts w:eastAsia="MS Mincho"/>
          <w:snapToGrid w:val="0"/>
        </w:rPr>
        <w:t> </w:t>
      </w:r>
      <w:r w:rsidRPr="003179D0">
        <w:rPr>
          <w:rFonts w:eastAsia="MS Mincho"/>
          <w:snapToGrid w:val="0"/>
        </w:rPr>
        <w:t>EAF/19”)</w:t>
      </w:r>
      <w:bookmarkEnd w:id="18"/>
    </w:p>
    <w:p w:rsidR="008316C0" w:rsidRPr="003179D0" w:rsidRDefault="008316C0" w:rsidP="005429CF">
      <w:pPr>
        <w:keepLines/>
      </w:pPr>
    </w:p>
    <w:p w:rsidR="008316C0" w:rsidRPr="003179D0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A759BD">
        <w:tab/>
      </w:r>
      <w:r w:rsidR="004E36B5" w:rsidRPr="00A759BD">
        <w:t>La dix</w:t>
      </w:r>
      <w:r w:rsidR="00081538" w:rsidRPr="00A759BD">
        <w:t>-</w:t>
      </w:r>
      <w:r w:rsidR="004E36B5" w:rsidRPr="00A759BD">
        <w:t>neuvième réunion sur l</w:t>
      </w:r>
      <w:r w:rsidR="00081538" w:rsidRPr="00A759BD">
        <w:t>’</w:t>
      </w:r>
      <w:r w:rsidR="004E36B5" w:rsidRPr="00A759BD">
        <w:t>élaboration d</w:t>
      </w:r>
      <w:r w:rsidR="00081538" w:rsidRPr="00A759BD">
        <w:t>’</w:t>
      </w:r>
      <w:r w:rsidR="004E36B5" w:rsidRPr="00A759BD">
        <w:t>un formulaire de demande électronique (“réunion</w:t>
      </w:r>
      <w:r w:rsidR="00890F1B" w:rsidRPr="00A759BD">
        <w:t> </w:t>
      </w:r>
      <w:r w:rsidR="004E36B5" w:rsidRPr="00A759BD">
        <w:t>EAF/19”) s</w:t>
      </w:r>
      <w:r w:rsidR="00081538" w:rsidRPr="00A759BD">
        <w:t>’</w:t>
      </w:r>
      <w:r w:rsidR="004E36B5" w:rsidRPr="00A759BD">
        <w:t>est tenue par des moyens électroniques le 1</w:t>
      </w:r>
      <w:r w:rsidR="00571E2E" w:rsidRPr="00A759BD">
        <w:t>6 mars 20</w:t>
      </w:r>
      <w:r w:rsidR="004E36B5" w:rsidRPr="00A759BD">
        <w:t>22.</w:t>
      </w:r>
      <w:r w:rsidRPr="00A759BD">
        <w:t xml:space="preserve">  </w:t>
      </w:r>
      <w:r w:rsidR="004E36B5" w:rsidRPr="00A759BD">
        <w:t xml:space="preserve">Le </w:t>
      </w:r>
      <w:r w:rsidR="00432F76" w:rsidRPr="00A759BD">
        <w:t>compte rendu</w:t>
      </w:r>
      <w:r w:rsidR="004E36B5" w:rsidRPr="00A759BD">
        <w:t xml:space="preserve"> de la réunion</w:t>
      </w:r>
      <w:r w:rsidR="00890F1B" w:rsidRPr="00A759BD">
        <w:t> </w:t>
      </w:r>
      <w:r w:rsidR="004E36B5" w:rsidRPr="00A759BD">
        <w:t>EAF/19 (</w:t>
      </w:r>
      <w:r w:rsidR="00081538" w:rsidRPr="00A759BD">
        <w:t>document</w:t>
      </w:r>
      <w:r w:rsidR="001325D3" w:rsidRPr="00A759BD">
        <w:t> </w:t>
      </w:r>
      <w:r w:rsidR="00081538" w:rsidRPr="00A759BD">
        <w:t>UP</w:t>
      </w:r>
      <w:r w:rsidR="004E36B5" w:rsidRPr="00A759BD">
        <w:t>OV/EAF/19/3) peut être consulté à l</w:t>
      </w:r>
      <w:r w:rsidR="00081538" w:rsidRPr="00A759BD">
        <w:t>’</w:t>
      </w:r>
      <w:r w:rsidR="004E36B5" w:rsidRPr="00A759BD">
        <w:t>adresse</w:t>
      </w:r>
      <w:r w:rsidR="00472FAF" w:rsidRPr="00A759BD">
        <w:t xml:space="preserve"> </w:t>
      </w:r>
      <w:hyperlink r:id="rId9" w:history="1">
        <w:r w:rsidR="004E36B5" w:rsidRPr="00A759BD">
          <w:t>https://www.upov.int/edocs/mdocs/upov/en/upov_eaf_19/upov_eaf_19_3.pdf</w:t>
        </w:r>
      </w:hyperlink>
      <w:r w:rsidR="004E36B5" w:rsidRPr="00A759BD">
        <w:t>.</w:t>
      </w:r>
    </w:p>
    <w:p w:rsidR="008316C0" w:rsidRPr="003179D0" w:rsidRDefault="008316C0" w:rsidP="005429CF">
      <w:pPr>
        <w:keepLines/>
        <w:rPr>
          <w:highlight w:val="cyan"/>
        </w:rPr>
      </w:pPr>
    </w:p>
    <w:p w:rsidR="008316C0" w:rsidRPr="003179D0" w:rsidRDefault="00B36715" w:rsidP="00A759BD">
      <w:pPr>
        <w:pStyle w:val="Heading2"/>
      </w:pPr>
      <w:bookmarkStart w:id="19" w:name="_Toc110247326"/>
      <w:r w:rsidRPr="003179D0">
        <w:t>Lancem</w:t>
      </w:r>
      <w:r w:rsidR="004E36B5" w:rsidRPr="003179D0">
        <w:t>ent prévu de la version</w:t>
      </w:r>
      <w:r w:rsidR="00890F1B" w:rsidRPr="003179D0">
        <w:t> </w:t>
      </w:r>
      <w:r w:rsidR="004E36B5" w:rsidRPr="003179D0">
        <w:t>2.8 (</w:t>
      </w:r>
      <w:r w:rsidR="00571E2E" w:rsidRPr="003179D0">
        <w:t>septembre 20</w:t>
      </w:r>
      <w:r w:rsidR="004E36B5" w:rsidRPr="003179D0">
        <w:t>22)</w:t>
      </w:r>
      <w:bookmarkEnd w:id="19"/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Le déploiement de la version</w:t>
      </w:r>
      <w:r w:rsidR="00890F1B" w:rsidRPr="003179D0">
        <w:t> </w:t>
      </w:r>
      <w:r w:rsidR="00B36715" w:rsidRPr="003179D0">
        <w:t>2.8 d</w:t>
      </w:r>
      <w:r w:rsidR="00081538">
        <w:t>’</w:t>
      </w:r>
      <w:r w:rsidR="00B36715" w:rsidRPr="003179D0">
        <w:t xml:space="preserve">UPOV PRISMA devrait avoir lieu en </w:t>
      </w:r>
      <w:r w:rsidR="00571E2E" w:rsidRPr="003179D0">
        <w:t>septembre 20</w:t>
      </w:r>
      <w:r w:rsidR="00B36715" w:rsidRPr="003179D0">
        <w:t>22.</w:t>
      </w:r>
    </w:p>
    <w:p w:rsidR="008316C0" w:rsidRPr="003179D0" w:rsidRDefault="008316C0" w:rsidP="005429CF"/>
    <w:p w:rsidR="008316C0" w:rsidRPr="003179D0" w:rsidRDefault="00B36715" w:rsidP="00B36715">
      <w:pPr>
        <w:pStyle w:val="Heading3"/>
      </w:pPr>
      <w:bookmarkStart w:id="20" w:name="_Toc110247327"/>
      <w:r w:rsidRPr="003179D0">
        <w:t>Membres de l</w:t>
      </w:r>
      <w:r w:rsidR="00081538">
        <w:t>’</w:t>
      </w:r>
      <w:r w:rsidRPr="003179D0">
        <w:t>UPOV</w:t>
      </w:r>
      <w:bookmarkEnd w:id="20"/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Aucun nouveau membre de l</w:t>
      </w:r>
      <w:r w:rsidR="00081538">
        <w:t>’</w:t>
      </w:r>
      <w:r w:rsidR="00B36715" w:rsidRPr="003179D0">
        <w:t>UPOV participant n</w:t>
      </w:r>
      <w:r w:rsidR="00081538">
        <w:t>’</w:t>
      </w:r>
      <w:r w:rsidR="00B36715" w:rsidRPr="003179D0">
        <w:t>est prévu dans la version</w:t>
      </w:r>
      <w:r w:rsidR="00890F1B" w:rsidRPr="003179D0">
        <w:t> </w:t>
      </w:r>
      <w:r w:rsidR="00B36715" w:rsidRPr="003179D0">
        <w:t>2.8.</w:t>
      </w:r>
    </w:p>
    <w:p w:rsidR="008316C0" w:rsidRPr="003179D0" w:rsidRDefault="008316C0" w:rsidP="005429CF"/>
    <w:p w:rsidR="008316C0" w:rsidRPr="003179D0" w:rsidRDefault="00B36715" w:rsidP="00B36715">
      <w:pPr>
        <w:pStyle w:val="Heading3"/>
      </w:pPr>
      <w:bookmarkStart w:id="21" w:name="_Toc110247328"/>
      <w:r w:rsidRPr="003179D0">
        <w:t>Plantes et espèces</w:t>
      </w:r>
      <w:bookmarkEnd w:id="21"/>
    </w:p>
    <w:p w:rsidR="008316C0" w:rsidRPr="003179D0" w:rsidRDefault="008316C0" w:rsidP="005429CF">
      <w:pPr>
        <w:rPr>
          <w:sz w:val="16"/>
        </w:rPr>
      </w:pPr>
    </w:p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Les formulaires pour la France et les Pays</w:t>
      </w:r>
      <w:r w:rsidR="00081538">
        <w:t>-</w:t>
      </w:r>
      <w:r w:rsidR="00B36715" w:rsidRPr="003179D0">
        <w:t>Bas seront mis à jour.</w:t>
      </w:r>
    </w:p>
    <w:p w:rsidR="008316C0" w:rsidRPr="003179D0" w:rsidRDefault="008316C0" w:rsidP="005429CF"/>
    <w:p w:rsidR="008316C0" w:rsidRPr="003179D0" w:rsidRDefault="00B36715" w:rsidP="00B36715">
      <w:pPr>
        <w:pStyle w:val="Heading3"/>
      </w:pPr>
      <w:bookmarkStart w:id="22" w:name="_Toc110247329"/>
      <w:r w:rsidRPr="003179D0">
        <w:t>Nouvelles fonctions</w:t>
      </w:r>
      <w:bookmarkEnd w:id="22"/>
    </w:p>
    <w:p w:rsidR="008316C0" w:rsidRPr="003179D0" w:rsidRDefault="008316C0" w:rsidP="005429CF"/>
    <w:p w:rsidR="008316C0" w:rsidRPr="003179D0" w:rsidRDefault="005429CF" w:rsidP="00B3671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Il est prévu d</w:t>
      </w:r>
      <w:r w:rsidR="00081538">
        <w:t>’</w:t>
      </w:r>
      <w:r w:rsidR="00B36715" w:rsidRPr="003179D0">
        <w:t>introduire les fonctions suivantes dans la version</w:t>
      </w:r>
      <w:r w:rsidR="00890F1B" w:rsidRPr="003179D0">
        <w:t> </w:t>
      </w:r>
      <w:r w:rsidR="00B36715" w:rsidRPr="003179D0">
        <w:t>2.8</w:t>
      </w:r>
      <w:r w:rsidR="00081538">
        <w:t> :</w:t>
      </w:r>
    </w:p>
    <w:p w:rsidR="008316C0" w:rsidRPr="003179D0" w:rsidRDefault="008316C0" w:rsidP="005429CF"/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importer les données relatives aux demandes concernant la laitue et le rosier du système en ligne de l</w:t>
      </w:r>
      <w:r w:rsidR="00081538">
        <w:rPr>
          <w:lang w:val="fr-FR"/>
        </w:rPr>
        <w:t>’</w:t>
      </w:r>
      <w:r w:rsidRPr="003179D0">
        <w:rPr>
          <w:lang w:val="fr-FR"/>
        </w:rPr>
        <w:t>OCVV dans UPOV PRISMA;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prévoir la possibilité de transférer plusieurs pièces jointes pour la même question;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dans la notification électronique, supprimer la mention du “demandeur” qui n</w:t>
      </w:r>
      <w:r w:rsidR="00081538">
        <w:rPr>
          <w:lang w:val="fr-FR"/>
        </w:rPr>
        <w:t>’</w:t>
      </w:r>
      <w:r w:rsidRPr="003179D0">
        <w:rPr>
          <w:lang w:val="fr-FR"/>
        </w:rPr>
        <w:t>est pas correcte lorsque les données présentées dans la demande sont transmises par un mandataire;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pour les mandataires, accepter les invitations groupées au lieu d</w:t>
      </w:r>
      <w:r w:rsidR="00081538">
        <w:rPr>
          <w:lang w:val="fr-FR"/>
        </w:rPr>
        <w:t>’</w:t>
      </w:r>
      <w:r w:rsidRPr="003179D0">
        <w:rPr>
          <w:lang w:val="fr-FR"/>
        </w:rPr>
        <w:t>avoir à cliquer individuellement sur chacune d</w:t>
      </w:r>
      <w:r w:rsidR="00081538">
        <w:rPr>
          <w:lang w:val="fr-FR"/>
        </w:rPr>
        <w:t>’</w:t>
      </w:r>
      <w:r w:rsidRPr="003179D0">
        <w:rPr>
          <w:lang w:val="fr-FR"/>
        </w:rPr>
        <w:t>entre elles;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ajouter un champ “notes” supplémentaire aux données relatives au mandataire pour permettre à celui</w:t>
      </w:r>
      <w:r w:rsidR="00081538">
        <w:rPr>
          <w:lang w:val="fr-FR"/>
        </w:rPr>
        <w:t>-</w:t>
      </w:r>
      <w:r w:rsidRPr="003179D0">
        <w:rPr>
          <w:lang w:val="fr-FR"/>
        </w:rPr>
        <w:t>ci de fournir davantage d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informations aux obtenteurs/demandeurs, telles que les services proposés et les langues </w:t>
      </w:r>
      <w:r w:rsidR="00432F76" w:rsidRPr="003179D0">
        <w:rPr>
          <w:lang w:val="fr-FR"/>
        </w:rPr>
        <w:t>parlées;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facturation groupée sur demande;  et</w:t>
      </w:r>
    </w:p>
    <w:p w:rsidR="00571E2E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r w:rsidRPr="003179D0">
        <w:rPr>
          <w:lang w:val="fr-FR"/>
        </w:rPr>
        <w:t>améliorer la fonction téléchargement pour les services chargés de l</w:t>
      </w:r>
      <w:r w:rsidR="00081538">
        <w:rPr>
          <w:lang w:val="fr-FR"/>
        </w:rPr>
        <w:t>’</w:t>
      </w:r>
      <w:r w:rsidRPr="003179D0">
        <w:rPr>
          <w:lang w:val="fr-FR"/>
        </w:rPr>
        <w:t>octroi des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moyennant l</w:t>
      </w:r>
      <w:r w:rsidR="00081538">
        <w:rPr>
          <w:lang w:val="fr-FR"/>
        </w:rPr>
        <w:t>’</w:t>
      </w:r>
      <w:r w:rsidRPr="003179D0">
        <w:rPr>
          <w:lang w:val="fr-FR"/>
        </w:rPr>
        <w:t>insertion du code UPOV pour les plantes ne faisant pas l</w:t>
      </w:r>
      <w:r w:rsidR="00081538">
        <w:rPr>
          <w:lang w:val="fr-FR"/>
        </w:rPr>
        <w:t>’</w:t>
      </w:r>
      <w:r w:rsidRPr="003179D0">
        <w:rPr>
          <w:lang w:val="fr-FR"/>
        </w:rPr>
        <w:t>objet de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>examen de l</w:t>
      </w:r>
      <w:r w:rsidR="00081538">
        <w:rPr>
          <w:lang w:val="fr-FR"/>
        </w:rPr>
        <w:t>’</w:t>
      </w:r>
      <w:r w:rsidRPr="003179D0">
        <w:rPr>
          <w:lang w:val="fr-FR"/>
        </w:rPr>
        <w:t>UPOV et l</w:t>
      </w:r>
      <w:r w:rsidR="00081538">
        <w:rPr>
          <w:lang w:val="fr-FR"/>
        </w:rPr>
        <w:t>’</w:t>
      </w:r>
      <w:r w:rsidRPr="003179D0">
        <w:rPr>
          <w:lang w:val="fr-FR"/>
        </w:rPr>
        <w:t>ajout des colonnes ci</w:t>
      </w:r>
      <w:r w:rsidR="00081538">
        <w:rPr>
          <w:lang w:val="fr-FR"/>
        </w:rPr>
        <w:t>-</w:t>
      </w:r>
      <w:r w:rsidRPr="003179D0">
        <w:rPr>
          <w:lang w:val="fr-FR"/>
        </w:rPr>
        <w:t>après pour le Royaume</w:t>
      </w:r>
      <w:r w:rsidR="00081538">
        <w:rPr>
          <w:lang w:val="fr-FR"/>
        </w:rPr>
        <w:t>-</w:t>
      </w:r>
      <w:r w:rsidRPr="003179D0">
        <w:rPr>
          <w:lang w:val="fr-FR"/>
        </w:rPr>
        <w:t>Uni aux fins de validation</w:t>
      </w:r>
      <w:r w:rsidR="00081538">
        <w:rPr>
          <w:lang w:val="fr-FR"/>
        </w:rPr>
        <w:t> :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Pays d</w:t>
      </w:r>
      <w:r w:rsidR="00081538">
        <w:rPr>
          <w:lang w:val="fr-FR"/>
        </w:rPr>
        <w:t>’</w:t>
      </w:r>
      <w:r w:rsidRPr="003179D0">
        <w:rPr>
          <w:lang w:val="fr-FR"/>
        </w:rPr>
        <w:t>origine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lastRenderedPageBreak/>
        <w:t>Répertoire national – Mainteneur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Répertoire national – Mandataire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Répertoire national – Demandeur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– Obtenteur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– Demandeur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– Mandataire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Date de réception de la 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Date de réception de la demande d</w:t>
      </w:r>
      <w:r w:rsidR="00081538">
        <w:rPr>
          <w:lang w:val="fr-FR"/>
        </w:rPr>
        <w:t>’</w:t>
      </w:r>
      <w:r w:rsidRPr="003179D0">
        <w:rPr>
          <w:lang w:val="fr-FR"/>
        </w:rPr>
        <w:t>inscription au répertoire national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Code d</w:t>
      </w:r>
      <w:r w:rsidR="00081538">
        <w:rPr>
          <w:lang w:val="fr-FR"/>
        </w:rPr>
        <w:t>’</w:t>
      </w:r>
      <w:r w:rsidRPr="003179D0">
        <w:rPr>
          <w:lang w:val="fr-FR"/>
        </w:rPr>
        <w:t>autorisation de commercialisation provisoire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Date d</w:t>
      </w:r>
      <w:r w:rsidR="00081538">
        <w:rPr>
          <w:lang w:val="fr-FR"/>
        </w:rPr>
        <w:t>’</w:t>
      </w:r>
      <w:r w:rsidRPr="003179D0">
        <w:rPr>
          <w:lang w:val="fr-FR"/>
        </w:rPr>
        <w:t>autorisation de commercialisation provisoire</w:t>
      </w:r>
    </w:p>
    <w:p w:rsidR="008316C0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Poids des semences</w:t>
      </w:r>
    </w:p>
    <w:p w:rsidR="008316C0" w:rsidRPr="000D74E5" w:rsidRDefault="008316C0" w:rsidP="000D74E5"/>
    <w:p w:rsidR="008316C0" w:rsidRPr="00A759BD" w:rsidRDefault="00D9571B" w:rsidP="00A759BD">
      <w:pPr>
        <w:pStyle w:val="Heading2"/>
      </w:pPr>
      <w:bookmarkStart w:id="23" w:name="_Toc110247330"/>
      <w:r w:rsidRPr="00A759BD">
        <w:t>Autres faits nouveaux</w:t>
      </w:r>
      <w:bookmarkEnd w:id="23"/>
    </w:p>
    <w:p w:rsidR="008316C0" w:rsidRPr="003179D0" w:rsidRDefault="008316C0" w:rsidP="005429CF"/>
    <w:p w:rsidR="008316C0" w:rsidRPr="003179D0" w:rsidRDefault="00DC3EAB" w:rsidP="00DC3EAB">
      <w:pPr>
        <w:pStyle w:val="Heading3"/>
      </w:pPr>
      <w:bookmarkStart w:id="24" w:name="_Toc110247331"/>
      <w:r w:rsidRPr="003179D0">
        <w:t>Audit de la qualité des logiciels</w:t>
      </w:r>
      <w:bookmarkEnd w:id="24"/>
    </w:p>
    <w:p w:rsidR="008316C0" w:rsidRPr="003179D0" w:rsidRDefault="008316C0" w:rsidP="005429CF"/>
    <w:p w:rsidR="008316C0" w:rsidRPr="00A759BD" w:rsidRDefault="005429CF" w:rsidP="00DC3EAB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DC3EAB" w:rsidRPr="00A759BD">
        <w:t>À sa soixante</w:t>
      </w:r>
      <w:r w:rsidR="00081538" w:rsidRPr="00A759BD">
        <w:t>-</w:t>
      </w:r>
      <w:r w:rsidR="00DC3EAB" w:rsidRPr="00A759BD">
        <w:t>dix</w:t>
      </w:r>
      <w:r w:rsidR="00081538" w:rsidRPr="00A759BD">
        <w:t>-</w:t>
      </w:r>
      <w:r w:rsidR="00DC3EAB" w:rsidRPr="00A759BD">
        <w:t>huit</w:t>
      </w:r>
      <w:r w:rsidR="00081538" w:rsidRPr="00A759BD">
        <w:t>ième session</w:t>
      </w:r>
      <w:r w:rsidR="00DC3EAB" w:rsidRPr="00A759BD">
        <w:t>,</w:t>
      </w:r>
      <w:r w:rsidR="00571E2E" w:rsidRPr="00A759BD">
        <w:t xml:space="preserve"> le CAJ</w:t>
      </w:r>
      <w:r w:rsidR="00DC3EAB" w:rsidRPr="00A759BD">
        <w:t xml:space="preserve"> a noté (voir le </w:t>
      </w:r>
      <w:r w:rsidR="00081538" w:rsidRPr="00A759BD">
        <w:t>document</w:t>
      </w:r>
      <w:r w:rsidR="001325D3" w:rsidRPr="00A759BD">
        <w:t> </w:t>
      </w:r>
      <w:r w:rsidR="00081538" w:rsidRPr="00A759BD">
        <w:t>CA</w:t>
      </w:r>
      <w:r w:rsidR="00DC3EAB" w:rsidRPr="00A759BD">
        <w:t>J/78/INF/4) que, afin de réduire le risque de problèmes lors de l</w:t>
      </w:r>
      <w:r w:rsidR="00081538" w:rsidRPr="00A759BD">
        <w:t>’</w:t>
      </w:r>
      <w:r w:rsidR="00DC3EAB" w:rsidRPr="00A759BD">
        <w:t>introduction de nouvelles versions ou de nouvelles fonctions, les mesures suivantes seraient prises (voir le document UPOV/EAF/17/3 “Compte rendu”)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B9185F" w:rsidP="000D74E5">
      <w:pPr>
        <w:pStyle w:val="ListParagraph"/>
        <w:numPr>
          <w:ilvl w:val="0"/>
          <w:numId w:val="29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désignation d</w:t>
      </w:r>
      <w:r w:rsidR="00081538">
        <w:rPr>
          <w:lang w:val="fr-FR"/>
        </w:rPr>
        <w:t>’</w:t>
      </w:r>
      <w:r w:rsidRPr="003179D0">
        <w:rPr>
          <w:lang w:val="fr-FR"/>
        </w:rPr>
        <w:t>une société externe pour effectuer un audit de la qualité des logiciels;  et</w:t>
      </w:r>
    </w:p>
    <w:p w:rsidR="008316C0" w:rsidRPr="003179D0" w:rsidRDefault="00B9185F" w:rsidP="000D74E5">
      <w:pPr>
        <w:pStyle w:val="ListParagraph"/>
        <w:numPr>
          <w:ilvl w:val="0"/>
          <w:numId w:val="29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organisation de tests d</w:t>
      </w:r>
      <w:r w:rsidR="00081538">
        <w:rPr>
          <w:lang w:val="fr-FR"/>
        </w:rPr>
        <w:t>’</w:t>
      </w:r>
      <w:r w:rsidRPr="003179D0">
        <w:rPr>
          <w:lang w:val="fr-FR"/>
        </w:rPr>
        <w:t>acceptation par les utilisateurs avant de mettre en service toute nouvelle fonction.</w:t>
      </w:r>
    </w:p>
    <w:p w:rsidR="008316C0" w:rsidRPr="003179D0" w:rsidRDefault="008316C0" w:rsidP="005429CF"/>
    <w:p w:rsidR="008316C0" w:rsidRPr="00A759BD" w:rsidRDefault="005429CF" w:rsidP="00B9185F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 xml:space="preserve">À </w:t>
      </w:r>
      <w:r w:rsidR="00B9185F" w:rsidRPr="00A759BD">
        <w:t>sa soixante</w:t>
      </w:r>
      <w:r w:rsidR="00081538" w:rsidRPr="00A759BD">
        <w:t>-</w:t>
      </w:r>
      <w:r w:rsidR="00B9185F" w:rsidRPr="00A759BD">
        <w:t>dix</w:t>
      </w:r>
      <w:r w:rsidR="00081538" w:rsidRPr="00A759BD">
        <w:t>-</w:t>
      </w:r>
      <w:r w:rsidR="00B9185F" w:rsidRPr="00A759BD">
        <w:t>huit</w:t>
      </w:r>
      <w:r w:rsidR="00081538" w:rsidRPr="00A759BD">
        <w:t>ième session</w:t>
      </w:r>
      <w:r w:rsidR="00B9185F" w:rsidRPr="00A759BD">
        <w:t>,</w:t>
      </w:r>
      <w:r w:rsidR="00571E2E" w:rsidRPr="00A759BD">
        <w:t xml:space="preserve"> le CAJ</w:t>
      </w:r>
      <w:r w:rsidR="00B9185F" w:rsidRPr="00A759BD">
        <w:t xml:space="preserve"> a noté (voir le document CAJ/78/INF/4) qu</w:t>
      </w:r>
      <w:r w:rsidR="00081538" w:rsidRPr="00A759BD">
        <w:t>’</w:t>
      </w:r>
      <w:r w:rsidR="00B9185F" w:rsidRPr="00A759BD">
        <w:t xml:space="preserve">une société externe a été mandatée pour effectuer un audit qualitatif du logiciel et a fait savoir que, selon le modèle de maturité des essais, UPOV PRISMA avait atteint le niveau de </w:t>
      </w:r>
      <w:r w:rsidR="0037602A" w:rsidRPr="00A759BD">
        <w:t>maturité</w:t>
      </w:r>
      <w:r w:rsidR="00890F1B" w:rsidRPr="00A759BD">
        <w:t> </w:t>
      </w:r>
      <w:r w:rsidR="00B9185F" w:rsidRPr="00A759BD">
        <w:t>2</w:t>
      </w:r>
      <w:r w:rsidR="00081538" w:rsidRPr="00A759BD">
        <w:t> :</w:t>
      </w:r>
      <w:r w:rsidR="00B9185F" w:rsidRPr="00A759BD">
        <w:t xml:space="preserve"> “l</w:t>
      </w:r>
      <w:r w:rsidR="00081538" w:rsidRPr="00A759BD">
        <w:t>’</w:t>
      </w:r>
      <w:r w:rsidR="00B9185F" w:rsidRPr="00A759BD">
        <w:t>organisation applique une méthode fondamentale en matière d</w:t>
      </w:r>
      <w:r w:rsidR="00081538" w:rsidRPr="00A759BD">
        <w:t>’</w:t>
      </w:r>
      <w:r w:rsidR="00B9185F" w:rsidRPr="00A759BD">
        <w:t>essais où sont mises en œuvre certaines pratiques communes, telles que la planification, le suivi et le contrôle des activités d</w:t>
      </w:r>
      <w:r w:rsidR="00081538" w:rsidRPr="00A759BD">
        <w:t>’</w:t>
      </w:r>
      <w:r w:rsidR="00B9185F" w:rsidRPr="00A759BD">
        <w:t>essai”.</w:t>
      </w:r>
      <w:r w:rsidRPr="00A759BD">
        <w:t xml:space="preserve">  </w:t>
      </w:r>
      <w:r w:rsidR="00B9185F" w:rsidRPr="00A759BD">
        <w:t>Les recommandations suivantes ont été formulées aux fins du passage au niveau de maturité</w:t>
      </w:r>
      <w:r w:rsidR="00890F1B" w:rsidRPr="00A759BD">
        <w:t> </w:t>
      </w:r>
      <w:r w:rsidR="00B9185F" w:rsidRPr="00A759BD">
        <w:t>3</w:t>
      </w:r>
      <w:r w:rsidR="00081538" w:rsidRPr="00A759BD">
        <w:t> :</w:t>
      </w:r>
      <w:r w:rsidR="00B9185F" w:rsidRPr="00A759BD">
        <w:t xml:space="preserve"> “l</w:t>
      </w:r>
      <w:r w:rsidR="00081538" w:rsidRPr="00A759BD">
        <w:t>’</w:t>
      </w:r>
      <w:r w:rsidR="00B9185F" w:rsidRPr="00A759BD">
        <w:t>organisation adopte une démarche plutôt dynamique et la méthode d</w:t>
      </w:r>
      <w:r w:rsidR="00081538" w:rsidRPr="00A759BD">
        <w:t>’</w:t>
      </w:r>
      <w:r w:rsidR="00B9185F" w:rsidRPr="00A759BD">
        <w:t>essai est documentée et décrite dans les normes, procédures, outils et méthodes”</w:t>
      </w:r>
      <w:r w:rsidR="00081538" w:rsidRPr="00A759BD">
        <w:t> :</w:t>
      </w:r>
    </w:p>
    <w:p w:rsidR="008316C0" w:rsidRPr="003179D0" w:rsidRDefault="008316C0" w:rsidP="005429CF">
      <w:pPr>
        <w:rPr>
          <w:sz w:val="18"/>
        </w:rPr>
      </w:pP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connaître les utilisateurs et la façon dont UPOV PRISMA est utilisé;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mettre l</w:t>
      </w:r>
      <w:r w:rsidR="00081538">
        <w:rPr>
          <w:lang w:val="fr-FR"/>
        </w:rPr>
        <w:t>’</w:t>
      </w:r>
      <w:r w:rsidRPr="003179D0">
        <w:rPr>
          <w:lang w:val="fr-FR"/>
        </w:rPr>
        <w:t>accent sur ce qui est important et urgent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automatiser les tests de régression sur les fonctions les plus utilisées et celles qui génèrent 80% des dysfonctionnements;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définir un document clair sur la stratégie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essais;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pour chaque nouvelle exigence, une analyse d</w:t>
      </w:r>
      <w:r w:rsidR="00081538">
        <w:rPr>
          <w:lang w:val="fr-FR"/>
        </w:rPr>
        <w:t>’</w:t>
      </w:r>
      <w:r w:rsidRPr="003179D0">
        <w:rPr>
          <w:lang w:val="fr-FR"/>
        </w:rPr>
        <w:t>impact doit être faite;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définir un processus standard pour la création de scénarios d</w:t>
      </w:r>
      <w:r w:rsidR="00081538">
        <w:rPr>
          <w:lang w:val="fr-FR"/>
        </w:rPr>
        <w:t>’</w:t>
      </w:r>
      <w:r w:rsidRPr="003179D0">
        <w:rPr>
          <w:lang w:val="fr-FR"/>
        </w:rPr>
        <w:t>essai;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utiliser un outil de référentiel d</w:t>
      </w:r>
      <w:r w:rsidR="00081538">
        <w:rPr>
          <w:lang w:val="fr-FR"/>
        </w:rPr>
        <w:t>’</w:t>
      </w:r>
      <w:r w:rsidRPr="003179D0">
        <w:rPr>
          <w:lang w:val="fr-FR"/>
        </w:rPr>
        <w:t>essais.</w:t>
      </w:r>
    </w:p>
    <w:p w:rsidR="008316C0" w:rsidRPr="000D74E5" w:rsidRDefault="008316C0" w:rsidP="000D74E5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>Les six</w:t>
      </w:r>
      <w:r w:rsidR="00165B64" w:rsidRPr="003179D0">
        <w:t> </w:t>
      </w:r>
      <w:r w:rsidR="00B9185F" w:rsidRPr="003179D0">
        <w:t>recommandations ci</w:t>
      </w:r>
      <w:r w:rsidR="00081538">
        <w:t>-</w:t>
      </w:r>
      <w:r w:rsidR="00B9185F" w:rsidRPr="003179D0">
        <w:t>dessus ont été mises en œuv</w:t>
      </w:r>
      <w:r w:rsidR="00794B5B" w:rsidRPr="003179D0">
        <w:t>re</w:t>
      </w:r>
      <w:r w:rsidR="00794B5B">
        <w:t xml:space="preserve">.  </w:t>
      </w:r>
      <w:r w:rsidR="00794B5B" w:rsidRPr="003179D0">
        <w:t>En</w:t>
      </w:r>
      <w:r w:rsidR="00B9185F" w:rsidRPr="003179D0">
        <w:t xml:space="preserve"> particulier, pour limiter le risque d</w:t>
      </w:r>
      <w:r w:rsidR="00081538">
        <w:t>’</w:t>
      </w:r>
      <w:r w:rsidR="00B9185F" w:rsidRPr="003179D0">
        <w:t>impacts négatifs lors de l</w:t>
      </w:r>
      <w:r w:rsidR="00081538">
        <w:t>’</w:t>
      </w:r>
      <w:r w:rsidR="00B9185F" w:rsidRPr="003179D0">
        <w:t>introduction de nouvelles fonctions, les tests de régression ont été automatisés.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>En ce qui concerne les tests d</w:t>
      </w:r>
      <w:r w:rsidR="00081538">
        <w:t>’</w:t>
      </w:r>
      <w:r w:rsidR="00B9185F" w:rsidRPr="003179D0">
        <w:t>acceptation par les utilisateurs, il est prévu de consulter l</w:t>
      </w:r>
      <w:r w:rsidR="00081538">
        <w:t>’</w:t>
      </w:r>
      <w:r w:rsidR="00B9185F" w:rsidRPr="003179D0">
        <w:t>“Équipe d</w:t>
      </w:r>
      <w:r w:rsidR="00081538">
        <w:t>’</w:t>
      </w:r>
      <w:r w:rsidR="00B9185F" w:rsidRPr="003179D0">
        <w:t>experts” UPOV PRISMA avant de mettre en œuvre les nouvelles fonctions.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>Outre les mesures susmentionnées pour améliorer la qualité du logiciel UPOV PRISMA, il a été décidé d</w:t>
      </w:r>
      <w:r w:rsidR="00081538">
        <w:t>’</w:t>
      </w:r>
      <w:r w:rsidR="00B9185F" w:rsidRPr="003179D0">
        <w:t>organiser un audit de programmation, qui a débouché sur les recommandations suivantes</w:t>
      </w:r>
      <w:r w:rsidR="00081538">
        <w:t> :</w:t>
      </w:r>
    </w:p>
    <w:p w:rsidR="008316C0" w:rsidRPr="003179D0" w:rsidRDefault="008316C0" w:rsidP="005429CF"/>
    <w:p w:rsidR="008316C0" w:rsidRPr="003179D0" w:rsidRDefault="00B9185F" w:rsidP="000D74E5">
      <w:pPr>
        <w:pStyle w:val="ListParagraph"/>
        <w:numPr>
          <w:ilvl w:val="0"/>
          <w:numId w:val="4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appliquer les pratiques recommandées en matière de programmation afin d</w:t>
      </w:r>
      <w:r w:rsidR="00081538">
        <w:rPr>
          <w:lang w:val="fr-FR"/>
        </w:rPr>
        <w:t>’</w:t>
      </w:r>
      <w:r w:rsidRPr="003179D0">
        <w:rPr>
          <w:lang w:val="fr-FR"/>
        </w:rPr>
        <w:t>éviter les problèmes de duplication et de performance;</w:t>
      </w:r>
    </w:p>
    <w:p w:rsidR="008316C0" w:rsidRPr="003179D0" w:rsidRDefault="00B9185F" w:rsidP="000D74E5">
      <w:pPr>
        <w:pStyle w:val="ListParagraph"/>
        <w:numPr>
          <w:ilvl w:val="0"/>
          <w:numId w:val="4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migrer vers le Cloud pour une meilleure gestion des ressources au niveau infrastructurel et continuer d</w:t>
      </w:r>
      <w:r w:rsidR="00081538">
        <w:rPr>
          <w:lang w:val="fr-FR"/>
        </w:rPr>
        <w:t>’</w:t>
      </w:r>
      <w:r w:rsidRPr="003179D0">
        <w:rPr>
          <w:lang w:val="fr-FR"/>
        </w:rPr>
        <w:t>appliquer les normes les plus élevées en matière de sécurité;</w:t>
      </w:r>
    </w:p>
    <w:p w:rsidR="008316C0" w:rsidRPr="003179D0" w:rsidRDefault="00B9185F" w:rsidP="000D74E5">
      <w:pPr>
        <w:pStyle w:val="ListParagraph"/>
        <w:numPr>
          <w:ilvl w:val="0"/>
          <w:numId w:val="4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mettre au point une interface de configuration dédiée pour une gestion contrôlée des formulaires.</w:t>
      </w:r>
    </w:p>
    <w:p w:rsidR="008316C0" w:rsidRPr="003179D0" w:rsidRDefault="008316C0" w:rsidP="005429CF">
      <w:pPr>
        <w:jc w:val="left"/>
      </w:pPr>
    </w:p>
    <w:p w:rsidR="008316C0" w:rsidRPr="003179D0" w:rsidRDefault="005429CF" w:rsidP="002202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La recommandation n°</w:t>
      </w:r>
      <w:r w:rsidR="00165B64" w:rsidRPr="003179D0">
        <w:t> </w:t>
      </w:r>
      <w:r w:rsidR="0037602A" w:rsidRPr="003179D0">
        <w:t>1 (</w:t>
      </w:r>
      <w:r w:rsidR="002202BD" w:rsidRPr="003179D0">
        <w:t>pratiques recommandées en matière de programmation) sera mise en œuvre dans la version</w:t>
      </w:r>
      <w:r w:rsidR="00890F1B" w:rsidRPr="003179D0">
        <w:t> </w:t>
      </w:r>
      <w:r w:rsidR="002202BD" w:rsidRPr="003179D0">
        <w:t>2.8.</w:t>
      </w:r>
    </w:p>
    <w:p w:rsidR="008316C0" w:rsidRPr="003179D0" w:rsidRDefault="008316C0" w:rsidP="005429CF"/>
    <w:p w:rsidR="008316C0" w:rsidRPr="003179D0" w:rsidRDefault="005429CF" w:rsidP="002202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La recommandation n°</w:t>
      </w:r>
      <w:r w:rsidR="00165B64" w:rsidRPr="003179D0">
        <w:t> </w:t>
      </w:r>
      <w:r w:rsidR="002202BD" w:rsidRPr="003179D0">
        <w:t xml:space="preserve">2 (migration vers </w:t>
      </w:r>
      <w:r w:rsidR="0037602A" w:rsidRPr="003179D0">
        <w:t>le Cloud</w:t>
      </w:r>
      <w:r w:rsidR="002202BD" w:rsidRPr="003179D0">
        <w:t>) et la recommandation n°</w:t>
      </w:r>
      <w:r w:rsidR="00165B64" w:rsidRPr="003179D0">
        <w:t> </w:t>
      </w:r>
      <w:r w:rsidR="002202BD" w:rsidRPr="003179D0">
        <w:t>3 (mise au point d</w:t>
      </w:r>
      <w:r w:rsidR="00081538">
        <w:t>’</w:t>
      </w:r>
      <w:r w:rsidR="002202BD" w:rsidRPr="003179D0">
        <w:t>une interface de configuration dédiée) seront mises en œuvre dans la version</w:t>
      </w:r>
      <w:r w:rsidR="00890F1B" w:rsidRPr="003179D0">
        <w:t> </w:t>
      </w:r>
      <w:r w:rsidR="002202BD" w:rsidRPr="003179D0">
        <w:t>2.9.</w:t>
      </w:r>
    </w:p>
    <w:p w:rsidR="008316C0" w:rsidRPr="003179D0" w:rsidRDefault="008316C0" w:rsidP="005429CF"/>
    <w:p w:rsidR="008316C0" w:rsidRPr="003179D0" w:rsidRDefault="008316C0" w:rsidP="005429CF"/>
    <w:p w:rsidR="008316C0" w:rsidRPr="003179D0" w:rsidRDefault="002202BD" w:rsidP="002202BD">
      <w:pPr>
        <w:pStyle w:val="Heading3"/>
      </w:pPr>
      <w:bookmarkStart w:id="25" w:name="_Toc110247332"/>
      <w:r w:rsidRPr="003179D0">
        <w:lastRenderedPageBreak/>
        <w:t>Amélioration de la facilité d</w:t>
      </w:r>
      <w:r w:rsidR="00081538">
        <w:t>’</w:t>
      </w:r>
      <w:r w:rsidRPr="003179D0">
        <w:t>utilisation d</w:t>
      </w:r>
      <w:r w:rsidR="00081538">
        <w:t>’</w:t>
      </w:r>
      <w:r w:rsidRPr="003179D0">
        <w:t>UPOV PRISMA</w:t>
      </w:r>
      <w:bookmarkEnd w:id="25"/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Afin d</w:t>
      </w:r>
      <w:r w:rsidR="00081538">
        <w:t>’</w:t>
      </w:r>
      <w:r w:rsidR="002202BD" w:rsidRPr="003179D0">
        <w:t>améliorer la facilité d</w:t>
      </w:r>
      <w:r w:rsidR="00081538">
        <w:t>’</w:t>
      </w:r>
      <w:r w:rsidR="002202BD" w:rsidRPr="003179D0">
        <w:t>utilisation d</w:t>
      </w:r>
      <w:r w:rsidR="00081538">
        <w:t>’</w:t>
      </w:r>
      <w:r w:rsidR="002202BD" w:rsidRPr="003179D0">
        <w:t xml:space="preserve">UPOV PRISMA, des consultations ont été organisées avec les utilisateurs de façon à revoir certaines fonctions existantes (copie, attribution des rôles) (voir le </w:t>
      </w:r>
      <w:r w:rsidR="00081538" w:rsidRPr="003179D0">
        <w:t>document</w:t>
      </w:r>
      <w:r w:rsidR="001325D3">
        <w:t> </w:t>
      </w:r>
      <w:r w:rsidR="00081538" w:rsidRPr="003179D0">
        <w:t>CA</w:t>
      </w:r>
      <w:r w:rsidR="002202BD" w:rsidRPr="003179D0">
        <w:t>J/78/INF/4).</w:t>
      </w:r>
    </w:p>
    <w:p w:rsidR="008316C0" w:rsidRPr="003179D0" w:rsidRDefault="008316C0" w:rsidP="00A759BD"/>
    <w:p w:rsidR="008316C0" w:rsidRPr="003179D0" w:rsidRDefault="005429CF" w:rsidP="00A759BD">
      <w:pPr>
        <w:rPr>
          <w:rFonts w:cs="Arial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Les participants de l</w:t>
      </w:r>
      <w:r w:rsidR="00081538">
        <w:t>’</w:t>
      </w:r>
      <w:r w:rsidR="002202BD" w:rsidRPr="003179D0">
        <w:t>Équipe d</w:t>
      </w:r>
      <w:r w:rsidR="00081538">
        <w:t>’</w:t>
      </w:r>
      <w:r w:rsidR="002202BD" w:rsidRPr="003179D0">
        <w:t>experts UPOV PRISMA ont été consultés sur les propositions faites pour améliorer l</w:t>
      </w:r>
      <w:r w:rsidR="00081538">
        <w:t>’</w:t>
      </w:r>
      <w:r w:rsidR="002202BD" w:rsidRPr="003179D0">
        <w:t>interface et la navigation dans l</w:t>
      </w:r>
      <w:r w:rsidR="00081538">
        <w:t>’</w:t>
      </w:r>
      <w:r w:rsidR="002202BD" w:rsidRPr="003179D0">
        <w:t>ensemble du systè</w:t>
      </w:r>
      <w:r w:rsidR="00794B5B" w:rsidRPr="003179D0">
        <w:t>me</w:t>
      </w:r>
      <w:r w:rsidR="00794B5B">
        <w:t xml:space="preserve">.  </w:t>
      </w:r>
      <w:r w:rsidR="00794B5B" w:rsidRPr="003179D0">
        <w:t xml:space="preserve">À </w:t>
      </w:r>
      <w:r w:rsidR="002202BD" w:rsidRPr="003179D0">
        <w:t>la réunion</w:t>
      </w:r>
      <w:r w:rsidR="00890F1B" w:rsidRPr="003179D0">
        <w:t> </w:t>
      </w:r>
      <w:r w:rsidR="002202BD" w:rsidRPr="003179D0">
        <w:t>EAF/17, il a été proposé de travailler avec une “équipe d</w:t>
      </w:r>
      <w:r w:rsidR="00081538">
        <w:t>’</w:t>
      </w:r>
      <w:r w:rsidR="002202BD" w:rsidRPr="003179D0">
        <w:t>experts” composée d</w:t>
      </w:r>
      <w:r w:rsidR="00081538">
        <w:t>’</w:t>
      </w:r>
      <w:r w:rsidR="002202BD" w:rsidRPr="003179D0">
        <w:t>utilisateurs qui seront désignés par</w:t>
      </w:r>
      <w:r w:rsidR="00571E2E" w:rsidRPr="003179D0">
        <w:t xml:space="preserve"> la CIO</w:t>
      </w:r>
      <w:r w:rsidR="002202BD" w:rsidRPr="003179D0">
        <w:t>PORA et l</w:t>
      </w:r>
      <w:r w:rsidR="00081538">
        <w:t>’</w:t>
      </w:r>
      <w:r w:rsidR="002202BD" w:rsidRPr="003179D0">
        <w:t>ISF.</w:t>
      </w:r>
    </w:p>
    <w:p w:rsidR="008316C0" w:rsidRPr="003179D0" w:rsidRDefault="008316C0" w:rsidP="00A759BD">
      <w:pPr>
        <w:rPr>
          <w:rFonts w:cs="Arial"/>
        </w:rPr>
      </w:pPr>
    </w:p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1626A0" w:rsidRPr="003179D0">
        <w:t>Une deuxième version des écrans (Démarrer une nouvelle demande, Copier la demande) a été distribuée au groupe de travail le 2</w:t>
      </w:r>
      <w:r w:rsidR="00571E2E" w:rsidRPr="003179D0">
        <w:t>1 juin 20</w:t>
      </w:r>
      <w:r w:rsidR="001626A0" w:rsidRPr="003179D0">
        <w:t xml:space="preserve">22, pour </w:t>
      </w:r>
      <w:r w:rsidR="0085195D" w:rsidRPr="003179D0">
        <w:t>observatio</w:t>
      </w:r>
      <w:r w:rsidR="00794B5B" w:rsidRPr="003179D0">
        <w:t>ns</w:t>
      </w:r>
      <w:r w:rsidR="00794B5B">
        <w:t xml:space="preserve">.  </w:t>
      </w:r>
      <w:r w:rsidR="00794B5B" w:rsidRPr="003179D0">
        <w:t>La</w:t>
      </w:r>
      <w:r w:rsidR="001626A0" w:rsidRPr="003179D0">
        <w:t xml:space="preserve"> nouvelle proposition a été présentée lors de la réunion du groupe de travail qui s</w:t>
      </w:r>
      <w:r w:rsidR="00081538">
        <w:t>’</w:t>
      </w:r>
      <w:r w:rsidR="001626A0" w:rsidRPr="003179D0">
        <w:t>est tenue le 2</w:t>
      </w:r>
      <w:r w:rsidR="00571E2E" w:rsidRPr="003179D0">
        <w:t>2 juin 20</w:t>
      </w:r>
      <w:r w:rsidR="001626A0" w:rsidRPr="003179D0">
        <w:t>22.</w:t>
      </w:r>
    </w:p>
    <w:p w:rsidR="008316C0" w:rsidRPr="003179D0" w:rsidRDefault="008316C0" w:rsidP="00A759BD">
      <w:pPr>
        <w:rPr>
          <w:rFonts w:cs="Arial"/>
        </w:rPr>
      </w:pPr>
    </w:p>
    <w:p w:rsidR="008316C0" w:rsidRPr="003179D0" w:rsidRDefault="001626A0" w:rsidP="001626A0">
      <w:pPr>
        <w:pStyle w:val="Heading3"/>
      </w:pPr>
      <w:bookmarkStart w:id="26" w:name="_Toc110247333"/>
      <w:r w:rsidRPr="003179D0">
        <w:t>Synchronisation avec l</w:t>
      </w:r>
      <w:r w:rsidR="00081538">
        <w:t>’</w:t>
      </w:r>
      <w:r w:rsidRPr="003179D0">
        <w:t>OCVV</w:t>
      </w:r>
      <w:bookmarkEnd w:id="26"/>
    </w:p>
    <w:p w:rsidR="008316C0" w:rsidRPr="003179D0" w:rsidRDefault="008316C0" w:rsidP="005429CF">
      <w:pPr>
        <w:tabs>
          <w:tab w:val="left" w:pos="6675"/>
        </w:tabs>
        <w:rPr>
          <w:rFonts w:cs="Arial"/>
        </w:rPr>
      </w:pPr>
    </w:p>
    <w:p w:rsidR="008316C0" w:rsidRPr="003179D0" w:rsidRDefault="005429CF" w:rsidP="001626A0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1626A0" w:rsidRPr="003179D0">
        <w:rPr>
          <w:rFonts w:cs="Arial"/>
        </w:rPr>
        <w:t>Afin de réaliser et de maintenir la synchronisation des questionnaires techniques entre UPOV PRISMA et l</w:t>
      </w:r>
      <w:r w:rsidR="00081538">
        <w:rPr>
          <w:rFonts w:cs="Arial"/>
        </w:rPr>
        <w:t>’</w:t>
      </w:r>
      <w:r w:rsidR="001626A0" w:rsidRPr="003179D0">
        <w:rPr>
          <w:rFonts w:cs="Arial"/>
        </w:rPr>
        <w:t xml:space="preserve">OCVV (voir le </w:t>
      </w:r>
      <w:r w:rsidR="00081538" w:rsidRPr="003179D0">
        <w:rPr>
          <w:rFonts w:cs="Arial"/>
        </w:rPr>
        <w:t>document</w:t>
      </w:r>
      <w:r w:rsidR="001325D3">
        <w:rPr>
          <w:rFonts w:cs="Arial"/>
        </w:rPr>
        <w:t> </w:t>
      </w:r>
      <w:r w:rsidR="00081538" w:rsidRPr="003179D0">
        <w:rPr>
          <w:rFonts w:cs="Arial"/>
        </w:rPr>
        <w:t>CA</w:t>
      </w:r>
      <w:r w:rsidR="001626A0" w:rsidRPr="003179D0">
        <w:rPr>
          <w:rFonts w:cs="Arial"/>
        </w:rPr>
        <w:t>J/78/INF/4), les projets suivants ont été convenus avec l</w:t>
      </w:r>
      <w:r w:rsidR="00081538">
        <w:rPr>
          <w:rFonts w:cs="Arial"/>
        </w:rPr>
        <w:t>’</w:t>
      </w:r>
      <w:r w:rsidR="001626A0" w:rsidRPr="003179D0">
        <w:rPr>
          <w:rFonts w:cs="Arial"/>
        </w:rPr>
        <w:t>OCVV</w:t>
      </w:r>
      <w:r w:rsidR="00081538">
        <w:rPr>
          <w:rFonts w:cs="Arial"/>
        </w:rPr>
        <w:t> :</w:t>
      </w:r>
    </w:p>
    <w:p w:rsidR="00571E2E" w:rsidRPr="003179D0" w:rsidRDefault="00571E2E" w:rsidP="005429CF">
      <w:pPr>
        <w:rPr>
          <w:highlight w:val="cyan"/>
        </w:rPr>
      </w:pP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“Audit” (questions actuelles/situation) pour l</w:t>
      </w:r>
      <w:r w:rsidR="00081538">
        <w:rPr>
          <w:lang w:val="fr-FR"/>
        </w:rPr>
        <w:t>’</w:t>
      </w:r>
      <w:r w:rsidRPr="003179D0">
        <w:rPr>
          <w:lang w:val="fr-FR"/>
        </w:rPr>
        <w:t>échange de données entre UPOV PRISMA et l</w:t>
      </w:r>
      <w:r w:rsidR="00081538">
        <w:rPr>
          <w:lang w:val="fr-FR"/>
        </w:rPr>
        <w:t>’</w:t>
      </w:r>
      <w:r w:rsidRPr="003179D0">
        <w:rPr>
          <w:lang w:val="fr-FR"/>
        </w:rPr>
        <w:t>OCVV dans les deux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sens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achevé)</w:t>
      </w:r>
      <w:r w:rsidR="00EC687C" w:rsidRPr="003179D0">
        <w:rPr>
          <w:lang w:val="fr-FR"/>
        </w:rPr>
        <w:t>;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2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partie A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Résolution des problèmes actuels;</w:t>
      </w:r>
      <w:r w:rsidR="00165B64" w:rsidRPr="003179D0">
        <w:rPr>
          <w:lang w:val="fr-FR"/>
        </w:rPr>
        <w:t xml:space="preserve"> </w:t>
      </w:r>
      <w:r w:rsidRPr="003179D0">
        <w:rPr>
          <w:lang w:val="fr-FR"/>
        </w:rPr>
        <w:t xml:space="preserve"> partie B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Synchronisation des changements par l</w:t>
      </w:r>
      <w:r w:rsidR="00081538">
        <w:rPr>
          <w:lang w:val="fr-FR"/>
        </w:rPr>
        <w:t>’</w:t>
      </w:r>
      <w:r w:rsidRPr="003179D0">
        <w:rPr>
          <w:lang w:val="fr-FR"/>
        </w:rPr>
        <w:t>UPOV et l</w:t>
      </w:r>
      <w:r w:rsidR="00081538">
        <w:rPr>
          <w:lang w:val="fr-FR"/>
        </w:rPr>
        <w:t>’</w:t>
      </w:r>
      <w:r w:rsidRPr="003179D0">
        <w:rPr>
          <w:lang w:val="fr-FR"/>
        </w:rPr>
        <w:t>OCVV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 sur la base des informations fournies dans le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1)</w:t>
      </w:r>
      <w:r w:rsidR="00EC687C" w:rsidRPr="003179D0">
        <w:rPr>
          <w:lang w:val="fr-FR"/>
        </w:rPr>
        <w:t>;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 3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mise en œuvre des résultats du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2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Échange bidirectionnel de données relatives aux demandes (laitue, tomate, ros</w:t>
      </w:r>
      <w:r w:rsidR="00EC687C" w:rsidRPr="003179D0">
        <w:rPr>
          <w:lang w:val="fr-FR"/>
        </w:rPr>
        <w:t>ier</w:t>
      </w:r>
      <w:r w:rsidRPr="003179D0">
        <w:rPr>
          <w:lang w:val="fr-FR"/>
        </w:rPr>
        <w:t>)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 sur la base des informations fournies dans le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1)</w:t>
      </w:r>
      <w:r w:rsidR="00EC687C" w:rsidRPr="003179D0">
        <w:rPr>
          <w:lang w:val="fr-FR"/>
        </w:rPr>
        <w:t>;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4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téléchargement groupé des demandes relatives au maïs de l</w:t>
      </w:r>
      <w:r w:rsidR="00081538">
        <w:rPr>
          <w:lang w:val="fr-FR"/>
        </w:rPr>
        <w:t>’</w:t>
      </w:r>
      <w:r w:rsidRPr="003179D0">
        <w:rPr>
          <w:lang w:val="fr-FR"/>
        </w:rPr>
        <w:t>UPOV vers l</w:t>
      </w:r>
      <w:r w:rsidR="00081538">
        <w:rPr>
          <w:lang w:val="fr-FR"/>
        </w:rPr>
        <w:t>’</w:t>
      </w:r>
      <w:r w:rsidRPr="003179D0">
        <w:rPr>
          <w:lang w:val="fr-FR"/>
        </w:rPr>
        <w:t>OCVV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 sur la base des informations fournies dans le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1)</w:t>
      </w:r>
      <w:r w:rsidR="00EC687C" w:rsidRPr="003179D0">
        <w:rPr>
          <w:lang w:val="fr-FR"/>
        </w:rPr>
        <w:t>;</w:t>
      </w:r>
      <w:r w:rsidR="00953865" w:rsidRPr="003179D0">
        <w:rPr>
          <w:lang w:val="fr-FR"/>
        </w:rPr>
        <w:t xml:space="preserve">  et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5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“Dispositions transitoires”, pour communiquer aux demandeurs les situations dans lesquelles ils peuvent utiliser UPOV PRISMA pour les demandes auprès de l</w:t>
      </w:r>
      <w:r w:rsidR="00081538">
        <w:rPr>
          <w:lang w:val="fr-FR"/>
        </w:rPr>
        <w:t>’</w:t>
      </w:r>
      <w:r w:rsidRPr="003179D0">
        <w:rPr>
          <w:lang w:val="fr-FR"/>
        </w:rPr>
        <w:t>OCVV et les mesures à prendre jusqu</w:t>
      </w:r>
      <w:r w:rsidR="00081538">
        <w:rPr>
          <w:lang w:val="fr-FR"/>
        </w:rPr>
        <w:t>’</w:t>
      </w:r>
      <w:r w:rsidRPr="003179D0">
        <w:rPr>
          <w:lang w:val="fr-FR"/>
        </w:rPr>
        <w:t>à ce que toutes les questions soient réglées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cours)</w:t>
      </w:r>
      <w:r w:rsidR="00EC687C" w:rsidRPr="003179D0">
        <w:rPr>
          <w:lang w:val="fr-FR"/>
        </w:rPr>
        <w:t>.</w:t>
      </w:r>
    </w:p>
    <w:p w:rsidR="008316C0" w:rsidRPr="003179D0" w:rsidRDefault="008316C0" w:rsidP="005429CF"/>
    <w:p w:rsidR="008316C0" w:rsidRPr="003179D0" w:rsidRDefault="001626A0" w:rsidP="001626A0">
      <w:pPr>
        <w:pStyle w:val="Heading3"/>
      </w:pPr>
      <w:bookmarkStart w:id="27" w:name="_Toc110247334"/>
      <w:bookmarkStart w:id="28" w:name="_Toc485110114"/>
      <w:bookmarkStart w:id="29" w:name="_Toc508809896"/>
      <w:bookmarkStart w:id="30" w:name="_Toc2834023"/>
      <w:r w:rsidRPr="003179D0">
        <w:t>Couverture des principes directeurs d</w:t>
      </w:r>
      <w:r w:rsidR="00081538">
        <w:t>’</w:t>
      </w:r>
      <w:r w:rsidRPr="003179D0">
        <w:t>examen</w:t>
      </w:r>
      <w:r w:rsidR="00081538">
        <w:t> :</w:t>
      </w:r>
      <w:r w:rsidRPr="003179D0">
        <w:t xml:space="preserve"> betterave à sucre</w:t>
      </w:r>
      <w:bookmarkEnd w:id="27"/>
    </w:p>
    <w:p w:rsidR="008316C0" w:rsidRPr="003179D0" w:rsidRDefault="008316C0" w:rsidP="005429CF"/>
    <w:p w:rsidR="008316C0" w:rsidRPr="00A759BD" w:rsidRDefault="005429CF" w:rsidP="001626A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1626A0" w:rsidRPr="003179D0">
        <w:t xml:space="preserve">En ce qui </w:t>
      </w:r>
      <w:r w:rsidR="001626A0" w:rsidRPr="00A759BD">
        <w:t>concerne la couverture des principes directeurs d</w:t>
      </w:r>
      <w:r w:rsidR="00081538" w:rsidRPr="00A759BD">
        <w:t>’</w:t>
      </w:r>
      <w:r w:rsidR="001626A0" w:rsidRPr="00A759BD">
        <w:t>examen, il a été convenu ce qui suit à la réunion</w:t>
      </w:r>
      <w:r w:rsidR="00890F1B" w:rsidRPr="00A759BD">
        <w:t> </w:t>
      </w:r>
      <w:r w:rsidR="001626A0" w:rsidRPr="00A759BD">
        <w:t xml:space="preserve">EAF/13 (voir les </w:t>
      </w:r>
      <w:r w:rsidR="00571E2E" w:rsidRPr="00A759BD">
        <w:t>paragraphes 1</w:t>
      </w:r>
      <w:r w:rsidR="001626A0" w:rsidRPr="00A759BD">
        <w:t>9 à 22 du document UPOV/EAF/13/3 “</w:t>
      </w:r>
      <w:r w:rsidR="002F1C46" w:rsidRPr="00A759BD">
        <w:t>Compte rendu</w:t>
      </w:r>
      <w:r w:rsidR="001626A0" w:rsidRPr="00A759BD">
        <w:t>”)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1325D3" w:rsidP="001626A0">
      <w:pPr>
        <w:ind w:left="567" w:right="567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20.</w:t>
      </w:r>
      <w:r w:rsidR="001626A0" w:rsidRPr="003179D0">
        <w:rPr>
          <w:sz w:val="18"/>
        </w:rPr>
        <w:tab/>
        <w:t>Les participants suivent un exposé présenté par le Bureau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Union, reproduit à l</w:t>
      </w:r>
      <w:r w:rsidR="00081538">
        <w:rPr>
          <w:sz w:val="18"/>
        </w:rPr>
        <w:t>’</w:t>
      </w:r>
      <w:r w:rsidR="00571E2E" w:rsidRPr="003179D0">
        <w:rPr>
          <w:sz w:val="18"/>
        </w:rPr>
        <w:t>annexe I</w:t>
      </w:r>
      <w:r w:rsidR="001626A0" w:rsidRPr="003179D0">
        <w:rPr>
          <w:sz w:val="18"/>
        </w:rPr>
        <w:t xml:space="preserve">I du </w:t>
      </w:r>
      <w:r w:rsidR="00081538" w:rsidRPr="003179D0">
        <w:rPr>
          <w:sz w:val="18"/>
        </w:rPr>
        <w:t>document</w:t>
      </w:r>
      <w:r>
        <w:rPr>
          <w:sz w:val="18"/>
        </w:rPr>
        <w:t> </w:t>
      </w:r>
      <w:r w:rsidR="00081538" w:rsidRPr="003179D0">
        <w:rPr>
          <w:sz w:val="18"/>
        </w:rPr>
        <w:t>UP</w:t>
      </w:r>
      <w:r w:rsidR="001626A0" w:rsidRPr="003179D0">
        <w:rPr>
          <w:sz w:val="18"/>
        </w:rPr>
        <w:t xml:space="preserve">OV/EAF/12/3 </w:t>
      </w:r>
      <w:r w:rsidR="00081538">
        <w:rPr>
          <w:sz w:val="18"/>
        </w:rPr>
        <w:t>‘</w:t>
      </w:r>
      <w:r w:rsidR="001626A0" w:rsidRPr="003179D0">
        <w:rPr>
          <w:sz w:val="18"/>
        </w:rPr>
        <w:t>Compte rendu</w:t>
      </w:r>
      <w:r w:rsidR="00081538">
        <w:rPr>
          <w:sz w:val="18"/>
        </w:rPr>
        <w:t>’</w:t>
      </w:r>
      <w:r w:rsidR="001626A0" w:rsidRPr="003179D0">
        <w:rPr>
          <w:sz w:val="18"/>
        </w:rPr>
        <w:t>, et notent que, pour les membres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qui appliquent les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UPOV, lorsqu</w:t>
      </w:r>
      <w:r w:rsidR="00081538">
        <w:rPr>
          <w:sz w:val="18"/>
        </w:rPr>
        <w:t>’</w:t>
      </w:r>
      <w:r w:rsidR="001626A0" w:rsidRPr="003179D0">
        <w:rPr>
          <w:sz w:val="18"/>
        </w:rPr>
        <w:t>il n</w:t>
      </w:r>
      <w:r w:rsidR="00081538">
        <w:rPr>
          <w:sz w:val="18"/>
        </w:rPr>
        <w:t>’</w:t>
      </w:r>
      <w:r w:rsidR="001626A0" w:rsidRPr="003179D0">
        <w:rPr>
          <w:sz w:val="18"/>
        </w:rPr>
        <w:t>en existe pas pour certaines plantes ou espèces, un questionnaire technique générique est disponib</w:t>
      </w:r>
      <w:r w:rsidR="00794B5B" w:rsidRPr="003179D0">
        <w:rPr>
          <w:sz w:val="18"/>
        </w:rPr>
        <w:t>le</w:t>
      </w:r>
      <w:r w:rsidR="00794B5B">
        <w:rPr>
          <w:sz w:val="18"/>
        </w:rPr>
        <w:t xml:space="preserve">.  </w:t>
      </w:r>
      <w:r w:rsidR="00794B5B" w:rsidRPr="003179D0">
        <w:rPr>
          <w:sz w:val="18"/>
        </w:rPr>
        <w:t>En</w:t>
      </w:r>
      <w:r w:rsidR="001626A0" w:rsidRPr="003179D0">
        <w:rPr>
          <w:sz w:val="18"/>
        </w:rPr>
        <w:t xml:space="preserve"> outre, les membres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 xml:space="preserve">UPOV </w:t>
      </w:r>
      <w:r w:rsidR="002F1C46" w:rsidRPr="003179D0">
        <w:rPr>
          <w:sz w:val="18"/>
        </w:rPr>
        <w:t>peuvent</w:t>
      </w:r>
      <w:r w:rsidR="001626A0" w:rsidRPr="003179D0">
        <w:rPr>
          <w:sz w:val="18"/>
        </w:rPr>
        <w:t xml:space="preserve"> établir un lien entre ces plantes ou espèces et des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appropri</w:t>
      </w:r>
      <w:r w:rsidR="00794B5B" w:rsidRPr="003179D0">
        <w:rPr>
          <w:sz w:val="18"/>
        </w:rPr>
        <w:t>és</w:t>
      </w:r>
      <w:r w:rsidR="00794B5B">
        <w:rPr>
          <w:sz w:val="18"/>
        </w:rPr>
        <w:t xml:space="preserve">.  </w:t>
      </w:r>
      <w:r w:rsidR="00794B5B" w:rsidRPr="003179D0">
        <w:rPr>
          <w:sz w:val="18"/>
        </w:rPr>
        <w:t>Il</w:t>
      </w:r>
      <w:r w:rsidR="001626A0" w:rsidRPr="003179D0">
        <w:rPr>
          <w:sz w:val="18"/>
        </w:rPr>
        <w:t xml:space="preserve"> est expliqué qu</w:t>
      </w:r>
      <w:r w:rsidR="00081538">
        <w:rPr>
          <w:sz w:val="18"/>
        </w:rPr>
        <w:t>’</w:t>
      </w:r>
      <w:r w:rsidR="001626A0" w:rsidRPr="003179D0">
        <w:rPr>
          <w:sz w:val="18"/>
        </w:rPr>
        <w:t>il ne serait pas judicieux d</w:t>
      </w:r>
      <w:r w:rsidR="00081538">
        <w:rPr>
          <w:sz w:val="18"/>
        </w:rPr>
        <w:t>’</w:t>
      </w:r>
      <w:r w:rsidR="001626A0" w:rsidRPr="003179D0">
        <w:rPr>
          <w:sz w:val="18"/>
        </w:rPr>
        <w:t>utiliser des principes directeurs nationaux pour ces plantes ou espèces, car cela supposerait beaucoup d</w:t>
      </w:r>
      <w:r w:rsidR="00081538">
        <w:rPr>
          <w:sz w:val="18"/>
        </w:rPr>
        <w:t>’</w:t>
      </w:r>
      <w:r w:rsidR="001626A0" w:rsidRPr="003179D0">
        <w:rPr>
          <w:sz w:val="18"/>
        </w:rPr>
        <w:t>efforts en termes de tenue à jour et des tâches supplémentaires en matière de traduction et d</w:t>
      </w:r>
      <w:r w:rsidR="00081538">
        <w:rPr>
          <w:sz w:val="18"/>
        </w:rPr>
        <w:t>’</w:t>
      </w:r>
      <w:r w:rsidR="001626A0" w:rsidRPr="003179D0">
        <w:rPr>
          <w:sz w:val="18"/>
        </w:rPr>
        <w:t>harmonisati</w:t>
      </w:r>
      <w:r w:rsidR="00794B5B" w:rsidRPr="003179D0">
        <w:rPr>
          <w:sz w:val="18"/>
        </w:rPr>
        <w:t>on</w:t>
      </w:r>
      <w:r w:rsidR="00794B5B">
        <w:rPr>
          <w:sz w:val="18"/>
        </w:rPr>
        <w:t xml:space="preserve">.  </w:t>
      </w:r>
      <w:r w:rsidR="00794B5B" w:rsidRPr="003179D0">
        <w:rPr>
          <w:sz w:val="18"/>
        </w:rPr>
        <w:t>Ce</w:t>
      </w:r>
      <w:r w:rsidR="001626A0" w:rsidRPr="003179D0">
        <w:rPr>
          <w:sz w:val="18"/>
        </w:rPr>
        <w:t>pendant, les membres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participant à UPOV PRISMA pouvaient convenir d</w:t>
      </w:r>
      <w:r w:rsidR="00081538">
        <w:rPr>
          <w:sz w:val="18"/>
        </w:rPr>
        <w:t>’</w:t>
      </w:r>
      <w:r w:rsidR="001626A0" w:rsidRPr="003179D0">
        <w:rPr>
          <w:sz w:val="18"/>
        </w:rPr>
        <w:t>un questionnaire technique commun, ce qui permettrait de réduire les efforts de traduction et d</w:t>
      </w:r>
      <w:r w:rsidR="00081538">
        <w:rPr>
          <w:sz w:val="18"/>
        </w:rPr>
        <w:t>’</w:t>
      </w:r>
      <w:r w:rsidR="001626A0" w:rsidRPr="003179D0">
        <w:rPr>
          <w:sz w:val="18"/>
        </w:rPr>
        <w:t>harmonisation.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1325D3" w:rsidP="001626A0">
      <w:pPr>
        <w:ind w:left="567" w:right="567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21.</w:t>
      </w:r>
      <w:r w:rsidR="001626A0" w:rsidRPr="003179D0">
        <w:rPr>
          <w:sz w:val="18"/>
        </w:rPr>
        <w:tab/>
        <w:t>Les participants notent que, lorsqu</w:t>
      </w:r>
      <w:r w:rsidR="00081538">
        <w:rPr>
          <w:sz w:val="18"/>
        </w:rPr>
        <w:t>’</w:t>
      </w:r>
      <w:r w:rsidR="001626A0" w:rsidRPr="003179D0">
        <w:rPr>
          <w:sz w:val="18"/>
        </w:rPr>
        <w:t>un service participant utilise un questionnaire technique national pour le tableau des caractères pour une plante particulière, s</w:t>
      </w:r>
      <w:r w:rsidR="00081538">
        <w:rPr>
          <w:sz w:val="18"/>
        </w:rPr>
        <w:t>’</w:t>
      </w:r>
      <w:r w:rsidR="001626A0" w:rsidRPr="003179D0">
        <w:rPr>
          <w:sz w:val="18"/>
        </w:rPr>
        <w:t>il n</w:t>
      </w:r>
      <w:r w:rsidR="00081538">
        <w:rPr>
          <w:sz w:val="18"/>
        </w:rPr>
        <w:t>’</w:t>
      </w:r>
      <w:r w:rsidR="001626A0" w:rsidRPr="003179D0">
        <w:rPr>
          <w:sz w:val="18"/>
        </w:rPr>
        <w:t>existe pas de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et que le questionnaire générique ne convient pas, il serait possible d</w:t>
      </w:r>
      <w:r w:rsidR="00081538">
        <w:rPr>
          <w:sz w:val="18"/>
        </w:rPr>
        <w:t>’</w:t>
      </w:r>
      <w:r w:rsidR="001626A0" w:rsidRPr="003179D0">
        <w:rPr>
          <w:sz w:val="18"/>
        </w:rPr>
        <w:t>élaborer un questionnaire UPOV PRISMA spécifique pour cette plante, sous réserve de consulter les autres membres d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PRISMA et de respecter les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examen, le questionnaire technique et les caractères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UPOV.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1325D3" w:rsidP="001626A0">
      <w:pPr>
        <w:ind w:left="567" w:right="850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22.</w:t>
      </w:r>
      <w:r w:rsidR="001626A0" w:rsidRPr="003179D0">
        <w:rPr>
          <w:sz w:val="18"/>
        </w:rPr>
        <w:tab/>
        <w:t>Les participants prennent note du processus de consultation pour les services qui n</w:t>
      </w:r>
      <w:r w:rsidR="00081538">
        <w:rPr>
          <w:sz w:val="18"/>
        </w:rPr>
        <w:t>’</w:t>
      </w:r>
      <w:r w:rsidR="001626A0" w:rsidRPr="003179D0">
        <w:rPr>
          <w:sz w:val="18"/>
        </w:rPr>
        <w:t>ont pas adopté l</w:t>
      </w:r>
      <w:r w:rsidR="00081538">
        <w:rPr>
          <w:sz w:val="18"/>
        </w:rPr>
        <w:t>’</w:t>
      </w:r>
      <w:r w:rsidR="001626A0" w:rsidRPr="003179D0">
        <w:rPr>
          <w:sz w:val="18"/>
        </w:rPr>
        <w:t>approche générale mais qui utilisent les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examen, le questionnaire technique et les caractères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UPOV, comme suit</w:t>
      </w:r>
      <w:r w:rsidR="00081538">
        <w:rPr>
          <w:sz w:val="18"/>
        </w:rPr>
        <w:t> :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1.</w:t>
      </w:r>
      <w:r w:rsidR="001626A0" w:rsidRPr="003179D0">
        <w:rPr>
          <w:sz w:val="18"/>
          <w:szCs w:val="18"/>
        </w:rPr>
        <w:tab/>
        <w:t>Demande du pays A pour une plante donnée (questionnaire technique du pays A)</w:t>
      </w: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2.</w:t>
      </w:r>
      <w:r w:rsidR="001626A0" w:rsidRPr="003179D0">
        <w:rPr>
          <w:sz w:val="18"/>
          <w:szCs w:val="18"/>
        </w:rPr>
        <w:tab/>
        <w:t>Information des autres services participants dans UPOV PRISMA</w:t>
      </w: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3.</w:t>
      </w:r>
      <w:r w:rsidR="001626A0" w:rsidRPr="003179D0">
        <w:rPr>
          <w:sz w:val="18"/>
          <w:szCs w:val="18"/>
        </w:rPr>
        <w:tab/>
        <w:t>Diffusion du questionnaire technique du pays A pour vérifier qu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il n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y a pas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objection à son utilisation en tant que questionnaire technique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UPOV PRISMA</w:t>
      </w:r>
    </w:p>
    <w:p w:rsidR="008316C0" w:rsidRPr="003179D0" w:rsidRDefault="000D74E5" w:rsidP="000D74E5">
      <w:pPr>
        <w:ind w:left="1701" w:right="567" w:hanging="567"/>
        <w:rPr>
          <w:sz w:val="18"/>
          <w:szCs w:val="18"/>
        </w:rPr>
      </w:pPr>
      <w:r>
        <w:rPr>
          <w:sz w:val="18"/>
        </w:rPr>
        <w:lastRenderedPageBreak/>
        <w:t>“</w:t>
      </w:r>
      <w:r w:rsidR="001626A0" w:rsidRPr="003179D0">
        <w:rPr>
          <w:sz w:val="18"/>
          <w:szCs w:val="18"/>
        </w:rPr>
        <w:t>4.</w:t>
      </w:r>
      <w:r w:rsidR="001626A0" w:rsidRPr="003179D0">
        <w:rPr>
          <w:sz w:val="18"/>
          <w:szCs w:val="18"/>
        </w:rPr>
        <w:tab/>
        <w:t>En l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absence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objections</w:t>
      </w:r>
      <w:r w:rsidR="00081538">
        <w:rPr>
          <w:sz w:val="18"/>
          <w:szCs w:val="18"/>
        </w:rPr>
        <w:t> :</w:t>
      </w:r>
      <w:r w:rsidR="001626A0" w:rsidRPr="003179D0">
        <w:rPr>
          <w:sz w:val="18"/>
          <w:szCs w:val="18"/>
        </w:rPr>
        <w:t xml:space="preserve"> le questionnaire technique du pays A devient le questionnaire technique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UPOV PRISMA (sous réserve des ressources disponibles)</w:t>
      </w: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5.</w:t>
      </w:r>
      <w:r w:rsidR="001626A0" w:rsidRPr="003179D0">
        <w:rPr>
          <w:sz w:val="18"/>
          <w:szCs w:val="18"/>
        </w:rPr>
        <w:tab/>
        <w:t>En cas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objections</w:t>
      </w:r>
      <w:r w:rsidR="00081538">
        <w:rPr>
          <w:sz w:val="18"/>
          <w:szCs w:val="18"/>
        </w:rPr>
        <w:t> :</w:t>
      </w:r>
      <w:r w:rsidR="001626A0" w:rsidRPr="003179D0">
        <w:rPr>
          <w:sz w:val="18"/>
          <w:szCs w:val="18"/>
        </w:rPr>
        <w:t xml:space="preserve"> discussion entre les parties intéressées pour examiner les possibilités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 xml:space="preserve">élaborer un questionnaire technique harmonisé (puis retour au </w:t>
      </w:r>
      <w:r w:rsidR="00571E2E" w:rsidRPr="003179D0">
        <w:rPr>
          <w:sz w:val="18"/>
          <w:szCs w:val="18"/>
        </w:rPr>
        <w:t>point 3</w:t>
      </w:r>
      <w:r w:rsidR="001626A0" w:rsidRPr="003179D0">
        <w:rPr>
          <w:sz w:val="18"/>
          <w:szCs w:val="18"/>
        </w:rPr>
        <w:t>)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0D74E5" w:rsidP="001626A0">
      <w:pPr>
        <w:ind w:left="567" w:right="850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Il sera rendu compte de toute nouvelle demande à la prochaine réunion sur l</w:t>
      </w:r>
      <w:r w:rsidR="00081538">
        <w:rPr>
          <w:sz w:val="18"/>
        </w:rPr>
        <w:t>’</w:t>
      </w:r>
      <w:r w:rsidR="001626A0" w:rsidRPr="003179D0">
        <w:rPr>
          <w:sz w:val="18"/>
        </w:rPr>
        <w:t>élaboration d</w:t>
      </w:r>
      <w:r w:rsidR="00081538">
        <w:rPr>
          <w:sz w:val="18"/>
        </w:rPr>
        <w:t>’</w:t>
      </w:r>
      <w:r w:rsidR="001626A0" w:rsidRPr="003179D0">
        <w:rPr>
          <w:sz w:val="18"/>
        </w:rPr>
        <w:t>un formulaire de demande électronique</w:t>
      </w:r>
      <w:r w:rsidR="00571E2E" w:rsidRPr="003179D0">
        <w:rPr>
          <w:sz w:val="18"/>
        </w:rPr>
        <w:t>.”</w:t>
      </w:r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1626A0" w:rsidRPr="003179D0">
        <w:t>Il n</w:t>
      </w:r>
      <w:r w:rsidR="00081538">
        <w:t>’</w:t>
      </w:r>
      <w:r w:rsidR="001626A0" w:rsidRPr="003179D0">
        <w:t>existe pas de principes directeurs d</w:t>
      </w:r>
      <w:r w:rsidR="00081538">
        <w:t>’</w:t>
      </w:r>
      <w:r w:rsidR="001626A0" w:rsidRPr="003179D0">
        <w:t>examen de l</w:t>
      </w:r>
      <w:r w:rsidR="00081538">
        <w:t>’</w:t>
      </w:r>
      <w:r w:rsidR="001626A0" w:rsidRPr="003179D0">
        <w:t>UPOV pour la betterave à sucre et l</w:t>
      </w:r>
      <w:r w:rsidR="00081538">
        <w:t>’</w:t>
      </w:r>
      <w:r w:rsidR="001626A0" w:rsidRPr="003179D0">
        <w:t>approche ci</w:t>
      </w:r>
      <w:r w:rsidR="00081538">
        <w:t>-</w:t>
      </w:r>
      <w:r w:rsidR="001626A0" w:rsidRPr="003179D0">
        <w:t>dessus a été étudiée, mais les premières observations indiquent qu</w:t>
      </w:r>
      <w:r w:rsidR="00081538">
        <w:t>’</w:t>
      </w:r>
      <w:r w:rsidR="001626A0" w:rsidRPr="003179D0">
        <w:t>il pourrait être problématique de chercher à adopter un questionnaire technique spécifique pour tous les membres de l</w:t>
      </w:r>
      <w:r w:rsidR="00081538">
        <w:t>’</w:t>
      </w:r>
      <w:r w:rsidR="001626A0" w:rsidRPr="003179D0">
        <w:t>UPOV qui utilisent le questionnaire technique de l</w:t>
      </w:r>
      <w:r w:rsidR="00081538">
        <w:t>’</w:t>
      </w:r>
      <w:r w:rsidR="001626A0" w:rsidRPr="003179D0">
        <w:t>UPOV pour tous les genres et espèces.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61374" w:rsidRPr="003179D0">
        <w:t>Sur la base des observations reçues, il a été convenu lors de la réunion</w:t>
      </w:r>
      <w:r w:rsidR="00890F1B" w:rsidRPr="003179D0">
        <w:t> </w:t>
      </w:r>
      <w:r w:rsidR="00861374" w:rsidRPr="003179D0">
        <w:t>EAF/19 de modifier la procédure ci</w:t>
      </w:r>
      <w:r w:rsidR="00081538">
        <w:t>-</w:t>
      </w:r>
      <w:r w:rsidR="00861374" w:rsidRPr="003179D0">
        <w:t xml:space="preserve">dessus comme suit (voir le </w:t>
      </w:r>
      <w:r w:rsidR="00571E2E" w:rsidRPr="003179D0">
        <w:t>paragraphe 1</w:t>
      </w:r>
      <w:r w:rsidR="00861374" w:rsidRPr="003179D0">
        <w:t xml:space="preserve">6 du </w:t>
      </w:r>
      <w:r w:rsidR="00081538" w:rsidRPr="003179D0">
        <w:t>document</w:t>
      </w:r>
      <w:r w:rsidR="00081538">
        <w:t xml:space="preserve"> </w:t>
      </w:r>
      <w:r w:rsidR="00081538" w:rsidRPr="003179D0">
        <w:t>EA</w:t>
      </w:r>
      <w:r w:rsidR="00861374" w:rsidRPr="003179D0">
        <w:t xml:space="preserve">F/19/3 </w:t>
      </w:r>
      <w:r w:rsidR="00571E2E" w:rsidRPr="003179D0">
        <w:t>“</w:t>
      </w:r>
      <w:r w:rsidR="0053527C" w:rsidRPr="003179D0">
        <w:t>Compte rendu</w:t>
      </w:r>
      <w:r w:rsidR="00571E2E" w:rsidRPr="003179D0">
        <w:t>”</w:t>
      </w:r>
      <w:r w:rsidR="00861374" w:rsidRPr="003179D0">
        <w:t>)</w:t>
      </w:r>
      <w:r w:rsidR="00081538">
        <w:t> :</w:t>
      </w:r>
    </w:p>
    <w:p w:rsidR="008316C0" w:rsidRPr="003179D0" w:rsidRDefault="008316C0" w:rsidP="005429CF">
      <w:pPr>
        <w:keepNext/>
      </w:pPr>
    </w:p>
    <w:p w:rsidR="008316C0" w:rsidRPr="003179D0" w:rsidRDefault="00861374" w:rsidP="000D74E5">
      <w:pPr>
        <w:keepNext/>
        <w:ind w:left="1701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1.</w:t>
      </w:r>
      <w:r w:rsidRPr="003179D0">
        <w:rPr>
          <w:sz w:val="18"/>
          <w:szCs w:val="18"/>
        </w:rPr>
        <w:tab/>
        <w:t>Demande du service A pour une plante donnée (questionnaire technique du service A)</w:t>
      </w:r>
    </w:p>
    <w:p w:rsidR="008316C0" w:rsidRPr="003179D0" w:rsidRDefault="00861374" w:rsidP="000D74E5">
      <w:pPr>
        <w:keepNext/>
        <w:ind w:left="1701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2.</w:t>
      </w:r>
      <w:r w:rsidRPr="003179D0">
        <w:rPr>
          <w:sz w:val="18"/>
          <w:szCs w:val="18"/>
        </w:rPr>
        <w:tab/>
        <w:t>Information des autres services participants dans UPOV PRISMA</w:t>
      </w:r>
    </w:p>
    <w:p w:rsidR="008316C0" w:rsidRPr="003179D0" w:rsidRDefault="00861374" w:rsidP="000D74E5">
      <w:pPr>
        <w:keepNext/>
        <w:ind w:left="1701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3.</w:t>
      </w:r>
      <w:r w:rsidRPr="003179D0">
        <w:rPr>
          <w:sz w:val="18"/>
          <w:szCs w:val="18"/>
        </w:rPr>
        <w:tab/>
        <w:t>Diffusion du questionnaire technique du service A pour savoir si les membres participants de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UPOV qui utilisent les questionnaires techniques de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UPOV pour tous les genres et espèces préfèrent</w:t>
      </w:r>
      <w:r w:rsidR="00081538">
        <w:rPr>
          <w:sz w:val="18"/>
          <w:szCs w:val="18"/>
        </w:rPr>
        <w:t> :</w:t>
      </w:r>
    </w:p>
    <w:p w:rsidR="008316C0" w:rsidRPr="003179D0" w:rsidRDefault="00861374" w:rsidP="000D74E5">
      <w:pPr>
        <w:ind w:left="2268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a)</w:t>
      </w:r>
      <w:r w:rsidRPr="003179D0">
        <w:rPr>
          <w:sz w:val="18"/>
          <w:szCs w:val="18"/>
        </w:rPr>
        <w:tab/>
        <w:t>utiliser le questionnaire technique du service A ou</w:t>
      </w:r>
    </w:p>
    <w:p w:rsidR="008316C0" w:rsidRPr="003179D0" w:rsidRDefault="00861374" w:rsidP="000D74E5">
      <w:pPr>
        <w:ind w:left="2268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b)</w:t>
      </w:r>
      <w:r w:rsidRPr="003179D0">
        <w:rPr>
          <w:sz w:val="18"/>
          <w:szCs w:val="18"/>
        </w:rPr>
        <w:tab/>
        <w:t>continuer d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utiliser le questionnaire technique générique</w:t>
      </w:r>
    </w:p>
    <w:p w:rsidR="008316C0" w:rsidRPr="003179D0" w:rsidRDefault="00861374" w:rsidP="000D74E5">
      <w:pPr>
        <w:ind w:left="1701" w:right="567" w:hanging="567"/>
        <w:rPr>
          <w:sz w:val="18"/>
          <w:szCs w:val="18"/>
        </w:rPr>
      </w:pPr>
      <w:r w:rsidRPr="003179D0">
        <w:rPr>
          <w:sz w:val="18"/>
          <w:szCs w:val="18"/>
        </w:rPr>
        <w:t>4.</w:t>
      </w:r>
      <w:r w:rsidRPr="003179D0">
        <w:rPr>
          <w:sz w:val="18"/>
          <w:szCs w:val="18"/>
        </w:rPr>
        <w:tab/>
        <w:t>Mise en œuvre du questionnaire technique du service A pour les membres de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UPOV qui souhaitent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utiliser (sous réserve des ressources disponibles).</w:t>
      </w:r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61374" w:rsidRPr="003179D0">
        <w:t>Conformément à la procédure ci</w:t>
      </w:r>
      <w:r w:rsidR="00081538">
        <w:t>-</w:t>
      </w:r>
      <w:r w:rsidR="00861374" w:rsidRPr="003179D0">
        <w:t>dessus, plusieurs services peuvent mettre leur questionnaire technique à la disposition des autres membres participants de l</w:t>
      </w:r>
      <w:r w:rsidR="00081538">
        <w:t>’</w:t>
      </w:r>
      <w:r w:rsidR="00861374" w:rsidRPr="003179D0">
        <w:t>UPOV qui utilisent le questionnaire technique de l</w:t>
      </w:r>
      <w:r w:rsidR="00081538">
        <w:t>’</w:t>
      </w:r>
      <w:r w:rsidR="00861374" w:rsidRPr="003179D0">
        <w:t>UPOV pour tous les genres et espèces.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61374" w:rsidRPr="003179D0">
        <w:t>Le Royaume</w:t>
      </w:r>
      <w:r w:rsidR="00081538">
        <w:t>-</w:t>
      </w:r>
      <w:r w:rsidR="00861374" w:rsidRPr="003179D0">
        <w:t>Uni dispose d</w:t>
      </w:r>
      <w:r w:rsidR="00081538">
        <w:t>’</w:t>
      </w:r>
      <w:r w:rsidR="00861374" w:rsidRPr="003179D0">
        <w:t>un questionnaire technique spécifique, dont une copie figure à l</w:t>
      </w:r>
      <w:r w:rsidR="00081538">
        <w:t>’</w:t>
      </w:r>
      <w:r w:rsidR="00861374" w:rsidRPr="003179D0">
        <w:t>annexe du présent docume</w:t>
      </w:r>
      <w:r w:rsidR="00794B5B" w:rsidRPr="003179D0">
        <w:t>nt</w:t>
      </w:r>
      <w:r w:rsidR="00794B5B">
        <w:t xml:space="preserve">.  </w:t>
      </w:r>
      <w:r w:rsidR="00794B5B" w:rsidRPr="003179D0">
        <w:t>Co</w:t>
      </w:r>
      <w:r w:rsidR="00861374" w:rsidRPr="003179D0">
        <w:t>nformément à la nouvelle procédure proposée, le questionnaire technique du Royaume</w:t>
      </w:r>
      <w:r w:rsidR="00081538">
        <w:t>-</w:t>
      </w:r>
      <w:r w:rsidR="00861374" w:rsidRPr="003179D0">
        <w:t>Uni a été soumis le 1</w:t>
      </w:r>
      <w:r w:rsidR="00571E2E" w:rsidRPr="003179D0">
        <w:t>5 juin 20</w:t>
      </w:r>
      <w:r w:rsidR="00861374" w:rsidRPr="003179D0">
        <w:t>22 (circulaire</w:t>
      </w:r>
      <w:r w:rsidR="00890F1B" w:rsidRPr="003179D0">
        <w:t> </w:t>
      </w:r>
      <w:r w:rsidR="00861374" w:rsidRPr="003179D0">
        <w:t>E</w:t>
      </w:r>
      <w:r w:rsidR="00081538">
        <w:t>-</w:t>
      </w:r>
      <w:r w:rsidR="00861374" w:rsidRPr="003179D0">
        <w:t>22/089) aux membres participants de l</w:t>
      </w:r>
      <w:r w:rsidR="00081538">
        <w:t>’</w:t>
      </w:r>
      <w:r w:rsidR="00861374" w:rsidRPr="003179D0">
        <w:t>UPOV ci</w:t>
      </w:r>
      <w:r w:rsidR="00081538">
        <w:t>-</w:t>
      </w:r>
      <w:r w:rsidR="00861374" w:rsidRPr="003179D0">
        <w:t>après qui utilisent le questionnaire technique de l</w:t>
      </w:r>
      <w:r w:rsidR="00081538">
        <w:t>’</w:t>
      </w:r>
      <w:r w:rsidR="00861374" w:rsidRPr="003179D0">
        <w:t>UPOV pour tous les genres et espèces, pour savoir s</w:t>
      </w:r>
      <w:r w:rsidR="00081538">
        <w:t>’</w:t>
      </w:r>
      <w:r w:rsidR="00861374" w:rsidRPr="003179D0">
        <w:t>ils souhaitent utiliser le questionnaire technique du Royaume</w:t>
      </w:r>
      <w:r w:rsidR="00081538">
        <w:t>-</w:t>
      </w:r>
      <w:r w:rsidR="00861374" w:rsidRPr="003179D0">
        <w:t>Uni ou s</w:t>
      </w:r>
      <w:r w:rsidR="00081538">
        <w:t>’</w:t>
      </w:r>
      <w:r w:rsidR="00861374" w:rsidRPr="003179D0">
        <w:t xml:space="preserve">ils préfèrent continuer </w:t>
      </w:r>
      <w:r w:rsidR="0053527C" w:rsidRPr="003179D0">
        <w:t>d</w:t>
      </w:r>
      <w:r w:rsidR="00081538">
        <w:t>’</w:t>
      </w:r>
      <w:r w:rsidR="00861374" w:rsidRPr="003179D0">
        <w:t>utiliser le questionnaire technique générique</w:t>
      </w:r>
      <w:r w:rsidR="00081538">
        <w:t> :</w:t>
      </w:r>
    </w:p>
    <w:p w:rsidR="005429CF" w:rsidRPr="003179D0" w:rsidRDefault="005429CF" w:rsidP="005429CF"/>
    <w:tbl>
      <w:tblPr>
        <w:tblStyle w:val="TableGrid1"/>
        <w:tblW w:w="4673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</w:tblGrid>
      <w:tr w:rsidR="005429CF" w:rsidRPr="003179D0" w:rsidTr="00927738">
        <w:trPr>
          <w:cantSplit/>
          <w:tblHeader/>
          <w:jc w:val="center"/>
        </w:trPr>
        <w:tc>
          <w:tcPr>
            <w:tcW w:w="4673" w:type="dxa"/>
            <w:shd w:val="clear" w:color="auto" w:fill="EEECE1" w:themeFill="background2"/>
            <w:vAlign w:val="center"/>
          </w:tcPr>
          <w:p w:rsidR="005429CF" w:rsidRPr="003179D0" w:rsidRDefault="00861374" w:rsidP="00861374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Service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Afrique du Sud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Chili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Colombie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France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Géorgie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Kenya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Mexique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Norvège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Nouvelle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Zélande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Organisation africaine de la propriété intellectuelle (OAPI) 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Pays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Bas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Pérou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de Moldova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dominicaine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Royaume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Uni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Saint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Vincent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et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les Grenadines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Serbie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Suède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Tunisie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92773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Türkiye</w:t>
            </w:r>
          </w:p>
        </w:tc>
      </w:tr>
      <w:tr w:rsidR="006D574A" w:rsidRPr="003179D0" w:rsidTr="00927738">
        <w:trPr>
          <w:cantSplit/>
          <w:trHeight w:val="120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Viet Nam</w:t>
            </w:r>
          </w:p>
        </w:tc>
      </w:tr>
    </w:tbl>
    <w:p w:rsidR="008316C0" w:rsidRPr="003179D0" w:rsidRDefault="008316C0" w:rsidP="005429CF"/>
    <w:p w:rsidR="008316C0" w:rsidRPr="003179D0" w:rsidRDefault="008316C0" w:rsidP="005429CF"/>
    <w:p w:rsidR="008316C0" w:rsidRPr="003179D0" w:rsidRDefault="005429CF" w:rsidP="009951D3">
      <w:pPr>
        <w:rPr>
          <w:rFonts w:cs="Arial"/>
        </w:rPr>
      </w:pPr>
      <w:r w:rsidRPr="003179D0">
        <w:rPr>
          <w:rFonts w:cs="Arial"/>
        </w:rPr>
        <w:lastRenderedPageBreak/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 xml:space="preserve">La </w:t>
      </w:r>
      <w:r w:rsidR="009951D3" w:rsidRPr="00A759BD">
        <w:t>République de Moldova a exprimé le souhait d</w:t>
      </w:r>
      <w:r w:rsidR="00081538" w:rsidRPr="00A759BD">
        <w:t>’</w:t>
      </w:r>
      <w:r w:rsidR="009951D3" w:rsidRPr="00A759BD">
        <w:t>utiliser le questionnaire technique du Royaume</w:t>
      </w:r>
      <w:r w:rsidR="00081538" w:rsidRPr="00A759BD">
        <w:t>-</w:t>
      </w:r>
      <w:r w:rsidR="009951D3" w:rsidRPr="00A759BD">
        <w:t>Uni pour la betterave à suc</w:t>
      </w:r>
      <w:r w:rsidR="00794B5B" w:rsidRPr="00A759BD">
        <w:t>re.  La</w:t>
      </w:r>
      <w:r w:rsidR="009951D3" w:rsidRPr="00A759BD">
        <w:t xml:space="preserve"> version</w:t>
      </w:r>
      <w:r w:rsidR="00890F1B" w:rsidRPr="00A759BD">
        <w:t> </w:t>
      </w:r>
      <w:r w:rsidR="009951D3" w:rsidRPr="00A759BD">
        <w:t>2.8 le prendra en considération</w:t>
      </w:r>
      <w:r w:rsidR="009951D3" w:rsidRPr="003179D0">
        <w:rPr>
          <w:rFonts w:cs="Arial"/>
        </w:rPr>
        <w:t>.</w:t>
      </w:r>
    </w:p>
    <w:p w:rsidR="008316C0" w:rsidRPr="003179D0" w:rsidRDefault="008316C0" w:rsidP="005429CF"/>
    <w:p w:rsidR="00571E2E" w:rsidRPr="003179D0" w:rsidRDefault="009951D3" w:rsidP="009951D3">
      <w:pPr>
        <w:pStyle w:val="Heading2"/>
      </w:pPr>
      <w:bookmarkStart w:id="31" w:name="_Toc110247335"/>
      <w:r w:rsidRPr="003179D0">
        <w:t>Plans pour la version 2.9 (</w:t>
      </w:r>
      <w:r w:rsidR="00571E2E" w:rsidRPr="003179D0">
        <w:t>septembre 20</w:t>
      </w:r>
      <w:r w:rsidRPr="003179D0">
        <w:t>23)</w:t>
      </w:r>
      <w:bookmarkEnd w:id="31"/>
    </w:p>
    <w:p w:rsidR="008316C0" w:rsidRPr="003179D0" w:rsidRDefault="008316C0" w:rsidP="005429CF">
      <w:pPr>
        <w:rPr>
          <w:rFonts w:cs="Arial"/>
        </w:rPr>
      </w:pPr>
    </w:p>
    <w:p w:rsidR="008316C0" w:rsidRPr="003179D0" w:rsidRDefault="005429CF" w:rsidP="009951D3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>Il est prévu de lancer la version</w:t>
      </w:r>
      <w:r w:rsidR="00890F1B" w:rsidRPr="003179D0">
        <w:rPr>
          <w:rFonts w:cs="Arial"/>
        </w:rPr>
        <w:t> </w:t>
      </w:r>
      <w:r w:rsidR="009951D3" w:rsidRPr="003179D0">
        <w:rPr>
          <w:rFonts w:cs="Arial"/>
        </w:rPr>
        <w:t>2.9 d</w:t>
      </w:r>
      <w:r w:rsidR="00081538">
        <w:rPr>
          <w:rFonts w:cs="Arial"/>
        </w:rPr>
        <w:t>’</w:t>
      </w:r>
      <w:r w:rsidR="009951D3" w:rsidRPr="003179D0">
        <w:rPr>
          <w:rFonts w:cs="Arial"/>
        </w:rPr>
        <w:t xml:space="preserve">UPOV PRISMA en </w:t>
      </w:r>
      <w:r w:rsidR="00571E2E" w:rsidRPr="003179D0">
        <w:rPr>
          <w:rFonts w:cs="Arial"/>
        </w:rPr>
        <w:t>septembre 20</w:t>
      </w:r>
      <w:r w:rsidR="009951D3" w:rsidRPr="003179D0">
        <w:rPr>
          <w:rFonts w:cs="Arial"/>
        </w:rPr>
        <w:t>23.</w:t>
      </w:r>
    </w:p>
    <w:p w:rsidR="008316C0" w:rsidRPr="003179D0" w:rsidRDefault="008316C0" w:rsidP="005429CF">
      <w:pPr>
        <w:rPr>
          <w:rFonts w:cs="Arial"/>
        </w:rPr>
      </w:pPr>
    </w:p>
    <w:p w:rsidR="00571E2E" w:rsidRPr="003179D0" w:rsidRDefault="009951D3" w:rsidP="009951D3">
      <w:pPr>
        <w:pStyle w:val="Heading3"/>
        <w:rPr>
          <w:rStyle w:val="Heading2Char"/>
        </w:rPr>
      </w:pPr>
      <w:bookmarkStart w:id="32" w:name="_Toc110247336"/>
      <w:r w:rsidRPr="003179D0">
        <w:rPr>
          <w:rStyle w:val="Heading2Char"/>
        </w:rPr>
        <w:t>Couverture des membres de l</w:t>
      </w:r>
      <w:r w:rsidR="00081538">
        <w:rPr>
          <w:rStyle w:val="Heading2Char"/>
        </w:rPr>
        <w:t>’</w:t>
      </w:r>
      <w:r w:rsidRPr="003179D0">
        <w:rPr>
          <w:rStyle w:val="Heading2Char"/>
        </w:rPr>
        <w:t>UPOV</w:t>
      </w:r>
      <w:bookmarkEnd w:id="32"/>
    </w:p>
    <w:p w:rsidR="008316C0" w:rsidRPr="003179D0" w:rsidRDefault="008316C0" w:rsidP="005429CF">
      <w:pPr>
        <w:rPr>
          <w:rFonts w:cs="Arial"/>
        </w:rPr>
      </w:pPr>
    </w:p>
    <w:p w:rsidR="008316C0" w:rsidRPr="003179D0" w:rsidRDefault="005429CF" w:rsidP="009951D3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>Les nouveautés suivantes concernant la couverture des membres de l</w:t>
      </w:r>
      <w:r w:rsidR="00081538">
        <w:rPr>
          <w:rFonts w:cs="Arial"/>
        </w:rPr>
        <w:t>’</w:t>
      </w:r>
      <w:r w:rsidR="009951D3" w:rsidRPr="003179D0">
        <w:rPr>
          <w:rFonts w:cs="Arial"/>
        </w:rPr>
        <w:t>UPOV sont prévues pour la version</w:t>
      </w:r>
      <w:r w:rsidR="00890F1B" w:rsidRPr="003179D0">
        <w:rPr>
          <w:rFonts w:cs="Arial"/>
        </w:rPr>
        <w:t> </w:t>
      </w:r>
      <w:r w:rsidR="009951D3" w:rsidRPr="003179D0">
        <w:rPr>
          <w:rFonts w:cs="Arial"/>
        </w:rPr>
        <w:t>2.9</w:t>
      </w:r>
      <w:r w:rsidR="00081538">
        <w:rPr>
          <w:rFonts w:cs="Arial"/>
        </w:rPr>
        <w:t> :</w:t>
      </w:r>
    </w:p>
    <w:p w:rsidR="008316C0" w:rsidRPr="003179D0" w:rsidRDefault="008316C0" w:rsidP="005429CF">
      <w:pPr>
        <w:rPr>
          <w:rFonts w:cs="Arial"/>
        </w:rPr>
      </w:pPr>
    </w:p>
    <w:p w:rsidR="00571E2E" w:rsidRPr="003179D0" w:rsidRDefault="000D74E5" w:rsidP="000D74E5">
      <w:pPr>
        <w:pStyle w:val="ListParagraph"/>
        <w:numPr>
          <w:ilvl w:val="0"/>
          <w:numId w:val="39"/>
        </w:numPr>
        <w:ind w:left="1134" w:hanging="567"/>
        <w:contextualSpacing w:val="0"/>
        <w:jc w:val="left"/>
        <w:rPr>
          <w:rFonts w:cs="Arial"/>
          <w:lang w:val="fr-FR"/>
        </w:rPr>
      </w:pPr>
      <w:r>
        <w:rPr>
          <w:rFonts w:cs="Arial"/>
          <w:lang w:val="fr-FR"/>
        </w:rPr>
        <w:t>i</w:t>
      </w:r>
      <w:r w:rsidR="009951D3" w:rsidRPr="003179D0">
        <w:rPr>
          <w:rFonts w:cs="Arial"/>
          <w:lang w:val="fr-FR"/>
        </w:rPr>
        <w:t>nclusion du Brésil;</w:t>
      </w:r>
    </w:p>
    <w:p w:rsidR="008316C0" w:rsidRPr="003179D0" w:rsidRDefault="000D74E5" w:rsidP="000D74E5">
      <w:pPr>
        <w:pStyle w:val="ListParagraph"/>
        <w:numPr>
          <w:ilvl w:val="0"/>
          <w:numId w:val="39"/>
        </w:numPr>
        <w:ind w:left="1134" w:hanging="567"/>
        <w:contextualSpacing w:val="0"/>
        <w:jc w:val="left"/>
        <w:rPr>
          <w:rFonts w:cs="Arial"/>
          <w:lang w:val="fr-FR"/>
        </w:rPr>
      </w:pPr>
      <w:r>
        <w:rPr>
          <w:rFonts w:cs="Arial"/>
          <w:lang w:val="fr-FR"/>
        </w:rPr>
        <w:t>e</w:t>
      </w:r>
      <w:r w:rsidR="009951D3" w:rsidRPr="003179D0">
        <w:rPr>
          <w:rFonts w:cs="Arial"/>
          <w:lang w:val="fr-FR"/>
        </w:rPr>
        <w:t>xtension de la liste de plantes couvertes pour la Chine.</w:t>
      </w:r>
    </w:p>
    <w:p w:rsidR="008316C0" w:rsidRPr="003179D0" w:rsidRDefault="008316C0" w:rsidP="005429CF">
      <w:pPr>
        <w:jc w:val="left"/>
        <w:rPr>
          <w:rFonts w:cs="Arial"/>
        </w:rPr>
      </w:pPr>
    </w:p>
    <w:p w:rsidR="008316C0" w:rsidRPr="003179D0" w:rsidRDefault="009951D3" w:rsidP="009951D3">
      <w:pPr>
        <w:pStyle w:val="Heading3"/>
        <w:rPr>
          <w:rStyle w:val="Heading2Char"/>
        </w:rPr>
      </w:pPr>
      <w:bookmarkStart w:id="33" w:name="_Toc110247337"/>
      <w:r w:rsidRPr="003179D0">
        <w:rPr>
          <w:rStyle w:val="Heading2Char"/>
          <w:u w:val="none"/>
        </w:rPr>
        <w:t>Fonctions</w:t>
      </w:r>
      <w:bookmarkEnd w:id="33"/>
    </w:p>
    <w:p w:rsidR="008316C0" w:rsidRPr="003179D0" w:rsidRDefault="008316C0" w:rsidP="005429CF">
      <w:pPr>
        <w:keepNext/>
        <w:rPr>
          <w:rFonts w:cs="Arial"/>
        </w:rPr>
      </w:pPr>
    </w:p>
    <w:p w:rsidR="008316C0" w:rsidRPr="003179D0" w:rsidRDefault="005429CF" w:rsidP="009951D3">
      <w:pPr>
        <w:keepNext/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>Il est prévu d</w:t>
      </w:r>
      <w:r w:rsidR="00081538">
        <w:rPr>
          <w:rFonts w:cs="Arial"/>
        </w:rPr>
        <w:t>’</w:t>
      </w:r>
      <w:r w:rsidR="009951D3" w:rsidRPr="003179D0">
        <w:rPr>
          <w:rFonts w:cs="Arial"/>
        </w:rPr>
        <w:t>introduire les fonctions suivantes dans la version</w:t>
      </w:r>
      <w:r w:rsidR="00890F1B" w:rsidRPr="003179D0">
        <w:rPr>
          <w:rFonts w:cs="Arial"/>
        </w:rPr>
        <w:t> </w:t>
      </w:r>
      <w:r w:rsidR="009951D3" w:rsidRPr="003179D0">
        <w:rPr>
          <w:rFonts w:cs="Arial"/>
        </w:rPr>
        <w:t>2.9</w:t>
      </w:r>
      <w:r w:rsidR="00081538">
        <w:rPr>
          <w:rFonts w:cs="Arial"/>
        </w:rPr>
        <w:t> :</w:t>
      </w:r>
    </w:p>
    <w:p w:rsidR="008316C0" w:rsidRPr="003179D0" w:rsidRDefault="008316C0" w:rsidP="005429CF">
      <w:pPr>
        <w:keepNext/>
        <w:rPr>
          <w:rFonts w:cs="Arial"/>
        </w:rPr>
      </w:pPr>
    </w:p>
    <w:p w:rsidR="008316C0" w:rsidRPr="003179D0" w:rsidRDefault="009951D3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rFonts w:cs="Arial"/>
          <w:lang w:val="fr-FR"/>
        </w:rPr>
      </w:pPr>
      <w:r w:rsidRPr="003179D0">
        <w:rPr>
          <w:rFonts w:cs="Arial"/>
          <w:lang w:val="fr-FR"/>
        </w:rPr>
        <w:t>transfert groupé (pour le maïs, Royaume</w:t>
      </w:r>
      <w:r w:rsidR="00081538">
        <w:rPr>
          <w:rFonts w:cs="Arial"/>
          <w:lang w:val="fr-FR"/>
        </w:rPr>
        <w:t>-</w:t>
      </w:r>
      <w:r w:rsidRPr="003179D0">
        <w:rPr>
          <w:rFonts w:cs="Arial"/>
          <w:lang w:val="fr-FR"/>
        </w:rPr>
        <w:t>Uni);</w:t>
      </w:r>
    </w:p>
    <w:p w:rsidR="008316C0" w:rsidRPr="003179D0" w:rsidRDefault="009951D3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migrer vers le Cloud pour une meilleure gestion des ressources au niveau infrastructurel et continuer d</w:t>
      </w:r>
      <w:r w:rsidR="00081538">
        <w:rPr>
          <w:lang w:val="fr-FR"/>
        </w:rPr>
        <w:t>’</w:t>
      </w:r>
      <w:r w:rsidRPr="003179D0">
        <w:rPr>
          <w:lang w:val="fr-FR"/>
        </w:rPr>
        <w:t>appliquer les normes les plus élevées en matière de sécurité;</w:t>
      </w:r>
    </w:p>
    <w:p w:rsidR="008316C0" w:rsidRPr="003179D0" w:rsidRDefault="009951D3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mettre au point une interface de configuration dédiée pour une gestion contrôlée des formulaires;</w:t>
      </w:r>
    </w:p>
    <w:p w:rsidR="008316C0" w:rsidRPr="003179D0" w:rsidRDefault="00AD1DB8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mettre en œuvre la nouvelle configuration de l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écran (Démarrer une nouvelle demande, Copier la demande) (voir les </w:t>
      </w:r>
      <w:r w:rsidR="00571E2E" w:rsidRPr="003179D0">
        <w:rPr>
          <w:lang w:val="fr-FR"/>
        </w:rPr>
        <w:t>paragraphes 2</w:t>
      </w:r>
      <w:r w:rsidRPr="003179D0">
        <w:rPr>
          <w:lang w:val="fr-FR"/>
        </w:rPr>
        <w:t>2 à 24).</w:t>
      </w:r>
    </w:p>
    <w:p w:rsidR="008316C0" w:rsidRPr="003179D0" w:rsidRDefault="008316C0" w:rsidP="005429CF">
      <w:pPr>
        <w:rPr>
          <w:rFonts w:cs="Arial"/>
        </w:rPr>
      </w:pPr>
    </w:p>
    <w:bookmarkEnd w:id="28"/>
    <w:bookmarkEnd w:id="29"/>
    <w:bookmarkEnd w:id="30"/>
    <w:p w:rsidR="008316C0" w:rsidRPr="003179D0" w:rsidRDefault="008316C0" w:rsidP="005429CF">
      <w:pPr>
        <w:jc w:val="left"/>
        <w:rPr>
          <w:highlight w:val="cyan"/>
        </w:rPr>
      </w:pPr>
    </w:p>
    <w:p w:rsidR="008316C0" w:rsidRPr="003179D0" w:rsidRDefault="00AD1DB8" w:rsidP="00AD1DB8">
      <w:pPr>
        <w:pStyle w:val="Heading1"/>
      </w:pPr>
      <w:bookmarkStart w:id="34" w:name="_Toc110247338"/>
      <w:r w:rsidRPr="003179D0">
        <w:t>Évolution possible</w:t>
      </w:r>
      <w:bookmarkEnd w:id="34"/>
    </w:p>
    <w:p w:rsidR="008316C0" w:rsidRPr="003179D0" w:rsidRDefault="008316C0" w:rsidP="005429CF"/>
    <w:p w:rsidR="008316C0" w:rsidRPr="003179D0" w:rsidRDefault="00AD1DB8" w:rsidP="00AD1DB8">
      <w:pPr>
        <w:pStyle w:val="Heading2"/>
      </w:pPr>
      <w:bookmarkStart w:id="35" w:name="_Toc110247339"/>
      <w:r w:rsidRPr="003179D0">
        <w:t>Champ d</w:t>
      </w:r>
      <w:r w:rsidR="00081538">
        <w:t>’</w:t>
      </w:r>
      <w:r w:rsidRPr="003179D0">
        <w:t>application</w:t>
      </w:r>
      <w:bookmarkEnd w:id="35"/>
    </w:p>
    <w:p w:rsidR="008316C0" w:rsidRPr="003179D0" w:rsidRDefault="008316C0" w:rsidP="005429CF"/>
    <w:p w:rsidR="008316C0" w:rsidRPr="003179D0" w:rsidRDefault="005429CF" w:rsidP="00AD1DB8">
      <w:pPr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Le Bureau de l</w:t>
      </w:r>
      <w:r w:rsidR="00081538">
        <w:t>’</w:t>
      </w:r>
      <w:r w:rsidR="00AD1DB8" w:rsidRPr="003179D0">
        <w:t>Union consultera les services chargés d</w:t>
      </w:r>
      <w:r w:rsidR="00081538">
        <w:t>’</w:t>
      </w:r>
      <w:r w:rsidR="00AD1DB8" w:rsidRPr="003179D0">
        <w:t>octroyer des droits d</w:t>
      </w:r>
      <w:r w:rsidR="00081538">
        <w:t>’</w:t>
      </w:r>
      <w:r w:rsidR="00AD1DB8" w:rsidRPr="003179D0">
        <w:t>obtenteur participants concernés au sujet de leurs exigences et de leur calendrier pour</w:t>
      </w:r>
      <w:r w:rsidR="00081538">
        <w:t> :</w:t>
      </w:r>
    </w:p>
    <w:p w:rsidR="008316C0" w:rsidRPr="003179D0" w:rsidRDefault="008316C0" w:rsidP="005429CF">
      <w:pPr>
        <w:rPr>
          <w:rFonts w:cs="Arial"/>
          <w:spacing w:val="-2"/>
        </w:rPr>
      </w:pP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 xml:space="preserve">inclure le répertoire national dans UPOV PRISMA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 xml:space="preserve">2 du </w:t>
      </w:r>
      <w:r w:rsidR="00A759BD">
        <w:rPr>
          <w:lang w:val="fr-FR"/>
        </w:rPr>
        <w:br/>
      </w:r>
      <w:r w:rsidRPr="003179D0">
        <w:rPr>
          <w:lang w:val="fr-FR"/>
        </w:rPr>
        <w:t>document EAF/15/3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introduire une communication ou des liens d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ordinateur à ordinateur avec UPOV PRISMA </w:t>
      </w:r>
      <w:r w:rsidR="00A759BD">
        <w:rPr>
          <w:lang w:val="fr-FR"/>
        </w:rPr>
        <w:br/>
      </w:r>
      <w:r w:rsidRPr="003179D0">
        <w:rPr>
          <w:lang w:val="fr-FR"/>
        </w:rPr>
        <w:t xml:space="preserve">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2 du document EAF/15/3 “Compte rendu”).</w:t>
      </w:r>
    </w:p>
    <w:p w:rsidR="008316C0" w:rsidRPr="003179D0" w:rsidRDefault="008316C0" w:rsidP="005429CF"/>
    <w:p w:rsidR="008316C0" w:rsidRPr="003179D0" w:rsidRDefault="005429CF" w:rsidP="00AD1DB8">
      <w:pPr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Les membres de l</w:t>
      </w:r>
      <w:r w:rsidR="00081538">
        <w:t>’</w:t>
      </w:r>
      <w:r w:rsidR="00AD1DB8" w:rsidRPr="003179D0">
        <w:t>Union ci</w:t>
      </w:r>
      <w:r w:rsidR="00081538">
        <w:t>-</w:t>
      </w:r>
      <w:r w:rsidR="00AD1DB8" w:rsidRPr="003179D0">
        <w:t>après ont fait part de leur intention de participer à UPOV PRISMA à une date ultérieure</w:t>
      </w:r>
      <w:r w:rsidR="00081538">
        <w:t> :</w:t>
      </w:r>
      <w:r w:rsidR="00AD1DB8" w:rsidRPr="003179D0">
        <w:t xml:space="preserve"> Bosnie</w:t>
      </w:r>
      <w:r w:rsidR="00081538">
        <w:t>-</w:t>
      </w:r>
      <w:r w:rsidR="00AD1DB8" w:rsidRPr="003179D0">
        <w:t>Herzégovine, Brésil, Japon, Nicaragua, Ouzbékistan, République</w:t>
      </w:r>
      <w:r w:rsidR="00081538">
        <w:t>-</w:t>
      </w:r>
      <w:r w:rsidR="00AD1DB8" w:rsidRPr="003179D0">
        <w:t>Unie de Tanzanie et Singapo</w:t>
      </w:r>
      <w:r w:rsidR="00794B5B" w:rsidRPr="003179D0">
        <w:t>ur</w:t>
      </w:r>
      <w:r w:rsidR="00794B5B">
        <w:t xml:space="preserve">.  </w:t>
      </w:r>
      <w:r w:rsidR="00794B5B" w:rsidRPr="003179D0">
        <w:rPr>
          <w:rFonts w:cs="Arial"/>
          <w:spacing w:val="-2"/>
        </w:rPr>
        <w:t>Le</w:t>
      </w:r>
      <w:r w:rsidR="00AD1DB8" w:rsidRPr="003179D0">
        <w:rPr>
          <w:rFonts w:cs="Arial"/>
          <w:spacing w:val="-2"/>
        </w:rPr>
        <w:t xml:space="preserve"> Bureau de l</w:t>
      </w:r>
      <w:r w:rsidR="00081538">
        <w:rPr>
          <w:rFonts w:cs="Arial"/>
          <w:spacing w:val="-2"/>
        </w:rPr>
        <w:t>’</w:t>
      </w:r>
      <w:r w:rsidR="00AD1DB8" w:rsidRPr="003179D0">
        <w:rPr>
          <w:rFonts w:cs="Arial"/>
          <w:spacing w:val="-2"/>
        </w:rPr>
        <w:t>Union consultera les membres de l</w:t>
      </w:r>
      <w:r w:rsidR="00081538">
        <w:rPr>
          <w:rFonts w:cs="Arial"/>
          <w:spacing w:val="-2"/>
        </w:rPr>
        <w:t>’</w:t>
      </w:r>
      <w:r w:rsidR="00AD1DB8" w:rsidRPr="003179D0">
        <w:rPr>
          <w:rFonts w:cs="Arial"/>
          <w:spacing w:val="-2"/>
        </w:rPr>
        <w:t>Union concernés pour discuter de leurs exigences et de leur calendrier concernant leur participation à UPOV PRISMA.</w:t>
      </w:r>
    </w:p>
    <w:p w:rsidR="008316C0" w:rsidRPr="003179D0" w:rsidRDefault="008316C0" w:rsidP="005429CF"/>
    <w:p w:rsidR="008316C0" w:rsidRPr="003179D0" w:rsidRDefault="00AD1DB8" w:rsidP="00AD1DB8">
      <w:pPr>
        <w:pStyle w:val="Heading2"/>
      </w:pPr>
      <w:bookmarkStart w:id="36" w:name="_Toc110247340"/>
      <w:r w:rsidRPr="003179D0">
        <w:t>Convivialité de l</w:t>
      </w:r>
      <w:r w:rsidR="00081538">
        <w:t>’</w:t>
      </w:r>
      <w:r w:rsidRPr="003179D0">
        <w:t>outil</w:t>
      </w:r>
      <w:bookmarkEnd w:id="36"/>
    </w:p>
    <w:p w:rsidR="008316C0" w:rsidRPr="003179D0" w:rsidRDefault="008316C0" w:rsidP="005429CF">
      <w:pPr>
        <w:keepNext/>
      </w:pPr>
    </w:p>
    <w:p w:rsidR="008316C0" w:rsidRPr="003179D0" w:rsidRDefault="005429CF" w:rsidP="00AD1DB8">
      <w:pPr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Il a été convenu à la réunion</w:t>
      </w:r>
      <w:r w:rsidR="00890F1B" w:rsidRPr="003179D0">
        <w:t> </w:t>
      </w:r>
      <w:r w:rsidR="00AD1DB8" w:rsidRPr="003179D0">
        <w:t>EAF/17 que les éléments suivants seraient envisagés après 2021 afin d</w:t>
      </w:r>
      <w:r w:rsidR="00081538">
        <w:t>’</w:t>
      </w:r>
      <w:r w:rsidR="00AD1DB8" w:rsidRPr="003179D0">
        <w:t>améliorer la convivialité d</w:t>
      </w:r>
      <w:r w:rsidR="00081538">
        <w:t>’</w:t>
      </w:r>
      <w:r w:rsidR="00AD1DB8" w:rsidRPr="003179D0">
        <w:t>UPOV PRISMA</w:t>
      </w:r>
      <w:r w:rsidR="00081538">
        <w:t> :</w:t>
      </w:r>
    </w:p>
    <w:p w:rsidR="008316C0" w:rsidRPr="003179D0" w:rsidRDefault="008316C0" w:rsidP="005429CF"/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ajout de caractères ne figurant pas dans le questionnaire technique de l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UPOV à la </w:t>
      </w:r>
      <w:r w:rsidR="00571E2E" w:rsidRPr="003179D0">
        <w:rPr>
          <w:lang w:val="fr-FR"/>
        </w:rPr>
        <w:t>section 7</w:t>
      </w:r>
      <w:r w:rsidRPr="003179D0">
        <w:rPr>
          <w:lang w:val="fr-FR"/>
        </w:rPr>
        <w:t xml:space="preserve"> du questionnaire technique plutôt qu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à la </w:t>
      </w:r>
      <w:r w:rsidR="00571E2E" w:rsidRPr="003179D0">
        <w:rPr>
          <w:lang w:val="fr-FR"/>
        </w:rPr>
        <w:t>section 5</w:t>
      </w:r>
      <w:r w:rsidRPr="003179D0">
        <w:rPr>
          <w:lang w:val="fr-FR"/>
        </w:rPr>
        <w:t xml:space="preserve">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 xml:space="preserve">9 du </w:t>
      </w:r>
      <w:r w:rsidR="00A759BD">
        <w:rPr>
          <w:lang w:val="fr-FR"/>
        </w:rPr>
        <w:br/>
      </w:r>
      <w:r w:rsidRPr="003179D0">
        <w:rPr>
          <w:lang w:val="fr-FR"/>
        </w:rPr>
        <w:t>document EAF/17/3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questionnaires techniques propres à certaines plantes au</w:t>
      </w:r>
      <w:r w:rsidR="00081538">
        <w:rPr>
          <w:lang w:val="fr-FR"/>
        </w:rPr>
        <w:t>-</w:t>
      </w:r>
      <w:r w:rsidRPr="003179D0">
        <w:rPr>
          <w:lang w:val="fr-FR"/>
        </w:rPr>
        <w:t>delà des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examen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8 du document EAF/16/3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synchronisation entre UPOV PRISMA et l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OCVV concernant le questionnaire technique </w:t>
      </w:r>
      <w:r w:rsidR="00A759BD">
        <w:rPr>
          <w:lang w:val="fr-FR"/>
        </w:rPr>
        <w:br/>
      </w:r>
      <w:r w:rsidRPr="003179D0">
        <w:rPr>
          <w:lang w:val="fr-FR"/>
        </w:rPr>
        <w:t xml:space="preserve">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8 du document EAF/16/3 “Compte rendu”).</w:t>
      </w:r>
    </w:p>
    <w:p w:rsidR="008316C0" w:rsidRPr="003179D0" w:rsidRDefault="008316C0" w:rsidP="005429CF"/>
    <w:p w:rsidR="008316C0" w:rsidRPr="003179D0" w:rsidRDefault="00AD1DB8" w:rsidP="000D74E5">
      <w:pPr>
        <w:pStyle w:val="Heading2"/>
      </w:pPr>
      <w:bookmarkStart w:id="37" w:name="_Toc110247341"/>
      <w:r w:rsidRPr="003179D0">
        <w:lastRenderedPageBreak/>
        <w:t>Nouvelles fonctions</w:t>
      </w:r>
      <w:bookmarkEnd w:id="37"/>
    </w:p>
    <w:p w:rsidR="008316C0" w:rsidRPr="003179D0" w:rsidRDefault="008316C0" w:rsidP="000D74E5">
      <w:pPr>
        <w:keepNext/>
      </w:pPr>
    </w:p>
    <w:p w:rsidR="008316C0" w:rsidRPr="003179D0" w:rsidRDefault="005429CF" w:rsidP="000D74E5">
      <w:pPr>
        <w:keepNext/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La mise au point éventuelle des nouvelles fonctions suivantes sera étudiée</w:t>
      </w:r>
      <w:r w:rsidR="00081538">
        <w:t> :</w:t>
      </w:r>
    </w:p>
    <w:p w:rsidR="008316C0" w:rsidRPr="003179D0" w:rsidRDefault="008316C0" w:rsidP="000D74E5">
      <w:pPr>
        <w:keepNext/>
      </w:pP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 xml:space="preserve">traduction automatique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 xml:space="preserve">8 du </w:t>
      </w:r>
      <w:r w:rsidR="00081538" w:rsidRPr="003179D0">
        <w:rPr>
          <w:lang w:val="fr-FR"/>
        </w:rPr>
        <w:t>document</w:t>
      </w:r>
      <w:r w:rsidR="001325D3">
        <w:rPr>
          <w:lang w:val="fr-FR"/>
        </w:rPr>
        <w:t> </w:t>
      </w:r>
      <w:r w:rsidR="00081538" w:rsidRPr="003179D0">
        <w:rPr>
          <w:lang w:val="fr-FR"/>
        </w:rPr>
        <w:t>EA</w:t>
      </w:r>
      <w:r w:rsidRPr="003179D0">
        <w:rPr>
          <w:lang w:val="fr-FR"/>
        </w:rPr>
        <w:t>F/16/3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informations sur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 xml:space="preserve">DHS (DART pour DUS Arrangement </w:t>
      </w:r>
      <w:proofErr w:type="spellStart"/>
      <w:r w:rsidRPr="003179D0">
        <w:rPr>
          <w:lang w:val="fr-FR"/>
        </w:rPr>
        <w:t>Recommendation</w:t>
      </w:r>
      <w:proofErr w:type="spellEnd"/>
      <w:r w:rsidRPr="003179D0">
        <w:rPr>
          <w:lang w:val="fr-FR"/>
        </w:rPr>
        <w:t xml:space="preserve"> </w:t>
      </w:r>
      <w:proofErr w:type="spellStart"/>
      <w:r w:rsidRPr="003179D0">
        <w:rPr>
          <w:lang w:val="fr-FR"/>
        </w:rPr>
        <w:t>Tool</w:t>
      </w:r>
      <w:proofErr w:type="spellEnd"/>
      <w:r w:rsidRPr="003179D0">
        <w:rPr>
          <w:lang w:val="fr-FR"/>
        </w:rPr>
        <w:t xml:space="preserve"> en anglais)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8 du document EAF/16/3 “Compte rendu”).</w:t>
      </w:r>
    </w:p>
    <w:p w:rsidR="008316C0" w:rsidRPr="003179D0" w:rsidRDefault="008316C0" w:rsidP="005429CF"/>
    <w:p w:rsidR="008316C0" w:rsidRPr="003179D0" w:rsidRDefault="008316C0" w:rsidP="005429CF"/>
    <w:p w:rsidR="008316C0" w:rsidRPr="003179D0" w:rsidRDefault="00AD1DB8" w:rsidP="00AD1DB8">
      <w:pPr>
        <w:pStyle w:val="Heading1"/>
      </w:pPr>
      <w:bookmarkStart w:id="38" w:name="_Toc110247342"/>
      <w:r w:rsidRPr="003179D0">
        <w:t>Vingtième réunion concernant l</w:t>
      </w:r>
      <w:r w:rsidR="00081538">
        <w:t>’</w:t>
      </w:r>
      <w:r w:rsidRPr="003179D0">
        <w:t>élaboration d</w:t>
      </w:r>
      <w:r w:rsidR="00081538">
        <w:t>’</w:t>
      </w:r>
      <w:r w:rsidRPr="003179D0">
        <w:t>un formulaire de demande électronique (EAF/20)</w:t>
      </w:r>
      <w:bookmarkEnd w:id="38"/>
    </w:p>
    <w:bookmarkEnd w:id="10"/>
    <w:p w:rsidR="008316C0" w:rsidRPr="003179D0" w:rsidRDefault="008316C0" w:rsidP="005429CF"/>
    <w:p w:rsidR="008316C0" w:rsidRPr="003179D0" w:rsidRDefault="005429CF" w:rsidP="00AD1DB8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La vingtième réunion EAF (réunion</w:t>
      </w:r>
      <w:r w:rsidR="00890F1B" w:rsidRPr="003179D0">
        <w:t> </w:t>
      </w:r>
      <w:r w:rsidR="00AD1DB8" w:rsidRPr="003179D0">
        <w:t>EAF/20) sera organisée sous la forme d</w:t>
      </w:r>
      <w:r w:rsidR="00081538">
        <w:t>’</w:t>
      </w:r>
      <w:r w:rsidR="00AD1DB8" w:rsidRPr="003179D0">
        <w:t>une réunion hybride (réunion physique et virtuelle) le 2</w:t>
      </w:r>
      <w:r w:rsidR="00571E2E" w:rsidRPr="003179D0">
        <w:t>5 octobre 20</w:t>
      </w:r>
      <w:r w:rsidR="00AD1DB8" w:rsidRPr="003179D0">
        <w:t>25.</w:t>
      </w:r>
    </w:p>
    <w:p w:rsidR="008316C0" w:rsidRPr="003179D0" w:rsidRDefault="008316C0" w:rsidP="005429CF"/>
    <w:p w:rsidR="008316C0" w:rsidRPr="003179D0" w:rsidRDefault="008316C0" w:rsidP="005429CF"/>
    <w:p w:rsidR="00571E2E" w:rsidRPr="003179D0" w:rsidRDefault="00AD1DB8" w:rsidP="00AD1DB8">
      <w:pPr>
        <w:pStyle w:val="Heading1"/>
      </w:pPr>
      <w:bookmarkStart w:id="39" w:name="_Toc110247343"/>
      <w:r w:rsidRPr="003179D0">
        <w:t>EXTENSION DU CHAMP D</w:t>
      </w:r>
      <w:r w:rsidR="00081538">
        <w:t>’</w:t>
      </w:r>
      <w:r w:rsidRPr="003179D0">
        <w:t>APPLICATION DE LA RÉUNION EAF POUR COUVRIR Le module de gestion électronique E</w:t>
      </w:r>
      <w:r w:rsidR="00081538">
        <w:t>-</w:t>
      </w:r>
      <w:r w:rsidRPr="003179D0">
        <w:t>PVP</w:t>
      </w:r>
      <w:bookmarkEnd w:id="39"/>
    </w:p>
    <w:p w:rsidR="008316C0" w:rsidRPr="003179D0" w:rsidRDefault="008316C0" w:rsidP="005429CF">
      <w:pPr>
        <w:keepNext/>
      </w:pPr>
    </w:p>
    <w:p w:rsidR="008316C0" w:rsidRPr="003179D0" w:rsidRDefault="005429CF" w:rsidP="00AD1DB8">
      <w:pPr>
        <w:keepNext/>
        <w:tabs>
          <w:tab w:val="left" w:pos="851"/>
        </w:tabs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Le programme et budget pour l</w:t>
      </w:r>
      <w:r w:rsidR="00081538">
        <w:t>’</w:t>
      </w:r>
      <w:r w:rsidR="00AD1DB8" w:rsidRPr="003179D0">
        <w:t xml:space="preserve">exercice </w:t>
      </w:r>
      <w:r w:rsidR="00571E2E" w:rsidRPr="003179D0">
        <w:t>biennal 2022</w:t>
      </w:r>
      <w:r w:rsidR="00081538">
        <w:t>-</w:t>
      </w:r>
      <w:r w:rsidR="00AD1DB8" w:rsidRPr="003179D0">
        <w:t>2023 (document C/55/4</w:t>
      </w:r>
      <w:r w:rsidR="00165B64" w:rsidRPr="003179D0">
        <w:t> </w:t>
      </w:r>
      <w:proofErr w:type="spellStart"/>
      <w:r w:rsidR="00AD1DB8" w:rsidRPr="003179D0">
        <w:t>Rev</w:t>
      </w:r>
      <w:proofErr w:type="spellEnd"/>
      <w:r w:rsidR="00AD1DB8" w:rsidRPr="003179D0">
        <w:t>.) explique que l</w:t>
      </w:r>
      <w:r w:rsidR="00081538">
        <w:t>’</w:t>
      </w:r>
      <w:r w:rsidR="00AD1DB8" w:rsidRPr="003179D0">
        <w:t>ensemble ci</w:t>
      </w:r>
      <w:r w:rsidR="00081538">
        <w:t>-</w:t>
      </w:r>
      <w:r w:rsidR="00AD1DB8" w:rsidRPr="003179D0">
        <w:t>après d</w:t>
      </w:r>
      <w:r w:rsidR="00081538">
        <w:t>’</w:t>
      </w:r>
      <w:r w:rsidR="00AD1DB8" w:rsidRPr="003179D0">
        <w:t>outils informatiques compatibles sera introduit ou amélioré au cours de l</w:t>
      </w:r>
      <w:r w:rsidR="00081538">
        <w:t>’</w:t>
      </w:r>
      <w:r w:rsidR="00AD1DB8" w:rsidRPr="003179D0">
        <w:t xml:space="preserve">exercice </w:t>
      </w:r>
      <w:r w:rsidR="00571E2E" w:rsidRPr="003179D0">
        <w:t>biennal 2022</w:t>
      </w:r>
      <w:r w:rsidR="00081538">
        <w:t>-</w:t>
      </w:r>
      <w:r w:rsidR="00AD1DB8" w:rsidRPr="003179D0">
        <w:t>2023, comme suit</w:t>
      </w:r>
      <w:r w:rsidR="00081538">
        <w:t> :</w:t>
      </w:r>
    </w:p>
    <w:p w:rsidR="008316C0" w:rsidRPr="003179D0" w:rsidRDefault="008316C0" w:rsidP="005429CF">
      <w:pPr>
        <w:keepNext/>
      </w:pPr>
    </w:p>
    <w:p w:rsidR="008316C0" w:rsidRPr="003179D0" w:rsidRDefault="00AD1DB8" w:rsidP="000D74E5">
      <w:pPr>
        <w:pStyle w:val="ListParagraph"/>
        <w:keepNext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Dépôt des demandes de protection des obtentions végétales</w:t>
      </w:r>
    </w:p>
    <w:p w:rsidR="008316C0" w:rsidRPr="003179D0" w:rsidRDefault="00AD1DB8" w:rsidP="000D74E5">
      <w:pPr>
        <w:pStyle w:val="ListParagraph"/>
        <w:keepNext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UPOV PRISMA</w:t>
      </w:r>
      <w:r w:rsidR="00081538">
        <w:rPr>
          <w:lang w:val="fr-FR"/>
        </w:rPr>
        <w:t> :</w:t>
      </w:r>
    </w:p>
    <w:p w:rsidR="008316C0" w:rsidRPr="003179D0" w:rsidRDefault="00AD1DB8" w:rsidP="000D74E5">
      <w:pPr>
        <w:pStyle w:val="ListParagraph"/>
        <w:keepNext/>
        <w:numPr>
          <w:ilvl w:val="2"/>
          <w:numId w:val="47"/>
        </w:numPr>
        <w:ind w:left="2268" w:hanging="567"/>
        <w:rPr>
          <w:lang w:val="fr-FR"/>
        </w:rPr>
      </w:pPr>
      <w:r w:rsidRPr="003179D0">
        <w:rPr>
          <w:lang w:val="fr-FR"/>
        </w:rPr>
        <w:t>Extension de la couverture à un plus grand nombre de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et de plantes ou d</w:t>
      </w:r>
      <w:r w:rsidR="00081538">
        <w:rPr>
          <w:lang w:val="fr-FR"/>
        </w:rPr>
        <w:t>’</w:t>
      </w:r>
      <w:r w:rsidRPr="003179D0">
        <w:rPr>
          <w:lang w:val="fr-FR"/>
        </w:rPr>
        <w:t>espèces</w:t>
      </w:r>
    </w:p>
    <w:p w:rsidR="008316C0" w:rsidRPr="003179D0" w:rsidRDefault="00AD1DB8" w:rsidP="000D74E5">
      <w:pPr>
        <w:pStyle w:val="ListParagraph"/>
        <w:keepNext/>
        <w:numPr>
          <w:ilvl w:val="2"/>
          <w:numId w:val="47"/>
        </w:numPr>
        <w:ind w:left="2268" w:hanging="567"/>
        <w:rPr>
          <w:lang w:val="fr-FR"/>
        </w:rPr>
      </w:pPr>
      <w:r w:rsidRPr="003179D0">
        <w:rPr>
          <w:lang w:val="fr-FR"/>
        </w:rPr>
        <w:t xml:space="preserve">DART (pour DUS Arrangement </w:t>
      </w:r>
      <w:proofErr w:type="spellStart"/>
      <w:r w:rsidRPr="003179D0">
        <w:rPr>
          <w:lang w:val="fr-FR"/>
        </w:rPr>
        <w:t>Recommendation</w:t>
      </w:r>
      <w:proofErr w:type="spellEnd"/>
      <w:r w:rsidRPr="003179D0">
        <w:rPr>
          <w:lang w:val="fr-FR"/>
        </w:rPr>
        <w:t xml:space="preserve"> </w:t>
      </w:r>
      <w:proofErr w:type="spellStart"/>
      <w:r w:rsidRPr="003179D0">
        <w:rPr>
          <w:lang w:val="fr-FR"/>
        </w:rPr>
        <w:t>Tool</w:t>
      </w:r>
      <w:proofErr w:type="spellEnd"/>
      <w:r w:rsidRPr="003179D0">
        <w:rPr>
          <w:lang w:val="fr-FR"/>
        </w:rPr>
        <w:t>)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fournit des informations sur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 entre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</w:t>
      </w:r>
    </w:p>
    <w:p w:rsidR="008316C0" w:rsidRPr="003179D0" w:rsidRDefault="00AD1DB8" w:rsidP="000D74E5">
      <w:pPr>
        <w:pStyle w:val="ListParagraph"/>
        <w:keepNext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Plateformes de coopération entre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UPOV (au niveau régional, par exemple) pour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administration et d</w:t>
      </w:r>
      <w:r w:rsidR="00081538">
        <w:rPr>
          <w:lang w:val="fr-FR"/>
        </w:rPr>
        <w:t>’</w:t>
      </w:r>
      <w:r w:rsidRPr="003179D0">
        <w:rPr>
          <w:lang w:val="fr-FR"/>
        </w:rPr>
        <w:t>examen des demandes</w:t>
      </w:r>
    </w:p>
    <w:p w:rsidR="008316C0" w:rsidRPr="003179D0" w:rsidRDefault="008316C0" w:rsidP="005429CF">
      <w:pPr>
        <w:keepNext/>
      </w:pPr>
    </w:p>
    <w:p w:rsidR="008316C0" w:rsidRPr="003179D0" w:rsidRDefault="00AD1DB8" w:rsidP="000D74E5">
      <w:pPr>
        <w:pStyle w:val="ListParagraph"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Gestion des demandes de protection des obtentions végétales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Module de gestion électronique de la protection des obtentions végétales (e</w:t>
      </w:r>
      <w:r w:rsidR="00081538">
        <w:rPr>
          <w:lang w:val="fr-FR"/>
        </w:rPr>
        <w:t>-</w:t>
      </w:r>
      <w:r w:rsidRPr="003179D0">
        <w:rPr>
          <w:lang w:val="fr-FR"/>
        </w:rPr>
        <w:t>PVP) pour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afin de gérer et de publier les demandes de protection des obtentions végétales</w:t>
      </w:r>
    </w:p>
    <w:p w:rsidR="008316C0" w:rsidRPr="003179D0" w:rsidRDefault="008316C0" w:rsidP="005429CF"/>
    <w:p w:rsidR="008316C0" w:rsidRPr="003179D0" w:rsidRDefault="00AD1DB8" w:rsidP="000D74E5">
      <w:pPr>
        <w:pStyle w:val="ListParagraph"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Examen des demandes de protection des obtentions végétales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Base de données PLUTO à améliorer en augmentant la quantité et la qualité des données incluses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Outil de recherche de similarité aux fins de la dénomination variétale utilisé pour les données figurant dans la base de données PLUTO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Base de données GENIE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système de codes UPOV à adapter pour fournir des informations complémentaires afin de faciliter l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Modèle de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>examen fondé sur le Web pour fournir un module permettant aux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d</w:t>
      </w:r>
      <w:r w:rsidR="00081538">
        <w:rPr>
          <w:lang w:val="fr-FR"/>
        </w:rPr>
        <w:t>’</w:t>
      </w:r>
      <w:r w:rsidRPr="003179D0">
        <w:rPr>
          <w:lang w:val="fr-FR"/>
        </w:rPr>
        <w:t>établir les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>examen propres aux différents services dans la langue de leur choix</w:t>
      </w:r>
    </w:p>
    <w:p w:rsidR="008316C0" w:rsidRPr="003179D0" w:rsidRDefault="008316C0" w:rsidP="005429CF"/>
    <w:p w:rsidR="008316C0" w:rsidRPr="003179D0" w:rsidRDefault="00AD1DB8" w:rsidP="000D74E5">
      <w:pPr>
        <w:pStyle w:val="ListParagraph"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Renforcement de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 d</w:t>
      </w:r>
      <w:r w:rsidR="00081538">
        <w:rPr>
          <w:lang w:val="fr-FR"/>
        </w:rPr>
        <w:t>’</w:t>
      </w:r>
      <w:r w:rsidRPr="003179D0">
        <w:rPr>
          <w:lang w:val="fr-FR"/>
        </w:rPr>
        <w:t>échange des rapports DHS existants (partie du module e</w:t>
      </w:r>
      <w:r w:rsidR="00081538">
        <w:rPr>
          <w:lang w:val="fr-FR"/>
        </w:rPr>
        <w:t>-</w:t>
      </w:r>
      <w:r w:rsidRPr="003179D0">
        <w:rPr>
          <w:lang w:val="fr-FR"/>
        </w:rPr>
        <w:t>PVP)</w:t>
      </w:r>
    </w:p>
    <w:p w:rsidR="00571E2E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 pour aider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à mettre leurs procédures écrites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 ainsi que les informations concernant leurs systèmes de gestion de la qualité à la disposition des autres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 ou portail donnant accès aux bases de données des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UPOV contenant des descriptions variétales</w:t>
      </w:r>
      <w:r w:rsidR="00C94408" w:rsidRPr="003179D0">
        <w:rPr>
          <w:lang w:val="fr-FR"/>
        </w:rPr>
        <w:t>.</w:t>
      </w:r>
    </w:p>
    <w:p w:rsidR="008316C0" w:rsidRPr="003179D0" w:rsidRDefault="008316C0" w:rsidP="005429CF"/>
    <w:p w:rsidR="008316C0" w:rsidRPr="003179D0" w:rsidRDefault="005429CF" w:rsidP="00AD1DB8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Ces outils appuieront de manière cohérente et exhaustive la mise en œuvre du système UPOV de protection des obtentions végétales, et une partie ou la totalité d</w:t>
      </w:r>
      <w:r w:rsidR="00081538">
        <w:t>’</w:t>
      </w:r>
      <w:r w:rsidR="00AD1DB8" w:rsidRPr="003179D0">
        <w:t>entre eux pourrait être utilisée par les membres de l</w:t>
      </w:r>
      <w:r w:rsidR="00081538">
        <w:t>’</w:t>
      </w:r>
      <w:r w:rsidR="00AD1DB8" w:rsidRPr="003179D0">
        <w:t>Union, selon qu</w:t>
      </w:r>
      <w:r w:rsidR="00081538">
        <w:t>’</w:t>
      </w:r>
      <w:r w:rsidR="00AD1DB8" w:rsidRPr="003179D0">
        <w:t>il conviendra.</w:t>
      </w:r>
    </w:p>
    <w:p w:rsidR="008316C0" w:rsidRPr="003179D0" w:rsidRDefault="008316C0" w:rsidP="005429CF"/>
    <w:p w:rsidR="008316C0" w:rsidRPr="003179D0" w:rsidRDefault="005429CF" w:rsidP="00927255">
      <w:r w:rsidRPr="003179D0">
        <w:lastRenderedPageBreak/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A759BD">
        <w:t>Il existe une relation étroite entre UPOV PRISMA et les modules e</w:t>
      </w:r>
      <w:r w:rsidR="00081538" w:rsidRPr="00A759BD">
        <w:t>-</w:t>
      </w:r>
      <w:r w:rsidR="00AD1DB8" w:rsidRPr="00A759BD">
        <w:t>PVP pour la gestion des demandes de protection et l</w:t>
      </w:r>
      <w:r w:rsidR="00081538" w:rsidRPr="00A759BD">
        <w:t>’</w:t>
      </w:r>
      <w:r w:rsidR="00AD1DB8" w:rsidRPr="00A759BD">
        <w:t xml:space="preserve">échange de rapports </w:t>
      </w:r>
      <w:r w:rsidR="00794B5B" w:rsidRPr="00A759BD">
        <w:t>DHS.  Su</w:t>
      </w:r>
      <w:r w:rsidR="00927255" w:rsidRPr="00A759BD">
        <w:t>r la base de ce qui précède, il est proposé d</w:t>
      </w:r>
      <w:r w:rsidR="00081538" w:rsidRPr="00A759BD">
        <w:t>’</w:t>
      </w:r>
      <w:r w:rsidR="00927255" w:rsidRPr="00A759BD">
        <w:t>étendre le champ d</w:t>
      </w:r>
      <w:r w:rsidR="00081538" w:rsidRPr="00A759BD">
        <w:t>’</w:t>
      </w:r>
      <w:r w:rsidR="00927255" w:rsidRPr="00A759BD">
        <w:t xml:space="preserve">application des </w:t>
      </w:r>
      <w:r w:rsidR="00FF402C" w:rsidRPr="00A759BD">
        <w:t>réunions EAF afin de couvrir le</w:t>
      </w:r>
      <w:r w:rsidR="00927255" w:rsidRPr="00A759BD">
        <w:t xml:space="preserve"> </w:t>
      </w:r>
      <w:r w:rsidR="00FF402C" w:rsidRPr="00A759BD">
        <w:t>compte rendu</w:t>
      </w:r>
      <w:r w:rsidR="00927255" w:rsidRPr="00A759BD">
        <w:t xml:space="preserve"> </w:t>
      </w:r>
      <w:r w:rsidR="00FF402C" w:rsidRPr="00A759BD">
        <w:t>d</w:t>
      </w:r>
      <w:r w:rsidR="00927255" w:rsidRPr="00A759BD">
        <w:t xml:space="preserve">es </w:t>
      </w:r>
      <w:r w:rsidR="00FF402C" w:rsidRPr="00A759BD">
        <w:t>faits nouveaux concernant le</w:t>
      </w:r>
      <w:r w:rsidR="00927255" w:rsidRPr="00A759BD">
        <w:t xml:space="preserve"> module e</w:t>
      </w:r>
      <w:r w:rsidR="00081538" w:rsidRPr="00A759BD">
        <w:t>-</w:t>
      </w:r>
      <w:r w:rsidR="00794B5B" w:rsidRPr="00A759BD">
        <w:t>PVP.  Le</w:t>
      </w:r>
      <w:r w:rsidR="00927255" w:rsidRPr="00A759BD">
        <w:t xml:space="preserve"> nom des réunions serait </w:t>
      </w:r>
      <w:r w:rsidR="00C94408" w:rsidRPr="00A759BD">
        <w:t>désormais</w:t>
      </w:r>
      <w:r w:rsidR="00927255" w:rsidRPr="00A759BD">
        <w:t xml:space="preserve"> </w:t>
      </w:r>
      <w:r w:rsidR="00571E2E" w:rsidRPr="00A759BD">
        <w:t>“R</w:t>
      </w:r>
      <w:r w:rsidR="00927255" w:rsidRPr="00A759BD">
        <w:t xml:space="preserve">éunion sur les </w:t>
      </w:r>
      <w:r w:rsidR="00C94408" w:rsidRPr="00A759BD">
        <w:t>demandes</w:t>
      </w:r>
      <w:r w:rsidR="00927255" w:rsidRPr="00A759BD">
        <w:t xml:space="preserve"> électronique</w:t>
      </w:r>
      <w:r w:rsidR="00571E2E" w:rsidRPr="00A759BD">
        <w:t>s”</w:t>
      </w:r>
      <w:r w:rsidR="00927255" w:rsidRPr="00A759BD">
        <w:t>.</w:t>
      </w:r>
    </w:p>
    <w:p w:rsidR="008316C0" w:rsidRPr="003179D0" w:rsidRDefault="008316C0" w:rsidP="005429CF"/>
    <w:bookmarkStart w:id="40" w:name="_GoBack"/>
    <w:p w:rsidR="008316C0" w:rsidRPr="00A759BD" w:rsidRDefault="005429CF" w:rsidP="00A759BD">
      <w:pPr>
        <w:pStyle w:val="DecisionParagraphs"/>
      </w:pPr>
      <w:r w:rsidRPr="00A759BD">
        <w:fldChar w:fldCharType="begin" w:fldLock="1"/>
      </w:r>
      <w:r w:rsidRPr="00A759BD">
        <w:instrText xml:space="preserve"> AUTONUM  </w:instrText>
      </w:r>
      <w:r w:rsidRPr="00A759BD">
        <w:fldChar w:fldCharType="end"/>
      </w:r>
      <w:r w:rsidRPr="00A759BD">
        <w:tab/>
      </w:r>
      <w:r w:rsidR="00927255" w:rsidRPr="00A759BD">
        <w:t>Le CAJ est invité</w:t>
      </w:r>
    </w:p>
    <w:p w:rsidR="008316C0" w:rsidRPr="00A759BD" w:rsidRDefault="008316C0" w:rsidP="00A759BD">
      <w:pPr>
        <w:pStyle w:val="DecisionParagraphs"/>
      </w:pPr>
    </w:p>
    <w:p w:rsidR="008316C0" w:rsidRPr="00A759BD" w:rsidRDefault="005429CF" w:rsidP="00A759BD">
      <w:pPr>
        <w:pStyle w:val="DecisionParagraphs"/>
      </w:pPr>
      <w:r w:rsidRPr="00A759BD">
        <w:tab/>
      </w:r>
      <w:r w:rsidR="00927255" w:rsidRPr="00A759BD">
        <w:t>a)</w:t>
      </w:r>
      <w:r w:rsidR="00927255" w:rsidRPr="00A759BD">
        <w:tab/>
        <w:t>à prendre note des faits nouveaux concernant UPOV PRISMA et</w:t>
      </w:r>
    </w:p>
    <w:p w:rsidR="008316C0" w:rsidRPr="00A759BD" w:rsidRDefault="008316C0" w:rsidP="00A759BD">
      <w:pPr>
        <w:pStyle w:val="DecisionParagraphs"/>
      </w:pPr>
    </w:p>
    <w:p w:rsidR="008316C0" w:rsidRPr="00A759BD" w:rsidRDefault="005429CF" w:rsidP="00A759BD">
      <w:pPr>
        <w:pStyle w:val="DecisionParagraphs"/>
      </w:pPr>
      <w:r w:rsidRPr="00A759BD">
        <w:tab/>
      </w:r>
      <w:r w:rsidR="00927255" w:rsidRPr="00A759BD">
        <w:t>b)</w:t>
      </w:r>
      <w:r w:rsidR="00927255" w:rsidRPr="00A759BD">
        <w:tab/>
        <w:t>à approuver la proposition d</w:t>
      </w:r>
      <w:r w:rsidR="00081538" w:rsidRPr="00A759BD">
        <w:t>’</w:t>
      </w:r>
      <w:r w:rsidR="00927255" w:rsidRPr="00A759BD">
        <w:t>étendre le champ d</w:t>
      </w:r>
      <w:r w:rsidR="00081538" w:rsidRPr="00A759BD">
        <w:t>’</w:t>
      </w:r>
      <w:r w:rsidR="00927255" w:rsidRPr="00A759BD">
        <w:t>application des réunions EAF pour couvrir le</w:t>
      </w:r>
      <w:r w:rsidR="00C94408" w:rsidRPr="00A759BD">
        <w:t xml:space="preserve"> compte r</w:t>
      </w:r>
      <w:r w:rsidR="00792B79" w:rsidRPr="00A759BD">
        <w:t>endu d</w:t>
      </w:r>
      <w:r w:rsidR="00927255" w:rsidRPr="00A759BD">
        <w:t xml:space="preserve">es </w:t>
      </w:r>
      <w:r w:rsidR="00792B79" w:rsidRPr="00A759BD">
        <w:t>faits nouveaux concernant le</w:t>
      </w:r>
      <w:r w:rsidR="00927255" w:rsidRPr="00A759BD">
        <w:t xml:space="preserve"> module e</w:t>
      </w:r>
      <w:r w:rsidR="00081538" w:rsidRPr="00A759BD">
        <w:t>-</w:t>
      </w:r>
      <w:r w:rsidR="00927255" w:rsidRPr="00A759BD">
        <w:t xml:space="preserve">PVP et à changer le nom des réunions en </w:t>
      </w:r>
      <w:r w:rsidR="00571E2E" w:rsidRPr="00A759BD">
        <w:t>“R</w:t>
      </w:r>
      <w:r w:rsidR="00927255" w:rsidRPr="00A759BD">
        <w:t xml:space="preserve">éunion sur les </w:t>
      </w:r>
      <w:r w:rsidR="00792B79" w:rsidRPr="00A759BD">
        <w:t>demandes</w:t>
      </w:r>
      <w:r w:rsidR="00927255" w:rsidRPr="00A759BD">
        <w:t xml:space="preserve"> électronique</w:t>
      </w:r>
      <w:r w:rsidR="00571E2E" w:rsidRPr="00A759BD">
        <w:t>s”</w:t>
      </w:r>
      <w:r w:rsidR="00927255" w:rsidRPr="00A759BD">
        <w:t>.</w:t>
      </w:r>
    </w:p>
    <w:bookmarkEnd w:id="40"/>
    <w:p w:rsidR="008316C0" w:rsidRPr="003179D0" w:rsidRDefault="008316C0" w:rsidP="005429CF"/>
    <w:p w:rsidR="008316C0" w:rsidRPr="003179D0" w:rsidRDefault="008316C0" w:rsidP="005429CF">
      <w:pPr>
        <w:jc w:val="left"/>
      </w:pPr>
    </w:p>
    <w:p w:rsidR="008316C0" w:rsidRPr="003179D0" w:rsidRDefault="008316C0" w:rsidP="005429CF"/>
    <w:p w:rsidR="00050E16" w:rsidRPr="003179D0" w:rsidRDefault="00927255" w:rsidP="000D74E5">
      <w:pPr>
        <w:jc w:val="right"/>
      </w:pPr>
      <w:r w:rsidRPr="003179D0">
        <w:t>[Fin du document]</w:t>
      </w:r>
    </w:p>
    <w:sectPr w:rsidR="00050E16" w:rsidRPr="003179D0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AF" w:rsidRDefault="00472FAF" w:rsidP="006655D3">
      <w:r>
        <w:separator/>
      </w:r>
    </w:p>
    <w:p w:rsidR="00472FAF" w:rsidRDefault="00472FAF" w:rsidP="006655D3"/>
    <w:p w:rsidR="00472FAF" w:rsidRDefault="00472FAF" w:rsidP="006655D3"/>
  </w:endnote>
  <w:endnote w:type="continuationSeparator" w:id="0">
    <w:p w:rsidR="00472FAF" w:rsidRDefault="00472FAF" w:rsidP="006655D3">
      <w:r>
        <w:separator/>
      </w:r>
    </w:p>
    <w:p w:rsidR="00472FAF" w:rsidRPr="00294751" w:rsidRDefault="00472FA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72FAF" w:rsidRPr="00294751" w:rsidRDefault="00472FAF" w:rsidP="006655D3"/>
    <w:p w:rsidR="00472FAF" w:rsidRPr="00294751" w:rsidRDefault="00472FAF" w:rsidP="006655D3"/>
  </w:endnote>
  <w:endnote w:type="continuationNotice" w:id="1">
    <w:p w:rsidR="00472FAF" w:rsidRPr="00294751" w:rsidRDefault="00472FAF" w:rsidP="006655D3">
      <w:r w:rsidRPr="00294751">
        <w:t>[Suite de la note page suivante]</w:t>
      </w:r>
    </w:p>
    <w:p w:rsidR="00472FAF" w:rsidRPr="00294751" w:rsidRDefault="00472FAF" w:rsidP="006655D3"/>
    <w:p w:rsidR="00472FAF" w:rsidRPr="00294751" w:rsidRDefault="00472FA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AF" w:rsidRDefault="00472FAF" w:rsidP="006655D3">
      <w:r>
        <w:separator/>
      </w:r>
    </w:p>
  </w:footnote>
  <w:footnote w:type="continuationSeparator" w:id="0">
    <w:p w:rsidR="00472FAF" w:rsidRDefault="00472FAF" w:rsidP="006655D3">
      <w:r>
        <w:separator/>
      </w:r>
    </w:p>
  </w:footnote>
  <w:footnote w:type="continuationNotice" w:id="1">
    <w:p w:rsidR="00472FAF" w:rsidRPr="00AB530F" w:rsidRDefault="00472FA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AF" w:rsidRPr="00C5280D" w:rsidRDefault="00472FAF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CAJ/79/10</w:t>
    </w:r>
  </w:p>
  <w:p w:rsidR="00472FAF" w:rsidRPr="00C5280D" w:rsidRDefault="00472FAF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323A4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472FAF" w:rsidRPr="00C5280D" w:rsidRDefault="00472FAF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803"/>
    <w:multiLevelType w:val="hybridMultilevel"/>
    <w:tmpl w:val="1F1E4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8584E"/>
    <w:multiLevelType w:val="hybridMultilevel"/>
    <w:tmpl w:val="03A66DD2"/>
    <w:lvl w:ilvl="0" w:tplc="142893FA">
      <w:start w:val="1"/>
      <w:numFmt w:val="lowerLetter"/>
      <w:lvlText w:val="(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68D5"/>
    <w:multiLevelType w:val="multilevel"/>
    <w:tmpl w:val="909E95C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1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55B17"/>
    <w:multiLevelType w:val="hybridMultilevel"/>
    <w:tmpl w:val="589A6546"/>
    <w:lvl w:ilvl="0" w:tplc="142893F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E3A8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011D1"/>
    <w:multiLevelType w:val="hybridMultilevel"/>
    <w:tmpl w:val="50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86D90"/>
    <w:multiLevelType w:val="hybridMultilevel"/>
    <w:tmpl w:val="D2720700"/>
    <w:lvl w:ilvl="0" w:tplc="A29601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611DE"/>
    <w:multiLevelType w:val="hybridMultilevel"/>
    <w:tmpl w:val="6896C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4"/>
  </w:num>
  <w:num w:numId="4">
    <w:abstractNumId w:val="3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27"/>
  </w:num>
  <w:num w:numId="15">
    <w:abstractNumId w:val="17"/>
  </w:num>
  <w:num w:numId="16">
    <w:abstractNumId w:val="39"/>
  </w:num>
  <w:num w:numId="17">
    <w:abstractNumId w:val="44"/>
  </w:num>
  <w:num w:numId="18">
    <w:abstractNumId w:val="4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36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25"/>
  </w:num>
  <w:num w:numId="32">
    <w:abstractNumId w:val="8"/>
  </w:num>
  <w:num w:numId="33">
    <w:abstractNumId w:val="0"/>
  </w:num>
  <w:num w:numId="34">
    <w:abstractNumId w:val="1"/>
  </w:num>
  <w:num w:numId="35">
    <w:abstractNumId w:val="11"/>
  </w:num>
  <w:num w:numId="36">
    <w:abstractNumId w:val="19"/>
  </w:num>
  <w:num w:numId="37">
    <w:abstractNumId w:val="5"/>
  </w:num>
  <w:num w:numId="38">
    <w:abstractNumId w:val="32"/>
  </w:num>
  <w:num w:numId="39">
    <w:abstractNumId w:val="6"/>
  </w:num>
  <w:num w:numId="40">
    <w:abstractNumId w:val="20"/>
  </w:num>
  <w:num w:numId="41">
    <w:abstractNumId w:val="4"/>
  </w:num>
  <w:num w:numId="42">
    <w:abstractNumId w:val="24"/>
  </w:num>
  <w:num w:numId="43">
    <w:abstractNumId w:val="43"/>
  </w:num>
  <w:num w:numId="44">
    <w:abstractNumId w:val="2"/>
  </w:num>
  <w:num w:numId="45">
    <w:abstractNumId w:val="23"/>
  </w:num>
  <w:num w:numId="46">
    <w:abstractNumId w:val="45"/>
  </w:num>
  <w:num w:numId="47">
    <w:abstractNumId w:val="1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IPC|TextBase TMs\WorkspaceFTS\Patents &amp; Innovation\Patents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5429C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1538"/>
    <w:rsid w:val="00085505"/>
    <w:rsid w:val="000C4E25"/>
    <w:rsid w:val="000C54B1"/>
    <w:rsid w:val="000C7021"/>
    <w:rsid w:val="000D6BBC"/>
    <w:rsid w:val="000D74E5"/>
    <w:rsid w:val="000D7780"/>
    <w:rsid w:val="000E636A"/>
    <w:rsid w:val="000F2F11"/>
    <w:rsid w:val="00105929"/>
    <w:rsid w:val="00110C36"/>
    <w:rsid w:val="001131D5"/>
    <w:rsid w:val="001323A4"/>
    <w:rsid w:val="001325D3"/>
    <w:rsid w:val="00141DB8"/>
    <w:rsid w:val="0015107A"/>
    <w:rsid w:val="001626A0"/>
    <w:rsid w:val="00165B64"/>
    <w:rsid w:val="00172084"/>
    <w:rsid w:val="0017474A"/>
    <w:rsid w:val="001758C6"/>
    <w:rsid w:val="00182B99"/>
    <w:rsid w:val="001C176C"/>
    <w:rsid w:val="001C2F83"/>
    <w:rsid w:val="002072AC"/>
    <w:rsid w:val="0021332C"/>
    <w:rsid w:val="00213982"/>
    <w:rsid w:val="002202BD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F1C46"/>
    <w:rsid w:val="0030093F"/>
    <w:rsid w:val="00305A7F"/>
    <w:rsid w:val="003152FE"/>
    <w:rsid w:val="003179D0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7602A"/>
    <w:rsid w:val="003C7FBE"/>
    <w:rsid w:val="003D227C"/>
    <w:rsid w:val="003D2B4D"/>
    <w:rsid w:val="003F64E0"/>
    <w:rsid w:val="0040557F"/>
    <w:rsid w:val="00432F76"/>
    <w:rsid w:val="00444A88"/>
    <w:rsid w:val="00472FAF"/>
    <w:rsid w:val="00474DA4"/>
    <w:rsid w:val="00476B4D"/>
    <w:rsid w:val="004805FA"/>
    <w:rsid w:val="004935D2"/>
    <w:rsid w:val="004B1215"/>
    <w:rsid w:val="004C5AE3"/>
    <w:rsid w:val="004D047D"/>
    <w:rsid w:val="004E36B5"/>
    <w:rsid w:val="004F1E9E"/>
    <w:rsid w:val="004F305A"/>
    <w:rsid w:val="00512164"/>
    <w:rsid w:val="00520297"/>
    <w:rsid w:val="005338F9"/>
    <w:rsid w:val="0053527C"/>
    <w:rsid w:val="0054281C"/>
    <w:rsid w:val="005429CF"/>
    <w:rsid w:val="00544581"/>
    <w:rsid w:val="00545E42"/>
    <w:rsid w:val="0055268D"/>
    <w:rsid w:val="00571E2E"/>
    <w:rsid w:val="00576BE4"/>
    <w:rsid w:val="005809A8"/>
    <w:rsid w:val="005A400A"/>
    <w:rsid w:val="005F7B92"/>
    <w:rsid w:val="00602AD5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574A"/>
    <w:rsid w:val="006D780A"/>
    <w:rsid w:val="00700059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2B79"/>
    <w:rsid w:val="00794B5B"/>
    <w:rsid w:val="007A2854"/>
    <w:rsid w:val="007A2E15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16C0"/>
    <w:rsid w:val="00846D7C"/>
    <w:rsid w:val="0085195D"/>
    <w:rsid w:val="00861374"/>
    <w:rsid w:val="00864C55"/>
    <w:rsid w:val="00867AC1"/>
    <w:rsid w:val="00890DF8"/>
    <w:rsid w:val="00890F1B"/>
    <w:rsid w:val="008A743F"/>
    <w:rsid w:val="008C0970"/>
    <w:rsid w:val="008D0BC5"/>
    <w:rsid w:val="008D2CF7"/>
    <w:rsid w:val="00900C26"/>
    <w:rsid w:val="0090197F"/>
    <w:rsid w:val="00903242"/>
    <w:rsid w:val="00906DDC"/>
    <w:rsid w:val="00927255"/>
    <w:rsid w:val="00927738"/>
    <w:rsid w:val="00934E09"/>
    <w:rsid w:val="00936253"/>
    <w:rsid w:val="00940D46"/>
    <w:rsid w:val="00952DD4"/>
    <w:rsid w:val="00953865"/>
    <w:rsid w:val="00965AE7"/>
    <w:rsid w:val="00970FED"/>
    <w:rsid w:val="00992D82"/>
    <w:rsid w:val="009951D3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759BD"/>
    <w:rsid w:val="00A8076D"/>
    <w:rsid w:val="00AB2B93"/>
    <w:rsid w:val="00AB530F"/>
    <w:rsid w:val="00AB7E5B"/>
    <w:rsid w:val="00AC2883"/>
    <w:rsid w:val="00AD1DB8"/>
    <w:rsid w:val="00AE0EF1"/>
    <w:rsid w:val="00AE2937"/>
    <w:rsid w:val="00AE4434"/>
    <w:rsid w:val="00B07301"/>
    <w:rsid w:val="00B11F3E"/>
    <w:rsid w:val="00B224DE"/>
    <w:rsid w:val="00B324D4"/>
    <w:rsid w:val="00B36715"/>
    <w:rsid w:val="00B46575"/>
    <w:rsid w:val="00B61657"/>
    <w:rsid w:val="00B61777"/>
    <w:rsid w:val="00B7317C"/>
    <w:rsid w:val="00B84BBD"/>
    <w:rsid w:val="00B9185F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408"/>
    <w:rsid w:val="00C973F2"/>
    <w:rsid w:val="00CA304C"/>
    <w:rsid w:val="00CA774A"/>
    <w:rsid w:val="00CC11B0"/>
    <w:rsid w:val="00CC2841"/>
    <w:rsid w:val="00CD2CC0"/>
    <w:rsid w:val="00CD7377"/>
    <w:rsid w:val="00CF1330"/>
    <w:rsid w:val="00CF7E36"/>
    <w:rsid w:val="00D3708D"/>
    <w:rsid w:val="00D40426"/>
    <w:rsid w:val="00D40F26"/>
    <w:rsid w:val="00D57C96"/>
    <w:rsid w:val="00D57D18"/>
    <w:rsid w:val="00D91203"/>
    <w:rsid w:val="00D95174"/>
    <w:rsid w:val="00D9571B"/>
    <w:rsid w:val="00DA4973"/>
    <w:rsid w:val="00DA6F36"/>
    <w:rsid w:val="00DB596E"/>
    <w:rsid w:val="00DB7773"/>
    <w:rsid w:val="00DC00EA"/>
    <w:rsid w:val="00DC3802"/>
    <w:rsid w:val="00DC3EAB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C687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E39C7"/>
    <w:rsid w:val="00FF402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EFFB400-E647-4854-AD3F-72329EDB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A759BD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link w:val="Heading2Char"/>
    <w:autoRedefine/>
    <w:qFormat/>
    <w:rsid w:val="00A759BD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A759BD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CD7377"/>
    <w:pPr>
      <w:tabs>
        <w:tab w:val="right" w:leader="dot" w:pos="9639"/>
      </w:tabs>
      <w:spacing w:after="120"/>
      <w:ind w:left="170" w:right="851"/>
    </w:pPr>
    <w:rPr>
      <w:rFonts w:ascii="Arial" w:hAnsi="Arial"/>
    </w:rPr>
  </w:style>
  <w:style w:type="paragraph" w:styleId="TOC3">
    <w:name w:val="toc 3"/>
    <w:next w:val="Normal"/>
    <w:autoRedefine/>
    <w:uiPriority w:val="39"/>
    <w:qFormat/>
    <w:rsid w:val="00CD7377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472FAF"/>
    <w:rPr>
      <w:rFonts w:ascii="Arial" w:hAnsi="Arial"/>
      <w:color w:val="0000FF"/>
      <w:u w:val="none"/>
    </w:rPr>
  </w:style>
  <w:style w:type="paragraph" w:styleId="TOC4">
    <w:name w:val="toc 4"/>
    <w:next w:val="Normal"/>
    <w:autoRedefine/>
    <w:uiPriority w:val="39"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CD7377"/>
    <w:pPr>
      <w:tabs>
        <w:tab w:val="right" w:leader="dot" w:pos="9639"/>
      </w:tabs>
      <w:spacing w:after="120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759BD"/>
    <w:rPr>
      <w:rFonts w:ascii="Arial" w:hAnsi="Arial"/>
      <w:caps/>
      <w:lang w:val="fr-FR"/>
    </w:rPr>
  </w:style>
  <w:style w:type="character" w:customStyle="1" w:styleId="Heading2Char">
    <w:name w:val="Heading 2 Char"/>
    <w:basedOn w:val="DefaultParagraphFont"/>
    <w:link w:val="Heading2"/>
    <w:rsid w:val="00A759BD"/>
    <w:rPr>
      <w:rFonts w:ascii="Arial" w:hAnsi="Arial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A759BD"/>
    <w:rPr>
      <w:rFonts w:ascii="Arial" w:hAnsi="Arial"/>
      <w:i/>
      <w:lang w:val="fr-FR"/>
    </w:rPr>
  </w:style>
  <w:style w:type="paragraph" w:styleId="ListParagraph">
    <w:name w:val="List Paragraph"/>
    <w:basedOn w:val="Normal"/>
    <w:uiPriority w:val="34"/>
    <w:qFormat/>
    <w:rsid w:val="005429C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5429CF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5429CF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429CF"/>
    <w:rPr>
      <w:rFonts w:ascii="Arial" w:hAnsi="Arial"/>
      <w:u w:val="single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429CF"/>
    <w:rPr>
      <w:rFonts w:ascii="Arial" w:hAnsi="Arial"/>
      <w:sz w:val="16"/>
      <w:lang w:val="fr-FR"/>
    </w:rPr>
  </w:style>
  <w:style w:type="paragraph" w:styleId="Caption">
    <w:name w:val="caption"/>
    <w:basedOn w:val="Normal"/>
    <w:next w:val="Normal"/>
    <w:qFormat/>
    <w:rsid w:val="005429CF"/>
    <w:pPr>
      <w:framePr w:w="11102" w:hSpace="181" w:wrap="around" w:vAnchor="page" w:hAnchor="page" w:x="438" w:y="15985" w:anchorLock="1"/>
      <w:jc w:val="center"/>
    </w:pPr>
    <w:rPr>
      <w:b/>
      <w:snapToGrid w:val="0"/>
      <w:lang w:val="en-US"/>
    </w:rPr>
  </w:style>
  <w:style w:type="character" w:customStyle="1" w:styleId="DecisionParagraphsChar">
    <w:name w:val="DecisionParagraphs Char"/>
    <w:basedOn w:val="DefaultParagraphFont"/>
    <w:link w:val="DecisionParagraphs"/>
    <w:rsid w:val="005429CF"/>
    <w:rPr>
      <w:rFonts w:ascii="Arial" w:hAnsi="Arial"/>
      <w:i/>
      <w:lang w:val="fr-FR"/>
    </w:rPr>
  </w:style>
  <w:style w:type="character" w:styleId="FollowedHyperlink">
    <w:name w:val="FollowedHyperlink"/>
    <w:basedOn w:val="DefaultParagraphFont"/>
    <w:semiHidden/>
    <w:unhideWhenUsed/>
    <w:rsid w:val="00792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fr/upov_eaf_18/upov_eaf_18_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en/upov_eaf_19/upov_eaf_19_3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F\Autotyping\Tools\Templates\UPOV\caj_78_FR_by%20correspondence_cor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caj_78_FR_by correspondence_corr.dotx</Template>
  <TotalTime>196</TotalTime>
  <Pages>10</Pages>
  <Words>3936</Words>
  <Characters>24033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27914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CAJ/79/10</dc:title>
  <dc:creator>BAILLY Delphine</dc:creator>
  <cp:lastModifiedBy>NICOLO Laurianne</cp:lastModifiedBy>
  <cp:revision>30</cp:revision>
  <cp:lastPrinted>2016-11-22T15:41:00Z</cp:lastPrinted>
  <dcterms:created xsi:type="dcterms:W3CDTF">2022-07-29T14:50:00Z</dcterms:created>
  <dcterms:modified xsi:type="dcterms:W3CDTF">2022-08-05T07:09:00Z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a74383cc-5cf5-4d42-909a-354f22c2a209</vt:lpwstr>
  </property>
</Properties>
</file>