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footer6.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11.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953DCC" w14:paraId="57295154" w14:textId="77777777" w:rsidTr="00EB4E9C">
        <w:tc>
          <w:tcPr>
            <w:tcW w:w="6522" w:type="dxa"/>
          </w:tcPr>
          <w:p w14:paraId="57295152" w14:textId="77777777" w:rsidR="00DC3802" w:rsidRPr="00953DCC" w:rsidRDefault="00DC3802" w:rsidP="00AC2883">
            <w:pPr>
              <w:rPr>
                <w:lang w:val="fr-FR"/>
              </w:rPr>
            </w:pPr>
            <w:r w:rsidRPr="00953DCC">
              <w:rPr>
                <w:noProof/>
              </w:rPr>
              <w:drawing>
                <wp:inline distT="0" distB="0" distL="0" distR="0" wp14:anchorId="5729544B" wp14:editId="5729544C">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14:paraId="57295153" w14:textId="77777777" w:rsidR="00DC3802" w:rsidRPr="00953DCC" w:rsidRDefault="005F025D" w:rsidP="005F025D">
            <w:pPr>
              <w:pStyle w:val="Lettrine"/>
              <w:rPr>
                <w:lang w:val="fr-FR"/>
              </w:rPr>
            </w:pPr>
            <w:r w:rsidRPr="00953DCC">
              <w:rPr>
                <w:color w:val="000000"/>
                <w:lang w:val="fr-FR"/>
              </w:rPr>
              <w:t>F</w:t>
            </w:r>
          </w:p>
        </w:tc>
      </w:tr>
      <w:tr w:rsidR="001F135F" w:rsidRPr="007F2632" w14:paraId="57295157" w14:textId="77777777" w:rsidTr="00645CA8">
        <w:trPr>
          <w:trHeight w:val="219"/>
        </w:trPr>
        <w:tc>
          <w:tcPr>
            <w:tcW w:w="6522" w:type="dxa"/>
          </w:tcPr>
          <w:p w14:paraId="57295155" w14:textId="77777777" w:rsidR="00DC3802" w:rsidRPr="00953DCC" w:rsidRDefault="005F025D" w:rsidP="005F025D">
            <w:pPr>
              <w:pStyle w:val="upove"/>
              <w:rPr>
                <w:lang w:val="fr-FR"/>
              </w:rPr>
            </w:pPr>
            <w:r w:rsidRPr="00953DCC">
              <w:rPr>
                <w:lang w:val="fr-FR"/>
              </w:rPr>
              <w:t>Union internationale pour la protection des obtentions végétales</w:t>
            </w:r>
          </w:p>
        </w:tc>
        <w:tc>
          <w:tcPr>
            <w:tcW w:w="3117" w:type="dxa"/>
          </w:tcPr>
          <w:p w14:paraId="57295156" w14:textId="77777777" w:rsidR="00DC3802" w:rsidRPr="00953DCC" w:rsidRDefault="00DC3802" w:rsidP="00DA4973">
            <w:pPr>
              <w:rPr>
                <w:lang w:val="fr-FR"/>
              </w:rPr>
            </w:pPr>
          </w:p>
        </w:tc>
      </w:tr>
    </w:tbl>
    <w:p w14:paraId="57295158" w14:textId="77777777" w:rsidR="005F025D" w:rsidRPr="00953DCC" w:rsidRDefault="005F025D" w:rsidP="00DC3802">
      <w:pPr>
        <w:rPr>
          <w:lang w:val="fr-FR"/>
        </w:rPr>
      </w:pPr>
    </w:p>
    <w:p w14:paraId="57295159" w14:textId="77777777" w:rsidR="00D70E65" w:rsidRPr="00953DCC" w:rsidRDefault="00D70E65" w:rsidP="00DC3802">
      <w:pPr>
        <w:rPr>
          <w:lang w:val="fr-FR"/>
        </w:rPr>
      </w:pPr>
    </w:p>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EB4E9C" w:rsidRPr="007F2632" w14:paraId="5729515F" w14:textId="77777777" w:rsidTr="00EB4E9C">
        <w:tc>
          <w:tcPr>
            <w:tcW w:w="6512" w:type="dxa"/>
          </w:tcPr>
          <w:p w14:paraId="5729515A" w14:textId="77777777" w:rsidR="005F025D" w:rsidRPr="00953DCC" w:rsidRDefault="005F025D" w:rsidP="005F025D">
            <w:pPr>
              <w:pStyle w:val="Sessiontc"/>
              <w:spacing w:line="240" w:lineRule="auto"/>
              <w:rPr>
                <w:lang w:val="fr-FR"/>
              </w:rPr>
            </w:pPr>
            <w:r w:rsidRPr="00953DCC">
              <w:rPr>
                <w:color w:val="000000"/>
                <w:lang w:val="fr-FR"/>
              </w:rPr>
              <w:t>Comité administratif et juridique</w:t>
            </w:r>
          </w:p>
          <w:p w14:paraId="5729515B" w14:textId="24AB43C6" w:rsidR="00EB4E9C" w:rsidRPr="00953DCC" w:rsidRDefault="00C20DCA" w:rsidP="003A5AAF">
            <w:pPr>
              <w:pStyle w:val="Sessiontcplacedate"/>
              <w:rPr>
                <w:sz w:val="22"/>
                <w:lang w:val="fr-FR"/>
              </w:rPr>
            </w:pPr>
            <w:r w:rsidRPr="00953DCC">
              <w:rPr>
                <w:lang w:val="fr-FR"/>
              </w:rPr>
              <w:t>Soixante</w:t>
            </w:r>
            <w:r w:rsidR="00456121">
              <w:rPr>
                <w:lang w:val="fr-FR"/>
              </w:rPr>
              <w:noBreakHyphen/>
            </w:r>
            <w:r w:rsidR="00A33A7D" w:rsidRPr="00953DCC">
              <w:rPr>
                <w:lang w:val="fr-FR"/>
              </w:rPr>
              <w:t>dix</w:t>
            </w:r>
            <w:r w:rsidR="00456121">
              <w:rPr>
                <w:lang w:val="fr-FR"/>
              </w:rPr>
              <w:noBreakHyphen/>
            </w:r>
            <w:r w:rsidR="00A33A7D" w:rsidRPr="00953DCC">
              <w:rPr>
                <w:lang w:val="fr-FR"/>
              </w:rPr>
              <w:t>huit</w:t>
            </w:r>
            <w:r w:rsidR="0056301D">
              <w:rPr>
                <w:lang w:val="fr-FR"/>
              </w:rPr>
              <w:t>ième session</w:t>
            </w:r>
            <w:r w:rsidR="00EB4E9C" w:rsidRPr="00953DCC">
              <w:rPr>
                <w:lang w:val="fr-FR"/>
              </w:rPr>
              <w:br/>
              <w:t>Gen</w:t>
            </w:r>
            <w:r w:rsidR="00A33A7D" w:rsidRPr="00953DCC">
              <w:rPr>
                <w:lang w:val="fr-FR"/>
              </w:rPr>
              <w:t>ève</w:t>
            </w:r>
            <w:r w:rsidR="00EB4E9C" w:rsidRPr="00953DCC">
              <w:rPr>
                <w:lang w:val="fr-FR"/>
              </w:rPr>
              <w:t xml:space="preserve">, </w:t>
            </w:r>
            <w:r w:rsidR="00A33A7D" w:rsidRPr="00953DCC">
              <w:rPr>
                <w:lang w:val="fr-FR"/>
              </w:rPr>
              <w:t>27 octobre </w:t>
            </w:r>
            <w:r w:rsidR="003A5AAF" w:rsidRPr="00953DCC">
              <w:rPr>
                <w:lang w:val="fr-FR"/>
              </w:rPr>
              <w:t>2021</w:t>
            </w:r>
          </w:p>
        </w:tc>
        <w:tc>
          <w:tcPr>
            <w:tcW w:w="3127" w:type="dxa"/>
          </w:tcPr>
          <w:p w14:paraId="5729515C" w14:textId="77777777" w:rsidR="005F025D" w:rsidRPr="00953DCC" w:rsidRDefault="005F025D" w:rsidP="005F025D">
            <w:pPr>
              <w:pStyle w:val="Doccode"/>
              <w:rPr>
                <w:lang w:val="fr-FR"/>
              </w:rPr>
            </w:pPr>
            <w:r w:rsidRPr="00953DCC">
              <w:rPr>
                <w:lang w:val="fr-FR"/>
              </w:rPr>
              <w:t>CAJ/78/INF/5</w:t>
            </w:r>
          </w:p>
          <w:p w14:paraId="5729515D" w14:textId="6A4C85AC" w:rsidR="005F025D" w:rsidRPr="00317147" w:rsidRDefault="005F025D" w:rsidP="005F025D">
            <w:pPr>
              <w:pStyle w:val="Docoriginal"/>
              <w:rPr>
                <w:lang w:val="fr-FR"/>
              </w:rPr>
            </w:pPr>
            <w:r w:rsidRPr="00953DCC">
              <w:rPr>
                <w:color w:val="000000"/>
                <w:lang w:val="fr-FR"/>
              </w:rPr>
              <w:t>ORIGINAL</w:t>
            </w:r>
            <w:r w:rsidR="0056301D">
              <w:rPr>
                <w:color w:val="000000"/>
                <w:lang w:val="fr-FR"/>
              </w:rPr>
              <w:t> :</w:t>
            </w:r>
            <w:r w:rsidRPr="00317147">
              <w:rPr>
                <w:b w:val="0"/>
                <w:lang w:val="fr-FR"/>
              </w:rPr>
              <w:t xml:space="preserve"> anglais</w:t>
            </w:r>
          </w:p>
          <w:p w14:paraId="5729515E" w14:textId="680376D3" w:rsidR="00EB4E9C" w:rsidRPr="00953DCC" w:rsidRDefault="005F025D" w:rsidP="00A33A7D">
            <w:pPr>
              <w:pStyle w:val="Docoriginal"/>
              <w:rPr>
                <w:lang w:val="fr-FR"/>
              </w:rPr>
            </w:pPr>
            <w:r w:rsidRPr="00317147">
              <w:rPr>
                <w:lang w:val="fr-FR"/>
              </w:rPr>
              <w:t>DATE</w:t>
            </w:r>
            <w:r w:rsidR="0056301D">
              <w:rPr>
                <w:lang w:val="fr-FR"/>
              </w:rPr>
              <w:t> :</w:t>
            </w:r>
            <w:r w:rsidRPr="00317147">
              <w:rPr>
                <w:b w:val="0"/>
                <w:lang w:val="fr-FR"/>
              </w:rPr>
              <w:t xml:space="preserve"> 19</w:t>
            </w:r>
            <w:r w:rsidR="00A33A7D" w:rsidRPr="00317147">
              <w:rPr>
                <w:b w:val="0"/>
                <w:lang w:val="fr-FR"/>
              </w:rPr>
              <w:t> </w:t>
            </w:r>
            <w:r w:rsidRPr="00317147">
              <w:rPr>
                <w:b w:val="0"/>
                <w:lang w:val="fr-FR"/>
              </w:rPr>
              <w:t>octobre</w:t>
            </w:r>
            <w:r w:rsidR="00A33A7D" w:rsidRPr="00317147">
              <w:rPr>
                <w:b w:val="0"/>
                <w:lang w:val="fr-FR"/>
              </w:rPr>
              <w:t> </w:t>
            </w:r>
            <w:r w:rsidRPr="00317147">
              <w:rPr>
                <w:b w:val="0"/>
                <w:lang w:val="fr-FR"/>
              </w:rPr>
              <w:t>2021</w:t>
            </w:r>
          </w:p>
        </w:tc>
      </w:tr>
    </w:tbl>
    <w:p w14:paraId="57295160" w14:textId="77777777" w:rsidR="005F025D" w:rsidRPr="00953DCC" w:rsidRDefault="005F025D" w:rsidP="005F025D">
      <w:pPr>
        <w:pStyle w:val="Titleofdoc0"/>
        <w:rPr>
          <w:lang w:val="fr-FR"/>
        </w:rPr>
      </w:pPr>
      <w:bookmarkStart w:id="0" w:name="TitleOfDoc"/>
      <w:bookmarkEnd w:id="0"/>
      <w:r w:rsidRPr="00953DCC">
        <w:rPr>
          <w:color w:val="000000"/>
          <w:lang w:val="fr-FR"/>
        </w:rPr>
        <w:t>TECHNIQUES MOL</w:t>
      </w:r>
      <w:bookmarkStart w:id="1" w:name="_Hlk86136288"/>
      <w:r w:rsidRPr="00953DCC">
        <w:rPr>
          <w:color w:val="000000"/>
          <w:lang w:val="fr-FR"/>
        </w:rPr>
        <w:t>É</w:t>
      </w:r>
      <w:bookmarkEnd w:id="1"/>
      <w:r w:rsidRPr="00953DCC">
        <w:rPr>
          <w:color w:val="000000"/>
          <w:lang w:val="fr-FR"/>
        </w:rPr>
        <w:t>CULAIRES</w:t>
      </w:r>
    </w:p>
    <w:p w14:paraId="57295161" w14:textId="1D50B177" w:rsidR="005F025D" w:rsidRPr="00953DCC" w:rsidRDefault="005F025D" w:rsidP="005F025D">
      <w:pPr>
        <w:pStyle w:val="preparedby1"/>
        <w:jc w:val="left"/>
        <w:rPr>
          <w:lang w:val="fr-FR"/>
        </w:rPr>
      </w:pPr>
      <w:bookmarkStart w:id="2" w:name="Prepared"/>
      <w:bookmarkEnd w:id="2"/>
      <w:r w:rsidRPr="00953DCC">
        <w:rPr>
          <w:color w:val="000000"/>
          <w:lang w:val="fr-FR"/>
        </w:rPr>
        <w:t>Document établi par le Bureau de l</w:t>
      </w:r>
      <w:r w:rsidR="0056301D">
        <w:rPr>
          <w:color w:val="000000"/>
          <w:lang w:val="fr-FR"/>
        </w:rPr>
        <w:t>’</w:t>
      </w:r>
      <w:r w:rsidRPr="00953DCC">
        <w:rPr>
          <w:color w:val="000000"/>
          <w:lang w:val="fr-FR"/>
        </w:rPr>
        <w:t>Union</w:t>
      </w:r>
    </w:p>
    <w:p w14:paraId="57295162" w14:textId="2482A667" w:rsidR="005F025D" w:rsidRPr="00953DCC" w:rsidRDefault="005F025D" w:rsidP="005F025D">
      <w:pPr>
        <w:pStyle w:val="Disclaimer"/>
        <w:rPr>
          <w:lang w:val="fr-FR"/>
        </w:rPr>
      </w:pPr>
      <w:r w:rsidRPr="00953DCC">
        <w:rPr>
          <w:lang w:val="fr-FR"/>
        </w:rPr>
        <w:t>Avertissement</w:t>
      </w:r>
      <w:r w:rsidR="0056301D">
        <w:rPr>
          <w:lang w:val="fr-FR"/>
        </w:rPr>
        <w:t> :</w:t>
      </w:r>
      <w:r w:rsidRPr="00953DCC">
        <w:rPr>
          <w:lang w:val="fr-FR"/>
        </w:rPr>
        <w:t xml:space="preserve"> le présent document ne représente pas les principes ou les orientations de l</w:t>
      </w:r>
      <w:r w:rsidR="0056301D">
        <w:rPr>
          <w:lang w:val="fr-FR"/>
        </w:rPr>
        <w:t>’</w:t>
      </w:r>
      <w:r w:rsidRPr="00953DCC">
        <w:rPr>
          <w:lang w:val="fr-FR"/>
        </w:rPr>
        <w:t>UPOV</w:t>
      </w:r>
    </w:p>
    <w:p w14:paraId="57295163" w14:textId="08D62827" w:rsidR="005F025D" w:rsidRPr="00953DCC" w:rsidRDefault="005F025D" w:rsidP="005F025D">
      <w:pPr>
        <w:keepNext/>
        <w:outlineLvl w:val="0"/>
        <w:rPr>
          <w:caps/>
          <w:spacing w:val="-4"/>
          <w:lang w:val="fr-FR" w:eastAsia="ja-JP"/>
        </w:rPr>
      </w:pPr>
      <w:bookmarkStart w:id="3" w:name="_Toc86312878"/>
      <w:r w:rsidRPr="00953DCC">
        <w:rPr>
          <w:caps/>
          <w:spacing w:val="-4"/>
          <w:lang w:val="fr-FR" w:eastAsia="ja-JP"/>
        </w:rPr>
        <w:t>R</w:t>
      </w:r>
      <w:r w:rsidR="002C461C" w:rsidRPr="00953DCC">
        <w:rPr>
          <w:lang w:val="fr-FR"/>
        </w:rPr>
        <w:t>É</w:t>
      </w:r>
      <w:r w:rsidRPr="00953DCC">
        <w:rPr>
          <w:caps/>
          <w:spacing w:val="-4"/>
          <w:lang w:val="fr-FR" w:eastAsia="ja-JP"/>
        </w:rPr>
        <w:t>sum</w:t>
      </w:r>
      <w:r w:rsidR="002C461C" w:rsidRPr="00953DCC">
        <w:rPr>
          <w:lang w:val="fr-FR"/>
        </w:rPr>
        <w:t>É</w:t>
      </w:r>
      <w:bookmarkEnd w:id="3"/>
    </w:p>
    <w:p w14:paraId="57295164" w14:textId="77777777" w:rsidR="005F025D" w:rsidRPr="00953DCC" w:rsidRDefault="005F025D" w:rsidP="00D14394">
      <w:pPr>
        <w:rPr>
          <w:rFonts w:eastAsiaTheme="minorEastAsia"/>
          <w:lang w:val="fr-FR" w:eastAsia="ja-JP"/>
        </w:rPr>
      </w:pPr>
    </w:p>
    <w:p w14:paraId="57295165" w14:textId="4313EA51" w:rsidR="005F025D" w:rsidRPr="00953DCC" w:rsidRDefault="00D14394" w:rsidP="005F025D">
      <w:pPr>
        <w:rPr>
          <w:lang w:val="fr-FR"/>
        </w:rPr>
      </w:pPr>
      <w:r w:rsidRPr="00953DCC">
        <w:rPr>
          <w:lang w:val="fr-FR"/>
        </w:rPr>
        <w:fldChar w:fldCharType="begin"/>
      </w:r>
      <w:r w:rsidRPr="00953DCC">
        <w:rPr>
          <w:lang w:val="fr-FR"/>
        </w:rPr>
        <w:instrText xml:space="preserve"> AUTONUM  </w:instrText>
      </w:r>
      <w:r w:rsidRPr="00953DCC">
        <w:rPr>
          <w:lang w:val="fr-FR"/>
        </w:rPr>
        <w:fldChar w:fldCharType="end"/>
      </w:r>
      <w:r w:rsidRPr="00953DCC">
        <w:rPr>
          <w:lang w:val="fr-FR"/>
        </w:rPr>
        <w:tab/>
      </w:r>
      <w:r w:rsidR="005F025D" w:rsidRPr="00953DCC">
        <w:rPr>
          <w:lang w:val="fr-FR"/>
        </w:rPr>
        <w:t>L</w:t>
      </w:r>
      <w:r w:rsidR="0056301D">
        <w:rPr>
          <w:lang w:val="fr-FR"/>
        </w:rPr>
        <w:t>’</w:t>
      </w:r>
      <w:r w:rsidR="005F025D" w:rsidRPr="00953DCC">
        <w:rPr>
          <w:lang w:val="fr-FR"/>
        </w:rPr>
        <w:t>objet du présent document est de rendre compte des faits nouveaux survenus dans le domaine des techniques moléculaires depuis la soixante</w:t>
      </w:r>
      <w:r w:rsidR="00456121">
        <w:rPr>
          <w:lang w:val="fr-FR"/>
        </w:rPr>
        <w:noBreakHyphen/>
      </w:r>
      <w:r w:rsidR="008D1450" w:rsidRPr="00953DCC">
        <w:rPr>
          <w:lang w:val="fr-FR"/>
        </w:rPr>
        <w:t>dix</w:t>
      </w:r>
      <w:r w:rsidR="00456121">
        <w:rPr>
          <w:lang w:val="fr-FR"/>
        </w:rPr>
        <w:noBreakHyphen/>
      </w:r>
      <w:r w:rsidR="008D1450" w:rsidRPr="00953DCC">
        <w:rPr>
          <w:lang w:val="fr-FR"/>
        </w:rPr>
        <w:t>sept</w:t>
      </w:r>
      <w:r w:rsidR="0056301D">
        <w:rPr>
          <w:lang w:val="fr-FR"/>
        </w:rPr>
        <w:t>ième session</w:t>
      </w:r>
      <w:r w:rsidR="005F025D" w:rsidRPr="00953DCC">
        <w:rPr>
          <w:lang w:val="fr-FR"/>
        </w:rPr>
        <w:t xml:space="preserve"> du Comité administratif et juridique (CAJ)</w:t>
      </w:r>
      <w:r w:rsidR="005F025D" w:rsidRPr="00953DCC">
        <w:rPr>
          <w:color w:val="008000"/>
          <w:lang w:val="fr-FR"/>
        </w:rPr>
        <w:t>.</w:t>
      </w:r>
    </w:p>
    <w:p w14:paraId="57295166" w14:textId="77777777" w:rsidR="005F025D" w:rsidRPr="00953DCC" w:rsidRDefault="005F025D" w:rsidP="00D14394">
      <w:pPr>
        <w:rPr>
          <w:lang w:val="fr-FR" w:eastAsia="ja-JP"/>
        </w:rPr>
      </w:pPr>
    </w:p>
    <w:p w14:paraId="57295167" w14:textId="1D5A02A9" w:rsidR="005F025D" w:rsidRPr="00953DCC" w:rsidRDefault="00D14394" w:rsidP="005F025D">
      <w:pPr>
        <w:keepNext/>
        <w:keepLines/>
        <w:rPr>
          <w:lang w:val="fr-FR"/>
        </w:rPr>
      </w:pPr>
      <w:r w:rsidRPr="00953DCC">
        <w:rPr>
          <w:lang w:val="fr-FR"/>
        </w:rPr>
        <w:fldChar w:fldCharType="begin"/>
      </w:r>
      <w:r w:rsidRPr="00953DCC">
        <w:rPr>
          <w:lang w:val="fr-FR"/>
        </w:rPr>
        <w:instrText xml:space="preserve"> AUTONUM  </w:instrText>
      </w:r>
      <w:r w:rsidRPr="00953DCC">
        <w:rPr>
          <w:lang w:val="fr-FR"/>
        </w:rPr>
        <w:fldChar w:fldCharType="end"/>
      </w:r>
      <w:r w:rsidRPr="00953DCC">
        <w:rPr>
          <w:lang w:val="fr-FR"/>
        </w:rPr>
        <w:tab/>
      </w:r>
      <w:r w:rsidR="005F025D" w:rsidRPr="00953DCC">
        <w:rPr>
          <w:lang w:val="fr-FR"/>
        </w:rPr>
        <w:t>Les abréviations ci</w:t>
      </w:r>
      <w:r w:rsidR="00456121">
        <w:rPr>
          <w:lang w:val="fr-FR"/>
        </w:rPr>
        <w:noBreakHyphen/>
      </w:r>
      <w:r w:rsidR="005F025D" w:rsidRPr="00953DCC">
        <w:rPr>
          <w:lang w:val="fr-FR"/>
        </w:rPr>
        <w:t>après sont utilisées dans le présent document</w:t>
      </w:r>
      <w:r w:rsidR="0056301D">
        <w:rPr>
          <w:lang w:val="fr-FR"/>
        </w:rPr>
        <w:t> :</w:t>
      </w:r>
    </w:p>
    <w:p w14:paraId="57295168" w14:textId="77777777" w:rsidR="005F025D" w:rsidRPr="00953DCC" w:rsidRDefault="005F025D" w:rsidP="00D14394">
      <w:pPr>
        <w:keepNext/>
        <w:keepLines/>
        <w:rPr>
          <w:sz w:val="16"/>
          <w:lang w:val="fr-FR"/>
        </w:rPr>
      </w:pPr>
    </w:p>
    <w:p w14:paraId="2F323051" w14:textId="57E4AF2B" w:rsidR="0056301D" w:rsidRDefault="005F025D" w:rsidP="005F025D">
      <w:pPr>
        <w:keepNext/>
        <w:keepLines/>
        <w:tabs>
          <w:tab w:val="left" w:pos="567"/>
        </w:tabs>
        <w:ind w:left="1701" w:hanging="1134"/>
        <w:rPr>
          <w:sz w:val="18"/>
          <w:lang w:val="fr-FR"/>
        </w:rPr>
      </w:pPr>
      <w:r w:rsidRPr="00953DCC">
        <w:rPr>
          <w:sz w:val="18"/>
          <w:lang w:val="fr-FR"/>
        </w:rPr>
        <w:t>BMT</w:t>
      </w:r>
      <w:r w:rsidR="0056301D">
        <w:rPr>
          <w:sz w:val="18"/>
          <w:lang w:val="fr-FR"/>
        </w:rPr>
        <w:t> :</w:t>
      </w:r>
      <w:r w:rsidR="009336C9" w:rsidRPr="00953DCC">
        <w:rPr>
          <w:sz w:val="18"/>
          <w:lang w:val="fr-FR"/>
        </w:rPr>
        <w:tab/>
      </w:r>
      <w:r w:rsidRPr="00953DCC">
        <w:rPr>
          <w:sz w:val="18"/>
          <w:lang w:val="fr-FR"/>
        </w:rPr>
        <w:t>Groupe de travail sur les techniques biochimiques et moléculaires, notamment les profils d</w:t>
      </w:r>
      <w:r w:rsidR="0056301D">
        <w:rPr>
          <w:sz w:val="18"/>
          <w:lang w:val="fr-FR"/>
        </w:rPr>
        <w:t>’</w:t>
      </w:r>
      <w:r w:rsidRPr="00953DCC">
        <w:rPr>
          <w:sz w:val="18"/>
          <w:lang w:val="fr-FR"/>
        </w:rPr>
        <w:t>ADN</w:t>
      </w:r>
    </w:p>
    <w:p w14:paraId="5729516A" w14:textId="7B20E86C" w:rsidR="005F025D" w:rsidRPr="00953DCC" w:rsidRDefault="005F025D" w:rsidP="005F025D">
      <w:pPr>
        <w:keepNext/>
        <w:keepLines/>
        <w:tabs>
          <w:tab w:val="left" w:pos="567"/>
        </w:tabs>
        <w:ind w:left="1701" w:hanging="1134"/>
        <w:rPr>
          <w:sz w:val="18"/>
          <w:lang w:val="fr-FR"/>
        </w:rPr>
      </w:pPr>
      <w:r w:rsidRPr="00953DCC">
        <w:rPr>
          <w:sz w:val="18"/>
          <w:lang w:val="fr-FR"/>
        </w:rPr>
        <w:t>CAJ</w:t>
      </w:r>
      <w:r w:rsidR="0056301D">
        <w:rPr>
          <w:sz w:val="18"/>
          <w:lang w:val="fr-FR"/>
        </w:rPr>
        <w:t> :</w:t>
      </w:r>
      <w:r w:rsidR="009336C9" w:rsidRPr="00953DCC">
        <w:rPr>
          <w:sz w:val="18"/>
          <w:lang w:val="fr-FR"/>
        </w:rPr>
        <w:tab/>
      </w:r>
      <w:r w:rsidRPr="00953DCC">
        <w:rPr>
          <w:sz w:val="18"/>
          <w:lang w:val="fr-FR"/>
        </w:rPr>
        <w:t>Comité administratif et juridique</w:t>
      </w:r>
    </w:p>
    <w:p w14:paraId="5729516B" w14:textId="38817557" w:rsidR="005F025D" w:rsidRPr="00953DCC" w:rsidRDefault="005F025D" w:rsidP="005F025D">
      <w:pPr>
        <w:keepNext/>
        <w:keepLines/>
        <w:tabs>
          <w:tab w:val="left" w:pos="567"/>
        </w:tabs>
        <w:ind w:left="1701" w:hanging="1134"/>
        <w:rPr>
          <w:sz w:val="18"/>
          <w:lang w:val="fr-FR"/>
        </w:rPr>
      </w:pPr>
      <w:r w:rsidRPr="00953DCC">
        <w:rPr>
          <w:sz w:val="18"/>
          <w:lang w:val="fr-FR"/>
        </w:rPr>
        <w:t>TC</w:t>
      </w:r>
      <w:r w:rsidR="0056301D">
        <w:rPr>
          <w:sz w:val="18"/>
          <w:lang w:val="fr-FR"/>
        </w:rPr>
        <w:t> :</w:t>
      </w:r>
      <w:r w:rsidR="009336C9" w:rsidRPr="00953DCC">
        <w:rPr>
          <w:sz w:val="18"/>
          <w:lang w:val="fr-FR"/>
        </w:rPr>
        <w:tab/>
      </w:r>
      <w:r w:rsidRPr="00953DCC">
        <w:rPr>
          <w:sz w:val="18"/>
          <w:lang w:val="fr-FR"/>
        </w:rPr>
        <w:t>Comité technique</w:t>
      </w:r>
    </w:p>
    <w:p w14:paraId="5729516C" w14:textId="597F590E" w:rsidR="005F025D" w:rsidRPr="00953DCC" w:rsidRDefault="005F025D" w:rsidP="005F025D">
      <w:pPr>
        <w:ind w:left="1701" w:hanging="1134"/>
        <w:rPr>
          <w:rFonts w:eastAsia="PMingLiU" w:cs="Arial"/>
          <w:sz w:val="18"/>
          <w:szCs w:val="24"/>
          <w:lang w:val="fr-FR"/>
        </w:rPr>
      </w:pPr>
      <w:r w:rsidRPr="00953DCC">
        <w:rPr>
          <w:rFonts w:eastAsia="PMingLiU" w:cs="Arial"/>
          <w:sz w:val="18"/>
          <w:szCs w:val="24"/>
          <w:lang w:val="fr-FR"/>
        </w:rPr>
        <w:t>TWA</w:t>
      </w:r>
      <w:r w:rsidR="0056301D">
        <w:rPr>
          <w:rFonts w:eastAsia="PMingLiU" w:cs="Arial"/>
          <w:sz w:val="18"/>
          <w:szCs w:val="24"/>
          <w:lang w:val="fr-FR"/>
        </w:rPr>
        <w:t> :</w:t>
      </w:r>
      <w:r w:rsidR="009336C9" w:rsidRPr="00953DCC">
        <w:rPr>
          <w:rFonts w:eastAsia="PMingLiU" w:cs="Arial"/>
          <w:sz w:val="18"/>
          <w:szCs w:val="24"/>
          <w:lang w:val="fr-FR"/>
        </w:rPr>
        <w:tab/>
      </w:r>
      <w:r w:rsidRPr="00953DCC">
        <w:rPr>
          <w:rFonts w:eastAsia="PMingLiU" w:cs="Arial"/>
          <w:sz w:val="18"/>
          <w:szCs w:val="24"/>
          <w:lang w:val="fr-FR"/>
        </w:rPr>
        <w:t>Groupe de travail technique sur les plantes agricoles</w:t>
      </w:r>
    </w:p>
    <w:p w14:paraId="5729516D" w14:textId="471CB4D0" w:rsidR="005F025D" w:rsidRPr="00953DCC" w:rsidRDefault="005F025D" w:rsidP="005F025D">
      <w:pPr>
        <w:ind w:left="1701" w:hanging="1134"/>
        <w:rPr>
          <w:rFonts w:eastAsia="PMingLiU" w:cs="Arial"/>
          <w:sz w:val="18"/>
          <w:szCs w:val="24"/>
          <w:lang w:val="fr-FR"/>
        </w:rPr>
      </w:pPr>
      <w:r w:rsidRPr="00953DCC">
        <w:rPr>
          <w:rFonts w:eastAsia="PMingLiU" w:cs="Arial"/>
          <w:sz w:val="18"/>
          <w:szCs w:val="24"/>
          <w:lang w:val="fr-FR"/>
        </w:rPr>
        <w:t>TWC</w:t>
      </w:r>
      <w:r w:rsidR="0056301D">
        <w:rPr>
          <w:rFonts w:eastAsia="PMingLiU" w:cs="Arial"/>
          <w:sz w:val="18"/>
          <w:szCs w:val="24"/>
          <w:lang w:val="fr-FR"/>
        </w:rPr>
        <w:t> :</w:t>
      </w:r>
      <w:r w:rsidR="009336C9" w:rsidRPr="00953DCC">
        <w:rPr>
          <w:rFonts w:eastAsia="PMingLiU" w:cs="Arial"/>
          <w:sz w:val="18"/>
          <w:szCs w:val="24"/>
          <w:lang w:val="fr-FR"/>
        </w:rPr>
        <w:tab/>
      </w:r>
      <w:r w:rsidRPr="00953DCC">
        <w:rPr>
          <w:rFonts w:eastAsia="PMingLiU" w:cs="Arial"/>
          <w:sz w:val="18"/>
          <w:szCs w:val="24"/>
          <w:lang w:val="fr-FR"/>
        </w:rPr>
        <w:t>Groupe de travail technique sur les systèmes d</w:t>
      </w:r>
      <w:r w:rsidR="0056301D">
        <w:rPr>
          <w:rFonts w:eastAsia="PMingLiU" w:cs="Arial"/>
          <w:sz w:val="18"/>
          <w:szCs w:val="24"/>
          <w:lang w:val="fr-FR"/>
        </w:rPr>
        <w:t>’</w:t>
      </w:r>
      <w:r w:rsidRPr="00953DCC">
        <w:rPr>
          <w:rFonts w:eastAsia="PMingLiU" w:cs="Arial"/>
          <w:sz w:val="18"/>
          <w:szCs w:val="24"/>
          <w:lang w:val="fr-FR"/>
        </w:rPr>
        <w:t>automatisation et les programmes d</w:t>
      </w:r>
      <w:r w:rsidR="0056301D">
        <w:rPr>
          <w:rFonts w:eastAsia="PMingLiU" w:cs="Arial"/>
          <w:sz w:val="18"/>
          <w:szCs w:val="24"/>
          <w:lang w:val="fr-FR"/>
        </w:rPr>
        <w:t>’</w:t>
      </w:r>
      <w:r w:rsidRPr="00953DCC">
        <w:rPr>
          <w:rFonts w:eastAsia="PMingLiU" w:cs="Arial"/>
          <w:sz w:val="18"/>
          <w:szCs w:val="24"/>
          <w:lang w:val="fr-FR"/>
        </w:rPr>
        <w:t>ordinateur</w:t>
      </w:r>
    </w:p>
    <w:p w14:paraId="5729516E" w14:textId="628F94A7" w:rsidR="005F025D" w:rsidRPr="00953DCC" w:rsidRDefault="005F025D" w:rsidP="005F025D">
      <w:pPr>
        <w:ind w:left="1701" w:hanging="1134"/>
        <w:rPr>
          <w:rFonts w:eastAsia="PMingLiU" w:cs="Arial"/>
          <w:sz w:val="18"/>
          <w:szCs w:val="24"/>
          <w:lang w:val="fr-FR"/>
        </w:rPr>
      </w:pPr>
      <w:r w:rsidRPr="00953DCC">
        <w:rPr>
          <w:rFonts w:eastAsia="PMingLiU" w:cs="Arial"/>
          <w:sz w:val="18"/>
          <w:szCs w:val="24"/>
          <w:lang w:val="fr-FR"/>
        </w:rPr>
        <w:t>TWF</w:t>
      </w:r>
      <w:r w:rsidR="0056301D">
        <w:rPr>
          <w:rFonts w:eastAsia="PMingLiU" w:cs="Arial"/>
          <w:sz w:val="18"/>
          <w:szCs w:val="24"/>
          <w:lang w:val="fr-FR"/>
        </w:rPr>
        <w:t> :</w:t>
      </w:r>
      <w:r w:rsidR="009336C9" w:rsidRPr="00953DCC">
        <w:rPr>
          <w:rFonts w:eastAsia="PMingLiU" w:cs="Arial"/>
          <w:sz w:val="18"/>
          <w:szCs w:val="24"/>
          <w:lang w:val="fr-FR"/>
        </w:rPr>
        <w:tab/>
      </w:r>
      <w:r w:rsidRPr="00953DCC">
        <w:rPr>
          <w:rFonts w:eastAsia="PMingLiU" w:cs="Arial"/>
          <w:sz w:val="18"/>
          <w:szCs w:val="24"/>
          <w:lang w:val="fr-FR"/>
        </w:rPr>
        <w:t>Groupe de travail technique sur les plantes fruitières</w:t>
      </w:r>
    </w:p>
    <w:p w14:paraId="5729516F" w14:textId="10607703" w:rsidR="005F025D" w:rsidRPr="00953DCC" w:rsidRDefault="005F025D" w:rsidP="005F025D">
      <w:pPr>
        <w:ind w:left="1701" w:hanging="1134"/>
        <w:rPr>
          <w:rFonts w:eastAsia="PMingLiU" w:cs="Arial"/>
          <w:sz w:val="18"/>
          <w:szCs w:val="24"/>
          <w:lang w:val="fr-FR"/>
        </w:rPr>
      </w:pPr>
      <w:r w:rsidRPr="00953DCC">
        <w:rPr>
          <w:rFonts w:eastAsia="PMingLiU" w:cs="Arial"/>
          <w:sz w:val="18"/>
          <w:szCs w:val="24"/>
          <w:lang w:val="fr-FR"/>
        </w:rPr>
        <w:t>TWO</w:t>
      </w:r>
      <w:r w:rsidR="0056301D">
        <w:rPr>
          <w:rFonts w:eastAsia="PMingLiU" w:cs="Arial"/>
          <w:sz w:val="18"/>
          <w:szCs w:val="24"/>
          <w:lang w:val="fr-FR"/>
        </w:rPr>
        <w:t> :</w:t>
      </w:r>
      <w:r w:rsidR="009336C9" w:rsidRPr="00953DCC">
        <w:rPr>
          <w:rFonts w:eastAsia="PMingLiU" w:cs="Arial"/>
          <w:sz w:val="18"/>
          <w:szCs w:val="24"/>
          <w:lang w:val="fr-FR"/>
        </w:rPr>
        <w:tab/>
      </w:r>
      <w:r w:rsidRPr="00953DCC">
        <w:rPr>
          <w:rFonts w:eastAsia="PMingLiU" w:cs="Arial"/>
          <w:sz w:val="18"/>
          <w:szCs w:val="24"/>
          <w:lang w:val="fr-FR"/>
        </w:rPr>
        <w:t>Groupe de travail technique sur les plantes ornementales et les arbres forestiers</w:t>
      </w:r>
    </w:p>
    <w:p w14:paraId="57295170" w14:textId="69AA9889" w:rsidR="005F025D" w:rsidRPr="00953DCC" w:rsidRDefault="005F025D" w:rsidP="005F025D">
      <w:pPr>
        <w:keepNext/>
        <w:keepLines/>
        <w:ind w:left="1701" w:hanging="1134"/>
        <w:rPr>
          <w:rFonts w:eastAsia="PMingLiU" w:cs="Arial"/>
          <w:sz w:val="18"/>
          <w:szCs w:val="24"/>
          <w:lang w:val="fr-FR"/>
        </w:rPr>
      </w:pPr>
      <w:r w:rsidRPr="00953DCC">
        <w:rPr>
          <w:rFonts w:eastAsia="PMingLiU" w:cs="Arial"/>
          <w:sz w:val="18"/>
          <w:szCs w:val="24"/>
          <w:lang w:val="fr-FR"/>
        </w:rPr>
        <w:t>TWP</w:t>
      </w:r>
      <w:r w:rsidR="0056301D">
        <w:rPr>
          <w:rFonts w:eastAsia="PMingLiU" w:cs="Arial"/>
          <w:sz w:val="18"/>
          <w:szCs w:val="24"/>
          <w:lang w:val="fr-FR"/>
        </w:rPr>
        <w:t> :</w:t>
      </w:r>
      <w:r w:rsidR="009336C9" w:rsidRPr="00953DCC">
        <w:rPr>
          <w:rFonts w:eastAsia="PMingLiU" w:cs="Arial"/>
          <w:sz w:val="18"/>
          <w:szCs w:val="24"/>
          <w:lang w:val="fr-FR"/>
        </w:rPr>
        <w:tab/>
      </w:r>
      <w:r w:rsidRPr="00953DCC">
        <w:rPr>
          <w:rFonts w:eastAsia="PMingLiU" w:cs="Arial"/>
          <w:sz w:val="18"/>
          <w:szCs w:val="24"/>
          <w:lang w:val="fr-FR"/>
        </w:rPr>
        <w:t>Groupe(s) de travail technique(s)</w:t>
      </w:r>
    </w:p>
    <w:p w14:paraId="57295171" w14:textId="02D57CAF" w:rsidR="005F025D" w:rsidRPr="00953DCC" w:rsidRDefault="005F025D" w:rsidP="005F025D">
      <w:pPr>
        <w:keepNext/>
        <w:keepLines/>
        <w:ind w:left="1701" w:hanging="1134"/>
        <w:rPr>
          <w:rFonts w:eastAsia="PMingLiU" w:cs="Arial"/>
          <w:sz w:val="18"/>
          <w:szCs w:val="24"/>
          <w:lang w:val="fr-FR"/>
        </w:rPr>
      </w:pPr>
      <w:r w:rsidRPr="00953DCC">
        <w:rPr>
          <w:rFonts w:eastAsia="PMingLiU" w:cs="Arial"/>
          <w:sz w:val="18"/>
          <w:szCs w:val="24"/>
          <w:lang w:val="fr-FR"/>
        </w:rPr>
        <w:t>TWV</w:t>
      </w:r>
      <w:r w:rsidR="0056301D">
        <w:rPr>
          <w:rFonts w:eastAsia="PMingLiU" w:cs="Arial"/>
          <w:sz w:val="18"/>
          <w:szCs w:val="24"/>
          <w:lang w:val="fr-FR"/>
        </w:rPr>
        <w:t> :</w:t>
      </w:r>
      <w:r w:rsidR="009336C9" w:rsidRPr="00953DCC">
        <w:rPr>
          <w:rFonts w:eastAsia="PMingLiU" w:cs="Arial"/>
          <w:sz w:val="18"/>
          <w:szCs w:val="24"/>
          <w:lang w:val="fr-FR"/>
        </w:rPr>
        <w:tab/>
      </w:r>
      <w:r w:rsidRPr="00953DCC">
        <w:rPr>
          <w:rFonts w:eastAsia="PMingLiU" w:cs="Arial"/>
          <w:sz w:val="18"/>
          <w:szCs w:val="24"/>
          <w:lang w:val="fr-FR"/>
        </w:rPr>
        <w:t>Groupe de travail technique sur les plantes potagères</w:t>
      </w:r>
    </w:p>
    <w:p w14:paraId="57295172" w14:textId="6A7510C0" w:rsidR="005F025D" w:rsidRPr="00953DCC" w:rsidRDefault="005F025D" w:rsidP="005F025D">
      <w:pPr>
        <w:keepNext/>
        <w:keepLines/>
        <w:ind w:left="1701" w:hanging="1134"/>
        <w:rPr>
          <w:rFonts w:eastAsia="PMingLiU" w:cs="Arial"/>
          <w:snapToGrid w:val="0"/>
          <w:sz w:val="18"/>
          <w:szCs w:val="24"/>
          <w:lang w:val="fr-FR"/>
        </w:rPr>
      </w:pPr>
      <w:r w:rsidRPr="00953DCC">
        <w:rPr>
          <w:rFonts w:eastAsia="PMingLiU" w:cs="Arial"/>
          <w:snapToGrid w:val="0"/>
          <w:sz w:val="18"/>
          <w:szCs w:val="24"/>
          <w:lang w:val="fr-FR"/>
        </w:rPr>
        <w:t>OCDE</w:t>
      </w:r>
      <w:r w:rsidR="0056301D">
        <w:rPr>
          <w:rFonts w:eastAsia="PMingLiU" w:cs="Arial"/>
          <w:snapToGrid w:val="0"/>
          <w:sz w:val="18"/>
          <w:szCs w:val="24"/>
          <w:lang w:val="fr-FR"/>
        </w:rPr>
        <w:t> :</w:t>
      </w:r>
      <w:r w:rsidR="009336C9" w:rsidRPr="00953DCC">
        <w:rPr>
          <w:rFonts w:eastAsia="PMingLiU" w:cs="Arial"/>
          <w:snapToGrid w:val="0"/>
          <w:sz w:val="18"/>
          <w:szCs w:val="24"/>
          <w:lang w:val="fr-FR"/>
        </w:rPr>
        <w:tab/>
      </w:r>
      <w:r w:rsidRPr="00953DCC">
        <w:rPr>
          <w:rFonts w:eastAsia="PMingLiU" w:cs="Arial"/>
          <w:snapToGrid w:val="0"/>
          <w:sz w:val="18"/>
          <w:szCs w:val="24"/>
          <w:lang w:val="fr-FR"/>
        </w:rPr>
        <w:t>Organisation de coopération et de développement économiques</w:t>
      </w:r>
    </w:p>
    <w:p w14:paraId="57295173" w14:textId="79387C19" w:rsidR="005F025D" w:rsidRPr="00953DCC" w:rsidRDefault="005F025D" w:rsidP="005F025D">
      <w:pPr>
        <w:ind w:left="1701" w:hanging="1134"/>
        <w:rPr>
          <w:rFonts w:cs="Arial"/>
          <w:snapToGrid w:val="0"/>
          <w:sz w:val="18"/>
          <w:szCs w:val="24"/>
          <w:lang w:val="fr-FR" w:eastAsia="ja-JP"/>
        </w:rPr>
      </w:pPr>
      <w:r w:rsidRPr="00953DCC">
        <w:rPr>
          <w:rFonts w:cs="Arial"/>
          <w:snapToGrid w:val="0"/>
          <w:sz w:val="18"/>
          <w:szCs w:val="24"/>
          <w:lang w:val="fr-FR" w:eastAsia="ja-JP"/>
        </w:rPr>
        <w:t>ISTA</w:t>
      </w:r>
      <w:r w:rsidR="0056301D">
        <w:rPr>
          <w:rFonts w:cs="Arial"/>
          <w:snapToGrid w:val="0"/>
          <w:sz w:val="18"/>
          <w:szCs w:val="24"/>
          <w:lang w:val="fr-FR" w:eastAsia="ja-JP"/>
        </w:rPr>
        <w:t> :</w:t>
      </w:r>
      <w:r w:rsidR="009336C9" w:rsidRPr="00953DCC">
        <w:rPr>
          <w:rFonts w:cs="Arial"/>
          <w:snapToGrid w:val="0"/>
          <w:sz w:val="18"/>
          <w:szCs w:val="24"/>
          <w:lang w:val="fr-FR" w:eastAsia="ja-JP"/>
        </w:rPr>
        <w:tab/>
      </w:r>
      <w:r w:rsidRPr="00953DCC">
        <w:rPr>
          <w:rFonts w:cs="Arial"/>
          <w:snapToGrid w:val="0"/>
          <w:sz w:val="18"/>
          <w:szCs w:val="24"/>
          <w:lang w:val="fr-FR" w:eastAsia="ja-JP"/>
        </w:rPr>
        <w:t>Association internationale d</w:t>
      </w:r>
      <w:r w:rsidR="0056301D">
        <w:rPr>
          <w:rFonts w:cs="Arial"/>
          <w:snapToGrid w:val="0"/>
          <w:sz w:val="18"/>
          <w:szCs w:val="24"/>
          <w:lang w:val="fr-FR" w:eastAsia="ja-JP"/>
        </w:rPr>
        <w:t>’</w:t>
      </w:r>
      <w:r w:rsidRPr="00953DCC">
        <w:rPr>
          <w:rFonts w:cs="Arial"/>
          <w:snapToGrid w:val="0"/>
          <w:sz w:val="18"/>
          <w:szCs w:val="24"/>
          <w:lang w:val="fr-FR" w:eastAsia="ja-JP"/>
        </w:rPr>
        <w:t>essais de semences</w:t>
      </w:r>
    </w:p>
    <w:p w14:paraId="57295174" w14:textId="77777777" w:rsidR="005F025D" w:rsidRPr="00953DCC" w:rsidRDefault="005F025D" w:rsidP="00D14394">
      <w:pPr>
        <w:ind w:left="1701" w:hanging="1134"/>
        <w:rPr>
          <w:rFonts w:cs="Arial"/>
          <w:snapToGrid w:val="0"/>
          <w:sz w:val="18"/>
          <w:szCs w:val="24"/>
          <w:lang w:val="fr-FR" w:eastAsia="ja-JP"/>
        </w:rPr>
      </w:pPr>
    </w:p>
    <w:p w14:paraId="57295175" w14:textId="65338A48" w:rsidR="005F025D" w:rsidRPr="00953DCC" w:rsidRDefault="00D14394" w:rsidP="005F025D">
      <w:pPr>
        <w:keepNext/>
        <w:rPr>
          <w:lang w:val="fr-FR"/>
        </w:rPr>
      </w:pPr>
      <w:r w:rsidRPr="00953DCC">
        <w:rPr>
          <w:lang w:val="fr-FR"/>
        </w:rPr>
        <w:fldChar w:fldCharType="begin"/>
      </w:r>
      <w:r w:rsidRPr="00953DCC">
        <w:rPr>
          <w:lang w:val="fr-FR"/>
        </w:rPr>
        <w:instrText xml:space="preserve"> AUTONUM  </w:instrText>
      </w:r>
      <w:r w:rsidRPr="00953DCC">
        <w:rPr>
          <w:lang w:val="fr-FR"/>
        </w:rPr>
        <w:fldChar w:fldCharType="end"/>
      </w:r>
      <w:r w:rsidRPr="00953DCC">
        <w:rPr>
          <w:lang w:val="fr-FR"/>
        </w:rPr>
        <w:tab/>
      </w:r>
      <w:r w:rsidR="005F025D" w:rsidRPr="00953DCC">
        <w:rPr>
          <w:lang w:val="fr-FR"/>
        </w:rPr>
        <w:t>La structure du présent document est la suivante</w:t>
      </w:r>
      <w:r w:rsidR="0056301D">
        <w:rPr>
          <w:lang w:val="fr-FR"/>
        </w:rPr>
        <w:t> :</w:t>
      </w:r>
    </w:p>
    <w:bookmarkStart w:id="4" w:name="_Toc460313637"/>
    <w:bookmarkStart w:id="5" w:name="_Toc410822402"/>
    <w:bookmarkStart w:id="6" w:name="_Toc410822806"/>
    <w:bookmarkStart w:id="7" w:name="_Toc410823313"/>
    <w:bookmarkStart w:id="8" w:name="_Toc410899581"/>
    <w:p w14:paraId="6BF95FCC" w14:textId="35AC4F8B" w:rsidR="00E75AE1" w:rsidRPr="00E75AE1" w:rsidRDefault="00D14394" w:rsidP="002C77EB">
      <w:pPr>
        <w:pStyle w:val="TOC1"/>
        <w:rPr>
          <w:rFonts w:asciiTheme="minorHAnsi" w:eastAsiaTheme="minorEastAsia" w:hAnsiTheme="minorHAnsi" w:cstheme="minorBidi"/>
          <w:noProof/>
          <w:sz w:val="22"/>
          <w:szCs w:val="22"/>
          <w:lang w:val="fr-FR"/>
        </w:rPr>
      </w:pPr>
      <w:r w:rsidRPr="00953DCC">
        <w:rPr>
          <w:rFonts w:eastAsiaTheme="minorEastAsia" w:cs="Arial"/>
          <w:bCs/>
          <w:noProof/>
          <w:sz w:val="18"/>
          <w:lang w:val="fr-FR" w:eastAsia="ja-JP"/>
        </w:rPr>
        <w:fldChar w:fldCharType="begin"/>
      </w:r>
      <w:r w:rsidRPr="00953DCC">
        <w:rPr>
          <w:rFonts w:eastAsiaTheme="minorEastAsia" w:cs="Arial"/>
          <w:bCs/>
          <w:noProof/>
          <w:sz w:val="18"/>
          <w:lang w:val="fr-FR" w:eastAsia="ja-JP"/>
        </w:rPr>
        <w:instrText xml:space="preserve"> TOC \o "1-2" \u </w:instrText>
      </w:r>
      <w:r w:rsidRPr="00953DCC">
        <w:rPr>
          <w:rFonts w:eastAsiaTheme="minorEastAsia" w:cs="Arial"/>
          <w:bCs/>
          <w:noProof/>
          <w:sz w:val="18"/>
          <w:lang w:val="fr-FR" w:eastAsia="ja-JP"/>
        </w:rPr>
        <w:fldChar w:fldCharType="separate"/>
      </w:r>
      <w:r w:rsidR="00E75AE1" w:rsidRPr="006266DB">
        <w:rPr>
          <w:noProof/>
          <w:spacing w:val="-4"/>
          <w:lang w:val="fr-FR" w:eastAsia="ja-JP"/>
        </w:rPr>
        <w:t>R</w:t>
      </w:r>
      <w:r w:rsidR="00E75AE1" w:rsidRPr="006266DB">
        <w:rPr>
          <w:noProof/>
          <w:lang w:val="fr-FR"/>
        </w:rPr>
        <w:t>É</w:t>
      </w:r>
      <w:r w:rsidR="00E75AE1" w:rsidRPr="006266DB">
        <w:rPr>
          <w:noProof/>
          <w:spacing w:val="-4"/>
          <w:lang w:val="fr-FR" w:eastAsia="ja-JP"/>
        </w:rPr>
        <w:t>sum</w:t>
      </w:r>
      <w:r w:rsidR="00E75AE1" w:rsidRPr="006266DB">
        <w:rPr>
          <w:noProof/>
          <w:lang w:val="fr-FR"/>
        </w:rPr>
        <w:t>É</w:t>
      </w:r>
      <w:r w:rsidR="00E75AE1" w:rsidRPr="00E75AE1">
        <w:rPr>
          <w:noProof/>
          <w:lang w:val="fr-FR"/>
        </w:rPr>
        <w:tab/>
      </w:r>
      <w:r w:rsidR="00E75AE1">
        <w:rPr>
          <w:noProof/>
        </w:rPr>
        <w:fldChar w:fldCharType="begin"/>
      </w:r>
      <w:r w:rsidR="00E75AE1" w:rsidRPr="00E75AE1">
        <w:rPr>
          <w:noProof/>
          <w:lang w:val="fr-FR"/>
        </w:rPr>
        <w:instrText xml:space="preserve"> PAGEREF _Toc86312878 \h </w:instrText>
      </w:r>
      <w:r w:rsidR="00E75AE1">
        <w:rPr>
          <w:noProof/>
        </w:rPr>
      </w:r>
      <w:r w:rsidR="00E75AE1">
        <w:rPr>
          <w:noProof/>
        </w:rPr>
        <w:fldChar w:fldCharType="separate"/>
      </w:r>
      <w:r w:rsidR="007F2632">
        <w:rPr>
          <w:noProof/>
          <w:lang w:val="fr-FR"/>
        </w:rPr>
        <w:t>1</w:t>
      </w:r>
      <w:r w:rsidR="00E75AE1">
        <w:rPr>
          <w:noProof/>
        </w:rPr>
        <w:fldChar w:fldCharType="end"/>
      </w:r>
    </w:p>
    <w:p w14:paraId="58DCFA56" w14:textId="3E34DB0A" w:rsidR="00E75AE1" w:rsidRPr="00E75AE1" w:rsidRDefault="00E75AE1" w:rsidP="002C77EB">
      <w:pPr>
        <w:pStyle w:val="TOC1"/>
        <w:rPr>
          <w:rFonts w:asciiTheme="minorHAnsi" w:eastAsiaTheme="minorEastAsia" w:hAnsiTheme="minorHAnsi" w:cstheme="minorBidi"/>
          <w:noProof/>
          <w:sz w:val="22"/>
          <w:szCs w:val="22"/>
          <w:lang w:val="fr-FR"/>
        </w:rPr>
      </w:pPr>
      <w:r w:rsidRPr="006266DB">
        <w:rPr>
          <w:noProof/>
          <w:spacing w:val="-4"/>
          <w:lang w:val="fr-FR" w:eastAsia="ja-JP"/>
        </w:rPr>
        <w:t>Rappel</w:t>
      </w:r>
      <w:r w:rsidRPr="00E75AE1">
        <w:rPr>
          <w:noProof/>
          <w:lang w:val="fr-FR"/>
        </w:rPr>
        <w:tab/>
      </w:r>
      <w:r>
        <w:rPr>
          <w:noProof/>
        </w:rPr>
        <w:fldChar w:fldCharType="begin"/>
      </w:r>
      <w:r w:rsidRPr="00E75AE1">
        <w:rPr>
          <w:noProof/>
          <w:lang w:val="fr-FR"/>
        </w:rPr>
        <w:instrText xml:space="preserve"> PAGEREF _Toc86312879 \h </w:instrText>
      </w:r>
      <w:r>
        <w:rPr>
          <w:noProof/>
        </w:rPr>
      </w:r>
      <w:r>
        <w:rPr>
          <w:noProof/>
        </w:rPr>
        <w:fldChar w:fldCharType="separate"/>
      </w:r>
      <w:r w:rsidR="007F2632">
        <w:rPr>
          <w:noProof/>
          <w:lang w:val="fr-FR"/>
        </w:rPr>
        <w:t>2</w:t>
      </w:r>
      <w:r>
        <w:rPr>
          <w:noProof/>
        </w:rPr>
        <w:fldChar w:fldCharType="end"/>
      </w:r>
    </w:p>
    <w:p w14:paraId="307C9E5E" w14:textId="5394B1CD" w:rsidR="00E75AE1" w:rsidRPr="00E75AE1" w:rsidRDefault="00E75AE1" w:rsidP="002C77EB">
      <w:pPr>
        <w:pStyle w:val="TOC1"/>
        <w:rPr>
          <w:rFonts w:asciiTheme="minorHAnsi" w:eastAsiaTheme="minorEastAsia" w:hAnsiTheme="minorHAnsi" w:cstheme="minorBidi"/>
          <w:noProof/>
          <w:sz w:val="22"/>
          <w:szCs w:val="22"/>
          <w:lang w:val="fr-FR"/>
        </w:rPr>
      </w:pPr>
      <w:r w:rsidRPr="006266DB">
        <w:rPr>
          <w:noProof/>
          <w:lang w:val="fr-FR" w:eastAsia="ja-JP"/>
        </w:rPr>
        <w:t>Examen du document UPOV/INF/17 “Directives concernant les profils d’ADN : choix des marqueurs moléculaires et construction d’une base de donn</w:t>
      </w:r>
      <w:r w:rsidRPr="006266DB">
        <w:rPr>
          <w:noProof/>
          <w:lang w:val="fr-FR"/>
        </w:rPr>
        <w:t>É</w:t>
      </w:r>
      <w:r w:rsidRPr="006266DB">
        <w:rPr>
          <w:noProof/>
          <w:lang w:val="fr-FR" w:eastAsia="ja-JP"/>
        </w:rPr>
        <w:t>es y relative (“Directives BMT”)”</w:t>
      </w:r>
      <w:r w:rsidRPr="00E75AE1">
        <w:rPr>
          <w:noProof/>
          <w:lang w:val="fr-FR"/>
        </w:rPr>
        <w:tab/>
      </w:r>
      <w:r>
        <w:rPr>
          <w:noProof/>
        </w:rPr>
        <w:fldChar w:fldCharType="begin"/>
      </w:r>
      <w:r w:rsidRPr="00E75AE1">
        <w:rPr>
          <w:noProof/>
          <w:lang w:val="fr-FR"/>
        </w:rPr>
        <w:instrText xml:space="preserve"> PAGEREF _Toc86312880 \h </w:instrText>
      </w:r>
      <w:r>
        <w:rPr>
          <w:noProof/>
        </w:rPr>
      </w:r>
      <w:r>
        <w:rPr>
          <w:noProof/>
        </w:rPr>
        <w:fldChar w:fldCharType="separate"/>
      </w:r>
      <w:r w:rsidR="007F2632">
        <w:rPr>
          <w:noProof/>
          <w:lang w:val="fr-FR"/>
        </w:rPr>
        <w:t>2</w:t>
      </w:r>
      <w:r>
        <w:rPr>
          <w:noProof/>
        </w:rPr>
        <w:fldChar w:fldCharType="end"/>
      </w:r>
    </w:p>
    <w:p w14:paraId="37D44FEB" w14:textId="66021D5F" w:rsidR="00E75AE1" w:rsidRPr="00E75AE1" w:rsidRDefault="00E75AE1" w:rsidP="002C77EB">
      <w:pPr>
        <w:pStyle w:val="TOC1"/>
        <w:rPr>
          <w:rFonts w:asciiTheme="minorHAnsi" w:eastAsiaTheme="minorEastAsia" w:hAnsiTheme="minorHAnsi" w:cstheme="minorBidi"/>
          <w:noProof/>
          <w:sz w:val="22"/>
          <w:szCs w:val="22"/>
          <w:lang w:val="fr-FR"/>
        </w:rPr>
      </w:pPr>
      <w:r w:rsidRPr="006266DB">
        <w:rPr>
          <w:noProof/>
          <w:lang w:val="fr-FR" w:eastAsia="ja-JP"/>
        </w:rPr>
        <w:t>Coopération entre organisations internationales</w:t>
      </w:r>
      <w:r w:rsidRPr="00E75AE1">
        <w:rPr>
          <w:noProof/>
          <w:lang w:val="fr-FR"/>
        </w:rPr>
        <w:tab/>
      </w:r>
      <w:r>
        <w:rPr>
          <w:noProof/>
        </w:rPr>
        <w:fldChar w:fldCharType="begin"/>
      </w:r>
      <w:r w:rsidRPr="00E75AE1">
        <w:rPr>
          <w:noProof/>
          <w:lang w:val="fr-FR"/>
        </w:rPr>
        <w:instrText xml:space="preserve"> PAGEREF _Toc86312881 \h </w:instrText>
      </w:r>
      <w:r>
        <w:rPr>
          <w:noProof/>
        </w:rPr>
      </w:r>
      <w:r>
        <w:rPr>
          <w:noProof/>
        </w:rPr>
        <w:fldChar w:fldCharType="separate"/>
      </w:r>
      <w:r w:rsidR="007F2632">
        <w:rPr>
          <w:noProof/>
          <w:lang w:val="fr-FR"/>
        </w:rPr>
        <w:t>2</w:t>
      </w:r>
      <w:r>
        <w:rPr>
          <w:noProof/>
        </w:rPr>
        <w:fldChar w:fldCharType="end"/>
      </w:r>
    </w:p>
    <w:p w14:paraId="670AC70E" w14:textId="470CE5EA" w:rsidR="00E75AE1" w:rsidRPr="00E75AE1" w:rsidRDefault="00E75AE1">
      <w:pPr>
        <w:pStyle w:val="TOC2"/>
        <w:rPr>
          <w:rFonts w:asciiTheme="minorHAnsi" w:eastAsiaTheme="minorEastAsia" w:hAnsiTheme="minorHAnsi" w:cstheme="minorBidi"/>
          <w:noProof/>
          <w:sz w:val="22"/>
          <w:szCs w:val="22"/>
          <w:lang w:val="fr-FR"/>
        </w:rPr>
      </w:pPr>
      <w:r w:rsidRPr="00E75AE1">
        <w:rPr>
          <w:noProof/>
          <w:lang w:val="fr-FR"/>
        </w:rPr>
        <w:t>Document commun présentant les particularités des systèmes de l’OCDE, de l’UPOV et de l’ISTA</w:t>
      </w:r>
      <w:r w:rsidRPr="00E75AE1">
        <w:rPr>
          <w:noProof/>
          <w:lang w:val="fr-FR"/>
        </w:rPr>
        <w:tab/>
      </w:r>
      <w:r>
        <w:rPr>
          <w:noProof/>
        </w:rPr>
        <w:fldChar w:fldCharType="begin"/>
      </w:r>
      <w:r w:rsidRPr="00E75AE1">
        <w:rPr>
          <w:noProof/>
          <w:lang w:val="fr-FR"/>
        </w:rPr>
        <w:instrText xml:space="preserve"> PAGEREF _Toc86312882 \h </w:instrText>
      </w:r>
      <w:r>
        <w:rPr>
          <w:noProof/>
        </w:rPr>
      </w:r>
      <w:r>
        <w:rPr>
          <w:noProof/>
        </w:rPr>
        <w:fldChar w:fldCharType="separate"/>
      </w:r>
      <w:r w:rsidR="007F2632">
        <w:rPr>
          <w:noProof/>
          <w:lang w:val="fr-FR"/>
        </w:rPr>
        <w:t>3</w:t>
      </w:r>
      <w:r>
        <w:rPr>
          <w:noProof/>
        </w:rPr>
        <w:fldChar w:fldCharType="end"/>
      </w:r>
    </w:p>
    <w:p w14:paraId="23835860" w14:textId="40ECAC3B" w:rsidR="00E75AE1" w:rsidRPr="00E75AE1" w:rsidRDefault="00E75AE1">
      <w:pPr>
        <w:pStyle w:val="TOC2"/>
        <w:rPr>
          <w:rFonts w:asciiTheme="minorHAnsi" w:eastAsiaTheme="minorEastAsia" w:hAnsiTheme="minorHAnsi" w:cstheme="minorBidi"/>
          <w:noProof/>
          <w:sz w:val="22"/>
          <w:szCs w:val="22"/>
          <w:lang w:val="fr-FR"/>
        </w:rPr>
      </w:pPr>
      <w:r w:rsidRPr="00E75AE1">
        <w:rPr>
          <w:noProof/>
          <w:lang w:val="fr-FR"/>
        </w:rPr>
        <w:t>Inventaire, par plante, de l’utilisation des techniques faisant intervenir des marqueurs moléculaires</w:t>
      </w:r>
      <w:r w:rsidRPr="00E75AE1">
        <w:rPr>
          <w:noProof/>
          <w:lang w:val="fr-FR"/>
        </w:rPr>
        <w:tab/>
      </w:r>
      <w:r>
        <w:rPr>
          <w:noProof/>
        </w:rPr>
        <w:fldChar w:fldCharType="begin"/>
      </w:r>
      <w:r w:rsidRPr="00E75AE1">
        <w:rPr>
          <w:noProof/>
          <w:lang w:val="fr-FR"/>
        </w:rPr>
        <w:instrText xml:space="preserve"> PAGEREF _Toc86312883 \h </w:instrText>
      </w:r>
      <w:r>
        <w:rPr>
          <w:noProof/>
        </w:rPr>
      </w:r>
      <w:r>
        <w:rPr>
          <w:noProof/>
        </w:rPr>
        <w:fldChar w:fldCharType="separate"/>
      </w:r>
      <w:r w:rsidR="007F2632">
        <w:rPr>
          <w:noProof/>
          <w:lang w:val="fr-FR"/>
        </w:rPr>
        <w:t>3</w:t>
      </w:r>
      <w:r>
        <w:rPr>
          <w:noProof/>
        </w:rPr>
        <w:fldChar w:fldCharType="end"/>
      </w:r>
    </w:p>
    <w:p w14:paraId="00E2311F" w14:textId="309B044C" w:rsidR="00E75AE1" w:rsidRPr="00E75AE1" w:rsidRDefault="00E75AE1">
      <w:pPr>
        <w:pStyle w:val="TOC2"/>
        <w:rPr>
          <w:rFonts w:asciiTheme="minorHAnsi" w:eastAsiaTheme="minorEastAsia" w:hAnsiTheme="minorHAnsi" w:cstheme="minorBidi"/>
          <w:noProof/>
          <w:sz w:val="22"/>
          <w:szCs w:val="22"/>
          <w:lang w:val="fr-FR"/>
        </w:rPr>
      </w:pPr>
      <w:r w:rsidRPr="00E75AE1">
        <w:rPr>
          <w:noProof/>
          <w:lang w:val="fr-FR"/>
        </w:rPr>
        <w:t>Listes d’initiatives co</w:t>
      </w:r>
      <w:bookmarkStart w:id="9" w:name="_GoBack"/>
      <w:bookmarkEnd w:id="9"/>
      <w:r w:rsidRPr="00E75AE1">
        <w:rPr>
          <w:noProof/>
          <w:lang w:val="fr-FR"/>
        </w:rPr>
        <w:t>njointes possibles avec l’OCDE et l’ISTA dans le domaine des techniques moléculaires</w:t>
      </w:r>
      <w:r w:rsidRPr="00E75AE1">
        <w:rPr>
          <w:noProof/>
          <w:lang w:val="fr-FR"/>
        </w:rPr>
        <w:tab/>
      </w:r>
      <w:r>
        <w:rPr>
          <w:noProof/>
        </w:rPr>
        <w:fldChar w:fldCharType="begin"/>
      </w:r>
      <w:r w:rsidRPr="00E75AE1">
        <w:rPr>
          <w:noProof/>
          <w:lang w:val="fr-FR"/>
        </w:rPr>
        <w:instrText xml:space="preserve"> PAGEREF _Toc86312884 \h </w:instrText>
      </w:r>
      <w:r>
        <w:rPr>
          <w:noProof/>
        </w:rPr>
      </w:r>
      <w:r>
        <w:rPr>
          <w:noProof/>
        </w:rPr>
        <w:fldChar w:fldCharType="separate"/>
      </w:r>
      <w:r w:rsidR="007F2632">
        <w:rPr>
          <w:noProof/>
          <w:lang w:val="fr-FR"/>
        </w:rPr>
        <w:t>4</w:t>
      </w:r>
      <w:r>
        <w:rPr>
          <w:noProof/>
        </w:rPr>
        <w:fldChar w:fldCharType="end"/>
      </w:r>
    </w:p>
    <w:p w14:paraId="0083285D" w14:textId="203A81C4" w:rsidR="00E75AE1" w:rsidRPr="00E75AE1" w:rsidRDefault="00E75AE1" w:rsidP="002C77EB">
      <w:pPr>
        <w:pStyle w:val="TOC1"/>
        <w:rPr>
          <w:rFonts w:asciiTheme="minorHAnsi" w:eastAsiaTheme="minorEastAsia" w:hAnsiTheme="minorHAnsi" w:cstheme="minorBidi"/>
          <w:noProof/>
          <w:sz w:val="22"/>
          <w:szCs w:val="22"/>
          <w:lang w:val="fr-FR"/>
        </w:rPr>
      </w:pPr>
      <w:r w:rsidRPr="00E75AE1">
        <w:rPr>
          <w:noProof/>
          <w:lang w:val="fr-FR"/>
        </w:rPr>
        <w:t>RÉUNION DESTINÉE À FAVORISER LA COOPÉRATION DANS L’UTILISATION DES TECHNIQUES MOLÉCULAIRES</w:t>
      </w:r>
      <w:r w:rsidRPr="00E75AE1">
        <w:rPr>
          <w:noProof/>
          <w:lang w:val="fr-FR"/>
        </w:rPr>
        <w:tab/>
      </w:r>
      <w:r>
        <w:rPr>
          <w:noProof/>
        </w:rPr>
        <w:fldChar w:fldCharType="begin"/>
      </w:r>
      <w:r w:rsidRPr="00E75AE1">
        <w:rPr>
          <w:noProof/>
          <w:lang w:val="fr-FR"/>
        </w:rPr>
        <w:instrText xml:space="preserve"> PAGEREF _Toc86312885 \h </w:instrText>
      </w:r>
      <w:r>
        <w:rPr>
          <w:noProof/>
        </w:rPr>
      </w:r>
      <w:r>
        <w:rPr>
          <w:noProof/>
        </w:rPr>
        <w:fldChar w:fldCharType="separate"/>
      </w:r>
      <w:r w:rsidR="007F2632">
        <w:rPr>
          <w:noProof/>
          <w:lang w:val="fr-FR"/>
        </w:rPr>
        <w:t>5</w:t>
      </w:r>
      <w:r>
        <w:rPr>
          <w:noProof/>
        </w:rPr>
        <w:fldChar w:fldCharType="end"/>
      </w:r>
    </w:p>
    <w:p w14:paraId="42B030CF" w14:textId="79FC4D34" w:rsidR="00E75AE1" w:rsidRPr="00E75AE1" w:rsidRDefault="00E75AE1">
      <w:pPr>
        <w:pStyle w:val="TOC2"/>
        <w:rPr>
          <w:rFonts w:asciiTheme="minorHAnsi" w:eastAsiaTheme="minorEastAsia" w:hAnsiTheme="minorHAnsi" w:cstheme="minorBidi"/>
          <w:noProof/>
          <w:sz w:val="22"/>
          <w:szCs w:val="22"/>
          <w:lang w:val="fr-FR"/>
        </w:rPr>
      </w:pPr>
      <w:r w:rsidRPr="00E75AE1">
        <w:rPr>
          <w:noProof/>
          <w:lang w:val="fr-FR"/>
        </w:rPr>
        <w:t>Faits nouveaux relatifs aux groupes de travail techniques et au BMT à leurs sessions de 2021</w:t>
      </w:r>
      <w:r w:rsidRPr="00E75AE1">
        <w:rPr>
          <w:noProof/>
          <w:lang w:val="fr-FR"/>
        </w:rPr>
        <w:tab/>
      </w:r>
      <w:r>
        <w:rPr>
          <w:noProof/>
        </w:rPr>
        <w:fldChar w:fldCharType="begin"/>
      </w:r>
      <w:r w:rsidRPr="00E75AE1">
        <w:rPr>
          <w:noProof/>
          <w:lang w:val="fr-FR"/>
        </w:rPr>
        <w:instrText xml:space="preserve"> PAGEREF _Toc86312886 \h </w:instrText>
      </w:r>
      <w:r>
        <w:rPr>
          <w:noProof/>
        </w:rPr>
      </w:r>
      <w:r>
        <w:rPr>
          <w:noProof/>
        </w:rPr>
        <w:fldChar w:fldCharType="separate"/>
      </w:r>
      <w:r w:rsidR="007F2632">
        <w:rPr>
          <w:noProof/>
          <w:lang w:val="fr-FR"/>
        </w:rPr>
        <w:t>5</w:t>
      </w:r>
      <w:r>
        <w:rPr>
          <w:noProof/>
        </w:rPr>
        <w:fldChar w:fldCharType="end"/>
      </w:r>
    </w:p>
    <w:p w14:paraId="7C4D3CF0" w14:textId="040B3CFE" w:rsidR="00E75AE1" w:rsidRPr="00E75AE1" w:rsidRDefault="00E75AE1" w:rsidP="002C77EB">
      <w:pPr>
        <w:pStyle w:val="TOC1"/>
        <w:rPr>
          <w:rFonts w:asciiTheme="minorHAnsi" w:eastAsiaTheme="minorEastAsia" w:hAnsiTheme="minorHAnsi" w:cstheme="minorBidi"/>
          <w:noProof/>
          <w:sz w:val="22"/>
          <w:szCs w:val="22"/>
          <w:lang w:val="fr-FR"/>
        </w:rPr>
      </w:pPr>
      <w:r w:rsidRPr="00E75AE1">
        <w:rPr>
          <w:noProof/>
          <w:lang w:val="fr-FR"/>
        </w:rPr>
        <w:t>Confidentialit</w:t>
      </w:r>
      <w:r w:rsidR="00B3081B">
        <w:rPr>
          <w:noProof/>
          <w:lang w:val="fr-FR"/>
        </w:rPr>
        <w:t>é et titularité des informations molé</w:t>
      </w:r>
      <w:r w:rsidRPr="00E75AE1">
        <w:rPr>
          <w:noProof/>
          <w:lang w:val="fr-FR"/>
        </w:rPr>
        <w:t>culaires</w:t>
      </w:r>
      <w:r w:rsidRPr="00E75AE1">
        <w:rPr>
          <w:noProof/>
          <w:lang w:val="fr-FR"/>
        </w:rPr>
        <w:tab/>
      </w:r>
      <w:r>
        <w:rPr>
          <w:noProof/>
        </w:rPr>
        <w:fldChar w:fldCharType="begin"/>
      </w:r>
      <w:r w:rsidRPr="00E75AE1">
        <w:rPr>
          <w:noProof/>
          <w:lang w:val="fr-FR"/>
        </w:rPr>
        <w:instrText xml:space="preserve"> PAGEREF _Toc86312887 \h </w:instrText>
      </w:r>
      <w:r>
        <w:rPr>
          <w:noProof/>
        </w:rPr>
      </w:r>
      <w:r>
        <w:rPr>
          <w:noProof/>
        </w:rPr>
        <w:fldChar w:fldCharType="separate"/>
      </w:r>
      <w:r w:rsidR="007F2632">
        <w:rPr>
          <w:noProof/>
          <w:lang w:val="fr-FR"/>
        </w:rPr>
        <w:t>6</w:t>
      </w:r>
      <w:r>
        <w:rPr>
          <w:noProof/>
        </w:rPr>
        <w:fldChar w:fldCharType="end"/>
      </w:r>
    </w:p>
    <w:p w14:paraId="57295180" w14:textId="2718581F" w:rsidR="005F025D" w:rsidRPr="00953DCC" w:rsidRDefault="00D14394" w:rsidP="0009538C">
      <w:pPr>
        <w:spacing w:before="120"/>
        <w:ind w:left="1123" w:hanging="1123"/>
        <w:rPr>
          <w:snapToGrid w:val="0"/>
          <w:szCs w:val="18"/>
          <w:lang w:val="fr-FR" w:eastAsia="ja-JP"/>
        </w:rPr>
      </w:pPr>
      <w:r w:rsidRPr="00953DCC">
        <w:rPr>
          <w:lang w:val="fr-FR"/>
        </w:rPr>
        <w:fldChar w:fldCharType="end"/>
      </w:r>
      <w:bookmarkEnd w:id="4"/>
      <w:r w:rsidRPr="00953DCC">
        <w:rPr>
          <w:snapToGrid w:val="0"/>
          <w:szCs w:val="18"/>
          <w:lang w:val="fr-FR" w:eastAsia="ja-JP"/>
        </w:rPr>
        <w:t>ANNEX</w:t>
      </w:r>
      <w:r w:rsidR="003A5970" w:rsidRPr="00953DCC">
        <w:rPr>
          <w:snapToGrid w:val="0"/>
          <w:szCs w:val="18"/>
          <w:lang w:val="fr-FR" w:eastAsia="ja-JP"/>
        </w:rPr>
        <w:t>E </w:t>
      </w:r>
      <w:r w:rsidRPr="00953DCC">
        <w:rPr>
          <w:snapToGrid w:val="0"/>
          <w:szCs w:val="18"/>
          <w:lang w:val="fr-FR" w:eastAsia="ja-JP"/>
        </w:rPr>
        <w:t>I</w:t>
      </w:r>
      <w:r w:rsidRPr="00953DCC">
        <w:rPr>
          <w:snapToGrid w:val="0"/>
          <w:szCs w:val="18"/>
          <w:lang w:val="fr-FR" w:eastAsia="ja-JP"/>
        </w:rPr>
        <w:tab/>
      </w:r>
      <w:r w:rsidR="00754F30" w:rsidRPr="00953DCC">
        <w:rPr>
          <w:snapToGrid w:val="0"/>
          <w:szCs w:val="18"/>
          <w:lang w:val="fr-FR" w:eastAsia="ja-JP"/>
        </w:rPr>
        <w:t>ÉLÉMENTS POUR LE PROJET DE DOCUMENT COMMUN PRÉSENTANT LES PARTICULARITÉS DES SYSTÈMES DE L</w:t>
      </w:r>
      <w:r w:rsidR="0056301D">
        <w:rPr>
          <w:snapToGrid w:val="0"/>
          <w:szCs w:val="18"/>
          <w:lang w:val="fr-FR" w:eastAsia="ja-JP"/>
        </w:rPr>
        <w:t>’</w:t>
      </w:r>
      <w:r w:rsidR="00754F30" w:rsidRPr="00953DCC">
        <w:rPr>
          <w:snapToGrid w:val="0"/>
          <w:szCs w:val="18"/>
          <w:lang w:val="fr-FR" w:eastAsia="ja-JP"/>
        </w:rPr>
        <w:t>OCDE, DE L</w:t>
      </w:r>
      <w:r w:rsidR="0056301D">
        <w:rPr>
          <w:snapToGrid w:val="0"/>
          <w:szCs w:val="18"/>
          <w:lang w:val="fr-FR" w:eastAsia="ja-JP"/>
        </w:rPr>
        <w:t>’</w:t>
      </w:r>
      <w:r w:rsidR="00754F30" w:rsidRPr="00953DCC">
        <w:rPr>
          <w:snapToGrid w:val="0"/>
          <w:szCs w:val="18"/>
          <w:lang w:val="fr-FR" w:eastAsia="ja-JP"/>
        </w:rPr>
        <w:t>UPOV ET DE L</w:t>
      </w:r>
      <w:r w:rsidR="0056301D">
        <w:rPr>
          <w:snapToGrid w:val="0"/>
          <w:szCs w:val="18"/>
          <w:lang w:val="fr-FR" w:eastAsia="ja-JP"/>
        </w:rPr>
        <w:t>’</w:t>
      </w:r>
      <w:r w:rsidR="00754F30" w:rsidRPr="00953DCC">
        <w:rPr>
          <w:snapToGrid w:val="0"/>
          <w:szCs w:val="18"/>
          <w:lang w:val="fr-FR" w:eastAsia="ja-JP"/>
        </w:rPr>
        <w:t>ISTA</w:t>
      </w:r>
    </w:p>
    <w:p w14:paraId="57295181" w14:textId="46DB6319" w:rsidR="005F025D" w:rsidRPr="00953DCC" w:rsidRDefault="00572304" w:rsidP="0009538C">
      <w:pPr>
        <w:spacing w:before="120"/>
        <w:ind w:left="1123" w:hanging="1123"/>
        <w:rPr>
          <w:snapToGrid w:val="0"/>
          <w:szCs w:val="18"/>
          <w:lang w:val="fr-FR" w:eastAsia="ja-JP"/>
        </w:rPr>
      </w:pPr>
      <w:r w:rsidRPr="00953DCC">
        <w:rPr>
          <w:snapToGrid w:val="0"/>
          <w:szCs w:val="18"/>
          <w:lang w:val="fr-FR" w:eastAsia="ja-JP"/>
        </w:rPr>
        <w:t>ANNEX</w:t>
      </w:r>
      <w:r w:rsidR="00990E75" w:rsidRPr="00953DCC">
        <w:rPr>
          <w:snapToGrid w:val="0"/>
          <w:szCs w:val="18"/>
          <w:lang w:val="fr-FR" w:eastAsia="ja-JP"/>
        </w:rPr>
        <w:t>E </w:t>
      </w:r>
      <w:r w:rsidRPr="00953DCC">
        <w:rPr>
          <w:snapToGrid w:val="0"/>
          <w:szCs w:val="18"/>
          <w:lang w:val="fr-FR" w:eastAsia="ja-JP"/>
        </w:rPr>
        <w:t>II</w:t>
      </w:r>
      <w:r w:rsidR="0009538C" w:rsidRPr="00953DCC">
        <w:rPr>
          <w:snapToGrid w:val="0"/>
          <w:szCs w:val="18"/>
          <w:lang w:val="fr-FR" w:eastAsia="ja-JP"/>
        </w:rPr>
        <w:tab/>
      </w:r>
      <w:r w:rsidR="006B560F" w:rsidRPr="00953DCC">
        <w:rPr>
          <w:snapToGrid w:val="0"/>
          <w:szCs w:val="18"/>
          <w:lang w:val="fr-FR" w:eastAsia="ja-JP"/>
        </w:rPr>
        <w:t>ENQUÊTE, PAR PLANTE, SUR L</w:t>
      </w:r>
      <w:r w:rsidR="0056301D">
        <w:rPr>
          <w:snapToGrid w:val="0"/>
          <w:szCs w:val="18"/>
          <w:lang w:val="fr-FR" w:eastAsia="ja-JP"/>
        </w:rPr>
        <w:t>’</w:t>
      </w:r>
      <w:r w:rsidR="006B560F" w:rsidRPr="00953DCC">
        <w:rPr>
          <w:snapToGrid w:val="0"/>
          <w:szCs w:val="18"/>
          <w:lang w:val="fr-FR" w:eastAsia="ja-JP"/>
        </w:rPr>
        <w:t>UTILISATION DES TECHNIQUES FAISANT INTERVENIR DES MARQUEURS MOLÉCULAIRES</w:t>
      </w:r>
    </w:p>
    <w:p w14:paraId="103DED2B" w14:textId="77777777" w:rsidR="0056301D" w:rsidRDefault="005F025D" w:rsidP="005F025D">
      <w:pPr>
        <w:keepNext/>
        <w:outlineLvl w:val="0"/>
        <w:rPr>
          <w:caps/>
          <w:spacing w:val="-4"/>
          <w:lang w:val="fr-FR" w:eastAsia="ja-JP"/>
        </w:rPr>
      </w:pPr>
      <w:bookmarkStart w:id="10" w:name="_Toc86312879"/>
      <w:r w:rsidRPr="00953DCC">
        <w:rPr>
          <w:caps/>
          <w:spacing w:val="-4"/>
          <w:lang w:val="fr-FR" w:eastAsia="ja-JP"/>
        </w:rPr>
        <w:lastRenderedPageBreak/>
        <w:t>Rappel</w:t>
      </w:r>
      <w:bookmarkEnd w:id="10"/>
    </w:p>
    <w:p w14:paraId="57295186" w14:textId="3374506B" w:rsidR="005F025D" w:rsidRPr="00953DCC" w:rsidRDefault="005F025D" w:rsidP="00D14394">
      <w:pPr>
        <w:keepNext/>
        <w:rPr>
          <w:lang w:val="fr-FR" w:eastAsia="ja-JP"/>
        </w:rPr>
      </w:pPr>
    </w:p>
    <w:p w14:paraId="1617DFDE" w14:textId="1E40CC0F" w:rsidR="0056301D" w:rsidRDefault="00D14394" w:rsidP="005F025D">
      <w:pPr>
        <w:rPr>
          <w:rFonts w:cs="Arial"/>
          <w:lang w:val="fr-FR"/>
        </w:rPr>
      </w:pPr>
      <w:r w:rsidRPr="00953DCC">
        <w:rPr>
          <w:rFonts w:cs="Arial"/>
          <w:lang w:val="fr-FR"/>
        </w:rPr>
        <w:fldChar w:fldCharType="begin"/>
      </w:r>
      <w:r w:rsidRPr="00953DCC">
        <w:rPr>
          <w:rFonts w:cs="Arial"/>
          <w:lang w:val="fr-FR"/>
        </w:rPr>
        <w:instrText xml:space="preserve"> AUTONUM  </w:instrText>
      </w:r>
      <w:r w:rsidRPr="00953DCC">
        <w:rPr>
          <w:rFonts w:cs="Arial"/>
          <w:lang w:val="fr-FR"/>
        </w:rPr>
        <w:fldChar w:fldCharType="end"/>
      </w:r>
      <w:r w:rsidRPr="00953DCC">
        <w:rPr>
          <w:rFonts w:cs="Arial"/>
          <w:lang w:val="fr-FR"/>
        </w:rPr>
        <w:tab/>
      </w:r>
      <w:r w:rsidR="005F025D" w:rsidRPr="00953DCC">
        <w:rPr>
          <w:rFonts w:cs="Arial"/>
          <w:lang w:val="fr-FR"/>
        </w:rPr>
        <w:t>Il sera rendu compte au</w:t>
      </w:r>
      <w:r w:rsidR="004F4706" w:rsidRPr="00953DCC">
        <w:rPr>
          <w:rFonts w:cs="Arial"/>
          <w:lang w:val="fr-FR"/>
        </w:rPr>
        <w:t> </w:t>
      </w:r>
      <w:r w:rsidR="005F025D" w:rsidRPr="00953DCC">
        <w:rPr>
          <w:rFonts w:cs="Arial"/>
          <w:lang w:val="fr-FR"/>
        </w:rPr>
        <w:t>CAJ, dans le document CAJ/78/2 “Rapport sur les faits nouveaux intervenus au sein du Comité technique”, des faits nouveaux intervenus à la cinquante</w:t>
      </w:r>
      <w:r w:rsidR="00456121">
        <w:rPr>
          <w:rFonts w:cs="Arial"/>
          <w:lang w:val="fr-FR"/>
        </w:rPr>
        <w:noBreakHyphen/>
      </w:r>
      <w:r w:rsidR="00F27AE4" w:rsidRPr="00953DCC">
        <w:rPr>
          <w:rFonts w:cs="Arial"/>
          <w:lang w:val="fr-FR"/>
        </w:rPr>
        <w:t>sept</w:t>
      </w:r>
      <w:r w:rsidR="0056301D">
        <w:rPr>
          <w:rFonts w:cs="Arial"/>
          <w:lang w:val="fr-FR"/>
        </w:rPr>
        <w:t>ième session</w:t>
      </w:r>
      <w:r w:rsidR="005F025D" w:rsidRPr="00953DCC">
        <w:rPr>
          <w:rFonts w:cs="Arial"/>
          <w:lang w:val="fr-FR"/>
        </w:rPr>
        <w:t xml:space="preserve"> du</w:t>
      </w:r>
      <w:r w:rsidR="0056301D">
        <w:rPr>
          <w:rFonts w:cs="Arial"/>
          <w:lang w:val="fr-FR"/>
        </w:rPr>
        <w:t> TC</w:t>
      </w:r>
      <w:r w:rsidR="005F025D" w:rsidRPr="00953DCC">
        <w:rPr>
          <w:rFonts w:cs="Arial"/>
          <w:lang w:val="fr-FR"/>
        </w:rPr>
        <w:t xml:space="preserve"> en rapport avec les questions traitées dans le présent document.</w:t>
      </w:r>
    </w:p>
    <w:p w14:paraId="57295188" w14:textId="32C04B5C" w:rsidR="005F025D" w:rsidRPr="00953DCC" w:rsidRDefault="005F025D" w:rsidP="008E521A">
      <w:pPr>
        <w:rPr>
          <w:rFonts w:cs="Arial"/>
          <w:lang w:val="fr-FR"/>
        </w:rPr>
      </w:pPr>
    </w:p>
    <w:p w14:paraId="57295189" w14:textId="77777777" w:rsidR="005F025D" w:rsidRPr="00953DCC" w:rsidRDefault="005F025D" w:rsidP="008E521A">
      <w:pPr>
        <w:rPr>
          <w:rFonts w:cs="Arial"/>
          <w:lang w:val="fr-FR"/>
        </w:rPr>
      </w:pPr>
    </w:p>
    <w:p w14:paraId="5729518A" w14:textId="77777777" w:rsidR="005F025D" w:rsidRPr="00953DCC" w:rsidRDefault="005F025D" w:rsidP="008E521A">
      <w:pPr>
        <w:rPr>
          <w:rFonts w:cs="Arial"/>
          <w:lang w:val="fr-FR"/>
        </w:rPr>
      </w:pPr>
    </w:p>
    <w:p w14:paraId="5729518B" w14:textId="1AE1E85F" w:rsidR="005F025D" w:rsidRPr="00953DCC" w:rsidRDefault="005F025D" w:rsidP="00983D66">
      <w:pPr>
        <w:pStyle w:val="Heading1"/>
        <w:rPr>
          <w:lang w:eastAsia="ja-JP"/>
        </w:rPr>
      </w:pPr>
      <w:bookmarkStart w:id="11" w:name="_Toc86312880"/>
      <w:r w:rsidRPr="00953DCC">
        <w:rPr>
          <w:lang w:eastAsia="ja-JP"/>
        </w:rPr>
        <w:t>Examen du document UPOV/INF/17 “Directives concernant les profils d</w:t>
      </w:r>
      <w:r w:rsidR="0056301D">
        <w:rPr>
          <w:lang w:eastAsia="ja-JP"/>
        </w:rPr>
        <w:t>’</w:t>
      </w:r>
      <w:r w:rsidRPr="00953DCC">
        <w:rPr>
          <w:lang w:eastAsia="ja-JP"/>
        </w:rPr>
        <w:t>ADN</w:t>
      </w:r>
      <w:r w:rsidR="0056301D">
        <w:rPr>
          <w:lang w:eastAsia="ja-JP"/>
        </w:rPr>
        <w:t> :</w:t>
      </w:r>
      <w:r w:rsidRPr="00953DCC">
        <w:rPr>
          <w:lang w:eastAsia="ja-JP"/>
        </w:rPr>
        <w:t xml:space="preserve"> choix des marqueurs moléculaires et construction d</w:t>
      </w:r>
      <w:r w:rsidR="0056301D">
        <w:rPr>
          <w:lang w:eastAsia="ja-JP"/>
        </w:rPr>
        <w:t>’</w:t>
      </w:r>
      <w:r w:rsidRPr="00953DCC">
        <w:rPr>
          <w:lang w:eastAsia="ja-JP"/>
        </w:rPr>
        <w:t>une base de donn</w:t>
      </w:r>
      <w:r w:rsidR="00983D66">
        <w:rPr>
          <w:noProof/>
        </w:rPr>
        <w:t>é</w:t>
      </w:r>
      <w:r w:rsidRPr="00953DCC">
        <w:rPr>
          <w:lang w:eastAsia="ja-JP"/>
        </w:rPr>
        <w:t>es y relative (“Directives BMT”)”</w:t>
      </w:r>
      <w:bookmarkEnd w:id="11"/>
    </w:p>
    <w:p w14:paraId="5729518C" w14:textId="77777777" w:rsidR="005F025D" w:rsidRPr="00953DCC" w:rsidRDefault="005F025D" w:rsidP="00D14394">
      <w:pPr>
        <w:keepNext/>
        <w:rPr>
          <w:lang w:val="fr-FR" w:eastAsia="ja-JP"/>
        </w:rPr>
      </w:pPr>
    </w:p>
    <w:p w14:paraId="5729518D" w14:textId="158ADACB" w:rsidR="005F025D" w:rsidRPr="00953DCC" w:rsidRDefault="00D14394" w:rsidP="005F025D">
      <w:pPr>
        <w:keepNext/>
        <w:rPr>
          <w:rFonts w:eastAsiaTheme="minorEastAsia"/>
          <w:lang w:val="fr-FR" w:eastAsia="ja-JP"/>
        </w:rPr>
      </w:pPr>
      <w:r w:rsidRPr="00953DCC">
        <w:rPr>
          <w:lang w:val="fr-FR"/>
        </w:rPr>
        <w:fldChar w:fldCharType="begin"/>
      </w:r>
      <w:r w:rsidRPr="00953DCC">
        <w:rPr>
          <w:lang w:val="fr-FR"/>
        </w:rPr>
        <w:instrText xml:space="preserve"> AUTONUM  </w:instrText>
      </w:r>
      <w:r w:rsidRPr="00953DCC">
        <w:rPr>
          <w:lang w:val="fr-FR"/>
        </w:rPr>
        <w:fldChar w:fldCharType="end"/>
      </w:r>
      <w:r w:rsidRPr="00953DCC">
        <w:rPr>
          <w:lang w:val="fr-FR"/>
        </w:rPr>
        <w:tab/>
      </w:r>
      <w:r w:rsidR="005F025D" w:rsidRPr="00953DCC">
        <w:rPr>
          <w:lang w:val="fr-FR"/>
        </w:rPr>
        <w:t>On trouvera des informations générales sur cette question aux paragraphes</w:t>
      </w:r>
      <w:r w:rsidR="006E6179" w:rsidRPr="00953DCC">
        <w:rPr>
          <w:lang w:val="fr-FR"/>
        </w:rPr>
        <w:t> </w:t>
      </w:r>
      <w:r w:rsidR="005F025D" w:rsidRPr="00953DCC">
        <w:rPr>
          <w:lang w:val="fr-FR"/>
        </w:rPr>
        <w:t>31 à 34 du document CAJ/75/11 “Techniques moléculaires”.</w:t>
      </w:r>
    </w:p>
    <w:p w14:paraId="5729518E" w14:textId="77777777" w:rsidR="005F025D" w:rsidRPr="00953DCC" w:rsidRDefault="005F025D" w:rsidP="00D14394">
      <w:pPr>
        <w:keepNext/>
        <w:rPr>
          <w:rFonts w:eastAsiaTheme="minorEastAsia"/>
          <w:lang w:val="fr-FR" w:eastAsia="ja-JP"/>
        </w:rPr>
      </w:pPr>
    </w:p>
    <w:p w14:paraId="57295190" w14:textId="324E5B37" w:rsidR="005F025D" w:rsidRPr="00953DCC" w:rsidRDefault="000744B3" w:rsidP="000744B3">
      <w:pPr>
        <w:rPr>
          <w:lang w:val="fr-FR"/>
        </w:rPr>
      </w:pPr>
      <w:r w:rsidRPr="00953DCC">
        <w:rPr>
          <w:rFonts w:eastAsia="MS Mincho"/>
          <w:lang w:val="fr-FR"/>
        </w:rPr>
        <w:fldChar w:fldCharType="begin"/>
      </w:r>
      <w:r w:rsidRPr="00953DCC">
        <w:rPr>
          <w:rFonts w:eastAsia="MS Mincho"/>
          <w:lang w:val="fr-FR"/>
        </w:rPr>
        <w:instrText xml:space="preserve"> AUTONUM  </w:instrText>
      </w:r>
      <w:r w:rsidRPr="00953DCC">
        <w:rPr>
          <w:rFonts w:eastAsia="MS Mincho"/>
          <w:lang w:val="fr-FR"/>
        </w:rPr>
        <w:fldChar w:fldCharType="end"/>
      </w:r>
      <w:r w:rsidRPr="00953DCC">
        <w:rPr>
          <w:rFonts w:eastAsia="MS Mincho"/>
          <w:lang w:val="fr-FR"/>
        </w:rPr>
        <w:tab/>
      </w:r>
      <w:r w:rsidR="00A35A21" w:rsidRPr="00953DCC">
        <w:rPr>
          <w:lang w:val="fr-FR"/>
        </w:rPr>
        <w:t>Les questions concernant l</w:t>
      </w:r>
      <w:r w:rsidR="0056301D">
        <w:rPr>
          <w:lang w:val="fr-FR"/>
        </w:rPr>
        <w:t>’</w:t>
      </w:r>
      <w:r w:rsidR="00A35A21" w:rsidRPr="00953DCC">
        <w:rPr>
          <w:lang w:val="fr-FR"/>
        </w:rPr>
        <w:t>approbation par le</w:t>
      </w:r>
      <w:r w:rsidR="00437B3F" w:rsidRPr="00953DCC">
        <w:rPr>
          <w:lang w:val="fr-FR"/>
        </w:rPr>
        <w:t> </w:t>
      </w:r>
      <w:r w:rsidR="00A35A21" w:rsidRPr="00953DCC">
        <w:rPr>
          <w:lang w:val="fr-FR"/>
        </w:rPr>
        <w:t>CAJ du document UPOV.INF/17/1</w:t>
      </w:r>
      <w:r w:rsidR="007D22BB" w:rsidRPr="00953DCC">
        <w:rPr>
          <w:lang w:val="fr-FR"/>
        </w:rPr>
        <w:t> “Directives concernant les profils d</w:t>
      </w:r>
      <w:r w:rsidR="0056301D">
        <w:rPr>
          <w:lang w:val="fr-FR"/>
        </w:rPr>
        <w:t>’</w:t>
      </w:r>
      <w:r w:rsidR="007D22BB" w:rsidRPr="00953DCC">
        <w:rPr>
          <w:lang w:val="fr-FR"/>
        </w:rPr>
        <w:t>ADN</w:t>
      </w:r>
      <w:r w:rsidR="0056301D">
        <w:rPr>
          <w:lang w:val="fr-FR"/>
        </w:rPr>
        <w:t> :</w:t>
      </w:r>
      <w:r w:rsidR="007D22BB" w:rsidRPr="00953DCC">
        <w:rPr>
          <w:lang w:val="fr-FR"/>
        </w:rPr>
        <w:t xml:space="preserve"> choix des marqueurs moléculaires et construction d</w:t>
      </w:r>
      <w:r w:rsidR="0056301D">
        <w:rPr>
          <w:lang w:val="fr-FR"/>
        </w:rPr>
        <w:t>’</w:t>
      </w:r>
      <w:r w:rsidR="007D22BB" w:rsidRPr="00953DCC">
        <w:rPr>
          <w:lang w:val="fr-FR"/>
        </w:rPr>
        <w:t>une base de données y relative (“Directives BMT”)</w:t>
      </w:r>
      <w:r w:rsidR="00522743" w:rsidRPr="00953DCC">
        <w:rPr>
          <w:lang w:val="fr-FR"/>
        </w:rPr>
        <w:t xml:space="preserve">”, </w:t>
      </w:r>
      <w:r w:rsidR="00B91F75" w:rsidRPr="00953DCC">
        <w:rPr>
          <w:lang w:val="fr-FR"/>
        </w:rPr>
        <w:t xml:space="preserve">sur la base du texte figurant </w:t>
      </w:r>
      <w:r w:rsidR="00980027" w:rsidRPr="00953DCC">
        <w:rPr>
          <w:lang w:val="fr-FR"/>
        </w:rPr>
        <w:t xml:space="preserve">dans le </w:t>
      </w:r>
      <w:r w:rsidR="00953DCC" w:rsidRPr="00953DCC">
        <w:rPr>
          <w:lang w:val="fr-FR"/>
        </w:rPr>
        <w:t>document</w:t>
      </w:r>
      <w:r w:rsidR="00980027" w:rsidRPr="00953DCC">
        <w:rPr>
          <w:lang w:val="fr-FR"/>
        </w:rPr>
        <w:t xml:space="preserve"> </w:t>
      </w:r>
      <w:r w:rsidR="00B91F75" w:rsidRPr="00953DCC">
        <w:rPr>
          <w:lang w:val="fr-FR"/>
        </w:rPr>
        <w:t>UPOV/INF/17/1 Draft</w:t>
      </w:r>
      <w:r w:rsidR="0011329B">
        <w:rPr>
          <w:lang w:val="fr-FR"/>
        </w:rPr>
        <w:t> </w:t>
      </w:r>
      <w:r w:rsidR="00B91F75" w:rsidRPr="00953DCC">
        <w:rPr>
          <w:lang w:val="fr-FR"/>
        </w:rPr>
        <w:t xml:space="preserve">6, </w:t>
      </w:r>
      <w:r w:rsidR="00980027" w:rsidRPr="00953DCC">
        <w:rPr>
          <w:lang w:val="fr-FR"/>
        </w:rPr>
        <w:t>sont présenté</w:t>
      </w:r>
      <w:r w:rsidR="00174C8F" w:rsidRPr="00953DCC">
        <w:rPr>
          <w:lang w:val="fr-FR"/>
        </w:rPr>
        <w:t xml:space="preserve">es dans le document </w:t>
      </w:r>
      <w:r w:rsidR="00A078CF" w:rsidRPr="00953DCC">
        <w:rPr>
          <w:lang w:val="fr-FR"/>
        </w:rPr>
        <w:t>CAJ/78/3</w:t>
      </w:r>
      <w:r w:rsidR="004A1CA8">
        <w:rPr>
          <w:lang w:val="fr-FR"/>
        </w:rPr>
        <w:t> </w:t>
      </w:r>
      <w:r w:rsidR="000C6BCF" w:rsidRPr="00953DCC">
        <w:rPr>
          <w:lang w:val="fr-FR"/>
        </w:rPr>
        <w:t>Rev</w:t>
      </w:r>
      <w:r w:rsidR="00BA6B4E" w:rsidRPr="00953DCC">
        <w:rPr>
          <w:lang w:val="fr-FR"/>
        </w:rPr>
        <w:t xml:space="preserve">. </w:t>
      </w:r>
      <w:r w:rsidR="0092074A" w:rsidRPr="00953DCC">
        <w:rPr>
          <w:lang w:val="fr-FR"/>
        </w:rPr>
        <w:t>“Élaboration de documents d</w:t>
      </w:r>
      <w:r w:rsidR="0056301D">
        <w:rPr>
          <w:lang w:val="fr-FR"/>
        </w:rPr>
        <w:t>’</w:t>
      </w:r>
      <w:r w:rsidR="0092074A" w:rsidRPr="00953DCC">
        <w:rPr>
          <w:lang w:val="fr-FR"/>
        </w:rPr>
        <w:t>orientation et d</w:t>
      </w:r>
      <w:r w:rsidR="0056301D">
        <w:rPr>
          <w:lang w:val="fr-FR"/>
        </w:rPr>
        <w:t>’</w:t>
      </w:r>
      <w:r w:rsidR="0092074A" w:rsidRPr="00953DCC">
        <w:rPr>
          <w:lang w:val="fr-FR"/>
        </w:rPr>
        <w:t xml:space="preserve">information” </w:t>
      </w:r>
      <w:r w:rsidR="005F7F7B" w:rsidRPr="00953DCC">
        <w:rPr>
          <w:lang w:val="fr-FR"/>
        </w:rPr>
        <w:t xml:space="preserve">(voir les </w:t>
      </w:r>
      <w:r w:rsidR="00953DCC" w:rsidRPr="00953DCC">
        <w:rPr>
          <w:lang w:val="fr-FR"/>
        </w:rPr>
        <w:t>paragraphes</w:t>
      </w:r>
      <w:r w:rsidR="00BA6B4E" w:rsidRPr="00953DCC">
        <w:rPr>
          <w:lang w:val="fr-FR"/>
        </w:rPr>
        <w:t> </w:t>
      </w:r>
      <w:r w:rsidR="005F7F7B" w:rsidRPr="00953DCC">
        <w:rPr>
          <w:lang w:val="fr-FR"/>
        </w:rPr>
        <w:t xml:space="preserve">12 </w:t>
      </w:r>
      <w:r w:rsidR="00BA6B4E" w:rsidRPr="00953DCC">
        <w:rPr>
          <w:lang w:val="fr-FR"/>
        </w:rPr>
        <w:t xml:space="preserve">à </w:t>
      </w:r>
      <w:r w:rsidR="005F7F7B" w:rsidRPr="00953DCC">
        <w:rPr>
          <w:lang w:val="fr-FR"/>
        </w:rPr>
        <w:t>13) et le document CAJ/78/12</w:t>
      </w:r>
      <w:r w:rsidR="008A2BD1" w:rsidRPr="00953DCC">
        <w:rPr>
          <w:lang w:val="fr-FR"/>
        </w:rPr>
        <w:t xml:space="preserve"> </w:t>
      </w:r>
      <w:r w:rsidR="00437B3F" w:rsidRPr="00953DCC">
        <w:rPr>
          <w:lang w:val="fr-FR"/>
        </w:rPr>
        <w:t>“Résultat de l</w:t>
      </w:r>
      <w:r w:rsidR="0056301D">
        <w:rPr>
          <w:lang w:val="fr-FR"/>
        </w:rPr>
        <w:t>’</w:t>
      </w:r>
      <w:r w:rsidR="00437B3F" w:rsidRPr="00953DCC">
        <w:rPr>
          <w:lang w:val="fr-FR"/>
        </w:rPr>
        <w:t xml:space="preserve">examen des documents par correspondance” (voir les </w:t>
      </w:r>
      <w:r w:rsidR="00953DCC" w:rsidRPr="00953DCC">
        <w:rPr>
          <w:lang w:val="fr-FR"/>
        </w:rPr>
        <w:t>paragraphes</w:t>
      </w:r>
      <w:r w:rsidR="00437B3F" w:rsidRPr="00953DCC">
        <w:rPr>
          <w:lang w:val="fr-FR"/>
        </w:rPr>
        <w:t> 14 et 35)</w:t>
      </w:r>
      <w:r w:rsidR="0092074A" w:rsidRPr="00953DCC">
        <w:rPr>
          <w:lang w:val="fr-FR"/>
        </w:rPr>
        <w:t>.</w:t>
      </w:r>
    </w:p>
    <w:p w14:paraId="26FE0E32" w14:textId="77777777" w:rsidR="0092074A" w:rsidRPr="00953DCC" w:rsidRDefault="0092074A" w:rsidP="000744B3">
      <w:pPr>
        <w:rPr>
          <w:rFonts w:eastAsia="MS Mincho"/>
          <w:lang w:val="fr-FR"/>
        </w:rPr>
      </w:pPr>
    </w:p>
    <w:p w14:paraId="57295191" w14:textId="41E6AFBC" w:rsidR="005F025D" w:rsidRPr="00953DCC" w:rsidRDefault="000744B3" w:rsidP="000744B3">
      <w:pPr>
        <w:rPr>
          <w:lang w:val="fr-FR"/>
        </w:rPr>
      </w:pPr>
      <w:r w:rsidRPr="00953DCC">
        <w:rPr>
          <w:rFonts w:eastAsia="MS Mincho"/>
          <w:lang w:val="fr-FR"/>
        </w:rPr>
        <w:fldChar w:fldCharType="begin"/>
      </w:r>
      <w:r w:rsidRPr="00953DCC">
        <w:rPr>
          <w:rFonts w:eastAsia="MS Mincho"/>
          <w:lang w:val="fr-FR"/>
        </w:rPr>
        <w:instrText xml:space="preserve"> AUTONUM  </w:instrText>
      </w:r>
      <w:r w:rsidRPr="00953DCC">
        <w:rPr>
          <w:rFonts w:eastAsia="MS Mincho"/>
          <w:lang w:val="fr-FR"/>
        </w:rPr>
        <w:fldChar w:fldCharType="end"/>
      </w:r>
      <w:r w:rsidRPr="00953DCC">
        <w:rPr>
          <w:rFonts w:eastAsia="MS Mincho"/>
          <w:lang w:val="fr-FR"/>
        </w:rPr>
        <w:tab/>
      </w:r>
      <w:r w:rsidR="000D58D0" w:rsidRPr="00953DCC">
        <w:rPr>
          <w:lang w:val="fr-FR"/>
        </w:rPr>
        <w:t>Le CAJ est invité à prendre note de l</w:t>
      </w:r>
      <w:r w:rsidR="0056301D">
        <w:rPr>
          <w:lang w:val="fr-FR"/>
        </w:rPr>
        <w:t>’</w:t>
      </w:r>
      <w:r w:rsidR="000D58D0" w:rsidRPr="00953DCC">
        <w:rPr>
          <w:lang w:val="fr-FR"/>
        </w:rPr>
        <w:t>adoption par le Conseil, par correspondance le 21</w:t>
      </w:r>
      <w:r w:rsidR="005048DC" w:rsidRPr="00953DCC">
        <w:rPr>
          <w:lang w:val="fr-FR"/>
        </w:rPr>
        <w:t> </w:t>
      </w:r>
      <w:r w:rsidR="000D58D0" w:rsidRPr="00953DCC">
        <w:rPr>
          <w:lang w:val="fr-FR"/>
        </w:rPr>
        <w:t>septembre</w:t>
      </w:r>
      <w:r w:rsidR="005048DC" w:rsidRPr="00953DCC">
        <w:rPr>
          <w:lang w:val="fr-FR"/>
        </w:rPr>
        <w:t> </w:t>
      </w:r>
      <w:r w:rsidR="000D58D0" w:rsidRPr="00953DCC">
        <w:rPr>
          <w:lang w:val="fr-FR"/>
        </w:rPr>
        <w:t>2021, du document UPOV/INF/17/1 “</w:t>
      </w:r>
      <w:r w:rsidR="00277435" w:rsidRPr="00953DCC">
        <w:rPr>
          <w:lang w:val="fr-FR"/>
        </w:rPr>
        <w:t>Directives concernant les profils d</w:t>
      </w:r>
      <w:r w:rsidR="0056301D">
        <w:rPr>
          <w:lang w:val="fr-FR"/>
        </w:rPr>
        <w:t>’</w:t>
      </w:r>
      <w:r w:rsidR="00277435" w:rsidRPr="00953DCC">
        <w:rPr>
          <w:lang w:val="fr-FR"/>
        </w:rPr>
        <w:t>ADN</w:t>
      </w:r>
      <w:r w:rsidR="0056301D">
        <w:rPr>
          <w:lang w:val="fr-FR"/>
        </w:rPr>
        <w:t> :</w:t>
      </w:r>
      <w:r w:rsidR="00277435" w:rsidRPr="00953DCC">
        <w:rPr>
          <w:lang w:val="fr-FR"/>
        </w:rPr>
        <w:t xml:space="preserve"> choix des marqueurs moléculaires et construction d</w:t>
      </w:r>
      <w:r w:rsidR="0056301D">
        <w:rPr>
          <w:lang w:val="fr-FR"/>
        </w:rPr>
        <w:t>’</w:t>
      </w:r>
      <w:r w:rsidR="00277435" w:rsidRPr="00953DCC">
        <w:rPr>
          <w:lang w:val="fr-FR"/>
        </w:rPr>
        <w:t xml:space="preserve">une base de données y relative (“Directives BMT”)”, sur la base du texte figurant dans le </w:t>
      </w:r>
      <w:r w:rsidR="00953DCC" w:rsidRPr="00953DCC">
        <w:rPr>
          <w:lang w:val="fr-FR"/>
        </w:rPr>
        <w:t>document</w:t>
      </w:r>
      <w:r w:rsidR="00277435" w:rsidRPr="00953DCC">
        <w:rPr>
          <w:lang w:val="fr-FR"/>
        </w:rPr>
        <w:t xml:space="preserve"> UPOV/INF/17/1</w:t>
      </w:r>
      <w:r w:rsidR="00901109" w:rsidRPr="00953DCC">
        <w:rPr>
          <w:lang w:val="fr-FR"/>
        </w:rPr>
        <w:t> </w:t>
      </w:r>
      <w:r w:rsidR="00277435" w:rsidRPr="00953DCC">
        <w:rPr>
          <w:lang w:val="fr-FR"/>
        </w:rPr>
        <w:t>Draft</w:t>
      </w:r>
      <w:r w:rsidR="00901109" w:rsidRPr="00953DCC">
        <w:rPr>
          <w:lang w:val="fr-FR"/>
        </w:rPr>
        <w:t> </w:t>
      </w:r>
      <w:r w:rsidR="00277435" w:rsidRPr="00953DCC">
        <w:rPr>
          <w:lang w:val="fr-FR"/>
        </w:rPr>
        <w:t xml:space="preserve">6 </w:t>
      </w:r>
      <w:r w:rsidR="000D58D0" w:rsidRPr="00953DCC">
        <w:rPr>
          <w:lang w:val="fr-FR"/>
        </w:rPr>
        <w:t>(voir le document C/55/12 “Résultat de l</w:t>
      </w:r>
      <w:r w:rsidR="0056301D">
        <w:rPr>
          <w:lang w:val="fr-FR"/>
        </w:rPr>
        <w:t>’</w:t>
      </w:r>
      <w:r w:rsidR="000D58D0" w:rsidRPr="00953DCC">
        <w:rPr>
          <w:lang w:val="fr-FR"/>
        </w:rPr>
        <w:t>examen des documents par correspondance”</w:t>
      </w:r>
      <w:r w:rsidR="00E82D43" w:rsidRPr="00953DCC">
        <w:rPr>
          <w:lang w:val="fr-FR"/>
        </w:rPr>
        <w:t xml:space="preserve">, </w:t>
      </w:r>
      <w:r w:rsidR="0056301D" w:rsidRPr="00953DCC">
        <w:rPr>
          <w:lang w:val="fr-FR"/>
        </w:rPr>
        <w:t>paragraphes</w:t>
      </w:r>
      <w:r w:rsidR="0056301D">
        <w:rPr>
          <w:lang w:val="fr-FR"/>
        </w:rPr>
        <w:t> </w:t>
      </w:r>
      <w:r w:rsidR="0056301D" w:rsidRPr="00953DCC">
        <w:rPr>
          <w:lang w:val="fr-FR"/>
        </w:rPr>
        <w:t>1</w:t>
      </w:r>
      <w:r w:rsidR="00E82D43" w:rsidRPr="00953DCC">
        <w:rPr>
          <w:lang w:val="fr-FR"/>
        </w:rPr>
        <w:t>8 et 32).</w:t>
      </w:r>
    </w:p>
    <w:bookmarkEnd w:id="5"/>
    <w:bookmarkEnd w:id="6"/>
    <w:bookmarkEnd w:id="7"/>
    <w:bookmarkEnd w:id="8"/>
    <w:p w14:paraId="57295192" w14:textId="77777777" w:rsidR="005F025D" w:rsidRPr="00953DCC" w:rsidRDefault="005F025D" w:rsidP="008E521A">
      <w:pPr>
        <w:rPr>
          <w:lang w:val="fr-FR"/>
        </w:rPr>
      </w:pPr>
    </w:p>
    <w:p w14:paraId="57295193" w14:textId="77777777" w:rsidR="005F025D" w:rsidRPr="00953DCC" w:rsidRDefault="005F025D" w:rsidP="008E521A">
      <w:pPr>
        <w:rPr>
          <w:lang w:val="fr-FR"/>
        </w:rPr>
      </w:pPr>
    </w:p>
    <w:p w14:paraId="57295194" w14:textId="77777777" w:rsidR="005F025D" w:rsidRPr="00953DCC" w:rsidRDefault="005F025D" w:rsidP="008E521A">
      <w:pPr>
        <w:rPr>
          <w:lang w:val="fr-FR"/>
        </w:rPr>
      </w:pPr>
    </w:p>
    <w:p w14:paraId="57295195" w14:textId="77777777" w:rsidR="005F025D" w:rsidRPr="00953DCC" w:rsidRDefault="005F025D" w:rsidP="005F025D">
      <w:pPr>
        <w:keepNext/>
        <w:outlineLvl w:val="0"/>
        <w:rPr>
          <w:caps/>
          <w:spacing w:val="-4"/>
          <w:lang w:val="fr-FR" w:eastAsia="ja-JP"/>
        </w:rPr>
      </w:pPr>
      <w:bookmarkStart w:id="12" w:name="_Toc86312881"/>
      <w:r w:rsidRPr="00953DCC">
        <w:rPr>
          <w:caps/>
          <w:spacing w:val="-4"/>
          <w:lang w:val="fr-FR" w:eastAsia="ja-JP"/>
        </w:rPr>
        <w:t>Coopération entre organisations internationales</w:t>
      </w:r>
      <w:bookmarkEnd w:id="12"/>
    </w:p>
    <w:p w14:paraId="57295196" w14:textId="77777777" w:rsidR="005F025D" w:rsidRPr="00953DCC" w:rsidRDefault="005F025D" w:rsidP="00D14394">
      <w:pPr>
        <w:keepNext/>
        <w:rPr>
          <w:lang w:val="fr-FR" w:eastAsia="ja-JP"/>
        </w:rPr>
      </w:pPr>
    </w:p>
    <w:p w14:paraId="57295197" w14:textId="77777777" w:rsidR="005F025D" w:rsidRPr="00953DCC" w:rsidRDefault="00D14394" w:rsidP="005F025D">
      <w:pPr>
        <w:keepNext/>
        <w:rPr>
          <w:rFonts w:eastAsiaTheme="minorEastAsia"/>
          <w:lang w:val="fr-FR" w:eastAsia="ja-JP"/>
        </w:rPr>
      </w:pPr>
      <w:r w:rsidRPr="00953DCC">
        <w:rPr>
          <w:lang w:val="fr-FR"/>
        </w:rPr>
        <w:fldChar w:fldCharType="begin"/>
      </w:r>
      <w:r w:rsidRPr="00953DCC">
        <w:rPr>
          <w:lang w:val="fr-FR"/>
        </w:rPr>
        <w:instrText xml:space="preserve"> AUTONUM  </w:instrText>
      </w:r>
      <w:r w:rsidRPr="00953DCC">
        <w:rPr>
          <w:lang w:val="fr-FR"/>
        </w:rPr>
        <w:fldChar w:fldCharType="end"/>
      </w:r>
      <w:r w:rsidRPr="00953DCC">
        <w:rPr>
          <w:lang w:val="fr-FR"/>
        </w:rPr>
        <w:tab/>
      </w:r>
      <w:r w:rsidR="005F025D" w:rsidRPr="00953DCC">
        <w:rPr>
          <w:lang w:val="fr-FR"/>
        </w:rPr>
        <w:t>Les informations générales sur cette question sont fournies dans le document CAJ/76/INF/3 “Techniques moléculaires”.</w:t>
      </w:r>
    </w:p>
    <w:p w14:paraId="57295198" w14:textId="77777777" w:rsidR="005F025D" w:rsidRPr="00953DCC" w:rsidRDefault="005F025D" w:rsidP="00D14394">
      <w:pPr>
        <w:rPr>
          <w:rFonts w:eastAsiaTheme="minorEastAsia"/>
          <w:lang w:val="fr-FR" w:eastAsia="ja-JP"/>
        </w:rPr>
      </w:pPr>
    </w:p>
    <w:p w14:paraId="57295199" w14:textId="16CA8C5A" w:rsidR="005F025D" w:rsidRPr="00953DCC" w:rsidRDefault="00D14394" w:rsidP="005F025D">
      <w:pPr>
        <w:rPr>
          <w:lang w:val="fr-FR"/>
        </w:rPr>
      </w:pPr>
      <w:r w:rsidRPr="00953DCC">
        <w:rPr>
          <w:lang w:val="fr-FR"/>
        </w:rPr>
        <w:fldChar w:fldCharType="begin"/>
      </w:r>
      <w:r w:rsidRPr="00953DCC">
        <w:rPr>
          <w:lang w:val="fr-FR"/>
        </w:rPr>
        <w:instrText xml:space="preserve"> AUTONUM  </w:instrText>
      </w:r>
      <w:r w:rsidRPr="00953DCC">
        <w:rPr>
          <w:lang w:val="fr-FR"/>
        </w:rPr>
        <w:fldChar w:fldCharType="end"/>
      </w:r>
      <w:r w:rsidRPr="00953DCC">
        <w:rPr>
          <w:lang w:val="fr-FR"/>
        </w:rPr>
        <w:tab/>
      </w:r>
      <w:r w:rsidR="005F025D" w:rsidRPr="00953DCC">
        <w:rPr>
          <w:lang w:val="fr-FR"/>
        </w:rPr>
        <w:t>À sa soixante</w:t>
      </w:r>
      <w:r w:rsidR="00456121">
        <w:rPr>
          <w:lang w:val="fr-FR"/>
        </w:rPr>
        <w:noBreakHyphen/>
      </w:r>
      <w:r w:rsidR="005F025D" w:rsidRPr="00953DCC">
        <w:rPr>
          <w:lang w:val="fr-FR"/>
        </w:rPr>
        <w:t>quinz</w:t>
      </w:r>
      <w:r w:rsidR="0056301D">
        <w:rPr>
          <w:lang w:val="fr-FR"/>
        </w:rPr>
        <w:t>ième session</w:t>
      </w:r>
      <w:r w:rsidR="005F025D" w:rsidRPr="00953DCC">
        <w:rPr>
          <w:lang w:val="fr-FR"/>
        </w:rPr>
        <w:t>, le</w:t>
      </w:r>
      <w:r w:rsidR="00A9076F" w:rsidRPr="00953DCC">
        <w:rPr>
          <w:lang w:val="fr-FR"/>
        </w:rPr>
        <w:t> </w:t>
      </w:r>
      <w:r w:rsidR="005F025D" w:rsidRPr="00953DCC">
        <w:rPr>
          <w:lang w:val="fr-FR"/>
        </w:rPr>
        <w:t>CAJ a noté que le</w:t>
      </w:r>
      <w:r w:rsidR="0056301D">
        <w:rPr>
          <w:lang w:val="fr-FR"/>
        </w:rPr>
        <w:t> TC</w:t>
      </w:r>
      <w:r w:rsidR="005F025D" w:rsidRPr="00953DCC">
        <w:rPr>
          <w:lang w:val="fr-FR"/>
        </w:rPr>
        <w:t xml:space="preserve"> était convenu que l</w:t>
      </w:r>
      <w:r w:rsidR="0056301D">
        <w:rPr>
          <w:lang w:val="fr-FR"/>
        </w:rPr>
        <w:t>’</w:t>
      </w:r>
      <w:r w:rsidR="005F025D" w:rsidRPr="00953DCC">
        <w:rPr>
          <w:lang w:val="fr-FR"/>
        </w:rPr>
        <w:t>UPOV et l</w:t>
      </w:r>
      <w:r w:rsidR="0056301D">
        <w:rPr>
          <w:lang w:val="fr-FR"/>
        </w:rPr>
        <w:t>’</w:t>
      </w:r>
      <w:r w:rsidR="005F025D" w:rsidRPr="00953DCC">
        <w:rPr>
          <w:lang w:val="fr-FR"/>
        </w:rPr>
        <w:t>OCDE devaient avancer dans l</w:t>
      </w:r>
      <w:r w:rsidR="0056301D">
        <w:rPr>
          <w:lang w:val="fr-FR"/>
        </w:rPr>
        <w:t>’</w:t>
      </w:r>
      <w:r w:rsidR="005F025D" w:rsidRPr="00953DCC">
        <w:rPr>
          <w:lang w:val="fr-FR"/>
        </w:rPr>
        <w:t>étude des questions approuvées par le</w:t>
      </w:r>
      <w:r w:rsidR="0056301D">
        <w:rPr>
          <w:lang w:val="fr-FR"/>
        </w:rPr>
        <w:t> TC</w:t>
      </w:r>
      <w:r w:rsidR="005F025D" w:rsidRPr="00953DCC">
        <w:rPr>
          <w:lang w:val="fr-FR"/>
        </w:rPr>
        <w:t>, comme indiqué au paragraphe</w:t>
      </w:r>
      <w:r w:rsidR="00A9076F" w:rsidRPr="00953DCC">
        <w:rPr>
          <w:lang w:val="fr-FR"/>
        </w:rPr>
        <w:t> </w:t>
      </w:r>
      <w:r w:rsidR="005F025D" w:rsidRPr="00953DCC">
        <w:rPr>
          <w:lang w:val="fr-FR"/>
        </w:rPr>
        <w:t>46</w:t>
      </w:r>
      <w:r w:rsidR="003D1029" w:rsidRPr="00953DCC">
        <w:rPr>
          <w:rStyle w:val="FootnoteReference"/>
          <w:lang w:val="fr-FR"/>
        </w:rPr>
        <w:footnoteReference w:id="2"/>
      </w:r>
      <w:r w:rsidR="005F025D" w:rsidRPr="00953DCC">
        <w:rPr>
          <w:lang w:val="fr-FR"/>
        </w:rPr>
        <w:t xml:space="preserve"> de l</w:t>
      </w:r>
      <w:r w:rsidR="0056301D">
        <w:rPr>
          <w:lang w:val="fr-FR"/>
        </w:rPr>
        <w:t>’</w:t>
      </w:r>
      <w:r w:rsidR="005F025D" w:rsidRPr="00953DCC">
        <w:rPr>
          <w:lang w:val="fr-FR"/>
        </w:rPr>
        <w:t xml:space="preserve">annexe du document CAJ/75/13, </w:t>
      </w:r>
      <w:r w:rsidR="0056301D">
        <w:rPr>
          <w:lang w:val="fr-FR"/>
        </w:rPr>
        <w:t>à savoir :</w:t>
      </w:r>
    </w:p>
    <w:p w14:paraId="5729519A" w14:textId="77777777" w:rsidR="005F025D" w:rsidRPr="00953DCC" w:rsidRDefault="005F025D" w:rsidP="00D14394">
      <w:pPr>
        <w:rPr>
          <w:rFonts w:eastAsiaTheme="minorEastAsia"/>
          <w:lang w:val="fr-FR" w:eastAsia="ja-JP"/>
        </w:rPr>
      </w:pPr>
    </w:p>
    <w:p w14:paraId="280F5DA0" w14:textId="6E8D67F8" w:rsidR="0056301D" w:rsidRDefault="005F025D" w:rsidP="005F025D">
      <w:pPr>
        <w:ind w:firstLine="567"/>
        <w:rPr>
          <w:rFonts w:eastAsiaTheme="minorEastAsia"/>
          <w:lang w:val="fr-FR" w:eastAsia="ja-JP"/>
        </w:rPr>
      </w:pPr>
      <w:r w:rsidRPr="00953DCC">
        <w:rPr>
          <w:rFonts w:eastAsiaTheme="minorEastAsia"/>
          <w:lang w:val="fr-FR" w:eastAsia="ja-JP"/>
        </w:rPr>
        <w:t>a) l</w:t>
      </w:r>
      <w:r w:rsidR="0056301D">
        <w:rPr>
          <w:rFonts w:eastAsiaTheme="minorEastAsia"/>
          <w:lang w:val="fr-FR" w:eastAsia="ja-JP"/>
        </w:rPr>
        <w:t>’</w:t>
      </w:r>
      <w:r w:rsidRPr="00953DCC">
        <w:rPr>
          <w:rFonts w:eastAsiaTheme="minorEastAsia"/>
          <w:lang w:val="fr-FR" w:eastAsia="ja-JP"/>
        </w:rPr>
        <w:t>élaboration d</w:t>
      </w:r>
      <w:r w:rsidR="0056301D">
        <w:rPr>
          <w:rFonts w:eastAsiaTheme="minorEastAsia"/>
          <w:lang w:val="fr-FR" w:eastAsia="ja-JP"/>
        </w:rPr>
        <w:t>’</w:t>
      </w:r>
      <w:r w:rsidRPr="00953DCC">
        <w:rPr>
          <w:rFonts w:eastAsiaTheme="minorEastAsia"/>
          <w:lang w:val="fr-FR" w:eastAsia="ja-JP"/>
        </w:rPr>
        <w:t>un document commun présentant les particularités des systèmes de l</w:t>
      </w:r>
      <w:r w:rsidR="0056301D">
        <w:rPr>
          <w:rFonts w:eastAsiaTheme="minorEastAsia"/>
          <w:lang w:val="fr-FR" w:eastAsia="ja-JP"/>
        </w:rPr>
        <w:t>’</w:t>
      </w:r>
      <w:r w:rsidRPr="00953DCC">
        <w:rPr>
          <w:rFonts w:eastAsiaTheme="minorEastAsia"/>
          <w:lang w:val="fr-FR" w:eastAsia="ja-JP"/>
        </w:rPr>
        <w:t>OCDE, de l</w:t>
      </w:r>
      <w:r w:rsidR="0056301D">
        <w:rPr>
          <w:rFonts w:eastAsiaTheme="minorEastAsia"/>
          <w:lang w:val="fr-FR" w:eastAsia="ja-JP"/>
        </w:rPr>
        <w:t>’</w:t>
      </w:r>
      <w:r w:rsidRPr="00953DCC">
        <w:rPr>
          <w:rFonts w:eastAsiaTheme="minorEastAsia"/>
          <w:lang w:val="fr-FR" w:eastAsia="ja-JP"/>
        </w:rPr>
        <w:t>UPOV et de l</w:t>
      </w:r>
      <w:r w:rsidR="0056301D">
        <w:rPr>
          <w:rFonts w:eastAsiaTheme="minorEastAsia"/>
          <w:lang w:val="fr-FR" w:eastAsia="ja-JP"/>
        </w:rPr>
        <w:t>’</w:t>
      </w:r>
      <w:r w:rsidRPr="00953DCC">
        <w:rPr>
          <w:rFonts w:eastAsiaTheme="minorEastAsia"/>
          <w:lang w:val="fr-FR" w:eastAsia="ja-JP"/>
        </w:rPr>
        <w:t>ISTA;</w:t>
      </w:r>
    </w:p>
    <w:p w14:paraId="5729519C" w14:textId="1288E03E" w:rsidR="005F025D" w:rsidRPr="00953DCC" w:rsidRDefault="005F025D" w:rsidP="00D14394">
      <w:pPr>
        <w:ind w:firstLine="567"/>
        <w:rPr>
          <w:rFonts w:eastAsiaTheme="minorEastAsia"/>
          <w:lang w:val="fr-FR" w:eastAsia="ja-JP"/>
        </w:rPr>
      </w:pPr>
    </w:p>
    <w:p w14:paraId="1CEB496C" w14:textId="289B10EB" w:rsidR="0056301D" w:rsidRDefault="005F025D" w:rsidP="005F025D">
      <w:pPr>
        <w:ind w:firstLine="567"/>
        <w:rPr>
          <w:rFonts w:eastAsiaTheme="minorEastAsia"/>
          <w:lang w:val="fr-FR" w:eastAsia="ja-JP"/>
        </w:rPr>
      </w:pPr>
      <w:r w:rsidRPr="00953DCC">
        <w:rPr>
          <w:rFonts w:eastAsiaTheme="minorEastAsia"/>
          <w:lang w:val="fr-FR" w:eastAsia="ja-JP"/>
        </w:rPr>
        <w:t>b) l</w:t>
      </w:r>
      <w:r w:rsidR="0056301D">
        <w:rPr>
          <w:rFonts w:eastAsiaTheme="minorEastAsia"/>
          <w:lang w:val="fr-FR" w:eastAsia="ja-JP"/>
        </w:rPr>
        <w:t>’</w:t>
      </w:r>
      <w:r w:rsidRPr="00953DCC">
        <w:rPr>
          <w:rFonts w:eastAsiaTheme="minorEastAsia"/>
          <w:lang w:val="fr-FR" w:eastAsia="ja-JP"/>
        </w:rPr>
        <w:t>établissement d</w:t>
      </w:r>
      <w:r w:rsidR="0056301D">
        <w:rPr>
          <w:rFonts w:eastAsiaTheme="minorEastAsia"/>
          <w:lang w:val="fr-FR" w:eastAsia="ja-JP"/>
        </w:rPr>
        <w:t>’</w:t>
      </w:r>
      <w:r w:rsidRPr="00953DCC">
        <w:rPr>
          <w:rFonts w:eastAsiaTheme="minorEastAsia"/>
          <w:lang w:val="fr-FR" w:eastAsia="ja-JP"/>
        </w:rPr>
        <w:t>un inventaire, par plante, de l</w:t>
      </w:r>
      <w:r w:rsidR="0056301D">
        <w:rPr>
          <w:rFonts w:eastAsiaTheme="minorEastAsia"/>
          <w:lang w:val="fr-FR" w:eastAsia="ja-JP"/>
        </w:rPr>
        <w:t>’</w:t>
      </w:r>
      <w:r w:rsidRPr="00953DCC">
        <w:rPr>
          <w:rFonts w:eastAsiaTheme="minorEastAsia"/>
          <w:lang w:val="fr-FR" w:eastAsia="ja-JP"/>
        </w:rPr>
        <w:t>utilisation qui est faite des techniques faisant intervenir des marqueurs moléculaires, en vue de l</w:t>
      </w:r>
      <w:r w:rsidR="0056301D">
        <w:rPr>
          <w:rFonts w:eastAsiaTheme="minorEastAsia"/>
          <w:lang w:val="fr-FR" w:eastAsia="ja-JP"/>
        </w:rPr>
        <w:t>’</w:t>
      </w:r>
      <w:r w:rsidRPr="00953DCC">
        <w:rPr>
          <w:rFonts w:eastAsiaTheme="minorEastAsia"/>
          <w:lang w:val="fr-FR" w:eastAsia="ja-JP"/>
        </w:rPr>
        <w:t>élaboration d</w:t>
      </w:r>
      <w:r w:rsidR="0056301D">
        <w:rPr>
          <w:rFonts w:eastAsiaTheme="minorEastAsia"/>
          <w:lang w:val="fr-FR" w:eastAsia="ja-JP"/>
        </w:rPr>
        <w:t>’</w:t>
      </w:r>
      <w:r w:rsidRPr="00953DCC">
        <w:rPr>
          <w:rFonts w:eastAsiaTheme="minorEastAsia"/>
          <w:lang w:val="fr-FR" w:eastAsia="ja-JP"/>
        </w:rPr>
        <w:t>un document commun à l</w:t>
      </w:r>
      <w:r w:rsidR="0056301D">
        <w:rPr>
          <w:rFonts w:eastAsiaTheme="minorEastAsia"/>
          <w:lang w:val="fr-FR" w:eastAsia="ja-JP"/>
        </w:rPr>
        <w:t>’</w:t>
      </w:r>
      <w:r w:rsidRPr="00953DCC">
        <w:rPr>
          <w:rFonts w:eastAsiaTheme="minorEastAsia"/>
          <w:lang w:val="fr-FR" w:eastAsia="ja-JP"/>
        </w:rPr>
        <w:t>OCDE, à l</w:t>
      </w:r>
      <w:r w:rsidR="0056301D">
        <w:rPr>
          <w:rFonts w:eastAsiaTheme="minorEastAsia"/>
          <w:lang w:val="fr-FR" w:eastAsia="ja-JP"/>
        </w:rPr>
        <w:t>’</w:t>
      </w:r>
      <w:r w:rsidRPr="00953DCC">
        <w:rPr>
          <w:rFonts w:eastAsiaTheme="minorEastAsia"/>
          <w:lang w:val="fr-FR" w:eastAsia="ja-JP"/>
        </w:rPr>
        <w:t>UPOV et à l</w:t>
      </w:r>
      <w:r w:rsidR="0056301D">
        <w:rPr>
          <w:rFonts w:eastAsiaTheme="minorEastAsia"/>
          <w:lang w:val="fr-FR" w:eastAsia="ja-JP"/>
        </w:rPr>
        <w:t>’</w:t>
      </w:r>
      <w:r w:rsidRPr="00953DCC">
        <w:rPr>
          <w:rFonts w:eastAsiaTheme="minorEastAsia"/>
          <w:lang w:val="fr-FR" w:eastAsia="ja-JP"/>
        </w:rPr>
        <w:t>ISTA contenant ces informations, dans un format semblable à celui du document UPOV/INF/16 “Logiciels échangeables”, sous réserve de l</w:t>
      </w:r>
      <w:r w:rsidR="0056301D">
        <w:rPr>
          <w:rFonts w:eastAsiaTheme="minorEastAsia"/>
          <w:lang w:val="fr-FR" w:eastAsia="ja-JP"/>
        </w:rPr>
        <w:t>’</w:t>
      </w:r>
      <w:r w:rsidRPr="00953DCC">
        <w:rPr>
          <w:rFonts w:eastAsiaTheme="minorEastAsia"/>
          <w:lang w:val="fr-FR" w:eastAsia="ja-JP"/>
        </w:rPr>
        <w:t>approbation du Conseil et en concertation avec l</w:t>
      </w:r>
      <w:r w:rsidR="0056301D">
        <w:rPr>
          <w:rFonts w:eastAsiaTheme="minorEastAsia"/>
          <w:lang w:val="fr-FR" w:eastAsia="ja-JP"/>
        </w:rPr>
        <w:t>’</w:t>
      </w:r>
      <w:r w:rsidRPr="00953DCC">
        <w:rPr>
          <w:rFonts w:eastAsiaTheme="minorEastAsia"/>
          <w:lang w:val="fr-FR" w:eastAsia="ja-JP"/>
        </w:rPr>
        <w:t>OCDE et l</w:t>
      </w:r>
      <w:r w:rsidR="0056301D">
        <w:rPr>
          <w:rFonts w:eastAsiaTheme="minorEastAsia"/>
          <w:lang w:val="fr-FR" w:eastAsia="ja-JP"/>
        </w:rPr>
        <w:t>’</w:t>
      </w:r>
      <w:r w:rsidRPr="00953DCC">
        <w:rPr>
          <w:rFonts w:eastAsiaTheme="minorEastAsia"/>
          <w:lang w:val="fr-FR" w:eastAsia="ja-JP"/>
        </w:rPr>
        <w:t xml:space="preserve">ISTA; </w:t>
      </w:r>
      <w:r w:rsidR="004A1CA8">
        <w:rPr>
          <w:rFonts w:eastAsiaTheme="minorEastAsia"/>
          <w:lang w:val="fr-FR" w:eastAsia="ja-JP"/>
        </w:rPr>
        <w:t xml:space="preserve"> </w:t>
      </w:r>
      <w:r w:rsidRPr="00953DCC">
        <w:rPr>
          <w:rFonts w:eastAsiaTheme="minorEastAsia"/>
          <w:lang w:val="fr-FR" w:eastAsia="ja-JP"/>
        </w:rPr>
        <w:t>et</w:t>
      </w:r>
    </w:p>
    <w:p w14:paraId="5729519E" w14:textId="70879851" w:rsidR="005F025D" w:rsidRPr="00953DCC" w:rsidRDefault="005F025D" w:rsidP="00D14394">
      <w:pPr>
        <w:ind w:firstLine="567"/>
        <w:rPr>
          <w:rFonts w:eastAsiaTheme="minorEastAsia"/>
          <w:lang w:val="fr-FR" w:eastAsia="ja-JP"/>
        </w:rPr>
      </w:pPr>
    </w:p>
    <w:p w14:paraId="228DD7DB" w14:textId="12D14542" w:rsidR="0056301D" w:rsidRDefault="005F025D" w:rsidP="005F025D">
      <w:pPr>
        <w:ind w:firstLine="567"/>
        <w:rPr>
          <w:rFonts w:eastAsiaTheme="minorEastAsia"/>
          <w:lang w:val="fr-FR" w:eastAsia="ja-JP"/>
        </w:rPr>
      </w:pPr>
      <w:r w:rsidRPr="00953DCC">
        <w:rPr>
          <w:rFonts w:eastAsiaTheme="minorEastAsia"/>
          <w:lang w:val="fr-FR" w:eastAsia="ja-JP"/>
        </w:rPr>
        <w:t>c) l</w:t>
      </w:r>
      <w:r w:rsidR="0056301D">
        <w:rPr>
          <w:rFonts w:eastAsiaTheme="minorEastAsia"/>
          <w:lang w:val="fr-FR" w:eastAsia="ja-JP"/>
        </w:rPr>
        <w:t>’</w:t>
      </w:r>
      <w:r w:rsidRPr="00953DCC">
        <w:rPr>
          <w:rFonts w:eastAsiaTheme="minorEastAsia"/>
          <w:lang w:val="fr-FR" w:eastAsia="ja-JP"/>
        </w:rPr>
        <w:t>établissement, par le</w:t>
      </w:r>
      <w:r w:rsidR="002F7152" w:rsidRPr="00953DCC">
        <w:rPr>
          <w:rFonts w:eastAsiaTheme="minorEastAsia"/>
          <w:lang w:val="fr-FR" w:eastAsia="ja-JP"/>
        </w:rPr>
        <w:t> </w:t>
      </w:r>
      <w:r w:rsidRPr="00953DCC">
        <w:rPr>
          <w:rFonts w:eastAsiaTheme="minorEastAsia"/>
          <w:lang w:val="fr-FR" w:eastAsia="ja-JP"/>
        </w:rPr>
        <w:t>BMT, de listes d</w:t>
      </w:r>
      <w:r w:rsidR="0056301D">
        <w:rPr>
          <w:rFonts w:eastAsiaTheme="minorEastAsia"/>
          <w:lang w:val="fr-FR" w:eastAsia="ja-JP"/>
        </w:rPr>
        <w:t>’</w:t>
      </w:r>
      <w:r w:rsidRPr="00953DCC">
        <w:rPr>
          <w:rFonts w:eastAsiaTheme="minorEastAsia"/>
          <w:lang w:val="fr-FR" w:eastAsia="ja-JP"/>
        </w:rPr>
        <w:t>initiatives conjointes possibles avec l</w:t>
      </w:r>
      <w:r w:rsidR="0056301D">
        <w:rPr>
          <w:rFonts w:eastAsiaTheme="minorEastAsia"/>
          <w:lang w:val="fr-FR" w:eastAsia="ja-JP"/>
        </w:rPr>
        <w:t>’</w:t>
      </w:r>
      <w:r w:rsidRPr="00953DCC">
        <w:rPr>
          <w:rFonts w:eastAsiaTheme="minorEastAsia"/>
          <w:lang w:val="fr-FR" w:eastAsia="ja-JP"/>
        </w:rPr>
        <w:t>OCDE et l</w:t>
      </w:r>
      <w:r w:rsidR="0056301D">
        <w:rPr>
          <w:rFonts w:eastAsiaTheme="minorEastAsia"/>
          <w:lang w:val="fr-FR" w:eastAsia="ja-JP"/>
        </w:rPr>
        <w:t>’</w:t>
      </w:r>
      <w:r w:rsidRPr="00953DCC">
        <w:rPr>
          <w:rFonts w:eastAsiaTheme="minorEastAsia"/>
          <w:lang w:val="fr-FR" w:eastAsia="ja-JP"/>
        </w:rPr>
        <w:t>ISTA dans le domaine des techniques moléculaires, pour examen par le</w:t>
      </w:r>
      <w:r w:rsidR="0056301D">
        <w:rPr>
          <w:rFonts w:eastAsiaTheme="minorEastAsia"/>
          <w:lang w:val="fr-FR" w:eastAsia="ja-JP"/>
        </w:rPr>
        <w:t> TC</w:t>
      </w:r>
      <w:r w:rsidRPr="00953DCC">
        <w:rPr>
          <w:rFonts w:eastAsiaTheme="minorEastAsia"/>
          <w:lang w:val="fr-FR" w:eastAsia="ja-JP"/>
        </w:rPr>
        <w:t>.</w:t>
      </w:r>
    </w:p>
    <w:p w14:paraId="572951A0" w14:textId="096C8097" w:rsidR="005F025D" w:rsidRPr="00953DCC" w:rsidRDefault="005F025D" w:rsidP="00D14394">
      <w:pPr>
        <w:rPr>
          <w:rFonts w:eastAsiaTheme="minorEastAsia"/>
          <w:lang w:val="fr-FR" w:eastAsia="ja-JP"/>
        </w:rPr>
      </w:pPr>
    </w:p>
    <w:p w14:paraId="004B757A" w14:textId="3D4535AD" w:rsidR="0056301D" w:rsidRDefault="00D14394" w:rsidP="005F025D">
      <w:pPr>
        <w:rPr>
          <w:rFonts w:eastAsiaTheme="minorEastAsia"/>
          <w:lang w:val="fr-FR" w:eastAsia="ja-JP"/>
        </w:rPr>
      </w:pPr>
      <w:r w:rsidRPr="00953DCC">
        <w:rPr>
          <w:rFonts w:eastAsiaTheme="minorEastAsia"/>
          <w:lang w:val="fr-FR" w:eastAsia="ja-JP"/>
        </w:rPr>
        <w:fldChar w:fldCharType="begin"/>
      </w:r>
      <w:r w:rsidRPr="00953DCC">
        <w:rPr>
          <w:rFonts w:eastAsiaTheme="minorEastAsia"/>
          <w:lang w:val="fr-FR" w:eastAsia="ja-JP"/>
        </w:rPr>
        <w:instrText xml:space="preserve"> AUTONUM  </w:instrText>
      </w:r>
      <w:r w:rsidRPr="00953DCC">
        <w:rPr>
          <w:rFonts w:eastAsiaTheme="minorEastAsia"/>
          <w:lang w:val="fr-FR" w:eastAsia="ja-JP"/>
        </w:rPr>
        <w:fldChar w:fldCharType="end"/>
      </w:r>
      <w:r w:rsidRPr="00953DCC">
        <w:rPr>
          <w:rFonts w:eastAsiaTheme="minorEastAsia"/>
          <w:lang w:val="fr-FR" w:eastAsia="ja-JP"/>
        </w:rPr>
        <w:tab/>
      </w:r>
      <w:r w:rsidR="005F025D" w:rsidRPr="00953DCC">
        <w:rPr>
          <w:rFonts w:eastAsiaTheme="minorEastAsia"/>
          <w:lang w:val="fr-FR" w:eastAsia="ja-JP"/>
        </w:rPr>
        <w:t>À sa cinquante</w:t>
      </w:r>
      <w:r w:rsidR="00456121">
        <w:rPr>
          <w:rFonts w:eastAsiaTheme="minorEastAsia"/>
          <w:lang w:val="fr-FR" w:eastAsia="ja-JP"/>
        </w:rPr>
        <w:noBreakHyphen/>
      </w:r>
      <w:r w:rsidR="005F025D" w:rsidRPr="00953DCC">
        <w:rPr>
          <w:rFonts w:eastAsiaTheme="minorEastAsia"/>
          <w:lang w:val="fr-FR" w:eastAsia="ja-JP"/>
        </w:rPr>
        <w:t>quatr</w:t>
      </w:r>
      <w:r w:rsidR="0056301D">
        <w:rPr>
          <w:rFonts w:eastAsiaTheme="minorEastAsia"/>
          <w:lang w:val="fr-FR" w:eastAsia="ja-JP"/>
        </w:rPr>
        <w:t>ième session</w:t>
      </w:r>
      <w:r w:rsidR="005F025D" w:rsidRPr="00953DCC">
        <w:rPr>
          <w:rFonts w:eastAsiaTheme="minorEastAsia"/>
          <w:lang w:val="fr-FR" w:eastAsia="ja-JP"/>
        </w:rPr>
        <w:t>, le</w:t>
      </w:r>
      <w:r w:rsidR="0056301D">
        <w:rPr>
          <w:rFonts w:eastAsiaTheme="minorEastAsia"/>
          <w:lang w:val="fr-FR" w:eastAsia="ja-JP"/>
        </w:rPr>
        <w:t> TC</w:t>
      </w:r>
      <w:r w:rsidR="005F025D" w:rsidRPr="00953DCC">
        <w:rPr>
          <w:rFonts w:eastAsiaTheme="minorEastAsia"/>
          <w:lang w:val="fr-FR" w:eastAsia="ja-JP"/>
        </w:rPr>
        <w:t xml:space="preserve"> a décidé de demander à l</w:t>
      </w:r>
      <w:r w:rsidR="0056301D">
        <w:rPr>
          <w:rFonts w:eastAsiaTheme="minorEastAsia"/>
          <w:lang w:val="fr-FR" w:eastAsia="ja-JP"/>
        </w:rPr>
        <w:t>’</w:t>
      </w:r>
      <w:r w:rsidR="005F025D" w:rsidRPr="00953DCC">
        <w:rPr>
          <w:rFonts w:eastAsiaTheme="minorEastAsia"/>
          <w:lang w:val="fr-FR" w:eastAsia="ja-JP"/>
        </w:rPr>
        <w:t>ISTA de s</w:t>
      </w:r>
      <w:r w:rsidR="0056301D">
        <w:rPr>
          <w:rFonts w:eastAsiaTheme="minorEastAsia"/>
          <w:lang w:val="fr-FR" w:eastAsia="ja-JP"/>
        </w:rPr>
        <w:t>’</w:t>
      </w:r>
      <w:r w:rsidR="005F025D" w:rsidRPr="00953DCC">
        <w:rPr>
          <w:rFonts w:eastAsiaTheme="minorEastAsia"/>
          <w:lang w:val="fr-FR" w:eastAsia="ja-JP"/>
        </w:rPr>
        <w:t>associer aux initiatives lorsqu</w:t>
      </w:r>
      <w:r w:rsidR="0056301D">
        <w:rPr>
          <w:rFonts w:eastAsiaTheme="minorEastAsia"/>
          <w:lang w:val="fr-FR" w:eastAsia="ja-JP"/>
        </w:rPr>
        <w:t>’</w:t>
      </w:r>
      <w:r w:rsidR="005F025D" w:rsidRPr="00953DCC">
        <w:rPr>
          <w:rFonts w:eastAsiaTheme="minorEastAsia"/>
          <w:lang w:val="fr-FR" w:eastAsia="ja-JP"/>
        </w:rPr>
        <w:t>elle serait en mesure de le faire.</w:t>
      </w:r>
    </w:p>
    <w:p w14:paraId="572951A2" w14:textId="369EAC79" w:rsidR="005F025D" w:rsidRPr="00953DCC" w:rsidRDefault="005F025D" w:rsidP="00D14394">
      <w:pPr>
        <w:rPr>
          <w:rFonts w:eastAsiaTheme="minorEastAsia"/>
          <w:lang w:val="fr-FR" w:eastAsia="ja-JP"/>
        </w:rPr>
      </w:pPr>
    </w:p>
    <w:p w14:paraId="572951A3" w14:textId="10E9D04F" w:rsidR="005F025D" w:rsidRPr="00953DCC" w:rsidRDefault="00D14394" w:rsidP="005F025D">
      <w:pPr>
        <w:rPr>
          <w:rFonts w:eastAsiaTheme="minorEastAsia"/>
          <w:lang w:val="fr-FR"/>
        </w:rPr>
      </w:pPr>
      <w:r w:rsidRPr="00953DCC">
        <w:rPr>
          <w:rFonts w:eastAsiaTheme="minorEastAsia"/>
          <w:lang w:val="fr-FR" w:eastAsia="ja-JP"/>
        </w:rPr>
        <w:fldChar w:fldCharType="begin"/>
      </w:r>
      <w:r w:rsidRPr="00953DCC">
        <w:rPr>
          <w:rFonts w:eastAsiaTheme="minorEastAsia"/>
          <w:lang w:val="fr-FR" w:eastAsia="ja-JP"/>
        </w:rPr>
        <w:instrText xml:space="preserve"> AUTONUM  </w:instrText>
      </w:r>
      <w:r w:rsidRPr="00953DCC">
        <w:rPr>
          <w:rFonts w:eastAsiaTheme="minorEastAsia"/>
          <w:lang w:val="fr-FR" w:eastAsia="ja-JP"/>
        </w:rPr>
        <w:fldChar w:fldCharType="end"/>
      </w:r>
      <w:r w:rsidRPr="00953DCC">
        <w:rPr>
          <w:rFonts w:eastAsiaTheme="minorEastAsia"/>
          <w:lang w:val="fr-FR" w:eastAsia="ja-JP"/>
        </w:rPr>
        <w:tab/>
      </w:r>
      <w:r w:rsidR="005F025D" w:rsidRPr="00953DCC">
        <w:rPr>
          <w:rFonts w:eastAsiaTheme="minorEastAsia"/>
          <w:lang w:val="fr-FR" w:eastAsia="ja-JP"/>
        </w:rPr>
        <w:t>Les faits nouveaux concernant les questions soulevées ci</w:t>
      </w:r>
      <w:r w:rsidR="00456121">
        <w:rPr>
          <w:rFonts w:eastAsiaTheme="minorEastAsia"/>
          <w:lang w:val="fr-FR" w:eastAsia="ja-JP"/>
        </w:rPr>
        <w:noBreakHyphen/>
      </w:r>
      <w:r w:rsidR="005F025D" w:rsidRPr="00953DCC">
        <w:rPr>
          <w:rFonts w:eastAsiaTheme="minorEastAsia"/>
          <w:lang w:val="fr-FR" w:eastAsia="ja-JP"/>
        </w:rPr>
        <w:t>dessus sont présentés dans les paragraphes ci</w:t>
      </w:r>
      <w:r w:rsidR="00456121">
        <w:rPr>
          <w:rFonts w:eastAsiaTheme="minorEastAsia"/>
          <w:lang w:val="fr-FR" w:eastAsia="ja-JP"/>
        </w:rPr>
        <w:noBreakHyphen/>
      </w:r>
      <w:r w:rsidR="005F025D" w:rsidRPr="00953DCC">
        <w:rPr>
          <w:rFonts w:eastAsiaTheme="minorEastAsia"/>
          <w:lang w:val="fr-FR" w:eastAsia="ja-JP"/>
        </w:rPr>
        <w:t>après.</w:t>
      </w:r>
    </w:p>
    <w:p w14:paraId="572951A4" w14:textId="77777777" w:rsidR="005F025D" w:rsidRPr="00953DCC" w:rsidRDefault="005F025D" w:rsidP="008E521A">
      <w:pPr>
        <w:rPr>
          <w:rFonts w:eastAsiaTheme="minorEastAsia"/>
          <w:lang w:val="fr-FR"/>
        </w:rPr>
      </w:pPr>
    </w:p>
    <w:p w14:paraId="572951A5" w14:textId="77777777" w:rsidR="005F025D" w:rsidRPr="00953DCC" w:rsidRDefault="005F025D" w:rsidP="008E521A">
      <w:pPr>
        <w:rPr>
          <w:rFonts w:eastAsiaTheme="minorEastAsia"/>
          <w:lang w:val="fr-FR"/>
        </w:rPr>
      </w:pPr>
    </w:p>
    <w:p w14:paraId="572951A6" w14:textId="4E78523D" w:rsidR="005F025D" w:rsidRPr="00953DCC" w:rsidRDefault="005F025D" w:rsidP="002C77EB">
      <w:pPr>
        <w:pStyle w:val="Heading2"/>
      </w:pPr>
      <w:bookmarkStart w:id="13" w:name="_Toc86312882"/>
      <w:r w:rsidRPr="00953DCC">
        <w:lastRenderedPageBreak/>
        <w:t>Document commun présentant les particularités des systèmes de l</w:t>
      </w:r>
      <w:r w:rsidR="0056301D">
        <w:t>’</w:t>
      </w:r>
      <w:r w:rsidRPr="00953DCC">
        <w:t>OCDE, de l</w:t>
      </w:r>
      <w:r w:rsidR="0056301D">
        <w:t>’</w:t>
      </w:r>
      <w:r w:rsidRPr="00953DCC">
        <w:t>UPOV et de l</w:t>
      </w:r>
      <w:r w:rsidR="0056301D">
        <w:t>’</w:t>
      </w:r>
      <w:r w:rsidRPr="00953DCC">
        <w:t>ISTA</w:t>
      </w:r>
      <w:bookmarkEnd w:id="13"/>
    </w:p>
    <w:p w14:paraId="572951A7" w14:textId="77777777" w:rsidR="005F025D" w:rsidRPr="00953DCC" w:rsidRDefault="005F025D" w:rsidP="002C77EB">
      <w:pPr>
        <w:keepNext/>
        <w:rPr>
          <w:lang w:val="fr-FR"/>
        </w:rPr>
      </w:pPr>
    </w:p>
    <w:p w14:paraId="572951A8" w14:textId="60179BC3" w:rsidR="005F025D" w:rsidRPr="00953DCC" w:rsidRDefault="00E9629B" w:rsidP="002C77EB">
      <w:pPr>
        <w:pStyle w:val="Heading3"/>
      </w:pPr>
      <w:r w:rsidRPr="00953DCC">
        <w:t>Rappel</w:t>
      </w:r>
    </w:p>
    <w:p w14:paraId="572951A9" w14:textId="77777777" w:rsidR="005F025D" w:rsidRPr="00953DCC" w:rsidRDefault="005F025D" w:rsidP="002C77EB">
      <w:pPr>
        <w:keepNext/>
        <w:rPr>
          <w:lang w:val="fr-FR"/>
        </w:rPr>
      </w:pPr>
    </w:p>
    <w:p w14:paraId="4B346570" w14:textId="7A9A1EB2" w:rsidR="0056301D" w:rsidRDefault="00733267" w:rsidP="005F025D">
      <w:pPr>
        <w:keepNext/>
        <w:rPr>
          <w:rFonts w:eastAsiaTheme="minorEastAsia"/>
          <w:iCs/>
          <w:lang w:val="fr-FR"/>
        </w:rPr>
      </w:pPr>
      <w:r w:rsidRPr="00953DCC">
        <w:rPr>
          <w:rFonts w:eastAsiaTheme="minorEastAsia"/>
          <w:lang w:val="fr-FR"/>
        </w:rPr>
        <w:fldChar w:fldCharType="begin"/>
      </w:r>
      <w:r w:rsidRPr="00953DCC">
        <w:rPr>
          <w:rFonts w:eastAsiaTheme="minorEastAsia"/>
          <w:lang w:val="fr-FR"/>
        </w:rPr>
        <w:instrText xml:space="preserve"> AUTONUM  </w:instrText>
      </w:r>
      <w:r w:rsidRPr="00953DCC">
        <w:rPr>
          <w:rFonts w:eastAsiaTheme="minorEastAsia"/>
          <w:lang w:val="fr-FR"/>
        </w:rPr>
        <w:fldChar w:fldCharType="end"/>
      </w:r>
      <w:r w:rsidRPr="00953DCC">
        <w:rPr>
          <w:rFonts w:eastAsiaTheme="minorEastAsia"/>
          <w:lang w:val="fr-FR"/>
        </w:rPr>
        <w:tab/>
      </w:r>
      <w:r w:rsidR="005F025D" w:rsidRPr="00953DCC">
        <w:rPr>
          <w:rFonts w:eastAsiaTheme="minorEastAsia"/>
          <w:lang w:val="fr-FR"/>
        </w:rPr>
        <w:t>À sa cinquante</w:t>
      </w:r>
      <w:r w:rsidR="00456121">
        <w:rPr>
          <w:rFonts w:eastAsiaTheme="minorEastAsia"/>
          <w:lang w:val="fr-FR"/>
        </w:rPr>
        <w:noBreakHyphen/>
      </w:r>
      <w:r w:rsidR="005F025D" w:rsidRPr="00953DCC">
        <w:rPr>
          <w:rFonts w:eastAsiaTheme="minorEastAsia"/>
          <w:lang w:val="fr-FR"/>
        </w:rPr>
        <w:t>cinqu</w:t>
      </w:r>
      <w:r w:rsidR="0056301D">
        <w:rPr>
          <w:rFonts w:eastAsiaTheme="minorEastAsia"/>
          <w:lang w:val="fr-FR"/>
        </w:rPr>
        <w:t>ième session</w:t>
      </w:r>
      <w:r w:rsidR="005F025D" w:rsidRPr="00953DCC">
        <w:rPr>
          <w:rFonts w:eastAsiaTheme="minorEastAsia"/>
          <w:lang w:val="fr-FR"/>
        </w:rPr>
        <w:t>, le</w:t>
      </w:r>
      <w:r w:rsidR="0056301D">
        <w:rPr>
          <w:rFonts w:eastAsiaTheme="minorEastAsia"/>
          <w:lang w:val="fr-FR"/>
        </w:rPr>
        <w:t> TC</w:t>
      </w:r>
      <w:r w:rsidR="005F025D" w:rsidRPr="00953DCC">
        <w:rPr>
          <w:rFonts w:eastAsiaTheme="minorEastAsia"/>
          <w:lang w:val="fr-FR"/>
        </w:rPr>
        <w:t xml:space="preserve"> est convenu avec le</w:t>
      </w:r>
      <w:r w:rsidR="00C02935" w:rsidRPr="00953DCC">
        <w:rPr>
          <w:rFonts w:eastAsiaTheme="minorEastAsia"/>
          <w:lang w:val="fr-FR"/>
        </w:rPr>
        <w:t> </w:t>
      </w:r>
      <w:r w:rsidR="005F025D" w:rsidRPr="00953DCC">
        <w:rPr>
          <w:rFonts w:eastAsiaTheme="minorEastAsia"/>
          <w:lang w:val="fr-FR"/>
        </w:rPr>
        <w:t>BMT à sa dix</w:t>
      </w:r>
      <w:r w:rsidR="00456121">
        <w:rPr>
          <w:rFonts w:eastAsiaTheme="minorEastAsia"/>
          <w:lang w:val="fr-FR"/>
        </w:rPr>
        <w:noBreakHyphen/>
      </w:r>
      <w:r w:rsidR="005F025D" w:rsidRPr="00953DCC">
        <w:rPr>
          <w:rFonts w:eastAsiaTheme="minorEastAsia"/>
          <w:lang w:val="fr-FR"/>
        </w:rPr>
        <w:t>huit</w:t>
      </w:r>
      <w:r w:rsidR="0056301D">
        <w:rPr>
          <w:rFonts w:eastAsiaTheme="minorEastAsia"/>
          <w:lang w:val="fr-FR"/>
        </w:rPr>
        <w:t>ième session</w:t>
      </w:r>
      <w:r w:rsidR="005F025D" w:rsidRPr="00953DCC">
        <w:rPr>
          <w:rFonts w:eastAsiaTheme="minorEastAsia"/>
          <w:lang w:val="fr-FR"/>
        </w:rPr>
        <w:t xml:space="preserve"> que les éléments pertinents tirés du Partenariat mondial sur les semences et la réponse à la question fréquemment posée sur l</w:t>
      </w:r>
      <w:r w:rsidR="0056301D">
        <w:rPr>
          <w:rFonts w:eastAsiaTheme="minorEastAsia"/>
          <w:lang w:val="fr-FR"/>
        </w:rPr>
        <w:t>’</w:t>
      </w:r>
      <w:r w:rsidR="005F025D" w:rsidRPr="00953DCC">
        <w:rPr>
          <w:rFonts w:eastAsiaTheme="minorEastAsia"/>
          <w:lang w:val="fr-FR"/>
        </w:rPr>
        <w:t>utilisation des techniques moléculaires dans le cadre de l</w:t>
      </w:r>
      <w:r w:rsidR="0056301D">
        <w:rPr>
          <w:rFonts w:eastAsiaTheme="minorEastAsia"/>
          <w:lang w:val="fr-FR"/>
        </w:rPr>
        <w:t>’</w:t>
      </w:r>
      <w:r w:rsidR="005F025D" w:rsidRPr="00953DCC">
        <w:rPr>
          <w:rFonts w:eastAsiaTheme="minorEastAsia"/>
          <w:lang w:val="fr-FR"/>
        </w:rPr>
        <w:t>examen</w:t>
      </w:r>
      <w:r w:rsidR="00C02935" w:rsidRPr="00953DCC">
        <w:rPr>
          <w:rFonts w:eastAsiaTheme="minorEastAsia"/>
          <w:lang w:val="fr-FR"/>
        </w:rPr>
        <w:t> </w:t>
      </w:r>
      <w:r w:rsidR="005F025D" w:rsidRPr="00953DCC">
        <w:rPr>
          <w:rFonts w:eastAsiaTheme="minorEastAsia"/>
          <w:lang w:val="fr-FR"/>
        </w:rPr>
        <w:t>DHS constitueraient une base appropriée à partir de laquelle le Bureau international pourrait, en concertation avec l</w:t>
      </w:r>
      <w:r w:rsidR="0056301D">
        <w:rPr>
          <w:rFonts w:eastAsiaTheme="minorEastAsia"/>
          <w:lang w:val="fr-FR"/>
        </w:rPr>
        <w:t>’</w:t>
      </w:r>
      <w:r w:rsidR="005F025D" w:rsidRPr="00953DCC">
        <w:rPr>
          <w:rFonts w:eastAsiaTheme="minorEastAsia"/>
          <w:lang w:val="fr-FR"/>
        </w:rPr>
        <w:t>OCDE, élaborer un projet de document commun présentant les particularités des systèmes de l</w:t>
      </w:r>
      <w:r w:rsidR="0056301D">
        <w:rPr>
          <w:rFonts w:eastAsiaTheme="minorEastAsia"/>
          <w:lang w:val="fr-FR"/>
        </w:rPr>
        <w:t>’</w:t>
      </w:r>
      <w:r w:rsidR="005F025D" w:rsidRPr="00953DCC">
        <w:rPr>
          <w:rFonts w:eastAsiaTheme="minorEastAsia"/>
          <w:lang w:val="fr-FR"/>
        </w:rPr>
        <w:t>OCDE, de l</w:t>
      </w:r>
      <w:r w:rsidR="0056301D">
        <w:rPr>
          <w:rFonts w:eastAsiaTheme="minorEastAsia"/>
          <w:lang w:val="fr-FR"/>
        </w:rPr>
        <w:t>’</w:t>
      </w:r>
      <w:r w:rsidR="005F025D" w:rsidRPr="00953DCC">
        <w:rPr>
          <w:rFonts w:eastAsiaTheme="minorEastAsia"/>
          <w:lang w:val="fr-FR"/>
        </w:rPr>
        <w:t>UPOV et de l</w:t>
      </w:r>
      <w:r w:rsidR="0056301D">
        <w:rPr>
          <w:rFonts w:eastAsiaTheme="minorEastAsia"/>
          <w:lang w:val="fr-FR"/>
        </w:rPr>
        <w:t>’</w:t>
      </w:r>
      <w:r w:rsidR="005F025D" w:rsidRPr="00953DCC">
        <w:rPr>
          <w:rFonts w:eastAsiaTheme="minorEastAsia"/>
          <w:lang w:val="fr-FR"/>
        </w:rPr>
        <w:t>ISTA (voir le paragraphe</w:t>
      </w:r>
      <w:r w:rsidR="00E9629B" w:rsidRPr="00953DCC">
        <w:rPr>
          <w:rFonts w:eastAsiaTheme="minorEastAsia"/>
          <w:lang w:val="fr-FR"/>
        </w:rPr>
        <w:t> </w:t>
      </w:r>
      <w:r w:rsidR="005F025D" w:rsidRPr="00953DCC">
        <w:rPr>
          <w:rFonts w:eastAsiaTheme="minorEastAsia"/>
          <w:lang w:val="fr-FR"/>
        </w:rPr>
        <w:t xml:space="preserve">182 du </w:t>
      </w:r>
      <w:r w:rsidR="0056301D" w:rsidRPr="00953DCC">
        <w:rPr>
          <w:rFonts w:eastAsiaTheme="minorEastAsia"/>
          <w:lang w:val="fr-FR"/>
        </w:rPr>
        <w:t>document</w:t>
      </w:r>
      <w:r w:rsidR="0056301D">
        <w:rPr>
          <w:rFonts w:eastAsiaTheme="minorEastAsia"/>
          <w:lang w:val="fr-FR"/>
        </w:rPr>
        <w:t xml:space="preserve"> TC</w:t>
      </w:r>
      <w:r w:rsidR="005F025D" w:rsidRPr="00953DCC">
        <w:rPr>
          <w:rFonts w:eastAsiaTheme="minorEastAsia"/>
          <w:lang w:val="fr-FR"/>
        </w:rPr>
        <w:t>/55/25 “Compte rendu”).</w:t>
      </w:r>
    </w:p>
    <w:p w14:paraId="572951AB" w14:textId="69E682CA" w:rsidR="005F025D" w:rsidRPr="00953DCC" w:rsidRDefault="005F025D" w:rsidP="00733267">
      <w:pPr>
        <w:rPr>
          <w:rFonts w:eastAsiaTheme="minorEastAsia"/>
          <w:lang w:val="fr-FR"/>
        </w:rPr>
      </w:pPr>
    </w:p>
    <w:p w14:paraId="572951AC" w14:textId="77777777" w:rsidR="005F025D" w:rsidRPr="00953DCC" w:rsidRDefault="005F025D" w:rsidP="0076331E">
      <w:pPr>
        <w:pStyle w:val="Heading3"/>
        <w:rPr>
          <w:rFonts w:eastAsiaTheme="minorEastAsia"/>
        </w:rPr>
      </w:pPr>
      <w:r w:rsidRPr="00953DCC">
        <w:rPr>
          <w:rFonts w:eastAsiaTheme="minorEastAsia"/>
        </w:rPr>
        <w:t>Projet de document</w:t>
      </w:r>
    </w:p>
    <w:p w14:paraId="572951AD" w14:textId="77777777" w:rsidR="005F025D" w:rsidRPr="00953DCC" w:rsidRDefault="005F025D" w:rsidP="00733267">
      <w:pPr>
        <w:keepNext/>
        <w:rPr>
          <w:rFonts w:eastAsiaTheme="minorEastAsia"/>
          <w:lang w:val="fr-FR"/>
        </w:rPr>
      </w:pPr>
    </w:p>
    <w:p w14:paraId="572951AE" w14:textId="3B7F4E98" w:rsidR="005F025D" w:rsidRPr="00953DCC" w:rsidRDefault="00733267" w:rsidP="005F025D">
      <w:pPr>
        <w:keepNext/>
        <w:rPr>
          <w:rFonts w:eastAsiaTheme="minorEastAsia"/>
          <w:lang w:val="fr-FR"/>
        </w:rPr>
      </w:pPr>
      <w:r w:rsidRPr="00953DCC">
        <w:rPr>
          <w:rFonts w:eastAsiaTheme="minorEastAsia"/>
          <w:lang w:val="fr-FR"/>
        </w:rPr>
        <w:fldChar w:fldCharType="begin"/>
      </w:r>
      <w:r w:rsidRPr="00953DCC">
        <w:rPr>
          <w:rFonts w:eastAsiaTheme="minorEastAsia"/>
          <w:lang w:val="fr-FR"/>
        </w:rPr>
        <w:instrText xml:space="preserve"> AUTONUM  </w:instrText>
      </w:r>
      <w:r w:rsidRPr="00953DCC">
        <w:rPr>
          <w:rFonts w:eastAsiaTheme="minorEastAsia"/>
          <w:lang w:val="fr-FR"/>
        </w:rPr>
        <w:fldChar w:fldCharType="end"/>
      </w:r>
      <w:r w:rsidRPr="00953DCC">
        <w:rPr>
          <w:rFonts w:eastAsiaTheme="minorEastAsia"/>
          <w:lang w:val="fr-FR"/>
        </w:rPr>
        <w:tab/>
      </w:r>
      <w:r w:rsidR="005F025D" w:rsidRPr="00953DCC">
        <w:rPr>
          <w:rFonts w:eastAsiaTheme="minorEastAsia"/>
          <w:lang w:val="fr-FR"/>
        </w:rPr>
        <w:t>À sa cinquante</w:t>
      </w:r>
      <w:r w:rsidR="00456121">
        <w:rPr>
          <w:rFonts w:eastAsiaTheme="minorEastAsia"/>
          <w:lang w:val="fr-FR"/>
        </w:rPr>
        <w:noBreakHyphen/>
      </w:r>
      <w:r w:rsidR="005F025D" w:rsidRPr="00953DCC">
        <w:rPr>
          <w:rFonts w:eastAsiaTheme="minorEastAsia"/>
          <w:lang w:val="fr-FR"/>
        </w:rPr>
        <w:t>six</w:t>
      </w:r>
      <w:r w:rsidR="0056301D">
        <w:rPr>
          <w:rFonts w:eastAsiaTheme="minorEastAsia"/>
          <w:lang w:val="fr-FR"/>
        </w:rPr>
        <w:t>ième session</w:t>
      </w:r>
      <w:r w:rsidR="005F025D" w:rsidRPr="00953DCC">
        <w:rPr>
          <w:rFonts w:eastAsiaTheme="minorEastAsia"/>
          <w:lang w:val="fr-FR"/>
        </w:rPr>
        <w:t>, le</w:t>
      </w:r>
      <w:r w:rsidR="0056301D">
        <w:rPr>
          <w:rFonts w:eastAsiaTheme="minorEastAsia"/>
          <w:lang w:val="fr-FR"/>
        </w:rPr>
        <w:t> TC</w:t>
      </w:r>
      <w:r w:rsidR="005F025D" w:rsidRPr="00953DCC">
        <w:rPr>
          <w:rFonts w:eastAsiaTheme="minorEastAsia"/>
          <w:lang w:val="fr-FR"/>
        </w:rPr>
        <w:t xml:space="preserve"> a pris note de l</w:t>
      </w:r>
      <w:r w:rsidR="0056301D">
        <w:rPr>
          <w:rFonts w:eastAsiaTheme="minorEastAsia"/>
          <w:lang w:val="fr-FR"/>
        </w:rPr>
        <w:t>’</w:t>
      </w:r>
      <w:r w:rsidR="005F025D" w:rsidRPr="00953DCC">
        <w:rPr>
          <w:rFonts w:eastAsiaTheme="minorEastAsia"/>
          <w:lang w:val="fr-FR"/>
        </w:rPr>
        <w:t>élaboration d</w:t>
      </w:r>
      <w:r w:rsidR="0056301D">
        <w:rPr>
          <w:rFonts w:eastAsiaTheme="minorEastAsia"/>
          <w:lang w:val="fr-FR"/>
        </w:rPr>
        <w:t>’</w:t>
      </w:r>
      <w:r w:rsidR="005F025D" w:rsidRPr="00953DCC">
        <w:rPr>
          <w:rFonts w:eastAsiaTheme="minorEastAsia"/>
          <w:lang w:val="fr-FR"/>
        </w:rPr>
        <w:t>un document commun présentant les particularités des systèmes de l</w:t>
      </w:r>
      <w:r w:rsidR="0056301D">
        <w:rPr>
          <w:rFonts w:eastAsiaTheme="minorEastAsia"/>
          <w:lang w:val="fr-FR"/>
        </w:rPr>
        <w:t>’</w:t>
      </w:r>
      <w:r w:rsidR="005F025D" w:rsidRPr="00953DCC">
        <w:rPr>
          <w:rFonts w:eastAsiaTheme="minorEastAsia"/>
          <w:lang w:val="fr-FR"/>
        </w:rPr>
        <w:t>OCDE, de l</w:t>
      </w:r>
      <w:r w:rsidR="0056301D">
        <w:rPr>
          <w:rFonts w:eastAsiaTheme="minorEastAsia"/>
          <w:lang w:val="fr-FR"/>
        </w:rPr>
        <w:t>’</w:t>
      </w:r>
      <w:r w:rsidR="005F025D" w:rsidRPr="00953DCC">
        <w:rPr>
          <w:rFonts w:eastAsiaTheme="minorEastAsia"/>
          <w:lang w:val="fr-FR"/>
        </w:rPr>
        <w:t>UPOV et de l</w:t>
      </w:r>
      <w:r w:rsidR="0056301D">
        <w:rPr>
          <w:rFonts w:eastAsiaTheme="minorEastAsia"/>
          <w:lang w:val="fr-FR"/>
        </w:rPr>
        <w:t>’</w:t>
      </w:r>
      <w:r w:rsidR="005F025D" w:rsidRPr="00953DCC">
        <w:rPr>
          <w:rFonts w:eastAsiaTheme="minorEastAsia"/>
          <w:lang w:val="fr-FR"/>
        </w:rPr>
        <w:t>ISTA en vue de proposer un projet de document commun pour examen par le</w:t>
      </w:r>
      <w:r w:rsidR="0056301D">
        <w:rPr>
          <w:rFonts w:eastAsiaTheme="minorEastAsia"/>
          <w:lang w:val="fr-FR"/>
        </w:rPr>
        <w:t> TC</w:t>
      </w:r>
      <w:r w:rsidR="005F025D" w:rsidRPr="00953DCC">
        <w:rPr>
          <w:rFonts w:eastAsiaTheme="minorEastAsia"/>
          <w:lang w:val="fr-FR"/>
        </w:rPr>
        <w:t xml:space="preserve"> à sa cinquante</w:t>
      </w:r>
      <w:r w:rsidR="00456121">
        <w:rPr>
          <w:rFonts w:eastAsiaTheme="minorEastAsia"/>
          <w:lang w:val="fr-FR"/>
        </w:rPr>
        <w:noBreakHyphen/>
      </w:r>
      <w:r w:rsidR="005F025D" w:rsidRPr="00953DCC">
        <w:rPr>
          <w:rFonts w:eastAsiaTheme="minorEastAsia"/>
          <w:lang w:val="fr-FR"/>
        </w:rPr>
        <w:t>sept</w:t>
      </w:r>
      <w:r w:rsidR="0056301D">
        <w:rPr>
          <w:rFonts w:eastAsiaTheme="minorEastAsia"/>
          <w:lang w:val="fr-FR"/>
        </w:rPr>
        <w:t>ième session</w:t>
      </w:r>
      <w:r w:rsidR="005F025D" w:rsidRPr="00953DCC">
        <w:rPr>
          <w:rFonts w:eastAsiaTheme="minorEastAsia"/>
          <w:lang w:val="fr-FR"/>
        </w:rPr>
        <w:t xml:space="preserve"> (voir les paragraphes</w:t>
      </w:r>
      <w:r w:rsidR="00DA310B" w:rsidRPr="00953DCC">
        <w:rPr>
          <w:rFonts w:eastAsiaTheme="minorEastAsia"/>
          <w:lang w:val="fr-FR"/>
        </w:rPr>
        <w:t> </w:t>
      </w:r>
      <w:r w:rsidR="005F025D" w:rsidRPr="00953DCC">
        <w:rPr>
          <w:rFonts w:eastAsiaTheme="minorEastAsia"/>
          <w:lang w:val="fr-FR"/>
        </w:rPr>
        <w:t xml:space="preserve">50 et 51 du </w:t>
      </w:r>
      <w:r w:rsidR="0056301D" w:rsidRPr="00953DCC">
        <w:rPr>
          <w:rFonts w:eastAsiaTheme="minorEastAsia"/>
          <w:lang w:val="fr-FR"/>
        </w:rPr>
        <w:t>document</w:t>
      </w:r>
      <w:r w:rsidR="0056301D">
        <w:rPr>
          <w:rFonts w:eastAsiaTheme="minorEastAsia"/>
          <w:lang w:val="fr-FR"/>
        </w:rPr>
        <w:t xml:space="preserve"> TC</w:t>
      </w:r>
      <w:r w:rsidR="005F025D" w:rsidRPr="00953DCC">
        <w:rPr>
          <w:rFonts w:eastAsiaTheme="minorEastAsia"/>
          <w:lang w:val="fr-FR"/>
        </w:rPr>
        <w:t>/56/23 “Compte rendu”).</w:t>
      </w:r>
    </w:p>
    <w:p w14:paraId="572951AF" w14:textId="77777777" w:rsidR="005F025D" w:rsidRPr="00953DCC" w:rsidRDefault="005F025D" w:rsidP="00733267">
      <w:pPr>
        <w:rPr>
          <w:rFonts w:eastAsiaTheme="minorEastAsia"/>
          <w:lang w:val="fr-FR"/>
        </w:rPr>
      </w:pPr>
    </w:p>
    <w:p w14:paraId="572951B0" w14:textId="6F9A4CEA" w:rsidR="005F025D" w:rsidRPr="00953DCC" w:rsidRDefault="007E07ED" w:rsidP="005F025D">
      <w:pPr>
        <w:rPr>
          <w:rFonts w:eastAsiaTheme="minorEastAsia"/>
          <w:lang w:val="fr-FR"/>
        </w:rPr>
      </w:pPr>
      <w:r w:rsidRPr="00953DCC">
        <w:rPr>
          <w:rFonts w:eastAsiaTheme="minorEastAsia"/>
          <w:lang w:val="fr-FR"/>
        </w:rPr>
        <w:fldChar w:fldCharType="begin"/>
      </w:r>
      <w:r w:rsidRPr="00953DCC">
        <w:rPr>
          <w:rFonts w:eastAsiaTheme="minorEastAsia"/>
          <w:lang w:val="fr-FR"/>
        </w:rPr>
        <w:instrText xml:space="preserve"> AUTONUM  </w:instrText>
      </w:r>
      <w:r w:rsidRPr="00953DCC">
        <w:rPr>
          <w:rFonts w:eastAsiaTheme="minorEastAsia"/>
          <w:lang w:val="fr-FR"/>
        </w:rPr>
        <w:fldChar w:fldCharType="end"/>
      </w:r>
      <w:r w:rsidRPr="00953DCC">
        <w:rPr>
          <w:rFonts w:eastAsiaTheme="minorEastAsia"/>
          <w:lang w:val="fr-FR"/>
        </w:rPr>
        <w:tab/>
      </w:r>
      <w:r w:rsidR="005F025D" w:rsidRPr="00953DCC">
        <w:rPr>
          <w:rFonts w:eastAsiaTheme="minorEastAsia"/>
          <w:lang w:val="fr-FR"/>
        </w:rPr>
        <w:t>Le</w:t>
      </w:r>
      <w:r w:rsidR="0056301D">
        <w:rPr>
          <w:rFonts w:eastAsiaTheme="minorEastAsia"/>
          <w:lang w:val="fr-FR"/>
        </w:rPr>
        <w:t> TC</w:t>
      </w:r>
      <w:r w:rsidR="005F025D" w:rsidRPr="00953DCC">
        <w:rPr>
          <w:rFonts w:eastAsiaTheme="minorEastAsia"/>
          <w:lang w:val="fr-FR"/>
        </w:rPr>
        <w:t xml:space="preserve"> note que le document commun fournira des informations sur l</w:t>
      </w:r>
      <w:r w:rsidR="0056301D">
        <w:rPr>
          <w:rFonts w:eastAsiaTheme="minorEastAsia"/>
          <w:lang w:val="fr-FR"/>
        </w:rPr>
        <w:t>’</w:t>
      </w:r>
      <w:r w:rsidR="005F025D" w:rsidRPr="00953DCC">
        <w:rPr>
          <w:rFonts w:eastAsiaTheme="minorEastAsia"/>
          <w:lang w:val="fr-FR"/>
        </w:rPr>
        <w:t>état des techniques moléculaires pour chaque organisati</w:t>
      </w:r>
      <w:r w:rsidR="0011329B" w:rsidRPr="00953DCC">
        <w:rPr>
          <w:rFonts w:eastAsiaTheme="minorEastAsia"/>
          <w:lang w:val="fr-FR"/>
        </w:rPr>
        <w:t>on</w:t>
      </w:r>
      <w:r w:rsidR="0011329B">
        <w:rPr>
          <w:rFonts w:eastAsiaTheme="minorEastAsia"/>
          <w:lang w:val="fr-FR"/>
        </w:rPr>
        <w:t xml:space="preserve">.  </w:t>
      </w:r>
      <w:r w:rsidR="0011329B" w:rsidRPr="00953DCC">
        <w:rPr>
          <w:rFonts w:eastAsiaTheme="minorEastAsia"/>
          <w:lang w:val="fr-FR"/>
        </w:rPr>
        <w:t>Le</w:t>
      </w:r>
      <w:r w:rsidR="006771C9" w:rsidRPr="00953DCC">
        <w:rPr>
          <w:rFonts w:eastAsiaTheme="minorEastAsia"/>
          <w:lang w:val="fr-FR"/>
        </w:rPr>
        <w:t>s éléments d</w:t>
      </w:r>
      <w:r w:rsidR="0056301D">
        <w:rPr>
          <w:rFonts w:eastAsiaTheme="minorEastAsia"/>
          <w:lang w:val="fr-FR"/>
        </w:rPr>
        <w:t>’</w:t>
      </w:r>
      <w:r w:rsidR="006771C9" w:rsidRPr="00953DCC">
        <w:rPr>
          <w:rFonts w:eastAsiaTheme="minorEastAsia"/>
          <w:lang w:val="fr-FR"/>
        </w:rPr>
        <w:t>un projet de document commun sont présentés à l</w:t>
      </w:r>
      <w:r w:rsidR="0056301D">
        <w:rPr>
          <w:rFonts w:eastAsiaTheme="minorEastAsia"/>
          <w:lang w:val="fr-FR"/>
        </w:rPr>
        <w:t>’</w:t>
      </w:r>
      <w:r w:rsidR="006771C9" w:rsidRPr="00953DCC">
        <w:rPr>
          <w:rFonts w:eastAsiaTheme="minorEastAsia"/>
          <w:lang w:val="fr-FR"/>
        </w:rPr>
        <w:t>annexe</w:t>
      </w:r>
      <w:r w:rsidR="000772DC" w:rsidRPr="00953DCC">
        <w:rPr>
          <w:rFonts w:eastAsiaTheme="minorEastAsia"/>
          <w:lang w:val="fr-FR"/>
        </w:rPr>
        <w:t> </w:t>
      </w:r>
      <w:r w:rsidR="006771C9" w:rsidRPr="00953DCC">
        <w:rPr>
          <w:rFonts w:eastAsiaTheme="minorEastAsia"/>
          <w:lang w:val="fr-FR"/>
        </w:rPr>
        <w:t>I de ce document.</w:t>
      </w:r>
    </w:p>
    <w:p w14:paraId="572951B1" w14:textId="77777777" w:rsidR="005F025D" w:rsidRPr="00953DCC" w:rsidRDefault="005F025D" w:rsidP="00733267">
      <w:pPr>
        <w:rPr>
          <w:rFonts w:eastAsiaTheme="minorEastAsia"/>
          <w:lang w:val="fr-FR"/>
        </w:rPr>
      </w:pPr>
    </w:p>
    <w:p w14:paraId="572951B2" w14:textId="10F0A5A0" w:rsidR="005F025D" w:rsidRPr="00953DCC" w:rsidRDefault="0027540F" w:rsidP="0027540F">
      <w:pPr>
        <w:keepNext/>
        <w:rPr>
          <w:rFonts w:eastAsiaTheme="minorEastAsia"/>
          <w:lang w:val="fr-FR"/>
        </w:rPr>
      </w:pPr>
      <w:r w:rsidRPr="00953DCC">
        <w:rPr>
          <w:lang w:val="fr-FR"/>
        </w:rPr>
        <w:fldChar w:fldCharType="begin"/>
      </w:r>
      <w:r w:rsidRPr="00953DCC">
        <w:rPr>
          <w:lang w:val="fr-FR"/>
        </w:rPr>
        <w:instrText xml:space="preserve"> AUTONUM  </w:instrText>
      </w:r>
      <w:r w:rsidRPr="00953DCC">
        <w:rPr>
          <w:lang w:val="fr-FR"/>
        </w:rPr>
        <w:fldChar w:fldCharType="end"/>
      </w:r>
      <w:r w:rsidRPr="00953DCC">
        <w:rPr>
          <w:lang w:val="fr-FR"/>
        </w:rPr>
        <w:tab/>
      </w:r>
      <w:r w:rsidR="000772DC" w:rsidRPr="00953DCC">
        <w:rPr>
          <w:lang w:val="fr-FR"/>
        </w:rPr>
        <w:t xml:space="preserve">Un </w:t>
      </w:r>
      <w:r w:rsidR="000772DC" w:rsidRPr="00953DCC">
        <w:rPr>
          <w:rFonts w:eastAsiaTheme="minorEastAsia"/>
          <w:lang w:val="fr-FR"/>
        </w:rPr>
        <w:t>document commun présentant les particularités des systèmes de l</w:t>
      </w:r>
      <w:r w:rsidR="0056301D">
        <w:rPr>
          <w:rFonts w:eastAsiaTheme="minorEastAsia"/>
          <w:lang w:val="fr-FR"/>
        </w:rPr>
        <w:t>’</w:t>
      </w:r>
      <w:r w:rsidR="000772DC" w:rsidRPr="00953DCC">
        <w:rPr>
          <w:rFonts w:eastAsiaTheme="minorEastAsia"/>
          <w:lang w:val="fr-FR"/>
        </w:rPr>
        <w:t>OCDE, de l</w:t>
      </w:r>
      <w:r w:rsidR="0056301D">
        <w:rPr>
          <w:rFonts w:eastAsiaTheme="minorEastAsia"/>
          <w:lang w:val="fr-FR"/>
        </w:rPr>
        <w:t>’</w:t>
      </w:r>
      <w:r w:rsidR="000772DC" w:rsidRPr="00953DCC">
        <w:rPr>
          <w:rFonts w:eastAsiaTheme="minorEastAsia"/>
          <w:lang w:val="fr-FR"/>
        </w:rPr>
        <w:t>UPOV et de l</w:t>
      </w:r>
      <w:r w:rsidR="0056301D">
        <w:rPr>
          <w:rFonts w:eastAsiaTheme="minorEastAsia"/>
          <w:lang w:val="fr-FR"/>
        </w:rPr>
        <w:t>’</w:t>
      </w:r>
      <w:r w:rsidR="000772DC" w:rsidRPr="00953DCC">
        <w:rPr>
          <w:rFonts w:eastAsiaTheme="minorEastAsia"/>
          <w:lang w:val="fr-FR"/>
        </w:rPr>
        <w:t>ISTA sera présenté pour examen par le</w:t>
      </w:r>
      <w:r w:rsidR="0056301D">
        <w:rPr>
          <w:rFonts w:eastAsiaTheme="minorEastAsia"/>
          <w:lang w:val="fr-FR"/>
        </w:rPr>
        <w:t> TC</w:t>
      </w:r>
      <w:r w:rsidR="000772DC" w:rsidRPr="00953DCC">
        <w:rPr>
          <w:rFonts w:eastAsiaTheme="minorEastAsia"/>
          <w:lang w:val="fr-FR"/>
        </w:rPr>
        <w:t>, à sa cinquante</w:t>
      </w:r>
      <w:r w:rsidR="00456121">
        <w:rPr>
          <w:rFonts w:eastAsiaTheme="minorEastAsia"/>
          <w:lang w:val="fr-FR"/>
        </w:rPr>
        <w:noBreakHyphen/>
      </w:r>
      <w:r w:rsidR="000772DC" w:rsidRPr="00953DCC">
        <w:rPr>
          <w:rFonts w:eastAsiaTheme="minorEastAsia"/>
          <w:lang w:val="fr-FR"/>
        </w:rPr>
        <w:t>sept</w:t>
      </w:r>
      <w:r w:rsidR="0056301D">
        <w:rPr>
          <w:rFonts w:eastAsiaTheme="minorEastAsia"/>
          <w:lang w:val="fr-FR"/>
        </w:rPr>
        <w:t>ième session</w:t>
      </w:r>
      <w:r w:rsidR="000772DC" w:rsidRPr="00953DCC">
        <w:rPr>
          <w:rFonts w:eastAsiaTheme="minorEastAsia"/>
          <w:lang w:val="fr-FR"/>
        </w:rPr>
        <w:t>, pour approbati</w:t>
      </w:r>
      <w:r w:rsidR="0011329B" w:rsidRPr="00953DCC">
        <w:rPr>
          <w:rFonts w:eastAsiaTheme="minorEastAsia"/>
          <w:lang w:val="fr-FR"/>
        </w:rPr>
        <w:t>on</w:t>
      </w:r>
      <w:r w:rsidR="0011329B">
        <w:rPr>
          <w:rFonts w:eastAsiaTheme="minorEastAsia"/>
          <w:lang w:val="fr-FR"/>
        </w:rPr>
        <w:t xml:space="preserve">.  </w:t>
      </w:r>
      <w:r w:rsidR="0011329B" w:rsidRPr="00953DCC">
        <w:rPr>
          <w:rFonts w:eastAsiaTheme="minorEastAsia"/>
          <w:lang w:val="fr-FR"/>
        </w:rPr>
        <w:t>So</w:t>
      </w:r>
      <w:r w:rsidR="0031625E" w:rsidRPr="00953DCC">
        <w:rPr>
          <w:rFonts w:eastAsiaTheme="minorEastAsia"/>
          <w:lang w:val="fr-FR"/>
        </w:rPr>
        <w:t>us réserve de l</w:t>
      </w:r>
      <w:r w:rsidR="0056301D">
        <w:rPr>
          <w:rFonts w:eastAsiaTheme="minorEastAsia"/>
          <w:lang w:val="fr-FR"/>
        </w:rPr>
        <w:t>’</w:t>
      </w:r>
      <w:r w:rsidR="0031625E" w:rsidRPr="00953DCC">
        <w:rPr>
          <w:rFonts w:eastAsiaTheme="minorEastAsia"/>
          <w:lang w:val="fr-FR"/>
        </w:rPr>
        <w:t>approbation du projet de document commun par le</w:t>
      </w:r>
      <w:r w:rsidR="0056301D">
        <w:rPr>
          <w:rFonts w:eastAsiaTheme="minorEastAsia"/>
          <w:lang w:val="fr-FR"/>
        </w:rPr>
        <w:t> TC</w:t>
      </w:r>
      <w:r w:rsidR="0031625E" w:rsidRPr="00953DCC">
        <w:rPr>
          <w:rFonts w:eastAsiaTheme="minorEastAsia"/>
          <w:lang w:val="fr-FR"/>
        </w:rPr>
        <w:t>, celui</w:t>
      </w:r>
      <w:r w:rsidR="00456121">
        <w:rPr>
          <w:rFonts w:eastAsiaTheme="minorEastAsia"/>
          <w:lang w:val="fr-FR"/>
        </w:rPr>
        <w:noBreakHyphen/>
      </w:r>
      <w:r w:rsidR="0031625E" w:rsidRPr="00953DCC">
        <w:rPr>
          <w:rFonts w:eastAsiaTheme="minorEastAsia"/>
          <w:lang w:val="fr-FR"/>
        </w:rPr>
        <w:t>ci sera invité à demander au Bureau de l</w:t>
      </w:r>
      <w:r w:rsidR="0056301D">
        <w:rPr>
          <w:rFonts w:eastAsiaTheme="minorEastAsia"/>
          <w:lang w:val="fr-FR"/>
        </w:rPr>
        <w:t>’</w:t>
      </w:r>
      <w:r w:rsidR="0031625E" w:rsidRPr="00953DCC">
        <w:rPr>
          <w:rFonts w:eastAsiaTheme="minorEastAsia"/>
          <w:lang w:val="fr-FR"/>
        </w:rPr>
        <w:t>Union d</w:t>
      </w:r>
      <w:r w:rsidR="0056301D">
        <w:rPr>
          <w:rFonts w:eastAsiaTheme="minorEastAsia"/>
          <w:lang w:val="fr-FR"/>
        </w:rPr>
        <w:t>’</w:t>
      </w:r>
      <w:r w:rsidR="0031625E" w:rsidRPr="00953DCC">
        <w:rPr>
          <w:rFonts w:eastAsiaTheme="minorEastAsia"/>
          <w:lang w:val="fr-FR"/>
        </w:rPr>
        <w:t>en informer l</w:t>
      </w:r>
      <w:r w:rsidR="0056301D">
        <w:rPr>
          <w:rFonts w:eastAsiaTheme="minorEastAsia"/>
          <w:lang w:val="fr-FR"/>
        </w:rPr>
        <w:t>’</w:t>
      </w:r>
      <w:r w:rsidR="0031625E" w:rsidRPr="00953DCC">
        <w:rPr>
          <w:rFonts w:eastAsiaTheme="minorEastAsia"/>
          <w:lang w:val="fr-FR"/>
        </w:rPr>
        <w:t>OCDE et l</w:t>
      </w:r>
      <w:r w:rsidR="0056301D">
        <w:rPr>
          <w:rFonts w:eastAsiaTheme="minorEastAsia"/>
          <w:lang w:val="fr-FR"/>
        </w:rPr>
        <w:t>’</w:t>
      </w:r>
      <w:r w:rsidR="0031625E" w:rsidRPr="00953DCC">
        <w:rPr>
          <w:rFonts w:eastAsiaTheme="minorEastAsia"/>
          <w:lang w:val="fr-FR"/>
        </w:rPr>
        <w:t>ISTA.</w:t>
      </w:r>
    </w:p>
    <w:p w14:paraId="572951B3" w14:textId="77777777" w:rsidR="005F025D" w:rsidRPr="00953DCC" w:rsidRDefault="005F025D" w:rsidP="008E521A">
      <w:pPr>
        <w:rPr>
          <w:rFonts w:eastAsiaTheme="minorEastAsia"/>
          <w:lang w:val="fr-FR"/>
        </w:rPr>
      </w:pPr>
    </w:p>
    <w:p w14:paraId="572951B4" w14:textId="77777777" w:rsidR="005F025D" w:rsidRPr="00953DCC" w:rsidRDefault="005F025D" w:rsidP="008E521A">
      <w:pPr>
        <w:rPr>
          <w:rFonts w:eastAsiaTheme="minorEastAsia"/>
          <w:lang w:val="fr-FR"/>
        </w:rPr>
      </w:pPr>
    </w:p>
    <w:p w14:paraId="572951B5" w14:textId="5E8F21C9" w:rsidR="005F025D" w:rsidRPr="00953DCC" w:rsidRDefault="005F025D" w:rsidP="00781996">
      <w:pPr>
        <w:pStyle w:val="Heading2"/>
      </w:pPr>
      <w:bookmarkStart w:id="14" w:name="_Toc86312883"/>
      <w:r w:rsidRPr="00953DCC">
        <w:t>Inventaire, par plante, de l</w:t>
      </w:r>
      <w:r w:rsidR="0056301D">
        <w:t>’</w:t>
      </w:r>
      <w:r w:rsidRPr="00953DCC">
        <w:t>utilisation des techniques faisant intervenir des marqueurs moléculaires</w:t>
      </w:r>
      <w:bookmarkEnd w:id="14"/>
    </w:p>
    <w:p w14:paraId="572951B6" w14:textId="77777777" w:rsidR="005F025D" w:rsidRPr="00953DCC" w:rsidRDefault="005F025D" w:rsidP="00D14394">
      <w:pPr>
        <w:rPr>
          <w:rFonts w:eastAsiaTheme="minorEastAsia"/>
          <w:lang w:val="fr-FR"/>
        </w:rPr>
      </w:pPr>
      <w:bookmarkStart w:id="15" w:name="_Toc15295342"/>
      <w:bookmarkStart w:id="16" w:name="_Toc22564625"/>
      <w:bookmarkStart w:id="17" w:name="_Toc27663379"/>
    </w:p>
    <w:p w14:paraId="572951B7" w14:textId="77777777" w:rsidR="005F025D" w:rsidRPr="00953DCC" w:rsidRDefault="005F025D" w:rsidP="0076331E">
      <w:pPr>
        <w:pStyle w:val="Heading3"/>
      </w:pPr>
      <w:r w:rsidRPr="00953DCC">
        <w:t>Informations générales</w:t>
      </w:r>
    </w:p>
    <w:p w14:paraId="572951B8" w14:textId="77777777" w:rsidR="005F025D" w:rsidRPr="00953DCC" w:rsidRDefault="005F025D" w:rsidP="00D14394">
      <w:pPr>
        <w:rPr>
          <w:lang w:val="fr-FR"/>
        </w:rPr>
      </w:pPr>
    </w:p>
    <w:p w14:paraId="174F7EDE" w14:textId="562D4FE7" w:rsidR="0056301D" w:rsidRDefault="00D14394" w:rsidP="005F025D">
      <w:pPr>
        <w:keepLines/>
        <w:rPr>
          <w:lang w:val="fr-FR"/>
        </w:rPr>
      </w:pPr>
      <w:r w:rsidRPr="00953DCC">
        <w:rPr>
          <w:lang w:val="fr-FR"/>
        </w:rPr>
        <w:fldChar w:fldCharType="begin"/>
      </w:r>
      <w:r w:rsidRPr="00953DCC">
        <w:rPr>
          <w:lang w:val="fr-FR"/>
        </w:rPr>
        <w:instrText xml:space="preserve"> AUTONUM  </w:instrText>
      </w:r>
      <w:r w:rsidRPr="00953DCC">
        <w:rPr>
          <w:lang w:val="fr-FR"/>
        </w:rPr>
        <w:fldChar w:fldCharType="end"/>
      </w:r>
      <w:r w:rsidRPr="00953DCC">
        <w:rPr>
          <w:lang w:val="fr-FR"/>
        </w:rPr>
        <w:tab/>
      </w:r>
      <w:r w:rsidR="005F025D" w:rsidRPr="00953DCC">
        <w:rPr>
          <w:lang w:val="fr-FR"/>
        </w:rPr>
        <w:t>Le</w:t>
      </w:r>
      <w:r w:rsidR="0056301D">
        <w:rPr>
          <w:lang w:val="fr-FR"/>
        </w:rPr>
        <w:t> TC</w:t>
      </w:r>
      <w:r w:rsidR="005F025D" w:rsidRPr="00953DCC">
        <w:rPr>
          <w:lang w:val="fr-FR"/>
        </w:rPr>
        <w:t xml:space="preserve"> a décidé de diffuser une circulaire visant à inviter les membres de l</w:t>
      </w:r>
      <w:r w:rsidR="0056301D">
        <w:rPr>
          <w:lang w:val="fr-FR"/>
        </w:rPr>
        <w:t>’</w:t>
      </w:r>
      <w:r w:rsidR="005F025D" w:rsidRPr="00953DCC">
        <w:rPr>
          <w:lang w:val="fr-FR"/>
        </w:rPr>
        <w:t>Union à répondre à un questionnaire afin de dresser un inventaire, par plante, de l</w:t>
      </w:r>
      <w:r w:rsidR="0056301D">
        <w:rPr>
          <w:lang w:val="fr-FR"/>
        </w:rPr>
        <w:t>’</w:t>
      </w:r>
      <w:r w:rsidR="005F025D" w:rsidRPr="00953DCC">
        <w:rPr>
          <w:lang w:val="fr-FR"/>
        </w:rPr>
        <w:t>utilisation des techniques faisant intervenir des marqueurs moléculaires, en concertation avec l</w:t>
      </w:r>
      <w:r w:rsidR="0056301D">
        <w:rPr>
          <w:lang w:val="fr-FR"/>
        </w:rPr>
        <w:t>’</w:t>
      </w:r>
      <w:r w:rsidR="005F025D" w:rsidRPr="00953DCC">
        <w:rPr>
          <w:lang w:val="fr-FR"/>
        </w:rPr>
        <w:t>OCDE.</w:t>
      </w:r>
    </w:p>
    <w:p w14:paraId="572951BA" w14:textId="5F6DEDFA" w:rsidR="005F025D" w:rsidRPr="00953DCC" w:rsidRDefault="005F025D" w:rsidP="007E07ED">
      <w:pPr>
        <w:keepLines/>
        <w:rPr>
          <w:lang w:val="fr-FR"/>
        </w:rPr>
      </w:pPr>
    </w:p>
    <w:p w14:paraId="572951BB" w14:textId="4C2B2432" w:rsidR="005F025D" w:rsidRPr="00953DCC" w:rsidRDefault="001C36BF" w:rsidP="0076331E">
      <w:pPr>
        <w:pStyle w:val="Heading3"/>
      </w:pPr>
      <w:r w:rsidRPr="00953DCC">
        <w:t>Les résultats de l</w:t>
      </w:r>
      <w:r w:rsidR="0056301D">
        <w:t>’</w:t>
      </w:r>
      <w:r w:rsidRPr="00953DCC">
        <w:t>enquête</w:t>
      </w:r>
    </w:p>
    <w:p w14:paraId="572951BC" w14:textId="77777777" w:rsidR="005F025D" w:rsidRPr="00953DCC" w:rsidRDefault="005F025D" w:rsidP="00D14394">
      <w:pPr>
        <w:rPr>
          <w:lang w:val="fr-FR"/>
        </w:rPr>
      </w:pPr>
    </w:p>
    <w:p w14:paraId="572951BD" w14:textId="30A01740" w:rsidR="005F025D" w:rsidRPr="00953DCC" w:rsidRDefault="00F251E0" w:rsidP="00D14394">
      <w:pPr>
        <w:rPr>
          <w:lang w:val="fr-FR"/>
        </w:rPr>
      </w:pPr>
      <w:r w:rsidRPr="00953DCC">
        <w:rPr>
          <w:lang w:val="fr-FR"/>
        </w:rPr>
        <w:fldChar w:fldCharType="begin"/>
      </w:r>
      <w:r w:rsidRPr="00953DCC">
        <w:rPr>
          <w:lang w:val="fr-FR"/>
        </w:rPr>
        <w:instrText xml:space="preserve"> AUTONUM  </w:instrText>
      </w:r>
      <w:r w:rsidRPr="00953DCC">
        <w:rPr>
          <w:lang w:val="fr-FR"/>
        </w:rPr>
        <w:fldChar w:fldCharType="end"/>
      </w:r>
      <w:r w:rsidRPr="00953DCC">
        <w:rPr>
          <w:lang w:val="fr-FR"/>
        </w:rPr>
        <w:tab/>
      </w:r>
      <w:r w:rsidR="004A1B21" w:rsidRPr="00953DCC">
        <w:rPr>
          <w:lang w:val="fr-FR"/>
        </w:rPr>
        <w:t>Le Bureau de l</w:t>
      </w:r>
      <w:r w:rsidR="0056301D">
        <w:rPr>
          <w:lang w:val="fr-FR"/>
        </w:rPr>
        <w:t>’</w:t>
      </w:r>
      <w:r w:rsidR="004A1B21" w:rsidRPr="00953DCC">
        <w:rPr>
          <w:lang w:val="fr-FR"/>
        </w:rPr>
        <w:t>UPOV a consulté les systèmes de semences de l</w:t>
      </w:r>
      <w:r w:rsidR="0056301D">
        <w:rPr>
          <w:lang w:val="fr-FR"/>
        </w:rPr>
        <w:t>’</w:t>
      </w:r>
      <w:r w:rsidR="004A1B21" w:rsidRPr="00953DCC">
        <w:rPr>
          <w:lang w:val="fr-FR"/>
        </w:rPr>
        <w:t>OCDE concernant l</w:t>
      </w:r>
      <w:r w:rsidR="0056301D">
        <w:rPr>
          <w:lang w:val="fr-FR"/>
        </w:rPr>
        <w:t>’</w:t>
      </w:r>
      <w:r w:rsidR="004A1B21" w:rsidRPr="00953DCC">
        <w:rPr>
          <w:lang w:val="fr-FR"/>
        </w:rPr>
        <w:t>organisation de l</w:t>
      </w:r>
      <w:r w:rsidR="0056301D">
        <w:rPr>
          <w:lang w:val="fr-FR"/>
        </w:rPr>
        <w:t>’</w:t>
      </w:r>
      <w:r w:rsidR="004A1B21" w:rsidRPr="00953DCC">
        <w:rPr>
          <w:lang w:val="fr-FR"/>
        </w:rPr>
        <w:t>enquête et les prochaines étapes possibles.</w:t>
      </w:r>
    </w:p>
    <w:p w14:paraId="572951BE" w14:textId="77777777" w:rsidR="005F025D" w:rsidRPr="00953DCC" w:rsidRDefault="005F025D" w:rsidP="00D14394">
      <w:pPr>
        <w:rPr>
          <w:lang w:val="fr-FR"/>
        </w:rPr>
      </w:pPr>
    </w:p>
    <w:p w14:paraId="572951BF" w14:textId="7A8E2F9F" w:rsidR="005F025D" w:rsidRPr="00953DCC" w:rsidRDefault="00923D81" w:rsidP="00923D81">
      <w:pPr>
        <w:rPr>
          <w:lang w:val="fr-FR"/>
        </w:rPr>
      </w:pPr>
      <w:r w:rsidRPr="00953DCC">
        <w:rPr>
          <w:lang w:val="fr-FR"/>
        </w:rPr>
        <w:fldChar w:fldCharType="begin"/>
      </w:r>
      <w:r w:rsidRPr="00953DCC">
        <w:rPr>
          <w:lang w:val="fr-FR"/>
        </w:rPr>
        <w:instrText xml:space="preserve"> AUTONUM  </w:instrText>
      </w:r>
      <w:r w:rsidRPr="00953DCC">
        <w:rPr>
          <w:lang w:val="fr-FR"/>
        </w:rPr>
        <w:fldChar w:fldCharType="end"/>
      </w:r>
      <w:r w:rsidRPr="00953DCC">
        <w:rPr>
          <w:lang w:val="fr-FR"/>
        </w:rPr>
        <w:tab/>
      </w:r>
      <w:r w:rsidR="00FE5E99" w:rsidRPr="00953DCC">
        <w:rPr>
          <w:lang w:val="fr-FR"/>
        </w:rPr>
        <w:t>Après consultation de l</w:t>
      </w:r>
      <w:r w:rsidR="0056301D">
        <w:rPr>
          <w:lang w:val="fr-FR"/>
        </w:rPr>
        <w:t>’</w:t>
      </w:r>
      <w:r w:rsidR="00FE5E99" w:rsidRPr="00953DCC">
        <w:rPr>
          <w:lang w:val="fr-FR"/>
        </w:rPr>
        <w:t>OCDE, le Bureau de l</w:t>
      </w:r>
      <w:r w:rsidR="0056301D">
        <w:rPr>
          <w:lang w:val="fr-FR"/>
        </w:rPr>
        <w:t>’</w:t>
      </w:r>
      <w:r w:rsidR="00FE5E99" w:rsidRPr="00953DCC">
        <w:rPr>
          <w:lang w:val="fr-FR"/>
        </w:rPr>
        <w:t>Union a diffusé la circulaire E</w:t>
      </w:r>
      <w:r w:rsidR="00456121">
        <w:rPr>
          <w:lang w:val="fr-FR"/>
        </w:rPr>
        <w:noBreakHyphen/>
      </w:r>
      <w:r w:rsidR="00FE5E99" w:rsidRPr="00953DCC">
        <w:rPr>
          <w:lang w:val="fr-FR"/>
        </w:rPr>
        <w:t>20/189 le 16 octobre 2020, invitant les membres à répondre au questionnaire sur l</w:t>
      </w:r>
      <w:r w:rsidR="0056301D">
        <w:rPr>
          <w:lang w:val="fr-FR"/>
        </w:rPr>
        <w:t>’</w:t>
      </w:r>
      <w:r w:rsidR="00FE5E99" w:rsidRPr="00953DCC">
        <w:rPr>
          <w:lang w:val="fr-FR"/>
        </w:rPr>
        <w:t>utilisation de techniques faisant intervenir des marqueurs moléculaires, d</w:t>
      </w:r>
      <w:r w:rsidR="0056301D">
        <w:rPr>
          <w:lang w:val="fr-FR"/>
        </w:rPr>
        <w:t>’</w:t>
      </w:r>
      <w:r w:rsidR="00FE5E99" w:rsidRPr="00953DCC">
        <w:rPr>
          <w:lang w:val="fr-FR"/>
        </w:rPr>
        <w:t>ici au 15</w:t>
      </w:r>
      <w:r w:rsidR="00EA1B40" w:rsidRPr="00953DCC">
        <w:rPr>
          <w:lang w:val="fr-FR"/>
        </w:rPr>
        <w:t> </w:t>
      </w:r>
      <w:r w:rsidR="00FE5E99" w:rsidRPr="00953DCC">
        <w:rPr>
          <w:lang w:val="fr-FR"/>
        </w:rPr>
        <w:t>décembre</w:t>
      </w:r>
      <w:r w:rsidR="00EA1B40" w:rsidRPr="00953DCC">
        <w:rPr>
          <w:lang w:val="fr-FR"/>
        </w:rPr>
        <w:t> </w:t>
      </w:r>
      <w:r w:rsidR="00FE5E99" w:rsidRPr="00953DCC">
        <w:rPr>
          <w:lang w:val="fr-FR"/>
        </w:rPr>
        <w:t>2020.</w:t>
      </w:r>
    </w:p>
    <w:p w14:paraId="572951C0" w14:textId="77777777" w:rsidR="005F025D" w:rsidRPr="00953DCC" w:rsidRDefault="005F025D" w:rsidP="00923D81">
      <w:pPr>
        <w:rPr>
          <w:lang w:val="fr-FR"/>
        </w:rPr>
      </w:pPr>
    </w:p>
    <w:p w14:paraId="572951C1" w14:textId="3411CE45" w:rsidR="005F025D" w:rsidRPr="00953DCC" w:rsidRDefault="00923D81" w:rsidP="005F025D">
      <w:pPr>
        <w:rPr>
          <w:lang w:val="fr-FR"/>
        </w:rPr>
      </w:pPr>
      <w:r w:rsidRPr="00953DCC">
        <w:rPr>
          <w:lang w:val="fr-FR"/>
        </w:rPr>
        <w:fldChar w:fldCharType="begin"/>
      </w:r>
      <w:r w:rsidRPr="00953DCC">
        <w:rPr>
          <w:lang w:val="fr-FR"/>
        </w:rPr>
        <w:instrText xml:space="preserve"> AUTONUM  </w:instrText>
      </w:r>
      <w:r w:rsidRPr="00953DCC">
        <w:rPr>
          <w:lang w:val="fr-FR"/>
        </w:rPr>
        <w:fldChar w:fldCharType="end"/>
      </w:r>
      <w:r w:rsidRPr="00953DCC">
        <w:rPr>
          <w:lang w:val="fr-FR"/>
        </w:rPr>
        <w:tab/>
      </w:r>
      <w:r w:rsidR="005F025D" w:rsidRPr="00953DCC">
        <w:rPr>
          <w:lang w:val="fr-FR"/>
        </w:rPr>
        <w:t>En réponse à la circulaire E</w:t>
      </w:r>
      <w:r w:rsidR="00456121">
        <w:rPr>
          <w:lang w:val="fr-FR"/>
        </w:rPr>
        <w:noBreakHyphen/>
      </w:r>
      <w:r w:rsidR="005F025D" w:rsidRPr="00953DCC">
        <w:rPr>
          <w:lang w:val="fr-FR"/>
        </w:rPr>
        <w:t>20/189, les 23</w:t>
      </w:r>
      <w:r w:rsidR="00FF0D32" w:rsidRPr="00953DCC">
        <w:rPr>
          <w:lang w:val="fr-FR"/>
        </w:rPr>
        <w:t> </w:t>
      </w:r>
      <w:r w:rsidR="005F025D" w:rsidRPr="00953DCC">
        <w:rPr>
          <w:lang w:val="fr-FR"/>
        </w:rPr>
        <w:t>membres suivants de l</w:t>
      </w:r>
      <w:r w:rsidR="0056301D">
        <w:rPr>
          <w:lang w:val="fr-FR"/>
        </w:rPr>
        <w:t>’</w:t>
      </w:r>
      <w:r w:rsidR="005F025D" w:rsidRPr="00953DCC">
        <w:rPr>
          <w:lang w:val="fr-FR"/>
        </w:rPr>
        <w:t>Union ont communiqué des informations sur l</w:t>
      </w:r>
      <w:r w:rsidR="0056301D">
        <w:rPr>
          <w:lang w:val="fr-FR"/>
        </w:rPr>
        <w:t>’</w:t>
      </w:r>
      <w:r w:rsidR="005F025D" w:rsidRPr="00953DCC">
        <w:rPr>
          <w:lang w:val="fr-FR"/>
        </w:rPr>
        <w:t>utilisation de techniques faisant intervenir des marqueurs moléculaires</w:t>
      </w:r>
      <w:r w:rsidR="0056301D">
        <w:rPr>
          <w:lang w:val="fr-FR"/>
        </w:rPr>
        <w:t> :</w:t>
      </w:r>
    </w:p>
    <w:p w14:paraId="572951C2" w14:textId="77777777" w:rsidR="00923D81" w:rsidRPr="00953DCC" w:rsidRDefault="00923D81" w:rsidP="00923D81">
      <w:pPr>
        <w:rPr>
          <w:lang w:val="fr-FR"/>
        </w:rPr>
      </w:pPr>
    </w:p>
    <w:tbl>
      <w:tblPr>
        <w:tblStyle w:val="TableGrid"/>
        <w:tblW w:w="0" w:type="auto"/>
        <w:tblLook w:val="04A0" w:firstRow="1" w:lastRow="0" w:firstColumn="1" w:lastColumn="0" w:noHBand="0" w:noVBand="1"/>
      </w:tblPr>
      <w:tblGrid>
        <w:gridCol w:w="4814"/>
        <w:gridCol w:w="4814"/>
      </w:tblGrid>
      <w:tr w:rsidR="00FA60AA" w:rsidRPr="00953DCC" w14:paraId="6313DAED" w14:textId="67BE4EFE" w:rsidTr="00DF0C74">
        <w:tc>
          <w:tcPr>
            <w:tcW w:w="4814" w:type="dxa"/>
          </w:tcPr>
          <w:p w14:paraId="194ABBD0" w14:textId="7E891048" w:rsidR="0077271C" w:rsidRPr="00953DCC" w:rsidRDefault="0077271C" w:rsidP="0077271C">
            <w:pPr>
              <w:rPr>
                <w:sz w:val="20"/>
                <w:lang w:val="fr-FR"/>
              </w:rPr>
            </w:pPr>
            <w:r w:rsidRPr="00953DCC">
              <w:rPr>
                <w:sz w:val="20"/>
                <w:lang w:val="fr-FR"/>
              </w:rPr>
              <w:t>Allemagne</w:t>
            </w:r>
          </w:p>
        </w:tc>
        <w:tc>
          <w:tcPr>
            <w:tcW w:w="4814" w:type="dxa"/>
          </w:tcPr>
          <w:p w14:paraId="0AE94BCE" w14:textId="2310D7BB" w:rsidR="0077271C" w:rsidRPr="00953DCC" w:rsidRDefault="0077271C" w:rsidP="0077271C">
            <w:pPr>
              <w:jc w:val="left"/>
              <w:rPr>
                <w:lang w:val="fr-FR"/>
              </w:rPr>
            </w:pPr>
            <w:r w:rsidRPr="00953DCC">
              <w:rPr>
                <w:sz w:val="20"/>
                <w:lang w:val="fr-FR"/>
              </w:rPr>
              <w:t>Lituanie</w:t>
            </w:r>
          </w:p>
        </w:tc>
      </w:tr>
      <w:tr w:rsidR="00FA60AA" w:rsidRPr="00953DCC" w14:paraId="4243D9EB" w14:textId="330DD609" w:rsidTr="00DF0C74">
        <w:tc>
          <w:tcPr>
            <w:tcW w:w="4814" w:type="dxa"/>
          </w:tcPr>
          <w:p w14:paraId="0BC29110" w14:textId="6B429E1A" w:rsidR="0077271C" w:rsidRPr="00953DCC" w:rsidRDefault="0077271C" w:rsidP="0077271C">
            <w:pPr>
              <w:rPr>
                <w:sz w:val="20"/>
                <w:lang w:val="fr-FR"/>
              </w:rPr>
            </w:pPr>
            <w:r w:rsidRPr="00953DCC">
              <w:rPr>
                <w:sz w:val="20"/>
                <w:lang w:val="fr-FR"/>
              </w:rPr>
              <w:t>Australie</w:t>
            </w:r>
          </w:p>
        </w:tc>
        <w:tc>
          <w:tcPr>
            <w:tcW w:w="4814" w:type="dxa"/>
          </w:tcPr>
          <w:p w14:paraId="34D8D396" w14:textId="5830EE7C" w:rsidR="0077271C" w:rsidRPr="00953DCC" w:rsidRDefault="0077271C" w:rsidP="0077271C">
            <w:pPr>
              <w:jc w:val="left"/>
              <w:rPr>
                <w:lang w:val="fr-FR"/>
              </w:rPr>
            </w:pPr>
            <w:r w:rsidRPr="00953DCC">
              <w:rPr>
                <w:sz w:val="20"/>
                <w:lang w:val="fr-FR"/>
              </w:rPr>
              <w:t>Mexique</w:t>
            </w:r>
          </w:p>
        </w:tc>
      </w:tr>
      <w:tr w:rsidR="00FA60AA" w:rsidRPr="00953DCC" w14:paraId="25B63E55" w14:textId="35B08EF0" w:rsidTr="00DF0C74">
        <w:tc>
          <w:tcPr>
            <w:tcW w:w="4814" w:type="dxa"/>
          </w:tcPr>
          <w:p w14:paraId="400BF4AC" w14:textId="75B846B3" w:rsidR="0077271C" w:rsidRPr="00953DCC" w:rsidRDefault="0077271C" w:rsidP="0077271C">
            <w:pPr>
              <w:rPr>
                <w:sz w:val="20"/>
                <w:lang w:val="fr-FR"/>
              </w:rPr>
            </w:pPr>
            <w:r w:rsidRPr="00953DCC">
              <w:rPr>
                <w:sz w:val="20"/>
                <w:lang w:val="fr-FR"/>
              </w:rPr>
              <w:t>Belgique</w:t>
            </w:r>
          </w:p>
        </w:tc>
        <w:tc>
          <w:tcPr>
            <w:tcW w:w="4814" w:type="dxa"/>
          </w:tcPr>
          <w:p w14:paraId="51686155" w14:textId="6839E4CF" w:rsidR="0077271C" w:rsidRPr="00953DCC" w:rsidRDefault="0077271C" w:rsidP="0077271C">
            <w:pPr>
              <w:jc w:val="left"/>
              <w:rPr>
                <w:lang w:val="fr-FR"/>
              </w:rPr>
            </w:pPr>
            <w:r w:rsidRPr="00953DCC">
              <w:rPr>
                <w:sz w:val="20"/>
                <w:lang w:val="fr-FR"/>
              </w:rPr>
              <w:t>Norvège</w:t>
            </w:r>
          </w:p>
        </w:tc>
      </w:tr>
      <w:tr w:rsidR="00FA60AA" w:rsidRPr="00953DCC" w14:paraId="254D61CA" w14:textId="192F2CAF" w:rsidTr="00DF0C74">
        <w:tc>
          <w:tcPr>
            <w:tcW w:w="4814" w:type="dxa"/>
          </w:tcPr>
          <w:p w14:paraId="5B82002B" w14:textId="397D3996" w:rsidR="0077271C" w:rsidRPr="00953DCC" w:rsidRDefault="0077271C" w:rsidP="0077271C">
            <w:pPr>
              <w:rPr>
                <w:sz w:val="20"/>
                <w:lang w:val="fr-FR"/>
              </w:rPr>
            </w:pPr>
            <w:r w:rsidRPr="00953DCC">
              <w:rPr>
                <w:sz w:val="20"/>
                <w:lang w:val="fr-FR"/>
              </w:rPr>
              <w:t>Brésil</w:t>
            </w:r>
          </w:p>
        </w:tc>
        <w:tc>
          <w:tcPr>
            <w:tcW w:w="4814" w:type="dxa"/>
          </w:tcPr>
          <w:p w14:paraId="41D1E754" w14:textId="100BCA45" w:rsidR="0077271C" w:rsidRPr="00953DCC" w:rsidRDefault="0077271C" w:rsidP="0077271C">
            <w:pPr>
              <w:jc w:val="left"/>
              <w:rPr>
                <w:lang w:val="fr-FR"/>
              </w:rPr>
            </w:pPr>
            <w:r w:rsidRPr="00953DCC">
              <w:rPr>
                <w:sz w:val="20"/>
                <w:lang w:val="fr-FR"/>
              </w:rPr>
              <w:t>Panama</w:t>
            </w:r>
          </w:p>
        </w:tc>
      </w:tr>
      <w:tr w:rsidR="00FA60AA" w:rsidRPr="00953DCC" w14:paraId="293C2DF1" w14:textId="36129D99" w:rsidTr="00DF0C74">
        <w:tc>
          <w:tcPr>
            <w:tcW w:w="4814" w:type="dxa"/>
          </w:tcPr>
          <w:p w14:paraId="24AD5900" w14:textId="14171360" w:rsidR="0077271C" w:rsidRPr="00953DCC" w:rsidRDefault="0077271C" w:rsidP="0077271C">
            <w:pPr>
              <w:rPr>
                <w:sz w:val="20"/>
                <w:lang w:val="fr-FR"/>
              </w:rPr>
            </w:pPr>
            <w:r w:rsidRPr="00953DCC">
              <w:rPr>
                <w:sz w:val="20"/>
                <w:lang w:val="fr-FR"/>
              </w:rPr>
              <w:t>Chine</w:t>
            </w:r>
          </w:p>
        </w:tc>
        <w:tc>
          <w:tcPr>
            <w:tcW w:w="4814" w:type="dxa"/>
          </w:tcPr>
          <w:p w14:paraId="0334BC32" w14:textId="1A3A8192" w:rsidR="0077271C" w:rsidRPr="00953DCC" w:rsidRDefault="0077271C" w:rsidP="0077271C">
            <w:pPr>
              <w:jc w:val="left"/>
              <w:rPr>
                <w:lang w:val="fr-FR"/>
              </w:rPr>
            </w:pPr>
            <w:r w:rsidRPr="00953DCC">
              <w:rPr>
                <w:sz w:val="20"/>
                <w:lang w:val="fr-FR"/>
              </w:rPr>
              <w:t>Pays</w:t>
            </w:r>
            <w:r w:rsidR="00456121">
              <w:rPr>
                <w:sz w:val="20"/>
                <w:lang w:val="fr-FR"/>
              </w:rPr>
              <w:noBreakHyphen/>
            </w:r>
            <w:r w:rsidRPr="00953DCC">
              <w:rPr>
                <w:sz w:val="20"/>
                <w:lang w:val="fr-FR"/>
              </w:rPr>
              <w:t>Bas</w:t>
            </w:r>
          </w:p>
        </w:tc>
      </w:tr>
      <w:tr w:rsidR="00FA60AA" w:rsidRPr="00953DCC" w14:paraId="1EC617FF" w14:textId="267C3F32" w:rsidTr="00DF0C74">
        <w:tc>
          <w:tcPr>
            <w:tcW w:w="4814" w:type="dxa"/>
          </w:tcPr>
          <w:p w14:paraId="04BB4155" w14:textId="544F0238" w:rsidR="0077271C" w:rsidRPr="00953DCC" w:rsidRDefault="0077271C" w:rsidP="0077271C">
            <w:pPr>
              <w:rPr>
                <w:sz w:val="20"/>
                <w:lang w:val="fr-FR"/>
              </w:rPr>
            </w:pPr>
            <w:r w:rsidRPr="00953DCC">
              <w:rPr>
                <w:sz w:val="20"/>
                <w:lang w:val="fr-FR"/>
              </w:rPr>
              <w:t>Espagne</w:t>
            </w:r>
          </w:p>
        </w:tc>
        <w:tc>
          <w:tcPr>
            <w:tcW w:w="4814" w:type="dxa"/>
          </w:tcPr>
          <w:p w14:paraId="07912DF8" w14:textId="61ECBBD4" w:rsidR="0077271C" w:rsidRPr="00953DCC" w:rsidRDefault="0077271C" w:rsidP="0077271C">
            <w:pPr>
              <w:jc w:val="left"/>
              <w:rPr>
                <w:lang w:val="fr-FR"/>
              </w:rPr>
            </w:pPr>
            <w:r w:rsidRPr="00953DCC">
              <w:rPr>
                <w:sz w:val="20"/>
                <w:lang w:val="fr-FR"/>
              </w:rPr>
              <w:t>République tchèque</w:t>
            </w:r>
          </w:p>
        </w:tc>
      </w:tr>
      <w:tr w:rsidR="00FA60AA" w:rsidRPr="00953DCC" w14:paraId="2024F4CD" w14:textId="164EA4B0" w:rsidTr="00DF0C74">
        <w:tc>
          <w:tcPr>
            <w:tcW w:w="4814" w:type="dxa"/>
          </w:tcPr>
          <w:p w14:paraId="30935B5E" w14:textId="76150EF5" w:rsidR="0077271C" w:rsidRPr="00953DCC" w:rsidRDefault="0077271C" w:rsidP="0077271C">
            <w:pPr>
              <w:rPr>
                <w:sz w:val="20"/>
                <w:lang w:val="fr-FR"/>
              </w:rPr>
            </w:pPr>
            <w:r w:rsidRPr="00953DCC">
              <w:rPr>
                <w:sz w:val="20"/>
                <w:lang w:val="fr-FR"/>
              </w:rPr>
              <w:t>Estonie</w:t>
            </w:r>
          </w:p>
        </w:tc>
        <w:tc>
          <w:tcPr>
            <w:tcW w:w="4814" w:type="dxa"/>
          </w:tcPr>
          <w:p w14:paraId="6210A756" w14:textId="51EEA9A7" w:rsidR="0077271C" w:rsidRPr="00953DCC" w:rsidRDefault="0077271C" w:rsidP="0077271C">
            <w:pPr>
              <w:jc w:val="left"/>
              <w:rPr>
                <w:lang w:val="fr-FR"/>
              </w:rPr>
            </w:pPr>
            <w:r w:rsidRPr="00953DCC">
              <w:rPr>
                <w:sz w:val="20"/>
                <w:lang w:val="fr-FR"/>
              </w:rPr>
              <w:t>Roumanie</w:t>
            </w:r>
          </w:p>
        </w:tc>
      </w:tr>
      <w:tr w:rsidR="00FA60AA" w:rsidRPr="00953DCC" w14:paraId="7D7C4962" w14:textId="2C50D736" w:rsidTr="00DF0C74">
        <w:tc>
          <w:tcPr>
            <w:tcW w:w="4814" w:type="dxa"/>
          </w:tcPr>
          <w:p w14:paraId="44D0132C" w14:textId="2435DFB3" w:rsidR="0077271C" w:rsidRPr="00953DCC" w:rsidRDefault="0077271C" w:rsidP="0077271C">
            <w:pPr>
              <w:rPr>
                <w:sz w:val="20"/>
                <w:lang w:val="fr-FR"/>
              </w:rPr>
            </w:pPr>
            <w:r w:rsidRPr="00953DCC">
              <w:rPr>
                <w:sz w:val="20"/>
                <w:lang w:val="fr-FR"/>
              </w:rPr>
              <w:t>États</w:t>
            </w:r>
            <w:r w:rsidR="00456121">
              <w:rPr>
                <w:sz w:val="20"/>
                <w:lang w:val="fr-FR"/>
              </w:rPr>
              <w:noBreakHyphen/>
            </w:r>
            <w:r w:rsidRPr="00953DCC">
              <w:rPr>
                <w:sz w:val="20"/>
                <w:lang w:val="fr-FR"/>
              </w:rPr>
              <w:t>Unis d</w:t>
            </w:r>
            <w:r w:rsidR="0056301D">
              <w:rPr>
                <w:sz w:val="20"/>
                <w:lang w:val="fr-FR"/>
              </w:rPr>
              <w:t>’</w:t>
            </w:r>
            <w:r w:rsidRPr="00953DCC">
              <w:rPr>
                <w:sz w:val="20"/>
                <w:lang w:val="fr-FR"/>
              </w:rPr>
              <w:t>Amérique</w:t>
            </w:r>
          </w:p>
        </w:tc>
        <w:tc>
          <w:tcPr>
            <w:tcW w:w="4814" w:type="dxa"/>
          </w:tcPr>
          <w:p w14:paraId="345D0078" w14:textId="6F11E035" w:rsidR="0077271C" w:rsidRPr="00953DCC" w:rsidRDefault="0077271C" w:rsidP="0077271C">
            <w:pPr>
              <w:jc w:val="left"/>
              <w:rPr>
                <w:lang w:val="fr-FR"/>
              </w:rPr>
            </w:pPr>
            <w:r w:rsidRPr="00953DCC">
              <w:rPr>
                <w:sz w:val="20"/>
                <w:lang w:val="fr-FR"/>
              </w:rPr>
              <w:t>Royaume</w:t>
            </w:r>
            <w:r w:rsidR="00456121">
              <w:rPr>
                <w:sz w:val="20"/>
                <w:lang w:val="fr-FR"/>
              </w:rPr>
              <w:noBreakHyphen/>
            </w:r>
            <w:r w:rsidRPr="00953DCC">
              <w:rPr>
                <w:sz w:val="20"/>
                <w:lang w:val="fr-FR"/>
              </w:rPr>
              <w:t>Uni</w:t>
            </w:r>
          </w:p>
        </w:tc>
      </w:tr>
      <w:tr w:rsidR="00FA60AA" w:rsidRPr="00953DCC" w14:paraId="51CDDC10" w14:textId="4D5E873B" w:rsidTr="00DF0C74">
        <w:tc>
          <w:tcPr>
            <w:tcW w:w="4814" w:type="dxa"/>
          </w:tcPr>
          <w:p w14:paraId="241842F8" w14:textId="1134DBB1" w:rsidR="0077271C" w:rsidRPr="00953DCC" w:rsidRDefault="0077271C" w:rsidP="0077271C">
            <w:pPr>
              <w:rPr>
                <w:sz w:val="20"/>
                <w:lang w:val="fr-FR"/>
              </w:rPr>
            </w:pPr>
            <w:r w:rsidRPr="00953DCC">
              <w:rPr>
                <w:sz w:val="20"/>
                <w:lang w:val="fr-FR"/>
              </w:rPr>
              <w:t>France</w:t>
            </w:r>
          </w:p>
        </w:tc>
        <w:tc>
          <w:tcPr>
            <w:tcW w:w="4814" w:type="dxa"/>
          </w:tcPr>
          <w:p w14:paraId="3E76C185" w14:textId="364D1243" w:rsidR="0077271C" w:rsidRPr="00953DCC" w:rsidRDefault="0077271C" w:rsidP="0077271C">
            <w:pPr>
              <w:jc w:val="left"/>
              <w:rPr>
                <w:lang w:val="fr-FR"/>
              </w:rPr>
            </w:pPr>
            <w:r w:rsidRPr="00953DCC">
              <w:rPr>
                <w:sz w:val="20"/>
                <w:lang w:val="fr-FR"/>
              </w:rPr>
              <w:t>Slovaquie</w:t>
            </w:r>
          </w:p>
        </w:tc>
      </w:tr>
      <w:tr w:rsidR="00FA60AA" w:rsidRPr="00953DCC" w14:paraId="110869F3" w14:textId="0789022F" w:rsidTr="00DF0C74">
        <w:tc>
          <w:tcPr>
            <w:tcW w:w="4814" w:type="dxa"/>
          </w:tcPr>
          <w:p w14:paraId="618045F3" w14:textId="33DCC9E7" w:rsidR="0077271C" w:rsidRPr="00953DCC" w:rsidRDefault="0077271C" w:rsidP="0077271C">
            <w:pPr>
              <w:rPr>
                <w:sz w:val="20"/>
                <w:lang w:val="fr-FR"/>
              </w:rPr>
            </w:pPr>
            <w:r w:rsidRPr="00953DCC">
              <w:rPr>
                <w:sz w:val="20"/>
                <w:lang w:val="fr-FR"/>
              </w:rPr>
              <w:t>Israël</w:t>
            </w:r>
          </w:p>
        </w:tc>
        <w:tc>
          <w:tcPr>
            <w:tcW w:w="4814" w:type="dxa"/>
          </w:tcPr>
          <w:p w14:paraId="2E25873D" w14:textId="45C2541B" w:rsidR="0077271C" w:rsidRPr="00953DCC" w:rsidRDefault="0077271C" w:rsidP="0077271C">
            <w:pPr>
              <w:jc w:val="left"/>
              <w:rPr>
                <w:lang w:val="fr-FR"/>
              </w:rPr>
            </w:pPr>
            <w:r w:rsidRPr="00953DCC">
              <w:rPr>
                <w:sz w:val="20"/>
                <w:lang w:val="fr-FR"/>
              </w:rPr>
              <w:t>Ukraine</w:t>
            </w:r>
          </w:p>
        </w:tc>
      </w:tr>
      <w:tr w:rsidR="00FA60AA" w:rsidRPr="00953DCC" w14:paraId="340F8509" w14:textId="5B5C5F26" w:rsidTr="00DF0C74">
        <w:tc>
          <w:tcPr>
            <w:tcW w:w="4814" w:type="dxa"/>
          </w:tcPr>
          <w:p w14:paraId="0AD54D9F" w14:textId="383A6A07" w:rsidR="0077271C" w:rsidRPr="00953DCC" w:rsidRDefault="0077271C" w:rsidP="0077271C">
            <w:pPr>
              <w:rPr>
                <w:sz w:val="20"/>
                <w:lang w:val="fr-FR"/>
              </w:rPr>
            </w:pPr>
            <w:r w:rsidRPr="00953DCC">
              <w:rPr>
                <w:sz w:val="20"/>
                <w:lang w:val="fr-FR"/>
              </w:rPr>
              <w:t>Japon</w:t>
            </w:r>
          </w:p>
        </w:tc>
        <w:tc>
          <w:tcPr>
            <w:tcW w:w="4814" w:type="dxa"/>
          </w:tcPr>
          <w:p w14:paraId="01BB262D" w14:textId="4B215963" w:rsidR="0077271C" w:rsidRPr="00953DCC" w:rsidRDefault="0077271C" w:rsidP="0077271C">
            <w:pPr>
              <w:jc w:val="left"/>
              <w:rPr>
                <w:lang w:val="fr-FR"/>
              </w:rPr>
            </w:pPr>
            <w:r w:rsidRPr="00953DCC">
              <w:rPr>
                <w:sz w:val="20"/>
                <w:lang w:val="fr-FR"/>
              </w:rPr>
              <w:t>Union européenne</w:t>
            </w:r>
          </w:p>
        </w:tc>
      </w:tr>
      <w:tr w:rsidR="00FA60AA" w:rsidRPr="00953DCC" w14:paraId="17CABEC6" w14:textId="33FBBF19" w:rsidTr="00DF0C74">
        <w:tc>
          <w:tcPr>
            <w:tcW w:w="4814" w:type="dxa"/>
          </w:tcPr>
          <w:p w14:paraId="526F6D8E" w14:textId="3402507B" w:rsidR="0077271C" w:rsidRPr="00953DCC" w:rsidRDefault="0077271C" w:rsidP="0077271C">
            <w:pPr>
              <w:rPr>
                <w:sz w:val="20"/>
                <w:lang w:val="fr-FR"/>
              </w:rPr>
            </w:pPr>
            <w:r w:rsidRPr="00953DCC">
              <w:rPr>
                <w:sz w:val="20"/>
                <w:lang w:val="fr-FR"/>
              </w:rPr>
              <w:t>Jordanie</w:t>
            </w:r>
          </w:p>
        </w:tc>
        <w:tc>
          <w:tcPr>
            <w:tcW w:w="4814" w:type="dxa"/>
          </w:tcPr>
          <w:p w14:paraId="5BDEE37C" w14:textId="56C7D06E" w:rsidR="0077271C" w:rsidRPr="00953DCC" w:rsidRDefault="0077271C" w:rsidP="0077271C">
            <w:pPr>
              <w:jc w:val="left"/>
              <w:rPr>
                <w:lang w:val="fr-FR"/>
              </w:rPr>
            </w:pPr>
          </w:p>
        </w:tc>
      </w:tr>
    </w:tbl>
    <w:p w14:paraId="572951E7" w14:textId="77777777" w:rsidR="005F025D" w:rsidRPr="00953DCC" w:rsidRDefault="005F025D" w:rsidP="00923D81">
      <w:pPr>
        <w:rPr>
          <w:lang w:val="fr-FR"/>
        </w:rPr>
      </w:pPr>
    </w:p>
    <w:p w14:paraId="572951E8" w14:textId="4A608E33" w:rsidR="005F025D" w:rsidRPr="00953DCC" w:rsidRDefault="00923D81" w:rsidP="000A1F3B">
      <w:pPr>
        <w:rPr>
          <w:lang w:val="fr-FR"/>
        </w:rPr>
      </w:pPr>
      <w:r w:rsidRPr="00953DCC">
        <w:rPr>
          <w:lang w:val="fr-FR"/>
        </w:rPr>
        <w:lastRenderedPageBreak/>
        <w:fldChar w:fldCharType="begin"/>
      </w:r>
      <w:r w:rsidRPr="00953DCC">
        <w:rPr>
          <w:lang w:val="fr-FR"/>
        </w:rPr>
        <w:instrText xml:space="preserve"> AUTONUM  </w:instrText>
      </w:r>
      <w:r w:rsidRPr="00953DCC">
        <w:rPr>
          <w:lang w:val="fr-FR"/>
        </w:rPr>
        <w:fldChar w:fldCharType="end"/>
      </w:r>
      <w:r w:rsidRPr="00953DCC">
        <w:rPr>
          <w:lang w:val="fr-FR"/>
        </w:rPr>
        <w:tab/>
      </w:r>
      <w:r w:rsidR="00E17729" w:rsidRPr="00953DCC">
        <w:rPr>
          <w:lang w:val="fr-FR"/>
        </w:rPr>
        <w:t>Les résultats de l</w:t>
      </w:r>
      <w:r w:rsidR="0056301D">
        <w:rPr>
          <w:lang w:val="fr-FR"/>
        </w:rPr>
        <w:t>’</w:t>
      </w:r>
      <w:r w:rsidR="00E17729" w:rsidRPr="00953DCC">
        <w:rPr>
          <w:lang w:val="fr-FR"/>
        </w:rPr>
        <w:t>enquête sont présentés à l</w:t>
      </w:r>
      <w:r w:rsidR="0056301D">
        <w:rPr>
          <w:lang w:val="fr-FR"/>
        </w:rPr>
        <w:t>’</w:t>
      </w:r>
      <w:r w:rsidR="00E17729" w:rsidRPr="00953DCC">
        <w:rPr>
          <w:lang w:val="fr-FR"/>
        </w:rPr>
        <w:t xml:space="preserve">annexe I du </w:t>
      </w:r>
      <w:r w:rsidR="0056301D" w:rsidRPr="00953DCC">
        <w:rPr>
          <w:lang w:val="fr-FR"/>
        </w:rPr>
        <w:t>document</w:t>
      </w:r>
      <w:r w:rsidR="0056301D">
        <w:rPr>
          <w:lang w:val="fr-FR"/>
        </w:rPr>
        <w:t xml:space="preserve"> TC</w:t>
      </w:r>
      <w:r w:rsidR="00E17729" w:rsidRPr="00953DCC">
        <w:rPr>
          <w:lang w:val="fr-FR"/>
        </w:rPr>
        <w:t>/57/8, telle que reproduite en annexe II du présent document.</w:t>
      </w:r>
    </w:p>
    <w:p w14:paraId="572951E9" w14:textId="77777777" w:rsidR="005F025D" w:rsidRPr="00953DCC" w:rsidRDefault="005F025D" w:rsidP="000A1F3B">
      <w:pPr>
        <w:rPr>
          <w:lang w:val="fr-FR"/>
        </w:rPr>
      </w:pPr>
    </w:p>
    <w:p w14:paraId="572951EA" w14:textId="1BAC8B17" w:rsidR="005F025D" w:rsidRPr="00953DCC" w:rsidRDefault="000A1F3B" w:rsidP="000A1F3B">
      <w:pPr>
        <w:rPr>
          <w:lang w:val="fr-FR"/>
        </w:rPr>
      </w:pPr>
      <w:r w:rsidRPr="00953DCC">
        <w:rPr>
          <w:lang w:val="fr-FR"/>
        </w:rPr>
        <w:fldChar w:fldCharType="begin"/>
      </w:r>
      <w:r w:rsidRPr="00953DCC">
        <w:rPr>
          <w:lang w:val="fr-FR"/>
        </w:rPr>
        <w:instrText xml:space="preserve"> AUTONUM  </w:instrText>
      </w:r>
      <w:r w:rsidRPr="00953DCC">
        <w:rPr>
          <w:lang w:val="fr-FR"/>
        </w:rPr>
        <w:fldChar w:fldCharType="end"/>
      </w:r>
      <w:r w:rsidRPr="00953DCC">
        <w:rPr>
          <w:lang w:val="fr-FR"/>
        </w:rPr>
        <w:tab/>
      </w:r>
      <w:r w:rsidR="00E17729" w:rsidRPr="00953DCC">
        <w:rPr>
          <w:lang w:val="fr-FR"/>
        </w:rPr>
        <w:t>Le</w:t>
      </w:r>
      <w:r w:rsidR="0056301D">
        <w:rPr>
          <w:lang w:val="fr-FR"/>
        </w:rPr>
        <w:t> TC</w:t>
      </w:r>
      <w:r w:rsidR="00E17729" w:rsidRPr="00953DCC">
        <w:rPr>
          <w:lang w:val="fr-FR"/>
        </w:rPr>
        <w:t>, à sa cinquante</w:t>
      </w:r>
      <w:r w:rsidR="00456121">
        <w:rPr>
          <w:lang w:val="fr-FR"/>
        </w:rPr>
        <w:noBreakHyphen/>
      </w:r>
      <w:r w:rsidR="00E17729" w:rsidRPr="00953DCC">
        <w:rPr>
          <w:lang w:val="fr-FR"/>
        </w:rPr>
        <w:t>sept</w:t>
      </w:r>
      <w:r w:rsidR="0056301D">
        <w:rPr>
          <w:lang w:val="fr-FR"/>
        </w:rPr>
        <w:t>ième session</w:t>
      </w:r>
      <w:r w:rsidR="00E17729" w:rsidRPr="00953DCC">
        <w:rPr>
          <w:lang w:val="fr-FR"/>
        </w:rPr>
        <w:t xml:space="preserve">, </w:t>
      </w:r>
      <w:r w:rsidR="006661EC" w:rsidRPr="00953DCC">
        <w:rPr>
          <w:lang w:val="fr-FR"/>
        </w:rPr>
        <w:t xml:space="preserve">prévue </w:t>
      </w:r>
      <w:r w:rsidR="00E17729" w:rsidRPr="00953DCC">
        <w:rPr>
          <w:lang w:val="fr-FR"/>
        </w:rPr>
        <w:t xml:space="preserve">en 2021, sera invité à </w:t>
      </w:r>
      <w:r w:rsidR="00967C03" w:rsidRPr="00953DCC">
        <w:rPr>
          <w:lang w:val="fr-FR"/>
        </w:rPr>
        <w:t xml:space="preserve">demander au </w:t>
      </w:r>
      <w:r w:rsidR="0082065C" w:rsidRPr="00953DCC">
        <w:rPr>
          <w:lang w:val="fr-FR"/>
        </w:rPr>
        <w:t>Bureau de l</w:t>
      </w:r>
      <w:r w:rsidR="0056301D">
        <w:rPr>
          <w:lang w:val="fr-FR"/>
        </w:rPr>
        <w:t>’</w:t>
      </w:r>
      <w:r w:rsidR="0082065C" w:rsidRPr="00953DCC">
        <w:rPr>
          <w:lang w:val="fr-FR"/>
        </w:rPr>
        <w:t>Union d</w:t>
      </w:r>
      <w:r w:rsidR="0056301D">
        <w:rPr>
          <w:lang w:val="fr-FR"/>
        </w:rPr>
        <w:t>’</w:t>
      </w:r>
      <w:r w:rsidR="0082065C" w:rsidRPr="00953DCC">
        <w:rPr>
          <w:lang w:val="fr-FR"/>
        </w:rPr>
        <w:t>informer l</w:t>
      </w:r>
      <w:r w:rsidR="0056301D">
        <w:rPr>
          <w:lang w:val="fr-FR"/>
        </w:rPr>
        <w:t>’</w:t>
      </w:r>
      <w:r w:rsidR="0082065C" w:rsidRPr="00953DCC">
        <w:rPr>
          <w:lang w:val="fr-FR"/>
        </w:rPr>
        <w:t xml:space="preserve">OCDE </w:t>
      </w:r>
      <w:r w:rsidR="00D75CE9" w:rsidRPr="00953DCC">
        <w:rPr>
          <w:lang w:val="fr-FR"/>
        </w:rPr>
        <w:t>des résultats de l</w:t>
      </w:r>
      <w:r w:rsidR="0056301D">
        <w:rPr>
          <w:lang w:val="fr-FR"/>
        </w:rPr>
        <w:t>’</w:t>
      </w:r>
      <w:r w:rsidR="00D75CE9" w:rsidRPr="00953DCC">
        <w:rPr>
          <w:lang w:val="fr-FR"/>
        </w:rPr>
        <w:t>enquête et à rendre compte des faits nouveaux au</w:t>
      </w:r>
      <w:r w:rsidR="0056301D">
        <w:rPr>
          <w:lang w:val="fr-FR"/>
        </w:rPr>
        <w:t> TC</w:t>
      </w:r>
      <w:r w:rsidR="00D75CE9" w:rsidRPr="00953DCC">
        <w:rPr>
          <w:lang w:val="fr-FR"/>
        </w:rPr>
        <w:t xml:space="preserve"> à sa cinquante</w:t>
      </w:r>
      <w:r w:rsidR="00456121">
        <w:rPr>
          <w:lang w:val="fr-FR"/>
        </w:rPr>
        <w:noBreakHyphen/>
      </w:r>
      <w:r w:rsidR="00D75CE9" w:rsidRPr="00953DCC">
        <w:rPr>
          <w:lang w:val="fr-FR"/>
        </w:rPr>
        <w:t>huit</w:t>
      </w:r>
      <w:r w:rsidR="0056301D">
        <w:rPr>
          <w:lang w:val="fr-FR"/>
        </w:rPr>
        <w:t>ième session</w:t>
      </w:r>
      <w:r w:rsidR="00D75CE9" w:rsidRPr="00953DCC">
        <w:rPr>
          <w:lang w:val="fr-FR"/>
        </w:rPr>
        <w:t>.</w:t>
      </w:r>
    </w:p>
    <w:p w14:paraId="572951EB" w14:textId="77777777" w:rsidR="005F025D" w:rsidRPr="00953DCC" w:rsidRDefault="005F025D" w:rsidP="000A1F3B">
      <w:pPr>
        <w:rPr>
          <w:lang w:val="fr-FR"/>
        </w:rPr>
      </w:pPr>
    </w:p>
    <w:p w14:paraId="572951EC" w14:textId="2ABC8D3B" w:rsidR="005F025D" w:rsidRPr="00953DCC" w:rsidRDefault="00E81852" w:rsidP="000A1F3B">
      <w:pPr>
        <w:rPr>
          <w:lang w:val="fr-FR"/>
        </w:rPr>
      </w:pPr>
      <w:r w:rsidRPr="00953DCC">
        <w:rPr>
          <w:lang w:val="fr-FR"/>
        </w:rPr>
        <w:fldChar w:fldCharType="begin"/>
      </w:r>
      <w:r w:rsidRPr="00953DCC">
        <w:rPr>
          <w:lang w:val="fr-FR"/>
        </w:rPr>
        <w:instrText xml:space="preserve"> AUTONUM  </w:instrText>
      </w:r>
      <w:r w:rsidRPr="00953DCC">
        <w:rPr>
          <w:lang w:val="fr-FR"/>
        </w:rPr>
        <w:fldChar w:fldCharType="end"/>
      </w:r>
      <w:r w:rsidRPr="00953DCC">
        <w:rPr>
          <w:lang w:val="fr-FR"/>
        </w:rPr>
        <w:tab/>
      </w:r>
      <w:r w:rsidR="00655FC9" w:rsidRPr="00953DCC">
        <w:rPr>
          <w:lang w:val="fr-FR"/>
        </w:rPr>
        <w:t>Le</w:t>
      </w:r>
      <w:r w:rsidR="0056301D">
        <w:rPr>
          <w:lang w:val="fr-FR"/>
        </w:rPr>
        <w:t> TC</w:t>
      </w:r>
      <w:r w:rsidR="00655FC9" w:rsidRPr="00953DCC">
        <w:rPr>
          <w:lang w:val="fr-FR"/>
        </w:rPr>
        <w:t xml:space="preserve"> sera invit</w:t>
      </w:r>
      <w:r w:rsidR="00A35FCA" w:rsidRPr="00953DCC">
        <w:rPr>
          <w:lang w:val="fr-FR"/>
        </w:rPr>
        <w:t>é</w:t>
      </w:r>
      <w:r w:rsidR="00655FC9" w:rsidRPr="00953DCC">
        <w:rPr>
          <w:lang w:val="fr-FR"/>
        </w:rPr>
        <w:t xml:space="preserve"> à prendre note </w:t>
      </w:r>
      <w:r w:rsidR="00A20572" w:rsidRPr="00953DCC">
        <w:rPr>
          <w:lang w:val="fr-FR"/>
        </w:rPr>
        <w:t xml:space="preserve">des observations reçues </w:t>
      </w:r>
      <w:r w:rsidR="00AD2EDB" w:rsidRPr="00953DCC">
        <w:rPr>
          <w:lang w:val="fr-FR"/>
        </w:rPr>
        <w:t xml:space="preserve">sur le </w:t>
      </w:r>
      <w:r w:rsidR="0056301D" w:rsidRPr="00953DCC">
        <w:rPr>
          <w:lang w:val="fr-FR"/>
        </w:rPr>
        <w:t>document</w:t>
      </w:r>
      <w:r w:rsidR="0056301D">
        <w:rPr>
          <w:lang w:val="fr-FR"/>
        </w:rPr>
        <w:t xml:space="preserve"> TC</w:t>
      </w:r>
      <w:r w:rsidR="00AD2EDB" w:rsidRPr="00953DCC">
        <w:rPr>
          <w:lang w:val="fr-FR"/>
        </w:rPr>
        <w:t xml:space="preserve">/57/8 “Techniques moléculaires” </w:t>
      </w:r>
      <w:r w:rsidR="00A20572" w:rsidRPr="00953DCC">
        <w:rPr>
          <w:lang w:val="fr-FR"/>
        </w:rPr>
        <w:t>en réponse à la circulaire E</w:t>
      </w:r>
      <w:r w:rsidR="00456121">
        <w:rPr>
          <w:lang w:val="fr-FR"/>
        </w:rPr>
        <w:noBreakHyphen/>
      </w:r>
      <w:r w:rsidR="00A20572" w:rsidRPr="00953DCC">
        <w:rPr>
          <w:lang w:val="fr-FR"/>
        </w:rPr>
        <w:t>21/122 du 23 août 2021, qui n</w:t>
      </w:r>
      <w:r w:rsidR="0056301D">
        <w:rPr>
          <w:lang w:val="fr-FR"/>
        </w:rPr>
        <w:t>’</w:t>
      </w:r>
      <w:r w:rsidR="00A20572" w:rsidRPr="00953DCC">
        <w:rPr>
          <w:lang w:val="fr-FR"/>
        </w:rPr>
        <w:t>ont pas entraîné de révision des documents</w:t>
      </w:r>
      <w:r w:rsidR="00BC224A" w:rsidRPr="00953DCC">
        <w:rPr>
          <w:lang w:val="fr-FR"/>
        </w:rPr>
        <w:t> (voir le paragraphe</w:t>
      </w:r>
      <w:r w:rsidR="00E6092A" w:rsidRPr="00953DCC">
        <w:rPr>
          <w:lang w:val="fr-FR"/>
        </w:rPr>
        <w:t> </w:t>
      </w:r>
      <w:r w:rsidR="00BC224A" w:rsidRPr="00953DCC">
        <w:rPr>
          <w:lang w:val="fr-FR"/>
        </w:rPr>
        <w:t>25 du document C/</w:t>
      </w:r>
      <w:r w:rsidR="00942B88" w:rsidRPr="00953DCC">
        <w:rPr>
          <w:lang w:val="fr-FR"/>
        </w:rPr>
        <w:t>57</w:t>
      </w:r>
      <w:r w:rsidR="00BC224A" w:rsidRPr="00953DCC">
        <w:rPr>
          <w:lang w:val="fr-FR"/>
        </w:rPr>
        <w:t>/1</w:t>
      </w:r>
      <w:r w:rsidR="00942B88" w:rsidRPr="00953DCC">
        <w:rPr>
          <w:lang w:val="fr-FR"/>
        </w:rPr>
        <w:t>4</w:t>
      </w:r>
      <w:r w:rsidR="00BC224A" w:rsidRPr="00953DCC">
        <w:rPr>
          <w:lang w:val="fr-FR"/>
        </w:rPr>
        <w:t xml:space="preserve"> “Résultat de l</w:t>
      </w:r>
      <w:r w:rsidR="0056301D">
        <w:rPr>
          <w:lang w:val="fr-FR"/>
        </w:rPr>
        <w:t>’</w:t>
      </w:r>
      <w:r w:rsidR="00BC224A" w:rsidRPr="00953DCC">
        <w:rPr>
          <w:lang w:val="fr-FR"/>
        </w:rPr>
        <w:t>examen des documents par correspondance”).</w:t>
      </w:r>
    </w:p>
    <w:p w14:paraId="572951ED" w14:textId="3CE0FEFF" w:rsidR="005F025D" w:rsidRDefault="005F025D" w:rsidP="00733267">
      <w:pPr>
        <w:rPr>
          <w:lang w:val="fr-FR"/>
        </w:rPr>
      </w:pPr>
    </w:p>
    <w:p w14:paraId="1EA347DE" w14:textId="77777777" w:rsidR="002C77EB" w:rsidRPr="00953DCC" w:rsidRDefault="002C77EB" w:rsidP="00733267">
      <w:pPr>
        <w:rPr>
          <w:lang w:val="fr-FR"/>
        </w:rPr>
      </w:pPr>
    </w:p>
    <w:p w14:paraId="572951EE" w14:textId="0AFE9142" w:rsidR="005F025D" w:rsidRPr="00953DCC" w:rsidRDefault="005F025D" w:rsidP="00781996">
      <w:pPr>
        <w:pStyle w:val="Heading2"/>
      </w:pPr>
      <w:bookmarkStart w:id="18" w:name="_Toc86312884"/>
      <w:r w:rsidRPr="00953DCC">
        <w:t>Listes d</w:t>
      </w:r>
      <w:r w:rsidR="0056301D">
        <w:t>’</w:t>
      </w:r>
      <w:r w:rsidRPr="00953DCC">
        <w:t>initiatives conjointes possibles avec l</w:t>
      </w:r>
      <w:r w:rsidR="0056301D">
        <w:t>’</w:t>
      </w:r>
      <w:r w:rsidRPr="00953DCC">
        <w:t>OCDE et l</w:t>
      </w:r>
      <w:r w:rsidR="0056301D">
        <w:t>’</w:t>
      </w:r>
      <w:r w:rsidRPr="00953DCC">
        <w:t>ISTA dans le domaine des techniques moléculaires</w:t>
      </w:r>
      <w:bookmarkEnd w:id="18"/>
    </w:p>
    <w:p w14:paraId="572951EF" w14:textId="77777777" w:rsidR="005F025D" w:rsidRPr="00953DCC" w:rsidRDefault="005F025D" w:rsidP="00733267">
      <w:pPr>
        <w:keepNext/>
        <w:rPr>
          <w:lang w:val="fr-FR"/>
        </w:rPr>
      </w:pPr>
    </w:p>
    <w:p w14:paraId="572951F0" w14:textId="77777777" w:rsidR="005F025D" w:rsidRPr="00953DCC" w:rsidRDefault="005F025D" w:rsidP="0076331E">
      <w:pPr>
        <w:pStyle w:val="Heading3"/>
      </w:pPr>
      <w:r w:rsidRPr="00953DCC">
        <w:t>Informations générales</w:t>
      </w:r>
    </w:p>
    <w:p w14:paraId="572951F1" w14:textId="77777777" w:rsidR="005F025D" w:rsidRPr="00953DCC" w:rsidRDefault="005F025D" w:rsidP="00733267">
      <w:pPr>
        <w:keepNext/>
        <w:rPr>
          <w:lang w:val="fr-FR"/>
        </w:rPr>
      </w:pPr>
    </w:p>
    <w:p w14:paraId="572951F2" w14:textId="1AF8A3EE" w:rsidR="005F025D" w:rsidRPr="00953DCC" w:rsidRDefault="00733267" w:rsidP="005F025D">
      <w:pPr>
        <w:keepNext/>
        <w:rPr>
          <w:lang w:val="fr-FR"/>
        </w:rPr>
      </w:pPr>
      <w:r w:rsidRPr="00953DCC">
        <w:rPr>
          <w:lang w:val="fr-FR"/>
        </w:rPr>
        <w:fldChar w:fldCharType="begin"/>
      </w:r>
      <w:r w:rsidRPr="00953DCC">
        <w:rPr>
          <w:lang w:val="fr-FR"/>
        </w:rPr>
        <w:instrText xml:space="preserve"> AUTONUM  </w:instrText>
      </w:r>
      <w:r w:rsidRPr="00953DCC">
        <w:rPr>
          <w:lang w:val="fr-FR"/>
        </w:rPr>
        <w:fldChar w:fldCharType="end"/>
      </w:r>
      <w:r w:rsidRPr="00953DCC">
        <w:rPr>
          <w:lang w:val="fr-FR"/>
        </w:rPr>
        <w:tab/>
      </w:r>
      <w:r w:rsidR="005F025D" w:rsidRPr="00953DCC">
        <w:rPr>
          <w:lang w:val="fr-FR"/>
        </w:rPr>
        <w:t>À sa dix</w:t>
      </w:r>
      <w:r w:rsidR="00456121">
        <w:rPr>
          <w:lang w:val="fr-FR"/>
        </w:rPr>
        <w:noBreakHyphen/>
      </w:r>
      <w:r w:rsidR="005F025D" w:rsidRPr="00953DCC">
        <w:rPr>
          <w:lang w:val="fr-FR"/>
        </w:rPr>
        <w:t>huit</w:t>
      </w:r>
      <w:r w:rsidR="0056301D">
        <w:rPr>
          <w:lang w:val="fr-FR"/>
        </w:rPr>
        <w:t>ième session</w:t>
      </w:r>
      <w:r w:rsidR="00F0152A" w:rsidRPr="00953DCC">
        <w:rPr>
          <w:rStyle w:val="FootnoteReference"/>
          <w:lang w:val="fr-FR"/>
        </w:rPr>
        <w:footnoteReference w:id="3"/>
      </w:r>
      <w:r w:rsidR="005F025D" w:rsidRPr="00953DCC">
        <w:rPr>
          <w:lang w:val="fr-FR"/>
        </w:rPr>
        <w:t>,</w:t>
      </w:r>
      <w:r w:rsidR="0056301D" w:rsidRPr="00953DCC">
        <w:rPr>
          <w:lang w:val="fr-FR"/>
        </w:rPr>
        <w:t xml:space="preserve"> le</w:t>
      </w:r>
      <w:r w:rsidR="0056301D">
        <w:rPr>
          <w:lang w:val="fr-FR"/>
        </w:rPr>
        <w:t> </w:t>
      </w:r>
      <w:r w:rsidR="0056301D" w:rsidRPr="00953DCC">
        <w:rPr>
          <w:lang w:val="fr-FR"/>
        </w:rPr>
        <w:t>BMT</w:t>
      </w:r>
      <w:r w:rsidR="005F025D" w:rsidRPr="00953DCC">
        <w:rPr>
          <w:lang w:val="fr-FR"/>
        </w:rPr>
        <w:t xml:space="preserve"> a examiné le document BMT/18/4 “Cooperation between International Organizations” ainsi que la demande visant à établir des listes d</w:t>
      </w:r>
      <w:r w:rsidR="0056301D">
        <w:rPr>
          <w:lang w:val="fr-FR"/>
        </w:rPr>
        <w:t>’</w:t>
      </w:r>
      <w:r w:rsidR="005F025D" w:rsidRPr="00953DCC">
        <w:rPr>
          <w:lang w:val="fr-FR"/>
        </w:rPr>
        <w:t>initiatives conjointes possibles avec l</w:t>
      </w:r>
      <w:r w:rsidR="0056301D">
        <w:rPr>
          <w:lang w:val="fr-FR"/>
        </w:rPr>
        <w:t>’</w:t>
      </w:r>
      <w:r w:rsidR="005F025D" w:rsidRPr="00953DCC">
        <w:rPr>
          <w:lang w:val="fr-FR"/>
        </w:rPr>
        <w:t>OCDE et l</w:t>
      </w:r>
      <w:r w:rsidR="0056301D">
        <w:rPr>
          <w:lang w:val="fr-FR"/>
        </w:rPr>
        <w:t>’</w:t>
      </w:r>
      <w:r w:rsidR="005F025D" w:rsidRPr="00953DCC">
        <w:rPr>
          <w:lang w:val="fr-FR"/>
        </w:rPr>
        <w:t>ISTA dans le domaine des techniques moléculair</w:t>
      </w:r>
      <w:r w:rsidR="0011329B" w:rsidRPr="00953DCC">
        <w:rPr>
          <w:lang w:val="fr-FR"/>
        </w:rPr>
        <w:t>es</w:t>
      </w:r>
      <w:r w:rsidR="0011329B">
        <w:rPr>
          <w:lang w:val="fr-FR"/>
        </w:rPr>
        <w:t xml:space="preserve">.  </w:t>
      </w:r>
      <w:r w:rsidR="0011329B" w:rsidRPr="00953DCC">
        <w:rPr>
          <w:lang w:val="fr-FR"/>
        </w:rPr>
        <w:t>Le</w:t>
      </w:r>
      <w:r w:rsidR="000E4D7B" w:rsidRPr="00953DCC">
        <w:rPr>
          <w:lang w:val="fr-FR"/>
        </w:rPr>
        <w:t> </w:t>
      </w:r>
      <w:r w:rsidR="005F025D" w:rsidRPr="00953DCC">
        <w:rPr>
          <w:lang w:val="fr-FR"/>
        </w:rPr>
        <w:t>BMT a décidé de proposer d</w:t>
      </w:r>
      <w:r w:rsidR="0056301D">
        <w:rPr>
          <w:lang w:val="fr-FR"/>
        </w:rPr>
        <w:t>’</w:t>
      </w:r>
      <w:r w:rsidR="005F025D" w:rsidRPr="00953DCC">
        <w:rPr>
          <w:lang w:val="fr-FR"/>
        </w:rPr>
        <w:t>organiser à nouveau des ateliers conjoints avec l</w:t>
      </w:r>
      <w:r w:rsidR="0056301D">
        <w:rPr>
          <w:lang w:val="fr-FR"/>
        </w:rPr>
        <w:t>’</w:t>
      </w:r>
      <w:r w:rsidR="005F025D" w:rsidRPr="00953DCC">
        <w:rPr>
          <w:lang w:val="fr-FR"/>
        </w:rPr>
        <w:t>ISTA et l</w:t>
      </w:r>
      <w:r w:rsidR="0056301D">
        <w:rPr>
          <w:lang w:val="fr-FR"/>
        </w:rPr>
        <w:t>’</w:t>
      </w:r>
      <w:r w:rsidR="005F025D" w:rsidRPr="00953DCC">
        <w:rPr>
          <w:lang w:val="fr-FR"/>
        </w:rPr>
        <w:t>OCDE à l</w:t>
      </w:r>
      <w:r w:rsidR="0056301D">
        <w:rPr>
          <w:lang w:val="fr-FR"/>
        </w:rPr>
        <w:t>’</w:t>
      </w:r>
      <w:r w:rsidR="005F025D" w:rsidRPr="00953DCC">
        <w:rPr>
          <w:lang w:val="fr-FR"/>
        </w:rPr>
        <w:t>aven</w:t>
      </w:r>
      <w:r w:rsidR="0011329B" w:rsidRPr="00953DCC">
        <w:rPr>
          <w:lang w:val="fr-FR"/>
        </w:rPr>
        <w:t>ir</w:t>
      </w:r>
      <w:r w:rsidR="0011329B">
        <w:rPr>
          <w:lang w:val="fr-FR"/>
        </w:rPr>
        <w:t xml:space="preserve">.  </w:t>
      </w:r>
      <w:r w:rsidR="0011329B" w:rsidRPr="00953DCC">
        <w:rPr>
          <w:lang w:val="fr-FR"/>
        </w:rPr>
        <w:t>Le</w:t>
      </w:r>
      <w:r w:rsidR="000E4D7B" w:rsidRPr="00953DCC">
        <w:rPr>
          <w:lang w:val="fr-FR"/>
        </w:rPr>
        <w:t> </w:t>
      </w:r>
      <w:r w:rsidR="005F025D" w:rsidRPr="00953DCC">
        <w:rPr>
          <w:lang w:val="fr-FR"/>
        </w:rPr>
        <w:t>BMT est convenu de proposer que chaque organisation informe les autres organisations de l</w:t>
      </w:r>
      <w:r w:rsidR="0056301D">
        <w:rPr>
          <w:lang w:val="fr-FR"/>
        </w:rPr>
        <w:t>’</w:t>
      </w:r>
      <w:r w:rsidR="005F025D" w:rsidRPr="00953DCC">
        <w:rPr>
          <w:lang w:val="fr-FR"/>
        </w:rPr>
        <w:t>utilisation, dans ses travaux, de techniques faisant intervenir des marqueurs moléculaires (voir le paragraphe</w:t>
      </w:r>
      <w:r w:rsidR="000E4D7B" w:rsidRPr="00953DCC">
        <w:rPr>
          <w:lang w:val="fr-FR"/>
        </w:rPr>
        <w:t> </w:t>
      </w:r>
      <w:r w:rsidR="005F025D" w:rsidRPr="00953DCC">
        <w:rPr>
          <w:lang w:val="fr-FR"/>
        </w:rPr>
        <w:t>34 du document BMT/18/21 “Report”).</w:t>
      </w:r>
    </w:p>
    <w:p w14:paraId="572951F3" w14:textId="77777777" w:rsidR="005F025D" w:rsidRPr="00953DCC" w:rsidRDefault="005F025D" w:rsidP="0076331E">
      <w:pPr>
        <w:pStyle w:val="Heading3"/>
        <w:rPr>
          <w:rFonts w:eastAsiaTheme="minorEastAsia"/>
        </w:rPr>
      </w:pPr>
    </w:p>
    <w:p w14:paraId="4E1E569F" w14:textId="1D318995" w:rsidR="0056301D" w:rsidRDefault="00733267" w:rsidP="005F025D">
      <w:pPr>
        <w:keepNext/>
        <w:rPr>
          <w:lang w:val="fr-FR"/>
        </w:rPr>
      </w:pPr>
      <w:r w:rsidRPr="00953DCC">
        <w:rPr>
          <w:lang w:val="fr-FR"/>
        </w:rPr>
        <w:fldChar w:fldCharType="begin"/>
      </w:r>
      <w:r w:rsidRPr="00953DCC">
        <w:rPr>
          <w:lang w:val="fr-FR"/>
        </w:rPr>
        <w:instrText xml:space="preserve"> AUTONUM  </w:instrText>
      </w:r>
      <w:r w:rsidRPr="00953DCC">
        <w:rPr>
          <w:lang w:val="fr-FR"/>
        </w:rPr>
        <w:fldChar w:fldCharType="end"/>
      </w:r>
      <w:r w:rsidRPr="00953DCC">
        <w:rPr>
          <w:lang w:val="fr-FR"/>
        </w:rPr>
        <w:tab/>
      </w:r>
      <w:r w:rsidR="005F025D" w:rsidRPr="00953DCC">
        <w:rPr>
          <w:lang w:val="fr-FR"/>
        </w:rPr>
        <w:t>À sa cinquante</w:t>
      </w:r>
      <w:r w:rsidR="00456121">
        <w:rPr>
          <w:lang w:val="fr-FR"/>
        </w:rPr>
        <w:noBreakHyphen/>
      </w:r>
      <w:r w:rsidR="005F025D" w:rsidRPr="00953DCC">
        <w:rPr>
          <w:lang w:val="fr-FR"/>
        </w:rPr>
        <w:t>cinqu</w:t>
      </w:r>
      <w:r w:rsidR="0056301D">
        <w:rPr>
          <w:lang w:val="fr-FR"/>
        </w:rPr>
        <w:t>ième session</w:t>
      </w:r>
      <w:r w:rsidR="00875FA5" w:rsidRPr="00953DCC">
        <w:rPr>
          <w:rStyle w:val="FootnoteReference"/>
          <w:lang w:val="fr-FR"/>
        </w:rPr>
        <w:footnoteReference w:id="4"/>
      </w:r>
      <w:r w:rsidR="005F025D" w:rsidRPr="00953DCC">
        <w:rPr>
          <w:lang w:val="fr-FR"/>
        </w:rPr>
        <w:t>, le</w:t>
      </w:r>
      <w:r w:rsidR="0056301D">
        <w:rPr>
          <w:lang w:val="fr-FR"/>
        </w:rPr>
        <w:t> TC</w:t>
      </w:r>
      <w:r w:rsidR="005F025D" w:rsidRPr="00953DCC">
        <w:rPr>
          <w:lang w:val="fr-FR"/>
        </w:rPr>
        <w:t xml:space="preserve"> a examiné les initiatives possibles conjointes avec l</w:t>
      </w:r>
      <w:r w:rsidR="0056301D">
        <w:rPr>
          <w:lang w:val="fr-FR"/>
        </w:rPr>
        <w:t>’</w:t>
      </w:r>
      <w:r w:rsidR="005F025D" w:rsidRPr="00953DCC">
        <w:rPr>
          <w:lang w:val="fr-FR"/>
        </w:rPr>
        <w:t>OCDE et l</w:t>
      </w:r>
      <w:r w:rsidR="0056301D">
        <w:rPr>
          <w:lang w:val="fr-FR"/>
        </w:rPr>
        <w:t>’</w:t>
      </w:r>
      <w:r w:rsidR="005F025D" w:rsidRPr="00953DCC">
        <w:rPr>
          <w:lang w:val="fr-FR"/>
        </w:rPr>
        <w:t>ISTA dans le domaine des techniques moléculaires et a approuvé la proposition faite par le</w:t>
      </w:r>
      <w:r w:rsidR="00BF7FC3" w:rsidRPr="00953DCC">
        <w:rPr>
          <w:lang w:val="fr-FR"/>
        </w:rPr>
        <w:t> </w:t>
      </w:r>
      <w:r w:rsidR="005F025D" w:rsidRPr="00953DCC">
        <w:rPr>
          <w:lang w:val="fr-FR"/>
        </w:rPr>
        <w:t>BMT, à</w:t>
      </w:r>
      <w:r w:rsidR="00BF7FC3" w:rsidRPr="00953DCC">
        <w:rPr>
          <w:lang w:val="fr-FR"/>
        </w:rPr>
        <w:t> </w:t>
      </w:r>
      <w:r w:rsidR="005F025D" w:rsidRPr="00953DCC">
        <w:rPr>
          <w:lang w:val="fr-FR"/>
        </w:rPr>
        <w:t>sa dix</w:t>
      </w:r>
      <w:r w:rsidR="00456121">
        <w:rPr>
          <w:lang w:val="fr-FR"/>
        </w:rPr>
        <w:noBreakHyphen/>
      </w:r>
      <w:r w:rsidR="005F025D" w:rsidRPr="00953DCC">
        <w:rPr>
          <w:lang w:val="fr-FR"/>
        </w:rPr>
        <w:t>huit</w:t>
      </w:r>
      <w:r w:rsidR="0056301D">
        <w:rPr>
          <w:lang w:val="fr-FR"/>
        </w:rPr>
        <w:t>ième session</w:t>
      </w:r>
      <w:r w:rsidR="005F025D" w:rsidRPr="00953DCC">
        <w:rPr>
          <w:lang w:val="fr-FR"/>
        </w:rPr>
        <w:t>, de renouveler l</w:t>
      </w:r>
      <w:r w:rsidR="0056301D">
        <w:rPr>
          <w:lang w:val="fr-FR"/>
        </w:rPr>
        <w:t>’</w:t>
      </w:r>
      <w:r w:rsidR="005F025D" w:rsidRPr="00953DCC">
        <w:rPr>
          <w:lang w:val="fr-FR"/>
        </w:rPr>
        <w:t xml:space="preserve">expérience des ateliers conjoints </w:t>
      </w:r>
      <w:r w:rsidR="00BF7FC3" w:rsidRPr="00953DCC">
        <w:rPr>
          <w:lang w:val="fr-FR"/>
        </w:rPr>
        <w:t xml:space="preserve">dans </w:t>
      </w:r>
      <w:r w:rsidR="005F025D" w:rsidRPr="00953DCC">
        <w:rPr>
          <w:lang w:val="fr-FR"/>
        </w:rPr>
        <w:t>l</w:t>
      </w:r>
      <w:r w:rsidR="0056301D">
        <w:rPr>
          <w:lang w:val="fr-FR"/>
        </w:rPr>
        <w:t>’</w:t>
      </w:r>
      <w:r w:rsidR="005F025D" w:rsidRPr="00953DCC">
        <w:rPr>
          <w:lang w:val="fr-FR"/>
        </w:rPr>
        <w:t>avenir (voir les paragraphes</w:t>
      </w:r>
      <w:r w:rsidR="00435792" w:rsidRPr="00953DCC">
        <w:rPr>
          <w:lang w:val="fr-FR"/>
        </w:rPr>
        <w:t> </w:t>
      </w:r>
      <w:r w:rsidR="005F025D" w:rsidRPr="00953DCC">
        <w:rPr>
          <w:lang w:val="fr-FR"/>
        </w:rPr>
        <w:t xml:space="preserve">189 à 191 du </w:t>
      </w:r>
      <w:r w:rsidR="0056301D" w:rsidRPr="00953DCC">
        <w:rPr>
          <w:lang w:val="fr-FR"/>
        </w:rPr>
        <w:t>document</w:t>
      </w:r>
      <w:r w:rsidR="0056301D">
        <w:rPr>
          <w:lang w:val="fr-FR"/>
        </w:rPr>
        <w:t xml:space="preserve"> TC</w:t>
      </w:r>
      <w:r w:rsidR="005F025D" w:rsidRPr="00953DCC">
        <w:rPr>
          <w:lang w:val="fr-FR"/>
        </w:rPr>
        <w:t>/55/25 “Compte rendu”).</w:t>
      </w:r>
    </w:p>
    <w:p w14:paraId="572951F5" w14:textId="5FC2C577" w:rsidR="005F025D" w:rsidRPr="00953DCC" w:rsidRDefault="005F025D" w:rsidP="00733267">
      <w:pPr>
        <w:keepNext/>
        <w:rPr>
          <w:lang w:val="fr-FR"/>
        </w:rPr>
      </w:pPr>
    </w:p>
    <w:p w14:paraId="572951F6" w14:textId="47844C61" w:rsidR="005F025D" w:rsidRPr="00953DCC" w:rsidRDefault="00733267" w:rsidP="005F025D">
      <w:pPr>
        <w:keepNext/>
        <w:rPr>
          <w:lang w:val="fr-FR"/>
        </w:rPr>
      </w:pPr>
      <w:r w:rsidRPr="00953DCC">
        <w:rPr>
          <w:lang w:val="fr-FR"/>
        </w:rPr>
        <w:fldChar w:fldCharType="begin"/>
      </w:r>
      <w:r w:rsidRPr="00953DCC">
        <w:rPr>
          <w:lang w:val="fr-FR"/>
        </w:rPr>
        <w:instrText xml:space="preserve"> AUTONUM  </w:instrText>
      </w:r>
      <w:r w:rsidRPr="00953DCC">
        <w:rPr>
          <w:lang w:val="fr-FR"/>
        </w:rPr>
        <w:fldChar w:fldCharType="end"/>
      </w:r>
      <w:r w:rsidRPr="00953DCC">
        <w:rPr>
          <w:lang w:val="fr-FR"/>
        </w:rPr>
        <w:tab/>
      </w:r>
      <w:r w:rsidR="005F025D" w:rsidRPr="00953DCC">
        <w:rPr>
          <w:lang w:val="fr-FR"/>
        </w:rPr>
        <w:t>Le</w:t>
      </w:r>
      <w:r w:rsidR="0056301D">
        <w:rPr>
          <w:lang w:val="fr-FR"/>
        </w:rPr>
        <w:t> TC</w:t>
      </w:r>
      <w:r w:rsidR="005F025D" w:rsidRPr="00953DCC">
        <w:rPr>
          <w:lang w:val="fr-FR"/>
        </w:rPr>
        <w:t xml:space="preserve"> a décidé</w:t>
      </w:r>
      <w:r w:rsidR="00BF7FC3" w:rsidRPr="00953DCC">
        <w:rPr>
          <w:lang w:val="fr-FR"/>
        </w:rPr>
        <w:t>,</w:t>
      </w:r>
      <w:r w:rsidR="005F025D" w:rsidRPr="00953DCC">
        <w:rPr>
          <w:lang w:val="fr-FR"/>
        </w:rPr>
        <w:t xml:space="preserve"> avec le</w:t>
      </w:r>
      <w:r w:rsidR="00BF7FC3" w:rsidRPr="00953DCC">
        <w:rPr>
          <w:lang w:val="fr-FR"/>
        </w:rPr>
        <w:t> </w:t>
      </w:r>
      <w:r w:rsidR="005F025D" w:rsidRPr="00953DCC">
        <w:rPr>
          <w:lang w:val="fr-FR"/>
        </w:rPr>
        <w:t>BMT</w:t>
      </w:r>
      <w:r w:rsidR="00BF7FC3" w:rsidRPr="00953DCC">
        <w:rPr>
          <w:lang w:val="fr-FR"/>
        </w:rPr>
        <w:t>,</w:t>
      </w:r>
      <w:r w:rsidR="005F025D" w:rsidRPr="00953DCC">
        <w:rPr>
          <w:lang w:val="fr-FR"/>
        </w:rPr>
        <w:t xml:space="preserve"> de proposer une initiative conjointe dans laquelle chaque organisation informerait les autres organisations de l</w:t>
      </w:r>
      <w:r w:rsidR="0056301D">
        <w:rPr>
          <w:lang w:val="fr-FR"/>
        </w:rPr>
        <w:t>’</w:t>
      </w:r>
      <w:r w:rsidR="005F025D" w:rsidRPr="00953DCC">
        <w:rPr>
          <w:lang w:val="fr-FR"/>
        </w:rPr>
        <w:t>utilisation, dans ses travaux, de techniques faisant intervenir des marqueurs moléculaires.</w:t>
      </w:r>
    </w:p>
    <w:p w14:paraId="572951F7" w14:textId="77777777" w:rsidR="005F025D" w:rsidRPr="00953DCC" w:rsidRDefault="005F025D" w:rsidP="00733267">
      <w:pPr>
        <w:rPr>
          <w:lang w:val="fr-FR"/>
        </w:rPr>
      </w:pPr>
    </w:p>
    <w:p w14:paraId="572951F8" w14:textId="21090CB3" w:rsidR="005F025D" w:rsidRPr="00953DCC" w:rsidRDefault="00733267" w:rsidP="00733267">
      <w:pPr>
        <w:rPr>
          <w:lang w:val="fr-FR"/>
        </w:rPr>
      </w:pPr>
      <w:r w:rsidRPr="00953DCC">
        <w:rPr>
          <w:lang w:val="fr-FR"/>
        </w:rPr>
        <w:fldChar w:fldCharType="begin"/>
      </w:r>
      <w:r w:rsidRPr="00953DCC">
        <w:rPr>
          <w:lang w:val="fr-FR"/>
        </w:rPr>
        <w:instrText xml:space="preserve"> AUTONUM  </w:instrText>
      </w:r>
      <w:r w:rsidRPr="00953DCC">
        <w:rPr>
          <w:lang w:val="fr-FR"/>
        </w:rPr>
        <w:fldChar w:fldCharType="end"/>
      </w:r>
      <w:r w:rsidRPr="00953DCC">
        <w:rPr>
          <w:lang w:val="fr-FR"/>
        </w:rPr>
        <w:tab/>
      </w:r>
      <w:r w:rsidR="00961E61" w:rsidRPr="00953DCC">
        <w:rPr>
          <w:lang w:val="fr-FR"/>
        </w:rPr>
        <w:t>Le</w:t>
      </w:r>
      <w:r w:rsidR="0056301D">
        <w:rPr>
          <w:lang w:val="fr-FR"/>
        </w:rPr>
        <w:t> TC</w:t>
      </w:r>
      <w:r w:rsidR="00961E61" w:rsidRPr="00953DCC">
        <w:rPr>
          <w:lang w:val="fr-FR"/>
        </w:rPr>
        <w:t xml:space="preserve"> a noté qu</w:t>
      </w:r>
      <w:r w:rsidR="0056301D">
        <w:rPr>
          <w:lang w:val="fr-FR"/>
        </w:rPr>
        <w:t>’</w:t>
      </w:r>
      <w:r w:rsidR="00961E61" w:rsidRPr="00953DCC">
        <w:rPr>
          <w:lang w:val="fr-FR"/>
        </w:rPr>
        <w:t>il n</w:t>
      </w:r>
      <w:r w:rsidR="0056301D">
        <w:rPr>
          <w:lang w:val="fr-FR"/>
        </w:rPr>
        <w:t>’</w:t>
      </w:r>
      <w:r w:rsidR="00961E61" w:rsidRPr="00953DCC">
        <w:rPr>
          <w:lang w:val="fr-FR"/>
        </w:rPr>
        <w:t>y avait aucune définition des techniques biochimiques et moléculaires à l</w:t>
      </w:r>
      <w:r w:rsidR="0056301D">
        <w:rPr>
          <w:lang w:val="fr-FR"/>
        </w:rPr>
        <w:t>’</w:t>
      </w:r>
      <w:r w:rsidR="00961E61" w:rsidRPr="00953DCC">
        <w:rPr>
          <w:lang w:val="fr-FR"/>
        </w:rPr>
        <w:t>U</w:t>
      </w:r>
      <w:r w:rsidR="0011329B" w:rsidRPr="00953DCC">
        <w:rPr>
          <w:lang w:val="fr-FR"/>
        </w:rPr>
        <w:t>POV</w:t>
      </w:r>
      <w:r w:rsidR="0011329B">
        <w:rPr>
          <w:lang w:val="fr-FR"/>
        </w:rPr>
        <w:t xml:space="preserve">.  </w:t>
      </w:r>
      <w:r w:rsidR="0011329B" w:rsidRPr="00953DCC">
        <w:rPr>
          <w:lang w:val="fr-FR"/>
        </w:rPr>
        <w:t>Il</w:t>
      </w:r>
      <w:r w:rsidR="00E95459" w:rsidRPr="00953DCC">
        <w:rPr>
          <w:lang w:val="fr-FR"/>
        </w:rPr>
        <w:t xml:space="preserve"> a décidé que les informations tirées de l</w:t>
      </w:r>
      <w:r w:rsidR="0056301D">
        <w:rPr>
          <w:lang w:val="fr-FR"/>
        </w:rPr>
        <w:t>’</w:t>
      </w:r>
      <w:r w:rsidR="00E95459" w:rsidRPr="00953DCC">
        <w:rPr>
          <w:lang w:val="fr-FR"/>
        </w:rPr>
        <w:t>enquête sur les techniques pourraient aider à clarifier les techniques considérées comme biochimiques ou moléculaires.</w:t>
      </w:r>
    </w:p>
    <w:p w14:paraId="572951F9" w14:textId="77777777" w:rsidR="005F025D" w:rsidRPr="00953DCC" w:rsidRDefault="005F025D" w:rsidP="00733267">
      <w:pPr>
        <w:rPr>
          <w:lang w:val="fr-FR"/>
        </w:rPr>
      </w:pPr>
    </w:p>
    <w:p w14:paraId="572951FA" w14:textId="16D9EF99" w:rsidR="005F025D" w:rsidRPr="00953DCC" w:rsidRDefault="00733267" w:rsidP="005F025D">
      <w:pPr>
        <w:rPr>
          <w:lang w:val="fr-FR"/>
        </w:rPr>
      </w:pPr>
      <w:r w:rsidRPr="00953DCC">
        <w:rPr>
          <w:lang w:val="fr-FR"/>
        </w:rPr>
        <w:fldChar w:fldCharType="begin"/>
      </w:r>
      <w:r w:rsidRPr="00953DCC">
        <w:rPr>
          <w:lang w:val="fr-FR"/>
        </w:rPr>
        <w:instrText xml:space="preserve"> AUTONUM  </w:instrText>
      </w:r>
      <w:r w:rsidRPr="00953DCC">
        <w:rPr>
          <w:lang w:val="fr-FR"/>
        </w:rPr>
        <w:fldChar w:fldCharType="end"/>
      </w:r>
      <w:r w:rsidRPr="00953DCC">
        <w:rPr>
          <w:lang w:val="fr-FR"/>
        </w:rPr>
        <w:tab/>
      </w:r>
      <w:r w:rsidR="005F025D" w:rsidRPr="00953DCC">
        <w:rPr>
          <w:lang w:val="fr-FR"/>
        </w:rPr>
        <w:t>L</w:t>
      </w:r>
      <w:r w:rsidR="0056301D">
        <w:rPr>
          <w:lang w:val="fr-FR"/>
        </w:rPr>
        <w:t>’</w:t>
      </w:r>
      <w:r w:rsidR="005F025D" w:rsidRPr="00953DCC">
        <w:rPr>
          <w:lang w:val="fr-FR"/>
        </w:rPr>
        <w:t>UPOV, l</w:t>
      </w:r>
      <w:r w:rsidR="0056301D">
        <w:rPr>
          <w:lang w:val="fr-FR"/>
        </w:rPr>
        <w:t>’</w:t>
      </w:r>
      <w:r w:rsidR="005F025D" w:rsidRPr="00953DCC">
        <w:rPr>
          <w:lang w:val="fr-FR"/>
        </w:rPr>
        <w:t>OCDE et l</w:t>
      </w:r>
      <w:r w:rsidR="0056301D">
        <w:rPr>
          <w:lang w:val="fr-FR"/>
        </w:rPr>
        <w:t>’</w:t>
      </w:r>
      <w:r w:rsidR="005F025D" w:rsidRPr="00953DCC">
        <w:rPr>
          <w:lang w:val="fr-FR"/>
        </w:rPr>
        <w:t>ISTA ont organisé conjointement des ateliers dans le domaine des techniques moléculaires, dont</w:t>
      </w:r>
      <w:r w:rsidR="0056301D">
        <w:rPr>
          <w:lang w:val="fr-FR"/>
        </w:rPr>
        <w:t> :</w:t>
      </w:r>
    </w:p>
    <w:p w14:paraId="572951FB" w14:textId="77777777" w:rsidR="005F025D" w:rsidRPr="00953DCC" w:rsidRDefault="005F025D" w:rsidP="00733267">
      <w:pPr>
        <w:rPr>
          <w:lang w:val="fr-FR"/>
        </w:rPr>
      </w:pPr>
    </w:p>
    <w:p w14:paraId="572951FC" w14:textId="2833C220" w:rsidR="005F025D" w:rsidRPr="00953DCC" w:rsidRDefault="005F025D" w:rsidP="00D62A2C">
      <w:pPr>
        <w:tabs>
          <w:tab w:val="left" w:pos="1134"/>
        </w:tabs>
        <w:ind w:left="1134" w:hanging="567"/>
        <w:rPr>
          <w:lang w:val="fr-FR"/>
        </w:rPr>
      </w:pPr>
      <w:r w:rsidRPr="00953DCC">
        <w:rPr>
          <w:lang w:val="fr-FR"/>
        </w:rPr>
        <w:t>a)</w:t>
      </w:r>
      <w:r w:rsidR="00D62A2C" w:rsidRPr="00953DCC">
        <w:rPr>
          <w:lang w:val="fr-FR"/>
        </w:rPr>
        <w:tab/>
      </w:r>
      <w:r w:rsidRPr="00953DCC">
        <w:rPr>
          <w:lang w:val="fr-FR"/>
        </w:rPr>
        <w:t>un atelier organisé par l</w:t>
      </w:r>
      <w:r w:rsidR="0056301D">
        <w:rPr>
          <w:lang w:val="fr-FR"/>
        </w:rPr>
        <w:t>’</w:t>
      </w:r>
      <w:r w:rsidRPr="00953DCC">
        <w:rPr>
          <w:lang w:val="fr-FR"/>
        </w:rPr>
        <w:t>UPOV à Séoul (République de Corée) le 12</w:t>
      </w:r>
      <w:r w:rsidR="00632328" w:rsidRPr="00953DCC">
        <w:rPr>
          <w:lang w:val="fr-FR"/>
        </w:rPr>
        <w:t> </w:t>
      </w:r>
      <w:r w:rsidRPr="00953DCC">
        <w:rPr>
          <w:lang w:val="fr-FR"/>
        </w:rPr>
        <w:t>novembre</w:t>
      </w:r>
      <w:r w:rsidR="00632328" w:rsidRPr="00953DCC">
        <w:rPr>
          <w:lang w:val="fr-FR"/>
        </w:rPr>
        <w:t> </w:t>
      </w:r>
      <w:r w:rsidRPr="00953DCC">
        <w:rPr>
          <w:lang w:val="fr-FR"/>
        </w:rPr>
        <w:t>2014, parallèlement à la quatorz</w:t>
      </w:r>
      <w:r w:rsidR="0056301D">
        <w:rPr>
          <w:lang w:val="fr-FR"/>
        </w:rPr>
        <w:t>ième session</w:t>
      </w:r>
      <w:r w:rsidRPr="00953DCC">
        <w:rPr>
          <w:lang w:val="fr-FR"/>
        </w:rPr>
        <w:t xml:space="preserve"> du</w:t>
      </w:r>
      <w:r w:rsidR="00632328" w:rsidRPr="00953DCC">
        <w:rPr>
          <w:lang w:val="fr-FR"/>
        </w:rPr>
        <w:t> </w:t>
      </w:r>
      <w:r w:rsidRPr="00953DCC">
        <w:rPr>
          <w:lang w:val="fr-FR"/>
        </w:rPr>
        <w:t>BMT</w:t>
      </w:r>
      <w:r w:rsidR="00D62A2C" w:rsidRPr="00953DCC">
        <w:rPr>
          <w:lang w:val="fr-FR"/>
        </w:rPr>
        <w:t>;</w:t>
      </w:r>
    </w:p>
    <w:p w14:paraId="572951FD" w14:textId="511662C0" w:rsidR="005F025D" w:rsidRPr="00953DCC" w:rsidRDefault="005F025D" w:rsidP="005F025D">
      <w:pPr>
        <w:tabs>
          <w:tab w:val="left" w:pos="1134"/>
        </w:tabs>
        <w:ind w:left="1134" w:hanging="567"/>
        <w:rPr>
          <w:lang w:val="fr-FR"/>
        </w:rPr>
      </w:pPr>
      <w:r w:rsidRPr="00953DCC">
        <w:rPr>
          <w:lang w:val="fr-FR"/>
        </w:rPr>
        <w:t>b)</w:t>
      </w:r>
      <w:r w:rsidR="00D62A2C" w:rsidRPr="00953DCC">
        <w:rPr>
          <w:lang w:val="fr-FR"/>
        </w:rPr>
        <w:tab/>
      </w:r>
      <w:r w:rsidRPr="00953DCC">
        <w:rPr>
          <w:lang w:val="fr-FR"/>
        </w:rPr>
        <w:t>un atelier organisé par l</w:t>
      </w:r>
      <w:r w:rsidR="0056301D">
        <w:rPr>
          <w:lang w:val="fr-FR"/>
        </w:rPr>
        <w:t>’</w:t>
      </w:r>
      <w:r w:rsidRPr="00953DCC">
        <w:rPr>
          <w:lang w:val="fr-FR"/>
        </w:rPr>
        <w:t>OCDE à Paris (France) le 8</w:t>
      </w:r>
      <w:r w:rsidR="00D62A2C" w:rsidRPr="00953DCC">
        <w:rPr>
          <w:lang w:val="fr-FR"/>
        </w:rPr>
        <w:t> </w:t>
      </w:r>
      <w:r w:rsidRPr="00953DCC">
        <w:rPr>
          <w:lang w:val="fr-FR"/>
        </w:rPr>
        <w:t>juin</w:t>
      </w:r>
      <w:r w:rsidR="00D62A2C" w:rsidRPr="00953DCC">
        <w:rPr>
          <w:lang w:val="fr-FR"/>
        </w:rPr>
        <w:t> </w:t>
      </w:r>
      <w:r w:rsidRPr="00953DCC">
        <w:rPr>
          <w:lang w:val="fr-FR"/>
        </w:rPr>
        <w:t>2016, avant la Réunion annuelle sur les systèmes de semences de l</w:t>
      </w:r>
      <w:r w:rsidR="0056301D">
        <w:rPr>
          <w:lang w:val="fr-FR"/>
        </w:rPr>
        <w:t>’</w:t>
      </w:r>
      <w:r w:rsidRPr="00953DCC">
        <w:rPr>
          <w:lang w:val="fr-FR"/>
        </w:rPr>
        <w:t>OCDE</w:t>
      </w:r>
      <w:r w:rsidR="00D62A2C" w:rsidRPr="00953DCC">
        <w:rPr>
          <w:lang w:val="fr-FR"/>
        </w:rPr>
        <w:t>;</w:t>
      </w:r>
    </w:p>
    <w:p w14:paraId="572951FE" w14:textId="60E364A1" w:rsidR="005F025D" w:rsidRPr="00953DCC" w:rsidRDefault="005F025D" w:rsidP="005F025D">
      <w:pPr>
        <w:tabs>
          <w:tab w:val="left" w:pos="1134"/>
        </w:tabs>
        <w:ind w:left="1134" w:hanging="567"/>
        <w:rPr>
          <w:lang w:val="fr-FR"/>
        </w:rPr>
      </w:pPr>
      <w:r w:rsidRPr="00953DCC">
        <w:rPr>
          <w:lang w:val="fr-FR"/>
        </w:rPr>
        <w:t>c)</w:t>
      </w:r>
      <w:r w:rsidR="00D62A2C" w:rsidRPr="00953DCC">
        <w:rPr>
          <w:lang w:val="fr-FR"/>
        </w:rPr>
        <w:tab/>
      </w:r>
      <w:r w:rsidRPr="00953DCC">
        <w:rPr>
          <w:lang w:val="fr-FR"/>
        </w:rPr>
        <w:t>un atelier organisé par l</w:t>
      </w:r>
      <w:r w:rsidR="0056301D">
        <w:rPr>
          <w:lang w:val="fr-FR"/>
        </w:rPr>
        <w:t>’</w:t>
      </w:r>
      <w:r w:rsidRPr="00953DCC">
        <w:rPr>
          <w:lang w:val="fr-FR"/>
        </w:rPr>
        <w:t>ISTA à Hyderabad (Inde) le 29</w:t>
      </w:r>
      <w:r w:rsidR="00D62A2C" w:rsidRPr="00953DCC">
        <w:rPr>
          <w:lang w:val="fr-FR"/>
        </w:rPr>
        <w:t> </w:t>
      </w:r>
      <w:r w:rsidRPr="00953DCC">
        <w:rPr>
          <w:lang w:val="fr-FR"/>
        </w:rPr>
        <w:t>juin</w:t>
      </w:r>
      <w:r w:rsidR="00D62A2C" w:rsidRPr="00953DCC">
        <w:rPr>
          <w:lang w:val="fr-FR"/>
        </w:rPr>
        <w:t> </w:t>
      </w:r>
      <w:r w:rsidRPr="00953DCC">
        <w:rPr>
          <w:lang w:val="fr-FR"/>
        </w:rPr>
        <w:t>2019, parallèlement au Congrès de l</w:t>
      </w:r>
      <w:r w:rsidR="0056301D">
        <w:rPr>
          <w:lang w:val="fr-FR"/>
        </w:rPr>
        <w:t>’</w:t>
      </w:r>
      <w:r w:rsidRPr="00953DCC">
        <w:rPr>
          <w:lang w:val="fr-FR"/>
        </w:rPr>
        <w:t>ISTA</w:t>
      </w:r>
      <w:r w:rsidR="0011329B">
        <w:rPr>
          <w:lang w:val="fr-FR"/>
        </w:rPr>
        <w:t> </w:t>
      </w:r>
      <w:r w:rsidRPr="00953DCC">
        <w:rPr>
          <w:lang w:val="fr-FR"/>
        </w:rPr>
        <w:t>2019.</w:t>
      </w:r>
    </w:p>
    <w:p w14:paraId="572951FF" w14:textId="77777777" w:rsidR="005F025D" w:rsidRPr="00953DCC" w:rsidRDefault="005F025D" w:rsidP="0076331E">
      <w:pPr>
        <w:pStyle w:val="Heading3"/>
        <w:rPr>
          <w:highlight w:val="cyan"/>
        </w:rPr>
      </w:pPr>
    </w:p>
    <w:p w14:paraId="6F5202F9" w14:textId="1BBB88BC" w:rsidR="0056301D" w:rsidRDefault="00CC3226" w:rsidP="0076331E">
      <w:pPr>
        <w:pStyle w:val="Heading3"/>
      </w:pPr>
      <w:r w:rsidRPr="00953DCC">
        <w:t>Thèmes d</w:t>
      </w:r>
      <w:r w:rsidR="0056301D">
        <w:t>’</w:t>
      </w:r>
      <w:r w:rsidRPr="00953DCC">
        <w:t>étude possibles en vue d</w:t>
      </w:r>
      <w:r w:rsidR="0056301D">
        <w:t>’</w:t>
      </w:r>
      <w:r w:rsidRPr="00953DCC">
        <w:t>un futur atelier conjoint UPOV/OCDE/ISTA</w:t>
      </w:r>
    </w:p>
    <w:p w14:paraId="57295201" w14:textId="34244AB0" w:rsidR="005F025D" w:rsidRPr="00953DCC" w:rsidRDefault="005F025D" w:rsidP="00733267">
      <w:pPr>
        <w:rPr>
          <w:highlight w:val="cyan"/>
          <w:lang w:val="fr-FR"/>
        </w:rPr>
      </w:pPr>
    </w:p>
    <w:p w14:paraId="57295202" w14:textId="0A432B4F" w:rsidR="005F025D" w:rsidRPr="00953DCC" w:rsidRDefault="00DD6975" w:rsidP="005F025D">
      <w:pPr>
        <w:rPr>
          <w:lang w:val="fr-FR"/>
        </w:rPr>
      </w:pPr>
      <w:r w:rsidRPr="00953DCC">
        <w:rPr>
          <w:lang w:val="fr-FR"/>
        </w:rPr>
        <w:fldChar w:fldCharType="begin"/>
      </w:r>
      <w:r w:rsidRPr="00953DCC">
        <w:rPr>
          <w:lang w:val="fr-FR"/>
        </w:rPr>
        <w:instrText xml:space="preserve"> AUTONUM  </w:instrText>
      </w:r>
      <w:r w:rsidRPr="00953DCC">
        <w:rPr>
          <w:lang w:val="fr-FR"/>
        </w:rPr>
        <w:fldChar w:fldCharType="end"/>
      </w:r>
      <w:r w:rsidRPr="00953DCC">
        <w:rPr>
          <w:lang w:val="fr-FR"/>
        </w:rPr>
        <w:tab/>
      </w:r>
      <w:r w:rsidR="00430368" w:rsidRPr="00953DCC">
        <w:rPr>
          <w:lang w:val="fr-FR"/>
        </w:rPr>
        <w:t>Le</w:t>
      </w:r>
      <w:r w:rsidR="0056301D">
        <w:rPr>
          <w:lang w:val="fr-FR"/>
        </w:rPr>
        <w:t> TC</w:t>
      </w:r>
      <w:r w:rsidR="00430368" w:rsidRPr="00953DCC">
        <w:rPr>
          <w:lang w:val="fr-FR"/>
        </w:rPr>
        <w:t>, à sa cinquante</w:t>
      </w:r>
      <w:r w:rsidR="00456121">
        <w:rPr>
          <w:lang w:val="fr-FR"/>
        </w:rPr>
        <w:noBreakHyphen/>
      </w:r>
      <w:r w:rsidR="00430368" w:rsidRPr="00953DCC">
        <w:rPr>
          <w:lang w:val="fr-FR"/>
        </w:rPr>
        <w:t>six</w:t>
      </w:r>
      <w:r w:rsidR="0056301D">
        <w:rPr>
          <w:lang w:val="fr-FR"/>
        </w:rPr>
        <w:t>ième session</w:t>
      </w:r>
      <w:r w:rsidR="00430368" w:rsidRPr="00953DCC">
        <w:rPr>
          <w:lang w:val="fr-FR"/>
        </w:rPr>
        <w:t xml:space="preserve">, </w:t>
      </w:r>
      <w:r w:rsidR="005A7630" w:rsidRPr="00953DCC">
        <w:rPr>
          <w:lang w:val="fr-FR"/>
        </w:rPr>
        <w:t xml:space="preserve">était </w:t>
      </w:r>
      <w:r w:rsidR="00430368" w:rsidRPr="00953DCC">
        <w:rPr>
          <w:lang w:val="fr-FR"/>
        </w:rPr>
        <w:t>convenu qu</w:t>
      </w:r>
      <w:r w:rsidR="0056301D">
        <w:rPr>
          <w:lang w:val="fr-FR"/>
        </w:rPr>
        <w:t>’</w:t>
      </w:r>
      <w:r w:rsidR="00430368" w:rsidRPr="00953DCC">
        <w:rPr>
          <w:lang w:val="fr-FR"/>
        </w:rPr>
        <w:t>un nouvel atelier conjoint de l</w:t>
      </w:r>
      <w:r w:rsidR="0056301D">
        <w:rPr>
          <w:lang w:val="fr-FR"/>
        </w:rPr>
        <w:t>’</w:t>
      </w:r>
      <w:r w:rsidR="00430368" w:rsidRPr="00953DCC">
        <w:rPr>
          <w:lang w:val="fr-FR"/>
        </w:rPr>
        <w:t>OCDE, de l</w:t>
      </w:r>
      <w:r w:rsidR="0056301D">
        <w:rPr>
          <w:lang w:val="fr-FR"/>
        </w:rPr>
        <w:t>’</w:t>
      </w:r>
      <w:r w:rsidR="00430368" w:rsidRPr="00953DCC">
        <w:rPr>
          <w:lang w:val="fr-FR"/>
        </w:rPr>
        <w:t>UPOV et de l</w:t>
      </w:r>
      <w:r w:rsidR="0056301D">
        <w:rPr>
          <w:lang w:val="fr-FR"/>
        </w:rPr>
        <w:t>’</w:t>
      </w:r>
      <w:r w:rsidR="00430368" w:rsidRPr="00953DCC">
        <w:rPr>
          <w:lang w:val="fr-FR"/>
        </w:rPr>
        <w:t>ISTA dans le domaine des techniques moléculaires devrait être organisé dans un avenir proc</w:t>
      </w:r>
      <w:r w:rsidR="0011329B" w:rsidRPr="00953DCC">
        <w:rPr>
          <w:lang w:val="fr-FR"/>
        </w:rPr>
        <w:t>he</w:t>
      </w:r>
      <w:r w:rsidR="0011329B">
        <w:rPr>
          <w:lang w:val="fr-FR"/>
        </w:rPr>
        <w:t xml:space="preserve">.  </w:t>
      </w:r>
      <w:r w:rsidR="0011329B" w:rsidRPr="00953DCC">
        <w:rPr>
          <w:lang w:val="fr-FR"/>
        </w:rPr>
        <w:t>Le</w:t>
      </w:r>
      <w:r w:rsidR="0056301D">
        <w:rPr>
          <w:lang w:val="fr-FR"/>
        </w:rPr>
        <w:t> TC</w:t>
      </w:r>
      <w:r w:rsidR="005F025D" w:rsidRPr="00953DCC">
        <w:rPr>
          <w:lang w:val="fr-FR"/>
        </w:rPr>
        <w:t xml:space="preserve"> </w:t>
      </w:r>
      <w:r w:rsidR="00CD3344" w:rsidRPr="00953DCC">
        <w:rPr>
          <w:lang w:val="fr-FR"/>
        </w:rPr>
        <w:t xml:space="preserve">est convenu </w:t>
      </w:r>
      <w:r w:rsidR="005F025D" w:rsidRPr="00953DCC">
        <w:rPr>
          <w:lang w:val="fr-FR"/>
        </w:rPr>
        <w:t>que l</w:t>
      </w:r>
      <w:r w:rsidR="0056301D">
        <w:rPr>
          <w:lang w:val="fr-FR"/>
        </w:rPr>
        <w:t>’</w:t>
      </w:r>
      <w:r w:rsidR="005F025D" w:rsidRPr="00953DCC">
        <w:rPr>
          <w:lang w:val="fr-FR"/>
        </w:rPr>
        <w:t>organisation d</w:t>
      </w:r>
      <w:r w:rsidR="0056301D">
        <w:rPr>
          <w:lang w:val="fr-FR"/>
        </w:rPr>
        <w:t>’</w:t>
      </w:r>
      <w:r w:rsidR="005F025D" w:rsidRPr="00953DCC">
        <w:rPr>
          <w:lang w:val="fr-FR"/>
        </w:rPr>
        <w:t>un nouvel atelier conjoint de l</w:t>
      </w:r>
      <w:r w:rsidR="0056301D">
        <w:rPr>
          <w:lang w:val="fr-FR"/>
        </w:rPr>
        <w:t>’</w:t>
      </w:r>
      <w:r w:rsidR="005F025D" w:rsidRPr="00953DCC">
        <w:rPr>
          <w:lang w:val="fr-FR"/>
        </w:rPr>
        <w:t>OCDE, de l</w:t>
      </w:r>
      <w:r w:rsidR="0056301D">
        <w:rPr>
          <w:lang w:val="fr-FR"/>
        </w:rPr>
        <w:t>’</w:t>
      </w:r>
      <w:r w:rsidR="005F025D" w:rsidRPr="00953DCC">
        <w:rPr>
          <w:lang w:val="fr-FR"/>
        </w:rPr>
        <w:t>UPOV et de l</w:t>
      </w:r>
      <w:r w:rsidR="0056301D">
        <w:rPr>
          <w:lang w:val="fr-FR"/>
        </w:rPr>
        <w:t>’</w:t>
      </w:r>
      <w:r w:rsidR="005F025D" w:rsidRPr="00953DCC">
        <w:rPr>
          <w:lang w:val="fr-FR"/>
        </w:rPr>
        <w:t xml:space="preserve">ISTA </w:t>
      </w:r>
      <w:r w:rsidR="00A40981" w:rsidRPr="00953DCC">
        <w:rPr>
          <w:lang w:val="fr-FR"/>
        </w:rPr>
        <w:t xml:space="preserve">sur </w:t>
      </w:r>
      <w:r w:rsidR="00291904" w:rsidRPr="00953DCC">
        <w:rPr>
          <w:lang w:val="fr-FR"/>
        </w:rPr>
        <w:t xml:space="preserve">les </w:t>
      </w:r>
      <w:r w:rsidR="005F025D" w:rsidRPr="00953DCC">
        <w:rPr>
          <w:lang w:val="fr-FR"/>
        </w:rPr>
        <w:t>techniques moléculaires permettrait d</w:t>
      </w:r>
      <w:r w:rsidR="0056301D">
        <w:rPr>
          <w:lang w:val="fr-FR"/>
        </w:rPr>
        <w:t>’</w:t>
      </w:r>
      <w:r w:rsidR="005F025D" w:rsidRPr="00953DCC">
        <w:rPr>
          <w:lang w:val="fr-FR"/>
        </w:rPr>
        <w:t>examiner les définitions utilisées dans ce domaine en vue de les harmoniser.</w:t>
      </w:r>
    </w:p>
    <w:p w14:paraId="57295203" w14:textId="77777777" w:rsidR="005F025D" w:rsidRPr="00953DCC" w:rsidRDefault="005F025D" w:rsidP="00733267">
      <w:pPr>
        <w:rPr>
          <w:lang w:val="fr-FR"/>
        </w:rPr>
      </w:pPr>
    </w:p>
    <w:p w14:paraId="57295204" w14:textId="3C812321" w:rsidR="005F025D" w:rsidRPr="00953DCC" w:rsidRDefault="00DE3A86" w:rsidP="002C77EB">
      <w:pPr>
        <w:keepNext/>
        <w:rPr>
          <w:lang w:val="fr-FR"/>
        </w:rPr>
      </w:pPr>
      <w:r w:rsidRPr="00953DCC">
        <w:rPr>
          <w:lang w:val="fr-FR"/>
        </w:rPr>
        <w:lastRenderedPageBreak/>
        <w:fldChar w:fldCharType="begin"/>
      </w:r>
      <w:r w:rsidRPr="00953DCC">
        <w:rPr>
          <w:lang w:val="fr-FR"/>
        </w:rPr>
        <w:instrText xml:space="preserve"> AUTONUM  </w:instrText>
      </w:r>
      <w:r w:rsidRPr="00953DCC">
        <w:rPr>
          <w:lang w:val="fr-FR"/>
        </w:rPr>
        <w:fldChar w:fldCharType="end"/>
      </w:r>
      <w:r w:rsidRPr="00953DCC">
        <w:rPr>
          <w:lang w:val="fr-FR"/>
        </w:rPr>
        <w:tab/>
      </w:r>
      <w:r w:rsidR="004365F1" w:rsidRPr="00953DCC">
        <w:rPr>
          <w:lang w:val="fr-FR"/>
        </w:rPr>
        <w:t>Le BMT, à sa vingt</w:t>
      </w:r>
      <w:r w:rsidR="0056301D">
        <w:rPr>
          <w:lang w:val="fr-FR"/>
        </w:rPr>
        <w:t>ième session</w:t>
      </w:r>
      <w:r w:rsidR="00CA3E70" w:rsidRPr="00953DCC">
        <w:rPr>
          <w:rStyle w:val="FootnoteReference"/>
          <w:lang w:val="fr-FR"/>
        </w:rPr>
        <w:footnoteReference w:id="5"/>
      </w:r>
      <w:r w:rsidR="004B020C" w:rsidRPr="00953DCC">
        <w:rPr>
          <w:lang w:val="fr-FR"/>
        </w:rPr>
        <w:t>,</w:t>
      </w:r>
      <w:r w:rsidR="004365F1" w:rsidRPr="00953DCC">
        <w:rPr>
          <w:lang w:val="fr-FR"/>
        </w:rPr>
        <w:t xml:space="preserve"> </w:t>
      </w:r>
      <w:r w:rsidR="004B020C" w:rsidRPr="00953DCC">
        <w:rPr>
          <w:lang w:val="fr-FR"/>
        </w:rPr>
        <w:t xml:space="preserve">a </w:t>
      </w:r>
      <w:r w:rsidR="004365F1" w:rsidRPr="00953DCC">
        <w:rPr>
          <w:lang w:val="fr-FR"/>
        </w:rPr>
        <w:t>noté qu</w:t>
      </w:r>
      <w:r w:rsidR="0056301D">
        <w:rPr>
          <w:lang w:val="fr-FR"/>
        </w:rPr>
        <w:t>’</w:t>
      </w:r>
      <w:r w:rsidR="004365F1" w:rsidRPr="00953DCC">
        <w:rPr>
          <w:lang w:val="fr-FR"/>
        </w:rPr>
        <w:t>un sondage avait été effectué au cours de sa vingt</w:t>
      </w:r>
      <w:r w:rsidR="0056301D">
        <w:rPr>
          <w:lang w:val="fr-FR"/>
        </w:rPr>
        <w:t>ième session</w:t>
      </w:r>
      <w:r w:rsidR="004365F1" w:rsidRPr="00953DCC">
        <w:rPr>
          <w:lang w:val="fr-FR"/>
        </w:rPr>
        <w:t xml:space="preserve"> pour </w:t>
      </w:r>
      <w:r w:rsidR="001C6ACF" w:rsidRPr="00953DCC">
        <w:rPr>
          <w:lang w:val="fr-FR"/>
        </w:rPr>
        <w:t xml:space="preserve">recueillir </w:t>
      </w:r>
      <w:r w:rsidR="004365F1" w:rsidRPr="00953DCC">
        <w:rPr>
          <w:lang w:val="fr-FR"/>
        </w:rPr>
        <w:t>les informations suivantes auprès des participants</w:t>
      </w:r>
      <w:r w:rsidR="0056301D">
        <w:rPr>
          <w:lang w:val="fr-FR"/>
        </w:rPr>
        <w:t> :</w:t>
      </w:r>
    </w:p>
    <w:p w14:paraId="57295205" w14:textId="77777777" w:rsidR="005F025D" w:rsidRPr="00953DCC" w:rsidRDefault="005F025D" w:rsidP="00DE3A86">
      <w:pPr>
        <w:rPr>
          <w:lang w:val="fr-FR"/>
        </w:rPr>
      </w:pPr>
    </w:p>
    <w:p w14:paraId="57295206" w14:textId="1D799A4C" w:rsidR="005F025D" w:rsidRPr="00953DCC" w:rsidRDefault="005F025D" w:rsidP="00456121">
      <w:pPr>
        <w:pStyle w:val="ListParagraph"/>
        <w:numPr>
          <w:ilvl w:val="0"/>
          <w:numId w:val="5"/>
        </w:numPr>
        <w:ind w:left="1134" w:hanging="567"/>
        <w:rPr>
          <w:lang w:val="fr-FR"/>
        </w:rPr>
      </w:pPr>
      <w:r w:rsidRPr="00953DCC">
        <w:rPr>
          <w:lang w:val="fr-FR"/>
        </w:rPr>
        <w:t>Quels sont les domaines d</w:t>
      </w:r>
      <w:r w:rsidR="0056301D">
        <w:rPr>
          <w:lang w:val="fr-FR"/>
        </w:rPr>
        <w:t>’</w:t>
      </w:r>
      <w:r w:rsidRPr="00953DCC">
        <w:rPr>
          <w:lang w:val="fr-FR"/>
        </w:rPr>
        <w:t>intérêt commun entre l</w:t>
      </w:r>
      <w:r w:rsidR="0056301D">
        <w:rPr>
          <w:lang w:val="fr-FR"/>
        </w:rPr>
        <w:t>’</w:t>
      </w:r>
      <w:r w:rsidRPr="00953DCC">
        <w:rPr>
          <w:lang w:val="fr-FR"/>
        </w:rPr>
        <w:t>UPOV, l</w:t>
      </w:r>
      <w:r w:rsidR="0056301D">
        <w:rPr>
          <w:lang w:val="fr-FR"/>
        </w:rPr>
        <w:t>’</w:t>
      </w:r>
      <w:r w:rsidRPr="00953DCC">
        <w:rPr>
          <w:lang w:val="fr-FR"/>
        </w:rPr>
        <w:t>OCDE et l</w:t>
      </w:r>
      <w:r w:rsidR="0056301D">
        <w:rPr>
          <w:lang w:val="fr-FR"/>
        </w:rPr>
        <w:t>’</w:t>
      </w:r>
      <w:r w:rsidRPr="00953DCC">
        <w:rPr>
          <w:lang w:val="fr-FR"/>
        </w:rPr>
        <w:t xml:space="preserve">ISTA </w:t>
      </w:r>
      <w:r w:rsidR="0079085A" w:rsidRPr="00953DCC">
        <w:rPr>
          <w:lang w:val="fr-FR"/>
        </w:rPr>
        <w:t xml:space="preserve">concernant </w:t>
      </w:r>
      <w:r w:rsidRPr="00953DCC">
        <w:rPr>
          <w:lang w:val="fr-FR"/>
        </w:rPr>
        <w:t>l</w:t>
      </w:r>
      <w:r w:rsidR="0056301D">
        <w:rPr>
          <w:lang w:val="fr-FR"/>
        </w:rPr>
        <w:t>’</w:t>
      </w:r>
      <w:r w:rsidRPr="00953DCC">
        <w:rPr>
          <w:lang w:val="fr-FR"/>
        </w:rPr>
        <w:t>utilisation des techniques biochimiques et moléculaires?</w:t>
      </w:r>
    </w:p>
    <w:p w14:paraId="57295207" w14:textId="34224063" w:rsidR="005F025D" w:rsidRPr="00953DCC" w:rsidRDefault="005F025D" w:rsidP="00456121">
      <w:pPr>
        <w:pStyle w:val="ListParagraph"/>
        <w:numPr>
          <w:ilvl w:val="0"/>
          <w:numId w:val="5"/>
        </w:numPr>
        <w:ind w:left="1134" w:hanging="567"/>
        <w:rPr>
          <w:lang w:val="fr-FR"/>
        </w:rPr>
      </w:pPr>
      <w:r w:rsidRPr="00953DCC">
        <w:rPr>
          <w:lang w:val="fr-FR"/>
        </w:rPr>
        <w:t>Quels thèmes conviendraient pour un atelier organisé conjointement par l</w:t>
      </w:r>
      <w:r w:rsidR="0056301D">
        <w:rPr>
          <w:lang w:val="fr-FR"/>
        </w:rPr>
        <w:t>’</w:t>
      </w:r>
      <w:r w:rsidRPr="00953DCC">
        <w:rPr>
          <w:lang w:val="fr-FR"/>
        </w:rPr>
        <w:t>UPOV, l</w:t>
      </w:r>
      <w:r w:rsidR="0056301D">
        <w:rPr>
          <w:lang w:val="fr-FR"/>
        </w:rPr>
        <w:t>’</w:t>
      </w:r>
      <w:r w:rsidRPr="00953DCC">
        <w:rPr>
          <w:lang w:val="fr-FR"/>
        </w:rPr>
        <w:t>OCDE et l</w:t>
      </w:r>
      <w:r w:rsidR="0056301D">
        <w:rPr>
          <w:lang w:val="fr-FR"/>
        </w:rPr>
        <w:t>’</w:t>
      </w:r>
      <w:r w:rsidRPr="00953DCC">
        <w:rPr>
          <w:lang w:val="fr-FR"/>
        </w:rPr>
        <w:t>ISTA sur les techniques biochimiques et moléculaires?</w:t>
      </w:r>
    </w:p>
    <w:p w14:paraId="57295208" w14:textId="77777777" w:rsidR="005F025D" w:rsidRPr="00953DCC" w:rsidRDefault="005F025D" w:rsidP="00DE3A86">
      <w:pPr>
        <w:rPr>
          <w:lang w:val="fr-FR"/>
        </w:rPr>
      </w:pPr>
    </w:p>
    <w:p w14:paraId="57295209" w14:textId="045EF14B" w:rsidR="005F025D" w:rsidRPr="00953DCC" w:rsidRDefault="00DE3A86" w:rsidP="00DE3A86">
      <w:pPr>
        <w:rPr>
          <w:lang w:val="fr-FR"/>
        </w:rPr>
      </w:pPr>
      <w:r w:rsidRPr="00953DCC">
        <w:rPr>
          <w:lang w:val="fr-FR"/>
        </w:rPr>
        <w:fldChar w:fldCharType="begin"/>
      </w:r>
      <w:r w:rsidRPr="00953DCC">
        <w:rPr>
          <w:lang w:val="fr-FR"/>
        </w:rPr>
        <w:instrText xml:space="preserve"> AUTONUM  </w:instrText>
      </w:r>
      <w:r w:rsidRPr="00953DCC">
        <w:rPr>
          <w:lang w:val="fr-FR"/>
        </w:rPr>
        <w:fldChar w:fldCharType="end"/>
      </w:r>
      <w:r w:rsidRPr="00953DCC">
        <w:rPr>
          <w:lang w:val="fr-FR"/>
        </w:rPr>
        <w:tab/>
      </w:r>
      <w:r w:rsidR="00FA1704" w:rsidRPr="00953DCC">
        <w:rPr>
          <w:lang w:val="fr-FR"/>
        </w:rPr>
        <w:t>Le BMT a examin</w:t>
      </w:r>
      <w:r w:rsidR="00992590" w:rsidRPr="00953DCC">
        <w:rPr>
          <w:lang w:val="fr-FR"/>
        </w:rPr>
        <w:t>é</w:t>
      </w:r>
      <w:r w:rsidR="00FA1704" w:rsidRPr="00953DCC">
        <w:rPr>
          <w:lang w:val="fr-FR"/>
        </w:rPr>
        <w:t xml:space="preserve"> les réponses au sondage et est convenu de proposer des thèmes d</w:t>
      </w:r>
      <w:r w:rsidR="0056301D">
        <w:rPr>
          <w:lang w:val="fr-FR"/>
        </w:rPr>
        <w:t>’</w:t>
      </w:r>
      <w:r w:rsidR="00FA1704" w:rsidRPr="00953DCC">
        <w:rPr>
          <w:lang w:val="fr-FR"/>
        </w:rPr>
        <w:t xml:space="preserve">étude possibles </w:t>
      </w:r>
      <w:r w:rsidR="00992590" w:rsidRPr="00953DCC">
        <w:rPr>
          <w:lang w:val="fr-FR"/>
        </w:rPr>
        <w:t>pour un futur atelier conjoint UPOV/OCDE/ISTA.</w:t>
      </w:r>
    </w:p>
    <w:p w14:paraId="5729520A" w14:textId="77777777" w:rsidR="005F025D" w:rsidRPr="00953DCC" w:rsidRDefault="005F025D" w:rsidP="00733267">
      <w:pPr>
        <w:rPr>
          <w:lang w:val="fr-FR"/>
        </w:rPr>
      </w:pPr>
    </w:p>
    <w:p w14:paraId="5729520B" w14:textId="1E396206" w:rsidR="005F025D" w:rsidRPr="00953DCC" w:rsidRDefault="00733267" w:rsidP="00DD6975">
      <w:pPr>
        <w:rPr>
          <w:lang w:val="fr-FR"/>
        </w:rPr>
      </w:pPr>
      <w:r w:rsidRPr="00953DCC">
        <w:rPr>
          <w:lang w:val="fr-FR"/>
        </w:rPr>
        <w:fldChar w:fldCharType="begin"/>
      </w:r>
      <w:r w:rsidRPr="00953DCC">
        <w:rPr>
          <w:lang w:val="fr-FR"/>
        </w:rPr>
        <w:instrText xml:space="preserve"> AUTONUM  </w:instrText>
      </w:r>
      <w:r w:rsidRPr="00953DCC">
        <w:rPr>
          <w:lang w:val="fr-FR"/>
        </w:rPr>
        <w:fldChar w:fldCharType="end"/>
      </w:r>
      <w:r w:rsidRPr="00953DCC">
        <w:rPr>
          <w:lang w:val="fr-FR"/>
        </w:rPr>
        <w:tab/>
      </w:r>
      <w:r w:rsidR="00B640C1" w:rsidRPr="00953DCC">
        <w:rPr>
          <w:lang w:val="fr-FR"/>
        </w:rPr>
        <w:t xml:space="preserve">Sur la base des propositions </w:t>
      </w:r>
      <w:r w:rsidR="00A560F0" w:rsidRPr="00953DCC">
        <w:rPr>
          <w:lang w:val="fr-FR"/>
        </w:rPr>
        <w:t xml:space="preserve">faites </w:t>
      </w:r>
      <w:r w:rsidR="00B640C1" w:rsidRPr="00953DCC">
        <w:rPr>
          <w:lang w:val="fr-FR"/>
        </w:rPr>
        <w:t>par le BTM à sa vingt</w:t>
      </w:r>
      <w:r w:rsidR="0056301D">
        <w:rPr>
          <w:lang w:val="fr-FR"/>
        </w:rPr>
        <w:t>ième session</w:t>
      </w:r>
      <w:r w:rsidR="00B640C1" w:rsidRPr="00953DCC">
        <w:rPr>
          <w:rStyle w:val="FootnoteReference"/>
          <w:lang w:val="fr-FR"/>
        </w:rPr>
        <w:footnoteReference w:id="6"/>
      </w:r>
      <w:r w:rsidR="00B640C1" w:rsidRPr="00953DCC">
        <w:rPr>
          <w:lang w:val="fr-FR"/>
        </w:rPr>
        <w:t>, le</w:t>
      </w:r>
      <w:r w:rsidR="0056301D">
        <w:rPr>
          <w:lang w:val="fr-FR"/>
        </w:rPr>
        <w:t> TC</w:t>
      </w:r>
      <w:r w:rsidR="00B640C1" w:rsidRPr="00953DCC">
        <w:rPr>
          <w:lang w:val="fr-FR"/>
        </w:rPr>
        <w:t>, à sa cinquante</w:t>
      </w:r>
      <w:r w:rsidR="00456121">
        <w:rPr>
          <w:lang w:val="fr-FR"/>
        </w:rPr>
        <w:noBreakHyphen/>
      </w:r>
      <w:r w:rsidR="00B640C1" w:rsidRPr="00953DCC">
        <w:rPr>
          <w:lang w:val="fr-FR"/>
        </w:rPr>
        <w:t>sept</w:t>
      </w:r>
      <w:r w:rsidR="0056301D">
        <w:rPr>
          <w:lang w:val="fr-FR"/>
        </w:rPr>
        <w:t>ième session</w:t>
      </w:r>
      <w:r w:rsidR="00B640C1" w:rsidRPr="00953DCC">
        <w:rPr>
          <w:lang w:val="fr-FR"/>
        </w:rPr>
        <w:t xml:space="preserve">, </w:t>
      </w:r>
      <w:r w:rsidR="00CA4E65" w:rsidRPr="00953DCC">
        <w:rPr>
          <w:lang w:val="fr-FR"/>
        </w:rPr>
        <w:t>sera invit</w:t>
      </w:r>
      <w:r w:rsidR="00A560F0" w:rsidRPr="00953DCC">
        <w:rPr>
          <w:lang w:val="fr-FR"/>
        </w:rPr>
        <w:t>é</w:t>
      </w:r>
      <w:r w:rsidR="00CA4E65" w:rsidRPr="00953DCC">
        <w:rPr>
          <w:lang w:val="fr-FR"/>
        </w:rPr>
        <w:t xml:space="preserve"> à examiner les thèmes possibles suivants </w:t>
      </w:r>
      <w:r w:rsidR="00E468B6" w:rsidRPr="00953DCC">
        <w:rPr>
          <w:lang w:val="fr-FR"/>
        </w:rPr>
        <w:t>en vue d</w:t>
      </w:r>
      <w:r w:rsidR="0056301D">
        <w:rPr>
          <w:lang w:val="fr-FR"/>
        </w:rPr>
        <w:t>’</w:t>
      </w:r>
      <w:r w:rsidR="00CA4E65" w:rsidRPr="00953DCC">
        <w:rPr>
          <w:lang w:val="fr-FR"/>
        </w:rPr>
        <w:t>un futur atelier conjoint UPOV/OCDE/ISTA</w:t>
      </w:r>
      <w:r w:rsidR="0056301D">
        <w:rPr>
          <w:lang w:val="fr-FR"/>
        </w:rPr>
        <w:t> :</w:t>
      </w:r>
    </w:p>
    <w:p w14:paraId="5729520C" w14:textId="77777777" w:rsidR="005F025D" w:rsidRPr="00953DCC" w:rsidRDefault="005F025D" w:rsidP="00DD6975">
      <w:pPr>
        <w:rPr>
          <w:lang w:val="fr-FR"/>
        </w:rPr>
      </w:pPr>
    </w:p>
    <w:p w14:paraId="7231F6A4" w14:textId="27534C87" w:rsidR="00E468B6" w:rsidRPr="00953DCC" w:rsidRDefault="00E468B6" w:rsidP="00456121">
      <w:pPr>
        <w:pStyle w:val="ListParagraph"/>
        <w:numPr>
          <w:ilvl w:val="0"/>
          <w:numId w:val="13"/>
        </w:numPr>
        <w:ind w:left="1134" w:hanging="570"/>
        <w:rPr>
          <w:lang w:val="fr-FR"/>
        </w:rPr>
      </w:pPr>
      <w:r w:rsidRPr="00953DCC">
        <w:rPr>
          <w:lang w:val="fr-FR"/>
        </w:rPr>
        <w:t>fourniture d</w:t>
      </w:r>
      <w:r w:rsidR="0056301D">
        <w:rPr>
          <w:lang w:val="fr-FR"/>
        </w:rPr>
        <w:t>’</w:t>
      </w:r>
      <w:r w:rsidRPr="00953DCC">
        <w:rPr>
          <w:lang w:val="fr-FR"/>
        </w:rPr>
        <w:t>informations sur l</w:t>
      </w:r>
      <w:r w:rsidR="0056301D">
        <w:rPr>
          <w:lang w:val="fr-FR"/>
        </w:rPr>
        <w:t>’</w:t>
      </w:r>
      <w:r w:rsidRPr="00953DCC">
        <w:rPr>
          <w:lang w:val="fr-FR"/>
        </w:rPr>
        <w:t>utilisation des techniques moléculaires dans chaque organisation;</w:t>
      </w:r>
    </w:p>
    <w:p w14:paraId="0BFB2050" w14:textId="70CFB398" w:rsidR="00E468B6" w:rsidRPr="00953DCC" w:rsidRDefault="00E468B6" w:rsidP="00456121">
      <w:pPr>
        <w:pStyle w:val="ListParagraph"/>
        <w:numPr>
          <w:ilvl w:val="0"/>
          <w:numId w:val="13"/>
        </w:numPr>
        <w:ind w:left="1134" w:hanging="570"/>
        <w:rPr>
          <w:lang w:val="fr-FR"/>
        </w:rPr>
      </w:pPr>
      <w:r w:rsidRPr="00953DCC">
        <w:rPr>
          <w:lang w:val="fr-FR"/>
        </w:rPr>
        <w:t>procédure d</w:t>
      </w:r>
      <w:r w:rsidR="0056301D">
        <w:rPr>
          <w:lang w:val="fr-FR"/>
        </w:rPr>
        <w:t>’</w:t>
      </w:r>
      <w:r w:rsidRPr="00953DCC">
        <w:rPr>
          <w:lang w:val="fr-FR"/>
        </w:rPr>
        <w:t xml:space="preserve">approbation des méthodes biochimiques et moléculaires dans chaque organisation; </w:t>
      </w:r>
      <w:r w:rsidR="004A1CA8">
        <w:rPr>
          <w:lang w:val="fr-FR"/>
        </w:rPr>
        <w:t xml:space="preserve"> </w:t>
      </w:r>
      <w:r w:rsidRPr="00953DCC">
        <w:rPr>
          <w:lang w:val="fr-FR"/>
        </w:rPr>
        <w:t>et</w:t>
      </w:r>
    </w:p>
    <w:p w14:paraId="113EE998" w14:textId="47365F66" w:rsidR="00E468B6" w:rsidRPr="00953DCC" w:rsidRDefault="00E468B6" w:rsidP="00456121">
      <w:pPr>
        <w:pStyle w:val="ListParagraph"/>
        <w:numPr>
          <w:ilvl w:val="0"/>
          <w:numId w:val="13"/>
        </w:numPr>
        <w:ind w:left="1134" w:hanging="570"/>
        <w:rPr>
          <w:lang w:val="fr-FR"/>
        </w:rPr>
      </w:pPr>
      <w:r w:rsidRPr="00953DCC">
        <w:rPr>
          <w:lang w:val="fr-FR"/>
        </w:rPr>
        <w:t>possibilités d</w:t>
      </w:r>
      <w:r w:rsidR="0056301D">
        <w:rPr>
          <w:lang w:val="fr-FR"/>
        </w:rPr>
        <w:t>’</w:t>
      </w:r>
      <w:r w:rsidRPr="00953DCC">
        <w:rPr>
          <w:lang w:val="fr-FR"/>
        </w:rPr>
        <w:t>harmonisation des méthodes entre l</w:t>
      </w:r>
      <w:r w:rsidR="0056301D">
        <w:rPr>
          <w:lang w:val="fr-FR"/>
        </w:rPr>
        <w:t>’</w:t>
      </w:r>
      <w:r w:rsidRPr="00953DCC">
        <w:rPr>
          <w:lang w:val="fr-FR"/>
        </w:rPr>
        <w:t>UPOV, l</w:t>
      </w:r>
      <w:r w:rsidR="0056301D">
        <w:rPr>
          <w:lang w:val="fr-FR"/>
        </w:rPr>
        <w:t>’</w:t>
      </w:r>
      <w:r w:rsidRPr="00953DCC">
        <w:rPr>
          <w:lang w:val="fr-FR"/>
        </w:rPr>
        <w:t>OCDE et l</w:t>
      </w:r>
      <w:r w:rsidR="0056301D">
        <w:rPr>
          <w:lang w:val="fr-FR"/>
        </w:rPr>
        <w:t>’</w:t>
      </w:r>
      <w:r w:rsidRPr="00953DCC">
        <w:rPr>
          <w:lang w:val="fr-FR"/>
        </w:rPr>
        <w:t>ISTA.</w:t>
      </w:r>
    </w:p>
    <w:p w14:paraId="57295210" w14:textId="77777777" w:rsidR="005F025D" w:rsidRPr="00953DCC" w:rsidRDefault="005F025D" w:rsidP="00DD6975">
      <w:pPr>
        <w:rPr>
          <w:lang w:val="fr-FR"/>
        </w:rPr>
      </w:pPr>
    </w:p>
    <w:p w14:paraId="57295211" w14:textId="77777777" w:rsidR="005F025D" w:rsidRPr="00953DCC" w:rsidRDefault="005F025D" w:rsidP="00D14394">
      <w:pPr>
        <w:rPr>
          <w:lang w:val="fr-FR"/>
        </w:rPr>
      </w:pPr>
      <w:bookmarkStart w:id="19" w:name="_Toc53597268"/>
      <w:bookmarkEnd w:id="15"/>
      <w:bookmarkEnd w:id="16"/>
      <w:bookmarkEnd w:id="17"/>
    </w:p>
    <w:p w14:paraId="57295212" w14:textId="77777777" w:rsidR="005F025D" w:rsidRPr="00953DCC" w:rsidRDefault="005F025D" w:rsidP="00D14394">
      <w:pPr>
        <w:rPr>
          <w:lang w:val="fr-FR"/>
        </w:rPr>
      </w:pPr>
    </w:p>
    <w:p w14:paraId="57295213" w14:textId="78EE126D" w:rsidR="005F025D" w:rsidRPr="00456121" w:rsidRDefault="00456121" w:rsidP="00456121">
      <w:pPr>
        <w:pStyle w:val="Heading1"/>
      </w:pPr>
      <w:bookmarkStart w:id="20" w:name="_Toc86312885"/>
      <w:bookmarkEnd w:id="19"/>
      <w:r>
        <w:t>R</w:t>
      </w:r>
      <w:r w:rsidRPr="00456121">
        <w:t>éunion destinée</w:t>
      </w:r>
      <w:hyperlink r:id="rId9" w:history="1"/>
      <w:r w:rsidRPr="00456121">
        <w:t xml:space="preserve"> à favoriser la coopération dans l’utilisation des techniques moléculaires</w:t>
      </w:r>
      <w:bookmarkEnd w:id="20"/>
    </w:p>
    <w:p w14:paraId="57295214" w14:textId="77777777" w:rsidR="005F025D" w:rsidRPr="00953DCC" w:rsidRDefault="005F025D" w:rsidP="00D14394">
      <w:pPr>
        <w:keepNext/>
        <w:rPr>
          <w:rFonts w:cs="Arial"/>
          <w:iCs/>
          <w:lang w:val="fr-FR"/>
        </w:rPr>
      </w:pPr>
    </w:p>
    <w:p w14:paraId="57295215" w14:textId="51DAF5EA" w:rsidR="005F025D" w:rsidRPr="00953DCC" w:rsidRDefault="00D14394" w:rsidP="005F025D">
      <w:pPr>
        <w:keepNext/>
        <w:rPr>
          <w:rFonts w:eastAsiaTheme="minorEastAsia"/>
          <w:lang w:val="fr-FR" w:eastAsia="ja-JP"/>
        </w:rPr>
      </w:pPr>
      <w:r w:rsidRPr="00953DCC">
        <w:rPr>
          <w:lang w:val="fr-FR"/>
        </w:rPr>
        <w:fldChar w:fldCharType="begin"/>
      </w:r>
      <w:r w:rsidRPr="00953DCC">
        <w:rPr>
          <w:lang w:val="fr-FR"/>
        </w:rPr>
        <w:instrText xml:space="preserve"> AUTONUM  </w:instrText>
      </w:r>
      <w:r w:rsidRPr="00953DCC">
        <w:rPr>
          <w:lang w:val="fr-FR"/>
        </w:rPr>
        <w:fldChar w:fldCharType="end"/>
      </w:r>
      <w:r w:rsidRPr="00953DCC">
        <w:rPr>
          <w:lang w:val="fr-FR"/>
        </w:rPr>
        <w:tab/>
      </w:r>
      <w:r w:rsidR="005F025D" w:rsidRPr="00953DCC">
        <w:rPr>
          <w:lang w:val="fr-FR"/>
        </w:rPr>
        <w:t xml:space="preserve">Les informations générales sur cette question sont </w:t>
      </w:r>
      <w:r w:rsidR="00936D24" w:rsidRPr="00953DCC">
        <w:rPr>
          <w:lang w:val="fr-FR"/>
        </w:rPr>
        <w:t xml:space="preserve">fournies </w:t>
      </w:r>
      <w:r w:rsidR="005F025D" w:rsidRPr="00953DCC">
        <w:rPr>
          <w:lang w:val="fr-FR"/>
        </w:rPr>
        <w:t>dans le document CAJ/76/INF/3 “Techniques moléculaires”.</w:t>
      </w:r>
    </w:p>
    <w:p w14:paraId="57295216" w14:textId="77777777" w:rsidR="005F025D" w:rsidRPr="00953DCC" w:rsidRDefault="005F025D" w:rsidP="00D14394">
      <w:pPr>
        <w:rPr>
          <w:lang w:val="fr-FR"/>
        </w:rPr>
      </w:pPr>
    </w:p>
    <w:p w14:paraId="57295217" w14:textId="77777777" w:rsidR="005F025D" w:rsidRPr="00953DCC" w:rsidRDefault="005F025D" w:rsidP="00D14394">
      <w:pPr>
        <w:rPr>
          <w:lang w:val="fr-FR"/>
        </w:rPr>
      </w:pPr>
    </w:p>
    <w:p w14:paraId="57295218" w14:textId="7F9AFA91" w:rsidR="005F025D" w:rsidRPr="00953DCC" w:rsidRDefault="005F025D" w:rsidP="00781996">
      <w:pPr>
        <w:pStyle w:val="Heading2"/>
      </w:pPr>
      <w:bookmarkStart w:id="21" w:name="_Toc86312886"/>
      <w:r w:rsidRPr="00953DCC">
        <w:t>Faits nouveaux relatifs aux groupes de travail techniques et</w:t>
      </w:r>
      <w:r w:rsidR="0056301D" w:rsidRPr="00953DCC">
        <w:t xml:space="preserve"> au</w:t>
      </w:r>
      <w:r w:rsidR="0056301D">
        <w:t> </w:t>
      </w:r>
      <w:r w:rsidR="0056301D" w:rsidRPr="00953DCC">
        <w:t>BMT</w:t>
      </w:r>
      <w:r w:rsidRPr="00953DCC">
        <w:t xml:space="preserve"> à leurs sessions </w:t>
      </w:r>
      <w:r w:rsidR="0056301D" w:rsidRPr="00953DCC">
        <w:t>de</w:t>
      </w:r>
      <w:r w:rsidR="0056301D">
        <w:t> </w:t>
      </w:r>
      <w:r w:rsidR="0056301D" w:rsidRPr="00953DCC">
        <w:t>2021</w:t>
      </w:r>
      <w:bookmarkEnd w:id="21"/>
    </w:p>
    <w:p w14:paraId="57295219" w14:textId="77777777" w:rsidR="005F025D" w:rsidRPr="00953DCC" w:rsidRDefault="005F025D" w:rsidP="00D14394">
      <w:pPr>
        <w:rPr>
          <w:lang w:val="fr-FR"/>
        </w:rPr>
      </w:pPr>
    </w:p>
    <w:p w14:paraId="5729521A" w14:textId="567BFD2E" w:rsidR="005F025D" w:rsidRPr="00953DCC" w:rsidRDefault="005F025D" w:rsidP="0076331E">
      <w:pPr>
        <w:pStyle w:val="Heading3"/>
      </w:pPr>
      <w:r w:rsidRPr="00953DCC">
        <w:t>Groupes de travail techniques</w:t>
      </w:r>
      <w:r w:rsidR="00D20D63">
        <w:t xml:space="preserve"> (TWP)</w:t>
      </w:r>
    </w:p>
    <w:p w14:paraId="5729521B" w14:textId="77777777" w:rsidR="005F025D" w:rsidRPr="00953DCC" w:rsidRDefault="005F025D" w:rsidP="007F7D6E">
      <w:pPr>
        <w:keepNext/>
        <w:rPr>
          <w:lang w:val="fr-FR"/>
        </w:rPr>
      </w:pPr>
    </w:p>
    <w:p w14:paraId="5729521C" w14:textId="6DB6AAEF" w:rsidR="005F025D" w:rsidRPr="00953DCC" w:rsidRDefault="007F7D6E" w:rsidP="005F025D">
      <w:pPr>
        <w:rPr>
          <w:lang w:val="fr-FR"/>
        </w:rPr>
      </w:pPr>
      <w:r w:rsidRPr="00953DCC">
        <w:rPr>
          <w:lang w:val="fr-FR"/>
        </w:rPr>
        <w:fldChar w:fldCharType="begin"/>
      </w:r>
      <w:r w:rsidRPr="00953DCC">
        <w:rPr>
          <w:lang w:val="fr-FR"/>
        </w:rPr>
        <w:instrText xml:space="preserve"> AUTONUM  </w:instrText>
      </w:r>
      <w:r w:rsidRPr="00953DCC">
        <w:rPr>
          <w:lang w:val="fr-FR"/>
        </w:rPr>
        <w:fldChar w:fldCharType="end"/>
      </w:r>
      <w:r w:rsidRPr="00953DCC">
        <w:rPr>
          <w:lang w:val="fr-FR"/>
        </w:rPr>
        <w:tab/>
      </w:r>
      <w:r w:rsidR="005F025D" w:rsidRPr="00953DCC">
        <w:rPr>
          <w:lang w:val="fr-FR"/>
        </w:rPr>
        <w:t>À leurs sessions de</w:t>
      </w:r>
      <w:r w:rsidR="00BF7FC3" w:rsidRPr="00953DCC">
        <w:rPr>
          <w:lang w:val="fr-FR"/>
        </w:rPr>
        <w:t> </w:t>
      </w:r>
      <w:r w:rsidR="005F025D" w:rsidRPr="00953DCC">
        <w:rPr>
          <w:lang w:val="fr-FR"/>
        </w:rPr>
        <w:t>2021, les</w:t>
      </w:r>
      <w:r w:rsidR="00BF7FC3" w:rsidRPr="00953DCC">
        <w:rPr>
          <w:lang w:val="fr-FR"/>
        </w:rPr>
        <w:t> </w:t>
      </w:r>
      <w:r w:rsidR="005F025D" w:rsidRPr="00953DCC">
        <w:rPr>
          <w:lang w:val="fr-FR"/>
        </w:rPr>
        <w:t>TWP ont pris note des informations communiquées par les participants de la dix</w:t>
      </w:r>
      <w:r w:rsidR="00456121">
        <w:rPr>
          <w:lang w:val="fr-FR"/>
        </w:rPr>
        <w:noBreakHyphen/>
      </w:r>
      <w:r w:rsidR="005F025D" w:rsidRPr="00953DCC">
        <w:rPr>
          <w:lang w:val="fr-FR"/>
        </w:rPr>
        <w:t>neuv</w:t>
      </w:r>
      <w:r w:rsidR="0056301D">
        <w:rPr>
          <w:lang w:val="fr-FR"/>
        </w:rPr>
        <w:t>ième session</w:t>
      </w:r>
      <w:r w:rsidR="005F025D" w:rsidRPr="00953DCC">
        <w:rPr>
          <w:lang w:val="fr-FR"/>
        </w:rPr>
        <w:t xml:space="preserve"> du</w:t>
      </w:r>
      <w:r w:rsidR="00551335" w:rsidRPr="00953DCC">
        <w:rPr>
          <w:lang w:val="fr-FR"/>
        </w:rPr>
        <w:t> </w:t>
      </w:r>
      <w:r w:rsidR="005F025D" w:rsidRPr="00953DCC">
        <w:rPr>
          <w:lang w:val="fr-FR"/>
        </w:rPr>
        <w:t>BMT concernant leurs travaux sur les techniques biochimiques et moléculaires et les domaines de coopération, qui font l</w:t>
      </w:r>
      <w:r w:rsidR="0056301D">
        <w:rPr>
          <w:lang w:val="fr-FR"/>
        </w:rPr>
        <w:t>’</w:t>
      </w:r>
      <w:r w:rsidR="005F025D" w:rsidRPr="00953DCC">
        <w:rPr>
          <w:lang w:val="fr-FR"/>
        </w:rPr>
        <w:t>objet de l</w:t>
      </w:r>
      <w:r w:rsidR="0056301D">
        <w:rPr>
          <w:lang w:val="fr-FR"/>
        </w:rPr>
        <w:t>’</w:t>
      </w:r>
      <w:r w:rsidR="005F025D" w:rsidRPr="00953DCC">
        <w:rPr>
          <w:lang w:val="fr-FR"/>
        </w:rPr>
        <w:t>annexe</w:t>
      </w:r>
      <w:r w:rsidR="00A80686" w:rsidRPr="00953DCC">
        <w:rPr>
          <w:lang w:val="fr-FR"/>
        </w:rPr>
        <w:t> </w:t>
      </w:r>
      <w:r w:rsidR="005F025D" w:rsidRPr="00953DCC">
        <w:rPr>
          <w:lang w:val="fr-FR"/>
        </w:rPr>
        <w:t>I du document TWP/5/7 (voir les paragraphes</w:t>
      </w:r>
      <w:r w:rsidR="00BF7FC3" w:rsidRPr="00953DCC">
        <w:rPr>
          <w:lang w:val="fr-FR"/>
        </w:rPr>
        <w:t> </w:t>
      </w:r>
      <w:r w:rsidR="005F025D" w:rsidRPr="00953DCC">
        <w:rPr>
          <w:lang w:val="fr-FR"/>
        </w:rPr>
        <w:t>48 et</w:t>
      </w:r>
      <w:r w:rsidR="00BF7FC3" w:rsidRPr="00953DCC">
        <w:rPr>
          <w:lang w:val="fr-FR"/>
        </w:rPr>
        <w:t> </w:t>
      </w:r>
      <w:r w:rsidR="005F025D" w:rsidRPr="00953DCC">
        <w:rPr>
          <w:lang w:val="fr-FR"/>
        </w:rPr>
        <w:t>49 du document TWV/55/16 “Report”, le paragraphe</w:t>
      </w:r>
      <w:r w:rsidR="00BF7FC3" w:rsidRPr="00953DCC">
        <w:rPr>
          <w:lang w:val="fr-FR"/>
        </w:rPr>
        <w:t> </w:t>
      </w:r>
      <w:r w:rsidR="005F025D" w:rsidRPr="00953DCC">
        <w:rPr>
          <w:lang w:val="fr-FR"/>
        </w:rPr>
        <w:t>57 du document TWO/53/10 “Report”, les paragraphes</w:t>
      </w:r>
      <w:r w:rsidR="00BF7FC3" w:rsidRPr="00953DCC">
        <w:rPr>
          <w:lang w:val="fr-FR"/>
        </w:rPr>
        <w:t> </w:t>
      </w:r>
      <w:r w:rsidR="005F025D" w:rsidRPr="00953DCC">
        <w:rPr>
          <w:lang w:val="fr-FR"/>
        </w:rPr>
        <w:t>85 et 86 du document TWA/50/9 “Report”, les paragraphes</w:t>
      </w:r>
      <w:r w:rsidR="00BF7FC3" w:rsidRPr="00953DCC">
        <w:rPr>
          <w:lang w:val="fr-FR"/>
        </w:rPr>
        <w:t> </w:t>
      </w:r>
      <w:r w:rsidR="005F025D" w:rsidRPr="00953DCC">
        <w:rPr>
          <w:lang w:val="fr-FR"/>
        </w:rPr>
        <w:t>10 et 11 du document TWF/52/10 “Report” et le paragraphe</w:t>
      </w:r>
      <w:r w:rsidR="00BF7FC3" w:rsidRPr="00953DCC">
        <w:rPr>
          <w:lang w:val="fr-FR"/>
        </w:rPr>
        <w:t> </w:t>
      </w:r>
      <w:r w:rsidR="005F025D" w:rsidRPr="00953DCC">
        <w:rPr>
          <w:lang w:val="fr-FR"/>
        </w:rPr>
        <w:t>70 du document TWC/39/9 “Report”).</w:t>
      </w:r>
    </w:p>
    <w:p w14:paraId="5729521D" w14:textId="77777777" w:rsidR="005F025D" w:rsidRPr="00953DCC" w:rsidRDefault="005F025D" w:rsidP="007F7D6E">
      <w:pPr>
        <w:rPr>
          <w:lang w:val="fr-FR"/>
        </w:rPr>
      </w:pPr>
    </w:p>
    <w:p w14:paraId="5729521E" w14:textId="115E3E0D" w:rsidR="005F025D" w:rsidRPr="00953DCC" w:rsidRDefault="007F7D6E" w:rsidP="005F025D">
      <w:pPr>
        <w:rPr>
          <w:lang w:val="fr-FR"/>
        </w:rPr>
      </w:pPr>
      <w:r w:rsidRPr="00953DCC">
        <w:rPr>
          <w:lang w:val="fr-FR"/>
        </w:rPr>
        <w:fldChar w:fldCharType="begin"/>
      </w:r>
      <w:r w:rsidRPr="00953DCC">
        <w:rPr>
          <w:lang w:val="fr-FR"/>
        </w:rPr>
        <w:instrText xml:space="preserve"> AUTONUM  </w:instrText>
      </w:r>
      <w:r w:rsidRPr="00953DCC">
        <w:rPr>
          <w:lang w:val="fr-FR"/>
        </w:rPr>
        <w:fldChar w:fldCharType="end"/>
      </w:r>
      <w:r w:rsidRPr="00953DCC">
        <w:rPr>
          <w:lang w:val="fr-FR"/>
        </w:rPr>
        <w:tab/>
      </w:r>
      <w:r w:rsidR="005F025D" w:rsidRPr="00953DCC">
        <w:rPr>
          <w:lang w:val="fr-FR"/>
        </w:rPr>
        <w:t>À sa cinquante</w:t>
      </w:r>
      <w:r w:rsidR="00456121">
        <w:rPr>
          <w:lang w:val="fr-FR"/>
        </w:rPr>
        <w:noBreakHyphen/>
      </w:r>
      <w:r w:rsidR="005F025D" w:rsidRPr="00953DCC">
        <w:rPr>
          <w:lang w:val="fr-FR"/>
        </w:rPr>
        <w:t>cinqu</w:t>
      </w:r>
      <w:r w:rsidR="0056301D">
        <w:rPr>
          <w:lang w:val="fr-FR"/>
        </w:rPr>
        <w:t>ième session</w:t>
      </w:r>
      <w:r w:rsidR="005F025D" w:rsidRPr="00953DCC">
        <w:rPr>
          <w:lang w:val="fr-FR"/>
        </w:rPr>
        <w:t>, le</w:t>
      </w:r>
      <w:r w:rsidR="00BF7FC3" w:rsidRPr="00953DCC">
        <w:rPr>
          <w:lang w:val="fr-FR"/>
        </w:rPr>
        <w:t> </w:t>
      </w:r>
      <w:r w:rsidR="005F025D" w:rsidRPr="00953DCC">
        <w:rPr>
          <w:lang w:val="fr-FR"/>
        </w:rPr>
        <w:t>TW</w:t>
      </w:r>
      <w:r w:rsidR="00581F5E" w:rsidRPr="00953DCC">
        <w:rPr>
          <w:lang w:val="fr-FR"/>
        </w:rPr>
        <w:t>V</w:t>
      </w:r>
      <w:r w:rsidR="005F025D" w:rsidRPr="00953DCC">
        <w:rPr>
          <w:lang w:val="fr-FR"/>
        </w:rPr>
        <w:t xml:space="preserve"> a créé un groupe de discussion afin que les participants puissent échanger des informations sur leurs travaux concernant les techniques biochimiques et moléculaires et étudier les domaines de coopération possibl</w:t>
      </w:r>
      <w:r w:rsidR="0011329B" w:rsidRPr="00953DCC">
        <w:rPr>
          <w:lang w:val="fr-FR"/>
        </w:rPr>
        <w:t>es</w:t>
      </w:r>
      <w:r w:rsidR="0011329B">
        <w:rPr>
          <w:lang w:val="fr-FR"/>
        </w:rPr>
        <w:t xml:space="preserve">.  </w:t>
      </w:r>
      <w:r w:rsidR="0011329B" w:rsidRPr="00953DCC">
        <w:rPr>
          <w:lang w:val="fr-FR"/>
        </w:rPr>
        <w:t>La</w:t>
      </w:r>
      <w:r w:rsidR="005F025D" w:rsidRPr="00953DCC">
        <w:rPr>
          <w:lang w:val="fr-FR"/>
        </w:rPr>
        <w:t xml:space="preserve"> tomate, la laitue et le poivron ont été examinés dans le cadre du groupe de discussion.</w:t>
      </w:r>
    </w:p>
    <w:p w14:paraId="5729521F" w14:textId="77777777" w:rsidR="005F025D" w:rsidRPr="00953DCC" w:rsidRDefault="005F025D" w:rsidP="007F7D6E">
      <w:pPr>
        <w:rPr>
          <w:lang w:val="fr-FR"/>
        </w:rPr>
      </w:pPr>
    </w:p>
    <w:p w14:paraId="57295220" w14:textId="7036D557" w:rsidR="005F025D" w:rsidRPr="00953DCC" w:rsidRDefault="007F7D6E" w:rsidP="005F025D">
      <w:pPr>
        <w:rPr>
          <w:lang w:val="fr-FR"/>
        </w:rPr>
      </w:pPr>
      <w:r w:rsidRPr="00953DCC">
        <w:rPr>
          <w:lang w:val="fr-FR"/>
        </w:rPr>
        <w:fldChar w:fldCharType="begin"/>
      </w:r>
      <w:r w:rsidRPr="00953DCC">
        <w:rPr>
          <w:lang w:val="fr-FR"/>
        </w:rPr>
        <w:instrText xml:space="preserve"> AUTONUM  </w:instrText>
      </w:r>
      <w:r w:rsidRPr="00953DCC">
        <w:rPr>
          <w:lang w:val="fr-FR"/>
        </w:rPr>
        <w:fldChar w:fldCharType="end"/>
      </w:r>
      <w:r w:rsidRPr="00953DCC">
        <w:rPr>
          <w:lang w:val="fr-FR"/>
        </w:rPr>
        <w:tab/>
      </w:r>
      <w:r w:rsidR="005F025D" w:rsidRPr="00953DCC">
        <w:rPr>
          <w:lang w:val="fr-FR"/>
        </w:rPr>
        <w:t>À sa cinquant</w:t>
      </w:r>
      <w:r w:rsidR="0056301D">
        <w:rPr>
          <w:lang w:val="fr-FR"/>
        </w:rPr>
        <w:t>ième session</w:t>
      </w:r>
      <w:r w:rsidR="005F025D" w:rsidRPr="00953DCC">
        <w:rPr>
          <w:lang w:val="fr-FR"/>
        </w:rPr>
        <w:t>, le</w:t>
      </w:r>
      <w:r w:rsidR="00BF7FC3" w:rsidRPr="00953DCC">
        <w:rPr>
          <w:lang w:val="fr-FR"/>
        </w:rPr>
        <w:t> </w:t>
      </w:r>
      <w:r w:rsidR="005F025D" w:rsidRPr="00953DCC">
        <w:rPr>
          <w:lang w:val="fr-FR"/>
        </w:rPr>
        <w:t xml:space="preserve">TWA a organisé une réunion afin que les participants puissent échanger des informations sur leurs travaux concernant les techniques biochimiques et moléculaires et étudier les domaines de coopération possibles </w:t>
      </w:r>
      <w:r w:rsidR="00383C0E" w:rsidRPr="00953DCC">
        <w:rPr>
          <w:lang w:val="fr-FR"/>
        </w:rPr>
        <w:t>pour le soja, la pomme de terre, le colza, le chanvre, la féverole et le b</w:t>
      </w:r>
      <w:r w:rsidR="0011329B" w:rsidRPr="00953DCC">
        <w:rPr>
          <w:lang w:val="fr-FR"/>
        </w:rPr>
        <w:t>lé</w:t>
      </w:r>
      <w:r w:rsidR="0011329B">
        <w:rPr>
          <w:lang w:val="fr-FR"/>
        </w:rPr>
        <w:t xml:space="preserve">.  </w:t>
      </w:r>
      <w:r w:rsidR="0011329B" w:rsidRPr="00953DCC">
        <w:rPr>
          <w:lang w:val="fr-FR"/>
        </w:rPr>
        <w:t>Il</w:t>
      </w:r>
      <w:r w:rsidR="005F025D" w:rsidRPr="00953DCC">
        <w:rPr>
          <w:lang w:val="fr-FR"/>
        </w:rPr>
        <w:t xml:space="preserve"> est convenu de solliciter la présentation, à sa cinquante</w:t>
      </w:r>
      <w:r w:rsidR="0056301D">
        <w:rPr>
          <w:lang w:val="fr-FR"/>
        </w:rPr>
        <w:t> et unième session</w:t>
      </w:r>
      <w:r w:rsidR="005F025D" w:rsidRPr="00953DCC">
        <w:rPr>
          <w:lang w:val="fr-FR"/>
        </w:rPr>
        <w:t xml:space="preserve"> prévue en</w:t>
      </w:r>
      <w:r w:rsidR="0066312E" w:rsidRPr="00953DCC">
        <w:rPr>
          <w:lang w:val="fr-FR"/>
        </w:rPr>
        <w:t> </w:t>
      </w:r>
      <w:r w:rsidR="005F025D" w:rsidRPr="00953DCC">
        <w:rPr>
          <w:lang w:val="fr-FR"/>
        </w:rPr>
        <w:t>2022, d</w:t>
      </w:r>
      <w:r w:rsidR="0056301D">
        <w:rPr>
          <w:lang w:val="fr-FR"/>
        </w:rPr>
        <w:t>’</w:t>
      </w:r>
      <w:r w:rsidR="005F025D" w:rsidRPr="00953DCC">
        <w:rPr>
          <w:lang w:val="fr-FR"/>
        </w:rPr>
        <w:t>exposés sur l</w:t>
      </w:r>
      <w:r w:rsidR="0056301D">
        <w:rPr>
          <w:lang w:val="fr-FR"/>
        </w:rPr>
        <w:t>’</w:t>
      </w:r>
      <w:r w:rsidR="005F025D" w:rsidRPr="00953DCC">
        <w:rPr>
          <w:lang w:val="fr-FR"/>
        </w:rPr>
        <w:t>utilisation des techniques biochimiques et moléculaires pour les différentes plantes examinées.</w:t>
      </w:r>
    </w:p>
    <w:p w14:paraId="57295221" w14:textId="77777777" w:rsidR="005F025D" w:rsidRPr="00953DCC" w:rsidRDefault="005F025D" w:rsidP="007F7D6E">
      <w:pPr>
        <w:rPr>
          <w:lang w:val="fr-FR"/>
        </w:rPr>
      </w:pPr>
    </w:p>
    <w:p w14:paraId="57295222" w14:textId="0CC6B09E" w:rsidR="005F025D" w:rsidRPr="00953DCC" w:rsidRDefault="007F7D6E" w:rsidP="005F025D">
      <w:pPr>
        <w:rPr>
          <w:lang w:val="fr-FR"/>
        </w:rPr>
      </w:pPr>
      <w:r w:rsidRPr="00953DCC">
        <w:rPr>
          <w:lang w:val="fr-FR"/>
        </w:rPr>
        <w:fldChar w:fldCharType="begin"/>
      </w:r>
      <w:r w:rsidRPr="00953DCC">
        <w:rPr>
          <w:lang w:val="fr-FR"/>
        </w:rPr>
        <w:instrText xml:space="preserve"> AUTONUM  </w:instrText>
      </w:r>
      <w:r w:rsidRPr="00953DCC">
        <w:rPr>
          <w:lang w:val="fr-FR"/>
        </w:rPr>
        <w:fldChar w:fldCharType="end"/>
      </w:r>
      <w:r w:rsidRPr="00953DCC">
        <w:rPr>
          <w:lang w:val="fr-FR"/>
        </w:rPr>
        <w:tab/>
      </w:r>
      <w:r w:rsidR="005F025D" w:rsidRPr="00953DCC">
        <w:rPr>
          <w:lang w:val="fr-FR"/>
        </w:rPr>
        <w:t>À sa cinquante</w:t>
      </w:r>
      <w:r w:rsidR="00456121">
        <w:rPr>
          <w:lang w:val="fr-FR"/>
        </w:rPr>
        <w:noBreakHyphen/>
      </w:r>
      <w:r w:rsidR="005F025D" w:rsidRPr="00953DCC">
        <w:rPr>
          <w:lang w:val="fr-FR"/>
        </w:rPr>
        <w:t>trois</w:t>
      </w:r>
      <w:r w:rsidR="0056301D">
        <w:rPr>
          <w:lang w:val="fr-FR"/>
        </w:rPr>
        <w:t>ième session</w:t>
      </w:r>
      <w:r w:rsidR="005F025D" w:rsidRPr="00953DCC">
        <w:rPr>
          <w:lang w:val="fr-FR"/>
        </w:rPr>
        <w:t>, le</w:t>
      </w:r>
      <w:r w:rsidR="006B4D24" w:rsidRPr="00953DCC">
        <w:rPr>
          <w:lang w:val="fr-FR"/>
        </w:rPr>
        <w:t> </w:t>
      </w:r>
      <w:r w:rsidR="005F025D" w:rsidRPr="00953DCC">
        <w:rPr>
          <w:lang w:val="fr-FR"/>
        </w:rPr>
        <w:t>TWF a organisé une réunion afin que les participants puissent échanger des informations sur leurs travaux concernant les techniques biochimiques et moléculaires et étudier les domaines de coopération possibles pour le pommier, le fraisier et le pêch</w:t>
      </w:r>
      <w:r w:rsidR="0011329B" w:rsidRPr="00953DCC">
        <w:rPr>
          <w:lang w:val="fr-FR"/>
        </w:rPr>
        <w:t>er</w:t>
      </w:r>
      <w:r w:rsidR="0011329B">
        <w:rPr>
          <w:lang w:val="fr-FR"/>
        </w:rPr>
        <w:t xml:space="preserve">.  </w:t>
      </w:r>
      <w:r w:rsidR="0011329B" w:rsidRPr="00953DCC">
        <w:rPr>
          <w:lang w:val="fr-FR"/>
        </w:rPr>
        <w:t>Il</w:t>
      </w:r>
      <w:r w:rsidR="005F025D" w:rsidRPr="00953DCC">
        <w:rPr>
          <w:lang w:val="fr-FR"/>
        </w:rPr>
        <w:t xml:space="preserve"> est convenu d</w:t>
      </w:r>
      <w:r w:rsidR="0056301D">
        <w:rPr>
          <w:lang w:val="fr-FR"/>
        </w:rPr>
        <w:t>’</w:t>
      </w:r>
      <w:r w:rsidR="005F025D" w:rsidRPr="00953DCC">
        <w:rPr>
          <w:lang w:val="fr-FR"/>
        </w:rPr>
        <w:t>inviter les experts de l</w:t>
      </w:r>
      <w:r w:rsidR="0056301D">
        <w:rPr>
          <w:lang w:val="fr-FR"/>
        </w:rPr>
        <w:t>’</w:t>
      </w:r>
      <w:r w:rsidR="005F025D" w:rsidRPr="00953DCC">
        <w:rPr>
          <w:lang w:val="fr-FR"/>
        </w:rPr>
        <w:t>Union européenne et de la France à présenter des exposés sur l</w:t>
      </w:r>
      <w:r w:rsidR="0056301D">
        <w:rPr>
          <w:lang w:val="fr-FR"/>
        </w:rPr>
        <w:t>’</w:t>
      </w:r>
      <w:r w:rsidR="005F025D" w:rsidRPr="00953DCC">
        <w:rPr>
          <w:lang w:val="fr-FR"/>
        </w:rPr>
        <w:t>utilisation des techniques moléculaires dans l</w:t>
      </w:r>
      <w:r w:rsidR="0056301D">
        <w:rPr>
          <w:lang w:val="fr-FR"/>
        </w:rPr>
        <w:t>’</w:t>
      </w:r>
      <w:r w:rsidR="005F025D" w:rsidRPr="00953DCC">
        <w:rPr>
          <w:lang w:val="fr-FR"/>
        </w:rPr>
        <w:t>examen</w:t>
      </w:r>
      <w:r w:rsidR="00BF7FC3" w:rsidRPr="00953DCC">
        <w:rPr>
          <w:lang w:val="fr-FR"/>
        </w:rPr>
        <w:t> </w:t>
      </w:r>
      <w:r w:rsidR="005F025D" w:rsidRPr="00953DCC">
        <w:rPr>
          <w:lang w:val="fr-FR"/>
        </w:rPr>
        <w:t>DHS des variétés de pommiers à sa cinquante</w:t>
      </w:r>
      <w:r w:rsidR="00456121">
        <w:rPr>
          <w:lang w:val="fr-FR"/>
        </w:rPr>
        <w:noBreakHyphen/>
      </w:r>
      <w:r w:rsidR="005F025D" w:rsidRPr="00953DCC">
        <w:rPr>
          <w:lang w:val="fr-FR"/>
        </w:rPr>
        <w:t>trois</w:t>
      </w:r>
      <w:r w:rsidR="0056301D">
        <w:rPr>
          <w:lang w:val="fr-FR"/>
        </w:rPr>
        <w:t>ième session</w:t>
      </w:r>
      <w:r w:rsidR="005F025D" w:rsidRPr="00953DCC">
        <w:rPr>
          <w:lang w:val="fr-FR"/>
        </w:rPr>
        <w:t>.</w:t>
      </w:r>
    </w:p>
    <w:p w14:paraId="57295223" w14:textId="77777777" w:rsidR="005F025D" w:rsidRPr="00953DCC" w:rsidRDefault="005F025D" w:rsidP="007F7D6E">
      <w:pPr>
        <w:rPr>
          <w:lang w:val="fr-FR"/>
        </w:rPr>
      </w:pPr>
    </w:p>
    <w:p w14:paraId="57295224" w14:textId="2D91E96D" w:rsidR="005F025D" w:rsidRPr="00953DCC" w:rsidRDefault="005F025D" w:rsidP="002C77EB">
      <w:pPr>
        <w:pStyle w:val="Heading3"/>
      </w:pPr>
      <w:r w:rsidRPr="00953DCC">
        <w:lastRenderedPageBreak/>
        <w:t>Groupe de travail sur les techniques biochimiques et moléculaires, notamment les profils d</w:t>
      </w:r>
      <w:r w:rsidR="0056301D">
        <w:t>’</w:t>
      </w:r>
      <w:r w:rsidRPr="00953DCC">
        <w:t>ADN (BMT)</w:t>
      </w:r>
    </w:p>
    <w:p w14:paraId="57295225" w14:textId="77777777" w:rsidR="005F025D" w:rsidRPr="00953DCC" w:rsidRDefault="005F025D" w:rsidP="002C77EB">
      <w:pPr>
        <w:keepNext/>
        <w:rPr>
          <w:lang w:val="fr-FR"/>
        </w:rPr>
      </w:pPr>
    </w:p>
    <w:p w14:paraId="57295226" w14:textId="3981BCA0" w:rsidR="005F025D" w:rsidRPr="00953DCC" w:rsidRDefault="007F7D6E" w:rsidP="005F025D">
      <w:pPr>
        <w:rPr>
          <w:lang w:val="fr-FR"/>
        </w:rPr>
      </w:pPr>
      <w:r w:rsidRPr="00953DCC">
        <w:rPr>
          <w:lang w:val="fr-FR"/>
        </w:rPr>
        <w:fldChar w:fldCharType="begin"/>
      </w:r>
      <w:r w:rsidRPr="00953DCC">
        <w:rPr>
          <w:lang w:val="fr-FR"/>
        </w:rPr>
        <w:instrText xml:space="preserve"> AUTONUM  </w:instrText>
      </w:r>
      <w:r w:rsidRPr="00953DCC">
        <w:rPr>
          <w:lang w:val="fr-FR"/>
        </w:rPr>
        <w:fldChar w:fldCharType="end"/>
      </w:r>
      <w:r w:rsidRPr="00953DCC">
        <w:rPr>
          <w:lang w:val="fr-FR"/>
        </w:rPr>
        <w:tab/>
      </w:r>
      <w:r w:rsidR="005F025D" w:rsidRPr="00953DCC">
        <w:rPr>
          <w:lang w:val="fr-FR"/>
        </w:rPr>
        <w:t>À sa vingt</w:t>
      </w:r>
      <w:r w:rsidR="0056301D">
        <w:rPr>
          <w:lang w:val="fr-FR"/>
        </w:rPr>
        <w:t>ième session</w:t>
      </w:r>
      <w:r w:rsidR="005F025D" w:rsidRPr="00953DCC">
        <w:rPr>
          <w:lang w:val="fr-FR"/>
        </w:rPr>
        <w:t>, le</w:t>
      </w:r>
      <w:r w:rsidR="003B3E23" w:rsidRPr="00953DCC">
        <w:rPr>
          <w:lang w:val="fr-FR"/>
        </w:rPr>
        <w:t> </w:t>
      </w:r>
      <w:r w:rsidR="005F025D" w:rsidRPr="00953DCC">
        <w:rPr>
          <w:lang w:val="fr-FR"/>
        </w:rPr>
        <w:t>BMT a examiné le document BMT/20/6 “Session to facilitate cooperation” (voir les paragraphes</w:t>
      </w:r>
      <w:r w:rsidR="00BF7FC3" w:rsidRPr="00953DCC">
        <w:rPr>
          <w:lang w:val="fr-FR"/>
        </w:rPr>
        <w:t> </w:t>
      </w:r>
      <w:r w:rsidR="005F025D" w:rsidRPr="00953DCC">
        <w:rPr>
          <w:lang w:val="fr-FR"/>
        </w:rPr>
        <w:t>28 à 35 du document BMT/20/12 “Report”).</w:t>
      </w:r>
    </w:p>
    <w:p w14:paraId="57295227" w14:textId="77777777" w:rsidR="005F025D" w:rsidRPr="00953DCC" w:rsidRDefault="005F025D" w:rsidP="007F7D6E">
      <w:pPr>
        <w:rPr>
          <w:lang w:val="fr-FR"/>
        </w:rPr>
      </w:pPr>
    </w:p>
    <w:p w14:paraId="57295228" w14:textId="67C8D9B2" w:rsidR="005F025D" w:rsidRPr="00953DCC" w:rsidRDefault="007F7D6E" w:rsidP="005F025D">
      <w:pPr>
        <w:rPr>
          <w:lang w:val="fr-FR"/>
        </w:rPr>
      </w:pPr>
      <w:r w:rsidRPr="00953DCC">
        <w:rPr>
          <w:lang w:val="fr-FR"/>
        </w:rPr>
        <w:fldChar w:fldCharType="begin"/>
      </w:r>
      <w:r w:rsidRPr="00953DCC">
        <w:rPr>
          <w:lang w:val="fr-FR"/>
        </w:rPr>
        <w:instrText xml:space="preserve"> AUTONUM  </w:instrText>
      </w:r>
      <w:r w:rsidRPr="00953DCC">
        <w:rPr>
          <w:lang w:val="fr-FR"/>
        </w:rPr>
        <w:fldChar w:fldCharType="end"/>
      </w:r>
      <w:r w:rsidRPr="00953DCC">
        <w:rPr>
          <w:lang w:val="fr-FR"/>
        </w:rPr>
        <w:tab/>
      </w:r>
      <w:r w:rsidR="005F025D" w:rsidRPr="00953DCC">
        <w:rPr>
          <w:lang w:val="fr-FR"/>
        </w:rPr>
        <w:t>Le</w:t>
      </w:r>
      <w:r w:rsidR="00BF7FC3" w:rsidRPr="00953DCC">
        <w:rPr>
          <w:lang w:val="fr-FR"/>
        </w:rPr>
        <w:t> </w:t>
      </w:r>
      <w:r w:rsidR="005F025D" w:rsidRPr="00953DCC">
        <w:rPr>
          <w:lang w:val="fr-FR"/>
        </w:rPr>
        <w:t>BMT a rappelé les informations fournies par les participants à sa dix</w:t>
      </w:r>
      <w:r w:rsidR="00456121">
        <w:rPr>
          <w:lang w:val="fr-FR"/>
        </w:rPr>
        <w:noBreakHyphen/>
      </w:r>
      <w:r w:rsidR="005F025D" w:rsidRPr="00953DCC">
        <w:rPr>
          <w:lang w:val="fr-FR"/>
        </w:rPr>
        <w:t>neuv</w:t>
      </w:r>
      <w:r w:rsidR="0056301D">
        <w:rPr>
          <w:lang w:val="fr-FR"/>
        </w:rPr>
        <w:t>ième session</w:t>
      </w:r>
      <w:r w:rsidR="005F025D" w:rsidRPr="00953DCC">
        <w:rPr>
          <w:lang w:val="fr-FR"/>
        </w:rPr>
        <w:t xml:space="preserve"> en ce qui concernait leurs travaux relatifs aux techniques biochimiques et moléculaires et les domaines de coopération, telles qu</w:t>
      </w:r>
      <w:r w:rsidR="0056301D">
        <w:rPr>
          <w:lang w:val="fr-FR"/>
        </w:rPr>
        <w:t>’</w:t>
      </w:r>
      <w:r w:rsidR="005F025D" w:rsidRPr="00953DCC">
        <w:rPr>
          <w:lang w:val="fr-FR"/>
        </w:rPr>
        <w:t>elles figuraient à l</w:t>
      </w:r>
      <w:r w:rsidR="0056301D">
        <w:rPr>
          <w:lang w:val="fr-FR"/>
        </w:rPr>
        <w:t>’</w:t>
      </w:r>
      <w:r w:rsidR="005F025D" w:rsidRPr="00953DCC">
        <w:rPr>
          <w:lang w:val="fr-FR"/>
        </w:rPr>
        <w:t>annexe du document BMT/20/6.</w:t>
      </w:r>
    </w:p>
    <w:p w14:paraId="57295229" w14:textId="77777777" w:rsidR="005F025D" w:rsidRPr="00953DCC" w:rsidRDefault="005F025D" w:rsidP="007F7D6E">
      <w:pPr>
        <w:rPr>
          <w:lang w:val="fr-FR"/>
        </w:rPr>
      </w:pPr>
    </w:p>
    <w:p w14:paraId="5729522A" w14:textId="18306262" w:rsidR="005F025D" w:rsidRPr="00953DCC" w:rsidRDefault="007F7D6E" w:rsidP="005F025D">
      <w:pPr>
        <w:rPr>
          <w:lang w:val="fr-FR"/>
        </w:rPr>
      </w:pPr>
      <w:r w:rsidRPr="00953DCC">
        <w:rPr>
          <w:lang w:val="fr-FR"/>
        </w:rPr>
        <w:fldChar w:fldCharType="begin"/>
      </w:r>
      <w:r w:rsidRPr="00953DCC">
        <w:rPr>
          <w:lang w:val="fr-FR"/>
        </w:rPr>
        <w:instrText xml:space="preserve"> AUTONUM  </w:instrText>
      </w:r>
      <w:r w:rsidRPr="00953DCC">
        <w:rPr>
          <w:lang w:val="fr-FR"/>
        </w:rPr>
        <w:fldChar w:fldCharType="end"/>
      </w:r>
      <w:r w:rsidRPr="00953DCC">
        <w:rPr>
          <w:lang w:val="fr-FR"/>
        </w:rPr>
        <w:tab/>
      </w:r>
      <w:r w:rsidR="005F025D" w:rsidRPr="00953DCC">
        <w:rPr>
          <w:lang w:val="fr-FR"/>
        </w:rPr>
        <w:t>Le</w:t>
      </w:r>
      <w:r w:rsidR="00BF7FC3" w:rsidRPr="00953DCC">
        <w:rPr>
          <w:lang w:val="fr-FR"/>
        </w:rPr>
        <w:t> </w:t>
      </w:r>
      <w:r w:rsidR="005F025D" w:rsidRPr="00953DCC">
        <w:rPr>
          <w:lang w:val="fr-FR"/>
        </w:rPr>
        <w:t>BMT a pris note des informations sur les groupes de discussion qui avaient été créés au sein des groupes de travail techniques, lors de leurs sessions de</w:t>
      </w:r>
      <w:r w:rsidR="00BF7FC3" w:rsidRPr="00953DCC">
        <w:rPr>
          <w:lang w:val="fr-FR"/>
        </w:rPr>
        <w:t> </w:t>
      </w:r>
      <w:r w:rsidR="005F025D" w:rsidRPr="00953DCC">
        <w:rPr>
          <w:lang w:val="fr-FR"/>
        </w:rPr>
        <w:t>2021, afin que les participants puissent échanger des informations sur leurs travaux et étudier les domaines de coopération possibles.</w:t>
      </w:r>
    </w:p>
    <w:p w14:paraId="5729522B" w14:textId="77777777" w:rsidR="005F025D" w:rsidRPr="00953DCC" w:rsidRDefault="005F025D" w:rsidP="007F7D6E">
      <w:pPr>
        <w:rPr>
          <w:lang w:val="fr-FR"/>
        </w:rPr>
      </w:pPr>
    </w:p>
    <w:p w14:paraId="73CD633F" w14:textId="77777777" w:rsidR="0056301D" w:rsidRDefault="007F7D6E" w:rsidP="005F025D">
      <w:pPr>
        <w:rPr>
          <w:lang w:val="fr-FR"/>
        </w:rPr>
      </w:pPr>
      <w:r w:rsidRPr="00953DCC">
        <w:rPr>
          <w:lang w:val="fr-FR"/>
        </w:rPr>
        <w:fldChar w:fldCharType="begin"/>
      </w:r>
      <w:r w:rsidRPr="00953DCC">
        <w:rPr>
          <w:lang w:val="fr-FR"/>
        </w:rPr>
        <w:instrText xml:space="preserve"> AUTONUM  </w:instrText>
      </w:r>
      <w:r w:rsidRPr="00953DCC">
        <w:rPr>
          <w:lang w:val="fr-FR"/>
        </w:rPr>
        <w:fldChar w:fldCharType="end"/>
      </w:r>
      <w:r w:rsidRPr="00953DCC">
        <w:rPr>
          <w:lang w:val="fr-FR"/>
        </w:rPr>
        <w:tab/>
      </w:r>
      <w:r w:rsidR="005F025D" w:rsidRPr="00953DCC">
        <w:rPr>
          <w:lang w:val="fr-FR"/>
        </w:rPr>
        <w:t>Le</w:t>
      </w:r>
      <w:r w:rsidR="00BF7FC3" w:rsidRPr="00953DCC">
        <w:rPr>
          <w:lang w:val="fr-FR"/>
        </w:rPr>
        <w:t> </w:t>
      </w:r>
      <w:r w:rsidR="005F025D" w:rsidRPr="00953DCC">
        <w:rPr>
          <w:lang w:val="fr-FR"/>
        </w:rPr>
        <w:t>BMT a organisé une réunion afin que les participants puissent échanger des informations sur leurs travaux concernant les techniques biochimiques et moléculaires et étudier les domaines de coopération possibles.</w:t>
      </w:r>
    </w:p>
    <w:p w14:paraId="5729522D" w14:textId="7A2836DB" w:rsidR="005F025D" w:rsidRPr="00953DCC" w:rsidRDefault="005F025D" w:rsidP="007F7D6E">
      <w:pPr>
        <w:rPr>
          <w:lang w:val="fr-FR"/>
        </w:rPr>
      </w:pPr>
    </w:p>
    <w:p w14:paraId="5729522E" w14:textId="1BE319AE" w:rsidR="005F025D" w:rsidRPr="00953DCC" w:rsidRDefault="007F7D6E" w:rsidP="005F025D">
      <w:pPr>
        <w:rPr>
          <w:lang w:val="fr-FR"/>
        </w:rPr>
      </w:pPr>
      <w:r w:rsidRPr="00953DCC">
        <w:rPr>
          <w:lang w:val="fr-FR"/>
        </w:rPr>
        <w:fldChar w:fldCharType="begin"/>
      </w:r>
      <w:r w:rsidRPr="00953DCC">
        <w:rPr>
          <w:lang w:val="fr-FR"/>
        </w:rPr>
        <w:instrText xml:space="preserve"> AUTONUM  </w:instrText>
      </w:r>
      <w:r w:rsidRPr="00953DCC">
        <w:rPr>
          <w:lang w:val="fr-FR"/>
        </w:rPr>
        <w:fldChar w:fldCharType="end"/>
      </w:r>
      <w:r w:rsidRPr="00953DCC">
        <w:rPr>
          <w:lang w:val="fr-FR"/>
        </w:rPr>
        <w:tab/>
      </w:r>
      <w:r w:rsidR="005F025D" w:rsidRPr="00953DCC">
        <w:rPr>
          <w:lang w:val="fr-FR"/>
        </w:rPr>
        <w:t>Le</w:t>
      </w:r>
      <w:r w:rsidR="00BF7FC3" w:rsidRPr="00953DCC">
        <w:rPr>
          <w:lang w:val="fr-FR"/>
        </w:rPr>
        <w:t> </w:t>
      </w:r>
      <w:r w:rsidR="005F025D" w:rsidRPr="00953DCC">
        <w:rPr>
          <w:lang w:val="fr-FR"/>
        </w:rPr>
        <w:t>BMT s</w:t>
      </w:r>
      <w:r w:rsidR="0056301D">
        <w:rPr>
          <w:lang w:val="fr-FR"/>
        </w:rPr>
        <w:t>’</w:t>
      </w:r>
      <w:r w:rsidR="005F025D" w:rsidRPr="00953DCC">
        <w:rPr>
          <w:lang w:val="fr-FR"/>
        </w:rPr>
        <w:t>est intéressé à la question de savoir si l</w:t>
      </w:r>
      <w:r w:rsidR="0056301D">
        <w:rPr>
          <w:lang w:val="fr-FR"/>
        </w:rPr>
        <w:t>’</w:t>
      </w:r>
      <w:r w:rsidR="005F025D" w:rsidRPr="00953DCC">
        <w:rPr>
          <w:lang w:val="fr-FR"/>
        </w:rPr>
        <w:t>UPOV pouvait favoriser l</w:t>
      </w:r>
      <w:r w:rsidR="0056301D">
        <w:rPr>
          <w:lang w:val="fr-FR"/>
        </w:rPr>
        <w:t>’</w:t>
      </w:r>
      <w:r w:rsidR="005F025D" w:rsidRPr="00953DCC">
        <w:rPr>
          <w:lang w:val="fr-FR"/>
        </w:rPr>
        <w:t>harmonisation et la coopération entre les membres qui utilisaient déjà les marqueurs moléculaires dans l</w:t>
      </w:r>
      <w:r w:rsidR="0056301D">
        <w:rPr>
          <w:lang w:val="fr-FR"/>
        </w:rPr>
        <w:t>’</w:t>
      </w:r>
      <w:r w:rsidR="005F025D" w:rsidRPr="00953DCC">
        <w:rPr>
          <w:lang w:val="fr-FR"/>
        </w:rPr>
        <w:t>examen</w:t>
      </w:r>
      <w:r w:rsidR="00BF7FC3" w:rsidRPr="00953DCC">
        <w:rPr>
          <w:lang w:val="fr-FR"/>
        </w:rPr>
        <w:t> </w:t>
      </w:r>
      <w:r w:rsidR="005F025D" w:rsidRPr="00953DCC">
        <w:rPr>
          <w:lang w:val="fr-FR"/>
        </w:rPr>
        <w:t>DHS, ou qui mettaient des informations ou des services relatifs aux techniques biochimiques et moléculaires à la disposition des autres membres de l</w:t>
      </w:r>
      <w:r w:rsidR="0056301D">
        <w:rPr>
          <w:lang w:val="fr-FR"/>
        </w:rPr>
        <w:t>’</w:t>
      </w:r>
      <w:r w:rsidR="005F025D" w:rsidRPr="00953DCC">
        <w:rPr>
          <w:lang w:val="fr-FR"/>
        </w:rPr>
        <w:t>UPOV.</w:t>
      </w:r>
    </w:p>
    <w:p w14:paraId="5729522F" w14:textId="77777777" w:rsidR="005F025D" w:rsidRPr="00953DCC" w:rsidRDefault="005F025D" w:rsidP="007F7D6E">
      <w:pPr>
        <w:rPr>
          <w:lang w:val="fr-FR"/>
        </w:rPr>
      </w:pPr>
    </w:p>
    <w:p w14:paraId="5C72DB0A" w14:textId="1772F9E7" w:rsidR="0056301D" w:rsidRDefault="007F7D6E" w:rsidP="005F025D">
      <w:pPr>
        <w:rPr>
          <w:lang w:val="fr-FR"/>
        </w:rPr>
      </w:pPr>
      <w:r w:rsidRPr="00953DCC">
        <w:rPr>
          <w:lang w:val="fr-FR"/>
        </w:rPr>
        <w:fldChar w:fldCharType="begin"/>
      </w:r>
      <w:r w:rsidRPr="00953DCC">
        <w:rPr>
          <w:lang w:val="fr-FR"/>
        </w:rPr>
        <w:instrText xml:space="preserve"> AUTONUM  </w:instrText>
      </w:r>
      <w:r w:rsidRPr="00953DCC">
        <w:rPr>
          <w:lang w:val="fr-FR"/>
        </w:rPr>
        <w:fldChar w:fldCharType="end"/>
      </w:r>
      <w:r w:rsidRPr="00953DCC">
        <w:rPr>
          <w:lang w:val="fr-FR"/>
        </w:rPr>
        <w:tab/>
      </w:r>
      <w:r w:rsidR="005F025D" w:rsidRPr="00953DCC">
        <w:rPr>
          <w:lang w:val="fr-FR"/>
        </w:rPr>
        <w:t>Il est convenu que les informations sur l</w:t>
      </w:r>
      <w:r w:rsidR="0056301D">
        <w:rPr>
          <w:lang w:val="fr-FR"/>
        </w:rPr>
        <w:t>’</w:t>
      </w:r>
      <w:r w:rsidR="005F025D" w:rsidRPr="00953DCC">
        <w:rPr>
          <w:lang w:val="fr-FR"/>
        </w:rPr>
        <w:t xml:space="preserve">utilisation de marqueurs moléculaires </w:t>
      </w:r>
      <w:r w:rsidR="00290ACD" w:rsidRPr="00953DCC">
        <w:rPr>
          <w:lang w:val="fr-FR"/>
        </w:rPr>
        <w:t xml:space="preserve">par plante </w:t>
      </w:r>
      <w:r w:rsidR="005F025D" w:rsidRPr="00953DCC">
        <w:rPr>
          <w:lang w:val="fr-FR"/>
        </w:rPr>
        <w:t>étaient importantes pour promouvoir la coopération entre les membres de l</w:t>
      </w:r>
      <w:r w:rsidR="0056301D">
        <w:rPr>
          <w:lang w:val="fr-FR"/>
        </w:rPr>
        <w:t>’</w:t>
      </w:r>
      <w:r w:rsidR="005F025D" w:rsidRPr="00953DCC">
        <w:rPr>
          <w:lang w:val="fr-FR"/>
        </w:rPr>
        <w:t>UPOV et a décidé de proposer de poursuivre l</w:t>
      </w:r>
      <w:r w:rsidR="0056301D">
        <w:rPr>
          <w:lang w:val="fr-FR"/>
        </w:rPr>
        <w:t>’</w:t>
      </w:r>
      <w:r w:rsidR="005F025D" w:rsidRPr="00953DCC">
        <w:rPr>
          <w:lang w:val="fr-FR"/>
        </w:rPr>
        <w:t>étude sur l</w:t>
      </w:r>
      <w:r w:rsidR="0056301D">
        <w:rPr>
          <w:lang w:val="fr-FR"/>
        </w:rPr>
        <w:t>’</w:t>
      </w:r>
      <w:r w:rsidR="005F025D" w:rsidRPr="00953DCC">
        <w:rPr>
          <w:lang w:val="fr-FR"/>
        </w:rPr>
        <w:t>utilisation des marqueurs moléculaires afin d</w:t>
      </w:r>
      <w:r w:rsidR="0056301D">
        <w:rPr>
          <w:lang w:val="fr-FR"/>
        </w:rPr>
        <w:t>’</w:t>
      </w:r>
      <w:r w:rsidR="005F025D" w:rsidRPr="00953DCC">
        <w:rPr>
          <w:lang w:val="fr-FR"/>
        </w:rPr>
        <w:t>obtenir des informations d</w:t>
      </w:r>
      <w:r w:rsidR="0056301D">
        <w:rPr>
          <w:lang w:val="fr-FR"/>
        </w:rPr>
        <w:t>’</w:t>
      </w:r>
      <w:r w:rsidR="005F025D" w:rsidRPr="00953DCC">
        <w:rPr>
          <w:lang w:val="fr-FR"/>
        </w:rPr>
        <w:t>un plus grand nombre de membres de l</w:t>
      </w:r>
      <w:r w:rsidR="0056301D">
        <w:rPr>
          <w:lang w:val="fr-FR"/>
        </w:rPr>
        <w:t>’</w:t>
      </w:r>
      <w:r w:rsidR="005F025D" w:rsidRPr="00953DCC">
        <w:rPr>
          <w:lang w:val="fr-FR"/>
        </w:rPr>
        <w:t>UPOV.</w:t>
      </w:r>
    </w:p>
    <w:p w14:paraId="57295231" w14:textId="3F0275ED" w:rsidR="005F025D" w:rsidRPr="00953DCC" w:rsidRDefault="005F025D" w:rsidP="007F7D6E">
      <w:pPr>
        <w:rPr>
          <w:lang w:val="fr-FR"/>
        </w:rPr>
      </w:pPr>
    </w:p>
    <w:p w14:paraId="595F44FF" w14:textId="07A537B9" w:rsidR="0056301D" w:rsidRDefault="007F7D6E" w:rsidP="005F025D">
      <w:pPr>
        <w:rPr>
          <w:lang w:val="fr-FR"/>
        </w:rPr>
      </w:pPr>
      <w:r w:rsidRPr="00953DCC">
        <w:rPr>
          <w:lang w:val="fr-FR"/>
        </w:rPr>
        <w:fldChar w:fldCharType="begin"/>
      </w:r>
      <w:r w:rsidRPr="00953DCC">
        <w:rPr>
          <w:lang w:val="fr-FR"/>
        </w:rPr>
        <w:instrText xml:space="preserve"> AUTONUM  </w:instrText>
      </w:r>
      <w:r w:rsidRPr="00953DCC">
        <w:rPr>
          <w:lang w:val="fr-FR"/>
        </w:rPr>
        <w:fldChar w:fldCharType="end"/>
      </w:r>
      <w:r w:rsidRPr="00953DCC">
        <w:rPr>
          <w:lang w:val="fr-FR"/>
        </w:rPr>
        <w:tab/>
      </w:r>
      <w:r w:rsidR="005F025D" w:rsidRPr="00953DCC">
        <w:rPr>
          <w:lang w:val="fr-FR"/>
        </w:rPr>
        <w:t>Le</w:t>
      </w:r>
      <w:r w:rsidR="0017330B" w:rsidRPr="00953DCC">
        <w:rPr>
          <w:lang w:val="fr-FR"/>
        </w:rPr>
        <w:t> </w:t>
      </w:r>
      <w:r w:rsidR="005F025D" w:rsidRPr="00953DCC">
        <w:rPr>
          <w:lang w:val="fr-FR"/>
        </w:rPr>
        <w:t>BMT est convenu qu</w:t>
      </w:r>
      <w:r w:rsidR="0056301D">
        <w:rPr>
          <w:lang w:val="fr-FR"/>
        </w:rPr>
        <w:t>’</w:t>
      </w:r>
      <w:r w:rsidR="005F025D" w:rsidRPr="00953DCC">
        <w:rPr>
          <w:lang w:val="fr-FR"/>
        </w:rPr>
        <w:t>il serait utile de confirmer les raisons de ne pas répondre à la première enquê</w:t>
      </w:r>
      <w:r w:rsidR="0011329B" w:rsidRPr="00953DCC">
        <w:rPr>
          <w:lang w:val="fr-FR"/>
        </w:rPr>
        <w:t>te</w:t>
      </w:r>
      <w:r w:rsidR="0011329B">
        <w:rPr>
          <w:lang w:val="fr-FR"/>
        </w:rPr>
        <w:t xml:space="preserve">.  </w:t>
      </w:r>
      <w:r w:rsidR="0011329B" w:rsidRPr="00953DCC">
        <w:rPr>
          <w:lang w:val="fr-FR"/>
        </w:rPr>
        <w:t>Le</w:t>
      </w:r>
      <w:r w:rsidR="0056301D">
        <w:rPr>
          <w:lang w:val="fr-FR"/>
        </w:rPr>
        <w:t> TC</w:t>
      </w:r>
      <w:r w:rsidR="00AE2A75" w:rsidRPr="00953DCC">
        <w:rPr>
          <w:lang w:val="fr-FR"/>
        </w:rPr>
        <w:t>, à sa cinquante</w:t>
      </w:r>
      <w:r w:rsidR="00456121">
        <w:rPr>
          <w:lang w:val="fr-FR"/>
        </w:rPr>
        <w:noBreakHyphen/>
      </w:r>
      <w:r w:rsidR="00AE2A75" w:rsidRPr="00953DCC">
        <w:rPr>
          <w:lang w:val="fr-FR"/>
        </w:rPr>
        <w:t>sept</w:t>
      </w:r>
      <w:r w:rsidR="0056301D">
        <w:rPr>
          <w:lang w:val="fr-FR"/>
        </w:rPr>
        <w:t>ième session</w:t>
      </w:r>
      <w:r w:rsidR="00AE2A75" w:rsidRPr="00953DCC">
        <w:rPr>
          <w:lang w:val="fr-FR"/>
        </w:rPr>
        <w:t xml:space="preserve"> sera invit</w:t>
      </w:r>
      <w:r w:rsidR="00473796" w:rsidRPr="00953DCC">
        <w:rPr>
          <w:lang w:val="fr-FR"/>
        </w:rPr>
        <w:t>é</w:t>
      </w:r>
      <w:r w:rsidR="0056301D">
        <w:rPr>
          <w:lang w:val="fr-FR"/>
        </w:rPr>
        <w:t> :</w:t>
      </w:r>
    </w:p>
    <w:p w14:paraId="57295233" w14:textId="3D49F596" w:rsidR="005F025D" w:rsidRPr="00953DCC" w:rsidRDefault="005F025D" w:rsidP="007F7D6E">
      <w:pPr>
        <w:rPr>
          <w:lang w:val="fr-FR"/>
        </w:rPr>
      </w:pPr>
    </w:p>
    <w:p w14:paraId="3E4A2428" w14:textId="44CEA5F4" w:rsidR="00B00E0D" w:rsidRPr="00953DCC" w:rsidRDefault="005F025D" w:rsidP="00B00E0D">
      <w:pPr>
        <w:pStyle w:val="ListParagraph"/>
        <w:numPr>
          <w:ilvl w:val="0"/>
          <w:numId w:val="14"/>
        </w:numPr>
        <w:ind w:left="1134" w:hanging="567"/>
        <w:rPr>
          <w:lang w:val="fr-FR"/>
        </w:rPr>
      </w:pPr>
      <w:r w:rsidRPr="00953DCC">
        <w:rPr>
          <w:lang w:val="fr-FR"/>
        </w:rPr>
        <w:t>à examiner s</w:t>
      </w:r>
      <w:r w:rsidR="0056301D">
        <w:rPr>
          <w:lang w:val="fr-FR"/>
        </w:rPr>
        <w:t>’</w:t>
      </w:r>
      <w:r w:rsidRPr="00953DCC">
        <w:rPr>
          <w:lang w:val="fr-FR"/>
        </w:rPr>
        <w:t>il convient de poursuivre l</w:t>
      </w:r>
      <w:r w:rsidR="0056301D">
        <w:rPr>
          <w:lang w:val="fr-FR"/>
        </w:rPr>
        <w:t>’</w:t>
      </w:r>
      <w:r w:rsidRPr="00953DCC">
        <w:rPr>
          <w:lang w:val="fr-FR"/>
        </w:rPr>
        <w:t>enquête sur l</w:t>
      </w:r>
      <w:r w:rsidR="0056301D">
        <w:rPr>
          <w:lang w:val="fr-FR"/>
        </w:rPr>
        <w:t>’</w:t>
      </w:r>
      <w:r w:rsidRPr="00953DCC">
        <w:rPr>
          <w:lang w:val="fr-FR"/>
        </w:rPr>
        <w:t>utilisation des marqueurs moléculaires afin de recueillir des informations auprès d</w:t>
      </w:r>
      <w:r w:rsidR="0056301D">
        <w:rPr>
          <w:lang w:val="fr-FR"/>
        </w:rPr>
        <w:t>’</w:t>
      </w:r>
      <w:r w:rsidRPr="00953DCC">
        <w:rPr>
          <w:lang w:val="fr-FR"/>
        </w:rPr>
        <w:t>un plus grand nombre de membres de l</w:t>
      </w:r>
      <w:r w:rsidR="0056301D">
        <w:rPr>
          <w:lang w:val="fr-FR"/>
        </w:rPr>
        <w:t>’</w:t>
      </w:r>
      <w:r w:rsidRPr="00953DCC">
        <w:rPr>
          <w:lang w:val="fr-FR"/>
        </w:rPr>
        <w:t>UPOV et</w:t>
      </w:r>
      <w:r w:rsidR="00B00E0D" w:rsidRPr="00953DCC">
        <w:rPr>
          <w:lang w:val="fr-FR"/>
        </w:rPr>
        <w:br/>
      </w:r>
    </w:p>
    <w:p w14:paraId="57295237" w14:textId="42604A5A" w:rsidR="005F025D" w:rsidRPr="00953DCC" w:rsidRDefault="00B00E0D" w:rsidP="007F7D6E">
      <w:pPr>
        <w:pStyle w:val="ListParagraph"/>
        <w:numPr>
          <w:ilvl w:val="0"/>
          <w:numId w:val="14"/>
        </w:numPr>
        <w:ind w:left="1134" w:hanging="567"/>
        <w:rPr>
          <w:lang w:val="fr-FR"/>
        </w:rPr>
      </w:pPr>
      <w:r w:rsidRPr="00953DCC">
        <w:rPr>
          <w:lang w:val="fr-FR"/>
        </w:rPr>
        <w:t>à examiner les raisons pour lesquelles les membres de l</w:t>
      </w:r>
      <w:r w:rsidR="0056301D">
        <w:rPr>
          <w:lang w:val="fr-FR"/>
        </w:rPr>
        <w:t>’</w:t>
      </w:r>
      <w:r w:rsidRPr="00953DCC">
        <w:rPr>
          <w:lang w:val="fr-FR"/>
        </w:rPr>
        <w:t>Union n</w:t>
      </w:r>
      <w:r w:rsidR="0056301D">
        <w:rPr>
          <w:lang w:val="fr-FR"/>
        </w:rPr>
        <w:t>’</w:t>
      </w:r>
      <w:r w:rsidRPr="00953DCC">
        <w:rPr>
          <w:lang w:val="fr-FR"/>
        </w:rPr>
        <w:t>ont pas répondu à la première enquête.</w:t>
      </w:r>
      <w:r w:rsidRPr="00953DCC">
        <w:rPr>
          <w:lang w:val="fr-FR"/>
        </w:rPr>
        <w:br/>
      </w:r>
    </w:p>
    <w:p w14:paraId="57295238" w14:textId="44D866C8" w:rsidR="005F025D" w:rsidRPr="00953DCC" w:rsidRDefault="007F7D6E" w:rsidP="005F025D">
      <w:pPr>
        <w:rPr>
          <w:lang w:val="fr-FR"/>
        </w:rPr>
      </w:pPr>
      <w:r w:rsidRPr="00953DCC">
        <w:rPr>
          <w:lang w:val="fr-FR"/>
        </w:rPr>
        <w:fldChar w:fldCharType="begin"/>
      </w:r>
      <w:r w:rsidRPr="00953DCC">
        <w:rPr>
          <w:lang w:val="fr-FR"/>
        </w:rPr>
        <w:instrText xml:space="preserve"> AUTONUM  </w:instrText>
      </w:r>
      <w:r w:rsidRPr="00953DCC">
        <w:rPr>
          <w:lang w:val="fr-FR"/>
        </w:rPr>
        <w:fldChar w:fldCharType="end"/>
      </w:r>
      <w:r w:rsidRPr="00953DCC">
        <w:rPr>
          <w:lang w:val="fr-FR"/>
        </w:rPr>
        <w:tab/>
      </w:r>
      <w:r w:rsidR="005F025D" w:rsidRPr="00953DCC">
        <w:rPr>
          <w:lang w:val="fr-FR"/>
        </w:rPr>
        <w:t>Le</w:t>
      </w:r>
      <w:r w:rsidR="00BF7FC3" w:rsidRPr="00953DCC">
        <w:rPr>
          <w:lang w:val="fr-FR"/>
        </w:rPr>
        <w:t> </w:t>
      </w:r>
      <w:r w:rsidR="005F025D" w:rsidRPr="00953DCC">
        <w:rPr>
          <w:lang w:val="fr-FR"/>
        </w:rPr>
        <w:t>BMT est convenu qu</w:t>
      </w:r>
      <w:r w:rsidR="0056301D">
        <w:rPr>
          <w:lang w:val="fr-FR"/>
        </w:rPr>
        <w:t>’</w:t>
      </w:r>
      <w:r w:rsidR="005F025D" w:rsidRPr="00953DCC">
        <w:rPr>
          <w:lang w:val="fr-FR"/>
        </w:rPr>
        <w:t>il y avait lieu de maintenir la possibilité de former des groupes de discussion durant les sessions.</w:t>
      </w:r>
    </w:p>
    <w:p w14:paraId="57295239" w14:textId="77777777" w:rsidR="005F025D" w:rsidRPr="00953DCC" w:rsidRDefault="005F025D" w:rsidP="008E521A">
      <w:pPr>
        <w:rPr>
          <w:lang w:val="fr-FR"/>
        </w:rPr>
      </w:pPr>
    </w:p>
    <w:p w14:paraId="5729523A" w14:textId="77777777" w:rsidR="005F025D" w:rsidRPr="00953DCC" w:rsidRDefault="005F025D" w:rsidP="008E521A">
      <w:pPr>
        <w:rPr>
          <w:lang w:val="fr-FR"/>
        </w:rPr>
      </w:pPr>
    </w:p>
    <w:p w14:paraId="5729523B" w14:textId="77777777" w:rsidR="005F025D" w:rsidRPr="00953DCC" w:rsidRDefault="005F025D" w:rsidP="008E521A">
      <w:pPr>
        <w:rPr>
          <w:lang w:val="fr-FR"/>
        </w:rPr>
      </w:pPr>
    </w:p>
    <w:p w14:paraId="5729523C" w14:textId="04020D70" w:rsidR="005F025D" w:rsidRPr="006574E5" w:rsidRDefault="005F025D" w:rsidP="00B3081B">
      <w:pPr>
        <w:pStyle w:val="Heading1"/>
      </w:pPr>
      <w:bookmarkStart w:id="22" w:name="_Toc86312887"/>
      <w:r w:rsidRPr="006574E5">
        <w:t>Confidentialit</w:t>
      </w:r>
      <w:r w:rsidR="006574E5" w:rsidRPr="006574E5">
        <w:t>é</w:t>
      </w:r>
      <w:r w:rsidRPr="006574E5">
        <w:t xml:space="preserve"> et titularit</w:t>
      </w:r>
      <w:r w:rsidR="006574E5" w:rsidRPr="006574E5">
        <w:t>é</w:t>
      </w:r>
      <w:r w:rsidRPr="006574E5">
        <w:t xml:space="preserve"> des informations mol</w:t>
      </w:r>
      <w:r w:rsidR="006574E5" w:rsidRPr="006574E5">
        <w:t>é</w:t>
      </w:r>
      <w:r w:rsidRPr="006574E5">
        <w:t>culaires</w:t>
      </w:r>
      <w:bookmarkEnd w:id="22"/>
    </w:p>
    <w:p w14:paraId="5729523D" w14:textId="77777777" w:rsidR="005F025D" w:rsidRPr="00953DCC" w:rsidRDefault="005F025D" w:rsidP="00733267">
      <w:pPr>
        <w:rPr>
          <w:lang w:val="fr-FR"/>
        </w:rPr>
      </w:pPr>
    </w:p>
    <w:p w14:paraId="5729523E" w14:textId="3A0D8951" w:rsidR="005F025D" w:rsidRPr="00953DCC" w:rsidRDefault="00733267" w:rsidP="005F025D">
      <w:pPr>
        <w:rPr>
          <w:lang w:val="fr-FR"/>
        </w:rPr>
      </w:pPr>
      <w:r w:rsidRPr="00953DCC">
        <w:rPr>
          <w:lang w:val="fr-FR"/>
        </w:rPr>
        <w:fldChar w:fldCharType="begin"/>
      </w:r>
      <w:r w:rsidRPr="00953DCC">
        <w:rPr>
          <w:lang w:val="fr-FR"/>
        </w:rPr>
        <w:instrText xml:space="preserve"> AUTONUM  </w:instrText>
      </w:r>
      <w:r w:rsidRPr="00953DCC">
        <w:rPr>
          <w:lang w:val="fr-FR"/>
        </w:rPr>
        <w:fldChar w:fldCharType="end"/>
      </w:r>
      <w:r w:rsidRPr="00953DCC">
        <w:rPr>
          <w:lang w:val="fr-FR"/>
        </w:rPr>
        <w:tab/>
      </w:r>
      <w:r w:rsidR="005F025D" w:rsidRPr="00953DCC">
        <w:rPr>
          <w:lang w:val="fr-FR"/>
        </w:rPr>
        <w:t>Les</w:t>
      </w:r>
      <w:r w:rsidR="00BF7FC3" w:rsidRPr="00953DCC">
        <w:rPr>
          <w:lang w:val="fr-FR"/>
        </w:rPr>
        <w:t> </w:t>
      </w:r>
      <w:r w:rsidR="005F025D" w:rsidRPr="00953DCC">
        <w:rPr>
          <w:lang w:val="fr-FR"/>
        </w:rPr>
        <w:t>TWP et le</w:t>
      </w:r>
      <w:r w:rsidR="00BF7FC3" w:rsidRPr="00953DCC">
        <w:rPr>
          <w:lang w:val="fr-FR"/>
        </w:rPr>
        <w:t> </w:t>
      </w:r>
      <w:r w:rsidR="005F025D" w:rsidRPr="00953DCC">
        <w:rPr>
          <w:lang w:val="fr-FR"/>
        </w:rPr>
        <w:t>BMT, à leurs sessions de</w:t>
      </w:r>
      <w:r w:rsidR="0019319D" w:rsidRPr="00953DCC">
        <w:rPr>
          <w:lang w:val="fr-FR"/>
        </w:rPr>
        <w:t> </w:t>
      </w:r>
      <w:r w:rsidR="005F025D" w:rsidRPr="00953DCC">
        <w:rPr>
          <w:lang w:val="fr-FR"/>
        </w:rPr>
        <w:t>2021, ont suivi un exposé intitulé “Confidentiality &amp; Ownership of Molecular Information” (Confidentialité et titularité des informations moléculaires), présenté par un expert au nom de l</w:t>
      </w:r>
      <w:r w:rsidR="0056301D">
        <w:rPr>
          <w:lang w:val="fr-FR"/>
        </w:rPr>
        <w:t>’</w:t>
      </w:r>
      <w:r w:rsidR="005F025D" w:rsidRPr="00953DCC">
        <w:rPr>
          <w:lang w:val="fr-FR"/>
        </w:rPr>
        <w:t>Association africaine du commerce des semences (AFSTA), de l</w:t>
      </w:r>
      <w:r w:rsidR="0056301D">
        <w:rPr>
          <w:lang w:val="fr-FR"/>
        </w:rPr>
        <w:t>’</w:t>
      </w:r>
      <w:r w:rsidR="005F025D" w:rsidRPr="00953DCC">
        <w:rPr>
          <w:lang w:val="fr-FR"/>
        </w:rPr>
        <w:t>Association des semenciers d</w:t>
      </w:r>
      <w:r w:rsidR="0056301D">
        <w:rPr>
          <w:lang w:val="fr-FR"/>
        </w:rPr>
        <w:t>’</w:t>
      </w:r>
      <w:r w:rsidR="005F025D" w:rsidRPr="00953DCC">
        <w:rPr>
          <w:lang w:val="fr-FR"/>
        </w:rPr>
        <w:t>Asie et du Pacifique (APSA), de la Communauté internationale des obtenteurs de plantes horticoles à reproduction asexuée (CIOPORA), de CropLife International, d</w:t>
      </w:r>
      <w:r w:rsidR="0056301D">
        <w:rPr>
          <w:lang w:val="fr-FR"/>
        </w:rPr>
        <w:t>’</w:t>
      </w:r>
      <w:r w:rsidR="005F025D" w:rsidRPr="00953DCC">
        <w:rPr>
          <w:lang w:val="fr-FR"/>
        </w:rPr>
        <w:t>Euroseeds, de l</w:t>
      </w:r>
      <w:r w:rsidR="0056301D">
        <w:rPr>
          <w:lang w:val="fr-FR"/>
        </w:rPr>
        <w:t>’</w:t>
      </w:r>
      <w:r w:rsidR="005F025D" w:rsidRPr="00953DCC">
        <w:rPr>
          <w:lang w:val="fr-FR"/>
        </w:rPr>
        <w:t>International Seed Federation (ISF) et de la Seed Association of the Americas (SAA).</w:t>
      </w:r>
      <w:r w:rsidRPr="00953DCC">
        <w:rPr>
          <w:lang w:val="fr-FR"/>
        </w:rPr>
        <w:t xml:space="preserve"> </w:t>
      </w:r>
      <w:r w:rsidR="004A1CA8">
        <w:rPr>
          <w:lang w:val="fr-FR"/>
        </w:rPr>
        <w:t xml:space="preserve"> </w:t>
      </w:r>
      <w:r w:rsidR="005F025D" w:rsidRPr="00953DCC">
        <w:rPr>
          <w:lang w:val="fr-FR"/>
        </w:rPr>
        <w:t>Une copie de l</w:t>
      </w:r>
      <w:r w:rsidR="0056301D">
        <w:rPr>
          <w:lang w:val="fr-FR"/>
        </w:rPr>
        <w:t>’</w:t>
      </w:r>
      <w:r w:rsidR="005F025D" w:rsidRPr="00953DCC">
        <w:rPr>
          <w:lang w:val="fr-FR"/>
        </w:rPr>
        <w:t>exposé figure dans le document TWV/55/4 (voir les paragraphes</w:t>
      </w:r>
      <w:r w:rsidR="00AE35CB" w:rsidRPr="00953DCC">
        <w:rPr>
          <w:lang w:val="fr-FR"/>
        </w:rPr>
        <w:t> </w:t>
      </w:r>
      <w:r w:rsidR="005F025D" w:rsidRPr="00953DCC">
        <w:rPr>
          <w:lang w:val="fr-FR"/>
        </w:rPr>
        <w:t>56 à 61 du document TWV/55/16 “Report”, les paragraphes</w:t>
      </w:r>
      <w:r w:rsidR="00E97BA9" w:rsidRPr="00953DCC">
        <w:rPr>
          <w:lang w:val="fr-FR"/>
        </w:rPr>
        <w:t> </w:t>
      </w:r>
      <w:r w:rsidR="005F025D" w:rsidRPr="00953DCC">
        <w:rPr>
          <w:lang w:val="fr-FR"/>
        </w:rPr>
        <w:t>62 à 64 du document TWO/53/10 “Report”, les paragraphes</w:t>
      </w:r>
      <w:r w:rsidR="009C000A" w:rsidRPr="00953DCC">
        <w:rPr>
          <w:lang w:val="fr-FR"/>
        </w:rPr>
        <w:t> </w:t>
      </w:r>
      <w:r w:rsidR="005F025D" w:rsidRPr="00953DCC">
        <w:rPr>
          <w:lang w:val="fr-FR"/>
        </w:rPr>
        <w:t>91 à 93 du document TWA/50/9 “Report”, les paragraphes</w:t>
      </w:r>
      <w:r w:rsidR="009C000A" w:rsidRPr="00953DCC">
        <w:rPr>
          <w:lang w:val="fr-FR"/>
        </w:rPr>
        <w:t> </w:t>
      </w:r>
      <w:r w:rsidR="005F025D" w:rsidRPr="00953DCC">
        <w:rPr>
          <w:lang w:val="fr-FR"/>
        </w:rPr>
        <w:t>16 et 17 du document TWF/52/10 “Report” et les paragraphes</w:t>
      </w:r>
      <w:r w:rsidR="001143FF" w:rsidRPr="00953DCC">
        <w:rPr>
          <w:lang w:val="fr-FR"/>
        </w:rPr>
        <w:t> </w:t>
      </w:r>
      <w:r w:rsidR="005F025D" w:rsidRPr="00953DCC">
        <w:rPr>
          <w:lang w:val="fr-FR"/>
        </w:rPr>
        <w:t>25 à 27 du document BMT/20/12 “Report”).</w:t>
      </w:r>
    </w:p>
    <w:p w14:paraId="5729523F" w14:textId="77777777" w:rsidR="005F025D" w:rsidRPr="00953DCC" w:rsidRDefault="005F025D" w:rsidP="00733267">
      <w:pPr>
        <w:rPr>
          <w:lang w:val="fr-FR"/>
        </w:rPr>
      </w:pPr>
    </w:p>
    <w:p w14:paraId="57295240" w14:textId="6B7BF665" w:rsidR="005F025D" w:rsidRPr="00953DCC" w:rsidRDefault="00733267" w:rsidP="005F025D">
      <w:pPr>
        <w:rPr>
          <w:lang w:val="fr-FR"/>
        </w:rPr>
      </w:pPr>
      <w:r w:rsidRPr="00953DCC">
        <w:rPr>
          <w:lang w:val="fr-FR"/>
        </w:rPr>
        <w:fldChar w:fldCharType="begin"/>
      </w:r>
      <w:r w:rsidRPr="00953DCC">
        <w:rPr>
          <w:lang w:val="fr-FR"/>
        </w:rPr>
        <w:instrText xml:space="preserve"> AUTONUM  </w:instrText>
      </w:r>
      <w:r w:rsidRPr="00953DCC">
        <w:rPr>
          <w:lang w:val="fr-FR"/>
        </w:rPr>
        <w:fldChar w:fldCharType="end"/>
      </w:r>
      <w:r w:rsidRPr="00953DCC">
        <w:rPr>
          <w:lang w:val="fr-FR"/>
        </w:rPr>
        <w:tab/>
      </w:r>
      <w:r w:rsidR="005F025D" w:rsidRPr="00953DCC">
        <w:rPr>
          <w:lang w:val="fr-FR"/>
        </w:rPr>
        <w:t>Le</w:t>
      </w:r>
      <w:r w:rsidR="00BF7FC3" w:rsidRPr="00953DCC">
        <w:rPr>
          <w:lang w:val="fr-FR"/>
        </w:rPr>
        <w:t> </w:t>
      </w:r>
      <w:r w:rsidR="005F025D" w:rsidRPr="00953DCC">
        <w:rPr>
          <w:lang w:val="fr-FR"/>
        </w:rPr>
        <w:t>TWV, le</w:t>
      </w:r>
      <w:r w:rsidR="00BF7FC3" w:rsidRPr="00953DCC">
        <w:rPr>
          <w:lang w:val="fr-FR"/>
        </w:rPr>
        <w:t> </w:t>
      </w:r>
      <w:r w:rsidR="005F025D" w:rsidRPr="00953DCC">
        <w:rPr>
          <w:lang w:val="fr-FR"/>
        </w:rPr>
        <w:t>TWO et le</w:t>
      </w:r>
      <w:r w:rsidR="00BF7FC3" w:rsidRPr="00953DCC">
        <w:rPr>
          <w:lang w:val="fr-FR"/>
        </w:rPr>
        <w:t> </w:t>
      </w:r>
      <w:r w:rsidR="005F025D" w:rsidRPr="00953DCC">
        <w:rPr>
          <w:lang w:val="fr-FR"/>
        </w:rPr>
        <w:t>TWA ont examiné la proposition visant à réviser la section</w:t>
      </w:r>
      <w:r w:rsidR="000D076C" w:rsidRPr="00953DCC">
        <w:rPr>
          <w:lang w:val="fr-FR"/>
        </w:rPr>
        <w:t> </w:t>
      </w:r>
      <w:r w:rsidR="005F025D" w:rsidRPr="00953DCC">
        <w:rPr>
          <w:lang w:val="fr-FR"/>
        </w:rPr>
        <w:t>3 du document TGP/5, intitulée “Formulaire de demande type”, afin d</w:t>
      </w:r>
      <w:r w:rsidR="0056301D">
        <w:rPr>
          <w:lang w:val="fr-FR"/>
        </w:rPr>
        <w:t>’</w:t>
      </w:r>
      <w:r w:rsidR="005F025D" w:rsidRPr="00953DCC">
        <w:rPr>
          <w:lang w:val="fr-FR"/>
        </w:rPr>
        <w:t>y inclure une demande de confidentialité relative aux informations moléculaires des variétés candidates, comme suit</w:t>
      </w:r>
      <w:r w:rsidR="0056301D">
        <w:rPr>
          <w:lang w:val="fr-FR"/>
        </w:rPr>
        <w:t> :</w:t>
      </w:r>
    </w:p>
    <w:p w14:paraId="57295241" w14:textId="77777777" w:rsidR="005F025D" w:rsidRPr="00953DCC" w:rsidRDefault="005F025D" w:rsidP="00733267">
      <w:pPr>
        <w:ind w:left="567" w:right="567"/>
        <w:rPr>
          <w:lang w:val="fr-FR"/>
        </w:rPr>
      </w:pPr>
    </w:p>
    <w:p w14:paraId="57295242" w14:textId="0D985985" w:rsidR="005F025D" w:rsidRPr="00953DCC" w:rsidRDefault="005F025D" w:rsidP="005F025D">
      <w:pPr>
        <w:ind w:left="567" w:right="567"/>
        <w:rPr>
          <w:i/>
          <w:lang w:val="fr-FR"/>
        </w:rPr>
      </w:pPr>
      <w:r w:rsidRPr="00953DCC">
        <w:rPr>
          <w:i/>
          <w:lang w:val="fr-FR"/>
        </w:rPr>
        <w:t>“Je demande/Nous demandons que les informations moléculaires relatives à la variété restent confidentielles et que l</w:t>
      </w:r>
      <w:r w:rsidR="0056301D">
        <w:rPr>
          <w:i/>
          <w:lang w:val="fr-FR"/>
        </w:rPr>
        <w:t>’</w:t>
      </w:r>
      <w:r w:rsidRPr="00953DCC">
        <w:rPr>
          <w:i/>
          <w:lang w:val="fr-FR"/>
        </w:rPr>
        <w:t>échange avec un autre membre de l</w:t>
      </w:r>
      <w:r w:rsidR="0056301D">
        <w:rPr>
          <w:i/>
          <w:lang w:val="fr-FR"/>
        </w:rPr>
        <w:t>’</w:t>
      </w:r>
      <w:r w:rsidRPr="00953DCC">
        <w:rPr>
          <w:i/>
          <w:lang w:val="fr-FR"/>
        </w:rPr>
        <w:t>UPOV ou un autre service d</w:t>
      </w:r>
      <w:r w:rsidR="0056301D">
        <w:rPr>
          <w:i/>
          <w:lang w:val="fr-FR"/>
        </w:rPr>
        <w:t>’</w:t>
      </w:r>
      <w:r w:rsidRPr="00953DCC">
        <w:rPr>
          <w:i/>
          <w:lang w:val="fr-FR"/>
        </w:rPr>
        <w:t>examen soit soumis à l</w:t>
      </w:r>
      <w:r w:rsidR="0056301D">
        <w:rPr>
          <w:i/>
          <w:lang w:val="fr-FR"/>
        </w:rPr>
        <w:t>’</w:t>
      </w:r>
      <w:r w:rsidRPr="00953DCC">
        <w:rPr>
          <w:i/>
          <w:lang w:val="fr-FR"/>
        </w:rPr>
        <w:t>approbation du demandeur.”</w:t>
      </w:r>
    </w:p>
    <w:p w14:paraId="57295243" w14:textId="77777777" w:rsidR="005F025D" w:rsidRPr="00953DCC" w:rsidRDefault="005F025D" w:rsidP="00733267">
      <w:pPr>
        <w:rPr>
          <w:lang w:val="fr-FR"/>
        </w:rPr>
      </w:pPr>
    </w:p>
    <w:p w14:paraId="4F232172" w14:textId="5A756478" w:rsidR="0056301D" w:rsidRDefault="00733267" w:rsidP="005F025D">
      <w:pPr>
        <w:rPr>
          <w:lang w:val="fr-FR"/>
        </w:rPr>
      </w:pPr>
      <w:r w:rsidRPr="00953DCC">
        <w:rPr>
          <w:lang w:val="fr-FR"/>
        </w:rPr>
        <w:lastRenderedPageBreak/>
        <w:fldChar w:fldCharType="begin"/>
      </w:r>
      <w:r w:rsidRPr="00953DCC">
        <w:rPr>
          <w:lang w:val="fr-FR"/>
        </w:rPr>
        <w:instrText xml:space="preserve"> AUTONUM  </w:instrText>
      </w:r>
      <w:r w:rsidRPr="00953DCC">
        <w:rPr>
          <w:lang w:val="fr-FR"/>
        </w:rPr>
        <w:fldChar w:fldCharType="end"/>
      </w:r>
      <w:r w:rsidRPr="00953DCC">
        <w:rPr>
          <w:lang w:val="fr-FR"/>
        </w:rPr>
        <w:tab/>
      </w:r>
      <w:r w:rsidR="005F025D" w:rsidRPr="00953DCC">
        <w:rPr>
          <w:lang w:val="fr-FR"/>
        </w:rPr>
        <w:t>Le</w:t>
      </w:r>
      <w:r w:rsidR="00BF7FC3" w:rsidRPr="00953DCC">
        <w:rPr>
          <w:lang w:val="fr-FR"/>
        </w:rPr>
        <w:t> </w:t>
      </w:r>
      <w:r w:rsidR="005F025D" w:rsidRPr="00953DCC">
        <w:rPr>
          <w:lang w:val="fr-FR"/>
        </w:rPr>
        <w:t>TWV a noté que certains services créaient des bases de données contenant des informations moléculaires et utilisaient ces informations pour sélectionner des variétés similaires et organiser l</w:t>
      </w:r>
      <w:r w:rsidR="0056301D">
        <w:rPr>
          <w:lang w:val="fr-FR"/>
        </w:rPr>
        <w:t>’</w:t>
      </w:r>
      <w:r w:rsidR="005F025D" w:rsidRPr="00953DCC">
        <w:rPr>
          <w:lang w:val="fr-FR"/>
        </w:rPr>
        <w:t>essai en culture.</w:t>
      </w:r>
    </w:p>
    <w:p w14:paraId="57295245" w14:textId="36E6CBBF" w:rsidR="005F025D" w:rsidRPr="00953DCC" w:rsidRDefault="005F025D" w:rsidP="00733267">
      <w:pPr>
        <w:rPr>
          <w:lang w:val="fr-FR"/>
        </w:rPr>
      </w:pPr>
    </w:p>
    <w:p w14:paraId="57295246" w14:textId="303E02A5" w:rsidR="005F025D" w:rsidRPr="00953DCC" w:rsidRDefault="00733267" w:rsidP="005F025D">
      <w:pPr>
        <w:rPr>
          <w:lang w:val="fr-FR"/>
        </w:rPr>
      </w:pPr>
      <w:r w:rsidRPr="00953DCC">
        <w:rPr>
          <w:lang w:val="fr-FR"/>
        </w:rPr>
        <w:fldChar w:fldCharType="begin"/>
      </w:r>
      <w:r w:rsidRPr="00953DCC">
        <w:rPr>
          <w:lang w:val="fr-FR"/>
        </w:rPr>
        <w:instrText xml:space="preserve"> AUTONUM  </w:instrText>
      </w:r>
      <w:r w:rsidRPr="00953DCC">
        <w:rPr>
          <w:lang w:val="fr-FR"/>
        </w:rPr>
        <w:fldChar w:fldCharType="end"/>
      </w:r>
      <w:r w:rsidRPr="00953DCC">
        <w:rPr>
          <w:lang w:val="fr-FR"/>
        </w:rPr>
        <w:tab/>
      </w:r>
      <w:r w:rsidR="005F025D" w:rsidRPr="00953DCC">
        <w:rPr>
          <w:lang w:val="fr-FR"/>
        </w:rPr>
        <w:t>Le</w:t>
      </w:r>
      <w:r w:rsidR="00BF7FC3" w:rsidRPr="00953DCC">
        <w:rPr>
          <w:lang w:val="fr-FR"/>
        </w:rPr>
        <w:t> </w:t>
      </w:r>
      <w:r w:rsidR="005F025D" w:rsidRPr="00953DCC">
        <w:rPr>
          <w:lang w:val="fr-FR"/>
        </w:rPr>
        <w:t>TWV est convenu de demander des informations sur la question de savoir si la proposition pouvait empêcher le service recevant une demande d</w:t>
      </w:r>
      <w:r w:rsidR="0056301D">
        <w:rPr>
          <w:lang w:val="fr-FR"/>
        </w:rPr>
        <w:t>’</w:t>
      </w:r>
      <w:r w:rsidR="005F025D" w:rsidRPr="00953DCC">
        <w:rPr>
          <w:lang w:val="fr-FR"/>
        </w:rPr>
        <w:t>obtenir des informations moléculaires relative</w:t>
      </w:r>
      <w:r w:rsidR="00B3081B">
        <w:rPr>
          <w:lang w:val="fr-FR"/>
        </w:rPr>
        <w:t>s</w:t>
      </w:r>
      <w:r w:rsidR="005F025D" w:rsidRPr="00953DCC">
        <w:rPr>
          <w:lang w:val="fr-FR"/>
        </w:rPr>
        <w:t xml:space="preserve"> à la variété candidate à des fins d</w:t>
      </w:r>
      <w:r w:rsidR="0056301D">
        <w:rPr>
          <w:lang w:val="fr-FR"/>
        </w:rPr>
        <w:t>’</w:t>
      </w:r>
      <w:r w:rsidR="005F025D" w:rsidRPr="00953DCC">
        <w:rPr>
          <w:lang w:val="fr-FR"/>
        </w:rPr>
        <w:t>examen</w:t>
      </w:r>
      <w:r w:rsidR="00FC1E7A" w:rsidRPr="00953DCC">
        <w:rPr>
          <w:lang w:val="fr-FR"/>
        </w:rPr>
        <w:t> </w:t>
      </w:r>
      <w:r w:rsidR="005F025D" w:rsidRPr="00953DCC">
        <w:rPr>
          <w:lang w:val="fr-FR"/>
        </w:rPr>
        <w:t>DHS et si la proposition visait uniquement à empêcher le service recevant la demande de transmettre des informations moléculaires relative</w:t>
      </w:r>
      <w:r w:rsidR="00B3081B">
        <w:rPr>
          <w:lang w:val="fr-FR"/>
        </w:rPr>
        <w:t>s</w:t>
      </w:r>
      <w:r w:rsidR="005F025D" w:rsidRPr="00953DCC">
        <w:rPr>
          <w:lang w:val="fr-FR"/>
        </w:rPr>
        <w:t xml:space="preserve"> à la variété à d</w:t>
      </w:r>
      <w:r w:rsidR="0056301D">
        <w:rPr>
          <w:lang w:val="fr-FR"/>
        </w:rPr>
        <w:t>’</w:t>
      </w:r>
      <w:r w:rsidR="005F025D" w:rsidRPr="00953DCC">
        <w:rPr>
          <w:lang w:val="fr-FR"/>
        </w:rPr>
        <w:t>autres services sans l</w:t>
      </w:r>
      <w:r w:rsidR="0056301D">
        <w:rPr>
          <w:lang w:val="fr-FR"/>
        </w:rPr>
        <w:t>’</w:t>
      </w:r>
      <w:r w:rsidR="005F025D" w:rsidRPr="00953DCC">
        <w:rPr>
          <w:lang w:val="fr-FR"/>
        </w:rPr>
        <w:t>approbation du demandeur.</w:t>
      </w:r>
    </w:p>
    <w:p w14:paraId="57295247" w14:textId="77777777" w:rsidR="005F025D" w:rsidRPr="00953DCC" w:rsidRDefault="005F025D" w:rsidP="00733267">
      <w:pPr>
        <w:rPr>
          <w:lang w:val="fr-FR"/>
        </w:rPr>
      </w:pPr>
    </w:p>
    <w:p w14:paraId="57295248" w14:textId="3E79CAAC" w:rsidR="005F025D" w:rsidRPr="00953DCC" w:rsidRDefault="00733267" w:rsidP="005F025D">
      <w:pPr>
        <w:rPr>
          <w:lang w:val="fr-FR"/>
        </w:rPr>
      </w:pPr>
      <w:r w:rsidRPr="00953DCC">
        <w:rPr>
          <w:lang w:val="fr-FR"/>
        </w:rPr>
        <w:fldChar w:fldCharType="begin"/>
      </w:r>
      <w:r w:rsidRPr="00953DCC">
        <w:rPr>
          <w:lang w:val="fr-FR"/>
        </w:rPr>
        <w:instrText xml:space="preserve"> AUTONUM  </w:instrText>
      </w:r>
      <w:r w:rsidRPr="00953DCC">
        <w:rPr>
          <w:lang w:val="fr-FR"/>
        </w:rPr>
        <w:fldChar w:fldCharType="end"/>
      </w:r>
      <w:r w:rsidRPr="00953DCC">
        <w:rPr>
          <w:lang w:val="fr-FR"/>
        </w:rPr>
        <w:tab/>
      </w:r>
      <w:r w:rsidR="005F025D" w:rsidRPr="00953DCC">
        <w:rPr>
          <w:lang w:val="fr-FR"/>
        </w:rPr>
        <w:t>Le</w:t>
      </w:r>
      <w:r w:rsidR="00BF7FC3" w:rsidRPr="00953DCC">
        <w:rPr>
          <w:lang w:val="fr-FR"/>
        </w:rPr>
        <w:t> </w:t>
      </w:r>
      <w:r w:rsidR="005F025D" w:rsidRPr="00953DCC">
        <w:rPr>
          <w:lang w:val="fr-FR"/>
        </w:rPr>
        <w:t>TWV a noté qu</w:t>
      </w:r>
      <w:r w:rsidR="0056301D">
        <w:rPr>
          <w:lang w:val="fr-FR"/>
        </w:rPr>
        <w:t>’</w:t>
      </w:r>
      <w:r w:rsidR="005F025D" w:rsidRPr="00953DCC">
        <w:rPr>
          <w:lang w:val="fr-FR"/>
        </w:rPr>
        <w:t>une discussion plus approfondie avec les obtenteurs sera nécessaire pour trouver une solution pragmatique permettant de répondre aux préoccupations des obtenteurs tout en évitant une charge administrative inutile pour les services.</w:t>
      </w:r>
    </w:p>
    <w:p w14:paraId="57295249" w14:textId="77777777" w:rsidR="005F025D" w:rsidRPr="00953DCC" w:rsidRDefault="005F025D" w:rsidP="00733267">
      <w:pPr>
        <w:rPr>
          <w:lang w:val="fr-FR"/>
        </w:rPr>
      </w:pPr>
    </w:p>
    <w:p w14:paraId="5729524A" w14:textId="6069A9EB" w:rsidR="005F025D" w:rsidRPr="00953DCC" w:rsidRDefault="00733267" w:rsidP="005F025D">
      <w:pPr>
        <w:rPr>
          <w:lang w:val="fr-FR"/>
        </w:rPr>
      </w:pPr>
      <w:r w:rsidRPr="00953DCC">
        <w:rPr>
          <w:lang w:val="fr-FR"/>
        </w:rPr>
        <w:fldChar w:fldCharType="begin"/>
      </w:r>
      <w:r w:rsidRPr="00953DCC">
        <w:rPr>
          <w:lang w:val="fr-FR"/>
        </w:rPr>
        <w:instrText xml:space="preserve"> AUTONUM  </w:instrText>
      </w:r>
      <w:r w:rsidRPr="00953DCC">
        <w:rPr>
          <w:lang w:val="fr-FR"/>
        </w:rPr>
        <w:fldChar w:fldCharType="end"/>
      </w:r>
      <w:r w:rsidRPr="00953DCC">
        <w:rPr>
          <w:lang w:val="fr-FR"/>
        </w:rPr>
        <w:tab/>
      </w:r>
      <w:r w:rsidR="005F025D" w:rsidRPr="00953DCC">
        <w:rPr>
          <w:lang w:val="fr-FR"/>
        </w:rPr>
        <w:t>Le</w:t>
      </w:r>
      <w:r w:rsidR="00BF7FC3" w:rsidRPr="00953DCC">
        <w:rPr>
          <w:lang w:val="fr-FR"/>
        </w:rPr>
        <w:t> </w:t>
      </w:r>
      <w:r w:rsidR="005F025D" w:rsidRPr="00953DCC">
        <w:rPr>
          <w:lang w:val="fr-FR"/>
        </w:rPr>
        <w:t xml:space="preserve">TWV a </w:t>
      </w:r>
      <w:r w:rsidR="00632F98" w:rsidRPr="00953DCC">
        <w:rPr>
          <w:lang w:val="fr-FR"/>
        </w:rPr>
        <w:t xml:space="preserve">pris note </w:t>
      </w:r>
      <w:r w:rsidR="005F025D" w:rsidRPr="00953DCC">
        <w:rPr>
          <w:lang w:val="fr-FR"/>
        </w:rPr>
        <w:t>que le même exposé serait prévu pour d</w:t>
      </w:r>
      <w:r w:rsidR="0056301D">
        <w:rPr>
          <w:lang w:val="fr-FR"/>
        </w:rPr>
        <w:t>’</w:t>
      </w:r>
      <w:r w:rsidR="005F025D" w:rsidRPr="00953DCC">
        <w:rPr>
          <w:lang w:val="fr-FR"/>
        </w:rPr>
        <w:t>autres</w:t>
      </w:r>
      <w:r w:rsidR="00BF7FC3" w:rsidRPr="00953DCC">
        <w:rPr>
          <w:lang w:val="fr-FR"/>
        </w:rPr>
        <w:t> </w:t>
      </w:r>
      <w:r w:rsidR="005F025D" w:rsidRPr="00953DCC">
        <w:rPr>
          <w:lang w:val="fr-FR"/>
        </w:rPr>
        <w:t>TWP à leurs sessions en</w:t>
      </w:r>
      <w:r w:rsidR="00632F98" w:rsidRPr="00953DCC">
        <w:rPr>
          <w:lang w:val="fr-FR"/>
        </w:rPr>
        <w:t> </w:t>
      </w:r>
      <w:r w:rsidR="005F025D" w:rsidRPr="00953DCC">
        <w:rPr>
          <w:lang w:val="fr-FR"/>
        </w:rPr>
        <w:t>2021, ce qui permettrait un examen plus approfondi de la proposition.</w:t>
      </w:r>
    </w:p>
    <w:p w14:paraId="5729524B" w14:textId="77777777" w:rsidR="005F025D" w:rsidRPr="00953DCC" w:rsidRDefault="005F025D" w:rsidP="00733267">
      <w:pPr>
        <w:rPr>
          <w:lang w:val="fr-FR"/>
        </w:rPr>
      </w:pPr>
    </w:p>
    <w:p w14:paraId="5729524C" w14:textId="6DCDF91E" w:rsidR="005F025D" w:rsidRPr="00953DCC" w:rsidRDefault="00733267" w:rsidP="005F025D">
      <w:pPr>
        <w:rPr>
          <w:lang w:val="fr-FR"/>
        </w:rPr>
      </w:pPr>
      <w:r w:rsidRPr="00953DCC">
        <w:rPr>
          <w:lang w:val="fr-FR"/>
        </w:rPr>
        <w:fldChar w:fldCharType="begin"/>
      </w:r>
      <w:r w:rsidRPr="00953DCC">
        <w:rPr>
          <w:lang w:val="fr-FR"/>
        </w:rPr>
        <w:instrText xml:space="preserve"> AUTONUM  </w:instrText>
      </w:r>
      <w:r w:rsidRPr="00953DCC">
        <w:rPr>
          <w:lang w:val="fr-FR"/>
        </w:rPr>
        <w:fldChar w:fldCharType="end"/>
      </w:r>
      <w:r w:rsidRPr="00953DCC">
        <w:rPr>
          <w:lang w:val="fr-FR"/>
        </w:rPr>
        <w:tab/>
      </w:r>
      <w:r w:rsidR="005F025D" w:rsidRPr="00953DCC">
        <w:rPr>
          <w:lang w:val="fr-FR"/>
        </w:rPr>
        <w:t>Le</w:t>
      </w:r>
      <w:r w:rsidR="00BF7FC3" w:rsidRPr="00953DCC">
        <w:rPr>
          <w:lang w:val="fr-FR"/>
        </w:rPr>
        <w:t> </w:t>
      </w:r>
      <w:r w:rsidR="005F025D" w:rsidRPr="00953DCC">
        <w:rPr>
          <w:lang w:val="fr-FR"/>
        </w:rPr>
        <w:t>TWO est convenu qu</w:t>
      </w:r>
      <w:r w:rsidR="0056301D">
        <w:rPr>
          <w:lang w:val="fr-FR"/>
        </w:rPr>
        <w:t>’</w:t>
      </w:r>
      <w:r w:rsidR="005F025D" w:rsidRPr="00953DCC">
        <w:rPr>
          <w:lang w:val="fr-FR"/>
        </w:rPr>
        <w:t>une discussion plus approfondie serait nécessaire pour trouver une solution appropriée permettant de répondre aux préoccupations des obtenteurs tout en évitant une charge administrative inutile pour les services.</w:t>
      </w:r>
    </w:p>
    <w:p w14:paraId="5729524D" w14:textId="77777777" w:rsidR="005F025D" w:rsidRPr="00953DCC" w:rsidRDefault="005F025D" w:rsidP="00733267">
      <w:pPr>
        <w:jc w:val="left"/>
        <w:rPr>
          <w:lang w:val="fr-FR"/>
        </w:rPr>
      </w:pPr>
    </w:p>
    <w:p w14:paraId="5729524E" w14:textId="5E5D1600" w:rsidR="005F025D" w:rsidRPr="00953DCC" w:rsidRDefault="00733267" w:rsidP="005F025D">
      <w:pPr>
        <w:rPr>
          <w:lang w:val="fr-FR"/>
        </w:rPr>
      </w:pPr>
      <w:r w:rsidRPr="00953DCC">
        <w:rPr>
          <w:lang w:val="fr-FR"/>
        </w:rPr>
        <w:fldChar w:fldCharType="begin"/>
      </w:r>
      <w:r w:rsidRPr="00953DCC">
        <w:rPr>
          <w:lang w:val="fr-FR"/>
        </w:rPr>
        <w:instrText xml:space="preserve"> AUTONUM  </w:instrText>
      </w:r>
      <w:r w:rsidRPr="00953DCC">
        <w:rPr>
          <w:lang w:val="fr-FR"/>
        </w:rPr>
        <w:fldChar w:fldCharType="end"/>
      </w:r>
      <w:r w:rsidRPr="00953DCC">
        <w:rPr>
          <w:lang w:val="fr-FR"/>
        </w:rPr>
        <w:tab/>
      </w:r>
      <w:r w:rsidR="005F025D" w:rsidRPr="00953DCC">
        <w:rPr>
          <w:lang w:val="fr-FR"/>
        </w:rPr>
        <w:t>Le</w:t>
      </w:r>
      <w:r w:rsidR="00BF7FC3" w:rsidRPr="00953DCC">
        <w:rPr>
          <w:lang w:val="fr-FR"/>
        </w:rPr>
        <w:t> </w:t>
      </w:r>
      <w:r w:rsidR="005F025D" w:rsidRPr="00953DCC">
        <w:rPr>
          <w:lang w:val="fr-FR"/>
        </w:rPr>
        <w:t>TWA a pris note de l</w:t>
      </w:r>
      <w:r w:rsidR="0056301D">
        <w:rPr>
          <w:lang w:val="fr-FR"/>
        </w:rPr>
        <w:t>’</w:t>
      </w:r>
      <w:r w:rsidR="005F025D" w:rsidRPr="00953DCC">
        <w:rPr>
          <w:lang w:val="fr-FR"/>
        </w:rPr>
        <w:t>importance de la confidentialité des informations moléculaires pour les obtenteurs et il est convenu que des discussions supplémentaires seraient nécessaires sur ce suj</w:t>
      </w:r>
      <w:r w:rsidR="0011329B" w:rsidRPr="00953DCC">
        <w:rPr>
          <w:lang w:val="fr-FR"/>
        </w:rPr>
        <w:t>et</w:t>
      </w:r>
      <w:r w:rsidR="0011329B">
        <w:rPr>
          <w:lang w:val="fr-FR"/>
        </w:rPr>
        <w:t xml:space="preserve">.  </w:t>
      </w:r>
      <w:r w:rsidR="0011329B" w:rsidRPr="00953DCC">
        <w:rPr>
          <w:lang w:val="fr-FR"/>
        </w:rPr>
        <w:t>Il</w:t>
      </w:r>
      <w:r w:rsidR="005F025D" w:rsidRPr="00953DCC">
        <w:rPr>
          <w:lang w:val="fr-FR"/>
        </w:rPr>
        <w:t xml:space="preserve"> a noté que la confidentialité des informations moléculaires pouvait être régie par la législation dans différents membres de l</w:t>
      </w:r>
      <w:r w:rsidR="0056301D">
        <w:rPr>
          <w:lang w:val="fr-FR"/>
        </w:rPr>
        <w:t>’</w:t>
      </w:r>
      <w:r w:rsidR="005F025D" w:rsidRPr="00953DCC">
        <w:rPr>
          <w:lang w:val="fr-FR"/>
        </w:rPr>
        <w:t>UPOV et il est convenu de solliciter la présentation d</w:t>
      </w:r>
      <w:r w:rsidR="0056301D">
        <w:rPr>
          <w:lang w:val="fr-FR"/>
        </w:rPr>
        <w:t>’</w:t>
      </w:r>
      <w:r w:rsidR="005F025D" w:rsidRPr="00953DCC">
        <w:rPr>
          <w:lang w:val="fr-FR"/>
        </w:rPr>
        <w:t>exposés à sa cinquante</w:t>
      </w:r>
      <w:r w:rsidR="0056301D">
        <w:rPr>
          <w:lang w:val="fr-FR"/>
        </w:rPr>
        <w:t> et unième sessi</w:t>
      </w:r>
      <w:r w:rsidR="0011329B">
        <w:rPr>
          <w:lang w:val="fr-FR"/>
        </w:rPr>
        <w:t xml:space="preserve">on.  </w:t>
      </w:r>
      <w:r w:rsidR="0011329B" w:rsidRPr="00953DCC">
        <w:rPr>
          <w:lang w:val="fr-FR"/>
        </w:rPr>
        <w:t>Le</w:t>
      </w:r>
      <w:r w:rsidR="00BF7FC3" w:rsidRPr="00953DCC">
        <w:rPr>
          <w:lang w:val="fr-FR"/>
        </w:rPr>
        <w:t> </w:t>
      </w:r>
      <w:r w:rsidR="005F025D" w:rsidRPr="00953DCC">
        <w:rPr>
          <w:lang w:val="fr-FR"/>
        </w:rPr>
        <w:t>TWA a noté que l</w:t>
      </w:r>
      <w:r w:rsidR="0056301D">
        <w:rPr>
          <w:lang w:val="fr-FR"/>
        </w:rPr>
        <w:t>’</w:t>
      </w:r>
      <w:r w:rsidR="005F025D" w:rsidRPr="00953DCC">
        <w:rPr>
          <w:lang w:val="fr-FR"/>
        </w:rPr>
        <w:t>Argentine souhaitait présenter un exposé sur le sujet à sa cinquante</w:t>
      </w:r>
      <w:r w:rsidR="0056301D">
        <w:rPr>
          <w:lang w:val="fr-FR"/>
        </w:rPr>
        <w:t> et unième session</w:t>
      </w:r>
      <w:r w:rsidR="005F025D" w:rsidRPr="00953DCC">
        <w:rPr>
          <w:lang w:val="fr-FR"/>
        </w:rPr>
        <w:t>.</w:t>
      </w:r>
    </w:p>
    <w:p w14:paraId="5729524F" w14:textId="77777777" w:rsidR="005F025D" w:rsidRPr="00953DCC" w:rsidRDefault="005F025D" w:rsidP="00733267">
      <w:pPr>
        <w:rPr>
          <w:lang w:val="fr-FR"/>
        </w:rPr>
      </w:pPr>
    </w:p>
    <w:p w14:paraId="57295250" w14:textId="7A208E0A" w:rsidR="005F025D" w:rsidRPr="00953DCC" w:rsidRDefault="00733267" w:rsidP="005F025D">
      <w:pPr>
        <w:rPr>
          <w:rFonts w:cs="Arial"/>
          <w:i/>
          <w:snapToGrid w:val="0"/>
          <w:lang w:val="fr-FR"/>
        </w:rPr>
      </w:pPr>
      <w:r w:rsidRPr="00953DCC">
        <w:rPr>
          <w:lang w:val="fr-FR"/>
        </w:rPr>
        <w:fldChar w:fldCharType="begin"/>
      </w:r>
      <w:r w:rsidRPr="00953DCC">
        <w:rPr>
          <w:lang w:val="fr-FR"/>
        </w:rPr>
        <w:instrText xml:space="preserve"> AUTONUM  </w:instrText>
      </w:r>
      <w:r w:rsidRPr="00953DCC">
        <w:rPr>
          <w:lang w:val="fr-FR"/>
        </w:rPr>
        <w:fldChar w:fldCharType="end"/>
      </w:r>
      <w:r w:rsidRPr="00953DCC">
        <w:rPr>
          <w:lang w:val="fr-FR"/>
        </w:rPr>
        <w:tab/>
      </w:r>
      <w:r w:rsidR="005F025D" w:rsidRPr="00953DCC">
        <w:rPr>
          <w:lang w:val="fr-FR"/>
        </w:rPr>
        <w:t>Le</w:t>
      </w:r>
      <w:r w:rsidR="00BF7FC3" w:rsidRPr="00953DCC">
        <w:rPr>
          <w:lang w:val="fr-FR"/>
        </w:rPr>
        <w:t> </w:t>
      </w:r>
      <w:r w:rsidR="005F025D" w:rsidRPr="00953DCC">
        <w:rPr>
          <w:lang w:val="fr-FR"/>
        </w:rPr>
        <w:t>TWF a noté que la question de la confidentialité et de la titularité des informations moléculaires n</w:t>
      </w:r>
      <w:r w:rsidR="0056301D">
        <w:rPr>
          <w:lang w:val="fr-FR"/>
        </w:rPr>
        <w:t>’</w:t>
      </w:r>
      <w:r w:rsidR="005F025D" w:rsidRPr="00953DCC">
        <w:rPr>
          <w:lang w:val="fr-FR"/>
        </w:rPr>
        <w:t>avait pas été examinée en détail dans le secteur des fruits et il est convenu qu</w:t>
      </w:r>
      <w:r w:rsidR="0056301D">
        <w:rPr>
          <w:lang w:val="fr-FR"/>
        </w:rPr>
        <w:t>’</w:t>
      </w:r>
      <w:r w:rsidR="005F025D" w:rsidRPr="00953DCC">
        <w:rPr>
          <w:lang w:val="fr-FR"/>
        </w:rPr>
        <w:t>il fallait poursuivre les déba</w:t>
      </w:r>
      <w:r w:rsidR="0011329B" w:rsidRPr="00953DCC">
        <w:rPr>
          <w:lang w:val="fr-FR"/>
        </w:rPr>
        <w:t>ts</w:t>
      </w:r>
      <w:r w:rsidR="0011329B">
        <w:rPr>
          <w:lang w:val="fr-FR"/>
        </w:rPr>
        <w:t xml:space="preserve">.  </w:t>
      </w:r>
      <w:r w:rsidR="0011329B" w:rsidRPr="00953DCC">
        <w:rPr>
          <w:lang w:val="fr-FR"/>
        </w:rPr>
        <w:t>Il</w:t>
      </w:r>
      <w:r w:rsidR="005F025D" w:rsidRPr="00953DCC">
        <w:rPr>
          <w:lang w:val="fr-FR"/>
        </w:rPr>
        <w:t xml:space="preserve"> est convenu d</w:t>
      </w:r>
      <w:r w:rsidR="0056301D">
        <w:rPr>
          <w:lang w:val="fr-FR"/>
        </w:rPr>
        <w:t>’</w:t>
      </w:r>
      <w:r w:rsidR="005F025D" w:rsidRPr="00953DCC">
        <w:rPr>
          <w:lang w:val="fr-FR"/>
        </w:rPr>
        <w:t>inviter les membres et les observateurs à présenter des exposés sur ce sujet au titre du point de l</w:t>
      </w:r>
      <w:r w:rsidR="0056301D">
        <w:rPr>
          <w:lang w:val="fr-FR"/>
        </w:rPr>
        <w:t>’</w:t>
      </w:r>
      <w:r w:rsidR="005F025D" w:rsidRPr="00953DCC">
        <w:rPr>
          <w:lang w:val="fr-FR"/>
        </w:rPr>
        <w:t>ordre du jour “Exposé sur l</w:t>
      </w:r>
      <w:r w:rsidR="0056301D">
        <w:rPr>
          <w:lang w:val="fr-FR"/>
        </w:rPr>
        <w:t>’</w:t>
      </w:r>
      <w:r w:rsidR="005F025D" w:rsidRPr="00953DCC">
        <w:rPr>
          <w:lang w:val="fr-FR"/>
        </w:rPr>
        <w:t>utilisation des techniques moléculaires dans l</w:t>
      </w:r>
      <w:r w:rsidR="0056301D">
        <w:rPr>
          <w:lang w:val="fr-FR"/>
        </w:rPr>
        <w:t>’</w:t>
      </w:r>
      <w:r w:rsidR="005F025D" w:rsidRPr="00953DCC">
        <w:rPr>
          <w:lang w:val="fr-FR"/>
        </w:rPr>
        <w:t>examen</w:t>
      </w:r>
      <w:r w:rsidR="004A1CA8">
        <w:rPr>
          <w:lang w:val="fr-FR"/>
        </w:rPr>
        <w:t> </w:t>
      </w:r>
      <w:r w:rsidR="005F025D" w:rsidRPr="00953DCC">
        <w:rPr>
          <w:lang w:val="fr-FR"/>
        </w:rPr>
        <w:t>DHS” à sa cinquante</w:t>
      </w:r>
      <w:r w:rsidR="00456121">
        <w:rPr>
          <w:lang w:val="fr-FR"/>
        </w:rPr>
        <w:noBreakHyphen/>
      </w:r>
      <w:r w:rsidR="005F025D" w:rsidRPr="00953DCC">
        <w:rPr>
          <w:lang w:val="fr-FR"/>
        </w:rPr>
        <w:t>trois</w:t>
      </w:r>
      <w:r w:rsidR="0056301D">
        <w:rPr>
          <w:lang w:val="fr-FR"/>
        </w:rPr>
        <w:t>ième session</w:t>
      </w:r>
      <w:r w:rsidR="005F025D" w:rsidRPr="00953DCC">
        <w:rPr>
          <w:lang w:val="fr-FR"/>
        </w:rPr>
        <w:t>.</w:t>
      </w:r>
    </w:p>
    <w:p w14:paraId="57295251" w14:textId="77777777" w:rsidR="005F025D" w:rsidRPr="00953DCC" w:rsidRDefault="005F025D" w:rsidP="00733267">
      <w:pPr>
        <w:jc w:val="left"/>
        <w:rPr>
          <w:lang w:val="fr-FR"/>
        </w:rPr>
      </w:pPr>
    </w:p>
    <w:p w14:paraId="57295252" w14:textId="31D38982" w:rsidR="005F025D" w:rsidRPr="00953DCC" w:rsidRDefault="00733267" w:rsidP="005F025D">
      <w:pPr>
        <w:rPr>
          <w:rFonts w:cs="Arial"/>
          <w:iCs/>
          <w:lang w:val="fr-FR"/>
        </w:rPr>
      </w:pPr>
      <w:r w:rsidRPr="00953DCC">
        <w:rPr>
          <w:rFonts w:cs="Arial"/>
          <w:iCs/>
          <w:lang w:val="fr-FR"/>
        </w:rPr>
        <w:fldChar w:fldCharType="begin"/>
      </w:r>
      <w:r w:rsidRPr="00953DCC">
        <w:rPr>
          <w:rFonts w:cs="Arial"/>
          <w:iCs/>
          <w:lang w:val="fr-FR"/>
        </w:rPr>
        <w:instrText xml:space="preserve"> AUTONUM  </w:instrText>
      </w:r>
      <w:r w:rsidRPr="00953DCC">
        <w:rPr>
          <w:rFonts w:cs="Arial"/>
          <w:iCs/>
          <w:lang w:val="fr-FR"/>
        </w:rPr>
        <w:fldChar w:fldCharType="end"/>
      </w:r>
      <w:r w:rsidRPr="00953DCC">
        <w:rPr>
          <w:rFonts w:cs="Arial"/>
          <w:iCs/>
          <w:lang w:val="fr-FR"/>
        </w:rPr>
        <w:tab/>
      </w:r>
      <w:r w:rsidR="005F025D" w:rsidRPr="00953DCC">
        <w:rPr>
          <w:rFonts w:cs="Arial"/>
          <w:iCs/>
          <w:lang w:val="fr-FR"/>
        </w:rPr>
        <w:t>Le</w:t>
      </w:r>
      <w:r w:rsidR="00BF7FC3" w:rsidRPr="00953DCC">
        <w:rPr>
          <w:rFonts w:cs="Arial"/>
          <w:iCs/>
          <w:lang w:val="fr-FR"/>
        </w:rPr>
        <w:t> </w:t>
      </w:r>
      <w:r w:rsidR="005F025D" w:rsidRPr="00953DCC">
        <w:rPr>
          <w:rFonts w:cs="Arial"/>
          <w:iCs/>
          <w:lang w:val="fr-FR"/>
        </w:rPr>
        <w:t>BMT a noté que des discussions sur la confidentialité, la titularité et l</w:t>
      </w:r>
      <w:r w:rsidR="0056301D">
        <w:rPr>
          <w:rFonts w:cs="Arial"/>
          <w:iCs/>
          <w:lang w:val="fr-FR"/>
        </w:rPr>
        <w:t>’</w:t>
      </w:r>
      <w:r w:rsidR="005F025D" w:rsidRPr="00953DCC">
        <w:rPr>
          <w:rFonts w:cs="Arial"/>
          <w:iCs/>
          <w:lang w:val="fr-FR"/>
        </w:rPr>
        <w:t>accès en matière de données moléculaires avaient eu lieu au sein des groupes de travail techniques à leurs sessions de</w:t>
      </w:r>
      <w:r w:rsidR="00863EF0" w:rsidRPr="00953DCC">
        <w:rPr>
          <w:rFonts w:cs="Arial"/>
          <w:iCs/>
          <w:lang w:val="fr-FR"/>
        </w:rPr>
        <w:t> </w:t>
      </w:r>
      <w:r w:rsidR="005F025D" w:rsidRPr="00953DCC">
        <w:rPr>
          <w:rFonts w:cs="Arial"/>
          <w:iCs/>
          <w:lang w:val="fr-FR"/>
        </w:rPr>
        <w:t>2021.</w:t>
      </w:r>
      <w:r w:rsidRPr="00953DCC">
        <w:rPr>
          <w:rFonts w:cs="Arial"/>
          <w:iCs/>
          <w:lang w:val="fr-FR"/>
        </w:rPr>
        <w:t xml:space="preserve"> </w:t>
      </w:r>
      <w:r w:rsidR="004A1CA8">
        <w:rPr>
          <w:rFonts w:cs="Arial"/>
          <w:iCs/>
          <w:lang w:val="fr-FR"/>
        </w:rPr>
        <w:t xml:space="preserve"> </w:t>
      </w:r>
      <w:r w:rsidR="005F025D" w:rsidRPr="00953DCC">
        <w:rPr>
          <w:rFonts w:cs="Arial"/>
          <w:iCs/>
          <w:lang w:val="fr-FR"/>
        </w:rPr>
        <w:t>Le</w:t>
      </w:r>
      <w:r w:rsidR="00BF7FC3" w:rsidRPr="00953DCC">
        <w:rPr>
          <w:rFonts w:cs="Arial"/>
          <w:iCs/>
          <w:lang w:val="fr-FR"/>
        </w:rPr>
        <w:t> </w:t>
      </w:r>
      <w:r w:rsidR="005F025D" w:rsidRPr="00953DCC">
        <w:rPr>
          <w:rFonts w:cs="Arial"/>
          <w:iCs/>
          <w:lang w:val="fr-FR"/>
        </w:rPr>
        <w:t>BMT a noté que les</w:t>
      </w:r>
      <w:r w:rsidR="00BF7FC3" w:rsidRPr="00953DCC">
        <w:rPr>
          <w:rFonts w:cs="Arial"/>
          <w:iCs/>
          <w:lang w:val="fr-FR"/>
        </w:rPr>
        <w:t> </w:t>
      </w:r>
      <w:r w:rsidR="005F025D" w:rsidRPr="00953DCC">
        <w:rPr>
          <w:rFonts w:cs="Arial"/>
          <w:iCs/>
          <w:lang w:val="fr-FR"/>
        </w:rPr>
        <w:t>TWP avaient invité les participants à poursuivre les discussions sur ce sujet lors de leurs prochaines sessions.</w:t>
      </w:r>
    </w:p>
    <w:p w14:paraId="57295253" w14:textId="77777777" w:rsidR="005F025D" w:rsidRPr="00953DCC" w:rsidRDefault="005F025D" w:rsidP="00733267">
      <w:pPr>
        <w:rPr>
          <w:rFonts w:cs="Arial"/>
          <w:iCs/>
          <w:lang w:val="fr-FR"/>
        </w:rPr>
      </w:pPr>
    </w:p>
    <w:p w14:paraId="57295254" w14:textId="1F2FD973" w:rsidR="005F025D" w:rsidRPr="00953DCC" w:rsidRDefault="00733267" w:rsidP="00733267">
      <w:pPr>
        <w:rPr>
          <w:rFonts w:cs="Arial"/>
          <w:iCs/>
          <w:lang w:val="fr-FR"/>
        </w:rPr>
      </w:pPr>
      <w:r w:rsidRPr="00953DCC">
        <w:rPr>
          <w:rFonts w:cs="Arial"/>
          <w:iCs/>
          <w:lang w:val="fr-FR"/>
        </w:rPr>
        <w:fldChar w:fldCharType="begin"/>
      </w:r>
      <w:r w:rsidRPr="00953DCC">
        <w:rPr>
          <w:rFonts w:cs="Arial"/>
          <w:iCs/>
          <w:lang w:val="fr-FR"/>
        </w:rPr>
        <w:instrText xml:space="preserve"> AUTONUM  </w:instrText>
      </w:r>
      <w:r w:rsidRPr="00953DCC">
        <w:rPr>
          <w:rFonts w:cs="Arial"/>
          <w:iCs/>
          <w:lang w:val="fr-FR"/>
        </w:rPr>
        <w:fldChar w:fldCharType="end"/>
      </w:r>
      <w:r w:rsidRPr="00953DCC">
        <w:rPr>
          <w:rFonts w:cs="Arial"/>
          <w:iCs/>
          <w:lang w:val="fr-FR"/>
        </w:rPr>
        <w:tab/>
      </w:r>
      <w:r w:rsidR="00E70D83" w:rsidRPr="00953DCC">
        <w:rPr>
          <w:rFonts w:cs="Arial"/>
          <w:iCs/>
          <w:lang w:val="fr-FR"/>
        </w:rPr>
        <w:t>Le</w:t>
      </w:r>
      <w:r w:rsidR="00BF7FC3" w:rsidRPr="00953DCC">
        <w:rPr>
          <w:rFonts w:cs="Arial"/>
          <w:iCs/>
          <w:lang w:val="fr-FR"/>
        </w:rPr>
        <w:t> </w:t>
      </w:r>
      <w:r w:rsidR="00E70D83" w:rsidRPr="00953DCC">
        <w:rPr>
          <w:rFonts w:cs="Arial"/>
          <w:iCs/>
          <w:lang w:val="fr-FR"/>
        </w:rPr>
        <w:t>BMT est convenu de solliciter des exposés sur les pratiques actuelles concernant la confidentialité et l</w:t>
      </w:r>
      <w:r w:rsidR="0056301D">
        <w:rPr>
          <w:rFonts w:cs="Arial"/>
          <w:iCs/>
          <w:lang w:val="fr-FR"/>
        </w:rPr>
        <w:t>’</w:t>
      </w:r>
      <w:r w:rsidR="00E70D83" w:rsidRPr="00953DCC">
        <w:rPr>
          <w:rFonts w:cs="Arial"/>
          <w:iCs/>
          <w:lang w:val="fr-FR"/>
        </w:rPr>
        <w:t>accès en matière de données moléculaires, qui seront présentés à la première session du</w:t>
      </w:r>
      <w:r w:rsidR="008D7F30" w:rsidRPr="00953DCC">
        <w:rPr>
          <w:rFonts w:cs="Arial"/>
          <w:iCs/>
          <w:lang w:val="fr-FR"/>
        </w:rPr>
        <w:t> </w:t>
      </w:r>
      <w:r w:rsidR="0011329B" w:rsidRPr="00953DCC">
        <w:rPr>
          <w:rFonts w:cs="Arial"/>
          <w:iCs/>
          <w:lang w:val="fr-FR"/>
        </w:rPr>
        <w:t>TWM</w:t>
      </w:r>
      <w:r w:rsidR="0011329B">
        <w:rPr>
          <w:rFonts w:cs="Arial"/>
          <w:iCs/>
          <w:lang w:val="fr-FR"/>
        </w:rPr>
        <w:t xml:space="preserve">.  </w:t>
      </w:r>
      <w:r w:rsidR="0011329B" w:rsidRPr="00953DCC">
        <w:rPr>
          <w:rFonts w:cs="Arial"/>
          <w:iCs/>
          <w:lang w:val="fr-FR"/>
        </w:rPr>
        <w:t>Il</w:t>
      </w:r>
      <w:r w:rsidR="00401310" w:rsidRPr="00953DCC">
        <w:rPr>
          <w:rFonts w:cs="Arial"/>
          <w:iCs/>
          <w:lang w:val="fr-FR"/>
        </w:rPr>
        <w:t xml:space="preserve"> est convenu que les pratiques actuelles des membres et observateurs de l</w:t>
      </w:r>
      <w:r w:rsidR="0056301D">
        <w:rPr>
          <w:rFonts w:cs="Arial"/>
          <w:iCs/>
          <w:lang w:val="fr-FR"/>
        </w:rPr>
        <w:t>’</w:t>
      </w:r>
      <w:r w:rsidR="00401310" w:rsidRPr="00953DCC">
        <w:rPr>
          <w:rFonts w:cs="Arial"/>
          <w:iCs/>
          <w:lang w:val="fr-FR"/>
        </w:rPr>
        <w:t>UPOV pourraient constituer une bonne base pour la poursuite des discussions sur ce sujet.</w:t>
      </w:r>
    </w:p>
    <w:p w14:paraId="57295255" w14:textId="77777777" w:rsidR="005F025D" w:rsidRPr="00953DCC" w:rsidRDefault="005F025D" w:rsidP="008E521A">
      <w:pPr>
        <w:rPr>
          <w:lang w:val="fr-FR"/>
        </w:rPr>
      </w:pPr>
    </w:p>
    <w:p w14:paraId="57295256" w14:textId="77777777" w:rsidR="005F025D" w:rsidRPr="00953DCC" w:rsidRDefault="005F025D" w:rsidP="00D14394">
      <w:pPr>
        <w:rPr>
          <w:lang w:val="fr-FR"/>
        </w:rPr>
      </w:pPr>
    </w:p>
    <w:p w14:paraId="57295257" w14:textId="77777777" w:rsidR="005F025D" w:rsidRPr="00953DCC" w:rsidRDefault="005F025D" w:rsidP="005F025D">
      <w:pPr>
        <w:jc w:val="right"/>
        <w:rPr>
          <w:lang w:val="fr-FR"/>
        </w:rPr>
      </w:pPr>
      <w:r w:rsidRPr="00953DCC">
        <w:rPr>
          <w:lang w:val="fr-FR"/>
        </w:rPr>
        <w:t>[Les annexes suivent]</w:t>
      </w:r>
    </w:p>
    <w:p w14:paraId="57295258" w14:textId="77777777" w:rsidR="000E52A6" w:rsidRPr="00953DCC" w:rsidRDefault="000E52A6" w:rsidP="00595E41">
      <w:pPr>
        <w:ind w:right="500"/>
        <w:rPr>
          <w:lang w:val="fr-FR"/>
        </w:rPr>
        <w:sectPr w:rsidR="000E52A6" w:rsidRPr="00953DCC" w:rsidSect="009D3585">
          <w:headerReference w:type="even" r:id="rId10"/>
          <w:headerReference w:type="default" r:id="rId11"/>
          <w:pgSz w:w="11907" w:h="16840" w:code="9"/>
          <w:pgMar w:top="510" w:right="1134" w:bottom="1134" w:left="1134" w:header="510" w:footer="680" w:gutter="0"/>
          <w:pgNumType w:start="1"/>
          <w:cols w:space="720"/>
          <w:titlePg/>
          <w:docGrid w:linePitch="272"/>
        </w:sectPr>
      </w:pPr>
    </w:p>
    <w:p w14:paraId="57295259" w14:textId="1C75A333" w:rsidR="005F025D" w:rsidRPr="00953DCC" w:rsidRDefault="005F025D" w:rsidP="005F025D">
      <w:pPr>
        <w:rPr>
          <w:lang w:val="fr-FR"/>
        </w:rPr>
      </w:pPr>
      <w:r w:rsidRPr="00953DCC">
        <w:rPr>
          <w:lang w:val="fr-FR"/>
        </w:rPr>
        <w:lastRenderedPageBreak/>
        <w:t>ÉLÉMENTS POUR LE PROJET DE DOCUMENT COMMUN PRÉSENTANT LES PARTICULARITÉS DES SYSTÈMES DE L</w:t>
      </w:r>
      <w:r w:rsidR="0056301D">
        <w:rPr>
          <w:lang w:val="fr-FR"/>
        </w:rPr>
        <w:t>’</w:t>
      </w:r>
      <w:r w:rsidRPr="00953DCC">
        <w:rPr>
          <w:lang w:val="fr-FR"/>
        </w:rPr>
        <w:t>OCDE, DE L</w:t>
      </w:r>
      <w:r w:rsidR="0056301D">
        <w:rPr>
          <w:lang w:val="fr-FR"/>
        </w:rPr>
        <w:t>’</w:t>
      </w:r>
      <w:r w:rsidRPr="00953DCC">
        <w:rPr>
          <w:lang w:val="fr-FR"/>
        </w:rPr>
        <w:t>UPOV ET DE L</w:t>
      </w:r>
      <w:r w:rsidR="0056301D">
        <w:rPr>
          <w:lang w:val="fr-FR"/>
        </w:rPr>
        <w:t>’</w:t>
      </w:r>
      <w:r w:rsidRPr="00953DCC">
        <w:rPr>
          <w:lang w:val="fr-FR"/>
        </w:rPr>
        <w:t>ISTA</w:t>
      </w:r>
    </w:p>
    <w:p w14:paraId="5729525A" w14:textId="77777777" w:rsidR="005F025D" w:rsidRPr="00953DCC" w:rsidRDefault="005F025D" w:rsidP="007E07ED">
      <w:pPr>
        <w:rPr>
          <w:lang w:val="fr-FR"/>
        </w:rPr>
      </w:pPr>
    </w:p>
    <w:p w14:paraId="5729525B" w14:textId="3E91276B" w:rsidR="005F025D" w:rsidRPr="006C32CE" w:rsidRDefault="006C32CE" w:rsidP="006C32CE">
      <w:pPr>
        <w:rPr>
          <w:u w:val="single"/>
          <w:lang w:val="fr-FR"/>
        </w:rPr>
      </w:pPr>
      <w:r w:rsidRPr="006C32CE">
        <w:rPr>
          <w:u w:val="single"/>
          <w:lang w:val="fr-FR"/>
        </w:rPr>
        <w:t xml:space="preserve">Organisation de </w:t>
      </w:r>
      <w:r>
        <w:rPr>
          <w:u w:val="single"/>
          <w:lang w:val="fr-FR"/>
        </w:rPr>
        <w:t>c</w:t>
      </w:r>
      <w:r w:rsidRPr="006C32CE">
        <w:rPr>
          <w:u w:val="single"/>
          <w:lang w:val="fr-FR"/>
        </w:rPr>
        <w:t xml:space="preserve">oopération et de </w:t>
      </w:r>
      <w:r>
        <w:rPr>
          <w:u w:val="single"/>
          <w:lang w:val="fr-FR"/>
        </w:rPr>
        <w:t>c</w:t>
      </w:r>
      <w:r w:rsidRPr="006C32CE">
        <w:rPr>
          <w:u w:val="single"/>
          <w:lang w:val="fr-FR"/>
        </w:rPr>
        <w:t>éveloppement économiques (OCDE)</w:t>
      </w:r>
    </w:p>
    <w:p w14:paraId="5729525C" w14:textId="77777777" w:rsidR="005F025D" w:rsidRPr="00953DCC" w:rsidRDefault="005F025D" w:rsidP="007E07ED">
      <w:pPr>
        <w:rPr>
          <w:lang w:val="fr-FR"/>
        </w:rPr>
      </w:pPr>
    </w:p>
    <w:p w14:paraId="5729525D" w14:textId="44C1F035" w:rsidR="005F025D" w:rsidRPr="00953DCC" w:rsidRDefault="005F025D" w:rsidP="005F025D">
      <w:pPr>
        <w:spacing w:before="91"/>
        <w:rPr>
          <w:i/>
          <w:lang w:val="fr-FR"/>
        </w:rPr>
      </w:pPr>
      <w:r w:rsidRPr="00953DCC">
        <w:rPr>
          <w:i/>
          <w:lang w:val="fr-FR"/>
        </w:rPr>
        <w:t>Que sont les Systèmes des semences de l</w:t>
      </w:r>
      <w:r w:rsidR="0056301D">
        <w:rPr>
          <w:i/>
          <w:lang w:val="fr-FR"/>
        </w:rPr>
        <w:t>’</w:t>
      </w:r>
      <w:r w:rsidRPr="00953DCC">
        <w:rPr>
          <w:i/>
          <w:lang w:val="fr-FR"/>
        </w:rPr>
        <w:t>OCDE?</w:t>
      </w:r>
    </w:p>
    <w:p w14:paraId="5729525E" w14:textId="77777777" w:rsidR="005F025D" w:rsidRPr="00953DCC" w:rsidRDefault="005F025D" w:rsidP="007E07ED">
      <w:pPr>
        <w:spacing w:before="4"/>
        <w:rPr>
          <w:b/>
          <w:lang w:val="fr-FR"/>
        </w:rPr>
      </w:pPr>
    </w:p>
    <w:p w14:paraId="5729525F" w14:textId="3026ADD5" w:rsidR="005F025D" w:rsidRPr="00953DCC" w:rsidRDefault="005F025D" w:rsidP="005F025D">
      <w:pPr>
        <w:widowControl w:val="0"/>
        <w:tabs>
          <w:tab w:val="left" w:pos="1125"/>
          <w:tab w:val="left" w:pos="1126"/>
        </w:tabs>
        <w:autoSpaceDE w:val="0"/>
        <w:autoSpaceDN w:val="0"/>
        <w:spacing w:before="1"/>
        <w:ind w:right="214"/>
        <w:rPr>
          <w:rFonts w:cs="Arial"/>
          <w:lang w:val="fr-FR" w:eastAsia="en-GB" w:bidi="en-GB"/>
        </w:rPr>
      </w:pPr>
      <w:r w:rsidRPr="00953DCC">
        <w:rPr>
          <w:rFonts w:cs="Arial"/>
          <w:lang w:val="fr-FR" w:eastAsia="en-GB" w:bidi="en-GB"/>
        </w:rPr>
        <w:t>Les Systèmes de semences de l</w:t>
      </w:r>
      <w:r w:rsidR="0056301D">
        <w:rPr>
          <w:rFonts w:cs="Arial"/>
          <w:lang w:val="fr-FR" w:eastAsia="en-GB" w:bidi="en-GB"/>
        </w:rPr>
        <w:t>’</w:t>
      </w:r>
      <w:r w:rsidRPr="00953DCC">
        <w:rPr>
          <w:rFonts w:cs="Arial"/>
          <w:lang w:val="fr-FR" w:eastAsia="en-GB" w:bidi="en-GB"/>
        </w:rPr>
        <w:t>OCDE fournissent un cadre international pour la certification des semences agricoles commercialisé</w:t>
      </w:r>
      <w:r w:rsidR="0011329B" w:rsidRPr="00953DCC">
        <w:rPr>
          <w:rFonts w:cs="Arial"/>
          <w:lang w:val="fr-FR" w:eastAsia="en-GB" w:bidi="en-GB"/>
        </w:rPr>
        <w:t>es</w:t>
      </w:r>
      <w:r w:rsidR="0011329B">
        <w:rPr>
          <w:rFonts w:cs="Arial"/>
          <w:lang w:val="fr-FR" w:eastAsia="en-GB" w:bidi="en-GB"/>
        </w:rPr>
        <w:t xml:space="preserve">.  </w:t>
      </w:r>
      <w:r w:rsidR="0011329B" w:rsidRPr="00953DCC">
        <w:rPr>
          <w:rFonts w:cs="Arial"/>
          <w:lang w:val="fr-FR" w:eastAsia="en-GB" w:bidi="en-GB"/>
        </w:rPr>
        <w:t>Le</w:t>
      </w:r>
      <w:r w:rsidRPr="00953DCC">
        <w:rPr>
          <w:rFonts w:cs="Arial"/>
          <w:lang w:val="fr-FR" w:eastAsia="en-GB" w:bidi="en-GB"/>
        </w:rPr>
        <w:t xml:space="preserve">s programmes ont été créés </w:t>
      </w:r>
      <w:r w:rsidR="0056301D" w:rsidRPr="00953DCC">
        <w:rPr>
          <w:rFonts w:cs="Arial"/>
          <w:lang w:val="fr-FR" w:eastAsia="en-GB" w:bidi="en-GB"/>
        </w:rPr>
        <w:t>en</w:t>
      </w:r>
      <w:r w:rsidR="0056301D">
        <w:rPr>
          <w:rFonts w:cs="Arial"/>
          <w:lang w:val="fr-FR" w:eastAsia="en-GB" w:bidi="en-GB"/>
        </w:rPr>
        <w:t> </w:t>
      </w:r>
      <w:r w:rsidR="0056301D" w:rsidRPr="00953DCC">
        <w:rPr>
          <w:rFonts w:cs="Arial"/>
          <w:lang w:val="fr-FR" w:eastAsia="en-GB" w:bidi="en-GB"/>
        </w:rPr>
        <w:t>1958</w:t>
      </w:r>
      <w:r w:rsidRPr="00953DCC">
        <w:rPr>
          <w:rFonts w:cs="Arial"/>
          <w:lang w:val="fr-FR" w:eastAsia="en-GB" w:bidi="en-GB"/>
        </w:rPr>
        <w:t xml:space="preserve"> en raison de plusieurs facteurs, dont un commerce des semences en forte croissance, une harmonisation de la réglementation en Europe, le développement de la production hors saison, la sélection des semences et le potentiel de production des grands pays exportateurs d</w:t>
      </w:r>
      <w:r w:rsidR="0056301D">
        <w:rPr>
          <w:rFonts w:cs="Arial"/>
          <w:lang w:val="fr-FR" w:eastAsia="en-GB" w:bidi="en-GB"/>
        </w:rPr>
        <w:t>’</w:t>
      </w:r>
      <w:r w:rsidRPr="00953DCC">
        <w:rPr>
          <w:rFonts w:cs="Arial"/>
          <w:lang w:val="fr-FR" w:eastAsia="en-GB" w:bidi="en-GB"/>
        </w:rPr>
        <w:t>Amérique (Nord et Sud) et d</w:t>
      </w:r>
      <w:r w:rsidR="0056301D">
        <w:rPr>
          <w:rFonts w:cs="Arial"/>
          <w:lang w:val="fr-FR" w:eastAsia="en-GB" w:bidi="en-GB"/>
        </w:rPr>
        <w:t>’</w:t>
      </w:r>
      <w:r w:rsidRPr="00953DCC">
        <w:rPr>
          <w:rFonts w:cs="Arial"/>
          <w:lang w:val="fr-FR" w:eastAsia="en-GB" w:bidi="en-GB"/>
        </w:rPr>
        <w:t>Europe et le soutien du secteur pri</w:t>
      </w:r>
      <w:r w:rsidR="0011329B" w:rsidRPr="00953DCC">
        <w:rPr>
          <w:rFonts w:cs="Arial"/>
          <w:lang w:val="fr-FR" w:eastAsia="en-GB" w:bidi="en-GB"/>
        </w:rPr>
        <w:t>vé</w:t>
      </w:r>
      <w:r w:rsidR="0011329B">
        <w:rPr>
          <w:rFonts w:cs="Arial"/>
          <w:lang w:val="fr-FR" w:eastAsia="en-GB" w:bidi="en-GB"/>
        </w:rPr>
        <w:t xml:space="preserve">.  </w:t>
      </w:r>
      <w:r w:rsidR="0011329B" w:rsidRPr="00953DCC">
        <w:rPr>
          <w:rFonts w:cs="Arial"/>
          <w:lang w:val="fr-FR" w:eastAsia="en-GB" w:bidi="en-GB"/>
        </w:rPr>
        <w:t>L</w:t>
      </w:r>
      <w:r w:rsidR="0011329B">
        <w:rPr>
          <w:rFonts w:cs="Arial"/>
          <w:lang w:val="fr-FR" w:eastAsia="en-GB" w:bidi="en-GB"/>
        </w:rPr>
        <w:t>’</w:t>
      </w:r>
      <w:r w:rsidR="0011329B" w:rsidRPr="00953DCC">
        <w:rPr>
          <w:rFonts w:cs="Arial"/>
          <w:lang w:val="fr-FR" w:eastAsia="en-GB" w:bidi="en-GB"/>
        </w:rPr>
        <w:t>a</w:t>
      </w:r>
      <w:r w:rsidRPr="00953DCC">
        <w:rPr>
          <w:rFonts w:cs="Arial"/>
          <w:lang w:val="fr-FR" w:eastAsia="en-GB" w:bidi="en-GB"/>
        </w:rPr>
        <w:t>dhésion aux programmes est volontaire et la participation var</w:t>
      </w:r>
      <w:r w:rsidR="0011329B" w:rsidRPr="00953DCC">
        <w:rPr>
          <w:rFonts w:cs="Arial"/>
          <w:lang w:val="fr-FR" w:eastAsia="en-GB" w:bidi="en-GB"/>
        </w:rPr>
        <w:t>ie</w:t>
      </w:r>
      <w:r w:rsidR="0011329B">
        <w:rPr>
          <w:rFonts w:cs="Arial"/>
          <w:lang w:val="fr-FR" w:eastAsia="en-GB" w:bidi="en-GB"/>
        </w:rPr>
        <w:t xml:space="preserve">.  </w:t>
      </w:r>
      <w:r w:rsidR="0011329B" w:rsidRPr="00953DCC">
        <w:rPr>
          <w:rFonts w:cs="Arial"/>
          <w:lang w:val="fr-FR" w:eastAsia="en-GB" w:bidi="en-GB"/>
        </w:rPr>
        <w:t>Il</w:t>
      </w:r>
      <w:r w:rsidRPr="00953DCC">
        <w:rPr>
          <w:rFonts w:cs="Arial"/>
          <w:lang w:val="fr-FR" w:eastAsia="en-GB" w:bidi="en-GB"/>
        </w:rPr>
        <w:t xml:space="preserve"> existe sept</w:t>
      </w:r>
      <w:r w:rsidR="004A1CA8">
        <w:rPr>
          <w:rFonts w:cs="Arial"/>
          <w:lang w:val="fr-FR" w:eastAsia="en-GB" w:bidi="en-GB"/>
        </w:rPr>
        <w:t> </w:t>
      </w:r>
      <w:r w:rsidRPr="00953DCC">
        <w:rPr>
          <w:rFonts w:cs="Arial"/>
          <w:lang w:val="fr-FR" w:eastAsia="en-GB" w:bidi="en-GB"/>
        </w:rPr>
        <w:t>systèmes de semences agricoles.</w:t>
      </w:r>
    </w:p>
    <w:p w14:paraId="57295260" w14:textId="77777777" w:rsidR="005F025D" w:rsidRPr="00953DCC" w:rsidRDefault="005F025D" w:rsidP="007E07ED">
      <w:pPr>
        <w:spacing w:before="3"/>
        <w:rPr>
          <w:rFonts w:cs="Arial"/>
          <w:lang w:val="fr-FR"/>
        </w:rPr>
      </w:pPr>
    </w:p>
    <w:p w14:paraId="57295261" w14:textId="77777777" w:rsidR="005F025D" w:rsidRPr="00953DCC" w:rsidRDefault="005F025D" w:rsidP="005F025D">
      <w:pPr>
        <w:rPr>
          <w:i/>
          <w:lang w:val="fr-FR"/>
        </w:rPr>
      </w:pPr>
      <w:bookmarkStart w:id="23" w:name="Participating_countries"/>
      <w:bookmarkEnd w:id="23"/>
      <w:r w:rsidRPr="00953DCC">
        <w:rPr>
          <w:i/>
          <w:lang w:val="fr-FR"/>
        </w:rPr>
        <w:t>Pays participants</w:t>
      </w:r>
    </w:p>
    <w:p w14:paraId="57295262" w14:textId="77777777" w:rsidR="005F025D" w:rsidRPr="00953DCC" w:rsidRDefault="005F025D" w:rsidP="007E07ED">
      <w:pPr>
        <w:spacing w:before="4"/>
        <w:rPr>
          <w:rFonts w:cs="Arial"/>
          <w:b/>
          <w:lang w:val="fr-FR"/>
        </w:rPr>
      </w:pPr>
    </w:p>
    <w:p w14:paraId="57295263" w14:textId="6C2F718B" w:rsidR="005F025D" w:rsidRPr="00953DCC" w:rsidRDefault="005F025D" w:rsidP="005F025D">
      <w:pPr>
        <w:widowControl w:val="0"/>
        <w:tabs>
          <w:tab w:val="left" w:pos="567"/>
        </w:tabs>
        <w:autoSpaceDE w:val="0"/>
        <w:autoSpaceDN w:val="0"/>
        <w:spacing w:before="1"/>
        <w:ind w:right="216"/>
        <w:rPr>
          <w:rFonts w:cs="Arial"/>
          <w:lang w:val="fr-FR" w:eastAsia="en-GB" w:bidi="en-GB"/>
        </w:rPr>
      </w:pPr>
      <w:r w:rsidRPr="00953DCC">
        <w:rPr>
          <w:rFonts w:cs="Arial"/>
          <w:lang w:val="fr-FR" w:eastAsia="en-GB" w:bidi="en-GB"/>
        </w:rPr>
        <w:t>59</w:t>
      </w:r>
      <w:r w:rsidR="004E30EC" w:rsidRPr="00953DCC">
        <w:rPr>
          <w:rFonts w:cs="Arial"/>
          <w:lang w:val="fr-FR" w:eastAsia="en-GB" w:bidi="en-GB"/>
        </w:rPr>
        <w:t> </w:t>
      </w:r>
      <w:r w:rsidRPr="00953DCC">
        <w:rPr>
          <w:rFonts w:cs="Arial"/>
          <w:lang w:val="fr-FR" w:eastAsia="en-GB" w:bidi="en-GB"/>
        </w:rPr>
        <w:t>pays d</w:t>
      </w:r>
      <w:r w:rsidR="0056301D">
        <w:rPr>
          <w:rFonts w:cs="Arial"/>
          <w:lang w:val="fr-FR" w:eastAsia="en-GB" w:bidi="en-GB"/>
        </w:rPr>
        <w:t>’</w:t>
      </w:r>
      <w:r w:rsidRPr="00953DCC">
        <w:rPr>
          <w:rFonts w:cs="Arial"/>
          <w:lang w:val="fr-FR" w:eastAsia="en-GB" w:bidi="en-GB"/>
        </w:rPr>
        <w:t>Europe, d</w:t>
      </w:r>
      <w:r w:rsidR="0056301D">
        <w:rPr>
          <w:rFonts w:cs="Arial"/>
          <w:lang w:val="fr-FR" w:eastAsia="en-GB" w:bidi="en-GB"/>
        </w:rPr>
        <w:t>’</w:t>
      </w:r>
      <w:r w:rsidRPr="00953DCC">
        <w:rPr>
          <w:rFonts w:cs="Arial"/>
          <w:lang w:val="fr-FR" w:eastAsia="en-GB" w:bidi="en-GB"/>
        </w:rPr>
        <w:t>Amérique du Nord et du Sud, d</w:t>
      </w:r>
      <w:r w:rsidR="0056301D">
        <w:rPr>
          <w:rFonts w:cs="Arial"/>
          <w:lang w:val="fr-FR" w:eastAsia="en-GB" w:bidi="en-GB"/>
        </w:rPr>
        <w:t>’</w:t>
      </w:r>
      <w:r w:rsidRPr="00953DCC">
        <w:rPr>
          <w:rFonts w:cs="Arial"/>
          <w:lang w:val="fr-FR" w:eastAsia="en-GB" w:bidi="en-GB"/>
        </w:rPr>
        <w:t>Afrique, du Moyen</w:t>
      </w:r>
      <w:r w:rsidR="00456121">
        <w:rPr>
          <w:rFonts w:cs="Arial"/>
          <w:lang w:val="fr-FR" w:eastAsia="en-GB" w:bidi="en-GB"/>
        </w:rPr>
        <w:noBreakHyphen/>
      </w:r>
      <w:r w:rsidRPr="00953DCC">
        <w:rPr>
          <w:rFonts w:cs="Arial"/>
          <w:lang w:val="fr-FR" w:eastAsia="en-GB" w:bidi="en-GB"/>
        </w:rPr>
        <w:t>Orient, d</w:t>
      </w:r>
      <w:r w:rsidR="0056301D">
        <w:rPr>
          <w:rFonts w:cs="Arial"/>
          <w:lang w:val="fr-FR" w:eastAsia="en-GB" w:bidi="en-GB"/>
        </w:rPr>
        <w:t>’</w:t>
      </w:r>
      <w:r w:rsidRPr="00953DCC">
        <w:rPr>
          <w:rFonts w:cs="Arial"/>
          <w:lang w:val="fr-FR" w:eastAsia="en-GB" w:bidi="en-GB"/>
        </w:rPr>
        <w:t>Asie et d</w:t>
      </w:r>
      <w:r w:rsidR="0056301D">
        <w:rPr>
          <w:rFonts w:cs="Arial"/>
          <w:lang w:val="fr-FR" w:eastAsia="en-GB" w:bidi="en-GB"/>
        </w:rPr>
        <w:t>’</w:t>
      </w:r>
      <w:r w:rsidRPr="00953DCC">
        <w:rPr>
          <w:rFonts w:cs="Arial"/>
          <w:lang w:val="fr-FR" w:eastAsia="en-GB" w:bidi="en-GB"/>
        </w:rPr>
        <w:t>Océanie participent actuellement aux Systèmes des semences de l</w:t>
      </w:r>
      <w:r w:rsidR="0056301D">
        <w:rPr>
          <w:rFonts w:cs="Arial"/>
          <w:lang w:val="fr-FR" w:eastAsia="en-GB" w:bidi="en-GB"/>
        </w:rPr>
        <w:t>’</w:t>
      </w:r>
      <w:r w:rsidRPr="00953DCC">
        <w:rPr>
          <w:rFonts w:cs="Arial"/>
          <w:lang w:val="fr-FR" w:eastAsia="en-GB" w:bidi="en-GB"/>
        </w:rPr>
        <w:t>OCDE.</w:t>
      </w:r>
    </w:p>
    <w:p w14:paraId="57295264" w14:textId="77777777" w:rsidR="007E07ED" w:rsidRPr="00953DCC" w:rsidRDefault="007E07ED" w:rsidP="007E07ED">
      <w:pPr>
        <w:spacing w:before="5"/>
        <w:rPr>
          <w:sz w:val="21"/>
          <w:lang w:val="fr-FR"/>
        </w:rPr>
      </w:pPr>
    </w:p>
    <w:tbl>
      <w:tblPr>
        <w:tblW w:w="0" w:type="auto"/>
        <w:tblInd w:w="1418" w:type="dxa"/>
        <w:tblLayout w:type="fixed"/>
        <w:tblCellMar>
          <w:left w:w="0" w:type="dxa"/>
          <w:right w:w="0" w:type="dxa"/>
        </w:tblCellMar>
        <w:tblLook w:val="01E0" w:firstRow="1" w:lastRow="1" w:firstColumn="1" w:lastColumn="1" w:noHBand="0" w:noVBand="0"/>
      </w:tblPr>
      <w:tblGrid>
        <w:gridCol w:w="2835"/>
        <w:gridCol w:w="992"/>
        <w:gridCol w:w="2552"/>
        <w:gridCol w:w="382"/>
        <w:gridCol w:w="610"/>
      </w:tblGrid>
      <w:tr w:rsidR="00D9517D" w:rsidRPr="00953DCC" w14:paraId="591C6FD9" w14:textId="3CB7D573" w:rsidTr="002B0AA3">
        <w:trPr>
          <w:trHeight w:val="257"/>
        </w:trPr>
        <w:tc>
          <w:tcPr>
            <w:tcW w:w="2835" w:type="dxa"/>
            <w:tcBorders>
              <w:top w:val="single" w:sz="4" w:space="0" w:color="000000"/>
            </w:tcBorders>
            <w:shd w:val="clear" w:color="auto" w:fill="DBE5F1"/>
          </w:tcPr>
          <w:p w14:paraId="0D736DF2" w14:textId="77777777" w:rsidR="00D9517D" w:rsidRPr="00953DCC" w:rsidRDefault="00D9517D" w:rsidP="00D9517D">
            <w:pPr>
              <w:widowControl w:val="0"/>
              <w:autoSpaceDE w:val="0"/>
              <w:autoSpaceDN w:val="0"/>
              <w:spacing w:before="34" w:line="208" w:lineRule="exact"/>
              <w:jc w:val="left"/>
              <w:rPr>
                <w:rFonts w:ascii="Trebuchet MS" w:eastAsia="Trebuchet MS" w:hAnsi="Trebuchet MS" w:cs="Trebuchet MS"/>
                <w:sz w:val="18"/>
                <w:szCs w:val="22"/>
                <w:lang w:val="fr-FR" w:eastAsia="en-GB" w:bidi="en-GB"/>
              </w:rPr>
            </w:pPr>
            <w:bookmarkStart w:id="24" w:name="_Hlk86301318"/>
            <w:r w:rsidRPr="00953DCC">
              <w:rPr>
                <w:rFonts w:ascii="Trebuchet MS" w:eastAsia="Trebuchet MS" w:hAnsi="Trebuchet MS" w:cs="Trebuchet MS"/>
                <w:sz w:val="18"/>
                <w:szCs w:val="22"/>
                <w:lang w:val="fr-FR" w:eastAsia="en-GB" w:bidi="en-GB"/>
              </w:rPr>
              <w:t>ALBANIE</w:t>
            </w:r>
          </w:p>
        </w:tc>
        <w:tc>
          <w:tcPr>
            <w:tcW w:w="992" w:type="dxa"/>
            <w:tcBorders>
              <w:top w:val="single" w:sz="4" w:space="0" w:color="000000"/>
            </w:tcBorders>
          </w:tcPr>
          <w:p w14:paraId="204D860D" w14:textId="77777777" w:rsidR="00D9517D" w:rsidRPr="00953DCC" w:rsidRDefault="00D9517D" w:rsidP="00D9517D">
            <w:pPr>
              <w:widowControl w:val="0"/>
              <w:autoSpaceDE w:val="0"/>
              <w:autoSpaceDN w:val="0"/>
              <w:spacing w:before="34" w:line="208" w:lineRule="exact"/>
              <w:jc w:val="left"/>
              <w:rPr>
                <w:rFonts w:ascii="Trebuchet MS" w:eastAsia="Trebuchet MS" w:hAnsi="Trebuchet MS" w:cs="Trebuchet MS"/>
                <w:sz w:val="18"/>
                <w:szCs w:val="22"/>
                <w:lang w:val="fr-FR" w:eastAsia="en-GB" w:bidi="en-GB"/>
              </w:rPr>
            </w:pPr>
            <w:r w:rsidRPr="00953DCC">
              <w:rPr>
                <w:rFonts w:ascii="Trebuchet MS" w:eastAsia="Trebuchet MS" w:hAnsi="Trebuchet MS" w:cs="Trebuchet MS"/>
                <w:sz w:val="18"/>
                <w:szCs w:val="22"/>
                <w:lang w:val="fr-FR" w:eastAsia="en-GB" w:bidi="en-GB"/>
              </w:rPr>
              <w:t>(2)</w:t>
            </w:r>
          </w:p>
        </w:tc>
        <w:tc>
          <w:tcPr>
            <w:tcW w:w="2552" w:type="dxa"/>
            <w:tcBorders>
              <w:top w:val="single" w:sz="4" w:space="0" w:color="auto"/>
            </w:tcBorders>
            <w:shd w:val="clear" w:color="auto" w:fill="DBE5F1" w:themeFill="accent1" w:themeFillTint="33"/>
          </w:tcPr>
          <w:p w14:paraId="738465E8" w14:textId="48F33C0D" w:rsidR="00D9517D" w:rsidRPr="00953DCC" w:rsidRDefault="00D9517D" w:rsidP="00D9517D">
            <w:pPr>
              <w:jc w:val="left"/>
              <w:rPr>
                <w:lang w:val="fr-FR"/>
              </w:rPr>
            </w:pPr>
            <w:r w:rsidRPr="00953DCC">
              <w:rPr>
                <w:rFonts w:ascii="Trebuchet MS" w:eastAsia="Trebuchet MS" w:hAnsi="Trebuchet MS" w:cs="Trebuchet MS"/>
                <w:sz w:val="18"/>
                <w:szCs w:val="22"/>
                <w:lang w:val="fr-FR" w:eastAsia="en-GB" w:bidi="en-GB"/>
              </w:rPr>
              <w:t>KENYA</w:t>
            </w:r>
          </w:p>
        </w:tc>
        <w:tc>
          <w:tcPr>
            <w:tcW w:w="992" w:type="dxa"/>
            <w:gridSpan w:val="2"/>
            <w:tcBorders>
              <w:top w:val="single" w:sz="4" w:space="0" w:color="auto"/>
            </w:tcBorders>
          </w:tcPr>
          <w:p w14:paraId="394659E9" w14:textId="3653ADB1" w:rsidR="00D9517D" w:rsidRPr="00953DCC" w:rsidRDefault="00D9517D" w:rsidP="00D9517D">
            <w:pPr>
              <w:jc w:val="left"/>
              <w:rPr>
                <w:lang w:val="fr-FR"/>
              </w:rPr>
            </w:pPr>
            <w:r w:rsidRPr="00953DCC">
              <w:rPr>
                <w:rFonts w:ascii="Trebuchet MS" w:eastAsia="Trebuchet MS" w:hAnsi="Trebuchet MS" w:cs="Trebuchet MS"/>
                <w:sz w:val="18"/>
                <w:szCs w:val="22"/>
                <w:lang w:val="fr-FR" w:eastAsia="en-GB" w:bidi="en-GB"/>
              </w:rPr>
              <w:t>(2)</w:t>
            </w:r>
          </w:p>
        </w:tc>
      </w:tr>
      <w:tr w:rsidR="00D9517D" w:rsidRPr="00953DCC" w14:paraId="408B536B" w14:textId="561D864B" w:rsidTr="002B0AA3">
        <w:trPr>
          <w:trHeight w:val="265"/>
        </w:trPr>
        <w:tc>
          <w:tcPr>
            <w:tcW w:w="2835" w:type="dxa"/>
            <w:shd w:val="clear" w:color="auto" w:fill="DBE5F1"/>
          </w:tcPr>
          <w:p w14:paraId="32FBAA7B" w14:textId="77777777" w:rsidR="00D9517D" w:rsidRPr="00953DCC" w:rsidRDefault="00D9517D" w:rsidP="00D9517D">
            <w:pPr>
              <w:widowControl w:val="0"/>
              <w:autoSpaceDE w:val="0"/>
              <w:autoSpaceDN w:val="0"/>
              <w:spacing w:before="19"/>
              <w:jc w:val="left"/>
              <w:rPr>
                <w:rFonts w:ascii="Trebuchet MS" w:eastAsia="Trebuchet MS" w:hAnsi="Trebuchet MS" w:cs="Trebuchet MS"/>
                <w:sz w:val="18"/>
                <w:szCs w:val="22"/>
                <w:lang w:val="fr-FR" w:eastAsia="en-GB" w:bidi="en-GB"/>
              </w:rPr>
            </w:pPr>
            <w:r w:rsidRPr="00953DCC">
              <w:rPr>
                <w:rFonts w:ascii="Trebuchet MS" w:eastAsia="Trebuchet MS" w:hAnsi="Trebuchet MS" w:cs="Trebuchet MS"/>
                <w:sz w:val="18"/>
                <w:szCs w:val="22"/>
                <w:lang w:val="fr-FR" w:eastAsia="en-GB" w:bidi="en-GB"/>
              </w:rPr>
              <w:t>AFRIQUE DU SUD</w:t>
            </w:r>
          </w:p>
        </w:tc>
        <w:tc>
          <w:tcPr>
            <w:tcW w:w="992" w:type="dxa"/>
          </w:tcPr>
          <w:p w14:paraId="7BC7F191" w14:textId="77777777" w:rsidR="00D9517D" w:rsidRPr="00953DCC" w:rsidRDefault="00D9517D" w:rsidP="00D9517D">
            <w:pPr>
              <w:widowControl w:val="0"/>
              <w:autoSpaceDE w:val="0"/>
              <w:autoSpaceDN w:val="0"/>
              <w:spacing w:before="19"/>
              <w:jc w:val="left"/>
              <w:rPr>
                <w:rFonts w:ascii="Trebuchet MS" w:eastAsia="Trebuchet MS" w:hAnsi="Trebuchet MS" w:cs="Trebuchet MS"/>
                <w:sz w:val="18"/>
                <w:szCs w:val="22"/>
                <w:lang w:val="fr-FR" w:eastAsia="en-GB" w:bidi="en-GB"/>
              </w:rPr>
            </w:pPr>
            <w:r w:rsidRPr="00953DCC">
              <w:rPr>
                <w:rFonts w:ascii="Trebuchet MS" w:eastAsia="Trebuchet MS" w:hAnsi="Trebuchet MS" w:cs="Trebuchet MS"/>
                <w:sz w:val="18"/>
                <w:szCs w:val="22"/>
                <w:lang w:val="fr-FR" w:eastAsia="en-GB" w:bidi="en-GB"/>
              </w:rPr>
              <w:t>(2)</w:t>
            </w:r>
          </w:p>
        </w:tc>
        <w:tc>
          <w:tcPr>
            <w:tcW w:w="2552" w:type="dxa"/>
            <w:shd w:val="clear" w:color="auto" w:fill="DBE5F1" w:themeFill="accent1" w:themeFillTint="33"/>
          </w:tcPr>
          <w:p w14:paraId="45B5D558" w14:textId="433B3984" w:rsidR="00D9517D" w:rsidRPr="00953DCC" w:rsidRDefault="00D9517D" w:rsidP="00D9517D">
            <w:pPr>
              <w:jc w:val="left"/>
              <w:rPr>
                <w:rFonts w:ascii="Trebuchet MS" w:eastAsia="Trebuchet MS" w:hAnsi="Trebuchet MS" w:cs="Trebuchet MS"/>
                <w:szCs w:val="22"/>
                <w:lang w:val="fr-FR" w:eastAsia="en-GB" w:bidi="en-GB"/>
              </w:rPr>
            </w:pPr>
            <w:r w:rsidRPr="00953DCC">
              <w:rPr>
                <w:rFonts w:ascii="Trebuchet MS" w:eastAsia="Trebuchet MS" w:hAnsi="Trebuchet MS" w:cs="Trebuchet MS"/>
                <w:sz w:val="18"/>
                <w:szCs w:val="22"/>
                <w:lang w:val="fr-FR" w:eastAsia="en-GB" w:bidi="en-GB"/>
              </w:rPr>
              <w:t>KIRGHIZISTAN</w:t>
            </w:r>
          </w:p>
        </w:tc>
        <w:tc>
          <w:tcPr>
            <w:tcW w:w="992" w:type="dxa"/>
            <w:gridSpan w:val="2"/>
          </w:tcPr>
          <w:p w14:paraId="6BC67299" w14:textId="521A4B1A" w:rsidR="00D9517D" w:rsidRPr="00953DCC" w:rsidRDefault="00D9517D" w:rsidP="00D9517D">
            <w:pPr>
              <w:jc w:val="left"/>
              <w:rPr>
                <w:rFonts w:ascii="Trebuchet MS" w:eastAsia="Trebuchet MS" w:hAnsi="Trebuchet MS" w:cs="Trebuchet MS"/>
                <w:szCs w:val="22"/>
                <w:lang w:val="fr-FR" w:eastAsia="en-GB" w:bidi="en-GB"/>
              </w:rPr>
            </w:pPr>
            <w:r w:rsidRPr="00953DCC">
              <w:rPr>
                <w:rFonts w:ascii="Trebuchet MS" w:eastAsia="Trebuchet MS" w:hAnsi="Trebuchet MS" w:cs="Trebuchet MS"/>
                <w:sz w:val="18"/>
                <w:szCs w:val="22"/>
                <w:lang w:val="fr-FR" w:eastAsia="en-GB" w:bidi="en-GB"/>
              </w:rPr>
              <w:t>(2)</w:t>
            </w:r>
          </w:p>
        </w:tc>
      </w:tr>
      <w:bookmarkEnd w:id="24"/>
      <w:tr w:rsidR="00D9517D" w:rsidRPr="00953DCC" w14:paraId="794F59A4" w14:textId="77777777" w:rsidTr="002B0AA3">
        <w:trPr>
          <w:trHeight w:val="265"/>
        </w:trPr>
        <w:tc>
          <w:tcPr>
            <w:tcW w:w="2835" w:type="dxa"/>
            <w:shd w:val="clear" w:color="auto" w:fill="DBE5F1"/>
          </w:tcPr>
          <w:p w14:paraId="681D06E8" w14:textId="452CB332" w:rsidR="00D9517D" w:rsidRPr="00953DCC" w:rsidRDefault="00D9517D" w:rsidP="00D9517D">
            <w:pPr>
              <w:widowControl w:val="0"/>
              <w:autoSpaceDE w:val="0"/>
              <w:autoSpaceDN w:val="0"/>
              <w:spacing w:before="19"/>
              <w:jc w:val="left"/>
              <w:rPr>
                <w:rFonts w:ascii="Trebuchet MS" w:eastAsia="Trebuchet MS" w:hAnsi="Trebuchet MS" w:cs="Trebuchet MS"/>
                <w:sz w:val="18"/>
                <w:szCs w:val="22"/>
                <w:lang w:val="fr-FR" w:eastAsia="en-GB" w:bidi="en-GB"/>
              </w:rPr>
            </w:pPr>
            <w:r w:rsidRPr="00953DCC">
              <w:rPr>
                <w:rFonts w:ascii="Trebuchet MS" w:eastAsia="Trebuchet MS" w:hAnsi="Trebuchet MS" w:cs="Trebuchet MS"/>
                <w:sz w:val="18"/>
                <w:szCs w:val="22"/>
                <w:lang w:val="fr-FR" w:eastAsia="en-GB" w:bidi="en-GB"/>
              </w:rPr>
              <w:t>ALLEMAGNE</w:t>
            </w:r>
          </w:p>
        </w:tc>
        <w:tc>
          <w:tcPr>
            <w:tcW w:w="992" w:type="dxa"/>
          </w:tcPr>
          <w:p w14:paraId="3C9EF315" w14:textId="5EE34EBE" w:rsidR="00D9517D" w:rsidRPr="00953DCC" w:rsidRDefault="00D9517D" w:rsidP="00D9517D">
            <w:pPr>
              <w:widowControl w:val="0"/>
              <w:autoSpaceDE w:val="0"/>
              <w:autoSpaceDN w:val="0"/>
              <w:spacing w:before="19"/>
              <w:jc w:val="left"/>
              <w:rPr>
                <w:rFonts w:ascii="Trebuchet MS" w:eastAsia="Trebuchet MS" w:hAnsi="Trebuchet MS" w:cs="Trebuchet MS"/>
                <w:sz w:val="18"/>
                <w:szCs w:val="22"/>
                <w:lang w:val="fr-FR" w:eastAsia="en-GB" w:bidi="en-GB"/>
              </w:rPr>
            </w:pPr>
            <w:r w:rsidRPr="00953DCC">
              <w:rPr>
                <w:rFonts w:ascii="Trebuchet MS" w:eastAsia="Trebuchet MS" w:hAnsi="Trebuchet MS" w:cs="Trebuchet MS"/>
                <w:sz w:val="18"/>
                <w:szCs w:val="22"/>
                <w:lang w:val="fr-FR" w:eastAsia="en-GB" w:bidi="en-GB"/>
              </w:rPr>
              <w:t>(1)</w:t>
            </w:r>
          </w:p>
        </w:tc>
        <w:tc>
          <w:tcPr>
            <w:tcW w:w="2552" w:type="dxa"/>
            <w:shd w:val="clear" w:color="auto" w:fill="DBE5F1" w:themeFill="accent1" w:themeFillTint="33"/>
          </w:tcPr>
          <w:p w14:paraId="38E04FAF" w14:textId="266AF08D" w:rsidR="00D9517D" w:rsidRPr="00953DCC" w:rsidRDefault="00D9517D" w:rsidP="00D9517D">
            <w:pPr>
              <w:jc w:val="left"/>
              <w:rPr>
                <w:rFonts w:ascii="Trebuchet MS" w:eastAsia="Trebuchet MS" w:hAnsi="Trebuchet MS" w:cs="Trebuchet MS"/>
                <w:sz w:val="18"/>
                <w:szCs w:val="22"/>
                <w:lang w:val="fr-FR" w:eastAsia="en-GB" w:bidi="en-GB"/>
              </w:rPr>
            </w:pPr>
            <w:r w:rsidRPr="00953DCC">
              <w:rPr>
                <w:rFonts w:ascii="Trebuchet MS" w:eastAsia="Trebuchet MS" w:hAnsi="Trebuchet MS" w:cs="Trebuchet MS"/>
                <w:sz w:val="18"/>
                <w:szCs w:val="22"/>
                <w:lang w:val="fr-FR" w:eastAsia="en-GB" w:bidi="en-GB"/>
              </w:rPr>
              <w:t>LETTONIE</w:t>
            </w:r>
          </w:p>
        </w:tc>
        <w:tc>
          <w:tcPr>
            <w:tcW w:w="992" w:type="dxa"/>
            <w:gridSpan w:val="2"/>
          </w:tcPr>
          <w:p w14:paraId="105DCB5D" w14:textId="6F9B2584" w:rsidR="00D9517D" w:rsidRPr="00953DCC" w:rsidRDefault="00D9517D" w:rsidP="00D9517D">
            <w:pPr>
              <w:jc w:val="left"/>
              <w:rPr>
                <w:rFonts w:ascii="Trebuchet MS" w:eastAsia="Trebuchet MS" w:hAnsi="Trebuchet MS" w:cs="Trebuchet MS"/>
                <w:sz w:val="18"/>
                <w:szCs w:val="22"/>
                <w:lang w:val="fr-FR" w:eastAsia="en-GB" w:bidi="en-GB"/>
              </w:rPr>
            </w:pPr>
            <w:r w:rsidRPr="00953DCC">
              <w:rPr>
                <w:rFonts w:ascii="Trebuchet MS" w:eastAsia="Trebuchet MS" w:hAnsi="Trebuchet MS" w:cs="Trebuchet MS"/>
                <w:sz w:val="18"/>
                <w:szCs w:val="22"/>
                <w:lang w:val="fr-FR" w:eastAsia="en-GB" w:bidi="en-GB"/>
              </w:rPr>
              <w:t>(2)</w:t>
            </w:r>
          </w:p>
        </w:tc>
      </w:tr>
      <w:tr w:rsidR="00D9517D" w:rsidRPr="00953DCC" w14:paraId="1DAF141D" w14:textId="08225E7A" w:rsidTr="002B0AA3">
        <w:trPr>
          <w:trHeight w:val="265"/>
        </w:trPr>
        <w:tc>
          <w:tcPr>
            <w:tcW w:w="2835" w:type="dxa"/>
            <w:shd w:val="clear" w:color="auto" w:fill="DBE5F1"/>
          </w:tcPr>
          <w:p w14:paraId="3C0C0092" w14:textId="208D1F63" w:rsidR="00D9517D" w:rsidRPr="00953DCC" w:rsidRDefault="00D9517D" w:rsidP="00D9517D">
            <w:pPr>
              <w:widowControl w:val="0"/>
              <w:autoSpaceDE w:val="0"/>
              <w:autoSpaceDN w:val="0"/>
              <w:spacing w:before="19"/>
              <w:jc w:val="left"/>
              <w:rPr>
                <w:rFonts w:ascii="Trebuchet MS" w:eastAsia="Trebuchet MS" w:hAnsi="Trebuchet MS" w:cs="Trebuchet MS"/>
                <w:sz w:val="18"/>
                <w:szCs w:val="22"/>
                <w:lang w:val="fr-FR" w:eastAsia="en-GB" w:bidi="en-GB"/>
              </w:rPr>
            </w:pPr>
            <w:r w:rsidRPr="00953DCC">
              <w:rPr>
                <w:rFonts w:ascii="Trebuchet MS" w:eastAsia="Trebuchet MS" w:hAnsi="Trebuchet MS" w:cs="Trebuchet MS"/>
                <w:sz w:val="18"/>
                <w:szCs w:val="22"/>
                <w:lang w:val="fr-FR" w:eastAsia="en-GB" w:bidi="en-GB"/>
              </w:rPr>
              <w:t>ARGENTINE</w:t>
            </w:r>
          </w:p>
        </w:tc>
        <w:tc>
          <w:tcPr>
            <w:tcW w:w="992" w:type="dxa"/>
          </w:tcPr>
          <w:p w14:paraId="337EAC91" w14:textId="6D77B671" w:rsidR="00D9517D" w:rsidRPr="00953DCC" w:rsidRDefault="00D9517D" w:rsidP="00D9517D">
            <w:pPr>
              <w:widowControl w:val="0"/>
              <w:autoSpaceDE w:val="0"/>
              <w:autoSpaceDN w:val="0"/>
              <w:spacing w:before="19"/>
              <w:jc w:val="left"/>
              <w:rPr>
                <w:rFonts w:ascii="Trebuchet MS" w:eastAsia="Trebuchet MS" w:hAnsi="Trebuchet MS" w:cs="Trebuchet MS"/>
                <w:sz w:val="18"/>
                <w:szCs w:val="22"/>
                <w:lang w:val="fr-FR" w:eastAsia="en-GB" w:bidi="en-GB"/>
              </w:rPr>
            </w:pPr>
            <w:r w:rsidRPr="00953DCC">
              <w:rPr>
                <w:rFonts w:ascii="Trebuchet MS" w:eastAsia="Trebuchet MS" w:hAnsi="Trebuchet MS" w:cs="Trebuchet MS"/>
                <w:sz w:val="18"/>
                <w:szCs w:val="22"/>
                <w:lang w:val="fr-FR" w:eastAsia="en-GB" w:bidi="en-GB"/>
              </w:rPr>
              <w:t>(2)</w:t>
            </w:r>
          </w:p>
        </w:tc>
        <w:tc>
          <w:tcPr>
            <w:tcW w:w="2552" w:type="dxa"/>
            <w:shd w:val="clear" w:color="auto" w:fill="DBE5F1" w:themeFill="accent1" w:themeFillTint="33"/>
          </w:tcPr>
          <w:p w14:paraId="298F1D01" w14:textId="2DFB200E" w:rsidR="00D9517D" w:rsidRPr="00953DCC" w:rsidRDefault="00D9517D" w:rsidP="00D9517D">
            <w:pPr>
              <w:jc w:val="left"/>
              <w:rPr>
                <w:lang w:val="fr-FR"/>
              </w:rPr>
            </w:pPr>
            <w:r w:rsidRPr="00953DCC">
              <w:rPr>
                <w:rFonts w:ascii="Trebuchet MS" w:eastAsia="Trebuchet MS" w:hAnsi="Trebuchet MS" w:cs="Trebuchet MS"/>
                <w:sz w:val="18"/>
                <w:szCs w:val="22"/>
                <w:lang w:val="fr-FR" w:eastAsia="en-GB" w:bidi="en-GB"/>
              </w:rPr>
              <w:t>LITUANIE</w:t>
            </w:r>
          </w:p>
        </w:tc>
        <w:tc>
          <w:tcPr>
            <w:tcW w:w="992" w:type="dxa"/>
            <w:gridSpan w:val="2"/>
          </w:tcPr>
          <w:p w14:paraId="7258690E" w14:textId="16099088" w:rsidR="00D9517D" w:rsidRPr="00953DCC" w:rsidRDefault="00D9517D" w:rsidP="00D9517D">
            <w:pPr>
              <w:jc w:val="left"/>
              <w:rPr>
                <w:lang w:val="fr-FR"/>
              </w:rPr>
            </w:pPr>
            <w:r w:rsidRPr="00953DCC">
              <w:rPr>
                <w:rFonts w:ascii="Trebuchet MS" w:eastAsia="Trebuchet MS" w:hAnsi="Trebuchet MS" w:cs="Trebuchet MS"/>
                <w:sz w:val="18"/>
                <w:szCs w:val="22"/>
                <w:lang w:val="fr-FR" w:eastAsia="en-GB" w:bidi="en-GB"/>
              </w:rPr>
              <w:t>(2)</w:t>
            </w:r>
          </w:p>
        </w:tc>
      </w:tr>
      <w:tr w:rsidR="00D9517D" w:rsidRPr="00953DCC" w14:paraId="1A9AB7EA" w14:textId="3C150280" w:rsidTr="002B0AA3">
        <w:trPr>
          <w:trHeight w:val="248"/>
        </w:trPr>
        <w:tc>
          <w:tcPr>
            <w:tcW w:w="2835" w:type="dxa"/>
            <w:shd w:val="clear" w:color="auto" w:fill="DBE5F1"/>
          </w:tcPr>
          <w:p w14:paraId="60A3636A" w14:textId="00263DE8" w:rsidR="00D9517D" w:rsidRPr="00953DCC" w:rsidRDefault="00D9517D" w:rsidP="00D9517D">
            <w:pPr>
              <w:widowControl w:val="0"/>
              <w:autoSpaceDE w:val="0"/>
              <w:autoSpaceDN w:val="0"/>
              <w:spacing w:before="19"/>
              <w:jc w:val="left"/>
              <w:rPr>
                <w:rFonts w:ascii="Trebuchet MS" w:eastAsia="Trebuchet MS" w:hAnsi="Trebuchet MS" w:cs="Trebuchet MS"/>
                <w:sz w:val="18"/>
                <w:szCs w:val="22"/>
                <w:lang w:val="fr-FR" w:eastAsia="en-GB" w:bidi="en-GB"/>
              </w:rPr>
            </w:pPr>
            <w:r w:rsidRPr="00953DCC">
              <w:rPr>
                <w:rFonts w:ascii="Trebuchet MS" w:eastAsia="Trebuchet MS" w:hAnsi="Trebuchet MS" w:cs="Trebuchet MS"/>
                <w:sz w:val="18"/>
                <w:szCs w:val="22"/>
                <w:lang w:val="fr-FR" w:eastAsia="en-GB" w:bidi="en-GB"/>
              </w:rPr>
              <w:t>AUSTRALIE</w:t>
            </w:r>
          </w:p>
        </w:tc>
        <w:tc>
          <w:tcPr>
            <w:tcW w:w="992" w:type="dxa"/>
          </w:tcPr>
          <w:p w14:paraId="7729D343" w14:textId="6112FBD1" w:rsidR="00D9517D" w:rsidRPr="00953DCC" w:rsidRDefault="00D9517D" w:rsidP="00D9517D">
            <w:pPr>
              <w:widowControl w:val="0"/>
              <w:autoSpaceDE w:val="0"/>
              <w:autoSpaceDN w:val="0"/>
              <w:spacing w:before="19"/>
              <w:jc w:val="left"/>
              <w:rPr>
                <w:rFonts w:ascii="Trebuchet MS" w:eastAsia="Trebuchet MS" w:hAnsi="Trebuchet MS" w:cs="Trebuchet MS"/>
                <w:sz w:val="18"/>
                <w:szCs w:val="22"/>
                <w:lang w:val="fr-FR" w:eastAsia="en-GB" w:bidi="en-GB"/>
              </w:rPr>
            </w:pPr>
            <w:r w:rsidRPr="00953DCC">
              <w:rPr>
                <w:rFonts w:ascii="Trebuchet MS" w:eastAsia="Trebuchet MS" w:hAnsi="Trebuchet MS" w:cs="Trebuchet MS"/>
                <w:sz w:val="18"/>
                <w:szCs w:val="22"/>
                <w:lang w:val="fr-FR" w:eastAsia="en-GB" w:bidi="en-GB"/>
              </w:rPr>
              <w:t>(1)</w:t>
            </w:r>
          </w:p>
        </w:tc>
        <w:tc>
          <w:tcPr>
            <w:tcW w:w="2552" w:type="dxa"/>
            <w:shd w:val="clear" w:color="auto" w:fill="DBE5F1" w:themeFill="accent1" w:themeFillTint="33"/>
          </w:tcPr>
          <w:p w14:paraId="0D0DBEBF" w14:textId="07FA63E9" w:rsidR="00D9517D" w:rsidRPr="00953DCC" w:rsidRDefault="00D9517D" w:rsidP="00D9517D">
            <w:pPr>
              <w:jc w:val="left"/>
              <w:rPr>
                <w:lang w:val="fr-FR"/>
              </w:rPr>
            </w:pPr>
            <w:r w:rsidRPr="00953DCC">
              <w:rPr>
                <w:rFonts w:ascii="Trebuchet MS" w:eastAsia="Trebuchet MS" w:hAnsi="Trebuchet MS" w:cs="Trebuchet MS"/>
                <w:sz w:val="18"/>
                <w:szCs w:val="22"/>
                <w:lang w:val="fr-FR" w:eastAsia="en-GB" w:bidi="en-GB"/>
              </w:rPr>
              <w:t>LUXEMBOURG</w:t>
            </w:r>
          </w:p>
        </w:tc>
        <w:tc>
          <w:tcPr>
            <w:tcW w:w="992" w:type="dxa"/>
            <w:gridSpan w:val="2"/>
          </w:tcPr>
          <w:p w14:paraId="635B5B7C" w14:textId="2BD7A575" w:rsidR="00D9517D" w:rsidRPr="00953DCC" w:rsidRDefault="00D9517D" w:rsidP="00D9517D">
            <w:pPr>
              <w:jc w:val="left"/>
              <w:rPr>
                <w:lang w:val="fr-FR"/>
              </w:rPr>
            </w:pPr>
            <w:r w:rsidRPr="00953DCC">
              <w:rPr>
                <w:rFonts w:ascii="Trebuchet MS" w:eastAsia="Trebuchet MS" w:hAnsi="Trebuchet MS" w:cs="Trebuchet MS"/>
                <w:sz w:val="18"/>
                <w:szCs w:val="22"/>
                <w:lang w:val="fr-FR" w:eastAsia="en-GB" w:bidi="en-GB"/>
              </w:rPr>
              <w:t>(1)</w:t>
            </w:r>
          </w:p>
        </w:tc>
      </w:tr>
      <w:tr w:rsidR="00D9517D" w:rsidRPr="00953DCC" w14:paraId="27CEEC8D" w14:textId="31F89704" w:rsidTr="002B0AA3">
        <w:trPr>
          <w:trHeight w:val="249"/>
        </w:trPr>
        <w:tc>
          <w:tcPr>
            <w:tcW w:w="2835" w:type="dxa"/>
            <w:shd w:val="clear" w:color="auto" w:fill="DBE5F1"/>
          </w:tcPr>
          <w:p w14:paraId="3C8E482D" w14:textId="08ED8175" w:rsidR="00D9517D" w:rsidRPr="00953DCC" w:rsidRDefault="00D9517D" w:rsidP="00D9517D">
            <w:pPr>
              <w:widowControl w:val="0"/>
              <w:autoSpaceDE w:val="0"/>
              <w:autoSpaceDN w:val="0"/>
              <w:spacing w:before="20"/>
              <w:jc w:val="left"/>
              <w:rPr>
                <w:rFonts w:ascii="Trebuchet MS" w:eastAsia="Trebuchet MS" w:hAnsi="Trebuchet MS" w:cs="Trebuchet MS"/>
                <w:sz w:val="18"/>
                <w:szCs w:val="22"/>
                <w:lang w:val="fr-FR" w:eastAsia="en-GB" w:bidi="en-GB"/>
              </w:rPr>
            </w:pPr>
            <w:r w:rsidRPr="00953DCC">
              <w:rPr>
                <w:rFonts w:ascii="Trebuchet MS" w:eastAsia="Trebuchet MS" w:hAnsi="Trebuchet MS" w:cs="Trebuchet MS"/>
                <w:sz w:val="18"/>
                <w:szCs w:val="22"/>
                <w:lang w:val="fr-FR" w:eastAsia="en-GB" w:bidi="en-GB"/>
              </w:rPr>
              <w:t>AUTRICHE</w:t>
            </w:r>
          </w:p>
        </w:tc>
        <w:tc>
          <w:tcPr>
            <w:tcW w:w="992" w:type="dxa"/>
          </w:tcPr>
          <w:p w14:paraId="3973BAB8" w14:textId="0A8A93AA" w:rsidR="00D9517D" w:rsidRPr="00953DCC" w:rsidRDefault="00D9517D" w:rsidP="00D9517D">
            <w:pPr>
              <w:widowControl w:val="0"/>
              <w:autoSpaceDE w:val="0"/>
              <w:autoSpaceDN w:val="0"/>
              <w:spacing w:before="20"/>
              <w:jc w:val="left"/>
              <w:rPr>
                <w:rFonts w:ascii="Trebuchet MS" w:eastAsia="Trebuchet MS" w:hAnsi="Trebuchet MS" w:cs="Trebuchet MS"/>
                <w:sz w:val="18"/>
                <w:szCs w:val="22"/>
                <w:lang w:val="fr-FR" w:eastAsia="en-GB" w:bidi="en-GB"/>
              </w:rPr>
            </w:pPr>
            <w:r w:rsidRPr="00953DCC">
              <w:rPr>
                <w:rFonts w:ascii="Trebuchet MS" w:eastAsia="Trebuchet MS" w:hAnsi="Trebuchet MS" w:cs="Trebuchet MS"/>
                <w:sz w:val="18"/>
                <w:szCs w:val="22"/>
                <w:lang w:val="fr-FR" w:eastAsia="en-GB" w:bidi="en-GB"/>
              </w:rPr>
              <w:t>(1)</w:t>
            </w:r>
          </w:p>
        </w:tc>
        <w:tc>
          <w:tcPr>
            <w:tcW w:w="2552" w:type="dxa"/>
            <w:shd w:val="clear" w:color="auto" w:fill="DBE5F1" w:themeFill="accent1" w:themeFillTint="33"/>
          </w:tcPr>
          <w:p w14:paraId="28C6381D" w14:textId="0AF33BBE" w:rsidR="00D9517D" w:rsidRPr="00953DCC" w:rsidRDefault="00D9517D" w:rsidP="00D9517D">
            <w:pPr>
              <w:jc w:val="left"/>
              <w:rPr>
                <w:lang w:val="fr-FR"/>
              </w:rPr>
            </w:pPr>
            <w:r w:rsidRPr="00953DCC">
              <w:rPr>
                <w:rFonts w:ascii="Trebuchet MS" w:eastAsia="Trebuchet MS" w:hAnsi="Trebuchet MS" w:cs="Trebuchet MS"/>
                <w:sz w:val="18"/>
                <w:szCs w:val="22"/>
                <w:lang w:val="fr-FR" w:eastAsia="en-GB" w:bidi="en-GB"/>
              </w:rPr>
              <w:t>MAROC</w:t>
            </w:r>
          </w:p>
        </w:tc>
        <w:tc>
          <w:tcPr>
            <w:tcW w:w="992" w:type="dxa"/>
            <w:gridSpan w:val="2"/>
          </w:tcPr>
          <w:p w14:paraId="57638B33" w14:textId="3047B161" w:rsidR="00D9517D" w:rsidRPr="00953DCC" w:rsidRDefault="00D9517D" w:rsidP="00D9517D">
            <w:pPr>
              <w:jc w:val="left"/>
              <w:rPr>
                <w:lang w:val="fr-FR"/>
              </w:rPr>
            </w:pPr>
            <w:r w:rsidRPr="00953DCC">
              <w:rPr>
                <w:rFonts w:ascii="Trebuchet MS" w:eastAsia="Trebuchet MS" w:hAnsi="Trebuchet MS" w:cs="Trebuchet MS"/>
                <w:sz w:val="18"/>
                <w:szCs w:val="22"/>
                <w:lang w:val="fr-FR" w:eastAsia="en-GB" w:bidi="en-GB"/>
              </w:rPr>
              <w:t>(2)</w:t>
            </w:r>
          </w:p>
        </w:tc>
      </w:tr>
      <w:tr w:rsidR="00D9517D" w:rsidRPr="00953DCC" w14:paraId="544A1BF3" w14:textId="00A161B6" w:rsidTr="002B0AA3">
        <w:trPr>
          <w:trHeight w:val="249"/>
        </w:trPr>
        <w:tc>
          <w:tcPr>
            <w:tcW w:w="2835" w:type="dxa"/>
            <w:shd w:val="clear" w:color="auto" w:fill="DBE5F1"/>
          </w:tcPr>
          <w:p w14:paraId="4855B08B" w14:textId="62CBCC6D" w:rsidR="00D9517D" w:rsidRPr="00953DCC" w:rsidRDefault="00D9517D" w:rsidP="00D9517D">
            <w:pPr>
              <w:widowControl w:val="0"/>
              <w:autoSpaceDE w:val="0"/>
              <w:autoSpaceDN w:val="0"/>
              <w:spacing w:before="20"/>
              <w:jc w:val="left"/>
              <w:rPr>
                <w:rFonts w:ascii="Trebuchet MS" w:eastAsia="Trebuchet MS" w:hAnsi="Trebuchet MS" w:cs="Trebuchet MS"/>
                <w:sz w:val="18"/>
                <w:szCs w:val="22"/>
                <w:lang w:val="fr-FR" w:eastAsia="en-GB" w:bidi="en-GB"/>
              </w:rPr>
            </w:pPr>
            <w:r w:rsidRPr="00953DCC">
              <w:rPr>
                <w:rFonts w:ascii="Trebuchet MS" w:eastAsia="Trebuchet MS" w:hAnsi="Trebuchet MS" w:cs="Trebuchet MS"/>
                <w:sz w:val="18"/>
                <w:szCs w:val="22"/>
                <w:lang w:val="fr-FR" w:eastAsia="en-GB" w:bidi="en-GB"/>
              </w:rPr>
              <w:t>BELGIQUE</w:t>
            </w:r>
          </w:p>
        </w:tc>
        <w:tc>
          <w:tcPr>
            <w:tcW w:w="992" w:type="dxa"/>
          </w:tcPr>
          <w:p w14:paraId="1A629DBD" w14:textId="0975951B" w:rsidR="00D9517D" w:rsidRPr="00953DCC" w:rsidRDefault="00D9517D" w:rsidP="00D9517D">
            <w:pPr>
              <w:widowControl w:val="0"/>
              <w:autoSpaceDE w:val="0"/>
              <w:autoSpaceDN w:val="0"/>
              <w:spacing w:before="20"/>
              <w:jc w:val="left"/>
              <w:rPr>
                <w:rFonts w:ascii="Trebuchet MS" w:eastAsia="Trebuchet MS" w:hAnsi="Trebuchet MS" w:cs="Trebuchet MS"/>
                <w:sz w:val="18"/>
                <w:szCs w:val="22"/>
                <w:lang w:val="fr-FR" w:eastAsia="en-GB" w:bidi="en-GB"/>
              </w:rPr>
            </w:pPr>
            <w:r w:rsidRPr="00953DCC">
              <w:rPr>
                <w:rFonts w:ascii="Trebuchet MS" w:eastAsia="Trebuchet MS" w:hAnsi="Trebuchet MS" w:cs="Trebuchet MS"/>
                <w:sz w:val="18"/>
                <w:szCs w:val="22"/>
                <w:lang w:val="fr-FR" w:eastAsia="en-GB" w:bidi="en-GB"/>
              </w:rPr>
              <w:t>(1)</w:t>
            </w:r>
          </w:p>
        </w:tc>
        <w:tc>
          <w:tcPr>
            <w:tcW w:w="2552" w:type="dxa"/>
            <w:shd w:val="clear" w:color="auto" w:fill="DBE5F1" w:themeFill="accent1" w:themeFillTint="33"/>
          </w:tcPr>
          <w:p w14:paraId="4A2E2822" w14:textId="496CA969" w:rsidR="00D9517D" w:rsidRPr="00953DCC" w:rsidRDefault="00D9517D" w:rsidP="00D9517D">
            <w:pPr>
              <w:jc w:val="left"/>
              <w:rPr>
                <w:lang w:val="fr-FR"/>
              </w:rPr>
            </w:pPr>
            <w:r w:rsidRPr="00953DCC">
              <w:rPr>
                <w:rFonts w:ascii="Trebuchet MS" w:eastAsia="Trebuchet MS" w:hAnsi="Trebuchet MS" w:cs="Trebuchet MS"/>
                <w:sz w:val="18"/>
                <w:szCs w:val="22"/>
                <w:lang w:val="fr-FR" w:eastAsia="en-GB" w:bidi="en-GB"/>
              </w:rPr>
              <w:t>MEXIQUE</w:t>
            </w:r>
          </w:p>
        </w:tc>
        <w:tc>
          <w:tcPr>
            <w:tcW w:w="992" w:type="dxa"/>
            <w:gridSpan w:val="2"/>
          </w:tcPr>
          <w:p w14:paraId="67C66FD9" w14:textId="68ABEC72" w:rsidR="00D9517D" w:rsidRPr="00953DCC" w:rsidRDefault="00D9517D" w:rsidP="00D9517D">
            <w:pPr>
              <w:jc w:val="left"/>
              <w:rPr>
                <w:lang w:val="fr-FR"/>
              </w:rPr>
            </w:pPr>
            <w:r w:rsidRPr="00953DCC">
              <w:rPr>
                <w:rFonts w:ascii="Trebuchet MS" w:eastAsia="Trebuchet MS" w:hAnsi="Trebuchet MS" w:cs="Trebuchet MS"/>
                <w:sz w:val="18"/>
                <w:szCs w:val="22"/>
                <w:lang w:val="fr-FR" w:eastAsia="en-GB" w:bidi="en-GB"/>
              </w:rPr>
              <w:t>(1)</w:t>
            </w:r>
          </w:p>
        </w:tc>
      </w:tr>
      <w:tr w:rsidR="00D9517D" w:rsidRPr="00953DCC" w14:paraId="294571F5" w14:textId="0FD8F3DA" w:rsidTr="002B0AA3">
        <w:trPr>
          <w:trHeight w:val="248"/>
        </w:trPr>
        <w:tc>
          <w:tcPr>
            <w:tcW w:w="2835" w:type="dxa"/>
            <w:shd w:val="clear" w:color="auto" w:fill="DBE5F1"/>
          </w:tcPr>
          <w:p w14:paraId="3A1F0D46" w14:textId="54A918E1" w:rsidR="00D9517D" w:rsidRPr="00953DCC" w:rsidRDefault="00D9517D" w:rsidP="00D9517D">
            <w:pPr>
              <w:widowControl w:val="0"/>
              <w:autoSpaceDE w:val="0"/>
              <w:autoSpaceDN w:val="0"/>
              <w:spacing w:before="20" w:line="208" w:lineRule="exact"/>
              <w:jc w:val="left"/>
              <w:rPr>
                <w:rFonts w:ascii="Trebuchet MS" w:eastAsia="Trebuchet MS" w:hAnsi="Trebuchet MS" w:cs="Trebuchet MS"/>
                <w:sz w:val="18"/>
                <w:szCs w:val="22"/>
                <w:lang w:val="fr-FR" w:eastAsia="en-GB" w:bidi="en-GB"/>
              </w:rPr>
            </w:pPr>
            <w:r w:rsidRPr="00953DCC">
              <w:rPr>
                <w:rFonts w:ascii="Trebuchet MS" w:eastAsia="Trebuchet MS" w:hAnsi="Trebuchet MS" w:cs="Trebuchet MS"/>
                <w:sz w:val="18"/>
                <w:szCs w:val="22"/>
                <w:lang w:val="fr-FR" w:eastAsia="en-GB" w:bidi="en-GB"/>
              </w:rPr>
              <w:t>BOLIVIE (ÉTAT PLURINATIONAL DE)</w:t>
            </w:r>
          </w:p>
        </w:tc>
        <w:tc>
          <w:tcPr>
            <w:tcW w:w="992" w:type="dxa"/>
          </w:tcPr>
          <w:p w14:paraId="544D01A8" w14:textId="1D8AF35E" w:rsidR="00D9517D" w:rsidRPr="00953DCC" w:rsidRDefault="00D9517D" w:rsidP="00D9517D">
            <w:pPr>
              <w:widowControl w:val="0"/>
              <w:autoSpaceDE w:val="0"/>
              <w:autoSpaceDN w:val="0"/>
              <w:spacing w:before="20" w:line="208" w:lineRule="exact"/>
              <w:jc w:val="left"/>
              <w:rPr>
                <w:rFonts w:ascii="Trebuchet MS" w:eastAsia="Trebuchet MS" w:hAnsi="Trebuchet MS" w:cs="Trebuchet MS"/>
                <w:sz w:val="18"/>
                <w:szCs w:val="22"/>
                <w:lang w:val="fr-FR" w:eastAsia="en-GB" w:bidi="en-GB"/>
              </w:rPr>
            </w:pPr>
            <w:r w:rsidRPr="00953DCC">
              <w:rPr>
                <w:rFonts w:ascii="Trebuchet MS" w:eastAsia="Trebuchet MS" w:hAnsi="Trebuchet MS" w:cs="Trebuchet MS"/>
                <w:sz w:val="18"/>
                <w:szCs w:val="22"/>
                <w:lang w:val="fr-FR" w:eastAsia="en-GB" w:bidi="en-GB"/>
              </w:rPr>
              <w:t>(2)</w:t>
            </w:r>
          </w:p>
        </w:tc>
        <w:tc>
          <w:tcPr>
            <w:tcW w:w="2552" w:type="dxa"/>
            <w:shd w:val="clear" w:color="auto" w:fill="DBE5F1" w:themeFill="accent1" w:themeFillTint="33"/>
          </w:tcPr>
          <w:p w14:paraId="110F9DCF" w14:textId="269AC04F" w:rsidR="00D9517D" w:rsidRPr="00953DCC" w:rsidRDefault="00D9517D" w:rsidP="00D9517D">
            <w:pPr>
              <w:jc w:val="left"/>
              <w:rPr>
                <w:lang w:val="fr-FR"/>
              </w:rPr>
            </w:pPr>
            <w:r w:rsidRPr="00953DCC">
              <w:rPr>
                <w:rFonts w:ascii="Trebuchet MS" w:eastAsia="Trebuchet MS" w:hAnsi="Trebuchet MS" w:cs="Trebuchet MS"/>
                <w:sz w:val="18"/>
                <w:szCs w:val="22"/>
                <w:lang w:val="fr-FR" w:eastAsia="en-GB" w:bidi="en-GB"/>
              </w:rPr>
              <w:t>MOLDOVA</w:t>
            </w:r>
          </w:p>
        </w:tc>
        <w:tc>
          <w:tcPr>
            <w:tcW w:w="992" w:type="dxa"/>
            <w:gridSpan w:val="2"/>
          </w:tcPr>
          <w:p w14:paraId="1F25B6BD" w14:textId="19D069F2" w:rsidR="00D9517D" w:rsidRPr="00953DCC" w:rsidRDefault="00D9517D" w:rsidP="00D9517D">
            <w:pPr>
              <w:jc w:val="left"/>
              <w:rPr>
                <w:lang w:val="fr-FR"/>
              </w:rPr>
            </w:pPr>
            <w:r w:rsidRPr="00953DCC">
              <w:rPr>
                <w:rFonts w:ascii="Trebuchet MS" w:eastAsia="Trebuchet MS" w:hAnsi="Trebuchet MS" w:cs="Trebuchet MS"/>
                <w:sz w:val="18"/>
                <w:szCs w:val="22"/>
                <w:lang w:val="fr-FR" w:eastAsia="en-GB" w:bidi="en-GB"/>
              </w:rPr>
              <w:t>(2)</w:t>
            </w:r>
          </w:p>
        </w:tc>
      </w:tr>
      <w:tr w:rsidR="00D9517D" w:rsidRPr="00953DCC" w14:paraId="0B664D14" w14:textId="4D4A6E60" w:rsidTr="002B0AA3">
        <w:trPr>
          <w:trHeight w:val="248"/>
        </w:trPr>
        <w:tc>
          <w:tcPr>
            <w:tcW w:w="2835" w:type="dxa"/>
            <w:shd w:val="clear" w:color="auto" w:fill="DBE5F1"/>
          </w:tcPr>
          <w:p w14:paraId="68319B5E" w14:textId="06E16600" w:rsidR="00D9517D" w:rsidRPr="00953DCC" w:rsidRDefault="00D9517D" w:rsidP="00D9517D">
            <w:pPr>
              <w:widowControl w:val="0"/>
              <w:autoSpaceDE w:val="0"/>
              <w:autoSpaceDN w:val="0"/>
              <w:spacing w:before="19"/>
              <w:jc w:val="left"/>
              <w:rPr>
                <w:rFonts w:ascii="Trebuchet MS" w:eastAsia="Trebuchet MS" w:hAnsi="Trebuchet MS" w:cs="Trebuchet MS"/>
                <w:sz w:val="18"/>
                <w:szCs w:val="22"/>
                <w:lang w:val="fr-FR" w:eastAsia="en-GB" w:bidi="en-GB"/>
              </w:rPr>
            </w:pPr>
            <w:r w:rsidRPr="00953DCC">
              <w:rPr>
                <w:rFonts w:ascii="Trebuchet MS" w:eastAsia="Trebuchet MS" w:hAnsi="Trebuchet MS" w:cs="Trebuchet MS"/>
                <w:sz w:val="18"/>
                <w:szCs w:val="22"/>
                <w:lang w:val="fr-FR" w:eastAsia="en-GB" w:bidi="en-GB"/>
              </w:rPr>
              <w:t>BRÉSIL</w:t>
            </w:r>
          </w:p>
        </w:tc>
        <w:tc>
          <w:tcPr>
            <w:tcW w:w="992" w:type="dxa"/>
          </w:tcPr>
          <w:p w14:paraId="52225D68" w14:textId="3C55A2D1" w:rsidR="00D9517D" w:rsidRPr="00953DCC" w:rsidRDefault="00D9517D" w:rsidP="00D9517D">
            <w:pPr>
              <w:widowControl w:val="0"/>
              <w:autoSpaceDE w:val="0"/>
              <w:autoSpaceDN w:val="0"/>
              <w:spacing w:before="19"/>
              <w:jc w:val="left"/>
              <w:rPr>
                <w:rFonts w:ascii="Trebuchet MS" w:eastAsia="Trebuchet MS" w:hAnsi="Trebuchet MS" w:cs="Trebuchet MS"/>
                <w:sz w:val="18"/>
                <w:szCs w:val="22"/>
                <w:lang w:val="fr-FR" w:eastAsia="en-GB" w:bidi="en-GB"/>
              </w:rPr>
            </w:pPr>
            <w:r w:rsidRPr="00953DCC">
              <w:rPr>
                <w:rFonts w:ascii="Trebuchet MS" w:eastAsia="Trebuchet MS" w:hAnsi="Trebuchet MS" w:cs="Trebuchet MS"/>
                <w:sz w:val="18"/>
                <w:szCs w:val="22"/>
                <w:lang w:val="fr-FR" w:eastAsia="en-GB" w:bidi="en-GB"/>
              </w:rPr>
              <w:t>(2)</w:t>
            </w:r>
          </w:p>
        </w:tc>
        <w:tc>
          <w:tcPr>
            <w:tcW w:w="2552" w:type="dxa"/>
            <w:shd w:val="clear" w:color="auto" w:fill="DBE5F1" w:themeFill="accent1" w:themeFillTint="33"/>
          </w:tcPr>
          <w:p w14:paraId="3B793410" w14:textId="6B7D3B2F" w:rsidR="00D9517D" w:rsidRPr="00953DCC" w:rsidRDefault="00D9517D" w:rsidP="00D9517D">
            <w:pPr>
              <w:jc w:val="left"/>
              <w:rPr>
                <w:lang w:val="fr-FR"/>
              </w:rPr>
            </w:pPr>
            <w:r w:rsidRPr="00953DCC">
              <w:rPr>
                <w:rFonts w:ascii="Trebuchet MS" w:eastAsia="Trebuchet MS" w:hAnsi="Trebuchet MS" w:cs="Trebuchet MS"/>
                <w:sz w:val="18"/>
                <w:szCs w:val="22"/>
                <w:lang w:val="fr-FR" w:eastAsia="en-GB" w:bidi="en-GB"/>
              </w:rPr>
              <w:t>NORVÈGE</w:t>
            </w:r>
          </w:p>
        </w:tc>
        <w:tc>
          <w:tcPr>
            <w:tcW w:w="992" w:type="dxa"/>
            <w:gridSpan w:val="2"/>
          </w:tcPr>
          <w:p w14:paraId="33CF25D3" w14:textId="3E5464D9" w:rsidR="00D9517D" w:rsidRPr="00953DCC" w:rsidRDefault="00D9517D" w:rsidP="00D9517D">
            <w:pPr>
              <w:jc w:val="left"/>
              <w:rPr>
                <w:lang w:val="fr-FR"/>
              </w:rPr>
            </w:pPr>
            <w:r w:rsidRPr="00953DCC">
              <w:rPr>
                <w:rFonts w:ascii="Trebuchet MS" w:eastAsia="Trebuchet MS" w:hAnsi="Trebuchet MS" w:cs="Trebuchet MS"/>
                <w:sz w:val="18"/>
                <w:szCs w:val="22"/>
                <w:lang w:val="fr-FR" w:eastAsia="en-GB" w:bidi="en-GB"/>
              </w:rPr>
              <w:t>(1)</w:t>
            </w:r>
          </w:p>
        </w:tc>
      </w:tr>
      <w:tr w:rsidR="00D9517D" w:rsidRPr="00953DCC" w14:paraId="0ED71637" w14:textId="435D7BBE" w:rsidTr="002B0AA3">
        <w:trPr>
          <w:trHeight w:val="249"/>
        </w:trPr>
        <w:tc>
          <w:tcPr>
            <w:tcW w:w="2835" w:type="dxa"/>
            <w:shd w:val="clear" w:color="auto" w:fill="DBE5F1"/>
          </w:tcPr>
          <w:p w14:paraId="6EA7BA20" w14:textId="7FC1329C" w:rsidR="00D9517D" w:rsidRPr="00953DCC" w:rsidRDefault="00D9517D" w:rsidP="00D9517D">
            <w:pPr>
              <w:widowControl w:val="0"/>
              <w:autoSpaceDE w:val="0"/>
              <w:autoSpaceDN w:val="0"/>
              <w:spacing w:before="20"/>
              <w:jc w:val="left"/>
              <w:rPr>
                <w:rFonts w:ascii="Trebuchet MS" w:eastAsia="Trebuchet MS" w:hAnsi="Trebuchet MS" w:cs="Trebuchet MS"/>
                <w:sz w:val="18"/>
                <w:szCs w:val="22"/>
                <w:lang w:val="fr-FR" w:eastAsia="en-GB" w:bidi="en-GB"/>
              </w:rPr>
            </w:pPr>
            <w:r w:rsidRPr="00953DCC">
              <w:rPr>
                <w:rFonts w:ascii="Trebuchet MS" w:eastAsia="Trebuchet MS" w:hAnsi="Trebuchet MS" w:cs="Trebuchet MS"/>
                <w:sz w:val="18"/>
                <w:szCs w:val="22"/>
                <w:lang w:val="fr-FR" w:eastAsia="en-GB" w:bidi="en-GB"/>
              </w:rPr>
              <w:t>BULGARIE</w:t>
            </w:r>
          </w:p>
        </w:tc>
        <w:tc>
          <w:tcPr>
            <w:tcW w:w="992" w:type="dxa"/>
          </w:tcPr>
          <w:p w14:paraId="339C50DE" w14:textId="1E0B706F" w:rsidR="00D9517D" w:rsidRPr="00953DCC" w:rsidRDefault="00D9517D" w:rsidP="00D9517D">
            <w:pPr>
              <w:widowControl w:val="0"/>
              <w:autoSpaceDE w:val="0"/>
              <w:autoSpaceDN w:val="0"/>
              <w:spacing w:before="20"/>
              <w:jc w:val="left"/>
              <w:rPr>
                <w:rFonts w:ascii="Trebuchet MS" w:eastAsia="Trebuchet MS" w:hAnsi="Trebuchet MS" w:cs="Trebuchet MS"/>
                <w:sz w:val="18"/>
                <w:szCs w:val="22"/>
                <w:lang w:val="fr-FR" w:eastAsia="en-GB" w:bidi="en-GB"/>
              </w:rPr>
            </w:pPr>
            <w:r w:rsidRPr="00953DCC">
              <w:rPr>
                <w:rFonts w:ascii="Trebuchet MS" w:eastAsia="Trebuchet MS" w:hAnsi="Trebuchet MS" w:cs="Trebuchet MS"/>
                <w:sz w:val="18"/>
                <w:szCs w:val="22"/>
                <w:lang w:val="fr-FR" w:eastAsia="en-GB" w:bidi="en-GB"/>
              </w:rPr>
              <w:t>(2)</w:t>
            </w:r>
          </w:p>
        </w:tc>
        <w:tc>
          <w:tcPr>
            <w:tcW w:w="2552" w:type="dxa"/>
            <w:shd w:val="clear" w:color="auto" w:fill="DBE5F1" w:themeFill="accent1" w:themeFillTint="33"/>
          </w:tcPr>
          <w:p w14:paraId="746100BC" w14:textId="46ADAC87" w:rsidR="00D9517D" w:rsidRPr="00953DCC" w:rsidRDefault="00D9517D" w:rsidP="00D9517D">
            <w:pPr>
              <w:jc w:val="left"/>
              <w:rPr>
                <w:lang w:val="fr-FR"/>
              </w:rPr>
            </w:pPr>
            <w:r w:rsidRPr="00953DCC">
              <w:rPr>
                <w:rFonts w:ascii="Trebuchet MS" w:eastAsia="Trebuchet MS" w:hAnsi="Trebuchet MS" w:cs="Trebuchet MS"/>
                <w:sz w:val="18"/>
                <w:szCs w:val="22"/>
                <w:lang w:val="fr-FR" w:eastAsia="en-GB" w:bidi="en-GB"/>
              </w:rPr>
              <w:t>NOUVELLE</w:t>
            </w:r>
            <w:r>
              <w:rPr>
                <w:rFonts w:ascii="Trebuchet MS" w:eastAsia="Trebuchet MS" w:hAnsi="Trebuchet MS" w:cs="Trebuchet MS"/>
                <w:sz w:val="18"/>
                <w:szCs w:val="22"/>
                <w:lang w:val="fr-FR" w:eastAsia="en-GB" w:bidi="en-GB"/>
              </w:rPr>
              <w:noBreakHyphen/>
            </w:r>
            <w:r w:rsidRPr="00953DCC">
              <w:rPr>
                <w:rFonts w:ascii="Trebuchet MS" w:eastAsia="Trebuchet MS" w:hAnsi="Trebuchet MS" w:cs="Trebuchet MS"/>
                <w:sz w:val="18"/>
                <w:szCs w:val="22"/>
                <w:lang w:val="fr-FR" w:eastAsia="en-GB" w:bidi="en-GB"/>
              </w:rPr>
              <w:t>ZÉLANDE</w:t>
            </w:r>
          </w:p>
        </w:tc>
        <w:tc>
          <w:tcPr>
            <w:tcW w:w="992" w:type="dxa"/>
            <w:gridSpan w:val="2"/>
          </w:tcPr>
          <w:p w14:paraId="48662EE6" w14:textId="0FC08CC4" w:rsidR="00D9517D" w:rsidRPr="00953DCC" w:rsidRDefault="00D9517D" w:rsidP="00D9517D">
            <w:pPr>
              <w:jc w:val="left"/>
              <w:rPr>
                <w:lang w:val="fr-FR"/>
              </w:rPr>
            </w:pPr>
            <w:r w:rsidRPr="00953DCC">
              <w:rPr>
                <w:rFonts w:ascii="Trebuchet MS" w:eastAsia="Trebuchet MS" w:hAnsi="Trebuchet MS" w:cs="Trebuchet MS"/>
                <w:sz w:val="18"/>
                <w:szCs w:val="22"/>
                <w:lang w:val="fr-FR" w:eastAsia="en-GB" w:bidi="en-GB"/>
              </w:rPr>
              <w:t>(1)</w:t>
            </w:r>
          </w:p>
        </w:tc>
      </w:tr>
      <w:tr w:rsidR="00D9517D" w:rsidRPr="00953DCC" w14:paraId="1F27D63A" w14:textId="77777777" w:rsidTr="002B0AA3">
        <w:trPr>
          <w:trHeight w:val="249"/>
        </w:trPr>
        <w:tc>
          <w:tcPr>
            <w:tcW w:w="2835" w:type="dxa"/>
            <w:shd w:val="clear" w:color="auto" w:fill="DBE5F1"/>
          </w:tcPr>
          <w:p w14:paraId="66C2E4FE" w14:textId="00BDAD32" w:rsidR="00D9517D" w:rsidRPr="00953DCC" w:rsidRDefault="00D9517D" w:rsidP="00D9517D">
            <w:pPr>
              <w:widowControl w:val="0"/>
              <w:autoSpaceDE w:val="0"/>
              <w:autoSpaceDN w:val="0"/>
              <w:spacing w:before="20"/>
              <w:jc w:val="left"/>
              <w:rPr>
                <w:rFonts w:ascii="Trebuchet MS" w:eastAsia="Trebuchet MS" w:hAnsi="Trebuchet MS" w:cs="Trebuchet MS"/>
                <w:sz w:val="18"/>
                <w:szCs w:val="22"/>
                <w:lang w:val="fr-FR" w:eastAsia="en-GB" w:bidi="en-GB"/>
              </w:rPr>
            </w:pPr>
            <w:r w:rsidRPr="00953DCC">
              <w:rPr>
                <w:rFonts w:ascii="Trebuchet MS" w:eastAsia="Trebuchet MS" w:hAnsi="Trebuchet MS" w:cs="Trebuchet MS"/>
                <w:sz w:val="18"/>
                <w:szCs w:val="22"/>
                <w:lang w:val="fr-FR" w:eastAsia="en-GB" w:bidi="en-GB"/>
              </w:rPr>
              <w:t>CANADA</w:t>
            </w:r>
          </w:p>
        </w:tc>
        <w:tc>
          <w:tcPr>
            <w:tcW w:w="992" w:type="dxa"/>
          </w:tcPr>
          <w:p w14:paraId="5DD7E021" w14:textId="07A9F9A3" w:rsidR="00D9517D" w:rsidRPr="00953DCC" w:rsidRDefault="00D9517D" w:rsidP="00D9517D">
            <w:pPr>
              <w:widowControl w:val="0"/>
              <w:autoSpaceDE w:val="0"/>
              <w:autoSpaceDN w:val="0"/>
              <w:spacing w:before="20"/>
              <w:jc w:val="left"/>
              <w:rPr>
                <w:rFonts w:ascii="Trebuchet MS" w:eastAsia="Trebuchet MS" w:hAnsi="Trebuchet MS" w:cs="Trebuchet MS"/>
                <w:sz w:val="18"/>
                <w:szCs w:val="22"/>
                <w:lang w:val="fr-FR" w:eastAsia="en-GB" w:bidi="en-GB"/>
              </w:rPr>
            </w:pPr>
            <w:r w:rsidRPr="00953DCC">
              <w:rPr>
                <w:rFonts w:ascii="Trebuchet MS" w:eastAsia="Trebuchet MS" w:hAnsi="Trebuchet MS" w:cs="Trebuchet MS"/>
                <w:sz w:val="18"/>
                <w:szCs w:val="22"/>
                <w:lang w:val="fr-FR" w:eastAsia="en-GB" w:bidi="en-GB"/>
              </w:rPr>
              <w:t>(1)</w:t>
            </w:r>
          </w:p>
        </w:tc>
        <w:tc>
          <w:tcPr>
            <w:tcW w:w="2552" w:type="dxa"/>
            <w:shd w:val="clear" w:color="auto" w:fill="DBE5F1" w:themeFill="accent1" w:themeFillTint="33"/>
          </w:tcPr>
          <w:p w14:paraId="3DBE357E" w14:textId="0FBBB8B8" w:rsidR="00D9517D" w:rsidRPr="00953DCC" w:rsidRDefault="00D9517D" w:rsidP="00D9517D">
            <w:pPr>
              <w:jc w:val="left"/>
              <w:rPr>
                <w:rFonts w:ascii="Trebuchet MS" w:eastAsia="Trebuchet MS" w:hAnsi="Trebuchet MS" w:cs="Trebuchet MS"/>
                <w:sz w:val="18"/>
                <w:szCs w:val="22"/>
                <w:lang w:val="fr-FR" w:eastAsia="en-GB" w:bidi="en-GB"/>
              </w:rPr>
            </w:pPr>
            <w:r w:rsidRPr="00953DCC">
              <w:rPr>
                <w:rFonts w:ascii="Trebuchet MS" w:eastAsia="Trebuchet MS" w:hAnsi="Trebuchet MS" w:cs="Trebuchet MS"/>
                <w:sz w:val="18"/>
                <w:szCs w:val="22"/>
                <w:lang w:val="fr-FR" w:eastAsia="en-GB" w:bidi="en-GB"/>
              </w:rPr>
              <w:t>OUGANDA</w:t>
            </w:r>
          </w:p>
        </w:tc>
        <w:tc>
          <w:tcPr>
            <w:tcW w:w="992" w:type="dxa"/>
            <w:gridSpan w:val="2"/>
          </w:tcPr>
          <w:p w14:paraId="45170501" w14:textId="2FAA1D59" w:rsidR="00D9517D" w:rsidRPr="00953DCC" w:rsidRDefault="00D9517D" w:rsidP="00D9517D">
            <w:pPr>
              <w:jc w:val="left"/>
              <w:rPr>
                <w:rFonts w:ascii="Trebuchet MS" w:eastAsia="Trebuchet MS" w:hAnsi="Trebuchet MS" w:cs="Trebuchet MS"/>
                <w:sz w:val="18"/>
                <w:szCs w:val="22"/>
                <w:lang w:val="fr-FR" w:eastAsia="en-GB" w:bidi="en-GB"/>
              </w:rPr>
            </w:pPr>
            <w:r w:rsidRPr="009E0B44">
              <w:rPr>
                <w:rFonts w:ascii="Trebuchet MS" w:eastAsia="Trebuchet MS" w:hAnsi="Trebuchet MS" w:cs="Trebuchet MS"/>
                <w:sz w:val="18"/>
                <w:szCs w:val="18"/>
                <w:lang w:val="fr-FR" w:eastAsia="en-GB" w:bidi="en-GB"/>
              </w:rPr>
              <w:t>(2)</w:t>
            </w:r>
          </w:p>
        </w:tc>
      </w:tr>
      <w:tr w:rsidR="00D9517D" w:rsidRPr="00953DCC" w14:paraId="3D244A6C" w14:textId="18408A7B" w:rsidTr="002B0AA3">
        <w:trPr>
          <w:trHeight w:val="249"/>
        </w:trPr>
        <w:tc>
          <w:tcPr>
            <w:tcW w:w="2835" w:type="dxa"/>
            <w:shd w:val="clear" w:color="auto" w:fill="DBE5F1"/>
          </w:tcPr>
          <w:p w14:paraId="6C7BECFB" w14:textId="401E21F6" w:rsidR="00D9517D" w:rsidRPr="00953DCC" w:rsidRDefault="00D9517D" w:rsidP="00D9517D">
            <w:pPr>
              <w:widowControl w:val="0"/>
              <w:autoSpaceDE w:val="0"/>
              <w:autoSpaceDN w:val="0"/>
              <w:spacing w:before="20"/>
              <w:jc w:val="left"/>
              <w:rPr>
                <w:rFonts w:ascii="Trebuchet MS" w:eastAsia="Trebuchet MS" w:hAnsi="Trebuchet MS" w:cs="Trebuchet MS"/>
                <w:sz w:val="18"/>
                <w:szCs w:val="22"/>
                <w:lang w:val="fr-FR" w:eastAsia="en-GB" w:bidi="en-GB"/>
              </w:rPr>
            </w:pPr>
            <w:r w:rsidRPr="00953DCC">
              <w:rPr>
                <w:rFonts w:ascii="Trebuchet MS" w:eastAsia="Trebuchet MS" w:hAnsi="Trebuchet MS" w:cs="Trebuchet MS"/>
                <w:sz w:val="18"/>
                <w:szCs w:val="22"/>
                <w:lang w:val="fr-FR" w:eastAsia="en-GB" w:bidi="en-GB"/>
              </w:rPr>
              <w:t>CHILI</w:t>
            </w:r>
          </w:p>
        </w:tc>
        <w:tc>
          <w:tcPr>
            <w:tcW w:w="992" w:type="dxa"/>
          </w:tcPr>
          <w:p w14:paraId="693F5171" w14:textId="11888015" w:rsidR="00D9517D" w:rsidRPr="00953DCC" w:rsidRDefault="00D9517D" w:rsidP="00D9517D">
            <w:pPr>
              <w:widowControl w:val="0"/>
              <w:autoSpaceDE w:val="0"/>
              <w:autoSpaceDN w:val="0"/>
              <w:spacing w:before="20"/>
              <w:jc w:val="left"/>
              <w:rPr>
                <w:rFonts w:ascii="Trebuchet MS" w:eastAsia="Trebuchet MS" w:hAnsi="Trebuchet MS" w:cs="Trebuchet MS"/>
                <w:sz w:val="18"/>
                <w:szCs w:val="22"/>
                <w:lang w:val="fr-FR" w:eastAsia="en-GB" w:bidi="en-GB"/>
              </w:rPr>
            </w:pPr>
            <w:r w:rsidRPr="00953DCC">
              <w:rPr>
                <w:rFonts w:ascii="Trebuchet MS" w:eastAsia="Trebuchet MS" w:hAnsi="Trebuchet MS" w:cs="Trebuchet MS"/>
                <w:sz w:val="18"/>
                <w:szCs w:val="22"/>
                <w:lang w:val="fr-FR" w:eastAsia="en-GB" w:bidi="en-GB"/>
              </w:rPr>
              <w:t>(1)</w:t>
            </w:r>
          </w:p>
        </w:tc>
        <w:tc>
          <w:tcPr>
            <w:tcW w:w="2552" w:type="dxa"/>
            <w:shd w:val="clear" w:color="auto" w:fill="DBE5F1" w:themeFill="accent1" w:themeFillTint="33"/>
          </w:tcPr>
          <w:p w14:paraId="7F0D5F34" w14:textId="68E4E6E2" w:rsidR="00D9517D" w:rsidRPr="00953DCC" w:rsidRDefault="00D9517D" w:rsidP="00D9517D">
            <w:pPr>
              <w:jc w:val="left"/>
              <w:rPr>
                <w:lang w:val="fr-FR"/>
              </w:rPr>
            </w:pPr>
            <w:r w:rsidRPr="00953DCC">
              <w:rPr>
                <w:rFonts w:ascii="Trebuchet MS" w:eastAsia="Trebuchet MS" w:hAnsi="Trebuchet MS" w:cs="Trebuchet MS"/>
                <w:sz w:val="18"/>
                <w:szCs w:val="22"/>
                <w:lang w:val="fr-FR" w:eastAsia="en-GB" w:bidi="en-GB"/>
              </w:rPr>
              <w:t>PAYS</w:t>
            </w:r>
            <w:r>
              <w:rPr>
                <w:rFonts w:ascii="Trebuchet MS" w:eastAsia="Trebuchet MS" w:hAnsi="Trebuchet MS" w:cs="Trebuchet MS"/>
                <w:sz w:val="18"/>
                <w:szCs w:val="22"/>
                <w:lang w:val="fr-FR" w:eastAsia="en-GB" w:bidi="en-GB"/>
              </w:rPr>
              <w:noBreakHyphen/>
            </w:r>
            <w:r w:rsidRPr="00953DCC">
              <w:rPr>
                <w:rFonts w:ascii="Trebuchet MS" w:eastAsia="Trebuchet MS" w:hAnsi="Trebuchet MS" w:cs="Trebuchet MS"/>
                <w:sz w:val="18"/>
                <w:szCs w:val="22"/>
                <w:lang w:val="fr-FR" w:eastAsia="en-GB" w:bidi="en-GB"/>
              </w:rPr>
              <w:t>BAS</w:t>
            </w:r>
          </w:p>
        </w:tc>
        <w:tc>
          <w:tcPr>
            <w:tcW w:w="992" w:type="dxa"/>
            <w:gridSpan w:val="2"/>
          </w:tcPr>
          <w:p w14:paraId="3F0A5BE1" w14:textId="307A6855" w:rsidR="00D9517D" w:rsidRPr="00953DCC" w:rsidRDefault="00D9517D" w:rsidP="00D9517D">
            <w:pPr>
              <w:jc w:val="left"/>
              <w:rPr>
                <w:lang w:val="fr-FR"/>
              </w:rPr>
            </w:pPr>
            <w:r w:rsidRPr="00953DCC">
              <w:rPr>
                <w:rFonts w:ascii="Trebuchet MS" w:eastAsia="Trebuchet MS" w:hAnsi="Trebuchet MS" w:cs="Trebuchet MS"/>
                <w:sz w:val="18"/>
                <w:szCs w:val="22"/>
                <w:lang w:val="fr-FR" w:eastAsia="en-GB" w:bidi="en-GB"/>
              </w:rPr>
              <w:t>(1)</w:t>
            </w:r>
          </w:p>
        </w:tc>
      </w:tr>
      <w:tr w:rsidR="00D9517D" w:rsidRPr="00953DCC" w14:paraId="7496409C" w14:textId="694B9144" w:rsidTr="002B0AA3">
        <w:trPr>
          <w:trHeight w:val="248"/>
        </w:trPr>
        <w:tc>
          <w:tcPr>
            <w:tcW w:w="2835" w:type="dxa"/>
            <w:shd w:val="clear" w:color="auto" w:fill="DBE5F1"/>
          </w:tcPr>
          <w:p w14:paraId="3447DA11" w14:textId="58754749" w:rsidR="00D9517D" w:rsidRPr="00953DCC" w:rsidRDefault="00D9517D" w:rsidP="00D9517D">
            <w:pPr>
              <w:widowControl w:val="0"/>
              <w:autoSpaceDE w:val="0"/>
              <w:autoSpaceDN w:val="0"/>
              <w:spacing w:before="20" w:line="208" w:lineRule="exact"/>
              <w:jc w:val="left"/>
              <w:rPr>
                <w:rFonts w:ascii="Trebuchet MS" w:eastAsia="Trebuchet MS" w:hAnsi="Trebuchet MS" w:cs="Trebuchet MS"/>
                <w:sz w:val="18"/>
                <w:szCs w:val="22"/>
                <w:lang w:val="fr-FR" w:eastAsia="en-GB" w:bidi="en-GB"/>
              </w:rPr>
            </w:pPr>
            <w:r w:rsidRPr="00953DCC">
              <w:rPr>
                <w:rFonts w:ascii="Trebuchet MS" w:eastAsia="Trebuchet MS" w:hAnsi="Trebuchet MS" w:cs="Trebuchet MS"/>
                <w:sz w:val="18"/>
                <w:szCs w:val="22"/>
                <w:lang w:val="fr-FR" w:eastAsia="en-GB" w:bidi="en-GB"/>
              </w:rPr>
              <w:t>CHYPRE</w:t>
            </w:r>
            <w:r w:rsidRPr="00953DCC">
              <w:rPr>
                <w:rFonts w:ascii="Trebuchet MS" w:eastAsia="Trebuchet MS" w:hAnsi="Trebuchet MS" w:cs="Trebuchet MS"/>
                <w:sz w:val="18"/>
                <w:szCs w:val="22"/>
                <w:vertAlign w:val="superscript"/>
                <w:lang w:val="fr-FR" w:eastAsia="en-GB" w:bidi="en-GB"/>
              </w:rPr>
              <w:t>1</w:t>
            </w:r>
          </w:p>
        </w:tc>
        <w:tc>
          <w:tcPr>
            <w:tcW w:w="992" w:type="dxa"/>
          </w:tcPr>
          <w:p w14:paraId="438586EE" w14:textId="7DDBB4D9" w:rsidR="00D9517D" w:rsidRPr="00953DCC" w:rsidRDefault="00D9517D" w:rsidP="00D9517D">
            <w:pPr>
              <w:widowControl w:val="0"/>
              <w:autoSpaceDE w:val="0"/>
              <w:autoSpaceDN w:val="0"/>
              <w:spacing w:before="20" w:line="208" w:lineRule="exact"/>
              <w:jc w:val="left"/>
              <w:rPr>
                <w:rFonts w:ascii="Trebuchet MS" w:eastAsia="Trebuchet MS" w:hAnsi="Trebuchet MS" w:cs="Trebuchet MS"/>
                <w:sz w:val="18"/>
                <w:szCs w:val="22"/>
                <w:lang w:val="fr-FR" w:eastAsia="en-GB" w:bidi="en-GB"/>
              </w:rPr>
            </w:pPr>
            <w:r w:rsidRPr="00953DCC">
              <w:rPr>
                <w:rFonts w:ascii="Trebuchet MS" w:eastAsia="Trebuchet MS" w:hAnsi="Trebuchet MS" w:cs="Trebuchet MS"/>
                <w:sz w:val="18"/>
                <w:szCs w:val="22"/>
                <w:lang w:val="fr-FR" w:eastAsia="en-GB" w:bidi="en-GB"/>
              </w:rPr>
              <w:t>(2)</w:t>
            </w:r>
          </w:p>
        </w:tc>
        <w:tc>
          <w:tcPr>
            <w:tcW w:w="2552" w:type="dxa"/>
            <w:shd w:val="clear" w:color="auto" w:fill="DBE5F1" w:themeFill="accent1" w:themeFillTint="33"/>
          </w:tcPr>
          <w:p w14:paraId="1310D478" w14:textId="630164DC" w:rsidR="00D9517D" w:rsidRPr="00953DCC" w:rsidRDefault="00D9517D" w:rsidP="00D9517D">
            <w:pPr>
              <w:jc w:val="left"/>
              <w:rPr>
                <w:lang w:val="fr-FR"/>
              </w:rPr>
            </w:pPr>
            <w:r w:rsidRPr="00953DCC">
              <w:rPr>
                <w:rFonts w:ascii="Trebuchet MS" w:eastAsia="Trebuchet MS" w:hAnsi="Trebuchet MS" w:cs="Trebuchet MS"/>
                <w:sz w:val="18"/>
                <w:szCs w:val="22"/>
                <w:lang w:val="fr-FR" w:eastAsia="en-GB" w:bidi="en-GB"/>
              </w:rPr>
              <w:t>POLOGNE</w:t>
            </w:r>
          </w:p>
        </w:tc>
        <w:tc>
          <w:tcPr>
            <w:tcW w:w="992" w:type="dxa"/>
            <w:gridSpan w:val="2"/>
          </w:tcPr>
          <w:p w14:paraId="07B3AF40" w14:textId="47873FE9" w:rsidR="00D9517D" w:rsidRPr="00953DCC" w:rsidRDefault="00D9517D" w:rsidP="00D9517D">
            <w:pPr>
              <w:jc w:val="left"/>
              <w:rPr>
                <w:lang w:val="fr-FR"/>
              </w:rPr>
            </w:pPr>
            <w:r w:rsidRPr="00953DCC">
              <w:rPr>
                <w:rFonts w:ascii="Trebuchet MS" w:eastAsia="Trebuchet MS" w:hAnsi="Trebuchet MS" w:cs="Trebuchet MS"/>
                <w:sz w:val="18"/>
                <w:szCs w:val="22"/>
                <w:lang w:val="fr-FR" w:eastAsia="en-GB" w:bidi="en-GB"/>
              </w:rPr>
              <w:t>(1)</w:t>
            </w:r>
          </w:p>
        </w:tc>
      </w:tr>
      <w:tr w:rsidR="00D9517D" w:rsidRPr="00953DCC" w14:paraId="7BD215B3" w14:textId="2837D09D" w:rsidTr="002B0AA3">
        <w:trPr>
          <w:trHeight w:val="260"/>
        </w:trPr>
        <w:tc>
          <w:tcPr>
            <w:tcW w:w="2835" w:type="dxa"/>
            <w:shd w:val="clear" w:color="auto" w:fill="DBE5F1"/>
          </w:tcPr>
          <w:p w14:paraId="43398CF2" w14:textId="0D9191D5" w:rsidR="00D9517D" w:rsidRPr="00953DCC" w:rsidRDefault="00D9517D" w:rsidP="00D9517D">
            <w:pPr>
              <w:widowControl w:val="0"/>
              <w:autoSpaceDE w:val="0"/>
              <w:autoSpaceDN w:val="0"/>
              <w:spacing w:before="19"/>
              <w:jc w:val="left"/>
              <w:rPr>
                <w:rFonts w:ascii="Trebuchet MS" w:eastAsia="Trebuchet MS" w:hAnsi="Trebuchet MS" w:cs="Trebuchet MS"/>
                <w:sz w:val="18"/>
                <w:szCs w:val="22"/>
                <w:lang w:val="fr-FR" w:eastAsia="en-GB" w:bidi="en-GB"/>
              </w:rPr>
            </w:pPr>
            <w:r w:rsidRPr="00953DCC">
              <w:rPr>
                <w:rFonts w:ascii="Trebuchet MS" w:eastAsia="Trebuchet MS" w:hAnsi="Trebuchet MS" w:cs="Trebuchet MS"/>
                <w:sz w:val="18"/>
                <w:szCs w:val="22"/>
                <w:lang w:val="fr-FR" w:eastAsia="en-GB" w:bidi="en-GB"/>
              </w:rPr>
              <w:t>CROATIE</w:t>
            </w:r>
          </w:p>
        </w:tc>
        <w:tc>
          <w:tcPr>
            <w:tcW w:w="992" w:type="dxa"/>
          </w:tcPr>
          <w:p w14:paraId="11E0E587" w14:textId="6651B7B2" w:rsidR="00D9517D" w:rsidRPr="00953DCC" w:rsidRDefault="00D9517D" w:rsidP="00D9517D">
            <w:pPr>
              <w:widowControl w:val="0"/>
              <w:autoSpaceDE w:val="0"/>
              <w:autoSpaceDN w:val="0"/>
              <w:spacing w:before="19"/>
              <w:jc w:val="left"/>
              <w:rPr>
                <w:rFonts w:ascii="Trebuchet MS" w:eastAsia="Trebuchet MS" w:hAnsi="Trebuchet MS" w:cs="Trebuchet MS"/>
                <w:sz w:val="18"/>
                <w:szCs w:val="22"/>
                <w:lang w:val="fr-FR" w:eastAsia="en-GB" w:bidi="en-GB"/>
              </w:rPr>
            </w:pPr>
            <w:r w:rsidRPr="00953DCC">
              <w:rPr>
                <w:rFonts w:ascii="Trebuchet MS" w:eastAsia="Trebuchet MS" w:hAnsi="Trebuchet MS" w:cs="Trebuchet MS"/>
                <w:sz w:val="18"/>
                <w:szCs w:val="22"/>
                <w:lang w:val="fr-FR" w:eastAsia="en-GB" w:bidi="en-GB"/>
              </w:rPr>
              <w:t>(2)</w:t>
            </w:r>
          </w:p>
        </w:tc>
        <w:tc>
          <w:tcPr>
            <w:tcW w:w="2552" w:type="dxa"/>
            <w:shd w:val="clear" w:color="auto" w:fill="DBE5F1" w:themeFill="accent1" w:themeFillTint="33"/>
          </w:tcPr>
          <w:p w14:paraId="004AD694" w14:textId="2AABAE61" w:rsidR="00D9517D" w:rsidRPr="00953DCC" w:rsidRDefault="00D9517D" w:rsidP="00D9517D">
            <w:pPr>
              <w:jc w:val="left"/>
              <w:rPr>
                <w:lang w:val="fr-FR"/>
              </w:rPr>
            </w:pPr>
            <w:r w:rsidRPr="00953DCC">
              <w:rPr>
                <w:rFonts w:ascii="Trebuchet MS" w:eastAsia="Trebuchet MS" w:hAnsi="Trebuchet MS" w:cs="Trebuchet MS"/>
                <w:sz w:val="18"/>
                <w:szCs w:val="22"/>
                <w:lang w:val="fr-FR" w:eastAsia="en-GB" w:bidi="en-GB"/>
              </w:rPr>
              <w:t>PORTUGAL</w:t>
            </w:r>
          </w:p>
        </w:tc>
        <w:tc>
          <w:tcPr>
            <w:tcW w:w="992" w:type="dxa"/>
            <w:gridSpan w:val="2"/>
          </w:tcPr>
          <w:p w14:paraId="5216A070" w14:textId="174D85D3" w:rsidR="00D9517D" w:rsidRPr="00953DCC" w:rsidRDefault="00D9517D" w:rsidP="00D9517D">
            <w:pPr>
              <w:jc w:val="left"/>
              <w:rPr>
                <w:lang w:val="fr-FR"/>
              </w:rPr>
            </w:pPr>
            <w:r w:rsidRPr="00953DCC">
              <w:rPr>
                <w:rFonts w:ascii="Trebuchet MS" w:eastAsia="Trebuchet MS" w:hAnsi="Trebuchet MS" w:cs="Trebuchet MS"/>
                <w:sz w:val="18"/>
                <w:szCs w:val="22"/>
                <w:lang w:val="fr-FR" w:eastAsia="en-GB" w:bidi="en-GB"/>
              </w:rPr>
              <w:t>(1)</w:t>
            </w:r>
          </w:p>
        </w:tc>
      </w:tr>
      <w:tr w:rsidR="00D9517D" w:rsidRPr="00953DCC" w14:paraId="707C9681" w14:textId="7C0DB239" w:rsidTr="002B0AA3">
        <w:trPr>
          <w:trHeight w:val="283"/>
        </w:trPr>
        <w:tc>
          <w:tcPr>
            <w:tcW w:w="2835" w:type="dxa"/>
            <w:shd w:val="clear" w:color="auto" w:fill="DBE5F1"/>
          </w:tcPr>
          <w:p w14:paraId="459773EE" w14:textId="0E5ACD39" w:rsidR="00D9517D" w:rsidRPr="00953DCC" w:rsidRDefault="00D9517D" w:rsidP="00D9517D">
            <w:pPr>
              <w:widowControl w:val="0"/>
              <w:autoSpaceDE w:val="0"/>
              <w:autoSpaceDN w:val="0"/>
              <w:spacing w:before="30"/>
              <w:jc w:val="left"/>
              <w:rPr>
                <w:rFonts w:ascii="Trebuchet MS" w:eastAsia="Trebuchet MS" w:hAnsi="Trebuchet MS" w:cs="Trebuchet MS"/>
                <w:sz w:val="18"/>
                <w:szCs w:val="22"/>
                <w:lang w:val="fr-FR" w:eastAsia="en-GB" w:bidi="en-GB"/>
              </w:rPr>
            </w:pPr>
            <w:r w:rsidRPr="00953DCC">
              <w:rPr>
                <w:rFonts w:ascii="Trebuchet MS" w:eastAsia="Trebuchet MS" w:hAnsi="Trebuchet MS" w:cs="Trebuchet MS"/>
                <w:sz w:val="18"/>
                <w:szCs w:val="22"/>
                <w:lang w:val="fr-FR" w:eastAsia="en-GB" w:bidi="en-GB"/>
              </w:rPr>
              <w:t>DANEMARK</w:t>
            </w:r>
          </w:p>
        </w:tc>
        <w:tc>
          <w:tcPr>
            <w:tcW w:w="992" w:type="dxa"/>
          </w:tcPr>
          <w:p w14:paraId="5E474DB2" w14:textId="59E5A048" w:rsidR="00D9517D" w:rsidRPr="00953DCC" w:rsidRDefault="00D9517D" w:rsidP="00D9517D">
            <w:pPr>
              <w:widowControl w:val="0"/>
              <w:autoSpaceDE w:val="0"/>
              <w:autoSpaceDN w:val="0"/>
              <w:spacing w:before="30"/>
              <w:jc w:val="left"/>
              <w:rPr>
                <w:rFonts w:ascii="Trebuchet MS" w:eastAsia="Trebuchet MS" w:hAnsi="Trebuchet MS" w:cs="Trebuchet MS"/>
                <w:sz w:val="18"/>
                <w:szCs w:val="22"/>
                <w:lang w:val="fr-FR" w:eastAsia="en-GB" w:bidi="en-GB"/>
              </w:rPr>
            </w:pPr>
            <w:r w:rsidRPr="00953DCC">
              <w:rPr>
                <w:rFonts w:ascii="Trebuchet MS" w:eastAsia="Trebuchet MS" w:hAnsi="Trebuchet MS" w:cs="Trebuchet MS"/>
                <w:sz w:val="18"/>
                <w:szCs w:val="22"/>
                <w:lang w:val="fr-FR" w:eastAsia="en-GB" w:bidi="en-GB"/>
              </w:rPr>
              <w:t>(1)</w:t>
            </w:r>
          </w:p>
        </w:tc>
        <w:tc>
          <w:tcPr>
            <w:tcW w:w="2552" w:type="dxa"/>
            <w:shd w:val="clear" w:color="auto" w:fill="DBE5F1" w:themeFill="accent1" w:themeFillTint="33"/>
          </w:tcPr>
          <w:p w14:paraId="347B233A" w14:textId="6509B9F1" w:rsidR="00D9517D" w:rsidRPr="00953DCC" w:rsidRDefault="00D9517D" w:rsidP="00D9517D">
            <w:pPr>
              <w:jc w:val="left"/>
              <w:rPr>
                <w:lang w:val="fr-FR"/>
              </w:rPr>
            </w:pPr>
            <w:r w:rsidRPr="00953DCC">
              <w:rPr>
                <w:rFonts w:ascii="Trebuchet MS" w:eastAsia="Trebuchet MS" w:hAnsi="Trebuchet MS" w:cs="Trebuchet MS"/>
                <w:sz w:val="18"/>
                <w:szCs w:val="22"/>
                <w:lang w:val="fr-FR" w:eastAsia="en-GB" w:bidi="en-GB"/>
              </w:rPr>
              <w:t>RÉPUBLIQUE</w:t>
            </w:r>
            <w:r>
              <w:rPr>
                <w:rFonts w:ascii="Trebuchet MS" w:eastAsia="Trebuchet MS" w:hAnsi="Trebuchet MS" w:cs="Trebuchet MS"/>
                <w:sz w:val="18"/>
                <w:szCs w:val="22"/>
                <w:lang w:val="fr-FR" w:eastAsia="en-GB" w:bidi="en-GB"/>
              </w:rPr>
              <w:t> TC</w:t>
            </w:r>
            <w:r w:rsidRPr="00953DCC">
              <w:rPr>
                <w:rFonts w:ascii="Trebuchet MS" w:eastAsia="Trebuchet MS" w:hAnsi="Trebuchet MS" w:cs="Trebuchet MS"/>
                <w:sz w:val="18"/>
                <w:szCs w:val="22"/>
                <w:lang w:val="fr-FR" w:eastAsia="en-GB" w:bidi="en-GB"/>
              </w:rPr>
              <w:t>HÈQUE</w:t>
            </w:r>
          </w:p>
        </w:tc>
        <w:tc>
          <w:tcPr>
            <w:tcW w:w="992" w:type="dxa"/>
            <w:gridSpan w:val="2"/>
          </w:tcPr>
          <w:p w14:paraId="73033EE9" w14:textId="412F4A24" w:rsidR="00D9517D" w:rsidRPr="00953DCC" w:rsidRDefault="00D9517D" w:rsidP="00D9517D">
            <w:pPr>
              <w:jc w:val="left"/>
              <w:rPr>
                <w:lang w:val="fr-FR"/>
              </w:rPr>
            </w:pPr>
            <w:r w:rsidRPr="00953DCC">
              <w:rPr>
                <w:rFonts w:ascii="Trebuchet MS" w:eastAsia="Trebuchet MS" w:hAnsi="Trebuchet MS" w:cs="Trebuchet MS"/>
                <w:sz w:val="18"/>
                <w:szCs w:val="22"/>
                <w:lang w:val="fr-FR" w:eastAsia="en-GB" w:bidi="en-GB"/>
              </w:rPr>
              <w:t>(1)</w:t>
            </w:r>
          </w:p>
        </w:tc>
      </w:tr>
      <w:tr w:rsidR="00D9517D" w:rsidRPr="00953DCC" w14:paraId="64128F50" w14:textId="5BDFC4C8" w:rsidTr="002B0AA3">
        <w:trPr>
          <w:trHeight w:val="272"/>
        </w:trPr>
        <w:tc>
          <w:tcPr>
            <w:tcW w:w="2835" w:type="dxa"/>
            <w:shd w:val="clear" w:color="auto" w:fill="DBE5F1"/>
          </w:tcPr>
          <w:p w14:paraId="76A6C1D4" w14:textId="71D8DA22" w:rsidR="00D9517D" w:rsidRPr="00953DCC" w:rsidRDefault="00D9517D" w:rsidP="00D9517D">
            <w:pPr>
              <w:widowControl w:val="0"/>
              <w:autoSpaceDE w:val="0"/>
              <w:autoSpaceDN w:val="0"/>
              <w:spacing w:before="32"/>
              <w:jc w:val="left"/>
              <w:rPr>
                <w:rFonts w:ascii="Trebuchet MS" w:eastAsia="Trebuchet MS" w:hAnsi="Trebuchet MS" w:cs="Trebuchet MS"/>
                <w:sz w:val="18"/>
                <w:szCs w:val="22"/>
                <w:lang w:val="fr-FR" w:eastAsia="en-GB" w:bidi="en-GB"/>
              </w:rPr>
            </w:pPr>
            <w:r w:rsidRPr="00953DCC">
              <w:rPr>
                <w:rFonts w:ascii="Trebuchet MS" w:eastAsia="Trebuchet MS" w:hAnsi="Trebuchet MS" w:cs="Trebuchet MS"/>
                <w:sz w:val="18"/>
                <w:szCs w:val="22"/>
                <w:lang w:val="fr-FR" w:eastAsia="en-GB" w:bidi="en-GB"/>
              </w:rPr>
              <w:t>ÉGYPTE</w:t>
            </w:r>
          </w:p>
        </w:tc>
        <w:tc>
          <w:tcPr>
            <w:tcW w:w="992" w:type="dxa"/>
          </w:tcPr>
          <w:p w14:paraId="7666E2AA" w14:textId="40B3CFC4" w:rsidR="00D9517D" w:rsidRPr="00953DCC" w:rsidRDefault="00D9517D" w:rsidP="00D9517D">
            <w:pPr>
              <w:widowControl w:val="0"/>
              <w:autoSpaceDE w:val="0"/>
              <w:autoSpaceDN w:val="0"/>
              <w:spacing w:before="32"/>
              <w:jc w:val="left"/>
              <w:rPr>
                <w:rFonts w:ascii="Trebuchet MS" w:eastAsia="Trebuchet MS" w:hAnsi="Trebuchet MS" w:cs="Trebuchet MS"/>
                <w:sz w:val="18"/>
                <w:szCs w:val="22"/>
                <w:lang w:val="fr-FR" w:eastAsia="en-GB" w:bidi="en-GB"/>
              </w:rPr>
            </w:pPr>
            <w:r w:rsidRPr="00953DCC">
              <w:rPr>
                <w:rFonts w:ascii="Trebuchet MS" w:eastAsia="Trebuchet MS" w:hAnsi="Trebuchet MS" w:cs="Trebuchet MS"/>
                <w:sz w:val="18"/>
                <w:szCs w:val="22"/>
                <w:lang w:val="fr-FR" w:eastAsia="en-GB" w:bidi="en-GB"/>
              </w:rPr>
              <w:t>(2)</w:t>
            </w:r>
          </w:p>
        </w:tc>
        <w:tc>
          <w:tcPr>
            <w:tcW w:w="2552" w:type="dxa"/>
            <w:shd w:val="clear" w:color="auto" w:fill="DBE5F1" w:themeFill="accent1" w:themeFillTint="33"/>
          </w:tcPr>
          <w:p w14:paraId="328D09F1" w14:textId="4E3C0DA9" w:rsidR="00D9517D" w:rsidRPr="00953DCC" w:rsidRDefault="00D9517D" w:rsidP="00D9517D">
            <w:pPr>
              <w:jc w:val="left"/>
              <w:rPr>
                <w:lang w:val="fr-FR"/>
              </w:rPr>
            </w:pPr>
            <w:r w:rsidRPr="00953DCC">
              <w:rPr>
                <w:rFonts w:ascii="Trebuchet MS" w:eastAsia="Trebuchet MS" w:hAnsi="Trebuchet MS" w:cs="Trebuchet MS"/>
                <w:sz w:val="18"/>
                <w:szCs w:val="22"/>
                <w:lang w:val="fr-FR" w:eastAsia="en-GB" w:bidi="en-GB"/>
              </w:rPr>
              <w:t>ROUMANIE</w:t>
            </w:r>
          </w:p>
        </w:tc>
        <w:tc>
          <w:tcPr>
            <w:tcW w:w="992" w:type="dxa"/>
            <w:gridSpan w:val="2"/>
          </w:tcPr>
          <w:p w14:paraId="67C341DC" w14:textId="70E4EA47" w:rsidR="00D9517D" w:rsidRPr="00953DCC" w:rsidRDefault="00D9517D" w:rsidP="00D9517D">
            <w:pPr>
              <w:jc w:val="left"/>
              <w:rPr>
                <w:lang w:val="fr-FR"/>
              </w:rPr>
            </w:pPr>
            <w:r w:rsidRPr="00953DCC">
              <w:rPr>
                <w:rFonts w:ascii="Trebuchet MS" w:eastAsia="Trebuchet MS" w:hAnsi="Trebuchet MS" w:cs="Trebuchet MS"/>
                <w:sz w:val="18"/>
                <w:szCs w:val="22"/>
                <w:lang w:val="fr-FR" w:eastAsia="en-GB" w:bidi="en-GB"/>
              </w:rPr>
              <w:t>(2)</w:t>
            </w:r>
          </w:p>
        </w:tc>
      </w:tr>
      <w:tr w:rsidR="00D9517D" w:rsidRPr="00953DCC" w14:paraId="6BAF4CB9" w14:textId="4B5A685B" w:rsidTr="002B0AA3">
        <w:trPr>
          <w:trHeight w:val="272"/>
        </w:trPr>
        <w:tc>
          <w:tcPr>
            <w:tcW w:w="2835" w:type="dxa"/>
            <w:shd w:val="clear" w:color="auto" w:fill="DBE5F1"/>
          </w:tcPr>
          <w:p w14:paraId="3710DE22" w14:textId="3CAD8A3A" w:rsidR="00D9517D" w:rsidRPr="00953DCC" w:rsidRDefault="00D9517D" w:rsidP="00D9517D">
            <w:pPr>
              <w:widowControl w:val="0"/>
              <w:autoSpaceDE w:val="0"/>
              <w:autoSpaceDN w:val="0"/>
              <w:spacing w:before="19"/>
              <w:jc w:val="left"/>
              <w:rPr>
                <w:rFonts w:ascii="Trebuchet MS" w:eastAsia="Trebuchet MS" w:hAnsi="Trebuchet MS" w:cs="Trebuchet MS"/>
                <w:sz w:val="18"/>
                <w:szCs w:val="22"/>
                <w:lang w:val="fr-FR" w:eastAsia="en-GB" w:bidi="en-GB"/>
              </w:rPr>
            </w:pPr>
            <w:r w:rsidRPr="00953DCC">
              <w:rPr>
                <w:rFonts w:ascii="Trebuchet MS" w:eastAsia="Trebuchet MS" w:hAnsi="Trebuchet MS" w:cs="Trebuchet MS"/>
                <w:sz w:val="18"/>
                <w:szCs w:val="22"/>
                <w:lang w:val="fr-FR" w:eastAsia="en-GB" w:bidi="en-GB"/>
              </w:rPr>
              <w:t>ESPAGNE</w:t>
            </w:r>
          </w:p>
        </w:tc>
        <w:tc>
          <w:tcPr>
            <w:tcW w:w="992" w:type="dxa"/>
          </w:tcPr>
          <w:p w14:paraId="1D2691AD" w14:textId="5E79CE9E" w:rsidR="00D9517D" w:rsidRPr="00953DCC" w:rsidRDefault="00D9517D" w:rsidP="00D9517D">
            <w:pPr>
              <w:widowControl w:val="0"/>
              <w:autoSpaceDE w:val="0"/>
              <w:autoSpaceDN w:val="0"/>
              <w:spacing w:before="19"/>
              <w:jc w:val="left"/>
              <w:rPr>
                <w:rFonts w:ascii="Trebuchet MS" w:eastAsia="Trebuchet MS" w:hAnsi="Trebuchet MS" w:cs="Trebuchet MS"/>
                <w:sz w:val="18"/>
                <w:szCs w:val="22"/>
                <w:lang w:val="fr-FR" w:eastAsia="en-GB" w:bidi="en-GB"/>
              </w:rPr>
            </w:pPr>
            <w:r w:rsidRPr="00953DCC">
              <w:rPr>
                <w:rFonts w:ascii="Trebuchet MS" w:eastAsia="Trebuchet MS" w:hAnsi="Trebuchet MS" w:cs="Trebuchet MS"/>
                <w:sz w:val="18"/>
                <w:szCs w:val="22"/>
                <w:lang w:val="fr-FR" w:eastAsia="en-GB" w:bidi="en-GB"/>
              </w:rPr>
              <w:t>(1)</w:t>
            </w:r>
          </w:p>
        </w:tc>
        <w:tc>
          <w:tcPr>
            <w:tcW w:w="2552" w:type="dxa"/>
            <w:shd w:val="clear" w:color="auto" w:fill="DBE5F1" w:themeFill="accent1" w:themeFillTint="33"/>
          </w:tcPr>
          <w:p w14:paraId="66624246" w14:textId="6E1123CA" w:rsidR="00D9517D" w:rsidRPr="00953DCC" w:rsidRDefault="00D9517D" w:rsidP="00D9517D">
            <w:pPr>
              <w:jc w:val="left"/>
              <w:rPr>
                <w:lang w:val="fr-FR"/>
              </w:rPr>
            </w:pPr>
            <w:r w:rsidRPr="00953DCC">
              <w:rPr>
                <w:rFonts w:ascii="Trebuchet MS" w:eastAsia="Trebuchet MS" w:hAnsi="Trebuchet MS" w:cs="Trebuchet MS"/>
                <w:sz w:val="18"/>
                <w:szCs w:val="22"/>
                <w:lang w:val="fr-FR" w:eastAsia="en-GB" w:bidi="en-GB"/>
              </w:rPr>
              <w:t>ROYAUME</w:t>
            </w:r>
            <w:r>
              <w:rPr>
                <w:rFonts w:ascii="Trebuchet MS" w:eastAsia="Trebuchet MS" w:hAnsi="Trebuchet MS" w:cs="Trebuchet MS"/>
                <w:sz w:val="18"/>
                <w:szCs w:val="22"/>
                <w:lang w:val="fr-FR" w:eastAsia="en-GB" w:bidi="en-GB"/>
              </w:rPr>
              <w:noBreakHyphen/>
            </w:r>
            <w:r w:rsidRPr="00953DCC">
              <w:rPr>
                <w:rFonts w:ascii="Trebuchet MS" w:eastAsia="Trebuchet MS" w:hAnsi="Trebuchet MS" w:cs="Trebuchet MS"/>
                <w:sz w:val="18"/>
                <w:szCs w:val="22"/>
                <w:lang w:val="fr-FR" w:eastAsia="en-GB" w:bidi="en-GB"/>
              </w:rPr>
              <w:t>UNI</w:t>
            </w:r>
          </w:p>
        </w:tc>
        <w:tc>
          <w:tcPr>
            <w:tcW w:w="992" w:type="dxa"/>
            <w:gridSpan w:val="2"/>
          </w:tcPr>
          <w:p w14:paraId="629561C0" w14:textId="2296E309" w:rsidR="00D9517D" w:rsidRPr="00953DCC" w:rsidRDefault="00D9517D" w:rsidP="00D9517D">
            <w:pPr>
              <w:jc w:val="left"/>
              <w:rPr>
                <w:lang w:val="fr-FR"/>
              </w:rPr>
            </w:pPr>
            <w:r w:rsidRPr="009E0B44">
              <w:rPr>
                <w:rFonts w:ascii="Trebuchet MS" w:eastAsia="Trebuchet MS" w:hAnsi="Trebuchet MS" w:cs="Trebuchet MS"/>
                <w:sz w:val="18"/>
                <w:szCs w:val="18"/>
                <w:lang w:val="fr-FR" w:eastAsia="en-GB" w:bidi="en-GB"/>
              </w:rPr>
              <w:t>(1)</w:t>
            </w:r>
          </w:p>
        </w:tc>
      </w:tr>
      <w:tr w:rsidR="00D9517D" w:rsidRPr="00953DCC" w14:paraId="6A0ED457" w14:textId="7809A68E" w:rsidTr="002B0AA3">
        <w:trPr>
          <w:trHeight w:val="272"/>
        </w:trPr>
        <w:tc>
          <w:tcPr>
            <w:tcW w:w="2835" w:type="dxa"/>
            <w:shd w:val="clear" w:color="auto" w:fill="DBE5F1"/>
          </w:tcPr>
          <w:p w14:paraId="3F1F3BDC" w14:textId="2FB9235C" w:rsidR="00D9517D" w:rsidRPr="00953DCC" w:rsidRDefault="00D9517D" w:rsidP="00D9517D">
            <w:pPr>
              <w:widowControl w:val="0"/>
              <w:autoSpaceDE w:val="0"/>
              <w:autoSpaceDN w:val="0"/>
              <w:spacing w:before="20"/>
              <w:jc w:val="left"/>
              <w:rPr>
                <w:rFonts w:ascii="Trebuchet MS" w:eastAsia="Trebuchet MS" w:hAnsi="Trebuchet MS" w:cs="Trebuchet MS"/>
                <w:sz w:val="18"/>
                <w:szCs w:val="22"/>
                <w:lang w:val="fr-FR" w:eastAsia="en-GB" w:bidi="en-GB"/>
              </w:rPr>
            </w:pPr>
            <w:r w:rsidRPr="00953DCC">
              <w:rPr>
                <w:rFonts w:ascii="Trebuchet MS" w:eastAsia="Trebuchet MS" w:hAnsi="Trebuchet MS" w:cs="Trebuchet MS"/>
                <w:sz w:val="18"/>
                <w:szCs w:val="22"/>
                <w:lang w:val="fr-FR" w:eastAsia="en-GB" w:bidi="en-GB"/>
              </w:rPr>
              <w:t>ESTONIE</w:t>
            </w:r>
          </w:p>
        </w:tc>
        <w:tc>
          <w:tcPr>
            <w:tcW w:w="992" w:type="dxa"/>
          </w:tcPr>
          <w:p w14:paraId="2C483B11" w14:textId="2AB6D5B3" w:rsidR="00D9517D" w:rsidRPr="00953DCC" w:rsidRDefault="00D9517D" w:rsidP="00D9517D">
            <w:pPr>
              <w:widowControl w:val="0"/>
              <w:autoSpaceDE w:val="0"/>
              <w:autoSpaceDN w:val="0"/>
              <w:spacing w:before="20"/>
              <w:jc w:val="left"/>
              <w:rPr>
                <w:rFonts w:ascii="Trebuchet MS" w:eastAsia="Trebuchet MS" w:hAnsi="Trebuchet MS" w:cs="Trebuchet MS"/>
                <w:sz w:val="18"/>
                <w:szCs w:val="22"/>
                <w:lang w:val="fr-FR" w:eastAsia="en-GB" w:bidi="en-GB"/>
              </w:rPr>
            </w:pPr>
            <w:r w:rsidRPr="00953DCC">
              <w:rPr>
                <w:rFonts w:ascii="Trebuchet MS" w:eastAsia="Trebuchet MS" w:hAnsi="Trebuchet MS" w:cs="Trebuchet MS"/>
                <w:sz w:val="18"/>
                <w:szCs w:val="22"/>
                <w:lang w:val="fr-FR" w:eastAsia="en-GB" w:bidi="en-GB"/>
              </w:rPr>
              <w:t>(1)</w:t>
            </w:r>
          </w:p>
        </w:tc>
        <w:tc>
          <w:tcPr>
            <w:tcW w:w="2552" w:type="dxa"/>
            <w:shd w:val="clear" w:color="auto" w:fill="DBE5F1" w:themeFill="accent1" w:themeFillTint="33"/>
          </w:tcPr>
          <w:p w14:paraId="25478036" w14:textId="1F2E0493" w:rsidR="00D9517D" w:rsidRPr="00953DCC" w:rsidRDefault="00D9517D" w:rsidP="00D9517D">
            <w:pPr>
              <w:jc w:val="left"/>
              <w:rPr>
                <w:lang w:val="fr-FR"/>
              </w:rPr>
            </w:pPr>
            <w:r w:rsidRPr="00953DCC">
              <w:rPr>
                <w:rFonts w:ascii="Trebuchet MS" w:eastAsia="Trebuchet MS" w:hAnsi="Trebuchet MS" w:cs="Trebuchet MS"/>
                <w:sz w:val="18"/>
                <w:szCs w:val="22"/>
                <w:lang w:val="fr-FR" w:eastAsia="en-GB" w:bidi="en-GB"/>
              </w:rPr>
              <w:t>SÉNÉGAL</w:t>
            </w:r>
          </w:p>
        </w:tc>
        <w:tc>
          <w:tcPr>
            <w:tcW w:w="992" w:type="dxa"/>
            <w:gridSpan w:val="2"/>
          </w:tcPr>
          <w:p w14:paraId="430E5D60" w14:textId="437248A7" w:rsidR="00D9517D" w:rsidRPr="00953DCC" w:rsidRDefault="00D9517D" w:rsidP="00D9517D">
            <w:pPr>
              <w:jc w:val="left"/>
              <w:rPr>
                <w:lang w:val="fr-FR"/>
              </w:rPr>
            </w:pPr>
            <w:r w:rsidRPr="00953DCC">
              <w:rPr>
                <w:rFonts w:ascii="Trebuchet MS" w:eastAsia="Trebuchet MS" w:hAnsi="Trebuchet MS" w:cs="Trebuchet MS"/>
                <w:sz w:val="18"/>
                <w:szCs w:val="22"/>
                <w:lang w:val="fr-FR" w:eastAsia="en-GB" w:bidi="en-GB"/>
              </w:rPr>
              <w:t>(2)</w:t>
            </w:r>
          </w:p>
        </w:tc>
      </w:tr>
      <w:tr w:rsidR="00D9517D" w:rsidRPr="00953DCC" w14:paraId="237FB2DB" w14:textId="77B94416" w:rsidTr="002B0AA3">
        <w:trPr>
          <w:gridAfter w:val="1"/>
          <w:wAfter w:w="610" w:type="dxa"/>
          <w:trHeight w:val="265"/>
        </w:trPr>
        <w:tc>
          <w:tcPr>
            <w:tcW w:w="2835" w:type="dxa"/>
            <w:shd w:val="clear" w:color="auto" w:fill="DBE5F1"/>
          </w:tcPr>
          <w:p w14:paraId="55F4ED4A" w14:textId="49AEE92F" w:rsidR="00D9517D" w:rsidRPr="00953DCC" w:rsidRDefault="00D9517D" w:rsidP="00D9517D">
            <w:pPr>
              <w:widowControl w:val="0"/>
              <w:autoSpaceDE w:val="0"/>
              <w:autoSpaceDN w:val="0"/>
              <w:spacing w:before="19"/>
              <w:jc w:val="left"/>
              <w:rPr>
                <w:rFonts w:ascii="Trebuchet MS" w:eastAsia="Trebuchet MS" w:hAnsi="Trebuchet MS" w:cs="Trebuchet MS"/>
                <w:sz w:val="18"/>
                <w:szCs w:val="22"/>
                <w:lang w:val="fr-FR" w:eastAsia="en-GB" w:bidi="en-GB"/>
              </w:rPr>
            </w:pPr>
            <w:r w:rsidRPr="00953DCC">
              <w:rPr>
                <w:rFonts w:ascii="Trebuchet MS" w:eastAsia="Trebuchet MS" w:hAnsi="Trebuchet MS" w:cs="Trebuchet MS"/>
                <w:sz w:val="18"/>
                <w:szCs w:val="22"/>
                <w:lang w:val="fr-FR" w:eastAsia="en-GB" w:bidi="en-GB"/>
              </w:rPr>
              <w:t>ÉTATS</w:t>
            </w:r>
            <w:r>
              <w:rPr>
                <w:rFonts w:ascii="Trebuchet MS" w:eastAsia="Trebuchet MS" w:hAnsi="Trebuchet MS" w:cs="Trebuchet MS"/>
                <w:sz w:val="18"/>
                <w:szCs w:val="22"/>
                <w:lang w:val="fr-FR" w:eastAsia="en-GB" w:bidi="en-GB"/>
              </w:rPr>
              <w:noBreakHyphen/>
            </w:r>
            <w:r w:rsidRPr="00953DCC">
              <w:rPr>
                <w:rFonts w:ascii="Trebuchet MS" w:eastAsia="Trebuchet MS" w:hAnsi="Trebuchet MS" w:cs="Trebuchet MS"/>
                <w:sz w:val="18"/>
                <w:szCs w:val="22"/>
                <w:lang w:val="fr-FR" w:eastAsia="en-GB" w:bidi="en-GB"/>
              </w:rPr>
              <w:t>UNIS D</w:t>
            </w:r>
            <w:r>
              <w:rPr>
                <w:rFonts w:ascii="Trebuchet MS" w:eastAsia="Trebuchet MS" w:hAnsi="Trebuchet MS" w:cs="Trebuchet MS"/>
                <w:sz w:val="18"/>
                <w:szCs w:val="22"/>
                <w:lang w:val="fr-FR" w:eastAsia="en-GB" w:bidi="en-GB"/>
              </w:rPr>
              <w:t>’</w:t>
            </w:r>
            <w:r w:rsidRPr="00953DCC">
              <w:rPr>
                <w:rFonts w:ascii="Trebuchet MS" w:eastAsia="Trebuchet MS" w:hAnsi="Trebuchet MS" w:cs="Trebuchet MS"/>
                <w:sz w:val="18"/>
                <w:szCs w:val="22"/>
                <w:lang w:val="fr-FR" w:eastAsia="en-GB" w:bidi="en-GB"/>
              </w:rPr>
              <w:t>AMÉRIQUE</w:t>
            </w:r>
          </w:p>
        </w:tc>
        <w:tc>
          <w:tcPr>
            <w:tcW w:w="992" w:type="dxa"/>
          </w:tcPr>
          <w:p w14:paraId="30400800" w14:textId="3B534862" w:rsidR="00D9517D" w:rsidRPr="00953DCC" w:rsidRDefault="00D9517D" w:rsidP="00D9517D">
            <w:pPr>
              <w:widowControl w:val="0"/>
              <w:autoSpaceDE w:val="0"/>
              <w:autoSpaceDN w:val="0"/>
              <w:spacing w:before="19"/>
              <w:jc w:val="left"/>
              <w:rPr>
                <w:rFonts w:ascii="Trebuchet MS" w:eastAsia="Trebuchet MS" w:hAnsi="Trebuchet MS" w:cs="Trebuchet MS"/>
                <w:sz w:val="18"/>
                <w:szCs w:val="22"/>
                <w:lang w:val="fr-FR" w:eastAsia="en-GB" w:bidi="en-GB"/>
              </w:rPr>
            </w:pPr>
            <w:r w:rsidRPr="009E0B44">
              <w:rPr>
                <w:rFonts w:ascii="Trebuchet MS" w:eastAsia="Trebuchet MS" w:hAnsi="Trebuchet MS" w:cs="Trebuchet MS"/>
                <w:sz w:val="18"/>
                <w:szCs w:val="18"/>
                <w:lang w:val="fr-FR" w:eastAsia="en-GB" w:bidi="en-GB"/>
              </w:rPr>
              <w:t>(1)</w:t>
            </w:r>
          </w:p>
        </w:tc>
        <w:tc>
          <w:tcPr>
            <w:tcW w:w="2552" w:type="dxa"/>
            <w:shd w:val="clear" w:color="auto" w:fill="DBE5F1" w:themeFill="accent1" w:themeFillTint="33"/>
          </w:tcPr>
          <w:p w14:paraId="1975F8EE" w14:textId="125A12ED" w:rsidR="00D9517D" w:rsidRPr="00953DCC" w:rsidRDefault="00D9517D" w:rsidP="00D9517D">
            <w:pPr>
              <w:jc w:val="left"/>
              <w:rPr>
                <w:rFonts w:ascii="Trebuchet MS" w:eastAsia="Trebuchet MS" w:hAnsi="Trebuchet MS" w:cs="Trebuchet MS"/>
                <w:szCs w:val="22"/>
                <w:lang w:val="fr-FR" w:eastAsia="en-GB" w:bidi="en-GB"/>
              </w:rPr>
            </w:pPr>
            <w:r w:rsidRPr="00953DCC">
              <w:rPr>
                <w:rFonts w:ascii="Trebuchet MS" w:eastAsia="Trebuchet MS" w:hAnsi="Trebuchet MS" w:cs="Trebuchet MS"/>
                <w:sz w:val="18"/>
                <w:szCs w:val="22"/>
                <w:lang w:val="fr-FR" w:eastAsia="en-GB" w:bidi="en-GB"/>
              </w:rPr>
              <w:t>SERBIE</w:t>
            </w:r>
          </w:p>
        </w:tc>
        <w:tc>
          <w:tcPr>
            <w:tcW w:w="382" w:type="dxa"/>
          </w:tcPr>
          <w:p w14:paraId="5DDB7C87" w14:textId="2494C2ED" w:rsidR="00D9517D" w:rsidRPr="00953DCC" w:rsidRDefault="00D9517D" w:rsidP="00D9517D">
            <w:pPr>
              <w:jc w:val="left"/>
              <w:rPr>
                <w:rFonts w:ascii="Trebuchet MS" w:eastAsia="Trebuchet MS" w:hAnsi="Trebuchet MS" w:cs="Trebuchet MS"/>
                <w:szCs w:val="22"/>
                <w:lang w:val="fr-FR" w:eastAsia="en-GB" w:bidi="en-GB"/>
              </w:rPr>
            </w:pPr>
            <w:r w:rsidRPr="00953DCC">
              <w:rPr>
                <w:rFonts w:ascii="Trebuchet MS" w:eastAsia="Trebuchet MS" w:hAnsi="Trebuchet MS" w:cs="Trebuchet MS"/>
                <w:sz w:val="18"/>
                <w:szCs w:val="22"/>
                <w:lang w:val="fr-FR" w:eastAsia="en-GB" w:bidi="en-GB"/>
              </w:rPr>
              <w:t>(2)</w:t>
            </w:r>
          </w:p>
        </w:tc>
      </w:tr>
    </w:tbl>
    <w:p w14:paraId="572952C4" w14:textId="77777777" w:rsidR="005F025D" w:rsidRPr="00953DCC" w:rsidRDefault="005F025D" w:rsidP="007E07ED">
      <w:pPr>
        <w:spacing w:before="2"/>
        <w:rPr>
          <w:sz w:val="15"/>
          <w:lang w:val="fr-FR"/>
        </w:rPr>
      </w:pPr>
    </w:p>
    <w:p w14:paraId="572952C5" w14:textId="77777777" w:rsidR="005F025D" w:rsidRPr="00953DCC" w:rsidRDefault="005F025D" w:rsidP="007E07ED">
      <w:pPr>
        <w:spacing w:before="2"/>
        <w:rPr>
          <w:sz w:val="15"/>
          <w:lang w:val="fr-FR"/>
        </w:rPr>
      </w:pPr>
    </w:p>
    <w:p w14:paraId="572952C6" w14:textId="77777777" w:rsidR="005F025D" w:rsidRPr="00953DCC" w:rsidRDefault="005F025D" w:rsidP="007E07ED">
      <w:pPr>
        <w:spacing w:before="2"/>
        <w:rPr>
          <w:sz w:val="15"/>
          <w:lang w:val="fr-FR"/>
        </w:rPr>
      </w:pPr>
    </w:p>
    <w:p w14:paraId="572952C7" w14:textId="77777777" w:rsidR="005F025D" w:rsidRPr="00953DCC" w:rsidRDefault="005F025D" w:rsidP="007E07ED">
      <w:pPr>
        <w:spacing w:before="2"/>
        <w:rPr>
          <w:sz w:val="15"/>
          <w:lang w:val="fr-FR"/>
        </w:rPr>
      </w:pPr>
    </w:p>
    <w:p w14:paraId="572952C8" w14:textId="77777777" w:rsidR="005F025D" w:rsidRPr="00953DCC" w:rsidRDefault="005F025D" w:rsidP="007E07ED">
      <w:pPr>
        <w:spacing w:before="2"/>
        <w:rPr>
          <w:sz w:val="15"/>
          <w:lang w:val="fr-FR"/>
        </w:rPr>
      </w:pPr>
    </w:p>
    <w:p w14:paraId="572952C9" w14:textId="77777777" w:rsidR="005F025D" w:rsidRPr="00953DCC" w:rsidRDefault="005F025D" w:rsidP="007E07ED">
      <w:pPr>
        <w:spacing w:before="2"/>
        <w:rPr>
          <w:sz w:val="15"/>
          <w:lang w:val="fr-FR"/>
        </w:rPr>
      </w:pPr>
    </w:p>
    <w:p w14:paraId="572952CA" w14:textId="77777777" w:rsidR="005F025D" w:rsidRPr="00953DCC" w:rsidRDefault="005F025D" w:rsidP="007E07ED">
      <w:pPr>
        <w:spacing w:before="2"/>
        <w:rPr>
          <w:sz w:val="15"/>
          <w:lang w:val="fr-FR"/>
        </w:rPr>
      </w:pPr>
    </w:p>
    <w:p w14:paraId="572952CB" w14:textId="77777777" w:rsidR="005F025D" w:rsidRPr="00953DCC" w:rsidRDefault="005F025D" w:rsidP="007E07ED">
      <w:pPr>
        <w:spacing w:before="2"/>
        <w:rPr>
          <w:sz w:val="15"/>
          <w:lang w:val="fr-FR"/>
        </w:rPr>
      </w:pPr>
    </w:p>
    <w:p w14:paraId="572952CC" w14:textId="77777777" w:rsidR="005F025D" w:rsidRPr="00953DCC" w:rsidRDefault="005F025D" w:rsidP="007E07ED">
      <w:pPr>
        <w:spacing w:before="2"/>
        <w:rPr>
          <w:sz w:val="15"/>
          <w:lang w:val="fr-FR"/>
        </w:rPr>
      </w:pPr>
    </w:p>
    <w:p w14:paraId="572952CD" w14:textId="77777777" w:rsidR="005F025D" w:rsidRPr="00953DCC" w:rsidRDefault="007E07ED" w:rsidP="007E07ED">
      <w:pPr>
        <w:spacing w:before="2"/>
        <w:rPr>
          <w:sz w:val="15"/>
          <w:lang w:val="fr-FR"/>
        </w:rPr>
      </w:pPr>
      <w:r w:rsidRPr="00953DCC">
        <w:rPr>
          <w:noProof/>
          <w:sz w:val="22"/>
        </w:rPr>
        <mc:AlternateContent>
          <mc:Choice Requires="wps">
            <w:drawing>
              <wp:anchor distT="0" distB="0" distL="0" distR="0" simplePos="0" relativeHeight="251661312" behindDoc="1" locked="0" layoutInCell="1" allowOverlap="1" wp14:anchorId="5729544D" wp14:editId="5729544E">
                <wp:simplePos x="0" y="0"/>
                <wp:positionH relativeFrom="page">
                  <wp:posOffset>457200</wp:posOffset>
                </wp:positionH>
                <wp:positionV relativeFrom="paragraph">
                  <wp:posOffset>139700</wp:posOffset>
                </wp:positionV>
                <wp:extent cx="1829435" cy="1270"/>
                <wp:effectExtent l="9525" t="11430" r="8890" b="6350"/>
                <wp:wrapTopAndBottom/>
                <wp:docPr id="21" name="Freeform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9435" cy="1270"/>
                        </a:xfrm>
                        <a:custGeom>
                          <a:avLst/>
                          <a:gdLst>
                            <a:gd name="T0" fmla="+- 0 720 720"/>
                            <a:gd name="T1" fmla="*/ T0 w 2881"/>
                            <a:gd name="T2" fmla="+- 0 3600 720"/>
                            <a:gd name="T3" fmla="*/ T2 w 2881"/>
                          </a:gdLst>
                          <a:ahLst/>
                          <a:cxnLst>
                            <a:cxn ang="0">
                              <a:pos x="T1" y="0"/>
                            </a:cxn>
                            <a:cxn ang="0">
                              <a:pos x="T3" y="0"/>
                            </a:cxn>
                          </a:cxnLst>
                          <a:rect l="0" t="0" r="r" b="b"/>
                          <a:pathLst>
                            <a:path w="2881">
                              <a:moveTo>
                                <a:pt x="0" y="0"/>
                              </a:moveTo>
                              <a:lnTo>
                                <a:pt x="2880" y="0"/>
                              </a:lnTo>
                            </a:path>
                          </a:pathLst>
                        </a:custGeom>
                        <a:noFill/>
                        <a:ln w="762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1EA54CF" id="Freeform 21" o:spid="_x0000_s1026" style="position:absolute;margin-left:36pt;margin-top:11pt;width:144.05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8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" path="m,l2880,e" filled="f" strokeweight=".6pt">
                <v:path arrowok="t" o:connecttype="custom" o:connectlocs="0,0;1828800,0" o:connectangles="0,0"/>
                <w10:wrap type="topAndBottom" anchorx="page"/>
              </v:shape>
            </w:pict>
          </mc:Fallback>
        </mc:AlternateContent>
      </w:r>
    </w:p>
    <w:p w14:paraId="572952CE" w14:textId="09CF3814" w:rsidR="005F025D" w:rsidRPr="00953DCC" w:rsidRDefault="007E07ED" w:rsidP="007E07ED">
      <w:pPr>
        <w:spacing w:before="35"/>
        <w:rPr>
          <w:rFonts w:ascii="Trebuchet MS"/>
          <w:sz w:val="18"/>
          <w:lang w:val="fr-FR"/>
        </w:rPr>
      </w:pPr>
      <w:r w:rsidRPr="00953DCC">
        <w:rPr>
          <w:rFonts w:ascii="Trebuchet MS"/>
          <w:position w:val="9"/>
          <w:sz w:val="13"/>
          <w:lang w:val="fr-FR"/>
        </w:rPr>
        <w:t xml:space="preserve">1 </w:t>
      </w:r>
      <w:r w:rsidR="006C32CE">
        <w:rPr>
          <w:rFonts w:ascii="Trebuchet MS"/>
          <w:position w:val="9"/>
          <w:sz w:val="13"/>
          <w:lang w:val="fr-FR"/>
        </w:rPr>
        <w:tab/>
      </w:r>
      <w:r w:rsidRPr="00953DCC">
        <w:rPr>
          <w:rFonts w:ascii="Trebuchet MS"/>
          <w:sz w:val="18"/>
          <w:lang w:val="fr-FR"/>
        </w:rPr>
        <w:t xml:space="preserve">Source </w:t>
      </w:r>
      <w:r w:rsidR="00964A2D" w:rsidRPr="00953DCC">
        <w:rPr>
          <w:rFonts w:ascii="Trebuchet MS"/>
          <w:sz w:val="18"/>
          <w:lang w:val="fr-FR"/>
        </w:rPr>
        <w:t xml:space="preserve">OCDE </w:t>
      </w:r>
      <w:r w:rsidR="006C32CE">
        <w:rPr>
          <w:rFonts w:ascii="Trebuchet MS"/>
          <w:sz w:val="18"/>
          <w:lang w:val="fr-FR"/>
        </w:rPr>
        <w:t>“</w:t>
      </w:r>
      <w:r w:rsidRPr="00953DCC">
        <w:rPr>
          <w:rFonts w:ascii="Trebuchet MS"/>
          <w:sz w:val="18"/>
          <w:lang w:val="fr-FR"/>
        </w:rPr>
        <w:t xml:space="preserve">Note </w:t>
      </w:r>
      <w:r w:rsidR="00964A2D" w:rsidRPr="00953DCC">
        <w:rPr>
          <w:rFonts w:ascii="Trebuchet MS"/>
          <w:sz w:val="18"/>
          <w:lang w:val="fr-FR"/>
        </w:rPr>
        <w:t>de la Turquie</w:t>
      </w:r>
    </w:p>
    <w:p w14:paraId="572952CF" w14:textId="5BE3E574" w:rsidR="005F025D" w:rsidRPr="00953DCC" w:rsidRDefault="005F025D" w:rsidP="005F025D">
      <w:pPr>
        <w:spacing w:before="127"/>
        <w:ind w:right="216"/>
        <w:rPr>
          <w:rFonts w:ascii="Trebuchet MS" w:hAnsi="Trebuchet MS"/>
          <w:sz w:val="18"/>
          <w:lang w:val="fr-FR"/>
        </w:rPr>
      </w:pPr>
      <w:r w:rsidRPr="00953DCC">
        <w:rPr>
          <w:rFonts w:ascii="Trebuchet MS" w:hAnsi="Trebuchet MS"/>
          <w:sz w:val="18"/>
          <w:lang w:val="fr-FR"/>
        </w:rPr>
        <w:t>Les informations figurant dans le présent document mentionnant “Chypre” se rapportent à la partie méridionale de l</w:t>
      </w:r>
      <w:r w:rsidR="0056301D">
        <w:rPr>
          <w:rFonts w:ascii="Trebuchet MS" w:hAnsi="Trebuchet MS"/>
          <w:sz w:val="18"/>
          <w:lang w:val="fr-FR"/>
        </w:rPr>
        <w:t>’</w:t>
      </w:r>
      <w:r w:rsidRPr="00953DCC">
        <w:rPr>
          <w:rFonts w:ascii="Trebuchet MS" w:hAnsi="Trebuchet MS"/>
          <w:sz w:val="18"/>
          <w:lang w:val="fr-FR"/>
        </w:rPr>
        <w:t>î</w:t>
      </w:r>
      <w:r w:rsidR="0011329B" w:rsidRPr="00953DCC">
        <w:rPr>
          <w:rFonts w:ascii="Trebuchet MS" w:hAnsi="Trebuchet MS"/>
          <w:sz w:val="18"/>
          <w:lang w:val="fr-FR"/>
        </w:rPr>
        <w:t>le</w:t>
      </w:r>
      <w:r w:rsidR="0011329B">
        <w:rPr>
          <w:rFonts w:ascii="Trebuchet MS" w:hAnsi="Trebuchet MS"/>
          <w:sz w:val="18"/>
          <w:lang w:val="fr-FR"/>
        </w:rPr>
        <w:t xml:space="preserve">.  </w:t>
      </w:r>
      <w:r w:rsidR="0011329B" w:rsidRPr="00953DCC">
        <w:rPr>
          <w:rFonts w:ascii="Trebuchet MS" w:hAnsi="Trebuchet MS"/>
          <w:sz w:val="18"/>
          <w:lang w:val="fr-FR"/>
        </w:rPr>
        <w:t>Il</w:t>
      </w:r>
      <w:r w:rsidRPr="00953DCC">
        <w:rPr>
          <w:rFonts w:ascii="Trebuchet MS" w:hAnsi="Trebuchet MS"/>
          <w:sz w:val="18"/>
          <w:lang w:val="fr-FR"/>
        </w:rPr>
        <w:t xml:space="preserve"> n</w:t>
      </w:r>
      <w:r w:rsidR="0056301D">
        <w:rPr>
          <w:rFonts w:ascii="Trebuchet MS" w:hAnsi="Trebuchet MS"/>
          <w:sz w:val="18"/>
          <w:lang w:val="fr-FR"/>
        </w:rPr>
        <w:t>’</w:t>
      </w:r>
      <w:r w:rsidRPr="00953DCC">
        <w:rPr>
          <w:rFonts w:ascii="Trebuchet MS" w:hAnsi="Trebuchet MS"/>
          <w:sz w:val="18"/>
          <w:lang w:val="fr-FR"/>
        </w:rPr>
        <w:t>existe pas d</w:t>
      </w:r>
      <w:r w:rsidR="0056301D">
        <w:rPr>
          <w:rFonts w:ascii="Trebuchet MS" w:hAnsi="Trebuchet MS"/>
          <w:sz w:val="18"/>
          <w:lang w:val="fr-FR"/>
        </w:rPr>
        <w:t>’</w:t>
      </w:r>
      <w:r w:rsidRPr="00953DCC">
        <w:rPr>
          <w:rFonts w:ascii="Trebuchet MS" w:hAnsi="Trebuchet MS"/>
          <w:sz w:val="18"/>
          <w:lang w:val="fr-FR"/>
        </w:rPr>
        <w:t>administration unique représentant à la fois les Chypriotes turcs et grecs sur l</w:t>
      </w:r>
      <w:r w:rsidR="0056301D">
        <w:rPr>
          <w:rFonts w:ascii="Trebuchet MS" w:hAnsi="Trebuchet MS"/>
          <w:sz w:val="18"/>
          <w:lang w:val="fr-FR"/>
        </w:rPr>
        <w:t>’</w:t>
      </w:r>
      <w:r w:rsidRPr="00953DCC">
        <w:rPr>
          <w:rFonts w:ascii="Trebuchet MS" w:hAnsi="Trebuchet MS"/>
          <w:sz w:val="18"/>
          <w:lang w:val="fr-FR"/>
        </w:rPr>
        <w:t>î</w:t>
      </w:r>
      <w:r w:rsidR="0011329B" w:rsidRPr="00953DCC">
        <w:rPr>
          <w:rFonts w:ascii="Trebuchet MS" w:hAnsi="Trebuchet MS"/>
          <w:sz w:val="18"/>
          <w:lang w:val="fr-FR"/>
        </w:rPr>
        <w:t>le</w:t>
      </w:r>
      <w:r w:rsidR="0011329B">
        <w:rPr>
          <w:rFonts w:ascii="Trebuchet MS" w:hAnsi="Trebuchet MS"/>
          <w:sz w:val="18"/>
          <w:lang w:val="fr-FR"/>
        </w:rPr>
        <w:t xml:space="preserve">.  </w:t>
      </w:r>
      <w:r w:rsidR="0011329B" w:rsidRPr="00953DCC">
        <w:rPr>
          <w:rFonts w:ascii="Trebuchet MS" w:hAnsi="Trebuchet MS"/>
          <w:sz w:val="18"/>
          <w:lang w:val="fr-FR"/>
        </w:rPr>
        <w:t>La</w:t>
      </w:r>
      <w:r w:rsidRPr="00953DCC">
        <w:rPr>
          <w:rFonts w:ascii="Trebuchet MS" w:hAnsi="Trebuchet MS"/>
          <w:sz w:val="18"/>
          <w:lang w:val="fr-FR"/>
        </w:rPr>
        <w:t xml:space="preserve"> Turquie reconnaît la République turque de Chypre</w:t>
      </w:r>
      <w:r w:rsidR="00456121">
        <w:rPr>
          <w:rFonts w:ascii="Trebuchet MS" w:hAnsi="Trebuchet MS"/>
          <w:sz w:val="18"/>
          <w:lang w:val="fr-FR"/>
        </w:rPr>
        <w:noBreakHyphen/>
      </w:r>
      <w:r w:rsidRPr="00953DCC">
        <w:rPr>
          <w:rFonts w:ascii="Trebuchet MS" w:hAnsi="Trebuchet MS"/>
          <w:sz w:val="18"/>
          <w:lang w:val="fr-FR"/>
        </w:rPr>
        <w:t>No</w:t>
      </w:r>
      <w:r w:rsidR="0011329B" w:rsidRPr="00953DCC">
        <w:rPr>
          <w:rFonts w:ascii="Trebuchet MS" w:hAnsi="Trebuchet MS"/>
          <w:sz w:val="18"/>
          <w:lang w:val="fr-FR"/>
        </w:rPr>
        <w:t>rd</w:t>
      </w:r>
      <w:r w:rsidR="0011329B">
        <w:rPr>
          <w:rFonts w:ascii="Trebuchet MS" w:hAnsi="Trebuchet MS"/>
          <w:sz w:val="18"/>
          <w:lang w:val="fr-FR"/>
        </w:rPr>
        <w:t xml:space="preserve">.  </w:t>
      </w:r>
      <w:r w:rsidR="0011329B" w:rsidRPr="00953DCC">
        <w:rPr>
          <w:rFonts w:ascii="Trebuchet MS" w:hAnsi="Trebuchet MS"/>
          <w:sz w:val="18"/>
          <w:lang w:val="fr-FR"/>
        </w:rPr>
        <w:t xml:space="preserve">À </w:t>
      </w:r>
      <w:r w:rsidRPr="00953DCC">
        <w:rPr>
          <w:rFonts w:ascii="Trebuchet MS" w:hAnsi="Trebuchet MS"/>
          <w:sz w:val="18"/>
          <w:lang w:val="fr-FR"/>
        </w:rPr>
        <w:t>moins qu</w:t>
      </w:r>
      <w:r w:rsidR="0056301D">
        <w:rPr>
          <w:rFonts w:ascii="Trebuchet MS" w:hAnsi="Trebuchet MS"/>
          <w:sz w:val="18"/>
          <w:lang w:val="fr-FR"/>
        </w:rPr>
        <w:t>’</w:t>
      </w:r>
      <w:r w:rsidRPr="00953DCC">
        <w:rPr>
          <w:rFonts w:ascii="Trebuchet MS" w:hAnsi="Trebuchet MS"/>
          <w:sz w:val="18"/>
          <w:lang w:val="fr-FR"/>
        </w:rPr>
        <w:t xml:space="preserve">une solution durable et équitable ne soit trouvée dans le contexte des </w:t>
      </w:r>
      <w:r w:rsidR="0056301D">
        <w:rPr>
          <w:rFonts w:ascii="Trebuchet MS" w:hAnsi="Trebuchet MS"/>
          <w:sz w:val="18"/>
          <w:lang w:val="fr-FR"/>
        </w:rPr>
        <w:t>Nations Unies</w:t>
      </w:r>
      <w:r w:rsidRPr="00953DCC">
        <w:rPr>
          <w:rFonts w:ascii="Trebuchet MS" w:hAnsi="Trebuchet MS"/>
          <w:sz w:val="18"/>
          <w:lang w:val="fr-FR"/>
        </w:rPr>
        <w:t>, la Turquie maintient sa position concernant la “question chypriote”.</w:t>
      </w:r>
    </w:p>
    <w:p w14:paraId="572952D0" w14:textId="74319229" w:rsidR="005F025D" w:rsidRPr="00953DCC" w:rsidRDefault="005F025D" w:rsidP="005F025D">
      <w:pPr>
        <w:spacing w:before="119"/>
        <w:rPr>
          <w:rFonts w:ascii="Trebuchet MS"/>
          <w:sz w:val="18"/>
          <w:lang w:val="fr-FR"/>
        </w:rPr>
      </w:pPr>
      <w:r w:rsidRPr="00953DCC">
        <w:rPr>
          <w:rFonts w:ascii="Trebuchet MS"/>
          <w:sz w:val="18"/>
          <w:lang w:val="fr-FR"/>
        </w:rPr>
        <w:t xml:space="preserve">Note de tous les </w:t>
      </w:r>
      <w:r w:rsidRPr="00953DCC">
        <w:rPr>
          <w:rFonts w:ascii="Trebuchet MS"/>
          <w:sz w:val="18"/>
          <w:lang w:val="fr-FR"/>
        </w:rPr>
        <w:t>É</w:t>
      </w:r>
      <w:r w:rsidRPr="00953DCC">
        <w:rPr>
          <w:rFonts w:ascii="Trebuchet MS"/>
          <w:sz w:val="18"/>
          <w:lang w:val="fr-FR"/>
        </w:rPr>
        <w:t>tats de l</w:t>
      </w:r>
      <w:r w:rsidR="0056301D">
        <w:rPr>
          <w:rFonts w:ascii="Trebuchet MS"/>
          <w:sz w:val="18"/>
          <w:lang w:val="fr-FR"/>
        </w:rPr>
        <w:t>’</w:t>
      </w:r>
      <w:r w:rsidRPr="00953DCC">
        <w:rPr>
          <w:rFonts w:ascii="Trebuchet MS"/>
          <w:sz w:val="18"/>
          <w:lang w:val="fr-FR"/>
        </w:rPr>
        <w:t>Union europ</w:t>
      </w:r>
      <w:r w:rsidRPr="00953DCC">
        <w:rPr>
          <w:rFonts w:ascii="Trebuchet MS"/>
          <w:sz w:val="18"/>
          <w:lang w:val="fr-FR"/>
        </w:rPr>
        <w:t>é</w:t>
      </w:r>
      <w:r w:rsidRPr="00953DCC">
        <w:rPr>
          <w:rFonts w:ascii="Trebuchet MS"/>
          <w:sz w:val="18"/>
          <w:lang w:val="fr-FR"/>
        </w:rPr>
        <w:t>enne membres de l</w:t>
      </w:r>
      <w:r w:rsidR="0056301D">
        <w:rPr>
          <w:rFonts w:ascii="Trebuchet MS"/>
          <w:sz w:val="18"/>
          <w:lang w:val="fr-FR"/>
        </w:rPr>
        <w:t>’</w:t>
      </w:r>
      <w:r w:rsidRPr="00953DCC">
        <w:rPr>
          <w:rFonts w:ascii="Trebuchet MS"/>
          <w:sz w:val="18"/>
          <w:lang w:val="fr-FR"/>
        </w:rPr>
        <w:t>OCDE et de l</w:t>
      </w:r>
      <w:r w:rsidR="0056301D">
        <w:rPr>
          <w:rFonts w:ascii="Trebuchet MS"/>
          <w:sz w:val="18"/>
          <w:lang w:val="fr-FR"/>
        </w:rPr>
        <w:t>’</w:t>
      </w:r>
      <w:r w:rsidRPr="00953DCC">
        <w:rPr>
          <w:rFonts w:ascii="Trebuchet MS"/>
          <w:sz w:val="18"/>
          <w:lang w:val="fr-FR"/>
        </w:rPr>
        <w:t>Union europ</w:t>
      </w:r>
      <w:r w:rsidRPr="00953DCC">
        <w:rPr>
          <w:rFonts w:ascii="Trebuchet MS"/>
          <w:sz w:val="18"/>
          <w:lang w:val="fr-FR"/>
        </w:rPr>
        <w:t>é</w:t>
      </w:r>
      <w:r w:rsidRPr="00953DCC">
        <w:rPr>
          <w:rFonts w:ascii="Trebuchet MS"/>
          <w:sz w:val="18"/>
          <w:lang w:val="fr-FR"/>
        </w:rPr>
        <w:t>enne</w:t>
      </w:r>
    </w:p>
    <w:p w14:paraId="572952D1" w14:textId="1B5CC508" w:rsidR="005F025D" w:rsidRPr="00953DCC" w:rsidRDefault="005F025D" w:rsidP="005F025D">
      <w:pPr>
        <w:spacing w:before="120"/>
        <w:ind w:right="216"/>
        <w:rPr>
          <w:rFonts w:ascii="Trebuchet MS"/>
          <w:sz w:val="18"/>
          <w:lang w:val="fr-FR"/>
        </w:rPr>
      </w:pPr>
      <w:r w:rsidRPr="00953DCC">
        <w:rPr>
          <w:rFonts w:ascii="Trebuchet MS"/>
          <w:sz w:val="18"/>
          <w:lang w:val="fr-FR"/>
        </w:rPr>
        <w:t>La R</w:t>
      </w:r>
      <w:r w:rsidRPr="00953DCC">
        <w:rPr>
          <w:rFonts w:ascii="Trebuchet MS"/>
          <w:sz w:val="18"/>
          <w:lang w:val="fr-FR"/>
        </w:rPr>
        <w:t>é</w:t>
      </w:r>
      <w:r w:rsidRPr="00953DCC">
        <w:rPr>
          <w:rFonts w:ascii="Trebuchet MS"/>
          <w:sz w:val="18"/>
          <w:lang w:val="fr-FR"/>
        </w:rPr>
        <w:t xml:space="preserve">publique de Chypre est reconnue par tous les </w:t>
      </w:r>
      <w:r w:rsidRPr="00953DCC">
        <w:rPr>
          <w:rFonts w:ascii="Trebuchet MS"/>
          <w:sz w:val="18"/>
          <w:lang w:val="fr-FR"/>
        </w:rPr>
        <w:t>É</w:t>
      </w:r>
      <w:r w:rsidRPr="00953DCC">
        <w:rPr>
          <w:rFonts w:ascii="Trebuchet MS"/>
          <w:sz w:val="18"/>
          <w:lang w:val="fr-FR"/>
        </w:rPr>
        <w:t xml:space="preserve">tats membres des </w:t>
      </w:r>
      <w:r w:rsidR="0056301D">
        <w:rPr>
          <w:rFonts w:ascii="Trebuchet MS"/>
          <w:sz w:val="18"/>
          <w:lang w:val="fr-FR"/>
        </w:rPr>
        <w:t>Nations</w:t>
      </w:r>
      <w:r w:rsidR="0056301D">
        <w:rPr>
          <w:rFonts w:ascii="Trebuchet MS"/>
          <w:sz w:val="18"/>
          <w:lang w:val="fr-FR"/>
        </w:rPr>
        <w:t> </w:t>
      </w:r>
      <w:r w:rsidR="0056301D">
        <w:rPr>
          <w:rFonts w:ascii="Trebuchet MS"/>
          <w:sz w:val="18"/>
          <w:lang w:val="fr-FR"/>
        </w:rPr>
        <w:t>Unies</w:t>
      </w:r>
      <w:r w:rsidRPr="00953DCC">
        <w:rPr>
          <w:rFonts w:ascii="Trebuchet MS"/>
          <w:sz w:val="18"/>
          <w:lang w:val="fr-FR"/>
        </w:rPr>
        <w:t xml:space="preserve"> </w:t>
      </w:r>
      <w:r w:rsidRPr="00953DCC">
        <w:rPr>
          <w:rFonts w:ascii="Trebuchet MS"/>
          <w:sz w:val="18"/>
          <w:lang w:val="fr-FR"/>
        </w:rPr>
        <w:t>à</w:t>
      </w:r>
      <w:r w:rsidRPr="00953DCC">
        <w:rPr>
          <w:rFonts w:ascii="Trebuchet MS"/>
          <w:sz w:val="18"/>
          <w:lang w:val="fr-FR"/>
        </w:rPr>
        <w:t xml:space="preserve"> l</w:t>
      </w:r>
      <w:r w:rsidR="0056301D">
        <w:rPr>
          <w:rFonts w:ascii="Trebuchet MS"/>
          <w:sz w:val="18"/>
          <w:lang w:val="fr-FR"/>
        </w:rPr>
        <w:t>’</w:t>
      </w:r>
      <w:r w:rsidRPr="00953DCC">
        <w:rPr>
          <w:rFonts w:ascii="Trebuchet MS"/>
          <w:sz w:val="18"/>
          <w:lang w:val="fr-FR"/>
        </w:rPr>
        <w:t>exception de la Turqu</w:t>
      </w:r>
      <w:r w:rsidR="0011329B" w:rsidRPr="00953DCC">
        <w:rPr>
          <w:rFonts w:ascii="Trebuchet MS"/>
          <w:sz w:val="18"/>
          <w:lang w:val="fr-FR"/>
        </w:rPr>
        <w:t>ie</w:t>
      </w:r>
      <w:r w:rsidR="0011329B">
        <w:rPr>
          <w:rFonts w:ascii="Trebuchet MS"/>
          <w:sz w:val="18"/>
          <w:lang w:val="fr-FR"/>
        </w:rPr>
        <w:t xml:space="preserve">.  </w:t>
      </w:r>
      <w:r w:rsidR="0011329B" w:rsidRPr="00953DCC">
        <w:rPr>
          <w:rFonts w:ascii="Trebuchet MS"/>
          <w:sz w:val="18"/>
          <w:lang w:val="fr-FR"/>
        </w:rPr>
        <w:t>Le</w:t>
      </w:r>
      <w:r w:rsidRPr="00953DCC">
        <w:rPr>
          <w:rFonts w:ascii="Trebuchet MS"/>
          <w:sz w:val="18"/>
          <w:lang w:val="fr-FR"/>
        </w:rPr>
        <w:t>s informations pr</w:t>
      </w:r>
      <w:r w:rsidRPr="00953DCC">
        <w:rPr>
          <w:rFonts w:ascii="Trebuchet MS"/>
          <w:sz w:val="18"/>
          <w:lang w:val="fr-FR"/>
        </w:rPr>
        <w:t>é</w:t>
      </w:r>
      <w:r w:rsidRPr="00953DCC">
        <w:rPr>
          <w:rFonts w:ascii="Trebuchet MS"/>
          <w:sz w:val="18"/>
          <w:lang w:val="fr-FR"/>
        </w:rPr>
        <w:t>sent</w:t>
      </w:r>
      <w:r w:rsidRPr="00953DCC">
        <w:rPr>
          <w:rFonts w:ascii="Trebuchet MS"/>
          <w:sz w:val="18"/>
          <w:lang w:val="fr-FR"/>
        </w:rPr>
        <w:t>é</w:t>
      </w:r>
      <w:r w:rsidRPr="00953DCC">
        <w:rPr>
          <w:rFonts w:ascii="Trebuchet MS"/>
          <w:sz w:val="18"/>
          <w:lang w:val="fr-FR"/>
        </w:rPr>
        <w:t>es dans ce document concernent la zone sous le contr</w:t>
      </w:r>
      <w:r w:rsidRPr="00953DCC">
        <w:rPr>
          <w:rFonts w:ascii="Trebuchet MS"/>
          <w:sz w:val="18"/>
          <w:lang w:val="fr-FR"/>
        </w:rPr>
        <w:t>ô</w:t>
      </w:r>
      <w:r w:rsidRPr="00953DCC">
        <w:rPr>
          <w:rFonts w:ascii="Trebuchet MS"/>
          <w:sz w:val="18"/>
          <w:lang w:val="fr-FR"/>
        </w:rPr>
        <w:t>le effectif du Gouvernement de la R</w:t>
      </w:r>
      <w:r w:rsidRPr="00953DCC">
        <w:rPr>
          <w:rFonts w:ascii="Trebuchet MS"/>
          <w:sz w:val="18"/>
          <w:lang w:val="fr-FR"/>
        </w:rPr>
        <w:t>é</w:t>
      </w:r>
      <w:r w:rsidRPr="00953DCC">
        <w:rPr>
          <w:rFonts w:ascii="Trebuchet MS"/>
          <w:sz w:val="18"/>
          <w:lang w:val="fr-FR"/>
        </w:rPr>
        <w:t>publique de Chypre.</w:t>
      </w:r>
      <w:r w:rsidR="006C32CE">
        <w:rPr>
          <w:rFonts w:ascii="Trebuchet MS"/>
          <w:sz w:val="18"/>
          <w:lang w:val="fr-FR"/>
        </w:rPr>
        <w:t>”</w:t>
      </w:r>
    </w:p>
    <w:p w14:paraId="572952D2" w14:textId="77777777" w:rsidR="005F025D" w:rsidRPr="00953DCC" w:rsidRDefault="005F025D" w:rsidP="007E07ED">
      <w:pPr>
        <w:spacing w:before="120"/>
        <w:ind w:right="216"/>
        <w:rPr>
          <w:rFonts w:ascii="Trebuchet MS"/>
          <w:sz w:val="18"/>
          <w:lang w:val="fr-FR"/>
        </w:rPr>
      </w:pPr>
    </w:p>
    <w:p w14:paraId="572952D3" w14:textId="77777777" w:rsidR="007E07ED" w:rsidRPr="00953DCC" w:rsidRDefault="007E07ED" w:rsidP="007E07ED">
      <w:pPr>
        <w:spacing w:before="3" w:after="1"/>
        <w:rPr>
          <w:rFonts w:ascii="Trebuchet MS"/>
          <w:lang w:val="fr-FR"/>
        </w:rPr>
      </w:pPr>
    </w:p>
    <w:tbl>
      <w:tblPr>
        <w:tblW w:w="7942" w:type="dxa"/>
        <w:tblInd w:w="1658" w:type="dxa"/>
        <w:tblLayout w:type="fixed"/>
        <w:tblCellMar>
          <w:left w:w="0" w:type="dxa"/>
          <w:right w:w="0" w:type="dxa"/>
        </w:tblCellMar>
        <w:tblLook w:val="01E0" w:firstRow="1" w:lastRow="1" w:firstColumn="1" w:lastColumn="1" w:noHBand="0" w:noVBand="0"/>
      </w:tblPr>
      <w:tblGrid>
        <w:gridCol w:w="2482"/>
        <w:gridCol w:w="1438"/>
        <w:gridCol w:w="2879"/>
        <w:gridCol w:w="1143"/>
      </w:tblGrid>
      <w:tr w:rsidR="00D9517D" w:rsidRPr="00953DCC" w14:paraId="572952D8" w14:textId="77777777" w:rsidTr="002C77EB">
        <w:trPr>
          <w:trHeight w:val="279"/>
        </w:trPr>
        <w:tc>
          <w:tcPr>
            <w:tcW w:w="2482" w:type="dxa"/>
            <w:shd w:val="clear" w:color="auto" w:fill="DBE5F1"/>
          </w:tcPr>
          <w:p w14:paraId="572952D4" w14:textId="2832C916" w:rsidR="00D9517D" w:rsidRPr="00953DCC" w:rsidRDefault="00D9517D" w:rsidP="00D9517D">
            <w:pPr>
              <w:widowControl w:val="0"/>
              <w:autoSpaceDE w:val="0"/>
              <w:autoSpaceDN w:val="0"/>
              <w:spacing w:before="27"/>
              <w:jc w:val="left"/>
              <w:rPr>
                <w:rFonts w:ascii="Trebuchet MS" w:eastAsia="Trebuchet MS" w:hAnsi="Trebuchet MS" w:cs="Trebuchet MS"/>
                <w:sz w:val="18"/>
                <w:szCs w:val="22"/>
                <w:lang w:val="fr-FR" w:eastAsia="en-GB" w:bidi="en-GB"/>
              </w:rPr>
            </w:pPr>
            <w:r w:rsidRPr="00953DCC">
              <w:rPr>
                <w:rFonts w:ascii="Trebuchet MS" w:eastAsia="Trebuchet MS" w:hAnsi="Trebuchet MS" w:cs="Trebuchet MS"/>
                <w:sz w:val="18"/>
                <w:szCs w:val="22"/>
                <w:lang w:val="fr-FR" w:eastAsia="en-GB" w:bidi="en-GB"/>
              </w:rPr>
              <w:t>FÉDÉRATION DE RUSSIE</w:t>
            </w:r>
          </w:p>
        </w:tc>
        <w:tc>
          <w:tcPr>
            <w:tcW w:w="1438" w:type="dxa"/>
          </w:tcPr>
          <w:p w14:paraId="572952D5" w14:textId="3F59134E" w:rsidR="00D9517D" w:rsidRPr="009E0B44" w:rsidRDefault="00D9517D" w:rsidP="00D9517D">
            <w:pPr>
              <w:widowControl w:val="0"/>
              <w:autoSpaceDE w:val="0"/>
              <w:autoSpaceDN w:val="0"/>
              <w:spacing w:before="27"/>
              <w:jc w:val="left"/>
              <w:rPr>
                <w:rFonts w:ascii="Trebuchet MS" w:eastAsia="Trebuchet MS" w:hAnsi="Trebuchet MS" w:cs="Trebuchet MS"/>
                <w:sz w:val="18"/>
                <w:szCs w:val="18"/>
                <w:lang w:val="fr-FR" w:eastAsia="en-GB" w:bidi="en-GB"/>
              </w:rPr>
            </w:pPr>
            <w:r w:rsidRPr="00953DCC">
              <w:rPr>
                <w:rFonts w:ascii="Trebuchet MS" w:eastAsia="Trebuchet MS" w:hAnsi="Trebuchet MS" w:cs="Trebuchet MS"/>
                <w:sz w:val="18"/>
                <w:szCs w:val="22"/>
                <w:lang w:val="fr-FR" w:eastAsia="en-GB" w:bidi="en-GB"/>
              </w:rPr>
              <w:t>(2)</w:t>
            </w:r>
          </w:p>
        </w:tc>
        <w:tc>
          <w:tcPr>
            <w:tcW w:w="2879" w:type="dxa"/>
            <w:shd w:val="clear" w:color="auto" w:fill="DBE5F1"/>
          </w:tcPr>
          <w:p w14:paraId="572952D6" w14:textId="57063273" w:rsidR="00D9517D" w:rsidRPr="00953DCC" w:rsidRDefault="00D9517D" w:rsidP="00D9517D">
            <w:pPr>
              <w:widowControl w:val="0"/>
              <w:autoSpaceDE w:val="0"/>
              <w:autoSpaceDN w:val="0"/>
              <w:spacing w:before="27"/>
              <w:jc w:val="left"/>
              <w:rPr>
                <w:rFonts w:ascii="Trebuchet MS" w:eastAsia="Trebuchet MS" w:hAnsi="Trebuchet MS" w:cs="Trebuchet MS"/>
                <w:sz w:val="18"/>
                <w:szCs w:val="22"/>
                <w:lang w:val="fr-FR" w:eastAsia="en-GB" w:bidi="en-GB"/>
              </w:rPr>
            </w:pPr>
            <w:r w:rsidRPr="00953DCC">
              <w:rPr>
                <w:rFonts w:ascii="Trebuchet MS" w:eastAsia="Trebuchet MS" w:hAnsi="Trebuchet MS" w:cs="Trebuchet MS"/>
                <w:sz w:val="18"/>
                <w:szCs w:val="22"/>
                <w:lang w:val="fr-FR" w:eastAsia="en-GB" w:bidi="en-GB"/>
              </w:rPr>
              <w:t>SLOVAQUIE</w:t>
            </w:r>
          </w:p>
        </w:tc>
        <w:tc>
          <w:tcPr>
            <w:tcW w:w="1143" w:type="dxa"/>
          </w:tcPr>
          <w:p w14:paraId="572952D7" w14:textId="23CA40F8" w:rsidR="00D9517D" w:rsidRPr="00953DCC" w:rsidRDefault="00D9517D" w:rsidP="00D9517D">
            <w:pPr>
              <w:widowControl w:val="0"/>
              <w:autoSpaceDE w:val="0"/>
              <w:autoSpaceDN w:val="0"/>
              <w:spacing w:before="28" w:line="232" w:lineRule="exact"/>
              <w:ind w:right="427"/>
              <w:jc w:val="center"/>
              <w:rPr>
                <w:rFonts w:ascii="Trebuchet MS" w:eastAsia="Trebuchet MS" w:hAnsi="Trebuchet MS" w:cs="Trebuchet MS"/>
                <w:szCs w:val="22"/>
                <w:lang w:val="fr-FR" w:eastAsia="en-GB" w:bidi="en-GB"/>
              </w:rPr>
            </w:pPr>
            <w:r w:rsidRPr="00953DCC">
              <w:rPr>
                <w:rFonts w:ascii="Trebuchet MS" w:eastAsia="Trebuchet MS" w:hAnsi="Trebuchet MS" w:cs="Trebuchet MS"/>
                <w:sz w:val="18"/>
                <w:szCs w:val="22"/>
                <w:lang w:val="fr-FR" w:eastAsia="en-GB" w:bidi="en-GB"/>
              </w:rPr>
              <w:t>(1)</w:t>
            </w:r>
          </w:p>
        </w:tc>
      </w:tr>
      <w:tr w:rsidR="00D9517D" w:rsidRPr="00953DCC" w14:paraId="60C8B88B" w14:textId="77777777" w:rsidTr="002C77EB">
        <w:trPr>
          <w:trHeight w:val="279"/>
        </w:trPr>
        <w:tc>
          <w:tcPr>
            <w:tcW w:w="2482" w:type="dxa"/>
            <w:shd w:val="clear" w:color="auto" w:fill="DBE5F1"/>
          </w:tcPr>
          <w:p w14:paraId="37024724" w14:textId="2DBD52E6" w:rsidR="00D9517D" w:rsidRPr="00953DCC" w:rsidRDefault="00D9517D" w:rsidP="00D9517D">
            <w:pPr>
              <w:widowControl w:val="0"/>
              <w:autoSpaceDE w:val="0"/>
              <w:autoSpaceDN w:val="0"/>
              <w:spacing w:before="27"/>
              <w:jc w:val="left"/>
              <w:rPr>
                <w:rFonts w:ascii="Trebuchet MS" w:eastAsia="Trebuchet MS" w:hAnsi="Trebuchet MS" w:cs="Trebuchet MS"/>
                <w:sz w:val="18"/>
                <w:szCs w:val="22"/>
                <w:lang w:val="fr-FR" w:eastAsia="en-GB" w:bidi="en-GB"/>
              </w:rPr>
            </w:pPr>
            <w:r w:rsidRPr="00953DCC">
              <w:rPr>
                <w:rFonts w:ascii="Trebuchet MS" w:eastAsia="Trebuchet MS" w:hAnsi="Trebuchet MS" w:cs="Trebuchet MS"/>
                <w:sz w:val="18"/>
                <w:szCs w:val="22"/>
                <w:lang w:val="fr-FR" w:eastAsia="en-GB" w:bidi="en-GB"/>
              </w:rPr>
              <w:t>FINLANDE</w:t>
            </w:r>
          </w:p>
        </w:tc>
        <w:tc>
          <w:tcPr>
            <w:tcW w:w="1438" w:type="dxa"/>
          </w:tcPr>
          <w:p w14:paraId="6D6FFF5A" w14:textId="5321FBA0" w:rsidR="00D9517D" w:rsidRPr="00953DCC" w:rsidRDefault="00D9517D" w:rsidP="00D9517D">
            <w:pPr>
              <w:widowControl w:val="0"/>
              <w:autoSpaceDE w:val="0"/>
              <w:autoSpaceDN w:val="0"/>
              <w:spacing w:before="27"/>
              <w:jc w:val="left"/>
              <w:rPr>
                <w:rFonts w:ascii="Trebuchet MS" w:eastAsia="Trebuchet MS" w:hAnsi="Trebuchet MS" w:cs="Trebuchet MS"/>
                <w:sz w:val="18"/>
                <w:szCs w:val="22"/>
                <w:lang w:val="fr-FR" w:eastAsia="en-GB" w:bidi="en-GB"/>
              </w:rPr>
            </w:pPr>
            <w:r w:rsidRPr="00953DCC">
              <w:rPr>
                <w:rFonts w:ascii="Trebuchet MS" w:eastAsia="Trebuchet MS" w:hAnsi="Trebuchet MS" w:cs="Trebuchet MS"/>
                <w:sz w:val="18"/>
                <w:szCs w:val="22"/>
                <w:lang w:val="fr-FR" w:eastAsia="en-GB" w:bidi="en-GB"/>
              </w:rPr>
              <w:t>(1)</w:t>
            </w:r>
          </w:p>
        </w:tc>
        <w:tc>
          <w:tcPr>
            <w:tcW w:w="2879" w:type="dxa"/>
            <w:shd w:val="clear" w:color="auto" w:fill="DBE5F1"/>
          </w:tcPr>
          <w:p w14:paraId="7CA40046" w14:textId="212B1FBF" w:rsidR="00D9517D" w:rsidRPr="00953DCC" w:rsidRDefault="00D9517D" w:rsidP="00D9517D">
            <w:pPr>
              <w:widowControl w:val="0"/>
              <w:autoSpaceDE w:val="0"/>
              <w:autoSpaceDN w:val="0"/>
              <w:spacing w:before="27"/>
              <w:jc w:val="left"/>
              <w:rPr>
                <w:rFonts w:ascii="Trebuchet MS" w:eastAsia="Trebuchet MS" w:hAnsi="Trebuchet MS" w:cs="Trebuchet MS"/>
                <w:sz w:val="18"/>
                <w:szCs w:val="22"/>
                <w:lang w:val="fr-FR" w:eastAsia="en-GB" w:bidi="en-GB"/>
              </w:rPr>
            </w:pPr>
            <w:r w:rsidRPr="00953DCC">
              <w:rPr>
                <w:rFonts w:ascii="Trebuchet MS" w:eastAsia="Trebuchet MS" w:hAnsi="Trebuchet MS" w:cs="Trebuchet MS"/>
                <w:sz w:val="18"/>
                <w:szCs w:val="22"/>
                <w:lang w:val="fr-FR" w:eastAsia="en-GB" w:bidi="en-GB"/>
              </w:rPr>
              <w:t>SLOVÉNIE</w:t>
            </w:r>
          </w:p>
        </w:tc>
        <w:tc>
          <w:tcPr>
            <w:tcW w:w="1143" w:type="dxa"/>
          </w:tcPr>
          <w:p w14:paraId="3AAB82E1" w14:textId="0E6D97F7" w:rsidR="00D9517D" w:rsidRPr="00953DCC" w:rsidRDefault="00D9517D" w:rsidP="00D9517D">
            <w:pPr>
              <w:widowControl w:val="0"/>
              <w:autoSpaceDE w:val="0"/>
              <w:autoSpaceDN w:val="0"/>
              <w:spacing w:before="28" w:line="232" w:lineRule="exact"/>
              <w:ind w:right="427"/>
              <w:jc w:val="center"/>
              <w:rPr>
                <w:rFonts w:ascii="Trebuchet MS" w:eastAsia="Trebuchet MS" w:hAnsi="Trebuchet MS" w:cs="Trebuchet MS"/>
                <w:szCs w:val="22"/>
                <w:lang w:val="fr-FR" w:eastAsia="en-GB" w:bidi="en-GB"/>
              </w:rPr>
            </w:pPr>
            <w:r w:rsidRPr="00953DCC">
              <w:rPr>
                <w:rFonts w:ascii="Trebuchet MS" w:eastAsia="Trebuchet MS" w:hAnsi="Trebuchet MS" w:cs="Trebuchet MS"/>
                <w:sz w:val="18"/>
                <w:szCs w:val="22"/>
                <w:lang w:val="fr-FR" w:eastAsia="en-GB" w:bidi="en-GB"/>
              </w:rPr>
              <w:t>(1)</w:t>
            </w:r>
          </w:p>
        </w:tc>
      </w:tr>
      <w:tr w:rsidR="00D9517D" w:rsidRPr="00953DCC" w14:paraId="097D8D43" w14:textId="77777777" w:rsidTr="002C77EB">
        <w:trPr>
          <w:trHeight w:val="279"/>
        </w:trPr>
        <w:tc>
          <w:tcPr>
            <w:tcW w:w="2482" w:type="dxa"/>
            <w:shd w:val="clear" w:color="auto" w:fill="DBE5F1"/>
          </w:tcPr>
          <w:p w14:paraId="0A0B4F4E" w14:textId="59BEFA32" w:rsidR="00D9517D" w:rsidRPr="00953DCC" w:rsidRDefault="00D9517D" w:rsidP="00D9517D">
            <w:pPr>
              <w:widowControl w:val="0"/>
              <w:autoSpaceDE w:val="0"/>
              <w:autoSpaceDN w:val="0"/>
              <w:spacing w:before="27"/>
              <w:jc w:val="left"/>
              <w:rPr>
                <w:rFonts w:ascii="Trebuchet MS" w:eastAsia="Trebuchet MS" w:hAnsi="Trebuchet MS" w:cs="Trebuchet MS"/>
                <w:sz w:val="18"/>
                <w:szCs w:val="22"/>
                <w:lang w:val="fr-FR" w:eastAsia="en-GB" w:bidi="en-GB"/>
              </w:rPr>
            </w:pPr>
            <w:r w:rsidRPr="00953DCC">
              <w:rPr>
                <w:rFonts w:ascii="Trebuchet MS" w:eastAsia="Trebuchet MS" w:hAnsi="Trebuchet MS" w:cs="Trebuchet MS"/>
                <w:sz w:val="18"/>
                <w:szCs w:val="22"/>
                <w:lang w:val="fr-FR" w:eastAsia="en-GB" w:bidi="en-GB"/>
              </w:rPr>
              <w:t>FRANCE</w:t>
            </w:r>
          </w:p>
        </w:tc>
        <w:tc>
          <w:tcPr>
            <w:tcW w:w="1438" w:type="dxa"/>
          </w:tcPr>
          <w:p w14:paraId="6EEE16A9" w14:textId="0E913E89" w:rsidR="00D9517D" w:rsidRPr="00953DCC" w:rsidRDefault="00D9517D" w:rsidP="00D9517D">
            <w:pPr>
              <w:widowControl w:val="0"/>
              <w:autoSpaceDE w:val="0"/>
              <w:autoSpaceDN w:val="0"/>
              <w:spacing w:before="27"/>
              <w:jc w:val="left"/>
              <w:rPr>
                <w:rFonts w:ascii="Trebuchet MS" w:eastAsia="Trebuchet MS" w:hAnsi="Trebuchet MS" w:cs="Trebuchet MS"/>
                <w:sz w:val="18"/>
                <w:szCs w:val="22"/>
                <w:lang w:val="fr-FR" w:eastAsia="en-GB" w:bidi="en-GB"/>
              </w:rPr>
            </w:pPr>
            <w:r w:rsidRPr="00953DCC">
              <w:rPr>
                <w:rFonts w:ascii="Trebuchet MS" w:eastAsia="Trebuchet MS" w:hAnsi="Trebuchet MS" w:cs="Trebuchet MS"/>
                <w:sz w:val="18"/>
                <w:szCs w:val="22"/>
                <w:lang w:val="fr-FR" w:eastAsia="en-GB" w:bidi="en-GB"/>
              </w:rPr>
              <w:t>(1)</w:t>
            </w:r>
          </w:p>
        </w:tc>
        <w:tc>
          <w:tcPr>
            <w:tcW w:w="2879" w:type="dxa"/>
            <w:shd w:val="clear" w:color="auto" w:fill="DBE5F1"/>
          </w:tcPr>
          <w:p w14:paraId="3EE83B7E" w14:textId="1D6B8D57" w:rsidR="00D9517D" w:rsidRPr="00953DCC" w:rsidRDefault="00D9517D" w:rsidP="00D9517D">
            <w:pPr>
              <w:widowControl w:val="0"/>
              <w:autoSpaceDE w:val="0"/>
              <w:autoSpaceDN w:val="0"/>
              <w:spacing w:before="27"/>
              <w:jc w:val="left"/>
              <w:rPr>
                <w:rFonts w:ascii="Trebuchet MS" w:eastAsia="Trebuchet MS" w:hAnsi="Trebuchet MS" w:cs="Trebuchet MS"/>
                <w:sz w:val="18"/>
                <w:szCs w:val="22"/>
                <w:lang w:val="fr-FR" w:eastAsia="en-GB" w:bidi="en-GB"/>
              </w:rPr>
            </w:pPr>
            <w:r w:rsidRPr="00953DCC">
              <w:rPr>
                <w:rFonts w:ascii="Trebuchet MS" w:eastAsia="Trebuchet MS" w:hAnsi="Trebuchet MS" w:cs="Trebuchet MS"/>
                <w:sz w:val="18"/>
                <w:szCs w:val="22"/>
                <w:lang w:val="fr-FR" w:eastAsia="en-GB" w:bidi="en-GB"/>
              </w:rPr>
              <w:t>SUÈDE</w:t>
            </w:r>
          </w:p>
        </w:tc>
        <w:tc>
          <w:tcPr>
            <w:tcW w:w="1143" w:type="dxa"/>
          </w:tcPr>
          <w:p w14:paraId="6E3F3267" w14:textId="4219F555" w:rsidR="00D9517D" w:rsidRPr="00953DCC" w:rsidRDefault="00D9517D" w:rsidP="00D9517D">
            <w:pPr>
              <w:widowControl w:val="0"/>
              <w:autoSpaceDE w:val="0"/>
              <w:autoSpaceDN w:val="0"/>
              <w:spacing w:before="28" w:line="232" w:lineRule="exact"/>
              <w:ind w:right="427"/>
              <w:jc w:val="center"/>
              <w:rPr>
                <w:rFonts w:ascii="Trebuchet MS" w:eastAsia="Trebuchet MS" w:hAnsi="Trebuchet MS" w:cs="Trebuchet MS"/>
                <w:szCs w:val="22"/>
                <w:lang w:val="fr-FR" w:eastAsia="en-GB" w:bidi="en-GB"/>
              </w:rPr>
            </w:pPr>
            <w:r w:rsidRPr="00953DCC">
              <w:rPr>
                <w:rFonts w:ascii="Trebuchet MS" w:eastAsia="Trebuchet MS" w:hAnsi="Trebuchet MS" w:cs="Trebuchet MS"/>
                <w:sz w:val="18"/>
                <w:szCs w:val="22"/>
                <w:lang w:val="fr-FR" w:eastAsia="en-GB" w:bidi="en-GB"/>
              </w:rPr>
              <w:t>(1)</w:t>
            </w:r>
          </w:p>
        </w:tc>
      </w:tr>
      <w:tr w:rsidR="00D9517D" w:rsidRPr="00953DCC" w14:paraId="572952DD" w14:textId="77777777" w:rsidTr="002C77EB">
        <w:trPr>
          <w:trHeight w:val="272"/>
        </w:trPr>
        <w:tc>
          <w:tcPr>
            <w:tcW w:w="2482" w:type="dxa"/>
            <w:shd w:val="clear" w:color="auto" w:fill="DBE5F1"/>
          </w:tcPr>
          <w:p w14:paraId="572952D9" w14:textId="4A7A72EB" w:rsidR="00D9517D" w:rsidRPr="00953DCC" w:rsidRDefault="00D9517D" w:rsidP="00D9517D">
            <w:pPr>
              <w:widowControl w:val="0"/>
              <w:autoSpaceDE w:val="0"/>
              <w:autoSpaceDN w:val="0"/>
              <w:spacing w:before="19"/>
              <w:jc w:val="left"/>
              <w:rPr>
                <w:rFonts w:ascii="Trebuchet MS" w:eastAsia="Trebuchet MS" w:hAnsi="Trebuchet MS" w:cs="Trebuchet MS"/>
                <w:sz w:val="18"/>
                <w:szCs w:val="22"/>
                <w:lang w:val="fr-FR" w:eastAsia="en-GB" w:bidi="en-GB"/>
              </w:rPr>
            </w:pPr>
            <w:r w:rsidRPr="00953DCC">
              <w:rPr>
                <w:rFonts w:ascii="Trebuchet MS" w:eastAsia="Trebuchet MS" w:hAnsi="Trebuchet MS" w:cs="Trebuchet MS"/>
                <w:sz w:val="18"/>
                <w:szCs w:val="22"/>
                <w:lang w:val="fr-FR" w:eastAsia="en-GB" w:bidi="en-GB"/>
              </w:rPr>
              <w:t>GRÈCE</w:t>
            </w:r>
          </w:p>
        </w:tc>
        <w:tc>
          <w:tcPr>
            <w:tcW w:w="1438" w:type="dxa"/>
          </w:tcPr>
          <w:p w14:paraId="572952DA" w14:textId="0D7E0B5C" w:rsidR="00D9517D" w:rsidRPr="00953DCC" w:rsidRDefault="00D9517D" w:rsidP="00D9517D">
            <w:pPr>
              <w:widowControl w:val="0"/>
              <w:autoSpaceDE w:val="0"/>
              <w:autoSpaceDN w:val="0"/>
              <w:spacing w:before="19"/>
              <w:jc w:val="left"/>
              <w:rPr>
                <w:rFonts w:ascii="Trebuchet MS" w:eastAsia="Trebuchet MS" w:hAnsi="Trebuchet MS" w:cs="Trebuchet MS"/>
                <w:sz w:val="18"/>
                <w:szCs w:val="22"/>
                <w:lang w:val="fr-FR" w:eastAsia="en-GB" w:bidi="en-GB"/>
              </w:rPr>
            </w:pPr>
            <w:r w:rsidRPr="00953DCC">
              <w:rPr>
                <w:rFonts w:ascii="Trebuchet MS" w:eastAsia="Trebuchet MS" w:hAnsi="Trebuchet MS" w:cs="Trebuchet MS"/>
                <w:sz w:val="18"/>
                <w:szCs w:val="22"/>
                <w:lang w:val="fr-FR" w:eastAsia="en-GB" w:bidi="en-GB"/>
              </w:rPr>
              <w:t>(1)</w:t>
            </w:r>
          </w:p>
        </w:tc>
        <w:tc>
          <w:tcPr>
            <w:tcW w:w="2879" w:type="dxa"/>
            <w:shd w:val="clear" w:color="auto" w:fill="DBE5F1"/>
          </w:tcPr>
          <w:p w14:paraId="572952DB" w14:textId="1ACF2175" w:rsidR="00D9517D" w:rsidRPr="00953DCC" w:rsidRDefault="00D9517D" w:rsidP="00D9517D">
            <w:pPr>
              <w:widowControl w:val="0"/>
              <w:autoSpaceDE w:val="0"/>
              <w:autoSpaceDN w:val="0"/>
              <w:spacing w:before="19"/>
              <w:jc w:val="left"/>
              <w:rPr>
                <w:rFonts w:ascii="Trebuchet MS" w:eastAsia="Trebuchet MS" w:hAnsi="Trebuchet MS" w:cs="Trebuchet MS"/>
                <w:sz w:val="18"/>
                <w:szCs w:val="22"/>
                <w:lang w:val="fr-FR" w:eastAsia="en-GB" w:bidi="en-GB"/>
              </w:rPr>
            </w:pPr>
            <w:r w:rsidRPr="00953DCC">
              <w:rPr>
                <w:rFonts w:ascii="Trebuchet MS" w:eastAsia="Trebuchet MS" w:hAnsi="Trebuchet MS" w:cs="Trebuchet MS"/>
                <w:sz w:val="18"/>
                <w:szCs w:val="22"/>
                <w:lang w:val="fr-FR" w:eastAsia="en-GB" w:bidi="en-GB"/>
              </w:rPr>
              <w:t>SUISSE</w:t>
            </w:r>
          </w:p>
        </w:tc>
        <w:tc>
          <w:tcPr>
            <w:tcW w:w="1143" w:type="dxa"/>
          </w:tcPr>
          <w:p w14:paraId="572952DC" w14:textId="0C631F07" w:rsidR="00D9517D" w:rsidRPr="009E0B44" w:rsidRDefault="00D9517D" w:rsidP="00D9517D">
            <w:pPr>
              <w:widowControl w:val="0"/>
              <w:autoSpaceDE w:val="0"/>
              <w:autoSpaceDN w:val="0"/>
              <w:spacing w:before="20"/>
              <w:ind w:right="427"/>
              <w:jc w:val="center"/>
              <w:rPr>
                <w:rFonts w:ascii="Trebuchet MS" w:eastAsia="Trebuchet MS" w:hAnsi="Trebuchet MS" w:cs="Trebuchet MS"/>
                <w:sz w:val="18"/>
                <w:szCs w:val="18"/>
                <w:lang w:val="fr-FR" w:eastAsia="en-GB" w:bidi="en-GB"/>
              </w:rPr>
            </w:pPr>
            <w:r w:rsidRPr="009E0B44">
              <w:rPr>
                <w:rFonts w:ascii="Trebuchet MS" w:eastAsia="Trebuchet MS" w:hAnsi="Trebuchet MS" w:cs="Trebuchet MS"/>
                <w:sz w:val="18"/>
                <w:szCs w:val="18"/>
                <w:lang w:val="fr-FR" w:eastAsia="en-GB" w:bidi="en-GB"/>
              </w:rPr>
              <w:t>(1)</w:t>
            </w:r>
          </w:p>
        </w:tc>
      </w:tr>
      <w:tr w:rsidR="00D9517D" w:rsidRPr="00953DCC" w14:paraId="572952E2" w14:textId="77777777" w:rsidTr="002C77EB">
        <w:trPr>
          <w:trHeight w:val="272"/>
        </w:trPr>
        <w:tc>
          <w:tcPr>
            <w:tcW w:w="2482" w:type="dxa"/>
            <w:shd w:val="clear" w:color="auto" w:fill="DBE5F1"/>
          </w:tcPr>
          <w:p w14:paraId="572952DE" w14:textId="453D9BD1" w:rsidR="00D9517D" w:rsidRPr="00953DCC" w:rsidRDefault="00D9517D" w:rsidP="00D9517D">
            <w:pPr>
              <w:widowControl w:val="0"/>
              <w:autoSpaceDE w:val="0"/>
              <w:autoSpaceDN w:val="0"/>
              <w:spacing w:before="20"/>
              <w:jc w:val="left"/>
              <w:rPr>
                <w:rFonts w:ascii="Trebuchet MS" w:eastAsia="Trebuchet MS" w:hAnsi="Trebuchet MS" w:cs="Trebuchet MS"/>
                <w:sz w:val="18"/>
                <w:szCs w:val="22"/>
                <w:lang w:val="fr-FR" w:eastAsia="en-GB" w:bidi="en-GB"/>
              </w:rPr>
            </w:pPr>
            <w:r w:rsidRPr="00953DCC">
              <w:rPr>
                <w:rFonts w:ascii="Trebuchet MS" w:eastAsia="Trebuchet MS" w:hAnsi="Trebuchet MS" w:cs="Trebuchet MS"/>
                <w:sz w:val="18"/>
                <w:szCs w:val="22"/>
                <w:lang w:val="fr-FR" w:eastAsia="en-GB" w:bidi="en-GB"/>
              </w:rPr>
              <w:t>HONGRIE</w:t>
            </w:r>
          </w:p>
        </w:tc>
        <w:tc>
          <w:tcPr>
            <w:tcW w:w="1438" w:type="dxa"/>
          </w:tcPr>
          <w:p w14:paraId="572952DF" w14:textId="0465D9E6" w:rsidR="00D9517D" w:rsidRPr="00953DCC" w:rsidRDefault="00D9517D" w:rsidP="00D9517D">
            <w:pPr>
              <w:widowControl w:val="0"/>
              <w:autoSpaceDE w:val="0"/>
              <w:autoSpaceDN w:val="0"/>
              <w:spacing w:before="20"/>
              <w:jc w:val="left"/>
              <w:rPr>
                <w:rFonts w:ascii="Trebuchet MS" w:eastAsia="Trebuchet MS" w:hAnsi="Trebuchet MS" w:cs="Trebuchet MS"/>
                <w:sz w:val="18"/>
                <w:szCs w:val="22"/>
                <w:lang w:val="fr-FR" w:eastAsia="en-GB" w:bidi="en-GB"/>
              </w:rPr>
            </w:pPr>
            <w:r w:rsidRPr="00953DCC">
              <w:rPr>
                <w:rFonts w:ascii="Trebuchet MS" w:eastAsia="Trebuchet MS" w:hAnsi="Trebuchet MS" w:cs="Trebuchet MS"/>
                <w:sz w:val="18"/>
                <w:szCs w:val="22"/>
                <w:lang w:val="fr-FR" w:eastAsia="en-GB" w:bidi="en-GB"/>
              </w:rPr>
              <w:t>(1)</w:t>
            </w:r>
          </w:p>
        </w:tc>
        <w:tc>
          <w:tcPr>
            <w:tcW w:w="2879" w:type="dxa"/>
            <w:shd w:val="clear" w:color="auto" w:fill="DBE5F1"/>
          </w:tcPr>
          <w:p w14:paraId="572952E0" w14:textId="01B2EEF5" w:rsidR="00D9517D" w:rsidRPr="00953DCC" w:rsidRDefault="00D9517D" w:rsidP="00D9517D">
            <w:pPr>
              <w:widowControl w:val="0"/>
              <w:autoSpaceDE w:val="0"/>
              <w:autoSpaceDN w:val="0"/>
              <w:spacing w:before="20"/>
              <w:jc w:val="left"/>
              <w:rPr>
                <w:rFonts w:ascii="Trebuchet MS" w:eastAsia="Trebuchet MS" w:hAnsi="Trebuchet MS" w:cs="Trebuchet MS"/>
                <w:sz w:val="18"/>
                <w:szCs w:val="22"/>
                <w:lang w:val="fr-FR" w:eastAsia="en-GB" w:bidi="en-GB"/>
              </w:rPr>
            </w:pPr>
            <w:r w:rsidRPr="00953DCC">
              <w:rPr>
                <w:rFonts w:ascii="Trebuchet MS" w:eastAsia="Trebuchet MS" w:hAnsi="Trebuchet MS" w:cs="Trebuchet MS"/>
                <w:sz w:val="18"/>
                <w:szCs w:val="22"/>
                <w:lang w:val="fr-FR" w:eastAsia="en-GB" w:bidi="en-GB"/>
              </w:rPr>
              <w:t>TUNISIE</w:t>
            </w:r>
          </w:p>
        </w:tc>
        <w:tc>
          <w:tcPr>
            <w:tcW w:w="1143" w:type="dxa"/>
          </w:tcPr>
          <w:p w14:paraId="572952E1" w14:textId="55128890" w:rsidR="00D9517D" w:rsidRPr="009E0B44" w:rsidRDefault="00D9517D" w:rsidP="00D9517D">
            <w:pPr>
              <w:widowControl w:val="0"/>
              <w:autoSpaceDE w:val="0"/>
              <w:autoSpaceDN w:val="0"/>
              <w:spacing w:before="21" w:line="231" w:lineRule="exact"/>
              <w:ind w:right="427"/>
              <w:jc w:val="center"/>
              <w:rPr>
                <w:rFonts w:ascii="Trebuchet MS" w:eastAsia="Trebuchet MS" w:hAnsi="Trebuchet MS" w:cs="Trebuchet MS"/>
                <w:sz w:val="18"/>
                <w:szCs w:val="18"/>
                <w:lang w:val="fr-FR" w:eastAsia="en-GB" w:bidi="en-GB"/>
              </w:rPr>
            </w:pPr>
            <w:r w:rsidRPr="009E0B44">
              <w:rPr>
                <w:rFonts w:ascii="Trebuchet MS" w:eastAsia="Trebuchet MS" w:hAnsi="Trebuchet MS" w:cs="Trebuchet MS"/>
                <w:sz w:val="18"/>
                <w:szCs w:val="18"/>
                <w:lang w:val="fr-FR" w:eastAsia="en-GB" w:bidi="en-GB"/>
              </w:rPr>
              <w:t>(2)</w:t>
            </w:r>
          </w:p>
        </w:tc>
      </w:tr>
      <w:tr w:rsidR="00D9517D" w:rsidRPr="00953DCC" w14:paraId="572952E7" w14:textId="77777777" w:rsidTr="002C77EB">
        <w:trPr>
          <w:trHeight w:val="272"/>
        </w:trPr>
        <w:tc>
          <w:tcPr>
            <w:tcW w:w="2482" w:type="dxa"/>
            <w:shd w:val="clear" w:color="auto" w:fill="DBE5F1"/>
          </w:tcPr>
          <w:p w14:paraId="572952E3" w14:textId="1830766E" w:rsidR="00D9517D" w:rsidRPr="00953DCC" w:rsidRDefault="00D9517D" w:rsidP="00D9517D">
            <w:pPr>
              <w:widowControl w:val="0"/>
              <w:autoSpaceDE w:val="0"/>
              <w:autoSpaceDN w:val="0"/>
              <w:spacing w:before="19"/>
              <w:jc w:val="left"/>
              <w:rPr>
                <w:rFonts w:ascii="Trebuchet MS" w:eastAsia="Trebuchet MS" w:hAnsi="Trebuchet MS" w:cs="Trebuchet MS"/>
                <w:sz w:val="18"/>
                <w:szCs w:val="22"/>
                <w:lang w:val="fr-FR" w:eastAsia="en-GB" w:bidi="en-GB"/>
              </w:rPr>
            </w:pPr>
            <w:r w:rsidRPr="00953DCC">
              <w:rPr>
                <w:rFonts w:ascii="Trebuchet MS" w:eastAsia="Trebuchet MS" w:hAnsi="Trebuchet MS" w:cs="Trebuchet MS"/>
                <w:sz w:val="18"/>
                <w:szCs w:val="22"/>
                <w:lang w:val="fr-FR" w:eastAsia="en-GB" w:bidi="en-GB"/>
              </w:rPr>
              <w:t>INDE</w:t>
            </w:r>
          </w:p>
        </w:tc>
        <w:tc>
          <w:tcPr>
            <w:tcW w:w="1438" w:type="dxa"/>
          </w:tcPr>
          <w:p w14:paraId="572952E4" w14:textId="30C5B05C" w:rsidR="00D9517D" w:rsidRPr="00953DCC" w:rsidRDefault="00D9517D" w:rsidP="00D9517D">
            <w:pPr>
              <w:widowControl w:val="0"/>
              <w:autoSpaceDE w:val="0"/>
              <w:autoSpaceDN w:val="0"/>
              <w:spacing w:before="19"/>
              <w:jc w:val="left"/>
              <w:rPr>
                <w:rFonts w:ascii="Trebuchet MS" w:eastAsia="Trebuchet MS" w:hAnsi="Trebuchet MS" w:cs="Trebuchet MS"/>
                <w:sz w:val="18"/>
                <w:szCs w:val="22"/>
                <w:lang w:val="fr-FR" w:eastAsia="en-GB" w:bidi="en-GB"/>
              </w:rPr>
            </w:pPr>
            <w:r w:rsidRPr="00953DCC">
              <w:rPr>
                <w:rFonts w:ascii="Trebuchet MS" w:eastAsia="Trebuchet MS" w:hAnsi="Trebuchet MS" w:cs="Trebuchet MS"/>
                <w:sz w:val="18"/>
                <w:szCs w:val="22"/>
                <w:lang w:val="fr-FR" w:eastAsia="en-GB" w:bidi="en-GB"/>
              </w:rPr>
              <w:t>(2)</w:t>
            </w:r>
          </w:p>
        </w:tc>
        <w:tc>
          <w:tcPr>
            <w:tcW w:w="2879" w:type="dxa"/>
            <w:shd w:val="clear" w:color="auto" w:fill="DBE5F1"/>
          </w:tcPr>
          <w:p w14:paraId="572952E5" w14:textId="03D7D39D" w:rsidR="00D9517D" w:rsidRPr="00953DCC" w:rsidRDefault="00D9517D" w:rsidP="00D9517D">
            <w:pPr>
              <w:widowControl w:val="0"/>
              <w:autoSpaceDE w:val="0"/>
              <w:autoSpaceDN w:val="0"/>
              <w:spacing w:before="19"/>
              <w:jc w:val="left"/>
              <w:rPr>
                <w:rFonts w:ascii="Trebuchet MS" w:eastAsia="Trebuchet MS" w:hAnsi="Trebuchet MS" w:cs="Trebuchet MS"/>
                <w:sz w:val="18"/>
                <w:szCs w:val="22"/>
                <w:lang w:val="fr-FR" w:eastAsia="en-GB" w:bidi="en-GB"/>
              </w:rPr>
            </w:pPr>
            <w:r w:rsidRPr="00953DCC">
              <w:rPr>
                <w:rFonts w:ascii="Trebuchet MS" w:eastAsia="Trebuchet MS" w:hAnsi="Trebuchet MS" w:cs="Trebuchet MS"/>
                <w:sz w:val="18"/>
                <w:szCs w:val="22"/>
                <w:lang w:val="fr-FR" w:eastAsia="en-GB" w:bidi="en-GB"/>
              </w:rPr>
              <w:t>TURQUIE</w:t>
            </w:r>
          </w:p>
        </w:tc>
        <w:tc>
          <w:tcPr>
            <w:tcW w:w="1143" w:type="dxa"/>
          </w:tcPr>
          <w:p w14:paraId="572952E6" w14:textId="1EC55FEA" w:rsidR="00D9517D" w:rsidRPr="009E0B44" w:rsidRDefault="00D9517D" w:rsidP="00D9517D">
            <w:pPr>
              <w:widowControl w:val="0"/>
              <w:autoSpaceDE w:val="0"/>
              <w:autoSpaceDN w:val="0"/>
              <w:spacing w:before="19"/>
              <w:ind w:right="427"/>
              <w:jc w:val="center"/>
              <w:rPr>
                <w:rFonts w:ascii="Trebuchet MS" w:eastAsia="Trebuchet MS" w:hAnsi="Trebuchet MS" w:cs="Trebuchet MS"/>
                <w:sz w:val="18"/>
                <w:szCs w:val="18"/>
                <w:lang w:val="fr-FR" w:eastAsia="en-GB" w:bidi="en-GB"/>
              </w:rPr>
            </w:pPr>
            <w:r w:rsidRPr="009E0B44">
              <w:rPr>
                <w:rFonts w:ascii="Trebuchet MS" w:eastAsia="Trebuchet MS" w:hAnsi="Trebuchet MS" w:cs="Trebuchet MS"/>
                <w:sz w:val="18"/>
                <w:szCs w:val="18"/>
                <w:lang w:val="fr-FR" w:eastAsia="en-GB" w:bidi="en-GB"/>
              </w:rPr>
              <w:t>(1)</w:t>
            </w:r>
          </w:p>
        </w:tc>
      </w:tr>
      <w:tr w:rsidR="00D9517D" w:rsidRPr="00953DCC" w14:paraId="572952EC" w14:textId="77777777" w:rsidTr="002C77EB">
        <w:trPr>
          <w:trHeight w:val="272"/>
        </w:trPr>
        <w:tc>
          <w:tcPr>
            <w:tcW w:w="2482" w:type="dxa"/>
            <w:shd w:val="clear" w:color="auto" w:fill="DBE5F1"/>
          </w:tcPr>
          <w:p w14:paraId="572952E8" w14:textId="2B7B2C02" w:rsidR="00D9517D" w:rsidRPr="00953DCC" w:rsidRDefault="00D9517D" w:rsidP="00D9517D">
            <w:pPr>
              <w:widowControl w:val="0"/>
              <w:autoSpaceDE w:val="0"/>
              <w:autoSpaceDN w:val="0"/>
              <w:spacing w:before="20"/>
              <w:jc w:val="left"/>
              <w:rPr>
                <w:rFonts w:ascii="Trebuchet MS" w:eastAsia="Trebuchet MS" w:hAnsi="Trebuchet MS" w:cs="Trebuchet MS"/>
                <w:sz w:val="18"/>
                <w:szCs w:val="22"/>
                <w:lang w:val="fr-FR" w:eastAsia="en-GB" w:bidi="en-GB"/>
              </w:rPr>
            </w:pPr>
            <w:r w:rsidRPr="00953DCC">
              <w:rPr>
                <w:rFonts w:ascii="Trebuchet MS" w:eastAsia="Trebuchet MS" w:hAnsi="Trebuchet MS" w:cs="Trebuchet MS"/>
                <w:sz w:val="18"/>
                <w:szCs w:val="22"/>
                <w:lang w:val="fr-FR" w:eastAsia="en-GB" w:bidi="en-GB"/>
              </w:rPr>
              <w:t>IRAN</w:t>
            </w:r>
          </w:p>
        </w:tc>
        <w:tc>
          <w:tcPr>
            <w:tcW w:w="1438" w:type="dxa"/>
          </w:tcPr>
          <w:p w14:paraId="572952E9" w14:textId="523946C1" w:rsidR="00D9517D" w:rsidRPr="00953DCC" w:rsidRDefault="00D9517D" w:rsidP="00D9517D">
            <w:pPr>
              <w:widowControl w:val="0"/>
              <w:autoSpaceDE w:val="0"/>
              <w:autoSpaceDN w:val="0"/>
              <w:spacing w:before="20"/>
              <w:jc w:val="left"/>
              <w:rPr>
                <w:rFonts w:ascii="Trebuchet MS" w:eastAsia="Trebuchet MS" w:hAnsi="Trebuchet MS" w:cs="Trebuchet MS"/>
                <w:sz w:val="18"/>
                <w:szCs w:val="22"/>
                <w:lang w:val="fr-FR" w:eastAsia="en-GB" w:bidi="en-GB"/>
              </w:rPr>
            </w:pPr>
            <w:r w:rsidRPr="00953DCC">
              <w:rPr>
                <w:rFonts w:ascii="Trebuchet MS" w:eastAsia="Trebuchet MS" w:hAnsi="Trebuchet MS" w:cs="Trebuchet MS"/>
                <w:sz w:val="18"/>
                <w:szCs w:val="22"/>
                <w:lang w:val="fr-FR" w:eastAsia="en-GB" w:bidi="en-GB"/>
              </w:rPr>
              <w:t>(2)</w:t>
            </w:r>
          </w:p>
        </w:tc>
        <w:tc>
          <w:tcPr>
            <w:tcW w:w="2879" w:type="dxa"/>
            <w:shd w:val="clear" w:color="auto" w:fill="DBE5F1"/>
          </w:tcPr>
          <w:p w14:paraId="572952EA" w14:textId="539812A0" w:rsidR="00D9517D" w:rsidRPr="00953DCC" w:rsidRDefault="00D9517D" w:rsidP="00D9517D">
            <w:pPr>
              <w:widowControl w:val="0"/>
              <w:autoSpaceDE w:val="0"/>
              <w:autoSpaceDN w:val="0"/>
              <w:spacing w:before="20"/>
              <w:jc w:val="left"/>
              <w:rPr>
                <w:rFonts w:ascii="Trebuchet MS" w:eastAsia="Trebuchet MS" w:hAnsi="Trebuchet MS" w:cs="Trebuchet MS"/>
                <w:sz w:val="18"/>
                <w:szCs w:val="22"/>
                <w:lang w:val="fr-FR" w:eastAsia="en-GB" w:bidi="en-GB"/>
              </w:rPr>
            </w:pPr>
            <w:r w:rsidRPr="00953DCC">
              <w:rPr>
                <w:rFonts w:ascii="Trebuchet MS" w:eastAsia="Trebuchet MS" w:hAnsi="Trebuchet MS" w:cs="Trebuchet MS"/>
                <w:sz w:val="18"/>
                <w:szCs w:val="22"/>
                <w:lang w:val="fr-FR" w:eastAsia="en-GB" w:bidi="en-GB"/>
              </w:rPr>
              <w:t>UKRAINE</w:t>
            </w:r>
          </w:p>
        </w:tc>
        <w:tc>
          <w:tcPr>
            <w:tcW w:w="1143" w:type="dxa"/>
          </w:tcPr>
          <w:p w14:paraId="572952EB" w14:textId="43164F9A" w:rsidR="00D9517D" w:rsidRPr="009E0B44" w:rsidRDefault="00D9517D" w:rsidP="00D9517D">
            <w:pPr>
              <w:widowControl w:val="0"/>
              <w:autoSpaceDE w:val="0"/>
              <w:autoSpaceDN w:val="0"/>
              <w:spacing w:before="21" w:line="231" w:lineRule="exact"/>
              <w:ind w:right="427"/>
              <w:jc w:val="center"/>
              <w:rPr>
                <w:rFonts w:ascii="Trebuchet MS" w:eastAsia="Trebuchet MS" w:hAnsi="Trebuchet MS" w:cs="Trebuchet MS"/>
                <w:sz w:val="18"/>
                <w:szCs w:val="18"/>
                <w:lang w:val="fr-FR" w:eastAsia="en-GB" w:bidi="en-GB"/>
              </w:rPr>
            </w:pPr>
            <w:r w:rsidRPr="009E0B44">
              <w:rPr>
                <w:rFonts w:ascii="Trebuchet MS" w:eastAsia="Trebuchet MS" w:hAnsi="Trebuchet MS" w:cs="Trebuchet MS"/>
                <w:sz w:val="18"/>
                <w:szCs w:val="18"/>
                <w:lang w:val="fr-FR" w:eastAsia="en-GB" w:bidi="en-GB"/>
              </w:rPr>
              <w:t>(2)</w:t>
            </w:r>
          </w:p>
        </w:tc>
      </w:tr>
      <w:tr w:rsidR="00D9517D" w:rsidRPr="00953DCC" w14:paraId="572952F1" w14:textId="77777777" w:rsidTr="002C77EB">
        <w:trPr>
          <w:trHeight w:val="259"/>
        </w:trPr>
        <w:tc>
          <w:tcPr>
            <w:tcW w:w="2482" w:type="dxa"/>
            <w:shd w:val="clear" w:color="auto" w:fill="DBE5F1"/>
          </w:tcPr>
          <w:p w14:paraId="572952ED" w14:textId="6E9005B8" w:rsidR="00D9517D" w:rsidRPr="00953DCC" w:rsidRDefault="00D9517D" w:rsidP="00D9517D">
            <w:pPr>
              <w:widowControl w:val="0"/>
              <w:autoSpaceDE w:val="0"/>
              <w:autoSpaceDN w:val="0"/>
              <w:spacing w:before="19"/>
              <w:jc w:val="left"/>
              <w:rPr>
                <w:rFonts w:ascii="Trebuchet MS" w:eastAsia="Trebuchet MS" w:hAnsi="Trebuchet MS" w:cs="Trebuchet MS"/>
                <w:sz w:val="18"/>
                <w:szCs w:val="22"/>
                <w:lang w:val="fr-FR" w:eastAsia="en-GB" w:bidi="en-GB"/>
              </w:rPr>
            </w:pPr>
            <w:r w:rsidRPr="00953DCC">
              <w:rPr>
                <w:rFonts w:ascii="Trebuchet MS" w:eastAsia="Trebuchet MS" w:hAnsi="Trebuchet MS" w:cs="Trebuchet MS"/>
                <w:sz w:val="18"/>
                <w:szCs w:val="22"/>
                <w:lang w:val="fr-FR" w:eastAsia="en-GB" w:bidi="en-GB"/>
              </w:rPr>
              <w:t>IRLANDE</w:t>
            </w:r>
          </w:p>
        </w:tc>
        <w:tc>
          <w:tcPr>
            <w:tcW w:w="1438" w:type="dxa"/>
          </w:tcPr>
          <w:p w14:paraId="572952EE" w14:textId="5565D55D" w:rsidR="00D9517D" w:rsidRPr="00953DCC" w:rsidRDefault="00D9517D" w:rsidP="00D9517D">
            <w:pPr>
              <w:widowControl w:val="0"/>
              <w:autoSpaceDE w:val="0"/>
              <w:autoSpaceDN w:val="0"/>
              <w:spacing w:before="19"/>
              <w:jc w:val="left"/>
              <w:rPr>
                <w:rFonts w:ascii="Trebuchet MS" w:eastAsia="Trebuchet MS" w:hAnsi="Trebuchet MS" w:cs="Trebuchet MS"/>
                <w:sz w:val="18"/>
                <w:szCs w:val="22"/>
                <w:lang w:val="fr-FR" w:eastAsia="en-GB" w:bidi="en-GB"/>
              </w:rPr>
            </w:pPr>
            <w:r w:rsidRPr="00953DCC">
              <w:rPr>
                <w:rFonts w:ascii="Trebuchet MS" w:eastAsia="Trebuchet MS" w:hAnsi="Trebuchet MS" w:cs="Trebuchet MS"/>
                <w:sz w:val="18"/>
                <w:szCs w:val="22"/>
                <w:lang w:val="fr-FR" w:eastAsia="en-GB" w:bidi="en-GB"/>
              </w:rPr>
              <w:t>(1)</w:t>
            </w:r>
          </w:p>
        </w:tc>
        <w:tc>
          <w:tcPr>
            <w:tcW w:w="2879" w:type="dxa"/>
            <w:tcBorders>
              <w:bottom w:val="single" w:sz="8" w:space="0" w:color="000000"/>
            </w:tcBorders>
            <w:shd w:val="clear" w:color="auto" w:fill="DBE5F1"/>
          </w:tcPr>
          <w:p w14:paraId="572952EF" w14:textId="63D25E74" w:rsidR="00D9517D" w:rsidRPr="00953DCC" w:rsidRDefault="00D9517D" w:rsidP="00D9517D">
            <w:pPr>
              <w:widowControl w:val="0"/>
              <w:autoSpaceDE w:val="0"/>
              <w:autoSpaceDN w:val="0"/>
              <w:spacing w:before="19"/>
              <w:jc w:val="left"/>
              <w:rPr>
                <w:rFonts w:ascii="Trebuchet MS" w:eastAsia="Trebuchet MS" w:hAnsi="Trebuchet MS" w:cs="Trebuchet MS"/>
                <w:sz w:val="18"/>
                <w:szCs w:val="22"/>
                <w:lang w:val="fr-FR" w:eastAsia="en-GB" w:bidi="en-GB"/>
              </w:rPr>
            </w:pPr>
            <w:r w:rsidRPr="00953DCC">
              <w:rPr>
                <w:rFonts w:ascii="Trebuchet MS" w:eastAsia="Trebuchet MS" w:hAnsi="Trebuchet MS" w:cs="Trebuchet MS"/>
                <w:sz w:val="18"/>
                <w:szCs w:val="22"/>
                <w:lang w:val="fr-FR" w:eastAsia="en-GB" w:bidi="en-GB"/>
              </w:rPr>
              <w:t>URUGUAY</w:t>
            </w:r>
          </w:p>
        </w:tc>
        <w:tc>
          <w:tcPr>
            <w:tcW w:w="1143" w:type="dxa"/>
            <w:tcBorders>
              <w:bottom w:val="single" w:sz="8" w:space="0" w:color="000000"/>
            </w:tcBorders>
          </w:tcPr>
          <w:p w14:paraId="572952F0" w14:textId="4858941E" w:rsidR="00D9517D" w:rsidRPr="009E0B44" w:rsidRDefault="00D9517D" w:rsidP="00D9517D">
            <w:pPr>
              <w:widowControl w:val="0"/>
              <w:autoSpaceDE w:val="0"/>
              <w:autoSpaceDN w:val="0"/>
              <w:spacing w:before="19" w:line="220" w:lineRule="exact"/>
              <w:ind w:right="427"/>
              <w:jc w:val="center"/>
              <w:rPr>
                <w:rFonts w:ascii="Trebuchet MS" w:eastAsia="Trebuchet MS" w:hAnsi="Trebuchet MS" w:cs="Trebuchet MS"/>
                <w:sz w:val="18"/>
                <w:szCs w:val="18"/>
                <w:lang w:val="fr-FR" w:eastAsia="en-GB" w:bidi="en-GB"/>
              </w:rPr>
            </w:pPr>
            <w:r w:rsidRPr="009E0B44">
              <w:rPr>
                <w:rFonts w:ascii="Trebuchet MS" w:eastAsia="Trebuchet MS" w:hAnsi="Trebuchet MS" w:cs="Trebuchet MS"/>
                <w:sz w:val="18"/>
                <w:szCs w:val="18"/>
                <w:lang w:val="fr-FR" w:eastAsia="en-GB" w:bidi="en-GB"/>
              </w:rPr>
              <w:t>(2)</w:t>
            </w:r>
          </w:p>
        </w:tc>
      </w:tr>
      <w:tr w:rsidR="00D9517D" w:rsidRPr="00953DCC" w14:paraId="572952F6" w14:textId="77777777" w:rsidTr="00D9517D">
        <w:trPr>
          <w:trHeight w:val="284"/>
        </w:trPr>
        <w:tc>
          <w:tcPr>
            <w:tcW w:w="2482" w:type="dxa"/>
            <w:shd w:val="clear" w:color="auto" w:fill="DBE5F1"/>
          </w:tcPr>
          <w:p w14:paraId="572952F2" w14:textId="224156D9" w:rsidR="00D9517D" w:rsidRPr="00953DCC" w:rsidRDefault="00D9517D" w:rsidP="00D9517D">
            <w:pPr>
              <w:widowControl w:val="0"/>
              <w:autoSpaceDE w:val="0"/>
              <w:autoSpaceDN w:val="0"/>
              <w:spacing w:before="31"/>
              <w:jc w:val="left"/>
              <w:rPr>
                <w:rFonts w:ascii="Trebuchet MS" w:eastAsia="Trebuchet MS" w:hAnsi="Trebuchet MS" w:cs="Trebuchet MS"/>
                <w:sz w:val="18"/>
                <w:szCs w:val="22"/>
                <w:lang w:val="fr-FR" w:eastAsia="en-GB" w:bidi="en-GB"/>
              </w:rPr>
            </w:pPr>
            <w:r w:rsidRPr="00953DCC">
              <w:rPr>
                <w:rFonts w:ascii="Trebuchet MS" w:eastAsia="Trebuchet MS" w:hAnsi="Trebuchet MS" w:cs="Trebuchet MS"/>
                <w:sz w:val="18"/>
                <w:szCs w:val="22"/>
                <w:lang w:val="fr-FR" w:eastAsia="en-GB" w:bidi="en-GB"/>
              </w:rPr>
              <w:t>ISLANDE</w:t>
            </w:r>
          </w:p>
        </w:tc>
        <w:tc>
          <w:tcPr>
            <w:tcW w:w="1438" w:type="dxa"/>
          </w:tcPr>
          <w:p w14:paraId="572952F3" w14:textId="7FC56228" w:rsidR="00D9517D" w:rsidRPr="00953DCC" w:rsidRDefault="00D9517D" w:rsidP="00D9517D">
            <w:pPr>
              <w:widowControl w:val="0"/>
              <w:autoSpaceDE w:val="0"/>
              <w:autoSpaceDN w:val="0"/>
              <w:spacing w:before="31"/>
              <w:jc w:val="left"/>
              <w:rPr>
                <w:rFonts w:ascii="Trebuchet MS" w:eastAsia="Trebuchet MS" w:hAnsi="Trebuchet MS" w:cs="Trebuchet MS"/>
                <w:sz w:val="18"/>
                <w:szCs w:val="22"/>
                <w:lang w:val="fr-FR" w:eastAsia="en-GB" w:bidi="en-GB"/>
              </w:rPr>
            </w:pPr>
            <w:r w:rsidRPr="00953DCC">
              <w:rPr>
                <w:rFonts w:ascii="Trebuchet MS" w:eastAsia="Trebuchet MS" w:hAnsi="Trebuchet MS" w:cs="Trebuchet MS"/>
                <w:sz w:val="18"/>
                <w:szCs w:val="22"/>
                <w:lang w:val="fr-FR" w:eastAsia="en-GB" w:bidi="en-GB"/>
              </w:rPr>
              <w:t>(1)</w:t>
            </w:r>
          </w:p>
        </w:tc>
        <w:tc>
          <w:tcPr>
            <w:tcW w:w="2879" w:type="dxa"/>
            <w:tcBorders>
              <w:top w:val="single" w:sz="8" w:space="0" w:color="000000"/>
            </w:tcBorders>
            <w:shd w:val="clear" w:color="auto" w:fill="auto"/>
          </w:tcPr>
          <w:p w14:paraId="572952F4" w14:textId="093710D4" w:rsidR="00D9517D" w:rsidRPr="00953DCC" w:rsidRDefault="00D9517D" w:rsidP="00D9517D">
            <w:pPr>
              <w:widowControl w:val="0"/>
              <w:autoSpaceDE w:val="0"/>
              <w:autoSpaceDN w:val="0"/>
              <w:spacing w:before="31"/>
              <w:jc w:val="left"/>
              <w:rPr>
                <w:rFonts w:ascii="Trebuchet MS" w:eastAsia="Trebuchet MS" w:hAnsi="Trebuchet MS" w:cs="Trebuchet MS"/>
                <w:sz w:val="18"/>
                <w:szCs w:val="22"/>
                <w:lang w:val="fr-FR" w:eastAsia="en-GB" w:bidi="en-GB"/>
              </w:rPr>
            </w:pPr>
          </w:p>
        </w:tc>
        <w:tc>
          <w:tcPr>
            <w:tcW w:w="1143" w:type="dxa"/>
            <w:tcBorders>
              <w:top w:val="single" w:sz="8" w:space="0" w:color="000000"/>
            </w:tcBorders>
            <w:shd w:val="clear" w:color="auto" w:fill="auto"/>
          </w:tcPr>
          <w:p w14:paraId="572952F5" w14:textId="208D44E6" w:rsidR="00D9517D" w:rsidRPr="009E0B44" w:rsidRDefault="00D9517D" w:rsidP="00D9517D">
            <w:pPr>
              <w:widowControl w:val="0"/>
              <w:autoSpaceDE w:val="0"/>
              <w:autoSpaceDN w:val="0"/>
              <w:spacing w:before="31"/>
              <w:ind w:right="427"/>
              <w:jc w:val="center"/>
              <w:rPr>
                <w:rFonts w:ascii="Trebuchet MS" w:eastAsia="Trebuchet MS" w:hAnsi="Trebuchet MS" w:cs="Trebuchet MS"/>
                <w:sz w:val="18"/>
                <w:szCs w:val="18"/>
                <w:lang w:val="fr-FR" w:eastAsia="en-GB" w:bidi="en-GB"/>
              </w:rPr>
            </w:pPr>
          </w:p>
        </w:tc>
      </w:tr>
      <w:tr w:rsidR="00D9517D" w:rsidRPr="00953DCC" w14:paraId="572952FB" w14:textId="77777777" w:rsidTr="002C77EB">
        <w:trPr>
          <w:trHeight w:val="272"/>
        </w:trPr>
        <w:tc>
          <w:tcPr>
            <w:tcW w:w="2482" w:type="dxa"/>
            <w:shd w:val="clear" w:color="auto" w:fill="DBE5F1"/>
          </w:tcPr>
          <w:p w14:paraId="572952F7" w14:textId="08F34831" w:rsidR="00D9517D" w:rsidRPr="00953DCC" w:rsidRDefault="00D9517D" w:rsidP="00D9517D">
            <w:pPr>
              <w:widowControl w:val="0"/>
              <w:autoSpaceDE w:val="0"/>
              <w:autoSpaceDN w:val="0"/>
              <w:spacing w:before="20"/>
              <w:jc w:val="left"/>
              <w:rPr>
                <w:rFonts w:ascii="Trebuchet MS" w:eastAsia="Trebuchet MS" w:hAnsi="Trebuchet MS" w:cs="Trebuchet MS"/>
                <w:sz w:val="18"/>
                <w:szCs w:val="22"/>
                <w:lang w:val="fr-FR" w:eastAsia="en-GB" w:bidi="en-GB"/>
              </w:rPr>
            </w:pPr>
            <w:r w:rsidRPr="00953DCC">
              <w:rPr>
                <w:rFonts w:ascii="Trebuchet MS" w:eastAsia="Trebuchet MS" w:hAnsi="Trebuchet MS" w:cs="Trebuchet MS"/>
                <w:sz w:val="18"/>
                <w:szCs w:val="22"/>
                <w:lang w:val="fr-FR" w:eastAsia="en-GB" w:bidi="en-GB"/>
              </w:rPr>
              <w:t>ISRAËL</w:t>
            </w:r>
          </w:p>
        </w:tc>
        <w:tc>
          <w:tcPr>
            <w:tcW w:w="1438" w:type="dxa"/>
          </w:tcPr>
          <w:p w14:paraId="572952F8" w14:textId="4746AFCA" w:rsidR="00D9517D" w:rsidRPr="00953DCC" w:rsidRDefault="00D9517D" w:rsidP="00D9517D">
            <w:pPr>
              <w:widowControl w:val="0"/>
              <w:autoSpaceDE w:val="0"/>
              <w:autoSpaceDN w:val="0"/>
              <w:spacing w:before="20"/>
              <w:jc w:val="left"/>
              <w:rPr>
                <w:rFonts w:ascii="Trebuchet MS" w:eastAsia="Trebuchet MS" w:hAnsi="Trebuchet MS" w:cs="Trebuchet MS"/>
                <w:sz w:val="18"/>
                <w:szCs w:val="22"/>
                <w:lang w:val="fr-FR" w:eastAsia="en-GB" w:bidi="en-GB"/>
              </w:rPr>
            </w:pPr>
            <w:r w:rsidRPr="00953DCC">
              <w:rPr>
                <w:rFonts w:ascii="Trebuchet MS" w:eastAsia="Trebuchet MS" w:hAnsi="Trebuchet MS" w:cs="Trebuchet MS"/>
                <w:sz w:val="18"/>
                <w:szCs w:val="22"/>
                <w:lang w:val="fr-FR" w:eastAsia="en-GB" w:bidi="en-GB"/>
              </w:rPr>
              <w:t>(1)</w:t>
            </w:r>
          </w:p>
        </w:tc>
        <w:tc>
          <w:tcPr>
            <w:tcW w:w="2879" w:type="dxa"/>
          </w:tcPr>
          <w:p w14:paraId="572952F9" w14:textId="1215A30E" w:rsidR="00D9517D" w:rsidRPr="00953DCC" w:rsidRDefault="00D9517D" w:rsidP="00D9517D">
            <w:pPr>
              <w:widowControl w:val="0"/>
              <w:autoSpaceDE w:val="0"/>
              <w:autoSpaceDN w:val="0"/>
              <w:spacing w:before="20"/>
              <w:jc w:val="left"/>
              <w:rPr>
                <w:rFonts w:ascii="Trebuchet MS" w:eastAsia="Trebuchet MS" w:hAnsi="Trebuchet MS" w:cs="Trebuchet MS"/>
                <w:sz w:val="18"/>
                <w:szCs w:val="22"/>
                <w:lang w:val="fr-FR" w:eastAsia="en-GB" w:bidi="en-GB"/>
              </w:rPr>
            </w:pPr>
            <w:r w:rsidRPr="00953DCC">
              <w:rPr>
                <w:rFonts w:ascii="Trebuchet MS" w:eastAsia="Trebuchet MS" w:hAnsi="Trebuchet MS" w:cs="Trebuchet MS"/>
                <w:sz w:val="18"/>
                <w:szCs w:val="22"/>
                <w:lang w:val="fr-FR" w:eastAsia="en-GB" w:bidi="en-GB"/>
              </w:rPr>
              <w:t>(1) Pays membres de l</w:t>
            </w:r>
            <w:r>
              <w:rPr>
                <w:rFonts w:ascii="Trebuchet MS" w:eastAsia="Trebuchet MS" w:hAnsi="Trebuchet MS" w:cs="Trebuchet MS"/>
                <w:sz w:val="18"/>
                <w:szCs w:val="22"/>
                <w:lang w:val="fr-FR" w:eastAsia="en-GB" w:bidi="en-GB"/>
              </w:rPr>
              <w:t>’</w:t>
            </w:r>
            <w:r w:rsidRPr="00953DCC">
              <w:rPr>
                <w:rFonts w:ascii="Trebuchet MS" w:eastAsia="Trebuchet MS" w:hAnsi="Trebuchet MS" w:cs="Trebuchet MS"/>
                <w:sz w:val="18"/>
                <w:szCs w:val="22"/>
                <w:lang w:val="fr-FR" w:eastAsia="en-GB" w:bidi="en-GB"/>
              </w:rPr>
              <w:t>OCDE</w:t>
            </w:r>
          </w:p>
        </w:tc>
        <w:tc>
          <w:tcPr>
            <w:tcW w:w="1143" w:type="dxa"/>
          </w:tcPr>
          <w:p w14:paraId="572952FA" w14:textId="631D0C54" w:rsidR="00D9517D" w:rsidRPr="009E0B44" w:rsidRDefault="00D9517D" w:rsidP="00D9517D">
            <w:pPr>
              <w:widowControl w:val="0"/>
              <w:autoSpaceDE w:val="0"/>
              <w:autoSpaceDN w:val="0"/>
              <w:spacing w:before="21" w:line="231" w:lineRule="exact"/>
              <w:ind w:right="427"/>
              <w:jc w:val="center"/>
              <w:rPr>
                <w:rFonts w:ascii="Trebuchet MS" w:eastAsia="Trebuchet MS" w:hAnsi="Trebuchet MS" w:cs="Trebuchet MS"/>
                <w:sz w:val="18"/>
                <w:szCs w:val="18"/>
                <w:lang w:val="fr-FR" w:eastAsia="en-GB" w:bidi="en-GB"/>
              </w:rPr>
            </w:pPr>
          </w:p>
        </w:tc>
      </w:tr>
      <w:tr w:rsidR="00D9517D" w:rsidRPr="007F2632" w14:paraId="57295300" w14:textId="77777777" w:rsidTr="002C77EB">
        <w:trPr>
          <w:trHeight w:val="264"/>
        </w:trPr>
        <w:tc>
          <w:tcPr>
            <w:tcW w:w="2482" w:type="dxa"/>
            <w:shd w:val="clear" w:color="auto" w:fill="DBE5F1"/>
          </w:tcPr>
          <w:p w14:paraId="572952FC" w14:textId="74EEDDD7" w:rsidR="00D9517D" w:rsidRPr="00953DCC" w:rsidRDefault="00D9517D" w:rsidP="00D9517D">
            <w:pPr>
              <w:widowControl w:val="0"/>
              <w:autoSpaceDE w:val="0"/>
              <w:autoSpaceDN w:val="0"/>
              <w:spacing w:before="19"/>
              <w:jc w:val="left"/>
              <w:rPr>
                <w:rFonts w:ascii="Trebuchet MS" w:eastAsia="Trebuchet MS" w:hAnsi="Trebuchet MS" w:cs="Trebuchet MS"/>
                <w:sz w:val="18"/>
                <w:szCs w:val="22"/>
                <w:lang w:val="fr-FR" w:eastAsia="en-GB" w:bidi="en-GB"/>
              </w:rPr>
            </w:pPr>
            <w:r w:rsidRPr="00953DCC">
              <w:rPr>
                <w:rFonts w:ascii="Trebuchet MS" w:eastAsia="Trebuchet MS" w:hAnsi="Trebuchet MS" w:cs="Trebuchet MS"/>
                <w:sz w:val="18"/>
                <w:szCs w:val="22"/>
                <w:lang w:val="fr-FR" w:eastAsia="en-GB" w:bidi="en-GB"/>
              </w:rPr>
              <w:t>ITALIE</w:t>
            </w:r>
          </w:p>
        </w:tc>
        <w:tc>
          <w:tcPr>
            <w:tcW w:w="1438" w:type="dxa"/>
          </w:tcPr>
          <w:p w14:paraId="572952FD" w14:textId="3C036B73" w:rsidR="00D9517D" w:rsidRPr="00953DCC" w:rsidRDefault="00D9517D" w:rsidP="00D9517D">
            <w:pPr>
              <w:widowControl w:val="0"/>
              <w:autoSpaceDE w:val="0"/>
              <w:autoSpaceDN w:val="0"/>
              <w:spacing w:before="19"/>
              <w:jc w:val="left"/>
              <w:rPr>
                <w:rFonts w:ascii="Trebuchet MS" w:eastAsia="Trebuchet MS" w:hAnsi="Trebuchet MS" w:cs="Trebuchet MS"/>
                <w:sz w:val="18"/>
                <w:szCs w:val="22"/>
                <w:lang w:val="fr-FR" w:eastAsia="en-GB" w:bidi="en-GB"/>
              </w:rPr>
            </w:pPr>
            <w:r w:rsidRPr="00953DCC">
              <w:rPr>
                <w:rFonts w:ascii="Trebuchet MS" w:eastAsia="Trebuchet MS" w:hAnsi="Trebuchet MS" w:cs="Trebuchet MS"/>
                <w:sz w:val="18"/>
                <w:szCs w:val="22"/>
                <w:lang w:val="fr-FR" w:eastAsia="en-GB" w:bidi="en-GB"/>
              </w:rPr>
              <w:t>(1)</w:t>
            </w:r>
          </w:p>
        </w:tc>
        <w:tc>
          <w:tcPr>
            <w:tcW w:w="2879" w:type="dxa"/>
          </w:tcPr>
          <w:p w14:paraId="572952FE" w14:textId="71DC0E24" w:rsidR="00D9517D" w:rsidRPr="00953DCC" w:rsidRDefault="00D9517D" w:rsidP="00D9517D">
            <w:pPr>
              <w:widowControl w:val="0"/>
              <w:autoSpaceDE w:val="0"/>
              <w:autoSpaceDN w:val="0"/>
              <w:spacing w:before="19"/>
              <w:jc w:val="left"/>
              <w:rPr>
                <w:rFonts w:ascii="Trebuchet MS" w:eastAsia="Trebuchet MS" w:hAnsi="Trebuchet MS" w:cs="Trebuchet MS"/>
                <w:sz w:val="18"/>
                <w:szCs w:val="22"/>
                <w:lang w:val="fr-FR" w:eastAsia="en-GB" w:bidi="en-GB"/>
              </w:rPr>
            </w:pPr>
            <w:r w:rsidRPr="00953DCC">
              <w:rPr>
                <w:rFonts w:ascii="Trebuchet MS" w:eastAsia="Trebuchet MS" w:hAnsi="Trebuchet MS" w:cs="Trebuchet MS"/>
                <w:sz w:val="18"/>
                <w:szCs w:val="22"/>
                <w:lang w:val="fr-FR" w:eastAsia="en-GB" w:bidi="en-GB"/>
              </w:rPr>
              <w:t>(2) Pays non</w:t>
            </w:r>
            <w:r>
              <w:rPr>
                <w:rFonts w:ascii="Trebuchet MS" w:eastAsia="Trebuchet MS" w:hAnsi="Trebuchet MS" w:cs="Trebuchet MS"/>
                <w:sz w:val="18"/>
                <w:szCs w:val="22"/>
                <w:lang w:val="fr-FR" w:eastAsia="en-GB" w:bidi="en-GB"/>
              </w:rPr>
              <w:t xml:space="preserve"> </w:t>
            </w:r>
            <w:r w:rsidRPr="00953DCC">
              <w:rPr>
                <w:rFonts w:ascii="Trebuchet MS" w:eastAsia="Trebuchet MS" w:hAnsi="Trebuchet MS" w:cs="Trebuchet MS"/>
                <w:sz w:val="18"/>
                <w:szCs w:val="22"/>
                <w:lang w:val="fr-FR" w:eastAsia="en-GB" w:bidi="en-GB"/>
              </w:rPr>
              <w:t>membres de l</w:t>
            </w:r>
            <w:r>
              <w:rPr>
                <w:rFonts w:ascii="Trebuchet MS" w:eastAsia="Trebuchet MS" w:hAnsi="Trebuchet MS" w:cs="Trebuchet MS"/>
                <w:sz w:val="18"/>
                <w:szCs w:val="22"/>
                <w:lang w:val="fr-FR" w:eastAsia="en-GB" w:bidi="en-GB"/>
              </w:rPr>
              <w:t>’</w:t>
            </w:r>
            <w:r w:rsidRPr="00953DCC">
              <w:rPr>
                <w:rFonts w:ascii="Trebuchet MS" w:eastAsia="Trebuchet MS" w:hAnsi="Trebuchet MS" w:cs="Trebuchet MS"/>
                <w:sz w:val="18"/>
                <w:szCs w:val="22"/>
                <w:lang w:val="fr-FR" w:eastAsia="en-GB" w:bidi="en-GB"/>
              </w:rPr>
              <w:t>OCDE</w:t>
            </w:r>
          </w:p>
        </w:tc>
        <w:tc>
          <w:tcPr>
            <w:tcW w:w="1143" w:type="dxa"/>
          </w:tcPr>
          <w:p w14:paraId="572952FF" w14:textId="2217754A" w:rsidR="00D9517D" w:rsidRPr="009E0B44" w:rsidRDefault="00D9517D" w:rsidP="00D9517D">
            <w:pPr>
              <w:widowControl w:val="0"/>
              <w:autoSpaceDE w:val="0"/>
              <w:autoSpaceDN w:val="0"/>
              <w:spacing w:before="19" w:line="225" w:lineRule="exact"/>
              <w:ind w:right="427"/>
              <w:jc w:val="center"/>
              <w:rPr>
                <w:rFonts w:ascii="Trebuchet MS" w:eastAsia="Trebuchet MS" w:hAnsi="Trebuchet MS" w:cs="Trebuchet MS"/>
                <w:sz w:val="18"/>
                <w:szCs w:val="18"/>
                <w:lang w:val="fr-FR" w:eastAsia="en-GB" w:bidi="en-GB"/>
              </w:rPr>
            </w:pPr>
          </w:p>
        </w:tc>
      </w:tr>
      <w:tr w:rsidR="00D9517D" w:rsidRPr="00953DCC" w14:paraId="1C22C82C" w14:textId="77777777" w:rsidTr="002C77EB">
        <w:trPr>
          <w:trHeight w:val="264"/>
        </w:trPr>
        <w:tc>
          <w:tcPr>
            <w:tcW w:w="2482" w:type="dxa"/>
            <w:shd w:val="clear" w:color="auto" w:fill="DBE5F1"/>
          </w:tcPr>
          <w:p w14:paraId="0C7FF350" w14:textId="19C993F5" w:rsidR="00D9517D" w:rsidRPr="00953DCC" w:rsidRDefault="00D9517D" w:rsidP="000B496B">
            <w:pPr>
              <w:widowControl w:val="0"/>
              <w:autoSpaceDE w:val="0"/>
              <w:autoSpaceDN w:val="0"/>
              <w:spacing w:before="19"/>
              <w:jc w:val="left"/>
              <w:rPr>
                <w:rFonts w:ascii="Trebuchet MS" w:eastAsia="Trebuchet MS" w:hAnsi="Trebuchet MS" w:cs="Trebuchet MS"/>
                <w:sz w:val="18"/>
                <w:szCs w:val="22"/>
                <w:lang w:val="fr-FR" w:eastAsia="en-GB" w:bidi="en-GB"/>
              </w:rPr>
            </w:pPr>
            <w:r w:rsidRPr="00953DCC">
              <w:rPr>
                <w:rFonts w:ascii="Trebuchet MS" w:eastAsia="Trebuchet MS" w:hAnsi="Trebuchet MS" w:cs="Trebuchet MS"/>
                <w:sz w:val="18"/>
                <w:szCs w:val="22"/>
                <w:lang w:val="fr-FR" w:eastAsia="en-GB" w:bidi="en-GB"/>
              </w:rPr>
              <w:t>JAPON</w:t>
            </w:r>
          </w:p>
        </w:tc>
        <w:tc>
          <w:tcPr>
            <w:tcW w:w="1438" w:type="dxa"/>
          </w:tcPr>
          <w:p w14:paraId="23A5F42B" w14:textId="1018A7AB" w:rsidR="00D9517D" w:rsidRPr="00953DCC" w:rsidRDefault="00D9517D" w:rsidP="000B496B">
            <w:pPr>
              <w:widowControl w:val="0"/>
              <w:autoSpaceDE w:val="0"/>
              <w:autoSpaceDN w:val="0"/>
              <w:spacing w:before="19"/>
              <w:jc w:val="left"/>
              <w:rPr>
                <w:rFonts w:ascii="Trebuchet MS" w:eastAsia="Trebuchet MS" w:hAnsi="Trebuchet MS" w:cs="Trebuchet MS"/>
                <w:sz w:val="18"/>
                <w:szCs w:val="22"/>
                <w:lang w:val="fr-FR" w:eastAsia="en-GB" w:bidi="en-GB"/>
              </w:rPr>
            </w:pPr>
            <w:r w:rsidRPr="00953DCC">
              <w:rPr>
                <w:rFonts w:ascii="Trebuchet MS" w:eastAsia="Trebuchet MS" w:hAnsi="Trebuchet MS" w:cs="Trebuchet MS"/>
                <w:sz w:val="18"/>
                <w:szCs w:val="22"/>
                <w:lang w:val="fr-FR" w:eastAsia="en-GB" w:bidi="en-GB"/>
              </w:rPr>
              <w:t>(1)</w:t>
            </w:r>
          </w:p>
        </w:tc>
        <w:tc>
          <w:tcPr>
            <w:tcW w:w="2879" w:type="dxa"/>
          </w:tcPr>
          <w:p w14:paraId="3094E0A0" w14:textId="0D6ACD21" w:rsidR="00D9517D" w:rsidRPr="00953DCC" w:rsidRDefault="00D9517D" w:rsidP="000B496B">
            <w:pPr>
              <w:widowControl w:val="0"/>
              <w:autoSpaceDE w:val="0"/>
              <w:autoSpaceDN w:val="0"/>
              <w:spacing w:before="19"/>
              <w:jc w:val="left"/>
              <w:rPr>
                <w:rFonts w:ascii="Trebuchet MS" w:eastAsia="Trebuchet MS" w:hAnsi="Trebuchet MS" w:cs="Trebuchet MS"/>
                <w:sz w:val="18"/>
                <w:szCs w:val="22"/>
                <w:lang w:val="fr-FR" w:eastAsia="en-GB" w:bidi="en-GB"/>
              </w:rPr>
            </w:pPr>
          </w:p>
        </w:tc>
        <w:tc>
          <w:tcPr>
            <w:tcW w:w="1143" w:type="dxa"/>
          </w:tcPr>
          <w:p w14:paraId="5A7A2D25" w14:textId="77777777" w:rsidR="00D9517D" w:rsidRPr="00953DCC" w:rsidRDefault="00D9517D" w:rsidP="000B496B">
            <w:pPr>
              <w:widowControl w:val="0"/>
              <w:autoSpaceDE w:val="0"/>
              <w:autoSpaceDN w:val="0"/>
              <w:spacing w:before="19" w:line="225" w:lineRule="exact"/>
              <w:ind w:right="427"/>
              <w:jc w:val="center"/>
              <w:rPr>
                <w:rFonts w:ascii="Trebuchet MS" w:eastAsia="Trebuchet MS" w:hAnsi="Trebuchet MS" w:cs="Trebuchet MS"/>
                <w:szCs w:val="22"/>
                <w:lang w:val="fr-FR" w:eastAsia="en-GB" w:bidi="en-GB"/>
              </w:rPr>
            </w:pPr>
          </w:p>
        </w:tc>
      </w:tr>
    </w:tbl>
    <w:p w14:paraId="5729530F" w14:textId="631EABA3" w:rsidR="005F025D" w:rsidRPr="002C77EB" w:rsidRDefault="005F025D" w:rsidP="002C77EB">
      <w:pPr>
        <w:rPr>
          <w:sz w:val="12"/>
        </w:rPr>
      </w:pPr>
    </w:p>
    <w:p w14:paraId="57295310" w14:textId="77777777" w:rsidR="005F025D" w:rsidRPr="002C77EB" w:rsidRDefault="005F025D" w:rsidP="002C77EB">
      <w:pPr>
        <w:rPr>
          <w:sz w:val="12"/>
        </w:rPr>
      </w:pPr>
    </w:p>
    <w:p w14:paraId="57295311" w14:textId="26DD9B1A" w:rsidR="005F025D" w:rsidRPr="00953DCC" w:rsidRDefault="005F025D" w:rsidP="005F025D">
      <w:pPr>
        <w:rPr>
          <w:lang w:val="fr-FR"/>
        </w:rPr>
      </w:pPr>
      <w:r w:rsidRPr="00953DCC">
        <w:rPr>
          <w:lang w:val="fr-FR"/>
        </w:rPr>
        <w:t>Figure</w:t>
      </w:r>
      <w:r w:rsidR="004A1CA8">
        <w:rPr>
          <w:lang w:val="fr-FR"/>
        </w:rPr>
        <w:t> </w:t>
      </w:r>
      <w:r w:rsidRPr="00953DCC">
        <w:rPr>
          <w:lang w:val="fr-FR"/>
        </w:rPr>
        <w:t>1 Carte des pays participants aux Systèmes des semences de l</w:t>
      </w:r>
      <w:r w:rsidR="0056301D">
        <w:rPr>
          <w:lang w:val="fr-FR"/>
        </w:rPr>
        <w:t>’</w:t>
      </w:r>
      <w:r w:rsidRPr="00953DCC">
        <w:rPr>
          <w:lang w:val="fr-FR"/>
        </w:rPr>
        <w:t>OCDE (2016)</w:t>
      </w:r>
    </w:p>
    <w:p w14:paraId="57295312" w14:textId="77777777" w:rsidR="005F025D" w:rsidRPr="002C77EB" w:rsidRDefault="005F025D" w:rsidP="007E07ED">
      <w:pPr>
        <w:rPr>
          <w:b/>
          <w:sz w:val="16"/>
          <w:lang w:val="fr-FR"/>
        </w:rPr>
      </w:pPr>
    </w:p>
    <w:p w14:paraId="57295314" w14:textId="72C579C9" w:rsidR="005F025D" w:rsidRPr="00953DCC" w:rsidRDefault="007E07ED" w:rsidP="002C77EB">
      <w:pPr>
        <w:spacing w:before="5"/>
        <w:rPr>
          <w:b/>
          <w:sz w:val="23"/>
          <w:lang w:val="fr-FR"/>
        </w:rPr>
      </w:pPr>
      <w:r w:rsidRPr="00953DCC">
        <w:rPr>
          <w:noProof/>
        </w:rPr>
        <w:drawing>
          <wp:anchor distT="0" distB="0" distL="0" distR="0" simplePos="0" relativeHeight="251660288" behindDoc="0" locked="0" layoutInCell="1" allowOverlap="1" wp14:anchorId="57295451" wp14:editId="57295452">
            <wp:simplePos x="0" y="0"/>
            <wp:positionH relativeFrom="page">
              <wp:posOffset>676909</wp:posOffset>
            </wp:positionH>
            <wp:positionV relativeFrom="paragraph">
              <wp:posOffset>137582</wp:posOffset>
            </wp:positionV>
            <wp:extent cx="6348250" cy="2987040"/>
            <wp:effectExtent l="0" t="0" r="0" b="0"/>
            <wp:wrapTopAndBottom/>
            <wp:docPr id="2" name="image2.jpeg" descr="\\FS-CH-1.main.oecd.org\Users2\gaspar_c\Desktop\OECD seed map20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2" cstate="print"/>
                    <a:stretch>
                      <a:fillRect/>
                    </a:stretch>
                  </pic:blipFill>
                  <pic:spPr>
                    <a:xfrm>
                      <a:off x="0" y="0"/>
                      <a:ext cx="6348250" cy="2987040"/>
                    </a:xfrm>
                    <a:prstGeom prst="rect">
                      <a:avLst/>
                    </a:prstGeom>
                  </pic:spPr>
                </pic:pic>
              </a:graphicData>
            </a:graphic>
          </wp:anchor>
        </w:drawing>
      </w:r>
    </w:p>
    <w:p w14:paraId="57295315" w14:textId="77777777" w:rsidR="005F025D" w:rsidRPr="00953DCC" w:rsidRDefault="005F025D" w:rsidP="005F025D">
      <w:pPr>
        <w:rPr>
          <w:i/>
          <w:lang w:val="fr-FR"/>
        </w:rPr>
      </w:pPr>
      <w:bookmarkStart w:id="25" w:name="Objectives"/>
      <w:bookmarkEnd w:id="25"/>
      <w:r w:rsidRPr="00953DCC">
        <w:rPr>
          <w:i/>
          <w:color w:val="000000"/>
          <w:lang w:val="fr-FR"/>
        </w:rPr>
        <w:t>Objectifs</w:t>
      </w:r>
    </w:p>
    <w:p w14:paraId="57295316" w14:textId="77777777" w:rsidR="005F025D" w:rsidRPr="00953DCC" w:rsidRDefault="005F025D" w:rsidP="007E07ED">
      <w:pPr>
        <w:spacing w:before="4"/>
        <w:rPr>
          <w:rFonts w:cs="Arial"/>
          <w:b/>
          <w:lang w:val="fr-FR"/>
        </w:rPr>
      </w:pPr>
    </w:p>
    <w:p w14:paraId="57295317" w14:textId="5C47AB94" w:rsidR="005F025D" w:rsidRPr="00953DCC" w:rsidRDefault="005F025D" w:rsidP="005F025D">
      <w:pPr>
        <w:widowControl w:val="0"/>
        <w:tabs>
          <w:tab w:val="left" w:pos="1069"/>
          <w:tab w:val="left" w:pos="1071"/>
        </w:tabs>
        <w:autoSpaceDE w:val="0"/>
        <w:autoSpaceDN w:val="0"/>
        <w:ind w:right="213"/>
        <w:rPr>
          <w:rFonts w:cs="Arial"/>
          <w:lang w:val="fr-FR" w:eastAsia="en-GB" w:bidi="en-GB"/>
        </w:rPr>
      </w:pPr>
      <w:r w:rsidRPr="00953DCC">
        <w:rPr>
          <w:rFonts w:cs="Arial"/>
          <w:lang w:val="fr-FR" w:eastAsia="en-GB" w:bidi="en-GB"/>
        </w:rPr>
        <w:t>Ces systèmes visent à encourager la production et l</w:t>
      </w:r>
      <w:r w:rsidR="0056301D">
        <w:rPr>
          <w:rFonts w:cs="Arial"/>
          <w:lang w:val="fr-FR" w:eastAsia="en-GB" w:bidi="en-GB"/>
        </w:rPr>
        <w:t>’</w:t>
      </w:r>
      <w:r w:rsidRPr="00953DCC">
        <w:rPr>
          <w:rFonts w:cs="Arial"/>
          <w:lang w:val="fr-FR" w:eastAsia="en-GB" w:bidi="en-GB"/>
        </w:rPr>
        <w:t>utilisation de semences “de qualité garantie” dans les pays participan</w:t>
      </w:r>
      <w:r w:rsidR="0011329B" w:rsidRPr="00953DCC">
        <w:rPr>
          <w:rFonts w:cs="Arial"/>
          <w:lang w:val="fr-FR" w:eastAsia="en-GB" w:bidi="en-GB"/>
        </w:rPr>
        <w:t>ts</w:t>
      </w:r>
      <w:r w:rsidR="0011329B">
        <w:rPr>
          <w:rFonts w:cs="Arial"/>
          <w:lang w:val="fr-FR" w:eastAsia="en-GB" w:bidi="en-GB"/>
        </w:rPr>
        <w:t xml:space="preserve">.  </w:t>
      </w:r>
      <w:r w:rsidR="0011329B" w:rsidRPr="00953DCC">
        <w:rPr>
          <w:rFonts w:cs="Arial"/>
          <w:lang w:val="fr-FR" w:eastAsia="en-GB" w:bidi="en-GB"/>
        </w:rPr>
        <w:t>Il</w:t>
      </w:r>
      <w:r w:rsidRPr="00953DCC">
        <w:rPr>
          <w:rFonts w:cs="Arial"/>
          <w:lang w:val="fr-FR" w:eastAsia="en-GB" w:bidi="en-GB"/>
        </w:rPr>
        <w:t>s autorisent l</w:t>
      </w:r>
      <w:r w:rsidR="0056301D">
        <w:rPr>
          <w:rFonts w:cs="Arial"/>
          <w:lang w:val="fr-FR" w:eastAsia="en-GB" w:bidi="en-GB"/>
        </w:rPr>
        <w:t>’</w:t>
      </w:r>
      <w:r w:rsidRPr="00953DCC">
        <w:rPr>
          <w:rFonts w:cs="Arial"/>
          <w:lang w:val="fr-FR" w:eastAsia="en-GB" w:bidi="en-GB"/>
        </w:rPr>
        <w:t>utilisation d</w:t>
      </w:r>
      <w:r w:rsidR="0056301D">
        <w:rPr>
          <w:rFonts w:cs="Arial"/>
          <w:lang w:val="fr-FR" w:eastAsia="en-GB" w:bidi="en-GB"/>
        </w:rPr>
        <w:t>’</w:t>
      </w:r>
      <w:r w:rsidRPr="00953DCC">
        <w:rPr>
          <w:rFonts w:cs="Arial"/>
          <w:lang w:val="fr-FR" w:eastAsia="en-GB" w:bidi="en-GB"/>
        </w:rPr>
        <w:t>étiquettes et de certificats pour les semences produites et transformées à des fins de commerce international conformément à des principes convenus garantissant l</w:t>
      </w:r>
      <w:r w:rsidR="0056301D">
        <w:rPr>
          <w:rFonts w:cs="Arial"/>
          <w:lang w:val="fr-FR" w:eastAsia="en-GB" w:bidi="en-GB"/>
        </w:rPr>
        <w:t>’</w:t>
      </w:r>
      <w:r w:rsidRPr="00953DCC">
        <w:rPr>
          <w:rFonts w:cs="Arial"/>
          <w:lang w:val="fr-FR" w:eastAsia="en-GB" w:bidi="en-GB"/>
        </w:rPr>
        <w:t>identité et la pureté variétales.</w:t>
      </w:r>
    </w:p>
    <w:p w14:paraId="57295318" w14:textId="77777777" w:rsidR="005F025D" w:rsidRPr="00953DCC" w:rsidRDefault="005F025D" w:rsidP="007E07ED">
      <w:pPr>
        <w:rPr>
          <w:rFonts w:cs="Arial"/>
          <w:lang w:val="fr-FR"/>
        </w:rPr>
      </w:pPr>
    </w:p>
    <w:p w14:paraId="57295319" w14:textId="7D844B3C" w:rsidR="005F025D" w:rsidRPr="00953DCC" w:rsidRDefault="005F025D" w:rsidP="005F025D">
      <w:pPr>
        <w:widowControl w:val="0"/>
        <w:tabs>
          <w:tab w:val="left" w:pos="1069"/>
          <w:tab w:val="left" w:pos="1071"/>
        </w:tabs>
        <w:autoSpaceDE w:val="0"/>
        <w:autoSpaceDN w:val="0"/>
        <w:spacing w:before="1"/>
        <w:ind w:right="212"/>
        <w:rPr>
          <w:rFonts w:cs="Arial"/>
          <w:lang w:val="fr-FR" w:eastAsia="en-GB" w:bidi="en-GB"/>
        </w:rPr>
      </w:pPr>
      <w:r w:rsidRPr="00953DCC">
        <w:rPr>
          <w:rFonts w:cs="Arial"/>
          <w:lang w:val="fr-FR" w:eastAsia="en-GB" w:bidi="en-GB"/>
        </w:rPr>
        <w:t>Ces systèmes facilitent l</w:t>
      </w:r>
      <w:r w:rsidR="0056301D">
        <w:rPr>
          <w:rFonts w:cs="Arial"/>
          <w:lang w:val="fr-FR" w:eastAsia="en-GB" w:bidi="en-GB"/>
        </w:rPr>
        <w:t>’</w:t>
      </w:r>
      <w:r w:rsidRPr="00953DCC">
        <w:rPr>
          <w:rFonts w:cs="Arial"/>
          <w:lang w:val="fr-FR" w:eastAsia="en-GB" w:bidi="en-GB"/>
        </w:rPr>
        <w:t>importation et l</w:t>
      </w:r>
      <w:r w:rsidR="0056301D">
        <w:rPr>
          <w:rFonts w:cs="Arial"/>
          <w:lang w:val="fr-FR" w:eastAsia="en-GB" w:bidi="en-GB"/>
        </w:rPr>
        <w:t>’</w:t>
      </w:r>
      <w:r w:rsidRPr="00953DCC">
        <w:rPr>
          <w:rFonts w:cs="Arial"/>
          <w:lang w:val="fr-FR" w:eastAsia="en-GB" w:bidi="en-GB"/>
        </w:rPr>
        <w:t>exportation de semences en supprimant les obstacles techniques au commerce et en assurant l</w:t>
      </w:r>
      <w:r w:rsidR="0056301D">
        <w:rPr>
          <w:rFonts w:cs="Arial"/>
          <w:lang w:val="fr-FR" w:eastAsia="en-GB" w:bidi="en-GB"/>
        </w:rPr>
        <w:t>’</w:t>
      </w:r>
      <w:r w:rsidRPr="00953DCC">
        <w:rPr>
          <w:rFonts w:cs="Arial"/>
          <w:lang w:val="fr-FR" w:eastAsia="en-GB" w:bidi="en-GB"/>
        </w:rPr>
        <w:t>identification et l</w:t>
      </w:r>
      <w:r w:rsidR="0056301D">
        <w:rPr>
          <w:rFonts w:cs="Arial"/>
          <w:lang w:val="fr-FR" w:eastAsia="en-GB" w:bidi="en-GB"/>
        </w:rPr>
        <w:t>’</w:t>
      </w:r>
      <w:r w:rsidRPr="00953DCC">
        <w:rPr>
          <w:rFonts w:cs="Arial"/>
          <w:lang w:val="fr-FR" w:eastAsia="en-GB" w:bidi="en-GB"/>
        </w:rPr>
        <w:t>origine par le biais d</w:t>
      </w:r>
      <w:r w:rsidR="0056301D">
        <w:rPr>
          <w:rFonts w:cs="Arial"/>
          <w:lang w:val="fr-FR" w:eastAsia="en-GB" w:bidi="en-GB"/>
        </w:rPr>
        <w:t>’</w:t>
      </w:r>
      <w:r w:rsidRPr="00953DCC">
        <w:rPr>
          <w:rFonts w:cs="Arial"/>
          <w:lang w:val="fr-FR" w:eastAsia="en-GB" w:bidi="en-GB"/>
        </w:rPr>
        <w:t>étiquettes (“passeports”) internationalement reconnues pour le commer</w:t>
      </w:r>
      <w:r w:rsidR="0011329B" w:rsidRPr="00953DCC">
        <w:rPr>
          <w:rFonts w:cs="Arial"/>
          <w:lang w:val="fr-FR" w:eastAsia="en-GB" w:bidi="en-GB"/>
        </w:rPr>
        <w:t>ce</w:t>
      </w:r>
      <w:r w:rsidR="0011329B">
        <w:rPr>
          <w:rFonts w:cs="Arial"/>
          <w:lang w:val="fr-FR" w:eastAsia="en-GB" w:bidi="en-GB"/>
        </w:rPr>
        <w:t xml:space="preserve">.  </w:t>
      </w:r>
      <w:r w:rsidR="0011329B" w:rsidRPr="00953DCC">
        <w:rPr>
          <w:rFonts w:cs="Arial"/>
          <w:lang w:val="fr-FR" w:eastAsia="en-GB" w:bidi="en-GB"/>
        </w:rPr>
        <w:t>Il</w:t>
      </w:r>
      <w:r w:rsidRPr="00953DCC">
        <w:rPr>
          <w:rFonts w:cs="Arial"/>
          <w:lang w:val="fr-FR" w:eastAsia="en-GB" w:bidi="en-GB"/>
        </w:rPr>
        <w:t>s établissent également des lignes directrices pour la multiplication des semences à l</w:t>
      </w:r>
      <w:r w:rsidR="0056301D">
        <w:rPr>
          <w:rFonts w:cs="Arial"/>
          <w:lang w:val="fr-FR" w:eastAsia="en-GB" w:bidi="en-GB"/>
        </w:rPr>
        <w:t>’</w:t>
      </w:r>
      <w:r w:rsidRPr="00953DCC">
        <w:rPr>
          <w:rFonts w:cs="Arial"/>
          <w:lang w:val="fr-FR" w:eastAsia="en-GB" w:bidi="en-GB"/>
        </w:rPr>
        <w:t>étranger, ainsi que pour la délégation de certaines activités de contrôle au secteur privé (“autorisation”).</w:t>
      </w:r>
      <w:r w:rsidR="007E07ED" w:rsidRPr="00953DCC">
        <w:rPr>
          <w:rFonts w:cs="Arial"/>
          <w:lang w:val="fr-FR" w:eastAsia="en-GB" w:bidi="en-GB"/>
        </w:rPr>
        <w:t xml:space="preserve"> </w:t>
      </w:r>
      <w:r w:rsidR="004A1CA8">
        <w:rPr>
          <w:rFonts w:cs="Arial"/>
          <w:lang w:val="fr-FR" w:eastAsia="en-GB" w:bidi="en-GB"/>
        </w:rPr>
        <w:t xml:space="preserve"> </w:t>
      </w:r>
      <w:r w:rsidRPr="00953DCC">
        <w:rPr>
          <w:rFonts w:cs="Arial"/>
          <w:lang w:val="fr-FR" w:eastAsia="en-GB" w:bidi="en-GB"/>
        </w:rPr>
        <w:t>La quantité de semences certifiées dans le cadre des systèmes de l</w:t>
      </w:r>
      <w:r w:rsidR="0056301D">
        <w:rPr>
          <w:rFonts w:cs="Arial"/>
          <w:lang w:val="fr-FR" w:eastAsia="en-GB" w:bidi="en-GB"/>
        </w:rPr>
        <w:t>’</w:t>
      </w:r>
      <w:r w:rsidRPr="00953DCC">
        <w:rPr>
          <w:rFonts w:cs="Arial"/>
          <w:lang w:val="fr-FR" w:eastAsia="en-GB" w:bidi="en-GB"/>
        </w:rPr>
        <w:t>OCDE a augmenté rapidement ces dernières années et dépasse désormais le million de tonnes.</w:t>
      </w:r>
    </w:p>
    <w:p w14:paraId="5729531A" w14:textId="77777777" w:rsidR="005F025D" w:rsidRPr="00953DCC" w:rsidRDefault="005F025D" w:rsidP="007E07ED">
      <w:pPr>
        <w:spacing w:before="5"/>
        <w:rPr>
          <w:sz w:val="14"/>
          <w:lang w:val="fr-FR"/>
        </w:rPr>
      </w:pPr>
    </w:p>
    <w:p w14:paraId="5729531B" w14:textId="75107419" w:rsidR="005F025D" w:rsidRPr="00953DCC" w:rsidRDefault="005F025D" w:rsidP="005F025D">
      <w:pPr>
        <w:rPr>
          <w:i/>
          <w:lang w:val="fr-FR"/>
        </w:rPr>
      </w:pPr>
      <w:bookmarkStart w:id="26" w:name="How_do_the_Seed_Schemes_operate"/>
      <w:bookmarkEnd w:id="26"/>
      <w:r w:rsidRPr="00953DCC">
        <w:rPr>
          <w:i/>
          <w:lang w:val="fr-FR"/>
        </w:rPr>
        <w:t>Comment fonctionnent les Systèmes des semences de l</w:t>
      </w:r>
      <w:r w:rsidR="0056301D">
        <w:rPr>
          <w:i/>
          <w:lang w:val="fr-FR"/>
        </w:rPr>
        <w:t>’</w:t>
      </w:r>
      <w:r w:rsidRPr="00953DCC">
        <w:rPr>
          <w:i/>
          <w:lang w:val="fr-FR"/>
        </w:rPr>
        <w:t>OCDE?</w:t>
      </w:r>
    </w:p>
    <w:p w14:paraId="5729531C" w14:textId="77777777" w:rsidR="005F025D" w:rsidRPr="00953DCC" w:rsidRDefault="005F025D" w:rsidP="007E07ED">
      <w:pPr>
        <w:spacing w:before="4"/>
        <w:rPr>
          <w:rFonts w:cs="Arial"/>
          <w:b/>
          <w:lang w:val="fr-FR"/>
        </w:rPr>
      </w:pPr>
    </w:p>
    <w:p w14:paraId="5729531D" w14:textId="57751753" w:rsidR="005F025D" w:rsidRPr="00953DCC" w:rsidRDefault="005F025D" w:rsidP="002C77EB">
      <w:pPr>
        <w:widowControl w:val="0"/>
        <w:tabs>
          <w:tab w:val="left" w:pos="1069"/>
          <w:tab w:val="left" w:pos="1071"/>
        </w:tabs>
        <w:autoSpaceDE w:val="0"/>
        <w:autoSpaceDN w:val="0"/>
        <w:spacing w:after="160"/>
        <w:ind w:right="216"/>
        <w:rPr>
          <w:rFonts w:cs="Arial"/>
          <w:lang w:val="fr-FR" w:eastAsia="en-GB" w:bidi="en-GB"/>
        </w:rPr>
      </w:pPr>
      <w:r w:rsidRPr="00953DCC">
        <w:rPr>
          <w:rFonts w:cs="Arial"/>
          <w:lang w:val="fr-FR" w:eastAsia="en-GB" w:bidi="en-GB"/>
        </w:rPr>
        <w:t>Le succès de la certification internationale dépend de la coopération étroite entre les conservateurs, les producteurs de semences, les négociants et l</w:t>
      </w:r>
      <w:r w:rsidR="0056301D">
        <w:rPr>
          <w:rFonts w:cs="Arial"/>
          <w:lang w:val="fr-FR" w:eastAsia="en-GB" w:bidi="en-GB"/>
        </w:rPr>
        <w:t>’</w:t>
      </w:r>
      <w:r w:rsidRPr="00953DCC">
        <w:rPr>
          <w:rFonts w:cs="Arial"/>
          <w:lang w:val="fr-FR" w:eastAsia="en-GB" w:bidi="en-GB"/>
        </w:rPr>
        <w:t>administration désignée (désignée par le gouvernement) dans chaque pays participa</w:t>
      </w:r>
      <w:r w:rsidR="0011329B" w:rsidRPr="00953DCC">
        <w:rPr>
          <w:rFonts w:cs="Arial"/>
          <w:lang w:val="fr-FR" w:eastAsia="en-GB" w:bidi="en-GB"/>
        </w:rPr>
        <w:t>nt</w:t>
      </w:r>
      <w:r w:rsidR="0011329B">
        <w:rPr>
          <w:rFonts w:cs="Arial"/>
          <w:lang w:val="fr-FR" w:eastAsia="en-GB" w:bidi="en-GB"/>
        </w:rPr>
        <w:t xml:space="preserve">.  </w:t>
      </w:r>
      <w:r w:rsidR="0011329B" w:rsidRPr="00953DCC">
        <w:rPr>
          <w:rFonts w:cs="Arial"/>
          <w:lang w:val="fr-FR" w:eastAsia="en-GB" w:bidi="en-GB"/>
        </w:rPr>
        <w:t>De</w:t>
      </w:r>
      <w:r w:rsidRPr="00953DCC">
        <w:rPr>
          <w:rFonts w:cs="Arial"/>
          <w:lang w:val="fr-FR" w:eastAsia="en-GB" w:bidi="en-GB"/>
        </w:rPr>
        <w:t>s réunions fréquentes permettent un dialogue multipartite pour échanger des informations, discuter d</w:t>
      </w:r>
      <w:r w:rsidR="0056301D">
        <w:rPr>
          <w:rFonts w:cs="Arial"/>
          <w:lang w:val="fr-FR" w:eastAsia="en-GB" w:bidi="en-GB"/>
        </w:rPr>
        <w:t>’</w:t>
      </w:r>
      <w:r w:rsidRPr="00953DCC">
        <w:rPr>
          <w:rFonts w:cs="Arial"/>
          <w:lang w:val="fr-FR" w:eastAsia="en-GB" w:bidi="en-GB"/>
        </w:rPr>
        <w:t>études de cas, réviser les règles et mettre à jour les systèm</w:t>
      </w:r>
      <w:r w:rsidR="0011329B" w:rsidRPr="00953DCC">
        <w:rPr>
          <w:rFonts w:cs="Arial"/>
          <w:lang w:val="fr-FR" w:eastAsia="en-GB" w:bidi="en-GB"/>
        </w:rPr>
        <w:t>es</w:t>
      </w:r>
      <w:r w:rsidR="0011329B">
        <w:rPr>
          <w:rFonts w:cs="Arial"/>
          <w:lang w:val="fr-FR" w:eastAsia="en-GB" w:bidi="en-GB"/>
        </w:rPr>
        <w:t xml:space="preserve">.  </w:t>
      </w:r>
      <w:r w:rsidR="0011329B" w:rsidRPr="00953DCC">
        <w:rPr>
          <w:rFonts w:cs="Arial"/>
          <w:lang w:val="fr-FR" w:eastAsia="en-GB" w:bidi="en-GB"/>
        </w:rPr>
        <w:t>Un</w:t>
      </w:r>
      <w:r w:rsidRPr="00953DCC">
        <w:rPr>
          <w:rFonts w:cs="Arial"/>
          <w:lang w:val="fr-FR" w:eastAsia="en-GB" w:bidi="en-GB"/>
        </w:rPr>
        <w:t xml:space="preserve"> large éventail d</w:t>
      </w:r>
      <w:r w:rsidR="0056301D">
        <w:rPr>
          <w:rFonts w:cs="Arial"/>
          <w:lang w:val="fr-FR" w:eastAsia="en-GB" w:bidi="en-GB"/>
        </w:rPr>
        <w:t>’</w:t>
      </w:r>
      <w:r w:rsidRPr="00953DCC">
        <w:rPr>
          <w:rFonts w:cs="Arial"/>
          <w:lang w:val="fr-FR" w:eastAsia="en-GB" w:bidi="en-GB"/>
        </w:rPr>
        <w:t>organisations internationales et d</w:t>
      </w:r>
      <w:r w:rsidR="0056301D">
        <w:rPr>
          <w:rFonts w:cs="Arial"/>
          <w:lang w:val="fr-FR" w:eastAsia="en-GB" w:bidi="en-GB"/>
        </w:rPr>
        <w:t>’</w:t>
      </w:r>
      <w:r w:rsidRPr="00953DCC">
        <w:rPr>
          <w:rFonts w:cs="Arial"/>
          <w:lang w:val="fr-FR" w:eastAsia="en-GB" w:bidi="en-GB"/>
        </w:rPr>
        <w:t>organisations non gouvernementales, ainsi que des réseaux de l</w:t>
      </w:r>
      <w:r w:rsidR="0056301D">
        <w:rPr>
          <w:rFonts w:cs="Arial"/>
          <w:lang w:val="fr-FR" w:eastAsia="en-GB" w:bidi="en-GB"/>
        </w:rPr>
        <w:t>’</w:t>
      </w:r>
      <w:r w:rsidRPr="00953DCC">
        <w:rPr>
          <w:rFonts w:cs="Arial"/>
          <w:lang w:val="fr-FR" w:eastAsia="en-GB" w:bidi="en-GB"/>
        </w:rPr>
        <w:t>industrie semencière, participent activement à ces systèmes.</w:t>
      </w:r>
    </w:p>
    <w:p w14:paraId="5729531F" w14:textId="28E1D1C5" w:rsidR="005F025D" w:rsidRPr="00953DCC" w:rsidRDefault="00B84A12" w:rsidP="005F025D">
      <w:pPr>
        <w:keepNext/>
        <w:rPr>
          <w:i/>
          <w:lang w:val="fr-FR"/>
        </w:rPr>
      </w:pPr>
      <w:bookmarkStart w:id="27" w:name="Benefits_of_the_Schemes"/>
      <w:bookmarkEnd w:id="27"/>
      <w:r>
        <w:rPr>
          <w:i/>
          <w:lang w:val="fr-FR"/>
        </w:rPr>
        <w:lastRenderedPageBreak/>
        <w:t>L</w:t>
      </w:r>
      <w:r w:rsidR="005F025D" w:rsidRPr="00953DCC">
        <w:rPr>
          <w:i/>
          <w:lang w:val="fr-FR"/>
        </w:rPr>
        <w:t xml:space="preserve">es avantages </w:t>
      </w:r>
      <w:r w:rsidR="00D9517D">
        <w:rPr>
          <w:i/>
          <w:lang w:val="fr-FR"/>
        </w:rPr>
        <w:t xml:space="preserve">de </w:t>
      </w:r>
      <w:r>
        <w:rPr>
          <w:i/>
          <w:lang w:val="fr-FR"/>
        </w:rPr>
        <w:t>ces systèmes</w:t>
      </w:r>
    </w:p>
    <w:p w14:paraId="57295320" w14:textId="77777777" w:rsidR="005F025D" w:rsidRPr="00953DCC" w:rsidRDefault="005F025D" w:rsidP="007E07ED">
      <w:pPr>
        <w:spacing w:before="5"/>
        <w:rPr>
          <w:rFonts w:cs="Arial"/>
          <w:b/>
          <w:lang w:val="fr-FR"/>
        </w:rPr>
      </w:pPr>
    </w:p>
    <w:p w14:paraId="57295321" w14:textId="2A93B6D1" w:rsidR="005F025D" w:rsidRPr="00953DCC" w:rsidRDefault="005F025D" w:rsidP="00D9517D">
      <w:pPr>
        <w:widowControl w:val="0"/>
        <w:numPr>
          <w:ilvl w:val="1"/>
          <w:numId w:val="9"/>
        </w:numPr>
        <w:autoSpaceDE w:val="0"/>
        <w:autoSpaceDN w:val="0"/>
        <w:ind w:left="1134" w:right="219" w:hanging="567"/>
        <w:rPr>
          <w:rFonts w:cs="Arial"/>
          <w:lang w:val="fr-FR" w:eastAsia="en-GB" w:bidi="en-GB"/>
        </w:rPr>
      </w:pPr>
      <w:r w:rsidRPr="00953DCC">
        <w:rPr>
          <w:rFonts w:cs="Arial"/>
          <w:lang w:val="fr-FR" w:eastAsia="en-GB" w:bidi="en-GB"/>
        </w:rPr>
        <w:t>Faciliter le commerce international en utilisant des procédures de certification harmonisées, des techniques d</w:t>
      </w:r>
      <w:r w:rsidR="0056301D">
        <w:rPr>
          <w:rFonts w:cs="Arial"/>
          <w:lang w:val="fr-FR" w:eastAsia="en-GB" w:bidi="en-GB"/>
        </w:rPr>
        <w:t>’</w:t>
      </w:r>
      <w:r w:rsidRPr="00953DCC">
        <w:rPr>
          <w:rFonts w:cs="Arial"/>
          <w:lang w:val="fr-FR" w:eastAsia="en-GB" w:bidi="en-GB"/>
        </w:rPr>
        <w:t>inspection des cultures et l</w:t>
      </w:r>
      <w:r w:rsidR="0056301D">
        <w:rPr>
          <w:rFonts w:cs="Arial"/>
          <w:lang w:val="fr-FR" w:eastAsia="en-GB" w:bidi="en-GB"/>
        </w:rPr>
        <w:t>’</w:t>
      </w:r>
      <w:r w:rsidRPr="00953DCC">
        <w:rPr>
          <w:rFonts w:cs="Arial"/>
          <w:lang w:val="fr-FR" w:eastAsia="en-GB" w:bidi="en-GB"/>
        </w:rPr>
        <w:t>utilisation de parcelles témoi</w:t>
      </w:r>
      <w:r w:rsidR="0011329B" w:rsidRPr="00953DCC">
        <w:rPr>
          <w:rFonts w:cs="Arial"/>
          <w:lang w:val="fr-FR" w:eastAsia="en-GB" w:bidi="en-GB"/>
        </w:rPr>
        <w:t>ns</w:t>
      </w:r>
      <w:r w:rsidR="0011329B">
        <w:rPr>
          <w:rFonts w:cs="Arial"/>
          <w:lang w:val="fr-FR" w:eastAsia="en-GB" w:bidi="en-GB"/>
        </w:rPr>
        <w:t xml:space="preserve">.  </w:t>
      </w:r>
      <w:r w:rsidR="0011329B" w:rsidRPr="00953DCC">
        <w:rPr>
          <w:rFonts w:cs="Arial"/>
          <w:lang w:val="fr-FR" w:eastAsia="en-GB" w:bidi="en-GB"/>
        </w:rPr>
        <w:t>Le</w:t>
      </w:r>
      <w:r w:rsidRPr="00953DCC">
        <w:rPr>
          <w:rFonts w:cs="Arial"/>
          <w:lang w:val="fr-FR" w:eastAsia="en-GB" w:bidi="en-GB"/>
        </w:rPr>
        <w:t>s normes de pureté variétale pour les espèces appropriées sont également approuvées et normalisées par tous les États membres.</w:t>
      </w:r>
    </w:p>
    <w:p w14:paraId="57295322" w14:textId="35FF6FD2" w:rsidR="005F025D" w:rsidRPr="00953DCC" w:rsidRDefault="005F025D" w:rsidP="00D9517D">
      <w:pPr>
        <w:widowControl w:val="0"/>
        <w:numPr>
          <w:ilvl w:val="1"/>
          <w:numId w:val="9"/>
        </w:numPr>
        <w:autoSpaceDE w:val="0"/>
        <w:autoSpaceDN w:val="0"/>
        <w:ind w:left="1134" w:hanging="567"/>
        <w:jc w:val="left"/>
        <w:rPr>
          <w:rFonts w:cs="Arial"/>
          <w:lang w:val="fr-FR" w:eastAsia="en-GB" w:bidi="en-GB"/>
        </w:rPr>
      </w:pPr>
      <w:r w:rsidRPr="00953DCC">
        <w:rPr>
          <w:rFonts w:cs="Arial"/>
          <w:lang w:val="fr-FR" w:eastAsia="en-GB" w:bidi="en-GB"/>
        </w:rPr>
        <w:t>Fournir un cadre pour développer la production de semences avec d</w:t>
      </w:r>
      <w:r w:rsidR="0056301D">
        <w:rPr>
          <w:rFonts w:cs="Arial"/>
          <w:lang w:val="fr-FR" w:eastAsia="en-GB" w:bidi="en-GB"/>
        </w:rPr>
        <w:t>’</w:t>
      </w:r>
      <w:r w:rsidRPr="00953DCC">
        <w:rPr>
          <w:rFonts w:cs="Arial"/>
          <w:lang w:val="fr-FR" w:eastAsia="en-GB" w:bidi="en-GB"/>
        </w:rPr>
        <w:t>autres pays ou entreprises.</w:t>
      </w:r>
    </w:p>
    <w:p w14:paraId="57295323" w14:textId="5A379064" w:rsidR="005F025D" w:rsidRPr="00953DCC" w:rsidRDefault="005F025D" w:rsidP="00D9517D">
      <w:pPr>
        <w:widowControl w:val="0"/>
        <w:numPr>
          <w:ilvl w:val="1"/>
          <w:numId w:val="9"/>
        </w:numPr>
        <w:autoSpaceDE w:val="0"/>
        <w:autoSpaceDN w:val="0"/>
        <w:ind w:left="1134" w:hanging="567"/>
        <w:jc w:val="left"/>
        <w:rPr>
          <w:rFonts w:cs="Arial"/>
          <w:lang w:val="fr-FR" w:eastAsia="en-GB" w:bidi="en-GB"/>
        </w:rPr>
      </w:pPr>
      <w:r w:rsidRPr="00953DCC">
        <w:rPr>
          <w:rFonts w:cs="Arial"/>
          <w:lang w:val="fr-FR" w:eastAsia="en-GB" w:bidi="en-GB"/>
        </w:rPr>
        <w:t>Participer à l</w:t>
      </w:r>
      <w:r w:rsidR="0056301D">
        <w:rPr>
          <w:rFonts w:cs="Arial"/>
          <w:lang w:val="fr-FR" w:eastAsia="en-GB" w:bidi="en-GB"/>
        </w:rPr>
        <w:t>’</w:t>
      </w:r>
      <w:r w:rsidRPr="00953DCC">
        <w:rPr>
          <w:rFonts w:cs="Arial"/>
          <w:lang w:val="fr-FR" w:eastAsia="en-GB" w:bidi="en-GB"/>
        </w:rPr>
        <w:t>élaboration de règles internationales pour la certification des semences.</w:t>
      </w:r>
    </w:p>
    <w:p w14:paraId="57295324" w14:textId="77777777" w:rsidR="005F025D" w:rsidRPr="00953DCC" w:rsidRDefault="005F025D" w:rsidP="00D9517D">
      <w:pPr>
        <w:widowControl w:val="0"/>
        <w:numPr>
          <w:ilvl w:val="1"/>
          <w:numId w:val="9"/>
        </w:numPr>
        <w:autoSpaceDE w:val="0"/>
        <w:autoSpaceDN w:val="0"/>
        <w:ind w:left="1134" w:hanging="567"/>
        <w:jc w:val="left"/>
        <w:rPr>
          <w:rFonts w:cs="Arial"/>
          <w:lang w:val="fr-FR" w:eastAsia="en-GB" w:bidi="en-GB"/>
        </w:rPr>
      </w:pPr>
      <w:r w:rsidRPr="00953DCC">
        <w:rPr>
          <w:rFonts w:cs="Arial"/>
          <w:lang w:val="fr-FR" w:eastAsia="en-GB" w:bidi="en-GB"/>
        </w:rPr>
        <w:t>Renforcer la collaboration entre les secteurs public et privé.</w:t>
      </w:r>
    </w:p>
    <w:p w14:paraId="57295325" w14:textId="5AC01272" w:rsidR="005F025D" w:rsidRPr="00953DCC" w:rsidRDefault="005F025D" w:rsidP="00D9517D">
      <w:pPr>
        <w:widowControl w:val="0"/>
        <w:numPr>
          <w:ilvl w:val="1"/>
          <w:numId w:val="9"/>
        </w:numPr>
        <w:autoSpaceDE w:val="0"/>
        <w:autoSpaceDN w:val="0"/>
        <w:ind w:left="1134" w:right="225" w:hanging="567"/>
        <w:rPr>
          <w:rFonts w:cs="Arial"/>
          <w:lang w:val="fr-FR" w:eastAsia="en-GB" w:bidi="en-GB"/>
        </w:rPr>
      </w:pPr>
      <w:r w:rsidRPr="00953DCC">
        <w:rPr>
          <w:rFonts w:cs="Arial"/>
          <w:lang w:val="fr-FR" w:eastAsia="en-GB" w:bidi="en-GB"/>
        </w:rPr>
        <w:t>Bénéficier d</w:t>
      </w:r>
      <w:r w:rsidR="0056301D">
        <w:rPr>
          <w:rFonts w:cs="Arial"/>
          <w:lang w:val="fr-FR" w:eastAsia="en-GB" w:bidi="en-GB"/>
        </w:rPr>
        <w:t>’</w:t>
      </w:r>
      <w:r w:rsidRPr="00953DCC">
        <w:rPr>
          <w:rFonts w:cs="Arial"/>
          <w:lang w:val="fr-FR" w:eastAsia="en-GB" w:bidi="en-GB"/>
        </w:rPr>
        <w:t>échanges réguliers d</w:t>
      </w:r>
      <w:r w:rsidR="0056301D">
        <w:rPr>
          <w:rFonts w:cs="Arial"/>
          <w:lang w:val="fr-FR" w:eastAsia="en-GB" w:bidi="en-GB"/>
        </w:rPr>
        <w:t>’</w:t>
      </w:r>
      <w:r w:rsidRPr="00953DCC">
        <w:rPr>
          <w:rFonts w:cs="Arial"/>
          <w:lang w:val="fr-FR" w:eastAsia="en-GB" w:bidi="en-GB"/>
        </w:rPr>
        <w:t>informations avec d</w:t>
      </w:r>
      <w:r w:rsidR="0056301D">
        <w:rPr>
          <w:rFonts w:cs="Arial"/>
          <w:lang w:val="fr-FR" w:eastAsia="en-GB" w:bidi="en-GB"/>
        </w:rPr>
        <w:t>’</w:t>
      </w:r>
      <w:r w:rsidRPr="00953DCC">
        <w:rPr>
          <w:rFonts w:cs="Arial"/>
          <w:lang w:val="fr-FR" w:eastAsia="en-GB" w:bidi="en-GB"/>
        </w:rPr>
        <w:t>autres organismes nationaux de certification et organisations observatrices.</w:t>
      </w:r>
    </w:p>
    <w:p w14:paraId="57295326" w14:textId="77777777" w:rsidR="005F025D" w:rsidRPr="00953DCC" w:rsidRDefault="005F025D" w:rsidP="007E07ED">
      <w:pPr>
        <w:spacing w:before="5"/>
        <w:rPr>
          <w:rFonts w:cs="Arial"/>
          <w:lang w:val="fr-FR"/>
        </w:rPr>
      </w:pPr>
    </w:p>
    <w:p w14:paraId="57295327" w14:textId="77777777" w:rsidR="005F025D" w:rsidRPr="00953DCC" w:rsidRDefault="005F025D" w:rsidP="005F025D">
      <w:pPr>
        <w:rPr>
          <w:i/>
          <w:lang w:val="fr-FR"/>
        </w:rPr>
      </w:pPr>
      <w:bookmarkStart w:id="28" w:name="Annual_List_of_Varieties"/>
      <w:bookmarkEnd w:id="28"/>
      <w:r w:rsidRPr="00953DCC">
        <w:rPr>
          <w:i/>
          <w:lang w:val="fr-FR"/>
        </w:rPr>
        <w:t>Listes annuelles des variétés</w:t>
      </w:r>
    </w:p>
    <w:p w14:paraId="57295328" w14:textId="77777777" w:rsidR="005F025D" w:rsidRPr="00953DCC" w:rsidRDefault="005F025D" w:rsidP="007E07ED">
      <w:pPr>
        <w:spacing w:before="4"/>
        <w:rPr>
          <w:rFonts w:cs="Arial"/>
          <w:b/>
          <w:lang w:val="fr-FR"/>
        </w:rPr>
      </w:pPr>
    </w:p>
    <w:p w14:paraId="57295329" w14:textId="619EAB23" w:rsidR="005F025D" w:rsidRPr="00953DCC" w:rsidRDefault="005F025D" w:rsidP="005F025D">
      <w:pPr>
        <w:widowControl w:val="0"/>
        <w:tabs>
          <w:tab w:val="left" w:pos="1127"/>
          <w:tab w:val="left" w:pos="1128"/>
        </w:tabs>
        <w:autoSpaceDE w:val="0"/>
        <w:autoSpaceDN w:val="0"/>
        <w:ind w:right="216"/>
        <w:rPr>
          <w:rFonts w:cs="Arial"/>
          <w:lang w:val="fr-FR" w:eastAsia="en-GB" w:bidi="en-GB"/>
        </w:rPr>
      </w:pPr>
      <w:r w:rsidRPr="00953DCC">
        <w:rPr>
          <w:rFonts w:cs="Arial"/>
          <w:w w:val="105"/>
          <w:lang w:val="fr-FR" w:eastAsia="en-GB" w:bidi="en-GB"/>
        </w:rPr>
        <w:t>La liste annuelle des variétés remplissant les conditions requises pour bénéficier de la certification de l</w:t>
      </w:r>
      <w:r w:rsidR="0056301D">
        <w:rPr>
          <w:rFonts w:cs="Arial"/>
          <w:w w:val="105"/>
          <w:lang w:val="fr-FR" w:eastAsia="en-GB" w:bidi="en-GB"/>
        </w:rPr>
        <w:t>’</w:t>
      </w:r>
      <w:r w:rsidRPr="00953DCC">
        <w:rPr>
          <w:rFonts w:cs="Arial"/>
          <w:w w:val="105"/>
          <w:lang w:val="fr-FR" w:eastAsia="en-GB" w:bidi="en-GB"/>
        </w:rPr>
        <w:t>OCDE comprend les variétés qui sont officiellement reconnues comme étant distinctes, homogènes et stables et qui ont une valeur acceptable dans un ou plusieurs pays participan</w:t>
      </w:r>
      <w:r w:rsidR="0011329B" w:rsidRPr="00953DCC">
        <w:rPr>
          <w:rFonts w:cs="Arial"/>
          <w:w w:val="105"/>
          <w:lang w:val="fr-FR" w:eastAsia="en-GB" w:bidi="en-GB"/>
        </w:rPr>
        <w:t>ts</w:t>
      </w:r>
      <w:r w:rsidR="0011329B">
        <w:rPr>
          <w:rFonts w:cs="Arial"/>
          <w:w w:val="105"/>
          <w:lang w:val="fr-FR" w:eastAsia="en-GB" w:bidi="en-GB"/>
        </w:rPr>
        <w:t xml:space="preserve">.  </w:t>
      </w:r>
      <w:r w:rsidR="0011329B" w:rsidRPr="00953DCC">
        <w:rPr>
          <w:rFonts w:cs="Arial"/>
          <w:w w:val="105"/>
          <w:lang w:val="fr-FR" w:eastAsia="en-GB" w:bidi="en-GB"/>
        </w:rPr>
        <w:t>Ce</w:t>
      </w:r>
      <w:r w:rsidRPr="00953DCC">
        <w:rPr>
          <w:rFonts w:cs="Arial"/>
          <w:w w:val="105"/>
          <w:lang w:val="fr-FR" w:eastAsia="en-GB" w:bidi="en-GB"/>
        </w:rPr>
        <w:t>tte liste contient les variétés de semences commercialisées au niveau international au moyen des Systèmes des semences de l</w:t>
      </w:r>
      <w:r w:rsidR="0056301D">
        <w:rPr>
          <w:rFonts w:cs="Arial"/>
          <w:w w:val="105"/>
          <w:lang w:val="fr-FR" w:eastAsia="en-GB" w:bidi="en-GB"/>
        </w:rPr>
        <w:t>’</w:t>
      </w:r>
      <w:r w:rsidRPr="00953DCC">
        <w:rPr>
          <w:rFonts w:cs="Arial"/>
          <w:w w:val="105"/>
          <w:lang w:val="fr-FR" w:eastAsia="en-GB" w:bidi="en-GB"/>
        </w:rPr>
        <w:t>O</w:t>
      </w:r>
      <w:r w:rsidR="0011329B" w:rsidRPr="00953DCC">
        <w:rPr>
          <w:rFonts w:cs="Arial"/>
          <w:w w:val="105"/>
          <w:lang w:val="fr-FR" w:eastAsia="en-GB" w:bidi="en-GB"/>
        </w:rPr>
        <w:t>CDE</w:t>
      </w:r>
      <w:r w:rsidR="0011329B">
        <w:rPr>
          <w:rFonts w:cs="Arial"/>
          <w:w w:val="105"/>
          <w:lang w:val="fr-FR" w:eastAsia="en-GB" w:bidi="en-GB"/>
        </w:rPr>
        <w:t xml:space="preserve">.  </w:t>
      </w:r>
      <w:r w:rsidR="0011329B" w:rsidRPr="00953DCC">
        <w:rPr>
          <w:rFonts w:cs="Arial"/>
          <w:w w:val="105"/>
          <w:lang w:val="fr-FR" w:eastAsia="en-GB" w:bidi="en-GB"/>
        </w:rPr>
        <w:t>Le</w:t>
      </w:r>
      <w:r w:rsidRPr="00953DCC">
        <w:rPr>
          <w:rFonts w:cs="Arial"/>
          <w:w w:val="105"/>
          <w:lang w:val="fr-FR" w:eastAsia="en-GB" w:bidi="en-GB"/>
        </w:rPr>
        <w:t xml:space="preserve"> nombre de variétés n</w:t>
      </w:r>
      <w:r w:rsidR="0056301D">
        <w:rPr>
          <w:rFonts w:cs="Arial"/>
          <w:w w:val="105"/>
          <w:lang w:val="fr-FR" w:eastAsia="en-GB" w:bidi="en-GB"/>
        </w:rPr>
        <w:t>’</w:t>
      </w:r>
      <w:r w:rsidRPr="00953DCC">
        <w:rPr>
          <w:rFonts w:cs="Arial"/>
          <w:w w:val="105"/>
          <w:lang w:val="fr-FR" w:eastAsia="en-GB" w:bidi="en-GB"/>
        </w:rPr>
        <w:t>a cessé d</w:t>
      </w:r>
      <w:r w:rsidR="0056301D">
        <w:rPr>
          <w:rFonts w:cs="Arial"/>
          <w:w w:val="105"/>
          <w:lang w:val="fr-FR" w:eastAsia="en-GB" w:bidi="en-GB"/>
        </w:rPr>
        <w:t>’</w:t>
      </w:r>
      <w:r w:rsidRPr="00953DCC">
        <w:rPr>
          <w:rFonts w:cs="Arial"/>
          <w:w w:val="105"/>
          <w:lang w:val="fr-FR" w:eastAsia="en-GB" w:bidi="en-GB"/>
        </w:rPr>
        <w:t>augmenter au cours de ces trente</w:t>
      </w:r>
      <w:r w:rsidR="0011329B">
        <w:rPr>
          <w:rFonts w:cs="Arial"/>
          <w:w w:val="105"/>
          <w:lang w:val="fr-FR" w:eastAsia="en-GB" w:bidi="en-GB"/>
        </w:rPr>
        <w:t xml:space="preserve"> </w:t>
      </w:r>
      <w:r w:rsidRPr="00953DCC">
        <w:rPr>
          <w:rFonts w:cs="Arial"/>
          <w:w w:val="105"/>
          <w:lang w:val="fr-FR" w:eastAsia="en-GB" w:bidi="en-GB"/>
        </w:rPr>
        <w:t>dernières anné</w:t>
      </w:r>
      <w:r w:rsidR="0011329B" w:rsidRPr="00953DCC">
        <w:rPr>
          <w:rFonts w:cs="Arial"/>
          <w:w w:val="105"/>
          <w:lang w:val="fr-FR" w:eastAsia="en-GB" w:bidi="en-GB"/>
        </w:rPr>
        <w:t>es</w:t>
      </w:r>
      <w:r w:rsidR="0011329B">
        <w:rPr>
          <w:rFonts w:cs="Arial"/>
          <w:w w:val="105"/>
          <w:lang w:val="fr-FR" w:eastAsia="en-GB" w:bidi="en-GB"/>
        </w:rPr>
        <w:t xml:space="preserve">.  </w:t>
      </w:r>
      <w:r w:rsidR="0011329B" w:rsidRPr="00953DCC">
        <w:rPr>
          <w:rFonts w:cs="Arial"/>
          <w:w w:val="105"/>
          <w:lang w:val="fr-FR" w:eastAsia="en-GB" w:bidi="en-GB"/>
        </w:rPr>
        <w:t>Ac</w:t>
      </w:r>
      <w:r w:rsidRPr="00953DCC">
        <w:rPr>
          <w:rFonts w:cs="Arial"/>
          <w:w w:val="105"/>
          <w:lang w:val="fr-FR" w:eastAsia="en-GB" w:bidi="en-GB"/>
        </w:rPr>
        <w:t>tuellement, le nombre de variétés répertoriées s</w:t>
      </w:r>
      <w:r w:rsidR="0056301D">
        <w:rPr>
          <w:rFonts w:cs="Arial"/>
          <w:w w:val="105"/>
          <w:lang w:val="fr-FR" w:eastAsia="en-GB" w:bidi="en-GB"/>
        </w:rPr>
        <w:t>’</w:t>
      </w:r>
      <w:r w:rsidRPr="00953DCC">
        <w:rPr>
          <w:rFonts w:cs="Arial"/>
          <w:w w:val="105"/>
          <w:lang w:val="fr-FR" w:eastAsia="en-GB" w:bidi="en-GB"/>
        </w:rPr>
        <w:t>élève à plus de 62</w:t>
      </w:r>
      <w:r w:rsidR="004A1CA8">
        <w:rPr>
          <w:rFonts w:cs="Arial"/>
          <w:w w:val="105"/>
          <w:lang w:val="fr-FR" w:eastAsia="en-GB" w:bidi="en-GB"/>
        </w:rPr>
        <w:t> </w:t>
      </w:r>
      <w:r w:rsidRPr="00953DCC">
        <w:rPr>
          <w:rFonts w:cs="Arial"/>
          <w:w w:val="105"/>
          <w:lang w:val="fr-FR" w:eastAsia="en-GB" w:bidi="en-GB"/>
        </w:rPr>
        <w:t>000, correspondant à 200 espèc</w:t>
      </w:r>
      <w:r w:rsidR="0011329B" w:rsidRPr="00953DCC">
        <w:rPr>
          <w:rFonts w:cs="Arial"/>
          <w:w w:val="105"/>
          <w:lang w:val="fr-FR" w:eastAsia="en-GB" w:bidi="en-GB"/>
        </w:rPr>
        <w:t>es</w:t>
      </w:r>
      <w:r w:rsidR="0011329B">
        <w:rPr>
          <w:rFonts w:cs="Arial"/>
          <w:w w:val="105"/>
          <w:lang w:val="fr-FR" w:eastAsia="en-GB" w:bidi="en-GB"/>
        </w:rPr>
        <w:t xml:space="preserve">.  </w:t>
      </w:r>
      <w:r w:rsidR="0011329B" w:rsidRPr="00953DCC">
        <w:rPr>
          <w:rFonts w:cs="Arial"/>
          <w:w w:val="105"/>
          <w:lang w:val="fr-FR" w:eastAsia="en-GB" w:bidi="en-GB"/>
        </w:rPr>
        <w:t>La</w:t>
      </w:r>
      <w:r w:rsidRPr="00953DCC">
        <w:rPr>
          <w:rFonts w:cs="Arial"/>
          <w:w w:val="105"/>
          <w:lang w:val="fr-FR" w:eastAsia="en-GB" w:bidi="en-GB"/>
        </w:rPr>
        <w:t xml:space="preserve"> liste est accessible en ligne et mise à jour régulièrement.</w:t>
      </w:r>
    </w:p>
    <w:p w14:paraId="5729532A" w14:textId="77777777" w:rsidR="005F025D" w:rsidRPr="00953DCC" w:rsidRDefault="005F025D" w:rsidP="007E07ED">
      <w:pPr>
        <w:spacing w:before="4"/>
        <w:rPr>
          <w:rFonts w:cs="Arial"/>
          <w:lang w:val="fr-FR"/>
        </w:rPr>
      </w:pPr>
    </w:p>
    <w:p w14:paraId="5729532B" w14:textId="77777777" w:rsidR="005F025D" w:rsidRPr="00953DCC" w:rsidRDefault="005F025D" w:rsidP="005F025D">
      <w:pPr>
        <w:rPr>
          <w:i/>
          <w:lang w:val="fr-FR"/>
        </w:rPr>
      </w:pPr>
      <w:bookmarkStart w:id="29" w:name="Outlook"/>
      <w:bookmarkEnd w:id="29"/>
      <w:r w:rsidRPr="00953DCC">
        <w:rPr>
          <w:i/>
          <w:lang w:val="fr-FR"/>
        </w:rPr>
        <w:t>Perspectives</w:t>
      </w:r>
    </w:p>
    <w:p w14:paraId="5729532C" w14:textId="77777777" w:rsidR="005F025D" w:rsidRPr="00953DCC" w:rsidRDefault="005F025D" w:rsidP="007E07ED">
      <w:pPr>
        <w:spacing w:before="6"/>
        <w:rPr>
          <w:rFonts w:cs="Arial"/>
          <w:b/>
          <w:lang w:val="fr-FR"/>
        </w:rPr>
      </w:pPr>
    </w:p>
    <w:p w14:paraId="5729532D" w14:textId="77777777" w:rsidR="005F025D" w:rsidRPr="00953DCC" w:rsidRDefault="005F025D" w:rsidP="005F025D">
      <w:pPr>
        <w:widowControl w:val="0"/>
        <w:tabs>
          <w:tab w:val="left" w:pos="1069"/>
          <w:tab w:val="left" w:pos="1071"/>
        </w:tabs>
        <w:autoSpaceDE w:val="0"/>
        <w:autoSpaceDN w:val="0"/>
        <w:spacing w:before="1"/>
        <w:ind w:right="223"/>
        <w:rPr>
          <w:rFonts w:cs="Arial"/>
          <w:lang w:val="fr-FR" w:eastAsia="en-GB" w:bidi="en-GB"/>
        </w:rPr>
      </w:pPr>
      <w:r w:rsidRPr="00953DCC">
        <w:rPr>
          <w:rFonts w:cs="Arial"/>
          <w:lang w:val="fr-FR" w:eastAsia="en-GB" w:bidi="en-GB"/>
        </w:rPr>
        <w:t>Les “consommateurs” de semences devenant de plus en plus exigeants, les besoins en matière de normes uniformes pour les semences sont plus importants, alors que dans le même temps, les ressources financières publiques pour la réglementation et le contrôle de la qualité sont limitées.</w:t>
      </w:r>
    </w:p>
    <w:p w14:paraId="5729532E" w14:textId="77777777" w:rsidR="005F025D" w:rsidRPr="00953DCC" w:rsidRDefault="005F025D" w:rsidP="007E07ED">
      <w:pPr>
        <w:spacing w:before="8"/>
        <w:rPr>
          <w:rFonts w:cs="Arial"/>
          <w:lang w:val="fr-FR"/>
        </w:rPr>
      </w:pPr>
    </w:p>
    <w:p w14:paraId="5729532F" w14:textId="5B91BFE9" w:rsidR="005F025D" w:rsidRPr="00953DCC" w:rsidRDefault="005F025D" w:rsidP="005F025D">
      <w:pPr>
        <w:widowControl w:val="0"/>
        <w:tabs>
          <w:tab w:val="left" w:pos="1069"/>
          <w:tab w:val="left" w:pos="1071"/>
        </w:tabs>
        <w:autoSpaceDE w:val="0"/>
        <w:autoSpaceDN w:val="0"/>
        <w:ind w:right="214"/>
        <w:rPr>
          <w:rFonts w:cs="Arial"/>
          <w:lang w:val="fr-FR" w:eastAsia="en-GB" w:bidi="en-GB"/>
        </w:rPr>
      </w:pPr>
      <w:r w:rsidRPr="00953DCC">
        <w:rPr>
          <w:rFonts w:cs="Arial"/>
          <w:lang w:val="fr-FR" w:eastAsia="en-GB" w:bidi="en-GB"/>
        </w:rPr>
        <w:t>La coopération entre les pays et les parties prenantes dans le cadre de ces systèmes constitue une réponse aux préoccupations liées à une approche réglementaire adaptée au marc</w:t>
      </w:r>
      <w:r w:rsidR="0011329B" w:rsidRPr="00953DCC">
        <w:rPr>
          <w:rFonts w:cs="Arial"/>
          <w:lang w:val="fr-FR" w:eastAsia="en-GB" w:bidi="en-GB"/>
        </w:rPr>
        <w:t>hé</w:t>
      </w:r>
      <w:r w:rsidR="0011329B">
        <w:rPr>
          <w:rFonts w:cs="Arial"/>
          <w:lang w:val="fr-FR" w:eastAsia="en-GB" w:bidi="en-GB"/>
        </w:rPr>
        <w:t xml:space="preserve">.  </w:t>
      </w:r>
      <w:r w:rsidR="0011329B" w:rsidRPr="00953DCC">
        <w:rPr>
          <w:rFonts w:cs="Arial"/>
          <w:i/>
          <w:lang w:val="fr-FR" w:eastAsia="en-GB" w:bidi="en-GB"/>
        </w:rPr>
        <w:t>Ch</w:t>
      </w:r>
      <w:r w:rsidRPr="00953DCC">
        <w:rPr>
          <w:rFonts w:cs="Arial"/>
          <w:i/>
          <w:lang w:val="fr-FR" w:eastAsia="en-GB" w:bidi="en-GB"/>
        </w:rPr>
        <w:t>aque pays fait face à un cadre juridique, des relations commerciales et des obstacles institutionnels différents, alors que les diverses approches doivent rester cohérentes entre les pays entrant sur les marchés internationaux en tant qu</w:t>
      </w:r>
      <w:r w:rsidR="0056301D">
        <w:rPr>
          <w:rFonts w:cs="Arial"/>
          <w:i/>
          <w:lang w:val="fr-FR" w:eastAsia="en-GB" w:bidi="en-GB"/>
        </w:rPr>
        <w:t>’</w:t>
      </w:r>
      <w:r w:rsidRPr="00953DCC">
        <w:rPr>
          <w:rFonts w:cs="Arial"/>
          <w:i/>
          <w:lang w:val="fr-FR" w:eastAsia="en-GB" w:bidi="en-GB"/>
        </w:rPr>
        <w:t>importateurs ou exportateurs de semences.</w:t>
      </w:r>
    </w:p>
    <w:p w14:paraId="57295330" w14:textId="77777777" w:rsidR="005F025D" w:rsidRPr="00953DCC" w:rsidRDefault="005F025D" w:rsidP="007E07ED">
      <w:pPr>
        <w:spacing w:before="10"/>
        <w:rPr>
          <w:rFonts w:cs="Arial"/>
          <w:lang w:val="fr-FR"/>
        </w:rPr>
      </w:pPr>
    </w:p>
    <w:p w14:paraId="57295331" w14:textId="5B515AF2" w:rsidR="005F025D" w:rsidRPr="00953DCC" w:rsidRDefault="005F025D" w:rsidP="005F025D">
      <w:pPr>
        <w:widowControl w:val="0"/>
        <w:tabs>
          <w:tab w:val="left" w:pos="1069"/>
          <w:tab w:val="left" w:pos="1071"/>
        </w:tabs>
        <w:autoSpaceDE w:val="0"/>
        <w:autoSpaceDN w:val="0"/>
        <w:spacing w:before="1"/>
        <w:ind w:right="217"/>
        <w:rPr>
          <w:rFonts w:cs="Arial"/>
          <w:lang w:val="fr-FR" w:eastAsia="en-GB" w:bidi="en-GB"/>
        </w:rPr>
      </w:pPr>
      <w:r w:rsidRPr="00953DCC">
        <w:rPr>
          <w:rFonts w:cs="Arial"/>
          <w:lang w:val="fr-FR" w:eastAsia="en-GB" w:bidi="en-GB"/>
        </w:rPr>
        <w:t>Les conservateurs et les entreprises semencières ont la responsabilité de s</w:t>
      </w:r>
      <w:r w:rsidR="0056301D">
        <w:rPr>
          <w:rFonts w:cs="Arial"/>
          <w:lang w:val="fr-FR" w:eastAsia="en-GB" w:bidi="en-GB"/>
        </w:rPr>
        <w:t>’</w:t>
      </w:r>
      <w:r w:rsidRPr="00953DCC">
        <w:rPr>
          <w:rFonts w:cs="Arial"/>
          <w:lang w:val="fr-FR" w:eastAsia="en-GB" w:bidi="en-GB"/>
        </w:rPr>
        <w:t>assurer que leurs variétés restent pures et fidèles à la description et à l</w:t>
      </w:r>
      <w:r w:rsidR="0056301D">
        <w:rPr>
          <w:rFonts w:cs="Arial"/>
          <w:lang w:val="fr-FR" w:eastAsia="en-GB" w:bidi="en-GB"/>
        </w:rPr>
        <w:t>’</w:t>
      </w:r>
      <w:r w:rsidRPr="00953DCC">
        <w:rPr>
          <w:rFonts w:cs="Arial"/>
          <w:lang w:val="fr-FR" w:eastAsia="en-GB" w:bidi="en-GB"/>
        </w:rPr>
        <w:t>échantillon faisant autorité (qui est la “description vivante” de la variété), non seulement sur le plan national, mais étalement au</w:t>
      </w:r>
      <w:r w:rsidR="00456121">
        <w:rPr>
          <w:rFonts w:cs="Arial"/>
          <w:lang w:val="fr-FR" w:eastAsia="en-GB" w:bidi="en-GB"/>
        </w:rPr>
        <w:noBreakHyphen/>
      </w:r>
      <w:r w:rsidRPr="00953DCC">
        <w:rPr>
          <w:rFonts w:cs="Arial"/>
          <w:lang w:val="fr-FR" w:eastAsia="en-GB" w:bidi="en-GB"/>
        </w:rPr>
        <w:t>delà des frontièr</w:t>
      </w:r>
      <w:r w:rsidR="0011329B" w:rsidRPr="00953DCC">
        <w:rPr>
          <w:rFonts w:cs="Arial"/>
          <w:lang w:val="fr-FR" w:eastAsia="en-GB" w:bidi="en-GB"/>
        </w:rPr>
        <w:t>es</w:t>
      </w:r>
      <w:r w:rsidR="0011329B">
        <w:rPr>
          <w:rFonts w:cs="Arial"/>
          <w:lang w:val="fr-FR" w:eastAsia="en-GB" w:bidi="en-GB"/>
        </w:rPr>
        <w:t xml:space="preserve">.  </w:t>
      </w:r>
      <w:r w:rsidR="0011329B" w:rsidRPr="00953DCC">
        <w:rPr>
          <w:rFonts w:cs="Arial"/>
          <w:lang w:val="fr-FR" w:eastAsia="en-GB" w:bidi="en-GB"/>
        </w:rPr>
        <w:t>Il</w:t>
      </w:r>
      <w:r w:rsidRPr="00953DCC">
        <w:rPr>
          <w:rFonts w:cs="Arial"/>
          <w:lang w:val="fr-FR" w:eastAsia="en-GB" w:bidi="en-GB"/>
        </w:rPr>
        <w:t xml:space="preserve"> faut toutefois que des critères minimums soient conjointement définis, approuvés et mis en œuvre lors de la multiplication des semences en grandes quantités pour le commer</w:t>
      </w:r>
      <w:r w:rsidR="0011329B" w:rsidRPr="00953DCC">
        <w:rPr>
          <w:rFonts w:cs="Arial"/>
          <w:lang w:val="fr-FR" w:eastAsia="en-GB" w:bidi="en-GB"/>
        </w:rPr>
        <w:t>ce</w:t>
      </w:r>
      <w:r w:rsidR="0011329B">
        <w:rPr>
          <w:rFonts w:cs="Arial"/>
          <w:lang w:val="fr-FR" w:eastAsia="en-GB" w:bidi="en-GB"/>
        </w:rPr>
        <w:t xml:space="preserve">.  </w:t>
      </w:r>
      <w:r w:rsidR="0011329B" w:rsidRPr="00953DCC">
        <w:rPr>
          <w:rFonts w:cs="Arial"/>
          <w:lang w:val="fr-FR" w:eastAsia="en-GB" w:bidi="en-GB"/>
        </w:rPr>
        <w:t>Le</w:t>
      </w:r>
      <w:r w:rsidRPr="00953DCC">
        <w:rPr>
          <w:rFonts w:cs="Arial"/>
          <w:lang w:val="fr-FR" w:eastAsia="en-GB" w:bidi="en-GB"/>
        </w:rPr>
        <w:t>s Systèmes des semences de l</w:t>
      </w:r>
      <w:r w:rsidR="0056301D">
        <w:rPr>
          <w:rFonts w:cs="Arial"/>
          <w:lang w:val="fr-FR" w:eastAsia="en-GB" w:bidi="en-GB"/>
        </w:rPr>
        <w:t>’</w:t>
      </w:r>
      <w:r w:rsidRPr="00953DCC">
        <w:rPr>
          <w:rFonts w:cs="Arial"/>
          <w:lang w:val="fr-FR" w:eastAsia="en-GB" w:bidi="en-GB"/>
        </w:rPr>
        <w:t>OCDE fournissent ce cadre juridique au niveau international.</w:t>
      </w:r>
    </w:p>
    <w:p w14:paraId="57295332" w14:textId="77777777" w:rsidR="005F025D" w:rsidRPr="00953DCC" w:rsidRDefault="005F025D" w:rsidP="007E07ED">
      <w:pPr>
        <w:widowControl w:val="0"/>
        <w:tabs>
          <w:tab w:val="left" w:pos="1069"/>
          <w:tab w:val="left" w:pos="1071"/>
        </w:tabs>
        <w:autoSpaceDE w:val="0"/>
        <w:autoSpaceDN w:val="0"/>
        <w:spacing w:before="1"/>
        <w:ind w:left="220" w:right="217"/>
        <w:rPr>
          <w:rFonts w:cs="Arial"/>
          <w:lang w:val="fr-FR" w:eastAsia="en-GB" w:bidi="en-GB"/>
        </w:rPr>
      </w:pPr>
    </w:p>
    <w:p w14:paraId="57295333" w14:textId="469F5B6A" w:rsidR="005F025D" w:rsidRPr="00953DCC" w:rsidRDefault="005F025D" w:rsidP="005F025D">
      <w:pPr>
        <w:rPr>
          <w:i/>
          <w:lang w:val="fr-FR"/>
        </w:rPr>
      </w:pPr>
      <w:r w:rsidRPr="00953DCC">
        <w:rPr>
          <w:i/>
          <w:lang w:val="fr-FR"/>
        </w:rPr>
        <w:t>Situation des techniques biochimiques et moléculaires dans les Systèmes des semences de l</w:t>
      </w:r>
      <w:r w:rsidR="0056301D">
        <w:rPr>
          <w:i/>
          <w:lang w:val="fr-FR"/>
        </w:rPr>
        <w:t>’</w:t>
      </w:r>
      <w:r w:rsidRPr="00953DCC">
        <w:rPr>
          <w:i/>
          <w:lang w:val="fr-FR"/>
        </w:rPr>
        <w:t>OCDE</w:t>
      </w:r>
    </w:p>
    <w:p w14:paraId="57295334" w14:textId="77777777" w:rsidR="005F025D" w:rsidRPr="00953DCC" w:rsidRDefault="005F025D" w:rsidP="007E07ED">
      <w:pPr>
        <w:ind w:right="556"/>
        <w:rPr>
          <w:lang w:val="fr-FR"/>
        </w:rPr>
      </w:pPr>
    </w:p>
    <w:p w14:paraId="57295335" w14:textId="70393D9A" w:rsidR="005F025D" w:rsidRPr="00953DCC" w:rsidRDefault="005F025D" w:rsidP="005F025D">
      <w:pPr>
        <w:spacing w:line="247" w:lineRule="exact"/>
        <w:rPr>
          <w:lang w:val="fr-FR"/>
        </w:rPr>
      </w:pPr>
      <w:r w:rsidRPr="00953DCC">
        <w:rPr>
          <w:lang w:val="fr-FR"/>
        </w:rPr>
        <w:t>Les Systèmes des semences de l</w:t>
      </w:r>
      <w:r w:rsidR="0056301D">
        <w:rPr>
          <w:lang w:val="fr-FR"/>
        </w:rPr>
        <w:t>’</w:t>
      </w:r>
      <w:r w:rsidRPr="00953DCC">
        <w:rPr>
          <w:lang w:val="fr-FR"/>
        </w:rPr>
        <w:t>OCDE n</w:t>
      </w:r>
      <w:r w:rsidR="0056301D">
        <w:rPr>
          <w:lang w:val="fr-FR"/>
        </w:rPr>
        <w:t>’</w:t>
      </w:r>
      <w:r w:rsidRPr="00953DCC">
        <w:rPr>
          <w:lang w:val="fr-FR"/>
        </w:rPr>
        <w:t>approuvent pas particulièrement une méthode de laboratoire pour déterminer l</w:t>
      </w:r>
      <w:r w:rsidR="0056301D">
        <w:rPr>
          <w:lang w:val="fr-FR"/>
        </w:rPr>
        <w:t>’</w:t>
      </w:r>
      <w:r w:rsidRPr="00953DCC">
        <w:rPr>
          <w:lang w:val="fr-FR"/>
        </w:rPr>
        <w:t>identité variétale ou la pureté variéta</w:t>
      </w:r>
      <w:r w:rsidR="0011329B" w:rsidRPr="00953DCC">
        <w:rPr>
          <w:lang w:val="fr-FR"/>
        </w:rPr>
        <w:t>le</w:t>
      </w:r>
      <w:r w:rsidR="0011329B">
        <w:rPr>
          <w:lang w:val="fr-FR"/>
        </w:rPr>
        <w:t xml:space="preserve">.  </w:t>
      </w:r>
      <w:r w:rsidR="0011329B" w:rsidRPr="00953DCC">
        <w:rPr>
          <w:lang w:val="fr-FR"/>
        </w:rPr>
        <w:t>Le</w:t>
      </w:r>
      <w:r w:rsidRPr="00953DCC">
        <w:rPr>
          <w:lang w:val="fr-FR"/>
        </w:rPr>
        <w:t>s méthodes traditionnelles de l</w:t>
      </w:r>
      <w:r w:rsidR="0056301D">
        <w:rPr>
          <w:lang w:val="fr-FR"/>
        </w:rPr>
        <w:t>’</w:t>
      </w:r>
      <w:r w:rsidRPr="00953DCC">
        <w:rPr>
          <w:lang w:val="fr-FR"/>
        </w:rPr>
        <w:t>OCDE consistant à utiliser des techniques d</w:t>
      </w:r>
      <w:r w:rsidR="0056301D">
        <w:rPr>
          <w:lang w:val="fr-FR"/>
        </w:rPr>
        <w:t>’</w:t>
      </w:r>
      <w:r w:rsidRPr="00953DCC">
        <w:rPr>
          <w:lang w:val="fr-FR"/>
        </w:rPr>
        <w:t>inspection sur le terrain, de concert avec des parcelles de contrôles avant et après, doivent être considérées comme les méthodes requises de détermination de l</w:t>
      </w:r>
      <w:r w:rsidR="0056301D">
        <w:rPr>
          <w:lang w:val="fr-FR"/>
        </w:rPr>
        <w:t>’</w:t>
      </w:r>
      <w:r w:rsidRPr="00953DCC">
        <w:rPr>
          <w:lang w:val="fr-FR"/>
        </w:rPr>
        <w:t>identité et de la pureté variétales.</w:t>
      </w:r>
    </w:p>
    <w:p w14:paraId="57295336" w14:textId="77777777" w:rsidR="005F025D" w:rsidRPr="00953DCC" w:rsidRDefault="005F025D" w:rsidP="007E07ED">
      <w:pPr>
        <w:spacing w:line="247" w:lineRule="exact"/>
        <w:rPr>
          <w:lang w:val="fr-FR"/>
        </w:rPr>
      </w:pPr>
    </w:p>
    <w:p w14:paraId="57295337" w14:textId="2F8126B3" w:rsidR="005F025D" w:rsidRPr="00953DCC" w:rsidRDefault="005F025D" w:rsidP="005F025D">
      <w:pPr>
        <w:ind w:right="102"/>
        <w:rPr>
          <w:lang w:val="fr-FR"/>
        </w:rPr>
      </w:pPr>
      <w:r w:rsidRPr="00953DCC">
        <w:rPr>
          <w:lang w:val="fr-FR"/>
        </w:rPr>
        <w:t>Toutefois, les Systèmes des semences de l</w:t>
      </w:r>
      <w:r w:rsidR="0056301D">
        <w:rPr>
          <w:lang w:val="fr-FR"/>
        </w:rPr>
        <w:t>’</w:t>
      </w:r>
      <w:r w:rsidRPr="00953DCC">
        <w:rPr>
          <w:lang w:val="fr-FR"/>
        </w:rPr>
        <w:t>OCDE reconnaissent qu</w:t>
      </w:r>
      <w:r w:rsidR="0056301D">
        <w:rPr>
          <w:lang w:val="fr-FR"/>
        </w:rPr>
        <w:t>’</w:t>
      </w:r>
      <w:r w:rsidRPr="00953DCC">
        <w:rPr>
          <w:lang w:val="fr-FR"/>
        </w:rPr>
        <w:t>il existe des cas où ces méthodes traditionnelles limitent la certitude en matière de détermination variétale et que, parfois, les variétés de certaines espèces ne peuvent pas être identifiées avec certitude au moyen de ces méthodes traditionnell</w:t>
      </w:r>
      <w:r w:rsidR="0011329B" w:rsidRPr="00953DCC">
        <w:rPr>
          <w:lang w:val="fr-FR"/>
        </w:rPr>
        <w:t>es</w:t>
      </w:r>
      <w:r w:rsidR="0011329B">
        <w:rPr>
          <w:lang w:val="fr-FR"/>
        </w:rPr>
        <w:t xml:space="preserve">.  </w:t>
      </w:r>
      <w:r w:rsidR="0011329B" w:rsidRPr="00953DCC">
        <w:rPr>
          <w:lang w:val="fr-FR"/>
        </w:rPr>
        <w:t>Da</w:t>
      </w:r>
      <w:r w:rsidRPr="00953DCC">
        <w:rPr>
          <w:lang w:val="fr-FR"/>
        </w:rPr>
        <w:t>ns certaines circonstances particulières, il pourrait être bénéfique d</w:t>
      </w:r>
      <w:r w:rsidR="0056301D">
        <w:rPr>
          <w:lang w:val="fr-FR"/>
        </w:rPr>
        <w:t>’</w:t>
      </w:r>
      <w:r w:rsidRPr="00953DCC">
        <w:rPr>
          <w:lang w:val="fr-FR"/>
        </w:rPr>
        <w:t>utiliser des techniques non basées sur le terrain telles que des techniques biochimiques et moléculaires qui doivent être considérées comme complétant les méthodes plus traditionnelles et non comme remplaçant celles</w:t>
      </w:r>
      <w:r w:rsidR="00456121">
        <w:rPr>
          <w:lang w:val="fr-FR"/>
        </w:rPr>
        <w:noBreakHyphen/>
      </w:r>
      <w:r w:rsidRPr="00953DCC">
        <w:rPr>
          <w:lang w:val="fr-FR"/>
        </w:rPr>
        <w:t>ci.</w:t>
      </w:r>
    </w:p>
    <w:p w14:paraId="57295338" w14:textId="77777777" w:rsidR="005F025D" w:rsidRPr="00953DCC" w:rsidRDefault="005F025D" w:rsidP="007E07ED">
      <w:pPr>
        <w:spacing w:before="8"/>
        <w:rPr>
          <w:lang w:val="fr-FR"/>
        </w:rPr>
      </w:pPr>
    </w:p>
    <w:p w14:paraId="57295339" w14:textId="1FA75CC7" w:rsidR="005F025D" w:rsidRPr="00953DCC" w:rsidRDefault="005F025D" w:rsidP="005F025D">
      <w:pPr>
        <w:spacing w:before="1"/>
        <w:rPr>
          <w:b/>
          <w:lang w:val="fr-FR"/>
        </w:rPr>
      </w:pPr>
      <w:r w:rsidRPr="00953DCC">
        <w:rPr>
          <w:lang w:val="fr-FR"/>
        </w:rPr>
        <w:t>Pour de plus amples informations sur les Systèmes de semences de l</w:t>
      </w:r>
      <w:r w:rsidR="0056301D">
        <w:rPr>
          <w:lang w:val="fr-FR"/>
        </w:rPr>
        <w:t>’</w:t>
      </w:r>
      <w:r w:rsidRPr="00953DCC">
        <w:rPr>
          <w:lang w:val="fr-FR"/>
        </w:rPr>
        <w:t>OCDE, voir</w:t>
      </w:r>
      <w:r w:rsidR="0056301D">
        <w:rPr>
          <w:lang w:val="fr-FR"/>
        </w:rPr>
        <w:t> :</w:t>
      </w:r>
      <w:r w:rsidRPr="00953DCC">
        <w:rPr>
          <w:lang w:val="fr-FR"/>
        </w:rPr>
        <w:t xml:space="preserve"> www.oecd.org/tad/seed</w:t>
      </w:r>
    </w:p>
    <w:p w14:paraId="5729533A" w14:textId="77777777" w:rsidR="005F025D" w:rsidRPr="00953DCC" w:rsidRDefault="005F025D" w:rsidP="007E07ED">
      <w:pPr>
        <w:rPr>
          <w:lang w:val="fr-FR"/>
        </w:rPr>
      </w:pPr>
    </w:p>
    <w:p w14:paraId="5729533B" w14:textId="77777777" w:rsidR="005F025D" w:rsidRPr="00953DCC" w:rsidRDefault="005F025D" w:rsidP="007E07ED">
      <w:pPr>
        <w:rPr>
          <w:lang w:val="fr-FR"/>
        </w:rPr>
      </w:pPr>
    </w:p>
    <w:p w14:paraId="5729533C" w14:textId="77777777" w:rsidR="005F025D" w:rsidRPr="00953DCC" w:rsidRDefault="005F025D" w:rsidP="00B84A12">
      <w:pPr>
        <w:keepNext/>
        <w:rPr>
          <w:bCs/>
          <w:u w:val="single"/>
          <w:lang w:val="fr-FR"/>
        </w:rPr>
      </w:pPr>
      <w:r w:rsidRPr="00953DCC">
        <w:rPr>
          <w:bCs/>
          <w:color w:val="000000"/>
          <w:u w:val="single"/>
          <w:lang w:val="fr-FR"/>
        </w:rPr>
        <w:lastRenderedPageBreak/>
        <w:t>Union internationale pour la protection des obtentions végétales (UPOV)</w:t>
      </w:r>
    </w:p>
    <w:p w14:paraId="5729533D" w14:textId="77777777" w:rsidR="005F025D" w:rsidRPr="00953DCC" w:rsidRDefault="005F025D" w:rsidP="007E07ED">
      <w:pPr>
        <w:rPr>
          <w:lang w:val="fr-FR"/>
        </w:rPr>
      </w:pPr>
    </w:p>
    <w:p w14:paraId="5729533E" w14:textId="5A8AB7C0" w:rsidR="005F025D" w:rsidRPr="00953DCC" w:rsidRDefault="005F025D" w:rsidP="005F025D">
      <w:pPr>
        <w:rPr>
          <w:lang w:val="fr-FR"/>
        </w:rPr>
      </w:pPr>
      <w:r w:rsidRPr="00953DCC">
        <w:rPr>
          <w:lang w:val="fr-FR"/>
        </w:rPr>
        <w:t>Type d</w:t>
      </w:r>
      <w:r w:rsidR="0056301D">
        <w:rPr>
          <w:lang w:val="fr-FR"/>
        </w:rPr>
        <w:t>’</w:t>
      </w:r>
      <w:r w:rsidRPr="00953DCC">
        <w:rPr>
          <w:lang w:val="fr-FR"/>
        </w:rPr>
        <w:t>organisation</w:t>
      </w:r>
      <w:r w:rsidR="0056301D">
        <w:rPr>
          <w:lang w:val="fr-FR"/>
        </w:rPr>
        <w:t> :</w:t>
      </w:r>
      <w:r w:rsidRPr="00953DCC">
        <w:rPr>
          <w:lang w:val="fr-FR"/>
        </w:rPr>
        <w:t xml:space="preserve"> intergouvernementale</w:t>
      </w:r>
    </w:p>
    <w:p w14:paraId="11C7020F" w14:textId="77777777" w:rsidR="0056301D" w:rsidRDefault="0056301D" w:rsidP="007E07ED">
      <w:pPr>
        <w:rPr>
          <w:lang w:val="fr-FR"/>
        </w:rPr>
      </w:pPr>
    </w:p>
    <w:p w14:paraId="57295340" w14:textId="77777777" w:rsidR="005F025D" w:rsidRPr="00953DCC" w:rsidRDefault="005F025D" w:rsidP="005F025D">
      <w:pPr>
        <w:rPr>
          <w:bCs/>
          <w:lang w:val="fr-FR"/>
        </w:rPr>
      </w:pPr>
      <w:r w:rsidRPr="00953DCC">
        <w:rPr>
          <w:bCs/>
          <w:lang w:val="fr-FR"/>
        </w:rPr>
        <w:t>Membres</w:t>
      </w:r>
    </w:p>
    <w:p w14:paraId="57295341" w14:textId="367B9FFB" w:rsidR="005F025D" w:rsidRPr="00953DCC" w:rsidRDefault="007F2632" w:rsidP="005F025D">
      <w:pPr>
        <w:rPr>
          <w:lang w:val="fr-FR"/>
        </w:rPr>
      </w:pPr>
      <w:hyperlink r:id="rId13" w:history="1">
        <w:r w:rsidR="005F025D" w:rsidRPr="00D9517D">
          <w:rPr>
            <w:rStyle w:val="Hyperlink"/>
            <w:lang w:val="fr-FR"/>
          </w:rPr>
          <w:t>Liste des membres de l</w:t>
        </w:r>
        <w:r w:rsidR="0056301D" w:rsidRPr="00D9517D">
          <w:rPr>
            <w:rStyle w:val="Hyperlink"/>
            <w:lang w:val="fr-FR"/>
          </w:rPr>
          <w:t>’</w:t>
        </w:r>
        <w:r w:rsidR="005F025D" w:rsidRPr="00D9517D">
          <w:rPr>
            <w:rStyle w:val="Hyperlink"/>
            <w:lang w:val="fr-FR"/>
          </w:rPr>
          <w:t>UPOV</w:t>
        </w:r>
      </w:hyperlink>
      <w:r w:rsidR="005F025D" w:rsidRPr="00953DCC">
        <w:rPr>
          <w:lang w:val="fr-FR"/>
        </w:rPr>
        <w:t>/</w:t>
      </w:r>
      <w:hyperlink r:id="rId14" w:history="1">
        <w:r w:rsidR="005F025D" w:rsidRPr="00D9517D">
          <w:rPr>
            <w:rStyle w:val="Hyperlink"/>
            <w:lang w:val="fr-FR"/>
          </w:rPr>
          <w:t>Situation de l</w:t>
        </w:r>
        <w:r w:rsidR="0056301D" w:rsidRPr="00D9517D">
          <w:rPr>
            <w:rStyle w:val="Hyperlink"/>
            <w:lang w:val="fr-FR"/>
          </w:rPr>
          <w:t>’</w:t>
        </w:r>
        <w:r w:rsidR="005F025D" w:rsidRPr="00D9517D">
          <w:rPr>
            <w:rStyle w:val="Hyperlink"/>
            <w:lang w:val="fr-FR"/>
          </w:rPr>
          <w:t>UPOV</w:t>
        </w:r>
      </w:hyperlink>
    </w:p>
    <w:p w14:paraId="1AA6C5A7" w14:textId="77777777" w:rsidR="0056301D" w:rsidRDefault="0056301D" w:rsidP="007E07ED">
      <w:pPr>
        <w:rPr>
          <w:lang w:val="fr-FR"/>
        </w:rPr>
      </w:pPr>
    </w:p>
    <w:p w14:paraId="57295343" w14:textId="5955822F" w:rsidR="005F025D" w:rsidRPr="00953DCC" w:rsidRDefault="005F025D" w:rsidP="005F025D">
      <w:pPr>
        <w:keepNext/>
        <w:rPr>
          <w:bCs/>
          <w:i/>
          <w:lang w:val="fr-FR"/>
        </w:rPr>
      </w:pPr>
      <w:r w:rsidRPr="00953DCC">
        <w:rPr>
          <w:bCs/>
          <w:i/>
          <w:lang w:val="fr-FR"/>
        </w:rPr>
        <w:t>Qu</w:t>
      </w:r>
      <w:r w:rsidR="0056301D">
        <w:rPr>
          <w:bCs/>
          <w:i/>
          <w:lang w:val="fr-FR"/>
        </w:rPr>
        <w:t>’</w:t>
      </w:r>
      <w:r w:rsidRPr="00953DCC">
        <w:rPr>
          <w:bCs/>
          <w:i/>
          <w:lang w:val="fr-FR"/>
        </w:rPr>
        <w:t>est</w:t>
      </w:r>
      <w:r w:rsidR="00456121">
        <w:rPr>
          <w:bCs/>
          <w:i/>
          <w:lang w:val="fr-FR"/>
        </w:rPr>
        <w:noBreakHyphen/>
      </w:r>
      <w:r w:rsidRPr="00953DCC">
        <w:rPr>
          <w:bCs/>
          <w:i/>
          <w:lang w:val="fr-FR"/>
        </w:rPr>
        <w:t>ce que l</w:t>
      </w:r>
      <w:r w:rsidR="0056301D">
        <w:rPr>
          <w:bCs/>
          <w:i/>
          <w:lang w:val="fr-FR"/>
        </w:rPr>
        <w:t>’</w:t>
      </w:r>
      <w:r w:rsidRPr="00953DCC">
        <w:rPr>
          <w:bCs/>
          <w:i/>
          <w:lang w:val="fr-FR"/>
        </w:rPr>
        <w:t>UPOV?</w:t>
      </w:r>
    </w:p>
    <w:p w14:paraId="57295344" w14:textId="77777777" w:rsidR="005F025D" w:rsidRPr="00953DCC" w:rsidRDefault="005F025D" w:rsidP="008E521A">
      <w:pPr>
        <w:keepNext/>
        <w:rPr>
          <w:bCs/>
          <w:lang w:val="fr-FR"/>
        </w:rPr>
      </w:pPr>
    </w:p>
    <w:p w14:paraId="57295345" w14:textId="3BB10099" w:rsidR="005F025D" w:rsidRPr="00953DCC" w:rsidRDefault="005F025D" w:rsidP="005F025D">
      <w:pPr>
        <w:rPr>
          <w:lang w:val="fr-FR"/>
        </w:rPr>
      </w:pPr>
      <w:r w:rsidRPr="00953DCC">
        <w:rPr>
          <w:lang w:val="fr-FR"/>
        </w:rPr>
        <w:t>L</w:t>
      </w:r>
      <w:r w:rsidR="0056301D">
        <w:rPr>
          <w:lang w:val="fr-FR"/>
        </w:rPr>
        <w:t>’</w:t>
      </w:r>
      <w:r w:rsidRPr="00953DCC">
        <w:rPr>
          <w:lang w:val="fr-FR"/>
        </w:rPr>
        <w:t>Union internationale pour la protection des obtentions végétales (UPOV) est une organisation intergouvernementale dont le siège est à Genève (Suisse).</w:t>
      </w:r>
      <w:r w:rsidR="007E07ED" w:rsidRPr="00953DCC">
        <w:rPr>
          <w:lang w:val="fr-FR"/>
        </w:rPr>
        <w:t xml:space="preserve"> </w:t>
      </w:r>
      <w:r w:rsidR="004A1CA8">
        <w:rPr>
          <w:lang w:val="fr-FR"/>
        </w:rPr>
        <w:t xml:space="preserve"> </w:t>
      </w:r>
      <w:r w:rsidRPr="00953DCC">
        <w:rPr>
          <w:lang w:val="fr-FR"/>
        </w:rPr>
        <w:t>L</w:t>
      </w:r>
      <w:r w:rsidR="0056301D">
        <w:rPr>
          <w:lang w:val="fr-FR"/>
        </w:rPr>
        <w:t>’</w:t>
      </w:r>
      <w:r w:rsidRPr="00953DCC">
        <w:rPr>
          <w:lang w:val="fr-FR"/>
        </w:rPr>
        <w:t>UPOV a été créée en</w:t>
      </w:r>
      <w:r w:rsidR="004C64A4" w:rsidRPr="00953DCC">
        <w:rPr>
          <w:lang w:val="fr-FR"/>
        </w:rPr>
        <w:t> </w:t>
      </w:r>
      <w:r w:rsidRPr="00953DCC">
        <w:rPr>
          <w:lang w:val="fr-FR"/>
        </w:rPr>
        <w:t>1961 par la Convention internationale pour la protection des obtentions végétales (la “</w:t>
      </w:r>
      <w:r w:rsidR="0056301D">
        <w:rPr>
          <w:lang w:val="fr-FR"/>
        </w:rPr>
        <w:t>Convention UPOV</w:t>
      </w:r>
      <w:r w:rsidRPr="00953DCC">
        <w:rPr>
          <w:lang w:val="fr-FR"/>
        </w:rPr>
        <w:t>”).</w:t>
      </w:r>
    </w:p>
    <w:p w14:paraId="57295346" w14:textId="572043A0" w:rsidR="005F025D" w:rsidRPr="00953DCC" w:rsidRDefault="005F025D" w:rsidP="005F025D">
      <w:pPr>
        <w:rPr>
          <w:lang w:val="fr-FR"/>
        </w:rPr>
      </w:pPr>
      <w:r w:rsidRPr="00953DCC">
        <w:rPr>
          <w:lang w:val="fr-FR"/>
        </w:rPr>
        <w:t>La mission de l</w:t>
      </w:r>
      <w:r w:rsidR="0056301D">
        <w:rPr>
          <w:lang w:val="fr-FR"/>
        </w:rPr>
        <w:t>’</w:t>
      </w:r>
      <w:r w:rsidRPr="00953DCC">
        <w:rPr>
          <w:lang w:val="fr-FR"/>
        </w:rPr>
        <w:t>UPOV consiste à mettre en place et à promouvoir un système efficace de protection des variétés végétales afin d</w:t>
      </w:r>
      <w:r w:rsidR="0056301D">
        <w:rPr>
          <w:lang w:val="fr-FR"/>
        </w:rPr>
        <w:t>’</w:t>
      </w:r>
      <w:r w:rsidRPr="00953DCC">
        <w:rPr>
          <w:lang w:val="fr-FR"/>
        </w:rPr>
        <w:t>encourager l</w:t>
      </w:r>
      <w:r w:rsidR="0056301D">
        <w:rPr>
          <w:lang w:val="fr-FR"/>
        </w:rPr>
        <w:t>’</w:t>
      </w:r>
      <w:r w:rsidRPr="00953DCC">
        <w:rPr>
          <w:lang w:val="fr-FR"/>
        </w:rPr>
        <w:t>obtention de variétés, dans l</w:t>
      </w:r>
      <w:r w:rsidR="0056301D">
        <w:rPr>
          <w:lang w:val="fr-FR"/>
        </w:rPr>
        <w:t>’</w:t>
      </w:r>
      <w:r w:rsidRPr="00953DCC">
        <w:rPr>
          <w:lang w:val="fr-FR"/>
        </w:rPr>
        <w:t>intérêt de tous.</w:t>
      </w:r>
    </w:p>
    <w:p w14:paraId="57295347" w14:textId="10FFD9EC" w:rsidR="005F025D" w:rsidRPr="00953DCC" w:rsidRDefault="005F025D" w:rsidP="005F025D">
      <w:pPr>
        <w:rPr>
          <w:lang w:val="fr-FR"/>
        </w:rPr>
      </w:pPr>
      <w:r w:rsidRPr="00953DCC">
        <w:rPr>
          <w:lang w:val="fr-FR"/>
        </w:rPr>
        <w:t xml:space="preserve">La </w:t>
      </w:r>
      <w:r w:rsidR="0056301D">
        <w:rPr>
          <w:lang w:val="fr-FR"/>
        </w:rPr>
        <w:t>Convention UPOV</w:t>
      </w:r>
      <w:r w:rsidRPr="00953DCC">
        <w:rPr>
          <w:lang w:val="fr-FR"/>
        </w:rPr>
        <w:t xml:space="preserve"> fournit la base aux membres de l</w:t>
      </w:r>
      <w:r w:rsidR="0056301D">
        <w:rPr>
          <w:lang w:val="fr-FR"/>
        </w:rPr>
        <w:t>’</w:t>
      </w:r>
      <w:r w:rsidRPr="00953DCC">
        <w:rPr>
          <w:lang w:val="fr-FR"/>
        </w:rPr>
        <w:t>Union pour encourager l</w:t>
      </w:r>
      <w:r w:rsidR="0056301D">
        <w:rPr>
          <w:lang w:val="fr-FR"/>
        </w:rPr>
        <w:t>’</w:t>
      </w:r>
      <w:r w:rsidRPr="00953DCC">
        <w:rPr>
          <w:lang w:val="fr-FR"/>
        </w:rPr>
        <w:t>amélioration des plantes en octroyant aux obtenteurs de nouvelles variétés végétales un droit de propriété intellectuelle</w:t>
      </w:r>
      <w:r w:rsidR="0056301D">
        <w:rPr>
          <w:lang w:val="fr-FR"/>
        </w:rPr>
        <w:t> :</w:t>
      </w:r>
      <w:r w:rsidRPr="00953DCC">
        <w:rPr>
          <w:lang w:val="fr-FR"/>
        </w:rPr>
        <w:t xml:space="preserve"> le droit d</w:t>
      </w:r>
      <w:r w:rsidR="0056301D">
        <w:rPr>
          <w:lang w:val="fr-FR"/>
        </w:rPr>
        <w:t>’</w:t>
      </w:r>
      <w:r w:rsidRPr="00953DCC">
        <w:rPr>
          <w:lang w:val="fr-FR"/>
        </w:rPr>
        <w:t>obtenteur.</w:t>
      </w:r>
    </w:p>
    <w:p w14:paraId="0AF96718" w14:textId="77777777" w:rsidR="0056301D" w:rsidRDefault="0056301D" w:rsidP="007E07ED">
      <w:pPr>
        <w:rPr>
          <w:lang w:val="fr-FR"/>
        </w:rPr>
      </w:pPr>
    </w:p>
    <w:p w14:paraId="57295349" w14:textId="4138CD84" w:rsidR="005F025D" w:rsidRPr="00953DCC" w:rsidRDefault="005F025D" w:rsidP="005F025D">
      <w:pPr>
        <w:rPr>
          <w:bCs/>
          <w:i/>
          <w:lang w:val="fr-FR"/>
        </w:rPr>
      </w:pPr>
      <w:r w:rsidRPr="00953DCC">
        <w:rPr>
          <w:bCs/>
          <w:i/>
          <w:lang w:val="fr-FR"/>
        </w:rPr>
        <w:t>Que fait l</w:t>
      </w:r>
      <w:r w:rsidR="0056301D">
        <w:rPr>
          <w:bCs/>
          <w:i/>
          <w:lang w:val="fr-FR"/>
        </w:rPr>
        <w:t>’</w:t>
      </w:r>
      <w:r w:rsidRPr="00953DCC">
        <w:rPr>
          <w:bCs/>
          <w:i/>
          <w:lang w:val="fr-FR"/>
        </w:rPr>
        <w:t>UPOV?</w:t>
      </w:r>
    </w:p>
    <w:p w14:paraId="5729534A" w14:textId="77777777" w:rsidR="005F025D" w:rsidRPr="00953DCC" w:rsidRDefault="005F025D" w:rsidP="007E07ED">
      <w:pPr>
        <w:rPr>
          <w:bCs/>
          <w:lang w:val="fr-FR"/>
        </w:rPr>
      </w:pPr>
    </w:p>
    <w:p w14:paraId="5729534B" w14:textId="5A537069" w:rsidR="005F025D" w:rsidRPr="00953DCC" w:rsidRDefault="005F025D" w:rsidP="005F025D">
      <w:pPr>
        <w:rPr>
          <w:lang w:val="fr-FR"/>
        </w:rPr>
      </w:pPr>
      <w:r w:rsidRPr="00953DCC">
        <w:rPr>
          <w:lang w:val="fr-FR"/>
        </w:rPr>
        <w:t>L</w:t>
      </w:r>
      <w:r w:rsidR="0056301D">
        <w:rPr>
          <w:lang w:val="fr-FR"/>
        </w:rPr>
        <w:t>’</w:t>
      </w:r>
      <w:r w:rsidRPr="00953DCC">
        <w:rPr>
          <w:lang w:val="fr-FR"/>
        </w:rPr>
        <w:t>UPOV a pour mission de mettre en place et de promouvoir un système efficace de protection des variétés végétales afin d</w:t>
      </w:r>
      <w:r w:rsidR="0056301D">
        <w:rPr>
          <w:lang w:val="fr-FR"/>
        </w:rPr>
        <w:t>’</w:t>
      </w:r>
      <w:r w:rsidRPr="00953DCC">
        <w:rPr>
          <w:lang w:val="fr-FR"/>
        </w:rPr>
        <w:t>encourager l</w:t>
      </w:r>
      <w:r w:rsidR="0056301D">
        <w:rPr>
          <w:lang w:val="fr-FR"/>
        </w:rPr>
        <w:t>’</w:t>
      </w:r>
      <w:r w:rsidRPr="00953DCC">
        <w:rPr>
          <w:lang w:val="fr-FR"/>
        </w:rPr>
        <w:t>obtention de variétés dans l</w:t>
      </w:r>
      <w:r w:rsidR="0056301D">
        <w:rPr>
          <w:lang w:val="fr-FR"/>
        </w:rPr>
        <w:t>’</w:t>
      </w:r>
      <w:r w:rsidRPr="00953DCC">
        <w:rPr>
          <w:lang w:val="fr-FR"/>
        </w:rPr>
        <w:t>intérêt de to</w:t>
      </w:r>
      <w:r w:rsidR="0011329B" w:rsidRPr="00953DCC">
        <w:rPr>
          <w:lang w:val="fr-FR"/>
        </w:rPr>
        <w:t>us</w:t>
      </w:r>
      <w:r w:rsidR="0011329B">
        <w:rPr>
          <w:lang w:val="fr-FR"/>
        </w:rPr>
        <w:t xml:space="preserve">.  </w:t>
      </w:r>
      <w:r w:rsidR="0011329B" w:rsidRPr="00953DCC">
        <w:rPr>
          <w:lang w:val="fr-FR"/>
        </w:rPr>
        <w:t>Co</w:t>
      </w:r>
      <w:r w:rsidRPr="00953DCC">
        <w:rPr>
          <w:lang w:val="fr-FR"/>
        </w:rPr>
        <w:t xml:space="preserve">nformément à la </w:t>
      </w:r>
      <w:r w:rsidR="0056301D">
        <w:rPr>
          <w:lang w:val="fr-FR"/>
        </w:rPr>
        <w:t>Convention UPOV</w:t>
      </w:r>
      <w:r w:rsidRPr="00953DCC">
        <w:rPr>
          <w:lang w:val="fr-FR"/>
        </w:rPr>
        <w:t>, l</w:t>
      </w:r>
      <w:r w:rsidR="0056301D">
        <w:rPr>
          <w:lang w:val="fr-FR"/>
        </w:rPr>
        <w:t>’</w:t>
      </w:r>
      <w:r w:rsidRPr="00953DCC">
        <w:rPr>
          <w:lang w:val="fr-FR"/>
        </w:rPr>
        <w:t>Union a pour principaux objectifs</w:t>
      </w:r>
      <w:r w:rsidR="0056301D">
        <w:rPr>
          <w:lang w:val="fr-FR"/>
        </w:rPr>
        <w:t> :</w:t>
      </w:r>
    </w:p>
    <w:p w14:paraId="5729534C" w14:textId="1AF09C58" w:rsidR="005F025D" w:rsidRPr="00953DCC" w:rsidRDefault="005F025D" w:rsidP="00D9517D">
      <w:pPr>
        <w:numPr>
          <w:ilvl w:val="0"/>
          <w:numId w:val="6"/>
        </w:numPr>
        <w:tabs>
          <w:tab w:val="clear" w:pos="720"/>
          <w:tab w:val="num" w:pos="1134"/>
        </w:tabs>
        <w:ind w:left="1134" w:hanging="567"/>
        <w:rPr>
          <w:lang w:val="fr-FR"/>
        </w:rPr>
      </w:pPr>
      <w:r w:rsidRPr="00953DCC">
        <w:rPr>
          <w:lang w:val="fr-FR"/>
        </w:rPr>
        <w:t>de mettre en place et de perfectionner la base juridique, administrative et technique d</w:t>
      </w:r>
      <w:r w:rsidR="0056301D">
        <w:rPr>
          <w:lang w:val="fr-FR"/>
        </w:rPr>
        <w:t>’</w:t>
      </w:r>
      <w:r w:rsidRPr="00953DCC">
        <w:rPr>
          <w:lang w:val="fr-FR"/>
        </w:rPr>
        <w:t>une coopération internationale en matière de protection des obtentions végétales;</w:t>
      </w:r>
    </w:p>
    <w:p w14:paraId="5729534D" w14:textId="519C6C09" w:rsidR="005F025D" w:rsidRPr="00953DCC" w:rsidRDefault="005F025D" w:rsidP="00D9517D">
      <w:pPr>
        <w:numPr>
          <w:ilvl w:val="0"/>
          <w:numId w:val="6"/>
        </w:numPr>
        <w:tabs>
          <w:tab w:val="clear" w:pos="720"/>
          <w:tab w:val="num" w:pos="1134"/>
        </w:tabs>
        <w:ind w:left="1134" w:hanging="567"/>
        <w:rPr>
          <w:lang w:val="fr-FR"/>
        </w:rPr>
      </w:pPr>
      <w:r w:rsidRPr="00953DCC">
        <w:rPr>
          <w:lang w:val="fr-FR"/>
        </w:rPr>
        <w:t>d</w:t>
      </w:r>
      <w:r w:rsidR="0056301D">
        <w:rPr>
          <w:lang w:val="fr-FR"/>
        </w:rPr>
        <w:t>’</w:t>
      </w:r>
      <w:r w:rsidRPr="00953DCC">
        <w:rPr>
          <w:lang w:val="fr-FR"/>
        </w:rPr>
        <w:t xml:space="preserve">aider les États et les organisations à établir des lois et mettre en œuvre un système efficace de protection des variétés végétales; </w:t>
      </w:r>
      <w:r w:rsidR="004A1CA8">
        <w:rPr>
          <w:lang w:val="fr-FR"/>
        </w:rPr>
        <w:t xml:space="preserve"> </w:t>
      </w:r>
      <w:r w:rsidRPr="00953DCC">
        <w:rPr>
          <w:lang w:val="fr-FR"/>
        </w:rPr>
        <w:t>et</w:t>
      </w:r>
    </w:p>
    <w:p w14:paraId="5729534E" w14:textId="1CBCAE11" w:rsidR="005F025D" w:rsidRPr="00953DCC" w:rsidRDefault="005F025D" w:rsidP="00D9517D">
      <w:pPr>
        <w:numPr>
          <w:ilvl w:val="0"/>
          <w:numId w:val="6"/>
        </w:numPr>
        <w:tabs>
          <w:tab w:val="clear" w:pos="720"/>
          <w:tab w:val="num" w:pos="1134"/>
        </w:tabs>
        <w:ind w:left="1134" w:hanging="567"/>
        <w:rPr>
          <w:lang w:val="fr-FR"/>
        </w:rPr>
      </w:pPr>
      <w:r w:rsidRPr="00953DCC">
        <w:rPr>
          <w:lang w:val="fr-FR"/>
        </w:rPr>
        <w:t xml:space="preserve">de renforcer la sensibilité et la compréhension du public </w:t>
      </w:r>
      <w:r w:rsidR="0056301D">
        <w:rPr>
          <w:lang w:val="fr-FR"/>
        </w:rPr>
        <w:t>à l’égard</w:t>
      </w:r>
      <w:r w:rsidRPr="00953DCC">
        <w:rPr>
          <w:lang w:val="fr-FR"/>
        </w:rPr>
        <w:t xml:space="preserve"> du système UPOV de protection des variétés végétales.</w:t>
      </w:r>
    </w:p>
    <w:p w14:paraId="1CF4CBE1" w14:textId="77777777" w:rsidR="0056301D" w:rsidRDefault="0056301D" w:rsidP="007E07ED">
      <w:pPr>
        <w:rPr>
          <w:bCs/>
          <w:lang w:val="fr-FR"/>
        </w:rPr>
      </w:pPr>
    </w:p>
    <w:p w14:paraId="57295350" w14:textId="688AAAD4" w:rsidR="005F025D" w:rsidRPr="00953DCC" w:rsidRDefault="005F025D" w:rsidP="005F025D">
      <w:pPr>
        <w:rPr>
          <w:bCs/>
          <w:i/>
          <w:lang w:val="fr-FR"/>
        </w:rPr>
      </w:pPr>
      <w:r w:rsidRPr="00953DCC">
        <w:rPr>
          <w:bCs/>
          <w:i/>
          <w:lang w:val="fr-FR"/>
        </w:rPr>
        <w:t>Quels sont les avantages de la protection des obtentions végétales et de l</w:t>
      </w:r>
      <w:r w:rsidR="0056301D">
        <w:rPr>
          <w:bCs/>
          <w:i/>
          <w:lang w:val="fr-FR"/>
        </w:rPr>
        <w:t>’</w:t>
      </w:r>
      <w:r w:rsidRPr="00953DCC">
        <w:rPr>
          <w:bCs/>
          <w:i/>
          <w:lang w:val="fr-FR"/>
        </w:rPr>
        <w:t>adhésion à l</w:t>
      </w:r>
      <w:r w:rsidR="0056301D">
        <w:rPr>
          <w:bCs/>
          <w:i/>
          <w:lang w:val="fr-FR"/>
        </w:rPr>
        <w:t>’</w:t>
      </w:r>
      <w:r w:rsidRPr="00953DCC">
        <w:rPr>
          <w:bCs/>
          <w:i/>
          <w:lang w:val="fr-FR"/>
        </w:rPr>
        <w:t>UPOV?</w:t>
      </w:r>
    </w:p>
    <w:p w14:paraId="57295351" w14:textId="77777777" w:rsidR="005F025D" w:rsidRPr="00953DCC" w:rsidRDefault="005F025D" w:rsidP="007E07ED">
      <w:pPr>
        <w:rPr>
          <w:bCs/>
          <w:lang w:val="fr-FR"/>
        </w:rPr>
      </w:pPr>
    </w:p>
    <w:p w14:paraId="57295352" w14:textId="4395FFDF" w:rsidR="005F025D" w:rsidRPr="00953DCC" w:rsidRDefault="005F025D" w:rsidP="005F025D">
      <w:pPr>
        <w:rPr>
          <w:lang w:val="fr-FR"/>
        </w:rPr>
      </w:pPr>
      <w:r w:rsidRPr="00953DCC">
        <w:rPr>
          <w:lang w:val="fr-FR"/>
        </w:rPr>
        <w:t>Le rapport de l</w:t>
      </w:r>
      <w:r w:rsidR="0056301D">
        <w:rPr>
          <w:lang w:val="fr-FR"/>
        </w:rPr>
        <w:t>’</w:t>
      </w:r>
      <w:r w:rsidRPr="00953DCC">
        <w:rPr>
          <w:lang w:val="fr-FR"/>
        </w:rPr>
        <w:t>UPOV sur l</w:t>
      </w:r>
      <w:r w:rsidR="0056301D">
        <w:rPr>
          <w:lang w:val="fr-FR"/>
        </w:rPr>
        <w:t>’</w:t>
      </w:r>
      <w:r w:rsidRPr="00953DCC">
        <w:rPr>
          <w:lang w:val="fr-FR"/>
        </w:rPr>
        <w:t xml:space="preserve">impact de la protection des obtentions végétales a clairement démontré que, pour tirer pleinement parti des avantages de la protection des obtentions végétales, il est important à la fois de mettre en œuvre la </w:t>
      </w:r>
      <w:r w:rsidR="0056301D">
        <w:rPr>
          <w:lang w:val="fr-FR"/>
        </w:rPr>
        <w:t>Convention UPOV</w:t>
      </w:r>
      <w:r w:rsidRPr="00953DCC">
        <w:rPr>
          <w:lang w:val="fr-FR"/>
        </w:rPr>
        <w:t xml:space="preserve"> et d</w:t>
      </w:r>
      <w:r w:rsidR="0056301D">
        <w:rPr>
          <w:lang w:val="fr-FR"/>
        </w:rPr>
        <w:t>’</w:t>
      </w:r>
      <w:r w:rsidRPr="00953DCC">
        <w:rPr>
          <w:lang w:val="fr-FR"/>
        </w:rPr>
        <w:t>être membre de l</w:t>
      </w:r>
      <w:r w:rsidR="0056301D">
        <w:rPr>
          <w:lang w:val="fr-FR"/>
        </w:rPr>
        <w:t>’</w:t>
      </w:r>
      <w:r w:rsidRPr="00953DCC">
        <w:rPr>
          <w:lang w:val="fr-FR"/>
        </w:rPr>
        <w:t>Uni</w:t>
      </w:r>
      <w:r w:rsidR="0011329B" w:rsidRPr="00953DCC">
        <w:rPr>
          <w:lang w:val="fr-FR"/>
        </w:rPr>
        <w:t>on</w:t>
      </w:r>
      <w:r w:rsidR="0011329B">
        <w:rPr>
          <w:lang w:val="fr-FR"/>
        </w:rPr>
        <w:t xml:space="preserve">.  </w:t>
      </w:r>
      <w:r w:rsidR="0011329B" w:rsidRPr="00953DCC">
        <w:rPr>
          <w:lang w:val="fr-FR"/>
        </w:rPr>
        <w:t>Il</w:t>
      </w:r>
      <w:r w:rsidRPr="00953DCC">
        <w:rPr>
          <w:lang w:val="fr-FR"/>
        </w:rPr>
        <w:t xml:space="preserve"> a été estimé que la mise en place du système de protection des obtentions végétales de l</w:t>
      </w:r>
      <w:r w:rsidR="0056301D">
        <w:rPr>
          <w:lang w:val="fr-FR"/>
        </w:rPr>
        <w:t>’</w:t>
      </w:r>
      <w:r w:rsidRPr="00953DCC">
        <w:rPr>
          <w:lang w:val="fr-FR"/>
        </w:rPr>
        <w:t>UPOV et l</w:t>
      </w:r>
      <w:r w:rsidR="0056301D">
        <w:rPr>
          <w:lang w:val="fr-FR"/>
        </w:rPr>
        <w:t>’</w:t>
      </w:r>
      <w:r w:rsidRPr="00953DCC">
        <w:rPr>
          <w:lang w:val="fr-FR"/>
        </w:rPr>
        <w:t>adhésion à l</w:t>
      </w:r>
      <w:r w:rsidR="0056301D">
        <w:rPr>
          <w:lang w:val="fr-FR"/>
        </w:rPr>
        <w:t>’</w:t>
      </w:r>
      <w:r w:rsidRPr="00953DCC">
        <w:rPr>
          <w:lang w:val="fr-FR"/>
        </w:rPr>
        <w:t>Union ont pour effet</w:t>
      </w:r>
      <w:r w:rsidR="0056301D">
        <w:rPr>
          <w:lang w:val="fr-FR"/>
        </w:rPr>
        <w:t> :</w:t>
      </w:r>
    </w:p>
    <w:p w14:paraId="57295353" w14:textId="77777777" w:rsidR="005F025D" w:rsidRPr="00953DCC" w:rsidRDefault="005F025D" w:rsidP="007E07ED">
      <w:pPr>
        <w:rPr>
          <w:lang w:val="fr-FR"/>
        </w:rPr>
      </w:pPr>
    </w:p>
    <w:p w14:paraId="57295354" w14:textId="0D3DC6FB" w:rsidR="005F025D" w:rsidRPr="00953DCC" w:rsidRDefault="005F025D" w:rsidP="005F025D">
      <w:pPr>
        <w:rPr>
          <w:lang w:val="fr-FR"/>
        </w:rPr>
      </w:pPr>
      <w:r w:rsidRPr="00953DCC">
        <w:rPr>
          <w:lang w:val="fr-FR"/>
        </w:rPr>
        <w:t>a) de renforcer les activités d</w:t>
      </w:r>
      <w:r w:rsidR="0056301D">
        <w:rPr>
          <w:lang w:val="fr-FR"/>
        </w:rPr>
        <w:t>’</w:t>
      </w:r>
      <w:r w:rsidRPr="00953DCC">
        <w:rPr>
          <w:lang w:val="fr-FR"/>
        </w:rPr>
        <w:t>amélioration des plantes;</w:t>
      </w:r>
    </w:p>
    <w:p w14:paraId="57295355" w14:textId="77777777" w:rsidR="005F025D" w:rsidRPr="00953DCC" w:rsidRDefault="005F025D" w:rsidP="005F025D">
      <w:pPr>
        <w:rPr>
          <w:lang w:val="fr-FR"/>
        </w:rPr>
      </w:pPr>
      <w:r w:rsidRPr="00953DCC">
        <w:rPr>
          <w:lang w:val="fr-FR"/>
        </w:rPr>
        <w:t>b) de donner accès à des variétés améliorées;</w:t>
      </w:r>
    </w:p>
    <w:p w14:paraId="57295356" w14:textId="2E749125" w:rsidR="005F025D" w:rsidRPr="00953DCC" w:rsidRDefault="005F025D" w:rsidP="005F025D">
      <w:pPr>
        <w:rPr>
          <w:lang w:val="fr-FR"/>
        </w:rPr>
      </w:pPr>
      <w:r w:rsidRPr="00953DCC">
        <w:rPr>
          <w:lang w:val="fr-FR"/>
        </w:rPr>
        <w:t>c) d</w:t>
      </w:r>
      <w:r w:rsidR="0056301D">
        <w:rPr>
          <w:lang w:val="fr-FR"/>
        </w:rPr>
        <w:t>’</w:t>
      </w:r>
      <w:r w:rsidRPr="00953DCC">
        <w:rPr>
          <w:lang w:val="fr-FR"/>
        </w:rPr>
        <w:t>augmenter le nombre de nouvelles variétés;</w:t>
      </w:r>
    </w:p>
    <w:p w14:paraId="57295357" w14:textId="638DC35E" w:rsidR="005F025D" w:rsidRPr="00953DCC" w:rsidRDefault="005F025D" w:rsidP="005F025D">
      <w:pPr>
        <w:rPr>
          <w:lang w:val="fr-FR"/>
        </w:rPr>
      </w:pPr>
      <w:r w:rsidRPr="00953DCC">
        <w:rPr>
          <w:lang w:val="fr-FR"/>
        </w:rPr>
        <w:t>d) de contribuer à la diversification des types d</w:t>
      </w:r>
      <w:r w:rsidR="0056301D">
        <w:rPr>
          <w:lang w:val="fr-FR"/>
        </w:rPr>
        <w:t>’</w:t>
      </w:r>
      <w:r w:rsidRPr="00953DCC">
        <w:rPr>
          <w:lang w:val="fr-FR"/>
        </w:rPr>
        <w:t>obtenteurs (particuliers, chercheurs);</w:t>
      </w:r>
    </w:p>
    <w:p w14:paraId="57295358" w14:textId="492CCADC" w:rsidR="005F025D" w:rsidRPr="00953DCC" w:rsidRDefault="005F025D" w:rsidP="005F025D">
      <w:pPr>
        <w:rPr>
          <w:lang w:val="fr-FR"/>
        </w:rPr>
      </w:pPr>
      <w:r w:rsidRPr="00953DCC">
        <w:rPr>
          <w:lang w:val="fr-FR"/>
        </w:rPr>
        <w:t>e) d</w:t>
      </w:r>
      <w:r w:rsidR="0056301D">
        <w:rPr>
          <w:lang w:val="fr-FR"/>
        </w:rPr>
        <w:t>’</w:t>
      </w:r>
      <w:r w:rsidRPr="00953DCC">
        <w:rPr>
          <w:lang w:val="fr-FR"/>
        </w:rPr>
        <w:t>augmenter le nombre de nouvelles variétés étrangères;</w:t>
      </w:r>
    </w:p>
    <w:p w14:paraId="57295359" w14:textId="2EE53082" w:rsidR="005F025D" w:rsidRPr="00953DCC" w:rsidRDefault="005F025D" w:rsidP="005F025D">
      <w:pPr>
        <w:rPr>
          <w:lang w:val="fr-FR"/>
        </w:rPr>
      </w:pPr>
      <w:r w:rsidRPr="00953DCC">
        <w:rPr>
          <w:lang w:val="fr-FR"/>
        </w:rPr>
        <w:t>f) d</w:t>
      </w:r>
      <w:r w:rsidR="0056301D">
        <w:rPr>
          <w:lang w:val="fr-FR"/>
        </w:rPr>
        <w:t>’</w:t>
      </w:r>
      <w:r w:rsidRPr="00953DCC">
        <w:rPr>
          <w:lang w:val="fr-FR"/>
        </w:rPr>
        <w:t xml:space="preserve">encourager une nouvelle compétitivité des entreprises sur les marchés étrangers; </w:t>
      </w:r>
      <w:r w:rsidR="004A1CA8">
        <w:rPr>
          <w:lang w:val="fr-FR"/>
        </w:rPr>
        <w:t xml:space="preserve"> </w:t>
      </w:r>
      <w:r w:rsidRPr="00953DCC">
        <w:rPr>
          <w:lang w:val="fr-FR"/>
        </w:rPr>
        <w:t>et</w:t>
      </w:r>
    </w:p>
    <w:p w14:paraId="5729535A" w14:textId="2289A73D" w:rsidR="005F025D" w:rsidRPr="00953DCC" w:rsidRDefault="005F025D" w:rsidP="005F025D">
      <w:pPr>
        <w:rPr>
          <w:lang w:val="fr-FR"/>
        </w:rPr>
      </w:pPr>
      <w:r w:rsidRPr="00953DCC">
        <w:rPr>
          <w:lang w:val="fr-FR"/>
        </w:rPr>
        <w:t>g) de favoriser l</w:t>
      </w:r>
      <w:r w:rsidR="0056301D">
        <w:rPr>
          <w:lang w:val="fr-FR"/>
        </w:rPr>
        <w:t>’</w:t>
      </w:r>
      <w:r w:rsidRPr="00953DCC">
        <w:rPr>
          <w:lang w:val="fr-FR"/>
        </w:rPr>
        <w:t>accès aux variétés végétales étrangères et d</w:t>
      </w:r>
      <w:r w:rsidR="0056301D">
        <w:rPr>
          <w:lang w:val="fr-FR"/>
        </w:rPr>
        <w:t>’</w:t>
      </w:r>
      <w:r w:rsidRPr="00953DCC">
        <w:rPr>
          <w:lang w:val="fr-FR"/>
        </w:rPr>
        <w:t>améliorer les programmes de sélection nationaux.</w:t>
      </w:r>
    </w:p>
    <w:p w14:paraId="5729535B" w14:textId="2B166962" w:rsidR="005F025D" w:rsidRPr="00953DCC" w:rsidRDefault="005F025D" w:rsidP="005F025D">
      <w:pPr>
        <w:rPr>
          <w:lang w:val="fr-FR"/>
        </w:rPr>
      </w:pPr>
      <w:r w:rsidRPr="00953DCC">
        <w:rPr>
          <w:lang w:val="fr-FR"/>
        </w:rPr>
        <w:t>L</w:t>
      </w:r>
      <w:r w:rsidR="0056301D">
        <w:rPr>
          <w:lang w:val="fr-FR"/>
        </w:rPr>
        <w:t>’</w:t>
      </w:r>
      <w:r w:rsidRPr="00953DCC">
        <w:rPr>
          <w:lang w:val="fr-FR"/>
        </w:rPr>
        <w:t>adhésion à l</w:t>
      </w:r>
      <w:r w:rsidR="0056301D">
        <w:rPr>
          <w:lang w:val="fr-FR"/>
        </w:rPr>
        <w:t>’</w:t>
      </w:r>
      <w:r w:rsidRPr="00953DCC">
        <w:rPr>
          <w:lang w:val="fr-FR"/>
        </w:rPr>
        <w:t>UPOV requiert l</w:t>
      </w:r>
      <w:r w:rsidR="0056301D">
        <w:rPr>
          <w:lang w:val="fr-FR"/>
        </w:rPr>
        <w:t>’</w:t>
      </w:r>
      <w:r w:rsidRPr="00953DCC">
        <w:rPr>
          <w:lang w:val="fr-FR"/>
        </w:rPr>
        <w:t>avis du Conseil de l</w:t>
      </w:r>
      <w:r w:rsidR="0056301D">
        <w:rPr>
          <w:lang w:val="fr-FR"/>
        </w:rPr>
        <w:t>’</w:t>
      </w:r>
      <w:r w:rsidRPr="00953DCC">
        <w:rPr>
          <w:lang w:val="fr-FR"/>
        </w:rPr>
        <w:t>UPOV quant à la conformité de la législation d</w:t>
      </w:r>
      <w:r w:rsidR="0056301D">
        <w:rPr>
          <w:lang w:val="fr-FR"/>
        </w:rPr>
        <w:t>’</w:t>
      </w:r>
      <w:r w:rsidRPr="00953DCC">
        <w:rPr>
          <w:lang w:val="fr-FR"/>
        </w:rPr>
        <w:t xml:space="preserve">un futur membre avec les dispositions de la </w:t>
      </w:r>
      <w:r w:rsidR="0056301D">
        <w:rPr>
          <w:lang w:val="fr-FR"/>
        </w:rPr>
        <w:t>Convention U</w:t>
      </w:r>
      <w:r w:rsidR="0011329B">
        <w:rPr>
          <w:lang w:val="fr-FR"/>
        </w:rPr>
        <w:t xml:space="preserve">POV.  </w:t>
      </w:r>
      <w:r w:rsidR="0011329B" w:rsidRPr="00953DCC">
        <w:rPr>
          <w:lang w:val="fr-FR"/>
        </w:rPr>
        <w:t>Ce</w:t>
      </w:r>
      <w:r w:rsidRPr="00953DCC">
        <w:rPr>
          <w:lang w:val="fr-FR"/>
        </w:rPr>
        <w:t>tte procédure entraîne</w:t>
      </w:r>
      <w:r w:rsidR="004C64A4" w:rsidRPr="00953DCC">
        <w:rPr>
          <w:lang w:val="fr-FR"/>
        </w:rPr>
        <w:t>,</w:t>
      </w:r>
      <w:r w:rsidRPr="00953DCC">
        <w:rPr>
          <w:lang w:val="fr-FR"/>
        </w:rPr>
        <w:t xml:space="preserve"> </w:t>
      </w:r>
      <w:r w:rsidR="004C64A4" w:rsidRPr="00953DCC">
        <w:rPr>
          <w:lang w:val="fr-FR"/>
        </w:rPr>
        <w:t xml:space="preserve">en </w:t>
      </w:r>
      <w:r w:rsidRPr="00953DCC">
        <w:rPr>
          <w:lang w:val="fr-FR"/>
        </w:rPr>
        <w:t>elle</w:t>
      </w:r>
      <w:r w:rsidR="00456121">
        <w:rPr>
          <w:lang w:val="fr-FR"/>
        </w:rPr>
        <w:noBreakHyphen/>
      </w:r>
      <w:r w:rsidRPr="00953DCC">
        <w:rPr>
          <w:lang w:val="fr-FR"/>
        </w:rPr>
        <w:t>même</w:t>
      </w:r>
      <w:r w:rsidR="004C64A4" w:rsidRPr="00953DCC">
        <w:rPr>
          <w:lang w:val="fr-FR"/>
        </w:rPr>
        <w:t>,</w:t>
      </w:r>
      <w:r w:rsidRPr="00953DCC">
        <w:rPr>
          <w:lang w:val="fr-FR"/>
        </w:rPr>
        <w:t xml:space="preserve"> un haut degré d</w:t>
      </w:r>
      <w:r w:rsidR="0056301D">
        <w:rPr>
          <w:lang w:val="fr-FR"/>
        </w:rPr>
        <w:t>’</w:t>
      </w:r>
      <w:r w:rsidRPr="00953DCC">
        <w:rPr>
          <w:lang w:val="fr-FR"/>
        </w:rPr>
        <w:t>harmonie dans les législations, facilitant ainsi la coopération entre les membres dans la mise en œuvre du système.</w:t>
      </w:r>
    </w:p>
    <w:p w14:paraId="5729535C" w14:textId="77777777" w:rsidR="005F025D" w:rsidRPr="00953DCC" w:rsidRDefault="005F025D" w:rsidP="007E07ED">
      <w:pPr>
        <w:keepNext/>
        <w:rPr>
          <w:i/>
          <w:lang w:val="fr-FR"/>
        </w:rPr>
      </w:pPr>
    </w:p>
    <w:p w14:paraId="5729535D" w14:textId="3993AAFF" w:rsidR="005F025D" w:rsidRPr="00953DCC" w:rsidRDefault="005F025D" w:rsidP="005F025D">
      <w:pPr>
        <w:keepNext/>
        <w:rPr>
          <w:i/>
          <w:lang w:val="fr-FR"/>
        </w:rPr>
      </w:pPr>
      <w:r w:rsidRPr="00953DCC">
        <w:rPr>
          <w:i/>
          <w:lang w:val="fr-FR"/>
        </w:rPr>
        <w:t>L</w:t>
      </w:r>
      <w:r w:rsidR="0056301D">
        <w:rPr>
          <w:i/>
          <w:lang w:val="fr-FR"/>
        </w:rPr>
        <w:t>’</w:t>
      </w:r>
      <w:r w:rsidRPr="00953DCC">
        <w:rPr>
          <w:i/>
          <w:lang w:val="fr-FR"/>
        </w:rPr>
        <w:t>UPOV autorise</w:t>
      </w:r>
      <w:r w:rsidR="00456121">
        <w:rPr>
          <w:i/>
          <w:lang w:val="fr-FR"/>
        </w:rPr>
        <w:noBreakHyphen/>
      </w:r>
      <w:r w:rsidRPr="00953DCC">
        <w:rPr>
          <w:i/>
          <w:lang w:val="fr-FR"/>
        </w:rPr>
        <w:t>t</w:t>
      </w:r>
      <w:r w:rsidR="00456121">
        <w:rPr>
          <w:i/>
          <w:lang w:val="fr-FR"/>
        </w:rPr>
        <w:noBreakHyphen/>
      </w:r>
      <w:r w:rsidRPr="00953DCC">
        <w:rPr>
          <w:i/>
          <w:lang w:val="fr-FR"/>
        </w:rPr>
        <w:t>elle l</w:t>
      </w:r>
      <w:r w:rsidR="0056301D">
        <w:rPr>
          <w:i/>
          <w:lang w:val="fr-FR"/>
        </w:rPr>
        <w:t>’</w:t>
      </w:r>
      <w:r w:rsidRPr="00953DCC">
        <w:rPr>
          <w:i/>
          <w:lang w:val="fr-FR"/>
        </w:rPr>
        <w:t>utilisation de données biochimiques ou moléculaires dans le cadre de l</w:t>
      </w:r>
      <w:r w:rsidR="0056301D">
        <w:rPr>
          <w:i/>
          <w:lang w:val="fr-FR"/>
        </w:rPr>
        <w:t>’</w:t>
      </w:r>
      <w:r w:rsidRPr="00953DCC">
        <w:rPr>
          <w:i/>
          <w:lang w:val="fr-FR"/>
        </w:rPr>
        <w:t>examen</w:t>
      </w:r>
      <w:r w:rsidR="004A1CA8">
        <w:rPr>
          <w:i/>
          <w:lang w:val="fr-FR"/>
        </w:rPr>
        <w:t> </w:t>
      </w:r>
      <w:r w:rsidRPr="00953DCC">
        <w:rPr>
          <w:i/>
          <w:lang w:val="fr-FR"/>
        </w:rPr>
        <w:t>DHS?</w:t>
      </w:r>
    </w:p>
    <w:p w14:paraId="5729535E" w14:textId="77777777" w:rsidR="005F025D" w:rsidRPr="00953DCC" w:rsidRDefault="005F025D" w:rsidP="007E07ED">
      <w:pPr>
        <w:keepNext/>
        <w:rPr>
          <w:lang w:val="fr-FR"/>
        </w:rPr>
      </w:pPr>
    </w:p>
    <w:p w14:paraId="5729535F" w14:textId="072BEB88" w:rsidR="005F025D" w:rsidRPr="00953DCC" w:rsidRDefault="005F025D" w:rsidP="005F025D">
      <w:pPr>
        <w:keepNext/>
        <w:rPr>
          <w:lang w:val="fr-FR"/>
        </w:rPr>
      </w:pPr>
      <w:r w:rsidRPr="00953DCC">
        <w:rPr>
          <w:lang w:val="fr-FR"/>
        </w:rPr>
        <w:t>Il importe de noter que, dans certains cas, les variétés peuvent avoir un profil d</w:t>
      </w:r>
      <w:r w:rsidR="0056301D">
        <w:rPr>
          <w:lang w:val="fr-FR"/>
        </w:rPr>
        <w:t>’</w:t>
      </w:r>
      <w:r w:rsidRPr="00953DCC">
        <w:rPr>
          <w:lang w:val="fr-FR"/>
        </w:rPr>
        <w:t>ADN différent tout en étant phénotypiquement identiques;</w:t>
      </w:r>
      <w:r w:rsidR="004A1CA8">
        <w:rPr>
          <w:lang w:val="fr-FR"/>
        </w:rPr>
        <w:t xml:space="preserve"> </w:t>
      </w:r>
      <w:r w:rsidRPr="00953DCC">
        <w:rPr>
          <w:lang w:val="fr-FR"/>
        </w:rPr>
        <w:t xml:space="preserve"> dans d</w:t>
      </w:r>
      <w:r w:rsidR="0056301D">
        <w:rPr>
          <w:lang w:val="fr-FR"/>
        </w:rPr>
        <w:t>’</w:t>
      </w:r>
      <w:r w:rsidRPr="00953DCC">
        <w:rPr>
          <w:lang w:val="fr-FR"/>
        </w:rPr>
        <w:t>autres cas, des variétés ayant une grande différence phénotypique peuvent présenter le même profil d</w:t>
      </w:r>
      <w:r w:rsidR="0056301D">
        <w:rPr>
          <w:lang w:val="fr-FR"/>
        </w:rPr>
        <w:t>’</w:t>
      </w:r>
      <w:r w:rsidRPr="00953DCC">
        <w:rPr>
          <w:lang w:val="fr-FR"/>
        </w:rPr>
        <w:t>ADN pour un ensemble particulier de marqueurs moléculaires (dans le cas de certaines mutations, par exemple).</w:t>
      </w:r>
    </w:p>
    <w:p w14:paraId="57295360" w14:textId="77777777" w:rsidR="005F025D" w:rsidRPr="00953DCC" w:rsidRDefault="005F025D" w:rsidP="007E07ED">
      <w:pPr>
        <w:rPr>
          <w:lang w:val="fr-FR"/>
        </w:rPr>
      </w:pPr>
    </w:p>
    <w:p w14:paraId="57295361" w14:textId="545E5B11" w:rsidR="005F025D" w:rsidRPr="00953DCC" w:rsidRDefault="005F025D" w:rsidP="005F025D">
      <w:pPr>
        <w:rPr>
          <w:lang w:val="fr-FR"/>
        </w:rPr>
      </w:pPr>
      <w:r w:rsidRPr="00953DCC">
        <w:rPr>
          <w:lang w:val="fr-FR"/>
        </w:rPr>
        <w:t>Dans le cas de marqueurs moléculaires qui ne sont pas liés à des différences phénotypiques, le problème est qu</w:t>
      </w:r>
      <w:r w:rsidR="0056301D">
        <w:rPr>
          <w:lang w:val="fr-FR"/>
        </w:rPr>
        <w:t>’</w:t>
      </w:r>
      <w:r w:rsidRPr="00953DCC">
        <w:rPr>
          <w:lang w:val="fr-FR"/>
        </w:rPr>
        <w:t>il peut s</w:t>
      </w:r>
      <w:r w:rsidR="0056301D">
        <w:rPr>
          <w:lang w:val="fr-FR"/>
        </w:rPr>
        <w:t>’</w:t>
      </w:r>
      <w:r w:rsidRPr="00953DCC">
        <w:rPr>
          <w:lang w:val="fr-FR"/>
        </w:rPr>
        <w:t>avérer possible d</w:t>
      </w:r>
      <w:r w:rsidR="0056301D">
        <w:rPr>
          <w:lang w:val="fr-FR"/>
        </w:rPr>
        <w:t>’</w:t>
      </w:r>
      <w:r w:rsidRPr="00953DCC">
        <w:rPr>
          <w:lang w:val="fr-FR"/>
        </w:rPr>
        <w:t>utiliser un nombre illimité de marqueurs pour trouver des différences entre les variétés au niveau génétique, des différences qui n</w:t>
      </w:r>
      <w:r w:rsidR="0056301D">
        <w:rPr>
          <w:lang w:val="fr-FR"/>
        </w:rPr>
        <w:t>’</w:t>
      </w:r>
      <w:r w:rsidRPr="00953DCC">
        <w:rPr>
          <w:lang w:val="fr-FR"/>
        </w:rPr>
        <w:t>apparaissent pas dans les caractères phénotypiques.</w:t>
      </w:r>
    </w:p>
    <w:p w14:paraId="57295362" w14:textId="77777777" w:rsidR="005F025D" w:rsidRPr="00953DCC" w:rsidRDefault="005F025D" w:rsidP="007E07ED">
      <w:pPr>
        <w:rPr>
          <w:lang w:val="fr-FR"/>
        </w:rPr>
      </w:pPr>
    </w:p>
    <w:p w14:paraId="57295363" w14:textId="33869954" w:rsidR="005F025D" w:rsidRPr="00953DCC" w:rsidRDefault="005F025D" w:rsidP="005F025D">
      <w:pPr>
        <w:rPr>
          <w:lang w:val="fr-FR"/>
        </w:rPr>
      </w:pPr>
      <w:r w:rsidRPr="00953DCC">
        <w:rPr>
          <w:lang w:val="fr-FR"/>
        </w:rPr>
        <w:lastRenderedPageBreak/>
        <w:t>Compte</w:t>
      </w:r>
      <w:r w:rsidR="004C64A4" w:rsidRPr="00953DCC">
        <w:rPr>
          <w:lang w:val="fr-FR"/>
        </w:rPr>
        <w:t> </w:t>
      </w:r>
      <w:r w:rsidRPr="00953DCC">
        <w:rPr>
          <w:lang w:val="fr-FR"/>
        </w:rPr>
        <w:t>tenu de ces observations, l</w:t>
      </w:r>
      <w:r w:rsidR="0056301D">
        <w:rPr>
          <w:lang w:val="fr-FR"/>
        </w:rPr>
        <w:t>’</w:t>
      </w:r>
      <w:r w:rsidRPr="00953DCC">
        <w:rPr>
          <w:lang w:val="fr-FR"/>
        </w:rPr>
        <w:t>UPOV est convenue d</w:t>
      </w:r>
      <w:r w:rsidR="0056301D">
        <w:rPr>
          <w:lang w:val="fr-FR"/>
        </w:rPr>
        <w:t>’</w:t>
      </w:r>
      <w:r w:rsidRPr="00953DCC">
        <w:rPr>
          <w:lang w:val="fr-FR"/>
        </w:rPr>
        <w:t>utiliser les marqueurs moléculaires dans les conditions suivantes aux fins de l</w:t>
      </w:r>
      <w:r w:rsidR="0056301D">
        <w:rPr>
          <w:lang w:val="fr-FR"/>
        </w:rPr>
        <w:t>’</w:t>
      </w:r>
      <w:r w:rsidRPr="00953DCC">
        <w:rPr>
          <w:lang w:val="fr-FR"/>
        </w:rPr>
        <w:t>examen</w:t>
      </w:r>
      <w:r w:rsidR="004C64A4" w:rsidRPr="00953DCC">
        <w:rPr>
          <w:lang w:val="fr-FR"/>
        </w:rPr>
        <w:t> </w:t>
      </w:r>
      <w:r w:rsidRPr="00953DCC">
        <w:rPr>
          <w:lang w:val="fr-FR"/>
        </w:rPr>
        <w:t>DHS</w:t>
      </w:r>
      <w:r w:rsidR="0056301D">
        <w:rPr>
          <w:lang w:val="fr-FR"/>
        </w:rPr>
        <w:t> :</w:t>
      </w:r>
    </w:p>
    <w:p w14:paraId="57295364" w14:textId="77777777" w:rsidR="005F025D" w:rsidRPr="00953DCC" w:rsidRDefault="005F025D" w:rsidP="007E07ED">
      <w:pPr>
        <w:rPr>
          <w:lang w:val="fr-FR"/>
        </w:rPr>
      </w:pPr>
    </w:p>
    <w:p w14:paraId="57295365" w14:textId="41C6408A" w:rsidR="005F025D" w:rsidRPr="00953DCC" w:rsidRDefault="005F025D" w:rsidP="005F025D">
      <w:pPr>
        <w:rPr>
          <w:lang w:val="fr-FR"/>
        </w:rPr>
      </w:pPr>
      <w:r w:rsidRPr="00953DCC">
        <w:rPr>
          <w:lang w:val="fr-FR"/>
        </w:rPr>
        <w:t>a) Les marqueurs moléculaires peuvent être utilisés pour examiner les caractères</w:t>
      </w:r>
      <w:r w:rsidR="004C64A4" w:rsidRPr="00953DCC">
        <w:rPr>
          <w:lang w:val="fr-FR"/>
        </w:rPr>
        <w:t> </w:t>
      </w:r>
      <w:r w:rsidRPr="00953DCC">
        <w:rPr>
          <w:lang w:val="fr-FR"/>
        </w:rPr>
        <w:t>DHS qui répondent aux critères des caractères tels qu</w:t>
      </w:r>
      <w:r w:rsidR="0056301D">
        <w:rPr>
          <w:lang w:val="fr-FR"/>
        </w:rPr>
        <w:t>’</w:t>
      </w:r>
      <w:r w:rsidRPr="00953DCC">
        <w:rPr>
          <w:lang w:val="fr-FR"/>
        </w:rPr>
        <w:t>ils sont indiqués dans l</w:t>
      </w:r>
      <w:r w:rsidR="0056301D">
        <w:rPr>
          <w:lang w:val="fr-FR"/>
        </w:rPr>
        <w:t>’</w:t>
      </w:r>
      <w:r w:rsidRPr="00953DCC">
        <w:rPr>
          <w:lang w:val="fr-FR"/>
        </w:rPr>
        <w:t>Introduction générale à condition qu</w:t>
      </w:r>
      <w:r w:rsidR="0056301D">
        <w:rPr>
          <w:lang w:val="fr-FR"/>
        </w:rPr>
        <w:t>’</w:t>
      </w:r>
      <w:r w:rsidRPr="00953DCC">
        <w:rPr>
          <w:lang w:val="fr-FR"/>
        </w:rPr>
        <w:t>il existe une corrélation fiable entre le marqueur et le caractère.</w:t>
      </w:r>
    </w:p>
    <w:p w14:paraId="57295366" w14:textId="77777777" w:rsidR="005F025D" w:rsidRPr="00953DCC" w:rsidRDefault="005F025D" w:rsidP="007E07ED">
      <w:pPr>
        <w:rPr>
          <w:lang w:val="fr-FR"/>
        </w:rPr>
      </w:pPr>
    </w:p>
    <w:p w14:paraId="57295367" w14:textId="175DE4FF" w:rsidR="005F025D" w:rsidRPr="00953DCC" w:rsidRDefault="005F025D" w:rsidP="005F025D">
      <w:pPr>
        <w:rPr>
          <w:lang w:val="fr-FR"/>
        </w:rPr>
      </w:pPr>
      <w:r w:rsidRPr="00953DCC">
        <w:rPr>
          <w:lang w:val="fr-FR"/>
        </w:rPr>
        <w:t>b) Une combinaison de distances phénotypiques et moléculaires peut être utilisée pour d</w:t>
      </w:r>
      <w:r w:rsidR="0056301D">
        <w:rPr>
          <w:lang w:val="fr-FR"/>
        </w:rPr>
        <w:t>’</w:t>
      </w:r>
      <w:r w:rsidRPr="00953DCC">
        <w:rPr>
          <w:lang w:val="fr-FR"/>
        </w:rPr>
        <w:t>améliorer la sélection des variétés qu</w:t>
      </w:r>
      <w:r w:rsidR="0056301D">
        <w:rPr>
          <w:lang w:val="fr-FR"/>
        </w:rPr>
        <w:t>’</w:t>
      </w:r>
      <w:r w:rsidRPr="00953DCC">
        <w:rPr>
          <w:lang w:val="fr-FR"/>
        </w:rPr>
        <w:t>il y a lieu de comparer dans le cadre de l</w:t>
      </w:r>
      <w:r w:rsidR="0056301D">
        <w:rPr>
          <w:lang w:val="fr-FR"/>
        </w:rPr>
        <w:t>’</w:t>
      </w:r>
      <w:r w:rsidRPr="00953DCC">
        <w:rPr>
          <w:lang w:val="fr-FR"/>
        </w:rPr>
        <w:t>essai en culture si les distances moléculaires sont suffisamment liées aux différences phénotypiques, et si la méthode ne crée pas un risque accru de ne pas sélectionner une variété figurant dans la collection de variétés qu</w:t>
      </w:r>
      <w:r w:rsidR="0056301D">
        <w:rPr>
          <w:lang w:val="fr-FR"/>
        </w:rPr>
        <w:t>’</w:t>
      </w:r>
      <w:r w:rsidRPr="00953DCC">
        <w:rPr>
          <w:lang w:val="fr-FR"/>
        </w:rPr>
        <w:t>il faut comparer aux variétés candidates dans le cadre de l</w:t>
      </w:r>
      <w:r w:rsidR="0056301D">
        <w:rPr>
          <w:lang w:val="fr-FR"/>
        </w:rPr>
        <w:t>’</w:t>
      </w:r>
      <w:r w:rsidRPr="00953DCC">
        <w:rPr>
          <w:lang w:val="fr-FR"/>
        </w:rPr>
        <w:t>essai</w:t>
      </w:r>
      <w:r w:rsidR="004C64A4" w:rsidRPr="00953DCC">
        <w:rPr>
          <w:lang w:val="fr-FR"/>
        </w:rPr>
        <w:t> </w:t>
      </w:r>
      <w:r w:rsidRPr="00953DCC">
        <w:rPr>
          <w:lang w:val="fr-FR"/>
        </w:rPr>
        <w:t>DHS en culture.</w:t>
      </w:r>
    </w:p>
    <w:p w14:paraId="57295368" w14:textId="77777777" w:rsidR="005F025D" w:rsidRPr="00953DCC" w:rsidRDefault="005F025D" w:rsidP="007E07ED">
      <w:pPr>
        <w:rPr>
          <w:lang w:val="fr-FR"/>
        </w:rPr>
      </w:pPr>
    </w:p>
    <w:p w14:paraId="57295369" w14:textId="5B5AD49B" w:rsidR="005F025D" w:rsidRPr="00953DCC" w:rsidRDefault="005F025D" w:rsidP="005F025D">
      <w:pPr>
        <w:rPr>
          <w:lang w:val="fr-FR"/>
        </w:rPr>
      </w:pPr>
      <w:r w:rsidRPr="00953DCC">
        <w:rPr>
          <w:lang w:val="fr-FR"/>
        </w:rPr>
        <w:t>La position de l</w:t>
      </w:r>
      <w:r w:rsidR="0056301D">
        <w:rPr>
          <w:lang w:val="fr-FR"/>
        </w:rPr>
        <w:t>’</w:t>
      </w:r>
      <w:r w:rsidRPr="00953DCC">
        <w:rPr>
          <w:lang w:val="fr-FR"/>
        </w:rPr>
        <w:t>UPOV est exposée dans les documents TGP/15 “Conseils en ce qui concerne l</w:t>
      </w:r>
      <w:r w:rsidR="0056301D">
        <w:rPr>
          <w:lang w:val="fr-FR"/>
        </w:rPr>
        <w:t>’</w:t>
      </w:r>
      <w:r w:rsidRPr="00953DCC">
        <w:rPr>
          <w:lang w:val="fr-FR"/>
        </w:rPr>
        <w:t>utilisation des marqueurs biochimiques et moléculaires dans l</w:t>
      </w:r>
      <w:r w:rsidR="0056301D">
        <w:rPr>
          <w:lang w:val="fr-FR"/>
        </w:rPr>
        <w:t>’</w:t>
      </w:r>
      <w:r w:rsidRPr="00953DCC">
        <w:rPr>
          <w:lang w:val="fr-FR"/>
        </w:rPr>
        <w:t>examen de la distinction, de l</w:t>
      </w:r>
      <w:r w:rsidR="0056301D">
        <w:rPr>
          <w:lang w:val="fr-FR"/>
        </w:rPr>
        <w:t>’</w:t>
      </w:r>
      <w:r w:rsidRPr="00953DCC">
        <w:rPr>
          <w:lang w:val="fr-FR"/>
        </w:rPr>
        <w:t>homogénéité et de la stabilité (DHS)” et UPOV/INF/18 “Utilisation possible des marqueurs moléculaires dans l</w:t>
      </w:r>
      <w:r w:rsidR="0056301D">
        <w:rPr>
          <w:lang w:val="fr-FR"/>
        </w:rPr>
        <w:t>’</w:t>
      </w:r>
      <w:r w:rsidRPr="00953DCC">
        <w:rPr>
          <w:lang w:val="fr-FR"/>
        </w:rPr>
        <w:t>examen de la distinction, de l</w:t>
      </w:r>
      <w:r w:rsidR="0056301D">
        <w:rPr>
          <w:lang w:val="fr-FR"/>
        </w:rPr>
        <w:t>’</w:t>
      </w:r>
      <w:r w:rsidRPr="00953DCC">
        <w:rPr>
          <w:lang w:val="fr-FR"/>
        </w:rPr>
        <w:t>homogénéité et de la stabilité (DHS)”.</w:t>
      </w:r>
    </w:p>
    <w:p w14:paraId="5729536A" w14:textId="77777777" w:rsidR="005F025D" w:rsidRPr="00953DCC" w:rsidRDefault="005F025D" w:rsidP="007E07ED">
      <w:pPr>
        <w:rPr>
          <w:lang w:val="fr-FR"/>
        </w:rPr>
      </w:pPr>
    </w:p>
    <w:p w14:paraId="5729536B" w14:textId="0304C6CC" w:rsidR="005F025D" w:rsidRPr="00953DCC" w:rsidRDefault="007F2632" w:rsidP="005F025D">
      <w:pPr>
        <w:rPr>
          <w:lang w:val="fr-FR"/>
        </w:rPr>
      </w:pPr>
      <w:hyperlink r:id="rId15" w:anchor="QB80" w:history="1">
        <w:r w:rsidR="005F025D" w:rsidRPr="00953DCC">
          <w:rPr>
            <w:rStyle w:val="Hyperlink"/>
            <w:lang w:val="fr-FR"/>
          </w:rPr>
          <w:t>https://www.upov.int/about/fr/faq.html#QB80</w:t>
        </w:r>
      </w:hyperlink>
    </w:p>
    <w:p w14:paraId="5729536C" w14:textId="77777777" w:rsidR="005F025D" w:rsidRPr="00953DCC" w:rsidRDefault="005F025D" w:rsidP="007E07ED">
      <w:pPr>
        <w:rPr>
          <w:lang w:val="fr-FR"/>
        </w:rPr>
      </w:pPr>
    </w:p>
    <w:p w14:paraId="5729536D" w14:textId="77777777" w:rsidR="005F025D" w:rsidRPr="00953DCC" w:rsidRDefault="005F025D" w:rsidP="007E07ED">
      <w:pPr>
        <w:rPr>
          <w:lang w:val="fr-FR"/>
        </w:rPr>
      </w:pPr>
    </w:p>
    <w:p w14:paraId="5729536E" w14:textId="47EBB09D" w:rsidR="005F025D" w:rsidRPr="00953DCC" w:rsidRDefault="005F025D" w:rsidP="005F025D">
      <w:pPr>
        <w:rPr>
          <w:bCs/>
          <w:u w:val="single"/>
          <w:lang w:val="fr-FR"/>
        </w:rPr>
      </w:pPr>
      <w:r w:rsidRPr="00953DCC">
        <w:rPr>
          <w:bCs/>
          <w:u w:val="single"/>
          <w:lang w:val="fr-FR"/>
        </w:rPr>
        <w:t>Association internationale d</w:t>
      </w:r>
      <w:r w:rsidR="0056301D">
        <w:rPr>
          <w:bCs/>
          <w:u w:val="single"/>
          <w:lang w:val="fr-FR"/>
        </w:rPr>
        <w:t>’</w:t>
      </w:r>
      <w:r w:rsidRPr="00953DCC">
        <w:rPr>
          <w:bCs/>
          <w:u w:val="single"/>
          <w:lang w:val="fr-FR"/>
        </w:rPr>
        <w:t>essais de semences (ISTA)</w:t>
      </w:r>
    </w:p>
    <w:p w14:paraId="5729536F" w14:textId="77777777" w:rsidR="005F025D" w:rsidRPr="00953DCC" w:rsidRDefault="005F025D" w:rsidP="007E07ED">
      <w:pPr>
        <w:rPr>
          <w:lang w:val="fr-FR"/>
        </w:rPr>
      </w:pPr>
    </w:p>
    <w:p w14:paraId="57295370" w14:textId="720F2C53" w:rsidR="005F025D" w:rsidRPr="00953DCC" w:rsidRDefault="005F025D" w:rsidP="005F025D">
      <w:pPr>
        <w:rPr>
          <w:rFonts w:eastAsia="Calibri"/>
          <w:lang w:val="fr-FR"/>
        </w:rPr>
      </w:pPr>
      <w:r w:rsidRPr="00953DCC">
        <w:rPr>
          <w:rFonts w:eastAsia="Calibri"/>
          <w:lang w:val="fr-FR"/>
        </w:rPr>
        <w:t>LA VISION DE L</w:t>
      </w:r>
      <w:r w:rsidR="0056301D">
        <w:rPr>
          <w:rFonts w:eastAsia="Calibri"/>
          <w:lang w:val="fr-FR"/>
        </w:rPr>
        <w:t>’</w:t>
      </w:r>
      <w:r w:rsidRPr="00953DCC">
        <w:rPr>
          <w:rFonts w:eastAsia="Calibri"/>
          <w:lang w:val="fr-FR"/>
        </w:rPr>
        <w:t>ISTA</w:t>
      </w:r>
      <w:r w:rsidR="0056301D">
        <w:rPr>
          <w:rFonts w:eastAsia="Calibri"/>
          <w:lang w:val="fr-FR"/>
        </w:rPr>
        <w:t> :</w:t>
      </w:r>
      <w:r w:rsidRPr="00953DCC">
        <w:rPr>
          <w:rFonts w:eastAsia="Calibri"/>
          <w:lang w:val="fr-FR"/>
        </w:rPr>
        <w:t xml:space="preserve"> L</w:t>
      </w:r>
      <w:r w:rsidR="0056301D">
        <w:rPr>
          <w:rFonts w:eastAsia="Calibri"/>
          <w:lang w:val="fr-FR"/>
        </w:rPr>
        <w:t>’</w:t>
      </w:r>
      <w:r w:rsidRPr="00953DCC">
        <w:rPr>
          <w:rFonts w:eastAsia="Calibri"/>
          <w:lang w:val="fr-FR"/>
        </w:rPr>
        <w:t>HARMONISATION DES ESSAIS DE SEMENCES</w:t>
      </w:r>
    </w:p>
    <w:p w14:paraId="57295371" w14:textId="77777777" w:rsidR="005F025D" w:rsidRPr="00953DCC" w:rsidRDefault="005F025D" w:rsidP="007E07ED">
      <w:pPr>
        <w:rPr>
          <w:rFonts w:eastAsia="Calibri"/>
          <w:lang w:val="fr-FR"/>
        </w:rPr>
      </w:pPr>
    </w:p>
    <w:p w14:paraId="57295372" w14:textId="4D29A856" w:rsidR="005F025D" w:rsidRPr="00953DCC" w:rsidRDefault="005F025D" w:rsidP="005F025D">
      <w:pPr>
        <w:spacing w:after="160" w:line="259" w:lineRule="auto"/>
        <w:rPr>
          <w:rFonts w:eastAsia="Calibri" w:cs="Arial"/>
          <w:shd w:val="clear" w:color="auto" w:fill="FFFFFF"/>
          <w:lang w:val="fr-FR"/>
        </w:rPr>
      </w:pPr>
      <w:r w:rsidRPr="00953DCC">
        <w:rPr>
          <w:rFonts w:eastAsia="Calibri" w:cs="Arial"/>
          <w:shd w:val="clear" w:color="auto" w:fill="FFFFFF"/>
          <w:lang w:val="fr-FR"/>
        </w:rPr>
        <w:t>Fondée en</w:t>
      </w:r>
      <w:r w:rsidR="001B75BB" w:rsidRPr="00953DCC">
        <w:rPr>
          <w:rFonts w:eastAsia="Calibri" w:cs="Arial"/>
          <w:shd w:val="clear" w:color="auto" w:fill="FFFFFF"/>
          <w:lang w:val="fr-FR"/>
        </w:rPr>
        <w:t> </w:t>
      </w:r>
      <w:r w:rsidRPr="00953DCC">
        <w:rPr>
          <w:rFonts w:eastAsia="Calibri" w:cs="Arial"/>
          <w:shd w:val="clear" w:color="auto" w:fill="FFFFFF"/>
          <w:lang w:val="fr-FR"/>
        </w:rPr>
        <w:t>1924, l</w:t>
      </w:r>
      <w:r w:rsidR="0056301D">
        <w:rPr>
          <w:rFonts w:eastAsia="Calibri" w:cs="Arial"/>
          <w:shd w:val="clear" w:color="auto" w:fill="FFFFFF"/>
          <w:lang w:val="fr-FR"/>
        </w:rPr>
        <w:t>’</w:t>
      </w:r>
      <w:r w:rsidRPr="00953DCC">
        <w:rPr>
          <w:rFonts w:eastAsia="Calibri" w:cs="Arial"/>
          <w:shd w:val="clear" w:color="auto" w:fill="FFFFFF"/>
          <w:lang w:val="fr-FR"/>
        </w:rPr>
        <w:t>ISTA a pour objectif premier d</w:t>
      </w:r>
      <w:r w:rsidR="0056301D">
        <w:rPr>
          <w:rFonts w:eastAsia="Calibri" w:cs="Arial"/>
          <w:shd w:val="clear" w:color="auto" w:fill="FFFFFF"/>
          <w:lang w:val="fr-FR"/>
        </w:rPr>
        <w:t>’</w:t>
      </w:r>
      <w:r w:rsidRPr="00953DCC">
        <w:rPr>
          <w:rFonts w:eastAsia="Calibri" w:cs="Arial"/>
          <w:shd w:val="clear" w:color="auto" w:fill="FFFFFF"/>
          <w:lang w:val="fr-FR"/>
        </w:rPr>
        <w:t>élaborer et de publier des procédures standard dans le domaine des essais de semences et est inextricablement liée à l</w:t>
      </w:r>
      <w:r w:rsidR="0056301D">
        <w:rPr>
          <w:rFonts w:eastAsia="Calibri" w:cs="Arial"/>
          <w:shd w:val="clear" w:color="auto" w:fill="FFFFFF"/>
          <w:lang w:val="fr-FR"/>
        </w:rPr>
        <w:t>’</w:t>
      </w:r>
      <w:r w:rsidRPr="00953DCC">
        <w:rPr>
          <w:rFonts w:eastAsia="Calibri" w:cs="Arial"/>
          <w:shd w:val="clear" w:color="auto" w:fill="FFFFFF"/>
          <w:lang w:val="fr-FR"/>
        </w:rPr>
        <w:t>histoire des essais de semenc</w:t>
      </w:r>
      <w:r w:rsidR="0011329B" w:rsidRPr="00953DCC">
        <w:rPr>
          <w:rFonts w:eastAsia="Calibri" w:cs="Arial"/>
          <w:shd w:val="clear" w:color="auto" w:fill="FFFFFF"/>
          <w:lang w:val="fr-FR"/>
        </w:rPr>
        <w:t>es</w:t>
      </w:r>
      <w:r w:rsidR="0011329B">
        <w:rPr>
          <w:rFonts w:eastAsia="Calibri" w:cs="Arial"/>
          <w:shd w:val="clear" w:color="auto" w:fill="FFFFFF"/>
          <w:lang w:val="fr-FR"/>
        </w:rPr>
        <w:t xml:space="preserve">.  </w:t>
      </w:r>
      <w:r w:rsidR="0011329B" w:rsidRPr="00953DCC">
        <w:rPr>
          <w:rFonts w:eastAsia="Calibri" w:cs="Arial"/>
          <w:shd w:val="clear" w:color="auto" w:fill="FFFFFF"/>
          <w:lang w:val="fr-FR"/>
        </w:rPr>
        <w:t>Av</w:t>
      </w:r>
      <w:r w:rsidRPr="00953DCC">
        <w:rPr>
          <w:rFonts w:eastAsia="Calibri" w:cs="Arial"/>
          <w:shd w:val="clear" w:color="auto" w:fill="FFFFFF"/>
          <w:lang w:val="fr-FR"/>
        </w:rPr>
        <w:t>ec des laboratoires membres dans plus de 80</w:t>
      </w:r>
      <w:r w:rsidR="001B75BB" w:rsidRPr="00953DCC">
        <w:rPr>
          <w:rFonts w:eastAsia="Calibri" w:cs="Arial"/>
          <w:shd w:val="clear" w:color="auto" w:fill="FFFFFF"/>
          <w:lang w:val="fr-FR"/>
        </w:rPr>
        <w:t> </w:t>
      </w:r>
      <w:r w:rsidRPr="00953DCC">
        <w:rPr>
          <w:rFonts w:eastAsia="Calibri" w:cs="Arial"/>
          <w:shd w:val="clear" w:color="auto" w:fill="FFFFFF"/>
          <w:lang w:val="fr-FR"/>
        </w:rPr>
        <w:t>pays/entités économiques distinctes dans le monde, les membres de l</w:t>
      </w:r>
      <w:r w:rsidR="0056301D">
        <w:rPr>
          <w:rFonts w:eastAsia="Calibri" w:cs="Arial"/>
          <w:shd w:val="clear" w:color="auto" w:fill="FFFFFF"/>
          <w:lang w:val="fr-FR"/>
        </w:rPr>
        <w:t>’</w:t>
      </w:r>
      <w:r w:rsidRPr="00953DCC">
        <w:rPr>
          <w:rFonts w:eastAsia="Calibri" w:cs="Arial"/>
          <w:shd w:val="clear" w:color="auto" w:fill="FFFFFF"/>
          <w:lang w:val="fr-FR"/>
        </w:rPr>
        <w:t>ISTA constituent un véritable réseau mondial.</w:t>
      </w:r>
    </w:p>
    <w:p w14:paraId="57295373" w14:textId="34C6A05B" w:rsidR="005F025D" w:rsidRPr="00953DCC" w:rsidRDefault="005F025D" w:rsidP="005F025D">
      <w:pPr>
        <w:spacing w:after="160" w:line="259" w:lineRule="auto"/>
        <w:rPr>
          <w:rFonts w:eastAsia="Calibri" w:cs="Arial"/>
          <w:shd w:val="clear" w:color="auto" w:fill="FFFFFF"/>
          <w:lang w:val="fr-FR"/>
        </w:rPr>
      </w:pPr>
      <w:r w:rsidRPr="00953DCC">
        <w:rPr>
          <w:rFonts w:eastAsia="Calibri" w:cs="Arial"/>
          <w:shd w:val="clear" w:color="auto" w:fill="FFFFFF"/>
          <w:lang w:val="fr-FR"/>
        </w:rPr>
        <w:t>Notre association produit des règles internationalement reconnues pour l</w:t>
      </w:r>
      <w:r w:rsidR="0056301D">
        <w:rPr>
          <w:rFonts w:eastAsia="Calibri" w:cs="Arial"/>
          <w:shd w:val="clear" w:color="auto" w:fill="FFFFFF"/>
          <w:lang w:val="fr-FR"/>
        </w:rPr>
        <w:t>’</w:t>
      </w:r>
      <w:r w:rsidRPr="00953DCC">
        <w:rPr>
          <w:rFonts w:eastAsia="Calibri" w:cs="Arial"/>
          <w:shd w:val="clear" w:color="auto" w:fill="FFFFFF"/>
          <w:lang w:val="fr-FR"/>
        </w:rPr>
        <w:t>échantillonnage et l</w:t>
      </w:r>
      <w:r w:rsidR="0056301D">
        <w:rPr>
          <w:rFonts w:eastAsia="Calibri" w:cs="Arial"/>
          <w:shd w:val="clear" w:color="auto" w:fill="FFFFFF"/>
          <w:lang w:val="fr-FR"/>
        </w:rPr>
        <w:t>’</w:t>
      </w:r>
      <w:r w:rsidRPr="00953DCC">
        <w:rPr>
          <w:rFonts w:eastAsia="Calibri" w:cs="Arial"/>
          <w:shd w:val="clear" w:color="auto" w:fill="FFFFFF"/>
          <w:lang w:val="fr-FR"/>
        </w:rPr>
        <w:t>essai de semences, accrédite des laboratoires, encourage la recherche, délivre des certificats internationaux d</w:t>
      </w:r>
      <w:r w:rsidR="0056301D">
        <w:rPr>
          <w:rFonts w:eastAsia="Calibri" w:cs="Arial"/>
          <w:shd w:val="clear" w:color="auto" w:fill="FFFFFF"/>
          <w:lang w:val="fr-FR"/>
        </w:rPr>
        <w:t>’</w:t>
      </w:r>
      <w:r w:rsidRPr="00953DCC">
        <w:rPr>
          <w:rFonts w:eastAsia="Calibri" w:cs="Arial"/>
          <w:shd w:val="clear" w:color="auto" w:fill="FFFFFF"/>
          <w:lang w:val="fr-FR"/>
        </w:rPr>
        <w:t xml:space="preserve">analyse de semences et dispense des formations; </w:t>
      </w:r>
      <w:r w:rsidR="004A1CA8">
        <w:rPr>
          <w:rFonts w:eastAsia="Calibri" w:cs="Arial"/>
          <w:shd w:val="clear" w:color="auto" w:fill="FFFFFF"/>
          <w:lang w:val="fr-FR"/>
        </w:rPr>
        <w:t xml:space="preserve"> </w:t>
      </w:r>
      <w:r w:rsidRPr="00953DCC">
        <w:rPr>
          <w:rFonts w:eastAsia="Calibri" w:cs="Arial"/>
          <w:shd w:val="clear" w:color="auto" w:fill="FFFFFF"/>
          <w:lang w:val="fr-FR"/>
        </w:rPr>
        <w:t>elle diffuse les connaissances en sciences et technologies des semences au nom de ses membres et est régie par ses pays membres/entités économiques distinct</w:t>
      </w:r>
      <w:r w:rsidR="0011329B" w:rsidRPr="00953DCC">
        <w:rPr>
          <w:rFonts w:eastAsia="Calibri" w:cs="Arial"/>
          <w:shd w:val="clear" w:color="auto" w:fill="FFFFFF"/>
          <w:lang w:val="fr-FR"/>
        </w:rPr>
        <w:t>es</w:t>
      </w:r>
      <w:r w:rsidR="0011329B">
        <w:rPr>
          <w:rFonts w:eastAsia="Calibri" w:cs="Arial"/>
          <w:shd w:val="clear" w:color="auto" w:fill="FFFFFF"/>
          <w:lang w:val="fr-FR"/>
        </w:rPr>
        <w:t xml:space="preserve">.  </w:t>
      </w:r>
      <w:r w:rsidR="0011329B" w:rsidRPr="00953DCC">
        <w:rPr>
          <w:rFonts w:eastAsia="Calibri" w:cs="Arial"/>
          <w:shd w:val="clear" w:color="auto" w:fill="FFFFFF"/>
          <w:lang w:val="fr-FR"/>
        </w:rPr>
        <w:t>To</w:t>
      </w:r>
      <w:r w:rsidRPr="00953DCC">
        <w:rPr>
          <w:rFonts w:eastAsia="Calibri" w:cs="Arial"/>
          <w:shd w:val="clear" w:color="auto" w:fill="FFFFFF"/>
          <w:lang w:val="fr-FR"/>
        </w:rPr>
        <w:t>ut cela facilite le commerce des semences au niveau national et international, contribuant ainsi à la sécurité alimentaire.</w:t>
      </w:r>
    </w:p>
    <w:p w14:paraId="57295374" w14:textId="12EBB564" w:rsidR="005F025D" w:rsidRPr="00953DCC" w:rsidRDefault="005F025D" w:rsidP="005F025D">
      <w:pPr>
        <w:spacing w:after="160" w:line="259" w:lineRule="auto"/>
        <w:jc w:val="left"/>
        <w:rPr>
          <w:rFonts w:eastAsia="Calibri" w:cs="Arial"/>
          <w:bCs/>
          <w:lang w:val="fr-FR"/>
        </w:rPr>
      </w:pPr>
      <w:r w:rsidRPr="00953DCC">
        <w:rPr>
          <w:rFonts w:eastAsia="Calibri" w:cs="Arial"/>
          <w:bCs/>
          <w:lang w:val="fr-FR"/>
        </w:rPr>
        <w:t>MEMBRES DE L</w:t>
      </w:r>
      <w:r w:rsidR="0056301D">
        <w:rPr>
          <w:rFonts w:eastAsia="Calibri" w:cs="Arial"/>
          <w:bCs/>
          <w:lang w:val="fr-FR"/>
        </w:rPr>
        <w:t>’</w:t>
      </w:r>
      <w:r w:rsidRPr="00953DCC">
        <w:rPr>
          <w:rFonts w:eastAsia="Calibri" w:cs="Arial"/>
          <w:bCs/>
          <w:lang w:val="fr-FR"/>
        </w:rPr>
        <w:t>ISTA</w:t>
      </w:r>
      <w:r w:rsidR="001B75BB" w:rsidRPr="00953DCC">
        <w:rPr>
          <w:rFonts w:eastAsia="Calibri" w:cs="Arial"/>
          <w:bCs/>
          <w:lang w:val="fr-FR"/>
        </w:rPr>
        <w:t> </w:t>
      </w:r>
      <w:r w:rsidRPr="00953DCC">
        <w:rPr>
          <w:rFonts w:eastAsia="Calibri" w:cs="Arial"/>
          <w:bCs/>
          <w:lang w:val="fr-FR"/>
        </w:rPr>
        <w:t>2019</w:t>
      </w:r>
    </w:p>
    <w:p w14:paraId="57295375" w14:textId="0EE60D51" w:rsidR="005F025D" w:rsidRPr="00953DCC" w:rsidRDefault="005F025D" w:rsidP="005F025D">
      <w:pPr>
        <w:spacing w:after="160" w:line="259" w:lineRule="auto"/>
        <w:rPr>
          <w:rFonts w:eastAsia="Calibri" w:cs="Arial"/>
          <w:lang w:val="fr-FR"/>
        </w:rPr>
      </w:pPr>
      <w:r w:rsidRPr="00953DCC">
        <w:rPr>
          <w:rFonts w:eastAsia="Calibri" w:cs="Arial"/>
          <w:lang w:val="fr-FR"/>
        </w:rPr>
        <w:t>Avec des laboratoires membres dans 82</w:t>
      </w:r>
      <w:r w:rsidR="001D5B8E" w:rsidRPr="00953DCC">
        <w:rPr>
          <w:rFonts w:eastAsia="Calibri" w:cs="Arial"/>
          <w:lang w:val="fr-FR"/>
        </w:rPr>
        <w:t> </w:t>
      </w:r>
      <w:r w:rsidRPr="00953DCC">
        <w:rPr>
          <w:rFonts w:eastAsia="Calibri" w:cs="Arial"/>
          <w:lang w:val="fr-FR"/>
        </w:rPr>
        <w:t>pays/entités économiques distinctes dans le monde, les membres de l</w:t>
      </w:r>
      <w:r w:rsidR="0056301D">
        <w:rPr>
          <w:rFonts w:eastAsia="Calibri" w:cs="Arial"/>
          <w:lang w:val="fr-FR"/>
        </w:rPr>
        <w:t>’</w:t>
      </w:r>
      <w:r w:rsidRPr="00953DCC">
        <w:rPr>
          <w:rFonts w:eastAsia="Calibri" w:cs="Arial"/>
          <w:lang w:val="fr-FR"/>
        </w:rPr>
        <w:t>ISTA constituent un véritable réseau mondi</w:t>
      </w:r>
      <w:r w:rsidR="0011329B" w:rsidRPr="00953DCC">
        <w:rPr>
          <w:rFonts w:eastAsia="Calibri" w:cs="Arial"/>
          <w:lang w:val="fr-FR"/>
        </w:rPr>
        <w:t>al</w:t>
      </w:r>
      <w:r w:rsidR="0011329B">
        <w:rPr>
          <w:rFonts w:eastAsia="Calibri" w:cs="Arial"/>
          <w:lang w:val="fr-FR"/>
        </w:rPr>
        <w:t xml:space="preserve">.  </w:t>
      </w:r>
      <w:r w:rsidR="0011329B" w:rsidRPr="00953DCC">
        <w:rPr>
          <w:rFonts w:eastAsia="Calibri" w:cs="Arial"/>
          <w:lang w:val="fr-FR"/>
        </w:rPr>
        <w:t>Ac</w:t>
      </w:r>
      <w:r w:rsidRPr="00953DCC">
        <w:rPr>
          <w:rFonts w:eastAsia="Calibri" w:cs="Arial"/>
          <w:lang w:val="fr-FR"/>
        </w:rPr>
        <w:t>tuellement, les membres de l</w:t>
      </w:r>
      <w:r w:rsidR="0056301D">
        <w:rPr>
          <w:rFonts w:eastAsia="Calibri" w:cs="Arial"/>
          <w:lang w:val="fr-FR"/>
        </w:rPr>
        <w:t>’</w:t>
      </w:r>
      <w:r w:rsidRPr="00953DCC">
        <w:rPr>
          <w:rFonts w:eastAsia="Calibri" w:cs="Arial"/>
          <w:lang w:val="fr-FR"/>
        </w:rPr>
        <w:t>ISTA sont</w:t>
      </w:r>
      <w:r w:rsidR="0056301D">
        <w:rPr>
          <w:rFonts w:eastAsia="Calibri" w:cs="Arial"/>
          <w:lang w:val="fr-FR"/>
        </w:rPr>
        <w:t> :</w:t>
      </w:r>
    </w:p>
    <w:p w14:paraId="497076F4" w14:textId="0B553ECD" w:rsidR="0056301D" w:rsidRDefault="005F025D" w:rsidP="00D9517D">
      <w:pPr>
        <w:numPr>
          <w:ilvl w:val="0"/>
          <w:numId w:val="8"/>
        </w:numPr>
        <w:autoSpaceDE w:val="0"/>
        <w:autoSpaceDN w:val="0"/>
        <w:adjustRightInd w:val="0"/>
        <w:spacing w:after="278" w:line="259" w:lineRule="auto"/>
        <w:ind w:left="1134" w:hanging="567"/>
        <w:jc w:val="left"/>
        <w:rPr>
          <w:rFonts w:eastAsia="Calibri" w:cs="Arial"/>
          <w:lang w:val="fr-FR"/>
        </w:rPr>
      </w:pPr>
      <w:r w:rsidRPr="00953DCC">
        <w:rPr>
          <w:rFonts w:eastAsia="Calibri" w:cs="Arial"/>
          <w:lang w:val="fr-FR"/>
        </w:rPr>
        <w:t>235</w:t>
      </w:r>
      <w:r w:rsidR="001D5B8E" w:rsidRPr="00953DCC">
        <w:rPr>
          <w:rFonts w:eastAsia="Calibri" w:cs="Arial"/>
          <w:lang w:val="fr-FR"/>
        </w:rPr>
        <w:t> </w:t>
      </w:r>
      <w:r w:rsidRPr="00953DCC">
        <w:rPr>
          <w:rFonts w:eastAsia="Calibri" w:cs="Arial"/>
          <w:lang w:val="fr-FR"/>
        </w:rPr>
        <w:t>laboratoires membres, dont 136</w:t>
      </w:r>
      <w:r w:rsidR="001D5B8E" w:rsidRPr="00953DCC">
        <w:rPr>
          <w:rFonts w:eastAsia="Calibri" w:cs="Arial"/>
          <w:lang w:val="fr-FR"/>
        </w:rPr>
        <w:t> </w:t>
      </w:r>
      <w:r w:rsidRPr="00953DCC">
        <w:rPr>
          <w:rFonts w:eastAsia="Calibri" w:cs="Arial"/>
          <w:lang w:val="fr-FR"/>
        </w:rPr>
        <w:t>accrédités par l</w:t>
      </w:r>
      <w:r w:rsidR="0056301D">
        <w:rPr>
          <w:rFonts w:eastAsia="Calibri" w:cs="Arial"/>
          <w:lang w:val="fr-FR"/>
        </w:rPr>
        <w:t>’</w:t>
      </w:r>
      <w:r w:rsidRPr="00953DCC">
        <w:rPr>
          <w:rFonts w:eastAsia="Calibri" w:cs="Arial"/>
          <w:lang w:val="fr-FR"/>
        </w:rPr>
        <w:t>ISTA</w:t>
      </w:r>
    </w:p>
    <w:p w14:paraId="57295378" w14:textId="763E2724" w:rsidR="005F025D" w:rsidRPr="00953DCC" w:rsidRDefault="005F025D" w:rsidP="00D9517D">
      <w:pPr>
        <w:numPr>
          <w:ilvl w:val="0"/>
          <w:numId w:val="8"/>
        </w:numPr>
        <w:autoSpaceDE w:val="0"/>
        <w:autoSpaceDN w:val="0"/>
        <w:adjustRightInd w:val="0"/>
        <w:spacing w:after="278" w:line="259" w:lineRule="auto"/>
        <w:ind w:left="1134" w:hanging="567"/>
        <w:jc w:val="left"/>
        <w:rPr>
          <w:rFonts w:eastAsia="Calibri" w:cs="Arial"/>
          <w:lang w:val="fr-FR"/>
        </w:rPr>
      </w:pPr>
      <w:r w:rsidRPr="00953DCC">
        <w:rPr>
          <w:rFonts w:eastAsia="Calibri" w:cs="Arial"/>
          <w:lang w:val="fr-FR"/>
        </w:rPr>
        <w:t>63</w:t>
      </w:r>
      <w:r w:rsidR="001D5B8E" w:rsidRPr="00953DCC">
        <w:rPr>
          <w:rFonts w:eastAsia="Calibri" w:cs="Arial"/>
          <w:lang w:val="fr-FR"/>
        </w:rPr>
        <w:t> </w:t>
      </w:r>
      <w:r w:rsidRPr="00953DCC">
        <w:rPr>
          <w:rFonts w:eastAsia="Calibri" w:cs="Arial"/>
          <w:lang w:val="fr-FR"/>
        </w:rPr>
        <w:t>membres associés</w:t>
      </w:r>
    </w:p>
    <w:p w14:paraId="57295379" w14:textId="65662FB1" w:rsidR="005F025D" w:rsidRPr="00953DCC" w:rsidRDefault="005F025D" w:rsidP="00D9517D">
      <w:pPr>
        <w:numPr>
          <w:ilvl w:val="0"/>
          <w:numId w:val="8"/>
        </w:numPr>
        <w:autoSpaceDE w:val="0"/>
        <w:autoSpaceDN w:val="0"/>
        <w:adjustRightInd w:val="0"/>
        <w:spacing w:after="278" w:line="259" w:lineRule="auto"/>
        <w:ind w:left="1134" w:hanging="567"/>
        <w:jc w:val="left"/>
        <w:rPr>
          <w:rFonts w:eastAsia="Calibri" w:cs="Arial"/>
          <w:lang w:val="fr-FR"/>
        </w:rPr>
      </w:pPr>
      <w:r w:rsidRPr="00953DCC">
        <w:rPr>
          <w:rFonts w:eastAsia="Calibri" w:cs="Arial"/>
          <w:lang w:val="fr-FR"/>
        </w:rPr>
        <w:t>39</w:t>
      </w:r>
      <w:r w:rsidR="001D5B8E" w:rsidRPr="00953DCC">
        <w:rPr>
          <w:rFonts w:eastAsia="Calibri" w:cs="Arial"/>
          <w:lang w:val="fr-FR"/>
        </w:rPr>
        <w:t> </w:t>
      </w:r>
      <w:r w:rsidRPr="00953DCC">
        <w:rPr>
          <w:rFonts w:eastAsia="Calibri" w:cs="Arial"/>
          <w:lang w:val="fr-FR"/>
        </w:rPr>
        <w:t>membres à titre personnel</w:t>
      </w:r>
    </w:p>
    <w:p w14:paraId="5729537A" w14:textId="015EF688" w:rsidR="005F025D" w:rsidRPr="00953DCC" w:rsidRDefault="005F025D" w:rsidP="005F025D">
      <w:pPr>
        <w:autoSpaceDE w:val="0"/>
        <w:autoSpaceDN w:val="0"/>
        <w:adjustRightInd w:val="0"/>
        <w:jc w:val="left"/>
        <w:rPr>
          <w:rFonts w:eastAsia="Calibri" w:cs="Arial"/>
          <w:bCs/>
          <w:lang w:val="fr-FR"/>
        </w:rPr>
      </w:pPr>
      <w:r w:rsidRPr="00953DCC">
        <w:rPr>
          <w:rFonts w:eastAsia="Calibri" w:cs="Arial"/>
          <w:bCs/>
          <w:lang w:val="fr-FR"/>
        </w:rPr>
        <w:t>TRAVAUX TECHNIQUES DE L</w:t>
      </w:r>
      <w:r w:rsidR="0056301D">
        <w:rPr>
          <w:rFonts w:eastAsia="Calibri" w:cs="Arial"/>
          <w:bCs/>
          <w:lang w:val="fr-FR"/>
        </w:rPr>
        <w:t>’</w:t>
      </w:r>
      <w:r w:rsidRPr="00953DCC">
        <w:rPr>
          <w:rFonts w:eastAsia="Calibri" w:cs="Arial"/>
          <w:bCs/>
          <w:lang w:val="fr-FR"/>
        </w:rPr>
        <w:t>ISTA</w:t>
      </w:r>
    </w:p>
    <w:p w14:paraId="5729537B" w14:textId="77777777" w:rsidR="005F025D" w:rsidRPr="00953DCC" w:rsidRDefault="005F025D" w:rsidP="007E07ED">
      <w:pPr>
        <w:autoSpaceDE w:val="0"/>
        <w:autoSpaceDN w:val="0"/>
        <w:adjustRightInd w:val="0"/>
        <w:jc w:val="left"/>
        <w:rPr>
          <w:rFonts w:eastAsia="Calibri" w:cs="Arial"/>
          <w:b/>
          <w:bCs/>
          <w:lang w:val="fr-FR"/>
        </w:rPr>
      </w:pPr>
    </w:p>
    <w:p w14:paraId="5729537C" w14:textId="6BEC6C3E" w:rsidR="005F025D" w:rsidRPr="00953DCC" w:rsidRDefault="005F025D" w:rsidP="005F025D">
      <w:pPr>
        <w:autoSpaceDE w:val="0"/>
        <w:autoSpaceDN w:val="0"/>
        <w:adjustRightInd w:val="0"/>
        <w:rPr>
          <w:rFonts w:eastAsia="Calibri" w:cs="Arial"/>
          <w:lang w:val="fr-FR"/>
        </w:rPr>
      </w:pPr>
      <w:r w:rsidRPr="00953DCC">
        <w:rPr>
          <w:rFonts w:eastAsia="Calibri" w:cs="Arial"/>
          <w:lang w:val="fr-FR"/>
        </w:rPr>
        <w:t>Les comités techniques de l</w:t>
      </w:r>
      <w:r w:rsidR="0056301D">
        <w:rPr>
          <w:rFonts w:eastAsia="Calibri" w:cs="Arial"/>
          <w:lang w:val="fr-FR"/>
        </w:rPr>
        <w:t>’</w:t>
      </w:r>
      <w:r w:rsidRPr="00953DCC">
        <w:rPr>
          <w:rFonts w:eastAsia="Calibri" w:cs="Arial"/>
          <w:lang w:val="fr-FR"/>
        </w:rPr>
        <w:t>ISTA ont pour principal objet d</w:t>
      </w:r>
      <w:r w:rsidR="0056301D">
        <w:rPr>
          <w:rFonts w:eastAsia="Calibri" w:cs="Arial"/>
          <w:lang w:val="fr-FR"/>
        </w:rPr>
        <w:t>’</w:t>
      </w:r>
      <w:r w:rsidRPr="00953DCC">
        <w:rPr>
          <w:rFonts w:eastAsia="Calibri" w:cs="Arial"/>
          <w:lang w:val="fr-FR"/>
        </w:rPr>
        <w:t>élaborer, de normaliser et de valider des méthodes d</w:t>
      </w:r>
      <w:r w:rsidR="0056301D">
        <w:rPr>
          <w:rFonts w:eastAsia="Calibri" w:cs="Arial"/>
          <w:lang w:val="fr-FR"/>
        </w:rPr>
        <w:t>’</w:t>
      </w:r>
      <w:r w:rsidRPr="00953DCC">
        <w:rPr>
          <w:rFonts w:eastAsia="Calibri" w:cs="Arial"/>
          <w:lang w:val="fr-FR"/>
        </w:rPr>
        <w:t>échantillonnage et d</w:t>
      </w:r>
      <w:r w:rsidR="0056301D">
        <w:rPr>
          <w:rFonts w:eastAsia="Calibri" w:cs="Arial"/>
          <w:lang w:val="fr-FR"/>
        </w:rPr>
        <w:t>’</w:t>
      </w:r>
      <w:r w:rsidRPr="00953DCC">
        <w:rPr>
          <w:rFonts w:eastAsia="Calibri" w:cs="Arial"/>
          <w:lang w:val="fr-FR"/>
        </w:rPr>
        <w:t>essai à l</w:t>
      </w:r>
      <w:r w:rsidR="0056301D">
        <w:rPr>
          <w:rFonts w:eastAsia="Calibri" w:cs="Arial"/>
          <w:lang w:val="fr-FR"/>
        </w:rPr>
        <w:t>’</w:t>
      </w:r>
      <w:r w:rsidRPr="00953DCC">
        <w:rPr>
          <w:rFonts w:eastAsia="Calibri" w:cs="Arial"/>
          <w:lang w:val="fr-FR"/>
        </w:rPr>
        <w:t>aide des meilleures connaissances scientifiques disponibl</w:t>
      </w:r>
      <w:r w:rsidR="0011329B" w:rsidRPr="00953DCC">
        <w:rPr>
          <w:rFonts w:eastAsia="Calibri" w:cs="Arial"/>
          <w:lang w:val="fr-FR"/>
        </w:rPr>
        <w:t>es</w:t>
      </w:r>
      <w:r w:rsidR="0011329B">
        <w:rPr>
          <w:rFonts w:eastAsia="Calibri" w:cs="Arial"/>
          <w:lang w:val="fr-FR"/>
        </w:rPr>
        <w:t xml:space="preserve">.  </w:t>
      </w:r>
      <w:r w:rsidR="0011329B" w:rsidRPr="00953DCC">
        <w:rPr>
          <w:rFonts w:eastAsia="Calibri" w:cs="Arial"/>
          <w:lang w:val="fr-FR"/>
        </w:rPr>
        <w:t>Il</w:t>
      </w:r>
      <w:r w:rsidRPr="00953DCC">
        <w:rPr>
          <w:rFonts w:eastAsia="Calibri" w:cs="Arial"/>
          <w:lang w:val="fr-FR"/>
        </w:rPr>
        <w:t>s travaillent à l</w:t>
      </w:r>
      <w:r w:rsidR="0056301D">
        <w:rPr>
          <w:rFonts w:eastAsia="Calibri" w:cs="Arial"/>
          <w:lang w:val="fr-FR"/>
        </w:rPr>
        <w:t>’</w:t>
      </w:r>
      <w:r w:rsidRPr="00953DCC">
        <w:rPr>
          <w:rFonts w:eastAsia="Calibri" w:cs="Arial"/>
          <w:lang w:val="fr-FR"/>
        </w:rPr>
        <w:t>amélioration des “Règles internationales de l</w:t>
      </w:r>
      <w:r w:rsidR="0056301D">
        <w:rPr>
          <w:rFonts w:eastAsia="Calibri" w:cs="Arial"/>
          <w:lang w:val="fr-FR"/>
        </w:rPr>
        <w:t>’</w:t>
      </w:r>
      <w:r w:rsidRPr="00953DCC">
        <w:rPr>
          <w:rFonts w:eastAsia="Calibri" w:cs="Arial"/>
          <w:lang w:val="fr-FR"/>
        </w:rPr>
        <w:t>ISTA pour les essais de semences” et à l</w:t>
      </w:r>
      <w:r w:rsidR="0056301D">
        <w:rPr>
          <w:rFonts w:eastAsia="Calibri" w:cs="Arial"/>
          <w:lang w:val="fr-FR"/>
        </w:rPr>
        <w:t>’</w:t>
      </w:r>
      <w:r w:rsidRPr="00953DCC">
        <w:rPr>
          <w:rFonts w:eastAsia="Calibri" w:cs="Arial"/>
          <w:lang w:val="fr-FR"/>
        </w:rPr>
        <w:t>élaboration de manuels de l</w:t>
      </w:r>
      <w:r w:rsidR="0056301D">
        <w:rPr>
          <w:rFonts w:eastAsia="Calibri" w:cs="Arial"/>
          <w:lang w:val="fr-FR"/>
        </w:rPr>
        <w:t>’</w:t>
      </w:r>
      <w:r w:rsidRPr="00953DCC">
        <w:rPr>
          <w:rFonts w:eastAsia="Calibri" w:cs="Arial"/>
          <w:lang w:val="fr-FR"/>
        </w:rPr>
        <w:t>ISTA sur les méthodes de semences, notamment l</w:t>
      </w:r>
      <w:r w:rsidR="0056301D">
        <w:rPr>
          <w:rFonts w:eastAsia="Calibri" w:cs="Arial"/>
          <w:lang w:val="fr-FR"/>
        </w:rPr>
        <w:t>’</w:t>
      </w:r>
      <w:r w:rsidRPr="00953DCC">
        <w:rPr>
          <w:rFonts w:eastAsia="Calibri" w:cs="Arial"/>
          <w:lang w:val="fr-FR"/>
        </w:rPr>
        <w:t>échantillonnage et les essa</w:t>
      </w:r>
      <w:r w:rsidR="0011329B" w:rsidRPr="00953DCC">
        <w:rPr>
          <w:rFonts w:eastAsia="Calibri" w:cs="Arial"/>
          <w:lang w:val="fr-FR"/>
        </w:rPr>
        <w:t>is</w:t>
      </w:r>
      <w:r w:rsidR="0011329B">
        <w:rPr>
          <w:rFonts w:eastAsia="Calibri" w:cs="Arial"/>
          <w:lang w:val="fr-FR"/>
        </w:rPr>
        <w:t xml:space="preserve">.  </w:t>
      </w:r>
      <w:r w:rsidR="0011329B" w:rsidRPr="00953DCC">
        <w:rPr>
          <w:rFonts w:eastAsia="Calibri" w:cs="Arial"/>
          <w:lang w:val="fr-FR"/>
        </w:rPr>
        <w:t>Il</w:t>
      </w:r>
      <w:r w:rsidRPr="00953DCC">
        <w:rPr>
          <w:rFonts w:eastAsia="Calibri" w:cs="Arial"/>
          <w:lang w:val="fr-FR"/>
        </w:rPr>
        <w:t>s sont en outre responsables de l</w:t>
      </w:r>
      <w:r w:rsidR="0056301D">
        <w:rPr>
          <w:rFonts w:eastAsia="Calibri" w:cs="Arial"/>
          <w:lang w:val="fr-FR"/>
        </w:rPr>
        <w:t>’</w:t>
      </w:r>
      <w:r w:rsidRPr="00953DCC">
        <w:rPr>
          <w:rFonts w:eastAsia="Calibri" w:cs="Arial"/>
          <w:lang w:val="fr-FR"/>
        </w:rPr>
        <w:t>organisation de colloques, séminaires et atelie</w:t>
      </w:r>
      <w:r w:rsidR="0011329B" w:rsidRPr="00953DCC">
        <w:rPr>
          <w:rFonts w:eastAsia="Calibri" w:cs="Arial"/>
          <w:lang w:val="fr-FR"/>
        </w:rPr>
        <w:t>rs</w:t>
      </w:r>
      <w:r w:rsidR="0011329B">
        <w:rPr>
          <w:rFonts w:eastAsia="Calibri" w:cs="Arial"/>
          <w:lang w:val="fr-FR"/>
        </w:rPr>
        <w:t xml:space="preserve">.  </w:t>
      </w:r>
      <w:r w:rsidR="0011329B" w:rsidRPr="00953DCC">
        <w:rPr>
          <w:rFonts w:eastAsia="Calibri" w:cs="Arial"/>
          <w:lang w:val="fr-FR"/>
        </w:rPr>
        <w:t>Le</w:t>
      </w:r>
      <w:r w:rsidRPr="00953DCC">
        <w:rPr>
          <w:rFonts w:eastAsia="Calibri" w:cs="Arial"/>
          <w:lang w:val="fr-FR"/>
        </w:rPr>
        <w:t>s comités techniques de l</w:t>
      </w:r>
      <w:r w:rsidR="0056301D">
        <w:rPr>
          <w:rFonts w:eastAsia="Calibri" w:cs="Arial"/>
          <w:lang w:val="fr-FR"/>
        </w:rPr>
        <w:t>’</w:t>
      </w:r>
      <w:r w:rsidRPr="00953DCC">
        <w:rPr>
          <w:rFonts w:eastAsia="Calibri" w:cs="Arial"/>
          <w:lang w:val="fr-FR"/>
        </w:rPr>
        <w:t>ISTA tiennent régulièrement des ateliers qui offrent une plateforme de formation et d</w:t>
      </w:r>
      <w:r w:rsidR="0056301D">
        <w:rPr>
          <w:rFonts w:eastAsia="Calibri" w:cs="Arial"/>
          <w:lang w:val="fr-FR"/>
        </w:rPr>
        <w:t>’</w:t>
      </w:r>
      <w:r w:rsidRPr="00953DCC">
        <w:rPr>
          <w:rFonts w:eastAsia="Calibri" w:cs="Arial"/>
          <w:lang w:val="fr-FR"/>
        </w:rPr>
        <w:t>échange d</w:t>
      </w:r>
      <w:r w:rsidR="0056301D">
        <w:rPr>
          <w:rFonts w:eastAsia="Calibri" w:cs="Arial"/>
          <w:lang w:val="fr-FR"/>
        </w:rPr>
        <w:t>’</w:t>
      </w:r>
      <w:r w:rsidRPr="00953DCC">
        <w:rPr>
          <w:rFonts w:eastAsia="Calibri" w:cs="Arial"/>
          <w:lang w:val="fr-FR"/>
        </w:rPr>
        <w:t>informations, de données d</w:t>
      </w:r>
      <w:r w:rsidR="0056301D">
        <w:rPr>
          <w:rFonts w:eastAsia="Calibri" w:cs="Arial"/>
          <w:lang w:val="fr-FR"/>
        </w:rPr>
        <w:t>’</w:t>
      </w:r>
      <w:r w:rsidRPr="00953DCC">
        <w:rPr>
          <w:rFonts w:eastAsia="Calibri" w:cs="Arial"/>
          <w:lang w:val="fr-FR"/>
        </w:rPr>
        <w:t>expérience et d</w:t>
      </w:r>
      <w:r w:rsidR="0056301D">
        <w:rPr>
          <w:rFonts w:eastAsia="Calibri" w:cs="Arial"/>
          <w:lang w:val="fr-FR"/>
        </w:rPr>
        <w:t>’</w:t>
      </w:r>
      <w:r w:rsidRPr="00953DCC">
        <w:rPr>
          <w:rFonts w:eastAsia="Calibri" w:cs="Arial"/>
          <w:lang w:val="fr-FR"/>
        </w:rPr>
        <w:t>idées.</w:t>
      </w:r>
    </w:p>
    <w:p w14:paraId="5729537D" w14:textId="72F1E0E5" w:rsidR="001D5B8E" w:rsidRPr="00953DCC" w:rsidRDefault="001D5B8E">
      <w:pPr>
        <w:jc w:val="left"/>
        <w:rPr>
          <w:rFonts w:eastAsia="Calibri" w:cs="Arial"/>
          <w:color w:val="000000"/>
          <w:lang w:val="fr-FR"/>
        </w:rPr>
      </w:pPr>
    </w:p>
    <w:p w14:paraId="7C3A67E0" w14:textId="77777777" w:rsidR="005F025D" w:rsidRPr="00953DCC" w:rsidRDefault="005F025D" w:rsidP="007E07ED">
      <w:pPr>
        <w:autoSpaceDE w:val="0"/>
        <w:autoSpaceDN w:val="0"/>
        <w:adjustRightInd w:val="0"/>
        <w:jc w:val="left"/>
        <w:rPr>
          <w:rFonts w:eastAsia="Calibri" w:cs="Arial"/>
          <w:color w:val="000000"/>
          <w:lang w:val="fr-FR"/>
        </w:rPr>
      </w:pPr>
    </w:p>
    <w:p w14:paraId="5729537E" w14:textId="200CA6AE" w:rsidR="005F025D" w:rsidRPr="00953DCC" w:rsidRDefault="005F025D" w:rsidP="00D9517D">
      <w:pPr>
        <w:keepNext/>
        <w:autoSpaceDE w:val="0"/>
        <w:autoSpaceDN w:val="0"/>
        <w:adjustRightInd w:val="0"/>
        <w:jc w:val="left"/>
        <w:rPr>
          <w:rFonts w:eastAsia="Calibri" w:cs="Arial"/>
          <w:lang w:val="fr-FR"/>
        </w:rPr>
      </w:pPr>
      <w:r w:rsidRPr="00953DCC">
        <w:rPr>
          <w:rFonts w:eastAsia="Calibri" w:cs="Arial"/>
          <w:lang w:val="fr-FR"/>
        </w:rPr>
        <w:lastRenderedPageBreak/>
        <w:t>L</w:t>
      </w:r>
      <w:r w:rsidR="0056301D">
        <w:rPr>
          <w:rFonts w:eastAsia="Calibri" w:cs="Arial"/>
          <w:lang w:val="fr-FR"/>
        </w:rPr>
        <w:t>’</w:t>
      </w:r>
      <w:r w:rsidRPr="00953DCC">
        <w:rPr>
          <w:rFonts w:eastAsia="Calibri" w:cs="Arial"/>
          <w:lang w:val="fr-FR"/>
        </w:rPr>
        <w:t>ISTA compte 20</w:t>
      </w:r>
      <w:r w:rsidR="001D5B8E" w:rsidRPr="00953DCC">
        <w:rPr>
          <w:rFonts w:eastAsia="Calibri" w:cs="Arial"/>
          <w:lang w:val="fr-FR"/>
        </w:rPr>
        <w:t> </w:t>
      </w:r>
      <w:r w:rsidRPr="00953DCC">
        <w:rPr>
          <w:rFonts w:eastAsia="Calibri" w:cs="Arial"/>
          <w:lang w:val="fr-FR"/>
        </w:rPr>
        <w:t>comités techniques</w:t>
      </w:r>
      <w:r w:rsidR="0056301D">
        <w:rPr>
          <w:rFonts w:eastAsia="Calibri" w:cs="Arial"/>
          <w:lang w:val="fr-FR"/>
        </w:rPr>
        <w:t> :</w:t>
      </w:r>
    </w:p>
    <w:p w14:paraId="5729537F" w14:textId="77777777" w:rsidR="007E07ED" w:rsidRPr="00953DCC" w:rsidRDefault="007E07ED" w:rsidP="00D9517D">
      <w:pPr>
        <w:keepNext/>
        <w:autoSpaceDE w:val="0"/>
        <w:autoSpaceDN w:val="0"/>
        <w:adjustRightInd w:val="0"/>
        <w:jc w:val="left"/>
        <w:rPr>
          <w:rFonts w:eastAsia="Calibri" w:cs="Arial"/>
          <w:color w:val="000000"/>
          <w:lang w:val="fr-FR"/>
        </w:rPr>
      </w:pPr>
    </w:p>
    <w:tbl>
      <w:tblPr>
        <w:tblStyle w:val="TableGrid1"/>
        <w:tblW w:w="0" w:type="auto"/>
        <w:tblLook w:val="04A0" w:firstRow="1" w:lastRow="0" w:firstColumn="1" w:lastColumn="0" w:noHBand="0" w:noVBand="1"/>
      </w:tblPr>
      <w:tblGrid>
        <w:gridCol w:w="495"/>
        <w:gridCol w:w="5312"/>
      </w:tblGrid>
      <w:tr w:rsidR="001D5B8E" w:rsidRPr="00953DCC" w14:paraId="57295384" w14:textId="77777777" w:rsidTr="007C231A">
        <w:trPr>
          <w:trHeight w:val="474"/>
        </w:trPr>
        <w:tc>
          <w:tcPr>
            <w:tcW w:w="495" w:type="dxa"/>
          </w:tcPr>
          <w:p w14:paraId="57295380" w14:textId="77777777" w:rsidR="007E07ED" w:rsidRPr="00953DCC" w:rsidRDefault="007E07ED" w:rsidP="007C231A">
            <w:pPr>
              <w:autoSpaceDE w:val="0"/>
              <w:autoSpaceDN w:val="0"/>
              <w:adjustRightInd w:val="0"/>
              <w:jc w:val="left"/>
              <w:rPr>
                <w:rFonts w:ascii="Calibri" w:hAnsi="Calibri" w:cs="Arial"/>
                <w:lang w:val="fr-FR"/>
              </w:rPr>
            </w:pPr>
          </w:p>
        </w:tc>
        <w:tc>
          <w:tcPr>
            <w:tcW w:w="5312" w:type="dxa"/>
          </w:tcPr>
          <w:p w14:paraId="57295381" w14:textId="77777777" w:rsidR="005F025D" w:rsidRPr="00953DCC" w:rsidRDefault="005F025D" w:rsidP="007C231A">
            <w:pPr>
              <w:autoSpaceDE w:val="0"/>
              <w:autoSpaceDN w:val="0"/>
              <w:adjustRightInd w:val="0"/>
              <w:jc w:val="left"/>
              <w:rPr>
                <w:rFonts w:ascii="Calibri" w:hAnsi="Calibri" w:cs="Arial"/>
                <w:b/>
                <w:bCs/>
                <w:lang w:val="fr-FR"/>
              </w:rPr>
            </w:pPr>
          </w:p>
          <w:p w14:paraId="57295382" w14:textId="7348FA37" w:rsidR="005F025D" w:rsidRPr="00953DCC" w:rsidRDefault="005F025D" w:rsidP="005F025D">
            <w:pPr>
              <w:autoSpaceDE w:val="0"/>
              <w:autoSpaceDN w:val="0"/>
              <w:adjustRightInd w:val="0"/>
              <w:jc w:val="left"/>
              <w:rPr>
                <w:rFonts w:ascii="Calibri" w:hAnsi="Calibri" w:cs="Arial"/>
                <w:b/>
                <w:bCs/>
                <w:lang w:val="fr-FR"/>
              </w:rPr>
            </w:pPr>
            <w:r w:rsidRPr="00953DCC">
              <w:rPr>
                <w:rFonts w:ascii="Calibri" w:hAnsi="Calibri" w:cs="Arial"/>
                <w:b/>
                <w:bCs/>
                <w:lang w:val="fr-FR"/>
              </w:rPr>
              <w:t>Comités techniques</w:t>
            </w:r>
          </w:p>
          <w:p w14:paraId="57295383" w14:textId="77777777" w:rsidR="007E07ED" w:rsidRPr="00953DCC" w:rsidRDefault="007E07ED" w:rsidP="007C231A">
            <w:pPr>
              <w:autoSpaceDE w:val="0"/>
              <w:autoSpaceDN w:val="0"/>
              <w:adjustRightInd w:val="0"/>
              <w:jc w:val="left"/>
              <w:rPr>
                <w:rFonts w:ascii="Calibri" w:hAnsi="Calibri" w:cs="Arial"/>
                <w:lang w:val="fr-FR"/>
              </w:rPr>
            </w:pPr>
          </w:p>
        </w:tc>
      </w:tr>
      <w:tr w:rsidR="001D5B8E" w:rsidRPr="007F2632" w14:paraId="57295387" w14:textId="77777777" w:rsidTr="007C231A">
        <w:tc>
          <w:tcPr>
            <w:tcW w:w="495" w:type="dxa"/>
          </w:tcPr>
          <w:p w14:paraId="57295385" w14:textId="77777777" w:rsidR="007E07ED" w:rsidRPr="00953DCC" w:rsidRDefault="007E07ED" w:rsidP="007C231A">
            <w:pPr>
              <w:autoSpaceDE w:val="0"/>
              <w:autoSpaceDN w:val="0"/>
              <w:adjustRightInd w:val="0"/>
              <w:jc w:val="left"/>
              <w:rPr>
                <w:rFonts w:ascii="Calibri" w:hAnsi="Calibri" w:cs="Arial"/>
                <w:lang w:val="fr-FR"/>
              </w:rPr>
            </w:pPr>
            <w:r w:rsidRPr="00953DCC">
              <w:rPr>
                <w:rFonts w:ascii="Calibri" w:hAnsi="Calibri" w:cs="Arial"/>
                <w:lang w:val="fr-FR"/>
              </w:rPr>
              <w:t>1.</w:t>
            </w:r>
          </w:p>
        </w:tc>
        <w:tc>
          <w:tcPr>
            <w:tcW w:w="5312" w:type="dxa"/>
          </w:tcPr>
          <w:p w14:paraId="57295386" w14:textId="57DED477" w:rsidR="007E07ED" w:rsidRPr="00953DCC" w:rsidRDefault="005F025D" w:rsidP="005F025D">
            <w:pPr>
              <w:autoSpaceDE w:val="0"/>
              <w:autoSpaceDN w:val="0"/>
              <w:adjustRightInd w:val="0"/>
              <w:jc w:val="left"/>
              <w:rPr>
                <w:rFonts w:ascii="Calibri" w:hAnsi="Calibri" w:cs="Arial"/>
                <w:lang w:val="fr-FR"/>
              </w:rPr>
            </w:pPr>
            <w:r w:rsidRPr="00953DCC">
              <w:rPr>
                <w:rFonts w:ascii="Calibri" w:hAnsi="Calibri" w:cs="Arial"/>
                <w:lang w:val="fr-FR"/>
              </w:rPr>
              <w:t>Comité des technologies de pointe</w:t>
            </w:r>
          </w:p>
        </w:tc>
      </w:tr>
      <w:tr w:rsidR="001D5B8E" w:rsidRPr="00953DCC" w14:paraId="5729538A" w14:textId="77777777" w:rsidTr="007C231A">
        <w:tc>
          <w:tcPr>
            <w:tcW w:w="495" w:type="dxa"/>
          </w:tcPr>
          <w:p w14:paraId="57295388" w14:textId="77777777" w:rsidR="007E07ED" w:rsidRPr="00953DCC" w:rsidRDefault="007E07ED" w:rsidP="007C231A">
            <w:pPr>
              <w:autoSpaceDE w:val="0"/>
              <w:autoSpaceDN w:val="0"/>
              <w:adjustRightInd w:val="0"/>
              <w:jc w:val="left"/>
              <w:rPr>
                <w:rFonts w:ascii="Calibri" w:hAnsi="Calibri" w:cs="Arial"/>
                <w:lang w:val="fr-FR"/>
              </w:rPr>
            </w:pPr>
            <w:r w:rsidRPr="00953DCC">
              <w:rPr>
                <w:rFonts w:ascii="Calibri" w:hAnsi="Calibri" w:cs="Arial"/>
                <w:lang w:val="fr-FR"/>
              </w:rPr>
              <w:t>2.</w:t>
            </w:r>
          </w:p>
        </w:tc>
        <w:tc>
          <w:tcPr>
            <w:tcW w:w="5312" w:type="dxa"/>
          </w:tcPr>
          <w:p w14:paraId="57295389" w14:textId="448E7347" w:rsidR="007E07ED" w:rsidRPr="00953DCC" w:rsidRDefault="005F025D" w:rsidP="005F025D">
            <w:pPr>
              <w:autoSpaceDE w:val="0"/>
              <w:autoSpaceDN w:val="0"/>
              <w:adjustRightInd w:val="0"/>
              <w:jc w:val="left"/>
              <w:rPr>
                <w:rFonts w:ascii="Calibri" w:hAnsi="Calibri" w:cs="Arial"/>
                <w:lang w:val="fr-FR"/>
              </w:rPr>
            </w:pPr>
            <w:r w:rsidRPr="00953DCC">
              <w:rPr>
                <w:rFonts w:ascii="Calibri" w:hAnsi="Calibri" w:cs="Arial"/>
                <w:lang w:val="fr-FR"/>
              </w:rPr>
              <w:t>Comité de l</w:t>
            </w:r>
            <w:r w:rsidR="0056301D">
              <w:rPr>
                <w:rFonts w:ascii="Calibri" w:hAnsi="Calibri" w:cs="Arial"/>
                <w:lang w:val="fr-FR"/>
              </w:rPr>
              <w:t>’</w:t>
            </w:r>
            <w:r w:rsidRPr="00953DCC">
              <w:rPr>
                <w:rFonts w:ascii="Calibri" w:hAnsi="Calibri" w:cs="Arial"/>
                <w:lang w:val="fr-FR"/>
              </w:rPr>
              <w:t>échantillonnage</w:t>
            </w:r>
          </w:p>
        </w:tc>
      </w:tr>
      <w:tr w:rsidR="001D5B8E" w:rsidRPr="007F2632" w14:paraId="5729538D" w14:textId="77777777" w:rsidTr="007C231A">
        <w:tc>
          <w:tcPr>
            <w:tcW w:w="495" w:type="dxa"/>
          </w:tcPr>
          <w:p w14:paraId="5729538B" w14:textId="77777777" w:rsidR="007E07ED" w:rsidRPr="00953DCC" w:rsidRDefault="007E07ED" w:rsidP="007C231A">
            <w:pPr>
              <w:autoSpaceDE w:val="0"/>
              <w:autoSpaceDN w:val="0"/>
              <w:adjustRightInd w:val="0"/>
              <w:jc w:val="left"/>
              <w:rPr>
                <w:rFonts w:ascii="Calibri" w:hAnsi="Calibri" w:cs="Arial"/>
                <w:lang w:val="fr-FR"/>
              </w:rPr>
            </w:pPr>
            <w:r w:rsidRPr="00953DCC">
              <w:rPr>
                <w:rFonts w:ascii="Calibri" w:hAnsi="Calibri" w:cs="Arial"/>
                <w:lang w:val="fr-FR"/>
              </w:rPr>
              <w:t>3.</w:t>
            </w:r>
          </w:p>
        </w:tc>
        <w:tc>
          <w:tcPr>
            <w:tcW w:w="5312" w:type="dxa"/>
          </w:tcPr>
          <w:p w14:paraId="5729538C" w14:textId="39EB6605" w:rsidR="007E07ED" w:rsidRPr="00953DCC" w:rsidRDefault="005F025D" w:rsidP="005F025D">
            <w:pPr>
              <w:autoSpaceDE w:val="0"/>
              <w:autoSpaceDN w:val="0"/>
              <w:adjustRightInd w:val="0"/>
              <w:jc w:val="left"/>
              <w:rPr>
                <w:rFonts w:ascii="Calibri" w:hAnsi="Calibri" w:cs="Arial"/>
                <w:lang w:val="fr-FR"/>
              </w:rPr>
            </w:pPr>
            <w:r w:rsidRPr="00953DCC">
              <w:rPr>
                <w:rFonts w:ascii="Calibri" w:hAnsi="Calibri" w:cs="Arial"/>
                <w:lang w:val="fr-FR"/>
              </w:rPr>
              <w:t>Comité de rédaction des sciences et technologies semencières</w:t>
            </w:r>
          </w:p>
        </w:tc>
      </w:tr>
      <w:tr w:rsidR="001D5B8E" w:rsidRPr="007F2632" w14:paraId="57295390" w14:textId="77777777" w:rsidTr="007C231A">
        <w:tc>
          <w:tcPr>
            <w:tcW w:w="495" w:type="dxa"/>
          </w:tcPr>
          <w:p w14:paraId="5729538E" w14:textId="77777777" w:rsidR="007E07ED" w:rsidRPr="00953DCC" w:rsidRDefault="007E07ED" w:rsidP="007C231A">
            <w:pPr>
              <w:autoSpaceDE w:val="0"/>
              <w:autoSpaceDN w:val="0"/>
              <w:adjustRightInd w:val="0"/>
              <w:jc w:val="left"/>
              <w:rPr>
                <w:rFonts w:ascii="Calibri" w:hAnsi="Calibri" w:cs="Arial"/>
                <w:lang w:val="fr-FR"/>
              </w:rPr>
            </w:pPr>
            <w:r w:rsidRPr="00953DCC">
              <w:rPr>
                <w:rFonts w:ascii="Calibri" w:hAnsi="Calibri" w:cs="Arial"/>
                <w:lang w:val="fr-FR"/>
              </w:rPr>
              <w:t>4.</w:t>
            </w:r>
          </w:p>
        </w:tc>
        <w:tc>
          <w:tcPr>
            <w:tcW w:w="5312" w:type="dxa"/>
          </w:tcPr>
          <w:p w14:paraId="5729538F" w14:textId="42CBB321" w:rsidR="007E07ED" w:rsidRPr="00953DCC" w:rsidRDefault="005F025D" w:rsidP="005F025D">
            <w:pPr>
              <w:autoSpaceDE w:val="0"/>
              <w:autoSpaceDN w:val="0"/>
              <w:adjustRightInd w:val="0"/>
              <w:jc w:val="left"/>
              <w:rPr>
                <w:rFonts w:ascii="Calibri" w:hAnsi="Calibri" w:cs="Arial"/>
                <w:lang w:val="fr-FR"/>
              </w:rPr>
            </w:pPr>
            <w:r w:rsidRPr="00953DCC">
              <w:rPr>
                <w:rFonts w:ascii="Calibri" w:hAnsi="Calibri" w:cs="Arial"/>
                <w:lang w:val="fr-FR"/>
              </w:rPr>
              <w:t>Comité des essais de semences florales</w:t>
            </w:r>
          </w:p>
        </w:tc>
      </w:tr>
      <w:tr w:rsidR="001D5B8E" w:rsidRPr="007F2632" w14:paraId="57295393" w14:textId="77777777" w:rsidTr="007C231A">
        <w:tc>
          <w:tcPr>
            <w:tcW w:w="495" w:type="dxa"/>
          </w:tcPr>
          <w:p w14:paraId="57295391" w14:textId="67FFD185" w:rsidR="007E07ED" w:rsidRPr="00953DCC" w:rsidRDefault="0011329B" w:rsidP="007C231A">
            <w:pPr>
              <w:autoSpaceDE w:val="0"/>
              <w:autoSpaceDN w:val="0"/>
              <w:adjustRightInd w:val="0"/>
              <w:jc w:val="left"/>
              <w:rPr>
                <w:rFonts w:ascii="Calibri" w:hAnsi="Calibri" w:cs="Arial"/>
                <w:lang w:val="fr-FR"/>
              </w:rPr>
            </w:pPr>
            <w:r>
              <w:rPr>
                <w:rFonts w:ascii="Calibri" w:hAnsi="Calibri" w:cs="Arial"/>
                <w:lang w:val="fr-FR"/>
              </w:rPr>
              <w:t>5.</w:t>
            </w:r>
          </w:p>
        </w:tc>
        <w:tc>
          <w:tcPr>
            <w:tcW w:w="5312" w:type="dxa"/>
          </w:tcPr>
          <w:p w14:paraId="57295392" w14:textId="48CC06A5" w:rsidR="007E07ED" w:rsidRPr="00953DCC" w:rsidRDefault="005F025D" w:rsidP="005F025D">
            <w:pPr>
              <w:autoSpaceDE w:val="0"/>
              <w:autoSpaceDN w:val="0"/>
              <w:adjustRightInd w:val="0"/>
              <w:jc w:val="left"/>
              <w:rPr>
                <w:rFonts w:ascii="Calibri" w:hAnsi="Calibri" w:cs="Arial"/>
                <w:lang w:val="fr-FR"/>
              </w:rPr>
            </w:pPr>
            <w:r w:rsidRPr="00953DCC">
              <w:rPr>
                <w:rFonts w:ascii="Calibri" w:hAnsi="Calibri" w:cs="Arial"/>
                <w:lang w:val="fr-FR"/>
              </w:rPr>
              <w:t>Comité des semences d</w:t>
            </w:r>
            <w:r w:rsidR="0056301D">
              <w:rPr>
                <w:rFonts w:ascii="Calibri" w:hAnsi="Calibri" w:cs="Arial"/>
                <w:lang w:val="fr-FR"/>
              </w:rPr>
              <w:t>’</w:t>
            </w:r>
            <w:r w:rsidRPr="00953DCC">
              <w:rPr>
                <w:rFonts w:ascii="Calibri" w:hAnsi="Calibri" w:cs="Arial"/>
                <w:lang w:val="fr-FR"/>
              </w:rPr>
              <w:t>arbres et d</w:t>
            </w:r>
            <w:r w:rsidR="0056301D">
              <w:rPr>
                <w:rFonts w:ascii="Calibri" w:hAnsi="Calibri" w:cs="Arial"/>
                <w:lang w:val="fr-FR"/>
              </w:rPr>
              <w:t>’</w:t>
            </w:r>
            <w:r w:rsidRPr="00953DCC">
              <w:rPr>
                <w:rFonts w:ascii="Calibri" w:hAnsi="Calibri" w:cs="Arial"/>
                <w:lang w:val="fr-FR"/>
              </w:rPr>
              <w:t>arbustes forestiers</w:t>
            </w:r>
          </w:p>
        </w:tc>
      </w:tr>
      <w:tr w:rsidR="001D5B8E" w:rsidRPr="00953DCC" w14:paraId="57295396" w14:textId="77777777" w:rsidTr="007C231A">
        <w:tc>
          <w:tcPr>
            <w:tcW w:w="495" w:type="dxa"/>
          </w:tcPr>
          <w:p w14:paraId="57295394" w14:textId="77777777" w:rsidR="007E07ED" w:rsidRPr="00953DCC" w:rsidRDefault="007E07ED" w:rsidP="007C231A">
            <w:pPr>
              <w:autoSpaceDE w:val="0"/>
              <w:autoSpaceDN w:val="0"/>
              <w:adjustRightInd w:val="0"/>
              <w:jc w:val="left"/>
              <w:rPr>
                <w:rFonts w:ascii="Calibri" w:hAnsi="Calibri" w:cs="Arial"/>
                <w:lang w:val="fr-FR"/>
              </w:rPr>
            </w:pPr>
            <w:r w:rsidRPr="00953DCC">
              <w:rPr>
                <w:rFonts w:ascii="Calibri" w:hAnsi="Calibri" w:cs="Arial"/>
                <w:lang w:val="fr-FR"/>
              </w:rPr>
              <w:t>6.</w:t>
            </w:r>
          </w:p>
        </w:tc>
        <w:tc>
          <w:tcPr>
            <w:tcW w:w="5312" w:type="dxa"/>
          </w:tcPr>
          <w:p w14:paraId="57295395" w14:textId="65CEABEE" w:rsidR="007E07ED" w:rsidRPr="00953DCC" w:rsidRDefault="005F025D" w:rsidP="005F025D">
            <w:pPr>
              <w:autoSpaceDE w:val="0"/>
              <w:autoSpaceDN w:val="0"/>
              <w:adjustRightInd w:val="0"/>
              <w:jc w:val="left"/>
              <w:rPr>
                <w:rFonts w:ascii="Calibri" w:hAnsi="Calibri" w:cs="Arial"/>
                <w:lang w:val="fr-FR"/>
              </w:rPr>
            </w:pPr>
            <w:r w:rsidRPr="00953DCC">
              <w:rPr>
                <w:rFonts w:ascii="Calibri" w:hAnsi="Calibri" w:cs="Arial"/>
                <w:lang w:val="fr-FR"/>
              </w:rPr>
              <w:t>Comité de la germination</w:t>
            </w:r>
          </w:p>
        </w:tc>
      </w:tr>
      <w:tr w:rsidR="001D5B8E" w:rsidRPr="00953DCC" w14:paraId="57295399" w14:textId="77777777" w:rsidTr="007C231A">
        <w:tc>
          <w:tcPr>
            <w:tcW w:w="495" w:type="dxa"/>
          </w:tcPr>
          <w:p w14:paraId="57295397" w14:textId="77777777" w:rsidR="007E07ED" w:rsidRPr="00953DCC" w:rsidRDefault="007E07ED" w:rsidP="007C231A">
            <w:pPr>
              <w:autoSpaceDE w:val="0"/>
              <w:autoSpaceDN w:val="0"/>
              <w:adjustRightInd w:val="0"/>
              <w:jc w:val="left"/>
              <w:rPr>
                <w:rFonts w:ascii="Calibri" w:hAnsi="Calibri" w:cs="Arial"/>
                <w:lang w:val="fr-FR"/>
              </w:rPr>
            </w:pPr>
            <w:r w:rsidRPr="00953DCC">
              <w:rPr>
                <w:rFonts w:ascii="Calibri" w:hAnsi="Calibri" w:cs="Arial"/>
                <w:lang w:val="fr-FR"/>
              </w:rPr>
              <w:t>7.</w:t>
            </w:r>
          </w:p>
        </w:tc>
        <w:tc>
          <w:tcPr>
            <w:tcW w:w="5312" w:type="dxa"/>
          </w:tcPr>
          <w:p w14:paraId="57295398" w14:textId="4C06BF61" w:rsidR="007E07ED" w:rsidRPr="00953DCC" w:rsidRDefault="005F025D" w:rsidP="005F025D">
            <w:pPr>
              <w:autoSpaceDE w:val="0"/>
              <w:autoSpaceDN w:val="0"/>
              <w:adjustRightInd w:val="0"/>
              <w:jc w:val="left"/>
              <w:rPr>
                <w:rFonts w:ascii="Calibri" w:hAnsi="Calibri" w:cs="Arial"/>
                <w:lang w:val="fr-FR"/>
              </w:rPr>
            </w:pPr>
            <w:r w:rsidRPr="00953DCC">
              <w:rPr>
                <w:rFonts w:ascii="Calibri" w:hAnsi="Calibri" w:cs="Arial"/>
                <w:lang w:val="fr-FR"/>
              </w:rPr>
              <w:t>Comité</w:t>
            </w:r>
            <w:r w:rsidR="0056301D" w:rsidRPr="00953DCC">
              <w:rPr>
                <w:rFonts w:ascii="Calibri" w:hAnsi="Calibri" w:cs="Arial"/>
                <w:lang w:val="fr-FR"/>
              </w:rPr>
              <w:t xml:space="preserve"> des</w:t>
            </w:r>
            <w:r w:rsidR="0056301D">
              <w:rPr>
                <w:rFonts w:ascii="Calibri" w:hAnsi="Calibri" w:cs="Arial"/>
                <w:lang w:val="fr-FR"/>
              </w:rPr>
              <w:t> </w:t>
            </w:r>
            <w:r w:rsidR="0056301D" w:rsidRPr="00953DCC">
              <w:rPr>
                <w:rFonts w:ascii="Calibri" w:hAnsi="Calibri" w:cs="Arial"/>
                <w:lang w:val="fr-FR"/>
              </w:rPr>
              <w:t>OGM</w:t>
            </w:r>
          </w:p>
        </w:tc>
      </w:tr>
      <w:tr w:rsidR="001D5B8E" w:rsidRPr="00953DCC" w14:paraId="5729539C" w14:textId="77777777" w:rsidTr="007C231A">
        <w:tc>
          <w:tcPr>
            <w:tcW w:w="495" w:type="dxa"/>
          </w:tcPr>
          <w:p w14:paraId="5729539A" w14:textId="77777777" w:rsidR="007E07ED" w:rsidRPr="00953DCC" w:rsidRDefault="007E07ED" w:rsidP="007C231A">
            <w:pPr>
              <w:autoSpaceDE w:val="0"/>
              <w:autoSpaceDN w:val="0"/>
              <w:adjustRightInd w:val="0"/>
              <w:jc w:val="left"/>
              <w:rPr>
                <w:rFonts w:ascii="Calibri" w:hAnsi="Calibri" w:cs="Arial"/>
                <w:lang w:val="fr-FR"/>
              </w:rPr>
            </w:pPr>
            <w:r w:rsidRPr="00953DCC">
              <w:rPr>
                <w:rFonts w:ascii="Calibri" w:hAnsi="Calibri" w:cs="Arial"/>
                <w:lang w:val="fr-FR"/>
              </w:rPr>
              <w:t>8.</w:t>
            </w:r>
          </w:p>
        </w:tc>
        <w:tc>
          <w:tcPr>
            <w:tcW w:w="5312" w:type="dxa"/>
          </w:tcPr>
          <w:p w14:paraId="5729539B" w14:textId="098DDD6B" w:rsidR="007E07ED" w:rsidRPr="00953DCC" w:rsidRDefault="005F025D" w:rsidP="005F025D">
            <w:pPr>
              <w:autoSpaceDE w:val="0"/>
              <w:autoSpaceDN w:val="0"/>
              <w:adjustRightInd w:val="0"/>
              <w:jc w:val="left"/>
              <w:rPr>
                <w:rFonts w:ascii="Calibri" w:hAnsi="Calibri" w:cs="Arial"/>
                <w:lang w:val="fr-FR"/>
              </w:rPr>
            </w:pPr>
            <w:r w:rsidRPr="00953DCC">
              <w:rPr>
                <w:rFonts w:ascii="Calibri" w:hAnsi="Calibri" w:cs="Arial"/>
                <w:lang w:val="fr-FR"/>
              </w:rPr>
              <w:t>Comité de l</w:t>
            </w:r>
            <w:r w:rsidR="0056301D">
              <w:rPr>
                <w:rFonts w:ascii="Calibri" w:hAnsi="Calibri" w:cs="Arial"/>
                <w:lang w:val="fr-FR"/>
              </w:rPr>
              <w:t>’</w:t>
            </w:r>
            <w:r w:rsidRPr="00953DCC">
              <w:rPr>
                <w:rFonts w:ascii="Calibri" w:hAnsi="Calibri" w:cs="Arial"/>
                <w:lang w:val="fr-FR"/>
              </w:rPr>
              <w:t>humidité</w:t>
            </w:r>
          </w:p>
        </w:tc>
      </w:tr>
      <w:tr w:rsidR="001D5B8E" w:rsidRPr="00953DCC" w14:paraId="5729539F" w14:textId="77777777" w:rsidTr="007C231A">
        <w:tc>
          <w:tcPr>
            <w:tcW w:w="495" w:type="dxa"/>
          </w:tcPr>
          <w:p w14:paraId="5729539D" w14:textId="77777777" w:rsidR="007E07ED" w:rsidRPr="00953DCC" w:rsidRDefault="007E07ED" w:rsidP="007C231A">
            <w:pPr>
              <w:autoSpaceDE w:val="0"/>
              <w:autoSpaceDN w:val="0"/>
              <w:adjustRightInd w:val="0"/>
              <w:jc w:val="left"/>
              <w:rPr>
                <w:rFonts w:ascii="Calibri" w:hAnsi="Calibri" w:cs="Arial"/>
                <w:lang w:val="fr-FR"/>
              </w:rPr>
            </w:pPr>
            <w:r w:rsidRPr="00953DCC">
              <w:rPr>
                <w:rFonts w:ascii="Calibri" w:hAnsi="Calibri" w:cs="Arial"/>
                <w:lang w:val="fr-FR"/>
              </w:rPr>
              <w:t>9.</w:t>
            </w:r>
          </w:p>
        </w:tc>
        <w:tc>
          <w:tcPr>
            <w:tcW w:w="5312" w:type="dxa"/>
          </w:tcPr>
          <w:p w14:paraId="5729539E" w14:textId="080F7BB9" w:rsidR="007E07ED" w:rsidRPr="00953DCC" w:rsidRDefault="005F025D" w:rsidP="005F025D">
            <w:pPr>
              <w:autoSpaceDE w:val="0"/>
              <w:autoSpaceDN w:val="0"/>
              <w:adjustRightInd w:val="0"/>
              <w:jc w:val="left"/>
              <w:rPr>
                <w:rFonts w:ascii="Calibri" w:hAnsi="Calibri" w:cs="Arial"/>
                <w:lang w:val="fr-FR"/>
              </w:rPr>
            </w:pPr>
            <w:r w:rsidRPr="00953DCC">
              <w:rPr>
                <w:rFonts w:ascii="Calibri" w:hAnsi="Calibri" w:cs="Arial"/>
                <w:lang w:val="fr-FR"/>
              </w:rPr>
              <w:t>Comité de nomenclature</w:t>
            </w:r>
          </w:p>
        </w:tc>
      </w:tr>
      <w:tr w:rsidR="001D5B8E" w:rsidRPr="007F2632" w14:paraId="572953A2" w14:textId="77777777" w:rsidTr="007C231A">
        <w:tc>
          <w:tcPr>
            <w:tcW w:w="495" w:type="dxa"/>
          </w:tcPr>
          <w:p w14:paraId="572953A0" w14:textId="77777777" w:rsidR="007E07ED" w:rsidRPr="00953DCC" w:rsidRDefault="007E07ED" w:rsidP="007C231A">
            <w:pPr>
              <w:autoSpaceDE w:val="0"/>
              <w:autoSpaceDN w:val="0"/>
              <w:adjustRightInd w:val="0"/>
              <w:jc w:val="left"/>
              <w:rPr>
                <w:rFonts w:ascii="Calibri" w:hAnsi="Calibri" w:cs="Arial"/>
                <w:lang w:val="fr-FR"/>
              </w:rPr>
            </w:pPr>
            <w:r w:rsidRPr="00953DCC">
              <w:rPr>
                <w:rFonts w:ascii="Calibri" w:hAnsi="Calibri" w:cs="Arial"/>
                <w:lang w:val="fr-FR"/>
              </w:rPr>
              <w:t>10.</w:t>
            </w:r>
          </w:p>
        </w:tc>
        <w:tc>
          <w:tcPr>
            <w:tcW w:w="5312" w:type="dxa"/>
          </w:tcPr>
          <w:p w14:paraId="572953A1" w14:textId="2A1190FE" w:rsidR="007E07ED" w:rsidRPr="00953DCC" w:rsidRDefault="005F025D" w:rsidP="005F025D">
            <w:pPr>
              <w:autoSpaceDE w:val="0"/>
              <w:autoSpaceDN w:val="0"/>
              <w:adjustRightInd w:val="0"/>
              <w:jc w:val="left"/>
              <w:rPr>
                <w:rFonts w:ascii="Calibri" w:hAnsi="Calibri" w:cs="Arial"/>
                <w:lang w:val="fr-FR"/>
              </w:rPr>
            </w:pPr>
            <w:r w:rsidRPr="00953DCC">
              <w:rPr>
                <w:rFonts w:ascii="Calibri" w:hAnsi="Calibri" w:cs="Arial"/>
                <w:lang w:val="fr-FR"/>
              </w:rPr>
              <w:t>Comité des essais de rendement</w:t>
            </w:r>
          </w:p>
        </w:tc>
      </w:tr>
      <w:tr w:rsidR="001D5B8E" w:rsidRPr="00953DCC" w14:paraId="572953A5" w14:textId="77777777" w:rsidTr="007C231A">
        <w:tc>
          <w:tcPr>
            <w:tcW w:w="495" w:type="dxa"/>
          </w:tcPr>
          <w:p w14:paraId="572953A3" w14:textId="77777777" w:rsidR="007E07ED" w:rsidRPr="00953DCC" w:rsidRDefault="007E07ED" w:rsidP="007C231A">
            <w:pPr>
              <w:autoSpaceDE w:val="0"/>
              <w:autoSpaceDN w:val="0"/>
              <w:adjustRightInd w:val="0"/>
              <w:jc w:val="left"/>
              <w:rPr>
                <w:rFonts w:ascii="Calibri" w:hAnsi="Calibri" w:cs="Arial"/>
                <w:lang w:val="fr-FR"/>
              </w:rPr>
            </w:pPr>
            <w:r w:rsidRPr="00953DCC">
              <w:rPr>
                <w:rFonts w:ascii="Calibri" w:hAnsi="Calibri" w:cs="Arial"/>
                <w:lang w:val="fr-FR"/>
              </w:rPr>
              <w:t>11.</w:t>
            </w:r>
          </w:p>
        </w:tc>
        <w:tc>
          <w:tcPr>
            <w:tcW w:w="5312" w:type="dxa"/>
          </w:tcPr>
          <w:p w14:paraId="572953A4" w14:textId="553286CB" w:rsidR="007E07ED" w:rsidRPr="00953DCC" w:rsidRDefault="005F025D" w:rsidP="005F025D">
            <w:pPr>
              <w:autoSpaceDE w:val="0"/>
              <w:autoSpaceDN w:val="0"/>
              <w:adjustRightInd w:val="0"/>
              <w:jc w:val="left"/>
              <w:rPr>
                <w:rFonts w:ascii="Calibri" w:hAnsi="Calibri" w:cs="Arial"/>
                <w:lang w:val="fr-FR"/>
              </w:rPr>
            </w:pPr>
            <w:r w:rsidRPr="00953DCC">
              <w:rPr>
                <w:rFonts w:ascii="Calibri" w:hAnsi="Calibri" w:cs="Arial"/>
                <w:lang w:val="fr-FR"/>
              </w:rPr>
              <w:t>Comité de la pureté</w:t>
            </w:r>
          </w:p>
        </w:tc>
      </w:tr>
      <w:tr w:rsidR="001D5B8E" w:rsidRPr="00953DCC" w14:paraId="572953A8" w14:textId="77777777" w:rsidTr="007C231A">
        <w:tc>
          <w:tcPr>
            <w:tcW w:w="495" w:type="dxa"/>
          </w:tcPr>
          <w:p w14:paraId="572953A6" w14:textId="77777777" w:rsidR="007E07ED" w:rsidRPr="00953DCC" w:rsidRDefault="007E07ED" w:rsidP="007C231A">
            <w:pPr>
              <w:autoSpaceDE w:val="0"/>
              <w:autoSpaceDN w:val="0"/>
              <w:adjustRightInd w:val="0"/>
              <w:jc w:val="left"/>
              <w:rPr>
                <w:rFonts w:ascii="Calibri" w:hAnsi="Calibri" w:cs="Arial"/>
                <w:lang w:val="fr-FR"/>
              </w:rPr>
            </w:pPr>
            <w:r w:rsidRPr="00953DCC">
              <w:rPr>
                <w:rFonts w:ascii="Calibri" w:hAnsi="Calibri" w:cs="Arial"/>
                <w:lang w:val="fr-FR"/>
              </w:rPr>
              <w:t>12.</w:t>
            </w:r>
          </w:p>
        </w:tc>
        <w:tc>
          <w:tcPr>
            <w:tcW w:w="5312" w:type="dxa"/>
          </w:tcPr>
          <w:p w14:paraId="572953A7" w14:textId="49CD3805" w:rsidR="007E07ED" w:rsidRPr="00953DCC" w:rsidRDefault="005F025D" w:rsidP="005F025D">
            <w:pPr>
              <w:autoSpaceDE w:val="0"/>
              <w:autoSpaceDN w:val="0"/>
              <w:adjustRightInd w:val="0"/>
              <w:jc w:val="left"/>
              <w:rPr>
                <w:rFonts w:ascii="Calibri" w:hAnsi="Calibri" w:cs="Arial"/>
                <w:lang w:val="fr-FR"/>
              </w:rPr>
            </w:pPr>
            <w:r w:rsidRPr="00953DCC">
              <w:rPr>
                <w:rFonts w:ascii="Calibri" w:hAnsi="Calibri" w:cs="Arial"/>
                <w:lang w:val="fr-FR"/>
              </w:rPr>
              <w:t>Comité des règles</w:t>
            </w:r>
          </w:p>
        </w:tc>
      </w:tr>
      <w:tr w:rsidR="001D5B8E" w:rsidRPr="007F2632" w14:paraId="572953AB" w14:textId="77777777" w:rsidTr="007C231A">
        <w:tc>
          <w:tcPr>
            <w:tcW w:w="495" w:type="dxa"/>
          </w:tcPr>
          <w:p w14:paraId="572953A9" w14:textId="77777777" w:rsidR="007E07ED" w:rsidRPr="00953DCC" w:rsidRDefault="007E07ED" w:rsidP="007C231A">
            <w:pPr>
              <w:autoSpaceDE w:val="0"/>
              <w:autoSpaceDN w:val="0"/>
              <w:adjustRightInd w:val="0"/>
              <w:jc w:val="left"/>
              <w:rPr>
                <w:rFonts w:ascii="Calibri" w:hAnsi="Calibri" w:cs="Arial"/>
                <w:lang w:val="fr-FR"/>
              </w:rPr>
            </w:pPr>
            <w:r w:rsidRPr="00953DCC">
              <w:rPr>
                <w:rFonts w:ascii="Calibri" w:hAnsi="Calibri" w:cs="Arial"/>
                <w:lang w:val="fr-FR"/>
              </w:rPr>
              <w:t>13.</w:t>
            </w:r>
          </w:p>
        </w:tc>
        <w:tc>
          <w:tcPr>
            <w:tcW w:w="5312" w:type="dxa"/>
          </w:tcPr>
          <w:p w14:paraId="572953AA" w14:textId="2065E68A" w:rsidR="007E07ED" w:rsidRPr="00953DCC" w:rsidRDefault="005F025D" w:rsidP="005F025D">
            <w:pPr>
              <w:autoSpaceDE w:val="0"/>
              <w:autoSpaceDN w:val="0"/>
              <w:adjustRightInd w:val="0"/>
              <w:jc w:val="left"/>
              <w:rPr>
                <w:rFonts w:ascii="Calibri" w:hAnsi="Calibri" w:cs="Arial"/>
                <w:lang w:val="fr-FR"/>
              </w:rPr>
            </w:pPr>
            <w:r w:rsidRPr="00953DCC">
              <w:rPr>
                <w:rFonts w:ascii="Calibri" w:hAnsi="Calibri" w:cs="Arial"/>
                <w:lang w:val="fr-FR"/>
              </w:rPr>
              <w:t>Comité de la santé des semences</w:t>
            </w:r>
          </w:p>
        </w:tc>
      </w:tr>
      <w:tr w:rsidR="001D5B8E" w:rsidRPr="007F2632" w14:paraId="572953AE" w14:textId="77777777" w:rsidTr="007C231A">
        <w:tc>
          <w:tcPr>
            <w:tcW w:w="495" w:type="dxa"/>
          </w:tcPr>
          <w:p w14:paraId="572953AC" w14:textId="77777777" w:rsidR="007E07ED" w:rsidRPr="00953DCC" w:rsidRDefault="007E07ED" w:rsidP="007C231A">
            <w:pPr>
              <w:autoSpaceDE w:val="0"/>
              <w:autoSpaceDN w:val="0"/>
              <w:adjustRightInd w:val="0"/>
              <w:jc w:val="left"/>
              <w:rPr>
                <w:rFonts w:ascii="Calibri" w:hAnsi="Calibri" w:cs="Arial"/>
                <w:lang w:val="fr-FR"/>
              </w:rPr>
            </w:pPr>
            <w:r w:rsidRPr="00953DCC">
              <w:rPr>
                <w:rFonts w:ascii="Calibri" w:hAnsi="Calibri" w:cs="Arial"/>
                <w:lang w:val="fr-FR"/>
              </w:rPr>
              <w:t>14.</w:t>
            </w:r>
          </w:p>
        </w:tc>
        <w:tc>
          <w:tcPr>
            <w:tcW w:w="5312" w:type="dxa"/>
          </w:tcPr>
          <w:p w14:paraId="572953AD" w14:textId="77777777" w:rsidR="007E07ED" w:rsidRPr="00953DCC" w:rsidRDefault="005F025D" w:rsidP="005F025D">
            <w:pPr>
              <w:autoSpaceDE w:val="0"/>
              <w:autoSpaceDN w:val="0"/>
              <w:adjustRightInd w:val="0"/>
              <w:jc w:val="left"/>
              <w:rPr>
                <w:rFonts w:ascii="Calibri" w:hAnsi="Calibri" w:cs="Arial"/>
                <w:lang w:val="fr-FR"/>
              </w:rPr>
            </w:pPr>
            <w:r w:rsidRPr="00953DCC">
              <w:rPr>
                <w:rFonts w:ascii="Calibri" w:hAnsi="Calibri" w:cs="Arial"/>
                <w:lang w:val="fr-FR"/>
              </w:rPr>
              <w:t>Groupe consultatif sur la science des semences</w:t>
            </w:r>
          </w:p>
        </w:tc>
      </w:tr>
      <w:tr w:rsidR="001D5B8E" w:rsidRPr="00953DCC" w14:paraId="572953B1" w14:textId="77777777" w:rsidTr="007C231A">
        <w:tc>
          <w:tcPr>
            <w:tcW w:w="495" w:type="dxa"/>
          </w:tcPr>
          <w:p w14:paraId="572953AF" w14:textId="77777777" w:rsidR="007E07ED" w:rsidRPr="00953DCC" w:rsidRDefault="007E07ED" w:rsidP="007C231A">
            <w:pPr>
              <w:autoSpaceDE w:val="0"/>
              <w:autoSpaceDN w:val="0"/>
              <w:adjustRightInd w:val="0"/>
              <w:jc w:val="left"/>
              <w:rPr>
                <w:rFonts w:ascii="Calibri" w:hAnsi="Calibri" w:cs="Arial"/>
                <w:lang w:val="fr-FR"/>
              </w:rPr>
            </w:pPr>
            <w:r w:rsidRPr="00953DCC">
              <w:rPr>
                <w:rFonts w:ascii="Calibri" w:hAnsi="Calibri" w:cs="Arial"/>
                <w:lang w:val="fr-FR"/>
              </w:rPr>
              <w:t>15.</w:t>
            </w:r>
          </w:p>
        </w:tc>
        <w:tc>
          <w:tcPr>
            <w:tcW w:w="5312" w:type="dxa"/>
          </w:tcPr>
          <w:p w14:paraId="572953B0" w14:textId="56EE7431" w:rsidR="007E07ED" w:rsidRPr="00953DCC" w:rsidRDefault="005F025D" w:rsidP="005F025D">
            <w:pPr>
              <w:autoSpaceDE w:val="0"/>
              <w:autoSpaceDN w:val="0"/>
              <w:adjustRightInd w:val="0"/>
              <w:jc w:val="left"/>
              <w:rPr>
                <w:rFonts w:ascii="Calibri" w:hAnsi="Calibri" w:cs="Arial"/>
                <w:lang w:val="fr-FR"/>
              </w:rPr>
            </w:pPr>
            <w:r w:rsidRPr="00953DCC">
              <w:rPr>
                <w:rFonts w:ascii="Calibri" w:hAnsi="Calibri" w:cs="Arial"/>
                <w:lang w:val="fr-FR"/>
              </w:rPr>
              <w:t>Comité de statistique</w:t>
            </w:r>
          </w:p>
        </w:tc>
      </w:tr>
      <w:tr w:rsidR="001D5B8E" w:rsidRPr="007F2632" w14:paraId="572953B4" w14:textId="77777777" w:rsidTr="007C231A">
        <w:tc>
          <w:tcPr>
            <w:tcW w:w="495" w:type="dxa"/>
          </w:tcPr>
          <w:p w14:paraId="572953B2" w14:textId="77777777" w:rsidR="007E07ED" w:rsidRPr="00953DCC" w:rsidRDefault="007E07ED" w:rsidP="007C231A">
            <w:pPr>
              <w:autoSpaceDE w:val="0"/>
              <w:autoSpaceDN w:val="0"/>
              <w:adjustRightInd w:val="0"/>
              <w:jc w:val="left"/>
              <w:rPr>
                <w:rFonts w:ascii="Calibri" w:hAnsi="Calibri" w:cs="Arial"/>
                <w:lang w:val="fr-FR"/>
              </w:rPr>
            </w:pPr>
            <w:r w:rsidRPr="00953DCC">
              <w:rPr>
                <w:rFonts w:ascii="Calibri" w:hAnsi="Calibri" w:cs="Arial"/>
                <w:lang w:val="fr-FR"/>
              </w:rPr>
              <w:t>16.</w:t>
            </w:r>
          </w:p>
        </w:tc>
        <w:tc>
          <w:tcPr>
            <w:tcW w:w="5312" w:type="dxa"/>
          </w:tcPr>
          <w:p w14:paraId="572953B3" w14:textId="442F460F" w:rsidR="007E07ED" w:rsidRPr="00953DCC" w:rsidRDefault="005F025D" w:rsidP="005F025D">
            <w:pPr>
              <w:autoSpaceDE w:val="0"/>
              <w:autoSpaceDN w:val="0"/>
              <w:adjustRightInd w:val="0"/>
              <w:jc w:val="left"/>
              <w:rPr>
                <w:rFonts w:ascii="Calibri" w:hAnsi="Calibri" w:cs="Arial"/>
                <w:lang w:val="fr-FR"/>
              </w:rPr>
            </w:pPr>
            <w:r w:rsidRPr="00953DCC">
              <w:rPr>
                <w:rFonts w:ascii="Calibri" w:hAnsi="Calibri" w:cs="Arial"/>
                <w:lang w:val="fr-FR"/>
              </w:rPr>
              <w:t>Comité de la conservation des semences</w:t>
            </w:r>
          </w:p>
        </w:tc>
      </w:tr>
      <w:tr w:rsidR="001D5B8E" w:rsidRPr="00953DCC" w14:paraId="572953B7" w14:textId="77777777" w:rsidTr="007C231A">
        <w:tc>
          <w:tcPr>
            <w:tcW w:w="495" w:type="dxa"/>
          </w:tcPr>
          <w:p w14:paraId="572953B5" w14:textId="77777777" w:rsidR="007E07ED" w:rsidRPr="00953DCC" w:rsidRDefault="007E07ED" w:rsidP="007C231A">
            <w:pPr>
              <w:autoSpaceDE w:val="0"/>
              <w:autoSpaceDN w:val="0"/>
              <w:adjustRightInd w:val="0"/>
              <w:jc w:val="left"/>
              <w:rPr>
                <w:rFonts w:ascii="Calibri" w:hAnsi="Calibri" w:cs="Arial"/>
                <w:lang w:val="fr-FR"/>
              </w:rPr>
            </w:pPr>
            <w:r w:rsidRPr="00953DCC">
              <w:rPr>
                <w:rFonts w:ascii="Calibri" w:hAnsi="Calibri" w:cs="Arial"/>
                <w:lang w:val="fr-FR"/>
              </w:rPr>
              <w:t>17.</w:t>
            </w:r>
          </w:p>
        </w:tc>
        <w:tc>
          <w:tcPr>
            <w:tcW w:w="5312" w:type="dxa"/>
          </w:tcPr>
          <w:p w14:paraId="572953B6" w14:textId="209F0AC2" w:rsidR="007E07ED" w:rsidRPr="00953DCC" w:rsidRDefault="005F025D" w:rsidP="005F025D">
            <w:pPr>
              <w:autoSpaceDE w:val="0"/>
              <w:autoSpaceDN w:val="0"/>
              <w:adjustRightInd w:val="0"/>
              <w:jc w:val="left"/>
              <w:rPr>
                <w:rFonts w:ascii="Calibri" w:hAnsi="Calibri" w:cs="Arial"/>
                <w:lang w:val="fr-FR"/>
              </w:rPr>
            </w:pPr>
            <w:r w:rsidRPr="00953DCC">
              <w:rPr>
                <w:rFonts w:ascii="Calibri" w:hAnsi="Calibri" w:cs="Arial"/>
                <w:lang w:val="fr-FR"/>
              </w:rPr>
              <w:t>Comité du tétrazolium</w:t>
            </w:r>
          </w:p>
        </w:tc>
      </w:tr>
      <w:tr w:rsidR="001D5B8E" w:rsidRPr="00953DCC" w14:paraId="572953BA" w14:textId="77777777" w:rsidTr="007C231A">
        <w:tc>
          <w:tcPr>
            <w:tcW w:w="495" w:type="dxa"/>
          </w:tcPr>
          <w:p w14:paraId="572953B8" w14:textId="77777777" w:rsidR="007E07ED" w:rsidRPr="00953DCC" w:rsidRDefault="007E07ED" w:rsidP="007C231A">
            <w:pPr>
              <w:autoSpaceDE w:val="0"/>
              <w:autoSpaceDN w:val="0"/>
              <w:adjustRightInd w:val="0"/>
              <w:jc w:val="left"/>
              <w:rPr>
                <w:rFonts w:ascii="Calibri" w:hAnsi="Calibri" w:cs="Arial"/>
                <w:lang w:val="fr-FR"/>
              </w:rPr>
            </w:pPr>
            <w:r w:rsidRPr="00953DCC">
              <w:rPr>
                <w:rFonts w:ascii="Calibri" w:hAnsi="Calibri" w:cs="Arial"/>
                <w:lang w:val="fr-FR"/>
              </w:rPr>
              <w:t>18.</w:t>
            </w:r>
          </w:p>
        </w:tc>
        <w:tc>
          <w:tcPr>
            <w:tcW w:w="5312" w:type="dxa"/>
          </w:tcPr>
          <w:p w14:paraId="572953B9" w14:textId="7D50E6E6" w:rsidR="007E07ED" w:rsidRPr="00953DCC" w:rsidRDefault="005F025D" w:rsidP="005F025D">
            <w:pPr>
              <w:autoSpaceDE w:val="0"/>
              <w:autoSpaceDN w:val="0"/>
              <w:adjustRightInd w:val="0"/>
              <w:jc w:val="left"/>
              <w:rPr>
                <w:rFonts w:ascii="Calibri" w:hAnsi="Calibri" w:cs="Arial"/>
                <w:lang w:val="fr-FR"/>
              </w:rPr>
            </w:pPr>
            <w:r w:rsidRPr="00953DCC">
              <w:rPr>
                <w:rFonts w:ascii="Calibri" w:hAnsi="Calibri" w:cs="Arial"/>
                <w:lang w:val="fr-FR"/>
              </w:rPr>
              <w:t>Comité des variétés</w:t>
            </w:r>
          </w:p>
        </w:tc>
      </w:tr>
      <w:tr w:rsidR="001D5B8E" w:rsidRPr="00953DCC" w14:paraId="572953BD" w14:textId="77777777" w:rsidTr="007C231A">
        <w:tc>
          <w:tcPr>
            <w:tcW w:w="495" w:type="dxa"/>
          </w:tcPr>
          <w:p w14:paraId="572953BB" w14:textId="77777777" w:rsidR="007E07ED" w:rsidRPr="00953DCC" w:rsidRDefault="007E07ED" w:rsidP="007C231A">
            <w:pPr>
              <w:autoSpaceDE w:val="0"/>
              <w:autoSpaceDN w:val="0"/>
              <w:adjustRightInd w:val="0"/>
              <w:jc w:val="left"/>
              <w:rPr>
                <w:rFonts w:ascii="Calibri" w:hAnsi="Calibri" w:cs="Arial"/>
                <w:lang w:val="fr-FR"/>
              </w:rPr>
            </w:pPr>
            <w:r w:rsidRPr="00953DCC">
              <w:rPr>
                <w:rFonts w:ascii="Calibri" w:hAnsi="Calibri" w:cs="Arial"/>
                <w:lang w:val="fr-FR"/>
              </w:rPr>
              <w:t>19.</w:t>
            </w:r>
          </w:p>
        </w:tc>
        <w:tc>
          <w:tcPr>
            <w:tcW w:w="5312" w:type="dxa"/>
          </w:tcPr>
          <w:p w14:paraId="572953BC" w14:textId="28BF0ADF" w:rsidR="007E07ED" w:rsidRPr="00953DCC" w:rsidRDefault="005F025D" w:rsidP="005F025D">
            <w:pPr>
              <w:autoSpaceDE w:val="0"/>
              <w:autoSpaceDN w:val="0"/>
              <w:adjustRightInd w:val="0"/>
              <w:jc w:val="left"/>
              <w:rPr>
                <w:rFonts w:ascii="Calibri" w:hAnsi="Calibri" w:cs="Arial"/>
                <w:lang w:val="fr-FR"/>
              </w:rPr>
            </w:pPr>
            <w:r w:rsidRPr="00953DCC">
              <w:rPr>
                <w:rFonts w:ascii="Calibri" w:hAnsi="Calibri" w:cs="Arial"/>
                <w:lang w:val="fr-FR"/>
              </w:rPr>
              <w:t>Comité de la vigueur</w:t>
            </w:r>
          </w:p>
        </w:tc>
      </w:tr>
      <w:tr w:rsidR="001D5B8E" w:rsidRPr="007F2632" w14:paraId="572953C0" w14:textId="77777777" w:rsidTr="007C231A">
        <w:tc>
          <w:tcPr>
            <w:tcW w:w="495" w:type="dxa"/>
          </w:tcPr>
          <w:p w14:paraId="572953BE" w14:textId="77777777" w:rsidR="007E07ED" w:rsidRPr="00953DCC" w:rsidRDefault="007E07ED" w:rsidP="007C231A">
            <w:pPr>
              <w:autoSpaceDE w:val="0"/>
              <w:autoSpaceDN w:val="0"/>
              <w:adjustRightInd w:val="0"/>
              <w:jc w:val="left"/>
              <w:rPr>
                <w:rFonts w:ascii="Calibri" w:hAnsi="Calibri" w:cs="Arial"/>
                <w:lang w:val="fr-FR"/>
              </w:rPr>
            </w:pPr>
            <w:r w:rsidRPr="00953DCC">
              <w:rPr>
                <w:rFonts w:ascii="Calibri" w:hAnsi="Calibri" w:cs="Arial"/>
                <w:lang w:val="fr-FR"/>
              </w:rPr>
              <w:t>20.</w:t>
            </w:r>
          </w:p>
        </w:tc>
        <w:tc>
          <w:tcPr>
            <w:tcW w:w="5312" w:type="dxa"/>
          </w:tcPr>
          <w:p w14:paraId="572953BF" w14:textId="77777777" w:rsidR="007E07ED" w:rsidRPr="00953DCC" w:rsidRDefault="005F025D" w:rsidP="005F025D">
            <w:pPr>
              <w:autoSpaceDE w:val="0"/>
              <w:autoSpaceDN w:val="0"/>
              <w:adjustRightInd w:val="0"/>
              <w:jc w:val="left"/>
              <w:rPr>
                <w:rFonts w:ascii="Calibri" w:hAnsi="Calibri" w:cs="Arial"/>
                <w:lang w:val="fr-FR"/>
              </w:rPr>
            </w:pPr>
            <w:r w:rsidRPr="00953DCC">
              <w:rPr>
                <w:rFonts w:ascii="Calibri" w:hAnsi="Calibri" w:cs="Arial"/>
                <w:lang w:val="fr-FR"/>
              </w:rPr>
              <w:t>Groupe de travail sur les espèces sauvages</w:t>
            </w:r>
          </w:p>
        </w:tc>
      </w:tr>
    </w:tbl>
    <w:p w14:paraId="572953C1" w14:textId="77777777" w:rsidR="005F025D" w:rsidRPr="00953DCC" w:rsidRDefault="005F025D" w:rsidP="007E07ED">
      <w:pPr>
        <w:spacing w:after="160" w:line="259" w:lineRule="auto"/>
        <w:jc w:val="left"/>
        <w:rPr>
          <w:rFonts w:ascii="Calibri" w:eastAsia="Calibri" w:hAnsi="Calibri"/>
          <w:b/>
          <w:bCs/>
          <w:sz w:val="22"/>
          <w:szCs w:val="22"/>
          <w:lang w:val="fr-FR"/>
        </w:rPr>
      </w:pPr>
    </w:p>
    <w:p w14:paraId="572953C2" w14:textId="364B51FA" w:rsidR="005F025D" w:rsidRPr="00D9517D" w:rsidRDefault="005F025D" w:rsidP="005F025D">
      <w:pPr>
        <w:spacing w:after="160" w:line="259" w:lineRule="auto"/>
        <w:jc w:val="left"/>
        <w:rPr>
          <w:rFonts w:ascii="Calibri" w:eastAsia="Calibri" w:hAnsi="Calibri"/>
          <w:bCs/>
          <w:caps/>
          <w:sz w:val="22"/>
          <w:szCs w:val="22"/>
          <w:lang w:val="fr-FR"/>
        </w:rPr>
      </w:pPr>
      <w:r w:rsidRPr="00D9517D">
        <w:rPr>
          <w:rFonts w:ascii="Calibri" w:eastAsia="Calibri" w:hAnsi="Calibri"/>
          <w:bCs/>
          <w:caps/>
          <w:sz w:val="22"/>
          <w:szCs w:val="22"/>
          <w:lang w:val="fr-FR"/>
        </w:rPr>
        <w:t>Programme d</w:t>
      </w:r>
      <w:r w:rsidR="0056301D" w:rsidRPr="00D9517D">
        <w:rPr>
          <w:rFonts w:ascii="Calibri" w:eastAsia="Calibri" w:hAnsi="Calibri"/>
          <w:bCs/>
          <w:caps/>
          <w:sz w:val="22"/>
          <w:szCs w:val="22"/>
          <w:lang w:val="fr-FR"/>
        </w:rPr>
        <w:t>’</w:t>
      </w:r>
      <w:r w:rsidRPr="00D9517D">
        <w:rPr>
          <w:rFonts w:ascii="Calibri" w:eastAsia="Calibri" w:hAnsi="Calibri"/>
          <w:bCs/>
          <w:caps/>
          <w:sz w:val="22"/>
          <w:szCs w:val="22"/>
          <w:lang w:val="fr-FR"/>
        </w:rPr>
        <w:t>accréditation de l</w:t>
      </w:r>
      <w:r w:rsidR="0056301D" w:rsidRPr="00D9517D">
        <w:rPr>
          <w:rFonts w:ascii="Calibri" w:eastAsia="Calibri" w:hAnsi="Calibri"/>
          <w:bCs/>
          <w:caps/>
          <w:sz w:val="22"/>
          <w:szCs w:val="22"/>
          <w:lang w:val="fr-FR"/>
        </w:rPr>
        <w:t>’</w:t>
      </w:r>
      <w:r w:rsidRPr="00D9517D">
        <w:rPr>
          <w:rFonts w:ascii="Calibri" w:eastAsia="Calibri" w:hAnsi="Calibri"/>
          <w:bCs/>
          <w:caps/>
          <w:sz w:val="22"/>
          <w:szCs w:val="22"/>
          <w:lang w:val="fr-FR"/>
        </w:rPr>
        <w:t>ISTA</w:t>
      </w:r>
      <w:r w:rsidR="0056301D" w:rsidRPr="00D9517D">
        <w:rPr>
          <w:rFonts w:ascii="Calibri" w:eastAsia="Calibri" w:hAnsi="Calibri"/>
          <w:bCs/>
          <w:caps/>
          <w:sz w:val="22"/>
          <w:szCs w:val="22"/>
          <w:lang w:val="fr-FR"/>
        </w:rPr>
        <w:t> :</w:t>
      </w:r>
    </w:p>
    <w:p w14:paraId="572953C3" w14:textId="3395F9EE" w:rsidR="005F025D" w:rsidRPr="00953DCC" w:rsidRDefault="005F025D" w:rsidP="005F025D">
      <w:pPr>
        <w:rPr>
          <w:rFonts w:eastAsia="Calibri" w:cs="Arial"/>
          <w:lang w:val="fr-FR"/>
        </w:rPr>
      </w:pPr>
      <w:r w:rsidRPr="00953DCC">
        <w:rPr>
          <w:rFonts w:eastAsia="Calibri" w:cs="Arial"/>
          <w:lang w:val="fr-FR"/>
        </w:rPr>
        <w:t>L</w:t>
      </w:r>
      <w:r w:rsidR="0056301D">
        <w:rPr>
          <w:rFonts w:eastAsia="Calibri" w:cs="Arial"/>
          <w:lang w:val="fr-FR"/>
        </w:rPr>
        <w:t>’</w:t>
      </w:r>
      <w:r w:rsidRPr="00953DCC">
        <w:rPr>
          <w:rFonts w:eastAsia="Calibri" w:cs="Arial"/>
          <w:lang w:val="fr-FR"/>
        </w:rPr>
        <w:t>accréditation de l</w:t>
      </w:r>
      <w:r w:rsidR="0056301D">
        <w:rPr>
          <w:rFonts w:eastAsia="Calibri" w:cs="Arial"/>
          <w:lang w:val="fr-FR"/>
        </w:rPr>
        <w:t>’</w:t>
      </w:r>
      <w:r w:rsidRPr="00953DCC">
        <w:rPr>
          <w:rFonts w:eastAsia="Calibri" w:cs="Arial"/>
          <w:lang w:val="fr-FR"/>
        </w:rPr>
        <w:t>ISTA consiste à vérifier si un laboratoire est techniquement compétent pour mener des procédures d</w:t>
      </w:r>
      <w:r w:rsidR="0056301D">
        <w:rPr>
          <w:rFonts w:eastAsia="Calibri" w:cs="Arial"/>
          <w:lang w:val="fr-FR"/>
        </w:rPr>
        <w:t>’</w:t>
      </w:r>
      <w:r w:rsidRPr="00953DCC">
        <w:rPr>
          <w:rFonts w:eastAsia="Calibri" w:cs="Arial"/>
          <w:lang w:val="fr-FR"/>
        </w:rPr>
        <w:t>échantillonnage et d</w:t>
      </w:r>
      <w:r w:rsidR="0056301D">
        <w:rPr>
          <w:rFonts w:eastAsia="Calibri" w:cs="Arial"/>
          <w:lang w:val="fr-FR"/>
        </w:rPr>
        <w:t>’</w:t>
      </w:r>
      <w:r w:rsidRPr="00953DCC">
        <w:rPr>
          <w:rFonts w:eastAsia="Calibri" w:cs="Arial"/>
          <w:lang w:val="fr-FR"/>
        </w:rPr>
        <w:t>essais de semences conformément aux Règles internationales de l</w:t>
      </w:r>
      <w:r w:rsidR="0056301D">
        <w:rPr>
          <w:rFonts w:eastAsia="Calibri" w:cs="Arial"/>
          <w:lang w:val="fr-FR"/>
        </w:rPr>
        <w:t>’</w:t>
      </w:r>
      <w:r w:rsidRPr="00953DCC">
        <w:rPr>
          <w:rFonts w:eastAsia="Calibri" w:cs="Arial"/>
          <w:lang w:val="fr-FR"/>
        </w:rPr>
        <w:t>ISTA pour les essais de semenc</w:t>
      </w:r>
      <w:r w:rsidR="0011329B" w:rsidRPr="00953DCC">
        <w:rPr>
          <w:rFonts w:eastAsia="Calibri" w:cs="Arial"/>
          <w:lang w:val="fr-FR"/>
        </w:rPr>
        <w:t>es</w:t>
      </w:r>
      <w:r w:rsidR="0011329B">
        <w:rPr>
          <w:rFonts w:eastAsia="Calibri" w:cs="Arial"/>
          <w:lang w:val="fr-FR"/>
        </w:rPr>
        <w:t xml:space="preserve">.  </w:t>
      </w:r>
      <w:r w:rsidR="0011329B" w:rsidRPr="00953DCC">
        <w:rPr>
          <w:rFonts w:eastAsia="Calibri" w:cs="Arial"/>
          <w:lang w:val="fr-FR"/>
        </w:rPr>
        <w:t>Le</w:t>
      </w:r>
      <w:r w:rsidRPr="00953DCC">
        <w:rPr>
          <w:rFonts w:eastAsia="Calibri" w:cs="Arial"/>
          <w:lang w:val="fr-FR"/>
        </w:rPr>
        <w:t>s laboratoires accrédités doivent gérer un système d</w:t>
      </w:r>
      <w:r w:rsidR="0056301D">
        <w:rPr>
          <w:rFonts w:eastAsia="Calibri" w:cs="Arial"/>
          <w:lang w:val="fr-FR"/>
        </w:rPr>
        <w:t>’</w:t>
      </w:r>
      <w:r w:rsidRPr="00953DCC">
        <w:rPr>
          <w:rFonts w:eastAsia="Calibri" w:cs="Arial"/>
          <w:lang w:val="fr-FR"/>
        </w:rPr>
        <w:t>assurance qualité, remplissant les exigences de la norme</w:t>
      </w:r>
      <w:r w:rsidR="004A1CA8">
        <w:rPr>
          <w:rFonts w:eastAsia="Calibri" w:cs="Arial"/>
          <w:lang w:val="fr-FR"/>
        </w:rPr>
        <w:t> </w:t>
      </w:r>
      <w:r w:rsidRPr="00953DCC">
        <w:rPr>
          <w:rFonts w:eastAsia="Calibri" w:cs="Arial"/>
          <w:lang w:val="fr-FR"/>
        </w:rPr>
        <w:t>ISTA d</w:t>
      </w:r>
      <w:r w:rsidR="0056301D">
        <w:rPr>
          <w:rFonts w:eastAsia="Calibri" w:cs="Arial"/>
          <w:lang w:val="fr-FR"/>
        </w:rPr>
        <w:t>’</w:t>
      </w:r>
      <w:r w:rsidRPr="00953DCC">
        <w:rPr>
          <w:rFonts w:eastAsia="Calibri" w:cs="Arial"/>
          <w:lang w:val="fr-FR"/>
        </w:rPr>
        <w:t>accréditati</w:t>
      </w:r>
      <w:r w:rsidR="0011329B" w:rsidRPr="00953DCC">
        <w:rPr>
          <w:rFonts w:eastAsia="Calibri" w:cs="Arial"/>
          <w:lang w:val="fr-FR"/>
        </w:rPr>
        <w:t>on</w:t>
      </w:r>
      <w:r w:rsidR="0011329B">
        <w:rPr>
          <w:rFonts w:eastAsia="Calibri" w:cs="Arial"/>
          <w:lang w:val="fr-FR"/>
        </w:rPr>
        <w:t xml:space="preserve">.  </w:t>
      </w:r>
      <w:r w:rsidR="0011329B" w:rsidRPr="00953DCC">
        <w:rPr>
          <w:rFonts w:eastAsia="Calibri" w:cs="Arial"/>
          <w:lang w:val="fr-FR"/>
        </w:rPr>
        <w:t>L</w:t>
      </w:r>
      <w:r w:rsidR="0011329B">
        <w:rPr>
          <w:rFonts w:eastAsia="Calibri" w:cs="Arial"/>
          <w:lang w:val="fr-FR"/>
        </w:rPr>
        <w:t>’</w:t>
      </w:r>
      <w:r w:rsidR="0011329B" w:rsidRPr="00953DCC">
        <w:rPr>
          <w:rFonts w:eastAsia="Calibri" w:cs="Arial"/>
          <w:lang w:val="fr-FR"/>
        </w:rPr>
        <w:t>a</w:t>
      </w:r>
      <w:r w:rsidRPr="00953DCC">
        <w:rPr>
          <w:rFonts w:eastAsia="Calibri" w:cs="Arial"/>
          <w:lang w:val="fr-FR"/>
        </w:rPr>
        <w:t>ccréditation peut être accordée aux</w:t>
      </w:r>
      <w:r w:rsidR="0056301D">
        <w:rPr>
          <w:rFonts w:eastAsia="Calibri" w:cs="Arial"/>
          <w:lang w:val="fr-FR"/>
        </w:rPr>
        <w:t> :</w:t>
      </w:r>
    </w:p>
    <w:p w14:paraId="572953C4" w14:textId="77777777" w:rsidR="005F025D" w:rsidRPr="00953DCC" w:rsidRDefault="005F025D" w:rsidP="00D9517D">
      <w:pPr>
        <w:numPr>
          <w:ilvl w:val="0"/>
          <w:numId w:val="7"/>
        </w:numPr>
        <w:shd w:val="clear" w:color="auto" w:fill="FFFFFF"/>
        <w:tabs>
          <w:tab w:val="clear" w:pos="720"/>
          <w:tab w:val="num" w:pos="1134"/>
        </w:tabs>
        <w:spacing w:before="100" w:beforeAutospacing="1" w:after="100" w:afterAutospacing="1" w:line="259" w:lineRule="auto"/>
        <w:ind w:left="1134" w:hanging="567"/>
        <w:jc w:val="left"/>
        <w:rPr>
          <w:rFonts w:eastAsia="Calibri" w:cs="Arial"/>
          <w:lang w:val="fr-FR"/>
        </w:rPr>
      </w:pPr>
      <w:r w:rsidRPr="00953DCC">
        <w:rPr>
          <w:rFonts w:eastAsia="Calibri" w:cs="Arial"/>
          <w:lang w:val="fr-FR"/>
        </w:rPr>
        <w:t>entités effectuant uniquement des échantillonnages</w:t>
      </w:r>
    </w:p>
    <w:p w14:paraId="572953C5" w14:textId="77777777" w:rsidR="005F025D" w:rsidRPr="00953DCC" w:rsidRDefault="005F025D" w:rsidP="00D9517D">
      <w:pPr>
        <w:numPr>
          <w:ilvl w:val="0"/>
          <w:numId w:val="7"/>
        </w:numPr>
        <w:shd w:val="clear" w:color="auto" w:fill="FFFFFF"/>
        <w:tabs>
          <w:tab w:val="clear" w:pos="720"/>
          <w:tab w:val="num" w:pos="1134"/>
        </w:tabs>
        <w:spacing w:before="100" w:beforeAutospacing="1" w:after="100" w:afterAutospacing="1" w:line="259" w:lineRule="auto"/>
        <w:ind w:left="1134" w:hanging="567"/>
        <w:jc w:val="left"/>
        <w:rPr>
          <w:rFonts w:eastAsia="Calibri" w:cs="Arial"/>
          <w:lang w:val="fr-FR"/>
        </w:rPr>
      </w:pPr>
      <w:r w:rsidRPr="00953DCC">
        <w:rPr>
          <w:rFonts w:eastAsia="Calibri" w:cs="Arial"/>
          <w:lang w:val="fr-FR"/>
        </w:rPr>
        <w:t>laboratoires effectuant uniquement des essais</w:t>
      </w:r>
    </w:p>
    <w:p w14:paraId="572953C6" w14:textId="77777777" w:rsidR="005F025D" w:rsidRPr="00953DCC" w:rsidRDefault="005F025D" w:rsidP="00D9517D">
      <w:pPr>
        <w:numPr>
          <w:ilvl w:val="0"/>
          <w:numId w:val="7"/>
        </w:numPr>
        <w:shd w:val="clear" w:color="auto" w:fill="FFFFFF"/>
        <w:tabs>
          <w:tab w:val="clear" w:pos="720"/>
          <w:tab w:val="num" w:pos="1134"/>
        </w:tabs>
        <w:spacing w:before="100" w:beforeAutospacing="1" w:after="100" w:afterAutospacing="1" w:line="259" w:lineRule="auto"/>
        <w:ind w:left="1134" w:hanging="567"/>
        <w:jc w:val="left"/>
        <w:rPr>
          <w:rFonts w:eastAsia="Calibri" w:cs="Arial"/>
          <w:lang w:val="fr-FR"/>
        </w:rPr>
      </w:pPr>
      <w:r w:rsidRPr="00953DCC">
        <w:rPr>
          <w:rFonts w:eastAsia="Calibri" w:cs="Arial"/>
          <w:lang w:val="fr-FR"/>
        </w:rPr>
        <w:t>laboratoires effectuant des échantillonnages et des essais.</w:t>
      </w:r>
    </w:p>
    <w:p w14:paraId="572953C7" w14:textId="77777777" w:rsidR="005F025D" w:rsidRPr="00953DCC" w:rsidRDefault="005F025D" w:rsidP="008E521A">
      <w:pPr>
        <w:rPr>
          <w:rFonts w:eastAsia="Calibri"/>
          <w:lang w:val="fr-FR"/>
        </w:rPr>
      </w:pPr>
    </w:p>
    <w:p w14:paraId="572953C8" w14:textId="751D6625" w:rsidR="005F025D" w:rsidRPr="00D9517D" w:rsidRDefault="005F025D" w:rsidP="005F025D">
      <w:pPr>
        <w:spacing w:after="160" w:line="259" w:lineRule="auto"/>
        <w:jc w:val="left"/>
        <w:rPr>
          <w:rFonts w:eastAsia="Calibri" w:cs="Arial"/>
          <w:bCs/>
          <w:lang w:val="fr-FR"/>
        </w:rPr>
      </w:pPr>
      <w:r w:rsidRPr="00D9517D">
        <w:rPr>
          <w:rFonts w:eastAsia="Calibri" w:cs="Arial"/>
          <w:bCs/>
          <w:lang w:val="fr-FR"/>
        </w:rPr>
        <w:t>LES CERTIFICATS DE L</w:t>
      </w:r>
      <w:r w:rsidR="0056301D" w:rsidRPr="00D9517D">
        <w:rPr>
          <w:rFonts w:eastAsia="Calibri" w:cs="Arial"/>
          <w:bCs/>
          <w:lang w:val="fr-FR"/>
        </w:rPr>
        <w:t>’</w:t>
      </w:r>
      <w:r w:rsidRPr="00D9517D">
        <w:rPr>
          <w:rFonts w:eastAsia="Calibri" w:cs="Arial"/>
          <w:bCs/>
          <w:lang w:val="fr-FR"/>
        </w:rPr>
        <w:t>ISTA</w:t>
      </w:r>
      <w:r w:rsidR="0056301D" w:rsidRPr="00D9517D">
        <w:rPr>
          <w:rFonts w:eastAsia="Calibri" w:cs="Arial"/>
          <w:bCs/>
          <w:lang w:val="fr-FR"/>
        </w:rPr>
        <w:t> :</w:t>
      </w:r>
      <w:r w:rsidRPr="00D9517D">
        <w:rPr>
          <w:rFonts w:eastAsia="Calibri" w:cs="Arial"/>
          <w:bCs/>
          <w:lang w:val="fr-FR"/>
        </w:rPr>
        <w:t xml:space="preserve"> UN PASSEPORT POUR LE COMMERCE INTERNATIONAL DES SEMENCES</w:t>
      </w:r>
    </w:p>
    <w:p w14:paraId="572953C9" w14:textId="2055EB25" w:rsidR="005F025D" w:rsidRPr="00953DCC" w:rsidRDefault="005F025D" w:rsidP="005F025D">
      <w:pPr>
        <w:spacing w:after="160" w:line="259" w:lineRule="auto"/>
        <w:rPr>
          <w:rFonts w:eastAsia="Calibri" w:cs="Arial"/>
          <w:lang w:val="fr-FR"/>
        </w:rPr>
      </w:pPr>
      <w:r w:rsidRPr="00953DCC">
        <w:rPr>
          <w:rFonts w:eastAsia="Calibri" w:cs="Arial"/>
          <w:lang w:val="fr-FR"/>
        </w:rPr>
        <w:t>Seuls les laboratoires agréés par l</w:t>
      </w:r>
      <w:r w:rsidR="0056301D">
        <w:rPr>
          <w:rFonts w:eastAsia="Calibri" w:cs="Arial"/>
          <w:lang w:val="fr-FR"/>
        </w:rPr>
        <w:t>’</w:t>
      </w:r>
      <w:r w:rsidRPr="00953DCC">
        <w:rPr>
          <w:rFonts w:eastAsia="Calibri" w:cs="Arial"/>
          <w:lang w:val="fr-FR"/>
        </w:rPr>
        <w:t>ISTA sont autorisés à délivrer des certificats de l</w:t>
      </w:r>
      <w:r w:rsidR="0056301D">
        <w:rPr>
          <w:rFonts w:eastAsia="Calibri" w:cs="Arial"/>
          <w:lang w:val="fr-FR"/>
        </w:rPr>
        <w:t>’</w:t>
      </w:r>
      <w:r w:rsidRPr="00953DCC">
        <w:rPr>
          <w:rFonts w:eastAsia="Calibri" w:cs="Arial"/>
          <w:lang w:val="fr-FR"/>
        </w:rPr>
        <w:t>ISTA pour l</w:t>
      </w:r>
      <w:r w:rsidR="0056301D">
        <w:rPr>
          <w:rFonts w:eastAsia="Calibri" w:cs="Arial"/>
          <w:lang w:val="fr-FR"/>
        </w:rPr>
        <w:t>’</w:t>
      </w:r>
      <w:r w:rsidRPr="00953DCC">
        <w:rPr>
          <w:rFonts w:eastAsia="Calibri" w:cs="Arial"/>
          <w:lang w:val="fr-FR"/>
        </w:rPr>
        <w:t>analyse des semences.</w:t>
      </w:r>
    </w:p>
    <w:p w14:paraId="572953CA" w14:textId="030DE220" w:rsidR="005F025D" w:rsidRPr="00953DCC" w:rsidRDefault="005F025D" w:rsidP="005F025D">
      <w:pPr>
        <w:spacing w:after="160" w:line="259" w:lineRule="auto"/>
        <w:rPr>
          <w:rFonts w:eastAsia="Calibri" w:cs="Arial"/>
          <w:lang w:val="fr-FR"/>
        </w:rPr>
      </w:pPr>
      <w:r w:rsidRPr="00953DCC">
        <w:rPr>
          <w:rFonts w:eastAsia="Calibri" w:cs="Arial"/>
          <w:lang w:val="fr-FR"/>
        </w:rPr>
        <w:t>En reportant les résultats des essais de semences sur les certificats de l</w:t>
      </w:r>
      <w:r w:rsidR="0056301D">
        <w:rPr>
          <w:rFonts w:eastAsia="Calibri" w:cs="Arial"/>
          <w:lang w:val="fr-FR"/>
        </w:rPr>
        <w:t>’</w:t>
      </w:r>
      <w:r w:rsidRPr="00953DCC">
        <w:rPr>
          <w:rFonts w:eastAsia="Calibri" w:cs="Arial"/>
          <w:lang w:val="fr-FR"/>
        </w:rPr>
        <w:t>ISTA, le laboratoire qui délivre le certificat garantit que l</w:t>
      </w:r>
      <w:r w:rsidR="0056301D">
        <w:rPr>
          <w:rFonts w:eastAsia="Calibri" w:cs="Arial"/>
          <w:lang w:val="fr-FR"/>
        </w:rPr>
        <w:t>’</w:t>
      </w:r>
      <w:r w:rsidRPr="00953DCC">
        <w:rPr>
          <w:rFonts w:eastAsia="Calibri" w:cs="Arial"/>
          <w:lang w:val="fr-FR"/>
        </w:rPr>
        <w:t>échantillonnage et les essais ont été effectués conformément aux règles de l</w:t>
      </w:r>
      <w:r w:rsidR="0056301D">
        <w:rPr>
          <w:rFonts w:eastAsia="Calibri" w:cs="Arial"/>
          <w:lang w:val="fr-FR"/>
        </w:rPr>
        <w:t>’</w:t>
      </w:r>
      <w:r w:rsidRPr="00953DCC">
        <w:rPr>
          <w:rFonts w:eastAsia="Calibri" w:cs="Arial"/>
          <w:lang w:val="fr-FR"/>
        </w:rPr>
        <w:t>I</w:t>
      </w:r>
      <w:r w:rsidR="0011329B" w:rsidRPr="00953DCC">
        <w:rPr>
          <w:rFonts w:eastAsia="Calibri" w:cs="Arial"/>
          <w:lang w:val="fr-FR"/>
        </w:rPr>
        <w:t>STA</w:t>
      </w:r>
      <w:r w:rsidR="0011329B">
        <w:rPr>
          <w:rFonts w:eastAsia="Calibri" w:cs="Arial"/>
          <w:lang w:val="fr-FR"/>
        </w:rPr>
        <w:t xml:space="preserve">.  </w:t>
      </w:r>
      <w:r w:rsidR="0011329B" w:rsidRPr="00953DCC">
        <w:rPr>
          <w:rFonts w:eastAsia="Calibri" w:cs="Arial"/>
          <w:lang w:val="fr-FR"/>
        </w:rPr>
        <w:t>Le</w:t>
      </w:r>
      <w:r w:rsidRPr="00953DCC">
        <w:rPr>
          <w:rFonts w:eastAsia="Calibri" w:cs="Arial"/>
          <w:lang w:val="fr-FR"/>
        </w:rPr>
        <w:t>s certificats de l</w:t>
      </w:r>
      <w:r w:rsidR="0056301D">
        <w:rPr>
          <w:rFonts w:eastAsia="Calibri" w:cs="Arial"/>
          <w:lang w:val="fr-FR"/>
        </w:rPr>
        <w:t>’</w:t>
      </w:r>
      <w:r w:rsidRPr="00953DCC">
        <w:rPr>
          <w:rFonts w:eastAsia="Calibri" w:cs="Arial"/>
          <w:lang w:val="fr-FR"/>
        </w:rPr>
        <w:t>ISTA sont reconnus par la plupart des autorités et sont mentionnés dans les lois sur les semences de plusieurs pays.</w:t>
      </w:r>
    </w:p>
    <w:p w14:paraId="572953CB" w14:textId="0A2F59AB" w:rsidR="005F025D" w:rsidRPr="00953DCC" w:rsidRDefault="005F025D" w:rsidP="005F025D">
      <w:pPr>
        <w:spacing w:after="160" w:line="259" w:lineRule="auto"/>
        <w:rPr>
          <w:rFonts w:eastAsia="Calibri" w:cs="Arial"/>
          <w:lang w:val="fr-FR"/>
        </w:rPr>
      </w:pPr>
      <w:r w:rsidRPr="00953DCC">
        <w:rPr>
          <w:rFonts w:eastAsia="Calibri" w:cs="Arial"/>
          <w:lang w:val="fr-FR"/>
        </w:rPr>
        <w:t>Les certificats de l</w:t>
      </w:r>
      <w:r w:rsidR="0056301D">
        <w:rPr>
          <w:rFonts w:eastAsia="Calibri" w:cs="Arial"/>
          <w:lang w:val="fr-FR"/>
        </w:rPr>
        <w:t>’</w:t>
      </w:r>
      <w:r w:rsidRPr="00953DCC">
        <w:rPr>
          <w:rFonts w:eastAsia="Calibri" w:cs="Arial"/>
          <w:lang w:val="fr-FR"/>
        </w:rPr>
        <w:t>ISTA garantissent que les résultats sont reproductibles et authentiques et attestent la qualité des semences.</w:t>
      </w:r>
    </w:p>
    <w:p w14:paraId="572953CC" w14:textId="77777777" w:rsidR="005F025D" w:rsidRPr="00953DCC" w:rsidRDefault="007E07ED" w:rsidP="007E07ED">
      <w:pPr>
        <w:tabs>
          <w:tab w:val="left" w:pos="6104"/>
        </w:tabs>
        <w:spacing w:after="160" w:line="259" w:lineRule="auto"/>
        <w:jc w:val="left"/>
        <w:rPr>
          <w:rFonts w:ascii="Calibri" w:eastAsia="Calibri" w:hAnsi="Calibri"/>
          <w:sz w:val="22"/>
          <w:szCs w:val="22"/>
          <w:lang w:val="fr-FR"/>
        </w:rPr>
      </w:pPr>
      <w:r w:rsidRPr="00953DCC">
        <w:rPr>
          <w:rFonts w:ascii="Calibri" w:eastAsia="Calibri" w:hAnsi="Calibri"/>
          <w:sz w:val="22"/>
          <w:szCs w:val="22"/>
          <w:lang w:val="fr-FR"/>
        </w:rPr>
        <w:tab/>
      </w:r>
    </w:p>
    <w:p w14:paraId="572953CD" w14:textId="77777777" w:rsidR="005F025D" w:rsidRPr="00953DCC" w:rsidRDefault="007E07ED" w:rsidP="007E07ED">
      <w:pPr>
        <w:tabs>
          <w:tab w:val="left" w:pos="2434"/>
          <w:tab w:val="left" w:pos="6871"/>
        </w:tabs>
        <w:spacing w:after="160" w:line="259" w:lineRule="auto"/>
        <w:jc w:val="left"/>
        <w:rPr>
          <w:rFonts w:ascii="Calibri" w:eastAsia="Calibri" w:hAnsi="Calibri"/>
          <w:sz w:val="22"/>
          <w:szCs w:val="22"/>
          <w:lang w:val="fr-FR"/>
        </w:rPr>
      </w:pPr>
      <w:r w:rsidRPr="00953DCC">
        <w:rPr>
          <w:rFonts w:ascii="Calibri" w:eastAsia="Calibri" w:hAnsi="Calibri"/>
          <w:sz w:val="22"/>
          <w:szCs w:val="22"/>
          <w:lang w:val="fr-FR"/>
        </w:rPr>
        <w:lastRenderedPageBreak/>
        <w:tab/>
      </w:r>
      <w:r w:rsidR="00CA526F" w:rsidRPr="00953DCC">
        <w:rPr>
          <w:rFonts w:ascii="Calibri" w:eastAsia="Calibri" w:hAnsi="Calibri"/>
          <w:noProof/>
          <w:sz w:val="22"/>
          <w:szCs w:val="22"/>
        </w:rPr>
        <w:drawing>
          <wp:inline distT="0" distB="0" distL="0" distR="0" wp14:anchorId="57295453" wp14:editId="57295454">
            <wp:extent cx="4157980" cy="174371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157980" cy="1743710"/>
                    </a:xfrm>
                    <a:prstGeom prst="rect">
                      <a:avLst/>
                    </a:prstGeom>
                    <a:noFill/>
                  </pic:spPr>
                </pic:pic>
              </a:graphicData>
            </a:graphic>
          </wp:inline>
        </w:drawing>
      </w:r>
      <w:r w:rsidRPr="00953DCC">
        <w:rPr>
          <w:rFonts w:ascii="Calibri" w:eastAsia="Calibri" w:hAnsi="Calibri"/>
          <w:sz w:val="22"/>
          <w:szCs w:val="22"/>
          <w:lang w:val="fr-FR"/>
        </w:rPr>
        <w:tab/>
      </w:r>
    </w:p>
    <w:p w14:paraId="572953CE" w14:textId="77777777" w:rsidR="005F025D" w:rsidRPr="00953DCC" w:rsidRDefault="007E07ED" w:rsidP="007E07ED">
      <w:pPr>
        <w:tabs>
          <w:tab w:val="left" w:pos="7433"/>
        </w:tabs>
        <w:spacing w:after="160" w:line="259" w:lineRule="auto"/>
        <w:jc w:val="left"/>
        <w:rPr>
          <w:rFonts w:ascii="Calibri" w:eastAsia="Calibri" w:hAnsi="Calibri"/>
          <w:sz w:val="22"/>
          <w:szCs w:val="22"/>
          <w:lang w:val="fr-FR"/>
        </w:rPr>
      </w:pPr>
      <w:r w:rsidRPr="00953DCC">
        <w:rPr>
          <w:rFonts w:ascii="Calibri" w:eastAsia="Calibri" w:hAnsi="Calibri"/>
          <w:sz w:val="22"/>
          <w:szCs w:val="22"/>
          <w:lang w:val="fr-FR"/>
        </w:rPr>
        <w:tab/>
      </w:r>
    </w:p>
    <w:p w14:paraId="572953CF" w14:textId="053AD0A0" w:rsidR="005F025D" w:rsidRPr="00953DCC" w:rsidRDefault="005F025D" w:rsidP="005F025D">
      <w:pPr>
        <w:spacing w:after="160" w:line="259" w:lineRule="auto"/>
        <w:rPr>
          <w:rFonts w:eastAsia="Calibri" w:cs="Arial"/>
          <w:lang w:val="fr-FR"/>
        </w:rPr>
      </w:pPr>
      <w:r w:rsidRPr="00953DCC">
        <w:rPr>
          <w:rFonts w:eastAsia="Calibri" w:cs="Arial"/>
          <w:lang w:val="fr-FR"/>
        </w:rPr>
        <w:t>Plus de 200</w:t>
      </w:r>
      <w:r w:rsidR="00DE750F" w:rsidRPr="00953DCC">
        <w:rPr>
          <w:rFonts w:eastAsia="Calibri" w:cs="Arial"/>
          <w:lang w:val="fr-FR"/>
        </w:rPr>
        <w:t> </w:t>
      </w:r>
      <w:r w:rsidRPr="00953DCC">
        <w:rPr>
          <w:rFonts w:eastAsia="Calibri" w:cs="Arial"/>
          <w:lang w:val="fr-FR"/>
        </w:rPr>
        <w:t>000</w:t>
      </w:r>
      <w:r w:rsidR="00DE750F" w:rsidRPr="00953DCC">
        <w:rPr>
          <w:rFonts w:eastAsia="Calibri" w:cs="Arial"/>
          <w:lang w:val="fr-FR"/>
        </w:rPr>
        <w:t> </w:t>
      </w:r>
      <w:r w:rsidRPr="00953DCC">
        <w:rPr>
          <w:rFonts w:eastAsia="Calibri" w:cs="Arial"/>
          <w:lang w:val="fr-FR"/>
        </w:rPr>
        <w:t>certificats bleus et orange de l</w:t>
      </w:r>
      <w:r w:rsidR="0056301D">
        <w:rPr>
          <w:rFonts w:eastAsia="Calibri" w:cs="Arial"/>
          <w:lang w:val="fr-FR"/>
        </w:rPr>
        <w:t>’</w:t>
      </w:r>
      <w:r w:rsidRPr="00953DCC">
        <w:rPr>
          <w:rFonts w:eastAsia="Calibri" w:cs="Arial"/>
          <w:lang w:val="fr-FR"/>
        </w:rPr>
        <w:t>ISTA sont délivrés chaque année, facilitant le commerce des semences au niveau international.</w:t>
      </w:r>
    </w:p>
    <w:p w14:paraId="572953D0" w14:textId="77777777" w:rsidR="005F025D" w:rsidRPr="00953DCC" w:rsidRDefault="005F025D" w:rsidP="007E07ED">
      <w:pPr>
        <w:spacing w:line="259" w:lineRule="auto"/>
        <w:rPr>
          <w:rFonts w:eastAsia="Calibri" w:cs="Arial"/>
          <w:lang w:val="fr-FR"/>
        </w:rPr>
      </w:pPr>
    </w:p>
    <w:p w14:paraId="572953D1" w14:textId="20F8E213" w:rsidR="005F025D" w:rsidRPr="00953DCC" w:rsidRDefault="005F025D" w:rsidP="005F025D">
      <w:pPr>
        <w:keepNext/>
        <w:spacing w:after="160" w:line="259" w:lineRule="auto"/>
        <w:rPr>
          <w:rFonts w:eastAsia="Calibri" w:cs="Arial"/>
          <w:b/>
          <w:bCs/>
          <w:lang w:val="fr-FR"/>
        </w:rPr>
      </w:pPr>
      <w:r w:rsidRPr="00953DCC">
        <w:rPr>
          <w:rFonts w:eastAsia="Calibri" w:cs="Arial"/>
          <w:b/>
          <w:bCs/>
          <w:lang w:val="fr-FR"/>
        </w:rPr>
        <w:t>SITUATION DES TECHNIQUES BIOCHIMIQUES ET MOLÉCULAIRES AU SEIN DE L</w:t>
      </w:r>
      <w:r w:rsidR="0056301D">
        <w:rPr>
          <w:rFonts w:eastAsia="Calibri" w:cs="Arial"/>
          <w:b/>
          <w:bCs/>
          <w:lang w:val="fr-FR"/>
        </w:rPr>
        <w:t>’</w:t>
      </w:r>
      <w:r w:rsidRPr="00953DCC">
        <w:rPr>
          <w:rFonts w:eastAsia="Calibri" w:cs="Arial"/>
          <w:b/>
          <w:bCs/>
          <w:lang w:val="fr-FR"/>
        </w:rPr>
        <w:t>ISTA</w:t>
      </w:r>
    </w:p>
    <w:p w14:paraId="572953D2" w14:textId="207E63FF" w:rsidR="005F025D" w:rsidRPr="00953DCC" w:rsidRDefault="005F025D" w:rsidP="005F025D">
      <w:pPr>
        <w:keepLines/>
        <w:rPr>
          <w:rFonts w:eastAsia="Calibri" w:cs="Arial"/>
          <w:lang w:val="fr-FR"/>
        </w:rPr>
      </w:pPr>
      <w:r w:rsidRPr="00953DCC">
        <w:rPr>
          <w:rFonts w:eastAsia="Calibri" w:cs="Arial"/>
          <w:lang w:val="fr-FR"/>
        </w:rPr>
        <w:t>Les règles internationales de l</w:t>
      </w:r>
      <w:r w:rsidR="0056301D">
        <w:rPr>
          <w:rFonts w:eastAsia="Calibri" w:cs="Arial"/>
          <w:lang w:val="fr-FR"/>
        </w:rPr>
        <w:t>’</w:t>
      </w:r>
      <w:r w:rsidRPr="00953DCC">
        <w:rPr>
          <w:rFonts w:eastAsia="Calibri" w:cs="Arial"/>
          <w:lang w:val="fr-FR"/>
        </w:rPr>
        <w:t>ISTA pour les essais de semences incluent les techniques biochimiques et moléculaires depuis de nombreuses anné</w:t>
      </w:r>
      <w:r w:rsidR="0011329B" w:rsidRPr="00953DCC">
        <w:rPr>
          <w:rFonts w:eastAsia="Calibri" w:cs="Arial"/>
          <w:lang w:val="fr-FR"/>
        </w:rPr>
        <w:t>es</w:t>
      </w:r>
      <w:r w:rsidR="0011329B">
        <w:rPr>
          <w:rFonts w:eastAsia="Calibri" w:cs="Arial"/>
          <w:lang w:val="fr-FR"/>
        </w:rPr>
        <w:t xml:space="preserve">.  </w:t>
      </w:r>
      <w:r w:rsidR="0011329B" w:rsidRPr="00953DCC">
        <w:rPr>
          <w:rFonts w:eastAsia="Calibri" w:cs="Arial"/>
          <w:lang w:val="fr-FR"/>
        </w:rPr>
        <w:t>Le</w:t>
      </w:r>
      <w:r w:rsidRPr="00953DCC">
        <w:rPr>
          <w:rFonts w:eastAsia="Calibri" w:cs="Arial"/>
          <w:lang w:val="fr-FR"/>
        </w:rPr>
        <w:t>s techniques biochimiques et moléculaires sont par exemple acceptables pour les essais d</w:t>
      </w:r>
      <w:r w:rsidR="0056301D">
        <w:rPr>
          <w:rFonts w:eastAsia="Calibri" w:cs="Arial"/>
          <w:lang w:val="fr-FR"/>
        </w:rPr>
        <w:t>’</w:t>
      </w:r>
      <w:r w:rsidRPr="00953DCC">
        <w:rPr>
          <w:rFonts w:eastAsia="Calibri" w:cs="Arial"/>
          <w:lang w:val="fr-FR"/>
        </w:rPr>
        <w:t>OGM dans le cadre d</w:t>
      </w:r>
      <w:r w:rsidR="0056301D">
        <w:rPr>
          <w:rFonts w:eastAsia="Calibri" w:cs="Arial"/>
          <w:lang w:val="fr-FR"/>
        </w:rPr>
        <w:t>’</w:t>
      </w:r>
      <w:r w:rsidRPr="00953DCC">
        <w:rPr>
          <w:rFonts w:eastAsia="Calibri" w:cs="Arial"/>
          <w:lang w:val="fr-FR"/>
        </w:rPr>
        <w:t xml:space="preserve">une “approche axée sur la performance”; </w:t>
      </w:r>
      <w:r w:rsidR="004A1CA8">
        <w:rPr>
          <w:rFonts w:eastAsia="Calibri" w:cs="Arial"/>
          <w:lang w:val="fr-FR"/>
        </w:rPr>
        <w:t xml:space="preserve"> </w:t>
      </w:r>
      <w:r w:rsidRPr="00953DCC">
        <w:rPr>
          <w:rFonts w:eastAsia="Calibri" w:cs="Arial"/>
          <w:lang w:val="fr-FR"/>
        </w:rPr>
        <w:t>les méthodes fréquemment utilisées comprennent des analyses quantitatives et qualitatives de détection de protéines et diverses méthodes fondées sur l</w:t>
      </w:r>
      <w:r w:rsidR="0056301D">
        <w:rPr>
          <w:rFonts w:eastAsia="Calibri" w:cs="Arial"/>
          <w:lang w:val="fr-FR"/>
        </w:rPr>
        <w:t>’</w:t>
      </w:r>
      <w:r w:rsidR="0011329B" w:rsidRPr="00953DCC">
        <w:rPr>
          <w:rFonts w:eastAsia="Calibri" w:cs="Arial"/>
          <w:lang w:val="fr-FR"/>
        </w:rPr>
        <w:t>ADN</w:t>
      </w:r>
      <w:r w:rsidR="0011329B">
        <w:rPr>
          <w:rFonts w:eastAsia="Calibri" w:cs="Arial"/>
          <w:lang w:val="fr-FR"/>
        </w:rPr>
        <w:t xml:space="preserve">.  </w:t>
      </w:r>
      <w:r w:rsidR="0011329B" w:rsidRPr="00953DCC">
        <w:rPr>
          <w:rFonts w:eastAsia="Calibri" w:cs="Arial"/>
          <w:lang w:val="fr-FR"/>
        </w:rPr>
        <w:t>Le</w:t>
      </w:r>
      <w:r w:rsidRPr="00953DCC">
        <w:rPr>
          <w:rFonts w:eastAsia="Calibri" w:cs="Arial"/>
          <w:lang w:val="fr-FR"/>
        </w:rPr>
        <w:t>s techniques biochimiques et moléculaires sont utilisées comme outils de diagnostic et d</w:t>
      </w:r>
      <w:r w:rsidR="0056301D">
        <w:rPr>
          <w:rFonts w:eastAsia="Calibri" w:cs="Arial"/>
          <w:lang w:val="fr-FR"/>
        </w:rPr>
        <w:t>’</w:t>
      </w:r>
      <w:r w:rsidRPr="00953DCC">
        <w:rPr>
          <w:rFonts w:eastAsia="Calibri" w:cs="Arial"/>
          <w:lang w:val="fr-FR"/>
        </w:rPr>
        <w:t>évaluation quantitative dans les méthodes d</w:t>
      </w:r>
      <w:r w:rsidR="0056301D">
        <w:rPr>
          <w:rFonts w:eastAsia="Calibri" w:cs="Arial"/>
          <w:lang w:val="fr-FR"/>
        </w:rPr>
        <w:t>’</w:t>
      </w:r>
      <w:r w:rsidRPr="00953DCC">
        <w:rPr>
          <w:rFonts w:eastAsia="Calibri" w:cs="Arial"/>
          <w:lang w:val="fr-FR"/>
        </w:rPr>
        <w:t>essais relatifs à la santé des semenc</w:t>
      </w:r>
      <w:r w:rsidR="0011329B" w:rsidRPr="00953DCC">
        <w:rPr>
          <w:rFonts w:eastAsia="Calibri" w:cs="Arial"/>
          <w:lang w:val="fr-FR"/>
        </w:rPr>
        <w:t>es</w:t>
      </w:r>
      <w:r w:rsidR="0011329B">
        <w:rPr>
          <w:rFonts w:eastAsia="Calibri" w:cs="Arial"/>
          <w:lang w:val="fr-FR"/>
        </w:rPr>
        <w:t xml:space="preserve">.  </w:t>
      </w:r>
      <w:r w:rsidR="0011329B" w:rsidRPr="00953DCC">
        <w:rPr>
          <w:rFonts w:eastAsia="Calibri" w:cs="Arial"/>
          <w:lang w:val="fr-FR"/>
        </w:rPr>
        <w:t>Le</w:t>
      </w:r>
      <w:r w:rsidRPr="00953DCC">
        <w:rPr>
          <w:rFonts w:eastAsia="Calibri" w:cs="Arial"/>
          <w:lang w:val="fr-FR"/>
        </w:rPr>
        <w:t>s essais portant sur la vérification des espèces et des variétés font également appel aux techniques biochimiques et moléculaires en analysant les profils des protéines de réserve pour le tournesol, le maïs, l</w:t>
      </w:r>
      <w:r w:rsidR="0056301D">
        <w:rPr>
          <w:rFonts w:eastAsia="Calibri" w:cs="Arial"/>
          <w:lang w:val="fr-FR"/>
        </w:rPr>
        <w:t>’</w:t>
      </w:r>
      <w:r w:rsidRPr="00953DCC">
        <w:rPr>
          <w:rFonts w:eastAsia="Calibri" w:cs="Arial"/>
          <w:lang w:val="fr-FR"/>
        </w:rPr>
        <w:t>avoine, l</w:t>
      </w:r>
      <w:r w:rsidR="0056301D">
        <w:rPr>
          <w:rFonts w:eastAsia="Calibri" w:cs="Arial"/>
          <w:lang w:val="fr-FR"/>
        </w:rPr>
        <w:t>’</w:t>
      </w:r>
      <w:r w:rsidRPr="00953DCC">
        <w:rPr>
          <w:rFonts w:eastAsia="Calibri" w:cs="Arial"/>
          <w:lang w:val="fr-FR"/>
        </w:rPr>
        <w:t>orge, le blé, le ray</w:t>
      </w:r>
      <w:r w:rsidR="00456121">
        <w:rPr>
          <w:rFonts w:eastAsia="Calibri" w:cs="Arial"/>
          <w:lang w:val="fr-FR"/>
        </w:rPr>
        <w:noBreakHyphen/>
      </w:r>
      <w:r w:rsidRPr="00953DCC">
        <w:rPr>
          <w:rFonts w:eastAsia="Calibri" w:cs="Arial"/>
          <w:lang w:val="fr-FR"/>
        </w:rPr>
        <w:t>grass et le pois ou à l</w:t>
      </w:r>
      <w:r w:rsidR="0056301D">
        <w:rPr>
          <w:rFonts w:eastAsia="Calibri" w:cs="Arial"/>
          <w:lang w:val="fr-FR"/>
        </w:rPr>
        <w:t>’</w:t>
      </w:r>
      <w:r w:rsidRPr="00953DCC">
        <w:rPr>
          <w:rFonts w:eastAsia="Calibri" w:cs="Arial"/>
          <w:lang w:val="fr-FR"/>
        </w:rPr>
        <w:t>empreinte ADN au moyen de marqueurs moléculaires pour le maïs et le b</w:t>
      </w:r>
      <w:r w:rsidR="0011329B" w:rsidRPr="00953DCC">
        <w:rPr>
          <w:rFonts w:eastAsia="Calibri" w:cs="Arial"/>
          <w:lang w:val="fr-FR"/>
        </w:rPr>
        <w:t>lé</w:t>
      </w:r>
      <w:r w:rsidR="0011329B">
        <w:rPr>
          <w:rFonts w:eastAsia="Calibri" w:cs="Arial"/>
          <w:lang w:val="fr-FR"/>
        </w:rPr>
        <w:t xml:space="preserve">.  </w:t>
      </w:r>
      <w:r w:rsidR="0011329B" w:rsidRPr="00953DCC">
        <w:rPr>
          <w:rFonts w:eastAsia="Calibri" w:cs="Arial"/>
          <w:lang w:val="fr-FR"/>
        </w:rPr>
        <w:t>Co</w:t>
      </w:r>
      <w:r w:rsidRPr="00953DCC">
        <w:rPr>
          <w:rFonts w:eastAsia="Calibri" w:cs="Arial"/>
          <w:lang w:val="fr-FR"/>
        </w:rPr>
        <w:t>mme la polyvalence de ces méthodes augmente et que le coût de leur utilisation diminue, elles peuvent être amenées à jouer un rôle encore plus important dans les essais de semences à l</w:t>
      </w:r>
      <w:r w:rsidR="0056301D">
        <w:rPr>
          <w:rFonts w:eastAsia="Calibri" w:cs="Arial"/>
          <w:lang w:val="fr-FR"/>
        </w:rPr>
        <w:t>’</w:t>
      </w:r>
      <w:r w:rsidRPr="00953DCC">
        <w:rPr>
          <w:rFonts w:eastAsia="Calibri" w:cs="Arial"/>
          <w:lang w:val="fr-FR"/>
        </w:rPr>
        <w:t>avenir.</w:t>
      </w:r>
    </w:p>
    <w:p w14:paraId="572953D3" w14:textId="77777777" w:rsidR="005F025D" w:rsidRPr="00953DCC" w:rsidRDefault="005F025D" w:rsidP="007E07ED">
      <w:pPr>
        <w:spacing w:after="160" w:line="259" w:lineRule="auto"/>
        <w:jc w:val="left"/>
        <w:rPr>
          <w:rFonts w:eastAsia="Calibri" w:cs="Arial"/>
          <w:lang w:val="fr-FR"/>
        </w:rPr>
      </w:pPr>
    </w:p>
    <w:p w14:paraId="572953D4" w14:textId="7258EDCC" w:rsidR="005F025D" w:rsidRPr="00953DCC" w:rsidRDefault="005F025D" w:rsidP="005F025D">
      <w:pPr>
        <w:spacing w:after="160" w:line="259" w:lineRule="auto"/>
        <w:jc w:val="left"/>
        <w:rPr>
          <w:rFonts w:eastAsia="Calibri" w:cs="Arial"/>
          <w:lang w:val="fr-FR"/>
        </w:rPr>
      </w:pPr>
      <w:r w:rsidRPr="00953DCC">
        <w:rPr>
          <w:rFonts w:eastAsia="Calibri" w:cs="Arial"/>
          <w:lang w:val="fr-FR"/>
        </w:rPr>
        <w:t>Pour en savoir plus à propos de l</w:t>
      </w:r>
      <w:r w:rsidR="0056301D">
        <w:rPr>
          <w:rFonts w:eastAsia="Calibri" w:cs="Arial"/>
          <w:lang w:val="fr-FR"/>
        </w:rPr>
        <w:t>’</w:t>
      </w:r>
      <w:r w:rsidRPr="00953DCC">
        <w:rPr>
          <w:rFonts w:eastAsia="Calibri" w:cs="Arial"/>
          <w:lang w:val="fr-FR"/>
        </w:rPr>
        <w:t>ISTA, consultez notre site</w:t>
      </w:r>
      <w:r w:rsidR="004A1CA8">
        <w:rPr>
          <w:rFonts w:eastAsia="Calibri" w:cs="Arial"/>
          <w:lang w:val="fr-FR"/>
        </w:rPr>
        <w:t> </w:t>
      </w:r>
      <w:r w:rsidRPr="00953DCC">
        <w:rPr>
          <w:rFonts w:eastAsia="Calibri" w:cs="Arial"/>
          <w:lang w:val="fr-FR"/>
        </w:rPr>
        <w:t>Web</w:t>
      </w:r>
      <w:r w:rsidR="0056301D">
        <w:rPr>
          <w:rFonts w:eastAsia="Calibri" w:cs="Arial"/>
          <w:lang w:val="fr-FR"/>
        </w:rPr>
        <w:t> :</w:t>
      </w:r>
      <w:r w:rsidRPr="00953DCC">
        <w:rPr>
          <w:rFonts w:eastAsia="Calibri" w:cs="Arial"/>
          <w:lang w:val="fr-FR"/>
        </w:rPr>
        <w:t xml:space="preserve"> www.seedtest.org</w:t>
      </w:r>
    </w:p>
    <w:p w14:paraId="572953D5" w14:textId="77777777" w:rsidR="005F025D" w:rsidRPr="00953DCC" w:rsidRDefault="005F025D" w:rsidP="007E07ED">
      <w:pPr>
        <w:rPr>
          <w:lang w:val="fr-FR"/>
        </w:rPr>
      </w:pPr>
    </w:p>
    <w:p w14:paraId="572953D6" w14:textId="77777777" w:rsidR="005F025D" w:rsidRPr="00953DCC" w:rsidRDefault="005F025D" w:rsidP="007E07ED">
      <w:pPr>
        <w:jc w:val="left"/>
        <w:rPr>
          <w:lang w:val="fr-FR"/>
        </w:rPr>
      </w:pPr>
    </w:p>
    <w:p w14:paraId="572953D7" w14:textId="77777777" w:rsidR="005F025D" w:rsidRPr="00953DCC" w:rsidRDefault="005F025D" w:rsidP="007E07ED">
      <w:pPr>
        <w:rPr>
          <w:lang w:val="fr-FR"/>
        </w:rPr>
      </w:pPr>
    </w:p>
    <w:p w14:paraId="572953D8" w14:textId="42A43816" w:rsidR="005F025D" w:rsidRPr="00953DCC" w:rsidRDefault="005F025D" w:rsidP="005F025D">
      <w:pPr>
        <w:jc w:val="right"/>
        <w:rPr>
          <w:lang w:val="fr-FR"/>
        </w:rPr>
      </w:pPr>
      <w:r w:rsidRPr="00953DCC">
        <w:rPr>
          <w:lang w:val="fr-FR"/>
        </w:rPr>
        <w:t>[L</w:t>
      </w:r>
      <w:r w:rsidR="0056301D">
        <w:rPr>
          <w:lang w:val="fr-FR"/>
        </w:rPr>
        <w:t>’</w:t>
      </w:r>
      <w:r w:rsidR="0056301D" w:rsidRPr="00953DCC">
        <w:rPr>
          <w:lang w:val="fr-FR"/>
        </w:rPr>
        <w:t>annexe</w:t>
      </w:r>
      <w:r w:rsidR="0056301D">
        <w:rPr>
          <w:lang w:val="fr-FR"/>
        </w:rPr>
        <w:t> </w:t>
      </w:r>
      <w:r w:rsidR="0056301D" w:rsidRPr="00953DCC">
        <w:rPr>
          <w:lang w:val="fr-FR"/>
        </w:rPr>
        <w:t>I</w:t>
      </w:r>
      <w:r w:rsidRPr="00953DCC">
        <w:rPr>
          <w:lang w:val="fr-FR"/>
        </w:rPr>
        <w:t>I suit]</w:t>
      </w:r>
    </w:p>
    <w:p w14:paraId="572953D9" w14:textId="77777777" w:rsidR="007E07ED" w:rsidRPr="00953DCC" w:rsidRDefault="007E07ED" w:rsidP="007E07ED">
      <w:pPr>
        <w:jc w:val="left"/>
        <w:rPr>
          <w:lang w:val="fr-FR"/>
        </w:rPr>
        <w:sectPr w:rsidR="007E07ED" w:rsidRPr="00953DCC" w:rsidSect="009060D0">
          <w:headerReference w:type="even" r:id="rId17"/>
          <w:headerReference w:type="default" r:id="rId18"/>
          <w:footerReference w:type="even" r:id="rId19"/>
          <w:footerReference w:type="default" r:id="rId20"/>
          <w:headerReference w:type="first" r:id="rId21"/>
          <w:footerReference w:type="first" r:id="rId22"/>
          <w:pgSz w:w="11907" w:h="16840" w:code="9"/>
          <w:pgMar w:top="510" w:right="1134" w:bottom="1134" w:left="1134" w:header="510" w:footer="680" w:gutter="0"/>
          <w:pgNumType w:start="1"/>
          <w:cols w:space="720"/>
          <w:titlePg/>
        </w:sectPr>
      </w:pPr>
    </w:p>
    <w:p w14:paraId="572953DA" w14:textId="2FE3EE20" w:rsidR="005F025D" w:rsidRPr="00953DCC" w:rsidRDefault="005F025D" w:rsidP="005F025D">
      <w:pPr>
        <w:jc w:val="center"/>
        <w:rPr>
          <w:u w:val="single"/>
          <w:lang w:val="fr-FR"/>
        </w:rPr>
      </w:pPr>
      <w:r w:rsidRPr="00953DCC">
        <w:rPr>
          <w:u w:val="single"/>
          <w:lang w:val="fr-FR"/>
        </w:rPr>
        <w:lastRenderedPageBreak/>
        <w:t>ENQUÊTE, PAR PLANTE, SUR L</w:t>
      </w:r>
      <w:r w:rsidR="0056301D">
        <w:rPr>
          <w:u w:val="single"/>
          <w:lang w:val="fr-FR"/>
        </w:rPr>
        <w:t>’</w:t>
      </w:r>
      <w:r w:rsidRPr="00953DCC">
        <w:rPr>
          <w:u w:val="single"/>
          <w:lang w:val="fr-FR"/>
        </w:rPr>
        <w:t>UTILISATION DES TECHNIQUES FAISANT INTERVENIR DES MARQUEURS MOLÉCULAIRES</w:t>
      </w:r>
    </w:p>
    <w:p w14:paraId="572953DB" w14:textId="77777777" w:rsidR="005F025D" w:rsidRPr="00953DCC" w:rsidRDefault="005F025D" w:rsidP="002A5011">
      <w:pPr>
        <w:rPr>
          <w:lang w:val="fr-FR"/>
        </w:rPr>
      </w:pPr>
    </w:p>
    <w:p w14:paraId="572953DC" w14:textId="77777777" w:rsidR="005F025D" w:rsidRPr="00953DCC" w:rsidRDefault="005F025D" w:rsidP="002A5011">
      <w:pPr>
        <w:rPr>
          <w:snapToGrid w:val="0"/>
          <w:lang w:val="fr-FR"/>
        </w:rPr>
      </w:pPr>
    </w:p>
    <w:p w14:paraId="572953DD" w14:textId="77777777" w:rsidR="005F025D" w:rsidRPr="00953DCC" w:rsidRDefault="005F025D" w:rsidP="002A5011">
      <w:pPr>
        <w:rPr>
          <w:snapToGrid w:val="0"/>
          <w:lang w:val="fr-FR"/>
        </w:rPr>
      </w:pPr>
    </w:p>
    <w:p w14:paraId="572953DE" w14:textId="77777777" w:rsidR="005F025D" w:rsidRPr="00953DCC" w:rsidRDefault="005F025D" w:rsidP="005F025D">
      <w:pPr>
        <w:jc w:val="center"/>
        <w:rPr>
          <w:rFonts w:cs="Arial"/>
          <w:i/>
          <w:lang w:val="fr-FR"/>
        </w:rPr>
      </w:pPr>
      <w:r w:rsidRPr="00953DCC">
        <w:rPr>
          <w:rFonts w:cs="Arial"/>
          <w:i/>
          <w:lang w:val="fr-FR"/>
        </w:rPr>
        <w:t>Voir la feuille de calcul Excel pour toutes les réponses reçues</w:t>
      </w:r>
    </w:p>
    <w:p w14:paraId="572953DF" w14:textId="77777777" w:rsidR="005F025D" w:rsidRPr="00953DCC" w:rsidRDefault="005F025D" w:rsidP="002A5011">
      <w:pPr>
        <w:rPr>
          <w:lang w:val="fr-FR"/>
        </w:rPr>
      </w:pPr>
    </w:p>
    <w:p w14:paraId="572953E0" w14:textId="77777777" w:rsidR="005F025D" w:rsidRPr="00953DCC" w:rsidRDefault="005F025D" w:rsidP="002A5011">
      <w:pPr>
        <w:rPr>
          <w:u w:val="single"/>
          <w:lang w:val="fr-FR"/>
        </w:rPr>
      </w:pPr>
    </w:p>
    <w:p w14:paraId="572953E1" w14:textId="77777777" w:rsidR="005F025D" w:rsidRPr="00953DCC" w:rsidRDefault="005F025D" w:rsidP="002A5011">
      <w:pPr>
        <w:rPr>
          <w:u w:val="single"/>
          <w:lang w:val="fr-FR"/>
        </w:rPr>
      </w:pPr>
    </w:p>
    <w:p w14:paraId="572953E2" w14:textId="6C4D38E3" w:rsidR="005F025D" w:rsidRPr="00953DCC" w:rsidRDefault="005F025D" w:rsidP="005F025D">
      <w:pPr>
        <w:pStyle w:val="DecisionParagraphs"/>
        <w:jc w:val="right"/>
        <w:rPr>
          <w:i w:val="0"/>
          <w:lang w:val="fr-FR"/>
        </w:rPr>
      </w:pPr>
      <w:r w:rsidRPr="00953DCC">
        <w:rPr>
          <w:i w:val="0"/>
          <w:lang w:val="fr-FR"/>
        </w:rPr>
        <w:t>[L</w:t>
      </w:r>
      <w:r w:rsidR="0056301D">
        <w:rPr>
          <w:i w:val="0"/>
          <w:lang w:val="fr-FR"/>
        </w:rPr>
        <w:t>’</w:t>
      </w:r>
      <w:r w:rsidRPr="00953DCC">
        <w:rPr>
          <w:i w:val="0"/>
          <w:lang w:val="fr-FR"/>
        </w:rPr>
        <w:t>appendice de l</w:t>
      </w:r>
      <w:r w:rsidR="0056301D">
        <w:rPr>
          <w:i w:val="0"/>
          <w:lang w:val="fr-FR"/>
        </w:rPr>
        <w:t>’</w:t>
      </w:r>
      <w:r w:rsidRPr="00953DCC">
        <w:rPr>
          <w:i w:val="0"/>
          <w:lang w:val="fr-FR"/>
        </w:rPr>
        <w:t>annexe</w:t>
      </w:r>
      <w:r w:rsidR="00DE750F" w:rsidRPr="00953DCC">
        <w:rPr>
          <w:i w:val="0"/>
          <w:lang w:val="fr-FR"/>
        </w:rPr>
        <w:t> </w:t>
      </w:r>
      <w:r w:rsidRPr="00953DCC">
        <w:rPr>
          <w:i w:val="0"/>
          <w:lang w:val="fr-FR"/>
        </w:rPr>
        <w:t>II suit]</w:t>
      </w:r>
    </w:p>
    <w:p w14:paraId="572953E3" w14:textId="77777777" w:rsidR="002A5011" w:rsidRPr="00953DCC" w:rsidRDefault="002A5011" w:rsidP="00050E16">
      <w:pPr>
        <w:rPr>
          <w:snapToGrid w:val="0"/>
          <w:highlight w:val="cyan"/>
          <w:lang w:val="fr-FR"/>
        </w:rPr>
        <w:sectPr w:rsidR="002A5011" w:rsidRPr="00953DCC" w:rsidSect="0004198B">
          <w:headerReference w:type="even" r:id="rId23"/>
          <w:headerReference w:type="default" r:id="rId24"/>
          <w:footerReference w:type="even" r:id="rId25"/>
          <w:footerReference w:type="default" r:id="rId26"/>
          <w:headerReference w:type="first" r:id="rId27"/>
          <w:footerReference w:type="first" r:id="rId28"/>
          <w:pgSz w:w="11907" w:h="16840" w:code="9"/>
          <w:pgMar w:top="510" w:right="1134" w:bottom="1134" w:left="1134" w:header="510" w:footer="680" w:gutter="0"/>
          <w:pgNumType w:start="1"/>
          <w:cols w:space="720"/>
          <w:titlePg/>
        </w:sectPr>
      </w:pPr>
    </w:p>
    <w:p w14:paraId="572953E4" w14:textId="77777777" w:rsidR="005F025D" w:rsidRPr="00953DCC" w:rsidRDefault="005F025D" w:rsidP="00D72475">
      <w:pPr>
        <w:jc w:val="center"/>
        <w:rPr>
          <w:u w:val="single"/>
          <w:lang w:val="fr-FR"/>
        </w:rPr>
      </w:pPr>
    </w:p>
    <w:p w14:paraId="2DF1173E" w14:textId="77777777" w:rsidR="008673CC" w:rsidRPr="00953DCC" w:rsidRDefault="008673CC" w:rsidP="005F025D">
      <w:pPr>
        <w:rPr>
          <w:u w:val="single"/>
          <w:lang w:val="fr-FR"/>
        </w:rPr>
      </w:pPr>
    </w:p>
    <w:p w14:paraId="572953E5" w14:textId="47BDAA06" w:rsidR="005F025D" w:rsidRPr="00953DCC" w:rsidRDefault="005F025D" w:rsidP="005F025D">
      <w:pPr>
        <w:rPr>
          <w:u w:val="single"/>
          <w:lang w:val="fr-FR"/>
        </w:rPr>
      </w:pPr>
      <w:r w:rsidRPr="00953DCC">
        <w:rPr>
          <w:u w:val="single"/>
          <w:lang w:val="fr-FR"/>
        </w:rPr>
        <w:t>Réponse de l</w:t>
      </w:r>
      <w:r w:rsidR="0056301D">
        <w:rPr>
          <w:u w:val="single"/>
          <w:lang w:val="fr-FR"/>
        </w:rPr>
        <w:t>’</w:t>
      </w:r>
      <w:r w:rsidRPr="00953DCC">
        <w:rPr>
          <w:u w:val="single"/>
          <w:lang w:val="fr-FR"/>
        </w:rPr>
        <w:t>Union européenne</w:t>
      </w:r>
      <w:r w:rsidR="0056301D">
        <w:rPr>
          <w:u w:val="single"/>
          <w:lang w:val="fr-FR"/>
        </w:rPr>
        <w:t> :</w:t>
      </w:r>
    </w:p>
    <w:p w14:paraId="572953E6" w14:textId="77777777" w:rsidR="005F025D" w:rsidRPr="00953DCC" w:rsidRDefault="005F025D" w:rsidP="002A5011">
      <w:pPr>
        <w:rPr>
          <w:lang w:val="fr-FR"/>
        </w:rPr>
      </w:pPr>
    </w:p>
    <w:p w14:paraId="572953E7" w14:textId="77777777" w:rsidR="005F025D" w:rsidRPr="00953DCC" w:rsidRDefault="005F025D" w:rsidP="002A5011">
      <w:pPr>
        <w:rPr>
          <w:lang w:val="fr-FR"/>
        </w:rPr>
      </w:pPr>
    </w:p>
    <w:p w14:paraId="572953E8" w14:textId="2B8299C6" w:rsidR="005F025D" w:rsidRPr="00953DCC" w:rsidRDefault="005F025D" w:rsidP="005F025D">
      <w:pPr>
        <w:jc w:val="center"/>
        <w:rPr>
          <w:rFonts w:eastAsia="Cambria"/>
          <w:lang w:val="fr-FR"/>
        </w:rPr>
      </w:pPr>
      <w:r w:rsidRPr="00953DCC">
        <w:rPr>
          <w:rFonts w:eastAsia="Cambria"/>
          <w:lang w:val="fr-FR"/>
        </w:rPr>
        <w:t>UTILISATION DE TECHNIQUES FAISANT INTERVENIR DES MARQUEURS MOLÉCULAIRES À DES FINS D</w:t>
      </w:r>
      <w:r w:rsidR="0056301D">
        <w:rPr>
          <w:rFonts w:eastAsia="Cambria"/>
          <w:lang w:val="fr-FR"/>
        </w:rPr>
        <w:t>’</w:t>
      </w:r>
      <w:r w:rsidRPr="00953DCC">
        <w:rPr>
          <w:rFonts w:eastAsia="Cambria"/>
          <w:lang w:val="fr-FR"/>
        </w:rPr>
        <w:t>EXAMEN DHS DANS LE CADRE DE LA PROTECTION COMMUNAUTAIRE DES OBTENTIONS VÉGÉTALES</w:t>
      </w:r>
    </w:p>
    <w:p w14:paraId="572953E9" w14:textId="77777777" w:rsidR="005F025D" w:rsidRPr="00953DCC" w:rsidRDefault="005F025D" w:rsidP="002A5011">
      <w:pPr>
        <w:rPr>
          <w:rFonts w:eastAsia="Cambria"/>
          <w:lang w:val="fr-FR"/>
        </w:rPr>
      </w:pPr>
    </w:p>
    <w:p w14:paraId="572953EA" w14:textId="77777777" w:rsidR="005F025D" w:rsidRPr="00953DCC" w:rsidRDefault="005F025D" w:rsidP="002A5011">
      <w:pPr>
        <w:rPr>
          <w:rFonts w:eastAsia="Cambria"/>
          <w:lang w:val="fr-FR"/>
        </w:rPr>
      </w:pPr>
    </w:p>
    <w:p w14:paraId="572953EB" w14:textId="77777777" w:rsidR="005F025D" w:rsidRPr="00953DCC" w:rsidRDefault="005F025D" w:rsidP="005F025D">
      <w:pPr>
        <w:rPr>
          <w:rFonts w:eastAsia="Cambria"/>
          <w:u w:val="single"/>
          <w:lang w:val="fr-FR"/>
        </w:rPr>
      </w:pPr>
      <w:r w:rsidRPr="00953DCC">
        <w:rPr>
          <w:rFonts w:eastAsia="Cambria"/>
          <w:u w:val="single"/>
          <w:lang w:val="fr-FR"/>
        </w:rPr>
        <w:t>Éléments du contexte</w:t>
      </w:r>
    </w:p>
    <w:p w14:paraId="572953EC" w14:textId="77777777" w:rsidR="005F025D" w:rsidRPr="00953DCC" w:rsidRDefault="005F025D" w:rsidP="002A5011">
      <w:pPr>
        <w:rPr>
          <w:rFonts w:eastAsia="Cambria"/>
          <w:lang w:val="fr-FR"/>
        </w:rPr>
      </w:pPr>
    </w:p>
    <w:p w14:paraId="572953ED" w14:textId="3A9367BA" w:rsidR="005F025D" w:rsidRPr="00953DCC" w:rsidRDefault="005F025D" w:rsidP="005F025D">
      <w:pPr>
        <w:rPr>
          <w:rFonts w:eastAsia="Cambria"/>
          <w:lang w:val="fr-FR"/>
        </w:rPr>
      </w:pPr>
      <w:r w:rsidRPr="00953DCC">
        <w:rPr>
          <w:rFonts w:eastAsia="Cambria"/>
          <w:lang w:val="fr-FR"/>
        </w:rPr>
        <w:t>À sa cinquante</w:t>
      </w:r>
      <w:r w:rsidR="00456121">
        <w:rPr>
          <w:rFonts w:eastAsia="Cambria"/>
          <w:lang w:val="fr-FR"/>
        </w:rPr>
        <w:noBreakHyphen/>
      </w:r>
      <w:r w:rsidRPr="00953DCC">
        <w:rPr>
          <w:rFonts w:eastAsia="Cambria"/>
          <w:lang w:val="fr-FR"/>
        </w:rPr>
        <w:t>cinqu</w:t>
      </w:r>
      <w:r w:rsidR="0056301D">
        <w:rPr>
          <w:rFonts w:eastAsia="Cambria"/>
          <w:lang w:val="fr-FR"/>
        </w:rPr>
        <w:t>ième session</w:t>
      </w:r>
      <w:r w:rsidRPr="00953DCC">
        <w:rPr>
          <w:rFonts w:eastAsia="Cambria"/>
          <w:lang w:val="fr-FR"/>
        </w:rPr>
        <w:t xml:space="preserve"> tenue à Genève les</w:t>
      </w:r>
      <w:r w:rsidR="00DE750F" w:rsidRPr="00953DCC">
        <w:rPr>
          <w:rFonts w:eastAsia="Cambria"/>
          <w:lang w:val="fr-FR"/>
        </w:rPr>
        <w:t> </w:t>
      </w:r>
      <w:r w:rsidRPr="00953DCC">
        <w:rPr>
          <w:rFonts w:eastAsia="Cambria"/>
          <w:lang w:val="fr-FR"/>
        </w:rPr>
        <w:t>28 et 29</w:t>
      </w:r>
      <w:r w:rsidR="00DE750F" w:rsidRPr="00953DCC">
        <w:rPr>
          <w:rFonts w:eastAsia="Cambria"/>
          <w:lang w:val="fr-FR"/>
        </w:rPr>
        <w:t> </w:t>
      </w:r>
      <w:r w:rsidRPr="00953DCC">
        <w:rPr>
          <w:rFonts w:eastAsia="Cambria"/>
          <w:lang w:val="fr-FR"/>
        </w:rPr>
        <w:t>octobre</w:t>
      </w:r>
      <w:r w:rsidR="00DE750F" w:rsidRPr="00953DCC">
        <w:rPr>
          <w:rFonts w:eastAsia="Cambria"/>
          <w:lang w:val="fr-FR"/>
        </w:rPr>
        <w:t> </w:t>
      </w:r>
      <w:r w:rsidRPr="00953DCC">
        <w:rPr>
          <w:rFonts w:eastAsia="Cambria"/>
          <w:lang w:val="fr-FR"/>
        </w:rPr>
        <w:t>2019, le Comité technique (TC) de l</w:t>
      </w:r>
      <w:r w:rsidR="0056301D">
        <w:rPr>
          <w:rFonts w:eastAsia="Cambria"/>
          <w:lang w:val="fr-FR"/>
        </w:rPr>
        <w:t>’</w:t>
      </w:r>
      <w:r w:rsidRPr="00953DCC">
        <w:rPr>
          <w:rFonts w:eastAsia="Cambria"/>
          <w:lang w:val="fr-FR"/>
        </w:rPr>
        <w:t>UPOV est convenu d</w:t>
      </w:r>
      <w:r w:rsidR="0056301D">
        <w:rPr>
          <w:rFonts w:eastAsia="Cambria"/>
          <w:lang w:val="fr-FR"/>
        </w:rPr>
        <w:t>’</w:t>
      </w:r>
      <w:r w:rsidRPr="00953DCC">
        <w:rPr>
          <w:rFonts w:eastAsia="Cambria"/>
          <w:lang w:val="fr-FR"/>
        </w:rPr>
        <w:t>inviter les membres de l</w:t>
      </w:r>
      <w:r w:rsidR="0056301D">
        <w:rPr>
          <w:rFonts w:eastAsia="Cambria"/>
          <w:lang w:val="fr-FR"/>
        </w:rPr>
        <w:t>’</w:t>
      </w:r>
      <w:r w:rsidRPr="00953DCC">
        <w:rPr>
          <w:rFonts w:eastAsia="Cambria"/>
          <w:lang w:val="fr-FR"/>
        </w:rPr>
        <w:t>Union à répondre à une enquête afin de dresser un inventaire, par plante, de l</w:t>
      </w:r>
      <w:r w:rsidR="0056301D">
        <w:rPr>
          <w:rFonts w:eastAsia="Cambria"/>
          <w:lang w:val="fr-FR"/>
        </w:rPr>
        <w:t>’</w:t>
      </w:r>
      <w:r w:rsidRPr="00953DCC">
        <w:rPr>
          <w:rFonts w:eastAsia="Cambria"/>
          <w:lang w:val="fr-FR"/>
        </w:rPr>
        <w:t>utilisation de techniques faisant intervenir des marqueurs moléculaires, en concertation avec l</w:t>
      </w:r>
      <w:r w:rsidR="0056301D">
        <w:rPr>
          <w:rFonts w:eastAsia="Cambria"/>
          <w:lang w:val="fr-FR"/>
        </w:rPr>
        <w:t>’</w:t>
      </w:r>
      <w:r w:rsidRPr="00953DCC">
        <w:rPr>
          <w:rFonts w:eastAsia="Cambria"/>
          <w:lang w:val="fr-FR"/>
        </w:rPr>
        <w:t>OCDE (voir les paragraphes</w:t>
      </w:r>
      <w:r w:rsidR="00DE750F" w:rsidRPr="00953DCC">
        <w:rPr>
          <w:rFonts w:eastAsia="Cambria"/>
          <w:lang w:val="fr-FR"/>
        </w:rPr>
        <w:t> </w:t>
      </w:r>
      <w:r w:rsidRPr="00953DCC">
        <w:rPr>
          <w:rFonts w:eastAsia="Cambria"/>
          <w:lang w:val="fr-FR"/>
        </w:rPr>
        <w:t xml:space="preserve">184 et 185 du </w:t>
      </w:r>
      <w:r w:rsidR="0056301D" w:rsidRPr="00953DCC">
        <w:rPr>
          <w:rFonts w:eastAsia="Cambria"/>
          <w:lang w:val="fr-FR"/>
        </w:rPr>
        <w:t>document</w:t>
      </w:r>
      <w:r w:rsidR="0056301D">
        <w:rPr>
          <w:rFonts w:eastAsia="Cambria"/>
          <w:lang w:val="fr-FR"/>
        </w:rPr>
        <w:t xml:space="preserve"> TC</w:t>
      </w:r>
      <w:r w:rsidRPr="00953DCC">
        <w:rPr>
          <w:rFonts w:eastAsia="Cambria"/>
          <w:lang w:val="fr-FR"/>
        </w:rPr>
        <w:t>/55/25 “Compte rendu”).</w:t>
      </w:r>
    </w:p>
    <w:p w14:paraId="572953EE" w14:textId="77777777" w:rsidR="005F025D" w:rsidRPr="00953DCC" w:rsidRDefault="005F025D" w:rsidP="002A5011">
      <w:pPr>
        <w:rPr>
          <w:rFonts w:eastAsia="Cambria"/>
          <w:lang w:val="fr-FR"/>
        </w:rPr>
      </w:pPr>
    </w:p>
    <w:p w14:paraId="572953EF" w14:textId="396D0384" w:rsidR="005F025D" w:rsidRPr="00953DCC" w:rsidRDefault="005F025D" w:rsidP="005F025D">
      <w:pPr>
        <w:rPr>
          <w:rFonts w:eastAsia="Cambria"/>
          <w:lang w:val="fr-FR"/>
        </w:rPr>
      </w:pPr>
      <w:r w:rsidRPr="00953DCC">
        <w:rPr>
          <w:rFonts w:eastAsia="Cambria"/>
          <w:lang w:val="fr-FR"/>
        </w:rPr>
        <w:t>Les informations relatives aux techniques faisant intervenir des marqueurs moléculaires employées par les membres de l</w:t>
      </w:r>
      <w:r w:rsidR="0056301D">
        <w:rPr>
          <w:rFonts w:eastAsia="Cambria"/>
          <w:lang w:val="fr-FR"/>
        </w:rPr>
        <w:t>’</w:t>
      </w:r>
      <w:r w:rsidRPr="00953DCC">
        <w:rPr>
          <w:rFonts w:eastAsia="Cambria"/>
          <w:lang w:val="fr-FR"/>
        </w:rPr>
        <w:t>Union seront utilisées aux fins de l</w:t>
      </w:r>
      <w:r w:rsidR="0056301D">
        <w:rPr>
          <w:rFonts w:eastAsia="Cambria"/>
          <w:lang w:val="fr-FR"/>
        </w:rPr>
        <w:t>’</w:t>
      </w:r>
      <w:r w:rsidRPr="00953DCC">
        <w:rPr>
          <w:rFonts w:eastAsia="Cambria"/>
          <w:lang w:val="fr-FR"/>
        </w:rPr>
        <w:t>élaboration d</w:t>
      </w:r>
      <w:r w:rsidR="0056301D">
        <w:rPr>
          <w:rFonts w:eastAsia="Cambria"/>
          <w:lang w:val="fr-FR"/>
        </w:rPr>
        <w:t>’</w:t>
      </w:r>
      <w:r w:rsidRPr="00953DCC">
        <w:rPr>
          <w:rFonts w:eastAsia="Cambria"/>
          <w:lang w:val="fr-FR"/>
        </w:rPr>
        <w:t>un document commun UPOV/OCDE/ISTA visant à les présenter, dans un format similaire au document UPOV/INF/16 “logiciels échangeables”, sous réserve de l</w:t>
      </w:r>
      <w:r w:rsidR="0056301D">
        <w:rPr>
          <w:rFonts w:eastAsia="Cambria"/>
          <w:lang w:val="fr-FR"/>
        </w:rPr>
        <w:t>’</w:t>
      </w:r>
      <w:r w:rsidRPr="00953DCC">
        <w:rPr>
          <w:rFonts w:eastAsia="Cambria"/>
          <w:lang w:val="fr-FR"/>
        </w:rPr>
        <w:t>approbation par le Conseil et en concertation avec l</w:t>
      </w:r>
      <w:r w:rsidR="0056301D">
        <w:rPr>
          <w:rFonts w:eastAsia="Cambria"/>
          <w:lang w:val="fr-FR"/>
        </w:rPr>
        <w:t>’</w:t>
      </w:r>
      <w:r w:rsidRPr="00953DCC">
        <w:rPr>
          <w:rFonts w:eastAsia="Cambria"/>
          <w:lang w:val="fr-FR"/>
        </w:rPr>
        <w:t>OCDE et l</w:t>
      </w:r>
      <w:r w:rsidR="0056301D">
        <w:rPr>
          <w:rFonts w:eastAsia="Cambria"/>
          <w:lang w:val="fr-FR"/>
        </w:rPr>
        <w:t>’</w:t>
      </w:r>
      <w:r w:rsidRPr="00953DCC">
        <w:rPr>
          <w:rFonts w:eastAsia="Cambria"/>
          <w:lang w:val="fr-FR"/>
        </w:rPr>
        <w:t>ISTA.</w:t>
      </w:r>
    </w:p>
    <w:p w14:paraId="572953F0" w14:textId="77777777" w:rsidR="005F025D" w:rsidRPr="00953DCC" w:rsidRDefault="005F025D" w:rsidP="002A5011">
      <w:pPr>
        <w:rPr>
          <w:rFonts w:eastAsia="Cambria"/>
          <w:lang w:val="fr-FR"/>
        </w:rPr>
      </w:pPr>
    </w:p>
    <w:p w14:paraId="572953F1" w14:textId="6C2DDD22" w:rsidR="005F025D" w:rsidRPr="00953DCC" w:rsidRDefault="005F025D" w:rsidP="005F025D">
      <w:pPr>
        <w:rPr>
          <w:rFonts w:eastAsia="Cambria"/>
          <w:lang w:val="fr-FR"/>
        </w:rPr>
      </w:pPr>
      <w:r w:rsidRPr="00953DCC">
        <w:rPr>
          <w:rFonts w:eastAsia="Cambria"/>
          <w:lang w:val="fr-FR"/>
        </w:rPr>
        <w:t>Le présent document constitue la contribution de l</w:t>
      </w:r>
      <w:r w:rsidR="0056301D">
        <w:rPr>
          <w:rFonts w:eastAsia="Cambria"/>
          <w:lang w:val="fr-FR"/>
        </w:rPr>
        <w:t>’</w:t>
      </w:r>
      <w:r w:rsidRPr="00953DCC">
        <w:rPr>
          <w:rFonts w:eastAsia="Cambria"/>
          <w:lang w:val="fr-FR"/>
        </w:rPr>
        <w:t>Office communautaire des variétés végétales (OCVV) à cette enquête et, à ce titre, décrit les techniques faisant intervenir des marqueurs moléculaires qui peuvent être utilisées en matière d</w:t>
      </w:r>
      <w:r w:rsidR="0056301D">
        <w:rPr>
          <w:rFonts w:eastAsia="Cambria"/>
          <w:lang w:val="fr-FR"/>
        </w:rPr>
        <w:t>’</w:t>
      </w:r>
      <w:r w:rsidRPr="00953DCC">
        <w:rPr>
          <w:rFonts w:eastAsia="Cambria"/>
          <w:lang w:val="fr-FR"/>
        </w:rPr>
        <w:t>examen</w:t>
      </w:r>
      <w:r w:rsidR="004A1CA8">
        <w:rPr>
          <w:rFonts w:eastAsia="Cambria"/>
          <w:lang w:val="fr-FR"/>
        </w:rPr>
        <w:t> </w:t>
      </w:r>
      <w:r w:rsidRPr="00953DCC">
        <w:rPr>
          <w:rFonts w:eastAsia="Cambria"/>
          <w:lang w:val="fr-FR"/>
        </w:rPr>
        <w:t>DHS à des fins d</w:t>
      </w:r>
      <w:r w:rsidR="0056301D">
        <w:rPr>
          <w:rFonts w:eastAsia="Cambria"/>
          <w:lang w:val="fr-FR"/>
        </w:rPr>
        <w:t>’</w:t>
      </w:r>
      <w:r w:rsidRPr="00953DCC">
        <w:rPr>
          <w:rFonts w:eastAsia="Cambria"/>
          <w:lang w:val="fr-FR"/>
        </w:rPr>
        <w:t>octroi de la protection communautaire des obtentions végétales dans le cadre de la politique de l</w:t>
      </w:r>
      <w:r w:rsidR="0056301D">
        <w:rPr>
          <w:rFonts w:eastAsia="Cambria"/>
          <w:lang w:val="fr-FR"/>
        </w:rPr>
        <w:t>’</w:t>
      </w:r>
      <w:r w:rsidRPr="00953DCC">
        <w:rPr>
          <w:rFonts w:eastAsia="Cambria"/>
          <w:lang w:val="fr-FR"/>
        </w:rPr>
        <w:t>OCVV.</w:t>
      </w:r>
    </w:p>
    <w:p w14:paraId="572953F2" w14:textId="77777777" w:rsidR="005F025D" w:rsidRPr="00953DCC" w:rsidRDefault="005F025D" w:rsidP="002A5011">
      <w:pPr>
        <w:rPr>
          <w:rFonts w:eastAsia="Cambria"/>
          <w:lang w:val="fr-FR"/>
        </w:rPr>
      </w:pPr>
    </w:p>
    <w:p w14:paraId="572953F3" w14:textId="77777777" w:rsidR="005F025D" w:rsidRPr="00953DCC" w:rsidRDefault="005F025D" w:rsidP="002A5011">
      <w:pPr>
        <w:rPr>
          <w:rFonts w:eastAsia="Cambria"/>
          <w:lang w:val="fr-FR"/>
        </w:rPr>
      </w:pPr>
    </w:p>
    <w:p w14:paraId="572953F4" w14:textId="577AC5A7" w:rsidR="005F025D" w:rsidRPr="00953DCC" w:rsidRDefault="005F025D" w:rsidP="00FD2F36">
      <w:pPr>
        <w:pStyle w:val="ListParagraph"/>
        <w:numPr>
          <w:ilvl w:val="0"/>
          <w:numId w:val="3"/>
        </w:numPr>
        <w:ind w:left="567" w:hanging="567"/>
        <w:rPr>
          <w:lang w:val="fr-FR"/>
        </w:rPr>
      </w:pPr>
      <w:r w:rsidRPr="00953DCC">
        <w:rPr>
          <w:lang w:val="fr-FR"/>
        </w:rPr>
        <w:t>Cadre juridique de l</w:t>
      </w:r>
      <w:r w:rsidR="0056301D">
        <w:rPr>
          <w:lang w:val="fr-FR"/>
        </w:rPr>
        <w:t>’</w:t>
      </w:r>
      <w:r w:rsidRPr="00953DCC">
        <w:rPr>
          <w:lang w:val="fr-FR"/>
        </w:rPr>
        <w:t>utilisation de techniques faisant intervenir des marqueurs moléculaires en matière d</w:t>
      </w:r>
      <w:r w:rsidR="0056301D">
        <w:rPr>
          <w:lang w:val="fr-FR"/>
        </w:rPr>
        <w:t>’</w:t>
      </w:r>
      <w:r w:rsidRPr="00953DCC">
        <w:rPr>
          <w:lang w:val="fr-FR"/>
        </w:rPr>
        <w:t>examen</w:t>
      </w:r>
      <w:r w:rsidR="00DE750F" w:rsidRPr="00953DCC">
        <w:rPr>
          <w:lang w:val="fr-FR"/>
        </w:rPr>
        <w:t> </w:t>
      </w:r>
      <w:r w:rsidRPr="00953DCC">
        <w:rPr>
          <w:lang w:val="fr-FR"/>
        </w:rPr>
        <w:t>DHS pour la protection communautaire des obtentions végétales.</w:t>
      </w:r>
    </w:p>
    <w:p w14:paraId="572953F5" w14:textId="77777777" w:rsidR="005F025D" w:rsidRPr="00953DCC" w:rsidRDefault="005F025D" w:rsidP="002A5011">
      <w:pPr>
        <w:rPr>
          <w:lang w:val="fr-FR"/>
        </w:rPr>
      </w:pPr>
    </w:p>
    <w:p w14:paraId="572953F6" w14:textId="5B8935C6" w:rsidR="005F025D" w:rsidRPr="00953DCC" w:rsidRDefault="005F025D" w:rsidP="005F025D">
      <w:pPr>
        <w:rPr>
          <w:rFonts w:eastAsia="Cambria"/>
          <w:lang w:val="fr-FR"/>
        </w:rPr>
      </w:pPr>
      <w:r w:rsidRPr="00953DCC">
        <w:rPr>
          <w:rFonts w:eastAsia="Cambria"/>
          <w:lang w:val="fr-FR"/>
        </w:rPr>
        <w:t>Le cadre juridique pour la réalisation de l</w:t>
      </w:r>
      <w:r w:rsidR="0056301D">
        <w:rPr>
          <w:rFonts w:eastAsia="Cambria"/>
          <w:lang w:val="fr-FR"/>
        </w:rPr>
        <w:t>’</w:t>
      </w:r>
      <w:r w:rsidRPr="00953DCC">
        <w:rPr>
          <w:rFonts w:eastAsia="Cambria"/>
          <w:lang w:val="fr-FR"/>
        </w:rPr>
        <w:t>examen</w:t>
      </w:r>
      <w:r w:rsidR="00DE750F" w:rsidRPr="00953DCC">
        <w:rPr>
          <w:rFonts w:eastAsia="Cambria"/>
          <w:lang w:val="fr-FR"/>
        </w:rPr>
        <w:t> </w:t>
      </w:r>
      <w:r w:rsidRPr="00953DCC">
        <w:rPr>
          <w:rFonts w:eastAsia="Cambria"/>
          <w:lang w:val="fr-FR"/>
        </w:rPr>
        <w:t>DHS à des fins de protection communautaire d</w:t>
      </w:r>
      <w:r w:rsidR="0056301D">
        <w:rPr>
          <w:rFonts w:eastAsia="Cambria"/>
          <w:lang w:val="fr-FR"/>
        </w:rPr>
        <w:t>’</w:t>
      </w:r>
      <w:r w:rsidRPr="00953DCC">
        <w:rPr>
          <w:rFonts w:eastAsia="Cambria"/>
          <w:lang w:val="fr-FR"/>
        </w:rPr>
        <w:t>obtentions végétales comprend le règlement de base</w:t>
      </w:r>
      <w:r w:rsidR="0011329B">
        <w:rPr>
          <w:rFonts w:eastAsia="Cambria"/>
          <w:lang w:val="fr-FR"/>
        </w:rPr>
        <w:t> </w:t>
      </w:r>
      <w:r w:rsidRPr="00953DCC">
        <w:rPr>
          <w:rFonts w:eastAsia="Cambria"/>
          <w:lang w:val="fr-FR"/>
        </w:rPr>
        <w:t>2100/94 de l</w:t>
      </w:r>
      <w:r w:rsidR="0056301D">
        <w:rPr>
          <w:rFonts w:eastAsia="Cambria"/>
          <w:lang w:val="fr-FR"/>
        </w:rPr>
        <w:t>’</w:t>
      </w:r>
      <w:r w:rsidRPr="00953DCC">
        <w:rPr>
          <w:rFonts w:eastAsia="Cambria"/>
          <w:lang w:val="fr-FR"/>
        </w:rPr>
        <w:t>OCW et son règlement d</w:t>
      </w:r>
      <w:r w:rsidR="0056301D">
        <w:rPr>
          <w:rFonts w:eastAsia="Cambria"/>
          <w:lang w:val="fr-FR"/>
        </w:rPr>
        <w:t>’</w:t>
      </w:r>
      <w:r w:rsidRPr="00953DCC">
        <w:rPr>
          <w:rFonts w:eastAsia="Cambria"/>
          <w:lang w:val="fr-FR"/>
        </w:rPr>
        <w:t>application, les protocoles techniques de l</w:t>
      </w:r>
      <w:r w:rsidR="0056301D">
        <w:rPr>
          <w:rFonts w:eastAsia="Cambria"/>
          <w:lang w:val="fr-FR"/>
        </w:rPr>
        <w:t>’</w:t>
      </w:r>
      <w:r w:rsidRPr="00953DCC">
        <w:rPr>
          <w:rFonts w:eastAsia="Cambria"/>
          <w:lang w:val="fr-FR"/>
        </w:rPr>
        <w:t>OCW et les documents d</w:t>
      </w:r>
      <w:r w:rsidR="0056301D">
        <w:rPr>
          <w:rFonts w:eastAsia="Cambria"/>
          <w:lang w:val="fr-FR"/>
        </w:rPr>
        <w:t>’</w:t>
      </w:r>
      <w:r w:rsidRPr="00953DCC">
        <w:rPr>
          <w:rFonts w:eastAsia="Cambria"/>
          <w:lang w:val="fr-FR"/>
        </w:rPr>
        <w:t>orientation adoptés par l</w:t>
      </w:r>
      <w:r w:rsidR="0056301D">
        <w:rPr>
          <w:rFonts w:eastAsia="Cambria"/>
          <w:lang w:val="fr-FR"/>
        </w:rPr>
        <w:t>’</w:t>
      </w:r>
      <w:r w:rsidRPr="00953DCC">
        <w:rPr>
          <w:rFonts w:eastAsia="Cambria"/>
          <w:lang w:val="fr-FR"/>
        </w:rPr>
        <w:t>UPOV.</w:t>
      </w:r>
    </w:p>
    <w:p w14:paraId="572953F7" w14:textId="77777777" w:rsidR="005F025D" w:rsidRPr="00953DCC" w:rsidRDefault="005F025D" w:rsidP="002A5011">
      <w:pPr>
        <w:rPr>
          <w:rFonts w:eastAsia="Cambria"/>
          <w:lang w:val="fr-FR"/>
        </w:rPr>
      </w:pPr>
    </w:p>
    <w:p w14:paraId="572953F8" w14:textId="288E247D" w:rsidR="005F025D" w:rsidRPr="00953DCC" w:rsidRDefault="005F025D" w:rsidP="005F025D">
      <w:pPr>
        <w:rPr>
          <w:rFonts w:eastAsia="Cambria"/>
          <w:lang w:val="fr-FR"/>
        </w:rPr>
      </w:pPr>
      <w:r w:rsidRPr="00953DCC">
        <w:rPr>
          <w:rFonts w:eastAsia="Cambria"/>
          <w:lang w:val="fr-FR"/>
        </w:rPr>
        <w:t>L</w:t>
      </w:r>
      <w:r w:rsidR="0056301D">
        <w:rPr>
          <w:rFonts w:eastAsia="Cambria"/>
          <w:lang w:val="fr-FR"/>
        </w:rPr>
        <w:t>’</w:t>
      </w:r>
      <w:r w:rsidRPr="00953DCC">
        <w:rPr>
          <w:rFonts w:eastAsia="Cambria"/>
          <w:lang w:val="fr-FR"/>
        </w:rPr>
        <w:t>OCW n</w:t>
      </w:r>
      <w:r w:rsidR="0056301D">
        <w:rPr>
          <w:rFonts w:eastAsia="Cambria"/>
          <w:lang w:val="fr-FR"/>
        </w:rPr>
        <w:t>’</w:t>
      </w:r>
      <w:r w:rsidRPr="00953DCC">
        <w:rPr>
          <w:rFonts w:eastAsia="Cambria"/>
          <w:lang w:val="fr-FR"/>
        </w:rPr>
        <w:t>effectue pas d</w:t>
      </w:r>
      <w:r w:rsidR="0056301D">
        <w:rPr>
          <w:rFonts w:eastAsia="Cambria"/>
          <w:lang w:val="fr-FR"/>
        </w:rPr>
        <w:t>’</w:t>
      </w:r>
      <w:r w:rsidRPr="00953DCC">
        <w:rPr>
          <w:rFonts w:eastAsia="Cambria"/>
          <w:lang w:val="fr-FR"/>
        </w:rPr>
        <w:t>examens</w:t>
      </w:r>
      <w:r w:rsidR="00DE750F" w:rsidRPr="00953DCC">
        <w:rPr>
          <w:rFonts w:eastAsia="Cambria"/>
          <w:lang w:val="fr-FR"/>
        </w:rPr>
        <w:t> </w:t>
      </w:r>
      <w:r w:rsidRPr="00953DCC">
        <w:rPr>
          <w:rFonts w:eastAsia="Cambria"/>
          <w:lang w:val="fr-FR"/>
        </w:rPr>
        <w:t>DHS lui</w:t>
      </w:r>
      <w:r w:rsidR="00456121">
        <w:rPr>
          <w:rFonts w:eastAsia="Cambria"/>
          <w:lang w:val="fr-FR"/>
        </w:rPr>
        <w:noBreakHyphen/>
      </w:r>
      <w:r w:rsidRPr="00953DCC">
        <w:rPr>
          <w:rFonts w:eastAsia="Cambria"/>
          <w:lang w:val="fr-FR"/>
        </w:rPr>
        <w:t>même, mais, comme indiqué à l</w:t>
      </w:r>
      <w:r w:rsidR="0056301D">
        <w:rPr>
          <w:rFonts w:eastAsia="Cambria"/>
          <w:lang w:val="fr-FR"/>
        </w:rPr>
        <w:t>’</w:t>
      </w:r>
      <w:r w:rsidRPr="00953DCC">
        <w:rPr>
          <w:rFonts w:eastAsia="Cambria"/>
          <w:lang w:val="fr-FR"/>
        </w:rPr>
        <w:t>article</w:t>
      </w:r>
      <w:r w:rsidR="00DE750F" w:rsidRPr="00953DCC">
        <w:rPr>
          <w:rFonts w:eastAsia="Cambria"/>
          <w:lang w:val="fr-FR"/>
        </w:rPr>
        <w:t> </w:t>
      </w:r>
      <w:r w:rsidR="00F16933">
        <w:rPr>
          <w:rFonts w:eastAsia="Cambria"/>
          <w:lang w:val="fr-FR"/>
        </w:rPr>
        <w:t>56</w:t>
      </w:r>
      <w:r w:rsidRPr="00953DCC">
        <w:rPr>
          <w:rFonts w:eastAsia="Cambria"/>
          <w:lang w:val="fr-FR"/>
        </w:rPr>
        <w:t xml:space="preserve"> du règlement de base, “il prend les dispositions voulues pour que l</w:t>
      </w:r>
      <w:r w:rsidR="0056301D">
        <w:rPr>
          <w:rFonts w:eastAsia="Cambria"/>
          <w:lang w:val="fr-FR"/>
        </w:rPr>
        <w:t>’</w:t>
      </w:r>
      <w:r w:rsidRPr="00953DCC">
        <w:rPr>
          <w:rFonts w:eastAsia="Cambria"/>
          <w:lang w:val="fr-FR"/>
        </w:rPr>
        <w:t>examen technique […] soit effectué, dans au moins un des États membres, par le ou les organismes compétents qui ont été chargés par le conseil d</w:t>
      </w:r>
      <w:r w:rsidR="0056301D">
        <w:rPr>
          <w:rFonts w:eastAsia="Cambria"/>
          <w:lang w:val="fr-FR"/>
        </w:rPr>
        <w:t>’</w:t>
      </w:r>
      <w:r w:rsidRPr="00953DCC">
        <w:rPr>
          <w:rFonts w:eastAsia="Cambria"/>
          <w:lang w:val="fr-FR"/>
        </w:rPr>
        <w:t>administration de l</w:t>
      </w:r>
      <w:r w:rsidR="0056301D">
        <w:rPr>
          <w:rFonts w:eastAsia="Cambria"/>
          <w:lang w:val="fr-FR"/>
        </w:rPr>
        <w:t>’</w:t>
      </w:r>
      <w:r w:rsidRPr="00953DCC">
        <w:rPr>
          <w:rFonts w:eastAsia="Cambria"/>
          <w:lang w:val="fr-FR"/>
        </w:rPr>
        <w:t>examen technique des variétés de l</w:t>
      </w:r>
      <w:r w:rsidR="0056301D">
        <w:rPr>
          <w:rFonts w:eastAsia="Cambria"/>
          <w:lang w:val="fr-FR"/>
        </w:rPr>
        <w:t>’</w:t>
      </w:r>
      <w:r w:rsidRPr="00953DCC">
        <w:rPr>
          <w:rFonts w:eastAsia="Cambria"/>
          <w:lang w:val="fr-FR"/>
        </w:rPr>
        <w:t>espèce concernée”.</w:t>
      </w:r>
    </w:p>
    <w:p w14:paraId="572953F9" w14:textId="77777777" w:rsidR="005F025D" w:rsidRPr="00953DCC" w:rsidRDefault="005F025D" w:rsidP="002A5011">
      <w:pPr>
        <w:rPr>
          <w:rFonts w:eastAsia="Cambria"/>
          <w:lang w:val="fr-FR"/>
        </w:rPr>
      </w:pPr>
    </w:p>
    <w:p w14:paraId="572953FA" w14:textId="3C694467" w:rsidR="005F025D" w:rsidRPr="00953DCC" w:rsidRDefault="005F025D" w:rsidP="005F025D">
      <w:pPr>
        <w:rPr>
          <w:rFonts w:eastAsia="Cambria"/>
          <w:lang w:val="fr-FR"/>
        </w:rPr>
      </w:pPr>
      <w:r w:rsidRPr="00953DCC">
        <w:rPr>
          <w:rFonts w:eastAsia="Cambria"/>
          <w:lang w:val="fr-FR"/>
        </w:rPr>
        <w:t>Lorsqu</w:t>
      </w:r>
      <w:r w:rsidR="0056301D">
        <w:rPr>
          <w:rFonts w:eastAsia="Cambria"/>
          <w:lang w:val="fr-FR"/>
        </w:rPr>
        <w:t>’</w:t>
      </w:r>
      <w:r w:rsidRPr="00953DCC">
        <w:rPr>
          <w:rFonts w:eastAsia="Cambria"/>
          <w:lang w:val="fr-FR"/>
        </w:rPr>
        <w:t>ils procèdent à un examen technique, les offices d</w:t>
      </w:r>
      <w:r w:rsidR="0056301D">
        <w:rPr>
          <w:rFonts w:eastAsia="Cambria"/>
          <w:lang w:val="fr-FR"/>
        </w:rPr>
        <w:t>’</w:t>
      </w:r>
      <w:r w:rsidRPr="00953DCC">
        <w:rPr>
          <w:rFonts w:eastAsia="Cambria"/>
          <w:lang w:val="fr-FR"/>
        </w:rPr>
        <w:t>examens “[…] procèdent, aux fins de l</w:t>
      </w:r>
      <w:r w:rsidR="0056301D">
        <w:rPr>
          <w:rFonts w:eastAsia="Cambria"/>
          <w:lang w:val="fr-FR"/>
        </w:rPr>
        <w:t>’</w:t>
      </w:r>
      <w:r w:rsidRPr="00953DCC">
        <w:rPr>
          <w:rFonts w:eastAsia="Cambria"/>
          <w:lang w:val="fr-FR"/>
        </w:rPr>
        <w:t>examen technique, à des essais en culture de la variété ou à toute autre investigation nécessaire” (article</w:t>
      </w:r>
      <w:r w:rsidR="008673CC" w:rsidRPr="00953DCC">
        <w:rPr>
          <w:rFonts w:eastAsia="Cambria"/>
          <w:lang w:val="fr-FR"/>
        </w:rPr>
        <w:t> </w:t>
      </w:r>
      <w:r w:rsidRPr="00953DCC">
        <w:rPr>
          <w:rFonts w:eastAsia="Cambria"/>
          <w:lang w:val="fr-FR"/>
        </w:rPr>
        <w:t>56 du règlement de ba</w:t>
      </w:r>
      <w:r w:rsidR="0011329B" w:rsidRPr="00953DCC">
        <w:rPr>
          <w:rFonts w:eastAsia="Cambria"/>
          <w:lang w:val="fr-FR"/>
        </w:rPr>
        <w:t>se)</w:t>
      </w:r>
      <w:r w:rsidR="0011329B">
        <w:rPr>
          <w:rFonts w:eastAsia="Cambria"/>
          <w:lang w:val="fr-FR"/>
        </w:rPr>
        <w:t xml:space="preserve">.  </w:t>
      </w:r>
      <w:r w:rsidR="0011329B" w:rsidRPr="00953DCC">
        <w:rPr>
          <w:rFonts w:eastAsia="Cambria"/>
          <w:lang w:val="fr-FR"/>
        </w:rPr>
        <w:t>Le</w:t>
      </w:r>
      <w:r w:rsidRPr="00953DCC">
        <w:rPr>
          <w:rFonts w:eastAsia="Cambria"/>
          <w:lang w:val="fr-FR"/>
        </w:rPr>
        <w:t>s techniques moléculaires peuvent donc être utilisées à l</w:t>
      </w:r>
      <w:r w:rsidR="0056301D">
        <w:rPr>
          <w:rFonts w:eastAsia="Cambria"/>
          <w:lang w:val="fr-FR"/>
        </w:rPr>
        <w:t>’</w:t>
      </w:r>
      <w:r w:rsidRPr="00953DCC">
        <w:rPr>
          <w:rFonts w:eastAsia="Cambria"/>
          <w:lang w:val="fr-FR"/>
        </w:rPr>
        <w:t>appui de l</w:t>
      </w:r>
      <w:r w:rsidR="0056301D">
        <w:rPr>
          <w:rFonts w:eastAsia="Cambria"/>
          <w:lang w:val="fr-FR"/>
        </w:rPr>
        <w:t>’</w:t>
      </w:r>
      <w:r w:rsidRPr="00953DCC">
        <w:rPr>
          <w:rFonts w:eastAsia="Cambria"/>
          <w:lang w:val="fr-FR"/>
        </w:rPr>
        <w:t>examen</w:t>
      </w:r>
      <w:r w:rsidR="008673CC" w:rsidRPr="00953DCC">
        <w:rPr>
          <w:rFonts w:eastAsia="Cambria"/>
          <w:lang w:val="fr-FR"/>
        </w:rPr>
        <w:t> </w:t>
      </w:r>
      <w:r w:rsidRPr="00953DCC">
        <w:rPr>
          <w:rFonts w:eastAsia="Cambria"/>
          <w:lang w:val="fr-FR"/>
        </w:rPr>
        <w:t>DHS par l</w:t>
      </w:r>
      <w:r w:rsidR="0056301D">
        <w:rPr>
          <w:rFonts w:eastAsia="Cambria"/>
          <w:lang w:val="fr-FR"/>
        </w:rPr>
        <w:t>’</w:t>
      </w:r>
      <w:r w:rsidRPr="00953DCC">
        <w:rPr>
          <w:rFonts w:eastAsia="Cambria"/>
          <w:lang w:val="fr-FR"/>
        </w:rPr>
        <w:t>office d</w:t>
      </w:r>
      <w:r w:rsidR="0056301D">
        <w:rPr>
          <w:rFonts w:eastAsia="Cambria"/>
          <w:lang w:val="fr-FR"/>
        </w:rPr>
        <w:t>’</w:t>
      </w:r>
      <w:r w:rsidRPr="00953DCC">
        <w:rPr>
          <w:rFonts w:eastAsia="Cambria"/>
          <w:lang w:val="fr-FR"/>
        </w:rPr>
        <w:t>examen compétent, à</w:t>
      </w:r>
      <w:r w:rsidR="008673CC" w:rsidRPr="00953DCC">
        <w:rPr>
          <w:rFonts w:eastAsia="Cambria"/>
          <w:lang w:val="fr-FR"/>
        </w:rPr>
        <w:t> </w:t>
      </w:r>
      <w:r w:rsidRPr="00953DCC">
        <w:rPr>
          <w:rFonts w:eastAsia="Cambria"/>
          <w:lang w:val="fr-FR"/>
        </w:rPr>
        <w:t>condition que l</w:t>
      </w:r>
      <w:r w:rsidR="0056301D">
        <w:rPr>
          <w:rFonts w:eastAsia="Cambria"/>
          <w:lang w:val="fr-FR"/>
        </w:rPr>
        <w:t>’</w:t>
      </w:r>
      <w:r w:rsidRPr="00953DCC">
        <w:rPr>
          <w:rFonts w:eastAsia="Cambria"/>
          <w:lang w:val="fr-FR"/>
        </w:rPr>
        <w:t>examen technique soit effectué conformément aux principes directeurs formulés par le conseil d</w:t>
      </w:r>
      <w:r w:rsidR="0056301D">
        <w:rPr>
          <w:rFonts w:eastAsia="Cambria"/>
          <w:lang w:val="fr-FR"/>
        </w:rPr>
        <w:t>’</w:t>
      </w:r>
      <w:r w:rsidRPr="00953DCC">
        <w:rPr>
          <w:rFonts w:eastAsia="Cambria"/>
          <w:lang w:val="fr-FR"/>
        </w:rPr>
        <w:t>administration de l</w:t>
      </w:r>
      <w:r w:rsidR="0056301D">
        <w:rPr>
          <w:rFonts w:eastAsia="Cambria"/>
          <w:lang w:val="fr-FR"/>
        </w:rPr>
        <w:t>’</w:t>
      </w:r>
      <w:r w:rsidRPr="00953DCC">
        <w:rPr>
          <w:rFonts w:eastAsia="Cambria"/>
          <w:lang w:val="fr-FR"/>
        </w:rPr>
        <w:t>OCVV.</w:t>
      </w:r>
    </w:p>
    <w:p w14:paraId="572953FB" w14:textId="77777777" w:rsidR="005F025D" w:rsidRPr="00953DCC" w:rsidRDefault="005F025D" w:rsidP="002A5011">
      <w:pPr>
        <w:rPr>
          <w:rFonts w:eastAsia="Cambria"/>
          <w:lang w:val="fr-FR"/>
        </w:rPr>
      </w:pPr>
    </w:p>
    <w:p w14:paraId="572953FC" w14:textId="0066F789" w:rsidR="005F025D" w:rsidRPr="00953DCC" w:rsidRDefault="005F025D" w:rsidP="005F025D">
      <w:pPr>
        <w:rPr>
          <w:rFonts w:eastAsia="Cambria"/>
          <w:lang w:val="fr-FR"/>
        </w:rPr>
      </w:pPr>
      <w:r w:rsidRPr="00953DCC">
        <w:rPr>
          <w:rFonts w:eastAsia="Cambria"/>
          <w:lang w:val="fr-FR"/>
        </w:rPr>
        <w:t>Étant donné que lesdits principes directeurs sont utilisés à la fois pour la protection des obtentions végétales et pour leur enregistrement au sein de l</w:t>
      </w:r>
      <w:r w:rsidR="0056301D">
        <w:rPr>
          <w:rFonts w:eastAsia="Cambria"/>
          <w:lang w:val="fr-FR"/>
        </w:rPr>
        <w:t>’</w:t>
      </w:r>
      <w:r w:rsidRPr="00953DCC">
        <w:rPr>
          <w:rFonts w:eastAsia="Cambria"/>
          <w:lang w:val="fr-FR"/>
        </w:rPr>
        <w:t>UE, les directives concernant le catalogue commun des variétés des espèces de plantes agricoles (directives du Conseil</w:t>
      </w:r>
      <w:r w:rsidR="0011329B">
        <w:rPr>
          <w:rFonts w:eastAsia="Cambria"/>
          <w:lang w:val="fr-FR"/>
        </w:rPr>
        <w:t> </w:t>
      </w:r>
      <w:r w:rsidRPr="00953DCC">
        <w:rPr>
          <w:rFonts w:eastAsia="Cambria"/>
          <w:lang w:val="fr-FR"/>
        </w:rPr>
        <w:t>2002/53/CE et 2002/55/CE) doivent également être prises en considérati</w:t>
      </w:r>
      <w:r w:rsidR="0011329B" w:rsidRPr="00953DCC">
        <w:rPr>
          <w:rFonts w:eastAsia="Cambria"/>
          <w:lang w:val="fr-FR"/>
        </w:rPr>
        <w:t>on</w:t>
      </w:r>
      <w:r w:rsidR="0011329B">
        <w:rPr>
          <w:rFonts w:eastAsia="Cambria"/>
          <w:lang w:val="fr-FR"/>
        </w:rPr>
        <w:t xml:space="preserve">.  </w:t>
      </w:r>
      <w:r w:rsidR="0011329B" w:rsidRPr="00953DCC">
        <w:rPr>
          <w:rFonts w:eastAsia="Cambria"/>
          <w:lang w:val="fr-FR"/>
        </w:rPr>
        <w:t>Se</w:t>
      </w:r>
      <w:r w:rsidRPr="00953DCC">
        <w:rPr>
          <w:rFonts w:eastAsia="Cambria"/>
          <w:lang w:val="fr-FR"/>
        </w:rPr>
        <w:t>lon ces directives, l</w:t>
      </w:r>
      <w:r w:rsidR="0056301D">
        <w:rPr>
          <w:rFonts w:eastAsia="Cambria"/>
          <w:lang w:val="fr-FR"/>
        </w:rPr>
        <w:t>’</w:t>
      </w:r>
      <w:r w:rsidRPr="00953DCC">
        <w:rPr>
          <w:rFonts w:eastAsia="Cambria"/>
          <w:lang w:val="fr-FR"/>
        </w:rPr>
        <w:t>acceptation des obtentions végétales repose sur les résultats des examens officiels, en particulier sur les essais en culture, couvrant un nombre suffisant de caractères de l</w:t>
      </w:r>
      <w:r w:rsidR="0056301D">
        <w:rPr>
          <w:rFonts w:eastAsia="Cambria"/>
          <w:lang w:val="fr-FR"/>
        </w:rPr>
        <w:t>’</w:t>
      </w:r>
      <w:r w:rsidRPr="00953DCC">
        <w:rPr>
          <w:rFonts w:eastAsia="Cambria"/>
          <w:lang w:val="fr-FR"/>
        </w:rPr>
        <w:t>obtention à décri</w:t>
      </w:r>
      <w:r w:rsidR="0011329B" w:rsidRPr="00953DCC">
        <w:rPr>
          <w:rFonts w:eastAsia="Cambria"/>
          <w:lang w:val="fr-FR"/>
        </w:rPr>
        <w:t>re</w:t>
      </w:r>
      <w:r w:rsidR="0011329B">
        <w:rPr>
          <w:rFonts w:eastAsia="Cambria"/>
          <w:lang w:val="fr-FR"/>
        </w:rPr>
        <w:t xml:space="preserve">.  </w:t>
      </w:r>
      <w:r w:rsidR="0011329B" w:rsidRPr="00953DCC">
        <w:rPr>
          <w:rFonts w:eastAsia="Cambria"/>
          <w:lang w:val="fr-FR"/>
        </w:rPr>
        <w:t>C</w:t>
      </w:r>
      <w:r w:rsidR="0011329B">
        <w:rPr>
          <w:rFonts w:eastAsia="Cambria"/>
          <w:lang w:val="fr-FR"/>
        </w:rPr>
        <w:t>’</w:t>
      </w:r>
      <w:r w:rsidR="0011329B" w:rsidRPr="00953DCC">
        <w:rPr>
          <w:rFonts w:eastAsia="Cambria"/>
          <w:lang w:val="fr-FR"/>
        </w:rPr>
        <w:t>e</w:t>
      </w:r>
      <w:r w:rsidRPr="00953DCC">
        <w:rPr>
          <w:rFonts w:eastAsia="Cambria"/>
          <w:lang w:val="fr-FR"/>
        </w:rPr>
        <w:t>st pourquoi les techniques moléculaires peuvent être utilisées uniquement à titre d</w:t>
      </w:r>
      <w:r w:rsidR="0056301D">
        <w:rPr>
          <w:rFonts w:eastAsia="Cambria"/>
          <w:lang w:val="fr-FR"/>
        </w:rPr>
        <w:t>’</w:t>
      </w:r>
      <w:r w:rsidRPr="00953DCC">
        <w:rPr>
          <w:rFonts w:eastAsia="Cambria"/>
          <w:lang w:val="fr-FR"/>
        </w:rPr>
        <w:t>instruments complémentaires, en sus des essais en culture.</w:t>
      </w:r>
    </w:p>
    <w:p w14:paraId="572953FD" w14:textId="77777777" w:rsidR="005F025D" w:rsidRPr="00953DCC" w:rsidRDefault="005F025D" w:rsidP="002A5011">
      <w:pPr>
        <w:rPr>
          <w:rFonts w:eastAsia="Cambria"/>
          <w:lang w:val="fr-FR"/>
        </w:rPr>
      </w:pPr>
    </w:p>
    <w:p w14:paraId="572953FE" w14:textId="0808EBA2" w:rsidR="005F025D" w:rsidRPr="00953DCC" w:rsidRDefault="005F025D" w:rsidP="005F025D">
      <w:pPr>
        <w:rPr>
          <w:rFonts w:eastAsia="Cambria"/>
          <w:lang w:val="fr-FR"/>
        </w:rPr>
      </w:pPr>
      <w:r w:rsidRPr="00953DCC">
        <w:rPr>
          <w:rFonts w:eastAsia="Cambria"/>
          <w:lang w:val="fr-FR"/>
        </w:rPr>
        <w:t>En tant que membre de l</w:t>
      </w:r>
      <w:r w:rsidR="0056301D">
        <w:rPr>
          <w:rFonts w:eastAsia="Cambria"/>
          <w:lang w:val="fr-FR"/>
        </w:rPr>
        <w:t>’</w:t>
      </w:r>
      <w:r w:rsidRPr="00953DCC">
        <w:rPr>
          <w:rFonts w:eastAsia="Cambria"/>
          <w:lang w:val="fr-FR"/>
        </w:rPr>
        <w:t>UPOV, l</w:t>
      </w:r>
      <w:r w:rsidR="0056301D">
        <w:rPr>
          <w:rFonts w:eastAsia="Cambria"/>
          <w:lang w:val="fr-FR"/>
        </w:rPr>
        <w:t>’</w:t>
      </w:r>
      <w:r w:rsidRPr="00953DCC">
        <w:rPr>
          <w:rFonts w:eastAsia="Cambria"/>
          <w:lang w:val="fr-FR"/>
        </w:rPr>
        <w:t>OCVV respecte le cadre convenu pour l</w:t>
      </w:r>
      <w:r w:rsidR="0056301D">
        <w:rPr>
          <w:rFonts w:eastAsia="Cambria"/>
          <w:lang w:val="fr-FR"/>
        </w:rPr>
        <w:t>’</w:t>
      </w:r>
      <w:r w:rsidRPr="00953DCC">
        <w:rPr>
          <w:rFonts w:eastAsia="Cambria"/>
          <w:lang w:val="fr-FR"/>
        </w:rPr>
        <w:t>utilisation des techniques moléculaires en matière d</w:t>
      </w:r>
      <w:r w:rsidR="0056301D">
        <w:rPr>
          <w:rFonts w:eastAsia="Cambria"/>
          <w:lang w:val="fr-FR"/>
        </w:rPr>
        <w:t>’</w:t>
      </w:r>
      <w:r w:rsidRPr="00953DCC">
        <w:rPr>
          <w:rFonts w:eastAsia="Cambria"/>
          <w:lang w:val="fr-FR"/>
        </w:rPr>
        <w:t>examen</w:t>
      </w:r>
      <w:r w:rsidR="008673CC" w:rsidRPr="00953DCC">
        <w:rPr>
          <w:rFonts w:eastAsia="Cambria"/>
          <w:lang w:val="fr-FR"/>
        </w:rPr>
        <w:t> </w:t>
      </w:r>
      <w:r w:rsidRPr="00953DCC">
        <w:rPr>
          <w:rFonts w:eastAsia="Cambria"/>
          <w:lang w:val="fr-FR"/>
        </w:rPr>
        <w:t>DHS tel qu</w:t>
      </w:r>
      <w:r w:rsidR="0056301D">
        <w:rPr>
          <w:rFonts w:eastAsia="Cambria"/>
          <w:lang w:val="fr-FR"/>
        </w:rPr>
        <w:t>’</w:t>
      </w:r>
      <w:r w:rsidRPr="00953DCC">
        <w:rPr>
          <w:rFonts w:eastAsia="Cambria"/>
          <w:lang w:val="fr-FR"/>
        </w:rPr>
        <w:t>établi dans les documents UPOV/INF/18 (adopté par le Conseil de l</w:t>
      </w:r>
      <w:r w:rsidR="0056301D">
        <w:rPr>
          <w:rFonts w:eastAsia="Cambria"/>
          <w:lang w:val="fr-FR"/>
        </w:rPr>
        <w:t>’</w:t>
      </w:r>
      <w:r w:rsidRPr="00953DCC">
        <w:rPr>
          <w:rFonts w:eastAsia="Cambria"/>
          <w:lang w:val="fr-FR"/>
        </w:rPr>
        <w:t>UPOV en</w:t>
      </w:r>
      <w:r w:rsidR="008673CC" w:rsidRPr="00953DCC">
        <w:rPr>
          <w:rFonts w:eastAsia="Cambria"/>
          <w:lang w:val="fr-FR"/>
        </w:rPr>
        <w:t> </w:t>
      </w:r>
      <w:r w:rsidRPr="00953DCC">
        <w:rPr>
          <w:rFonts w:eastAsia="Cambria"/>
          <w:lang w:val="fr-FR"/>
        </w:rPr>
        <w:t>2011) et UPOV/TGP/15/3 (adopté par le Conseil de l</w:t>
      </w:r>
      <w:r w:rsidR="0056301D">
        <w:rPr>
          <w:rFonts w:eastAsia="Cambria"/>
          <w:lang w:val="fr-FR"/>
        </w:rPr>
        <w:t>’</w:t>
      </w:r>
      <w:r w:rsidRPr="00953DCC">
        <w:rPr>
          <w:rFonts w:eastAsia="Cambria"/>
          <w:lang w:val="fr-FR"/>
        </w:rPr>
        <w:t>UPOV en</w:t>
      </w:r>
      <w:r w:rsidR="008673CC" w:rsidRPr="00953DCC">
        <w:rPr>
          <w:rFonts w:eastAsia="Cambria"/>
          <w:lang w:val="fr-FR"/>
        </w:rPr>
        <w:t> </w:t>
      </w:r>
      <w:r w:rsidRPr="00953DCC">
        <w:rPr>
          <w:rFonts w:eastAsia="Cambria"/>
          <w:lang w:val="fr-FR"/>
        </w:rPr>
        <w:t>2020).</w:t>
      </w:r>
      <w:r w:rsidR="002A5011" w:rsidRPr="00953DCC">
        <w:rPr>
          <w:rFonts w:eastAsia="Cambria"/>
          <w:lang w:val="fr-FR"/>
        </w:rPr>
        <w:t xml:space="preserve"> </w:t>
      </w:r>
      <w:r w:rsidR="004A1CA8">
        <w:rPr>
          <w:rFonts w:eastAsia="Cambria"/>
          <w:lang w:val="fr-FR"/>
        </w:rPr>
        <w:t xml:space="preserve"> </w:t>
      </w:r>
      <w:r w:rsidRPr="00953DCC">
        <w:rPr>
          <w:rFonts w:eastAsia="Cambria"/>
          <w:lang w:val="fr-FR"/>
        </w:rPr>
        <w:t>Pour être plus précis, l</w:t>
      </w:r>
      <w:r w:rsidR="0056301D">
        <w:rPr>
          <w:rFonts w:eastAsia="Cambria"/>
          <w:lang w:val="fr-FR"/>
        </w:rPr>
        <w:t>’</w:t>
      </w:r>
      <w:r w:rsidRPr="00953DCC">
        <w:rPr>
          <w:rFonts w:eastAsia="Cambria"/>
          <w:lang w:val="fr-FR"/>
        </w:rPr>
        <w:t>OCVV encourage l</w:t>
      </w:r>
      <w:r w:rsidR="0056301D">
        <w:rPr>
          <w:rFonts w:eastAsia="Cambria"/>
          <w:lang w:val="fr-FR"/>
        </w:rPr>
        <w:t>’</w:t>
      </w:r>
      <w:r w:rsidRPr="00953DCC">
        <w:rPr>
          <w:rFonts w:eastAsia="Cambria"/>
          <w:lang w:val="fr-FR"/>
        </w:rPr>
        <w:t>application par le réseau de ses offices d</w:t>
      </w:r>
      <w:r w:rsidR="0056301D">
        <w:rPr>
          <w:rFonts w:eastAsia="Cambria"/>
          <w:lang w:val="fr-FR"/>
        </w:rPr>
        <w:t>’</w:t>
      </w:r>
      <w:r w:rsidRPr="00953DCC">
        <w:rPr>
          <w:rFonts w:eastAsia="Cambria"/>
          <w:lang w:val="fr-FR"/>
        </w:rPr>
        <w:t xml:space="preserve">examen compétents des outils moléculaires correspondant aux modèles évalués de manière positive pour ce qui est de leur conformité à la </w:t>
      </w:r>
      <w:r w:rsidR="0056301D">
        <w:rPr>
          <w:rFonts w:eastAsia="Cambria"/>
          <w:lang w:val="fr-FR"/>
        </w:rPr>
        <w:t>Convention UPOV</w:t>
      </w:r>
      <w:r w:rsidRPr="00953DCC">
        <w:rPr>
          <w:rFonts w:eastAsia="Cambria"/>
          <w:lang w:val="fr-FR"/>
        </w:rPr>
        <w:t>.</w:t>
      </w:r>
    </w:p>
    <w:p w14:paraId="572953FF" w14:textId="77777777" w:rsidR="005F025D" w:rsidRPr="00953DCC" w:rsidRDefault="005F025D" w:rsidP="002A5011">
      <w:pPr>
        <w:rPr>
          <w:rFonts w:eastAsia="Cambria"/>
          <w:lang w:val="fr-FR"/>
        </w:rPr>
      </w:pPr>
    </w:p>
    <w:p w14:paraId="57295400" w14:textId="77777777" w:rsidR="005F025D" w:rsidRPr="00953DCC" w:rsidRDefault="005F025D" w:rsidP="002A5011">
      <w:pPr>
        <w:rPr>
          <w:rFonts w:eastAsia="Cambria"/>
          <w:lang w:val="fr-FR"/>
        </w:rPr>
      </w:pPr>
    </w:p>
    <w:p w14:paraId="57295401" w14:textId="06249C1D" w:rsidR="005F025D" w:rsidRPr="00953DCC" w:rsidRDefault="005F025D" w:rsidP="00FD2F36">
      <w:pPr>
        <w:pStyle w:val="ListParagraph"/>
        <w:numPr>
          <w:ilvl w:val="0"/>
          <w:numId w:val="3"/>
        </w:numPr>
        <w:ind w:left="567" w:hanging="567"/>
        <w:rPr>
          <w:rFonts w:cs="Arial"/>
          <w:spacing w:val="-3"/>
          <w:kern w:val="32"/>
          <w:szCs w:val="32"/>
          <w:lang w:val="fr-FR"/>
        </w:rPr>
      </w:pPr>
      <w:bookmarkStart w:id="30" w:name="_Toc459988947"/>
      <w:bookmarkStart w:id="31" w:name="_Toc536804817"/>
      <w:r w:rsidRPr="00953DCC">
        <w:rPr>
          <w:rFonts w:cs="Arial"/>
          <w:spacing w:val="-3"/>
          <w:kern w:val="32"/>
          <w:szCs w:val="32"/>
          <w:lang w:val="fr-FR"/>
        </w:rPr>
        <w:lastRenderedPageBreak/>
        <w:t>Modèles soutenus par l</w:t>
      </w:r>
      <w:r w:rsidR="0056301D">
        <w:rPr>
          <w:rFonts w:cs="Arial"/>
          <w:spacing w:val="-3"/>
          <w:kern w:val="32"/>
          <w:szCs w:val="32"/>
          <w:lang w:val="fr-FR"/>
        </w:rPr>
        <w:t>’</w:t>
      </w:r>
      <w:r w:rsidRPr="00953DCC">
        <w:rPr>
          <w:rFonts w:cs="Arial"/>
          <w:spacing w:val="-3"/>
          <w:kern w:val="32"/>
          <w:szCs w:val="32"/>
          <w:lang w:val="fr-FR"/>
        </w:rPr>
        <w:t>OCVV et exemples d</w:t>
      </w:r>
      <w:r w:rsidR="0056301D">
        <w:rPr>
          <w:rFonts w:cs="Arial"/>
          <w:spacing w:val="-3"/>
          <w:kern w:val="32"/>
          <w:szCs w:val="32"/>
          <w:lang w:val="fr-FR"/>
        </w:rPr>
        <w:t>’</w:t>
      </w:r>
      <w:r w:rsidRPr="00953DCC">
        <w:rPr>
          <w:rFonts w:cs="Arial"/>
          <w:spacing w:val="-3"/>
          <w:kern w:val="32"/>
          <w:szCs w:val="32"/>
          <w:lang w:val="fr-FR"/>
        </w:rPr>
        <w:t>application</w:t>
      </w:r>
    </w:p>
    <w:p w14:paraId="57295402" w14:textId="77777777" w:rsidR="005F025D" w:rsidRPr="00953DCC" w:rsidRDefault="005F025D" w:rsidP="002A5011">
      <w:pPr>
        <w:rPr>
          <w:lang w:val="fr-FR"/>
        </w:rPr>
      </w:pPr>
    </w:p>
    <w:p w14:paraId="57295403" w14:textId="7B9F9C99" w:rsidR="005F025D" w:rsidRPr="00953DCC" w:rsidRDefault="002A5011" w:rsidP="00FD2F36">
      <w:pPr>
        <w:ind w:left="567" w:hanging="567"/>
        <w:rPr>
          <w:lang w:val="fr-FR"/>
        </w:rPr>
      </w:pPr>
      <w:r w:rsidRPr="00953DCC">
        <w:rPr>
          <w:lang w:val="fr-FR"/>
        </w:rPr>
        <w:t>2.1.</w:t>
      </w:r>
      <w:r w:rsidRPr="00953DCC">
        <w:rPr>
          <w:lang w:val="fr-FR"/>
        </w:rPr>
        <w:tab/>
      </w:r>
      <w:bookmarkEnd w:id="30"/>
      <w:bookmarkEnd w:id="31"/>
      <w:r w:rsidR="008673CC" w:rsidRPr="00953DCC">
        <w:rPr>
          <w:lang w:val="fr-FR"/>
        </w:rPr>
        <w:t>Marqueurs propres au caractère</w:t>
      </w:r>
    </w:p>
    <w:p w14:paraId="57295404" w14:textId="77777777" w:rsidR="005F025D" w:rsidRPr="00953DCC" w:rsidRDefault="005F025D" w:rsidP="002A5011">
      <w:pPr>
        <w:rPr>
          <w:szCs w:val="32"/>
          <w:lang w:val="fr-FR"/>
        </w:rPr>
      </w:pPr>
    </w:p>
    <w:p w14:paraId="0E7E0E3C" w14:textId="343425D2" w:rsidR="0056301D" w:rsidRDefault="005F025D" w:rsidP="005F025D">
      <w:pPr>
        <w:rPr>
          <w:rFonts w:eastAsia="Cambria"/>
          <w:lang w:val="fr-FR"/>
        </w:rPr>
      </w:pPr>
      <w:r w:rsidRPr="00953DCC">
        <w:rPr>
          <w:rFonts w:eastAsia="Cambria"/>
          <w:lang w:val="fr-FR"/>
        </w:rPr>
        <w:t>Les marqueurs moléculaires peuvent être utilisés comme une solution alternative à l</w:t>
      </w:r>
      <w:r w:rsidR="0056301D">
        <w:rPr>
          <w:rFonts w:eastAsia="Cambria"/>
          <w:lang w:val="fr-FR"/>
        </w:rPr>
        <w:t>’</w:t>
      </w:r>
      <w:r w:rsidRPr="00953DCC">
        <w:rPr>
          <w:rFonts w:eastAsia="Cambria"/>
          <w:lang w:val="fr-FR"/>
        </w:rPr>
        <w:t>observation phénotypique, en tant que prédicteurs de caractères traditionnels difficiles ou fastidieux à évaluer, s</w:t>
      </w:r>
      <w:r w:rsidR="0056301D">
        <w:rPr>
          <w:rFonts w:eastAsia="Cambria"/>
          <w:lang w:val="fr-FR"/>
        </w:rPr>
        <w:t>’</w:t>
      </w:r>
      <w:r w:rsidRPr="00953DCC">
        <w:rPr>
          <w:rFonts w:eastAsia="Cambria"/>
          <w:lang w:val="fr-FR"/>
        </w:rPr>
        <w:t>il existe un lien cla</w:t>
      </w:r>
      <w:r w:rsidR="0011329B" w:rsidRPr="00953DCC">
        <w:rPr>
          <w:rFonts w:eastAsia="Cambria"/>
          <w:lang w:val="fr-FR"/>
        </w:rPr>
        <w:t>ir</w:t>
      </w:r>
      <w:r w:rsidR="0011329B">
        <w:rPr>
          <w:rFonts w:eastAsia="Cambria"/>
          <w:lang w:val="fr-FR"/>
        </w:rPr>
        <w:t xml:space="preserve">.  </w:t>
      </w:r>
      <w:r w:rsidR="0011329B" w:rsidRPr="00953DCC">
        <w:rPr>
          <w:rFonts w:eastAsia="Cambria"/>
          <w:lang w:val="fr-FR"/>
        </w:rPr>
        <w:t>Il</w:t>
      </w:r>
      <w:r w:rsidRPr="00953DCC">
        <w:rPr>
          <w:rFonts w:eastAsia="Cambria"/>
          <w:lang w:val="fr-FR"/>
        </w:rPr>
        <w:t>s peuvent être totalement ou partiellement corrélés au phénoty</w:t>
      </w:r>
      <w:r w:rsidR="0011329B" w:rsidRPr="00953DCC">
        <w:rPr>
          <w:rFonts w:eastAsia="Cambria"/>
          <w:lang w:val="fr-FR"/>
        </w:rPr>
        <w:t>pe</w:t>
      </w:r>
      <w:r w:rsidR="0011329B">
        <w:rPr>
          <w:rFonts w:eastAsia="Cambria"/>
          <w:lang w:val="fr-FR"/>
        </w:rPr>
        <w:t xml:space="preserve">.  </w:t>
      </w:r>
      <w:r w:rsidR="0011329B" w:rsidRPr="00953DCC">
        <w:rPr>
          <w:rFonts w:eastAsia="Cambria"/>
          <w:lang w:val="fr-FR"/>
        </w:rPr>
        <w:t>Ce</w:t>
      </w:r>
      <w:r w:rsidRPr="00953DCC">
        <w:rPr>
          <w:rFonts w:eastAsia="Cambria"/>
          <w:lang w:val="fr-FR"/>
        </w:rPr>
        <w:t>s méthodes font partie de protocoles techniques de l</w:t>
      </w:r>
      <w:r w:rsidR="0056301D">
        <w:rPr>
          <w:rFonts w:eastAsia="Cambria"/>
          <w:lang w:val="fr-FR"/>
        </w:rPr>
        <w:t>’</w:t>
      </w:r>
      <w:r w:rsidRPr="00953DCC">
        <w:rPr>
          <w:rFonts w:eastAsia="Cambria"/>
          <w:lang w:val="fr-FR"/>
        </w:rPr>
        <w:t>OCVV reposant sur une évaluation/validation et une suggestion des groupes de phytotechniciens de l</w:t>
      </w:r>
      <w:r w:rsidR="0056301D">
        <w:rPr>
          <w:rFonts w:eastAsia="Cambria"/>
          <w:lang w:val="fr-FR"/>
        </w:rPr>
        <w:t>’</w:t>
      </w:r>
      <w:r w:rsidRPr="00953DCC">
        <w:rPr>
          <w:rFonts w:eastAsia="Cambria"/>
          <w:lang w:val="fr-FR"/>
        </w:rPr>
        <w:t>OCVV.</w:t>
      </w:r>
    </w:p>
    <w:p w14:paraId="57295406" w14:textId="7A90579D" w:rsidR="005F025D" w:rsidRPr="00953DCC" w:rsidRDefault="005F025D" w:rsidP="002A5011">
      <w:pPr>
        <w:rPr>
          <w:rFonts w:eastAsia="Cambria"/>
          <w:lang w:val="fr-FR"/>
        </w:rPr>
      </w:pPr>
    </w:p>
    <w:p w14:paraId="57295407" w14:textId="4145E027" w:rsidR="005F025D" w:rsidRPr="00953DCC" w:rsidRDefault="002A5011" w:rsidP="00FD2F36">
      <w:pPr>
        <w:keepNext/>
        <w:tabs>
          <w:tab w:val="left" w:pos="567"/>
        </w:tabs>
        <w:rPr>
          <w:rFonts w:eastAsia="Cambria"/>
          <w:lang w:val="fr-FR"/>
        </w:rPr>
      </w:pPr>
      <w:r w:rsidRPr="00953DCC">
        <w:rPr>
          <w:rFonts w:eastAsia="Cambria"/>
          <w:lang w:val="fr-FR"/>
        </w:rPr>
        <w:t>2.1.1.</w:t>
      </w:r>
      <w:r w:rsidRPr="00953DCC">
        <w:rPr>
          <w:rFonts w:eastAsia="Cambria"/>
          <w:lang w:val="fr-FR"/>
        </w:rPr>
        <w:tab/>
      </w:r>
      <w:r w:rsidR="008673CC" w:rsidRPr="00953DCC">
        <w:rPr>
          <w:rFonts w:eastAsia="Cambria"/>
          <w:lang w:val="fr-FR"/>
        </w:rPr>
        <w:t>Marqueurs corrélés à 100% à un niveau d</w:t>
      </w:r>
      <w:r w:rsidR="0056301D">
        <w:rPr>
          <w:rFonts w:eastAsia="Cambria"/>
          <w:lang w:val="fr-FR"/>
        </w:rPr>
        <w:t>’</w:t>
      </w:r>
      <w:r w:rsidR="008673CC" w:rsidRPr="00953DCC">
        <w:rPr>
          <w:rFonts w:eastAsia="Cambria"/>
          <w:lang w:val="fr-FR"/>
        </w:rPr>
        <w:t>expression retenu du caractère</w:t>
      </w:r>
    </w:p>
    <w:p w14:paraId="57295408" w14:textId="77777777" w:rsidR="005F025D" w:rsidRPr="00953DCC" w:rsidRDefault="005F025D" w:rsidP="002A5011">
      <w:pPr>
        <w:rPr>
          <w:rFonts w:eastAsia="Cambria"/>
          <w:lang w:val="fr-FR"/>
        </w:rPr>
      </w:pPr>
    </w:p>
    <w:p w14:paraId="57295409" w14:textId="2B2AC34D" w:rsidR="005F025D" w:rsidRPr="00953DCC" w:rsidRDefault="005F025D" w:rsidP="005F025D">
      <w:pPr>
        <w:rPr>
          <w:rFonts w:eastAsia="Cambria"/>
          <w:lang w:val="fr-FR"/>
        </w:rPr>
      </w:pPr>
      <w:r w:rsidRPr="00953DCC">
        <w:rPr>
          <w:rFonts w:eastAsia="Cambria"/>
          <w:lang w:val="fr-FR"/>
        </w:rPr>
        <w:t>Dans ce cas, le marqueur peut remplacer l</w:t>
      </w:r>
      <w:r w:rsidR="0056301D">
        <w:rPr>
          <w:rFonts w:eastAsia="Cambria"/>
          <w:lang w:val="fr-FR"/>
        </w:rPr>
        <w:t>’</w:t>
      </w:r>
      <w:r w:rsidRPr="00953DCC">
        <w:rPr>
          <w:rFonts w:eastAsia="Cambria"/>
          <w:lang w:val="fr-FR"/>
        </w:rPr>
        <w:t>observation phénotypique.</w:t>
      </w:r>
    </w:p>
    <w:p w14:paraId="5729540A" w14:textId="77777777" w:rsidR="005F025D" w:rsidRPr="00953DCC" w:rsidRDefault="005F025D" w:rsidP="002A5011">
      <w:pPr>
        <w:rPr>
          <w:rFonts w:eastAsia="Cambria"/>
          <w:lang w:val="fr-FR"/>
        </w:rPr>
      </w:pPr>
    </w:p>
    <w:p w14:paraId="5729540B" w14:textId="2DC8998A" w:rsidR="005F025D" w:rsidRPr="00953DCC" w:rsidRDefault="005F025D" w:rsidP="005F025D">
      <w:pPr>
        <w:rPr>
          <w:rFonts w:eastAsia="Cambria"/>
          <w:lang w:val="fr-FR"/>
        </w:rPr>
      </w:pPr>
      <w:r w:rsidRPr="00953DCC">
        <w:rPr>
          <w:rFonts w:eastAsia="Cambria"/>
          <w:lang w:val="fr-FR"/>
        </w:rPr>
        <w:t>Exemples de caractères concernés</w:t>
      </w:r>
      <w:r w:rsidR="0056301D">
        <w:rPr>
          <w:rFonts w:eastAsia="Cambria"/>
          <w:lang w:val="fr-FR"/>
        </w:rPr>
        <w:t> :</w:t>
      </w:r>
    </w:p>
    <w:p w14:paraId="228DEB87" w14:textId="28C6C3DC" w:rsidR="008673CC" w:rsidRPr="00953DCC" w:rsidRDefault="005F025D" w:rsidP="00FD2F36">
      <w:pPr>
        <w:pStyle w:val="ListParagraph"/>
        <w:numPr>
          <w:ilvl w:val="0"/>
          <w:numId w:val="15"/>
        </w:numPr>
        <w:ind w:left="1134" w:hanging="567"/>
        <w:rPr>
          <w:rFonts w:eastAsia="Cambria"/>
          <w:lang w:val="fr-FR"/>
        </w:rPr>
      </w:pPr>
      <w:r w:rsidRPr="00953DCC">
        <w:rPr>
          <w:rFonts w:eastAsia="Cambria"/>
          <w:lang w:val="fr-FR"/>
        </w:rPr>
        <w:t>résistances aux maladies monogéniques ou oligogéniques (p.</w:t>
      </w:r>
      <w:r w:rsidR="004A1CA8">
        <w:rPr>
          <w:rFonts w:eastAsia="Cambria"/>
          <w:lang w:val="fr-FR"/>
        </w:rPr>
        <w:t> </w:t>
      </w:r>
      <w:r w:rsidRPr="00953DCC">
        <w:rPr>
          <w:rFonts w:eastAsia="Cambria"/>
          <w:lang w:val="fr-FR"/>
        </w:rPr>
        <w:t>ex.</w:t>
      </w:r>
      <w:r w:rsidR="004A1CA8">
        <w:rPr>
          <w:rFonts w:eastAsia="Cambria"/>
          <w:lang w:val="fr-FR"/>
        </w:rPr>
        <w:t> </w:t>
      </w:r>
      <w:r w:rsidRPr="00953DCC">
        <w:rPr>
          <w:rFonts w:eastAsia="Cambria"/>
          <w:lang w:val="fr-FR"/>
        </w:rPr>
        <w:t>maladies des plantes potagères,</w:t>
      </w:r>
    </w:p>
    <w:p w14:paraId="25CF5992" w14:textId="77777777" w:rsidR="008673CC" w:rsidRPr="00953DCC" w:rsidRDefault="005F025D" w:rsidP="00FD2F36">
      <w:pPr>
        <w:pStyle w:val="ListParagraph"/>
        <w:numPr>
          <w:ilvl w:val="0"/>
          <w:numId w:val="15"/>
        </w:numPr>
        <w:ind w:left="1134" w:hanging="567"/>
        <w:rPr>
          <w:rFonts w:eastAsia="Cambria"/>
          <w:lang w:val="fr-FR"/>
        </w:rPr>
      </w:pPr>
      <w:r w:rsidRPr="00953DCC">
        <w:rPr>
          <w:rFonts w:eastAsia="Cambria"/>
          <w:lang w:val="fr-FR"/>
        </w:rPr>
        <w:t>résistance à la nématode Heterodera schaschtii chez la betterave à sucre)</w:t>
      </w:r>
    </w:p>
    <w:p w14:paraId="0F3706F7" w14:textId="77777777" w:rsidR="0056301D" w:rsidRDefault="005F025D" w:rsidP="00FD2F36">
      <w:pPr>
        <w:pStyle w:val="ListParagraph"/>
        <w:numPr>
          <w:ilvl w:val="0"/>
          <w:numId w:val="15"/>
        </w:numPr>
        <w:ind w:left="1134" w:hanging="567"/>
        <w:rPr>
          <w:rFonts w:eastAsia="Cambria"/>
          <w:lang w:val="fr-FR"/>
        </w:rPr>
      </w:pPr>
      <w:r w:rsidRPr="00953DCC">
        <w:rPr>
          <w:rFonts w:eastAsia="Cambria"/>
          <w:lang w:val="fr-FR"/>
        </w:rPr>
        <w:t>stérilité mâle cytoplasmique du chou</w:t>
      </w:r>
    </w:p>
    <w:p w14:paraId="5729540E" w14:textId="14F4D25D" w:rsidR="005F025D" w:rsidRPr="00953DCC" w:rsidRDefault="005F025D" w:rsidP="00FD2F36">
      <w:pPr>
        <w:pStyle w:val="ListParagraph"/>
        <w:numPr>
          <w:ilvl w:val="0"/>
          <w:numId w:val="15"/>
        </w:numPr>
        <w:ind w:left="1134" w:hanging="567"/>
        <w:rPr>
          <w:rFonts w:eastAsia="Cambria"/>
          <w:lang w:val="fr-FR"/>
        </w:rPr>
      </w:pPr>
      <w:r w:rsidRPr="00953DCC">
        <w:rPr>
          <w:rFonts w:eastAsia="Cambria"/>
          <w:lang w:val="fr-FR"/>
        </w:rPr>
        <w:t>herbicides (tournesol, colza)</w:t>
      </w:r>
    </w:p>
    <w:p w14:paraId="5729540F" w14:textId="77777777" w:rsidR="005F025D" w:rsidRPr="00953DCC" w:rsidRDefault="005F025D" w:rsidP="002A5011">
      <w:pPr>
        <w:rPr>
          <w:rFonts w:eastAsia="Cambria"/>
          <w:lang w:val="fr-FR"/>
        </w:rPr>
      </w:pPr>
    </w:p>
    <w:p w14:paraId="57295410" w14:textId="5A7CBC51" w:rsidR="005F025D" w:rsidRPr="00953DCC" w:rsidRDefault="005F025D" w:rsidP="005F025D">
      <w:pPr>
        <w:rPr>
          <w:rFonts w:eastAsia="Cambria"/>
          <w:lang w:val="fr-FR"/>
        </w:rPr>
      </w:pPr>
      <w:r w:rsidRPr="00953DCC">
        <w:rPr>
          <w:rFonts w:eastAsia="Cambria"/>
          <w:lang w:val="fr-FR"/>
        </w:rPr>
        <w:t>À ce jour, aucun de ces marqueurs n</w:t>
      </w:r>
      <w:r w:rsidR="0056301D">
        <w:rPr>
          <w:rFonts w:eastAsia="Cambria"/>
          <w:lang w:val="fr-FR"/>
        </w:rPr>
        <w:t>’</w:t>
      </w:r>
      <w:r w:rsidRPr="00953DCC">
        <w:rPr>
          <w:rFonts w:eastAsia="Cambria"/>
          <w:lang w:val="fr-FR"/>
        </w:rPr>
        <w:t>a été inclus dans les protocoles techniques de l</w:t>
      </w:r>
      <w:r w:rsidR="0056301D">
        <w:rPr>
          <w:rFonts w:eastAsia="Cambria"/>
          <w:lang w:val="fr-FR"/>
        </w:rPr>
        <w:t>’</w:t>
      </w:r>
      <w:r w:rsidRPr="00953DCC">
        <w:rPr>
          <w:rFonts w:eastAsia="Cambria"/>
          <w:lang w:val="fr-FR"/>
        </w:rPr>
        <w:t>OCVV.</w:t>
      </w:r>
    </w:p>
    <w:p w14:paraId="57295411" w14:textId="77777777" w:rsidR="005F025D" w:rsidRPr="00953DCC" w:rsidRDefault="005F025D" w:rsidP="002A5011">
      <w:pPr>
        <w:rPr>
          <w:rFonts w:eastAsia="Cambria"/>
          <w:lang w:val="fr-FR"/>
        </w:rPr>
      </w:pPr>
    </w:p>
    <w:p w14:paraId="57295412" w14:textId="115491C8" w:rsidR="005F025D" w:rsidRPr="00953DCC" w:rsidRDefault="002A5011" w:rsidP="00FD2F36">
      <w:pPr>
        <w:tabs>
          <w:tab w:val="left" w:pos="567"/>
        </w:tabs>
        <w:rPr>
          <w:rFonts w:eastAsia="Cambria"/>
          <w:lang w:val="fr-FR"/>
        </w:rPr>
      </w:pPr>
      <w:r w:rsidRPr="00953DCC">
        <w:rPr>
          <w:rFonts w:eastAsia="Cambria"/>
          <w:lang w:val="fr-FR"/>
        </w:rPr>
        <w:t>2.1.2.</w:t>
      </w:r>
      <w:r w:rsidRPr="00953DCC">
        <w:rPr>
          <w:rFonts w:eastAsia="Cambria"/>
          <w:lang w:val="fr-FR"/>
        </w:rPr>
        <w:tab/>
      </w:r>
      <w:r w:rsidR="008673CC" w:rsidRPr="00953DCC">
        <w:rPr>
          <w:rFonts w:cs="Arial"/>
          <w:shd w:val="clear" w:color="auto" w:fill="FFFFFF"/>
          <w:lang w:val="fr-FR"/>
        </w:rPr>
        <w:t>Marqueurs fournissant des informations incomplètes sur le niveau d</w:t>
      </w:r>
      <w:r w:rsidR="0056301D">
        <w:rPr>
          <w:rFonts w:cs="Arial"/>
          <w:shd w:val="clear" w:color="auto" w:fill="FFFFFF"/>
          <w:lang w:val="fr-FR"/>
        </w:rPr>
        <w:t>’</w:t>
      </w:r>
      <w:r w:rsidR="008673CC" w:rsidRPr="00953DCC">
        <w:rPr>
          <w:rFonts w:cs="Arial"/>
          <w:shd w:val="clear" w:color="auto" w:fill="FFFFFF"/>
          <w:lang w:val="fr-FR"/>
        </w:rPr>
        <w:t>expression du caractère</w:t>
      </w:r>
    </w:p>
    <w:p w14:paraId="57295413" w14:textId="77777777" w:rsidR="005F025D" w:rsidRPr="00953DCC" w:rsidRDefault="005F025D" w:rsidP="002A5011">
      <w:pPr>
        <w:rPr>
          <w:rFonts w:eastAsia="Cambria"/>
          <w:lang w:val="fr-FR"/>
        </w:rPr>
      </w:pPr>
    </w:p>
    <w:p w14:paraId="57295414" w14:textId="40101F29" w:rsidR="005F025D" w:rsidRPr="00953DCC" w:rsidRDefault="005F025D" w:rsidP="005F025D">
      <w:pPr>
        <w:rPr>
          <w:rFonts w:eastAsia="Cambria"/>
          <w:lang w:val="fr-FR"/>
        </w:rPr>
      </w:pPr>
      <w:r w:rsidRPr="00953DCC">
        <w:rPr>
          <w:rFonts w:eastAsia="Cambria"/>
          <w:lang w:val="fr-FR"/>
        </w:rPr>
        <w:t>Dans ce cas, le marqueur est seulement partiellement relié au caractère et fournit une information incomplète sur le niveau d</w:t>
      </w:r>
      <w:r w:rsidR="0056301D">
        <w:rPr>
          <w:rFonts w:eastAsia="Cambria"/>
          <w:lang w:val="fr-FR"/>
        </w:rPr>
        <w:t>’</w:t>
      </w:r>
      <w:r w:rsidRPr="00953DCC">
        <w:rPr>
          <w:rFonts w:eastAsia="Cambria"/>
          <w:lang w:val="fr-FR"/>
        </w:rPr>
        <w:t>expression du tra</w:t>
      </w:r>
      <w:r w:rsidR="0011329B" w:rsidRPr="00953DCC">
        <w:rPr>
          <w:rFonts w:eastAsia="Cambria"/>
          <w:lang w:val="fr-FR"/>
        </w:rPr>
        <w:t>it</w:t>
      </w:r>
      <w:r w:rsidR="0011329B">
        <w:rPr>
          <w:rFonts w:eastAsia="Cambria"/>
          <w:lang w:val="fr-FR"/>
        </w:rPr>
        <w:t xml:space="preserve">.  </w:t>
      </w:r>
      <w:r w:rsidR="0011329B" w:rsidRPr="00953DCC">
        <w:rPr>
          <w:rFonts w:eastAsia="Cambria"/>
          <w:lang w:val="fr-FR"/>
        </w:rPr>
        <w:t>So</w:t>
      </w:r>
      <w:r w:rsidRPr="00953DCC">
        <w:rPr>
          <w:rFonts w:eastAsia="Cambria"/>
          <w:lang w:val="fr-FR"/>
        </w:rPr>
        <w:t>n utilisation doit être décrite dans une procédure d</w:t>
      </w:r>
      <w:r w:rsidR="0056301D">
        <w:rPr>
          <w:rFonts w:eastAsia="Cambria"/>
          <w:lang w:val="fr-FR"/>
        </w:rPr>
        <w:t>’</w:t>
      </w:r>
      <w:r w:rsidRPr="00953DCC">
        <w:rPr>
          <w:rFonts w:eastAsia="Cambria"/>
          <w:lang w:val="fr-FR"/>
        </w:rPr>
        <w:t>évaluation qui précise les situations dans lesquelles ce marqueur peut être utilisé et quand il doit d</w:t>
      </w:r>
      <w:r w:rsidR="0056301D">
        <w:rPr>
          <w:rFonts w:eastAsia="Cambria"/>
          <w:lang w:val="fr-FR"/>
        </w:rPr>
        <w:t>’</w:t>
      </w:r>
      <w:r w:rsidRPr="00953DCC">
        <w:rPr>
          <w:rFonts w:eastAsia="Cambria"/>
          <w:lang w:val="fr-FR"/>
        </w:rPr>
        <w:t>être complété par une observation phénotypique.</w:t>
      </w:r>
    </w:p>
    <w:p w14:paraId="57295415" w14:textId="77777777" w:rsidR="005F025D" w:rsidRPr="00953DCC" w:rsidRDefault="005F025D" w:rsidP="002A5011">
      <w:pPr>
        <w:rPr>
          <w:rFonts w:eastAsia="Cambria"/>
          <w:lang w:val="fr-FR"/>
        </w:rPr>
      </w:pPr>
    </w:p>
    <w:p w14:paraId="57295416" w14:textId="2191DD22" w:rsidR="005F025D" w:rsidRPr="00953DCC" w:rsidRDefault="005F025D" w:rsidP="005F025D">
      <w:pPr>
        <w:rPr>
          <w:rFonts w:eastAsia="Cambria"/>
          <w:lang w:val="fr-FR"/>
        </w:rPr>
      </w:pPr>
      <w:r w:rsidRPr="00953DCC">
        <w:rPr>
          <w:rFonts w:eastAsia="Cambria"/>
          <w:lang w:val="fr-FR"/>
        </w:rPr>
        <w:t>Exemples de caractères concernés</w:t>
      </w:r>
      <w:r w:rsidR="0056301D">
        <w:rPr>
          <w:rFonts w:eastAsia="Cambria"/>
          <w:lang w:val="fr-FR"/>
        </w:rPr>
        <w:t> :</w:t>
      </w:r>
      <w:r w:rsidRPr="00953DCC">
        <w:rPr>
          <w:rFonts w:eastAsia="Cambria"/>
          <w:lang w:val="fr-FR"/>
        </w:rPr>
        <w:t xml:space="preserve"> résistances quantitatives aux maladies chez les légumes, telles que</w:t>
      </w:r>
    </w:p>
    <w:p w14:paraId="57295417" w14:textId="2B6984B2" w:rsidR="005F025D" w:rsidRPr="00953DCC" w:rsidRDefault="005F025D" w:rsidP="00FD2F36">
      <w:pPr>
        <w:pStyle w:val="ListParagraph"/>
        <w:numPr>
          <w:ilvl w:val="0"/>
          <w:numId w:val="15"/>
        </w:numPr>
        <w:ind w:left="1134" w:hanging="567"/>
        <w:rPr>
          <w:rFonts w:eastAsia="Cambria"/>
          <w:lang w:val="fr-FR"/>
        </w:rPr>
      </w:pPr>
      <w:r w:rsidRPr="00953DCC">
        <w:rPr>
          <w:rFonts w:eastAsia="Cambria"/>
          <w:lang w:val="fr-FR"/>
        </w:rPr>
        <w:t>virus de la mosaïque de la tomate (ToMV)</w:t>
      </w:r>
    </w:p>
    <w:p w14:paraId="57295418" w14:textId="0263754A" w:rsidR="005F025D" w:rsidRPr="00953DCC" w:rsidRDefault="005F025D" w:rsidP="00FD2F36">
      <w:pPr>
        <w:pStyle w:val="ListParagraph"/>
        <w:numPr>
          <w:ilvl w:val="0"/>
          <w:numId w:val="15"/>
        </w:numPr>
        <w:ind w:left="1134" w:hanging="567"/>
        <w:rPr>
          <w:rFonts w:eastAsia="Cambria"/>
          <w:lang w:val="fr-FR"/>
        </w:rPr>
      </w:pPr>
      <w:r w:rsidRPr="00953DCC">
        <w:rPr>
          <w:rFonts w:eastAsia="Cambria"/>
          <w:lang w:val="fr-FR"/>
        </w:rPr>
        <w:t>virus de la tache bronzée de la tomate (TSWV)</w:t>
      </w:r>
    </w:p>
    <w:p w14:paraId="57295419" w14:textId="77777777" w:rsidR="005F025D" w:rsidRPr="00953DCC" w:rsidRDefault="005F025D" w:rsidP="002A5011">
      <w:pPr>
        <w:rPr>
          <w:rFonts w:eastAsia="Cambria"/>
          <w:lang w:val="fr-FR"/>
        </w:rPr>
      </w:pPr>
    </w:p>
    <w:p w14:paraId="5729541A" w14:textId="55F3E657" w:rsidR="005F025D" w:rsidRPr="00953DCC" w:rsidRDefault="005F025D" w:rsidP="005F025D">
      <w:pPr>
        <w:rPr>
          <w:rFonts w:eastAsia="Cambria"/>
          <w:lang w:val="fr-FR"/>
        </w:rPr>
      </w:pPr>
      <w:r w:rsidRPr="00953DCC">
        <w:rPr>
          <w:rFonts w:eastAsia="Cambria"/>
          <w:lang w:val="fr-FR"/>
        </w:rPr>
        <w:t>Les deux</w:t>
      </w:r>
      <w:r w:rsidR="008673CC" w:rsidRPr="00953DCC">
        <w:rPr>
          <w:rFonts w:eastAsia="Cambria"/>
          <w:lang w:val="fr-FR"/>
        </w:rPr>
        <w:t> </w:t>
      </w:r>
      <w:r w:rsidRPr="00953DCC">
        <w:rPr>
          <w:rFonts w:eastAsia="Cambria"/>
          <w:lang w:val="fr-FR"/>
        </w:rPr>
        <w:t>ensembles de marqueurs co</w:t>
      </w:r>
      <w:r w:rsidR="00456121">
        <w:rPr>
          <w:rFonts w:eastAsia="Cambria"/>
          <w:lang w:val="fr-FR"/>
        </w:rPr>
        <w:noBreakHyphen/>
      </w:r>
      <w:r w:rsidRPr="00953DCC">
        <w:rPr>
          <w:rFonts w:eastAsia="Cambria"/>
          <w:lang w:val="fr-FR"/>
        </w:rPr>
        <w:t>dominants élaborés pour ces deux</w:t>
      </w:r>
      <w:r w:rsidR="008673CC" w:rsidRPr="00953DCC">
        <w:rPr>
          <w:rFonts w:eastAsia="Cambria"/>
          <w:lang w:val="fr-FR"/>
        </w:rPr>
        <w:t> </w:t>
      </w:r>
      <w:r w:rsidRPr="00953DCC">
        <w:rPr>
          <w:rFonts w:eastAsia="Cambria"/>
          <w:lang w:val="fr-FR"/>
        </w:rPr>
        <w:t>virus de tomates ont été inclus dans des protocoles techniques de l</w:t>
      </w:r>
      <w:r w:rsidR="0056301D">
        <w:rPr>
          <w:rFonts w:eastAsia="Cambria"/>
          <w:lang w:val="fr-FR"/>
        </w:rPr>
        <w:t>’</w:t>
      </w:r>
      <w:r w:rsidRPr="00953DCC">
        <w:rPr>
          <w:rFonts w:eastAsia="Cambria"/>
          <w:lang w:val="fr-FR"/>
        </w:rPr>
        <w:t>OCVV pour la tomate (4.4</w:t>
      </w:r>
      <w:r w:rsidR="00456121">
        <w:rPr>
          <w:rFonts w:eastAsia="Cambria"/>
          <w:lang w:val="fr-FR"/>
        </w:rPr>
        <w:noBreakHyphen/>
      </w:r>
      <w:r w:rsidRPr="00953DCC">
        <w:rPr>
          <w:rFonts w:eastAsia="Cambria"/>
          <w:lang w:val="fr-FR"/>
        </w:rPr>
        <w:t>2) et les porte</w:t>
      </w:r>
      <w:r w:rsidR="00456121">
        <w:rPr>
          <w:rFonts w:eastAsia="Cambria"/>
          <w:lang w:val="fr-FR"/>
        </w:rPr>
        <w:noBreakHyphen/>
      </w:r>
      <w:r w:rsidRPr="00953DCC">
        <w:rPr>
          <w:rFonts w:eastAsia="Cambria"/>
          <w:lang w:val="fr-FR"/>
        </w:rPr>
        <w:t>greffes de tomate (1.4) comme solution alternative possible aux biotests dans des cas bien précis.</w:t>
      </w:r>
    </w:p>
    <w:p w14:paraId="5729541B" w14:textId="77777777" w:rsidR="005F025D" w:rsidRPr="00953DCC" w:rsidRDefault="005F025D" w:rsidP="002A5011">
      <w:pPr>
        <w:rPr>
          <w:lang w:val="fr-FR"/>
        </w:rPr>
      </w:pPr>
    </w:p>
    <w:p w14:paraId="5729541C" w14:textId="77777777" w:rsidR="005F025D" w:rsidRPr="00953DCC" w:rsidRDefault="005F025D" w:rsidP="002A5011">
      <w:pPr>
        <w:rPr>
          <w:lang w:val="fr-FR"/>
        </w:rPr>
      </w:pPr>
    </w:p>
    <w:p w14:paraId="5729541D" w14:textId="67808259" w:rsidR="005F025D" w:rsidRPr="00953DCC" w:rsidRDefault="002A5011" w:rsidP="00FD2F36">
      <w:pPr>
        <w:tabs>
          <w:tab w:val="left" w:pos="567"/>
        </w:tabs>
        <w:rPr>
          <w:lang w:val="fr-FR"/>
        </w:rPr>
      </w:pPr>
      <w:r w:rsidRPr="00953DCC">
        <w:rPr>
          <w:lang w:val="fr-FR"/>
        </w:rPr>
        <w:t>2.2.</w:t>
      </w:r>
      <w:r w:rsidRPr="00953DCC">
        <w:rPr>
          <w:lang w:val="fr-FR"/>
        </w:rPr>
        <w:tab/>
      </w:r>
      <w:r w:rsidR="000113AC" w:rsidRPr="00953DCC">
        <w:rPr>
          <w:rFonts w:eastAsia="Cambria"/>
          <w:lang w:val="fr-FR"/>
        </w:rPr>
        <w:t>Gestion des collections de variétés</w:t>
      </w:r>
    </w:p>
    <w:p w14:paraId="5729541E" w14:textId="77777777" w:rsidR="005F025D" w:rsidRPr="00953DCC" w:rsidRDefault="005F025D" w:rsidP="002A5011">
      <w:pPr>
        <w:rPr>
          <w:lang w:val="fr-FR"/>
        </w:rPr>
      </w:pPr>
    </w:p>
    <w:p w14:paraId="5729541F" w14:textId="3DBF38D5" w:rsidR="005F025D" w:rsidRPr="00953DCC" w:rsidRDefault="002A5011" w:rsidP="00FD2F36">
      <w:pPr>
        <w:tabs>
          <w:tab w:val="left" w:pos="567"/>
        </w:tabs>
        <w:rPr>
          <w:rFonts w:eastAsia="Cambria"/>
          <w:lang w:val="fr-FR"/>
        </w:rPr>
      </w:pPr>
      <w:bookmarkStart w:id="32" w:name="_Toc459988949"/>
      <w:bookmarkStart w:id="33" w:name="_Toc536804819"/>
      <w:r w:rsidRPr="00953DCC">
        <w:rPr>
          <w:rFonts w:eastAsia="Cambria"/>
          <w:lang w:val="fr-FR"/>
        </w:rPr>
        <w:t>2.2.1.</w:t>
      </w:r>
      <w:r w:rsidRPr="00953DCC">
        <w:rPr>
          <w:rFonts w:eastAsia="Cambria"/>
          <w:lang w:val="fr-FR"/>
        </w:rPr>
        <w:tab/>
      </w:r>
      <w:bookmarkEnd w:id="32"/>
      <w:bookmarkEnd w:id="33"/>
      <w:r w:rsidR="000113AC" w:rsidRPr="00953DCC">
        <w:rPr>
          <w:rFonts w:cs="Arial"/>
          <w:shd w:val="clear" w:color="auto" w:fill="FFFFFF"/>
          <w:lang w:val="fr-FR"/>
        </w:rPr>
        <w:t>Combiner les seuils moléculaires et phénotypiques pour exclure des variétés super distinctes du deuxième essai en culture</w:t>
      </w:r>
    </w:p>
    <w:p w14:paraId="4D12E8A7" w14:textId="77777777" w:rsidR="0056301D" w:rsidRDefault="0056301D" w:rsidP="002A5011">
      <w:pPr>
        <w:rPr>
          <w:rFonts w:eastAsia="Cambria"/>
          <w:lang w:val="fr-FR"/>
        </w:rPr>
      </w:pPr>
    </w:p>
    <w:p w14:paraId="57295421" w14:textId="7284F415" w:rsidR="005F025D" w:rsidRPr="00953DCC" w:rsidRDefault="005F025D" w:rsidP="005F025D">
      <w:pPr>
        <w:rPr>
          <w:rFonts w:eastAsia="Cambria"/>
          <w:lang w:val="fr-FR"/>
        </w:rPr>
      </w:pPr>
      <w:r w:rsidRPr="00953DCC">
        <w:rPr>
          <w:rFonts w:eastAsia="Cambria"/>
          <w:lang w:val="fr-FR"/>
        </w:rPr>
        <w:t>Dans ce modèle, deux</w:t>
      </w:r>
      <w:r w:rsidR="004A1CA8">
        <w:rPr>
          <w:rFonts w:eastAsia="Cambria"/>
          <w:lang w:val="fr-FR"/>
        </w:rPr>
        <w:t> </w:t>
      </w:r>
      <w:r w:rsidRPr="00953DCC">
        <w:rPr>
          <w:rFonts w:eastAsia="Cambria"/>
          <w:lang w:val="fr-FR"/>
        </w:rPr>
        <w:t>seuils indépendants sont fixés pour la sélection de variétés voisines à inclure dans l</w:t>
      </w:r>
      <w:r w:rsidR="0056301D">
        <w:rPr>
          <w:rFonts w:eastAsia="Cambria"/>
          <w:lang w:val="fr-FR"/>
        </w:rPr>
        <w:t>’</w:t>
      </w:r>
      <w:r w:rsidRPr="00953DCC">
        <w:rPr>
          <w:rFonts w:eastAsia="Cambria"/>
          <w:lang w:val="fr-FR"/>
        </w:rPr>
        <w:t>essai en cultu</w:t>
      </w:r>
      <w:r w:rsidR="0011329B" w:rsidRPr="00953DCC">
        <w:rPr>
          <w:rFonts w:eastAsia="Cambria"/>
          <w:lang w:val="fr-FR"/>
        </w:rPr>
        <w:t>re</w:t>
      </w:r>
      <w:r w:rsidR="0011329B">
        <w:rPr>
          <w:rFonts w:eastAsia="Cambria"/>
          <w:lang w:val="fr-FR"/>
        </w:rPr>
        <w:t xml:space="preserve">.  </w:t>
      </w:r>
      <w:r w:rsidR="0011329B" w:rsidRPr="00953DCC">
        <w:rPr>
          <w:rFonts w:eastAsia="Cambria"/>
          <w:lang w:val="fr-FR"/>
        </w:rPr>
        <w:t>Le</w:t>
      </w:r>
      <w:r w:rsidRPr="00953DCC">
        <w:rPr>
          <w:rFonts w:eastAsia="Cambria"/>
          <w:lang w:val="fr-FR"/>
        </w:rPr>
        <w:t xml:space="preserve"> premier seuil repose sur les informations relatives aux caractères morphologiques et le deuxième sur la distance génétique calculée au moyen d</w:t>
      </w:r>
      <w:r w:rsidR="0056301D">
        <w:rPr>
          <w:rFonts w:eastAsia="Cambria"/>
          <w:lang w:val="fr-FR"/>
        </w:rPr>
        <w:t>’</w:t>
      </w:r>
      <w:r w:rsidRPr="00953DCC">
        <w:rPr>
          <w:rFonts w:eastAsia="Cambria"/>
          <w:lang w:val="fr-FR"/>
        </w:rPr>
        <w:t>un ensemble de marqueurs répartis dans l</w:t>
      </w:r>
      <w:r w:rsidR="0056301D">
        <w:rPr>
          <w:rFonts w:eastAsia="Cambria"/>
          <w:lang w:val="fr-FR"/>
        </w:rPr>
        <w:t>’</w:t>
      </w:r>
      <w:r w:rsidRPr="00953DCC">
        <w:rPr>
          <w:rFonts w:eastAsia="Cambria"/>
          <w:lang w:val="fr-FR"/>
        </w:rPr>
        <w:t>ensemble du génome.</w:t>
      </w:r>
      <w:r w:rsidR="002A5011" w:rsidRPr="00953DCC">
        <w:rPr>
          <w:rFonts w:eastAsia="Cambria"/>
          <w:lang w:val="fr-FR"/>
        </w:rPr>
        <w:t xml:space="preserve"> </w:t>
      </w:r>
      <w:r w:rsidR="004A1CA8">
        <w:rPr>
          <w:rFonts w:eastAsia="Cambria"/>
          <w:lang w:val="fr-FR"/>
        </w:rPr>
        <w:t xml:space="preserve"> </w:t>
      </w:r>
      <w:r w:rsidRPr="00953DCC">
        <w:rPr>
          <w:rFonts w:eastAsia="Cambria"/>
          <w:lang w:val="fr-FR"/>
        </w:rPr>
        <w:t>À</w:t>
      </w:r>
      <w:r w:rsidR="000113AC" w:rsidRPr="00953DCC">
        <w:rPr>
          <w:rFonts w:eastAsia="Cambria"/>
          <w:lang w:val="fr-FR"/>
        </w:rPr>
        <w:t> </w:t>
      </w:r>
      <w:r w:rsidRPr="00953DCC">
        <w:rPr>
          <w:rFonts w:eastAsia="Cambria"/>
          <w:lang w:val="fr-FR"/>
        </w:rPr>
        <w:t>l</w:t>
      </w:r>
      <w:r w:rsidR="0056301D">
        <w:rPr>
          <w:rFonts w:eastAsia="Cambria"/>
          <w:lang w:val="fr-FR"/>
        </w:rPr>
        <w:t>’</w:t>
      </w:r>
      <w:r w:rsidRPr="00953DCC">
        <w:rPr>
          <w:rFonts w:eastAsia="Cambria"/>
          <w:lang w:val="fr-FR"/>
        </w:rPr>
        <w:t>exception des variétés très voisines sur le plan morphologique, les variétés de référence qui dépassent les deux</w:t>
      </w:r>
      <w:r w:rsidR="000113AC" w:rsidRPr="00953DCC">
        <w:rPr>
          <w:rFonts w:eastAsia="Cambria"/>
          <w:lang w:val="fr-FR"/>
        </w:rPr>
        <w:t> </w:t>
      </w:r>
      <w:r w:rsidRPr="00953DCC">
        <w:rPr>
          <w:rFonts w:eastAsia="Cambria"/>
          <w:lang w:val="fr-FR"/>
        </w:rPr>
        <w:t>seuils n</w:t>
      </w:r>
      <w:r w:rsidR="0056301D">
        <w:rPr>
          <w:rFonts w:eastAsia="Cambria"/>
          <w:lang w:val="fr-FR"/>
        </w:rPr>
        <w:t>’</w:t>
      </w:r>
      <w:r w:rsidRPr="00953DCC">
        <w:rPr>
          <w:rFonts w:eastAsia="Cambria"/>
          <w:lang w:val="fr-FR"/>
        </w:rPr>
        <w:t>ont pas besoin d</w:t>
      </w:r>
      <w:r w:rsidR="0056301D">
        <w:rPr>
          <w:rFonts w:eastAsia="Cambria"/>
          <w:lang w:val="fr-FR"/>
        </w:rPr>
        <w:t>’</w:t>
      </w:r>
      <w:r w:rsidRPr="00953DCC">
        <w:rPr>
          <w:rFonts w:eastAsia="Cambria"/>
          <w:lang w:val="fr-FR"/>
        </w:rPr>
        <w:t>être incluses dans l</w:t>
      </w:r>
      <w:r w:rsidR="0056301D">
        <w:rPr>
          <w:rFonts w:eastAsia="Cambria"/>
          <w:lang w:val="fr-FR"/>
        </w:rPr>
        <w:t>’</w:t>
      </w:r>
      <w:r w:rsidRPr="00953DCC">
        <w:rPr>
          <w:rFonts w:eastAsia="Cambria"/>
          <w:lang w:val="fr-FR"/>
        </w:rPr>
        <w:t>essai en culture (elles sont considérées comme “super</w:t>
      </w:r>
      <w:r w:rsidR="00456121">
        <w:rPr>
          <w:rFonts w:eastAsia="Cambria"/>
          <w:lang w:val="fr-FR"/>
        </w:rPr>
        <w:noBreakHyphen/>
      </w:r>
      <w:r w:rsidRPr="00953DCC">
        <w:rPr>
          <w:rFonts w:eastAsia="Cambria"/>
          <w:lang w:val="fr-FR"/>
        </w:rPr>
        <w:t>distinctes”).</w:t>
      </w:r>
    </w:p>
    <w:p w14:paraId="57295422" w14:textId="77777777" w:rsidR="005F025D" w:rsidRPr="00953DCC" w:rsidRDefault="005F025D" w:rsidP="002A5011">
      <w:pPr>
        <w:rPr>
          <w:rFonts w:eastAsia="Cambria"/>
          <w:lang w:val="fr-FR"/>
        </w:rPr>
      </w:pPr>
    </w:p>
    <w:p w14:paraId="57295423" w14:textId="73FE82E6" w:rsidR="005F025D" w:rsidRPr="00953DCC" w:rsidRDefault="005F025D" w:rsidP="005F025D">
      <w:pPr>
        <w:rPr>
          <w:rFonts w:eastAsia="Cambria"/>
          <w:lang w:val="fr-FR"/>
        </w:rPr>
      </w:pPr>
      <w:r w:rsidRPr="00953DCC">
        <w:rPr>
          <w:rFonts w:eastAsia="Cambria"/>
          <w:lang w:val="fr-FR"/>
        </w:rPr>
        <w:t>Ce modèle est régulièrement appliqué par les offices d</w:t>
      </w:r>
      <w:r w:rsidR="0056301D">
        <w:rPr>
          <w:rFonts w:eastAsia="Cambria"/>
          <w:lang w:val="fr-FR"/>
        </w:rPr>
        <w:t>’</w:t>
      </w:r>
      <w:r w:rsidRPr="00953DCC">
        <w:rPr>
          <w:rFonts w:eastAsia="Cambria"/>
          <w:lang w:val="fr-FR"/>
        </w:rPr>
        <w:t>examen compétents pour les espèces telles que le maïs, la laitue, le blé et l</w:t>
      </w:r>
      <w:r w:rsidR="0056301D">
        <w:rPr>
          <w:rFonts w:eastAsia="Cambria"/>
          <w:lang w:val="fr-FR"/>
        </w:rPr>
        <w:t>’</w:t>
      </w:r>
      <w:r w:rsidRPr="00953DCC">
        <w:rPr>
          <w:rFonts w:eastAsia="Cambria"/>
          <w:lang w:val="fr-FR"/>
        </w:rPr>
        <w:t>orge et fait actuellement l</w:t>
      </w:r>
      <w:r w:rsidR="0056301D">
        <w:rPr>
          <w:rFonts w:eastAsia="Cambria"/>
          <w:lang w:val="fr-FR"/>
        </w:rPr>
        <w:t>’</w:t>
      </w:r>
      <w:r w:rsidRPr="00953DCC">
        <w:rPr>
          <w:rFonts w:eastAsia="Cambria"/>
          <w:lang w:val="fr-FR"/>
        </w:rPr>
        <w:t>objet de tests pour le colza oléagineux dans le cadre de projets de recherche</w:t>
      </w:r>
      <w:r w:rsidR="00456121">
        <w:rPr>
          <w:rFonts w:eastAsia="Cambria"/>
          <w:lang w:val="fr-FR"/>
        </w:rPr>
        <w:noBreakHyphen/>
      </w:r>
      <w:r w:rsidRPr="00953DCC">
        <w:rPr>
          <w:rFonts w:eastAsia="Cambria"/>
          <w:lang w:val="fr-FR"/>
        </w:rPr>
        <w:t>développement cofinancés par l</w:t>
      </w:r>
      <w:r w:rsidR="0056301D">
        <w:rPr>
          <w:rFonts w:eastAsia="Cambria"/>
          <w:lang w:val="fr-FR"/>
        </w:rPr>
        <w:t>’</w:t>
      </w:r>
      <w:r w:rsidRPr="00953DCC">
        <w:rPr>
          <w:rFonts w:eastAsia="Cambria"/>
          <w:lang w:val="fr-FR"/>
        </w:rPr>
        <w:t>OCVV.</w:t>
      </w:r>
    </w:p>
    <w:p w14:paraId="57295424" w14:textId="77777777" w:rsidR="005F025D" w:rsidRPr="00953DCC" w:rsidRDefault="005F025D" w:rsidP="002A5011">
      <w:pPr>
        <w:rPr>
          <w:rFonts w:eastAsia="Cambria"/>
          <w:lang w:val="fr-FR"/>
        </w:rPr>
      </w:pPr>
      <w:bookmarkStart w:id="34" w:name="_Toc459988950"/>
      <w:bookmarkStart w:id="35" w:name="_Toc536804820"/>
    </w:p>
    <w:p w14:paraId="57295425" w14:textId="449E7969" w:rsidR="005F025D" w:rsidRPr="00953DCC" w:rsidRDefault="002A5011" w:rsidP="00FD2F36">
      <w:pPr>
        <w:tabs>
          <w:tab w:val="left" w:pos="567"/>
        </w:tabs>
        <w:rPr>
          <w:rFonts w:eastAsia="Cambria"/>
          <w:lang w:val="fr-FR"/>
        </w:rPr>
      </w:pPr>
      <w:r w:rsidRPr="00953DCC">
        <w:rPr>
          <w:rFonts w:eastAsia="Cambria"/>
          <w:lang w:val="fr-FR"/>
        </w:rPr>
        <w:t>2.2.2.</w:t>
      </w:r>
      <w:r w:rsidRPr="00953DCC">
        <w:rPr>
          <w:rFonts w:eastAsia="Cambria"/>
          <w:lang w:val="fr-FR"/>
        </w:rPr>
        <w:tab/>
      </w:r>
      <w:bookmarkEnd w:id="34"/>
      <w:bookmarkEnd w:id="35"/>
      <w:r w:rsidR="000113AC" w:rsidRPr="00953DCC">
        <w:rPr>
          <w:rFonts w:cs="Arial"/>
          <w:shd w:val="clear" w:color="auto" w:fill="FFFFFF"/>
          <w:lang w:val="fr-FR"/>
        </w:rPr>
        <w:t>Sélection génétique de variétés voisines pour le premier cycle d</w:t>
      </w:r>
      <w:r w:rsidR="0056301D">
        <w:rPr>
          <w:rFonts w:cs="Arial"/>
          <w:shd w:val="clear" w:color="auto" w:fill="FFFFFF"/>
          <w:lang w:val="fr-FR"/>
        </w:rPr>
        <w:t>’</w:t>
      </w:r>
      <w:r w:rsidR="000113AC" w:rsidRPr="00953DCC">
        <w:rPr>
          <w:rFonts w:cs="Arial"/>
          <w:shd w:val="clear" w:color="auto" w:fill="FFFFFF"/>
          <w:lang w:val="fr-FR"/>
        </w:rPr>
        <w:t>essais en culture</w:t>
      </w:r>
    </w:p>
    <w:p w14:paraId="57295426" w14:textId="77777777" w:rsidR="005F025D" w:rsidRPr="00953DCC" w:rsidRDefault="005F025D" w:rsidP="002A5011">
      <w:pPr>
        <w:rPr>
          <w:rFonts w:eastAsia="Cambria"/>
          <w:lang w:val="fr-FR"/>
        </w:rPr>
      </w:pPr>
    </w:p>
    <w:p w14:paraId="57295427" w14:textId="1D5CFB1A" w:rsidR="005F025D" w:rsidRPr="00953DCC" w:rsidRDefault="005F025D" w:rsidP="005F025D">
      <w:pPr>
        <w:rPr>
          <w:rFonts w:eastAsia="Cambria"/>
          <w:lang w:val="fr-FR"/>
        </w:rPr>
      </w:pPr>
      <w:r w:rsidRPr="00953DCC">
        <w:rPr>
          <w:rFonts w:eastAsia="Cambria"/>
          <w:lang w:val="fr-FR"/>
        </w:rPr>
        <w:t>La variété proposée est génotypée au moyen d</w:t>
      </w:r>
      <w:r w:rsidR="0056301D">
        <w:rPr>
          <w:rFonts w:eastAsia="Cambria"/>
          <w:lang w:val="fr-FR"/>
        </w:rPr>
        <w:t>’</w:t>
      </w:r>
      <w:r w:rsidRPr="00953DCC">
        <w:rPr>
          <w:rFonts w:eastAsia="Cambria"/>
          <w:lang w:val="fr-FR"/>
        </w:rPr>
        <w:t>un ensemble de marqueurs et son profil est comparé aux variétés de la collection de référen</w:t>
      </w:r>
      <w:r w:rsidR="0011329B" w:rsidRPr="00953DCC">
        <w:rPr>
          <w:rFonts w:eastAsia="Cambria"/>
          <w:lang w:val="fr-FR"/>
        </w:rPr>
        <w:t>ce</w:t>
      </w:r>
      <w:r w:rsidR="0011329B">
        <w:rPr>
          <w:rFonts w:eastAsia="Cambria"/>
          <w:lang w:val="fr-FR"/>
        </w:rPr>
        <w:t xml:space="preserve">.  </w:t>
      </w:r>
      <w:r w:rsidR="0011329B" w:rsidRPr="00953DCC">
        <w:rPr>
          <w:rFonts w:eastAsia="Cambria"/>
          <w:lang w:val="fr-FR"/>
        </w:rPr>
        <w:t>To</w:t>
      </w:r>
      <w:r w:rsidRPr="00953DCC">
        <w:rPr>
          <w:rFonts w:eastAsia="Cambria"/>
          <w:lang w:val="fr-FR"/>
        </w:rPr>
        <w:t>utes les variétés de référence présentant une similarité génétique avec la variété proposée dépassant un certain pourcentage (p.</w:t>
      </w:r>
      <w:r w:rsidR="000113AC" w:rsidRPr="00953DCC">
        <w:rPr>
          <w:rFonts w:eastAsia="Cambria"/>
          <w:lang w:val="fr-FR"/>
        </w:rPr>
        <w:t> </w:t>
      </w:r>
      <w:r w:rsidRPr="00953DCC">
        <w:rPr>
          <w:rFonts w:eastAsia="Cambria"/>
          <w:lang w:val="fr-FR"/>
        </w:rPr>
        <w:t>ex.</w:t>
      </w:r>
      <w:r w:rsidR="004A1CA8">
        <w:rPr>
          <w:rFonts w:eastAsia="Cambria"/>
          <w:lang w:val="fr-FR"/>
        </w:rPr>
        <w:t> </w:t>
      </w:r>
      <w:r w:rsidRPr="00953DCC">
        <w:rPr>
          <w:rFonts w:eastAsia="Cambria"/>
          <w:lang w:val="fr-FR"/>
        </w:rPr>
        <w:t>80%) doivent être incluses dans le premier cycle de culture, et toutes les autres doivent en être exclues.</w:t>
      </w:r>
    </w:p>
    <w:p w14:paraId="57295428" w14:textId="77777777" w:rsidR="005F025D" w:rsidRPr="00953DCC" w:rsidRDefault="005F025D" w:rsidP="002A5011">
      <w:pPr>
        <w:rPr>
          <w:rFonts w:eastAsia="Cambria"/>
          <w:lang w:val="fr-FR"/>
        </w:rPr>
      </w:pPr>
    </w:p>
    <w:p w14:paraId="57295429" w14:textId="5596CC38" w:rsidR="005F025D" w:rsidRPr="00953DCC" w:rsidRDefault="005F025D" w:rsidP="005F025D">
      <w:pPr>
        <w:rPr>
          <w:rFonts w:eastAsia="Cambria"/>
          <w:lang w:val="fr-FR"/>
        </w:rPr>
      </w:pPr>
      <w:r w:rsidRPr="00953DCC">
        <w:rPr>
          <w:rFonts w:eastAsia="Cambria"/>
          <w:lang w:val="fr-FR"/>
        </w:rPr>
        <w:lastRenderedPageBreak/>
        <w:t>Durant le premier cycle, la variété proposée est évaluée quant à son homogénéité et décrite sur le plan morphologique conformément au protocole techniq</w:t>
      </w:r>
      <w:r w:rsidR="0011329B" w:rsidRPr="00953DCC">
        <w:rPr>
          <w:rFonts w:eastAsia="Cambria"/>
          <w:lang w:val="fr-FR"/>
        </w:rPr>
        <w:t>ue</w:t>
      </w:r>
      <w:r w:rsidR="0011329B">
        <w:rPr>
          <w:rFonts w:eastAsia="Cambria"/>
          <w:lang w:val="fr-FR"/>
        </w:rPr>
        <w:t xml:space="preserve">.  </w:t>
      </w:r>
      <w:r w:rsidR="0011329B" w:rsidRPr="00953DCC">
        <w:rPr>
          <w:rFonts w:eastAsia="Cambria"/>
          <w:lang w:val="fr-FR"/>
        </w:rPr>
        <w:t>Sa</w:t>
      </w:r>
      <w:r w:rsidRPr="00953DCC">
        <w:rPr>
          <w:rFonts w:eastAsia="Cambria"/>
          <w:lang w:val="fr-FR"/>
        </w:rPr>
        <w:t xml:space="preserve"> description morphologique est ensuite comparée in silico aux descriptions de toutes les autres variétés de référence.</w:t>
      </w:r>
    </w:p>
    <w:p w14:paraId="5729542A" w14:textId="77777777" w:rsidR="005F025D" w:rsidRPr="00953DCC" w:rsidRDefault="005F025D" w:rsidP="002A5011">
      <w:pPr>
        <w:rPr>
          <w:rFonts w:eastAsia="Cambria"/>
          <w:lang w:val="fr-FR"/>
        </w:rPr>
      </w:pPr>
    </w:p>
    <w:p w14:paraId="5729542B" w14:textId="22A87A03" w:rsidR="005F025D" w:rsidRPr="00953DCC" w:rsidRDefault="005F025D" w:rsidP="005F025D">
      <w:pPr>
        <w:rPr>
          <w:rFonts w:eastAsia="Cambria"/>
          <w:i/>
          <w:sz w:val="16"/>
          <w:lang w:val="fr-FR"/>
        </w:rPr>
      </w:pPr>
      <w:r w:rsidRPr="00953DCC">
        <w:rPr>
          <w:rFonts w:eastAsia="Cambria"/>
          <w:i/>
          <w:sz w:val="16"/>
          <w:lang w:val="fr-FR"/>
        </w:rPr>
        <w:t>Remarque</w:t>
      </w:r>
      <w:r w:rsidR="0056301D">
        <w:rPr>
          <w:rFonts w:eastAsia="Cambria"/>
          <w:i/>
          <w:sz w:val="16"/>
          <w:lang w:val="fr-FR"/>
        </w:rPr>
        <w:t> :</w:t>
      </w:r>
      <w:r w:rsidRPr="00953DCC">
        <w:rPr>
          <w:rFonts w:eastAsia="Cambria"/>
          <w:i/>
          <w:sz w:val="16"/>
          <w:lang w:val="fr-FR"/>
        </w:rPr>
        <w:t xml:space="preserve"> les descriptions morphologiques des variétés de référence utilisées pour la comparaison in silico doivent reposer sur les observations faites par l</w:t>
      </w:r>
      <w:r w:rsidR="0056301D">
        <w:rPr>
          <w:rFonts w:eastAsia="Cambria"/>
          <w:i/>
          <w:sz w:val="16"/>
          <w:lang w:val="fr-FR"/>
        </w:rPr>
        <w:t>’</w:t>
      </w:r>
      <w:r w:rsidRPr="00953DCC">
        <w:rPr>
          <w:rFonts w:eastAsia="Cambria"/>
          <w:i/>
          <w:sz w:val="16"/>
          <w:lang w:val="fr-FR"/>
        </w:rPr>
        <w:t>office d</w:t>
      </w:r>
      <w:r w:rsidR="0056301D">
        <w:rPr>
          <w:rFonts w:eastAsia="Cambria"/>
          <w:i/>
          <w:sz w:val="16"/>
          <w:lang w:val="fr-FR"/>
        </w:rPr>
        <w:t>’</w:t>
      </w:r>
      <w:r w:rsidRPr="00953DCC">
        <w:rPr>
          <w:rFonts w:eastAsia="Cambria"/>
          <w:i/>
          <w:sz w:val="16"/>
          <w:lang w:val="fr-FR"/>
        </w:rPr>
        <w:t>examen (descriptions des variétés en inter</w:t>
      </w:r>
      <w:r w:rsidR="0011329B" w:rsidRPr="00953DCC">
        <w:rPr>
          <w:rFonts w:eastAsia="Cambria"/>
          <w:i/>
          <w:sz w:val="16"/>
          <w:lang w:val="fr-FR"/>
        </w:rPr>
        <w:t>ne)</w:t>
      </w:r>
      <w:r w:rsidR="0011329B">
        <w:rPr>
          <w:rFonts w:eastAsia="Cambria"/>
          <w:i/>
          <w:sz w:val="16"/>
          <w:lang w:val="fr-FR"/>
        </w:rPr>
        <w:t xml:space="preserve">.  </w:t>
      </w:r>
      <w:r w:rsidR="0011329B" w:rsidRPr="00953DCC">
        <w:rPr>
          <w:rFonts w:eastAsia="Cambria"/>
          <w:i/>
          <w:sz w:val="16"/>
          <w:lang w:val="fr-FR"/>
        </w:rPr>
        <w:t>Si</w:t>
      </w:r>
      <w:r w:rsidRPr="00953DCC">
        <w:rPr>
          <w:rFonts w:eastAsia="Cambria"/>
          <w:i/>
          <w:sz w:val="16"/>
          <w:lang w:val="fr-FR"/>
        </w:rPr>
        <w:t xml:space="preserve"> les descriptions des variétés utilisées ne sont pas faites en interne, elles ne peuvent être utilisées que si les échelles de notation ont été harmonisées entre les offices d</w:t>
      </w:r>
      <w:r w:rsidR="0056301D">
        <w:rPr>
          <w:rFonts w:eastAsia="Cambria"/>
          <w:i/>
          <w:sz w:val="16"/>
          <w:lang w:val="fr-FR"/>
        </w:rPr>
        <w:t>’</w:t>
      </w:r>
      <w:r w:rsidRPr="00953DCC">
        <w:rPr>
          <w:rFonts w:eastAsia="Cambria"/>
          <w:i/>
          <w:sz w:val="16"/>
          <w:lang w:val="fr-FR"/>
        </w:rPr>
        <w:t>examen qui les produisent et les utilisent (grâce à des tests d</w:t>
      </w:r>
      <w:r w:rsidR="0056301D">
        <w:rPr>
          <w:rFonts w:eastAsia="Cambria"/>
          <w:i/>
          <w:sz w:val="16"/>
          <w:lang w:val="fr-FR"/>
        </w:rPr>
        <w:t>’</w:t>
      </w:r>
      <w:r w:rsidRPr="00953DCC">
        <w:rPr>
          <w:rFonts w:eastAsia="Cambria"/>
          <w:i/>
          <w:sz w:val="16"/>
          <w:lang w:val="fr-FR"/>
        </w:rPr>
        <w:t>étalonnage par exemple).</w:t>
      </w:r>
    </w:p>
    <w:p w14:paraId="5729542C" w14:textId="77777777" w:rsidR="005F025D" w:rsidRPr="00953DCC" w:rsidRDefault="005F025D" w:rsidP="002A5011">
      <w:pPr>
        <w:rPr>
          <w:rFonts w:eastAsia="Cambria"/>
          <w:lang w:val="fr-FR"/>
        </w:rPr>
      </w:pPr>
    </w:p>
    <w:p w14:paraId="5729542D" w14:textId="1E6BC198" w:rsidR="005F025D" w:rsidRPr="00953DCC" w:rsidRDefault="005F025D" w:rsidP="005F025D">
      <w:pPr>
        <w:rPr>
          <w:rFonts w:eastAsia="Cambria"/>
          <w:lang w:val="fr-FR"/>
        </w:rPr>
      </w:pPr>
      <w:r w:rsidRPr="00953DCC">
        <w:rPr>
          <w:rFonts w:eastAsia="Cambria"/>
          <w:lang w:val="fr-FR"/>
        </w:rPr>
        <w:t>Les variétés de référence identifiées comme étant morphologiquement voisines de la variété proposée seront incluses pour comparaison dans le deuxième essai en cultu</w:t>
      </w:r>
      <w:r w:rsidR="0011329B" w:rsidRPr="00953DCC">
        <w:rPr>
          <w:rFonts w:eastAsia="Cambria"/>
          <w:lang w:val="fr-FR"/>
        </w:rPr>
        <w:t>re</w:t>
      </w:r>
      <w:r w:rsidR="0011329B">
        <w:rPr>
          <w:rFonts w:eastAsia="Cambria"/>
          <w:lang w:val="fr-FR"/>
        </w:rPr>
        <w:t xml:space="preserve">.  </w:t>
      </w:r>
      <w:r w:rsidR="0011329B" w:rsidRPr="00953DCC">
        <w:rPr>
          <w:rFonts w:eastAsia="Cambria"/>
          <w:lang w:val="fr-FR"/>
        </w:rPr>
        <w:t>Si</w:t>
      </w:r>
      <w:r w:rsidRPr="00953DCC">
        <w:rPr>
          <w:rFonts w:eastAsia="Cambria"/>
          <w:lang w:val="fr-FR"/>
        </w:rPr>
        <w:t xml:space="preserve"> la variété se révèle nettement distincte des variétés voisines durant le premier cycle de culture et qu</w:t>
      </w:r>
      <w:r w:rsidR="0056301D">
        <w:rPr>
          <w:rFonts w:eastAsia="Cambria"/>
          <w:lang w:val="fr-FR"/>
        </w:rPr>
        <w:t>’</w:t>
      </w:r>
      <w:r w:rsidRPr="00953DCC">
        <w:rPr>
          <w:rFonts w:eastAsia="Cambria"/>
          <w:lang w:val="fr-FR"/>
        </w:rPr>
        <w:t>aucune variété voisine n</w:t>
      </w:r>
      <w:r w:rsidR="0056301D">
        <w:rPr>
          <w:rFonts w:eastAsia="Cambria"/>
          <w:lang w:val="fr-FR"/>
        </w:rPr>
        <w:t>’</w:t>
      </w:r>
      <w:r w:rsidRPr="00953DCC">
        <w:rPr>
          <w:rFonts w:eastAsia="Cambria"/>
          <w:lang w:val="fr-FR"/>
        </w:rPr>
        <w:t>est détectée sur la base de la description de la variété après le premier cycle de culture, une décision positive concernant la distinction peut être prise après un seul cycle de culture.</w:t>
      </w:r>
    </w:p>
    <w:p w14:paraId="5729542E" w14:textId="77777777" w:rsidR="005F025D" w:rsidRPr="00953DCC" w:rsidRDefault="005F025D" w:rsidP="002A5011">
      <w:pPr>
        <w:rPr>
          <w:rFonts w:eastAsia="Cambria"/>
          <w:lang w:val="fr-FR"/>
        </w:rPr>
      </w:pPr>
    </w:p>
    <w:p w14:paraId="5729542F" w14:textId="7CD1FD60" w:rsidR="005F025D" w:rsidRPr="00953DCC" w:rsidRDefault="005F025D" w:rsidP="005F025D">
      <w:pPr>
        <w:rPr>
          <w:rFonts w:eastAsia="Cambria"/>
          <w:lang w:val="fr-FR"/>
        </w:rPr>
      </w:pPr>
      <w:r w:rsidRPr="00953DCC">
        <w:rPr>
          <w:rFonts w:eastAsia="Cambria"/>
          <w:lang w:val="fr-FR"/>
        </w:rPr>
        <w:t>Ce modèle est appliqué par certains offices d</w:t>
      </w:r>
      <w:r w:rsidR="0056301D">
        <w:rPr>
          <w:rFonts w:eastAsia="Cambria"/>
          <w:lang w:val="fr-FR"/>
        </w:rPr>
        <w:t>’</w:t>
      </w:r>
      <w:r w:rsidRPr="00953DCC">
        <w:rPr>
          <w:rFonts w:eastAsia="Cambria"/>
          <w:lang w:val="fr-FR"/>
        </w:rPr>
        <w:t>examen compétents pour des espèces comme le haricot et la pomme de ter</w:t>
      </w:r>
      <w:r w:rsidR="0011329B" w:rsidRPr="00953DCC">
        <w:rPr>
          <w:rFonts w:eastAsia="Cambria"/>
          <w:lang w:val="fr-FR"/>
        </w:rPr>
        <w:t>re</w:t>
      </w:r>
      <w:r w:rsidR="0011329B">
        <w:rPr>
          <w:rFonts w:eastAsia="Cambria"/>
          <w:lang w:val="fr-FR"/>
        </w:rPr>
        <w:t xml:space="preserve">.  </w:t>
      </w:r>
      <w:r w:rsidR="0011329B" w:rsidRPr="00953DCC">
        <w:rPr>
          <w:rFonts w:eastAsia="Cambria"/>
          <w:lang w:val="fr-FR"/>
        </w:rPr>
        <w:t>Il</w:t>
      </w:r>
      <w:r w:rsidRPr="00953DCC">
        <w:rPr>
          <w:rFonts w:eastAsia="Cambria"/>
          <w:lang w:val="fr-FR"/>
        </w:rPr>
        <w:t xml:space="preserve"> est actuellement à l</w:t>
      </w:r>
      <w:r w:rsidR="0056301D">
        <w:rPr>
          <w:rFonts w:eastAsia="Cambria"/>
          <w:lang w:val="fr-FR"/>
        </w:rPr>
        <w:t>’</w:t>
      </w:r>
      <w:r w:rsidRPr="00953DCC">
        <w:rPr>
          <w:rFonts w:eastAsia="Cambria"/>
          <w:lang w:val="fr-FR"/>
        </w:rPr>
        <w:t>essai pour le blé dur et sera étudié pour la tomate et le chanvre dans le cadre de projets de recherche</w:t>
      </w:r>
      <w:r w:rsidR="00456121">
        <w:rPr>
          <w:rFonts w:eastAsia="Cambria"/>
          <w:lang w:val="fr-FR"/>
        </w:rPr>
        <w:noBreakHyphen/>
      </w:r>
      <w:r w:rsidRPr="00953DCC">
        <w:rPr>
          <w:rFonts w:eastAsia="Cambria"/>
          <w:lang w:val="fr-FR"/>
        </w:rPr>
        <w:t>développement cofinancés par l</w:t>
      </w:r>
      <w:r w:rsidR="0056301D">
        <w:rPr>
          <w:rFonts w:eastAsia="Cambria"/>
          <w:lang w:val="fr-FR"/>
        </w:rPr>
        <w:t>’</w:t>
      </w:r>
      <w:r w:rsidRPr="00953DCC">
        <w:rPr>
          <w:rFonts w:eastAsia="Cambria"/>
          <w:lang w:val="fr-FR"/>
        </w:rPr>
        <w:t>OCVV.</w:t>
      </w:r>
    </w:p>
    <w:p w14:paraId="57295430" w14:textId="77777777" w:rsidR="005F025D" w:rsidRPr="00953DCC" w:rsidRDefault="005F025D" w:rsidP="002A5011">
      <w:pPr>
        <w:rPr>
          <w:rFonts w:eastAsia="Cambria"/>
          <w:lang w:val="fr-FR"/>
        </w:rPr>
      </w:pPr>
    </w:p>
    <w:p w14:paraId="2914AB76" w14:textId="359A442C" w:rsidR="0056301D" w:rsidRDefault="005F025D" w:rsidP="005F025D">
      <w:pPr>
        <w:rPr>
          <w:rFonts w:eastAsia="Cambria"/>
          <w:lang w:val="fr-FR"/>
        </w:rPr>
      </w:pPr>
      <w:r w:rsidRPr="00953DCC">
        <w:rPr>
          <w:rFonts w:eastAsia="Cambria"/>
          <w:lang w:val="fr-FR"/>
        </w:rPr>
        <w:t>Les méthodes sont évaluées par des groupes de phytotechniciens de l</w:t>
      </w:r>
      <w:r w:rsidR="0056301D">
        <w:rPr>
          <w:rFonts w:eastAsia="Cambria"/>
          <w:lang w:val="fr-FR"/>
        </w:rPr>
        <w:t>’</w:t>
      </w:r>
      <w:r w:rsidRPr="00953DCC">
        <w:rPr>
          <w:rFonts w:eastAsia="Cambria"/>
          <w:lang w:val="fr-FR"/>
        </w:rPr>
        <w:t>OCVV.</w:t>
      </w:r>
    </w:p>
    <w:p w14:paraId="57295432" w14:textId="69742DF9" w:rsidR="005F025D" w:rsidRPr="00953DCC" w:rsidRDefault="005F025D" w:rsidP="002A5011">
      <w:pPr>
        <w:rPr>
          <w:rFonts w:eastAsia="Cambria"/>
          <w:lang w:val="fr-FR"/>
        </w:rPr>
      </w:pPr>
    </w:p>
    <w:p w14:paraId="57295433" w14:textId="77777777" w:rsidR="005F025D" w:rsidRPr="00953DCC" w:rsidRDefault="005F025D" w:rsidP="002A5011">
      <w:pPr>
        <w:rPr>
          <w:rFonts w:eastAsia="Cambria"/>
          <w:lang w:val="fr-FR"/>
        </w:rPr>
      </w:pPr>
    </w:p>
    <w:p w14:paraId="57295434" w14:textId="4418079C" w:rsidR="005F025D" w:rsidRPr="00953DCC" w:rsidRDefault="002A5011" w:rsidP="00104784">
      <w:pPr>
        <w:tabs>
          <w:tab w:val="left" w:pos="567"/>
        </w:tabs>
        <w:rPr>
          <w:lang w:val="fr-FR"/>
        </w:rPr>
      </w:pPr>
      <w:r w:rsidRPr="00953DCC">
        <w:rPr>
          <w:lang w:val="fr-FR"/>
        </w:rPr>
        <w:t>2.3.</w:t>
      </w:r>
      <w:r w:rsidRPr="00953DCC">
        <w:rPr>
          <w:lang w:val="fr-FR"/>
        </w:rPr>
        <w:tab/>
      </w:r>
      <w:r w:rsidR="000113AC" w:rsidRPr="00953DCC">
        <w:rPr>
          <w:rFonts w:cs="Arial"/>
          <w:shd w:val="clear" w:color="auto" w:fill="FFFFFF"/>
          <w:lang w:val="fr-FR"/>
        </w:rPr>
        <w:t>Autres utilisations</w:t>
      </w:r>
    </w:p>
    <w:p w14:paraId="57295435" w14:textId="77777777" w:rsidR="005F025D" w:rsidRPr="00953DCC" w:rsidRDefault="005F025D" w:rsidP="002A5011">
      <w:pPr>
        <w:rPr>
          <w:lang w:val="fr-FR"/>
        </w:rPr>
      </w:pPr>
    </w:p>
    <w:p w14:paraId="57295436" w14:textId="2407FACD" w:rsidR="005F025D" w:rsidRPr="00953DCC" w:rsidRDefault="002A5011" w:rsidP="00104784">
      <w:pPr>
        <w:tabs>
          <w:tab w:val="left" w:pos="567"/>
        </w:tabs>
        <w:rPr>
          <w:rFonts w:eastAsia="Cambria"/>
          <w:lang w:val="fr-FR"/>
        </w:rPr>
      </w:pPr>
      <w:r w:rsidRPr="00953DCC">
        <w:rPr>
          <w:rFonts w:eastAsia="Cambria"/>
          <w:lang w:val="fr-FR"/>
        </w:rPr>
        <w:t>2.3.1.</w:t>
      </w:r>
      <w:r w:rsidRPr="00953DCC">
        <w:rPr>
          <w:rFonts w:eastAsia="Cambria"/>
          <w:lang w:val="fr-FR"/>
        </w:rPr>
        <w:tab/>
      </w:r>
      <w:r w:rsidR="000113AC" w:rsidRPr="00953DCC">
        <w:rPr>
          <w:rFonts w:cs="Arial"/>
          <w:shd w:val="clear" w:color="auto" w:fill="FFFFFF"/>
          <w:lang w:val="fr-FR"/>
        </w:rPr>
        <w:t>Identification en faveur de la conservation des collections de variétés</w:t>
      </w:r>
    </w:p>
    <w:p w14:paraId="57295437" w14:textId="08B7F3F3" w:rsidR="005F025D" w:rsidRPr="00953DCC" w:rsidRDefault="005F025D" w:rsidP="005F025D">
      <w:pPr>
        <w:rPr>
          <w:rFonts w:eastAsia="Cambria"/>
          <w:lang w:val="fr-FR"/>
        </w:rPr>
      </w:pPr>
      <w:r w:rsidRPr="00953DCC">
        <w:rPr>
          <w:rFonts w:eastAsia="Cambria"/>
          <w:lang w:val="fr-FR"/>
        </w:rPr>
        <w:t>Tous les marqueurs moléculaires utilisés dans les exemples cités précédemment peuvent être utilisés à des fins d</w:t>
      </w:r>
      <w:r w:rsidR="0056301D">
        <w:rPr>
          <w:rFonts w:eastAsia="Cambria"/>
          <w:lang w:val="fr-FR"/>
        </w:rPr>
        <w:t>’</w:t>
      </w:r>
      <w:r w:rsidRPr="00953DCC">
        <w:rPr>
          <w:rFonts w:eastAsia="Cambria"/>
          <w:lang w:val="fr-FR"/>
        </w:rPr>
        <w:t>identification en faveur de la conservation des collections de référence.</w:t>
      </w:r>
    </w:p>
    <w:p w14:paraId="57295438" w14:textId="77777777" w:rsidR="005F025D" w:rsidRPr="00953DCC" w:rsidRDefault="005F025D" w:rsidP="002A5011">
      <w:pPr>
        <w:rPr>
          <w:rFonts w:eastAsia="Cambria"/>
          <w:lang w:val="fr-FR"/>
        </w:rPr>
      </w:pPr>
    </w:p>
    <w:p w14:paraId="110074F2" w14:textId="69EE5A2E" w:rsidR="0056301D" w:rsidRDefault="005F025D" w:rsidP="005F025D">
      <w:pPr>
        <w:rPr>
          <w:rFonts w:eastAsia="Cambria"/>
          <w:lang w:val="fr-FR"/>
        </w:rPr>
      </w:pPr>
      <w:r w:rsidRPr="00953DCC">
        <w:rPr>
          <w:rFonts w:eastAsia="Cambria"/>
          <w:lang w:val="fr-FR"/>
        </w:rPr>
        <w:t>En outre, d</w:t>
      </w:r>
      <w:r w:rsidR="0056301D">
        <w:rPr>
          <w:rFonts w:eastAsia="Cambria"/>
          <w:lang w:val="fr-FR"/>
        </w:rPr>
        <w:t>’</w:t>
      </w:r>
      <w:r w:rsidRPr="00953DCC">
        <w:rPr>
          <w:rFonts w:eastAsia="Cambria"/>
          <w:lang w:val="fr-FR"/>
        </w:rPr>
        <w:t>autres ensembles de marqueurs peuvent également être utilisés à des fins d</w:t>
      </w:r>
      <w:r w:rsidR="0056301D">
        <w:rPr>
          <w:rFonts w:eastAsia="Cambria"/>
          <w:lang w:val="fr-FR"/>
        </w:rPr>
        <w:t>’</w:t>
      </w:r>
      <w:r w:rsidRPr="00953DCC">
        <w:rPr>
          <w:rFonts w:eastAsia="Cambria"/>
          <w:lang w:val="fr-FR"/>
        </w:rPr>
        <w:t>identification par certains offices d</w:t>
      </w:r>
      <w:r w:rsidR="0056301D">
        <w:rPr>
          <w:rFonts w:eastAsia="Cambria"/>
          <w:lang w:val="fr-FR"/>
        </w:rPr>
        <w:t>’</w:t>
      </w:r>
      <w:r w:rsidRPr="00953DCC">
        <w:rPr>
          <w:rFonts w:eastAsia="Cambria"/>
          <w:lang w:val="fr-FR"/>
        </w:rPr>
        <w:t xml:space="preserve">examen compétents pour des espèces telles que le rosier, le cerisier, le pêcher, la vigne, le citrus… </w:t>
      </w:r>
      <w:r w:rsidR="0011329B">
        <w:rPr>
          <w:rFonts w:eastAsia="Cambria"/>
          <w:lang w:val="fr-FR"/>
        </w:rPr>
        <w:t xml:space="preserve"> </w:t>
      </w:r>
      <w:r w:rsidRPr="00953DCC">
        <w:rPr>
          <w:rFonts w:eastAsia="Cambria"/>
          <w:lang w:val="fr-FR"/>
        </w:rPr>
        <w:t>Ces ensembles peuvent être harmonisés ou pas entre les offices d</w:t>
      </w:r>
      <w:r w:rsidR="0056301D">
        <w:rPr>
          <w:rFonts w:eastAsia="Cambria"/>
          <w:lang w:val="fr-FR"/>
        </w:rPr>
        <w:t>’</w:t>
      </w:r>
      <w:r w:rsidRPr="00953DCC">
        <w:rPr>
          <w:rFonts w:eastAsia="Cambria"/>
          <w:lang w:val="fr-FR"/>
        </w:rPr>
        <w:t>examen (comme pour la pomme de terre, grâce à des projets soutenus par l</w:t>
      </w:r>
      <w:r w:rsidR="0056301D">
        <w:rPr>
          <w:rFonts w:eastAsia="Cambria"/>
          <w:lang w:val="fr-FR"/>
        </w:rPr>
        <w:t>’</w:t>
      </w:r>
      <w:r w:rsidRPr="00953DCC">
        <w:rPr>
          <w:rFonts w:eastAsia="Cambria"/>
          <w:lang w:val="fr-FR"/>
        </w:rPr>
        <w:t>OCVV).</w:t>
      </w:r>
    </w:p>
    <w:p w14:paraId="5729543A" w14:textId="190286F7" w:rsidR="005F025D" w:rsidRPr="00953DCC" w:rsidRDefault="005F025D" w:rsidP="002A5011">
      <w:pPr>
        <w:rPr>
          <w:rFonts w:eastAsia="Cambria"/>
          <w:lang w:val="fr-FR"/>
        </w:rPr>
      </w:pPr>
    </w:p>
    <w:p w14:paraId="5729543B" w14:textId="00D33AF2" w:rsidR="005F025D" w:rsidRPr="00953DCC" w:rsidRDefault="002A5011" w:rsidP="00104784">
      <w:pPr>
        <w:tabs>
          <w:tab w:val="left" w:pos="567"/>
        </w:tabs>
        <w:rPr>
          <w:rFonts w:eastAsia="Cambria"/>
          <w:lang w:val="fr-FR"/>
        </w:rPr>
      </w:pPr>
      <w:r w:rsidRPr="00953DCC">
        <w:rPr>
          <w:rFonts w:eastAsia="Cambria"/>
          <w:lang w:val="fr-FR"/>
        </w:rPr>
        <w:t>2.3.2.</w:t>
      </w:r>
      <w:r w:rsidRPr="00953DCC">
        <w:rPr>
          <w:rFonts w:eastAsia="Cambria"/>
          <w:lang w:val="fr-FR"/>
        </w:rPr>
        <w:tab/>
      </w:r>
      <w:r w:rsidR="005C446F" w:rsidRPr="00953DCC">
        <w:rPr>
          <w:rFonts w:cs="Arial"/>
          <w:shd w:val="clear" w:color="auto" w:fill="FFFFFF"/>
          <w:lang w:val="fr-FR"/>
        </w:rPr>
        <w:t>Détection des organismes génétiquement modifiés (OGM) (au sens de la directive</w:t>
      </w:r>
      <w:r w:rsidR="0011329B">
        <w:rPr>
          <w:rFonts w:cs="Arial"/>
          <w:shd w:val="clear" w:color="auto" w:fill="FFFFFF"/>
          <w:lang w:val="fr-FR"/>
        </w:rPr>
        <w:t> </w:t>
      </w:r>
      <w:r w:rsidR="005C446F" w:rsidRPr="00953DCC">
        <w:rPr>
          <w:rFonts w:cs="Arial"/>
          <w:shd w:val="clear" w:color="auto" w:fill="FFFFFF"/>
          <w:lang w:val="fr-FR"/>
        </w:rPr>
        <w:t>2001/18/CE)</w:t>
      </w:r>
    </w:p>
    <w:p w14:paraId="5729543C" w14:textId="45DBA0F2" w:rsidR="005F025D" w:rsidRPr="00953DCC" w:rsidRDefault="005F025D" w:rsidP="005F025D">
      <w:pPr>
        <w:rPr>
          <w:rFonts w:eastAsia="Cambria"/>
          <w:lang w:val="fr-FR"/>
        </w:rPr>
      </w:pPr>
      <w:r w:rsidRPr="00953DCC">
        <w:rPr>
          <w:rFonts w:eastAsia="Cambria"/>
          <w:lang w:val="fr-FR"/>
        </w:rPr>
        <w:t>Dans certains cas particuliers, les marqueurs sont utilisés par les offices d</w:t>
      </w:r>
      <w:r w:rsidR="0056301D">
        <w:rPr>
          <w:rFonts w:eastAsia="Cambria"/>
          <w:lang w:val="fr-FR"/>
        </w:rPr>
        <w:t>’</w:t>
      </w:r>
      <w:r w:rsidRPr="00953DCC">
        <w:rPr>
          <w:rFonts w:eastAsia="Cambria"/>
          <w:lang w:val="fr-FR"/>
        </w:rPr>
        <w:t>examen pour détecter des variétés produites à l</w:t>
      </w:r>
      <w:r w:rsidR="0056301D">
        <w:rPr>
          <w:rFonts w:eastAsia="Cambria"/>
          <w:lang w:val="fr-FR"/>
        </w:rPr>
        <w:t>’</w:t>
      </w:r>
      <w:r w:rsidRPr="00953DCC">
        <w:rPr>
          <w:rFonts w:eastAsia="Cambria"/>
          <w:lang w:val="fr-FR"/>
        </w:rPr>
        <w:t>aide de techni</w:t>
      </w:r>
      <w:r w:rsidR="00B3081B">
        <w:rPr>
          <w:rFonts w:eastAsia="Cambria"/>
          <w:lang w:val="fr-FR"/>
        </w:rPr>
        <w:t>ques de transgenèse ou de mutage</w:t>
      </w:r>
      <w:r w:rsidRPr="00953DCC">
        <w:rPr>
          <w:rFonts w:eastAsia="Cambria"/>
          <w:lang w:val="fr-FR"/>
        </w:rPr>
        <w:t>nèse ciblée pour</w:t>
      </w:r>
      <w:r w:rsidR="0056301D">
        <w:rPr>
          <w:rFonts w:eastAsia="Cambria"/>
          <w:lang w:val="fr-FR"/>
        </w:rPr>
        <w:t> :</w:t>
      </w:r>
    </w:p>
    <w:p w14:paraId="5729543D" w14:textId="671CA582" w:rsidR="005F025D" w:rsidRPr="00953DCC" w:rsidRDefault="005C446F" w:rsidP="00104784">
      <w:pPr>
        <w:pStyle w:val="ListParagraph"/>
        <w:numPr>
          <w:ilvl w:val="0"/>
          <w:numId w:val="15"/>
        </w:numPr>
        <w:ind w:left="1134" w:hanging="567"/>
        <w:rPr>
          <w:rFonts w:eastAsia="Cambria"/>
          <w:lang w:val="fr-FR"/>
        </w:rPr>
      </w:pPr>
      <w:r w:rsidRPr="00953DCC">
        <w:rPr>
          <w:rFonts w:eastAsia="Cambria"/>
          <w:lang w:val="fr-FR"/>
        </w:rPr>
        <w:t>L</w:t>
      </w:r>
      <w:r w:rsidR="005F025D" w:rsidRPr="00953DCC">
        <w:rPr>
          <w:rFonts w:eastAsia="Cambria"/>
          <w:lang w:val="fr-FR"/>
        </w:rPr>
        <w:t>a confirmation de la présence d</w:t>
      </w:r>
      <w:r w:rsidR="0056301D">
        <w:rPr>
          <w:rFonts w:eastAsia="Cambria"/>
          <w:lang w:val="fr-FR"/>
        </w:rPr>
        <w:t>’</w:t>
      </w:r>
      <w:r w:rsidR="005F025D" w:rsidRPr="00953DCC">
        <w:rPr>
          <w:rFonts w:eastAsia="Cambria"/>
          <w:lang w:val="fr-FR"/>
        </w:rPr>
        <w:t>une transformation génétique déclarée (insertion transgénique classique ou mutations ponctuelles déclenchées par des technologies de modification génétique).</w:t>
      </w:r>
    </w:p>
    <w:p w14:paraId="5729543E" w14:textId="62D83EB8" w:rsidR="005F025D" w:rsidRPr="00953DCC" w:rsidRDefault="005C446F" w:rsidP="00104784">
      <w:pPr>
        <w:pStyle w:val="ListParagraph"/>
        <w:numPr>
          <w:ilvl w:val="0"/>
          <w:numId w:val="15"/>
        </w:numPr>
        <w:ind w:left="1134" w:hanging="567"/>
        <w:rPr>
          <w:rFonts w:eastAsia="Cambria"/>
          <w:lang w:val="fr-FR"/>
        </w:rPr>
      </w:pPr>
      <w:r w:rsidRPr="00953DCC">
        <w:rPr>
          <w:rFonts w:eastAsia="Cambria"/>
          <w:lang w:val="fr-FR"/>
        </w:rPr>
        <w:t>L</w:t>
      </w:r>
      <w:r w:rsidR="005F025D" w:rsidRPr="00953DCC">
        <w:rPr>
          <w:rFonts w:eastAsia="Cambria"/>
          <w:lang w:val="fr-FR"/>
        </w:rPr>
        <w:t>a détection de la présence accidentelle de semences génétiquement modifiées dans les lots de référence soumis.</w:t>
      </w:r>
    </w:p>
    <w:p w14:paraId="5729543F" w14:textId="77777777" w:rsidR="005F025D" w:rsidRPr="00953DCC" w:rsidRDefault="005F025D" w:rsidP="002A5011">
      <w:pPr>
        <w:rPr>
          <w:rFonts w:eastAsia="Cambria"/>
          <w:lang w:val="fr-FR"/>
        </w:rPr>
      </w:pPr>
    </w:p>
    <w:p w14:paraId="57295440" w14:textId="7DAC06E3" w:rsidR="005F025D" w:rsidRPr="00953DCC" w:rsidRDefault="005C446F" w:rsidP="005F025D">
      <w:pPr>
        <w:suppressAutoHyphens/>
        <w:spacing w:line="259" w:lineRule="auto"/>
        <w:rPr>
          <w:rFonts w:eastAsia="Cambria" w:cs="Arial"/>
          <w:bCs/>
          <w:spacing w:val="-3"/>
          <w:szCs w:val="18"/>
          <w:lang w:val="fr-FR"/>
        </w:rPr>
      </w:pPr>
      <w:r w:rsidRPr="00953DCC">
        <w:rPr>
          <w:rFonts w:eastAsia="Cambria" w:cs="Arial"/>
          <w:bCs/>
          <w:spacing w:val="-3"/>
          <w:szCs w:val="18"/>
          <w:lang w:val="fr-FR"/>
        </w:rPr>
        <w:t>C</w:t>
      </w:r>
      <w:r w:rsidR="005F025D" w:rsidRPr="00953DCC">
        <w:rPr>
          <w:rFonts w:eastAsia="Cambria" w:cs="Arial"/>
          <w:bCs/>
          <w:spacing w:val="-3"/>
          <w:szCs w:val="18"/>
          <w:lang w:val="fr-FR"/>
        </w:rPr>
        <w:t>onclusion</w:t>
      </w:r>
    </w:p>
    <w:p w14:paraId="57295441" w14:textId="77777777" w:rsidR="005F025D" w:rsidRPr="00953DCC" w:rsidRDefault="005F025D" w:rsidP="002A5011">
      <w:pPr>
        <w:rPr>
          <w:rFonts w:eastAsia="Cambria"/>
          <w:lang w:val="fr-FR"/>
        </w:rPr>
      </w:pPr>
    </w:p>
    <w:p w14:paraId="57295442" w14:textId="66F81EAF" w:rsidR="005F025D" w:rsidRPr="00953DCC" w:rsidRDefault="005F025D" w:rsidP="005F025D">
      <w:pPr>
        <w:rPr>
          <w:rFonts w:eastAsia="Cambria"/>
          <w:lang w:val="fr-FR"/>
        </w:rPr>
      </w:pPr>
      <w:r w:rsidRPr="00953DCC">
        <w:rPr>
          <w:rFonts w:eastAsia="Cambria"/>
          <w:lang w:val="fr-FR"/>
        </w:rPr>
        <w:t>Pour résumer, de nombreuses méthodes moléculaires sont actuellement utilisées ou en cours d</w:t>
      </w:r>
      <w:r w:rsidR="0056301D">
        <w:rPr>
          <w:rFonts w:eastAsia="Cambria"/>
          <w:lang w:val="fr-FR"/>
        </w:rPr>
        <w:t>’</w:t>
      </w:r>
      <w:r w:rsidRPr="00953DCC">
        <w:rPr>
          <w:rFonts w:eastAsia="Cambria"/>
          <w:lang w:val="fr-FR"/>
        </w:rPr>
        <w:t>élaboration par le réseau d</w:t>
      </w:r>
      <w:r w:rsidR="0056301D">
        <w:rPr>
          <w:rFonts w:eastAsia="Cambria"/>
          <w:lang w:val="fr-FR"/>
        </w:rPr>
        <w:t>’</w:t>
      </w:r>
      <w:r w:rsidRPr="00953DCC">
        <w:rPr>
          <w:rFonts w:eastAsia="Cambria"/>
          <w:lang w:val="fr-FR"/>
        </w:rPr>
        <w:t>offices d</w:t>
      </w:r>
      <w:r w:rsidR="0056301D">
        <w:rPr>
          <w:rFonts w:eastAsia="Cambria"/>
          <w:lang w:val="fr-FR"/>
        </w:rPr>
        <w:t>’</w:t>
      </w:r>
      <w:r w:rsidRPr="00953DCC">
        <w:rPr>
          <w:rFonts w:eastAsia="Cambria"/>
          <w:lang w:val="fr-FR"/>
        </w:rPr>
        <w:t>examen compétents de l</w:t>
      </w:r>
      <w:r w:rsidR="0056301D">
        <w:rPr>
          <w:rFonts w:eastAsia="Cambria"/>
          <w:lang w:val="fr-FR"/>
        </w:rPr>
        <w:t>’</w:t>
      </w:r>
      <w:r w:rsidRPr="00953DCC">
        <w:rPr>
          <w:rFonts w:eastAsia="Cambria"/>
          <w:lang w:val="fr-FR"/>
        </w:rPr>
        <w:t>OCVV à l</w:t>
      </w:r>
      <w:r w:rsidR="0056301D">
        <w:rPr>
          <w:rFonts w:eastAsia="Cambria"/>
          <w:lang w:val="fr-FR"/>
        </w:rPr>
        <w:t>’</w:t>
      </w:r>
      <w:r w:rsidRPr="00953DCC">
        <w:rPr>
          <w:rFonts w:eastAsia="Cambria"/>
          <w:lang w:val="fr-FR"/>
        </w:rPr>
        <w:t>appui de l</w:t>
      </w:r>
      <w:r w:rsidR="0056301D">
        <w:rPr>
          <w:rFonts w:eastAsia="Cambria"/>
          <w:lang w:val="fr-FR"/>
        </w:rPr>
        <w:t>’</w:t>
      </w:r>
      <w:r w:rsidRPr="00953DCC">
        <w:rPr>
          <w:rFonts w:eastAsia="Cambria"/>
          <w:lang w:val="fr-FR"/>
        </w:rPr>
        <w:t>examen</w:t>
      </w:r>
      <w:r w:rsidR="005C446F" w:rsidRPr="00953DCC">
        <w:rPr>
          <w:rFonts w:eastAsia="Cambria"/>
          <w:lang w:val="fr-FR"/>
        </w:rPr>
        <w:t> </w:t>
      </w:r>
      <w:r w:rsidRPr="00953DCC">
        <w:rPr>
          <w:rFonts w:eastAsia="Cambria"/>
          <w:lang w:val="fr-FR"/>
        </w:rPr>
        <w:t>DHS.</w:t>
      </w:r>
    </w:p>
    <w:p w14:paraId="57295443" w14:textId="5A1BBEFF" w:rsidR="005F025D" w:rsidRPr="00953DCC" w:rsidRDefault="005F025D" w:rsidP="005F025D">
      <w:pPr>
        <w:rPr>
          <w:rFonts w:eastAsia="Cambria"/>
          <w:lang w:val="fr-FR"/>
        </w:rPr>
      </w:pPr>
      <w:r w:rsidRPr="00953DCC">
        <w:rPr>
          <w:rFonts w:eastAsia="Cambria"/>
          <w:lang w:val="fr-FR"/>
        </w:rPr>
        <w:t>Cependant, seuls deux</w:t>
      </w:r>
      <w:r w:rsidR="004A1CA8">
        <w:rPr>
          <w:rFonts w:eastAsia="Cambria"/>
          <w:lang w:val="fr-FR"/>
        </w:rPr>
        <w:t> </w:t>
      </w:r>
      <w:r w:rsidRPr="00953DCC">
        <w:rPr>
          <w:rFonts w:eastAsia="Cambria"/>
          <w:lang w:val="fr-FR"/>
        </w:rPr>
        <w:t>ensembles de marqueurs moléculaires propres aux caractères sont officiellement décrits dans des protocoles techniques de l</w:t>
      </w:r>
      <w:r w:rsidR="0056301D">
        <w:rPr>
          <w:rFonts w:eastAsia="Cambria"/>
          <w:lang w:val="fr-FR"/>
        </w:rPr>
        <w:t>’</w:t>
      </w:r>
      <w:r w:rsidRPr="00953DCC">
        <w:rPr>
          <w:rFonts w:eastAsia="Cambria"/>
          <w:lang w:val="fr-FR"/>
        </w:rPr>
        <w:t>OCVV sur la base d</w:t>
      </w:r>
      <w:r w:rsidR="0056301D">
        <w:rPr>
          <w:rFonts w:eastAsia="Cambria"/>
          <w:lang w:val="fr-FR"/>
        </w:rPr>
        <w:t>’</w:t>
      </w:r>
      <w:r w:rsidRPr="00953DCC">
        <w:rPr>
          <w:rFonts w:eastAsia="Cambria"/>
          <w:lang w:val="fr-FR"/>
        </w:rPr>
        <w:t>une évaluation/validation par des experts des groupes d</w:t>
      </w:r>
      <w:r w:rsidR="0056301D">
        <w:rPr>
          <w:rFonts w:eastAsia="Cambria"/>
          <w:lang w:val="fr-FR"/>
        </w:rPr>
        <w:t>’</w:t>
      </w:r>
      <w:r w:rsidRPr="00953DCC">
        <w:rPr>
          <w:rFonts w:eastAsia="Cambria"/>
          <w:lang w:val="fr-FR"/>
        </w:rPr>
        <w:t>experts de l</w:t>
      </w:r>
      <w:r w:rsidR="0056301D">
        <w:rPr>
          <w:rFonts w:eastAsia="Cambria"/>
          <w:lang w:val="fr-FR"/>
        </w:rPr>
        <w:t>’</w:t>
      </w:r>
      <w:r w:rsidRPr="00953DCC">
        <w:rPr>
          <w:rFonts w:eastAsia="Cambria"/>
          <w:lang w:val="fr-FR"/>
        </w:rPr>
        <w:t>O</w:t>
      </w:r>
      <w:r w:rsidR="0011329B" w:rsidRPr="00953DCC">
        <w:rPr>
          <w:rFonts w:eastAsia="Cambria"/>
          <w:lang w:val="fr-FR"/>
        </w:rPr>
        <w:t>CVV</w:t>
      </w:r>
      <w:r w:rsidR="0011329B">
        <w:rPr>
          <w:rFonts w:eastAsia="Cambria"/>
          <w:lang w:val="fr-FR"/>
        </w:rPr>
        <w:t xml:space="preserve">.  </w:t>
      </w:r>
      <w:r w:rsidR="0011329B" w:rsidRPr="00953DCC">
        <w:rPr>
          <w:rFonts w:eastAsia="Cambria"/>
          <w:lang w:val="fr-FR"/>
        </w:rPr>
        <w:t>Ce</w:t>
      </w:r>
      <w:r w:rsidRPr="00953DCC">
        <w:rPr>
          <w:rFonts w:eastAsia="Cambria"/>
          <w:lang w:val="fr-FR"/>
        </w:rPr>
        <w:t>s marqueurs sont publiquement disponibles.</w:t>
      </w:r>
    </w:p>
    <w:p w14:paraId="57295444" w14:textId="1931AFDA" w:rsidR="005F025D" w:rsidRPr="00953DCC" w:rsidRDefault="005F025D" w:rsidP="005F025D">
      <w:pPr>
        <w:rPr>
          <w:rFonts w:eastAsia="Cambria"/>
          <w:lang w:val="fr-FR"/>
        </w:rPr>
      </w:pPr>
      <w:r w:rsidRPr="00953DCC">
        <w:rPr>
          <w:rFonts w:eastAsia="Cambria"/>
          <w:lang w:val="fr-FR"/>
        </w:rPr>
        <w:t>Par conséquent, l</w:t>
      </w:r>
      <w:r w:rsidR="0056301D">
        <w:rPr>
          <w:rFonts w:eastAsia="Cambria"/>
          <w:lang w:val="fr-FR"/>
        </w:rPr>
        <w:t>’</w:t>
      </w:r>
      <w:r w:rsidRPr="00953DCC">
        <w:rPr>
          <w:rFonts w:eastAsia="Cambria"/>
          <w:lang w:val="fr-FR"/>
        </w:rPr>
        <w:t>OCVV confie à ses offices d</w:t>
      </w:r>
      <w:r w:rsidR="0056301D">
        <w:rPr>
          <w:rFonts w:eastAsia="Cambria"/>
          <w:lang w:val="fr-FR"/>
        </w:rPr>
        <w:t>’</w:t>
      </w:r>
      <w:r w:rsidRPr="00953DCC">
        <w:rPr>
          <w:rFonts w:eastAsia="Cambria"/>
          <w:lang w:val="fr-FR"/>
        </w:rPr>
        <w:t>examen compétents la charge de décrire les outils moléculaires qu</w:t>
      </w:r>
      <w:r w:rsidR="0056301D">
        <w:rPr>
          <w:rFonts w:eastAsia="Cambria"/>
          <w:lang w:val="fr-FR"/>
        </w:rPr>
        <w:t>’</w:t>
      </w:r>
      <w:r w:rsidRPr="00953DCC">
        <w:rPr>
          <w:rFonts w:eastAsia="Cambria"/>
          <w:lang w:val="fr-FR"/>
        </w:rPr>
        <w:t>ils utilisent dans le respect de la politique de l</w:t>
      </w:r>
      <w:r w:rsidR="0056301D">
        <w:rPr>
          <w:rFonts w:eastAsia="Cambria"/>
          <w:lang w:val="fr-FR"/>
        </w:rPr>
        <w:t>’</w:t>
      </w:r>
      <w:r w:rsidRPr="00953DCC">
        <w:rPr>
          <w:rFonts w:eastAsia="Cambria"/>
          <w:lang w:val="fr-FR"/>
        </w:rPr>
        <w:t>OCVV pour les méthodes employées en relation avec les collections de référence de variétés.</w:t>
      </w:r>
    </w:p>
    <w:p w14:paraId="57295445" w14:textId="77777777" w:rsidR="005F025D" w:rsidRPr="00953DCC" w:rsidRDefault="005F025D" w:rsidP="002A5011">
      <w:pPr>
        <w:rPr>
          <w:rFonts w:eastAsia="Cambria"/>
          <w:lang w:val="fr-FR"/>
        </w:rPr>
      </w:pPr>
    </w:p>
    <w:p w14:paraId="57295446" w14:textId="77777777" w:rsidR="005F025D" w:rsidRPr="00953DCC" w:rsidRDefault="005F025D" w:rsidP="002A5011">
      <w:pPr>
        <w:rPr>
          <w:rFonts w:eastAsia="Cambria"/>
          <w:lang w:val="fr-FR"/>
        </w:rPr>
      </w:pPr>
    </w:p>
    <w:p w14:paraId="57295447" w14:textId="77777777" w:rsidR="005F025D" w:rsidRPr="00953DCC" w:rsidRDefault="005F025D" w:rsidP="00CA2C65">
      <w:pPr>
        <w:jc w:val="right"/>
        <w:rPr>
          <w:lang w:val="fr-FR"/>
        </w:rPr>
      </w:pPr>
    </w:p>
    <w:p w14:paraId="57295448" w14:textId="3E0D422F" w:rsidR="005F025D" w:rsidRPr="00953DCC" w:rsidRDefault="005F025D" w:rsidP="005F025D">
      <w:pPr>
        <w:jc w:val="right"/>
        <w:rPr>
          <w:lang w:val="fr-FR"/>
        </w:rPr>
      </w:pPr>
      <w:r w:rsidRPr="00953DCC">
        <w:rPr>
          <w:lang w:val="fr-FR"/>
        </w:rPr>
        <w:t>[Fin de l</w:t>
      </w:r>
      <w:r w:rsidR="0056301D">
        <w:rPr>
          <w:lang w:val="fr-FR"/>
        </w:rPr>
        <w:t>’</w:t>
      </w:r>
      <w:r w:rsidRPr="00953DCC">
        <w:rPr>
          <w:lang w:val="fr-FR"/>
        </w:rPr>
        <w:t>annexe</w:t>
      </w:r>
      <w:r w:rsidR="005C446F" w:rsidRPr="00953DCC">
        <w:rPr>
          <w:lang w:val="fr-FR"/>
        </w:rPr>
        <w:t> </w:t>
      </w:r>
      <w:r w:rsidRPr="00953DCC">
        <w:rPr>
          <w:lang w:val="fr-FR"/>
        </w:rPr>
        <w:t>II et du document]</w:t>
      </w:r>
    </w:p>
    <w:p w14:paraId="57295449" w14:textId="77777777" w:rsidR="005F025D" w:rsidRPr="00953DCC" w:rsidRDefault="005F025D" w:rsidP="00DE3A86">
      <w:pPr>
        <w:jc w:val="right"/>
        <w:rPr>
          <w:lang w:val="fr-FR"/>
        </w:rPr>
      </w:pPr>
    </w:p>
    <w:p w14:paraId="5729544A" w14:textId="77777777" w:rsidR="00DE3A86" w:rsidRPr="00953DCC" w:rsidRDefault="00DE3A86" w:rsidP="00DE3A86">
      <w:pPr>
        <w:jc w:val="right"/>
        <w:rPr>
          <w:lang w:val="fr-FR"/>
        </w:rPr>
      </w:pPr>
    </w:p>
    <w:sectPr w:rsidR="00DE3A86" w:rsidRPr="00953DCC" w:rsidSect="0004198B">
      <w:headerReference w:type="even" r:id="rId29"/>
      <w:headerReference w:type="default" r:id="rId30"/>
      <w:footerReference w:type="even" r:id="rId31"/>
      <w:footerReference w:type="default" r:id="rId32"/>
      <w:headerReference w:type="first" r:id="rId33"/>
      <w:footerReference w:type="first" r:id="rId34"/>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F6C58F" w14:textId="77777777" w:rsidR="002C77EB" w:rsidRDefault="002C77EB" w:rsidP="006655D3">
      <w:r>
        <w:separator/>
      </w:r>
    </w:p>
    <w:p w14:paraId="7D05C335" w14:textId="77777777" w:rsidR="002C77EB" w:rsidRDefault="002C77EB" w:rsidP="006655D3"/>
    <w:p w14:paraId="611EB44C" w14:textId="77777777" w:rsidR="002C77EB" w:rsidRDefault="002C77EB" w:rsidP="006655D3"/>
  </w:endnote>
  <w:endnote w:type="continuationSeparator" w:id="0">
    <w:p w14:paraId="4951CCE4" w14:textId="77777777" w:rsidR="002C77EB" w:rsidRDefault="002C77EB" w:rsidP="006655D3">
      <w:r>
        <w:separator/>
      </w:r>
    </w:p>
    <w:p w14:paraId="622E1B45" w14:textId="77777777" w:rsidR="002C77EB" w:rsidRPr="00294751" w:rsidRDefault="002C77EB">
      <w:pPr>
        <w:pStyle w:val="Footer"/>
        <w:spacing w:after="60"/>
        <w:rPr>
          <w:sz w:val="18"/>
          <w:lang w:val="fr-FR"/>
        </w:rPr>
      </w:pPr>
      <w:r w:rsidRPr="00294751">
        <w:rPr>
          <w:sz w:val="18"/>
          <w:lang w:val="fr-FR"/>
        </w:rPr>
        <w:t>[Suite de la note de la page précédente]</w:t>
      </w:r>
    </w:p>
    <w:p w14:paraId="1DD91B1B" w14:textId="77777777" w:rsidR="002C77EB" w:rsidRPr="00294751" w:rsidRDefault="002C77EB" w:rsidP="006655D3">
      <w:pPr>
        <w:rPr>
          <w:lang w:val="fr-FR"/>
        </w:rPr>
      </w:pPr>
    </w:p>
    <w:p w14:paraId="2CF1AA02" w14:textId="77777777" w:rsidR="002C77EB" w:rsidRPr="00294751" w:rsidRDefault="002C77EB" w:rsidP="006655D3">
      <w:pPr>
        <w:rPr>
          <w:lang w:val="fr-FR"/>
        </w:rPr>
      </w:pPr>
    </w:p>
  </w:endnote>
  <w:endnote w:type="continuationNotice" w:id="1">
    <w:p w14:paraId="6CC534BC" w14:textId="77777777" w:rsidR="002C77EB" w:rsidRPr="00294751" w:rsidRDefault="002C77EB" w:rsidP="006655D3">
      <w:pPr>
        <w:rPr>
          <w:lang w:val="fr-FR"/>
        </w:rPr>
      </w:pPr>
      <w:r w:rsidRPr="00294751">
        <w:rPr>
          <w:lang w:val="fr-FR"/>
        </w:rPr>
        <w:t>[Suite de la note page suivante]</w:t>
      </w:r>
    </w:p>
    <w:p w14:paraId="6484F60C" w14:textId="77777777" w:rsidR="002C77EB" w:rsidRPr="00294751" w:rsidRDefault="002C77EB" w:rsidP="006655D3">
      <w:pPr>
        <w:rPr>
          <w:lang w:val="fr-FR"/>
        </w:rPr>
      </w:pPr>
    </w:p>
    <w:p w14:paraId="5BE01DF9" w14:textId="77777777" w:rsidR="002C77EB" w:rsidRPr="00294751" w:rsidRDefault="002C77EB"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PMingLiU">
    <w:altName w:val="新細明體"/>
    <w:panose1 w:val="02020500000000000000"/>
    <w:charset w:val="88"/>
    <w:family w:val="auto"/>
    <w:notTrueType/>
    <w:pitch w:val="variable"/>
    <w:sig w:usb0="00000001" w:usb1="08080000" w:usb2="00000010" w:usb3="00000000" w:csb0="00100000"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295472" w14:textId="77777777" w:rsidR="002C77EB" w:rsidRDefault="002C77EB" w:rsidP="009D358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295473" w14:textId="77777777" w:rsidR="002C77EB" w:rsidRDefault="002C77E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295479" w14:textId="77777777" w:rsidR="002C77EB" w:rsidRDefault="002C77E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295480" w14:textId="77777777" w:rsidR="002C77EB" w:rsidRDefault="002C77EB" w:rsidP="009D3585">
    <w:pPr>
      <w:pStyle w:val="Footer"/>
    </w:pPr>
    <w:r>
      <w:rPr>
        <w:noProof/>
      </w:rPr>
      <mc:AlternateContent>
        <mc:Choice Requires="wps">
          <w:drawing>
            <wp:anchor distT="558800" distB="0" distL="114300" distR="114300" simplePos="0" relativeHeight="251667456" behindDoc="0" locked="0" layoutInCell="0" allowOverlap="1" wp14:anchorId="572954A1" wp14:editId="572954A2">
              <wp:simplePos x="0" y="0"/>
              <wp:positionH relativeFrom="margin">
                <wp:align>center</wp:align>
              </wp:positionH>
              <wp:positionV relativeFrom="bottomMargin">
                <wp:posOffset>558800</wp:posOffset>
              </wp:positionV>
              <wp:extent cx="7620000" cy="317500"/>
              <wp:effectExtent l="0" t="0" r="0" b="6350"/>
              <wp:wrapNone/>
              <wp:docPr id="12" name="TITUSE3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72954B5" w14:textId="77777777" w:rsidR="002C77EB" w:rsidRDefault="002C77EB" w:rsidP="009D3585">
                          <w:pPr>
                            <w:jc w:val="center"/>
                          </w:pPr>
                          <w:r w:rsidRPr="009D3585">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72954A1" id="_x0000_t202" coordsize="21600,21600" o:spt="202" path="m,l,21600r21600,l21600,xe">
              <v:stroke joinstyle="miter"/>
              <v:path gradientshapeok="t" o:connecttype="rect"/>
            </v:shapetype>
            <v:shape id="TITUSE3footer" o:spid="_x0000_s1026" type="#_x0000_t202" style="position:absolute;left:0;text-align:left;margin-left:0;margin-top:44pt;width:600pt;height:25pt;z-index:251667456;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" o:allowincell="f" filled="f" stroked="f" strokeweight=".5pt">
              <v:path arrowok="t"/>
              <v:textbox>
                <w:txbxContent>
                  <w:p w14:paraId="572954B5" w14:textId="77777777" w:rsidR="002C77EB" w:rsidRDefault="002C77EB" w:rsidP="009D3585">
                    <w:pPr>
                      <w:jc w:val="center"/>
                    </w:pPr>
                    <w:r w:rsidRPr="009D3585">
                      <w:rPr>
                        <w:color w:val="000000"/>
                        <w:sz w:val="17"/>
                      </w:rPr>
                      <w:t>WIPO FOR OFFICIAL USE ONLY</w:t>
                    </w:r>
                  </w:p>
                </w:txbxContent>
              </v:textbox>
              <w10:wrap anchorx="margin" anchory="margin"/>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295481" w14:textId="77777777" w:rsidR="002C77EB" w:rsidRDefault="002C77EB">
    <w:pPr>
      <w:pStyle w:val="Footer"/>
    </w:pPr>
    <w:r>
      <w:rPr>
        <w:noProof/>
      </w:rPr>
      <mc:AlternateContent>
        <mc:Choice Requires="wps">
          <w:drawing>
            <wp:anchor distT="558800" distB="0" distL="114300" distR="114300" simplePos="0" relativeHeight="251666432" behindDoc="0" locked="0" layoutInCell="0" allowOverlap="1" wp14:anchorId="572954A3" wp14:editId="572954A4">
              <wp:simplePos x="0" y="0"/>
              <wp:positionH relativeFrom="margin">
                <wp:align>center</wp:align>
              </wp:positionH>
              <wp:positionV relativeFrom="bottomMargin">
                <wp:posOffset>558800</wp:posOffset>
              </wp:positionV>
              <wp:extent cx="7620000" cy="317500"/>
              <wp:effectExtent l="0" t="0" r="0" b="6350"/>
              <wp:wrapNone/>
              <wp:docPr id="11" name="TITUSO3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72954B6" w14:textId="77777777" w:rsidR="002C77EB" w:rsidRDefault="002C77EB" w:rsidP="009D3585">
                          <w:pPr>
                            <w:jc w:val="center"/>
                          </w:pPr>
                          <w:r w:rsidRPr="009D3585">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72954A3" id="_x0000_t202" coordsize="21600,21600" o:spt="202" path="m,l,21600r21600,l21600,xe">
              <v:stroke joinstyle="miter"/>
              <v:path gradientshapeok="t" o:connecttype="rect"/>
            </v:shapetype>
            <v:shape id="TITUSO3footer" o:spid="_x0000_s1027" type="#_x0000_t202" style="position:absolute;left:0;text-align:left;margin-left:0;margin-top:44pt;width:600pt;height:25pt;z-index:251666432;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" o:allowincell="f" filled="f" stroked="f" strokeweight=".5pt">
              <v:path arrowok="t"/>
              <v:textbox>
                <w:txbxContent>
                  <w:p w14:paraId="572954B6" w14:textId="77777777" w:rsidR="002C77EB" w:rsidRDefault="002C77EB" w:rsidP="009D3585">
                    <w:pPr>
                      <w:jc w:val="center"/>
                    </w:pPr>
                    <w:r w:rsidRPr="009D3585">
                      <w:rPr>
                        <w:color w:val="000000"/>
                        <w:sz w:val="17"/>
                      </w:rPr>
                      <w:t>WIPO FOR OFFICIAL USE ONLY</w:t>
                    </w:r>
                  </w:p>
                </w:txbxContent>
              </v:textbox>
              <w10:wrap anchorx="margin" anchory="margin"/>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295487" w14:textId="77777777" w:rsidR="002C77EB" w:rsidRDefault="002C77EB">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29548E" w14:textId="77777777" w:rsidR="002C77EB" w:rsidRDefault="002C77EB" w:rsidP="009D3585">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29548F" w14:textId="77777777" w:rsidR="002C77EB" w:rsidRDefault="002C77EB">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295494" w14:textId="77777777" w:rsidR="002C77EB" w:rsidRDefault="002C77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52F469" w14:textId="77777777" w:rsidR="002C77EB" w:rsidRDefault="002C77EB" w:rsidP="006655D3">
      <w:r>
        <w:separator/>
      </w:r>
    </w:p>
  </w:footnote>
  <w:footnote w:type="continuationSeparator" w:id="0">
    <w:p w14:paraId="22943147" w14:textId="77777777" w:rsidR="002C77EB" w:rsidRDefault="002C77EB" w:rsidP="006655D3">
      <w:r>
        <w:separator/>
      </w:r>
    </w:p>
  </w:footnote>
  <w:footnote w:type="continuationNotice" w:id="1">
    <w:p w14:paraId="097BA04A" w14:textId="77777777" w:rsidR="002C77EB" w:rsidRPr="00AB530F" w:rsidRDefault="002C77EB" w:rsidP="00AB530F">
      <w:pPr>
        <w:pStyle w:val="Footer"/>
      </w:pPr>
    </w:p>
  </w:footnote>
  <w:footnote w:id="2">
    <w:p w14:paraId="5BC711E3" w14:textId="6CF5D18B" w:rsidR="002C77EB" w:rsidRPr="003D1029" w:rsidRDefault="002C77EB">
      <w:pPr>
        <w:pStyle w:val="FootnoteText"/>
        <w:rPr>
          <w:lang w:val="fr-FR"/>
        </w:rPr>
      </w:pPr>
      <w:r>
        <w:rPr>
          <w:rStyle w:val="FootnoteReference"/>
        </w:rPr>
        <w:footnoteRef/>
      </w:r>
      <w:r>
        <w:rPr>
          <w:lang w:val="fr-FR"/>
        </w:rPr>
        <w:t xml:space="preserve"> </w:t>
      </w:r>
      <w:r>
        <w:rPr>
          <w:lang w:val="fr-FR"/>
        </w:rPr>
        <w:tab/>
        <w:t>Voir le paragraphe 65 du document CAJ/75/</w:t>
      </w:r>
      <w:r w:rsidRPr="00BF7FC3">
        <w:rPr>
          <w:lang w:val="fr-FR"/>
        </w:rPr>
        <w:t xml:space="preserve">14 </w:t>
      </w:r>
      <w:r w:rsidRPr="00BF7FC3">
        <w:rPr>
          <w:rFonts w:eastAsiaTheme="minorEastAsia"/>
          <w:lang w:val="fr-FR" w:eastAsia="ja-JP"/>
        </w:rPr>
        <w:t>“Compte rendu”.</w:t>
      </w:r>
    </w:p>
  </w:footnote>
  <w:footnote w:id="3">
    <w:p w14:paraId="75414F2F" w14:textId="60368E6D" w:rsidR="002C77EB" w:rsidRPr="00F0152A" w:rsidRDefault="002C77EB">
      <w:pPr>
        <w:pStyle w:val="FootnoteText"/>
        <w:rPr>
          <w:lang w:val="fr-FR"/>
        </w:rPr>
      </w:pPr>
      <w:r>
        <w:rPr>
          <w:rStyle w:val="FootnoteReference"/>
        </w:rPr>
        <w:footnoteRef/>
      </w:r>
      <w:r w:rsidRPr="00F0152A">
        <w:rPr>
          <w:lang w:val="fr-FR"/>
        </w:rPr>
        <w:t xml:space="preserve"> </w:t>
      </w:r>
      <w:r>
        <w:rPr>
          <w:lang w:val="fr-FR"/>
        </w:rPr>
        <w:tab/>
        <w:t>Tenue à Hangzhou (Chine), du 16 au 18 octobre 2019</w:t>
      </w:r>
    </w:p>
  </w:footnote>
  <w:footnote w:id="4">
    <w:p w14:paraId="11D21ADF" w14:textId="55F63316" w:rsidR="002C77EB" w:rsidRPr="00875FA5" w:rsidRDefault="002C77EB">
      <w:pPr>
        <w:pStyle w:val="FootnoteText"/>
        <w:rPr>
          <w:lang w:val="fr-FR"/>
        </w:rPr>
      </w:pPr>
      <w:r>
        <w:rPr>
          <w:rStyle w:val="FootnoteReference"/>
        </w:rPr>
        <w:footnoteRef/>
      </w:r>
      <w:r w:rsidRPr="00875FA5">
        <w:rPr>
          <w:lang w:val="fr-FR"/>
        </w:rPr>
        <w:t xml:space="preserve"> </w:t>
      </w:r>
      <w:r>
        <w:rPr>
          <w:lang w:val="fr-FR"/>
        </w:rPr>
        <w:tab/>
        <w:t>Tenue à Genève, les 28 et 29 octobre 2019</w:t>
      </w:r>
    </w:p>
  </w:footnote>
  <w:footnote w:id="5">
    <w:p w14:paraId="38D4A3D1" w14:textId="2B61640C" w:rsidR="002C77EB" w:rsidRPr="00C20DCA" w:rsidRDefault="002C77EB" w:rsidP="00CA3E70">
      <w:pPr>
        <w:pStyle w:val="FootnoteText"/>
        <w:rPr>
          <w:lang w:val="fr-FR"/>
        </w:rPr>
      </w:pPr>
      <w:r>
        <w:rPr>
          <w:rStyle w:val="FootnoteReference"/>
        </w:rPr>
        <w:footnoteRef/>
      </w:r>
      <w:r w:rsidRPr="00C20DCA">
        <w:rPr>
          <w:lang w:val="fr-FR"/>
        </w:rPr>
        <w:t xml:space="preserve"> </w:t>
      </w:r>
      <w:r>
        <w:rPr>
          <w:lang w:val="fr-FR"/>
        </w:rPr>
        <w:tab/>
      </w:r>
      <w:r w:rsidRPr="00BF0839">
        <w:rPr>
          <w:lang w:val="fr-FR"/>
        </w:rPr>
        <w:t>Organisée aux États</w:t>
      </w:r>
      <w:r>
        <w:rPr>
          <w:lang w:val="fr-FR"/>
        </w:rPr>
        <w:noBreakHyphen/>
      </w:r>
      <w:r w:rsidRPr="00BF0839">
        <w:rPr>
          <w:lang w:val="fr-FR"/>
        </w:rPr>
        <w:t>Unis d</w:t>
      </w:r>
      <w:r>
        <w:rPr>
          <w:lang w:val="fr-FR"/>
        </w:rPr>
        <w:t>’</w:t>
      </w:r>
      <w:r w:rsidRPr="00BF0839">
        <w:rPr>
          <w:lang w:val="fr-FR"/>
        </w:rPr>
        <w:t>Amérique par voie électronique du 22 au 24</w:t>
      </w:r>
      <w:r>
        <w:rPr>
          <w:lang w:val="fr-FR"/>
        </w:rPr>
        <w:t> </w:t>
      </w:r>
      <w:r w:rsidRPr="00BF0839">
        <w:rPr>
          <w:lang w:val="fr-FR"/>
        </w:rPr>
        <w:t>septembre</w:t>
      </w:r>
      <w:r>
        <w:rPr>
          <w:lang w:val="fr-FR"/>
        </w:rPr>
        <w:t> </w:t>
      </w:r>
      <w:r w:rsidRPr="00BF0839">
        <w:rPr>
          <w:lang w:val="fr-FR"/>
        </w:rPr>
        <w:t>2021</w:t>
      </w:r>
      <w:r w:rsidRPr="00C20DCA">
        <w:rPr>
          <w:color w:val="008080"/>
          <w:lang w:val="fr-FR"/>
        </w:rPr>
        <w:t>.</w:t>
      </w:r>
    </w:p>
  </w:footnote>
  <w:footnote w:id="6">
    <w:p w14:paraId="39A55F0A" w14:textId="67D673C6" w:rsidR="002C77EB" w:rsidRPr="00780DEB" w:rsidRDefault="002C77EB" w:rsidP="00B640C1">
      <w:pPr>
        <w:pStyle w:val="FootnoteText"/>
        <w:rPr>
          <w:lang w:val="fr-FR"/>
        </w:rPr>
      </w:pPr>
      <w:r>
        <w:rPr>
          <w:rStyle w:val="FootnoteReference"/>
        </w:rPr>
        <w:footnoteRef/>
      </w:r>
      <w:r w:rsidRPr="00C20DCA">
        <w:rPr>
          <w:lang w:val="fr-FR"/>
        </w:rPr>
        <w:t xml:space="preserve"> </w:t>
      </w:r>
      <w:r>
        <w:rPr>
          <w:lang w:val="fr-FR"/>
        </w:rPr>
        <w:tab/>
      </w:r>
      <w:r w:rsidRPr="00780DEB">
        <w:rPr>
          <w:lang w:val="fr-FR"/>
        </w:rPr>
        <w:t>Organisée aux États</w:t>
      </w:r>
      <w:r>
        <w:rPr>
          <w:lang w:val="fr-FR"/>
        </w:rPr>
        <w:noBreakHyphen/>
      </w:r>
      <w:r w:rsidRPr="00780DEB">
        <w:rPr>
          <w:lang w:val="fr-FR"/>
        </w:rPr>
        <w:t>Unis d</w:t>
      </w:r>
      <w:r>
        <w:rPr>
          <w:lang w:val="fr-FR"/>
        </w:rPr>
        <w:t>’</w:t>
      </w:r>
      <w:r w:rsidRPr="00780DEB">
        <w:rPr>
          <w:lang w:val="fr-FR"/>
        </w:rPr>
        <w:t>Amérique par voie électronique du 22 au 24 septembre 2021.</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295462" w14:textId="2E8D8DB6" w:rsidR="002C77EB" w:rsidRPr="007E07ED" w:rsidRDefault="002C77EB" w:rsidP="009D3585">
    <w:pPr>
      <w:pStyle w:val="Header"/>
      <w:rPr>
        <w:rStyle w:val="PageNumber"/>
      </w:rPr>
    </w:pPr>
    <w:r w:rsidRPr="007E07ED">
      <w:rPr>
        <w:rStyle w:val="PageNumber"/>
      </w:rPr>
      <w:t>CAJ/78/INF/5</w:t>
    </w:r>
  </w:p>
  <w:p w14:paraId="57295463" w14:textId="6EA8D245" w:rsidR="002C77EB" w:rsidRPr="007E07ED" w:rsidRDefault="002C77EB" w:rsidP="009D3585">
    <w:pPr>
      <w:pStyle w:val="Header"/>
    </w:pPr>
    <w:r w:rsidRPr="007E07ED">
      <w:t>Page</w:t>
    </w:r>
    <w:r>
      <w:t> </w:t>
    </w:r>
    <w:r w:rsidRPr="00C5280D">
      <w:rPr>
        <w:rStyle w:val="PageNumber"/>
        <w:lang w:val="en-US"/>
      </w:rPr>
      <w:fldChar w:fldCharType="begin"/>
    </w:r>
    <w:r w:rsidRPr="007E07ED">
      <w:rPr>
        <w:rStyle w:val="PageNumber"/>
      </w:rPr>
      <w:instrText xml:space="preserve"> PAGE </w:instrText>
    </w:r>
    <w:r w:rsidRPr="00C5280D">
      <w:rPr>
        <w:rStyle w:val="PageNumber"/>
        <w:lang w:val="en-US"/>
      </w:rPr>
      <w:fldChar w:fldCharType="separate"/>
    </w:r>
    <w:r w:rsidR="007F2632">
      <w:rPr>
        <w:rStyle w:val="PageNumber"/>
        <w:noProof/>
      </w:rPr>
      <w:t>2</w:t>
    </w:r>
    <w:r w:rsidRPr="00C5280D">
      <w:rPr>
        <w:rStyle w:val="PageNumber"/>
        <w:lang w:val="en-US"/>
      </w:rPr>
      <w:fldChar w:fldCharType="end"/>
    </w:r>
  </w:p>
  <w:p w14:paraId="57295464" w14:textId="77777777" w:rsidR="002C77EB" w:rsidRPr="007E07ED" w:rsidRDefault="002C77EB" w:rsidP="009D3585">
    <w:pPr>
      <w:rPr>
        <w:lang w:val="fr-FR"/>
      </w:rP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29548B" w14:textId="14CA833C" w:rsidR="002C77EB" w:rsidRPr="007F7E37" w:rsidRDefault="002C77EB" w:rsidP="00EB048E">
    <w:pPr>
      <w:pStyle w:val="Header"/>
      <w:rPr>
        <w:rStyle w:val="PageNumber"/>
        <w:lang w:val="fr-CH"/>
      </w:rPr>
    </w:pPr>
    <w:r w:rsidRPr="007F7E37">
      <w:rPr>
        <w:rStyle w:val="PageNumber"/>
        <w:lang w:val="fr-CH"/>
      </w:rPr>
      <w:t>CAJ/78/INF/5</w:t>
    </w:r>
  </w:p>
  <w:p w14:paraId="5729548C" w14:textId="62027D25" w:rsidR="002C77EB" w:rsidRPr="007F7E37" w:rsidRDefault="002C77EB" w:rsidP="003940A0">
    <w:pPr>
      <w:pStyle w:val="Header"/>
      <w:rPr>
        <w:lang w:val="fr-CH"/>
      </w:rPr>
    </w:pPr>
    <w:r w:rsidRPr="007F7E37">
      <w:rPr>
        <w:lang w:val="fr-CH"/>
      </w:rPr>
      <w:t>Annex</w:t>
    </w:r>
    <w:r>
      <w:rPr>
        <w:lang w:val="fr-CH"/>
      </w:rPr>
      <w:t>e</w:t>
    </w:r>
    <w:r w:rsidRPr="007F7E37">
      <w:rPr>
        <w:lang w:val="fr-CH"/>
      </w:rPr>
      <w:t xml:space="preserve"> II, Appendi</w:t>
    </w:r>
    <w:r>
      <w:rPr>
        <w:lang w:val="fr-CH"/>
      </w:rPr>
      <w:t>ce</w:t>
    </w:r>
    <w:r w:rsidRPr="007F7E37">
      <w:rPr>
        <w:lang w:val="fr-CH"/>
      </w:rPr>
      <w:t xml:space="preserve">, page </w:t>
    </w:r>
    <w:r>
      <w:rPr>
        <w:rStyle w:val="PageNumber"/>
        <w:lang w:val="fr-CH"/>
      </w:rPr>
      <w:t>3</w:t>
    </w:r>
  </w:p>
  <w:p w14:paraId="5729548D" w14:textId="77777777" w:rsidR="002C77EB" w:rsidRPr="007F7E37" w:rsidRDefault="002C77EB" w:rsidP="006655D3">
    <w:pPr>
      <w:rPr>
        <w:lang w:val="fr-CH"/>
      </w:rPr>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295490" w14:textId="33D28849" w:rsidR="002C77EB" w:rsidRDefault="002C77EB" w:rsidP="00632BB0">
    <w:pPr>
      <w:pStyle w:val="Header"/>
      <w:rPr>
        <w:rStyle w:val="PageNumber"/>
        <w:lang w:val="en-US"/>
      </w:rPr>
    </w:pPr>
    <w:r>
      <w:rPr>
        <w:rStyle w:val="PageNumber"/>
        <w:lang w:val="en-US"/>
      </w:rPr>
      <w:t>CAJ/78/INF/5</w:t>
    </w:r>
  </w:p>
  <w:p w14:paraId="57295491" w14:textId="77777777" w:rsidR="002C77EB" w:rsidRPr="00C5280D" w:rsidRDefault="002C77EB" w:rsidP="00632BB0">
    <w:pPr>
      <w:pStyle w:val="Header"/>
      <w:rPr>
        <w:rStyle w:val="PageNumber"/>
        <w:lang w:val="en-US"/>
      </w:rPr>
    </w:pPr>
  </w:p>
  <w:p w14:paraId="57295492" w14:textId="60DCEF35" w:rsidR="002C77EB" w:rsidRPr="00D72475" w:rsidRDefault="002C77EB" w:rsidP="00595E41">
    <w:pPr>
      <w:pStyle w:val="Header"/>
      <w:rPr>
        <w:lang w:val="en-US"/>
      </w:rPr>
    </w:pPr>
    <w:r w:rsidRPr="00D72475">
      <w:rPr>
        <w:lang w:val="en-US"/>
      </w:rPr>
      <w:t>ANNEX</w:t>
    </w:r>
    <w:r>
      <w:rPr>
        <w:lang w:val="en-US"/>
      </w:rPr>
      <w:t>E</w:t>
    </w:r>
    <w:r w:rsidRPr="00D72475">
      <w:rPr>
        <w:lang w:val="en-US"/>
      </w:rPr>
      <w:t xml:space="preserve"> II, A</w:t>
    </w:r>
    <w:r>
      <w:rPr>
        <w:lang w:val="en-US"/>
      </w:rPr>
      <w:t>PPENDICE</w:t>
    </w:r>
  </w:p>
  <w:p w14:paraId="57295493" w14:textId="77777777" w:rsidR="002C77EB" w:rsidRPr="002A5011" w:rsidRDefault="002C77EB" w:rsidP="0004198B">
    <w:pPr>
      <w:pStyle w:val="Header"/>
      <w:rPr>
        <w:lang w:val="en-US"/>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295465" w14:textId="7BA6F920" w:rsidR="002C77EB" w:rsidRPr="007E07ED" w:rsidRDefault="002C77EB" w:rsidP="00EB048E">
    <w:pPr>
      <w:pStyle w:val="Header"/>
      <w:rPr>
        <w:rStyle w:val="PageNumber"/>
      </w:rPr>
    </w:pPr>
    <w:r w:rsidRPr="007E07ED">
      <w:rPr>
        <w:rStyle w:val="PageNumber"/>
      </w:rPr>
      <w:t>CAJ/78/INF/5</w:t>
    </w:r>
  </w:p>
  <w:p w14:paraId="57295466" w14:textId="3496D51A" w:rsidR="002C77EB" w:rsidRPr="001D5B8E" w:rsidRDefault="002C77EB" w:rsidP="005F025D">
    <w:pPr>
      <w:pStyle w:val="Header"/>
    </w:pPr>
    <w:r w:rsidRPr="001D5B8E">
      <w:t>Page </w:t>
    </w:r>
    <w:r w:rsidRPr="001D5B8E">
      <w:rPr>
        <w:rStyle w:val="PageNumber"/>
        <w:lang w:val="en-US"/>
      </w:rPr>
      <w:fldChar w:fldCharType="begin"/>
    </w:r>
    <w:r w:rsidRPr="001D5B8E">
      <w:rPr>
        <w:rStyle w:val="PageNumber"/>
      </w:rPr>
      <w:instrText xml:space="preserve"> PAGE </w:instrText>
    </w:r>
    <w:r w:rsidRPr="001D5B8E">
      <w:rPr>
        <w:rStyle w:val="PageNumber"/>
        <w:lang w:val="en-US"/>
      </w:rPr>
      <w:fldChar w:fldCharType="separate"/>
    </w:r>
    <w:r w:rsidR="007F2632">
      <w:rPr>
        <w:rStyle w:val="PageNumber"/>
        <w:noProof/>
      </w:rPr>
      <w:t>7</w:t>
    </w:r>
    <w:r w:rsidRPr="001D5B8E">
      <w:rPr>
        <w:rStyle w:val="PageNumber"/>
        <w:lang w:val="en-US"/>
      </w:rPr>
      <w:fldChar w:fldCharType="end"/>
    </w:r>
  </w:p>
  <w:p w14:paraId="57295467" w14:textId="77777777" w:rsidR="002C77EB" w:rsidRPr="007E07ED" w:rsidRDefault="002C77EB" w:rsidP="006655D3">
    <w:pPr>
      <w:rPr>
        <w:lang w:val="fr-FR"/>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29546C" w14:textId="5640264F" w:rsidR="002C77EB" w:rsidRPr="007E07ED" w:rsidRDefault="002C77EB" w:rsidP="009D3585">
    <w:pPr>
      <w:pStyle w:val="Header"/>
      <w:rPr>
        <w:rStyle w:val="PageNumber"/>
      </w:rPr>
    </w:pPr>
    <w:r w:rsidRPr="007E07ED">
      <w:rPr>
        <w:rStyle w:val="PageNumber"/>
      </w:rPr>
      <w:t>CAJ/78/INF/5</w:t>
    </w:r>
  </w:p>
  <w:p w14:paraId="5729546D" w14:textId="74194890" w:rsidR="002C77EB" w:rsidRPr="007E07ED" w:rsidRDefault="002C77EB" w:rsidP="009D3585">
    <w:pPr>
      <w:pStyle w:val="Header"/>
    </w:pPr>
    <w:r>
      <w:t xml:space="preserve">Annexe I, </w:t>
    </w:r>
    <w:r w:rsidRPr="007E07ED">
      <w:t xml:space="preserve">page </w:t>
    </w:r>
    <w:r w:rsidRPr="00C5280D">
      <w:rPr>
        <w:rStyle w:val="PageNumber"/>
        <w:lang w:val="en-US"/>
      </w:rPr>
      <w:fldChar w:fldCharType="begin"/>
    </w:r>
    <w:r w:rsidRPr="007E07ED">
      <w:rPr>
        <w:rStyle w:val="PageNumber"/>
      </w:rPr>
      <w:instrText xml:space="preserve"> PAGE </w:instrText>
    </w:r>
    <w:r w:rsidRPr="00C5280D">
      <w:rPr>
        <w:rStyle w:val="PageNumber"/>
        <w:lang w:val="en-US"/>
      </w:rPr>
      <w:fldChar w:fldCharType="separate"/>
    </w:r>
    <w:r w:rsidR="007F2632">
      <w:rPr>
        <w:rStyle w:val="PageNumber"/>
        <w:noProof/>
      </w:rPr>
      <w:t>6</w:t>
    </w:r>
    <w:r w:rsidRPr="00C5280D">
      <w:rPr>
        <w:rStyle w:val="PageNumber"/>
        <w:lang w:val="en-US"/>
      </w:rPr>
      <w:fldChar w:fldCharType="end"/>
    </w:r>
  </w:p>
  <w:p w14:paraId="5729546E" w14:textId="77777777" w:rsidR="002C77EB" w:rsidRPr="007E07ED" w:rsidRDefault="002C77EB" w:rsidP="009D3585">
    <w:pPr>
      <w:rPr>
        <w:lang w:val="fr-FR"/>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29546F" w14:textId="7A436B1B" w:rsidR="002C77EB" w:rsidRPr="007E07ED" w:rsidRDefault="002C77EB" w:rsidP="00EB048E">
    <w:pPr>
      <w:pStyle w:val="Header"/>
      <w:rPr>
        <w:rStyle w:val="PageNumber"/>
      </w:rPr>
    </w:pPr>
    <w:r w:rsidRPr="007E07ED">
      <w:rPr>
        <w:rStyle w:val="PageNumber"/>
      </w:rPr>
      <w:t>CAJ/78/INF/5</w:t>
    </w:r>
  </w:p>
  <w:p w14:paraId="57295470" w14:textId="2239CAAC" w:rsidR="002C77EB" w:rsidRPr="001D5B8E" w:rsidRDefault="002C77EB" w:rsidP="005F025D">
    <w:pPr>
      <w:pStyle w:val="Header"/>
    </w:pPr>
    <w:r w:rsidRPr="001D5B8E">
      <w:t xml:space="preserve">Annexe I page </w:t>
    </w:r>
    <w:r w:rsidRPr="001D5B8E">
      <w:rPr>
        <w:rStyle w:val="PageNumber"/>
        <w:lang w:val="en-US"/>
      </w:rPr>
      <w:fldChar w:fldCharType="begin"/>
    </w:r>
    <w:r w:rsidRPr="001D5B8E">
      <w:rPr>
        <w:rStyle w:val="PageNumber"/>
      </w:rPr>
      <w:instrText xml:space="preserve"> PAGE </w:instrText>
    </w:r>
    <w:r w:rsidRPr="001D5B8E">
      <w:rPr>
        <w:rStyle w:val="PageNumber"/>
        <w:lang w:val="en-US"/>
      </w:rPr>
      <w:fldChar w:fldCharType="separate"/>
    </w:r>
    <w:r w:rsidR="007F2632">
      <w:rPr>
        <w:rStyle w:val="PageNumber"/>
        <w:noProof/>
      </w:rPr>
      <w:t>7</w:t>
    </w:r>
    <w:r w:rsidRPr="001D5B8E">
      <w:rPr>
        <w:rStyle w:val="PageNumber"/>
        <w:lang w:val="en-US"/>
      </w:rPr>
      <w:fldChar w:fldCharType="end"/>
    </w:r>
  </w:p>
  <w:p w14:paraId="57295471" w14:textId="77777777" w:rsidR="002C77EB" w:rsidRPr="007E07ED" w:rsidRDefault="002C77EB" w:rsidP="006655D3">
    <w:pPr>
      <w:rPr>
        <w:lang w:val="fr-FR"/>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295474" w14:textId="09D43F0B" w:rsidR="002C77EB" w:rsidRPr="00C5280D" w:rsidRDefault="002C77EB" w:rsidP="00632BB0">
    <w:pPr>
      <w:pStyle w:val="Header"/>
      <w:rPr>
        <w:rStyle w:val="PageNumber"/>
        <w:lang w:val="en-US"/>
      </w:rPr>
    </w:pPr>
    <w:r>
      <w:rPr>
        <w:rStyle w:val="PageNumber"/>
        <w:lang w:val="en-US"/>
      </w:rPr>
      <w:t>CAJ/78/INF/5</w:t>
    </w:r>
  </w:p>
  <w:p w14:paraId="57295475" w14:textId="77777777" w:rsidR="002C77EB" w:rsidRDefault="002C77EB" w:rsidP="00632BB0">
    <w:pPr>
      <w:pStyle w:val="Header"/>
      <w:rPr>
        <w:lang w:val="en-US"/>
      </w:rPr>
    </w:pPr>
  </w:p>
  <w:p w14:paraId="57295476" w14:textId="37BD73C1" w:rsidR="002C77EB" w:rsidRPr="007E07ED" w:rsidRDefault="002C77EB" w:rsidP="0004198B">
    <w:pPr>
      <w:pStyle w:val="Header"/>
      <w:rPr>
        <w:i/>
        <w:lang w:val="en-US"/>
      </w:rPr>
    </w:pPr>
    <w:r>
      <w:rPr>
        <w:lang w:val="en-US"/>
      </w:rPr>
      <w:t xml:space="preserve">ANNEXE I </w:t>
    </w:r>
  </w:p>
  <w:p w14:paraId="57295477" w14:textId="77777777" w:rsidR="002C77EB" w:rsidRDefault="002C77EB" w:rsidP="0004198B">
    <w:pPr>
      <w:pStyle w:val="Header"/>
      <w:rPr>
        <w:lang w:val="en-US"/>
      </w:rPr>
    </w:pPr>
  </w:p>
  <w:p w14:paraId="57295478" w14:textId="77777777" w:rsidR="002C77EB" w:rsidRPr="002A5011" w:rsidRDefault="002C77EB" w:rsidP="0004198B">
    <w:pPr>
      <w:pStyle w:val="Header"/>
      <w:rPr>
        <w:lang w:val="en-US"/>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29547A" w14:textId="77777777" w:rsidR="002C77EB" w:rsidRPr="007E07ED" w:rsidRDefault="002C77EB" w:rsidP="009D3585">
    <w:pPr>
      <w:pStyle w:val="Header"/>
      <w:rPr>
        <w:rStyle w:val="PageNumber"/>
      </w:rPr>
    </w:pPr>
    <w:r w:rsidRPr="007E07ED">
      <w:rPr>
        <w:rStyle w:val="PageNumber"/>
      </w:rPr>
      <w:t>CAJ/78/INF/5</w:t>
    </w:r>
  </w:p>
  <w:p w14:paraId="5729547B" w14:textId="77777777" w:rsidR="002C77EB" w:rsidRPr="007E07ED" w:rsidRDefault="002C77EB" w:rsidP="009D3585">
    <w:pPr>
      <w:pStyle w:val="Header"/>
    </w:pPr>
    <w:r>
      <w:t xml:space="preserve">Annex I, </w:t>
    </w:r>
    <w:r w:rsidRPr="007E07ED">
      <w:t xml:space="preserve">page </w:t>
    </w:r>
    <w:r w:rsidRPr="00C5280D">
      <w:rPr>
        <w:rStyle w:val="PageNumber"/>
        <w:lang w:val="en-US"/>
      </w:rPr>
      <w:fldChar w:fldCharType="begin"/>
    </w:r>
    <w:r w:rsidRPr="007E07ED">
      <w:rPr>
        <w:rStyle w:val="PageNumber"/>
      </w:rPr>
      <w:instrText xml:space="preserve"> PAGE </w:instrText>
    </w:r>
    <w:r w:rsidRPr="00C5280D">
      <w:rPr>
        <w:rStyle w:val="PageNumber"/>
        <w:lang w:val="en-US"/>
      </w:rPr>
      <w:fldChar w:fldCharType="separate"/>
    </w:r>
    <w:r>
      <w:rPr>
        <w:rStyle w:val="PageNumber"/>
        <w:noProof/>
      </w:rPr>
      <w:t>3</w:t>
    </w:r>
    <w:r w:rsidRPr="00C5280D">
      <w:rPr>
        <w:rStyle w:val="PageNumber"/>
        <w:lang w:val="en-US"/>
      </w:rPr>
      <w:fldChar w:fldCharType="end"/>
    </w:r>
  </w:p>
  <w:p w14:paraId="5729547C" w14:textId="77777777" w:rsidR="002C77EB" w:rsidRPr="007E07ED" w:rsidRDefault="002C77EB" w:rsidP="009D3585">
    <w:pPr>
      <w:rPr>
        <w:lang w:val="fr-FR"/>
      </w:rP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29547D" w14:textId="77777777" w:rsidR="002C77EB" w:rsidRPr="007E07ED" w:rsidRDefault="002C77EB" w:rsidP="005F025D">
    <w:pPr>
      <w:pStyle w:val="Header"/>
      <w:rPr>
        <w:rStyle w:val="PageNumber"/>
      </w:rPr>
    </w:pPr>
    <w:r w:rsidRPr="005F025D">
      <w:rPr>
        <w:rStyle w:val="PageNumber"/>
        <w:color w:val="800080"/>
      </w:rPr>
      <w:t>CAJ/78/INF/5</w:t>
    </w:r>
  </w:p>
  <w:p w14:paraId="5729547E" w14:textId="77777777" w:rsidR="002C77EB" w:rsidRPr="007E07ED" w:rsidRDefault="002C77EB" w:rsidP="005F025D">
    <w:pPr>
      <w:pStyle w:val="Header"/>
    </w:pPr>
    <w:r w:rsidRPr="005F025D">
      <w:rPr>
        <w:color w:val="008080"/>
      </w:rPr>
      <w:t>Annexe I</w:t>
    </w:r>
    <w:r w:rsidRPr="007E07ED">
      <w:t xml:space="preserve"> </w:t>
    </w:r>
    <w:r w:rsidRPr="00C5280D">
      <w:rPr>
        <w:rStyle w:val="PageNumber"/>
        <w:lang w:val="en-US"/>
      </w:rPr>
      <w:fldChar w:fldCharType="begin"/>
    </w:r>
    <w:r w:rsidRPr="007E07ED">
      <w:rPr>
        <w:rStyle w:val="PageNumber"/>
      </w:rPr>
      <w:instrText xml:space="preserve"> PAGE </w:instrText>
    </w:r>
    <w:r w:rsidRPr="00C5280D">
      <w:rPr>
        <w:rStyle w:val="PageNumber"/>
        <w:lang w:val="en-US"/>
      </w:rPr>
      <w:fldChar w:fldCharType="separate"/>
    </w:r>
    <w:r>
      <w:rPr>
        <w:rStyle w:val="PageNumber"/>
        <w:noProof/>
      </w:rPr>
      <w:t>3</w:t>
    </w:r>
    <w:r w:rsidRPr="00C5280D">
      <w:rPr>
        <w:rStyle w:val="PageNumber"/>
        <w:lang w:val="en-US"/>
      </w:rPr>
      <w:fldChar w:fldCharType="end"/>
    </w:r>
  </w:p>
  <w:p w14:paraId="5729547F" w14:textId="77777777" w:rsidR="002C77EB" w:rsidRPr="007E07ED" w:rsidRDefault="002C77EB" w:rsidP="006655D3">
    <w:pPr>
      <w:rPr>
        <w:lang w:val="fr-FR"/>
      </w:rP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295482" w14:textId="0DCE7427" w:rsidR="002C77EB" w:rsidRPr="00C5280D" w:rsidRDefault="002C77EB" w:rsidP="00632BB0">
    <w:pPr>
      <w:pStyle w:val="Header"/>
      <w:rPr>
        <w:rStyle w:val="PageNumber"/>
        <w:lang w:val="en-US"/>
      </w:rPr>
    </w:pPr>
    <w:r>
      <w:rPr>
        <w:rStyle w:val="PageNumber"/>
        <w:lang w:val="en-US"/>
      </w:rPr>
      <w:t>CAJ/78/INF/5</w:t>
    </w:r>
  </w:p>
  <w:p w14:paraId="57295483" w14:textId="77777777" w:rsidR="002C77EB" w:rsidRDefault="002C77EB" w:rsidP="00632BB0">
    <w:pPr>
      <w:pStyle w:val="Header"/>
      <w:rPr>
        <w:lang w:val="en-US"/>
      </w:rPr>
    </w:pPr>
  </w:p>
  <w:p w14:paraId="57295484" w14:textId="559DABC6" w:rsidR="002C77EB" w:rsidRPr="007E07ED" w:rsidRDefault="002C77EB" w:rsidP="0004198B">
    <w:pPr>
      <w:pStyle w:val="Header"/>
      <w:rPr>
        <w:i/>
        <w:lang w:val="en-US"/>
      </w:rPr>
    </w:pPr>
    <w:r>
      <w:rPr>
        <w:lang w:val="en-US"/>
      </w:rPr>
      <w:t xml:space="preserve">ANNEXE II </w:t>
    </w:r>
  </w:p>
  <w:p w14:paraId="57295485" w14:textId="77777777" w:rsidR="002C77EB" w:rsidRDefault="002C77EB" w:rsidP="0004198B">
    <w:pPr>
      <w:pStyle w:val="Header"/>
      <w:rPr>
        <w:lang w:val="en-US"/>
      </w:rPr>
    </w:pPr>
  </w:p>
  <w:p w14:paraId="57295486" w14:textId="77777777" w:rsidR="002C77EB" w:rsidRPr="002A5011" w:rsidRDefault="002C77EB" w:rsidP="0004198B">
    <w:pPr>
      <w:pStyle w:val="Header"/>
      <w:rPr>
        <w:lang w:val="en-US"/>
      </w:rP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295488" w14:textId="163BCD08" w:rsidR="002C77EB" w:rsidRPr="007F7E37" w:rsidRDefault="002C77EB" w:rsidP="009D3585">
    <w:pPr>
      <w:pStyle w:val="Header"/>
      <w:rPr>
        <w:rStyle w:val="PageNumber"/>
        <w:lang w:val="fr-CH"/>
      </w:rPr>
    </w:pPr>
    <w:r w:rsidRPr="007F7E37">
      <w:rPr>
        <w:rStyle w:val="PageNumber"/>
        <w:lang w:val="fr-CH"/>
      </w:rPr>
      <w:t>CAJ/78/INF/5</w:t>
    </w:r>
  </w:p>
  <w:p w14:paraId="57295489" w14:textId="7473E94D" w:rsidR="002C77EB" w:rsidRPr="007F7E37" w:rsidRDefault="002C77EB" w:rsidP="009D3585">
    <w:pPr>
      <w:pStyle w:val="Header"/>
      <w:rPr>
        <w:lang w:val="fr-CH"/>
      </w:rPr>
    </w:pPr>
    <w:r w:rsidRPr="007F7E37">
      <w:rPr>
        <w:lang w:val="fr-CH"/>
      </w:rPr>
      <w:t>Annex</w:t>
    </w:r>
    <w:r>
      <w:rPr>
        <w:lang w:val="fr-CH"/>
      </w:rPr>
      <w:t>e</w:t>
    </w:r>
    <w:r w:rsidRPr="007F7E37">
      <w:rPr>
        <w:lang w:val="fr-CH"/>
      </w:rPr>
      <w:t xml:space="preserve"> II, Appendi</w:t>
    </w:r>
    <w:r>
      <w:rPr>
        <w:lang w:val="fr-CH"/>
      </w:rPr>
      <w:t>ce</w:t>
    </w:r>
    <w:r w:rsidRPr="007F7E37">
      <w:rPr>
        <w:lang w:val="fr-CH"/>
      </w:rPr>
      <w:t xml:space="preserve">, page </w:t>
    </w:r>
    <w:r w:rsidRPr="007F7E37">
      <w:rPr>
        <w:rStyle w:val="PageNumber"/>
        <w:lang w:val="fr-CH"/>
      </w:rPr>
      <w:t>2</w:t>
    </w:r>
  </w:p>
  <w:p w14:paraId="5729548A" w14:textId="77777777" w:rsidR="002C77EB" w:rsidRPr="007F7E37" w:rsidRDefault="002C77EB" w:rsidP="009D3585">
    <w:pPr>
      <w:rPr>
        <w:lang w:val="fr-CH"/>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8E2C46"/>
    <w:multiLevelType w:val="hybridMultilevel"/>
    <w:tmpl w:val="564C0E4C"/>
    <w:lvl w:ilvl="0" w:tplc="040C0017">
      <w:start w:val="1"/>
      <w:numFmt w:val="lowerLetter"/>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1" w15:restartNumberingAfterBreak="0">
    <w:nsid w:val="1C871AFF"/>
    <w:multiLevelType w:val="hybridMultilevel"/>
    <w:tmpl w:val="86C255E8"/>
    <w:lvl w:ilvl="0" w:tplc="04090001">
      <w:start w:val="1"/>
      <w:numFmt w:val="bullet"/>
      <w:lvlText w:val=""/>
      <w:lvlJc w:val="left"/>
      <w:pPr>
        <w:ind w:left="720" w:hanging="360"/>
      </w:pPr>
      <w:rPr>
        <w:rFonts w:ascii="Symbol" w:hAnsi="Symbol" w:hint="default"/>
      </w:rPr>
    </w:lvl>
    <w:lvl w:ilvl="1" w:tplc="1CC28B62">
      <w:numFmt w:val="bullet"/>
      <w:lvlText w:val="-"/>
      <w:lvlJc w:val="left"/>
      <w:pPr>
        <w:ind w:left="1440" w:hanging="360"/>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230D00"/>
    <w:multiLevelType w:val="hybridMultilevel"/>
    <w:tmpl w:val="CFF2F340"/>
    <w:lvl w:ilvl="0" w:tplc="0628ADF2">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362292"/>
    <w:multiLevelType w:val="hybridMultilevel"/>
    <w:tmpl w:val="DCCAC554"/>
    <w:lvl w:ilvl="0" w:tplc="C5DC1DF8">
      <w:start w:val="1"/>
      <w:numFmt w:val="decimal"/>
      <w:lvlText w:val="%1."/>
      <w:lvlJc w:val="left"/>
      <w:pPr>
        <w:ind w:left="220" w:hanging="906"/>
      </w:pPr>
      <w:rPr>
        <w:rFonts w:ascii="Times New Roman" w:eastAsia="Times New Roman" w:hAnsi="Times New Roman" w:cs="Times New Roman" w:hint="default"/>
        <w:w w:val="100"/>
        <w:sz w:val="22"/>
        <w:szCs w:val="22"/>
        <w:lang w:val="en-GB" w:eastAsia="en-GB" w:bidi="en-GB"/>
      </w:rPr>
    </w:lvl>
    <w:lvl w:ilvl="1" w:tplc="378EC1DE">
      <w:numFmt w:val="bullet"/>
      <w:lvlText w:val=""/>
      <w:lvlJc w:val="left"/>
      <w:pPr>
        <w:ind w:left="1070" w:hanging="409"/>
      </w:pPr>
      <w:rPr>
        <w:rFonts w:ascii="Symbol" w:eastAsia="Symbol" w:hAnsi="Symbol" w:cs="Symbol" w:hint="default"/>
        <w:w w:val="100"/>
        <w:sz w:val="22"/>
        <w:szCs w:val="22"/>
        <w:lang w:val="en-GB" w:eastAsia="en-GB" w:bidi="en-GB"/>
      </w:rPr>
    </w:lvl>
    <w:lvl w:ilvl="2" w:tplc="09903808">
      <w:numFmt w:val="bullet"/>
      <w:lvlText w:val="•"/>
      <w:lvlJc w:val="left"/>
      <w:pPr>
        <w:ind w:left="2208" w:hanging="409"/>
      </w:pPr>
      <w:rPr>
        <w:rFonts w:hint="default"/>
        <w:lang w:val="en-GB" w:eastAsia="en-GB" w:bidi="en-GB"/>
      </w:rPr>
    </w:lvl>
    <w:lvl w:ilvl="3" w:tplc="DFA420FE">
      <w:numFmt w:val="bullet"/>
      <w:lvlText w:val="•"/>
      <w:lvlJc w:val="left"/>
      <w:pPr>
        <w:ind w:left="3337" w:hanging="409"/>
      </w:pPr>
      <w:rPr>
        <w:rFonts w:hint="default"/>
        <w:lang w:val="en-GB" w:eastAsia="en-GB" w:bidi="en-GB"/>
      </w:rPr>
    </w:lvl>
    <w:lvl w:ilvl="4" w:tplc="26B42B78">
      <w:numFmt w:val="bullet"/>
      <w:lvlText w:val="•"/>
      <w:lvlJc w:val="left"/>
      <w:pPr>
        <w:ind w:left="4466" w:hanging="409"/>
      </w:pPr>
      <w:rPr>
        <w:rFonts w:hint="default"/>
        <w:lang w:val="en-GB" w:eastAsia="en-GB" w:bidi="en-GB"/>
      </w:rPr>
    </w:lvl>
    <w:lvl w:ilvl="5" w:tplc="E292BF4E">
      <w:numFmt w:val="bullet"/>
      <w:lvlText w:val="•"/>
      <w:lvlJc w:val="left"/>
      <w:pPr>
        <w:ind w:left="5595" w:hanging="409"/>
      </w:pPr>
      <w:rPr>
        <w:rFonts w:hint="default"/>
        <w:lang w:val="en-GB" w:eastAsia="en-GB" w:bidi="en-GB"/>
      </w:rPr>
    </w:lvl>
    <w:lvl w:ilvl="6" w:tplc="C338AFB2">
      <w:numFmt w:val="bullet"/>
      <w:lvlText w:val="•"/>
      <w:lvlJc w:val="left"/>
      <w:pPr>
        <w:ind w:left="6724" w:hanging="409"/>
      </w:pPr>
      <w:rPr>
        <w:rFonts w:hint="default"/>
        <w:lang w:val="en-GB" w:eastAsia="en-GB" w:bidi="en-GB"/>
      </w:rPr>
    </w:lvl>
    <w:lvl w:ilvl="7" w:tplc="E0F8143E">
      <w:numFmt w:val="bullet"/>
      <w:lvlText w:val="•"/>
      <w:lvlJc w:val="left"/>
      <w:pPr>
        <w:ind w:left="7853" w:hanging="409"/>
      </w:pPr>
      <w:rPr>
        <w:rFonts w:hint="default"/>
        <w:lang w:val="en-GB" w:eastAsia="en-GB" w:bidi="en-GB"/>
      </w:rPr>
    </w:lvl>
    <w:lvl w:ilvl="8" w:tplc="E094185C">
      <w:numFmt w:val="bullet"/>
      <w:lvlText w:val="•"/>
      <w:lvlJc w:val="left"/>
      <w:pPr>
        <w:ind w:left="8982" w:hanging="409"/>
      </w:pPr>
      <w:rPr>
        <w:rFonts w:hint="default"/>
        <w:lang w:val="en-GB" w:eastAsia="en-GB" w:bidi="en-GB"/>
      </w:rPr>
    </w:lvl>
  </w:abstractNum>
  <w:abstractNum w:abstractNumId="4" w15:restartNumberingAfterBreak="0">
    <w:nsid w:val="2A4435BD"/>
    <w:multiLevelType w:val="hybridMultilevel"/>
    <w:tmpl w:val="16F635F0"/>
    <w:lvl w:ilvl="0" w:tplc="4B50B3FA">
      <w:start w:val="1"/>
      <w:numFmt w:val="lowerLetter"/>
      <w:lvlText w:val="(%1)"/>
      <w:lvlJc w:val="left"/>
      <w:pPr>
        <w:ind w:left="5440" w:hanging="360"/>
      </w:pPr>
      <w:rPr>
        <w:rFonts w:hint="default"/>
      </w:rPr>
    </w:lvl>
    <w:lvl w:ilvl="1" w:tplc="04090019">
      <w:start w:val="1"/>
      <w:numFmt w:val="lowerLetter"/>
      <w:lvlText w:val="%2."/>
      <w:lvlJc w:val="left"/>
      <w:pPr>
        <w:ind w:left="6160" w:hanging="360"/>
      </w:pPr>
    </w:lvl>
    <w:lvl w:ilvl="2" w:tplc="0409001B" w:tentative="1">
      <w:start w:val="1"/>
      <w:numFmt w:val="lowerRoman"/>
      <w:lvlText w:val="%3."/>
      <w:lvlJc w:val="right"/>
      <w:pPr>
        <w:ind w:left="6880" w:hanging="180"/>
      </w:pPr>
    </w:lvl>
    <w:lvl w:ilvl="3" w:tplc="0409000F" w:tentative="1">
      <w:start w:val="1"/>
      <w:numFmt w:val="decimal"/>
      <w:lvlText w:val="%4."/>
      <w:lvlJc w:val="left"/>
      <w:pPr>
        <w:ind w:left="7600" w:hanging="360"/>
      </w:pPr>
    </w:lvl>
    <w:lvl w:ilvl="4" w:tplc="04090019" w:tentative="1">
      <w:start w:val="1"/>
      <w:numFmt w:val="lowerLetter"/>
      <w:lvlText w:val="%5."/>
      <w:lvlJc w:val="left"/>
      <w:pPr>
        <w:ind w:left="8320" w:hanging="360"/>
      </w:pPr>
    </w:lvl>
    <w:lvl w:ilvl="5" w:tplc="0409001B" w:tentative="1">
      <w:start w:val="1"/>
      <w:numFmt w:val="lowerRoman"/>
      <w:lvlText w:val="%6."/>
      <w:lvlJc w:val="right"/>
      <w:pPr>
        <w:ind w:left="9040" w:hanging="180"/>
      </w:pPr>
    </w:lvl>
    <w:lvl w:ilvl="6" w:tplc="0409000F" w:tentative="1">
      <w:start w:val="1"/>
      <w:numFmt w:val="decimal"/>
      <w:lvlText w:val="%7."/>
      <w:lvlJc w:val="left"/>
      <w:pPr>
        <w:ind w:left="9760" w:hanging="360"/>
      </w:pPr>
    </w:lvl>
    <w:lvl w:ilvl="7" w:tplc="04090019" w:tentative="1">
      <w:start w:val="1"/>
      <w:numFmt w:val="lowerLetter"/>
      <w:lvlText w:val="%8."/>
      <w:lvlJc w:val="left"/>
      <w:pPr>
        <w:ind w:left="10480" w:hanging="360"/>
      </w:pPr>
    </w:lvl>
    <w:lvl w:ilvl="8" w:tplc="0409001B" w:tentative="1">
      <w:start w:val="1"/>
      <w:numFmt w:val="lowerRoman"/>
      <w:lvlText w:val="%9."/>
      <w:lvlJc w:val="right"/>
      <w:pPr>
        <w:ind w:left="11200" w:hanging="180"/>
      </w:pPr>
    </w:lvl>
  </w:abstractNum>
  <w:abstractNum w:abstractNumId="5" w15:restartNumberingAfterBreak="0">
    <w:nsid w:val="2CD23DA3"/>
    <w:multiLevelType w:val="hybridMultilevel"/>
    <w:tmpl w:val="B33483A2"/>
    <w:lvl w:ilvl="0" w:tplc="8210023A">
      <w:start w:val="1"/>
      <w:numFmt w:val="lowerRoman"/>
      <w:lvlText w:val="(%1)"/>
      <w:lvlJc w:val="left"/>
      <w:pPr>
        <w:ind w:left="1410" w:hanging="720"/>
      </w:pPr>
      <w:rPr>
        <w:rFonts w:hint="default"/>
      </w:rPr>
    </w:lvl>
    <w:lvl w:ilvl="1" w:tplc="04090019" w:tentative="1">
      <w:start w:val="1"/>
      <w:numFmt w:val="lowerLetter"/>
      <w:lvlText w:val="%2."/>
      <w:lvlJc w:val="left"/>
      <w:pPr>
        <w:ind w:left="1770" w:hanging="360"/>
      </w:pPr>
    </w:lvl>
    <w:lvl w:ilvl="2" w:tplc="0409001B" w:tentative="1">
      <w:start w:val="1"/>
      <w:numFmt w:val="lowerRoman"/>
      <w:lvlText w:val="%3."/>
      <w:lvlJc w:val="right"/>
      <w:pPr>
        <w:ind w:left="2490" w:hanging="180"/>
      </w:pPr>
    </w:lvl>
    <w:lvl w:ilvl="3" w:tplc="0409000F" w:tentative="1">
      <w:start w:val="1"/>
      <w:numFmt w:val="decimal"/>
      <w:lvlText w:val="%4."/>
      <w:lvlJc w:val="left"/>
      <w:pPr>
        <w:ind w:left="3210" w:hanging="360"/>
      </w:pPr>
    </w:lvl>
    <w:lvl w:ilvl="4" w:tplc="04090019" w:tentative="1">
      <w:start w:val="1"/>
      <w:numFmt w:val="lowerLetter"/>
      <w:lvlText w:val="%5."/>
      <w:lvlJc w:val="left"/>
      <w:pPr>
        <w:ind w:left="3930" w:hanging="360"/>
      </w:pPr>
    </w:lvl>
    <w:lvl w:ilvl="5" w:tplc="0409001B" w:tentative="1">
      <w:start w:val="1"/>
      <w:numFmt w:val="lowerRoman"/>
      <w:lvlText w:val="%6."/>
      <w:lvlJc w:val="right"/>
      <w:pPr>
        <w:ind w:left="4650" w:hanging="180"/>
      </w:pPr>
    </w:lvl>
    <w:lvl w:ilvl="6" w:tplc="0409000F" w:tentative="1">
      <w:start w:val="1"/>
      <w:numFmt w:val="decimal"/>
      <w:lvlText w:val="%7."/>
      <w:lvlJc w:val="left"/>
      <w:pPr>
        <w:ind w:left="5370" w:hanging="360"/>
      </w:pPr>
    </w:lvl>
    <w:lvl w:ilvl="7" w:tplc="04090019" w:tentative="1">
      <w:start w:val="1"/>
      <w:numFmt w:val="lowerLetter"/>
      <w:lvlText w:val="%8."/>
      <w:lvlJc w:val="left"/>
      <w:pPr>
        <w:ind w:left="6090" w:hanging="360"/>
      </w:pPr>
    </w:lvl>
    <w:lvl w:ilvl="8" w:tplc="0409001B" w:tentative="1">
      <w:start w:val="1"/>
      <w:numFmt w:val="lowerRoman"/>
      <w:lvlText w:val="%9."/>
      <w:lvlJc w:val="right"/>
      <w:pPr>
        <w:ind w:left="6810" w:hanging="180"/>
      </w:pPr>
    </w:lvl>
  </w:abstractNum>
  <w:abstractNum w:abstractNumId="6" w15:restartNumberingAfterBreak="0">
    <w:nsid w:val="35110F16"/>
    <w:multiLevelType w:val="hybridMultilevel"/>
    <w:tmpl w:val="F4282C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5413021"/>
    <w:multiLevelType w:val="multilevel"/>
    <w:tmpl w:val="40F20C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ED6635A"/>
    <w:multiLevelType w:val="hybridMultilevel"/>
    <w:tmpl w:val="6B96C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7C92688"/>
    <w:multiLevelType w:val="hybridMultilevel"/>
    <w:tmpl w:val="C2B2C2F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B985B1E"/>
    <w:multiLevelType w:val="hybridMultilevel"/>
    <w:tmpl w:val="A308E4E6"/>
    <w:lvl w:ilvl="0" w:tplc="08070005">
      <w:start w:val="1"/>
      <w:numFmt w:val="bullet"/>
      <w:lvlText w:val=""/>
      <w:lvlJc w:val="left"/>
      <w:pPr>
        <w:ind w:left="720" w:hanging="360"/>
      </w:pPr>
      <w:rPr>
        <w:rFonts w:ascii="Wingdings" w:hAnsi="Wingdings" w:hint="default"/>
        <w:color w:val="FF9900"/>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61B104BD"/>
    <w:multiLevelType w:val="multilevel"/>
    <w:tmpl w:val="E47E4CC2"/>
    <w:lvl w:ilvl="0">
      <w:start w:val="1"/>
      <w:numFmt w:val="bullet"/>
      <w:lvlText w:val=""/>
      <w:lvlJc w:val="left"/>
      <w:pPr>
        <w:tabs>
          <w:tab w:val="num" w:pos="720"/>
        </w:tabs>
        <w:ind w:left="720" w:hanging="360"/>
      </w:pPr>
      <w:rPr>
        <w:rFonts w:ascii="Wingdings" w:hAnsi="Wingdings" w:hint="default"/>
        <w:color w:val="FF9900"/>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9122C42"/>
    <w:multiLevelType w:val="hybridMultilevel"/>
    <w:tmpl w:val="143479F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3" w15:restartNumberingAfterBreak="0">
    <w:nsid w:val="756F6464"/>
    <w:multiLevelType w:val="hybridMultilevel"/>
    <w:tmpl w:val="D70C7444"/>
    <w:lvl w:ilvl="0" w:tplc="766A3594">
      <w:start w:val="1"/>
      <w:numFmt w:val="lowerRoman"/>
      <w:lvlText w:val="%1)"/>
      <w:lvlJc w:val="left"/>
      <w:pPr>
        <w:ind w:left="1284" w:hanging="720"/>
      </w:pPr>
      <w:rPr>
        <w:rFonts w:hint="default"/>
      </w:rPr>
    </w:lvl>
    <w:lvl w:ilvl="1" w:tplc="040C0019" w:tentative="1">
      <w:start w:val="1"/>
      <w:numFmt w:val="lowerLetter"/>
      <w:lvlText w:val="%2."/>
      <w:lvlJc w:val="left"/>
      <w:pPr>
        <w:ind w:left="1644" w:hanging="360"/>
      </w:pPr>
    </w:lvl>
    <w:lvl w:ilvl="2" w:tplc="040C001B" w:tentative="1">
      <w:start w:val="1"/>
      <w:numFmt w:val="lowerRoman"/>
      <w:lvlText w:val="%3."/>
      <w:lvlJc w:val="right"/>
      <w:pPr>
        <w:ind w:left="2364" w:hanging="180"/>
      </w:pPr>
    </w:lvl>
    <w:lvl w:ilvl="3" w:tplc="040C000F" w:tentative="1">
      <w:start w:val="1"/>
      <w:numFmt w:val="decimal"/>
      <w:lvlText w:val="%4."/>
      <w:lvlJc w:val="left"/>
      <w:pPr>
        <w:ind w:left="3084" w:hanging="360"/>
      </w:pPr>
    </w:lvl>
    <w:lvl w:ilvl="4" w:tplc="040C0019" w:tentative="1">
      <w:start w:val="1"/>
      <w:numFmt w:val="lowerLetter"/>
      <w:lvlText w:val="%5."/>
      <w:lvlJc w:val="left"/>
      <w:pPr>
        <w:ind w:left="3804" w:hanging="360"/>
      </w:pPr>
    </w:lvl>
    <w:lvl w:ilvl="5" w:tplc="040C001B" w:tentative="1">
      <w:start w:val="1"/>
      <w:numFmt w:val="lowerRoman"/>
      <w:lvlText w:val="%6."/>
      <w:lvlJc w:val="right"/>
      <w:pPr>
        <w:ind w:left="4524" w:hanging="180"/>
      </w:pPr>
    </w:lvl>
    <w:lvl w:ilvl="6" w:tplc="040C000F" w:tentative="1">
      <w:start w:val="1"/>
      <w:numFmt w:val="decimal"/>
      <w:lvlText w:val="%7."/>
      <w:lvlJc w:val="left"/>
      <w:pPr>
        <w:ind w:left="5244" w:hanging="360"/>
      </w:pPr>
    </w:lvl>
    <w:lvl w:ilvl="7" w:tplc="040C0019" w:tentative="1">
      <w:start w:val="1"/>
      <w:numFmt w:val="lowerLetter"/>
      <w:lvlText w:val="%8."/>
      <w:lvlJc w:val="left"/>
      <w:pPr>
        <w:ind w:left="5964" w:hanging="360"/>
      </w:pPr>
    </w:lvl>
    <w:lvl w:ilvl="8" w:tplc="040C001B" w:tentative="1">
      <w:start w:val="1"/>
      <w:numFmt w:val="lowerRoman"/>
      <w:lvlText w:val="%9."/>
      <w:lvlJc w:val="right"/>
      <w:pPr>
        <w:ind w:left="6684" w:hanging="180"/>
      </w:pPr>
    </w:lvl>
  </w:abstractNum>
  <w:abstractNum w:abstractNumId="14" w15:restartNumberingAfterBreak="0">
    <w:nsid w:val="7D771120"/>
    <w:multiLevelType w:val="hybridMultilevel"/>
    <w:tmpl w:val="532C1828"/>
    <w:lvl w:ilvl="0" w:tplc="A3B4BCEC">
      <w:start w:val="2"/>
      <w:numFmt w:val="bullet"/>
      <w:lvlText w:val="-"/>
      <w:lvlJc w:val="left"/>
      <w:pPr>
        <w:ind w:left="927" w:hanging="360"/>
      </w:pPr>
      <w:rPr>
        <w:rFonts w:ascii="Arial" w:eastAsia="Cambria" w:hAnsi="Arial" w:cs="Arial"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num w:numId="1">
    <w:abstractNumId w:val="5"/>
  </w:num>
  <w:num w:numId="2">
    <w:abstractNumId w:val="2"/>
  </w:num>
  <w:num w:numId="3">
    <w:abstractNumId w:val="6"/>
  </w:num>
  <w:num w:numId="4">
    <w:abstractNumId w:val="12"/>
  </w:num>
  <w:num w:numId="5">
    <w:abstractNumId w:val="9"/>
  </w:num>
  <w:num w:numId="6">
    <w:abstractNumId w:val="7"/>
  </w:num>
  <w:num w:numId="7">
    <w:abstractNumId w:val="11"/>
  </w:num>
  <w:num w:numId="8">
    <w:abstractNumId w:val="10"/>
  </w:num>
  <w:num w:numId="9">
    <w:abstractNumId w:val="3"/>
  </w:num>
  <w:num w:numId="10">
    <w:abstractNumId w:val="4"/>
  </w:num>
  <w:num w:numId="11">
    <w:abstractNumId w:val="1"/>
  </w:num>
  <w:num w:numId="12">
    <w:abstractNumId w:val="8"/>
  </w:num>
  <w:num w:numId="13">
    <w:abstractNumId w:val="13"/>
  </w:num>
  <w:num w:numId="14">
    <w:abstractNumId w:val="0"/>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ourceLng" w:val="eng"/>
    <w:docVar w:name="TargetLng" w:val="fra"/>
    <w:docVar w:name="TermBases" w:val="Empty"/>
    <w:docVar w:name="TermBaseURL" w:val="empty"/>
    <w:docVar w:name="TextBases" w:val="TextBase TMs\WorkspaceFTS\Ad-hoc\Assemblies|TextBase TMs\WorkspaceFTS\Ad-hoc\Glossaires|TextBase TMs\WorkspaceFTS\Administration &amp; Finance\Administration|TextBase TMs\WorkspaceFTS\Administration &amp; Finance\PBC|TextBase TMs\WorkspaceFTS\Brands, Designs &amp; DN\AMC|TextBase TMs\WorkspaceFTS\Brands, Designs &amp; DN\Hague|TextBase TMs\WorkspaceFTS\Brands, Designs &amp; DN\Lisbon|TextBase TMs\WorkspaceFTS\Brands, Designs &amp; DN\Madrid|TextBase TMs\WorkspaceFTS\Copyright\Copyright|TextBase TMs\WorkspaceFTS\Development\Development|TextBase TMs\WorkspaceFTS\GRTKF\GRTKF|TextBase TMs\WorkspaceFTS\Outreach\Academy|TextBase TMs\WorkspaceFTS\Outreach\ACE|TextBase TMs\WorkspaceFTS\Outreach\Outreach|TextBase TMs\WorkspaceFTS\Outreach\Publications|TextBase TMs\WorkspaceFTS\Patents &amp; Innovation\Budapest|TextBase TMs\WorkspaceFTS\Patents &amp; Innovation\CWS|TextBase TMs\WorkspaceFTS\Patents &amp; Innovation\IPC|TextBase TMs\WorkspaceFTS\Patents &amp; Innovation\Patents|TextBase TMs\WorkspaceFTS\Patents &amp; Innovation\PCT|TextBase TMs\WorkspaceFTS\Patents &amp; Innovation\SCP|TextBase TMs\WorkspaceFTS\Treaties &amp; Laws\WIPO Lex|TextBase TMs\WorkspaceFTS\Treaties &amp; Laws\WIPO Treaties|TextBase TMs\WorkspaceFTS\UPOV\TGs|TextBase TMs\WorkspaceFTS\UPOV\UPOV|TextBase TMs\WorkspaceFTS\xLegacy\Academy|TextBase TMs\WorkspaceFTS\xLegacy\Administrative|TextBase TMs\WorkspaceFTS\xLegacy\Budget and Finance|TextBase TMs\WorkspaceFTS\xLegacy\Copyright|TextBase TMs\WorkspaceFTS\xLegacy\IP_Press_Other|TextBase TMs\WorkspaceFTS\xLegacy\Patents|TextBase TMs\WorkspaceFTS\xLegacy\Trademarks|TextBase TMs\WorkspaceFTS\xLegacy\Treaties|TextBase TMs\WorkspaceFTS\xLegacy\UPOV"/>
    <w:docVar w:name="TextBaseURL" w:val="empty"/>
    <w:docVar w:name="UILng" w:val="en"/>
  </w:docVars>
  <w:rsids>
    <w:rsidRoot w:val="00931AD0"/>
    <w:rsid w:val="000054DB"/>
    <w:rsid w:val="00006D81"/>
    <w:rsid w:val="00010CF3"/>
    <w:rsid w:val="000113AC"/>
    <w:rsid w:val="00011E27"/>
    <w:rsid w:val="00013A53"/>
    <w:rsid w:val="000148BC"/>
    <w:rsid w:val="0002484F"/>
    <w:rsid w:val="00024AB8"/>
    <w:rsid w:val="00030854"/>
    <w:rsid w:val="00036028"/>
    <w:rsid w:val="0004198B"/>
    <w:rsid w:val="00044642"/>
    <w:rsid w:val="000446B9"/>
    <w:rsid w:val="00047E21"/>
    <w:rsid w:val="000504AC"/>
    <w:rsid w:val="00050E16"/>
    <w:rsid w:val="00053FE5"/>
    <w:rsid w:val="00056D29"/>
    <w:rsid w:val="00072526"/>
    <w:rsid w:val="000744B3"/>
    <w:rsid w:val="000772DC"/>
    <w:rsid w:val="00085505"/>
    <w:rsid w:val="0009538C"/>
    <w:rsid w:val="00095BA0"/>
    <w:rsid w:val="000970A9"/>
    <w:rsid w:val="000A1F3B"/>
    <w:rsid w:val="000A277C"/>
    <w:rsid w:val="000A5611"/>
    <w:rsid w:val="000B2E22"/>
    <w:rsid w:val="000B496B"/>
    <w:rsid w:val="000C4E25"/>
    <w:rsid w:val="000C5DF6"/>
    <w:rsid w:val="000C6BCF"/>
    <w:rsid w:val="000C7021"/>
    <w:rsid w:val="000C7756"/>
    <w:rsid w:val="000D076C"/>
    <w:rsid w:val="000D58D0"/>
    <w:rsid w:val="000D60E7"/>
    <w:rsid w:val="000D6BBC"/>
    <w:rsid w:val="000D7780"/>
    <w:rsid w:val="000E4D7B"/>
    <w:rsid w:val="000E52A6"/>
    <w:rsid w:val="000E636A"/>
    <w:rsid w:val="000F2F11"/>
    <w:rsid w:val="00100A5F"/>
    <w:rsid w:val="00104784"/>
    <w:rsid w:val="00105929"/>
    <w:rsid w:val="00110BED"/>
    <w:rsid w:val="00110C36"/>
    <w:rsid w:val="001131D5"/>
    <w:rsid w:val="0011329B"/>
    <w:rsid w:val="001143FF"/>
    <w:rsid w:val="00114547"/>
    <w:rsid w:val="00123761"/>
    <w:rsid w:val="00141DB8"/>
    <w:rsid w:val="0015387C"/>
    <w:rsid w:val="00161424"/>
    <w:rsid w:val="00172084"/>
    <w:rsid w:val="0017330B"/>
    <w:rsid w:val="00173D52"/>
    <w:rsid w:val="0017474A"/>
    <w:rsid w:val="00174854"/>
    <w:rsid w:val="00174C8F"/>
    <w:rsid w:val="00174F98"/>
    <w:rsid w:val="001758C6"/>
    <w:rsid w:val="00182B99"/>
    <w:rsid w:val="0019319D"/>
    <w:rsid w:val="0019734E"/>
    <w:rsid w:val="00197F61"/>
    <w:rsid w:val="001B75BB"/>
    <w:rsid w:val="001C1525"/>
    <w:rsid w:val="001C36BF"/>
    <w:rsid w:val="001C6ACF"/>
    <w:rsid w:val="001D5B8E"/>
    <w:rsid w:val="001F135F"/>
    <w:rsid w:val="002019C3"/>
    <w:rsid w:val="0020699C"/>
    <w:rsid w:val="0021332C"/>
    <w:rsid w:val="00213982"/>
    <w:rsid w:val="0024416D"/>
    <w:rsid w:val="00254CB3"/>
    <w:rsid w:val="00266300"/>
    <w:rsid w:val="00271911"/>
    <w:rsid w:val="002719F5"/>
    <w:rsid w:val="00273187"/>
    <w:rsid w:val="0027540F"/>
    <w:rsid w:val="00277435"/>
    <w:rsid w:val="00277F84"/>
    <w:rsid w:val="002800A0"/>
    <w:rsid w:val="002801B3"/>
    <w:rsid w:val="00281060"/>
    <w:rsid w:val="00285BD0"/>
    <w:rsid w:val="00290ACD"/>
    <w:rsid w:val="00291904"/>
    <w:rsid w:val="002940E8"/>
    <w:rsid w:val="00294751"/>
    <w:rsid w:val="002A5011"/>
    <w:rsid w:val="002A6E50"/>
    <w:rsid w:val="002B0AA3"/>
    <w:rsid w:val="002B0F58"/>
    <w:rsid w:val="002B4298"/>
    <w:rsid w:val="002B6DA5"/>
    <w:rsid w:val="002B7A36"/>
    <w:rsid w:val="002C256A"/>
    <w:rsid w:val="002C461C"/>
    <w:rsid w:val="002C77EB"/>
    <w:rsid w:val="002D081D"/>
    <w:rsid w:val="002D5226"/>
    <w:rsid w:val="002F7152"/>
    <w:rsid w:val="00305A7F"/>
    <w:rsid w:val="003152FE"/>
    <w:rsid w:val="0031625E"/>
    <w:rsid w:val="00317147"/>
    <w:rsid w:val="00323D5E"/>
    <w:rsid w:val="00327436"/>
    <w:rsid w:val="00343B29"/>
    <w:rsid w:val="00344BD6"/>
    <w:rsid w:val="00346604"/>
    <w:rsid w:val="003507FA"/>
    <w:rsid w:val="0035528D"/>
    <w:rsid w:val="0036013F"/>
    <w:rsid w:val="00361821"/>
    <w:rsid w:val="00361E9E"/>
    <w:rsid w:val="0036402F"/>
    <w:rsid w:val="003753EE"/>
    <w:rsid w:val="00383C0E"/>
    <w:rsid w:val="00383F0E"/>
    <w:rsid w:val="003857BB"/>
    <w:rsid w:val="003908D9"/>
    <w:rsid w:val="003940A0"/>
    <w:rsid w:val="003A0835"/>
    <w:rsid w:val="003A5970"/>
    <w:rsid w:val="003A5AAF"/>
    <w:rsid w:val="003B3E23"/>
    <w:rsid w:val="003B700A"/>
    <w:rsid w:val="003C50DB"/>
    <w:rsid w:val="003C7FBE"/>
    <w:rsid w:val="003D1029"/>
    <w:rsid w:val="003D227C"/>
    <w:rsid w:val="003D2B4D"/>
    <w:rsid w:val="003E73F0"/>
    <w:rsid w:val="003F37F5"/>
    <w:rsid w:val="00400F4A"/>
    <w:rsid w:val="00401310"/>
    <w:rsid w:val="00426C2E"/>
    <w:rsid w:val="00430368"/>
    <w:rsid w:val="0043347E"/>
    <w:rsid w:val="00435792"/>
    <w:rsid w:val="004365F1"/>
    <w:rsid w:val="00437B3F"/>
    <w:rsid w:val="00444A88"/>
    <w:rsid w:val="00456121"/>
    <w:rsid w:val="0047374F"/>
    <w:rsid w:val="00473796"/>
    <w:rsid w:val="00474DA4"/>
    <w:rsid w:val="00476B4D"/>
    <w:rsid w:val="004805FA"/>
    <w:rsid w:val="00482E74"/>
    <w:rsid w:val="004935D2"/>
    <w:rsid w:val="0049464F"/>
    <w:rsid w:val="004A1B21"/>
    <w:rsid w:val="004A1CA8"/>
    <w:rsid w:val="004A6F71"/>
    <w:rsid w:val="004B020C"/>
    <w:rsid w:val="004B1215"/>
    <w:rsid w:val="004B5ADF"/>
    <w:rsid w:val="004C64A4"/>
    <w:rsid w:val="004D047D"/>
    <w:rsid w:val="004E30EC"/>
    <w:rsid w:val="004F1E9E"/>
    <w:rsid w:val="004F305A"/>
    <w:rsid w:val="004F4706"/>
    <w:rsid w:val="004F4D90"/>
    <w:rsid w:val="005048DC"/>
    <w:rsid w:val="00512164"/>
    <w:rsid w:val="005171AA"/>
    <w:rsid w:val="00517309"/>
    <w:rsid w:val="00520297"/>
    <w:rsid w:val="00522743"/>
    <w:rsid w:val="00524C94"/>
    <w:rsid w:val="005338F9"/>
    <w:rsid w:val="0054215C"/>
    <w:rsid w:val="0054281C"/>
    <w:rsid w:val="00544581"/>
    <w:rsid w:val="00551335"/>
    <w:rsid w:val="0055268D"/>
    <w:rsid w:val="0056301D"/>
    <w:rsid w:val="00572304"/>
    <w:rsid w:val="00575DE2"/>
    <w:rsid w:val="00576BE4"/>
    <w:rsid w:val="005779DB"/>
    <w:rsid w:val="00581F5E"/>
    <w:rsid w:val="005958B4"/>
    <w:rsid w:val="00595E41"/>
    <w:rsid w:val="005A400A"/>
    <w:rsid w:val="005A7630"/>
    <w:rsid w:val="005B0169"/>
    <w:rsid w:val="005B269D"/>
    <w:rsid w:val="005C446F"/>
    <w:rsid w:val="005C64A1"/>
    <w:rsid w:val="005D0416"/>
    <w:rsid w:val="005F025D"/>
    <w:rsid w:val="005F7B92"/>
    <w:rsid w:val="005F7F7B"/>
    <w:rsid w:val="00612379"/>
    <w:rsid w:val="00614DA3"/>
    <w:rsid w:val="006153B6"/>
    <w:rsid w:val="0061555F"/>
    <w:rsid w:val="006245ED"/>
    <w:rsid w:val="00632328"/>
    <w:rsid w:val="00632BB0"/>
    <w:rsid w:val="00632F98"/>
    <w:rsid w:val="00636CA6"/>
    <w:rsid w:val="00641200"/>
    <w:rsid w:val="00645CA8"/>
    <w:rsid w:val="00655FC9"/>
    <w:rsid w:val="006574E5"/>
    <w:rsid w:val="0066312E"/>
    <w:rsid w:val="006655D3"/>
    <w:rsid w:val="006661EC"/>
    <w:rsid w:val="00667404"/>
    <w:rsid w:val="006771C9"/>
    <w:rsid w:val="00687EB4"/>
    <w:rsid w:val="006924FB"/>
    <w:rsid w:val="00694FB1"/>
    <w:rsid w:val="00695C56"/>
    <w:rsid w:val="006A366A"/>
    <w:rsid w:val="006A5CDE"/>
    <w:rsid w:val="006A644A"/>
    <w:rsid w:val="006A6A52"/>
    <w:rsid w:val="006B17D2"/>
    <w:rsid w:val="006B4D24"/>
    <w:rsid w:val="006B560F"/>
    <w:rsid w:val="006C224E"/>
    <w:rsid w:val="006C29E6"/>
    <w:rsid w:val="006C32CE"/>
    <w:rsid w:val="006C606B"/>
    <w:rsid w:val="006D780A"/>
    <w:rsid w:val="006E6179"/>
    <w:rsid w:val="00704ED1"/>
    <w:rsid w:val="0071271E"/>
    <w:rsid w:val="00724A46"/>
    <w:rsid w:val="00732DEC"/>
    <w:rsid w:val="00733267"/>
    <w:rsid w:val="00735BD5"/>
    <w:rsid w:val="007451EC"/>
    <w:rsid w:val="00751613"/>
    <w:rsid w:val="00753EE9"/>
    <w:rsid w:val="00754F30"/>
    <w:rsid w:val="007556F6"/>
    <w:rsid w:val="00760EEF"/>
    <w:rsid w:val="0076331E"/>
    <w:rsid w:val="0077271C"/>
    <w:rsid w:val="00777EE5"/>
    <w:rsid w:val="00780DEB"/>
    <w:rsid w:val="00781996"/>
    <w:rsid w:val="00783788"/>
    <w:rsid w:val="00784836"/>
    <w:rsid w:val="0079023E"/>
    <w:rsid w:val="0079085A"/>
    <w:rsid w:val="00797AB7"/>
    <w:rsid w:val="007A21E6"/>
    <w:rsid w:val="007A2854"/>
    <w:rsid w:val="007C1D92"/>
    <w:rsid w:val="007C231A"/>
    <w:rsid w:val="007C4CB9"/>
    <w:rsid w:val="007D0B9D"/>
    <w:rsid w:val="007D19B0"/>
    <w:rsid w:val="007D22BB"/>
    <w:rsid w:val="007E07ED"/>
    <w:rsid w:val="007F171A"/>
    <w:rsid w:val="007F17AA"/>
    <w:rsid w:val="007F2632"/>
    <w:rsid w:val="007F498F"/>
    <w:rsid w:val="007F7D6E"/>
    <w:rsid w:val="007F7E37"/>
    <w:rsid w:val="00801AEF"/>
    <w:rsid w:val="00802C8F"/>
    <w:rsid w:val="0080679D"/>
    <w:rsid w:val="00810271"/>
    <w:rsid w:val="008108B0"/>
    <w:rsid w:val="00811B20"/>
    <w:rsid w:val="00812609"/>
    <w:rsid w:val="0082065C"/>
    <w:rsid w:val="008211B5"/>
    <w:rsid w:val="00821D5C"/>
    <w:rsid w:val="0082296E"/>
    <w:rsid w:val="00824099"/>
    <w:rsid w:val="0083474A"/>
    <w:rsid w:val="00846D7C"/>
    <w:rsid w:val="00863EF0"/>
    <w:rsid w:val="008673CC"/>
    <w:rsid w:val="00867AC1"/>
    <w:rsid w:val="008751DE"/>
    <w:rsid w:val="00875FA5"/>
    <w:rsid w:val="00890DF8"/>
    <w:rsid w:val="00892B81"/>
    <w:rsid w:val="008A0ADE"/>
    <w:rsid w:val="008A15DD"/>
    <w:rsid w:val="008A2BD1"/>
    <w:rsid w:val="008A743F"/>
    <w:rsid w:val="008C0970"/>
    <w:rsid w:val="008D0BC5"/>
    <w:rsid w:val="008D1450"/>
    <w:rsid w:val="008D2CF7"/>
    <w:rsid w:val="008D7F30"/>
    <w:rsid w:val="008E521A"/>
    <w:rsid w:val="008F750A"/>
    <w:rsid w:val="00900C26"/>
    <w:rsid w:val="00901109"/>
    <w:rsid w:val="0090197F"/>
    <w:rsid w:val="00903264"/>
    <w:rsid w:val="009060D0"/>
    <w:rsid w:val="00906DDC"/>
    <w:rsid w:val="0092074A"/>
    <w:rsid w:val="00923D81"/>
    <w:rsid w:val="00930159"/>
    <w:rsid w:val="00931AD0"/>
    <w:rsid w:val="009336C9"/>
    <w:rsid w:val="00934E09"/>
    <w:rsid w:val="00936253"/>
    <w:rsid w:val="00936D24"/>
    <w:rsid w:val="00940D46"/>
    <w:rsid w:val="009413F1"/>
    <w:rsid w:val="00942B88"/>
    <w:rsid w:val="00952DD4"/>
    <w:rsid w:val="00953DCC"/>
    <w:rsid w:val="009561F4"/>
    <w:rsid w:val="00961E61"/>
    <w:rsid w:val="009621CC"/>
    <w:rsid w:val="00964A2D"/>
    <w:rsid w:val="00965AE7"/>
    <w:rsid w:val="00967C03"/>
    <w:rsid w:val="00970FED"/>
    <w:rsid w:val="00980027"/>
    <w:rsid w:val="00983D66"/>
    <w:rsid w:val="00986768"/>
    <w:rsid w:val="00990E75"/>
    <w:rsid w:val="00992590"/>
    <w:rsid w:val="00992D82"/>
    <w:rsid w:val="00997029"/>
    <w:rsid w:val="009A7339"/>
    <w:rsid w:val="009B440E"/>
    <w:rsid w:val="009C000A"/>
    <w:rsid w:val="009D3585"/>
    <w:rsid w:val="009D4E5B"/>
    <w:rsid w:val="009D690D"/>
    <w:rsid w:val="009E0B44"/>
    <w:rsid w:val="009E4EF8"/>
    <w:rsid w:val="009E65B6"/>
    <w:rsid w:val="009E7CEE"/>
    <w:rsid w:val="009F0A51"/>
    <w:rsid w:val="009F77CF"/>
    <w:rsid w:val="00A078CF"/>
    <w:rsid w:val="00A20572"/>
    <w:rsid w:val="00A24C10"/>
    <w:rsid w:val="00A2665E"/>
    <w:rsid w:val="00A33A7D"/>
    <w:rsid w:val="00A35A21"/>
    <w:rsid w:val="00A35FCA"/>
    <w:rsid w:val="00A40981"/>
    <w:rsid w:val="00A42AC3"/>
    <w:rsid w:val="00A430CF"/>
    <w:rsid w:val="00A54309"/>
    <w:rsid w:val="00A560F0"/>
    <w:rsid w:val="00A610A9"/>
    <w:rsid w:val="00A63D29"/>
    <w:rsid w:val="00A71E84"/>
    <w:rsid w:val="00A74679"/>
    <w:rsid w:val="00A80686"/>
    <w:rsid w:val="00A80F2A"/>
    <w:rsid w:val="00A9076F"/>
    <w:rsid w:val="00A96C33"/>
    <w:rsid w:val="00AA5744"/>
    <w:rsid w:val="00AB2B93"/>
    <w:rsid w:val="00AB530F"/>
    <w:rsid w:val="00AB7E5B"/>
    <w:rsid w:val="00AC2883"/>
    <w:rsid w:val="00AD2EDB"/>
    <w:rsid w:val="00AE0EF1"/>
    <w:rsid w:val="00AE2937"/>
    <w:rsid w:val="00AE2A75"/>
    <w:rsid w:val="00AE35CB"/>
    <w:rsid w:val="00B00E0D"/>
    <w:rsid w:val="00B07301"/>
    <w:rsid w:val="00B11F3E"/>
    <w:rsid w:val="00B224DE"/>
    <w:rsid w:val="00B3081B"/>
    <w:rsid w:val="00B31902"/>
    <w:rsid w:val="00B324D4"/>
    <w:rsid w:val="00B46575"/>
    <w:rsid w:val="00B61777"/>
    <w:rsid w:val="00B622E6"/>
    <w:rsid w:val="00B63C95"/>
    <w:rsid w:val="00B640C1"/>
    <w:rsid w:val="00B83E82"/>
    <w:rsid w:val="00B84A12"/>
    <w:rsid w:val="00B84BBD"/>
    <w:rsid w:val="00B91F75"/>
    <w:rsid w:val="00BA43FB"/>
    <w:rsid w:val="00BA583B"/>
    <w:rsid w:val="00BA6B4E"/>
    <w:rsid w:val="00BB3216"/>
    <w:rsid w:val="00BC127D"/>
    <w:rsid w:val="00BC1FE6"/>
    <w:rsid w:val="00BC224A"/>
    <w:rsid w:val="00BC53CB"/>
    <w:rsid w:val="00BF0839"/>
    <w:rsid w:val="00BF7FC3"/>
    <w:rsid w:val="00C02935"/>
    <w:rsid w:val="00C061B6"/>
    <w:rsid w:val="00C20DCA"/>
    <w:rsid w:val="00C2446C"/>
    <w:rsid w:val="00C36AE5"/>
    <w:rsid w:val="00C41F17"/>
    <w:rsid w:val="00C456A1"/>
    <w:rsid w:val="00C527FA"/>
    <w:rsid w:val="00C5280D"/>
    <w:rsid w:val="00C53EB3"/>
    <w:rsid w:val="00C57790"/>
    <w:rsid w:val="00C5791C"/>
    <w:rsid w:val="00C66290"/>
    <w:rsid w:val="00C72B7A"/>
    <w:rsid w:val="00C973F2"/>
    <w:rsid w:val="00CA23EB"/>
    <w:rsid w:val="00CA2C65"/>
    <w:rsid w:val="00CA304C"/>
    <w:rsid w:val="00CA3E70"/>
    <w:rsid w:val="00CA4E65"/>
    <w:rsid w:val="00CA526F"/>
    <w:rsid w:val="00CA774A"/>
    <w:rsid w:val="00CB4921"/>
    <w:rsid w:val="00CC11B0"/>
    <w:rsid w:val="00CC2841"/>
    <w:rsid w:val="00CC3226"/>
    <w:rsid w:val="00CC39D0"/>
    <w:rsid w:val="00CD3344"/>
    <w:rsid w:val="00CE47A9"/>
    <w:rsid w:val="00CE4D7B"/>
    <w:rsid w:val="00CE5207"/>
    <w:rsid w:val="00CF1330"/>
    <w:rsid w:val="00CF38D9"/>
    <w:rsid w:val="00CF7E36"/>
    <w:rsid w:val="00D1198F"/>
    <w:rsid w:val="00D14394"/>
    <w:rsid w:val="00D20D63"/>
    <w:rsid w:val="00D310C8"/>
    <w:rsid w:val="00D3708D"/>
    <w:rsid w:val="00D40426"/>
    <w:rsid w:val="00D40531"/>
    <w:rsid w:val="00D512C2"/>
    <w:rsid w:val="00D5236F"/>
    <w:rsid w:val="00D57C96"/>
    <w:rsid w:val="00D57D18"/>
    <w:rsid w:val="00D62A2C"/>
    <w:rsid w:val="00D70E65"/>
    <w:rsid w:val="00D72475"/>
    <w:rsid w:val="00D75CE9"/>
    <w:rsid w:val="00D91203"/>
    <w:rsid w:val="00D95174"/>
    <w:rsid w:val="00D9517D"/>
    <w:rsid w:val="00DA310B"/>
    <w:rsid w:val="00DA4973"/>
    <w:rsid w:val="00DA6F36"/>
    <w:rsid w:val="00DB596E"/>
    <w:rsid w:val="00DB6AE6"/>
    <w:rsid w:val="00DB7773"/>
    <w:rsid w:val="00DC00EA"/>
    <w:rsid w:val="00DC3802"/>
    <w:rsid w:val="00DD5A4A"/>
    <w:rsid w:val="00DD6208"/>
    <w:rsid w:val="00DD6975"/>
    <w:rsid w:val="00DE3A86"/>
    <w:rsid w:val="00DE5764"/>
    <w:rsid w:val="00DE750F"/>
    <w:rsid w:val="00DF0C74"/>
    <w:rsid w:val="00DF2817"/>
    <w:rsid w:val="00DF7E99"/>
    <w:rsid w:val="00E07D87"/>
    <w:rsid w:val="00E13FBC"/>
    <w:rsid w:val="00E17729"/>
    <w:rsid w:val="00E249C8"/>
    <w:rsid w:val="00E32F7E"/>
    <w:rsid w:val="00E36B7C"/>
    <w:rsid w:val="00E468B6"/>
    <w:rsid w:val="00E5267B"/>
    <w:rsid w:val="00E559F0"/>
    <w:rsid w:val="00E6092A"/>
    <w:rsid w:val="00E63C0E"/>
    <w:rsid w:val="00E70D83"/>
    <w:rsid w:val="00E72D49"/>
    <w:rsid w:val="00E73913"/>
    <w:rsid w:val="00E7593C"/>
    <w:rsid w:val="00E75AE1"/>
    <w:rsid w:val="00E7678A"/>
    <w:rsid w:val="00E81852"/>
    <w:rsid w:val="00E82D43"/>
    <w:rsid w:val="00E92D5C"/>
    <w:rsid w:val="00E935F1"/>
    <w:rsid w:val="00E94A81"/>
    <w:rsid w:val="00E95459"/>
    <w:rsid w:val="00E95946"/>
    <w:rsid w:val="00E9629B"/>
    <w:rsid w:val="00E97BA9"/>
    <w:rsid w:val="00EA1B40"/>
    <w:rsid w:val="00EA1FFB"/>
    <w:rsid w:val="00EA797E"/>
    <w:rsid w:val="00EB048E"/>
    <w:rsid w:val="00EB36D4"/>
    <w:rsid w:val="00EB4E9C"/>
    <w:rsid w:val="00EE34DF"/>
    <w:rsid w:val="00EF0312"/>
    <w:rsid w:val="00EF1DF3"/>
    <w:rsid w:val="00EF2F89"/>
    <w:rsid w:val="00F0152A"/>
    <w:rsid w:val="00F03E98"/>
    <w:rsid w:val="00F066BA"/>
    <w:rsid w:val="00F1237A"/>
    <w:rsid w:val="00F16933"/>
    <w:rsid w:val="00F170EF"/>
    <w:rsid w:val="00F22CBD"/>
    <w:rsid w:val="00F251E0"/>
    <w:rsid w:val="00F272F1"/>
    <w:rsid w:val="00F27AE4"/>
    <w:rsid w:val="00F30BA9"/>
    <w:rsid w:val="00F31412"/>
    <w:rsid w:val="00F3634A"/>
    <w:rsid w:val="00F45372"/>
    <w:rsid w:val="00F560F7"/>
    <w:rsid w:val="00F6334D"/>
    <w:rsid w:val="00F63599"/>
    <w:rsid w:val="00F64568"/>
    <w:rsid w:val="00F6499B"/>
    <w:rsid w:val="00F7118C"/>
    <w:rsid w:val="00F71781"/>
    <w:rsid w:val="00F805BB"/>
    <w:rsid w:val="00FA1704"/>
    <w:rsid w:val="00FA49AB"/>
    <w:rsid w:val="00FA60AA"/>
    <w:rsid w:val="00FB2C5A"/>
    <w:rsid w:val="00FC1E7A"/>
    <w:rsid w:val="00FC5FD0"/>
    <w:rsid w:val="00FD2F36"/>
    <w:rsid w:val="00FE0351"/>
    <w:rsid w:val="00FE39C7"/>
    <w:rsid w:val="00FE5E99"/>
    <w:rsid w:val="00FE7041"/>
    <w:rsid w:val="00FF0D32"/>
    <w:rsid w:val="00FF4D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295152"/>
  <w15:docId w15:val="{4F50C9AD-4A6F-4004-8823-AE48BF7D5A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6575"/>
    <w:pPr>
      <w:jc w:val="both"/>
    </w:pPr>
    <w:rPr>
      <w:rFonts w:ascii="Arial" w:hAnsi="Arial"/>
    </w:rPr>
  </w:style>
  <w:style w:type="paragraph" w:styleId="Heading1">
    <w:name w:val="heading 1"/>
    <w:aliases w:val="COMMON NAME,common"/>
    <w:next w:val="Normal"/>
    <w:link w:val="Heading1Char"/>
    <w:autoRedefine/>
    <w:qFormat/>
    <w:rsid w:val="00797AB7"/>
    <w:pPr>
      <w:keepNext/>
      <w:jc w:val="both"/>
      <w:outlineLvl w:val="0"/>
    </w:pPr>
    <w:rPr>
      <w:rFonts w:ascii="Arial" w:hAnsi="Arial"/>
      <w:caps/>
      <w:lang w:val="fr-FR"/>
    </w:rPr>
  </w:style>
  <w:style w:type="paragraph" w:styleId="Heading2">
    <w:name w:val="heading 2"/>
    <w:aliases w:val="VARIETY,variety"/>
    <w:next w:val="Normal"/>
    <w:link w:val="Heading2Char"/>
    <w:autoRedefine/>
    <w:qFormat/>
    <w:rsid w:val="00781996"/>
    <w:pPr>
      <w:keepNext/>
      <w:jc w:val="both"/>
      <w:outlineLvl w:val="1"/>
    </w:pPr>
    <w:rPr>
      <w:rFonts w:ascii="Arial" w:eastAsiaTheme="minorEastAsia" w:hAnsi="Arial"/>
      <w:u w:val="single"/>
      <w:lang w:val="fr-FR"/>
    </w:rPr>
  </w:style>
  <w:style w:type="paragraph" w:styleId="Heading3">
    <w:name w:val="heading 3"/>
    <w:next w:val="Normal"/>
    <w:link w:val="Heading3Char"/>
    <w:autoRedefine/>
    <w:qFormat/>
    <w:rsid w:val="0076331E"/>
    <w:pPr>
      <w:keepNext/>
      <w:jc w:val="both"/>
      <w:outlineLvl w:val="2"/>
    </w:pPr>
    <w:rPr>
      <w:rFonts w:ascii="Arial" w:hAnsi="Arial"/>
      <w:i/>
      <w:iCs/>
      <w:lang w:val="fr-FR"/>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link w:val="DecisionParagraphsChar"/>
    <w:uiPriority w:val="99"/>
    <w:qFormat/>
    <w:rsid w:val="005779DB"/>
    <w:pPr>
      <w:tabs>
        <w:tab w:val="left" w:pos="5387"/>
        <w:tab w:val="left" w:pos="5954"/>
      </w:tabs>
      <w:ind w:left="4820"/>
    </w:pPr>
    <w:rPr>
      <w:i/>
    </w:rPr>
  </w:style>
  <w:style w:type="paragraph" w:styleId="FootnoteText">
    <w:name w:val="footnote text"/>
    <w:link w:val="FootnoteTextChar"/>
    <w:autoRedefine/>
    <w:rsid w:val="009D690D"/>
    <w:pPr>
      <w:spacing w:before="60"/>
      <w:ind w:left="567" w:hanging="567"/>
      <w:jc w:val="both"/>
    </w:pPr>
    <w:rPr>
      <w:rFonts w:ascii="Arial" w:hAnsi="Arial"/>
      <w:sz w:val="16"/>
    </w:rPr>
  </w:style>
  <w:style w:type="character" w:styleId="FootnoteReference">
    <w:name w:val="footnote reference"/>
    <w:basedOn w:val="DefaultParagraphFont"/>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7451EC"/>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7451EC"/>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uiPriority w:val="39"/>
    <w:rsid w:val="002C77EB"/>
    <w:pPr>
      <w:tabs>
        <w:tab w:val="right" w:leader="dot" w:pos="9639"/>
      </w:tabs>
      <w:spacing w:before="60" w:after="60"/>
      <w:ind w:left="720" w:right="720"/>
    </w:pPr>
    <w:rPr>
      <w:rFonts w:ascii="Arial" w:hAnsi="Arial"/>
    </w:rPr>
  </w:style>
  <w:style w:type="paragraph" w:styleId="TOC3">
    <w:name w:val="toc 3"/>
    <w:next w:val="Normal"/>
    <w:autoRedefine/>
    <w:uiPriority w:val="39"/>
    <w:rsid w:val="00753EE9"/>
    <w:pPr>
      <w:tabs>
        <w:tab w:val="right" w:leader="dot" w:pos="9639"/>
      </w:tabs>
      <w:spacing w:after="120"/>
      <w:ind w:left="568" w:right="851" w:hanging="284"/>
    </w:pPr>
    <w:rPr>
      <w:rFonts w:ascii="Arial" w:hAnsi="Arial"/>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rsid w:val="00753EE9"/>
    <w:pPr>
      <w:tabs>
        <w:tab w:val="right" w:leader="dot" w:pos="9639"/>
      </w:tabs>
      <w:spacing w:after="120"/>
      <w:ind w:left="738" w:right="851" w:hanging="284"/>
    </w:pPr>
    <w:rPr>
      <w:rFonts w:ascii="Arial" w:hAnsi="Arial"/>
      <w:i/>
      <w:sz w:val="18"/>
      <w:lang w:val="fr-FR"/>
    </w:rPr>
  </w:style>
  <w:style w:type="paragraph" w:styleId="TOC1">
    <w:name w:val="toc 1"/>
    <w:next w:val="Normal"/>
    <w:autoRedefine/>
    <w:uiPriority w:val="39"/>
    <w:rsid w:val="002C77EB"/>
    <w:pPr>
      <w:tabs>
        <w:tab w:val="right" w:leader="dot" w:pos="9639"/>
      </w:tabs>
      <w:spacing w:before="120"/>
      <w:ind w:right="576"/>
    </w:pPr>
    <w:rPr>
      <w:rFonts w:ascii="Arial" w:hAnsi="Arial"/>
      <w:caps/>
    </w:rPr>
  </w:style>
  <w:style w:type="paragraph" w:styleId="TOC5">
    <w:name w:val="toc 5"/>
    <w:next w:val="Normal"/>
    <w:autoRedefine/>
    <w:rsid w:val="00753EE9"/>
    <w:pPr>
      <w:tabs>
        <w:tab w:val="right" w:leader="dot" w:pos="9639"/>
      </w:tabs>
      <w:spacing w:after="120"/>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character" w:customStyle="1" w:styleId="HeaderChar">
    <w:name w:val="Header Char"/>
    <w:basedOn w:val="DefaultParagraphFont"/>
    <w:link w:val="Header"/>
    <w:rsid w:val="00D14394"/>
    <w:rPr>
      <w:rFonts w:ascii="Arial" w:hAnsi="Arial"/>
      <w:lang w:val="fr-FR"/>
    </w:rPr>
  </w:style>
  <w:style w:type="character" w:customStyle="1" w:styleId="FootnoteTextChar">
    <w:name w:val="Footnote Text Char"/>
    <w:basedOn w:val="DefaultParagraphFont"/>
    <w:link w:val="FootnoteText"/>
    <w:rsid w:val="00D14394"/>
    <w:rPr>
      <w:rFonts w:ascii="Arial" w:hAnsi="Arial"/>
      <w:sz w:val="16"/>
    </w:rPr>
  </w:style>
  <w:style w:type="character" w:customStyle="1" w:styleId="Heading1Char">
    <w:name w:val="Heading 1 Char"/>
    <w:aliases w:val="COMMON NAME Char,common Char"/>
    <w:basedOn w:val="DefaultParagraphFont"/>
    <w:link w:val="Heading1"/>
    <w:rsid w:val="00797AB7"/>
    <w:rPr>
      <w:rFonts w:ascii="Arial" w:hAnsi="Arial"/>
      <w:caps/>
      <w:lang w:val="fr-FR"/>
    </w:rPr>
  </w:style>
  <w:style w:type="character" w:customStyle="1" w:styleId="Heading2Char">
    <w:name w:val="Heading 2 Char"/>
    <w:aliases w:val="VARIETY Char,variety Char"/>
    <w:link w:val="Heading2"/>
    <w:locked/>
    <w:rsid w:val="00781996"/>
    <w:rPr>
      <w:rFonts w:ascii="Arial" w:eastAsiaTheme="minorEastAsia" w:hAnsi="Arial"/>
      <w:u w:val="single"/>
      <w:lang w:val="fr-FR"/>
    </w:rPr>
  </w:style>
  <w:style w:type="character" w:customStyle="1" w:styleId="Heading3Char">
    <w:name w:val="Heading 3 Char"/>
    <w:basedOn w:val="DefaultParagraphFont"/>
    <w:link w:val="Heading3"/>
    <w:rsid w:val="0076331E"/>
    <w:rPr>
      <w:rFonts w:ascii="Arial" w:hAnsi="Arial"/>
      <w:i/>
      <w:iCs/>
      <w:lang w:val="fr-FR"/>
    </w:rPr>
  </w:style>
  <w:style w:type="table" w:styleId="TableGrid">
    <w:name w:val="Table Grid"/>
    <w:basedOn w:val="TableNormal"/>
    <w:uiPriority w:val="39"/>
    <w:rsid w:val="00923D81"/>
    <w:rPr>
      <w:rFonts w:ascii="Calibri" w:eastAsia="Calibri" w:hAnsi="Calibri"/>
      <w:sz w:val="22"/>
      <w:szCs w:val="22"/>
      <w:lang w:val="de-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cisionParagraphsChar">
    <w:name w:val="DecisionParagraphs Char"/>
    <w:basedOn w:val="DefaultParagraphFont"/>
    <w:link w:val="DecisionParagraphs"/>
    <w:rsid w:val="00F170EF"/>
    <w:rPr>
      <w:rFonts w:ascii="Arial" w:hAnsi="Arial"/>
      <w:i/>
    </w:rPr>
  </w:style>
  <w:style w:type="paragraph" w:styleId="ListParagraph">
    <w:name w:val="List Paragraph"/>
    <w:basedOn w:val="Normal"/>
    <w:uiPriority w:val="34"/>
    <w:qFormat/>
    <w:rsid w:val="002A5011"/>
    <w:pPr>
      <w:ind w:left="720"/>
      <w:contextualSpacing/>
    </w:pPr>
  </w:style>
  <w:style w:type="table" w:customStyle="1" w:styleId="TableGrid1">
    <w:name w:val="Table Grid1"/>
    <w:basedOn w:val="TableNormal"/>
    <w:next w:val="TableGrid"/>
    <w:uiPriority w:val="39"/>
    <w:rsid w:val="007E07ED"/>
    <w:rPr>
      <w:rFonts w:ascii="Calibri" w:eastAsia="Calibri" w:hAnsi="Calibri"/>
      <w:sz w:val="22"/>
      <w:szCs w:val="22"/>
      <w:lang w:val="de-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0E52A6"/>
    <w:pPr>
      <w:keepLines/>
      <w:spacing w:before="240" w:line="259" w:lineRule="auto"/>
      <w:jc w:val="left"/>
      <w:outlineLvl w:val="9"/>
    </w:pPr>
    <w:rPr>
      <w:rFonts w:asciiTheme="majorHAnsi" w:eastAsiaTheme="majorEastAsia" w:hAnsiTheme="majorHAnsi" w:cstheme="majorBidi"/>
      <w:caps w:val="0"/>
      <w:color w:val="365F91" w:themeColor="accent1" w:themeShade="BF"/>
      <w:sz w:val="32"/>
      <w:szCs w:val="32"/>
    </w:rPr>
  </w:style>
  <w:style w:type="character" w:styleId="Emphasis">
    <w:name w:val="Emphasis"/>
    <w:basedOn w:val="DefaultParagraphFont"/>
    <w:uiPriority w:val="20"/>
    <w:qFormat/>
    <w:rsid w:val="00A2665E"/>
    <w:rPr>
      <w:i/>
      <w:iCs/>
    </w:rPr>
  </w:style>
  <w:style w:type="character" w:customStyle="1" w:styleId="UnresolvedMention">
    <w:name w:val="Unresolved Mention"/>
    <w:basedOn w:val="DefaultParagraphFont"/>
    <w:uiPriority w:val="99"/>
    <w:semiHidden/>
    <w:unhideWhenUsed/>
    <w:rsid w:val="004C64A4"/>
    <w:rPr>
      <w:color w:val="605E5C"/>
      <w:shd w:val="clear" w:color="auto" w:fill="E1DFDD"/>
    </w:rPr>
  </w:style>
  <w:style w:type="character" w:styleId="FollowedHyperlink">
    <w:name w:val="FollowedHyperlink"/>
    <w:basedOn w:val="DefaultParagraphFont"/>
    <w:semiHidden/>
    <w:unhideWhenUsed/>
    <w:rsid w:val="00D9517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0617374">
      <w:bodyDiv w:val="1"/>
      <w:marLeft w:val="0"/>
      <w:marRight w:val="0"/>
      <w:marTop w:val="0"/>
      <w:marBottom w:val="0"/>
      <w:divBdr>
        <w:top w:val="none" w:sz="0" w:space="0" w:color="auto"/>
        <w:left w:val="none" w:sz="0" w:space="0" w:color="auto"/>
        <w:bottom w:val="none" w:sz="0" w:space="0" w:color="auto"/>
        <w:right w:val="none" w:sz="0" w:space="0" w:color="auto"/>
      </w:divBdr>
    </w:div>
    <w:div w:id="838157753">
      <w:bodyDiv w:val="1"/>
      <w:marLeft w:val="0"/>
      <w:marRight w:val="0"/>
      <w:marTop w:val="0"/>
      <w:marBottom w:val="0"/>
      <w:divBdr>
        <w:top w:val="none" w:sz="0" w:space="0" w:color="auto"/>
        <w:left w:val="none" w:sz="0" w:space="0" w:color="auto"/>
        <w:bottom w:val="none" w:sz="0" w:space="0" w:color="auto"/>
        <w:right w:val="none" w:sz="0" w:space="0" w:color="auto"/>
      </w:divBdr>
    </w:div>
    <w:div w:id="15467176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upov.int/export/sites/upov/members/en/pdf/pub423.pdf" TargetMode="External"/><Relationship Id="rId18" Type="http://schemas.openxmlformats.org/officeDocument/2006/relationships/header" Target="header4.xml"/><Relationship Id="rId26" Type="http://schemas.openxmlformats.org/officeDocument/2006/relationships/footer" Target="footer5.xml"/><Relationship Id="rId3" Type="http://schemas.openxmlformats.org/officeDocument/2006/relationships/styles" Target="styles.xml"/><Relationship Id="rId21" Type="http://schemas.openxmlformats.org/officeDocument/2006/relationships/header" Target="header5.xml"/><Relationship Id="rId34" Type="http://schemas.openxmlformats.org/officeDocument/2006/relationships/footer" Target="footer9.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footer" Target="footer4.xml"/><Relationship Id="rId33" Type="http://schemas.openxmlformats.org/officeDocument/2006/relationships/header" Target="header11.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footer" Target="footer2.xml"/><Relationship Id="rId29"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7.xml"/><Relationship Id="rId32" Type="http://schemas.openxmlformats.org/officeDocument/2006/relationships/footer" Target="footer8.xml"/><Relationship Id="rId5" Type="http://schemas.openxmlformats.org/officeDocument/2006/relationships/webSettings" Target="webSettings.xml"/><Relationship Id="rId15" Type="http://schemas.openxmlformats.org/officeDocument/2006/relationships/hyperlink" Target="https://www.upov.int/about/fr/faq.html" TargetMode="External"/><Relationship Id="rId23" Type="http://schemas.openxmlformats.org/officeDocument/2006/relationships/header" Target="header6.xml"/><Relationship Id="rId28" Type="http://schemas.openxmlformats.org/officeDocument/2006/relationships/footer" Target="footer6.xml"/><Relationship Id="rId36"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1.xml"/><Relationship Id="rId31" Type="http://schemas.openxmlformats.org/officeDocument/2006/relationships/footer" Target="footer7.xml"/><Relationship Id="rId4" Type="http://schemas.openxmlformats.org/officeDocument/2006/relationships/settings" Target="settings.xml"/><Relationship Id="rId9" Type="http://schemas.openxmlformats.org/officeDocument/2006/relationships/hyperlink" Target="https://www.cnrtl.fr/definition/%C3%A0" TargetMode="External"/><Relationship Id="rId14" Type="http://schemas.openxmlformats.org/officeDocument/2006/relationships/hyperlink" Target="https://www.upov.int/export/sites/upov/images/worldmap_fr.jpg" TargetMode="External"/><Relationship Id="rId22" Type="http://schemas.openxmlformats.org/officeDocument/2006/relationships/footer" Target="footer3.xml"/><Relationship Id="rId27" Type="http://schemas.openxmlformats.org/officeDocument/2006/relationships/header" Target="header8.xml"/><Relationship Id="rId30" Type="http://schemas.openxmlformats.org/officeDocument/2006/relationships/header" Target="header10.xml"/><Relationship Id="rId35" Type="http://schemas.openxmlformats.org/officeDocument/2006/relationships/fontTable" Target="fontTable.xm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1D31CE-EB86-4590-97A4-85775084AA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21</Pages>
  <Words>7977</Words>
  <Characters>45472</Characters>
  <Application>Microsoft Office Word</Application>
  <DocSecurity>0</DocSecurity>
  <Lines>378</Lines>
  <Paragraphs>106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CAJ/78/INF/5</vt:lpstr>
      <vt:lpstr>CAJ/78/INF/5</vt:lpstr>
    </vt:vector>
  </TitlesOfParts>
  <Company>UPOV</Company>
  <LinksUpToDate>false</LinksUpToDate>
  <CharactersWithSpaces>53343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CAJ/78/INF/5</dc:title>
  <dc:creator>SANCHEZ VIZCAINO GOMEZ Rosa Maria</dc:creator>
  <cp:keywords>FOR OFFICIAL USE ONLY</cp:keywords>
  <cp:lastModifiedBy>SANTOS Carla Marina</cp:lastModifiedBy>
  <cp:revision>228</cp:revision>
  <cp:lastPrinted>2016-11-22T15:41:00Z</cp:lastPrinted>
  <dcterms:created xsi:type="dcterms:W3CDTF">2021-10-26T08:19:00Z</dcterms:created>
  <dcterms:modified xsi:type="dcterms:W3CDTF">2021-10-29T13:05:00Z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c0046769-2cc9-4b4d-813f-a1940fa01c94</vt:lpwstr>
  </property>
  <property fmtid="{D5CDD505-2E9C-101B-9397-08002B2CF9AE}" pid="3" name="Classification">
    <vt:lpwstr>For Official Use Only</vt:lpwstr>
  </property>
  <property fmtid="{D5CDD505-2E9C-101B-9397-08002B2CF9AE}" pid="4" name="VisualMarkings">
    <vt:lpwstr>Footer</vt:lpwstr>
  </property>
  <property fmtid="{D5CDD505-2E9C-101B-9397-08002B2CF9AE}" pid="5" name="Alignment">
    <vt:lpwstr>Centre</vt:lpwstr>
  </property>
  <property fmtid="{D5CDD505-2E9C-101B-9397-08002B2CF9AE}" pid="6" name="Language">
    <vt:lpwstr>English</vt:lpwstr>
  </property>
</Properties>
</file>