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B6BB8" w:rsidRPr="00D6618F" w:rsidTr="00EB4E9C">
        <w:tc>
          <w:tcPr>
            <w:tcW w:w="6522" w:type="dxa"/>
          </w:tcPr>
          <w:p w:rsidR="00DC3802" w:rsidRPr="00D6618F" w:rsidRDefault="00DC3802" w:rsidP="00AC2883">
            <w:pPr>
              <w:rPr>
                <w:lang w:val="fr-FR"/>
              </w:rPr>
            </w:pPr>
            <w:r w:rsidRPr="00D6618F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D6618F" w:rsidRDefault="000C639C" w:rsidP="00AC2883">
            <w:pPr>
              <w:pStyle w:val="Lettrine"/>
              <w:rPr>
                <w:lang w:val="fr-FR"/>
              </w:rPr>
            </w:pPr>
            <w:r w:rsidRPr="00D6618F">
              <w:rPr>
                <w:lang w:val="fr-FR"/>
              </w:rPr>
              <w:t>F</w:t>
            </w:r>
          </w:p>
        </w:tc>
      </w:tr>
      <w:tr w:rsidR="007B6BB8" w:rsidRPr="006264EF" w:rsidTr="00645CA8">
        <w:trPr>
          <w:trHeight w:val="219"/>
        </w:trPr>
        <w:tc>
          <w:tcPr>
            <w:tcW w:w="6522" w:type="dxa"/>
          </w:tcPr>
          <w:p w:rsidR="00DC3802" w:rsidRPr="00D6618F" w:rsidRDefault="000C639C" w:rsidP="00AC2883">
            <w:pPr>
              <w:pStyle w:val="upove"/>
              <w:rPr>
                <w:lang w:val="fr-FR"/>
              </w:rPr>
            </w:pPr>
            <w:r w:rsidRPr="00D6618F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D6618F" w:rsidRDefault="00DC3802" w:rsidP="00DA4973">
            <w:pPr>
              <w:rPr>
                <w:lang w:val="fr-FR"/>
              </w:rPr>
            </w:pPr>
          </w:p>
        </w:tc>
      </w:tr>
    </w:tbl>
    <w:p w:rsidR="00BB6E2B" w:rsidRPr="00D6618F" w:rsidRDefault="00BB6E2B" w:rsidP="00DC3802">
      <w:pPr>
        <w:rPr>
          <w:lang w:val="fr-FR"/>
        </w:rPr>
      </w:pPr>
    </w:p>
    <w:p w:rsidR="00D70E65" w:rsidRPr="00D6618F" w:rsidRDefault="00D70E65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B6BB8" w:rsidRPr="006264EF" w:rsidTr="00EB4E9C">
        <w:tc>
          <w:tcPr>
            <w:tcW w:w="6512" w:type="dxa"/>
          </w:tcPr>
          <w:p w:rsidR="00BB6E2B" w:rsidRPr="00D6618F" w:rsidRDefault="000C639C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D6618F">
              <w:rPr>
                <w:lang w:val="fr-FR"/>
              </w:rPr>
              <w:t>Comité administratif et juridique</w:t>
            </w:r>
          </w:p>
          <w:p w:rsidR="00EB4E9C" w:rsidRPr="00D6618F" w:rsidRDefault="000C639C" w:rsidP="000C639C">
            <w:pPr>
              <w:pStyle w:val="Sessiontcplacedate"/>
              <w:rPr>
                <w:sz w:val="22"/>
                <w:lang w:val="fr-FR"/>
              </w:rPr>
            </w:pPr>
            <w:r w:rsidRPr="00D6618F">
              <w:rPr>
                <w:lang w:val="fr-FR"/>
              </w:rPr>
              <w:t>Soixante</w:t>
            </w:r>
            <w:r w:rsidR="00016CC5">
              <w:rPr>
                <w:lang w:val="fr-FR"/>
              </w:rPr>
              <w:t>-</w:t>
            </w:r>
            <w:r w:rsidRPr="00D6618F">
              <w:rPr>
                <w:lang w:val="fr-FR"/>
              </w:rPr>
              <w:t>dix</w:t>
            </w:r>
            <w:r w:rsidR="00016CC5">
              <w:rPr>
                <w:lang w:val="fr-FR"/>
              </w:rPr>
              <w:t>-</w:t>
            </w:r>
            <w:r w:rsidRPr="00D6618F">
              <w:rPr>
                <w:lang w:val="fr-FR"/>
              </w:rPr>
              <w:t>huit</w:t>
            </w:r>
            <w:r w:rsidR="00016CC5">
              <w:rPr>
                <w:lang w:val="fr-FR"/>
              </w:rPr>
              <w:t>ième session</w:t>
            </w:r>
            <w:r w:rsidR="00EB4E9C" w:rsidRPr="00D6618F">
              <w:rPr>
                <w:lang w:val="fr-FR"/>
              </w:rPr>
              <w:br/>
            </w:r>
            <w:r w:rsidRPr="00D6618F">
              <w:rPr>
                <w:lang w:val="fr-FR"/>
              </w:rPr>
              <w:t>Genève, 2</w:t>
            </w:r>
            <w:r w:rsidR="00016CC5" w:rsidRPr="00D6618F">
              <w:rPr>
                <w:lang w:val="fr-FR"/>
              </w:rPr>
              <w:t>7</w:t>
            </w:r>
            <w:r w:rsidR="00016CC5">
              <w:rPr>
                <w:lang w:val="fr-FR"/>
              </w:rPr>
              <w:t> </w:t>
            </w:r>
            <w:r w:rsidR="00016CC5" w:rsidRPr="00D6618F">
              <w:rPr>
                <w:lang w:val="fr-FR"/>
              </w:rPr>
              <w:t>octobre</w:t>
            </w:r>
            <w:r w:rsidR="00016CC5">
              <w:rPr>
                <w:lang w:val="fr-FR"/>
              </w:rPr>
              <w:t> </w:t>
            </w:r>
            <w:r w:rsidR="00016CC5" w:rsidRPr="00D6618F">
              <w:rPr>
                <w:lang w:val="fr-FR"/>
              </w:rPr>
              <w:t>20</w:t>
            </w:r>
            <w:r w:rsidR="003A5AAF" w:rsidRPr="00D6618F">
              <w:rPr>
                <w:lang w:val="fr-FR"/>
              </w:rPr>
              <w:t>21</w:t>
            </w:r>
          </w:p>
        </w:tc>
        <w:tc>
          <w:tcPr>
            <w:tcW w:w="3127" w:type="dxa"/>
          </w:tcPr>
          <w:p w:rsidR="00BB6E2B" w:rsidRPr="00D6618F" w:rsidRDefault="00FC0275" w:rsidP="003C7FBE">
            <w:pPr>
              <w:pStyle w:val="Doccode"/>
              <w:rPr>
                <w:lang w:val="fr-FR"/>
              </w:rPr>
            </w:pPr>
            <w:r w:rsidRPr="00D6618F">
              <w:rPr>
                <w:lang w:val="fr-FR"/>
              </w:rPr>
              <w:t>CAJ/78/9</w:t>
            </w:r>
          </w:p>
          <w:p w:rsidR="00BB6E2B" w:rsidRPr="00D6618F" w:rsidRDefault="00EB4E9C" w:rsidP="003C7FBE">
            <w:pPr>
              <w:pStyle w:val="Docoriginal"/>
              <w:rPr>
                <w:lang w:val="fr-FR"/>
              </w:rPr>
            </w:pPr>
            <w:r w:rsidRPr="00D6618F">
              <w:rPr>
                <w:lang w:val="fr-FR"/>
              </w:rPr>
              <w:t>Original</w:t>
            </w:r>
            <w:r w:rsidR="00016CC5">
              <w:rPr>
                <w:lang w:val="fr-FR"/>
              </w:rPr>
              <w:t> :</w:t>
            </w:r>
            <w:r w:rsidRPr="00D6618F">
              <w:rPr>
                <w:b w:val="0"/>
                <w:spacing w:val="0"/>
                <w:lang w:val="fr-FR"/>
              </w:rPr>
              <w:t xml:space="preserve"> </w:t>
            </w:r>
            <w:r w:rsidR="000C639C" w:rsidRPr="00D6618F">
              <w:rPr>
                <w:b w:val="0"/>
                <w:spacing w:val="0"/>
                <w:lang w:val="fr-FR"/>
              </w:rPr>
              <w:t>anglais</w:t>
            </w:r>
          </w:p>
          <w:p w:rsidR="00EB4E9C" w:rsidRPr="00D6618F" w:rsidRDefault="00EB4E9C" w:rsidP="000C639C">
            <w:pPr>
              <w:pStyle w:val="Docoriginal"/>
              <w:rPr>
                <w:lang w:val="fr-FR"/>
              </w:rPr>
            </w:pPr>
            <w:r w:rsidRPr="00D6618F">
              <w:rPr>
                <w:lang w:val="fr-FR"/>
              </w:rPr>
              <w:t>Date</w:t>
            </w:r>
            <w:r w:rsidR="00016CC5">
              <w:rPr>
                <w:lang w:val="fr-FR"/>
              </w:rPr>
              <w:t> :</w:t>
            </w:r>
            <w:r w:rsidRPr="00D6618F">
              <w:rPr>
                <w:b w:val="0"/>
                <w:spacing w:val="0"/>
                <w:lang w:val="fr-FR"/>
              </w:rPr>
              <w:t xml:space="preserve"> </w:t>
            </w:r>
            <w:r w:rsidR="000C639C" w:rsidRPr="00D6618F">
              <w:rPr>
                <w:b w:val="0"/>
                <w:spacing w:val="0"/>
                <w:lang w:val="fr-FR"/>
              </w:rPr>
              <w:t>1</w:t>
            </w:r>
            <w:r w:rsidR="00016CC5" w:rsidRPr="00D6618F">
              <w:rPr>
                <w:b w:val="0"/>
                <w:spacing w:val="0"/>
                <w:lang w:val="fr-FR"/>
              </w:rPr>
              <w:t>3</w:t>
            </w:r>
            <w:r w:rsidR="00016CC5">
              <w:rPr>
                <w:b w:val="0"/>
                <w:spacing w:val="0"/>
                <w:lang w:val="fr-FR"/>
              </w:rPr>
              <w:t> </w:t>
            </w:r>
            <w:r w:rsidR="00016CC5" w:rsidRPr="00D6618F">
              <w:rPr>
                <w:b w:val="0"/>
                <w:spacing w:val="0"/>
                <w:lang w:val="fr-FR"/>
              </w:rPr>
              <w:t>septembre</w:t>
            </w:r>
            <w:r w:rsidR="00016CC5">
              <w:rPr>
                <w:b w:val="0"/>
                <w:spacing w:val="0"/>
                <w:lang w:val="fr-FR"/>
              </w:rPr>
              <w:t> </w:t>
            </w:r>
            <w:r w:rsidR="00016CC5" w:rsidRPr="00D6618F">
              <w:rPr>
                <w:b w:val="0"/>
                <w:spacing w:val="0"/>
                <w:lang w:val="fr-FR"/>
              </w:rPr>
              <w:t>20</w:t>
            </w:r>
            <w:r w:rsidR="00DF7E87" w:rsidRPr="00D6618F">
              <w:rPr>
                <w:b w:val="0"/>
                <w:spacing w:val="0"/>
                <w:lang w:val="fr-FR"/>
              </w:rPr>
              <w:t>21</w:t>
            </w:r>
          </w:p>
        </w:tc>
      </w:tr>
    </w:tbl>
    <w:p w:rsidR="00BB6E2B" w:rsidRPr="00D6618F" w:rsidRDefault="006A5CA8" w:rsidP="006A5CA8">
      <w:pPr>
        <w:pStyle w:val="Titleofdoc0"/>
        <w:rPr>
          <w:lang w:val="fr-FR"/>
        </w:rPr>
      </w:pPr>
      <w:bookmarkStart w:id="0" w:name="TitleOfDoc"/>
      <w:bookmarkEnd w:id="0"/>
      <w:r w:rsidRPr="00D6618F">
        <w:rPr>
          <w:lang w:val="fr-FR"/>
        </w:rPr>
        <w:t>Mesures visant à renforcer la coopération en matière d</w:t>
      </w:r>
      <w:r w:rsidR="00016CC5">
        <w:rPr>
          <w:lang w:val="fr-FR"/>
        </w:rPr>
        <w:t>’</w:t>
      </w:r>
      <w:r w:rsidRPr="00D6618F">
        <w:rPr>
          <w:lang w:val="fr-FR"/>
        </w:rPr>
        <w:t>examen</w:t>
      </w:r>
    </w:p>
    <w:p w:rsidR="00BB6E2B" w:rsidRPr="00D6618F" w:rsidRDefault="006A5CA8" w:rsidP="006A5CA8">
      <w:pPr>
        <w:pStyle w:val="preparedby1"/>
        <w:jc w:val="left"/>
        <w:rPr>
          <w:lang w:val="fr-FR"/>
        </w:rPr>
      </w:pPr>
      <w:bookmarkStart w:id="1" w:name="Prepared"/>
      <w:bookmarkEnd w:id="1"/>
      <w:r w:rsidRPr="00D6618F">
        <w:rPr>
          <w:lang w:val="fr-FR"/>
        </w:rPr>
        <w:t>Document établi par le Bureau de l</w:t>
      </w:r>
      <w:r w:rsidR="00016CC5">
        <w:rPr>
          <w:lang w:val="fr-FR"/>
        </w:rPr>
        <w:t>’</w:t>
      </w:r>
      <w:r w:rsidRPr="00D6618F">
        <w:rPr>
          <w:lang w:val="fr-FR"/>
        </w:rPr>
        <w:t>Union</w:t>
      </w:r>
    </w:p>
    <w:p w:rsidR="00BB6E2B" w:rsidRPr="00D6618F" w:rsidRDefault="006A5CA8" w:rsidP="006A5CA8">
      <w:pPr>
        <w:pStyle w:val="Disclaimer"/>
        <w:rPr>
          <w:color w:val="auto"/>
          <w:lang w:val="fr-FR"/>
        </w:rPr>
      </w:pPr>
      <w:r w:rsidRPr="00D6618F">
        <w:rPr>
          <w:color w:val="auto"/>
          <w:lang w:val="fr-FR"/>
        </w:rPr>
        <w:t>‏</w:t>
      </w:r>
      <w:r w:rsidRPr="00D6618F">
        <w:rPr>
          <w:lang w:val="fr-FR"/>
        </w:rPr>
        <w:t>Avertissement</w:t>
      </w:r>
      <w:r w:rsidR="00016CC5">
        <w:rPr>
          <w:lang w:val="fr-FR"/>
        </w:rPr>
        <w:t> :</w:t>
      </w:r>
      <w:r w:rsidRPr="00D6618F">
        <w:rPr>
          <w:lang w:val="fr-FR"/>
        </w:rPr>
        <w:t xml:space="preserve"> le présent document ne représente pas les principes ou les orientations de l</w:t>
      </w:r>
      <w:r w:rsidR="00016CC5">
        <w:rPr>
          <w:lang w:val="fr-FR"/>
        </w:rPr>
        <w:t>’</w:t>
      </w:r>
      <w:r w:rsidRPr="00D6618F">
        <w:rPr>
          <w:lang w:val="fr-FR"/>
        </w:rPr>
        <w:t>UPOV</w:t>
      </w:r>
    </w:p>
    <w:p w:rsidR="00BB6E2B" w:rsidRPr="00D6618F" w:rsidRDefault="006A5CA8" w:rsidP="006A5CA8">
      <w:pPr>
        <w:pStyle w:val="Heading1"/>
        <w:rPr>
          <w:lang w:val="fr-FR"/>
        </w:rPr>
      </w:pPr>
      <w:bookmarkStart w:id="2" w:name="_Toc82695188"/>
      <w:r w:rsidRPr="00D6618F">
        <w:rPr>
          <w:lang w:val="fr-FR"/>
        </w:rPr>
        <w:t>RÉSUMÉ</w:t>
      </w:r>
      <w:bookmarkEnd w:id="2"/>
    </w:p>
    <w:p w:rsidR="00BB6E2B" w:rsidRPr="00D6618F" w:rsidRDefault="00BB6E2B" w:rsidP="00613611">
      <w:pPr>
        <w:rPr>
          <w:lang w:val="fr-FR"/>
        </w:rPr>
      </w:pPr>
    </w:p>
    <w:p w:rsidR="00016CC5" w:rsidRDefault="00613611" w:rsidP="006A5CA8">
      <w:pPr>
        <w:rPr>
          <w:lang w:val="fr-FR"/>
        </w:rPr>
      </w:pPr>
      <w:r w:rsidRPr="00D6618F">
        <w:rPr>
          <w:lang w:val="fr-FR"/>
        </w:rPr>
        <w:fldChar w:fldCharType="begin"/>
      </w:r>
      <w:r w:rsidRPr="00D6618F">
        <w:rPr>
          <w:lang w:val="fr-FR"/>
        </w:rPr>
        <w:instrText xml:space="preserve"> AUTONUM  </w:instrText>
      </w:r>
      <w:r w:rsidRPr="00D6618F">
        <w:rPr>
          <w:lang w:val="fr-FR"/>
        </w:rPr>
        <w:fldChar w:fldCharType="end"/>
      </w:r>
      <w:r w:rsidRPr="00D6618F">
        <w:rPr>
          <w:lang w:val="fr-FR"/>
        </w:rPr>
        <w:tab/>
      </w:r>
      <w:r w:rsidR="006A5CA8" w:rsidRPr="00D6618F">
        <w:rPr>
          <w:lang w:val="fr-FR"/>
        </w:rPr>
        <w:t xml:space="preserve">Le présent document a pour objet de présenter les </w:t>
      </w:r>
      <w:r w:rsidR="00D6618F" w:rsidRPr="00D6618F">
        <w:rPr>
          <w:lang w:val="fr-FR"/>
        </w:rPr>
        <w:t>éventuelles mesures à prendre</w:t>
      </w:r>
      <w:r w:rsidR="006A5CA8" w:rsidRPr="00D6618F">
        <w:rPr>
          <w:lang w:val="fr-FR"/>
        </w:rPr>
        <w:t xml:space="preserve"> pour </w:t>
      </w:r>
      <w:r w:rsidR="000C639C" w:rsidRPr="00D6618F">
        <w:rPr>
          <w:lang w:val="fr-FR"/>
        </w:rPr>
        <w:t>surmonter les</w:t>
      </w:r>
      <w:r w:rsidR="006A5CA8" w:rsidRPr="00D6618F">
        <w:rPr>
          <w:lang w:val="fr-FR"/>
        </w:rPr>
        <w:t xml:space="preserve"> obstacles </w:t>
      </w:r>
      <w:r w:rsidR="000C639C" w:rsidRPr="00D6618F">
        <w:rPr>
          <w:lang w:val="fr-FR"/>
        </w:rPr>
        <w:t>politiques</w:t>
      </w:r>
      <w:r w:rsidR="006A5CA8" w:rsidRPr="00D6618F">
        <w:rPr>
          <w:lang w:val="fr-FR"/>
        </w:rPr>
        <w:t xml:space="preserve"> ou juridiques que le Comité technique (TC) a identifiés comme entravant la coopération internationale en matière d</w:t>
      </w:r>
      <w:r w:rsidR="00016CC5">
        <w:rPr>
          <w:lang w:val="fr-FR"/>
        </w:rPr>
        <w:t>’</w:t>
      </w:r>
      <w:r w:rsidR="006A5CA8" w:rsidRPr="00D6618F">
        <w:rPr>
          <w:lang w:val="fr-FR"/>
        </w:rPr>
        <w:t>examen</w:t>
      </w:r>
      <w:r w:rsidR="00A27AC6">
        <w:rPr>
          <w:lang w:val="fr-FR"/>
        </w:rPr>
        <w:t> </w:t>
      </w:r>
      <w:r w:rsidR="006A5CA8" w:rsidRPr="00D6618F">
        <w:rPr>
          <w:lang w:val="fr-FR"/>
        </w:rPr>
        <w:t>DHS.</w:t>
      </w:r>
    </w:p>
    <w:p w:rsidR="00BB6E2B" w:rsidRPr="00D6618F" w:rsidRDefault="00BB6E2B" w:rsidP="00291C08">
      <w:pPr>
        <w:rPr>
          <w:spacing w:val="-4"/>
          <w:lang w:val="fr-FR"/>
        </w:rPr>
      </w:pPr>
    </w:p>
    <w:p w:rsidR="00BB6E2B" w:rsidRPr="00D6618F" w:rsidRDefault="00D85D17" w:rsidP="009E3C0D">
      <w:pPr>
        <w:keepNext/>
        <w:keepLines/>
        <w:tabs>
          <w:tab w:val="left" w:pos="567"/>
          <w:tab w:val="left" w:pos="1134"/>
          <w:tab w:val="left" w:pos="5387"/>
          <w:tab w:val="left" w:pos="5954"/>
        </w:tabs>
        <w:rPr>
          <w:spacing w:val="-4"/>
          <w:lang w:val="fr-FR"/>
        </w:rPr>
      </w:pPr>
      <w:r w:rsidRPr="00D6618F">
        <w:rPr>
          <w:snapToGrid w:val="0"/>
          <w:lang w:val="fr-FR"/>
        </w:rPr>
        <w:fldChar w:fldCharType="begin"/>
      </w:r>
      <w:r w:rsidRPr="00D6618F">
        <w:rPr>
          <w:snapToGrid w:val="0"/>
          <w:lang w:val="fr-FR"/>
        </w:rPr>
        <w:instrText xml:space="preserve"> AUTONUM  </w:instrText>
      </w:r>
      <w:r w:rsidRPr="00D6618F">
        <w:rPr>
          <w:snapToGrid w:val="0"/>
          <w:lang w:val="fr-FR"/>
        </w:rPr>
        <w:fldChar w:fldCharType="end"/>
      </w:r>
      <w:r w:rsidRPr="00D6618F">
        <w:rPr>
          <w:snapToGrid w:val="0"/>
          <w:lang w:val="fr-FR"/>
        </w:rPr>
        <w:tab/>
      </w:r>
      <w:r w:rsidR="009E3C0D" w:rsidRPr="00D6618F">
        <w:rPr>
          <w:snapToGrid w:val="0"/>
          <w:lang w:val="fr-FR"/>
        </w:rPr>
        <w:t>Le CAJ est invité à examiner les mesures ci</w:t>
      </w:r>
      <w:r w:rsidR="00016CC5">
        <w:rPr>
          <w:snapToGrid w:val="0"/>
          <w:lang w:val="fr-FR"/>
        </w:rPr>
        <w:t>-</w:t>
      </w:r>
      <w:r w:rsidR="009E3C0D" w:rsidRPr="00D6618F">
        <w:rPr>
          <w:snapToGrid w:val="0"/>
          <w:lang w:val="fr-FR"/>
        </w:rPr>
        <w:t xml:space="preserve">après pour </w:t>
      </w:r>
      <w:r w:rsidR="00D6618F" w:rsidRPr="00D6618F">
        <w:rPr>
          <w:lang w:val="fr-FR"/>
        </w:rPr>
        <w:t>lev</w:t>
      </w:r>
      <w:r w:rsidR="000C639C" w:rsidRPr="00D6618F">
        <w:rPr>
          <w:lang w:val="fr-FR"/>
        </w:rPr>
        <w:t>er les obstacles politiques ou juridiques</w:t>
      </w:r>
      <w:r w:rsidR="000C639C" w:rsidRPr="00D6618F">
        <w:rPr>
          <w:snapToGrid w:val="0"/>
          <w:lang w:val="fr-FR"/>
        </w:rPr>
        <w:t xml:space="preserve"> que le</w:t>
      </w:r>
      <w:r w:rsidR="00016CC5">
        <w:rPr>
          <w:snapToGrid w:val="0"/>
          <w:lang w:val="fr-FR"/>
        </w:rPr>
        <w:t> TC</w:t>
      </w:r>
      <w:r w:rsidR="000C639C" w:rsidRPr="00D6618F">
        <w:rPr>
          <w:snapToGrid w:val="0"/>
          <w:lang w:val="fr-FR"/>
        </w:rPr>
        <w:t xml:space="preserve"> a identifiés comme en</w:t>
      </w:r>
      <w:r w:rsidR="009E3C0D" w:rsidRPr="00D6618F">
        <w:rPr>
          <w:snapToGrid w:val="0"/>
          <w:lang w:val="fr-FR"/>
        </w:rPr>
        <w:t>travant la coopération internationale en matière d</w:t>
      </w:r>
      <w:r w:rsidR="00016CC5">
        <w:rPr>
          <w:snapToGrid w:val="0"/>
          <w:lang w:val="fr-FR"/>
        </w:rPr>
        <w:t>’</w:t>
      </w:r>
      <w:r w:rsidR="009E3C0D" w:rsidRPr="00D6618F">
        <w:rPr>
          <w:snapToGrid w:val="0"/>
          <w:lang w:val="fr-FR"/>
        </w:rPr>
        <w:t>examen</w:t>
      </w:r>
      <w:r w:rsidR="00A27AC6">
        <w:rPr>
          <w:snapToGrid w:val="0"/>
          <w:lang w:val="fr-FR"/>
        </w:rPr>
        <w:t> </w:t>
      </w:r>
      <w:r w:rsidR="009E3C0D" w:rsidRPr="00D6618F">
        <w:rPr>
          <w:snapToGrid w:val="0"/>
          <w:lang w:val="fr-FR"/>
        </w:rPr>
        <w:t>DHS</w:t>
      </w:r>
      <w:r w:rsidR="00016CC5">
        <w:rPr>
          <w:snapToGrid w:val="0"/>
          <w:lang w:val="fr-FR"/>
        </w:rPr>
        <w:t> :</w:t>
      </w:r>
    </w:p>
    <w:p w:rsidR="00BB6E2B" w:rsidRPr="00D6618F" w:rsidRDefault="00BB6E2B" w:rsidP="00291C08">
      <w:pPr>
        <w:keepNext/>
        <w:keepLines/>
        <w:tabs>
          <w:tab w:val="left" w:pos="567"/>
          <w:tab w:val="left" w:pos="1134"/>
          <w:tab w:val="left" w:pos="5387"/>
          <w:tab w:val="left" w:pos="5954"/>
        </w:tabs>
        <w:rPr>
          <w:spacing w:val="-4"/>
          <w:lang w:val="fr-FR"/>
        </w:rPr>
      </w:pPr>
    </w:p>
    <w:p w:rsidR="00BB6E2B" w:rsidRPr="00D6618F" w:rsidRDefault="00D6618F" w:rsidP="00797277">
      <w:pPr>
        <w:pStyle w:val="ListParagraph"/>
        <w:keepNext/>
        <w:keepLines/>
        <w:numPr>
          <w:ilvl w:val="0"/>
          <w:numId w:val="11"/>
        </w:numPr>
        <w:tabs>
          <w:tab w:val="left" w:pos="567"/>
          <w:tab w:val="left" w:pos="1134"/>
          <w:tab w:val="left" w:pos="5387"/>
          <w:tab w:val="left" w:pos="5954"/>
        </w:tabs>
        <w:spacing w:after="0" w:line="240" w:lineRule="auto"/>
        <w:ind w:left="0" w:firstLine="567"/>
        <w:contextualSpacing w:val="0"/>
        <w:jc w:val="both"/>
        <w:rPr>
          <w:snapToGrid w:val="0"/>
          <w:lang w:val="fr-FR"/>
        </w:rPr>
      </w:pPr>
      <w:r w:rsidRPr="00D6618F">
        <w:rPr>
          <w:snapToGrid w:val="0"/>
          <w:lang w:val="fr-FR"/>
        </w:rPr>
        <w:t>enquêter auprès des</w:t>
      </w:r>
      <w:r w:rsidR="00797277" w:rsidRPr="00D6618F">
        <w:rPr>
          <w:snapToGrid w:val="0"/>
          <w:lang w:val="fr-FR"/>
        </w:rPr>
        <w:t xml:space="preserve"> membres de l</w:t>
      </w:r>
      <w:r w:rsidR="00016CC5">
        <w:rPr>
          <w:snapToGrid w:val="0"/>
          <w:lang w:val="fr-FR"/>
        </w:rPr>
        <w:t>’</w:t>
      </w:r>
      <w:r w:rsidR="00797277" w:rsidRPr="00D6618F">
        <w:rPr>
          <w:snapToGrid w:val="0"/>
          <w:lang w:val="fr-FR"/>
        </w:rPr>
        <w:t>Union afin d</w:t>
      </w:r>
      <w:r w:rsidR="00016CC5">
        <w:rPr>
          <w:snapToGrid w:val="0"/>
          <w:lang w:val="fr-FR"/>
        </w:rPr>
        <w:t>’</w:t>
      </w:r>
      <w:r w:rsidR="00797277" w:rsidRPr="00D6618F">
        <w:rPr>
          <w:snapToGrid w:val="0"/>
          <w:lang w:val="fr-FR"/>
        </w:rPr>
        <w:t xml:space="preserve">obtenir des informations sur leurs politiques </w:t>
      </w:r>
      <w:r w:rsidR="00236913" w:rsidRPr="00D6618F">
        <w:rPr>
          <w:snapToGrid w:val="0"/>
          <w:lang w:val="fr-FR"/>
        </w:rPr>
        <w:t>ou</w:t>
      </w:r>
      <w:r w:rsidR="00797277" w:rsidRPr="00D6618F">
        <w:rPr>
          <w:snapToGrid w:val="0"/>
          <w:lang w:val="fr-FR"/>
        </w:rPr>
        <w:t xml:space="preserve"> obstacles juridiques susceptibles d</w:t>
      </w:r>
      <w:r w:rsidR="00016CC5">
        <w:rPr>
          <w:snapToGrid w:val="0"/>
          <w:lang w:val="fr-FR"/>
        </w:rPr>
        <w:t>’</w:t>
      </w:r>
      <w:r w:rsidR="00797277" w:rsidRPr="00D6618F">
        <w:rPr>
          <w:snapToGrid w:val="0"/>
          <w:lang w:val="fr-FR"/>
        </w:rPr>
        <w:t>empêcher la coopération internationale en matière d</w:t>
      </w:r>
      <w:r w:rsidR="00016CC5">
        <w:rPr>
          <w:snapToGrid w:val="0"/>
          <w:lang w:val="fr-FR"/>
        </w:rPr>
        <w:t>’</w:t>
      </w:r>
      <w:r w:rsidR="00797277" w:rsidRPr="00D6618F">
        <w:rPr>
          <w:snapToGrid w:val="0"/>
          <w:lang w:val="fr-FR"/>
        </w:rPr>
        <w:t>examen</w:t>
      </w:r>
      <w:r w:rsidR="00A27AC6">
        <w:rPr>
          <w:snapToGrid w:val="0"/>
          <w:lang w:val="fr-FR"/>
        </w:rPr>
        <w:t> </w:t>
      </w:r>
      <w:r w:rsidR="00797277" w:rsidRPr="00D6618F">
        <w:rPr>
          <w:snapToGrid w:val="0"/>
          <w:lang w:val="fr-FR"/>
        </w:rPr>
        <w:t>DHS;</w:t>
      </w:r>
    </w:p>
    <w:p w:rsidR="00BB6E2B" w:rsidRPr="00D6618F" w:rsidRDefault="00BB6E2B" w:rsidP="00291C08">
      <w:pPr>
        <w:pStyle w:val="ListParagraph"/>
        <w:keepNext/>
        <w:keepLines/>
        <w:tabs>
          <w:tab w:val="left" w:pos="567"/>
          <w:tab w:val="left" w:pos="1134"/>
          <w:tab w:val="left" w:pos="5387"/>
          <w:tab w:val="left" w:pos="5954"/>
        </w:tabs>
        <w:spacing w:after="0" w:line="240" w:lineRule="auto"/>
        <w:ind w:left="0"/>
        <w:contextualSpacing w:val="0"/>
        <w:jc w:val="both"/>
        <w:rPr>
          <w:snapToGrid w:val="0"/>
          <w:lang w:val="fr-FR"/>
        </w:rPr>
      </w:pPr>
    </w:p>
    <w:p w:rsidR="00BB6E2B" w:rsidRPr="00D6618F" w:rsidRDefault="00797277" w:rsidP="00797277">
      <w:pPr>
        <w:pStyle w:val="ListParagraph"/>
        <w:keepNext/>
        <w:keepLines/>
        <w:numPr>
          <w:ilvl w:val="0"/>
          <w:numId w:val="11"/>
        </w:numPr>
        <w:tabs>
          <w:tab w:val="left" w:pos="567"/>
          <w:tab w:val="left" w:pos="1134"/>
          <w:tab w:val="left" w:pos="5387"/>
          <w:tab w:val="left" w:pos="5954"/>
        </w:tabs>
        <w:spacing w:after="0" w:line="240" w:lineRule="auto"/>
        <w:ind w:left="0" w:firstLine="567"/>
        <w:contextualSpacing w:val="0"/>
        <w:jc w:val="both"/>
        <w:rPr>
          <w:snapToGrid w:val="0"/>
          <w:lang w:val="fr-FR"/>
        </w:rPr>
      </w:pPr>
      <w:r w:rsidRPr="00D6618F">
        <w:rPr>
          <w:snapToGrid w:val="0"/>
          <w:lang w:val="fr-FR"/>
        </w:rPr>
        <w:t xml:space="preserve">rédiger des </w:t>
      </w:r>
      <w:r w:rsidR="00016CC5">
        <w:rPr>
          <w:snapToGrid w:val="0"/>
          <w:lang w:val="fr-FR"/>
        </w:rPr>
        <w:t>“</w:t>
      </w:r>
      <w:r w:rsidR="00016CC5" w:rsidRPr="00D6618F">
        <w:rPr>
          <w:snapToGrid w:val="0"/>
          <w:lang w:val="fr-FR"/>
        </w:rPr>
        <w:t>n</w:t>
      </w:r>
      <w:r w:rsidRPr="00D6618F">
        <w:rPr>
          <w:snapToGrid w:val="0"/>
          <w:lang w:val="fr-FR"/>
        </w:rPr>
        <w:t>otes explicative</w:t>
      </w:r>
      <w:r w:rsidR="00016CC5" w:rsidRPr="00D6618F">
        <w:rPr>
          <w:snapToGrid w:val="0"/>
          <w:lang w:val="fr-FR"/>
        </w:rPr>
        <w:t>s</w:t>
      </w:r>
      <w:r w:rsidR="00016CC5">
        <w:rPr>
          <w:snapToGrid w:val="0"/>
          <w:lang w:val="fr-FR"/>
        </w:rPr>
        <w:t>”</w:t>
      </w:r>
      <w:r w:rsidRPr="00D6618F">
        <w:rPr>
          <w:snapToGrid w:val="0"/>
          <w:lang w:val="fr-FR"/>
        </w:rPr>
        <w:t xml:space="preserve"> </w:t>
      </w:r>
      <w:r w:rsidR="00D6618F" w:rsidRPr="00D6618F">
        <w:rPr>
          <w:snapToGrid w:val="0"/>
          <w:lang w:val="fr-FR"/>
        </w:rPr>
        <w:t>sur</w:t>
      </w:r>
      <w:r w:rsidRPr="00D6618F">
        <w:rPr>
          <w:snapToGrid w:val="0"/>
          <w:lang w:val="fr-FR"/>
        </w:rPr>
        <w:t xml:space="preserve"> l</w:t>
      </w:r>
      <w:r w:rsidR="00016CC5">
        <w:rPr>
          <w:snapToGrid w:val="0"/>
          <w:lang w:val="fr-FR"/>
        </w:rPr>
        <w:t>’</w:t>
      </w:r>
      <w:r w:rsidR="00016CC5" w:rsidRPr="00D6618F">
        <w:rPr>
          <w:snapToGrid w:val="0"/>
          <w:lang w:val="fr-FR"/>
        </w:rPr>
        <w:t>article</w:t>
      </w:r>
      <w:r w:rsidR="00016CC5">
        <w:rPr>
          <w:snapToGrid w:val="0"/>
          <w:lang w:val="fr-FR"/>
        </w:rPr>
        <w:t> </w:t>
      </w:r>
      <w:r w:rsidR="00016CC5" w:rsidRPr="00D6618F">
        <w:rPr>
          <w:snapToGrid w:val="0"/>
          <w:lang w:val="fr-FR"/>
        </w:rPr>
        <w:t>1</w:t>
      </w:r>
      <w:r w:rsidRPr="00D6618F">
        <w:rPr>
          <w:snapToGrid w:val="0"/>
          <w:lang w:val="fr-FR"/>
        </w:rPr>
        <w:t xml:space="preserve">2 de la </w:t>
      </w:r>
      <w:r w:rsidR="00016CC5">
        <w:rPr>
          <w:snapToGrid w:val="0"/>
          <w:lang w:val="fr-FR"/>
        </w:rPr>
        <w:t>Convention UPOV</w:t>
      </w:r>
      <w:r w:rsidRPr="00D6618F">
        <w:rPr>
          <w:snapToGrid w:val="0"/>
          <w:lang w:val="fr-FR"/>
        </w:rPr>
        <w:t xml:space="preserve"> (</w:t>
      </w:r>
      <w:r w:rsidR="00016CC5">
        <w:rPr>
          <w:snapToGrid w:val="0"/>
          <w:lang w:val="fr-FR"/>
        </w:rPr>
        <w:t>“</w:t>
      </w:r>
      <w:r w:rsidR="00016CC5" w:rsidRPr="00D6618F">
        <w:rPr>
          <w:snapToGrid w:val="0"/>
          <w:lang w:val="fr-FR"/>
        </w:rPr>
        <w:t>E</w:t>
      </w:r>
      <w:r w:rsidRPr="00D6618F">
        <w:rPr>
          <w:snapToGrid w:val="0"/>
          <w:lang w:val="fr-FR"/>
        </w:rPr>
        <w:t>xamen de la deman</w:t>
      </w:r>
      <w:r w:rsidR="00236913" w:rsidRPr="00D6618F">
        <w:rPr>
          <w:snapToGrid w:val="0"/>
          <w:lang w:val="fr-FR"/>
        </w:rPr>
        <w:t>d</w:t>
      </w:r>
      <w:r w:rsidR="00016CC5" w:rsidRPr="00D6618F">
        <w:rPr>
          <w:snapToGrid w:val="0"/>
          <w:lang w:val="fr-FR"/>
        </w:rPr>
        <w:t>e</w:t>
      </w:r>
      <w:r w:rsidR="00016CC5">
        <w:rPr>
          <w:snapToGrid w:val="0"/>
          <w:lang w:val="fr-FR"/>
        </w:rPr>
        <w:t>”</w:t>
      </w:r>
      <w:r w:rsidRPr="00D6618F">
        <w:rPr>
          <w:snapToGrid w:val="0"/>
          <w:lang w:val="fr-FR"/>
        </w:rPr>
        <w:t xml:space="preserve">); </w:t>
      </w:r>
      <w:r w:rsidR="00A27AC6">
        <w:rPr>
          <w:snapToGrid w:val="0"/>
          <w:lang w:val="fr-FR"/>
        </w:rPr>
        <w:t xml:space="preserve"> </w:t>
      </w:r>
      <w:r w:rsidRPr="00D6618F">
        <w:rPr>
          <w:snapToGrid w:val="0"/>
          <w:lang w:val="fr-FR"/>
        </w:rPr>
        <w:t>et</w:t>
      </w:r>
    </w:p>
    <w:p w:rsidR="00BB6E2B" w:rsidRPr="00D6618F" w:rsidRDefault="00BB6E2B" w:rsidP="00291C08">
      <w:pPr>
        <w:pStyle w:val="ListParagraph"/>
        <w:keepNext/>
        <w:keepLines/>
        <w:tabs>
          <w:tab w:val="left" w:pos="567"/>
          <w:tab w:val="left" w:pos="1134"/>
          <w:tab w:val="left" w:pos="5387"/>
          <w:tab w:val="left" w:pos="5954"/>
        </w:tabs>
        <w:spacing w:after="0" w:line="240" w:lineRule="auto"/>
        <w:ind w:left="0"/>
        <w:contextualSpacing w:val="0"/>
        <w:jc w:val="both"/>
        <w:rPr>
          <w:snapToGrid w:val="0"/>
          <w:lang w:val="fr-FR"/>
        </w:rPr>
      </w:pPr>
    </w:p>
    <w:p w:rsidR="00BB6E2B" w:rsidRPr="00D6618F" w:rsidRDefault="00797277" w:rsidP="00797277">
      <w:pPr>
        <w:pStyle w:val="ListParagraph"/>
        <w:keepNext/>
        <w:keepLines/>
        <w:numPr>
          <w:ilvl w:val="0"/>
          <w:numId w:val="11"/>
        </w:numPr>
        <w:tabs>
          <w:tab w:val="left" w:pos="567"/>
          <w:tab w:val="left" w:pos="1134"/>
          <w:tab w:val="left" w:pos="5387"/>
          <w:tab w:val="left" w:pos="5954"/>
        </w:tabs>
        <w:spacing w:after="0" w:line="240" w:lineRule="auto"/>
        <w:ind w:left="0" w:firstLine="562"/>
        <w:contextualSpacing w:val="0"/>
        <w:jc w:val="both"/>
        <w:rPr>
          <w:snapToGrid w:val="0"/>
          <w:lang w:val="fr-FR"/>
        </w:rPr>
      </w:pPr>
      <w:r w:rsidRPr="00D6618F">
        <w:rPr>
          <w:snapToGrid w:val="0"/>
          <w:lang w:val="fr-FR"/>
        </w:rPr>
        <w:t>demander aux organisations d</w:t>
      </w:r>
      <w:r w:rsidR="00016CC5">
        <w:rPr>
          <w:snapToGrid w:val="0"/>
          <w:lang w:val="fr-FR"/>
        </w:rPr>
        <w:t>’</w:t>
      </w:r>
      <w:r w:rsidRPr="00D6618F">
        <w:rPr>
          <w:snapToGrid w:val="0"/>
          <w:lang w:val="fr-FR"/>
        </w:rPr>
        <w:t>obtenteurs d</w:t>
      </w:r>
      <w:r w:rsidR="00016CC5">
        <w:rPr>
          <w:snapToGrid w:val="0"/>
          <w:lang w:val="fr-FR"/>
        </w:rPr>
        <w:t>’</w:t>
      </w:r>
      <w:r w:rsidRPr="00D6618F">
        <w:rPr>
          <w:snapToGrid w:val="0"/>
          <w:lang w:val="fr-FR"/>
        </w:rPr>
        <w:t xml:space="preserve">apporter des précisions </w:t>
      </w:r>
      <w:r w:rsidR="00236913" w:rsidRPr="00D6618F">
        <w:rPr>
          <w:snapToGrid w:val="0"/>
          <w:lang w:val="fr-FR"/>
        </w:rPr>
        <w:t>sur les</w:t>
      </w:r>
      <w:r w:rsidRPr="00D6618F">
        <w:rPr>
          <w:snapToGrid w:val="0"/>
          <w:lang w:val="fr-FR"/>
        </w:rPr>
        <w:t xml:space="preserve"> difficultés que pose </w:t>
      </w:r>
      <w:r w:rsidR="00236913" w:rsidRPr="00D6618F">
        <w:rPr>
          <w:snapToGrid w:val="0"/>
          <w:lang w:val="fr-FR"/>
        </w:rPr>
        <w:t>la volonté</w:t>
      </w:r>
      <w:r w:rsidRPr="00D6618F">
        <w:rPr>
          <w:snapToGrid w:val="0"/>
          <w:lang w:val="fr-FR"/>
        </w:rPr>
        <w:t xml:space="preserve"> des obtenteurs d</w:t>
      </w:r>
      <w:r w:rsidR="00016CC5">
        <w:rPr>
          <w:snapToGrid w:val="0"/>
          <w:lang w:val="fr-FR"/>
        </w:rPr>
        <w:t>’</w:t>
      </w:r>
      <w:r w:rsidRPr="00D6618F">
        <w:rPr>
          <w:snapToGrid w:val="0"/>
          <w:lang w:val="fr-FR"/>
        </w:rPr>
        <w:t>utiliser, ou de ne pas utiliser, les rapports d</w:t>
      </w:r>
      <w:r w:rsidR="00016CC5">
        <w:rPr>
          <w:snapToGrid w:val="0"/>
          <w:lang w:val="fr-FR"/>
        </w:rPr>
        <w:t>’</w:t>
      </w:r>
      <w:r w:rsidRPr="00D6618F">
        <w:rPr>
          <w:snapToGrid w:val="0"/>
          <w:lang w:val="fr-FR"/>
        </w:rPr>
        <w:t>examen</w:t>
      </w:r>
      <w:r w:rsidR="00A27AC6">
        <w:rPr>
          <w:snapToGrid w:val="0"/>
          <w:lang w:val="fr-FR"/>
        </w:rPr>
        <w:t> </w:t>
      </w:r>
      <w:r w:rsidRPr="00D6618F">
        <w:rPr>
          <w:snapToGrid w:val="0"/>
          <w:lang w:val="fr-FR"/>
        </w:rPr>
        <w:t>DHS existants.</w:t>
      </w:r>
    </w:p>
    <w:p w:rsidR="00BB6E2B" w:rsidRPr="00D6618F" w:rsidRDefault="00BB6E2B" w:rsidP="00291C08">
      <w:pPr>
        <w:rPr>
          <w:highlight w:val="cyan"/>
          <w:lang w:val="fr-FR"/>
        </w:rPr>
      </w:pPr>
    </w:p>
    <w:p w:rsidR="00BB6E2B" w:rsidRPr="00D6618F" w:rsidRDefault="00CE7077" w:rsidP="00797277">
      <w:pPr>
        <w:rPr>
          <w:lang w:val="fr-FR"/>
        </w:rPr>
      </w:pPr>
      <w:r w:rsidRPr="00D6618F">
        <w:rPr>
          <w:lang w:val="fr-FR"/>
        </w:rPr>
        <w:fldChar w:fldCharType="begin"/>
      </w:r>
      <w:r w:rsidRPr="00D6618F">
        <w:rPr>
          <w:lang w:val="fr-FR"/>
        </w:rPr>
        <w:instrText xml:space="preserve"> AUTONUM  </w:instrText>
      </w:r>
      <w:r w:rsidRPr="00D6618F">
        <w:rPr>
          <w:lang w:val="fr-FR"/>
        </w:rPr>
        <w:fldChar w:fldCharType="end"/>
      </w:r>
      <w:r w:rsidRPr="00D6618F">
        <w:rPr>
          <w:lang w:val="fr-FR"/>
        </w:rPr>
        <w:tab/>
      </w:r>
      <w:r w:rsidR="00797277" w:rsidRPr="00D6618F">
        <w:rPr>
          <w:lang w:val="fr-FR"/>
        </w:rPr>
        <w:t>La structure du présent document est la suivante</w:t>
      </w:r>
      <w:r w:rsidR="00016CC5">
        <w:rPr>
          <w:lang w:val="fr-FR"/>
        </w:rPr>
        <w:t> :</w:t>
      </w:r>
    </w:p>
    <w:p w:rsidR="00BB6E2B" w:rsidRPr="00D6618F" w:rsidRDefault="00BB6E2B" w:rsidP="00CE7077">
      <w:pPr>
        <w:rPr>
          <w:lang w:val="fr-FR"/>
        </w:rPr>
      </w:pPr>
    </w:p>
    <w:p w:rsidR="00A34B78" w:rsidRPr="00A34B78" w:rsidRDefault="00CE707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D6618F">
        <w:rPr>
          <w:rFonts w:eastAsia="MS Mincho" w:cs="Arial"/>
          <w:noProof/>
          <w:sz w:val="18"/>
          <w:lang w:val="fr-FR" w:eastAsia="ja-JP"/>
        </w:rPr>
        <w:fldChar w:fldCharType="begin"/>
      </w:r>
      <w:r w:rsidRPr="00D6618F">
        <w:rPr>
          <w:rFonts w:eastAsia="MS Mincho" w:cs="Arial"/>
          <w:noProof/>
          <w:lang w:val="fr-FR" w:eastAsia="ja-JP"/>
        </w:rPr>
        <w:instrText xml:space="preserve"> TOC \o "1-2" \u </w:instrText>
      </w:r>
      <w:r w:rsidRPr="00D6618F">
        <w:rPr>
          <w:rFonts w:eastAsia="MS Mincho" w:cs="Arial"/>
          <w:noProof/>
          <w:sz w:val="18"/>
          <w:lang w:val="fr-FR" w:eastAsia="ja-JP"/>
        </w:rPr>
        <w:fldChar w:fldCharType="separate"/>
      </w:r>
      <w:r w:rsidR="00A34B78" w:rsidRPr="009205AA">
        <w:rPr>
          <w:noProof/>
          <w:lang w:val="fr-FR"/>
        </w:rPr>
        <w:t>RÉSUMÉ</w:t>
      </w:r>
      <w:r w:rsidR="00A34B78" w:rsidRPr="00A34B78">
        <w:rPr>
          <w:noProof/>
          <w:lang w:val="fr-CH"/>
        </w:rPr>
        <w:tab/>
      </w:r>
      <w:r w:rsidR="00A34B78">
        <w:rPr>
          <w:noProof/>
        </w:rPr>
        <w:fldChar w:fldCharType="begin"/>
      </w:r>
      <w:r w:rsidR="00A34B78" w:rsidRPr="00A34B78">
        <w:rPr>
          <w:noProof/>
          <w:lang w:val="fr-CH"/>
        </w:rPr>
        <w:instrText xml:space="preserve"> PAGEREF _Toc82695188 \h </w:instrText>
      </w:r>
      <w:r w:rsidR="00A34B78">
        <w:rPr>
          <w:noProof/>
        </w:rPr>
      </w:r>
      <w:r w:rsidR="00A34B78">
        <w:rPr>
          <w:noProof/>
        </w:rPr>
        <w:fldChar w:fldCharType="separate"/>
      </w:r>
      <w:r w:rsidR="00A34B78" w:rsidRPr="00A34B78">
        <w:rPr>
          <w:noProof/>
          <w:lang w:val="fr-CH"/>
        </w:rPr>
        <w:t>1</w:t>
      </w:r>
      <w:r w:rsidR="00A34B78">
        <w:rPr>
          <w:noProof/>
        </w:rPr>
        <w:fldChar w:fldCharType="end"/>
      </w:r>
    </w:p>
    <w:p w:rsidR="00A34B78" w:rsidRPr="00A34B78" w:rsidRDefault="00A34B7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9205AA">
        <w:rPr>
          <w:noProof/>
          <w:snapToGrid w:val="0"/>
          <w:lang w:val="fr-FR"/>
        </w:rPr>
        <w:t>Informations générales</w:t>
      </w:r>
      <w:r w:rsidRPr="00A34B78">
        <w:rPr>
          <w:noProof/>
          <w:lang w:val="fr-CH"/>
        </w:rPr>
        <w:tab/>
      </w:r>
      <w:r>
        <w:rPr>
          <w:noProof/>
        </w:rPr>
        <w:fldChar w:fldCharType="begin"/>
      </w:r>
      <w:r w:rsidRPr="00A34B78">
        <w:rPr>
          <w:noProof/>
          <w:lang w:val="fr-CH"/>
        </w:rPr>
        <w:instrText xml:space="preserve"> PAGEREF _Toc82695189 \h </w:instrText>
      </w:r>
      <w:r>
        <w:rPr>
          <w:noProof/>
        </w:rPr>
      </w:r>
      <w:r>
        <w:rPr>
          <w:noProof/>
        </w:rPr>
        <w:fldChar w:fldCharType="separate"/>
      </w:r>
      <w:r w:rsidRPr="00A34B78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A34B78" w:rsidRPr="00A34B78" w:rsidRDefault="00A34B78" w:rsidP="00A34B78">
      <w:pPr>
        <w:pStyle w:val="TOC1"/>
        <w:jc w:val="both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9205AA">
        <w:rPr>
          <w:noProof/>
          <w:snapToGrid w:val="0"/>
          <w:lang w:val="fr-FR"/>
        </w:rPr>
        <w:t>Mesures envisageables pour lever les obstacles politiques ou juridiques qui empêchent la coopération internationale en matière d’examen DHS</w:t>
      </w:r>
      <w:r w:rsidRPr="00A34B78">
        <w:rPr>
          <w:noProof/>
          <w:lang w:val="fr-CH"/>
        </w:rPr>
        <w:tab/>
      </w:r>
      <w:r>
        <w:rPr>
          <w:noProof/>
        </w:rPr>
        <w:fldChar w:fldCharType="begin"/>
      </w:r>
      <w:r w:rsidRPr="00A34B78">
        <w:rPr>
          <w:noProof/>
          <w:lang w:val="fr-CH"/>
        </w:rPr>
        <w:instrText xml:space="preserve"> PAGEREF _Toc82695190 \h </w:instrText>
      </w:r>
      <w:r>
        <w:rPr>
          <w:noProof/>
        </w:rPr>
      </w:r>
      <w:r>
        <w:rPr>
          <w:noProof/>
        </w:rPr>
        <w:fldChar w:fldCharType="separate"/>
      </w:r>
      <w:r w:rsidRPr="00A34B78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BB6E2B" w:rsidRPr="00D6618F" w:rsidRDefault="00CE7077" w:rsidP="004734D4">
      <w:pPr>
        <w:ind w:left="1134" w:hanging="1134"/>
        <w:rPr>
          <w:lang w:val="fr-FR"/>
        </w:rPr>
      </w:pPr>
      <w:r w:rsidRPr="00D6618F">
        <w:rPr>
          <w:rFonts w:eastAsia="MS Mincho" w:cs="Arial"/>
          <w:bCs/>
          <w:i/>
          <w:noProof/>
          <w:lang w:val="fr-FR" w:eastAsia="ja-JP"/>
        </w:rPr>
        <w:fldChar w:fldCharType="end"/>
      </w:r>
      <w:r w:rsidR="00236913" w:rsidRPr="00D6618F">
        <w:rPr>
          <w:rFonts w:eastAsia="MS Mincho" w:cs="Arial"/>
          <w:bCs/>
          <w:noProof/>
          <w:lang w:val="fr-FR" w:eastAsia="ja-JP"/>
        </w:rPr>
        <w:t>ANNEXE</w:t>
      </w:r>
      <w:r w:rsidR="004734D4">
        <w:rPr>
          <w:rFonts w:eastAsia="MS Mincho" w:cs="Arial"/>
          <w:bCs/>
          <w:noProof/>
          <w:lang w:val="fr-FR" w:eastAsia="ja-JP"/>
        </w:rPr>
        <w:tab/>
      </w:r>
      <w:r w:rsidR="00F04E31" w:rsidRPr="00D6618F">
        <w:rPr>
          <w:caps/>
          <w:snapToGrid w:val="0"/>
          <w:lang w:val="fr-FR"/>
        </w:rPr>
        <w:t>mesures convenues par le</w:t>
      </w:r>
      <w:r w:rsidR="00016CC5">
        <w:rPr>
          <w:caps/>
          <w:snapToGrid w:val="0"/>
          <w:lang w:val="fr-FR"/>
        </w:rPr>
        <w:t> TC</w:t>
      </w:r>
      <w:r w:rsidR="00F04E31" w:rsidRPr="00D6618F">
        <w:rPr>
          <w:caps/>
          <w:snapToGrid w:val="0"/>
          <w:lang w:val="fr-FR"/>
        </w:rPr>
        <w:t xml:space="preserve"> pour </w:t>
      </w:r>
      <w:r w:rsidR="00F04E31">
        <w:rPr>
          <w:caps/>
          <w:snapToGrid w:val="0"/>
          <w:lang w:val="fr-FR"/>
        </w:rPr>
        <w:t>lev</w:t>
      </w:r>
      <w:r w:rsidR="00F04E31" w:rsidRPr="00D6618F">
        <w:rPr>
          <w:caps/>
          <w:snapToGrid w:val="0"/>
          <w:lang w:val="fr-FR"/>
        </w:rPr>
        <w:t>er les obstacles qui empêchent la coopération internationale en matière d</w:t>
      </w:r>
      <w:r w:rsidR="00016CC5">
        <w:rPr>
          <w:caps/>
          <w:snapToGrid w:val="0"/>
          <w:lang w:val="fr-FR"/>
        </w:rPr>
        <w:t>’</w:t>
      </w:r>
      <w:r w:rsidR="00F04E31" w:rsidRPr="00D6618F">
        <w:rPr>
          <w:caps/>
          <w:snapToGrid w:val="0"/>
          <w:lang w:val="fr-FR"/>
        </w:rPr>
        <w:t>examen</w:t>
      </w:r>
      <w:r w:rsidR="00A27AC6">
        <w:rPr>
          <w:caps/>
          <w:snapToGrid w:val="0"/>
          <w:lang w:val="fr-FR"/>
        </w:rPr>
        <w:t> </w:t>
      </w:r>
      <w:r w:rsidR="00F04E31" w:rsidRPr="00D6618F">
        <w:rPr>
          <w:caps/>
          <w:snapToGrid w:val="0"/>
          <w:lang w:val="fr-FR"/>
        </w:rPr>
        <w:t>DHS</w:t>
      </w:r>
    </w:p>
    <w:p w:rsidR="00BB6E2B" w:rsidRPr="00D6618F" w:rsidRDefault="00BB6E2B" w:rsidP="00363EE0">
      <w:pPr>
        <w:rPr>
          <w:lang w:val="fr-FR"/>
        </w:rPr>
      </w:pPr>
    </w:p>
    <w:p w:rsidR="00BB6E2B" w:rsidRPr="00D6618F" w:rsidRDefault="00613611" w:rsidP="005E617F">
      <w:pPr>
        <w:rPr>
          <w:lang w:val="fr-FR"/>
        </w:rPr>
      </w:pPr>
      <w:r w:rsidRPr="00D6618F">
        <w:rPr>
          <w:lang w:val="fr-FR"/>
        </w:rPr>
        <w:fldChar w:fldCharType="begin"/>
      </w:r>
      <w:r w:rsidRPr="00D6618F">
        <w:rPr>
          <w:lang w:val="fr-FR"/>
        </w:rPr>
        <w:instrText xml:space="preserve"> AUTONUM  </w:instrText>
      </w:r>
      <w:r w:rsidRPr="00D6618F">
        <w:rPr>
          <w:lang w:val="fr-FR"/>
        </w:rPr>
        <w:fldChar w:fldCharType="end"/>
      </w:r>
      <w:r w:rsidRPr="00D6618F">
        <w:rPr>
          <w:lang w:val="fr-FR"/>
        </w:rPr>
        <w:tab/>
      </w:r>
      <w:r w:rsidR="00797277" w:rsidRPr="00D6618F">
        <w:rPr>
          <w:lang w:val="fr-FR"/>
        </w:rPr>
        <w:t>Les abréviations ci</w:t>
      </w:r>
      <w:r w:rsidR="00016CC5">
        <w:rPr>
          <w:lang w:val="fr-FR"/>
        </w:rPr>
        <w:t>-</w:t>
      </w:r>
      <w:r w:rsidR="00797277" w:rsidRPr="00D6618F">
        <w:rPr>
          <w:lang w:val="fr-FR"/>
        </w:rPr>
        <w:t>après sont utilisées dans le présent document</w:t>
      </w:r>
      <w:r w:rsidR="00016CC5">
        <w:rPr>
          <w:lang w:val="fr-FR"/>
        </w:rPr>
        <w:t> :</w:t>
      </w:r>
    </w:p>
    <w:p w:rsidR="00BB6E2B" w:rsidRPr="00D6618F" w:rsidRDefault="00BB6E2B" w:rsidP="005E617F">
      <w:pPr>
        <w:ind w:left="1692" w:hanging="1125"/>
        <w:jc w:val="left"/>
        <w:rPr>
          <w:lang w:val="fr-FR"/>
        </w:rPr>
      </w:pPr>
    </w:p>
    <w:p w:rsidR="00016CC5" w:rsidRDefault="00613611" w:rsidP="005E617F">
      <w:pPr>
        <w:tabs>
          <w:tab w:val="left" w:pos="567"/>
          <w:tab w:val="left" w:pos="1701"/>
        </w:tabs>
        <w:rPr>
          <w:lang w:val="fr-FR"/>
        </w:rPr>
      </w:pPr>
      <w:r w:rsidRPr="00D6618F">
        <w:rPr>
          <w:lang w:val="fr-FR"/>
        </w:rPr>
        <w:tab/>
      </w:r>
      <w:r w:rsidR="00797277" w:rsidRPr="00D6618F">
        <w:rPr>
          <w:lang w:val="fr-FR"/>
        </w:rPr>
        <w:t>CAJ</w:t>
      </w:r>
      <w:r w:rsidR="00016CC5">
        <w:rPr>
          <w:lang w:val="fr-FR"/>
        </w:rPr>
        <w:t> :</w:t>
      </w:r>
      <w:r w:rsidR="00236913" w:rsidRPr="00D6618F">
        <w:rPr>
          <w:lang w:val="fr-FR"/>
        </w:rPr>
        <w:tab/>
      </w:r>
      <w:r w:rsidR="00797277" w:rsidRPr="00D6618F">
        <w:rPr>
          <w:lang w:val="fr-FR"/>
        </w:rPr>
        <w:t>Comité administratif et juridique</w:t>
      </w:r>
    </w:p>
    <w:p w:rsidR="00BB6E2B" w:rsidRPr="00D6618F" w:rsidRDefault="00613611" w:rsidP="005E617F">
      <w:pPr>
        <w:tabs>
          <w:tab w:val="left" w:pos="567"/>
          <w:tab w:val="left" w:pos="1701"/>
        </w:tabs>
        <w:rPr>
          <w:lang w:val="fr-FR"/>
        </w:rPr>
      </w:pPr>
      <w:r w:rsidRPr="00D6618F">
        <w:rPr>
          <w:lang w:val="fr-FR"/>
        </w:rPr>
        <w:tab/>
      </w:r>
      <w:r w:rsidR="00797277" w:rsidRPr="00D6618F">
        <w:rPr>
          <w:lang w:val="fr-FR"/>
        </w:rPr>
        <w:t>TC</w:t>
      </w:r>
      <w:r w:rsidR="00016CC5">
        <w:rPr>
          <w:lang w:val="fr-FR"/>
        </w:rPr>
        <w:t> :</w:t>
      </w:r>
      <w:r w:rsidR="00236913" w:rsidRPr="00D6618F">
        <w:rPr>
          <w:lang w:val="fr-FR"/>
        </w:rPr>
        <w:tab/>
      </w:r>
      <w:r w:rsidR="00797277" w:rsidRPr="00D6618F">
        <w:rPr>
          <w:lang w:val="fr-FR"/>
        </w:rPr>
        <w:t>Comité technique</w:t>
      </w:r>
    </w:p>
    <w:p w:rsidR="00BB6E2B" w:rsidRPr="00D6618F" w:rsidRDefault="00613611" w:rsidP="005E617F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D6618F">
        <w:rPr>
          <w:rFonts w:eastAsia="PMingLiU"/>
          <w:szCs w:val="24"/>
          <w:lang w:val="fr-FR"/>
        </w:rPr>
        <w:tab/>
      </w:r>
      <w:r w:rsidR="00797277" w:rsidRPr="00D6618F">
        <w:rPr>
          <w:rFonts w:eastAsia="PMingLiU"/>
          <w:szCs w:val="24"/>
          <w:lang w:val="fr-FR"/>
        </w:rPr>
        <w:t>TC</w:t>
      </w:r>
      <w:r w:rsidR="00016CC5">
        <w:rPr>
          <w:rFonts w:eastAsia="PMingLiU"/>
          <w:szCs w:val="24"/>
          <w:lang w:val="fr-FR"/>
        </w:rPr>
        <w:t>-</w:t>
      </w:r>
      <w:r w:rsidR="00797277" w:rsidRPr="00D6618F">
        <w:rPr>
          <w:rFonts w:eastAsia="PMingLiU"/>
          <w:szCs w:val="24"/>
          <w:lang w:val="fr-FR"/>
        </w:rPr>
        <w:t>EDC</w:t>
      </w:r>
      <w:r w:rsidR="00016CC5">
        <w:rPr>
          <w:rFonts w:eastAsia="PMingLiU"/>
          <w:szCs w:val="24"/>
          <w:lang w:val="fr-FR"/>
        </w:rPr>
        <w:t> :</w:t>
      </w:r>
      <w:r w:rsidR="00236913" w:rsidRPr="00D6618F">
        <w:rPr>
          <w:rFonts w:eastAsia="PMingLiU"/>
          <w:szCs w:val="24"/>
          <w:lang w:val="fr-FR"/>
        </w:rPr>
        <w:tab/>
      </w:r>
      <w:r w:rsidR="00797277" w:rsidRPr="00D6618F">
        <w:rPr>
          <w:rFonts w:eastAsia="PMingLiU"/>
          <w:szCs w:val="24"/>
          <w:lang w:val="fr-FR"/>
        </w:rPr>
        <w:t>Comité de rédaction élargi</w:t>
      </w:r>
    </w:p>
    <w:p w:rsidR="00BB6E2B" w:rsidRPr="00D6618F" w:rsidRDefault="00613611" w:rsidP="005E617F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D6618F">
        <w:rPr>
          <w:rFonts w:eastAsia="PMingLiU"/>
          <w:szCs w:val="24"/>
          <w:lang w:val="fr-FR"/>
        </w:rPr>
        <w:tab/>
      </w:r>
      <w:r w:rsidR="00797277" w:rsidRPr="00D6618F">
        <w:rPr>
          <w:rFonts w:eastAsia="PMingLiU"/>
          <w:szCs w:val="24"/>
          <w:lang w:val="fr-FR"/>
        </w:rPr>
        <w:t>TWA</w:t>
      </w:r>
      <w:r w:rsidR="00016CC5">
        <w:rPr>
          <w:rFonts w:eastAsia="PMingLiU"/>
          <w:szCs w:val="24"/>
          <w:lang w:val="fr-FR"/>
        </w:rPr>
        <w:t> :</w:t>
      </w:r>
      <w:r w:rsidR="00236913" w:rsidRPr="00D6618F">
        <w:rPr>
          <w:rFonts w:eastAsia="PMingLiU"/>
          <w:szCs w:val="24"/>
          <w:lang w:val="fr-FR"/>
        </w:rPr>
        <w:tab/>
      </w:r>
      <w:r w:rsidR="00797277" w:rsidRPr="00D6618F">
        <w:rPr>
          <w:rFonts w:eastAsia="PMingLiU"/>
          <w:szCs w:val="24"/>
          <w:lang w:val="fr-FR"/>
        </w:rPr>
        <w:t>Groupe de travail technique sur les plantes agricoles</w:t>
      </w:r>
    </w:p>
    <w:p w:rsidR="00BB6E2B" w:rsidRPr="00D6618F" w:rsidRDefault="00613611" w:rsidP="005E617F">
      <w:pPr>
        <w:tabs>
          <w:tab w:val="left" w:pos="567"/>
          <w:tab w:val="left" w:pos="1701"/>
        </w:tabs>
        <w:ind w:left="1700" w:hanging="1700"/>
        <w:rPr>
          <w:rFonts w:eastAsia="PMingLiU"/>
          <w:szCs w:val="24"/>
          <w:lang w:val="fr-FR"/>
        </w:rPr>
      </w:pPr>
      <w:r w:rsidRPr="00D6618F">
        <w:rPr>
          <w:rFonts w:eastAsia="PMingLiU"/>
          <w:szCs w:val="24"/>
          <w:lang w:val="fr-FR"/>
        </w:rPr>
        <w:tab/>
      </w:r>
      <w:r w:rsidR="00797277" w:rsidRPr="00D6618F">
        <w:rPr>
          <w:rFonts w:eastAsia="PMingLiU"/>
          <w:szCs w:val="24"/>
          <w:lang w:val="fr-FR"/>
        </w:rPr>
        <w:t>TWC</w:t>
      </w:r>
      <w:r w:rsidR="00016CC5">
        <w:rPr>
          <w:rFonts w:eastAsia="PMingLiU"/>
          <w:szCs w:val="24"/>
          <w:lang w:val="fr-FR"/>
        </w:rPr>
        <w:t> :</w:t>
      </w:r>
      <w:r w:rsidR="00236913" w:rsidRPr="00D6618F">
        <w:rPr>
          <w:rFonts w:eastAsia="PMingLiU"/>
          <w:szCs w:val="24"/>
          <w:lang w:val="fr-FR"/>
        </w:rPr>
        <w:tab/>
      </w:r>
      <w:r w:rsidR="00797277" w:rsidRPr="00D6618F">
        <w:rPr>
          <w:rFonts w:eastAsia="PMingLiU"/>
          <w:szCs w:val="24"/>
          <w:lang w:val="fr-FR"/>
        </w:rPr>
        <w:t>Groupe de travail technique sur les systèmes d</w:t>
      </w:r>
      <w:r w:rsidR="00016CC5">
        <w:rPr>
          <w:rFonts w:eastAsia="PMingLiU"/>
          <w:szCs w:val="24"/>
          <w:lang w:val="fr-FR"/>
        </w:rPr>
        <w:t>’</w:t>
      </w:r>
      <w:r w:rsidR="00797277" w:rsidRPr="00D6618F">
        <w:rPr>
          <w:rFonts w:eastAsia="PMingLiU"/>
          <w:szCs w:val="24"/>
          <w:lang w:val="fr-FR"/>
        </w:rPr>
        <w:t>automatisation et les programmes d</w:t>
      </w:r>
      <w:r w:rsidR="00016CC5">
        <w:rPr>
          <w:rFonts w:eastAsia="PMingLiU"/>
          <w:szCs w:val="24"/>
          <w:lang w:val="fr-FR"/>
        </w:rPr>
        <w:t>’</w:t>
      </w:r>
      <w:r w:rsidR="00797277" w:rsidRPr="00D6618F">
        <w:rPr>
          <w:rFonts w:eastAsia="PMingLiU"/>
          <w:szCs w:val="24"/>
          <w:lang w:val="fr-FR"/>
        </w:rPr>
        <w:t>ordinateur</w:t>
      </w:r>
    </w:p>
    <w:p w:rsidR="00BB6E2B" w:rsidRPr="00D6618F" w:rsidRDefault="00613611" w:rsidP="005E617F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D6618F">
        <w:rPr>
          <w:rFonts w:eastAsia="PMingLiU"/>
          <w:szCs w:val="24"/>
          <w:lang w:val="fr-FR"/>
        </w:rPr>
        <w:tab/>
      </w:r>
      <w:r w:rsidR="00797277" w:rsidRPr="00D6618F">
        <w:rPr>
          <w:rFonts w:eastAsia="PMingLiU"/>
          <w:szCs w:val="24"/>
          <w:lang w:val="fr-FR"/>
        </w:rPr>
        <w:t>TWF</w:t>
      </w:r>
      <w:r w:rsidR="00016CC5">
        <w:rPr>
          <w:rFonts w:eastAsia="PMingLiU"/>
          <w:szCs w:val="24"/>
          <w:lang w:val="fr-FR"/>
        </w:rPr>
        <w:t> :</w:t>
      </w:r>
      <w:r w:rsidR="00236913" w:rsidRPr="00D6618F">
        <w:rPr>
          <w:rFonts w:eastAsia="PMingLiU"/>
          <w:szCs w:val="24"/>
          <w:lang w:val="fr-FR"/>
        </w:rPr>
        <w:tab/>
      </w:r>
      <w:r w:rsidR="00797277" w:rsidRPr="00D6618F">
        <w:rPr>
          <w:rFonts w:eastAsia="PMingLiU"/>
          <w:szCs w:val="24"/>
          <w:lang w:val="fr-FR"/>
        </w:rPr>
        <w:t>Groupe de travail technique sur les plantes fruitières</w:t>
      </w:r>
    </w:p>
    <w:p w:rsidR="00BB6E2B" w:rsidRPr="00D6618F" w:rsidRDefault="00613611" w:rsidP="005E617F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D6618F">
        <w:rPr>
          <w:rFonts w:eastAsia="PMingLiU"/>
          <w:szCs w:val="24"/>
          <w:lang w:val="fr-FR"/>
        </w:rPr>
        <w:tab/>
      </w:r>
      <w:r w:rsidR="00797277" w:rsidRPr="00D6618F">
        <w:rPr>
          <w:rFonts w:eastAsia="PMingLiU"/>
          <w:szCs w:val="24"/>
          <w:lang w:val="fr-FR"/>
        </w:rPr>
        <w:t>TWO</w:t>
      </w:r>
      <w:r w:rsidR="00016CC5">
        <w:rPr>
          <w:rFonts w:eastAsia="PMingLiU"/>
          <w:szCs w:val="24"/>
          <w:lang w:val="fr-FR"/>
        </w:rPr>
        <w:t> :</w:t>
      </w:r>
      <w:r w:rsidR="00236913" w:rsidRPr="00D6618F">
        <w:rPr>
          <w:rFonts w:eastAsia="PMingLiU"/>
          <w:szCs w:val="24"/>
          <w:lang w:val="fr-FR"/>
        </w:rPr>
        <w:tab/>
      </w:r>
      <w:r w:rsidR="00797277" w:rsidRPr="00D6618F">
        <w:rPr>
          <w:rFonts w:eastAsia="PMingLiU"/>
          <w:szCs w:val="24"/>
          <w:lang w:val="fr-FR"/>
        </w:rPr>
        <w:t>Groupe de travail technique sur les plantes ornementales et les arbres forestiers</w:t>
      </w:r>
    </w:p>
    <w:p w:rsidR="00BB6E2B" w:rsidRPr="00D6618F" w:rsidRDefault="00613611" w:rsidP="005E617F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D6618F">
        <w:rPr>
          <w:rFonts w:eastAsia="PMingLiU"/>
          <w:szCs w:val="24"/>
          <w:lang w:val="fr-FR"/>
        </w:rPr>
        <w:tab/>
      </w:r>
      <w:r w:rsidR="00797277" w:rsidRPr="00D6618F">
        <w:rPr>
          <w:rFonts w:eastAsia="PMingLiU"/>
          <w:szCs w:val="24"/>
          <w:lang w:val="fr-FR"/>
        </w:rPr>
        <w:t>TWP</w:t>
      </w:r>
      <w:r w:rsidR="00016CC5">
        <w:rPr>
          <w:rFonts w:eastAsia="PMingLiU"/>
          <w:szCs w:val="24"/>
          <w:lang w:val="fr-FR"/>
        </w:rPr>
        <w:t> :</w:t>
      </w:r>
      <w:r w:rsidR="00236913" w:rsidRPr="00D6618F">
        <w:rPr>
          <w:rFonts w:eastAsia="PMingLiU"/>
          <w:szCs w:val="24"/>
          <w:lang w:val="fr-FR"/>
        </w:rPr>
        <w:tab/>
      </w:r>
      <w:r w:rsidR="00797277" w:rsidRPr="00D6618F">
        <w:rPr>
          <w:rFonts w:eastAsia="PMingLiU"/>
          <w:szCs w:val="24"/>
          <w:lang w:val="fr-FR"/>
        </w:rPr>
        <w:t>Groupes de travail techniques</w:t>
      </w:r>
    </w:p>
    <w:p w:rsidR="00BB6E2B" w:rsidRPr="00D6618F" w:rsidRDefault="00613611" w:rsidP="005E617F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D6618F">
        <w:rPr>
          <w:rFonts w:eastAsia="PMingLiU"/>
          <w:szCs w:val="24"/>
          <w:lang w:val="fr-FR"/>
        </w:rPr>
        <w:tab/>
      </w:r>
      <w:r w:rsidR="00797277" w:rsidRPr="00D6618F">
        <w:rPr>
          <w:rFonts w:eastAsia="PMingLiU"/>
          <w:szCs w:val="24"/>
          <w:lang w:val="fr-FR"/>
        </w:rPr>
        <w:t>TWV</w:t>
      </w:r>
      <w:r w:rsidR="00016CC5">
        <w:rPr>
          <w:rFonts w:eastAsia="PMingLiU"/>
          <w:szCs w:val="24"/>
          <w:lang w:val="fr-FR"/>
        </w:rPr>
        <w:t> :</w:t>
      </w:r>
      <w:r w:rsidR="00236913" w:rsidRPr="00D6618F">
        <w:rPr>
          <w:rFonts w:eastAsia="PMingLiU"/>
          <w:szCs w:val="24"/>
          <w:lang w:val="fr-FR"/>
        </w:rPr>
        <w:tab/>
      </w:r>
      <w:r w:rsidR="00797277" w:rsidRPr="00D6618F">
        <w:rPr>
          <w:rFonts w:eastAsia="PMingLiU"/>
          <w:szCs w:val="24"/>
          <w:lang w:val="fr-FR"/>
        </w:rPr>
        <w:t>Groupe de travail technique sur les plantes potagères</w:t>
      </w:r>
    </w:p>
    <w:p w:rsidR="00BB6E2B" w:rsidRPr="00D6618F" w:rsidRDefault="00613611" w:rsidP="00363EE0">
      <w:pPr>
        <w:rPr>
          <w:lang w:val="fr-FR"/>
        </w:rPr>
      </w:pPr>
      <w:r w:rsidRPr="00D6618F">
        <w:rPr>
          <w:lang w:val="fr-FR"/>
        </w:rPr>
        <w:fldChar w:fldCharType="begin"/>
      </w:r>
      <w:r w:rsidRPr="00D6618F">
        <w:rPr>
          <w:lang w:val="fr-FR"/>
        </w:rPr>
        <w:instrText xml:space="preserve"> TOC \o "1-3" \h \z \u </w:instrText>
      </w:r>
      <w:r w:rsidRPr="00D6618F">
        <w:rPr>
          <w:lang w:val="fr-FR"/>
        </w:rPr>
        <w:fldChar w:fldCharType="separate"/>
      </w:r>
    </w:p>
    <w:p w:rsidR="00BB6E2B" w:rsidRPr="00D6618F" w:rsidRDefault="00613611" w:rsidP="00363EE0">
      <w:pPr>
        <w:rPr>
          <w:lang w:val="fr-FR"/>
        </w:rPr>
      </w:pPr>
      <w:r w:rsidRPr="00D6618F">
        <w:rPr>
          <w:lang w:val="fr-FR"/>
        </w:rPr>
        <w:fldChar w:fldCharType="end"/>
      </w:r>
    </w:p>
    <w:p w:rsidR="00BB6E2B" w:rsidRPr="00D6618F" w:rsidRDefault="00BB6E2B" w:rsidP="00363EE0">
      <w:pPr>
        <w:rPr>
          <w:lang w:val="fr-FR"/>
        </w:rPr>
      </w:pPr>
    </w:p>
    <w:p w:rsidR="00BB6E2B" w:rsidRPr="00D6618F" w:rsidRDefault="005E617F" w:rsidP="005E617F">
      <w:pPr>
        <w:pStyle w:val="Heading1"/>
        <w:rPr>
          <w:snapToGrid w:val="0"/>
          <w:lang w:val="fr-FR"/>
        </w:rPr>
      </w:pPr>
      <w:bookmarkStart w:id="3" w:name="_Toc82695189"/>
      <w:r>
        <w:rPr>
          <w:snapToGrid w:val="0"/>
          <w:lang w:val="fr-FR"/>
        </w:rPr>
        <w:lastRenderedPageBreak/>
        <w:t>Informations générales</w:t>
      </w:r>
      <w:bookmarkEnd w:id="3"/>
    </w:p>
    <w:p w:rsidR="00BB6E2B" w:rsidRPr="00D6618F" w:rsidRDefault="00BB6E2B" w:rsidP="00744F49">
      <w:pPr>
        <w:keepNext/>
        <w:rPr>
          <w:u w:val="single"/>
          <w:lang w:val="fr-FR"/>
        </w:rPr>
      </w:pPr>
    </w:p>
    <w:p w:rsidR="00BB6E2B" w:rsidRPr="00D6618F" w:rsidRDefault="00744F49" w:rsidP="00797277">
      <w:pPr>
        <w:rPr>
          <w:lang w:val="fr-FR"/>
        </w:rPr>
      </w:pPr>
      <w:r w:rsidRPr="00D6618F">
        <w:rPr>
          <w:lang w:val="fr-FR"/>
        </w:rPr>
        <w:fldChar w:fldCharType="begin"/>
      </w:r>
      <w:r w:rsidRPr="00D6618F">
        <w:rPr>
          <w:lang w:val="fr-FR"/>
        </w:rPr>
        <w:instrText xml:space="preserve"> AUTONUM  </w:instrText>
      </w:r>
      <w:r w:rsidRPr="00D6618F">
        <w:rPr>
          <w:lang w:val="fr-FR"/>
        </w:rPr>
        <w:fldChar w:fldCharType="end"/>
      </w:r>
      <w:r w:rsidRPr="00D6618F">
        <w:rPr>
          <w:lang w:val="fr-FR"/>
        </w:rPr>
        <w:tab/>
      </w:r>
      <w:r w:rsidR="00797277" w:rsidRPr="00D6618F">
        <w:rPr>
          <w:lang w:val="fr-FR"/>
        </w:rPr>
        <w:t>À sa soixante</w:t>
      </w:r>
      <w:r w:rsidR="00016CC5">
        <w:rPr>
          <w:lang w:val="fr-FR"/>
        </w:rPr>
        <w:t>-</w:t>
      </w:r>
      <w:r w:rsidR="00797277" w:rsidRPr="00D6618F">
        <w:rPr>
          <w:lang w:val="fr-FR"/>
        </w:rPr>
        <w:t>dix</w:t>
      </w:r>
      <w:r w:rsidR="00016CC5">
        <w:rPr>
          <w:lang w:val="fr-FR"/>
        </w:rPr>
        <w:t>-</w:t>
      </w:r>
      <w:r w:rsidR="00797277" w:rsidRPr="00D6618F">
        <w:rPr>
          <w:lang w:val="fr-FR"/>
        </w:rPr>
        <w:t>sept</w:t>
      </w:r>
      <w:r w:rsidR="00016CC5">
        <w:rPr>
          <w:lang w:val="fr-FR"/>
        </w:rPr>
        <w:t>ième session</w:t>
      </w:r>
      <w:r w:rsidR="00797277" w:rsidRPr="00D6618F">
        <w:rPr>
          <w:rStyle w:val="FootnoteReference"/>
          <w:lang w:val="fr-FR"/>
        </w:rPr>
        <w:footnoteReference w:id="2"/>
      </w:r>
      <w:r w:rsidR="00797277" w:rsidRPr="00D6618F">
        <w:rPr>
          <w:lang w:val="fr-FR"/>
        </w:rPr>
        <w:t>,</w:t>
      </w:r>
      <w:r w:rsidR="00016CC5" w:rsidRPr="00D6618F">
        <w:rPr>
          <w:lang w:val="fr-FR"/>
        </w:rPr>
        <w:t xml:space="preserve"> le</w:t>
      </w:r>
      <w:r w:rsidR="00016CC5">
        <w:rPr>
          <w:lang w:val="fr-FR"/>
        </w:rPr>
        <w:t> </w:t>
      </w:r>
      <w:r w:rsidR="00016CC5" w:rsidRPr="00D6618F">
        <w:rPr>
          <w:lang w:val="fr-FR"/>
        </w:rPr>
        <w:t>CAJ</w:t>
      </w:r>
      <w:r w:rsidR="00797277" w:rsidRPr="00D6618F">
        <w:rPr>
          <w:lang w:val="fr-FR"/>
        </w:rPr>
        <w:t xml:space="preserve"> a pris note des informations figurant dans le document CAJ/77/2 et dans le rapport verbal présenté par M.</w:t>
      </w:r>
      <w:r w:rsidR="00A27AC6">
        <w:rPr>
          <w:lang w:val="fr-FR"/>
        </w:rPr>
        <w:t> </w:t>
      </w:r>
      <w:r w:rsidR="005E617F">
        <w:rPr>
          <w:lang w:val="fr-FR"/>
        </w:rPr>
        <w:t>Nik </w:t>
      </w:r>
      <w:r w:rsidR="00797277" w:rsidRPr="00D6618F">
        <w:rPr>
          <w:lang w:val="fr-FR"/>
        </w:rPr>
        <w:t>Hulse, président du</w:t>
      </w:r>
      <w:r w:rsidR="00016CC5">
        <w:rPr>
          <w:lang w:val="fr-FR"/>
        </w:rPr>
        <w:t> TC</w:t>
      </w:r>
      <w:r w:rsidR="00797277" w:rsidRPr="00D6618F">
        <w:rPr>
          <w:lang w:val="fr-FR"/>
        </w:rPr>
        <w:t xml:space="preserve"> (voir les </w:t>
      </w:r>
      <w:r w:rsidR="00016CC5" w:rsidRPr="00D6618F">
        <w:rPr>
          <w:lang w:val="fr-FR"/>
        </w:rPr>
        <w:t>paragraphes</w:t>
      </w:r>
      <w:r w:rsidR="00016CC5">
        <w:rPr>
          <w:lang w:val="fr-FR"/>
        </w:rPr>
        <w:t> </w:t>
      </w:r>
      <w:r w:rsidR="00016CC5" w:rsidRPr="00D6618F">
        <w:rPr>
          <w:lang w:val="fr-FR"/>
        </w:rPr>
        <w:t>1</w:t>
      </w:r>
      <w:r w:rsidR="00797277" w:rsidRPr="00D6618F">
        <w:rPr>
          <w:lang w:val="fr-FR"/>
        </w:rPr>
        <w:t xml:space="preserve">1 à 15 du document CAJ/77/10 </w:t>
      </w:r>
      <w:r w:rsidR="00016CC5">
        <w:rPr>
          <w:lang w:val="fr-FR"/>
        </w:rPr>
        <w:t>“</w:t>
      </w:r>
      <w:r w:rsidR="00016CC5" w:rsidRPr="00D6618F">
        <w:rPr>
          <w:lang w:val="fr-FR"/>
        </w:rPr>
        <w:t>R</w:t>
      </w:r>
      <w:r w:rsidR="00797277" w:rsidRPr="00D6618F">
        <w:rPr>
          <w:lang w:val="fr-FR"/>
        </w:rPr>
        <w:t>appor</w:t>
      </w:r>
      <w:r w:rsidR="00016CC5" w:rsidRPr="00D6618F">
        <w:rPr>
          <w:lang w:val="fr-FR"/>
        </w:rPr>
        <w:t>t</w:t>
      </w:r>
      <w:r w:rsidR="00016CC5">
        <w:rPr>
          <w:lang w:val="fr-FR"/>
        </w:rPr>
        <w:t>”</w:t>
      </w:r>
      <w:r w:rsidR="00797277" w:rsidRPr="00D6618F">
        <w:rPr>
          <w:lang w:val="fr-FR"/>
        </w:rPr>
        <w:t>).</w:t>
      </w:r>
    </w:p>
    <w:p w:rsidR="00BB6E2B" w:rsidRPr="00D6618F" w:rsidRDefault="00BB6E2B" w:rsidP="00291C08">
      <w:pPr>
        <w:rPr>
          <w:spacing w:val="-4"/>
          <w:lang w:val="fr-FR"/>
        </w:rPr>
      </w:pPr>
    </w:p>
    <w:p w:rsidR="00BB6E2B" w:rsidRPr="00D6618F" w:rsidRDefault="00744F49" w:rsidP="008427A5">
      <w:pPr>
        <w:rPr>
          <w:spacing w:val="-4"/>
          <w:lang w:val="fr-FR"/>
        </w:rPr>
      </w:pPr>
      <w:r w:rsidRPr="00D6618F">
        <w:rPr>
          <w:spacing w:val="-4"/>
          <w:lang w:val="fr-FR"/>
        </w:rPr>
        <w:fldChar w:fldCharType="begin"/>
      </w:r>
      <w:r w:rsidRPr="00D6618F">
        <w:rPr>
          <w:spacing w:val="-4"/>
          <w:lang w:val="fr-FR"/>
        </w:rPr>
        <w:instrText xml:space="preserve"> AUTONUM  </w:instrText>
      </w:r>
      <w:r w:rsidRPr="00D6618F">
        <w:rPr>
          <w:spacing w:val="-4"/>
          <w:lang w:val="fr-FR"/>
        </w:rPr>
        <w:fldChar w:fldCharType="end"/>
      </w:r>
      <w:r w:rsidRPr="00D6618F">
        <w:rPr>
          <w:spacing w:val="-4"/>
          <w:lang w:val="fr-FR"/>
        </w:rPr>
        <w:tab/>
      </w:r>
      <w:r w:rsidR="008427A5" w:rsidRPr="00D6618F">
        <w:rPr>
          <w:spacing w:val="-4"/>
          <w:lang w:val="fr-FR"/>
        </w:rPr>
        <w:t xml:space="preserve">Le CAJ a pris note des mesures </w:t>
      </w:r>
      <w:r w:rsidR="005C3E59">
        <w:rPr>
          <w:spacing w:val="-4"/>
          <w:lang w:val="fr-FR"/>
        </w:rPr>
        <w:t>convenues</w:t>
      </w:r>
      <w:r w:rsidR="008427A5" w:rsidRPr="00D6618F">
        <w:rPr>
          <w:spacing w:val="-4"/>
          <w:lang w:val="fr-FR"/>
        </w:rPr>
        <w:t xml:space="preserve"> par le</w:t>
      </w:r>
      <w:r w:rsidR="00016CC5">
        <w:rPr>
          <w:spacing w:val="-4"/>
          <w:lang w:val="fr-FR"/>
        </w:rPr>
        <w:t> TC</w:t>
      </w:r>
      <w:r w:rsidR="008427A5" w:rsidRPr="00D6618F">
        <w:rPr>
          <w:spacing w:val="-4"/>
          <w:lang w:val="fr-FR"/>
        </w:rPr>
        <w:t xml:space="preserve"> pour </w:t>
      </w:r>
      <w:r w:rsidR="005C3E59">
        <w:rPr>
          <w:spacing w:val="-4"/>
          <w:lang w:val="fr-FR"/>
        </w:rPr>
        <w:t>lev</w:t>
      </w:r>
      <w:r w:rsidR="008427A5" w:rsidRPr="00D6618F">
        <w:rPr>
          <w:spacing w:val="-4"/>
          <w:lang w:val="fr-FR"/>
        </w:rPr>
        <w:t>er les obstacles qui empêchent la coopération internationale en matière d</w:t>
      </w:r>
      <w:r w:rsidR="00016CC5">
        <w:rPr>
          <w:spacing w:val="-4"/>
          <w:lang w:val="fr-FR"/>
        </w:rPr>
        <w:t>’</w:t>
      </w:r>
      <w:r w:rsidR="008427A5" w:rsidRPr="00D6618F">
        <w:rPr>
          <w:spacing w:val="-4"/>
          <w:lang w:val="fr-FR"/>
        </w:rPr>
        <w:t>examen</w:t>
      </w:r>
      <w:r w:rsidR="00A27AC6">
        <w:rPr>
          <w:spacing w:val="-4"/>
          <w:lang w:val="fr-FR"/>
        </w:rPr>
        <w:t> </w:t>
      </w:r>
      <w:r w:rsidR="008427A5" w:rsidRPr="00D6618F">
        <w:rPr>
          <w:spacing w:val="-4"/>
          <w:lang w:val="fr-FR"/>
        </w:rPr>
        <w:t>DHS (voir l</w:t>
      </w:r>
      <w:r w:rsidR="00016CC5">
        <w:rPr>
          <w:spacing w:val="-4"/>
          <w:lang w:val="fr-FR"/>
        </w:rPr>
        <w:t>’</w:t>
      </w:r>
      <w:r w:rsidR="008427A5" w:rsidRPr="00D6618F">
        <w:rPr>
          <w:spacing w:val="-4"/>
          <w:lang w:val="fr-FR"/>
        </w:rPr>
        <w:t>annexe au présent document).</w:t>
      </w:r>
    </w:p>
    <w:p w:rsidR="00BB6E2B" w:rsidRPr="00D6618F" w:rsidRDefault="00BB6E2B" w:rsidP="00291C08">
      <w:pPr>
        <w:rPr>
          <w:spacing w:val="-4"/>
          <w:lang w:val="fr-FR"/>
        </w:rPr>
      </w:pPr>
    </w:p>
    <w:p w:rsidR="00016CC5" w:rsidRDefault="00744F49" w:rsidP="008427A5">
      <w:pPr>
        <w:rPr>
          <w:spacing w:val="-4"/>
          <w:lang w:val="fr-FR"/>
        </w:rPr>
      </w:pPr>
      <w:r w:rsidRPr="00D6618F">
        <w:rPr>
          <w:spacing w:val="-4"/>
          <w:lang w:val="fr-FR"/>
        </w:rPr>
        <w:fldChar w:fldCharType="begin"/>
      </w:r>
      <w:r w:rsidRPr="00D6618F">
        <w:rPr>
          <w:spacing w:val="-4"/>
          <w:lang w:val="fr-FR"/>
        </w:rPr>
        <w:instrText xml:space="preserve"> AUTONUM  </w:instrText>
      </w:r>
      <w:r w:rsidRPr="00D6618F">
        <w:rPr>
          <w:spacing w:val="-4"/>
          <w:lang w:val="fr-FR"/>
        </w:rPr>
        <w:fldChar w:fldCharType="end"/>
      </w:r>
      <w:r w:rsidRPr="00D6618F">
        <w:rPr>
          <w:spacing w:val="-4"/>
          <w:lang w:val="fr-FR"/>
        </w:rPr>
        <w:tab/>
      </w:r>
      <w:r w:rsidR="008427A5" w:rsidRPr="00D6618F">
        <w:rPr>
          <w:spacing w:val="-4"/>
          <w:lang w:val="fr-FR"/>
        </w:rPr>
        <w:t>En réponse à la demande du</w:t>
      </w:r>
      <w:r w:rsidR="00016CC5">
        <w:rPr>
          <w:spacing w:val="-4"/>
          <w:lang w:val="fr-FR"/>
        </w:rPr>
        <w:t> TC</w:t>
      </w:r>
      <w:r w:rsidR="008427A5" w:rsidRPr="00D6618F">
        <w:rPr>
          <w:spacing w:val="-4"/>
          <w:lang w:val="fr-FR"/>
        </w:rPr>
        <w:t>,</w:t>
      </w:r>
      <w:r w:rsidR="00016CC5" w:rsidRPr="00D6618F">
        <w:rPr>
          <w:spacing w:val="-4"/>
          <w:lang w:val="fr-FR"/>
        </w:rPr>
        <w:t xml:space="preserve"> le</w:t>
      </w:r>
      <w:r w:rsidR="00016CC5">
        <w:rPr>
          <w:spacing w:val="-4"/>
          <w:lang w:val="fr-FR"/>
        </w:rPr>
        <w:t> </w:t>
      </w:r>
      <w:r w:rsidR="00016CC5" w:rsidRPr="00D6618F">
        <w:rPr>
          <w:spacing w:val="-4"/>
          <w:lang w:val="fr-FR"/>
        </w:rPr>
        <w:t>CAJ</w:t>
      </w:r>
      <w:r w:rsidR="008427A5" w:rsidRPr="00D6618F">
        <w:rPr>
          <w:spacing w:val="-4"/>
          <w:lang w:val="fr-FR"/>
        </w:rPr>
        <w:t xml:space="preserve"> a prié le Bureau de l</w:t>
      </w:r>
      <w:r w:rsidR="00016CC5">
        <w:rPr>
          <w:spacing w:val="-4"/>
          <w:lang w:val="fr-FR"/>
        </w:rPr>
        <w:t>’</w:t>
      </w:r>
      <w:r w:rsidR="008427A5" w:rsidRPr="00D6618F">
        <w:rPr>
          <w:spacing w:val="-4"/>
          <w:lang w:val="fr-FR"/>
        </w:rPr>
        <w:t>Union d</w:t>
      </w:r>
      <w:r w:rsidR="00016CC5">
        <w:rPr>
          <w:spacing w:val="-4"/>
          <w:lang w:val="fr-FR"/>
        </w:rPr>
        <w:t>’</w:t>
      </w:r>
      <w:r w:rsidR="008427A5" w:rsidRPr="00D6618F">
        <w:rPr>
          <w:spacing w:val="-4"/>
          <w:lang w:val="fr-FR"/>
        </w:rPr>
        <w:t>établir un document, pour examen à sa soixante</w:t>
      </w:r>
      <w:r w:rsidR="00016CC5">
        <w:rPr>
          <w:spacing w:val="-4"/>
          <w:lang w:val="fr-FR"/>
        </w:rPr>
        <w:t>-</w:t>
      </w:r>
      <w:r w:rsidR="008427A5" w:rsidRPr="00D6618F">
        <w:rPr>
          <w:spacing w:val="-4"/>
          <w:lang w:val="fr-FR"/>
        </w:rPr>
        <w:t>dix</w:t>
      </w:r>
      <w:r w:rsidR="00016CC5">
        <w:rPr>
          <w:spacing w:val="-4"/>
          <w:lang w:val="fr-FR"/>
        </w:rPr>
        <w:t>-</w:t>
      </w:r>
      <w:r w:rsidR="008427A5" w:rsidRPr="00D6618F">
        <w:rPr>
          <w:spacing w:val="-4"/>
          <w:lang w:val="fr-FR"/>
        </w:rPr>
        <w:t>huit</w:t>
      </w:r>
      <w:r w:rsidR="00016CC5">
        <w:rPr>
          <w:spacing w:val="-4"/>
          <w:lang w:val="fr-FR"/>
        </w:rPr>
        <w:t>ième session</w:t>
      </w:r>
      <w:r w:rsidR="008427A5" w:rsidRPr="00D6618F">
        <w:rPr>
          <w:spacing w:val="-4"/>
          <w:lang w:val="fr-FR"/>
        </w:rPr>
        <w:t>, sur les obstacles politiques ou juridiques ci</w:t>
      </w:r>
      <w:r w:rsidR="00016CC5">
        <w:rPr>
          <w:spacing w:val="-4"/>
          <w:lang w:val="fr-FR"/>
        </w:rPr>
        <w:t>-</w:t>
      </w:r>
      <w:r w:rsidR="008427A5" w:rsidRPr="00D6618F">
        <w:rPr>
          <w:spacing w:val="-4"/>
          <w:lang w:val="fr-FR"/>
        </w:rPr>
        <w:t>après, que le</w:t>
      </w:r>
      <w:r w:rsidR="00016CC5">
        <w:rPr>
          <w:spacing w:val="-4"/>
          <w:lang w:val="fr-FR"/>
        </w:rPr>
        <w:t> TC</w:t>
      </w:r>
      <w:r w:rsidR="008427A5" w:rsidRPr="00D6618F">
        <w:rPr>
          <w:spacing w:val="-4"/>
          <w:lang w:val="fr-FR"/>
        </w:rPr>
        <w:t xml:space="preserve"> a identifiés comme entravant la coopération internationale en matière d</w:t>
      </w:r>
      <w:r w:rsidR="00016CC5">
        <w:rPr>
          <w:spacing w:val="-4"/>
          <w:lang w:val="fr-FR"/>
        </w:rPr>
        <w:t>’</w:t>
      </w:r>
      <w:r w:rsidR="008427A5" w:rsidRPr="00D6618F">
        <w:rPr>
          <w:spacing w:val="-4"/>
          <w:lang w:val="fr-FR"/>
        </w:rPr>
        <w:t>examen</w:t>
      </w:r>
      <w:r w:rsidR="00A27AC6">
        <w:rPr>
          <w:spacing w:val="-4"/>
          <w:lang w:val="fr-FR"/>
        </w:rPr>
        <w:t> </w:t>
      </w:r>
      <w:r w:rsidR="008427A5" w:rsidRPr="00D6618F">
        <w:rPr>
          <w:spacing w:val="-4"/>
          <w:lang w:val="fr-FR"/>
        </w:rPr>
        <w:t xml:space="preserve">DHS, et les </w:t>
      </w:r>
      <w:r w:rsidR="00776685" w:rsidRPr="00D6618F">
        <w:rPr>
          <w:spacing w:val="-4"/>
          <w:lang w:val="fr-FR"/>
        </w:rPr>
        <w:t>éventuelles mesures à prendre</w:t>
      </w:r>
      <w:r w:rsidR="008427A5" w:rsidRPr="00D6618F">
        <w:rPr>
          <w:spacing w:val="-4"/>
          <w:lang w:val="fr-FR"/>
        </w:rPr>
        <w:t xml:space="preserve"> </w:t>
      </w:r>
      <w:r w:rsidR="00776685" w:rsidRPr="00D6618F">
        <w:rPr>
          <w:spacing w:val="-4"/>
          <w:lang w:val="fr-FR"/>
        </w:rPr>
        <w:t>pour surmonter</w:t>
      </w:r>
      <w:r w:rsidR="008427A5" w:rsidRPr="00D6618F">
        <w:rPr>
          <w:spacing w:val="-4"/>
          <w:lang w:val="fr-FR"/>
        </w:rPr>
        <w:t xml:space="preserve"> ces obstacles</w:t>
      </w:r>
      <w:r w:rsidR="00016CC5">
        <w:rPr>
          <w:spacing w:val="-4"/>
          <w:lang w:val="fr-FR"/>
        </w:rPr>
        <w:t> :</w:t>
      </w:r>
    </w:p>
    <w:p w:rsidR="00BB6E2B" w:rsidRPr="00D6618F" w:rsidRDefault="00BB6E2B" w:rsidP="00291C08">
      <w:pPr>
        <w:rPr>
          <w:spacing w:val="-4"/>
          <w:lang w:val="fr-FR"/>
        </w:rPr>
      </w:pPr>
    </w:p>
    <w:p w:rsidR="00BB6E2B" w:rsidRPr="00D6618F" w:rsidRDefault="005E617F" w:rsidP="008427A5">
      <w:pPr>
        <w:tabs>
          <w:tab w:val="left" w:pos="1134"/>
        </w:tabs>
        <w:spacing w:after="120"/>
        <w:ind w:left="562"/>
        <w:rPr>
          <w:spacing w:val="-4"/>
          <w:lang w:val="fr-FR"/>
        </w:rPr>
      </w:pPr>
      <w:r>
        <w:rPr>
          <w:spacing w:val="-4"/>
          <w:lang w:val="fr-FR"/>
        </w:rPr>
        <w:t>i)</w:t>
      </w:r>
      <w:r w:rsidR="00776685" w:rsidRPr="00D6618F">
        <w:rPr>
          <w:spacing w:val="-4"/>
          <w:lang w:val="fr-FR"/>
        </w:rPr>
        <w:tab/>
      </w:r>
      <w:r w:rsidR="005C3E59">
        <w:rPr>
          <w:spacing w:val="-4"/>
          <w:lang w:val="fr-FR"/>
        </w:rPr>
        <w:t>le b</w:t>
      </w:r>
      <w:r w:rsidR="008427A5" w:rsidRPr="00D6618F">
        <w:rPr>
          <w:spacing w:val="-4"/>
          <w:lang w:val="fr-FR"/>
        </w:rPr>
        <w:t>esoin d</w:t>
      </w:r>
      <w:r w:rsidR="00016CC5">
        <w:rPr>
          <w:spacing w:val="-4"/>
          <w:lang w:val="fr-FR"/>
        </w:rPr>
        <w:t>’</w:t>
      </w:r>
      <w:r w:rsidR="008427A5" w:rsidRPr="00D6618F">
        <w:rPr>
          <w:spacing w:val="-4"/>
          <w:lang w:val="fr-FR"/>
        </w:rPr>
        <w:t>un accord de coopération formel;</w:t>
      </w:r>
    </w:p>
    <w:p w:rsidR="00BB6E2B" w:rsidRPr="00D6618F" w:rsidRDefault="005E617F" w:rsidP="008427A5">
      <w:pPr>
        <w:tabs>
          <w:tab w:val="left" w:pos="1134"/>
        </w:tabs>
        <w:spacing w:after="120"/>
        <w:ind w:left="562"/>
        <w:rPr>
          <w:spacing w:val="-4"/>
          <w:lang w:val="fr-FR"/>
        </w:rPr>
      </w:pPr>
      <w:r>
        <w:rPr>
          <w:spacing w:val="-4"/>
          <w:lang w:val="fr-FR"/>
        </w:rPr>
        <w:t>ii)</w:t>
      </w:r>
      <w:r w:rsidR="00776685" w:rsidRPr="00D6618F">
        <w:rPr>
          <w:spacing w:val="-4"/>
          <w:lang w:val="fr-FR"/>
        </w:rPr>
        <w:tab/>
      </w:r>
      <w:r w:rsidR="005C3E59">
        <w:rPr>
          <w:spacing w:val="-4"/>
          <w:lang w:val="fr-FR"/>
        </w:rPr>
        <w:t>le fait que l</w:t>
      </w:r>
      <w:r w:rsidR="00016CC5">
        <w:rPr>
          <w:spacing w:val="-4"/>
          <w:lang w:val="fr-FR"/>
        </w:rPr>
        <w:t>’</w:t>
      </w:r>
      <w:r w:rsidR="008427A5" w:rsidRPr="00D6618F">
        <w:rPr>
          <w:spacing w:val="-4"/>
          <w:lang w:val="fr-FR"/>
        </w:rPr>
        <w:t>examen</w:t>
      </w:r>
      <w:r w:rsidR="00A27AC6">
        <w:rPr>
          <w:spacing w:val="-4"/>
          <w:lang w:val="fr-FR"/>
        </w:rPr>
        <w:t> </w:t>
      </w:r>
      <w:r w:rsidR="008427A5" w:rsidRPr="00D6618F">
        <w:rPr>
          <w:spacing w:val="-4"/>
          <w:lang w:val="fr-FR"/>
        </w:rPr>
        <w:t>DHS doi</w:t>
      </w:r>
      <w:r w:rsidR="005C3E59">
        <w:rPr>
          <w:spacing w:val="-4"/>
          <w:lang w:val="fr-FR"/>
        </w:rPr>
        <w:t>ve</w:t>
      </w:r>
      <w:r w:rsidR="008427A5" w:rsidRPr="00D6618F">
        <w:rPr>
          <w:spacing w:val="-4"/>
          <w:lang w:val="fr-FR"/>
        </w:rPr>
        <w:t xml:space="preserve"> être conduit par le service chargé de l</w:t>
      </w:r>
      <w:r w:rsidR="00016CC5">
        <w:rPr>
          <w:spacing w:val="-4"/>
          <w:lang w:val="fr-FR"/>
        </w:rPr>
        <w:t>’</w:t>
      </w:r>
      <w:r w:rsidR="008427A5" w:rsidRPr="00D6618F">
        <w:rPr>
          <w:spacing w:val="-4"/>
          <w:lang w:val="fr-FR"/>
        </w:rPr>
        <w:t>octroi des droits;</w:t>
      </w:r>
    </w:p>
    <w:p w:rsidR="00BB6E2B" w:rsidRPr="00D6618F" w:rsidRDefault="005E617F" w:rsidP="008427A5">
      <w:pPr>
        <w:tabs>
          <w:tab w:val="left" w:pos="1134"/>
        </w:tabs>
        <w:spacing w:after="120"/>
        <w:ind w:left="562"/>
        <w:rPr>
          <w:spacing w:val="-4"/>
          <w:lang w:val="fr-FR"/>
        </w:rPr>
      </w:pPr>
      <w:r>
        <w:rPr>
          <w:spacing w:val="-4"/>
          <w:lang w:val="fr-FR"/>
        </w:rPr>
        <w:t>iii)</w:t>
      </w:r>
      <w:r w:rsidR="00776685" w:rsidRPr="00D6618F">
        <w:rPr>
          <w:spacing w:val="-4"/>
          <w:lang w:val="fr-FR"/>
        </w:rPr>
        <w:tab/>
      </w:r>
      <w:r w:rsidR="005C3E59">
        <w:rPr>
          <w:spacing w:val="-4"/>
          <w:lang w:val="fr-FR"/>
        </w:rPr>
        <w:t>la n</w:t>
      </w:r>
      <w:r w:rsidR="008427A5" w:rsidRPr="00D6618F">
        <w:rPr>
          <w:spacing w:val="-4"/>
          <w:lang w:val="fr-FR"/>
        </w:rPr>
        <w:t>on</w:t>
      </w:r>
      <w:r w:rsidR="00016CC5">
        <w:rPr>
          <w:spacing w:val="-4"/>
          <w:lang w:val="fr-FR"/>
        </w:rPr>
        <w:t>-</w:t>
      </w:r>
      <w:r w:rsidR="008427A5" w:rsidRPr="00D6618F">
        <w:rPr>
          <w:spacing w:val="-4"/>
          <w:lang w:val="fr-FR"/>
        </w:rPr>
        <w:t>acceptation des rapports d</w:t>
      </w:r>
      <w:r w:rsidR="00016CC5">
        <w:rPr>
          <w:spacing w:val="-4"/>
          <w:lang w:val="fr-FR"/>
        </w:rPr>
        <w:t>’</w:t>
      </w:r>
      <w:r w:rsidR="008427A5" w:rsidRPr="00D6618F">
        <w:rPr>
          <w:spacing w:val="-4"/>
          <w:lang w:val="fr-FR"/>
        </w:rPr>
        <w:t>examen</w:t>
      </w:r>
      <w:r w:rsidR="00A27AC6">
        <w:rPr>
          <w:spacing w:val="-4"/>
          <w:lang w:val="fr-FR"/>
        </w:rPr>
        <w:t> </w:t>
      </w:r>
      <w:r w:rsidR="008427A5" w:rsidRPr="00D6618F">
        <w:rPr>
          <w:spacing w:val="-4"/>
          <w:lang w:val="fr-FR"/>
        </w:rPr>
        <w:t>DHS établis par l</w:t>
      </w:r>
      <w:r w:rsidR="00016CC5">
        <w:rPr>
          <w:spacing w:val="-4"/>
          <w:lang w:val="fr-FR"/>
        </w:rPr>
        <w:t>’</w:t>
      </w:r>
      <w:r w:rsidR="008427A5" w:rsidRPr="00D6618F">
        <w:rPr>
          <w:spacing w:val="-4"/>
          <w:lang w:val="fr-FR"/>
        </w:rPr>
        <w:t>obtenteur;</w:t>
      </w:r>
    </w:p>
    <w:p w:rsidR="00016CC5" w:rsidRDefault="005E617F" w:rsidP="008427A5">
      <w:pPr>
        <w:tabs>
          <w:tab w:val="left" w:pos="1134"/>
        </w:tabs>
        <w:spacing w:after="120"/>
        <w:ind w:left="562"/>
        <w:rPr>
          <w:spacing w:val="-4"/>
          <w:lang w:val="fr-FR"/>
        </w:rPr>
      </w:pPr>
      <w:r>
        <w:rPr>
          <w:spacing w:val="-4"/>
          <w:lang w:val="fr-FR"/>
        </w:rPr>
        <w:t>iv)</w:t>
      </w:r>
      <w:r w:rsidR="00776685" w:rsidRPr="00D6618F">
        <w:rPr>
          <w:spacing w:val="-4"/>
          <w:lang w:val="fr-FR"/>
        </w:rPr>
        <w:tab/>
      </w:r>
      <w:r w:rsidR="005C3E59">
        <w:rPr>
          <w:spacing w:val="-4"/>
          <w:lang w:val="fr-FR"/>
        </w:rPr>
        <w:t>la v</w:t>
      </w:r>
      <w:r w:rsidR="008427A5" w:rsidRPr="00D6618F">
        <w:rPr>
          <w:spacing w:val="-4"/>
          <w:lang w:val="fr-FR"/>
        </w:rPr>
        <w:t>olonté (ou non) des obtenteurs d</w:t>
      </w:r>
      <w:r w:rsidR="00016CC5">
        <w:rPr>
          <w:spacing w:val="-4"/>
          <w:lang w:val="fr-FR"/>
        </w:rPr>
        <w:t>’</w:t>
      </w:r>
      <w:r w:rsidR="008427A5" w:rsidRPr="00D6618F">
        <w:rPr>
          <w:spacing w:val="-4"/>
          <w:lang w:val="fr-FR"/>
        </w:rPr>
        <w:t>utiliser les rapports d</w:t>
      </w:r>
      <w:r w:rsidR="00016CC5">
        <w:rPr>
          <w:spacing w:val="-4"/>
          <w:lang w:val="fr-FR"/>
        </w:rPr>
        <w:t>’</w:t>
      </w:r>
      <w:r w:rsidR="008427A5" w:rsidRPr="00D6618F">
        <w:rPr>
          <w:spacing w:val="-4"/>
          <w:lang w:val="fr-FR"/>
        </w:rPr>
        <w:t>examen</w:t>
      </w:r>
      <w:r w:rsidR="00A27AC6">
        <w:rPr>
          <w:spacing w:val="-4"/>
          <w:lang w:val="fr-FR"/>
        </w:rPr>
        <w:t> </w:t>
      </w:r>
      <w:r w:rsidR="008427A5" w:rsidRPr="00D6618F">
        <w:rPr>
          <w:spacing w:val="-4"/>
          <w:lang w:val="fr-FR"/>
        </w:rPr>
        <w:t>DHS existants.</w:t>
      </w:r>
    </w:p>
    <w:p w:rsidR="00BB6E2B" w:rsidRPr="006264EF" w:rsidRDefault="00BB6E2B" w:rsidP="00637410">
      <w:pPr>
        <w:rPr>
          <w:lang w:val="fr-CH"/>
        </w:rPr>
      </w:pPr>
    </w:p>
    <w:p w:rsidR="00BB6E2B" w:rsidRPr="00D6618F" w:rsidRDefault="00BB6E2B" w:rsidP="00C67998">
      <w:pPr>
        <w:rPr>
          <w:snapToGrid w:val="0"/>
          <w:lang w:val="fr-FR"/>
        </w:rPr>
      </w:pPr>
    </w:p>
    <w:p w:rsidR="00BB6E2B" w:rsidRPr="00D6618F" w:rsidRDefault="00BB6E2B" w:rsidP="00C67998">
      <w:pPr>
        <w:rPr>
          <w:snapToGrid w:val="0"/>
          <w:lang w:val="fr-FR"/>
        </w:rPr>
      </w:pPr>
    </w:p>
    <w:p w:rsidR="00BB6E2B" w:rsidRPr="00D6618F" w:rsidRDefault="005E617F" w:rsidP="005E617F">
      <w:pPr>
        <w:pStyle w:val="Heading1"/>
        <w:rPr>
          <w:snapToGrid w:val="0"/>
          <w:lang w:val="fr-FR"/>
        </w:rPr>
      </w:pPr>
      <w:bookmarkStart w:id="4" w:name="_Toc82695190"/>
      <w:r>
        <w:rPr>
          <w:snapToGrid w:val="0"/>
          <w:lang w:val="fr-FR"/>
        </w:rPr>
        <w:t>M</w:t>
      </w:r>
      <w:r w:rsidRPr="005C3E59">
        <w:rPr>
          <w:snapToGrid w:val="0"/>
          <w:lang w:val="fr-FR"/>
        </w:rPr>
        <w:t>esures envisageables pour lever les obstacles politiques ou juridiques qui empêchent la coopération internationale en matière d</w:t>
      </w:r>
      <w:r>
        <w:rPr>
          <w:snapToGrid w:val="0"/>
          <w:lang w:val="fr-FR"/>
        </w:rPr>
        <w:t>’</w:t>
      </w:r>
      <w:r w:rsidRPr="005C3E59">
        <w:rPr>
          <w:snapToGrid w:val="0"/>
          <w:lang w:val="fr-FR"/>
        </w:rPr>
        <w:t>examen</w:t>
      </w:r>
      <w:r>
        <w:rPr>
          <w:snapToGrid w:val="0"/>
          <w:lang w:val="fr-FR"/>
        </w:rPr>
        <w:t> DHS</w:t>
      </w:r>
      <w:bookmarkEnd w:id="4"/>
    </w:p>
    <w:p w:rsidR="00BB6E2B" w:rsidRPr="00D6618F" w:rsidRDefault="00BB6E2B" w:rsidP="000644A1">
      <w:pPr>
        <w:rPr>
          <w:snapToGrid w:val="0"/>
          <w:spacing w:val="-4"/>
          <w:u w:val="single"/>
          <w:lang w:val="fr-FR"/>
        </w:rPr>
      </w:pPr>
    </w:p>
    <w:p w:rsidR="00BB6E2B" w:rsidRPr="00D6618F" w:rsidRDefault="001C0E54" w:rsidP="008427A5">
      <w:pPr>
        <w:rPr>
          <w:spacing w:val="-4"/>
          <w:lang w:val="fr-FR"/>
        </w:rPr>
      </w:pPr>
      <w:r w:rsidRPr="00D6618F">
        <w:rPr>
          <w:spacing w:val="-4"/>
          <w:lang w:val="fr-FR"/>
        </w:rPr>
        <w:fldChar w:fldCharType="begin"/>
      </w:r>
      <w:r w:rsidRPr="00D6618F">
        <w:rPr>
          <w:spacing w:val="-4"/>
          <w:lang w:val="fr-FR"/>
        </w:rPr>
        <w:instrText xml:space="preserve"> AUTONUM  </w:instrText>
      </w:r>
      <w:r w:rsidRPr="00D6618F">
        <w:rPr>
          <w:spacing w:val="-4"/>
          <w:lang w:val="fr-FR"/>
        </w:rPr>
        <w:fldChar w:fldCharType="end"/>
      </w:r>
      <w:r w:rsidRPr="00D6618F">
        <w:rPr>
          <w:spacing w:val="-4"/>
          <w:lang w:val="fr-FR"/>
        </w:rPr>
        <w:tab/>
      </w:r>
      <w:r w:rsidR="008427A5" w:rsidRPr="00D6618F">
        <w:rPr>
          <w:spacing w:val="-4"/>
          <w:lang w:val="fr-FR"/>
        </w:rPr>
        <w:t>Les éventuelles mesures à prendre pour surmonter les obstacles politiques o</w:t>
      </w:r>
      <w:r w:rsidR="007A225F" w:rsidRPr="00D6618F">
        <w:rPr>
          <w:spacing w:val="-4"/>
          <w:lang w:val="fr-FR"/>
        </w:rPr>
        <w:t xml:space="preserve">u juridiques, </w:t>
      </w:r>
      <w:r w:rsidR="00016CC5">
        <w:rPr>
          <w:spacing w:val="-4"/>
          <w:lang w:val="fr-FR"/>
        </w:rPr>
        <w:t>à savoir :</w:t>
      </w:r>
      <w:r w:rsidR="007A225F" w:rsidRPr="00D6618F">
        <w:rPr>
          <w:spacing w:val="-4"/>
          <w:lang w:val="fr-FR"/>
        </w:rPr>
        <w:t xml:space="preserve"> </w:t>
      </w:r>
      <w:r w:rsidR="008427A5" w:rsidRPr="00D6618F">
        <w:rPr>
          <w:spacing w:val="-4"/>
          <w:lang w:val="fr-FR"/>
        </w:rPr>
        <w:t>i)</w:t>
      </w:r>
      <w:r w:rsidR="00A27AC6">
        <w:rPr>
          <w:spacing w:val="-4"/>
          <w:lang w:val="fr-FR"/>
        </w:rPr>
        <w:t> </w:t>
      </w:r>
      <w:r w:rsidR="00637410">
        <w:rPr>
          <w:spacing w:val="-4"/>
          <w:lang w:val="fr-FR"/>
        </w:rPr>
        <w:t>le </w:t>
      </w:r>
      <w:r w:rsidR="008427A5" w:rsidRPr="00D6618F">
        <w:rPr>
          <w:spacing w:val="-4"/>
          <w:lang w:val="fr-FR"/>
        </w:rPr>
        <w:t>besoin d</w:t>
      </w:r>
      <w:r w:rsidR="00016CC5">
        <w:rPr>
          <w:spacing w:val="-4"/>
          <w:lang w:val="fr-FR"/>
        </w:rPr>
        <w:t>’</w:t>
      </w:r>
      <w:r w:rsidR="007A225F" w:rsidRPr="00D6618F">
        <w:rPr>
          <w:spacing w:val="-4"/>
          <w:lang w:val="fr-FR"/>
        </w:rPr>
        <w:t>un accord de coopération formel,</w:t>
      </w:r>
      <w:r w:rsidR="008427A5" w:rsidRPr="00D6618F">
        <w:rPr>
          <w:spacing w:val="-4"/>
          <w:lang w:val="fr-FR"/>
        </w:rPr>
        <w:t xml:space="preserve"> ii)</w:t>
      </w:r>
      <w:r w:rsidR="00A27AC6">
        <w:rPr>
          <w:spacing w:val="-4"/>
          <w:lang w:val="fr-FR"/>
        </w:rPr>
        <w:t> </w:t>
      </w:r>
      <w:r w:rsidR="005C3E59">
        <w:rPr>
          <w:spacing w:val="-4"/>
          <w:lang w:val="fr-FR"/>
        </w:rPr>
        <w:t xml:space="preserve">le fait que </w:t>
      </w:r>
      <w:r w:rsidR="005C3E59" w:rsidRPr="005C3E59">
        <w:rPr>
          <w:spacing w:val="-4"/>
          <w:lang w:val="fr-FR"/>
        </w:rPr>
        <w:t>l</w:t>
      </w:r>
      <w:r w:rsidR="00016CC5">
        <w:rPr>
          <w:spacing w:val="-4"/>
          <w:lang w:val="fr-FR"/>
        </w:rPr>
        <w:t>’</w:t>
      </w:r>
      <w:r w:rsidR="005C3E59" w:rsidRPr="005C3E59">
        <w:rPr>
          <w:spacing w:val="-4"/>
          <w:lang w:val="fr-FR"/>
        </w:rPr>
        <w:t>examen</w:t>
      </w:r>
      <w:r w:rsidR="00A27AC6">
        <w:rPr>
          <w:spacing w:val="-4"/>
          <w:lang w:val="fr-FR"/>
        </w:rPr>
        <w:t> </w:t>
      </w:r>
      <w:r w:rsidR="005C3E59" w:rsidRPr="005C3E59">
        <w:rPr>
          <w:spacing w:val="-4"/>
          <w:lang w:val="fr-FR"/>
        </w:rPr>
        <w:t>DHS doive</w:t>
      </w:r>
      <w:r w:rsidR="008427A5" w:rsidRPr="005C3E59">
        <w:rPr>
          <w:spacing w:val="-4"/>
          <w:lang w:val="fr-FR"/>
        </w:rPr>
        <w:t xml:space="preserve"> être conduit par le servic</w:t>
      </w:r>
      <w:r w:rsidR="007A225F" w:rsidRPr="005C3E59">
        <w:rPr>
          <w:spacing w:val="-4"/>
          <w:lang w:val="fr-FR"/>
        </w:rPr>
        <w:t>e</w:t>
      </w:r>
      <w:r w:rsidR="007A225F" w:rsidRPr="00D6618F">
        <w:rPr>
          <w:spacing w:val="-4"/>
          <w:lang w:val="fr-FR"/>
        </w:rPr>
        <w:t xml:space="preserve"> chargé de l</w:t>
      </w:r>
      <w:r w:rsidR="00016CC5">
        <w:rPr>
          <w:spacing w:val="-4"/>
          <w:lang w:val="fr-FR"/>
        </w:rPr>
        <w:t>’</w:t>
      </w:r>
      <w:r w:rsidR="007A225F" w:rsidRPr="00D6618F">
        <w:rPr>
          <w:spacing w:val="-4"/>
          <w:lang w:val="fr-FR"/>
        </w:rPr>
        <w:t>octroi des droits</w:t>
      </w:r>
      <w:r w:rsidR="008427A5" w:rsidRPr="00D6618F">
        <w:rPr>
          <w:spacing w:val="-4"/>
          <w:lang w:val="fr-FR"/>
        </w:rPr>
        <w:t xml:space="preserve"> et iii)</w:t>
      </w:r>
      <w:r w:rsidR="00A27AC6">
        <w:rPr>
          <w:spacing w:val="-4"/>
          <w:lang w:val="fr-FR"/>
        </w:rPr>
        <w:t> </w:t>
      </w:r>
      <w:r w:rsidR="007A225F" w:rsidRPr="00D6618F">
        <w:rPr>
          <w:spacing w:val="-4"/>
          <w:lang w:val="fr-FR"/>
        </w:rPr>
        <w:t xml:space="preserve">la </w:t>
      </w:r>
      <w:r w:rsidR="008427A5" w:rsidRPr="00D6618F">
        <w:rPr>
          <w:spacing w:val="-4"/>
          <w:lang w:val="fr-FR"/>
        </w:rPr>
        <w:t>non</w:t>
      </w:r>
      <w:r w:rsidR="00016CC5">
        <w:rPr>
          <w:spacing w:val="-4"/>
          <w:lang w:val="fr-FR"/>
        </w:rPr>
        <w:t>-</w:t>
      </w:r>
      <w:r w:rsidR="008427A5" w:rsidRPr="00D6618F">
        <w:rPr>
          <w:spacing w:val="-4"/>
          <w:lang w:val="fr-FR"/>
        </w:rPr>
        <w:t>acceptation des rapports d</w:t>
      </w:r>
      <w:r w:rsidR="00016CC5">
        <w:rPr>
          <w:spacing w:val="-4"/>
          <w:lang w:val="fr-FR"/>
        </w:rPr>
        <w:t>’</w:t>
      </w:r>
      <w:r w:rsidR="008427A5" w:rsidRPr="00D6618F">
        <w:rPr>
          <w:spacing w:val="-4"/>
          <w:lang w:val="fr-FR"/>
        </w:rPr>
        <w:t>examen</w:t>
      </w:r>
      <w:r w:rsidR="00A27AC6">
        <w:rPr>
          <w:spacing w:val="-4"/>
          <w:lang w:val="fr-FR"/>
        </w:rPr>
        <w:t> </w:t>
      </w:r>
      <w:r w:rsidR="008427A5" w:rsidRPr="00D6618F">
        <w:rPr>
          <w:spacing w:val="-4"/>
          <w:lang w:val="fr-FR"/>
        </w:rPr>
        <w:t>DHS établis par l</w:t>
      </w:r>
      <w:r w:rsidR="00016CC5">
        <w:rPr>
          <w:spacing w:val="-4"/>
          <w:lang w:val="fr-FR"/>
        </w:rPr>
        <w:t>’</w:t>
      </w:r>
      <w:r w:rsidR="008427A5" w:rsidRPr="00D6618F">
        <w:rPr>
          <w:spacing w:val="-4"/>
          <w:lang w:val="fr-FR"/>
        </w:rPr>
        <w:t>obtenteur</w:t>
      </w:r>
      <w:r w:rsidR="007A225F" w:rsidRPr="00D6618F">
        <w:rPr>
          <w:spacing w:val="-4"/>
          <w:lang w:val="fr-FR"/>
        </w:rPr>
        <w:t>, sont les suivantes</w:t>
      </w:r>
      <w:r w:rsidR="00016CC5">
        <w:rPr>
          <w:spacing w:val="-4"/>
          <w:lang w:val="fr-FR"/>
        </w:rPr>
        <w:t> :</w:t>
      </w:r>
    </w:p>
    <w:p w:rsidR="00BB6E2B" w:rsidRPr="00D6618F" w:rsidRDefault="00BB6E2B" w:rsidP="00291C08">
      <w:pPr>
        <w:tabs>
          <w:tab w:val="left" w:pos="1134"/>
        </w:tabs>
        <w:ind w:left="567"/>
        <w:rPr>
          <w:spacing w:val="-4"/>
          <w:lang w:val="fr-FR"/>
        </w:rPr>
      </w:pPr>
    </w:p>
    <w:p w:rsidR="00BB6E2B" w:rsidRPr="00D6618F" w:rsidRDefault="005C3E59" w:rsidP="00515D76">
      <w:pPr>
        <w:pStyle w:val="ListParagraph"/>
        <w:numPr>
          <w:ilvl w:val="0"/>
          <w:numId w:val="10"/>
        </w:numPr>
        <w:tabs>
          <w:tab w:val="left" w:pos="1134"/>
        </w:tabs>
        <w:spacing w:after="0" w:line="240" w:lineRule="auto"/>
        <w:contextualSpacing w:val="0"/>
        <w:jc w:val="both"/>
        <w:rPr>
          <w:spacing w:val="-4"/>
          <w:lang w:val="fr-FR"/>
        </w:rPr>
      </w:pPr>
      <w:r w:rsidRPr="005C3E59">
        <w:rPr>
          <w:lang w:val="fr-FR"/>
        </w:rPr>
        <w:t>enquêter</w:t>
      </w:r>
      <w:r w:rsidR="00515D76" w:rsidRPr="005C3E59">
        <w:rPr>
          <w:lang w:val="fr-FR"/>
        </w:rPr>
        <w:t xml:space="preserve"> auprès des membres de l</w:t>
      </w:r>
      <w:r w:rsidR="00016CC5">
        <w:rPr>
          <w:lang w:val="fr-FR"/>
        </w:rPr>
        <w:t>’</w:t>
      </w:r>
      <w:r w:rsidR="00515D76" w:rsidRPr="005C3E59">
        <w:rPr>
          <w:lang w:val="fr-FR"/>
        </w:rPr>
        <w:t>Union</w:t>
      </w:r>
      <w:r w:rsidR="00515D76" w:rsidRPr="00D6618F">
        <w:rPr>
          <w:lang w:val="fr-FR"/>
        </w:rPr>
        <w:t xml:space="preserve"> </w:t>
      </w:r>
      <w:r>
        <w:rPr>
          <w:lang w:val="fr-FR"/>
        </w:rPr>
        <w:t>afin d</w:t>
      </w:r>
      <w:r w:rsidR="00016CC5">
        <w:rPr>
          <w:lang w:val="fr-FR"/>
        </w:rPr>
        <w:t>’</w:t>
      </w:r>
      <w:r>
        <w:rPr>
          <w:lang w:val="fr-FR"/>
        </w:rPr>
        <w:t xml:space="preserve">obtenir des informations </w:t>
      </w:r>
      <w:r w:rsidR="00515D76" w:rsidRPr="00D6618F">
        <w:rPr>
          <w:lang w:val="fr-FR"/>
        </w:rPr>
        <w:t>sur leurs politiques ou obstacles juridiques susceptibles d</w:t>
      </w:r>
      <w:r w:rsidR="00016CC5">
        <w:rPr>
          <w:lang w:val="fr-FR"/>
        </w:rPr>
        <w:t>’</w:t>
      </w:r>
      <w:r w:rsidR="00515D76" w:rsidRPr="00D6618F">
        <w:rPr>
          <w:lang w:val="fr-FR"/>
        </w:rPr>
        <w:t>entraver la coopération internationale en matière d</w:t>
      </w:r>
      <w:r w:rsidR="00016CC5">
        <w:rPr>
          <w:lang w:val="fr-FR"/>
        </w:rPr>
        <w:t>’</w:t>
      </w:r>
      <w:r w:rsidR="00515D76" w:rsidRPr="00D6618F">
        <w:rPr>
          <w:lang w:val="fr-FR"/>
        </w:rPr>
        <w:t>examen</w:t>
      </w:r>
      <w:r w:rsidR="00A27AC6">
        <w:rPr>
          <w:lang w:val="fr-FR"/>
        </w:rPr>
        <w:t> </w:t>
      </w:r>
      <w:r w:rsidR="006F4057" w:rsidRPr="00D6618F">
        <w:rPr>
          <w:lang w:val="fr-FR"/>
        </w:rPr>
        <w:t>DHS</w:t>
      </w:r>
      <w:r w:rsidR="006F4057">
        <w:rPr>
          <w:lang w:val="fr-FR"/>
        </w:rPr>
        <w:t>.  Le</w:t>
      </w:r>
      <w:r>
        <w:rPr>
          <w:lang w:val="fr-FR"/>
        </w:rPr>
        <w:t xml:space="preserve"> questionnaire</w:t>
      </w:r>
      <w:r w:rsidR="00515D76" w:rsidRPr="00D6618F">
        <w:rPr>
          <w:lang w:val="fr-FR"/>
        </w:rPr>
        <w:t xml:space="preserve"> comporterait une demande d</w:t>
      </w:r>
      <w:r w:rsidR="00016CC5">
        <w:rPr>
          <w:lang w:val="fr-FR"/>
        </w:rPr>
        <w:t>’</w:t>
      </w:r>
      <w:r w:rsidR="00515D76" w:rsidRPr="00D6618F">
        <w:rPr>
          <w:lang w:val="fr-FR"/>
        </w:rPr>
        <w:t>informations sur le besoin d</w:t>
      </w:r>
      <w:r w:rsidR="00016CC5">
        <w:rPr>
          <w:lang w:val="fr-FR"/>
        </w:rPr>
        <w:t>’</w:t>
      </w:r>
      <w:r w:rsidR="00515D76" w:rsidRPr="00D6618F">
        <w:rPr>
          <w:lang w:val="fr-FR"/>
        </w:rPr>
        <w:t>accords de coopération formels, la nécessité que l</w:t>
      </w:r>
      <w:r w:rsidR="00016CC5">
        <w:rPr>
          <w:lang w:val="fr-FR"/>
        </w:rPr>
        <w:t>’</w:t>
      </w:r>
      <w:r w:rsidR="00515D76" w:rsidRPr="00D6618F">
        <w:rPr>
          <w:lang w:val="fr-FR"/>
        </w:rPr>
        <w:t>examen</w:t>
      </w:r>
      <w:r w:rsidR="00A27AC6">
        <w:rPr>
          <w:lang w:val="fr-FR"/>
        </w:rPr>
        <w:t> </w:t>
      </w:r>
      <w:r w:rsidR="00515D76" w:rsidRPr="00D6618F">
        <w:rPr>
          <w:lang w:val="fr-FR"/>
        </w:rPr>
        <w:t>DHS soit réalisé par le service chargé de l</w:t>
      </w:r>
      <w:r w:rsidR="00016CC5">
        <w:rPr>
          <w:lang w:val="fr-FR"/>
        </w:rPr>
        <w:t>’</w:t>
      </w:r>
      <w:r w:rsidR="00515D76" w:rsidRPr="00D6618F">
        <w:rPr>
          <w:lang w:val="fr-FR"/>
        </w:rPr>
        <w:t>octroi des droits et la non</w:t>
      </w:r>
      <w:r w:rsidR="00016CC5">
        <w:rPr>
          <w:lang w:val="fr-FR"/>
        </w:rPr>
        <w:t>-</w:t>
      </w:r>
      <w:r w:rsidR="00515D76" w:rsidRPr="00D6618F">
        <w:rPr>
          <w:lang w:val="fr-FR"/>
        </w:rPr>
        <w:t>acceptation des rapports d</w:t>
      </w:r>
      <w:r w:rsidR="00016CC5">
        <w:rPr>
          <w:lang w:val="fr-FR"/>
        </w:rPr>
        <w:t>’</w:t>
      </w:r>
      <w:r w:rsidR="00515D76" w:rsidRPr="00D6618F">
        <w:rPr>
          <w:lang w:val="fr-FR"/>
        </w:rPr>
        <w:t>examen</w:t>
      </w:r>
      <w:r w:rsidR="00A27AC6">
        <w:rPr>
          <w:lang w:val="fr-FR"/>
        </w:rPr>
        <w:t> </w:t>
      </w:r>
      <w:r w:rsidR="00515D76" w:rsidRPr="00D6618F">
        <w:rPr>
          <w:lang w:val="fr-FR"/>
        </w:rPr>
        <w:t>DHS établis par l</w:t>
      </w:r>
      <w:r w:rsidR="00016CC5">
        <w:rPr>
          <w:lang w:val="fr-FR"/>
        </w:rPr>
        <w:t>’</w:t>
      </w:r>
      <w:r w:rsidR="00515D76" w:rsidRPr="00D6618F">
        <w:rPr>
          <w:lang w:val="fr-FR"/>
        </w:rPr>
        <w:t>obtenteur.</w:t>
      </w:r>
    </w:p>
    <w:p w:rsidR="00BB6E2B" w:rsidRPr="00D6618F" w:rsidRDefault="00BB6E2B" w:rsidP="00291C08">
      <w:pPr>
        <w:pStyle w:val="ListParagraph"/>
        <w:tabs>
          <w:tab w:val="left" w:pos="1134"/>
        </w:tabs>
        <w:spacing w:after="0" w:line="240" w:lineRule="auto"/>
        <w:ind w:left="567"/>
        <w:contextualSpacing w:val="0"/>
        <w:jc w:val="both"/>
        <w:rPr>
          <w:spacing w:val="-4"/>
          <w:lang w:val="fr-FR"/>
        </w:rPr>
      </w:pPr>
    </w:p>
    <w:p w:rsidR="00BB6E2B" w:rsidRPr="00D6618F" w:rsidRDefault="00515D76" w:rsidP="004D14E7">
      <w:pPr>
        <w:pStyle w:val="ListParagraph"/>
        <w:numPr>
          <w:ilvl w:val="0"/>
          <w:numId w:val="10"/>
        </w:numPr>
        <w:tabs>
          <w:tab w:val="left" w:pos="1134"/>
        </w:tabs>
        <w:spacing w:after="0" w:line="240" w:lineRule="auto"/>
        <w:contextualSpacing w:val="0"/>
        <w:jc w:val="both"/>
        <w:rPr>
          <w:spacing w:val="-4"/>
          <w:lang w:val="fr-FR"/>
        </w:rPr>
      </w:pPr>
      <w:r w:rsidRPr="00D6618F">
        <w:rPr>
          <w:spacing w:val="-4"/>
          <w:lang w:val="fr-FR"/>
        </w:rPr>
        <w:t xml:space="preserve">rédiger des notes explicatives </w:t>
      </w:r>
      <w:r w:rsidR="00543697" w:rsidRPr="00D6618F">
        <w:rPr>
          <w:spacing w:val="-4"/>
          <w:lang w:val="fr-FR"/>
        </w:rPr>
        <w:t>sur</w:t>
      </w:r>
      <w:r w:rsidRPr="00D6618F">
        <w:rPr>
          <w:spacing w:val="-4"/>
          <w:lang w:val="fr-FR"/>
        </w:rPr>
        <w:t xml:space="preserve"> l</w:t>
      </w:r>
      <w:r w:rsidR="00016CC5">
        <w:rPr>
          <w:spacing w:val="-4"/>
          <w:lang w:val="fr-FR"/>
        </w:rPr>
        <w:t>’</w:t>
      </w:r>
      <w:r w:rsidR="00016CC5" w:rsidRPr="00D6618F">
        <w:rPr>
          <w:spacing w:val="-4"/>
          <w:lang w:val="fr-FR"/>
        </w:rPr>
        <w:t>article</w:t>
      </w:r>
      <w:r w:rsidR="00016CC5">
        <w:rPr>
          <w:spacing w:val="-4"/>
          <w:lang w:val="fr-FR"/>
        </w:rPr>
        <w:t> </w:t>
      </w:r>
      <w:r w:rsidR="00016CC5" w:rsidRPr="00D6618F">
        <w:rPr>
          <w:spacing w:val="-4"/>
          <w:lang w:val="fr-FR"/>
        </w:rPr>
        <w:t>1</w:t>
      </w:r>
      <w:r w:rsidRPr="00D6618F">
        <w:rPr>
          <w:spacing w:val="-4"/>
          <w:lang w:val="fr-FR"/>
        </w:rPr>
        <w:t xml:space="preserve">2 de la </w:t>
      </w:r>
      <w:r w:rsidR="00016CC5">
        <w:rPr>
          <w:spacing w:val="-4"/>
          <w:lang w:val="fr-FR"/>
        </w:rPr>
        <w:t>Convention UPOV</w:t>
      </w:r>
      <w:r w:rsidRPr="00D6618F">
        <w:rPr>
          <w:spacing w:val="-4"/>
          <w:lang w:val="fr-FR"/>
        </w:rPr>
        <w:t xml:space="preserve"> (</w:t>
      </w:r>
      <w:r w:rsidR="00016CC5">
        <w:rPr>
          <w:spacing w:val="-4"/>
          <w:lang w:val="fr-FR"/>
        </w:rPr>
        <w:t>“</w:t>
      </w:r>
      <w:r w:rsidR="00016CC5" w:rsidRPr="00D6618F">
        <w:rPr>
          <w:spacing w:val="-4"/>
          <w:lang w:val="fr-FR"/>
        </w:rPr>
        <w:t>E</w:t>
      </w:r>
      <w:r w:rsidRPr="00D6618F">
        <w:rPr>
          <w:spacing w:val="-4"/>
          <w:lang w:val="fr-FR"/>
        </w:rPr>
        <w:t>xamen de la demand</w:t>
      </w:r>
      <w:r w:rsidR="00016CC5" w:rsidRPr="00D6618F">
        <w:rPr>
          <w:spacing w:val="-4"/>
          <w:lang w:val="fr-FR"/>
        </w:rPr>
        <w:t>e</w:t>
      </w:r>
      <w:r w:rsidR="00016CC5">
        <w:rPr>
          <w:spacing w:val="-4"/>
          <w:lang w:val="fr-FR"/>
        </w:rPr>
        <w:t>”</w:t>
      </w:r>
      <w:r w:rsidRPr="00D6618F">
        <w:rPr>
          <w:spacing w:val="-4"/>
          <w:lang w:val="fr-FR"/>
        </w:rPr>
        <w:t>).</w:t>
      </w:r>
      <w:r w:rsidR="009E390E" w:rsidRPr="00D6618F">
        <w:rPr>
          <w:spacing w:val="-4"/>
          <w:lang w:val="fr-FR"/>
        </w:rPr>
        <w:t xml:space="preserve">  </w:t>
      </w:r>
      <w:r w:rsidR="00543697" w:rsidRPr="00D6618F">
        <w:rPr>
          <w:spacing w:val="-4"/>
          <w:lang w:val="fr-FR"/>
        </w:rPr>
        <w:t>(Note</w:t>
      </w:r>
      <w:r w:rsidR="00016CC5">
        <w:rPr>
          <w:spacing w:val="-4"/>
          <w:lang w:val="fr-FR"/>
        </w:rPr>
        <w:t> :</w:t>
      </w:r>
      <w:r w:rsidR="00637410">
        <w:rPr>
          <w:spacing w:val="-4"/>
          <w:lang w:val="fr-FR"/>
        </w:rPr>
        <w:t> </w:t>
      </w:r>
      <w:r w:rsidR="00136441" w:rsidRPr="00D6618F">
        <w:rPr>
          <w:spacing w:val="-4"/>
          <w:lang w:val="fr-FR"/>
        </w:rPr>
        <w:t>L</w:t>
      </w:r>
      <w:r w:rsidR="00016CC5">
        <w:rPr>
          <w:spacing w:val="-4"/>
          <w:lang w:val="fr-FR"/>
        </w:rPr>
        <w:t>’</w:t>
      </w:r>
      <w:r w:rsidR="00136441" w:rsidRPr="00D6618F">
        <w:rPr>
          <w:spacing w:val="-4"/>
          <w:lang w:val="fr-FR"/>
        </w:rPr>
        <w:t xml:space="preserve">UPOV </w:t>
      </w:r>
      <w:r w:rsidR="00543697" w:rsidRPr="00D6618F">
        <w:rPr>
          <w:spacing w:val="-4"/>
          <w:lang w:val="fr-FR"/>
        </w:rPr>
        <w:t>donne des orientations</w:t>
      </w:r>
      <w:r w:rsidR="00136441" w:rsidRPr="00D6618F">
        <w:rPr>
          <w:spacing w:val="-4"/>
          <w:lang w:val="fr-FR"/>
        </w:rPr>
        <w:t xml:space="preserve"> sur la coopération en matière d</w:t>
      </w:r>
      <w:r w:rsidR="00016CC5">
        <w:rPr>
          <w:spacing w:val="-4"/>
          <w:lang w:val="fr-FR"/>
        </w:rPr>
        <w:t>’</w:t>
      </w:r>
      <w:r w:rsidR="00136441" w:rsidRPr="00D6618F">
        <w:rPr>
          <w:spacing w:val="-4"/>
          <w:lang w:val="fr-FR"/>
        </w:rPr>
        <w:t>examen</w:t>
      </w:r>
      <w:r w:rsidR="00A27AC6">
        <w:rPr>
          <w:spacing w:val="-4"/>
          <w:lang w:val="fr-FR"/>
        </w:rPr>
        <w:t> </w:t>
      </w:r>
      <w:r w:rsidR="00136441" w:rsidRPr="00D6618F">
        <w:rPr>
          <w:spacing w:val="-4"/>
          <w:lang w:val="fr-FR"/>
        </w:rPr>
        <w:t xml:space="preserve">DHS dans le document TGP/5, </w:t>
      </w:r>
      <w:r w:rsidR="00016CC5" w:rsidRPr="00D6618F">
        <w:rPr>
          <w:spacing w:val="-4"/>
          <w:lang w:val="fr-FR"/>
        </w:rPr>
        <w:t>section</w:t>
      </w:r>
      <w:r w:rsidR="00016CC5">
        <w:rPr>
          <w:spacing w:val="-4"/>
          <w:lang w:val="fr-FR"/>
        </w:rPr>
        <w:t> </w:t>
      </w:r>
      <w:r w:rsidR="00016CC5" w:rsidRPr="00D6618F">
        <w:rPr>
          <w:spacing w:val="-4"/>
          <w:lang w:val="fr-FR"/>
        </w:rPr>
        <w:t>1</w:t>
      </w:r>
      <w:r w:rsidR="00136441" w:rsidRPr="00D6618F">
        <w:rPr>
          <w:spacing w:val="-4"/>
          <w:lang w:val="fr-FR"/>
        </w:rPr>
        <w:t xml:space="preserve"> </w:t>
      </w:r>
      <w:r w:rsidR="00016CC5">
        <w:rPr>
          <w:spacing w:val="-4"/>
          <w:lang w:val="fr-FR"/>
        </w:rPr>
        <w:t>“</w:t>
      </w:r>
      <w:r w:rsidR="00016CC5" w:rsidRPr="00D6618F">
        <w:rPr>
          <w:spacing w:val="-4"/>
          <w:lang w:val="fr-FR"/>
        </w:rPr>
        <w:t>A</w:t>
      </w:r>
      <w:r w:rsidR="00136441" w:rsidRPr="00D6618F">
        <w:rPr>
          <w:spacing w:val="-4"/>
          <w:lang w:val="fr-FR"/>
        </w:rPr>
        <w:t>ccord administratif type pour la coopération internationale en matière d</w:t>
      </w:r>
      <w:r w:rsidR="00016CC5">
        <w:rPr>
          <w:spacing w:val="-4"/>
          <w:lang w:val="fr-FR"/>
        </w:rPr>
        <w:t>’</w:t>
      </w:r>
      <w:r w:rsidR="00136441" w:rsidRPr="00D6618F">
        <w:rPr>
          <w:spacing w:val="-4"/>
          <w:lang w:val="fr-FR"/>
        </w:rPr>
        <w:t>examen des variété</w:t>
      </w:r>
      <w:r w:rsidR="00016CC5" w:rsidRPr="00D6618F">
        <w:rPr>
          <w:spacing w:val="-4"/>
          <w:lang w:val="fr-FR"/>
        </w:rPr>
        <w:t>s</w:t>
      </w:r>
      <w:r w:rsidR="00016CC5">
        <w:rPr>
          <w:spacing w:val="-4"/>
          <w:lang w:val="fr-FR"/>
        </w:rPr>
        <w:t>”</w:t>
      </w:r>
      <w:r w:rsidR="00136441" w:rsidRPr="00D6618F">
        <w:rPr>
          <w:spacing w:val="-4"/>
          <w:lang w:val="fr-FR"/>
        </w:rPr>
        <w:t xml:space="preserve"> et </w:t>
      </w:r>
      <w:r w:rsidR="00016CC5" w:rsidRPr="00D6618F">
        <w:rPr>
          <w:spacing w:val="-4"/>
          <w:lang w:val="fr-FR"/>
        </w:rPr>
        <w:t>section</w:t>
      </w:r>
      <w:r w:rsidR="00016CC5">
        <w:rPr>
          <w:spacing w:val="-4"/>
          <w:lang w:val="fr-FR"/>
        </w:rPr>
        <w:t> </w:t>
      </w:r>
      <w:r w:rsidR="00016CC5" w:rsidRPr="00D6618F">
        <w:rPr>
          <w:spacing w:val="-4"/>
          <w:lang w:val="fr-FR"/>
        </w:rPr>
        <w:t>5</w:t>
      </w:r>
      <w:r w:rsidR="00136441" w:rsidRPr="00D6618F">
        <w:rPr>
          <w:spacing w:val="-4"/>
          <w:lang w:val="fr-FR"/>
        </w:rPr>
        <w:t xml:space="preserve"> </w:t>
      </w:r>
      <w:r w:rsidR="00016CC5">
        <w:rPr>
          <w:spacing w:val="-4"/>
          <w:lang w:val="fr-FR"/>
        </w:rPr>
        <w:t>“</w:t>
      </w:r>
      <w:r w:rsidR="00016CC5" w:rsidRPr="00D6618F">
        <w:rPr>
          <w:spacing w:val="-4"/>
          <w:lang w:val="fr-FR"/>
        </w:rPr>
        <w:t>D</w:t>
      </w:r>
      <w:r w:rsidR="00136441" w:rsidRPr="00D6618F">
        <w:rPr>
          <w:spacing w:val="-4"/>
          <w:lang w:val="fr-FR"/>
        </w:rPr>
        <w:t>emande UPOV de résultats d</w:t>
      </w:r>
      <w:r w:rsidR="00016CC5">
        <w:rPr>
          <w:spacing w:val="-4"/>
          <w:lang w:val="fr-FR"/>
        </w:rPr>
        <w:t>’</w:t>
      </w:r>
      <w:r w:rsidR="00136441" w:rsidRPr="00D6618F">
        <w:rPr>
          <w:spacing w:val="-4"/>
          <w:lang w:val="fr-FR"/>
        </w:rPr>
        <w:t>examen et Réponse à la demande UPOV de résultats d</w:t>
      </w:r>
      <w:r w:rsidR="00016CC5">
        <w:rPr>
          <w:spacing w:val="-4"/>
          <w:lang w:val="fr-FR"/>
        </w:rPr>
        <w:t>’</w:t>
      </w:r>
      <w:r w:rsidR="00136441" w:rsidRPr="00D6618F">
        <w:rPr>
          <w:spacing w:val="-4"/>
          <w:lang w:val="fr-FR"/>
        </w:rPr>
        <w:t>exame</w:t>
      </w:r>
      <w:r w:rsidR="00016CC5" w:rsidRPr="00D6618F">
        <w:rPr>
          <w:spacing w:val="-4"/>
          <w:lang w:val="fr-FR"/>
        </w:rPr>
        <w:t>n</w:t>
      </w:r>
      <w:r w:rsidR="00016CC5">
        <w:rPr>
          <w:spacing w:val="-4"/>
          <w:lang w:val="fr-FR"/>
        </w:rPr>
        <w:t>”</w:t>
      </w:r>
      <w:r w:rsidR="00136441" w:rsidRPr="00D6618F">
        <w:rPr>
          <w:spacing w:val="-4"/>
          <w:lang w:val="fr-FR"/>
        </w:rPr>
        <w:t>.</w:t>
      </w:r>
      <w:r w:rsidR="0004140E" w:rsidRPr="006F4057">
        <w:rPr>
          <w:spacing w:val="-4"/>
          <w:lang w:val="fr-FR"/>
        </w:rPr>
        <w:t xml:space="preserve">  </w:t>
      </w:r>
      <w:r w:rsidR="00543697" w:rsidRPr="00D6618F">
        <w:rPr>
          <w:lang w:val="fr-FR"/>
        </w:rPr>
        <w:t>Cependant</w:t>
      </w:r>
      <w:r w:rsidR="004D14E7" w:rsidRPr="00D6618F">
        <w:rPr>
          <w:lang w:val="fr-FR"/>
        </w:rPr>
        <w:t xml:space="preserve">, ces orientations ne sont pas </w:t>
      </w:r>
      <w:r w:rsidR="00543697" w:rsidRPr="00D6618F">
        <w:rPr>
          <w:lang w:val="fr-FR"/>
        </w:rPr>
        <w:t>applicables à tous les cas de figure</w:t>
      </w:r>
      <w:r w:rsidR="004D14E7" w:rsidRPr="00D6618F">
        <w:rPr>
          <w:lang w:val="fr-FR"/>
        </w:rPr>
        <w:t>, elle</w:t>
      </w:r>
      <w:r w:rsidR="005C3E59">
        <w:rPr>
          <w:lang w:val="fr-FR"/>
        </w:rPr>
        <w:t>s</w:t>
      </w:r>
      <w:r w:rsidR="004D14E7" w:rsidRPr="00D6618F">
        <w:rPr>
          <w:lang w:val="fr-FR"/>
        </w:rPr>
        <w:t xml:space="preserve"> ne sont pas aisément </w:t>
      </w:r>
      <w:r w:rsidR="004D14E7" w:rsidRPr="005C3E59">
        <w:rPr>
          <w:lang w:val="fr-FR"/>
        </w:rPr>
        <w:t>accessibles aux non</w:t>
      </w:r>
      <w:r w:rsidR="00016CC5">
        <w:rPr>
          <w:lang w:val="fr-FR"/>
        </w:rPr>
        <w:t>-</w:t>
      </w:r>
      <w:r w:rsidR="004D14E7" w:rsidRPr="005C3E59">
        <w:rPr>
          <w:lang w:val="fr-FR"/>
        </w:rPr>
        <w:t>initiés</w:t>
      </w:r>
      <w:r w:rsidR="004D14E7" w:rsidRPr="00D6618F">
        <w:rPr>
          <w:lang w:val="fr-FR"/>
        </w:rPr>
        <w:t xml:space="preserve"> et ne figurent pas dans le document UPOV/INF/6 </w:t>
      </w:r>
      <w:r w:rsidR="00016CC5">
        <w:rPr>
          <w:lang w:val="fr-FR"/>
        </w:rPr>
        <w:t>“</w:t>
      </w:r>
      <w:r w:rsidR="00016CC5" w:rsidRPr="00D6618F">
        <w:rPr>
          <w:lang w:val="fr-FR"/>
        </w:rPr>
        <w:t>O</w:t>
      </w:r>
      <w:r w:rsidR="004D14E7" w:rsidRPr="00D6618F">
        <w:rPr>
          <w:lang w:val="fr-FR"/>
        </w:rPr>
        <w:t>rientations en vue de la rédaction de lois fondées sur l</w:t>
      </w:r>
      <w:r w:rsidR="00016CC5">
        <w:rPr>
          <w:lang w:val="fr-FR"/>
        </w:rPr>
        <w:t>’</w:t>
      </w:r>
      <w:r w:rsidR="004D14E7" w:rsidRPr="00D6618F">
        <w:rPr>
          <w:lang w:val="fr-FR"/>
        </w:rPr>
        <w:t xml:space="preserve">Acte </w:t>
      </w:r>
      <w:r w:rsidR="00016CC5" w:rsidRPr="00D6618F">
        <w:rPr>
          <w:lang w:val="fr-FR"/>
        </w:rPr>
        <w:t>de</w:t>
      </w:r>
      <w:r w:rsidR="00016CC5">
        <w:rPr>
          <w:lang w:val="fr-FR"/>
        </w:rPr>
        <w:t> </w:t>
      </w:r>
      <w:r w:rsidR="00016CC5" w:rsidRPr="00D6618F">
        <w:rPr>
          <w:lang w:val="fr-FR"/>
        </w:rPr>
        <w:t>1991</w:t>
      </w:r>
      <w:r w:rsidR="004D14E7" w:rsidRPr="00D6618F">
        <w:rPr>
          <w:lang w:val="fr-FR"/>
        </w:rPr>
        <w:t xml:space="preserve"> de la </w:t>
      </w:r>
      <w:r w:rsidR="00016CC5">
        <w:rPr>
          <w:lang w:val="fr-FR"/>
        </w:rPr>
        <w:t>Convention UPOV”</w:t>
      </w:r>
      <w:r w:rsidR="004D14E7" w:rsidRPr="00D6618F">
        <w:rPr>
          <w:lang w:val="fr-FR"/>
        </w:rPr>
        <w:t>.</w:t>
      </w:r>
      <w:r w:rsidR="0004140E" w:rsidRPr="00D6618F">
        <w:rPr>
          <w:lang w:val="fr-FR"/>
        </w:rPr>
        <w:t xml:space="preserve">  </w:t>
      </w:r>
      <w:r w:rsidR="004D14E7" w:rsidRPr="00D6618F">
        <w:rPr>
          <w:lang w:val="fr-FR"/>
        </w:rPr>
        <w:t>Par conséquent, il est proposé d</w:t>
      </w:r>
      <w:r w:rsidR="00016CC5">
        <w:rPr>
          <w:lang w:val="fr-FR"/>
        </w:rPr>
        <w:t>’</w:t>
      </w:r>
      <w:r w:rsidR="004D14E7" w:rsidRPr="00D6618F">
        <w:rPr>
          <w:lang w:val="fr-FR"/>
        </w:rPr>
        <w:t>élaborer un ensemble cohérent d</w:t>
      </w:r>
      <w:r w:rsidR="00016CC5">
        <w:rPr>
          <w:lang w:val="fr-FR"/>
        </w:rPr>
        <w:t>’</w:t>
      </w:r>
      <w:r w:rsidR="004D14E7" w:rsidRPr="00D6618F">
        <w:rPr>
          <w:lang w:val="fr-FR"/>
        </w:rPr>
        <w:t>orientations et d</w:t>
      </w:r>
      <w:r w:rsidR="00016CC5">
        <w:rPr>
          <w:lang w:val="fr-FR"/>
        </w:rPr>
        <w:t>’</w:t>
      </w:r>
      <w:r w:rsidR="004D14E7" w:rsidRPr="00D6618F">
        <w:rPr>
          <w:lang w:val="fr-FR"/>
        </w:rPr>
        <w:t>accords types concernant la coopération en matière d</w:t>
      </w:r>
      <w:r w:rsidR="00016CC5">
        <w:rPr>
          <w:lang w:val="fr-FR"/>
        </w:rPr>
        <w:t>’</w:t>
      </w:r>
      <w:r w:rsidR="004D14E7" w:rsidRPr="00D6618F">
        <w:rPr>
          <w:lang w:val="fr-FR"/>
        </w:rPr>
        <w:t>examen</w:t>
      </w:r>
      <w:r w:rsidR="00A27AC6">
        <w:rPr>
          <w:lang w:val="fr-FR"/>
        </w:rPr>
        <w:t> </w:t>
      </w:r>
      <w:r w:rsidR="004D14E7" w:rsidRPr="00D6618F">
        <w:rPr>
          <w:lang w:val="fr-FR"/>
        </w:rPr>
        <w:t xml:space="preserve">DHS </w:t>
      </w:r>
      <w:r w:rsidR="00543697" w:rsidRPr="00D6618F">
        <w:rPr>
          <w:lang w:val="fr-FR"/>
        </w:rPr>
        <w:t>pour les</w:t>
      </w:r>
      <w:r w:rsidR="004D14E7" w:rsidRPr="00D6618F">
        <w:rPr>
          <w:lang w:val="fr-FR"/>
        </w:rPr>
        <w:t xml:space="preserve"> différents cas de figure dans le cadre de la rédaction des notes explicatives </w:t>
      </w:r>
      <w:r w:rsidR="00543697" w:rsidRPr="00D6618F">
        <w:rPr>
          <w:lang w:val="fr-FR"/>
        </w:rPr>
        <w:t>relatives</w:t>
      </w:r>
      <w:r w:rsidR="004D14E7" w:rsidRPr="00D6618F">
        <w:rPr>
          <w:lang w:val="fr-FR"/>
        </w:rPr>
        <w:t xml:space="preserve"> à l</w:t>
      </w:r>
      <w:r w:rsidR="00016CC5">
        <w:rPr>
          <w:lang w:val="fr-FR"/>
        </w:rPr>
        <w:t>’</w:t>
      </w:r>
      <w:r w:rsidR="00016CC5" w:rsidRPr="00D6618F">
        <w:rPr>
          <w:lang w:val="fr-FR"/>
        </w:rPr>
        <w:t>article</w:t>
      </w:r>
      <w:r w:rsidR="00016CC5">
        <w:rPr>
          <w:lang w:val="fr-FR"/>
        </w:rPr>
        <w:t> </w:t>
      </w:r>
      <w:r w:rsidR="00016CC5" w:rsidRPr="00D6618F">
        <w:rPr>
          <w:lang w:val="fr-FR"/>
        </w:rPr>
        <w:t>1</w:t>
      </w:r>
      <w:r w:rsidR="004D14E7" w:rsidRPr="00D6618F">
        <w:rPr>
          <w:lang w:val="fr-FR"/>
        </w:rPr>
        <w:t>2 de l</w:t>
      </w:r>
      <w:r w:rsidR="00016CC5">
        <w:rPr>
          <w:lang w:val="fr-FR"/>
        </w:rPr>
        <w:t>’</w:t>
      </w:r>
      <w:r w:rsidR="004D14E7" w:rsidRPr="00D6618F">
        <w:rPr>
          <w:lang w:val="fr-FR"/>
        </w:rPr>
        <w:t xml:space="preserve">Acte </w:t>
      </w:r>
      <w:r w:rsidR="00016CC5" w:rsidRPr="00D6618F">
        <w:rPr>
          <w:lang w:val="fr-FR"/>
        </w:rPr>
        <w:t>de</w:t>
      </w:r>
      <w:r w:rsidR="00016CC5">
        <w:rPr>
          <w:lang w:val="fr-FR"/>
        </w:rPr>
        <w:t> </w:t>
      </w:r>
      <w:r w:rsidR="00016CC5" w:rsidRPr="00D6618F">
        <w:rPr>
          <w:lang w:val="fr-FR"/>
        </w:rPr>
        <w:t>1991</w:t>
      </w:r>
      <w:r w:rsidR="004D14E7" w:rsidRPr="00D6618F">
        <w:rPr>
          <w:lang w:val="fr-FR"/>
        </w:rPr>
        <w:t xml:space="preserve"> de la </w:t>
      </w:r>
      <w:r w:rsidR="00016CC5">
        <w:rPr>
          <w:lang w:val="fr-FR"/>
        </w:rPr>
        <w:t>Convention UPOV</w:t>
      </w:r>
      <w:r w:rsidR="004D14E7" w:rsidRPr="00D6618F">
        <w:rPr>
          <w:lang w:val="fr-FR"/>
        </w:rPr>
        <w:t>.)</w:t>
      </w:r>
    </w:p>
    <w:p w:rsidR="00BB6E2B" w:rsidRPr="00D6618F" w:rsidRDefault="00BB6E2B" w:rsidP="00291C08">
      <w:pPr>
        <w:tabs>
          <w:tab w:val="left" w:pos="1134"/>
        </w:tabs>
        <w:rPr>
          <w:spacing w:val="-4"/>
          <w:lang w:val="fr-FR"/>
        </w:rPr>
      </w:pPr>
    </w:p>
    <w:p w:rsidR="00BB6E2B" w:rsidRPr="00D6618F" w:rsidRDefault="00624A2F" w:rsidP="004D14E7">
      <w:pPr>
        <w:tabs>
          <w:tab w:val="left" w:pos="567"/>
        </w:tabs>
        <w:rPr>
          <w:spacing w:val="-4"/>
          <w:lang w:val="fr-FR"/>
        </w:rPr>
      </w:pPr>
      <w:r w:rsidRPr="00D6618F">
        <w:rPr>
          <w:spacing w:val="-4"/>
          <w:lang w:val="fr-FR"/>
        </w:rPr>
        <w:fldChar w:fldCharType="begin"/>
      </w:r>
      <w:r w:rsidRPr="00D6618F">
        <w:rPr>
          <w:spacing w:val="-4"/>
          <w:lang w:val="fr-FR"/>
        </w:rPr>
        <w:instrText xml:space="preserve"> AUTONUM  </w:instrText>
      </w:r>
      <w:r w:rsidRPr="00D6618F">
        <w:rPr>
          <w:spacing w:val="-4"/>
          <w:lang w:val="fr-FR"/>
        </w:rPr>
        <w:fldChar w:fldCharType="end"/>
      </w:r>
      <w:r w:rsidRPr="00D6618F">
        <w:rPr>
          <w:spacing w:val="-4"/>
          <w:lang w:val="fr-FR"/>
        </w:rPr>
        <w:tab/>
      </w:r>
      <w:r w:rsidR="00543697" w:rsidRPr="00D6618F">
        <w:rPr>
          <w:spacing w:val="-4"/>
          <w:lang w:val="fr-FR"/>
        </w:rPr>
        <w:t>Avant de propos</w:t>
      </w:r>
      <w:r w:rsidR="004D14E7" w:rsidRPr="00D6618F">
        <w:rPr>
          <w:spacing w:val="-4"/>
          <w:lang w:val="fr-FR"/>
        </w:rPr>
        <w:t>er des mesures pour surmonter l</w:t>
      </w:r>
      <w:r w:rsidR="00016CC5">
        <w:rPr>
          <w:spacing w:val="-4"/>
          <w:lang w:val="fr-FR"/>
        </w:rPr>
        <w:t>’</w:t>
      </w:r>
      <w:r w:rsidR="004D14E7" w:rsidRPr="00D6618F">
        <w:rPr>
          <w:spacing w:val="-4"/>
          <w:lang w:val="fr-FR"/>
        </w:rPr>
        <w:t xml:space="preserve">obstacle politique ou juridique iv) </w:t>
      </w:r>
      <w:r w:rsidR="005C3E59" w:rsidRPr="00016CC5">
        <w:rPr>
          <w:spacing w:val="-4"/>
          <w:lang w:val="fr-CH"/>
        </w:rPr>
        <w:t>“</w:t>
      </w:r>
      <w:r w:rsidR="004D14E7" w:rsidRPr="00D6618F">
        <w:rPr>
          <w:spacing w:val="-4"/>
          <w:lang w:val="fr-FR"/>
        </w:rPr>
        <w:t>volonté (ou non) des obtenteurs d</w:t>
      </w:r>
      <w:r w:rsidR="00016CC5">
        <w:rPr>
          <w:spacing w:val="-4"/>
          <w:lang w:val="fr-FR"/>
        </w:rPr>
        <w:t>’</w:t>
      </w:r>
      <w:r w:rsidR="004D14E7" w:rsidRPr="00D6618F">
        <w:rPr>
          <w:spacing w:val="-4"/>
          <w:lang w:val="fr-FR"/>
        </w:rPr>
        <w:t>utiliser les rapports d</w:t>
      </w:r>
      <w:r w:rsidR="00016CC5">
        <w:rPr>
          <w:spacing w:val="-4"/>
          <w:lang w:val="fr-FR"/>
        </w:rPr>
        <w:t>’</w:t>
      </w:r>
      <w:r w:rsidR="004D14E7" w:rsidRPr="00D6618F">
        <w:rPr>
          <w:spacing w:val="-4"/>
          <w:lang w:val="fr-FR"/>
        </w:rPr>
        <w:t>examen</w:t>
      </w:r>
      <w:r w:rsidR="00A27AC6">
        <w:rPr>
          <w:spacing w:val="-4"/>
          <w:lang w:val="fr-FR"/>
        </w:rPr>
        <w:t> </w:t>
      </w:r>
      <w:r w:rsidR="004D14E7" w:rsidRPr="00D6618F">
        <w:rPr>
          <w:spacing w:val="-4"/>
          <w:lang w:val="fr-FR"/>
        </w:rPr>
        <w:t>DHS existant</w:t>
      </w:r>
      <w:r w:rsidR="00016CC5" w:rsidRPr="00D6618F">
        <w:rPr>
          <w:spacing w:val="-4"/>
          <w:lang w:val="fr-FR"/>
        </w:rPr>
        <w:t>s</w:t>
      </w:r>
      <w:r w:rsidR="00016CC5">
        <w:rPr>
          <w:spacing w:val="-4"/>
          <w:lang w:val="fr-FR"/>
        </w:rPr>
        <w:t>”</w:t>
      </w:r>
      <w:r w:rsidR="004D14E7" w:rsidRPr="00D6618F">
        <w:rPr>
          <w:spacing w:val="-4"/>
          <w:lang w:val="fr-FR"/>
        </w:rPr>
        <w:t>, il serait utile de clarifier les questions qui se pose</w:t>
      </w:r>
      <w:r w:rsidR="006F4057" w:rsidRPr="00D6618F">
        <w:rPr>
          <w:spacing w:val="-4"/>
          <w:lang w:val="fr-FR"/>
        </w:rPr>
        <w:t>nt</w:t>
      </w:r>
      <w:r w:rsidR="006F4057">
        <w:rPr>
          <w:spacing w:val="-4"/>
          <w:lang w:val="fr-FR"/>
        </w:rPr>
        <w:t xml:space="preserve">.  </w:t>
      </w:r>
      <w:r w:rsidR="006F4057" w:rsidRPr="00D6618F">
        <w:rPr>
          <w:spacing w:val="-4"/>
          <w:lang w:val="fr-FR"/>
        </w:rPr>
        <w:t>Au</w:t>
      </w:r>
      <w:r w:rsidR="004D14E7" w:rsidRPr="00D6618F">
        <w:rPr>
          <w:spacing w:val="-4"/>
          <w:lang w:val="fr-FR"/>
        </w:rPr>
        <w:t>ssi est</w:t>
      </w:r>
      <w:r w:rsidR="00016CC5">
        <w:rPr>
          <w:spacing w:val="-4"/>
          <w:lang w:val="fr-FR"/>
        </w:rPr>
        <w:t>-</w:t>
      </w:r>
      <w:r w:rsidR="004D14E7" w:rsidRPr="00D6618F">
        <w:rPr>
          <w:spacing w:val="-4"/>
          <w:lang w:val="fr-FR"/>
        </w:rPr>
        <w:t>il proposé de demander aux organisations d</w:t>
      </w:r>
      <w:r w:rsidR="00016CC5">
        <w:rPr>
          <w:spacing w:val="-4"/>
          <w:lang w:val="fr-FR"/>
        </w:rPr>
        <w:t>’</w:t>
      </w:r>
      <w:r w:rsidR="004D14E7" w:rsidRPr="00D6618F">
        <w:rPr>
          <w:spacing w:val="-4"/>
          <w:lang w:val="fr-FR"/>
        </w:rPr>
        <w:t>obtenteurs d</w:t>
      </w:r>
      <w:r w:rsidR="00016CC5">
        <w:rPr>
          <w:spacing w:val="-4"/>
          <w:lang w:val="fr-FR"/>
        </w:rPr>
        <w:t>’</w:t>
      </w:r>
      <w:r w:rsidR="004D14E7" w:rsidRPr="00D6618F">
        <w:rPr>
          <w:spacing w:val="-4"/>
          <w:lang w:val="fr-FR"/>
        </w:rPr>
        <w:t>apporter des précisions sur les questions que pose la volonté des obtenteurs d</w:t>
      </w:r>
      <w:r w:rsidR="00016CC5">
        <w:rPr>
          <w:spacing w:val="-4"/>
          <w:lang w:val="fr-FR"/>
        </w:rPr>
        <w:t>’</w:t>
      </w:r>
      <w:r w:rsidR="004D14E7" w:rsidRPr="00D6618F">
        <w:rPr>
          <w:spacing w:val="-4"/>
          <w:lang w:val="fr-FR"/>
        </w:rPr>
        <w:t>utiliser, ou de ne pas utiliser, les rapports DHS existants.</w:t>
      </w:r>
    </w:p>
    <w:p w:rsidR="00BB6E2B" w:rsidRPr="00D6618F" w:rsidRDefault="00BB6E2B" w:rsidP="00624A2F">
      <w:pPr>
        <w:tabs>
          <w:tab w:val="left" w:pos="567"/>
        </w:tabs>
        <w:rPr>
          <w:spacing w:val="-4"/>
          <w:lang w:val="fr-FR"/>
        </w:rPr>
      </w:pPr>
    </w:p>
    <w:p w:rsidR="005C3E59" w:rsidRPr="005C3E59" w:rsidRDefault="00322091" w:rsidP="00637410">
      <w:pPr>
        <w:keepNext/>
        <w:keepLines/>
        <w:tabs>
          <w:tab w:val="left" w:pos="5387"/>
          <w:tab w:val="left" w:pos="5954"/>
        </w:tabs>
        <w:ind w:left="4820"/>
        <w:rPr>
          <w:i/>
          <w:snapToGrid w:val="0"/>
          <w:lang w:val="fr-FR"/>
        </w:rPr>
      </w:pPr>
      <w:r w:rsidRPr="00F04E31">
        <w:rPr>
          <w:i/>
          <w:snapToGrid w:val="0"/>
          <w:lang w:val="fr-FR"/>
        </w:rPr>
        <w:lastRenderedPageBreak/>
        <w:fldChar w:fldCharType="begin"/>
      </w:r>
      <w:r w:rsidRPr="00F04E31">
        <w:rPr>
          <w:i/>
          <w:snapToGrid w:val="0"/>
          <w:lang w:val="fr-FR"/>
        </w:rPr>
        <w:instrText xml:space="preserve"> AUTONUM  </w:instrText>
      </w:r>
      <w:r w:rsidRPr="00F04E31">
        <w:rPr>
          <w:i/>
          <w:snapToGrid w:val="0"/>
          <w:lang w:val="fr-FR"/>
        </w:rPr>
        <w:fldChar w:fldCharType="end"/>
      </w:r>
      <w:r w:rsidRPr="00F04E31">
        <w:rPr>
          <w:i/>
          <w:snapToGrid w:val="0"/>
          <w:lang w:val="fr-FR"/>
        </w:rPr>
        <w:tab/>
      </w:r>
      <w:r w:rsidR="005C3E59" w:rsidRPr="00F04E31">
        <w:rPr>
          <w:i/>
          <w:snapToGrid w:val="0"/>
          <w:lang w:val="fr-FR"/>
        </w:rPr>
        <w:t>Le CAJ est invité à examiner les mesures ci</w:t>
      </w:r>
      <w:r w:rsidR="006264EF">
        <w:rPr>
          <w:i/>
          <w:snapToGrid w:val="0"/>
          <w:lang w:val="fr-FR"/>
        </w:rPr>
        <w:noBreakHyphen/>
      </w:r>
      <w:r w:rsidR="005C3E59" w:rsidRPr="005C3E59">
        <w:rPr>
          <w:i/>
          <w:snapToGrid w:val="0"/>
          <w:lang w:val="fr-FR"/>
        </w:rPr>
        <w:t>après pour lever les obstacles politiques ou juridiques que le</w:t>
      </w:r>
      <w:r w:rsidR="00016CC5">
        <w:rPr>
          <w:i/>
          <w:snapToGrid w:val="0"/>
          <w:lang w:val="fr-FR"/>
        </w:rPr>
        <w:t> TC</w:t>
      </w:r>
      <w:r w:rsidR="005C3E59" w:rsidRPr="005C3E59">
        <w:rPr>
          <w:i/>
          <w:snapToGrid w:val="0"/>
          <w:lang w:val="fr-FR"/>
        </w:rPr>
        <w:t xml:space="preserve"> a identifiés comme entravant la coopération internationale en matière d</w:t>
      </w:r>
      <w:r w:rsidR="00016CC5">
        <w:rPr>
          <w:i/>
          <w:snapToGrid w:val="0"/>
          <w:lang w:val="fr-FR"/>
        </w:rPr>
        <w:t>’</w:t>
      </w:r>
      <w:r w:rsidR="005C3E59" w:rsidRPr="005C3E59">
        <w:rPr>
          <w:i/>
          <w:snapToGrid w:val="0"/>
          <w:lang w:val="fr-FR"/>
        </w:rPr>
        <w:t>examen</w:t>
      </w:r>
      <w:r w:rsidR="00A27AC6">
        <w:rPr>
          <w:i/>
          <w:snapToGrid w:val="0"/>
          <w:lang w:val="fr-FR"/>
        </w:rPr>
        <w:t> </w:t>
      </w:r>
      <w:r w:rsidR="005C3E59" w:rsidRPr="005C3E59">
        <w:rPr>
          <w:i/>
          <w:snapToGrid w:val="0"/>
          <w:lang w:val="fr-FR"/>
        </w:rPr>
        <w:t>DHS</w:t>
      </w:r>
      <w:r w:rsidR="00016CC5">
        <w:rPr>
          <w:i/>
          <w:snapToGrid w:val="0"/>
          <w:lang w:val="fr-FR"/>
        </w:rPr>
        <w:t> :</w:t>
      </w:r>
    </w:p>
    <w:p w:rsidR="00637410" w:rsidRPr="006264EF" w:rsidRDefault="00637410" w:rsidP="00637410">
      <w:pPr>
        <w:keepNext/>
        <w:keepLines/>
        <w:tabs>
          <w:tab w:val="left" w:pos="5387"/>
          <w:tab w:val="left" w:pos="5954"/>
        </w:tabs>
        <w:ind w:left="4820"/>
        <w:rPr>
          <w:i/>
          <w:spacing w:val="-4"/>
          <w:lang w:val="fr-CH"/>
        </w:rPr>
      </w:pPr>
    </w:p>
    <w:p w:rsidR="005C3E59" w:rsidRPr="005C3E59" w:rsidRDefault="00637410" w:rsidP="006264EF">
      <w:pPr>
        <w:pStyle w:val="ListParagraph"/>
        <w:keepNext/>
        <w:keepLines/>
        <w:tabs>
          <w:tab w:val="left" w:pos="5400"/>
          <w:tab w:val="left" w:pos="5940"/>
        </w:tabs>
        <w:ind w:left="4820"/>
        <w:jc w:val="both"/>
        <w:rPr>
          <w:i/>
          <w:snapToGrid w:val="0"/>
          <w:lang w:val="fr-FR"/>
        </w:rPr>
      </w:pPr>
      <w:r>
        <w:rPr>
          <w:i/>
          <w:snapToGrid w:val="0"/>
          <w:lang w:val="fr-FR"/>
        </w:rPr>
        <w:tab/>
      </w:r>
      <w:r w:rsidR="005C3E59" w:rsidRPr="005C3E59">
        <w:rPr>
          <w:i/>
          <w:snapToGrid w:val="0"/>
          <w:lang w:val="fr-FR"/>
        </w:rPr>
        <w:t>a)</w:t>
      </w:r>
      <w:r w:rsidR="005C3E59" w:rsidRPr="005C3E59">
        <w:rPr>
          <w:i/>
          <w:snapToGrid w:val="0"/>
          <w:lang w:val="fr-FR"/>
        </w:rPr>
        <w:tab/>
        <w:t>enquêter auprès des membres de l</w:t>
      </w:r>
      <w:r w:rsidR="00016CC5">
        <w:rPr>
          <w:i/>
          <w:snapToGrid w:val="0"/>
          <w:lang w:val="fr-FR"/>
        </w:rPr>
        <w:t>’</w:t>
      </w:r>
      <w:r w:rsidR="005C3E59" w:rsidRPr="005C3E59">
        <w:rPr>
          <w:i/>
          <w:snapToGrid w:val="0"/>
          <w:lang w:val="fr-FR"/>
        </w:rPr>
        <w:t>Union afin d</w:t>
      </w:r>
      <w:r w:rsidR="00016CC5">
        <w:rPr>
          <w:i/>
          <w:snapToGrid w:val="0"/>
          <w:lang w:val="fr-FR"/>
        </w:rPr>
        <w:t>’</w:t>
      </w:r>
      <w:r w:rsidR="005C3E59" w:rsidRPr="005C3E59">
        <w:rPr>
          <w:i/>
          <w:snapToGrid w:val="0"/>
          <w:lang w:val="fr-FR"/>
        </w:rPr>
        <w:t>obtenir des informations sur leurs politiques ou obstacles juridiques susceptibles d</w:t>
      </w:r>
      <w:r w:rsidR="00016CC5">
        <w:rPr>
          <w:i/>
          <w:snapToGrid w:val="0"/>
          <w:lang w:val="fr-FR"/>
        </w:rPr>
        <w:t>’</w:t>
      </w:r>
      <w:r w:rsidR="005C3E59" w:rsidRPr="005C3E59">
        <w:rPr>
          <w:i/>
          <w:snapToGrid w:val="0"/>
          <w:lang w:val="fr-FR"/>
        </w:rPr>
        <w:t>empêcher la coopération internationale en matière d</w:t>
      </w:r>
      <w:r w:rsidR="00016CC5">
        <w:rPr>
          <w:i/>
          <w:snapToGrid w:val="0"/>
          <w:lang w:val="fr-FR"/>
        </w:rPr>
        <w:t>’</w:t>
      </w:r>
      <w:r w:rsidR="005C3E59" w:rsidRPr="005C3E59">
        <w:rPr>
          <w:i/>
          <w:snapToGrid w:val="0"/>
          <w:lang w:val="fr-FR"/>
        </w:rPr>
        <w:t>examen</w:t>
      </w:r>
      <w:r w:rsidR="00A27AC6">
        <w:rPr>
          <w:i/>
          <w:snapToGrid w:val="0"/>
          <w:lang w:val="fr-FR"/>
        </w:rPr>
        <w:t> </w:t>
      </w:r>
      <w:r w:rsidR="005C3E59" w:rsidRPr="005C3E59">
        <w:rPr>
          <w:i/>
          <w:snapToGrid w:val="0"/>
          <w:lang w:val="fr-FR"/>
        </w:rPr>
        <w:t>DHS;</w:t>
      </w:r>
    </w:p>
    <w:p w:rsidR="005C3E59" w:rsidRPr="005C3E59" w:rsidRDefault="005C3E59" w:rsidP="006264EF">
      <w:pPr>
        <w:pStyle w:val="ListParagraph"/>
        <w:keepNext/>
        <w:keepLines/>
        <w:tabs>
          <w:tab w:val="left" w:pos="5954"/>
        </w:tabs>
        <w:ind w:left="4820"/>
        <w:jc w:val="both"/>
        <w:rPr>
          <w:i/>
          <w:snapToGrid w:val="0"/>
          <w:lang w:val="fr-FR"/>
        </w:rPr>
      </w:pPr>
    </w:p>
    <w:p w:rsidR="00637410" w:rsidRDefault="00637410" w:rsidP="006264EF">
      <w:pPr>
        <w:pStyle w:val="ListParagraph"/>
        <w:keepNext/>
        <w:keepLines/>
        <w:tabs>
          <w:tab w:val="left" w:pos="5310"/>
          <w:tab w:val="left" w:pos="5940"/>
        </w:tabs>
        <w:ind w:left="4820"/>
        <w:jc w:val="both"/>
        <w:rPr>
          <w:i/>
          <w:snapToGrid w:val="0"/>
          <w:lang w:val="fr-FR"/>
        </w:rPr>
      </w:pPr>
      <w:bookmarkStart w:id="5" w:name="_GoBack"/>
      <w:r>
        <w:rPr>
          <w:i/>
          <w:snapToGrid w:val="0"/>
          <w:lang w:val="fr-FR"/>
        </w:rPr>
        <w:tab/>
      </w:r>
      <w:r w:rsidR="005C3E59" w:rsidRPr="005C3E59">
        <w:rPr>
          <w:i/>
          <w:snapToGrid w:val="0"/>
          <w:lang w:val="fr-FR"/>
        </w:rPr>
        <w:t>b)</w:t>
      </w:r>
      <w:r w:rsidR="005C3E59" w:rsidRPr="005C3E59">
        <w:rPr>
          <w:i/>
          <w:snapToGrid w:val="0"/>
          <w:lang w:val="fr-FR"/>
        </w:rPr>
        <w:tab/>
        <w:t xml:space="preserve">rédiger des </w:t>
      </w:r>
      <w:r w:rsidR="00016CC5">
        <w:rPr>
          <w:i/>
          <w:snapToGrid w:val="0"/>
          <w:lang w:val="fr-FR"/>
        </w:rPr>
        <w:t>“</w:t>
      </w:r>
      <w:r w:rsidR="00016CC5" w:rsidRPr="005C3E59">
        <w:rPr>
          <w:i/>
          <w:snapToGrid w:val="0"/>
          <w:lang w:val="fr-FR"/>
        </w:rPr>
        <w:t>n</w:t>
      </w:r>
      <w:r w:rsidR="005C3E59" w:rsidRPr="005C3E59">
        <w:rPr>
          <w:i/>
          <w:snapToGrid w:val="0"/>
          <w:lang w:val="fr-FR"/>
        </w:rPr>
        <w:t>otes explicative</w:t>
      </w:r>
      <w:r w:rsidR="00016CC5" w:rsidRPr="005C3E59">
        <w:rPr>
          <w:i/>
          <w:snapToGrid w:val="0"/>
          <w:lang w:val="fr-FR"/>
        </w:rPr>
        <w:t>s</w:t>
      </w:r>
      <w:r w:rsidR="00016CC5">
        <w:rPr>
          <w:i/>
          <w:snapToGrid w:val="0"/>
          <w:lang w:val="fr-FR"/>
        </w:rPr>
        <w:t>”</w:t>
      </w:r>
      <w:r w:rsidR="005C3E59" w:rsidRPr="005C3E59">
        <w:rPr>
          <w:i/>
          <w:snapToGrid w:val="0"/>
          <w:lang w:val="fr-FR"/>
        </w:rPr>
        <w:t xml:space="preserve"> sur l</w:t>
      </w:r>
      <w:r w:rsidR="00016CC5">
        <w:rPr>
          <w:i/>
          <w:snapToGrid w:val="0"/>
          <w:lang w:val="fr-FR"/>
        </w:rPr>
        <w:t>’</w:t>
      </w:r>
      <w:r w:rsidR="00016CC5" w:rsidRPr="005C3E59">
        <w:rPr>
          <w:i/>
          <w:snapToGrid w:val="0"/>
          <w:lang w:val="fr-FR"/>
        </w:rPr>
        <w:t>article</w:t>
      </w:r>
      <w:r w:rsidR="00016CC5">
        <w:rPr>
          <w:i/>
          <w:snapToGrid w:val="0"/>
          <w:lang w:val="fr-FR"/>
        </w:rPr>
        <w:t> </w:t>
      </w:r>
      <w:r w:rsidR="00016CC5" w:rsidRPr="005C3E59">
        <w:rPr>
          <w:i/>
          <w:snapToGrid w:val="0"/>
          <w:lang w:val="fr-FR"/>
        </w:rPr>
        <w:t>1</w:t>
      </w:r>
      <w:r w:rsidR="005C3E59" w:rsidRPr="005C3E59">
        <w:rPr>
          <w:i/>
          <w:snapToGrid w:val="0"/>
          <w:lang w:val="fr-FR"/>
        </w:rPr>
        <w:t xml:space="preserve">2 de la </w:t>
      </w:r>
      <w:r w:rsidR="00016CC5">
        <w:rPr>
          <w:i/>
          <w:snapToGrid w:val="0"/>
          <w:lang w:val="fr-FR"/>
        </w:rPr>
        <w:t>Convention UPOV</w:t>
      </w:r>
      <w:r w:rsidR="005C3E59">
        <w:rPr>
          <w:i/>
          <w:snapToGrid w:val="0"/>
          <w:lang w:val="fr-FR"/>
        </w:rPr>
        <w:t xml:space="preserve"> (</w:t>
      </w:r>
      <w:r w:rsidR="00016CC5">
        <w:rPr>
          <w:i/>
          <w:snapToGrid w:val="0"/>
          <w:lang w:val="fr-FR"/>
        </w:rPr>
        <w:t>“E</w:t>
      </w:r>
      <w:r w:rsidR="005C3E59">
        <w:rPr>
          <w:i/>
          <w:snapToGrid w:val="0"/>
          <w:lang w:val="fr-FR"/>
        </w:rPr>
        <w:t>xamen de la demand</w:t>
      </w:r>
      <w:r w:rsidR="00016CC5">
        <w:rPr>
          <w:i/>
          <w:snapToGrid w:val="0"/>
          <w:lang w:val="fr-FR"/>
        </w:rPr>
        <w:t>e”</w:t>
      </w:r>
      <w:r w:rsidR="005C3E59">
        <w:rPr>
          <w:i/>
          <w:snapToGrid w:val="0"/>
          <w:lang w:val="fr-FR"/>
        </w:rPr>
        <w:t xml:space="preserve">); </w:t>
      </w:r>
      <w:r w:rsidR="00A27AC6">
        <w:rPr>
          <w:i/>
          <w:snapToGrid w:val="0"/>
          <w:lang w:val="fr-FR"/>
        </w:rPr>
        <w:t xml:space="preserve"> </w:t>
      </w:r>
      <w:r w:rsidR="005C3E59">
        <w:rPr>
          <w:i/>
          <w:snapToGrid w:val="0"/>
          <w:lang w:val="fr-FR"/>
        </w:rPr>
        <w:t>et</w:t>
      </w:r>
    </w:p>
    <w:bookmarkEnd w:id="5"/>
    <w:p w:rsidR="00637410" w:rsidRDefault="00637410" w:rsidP="006264EF">
      <w:pPr>
        <w:pStyle w:val="ListParagraph"/>
        <w:keepNext/>
        <w:keepLines/>
        <w:tabs>
          <w:tab w:val="left" w:pos="5310"/>
          <w:tab w:val="left" w:pos="5940"/>
        </w:tabs>
        <w:ind w:left="4820"/>
        <w:jc w:val="both"/>
        <w:rPr>
          <w:i/>
          <w:snapToGrid w:val="0"/>
          <w:lang w:val="fr-FR"/>
        </w:rPr>
      </w:pPr>
    </w:p>
    <w:p w:rsidR="005C3E59" w:rsidRPr="00637410" w:rsidRDefault="00637410" w:rsidP="006264EF">
      <w:pPr>
        <w:pStyle w:val="ListParagraph"/>
        <w:keepNext/>
        <w:keepLines/>
        <w:tabs>
          <w:tab w:val="left" w:pos="5310"/>
          <w:tab w:val="left" w:pos="5940"/>
        </w:tabs>
        <w:ind w:left="4820"/>
        <w:jc w:val="both"/>
        <w:rPr>
          <w:i/>
          <w:snapToGrid w:val="0"/>
          <w:lang w:val="fr-FR"/>
        </w:rPr>
      </w:pPr>
      <w:r>
        <w:rPr>
          <w:i/>
          <w:snapToGrid w:val="0"/>
          <w:lang w:val="fr-FR"/>
        </w:rPr>
        <w:tab/>
        <w:t>c)</w:t>
      </w:r>
      <w:r>
        <w:rPr>
          <w:i/>
          <w:snapToGrid w:val="0"/>
          <w:lang w:val="fr-FR"/>
        </w:rPr>
        <w:tab/>
      </w:r>
      <w:r w:rsidR="005C3E59" w:rsidRPr="00637410">
        <w:rPr>
          <w:i/>
          <w:snapToGrid w:val="0"/>
          <w:lang w:val="fr-FR"/>
        </w:rPr>
        <w:t>demander aux organisations d</w:t>
      </w:r>
      <w:r w:rsidR="00016CC5" w:rsidRPr="00637410">
        <w:rPr>
          <w:i/>
          <w:snapToGrid w:val="0"/>
          <w:lang w:val="fr-FR"/>
        </w:rPr>
        <w:t>’</w:t>
      </w:r>
      <w:r w:rsidR="005C3E59" w:rsidRPr="00637410">
        <w:rPr>
          <w:i/>
          <w:snapToGrid w:val="0"/>
          <w:lang w:val="fr-FR"/>
        </w:rPr>
        <w:t>obtenteurs d</w:t>
      </w:r>
      <w:r w:rsidR="00016CC5" w:rsidRPr="00637410">
        <w:rPr>
          <w:i/>
          <w:snapToGrid w:val="0"/>
          <w:lang w:val="fr-FR"/>
        </w:rPr>
        <w:t>’</w:t>
      </w:r>
      <w:r w:rsidR="005C3E59" w:rsidRPr="00637410">
        <w:rPr>
          <w:i/>
          <w:snapToGrid w:val="0"/>
          <w:lang w:val="fr-FR"/>
        </w:rPr>
        <w:t>apporter des précisions sur les difficultés que pose la volonté des obtenteurs d</w:t>
      </w:r>
      <w:r w:rsidR="00016CC5" w:rsidRPr="00637410">
        <w:rPr>
          <w:i/>
          <w:snapToGrid w:val="0"/>
          <w:lang w:val="fr-FR"/>
        </w:rPr>
        <w:t>’</w:t>
      </w:r>
      <w:r w:rsidR="005C3E59" w:rsidRPr="00637410">
        <w:rPr>
          <w:i/>
          <w:snapToGrid w:val="0"/>
          <w:lang w:val="fr-FR"/>
        </w:rPr>
        <w:t>utiliser, ou de ne pas utiliser, les rapports d</w:t>
      </w:r>
      <w:r w:rsidR="00016CC5" w:rsidRPr="00637410">
        <w:rPr>
          <w:i/>
          <w:snapToGrid w:val="0"/>
          <w:lang w:val="fr-FR"/>
        </w:rPr>
        <w:t>’</w:t>
      </w:r>
      <w:r w:rsidR="005C3E59" w:rsidRPr="00637410">
        <w:rPr>
          <w:i/>
          <w:snapToGrid w:val="0"/>
          <w:lang w:val="fr-FR"/>
        </w:rPr>
        <w:t>examen</w:t>
      </w:r>
      <w:r w:rsidR="00A27AC6" w:rsidRPr="00637410">
        <w:rPr>
          <w:i/>
          <w:snapToGrid w:val="0"/>
          <w:lang w:val="fr-FR"/>
        </w:rPr>
        <w:t> </w:t>
      </w:r>
      <w:r w:rsidR="005C3E59" w:rsidRPr="00637410">
        <w:rPr>
          <w:i/>
          <w:snapToGrid w:val="0"/>
          <w:lang w:val="fr-FR"/>
        </w:rPr>
        <w:t>DHS existants.</w:t>
      </w:r>
    </w:p>
    <w:p w:rsidR="00BB6E2B" w:rsidRPr="00D6618F" w:rsidRDefault="00BB6E2B" w:rsidP="00637410">
      <w:pPr>
        <w:pStyle w:val="ListParagraph"/>
        <w:ind w:left="4820"/>
        <w:rPr>
          <w:snapToGrid w:val="0"/>
          <w:lang w:val="fr-FR"/>
        </w:rPr>
      </w:pPr>
    </w:p>
    <w:p w:rsidR="00BB6E2B" w:rsidRPr="00D6618F" w:rsidRDefault="00BB6E2B" w:rsidP="004B1215">
      <w:pPr>
        <w:rPr>
          <w:snapToGrid w:val="0"/>
          <w:lang w:val="fr-FR"/>
        </w:rPr>
      </w:pPr>
    </w:p>
    <w:p w:rsidR="00BB6E2B" w:rsidRPr="00D6618F" w:rsidRDefault="00F0447A" w:rsidP="00F0447A">
      <w:pPr>
        <w:jc w:val="right"/>
        <w:rPr>
          <w:snapToGrid w:val="0"/>
          <w:lang w:val="fr-FR"/>
        </w:rPr>
      </w:pPr>
      <w:r w:rsidRPr="00D6618F">
        <w:rPr>
          <w:snapToGrid w:val="0"/>
          <w:lang w:val="fr-FR"/>
        </w:rPr>
        <w:t>[</w:t>
      </w:r>
      <w:r w:rsidR="00543697" w:rsidRPr="00D6618F">
        <w:rPr>
          <w:snapToGrid w:val="0"/>
          <w:lang w:val="fr-FR"/>
        </w:rPr>
        <w:t>L</w:t>
      </w:r>
      <w:r w:rsidR="00016CC5">
        <w:rPr>
          <w:snapToGrid w:val="0"/>
          <w:lang w:val="fr-FR"/>
        </w:rPr>
        <w:t>’</w:t>
      </w:r>
      <w:r w:rsidR="00543697" w:rsidRPr="00D6618F">
        <w:rPr>
          <w:snapToGrid w:val="0"/>
          <w:lang w:val="fr-FR"/>
        </w:rPr>
        <w:t>annexe suit</w:t>
      </w:r>
      <w:r w:rsidRPr="00D6618F">
        <w:rPr>
          <w:snapToGrid w:val="0"/>
          <w:lang w:val="fr-FR"/>
        </w:rPr>
        <w:t>]</w:t>
      </w:r>
    </w:p>
    <w:p w:rsidR="00BB6E2B" w:rsidRPr="00D6618F" w:rsidRDefault="00BB6E2B" w:rsidP="004B1215">
      <w:pPr>
        <w:rPr>
          <w:snapToGrid w:val="0"/>
          <w:lang w:val="fr-FR"/>
        </w:rPr>
      </w:pPr>
    </w:p>
    <w:p w:rsidR="007F2DF7" w:rsidRPr="00D6618F" w:rsidRDefault="007F2DF7" w:rsidP="004B1215">
      <w:pPr>
        <w:rPr>
          <w:snapToGrid w:val="0"/>
          <w:lang w:val="fr-FR"/>
        </w:rPr>
        <w:sectPr w:rsidR="007F2DF7" w:rsidRPr="00D6618F" w:rsidSect="00016CC5">
          <w:headerReference w:type="even" r:id="rId9"/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BB6E2B" w:rsidRPr="00D6618F" w:rsidRDefault="00BB6E2B" w:rsidP="004B1215">
      <w:pPr>
        <w:rPr>
          <w:snapToGrid w:val="0"/>
          <w:lang w:val="fr-FR"/>
        </w:rPr>
      </w:pPr>
    </w:p>
    <w:p w:rsidR="00BB6E2B" w:rsidRPr="00D6618F" w:rsidRDefault="00BB6E2B" w:rsidP="004B1215">
      <w:pPr>
        <w:rPr>
          <w:snapToGrid w:val="0"/>
          <w:lang w:val="fr-FR"/>
        </w:rPr>
      </w:pPr>
    </w:p>
    <w:p w:rsidR="00016CC5" w:rsidRDefault="007712AC" w:rsidP="00501478">
      <w:pPr>
        <w:jc w:val="center"/>
        <w:rPr>
          <w:caps/>
          <w:snapToGrid w:val="0"/>
          <w:lang w:val="fr-FR"/>
        </w:rPr>
      </w:pPr>
      <w:r w:rsidRPr="00F07F31">
        <w:rPr>
          <w:caps/>
          <w:lang w:val="fr-CH"/>
        </w:rPr>
        <w:t>M</w:t>
      </w:r>
      <w:r w:rsidR="00543697" w:rsidRPr="00F07F31">
        <w:rPr>
          <w:caps/>
          <w:lang w:val="fr-CH"/>
        </w:rPr>
        <w:t>esures convenues par le</w:t>
      </w:r>
      <w:r w:rsidR="00016CC5" w:rsidRPr="00F07F31">
        <w:rPr>
          <w:caps/>
          <w:lang w:val="fr-CH"/>
        </w:rPr>
        <w:t> TC</w:t>
      </w:r>
      <w:r w:rsidR="00543697" w:rsidRPr="00F07F31">
        <w:rPr>
          <w:caps/>
          <w:lang w:val="fr-CH"/>
        </w:rPr>
        <w:t xml:space="preserve"> pour </w:t>
      </w:r>
      <w:r w:rsidR="005C3E59" w:rsidRPr="00F07F31">
        <w:rPr>
          <w:caps/>
          <w:lang w:val="fr-CH"/>
        </w:rPr>
        <w:t>lev</w:t>
      </w:r>
      <w:r w:rsidR="00543697" w:rsidRPr="00F07F31">
        <w:rPr>
          <w:caps/>
          <w:lang w:val="fr-CH"/>
        </w:rPr>
        <w:t>er les obstacles qui empêchent la coopération internationale en matière d</w:t>
      </w:r>
      <w:r w:rsidR="00016CC5" w:rsidRPr="00F07F31">
        <w:rPr>
          <w:caps/>
          <w:lang w:val="fr-CH"/>
        </w:rPr>
        <w:t>’</w:t>
      </w:r>
      <w:r w:rsidR="00543697" w:rsidRPr="00F07F31">
        <w:rPr>
          <w:caps/>
          <w:lang w:val="fr-CH"/>
        </w:rPr>
        <w:t>examen</w:t>
      </w:r>
      <w:r w:rsidR="00A27AC6" w:rsidRPr="00F07F31">
        <w:rPr>
          <w:caps/>
          <w:lang w:val="fr-CH"/>
        </w:rPr>
        <w:t> </w:t>
      </w:r>
      <w:r w:rsidR="00543697" w:rsidRPr="00F07F31">
        <w:rPr>
          <w:caps/>
          <w:lang w:val="fr-CH"/>
        </w:rPr>
        <w:t>DHS</w:t>
      </w:r>
      <w:r w:rsidR="004F0783" w:rsidRPr="00D6618F">
        <w:rPr>
          <w:rStyle w:val="FootnoteReference"/>
          <w:caps/>
          <w:snapToGrid w:val="0"/>
          <w:lang w:val="fr-FR"/>
        </w:rPr>
        <w:footnoteReference w:id="3"/>
      </w:r>
    </w:p>
    <w:p w:rsidR="00BB6E2B" w:rsidRPr="00D6618F" w:rsidRDefault="00BB6E2B" w:rsidP="00501478">
      <w:pPr>
        <w:jc w:val="center"/>
        <w:rPr>
          <w:snapToGrid w:val="0"/>
          <w:lang w:val="fr-FR"/>
        </w:rPr>
      </w:pPr>
    </w:p>
    <w:p w:rsidR="00BB6E2B" w:rsidRPr="00D6618F" w:rsidRDefault="00BB6E2B" w:rsidP="003D5795">
      <w:pPr>
        <w:jc w:val="left"/>
        <w:rPr>
          <w:lang w:val="fr-FR"/>
        </w:rPr>
      </w:pPr>
    </w:p>
    <w:p w:rsidR="00BB6E2B" w:rsidRPr="00D6618F" w:rsidRDefault="00BB6E2B" w:rsidP="00BB6E2B">
      <w:pPr>
        <w:rPr>
          <w:lang w:val="fr-FR"/>
        </w:rPr>
      </w:pPr>
      <w:r w:rsidRPr="00D6618F">
        <w:rPr>
          <w:lang w:val="fr-FR"/>
        </w:rPr>
        <w:t>À sa cinquante</w:t>
      </w:r>
      <w:r w:rsidR="00016CC5">
        <w:rPr>
          <w:lang w:val="fr-FR"/>
        </w:rPr>
        <w:t>-</w:t>
      </w:r>
      <w:r w:rsidRPr="00D6618F">
        <w:rPr>
          <w:lang w:val="fr-FR"/>
        </w:rPr>
        <w:t>cinqu</w:t>
      </w:r>
      <w:r w:rsidR="00016CC5">
        <w:rPr>
          <w:lang w:val="fr-FR"/>
        </w:rPr>
        <w:t>ième session</w:t>
      </w:r>
      <w:r w:rsidRPr="00D6618F">
        <w:rPr>
          <w:rStyle w:val="FootnoteReference"/>
          <w:lang w:val="fr-FR"/>
        </w:rPr>
        <w:footnoteReference w:id="4"/>
      </w:r>
      <w:r w:rsidRPr="00D6618F">
        <w:rPr>
          <w:lang w:val="fr-FR"/>
        </w:rPr>
        <w:t>, le</w:t>
      </w:r>
      <w:r w:rsidR="00016CC5">
        <w:rPr>
          <w:lang w:val="fr-FR"/>
        </w:rPr>
        <w:t> TC</w:t>
      </w:r>
      <w:r w:rsidRPr="00D6618F">
        <w:rPr>
          <w:lang w:val="fr-FR"/>
        </w:rPr>
        <w:t xml:space="preserve"> a noté que</w:t>
      </w:r>
      <w:r w:rsidR="00016CC5" w:rsidRPr="00D6618F">
        <w:rPr>
          <w:lang w:val="fr-FR"/>
        </w:rPr>
        <w:t xml:space="preserve"> les</w:t>
      </w:r>
      <w:r w:rsidR="00016CC5">
        <w:rPr>
          <w:lang w:val="fr-FR"/>
        </w:rPr>
        <w:t> </w:t>
      </w:r>
      <w:r w:rsidR="00016CC5" w:rsidRPr="00D6618F">
        <w:rPr>
          <w:lang w:val="fr-FR"/>
        </w:rPr>
        <w:t>TWP</w:t>
      </w:r>
      <w:r w:rsidRPr="00D6618F">
        <w:rPr>
          <w:lang w:val="fr-FR"/>
        </w:rPr>
        <w:t xml:space="preserve">, à leurs sessions </w:t>
      </w:r>
      <w:r w:rsidR="00016CC5" w:rsidRPr="00D6618F">
        <w:rPr>
          <w:lang w:val="fr-FR"/>
        </w:rPr>
        <w:t>de</w:t>
      </w:r>
      <w:r w:rsidR="00016CC5">
        <w:rPr>
          <w:lang w:val="fr-FR"/>
        </w:rPr>
        <w:t> </w:t>
      </w:r>
      <w:r w:rsidR="00016CC5" w:rsidRPr="00D6618F">
        <w:rPr>
          <w:lang w:val="fr-FR"/>
        </w:rPr>
        <w:t>2019</w:t>
      </w:r>
      <w:r w:rsidRPr="00D6618F">
        <w:rPr>
          <w:lang w:val="fr-FR"/>
        </w:rPr>
        <w:t>, avaient constitué des groupes de discussion chargés d</w:t>
      </w:r>
      <w:r w:rsidR="00016CC5">
        <w:rPr>
          <w:lang w:val="fr-FR"/>
        </w:rPr>
        <w:t>’</w:t>
      </w:r>
      <w:r w:rsidRPr="00D6618F">
        <w:rPr>
          <w:lang w:val="fr-FR"/>
        </w:rPr>
        <w:t>examiner les difficultés techniques qui empêchaient la coopération en matière d</w:t>
      </w:r>
      <w:r w:rsidR="00016CC5">
        <w:rPr>
          <w:lang w:val="fr-FR"/>
        </w:rPr>
        <w:t>’</w:t>
      </w:r>
      <w:r w:rsidRPr="00D6618F">
        <w:rPr>
          <w:lang w:val="fr-FR"/>
        </w:rPr>
        <w:t>examen</w:t>
      </w:r>
      <w:r w:rsidR="00A27AC6">
        <w:rPr>
          <w:lang w:val="fr-FR"/>
        </w:rPr>
        <w:t> </w:t>
      </w:r>
      <w:r w:rsidRPr="00D6618F">
        <w:rPr>
          <w:lang w:val="fr-FR"/>
        </w:rPr>
        <w:t>DHS et de proposer des solutions pour remédier aux difficultés techniques soulevées.</w:t>
      </w:r>
    </w:p>
    <w:p w:rsidR="00BB6E2B" w:rsidRPr="00D6618F" w:rsidRDefault="00BB6E2B" w:rsidP="003D5795">
      <w:pPr>
        <w:rPr>
          <w:lang w:val="fr-FR"/>
        </w:rPr>
      </w:pPr>
    </w:p>
    <w:p w:rsidR="00BB6E2B" w:rsidRPr="00D6618F" w:rsidRDefault="00BB6E2B" w:rsidP="00BB6E2B">
      <w:pPr>
        <w:rPr>
          <w:snapToGrid w:val="0"/>
          <w:lang w:val="fr-FR"/>
        </w:rPr>
      </w:pPr>
      <w:r w:rsidRPr="00D6618F">
        <w:rPr>
          <w:snapToGrid w:val="0"/>
          <w:lang w:val="fr-FR"/>
        </w:rPr>
        <w:t>Le</w:t>
      </w:r>
      <w:r w:rsidR="00016CC5">
        <w:rPr>
          <w:snapToGrid w:val="0"/>
          <w:lang w:val="fr-FR"/>
        </w:rPr>
        <w:t> TC</w:t>
      </w:r>
      <w:r w:rsidRPr="00D6618F">
        <w:rPr>
          <w:snapToGrid w:val="0"/>
          <w:lang w:val="fr-FR"/>
        </w:rPr>
        <w:t xml:space="preserve"> a examiné les résultats des délibérations</w:t>
      </w:r>
      <w:r w:rsidR="00016CC5" w:rsidRPr="00D6618F">
        <w:rPr>
          <w:snapToGrid w:val="0"/>
          <w:lang w:val="fr-FR"/>
        </w:rPr>
        <w:t xml:space="preserve"> du</w:t>
      </w:r>
      <w:r w:rsidR="00016CC5">
        <w:rPr>
          <w:snapToGrid w:val="0"/>
          <w:lang w:val="fr-FR"/>
        </w:rPr>
        <w:t> </w:t>
      </w:r>
      <w:r w:rsidR="00016CC5" w:rsidRPr="00D6618F">
        <w:rPr>
          <w:snapToGrid w:val="0"/>
          <w:lang w:val="fr-FR"/>
        </w:rPr>
        <w:t>TWO</w:t>
      </w:r>
      <w:r w:rsidRPr="00D6618F">
        <w:rPr>
          <w:snapToGrid w:val="0"/>
          <w:lang w:val="fr-FR"/>
        </w:rPr>
        <w:t>,</w:t>
      </w:r>
      <w:r w:rsidR="00016CC5" w:rsidRPr="00D6618F">
        <w:rPr>
          <w:snapToGrid w:val="0"/>
          <w:lang w:val="fr-FR"/>
        </w:rPr>
        <w:t xml:space="preserve"> du</w:t>
      </w:r>
      <w:r w:rsidR="00016CC5">
        <w:rPr>
          <w:snapToGrid w:val="0"/>
          <w:lang w:val="fr-FR"/>
        </w:rPr>
        <w:t> </w:t>
      </w:r>
      <w:r w:rsidR="00016CC5" w:rsidRPr="00D6618F">
        <w:rPr>
          <w:snapToGrid w:val="0"/>
          <w:lang w:val="fr-FR"/>
        </w:rPr>
        <w:t>TWV</w:t>
      </w:r>
      <w:r w:rsidRPr="00D6618F">
        <w:rPr>
          <w:snapToGrid w:val="0"/>
          <w:lang w:val="fr-FR"/>
        </w:rPr>
        <w:t>,</w:t>
      </w:r>
      <w:r w:rsidR="00016CC5" w:rsidRPr="00D6618F">
        <w:rPr>
          <w:snapToGrid w:val="0"/>
          <w:lang w:val="fr-FR"/>
        </w:rPr>
        <w:t xml:space="preserve"> du</w:t>
      </w:r>
      <w:r w:rsidR="00016CC5">
        <w:rPr>
          <w:snapToGrid w:val="0"/>
          <w:lang w:val="fr-FR"/>
        </w:rPr>
        <w:t> </w:t>
      </w:r>
      <w:r w:rsidR="00016CC5" w:rsidRPr="00D6618F">
        <w:rPr>
          <w:snapToGrid w:val="0"/>
          <w:lang w:val="fr-FR"/>
        </w:rPr>
        <w:t>TWF</w:t>
      </w:r>
      <w:r w:rsidRPr="00D6618F">
        <w:rPr>
          <w:snapToGrid w:val="0"/>
          <w:lang w:val="fr-FR"/>
        </w:rPr>
        <w:t>,</w:t>
      </w:r>
      <w:r w:rsidR="00016CC5" w:rsidRPr="00D6618F">
        <w:rPr>
          <w:snapToGrid w:val="0"/>
          <w:lang w:val="fr-FR"/>
        </w:rPr>
        <w:t xml:space="preserve"> du</w:t>
      </w:r>
      <w:r w:rsidR="00016CC5">
        <w:rPr>
          <w:snapToGrid w:val="0"/>
          <w:lang w:val="fr-FR"/>
        </w:rPr>
        <w:t> </w:t>
      </w:r>
      <w:r w:rsidR="00016CC5" w:rsidRPr="00D6618F">
        <w:rPr>
          <w:snapToGrid w:val="0"/>
          <w:lang w:val="fr-FR"/>
        </w:rPr>
        <w:t>TWA</w:t>
      </w:r>
      <w:r w:rsidRPr="00D6618F">
        <w:rPr>
          <w:snapToGrid w:val="0"/>
          <w:lang w:val="fr-FR"/>
        </w:rPr>
        <w:t xml:space="preserve"> et</w:t>
      </w:r>
      <w:r w:rsidR="00016CC5" w:rsidRPr="00D6618F">
        <w:rPr>
          <w:snapToGrid w:val="0"/>
          <w:lang w:val="fr-FR"/>
        </w:rPr>
        <w:t xml:space="preserve"> du</w:t>
      </w:r>
      <w:r w:rsidR="00016CC5">
        <w:rPr>
          <w:snapToGrid w:val="0"/>
          <w:lang w:val="fr-FR"/>
        </w:rPr>
        <w:t> </w:t>
      </w:r>
      <w:r w:rsidR="00016CC5" w:rsidRPr="00D6618F">
        <w:rPr>
          <w:snapToGrid w:val="0"/>
          <w:lang w:val="fr-FR"/>
        </w:rPr>
        <w:t>TWC</w:t>
      </w:r>
      <w:r w:rsidRPr="00D6618F">
        <w:rPr>
          <w:snapToGrid w:val="0"/>
          <w:lang w:val="fr-FR"/>
        </w:rPr>
        <w:t xml:space="preserve"> à leurs sessions </w:t>
      </w:r>
      <w:r w:rsidR="00016CC5" w:rsidRPr="00D6618F">
        <w:rPr>
          <w:snapToGrid w:val="0"/>
          <w:lang w:val="fr-FR"/>
        </w:rPr>
        <w:t>de</w:t>
      </w:r>
      <w:r w:rsidR="00016CC5">
        <w:rPr>
          <w:snapToGrid w:val="0"/>
          <w:lang w:val="fr-FR"/>
        </w:rPr>
        <w:t> </w:t>
      </w:r>
      <w:r w:rsidR="00016CC5" w:rsidRPr="00D6618F">
        <w:rPr>
          <w:snapToGrid w:val="0"/>
          <w:lang w:val="fr-FR"/>
        </w:rPr>
        <w:t>2019</w:t>
      </w:r>
      <w:r w:rsidRPr="00D6618F">
        <w:rPr>
          <w:snapToGrid w:val="0"/>
          <w:lang w:val="fr-FR"/>
        </w:rPr>
        <w:t xml:space="preserve"> indiqués aux </w:t>
      </w:r>
      <w:r w:rsidR="00016CC5" w:rsidRPr="00D6618F">
        <w:rPr>
          <w:snapToGrid w:val="0"/>
          <w:lang w:val="fr-FR"/>
        </w:rPr>
        <w:t>paragraphes</w:t>
      </w:r>
      <w:r w:rsidR="00016CC5">
        <w:rPr>
          <w:snapToGrid w:val="0"/>
          <w:lang w:val="fr-FR"/>
        </w:rPr>
        <w:t> </w:t>
      </w:r>
      <w:r w:rsidR="00016CC5" w:rsidRPr="00D6618F">
        <w:rPr>
          <w:snapToGrid w:val="0"/>
          <w:lang w:val="fr-FR"/>
        </w:rPr>
        <w:t>1</w:t>
      </w:r>
      <w:r w:rsidRPr="00D6618F">
        <w:rPr>
          <w:snapToGrid w:val="0"/>
          <w:lang w:val="fr-FR"/>
        </w:rPr>
        <w:t xml:space="preserve">9 à 26 du </w:t>
      </w:r>
      <w:r w:rsidR="00016CC5" w:rsidRPr="00D6618F">
        <w:rPr>
          <w:snapToGrid w:val="0"/>
          <w:lang w:val="fr-FR"/>
        </w:rPr>
        <w:t>document</w:t>
      </w:r>
      <w:r w:rsidR="00016CC5">
        <w:rPr>
          <w:snapToGrid w:val="0"/>
          <w:lang w:val="fr-FR"/>
        </w:rPr>
        <w:t xml:space="preserve"> TC</w:t>
      </w:r>
      <w:r w:rsidRPr="00D6618F">
        <w:rPr>
          <w:snapToGrid w:val="0"/>
          <w:lang w:val="fr-FR"/>
        </w:rPr>
        <w:t>/55/10, qui sont reproduits ci</w:t>
      </w:r>
      <w:r w:rsidR="00016CC5">
        <w:rPr>
          <w:snapToGrid w:val="0"/>
          <w:lang w:val="fr-FR"/>
        </w:rPr>
        <w:t>-</w:t>
      </w:r>
      <w:r w:rsidRPr="00D6618F">
        <w:rPr>
          <w:snapToGrid w:val="0"/>
          <w:lang w:val="fr-FR"/>
        </w:rPr>
        <w:t>dessous</w:t>
      </w:r>
      <w:r w:rsidR="00016CC5">
        <w:rPr>
          <w:snapToGrid w:val="0"/>
          <w:lang w:val="fr-FR"/>
        </w:rPr>
        <w:t> :</w:t>
      </w:r>
    </w:p>
    <w:p w:rsidR="00BB6E2B" w:rsidRPr="00D6618F" w:rsidRDefault="00BB6E2B" w:rsidP="003D5795">
      <w:pPr>
        <w:rPr>
          <w:snapToGrid w:val="0"/>
          <w:lang w:val="fr-FR"/>
        </w:rPr>
      </w:pPr>
    </w:p>
    <w:p w:rsidR="00BB6E2B" w:rsidRPr="00C52B70" w:rsidRDefault="00C52B70" w:rsidP="00453545">
      <w:pPr>
        <w:ind w:left="540" w:right="562"/>
        <w:rPr>
          <w:b/>
          <w:i/>
          <w:sz w:val="18"/>
          <w:szCs w:val="18"/>
          <w:lang w:val="fr-FR"/>
        </w:rPr>
      </w:pPr>
      <w:r w:rsidRPr="00C52B70">
        <w:rPr>
          <w:i/>
          <w:sz w:val="18"/>
          <w:szCs w:val="18"/>
          <w:lang w:val="fr-FR"/>
        </w:rPr>
        <w:t>“</w:t>
      </w:r>
      <w:r w:rsidR="000C639C" w:rsidRPr="00C52B70">
        <w:rPr>
          <w:i/>
          <w:sz w:val="18"/>
          <w:szCs w:val="18"/>
          <w:lang w:val="fr-FR"/>
        </w:rPr>
        <w:t>Questions techniques et questions administratives connexes</w:t>
      </w:r>
      <w:r w:rsidR="00016CC5" w:rsidRPr="00C52B70">
        <w:rPr>
          <w:i/>
          <w:sz w:val="18"/>
          <w:szCs w:val="18"/>
          <w:lang w:val="fr-FR"/>
        </w:rPr>
        <w:t> :</w:t>
      </w:r>
    </w:p>
    <w:p w:rsidR="00BB6E2B" w:rsidRPr="00F04E31" w:rsidRDefault="00BB6E2B" w:rsidP="00453545">
      <w:pPr>
        <w:ind w:right="562"/>
        <w:rPr>
          <w:sz w:val="18"/>
          <w:szCs w:val="18"/>
          <w:u w:val="single"/>
          <w:lang w:val="fr-FR"/>
        </w:rPr>
      </w:pPr>
    </w:p>
    <w:p w:rsidR="00BB6E2B" w:rsidRPr="00F04E31" w:rsidRDefault="007E65CD" w:rsidP="00453545">
      <w:pPr>
        <w:pStyle w:val="ListParagraph"/>
        <w:numPr>
          <w:ilvl w:val="0"/>
          <w:numId w:val="1"/>
        </w:numPr>
        <w:ind w:left="1701" w:right="562" w:hanging="567"/>
        <w:jc w:val="both"/>
        <w:rPr>
          <w:sz w:val="18"/>
          <w:szCs w:val="18"/>
          <w:lang w:val="fr-FR"/>
        </w:rPr>
      </w:pPr>
      <w:r w:rsidRPr="00F04E31">
        <w:rPr>
          <w:sz w:val="18"/>
          <w:lang w:val="fr-CH"/>
        </w:rPr>
        <w:t>“</w:t>
      </w:r>
      <w:r w:rsidR="000C639C" w:rsidRPr="00F04E31">
        <w:rPr>
          <w:sz w:val="18"/>
          <w:szCs w:val="18"/>
          <w:lang w:val="fr-FR"/>
        </w:rPr>
        <w:t>Expérience suffisante pour conduire 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examen DHS pour une plante particulière</w:t>
      </w:r>
      <w:r w:rsidR="006F4057">
        <w:rPr>
          <w:sz w:val="18"/>
          <w:szCs w:val="18"/>
          <w:lang w:val="fr-FR"/>
        </w:rPr>
        <w:t>/</w:t>
      </w:r>
      <w:r w:rsidR="000C639C" w:rsidRPr="00F04E31">
        <w:rPr>
          <w:sz w:val="18"/>
          <w:szCs w:val="18"/>
          <w:lang w:val="fr-FR"/>
        </w:rPr>
        <w:t>qualité de 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examen effectué</w:t>
      </w:r>
    </w:p>
    <w:p w:rsidR="00BB6E2B" w:rsidRPr="00F04E31" w:rsidRDefault="007E65CD" w:rsidP="00453545">
      <w:pPr>
        <w:pStyle w:val="ListParagraph"/>
        <w:numPr>
          <w:ilvl w:val="0"/>
          <w:numId w:val="1"/>
        </w:numPr>
        <w:ind w:left="1701" w:right="562" w:hanging="567"/>
        <w:jc w:val="both"/>
        <w:rPr>
          <w:sz w:val="18"/>
          <w:szCs w:val="18"/>
          <w:lang w:val="fr-FR"/>
        </w:rPr>
      </w:pPr>
      <w:r w:rsidRPr="00F04E31">
        <w:rPr>
          <w:sz w:val="18"/>
        </w:rPr>
        <w:t>“</w:t>
      </w:r>
      <w:r w:rsidR="000C639C" w:rsidRPr="00F04E31">
        <w:rPr>
          <w:sz w:val="18"/>
          <w:szCs w:val="18"/>
          <w:lang w:val="fr-FR"/>
        </w:rPr>
        <w:t>Collection de variétés appropriée</w:t>
      </w:r>
    </w:p>
    <w:p w:rsidR="00BB6E2B" w:rsidRPr="00F04E31" w:rsidRDefault="007E65CD" w:rsidP="00453545">
      <w:pPr>
        <w:pStyle w:val="ListParagraph"/>
        <w:numPr>
          <w:ilvl w:val="0"/>
          <w:numId w:val="1"/>
        </w:numPr>
        <w:ind w:left="1701" w:right="562" w:hanging="567"/>
        <w:jc w:val="both"/>
        <w:rPr>
          <w:sz w:val="18"/>
          <w:szCs w:val="18"/>
          <w:lang w:val="fr-FR"/>
        </w:rPr>
      </w:pPr>
      <w:r w:rsidRPr="00F04E31">
        <w:rPr>
          <w:sz w:val="18"/>
          <w:lang w:val="fr-CH"/>
        </w:rPr>
        <w:t>“</w:t>
      </w:r>
      <w:r w:rsidR="000C639C" w:rsidRPr="00F04E31">
        <w:rPr>
          <w:sz w:val="18"/>
          <w:szCs w:val="18"/>
          <w:lang w:val="fr-FR"/>
        </w:rPr>
        <w:t>Informations sur les variétés prises en considération dans 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examen DHS</w:t>
      </w:r>
    </w:p>
    <w:p w:rsidR="00BB6E2B" w:rsidRPr="00F04E31" w:rsidRDefault="007E65CD" w:rsidP="00453545">
      <w:pPr>
        <w:pStyle w:val="ListParagraph"/>
        <w:numPr>
          <w:ilvl w:val="0"/>
          <w:numId w:val="1"/>
        </w:numPr>
        <w:ind w:left="1701" w:right="562" w:hanging="567"/>
        <w:jc w:val="both"/>
        <w:rPr>
          <w:sz w:val="18"/>
          <w:szCs w:val="18"/>
          <w:lang w:val="fr-FR"/>
        </w:rPr>
      </w:pPr>
      <w:r w:rsidRPr="00F04E31">
        <w:rPr>
          <w:sz w:val="18"/>
          <w:lang w:val="fr-CH"/>
        </w:rPr>
        <w:t>“</w:t>
      </w:r>
      <w:r w:rsidR="000C639C" w:rsidRPr="00F04E31">
        <w:rPr>
          <w:sz w:val="18"/>
          <w:szCs w:val="18"/>
          <w:lang w:val="fr-FR"/>
        </w:rPr>
        <w:t>Différentes descriptions dues à 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influence du milieu sur 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expression des caractères</w:t>
      </w:r>
    </w:p>
    <w:p w:rsidR="00BB6E2B" w:rsidRPr="00F04E31" w:rsidRDefault="007E65CD" w:rsidP="00453545">
      <w:pPr>
        <w:pStyle w:val="ListParagraph"/>
        <w:numPr>
          <w:ilvl w:val="0"/>
          <w:numId w:val="1"/>
        </w:numPr>
        <w:ind w:left="1701" w:right="562" w:hanging="567"/>
        <w:jc w:val="both"/>
        <w:rPr>
          <w:sz w:val="18"/>
          <w:szCs w:val="18"/>
          <w:lang w:val="fr-FR"/>
        </w:rPr>
      </w:pPr>
      <w:r w:rsidRPr="00F04E31">
        <w:rPr>
          <w:sz w:val="18"/>
          <w:lang w:val="fr-CH"/>
        </w:rPr>
        <w:t>“</w:t>
      </w:r>
      <w:r w:rsidR="000C639C" w:rsidRPr="00F04E31">
        <w:rPr>
          <w:sz w:val="18"/>
          <w:szCs w:val="18"/>
          <w:lang w:val="fr-FR"/>
        </w:rPr>
        <w:t>Pas d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évaluation ou protocoles et nomenclatures différents pour les caractères de résistance aux maladies</w:t>
      </w:r>
    </w:p>
    <w:p w:rsidR="00BB6E2B" w:rsidRPr="00F04E31" w:rsidRDefault="007E65CD" w:rsidP="00453545">
      <w:pPr>
        <w:pStyle w:val="ListParagraph"/>
        <w:numPr>
          <w:ilvl w:val="0"/>
          <w:numId w:val="1"/>
        </w:numPr>
        <w:ind w:left="1701" w:right="562" w:hanging="567"/>
        <w:jc w:val="both"/>
        <w:rPr>
          <w:sz w:val="18"/>
          <w:szCs w:val="18"/>
          <w:lang w:val="fr-FR"/>
        </w:rPr>
      </w:pPr>
      <w:r w:rsidRPr="00F04E31">
        <w:rPr>
          <w:sz w:val="18"/>
          <w:lang w:val="fr-CH"/>
        </w:rPr>
        <w:t>“</w:t>
      </w:r>
      <w:r w:rsidR="000C639C" w:rsidRPr="00F04E31">
        <w:rPr>
          <w:sz w:val="18"/>
          <w:szCs w:val="18"/>
          <w:lang w:val="fr-FR"/>
        </w:rPr>
        <w:t>Nécessité de décrire une variété de comparaison spécifique par rapport à la variété candidate</w:t>
      </w:r>
    </w:p>
    <w:p w:rsidR="00BB6E2B" w:rsidRPr="00F04E31" w:rsidRDefault="007E65CD" w:rsidP="00453545">
      <w:pPr>
        <w:pStyle w:val="ListParagraph"/>
        <w:numPr>
          <w:ilvl w:val="0"/>
          <w:numId w:val="1"/>
        </w:numPr>
        <w:ind w:left="1701" w:right="562" w:hanging="567"/>
        <w:jc w:val="both"/>
        <w:rPr>
          <w:sz w:val="18"/>
          <w:szCs w:val="18"/>
          <w:lang w:val="fr-FR"/>
        </w:rPr>
      </w:pPr>
      <w:r w:rsidRPr="00F04E31">
        <w:rPr>
          <w:sz w:val="18"/>
          <w:lang w:val="fr-CH"/>
        </w:rPr>
        <w:t>“</w:t>
      </w:r>
      <w:r w:rsidR="000C639C" w:rsidRPr="00F04E31">
        <w:rPr>
          <w:sz w:val="18"/>
          <w:szCs w:val="18"/>
          <w:lang w:val="fr-FR"/>
        </w:rPr>
        <w:t>Manque d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informations sur les contrôles de qualité relatifs à 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examen DHS sur 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exploitation de 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obtenteur</w:t>
      </w:r>
    </w:p>
    <w:p w:rsidR="00BB6E2B" w:rsidRPr="00F04E31" w:rsidRDefault="007E65CD" w:rsidP="00453545">
      <w:pPr>
        <w:pStyle w:val="ListParagraph"/>
        <w:numPr>
          <w:ilvl w:val="0"/>
          <w:numId w:val="1"/>
        </w:numPr>
        <w:ind w:left="1701" w:right="562" w:hanging="567"/>
        <w:jc w:val="both"/>
        <w:rPr>
          <w:sz w:val="18"/>
          <w:szCs w:val="18"/>
          <w:lang w:val="fr-FR"/>
        </w:rPr>
      </w:pPr>
      <w:r w:rsidRPr="00F04E31">
        <w:rPr>
          <w:sz w:val="18"/>
          <w:lang w:val="fr-CH"/>
        </w:rPr>
        <w:t>“</w:t>
      </w:r>
      <w:r w:rsidR="000C639C" w:rsidRPr="00453545">
        <w:rPr>
          <w:spacing w:val="-2"/>
          <w:sz w:val="18"/>
          <w:szCs w:val="18"/>
          <w:lang w:val="fr-FR"/>
        </w:rPr>
        <w:t>Non</w:t>
      </w:r>
      <w:r w:rsidR="00016CC5" w:rsidRPr="00453545">
        <w:rPr>
          <w:spacing w:val="-2"/>
          <w:sz w:val="18"/>
          <w:szCs w:val="18"/>
          <w:lang w:val="fr-FR"/>
        </w:rPr>
        <w:t>-</w:t>
      </w:r>
      <w:r w:rsidR="000C639C" w:rsidRPr="00453545">
        <w:rPr>
          <w:spacing w:val="-2"/>
          <w:sz w:val="18"/>
          <w:szCs w:val="18"/>
          <w:lang w:val="fr-FR"/>
        </w:rPr>
        <w:t>conformité des rapports d</w:t>
      </w:r>
      <w:r w:rsidR="00016CC5" w:rsidRPr="00453545">
        <w:rPr>
          <w:spacing w:val="-2"/>
          <w:sz w:val="18"/>
          <w:szCs w:val="18"/>
          <w:lang w:val="fr-FR"/>
        </w:rPr>
        <w:t>’</w:t>
      </w:r>
      <w:r w:rsidR="000C639C" w:rsidRPr="00453545">
        <w:rPr>
          <w:spacing w:val="-2"/>
          <w:sz w:val="18"/>
          <w:szCs w:val="18"/>
          <w:lang w:val="fr-FR"/>
        </w:rPr>
        <w:t>examen DHS par rapport aux principes directeurs d</w:t>
      </w:r>
      <w:r w:rsidR="00016CC5" w:rsidRPr="00453545">
        <w:rPr>
          <w:spacing w:val="-2"/>
          <w:sz w:val="18"/>
          <w:szCs w:val="18"/>
          <w:lang w:val="fr-FR"/>
        </w:rPr>
        <w:t>’</w:t>
      </w:r>
      <w:r w:rsidR="000C639C" w:rsidRPr="00453545">
        <w:rPr>
          <w:spacing w:val="-2"/>
          <w:sz w:val="18"/>
          <w:szCs w:val="18"/>
          <w:lang w:val="fr-FR"/>
        </w:rPr>
        <w:t>examen de l</w:t>
      </w:r>
      <w:r w:rsidR="00016CC5" w:rsidRPr="00453545">
        <w:rPr>
          <w:spacing w:val="-2"/>
          <w:sz w:val="18"/>
          <w:szCs w:val="18"/>
          <w:lang w:val="fr-FR"/>
        </w:rPr>
        <w:t>’</w:t>
      </w:r>
      <w:r w:rsidR="000C639C" w:rsidRPr="00453545">
        <w:rPr>
          <w:spacing w:val="-2"/>
          <w:sz w:val="18"/>
          <w:szCs w:val="18"/>
          <w:lang w:val="fr-FR"/>
        </w:rPr>
        <w:t>UPOV</w:t>
      </w:r>
      <w:r w:rsidR="000C639C" w:rsidRPr="00F04E31">
        <w:rPr>
          <w:sz w:val="18"/>
          <w:szCs w:val="18"/>
          <w:lang w:val="fr-FR"/>
        </w:rPr>
        <w:t xml:space="preserve"> (caractères manquants ou différents)</w:t>
      </w:r>
    </w:p>
    <w:p w:rsidR="00BB6E2B" w:rsidRPr="00F04E31" w:rsidRDefault="007E65CD" w:rsidP="00453545">
      <w:pPr>
        <w:pStyle w:val="ListParagraph"/>
        <w:numPr>
          <w:ilvl w:val="0"/>
          <w:numId w:val="1"/>
        </w:numPr>
        <w:ind w:left="1701" w:right="562" w:hanging="567"/>
        <w:jc w:val="both"/>
        <w:rPr>
          <w:sz w:val="18"/>
          <w:szCs w:val="18"/>
          <w:lang w:val="fr-FR"/>
        </w:rPr>
      </w:pPr>
      <w:r w:rsidRPr="00016CC5">
        <w:rPr>
          <w:sz w:val="18"/>
          <w:lang w:val="fr-CH"/>
        </w:rPr>
        <w:t>“</w:t>
      </w:r>
      <w:r w:rsidR="000C639C" w:rsidRPr="00F04E31">
        <w:rPr>
          <w:sz w:val="18"/>
          <w:szCs w:val="18"/>
          <w:lang w:val="fr-FR"/>
        </w:rPr>
        <w:t>Difficulté à compléter les collections de variétés (p. ex. difficultés relatives à 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importation ou d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ordre phytosanitaire)</w:t>
      </w:r>
    </w:p>
    <w:p w:rsidR="00BB6E2B" w:rsidRPr="00F04E31" w:rsidRDefault="007E65CD" w:rsidP="00453545">
      <w:pPr>
        <w:pStyle w:val="ListParagraph"/>
        <w:numPr>
          <w:ilvl w:val="0"/>
          <w:numId w:val="1"/>
        </w:numPr>
        <w:ind w:left="1701" w:right="562" w:hanging="567"/>
        <w:jc w:val="both"/>
        <w:rPr>
          <w:sz w:val="18"/>
          <w:szCs w:val="18"/>
          <w:lang w:val="fr-FR"/>
        </w:rPr>
      </w:pPr>
      <w:r w:rsidRPr="00F04E31">
        <w:rPr>
          <w:sz w:val="18"/>
          <w:lang w:val="fr-CH"/>
        </w:rPr>
        <w:t>“</w:t>
      </w:r>
      <w:r w:rsidR="000C639C" w:rsidRPr="00F04E31">
        <w:rPr>
          <w:sz w:val="18"/>
          <w:szCs w:val="18"/>
          <w:lang w:val="fr-FR"/>
        </w:rPr>
        <w:t>Manque de base de données d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ADN mondiale pour la sélection de variétés similaires</w:t>
      </w:r>
    </w:p>
    <w:p w:rsidR="00BB6E2B" w:rsidRPr="00F04E31" w:rsidRDefault="007E65CD" w:rsidP="00453545">
      <w:pPr>
        <w:pStyle w:val="ListParagraph"/>
        <w:numPr>
          <w:ilvl w:val="0"/>
          <w:numId w:val="1"/>
        </w:numPr>
        <w:ind w:left="1701" w:right="562" w:hanging="567"/>
        <w:jc w:val="both"/>
        <w:rPr>
          <w:sz w:val="18"/>
          <w:szCs w:val="18"/>
          <w:lang w:val="fr-FR"/>
        </w:rPr>
      </w:pPr>
      <w:r w:rsidRPr="00F04E31">
        <w:rPr>
          <w:sz w:val="18"/>
        </w:rPr>
        <w:t>“</w:t>
      </w:r>
      <w:r w:rsidR="000C639C" w:rsidRPr="00F04E31">
        <w:rPr>
          <w:sz w:val="18"/>
          <w:szCs w:val="18"/>
          <w:lang w:val="fr-FR"/>
        </w:rPr>
        <w:t>Barrières linguistiques</w:t>
      </w:r>
    </w:p>
    <w:p w:rsidR="00BB6E2B" w:rsidRPr="00F04E31" w:rsidRDefault="007E65CD" w:rsidP="00453545">
      <w:pPr>
        <w:pStyle w:val="ListParagraph"/>
        <w:numPr>
          <w:ilvl w:val="0"/>
          <w:numId w:val="1"/>
        </w:numPr>
        <w:ind w:left="1701" w:right="562" w:hanging="567"/>
        <w:jc w:val="both"/>
        <w:rPr>
          <w:sz w:val="18"/>
          <w:szCs w:val="18"/>
          <w:lang w:val="fr-FR"/>
        </w:rPr>
      </w:pPr>
      <w:r w:rsidRPr="00F04E31">
        <w:rPr>
          <w:sz w:val="18"/>
        </w:rPr>
        <w:t>“</w:t>
      </w:r>
      <w:r w:rsidR="000C639C" w:rsidRPr="00F04E31">
        <w:rPr>
          <w:sz w:val="18"/>
          <w:szCs w:val="18"/>
          <w:lang w:val="fr-FR"/>
        </w:rPr>
        <w:t>Difficulté à identifier les interlocuteurs</w:t>
      </w:r>
    </w:p>
    <w:p w:rsidR="00BB6E2B" w:rsidRPr="00F04E31" w:rsidRDefault="007E65CD" w:rsidP="00453545">
      <w:pPr>
        <w:pStyle w:val="ListParagraph"/>
        <w:numPr>
          <w:ilvl w:val="0"/>
          <w:numId w:val="1"/>
        </w:numPr>
        <w:spacing w:after="0"/>
        <w:ind w:left="1701" w:right="562" w:hanging="567"/>
        <w:jc w:val="both"/>
        <w:rPr>
          <w:sz w:val="18"/>
          <w:szCs w:val="18"/>
          <w:lang w:val="fr-FR"/>
        </w:rPr>
      </w:pPr>
      <w:r w:rsidRPr="00F04E31">
        <w:rPr>
          <w:sz w:val="18"/>
          <w:lang w:val="fr-CH"/>
        </w:rPr>
        <w:t>“</w:t>
      </w:r>
      <w:r w:rsidR="000C639C" w:rsidRPr="00F04E31">
        <w:rPr>
          <w:sz w:val="18"/>
          <w:szCs w:val="18"/>
          <w:lang w:val="fr-FR"/>
        </w:rPr>
        <w:t>Manque d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informations sur les rapports d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examen DHS disponibles</w:t>
      </w:r>
    </w:p>
    <w:p w:rsidR="00BB6E2B" w:rsidRDefault="00BB6E2B" w:rsidP="000C639C">
      <w:pPr>
        <w:rPr>
          <w:sz w:val="18"/>
          <w:szCs w:val="18"/>
          <w:lang w:val="fr-FR"/>
        </w:rPr>
      </w:pPr>
    </w:p>
    <w:p w:rsidR="00453545" w:rsidRPr="00F04E31" w:rsidRDefault="00453545" w:rsidP="000C639C">
      <w:pPr>
        <w:rPr>
          <w:sz w:val="18"/>
          <w:szCs w:val="18"/>
          <w:lang w:val="fr-FR"/>
        </w:rPr>
      </w:pPr>
    </w:p>
    <w:p w:rsidR="00BB6E2B" w:rsidRPr="00C52B70" w:rsidRDefault="007E65CD" w:rsidP="007E65CD">
      <w:pPr>
        <w:ind w:left="540"/>
        <w:rPr>
          <w:i/>
          <w:sz w:val="18"/>
          <w:szCs w:val="18"/>
          <w:lang w:val="fr-FR"/>
        </w:rPr>
      </w:pPr>
      <w:r w:rsidRPr="00C52B70">
        <w:rPr>
          <w:sz w:val="18"/>
          <w:szCs w:val="18"/>
        </w:rPr>
        <w:t>“</w:t>
      </w:r>
      <w:r w:rsidR="000C639C" w:rsidRPr="00C52B70">
        <w:rPr>
          <w:i/>
          <w:sz w:val="18"/>
          <w:szCs w:val="18"/>
          <w:lang w:val="fr-FR"/>
        </w:rPr>
        <w:t>Questions politiques ou juridiques</w:t>
      </w:r>
      <w:r w:rsidR="00016CC5" w:rsidRPr="00C52B70">
        <w:rPr>
          <w:i/>
          <w:sz w:val="18"/>
          <w:szCs w:val="18"/>
          <w:lang w:val="fr-FR"/>
        </w:rPr>
        <w:t> :</w:t>
      </w:r>
    </w:p>
    <w:p w:rsidR="00BB6E2B" w:rsidRPr="00F04E31" w:rsidRDefault="00BB6E2B" w:rsidP="000C639C">
      <w:pPr>
        <w:rPr>
          <w:sz w:val="18"/>
          <w:szCs w:val="18"/>
          <w:lang w:val="fr-FR"/>
        </w:rPr>
      </w:pPr>
    </w:p>
    <w:p w:rsidR="00BB6E2B" w:rsidRPr="00F04E31" w:rsidRDefault="007E65CD" w:rsidP="007712AC">
      <w:pPr>
        <w:pStyle w:val="ListParagraph"/>
        <w:numPr>
          <w:ilvl w:val="0"/>
          <w:numId w:val="1"/>
        </w:numPr>
        <w:ind w:left="1701" w:hanging="567"/>
        <w:jc w:val="both"/>
        <w:rPr>
          <w:sz w:val="18"/>
          <w:szCs w:val="18"/>
          <w:lang w:val="fr-FR"/>
        </w:rPr>
      </w:pPr>
      <w:r w:rsidRPr="00F04E31">
        <w:rPr>
          <w:sz w:val="18"/>
          <w:lang w:val="fr-CH"/>
        </w:rPr>
        <w:t>“</w:t>
      </w:r>
      <w:r w:rsidR="000C639C" w:rsidRPr="00F04E31">
        <w:rPr>
          <w:sz w:val="18"/>
          <w:szCs w:val="18"/>
          <w:lang w:val="fr-FR"/>
        </w:rPr>
        <w:t>Besoin d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un accord de coopération formel</w:t>
      </w:r>
    </w:p>
    <w:p w:rsidR="00BB6E2B" w:rsidRPr="00F04E31" w:rsidRDefault="007E65CD" w:rsidP="007712AC">
      <w:pPr>
        <w:pStyle w:val="ListParagraph"/>
        <w:numPr>
          <w:ilvl w:val="0"/>
          <w:numId w:val="1"/>
        </w:numPr>
        <w:ind w:left="1701" w:hanging="567"/>
        <w:jc w:val="both"/>
        <w:rPr>
          <w:sz w:val="18"/>
          <w:szCs w:val="18"/>
          <w:lang w:val="fr-FR"/>
        </w:rPr>
      </w:pPr>
      <w:r w:rsidRPr="00F04E31">
        <w:rPr>
          <w:sz w:val="18"/>
          <w:lang w:val="fr-CH"/>
        </w:rPr>
        <w:t>“</w:t>
      </w:r>
      <w:r w:rsidR="000C639C" w:rsidRPr="00F04E31">
        <w:rPr>
          <w:sz w:val="18"/>
          <w:szCs w:val="18"/>
          <w:lang w:val="fr-FR"/>
        </w:rPr>
        <w:t>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examen DHS doit être conduit par le service chargé de 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octroi des droits</w:t>
      </w:r>
    </w:p>
    <w:p w:rsidR="007B6BB8" w:rsidRPr="00F04E31" w:rsidRDefault="007E65CD" w:rsidP="007712AC">
      <w:pPr>
        <w:pStyle w:val="ListParagraph"/>
        <w:numPr>
          <w:ilvl w:val="0"/>
          <w:numId w:val="1"/>
        </w:numPr>
        <w:ind w:left="1701" w:hanging="567"/>
        <w:jc w:val="both"/>
        <w:rPr>
          <w:sz w:val="18"/>
          <w:szCs w:val="18"/>
          <w:lang w:val="fr-FR"/>
        </w:rPr>
      </w:pPr>
      <w:r w:rsidRPr="00F04E31">
        <w:rPr>
          <w:sz w:val="18"/>
          <w:lang w:val="fr-CH"/>
        </w:rPr>
        <w:t>“</w:t>
      </w:r>
      <w:r w:rsidR="000C639C" w:rsidRPr="00F04E31">
        <w:rPr>
          <w:sz w:val="18"/>
          <w:szCs w:val="18"/>
          <w:lang w:val="fr-FR"/>
        </w:rPr>
        <w:t>Non</w:t>
      </w:r>
      <w:r w:rsidR="00016CC5">
        <w:rPr>
          <w:sz w:val="18"/>
          <w:szCs w:val="18"/>
          <w:lang w:val="fr-FR"/>
        </w:rPr>
        <w:t>-</w:t>
      </w:r>
      <w:r w:rsidR="000C639C" w:rsidRPr="00F04E31">
        <w:rPr>
          <w:sz w:val="18"/>
          <w:szCs w:val="18"/>
          <w:lang w:val="fr-FR"/>
        </w:rPr>
        <w:t>acceptation des rapports d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examen DHS établis par 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obtenteur</w:t>
      </w:r>
    </w:p>
    <w:p w:rsidR="00BB6E2B" w:rsidRPr="00F04E31" w:rsidRDefault="007E65CD" w:rsidP="007712AC">
      <w:pPr>
        <w:pStyle w:val="ListParagraph"/>
        <w:numPr>
          <w:ilvl w:val="0"/>
          <w:numId w:val="1"/>
        </w:numPr>
        <w:ind w:left="1701" w:hanging="567"/>
        <w:jc w:val="both"/>
        <w:rPr>
          <w:sz w:val="18"/>
          <w:szCs w:val="18"/>
          <w:lang w:val="fr-FR"/>
        </w:rPr>
      </w:pPr>
      <w:r w:rsidRPr="00F04E31">
        <w:rPr>
          <w:sz w:val="18"/>
          <w:lang w:val="fr-CH"/>
        </w:rPr>
        <w:t>“</w:t>
      </w:r>
      <w:r w:rsidR="000C639C" w:rsidRPr="00F04E31">
        <w:rPr>
          <w:sz w:val="18"/>
          <w:szCs w:val="18"/>
          <w:lang w:val="fr-FR"/>
        </w:rPr>
        <w:t xml:space="preserve">Volonté (on non) </w:t>
      </w:r>
      <w:r w:rsidRPr="00F04E31">
        <w:rPr>
          <w:lang w:val="fr-CH"/>
        </w:rPr>
        <w:t>“</w:t>
      </w:r>
      <w:r w:rsidR="000C639C" w:rsidRPr="00F04E31">
        <w:rPr>
          <w:sz w:val="18"/>
          <w:szCs w:val="18"/>
          <w:lang w:val="fr-FR"/>
        </w:rPr>
        <w:t>des obtenteurs d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utiliser les rapports d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examen DHS existants</w:t>
      </w:r>
      <w:r w:rsidRPr="00F04E31">
        <w:rPr>
          <w:sz w:val="18"/>
          <w:lang w:val="fr-CH"/>
        </w:rPr>
        <w:t>”.</w:t>
      </w:r>
    </w:p>
    <w:p w:rsidR="00BB6E2B" w:rsidRPr="00D6618F" w:rsidRDefault="00BB6E2B" w:rsidP="003D5795">
      <w:pPr>
        <w:tabs>
          <w:tab w:val="left" w:pos="567"/>
        </w:tabs>
        <w:rPr>
          <w:lang w:val="fr-FR"/>
        </w:rPr>
      </w:pPr>
    </w:p>
    <w:p w:rsidR="00BB6E2B" w:rsidRPr="00D6618F" w:rsidRDefault="00BB6E2B" w:rsidP="00BB6E2B">
      <w:pPr>
        <w:keepNext/>
        <w:rPr>
          <w:lang w:val="fr-FR"/>
        </w:rPr>
      </w:pPr>
      <w:r w:rsidRPr="00D6618F">
        <w:rPr>
          <w:lang w:val="fr-FR"/>
        </w:rPr>
        <w:t>À sa cinquante</w:t>
      </w:r>
      <w:r w:rsidR="00016CC5">
        <w:rPr>
          <w:lang w:val="fr-FR"/>
        </w:rPr>
        <w:t>-</w:t>
      </w:r>
      <w:r w:rsidRPr="00D6618F">
        <w:rPr>
          <w:lang w:val="fr-FR"/>
        </w:rPr>
        <w:t>cinqu</w:t>
      </w:r>
      <w:r w:rsidR="00016CC5">
        <w:rPr>
          <w:lang w:val="fr-FR"/>
        </w:rPr>
        <w:t>ième session</w:t>
      </w:r>
      <w:r w:rsidRPr="00D6618F">
        <w:rPr>
          <w:lang w:val="fr-FR"/>
        </w:rPr>
        <w:t>, le</w:t>
      </w:r>
      <w:r w:rsidR="00016CC5">
        <w:rPr>
          <w:lang w:val="fr-FR"/>
        </w:rPr>
        <w:t> TC</w:t>
      </w:r>
      <w:r w:rsidRPr="00D6618F">
        <w:rPr>
          <w:lang w:val="fr-FR"/>
        </w:rPr>
        <w:t xml:space="preserve"> est convenu de rendre compte</w:t>
      </w:r>
      <w:r w:rsidR="00016CC5" w:rsidRPr="00D6618F">
        <w:rPr>
          <w:lang w:val="fr-FR"/>
        </w:rPr>
        <w:t xml:space="preserve"> au</w:t>
      </w:r>
      <w:r w:rsidR="00016CC5">
        <w:rPr>
          <w:lang w:val="fr-FR"/>
        </w:rPr>
        <w:t> </w:t>
      </w:r>
      <w:r w:rsidR="00016CC5" w:rsidRPr="00D6618F">
        <w:rPr>
          <w:lang w:val="fr-FR"/>
        </w:rPr>
        <w:t>CAJ</w:t>
      </w:r>
      <w:r w:rsidRPr="00D6618F">
        <w:rPr>
          <w:lang w:val="fr-FR"/>
        </w:rPr>
        <w:t xml:space="preserve"> des questions politiques ou juridiques connexes présentées aux </w:t>
      </w:r>
      <w:r w:rsidR="00016CC5" w:rsidRPr="00D6618F">
        <w:rPr>
          <w:lang w:val="fr-FR"/>
        </w:rPr>
        <w:t>paragraphes</w:t>
      </w:r>
      <w:r w:rsidR="00016CC5">
        <w:rPr>
          <w:lang w:val="fr-FR"/>
        </w:rPr>
        <w:t> </w:t>
      </w:r>
      <w:r w:rsidR="00016CC5" w:rsidRPr="00D6618F">
        <w:rPr>
          <w:lang w:val="fr-FR"/>
        </w:rPr>
        <w:t>2</w:t>
      </w:r>
      <w:r w:rsidRPr="00D6618F">
        <w:rPr>
          <w:lang w:val="fr-FR"/>
        </w:rPr>
        <w:t xml:space="preserve">7 et 28 du </w:t>
      </w:r>
      <w:r w:rsidR="00016CC5" w:rsidRPr="00D6618F">
        <w:rPr>
          <w:lang w:val="fr-FR"/>
        </w:rPr>
        <w:t>document</w:t>
      </w:r>
      <w:r w:rsidR="00016CC5">
        <w:rPr>
          <w:lang w:val="fr-FR"/>
        </w:rPr>
        <w:t xml:space="preserve"> TC</w:t>
      </w:r>
      <w:r w:rsidRPr="00D6618F">
        <w:rPr>
          <w:lang w:val="fr-FR"/>
        </w:rPr>
        <w:t>/55/10, qui sont reproduites ci</w:t>
      </w:r>
      <w:r w:rsidR="00453545">
        <w:rPr>
          <w:lang w:val="fr-FR"/>
        </w:rPr>
        <w:noBreakHyphen/>
      </w:r>
      <w:r w:rsidRPr="00D6618F">
        <w:rPr>
          <w:lang w:val="fr-FR"/>
        </w:rPr>
        <w:t>dessous</w:t>
      </w:r>
      <w:r w:rsidR="00016CC5">
        <w:rPr>
          <w:lang w:val="fr-FR"/>
        </w:rPr>
        <w:t> :</w:t>
      </w:r>
    </w:p>
    <w:p w:rsidR="00BB6E2B" w:rsidRPr="00D6618F" w:rsidRDefault="00BB6E2B" w:rsidP="003D5795">
      <w:pPr>
        <w:keepNext/>
        <w:rPr>
          <w:lang w:val="fr-FR"/>
        </w:rPr>
      </w:pPr>
    </w:p>
    <w:p w:rsidR="00BB6E2B" w:rsidRPr="00F04E31" w:rsidRDefault="00BB6E2B" w:rsidP="00BB6E2B">
      <w:pPr>
        <w:pStyle w:val="ListParagraph"/>
        <w:numPr>
          <w:ilvl w:val="0"/>
          <w:numId w:val="1"/>
        </w:numPr>
        <w:spacing w:after="0" w:line="240" w:lineRule="auto"/>
        <w:ind w:left="1700" w:right="562" w:hanging="562"/>
        <w:contextualSpacing w:val="0"/>
        <w:jc w:val="both"/>
        <w:rPr>
          <w:sz w:val="18"/>
          <w:lang w:val="fr-FR"/>
        </w:rPr>
      </w:pPr>
      <w:r w:rsidRPr="00F04E31">
        <w:rPr>
          <w:sz w:val="18"/>
          <w:lang w:val="fr-FR"/>
        </w:rPr>
        <w:t>“</w:t>
      </w:r>
      <w:r w:rsidR="000C639C" w:rsidRPr="00F04E31">
        <w:rPr>
          <w:sz w:val="18"/>
          <w:szCs w:val="18"/>
          <w:lang w:val="fr-FR"/>
        </w:rPr>
        <w:t>Besoin d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un accord de coopération formel</w:t>
      </w:r>
    </w:p>
    <w:p w:rsidR="00BB6E2B" w:rsidRPr="00F04E31" w:rsidRDefault="00BB6E2B" w:rsidP="00BB6E2B">
      <w:pPr>
        <w:pStyle w:val="ListParagraph"/>
        <w:numPr>
          <w:ilvl w:val="0"/>
          <w:numId w:val="1"/>
        </w:numPr>
        <w:spacing w:after="0" w:line="240" w:lineRule="auto"/>
        <w:ind w:left="1700" w:right="562" w:hanging="562"/>
        <w:contextualSpacing w:val="0"/>
        <w:jc w:val="both"/>
        <w:rPr>
          <w:sz w:val="18"/>
          <w:lang w:val="fr-FR"/>
        </w:rPr>
      </w:pPr>
      <w:r w:rsidRPr="00F04E31">
        <w:rPr>
          <w:sz w:val="18"/>
          <w:lang w:val="fr-FR"/>
        </w:rPr>
        <w:t>“</w:t>
      </w:r>
      <w:r w:rsidR="000C639C" w:rsidRPr="00F04E31">
        <w:rPr>
          <w:sz w:val="18"/>
          <w:szCs w:val="18"/>
          <w:lang w:val="fr-FR"/>
        </w:rPr>
        <w:t>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examen</w:t>
      </w:r>
      <w:r w:rsidR="00A27AC6">
        <w:rPr>
          <w:sz w:val="18"/>
          <w:szCs w:val="18"/>
          <w:lang w:val="fr-FR"/>
        </w:rPr>
        <w:t> </w:t>
      </w:r>
      <w:r w:rsidR="000C639C" w:rsidRPr="00F04E31">
        <w:rPr>
          <w:sz w:val="18"/>
          <w:szCs w:val="18"/>
          <w:lang w:val="fr-FR"/>
        </w:rPr>
        <w:t>DHS doit être conduit par le service chargé de 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octroi des droits</w:t>
      </w:r>
    </w:p>
    <w:p w:rsidR="00BB6E2B" w:rsidRPr="00F04E31" w:rsidRDefault="00BB6E2B" w:rsidP="00BB6E2B">
      <w:pPr>
        <w:pStyle w:val="ListParagraph"/>
        <w:numPr>
          <w:ilvl w:val="0"/>
          <w:numId w:val="1"/>
        </w:numPr>
        <w:spacing w:after="0" w:line="240" w:lineRule="auto"/>
        <w:ind w:left="1700" w:right="562" w:hanging="562"/>
        <w:contextualSpacing w:val="0"/>
        <w:jc w:val="both"/>
        <w:rPr>
          <w:sz w:val="18"/>
          <w:lang w:val="fr-FR"/>
        </w:rPr>
      </w:pPr>
      <w:r w:rsidRPr="00F04E31">
        <w:rPr>
          <w:sz w:val="18"/>
          <w:lang w:val="fr-FR"/>
        </w:rPr>
        <w:t>“</w:t>
      </w:r>
      <w:r w:rsidR="000C639C" w:rsidRPr="00F04E31">
        <w:rPr>
          <w:sz w:val="18"/>
          <w:szCs w:val="18"/>
          <w:lang w:val="fr-FR"/>
        </w:rPr>
        <w:t>Non</w:t>
      </w:r>
      <w:r w:rsidR="00016CC5">
        <w:rPr>
          <w:sz w:val="18"/>
          <w:szCs w:val="18"/>
          <w:lang w:val="fr-FR"/>
        </w:rPr>
        <w:t>-</w:t>
      </w:r>
      <w:r w:rsidR="000C639C" w:rsidRPr="00F04E31">
        <w:rPr>
          <w:sz w:val="18"/>
          <w:szCs w:val="18"/>
          <w:lang w:val="fr-FR"/>
        </w:rPr>
        <w:t>acceptation des rapports d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examen</w:t>
      </w:r>
      <w:r w:rsidR="00A27AC6">
        <w:rPr>
          <w:sz w:val="18"/>
          <w:szCs w:val="18"/>
          <w:lang w:val="fr-FR"/>
        </w:rPr>
        <w:t> </w:t>
      </w:r>
      <w:r w:rsidR="000C639C" w:rsidRPr="00F04E31">
        <w:rPr>
          <w:sz w:val="18"/>
          <w:szCs w:val="18"/>
          <w:lang w:val="fr-FR"/>
        </w:rPr>
        <w:t>DHS établis par l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obtenteur</w:t>
      </w:r>
    </w:p>
    <w:p w:rsidR="00BB6E2B" w:rsidRPr="00F04E31" w:rsidRDefault="00BB6E2B" w:rsidP="00BB6E2B">
      <w:pPr>
        <w:pStyle w:val="ListParagraph"/>
        <w:numPr>
          <w:ilvl w:val="0"/>
          <w:numId w:val="1"/>
        </w:numPr>
        <w:spacing w:after="0" w:line="240" w:lineRule="auto"/>
        <w:ind w:left="1700" w:right="562" w:hanging="562"/>
        <w:contextualSpacing w:val="0"/>
        <w:jc w:val="both"/>
        <w:rPr>
          <w:sz w:val="18"/>
          <w:lang w:val="fr-FR"/>
        </w:rPr>
      </w:pPr>
      <w:r w:rsidRPr="00F04E31">
        <w:rPr>
          <w:sz w:val="18"/>
          <w:lang w:val="fr-FR"/>
        </w:rPr>
        <w:t>“</w:t>
      </w:r>
      <w:r w:rsidR="000C639C" w:rsidRPr="00F04E31">
        <w:rPr>
          <w:sz w:val="18"/>
          <w:szCs w:val="18"/>
          <w:lang w:val="fr-FR"/>
        </w:rPr>
        <w:t>Volonté (o</w:t>
      </w:r>
      <w:r w:rsidR="006F4057">
        <w:rPr>
          <w:sz w:val="18"/>
          <w:szCs w:val="18"/>
          <w:lang w:val="fr-FR"/>
        </w:rPr>
        <w:t>u</w:t>
      </w:r>
      <w:r w:rsidR="000C639C" w:rsidRPr="00F04E31">
        <w:rPr>
          <w:sz w:val="18"/>
          <w:szCs w:val="18"/>
          <w:lang w:val="fr-FR"/>
        </w:rPr>
        <w:t xml:space="preserve"> non) des obtenteurs d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utiliser les rapports d</w:t>
      </w:r>
      <w:r w:rsidR="00016CC5">
        <w:rPr>
          <w:sz w:val="18"/>
          <w:szCs w:val="18"/>
          <w:lang w:val="fr-FR"/>
        </w:rPr>
        <w:t>’</w:t>
      </w:r>
      <w:r w:rsidR="000C639C" w:rsidRPr="00F04E31">
        <w:rPr>
          <w:sz w:val="18"/>
          <w:szCs w:val="18"/>
          <w:lang w:val="fr-FR"/>
        </w:rPr>
        <w:t>examen</w:t>
      </w:r>
      <w:r w:rsidR="00A27AC6">
        <w:rPr>
          <w:sz w:val="18"/>
          <w:szCs w:val="18"/>
          <w:lang w:val="fr-FR"/>
        </w:rPr>
        <w:t> </w:t>
      </w:r>
      <w:r w:rsidR="000C639C" w:rsidRPr="00F04E31">
        <w:rPr>
          <w:sz w:val="18"/>
          <w:szCs w:val="18"/>
          <w:lang w:val="fr-FR"/>
        </w:rPr>
        <w:t>DHS existants</w:t>
      </w:r>
      <w:r w:rsidRPr="00F04E31">
        <w:rPr>
          <w:sz w:val="18"/>
          <w:lang w:val="fr-FR"/>
        </w:rPr>
        <w:t>”.</w:t>
      </w:r>
    </w:p>
    <w:p w:rsidR="00BB6E2B" w:rsidRPr="00D6618F" w:rsidRDefault="00BB6E2B" w:rsidP="000C639C">
      <w:pPr>
        <w:pStyle w:val="ListParagraph"/>
        <w:spacing w:after="0" w:line="240" w:lineRule="auto"/>
        <w:ind w:left="1700" w:right="562"/>
        <w:contextualSpacing w:val="0"/>
        <w:jc w:val="both"/>
        <w:rPr>
          <w:sz w:val="18"/>
          <w:lang w:val="fr-FR"/>
        </w:rPr>
      </w:pPr>
    </w:p>
    <w:p w:rsidR="00BB6E2B" w:rsidRPr="00D6618F" w:rsidRDefault="00BB6E2B" w:rsidP="00D778BB">
      <w:pPr>
        <w:rPr>
          <w:lang w:val="fr-FR"/>
        </w:rPr>
      </w:pPr>
    </w:p>
    <w:p w:rsidR="00016CC5" w:rsidRDefault="00BB6E2B" w:rsidP="00BB6E2B">
      <w:pPr>
        <w:keepNext/>
        <w:keepLines/>
        <w:tabs>
          <w:tab w:val="left" w:pos="567"/>
        </w:tabs>
        <w:rPr>
          <w:spacing w:val="2"/>
          <w:lang w:val="fr-FR"/>
        </w:rPr>
      </w:pPr>
      <w:r w:rsidRPr="00D6618F">
        <w:rPr>
          <w:spacing w:val="2"/>
          <w:lang w:val="fr-FR"/>
        </w:rPr>
        <w:lastRenderedPageBreak/>
        <w:t>À sa cinquante</w:t>
      </w:r>
      <w:r w:rsidR="00016CC5">
        <w:rPr>
          <w:spacing w:val="2"/>
          <w:lang w:val="fr-FR"/>
        </w:rPr>
        <w:t>-</w:t>
      </w:r>
      <w:r w:rsidRPr="00D6618F">
        <w:rPr>
          <w:spacing w:val="2"/>
          <w:lang w:val="fr-FR"/>
        </w:rPr>
        <w:t>six</w:t>
      </w:r>
      <w:r w:rsidR="00016CC5">
        <w:rPr>
          <w:spacing w:val="2"/>
          <w:lang w:val="fr-FR"/>
        </w:rPr>
        <w:t>ième session</w:t>
      </w:r>
      <w:r w:rsidRPr="00D6618F">
        <w:rPr>
          <w:rStyle w:val="FootnoteReference"/>
          <w:spacing w:val="2"/>
          <w:lang w:val="fr-FR"/>
        </w:rPr>
        <w:footnoteReference w:id="5"/>
      </w:r>
      <w:r w:rsidRPr="00D6618F">
        <w:rPr>
          <w:spacing w:val="2"/>
          <w:lang w:val="fr-FR"/>
        </w:rPr>
        <w:t>, le</w:t>
      </w:r>
      <w:r w:rsidR="00016CC5">
        <w:rPr>
          <w:spacing w:val="2"/>
          <w:lang w:val="fr-FR"/>
        </w:rPr>
        <w:t> TC</w:t>
      </w:r>
      <w:r w:rsidRPr="00D6618F">
        <w:rPr>
          <w:spacing w:val="2"/>
          <w:lang w:val="fr-FR"/>
        </w:rPr>
        <w:t xml:space="preserve"> a indiqué qu</w:t>
      </w:r>
      <w:r w:rsidR="00016CC5">
        <w:rPr>
          <w:spacing w:val="2"/>
          <w:lang w:val="fr-FR"/>
        </w:rPr>
        <w:t>’</w:t>
      </w:r>
      <w:r w:rsidRPr="00D6618F">
        <w:rPr>
          <w:spacing w:val="2"/>
          <w:lang w:val="fr-FR"/>
        </w:rPr>
        <w:t xml:space="preserve">il avait examiné le </w:t>
      </w:r>
      <w:r w:rsidR="00016CC5" w:rsidRPr="00D6618F">
        <w:rPr>
          <w:spacing w:val="2"/>
          <w:lang w:val="fr-FR"/>
        </w:rPr>
        <w:t>document</w:t>
      </w:r>
      <w:r w:rsidR="00016CC5">
        <w:rPr>
          <w:spacing w:val="2"/>
          <w:lang w:val="fr-FR"/>
        </w:rPr>
        <w:t xml:space="preserve"> TC</w:t>
      </w:r>
      <w:r w:rsidRPr="00D6618F">
        <w:rPr>
          <w:spacing w:val="2"/>
          <w:lang w:val="fr-FR"/>
        </w:rPr>
        <w:t>/56/11 par correspondan</w:t>
      </w:r>
      <w:r w:rsidR="006F4057" w:rsidRPr="00D6618F">
        <w:rPr>
          <w:spacing w:val="2"/>
          <w:lang w:val="fr-FR"/>
        </w:rPr>
        <w:t>ce</w:t>
      </w:r>
      <w:r w:rsidR="006F4057">
        <w:rPr>
          <w:spacing w:val="2"/>
          <w:lang w:val="fr-FR"/>
        </w:rPr>
        <w:t xml:space="preserve">.  </w:t>
      </w:r>
      <w:r w:rsidR="006F4057" w:rsidRPr="00D6618F">
        <w:rPr>
          <w:spacing w:val="2"/>
          <w:lang w:val="fr-FR"/>
        </w:rPr>
        <w:t>Il</w:t>
      </w:r>
      <w:r w:rsidRPr="00D6618F">
        <w:rPr>
          <w:spacing w:val="2"/>
          <w:lang w:val="fr-FR"/>
        </w:rPr>
        <w:t xml:space="preserve"> a noté que les décisions concernant le </w:t>
      </w:r>
      <w:r w:rsidR="00016CC5" w:rsidRPr="00D6618F">
        <w:rPr>
          <w:spacing w:val="2"/>
          <w:lang w:val="fr-FR"/>
        </w:rPr>
        <w:t>document</w:t>
      </w:r>
      <w:r w:rsidR="00016CC5">
        <w:rPr>
          <w:spacing w:val="2"/>
          <w:lang w:val="fr-FR"/>
        </w:rPr>
        <w:t xml:space="preserve"> TC</w:t>
      </w:r>
      <w:r w:rsidRPr="00D6618F">
        <w:rPr>
          <w:spacing w:val="2"/>
          <w:lang w:val="fr-FR"/>
        </w:rPr>
        <w:t>/56/11 avaient été prises par le</w:t>
      </w:r>
      <w:r w:rsidR="00016CC5">
        <w:rPr>
          <w:spacing w:val="2"/>
          <w:lang w:val="fr-FR"/>
        </w:rPr>
        <w:t> TC</w:t>
      </w:r>
      <w:r w:rsidRPr="00D6618F">
        <w:rPr>
          <w:spacing w:val="2"/>
          <w:lang w:val="fr-FR"/>
        </w:rPr>
        <w:t xml:space="preserve"> par correspondance et figuraient aux </w:t>
      </w:r>
      <w:r w:rsidR="00016CC5" w:rsidRPr="00D6618F">
        <w:rPr>
          <w:spacing w:val="2"/>
          <w:lang w:val="fr-FR"/>
        </w:rPr>
        <w:t>paragraphes</w:t>
      </w:r>
      <w:r w:rsidR="00016CC5">
        <w:rPr>
          <w:spacing w:val="2"/>
          <w:lang w:val="fr-FR"/>
        </w:rPr>
        <w:t> </w:t>
      </w:r>
      <w:r w:rsidR="00016CC5" w:rsidRPr="00D6618F">
        <w:rPr>
          <w:spacing w:val="2"/>
          <w:lang w:val="fr-FR"/>
        </w:rPr>
        <w:t>3</w:t>
      </w:r>
      <w:r w:rsidRPr="00D6618F">
        <w:rPr>
          <w:spacing w:val="2"/>
          <w:lang w:val="fr-FR"/>
        </w:rPr>
        <w:t xml:space="preserve">9 à 44 du </w:t>
      </w:r>
      <w:r w:rsidR="00016CC5" w:rsidRPr="00D6618F">
        <w:rPr>
          <w:spacing w:val="2"/>
          <w:lang w:val="fr-FR"/>
        </w:rPr>
        <w:t>document</w:t>
      </w:r>
      <w:r w:rsidR="00016CC5">
        <w:rPr>
          <w:spacing w:val="2"/>
          <w:lang w:val="fr-FR"/>
        </w:rPr>
        <w:t xml:space="preserve"> TC</w:t>
      </w:r>
      <w:r w:rsidRPr="00D6618F">
        <w:rPr>
          <w:spacing w:val="2"/>
          <w:lang w:val="fr-FR"/>
        </w:rPr>
        <w:t>/56/22, reproduits ci</w:t>
      </w:r>
      <w:r w:rsidR="00016CC5">
        <w:rPr>
          <w:spacing w:val="2"/>
          <w:lang w:val="fr-FR"/>
        </w:rPr>
        <w:t>-</w:t>
      </w:r>
      <w:r w:rsidRPr="00D6618F">
        <w:rPr>
          <w:spacing w:val="2"/>
          <w:lang w:val="fr-FR"/>
        </w:rPr>
        <w:t>dessous</w:t>
      </w:r>
      <w:r w:rsidR="00016CC5">
        <w:rPr>
          <w:spacing w:val="2"/>
          <w:lang w:val="fr-FR"/>
        </w:rPr>
        <w:t> :</w:t>
      </w:r>
    </w:p>
    <w:p w:rsidR="00BB6E2B" w:rsidRPr="00D6618F" w:rsidRDefault="00BB6E2B" w:rsidP="007712AC">
      <w:pPr>
        <w:keepNext/>
        <w:keepLines/>
        <w:ind w:left="1134"/>
        <w:jc w:val="left"/>
        <w:rPr>
          <w:sz w:val="18"/>
          <w:lang w:val="fr-FR"/>
        </w:rPr>
      </w:pPr>
    </w:p>
    <w:p w:rsidR="004B79C3" w:rsidRPr="007E65CD" w:rsidRDefault="00363EE0" w:rsidP="00453545">
      <w:pPr>
        <w:keepNext/>
        <w:ind w:left="1134" w:right="562"/>
        <w:rPr>
          <w:sz w:val="18"/>
          <w:szCs w:val="18"/>
          <w:lang w:val="fr-FR"/>
        </w:rPr>
      </w:pPr>
      <w:r w:rsidRPr="007E65CD">
        <w:rPr>
          <w:sz w:val="18"/>
          <w:lang w:val="fr-FR"/>
        </w:rPr>
        <w:t>“</w:t>
      </w:r>
      <w:r w:rsidR="007E65CD" w:rsidRPr="007E65CD">
        <w:rPr>
          <w:sz w:val="18"/>
          <w:szCs w:val="18"/>
          <w:lang w:val="fr-FR"/>
        </w:rPr>
        <w:t>39.</w:t>
      </w:r>
      <w:r w:rsidR="004B79C3" w:rsidRPr="007E65CD">
        <w:rPr>
          <w:sz w:val="18"/>
          <w:szCs w:val="18"/>
          <w:lang w:val="fr-FR"/>
        </w:rPr>
        <w:tab/>
        <w:t>Le</w:t>
      </w:r>
      <w:r w:rsidR="00016CC5">
        <w:rPr>
          <w:sz w:val="18"/>
          <w:szCs w:val="18"/>
          <w:lang w:val="fr-FR"/>
        </w:rPr>
        <w:t> TC</w:t>
      </w:r>
      <w:r w:rsidR="004B79C3" w:rsidRPr="007E65CD">
        <w:rPr>
          <w:sz w:val="18"/>
          <w:szCs w:val="18"/>
          <w:lang w:val="fr-FR"/>
        </w:rPr>
        <w:t xml:space="preserve"> a examiné le </w:t>
      </w:r>
      <w:r w:rsidR="00016CC5" w:rsidRPr="007E65CD">
        <w:rPr>
          <w:sz w:val="18"/>
          <w:szCs w:val="18"/>
          <w:lang w:val="fr-FR"/>
        </w:rPr>
        <w:t>document</w:t>
      </w:r>
      <w:r w:rsidR="00016CC5">
        <w:rPr>
          <w:sz w:val="18"/>
          <w:szCs w:val="18"/>
          <w:lang w:val="fr-FR"/>
        </w:rPr>
        <w:t xml:space="preserve"> TC</w:t>
      </w:r>
      <w:r w:rsidR="004B79C3" w:rsidRPr="007E65CD">
        <w:rPr>
          <w:sz w:val="18"/>
          <w:szCs w:val="18"/>
          <w:lang w:val="fr-FR"/>
        </w:rPr>
        <w:t>/56/11.</w:t>
      </w:r>
    </w:p>
    <w:p w:rsidR="004B79C3" w:rsidRPr="00D6618F" w:rsidRDefault="004B79C3" w:rsidP="00453545">
      <w:pPr>
        <w:ind w:left="1134" w:right="562" w:hanging="567"/>
        <w:jc w:val="left"/>
        <w:rPr>
          <w:sz w:val="18"/>
          <w:szCs w:val="18"/>
          <w:lang w:val="fr-FR"/>
        </w:rPr>
      </w:pPr>
    </w:p>
    <w:p w:rsidR="004B79C3" w:rsidRPr="00D6618F" w:rsidRDefault="007E65CD" w:rsidP="00453545">
      <w:pPr>
        <w:tabs>
          <w:tab w:val="left" w:pos="567"/>
          <w:tab w:val="left" w:pos="1134"/>
          <w:tab w:val="left" w:pos="1701"/>
          <w:tab w:val="left" w:pos="5387"/>
        </w:tabs>
        <w:ind w:left="1134" w:right="562"/>
        <w:rPr>
          <w:snapToGrid w:val="0"/>
          <w:sz w:val="18"/>
          <w:szCs w:val="18"/>
          <w:lang w:val="fr-FR"/>
        </w:rPr>
      </w:pPr>
      <w:r w:rsidRPr="00D6618F">
        <w:rPr>
          <w:sz w:val="18"/>
          <w:lang w:val="fr-FR"/>
        </w:rPr>
        <w:t>“</w:t>
      </w:r>
      <w:r>
        <w:rPr>
          <w:snapToGrid w:val="0"/>
          <w:sz w:val="18"/>
          <w:szCs w:val="18"/>
          <w:lang w:val="fr-FR"/>
        </w:rPr>
        <w:t>40.</w:t>
      </w:r>
      <w:r w:rsidR="004B79C3" w:rsidRPr="00D6618F">
        <w:rPr>
          <w:snapToGrid w:val="0"/>
          <w:sz w:val="18"/>
          <w:szCs w:val="18"/>
          <w:lang w:val="fr-FR"/>
        </w:rPr>
        <w:tab/>
        <w:t>Le</w:t>
      </w:r>
      <w:r w:rsidR="00016CC5">
        <w:rPr>
          <w:snapToGrid w:val="0"/>
          <w:sz w:val="18"/>
          <w:szCs w:val="18"/>
          <w:lang w:val="fr-FR"/>
        </w:rPr>
        <w:t> TC</w:t>
      </w:r>
      <w:r w:rsidR="004B79C3" w:rsidRPr="00D6618F">
        <w:rPr>
          <w:snapToGrid w:val="0"/>
          <w:sz w:val="18"/>
          <w:szCs w:val="18"/>
          <w:lang w:val="fr-FR"/>
        </w:rPr>
        <w:t xml:space="preserve"> a noté que les membres de l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Union ont la possibilité de mettre à jour les coordonnées des personnes à contacter pour les questions concernant la coopération internationale en matière d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examen DHS de la manière suivante</w:t>
      </w:r>
      <w:r w:rsidR="00016CC5">
        <w:rPr>
          <w:snapToGrid w:val="0"/>
          <w:sz w:val="18"/>
          <w:szCs w:val="18"/>
          <w:lang w:val="fr-FR"/>
        </w:rPr>
        <w:t> :</w:t>
      </w:r>
    </w:p>
    <w:p w:rsidR="004B79C3" w:rsidRPr="00D6618F" w:rsidRDefault="004B79C3" w:rsidP="00453545">
      <w:pPr>
        <w:ind w:left="1134" w:right="562"/>
        <w:rPr>
          <w:snapToGrid w:val="0"/>
          <w:sz w:val="18"/>
          <w:szCs w:val="18"/>
          <w:lang w:val="fr-FR"/>
        </w:rPr>
      </w:pPr>
    </w:p>
    <w:p w:rsidR="004B79C3" w:rsidRPr="00D6618F" w:rsidRDefault="007E65CD" w:rsidP="00453545">
      <w:pPr>
        <w:keepNext/>
        <w:keepLines/>
        <w:tabs>
          <w:tab w:val="left" w:pos="1134"/>
          <w:tab w:val="left" w:pos="1701"/>
          <w:tab w:val="left" w:pos="2268"/>
          <w:tab w:val="left" w:pos="6521"/>
        </w:tabs>
        <w:ind w:left="1134" w:right="562" w:firstLine="567"/>
        <w:rPr>
          <w:snapToGrid w:val="0"/>
          <w:sz w:val="18"/>
          <w:szCs w:val="18"/>
          <w:lang w:val="fr-FR"/>
        </w:rPr>
      </w:pPr>
      <w:r w:rsidRPr="007E65CD">
        <w:rPr>
          <w:sz w:val="18"/>
          <w:lang w:val="fr-FR"/>
        </w:rPr>
        <w:t>“</w:t>
      </w:r>
      <w:r w:rsidR="004B79C3" w:rsidRPr="00D6618F">
        <w:rPr>
          <w:snapToGrid w:val="0"/>
          <w:sz w:val="18"/>
          <w:szCs w:val="18"/>
          <w:lang w:val="fr-FR"/>
        </w:rPr>
        <w:t>i)</w:t>
      </w:r>
      <w:r w:rsidR="004B79C3" w:rsidRPr="00D6618F">
        <w:rPr>
          <w:snapToGrid w:val="0"/>
          <w:sz w:val="18"/>
          <w:szCs w:val="18"/>
          <w:lang w:val="fr-FR"/>
        </w:rPr>
        <w:tab/>
        <w:t>mettre à jour les coordonnées lorsqu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 xml:space="preserve">ils sont invités à fournir des informations pour le </w:t>
      </w:r>
      <w:r w:rsidR="00016CC5" w:rsidRPr="00D6618F">
        <w:rPr>
          <w:snapToGrid w:val="0"/>
          <w:sz w:val="18"/>
          <w:szCs w:val="18"/>
          <w:lang w:val="fr-FR"/>
        </w:rPr>
        <w:t>document</w:t>
      </w:r>
      <w:r w:rsidR="00016CC5">
        <w:rPr>
          <w:snapToGrid w:val="0"/>
          <w:sz w:val="18"/>
          <w:szCs w:val="18"/>
          <w:lang w:val="fr-FR"/>
        </w:rPr>
        <w:t xml:space="preserve"> TC</w:t>
      </w:r>
      <w:r w:rsidR="004B79C3" w:rsidRPr="00D6618F">
        <w:rPr>
          <w:snapToGrid w:val="0"/>
          <w:sz w:val="18"/>
          <w:szCs w:val="18"/>
          <w:lang w:val="fr-FR"/>
        </w:rPr>
        <w:t>/[xx]/4 “Liste des genres et espèces pour lesquels les services ont une expérience pratique en matière d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examen de la distinction, de l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homogénéité et de la stabilité” ou</w:t>
      </w:r>
    </w:p>
    <w:p w:rsidR="004B79C3" w:rsidRPr="00D6618F" w:rsidRDefault="004B79C3" w:rsidP="00453545">
      <w:pPr>
        <w:ind w:right="562"/>
        <w:rPr>
          <w:snapToGrid w:val="0"/>
          <w:sz w:val="18"/>
          <w:szCs w:val="18"/>
          <w:lang w:val="fr-FR"/>
        </w:rPr>
      </w:pPr>
    </w:p>
    <w:p w:rsidR="004B79C3" w:rsidRPr="00D6618F" w:rsidRDefault="007E65CD" w:rsidP="00453545">
      <w:pPr>
        <w:keepNext/>
        <w:keepLines/>
        <w:tabs>
          <w:tab w:val="left" w:pos="567"/>
          <w:tab w:val="left" w:pos="1134"/>
          <w:tab w:val="left" w:pos="1701"/>
          <w:tab w:val="left" w:pos="2268"/>
          <w:tab w:val="left" w:pos="6521"/>
        </w:tabs>
        <w:ind w:left="1134" w:right="562" w:firstLine="567"/>
        <w:rPr>
          <w:sz w:val="18"/>
          <w:szCs w:val="18"/>
          <w:lang w:val="fr-FR"/>
        </w:rPr>
      </w:pPr>
      <w:r w:rsidRPr="007E65CD">
        <w:rPr>
          <w:sz w:val="18"/>
          <w:lang w:val="fr-FR"/>
        </w:rPr>
        <w:t>“</w:t>
      </w:r>
      <w:r w:rsidR="004B79C3" w:rsidRPr="00D6618F">
        <w:rPr>
          <w:sz w:val="18"/>
          <w:szCs w:val="18"/>
          <w:lang w:val="fr-FR"/>
        </w:rPr>
        <w:t>ii)</w:t>
      </w:r>
      <w:r w:rsidR="004B79C3" w:rsidRPr="00D6618F">
        <w:rPr>
          <w:sz w:val="18"/>
          <w:szCs w:val="18"/>
          <w:lang w:val="fr-FR"/>
        </w:rPr>
        <w:tab/>
        <w:t>informer le Bureau de l</w:t>
      </w:r>
      <w:r w:rsidR="00016CC5">
        <w:rPr>
          <w:sz w:val="18"/>
          <w:szCs w:val="18"/>
          <w:lang w:val="fr-FR"/>
        </w:rPr>
        <w:t>’</w:t>
      </w:r>
      <w:r w:rsidR="004B79C3" w:rsidRPr="00D6618F">
        <w:rPr>
          <w:sz w:val="18"/>
          <w:szCs w:val="18"/>
          <w:lang w:val="fr-FR"/>
        </w:rPr>
        <w:t>Union en envoyant un message électronique à l</w:t>
      </w:r>
      <w:r w:rsidR="00016CC5">
        <w:rPr>
          <w:sz w:val="18"/>
          <w:szCs w:val="18"/>
          <w:lang w:val="fr-FR"/>
        </w:rPr>
        <w:t>’</w:t>
      </w:r>
      <w:r w:rsidR="004B79C3" w:rsidRPr="00D6618F">
        <w:rPr>
          <w:sz w:val="18"/>
          <w:szCs w:val="18"/>
          <w:lang w:val="fr-FR"/>
        </w:rPr>
        <w:t xml:space="preserve">adresse </w:t>
      </w:r>
      <w:hyperlink r:id="rId11" w:history="1">
        <w:r w:rsidR="004B79C3" w:rsidRPr="00D6618F">
          <w:rPr>
            <w:rStyle w:val="Hyperlink"/>
            <w:color w:val="auto"/>
            <w:sz w:val="18"/>
            <w:szCs w:val="18"/>
            <w:lang w:val="fr-FR"/>
          </w:rPr>
          <w:t>upov.mail@upov.int</w:t>
        </w:r>
      </w:hyperlink>
      <w:r w:rsidR="004B79C3" w:rsidRPr="00D6618F">
        <w:rPr>
          <w:sz w:val="18"/>
          <w:szCs w:val="18"/>
          <w:lang w:val="fr-FR"/>
        </w:rPr>
        <w:t>.</w:t>
      </w:r>
    </w:p>
    <w:p w:rsidR="004B79C3" w:rsidRPr="00D6618F" w:rsidRDefault="004B79C3" w:rsidP="00453545">
      <w:pPr>
        <w:tabs>
          <w:tab w:val="left" w:pos="567"/>
          <w:tab w:val="left" w:pos="1134"/>
          <w:tab w:val="left" w:pos="1701"/>
        </w:tabs>
        <w:ind w:right="562"/>
        <w:rPr>
          <w:sz w:val="18"/>
          <w:szCs w:val="18"/>
          <w:lang w:val="fr-FR"/>
        </w:rPr>
      </w:pPr>
    </w:p>
    <w:p w:rsidR="004B79C3" w:rsidRPr="00D6618F" w:rsidRDefault="007E65CD" w:rsidP="00453545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1134" w:right="562"/>
        <w:rPr>
          <w:sz w:val="18"/>
          <w:szCs w:val="18"/>
          <w:lang w:val="fr-FR"/>
        </w:rPr>
      </w:pPr>
      <w:r w:rsidRPr="00D6618F">
        <w:rPr>
          <w:sz w:val="18"/>
          <w:lang w:val="fr-FR"/>
        </w:rPr>
        <w:t>“</w:t>
      </w:r>
      <w:r>
        <w:rPr>
          <w:snapToGrid w:val="0"/>
          <w:sz w:val="18"/>
          <w:szCs w:val="18"/>
          <w:lang w:val="fr-FR"/>
        </w:rPr>
        <w:t>41.</w:t>
      </w:r>
      <w:r w:rsidR="004B79C3" w:rsidRPr="00D6618F">
        <w:rPr>
          <w:snapToGrid w:val="0"/>
          <w:sz w:val="18"/>
          <w:szCs w:val="18"/>
          <w:lang w:val="fr-FR"/>
        </w:rPr>
        <w:tab/>
        <w:t>Le</w:t>
      </w:r>
      <w:r w:rsidR="00016CC5">
        <w:rPr>
          <w:snapToGrid w:val="0"/>
          <w:sz w:val="18"/>
          <w:szCs w:val="18"/>
          <w:lang w:val="fr-FR"/>
        </w:rPr>
        <w:t> TC</w:t>
      </w:r>
      <w:r w:rsidR="004B79C3" w:rsidRPr="00D6618F">
        <w:rPr>
          <w:snapToGrid w:val="0"/>
          <w:sz w:val="18"/>
          <w:szCs w:val="18"/>
          <w:lang w:val="fr-FR"/>
        </w:rPr>
        <w:t xml:space="preserve"> est convenu de proposer la mise au point d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un ensemble d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outils informatiques compatibles comprenant les éléments suivants</w:t>
      </w:r>
      <w:r w:rsidR="00016CC5">
        <w:rPr>
          <w:snapToGrid w:val="0"/>
          <w:sz w:val="18"/>
          <w:szCs w:val="18"/>
          <w:lang w:val="fr-FR"/>
        </w:rPr>
        <w:t> :</w:t>
      </w:r>
    </w:p>
    <w:p w:rsidR="004B79C3" w:rsidRPr="00D6618F" w:rsidRDefault="004B79C3" w:rsidP="00453545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right="562"/>
        <w:rPr>
          <w:sz w:val="18"/>
          <w:szCs w:val="18"/>
          <w:lang w:val="fr-FR"/>
        </w:rPr>
      </w:pPr>
    </w:p>
    <w:p w:rsidR="004B79C3" w:rsidRPr="00F07F31" w:rsidRDefault="00F07F31" w:rsidP="00453545">
      <w:pPr>
        <w:keepNext/>
        <w:ind w:left="1701" w:right="562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“a)</w:t>
      </w:r>
      <w:r>
        <w:rPr>
          <w:sz w:val="18"/>
          <w:szCs w:val="18"/>
          <w:lang w:val="fr-FR"/>
        </w:rPr>
        <w:tab/>
      </w:r>
      <w:r w:rsidR="004B79C3" w:rsidRPr="00F07F31">
        <w:rPr>
          <w:sz w:val="18"/>
          <w:szCs w:val="18"/>
          <w:lang w:val="fr-FR"/>
        </w:rPr>
        <w:t>Plateforme pour</w:t>
      </w:r>
      <w:r w:rsidR="00016CC5" w:rsidRPr="00F07F31">
        <w:rPr>
          <w:sz w:val="18"/>
          <w:szCs w:val="18"/>
          <w:lang w:val="fr-FR"/>
        </w:rPr>
        <w:t> :</w:t>
      </w:r>
    </w:p>
    <w:p w:rsidR="004B79C3" w:rsidRPr="00F07F31" w:rsidRDefault="00F07F31" w:rsidP="00453545">
      <w:pPr>
        <w:keepNext/>
        <w:spacing w:before="120"/>
        <w:ind w:left="2268" w:right="562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“i)</w:t>
      </w:r>
      <w:r>
        <w:rPr>
          <w:sz w:val="18"/>
          <w:szCs w:val="18"/>
          <w:lang w:val="fr-FR"/>
        </w:rPr>
        <w:tab/>
      </w:r>
      <w:r w:rsidR="004B79C3" w:rsidRPr="00F07F31">
        <w:rPr>
          <w:sz w:val="18"/>
          <w:szCs w:val="18"/>
          <w:lang w:val="fr-FR"/>
        </w:rPr>
        <w:t>échanger des rapports DHS existants</w:t>
      </w:r>
    </w:p>
    <w:p w:rsidR="004B79C3" w:rsidRPr="00F07F31" w:rsidRDefault="00F07F31" w:rsidP="00453545">
      <w:pPr>
        <w:keepNext/>
        <w:spacing w:before="120"/>
        <w:ind w:left="3420" w:right="562" w:hanging="54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“1)</w:t>
      </w:r>
      <w:r>
        <w:rPr>
          <w:sz w:val="18"/>
          <w:szCs w:val="18"/>
          <w:lang w:val="fr-FR"/>
        </w:rPr>
        <w:tab/>
      </w:r>
      <w:r w:rsidR="004B79C3" w:rsidRPr="00F07F31">
        <w:rPr>
          <w:sz w:val="18"/>
          <w:szCs w:val="18"/>
          <w:lang w:val="fr-FR"/>
        </w:rPr>
        <w:t>afin que les membres de l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UPOV publient et reçoivent les rapports DHS existants et conviennent des modalités de paiement, le cas échéant</w:t>
      </w:r>
    </w:p>
    <w:p w:rsidR="004B79C3" w:rsidRPr="00F07F31" w:rsidRDefault="00F07F31" w:rsidP="00453545">
      <w:pPr>
        <w:spacing w:before="120"/>
        <w:ind w:left="3420" w:right="562" w:hanging="540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“2)</w:t>
      </w:r>
      <w:r>
        <w:rPr>
          <w:sz w:val="18"/>
          <w:szCs w:val="18"/>
          <w:lang w:val="fr-FR"/>
        </w:rPr>
        <w:tab/>
      </w:r>
      <w:r w:rsidR="004B79C3" w:rsidRPr="00F07F31">
        <w:rPr>
          <w:sz w:val="18"/>
          <w:szCs w:val="18"/>
          <w:lang w:val="fr-FR"/>
        </w:rPr>
        <w:t>et que les déposants d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une demande de protection des obtentions végétales puissent demander à utiliser les rapports DHS existants et effectuer des paiements, le cas échéant</w:t>
      </w:r>
    </w:p>
    <w:p w:rsidR="004B79C3" w:rsidRPr="00F07F31" w:rsidRDefault="00F07F31" w:rsidP="00453545">
      <w:pPr>
        <w:spacing w:before="120"/>
        <w:ind w:left="2268" w:right="562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“ii)</w:t>
      </w:r>
      <w:r>
        <w:rPr>
          <w:sz w:val="18"/>
          <w:szCs w:val="18"/>
          <w:lang w:val="fr-FR"/>
        </w:rPr>
        <w:tab/>
      </w:r>
      <w:r w:rsidR="004B79C3" w:rsidRPr="00F07F31">
        <w:rPr>
          <w:sz w:val="18"/>
          <w:szCs w:val="18"/>
          <w:lang w:val="fr-FR"/>
        </w:rPr>
        <w:t>aider les membres de l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UPOV à mettre à la disposition des autres membres de l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Union leurs procédures écrites en matière d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examen DHS et des informations consignées sur leurs systèmes de gestion de la qualité</w:t>
      </w:r>
    </w:p>
    <w:p w:rsidR="004B79C3" w:rsidRPr="00D6618F" w:rsidRDefault="004B79C3" w:rsidP="00453545">
      <w:pPr>
        <w:pStyle w:val="ListParagraph"/>
        <w:spacing w:after="0"/>
        <w:ind w:left="1647" w:right="562"/>
        <w:rPr>
          <w:sz w:val="18"/>
          <w:szCs w:val="18"/>
          <w:lang w:val="fr-FR"/>
        </w:rPr>
      </w:pPr>
    </w:p>
    <w:p w:rsidR="004B79C3" w:rsidRPr="00F07F31" w:rsidRDefault="00F07F31" w:rsidP="00453545">
      <w:pPr>
        <w:ind w:left="1701" w:right="562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“b)</w:t>
      </w:r>
      <w:r>
        <w:rPr>
          <w:sz w:val="18"/>
          <w:szCs w:val="18"/>
          <w:lang w:val="fr-FR"/>
        </w:rPr>
        <w:tab/>
      </w:r>
      <w:r w:rsidR="004B79C3" w:rsidRPr="00F07F31">
        <w:rPr>
          <w:sz w:val="18"/>
          <w:szCs w:val="18"/>
          <w:lang w:val="fr-FR"/>
        </w:rPr>
        <w:t>Outil pour communiquer des informations sur la coopération en matière d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examen DHS entre les membres de l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UPOV et les déposants d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une demande de protection des obtentions végétales dans un format convivial, en utilisant les informations contenues dans la base de données GENIE</w:t>
      </w:r>
    </w:p>
    <w:p w:rsidR="004B79C3" w:rsidRPr="00D6618F" w:rsidRDefault="004B79C3" w:rsidP="00453545">
      <w:pPr>
        <w:pStyle w:val="ListParagraph"/>
        <w:spacing w:after="0"/>
        <w:ind w:left="1710" w:right="562" w:hanging="567"/>
        <w:rPr>
          <w:sz w:val="18"/>
          <w:szCs w:val="18"/>
          <w:lang w:val="fr-FR"/>
        </w:rPr>
      </w:pPr>
    </w:p>
    <w:p w:rsidR="004B79C3" w:rsidRPr="00F07F31" w:rsidRDefault="00F07F31" w:rsidP="00453545">
      <w:pPr>
        <w:ind w:left="1701" w:right="562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“c)</w:t>
      </w:r>
      <w:r>
        <w:rPr>
          <w:sz w:val="18"/>
          <w:szCs w:val="18"/>
          <w:lang w:val="fr-FR"/>
        </w:rPr>
        <w:tab/>
      </w:r>
      <w:r w:rsidR="004B79C3" w:rsidRPr="00F07F31">
        <w:rPr>
          <w:sz w:val="18"/>
          <w:szCs w:val="18"/>
          <w:lang w:val="fr-FR"/>
        </w:rPr>
        <w:t>Module permettant aux membres de l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UPOV d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utiliser le modèle de principes directeurs d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examen et la base de données de caractères fondés sur le Web afin que les différents services d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examen élaborent leurs propres principes directeurs d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examen dans leur langue</w:t>
      </w:r>
    </w:p>
    <w:p w:rsidR="004B79C3" w:rsidRPr="00D6618F" w:rsidRDefault="004B79C3" w:rsidP="00453545">
      <w:pPr>
        <w:pStyle w:val="ListParagraph"/>
        <w:spacing w:after="0"/>
        <w:ind w:left="2268" w:right="562" w:hanging="567"/>
        <w:rPr>
          <w:sz w:val="18"/>
          <w:szCs w:val="18"/>
          <w:lang w:val="fr-FR"/>
        </w:rPr>
      </w:pPr>
    </w:p>
    <w:p w:rsidR="004B79C3" w:rsidRPr="00F07F31" w:rsidRDefault="00F07F31" w:rsidP="00453545">
      <w:pPr>
        <w:ind w:left="1701" w:right="562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“d)</w:t>
      </w:r>
      <w:r>
        <w:rPr>
          <w:sz w:val="18"/>
          <w:szCs w:val="18"/>
          <w:lang w:val="fr-FR"/>
        </w:rPr>
        <w:tab/>
      </w:r>
      <w:r w:rsidR="004B79C3" w:rsidRPr="00F07F31">
        <w:rPr>
          <w:sz w:val="18"/>
          <w:szCs w:val="18"/>
          <w:lang w:val="fr-FR"/>
        </w:rPr>
        <w:t>Plateforme permettant d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accéder aux bases de données des membres de l</w:t>
      </w:r>
      <w:r w:rsidR="00016CC5" w:rsidRPr="00F07F31">
        <w:rPr>
          <w:sz w:val="18"/>
          <w:szCs w:val="18"/>
          <w:lang w:val="fr-FR"/>
        </w:rPr>
        <w:t>’</w:t>
      </w:r>
      <w:r w:rsidR="004B79C3" w:rsidRPr="00F07F31">
        <w:rPr>
          <w:sz w:val="18"/>
          <w:szCs w:val="18"/>
          <w:lang w:val="fr-FR"/>
        </w:rPr>
        <w:t>UPOV contenant des descriptions variétales</w:t>
      </w:r>
    </w:p>
    <w:p w:rsidR="004B79C3" w:rsidRPr="00D6618F" w:rsidRDefault="004B79C3" w:rsidP="00453545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right="562"/>
        <w:rPr>
          <w:sz w:val="18"/>
          <w:szCs w:val="18"/>
          <w:lang w:val="fr-FR"/>
        </w:rPr>
      </w:pPr>
    </w:p>
    <w:p w:rsidR="004B79C3" w:rsidRPr="00D6618F" w:rsidRDefault="007E65CD" w:rsidP="00453545">
      <w:pPr>
        <w:tabs>
          <w:tab w:val="left" w:pos="1134"/>
          <w:tab w:val="left" w:pos="1701"/>
          <w:tab w:val="left" w:pos="5387"/>
          <w:tab w:val="left" w:pos="5954"/>
        </w:tabs>
        <w:ind w:left="1134" w:right="562"/>
        <w:rPr>
          <w:snapToGrid w:val="0"/>
          <w:sz w:val="18"/>
          <w:szCs w:val="18"/>
          <w:lang w:val="fr-FR"/>
        </w:rPr>
      </w:pPr>
      <w:r w:rsidRPr="00D6618F">
        <w:rPr>
          <w:sz w:val="18"/>
          <w:lang w:val="fr-FR"/>
        </w:rPr>
        <w:t>“</w:t>
      </w:r>
      <w:r>
        <w:rPr>
          <w:snapToGrid w:val="0"/>
          <w:sz w:val="18"/>
          <w:szCs w:val="18"/>
          <w:lang w:val="fr-FR"/>
        </w:rPr>
        <w:t>42.</w:t>
      </w:r>
      <w:r w:rsidR="004B79C3" w:rsidRPr="00D6618F">
        <w:rPr>
          <w:snapToGrid w:val="0"/>
          <w:sz w:val="18"/>
          <w:szCs w:val="18"/>
          <w:lang w:val="fr-FR"/>
        </w:rPr>
        <w:tab/>
        <w:t>Le</w:t>
      </w:r>
      <w:r w:rsidR="00016CC5">
        <w:rPr>
          <w:snapToGrid w:val="0"/>
          <w:sz w:val="18"/>
          <w:szCs w:val="18"/>
          <w:lang w:val="fr-FR"/>
        </w:rPr>
        <w:t> TC</w:t>
      </w:r>
      <w:r w:rsidR="004B79C3" w:rsidRPr="00D6618F">
        <w:rPr>
          <w:snapToGrid w:val="0"/>
          <w:sz w:val="18"/>
          <w:szCs w:val="18"/>
          <w:lang w:val="fr-FR"/>
        </w:rPr>
        <w:t xml:space="preserve"> a pris note du potentiel de la traduction automatique pour réduire les coûts de traduction des documents de l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UPOV dans les langues de l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UPOV et produire des documents de l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UPOV dans un plus grand nombre de langues.</w:t>
      </w:r>
    </w:p>
    <w:p w:rsidR="004B79C3" w:rsidRPr="00D6618F" w:rsidRDefault="004B79C3" w:rsidP="00453545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540" w:right="562"/>
        <w:rPr>
          <w:sz w:val="18"/>
          <w:szCs w:val="18"/>
          <w:lang w:val="fr-FR"/>
        </w:rPr>
      </w:pPr>
    </w:p>
    <w:p w:rsidR="004B79C3" w:rsidRPr="00D6618F" w:rsidRDefault="007E65CD" w:rsidP="00453545">
      <w:pPr>
        <w:keepNext/>
        <w:keepLines/>
        <w:tabs>
          <w:tab w:val="left" w:pos="1134"/>
          <w:tab w:val="left" w:pos="1701"/>
          <w:tab w:val="left" w:pos="5387"/>
          <w:tab w:val="left" w:pos="5954"/>
        </w:tabs>
        <w:ind w:left="1134" w:right="562"/>
        <w:rPr>
          <w:sz w:val="18"/>
          <w:szCs w:val="18"/>
          <w:lang w:val="fr-FR"/>
        </w:rPr>
      </w:pPr>
      <w:r w:rsidRPr="00D6618F">
        <w:rPr>
          <w:sz w:val="18"/>
          <w:lang w:val="fr-FR"/>
        </w:rPr>
        <w:t>“</w:t>
      </w:r>
      <w:r>
        <w:rPr>
          <w:snapToGrid w:val="0"/>
          <w:sz w:val="18"/>
          <w:szCs w:val="18"/>
          <w:lang w:val="fr-FR"/>
        </w:rPr>
        <w:t>43.</w:t>
      </w:r>
      <w:r w:rsidR="004B79C3" w:rsidRPr="00D6618F">
        <w:rPr>
          <w:snapToGrid w:val="0"/>
          <w:sz w:val="18"/>
          <w:szCs w:val="18"/>
          <w:lang w:val="fr-FR"/>
        </w:rPr>
        <w:tab/>
        <w:t>Le</w:t>
      </w:r>
      <w:r w:rsidR="00016CC5">
        <w:rPr>
          <w:snapToGrid w:val="0"/>
          <w:sz w:val="18"/>
          <w:szCs w:val="18"/>
          <w:lang w:val="fr-FR"/>
        </w:rPr>
        <w:t> TC</w:t>
      </w:r>
      <w:r w:rsidR="004B79C3" w:rsidRPr="00D6618F">
        <w:rPr>
          <w:snapToGrid w:val="0"/>
          <w:sz w:val="18"/>
          <w:szCs w:val="18"/>
          <w:lang w:val="fr-FR"/>
        </w:rPr>
        <w:t xml:space="preserve"> est convenu de réviser le document TGP/5, section 6</w:t>
      </w:r>
      <w:r w:rsidR="00016CC5">
        <w:rPr>
          <w:snapToGrid w:val="0"/>
          <w:sz w:val="18"/>
          <w:szCs w:val="18"/>
          <w:lang w:val="fr-FR"/>
        </w:rPr>
        <w:t> :</w:t>
      </w:r>
      <w:r w:rsidR="004B79C3" w:rsidRPr="00D6618F">
        <w:rPr>
          <w:snapToGrid w:val="0"/>
          <w:sz w:val="18"/>
          <w:szCs w:val="18"/>
          <w:lang w:val="fr-FR"/>
        </w:rPr>
        <w:t xml:space="preserve"> “Rapport UPOV d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examen technique et Formulaire UPOV de description variétale”, afin d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inclure des informations additionnelles dans les rapports d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examen DHS, pour</w:t>
      </w:r>
      <w:r w:rsidR="00016CC5">
        <w:rPr>
          <w:snapToGrid w:val="0"/>
          <w:sz w:val="18"/>
          <w:szCs w:val="18"/>
          <w:lang w:val="fr-FR"/>
        </w:rPr>
        <w:t> :</w:t>
      </w:r>
    </w:p>
    <w:p w:rsidR="004B79C3" w:rsidRPr="00D6618F" w:rsidRDefault="004B79C3" w:rsidP="00453545">
      <w:pPr>
        <w:keepNext/>
        <w:keepLines/>
        <w:tabs>
          <w:tab w:val="left" w:pos="567"/>
          <w:tab w:val="left" w:pos="1134"/>
          <w:tab w:val="left" w:pos="1701"/>
          <w:tab w:val="left" w:pos="5387"/>
          <w:tab w:val="left" w:pos="5954"/>
        </w:tabs>
        <w:ind w:right="562"/>
        <w:rPr>
          <w:sz w:val="18"/>
          <w:szCs w:val="18"/>
          <w:lang w:val="fr-FR"/>
        </w:rPr>
      </w:pPr>
    </w:p>
    <w:p w:rsidR="004B79C3" w:rsidRPr="00D6618F" w:rsidRDefault="004B79C3" w:rsidP="00453545">
      <w:pPr>
        <w:pStyle w:val="ListParagraph"/>
        <w:keepNext/>
        <w:keepLines/>
        <w:numPr>
          <w:ilvl w:val="0"/>
          <w:numId w:val="3"/>
        </w:numPr>
        <w:ind w:left="2268" w:right="562" w:hanging="567"/>
        <w:jc w:val="both"/>
        <w:rPr>
          <w:sz w:val="18"/>
          <w:szCs w:val="18"/>
          <w:lang w:val="fr-FR"/>
        </w:rPr>
      </w:pPr>
      <w:r w:rsidRPr="00D6618F">
        <w:rPr>
          <w:sz w:val="18"/>
          <w:szCs w:val="18"/>
          <w:lang w:val="fr-FR"/>
        </w:rPr>
        <w:t>fournir des informations sur les variétés figurant dans la collection de variétés</w:t>
      </w:r>
    </w:p>
    <w:p w:rsidR="004B79C3" w:rsidRPr="00D6618F" w:rsidRDefault="004B79C3" w:rsidP="00453545">
      <w:pPr>
        <w:pStyle w:val="ListParagraph"/>
        <w:keepNext/>
        <w:keepLines/>
        <w:numPr>
          <w:ilvl w:val="0"/>
          <w:numId w:val="3"/>
        </w:numPr>
        <w:ind w:left="2268" w:right="562" w:hanging="567"/>
        <w:jc w:val="both"/>
        <w:rPr>
          <w:sz w:val="18"/>
          <w:szCs w:val="18"/>
          <w:lang w:val="fr-FR"/>
        </w:rPr>
      </w:pPr>
      <w:r w:rsidRPr="00D6618F">
        <w:rPr>
          <w:sz w:val="18"/>
          <w:szCs w:val="18"/>
          <w:lang w:val="fr-FR"/>
        </w:rPr>
        <w:t>indiquer les variétés prises en considération dans l</w:t>
      </w:r>
      <w:r w:rsidR="00016CC5">
        <w:rPr>
          <w:sz w:val="18"/>
          <w:szCs w:val="18"/>
          <w:lang w:val="fr-FR"/>
        </w:rPr>
        <w:t>’</w:t>
      </w:r>
      <w:r w:rsidRPr="00D6618F">
        <w:rPr>
          <w:sz w:val="18"/>
          <w:szCs w:val="18"/>
          <w:lang w:val="fr-FR"/>
        </w:rPr>
        <w:t>examen (pas uniquement les variétés similaires)</w:t>
      </w:r>
    </w:p>
    <w:p w:rsidR="004B79C3" w:rsidRPr="00D6618F" w:rsidRDefault="004B79C3" w:rsidP="00453545">
      <w:pPr>
        <w:pStyle w:val="ListParagraph"/>
        <w:keepNext/>
        <w:keepLines/>
        <w:numPr>
          <w:ilvl w:val="0"/>
          <w:numId w:val="3"/>
        </w:numPr>
        <w:ind w:left="2268" w:right="562" w:hanging="567"/>
        <w:jc w:val="both"/>
        <w:rPr>
          <w:sz w:val="18"/>
          <w:szCs w:val="18"/>
          <w:lang w:val="fr-FR"/>
        </w:rPr>
      </w:pPr>
      <w:r w:rsidRPr="00D6618F">
        <w:rPr>
          <w:sz w:val="18"/>
          <w:szCs w:val="18"/>
          <w:lang w:val="fr-FR"/>
        </w:rPr>
        <w:t>fournir les données sur les observations réalisées sur le terrain avec le rapport d</w:t>
      </w:r>
      <w:r w:rsidR="00016CC5">
        <w:rPr>
          <w:sz w:val="18"/>
          <w:szCs w:val="18"/>
          <w:lang w:val="fr-FR"/>
        </w:rPr>
        <w:t>’</w:t>
      </w:r>
      <w:r w:rsidRPr="00D6618F">
        <w:rPr>
          <w:sz w:val="18"/>
          <w:szCs w:val="18"/>
          <w:lang w:val="fr-FR"/>
        </w:rPr>
        <w:t>examen DHS pour chaque variété</w:t>
      </w:r>
    </w:p>
    <w:p w:rsidR="004B79C3" w:rsidRPr="00D6618F" w:rsidRDefault="004B79C3" w:rsidP="00453545">
      <w:pPr>
        <w:pStyle w:val="ListParagraph"/>
        <w:numPr>
          <w:ilvl w:val="0"/>
          <w:numId w:val="3"/>
        </w:numPr>
        <w:ind w:left="2268" w:right="562" w:hanging="567"/>
        <w:jc w:val="both"/>
        <w:rPr>
          <w:sz w:val="18"/>
          <w:szCs w:val="18"/>
          <w:lang w:val="fr-FR"/>
        </w:rPr>
      </w:pPr>
      <w:r w:rsidRPr="00D6618F">
        <w:rPr>
          <w:sz w:val="18"/>
          <w:szCs w:val="18"/>
          <w:lang w:val="fr-FR"/>
        </w:rPr>
        <w:t>fournir des informations sur le milieu dans lequel l</w:t>
      </w:r>
      <w:r w:rsidR="00016CC5">
        <w:rPr>
          <w:sz w:val="18"/>
          <w:szCs w:val="18"/>
          <w:lang w:val="fr-FR"/>
        </w:rPr>
        <w:t>’</w:t>
      </w:r>
      <w:r w:rsidRPr="00D6618F">
        <w:rPr>
          <w:sz w:val="18"/>
          <w:szCs w:val="18"/>
          <w:lang w:val="fr-FR"/>
        </w:rPr>
        <w:t>examen DHS a été effectué</w:t>
      </w:r>
    </w:p>
    <w:p w:rsidR="004B79C3" w:rsidRPr="00D6618F" w:rsidRDefault="007E65CD" w:rsidP="00453545">
      <w:pPr>
        <w:tabs>
          <w:tab w:val="left" w:pos="1134"/>
          <w:tab w:val="left" w:pos="1701"/>
          <w:tab w:val="left" w:pos="5387"/>
          <w:tab w:val="left" w:pos="5954"/>
        </w:tabs>
        <w:ind w:left="1134" w:right="562"/>
        <w:rPr>
          <w:snapToGrid w:val="0"/>
          <w:sz w:val="18"/>
          <w:szCs w:val="18"/>
          <w:lang w:val="fr-FR"/>
        </w:rPr>
      </w:pPr>
      <w:r w:rsidRPr="00D6618F">
        <w:rPr>
          <w:sz w:val="18"/>
          <w:lang w:val="fr-FR"/>
        </w:rPr>
        <w:t>“</w:t>
      </w:r>
      <w:r>
        <w:rPr>
          <w:snapToGrid w:val="0"/>
          <w:sz w:val="18"/>
          <w:szCs w:val="18"/>
          <w:lang w:val="fr-FR"/>
        </w:rPr>
        <w:t>44.</w:t>
      </w:r>
      <w:r w:rsidR="004B79C3" w:rsidRPr="00D6618F">
        <w:rPr>
          <w:snapToGrid w:val="0"/>
          <w:sz w:val="18"/>
          <w:szCs w:val="18"/>
          <w:lang w:val="fr-FR"/>
        </w:rPr>
        <w:tab/>
        <w:t>Le</w:t>
      </w:r>
      <w:r w:rsidR="00016CC5">
        <w:rPr>
          <w:snapToGrid w:val="0"/>
          <w:sz w:val="18"/>
          <w:szCs w:val="18"/>
          <w:lang w:val="fr-FR"/>
        </w:rPr>
        <w:t> TC</w:t>
      </w:r>
      <w:r w:rsidR="004B79C3" w:rsidRPr="00D6618F">
        <w:rPr>
          <w:snapToGrid w:val="0"/>
          <w:sz w:val="18"/>
          <w:szCs w:val="18"/>
          <w:lang w:val="fr-FR"/>
        </w:rPr>
        <w:t xml:space="preserve"> est convenu d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évaluer les incidences du plan proposé sur la base du nombre d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accords de coopération signalés par les membres de l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Union, tel que présenté dans le document C/[xx]/INF/5 “Coopération en matière d</w:t>
      </w:r>
      <w:r w:rsidR="00016CC5">
        <w:rPr>
          <w:snapToGrid w:val="0"/>
          <w:sz w:val="18"/>
          <w:szCs w:val="18"/>
          <w:lang w:val="fr-FR"/>
        </w:rPr>
        <w:t>’</w:t>
      </w:r>
      <w:r w:rsidR="004B79C3" w:rsidRPr="00D6618F">
        <w:rPr>
          <w:snapToGrid w:val="0"/>
          <w:sz w:val="18"/>
          <w:szCs w:val="18"/>
          <w:lang w:val="fr-FR"/>
        </w:rPr>
        <w:t>examen”.</w:t>
      </w:r>
    </w:p>
    <w:p w:rsidR="00BB6E2B" w:rsidRPr="00453545" w:rsidRDefault="00BB6E2B" w:rsidP="00BB6E2B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1710" w:hanging="540"/>
        <w:rPr>
          <w:snapToGrid w:val="0"/>
          <w:sz w:val="16"/>
          <w:lang w:val="fr-FR"/>
        </w:rPr>
      </w:pPr>
    </w:p>
    <w:p w:rsidR="00BB6E2B" w:rsidRPr="00D6618F" w:rsidRDefault="000C639C" w:rsidP="00453545">
      <w:pPr>
        <w:spacing w:before="120"/>
        <w:jc w:val="right"/>
        <w:rPr>
          <w:lang w:val="fr-FR"/>
        </w:rPr>
      </w:pPr>
      <w:r w:rsidRPr="00D6618F">
        <w:rPr>
          <w:lang w:val="fr-FR"/>
        </w:rPr>
        <w:t>[Fin de l</w:t>
      </w:r>
      <w:r w:rsidR="00016CC5">
        <w:rPr>
          <w:lang w:val="fr-FR"/>
        </w:rPr>
        <w:t>’</w:t>
      </w:r>
      <w:r w:rsidRPr="00D6618F">
        <w:rPr>
          <w:lang w:val="fr-FR"/>
        </w:rPr>
        <w:t>annexe et du document</w:t>
      </w:r>
      <w:r w:rsidR="00050E16" w:rsidRPr="00D6618F">
        <w:rPr>
          <w:lang w:val="fr-FR"/>
        </w:rPr>
        <w:t>]</w:t>
      </w:r>
    </w:p>
    <w:sectPr w:rsidR="00BB6E2B" w:rsidRPr="00D6618F" w:rsidSect="000419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46" w:rsidRDefault="00D80346" w:rsidP="006655D3">
      <w:r>
        <w:separator/>
      </w:r>
    </w:p>
    <w:p w:rsidR="00D80346" w:rsidRDefault="00D80346" w:rsidP="006655D3"/>
    <w:p w:rsidR="00D80346" w:rsidRDefault="00D80346" w:rsidP="006655D3"/>
  </w:endnote>
  <w:endnote w:type="continuationSeparator" w:id="0">
    <w:p w:rsidR="00D80346" w:rsidRDefault="00D80346" w:rsidP="006655D3">
      <w:r>
        <w:separator/>
      </w:r>
    </w:p>
    <w:p w:rsidR="00D80346" w:rsidRPr="00294751" w:rsidRDefault="00D8034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80346" w:rsidRPr="00294751" w:rsidRDefault="00D80346" w:rsidP="006655D3">
      <w:pPr>
        <w:rPr>
          <w:lang w:val="fr-FR"/>
        </w:rPr>
      </w:pPr>
    </w:p>
    <w:p w:rsidR="00D80346" w:rsidRPr="00294751" w:rsidRDefault="00D80346" w:rsidP="006655D3">
      <w:pPr>
        <w:rPr>
          <w:lang w:val="fr-FR"/>
        </w:rPr>
      </w:pPr>
    </w:p>
  </w:endnote>
  <w:endnote w:type="continuationNotice" w:id="1">
    <w:p w:rsidR="00D80346" w:rsidRPr="00294751" w:rsidRDefault="00D8034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80346" w:rsidRPr="00294751" w:rsidRDefault="00D80346" w:rsidP="006655D3">
      <w:pPr>
        <w:rPr>
          <w:lang w:val="fr-FR"/>
        </w:rPr>
      </w:pPr>
    </w:p>
    <w:p w:rsidR="00D80346" w:rsidRPr="00294751" w:rsidRDefault="00D8034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C5" w:rsidRPr="00453545" w:rsidRDefault="00016CC5" w:rsidP="00453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C5" w:rsidRDefault="00016CC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16CC5" w:rsidRDefault="00217255" w:rsidP="00217255">
                          <w:pPr>
                            <w:jc w:val="center"/>
                          </w:pPr>
                          <w:r w:rsidRPr="00217255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30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3C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k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t3vcK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016CC5" w:rsidRDefault="00217255" w:rsidP="00217255">
                    <w:pPr>
                      <w:jc w:val="center"/>
                    </w:pPr>
                    <w:r w:rsidRPr="00217255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C5" w:rsidRDefault="00016C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46" w:rsidRDefault="00D80346" w:rsidP="006655D3">
      <w:r>
        <w:separator/>
      </w:r>
    </w:p>
  </w:footnote>
  <w:footnote w:type="continuationSeparator" w:id="0">
    <w:p w:rsidR="00D80346" w:rsidRDefault="00D80346" w:rsidP="006655D3">
      <w:r>
        <w:separator/>
      </w:r>
    </w:p>
  </w:footnote>
  <w:footnote w:type="continuationNotice" w:id="1">
    <w:p w:rsidR="00D80346" w:rsidRPr="00AB530F" w:rsidRDefault="00D80346" w:rsidP="00AB530F">
      <w:pPr>
        <w:pStyle w:val="Footer"/>
      </w:pPr>
    </w:p>
  </w:footnote>
  <w:footnote w:id="2">
    <w:p w:rsidR="00797277" w:rsidRPr="00543697" w:rsidRDefault="00797277" w:rsidP="008427A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8427A5">
        <w:rPr>
          <w:lang w:val="fr-CH"/>
        </w:rPr>
        <w:t xml:space="preserve"> </w:t>
      </w:r>
      <w:r w:rsidR="007712AC">
        <w:rPr>
          <w:lang w:val="fr-CH"/>
        </w:rPr>
        <w:tab/>
      </w:r>
      <w:r w:rsidR="008427A5" w:rsidRPr="00543697">
        <w:rPr>
          <w:lang w:val="fr-CH"/>
        </w:rPr>
        <w:t>Tenue à Genève le 2</w:t>
      </w:r>
      <w:r w:rsidR="00217255" w:rsidRPr="00543697">
        <w:rPr>
          <w:lang w:val="fr-CH"/>
        </w:rPr>
        <w:t>8</w:t>
      </w:r>
      <w:r w:rsidR="00217255">
        <w:rPr>
          <w:lang w:val="fr-CH"/>
        </w:rPr>
        <w:t> </w:t>
      </w:r>
      <w:r w:rsidR="00217255" w:rsidRPr="00543697">
        <w:rPr>
          <w:lang w:val="fr-CH"/>
        </w:rPr>
        <w:t>octobre</w:t>
      </w:r>
      <w:r w:rsidR="00217255">
        <w:rPr>
          <w:lang w:val="fr-CH"/>
        </w:rPr>
        <w:t> </w:t>
      </w:r>
      <w:r w:rsidR="00217255" w:rsidRPr="00543697">
        <w:rPr>
          <w:lang w:val="fr-CH"/>
        </w:rPr>
        <w:t>20</w:t>
      </w:r>
      <w:r w:rsidR="008427A5" w:rsidRPr="00543697">
        <w:rPr>
          <w:lang w:val="fr-CH"/>
        </w:rPr>
        <w:t>20 par voie électronique.</w:t>
      </w:r>
    </w:p>
  </w:footnote>
  <w:footnote w:id="3">
    <w:p w:rsidR="00B90860" w:rsidRPr="00B90860" w:rsidRDefault="004F078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B6E2B">
        <w:rPr>
          <w:lang w:val="fr-CH"/>
        </w:rPr>
        <w:t xml:space="preserve"> </w:t>
      </w:r>
      <w:r w:rsidR="00F07F31">
        <w:rPr>
          <w:lang w:val="fr-CH"/>
        </w:rPr>
        <w:tab/>
      </w:r>
      <w:r w:rsidR="00B90860" w:rsidRPr="00B90860">
        <w:rPr>
          <w:snapToGrid w:val="0"/>
          <w:lang w:val="fr-CH"/>
        </w:rPr>
        <w:t>Extrait du document CAJ/77/2 “Rapports sur les faits nouveaux intervenus au sein du Comité technique”.</w:t>
      </w:r>
    </w:p>
  </w:footnote>
  <w:footnote w:id="4">
    <w:p w:rsidR="00BB6E2B" w:rsidRPr="00BB6E2B" w:rsidRDefault="00BB6E2B" w:rsidP="00BB6E2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B6E2B">
        <w:rPr>
          <w:lang w:val="fr-CH"/>
        </w:rPr>
        <w:t xml:space="preserve"> </w:t>
      </w:r>
      <w:r w:rsidR="00F07F31" w:rsidRPr="00F07F31">
        <w:rPr>
          <w:lang w:val="fr-CH"/>
        </w:rPr>
        <w:tab/>
      </w:r>
      <w:r w:rsidRPr="00F07F31">
        <w:rPr>
          <w:lang w:val="fr-CH"/>
        </w:rPr>
        <w:t>Tenue à Genève les 28 et 2</w:t>
      </w:r>
      <w:r w:rsidR="00217255" w:rsidRPr="00F07F31">
        <w:rPr>
          <w:lang w:val="fr-CH"/>
        </w:rPr>
        <w:t>9 octobre 20</w:t>
      </w:r>
      <w:r w:rsidRPr="00F07F31">
        <w:rPr>
          <w:lang w:val="fr-CH"/>
        </w:rPr>
        <w:t>19.</w:t>
      </w:r>
    </w:p>
  </w:footnote>
  <w:footnote w:id="5">
    <w:p w:rsidR="00BB6E2B" w:rsidRPr="004B79C3" w:rsidRDefault="00BB6E2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7B6BB8">
        <w:rPr>
          <w:lang w:val="fr-CH"/>
        </w:rPr>
        <w:t xml:space="preserve"> </w:t>
      </w:r>
      <w:r w:rsidR="00F07F31">
        <w:rPr>
          <w:lang w:val="fr-CH"/>
        </w:rPr>
        <w:tab/>
      </w:r>
      <w:r w:rsidR="004B79C3" w:rsidRPr="004B79C3">
        <w:rPr>
          <w:lang w:val="fr-CH"/>
        </w:rPr>
        <w:t>Tenue à Genève les 26 et 2</w:t>
      </w:r>
      <w:r w:rsidR="00217255" w:rsidRPr="004B79C3">
        <w:rPr>
          <w:lang w:val="fr-CH"/>
        </w:rPr>
        <w:t>7</w:t>
      </w:r>
      <w:r w:rsidR="00217255">
        <w:rPr>
          <w:lang w:val="fr-CH"/>
        </w:rPr>
        <w:t> </w:t>
      </w:r>
      <w:r w:rsidR="00217255" w:rsidRPr="004B79C3">
        <w:rPr>
          <w:lang w:val="fr-CH"/>
        </w:rPr>
        <w:t>octobre</w:t>
      </w:r>
      <w:r w:rsidR="00217255">
        <w:rPr>
          <w:lang w:val="fr-CH"/>
        </w:rPr>
        <w:t> </w:t>
      </w:r>
      <w:r w:rsidR="00217255" w:rsidRPr="004B79C3">
        <w:rPr>
          <w:lang w:val="fr-CH"/>
        </w:rPr>
        <w:t>20</w:t>
      </w:r>
      <w:r w:rsidR="004B79C3" w:rsidRPr="004B79C3">
        <w:rPr>
          <w:lang w:val="fr-CH"/>
        </w:rPr>
        <w:t>20</w:t>
      </w:r>
      <w:r w:rsidR="004B79C3">
        <w:rPr>
          <w:lang w:val="fr-CH"/>
        </w:rPr>
        <w:t xml:space="preserve"> </w:t>
      </w:r>
      <w:r w:rsidR="004B79C3" w:rsidRPr="004B79C3">
        <w:rPr>
          <w:lang w:val="fr-CH"/>
        </w:rPr>
        <w:t>par voie électronique</w:t>
      </w:r>
      <w:r w:rsidR="004B79C3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C5" w:rsidRPr="00C5280D" w:rsidRDefault="00016CC5" w:rsidP="00016CC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CAJ/78/9</w:t>
    </w:r>
  </w:p>
  <w:p w:rsidR="00016CC5" w:rsidRPr="00C5280D" w:rsidRDefault="00016CC5" w:rsidP="00016CC5">
    <w:pPr>
      <w:pStyle w:val="Header"/>
      <w:tabs>
        <w:tab w:val="center" w:pos="4819"/>
        <w:tab w:val="left" w:pos="5918"/>
      </w:tabs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64E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16CC5" w:rsidRPr="00C5280D" w:rsidRDefault="00016CC5" w:rsidP="00016C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FC027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CAJ/78/9</w:t>
    </w:r>
  </w:p>
  <w:p w:rsidR="0004198B" w:rsidRPr="00C5280D" w:rsidRDefault="0004198B" w:rsidP="00363EE0">
    <w:pPr>
      <w:pStyle w:val="Header"/>
      <w:tabs>
        <w:tab w:val="center" w:pos="4819"/>
        <w:tab w:val="left" w:pos="5918"/>
      </w:tabs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64EF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CC5" w:rsidRPr="00C5280D" w:rsidRDefault="00016CC5" w:rsidP="00016CC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CAJ/78/9</w:t>
    </w:r>
  </w:p>
  <w:p w:rsidR="00016CC5" w:rsidRPr="00C5280D" w:rsidRDefault="00016CC5" w:rsidP="00016CC5">
    <w:pPr>
      <w:pStyle w:val="Header"/>
      <w:tabs>
        <w:tab w:val="center" w:pos="4819"/>
        <w:tab w:val="left" w:pos="5918"/>
      </w:tabs>
      <w:rPr>
        <w:lang w:val="en-US"/>
      </w:rPr>
    </w:pPr>
    <w:r>
      <w:rPr>
        <w:lang w:val="en-US"/>
      </w:rPr>
      <w:t>Annex</w:t>
    </w:r>
    <w:r w:rsidR="00F07F31">
      <w:rPr>
        <w:lang w:val="en-US"/>
      </w:rPr>
      <w:t>e</w:t>
    </w:r>
    <w:r>
      <w:rPr>
        <w:lang w:val="en-US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64E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16CC5" w:rsidRPr="00C5280D" w:rsidRDefault="00016CC5" w:rsidP="00016CC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F7" w:rsidRPr="00C5280D" w:rsidRDefault="007F2DF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CAJ/78/9</w:t>
    </w:r>
  </w:p>
  <w:p w:rsidR="007F2DF7" w:rsidRPr="00C5280D" w:rsidRDefault="007F2DF7" w:rsidP="00363EE0">
    <w:pPr>
      <w:pStyle w:val="Header"/>
      <w:tabs>
        <w:tab w:val="center" w:pos="4819"/>
        <w:tab w:val="left" w:pos="5918"/>
      </w:tabs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5354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7F2DF7" w:rsidRPr="00C5280D" w:rsidRDefault="007F2DF7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F7" w:rsidRPr="00C5280D" w:rsidRDefault="007F2DF7" w:rsidP="007F2DF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CAJ/78/9</w:t>
    </w:r>
  </w:p>
  <w:p w:rsidR="007F2DF7" w:rsidRDefault="007F2DF7" w:rsidP="0004198B">
    <w:pPr>
      <w:pStyle w:val="Header"/>
      <w:rPr>
        <w:lang w:val="en-US"/>
      </w:rPr>
    </w:pPr>
  </w:p>
  <w:p w:rsidR="007F2DF7" w:rsidRPr="0004198B" w:rsidRDefault="007F2DF7" w:rsidP="0004198B">
    <w:pPr>
      <w:pStyle w:val="Header"/>
    </w:pPr>
    <w:r>
      <w:rPr>
        <w:lang w:val="en-US"/>
      </w:rPr>
      <w:t>ANNEX</w:t>
    </w:r>
    <w:r w:rsidR="007712AC">
      <w:rPr>
        <w:lang w:val="en-US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338E"/>
    <w:multiLevelType w:val="multilevel"/>
    <w:tmpl w:val="0409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" w15:restartNumberingAfterBreak="0">
    <w:nsid w:val="0F25425A"/>
    <w:multiLevelType w:val="hybridMultilevel"/>
    <w:tmpl w:val="0D8899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186661"/>
    <w:multiLevelType w:val="hybridMultilevel"/>
    <w:tmpl w:val="3CD4EF80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128F2568"/>
    <w:multiLevelType w:val="hybridMultilevel"/>
    <w:tmpl w:val="8CF4E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49CB"/>
    <w:multiLevelType w:val="hybridMultilevel"/>
    <w:tmpl w:val="614C130E"/>
    <w:lvl w:ilvl="0" w:tplc="80A83610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18286D"/>
    <w:multiLevelType w:val="hybridMultilevel"/>
    <w:tmpl w:val="3174B1C8"/>
    <w:lvl w:ilvl="0" w:tplc="0409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6" w15:restartNumberingAfterBreak="0">
    <w:nsid w:val="5B2F694B"/>
    <w:multiLevelType w:val="hybridMultilevel"/>
    <w:tmpl w:val="7204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73032"/>
    <w:multiLevelType w:val="hybridMultilevel"/>
    <w:tmpl w:val="9D381C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572C8F"/>
    <w:multiLevelType w:val="hybridMultilevel"/>
    <w:tmpl w:val="59F8D3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3544BAD"/>
    <w:multiLevelType w:val="hybridMultilevel"/>
    <w:tmpl w:val="537E71BE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BF3AAA"/>
    <w:multiLevelType w:val="hybridMultilevel"/>
    <w:tmpl w:val="C23AE222"/>
    <w:lvl w:ilvl="0" w:tplc="8E6AFF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F116D"/>
    <w:multiLevelType w:val="hybridMultilevel"/>
    <w:tmpl w:val="5950A532"/>
    <w:lvl w:ilvl="0" w:tplc="0376148A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Treaties &amp; Laws\WIPO Lex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|TextBase TMs\WorkspaceFTS\Treaties &amp; Laws\WIPO Lex|TextBase TMs\WorkspaceFTS\Treaties &amp; Laws\WIPO Treaties|TextBase TMs\WorkspaceFTS\Outreach\Academy|TextBase TMs\WorkspaceFTS\Outreach\ACE|TextBase TMs\WorkspaceFTS\Outreach\Communications|TextBase TMs\WorkspaceFTS\Outreach\Outreach|TextBase TMs\WorkspaceFTS\Outreach\Publications|TextBase TMs\WorkspaceFTS\Ad-hoc\Glossair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1A14A5"/>
    <w:rsid w:val="00010CF3"/>
    <w:rsid w:val="00011E27"/>
    <w:rsid w:val="000148BC"/>
    <w:rsid w:val="00016CC5"/>
    <w:rsid w:val="00024AB8"/>
    <w:rsid w:val="00030854"/>
    <w:rsid w:val="00036028"/>
    <w:rsid w:val="0004140E"/>
    <w:rsid w:val="0004198B"/>
    <w:rsid w:val="00044642"/>
    <w:rsid w:val="000446B9"/>
    <w:rsid w:val="00047E21"/>
    <w:rsid w:val="00050E16"/>
    <w:rsid w:val="000644A1"/>
    <w:rsid w:val="00073C1D"/>
    <w:rsid w:val="00085505"/>
    <w:rsid w:val="00087908"/>
    <w:rsid w:val="000B01E0"/>
    <w:rsid w:val="000C4E25"/>
    <w:rsid w:val="000C639C"/>
    <w:rsid w:val="000C7021"/>
    <w:rsid w:val="000C757B"/>
    <w:rsid w:val="000D6BBC"/>
    <w:rsid w:val="000D7780"/>
    <w:rsid w:val="000E1CD3"/>
    <w:rsid w:val="000E636A"/>
    <w:rsid w:val="000F2F11"/>
    <w:rsid w:val="00100A5F"/>
    <w:rsid w:val="00105929"/>
    <w:rsid w:val="00110BED"/>
    <w:rsid w:val="00110C36"/>
    <w:rsid w:val="001131D5"/>
    <w:rsid w:val="00113E82"/>
    <w:rsid w:val="00114547"/>
    <w:rsid w:val="0013024B"/>
    <w:rsid w:val="00136441"/>
    <w:rsid w:val="00141DB8"/>
    <w:rsid w:val="001507B5"/>
    <w:rsid w:val="001542EC"/>
    <w:rsid w:val="00172084"/>
    <w:rsid w:val="0017474A"/>
    <w:rsid w:val="001758C6"/>
    <w:rsid w:val="00182B99"/>
    <w:rsid w:val="001A14A5"/>
    <w:rsid w:val="001C0E54"/>
    <w:rsid w:val="001C1525"/>
    <w:rsid w:val="001E4F11"/>
    <w:rsid w:val="001E5E08"/>
    <w:rsid w:val="001F0AF4"/>
    <w:rsid w:val="00202CAD"/>
    <w:rsid w:val="0021332C"/>
    <w:rsid w:val="00213453"/>
    <w:rsid w:val="00213982"/>
    <w:rsid w:val="00217255"/>
    <w:rsid w:val="00236913"/>
    <w:rsid w:val="0024416D"/>
    <w:rsid w:val="00271911"/>
    <w:rsid w:val="00273187"/>
    <w:rsid w:val="002800A0"/>
    <w:rsid w:val="002801B3"/>
    <w:rsid w:val="00281060"/>
    <w:rsid w:val="00285BD0"/>
    <w:rsid w:val="00291C08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2091"/>
    <w:rsid w:val="00327436"/>
    <w:rsid w:val="00344BD6"/>
    <w:rsid w:val="00350678"/>
    <w:rsid w:val="0035528D"/>
    <w:rsid w:val="00361821"/>
    <w:rsid w:val="00361E9E"/>
    <w:rsid w:val="00363EE0"/>
    <w:rsid w:val="003753EE"/>
    <w:rsid w:val="003A0835"/>
    <w:rsid w:val="003A5AAF"/>
    <w:rsid w:val="003A6380"/>
    <w:rsid w:val="003A743A"/>
    <w:rsid w:val="003B700A"/>
    <w:rsid w:val="003C7FBE"/>
    <w:rsid w:val="003D227C"/>
    <w:rsid w:val="003D2B4D"/>
    <w:rsid w:val="003D5795"/>
    <w:rsid w:val="003F37F5"/>
    <w:rsid w:val="003F6E04"/>
    <w:rsid w:val="004266B7"/>
    <w:rsid w:val="00444A88"/>
    <w:rsid w:val="00453545"/>
    <w:rsid w:val="004734D4"/>
    <w:rsid w:val="00474DA4"/>
    <w:rsid w:val="00476B4D"/>
    <w:rsid w:val="00477054"/>
    <w:rsid w:val="004805FA"/>
    <w:rsid w:val="004935D2"/>
    <w:rsid w:val="00494C8B"/>
    <w:rsid w:val="004A6CF7"/>
    <w:rsid w:val="004B11C2"/>
    <w:rsid w:val="004B1215"/>
    <w:rsid w:val="004B79C3"/>
    <w:rsid w:val="004D047D"/>
    <w:rsid w:val="004D14E7"/>
    <w:rsid w:val="004F0783"/>
    <w:rsid w:val="004F1E9E"/>
    <w:rsid w:val="004F2ECF"/>
    <w:rsid w:val="004F305A"/>
    <w:rsid w:val="00501478"/>
    <w:rsid w:val="00512164"/>
    <w:rsid w:val="00512841"/>
    <w:rsid w:val="00515D76"/>
    <w:rsid w:val="00520297"/>
    <w:rsid w:val="005338F9"/>
    <w:rsid w:val="0054281C"/>
    <w:rsid w:val="00543697"/>
    <w:rsid w:val="00544581"/>
    <w:rsid w:val="0055268D"/>
    <w:rsid w:val="00575DE2"/>
    <w:rsid w:val="00576BE4"/>
    <w:rsid w:val="005779DB"/>
    <w:rsid w:val="005A400A"/>
    <w:rsid w:val="005B193A"/>
    <w:rsid w:val="005B269D"/>
    <w:rsid w:val="005C3E59"/>
    <w:rsid w:val="005E617F"/>
    <w:rsid w:val="005F7B92"/>
    <w:rsid w:val="00612379"/>
    <w:rsid w:val="00613611"/>
    <w:rsid w:val="006153B6"/>
    <w:rsid w:val="0061555F"/>
    <w:rsid w:val="00622293"/>
    <w:rsid w:val="006245ED"/>
    <w:rsid w:val="00624A2F"/>
    <w:rsid w:val="006264EF"/>
    <w:rsid w:val="0063105E"/>
    <w:rsid w:val="00636CA6"/>
    <w:rsid w:val="00637410"/>
    <w:rsid w:val="00640D18"/>
    <w:rsid w:val="00641200"/>
    <w:rsid w:val="00645CA8"/>
    <w:rsid w:val="006655D3"/>
    <w:rsid w:val="00667404"/>
    <w:rsid w:val="00686A9B"/>
    <w:rsid w:val="00687EB4"/>
    <w:rsid w:val="00695C56"/>
    <w:rsid w:val="006A5537"/>
    <w:rsid w:val="006A5CA8"/>
    <w:rsid w:val="006A5CDE"/>
    <w:rsid w:val="006A644A"/>
    <w:rsid w:val="006B17D2"/>
    <w:rsid w:val="006C224E"/>
    <w:rsid w:val="006C41DF"/>
    <w:rsid w:val="006C6A43"/>
    <w:rsid w:val="006D0670"/>
    <w:rsid w:val="006D780A"/>
    <w:rsid w:val="006F4057"/>
    <w:rsid w:val="0071271E"/>
    <w:rsid w:val="00732DEC"/>
    <w:rsid w:val="00735BD5"/>
    <w:rsid w:val="00744F49"/>
    <w:rsid w:val="007451EC"/>
    <w:rsid w:val="007512AB"/>
    <w:rsid w:val="00751613"/>
    <w:rsid w:val="00753EE9"/>
    <w:rsid w:val="007556F6"/>
    <w:rsid w:val="00760EEF"/>
    <w:rsid w:val="007712AC"/>
    <w:rsid w:val="00776685"/>
    <w:rsid w:val="00777EE5"/>
    <w:rsid w:val="00782128"/>
    <w:rsid w:val="00784836"/>
    <w:rsid w:val="0079023E"/>
    <w:rsid w:val="00797277"/>
    <w:rsid w:val="007A225F"/>
    <w:rsid w:val="007A2854"/>
    <w:rsid w:val="007B6BB8"/>
    <w:rsid w:val="007C1D92"/>
    <w:rsid w:val="007C1E8C"/>
    <w:rsid w:val="007C2DC4"/>
    <w:rsid w:val="007C4CB9"/>
    <w:rsid w:val="007D0B9D"/>
    <w:rsid w:val="007D19B0"/>
    <w:rsid w:val="007E65CD"/>
    <w:rsid w:val="007E7BBC"/>
    <w:rsid w:val="007F2DF7"/>
    <w:rsid w:val="007F498F"/>
    <w:rsid w:val="0080679D"/>
    <w:rsid w:val="008108B0"/>
    <w:rsid w:val="00811B20"/>
    <w:rsid w:val="00812609"/>
    <w:rsid w:val="00812F08"/>
    <w:rsid w:val="008134A5"/>
    <w:rsid w:val="008211B5"/>
    <w:rsid w:val="0082296E"/>
    <w:rsid w:val="00824099"/>
    <w:rsid w:val="008427A5"/>
    <w:rsid w:val="00846D7C"/>
    <w:rsid w:val="00850CEB"/>
    <w:rsid w:val="008570AD"/>
    <w:rsid w:val="00865910"/>
    <w:rsid w:val="00866642"/>
    <w:rsid w:val="00866E41"/>
    <w:rsid w:val="00867AC1"/>
    <w:rsid w:val="008751DE"/>
    <w:rsid w:val="00890DF8"/>
    <w:rsid w:val="008A0ADE"/>
    <w:rsid w:val="008A641A"/>
    <w:rsid w:val="008A743F"/>
    <w:rsid w:val="008C0970"/>
    <w:rsid w:val="008D0408"/>
    <w:rsid w:val="008D0BC5"/>
    <w:rsid w:val="008D2CF7"/>
    <w:rsid w:val="008E40A2"/>
    <w:rsid w:val="008E56CC"/>
    <w:rsid w:val="00900C26"/>
    <w:rsid w:val="0090197F"/>
    <w:rsid w:val="00903264"/>
    <w:rsid w:val="00906DDC"/>
    <w:rsid w:val="00916DBF"/>
    <w:rsid w:val="00916FE2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40DB"/>
    <w:rsid w:val="009A7339"/>
    <w:rsid w:val="009B0B9D"/>
    <w:rsid w:val="009B440E"/>
    <w:rsid w:val="009D2B71"/>
    <w:rsid w:val="009D690D"/>
    <w:rsid w:val="009E390E"/>
    <w:rsid w:val="009E3C0D"/>
    <w:rsid w:val="009E65B6"/>
    <w:rsid w:val="009F0A51"/>
    <w:rsid w:val="009F77CF"/>
    <w:rsid w:val="00A0267C"/>
    <w:rsid w:val="00A24C10"/>
    <w:rsid w:val="00A27AC6"/>
    <w:rsid w:val="00A34B78"/>
    <w:rsid w:val="00A42AC3"/>
    <w:rsid w:val="00A430CF"/>
    <w:rsid w:val="00A54309"/>
    <w:rsid w:val="00A601F1"/>
    <w:rsid w:val="00A610A9"/>
    <w:rsid w:val="00A80F2A"/>
    <w:rsid w:val="00A83C9A"/>
    <w:rsid w:val="00A96442"/>
    <w:rsid w:val="00A96C33"/>
    <w:rsid w:val="00AB2B93"/>
    <w:rsid w:val="00AB530F"/>
    <w:rsid w:val="00AB7E5B"/>
    <w:rsid w:val="00AC2883"/>
    <w:rsid w:val="00AC465B"/>
    <w:rsid w:val="00AC6D87"/>
    <w:rsid w:val="00AC714F"/>
    <w:rsid w:val="00AE0EF1"/>
    <w:rsid w:val="00AE2937"/>
    <w:rsid w:val="00AF0EEF"/>
    <w:rsid w:val="00B07301"/>
    <w:rsid w:val="00B11F3E"/>
    <w:rsid w:val="00B224DE"/>
    <w:rsid w:val="00B30BAD"/>
    <w:rsid w:val="00B324D4"/>
    <w:rsid w:val="00B46575"/>
    <w:rsid w:val="00B61777"/>
    <w:rsid w:val="00B622E6"/>
    <w:rsid w:val="00B6412B"/>
    <w:rsid w:val="00B64A27"/>
    <w:rsid w:val="00B80AC0"/>
    <w:rsid w:val="00B83E82"/>
    <w:rsid w:val="00B84BBD"/>
    <w:rsid w:val="00B90860"/>
    <w:rsid w:val="00BA43FB"/>
    <w:rsid w:val="00BB6E2B"/>
    <w:rsid w:val="00BC127D"/>
    <w:rsid w:val="00BC1FE6"/>
    <w:rsid w:val="00BD3D45"/>
    <w:rsid w:val="00C061B6"/>
    <w:rsid w:val="00C2446C"/>
    <w:rsid w:val="00C36AE5"/>
    <w:rsid w:val="00C41F17"/>
    <w:rsid w:val="00C527FA"/>
    <w:rsid w:val="00C5280D"/>
    <w:rsid w:val="00C52B70"/>
    <w:rsid w:val="00C53EB3"/>
    <w:rsid w:val="00C5791C"/>
    <w:rsid w:val="00C66290"/>
    <w:rsid w:val="00C67998"/>
    <w:rsid w:val="00C72B7A"/>
    <w:rsid w:val="00C973F2"/>
    <w:rsid w:val="00CA304C"/>
    <w:rsid w:val="00CA774A"/>
    <w:rsid w:val="00CB4921"/>
    <w:rsid w:val="00CB59C2"/>
    <w:rsid w:val="00CC11B0"/>
    <w:rsid w:val="00CC2841"/>
    <w:rsid w:val="00CD5968"/>
    <w:rsid w:val="00CE7077"/>
    <w:rsid w:val="00CF1330"/>
    <w:rsid w:val="00CF482A"/>
    <w:rsid w:val="00CF7E36"/>
    <w:rsid w:val="00D128A0"/>
    <w:rsid w:val="00D15429"/>
    <w:rsid w:val="00D3708D"/>
    <w:rsid w:val="00D40426"/>
    <w:rsid w:val="00D57C96"/>
    <w:rsid w:val="00D57D18"/>
    <w:rsid w:val="00D6618F"/>
    <w:rsid w:val="00D70E65"/>
    <w:rsid w:val="00D7692A"/>
    <w:rsid w:val="00D778BB"/>
    <w:rsid w:val="00D80346"/>
    <w:rsid w:val="00D80589"/>
    <w:rsid w:val="00D85D17"/>
    <w:rsid w:val="00D86E5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E2A35"/>
    <w:rsid w:val="00DF7E87"/>
    <w:rsid w:val="00DF7E99"/>
    <w:rsid w:val="00E07D87"/>
    <w:rsid w:val="00E11D45"/>
    <w:rsid w:val="00E2400B"/>
    <w:rsid w:val="00E249C8"/>
    <w:rsid w:val="00E256C5"/>
    <w:rsid w:val="00E32F7E"/>
    <w:rsid w:val="00E46E29"/>
    <w:rsid w:val="00E5267B"/>
    <w:rsid w:val="00E559F0"/>
    <w:rsid w:val="00E63C0E"/>
    <w:rsid w:val="00E72D49"/>
    <w:rsid w:val="00E74897"/>
    <w:rsid w:val="00E7593C"/>
    <w:rsid w:val="00E7678A"/>
    <w:rsid w:val="00E935F1"/>
    <w:rsid w:val="00E94A81"/>
    <w:rsid w:val="00EA1FFB"/>
    <w:rsid w:val="00EB048E"/>
    <w:rsid w:val="00EB4E9C"/>
    <w:rsid w:val="00EC03BA"/>
    <w:rsid w:val="00EE34DF"/>
    <w:rsid w:val="00EF2F89"/>
    <w:rsid w:val="00F03E98"/>
    <w:rsid w:val="00F0447A"/>
    <w:rsid w:val="00F04E31"/>
    <w:rsid w:val="00F07F31"/>
    <w:rsid w:val="00F1237A"/>
    <w:rsid w:val="00F22CBD"/>
    <w:rsid w:val="00F272F1"/>
    <w:rsid w:val="00F275C8"/>
    <w:rsid w:val="00F31412"/>
    <w:rsid w:val="00F45372"/>
    <w:rsid w:val="00F50A7F"/>
    <w:rsid w:val="00F560F7"/>
    <w:rsid w:val="00F6334D"/>
    <w:rsid w:val="00F63599"/>
    <w:rsid w:val="00F71781"/>
    <w:rsid w:val="00F962F7"/>
    <w:rsid w:val="00FA0365"/>
    <w:rsid w:val="00FA49AB"/>
    <w:rsid w:val="00FB0823"/>
    <w:rsid w:val="00FB4DBF"/>
    <w:rsid w:val="00FC0275"/>
    <w:rsid w:val="00FC5FD0"/>
    <w:rsid w:val="00FD75A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5D24E38"/>
  <w15:docId w15:val="{CF627A8B-35A4-4C2D-966E-89860C2E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qFormat/>
    <w:rsid w:val="003D5795"/>
    <w:pPr>
      <w:spacing w:after="200" w:line="276" w:lineRule="auto"/>
      <w:ind w:left="720"/>
      <w:contextualSpacing/>
      <w:jc w:val="left"/>
    </w:pPr>
    <w:rPr>
      <w:rFonts w:eastAsiaTheme="minorEastAsia" w:cstheme="minorBidi"/>
      <w:szCs w:val="22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locked/>
    <w:rsid w:val="003D5795"/>
    <w:rPr>
      <w:rFonts w:ascii="Arial" w:eastAsiaTheme="minorEastAsia" w:hAnsi="Arial" w:cstheme="minorBidi"/>
      <w:szCs w:val="22"/>
    </w:rPr>
  </w:style>
  <w:style w:type="character" w:customStyle="1" w:styleId="Heading3Char">
    <w:name w:val="Heading 3 Char"/>
    <w:aliases w:val="Heading 3 Scientific Name Char"/>
    <w:basedOn w:val="DefaultParagraphFont"/>
    <w:link w:val="Heading3"/>
    <w:rsid w:val="003D5795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613611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613611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ov.mail@upov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E2E06-FC58-44F7-A94F-FCE2278E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1892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CAJ/78/9</vt:lpstr>
    </vt:vector>
  </TitlesOfParts>
  <Company>UPOV</Company>
  <LinksUpToDate>false</LinksUpToDate>
  <CharactersWithSpaces>12831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CAJ/78/9</dc:title>
  <dc:creator>SANCHEZ VIZCAINO GOMEZ Rosa Maria</dc:creator>
  <cp:keywords>FOR OFFICIAL USE ONLY</cp:keywords>
  <cp:lastModifiedBy>SANTOS Carla Marina</cp:lastModifiedBy>
  <cp:revision>22</cp:revision>
  <cp:lastPrinted>2016-11-22T15:41:00Z</cp:lastPrinted>
  <dcterms:created xsi:type="dcterms:W3CDTF">2021-09-15T15:30:00Z</dcterms:created>
  <dcterms:modified xsi:type="dcterms:W3CDTF">2021-09-17T10:59:00Z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8a201b77-d7ea-442b-af2b-b2c106a90182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