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F186D" w:rsidTr="00EB4E9C">
        <w:tc>
          <w:tcPr>
            <w:tcW w:w="6522" w:type="dxa"/>
          </w:tcPr>
          <w:p w:rsidR="00DC3802" w:rsidRPr="00CF186D" w:rsidRDefault="00DC3802" w:rsidP="00AC2883">
            <w:pPr>
              <w:rPr>
                <w:lang w:val="fr-CH"/>
              </w:rPr>
            </w:pPr>
            <w:bookmarkStart w:id="0" w:name="_GoBack"/>
            <w:bookmarkEnd w:id="0"/>
            <w:r w:rsidRPr="00CF186D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F186D" w:rsidRDefault="00A706D3" w:rsidP="00AC2883">
            <w:pPr>
              <w:pStyle w:val="Lettrine"/>
              <w:rPr>
                <w:lang w:val="fr-CH"/>
              </w:rPr>
            </w:pPr>
            <w:r w:rsidRPr="00CF186D">
              <w:rPr>
                <w:lang w:val="fr-CH"/>
              </w:rPr>
              <w:t>F</w:t>
            </w:r>
          </w:p>
        </w:tc>
      </w:tr>
      <w:tr w:rsidR="00DC3802" w:rsidRPr="00CF186D" w:rsidTr="00645CA8">
        <w:trPr>
          <w:trHeight w:val="219"/>
        </w:trPr>
        <w:tc>
          <w:tcPr>
            <w:tcW w:w="6522" w:type="dxa"/>
          </w:tcPr>
          <w:p w:rsidR="00DC3802" w:rsidRPr="00CF186D" w:rsidRDefault="00DC3802" w:rsidP="00A706D3">
            <w:pPr>
              <w:pStyle w:val="upove"/>
              <w:rPr>
                <w:lang w:val="fr-CH"/>
              </w:rPr>
            </w:pPr>
            <w:r w:rsidRPr="00CF186D">
              <w:rPr>
                <w:lang w:val="fr-CH"/>
              </w:rPr>
              <w:t xml:space="preserve">Union </w:t>
            </w:r>
            <w:r w:rsidR="00A706D3" w:rsidRPr="00CF186D">
              <w:rPr>
                <w:lang w:val="fr-CH"/>
              </w:rPr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CF186D" w:rsidRDefault="00DC3802" w:rsidP="00DA4973">
            <w:pPr>
              <w:rPr>
                <w:lang w:val="fr-CH"/>
              </w:rPr>
            </w:pPr>
          </w:p>
        </w:tc>
      </w:tr>
    </w:tbl>
    <w:p w:rsidR="001431B5" w:rsidRDefault="001431B5" w:rsidP="00DC3802">
      <w:pPr>
        <w:rPr>
          <w:lang w:val="fr-CH"/>
        </w:rPr>
      </w:pPr>
    </w:p>
    <w:p w:rsidR="00DA4973" w:rsidRPr="00CF186D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F186D" w:rsidTr="00602AD5">
        <w:tc>
          <w:tcPr>
            <w:tcW w:w="6512" w:type="dxa"/>
            <w:tcBorders>
              <w:bottom w:val="single" w:sz="4" w:space="0" w:color="auto"/>
            </w:tcBorders>
          </w:tcPr>
          <w:p w:rsidR="001431B5" w:rsidRDefault="001C176C" w:rsidP="00AC2883">
            <w:pPr>
              <w:pStyle w:val="Sessiontc"/>
              <w:spacing w:line="240" w:lineRule="auto"/>
              <w:rPr>
                <w:lang w:val="fr-CH"/>
              </w:rPr>
            </w:pPr>
            <w:r w:rsidRPr="00CF186D">
              <w:rPr>
                <w:lang w:val="fr-CH"/>
              </w:rPr>
              <w:t>Comité administratif et juridique</w:t>
            </w:r>
          </w:p>
          <w:p w:rsidR="00EB4E9C" w:rsidRPr="00CF186D" w:rsidRDefault="001C176C" w:rsidP="00B7317C">
            <w:pPr>
              <w:pStyle w:val="Sessiontcplacedate"/>
              <w:rPr>
                <w:sz w:val="22"/>
                <w:lang w:val="fr-CH"/>
              </w:rPr>
            </w:pPr>
            <w:r w:rsidRPr="00CF186D">
              <w:rPr>
                <w:lang w:val="fr-CH"/>
              </w:rPr>
              <w:t>Soixante</w:t>
            </w:r>
            <w:r w:rsidR="00930F9A">
              <w:rPr>
                <w:lang w:val="fr-CH"/>
              </w:rPr>
              <w:t>-</w:t>
            </w:r>
            <w:r w:rsidR="00E86C32" w:rsidRPr="00CF186D">
              <w:rPr>
                <w:lang w:val="fr-CH"/>
              </w:rPr>
              <w:t>dix</w:t>
            </w:r>
            <w:r w:rsidR="00930F9A">
              <w:rPr>
                <w:lang w:val="fr-CH"/>
              </w:rPr>
              <w:t>-</w:t>
            </w:r>
            <w:r w:rsidR="00B7317C" w:rsidRPr="00CF186D">
              <w:rPr>
                <w:lang w:val="fr-CH"/>
              </w:rPr>
              <w:t>hui</w:t>
            </w:r>
            <w:r w:rsidR="00E86C32" w:rsidRPr="00CF186D">
              <w:rPr>
                <w:lang w:val="fr-CH"/>
              </w:rPr>
              <w:t>t</w:t>
            </w:r>
            <w:r w:rsidR="00930F9A">
              <w:rPr>
                <w:lang w:val="fr-CH"/>
              </w:rPr>
              <w:t>ième session</w:t>
            </w:r>
            <w:r w:rsidR="00EB4E9C" w:rsidRPr="00CF186D">
              <w:rPr>
                <w:lang w:val="fr-CH"/>
              </w:rPr>
              <w:br/>
              <w:t>Gen</w:t>
            </w:r>
            <w:r w:rsidR="00A706D3" w:rsidRPr="00CF186D">
              <w:rPr>
                <w:lang w:val="fr-CH"/>
              </w:rPr>
              <w:t>è</w:t>
            </w:r>
            <w:r w:rsidR="00EB4E9C" w:rsidRPr="00CF186D">
              <w:rPr>
                <w:lang w:val="fr-CH"/>
              </w:rPr>
              <w:t>v</w:t>
            </w:r>
            <w:r w:rsidR="00A706D3" w:rsidRPr="00CF186D">
              <w:rPr>
                <w:lang w:val="fr-CH"/>
              </w:rPr>
              <w:t>e</w:t>
            </w:r>
            <w:r w:rsidR="00EB4E9C" w:rsidRPr="00CF186D">
              <w:rPr>
                <w:lang w:val="fr-CH"/>
              </w:rPr>
              <w:t xml:space="preserve">, </w:t>
            </w:r>
            <w:r w:rsidR="00E86C32" w:rsidRPr="00CF186D">
              <w:rPr>
                <w:lang w:val="fr-CH"/>
              </w:rPr>
              <w:t>2</w:t>
            </w:r>
            <w:r w:rsidR="00930F9A" w:rsidRPr="00CF186D">
              <w:rPr>
                <w:lang w:val="fr-CH"/>
              </w:rPr>
              <w:t>7</w:t>
            </w:r>
            <w:r w:rsidR="00930F9A">
              <w:rPr>
                <w:lang w:val="fr-CH"/>
              </w:rPr>
              <w:t> </w:t>
            </w:r>
            <w:r w:rsidR="00930F9A" w:rsidRPr="00CF186D">
              <w:rPr>
                <w:lang w:val="fr-CH"/>
              </w:rPr>
              <w:t>octobre</w:t>
            </w:r>
            <w:r w:rsidR="00930F9A">
              <w:rPr>
                <w:lang w:val="fr-CH"/>
              </w:rPr>
              <w:t> </w:t>
            </w:r>
            <w:r w:rsidR="00930F9A" w:rsidRPr="00CF186D">
              <w:rPr>
                <w:lang w:val="fr-CH"/>
              </w:rPr>
              <w:t>20</w:t>
            </w:r>
            <w:r w:rsidR="00B7317C" w:rsidRPr="00CF186D">
              <w:rPr>
                <w:lang w:val="fr-CH"/>
              </w:rPr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1431B5" w:rsidRDefault="00B7317C" w:rsidP="003C7FBE">
            <w:pPr>
              <w:pStyle w:val="Doccode"/>
              <w:rPr>
                <w:lang w:val="fr-CH"/>
              </w:rPr>
            </w:pPr>
            <w:r w:rsidRPr="00CF186D">
              <w:rPr>
                <w:lang w:val="fr-CH"/>
              </w:rPr>
              <w:t>CAJ/78</w:t>
            </w:r>
            <w:r w:rsidR="00EB4E9C" w:rsidRPr="00CF186D">
              <w:rPr>
                <w:lang w:val="fr-CH"/>
              </w:rPr>
              <w:t>/</w:t>
            </w:r>
            <w:r w:rsidR="0030147A" w:rsidRPr="00CF186D">
              <w:rPr>
                <w:lang w:val="fr-CH"/>
              </w:rPr>
              <w:t>5</w:t>
            </w:r>
          </w:p>
          <w:p w:rsidR="001431B5" w:rsidRDefault="00EB4E9C" w:rsidP="003C7FBE">
            <w:pPr>
              <w:pStyle w:val="Docoriginal"/>
              <w:rPr>
                <w:lang w:val="fr-CH"/>
              </w:rPr>
            </w:pPr>
            <w:r w:rsidRPr="00CF186D">
              <w:rPr>
                <w:lang w:val="fr-CH"/>
              </w:rPr>
              <w:t>Original</w:t>
            </w:r>
            <w:r w:rsidR="000C40B4">
              <w:rPr>
                <w:lang w:val="fr-CH"/>
              </w:rPr>
              <w:t> :</w:t>
            </w:r>
            <w:r w:rsidRPr="00CF186D">
              <w:rPr>
                <w:b w:val="0"/>
                <w:spacing w:val="0"/>
                <w:lang w:val="fr-CH"/>
              </w:rPr>
              <w:t xml:space="preserve"> </w:t>
            </w:r>
            <w:r w:rsidR="00A706D3" w:rsidRPr="00CF186D">
              <w:rPr>
                <w:b w:val="0"/>
                <w:spacing w:val="0"/>
                <w:lang w:val="fr-CH"/>
              </w:rPr>
              <w:t>anglais</w:t>
            </w:r>
          </w:p>
          <w:p w:rsidR="00602AD5" w:rsidRPr="00CF186D" w:rsidRDefault="00EB4E9C" w:rsidP="0030147A">
            <w:pPr>
              <w:pStyle w:val="Docoriginal"/>
              <w:rPr>
                <w:b w:val="0"/>
                <w:spacing w:val="0"/>
                <w:lang w:val="fr-CH"/>
              </w:rPr>
            </w:pPr>
            <w:r w:rsidRPr="00CF186D">
              <w:rPr>
                <w:lang w:val="fr-CH"/>
              </w:rPr>
              <w:t>Date</w:t>
            </w:r>
            <w:r w:rsidR="000C40B4">
              <w:rPr>
                <w:lang w:val="fr-CH"/>
              </w:rPr>
              <w:t> :</w:t>
            </w:r>
            <w:r w:rsidRPr="00CF186D">
              <w:rPr>
                <w:b w:val="0"/>
                <w:spacing w:val="0"/>
                <w:lang w:val="fr-CH"/>
              </w:rPr>
              <w:t xml:space="preserve"> </w:t>
            </w:r>
            <w:r w:rsidR="000B5739" w:rsidRPr="00777CA4">
              <w:rPr>
                <w:b w:val="0"/>
                <w:spacing w:val="0"/>
                <w:lang w:val="fr-CH"/>
              </w:rPr>
              <w:t>15</w:t>
            </w:r>
            <w:r w:rsidR="0030147A" w:rsidRPr="00777CA4">
              <w:rPr>
                <w:b w:val="0"/>
                <w:spacing w:val="0"/>
                <w:lang w:val="fr-CH"/>
              </w:rPr>
              <w:t> juin 2021</w:t>
            </w:r>
          </w:p>
        </w:tc>
      </w:tr>
      <w:tr w:rsidR="00602AD5" w:rsidRPr="00CF186D" w:rsidTr="00602AD5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602AD5" w:rsidRPr="00CF186D" w:rsidRDefault="000B5739" w:rsidP="00602AD5">
            <w:pPr>
              <w:pStyle w:val="Sessiontc"/>
              <w:spacing w:line="240" w:lineRule="auto"/>
              <w:rPr>
                <w:i/>
                <w:lang w:val="fr-CH"/>
              </w:rPr>
            </w:pPr>
            <w:r w:rsidRPr="000B5739">
              <w:rPr>
                <w:i/>
                <w:lang w:val="fr-CH"/>
              </w:rPr>
              <w:t xml:space="preserve">pour examen </w:t>
            </w:r>
            <w:r w:rsidR="00602AD5" w:rsidRPr="00CF186D">
              <w:rPr>
                <w:i/>
                <w:lang w:val="fr-CH"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602AD5" w:rsidRPr="00CF186D" w:rsidRDefault="00602AD5" w:rsidP="00602AD5">
            <w:pPr>
              <w:pStyle w:val="Doccode"/>
              <w:rPr>
                <w:lang w:val="fr-CH"/>
              </w:rPr>
            </w:pPr>
          </w:p>
        </w:tc>
      </w:tr>
    </w:tbl>
    <w:p w:rsidR="001431B5" w:rsidRDefault="00686441" w:rsidP="006A644A">
      <w:pPr>
        <w:pStyle w:val="Titleofdoc0"/>
        <w:rPr>
          <w:lang w:val="fr-CH"/>
        </w:rPr>
      </w:pPr>
      <w:bookmarkStart w:id="1" w:name="TitleOfDoc"/>
      <w:bookmarkEnd w:id="1"/>
      <w:r w:rsidRPr="00CF186D">
        <w:rPr>
          <w:lang w:val="fr-CH"/>
        </w:rPr>
        <w:t>Produit de la récolte</w:t>
      </w:r>
    </w:p>
    <w:p w:rsidR="001431B5" w:rsidRDefault="00AE0EF1" w:rsidP="006A644A">
      <w:pPr>
        <w:pStyle w:val="preparedby1"/>
        <w:jc w:val="left"/>
        <w:rPr>
          <w:lang w:val="fr-CH"/>
        </w:rPr>
      </w:pPr>
      <w:bookmarkStart w:id="2" w:name="Prepared"/>
      <w:bookmarkEnd w:id="2"/>
      <w:r w:rsidRPr="00CF186D">
        <w:rPr>
          <w:lang w:val="fr-CH"/>
        </w:rPr>
        <w:t xml:space="preserve">Document </w:t>
      </w:r>
      <w:r w:rsidR="00A706D3" w:rsidRPr="00CF186D">
        <w:rPr>
          <w:lang w:val="fr-CH"/>
        </w:rPr>
        <w:t>établi par le Bureau de l</w:t>
      </w:r>
      <w:r w:rsidR="00930F9A">
        <w:rPr>
          <w:lang w:val="fr-CH"/>
        </w:rPr>
        <w:t>’</w:t>
      </w:r>
      <w:r w:rsidR="00A706D3" w:rsidRPr="00CF186D">
        <w:rPr>
          <w:lang w:val="fr-CH"/>
        </w:rPr>
        <w:t>Union</w:t>
      </w:r>
    </w:p>
    <w:p w:rsidR="001431B5" w:rsidRDefault="00A706D3" w:rsidP="006A644A">
      <w:pPr>
        <w:pStyle w:val="Disclaimer"/>
        <w:rPr>
          <w:lang w:val="fr-CH"/>
        </w:rPr>
      </w:pPr>
      <w:r w:rsidRPr="00CF186D">
        <w:rPr>
          <w:lang w:val="fr-CH"/>
        </w:rPr>
        <w:t>Avertissement</w:t>
      </w:r>
      <w:r w:rsidR="00930F9A">
        <w:rPr>
          <w:lang w:val="fr-CH"/>
        </w:rPr>
        <w:t> :</w:t>
      </w:r>
      <w:r w:rsidRPr="00CF186D">
        <w:rPr>
          <w:lang w:val="fr-CH"/>
        </w:rPr>
        <w:t xml:space="preserve"> le présent document ne représente pas les principes ou les orientations de l</w:t>
      </w:r>
      <w:r w:rsidR="00930F9A">
        <w:rPr>
          <w:lang w:val="fr-CH"/>
        </w:rPr>
        <w:t>’</w:t>
      </w:r>
      <w:r w:rsidRPr="00CF186D">
        <w:rPr>
          <w:lang w:val="fr-CH"/>
        </w:rPr>
        <w:t>UPOV</w:t>
      </w:r>
    </w:p>
    <w:p w:rsidR="001431B5" w:rsidRPr="000B5739" w:rsidRDefault="004E5C70" w:rsidP="00752467">
      <w:pPr>
        <w:pStyle w:val="Heading1"/>
      </w:pPr>
      <w:bookmarkStart w:id="3" w:name="_Toc74663837"/>
      <w:bookmarkStart w:id="4" w:name="_Toc74663930"/>
      <w:r w:rsidRPr="000B5739">
        <w:t>Résumé</w:t>
      </w:r>
      <w:bookmarkEnd w:id="3"/>
      <w:bookmarkEnd w:id="4"/>
    </w:p>
    <w:p w:rsidR="001431B5" w:rsidRPr="000B5739" w:rsidRDefault="001431B5" w:rsidP="0030147A">
      <w:pPr>
        <w:ind w:left="567"/>
        <w:rPr>
          <w:highlight w:val="lightGray"/>
          <w:lang w:val="fr-CH"/>
        </w:rPr>
      </w:pPr>
    </w:p>
    <w:p w:rsidR="001431B5" w:rsidRPr="000B5739" w:rsidRDefault="0030147A" w:rsidP="00686441">
      <w:pPr>
        <w:rPr>
          <w:snapToGrid w:val="0"/>
          <w:spacing w:val="-2"/>
          <w:lang w:val="fr-CH"/>
        </w:rPr>
      </w:pPr>
      <w:r w:rsidRPr="000B5739">
        <w:rPr>
          <w:snapToGrid w:val="0"/>
          <w:spacing w:val="-2"/>
          <w:lang w:val="fr-CH"/>
        </w:rPr>
        <w:fldChar w:fldCharType="begin"/>
      </w:r>
      <w:r w:rsidRPr="000B5739">
        <w:rPr>
          <w:snapToGrid w:val="0"/>
          <w:spacing w:val="-2"/>
          <w:lang w:val="fr-CH"/>
        </w:rPr>
        <w:instrText xml:space="preserve"> AUTONUM  </w:instrText>
      </w:r>
      <w:r w:rsidRPr="000B5739">
        <w:rPr>
          <w:snapToGrid w:val="0"/>
          <w:spacing w:val="-2"/>
          <w:lang w:val="fr-CH"/>
        </w:rPr>
        <w:fldChar w:fldCharType="end"/>
      </w:r>
      <w:r w:rsidRPr="000B5739">
        <w:rPr>
          <w:snapToGrid w:val="0"/>
          <w:spacing w:val="-2"/>
          <w:lang w:val="fr-CH"/>
        </w:rPr>
        <w:tab/>
      </w:r>
      <w:r w:rsidR="00686441" w:rsidRPr="000B5739">
        <w:rPr>
          <w:snapToGrid w:val="0"/>
          <w:color w:val="000000"/>
          <w:spacing w:val="-2"/>
          <w:lang w:val="fr-CH"/>
        </w:rPr>
        <w:t>L</w:t>
      </w:r>
      <w:r w:rsidR="00930F9A" w:rsidRPr="000B5739">
        <w:rPr>
          <w:snapToGrid w:val="0"/>
          <w:color w:val="000000"/>
          <w:spacing w:val="-2"/>
          <w:lang w:val="fr-CH"/>
        </w:rPr>
        <w:t>’</w:t>
      </w:r>
      <w:r w:rsidR="00686441" w:rsidRPr="000B5739">
        <w:rPr>
          <w:snapToGrid w:val="0"/>
          <w:color w:val="000000"/>
          <w:spacing w:val="-2"/>
          <w:lang w:val="fr-CH"/>
        </w:rPr>
        <w:t>objet du présent document est de rendre compte des faits nouveaux intervenus concernant les questions relatives au produit de la récolte et à l</w:t>
      </w:r>
      <w:r w:rsidR="00930F9A" w:rsidRPr="000B5739">
        <w:rPr>
          <w:snapToGrid w:val="0"/>
          <w:color w:val="000000"/>
          <w:spacing w:val="-2"/>
          <w:lang w:val="fr-CH"/>
        </w:rPr>
        <w:t>’</w:t>
      </w:r>
      <w:r w:rsidR="00686441" w:rsidRPr="000B5739">
        <w:rPr>
          <w:snapToGrid w:val="0"/>
          <w:color w:val="000000"/>
          <w:spacing w:val="-2"/>
          <w:lang w:val="fr-CH"/>
        </w:rPr>
        <w:t xml:space="preserve">utilisation non autorisée de matériel de reproduction ou de multiplication, notamment du </w:t>
      </w:r>
      <w:r w:rsidR="00930F9A" w:rsidRPr="000B5739">
        <w:rPr>
          <w:snapToGrid w:val="0"/>
          <w:color w:val="000000"/>
          <w:spacing w:val="-2"/>
          <w:lang w:val="fr-CH"/>
        </w:rPr>
        <w:t>“</w:t>
      </w:r>
      <w:r w:rsidR="000B5739" w:rsidRPr="000B5739">
        <w:rPr>
          <w:snapToGrid w:val="0"/>
          <w:color w:val="000000"/>
          <w:spacing w:val="-2"/>
          <w:lang w:val="fr-CH"/>
        </w:rPr>
        <w:t>Séminaire sur le droit d’obtenteur en relation avec le produit de la récolte</w:t>
      </w:r>
      <w:r w:rsidR="00930F9A" w:rsidRPr="000B5739">
        <w:rPr>
          <w:snapToGrid w:val="0"/>
          <w:color w:val="000000"/>
          <w:spacing w:val="-2"/>
          <w:lang w:val="fr-CH"/>
        </w:rPr>
        <w:t>”</w:t>
      </w:r>
      <w:r w:rsidR="000B5739" w:rsidRPr="000B5739">
        <w:rPr>
          <w:snapToGrid w:val="0"/>
          <w:color w:val="000000"/>
          <w:spacing w:val="-2"/>
          <w:lang w:val="fr-CH"/>
        </w:rPr>
        <w:t xml:space="preserve"> tenu le </w:t>
      </w:r>
      <w:r w:rsidR="00686441" w:rsidRPr="000B5739">
        <w:rPr>
          <w:snapToGrid w:val="0"/>
          <w:color w:val="000000"/>
          <w:spacing w:val="-2"/>
          <w:lang w:val="fr-CH"/>
        </w:rPr>
        <w:t>2</w:t>
      </w:r>
      <w:r w:rsidR="00930F9A" w:rsidRPr="000B5739">
        <w:rPr>
          <w:snapToGrid w:val="0"/>
          <w:color w:val="000000"/>
          <w:spacing w:val="-2"/>
          <w:lang w:val="fr-CH"/>
        </w:rPr>
        <w:t>7 mai 20</w:t>
      </w:r>
      <w:r w:rsidR="00686441" w:rsidRPr="000B5739">
        <w:rPr>
          <w:snapToGrid w:val="0"/>
          <w:color w:val="000000"/>
          <w:spacing w:val="-2"/>
          <w:lang w:val="fr-CH"/>
        </w:rPr>
        <w:t>21, et de présenter une proposition de révision des documents d</w:t>
      </w:r>
      <w:r w:rsidR="00930F9A" w:rsidRPr="000B5739">
        <w:rPr>
          <w:snapToGrid w:val="0"/>
          <w:color w:val="000000"/>
          <w:spacing w:val="-2"/>
          <w:lang w:val="fr-CH"/>
        </w:rPr>
        <w:t>’</w:t>
      </w:r>
      <w:r w:rsidR="00686441" w:rsidRPr="000B5739">
        <w:rPr>
          <w:snapToGrid w:val="0"/>
          <w:color w:val="000000"/>
          <w:spacing w:val="-2"/>
          <w:lang w:val="fr-CH"/>
        </w:rPr>
        <w:t>orientation correspondants.</w:t>
      </w:r>
    </w:p>
    <w:p w:rsidR="001431B5" w:rsidRPr="000B5739" w:rsidRDefault="001431B5" w:rsidP="0030147A">
      <w:pPr>
        <w:ind w:left="567"/>
        <w:rPr>
          <w:lang w:val="fr-CH"/>
        </w:rPr>
      </w:pPr>
    </w:p>
    <w:p w:rsidR="00930F9A" w:rsidRPr="000B5739" w:rsidRDefault="0030147A" w:rsidP="00686441">
      <w:pPr>
        <w:jc w:val="left"/>
        <w:rPr>
          <w:lang w:val="fr-CH"/>
        </w:rPr>
      </w:pPr>
      <w:r w:rsidRPr="000B5739">
        <w:rPr>
          <w:lang w:val="fr-CH"/>
        </w:rPr>
        <w:fldChar w:fldCharType="begin"/>
      </w:r>
      <w:r w:rsidRPr="000B5739">
        <w:rPr>
          <w:lang w:val="fr-CH"/>
        </w:rPr>
        <w:instrText xml:space="preserve"> AUTONUM  </w:instrText>
      </w:r>
      <w:r w:rsidRPr="000B5739">
        <w:rPr>
          <w:lang w:val="fr-CH"/>
        </w:rPr>
        <w:fldChar w:fldCharType="end"/>
      </w:r>
      <w:r w:rsidRPr="000B5739">
        <w:rPr>
          <w:lang w:val="fr-CH"/>
        </w:rPr>
        <w:tab/>
      </w:r>
      <w:r w:rsidR="00CF186D" w:rsidRPr="000B5739">
        <w:rPr>
          <w:lang w:val="fr-CH"/>
        </w:rPr>
        <w:t>Le CAJ est invité</w:t>
      </w:r>
      <w:r w:rsidR="000B5739" w:rsidRPr="000B5739">
        <w:rPr>
          <w:lang w:val="fr-CH"/>
        </w:rPr>
        <w:t xml:space="preserve"> à</w:t>
      </w:r>
    </w:p>
    <w:p w:rsidR="001431B5" w:rsidRPr="000B5739" w:rsidRDefault="001431B5" w:rsidP="0030147A">
      <w:pPr>
        <w:rPr>
          <w:rFonts w:eastAsiaTheme="minorEastAsia" w:cs="Arial"/>
          <w:snapToGrid w:val="0"/>
          <w:lang w:val="fr-CH"/>
        </w:rPr>
      </w:pPr>
    </w:p>
    <w:p w:rsidR="00930F9A" w:rsidRPr="000B5739" w:rsidRDefault="000B5739" w:rsidP="005164D0">
      <w:pPr>
        <w:ind w:firstLine="567"/>
        <w:rPr>
          <w:rFonts w:eastAsiaTheme="minorEastAsia" w:cs="Arial"/>
          <w:snapToGrid w:val="0"/>
          <w:color w:val="000000"/>
          <w:lang w:val="fr-CH"/>
        </w:rPr>
      </w:pPr>
      <w:r w:rsidRPr="000B5739">
        <w:rPr>
          <w:rFonts w:eastAsiaTheme="minorEastAsia" w:cs="Arial"/>
          <w:snapToGrid w:val="0"/>
          <w:color w:val="000000"/>
          <w:lang w:val="fr-CH"/>
        </w:rPr>
        <w:t>a)</w:t>
      </w:r>
      <w:r w:rsidRPr="000B5739">
        <w:rPr>
          <w:rFonts w:eastAsiaTheme="minorEastAsia" w:cs="Arial"/>
          <w:snapToGrid w:val="0"/>
          <w:color w:val="000000"/>
          <w:lang w:val="fr-CH"/>
        </w:rPr>
        <w:tab/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prendre note des faits nouveaux intervenus concernant le produit de la récolte et l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’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 xml:space="preserve">utilisation non autorisée de matériel de reproduction ou de multiplication, notamment des questions pertinentes concernant le 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“S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éminaire sur l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’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exercice du droit d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’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obtenteur en relation avec le produit de la récolt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e”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 xml:space="preserve">, indiqués aux 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paragraphes 4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 xml:space="preserve"> à 16 du présent document, et</w:t>
      </w:r>
    </w:p>
    <w:p w:rsidR="001431B5" w:rsidRPr="000B5739" w:rsidRDefault="001431B5" w:rsidP="0030147A">
      <w:pPr>
        <w:rPr>
          <w:rFonts w:eastAsiaTheme="minorEastAsia" w:cs="Arial"/>
          <w:snapToGrid w:val="0"/>
          <w:lang w:val="fr-CH"/>
        </w:rPr>
      </w:pPr>
    </w:p>
    <w:p w:rsidR="001431B5" w:rsidRPr="000B5739" w:rsidRDefault="000B5739" w:rsidP="005164D0">
      <w:pPr>
        <w:ind w:firstLine="567"/>
        <w:rPr>
          <w:rFonts w:eastAsiaTheme="minorEastAsia" w:cs="Arial"/>
          <w:snapToGrid w:val="0"/>
          <w:lang w:val="fr-CH"/>
        </w:rPr>
      </w:pPr>
      <w:r w:rsidRPr="000B5739">
        <w:rPr>
          <w:rFonts w:eastAsiaTheme="minorEastAsia" w:cs="Arial"/>
          <w:snapToGrid w:val="0"/>
          <w:color w:val="000000"/>
          <w:lang w:val="fr-CH"/>
        </w:rPr>
        <w:t>b)</w:t>
      </w:r>
      <w:r w:rsidRPr="000B5739">
        <w:rPr>
          <w:rFonts w:eastAsiaTheme="minorEastAsia" w:cs="Arial"/>
          <w:snapToGrid w:val="0"/>
          <w:color w:val="000000"/>
          <w:lang w:val="fr-CH"/>
        </w:rPr>
        <w:tab/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approuver les propositions relatives à une procédure de révision des documents d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’</w:t>
      </w:r>
      <w:r w:rsidR="005164D0" w:rsidRPr="000B5739">
        <w:rPr>
          <w:rFonts w:eastAsiaTheme="minorEastAsia" w:cs="Arial"/>
          <w:snapToGrid w:val="0"/>
          <w:color w:val="000000"/>
          <w:lang w:val="fr-CH"/>
        </w:rPr>
        <w:t>orientation correspondants, comme suit</w:t>
      </w:r>
      <w:r w:rsidR="00930F9A" w:rsidRPr="000B5739">
        <w:rPr>
          <w:rFonts w:eastAsiaTheme="minorEastAsia" w:cs="Arial"/>
          <w:snapToGrid w:val="0"/>
          <w:color w:val="000000"/>
          <w:lang w:val="fr-CH"/>
        </w:rPr>
        <w:t> :</w:t>
      </w:r>
    </w:p>
    <w:p w:rsidR="001431B5" w:rsidRPr="000B5739" w:rsidRDefault="001431B5" w:rsidP="0030147A">
      <w:pPr>
        <w:rPr>
          <w:rFonts w:eastAsiaTheme="minorEastAsia" w:cs="Arial"/>
          <w:snapToGrid w:val="0"/>
          <w:lang w:val="fr-CH"/>
        </w:rPr>
      </w:pPr>
    </w:p>
    <w:p w:rsidR="00930F9A" w:rsidRPr="000B5739" w:rsidRDefault="005164D0" w:rsidP="005164D0">
      <w:pPr>
        <w:ind w:left="567" w:firstLine="567"/>
        <w:rPr>
          <w:rFonts w:eastAsiaTheme="minorEastAsia" w:cs="Arial"/>
          <w:snapToGrid w:val="0"/>
          <w:spacing w:val="-2"/>
          <w:lang w:val="fr-CH"/>
        </w:rPr>
      </w:pPr>
      <w:r w:rsidRPr="000B5739">
        <w:rPr>
          <w:rFonts w:eastAsiaTheme="minorEastAsia" w:cs="Arial"/>
          <w:snapToGrid w:val="0"/>
          <w:color w:val="000000"/>
          <w:spacing w:val="-2"/>
          <w:lang w:val="fr-CH"/>
        </w:rPr>
        <w:t>i)</w:t>
      </w:r>
      <w:r w:rsidRPr="000B5739">
        <w:rPr>
          <w:rFonts w:eastAsiaTheme="minorEastAsia" w:cs="Arial"/>
          <w:snapToGrid w:val="0"/>
          <w:color w:val="000000"/>
          <w:spacing w:val="-2"/>
          <w:lang w:val="fr-CH"/>
        </w:rPr>
        <w:tab/>
      </w:r>
      <w:r w:rsidRPr="000B5739">
        <w:rPr>
          <w:rFonts w:eastAsiaTheme="minorEastAsia" w:cs="Arial"/>
          <w:snapToGrid w:val="0"/>
          <w:spacing w:val="-2"/>
          <w:lang w:val="fr-CH"/>
        </w:rPr>
        <w:t>décider d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’</w:t>
      </w:r>
      <w:r w:rsidRPr="000B5739">
        <w:rPr>
          <w:rFonts w:eastAsiaTheme="minorEastAsia" w:cs="Arial"/>
          <w:snapToGrid w:val="0"/>
          <w:spacing w:val="-2"/>
          <w:lang w:val="fr-CH"/>
        </w:rPr>
        <w:t xml:space="preserve">entreprendre la révision des “Notes explicatives sur les actes 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à l’égard</w:t>
      </w:r>
      <w:r w:rsidRPr="000B5739">
        <w:rPr>
          <w:rFonts w:eastAsiaTheme="minorEastAsia" w:cs="Arial"/>
          <w:snapToGrid w:val="0"/>
          <w:spacing w:val="-2"/>
          <w:lang w:val="fr-CH"/>
        </w:rPr>
        <w:t xml:space="preserve"> du produit de la récolte selon l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’</w:t>
      </w:r>
      <w:r w:rsidRPr="000B5739">
        <w:rPr>
          <w:rFonts w:eastAsiaTheme="minorEastAsia" w:cs="Arial"/>
          <w:snapToGrid w:val="0"/>
          <w:spacing w:val="-2"/>
          <w:lang w:val="fr-CH"/>
        </w:rPr>
        <w:t>Acte de 1991 de la 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Convention UPOV</w:t>
      </w:r>
      <w:r w:rsidRPr="000B5739">
        <w:rPr>
          <w:rFonts w:eastAsiaTheme="minorEastAsia" w:cs="Arial"/>
          <w:snapToGrid w:val="0"/>
          <w:spacing w:val="-2"/>
          <w:lang w:val="fr-CH"/>
        </w:rPr>
        <w:t>” (document</w:t>
      </w:r>
      <w:r w:rsidR="00A27353" w:rsidRPr="000B5739">
        <w:rPr>
          <w:rFonts w:eastAsiaTheme="minorEastAsia" w:cs="Arial"/>
          <w:snapToGrid w:val="0"/>
          <w:spacing w:val="-2"/>
          <w:lang w:val="fr-CH"/>
        </w:rPr>
        <w:t> </w:t>
      </w:r>
      <w:r w:rsidRPr="000B5739">
        <w:rPr>
          <w:rFonts w:eastAsiaTheme="minorEastAsia" w:cs="Arial"/>
          <w:snapToGrid w:val="0"/>
          <w:spacing w:val="-2"/>
          <w:lang w:val="fr-CH"/>
        </w:rPr>
        <w:t xml:space="preserve">UPOV/EXN/HRV/1), des 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“N</w:t>
      </w:r>
      <w:r w:rsidR="000B5739" w:rsidRPr="000B5739">
        <w:rPr>
          <w:rFonts w:eastAsiaTheme="minorEastAsia" w:cs="Arial"/>
          <w:snapToGrid w:val="0"/>
          <w:spacing w:val="-2"/>
          <w:lang w:val="fr-CH"/>
        </w:rPr>
        <w:t>otes </w:t>
      </w:r>
      <w:r w:rsidRPr="000B5739">
        <w:rPr>
          <w:rFonts w:eastAsiaTheme="minorEastAsia" w:cs="Arial"/>
          <w:snapToGrid w:val="0"/>
          <w:spacing w:val="-2"/>
          <w:lang w:val="fr-CH"/>
        </w:rPr>
        <w:t xml:space="preserve">explicatives sur le matériel de reproduction ou de multiplication selon la 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Convention UPOV”</w:t>
      </w:r>
      <w:r w:rsidRPr="000B5739">
        <w:rPr>
          <w:rFonts w:eastAsiaTheme="minorEastAsia" w:cs="Arial"/>
          <w:snapToGrid w:val="0"/>
          <w:spacing w:val="-2"/>
          <w:lang w:val="fr-CH"/>
        </w:rPr>
        <w:t xml:space="preserve"> (UPOV/EXN/PPM/1) et des “Notes explicatives sur la protection provisoire selon la </w:t>
      </w:r>
      <w:r w:rsidR="00930F9A" w:rsidRPr="000B5739">
        <w:rPr>
          <w:rFonts w:eastAsiaTheme="minorEastAsia" w:cs="Arial"/>
          <w:snapToGrid w:val="0"/>
          <w:spacing w:val="-2"/>
          <w:lang w:val="fr-CH"/>
        </w:rPr>
        <w:t>Convention UPOV</w:t>
      </w:r>
      <w:r w:rsidRPr="000B5739">
        <w:rPr>
          <w:rFonts w:eastAsiaTheme="minorEastAsia" w:cs="Arial"/>
          <w:snapToGrid w:val="0"/>
          <w:spacing w:val="-2"/>
          <w:lang w:val="fr-CH"/>
        </w:rPr>
        <w:t>” (UPOV/EXN/PRP/2),</w:t>
      </w:r>
    </w:p>
    <w:p w:rsidR="001431B5" w:rsidRPr="000B5739" w:rsidRDefault="001431B5" w:rsidP="004E5C70">
      <w:pPr>
        <w:rPr>
          <w:rFonts w:eastAsiaTheme="minorEastAsia" w:cs="Arial"/>
          <w:snapToGrid w:val="0"/>
          <w:lang w:val="fr-CH"/>
        </w:rPr>
      </w:pPr>
    </w:p>
    <w:p w:rsidR="00930F9A" w:rsidRPr="000B5739" w:rsidRDefault="005164D0" w:rsidP="005164D0">
      <w:pPr>
        <w:ind w:left="567" w:firstLine="567"/>
        <w:rPr>
          <w:rFonts w:eastAsiaTheme="minorEastAsia" w:cs="Arial"/>
          <w:snapToGrid w:val="0"/>
          <w:lang w:val="fr-CH"/>
        </w:rPr>
      </w:pPr>
      <w:r w:rsidRPr="000B5739">
        <w:rPr>
          <w:rFonts w:eastAsiaTheme="minorEastAsia" w:cs="Arial"/>
          <w:snapToGrid w:val="0"/>
          <w:lang w:val="fr-CH"/>
        </w:rPr>
        <w:t>ii)</w:t>
      </w:r>
      <w:r w:rsidRPr="000B5739">
        <w:rPr>
          <w:rFonts w:eastAsiaTheme="minorEastAsia" w:cs="Arial"/>
          <w:snapToGrid w:val="0"/>
          <w:lang w:val="fr-CH"/>
        </w:rPr>
        <w:tab/>
        <w:t xml:space="preserve">décider </w:t>
      </w:r>
      <w:r w:rsidR="001A0548" w:rsidRPr="000B5739">
        <w:rPr>
          <w:rFonts w:eastAsiaTheme="minorEastAsia" w:cs="Arial"/>
          <w:snapToGrid w:val="0"/>
          <w:lang w:val="fr-CH"/>
        </w:rPr>
        <w:t>de créer</w:t>
      </w:r>
      <w:r w:rsidRPr="000B5739">
        <w:rPr>
          <w:rFonts w:eastAsiaTheme="minorEastAsia" w:cs="Arial"/>
          <w:snapToGrid w:val="0"/>
          <w:lang w:val="fr-CH"/>
        </w:rPr>
        <w:t xml:space="preserve"> un groupe de travail sur le produit de la récolte et l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utilisation non autorisée de matériel de reproduction ou de multiplication (WG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HRV),</w:t>
      </w:r>
    </w:p>
    <w:p w:rsidR="001431B5" w:rsidRPr="000B5739" w:rsidRDefault="001431B5" w:rsidP="004E5C70">
      <w:pPr>
        <w:rPr>
          <w:rFonts w:eastAsiaTheme="minorEastAsia" w:cs="Arial"/>
          <w:snapToGrid w:val="0"/>
          <w:lang w:val="fr-CH"/>
        </w:rPr>
      </w:pPr>
    </w:p>
    <w:p w:rsidR="00930F9A" w:rsidRPr="000B5739" w:rsidRDefault="005164D0" w:rsidP="005164D0">
      <w:pPr>
        <w:ind w:left="567" w:firstLine="567"/>
        <w:rPr>
          <w:rFonts w:eastAsiaTheme="minorEastAsia" w:cs="Arial"/>
          <w:snapToGrid w:val="0"/>
          <w:lang w:val="fr-CH"/>
        </w:rPr>
      </w:pPr>
      <w:r w:rsidRPr="000B5739">
        <w:rPr>
          <w:rFonts w:eastAsiaTheme="minorEastAsia" w:cs="Arial"/>
          <w:snapToGrid w:val="0"/>
          <w:lang w:val="fr-CH"/>
        </w:rPr>
        <w:t>iii)</w:t>
      </w:r>
      <w:r w:rsidRPr="000B5739">
        <w:rPr>
          <w:rFonts w:eastAsiaTheme="minorEastAsia" w:cs="Arial"/>
          <w:snapToGrid w:val="0"/>
          <w:lang w:val="fr-CH"/>
        </w:rPr>
        <w:tab/>
        <w:t>approuver le projet de mandat du WG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HRV figurant dans l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annexe du présent document,</w:t>
      </w:r>
    </w:p>
    <w:p w:rsidR="001431B5" w:rsidRPr="000B5739" w:rsidRDefault="001431B5" w:rsidP="004E5C70">
      <w:pPr>
        <w:rPr>
          <w:rFonts w:eastAsiaTheme="minorEastAsia" w:cs="Arial"/>
          <w:snapToGrid w:val="0"/>
          <w:lang w:val="fr-CH"/>
        </w:rPr>
      </w:pPr>
    </w:p>
    <w:p w:rsidR="001431B5" w:rsidRPr="000B5739" w:rsidRDefault="00063146" w:rsidP="00063146">
      <w:pPr>
        <w:ind w:left="567" w:firstLine="567"/>
        <w:rPr>
          <w:rFonts w:eastAsiaTheme="minorEastAsia" w:cs="Arial"/>
          <w:snapToGrid w:val="0"/>
          <w:lang w:val="fr-CH"/>
        </w:rPr>
      </w:pPr>
      <w:r w:rsidRPr="000B5739">
        <w:rPr>
          <w:rFonts w:eastAsiaTheme="minorEastAsia" w:cs="Arial"/>
          <w:snapToGrid w:val="0"/>
          <w:lang w:val="fr-CH"/>
        </w:rPr>
        <w:t>iv)</w:t>
      </w:r>
      <w:r w:rsidRPr="000B5739">
        <w:rPr>
          <w:rFonts w:eastAsiaTheme="minorEastAsia" w:cs="Arial"/>
          <w:snapToGrid w:val="0"/>
          <w:lang w:val="fr-CH"/>
        </w:rPr>
        <w:tab/>
        <w:t>sous réserve de l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approbation de la création du WG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HRV et de son mandat, demander au Bureau de l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Union de publier une circulaire afin d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inviter les membres de l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Union et les observateurs auprès</w:t>
      </w:r>
      <w:r w:rsidR="00930F9A" w:rsidRPr="000B5739">
        <w:rPr>
          <w:rFonts w:eastAsiaTheme="minorEastAsia" w:cs="Arial"/>
          <w:snapToGrid w:val="0"/>
          <w:lang w:val="fr-CH"/>
        </w:rPr>
        <w:t xml:space="preserve"> du CAJ</w:t>
      </w:r>
      <w:r w:rsidRPr="000B5739">
        <w:rPr>
          <w:rFonts w:eastAsiaTheme="minorEastAsia" w:cs="Arial"/>
          <w:snapToGrid w:val="0"/>
          <w:lang w:val="fr-CH"/>
        </w:rPr>
        <w:t xml:space="preserve"> à faire part de leur volonté </w:t>
      </w:r>
      <w:r w:rsidR="000B5739" w:rsidRPr="000B5739">
        <w:rPr>
          <w:rFonts w:eastAsiaTheme="minorEastAsia" w:cs="Arial"/>
          <w:snapToGrid w:val="0"/>
          <w:lang w:val="fr-CH"/>
        </w:rPr>
        <w:t xml:space="preserve">d’être membre du </w:t>
      </w:r>
      <w:r w:rsidRPr="000B5739">
        <w:rPr>
          <w:rFonts w:eastAsiaTheme="minorEastAsia" w:cs="Arial"/>
          <w:snapToGrid w:val="0"/>
          <w:lang w:val="fr-CH"/>
        </w:rPr>
        <w:t>WG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HRV, et</w:t>
      </w:r>
    </w:p>
    <w:p w:rsidR="001431B5" w:rsidRPr="000B5739" w:rsidRDefault="001431B5" w:rsidP="004E5C70">
      <w:pPr>
        <w:rPr>
          <w:rFonts w:eastAsiaTheme="minorEastAsia" w:cs="Arial"/>
          <w:snapToGrid w:val="0"/>
          <w:lang w:val="fr-CH"/>
        </w:rPr>
      </w:pPr>
    </w:p>
    <w:p w:rsidR="00930F9A" w:rsidRPr="000B5739" w:rsidRDefault="00C34DFA" w:rsidP="00C34DFA">
      <w:pPr>
        <w:ind w:left="567" w:firstLine="567"/>
        <w:rPr>
          <w:rFonts w:eastAsiaTheme="minorEastAsia" w:cs="Arial"/>
          <w:snapToGrid w:val="0"/>
          <w:lang w:val="fr-CH"/>
        </w:rPr>
      </w:pPr>
      <w:r w:rsidRPr="000B5739">
        <w:rPr>
          <w:rFonts w:eastAsiaTheme="minorEastAsia" w:cs="Arial"/>
          <w:snapToGrid w:val="0"/>
          <w:lang w:val="fr-CH"/>
        </w:rPr>
        <w:t>v)</w:t>
      </w:r>
      <w:r w:rsidRPr="000B5739">
        <w:rPr>
          <w:rFonts w:eastAsiaTheme="minorEastAsia" w:cs="Arial"/>
          <w:snapToGrid w:val="0"/>
          <w:lang w:val="fr-CH"/>
        </w:rPr>
        <w:tab/>
        <w:t>noter que, le cas échéant, à sa soixante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dix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huit</w:t>
      </w:r>
      <w:r w:rsidR="00930F9A" w:rsidRPr="000B5739">
        <w:rPr>
          <w:rFonts w:eastAsiaTheme="minorEastAsia" w:cs="Arial"/>
          <w:snapToGrid w:val="0"/>
          <w:lang w:val="fr-CH"/>
        </w:rPr>
        <w:t>ième session</w:t>
      </w:r>
      <w:r w:rsidRPr="000B5739">
        <w:rPr>
          <w:rFonts w:eastAsiaTheme="minorEastAsia" w:cs="Arial"/>
          <w:snapToGrid w:val="0"/>
          <w:lang w:val="fr-CH"/>
        </w:rPr>
        <w:t>,</w:t>
      </w:r>
      <w:r w:rsidR="00930F9A" w:rsidRPr="000B5739">
        <w:rPr>
          <w:rFonts w:eastAsiaTheme="minorEastAsia" w:cs="Arial"/>
          <w:snapToGrid w:val="0"/>
          <w:lang w:val="fr-CH"/>
        </w:rPr>
        <w:t xml:space="preserve"> le CAJ</w:t>
      </w:r>
      <w:r w:rsidR="000B5739" w:rsidRPr="000B5739">
        <w:rPr>
          <w:rFonts w:eastAsiaTheme="minorEastAsia" w:cs="Arial"/>
          <w:snapToGrid w:val="0"/>
          <w:lang w:val="fr-CH"/>
        </w:rPr>
        <w:t xml:space="preserve"> recevra un compte </w:t>
      </w:r>
      <w:r w:rsidRPr="000B5739">
        <w:rPr>
          <w:rFonts w:eastAsiaTheme="minorEastAsia" w:cs="Arial"/>
          <w:snapToGrid w:val="0"/>
          <w:lang w:val="fr-CH"/>
        </w:rPr>
        <w:t>rendu des réponses à la circulaire avec les manifestations d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 xml:space="preserve">intérêt </w:t>
      </w:r>
      <w:r w:rsidR="00A06575" w:rsidRPr="000B5739">
        <w:rPr>
          <w:rFonts w:eastAsiaTheme="minorEastAsia" w:cs="Arial"/>
          <w:snapToGrid w:val="0"/>
          <w:lang w:val="fr-CH"/>
        </w:rPr>
        <w:t>concernant</w:t>
      </w:r>
      <w:r w:rsidRPr="000B5739">
        <w:rPr>
          <w:rFonts w:eastAsiaTheme="minorEastAsia" w:cs="Arial"/>
          <w:snapToGrid w:val="0"/>
          <w:lang w:val="fr-CH"/>
        </w:rPr>
        <w:t xml:space="preserve"> une participation au WG</w:t>
      </w:r>
      <w:r w:rsidR="000B5739" w:rsidRPr="000B5739">
        <w:rPr>
          <w:rFonts w:eastAsiaTheme="minorEastAsia" w:cs="Arial"/>
          <w:snapToGrid w:val="0"/>
          <w:lang w:val="fr-CH"/>
        </w:rPr>
        <w:noBreakHyphen/>
      </w:r>
      <w:r w:rsidRPr="000B5739">
        <w:rPr>
          <w:rFonts w:eastAsiaTheme="minorEastAsia" w:cs="Arial"/>
          <w:snapToGrid w:val="0"/>
          <w:lang w:val="fr-CH"/>
        </w:rPr>
        <w:t>HRV, avec une demande d</w:t>
      </w:r>
      <w:r w:rsidR="00930F9A" w:rsidRPr="000B5739">
        <w:rPr>
          <w:rFonts w:eastAsiaTheme="minorEastAsia" w:cs="Arial"/>
          <w:snapToGrid w:val="0"/>
          <w:lang w:val="fr-CH"/>
        </w:rPr>
        <w:t>’</w:t>
      </w:r>
      <w:r w:rsidRPr="000B5739">
        <w:rPr>
          <w:rFonts w:eastAsiaTheme="minorEastAsia" w:cs="Arial"/>
          <w:snapToGrid w:val="0"/>
          <w:lang w:val="fr-CH"/>
        </w:rPr>
        <w:t>approbation par</w:t>
      </w:r>
      <w:r w:rsidR="00930F9A" w:rsidRPr="000B5739">
        <w:rPr>
          <w:rFonts w:eastAsiaTheme="minorEastAsia" w:cs="Arial"/>
          <w:snapToGrid w:val="0"/>
          <w:lang w:val="fr-CH"/>
        </w:rPr>
        <w:t xml:space="preserve"> le CAJ</w:t>
      </w:r>
      <w:r w:rsidRPr="000B5739">
        <w:rPr>
          <w:rFonts w:eastAsiaTheme="minorEastAsia" w:cs="Arial"/>
          <w:snapToGrid w:val="0"/>
          <w:lang w:val="fr-CH"/>
        </w:rPr>
        <w:t xml:space="preserve"> de la compositi</w:t>
      </w:r>
      <w:r w:rsidR="000B5739">
        <w:rPr>
          <w:rFonts w:eastAsiaTheme="minorEastAsia" w:cs="Arial"/>
          <w:snapToGrid w:val="0"/>
          <w:lang w:val="fr-CH"/>
        </w:rPr>
        <w:t>on et de la date de la première </w:t>
      </w:r>
      <w:r w:rsidRPr="000B5739">
        <w:rPr>
          <w:rFonts w:eastAsiaTheme="minorEastAsia" w:cs="Arial"/>
          <w:snapToGrid w:val="0"/>
          <w:lang w:val="fr-CH"/>
        </w:rPr>
        <w:t>réunion du WG</w:t>
      </w:r>
      <w:r w:rsidR="00930F9A" w:rsidRPr="000B5739">
        <w:rPr>
          <w:rFonts w:eastAsiaTheme="minorEastAsia" w:cs="Arial"/>
          <w:snapToGrid w:val="0"/>
          <w:lang w:val="fr-CH"/>
        </w:rPr>
        <w:t>-</w:t>
      </w:r>
      <w:r w:rsidRPr="000B5739">
        <w:rPr>
          <w:rFonts w:eastAsiaTheme="minorEastAsia" w:cs="Arial"/>
          <w:snapToGrid w:val="0"/>
          <w:lang w:val="fr-CH"/>
        </w:rPr>
        <w:t>HRV.</w:t>
      </w:r>
    </w:p>
    <w:p w:rsidR="001431B5" w:rsidRPr="000B5739" w:rsidRDefault="001431B5" w:rsidP="000B5739"/>
    <w:p w:rsidR="00930F9A" w:rsidRPr="00A06575" w:rsidRDefault="0030147A" w:rsidP="00C34DFA">
      <w:pPr>
        <w:keepNext/>
        <w:spacing w:after="120"/>
        <w:jc w:val="left"/>
        <w:rPr>
          <w:rFonts w:cs="Arial"/>
          <w:lang w:val="fr-CH" w:eastAsia="ja-JP"/>
        </w:rPr>
      </w:pPr>
      <w:r w:rsidRPr="00A06575">
        <w:rPr>
          <w:rFonts w:cs="Arial"/>
          <w:lang w:val="fr-CH"/>
        </w:rPr>
        <w:lastRenderedPageBreak/>
        <w:fldChar w:fldCharType="begin"/>
      </w:r>
      <w:r w:rsidRPr="00A06575">
        <w:rPr>
          <w:rFonts w:cs="Arial"/>
          <w:lang w:val="fr-CH"/>
        </w:rPr>
        <w:instrText xml:space="preserve"> AUTONUM  </w:instrText>
      </w:r>
      <w:r w:rsidRPr="00A06575">
        <w:rPr>
          <w:rFonts w:cs="Arial"/>
          <w:lang w:val="fr-CH"/>
        </w:rPr>
        <w:fldChar w:fldCharType="end"/>
      </w:r>
      <w:r w:rsidRPr="00A06575">
        <w:rPr>
          <w:rFonts w:cs="Arial"/>
          <w:lang w:val="fr-CH"/>
        </w:rPr>
        <w:tab/>
      </w:r>
      <w:r w:rsidR="00C34DFA" w:rsidRPr="00A06575">
        <w:rPr>
          <w:rFonts w:cs="Arial"/>
          <w:lang w:val="fr-CH"/>
        </w:rPr>
        <w:t>Le présent document est structuré comme suit</w:t>
      </w:r>
      <w:r w:rsidR="00930F9A" w:rsidRPr="00A06575">
        <w:rPr>
          <w:rFonts w:cs="Arial"/>
          <w:lang w:val="fr-CH"/>
        </w:rPr>
        <w:t> :</w:t>
      </w:r>
    </w:p>
    <w:bookmarkStart w:id="5" w:name="_Toc73693864"/>
    <w:bookmarkStart w:id="6" w:name="_Toc73693941"/>
    <w:bookmarkStart w:id="7" w:name="_Toc73693949"/>
    <w:p w:rsidR="0081126B" w:rsidRPr="00777CA4" w:rsidRDefault="000B5739" w:rsidP="0081126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>
        <w:fldChar w:fldCharType="begin"/>
      </w:r>
      <w:r w:rsidRPr="00777CA4">
        <w:rPr>
          <w:lang w:val="fr-CH"/>
        </w:rPr>
        <w:instrText xml:space="preserve"> TOC \o "1-3" \u </w:instrText>
      </w:r>
      <w:r>
        <w:fldChar w:fldCharType="separate"/>
      </w:r>
      <w:r w:rsidR="0081126B" w:rsidRPr="00777CA4">
        <w:rPr>
          <w:noProof/>
          <w:lang w:val="fr-CH"/>
        </w:rPr>
        <w:t>Résumé</w:t>
      </w:r>
      <w:r w:rsidR="0081126B" w:rsidRPr="00777CA4">
        <w:rPr>
          <w:noProof/>
          <w:lang w:val="fr-CH"/>
        </w:rPr>
        <w:tab/>
      </w:r>
      <w:r w:rsidR="0081126B">
        <w:rPr>
          <w:noProof/>
        </w:rPr>
        <w:fldChar w:fldCharType="begin"/>
      </w:r>
      <w:r w:rsidR="0081126B" w:rsidRPr="00777CA4">
        <w:rPr>
          <w:noProof/>
          <w:lang w:val="fr-CH"/>
        </w:rPr>
        <w:instrText xml:space="preserve"> PAGEREF _Toc74663930 \h </w:instrText>
      </w:r>
      <w:r w:rsidR="0081126B">
        <w:rPr>
          <w:noProof/>
        </w:rPr>
      </w:r>
      <w:r w:rsidR="0081126B">
        <w:rPr>
          <w:noProof/>
        </w:rPr>
        <w:fldChar w:fldCharType="separate"/>
      </w:r>
      <w:r w:rsidR="00235351">
        <w:rPr>
          <w:noProof/>
          <w:lang w:val="fr-CH"/>
        </w:rPr>
        <w:t>1</w:t>
      </w:r>
      <w:r w:rsidR="0081126B">
        <w:rPr>
          <w:noProof/>
        </w:rPr>
        <w:fldChar w:fldCharType="end"/>
      </w:r>
    </w:p>
    <w:p w:rsidR="0081126B" w:rsidRPr="00777CA4" w:rsidRDefault="0081126B" w:rsidP="0081126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777CA4">
        <w:rPr>
          <w:noProof/>
          <w:lang w:val="fr-CH"/>
        </w:rPr>
        <w:t>Rappel</w:t>
      </w:r>
      <w:r w:rsidRPr="00777CA4">
        <w:rPr>
          <w:noProof/>
          <w:lang w:val="fr-CH"/>
        </w:rPr>
        <w:tab/>
      </w:r>
      <w:r>
        <w:rPr>
          <w:noProof/>
        </w:rPr>
        <w:fldChar w:fldCharType="begin"/>
      </w:r>
      <w:r w:rsidRPr="00777CA4">
        <w:rPr>
          <w:noProof/>
          <w:lang w:val="fr-CH"/>
        </w:rPr>
        <w:instrText xml:space="preserve"> PAGEREF _Toc74663931 \h </w:instrText>
      </w:r>
      <w:r>
        <w:rPr>
          <w:noProof/>
        </w:rPr>
      </w:r>
      <w:r>
        <w:rPr>
          <w:noProof/>
        </w:rPr>
        <w:fldChar w:fldCharType="separate"/>
      </w:r>
      <w:r w:rsidR="00235351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81126B" w:rsidRPr="0081126B" w:rsidRDefault="008112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81126B">
        <w:rPr>
          <w:noProof/>
          <w:lang w:val="fr-CH"/>
        </w:rPr>
        <w:t>Questions qu’il était proposé d’aborder lors du Séminaire sur l’exercice du droit d’obtenteur en relation avec le produit de la récolte</w:t>
      </w:r>
      <w:r w:rsidRPr="0081126B">
        <w:rPr>
          <w:noProof/>
          <w:lang w:val="fr-CH"/>
        </w:rPr>
        <w:tab/>
      </w:r>
      <w:r>
        <w:rPr>
          <w:noProof/>
        </w:rPr>
        <w:fldChar w:fldCharType="begin"/>
      </w:r>
      <w:r w:rsidRPr="0081126B">
        <w:rPr>
          <w:noProof/>
          <w:lang w:val="fr-CH"/>
        </w:rPr>
        <w:instrText xml:space="preserve"> PAGEREF _Toc74663932 \h </w:instrText>
      </w:r>
      <w:r>
        <w:rPr>
          <w:noProof/>
        </w:rPr>
      </w:r>
      <w:r>
        <w:rPr>
          <w:noProof/>
        </w:rPr>
        <w:fldChar w:fldCharType="separate"/>
      </w:r>
      <w:r w:rsidR="00235351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81126B" w:rsidRPr="00777CA4" w:rsidRDefault="0081126B" w:rsidP="0081126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777CA4">
        <w:rPr>
          <w:noProof/>
          <w:lang w:val="fr-CH"/>
        </w:rPr>
        <w:t>Séminaire sur le droit d’obtenteur en relation avec le produit de la récolte</w:t>
      </w:r>
      <w:r w:rsidRPr="00777CA4">
        <w:rPr>
          <w:noProof/>
          <w:lang w:val="fr-CH"/>
        </w:rPr>
        <w:tab/>
      </w:r>
      <w:r>
        <w:rPr>
          <w:noProof/>
        </w:rPr>
        <w:fldChar w:fldCharType="begin"/>
      </w:r>
      <w:r w:rsidRPr="00777CA4">
        <w:rPr>
          <w:noProof/>
          <w:lang w:val="fr-CH"/>
        </w:rPr>
        <w:instrText xml:space="preserve"> PAGEREF _Toc74663933 \h </w:instrText>
      </w:r>
      <w:r>
        <w:rPr>
          <w:noProof/>
        </w:rPr>
      </w:r>
      <w:r>
        <w:rPr>
          <w:noProof/>
        </w:rPr>
        <w:fldChar w:fldCharType="separate"/>
      </w:r>
      <w:r w:rsidR="00235351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81126B" w:rsidRPr="0081126B" w:rsidRDefault="0081126B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81126B">
        <w:rPr>
          <w:noProof/>
          <w:lang w:val="fr-CH"/>
        </w:rPr>
        <w:t>Conclusions</w:t>
      </w:r>
      <w:r w:rsidRPr="0081126B">
        <w:rPr>
          <w:noProof/>
          <w:lang w:val="fr-CH"/>
        </w:rPr>
        <w:tab/>
      </w:r>
      <w:r>
        <w:rPr>
          <w:noProof/>
        </w:rPr>
        <w:fldChar w:fldCharType="begin"/>
      </w:r>
      <w:r w:rsidRPr="0081126B">
        <w:rPr>
          <w:noProof/>
          <w:lang w:val="fr-CH"/>
        </w:rPr>
        <w:instrText xml:space="preserve"> PAGEREF _Toc74663934 \h </w:instrText>
      </w:r>
      <w:r>
        <w:rPr>
          <w:noProof/>
        </w:rPr>
      </w:r>
      <w:r>
        <w:rPr>
          <w:noProof/>
        </w:rPr>
        <w:fldChar w:fldCharType="separate"/>
      </w:r>
      <w:r w:rsidR="00235351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81126B" w:rsidRPr="00777CA4" w:rsidRDefault="0081126B" w:rsidP="0081126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777CA4">
        <w:rPr>
          <w:noProof/>
          <w:lang w:val="fr-CH"/>
        </w:rPr>
        <w:t>Propositions relatives à une procédure de révision des documents d’orientation correspondants</w:t>
      </w:r>
      <w:r w:rsidRPr="00777CA4">
        <w:rPr>
          <w:noProof/>
          <w:lang w:val="fr-CH"/>
        </w:rPr>
        <w:tab/>
      </w:r>
      <w:r>
        <w:rPr>
          <w:noProof/>
        </w:rPr>
        <w:fldChar w:fldCharType="begin"/>
      </w:r>
      <w:r w:rsidRPr="00777CA4">
        <w:rPr>
          <w:noProof/>
          <w:lang w:val="fr-CH"/>
        </w:rPr>
        <w:instrText xml:space="preserve"> PAGEREF _Toc74663935 \h </w:instrText>
      </w:r>
      <w:r>
        <w:rPr>
          <w:noProof/>
        </w:rPr>
      </w:r>
      <w:r>
        <w:rPr>
          <w:noProof/>
        </w:rPr>
        <w:fldChar w:fldCharType="separate"/>
      </w:r>
      <w:r w:rsidR="00235351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0B5739" w:rsidRPr="0081126B" w:rsidRDefault="000B5739" w:rsidP="0081126B">
      <w:pPr>
        <w:tabs>
          <w:tab w:val="left" w:pos="1170"/>
        </w:tabs>
        <w:ind w:left="1170" w:hanging="1170"/>
        <w:rPr>
          <w:color w:val="000000"/>
          <w:lang w:val="fr-CH"/>
        </w:rPr>
      </w:pPr>
      <w:r>
        <w:fldChar w:fldCharType="end"/>
      </w:r>
      <w:r w:rsidR="00A06575" w:rsidRPr="0081126B">
        <w:rPr>
          <w:color w:val="000000"/>
          <w:lang w:val="fr-CH"/>
        </w:rPr>
        <w:t>ANNEXE</w:t>
      </w:r>
      <w:r w:rsidR="00A06575" w:rsidRPr="0081126B">
        <w:rPr>
          <w:color w:val="000000"/>
          <w:lang w:val="fr-CH"/>
        </w:rPr>
        <w:tab/>
        <w:t>PROJET DE MANDAT DU GROUPE DE TRAVAIL SUR LE PRODUIT DE LA RÉCOLTE ET L’UTILISATION NON AUTORISÉE DE MATÉRIEL DE REPRODUCTION OU DE MULTIPLICATION (WG-HRV)</w:t>
      </w:r>
    </w:p>
    <w:p w:rsidR="000B5739" w:rsidRPr="0081126B" w:rsidRDefault="000B5739" w:rsidP="000B5739">
      <w:pPr>
        <w:rPr>
          <w:sz w:val="18"/>
          <w:lang w:val="fr-CH"/>
        </w:rPr>
      </w:pPr>
    </w:p>
    <w:p w:rsidR="000B5739" w:rsidRPr="0081126B" w:rsidRDefault="000B5739" w:rsidP="000B5739">
      <w:pPr>
        <w:rPr>
          <w:sz w:val="18"/>
        </w:rPr>
      </w:pPr>
    </w:p>
    <w:p w:rsidR="001431B5" w:rsidRPr="0081126B" w:rsidRDefault="001431B5" w:rsidP="000B5739">
      <w:pPr>
        <w:rPr>
          <w:sz w:val="18"/>
        </w:rPr>
      </w:pPr>
    </w:p>
    <w:p w:rsidR="001431B5" w:rsidRPr="001D5FF3" w:rsidRDefault="001D5FF3" w:rsidP="00752467">
      <w:pPr>
        <w:pStyle w:val="Heading1"/>
      </w:pPr>
      <w:bookmarkStart w:id="8" w:name="_Toc74663838"/>
      <w:bookmarkStart w:id="9" w:name="_Toc74663931"/>
      <w:bookmarkEnd w:id="5"/>
      <w:bookmarkEnd w:id="6"/>
      <w:bookmarkEnd w:id="7"/>
      <w:r w:rsidRPr="001D5FF3">
        <w:t>Rappel</w:t>
      </w:r>
      <w:bookmarkEnd w:id="8"/>
      <w:bookmarkEnd w:id="9"/>
    </w:p>
    <w:p w:rsidR="001431B5" w:rsidRDefault="001431B5" w:rsidP="0030147A">
      <w:pPr>
        <w:rPr>
          <w:lang w:val="fr-CH"/>
        </w:rPr>
      </w:pPr>
    </w:p>
    <w:p w:rsidR="00930F9A" w:rsidRPr="00CB20AA" w:rsidRDefault="0030147A" w:rsidP="00C34DFA">
      <w:pPr>
        <w:keepNext/>
        <w:keepLines/>
        <w:autoSpaceDE w:val="0"/>
        <w:autoSpaceDN w:val="0"/>
        <w:adjustRightInd w:val="0"/>
        <w:rPr>
          <w:rFonts w:cs="Arial"/>
          <w:snapToGrid w:val="0"/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C34DFA" w:rsidRPr="00CB20AA">
        <w:rPr>
          <w:lang w:val="fr-CH"/>
        </w:rPr>
        <w:t>À sa soixante</w:t>
      </w:r>
      <w:r w:rsidR="00930F9A" w:rsidRPr="00CB20AA">
        <w:rPr>
          <w:lang w:val="fr-CH"/>
        </w:rPr>
        <w:t>-</w:t>
      </w:r>
      <w:r w:rsidR="00C34DFA" w:rsidRPr="00CB20AA">
        <w:rPr>
          <w:lang w:val="fr-CH"/>
        </w:rPr>
        <w:t>seiz</w:t>
      </w:r>
      <w:r w:rsidR="00930F9A" w:rsidRPr="00CB20AA">
        <w:rPr>
          <w:lang w:val="fr-CH"/>
        </w:rPr>
        <w:t>ième session</w:t>
      </w:r>
      <w:r w:rsidR="00C34DFA" w:rsidRPr="00CB20AA">
        <w:rPr>
          <w:rStyle w:val="FootnoteReference"/>
          <w:lang w:val="fr-CH"/>
        </w:rPr>
        <w:footnoteReference w:id="2"/>
      </w:r>
      <w:r w:rsidR="00C34DFA" w:rsidRPr="00CB20AA">
        <w:rPr>
          <w:lang w:val="fr-CH"/>
        </w:rPr>
        <w:t>, le Comité administratif et juridique (CAJ) est convenu des questions figurant dans les paragraphes ci</w:t>
      </w:r>
      <w:r w:rsidR="00930F9A" w:rsidRPr="00CB20AA">
        <w:rPr>
          <w:lang w:val="fr-CH"/>
        </w:rPr>
        <w:t>-</w:t>
      </w:r>
      <w:r w:rsidR="00C34DFA" w:rsidRPr="00CB20AA">
        <w:rPr>
          <w:lang w:val="fr-CH"/>
        </w:rPr>
        <w:t>après (voir ci</w:t>
      </w:r>
      <w:r w:rsidR="00930F9A" w:rsidRPr="00CB20AA">
        <w:rPr>
          <w:lang w:val="fr-CH"/>
        </w:rPr>
        <w:t>-</w:t>
      </w:r>
      <w:r w:rsidR="00C34DFA" w:rsidRPr="00CB20AA">
        <w:rPr>
          <w:lang w:val="fr-CH"/>
        </w:rPr>
        <w:t>dessous les extraits du document CAJ/76/9 “</w:t>
      </w:r>
      <w:r w:rsidR="00CB20AA" w:rsidRPr="00CB20AA">
        <w:rPr>
          <w:lang w:val="fr-CH"/>
        </w:rPr>
        <w:t>Compte rendu</w:t>
      </w:r>
      <w:r w:rsidR="00C34DFA" w:rsidRPr="00CB20AA">
        <w:rPr>
          <w:lang w:val="fr-CH"/>
        </w:rPr>
        <w:t xml:space="preserve">”, </w:t>
      </w:r>
      <w:r w:rsidR="00930F9A" w:rsidRPr="00CB20AA">
        <w:rPr>
          <w:lang w:val="fr-CH"/>
        </w:rPr>
        <w:t>paragraphes 1</w:t>
      </w:r>
      <w:r w:rsidR="00C34DFA" w:rsidRPr="00CB20AA">
        <w:rPr>
          <w:lang w:val="fr-CH"/>
        </w:rPr>
        <w:t>8 à 20)</w:t>
      </w:r>
      <w:r w:rsidR="00930F9A" w:rsidRPr="00CB20AA">
        <w:rPr>
          <w:lang w:val="fr-CH"/>
        </w:rPr>
        <w:t> :</w:t>
      </w:r>
    </w:p>
    <w:p w:rsidR="001431B5" w:rsidRPr="00CB20AA" w:rsidRDefault="001431B5" w:rsidP="0030147A">
      <w:pPr>
        <w:keepNext/>
        <w:tabs>
          <w:tab w:val="left" w:pos="284"/>
          <w:tab w:val="left" w:pos="851"/>
        </w:tabs>
        <w:autoSpaceDE w:val="0"/>
        <w:autoSpaceDN w:val="0"/>
        <w:adjustRightInd w:val="0"/>
        <w:rPr>
          <w:rFonts w:cs="Angsana New"/>
          <w:sz w:val="16"/>
          <w:szCs w:val="18"/>
          <w:lang w:val="fr-CH" w:eastAsia="ja-JP" w:bidi="th-TH"/>
        </w:rPr>
      </w:pPr>
    </w:p>
    <w:p w:rsidR="00930F9A" w:rsidRPr="00CB20AA" w:rsidRDefault="00C34DFA" w:rsidP="00C34DFA">
      <w:pPr>
        <w:ind w:left="567" w:right="567"/>
        <w:rPr>
          <w:rFonts w:eastAsiaTheme="minorEastAsia"/>
          <w:sz w:val="18"/>
          <w:lang w:val="fr-CH"/>
        </w:rPr>
      </w:pPr>
      <w:r w:rsidRPr="00CB20AA">
        <w:rPr>
          <w:rFonts w:eastAsiaTheme="minorEastAsia"/>
          <w:sz w:val="18"/>
          <w:lang w:val="fr-CH"/>
        </w:rPr>
        <w:t>“18.</w:t>
      </w:r>
      <w:r w:rsidRPr="00CB20AA">
        <w:rPr>
          <w:rFonts w:eastAsiaTheme="minorEastAsia"/>
          <w:sz w:val="18"/>
          <w:lang w:val="fr-CH"/>
        </w:rPr>
        <w:tab/>
        <w:t xml:space="preserve">Le CAJ prend note de la suggestion </w:t>
      </w:r>
      <w:proofErr w:type="spellStart"/>
      <w:r w:rsidRPr="00CB20AA">
        <w:rPr>
          <w:rFonts w:eastAsiaTheme="minorEastAsia"/>
          <w:sz w:val="18"/>
          <w:lang w:val="fr-CH"/>
        </w:rPr>
        <w:t>formulée</w:t>
      </w:r>
      <w:proofErr w:type="spellEnd"/>
      <w:r w:rsidRPr="00CB20AA">
        <w:rPr>
          <w:rFonts w:eastAsiaTheme="minorEastAsia"/>
          <w:sz w:val="18"/>
          <w:lang w:val="fr-CH"/>
        </w:rPr>
        <w:t xml:space="preserve"> par le Japon tendant </w:t>
      </w:r>
      <w:proofErr w:type="spellStart"/>
      <w:r w:rsidRPr="00CB20AA">
        <w:rPr>
          <w:rFonts w:eastAsiaTheme="minorEastAsia"/>
          <w:sz w:val="18"/>
          <w:lang w:val="fr-CH"/>
        </w:rPr>
        <w:t>a</w:t>
      </w:r>
      <w:proofErr w:type="spellEnd"/>
      <w:r w:rsidRPr="00CB20AA">
        <w:rPr>
          <w:rFonts w:eastAsiaTheme="minorEastAsia"/>
          <w:sz w:val="18"/>
          <w:lang w:val="fr-CH"/>
        </w:rPr>
        <w:t xml:space="preserve">̀ </w:t>
      </w:r>
      <w:proofErr w:type="spellStart"/>
      <w:r w:rsidRPr="00CB20AA">
        <w:rPr>
          <w:rFonts w:eastAsiaTheme="minorEastAsia"/>
          <w:sz w:val="18"/>
          <w:lang w:val="fr-CH"/>
        </w:rPr>
        <w:t>élaborer</w:t>
      </w:r>
      <w:proofErr w:type="spellEnd"/>
      <w:r w:rsidRPr="00CB20AA">
        <w:rPr>
          <w:rFonts w:eastAsiaTheme="minorEastAsia"/>
          <w:sz w:val="18"/>
          <w:lang w:val="fr-CH"/>
        </w:rPr>
        <w:t xml:space="preserve"> des orientations sur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expression </w:t>
      </w:r>
      <w:r w:rsidR="00A27353" w:rsidRPr="00CB20AA">
        <w:rPr>
          <w:rFonts w:eastAsiaTheme="minorEastAsia"/>
          <w:sz w:val="18"/>
          <w:lang w:val="fr-CH"/>
        </w:rPr>
        <w:t>‘</w:t>
      </w:r>
      <w:r w:rsidRPr="00CB20AA">
        <w:rPr>
          <w:rFonts w:eastAsiaTheme="minorEastAsia"/>
          <w:sz w:val="18"/>
          <w:lang w:val="fr-CH"/>
        </w:rPr>
        <w:t xml:space="preserve">utilisation non </w:t>
      </w:r>
      <w:proofErr w:type="spellStart"/>
      <w:r w:rsidRPr="00CB20AA">
        <w:rPr>
          <w:rFonts w:eastAsiaTheme="minorEastAsia"/>
          <w:sz w:val="18"/>
          <w:lang w:val="fr-CH"/>
        </w:rPr>
        <w:t>autorisée</w:t>
      </w:r>
      <w:proofErr w:type="spellEnd"/>
      <w:r w:rsidRPr="00CB20AA">
        <w:rPr>
          <w:rFonts w:eastAsiaTheme="minorEastAsia"/>
          <w:sz w:val="18"/>
          <w:lang w:val="fr-CH"/>
        </w:rPr>
        <w:t xml:space="preserve"> de </w:t>
      </w:r>
      <w:proofErr w:type="spellStart"/>
      <w:r w:rsidRPr="00CB20AA">
        <w:rPr>
          <w:rFonts w:eastAsiaTheme="minorEastAsia"/>
          <w:sz w:val="18"/>
          <w:lang w:val="fr-CH"/>
        </w:rPr>
        <w:t>matériel</w:t>
      </w:r>
      <w:proofErr w:type="spellEnd"/>
      <w:r w:rsidRPr="00CB20AA">
        <w:rPr>
          <w:rFonts w:eastAsiaTheme="minorEastAsia"/>
          <w:sz w:val="18"/>
          <w:lang w:val="fr-CH"/>
        </w:rPr>
        <w:t xml:space="preserve"> de reproduction ou de multiplication</w:t>
      </w:r>
      <w:r w:rsidR="00A27353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, à l</w:t>
      </w:r>
      <w:r w:rsidR="00930F9A" w:rsidRPr="00CB20AA">
        <w:rPr>
          <w:rFonts w:eastAsiaTheme="minorEastAsia"/>
          <w:sz w:val="18"/>
          <w:lang w:val="fr-CH"/>
        </w:rPr>
        <w:t>’article 1</w:t>
      </w:r>
      <w:r w:rsidRPr="00CB20AA">
        <w:rPr>
          <w:rFonts w:eastAsiaTheme="minorEastAsia"/>
          <w:sz w:val="18"/>
          <w:lang w:val="fr-CH"/>
        </w:rPr>
        <w:t>4.2) de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Acte </w:t>
      </w:r>
      <w:r w:rsidR="00930F9A" w:rsidRPr="00CB20AA">
        <w:rPr>
          <w:rFonts w:eastAsiaTheme="minorEastAsia"/>
          <w:sz w:val="18"/>
          <w:lang w:val="fr-CH"/>
        </w:rPr>
        <w:t>de 1991</w:t>
      </w:r>
      <w:r w:rsidRPr="00CB20AA">
        <w:rPr>
          <w:rFonts w:eastAsiaTheme="minorEastAsia"/>
          <w:sz w:val="18"/>
          <w:lang w:val="fr-CH"/>
        </w:rPr>
        <w:t xml:space="preserve"> de la </w:t>
      </w:r>
      <w:r w:rsidR="00930F9A" w:rsidRPr="00CB20AA">
        <w:rPr>
          <w:rFonts w:eastAsiaTheme="minorEastAsia"/>
          <w:sz w:val="18"/>
          <w:lang w:val="fr-CH"/>
        </w:rPr>
        <w:t>Convention UPOV</w:t>
      </w:r>
      <w:r w:rsidRPr="00CB20AA">
        <w:rPr>
          <w:rFonts w:eastAsiaTheme="minorEastAsia"/>
          <w:sz w:val="18"/>
          <w:lang w:val="fr-CH"/>
        </w:rPr>
        <w:t>.</w:t>
      </w:r>
    </w:p>
    <w:p w:rsidR="001431B5" w:rsidRPr="00CB20AA" w:rsidRDefault="001431B5" w:rsidP="003166F6">
      <w:pPr>
        <w:ind w:right="567"/>
        <w:rPr>
          <w:rFonts w:eastAsiaTheme="minorEastAsia"/>
          <w:sz w:val="16"/>
          <w:lang w:val="fr-CH"/>
        </w:rPr>
      </w:pPr>
    </w:p>
    <w:p w:rsidR="00930F9A" w:rsidRPr="00CB20AA" w:rsidRDefault="00C34DFA" w:rsidP="00C34DFA">
      <w:pPr>
        <w:ind w:left="567" w:right="567"/>
        <w:rPr>
          <w:rFonts w:eastAsiaTheme="minorEastAsia"/>
          <w:sz w:val="18"/>
          <w:lang w:val="fr-CH"/>
        </w:rPr>
      </w:pPr>
      <w:r w:rsidRPr="00CB20AA">
        <w:rPr>
          <w:rFonts w:eastAsiaTheme="minorEastAsia"/>
          <w:sz w:val="18"/>
          <w:lang w:val="fr-CH"/>
        </w:rPr>
        <w:t>“19.</w:t>
      </w:r>
      <w:r w:rsidRPr="00CB20AA">
        <w:rPr>
          <w:rFonts w:eastAsiaTheme="minorEastAsia"/>
          <w:sz w:val="18"/>
          <w:lang w:val="fr-CH"/>
        </w:rPr>
        <w:tab/>
        <w:t>Le CAJ convient d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ajouter un point à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ordre du jour de la </w:t>
      </w:r>
      <w:proofErr w:type="spellStart"/>
      <w:r w:rsidRPr="00CB20AA">
        <w:rPr>
          <w:rFonts w:eastAsiaTheme="minorEastAsia"/>
          <w:sz w:val="18"/>
          <w:lang w:val="fr-CH"/>
        </w:rPr>
        <w:t>soixante</w:t>
      </w:r>
      <w:r w:rsidR="00930F9A" w:rsidRPr="00CB20AA">
        <w:rPr>
          <w:rFonts w:eastAsiaTheme="minorEastAsia"/>
          <w:sz w:val="18"/>
          <w:lang w:val="fr-CH"/>
        </w:rPr>
        <w:t>-</w:t>
      </w:r>
      <w:r w:rsidRPr="00CB20AA">
        <w:rPr>
          <w:rFonts w:eastAsiaTheme="minorEastAsia"/>
          <w:sz w:val="18"/>
          <w:lang w:val="fr-CH"/>
        </w:rPr>
        <w:t>dix</w:t>
      </w:r>
      <w:r w:rsidR="00930F9A" w:rsidRPr="00CB20AA">
        <w:rPr>
          <w:rFonts w:eastAsiaTheme="minorEastAsia"/>
          <w:sz w:val="18"/>
          <w:lang w:val="fr-CH"/>
        </w:rPr>
        <w:t>-</w:t>
      </w:r>
      <w:r w:rsidRPr="00CB20AA">
        <w:rPr>
          <w:rFonts w:eastAsiaTheme="minorEastAsia"/>
          <w:sz w:val="18"/>
          <w:lang w:val="fr-CH"/>
        </w:rPr>
        <w:t>septième</w:t>
      </w:r>
      <w:proofErr w:type="spellEnd"/>
      <w:r w:rsidRPr="00CB20AA">
        <w:rPr>
          <w:rFonts w:eastAsiaTheme="minorEastAsia"/>
          <w:sz w:val="18"/>
          <w:lang w:val="fr-CH"/>
        </w:rPr>
        <w:t xml:space="preserve"> session</w:t>
      </w:r>
      <w:r w:rsidR="00930F9A" w:rsidRPr="00CB20AA">
        <w:rPr>
          <w:rFonts w:eastAsiaTheme="minorEastAsia"/>
          <w:sz w:val="18"/>
          <w:lang w:val="fr-CH"/>
        </w:rPr>
        <w:t xml:space="preserve"> du CAJ</w:t>
      </w:r>
      <w:r w:rsidRPr="00CB20AA">
        <w:rPr>
          <w:rFonts w:eastAsiaTheme="minorEastAsia"/>
          <w:sz w:val="18"/>
          <w:lang w:val="fr-CH"/>
        </w:rPr>
        <w:t xml:space="preserve"> qui se tiendra le 2</w:t>
      </w:r>
      <w:r w:rsidR="00930F9A" w:rsidRPr="00CB20AA">
        <w:rPr>
          <w:rFonts w:eastAsiaTheme="minorEastAsia"/>
          <w:sz w:val="18"/>
          <w:lang w:val="fr-CH"/>
        </w:rPr>
        <w:t>8 octobre 20</w:t>
      </w:r>
      <w:r w:rsidRPr="00CB20AA">
        <w:rPr>
          <w:rFonts w:eastAsiaTheme="minorEastAsia"/>
          <w:sz w:val="18"/>
          <w:lang w:val="fr-CH"/>
        </w:rPr>
        <w:t>20, afin d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examiner un document contenant des informations et des propositions soumises par les membres et les observateurs</w:t>
      </w:r>
      <w:r w:rsidR="00930F9A" w:rsidRPr="00CB20AA">
        <w:rPr>
          <w:rFonts w:eastAsiaTheme="minorEastAsia"/>
          <w:sz w:val="18"/>
          <w:lang w:val="fr-CH"/>
        </w:rPr>
        <w:t xml:space="preserve"> du CAJ</w:t>
      </w:r>
      <w:r w:rsidRPr="00CB20AA">
        <w:rPr>
          <w:rFonts w:eastAsiaTheme="minorEastAsia"/>
          <w:sz w:val="18"/>
          <w:lang w:val="fr-CH"/>
        </w:rPr>
        <w:t xml:space="preserve"> concernant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expression </w:t>
      </w:r>
      <w:r w:rsidR="00A27353" w:rsidRPr="00CB20AA">
        <w:rPr>
          <w:rFonts w:eastAsiaTheme="minorEastAsia"/>
          <w:sz w:val="18"/>
          <w:lang w:val="fr-CH"/>
        </w:rPr>
        <w:t>‘</w:t>
      </w:r>
      <w:r w:rsidRPr="00CB20AA">
        <w:rPr>
          <w:rFonts w:eastAsiaTheme="minorEastAsia"/>
          <w:sz w:val="18"/>
          <w:lang w:val="fr-CH"/>
        </w:rPr>
        <w:t xml:space="preserve">utilisation non </w:t>
      </w:r>
      <w:proofErr w:type="spellStart"/>
      <w:r w:rsidRPr="00CB20AA">
        <w:rPr>
          <w:rFonts w:eastAsiaTheme="minorEastAsia"/>
          <w:sz w:val="18"/>
          <w:lang w:val="fr-CH"/>
        </w:rPr>
        <w:t>autorisée</w:t>
      </w:r>
      <w:proofErr w:type="spellEnd"/>
      <w:r w:rsidRPr="00CB20AA">
        <w:rPr>
          <w:rFonts w:eastAsiaTheme="minorEastAsia"/>
          <w:sz w:val="18"/>
          <w:lang w:val="fr-CH"/>
        </w:rPr>
        <w:t xml:space="preserve"> de </w:t>
      </w:r>
      <w:proofErr w:type="spellStart"/>
      <w:r w:rsidRPr="00CB20AA">
        <w:rPr>
          <w:rFonts w:eastAsiaTheme="minorEastAsia"/>
          <w:sz w:val="18"/>
          <w:lang w:val="fr-CH"/>
        </w:rPr>
        <w:t>matériel</w:t>
      </w:r>
      <w:proofErr w:type="spellEnd"/>
      <w:r w:rsidRPr="00CB20AA">
        <w:rPr>
          <w:rFonts w:eastAsiaTheme="minorEastAsia"/>
          <w:sz w:val="18"/>
          <w:lang w:val="fr-CH"/>
        </w:rPr>
        <w:t xml:space="preserve"> de reproduction ou de multiplication</w:t>
      </w:r>
      <w:r w:rsidR="00A27353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, en rapport avec les arbres, à l</w:t>
      </w:r>
      <w:r w:rsidR="00930F9A" w:rsidRPr="00CB20AA">
        <w:rPr>
          <w:rFonts w:eastAsiaTheme="minorEastAsia"/>
          <w:sz w:val="18"/>
          <w:lang w:val="fr-CH"/>
        </w:rPr>
        <w:t>’article 1</w:t>
      </w:r>
      <w:r w:rsidRPr="00CB20AA">
        <w:rPr>
          <w:rFonts w:eastAsiaTheme="minorEastAsia"/>
          <w:sz w:val="18"/>
          <w:lang w:val="fr-CH"/>
        </w:rPr>
        <w:t>4.2) de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Acte </w:t>
      </w:r>
      <w:r w:rsidR="00930F9A" w:rsidRPr="00CB20AA">
        <w:rPr>
          <w:rFonts w:eastAsiaTheme="minorEastAsia"/>
          <w:sz w:val="18"/>
          <w:lang w:val="fr-CH"/>
        </w:rPr>
        <w:t>de 1991</w:t>
      </w:r>
      <w:r w:rsidRPr="00CB20AA">
        <w:rPr>
          <w:rFonts w:eastAsiaTheme="minorEastAsia"/>
          <w:sz w:val="18"/>
          <w:lang w:val="fr-CH"/>
        </w:rPr>
        <w:t xml:space="preserve"> de la </w:t>
      </w:r>
      <w:r w:rsidR="00930F9A" w:rsidRPr="00CB20AA">
        <w:rPr>
          <w:rFonts w:eastAsiaTheme="minorEastAsia"/>
          <w:sz w:val="18"/>
          <w:lang w:val="fr-CH"/>
        </w:rPr>
        <w:t>Convention UPOV</w:t>
      </w:r>
      <w:r w:rsidRPr="00CB20AA">
        <w:rPr>
          <w:rFonts w:eastAsiaTheme="minorEastAsia"/>
          <w:sz w:val="18"/>
          <w:lang w:val="fr-CH"/>
        </w:rPr>
        <w:t>.</w:t>
      </w:r>
    </w:p>
    <w:p w:rsidR="001431B5" w:rsidRPr="00CB20AA" w:rsidRDefault="001431B5" w:rsidP="003166F6">
      <w:pPr>
        <w:ind w:right="567"/>
        <w:rPr>
          <w:rFonts w:eastAsiaTheme="minorEastAsia"/>
          <w:sz w:val="16"/>
          <w:lang w:val="fr-CH"/>
        </w:rPr>
      </w:pPr>
    </w:p>
    <w:p w:rsidR="00930F9A" w:rsidRPr="00CB20AA" w:rsidRDefault="00C34DFA" w:rsidP="00C34DFA">
      <w:pPr>
        <w:keepLines/>
        <w:ind w:left="567" w:right="567"/>
        <w:rPr>
          <w:sz w:val="18"/>
          <w:lang w:val="fr-CH"/>
        </w:rPr>
      </w:pPr>
      <w:r w:rsidRPr="00CB20AA">
        <w:rPr>
          <w:rFonts w:eastAsiaTheme="minorEastAsia"/>
          <w:sz w:val="18"/>
          <w:lang w:val="fr-CH"/>
        </w:rPr>
        <w:t>“20.</w:t>
      </w:r>
      <w:r w:rsidRPr="00CB20AA">
        <w:rPr>
          <w:rFonts w:eastAsiaTheme="minorEastAsia"/>
          <w:sz w:val="18"/>
          <w:lang w:val="fr-CH"/>
        </w:rPr>
        <w:tab/>
        <w:t>Le CAJ convient que le Bureau de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Union devrait inviter les membres et les observateurs à fournir des informations et à faire des propositions par correspondance sur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expression </w:t>
      </w:r>
      <w:r w:rsidR="00A27353" w:rsidRPr="00CB20AA">
        <w:rPr>
          <w:rFonts w:eastAsiaTheme="minorEastAsia"/>
          <w:sz w:val="18"/>
          <w:lang w:val="fr-CH"/>
        </w:rPr>
        <w:t>‘</w:t>
      </w:r>
      <w:r w:rsidRPr="00CB20AA">
        <w:rPr>
          <w:rFonts w:eastAsiaTheme="minorEastAsia"/>
          <w:sz w:val="18"/>
          <w:lang w:val="fr-CH"/>
        </w:rPr>
        <w:t xml:space="preserve">utilisation non </w:t>
      </w:r>
      <w:proofErr w:type="spellStart"/>
      <w:r w:rsidRPr="00CB20AA">
        <w:rPr>
          <w:rFonts w:eastAsiaTheme="minorEastAsia"/>
          <w:sz w:val="18"/>
          <w:lang w:val="fr-CH"/>
        </w:rPr>
        <w:t>autorisée</w:t>
      </w:r>
      <w:proofErr w:type="spellEnd"/>
      <w:r w:rsidRPr="00CB20AA">
        <w:rPr>
          <w:rFonts w:eastAsiaTheme="minorEastAsia"/>
          <w:sz w:val="18"/>
          <w:lang w:val="fr-CH"/>
        </w:rPr>
        <w:t xml:space="preserve"> de </w:t>
      </w:r>
      <w:proofErr w:type="spellStart"/>
      <w:r w:rsidRPr="00CB20AA">
        <w:rPr>
          <w:rFonts w:eastAsiaTheme="minorEastAsia"/>
          <w:sz w:val="18"/>
          <w:lang w:val="fr-CH"/>
        </w:rPr>
        <w:t>matériel</w:t>
      </w:r>
      <w:proofErr w:type="spellEnd"/>
      <w:r w:rsidRPr="00CB20AA">
        <w:rPr>
          <w:rFonts w:eastAsiaTheme="minorEastAsia"/>
          <w:sz w:val="18"/>
          <w:lang w:val="fr-CH"/>
        </w:rPr>
        <w:t xml:space="preserve"> de reproduction ou de multiplication</w:t>
      </w:r>
      <w:r w:rsidR="00A27353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, en rapport avec les arbres, à l</w:t>
      </w:r>
      <w:r w:rsidR="00930F9A" w:rsidRPr="00CB20AA">
        <w:rPr>
          <w:rFonts w:eastAsiaTheme="minorEastAsia"/>
          <w:sz w:val="18"/>
          <w:lang w:val="fr-CH"/>
        </w:rPr>
        <w:t>’article 1</w:t>
      </w:r>
      <w:r w:rsidRPr="00CB20AA">
        <w:rPr>
          <w:rFonts w:eastAsiaTheme="minorEastAsia"/>
          <w:sz w:val="18"/>
          <w:lang w:val="fr-CH"/>
        </w:rPr>
        <w:t>4.2) de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 xml:space="preserve">Acte </w:t>
      </w:r>
      <w:r w:rsidR="00930F9A" w:rsidRPr="00CB20AA">
        <w:rPr>
          <w:rFonts w:eastAsiaTheme="minorEastAsia"/>
          <w:sz w:val="18"/>
          <w:lang w:val="fr-CH"/>
        </w:rPr>
        <w:t>de 1991</w:t>
      </w:r>
      <w:r w:rsidRPr="00CB20AA">
        <w:rPr>
          <w:rFonts w:eastAsiaTheme="minorEastAsia"/>
          <w:sz w:val="18"/>
          <w:lang w:val="fr-CH"/>
        </w:rPr>
        <w:t xml:space="preserve"> de la </w:t>
      </w:r>
      <w:r w:rsidR="00930F9A" w:rsidRPr="00CB20AA">
        <w:rPr>
          <w:rFonts w:eastAsiaTheme="minorEastAsia"/>
          <w:sz w:val="18"/>
          <w:lang w:val="fr-CH"/>
        </w:rPr>
        <w:t>Convention U</w:t>
      </w:r>
      <w:r w:rsidR="006C74D4" w:rsidRPr="00CB20AA">
        <w:rPr>
          <w:rFonts w:eastAsiaTheme="minorEastAsia"/>
          <w:sz w:val="18"/>
          <w:lang w:val="fr-CH"/>
        </w:rPr>
        <w:t>POV.  Pa</w:t>
      </w:r>
      <w:r w:rsidRPr="00CB20AA">
        <w:rPr>
          <w:rFonts w:eastAsiaTheme="minorEastAsia"/>
          <w:sz w:val="18"/>
          <w:lang w:val="fr-CH"/>
        </w:rPr>
        <w:t>rtant des propositions reçues par correspondance, le Bureau de l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Union établirait un document recensant les questions de fond et les propositions qu</w:t>
      </w:r>
      <w:r w:rsidR="00930F9A" w:rsidRPr="00CB20AA">
        <w:rPr>
          <w:rFonts w:eastAsiaTheme="minorEastAsia"/>
          <w:sz w:val="18"/>
          <w:lang w:val="fr-CH"/>
        </w:rPr>
        <w:t>’</w:t>
      </w:r>
      <w:r w:rsidRPr="00CB20AA">
        <w:rPr>
          <w:rFonts w:eastAsiaTheme="minorEastAsia"/>
          <w:sz w:val="18"/>
          <w:lang w:val="fr-CH"/>
        </w:rPr>
        <w:t>il soumettrait</w:t>
      </w:r>
      <w:r w:rsidR="00930F9A" w:rsidRPr="00CB20AA">
        <w:rPr>
          <w:rFonts w:eastAsiaTheme="minorEastAsia"/>
          <w:sz w:val="18"/>
          <w:lang w:val="fr-CH"/>
        </w:rPr>
        <w:t xml:space="preserve"> au CAJ</w:t>
      </w:r>
      <w:r w:rsidRPr="00CB20AA">
        <w:rPr>
          <w:rFonts w:eastAsiaTheme="minorEastAsia"/>
          <w:sz w:val="18"/>
          <w:lang w:val="fr-CH"/>
        </w:rPr>
        <w:t xml:space="preserve"> pour examen à sa soixante</w:t>
      </w:r>
      <w:r w:rsidR="00930F9A" w:rsidRPr="00CB20AA">
        <w:rPr>
          <w:rFonts w:eastAsiaTheme="minorEastAsia"/>
          <w:sz w:val="18"/>
          <w:lang w:val="fr-CH"/>
        </w:rPr>
        <w:t>-</w:t>
      </w:r>
      <w:r w:rsidRPr="00CB20AA">
        <w:rPr>
          <w:rFonts w:eastAsiaTheme="minorEastAsia"/>
          <w:sz w:val="18"/>
          <w:lang w:val="fr-CH"/>
        </w:rPr>
        <w:t>dix</w:t>
      </w:r>
      <w:r w:rsidR="00930F9A" w:rsidRPr="00CB20AA">
        <w:rPr>
          <w:rFonts w:eastAsiaTheme="minorEastAsia"/>
          <w:sz w:val="18"/>
          <w:lang w:val="fr-CH"/>
        </w:rPr>
        <w:t>-</w:t>
      </w:r>
      <w:r w:rsidRPr="00CB20AA">
        <w:rPr>
          <w:rFonts w:eastAsiaTheme="minorEastAsia"/>
          <w:sz w:val="18"/>
          <w:lang w:val="fr-CH"/>
        </w:rPr>
        <w:t>sept</w:t>
      </w:r>
      <w:r w:rsidR="00930F9A" w:rsidRPr="00CB20AA">
        <w:rPr>
          <w:rFonts w:eastAsiaTheme="minorEastAsia"/>
          <w:sz w:val="18"/>
          <w:lang w:val="fr-CH"/>
        </w:rPr>
        <w:t>ième session</w:t>
      </w:r>
      <w:r w:rsidRPr="00CB20AA">
        <w:rPr>
          <w:rFonts w:eastAsiaTheme="minorEastAsia"/>
          <w:sz w:val="18"/>
          <w:lang w:val="fr-CH"/>
        </w:rPr>
        <w:t xml:space="preserve"> le 2</w:t>
      </w:r>
      <w:r w:rsidR="00930F9A" w:rsidRPr="00CB20AA">
        <w:rPr>
          <w:rFonts w:eastAsiaTheme="minorEastAsia"/>
          <w:sz w:val="18"/>
          <w:lang w:val="fr-CH"/>
        </w:rPr>
        <w:t>8 octobre 20</w:t>
      </w:r>
      <w:r w:rsidRPr="00CB20AA">
        <w:rPr>
          <w:rFonts w:eastAsiaTheme="minorEastAsia"/>
          <w:sz w:val="18"/>
          <w:lang w:val="fr-CH"/>
        </w:rPr>
        <w:t>20.</w:t>
      </w:r>
    </w:p>
    <w:p w:rsidR="001431B5" w:rsidRDefault="001431B5" w:rsidP="0030147A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cs="Arial"/>
          <w:spacing w:val="-2"/>
          <w:lang w:val="fr-CH" w:eastAsia="ja-JP" w:bidi="th-TH"/>
        </w:rPr>
      </w:pPr>
    </w:p>
    <w:p w:rsidR="00930F9A" w:rsidRDefault="0030147A" w:rsidP="0030147A">
      <w:pPr>
        <w:autoSpaceDE w:val="0"/>
        <w:autoSpaceDN w:val="0"/>
        <w:adjustRightInd w:val="0"/>
        <w:rPr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C34DFA" w:rsidRPr="00CF186D">
        <w:rPr>
          <w:rFonts w:cs="Arial"/>
          <w:lang w:val="fr-CH"/>
        </w:rPr>
        <w:t>Le 23 décembre 2019, le Bureau de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>Union a publié l</w:t>
      </w:r>
      <w:r w:rsidR="00FB4E47" w:rsidRPr="00CF186D">
        <w:rPr>
          <w:rFonts w:cs="Arial"/>
          <w:lang w:val="fr-CH"/>
        </w:rPr>
        <w:t>a circulaire</w:t>
      </w:r>
      <w:r w:rsidR="00C34DFA" w:rsidRPr="00CF186D">
        <w:rPr>
          <w:rFonts w:cs="Arial"/>
          <w:lang w:val="fr-CH"/>
        </w:rPr>
        <w:t xml:space="preserve"> E</w:t>
      </w:r>
      <w:r w:rsidR="00930F9A">
        <w:rPr>
          <w:rFonts w:cs="Arial"/>
          <w:lang w:val="fr-CH"/>
        </w:rPr>
        <w:t>-</w:t>
      </w:r>
      <w:r w:rsidR="00C34DFA" w:rsidRPr="00CF186D">
        <w:rPr>
          <w:rFonts w:cs="Arial"/>
          <w:lang w:val="fr-CH"/>
        </w:rPr>
        <w:t xml:space="preserve">19/232 </w:t>
      </w:r>
      <w:r w:rsidR="00D91F41">
        <w:rPr>
          <w:rFonts w:cs="Arial"/>
          <w:lang w:val="fr-CH"/>
        </w:rPr>
        <w:t>de l’</w:t>
      </w:r>
      <w:r w:rsidR="00D91F41" w:rsidRPr="00CF186D">
        <w:rPr>
          <w:rFonts w:cs="Arial"/>
          <w:lang w:val="fr-CH"/>
        </w:rPr>
        <w:t xml:space="preserve">UPOV </w:t>
      </w:r>
      <w:r w:rsidR="00C34DFA" w:rsidRPr="00CF186D">
        <w:rPr>
          <w:rFonts w:cs="Arial"/>
          <w:lang w:val="fr-CH"/>
        </w:rPr>
        <w:t>à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 xml:space="preserve">intention des </w:t>
      </w:r>
      <w:r w:rsidR="00CB20AA">
        <w:rPr>
          <w:rFonts w:cs="Arial"/>
          <w:lang w:val="fr-CH"/>
        </w:rPr>
        <w:t xml:space="preserve">personnes désignées parmi les </w:t>
      </w:r>
      <w:r w:rsidR="00C34DFA" w:rsidRPr="00CF186D">
        <w:rPr>
          <w:rFonts w:cs="Arial"/>
          <w:lang w:val="fr-CH"/>
        </w:rPr>
        <w:t>membres du CAJ avec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>invitation ci</w:t>
      </w:r>
      <w:r w:rsidR="00930F9A">
        <w:rPr>
          <w:rFonts w:cs="Arial"/>
          <w:lang w:val="fr-CH"/>
        </w:rPr>
        <w:t>-</w:t>
      </w:r>
      <w:r w:rsidR="00C34DFA" w:rsidRPr="00CF186D">
        <w:rPr>
          <w:rFonts w:cs="Arial"/>
          <w:lang w:val="fr-CH"/>
        </w:rPr>
        <w:t>après à fournir des informations et à faire des propositions concernant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>expression “utilisation non autorisée de matériel de reproduction ou de multiplication”, en rapport avec les arbres, à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>article 14.2) de l</w:t>
      </w:r>
      <w:r w:rsidR="00930F9A">
        <w:rPr>
          <w:rFonts w:cs="Arial"/>
          <w:lang w:val="fr-CH"/>
        </w:rPr>
        <w:t>’</w:t>
      </w:r>
      <w:r w:rsidR="00C34DFA" w:rsidRPr="00CF186D">
        <w:rPr>
          <w:rFonts w:cs="Arial"/>
          <w:lang w:val="fr-CH"/>
        </w:rPr>
        <w:t xml:space="preserve">Acte de 1991 de la </w:t>
      </w:r>
      <w:r w:rsidR="00930F9A">
        <w:rPr>
          <w:rFonts w:cs="Arial"/>
          <w:lang w:val="fr-CH"/>
        </w:rPr>
        <w:t>Convention UPOV :</w:t>
      </w:r>
    </w:p>
    <w:p w:rsidR="001431B5" w:rsidRDefault="001431B5" w:rsidP="0030147A">
      <w:pPr>
        <w:autoSpaceDE w:val="0"/>
        <w:autoSpaceDN w:val="0"/>
        <w:adjustRightInd w:val="0"/>
        <w:rPr>
          <w:rFonts w:cs="Arial"/>
          <w:sz w:val="16"/>
          <w:szCs w:val="18"/>
          <w:lang w:val="fr-CH"/>
        </w:rPr>
      </w:pPr>
    </w:p>
    <w:p w:rsidR="00930F9A" w:rsidRDefault="0030147A" w:rsidP="0030147A">
      <w:pPr>
        <w:spacing w:after="120"/>
        <w:ind w:left="567" w:right="369"/>
        <w:rPr>
          <w:sz w:val="18"/>
          <w:lang w:val="fr-CH"/>
        </w:rPr>
      </w:pPr>
      <w:r w:rsidRPr="00CF186D">
        <w:rPr>
          <w:sz w:val="18"/>
          <w:lang w:val="fr-CH"/>
        </w:rPr>
        <w:t>“</w:t>
      </w:r>
      <w:r w:rsidR="00C34DFA" w:rsidRPr="00CF186D">
        <w:rPr>
          <w:rFonts w:cs="Arial"/>
          <w:sz w:val="18"/>
          <w:lang w:val="fr-CH"/>
        </w:rPr>
        <w:t>Afin de faciliter l</w:t>
      </w:r>
      <w:r w:rsidR="00930F9A">
        <w:rPr>
          <w:rFonts w:cs="Arial"/>
          <w:sz w:val="18"/>
          <w:lang w:val="fr-CH"/>
        </w:rPr>
        <w:t>’</w:t>
      </w:r>
      <w:r w:rsidR="00C34DFA" w:rsidRPr="00CF186D">
        <w:rPr>
          <w:rFonts w:cs="Arial"/>
          <w:sz w:val="18"/>
          <w:lang w:val="fr-CH"/>
        </w:rPr>
        <w:t>analyse des informations et des propositions, il serait utile que les contributions soient structurées comme suit</w:t>
      </w:r>
      <w:r w:rsidR="00930F9A">
        <w:rPr>
          <w:rFonts w:cs="Arial"/>
          <w:sz w:val="18"/>
          <w:lang w:val="fr-CH"/>
        </w:rPr>
        <w:t> :</w:t>
      </w:r>
    </w:p>
    <w:p w:rsidR="001431B5" w:rsidRDefault="00C34DFA" w:rsidP="001D5FF3">
      <w:pPr>
        <w:pStyle w:val="ListParagraph"/>
        <w:numPr>
          <w:ilvl w:val="0"/>
          <w:numId w:val="1"/>
        </w:numPr>
        <w:spacing w:after="60"/>
        <w:ind w:left="1701" w:right="567" w:hanging="567"/>
        <w:contextualSpacing w:val="0"/>
        <w:rPr>
          <w:rFonts w:cs="Arial"/>
          <w:sz w:val="18"/>
          <w:lang w:val="fr-CH"/>
        </w:rPr>
      </w:pPr>
      <w:proofErr w:type="gramStart"/>
      <w:r w:rsidRPr="00CF186D">
        <w:rPr>
          <w:rFonts w:cs="Arial"/>
          <w:sz w:val="18"/>
          <w:lang w:val="fr-CH"/>
        </w:rPr>
        <w:t>informations</w:t>
      </w:r>
      <w:proofErr w:type="gramEnd"/>
      <w:r w:rsidRPr="00CF186D">
        <w:rPr>
          <w:rFonts w:cs="Arial"/>
          <w:sz w:val="18"/>
          <w:lang w:val="fr-CH"/>
        </w:rPr>
        <w:t xml:space="preserve"> concernant les questions soulevées par l</w:t>
      </w:r>
      <w:r w:rsidR="00930F9A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 xml:space="preserve">expression </w:t>
      </w:r>
      <w:r w:rsidR="00A27353">
        <w:rPr>
          <w:rFonts w:cs="Arial"/>
          <w:sz w:val="18"/>
          <w:lang w:val="fr-CH"/>
        </w:rPr>
        <w:t>‘</w:t>
      </w:r>
      <w:r w:rsidRPr="00CF186D">
        <w:rPr>
          <w:rFonts w:cs="Arial"/>
          <w:sz w:val="18"/>
          <w:lang w:val="fr-CH"/>
        </w:rPr>
        <w:t>utilisation non autorisée de matériel de reproduction ou de multiplication</w:t>
      </w:r>
      <w:r w:rsidR="00A27353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>, en rapport avec les arbres;</w:t>
      </w:r>
    </w:p>
    <w:p w:rsidR="001431B5" w:rsidRDefault="00C34DFA" w:rsidP="001D5FF3">
      <w:pPr>
        <w:pStyle w:val="ListParagraph"/>
        <w:numPr>
          <w:ilvl w:val="0"/>
          <w:numId w:val="1"/>
        </w:numPr>
        <w:spacing w:after="60"/>
        <w:ind w:left="1701" w:right="567" w:hanging="567"/>
        <w:contextualSpacing w:val="0"/>
        <w:rPr>
          <w:rFonts w:cs="Arial"/>
          <w:sz w:val="18"/>
          <w:lang w:val="fr-CH"/>
        </w:rPr>
      </w:pPr>
      <w:proofErr w:type="gramStart"/>
      <w:r w:rsidRPr="00CF186D">
        <w:rPr>
          <w:rFonts w:cs="Arial"/>
          <w:sz w:val="18"/>
          <w:lang w:val="fr-CH"/>
        </w:rPr>
        <w:t>informations</w:t>
      </w:r>
      <w:proofErr w:type="gramEnd"/>
      <w:r w:rsidRPr="00CF186D">
        <w:rPr>
          <w:rFonts w:cs="Arial"/>
          <w:sz w:val="18"/>
          <w:lang w:val="fr-CH"/>
        </w:rPr>
        <w:t xml:space="preserve"> relatives à toute explication concernant l</w:t>
      </w:r>
      <w:r w:rsidR="00930F9A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>utilisation de l</w:t>
      </w:r>
      <w:r w:rsidR="00930F9A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 xml:space="preserve">expression </w:t>
      </w:r>
      <w:r w:rsidR="00A27353">
        <w:rPr>
          <w:rFonts w:cs="Arial"/>
          <w:sz w:val="18"/>
          <w:lang w:val="fr-CH"/>
        </w:rPr>
        <w:t>‘</w:t>
      </w:r>
      <w:r w:rsidRPr="00CF186D">
        <w:rPr>
          <w:rFonts w:cs="Arial"/>
          <w:sz w:val="18"/>
          <w:lang w:val="fr-CH"/>
        </w:rPr>
        <w:t>utilisation non autorisée du matériel de reproduction ou de multiplication</w:t>
      </w:r>
      <w:r w:rsidR="00A27353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 xml:space="preserve"> sur le territoire (pratiques des obtenteurs, orientations, clauses contractuelles, etc.);</w:t>
      </w:r>
    </w:p>
    <w:p w:rsidR="001431B5" w:rsidRDefault="00C34DFA" w:rsidP="001D5FF3">
      <w:pPr>
        <w:pStyle w:val="ListParagraph"/>
        <w:numPr>
          <w:ilvl w:val="0"/>
          <w:numId w:val="1"/>
        </w:numPr>
        <w:spacing w:after="60"/>
        <w:ind w:left="1701" w:right="567" w:hanging="567"/>
        <w:contextualSpacing w:val="0"/>
        <w:rPr>
          <w:rFonts w:cs="Arial"/>
          <w:sz w:val="18"/>
          <w:lang w:val="fr-CH"/>
        </w:rPr>
      </w:pPr>
      <w:proofErr w:type="gramStart"/>
      <w:r w:rsidRPr="00CF186D">
        <w:rPr>
          <w:rFonts w:cs="Arial"/>
          <w:sz w:val="18"/>
          <w:lang w:val="fr-CH"/>
        </w:rPr>
        <w:t>jurisprudence</w:t>
      </w:r>
      <w:proofErr w:type="gramEnd"/>
      <w:r w:rsidRPr="00CF186D">
        <w:rPr>
          <w:rFonts w:cs="Arial"/>
          <w:sz w:val="18"/>
          <w:lang w:val="fr-CH"/>
        </w:rPr>
        <w:t>;</w:t>
      </w:r>
    </w:p>
    <w:p w:rsidR="00930F9A" w:rsidRDefault="00C34DFA" w:rsidP="001D5FF3">
      <w:pPr>
        <w:pStyle w:val="ListParagraph"/>
        <w:numPr>
          <w:ilvl w:val="0"/>
          <w:numId w:val="1"/>
        </w:numPr>
        <w:spacing w:after="60"/>
        <w:ind w:left="1701" w:right="369" w:hanging="567"/>
        <w:contextualSpacing w:val="0"/>
        <w:rPr>
          <w:sz w:val="18"/>
          <w:lang w:val="fr-CH"/>
        </w:rPr>
      </w:pPr>
      <w:proofErr w:type="gramStart"/>
      <w:r w:rsidRPr="00CF186D">
        <w:rPr>
          <w:rFonts w:cs="Arial"/>
          <w:sz w:val="18"/>
          <w:lang w:val="fr-CH"/>
        </w:rPr>
        <w:t>propositions</w:t>
      </w:r>
      <w:proofErr w:type="gramEnd"/>
      <w:r w:rsidRPr="00CF186D">
        <w:rPr>
          <w:rFonts w:cs="Arial"/>
          <w:sz w:val="18"/>
          <w:lang w:val="fr-CH"/>
        </w:rPr>
        <w:t xml:space="preserve"> concernant la façon de préciser le sens de l</w:t>
      </w:r>
      <w:r w:rsidR="00930F9A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 xml:space="preserve">expression </w:t>
      </w:r>
      <w:r w:rsidR="00A27353">
        <w:rPr>
          <w:rFonts w:cs="Arial"/>
          <w:sz w:val="18"/>
          <w:lang w:val="fr-CH"/>
        </w:rPr>
        <w:t>‘</w:t>
      </w:r>
      <w:r w:rsidRPr="00CF186D">
        <w:rPr>
          <w:rFonts w:cs="Arial"/>
          <w:sz w:val="18"/>
          <w:lang w:val="fr-CH"/>
        </w:rPr>
        <w:t>utilisation non autorisée du matériel de reproduction ou de multiplication</w:t>
      </w:r>
      <w:r w:rsidR="00A27353">
        <w:rPr>
          <w:rFonts w:cs="Arial"/>
          <w:sz w:val="18"/>
          <w:lang w:val="fr-CH"/>
        </w:rPr>
        <w:t>’</w:t>
      </w:r>
      <w:r w:rsidRPr="00CF186D">
        <w:rPr>
          <w:rFonts w:cs="Arial"/>
          <w:sz w:val="18"/>
          <w:lang w:val="fr-CH"/>
        </w:rPr>
        <w:t>.”</w:t>
      </w:r>
    </w:p>
    <w:p w:rsidR="001431B5" w:rsidRPr="0081126B" w:rsidRDefault="001431B5" w:rsidP="0030147A">
      <w:pPr>
        <w:tabs>
          <w:tab w:val="left" w:pos="284"/>
          <w:tab w:val="left" w:pos="851"/>
        </w:tabs>
        <w:autoSpaceDE w:val="0"/>
        <w:autoSpaceDN w:val="0"/>
        <w:adjustRightInd w:val="0"/>
        <w:rPr>
          <w:sz w:val="18"/>
          <w:lang w:val="fr-CH"/>
        </w:rPr>
      </w:pPr>
    </w:p>
    <w:p w:rsidR="00930F9A" w:rsidRDefault="0030147A" w:rsidP="009B6906">
      <w:pPr>
        <w:autoSpaceDE w:val="0"/>
        <w:autoSpaceDN w:val="0"/>
        <w:adjustRightInd w:val="0"/>
        <w:rPr>
          <w:rFonts w:cs="Arial"/>
          <w:snapToGrid w:val="0"/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C34DFA" w:rsidRPr="00CF186D">
        <w:rPr>
          <w:rFonts w:cs="Arial"/>
          <w:spacing w:val="-2"/>
          <w:lang w:val="fr-CH"/>
        </w:rPr>
        <w:t>En réponse à la circulaire</w:t>
      </w:r>
      <w:r w:rsidR="00D91F41">
        <w:rPr>
          <w:rFonts w:cs="Arial"/>
          <w:spacing w:val="-2"/>
          <w:lang w:val="fr-CH"/>
        </w:rPr>
        <w:t> </w:t>
      </w:r>
      <w:r w:rsidR="00C34DFA" w:rsidRPr="00CF186D">
        <w:rPr>
          <w:rFonts w:cs="Arial"/>
          <w:spacing w:val="-2"/>
          <w:lang w:val="fr-CH"/>
        </w:rPr>
        <w:t>E</w:t>
      </w:r>
      <w:r w:rsidR="00930F9A">
        <w:rPr>
          <w:rFonts w:cs="Arial"/>
          <w:spacing w:val="-2"/>
          <w:lang w:val="fr-CH"/>
        </w:rPr>
        <w:t>-</w:t>
      </w:r>
      <w:r w:rsidR="00C34DFA" w:rsidRPr="00CF186D">
        <w:rPr>
          <w:rFonts w:cs="Arial"/>
          <w:spacing w:val="-2"/>
          <w:lang w:val="fr-CH"/>
        </w:rPr>
        <w:t>19/232</w:t>
      </w:r>
      <w:r w:rsidR="00D91F41">
        <w:rPr>
          <w:rFonts w:cs="Arial"/>
          <w:spacing w:val="-2"/>
          <w:lang w:val="fr-CH"/>
        </w:rPr>
        <w:t xml:space="preserve"> de l’UPOV</w:t>
      </w:r>
      <w:r w:rsidR="00C34DFA" w:rsidRPr="00CF186D">
        <w:rPr>
          <w:rFonts w:cs="Arial"/>
          <w:spacing w:val="-2"/>
          <w:lang w:val="fr-CH"/>
        </w:rPr>
        <w:t>, le Bureau de l</w:t>
      </w:r>
      <w:r w:rsidR="00930F9A">
        <w:rPr>
          <w:rFonts w:cs="Arial"/>
          <w:spacing w:val="-2"/>
          <w:lang w:val="fr-CH"/>
        </w:rPr>
        <w:t>’</w:t>
      </w:r>
      <w:r w:rsidR="00C34DFA" w:rsidRPr="00CF186D">
        <w:rPr>
          <w:rFonts w:cs="Arial"/>
          <w:spacing w:val="-2"/>
          <w:lang w:val="fr-CH"/>
        </w:rPr>
        <w:t xml:space="preserve">Union a reçu des informations et des propositions </w:t>
      </w:r>
      <w:r w:rsidR="00CB20AA" w:rsidRPr="00CF186D">
        <w:rPr>
          <w:rFonts w:cs="Arial"/>
          <w:spacing w:val="-2"/>
          <w:lang w:val="fr-CH"/>
        </w:rPr>
        <w:t xml:space="preserve">de la Fédération de Russie, </w:t>
      </w:r>
      <w:r w:rsidR="00C34DFA" w:rsidRPr="00CF186D">
        <w:rPr>
          <w:rFonts w:cs="Arial"/>
          <w:spacing w:val="-2"/>
          <w:lang w:val="fr-CH"/>
        </w:rPr>
        <w:t xml:space="preserve">du Japon et </w:t>
      </w:r>
      <w:r w:rsidR="00CB20AA" w:rsidRPr="00CF186D">
        <w:rPr>
          <w:rFonts w:cs="Arial"/>
          <w:spacing w:val="-2"/>
          <w:lang w:val="fr-CH"/>
        </w:rPr>
        <w:t>de l</w:t>
      </w:r>
      <w:r w:rsidR="00CB20AA">
        <w:rPr>
          <w:rFonts w:cs="Arial"/>
          <w:spacing w:val="-2"/>
          <w:lang w:val="fr-CH"/>
        </w:rPr>
        <w:t>’</w:t>
      </w:r>
      <w:r w:rsidR="00CB20AA" w:rsidRPr="00CF186D">
        <w:rPr>
          <w:rFonts w:cs="Arial"/>
          <w:spacing w:val="-2"/>
          <w:lang w:val="fr-CH"/>
        </w:rPr>
        <w:t xml:space="preserve">Union européenne, </w:t>
      </w:r>
      <w:r w:rsidR="00C34DFA" w:rsidRPr="00CF186D">
        <w:rPr>
          <w:rFonts w:cs="Arial"/>
          <w:spacing w:val="-2"/>
          <w:lang w:val="fr-CH"/>
        </w:rPr>
        <w:t xml:space="preserve">qui sont reproduites dans les annexes I à III du document </w:t>
      </w:r>
      <w:r w:rsidRPr="00CF186D">
        <w:rPr>
          <w:lang w:val="fr-CH"/>
        </w:rPr>
        <w:t>CAJ/77/5 “</w:t>
      </w:r>
      <w:r w:rsidR="00AC1326" w:rsidRPr="00CF186D">
        <w:rPr>
          <w:lang w:val="fr-CH"/>
        </w:rPr>
        <w:t>Produit de la récolte</w:t>
      </w:r>
      <w:r w:rsidRPr="00CF186D">
        <w:rPr>
          <w:lang w:val="fr-CH"/>
        </w:rPr>
        <w:t xml:space="preserve">” </w:t>
      </w:r>
      <w:r w:rsidRPr="00CF186D">
        <w:rPr>
          <w:rFonts w:cs="Arial"/>
          <w:snapToGrid w:val="0"/>
          <w:lang w:val="fr-CH"/>
        </w:rPr>
        <w:t>(</w:t>
      </w:r>
      <w:r w:rsidR="00AC1326" w:rsidRPr="00CF186D">
        <w:rPr>
          <w:rFonts w:cs="Arial"/>
          <w:snapToGrid w:val="0"/>
          <w:lang w:val="fr-CH"/>
        </w:rPr>
        <w:t xml:space="preserve">voir les </w:t>
      </w:r>
      <w:r w:rsidR="00930F9A" w:rsidRPr="00CF186D">
        <w:rPr>
          <w:rFonts w:cs="Arial"/>
          <w:snapToGrid w:val="0"/>
          <w:lang w:val="fr-CH"/>
        </w:rPr>
        <w:t>paragraphes</w:t>
      </w:r>
      <w:r w:rsidR="00930F9A">
        <w:rPr>
          <w:rFonts w:cs="Arial"/>
          <w:snapToGrid w:val="0"/>
          <w:lang w:val="fr-CH"/>
        </w:rPr>
        <w:t> </w:t>
      </w:r>
      <w:r w:rsidR="00930F9A" w:rsidRPr="00CF186D">
        <w:rPr>
          <w:rFonts w:cs="Arial"/>
          <w:snapToGrid w:val="0"/>
          <w:lang w:val="fr-CH"/>
        </w:rPr>
        <w:t>5</w:t>
      </w:r>
      <w:r w:rsidR="00AC1326" w:rsidRPr="00CF186D">
        <w:rPr>
          <w:rFonts w:cs="Arial"/>
          <w:snapToGrid w:val="0"/>
          <w:lang w:val="fr-CH"/>
        </w:rPr>
        <w:t xml:space="preserve"> et 6 du </w:t>
      </w:r>
      <w:r w:rsidRPr="00CF186D">
        <w:rPr>
          <w:rFonts w:cs="Arial"/>
          <w:snapToGrid w:val="0"/>
          <w:lang w:val="fr-CH"/>
        </w:rPr>
        <w:t>document CAJ/77/5 “</w:t>
      </w:r>
      <w:r w:rsidR="00AC1326" w:rsidRPr="00CF186D">
        <w:rPr>
          <w:rFonts w:cs="Arial"/>
          <w:snapToGrid w:val="0"/>
          <w:lang w:val="fr-CH"/>
        </w:rPr>
        <w:t>Produit de la récolte</w:t>
      </w:r>
      <w:r w:rsidRPr="00CF186D">
        <w:rPr>
          <w:rFonts w:cs="Arial"/>
          <w:snapToGrid w:val="0"/>
          <w:lang w:val="fr-CH"/>
        </w:rPr>
        <w:t>”).</w:t>
      </w:r>
    </w:p>
    <w:p w:rsidR="001431B5" w:rsidRPr="0081126B" w:rsidRDefault="001431B5" w:rsidP="0030147A">
      <w:pPr>
        <w:tabs>
          <w:tab w:val="left" w:pos="284"/>
          <w:tab w:val="left" w:pos="851"/>
        </w:tabs>
        <w:autoSpaceDE w:val="0"/>
        <w:autoSpaceDN w:val="0"/>
        <w:adjustRightInd w:val="0"/>
        <w:rPr>
          <w:rFonts w:cs="Arial"/>
          <w:snapToGrid w:val="0"/>
          <w:sz w:val="18"/>
          <w:lang w:val="fr-CH"/>
        </w:rPr>
      </w:pPr>
    </w:p>
    <w:p w:rsidR="001431B5" w:rsidRPr="0081126B" w:rsidRDefault="0030147A" w:rsidP="009B6906">
      <w:pPr>
        <w:autoSpaceDE w:val="0"/>
        <w:autoSpaceDN w:val="0"/>
        <w:adjustRightInd w:val="0"/>
        <w:rPr>
          <w:spacing w:val="-4"/>
          <w:lang w:val="fr-CH"/>
        </w:rPr>
      </w:pPr>
      <w:r w:rsidRPr="0081126B">
        <w:rPr>
          <w:spacing w:val="-4"/>
          <w:lang w:val="fr-CH"/>
        </w:rPr>
        <w:lastRenderedPageBreak/>
        <w:fldChar w:fldCharType="begin"/>
      </w:r>
      <w:r w:rsidRPr="0081126B">
        <w:rPr>
          <w:spacing w:val="-4"/>
          <w:lang w:val="fr-CH"/>
        </w:rPr>
        <w:instrText xml:space="preserve"> AUTONUM  </w:instrText>
      </w:r>
      <w:r w:rsidRPr="0081126B">
        <w:rPr>
          <w:spacing w:val="-4"/>
          <w:lang w:val="fr-CH"/>
        </w:rPr>
        <w:fldChar w:fldCharType="end"/>
      </w:r>
      <w:r w:rsidRPr="0081126B">
        <w:rPr>
          <w:spacing w:val="-4"/>
          <w:lang w:val="fr-CH"/>
        </w:rPr>
        <w:tab/>
      </w:r>
      <w:r w:rsidR="00E706E8" w:rsidRPr="0081126B">
        <w:rPr>
          <w:snapToGrid w:val="0"/>
          <w:color w:val="000000"/>
          <w:spacing w:val="-4"/>
          <w:lang w:val="fr-CH"/>
        </w:rPr>
        <w:t>À sa soixante</w:t>
      </w:r>
      <w:r w:rsidR="00930F9A" w:rsidRPr="0081126B">
        <w:rPr>
          <w:snapToGrid w:val="0"/>
          <w:color w:val="000000"/>
          <w:spacing w:val="-4"/>
          <w:lang w:val="fr-CH"/>
        </w:rPr>
        <w:t>-</w:t>
      </w:r>
      <w:r w:rsidR="00E706E8" w:rsidRPr="0081126B">
        <w:rPr>
          <w:snapToGrid w:val="0"/>
          <w:color w:val="000000"/>
          <w:spacing w:val="-4"/>
          <w:lang w:val="fr-CH"/>
        </w:rPr>
        <w:t>dix</w:t>
      </w:r>
      <w:r w:rsidR="00930F9A" w:rsidRPr="0081126B">
        <w:rPr>
          <w:snapToGrid w:val="0"/>
          <w:color w:val="000000"/>
          <w:spacing w:val="-4"/>
          <w:lang w:val="fr-CH"/>
        </w:rPr>
        <w:t>-</w:t>
      </w:r>
      <w:r w:rsidR="00E706E8" w:rsidRPr="0081126B">
        <w:rPr>
          <w:snapToGrid w:val="0"/>
          <w:color w:val="000000"/>
          <w:spacing w:val="-4"/>
          <w:lang w:val="fr-CH"/>
        </w:rPr>
        <w:t>sept</w:t>
      </w:r>
      <w:r w:rsidR="00930F9A" w:rsidRPr="0081126B">
        <w:rPr>
          <w:snapToGrid w:val="0"/>
          <w:color w:val="000000"/>
          <w:spacing w:val="-4"/>
          <w:lang w:val="fr-CH"/>
        </w:rPr>
        <w:t>ième session</w:t>
      </w:r>
      <w:r w:rsidR="00E706E8" w:rsidRPr="0081126B">
        <w:rPr>
          <w:snapToGrid w:val="0"/>
          <w:color w:val="000000"/>
          <w:spacing w:val="-4"/>
          <w:lang w:val="fr-CH"/>
        </w:rPr>
        <w:t xml:space="preserve"> tenue par voie électronique le 28 octobre 2020,</w:t>
      </w:r>
      <w:r w:rsidR="00930F9A" w:rsidRPr="0081126B">
        <w:rPr>
          <w:snapToGrid w:val="0"/>
          <w:color w:val="000000"/>
          <w:spacing w:val="-4"/>
          <w:lang w:val="fr-CH"/>
        </w:rPr>
        <w:t xml:space="preserve"> le CAJ</w:t>
      </w:r>
      <w:r w:rsidR="00E706E8" w:rsidRPr="0081126B">
        <w:rPr>
          <w:snapToGrid w:val="0"/>
          <w:color w:val="000000"/>
          <w:spacing w:val="-4"/>
          <w:lang w:val="fr-CH"/>
        </w:rPr>
        <w:t xml:space="preserve"> a pris note des </w:t>
      </w:r>
      <w:r w:rsidR="00CB20AA" w:rsidRPr="0081126B">
        <w:rPr>
          <w:snapToGrid w:val="0"/>
          <w:color w:val="000000"/>
          <w:spacing w:val="-4"/>
          <w:lang w:val="fr-CH"/>
        </w:rPr>
        <w:t>points</w:t>
      </w:r>
      <w:r w:rsidR="00E706E8" w:rsidRPr="0081126B">
        <w:rPr>
          <w:snapToGrid w:val="0"/>
          <w:color w:val="000000"/>
          <w:spacing w:val="-4"/>
          <w:lang w:val="fr-CH"/>
        </w:rPr>
        <w:t xml:space="preserve"> figurant dans le </w:t>
      </w:r>
      <w:r w:rsidR="00930F9A" w:rsidRPr="0081126B">
        <w:rPr>
          <w:snapToGrid w:val="0"/>
          <w:color w:val="000000"/>
          <w:spacing w:val="-4"/>
          <w:lang w:val="fr-CH"/>
        </w:rPr>
        <w:t>document</w:t>
      </w:r>
      <w:r w:rsidR="00A27353" w:rsidRPr="0081126B">
        <w:rPr>
          <w:snapToGrid w:val="0"/>
          <w:color w:val="000000"/>
          <w:spacing w:val="-4"/>
          <w:lang w:val="fr-CH"/>
        </w:rPr>
        <w:t> </w:t>
      </w:r>
      <w:r w:rsidR="00930F9A" w:rsidRPr="0081126B">
        <w:rPr>
          <w:snapToGrid w:val="0"/>
          <w:color w:val="000000"/>
          <w:spacing w:val="-4"/>
          <w:lang w:val="fr-CH"/>
        </w:rPr>
        <w:t>CA</w:t>
      </w:r>
      <w:r w:rsidR="00E706E8" w:rsidRPr="0081126B">
        <w:rPr>
          <w:snapToGrid w:val="0"/>
          <w:color w:val="000000"/>
          <w:spacing w:val="-4"/>
          <w:lang w:val="fr-CH"/>
        </w:rPr>
        <w:t>J/77/9 “Résultats de l</w:t>
      </w:r>
      <w:r w:rsidR="00930F9A" w:rsidRPr="0081126B">
        <w:rPr>
          <w:snapToGrid w:val="0"/>
          <w:color w:val="000000"/>
          <w:spacing w:val="-4"/>
          <w:lang w:val="fr-CH"/>
        </w:rPr>
        <w:t>’</w:t>
      </w:r>
      <w:r w:rsidR="00E706E8" w:rsidRPr="0081126B">
        <w:rPr>
          <w:snapToGrid w:val="0"/>
          <w:color w:val="000000"/>
          <w:spacing w:val="-4"/>
          <w:lang w:val="fr-CH"/>
        </w:rPr>
        <w:t>examen des documents par correspondance” (voir les paragraphes 42 à 47), reproduit</w:t>
      </w:r>
      <w:r w:rsidR="00CB20AA" w:rsidRPr="0081126B">
        <w:rPr>
          <w:snapToGrid w:val="0"/>
          <w:color w:val="000000"/>
          <w:spacing w:val="-4"/>
          <w:lang w:val="fr-CH"/>
        </w:rPr>
        <w:t>s</w:t>
      </w:r>
      <w:r w:rsidR="00E706E8" w:rsidRPr="0081126B">
        <w:rPr>
          <w:snapToGrid w:val="0"/>
          <w:color w:val="000000"/>
          <w:spacing w:val="-4"/>
          <w:lang w:val="fr-CH"/>
        </w:rPr>
        <w:t xml:space="preserve"> ci</w:t>
      </w:r>
      <w:r w:rsidR="00930F9A" w:rsidRPr="0081126B">
        <w:rPr>
          <w:snapToGrid w:val="0"/>
          <w:color w:val="000000"/>
          <w:spacing w:val="-4"/>
          <w:lang w:val="fr-CH"/>
        </w:rPr>
        <w:t>-</w:t>
      </w:r>
      <w:r w:rsidR="00E706E8" w:rsidRPr="0081126B">
        <w:rPr>
          <w:snapToGrid w:val="0"/>
          <w:color w:val="000000"/>
          <w:spacing w:val="-4"/>
          <w:lang w:val="fr-CH"/>
        </w:rPr>
        <w:t xml:space="preserve">après (voir les paragraphes 26 à 30 du </w:t>
      </w:r>
      <w:r w:rsidR="00930F9A" w:rsidRPr="0081126B">
        <w:rPr>
          <w:snapToGrid w:val="0"/>
          <w:color w:val="000000"/>
          <w:spacing w:val="-4"/>
          <w:lang w:val="fr-CH"/>
        </w:rPr>
        <w:t>document CA</w:t>
      </w:r>
      <w:r w:rsidR="00E706E8" w:rsidRPr="0081126B">
        <w:rPr>
          <w:snapToGrid w:val="0"/>
          <w:color w:val="000000"/>
          <w:spacing w:val="-4"/>
          <w:lang w:val="fr-CH"/>
        </w:rPr>
        <w:t>J/77/10 “Compte rendu”)</w:t>
      </w:r>
      <w:r w:rsidR="00930F9A" w:rsidRPr="0081126B">
        <w:rPr>
          <w:snapToGrid w:val="0"/>
          <w:color w:val="000000"/>
          <w:spacing w:val="-4"/>
          <w:lang w:val="fr-CH"/>
        </w:rPr>
        <w:t> :</w:t>
      </w:r>
    </w:p>
    <w:p w:rsidR="001431B5" w:rsidRDefault="001431B5" w:rsidP="0030147A">
      <w:pPr>
        <w:tabs>
          <w:tab w:val="left" w:pos="284"/>
          <w:tab w:val="left" w:pos="851"/>
        </w:tabs>
        <w:autoSpaceDE w:val="0"/>
        <w:autoSpaceDN w:val="0"/>
        <w:adjustRightInd w:val="0"/>
        <w:ind w:right="567"/>
        <w:rPr>
          <w:rFonts w:cs="Angsana New"/>
          <w:sz w:val="18"/>
          <w:szCs w:val="18"/>
          <w:lang w:val="fr-CH" w:eastAsia="ja-JP" w:bidi="th-TH"/>
        </w:rPr>
      </w:pPr>
    </w:p>
    <w:p w:rsidR="001431B5" w:rsidRDefault="0030147A" w:rsidP="0030147A">
      <w:pPr>
        <w:keepNext/>
        <w:ind w:left="567" w:right="567"/>
        <w:rPr>
          <w:sz w:val="18"/>
          <w:szCs w:val="18"/>
          <w:lang w:val="fr-CH"/>
        </w:rPr>
      </w:pPr>
      <w:r w:rsidRPr="00CF186D">
        <w:rPr>
          <w:sz w:val="18"/>
          <w:szCs w:val="18"/>
          <w:lang w:val="fr-CH"/>
        </w:rPr>
        <w:t>“42.</w:t>
      </w:r>
      <w:r w:rsidRPr="00CF186D">
        <w:rPr>
          <w:sz w:val="18"/>
          <w:szCs w:val="18"/>
          <w:lang w:val="fr-CH"/>
        </w:rPr>
        <w:tab/>
      </w:r>
      <w:r w:rsidR="00346020" w:rsidRPr="00CF186D">
        <w:rPr>
          <w:rFonts w:cs="Arial"/>
          <w:spacing w:val="-4"/>
          <w:sz w:val="18"/>
          <w:szCs w:val="18"/>
          <w:lang w:val="fr-CH"/>
        </w:rPr>
        <w:t>Le CAJ a pris note des informations et des propositions reçues en réponse à la circulaire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 E</w:t>
      </w:r>
      <w:r w:rsidR="00930F9A">
        <w:rPr>
          <w:rFonts w:cs="Arial"/>
          <w:snapToGrid w:val="0"/>
          <w:spacing w:val="-4"/>
          <w:sz w:val="18"/>
          <w:szCs w:val="18"/>
          <w:lang w:val="fr-CH"/>
        </w:rPr>
        <w:t>-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19/232 de l</w:t>
      </w:r>
      <w:r w:rsidR="00930F9A">
        <w:rPr>
          <w:rFonts w:cs="Arial"/>
          <w:snapToGrid w:val="0"/>
          <w:spacing w:val="-4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UPOV, telles qu</w:t>
      </w:r>
      <w:r w:rsidR="00930F9A">
        <w:rPr>
          <w:rFonts w:cs="Arial"/>
          <w:snapToGrid w:val="0"/>
          <w:spacing w:val="-4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 xml:space="preserve">elles figurent dans les annexes I à III du </w:t>
      </w:r>
      <w:r w:rsidR="00930F9A" w:rsidRPr="00CF186D">
        <w:rPr>
          <w:rFonts w:cs="Arial"/>
          <w:snapToGrid w:val="0"/>
          <w:spacing w:val="-4"/>
          <w:sz w:val="18"/>
          <w:szCs w:val="18"/>
          <w:lang w:val="fr-CH"/>
        </w:rPr>
        <w:t>document</w:t>
      </w:r>
      <w:r w:rsidR="00930F9A">
        <w:rPr>
          <w:rFonts w:cs="Arial"/>
          <w:snapToGrid w:val="0"/>
          <w:spacing w:val="-4"/>
          <w:sz w:val="18"/>
          <w:szCs w:val="18"/>
          <w:lang w:val="fr-CH"/>
        </w:rPr>
        <w:t xml:space="preserve"> </w:t>
      </w:r>
      <w:r w:rsidR="00930F9A" w:rsidRPr="00CF186D">
        <w:rPr>
          <w:rFonts w:cs="Arial"/>
          <w:snapToGrid w:val="0"/>
          <w:spacing w:val="-4"/>
          <w:sz w:val="18"/>
          <w:szCs w:val="18"/>
          <w:lang w:val="fr-CH"/>
        </w:rPr>
        <w:t>CA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J/77/5 [</w:t>
      </w:r>
      <w:r w:rsidR="00A27353">
        <w:rPr>
          <w:rFonts w:cs="Arial"/>
          <w:snapToGrid w:val="0"/>
          <w:spacing w:val="-4"/>
          <w:sz w:val="18"/>
          <w:szCs w:val="18"/>
          <w:lang w:val="fr-CH"/>
        </w:rPr>
        <w:t>‘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Produit de la récolte</w:t>
      </w:r>
      <w:r w:rsidR="00A27353">
        <w:rPr>
          <w:rFonts w:cs="Arial"/>
          <w:snapToGrid w:val="0"/>
          <w:spacing w:val="-4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4"/>
          <w:sz w:val="18"/>
          <w:szCs w:val="18"/>
          <w:lang w:val="fr-CH"/>
        </w:rPr>
        <w:t>].</w:t>
      </w:r>
    </w:p>
    <w:p w:rsidR="001431B5" w:rsidRDefault="001431B5" w:rsidP="003166F6">
      <w:pPr>
        <w:ind w:right="567"/>
        <w:rPr>
          <w:sz w:val="18"/>
          <w:szCs w:val="18"/>
          <w:lang w:val="fr-CH"/>
        </w:rPr>
      </w:pPr>
    </w:p>
    <w:p w:rsidR="001431B5" w:rsidRDefault="0030147A" w:rsidP="0030147A">
      <w:pPr>
        <w:ind w:left="567" w:right="567"/>
        <w:rPr>
          <w:rFonts w:cs="Arial"/>
          <w:sz w:val="18"/>
          <w:szCs w:val="18"/>
          <w:lang w:val="fr-CH"/>
        </w:rPr>
      </w:pPr>
      <w:r w:rsidRPr="00CF186D">
        <w:rPr>
          <w:sz w:val="18"/>
          <w:szCs w:val="18"/>
          <w:lang w:val="fr-CH"/>
        </w:rPr>
        <w:t>“43.</w:t>
      </w:r>
      <w:r w:rsidRPr="00CF186D">
        <w:rPr>
          <w:sz w:val="18"/>
          <w:szCs w:val="18"/>
          <w:lang w:val="fr-CH"/>
        </w:rPr>
        <w:tab/>
      </w:r>
      <w:r w:rsidR="00346020" w:rsidRPr="00CF186D">
        <w:rPr>
          <w:rFonts w:cs="Arial"/>
          <w:sz w:val="18"/>
          <w:szCs w:val="18"/>
          <w:lang w:val="fr-CH"/>
        </w:rPr>
        <w:t>Le CAJ est convenu d</w:t>
      </w:r>
      <w:r w:rsidR="00930F9A">
        <w:rPr>
          <w:rFonts w:cs="Arial"/>
          <w:sz w:val="18"/>
          <w:szCs w:val="18"/>
          <w:lang w:val="fr-CH"/>
        </w:rPr>
        <w:t>’</w:t>
      </w:r>
      <w:r w:rsidR="00346020" w:rsidRPr="00CF186D">
        <w:rPr>
          <w:rFonts w:cs="Arial"/>
          <w:sz w:val="18"/>
          <w:szCs w:val="18"/>
          <w:lang w:val="fr-CH"/>
        </w:rPr>
        <w:t>inviter le Bureau de l</w:t>
      </w:r>
      <w:r w:rsidR="00930F9A">
        <w:rPr>
          <w:rFonts w:cs="Arial"/>
          <w:sz w:val="18"/>
          <w:szCs w:val="18"/>
          <w:lang w:val="fr-CH"/>
        </w:rPr>
        <w:t>’</w:t>
      </w:r>
      <w:r w:rsidR="00346020" w:rsidRPr="00CF186D">
        <w:rPr>
          <w:rFonts w:cs="Arial"/>
          <w:sz w:val="18"/>
          <w:szCs w:val="18"/>
          <w:lang w:val="fr-CH"/>
        </w:rPr>
        <w:t>Union à consulter les membres de l</w:t>
      </w:r>
      <w:r w:rsidR="00930F9A">
        <w:rPr>
          <w:rFonts w:cs="Arial"/>
          <w:sz w:val="18"/>
          <w:szCs w:val="18"/>
          <w:lang w:val="fr-CH"/>
        </w:rPr>
        <w:t>’</w:t>
      </w:r>
      <w:r w:rsidR="00346020" w:rsidRPr="00CF186D">
        <w:rPr>
          <w:rFonts w:cs="Arial"/>
          <w:sz w:val="18"/>
          <w:szCs w:val="18"/>
          <w:lang w:val="fr-CH"/>
        </w:rPr>
        <w:t xml:space="preserve">Union qui ont fourni des informations et des propositions en réponse à la </w:t>
      </w:r>
      <w:r w:rsidR="00346020" w:rsidRPr="00CF186D">
        <w:rPr>
          <w:rFonts w:cs="Arial"/>
          <w:spacing w:val="-2"/>
          <w:sz w:val="18"/>
          <w:szCs w:val="18"/>
          <w:lang w:val="fr-CH"/>
        </w:rPr>
        <w:t>circulaire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 E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-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19/232, afin d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étudier les utilisations possibles de l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 xml:space="preserve">expression </w:t>
      </w:r>
      <w:r w:rsidR="00A27353">
        <w:rPr>
          <w:rFonts w:cs="Arial"/>
          <w:snapToGrid w:val="0"/>
          <w:spacing w:val="-2"/>
          <w:sz w:val="18"/>
          <w:szCs w:val="18"/>
          <w:lang w:val="fr-CH"/>
        </w:rPr>
        <w:t>‘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utilisation non autorisée de matériel de reproduction ou de multiplication</w:t>
      </w:r>
      <w:r w:rsidR="00A27353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, notamment en rapport avec les arbres, à l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article 14.2) de l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 xml:space="preserve">Acte de 1991 de la 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Convention UPOV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, en vue de présenter une proposition pour examen par le CAJ à sa soixante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-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dix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-</w:t>
      </w:r>
      <w:r w:rsidR="00346020" w:rsidRPr="00CF186D">
        <w:rPr>
          <w:rFonts w:cs="Arial"/>
          <w:snapToGrid w:val="0"/>
          <w:spacing w:val="-2"/>
          <w:sz w:val="18"/>
          <w:szCs w:val="18"/>
          <w:lang w:val="fr-CH"/>
        </w:rPr>
        <w:t>huit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ième session</w:t>
      </w:r>
      <w:r w:rsidRPr="00CF186D">
        <w:rPr>
          <w:snapToGrid w:val="0"/>
          <w:spacing w:val="-2"/>
          <w:sz w:val="18"/>
          <w:szCs w:val="18"/>
          <w:lang w:val="fr-CH"/>
        </w:rPr>
        <w:t>.</w:t>
      </w:r>
    </w:p>
    <w:p w:rsidR="001431B5" w:rsidRDefault="001431B5" w:rsidP="003166F6">
      <w:pPr>
        <w:rPr>
          <w:sz w:val="18"/>
          <w:szCs w:val="18"/>
          <w:u w:val="single"/>
          <w:lang w:val="fr-CH"/>
        </w:rPr>
      </w:pPr>
      <w:bookmarkStart w:id="10" w:name="_Toc54617475"/>
      <w:bookmarkStart w:id="11" w:name="_Toc73693942"/>
      <w:bookmarkStart w:id="12" w:name="_Toc73693950"/>
    </w:p>
    <w:p w:rsidR="001431B5" w:rsidRDefault="0030147A" w:rsidP="00CB20AA">
      <w:pPr>
        <w:keepNext/>
        <w:keepLines/>
        <w:ind w:left="567"/>
        <w:rPr>
          <w:sz w:val="18"/>
          <w:szCs w:val="18"/>
          <w:u w:val="single"/>
          <w:lang w:val="fr-CH"/>
        </w:rPr>
      </w:pPr>
      <w:r w:rsidRPr="00CF186D">
        <w:rPr>
          <w:sz w:val="18"/>
          <w:szCs w:val="18"/>
          <w:u w:val="single"/>
          <w:lang w:val="fr-CH"/>
        </w:rPr>
        <w:t>“</w:t>
      </w:r>
      <w:bookmarkStart w:id="13" w:name="_Toc55924382"/>
      <w:bookmarkEnd w:id="10"/>
      <w:bookmarkEnd w:id="11"/>
      <w:bookmarkEnd w:id="12"/>
      <w:r w:rsidR="00346020" w:rsidRPr="00CF186D">
        <w:rPr>
          <w:rFonts w:cs="Arial"/>
          <w:sz w:val="18"/>
          <w:szCs w:val="18"/>
          <w:u w:val="single"/>
          <w:lang w:val="fr-CH"/>
        </w:rPr>
        <w:t>Propositions concernant les prochaines étapes</w:t>
      </w:r>
      <w:bookmarkEnd w:id="13"/>
    </w:p>
    <w:p w:rsidR="001431B5" w:rsidRDefault="001431B5" w:rsidP="003166F6">
      <w:pPr>
        <w:keepNext/>
        <w:keepLines/>
        <w:ind w:right="567"/>
        <w:rPr>
          <w:sz w:val="18"/>
          <w:szCs w:val="18"/>
          <w:lang w:val="fr-CH"/>
        </w:rPr>
      </w:pPr>
    </w:p>
    <w:p w:rsidR="001431B5" w:rsidRDefault="00C04847" w:rsidP="00CB20AA">
      <w:pPr>
        <w:keepNext/>
        <w:keepLines/>
        <w:ind w:left="567" w:right="567"/>
        <w:rPr>
          <w:rFonts w:cs="Arial"/>
          <w:i/>
          <w:sz w:val="18"/>
          <w:szCs w:val="18"/>
          <w:lang w:val="fr-CH"/>
        </w:rPr>
      </w:pPr>
      <w:r w:rsidRPr="00CF186D">
        <w:rPr>
          <w:rFonts w:cs="Arial"/>
          <w:i/>
          <w:sz w:val="18"/>
          <w:szCs w:val="18"/>
          <w:lang w:val="fr-CH"/>
        </w:rPr>
        <w:t>“Japon</w:t>
      </w:r>
    </w:p>
    <w:p w:rsidR="001431B5" w:rsidRDefault="001431B5" w:rsidP="003166F6">
      <w:pPr>
        <w:keepNext/>
        <w:keepLines/>
        <w:ind w:right="567"/>
        <w:rPr>
          <w:rFonts w:cs="Arial"/>
          <w:i/>
          <w:sz w:val="18"/>
          <w:szCs w:val="18"/>
          <w:lang w:val="fr-CH"/>
        </w:rPr>
      </w:pPr>
    </w:p>
    <w:p w:rsidR="001431B5" w:rsidRDefault="00C04847" w:rsidP="00CB20AA">
      <w:pPr>
        <w:keepNext/>
        <w:keepLines/>
        <w:ind w:left="567" w:right="567"/>
        <w:rPr>
          <w:rFonts w:cs="Arial"/>
          <w:spacing w:val="-4"/>
          <w:sz w:val="18"/>
          <w:szCs w:val="18"/>
          <w:lang w:val="fr-CH"/>
        </w:rPr>
      </w:pPr>
      <w:r w:rsidRPr="00CF186D">
        <w:rPr>
          <w:rFonts w:cs="Arial"/>
          <w:spacing w:val="-4"/>
          <w:sz w:val="18"/>
          <w:szCs w:val="18"/>
          <w:lang w:val="fr-CH"/>
        </w:rPr>
        <w:t>“44.</w:t>
      </w:r>
      <w:r w:rsidRPr="00CF186D">
        <w:rPr>
          <w:rFonts w:cs="Arial"/>
          <w:spacing w:val="-4"/>
          <w:sz w:val="18"/>
          <w:szCs w:val="18"/>
          <w:lang w:val="fr-CH"/>
        </w:rPr>
        <w:tab/>
        <w:t>En réponse à la circulaire</w:t>
      </w:r>
      <w:r w:rsidRPr="00CF186D">
        <w:rPr>
          <w:rFonts w:cs="Arial"/>
          <w:snapToGrid w:val="0"/>
          <w:spacing w:val="-4"/>
          <w:sz w:val="18"/>
          <w:szCs w:val="18"/>
          <w:lang w:val="fr-CH"/>
        </w:rPr>
        <w:t> </w:t>
      </w:r>
      <w:r w:rsidRPr="00CF186D">
        <w:rPr>
          <w:rFonts w:cs="Arial"/>
          <w:spacing w:val="-4"/>
          <w:sz w:val="18"/>
          <w:szCs w:val="18"/>
          <w:lang w:val="fr-CH"/>
        </w:rPr>
        <w:t>E</w:t>
      </w:r>
      <w:r w:rsidR="00930F9A">
        <w:rPr>
          <w:rFonts w:cs="Arial"/>
          <w:spacing w:val="-4"/>
          <w:sz w:val="18"/>
          <w:szCs w:val="18"/>
          <w:lang w:val="fr-CH"/>
        </w:rPr>
        <w:t>-</w:t>
      </w:r>
      <w:r w:rsidRPr="00CF186D">
        <w:rPr>
          <w:rFonts w:cs="Arial"/>
          <w:spacing w:val="-4"/>
          <w:sz w:val="18"/>
          <w:szCs w:val="18"/>
          <w:lang w:val="fr-CH"/>
        </w:rPr>
        <w:t>20/120 du 21 août 2020, la délégation du Japon s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 xml:space="preserve">est déclarée favorable aux décisions qui figurent dans le </w:t>
      </w:r>
      <w:r w:rsidR="00930F9A" w:rsidRPr="00CF186D">
        <w:rPr>
          <w:rFonts w:cs="Arial"/>
          <w:spacing w:val="-4"/>
          <w:sz w:val="18"/>
          <w:szCs w:val="18"/>
          <w:lang w:val="fr-CH"/>
        </w:rPr>
        <w:t>document</w:t>
      </w:r>
      <w:r w:rsidR="00A27353">
        <w:rPr>
          <w:rFonts w:cs="Arial"/>
          <w:spacing w:val="-4"/>
          <w:sz w:val="18"/>
          <w:szCs w:val="18"/>
          <w:lang w:val="fr-CH"/>
        </w:rPr>
        <w:t> </w:t>
      </w:r>
      <w:r w:rsidR="00930F9A" w:rsidRPr="00CF186D">
        <w:rPr>
          <w:rFonts w:cs="Arial"/>
          <w:spacing w:val="-4"/>
          <w:sz w:val="18"/>
          <w:szCs w:val="18"/>
          <w:lang w:val="fr-CH"/>
        </w:rPr>
        <w:t>CA</w:t>
      </w:r>
      <w:r w:rsidRPr="00CF186D">
        <w:rPr>
          <w:rFonts w:cs="Arial"/>
          <w:spacing w:val="-4"/>
          <w:sz w:val="18"/>
          <w:szCs w:val="18"/>
          <w:lang w:val="fr-CH"/>
        </w:rPr>
        <w:t>J/77/5 et a déclaré qu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 xml:space="preserve">elle </w:t>
      </w:r>
      <w:r w:rsidR="00A27353">
        <w:rPr>
          <w:rFonts w:cs="Arial"/>
          <w:spacing w:val="-4"/>
          <w:sz w:val="18"/>
          <w:szCs w:val="18"/>
          <w:lang w:val="fr-CH"/>
        </w:rPr>
        <w:t>‘</w:t>
      </w:r>
      <w:r w:rsidRPr="00CF186D">
        <w:rPr>
          <w:rFonts w:cs="Arial"/>
          <w:spacing w:val="-4"/>
          <w:sz w:val="18"/>
          <w:szCs w:val="18"/>
          <w:lang w:val="fr-CH"/>
        </w:rPr>
        <w:t>serait favorable à l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>organisation, en 2021, d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>un séminaire de l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>Union relatif au produit de la récolte en vue d</w:t>
      </w:r>
      <w:r w:rsidR="00930F9A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>échanger des informations sur ce sujet</w:t>
      </w:r>
      <w:r w:rsidR="00A27353">
        <w:rPr>
          <w:rFonts w:cs="Arial"/>
          <w:spacing w:val="-4"/>
          <w:sz w:val="18"/>
          <w:szCs w:val="18"/>
          <w:lang w:val="fr-CH"/>
        </w:rPr>
        <w:t>’</w:t>
      </w:r>
      <w:r w:rsidRPr="00CF186D">
        <w:rPr>
          <w:rFonts w:cs="Arial"/>
          <w:spacing w:val="-4"/>
          <w:sz w:val="18"/>
          <w:szCs w:val="18"/>
          <w:lang w:val="fr-CH"/>
        </w:rPr>
        <w:t>.</w:t>
      </w:r>
    </w:p>
    <w:p w:rsidR="001431B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Default="00C04847" w:rsidP="00C04847">
      <w:pPr>
        <w:ind w:left="567" w:right="567"/>
        <w:rPr>
          <w:rFonts w:cs="Arial"/>
          <w:i/>
          <w:sz w:val="18"/>
          <w:szCs w:val="18"/>
          <w:lang w:val="fr-CH"/>
        </w:rPr>
      </w:pPr>
      <w:proofErr w:type="spellStart"/>
      <w:r w:rsidRPr="00CF186D">
        <w:rPr>
          <w:rFonts w:cs="Arial"/>
          <w:i/>
          <w:sz w:val="18"/>
          <w:szCs w:val="18"/>
          <w:lang w:val="fr-CH"/>
        </w:rPr>
        <w:t>Euroseeds</w:t>
      </w:r>
      <w:proofErr w:type="spellEnd"/>
    </w:p>
    <w:p w:rsidR="001431B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Pr="00BA6845" w:rsidRDefault="00C04847" w:rsidP="00C04847">
      <w:pPr>
        <w:ind w:left="567" w:right="567"/>
        <w:rPr>
          <w:rFonts w:cs="Arial"/>
          <w:sz w:val="18"/>
          <w:szCs w:val="18"/>
          <w:lang w:val="fr-CH"/>
        </w:rPr>
      </w:pPr>
      <w:r w:rsidRPr="00CF186D">
        <w:rPr>
          <w:rFonts w:cs="Arial"/>
          <w:sz w:val="18"/>
          <w:szCs w:val="18"/>
          <w:lang w:val="fr-CH"/>
        </w:rPr>
        <w:t>“45.</w:t>
      </w:r>
      <w:r w:rsidRPr="00CF186D">
        <w:rPr>
          <w:rFonts w:cs="Arial"/>
          <w:sz w:val="18"/>
          <w:szCs w:val="18"/>
          <w:lang w:val="fr-CH"/>
        </w:rPr>
        <w:tab/>
        <w:t>En réponse</w:t>
      </w:r>
      <w:r w:rsidRPr="00BA6845">
        <w:rPr>
          <w:rFonts w:cs="Arial"/>
          <w:sz w:val="18"/>
          <w:szCs w:val="18"/>
          <w:lang w:val="fr-CH"/>
        </w:rPr>
        <w:t xml:space="preserve"> à la </w:t>
      </w:r>
      <w:r w:rsidRPr="00BA6845">
        <w:rPr>
          <w:rFonts w:cs="Arial"/>
          <w:spacing w:val="-2"/>
          <w:sz w:val="18"/>
          <w:szCs w:val="18"/>
          <w:lang w:val="fr-CH"/>
        </w:rPr>
        <w:t>circulaire</w:t>
      </w:r>
      <w:r w:rsidRPr="00BA6845">
        <w:rPr>
          <w:rFonts w:cs="Arial"/>
          <w:snapToGrid w:val="0"/>
          <w:spacing w:val="-2"/>
          <w:sz w:val="18"/>
          <w:szCs w:val="18"/>
          <w:lang w:val="fr-CH"/>
        </w:rPr>
        <w:t> </w:t>
      </w:r>
      <w:r w:rsidRPr="00BA6845">
        <w:rPr>
          <w:rFonts w:cs="Arial"/>
          <w:sz w:val="18"/>
          <w:szCs w:val="18"/>
          <w:lang w:val="fr-CH"/>
        </w:rPr>
        <w:t>E</w:t>
      </w:r>
      <w:r w:rsidR="00930F9A" w:rsidRPr="00BA6845">
        <w:rPr>
          <w:rFonts w:cs="Arial"/>
          <w:sz w:val="18"/>
          <w:szCs w:val="18"/>
          <w:lang w:val="fr-CH"/>
        </w:rPr>
        <w:t>-</w:t>
      </w:r>
      <w:r w:rsidRPr="00BA6845">
        <w:rPr>
          <w:rFonts w:cs="Arial"/>
          <w:sz w:val="18"/>
          <w:szCs w:val="18"/>
          <w:lang w:val="fr-CH"/>
        </w:rPr>
        <w:t xml:space="preserve">20/120 du 21 août 2020, </w:t>
      </w:r>
      <w:proofErr w:type="spellStart"/>
      <w:r w:rsidRPr="00BA6845">
        <w:rPr>
          <w:rFonts w:cs="Arial"/>
          <w:sz w:val="18"/>
          <w:szCs w:val="18"/>
          <w:lang w:val="fr-CH"/>
        </w:rPr>
        <w:t>Euroseeds</w:t>
      </w:r>
      <w:proofErr w:type="spellEnd"/>
      <w:r w:rsidRPr="00BA6845">
        <w:rPr>
          <w:rFonts w:cs="Arial"/>
          <w:sz w:val="18"/>
          <w:szCs w:val="18"/>
          <w:lang w:val="fr-CH"/>
        </w:rPr>
        <w:t xml:space="preserve"> a fait part des observations suivantes, concernant le </w:t>
      </w:r>
      <w:r w:rsidR="00930F9A" w:rsidRPr="00BA6845">
        <w:rPr>
          <w:rFonts w:cs="Arial"/>
          <w:snapToGrid w:val="0"/>
          <w:sz w:val="18"/>
          <w:szCs w:val="18"/>
          <w:lang w:val="fr-CH"/>
        </w:rPr>
        <w:t>document</w:t>
      </w:r>
      <w:r w:rsidR="00A27353" w:rsidRPr="00BA6845">
        <w:rPr>
          <w:rFonts w:cs="Arial"/>
          <w:snapToGrid w:val="0"/>
          <w:sz w:val="18"/>
          <w:szCs w:val="18"/>
          <w:lang w:val="fr-CH"/>
        </w:rPr>
        <w:t> </w:t>
      </w:r>
      <w:r w:rsidR="00930F9A" w:rsidRPr="00BA6845">
        <w:rPr>
          <w:rFonts w:cs="Arial"/>
          <w:snapToGrid w:val="0"/>
          <w:sz w:val="18"/>
          <w:szCs w:val="18"/>
          <w:lang w:val="fr-CH"/>
        </w:rPr>
        <w:t>CA</w:t>
      </w:r>
      <w:r w:rsidRPr="00BA6845">
        <w:rPr>
          <w:rFonts w:cs="Arial"/>
          <w:snapToGrid w:val="0"/>
          <w:sz w:val="18"/>
          <w:szCs w:val="18"/>
          <w:lang w:val="fr-CH"/>
        </w:rPr>
        <w:t>J/77/5</w:t>
      </w:r>
      <w:r w:rsidR="00930F9A" w:rsidRPr="00BA6845">
        <w:rPr>
          <w:rFonts w:cs="Arial"/>
          <w:snapToGrid w:val="0"/>
          <w:sz w:val="18"/>
          <w:szCs w:val="18"/>
          <w:lang w:val="fr-CH"/>
        </w:rPr>
        <w:t> :</w:t>
      </w:r>
    </w:p>
    <w:p w:rsidR="001431B5" w:rsidRPr="00BA684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Pr="00BA6845" w:rsidRDefault="00A27353" w:rsidP="00C04847">
      <w:pPr>
        <w:ind w:left="1134" w:right="1134"/>
        <w:rPr>
          <w:rFonts w:cs="Arial"/>
          <w:sz w:val="18"/>
          <w:szCs w:val="18"/>
          <w:lang w:val="fr-CH"/>
        </w:rPr>
      </w:pPr>
      <w:r w:rsidRPr="00BA6845">
        <w:rPr>
          <w:rFonts w:cs="Arial"/>
          <w:sz w:val="18"/>
          <w:szCs w:val="18"/>
          <w:lang w:val="fr-CH"/>
        </w:rPr>
        <w:t>‘</w:t>
      </w:r>
      <w:r w:rsidR="00C04847" w:rsidRPr="00BA6845">
        <w:rPr>
          <w:rFonts w:cs="Arial"/>
          <w:sz w:val="18"/>
          <w:szCs w:val="18"/>
          <w:lang w:val="fr-CH" w:eastAsia="zh-CN"/>
        </w:rPr>
        <w:t>Nous avons observé qu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il est proposé, à ce sujet, de présenter une proposition pour examen par le CAJ à sa prochaine session, avec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intention de rechercher dans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intervalle la meilleure manière de donner des orientations sur la notion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2E0DA5" w:rsidRPr="00BA6845">
        <w:rPr>
          <w:rFonts w:cs="Arial"/>
          <w:sz w:val="18"/>
          <w:szCs w:val="18"/>
          <w:lang w:val="fr-CH"/>
        </w:rPr>
        <w:t>‘</w:t>
      </w:r>
      <w:r w:rsidR="00C04847" w:rsidRPr="00BA6845">
        <w:rPr>
          <w:rFonts w:cs="Arial"/>
          <w:sz w:val="18"/>
          <w:szCs w:val="18"/>
          <w:lang w:val="fr-CH" w:eastAsia="zh-CN"/>
        </w:rPr>
        <w:t xml:space="preserve">utilisation non autorisée de matériel de reproduction ou de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multiplication</w:t>
      </w:r>
      <w:r w:rsidR="002E0DA5" w:rsidRPr="00BA6845">
        <w:rPr>
          <w:rFonts w:cs="Arial"/>
          <w:sz w:val="18"/>
          <w:szCs w:val="18"/>
          <w:lang w:val="fr-CH" w:eastAsia="zh-CN"/>
        </w:rPr>
        <w:t>ʼ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. 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Euroseeds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 approuve la procédure propos</w:t>
      </w:r>
      <w:r w:rsidR="006C74D4" w:rsidRPr="00BA6845">
        <w:rPr>
          <w:rFonts w:cs="Arial"/>
          <w:sz w:val="18"/>
          <w:szCs w:val="18"/>
          <w:lang w:val="fr-CH" w:eastAsia="zh-CN"/>
        </w:rPr>
        <w:t>ée.  Ce</w:t>
      </w:r>
      <w:r w:rsidR="00C04847" w:rsidRPr="00BA6845">
        <w:rPr>
          <w:rFonts w:cs="Arial"/>
          <w:sz w:val="18"/>
          <w:szCs w:val="18"/>
          <w:lang w:val="fr-CH" w:eastAsia="zh-CN"/>
        </w:rPr>
        <w:t>pendant, nous saisissons cette occasion pour aborder certains éléments essentiels en lien avec la notion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2E0DA5" w:rsidRPr="00BA6845">
        <w:rPr>
          <w:rFonts w:cs="Arial"/>
          <w:sz w:val="18"/>
          <w:szCs w:val="18"/>
          <w:lang w:val="fr-CH"/>
        </w:rPr>
        <w:t>‘</w:t>
      </w:r>
      <w:r w:rsidR="002E0DA5" w:rsidRPr="00BA6845">
        <w:rPr>
          <w:rFonts w:cs="Arial"/>
          <w:sz w:val="18"/>
          <w:szCs w:val="18"/>
          <w:lang w:val="fr-CH" w:eastAsia="zh-CN"/>
        </w:rPr>
        <w:t xml:space="preserve">utilisation non </w:t>
      </w:r>
      <w:proofErr w:type="spellStart"/>
      <w:r w:rsidR="002E0DA5" w:rsidRPr="00BA6845">
        <w:rPr>
          <w:rFonts w:cs="Arial"/>
          <w:sz w:val="18"/>
          <w:szCs w:val="18"/>
          <w:lang w:val="fr-CH" w:eastAsia="zh-CN"/>
        </w:rPr>
        <w:t>autoriséeʼ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. 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Euroseeds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 estime que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2E0DA5" w:rsidRPr="00BA6845">
        <w:rPr>
          <w:rFonts w:cs="Arial"/>
          <w:sz w:val="18"/>
          <w:szCs w:val="18"/>
          <w:lang w:val="fr-CH"/>
        </w:rPr>
        <w:t>‘</w:t>
      </w:r>
      <w:r w:rsidR="00C04847" w:rsidRPr="00BA6845">
        <w:rPr>
          <w:rFonts w:cs="Arial"/>
          <w:sz w:val="18"/>
          <w:szCs w:val="18"/>
          <w:lang w:val="fr-CH" w:eastAsia="zh-CN"/>
        </w:rPr>
        <w:t xml:space="preserve">utilisation non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autorisée</w:t>
      </w:r>
      <w:r w:rsidR="002E0DA5" w:rsidRPr="00BA6845">
        <w:rPr>
          <w:rFonts w:cs="Arial"/>
          <w:sz w:val="18"/>
          <w:szCs w:val="18"/>
          <w:lang w:val="fr-CH" w:eastAsia="zh-CN"/>
        </w:rPr>
        <w:t>ʼ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 ne fait pas seulement référence à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utilisation sans le consentement du titulaire de droit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obtenteur (en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occurrence pour les actes dont la liste figure dans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article 14.1) a) de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 xml:space="preserve">Acte de 1991 de la </w:t>
      </w:r>
      <w:r w:rsidR="00930F9A" w:rsidRPr="00BA6845">
        <w:rPr>
          <w:rFonts w:cs="Arial"/>
          <w:sz w:val="18"/>
          <w:szCs w:val="18"/>
          <w:lang w:val="fr-CH" w:eastAsia="zh-CN"/>
        </w:rPr>
        <w:t>Convention UPOV</w:t>
      </w:r>
      <w:r w:rsidR="00C04847" w:rsidRPr="00BA6845">
        <w:rPr>
          <w:rFonts w:cs="Arial"/>
          <w:sz w:val="18"/>
          <w:szCs w:val="18"/>
          <w:lang w:val="fr-CH" w:eastAsia="zh-CN"/>
        </w:rPr>
        <w:t>), mais aussi à toute autre utilisation non autorisée, par exemple le non</w:t>
      </w:r>
      <w:r w:rsidR="00930F9A" w:rsidRPr="00BA6845">
        <w:rPr>
          <w:rFonts w:cs="Arial"/>
          <w:sz w:val="18"/>
          <w:szCs w:val="18"/>
          <w:lang w:val="fr-CH" w:eastAsia="zh-CN"/>
        </w:rPr>
        <w:t>-</w:t>
      </w:r>
      <w:r w:rsidR="00C04847" w:rsidRPr="00BA6845">
        <w:rPr>
          <w:rFonts w:cs="Arial"/>
          <w:sz w:val="18"/>
          <w:szCs w:val="18"/>
          <w:lang w:val="fr-CH" w:eastAsia="zh-CN"/>
        </w:rPr>
        <w:t>respect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un contr</w:t>
      </w:r>
      <w:r w:rsidR="006C74D4" w:rsidRPr="00BA6845">
        <w:rPr>
          <w:rFonts w:cs="Arial"/>
          <w:sz w:val="18"/>
          <w:szCs w:val="18"/>
          <w:lang w:val="fr-CH" w:eastAsia="zh-CN"/>
        </w:rPr>
        <w:t>at.  Pa</w:t>
      </w:r>
      <w:r w:rsidR="00C04847" w:rsidRPr="00BA6845">
        <w:rPr>
          <w:rFonts w:cs="Arial"/>
          <w:sz w:val="18"/>
          <w:szCs w:val="18"/>
          <w:lang w:val="fr-CH" w:eastAsia="zh-CN"/>
        </w:rPr>
        <w:t xml:space="preserve">r conséquent,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Euroseeds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 préconise une interprétation large de la notion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2E0DA5" w:rsidRPr="00BA6845">
        <w:rPr>
          <w:rFonts w:cs="Arial"/>
          <w:sz w:val="18"/>
          <w:szCs w:val="18"/>
          <w:lang w:val="fr-CH"/>
        </w:rPr>
        <w:t>‘</w:t>
      </w:r>
      <w:r w:rsidR="00C04847" w:rsidRPr="00BA6845">
        <w:rPr>
          <w:rFonts w:cs="Arial"/>
          <w:sz w:val="18"/>
          <w:szCs w:val="18"/>
          <w:lang w:val="fr-CH" w:eastAsia="zh-CN"/>
        </w:rPr>
        <w:t xml:space="preserve">utilisation non </w:t>
      </w:r>
      <w:proofErr w:type="spellStart"/>
      <w:r w:rsidR="00C04847" w:rsidRPr="00BA6845">
        <w:rPr>
          <w:rFonts w:cs="Arial"/>
          <w:sz w:val="18"/>
          <w:szCs w:val="18"/>
          <w:lang w:val="fr-CH" w:eastAsia="zh-CN"/>
        </w:rPr>
        <w:t>autorisée</w:t>
      </w:r>
      <w:r w:rsidR="002E0DA5" w:rsidRPr="00BA6845">
        <w:rPr>
          <w:rFonts w:cs="Arial"/>
          <w:sz w:val="18"/>
          <w:szCs w:val="18"/>
          <w:lang w:val="fr-CH" w:eastAsia="zh-CN"/>
        </w:rPr>
        <w:t>ʼ</w:t>
      </w:r>
      <w:proofErr w:type="spellEnd"/>
      <w:r w:rsidR="00C04847" w:rsidRPr="00BA6845">
        <w:rPr>
          <w:rFonts w:cs="Arial"/>
          <w:sz w:val="18"/>
          <w:szCs w:val="18"/>
          <w:lang w:val="fr-CH" w:eastAsia="zh-CN"/>
        </w:rPr>
        <w:t xml:space="preserve"> et souligne également que la décision rendue par la Cour de justice de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Union européenne dans l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affaire C</w:t>
      </w:r>
      <w:r w:rsidR="00930F9A" w:rsidRPr="00BA6845">
        <w:rPr>
          <w:rFonts w:cs="Arial"/>
          <w:sz w:val="18"/>
          <w:szCs w:val="18"/>
          <w:lang w:val="fr-CH" w:eastAsia="zh-CN"/>
        </w:rPr>
        <w:t>-</w:t>
      </w:r>
      <w:r w:rsidR="00C04847" w:rsidRPr="00BA6845">
        <w:rPr>
          <w:rFonts w:cs="Arial"/>
          <w:sz w:val="18"/>
          <w:szCs w:val="18"/>
          <w:lang w:val="fr-CH" w:eastAsia="zh-CN"/>
        </w:rPr>
        <w:t>176/18, qui suggère une interprétation limitée, a d</w:t>
      </w:r>
      <w:r w:rsidR="00930F9A" w:rsidRPr="00BA6845">
        <w:rPr>
          <w:rFonts w:cs="Arial"/>
          <w:sz w:val="18"/>
          <w:szCs w:val="18"/>
          <w:lang w:val="fr-CH" w:eastAsia="zh-CN"/>
        </w:rPr>
        <w:t>’</w:t>
      </w:r>
      <w:r w:rsidR="00C04847" w:rsidRPr="00BA6845">
        <w:rPr>
          <w:rFonts w:cs="Arial"/>
          <w:sz w:val="18"/>
          <w:szCs w:val="18"/>
          <w:lang w:val="fr-CH" w:eastAsia="zh-CN"/>
        </w:rPr>
        <w:t>importantes conséquences négatives pour les sélectionneurs.</w:t>
      </w:r>
    </w:p>
    <w:p w:rsidR="001431B5" w:rsidRPr="00BA6845" w:rsidRDefault="001431B5" w:rsidP="003166F6">
      <w:pPr>
        <w:ind w:right="1134"/>
        <w:rPr>
          <w:rFonts w:cs="Arial"/>
          <w:sz w:val="18"/>
          <w:szCs w:val="18"/>
          <w:lang w:val="fr-CH"/>
        </w:rPr>
      </w:pPr>
    </w:p>
    <w:p w:rsidR="001431B5" w:rsidRPr="00BA6845" w:rsidRDefault="00A27353" w:rsidP="00C04847">
      <w:pPr>
        <w:ind w:left="1134" w:right="1134"/>
        <w:rPr>
          <w:rFonts w:cs="Arial"/>
          <w:sz w:val="18"/>
          <w:szCs w:val="18"/>
          <w:lang w:val="fr-CH"/>
        </w:rPr>
      </w:pPr>
      <w:r w:rsidRPr="00BA6845">
        <w:rPr>
          <w:rFonts w:cs="Arial"/>
          <w:sz w:val="18"/>
          <w:szCs w:val="18"/>
          <w:lang w:val="fr-CH"/>
        </w:rPr>
        <w:t>‘</w:t>
      </w:r>
      <w:r w:rsidR="00C04847" w:rsidRPr="00BA6845">
        <w:rPr>
          <w:rFonts w:cs="Arial"/>
          <w:sz w:val="18"/>
          <w:szCs w:val="18"/>
          <w:lang w:val="fr-CH"/>
        </w:rPr>
        <w:t xml:space="preserve">Compte tenu de ce qui précède, </w:t>
      </w:r>
      <w:proofErr w:type="spellStart"/>
      <w:r w:rsidR="00C04847" w:rsidRPr="00BA6845">
        <w:rPr>
          <w:rFonts w:cs="Arial"/>
          <w:sz w:val="18"/>
          <w:szCs w:val="18"/>
          <w:lang w:val="fr-CH"/>
        </w:rPr>
        <w:t>Euroseeds</w:t>
      </w:r>
      <w:proofErr w:type="spellEnd"/>
      <w:r w:rsidR="00C04847" w:rsidRPr="00BA6845">
        <w:rPr>
          <w:rFonts w:cs="Arial"/>
          <w:sz w:val="18"/>
          <w:szCs w:val="18"/>
          <w:lang w:val="fr-CH"/>
        </w:rPr>
        <w:t xml:space="preserve"> aimerait voir une note explicative solide et de qualité concernant le produit de la récolte, qui prenne en compte le besoin des sélectionneurs de disposer d</w:t>
      </w:r>
      <w:r w:rsidR="00930F9A" w:rsidRPr="00BA6845">
        <w:rPr>
          <w:rFonts w:cs="Arial"/>
          <w:sz w:val="18"/>
          <w:szCs w:val="18"/>
          <w:lang w:val="fr-CH"/>
        </w:rPr>
        <w:t>’</w:t>
      </w:r>
      <w:r w:rsidR="00C04847" w:rsidRPr="00BA6845">
        <w:rPr>
          <w:rFonts w:cs="Arial"/>
          <w:sz w:val="18"/>
          <w:szCs w:val="18"/>
          <w:lang w:val="fr-CH"/>
        </w:rPr>
        <w:t>une protection solide et de possibilités réalistes d</w:t>
      </w:r>
      <w:r w:rsidR="00930F9A" w:rsidRPr="00BA6845">
        <w:rPr>
          <w:rFonts w:cs="Arial"/>
          <w:sz w:val="18"/>
          <w:szCs w:val="18"/>
          <w:lang w:val="fr-CH"/>
        </w:rPr>
        <w:t>’</w:t>
      </w:r>
      <w:r w:rsidR="00C04847" w:rsidRPr="00BA6845">
        <w:rPr>
          <w:rFonts w:cs="Arial"/>
          <w:sz w:val="18"/>
          <w:szCs w:val="18"/>
          <w:lang w:val="fr-CH"/>
        </w:rPr>
        <w:t>application, aussi au sujet du produit de la récol</w:t>
      </w:r>
      <w:r w:rsidR="006C74D4" w:rsidRPr="00BA6845">
        <w:rPr>
          <w:rFonts w:cs="Arial"/>
          <w:sz w:val="18"/>
          <w:szCs w:val="18"/>
          <w:lang w:val="fr-CH"/>
        </w:rPr>
        <w:t xml:space="preserve">te.  À </w:t>
      </w:r>
      <w:r w:rsidR="00C04847" w:rsidRPr="00BA6845">
        <w:rPr>
          <w:rFonts w:cs="Arial"/>
          <w:sz w:val="18"/>
          <w:szCs w:val="18"/>
          <w:lang w:val="fr-CH"/>
        </w:rPr>
        <w:t>cet égard, pour plus de détails, nous vous invitons consulter la position d</w:t>
      </w:r>
      <w:r w:rsidR="00930F9A" w:rsidRPr="00BA6845">
        <w:rPr>
          <w:rFonts w:cs="Arial"/>
          <w:sz w:val="18"/>
          <w:szCs w:val="18"/>
          <w:lang w:val="fr-CH"/>
        </w:rPr>
        <w:t>’</w:t>
      </w:r>
      <w:proofErr w:type="spellStart"/>
      <w:r w:rsidR="00C04847" w:rsidRPr="00BA6845">
        <w:rPr>
          <w:rFonts w:cs="Arial"/>
          <w:sz w:val="18"/>
          <w:szCs w:val="18"/>
          <w:lang w:val="fr-CH"/>
        </w:rPr>
        <w:t>Euroseeds</w:t>
      </w:r>
      <w:proofErr w:type="spellEnd"/>
      <w:r w:rsidR="00C04847" w:rsidRPr="00BA6845">
        <w:rPr>
          <w:rFonts w:cs="Arial"/>
          <w:sz w:val="18"/>
          <w:szCs w:val="18"/>
          <w:lang w:val="fr-CH"/>
        </w:rPr>
        <w:t xml:space="preserve"> sur le produit de la récolte.</w:t>
      </w:r>
      <w:r w:rsidRPr="00BA6845">
        <w:rPr>
          <w:rFonts w:cs="Arial"/>
          <w:sz w:val="18"/>
          <w:szCs w:val="18"/>
          <w:lang w:val="fr-CH"/>
        </w:rPr>
        <w:t>’</w:t>
      </w:r>
    </w:p>
    <w:p w:rsidR="001431B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Default="00C04847" w:rsidP="00C04847">
      <w:pPr>
        <w:keepNext/>
        <w:ind w:left="567" w:right="567"/>
        <w:rPr>
          <w:rFonts w:cs="Arial"/>
          <w:i/>
          <w:sz w:val="18"/>
          <w:szCs w:val="18"/>
          <w:lang w:val="fr-CH"/>
        </w:rPr>
      </w:pPr>
      <w:r w:rsidRPr="00CF186D">
        <w:rPr>
          <w:rFonts w:cs="Arial"/>
          <w:i/>
          <w:sz w:val="18"/>
          <w:szCs w:val="18"/>
          <w:lang w:val="fr-CH"/>
        </w:rPr>
        <w:t>“</w:t>
      </w:r>
      <w:bookmarkStart w:id="14" w:name="_Toc55924384"/>
      <w:r w:rsidRPr="00CF186D">
        <w:rPr>
          <w:rFonts w:cs="Arial"/>
          <w:i/>
          <w:sz w:val="18"/>
          <w:szCs w:val="18"/>
          <w:lang w:val="fr-CH"/>
        </w:rPr>
        <w:t xml:space="preserve">Communauté internationale des obtenteurs de plantes horticoles de reproduction asexuée (CIOPORA) et International </w:t>
      </w:r>
      <w:proofErr w:type="spellStart"/>
      <w:r w:rsidRPr="00CF186D">
        <w:rPr>
          <w:rFonts w:cs="Arial"/>
          <w:i/>
          <w:sz w:val="18"/>
          <w:szCs w:val="18"/>
          <w:lang w:val="fr-CH"/>
        </w:rPr>
        <w:t>Seed</w:t>
      </w:r>
      <w:proofErr w:type="spellEnd"/>
      <w:r w:rsidRPr="00CF186D">
        <w:rPr>
          <w:rFonts w:cs="Arial"/>
          <w:i/>
          <w:sz w:val="18"/>
          <w:szCs w:val="18"/>
          <w:lang w:val="fr-CH"/>
        </w:rPr>
        <w:t xml:space="preserve"> </w:t>
      </w:r>
      <w:proofErr w:type="spellStart"/>
      <w:r w:rsidRPr="00CF186D">
        <w:rPr>
          <w:rFonts w:cs="Arial"/>
          <w:i/>
          <w:sz w:val="18"/>
          <w:szCs w:val="18"/>
          <w:lang w:val="fr-CH"/>
        </w:rPr>
        <w:t>Federation</w:t>
      </w:r>
      <w:proofErr w:type="spellEnd"/>
      <w:r w:rsidRPr="00CF186D">
        <w:rPr>
          <w:rFonts w:cs="Arial"/>
          <w:i/>
          <w:sz w:val="18"/>
          <w:szCs w:val="18"/>
          <w:lang w:val="fr-CH"/>
        </w:rPr>
        <w:t xml:space="preserve"> (ISF)</w:t>
      </w:r>
      <w:bookmarkEnd w:id="14"/>
    </w:p>
    <w:p w:rsidR="001431B5" w:rsidRDefault="001431B5" w:rsidP="003166F6">
      <w:pPr>
        <w:keepNext/>
        <w:ind w:right="567"/>
        <w:rPr>
          <w:rFonts w:cs="Arial"/>
          <w:sz w:val="18"/>
          <w:szCs w:val="18"/>
          <w:lang w:val="fr-CH"/>
        </w:rPr>
      </w:pPr>
    </w:p>
    <w:p w:rsidR="001431B5" w:rsidRDefault="00C04847" w:rsidP="00C04847">
      <w:pPr>
        <w:keepNext/>
        <w:ind w:left="567" w:right="567"/>
        <w:rPr>
          <w:rFonts w:cs="Arial"/>
          <w:sz w:val="18"/>
          <w:szCs w:val="18"/>
          <w:lang w:val="fr-CH"/>
        </w:rPr>
      </w:pPr>
      <w:r w:rsidRPr="00CF186D">
        <w:rPr>
          <w:rFonts w:cs="Arial"/>
          <w:sz w:val="18"/>
          <w:szCs w:val="18"/>
          <w:lang w:val="fr-CH"/>
        </w:rPr>
        <w:t>“46.</w:t>
      </w:r>
      <w:r w:rsidRPr="00CF186D">
        <w:rPr>
          <w:rFonts w:cs="Arial"/>
          <w:sz w:val="18"/>
          <w:szCs w:val="18"/>
          <w:lang w:val="fr-CH"/>
        </w:rPr>
        <w:tab/>
        <w:t xml:space="preserve">En réponse à la </w:t>
      </w:r>
      <w:r w:rsidRPr="00CF186D">
        <w:rPr>
          <w:rFonts w:cs="Arial"/>
          <w:spacing w:val="-2"/>
          <w:sz w:val="18"/>
          <w:szCs w:val="18"/>
          <w:lang w:val="fr-CH"/>
        </w:rPr>
        <w:t>circulaire</w:t>
      </w:r>
      <w:r w:rsidRPr="00CF186D">
        <w:rPr>
          <w:rFonts w:cs="Arial"/>
          <w:snapToGrid w:val="0"/>
          <w:spacing w:val="-2"/>
          <w:sz w:val="18"/>
          <w:szCs w:val="18"/>
          <w:lang w:val="fr-CH"/>
        </w:rPr>
        <w:t> </w:t>
      </w:r>
      <w:r w:rsidRPr="00CF186D">
        <w:rPr>
          <w:rFonts w:cs="Arial"/>
          <w:sz w:val="18"/>
          <w:szCs w:val="18"/>
          <w:lang w:val="fr-CH"/>
        </w:rPr>
        <w:t>E</w:t>
      </w:r>
      <w:r w:rsidR="00930F9A">
        <w:rPr>
          <w:rFonts w:cs="Arial"/>
          <w:sz w:val="18"/>
          <w:szCs w:val="18"/>
          <w:lang w:val="fr-CH"/>
        </w:rPr>
        <w:t>-</w:t>
      </w:r>
      <w:r w:rsidRPr="00CF186D">
        <w:rPr>
          <w:rFonts w:cs="Arial"/>
          <w:sz w:val="18"/>
          <w:szCs w:val="18"/>
          <w:lang w:val="fr-CH"/>
        </w:rPr>
        <w:t>20/120 du 21 août 2020, la Communauté internationale des obtenteurs de plantes horticoles de reproduction asexuée (CIOPORA) et l</w:t>
      </w:r>
      <w:r w:rsidR="00930F9A">
        <w:rPr>
          <w:rFonts w:cs="Arial"/>
          <w:sz w:val="18"/>
          <w:szCs w:val="18"/>
          <w:lang w:val="fr-CH"/>
        </w:rPr>
        <w:t>’</w:t>
      </w:r>
      <w:r w:rsidRPr="00CF186D">
        <w:rPr>
          <w:rFonts w:cs="Arial"/>
          <w:i/>
          <w:sz w:val="18"/>
          <w:szCs w:val="18"/>
          <w:lang w:val="fr-CH"/>
        </w:rPr>
        <w:t xml:space="preserve">International </w:t>
      </w:r>
      <w:proofErr w:type="spellStart"/>
      <w:r w:rsidRPr="00CF186D">
        <w:rPr>
          <w:rFonts w:cs="Arial"/>
          <w:i/>
          <w:sz w:val="18"/>
          <w:szCs w:val="18"/>
          <w:lang w:val="fr-CH"/>
        </w:rPr>
        <w:t>Seed</w:t>
      </w:r>
      <w:proofErr w:type="spellEnd"/>
      <w:r w:rsidRPr="00CF186D">
        <w:rPr>
          <w:rFonts w:cs="Arial"/>
          <w:i/>
          <w:sz w:val="18"/>
          <w:szCs w:val="18"/>
          <w:lang w:val="fr-CH"/>
        </w:rPr>
        <w:t xml:space="preserve"> </w:t>
      </w:r>
      <w:proofErr w:type="spellStart"/>
      <w:r w:rsidRPr="00CF186D">
        <w:rPr>
          <w:rFonts w:cs="Arial"/>
          <w:i/>
          <w:sz w:val="18"/>
          <w:szCs w:val="18"/>
          <w:lang w:val="fr-CH"/>
        </w:rPr>
        <w:t>Federation</w:t>
      </w:r>
      <w:proofErr w:type="spellEnd"/>
      <w:r w:rsidRPr="00CF186D">
        <w:rPr>
          <w:rFonts w:cs="Arial"/>
          <w:sz w:val="18"/>
          <w:szCs w:val="18"/>
          <w:lang w:val="fr-CH"/>
        </w:rPr>
        <w:t xml:space="preserve"> (ISF) ont soumis conjointement les observations suivantes concernant le </w:t>
      </w:r>
      <w:r w:rsidR="00930F9A" w:rsidRPr="00CF186D">
        <w:rPr>
          <w:rFonts w:cs="Arial"/>
          <w:snapToGrid w:val="0"/>
          <w:sz w:val="18"/>
          <w:szCs w:val="18"/>
          <w:lang w:val="fr-CH"/>
        </w:rPr>
        <w:t>document</w:t>
      </w:r>
      <w:r w:rsidR="00A27353">
        <w:rPr>
          <w:rFonts w:cs="Arial"/>
          <w:snapToGrid w:val="0"/>
          <w:sz w:val="18"/>
          <w:szCs w:val="18"/>
          <w:lang w:val="fr-CH"/>
        </w:rPr>
        <w:t> </w:t>
      </w:r>
      <w:r w:rsidR="00930F9A" w:rsidRPr="00CF186D">
        <w:rPr>
          <w:rFonts w:cs="Arial"/>
          <w:snapToGrid w:val="0"/>
          <w:sz w:val="18"/>
          <w:szCs w:val="18"/>
          <w:lang w:val="fr-CH"/>
        </w:rPr>
        <w:t>CA</w:t>
      </w:r>
      <w:r w:rsidRPr="00CF186D">
        <w:rPr>
          <w:rFonts w:cs="Arial"/>
          <w:snapToGrid w:val="0"/>
          <w:sz w:val="18"/>
          <w:szCs w:val="18"/>
          <w:lang w:val="fr-CH"/>
        </w:rPr>
        <w:t>J/77/5</w:t>
      </w:r>
      <w:r w:rsidR="00930F9A">
        <w:rPr>
          <w:rFonts w:cs="Arial"/>
          <w:snapToGrid w:val="0"/>
          <w:sz w:val="18"/>
          <w:szCs w:val="18"/>
          <w:lang w:val="fr-CH"/>
        </w:rPr>
        <w:t> :</w:t>
      </w:r>
    </w:p>
    <w:p w:rsidR="001431B5" w:rsidRDefault="001431B5" w:rsidP="003166F6">
      <w:pPr>
        <w:keepNext/>
        <w:ind w:right="567"/>
        <w:rPr>
          <w:rFonts w:cs="Arial"/>
          <w:sz w:val="18"/>
          <w:szCs w:val="18"/>
          <w:lang w:val="fr-CH"/>
        </w:rPr>
      </w:pPr>
    </w:p>
    <w:p w:rsidR="001431B5" w:rsidRDefault="00A27353" w:rsidP="00C04847">
      <w:pPr>
        <w:pStyle w:val="TableParagraph"/>
        <w:keepLines/>
        <w:ind w:left="1134" w:right="1134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‘</w:t>
      </w:r>
      <w:r w:rsidR="00C04847" w:rsidRPr="00CF186D">
        <w:rPr>
          <w:rFonts w:ascii="Arial" w:hAnsi="Arial" w:cs="Arial"/>
          <w:sz w:val="18"/>
          <w:szCs w:val="18"/>
          <w:lang w:val="fr-CH"/>
        </w:rPr>
        <w:t>En réponse à la circulaire E</w:t>
      </w:r>
      <w:r w:rsidR="00930F9A">
        <w:rPr>
          <w:rFonts w:ascii="Arial" w:hAnsi="Arial" w:cs="Arial"/>
          <w:sz w:val="18"/>
          <w:szCs w:val="18"/>
          <w:lang w:val="fr-CH"/>
        </w:rPr>
        <w:t>-</w:t>
      </w:r>
      <w:r w:rsidR="00C04847" w:rsidRPr="00CF186D">
        <w:rPr>
          <w:rFonts w:ascii="Arial" w:hAnsi="Arial" w:cs="Arial"/>
          <w:sz w:val="18"/>
          <w:szCs w:val="18"/>
          <w:lang w:val="fr-CH"/>
        </w:rPr>
        <w:t>20/120 du 21 août 2020, nous sommes particulièrement reconnaissants au Japon de sa suggestion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élaborer des orientations sur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2E0DA5">
        <w:rPr>
          <w:rFonts w:ascii="Arial" w:hAnsi="Arial" w:cs="Arial"/>
          <w:sz w:val="18"/>
          <w:szCs w:val="18"/>
          <w:lang w:val="fr-CH"/>
        </w:rPr>
        <w:t xml:space="preserve">expression </w:t>
      </w:r>
      <w:r w:rsidR="002E0DA5">
        <w:rPr>
          <w:rFonts w:cs="Arial"/>
          <w:sz w:val="18"/>
          <w:szCs w:val="18"/>
          <w:lang w:val="fr-CH"/>
        </w:rPr>
        <w:t>‘</w:t>
      </w:r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utilisation non autorisée de matériel de reproduction ou de </w:t>
      </w:r>
      <w:proofErr w:type="spellStart"/>
      <w:r w:rsidR="00C04847" w:rsidRPr="00CF186D">
        <w:rPr>
          <w:rFonts w:ascii="Arial" w:hAnsi="Arial" w:cs="Arial"/>
          <w:sz w:val="18"/>
          <w:szCs w:val="18"/>
          <w:lang w:val="fr-CH"/>
        </w:rPr>
        <w:t>multiplication</w:t>
      </w:r>
      <w:r w:rsidR="002E0DA5">
        <w:rPr>
          <w:rFonts w:cs="Arial"/>
          <w:sz w:val="18"/>
          <w:szCs w:val="18"/>
          <w:lang w:val="fr-CH" w:eastAsia="zh-CN"/>
        </w:rPr>
        <w:t>ʼ</w:t>
      </w:r>
      <w:proofErr w:type="spellEnd"/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.  Le débat sur ce sujet arrive à point nommé, cette question ayant récemment gagné en importance, puisque la </w:t>
      </w:r>
      <w:r w:rsidR="00C04847" w:rsidRPr="00CF186D">
        <w:rPr>
          <w:rFonts w:ascii="Arial" w:hAnsi="Arial" w:cs="Arial"/>
          <w:sz w:val="18"/>
          <w:szCs w:val="18"/>
          <w:lang w:val="fr-CH" w:eastAsia="zh-CN"/>
        </w:rPr>
        <w:t>Cour de justice de l</w:t>
      </w:r>
      <w:r w:rsidR="00930F9A">
        <w:rPr>
          <w:rFonts w:ascii="Arial" w:hAnsi="Arial" w:cs="Arial"/>
          <w:sz w:val="18"/>
          <w:szCs w:val="18"/>
          <w:lang w:val="fr-CH" w:eastAsia="zh-CN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 w:eastAsia="zh-CN"/>
        </w:rPr>
        <w:t>Union européenne, dans l</w:t>
      </w:r>
      <w:r w:rsidR="00930F9A">
        <w:rPr>
          <w:rFonts w:ascii="Arial" w:hAnsi="Arial" w:cs="Arial"/>
          <w:sz w:val="18"/>
          <w:szCs w:val="18"/>
          <w:lang w:val="fr-CH" w:eastAsia="zh-CN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 w:eastAsia="zh-CN"/>
        </w:rPr>
        <w:t>affaire </w:t>
      </w:r>
      <w:r w:rsidR="00C04847" w:rsidRPr="00CF186D">
        <w:rPr>
          <w:rFonts w:ascii="Arial" w:hAnsi="Arial" w:cs="Arial"/>
          <w:sz w:val="18"/>
          <w:szCs w:val="18"/>
          <w:lang w:val="fr-CH"/>
        </w:rPr>
        <w:t>C</w:t>
      </w:r>
      <w:r w:rsidR="00930F9A">
        <w:rPr>
          <w:rFonts w:ascii="Arial" w:hAnsi="Arial" w:cs="Arial"/>
          <w:sz w:val="18"/>
          <w:szCs w:val="18"/>
          <w:lang w:val="fr-CH"/>
        </w:rPr>
        <w:t>-</w:t>
      </w:r>
      <w:r w:rsidR="00C04847" w:rsidRPr="00CF186D">
        <w:rPr>
          <w:rFonts w:ascii="Arial" w:hAnsi="Arial" w:cs="Arial"/>
          <w:sz w:val="18"/>
          <w:szCs w:val="18"/>
          <w:lang w:val="fr-CH"/>
        </w:rPr>
        <w:t>176/18 (</w:t>
      </w:r>
      <w:proofErr w:type="spellStart"/>
      <w:r w:rsidR="00C04847" w:rsidRPr="00CF186D">
        <w:rPr>
          <w:rFonts w:ascii="Arial" w:hAnsi="Arial" w:cs="Arial"/>
          <w:sz w:val="18"/>
          <w:szCs w:val="18"/>
          <w:lang w:val="fr-CH"/>
        </w:rPr>
        <w:t>Nadorcott</w:t>
      </w:r>
      <w:proofErr w:type="spellEnd"/>
      <w:r w:rsidR="00C04847" w:rsidRPr="00CF186D">
        <w:rPr>
          <w:rFonts w:ascii="Arial" w:hAnsi="Arial" w:cs="Arial"/>
          <w:sz w:val="18"/>
          <w:szCs w:val="18"/>
          <w:lang w:val="fr-CH"/>
        </w:rPr>
        <w:t>), a rendu une décision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une grande portée, principalement centrée sur la question de savoir dans quelles circonstances la règle de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2E0DA5">
        <w:rPr>
          <w:rFonts w:cs="Arial"/>
          <w:sz w:val="18"/>
          <w:szCs w:val="18"/>
          <w:lang w:val="fr-CH"/>
        </w:rPr>
        <w:t>‘</w:t>
      </w:r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utilisation non autorisée de matériel de reproduction ou de multiplication (constituants </w:t>
      </w:r>
      <w:proofErr w:type="gramStart"/>
      <w:r w:rsidR="00C04847" w:rsidRPr="00CF186D">
        <w:rPr>
          <w:rFonts w:ascii="Arial" w:hAnsi="Arial" w:cs="Arial"/>
          <w:sz w:val="18"/>
          <w:szCs w:val="18"/>
          <w:lang w:val="fr-CH"/>
        </w:rPr>
        <w:t>variétaux)</w:t>
      </w:r>
      <w:r w:rsidR="002E0DA5">
        <w:rPr>
          <w:rFonts w:cs="Arial"/>
          <w:sz w:val="18"/>
          <w:szCs w:val="18"/>
          <w:lang w:val="fr-CH" w:eastAsia="zh-CN"/>
        </w:rPr>
        <w:t>ʼ</w:t>
      </w:r>
      <w:proofErr w:type="gramEnd"/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 concerne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exercice du droit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obtenteur </w:t>
      </w:r>
      <w:r w:rsidR="00930F9A">
        <w:rPr>
          <w:rFonts w:ascii="Arial" w:hAnsi="Arial" w:cs="Arial"/>
          <w:sz w:val="18"/>
          <w:szCs w:val="18"/>
          <w:lang w:val="fr-CH"/>
        </w:rPr>
        <w:t>à l’égard</w:t>
      </w:r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 du produit de la récolte.</w:t>
      </w:r>
    </w:p>
    <w:p w:rsidR="001431B5" w:rsidRDefault="001431B5" w:rsidP="003166F6">
      <w:pPr>
        <w:pStyle w:val="TableParagraph"/>
        <w:keepLines/>
        <w:ind w:right="1134"/>
        <w:jc w:val="both"/>
        <w:rPr>
          <w:rFonts w:ascii="Arial" w:hAnsi="Arial" w:cs="Arial"/>
          <w:sz w:val="18"/>
          <w:szCs w:val="18"/>
          <w:lang w:val="fr-CH"/>
        </w:rPr>
      </w:pPr>
    </w:p>
    <w:p w:rsidR="001431B5" w:rsidRDefault="00A27353" w:rsidP="0081126B">
      <w:pPr>
        <w:pStyle w:val="TableParagraph"/>
        <w:keepLines/>
        <w:spacing w:after="120"/>
        <w:ind w:left="1138" w:right="1138"/>
        <w:jc w:val="both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‘</w:t>
      </w:r>
      <w:r w:rsidR="00C04847" w:rsidRPr="00CF186D">
        <w:rPr>
          <w:rFonts w:ascii="Arial" w:hAnsi="Arial" w:cs="Arial"/>
          <w:sz w:val="18"/>
          <w:szCs w:val="18"/>
          <w:lang w:val="fr-CH"/>
        </w:rPr>
        <w:t>La CIOPORA et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ISF, par conséquent, sont favorables à la proposition formulée par le Japon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ajouter dans la note explicative, en lien avec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2E0DA5">
        <w:rPr>
          <w:rFonts w:cs="Arial"/>
          <w:sz w:val="18"/>
          <w:szCs w:val="18"/>
          <w:lang w:val="fr-CH"/>
        </w:rPr>
        <w:t>‘</w:t>
      </w:r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utilisation non </w:t>
      </w:r>
      <w:proofErr w:type="spellStart"/>
      <w:r w:rsidR="00C04847" w:rsidRPr="00CF186D">
        <w:rPr>
          <w:rFonts w:ascii="Arial" w:hAnsi="Arial" w:cs="Arial"/>
          <w:sz w:val="18"/>
          <w:szCs w:val="18"/>
          <w:lang w:val="fr-CH"/>
        </w:rPr>
        <w:t>autorisée</w:t>
      </w:r>
      <w:r w:rsidR="002E0DA5">
        <w:rPr>
          <w:rFonts w:cs="Arial"/>
          <w:sz w:val="18"/>
          <w:szCs w:val="18"/>
          <w:lang w:val="fr-CH" w:eastAsia="zh-CN"/>
        </w:rPr>
        <w:t>ʼ</w:t>
      </w:r>
      <w:proofErr w:type="spellEnd"/>
      <w:r w:rsidR="00C04847" w:rsidRPr="00CF186D">
        <w:rPr>
          <w:rFonts w:ascii="Arial" w:hAnsi="Arial" w:cs="Arial"/>
          <w:sz w:val="18"/>
          <w:szCs w:val="18"/>
          <w:lang w:val="fr-CH"/>
        </w:rPr>
        <w:t xml:space="preserve"> de matériel de reproduction ou de multiplication, les actes de culture (planter et cultiv</w:t>
      </w:r>
      <w:r w:rsidR="006C74D4" w:rsidRPr="00CF186D">
        <w:rPr>
          <w:rFonts w:ascii="Arial" w:hAnsi="Arial" w:cs="Arial"/>
          <w:sz w:val="18"/>
          <w:szCs w:val="18"/>
          <w:lang w:val="fr-CH"/>
        </w:rPr>
        <w:t>er)</w:t>
      </w:r>
      <w:r w:rsidR="006C74D4">
        <w:rPr>
          <w:rFonts w:ascii="Arial" w:hAnsi="Arial" w:cs="Arial"/>
          <w:sz w:val="18"/>
          <w:szCs w:val="18"/>
          <w:lang w:val="fr-CH"/>
        </w:rPr>
        <w:t xml:space="preserve">.  </w:t>
      </w:r>
      <w:r w:rsidR="006C74D4" w:rsidRPr="00CF186D">
        <w:rPr>
          <w:rFonts w:ascii="Arial" w:hAnsi="Arial" w:cs="Arial"/>
          <w:sz w:val="18"/>
          <w:szCs w:val="18"/>
          <w:lang w:val="fr-CH"/>
        </w:rPr>
        <w:t>Ce</w:t>
      </w:r>
      <w:r w:rsidR="00C04847" w:rsidRPr="00CF186D">
        <w:rPr>
          <w:rFonts w:ascii="Arial" w:hAnsi="Arial" w:cs="Arial"/>
          <w:sz w:val="18"/>
          <w:szCs w:val="18"/>
          <w:lang w:val="fr-CH"/>
        </w:rPr>
        <w:t>la apporterait une solution à la situation dans laquelle des arbres (matériel de reproduction ou de multiplication) sont produits avant que le droit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obtenteur soit accordé, puis sont plantés sur l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exploitation d</w:t>
      </w:r>
      <w:r w:rsidR="00930F9A">
        <w:rPr>
          <w:rFonts w:ascii="Arial" w:hAnsi="Arial" w:cs="Arial"/>
          <w:sz w:val="18"/>
          <w:szCs w:val="18"/>
          <w:lang w:val="fr-CH"/>
        </w:rPr>
        <w:t>’</w:t>
      </w:r>
      <w:r w:rsidR="00C04847" w:rsidRPr="00CF186D">
        <w:rPr>
          <w:rFonts w:ascii="Arial" w:hAnsi="Arial" w:cs="Arial"/>
          <w:sz w:val="18"/>
          <w:szCs w:val="18"/>
          <w:lang w:val="fr-CH"/>
        </w:rPr>
        <w:t>un cultivateur, qui produit des fruits en continu pendant plusieurs années.</w:t>
      </w:r>
    </w:p>
    <w:p w:rsidR="001431B5" w:rsidRDefault="00A27353" w:rsidP="00C04847">
      <w:pPr>
        <w:ind w:left="1134" w:right="1134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lastRenderedPageBreak/>
        <w:t>‘</w:t>
      </w:r>
      <w:r w:rsidR="00C04847" w:rsidRPr="00CF186D">
        <w:rPr>
          <w:rFonts w:cs="Arial"/>
          <w:sz w:val="18"/>
          <w:szCs w:val="18"/>
          <w:lang w:val="fr-CH"/>
        </w:rPr>
        <w:t>La protection efficace du produit de la récolte est très importante pour les sélectionneu</w:t>
      </w:r>
      <w:r w:rsidR="006C74D4" w:rsidRPr="00CF186D">
        <w:rPr>
          <w:rFonts w:cs="Arial"/>
          <w:sz w:val="18"/>
          <w:szCs w:val="18"/>
          <w:lang w:val="fr-CH"/>
        </w:rPr>
        <w:t>rs</w:t>
      </w:r>
      <w:r w:rsidR="006C74D4">
        <w:rPr>
          <w:rFonts w:cs="Arial"/>
          <w:sz w:val="18"/>
          <w:szCs w:val="18"/>
          <w:lang w:val="fr-CH"/>
        </w:rPr>
        <w:t xml:space="preserve">.  </w:t>
      </w:r>
      <w:r w:rsidR="006C74D4" w:rsidRPr="00CF186D">
        <w:rPr>
          <w:rFonts w:cs="Arial"/>
          <w:sz w:val="18"/>
          <w:szCs w:val="18"/>
          <w:lang w:val="fr-CH"/>
        </w:rPr>
        <w:t>Pa</w:t>
      </w:r>
      <w:r w:rsidR="00C04847" w:rsidRPr="00CF186D">
        <w:rPr>
          <w:rFonts w:cs="Arial"/>
          <w:sz w:val="18"/>
          <w:szCs w:val="18"/>
          <w:lang w:val="fr-CH"/>
        </w:rPr>
        <w:t>r conséquent, il pourrait être souhaitable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organiser un séminaire à ce sujet pendant le premier semestre de 2021.</w:t>
      </w:r>
      <w:r>
        <w:rPr>
          <w:rFonts w:cs="Arial"/>
          <w:sz w:val="18"/>
          <w:szCs w:val="18"/>
          <w:lang w:val="fr-CH"/>
        </w:rPr>
        <w:t>’</w:t>
      </w:r>
    </w:p>
    <w:p w:rsidR="001431B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Default="00C04847" w:rsidP="00C04847">
      <w:pPr>
        <w:ind w:left="567" w:right="567"/>
        <w:rPr>
          <w:rFonts w:cs="Arial"/>
          <w:sz w:val="18"/>
          <w:szCs w:val="18"/>
          <w:lang w:val="fr-CH"/>
        </w:rPr>
      </w:pPr>
      <w:r w:rsidRPr="00CF186D">
        <w:rPr>
          <w:rFonts w:cs="Arial"/>
          <w:sz w:val="18"/>
          <w:szCs w:val="18"/>
          <w:lang w:val="fr-CH"/>
        </w:rPr>
        <w:t>“47.</w:t>
      </w:r>
      <w:r w:rsidRPr="00CF186D">
        <w:rPr>
          <w:rFonts w:cs="Arial"/>
          <w:sz w:val="18"/>
          <w:szCs w:val="18"/>
          <w:lang w:val="fr-CH"/>
        </w:rPr>
        <w:tab/>
      </w:r>
      <w:r w:rsidRPr="00CF186D">
        <w:rPr>
          <w:rFonts w:cs="Arial"/>
          <w:spacing w:val="-2"/>
          <w:sz w:val="18"/>
          <w:szCs w:val="18"/>
          <w:lang w:val="fr-CH"/>
        </w:rPr>
        <w:t>Dans leurs observations conjointes reçues en réponse à la circulaire E</w:t>
      </w:r>
      <w:r w:rsidR="00930F9A">
        <w:rPr>
          <w:rFonts w:cs="Arial"/>
          <w:spacing w:val="-2"/>
          <w:sz w:val="18"/>
          <w:szCs w:val="18"/>
          <w:lang w:val="fr-CH"/>
        </w:rPr>
        <w:t>-</w:t>
      </w:r>
      <w:r w:rsidRPr="00CF186D">
        <w:rPr>
          <w:rFonts w:cs="Arial"/>
          <w:spacing w:val="-2"/>
          <w:sz w:val="18"/>
          <w:szCs w:val="18"/>
          <w:lang w:val="fr-CH"/>
        </w:rPr>
        <w:t>20/120 du 21 août 2020, l</w:t>
      </w:r>
      <w:r w:rsidR="00930F9A">
        <w:rPr>
          <w:rFonts w:cs="Arial"/>
          <w:spacing w:val="-2"/>
          <w:sz w:val="18"/>
          <w:szCs w:val="18"/>
          <w:lang w:val="fr-CH"/>
        </w:rPr>
        <w:t>’</w:t>
      </w:r>
      <w:r w:rsidRPr="00CF186D">
        <w:rPr>
          <w:rFonts w:cs="Arial"/>
          <w:spacing w:val="-2"/>
          <w:sz w:val="18"/>
          <w:szCs w:val="18"/>
          <w:lang w:val="fr-CH"/>
        </w:rPr>
        <w:t>ISF, l</w:t>
      </w:r>
      <w:r w:rsidR="00930F9A">
        <w:rPr>
          <w:rFonts w:cs="Arial"/>
          <w:spacing w:val="-2"/>
          <w:sz w:val="18"/>
          <w:szCs w:val="18"/>
          <w:lang w:val="fr-CH"/>
        </w:rPr>
        <w:t>’</w:t>
      </w:r>
      <w:r w:rsidRPr="00CF186D">
        <w:rPr>
          <w:rFonts w:cs="Arial"/>
          <w:spacing w:val="-2"/>
          <w:sz w:val="18"/>
          <w:szCs w:val="18"/>
          <w:lang w:val="fr-CH"/>
        </w:rPr>
        <w:t>Association africaine du commerce des semences (AFSTA), l</w:t>
      </w:r>
      <w:r w:rsidR="00930F9A">
        <w:rPr>
          <w:rFonts w:cs="Arial"/>
          <w:spacing w:val="-2"/>
          <w:sz w:val="18"/>
          <w:szCs w:val="18"/>
          <w:lang w:val="fr-CH"/>
        </w:rPr>
        <w:t>’</w:t>
      </w:r>
      <w:r w:rsidRPr="00CF186D">
        <w:rPr>
          <w:rFonts w:cs="Arial"/>
          <w:spacing w:val="-2"/>
          <w:sz w:val="18"/>
          <w:szCs w:val="18"/>
          <w:lang w:val="fr-CH"/>
        </w:rPr>
        <w:t xml:space="preserve">Association </w:t>
      </w:r>
      <w:r w:rsidR="0081126B" w:rsidRPr="0081126B">
        <w:rPr>
          <w:rFonts w:cs="Arial"/>
          <w:spacing w:val="-2"/>
          <w:sz w:val="18"/>
          <w:szCs w:val="18"/>
          <w:lang w:val="fr-CH"/>
        </w:rPr>
        <w:t>Asie</w:t>
      </w:r>
      <w:r w:rsidR="0081126B" w:rsidRPr="0081126B">
        <w:rPr>
          <w:rFonts w:ascii="Cambria Math" w:hAnsi="Cambria Math" w:cs="Cambria Math"/>
          <w:spacing w:val="-2"/>
          <w:sz w:val="18"/>
          <w:szCs w:val="18"/>
          <w:lang w:val="fr-CH"/>
        </w:rPr>
        <w:t>‑</w:t>
      </w:r>
      <w:r w:rsidR="0081126B" w:rsidRPr="0081126B">
        <w:rPr>
          <w:rFonts w:cs="Arial"/>
          <w:spacing w:val="-2"/>
          <w:sz w:val="18"/>
          <w:szCs w:val="18"/>
          <w:lang w:val="fr-CH"/>
        </w:rPr>
        <w:t xml:space="preserve">Pacifique pour les semences </w:t>
      </w:r>
      <w:r w:rsidRPr="00CF186D">
        <w:rPr>
          <w:rFonts w:cs="Arial"/>
          <w:spacing w:val="-2"/>
          <w:sz w:val="18"/>
          <w:szCs w:val="18"/>
          <w:lang w:val="fr-CH"/>
        </w:rPr>
        <w:t xml:space="preserve">(APSA) et la </w:t>
      </w:r>
      <w:proofErr w:type="spellStart"/>
      <w:r w:rsidRPr="00CF186D">
        <w:rPr>
          <w:rFonts w:cs="Arial"/>
          <w:i/>
          <w:snapToGrid w:val="0"/>
          <w:spacing w:val="-2"/>
          <w:sz w:val="18"/>
          <w:szCs w:val="18"/>
          <w:lang w:val="fr-CH"/>
        </w:rPr>
        <w:t>Seed</w:t>
      </w:r>
      <w:proofErr w:type="spellEnd"/>
      <w:r w:rsidRPr="00CF186D">
        <w:rPr>
          <w:rFonts w:cs="Arial"/>
          <w:i/>
          <w:snapToGrid w:val="0"/>
          <w:spacing w:val="-2"/>
          <w:sz w:val="18"/>
          <w:szCs w:val="18"/>
          <w:lang w:val="fr-CH"/>
        </w:rPr>
        <w:t xml:space="preserve"> Association of the </w:t>
      </w:r>
      <w:proofErr w:type="spellStart"/>
      <w:r w:rsidRPr="00CF186D">
        <w:rPr>
          <w:rFonts w:cs="Arial"/>
          <w:i/>
          <w:snapToGrid w:val="0"/>
          <w:spacing w:val="-2"/>
          <w:sz w:val="18"/>
          <w:szCs w:val="18"/>
          <w:lang w:val="fr-CH"/>
        </w:rPr>
        <w:t>Americas</w:t>
      </w:r>
      <w:proofErr w:type="spellEnd"/>
      <w:r w:rsidRPr="00CF186D">
        <w:rPr>
          <w:rFonts w:cs="Arial"/>
          <w:snapToGrid w:val="0"/>
          <w:spacing w:val="-2"/>
          <w:sz w:val="18"/>
          <w:szCs w:val="18"/>
          <w:lang w:val="fr-CH"/>
        </w:rPr>
        <w:t xml:space="preserve"> (SAA) ont exprimé leur soutien en faveur de la proposition ci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-</w:t>
      </w:r>
      <w:r w:rsidRPr="00CF186D">
        <w:rPr>
          <w:rFonts w:cs="Arial"/>
          <w:snapToGrid w:val="0"/>
          <w:spacing w:val="-2"/>
          <w:sz w:val="18"/>
          <w:szCs w:val="18"/>
          <w:lang w:val="fr-CH"/>
        </w:rPr>
        <w:t>dessus formulée par la CIOPORA et l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Pr="00CF186D">
        <w:rPr>
          <w:rFonts w:cs="Arial"/>
          <w:snapToGrid w:val="0"/>
          <w:spacing w:val="-2"/>
          <w:sz w:val="18"/>
          <w:szCs w:val="18"/>
          <w:lang w:val="fr-CH"/>
        </w:rPr>
        <w:t>ISF en vue d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’</w:t>
      </w:r>
      <w:r w:rsidRPr="00CF186D">
        <w:rPr>
          <w:rFonts w:cs="Arial"/>
          <w:snapToGrid w:val="0"/>
          <w:spacing w:val="-2"/>
          <w:sz w:val="18"/>
          <w:szCs w:val="18"/>
          <w:lang w:val="fr-CH"/>
        </w:rPr>
        <w:t>organiser un séminaire sur ce sujet, comme reproduit ci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-</w:t>
      </w:r>
      <w:r w:rsidRPr="00CF186D">
        <w:rPr>
          <w:rFonts w:cs="Arial"/>
          <w:snapToGrid w:val="0"/>
          <w:spacing w:val="-2"/>
          <w:sz w:val="18"/>
          <w:szCs w:val="18"/>
          <w:lang w:val="fr-CH"/>
        </w:rPr>
        <w:t>dessous</w:t>
      </w:r>
      <w:r w:rsidR="00930F9A">
        <w:rPr>
          <w:rFonts w:cs="Arial"/>
          <w:snapToGrid w:val="0"/>
          <w:spacing w:val="-2"/>
          <w:sz w:val="18"/>
          <w:szCs w:val="18"/>
          <w:lang w:val="fr-CH"/>
        </w:rPr>
        <w:t> :</w:t>
      </w:r>
    </w:p>
    <w:p w:rsidR="001431B5" w:rsidRDefault="001431B5" w:rsidP="003166F6">
      <w:pPr>
        <w:ind w:right="567"/>
        <w:rPr>
          <w:rFonts w:cs="Arial"/>
          <w:sz w:val="18"/>
          <w:szCs w:val="18"/>
          <w:lang w:val="fr-CH"/>
        </w:rPr>
      </w:pPr>
    </w:p>
    <w:p w:rsidR="001431B5" w:rsidRDefault="00A27353" w:rsidP="00C04847">
      <w:pPr>
        <w:ind w:left="1134" w:right="1134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‘</w:t>
      </w:r>
      <w:r w:rsidR="00C04847" w:rsidRPr="00CF186D">
        <w:rPr>
          <w:rFonts w:cs="Arial"/>
          <w:sz w:val="18"/>
          <w:szCs w:val="18"/>
          <w:lang w:val="fr-CH"/>
        </w:rPr>
        <w:t>Nous accueillons avec satisfaction les contributions de l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Union européenne et du Jap</w:t>
      </w:r>
      <w:r w:rsidR="006C74D4" w:rsidRPr="00CF186D">
        <w:rPr>
          <w:rFonts w:cs="Arial"/>
          <w:sz w:val="18"/>
          <w:szCs w:val="18"/>
          <w:lang w:val="fr-CH"/>
        </w:rPr>
        <w:t>on</w:t>
      </w:r>
      <w:r w:rsidR="006C74D4">
        <w:rPr>
          <w:rFonts w:cs="Arial"/>
          <w:sz w:val="18"/>
          <w:szCs w:val="18"/>
          <w:lang w:val="fr-CH"/>
        </w:rPr>
        <w:t xml:space="preserve">.  </w:t>
      </w:r>
      <w:r w:rsidR="006C74D4" w:rsidRPr="00CF186D">
        <w:rPr>
          <w:rFonts w:cs="Arial"/>
          <w:sz w:val="18"/>
          <w:szCs w:val="18"/>
          <w:lang w:val="fr-CH"/>
        </w:rPr>
        <w:t>No</w:t>
      </w:r>
      <w:r w:rsidR="00C04847" w:rsidRPr="00CF186D">
        <w:rPr>
          <w:rFonts w:cs="Arial"/>
          <w:sz w:val="18"/>
          <w:szCs w:val="18"/>
          <w:lang w:val="fr-CH"/>
        </w:rPr>
        <w:t>us convenons qu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il s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agit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une question de grande importance.</w:t>
      </w:r>
    </w:p>
    <w:p w:rsidR="001431B5" w:rsidRDefault="00A27353" w:rsidP="00C04847">
      <w:pPr>
        <w:ind w:left="1134" w:right="1134"/>
        <w:rPr>
          <w:rFonts w:cs="Arial"/>
          <w:sz w:val="18"/>
          <w:szCs w:val="18"/>
          <w:lang w:val="fr-CH"/>
        </w:rPr>
      </w:pPr>
      <w:r>
        <w:rPr>
          <w:rFonts w:cs="Arial"/>
          <w:sz w:val="18"/>
          <w:szCs w:val="18"/>
          <w:lang w:val="fr-CH"/>
        </w:rPr>
        <w:t>‘</w:t>
      </w:r>
      <w:r w:rsidR="00C04847" w:rsidRPr="00CF186D">
        <w:rPr>
          <w:rFonts w:cs="Arial"/>
          <w:sz w:val="18"/>
          <w:szCs w:val="18"/>
          <w:lang w:val="fr-CH"/>
        </w:rPr>
        <w:t>L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ISF a envoyé une lettre cosignée par la CIOPORA à ce sujet, et nous remercions les membres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avoir examiné notre demande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organiser un séminaire ou un webinaire afin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aborder plus avant la définition d</w:t>
      </w:r>
      <w:r w:rsidR="00930F9A"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“utilisation non autorisée” et de clarifier la note explicative.</w:t>
      </w:r>
      <w:r>
        <w:rPr>
          <w:rFonts w:cs="Arial"/>
          <w:sz w:val="18"/>
          <w:szCs w:val="18"/>
          <w:lang w:val="fr-CH"/>
        </w:rPr>
        <w:t>’</w:t>
      </w:r>
      <w:r w:rsidR="00C04847" w:rsidRPr="00CF186D">
        <w:rPr>
          <w:rFonts w:cs="Arial"/>
          <w:sz w:val="18"/>
          <w:szCs w:val="18"/>
          <w:lang w:val="fr-CH"/>
        </w:rPr>
        <w:t>”</w:t>
      </w:r>
    </w:p>
    <w:p w:rsidR="00FF12E4" w:rsidRDefault="00FF12E4" w:rsidP="003166F6">
      <w:pPr>
        <w:ind w:right="1134"/>
        <w:rPr>
          <w:sz w:val="18"/>
          <w:szCs w:val="18"/>
          <w:lang w:val="fr-CH"/>
        </w:rPr>
      </w:pPr>
    </w:p>
    <w:p w:rsidR="00930F9A" w:rsidRDefault="0030147A" w:rsidP="00F53016">
      <w:pPr>
        <w:keepLines/>
        <w:autoSpaceDE w:val="0"/>
        <w:autoSpaceDN w:val="0"/>
        <w:adjustRightInd w:val="0"/>
        <w:rPr>
          <w:rFonts w:cs="Arial"/>
          <w:lang w:val="fr-CH"/>
        </w:rPr>
      </w:pPr>
      <w:r w:rsidRPr="00CF186D">
        <w:rPr>
          <w:rFonts w:cs="Arial"/>
          <w:snapToGrid w:val="0"/>
          <w:lang w:val="fr-CH"/>
        </w:rPr>
        <w:fldChar w:fldCharType="begin"/>
      </w:r>
      <w:r w:rsidRPr="00CF186D">
        <w:rPr>
          <w:rFonts w:cs="Arial"/>
          <w:snapToGrid w:val="0"/>
          <w:lang w:val="fr-CH"/>
        </w:rPr>
        <w:instrText xml:space="preserve"> AUTONUM  </w:instrText>
      </w:r>
      <w:r w:rsidRPr="00CF186D">
        <w:rPr>
          <w:rFonts w:cs="Arial"/>
          <w:snapToGrid w:val="0"/>
          <w:lang w:val="fr-CH"/>
        </w:rPr>
        <w:fldChar w:fldCharType="end"/>
      </w:r>
      <w:r w:rsidRPr="00CF186D">
        <w:rPr>
          <w:rFonts w:cs="Arial"/>
          <w:snapToGrid w:val="0"/>
          <w:lang w:val="fr-CH"/>
        </w:rPr>
        <w:tab/>
      </w:r>
      <w:r w:rsidR="00F53016" w:rsidRPr="00CF186D">
        <w:rPr>
          <w:rFonts w:cs="Arial"/>
          <w:snapToGrid w:val="0"/>
          <w:color w:val="000000"/>
          <w:lang w:val="fr-CH"/>
        </w:rPr>
        <w:t>Se fondant sur la recommandation</w:t>
      </w:r>
      <w:r w:rsidR="00930F9A" w:rsidRPr="00CF186D">
        <w:rPr>
          <w:rFonts w:cs="Arial"/>
          <w:snapToGrid w:val="0"/>
          <w:color w:val="000000"/>
          <w:lang w:val="fr-CH"/>
        </w:rPr>
        <w:t xml:space="preserve"> du</w:t>
      </w:r>
      <w:r w:rsidR="00930F9A">
        <w:rPr>
          <w:rFonts w:cs="Arial"/>
          <w:snapToGrid w:val="0"/>
          <w:color w:val="000000"/>
          <w:lang w:val="fr-CH"/>
        </w:rPr>
        <w:t> </w:t>
      </w:r>
      <w:r w:rsidR="00930F9A" w:rsidRPr="00CF186D">
        <w:rPr>
          <w:rFonts w:cs="Arial"/>
          <w:snapToGrid w:val="0"/>
          <w:color w:val="000000"/>
          <w:lang w:val="fr-CH"/>
        </w:rPr>
        <w:t>CAJ</w:t>
      </w:r>
      <w:r w:rsidR="00F53016" w:rsidRPr="00CF186D">
        <w:rPr>
          <w:rFonts w:cs="Arial"/>
          <w:snapToGrid w:val="0"/>
          <w:color w:val="000000"/>
          <w:lang w:val="fr-CH"/>
        </w:rPr>
        <w:t>, le Conseil a décidé, à sa cinquante</w:t>
      </w:r>
      <w:r w:rsidR="00930F9A">
        <w:rPr>
          <w:rFonts w:cs="Arial"/>
          <w:snapToGrid w:val="0"/>
          <w:color w:val="000000"/>
          <w:lang w:val="fr-CH"/>
        </w:rPr>
        <w:t>-</w:t>
      </w:r>
      <w:r w:rsidR="00F53016" w:rsidRPr="00CF186D">
        <w:rPr>
          <w:rFonts w:cs="Arial"/>
          <w:snapToGrid w:val="0"/>
          <w:color w:val="000000"/>
          <w:lang w:val="fr-CH"/>
        </w:rPr>
        <w:t>quatr</w:t>
      </w:r>
      <w:r w:rsidR="00930F9A">
        <w:rPr>
          <w:rFonts w:cs="Arial"/>
          <w:snapToGrid w:val="0"/>
          <w:color w:val="000000"/>
          <w:lang w:val="fr-CH"/>
        </w:rPr>
        <w:t>ième session</w:t>
      </w:r>
      <w:r w:rsidR="001806BF">
        <w:rPr>
          <w:rFonts w:cs="Arial"/>
          <w:snapToGrid w:val="0"/>
          <w:color w:val="000000"/>
          <w:lang w:val="fr-CH"/>
        </w:rPr>
        <w:t xml:space="preserve"> ordinaire</w:t>
      </w:r>
      <w:r w:rsidR="00F53016" w:rsidRPr="00CF186D">
        <w:rPr>
          <w:rStyle w:val="FootnoteReference"/>
          <w:rFonts w:cs="Arial"/>
          <w:snapToGrid w:val="0"/>
          <w:color w:val="000000"/>
          <w:lang w:val="fr-CH"/>
        </w:rPr>
        <w:footnoteReference w:id="3"/>
      </w:r>
      <w:r w:rsidR="00F53016" w:rsidRPr="00CF186D">
        <w:rPr>
          <w:rFonts w:cs="Arial"/>
          <w:snapToGrid w:val="0"/>
          <w:color w:val="000000"/>
          <w:lang w:val="fr-CH"/>
        </w:rPr>
        <w:t xml:space="preserve">, </w:t>
      </w:r>
      <w:r w:rsidR="006C2928" w:rsidRPr="00CF186D">
        <w:rPr>
          <w:rFonts w:cs="Arial"/>
          <w:snapToGrid w:val="0"/>
          <w:color w:val="000000"/>
          <w:lang w:val="fr-CH"/>
        </w:rPr>
        <w:t>d</w:t>
      </w:r>
      <w:r w:rsidR="00930F9A">
        <w:rPr>
          <w:rFonts w:cs="Arial"/>
          <w:snapToGrid w:val="0"/>
          <w:color w:val="000000"/>
          <w:lang w:val="fr-CH"/>
        </w:rPr>
        <w:t>’</w:t>
      </w:r>
      <w:r w:rsidR="006C2928" w:rsidRPr="00CF186D">
        <w:rPr>
          <w:rFonts w:cs="Arial"/>
          <w:snapToGrid w:val="0"/>
          <w:color w:val="000000"/>
          <w:lang w:val="fr-CH"/>
        </w:rPr>
        <w:t xml:space="preserve">organiser </w:t>
      </w:r>
      <w:r w:rsidR="00F53016" w:rsidRPr="00CF186D">
        <w:rPr>
          <w:rFonts w:cs="Arial"/>
          <w:snapToGrid w:val="0"/>
          <w:color w:val="000000"/>
          <w:lang w:val="fr-CH"/>
        </w:rPr>
        <w:t xml:space="preserve">un séminaire </w:t>
      </w:r>
      <w:r w:rsidR="006C49CB">
        <w:rPr>
          <w:rFonts w:cs="Arial"/>
          <w:snapToGrid w:val="0"/>
          <w:color w:val="000000"/>
          <w:lang w:val="fr-CH"/>
        </w:rPr>
        <w:t>durant</w:t>
      </w:r>
      <w:r w:rsidR="00F53016" w:rsidRPr="00CF186D">
        <w:rPr>
          <w:rFonts w:cs="Arial"/>
          <w:snapToGrid w:val="0"/>
          <w:color w:val="000000"/>
          <w:lang w:val="fr-CH"/>
        </w:rPr>
        <w:t xml:space="preserve"> le premier semestre </w:t>
      </w:r>
      <w:r w:rsidR="00930F9A" w:rsidRPr="00CF186D">
        <w:rPr>
          <w:rFonts w:cs="Arial"/>
          <w:snapToGrid w:val="0"/>
          <w:color w:val="000000"/>
          <w:lang w:val="fr-CH"/>
        </w:rPr>
        <w:t>de</w:t>
      </w:r>
      <w:r w:rsidR="00930F9A">
        <w:rPr>
          <w:rFonts w:cs="Arial"/>
          <w:snapToGrid w:val="0"/>
          <w:color w:val="000000"/>
          <w:lang w:val="fr-CH"/>
        </w:rPr>
        <w:t> </w:t>
      </w:r>
      <w:r w:rsidR="00930F9A" w:rsidRPr="00CF186D">
        <w:rPr>
          <w:rFonts w:cs="Arial"/>
          <w:snapToGrid w:val="0"/>
          <w:color w:val="000000"/>
          <w:lang w:val="fr-CH"/>
        </w:rPr>
        <w:t>2021</w:t>
      </w:r>
      <w:r w:rsidR="00F53016" w:rsidRPr="00CF186D">
        <w:rPr>
          <w:rFonts w:cs="Arial"/>
          <w:snapToGrid w:val="0"/>
          <w:color w:val="000000"/>
          <w:lang w:val="fr-CH"/>
        </w:rPr>
        <w:t>, afin d</w:t>
      </w:r>
      <w:r w:rsidR="00930F9A">
        <w:rPr>
          <w:rFonts w:cs="Arial"/>
          <w:snapToGrid w:val="0"/>
          <w:color w:val="000000"/>
          <w:lang w:val="fr-CH"/>
        </w:rPr>
        <w:t>’</w:t>
      </w:r>
      <w:r w:rsidR="00F53016" w:rsidRPr="00CF186D">
        <w:rPr>
          <w:rFonts w:cs="Arial"/>
          <w:snapToGrid w:val="0"/>
          <w:color w:val="000000"/>
          <w:lang w:val="fr-CH"/>
        </w:rPr>
        <w:t>échanger des informations sur les questions relatives au produit de la récolte et à l</w:t>
      </w:r>
      <w:r w:rsidR="00930F9A">
        <w:rPr>
          <w:rFonts w:cs="Arial"/>
          <w:snapToGrid w:val="0"/>
          <w:color w:val="000000"/>
          <w:lang w:val="fr-CH"/>
        </w:rPr>
        <w:t>’</w:t>
      </w:r>
      <w:r w:rsidR="00F53016" w:rsidRPr="00CF186D">
        <w:rPr>
          <w:rFonts w:cs="Arial"/>
          <w:snapToGrid w:val="0"/>
          <w:color w:val="000000"/>
          <w:lang w:val="fr-CH"/>
        </w:rPr>
        <w:t xml:space="preserve">utilisation non autorisée de matériel de reproduction ou de multiplication (voir le </w:t>
      </w:r>
      <w:r w:rsidR="00930F9A" w:rsidRPr="00CF186D">
        <w:rPr>
          <w:rFonts w:cs="Arial"/>
          <w:snapToGrid w:val="0"/>
          <w:color w:val="000000"/>
          <w:lang w:val="fr-CH"/>
        </w:rPr>
        <w:t>paragraphe</w:t>
      </w:r>
      <w:r w:rsidR="00930F9A">
        <w:rPr>
          <w:rFonts w:cs="Arial"/>
          <w:snapToGrid w:val="0"/>
          <w:color w:val="000000"/>
          <w:lang w:val="fr-CH"/>
        </w:rPr>
        <w:t> </w:t>
      </w:r>
      <w:r w:rsidR="00930F9A" w:rsidRPr="00CF186D">
        <w:rPr>
          <w:rFonts w:cs="Arial"/>
          <w:snapToGrid w:val="0"/>
          <w:color w:val="000000"/>
          <w:lang w:val="fr-CH"/>
        </w:rPr>
        <w:t>5</w:t>
      </w:r>
      <w:r w:rsidR="00F53016" w:rsidRPr="00CF186D">
        <w:rPr>
          <w:rFonts w:cs="Arial"/>
          <w:snapToGrid w:val="0"/>
          <w:color w:val="000000"/>
          <w:lang w:val="fr-CH"/>
        </w:rPr>
        <w:t>4 du document</w:t>
      </w:r>
      <w:r w:rsidR="00A27353">
        <w:rPr>
          <w:rFonts w:cs="Arial"/>
          <w:snapToGrid w:val="0"/>
          <w:color w:val="000000"/>
          <w:lang w:val="fr-CH"/>
        </w:rPr>
        <w:t> </w:t>
      </w:r>
      <w:r w:rsidR="00F53016" w:rsidRPr="00CF186D">
        <w:rPr>
          <w:rFonts w:cs="Arial"/>
          <w:snapToGrid w:val="0"/>
          <w:color w:val="000000"/>
          <w:lang w:val="fr-CH"/>
        </w:rPr>
        <w:t xml:space="preserve">C/54/21 </w:t>
      </w:r>
      <w:r w:rsidR="00930F9A">
        <w:rPr>
          <w:rFonts w:cs="Arial"/>
          <w:snapToGrid w:val="0"/>
          <w:color w:val="000000"/>
          <w:lang w:val="fr-CH"/>
        </w:rPr>
        <w:t>“</w:t>
      </w:r>
      <w:r w:rsidR="00930F9A" w:rsidRPr="00CF186D">
        <w:rPr>
          <w:rFonts w:cs="Arial"/>
          <w:snapToGrid w:val="0"/>
          <w:color w:val="000000"/>
          <w:lang w:val="fr-CH"/>
        </w:rPr>
        <w:t>C</w:t>
      </w:r>
      <w:r w:rsidR="00F53016" w:rsidRPr="00CF186D">
        <w:rPr>
          <w:rFonts w:cs="Arial"/>
          <w:snapToGrid w:val="0"/>
          <w:color w:val="000000"/>
          <w:lang w:val="fr-CH"/>
        </w:rPr>
        <w:t>ompte rend</w:t>
      </w:r>
      <w:r w:rsidR="00930F9A" w:rsidRPr="00CF186D">
        <w:rPr>
          <w:rFonts w:cs="Arial"/>
          <w:snapToGrid w:val="0"/>
          <w:color w:val="000000"/>
          <w:lang w:val="fr-CH"/>
        </w:rPr>
        <w:t>u</w:t>
      </w:r>
      <w:r w:rsidR="00930F9A">
        <w:rPr>
          <w:rFonts w:cs="Arial"/>
          <w:snapToGrid w:val="0"/>
          <w:color w:val="000000"/>
          <w:lang w:val="fr-CH"/>
        </w:rPr>
        <w:t>”</w:t>
      </w:r>
      <w:r w:rsidR="00F53016" w:rsidRPr="00CF186D">
        <w:rPr>
          <w:rFonts w:cs="Arial"/>
          <w:snapToGrid w:val="0"/>
          <w:color w:val="000000"/>
          <w:lang w:val="fr-CH"/>
        </w:rPr>
        <w:t>).</w:t>
      </w:r>
    </w:p>
    <w:p w:rsidR="001431B5" w:rsidRDefault="001431B5" w:rsidP="00752467">
      <w:pPr>
        <w:pStyle w:val="Heading1"/>
      </w:pPr>
    </w:p>
    <w:p w:rsidR="001431B5" w:rsidRDefault="001431B5" w:rsidP="0030147A">
      <w:pPr>
        <w:rPr>
          <w:lang w:val="fr-CH"/>
        </w:rPr>
      </w:pPr>
    </w:p>
    <w:p w:rsidR="001431B5" w:rsidRDefault="006C2928" w:rsidP="002D369F">
      <w:pPr>
        <w:pStyle w:val="Heading2"/>
      </w:pPr>
      <w:bookmarkStart w:id="15" w:name="_Toc74663839"/>
      <w:bookmarkStart w:id="16" w:name="_Toc74663932"/>
      <w:r w:rsidRPr="00CF186D">
        <w:t>Questions qu</w:t>
      </w:r>
      <w:r w:rsidR="00930F9A">
        <w:t>’</w:t>
      </w:r>
      <w:r w:rsidRPr="00CF186D">
        <w:t>il était proposé d</w:t>
      </w:r>
      <w:r w:rsidR="00930F9A">
        <w:t>’</w:t>
      </w:r>
      <w:r w:rsidRPr="00CF186D">
        <w:t xml:space="preserve">aborder lors du </w:t>
      </w:r>
      <w:bookmarkEnd w:id="15"/>
      <w:bookmarkEnd w:id="16"/>
      <w:r w:rsidR="0081126B" w:rsidRPr="0081126B">
        <w:t>Séminaire sur le droit d’obtenteur en relation avec le produit de la récolte</w:t>
      </w:r>
    </w:p>
    <w:p w:rsidR="001431B5" w:rsidRDefault="001431B5" w:rsidP="0030147A">
      <w:pPr>
        <w:keepNext/>
        <w:rPr>
          <w:rFonts w:cs="Arial"/>
          <w:lang w:val="fr-CH"/>
        </w:rPr>
      </w:pPr>
    </w:p>
    <w:p w:rsidR="001431B5" w:rsidRPr="001806BF" w:rsidRDefault="0030147A" w:rsidP="006C2928">
      <w:pPr>
        <w:keepNext/>
        <w:keepLines/>
        <w:rPr>
          <w:rFonts w:cs="Arial"/>
          <w:spacing w:val="-2"/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6C2928" w:rsidRPr="001806BF">
        <w:rPr>
          <w:lang w:val="fr-CH"/>
        </w:rPr>
        <w:t xml:space="preserve">Conformément à la procédure convenue pour étudier </w:t>
      </w:r>
      <w:r w:rsidR="001806BF" w:rsidRPr="001806BF">
        <w:rPr>
          <w:lang w:val="fr-CH"/>
        </w:rPr>
        <w:t>l</w:t>
      </w:r>
      <w:r w:rsidR="006C2928" w:rsidRPr="001806BF">
        <w:rPr>
          <w:lang w:val="fr-CH"/>
        </w:rPr>
        <w:t>es utilisations possibles de l</w:t>
      </w:r>
      <w:r w:rsidR="00930F9A" w:rsidRPr="001806BF">
        <w:rPr>
          <w:lang w:val="fr-CH"/>
        </w:rPr>
        <w:t>’</w:t>
      </w:r>
      <w:r w:rsidR="006C2928" w:rsidRPr="001806BF">
        <w:rPr>
          <w:lang w:val="fr-CH"/>
        </w:rPr>
        <w:t>expression “utilisation non autorisée de matériel de reproduction ou de multiplication”, notamment en rapport avec les arbres, à l</w:t>
      </w:r>
      <w:r w:rsidR="00930F9A" w:rsidRPr="001806BF">
        <w:rPr>
          <w:lang w:val="fr-CH"/>
        </w:rPr>
        <w:t>’article 1</w:t>
      </w:r>
      <w:r w:rsidR="006C2928" w:rsidRPr="001806BF">
        <w:rPr>
          <w:lang w:val="fr-CH"/>
        </w:rPr>
        <w:t>4.2) de l</w:t>
      </w:r>
      <w:r w:rsidR="00930F9A" w:rsidRPr="001806BF">
        <w:rPr>
          <w:lang w:val="fr-CH"/>
        </w:rPr>
        <w:t>’</w:t>
      </w:r>
      <w:r w:rsidR="006C2928" w:rsidRPr="001806BF">
        <w:rPr>
          <w:lang w:val="fr-CH"/>
        </w:rPr>
        <w:t xml:space="preserve">Acte </w:t>
      </w:r>
      <w:r w:rsidR="00930F9A" w:rsidRPr="001806BF">
        <w:rPr>
          <w:lang w:val="fr-CH"/>
        </w:rPr>
        <w:t>de 1991</w:t>
      </w:r>
      <w:r w:rsidR="006C2928" w:rsidRPr="001806BF">
        <w:rPr>
          <w:lang w:val="fr-CH"/>
        </w:rPr>
        <w:t xml:space="preserve"> de la </w:t>
      </w:r>
      <w:r w:rsidR="00930F9A" w:rsidRPr="001806BF">
        <w:rPr>
          <w:lang w:val="fr-CH"/>
        </w:rPr>
        <w:t>Convention UPOV</w:t>
      </w:r>
      <w:r w:rsidR="006C2928" w:rsidRPr="001806BF">
        <w:rPr>
          <w:lang w:val="fr-CH"/>
        </w:rPr>
        <w:t>, en vue de présenter une proposition pour examen par</w:t>
      </w:r>
      <w:r w:rsidR="00930F9A" w:rsidRPr="001806BF">
        <w:rPr>
          <w:lang w:val="fr-CH"/>
        </w:rPr>
        <w:t xml:space="preserve"> le CAJ</w:t>
      </w:r>
      <w:r w:rsidR="006C2928" w:rsidRPr="001806BF">
        <w:rPr>
          <w:lang w:val="fr-CH"/>
        </w:rPr>
        <w:t xml:space="preserve"> à sa soixante</w:t>
      </w:r>
      <w:r w:rsidR="00930F9A" w:rsidRPr="001806BF">
        <w:rPr>
          <w:lang w:val="fr-CH"/>
        </w:rPr>
        <w:t>-</w:t>
      </w:r>
      <w:r w:rsidR="006C2928" w:rsidRPr="001806BF">
        <w:rPr>
          <w:lang w:val="fr-CH"/>
        </w:rPr>
        <w:t>dix</w:t>
      </w:r>
      <w:r w:rsidR="00930F9A" w:rsidRPr="001806BF">
        <w:rPr>
          <w:lang w:val="fr-CH"/>
        </w:rPr>
        <w:t>-</w:t>
      </w:r>
      <w:r w:rsidR="006C2928" w:rsidRPr="001806BF">
        <w:rPr>
          <w:lang w:val="fr-CH"/>
        </w:rPr>
        <w:t>huit</w:t>
      </w:r>
      <w:r w:rsidR="00930F9A" w:rsidRPr="001806BF">
        <w:rPr>
          <w:lang w:val="fr-CH"/>
        </w:rPr>
        <w:t>ième session</w:t>
      </w:r>
      <w:r w:rsidR="006C2928" w:rsidRPr="001806BF">
        <w:rPr>
          <w:lang w:val="fr-CH"/>
        </w:rPr>
        <w:t xml:space="preserve">, un séminaire a été organisé au premier semestre </w:t>
      </w:r>
      <w:r w:rsidR="00930F9A" w:rsidRPr="001806BF">
        <w:rPr>
          <w:lang w:val="fr-CH"/>
        </w:rPr>
        <w:t>de 2021</w:t>
      </w:r>
      <w:r w:rsidR="006C2928" w:rsidRPr="001806BF">
        <w:rPr>
          <w:lang w:val="fr-CH"/>
        </w:rPr>
        <w:t>, afin d</w:t>
      </w:r>
      <w:r w:rsidR="00930F9A" w:rsidRPr="001806BF">
        <w:rPr>
          <w:lang w:val="fr-CH"/>
        </w:rPr>
        <w:t>’</w:t>
      </w:r>
      <w:r w:rsidR="006C2928" w:rsidRPr="001806BF">
        <w:rPr>
          <w:lang w:val="fr-CH"/>
        </w:rPr>
        <w:t>échanger des informations sur les questions relatives au produit de la récolte et à l</w:t>
      </w:r>
      <w:r w:rsidR="00930F9A" w:rsidRPr="001806BF">
        <w:rPr>
          <w:lang w:val="fr-CH"/>
        </w:rPr>
        <w:t>’</w:t>
      </w:r>
      <w:r w:rsidR="006C2928" w:rsidRPr="001806BF">
        <w:rPr>
          <w:lang w:val="fr-CH"/>
        </w:rPr>
        <w:t xml:space="preserve">utilisation non autorisée de matériel de reproduction ou de multiplication (voir </w:t>
      </w:r>
      <w:r w:rsidR="00930F9A" w:rsidRPr="001806BF">
        <w:rPr>
          <w:lang w:val="fr-CH"/>
        </w:rPr>
        <w:t>“R</w:t>
      </w:r>
      <w:r w:rsidR="006C2928" w:rsidRPr="001806BF">
        <w:rPr>
          <w:lang w:val="fr-CH"/>
        </w:rPr>
        <w:t>appe</w:t>
      </w:r>
      <w:r w:rsidR="00930F9A" w:rsidRPr="001806BF">
        <w:rPr>
          <w:lang w:val="fr-CH"/>
        </w:rPr>
        <w:t>l”</w:t>
      </w:r>
      <w:r w:rsidR="006C2928" w:rsidRPr="001806BF">
        <w:rPr>
          <w:lang w:val="fr-CH"/>
        </w:rPr>
        <w:t xml:space="preserve"> ci</w:t>
      </w:r>
      <w:r w:rsidR="00930F9A" w:rsidRPr="001806BF">
        <w:rPr>
          <w:lang w:val="fr-CH"/>
        </w:rPr>
        <w:t>-</w:t>
      </w:r>
      <w:r w:rsidR="006C2928" w:rsidRPr="001806BF">
        <w:rPr>
          <w:lang w:val="fr-CH"/>
        </w:rPr>
        <w:t>dessus).</w:t>
      </w:r>
    </w:p>
    <w:p w:rsidR="001431B5" w:rsidRPr="001806BF" w:rsidRDefault="001431B5" w:rsidP="0030147A">
      <w:pPr>
        <w:keepNext/>
        <w:rPr>
          <w:rFonts w:cs="Arial"/>
          <w:lang w:val="fr-CH"/>
        </w:rPr>
      </w:pPr>
    </w:p>
    <w:p w:rsidR="00930F9A" w:rsidRDefault="0030147A" w:rsidP="006C2928">
      <w:pPr>
        <w:keepLines/>
        <w:rPr>
          <w:rFonts w:cs="Arial"/>
          <w:spacing w:val="-4"/>
          <w:lang w:val="fr-CH"/>
        </w:rPr>
      </w:pPr>
      <w:r w:rsidRPr="00CF186D">
        <w:rPr>
          <w:rFonts w:cs="Arial"/>
          <w:spacing w:val="-4"/>
          <w:lang w:val="fr-CH"/>
        </w:rPr>
        <w:fldChar w:fldCharType="begin"/>
      </w:r>
      <w:r w:rsidRPr="00CF186D">
        <w:rPr>
          <w:rFonts w:cs="Arial"/>
          <w:spacing w:val="-4"/>
          <w:lang w:val="fr-CH"/>
        </w:rPr>
        <w:instrText xml:space="preserve"> AUTONUM  </w:instrText>
      </w:r>
      <w:r w:rsidRPr="00CF186D">
        <w:rPr>
          <w:rFonts w:cs="Arial"/>
          <w:spacing w:val="-4"/>
          <w:lang w:val="fr-CH"/>
        </w:rPr>
        <w:fldChar w:fldCharType="end"/>
      </w:r>
      <w:r w:rsidRPr="00CF186D">
        <w:rPr>
          <w:rFonts w:cs="Arial"/>
          <w:spacing w:val="-4"/>
          <w:lang w:val="fr-CH"/>
        </w:rPr>
        <w:tab/>
      </w:r>
      <w:r w:rsidR="006C2928" w:rsidRPr="00CF186D">
        <w:rPr>
          <w:rFonts w:cs="Arial"/>
          <w:color w:val="000000"/>
          <w:spacing w:val="-4"/>
          <w:lang w:val="fr-CH"/>
        </w:rPr>
        <w:t>Le 2</w:t>
      </w:r>
      <w:r w:rsidR="00930F9A" w:rsidRPr="00CF186D">
        <w:rPr>
          <w:rFonts w:cs="Arial"/>
          <w:color w:val="000000"/>
          <w:spacing w:val="-4"/>
          <w:lang w:val="fr-CH"/>
        </w:rPr>
        <w:t>2</w:t>
      </w:r>
      <w:r w:rsidR="00930F9A">
        <w:rPr>
          <w:rFonts w:cs="Arial"/>
          <w:color w:val="000000"/>
          <w:spacing w:val="-4"/>
          <w:lang w:val="fr-CH"/>
        </w:rPr>
        <w:t> </w:t>
      </w:r>
      <w:r w:rsidR="00930F9A" w:rsidRPr="00CF186D">
        <w:rPr>
          <w:rFonts w:cs="Arial"/>
          <w:color w:val="000000"/>
          <w:spacing w:val="-4"/>
          <w:lang w:val="fr-CH"/>
        </w:rPr>
        <w:t>décembre</w:t>
      </w:r>
      <w:r w:rsidR="00930F9A">
        <w:rPr>
          <w:rFonts w:cs="Arial"/>
          <w:color w:val="000000"/>
          <w:spacing w:val="-4"/>
          <w:lang w:val="fr-CH"/>
        </w:rPr>
        <w:t> </w:t>
      </w:r>
      <w:r w:rsidR="00930F9A" w:rsidRPr="00CF186D">
        <w:rPr>
          <w:rFonts w:cs="Arial"/>
          <w:color w:val="000000"/>
          <w:spacing w:val="-4"/>
          <w:lang w:val="fr-CH"/>
        </w:rPr>
        <w:t>20</w:t>
      </w:r>
      <w:r w:rsidR="006C2928" w:rsidRPr="00CF186D">
        <w:rPr>
          <w:rFonts w:cs="Arial"/>
          <w:color w:val="000000"/>
          <w:spacing w:val="-4"/>
          <w:lang w:val="fr-CH"/>
        </w:rPr>
        <w:t>20, le Bureau de l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6C2928" w:rsidRPr="00CF186D">
        <w:rPr>
          <w:rFonts w:cs="Arial"/>
          <w:color w:val="000000"/>
          <w:spacing w:val="-4"/>
          <w:lang w:val="fr-CH"/>
        </w:rPr>
        <w:t>Union a émis la circulaire</w:t>
      </w:r>
      <w:r w:rsidR="00A27353">
        <w:rPr>
          <w:rFonts w:cs="Arial"/>
          <w:color w:val="000000"/>
          <w:spacing w:val="-4"/>
          <w:lang w:val="fr-CH"/>
        </w:rPr>
        <w:t> </w:t>
      </w:r>
      <w:r w:rsidR="006C2928" w:rsidRPr="00CF186D">
        <w:rPr>
          <w:rFonts w:cs="Arial"/>
          <w:color w:val="000000"/>
          <w:spacing w:val="-4"/>
          <w:lang w:val="fr-CH"/>
        </w:rPr>
        <w:t>E</w:t>
      </w:r>
      <w:r w:rsidR="00930F9A">
        <w:rPr>
          <w:rFonts w:cs="Arial"/>
          <w:color w:val="000000"/>
          <w:spacing w:val="-4"/>
          <w:lang w:val="fr-CH"/>
        </w:rPr>
        <w:t>-</w:t>
      </w:r>
      <w:r w:rsidR="006C2928" w:rsidRPr="00CF186D">
        <w:rPr>
          <w:rFonts w:cs="Arial"/>
          <w:color w:val="000000"/>
          <w:spacing w:val="-4"/>
          <w:lang w:val="fr-CH"/>
        </w:rPr>
        <w:t xml:space="preserve">20/245 </w:t>
      </w:r>
      <w:r w:rsidR="006C49CB">
        <w:rPr>
          <w:rFonts w:cs="Arial"/>
          <w:color w:val="000000"/>
          <w:spacing w:val="-4"/>
          <w:lang w:val="fr-CH"/>
        </w:rPr>
        <w:t xml:space="preserve">de l’UPOV </w:t>
      </w:r>
      <w:r w:rsidR="006C2928" w:rsidRPr="00CF186D">
        <w:rPr>
          <w:rFonts w:cs="Arial"/>
          <w:color w:val="000000"/>
          <w:spacing w:val="-4"/>
          <w:lang w:val="fr-CH"/>
        </w:rPr>
        <w:t>à l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6C2928" w:rsidRPr="00CF186D">
        <w:rPr>
          <w:rFonts w:cs="Arial"/>
          <w:color w:val="000000"/>
          <w:spacing w:val="-4"/>
          <w:lang w:val="fr-CH"/>
        </w:rPr>
        <w:t>intention des personnes désignées parmi les membres et les observateurs auprès</w:t>
      </w:r>
      <w:r w:rsidR="00930F9A" w:rsidRPr="00CF186D">
        <w:rPr>
          <w:rFonts w:cs="Arial"/>
          <w:color w:val="000000"/>
          <w:spacing w:val="-4"/>
          <w:lang w:val="fr-CH"/>
        </w:rPr>
        <w:t xml:space="preserve"> du</w:t>
      </w:r>
      <w:r w:rsidR="00930F9A">
        <w:rPr>
          <w:rFonts w:cs="Arial"/>
          <w:color w:val="000000"/>
          <w:spacing w:val="-4"/>
          <w:lang w:val="fr-CH"/>
        </w:rPr>
        <w:t> </w:t>
      </w:r>
      <w:r w:rsidR="00930F9A" w:rsidRPr="00CF186D">
        <w:rPr>
          <w:rFonts w:cs="Arial"/>
          <w:color w:val="000000"/>
          <w:spacing w:val="-4"/>
          <w:lang w:val="fr-CH"/>
        </w:rPr>
        <w:t>CAJ</w:t>
      </w:r>
      <w:r w:rsidR="006C2928" w:rsidRPr="00CF186D">
        <w:rPr>
          <w:rFonts w:cs="Arial"/>
          <w:color w:val="000000"/>
          <w:spacing w:val="-4"/>
          <w:lang w:val="fr-CH"/>
        </w:rPr>
        <w:t xml:space="preserve">, afin de les inviter à </w:t>
      </w:r>
      <w:r w:rsidR="002D369F">
        <w:rPr>
          <w:rFonts w:cs="Arial"/>
          <w:color w:val="000000"/>
          <w:spacing w:val="-4"/>
          <w:lang w:val="fr-CH"/>
        </w:rPr>
        <w:t xml:space="preserve">proposer des </w:t>
      </w:r>
      <w:r w:rsidR="006C2928" w:rsidRPr="00CF186D">
        <w:rPr>
          <w:rFonts w:cs="Arial"/>
          <w:color w:val="000000"/>
          <w:spacing w:val="-4"/>
          <w:lang w:val="fr-CH"/>
        </w:rPr>
        <w:t xml:space="preserve">informations sur </w:t>
      </w:r>
      <w:r w:rsidR="002D369F">
        <w:rPr>
          <w:rFonts w:cs="Arial"/>
          <w:color w:val="000000"/>
          <w:spacing w:val="-4"/>
          <w:lang w:val="fr-CH"/>
        </w:rPr>
        <w:t>d</w:t>
      </w:r>
      <w:r w:rsidR="006C2928" w:rsidRPr="00CF186D">
        <w:rPr>
          <w:rFonts w:cs="Arial"/>
          <w:color w:val="000000"/>
          <w:spacing w:val="-4"/>
          <w:lang w:val="fr-CH"/>
        </w:rPr>
        <w:t>es questions relatives au produit de la récolte et à l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6C2928" w:rsidRPr="00CF186D">
        <w:rPr>
          <w:rFonts w:cs="Arial"/>
          <w:color w:val="000000"/>
          <w:spacing w:val="-4"/>
          <w:lang w:val="fr-CH"/>
        </w:rPr>
        <w:t>utilisation non autorisée de matériel de reproduction ou de multiplication</w:t>
      </w:r>
      <w:r w:rsidR="001806BF">
        <w:rPr>
          <w:rFonts w:cs="Arial"/>
          <w:color w:val="000000"/>
          <w:spacing w:val="-4"/>
          <w:lang w:val="fr-CH"/>
        </w:rPr>
        <w:t>,</w:t>
      </w:r>
      <w:r w:rsidR="006C2928" w:rsidRPr="00CF186D">
        <w:rPr>
          <w:rFonts w:cs="Arial"/>
          <w:color w:val="000000"/>
          <w:spacing w:val="-4"/>
          <w:lang w:val="fr-CH"/>
        </w:rPr>
        <w:t xml:space="preserve"> qui pourraient être présentées durant le séminaire.</w:t>
      </w:r>
    </w:p>
    <w:p w:rsidR="001431B5" w:rsidRDefault="001431B5" w:rsidP="0030147A">
      <w:pPr>
        <w:rPr>
          <w:rFonts w:cs="Arial"/>
          <w:spacing w:val="-2"/>
          <w:lang w:val="fr-CH"/>
        </w:rPr>
      </w:pPr>
    </w:p>
    <w:p w:rsidR="001431B5" w:rsidRPr="002D369F" w:rsidRDefault="0030147A" w:rsidP="00E70F71">
      <w:pPr>
        <w:keepLines/>
        <w:rPr>
          <w:rFonts w:cs="Arial"/>
          <w:spacing w:val="-4"/>
          <w:lang w:val="fr-CH"/>
        </w:rPr>
      </w:pPr>
      <w:r w:rsidRPr="00CF186D">
        <w:rPr>
          <w:rFonts w:cs="Arial"/>
          <w:spacing w:val="-4"/>
          <w:lang w:val="fr-CH"/>
        </w:rPr>
        <w:fldChar w:fldCharType="begin"/>
      </w:r>
      <w:r w:rsidRPr="00CF186D">
        <w:rPr>
          <w:rFonts w:cs="Arial"/>
          <w:spacing w:val="-4"/>
          <w:lang w:val="fr-CH"/>
        </w:rPr>
        <w:instrText xml:space="preserve"> AUTONUM  </w:instrText>
      </w:r>
      <w:r w:rsidRPr="00CF186D">
        <w:rPr>
          <w:rFonts w:cs="Arial"/>
          <w:spacing w:val="-4"/>
          <w:lang w:val="fr-CH"/>
        </w:rPr>
        <w:fldChar w:fldCharType="end"/>
      </w:r>
      <w:r w:rsidRPr="00CF186D">
        <w:rPr>
          <w:rFonts w:cs="Arial"/>
          <w:spacing w:val="-4"/>
          <w:lang w:val="fr-CH"/>
        </w:rPr>
        <w:tab/>
      </w:r>
      <w:r w:rsidR="00E70F71" w:rsidRPr="00CF186D">
        <w:rPr>
          <w:rFonts w:cs="Arial"/>
          <w:color w:val="000000"/>
          <w:spacing w:val="-4"/>
          <w:lang w:val="fr-CH"/>
        </w:rPr>
        <w:t>En réponse à la circulaire</w:t>
      </w:r>
      <w:r w:rsidR="00A27353">
        <w:rPr>
          <w:rFonts w:cs="Arial"/>
          <w:color w:val="000000"/>
          <w:spacing w:val="-4"/>
          <w:lang w:val="fr-CH"/>
        </w:rPr>
        <w:t> </w:t>
      </w:r>
      <w:r w:rsidR="00E70F71" w:rsidRPr="00CF186D">
        <w:rPr>
          <w:rFonts w:cs="Arial"/>
          <w:color w:val="000000"/>
          <w:spacing w:val="-4"/>
          <w:lang w:val="fr-CH"/>
        </w:rPr>
        <w:t>E</w:t>
      </w:r>
      <w:r w:rsidR="00930F9A">
        <w:rPr>
          <w:rFonts w:cs="Arial"/>
          <w:color w:val="000000"/>
          <w:spacing w:val="-4"/>
          <w:lang w:val="fr-CH"/>
        </w:rPr>
        <w:t>-</w:t>
      </w:r>
      <w:r w:rsidR="00E70F71" w:rsidRPr="00CF186D">
        <w:rPr>
          <w:rFonts w:cs="Arial"/>
          <w:color w:val="000000"/>
          <w:spacing w:val="-4"/>
          <w:lang w:val="fr-CH"/>
        </w:rPr>
        <w:t>20/245 de l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E70F71" w:rsidRPr="00CF186D">
        <w:rPr>
          <w:rFonts w:cs="Arial"/>
          <w:color w:val="000000"/>
          <w:spacing w:val="-4"/>
          <w:lang w:val="fr-CH"/>
        </w:rPr>
        <w:t>UPOV, les membres et observateurs ci</w:t>
      </w:r>
      <w:r w:rsidR="00930F9A">
        <w:rPr>
          <w:rFonts w:cs="Arial"/>
          <w:color w:val="000000"/>
          <w:spacing w:val="-4"/>
          <w:lang w:val="fr-CH"/>
        </w:rPr>
        <w:t>-</w:t>
      </w:r>
      <w:r w:rsidR="00E70F71" w:rsidRPr="00CF186D">
        <w:rPr>
          <w:rFonts w:cs="Arial"/>
          <w:color w:val="000000"/>
          <w:spacing w:val="-4"/>
          <w:lang w:val="fr-CH"/>
        </w:rPr>
        <w:t>après ont fourni des informations ou des questions qu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E70F71" w:rsidRPr="00CF186D">
        <w:rPr>
          <w:rFonts w:cs="Arial"/>
          <w:color w:val="000000"/>
          <w:spacing w:val="-4"/>
          <w:lang w:val="fr-CH"/>
        </w:rPr>
        <w:t>ils propos</w:t>
      </w:r>
      <w:r w:rsidR="002D369F">
        <w:rPr>
          <w:rFonts w:cs="Arial"/>
          <w:color w:val="000000"/>
          <w:spacing w:val="-4"/>
          <w:lang w:val="fr-CH"/>
        </w:rPr>
        <w:t>ai</w:t>
      </w:r>
      <w:r w:rsidR="00E70F71" w:rsidRPr="00CF186D">
        <w:rPr>
          <w:rFonts w:cs="Arial"/>
          <w:color w:val="000000"/>
          <w:spacing w:val="-4"/>
          <w:lang w:val="fr-CH"/>
        </w:rPr>
        <w:t>ent d</w:t>
      </w:r>
      <w:r w:rsidR="00930F9A">
        <w:rPr>
          <w:rFonts w:cs="Arial"/>
          <w:color w:val="000000"/>
          <w:spacing w:val="-4"/>
          <w:lang w:val="fr-CH"/>
        </w:rPr>
        <w:t>’</w:t>
      </w:r>
      <w:r w:rsidR="00E70F71" w:rsidRPr="00CF186D">
        <w:rPr>
          <w:rFonts w:cs="Arial"/>
          <w:color w:val="000000"/>
          <w:spacing w:val="-4"/>
          <w:lang w:val="fr-CH"/>
        </w:rPr>
        <w:t xml:space="preserve">aborder lors du </w:t>
      </w:r>
      <w:r w:rsidR="00930F9A">
        <w:rPr>
          <w:rFonts w:cs="Arial"/>
          <w:color w:val="000000"/>
          <w:spacing w:val="-4"/>
          <w:lang w:val="fr-CH"/>
        </w:rPr>
        <w:t>“</w:t>
      </w:r>
      <w:r w:rsidR="00BA6845" w:rsidRPr="00BA6845">
        <w:t xml:space="preserve"> </w:t>
      </w:r>
      <w:r w:rsidR="00BA6845" w:rsidRPr="00BA6845">
        <w:rPr>
          <w:rFonts w:cs="Arial"/>
          <w:color w:val="000000"/>
          <w:spacing w:val="-4"/>
          <w:lang w:val="fr-CH"/>
        </w:rPr>
        <w:t>Séminaire sur le droit d’obtenteur en relation avec le produit de la récolte</w:t>
      </w:r>
      <w:r w:rsidR="00930F9A">
        <w:rPr>
          <w:rFonts w:cs="Arial"/>
          <w:color w:val="000000"/>
          <w:spacing w:val="-4"/>
          <w:lang w:val="fr-CH"/>
        </w:rPr>
        <w:t>”</w:t>
      </w:r>
      <w:r w:rsidR="00E70F71" w:rsidRPr="00CF186D">
        <w:rPr>
          <w:rFonts w:cs="Arial"/>
          <w:color w:val="000000"/>
          <w:spacing w:val="-4"/>
          <w:lang w:val="fr-CH"/>
        </w:rPr>
        <w:t xml:space="preserve"> et proposé des </w:t>
      </w:r>
      <w:r w:rsidR="00E70F71" w:rsidRPr="002D369F">
        <w:rPr>
          <w:rFonts w:cs="Arial"/>
          <w:spacing w:val="-4"/>
          <w:lang w:val="fr-CH"/>
        </w:rPr>
        <w:t>intervenants pour traiter ces questions</w:t>
      </w:r>
      <w:r w:rsidR="00930F9A" w:rsidRPr="002D369F">
        <w:rPr>
          <w:rFonts w:cs="Arial"/>
          <w:spacing w:val="-4"/>
          <w:lang w:val="fr-CH"/>
        </w:rPr>
        <w:t> :</w:t>
      </w:r>
      <w:r w:rsidR="00E70F71" w:rsidRPr="002D369F">
        <w:rPr>
          <w:rFonts w:cs="Arial"/>
          <w:spacing w:val="-4"/>
          <w:lang w:val="fr-CH"/>
        </w:rPr>
        <w:t xml:space="preserve"> Chine, Pays</w:t>
      </w:r>
      <w:r w:rsidR="00930F9A" w:rsidRPr="002D369F">
        <w:rPr>
          <w:rFonts w:cs="Arial"/>
          <w:spacing w:val="-4"/>
          <w:lang w:val="fr-CH"/>
        </w:rPr>
        <w:t>-</w:t>
      </w:r>
      <w:r w:rsidR="00BA6845">
        <w:rPr>
          <w:rFonts w:cs="Arial"/>
          <w:spacing w:val="-4"/>
          <w:lang w:val="fr-CH"/>
        </w:rPr>
        <w:t>Bas, Union </w:t>
      </w:r>
      <w:r w:rsidR="00E70F71" w:rsidRPr="002D369F">
        <w:rPr>
          <w:rFonts w:cs="Arial"/>
          <w:spacing w:val="-4"/>
          <w:lang w:val="fr-CH"/>
        </w:rPr>
        <w:t>européenne, Association internationale des producteurs de l</w:t>
      </w:r>
      <w:r w:rsidR="00930F9A" w:rsidRPr="002D369F">
        <w:rPr>
          <w:rFonts w:cs="Arial"/>
          <w:spacing w:val="-4"/>
          <w:lang w:val="fr-CH"/>
        </w:rPr>
        <w:t>’</w:t>
      </w:r>
      <w:r w:rsidR="00E70F71" w:rsidRPr="002D369F">
        <w:rPr>
          <w:rFonts w:cs="Arial"/>
          <w:spacing w:val="-4"/>
          <w:lang w:val="fr-CH"/>
        </w:rPr>
        <w:t>horticulture (AIPH) et une contribution conjointe de l</w:t>
      </w:r>
      <w:r w:rsidR="00930F9A" w:rsidRPr="002D369F">
        <w:rPr>
          <w:rFonts w:cs="Arial"/>
          <w:spacing w:val="-4"/>
          <w:lang w:val="fr-CH"/>
        </w:rPr>
        <w:t>’</w:t>
      </w:r>
      <w:r w:rsidR="00E70F71" w:rsidRPr="00BA6845">
        <w:rPr>
          <w:rFonts w:cs="Arial"/>
          <w:i/>
          <w:spacing w:val="-4"/>
          <w:lang w:val="fr-CH"/>
        </w:rPr>
        <w:t xml:space="preserve">International </w:t>
      </w:r>
      <w:proofErr w:type="spellStart"/>
      <w:r w:rsidR="00E70F71" w:rsidRPr="00BA6845">
        <w:rPr>
          <w:rFonts w:cs="Arial"/>
          <w:i/>
          <w:spacing w:val="-4"/>
          <w:lang w:val="fr-CH"/>
        </w:rPr>
        <w:t>Seed</w:t>
      </w:r>
      <w:proofErr w:type="spellEnd"/>
      <w:r w:rsidR="00E70F71" w:rsidRPr="00BA6845">
        <w:rPr>
          <w:rFonts w:cs="Arial"/>
          <w:i/>
          <w:spacing w:val="-4"/>
          <w:lang w:val="fr-CH"/>
        </w:rPr>
        <w:t xml:space="preserve"> </w:t>
      </w:r>
      <w:proofErr w:type="spellStart"/>
      <w:r w:rsidR="00E70F71" w:rsidRPr="00BA6845">
        <w:rPr>
          <w:rFonts w:cs="Arial"/>
          <w:i/>
          <w:spacing w:val="-4"/>
          <w:lang w:val="fr-CH"/>
        </w:rPr>
        <w:t>Federation</w:t>
      </w:r>
      <w:proofErr w:type="spellEnd"/>
      <w:r w:rsidR="00E70F71" w:rsidRPr="002D369F">
        <w:rPr>
          <w:rFonts w:cs="Arial"/>
          <w:spacing w:val="-4"/>
          <w:lang w:val="fr-CH"/>
        </w:rPr>
        <w:t xml:space="preserve"> (ISF), de la Communauté internationale des obtenteurs de plantes horticoles de reproduction asexuée (CIOPORA), de </w:t>
      </w:r>
      <w:proofErr w:type="spellStart"/>
      <w:r w:rsidR="00E70F71" w:rsidRPr="00BA6845">
        <w:rPr>
          <w:rFonts w:cs="Arial"/>
          <w:i/>
          <w:spacing w:val="-4"/>
          <w:lang w:val="fr-CH"/>
        </w:rPr>
        <w:t>Crop</w:t>
      </w:r>
      <w:proofErr w:type="spellEnd"/>
      <w:r w:rsidR="00E70F71" w:rsidRPr="00BA6845">
        <w:rPr>
          <w:rFonts w:cs="Arial"/>
          <w:i/>
          <w:spacing w:val="-4"/>
          <w:lang w:val="fr-CH"/>
        </w:rPr>
        <w:t xml:space="preserve"> Life International</w:t>
      </w:r>
      <w:r w:rsidR="00E70F71" w:rsidRPr="002D369F">
        <w:rPr>
          <w:rFonts w:cs="Arial"/>
          <w:spacing w:val="-4"/>
          <w:lang w:val="fr-CH"/>
        </w:rPr>
        <w:t>, d</w:t>
      </w:r>
      <w:r w:rsidR="00930F9A" w:rsidRPr="002D369F">
        <w:rPr>
          <w:rFonts w:cs="Arial"/>
          <w:spacing w:val="-4"/>
          <w:lang w:val="fr-CH"/>
        </w:rPr>
        <w:t>’</w:t>
      </w:r>
      <w:proofErr w:type="spellStart"/>
      <w:r w:rsidR="00E70F71" w:rsidRPr="002D369F">
        <w:rPr>
          <w:rFonts w:cs="Arial"/>
          <w:spacing w:val="-4"/>
          <w:lang w:val="fr-CH"/>
        </w:rPr>
        <w:t>Euroseeds</w:t>
      </w:r>
      <w:proofErr w:type="spellEnd"/>
      <w:r w:rsidR="00E70F71" w:rsidRPr="002D369F">
        <w:rPr>
          <w:rFonts w:cs="Arial"/>
          <w:spacing w:val="-4"/>
          <w:lang w:val="fr-CH"/>
        </w:rPr>
        <w:t>, de l</w:t>
      </w:r>
      <w:r w:rsidR="00930F9A" w:rsidRPr="002D369F">
        <w:rPr>
          <w:rFonts w:cs="Arial"/>
          <w:spacing w:val="-4"/>
          <w:lang w:val="fr-CH"/>
        </w:rPr>
        <w:t>’</w:t>
      </w:r>
      <w:r w:rsidR="00E70F71" w:rsidRPr="002D369F">
        <w:rPr>
          <w:rFonts w:cs="Arial"/>
          <w:spacing w:val="-4"/>
          <w:lang w:val="fr-CH"/>
        </w:rPr>
        <w:t xml:space="preserve">Association </w:t>
      </w:r>
      <w:r w:rsidR="00BA6845" w:rsidRPr="00BA6845">
        <w:rPr>
          <w:rFonts w:cs="Arial"/>
          <w:spacing w:val="-4"/>
          <w:lang w:val="fr-CH"/>
        </w:rPr>
        <w:t>Asie</w:t>
      </w:r>
      <w:r w:rsidR="00BA6845" w:rsidRPr="00BA6845">
        <w:rPr>
          <w:rFonts w:ascii="Cambria Math" w:hAnsi="Cambria Math" w:cs="Cambria Math"/>
          <w:spacing w:val="-4"/>
          <w:lang w:val="fr-CH"/>
        </w:rPr>
        <w:t>‑</w:t>
      </w:r>
      <w:r w:rsidR="00BA6845" w:rsidRPr="00BA6845">
        <w:rPr>
          <w:rFonts w:cs="Arial"/>
          <w:spacing w:val="-4"/>
          <w:lang w:val="fr-CH"/>
        </w:rPr>
        <w:t xml:space="preserve">Pacifique pour les semences </w:t>
      </w:r>
      <w:r w:rsidR="00E70F71" w:rsidRPr="002D369F">
        <w:rPr>
          <w:rFonts w:cs="Arial"/>
          <w:spacing w:val="-4"/>
          <w:lang w:val="fr-CH"/>
        </w:rPr>
        <w:t>(APSA), de l</w:t>
      </w:r>
      <w:r w:rsidR="00930F9A" w:rsidRPr="002D369F">
        <w:rPr>
          <w:rFonts w:cs="Arial"/>
          <w:spacing w:val="-4"/>
          <w:lang w:val="fr-CH"/>
        </w:rPr>
        <w:t>’</w:t>
      </w:r>
      <w:r w:rsidR="00E70F71" w:rsidRPr="002D369F">
        <w:rPr>
          <w:rFonts w:cs="Arial"/>
          <w:spacing w:val="-4"/>
          <w:lang w:val="fr-CH"/>
        </w:rPr>
        <w:t xml:space="preserve">Association africaine du commerce des semences (AFSTA) et de </w:t>
      </w:r>
      <w:r w:rsidR="00E70F71" w:rsidRPr="00BA6845">
        <w:rPr>
          <w:rFonts w:cs="Arial"/>
          <w:spacing w:val="-4"/>
          <w:lang w:val="fr-CH"/>
        </w:rPr>
        <w:t xml:space="preserve">la </w:t>
      </w:r>
      <w:proofErr w:type="spellStart"/>
      <w:r w:rsidR="00E70F71" w:rsidRPr="00BA6845">
        <w:rPr>
          <w:rFonts w:cs="Arial"/>
          <w:i/>
          <w:spacing w:val="-4"/>
          <w:lang w:val="fr-CH"/>
        </w:rPr>
        <w:t>Seed</w:t>
      </w:r>
      <w:proofErr w:type="spellEnd"/>
      <w:r w:rsidR="00E70F71" w:rsidRPr="00BA6845">
        <w:rPr>
          <w:rFonts w:cs="Arial"/>
          <w:i/>
          <w:spacing w:val="-4"/>
          <w:lang w:val="fr-CH"/>
        </w:rPr>
        <w:t xml:space="preserve"> Association of the </w:t>
      </w:r>
      <w:proofErr w:type="spellStart"/>
      <w:r w:rsidR="00E70F71" w:rsidRPr="00BA6845">
        <w:rPr>
          <w:rFonts w:cs="Arial"/>
          <w:i/>
          <w:spacing w:val="-4"/>
          <w:lang w:val="fr-CH"/>
        </w:rPr>
        <w:t>Americas</w:t>
      </w:r>
      <w:proofErr w:type="spellEnd"/>
      <w:r w:rsidR="00E70F71" w:rsidRPr="002D369F">
        <w:rPr>
          <w:rFonts w:cs="Arial"/>
          <w:spacing w:val="-4"/>
          <w:lang w:val="fr-CH"/>
        </w:rPr>
        <w:t xml:space="preserve"> (SAA).</w:t>
      </w:r>
    </w:p>
    <w:p w:rsidR="001431B5" w:rsidRDefault="001431B5" w:rsidP="0030147A">
      <w:pPr>
        <w:rPr>
          <w:lang w:val="fr-CH"/>
        </w:rPr>
      </w:pPr>
    </w:p>
    <w:p w:rsidR="00930F9A" w:rsidRDefault="0030147A" w:rsidP="00E70F71">
      <w:pPr>
        <w:rPr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E70F71" w:rsidRPr="00CF186D">
        <w:rPr>
          <w:color w:val="000000"/>
          <w:lang w:val="fr-CH"/>
        </w:rPr>
        <w:t xml:space="preserve">Les informations reçues des membres et des observateurs, </w:t>
      </w:r>
      <w:r w:rsidR="00930F9A">
        <w:rPr>
          <w:color w:val="000000"/>
          <w:lang w:val="fr-CH"/>
        </w:rPr>
        <w:t>y compris</w:t>
      </w:r>
      <w:r w:rsidR="00E70F71" w:rsidRPr="00CF186D">
        <w:rPr>
          <w:color w:val="000000"/>
          <w:lang w:val="fr-CH"/>
        </w:rPr>
        <w:t xml:space="preserve"> des intervenants propo</w:t>
      </w:r>
      <w:r w:rsidR="006C49CB">
        <w:rPr>
          <w:color w:val="000000"/>
          <w:lang w:val="fr-CH"/>
        </w:rPr>
        <w:t>sés, en réponse à la circulaire </w:t>
      </w:r>
      <w:r w:rsidR="00E70F71" w:rsidRPr="00CF186D">
        <w:rPr>
          <w:color w:val="000000"/>
          <w:lang w:val="fr-CH"/>
        </w:rPr>
        <w:t>E</w:t>
      </w:r>
      <w:r w:rsidR="00930F9A">
        <w:rPr>
          <w:color w:val="000000"/>
          <w:lang w:val="fr-CH"/>
        </w:rPr>
        <w:t>-</w:t>
      </w:r>
      <w:r w:rsidR="00E70F71" w:rsidRPr="00CF186D">
        <w:rPr>
          <w:color w:val="000000"/>
          <w:lang w:val="fr-CH"/>
        </w:rPr>
        <w:t>20/245</w:t>
      </w:r>
      <w:r w:rsidR="006C49CB" w:rsidRPr="006C49CB">
        <w:rPr>
          <w:color w:val="000000"/>
          <w:lang w:val="fr-CH"/>
        </w:rPr>
        <w:t xml:space="preserve"> </w:t>
      </w:r>
      <w:r w:rsidR="006C49CB" w:rsidRPr="00CF186D">
        <w:rPr>
          <w:color w:val="000000"/>
          <w:lang w:val="fr-CH"/>
        </w:rPr>
        <w:t>de l</w:t>
      </w:r>
      <w:r w:rsidR="006C49CB">
        <w:rPr>
          <w:color w:val="000000"/>
          <w:lang w:val="fr-CH"/>
        </w:rPr>
        <w:t>’</w:t>
      </w:r>
      <w:r w:rsidR="006C49CB" w:rsidRPr="00CF186D">
        <w:rPr>
          <w:color w:val="000000"/>
          <w:lang w:val="fr-CH"/>
        </w:rPr>
        <w:t>UPOV</w:t>
      </w:r>
      <w:r w:rsidR="00E70F71" w:rsidRPr="00CF186D">
        <w:rPr>
          <w:color w:val="000000"/>
          <w:lang w:val="fr-CH"/>
        </w:rPr>
        <w:t xml:space="preserve">, ont </w:t>
      </w:r>
      <w:r w:rsidR="002D369F">
        <w:rPr>
          <w:color w:val="000000"/>
          <w:lang w:val="fr-CH"/>
        </w:rPr>
        <w:t>permis</w:t>
      </w:r>
      <w:r w:rsidR="00E70F71" w:rsidRPr="00CF186D">
        <w:rPr>
          <w:color w:val="000000"/>
          <w:lang w:val="fr-CH"/>
        </w:rPr>
        <w:t xml:space="preserve"> l</w:t>
      </w:r>
      <w:r w:rsidR="00930F9A">
        <w:rPr>
          <w:color w:val="000000"/>
          <w:lang w:val="fr-CH"/>
        </w:rPr>
        <w:t>’</w:t>
      </w:r>
      <w:r w:rsidR="00E70F71" w:rsidRPr="00CF186D">
        <w:rPr>
          <w:color w:val="000000"/>
          <w:lang w:val="fr-CH"/>
        </w:rPr>
        <w:t>élaboration du programme du séminaire, en consultation avec M.</w:t>
      </w:r>
      <w:r w:rsidR="000C40B4">
        <w:rPr>
          <w:color w:val="000000"/>
          <w:lang w:val="fr-CH"/>
        </w:rPr>
        <w:t> </w:t>
      </w:r>
      <w:r w:rsidR="00E70F71" w:rsidRPr="00CF186D">
        <w:rPr>
          <w:color w:val="000000"/>
          <w:lang w:val="fr-CH"/>
        </w:rPr>
        <w:t>Patrick</w:t>
      </w:r>
      <w:r w:rsidR="00A27353">
        <w:rPr>
          <w:color w:val="000000"/>
          <w:lang w:val="fr-CH"/>
        </w:rPr>
        <w:t> </w:t>
      </w:r>
      <w:proofErr w:type="spellStart"/>
      <w:r w:rsidR="00E70F71" w:rsidRPr="00CF186D">
        <w:rPr>
          <w:color w:val="000000"/>
          <w:lang w:val="fr-CH"/>
        </w:rPr>
        <w:t>Ngwediagi</w:t>
      </w:r>
      <w:proofErr w:type="spellEnd"/>
      <w:r w:rsidR="00E70F71" w:rsidRPr="00CF186D">
        <w:rPr>
          <w:color w:val="000000"/>
          <w:lang w:val="fr-CH"/>
        </w:rPr>
        <w:t>, président</w:t>
      </w:r>
      <w:r w:rsidR="00930F9A" w:rsidRPr="00CF186D">
        <w:rPr>
          <w:color w:val="000000"/>
          <w:lang w:val="fr-CH"/>
        </w:rPr>
        <w:t xml:space="preserve"> du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CAJ</w:t>
      </w:r>
      <w:r w:rsidR="00E70F71" w:rsidRPr="00CF186D">
        <w:rPr>
          <w:color w:val="000000"/>
          <w:lang w:val="fr-CH"/>
        </w:rPr>
        <w:t>.</w:t>
      </w:r>
    </w:p>
    <w:p w:rsidR="001431B5" w:rsidRPr="00BA6845" w:rsidRDefault="001431B5" w:rsidP="0030147A">
      <w:pPr>
        <w:rPr>
          <w:sz w:val="18"/>
          <w:lang w:val="fr-CH"/>
        </w:rPr>
      </w:pPr>
    </w:p>
    <w:p w:rsidR="001431B5" w:rsidRPr="00BA6845" w:rsidRDefault="001431B5" w:rsidP="0030147A">
      <w:pPr>
        <w:rPr>
          <w:sz w:val="18"/>
          <w:lang w:val="fr-CH"/>
        </w:rPr>
      </w:pPr>
    </w:p>
    <w:p w:rsidR="001431B5" w:rsidRPr="00BA6845" w:rsidRDefault="001431B5" w:rsidP="0030147A">
      <w:pPr>
        <w:rPr>
          <w:sz w:val="18"/>
          <w:lang w:val="fr-CH"/>
        </w:rPr>
      </w:pPr>
    </w:p>
    <w:p w:rsidR="001431B5" w:rsidRPr="003166F6" w:rsidRDefault="000B5739" w:rsidP="00752467">
      <w:pPr>
        <w:pStyle w:val="Heading1"/>
      </w:pPr>
      <w:bookmarkStart w:id="17" w:name="_Toc74663840"/>
      <w:bookmarkStart w:id="18" w:name="_Toc74663933"/>
      <w:r w:rsidRPr="000B5739">
        <w:t>Séminaire sur le droit d’obtenteur en relation avec le produit de la récolte</w:t>
      </w:r>
      <w:bookmarkEnd w:id="17"/>
      <w:bookmarkEnd w:id="18"/>
    </w:p>
    <w:p w:rsidR="001431B5" w:rsidRPr="00BA6845" w:rsidRDefault="001431B5" w:rsidP="0030147A">
      <w:pPr>
        <w:keepNext/>
        <w:rPr>
          <w:rFonts w:cs="Arial"/>
          <w:sz w:val="18"/>
          <w:lang w:val="fr-CH"/>
        </w:rPr>
      </w:pPr>
    </w:p>
    <w:p w:rsidR="00930F9A" w:rsidRDefault="0030147A" w:rsidP="00E70F71">
      <w:pPr>
        <w:keepNext/>
        <w:rPr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E70F71" w:rsidRPr="00CF186D">
        <w:rPr>
          <w:color w:val="000000"/>
          <w:lang w:val="fr-CH"/>
        </w:rPr>
        <w:t xml:space="preserve">Le </w:t>
      </w:r>
      <w:r w:rsidR="00930F9A">
        <w:rPr>
          <w:color w:val="000000"/>
          <w:lang w:val="fr-CH"/>
        </w:rPr>
        <w:t>“</w:t>
      </w:r>
      <w:r w:rsidR="00BA6845" w:rsidRPr="00BA6845">
        <w:rPr>
          <w:color w:val="000000"/>
          <w:lang w:val="fr-CH"/>
        </w:rPr>
        <w:t>Séminaire sur le droit d’obtenteur en relation avec le produit de la récolte</w:t>
      </w:r>
      <w:r w:rsidR="00930F9A">
        <w:rPr>
          <w:color w:val="000000"/>
          <w:lang w:val="fr-CH"/>
        </w:rPr>
        <w:t>”</w:t>
      </w:r>
      <w:r w:rsidR="00E70F71" w:rsidRPr="00CF186D">
        <w:rPr>
          <w:color w:val="000000"/>
          <w:lang w:val="fr-CH"/>
        </w:rPr>
        <w:t xml:space="preserve"> s</w:t>
      </w:r>
      <w:r w:rsidR="00930F9A">
        <w:rPr>
          <w:color w:val="000000"/>
          <w:lang w:val="fr-CH"/>
        </w:rPr>
        <w:t>’</w:t>
      </w:r>
      <w:r w:rsidR="00E70F71" w:rsidRPr="00CF186D">
        <w:rPr>
          <w:color w:val="000000"/>
          <w:lang w:val="fr-CH"/>
        </w:rPr>
        <w:t>est tenu le 2</w:t>
      </w:r>
      <w:r w:rsidR="00930F9A" w:rsidRPr="00CF186D">
        <w:rPr>
          <w:color w:val="000000"/>
          <w:lang w:val="fr-CH"/>
        </w:rPr>
        <w:t>7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mai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20</w:t>
      </w:r>
      <w:r w:rsidR="00E70F71" w:rsidRPr="00CF186D">
        <w:rPr>
          <w:color w:val="000000"/>
          <w:lang w:val="fr-CH"/>
        </w:rPr>
        <w:t>21.</w:t>
      </w:r>
    </w:p>
    <w:p w:rsidR="001431B5" w:rsidRPr="00BA6845" w:rsidRDefault="001431B5" w:rsidP="0030147A">
      <w:pPr>
        <w:keepNext/>
        <w:rPr>
          <w:sz w:val="18"/>
          <w:lang w:val="fr-CH"/>
        </w:rPr>
      </w:pPr>
    </w:p>
    <w:p w:rsidR="001431B5" w:rsidRDefault="0030147A" w:rsidP="00E70F71">
      <w:pPr>
        <w:rPr>
          <w:rStyle w:val="Hyperlink"/>
          <w:rFonts w:cs="Arial"/>
          <w:color w:val="auto"/>
          <w:spacing w:val="-2"/>
          <w:u w:val="none"/>
          <w:lang w:val="fr-CH"/>
        </w:rPr>
      </w:pPr>
      <w:r w:rsidRPr="00CF186D">
        <w:rPr>
          <w:rFonts w:cs="Arial"/>
          <w:spacing w:val="-2"/>
          <w:lang w:val="fr-CH"/>
        </w:rPr>
        <w:fldChar w:fldCharType="begin"/>
      </w:r>
      <w:r w:rsidRPr="00CF186D">
        <w:rPr>
          <w:rFonts w:cs="Arial"/>
          <w:spacing w:val="-2"/>
          <w:lang w:val="fr-CH"/>
        </w:rPr>
        <w:instrText xml:space="preserve"> AUTONUM  </w:instrText>
      </w:r>
      <w:r w:rsidRPr="00CF186D">
        <w:rPr>
          <w:rFonts w:cs="Arial"/>
          <w:spacing w:val="-2"/>
          <w:lang w:val="fr-CH"/>
        </w:rPr>
        <w:fldChar w:fldCharType="end"/>
      </w:r>
      <w:r w:rsidRPr="00CF186D">
        <w:rPr>
          <w:rFonts w:cs="Arial"/>
          <w:spacing w:val="-2"/>
          <w:lang w:val="fr-CH"/>
        </w:rPr>
        <w:tab/>
      </w:r>
      <w:r w:rsidR="00E70F71" w:rsidRPr="00CF186D">
        <w:rPr>
          <w:rFonts w:cs="Arial"/>
          <w:color w:val="000000"/>
          <w:spacing w:val="-2"/>
          <w:lang w:val="fr-CH"/>
        </w:rPr>
        <w:t>Le programme (document</w:t>
      </w:r>
      <w:r w:rsidR="00A27353">
        <w:rPr>
          <w:rFonts w:cs="Arial"/>
          <w:color w:val="000000"/>
          <w:spacing w:val="-2"/>
          <w:lang w:val="fr-CH"/>
        </w:rPr>
        <w:t> </w:t>
      </w:r>
      <w:r w:rsidR="00E70F71" w:rsidRPr="00CF186D">
        <w:rPr>
          <w:rFonts w:cs="Arial"/>
          <w:color w:val="000000"/>
          <w:spacing w:val="-2"/>
          <w:lang w:val="fr-CH"/>
        </w:rPr>
        <w:t>UPOV/SEM/GE/21/1), la liste des participants (document</w:t>
      </w:r>
      <w:r w:rsidR="00A27353">
        <w:rPr>
          <w:rFonts w:cs="Arial"/>
          <w:color w:val="000000"/>
          <w:spacing w:val="-2"/>
          <w:lang w:val="fr-CH"/>
        </w:rPr>
        <w:t> </w:t>
      </w:r>
      <w:r w:rsidR="00E70F71" w:rsidRPr="00CF186D">
        <w:rPr>
          <w:rFonts w:cs="Arial"/>
          <w:color w:val="000000"/>
          <w:spacing w:val="-2"/>
          <w:lang w:val="fr-CH"/>
        </w:rPr>
        <w:t>UPOV/SEM/GE/21/INF/1), les biographies des intervenants, les exposés et les conclusions, ainsi qu</w:t>
      </w:r>
      <w:r w:rsidR="00930F9A">
        <w:rPr>
          <w:rFonts w:cs="Arial"/>
          <w:color w:val="000000"/>
          <w:spacing w:val="-2"/>
          <w:lang w:val="fr-CH"/>
        </w:rPr>
        <w:t>’</w:t>
      </w:r>
      <w:r w:rsidR="00E70F71" w:rsidRPr="00CF186D">
        <w:rPr>
          <w:rFonts w:cs="Arial"/>
          <w:color w:val="000000"/>
          <w:spacing w:val="-2"/>
          <w:lang w:val="fr-CH"/>
        </w:rPr>
        <w:t>une vidéo du séminaire, sont disponibles sur le site</w:t>
      </w:r>
      <w:r w:rsidR="00A27353">
        <w:rPr>
          <w:rFonts w:cs="Arial"/>
          <w:color w:val="000000"/>
          <w:spacing w:val="-2"/>
          <w:lang w:val="fr-CH"/>
        </w:rPr>
        <w:t> </w:t>
      </w:r>
      <w:hyperlink r:id="rId9" w:history="1">
        <w:r w:rsidR="002D369F">
          <w:rPr>
            <w:rStyle w:val="Hyperlink"/>
            <w:rFonts w:cs="Arial"/>
            <w:lang w:val="fr-CH"/>
          </w:rPr>
          <w:t>https://www.upov.int/meetings/fr/details.jsp?meeting_id=63048</w:t>
        </w:r>
      </w:hyperlink>
      <w:r w:rsidR="00E70F71" w:rsidRPr="00CF186D">
        <w:rPr>
          <w:rFonts w:cs="Arial"/>
          <w:color w:val="000000"/>
          <w:spacing w:val="-2"/>
          <w:lang w:val="fr-CH"/>
        </w:rPr>
        <w:t>.</w:t>
      </w:r>
    </w:p>
    <w:p w:rsidR="001431B5" w:rsidRPr="00BA6845" w:rsidRDefault="001431B5" w:rsidP="0030147A">
      <w:pPr>
        <w:rPr>
          <w:rFonts w:cs="Arial"/>
          <w:spacing w:val="-2"/>
          <w:sz w:val="18"/>
          <w:lang w:val="fr-CH"/>
        </w:rPr>
      </w:pPr>
    </w:p>
    <w:bookmarkStart w:id="19" w:name="_Toc14799784"/>
    <w:p w:rsidR="001431B5" w:rsidRPr="002D369F" w:rsidRDefault="0030147A" w:rsidP="00BA6845">
      <w:pPr>
        <w:spacing w:after="240"/>
        <w:rPr>
          <w:rFonts w:cs="Arial"/>
          <w:spacing w:val="-2"/>
          <w:lang w:val="fr-CH"/>
        </w:rPr>
      </w:pPr>
      <w:r w:rsidRPr="00CF186D">
        <w:rPr>
          <w:rFonts w:cs="Arial"/>
          <w:spacing w:val="-2"/>
          <w:lang w:val="fr-CH"/>
        </w:rPr>
        <w:fldChar w:fldCharType="begin"/>
      </w:r>
      <w:r w:rsidRPr="00CF186D">
        <w:rPr>
          <w:rFonts w:cs="Arial"/>
          <w:spacing w:val="-2"/>
          <w:lang w:val="fr-CH"/>
        </w:rPr>
        <w:instrText xml:space="preserve"> AUTONUM  </w:instrText>
      </w:r>
      <w:r w:rsidRPr="00CF186D">
        <w:rPr>
          <w:rFonts w:cs="Arial"/>
          <w:spacing w:val="-2"/>
          <w:lang w:val="fr-CH"/>
        </w:rPr>
        <w:fldChar w:fldCharType="end"/>
      </w:r>
      <w:r w:rsidRPr="00CF186D">
        <w:rPr>
          <w:rFonts w:cs="Arial"/>
          <w:spacing w:val="-2"/>
          <w:lang w:val="fr-CH"/>
        </w:rPr>
        <w:tab/>
      </w:r>
      <w:r w:rsidR="00E70F71" w:rsidRPr="002D369F">
        <w:rPr>
          <w:rFonts w:cs="Arial"/>
          <w:spacing w:val="-2"/>
          <w:lang w:val="fr-CH"/>
        </w:rPr>
        <w:t>Ce séminaire a réuni 214</w:t>
      </w:r>
      <w:r w:rsidR="00A27353" w:rsidRPr="002D369F">
        <w:rPr>
          <w:rFonts w:cs="Arial"/>
          <w:spacing w:val="-2"/>
          <w:lang w:val="fr-CH"/>
        </w:rPr>
        <w:t> </w:t>
      </w:r>
      <w:r w:rsidR="00E70F71" w:rsidRPr="002D369F">
        <w:rPr>
          <w:rFonts w:cs="Arial"/>
          <w:spacing w:val="-2"/>
          <w:lang w:val="fr-CH"/>
        </w:rPr>
        <w:t>participants de 61</w:t>
      </w:r>
      <w:r w:rsidR="00A27353" w:rsidRPr="002D369F">
        <w:rPr>
          <w:rFonts w:cs="Arial"/>
          <w:spacing w:val="-2"/>
          <w:lang w:val="fr-CH"/>
        </w:rPr>
        <w:t> </w:t>
      </w:r>
      <w:r w:rsidR="00E70F71" w:rsidRPr="002D369F">
        <w:rPr>
          <w:rFonts w:cs="Arial"/>
          <w:spacing w:val="-2"/>
          <w:lang w:val="fr-CH"/>
        </w:rPr>
        <w:t>pays.</w:t>
      </w:r>
    </w:p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30147A" w:rsidRPr="00CF186D" w:rsidTr="00BA6845">
        <w:trPr>
          <w:trHeight w:val="142"/>
        </w:trPr>
        <w:tc>
          <w:tcPr>
            <w:tcW w:w="12240" w:type="dxa"/>
          </w:tcPr>
          <w:p w:rsidR="0030147A" w:rsidRPr="00CF186D" w:rsidRDefault="00E70F71" w:rsidP="002D369F">
            <w:pPr>
              <w:pStyle w:val="Heading2"/>
              <w:rPr>
                <w:color w:val="003200"/>
              </w:rPr>
            </w:pPr>
            <w:bookmarkStart w:id="20" w:name="_Toc74663841"/>
            <w:bookmarkStart w:id="21" w:name="_Toc74663934"/>
            <w:bookmarkStart w:id="22" w:name="_Toc73693946"/>
            <w:bookmarkStart w:id="23" w:name="_Toc73693954"/>
            <w:bookmarkEnd w:id="19"/>
            <w:r w:rsidRPr="002D369F">
              <w:lastRenderedPageBreak/>
              <w:t>Conclusions</w:t>
            </w:r>
            <w:bookmarkEnd w:id="20"/>
            <w:bookmarkEnd w:id="21"/>
            <w:r w:rsidR="0030147A" w:rsidRPr="002D369F">
              <w:rPr>
                <w:b/>
              </w:rPr>
              <w:t xml:space="preserve"> </w:t>
            </w:r>
          </w:p>
        </w:tc>
      </w:tr>
      <w:bookmarkEnd w:id="22"/>
      <w:bookmarkEnd w:id="23"/>
    </w:tbl>
    <w:p w:rsidR="001431B5" w:rsidRDefault="001431B5" w:rsidP="0030147A">
      <w:pPr>
        <w:keepNext/>
        <w:rPr>
          <w:rFonts w:cs="Arial"/>
          <w:lang w:val="fr-CH"/>
        </w:rPr>
      </w:pPr>
    </w:p>
    <w:p w:rsidR="001431B5" w:rsidRDefault="0030147A" w:rsidP="00350329">
      <w:pPr>
        <w:keepNext/>
        <w:rPr>
          <w:rFonts w:cs="Arial"/>
          <w:lang w:val="fr-CH"/>
        </w:rPr>
      </w:pPr>
      <w:r w:rsidRPr="00CF186D">
        <w:rPr>
          <w:rFonts w:cs="Arial"/>
          <w:lang w:val="fr-CH"/>
        </w:rPr>
        <w:fldChar w:fldCharType="begin"/>
      </w:r>
      <w:r w:rsidRPr="00CF186D">
        <w:rPr>
          <w:rFonts w:cs="Arial"/>
          <w:lang w:val="fr-CH"/>
        </w:rPr>
        <w:instrText xml:space="preserve"> AUTONUM  </w:instrText>
      </w:r>
      <w:r w:rsidRPr="00CF186D">
        <w:rPr>
          <w:rFonts w:cs="Arial"/>
          <w:lang w:val="fr-CH"/>
        </w:rPr>
        <w:fldChar w:fldCharType="end"/>
      </w:r>
      <w:r w:rsidRPr="00CF186D">
        <w:rPr>
          <w:rFonts w:cs="Arial"/>
          <w:lang w:val="fr-CH"/>
        </w:rPr>
        <w:tab/>
      </w:r>
      <w:r w:rsidR="00350329" w:rsidRPr="00CF186D">
        <w:rPr>
          <w:rFonts w:cs="Arial"/>
          <w:color w:val="000000"/>
          <w:lang w:val="fr-CH"/>
        </w:rPr>
        <w:t>Les conclusions suivantes ont été présentées à la clôture du séminaire par M.</w:t>
      </w:r>
      <w:r w:rsidR="000C40B4">
        <w:rPr>
          <w:rFonts w:cs="Arial"/>
          <w:color w:val="000000"/>
          <w:lang w:val="fr-CH"/>
        </w:rPr>
        <w:t> </w:t>
      </w:r>
      <w:r w:rsidR="00BA6845">
        <w:rPr>
          <w:rFonts w:cs="Arial"/>
          <w:color w:val="000000"/>
          <w:lang w:val="fr-CH"/>
        </w:rPr>
        <w:t>Manuel Antonio Toro </w:t>
      </w:r>
      <w:proofErr w:type="spellStart"/>
      <w:r w:rsidR="00350329" w:rsidRPr="00CF186D">
        <w:rPr>
          <w:rFonts w:cs="Arial"/>
          <w:color w:val="000000"/>
          <w:lang w:val="fr-CH"/>
        </w:rPr>
        <w:t>Ugalde</w:t>
      </w:r>
      <w:proofErr w:type="spellEnd"/>
      <w:r w:rsidR="00350329" w:rsidRPr="00CF186D">
        <w:rPr>
          <w:rFonts w:cs="Arial"/>
          <w:color w:val="000000"/>
          <w:lang w:val="fr-CH"/>
        </w:rPr>
        <w:t>, vice</w:t>
      </w:r>
      <w:r w:rsidR="00930F9A">
        <w:rPr>
          <w:rFonts w:cs="Arial"/>
          <w:color w:val="000000"/>
          <w:lang w:val="fr-CH"/>
        </w:rPr>
        <w:t>-</w:t>
      </w:r>
      <w:r w:rsidR="00350329" w:rsidRPr="00CF186D">
        <w:rPr>
          <w:rFonts w:cs="Arial"/>
          <w:color w:val="000000"/>
          <w:lang w:val="fr-CH"/>
        </w:rPr>
        <w:t>président</w:t>
      </w:r>
      <w:r w:rsidR="00930F9A" w:rsidRPr="00CF186D">
        <w:rPr>
          <w:rFonts w:cs="Arial"/>
          <w:color w:val="000000"/>
          <w:lang w:val="fr-CH"/>
        </w:rPr>
        <w:t xml:space="preserve"> du</w:t>
      </w:r>
      <w:r w:rsidR="00930F9A">
        <w:rPr>
          <w:rFonts w:cs="Arial"/>
          <w:color w:val="000000"/>
          <w:lang w:val="fr-CH"/>
        </w:rPr>
        <w:t> </w:t>
      </w:r>
      <w:r w:rsidR="00930F9A" w:rsidRPr="00CF186D">
        <w:rPr>
          <w:rFonts w:cs="Arial"/>
          <w:color w:val="000000"/>
          <w:lang w:val="fr-CH"/>
        </w:rPr>
        <w:t>CAJ</w:t>
      </w:r>
      <w:r w:rsidR="00350329" w:rsidRPr="00CF186D">
        <w:rPr>
          <w:rFonts w:cs="Arial"/>
          <w:color w:val="000000"/>
          <w:lang w:val="fr-CH"/>
        </w:rPr>
        <w:t>, au nom de M.</w:t>
      </w:r>
      <w:r w:rsidR="000C40B4">
        <w:rPr>
          <w:rFonts w:cs="Arial"/>
          <w:color w:val="000000"/>
          <w:lang w:val="fr-CH"/>
        </w:rPr>
        <w:t> </w:t>
      </w:r>
      <w:r w:rsidR="00350329" w:rsidRPr="00CF186D">
        <w:rPr>
          <w:rFonts w:cs="Arial"/>
          <w:color w:val="000000"/>
          <w:lang w:val="fr-CH"/>
        </w:rPr>
        <w:t>Patrick</w:t>
      </w:r>
      <w:r w:rsidR="00A27353">
        <w:rPr>
          <w:rFonts w:cs="Arial"/>
          <w:color w:val="000000"/>
          <w:lang w:val="fr-CH"/>
        </w:rPr>
        <w:t> </w:t>
      </w:r>
      <w:proofErr w:type="spellStart"/>
      <w:r w:rsidR="00350329" w:rsidRPr="00CF186D">
        <w:rPr>
          <w:rFonts w:cs="Arial"/>
          <w:color w:val="000000"/>
          <w:lang w:val="fr-CH"/>
        </w:rPr>
        <w:t>Ngwediagi</w:t>
      </w:r>
      <w:proofErr w:type="spellEnd"/>
      <w:r w:rsidR="00350329" w:rsidRPr="00CF186D">
        <w:rPr>
          <w:rFonts w:cs="Arial"/>
          <w:color w:val="000000"/>
          <w:lang w:val="fr-CH"/>
        </w:rPr>
        <w:t>, président</w:t>
      </w:r>
      <w:r w:rsidR="00930F9A" w:rsidRPr="00CF186D">
        <w:rPr>
          <w:rFonts w:cs="Arial"/>
          <w:color w:val="000000"/>
          <w:lang w:val="fr-CH"/>
        </w:rPr>
        <w:t xml:space="preserve"> du</w:t>
      </w:r>
      <w:r w:rsidR="00930F9A">
        <w:rPr>
          <w:rFonts w:cs="Arial"/>
          <w:color w:val="000000"/>
          <w:lang w:val="fr-CH"/>
        </w:rPr>
        <w:t> </w:t>
      </w:r>
      <w:r w:rsidR="00930F9A" w:rsidRPr="00CF186D">
        <w:rPr>
          <w:rFonts w:cs="Arial"/>
          <w:color w:val="000000"/>
          <w:lang w:val="fr-CH"/>
        </w:rPr>
        <w:t>CAJ</w:t>
      </w:r>
      <w:r w:rsidR="00930F9A">
        <w:rPr>
          <w:rFonts w:cs="Arial"/>
          <w:color w:val="000000"/>
          <w:lang w:val="fr-CH"/>
        </w:rPr>
        <w:t> :</w:t>
      </w:r>
    </w:p>
    <w:p w:rsidR="001431B5" w:rsidRDefault="001431B5" w:rsidP="0030147A">
      <w:pPr>
        <w:keepNext/>
        <w:rPr>
          <w:rFonts w:cs="Arial"/>
          <w:lang w:val="fr-CH"/>
        </w:rPr>
      </w:pPr>
    </w:p>
    <w:p w:rsidR="001431B5" w:rsidRDefault="00930F9A" w:rsidP="0056160F">
      <w:pPr>
        <w:pStyle w:val="ListParagraph"/>
        <w:keepNext/>
        <w:numPr>
          <w:ilvl w:val="0"/>
          <w:numId w:val="2"/>
        </w:numPr>
        <w:rPr>
          <w:rFonts w:cs="Arial"/>
          <w:i/>
          <w:lang w:val="fr-CH"/>
        </w:rPr>
      </w:pPr>
      <w:r>
        <w:rPr>
          <w:rFonts w:cs="Arial"/>
          <w:i/>
          <w:color w:val="000000"/>
          <w:lang w:val="fr-CH"/>
        </w:rPr>
        <w:t>“</w:t>
      </w:r>
      <w:r w:rsidRPr="00CF186D">
        <w:rPr>
          <w:rFonts w:cs="Arial"/>
          <w:i/>
          <w:color w:val="000000"/>
          <w:lang w:val="fr-CH"/>
        </w:rPr>
        <w:t>Q</w:t>
      </w:r>
      <w:r w:rsidR="0056160F" w:rsidRPr="00CF186D">
        <w:rPr>
          <w:rFonts w:cs="Arial"/>
          <w:i/>
          <w:color w:val="000000"/>
          <w:lang w:val="fr-CH"/>
        </w:rPr>
        <w:t>uelles sont les incidences de l</w:t>
      </w:r>
      <w:r>
        <w:rPr>
          <w:rFonts w:cs="Arial"/>
          <w:i/>
          <w:color w:val="000000"/>
          <w:lang w:val="fr-CH"/>
        </w:rPr>
        <w:t>’</w:t>
      </w:r>
      <w:r w:rsidR="0056160F" w:rsidRPr="00CF186D">
        <w:rPr>
          <w:rFonts w:cs="Arial"/>
          <w:i/>
          <w:color w:val="000000"/>
          <w:lang w:val="fr-CH"/>
        </w:rPr>
        <w:t>absence de protection efficace du produit de la récolte sur les cultivateurs et les consommateurs?</w:t>
      </w:r>
    </w:p>
    <w:p w:rsidR="001431B5" w:rsidRPr="00FA0A9D" w:rsidRDefault="001431B5" w:rsidP="00FA0A9D">
      <w:pPr>
        <w:keepNext/>
        <w:ind w:left="360"/>
        <w:rPr>
          <w:rFonts w:cs="Arial"/>
          <w:lang w:val="fr-CH"/>
        </w:rPr>
      </w:pPr>
    </w:p>
    <w:p w:rsidR="001431B5" w:rsidRDefault="00930F9A" w:rsidP="0056160F">
      <w:pPr>
        <w:pStyle w:val="ListParagraph"/>
        <w:keepLines/>
        <w:ind w:left="1134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Pr="00CF186D">
        <w:rPr>
          <w:rFonts w:cs="Arial"/>
          <w:color w:val="000000"/>
          <w:lang w:val="fr-CH"/>
        </w:rPr>
        <w:t>L</w:t>
      </w:r>
      <w:r w:rsidR="0056160F" w:rsidRPr="00CF186D">
        <w:rPr>
          <w:rFonts w:cs="Arial"/>
          <w:color w:val="000000"/>
          <w:lang w:val="fr-CH"/>
        </w:rPr>
        <w:t>ors du séminaire, il a été démontré que l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>absence de protection efficace des nouvelles variétés d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>arbres fruitiers, avant l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>octroi de</w:t>
      </w:r>
      <w:r w:rsidR="002D369F">
        <w:rPr>
          <w:rFonts w:cs="Arial"/>
          <w:color w:val="000000"/>
          <w:lang w:val="fr-CH"/>
        </w:rPr>
        <w:t>s</w:t>
      </w:r>
      <w:r w:rsidR="0056160F" w:rsidRPr="00CF186D">
        <w:rPr>
          <w:rFonts w:cs="Arial"/>
          <w:color w:val="000000"/>
          <w:lang w:val="fr-CH"/>
        </w:rPr>
        <w:t xml:space="preserve"> droits d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>obtenteur, pouvait empêcher l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 xml:space="preserve">introduction précoce de variétés nouvelles et améliorées, </w:t>
      </w:r>
      <w:r w:rsidR="002D369F">
        <w:rPr>
          <w:rFonts w:cs="Arial"/>
          <w:color w:val="000000"/>
          <w:lang w:val="fr-CH"/>
        </w:rPr>
        <w:t>limitant</w:t>
      </w:r>
      <w:r w:rsidR="0056160F" w:rsidRPr="00CF186D">
        <w:rPr>
          <w:rFonts w:cs="Arial"/>
          <w:color w:val="000000"/>
          <w:lang w:val="fr-CH"/>
        </w:rPr>
        <w:t xml:space="preserve"> ainsi les avantages de ces variétés pour les cultivateurs et les consommateurs et, par conséquent, pour </w:t>
      </w:r>
      <w:r w:rsidR="006C49CB">
        <w:rPr>
          <w:rFonts w:cs="Arial"/>
          <w:color w:val="000000"/>
          <w:lang w:val="fr-CH"/>
        </w:rPr>
        <w:t>l’ensemble de</w:t>
      </w:r>
      <w:r w:rsidR="0056160F" w:rsidRPr="00CF186D">
        <w:rPr>
          <w:rFonts w:cs="Arial"/>
          <w:color w:val="000000"/>
          <w:lang w:val="fr-CH"/>
        </w:rPr>
        <w:t xml:space="preserve"> la socié</w:t>
      </w:r>
      <w:r w:rsidR="006C74D4" w:rsidRPr="00CF186D">
        <w:rPr>
          <w:rFonts w:cs="Arial"/>
          <w:color w:val="000000"/>
          <w:lang w:val="fr-CH"/>
        </w:rPr>
        <w:t>té</w:t>
      </w:r>
      <w:r w:rsidR="006C74D4">
        <w:rPr>
          <w:rFonts w:cs="Arial"/>
          <w:color w:val="000000"/>
          <w:lang w:val="fr-CH"/>
        </w:rPr>
        <w:t xml:space="preserve">.  </w:t>
      </w:r>
      <w:r w:rsidR="006C74D4" w:rsidRPr="00CF186D">
        <w:rPr>
          <w:rFonts w:cs="Arial"/>
          <w:color w:val="000000"/>
          <w:lang w:val="fr-CH"/>
        </w:rPr>
        <w:t>En</w:t>
      </w:r>
      <w:r w:rsidR="0056160F" w:rsidRPr="00CF186D">
        <w:rPr>
          <w:rFonts w:cs="Arial"/>
          <w:color w:val="000000"/>
          <w:lang w:val="fr-CH"/>
        </w:rPr>
        <w:t xml:space="preserve"> outre, si les obtenteurs ne bénéficient pas d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>une protection efficace leur permettant de récupérer l</w:t>
      </w:r>
      <w:r>
        <w:rPr>
          <w:rFonts w:cs="Arial"/>
          <w:color w:val="000000"/>
          <w:lang w:val="fr-CH"/>
        </w:rPr>
        <w:t>’</w:t>
      </w:r>
      <w:r w:rsidR="0056160F" w:rsidRPr="00CF186D">
        <w:rPr>
          <w:rFonts w:cs="Arial"/>
          <w:color w:val="000000"/>
          <w:lang w:val="fr-CH"/>
        </w:rPr>
        <w:t xml:space="preserve">investissement réalisé en matière de sélection, </w:t>
      </w:r>
      <w:r w:rsidR="002D369F">
        <w:rPr>
          <w:rFonts w:cs="Arial"/>
          <w:color w:val="000000"/>
          <w:lang w:val="fr-CH"/>
        </w:rPr>
        <w:t xml:space="preserve">il se peut que </w:t>
      </w:r>
      <w:r w:rsidR="0056160F" w:rsidRPr="00CF186D">
        <w:rPr>
          <w:rFonts w:cs="Arial"/>
          <w:color w:val="000000"/>
          <w:lang w:val="fr-CH"/>
        </w:rPr>
        <w:t xml:space="preserve">les variétés améliorées ne </w:t>
      </w:r>
      <w:r w:rsidR="002D369F">
        <w:rPr>
          <w:rFonts w:cs="Arial"/>
          <w:color w:val="000000"/>
          <w:lang w:val="fr-CH"/>
        </w:rPr>
        <w:t xml:space="preserve">soient </w:t>
      </w:r>
      <w:r w:rsidR="0056160F" w:rsidRPr="00CF186D">
        <w:rPr>
          <w:rFonts w:cs="Arial"/>
          <w:color w:val="000000"/>
          <w:lang w:val="fr-CH"/>
        </w:rPr>
        <w:t>pas créées du tout.</w:t>
      </w:r>
    </w:p>
    <w:p w:rsidR="001431B5" w:rsidRPr="00FA0A9D" w:rsidRDefault="001431B5" w:rsidP="00FA0A9D">
      <w:pPr>
        <w:rPr>
          <w:rFonts w:cs="Arial"/>
          <w:lang w:val="fr-CH"/>
        </w:rPr>
      </w:pPr>
    </w:p>
    <w:p w:rsidR="001431B5" w:rsidRPr="00BA6845" w:rsidRDefault="00930F9A" w:rsidP="00255E24">
      <w:pPr>
        <w:pStyle w:val="ListParagraph"/>
        <w:keepNext/>
        <w:numPr>
          <w:ilvl w:val="0"/>
          <w:numId w:val="2"/>
        </w:numPr>
        <w:rPr>
          <w:rFonts w:cs="Arial"/>
          <w:i/>
          <w:spacing w:val="-4"/>
          <w:lang w:val="fr-CH"/>
        </w:rPr>
      </w:pPr>
      <w:r w:rsidRPr="00BA6845">
        <w:rPr>
          <w:rFonts w:cs="Arial"/>
          <w:i/>
          <w:color w:val="000000"/>
          <w:spacing w:val="-4"/>
          <w:lang w:val="fr-CH"/>
        </w:rPr>
        <w:t>“Q</w:t>
      </w:r>
      <w:r w:rsidR="00255E24" w:rsidRPr="00BA6845">
        <w:rPr>
          <w:rFonts w:cs="Arial"/>
          <w:i/>
          <w:color w:val="000000"/>
          <w:spacing w:val="-4"/>
          <w:lang w:val="fr-CH"/>
        </w:rPr>
        <w:t>uels sont les principaux enjeux de l</w:t>
      </w:r>
      <w:r w:rsidRPr="00BA6845">
        <w:rPr>
          <w:rFonts w:cs="Arial"/>
          <w:i/>
          <w:color w:val="000000"/>
          <w:spacing w:val="-4"/>
          <w:lang w:val="fr-CH"/>
        </w:rPr>
        <w:t>’</w:t>
      </w:r>
      <w:r w:rsidR="00255E24" w:rsidRPr="00BA6845">
        <w:rPr>
          <w:rFonts w:cs="Arial"/>
          <w:i/>
          <w:color w:val="000000"/>
          <w:spacing w:val="-4"/>
          <w:lang w:val="fr-CH"/>
        </w:rPr>
        <w:t>exercice du droit d</w:t>
      </w:r>
      <w:r w:rsidRPr="00BA6845">
        <w:rPr>
          <w:rFonts w:cs="Arial"/>
          <w:i/>
          <w:color w:val="000000"/>
          <w:spacing w:val="-4"/>
          <w:lang w:val="fr-CH"/>
        </w:rPr>
        <w:t>’</w:t>
      </w:r>
      <w:r w:rsidR="00255E24" w:rsidRPr="00BA6845">
        <w:rPr>
          <w:rFonts w:cs="Arial"/>
          <w:i/>
          <w:color w:val="000000"/>
          <w:spacing w:val="-4"/>
          <w:lang w:val="fr-CH"/>
        </w:rPr>
        <w:t>obtenteur en relation avec le produit de la récolte?</w:t>
      </w:r>
    </w:p>
    <w:p w:rsidR="001431B5" w:rsidRPr="00FA0A9D" w:rsidRDefault="001431B5" w:rsidP="00FA0A9D">
      <w:pPr>
        <w:keepNext/>
        <w:ind w:left="360"/>
        <w:rPr>
          <w:rFonts w:cs="Arial"/>
          <w:lang w:val="fr-CH"/>
        </w:rPr>
      </w:pPr>
    </w:p>
    <w:p w:rsidR="00930F9A" w:rsidRDefault="00930F9A" w:rsidP="00255E24">
      <w:pPr>
        <w:pStyle w:val="ListParagraph"/>
        <w:keepLines/>
        <w:ind w:left="1134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Pr="00CF186D">
        <w:rPr>
          <w:rFonts w:cs="Arial"/>
          <w:color w:val="000000"/>
          <w:lang w:val="fr-CH"/>
        </w:rPr>
        <w:t>U</w:t>
      </w:r>
      <w:r w:rsidR="00255E24" w:rsidRPr="00CF186D">
        <w:rPr>
          <w:rFonts w:cs="Arial"/>
          <w:color w:val="000000"/>
          <w:lang w:val="fr-CH"/>
        </w:rPr>
        <w:t xml:space="preserve">n sujet de préoccupation commun est le manque de prévisibilité concernant </w:t>
      </w:r>
      <w:r w:rsidR="002D369F">
        <w:rPr>
          <w:rFonts w:cs="Arial"/>
          <w:color w:val="000000"/>
          <w:lang w:val="fr-CH"/>
        </w:rPr>
        <w:t>l’exercice du</w:t>
      </w:r>
      <w:r w:rsidR="00255E24" w:rsidRPr="00CF186D">
        <w:rPr>
          <w:rFonts w:cs="Arial"/>
          <w:color w:val="000000"/>
          <w:lang w:val="fr-CH"/>
        </w:rPr>
        <w:t xml:space="preserve"> droit de l</w:t>
      </w:r>
      <w:r>
        <w:rPr>
          <w:rFonts w:cs="Arial"/>
          <w:color w:val="000000"/>
          <w:lang w:val="fr-CH"/>
        </w:rPr>
        <w:t>’</w:t>
      </w:r>
      <w:r w:rsidR="00255E24" w:rsidRPr="00CF186D">
        <w:rPr>
          <w:rFonts w:cs="Arial"/>
          <w:color w:val="000000"/>
          <w:lang w:val="fr-CH"/>
        </w:rPr>
        <w:t>obtenteur en relation avec le produit de la récolte.</w:t>
      </w:r>
    </w:p>
    <w:p w:rsidR="001431B5" w:rsidRPr="00FA0A9D" w:rsidRDefault="001431B5" w:rsidP="00FA0A9D">
      <w:pPr>
        <w:rPr>
          <w:rFonts w:cs="Arial"/>
          <w:lang w:val="fr-CH"/>
        </w:rPr>
      </w:pPr>
    </w:p>
    <w:p w:rsidR="001431B5" w:rsidRDefault="00930F9A" w:rsidP="00000D41">
      <w:pPr>
        <w:pStyle w:val="ListParagraph"/>
        <w:keepLines/>
        <w:ind w:left="1134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="002D369F">
        <w:rPr>
          <w:rFonts w:cs="Arial"/>
          <w:color w:val="000000"/>
          <w:lang w:val="fr-CH"/>
        </w:rPr>
        <w:t>En ce qui concerne</w:t>
      </w:r>
      <w:r w:rsidR="00255E24" w:rsidRPr="00CF186D">
        <w:rPr>
          <w:rFonts w:cs="Arial"/>
          <w:color w:val="000000"/>
          <w:lang w:val="fr-CH"/>
        </w:rPr>
        <w:t xml:space="preserve"> certaines espèces, les arbres, une fois plantés, peuvent produire des fruits pendant de nombreuses anné</w:t>
      </w:r>
      <w:r w:rsidR="006C74D4" w:rsidRPr="00CF186D">
        <w:rPr>
          <w:rFonts w:cs="Arial"/>
          <w:color w:val="000000"/>
          <w:lang w:val="fr-CH"/>
        </w:rPr>
        <w:t>es</w:t>
      </w:r>
      <w:r w:rsidR="006C74D4">
        <w:rPr>
          <w:rFonts w:cs="Arial"/>
          <w:color w:val="000000"/>
          <w:lang w:val="fr-CH"/>
        </w:rPr>
        <w:t xml:space="preserve">.  </w:t>
      </w:r>
      <w:r w:rsidR="006C74D4" w:rsidRPr="00CF186D">
        <w:rPr>
          <w:rFonts w:cs="Arial"/>
          <w:color w:val="000000"/>
          <w:lang w:val="fr-CH"/>
        </w:rPr>
        <w:t>Pa</w:t>
      </w:r>
      <w:r w:rsidR="00000D41" w:rsidRPr="00CF186D">
        <w:rPr>
          <w:rFonts w:cs="Arial"/>
          <w:color w:val="000000"/>
          <w:lang w:val="fr-CH"/>
        </w:rPr>
        <w:t xml:space="preserve">r conséquent, </w:t>
      </w:r>
      <w:r w:rsidR="002D369F">
        <w:rPr>
          <w:rFonts w:cs="Arial"/>
          <w:color w:val="000000"/>
          <w:lang w:val="fr-CH"/>
        </w:rPr>
        <w:t xml:space="preserve">en cas </w:t>
      </w:r>
      <w:r w:rsidR="00000D41" w:rsidRPr="00CF186D">
        <w:rPr>
          <w:rFonts w:cs="Arial"/>
          <w:color w:val="000000"/>
          <w:lang w:val="fr-CH"/>
        </w:rPr>
        <w:t xml:space="preserve">de protection provisoire </w:t>
      </w:r>
      <w:r w:rsidR="002D369F">
        <w:rPr>
          <w:rFonts w:cs="Arial"/>
          <w:color w:val="000000"/>
          <w:lang w:val="fr-CH"/>
        </w:rPr>
        <w:t xml:space="preserve">d’une </w:t>
      </w:r>
      <w:r w:rsidR="002D369F" w:rsidRPr="00CF186D">
        <w:rPr>
          <w:rFonts w:cs="Arial"/>
          <w:color w:val="000000"/>
          <w:lang w:val="fr-CH"/>
        </w:rPr>
        <w:t xml:space="preserve">portée minimale </w:t>
      </w:r>
      <w:r w:rsidR="00000D41" w:rsidRPr="00CF186D">
        <w:rPr>
          <w:rFonts w:cs="Arial"/>
          <w:color w:val="000000"/>
          <w:lang w:val="fr-CH"/>
        </w:rPr>
        <w:t xml:space="preserve">ou </w:t>
      </w:r>
      <w:r w:rsidR="002D369F">
        <w:rPr>
          <w:rFonts w:cs="Arial"/>
          <w:color w:val="000000"/>
          <w:lang w:val="fr-CH"/>
        </w:rPr>
        <w:t>d’</w:t>
      </w:r>
      <w:r w:rsidR="00000D41" w:rsidRPr="00CF186D">
        <w:rPr>
          <w:rFonts w:cs="Arial"/>
          <w:color w:val="000000"/>
          <w:lang w:val="fr-CH"/>
        </w:rPr>
        <w:t>interprétation restrictive de l</w:t>
      </w:r>
      <w:r>
        <w:rPr>
          <w:rFonts w:cs="Arial"/>
          <w:color w:val="000000"/>
          <w:lang w:val="fr-CH"/>
        </w:rPr>
        <w:t>’</w:t>
      </w:r>
      <w:r w:rsidR="00000D41" w:rsidRPr="00CF186D">
        <w:rPr>
          <w:rFonts w:cs="Arial"/>
          <w:color w:val="000000"/>
          <w:lang w:val="fr-CH"/>
        </w:rPr>
        <w:t xml:space="preserve">expression </w:t>
      </w:r>
      <w:proofErr w:type="spellStart"/>
      <w:r w:rsidR="006C49CB">
        <w:rPr>
          <w:rFonts w:cs="Arial"/>
          <w:color w:val="000000"/>
          <w:lang w:val="fr-CH"/>
        </w:rPr>
        <w:t>ʽ</w:t>
      </w:r>
      <w:r w:rsidRPr="00CF186D">
        <w:rPr>
          <w:rFonts w:cs="Arial"/>
          <w:color w:val="000000"/>
          <w:lang w:val="fr-CH"/>
        </w:rPr>
        <w:t>u</w:t>
      </w:r>
      <w:r w:rsidR="00000D41" w:rsidRPr="00CF186D">
        <w:rPr>
          <w:rFonts w:cs="Arial"/>
          <w:color w:val="000000"/>
          <w:lang w:val="fr-CH"/>
        </w:rPr>
        <w:t>tilisation</w:t>
      </w:r>
      <w:proofErr w:type="spellEnd"/>
      <w:r w:rsidR="00000D41" w:rsidRPr="00CF186D">
        <w:rPr>
          <w:rFonts w:cs="Arial"/>
          <w:color w:val="000000"/>
          <w:lang w:val="fr-CH"/>
        </w:rPr>
        <w:t xml:space="preserve"> non autorisée du matériel de reproduction ou de </w:t>
      </w:r>
      <w:proofErr w:type="spellStart"/>
      <w:r w:rsidR="00000D41" w:rsidRPr="00CF186D">
        <w:rPr>
          <w:rFonts w:cs="Arial"/>
          <w:color w:val="000000"/>
          <w:lang w:val="fr-CH"/>
        </w:rPr>
        <w:t>multiplicatio</w:t>
      </w:r>
      <w:r w:rsidRPr="00CF186D">
        <w:rPr>
          <w:rFonts w:cs="Arial"/>
          <w:color w:val="000000"/>
          <w:lang w:val="fr-CH"/>
        </w:rPr>
        <w:t>n</w:t>
      </w:r>
      <w:r w:rsidR="006C49CB">
        <w:rPr>
          <w:rFonts w:cs="Arial"/>
          <w:color w:val="000000"/>
          <w:lang w:val="fr-CH"/>
        </w:rPr>
        <w:t>ʼ</w:t>
      </w:r>
      <w:proofErr w:type="spellEnd"/>
      <w:r w:rsidR="002D369F">
        <w:rPr>
          <w:rFonts w:cs="Arial"/>
          <w:color w:val="000000"/>
          <w:lang w:val="fr-CH"/>
        </w:rPr>
        <w:t xml:space="preserve">, il se </w:t>
      </w:r>
      <w:r w:rsidR="00000D41" w:rsidRPr="00CF186D">
        <w:rPr>
          <w:rFonts w:cs="Arial"/>
          <w:color w:val="000000"/>
          <w:lang w:val="fr-CH"/>
        </w:rPr>
        <w:t xml:space="preserve">peut </w:t>
      </w:r>
      <w:r w:rsidR="002D369F">
        <w:rPr>
          <w:rFonts w:cs="Arial"/>
          <w:color w:val="000000"/>
          <w:lang w:val="fr-CH"/>
        </w:rPr>
        <w:t xml:space="preserve">que </w:t>
      </w:r>
      <w:r w:rsidR="00000D41" w:rsidRPr="00CF186D">
        <w:rPr>
          <w:rFonts w:cs="Arial"/>
          <w:color w:val="000000"/>
          <w:lang w:val="fr-CH"/>
        </w:rPr>
        <w:t>l</w:t>
      </w:r>
      <w:r>
        <w:rPr>
          <w:rFonts w:cs="Arial"/>
          <w:color w:val="000000"/>
          <w:lang w:val="fr-CH"/>
        </w:rPr>
        <w:t>’</w:t>
      </w:r>
      <w:r w:rsidR="00000D41" w:rsidRPr="00CF186D">
        <w:rPr>
          <w:rFonts w:cs="Arial"/>
          <w:color w:val="000000"/>
          <w:lang w:val="fr-CH"/>
        </w:rPr>
        <w:t xml:space="preserve">obtenteur </w:t>
      </w:r>
      <w:r w:rsidR="002D369F">
        <w:rPr>
          <w:rFonts w:cs="Arial"/>
          <w:color w:val="000000"/>
          <w:lang w:val="fr-CH"/>
        </w:rPr>
        <w:t xml:space="preserve">n’ait pas </w:t>
      </w:r>
      <w:r w:rsidR="00000D41" w:rsidRPr="00CF186D">
        <w:rPr>
          <w:rFonts w:cs="Arial"/>
          <w:color w:val="000000"/>
          <w:lang w:val="fr-CH"/>
        </w:rPr>
        <w:t>les moyens d</w:t>
      </w:r>
      <w:r>
        <w:rPr>
          <w:rFonts w:cs="Arial"/>
          <w:color w:val="000000"/>
          <w:lang w:val="fr-CH"/>
        </w:rPr>
        <w:t>’</w:t>
      </w:r>
      <w:r w:rsidR="00000D41" w:rsidRPr="00CF186D">
        <w:rPr>
          <w:rFonts w:cs="Arial"/>
          <w:color w:val="000000"/>
          <w:lang w:val="fr-CH"/>
        </w:rPr>
        <w:t>exercer et de faire respecter son droit en relation avec la culture des plantes et la production et la vente des fruits.</w:t>
      </w:r>
    </w:p>
    <w:p w:rsidR="001431B5" w:rsidRPr="00FA0A9D" w:rsidRDefault="001431B5" w:rsidP="00FA0A9D">
      <w:pPr>
        <w:rPr>
          <w:rFonts w:cs="Arial"/>
          <w:lang w:val="fr-CH"/>
        </w:rPr>
      </w:pPr>
    </w:p>
    <w:p w:rsidR="001431B5" w:rsidRPr="002D369F" w:rsidRDefault="00930F9A" w:rsidP="00000D41">
      <w:pPr>
        <w:pStyle w:val="ListParagraph"/>
        <w:keepNext/>
        <w:numPr>
          <w:ilvl w:val="0"/>
          <w:numId w:val="2"/>
        </w:numPr>
        <w:rPr>
          <w:rFonts w:cs="Arial"/>
          <w:i/>
          <w:lang w:val="fr-CH"/>
        </w:rPr>
      </w:pPr>
      <w:r>
        <w:rPr>
          <w:rFonts w:cs="Arial"/>
          <w:color w:val="000000"/>
          <w:lang w:val="fr-CH"/>
        </w:rPr>
        <w:t>“</w:t>
      </w:r>
      <w:r w:rsidR="00000D41" w:rsidRPr="002D369F">
        <w:rPr>
          <w:rFonts w:cs="Arial"/>
          <w:i/>
          <w:color w:val="000000"/>
          <w:lang w:val="fr-CH"/>
        </w:rPr>
        <w:t>Au niveau de l</w:t>
      </w:r>
      <w:r w:rsidRPr="002D369F">
        <w:rPr>
          <w:rFonts w:cs="Arial"/>
          <w:i/>
          <w:color w:val="000000"/>
          <w:lang w:val="fr-CH"/>
        </w:rPr>
        <w:t>’</w:t>
      </w:r>
      <w:r w:rsidR="00000D41" w:rsidRPr="002D369F">
        <w:rPr>
          <w:rFonts w:cs="Arial"/>
          <w:i/>
          <w:color w:val="000000"/>
          <w:lang w:val="fr-CH"/>
        </w:rPr>
        <w:t>UPOV</w:t>
      </w:r>
      <w:r w:rsidRPr="002D369F">
        <w:rPr>
          <w:rFonts w:cs="Arial"/>
          <w:i/>
          <w:color w:val="000000"/>
          <w:lang w:val="fr-CH"/>
        </w:rPr>
        <w:t> :</w:t>
      </w:r>
      <w:r w:rsidR="00000D41" w:rsidRPr="002D369F">
        <w:rPr>
          <w:rFonts w:cs="Arial"/>
          <w:i/>
          <w:color w:val="000000"/>
          <w:lang w:val="fr-CH"/>
        </w:rPr>
        <w:t xml:space="preserve"> quelles solutions </w:t>
      </w:r>
      <w:r w:rsidR="00C60F6F">
        <w:rPr>
          <w:rFonts w:cs="Arial"/>
          <w:i/>
          <w:color w:val="000000"/>
          <w:lang w:val="fr-CH"/>
        </w:rPr>
        <w:t>imaginez</w:t>
      </w:r>
      <w:r w:rsidRPr="002D369F">
        <w:rPr>
          <w:rFonts w:cs="Arial"/>
          <w:i/>
          <w:color w:val="000000"/>
          <w:lang w:val="fr-CH"/>
        </w:rPr>
        <w:t>-</w:t>
      </w:r>
      <w:r w:rsidR="00000D41" w:rsidRPr="002D369F">
        <w:rPr>
          <w:rFonts w:cs="Arial"/>
          <w:i/>
          <w:color w:val="000000"/>
          <w:lang w:val="fr-CH"/>
        </w:rPr>
        <w:t xml:space="preserve">vous pour </w:t>
      </w:r>
      <w:r w:rsidR="00C60F6F">
        <w:rPr>
          <w:rFonts w:cs="Arial"/>
          <w:i/>
          <w:color w:val="000000"/>
          <w:lang w:val="fr-CH"/>
        </w:rPr>
        <w:t xml:space="preserve">faire face à </w:t>
      </w:r>
      <w:r w:rsidR="00000D41" w:rsidRPr="002D369F">
        <w:rPr>
          <w:rFonts w:cs="Arial"/>
          <w:i/>
          <w:color w:val="000000"/>
          <w:lang w:val="fr-CH"/>
        </w:rPr>
        <w:t>ces enjeux de l</w:t>
      </w:r>
      <w:r w:rsidRPr="002D369F">
        <w:rPr>
          <w:rFonts w:cs="Arial"/>
          <w:i/>
          <w:color w:val="000000"/>
          <w:lang w:val="fr-CH"/>
        </w:rPr>
        <w:t>’</w:t>
      </w:r>
      <w:r w:rsidR="00000D41" w:rsidRPr="002D369F">
        <w:rPr>
          <w:rFonts w:cs="Arial"/>
          <w:i/>
          <w:color w:val="000000"/>
          <w:lang w:val="fr-CH"/>
        </w:rPr>
        <w:t>exercice du droit d</w:t>
      </w:r>
      <w:r w:rsidRPr="002D369F">
        <w:rPr>
          <w:rFonts w:cs="Arial"/>
          <w:i/>
          <w:color w:val="000000"/>
          <w:lang w:val="fr-CH"/>
        </w:rPr>
        <w:t>’</w:t>
      </w:r>
      <w:r w:rsidR="00000D41" w:rsidRPr="002D369F">
        <w:rPr>
          <w:rFonts w:cs="Arial"/>
          <w:i/>
          <w:color w:val="000000"/>
          <w:lang w:val="fr-CH"/>
        </w:rPr>
        <w:t>obtenteur en relation avec le produit de la récolte?</w:t>
      </w:r>
    </w:p>
    <w:p w:rsidR="001431B5" w:rsidRPr="00FA0A9D" w:rsidRDefault="001431B5" w:rsidP="00FA0A9D">
      <w:pPr>
        <w:keepNext/>
        <w:ind w:left="360"/>
        <w:rPr>
          <w:rFonts w:cs="Arial"/>
          <w:lang w:val="fr-CH"/>
        </w:rPr>
      </w:pPr>
    </w:p>
    <w:p w:rsidR="00930F9A" w:rsidRDefault="00930F9A" w:rsidP="00000D41">
      <w:pPr>
        <w:pStyle w:val="ListParagraph"/>
        <w:keepLines/>
        <w:ind w:left="1134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Pr="00CF186D">
        <w:rPr>
          <w:rFonts w:cs="Arial"/>
          <w:color w:val="000000"/>
          <w:lang w:val="fr-CH"/>
        </w:rPr>
        <w:t>I</w:t>
      </w:r>
      <w:r w:rsidR="00000D41" w:rsidRPr="00CF186D">
        <w:rPr>
          <w:rFonts w:cs="Arial"/>
          <w:color w:val="000000"/>
          <w:lang w:val="fr-CH"/>
        </w:rPr>
        <w:t>l ressort clairement des exposés et des débats que les orientations contenues dans les notes explicatives sur le produit de la récolte gagneraient à être précisées.</w:t>
      </w:r>
    </w:p>
    <w:p w:rsidR="001431B5" w:rsidRPr="00FA0A9D" w:rsidRDefault="001431B5" w:rsidP="00FA0A9D">
      <w:pPr>
        <w:rPr>
          <w:rFonts w:cs="Arial"/>
          <w:lang w:val="fr-CH"/>
        </w:rPr>
      </w:pPr>
    </w:p>
    <w:p w:rsidR="001431B5" w:rsidRDefault="00930F9A" w:rsidP="008A4EF1">
      <w:pPr>
        <w:pStyle w:val="ListParagraph"/>
        <w:keepNext/>
        <w:keepLines/>
        <w:ind w:left="1134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Pr="00CF186D">
        <w:rPr>
          <w:rFonts w:cs="Arial"/>
          <w:color w:val="000000"/>
          <w:lang w:val="fr-CH"/>
        </w:rPr>
        <w:t>P</w:t>
      </w:r>
      <w:r w:rsidR="008A4EF1" w:rsidRPr="00CF186D">
        <w:rPr>
          <w:rFonts w:cs="Arial"/>
          <w:color w:val="000000"/>
          <w:lang w:val="fr-CH"/>
        </w:rPr>
        <w:t>our favoriser la mise au point de nouvelles variétés de plantes, il serait utile de disposer d</w:t>
      </w:r>
      <w:r>
        <w:rPr>
          <w:rFonts w:cs="Arial"/>
          <w:color w:val="000000"/>
          <w:lang w:val="fr-CH"/>
        </w:rPr>
        <w:t>’</w:t>
      </w:r>
      <w:r w:rsidR="008A4EF1" w:rsidRPr="00CF186D">
        <w:rPr>
          <w:rFonts w:cs="Arial"/>
          <w:color w:val="000000"/>
          <w:lang w:val="fr-CH"/>
        </w:rPr>
        <w:t>orientations supplémentaires sur</w:t>
      </w:r>
      <w:r>
        <w:rPr>
          <w:rFonts w:cs="Arial"/>
          <w:color w:val="000000"/>
          <w:lang w:val="fr-CH"/>
        </w:rPr>
        <w:t> :</w:t>
      </w:r>
    </w:p>
    <w:p w:rsidR="001431B5" w:rsidRPr="00E67296" w:rsidRDefault="00930F9A" w:rsidP="00FA0A9D">
      <w:pPr>
        <w:pStyle w:val="ListParagraph"/>
        <w:numPr>
          <w:ilvl w:val="2"/>
          <w:numId w:val="2"/>
        </w:numPr>
        <w:spacing w:before="120"/>
        <w:ind w:left="2835" w:hanging="567"/>
        <w:contextualSpacing w:val="0"/>
        <w:rPr>
          <w:rFonts w:cs="Arial"/>
          <w:lang w:val="fr-CH"/>
        </w:rPr>
      </w:pPr>
      <w:r>
        <w:rPr>
          <w:rFonts w:cs="Arial"/>
          <w:color w:val="000000"/>
          <w:lang w:val="fr-CH"/>
        </w:rPr>
        <w:t>“</w:t>
      </w:r>
      <w:r w:rsidR="00E67296">
        <w:rPr>
          <w:rFonts w:cs="Arial"/>
          <w:color w:val="000000"/>
          <w:lang w:val="fr-CH"/>
        </w:rPr>
        <w:t xml:space="preserve">le </w:t>
      </w:r>
      <w:r w:rsidRPr="00E67296">
        <w:rPr>
          <w:rFonts w:cs="Arial"/>
          <w:lang w:val="fr-CH"/>
        </w:rPr>
        <w:t>m</w:t>
      </w:r>
      <w:r w:rsidR="008A4EF1" w:rsidRPr="00E67296">
        <w:rPr>
          <w:rFonts w:cs="Arial"/>
          <w:lang w:val="fr-CH"/>
        </w:rPr>
        <w:t>atériel de reproduction ou de multiplication</w:t>
      </w:r>
    </w:p>
    <w:p w:rsidR="001431B5" w:rsidRPr="00E67296" w:rsidRDefault="00930F9A" w:rsidP="00FA0A9D">
      <w:pPr>
        <w:pStyle w:val="ListParagraph"/>
        <w:numPr>
          <w:ilvl w:val="2"/>
          <w:numId w:val="2"/>
        </w:numPr>
        <w:spacing w:before="120"/>
        <w:ind w:left="2835" w:hanging="567"/>
        <w:contextualSpacing w:val="0"/>
        <w:rPr>
          <w:rFonts w:cs="Arial"/>
          <w:lang w:val="fr-CH"/>
        </w:rPr>
      </w:pPr>
      <w:r w:rsidRPr="00E67296">
        <w:rPr>
          <w:rFonts w:cs="Arial"/>
          <w:lang w:val="fr-CH"/>
        </w:rPr>
        <w:t>“</w:t>
      </w:r>
      <w:r w:rsidR="00E67296" w:rsidRPr="00E67296">
        <w:rPr>
          <w:rFonts w:cs="Arial"/>
          <w:lang w:val="fr-CH"/>
        </w:rPr>
        <w:t xml:space="preserve">le </w:t>
      </w:r>
      <w:r w:rsidRPr="00E67296">
        <w:rPr>
          <w:rFonts w:cs="Arial"/>
          <w:lang w:val="fr-CH"/>
        </w:rPr>
        <w:t>p</w:t>
      </w:r>
      <w:r w:rsidR="008A4EF1" w:rsidRPr="00E67296">
        <w:rPr>
          <w:rFonts w:cs="Arial"/>
          <w:lang w:val="fr-CH"/>
        </w:rPr>
        <w:t>roduit de la récolte</w:t>
      </w:r>
    </w:p>
    <w:p w:rsidR="001431B5" w:rsidRPr="00E67296" w:rsidRDefault="00930F9A" w:rsidP="00FA0A9D">
      <w:pPr>
        <w:pStyle w:val="ListParagraph"/>
        <w:numPr>
          <w:ilvl w:val="2"/>
          <w:numId w:val="2"/>
        </w:numPr>
        <w:spacing w:before="120"/>
        <w:ind w:left="2835" w:hanging="567"/>
        <w:contextualSpacing w:val="0"/>
        <w:rPr>
          <w:rFonts w:cs="Arial"/>
          <w:lang w:val="fr-CH"/>
        </w:rPr>
      </w:pPr>
      <w:r w:rsidRPr="00E67296">
        <w:rPr>
          <w:rFonts w:cs="Arial"/>
          <w:lang w:val="fr-CH"/>
        </w:rPr>
        <w:t>“</w:t>
      </w:r>
      <w:r w:rsidR="00E67296" w:rsidRPr="00E67296">
        <w:rPr>
          <w:rFonts w:cs="Arial"/>
          <w:lang w:val="fr-CH"/>
        </w:rPr>
        <w:t xml:space="preserve">la </w:t>
      </w:r>
      <w:r w:rsidRPr="00E67296">
        <w:rPr>
          <w:rFonts w:cs="Arial"/>
          <w:lang w:val="fr-CH"/>
        </w:rPr>
        <w:t>p</w:t>
      </w:r>
      <w:r w:rsidR="008A4EF1" w:rsidRPr="00E67296">
        <w:rPr>
          <w:rFonts w:cs="Arial"/>
          <w:lang w:val="fr-CH"/>
        </w:rPr>
        <w:t>rotection provisoire efficace</w:t>
      </w:r>
    </w:p>
    <w:p w:rsidR="001431B5" w:rsidRPr="00E67296" w:rsidRDefault="00930F9A" w:rsidP="00FA0A9D">
      <w:pPr>
        <w:pStyle w:val="ListParagraph"/>
        <w:numPr>
          <w:ilvl w:val="2"/>
          <w:numId w:val="2"/>
        </w:numPr>
        <w:spacing w:before="120"/>
        <w:ind w:left="2835" w:hanging="567"/>
        <w:contextualSpacing w:val="0"/>
        <w:rPr>
          <w:rFonts w:cs="Arial"/>
          <w:lang w:val="fr-CH"/>
        </w:rPr>
      </w:pPr>
      <w:r w:rsidRPr="00E67296">
        <w:rPr>
          <w:rFonts w:cs="Arial"/>
          <w:lang w:val="fr-CH"/>
        </w:rPr>
        <w:t>“</w:t>
      </w:r>
      <w:r w:rsidR="00E67296" w:rsidRPr="00E67296">
        <w:rPr>
          <w:rFonts w:cs="Arial"/>
          <w:lang w:val="fr-CH"/>
        </w:rPr>
        <w:t xml:space="preserve">la </w:t>
      </w:r>
      <w:r w:rsidRPr="00E67296">
        <w:rPr>
          <w:rFonts w:cs="Arial"/>
          <w:lang w:val="fr-CH"/>
        </w:rPr>
        <w:t>n</w:t>
      </w:r>
      <w:r w:rsidR="008A4EF1" w:rsidRPr="00E67296">
        <w:rPr>
          <w:rFonts w:cs="Arial"/>
          <w:lang w:val="fr-CH"/>
        </w:rPr>
        <w:t>otion d</w:t>
      </w:r>
      <w:r w:rsidRPr="00E67296">
        <w:rPr>
          <w:rFonts w:cs="Arial"/>
          <w:lang w:val="fr-CH"/>
        </w:rPr>
        <w:t>’’</w:t>
      </w:r>
      <w:r w:rsidR="008A4EF1" w:rsidRPr="00E67296">
        <w:rPr>
          <w:rFonts w:cs="Arial"/>
          <w:lang w:val="fr-CH"/>
        </w:rPr>
        <w:t>utilisation non autorisée de matériel de reproduction ou de multiplication</w:t>
      </w:r>
      <w:r w:rsidR="00A27353" w:rsidRPr="00E67296">
        <w:rPr>
          <w:rFonts w:cs="Arial"/>
          <w:lang w:val="fr-CH"/>
        </w:rPr>
        <w:t>’</w:t>
      </w:r>
    </w:p>
    <w:p w:rsidR="001431B5" w:rsidRPr="00E67296" w:rsidRDefault="00930F9A" w:rsidP="00FA0A9D">
      <w:pPr>
        <w:pStyle w:val="ListParagraph"/>
        <w:numPr>
          <w:ilvl w:val="2"/>
          <w:numId w:val="2"/>
        </w:numPr>
        <w:spacing w:before="120"/>
        <w:ind w:left="2835" w:hanging="567"/>
        <w:contextualSpacing w:val="0"/>
        <w:rPr>
          <w:rFonts w:cs="Arial"/>
          <w:lang w:val="fr-CH"/>
        </w:rPr>
      </w:pPr>
      <w:r w:rsidRPr="00E67296">
        <w:rPr>
          <w:rFonts w:cs="Arial"/>
          <w:lang w:val="fr-CH"/>
        </w:rPr>
        <w:t>“l</w:t>
      </w:r>
      <w:r w:rsidR="008A4EF1" w:rsidRPr="00E67296">
        <w:rPr>
          <w:rFonts w:cs="Arial"/>
          <w:lang w:val="fr-CH"/>
        </w:rPr>
        <w:t>a doctrine d</w:t>
      </w:r>
      <w:r w:rsidRPr="00E67296">
        <w:rPr>
          <w:rFonts w:cs="Arial"/>
          <w:lang w:val="fr-CH"/>
        </w:rPr>
        <w:t>’</w:t>
      </w:r>
      <w:r w:rsidR="008A4EF1" w:rsidRPr="00E67296">
        <w:rPr>
          <w:rFonts w:cs="Arial"/>
          <w:lang w:val="fr-CH"/>
        </w:rPr>
        <w:t>épuisement des droits en relation avec le renversement de la charge de la preuve</w:t>
      </w:r>
      <w:r w:rsidRPr="00E67296">
        <w:rPr>
          <w:rFonts w:cs="Arial"/>
          <w:lang w:val="fr-CH"/>
        </w:rPr>
        <w:t>.”</w:t>
      </w:r>
    </w:p>
    <w:p w:rsidR="001431B5" w:rsidRDefault="001431B5" w:rsidP="0030147A">
      <w:pPr>
        <w:rPr>
          <w:rFonts w:cs="Arial"/>
          <w:spacing w:val="-2"/>
          <w:lang w:val="fr-CH"/>
        </w:rPr>
      </w:pPr>
    </w:p>
    <w:p w:rsidR="001431B5" w:rsidRDefault="001431B5" w:rsidP="0030147A">
      <w:pPr>
        <w:rPr>
          <w:rFonts w:cs="Arial"/>
          <w:spacing w:val="-2"/>
          <w:lang w:val="fr-CH"/>
        </w:rPr>
      </w:pPr>
    </w:p>
    <w:p w:rsidR="001431B5" w:rsidRDefault="001431B5" w:rsidP="0030147A">
      <w:pPr>
        <w:rPr>
          <w:rFonts w:cs="Arial"/>
          <w:spacing w:val="-2"/>
          <w:lang w:val="fr-CH"/>
        </w:rPr>
      </w:pPr>
    </w:p>
    <w:p w:rsidR="00930F9A" w:rsidRPr="00752467" w:rsidRDefault="00752467" w:rsidP="00752467">
      <w:pPr>
        <w:pStyle w:val="Heading1"/>
      </w:pPr>
      <w:bookmarkStart w:id="24" w:name="_Toc74663842"/>
      <w:bookmarkStart w:id="25" w:name="_Toc74663935"/>
      <w:r w:rsidRPr="00752467">
        <w:t>Propositions relatives à une procédure de révision des documents d</w:t>
      </w:r>
      <w:r w:rsidR="00930F9A" w:rsidRPr="00752467">
        <w:t>’</w:t>
      </w:r>
      <w:r w:rsidRPr="00752467">
        <w:t>orientation correspondants</w:t>
      </w:r>
      <w:bookmarkEnd w:id="24"/>
      <w:bookmarkEnd w:id="25"/>
    </w:p>
    <w:p w:rsidR="001431B5" w:rsidRDefault="001431B5" w:rsidP="00BA6845">
      <w:pPr>
        <w:keepLines/>
        <w:rPr>
          <w:rFonts w:cs="Arial"/>
          <w:spacing w:val="-2"/>
          <w:lang w:val="fr-CH"/>
        </w:rPr>
      </w:pPr>
    </w:p>
    <w:p w:rsidR="001431B5" w:rsidRDefault="0030147A" w:rsidP="00BA6845">
      <w:pPr>
        <w:keepLines/>
        <w:rPr>
          <w:rFonts w:cs="Arial"/>
          <w:spacing w:val="-2"/>
          <w:lang w:val="fr-CH"/>
        </w:rPr>
      </w:pPr>
      <w:r w:rsidRPr="00CF186D">
        <w:rPr>
          <w:lang w:val="fr-CH"/>
        </w:rPr>
        <w:fldChar w:fldCharType="begin"/>
      </w:r>
      <w:r w:rsidRPr="00CF186D">
        <w:rPr>
          <w:lang w:val="fr-CH"/>
        </w:rPr>
        <w:instrText xml:space="preserve"> AUTONUM  </w:instrText>
      </w:r>
      <w:r w:rsidRPr="00CF186D">
        <w:rPr>
          <w:lang w:val="fr-CH"/>
        </w:rPr>
        <w:fldChar w:fldCharType="end"/>
      </w:r>
      <w:r w:rsidRPr="00CF186D">
        <w:rPr>
          <w:lang w:val="fr-CH"/>
        </w:rPr>
        <w:tab/>
      </w:r>
      <w:r w:rsidR="00617EE5" w:rsidRPr="00CF186D">
        <w:rPr>
          <w:color w:val="000000"/>
          <w:lang w:val="fr-CH"/>
        </w:rPr>
        <w:t>À sa soixante</w:t>
      </w:r>
      <w:r w:rsidR="00930F9A">
        <w:rPr>
          <w:color w:val="000000"/>
          <w:lang w:val="fr-CH"/>
        </w:rPr>
        <w:t>-</w:t>
      </w:r>
      <w:r w:rsidR="00617EE5" w:rsidRPr="00CF186D">
        <w:rPr>
          <w:color w:val="000000"/>
          <w:lang w:val="fr-CH"/>
        </w:rPr>
        <w:t>dix</w:t>
      </w:r>
      <w:r w:rsidR="00930F9A">
        <w:rPr>
          <w:color w:val="000000"/>
          <w:lang w:val="fr-CH"/>
        </w:rPr>
        <w:t>-</w:t>
      </w:r>
      <w:r w:rsidR="00617EE5" w:rsidRPr="00CF186D">
        <w:rPr>
          <w:color w:val="000000"/>
          <w:lang w:val="fr-CH"/>
        </w:rPr>
        <w:t>sept</w:t>
      </w:r>
      <w:r w:rsidR="00930F9A">
        <w:rPr>
          <w:color w:val="000000"/>
          <w:lang w:val="fr-CH"/>
        </w:rPr>
        <w:t>ième session</w:t>
      </w:r>
      <w:r w:rsidR="00617EE5" w:rsidRPr="00CF186D">
        <w:rPr>
          <w:rStyle w:val="FootnoteReference"/>
          <w:color w:val="000000"/>
          <w:lang w:val="fr-CH"/>
        </w:rPr>
        <w:footnoteReference w:id="4"/>
      </w:r>
      <w:r w:rsidR="00617EE5" w:rsidRPr="00CF186D">
        <w:rPr>
          <w:color w:val="000000"/>
          <w:lang w:val="fr-CH"/>
        </w:rPr>
        <w:t>,</w:t>
      </w:r>
      <w:r w:rsidR="00930F9A" w:rsidRPr="00CF186D">
        <w:rPr>
          <w:color w:val="000000"/>
          <w:lang w:val="fr-CH"/>
        </w:rPr>
        <w:t xml:space="preserve"> le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CAJ</w:t>
      </w:r>
      <w:r w:rsidR="00617EE5" w:rsidRPr="00CF186D">
        <w:rPr>
          <w:color w:val="000000"/>
          <w:lang w:val="fr-CH"/>
        </w:rPr>
        <w:t xml:space="preserve"> est convenu qu</w:t>
      </w:r>
      <w:r w:rsidR="00930F9A">
        <w:rPr>
          <w:color w:val="000000"/>
          <w:lang w:val="fr-CH"/>
        </w:rPr>
        <w:t>’</w:t>
      </w:r>
      <w:r w:rsidR="00617EE5" w:rsidRPr="00CF186D">
        <w:rPr>
          <w:color w:val="000000"/>
          <w:lang w:val="fr-CH"/>
        </w:rPr>
        <w:t>une proposition sur les utilisations possibles de l</w:t>
      </w:r>
      <w:r w:rsidR="00930F9A">
        <w:rPr>
          <w:color w:val="000000"/>
          <w:lang w:val="fr-CH"/>
        </w:rPr>
        <w:t>’</w:t>
      </w:r>
      <w:r w:rsidR="00617EE5" w:rsidRPr="00CF186D">
        <w:rPr>
          <w:color w:val="000000"/>
          <w:lang w:val="fr-CH"/>
        </w:rPr>
        <w:t>expression “utilisation non autorisée de matériel de reproduction ou de multiplication”, notamment en rapport avec les arbres, à l</w:t>
      </w:r>
      <w:r w:rsidR="00930F9A">
        <w:rPr>
          <w:color w:val="000000"/>
          <w:lang w:val="fr-CH"/>
        </w:rPr>
        <w:t>’</w:t>
      </w:r>
      <w:r w:rsidR="00930F9A" w:rsidRPr="00CF186D">
        <w:rPr>
          <w:color w:val="000000"/>
          <w:lang w:val="fr-CH"/>
        </w:rPr>
        <w:t>article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1</w:t>
      </w:r>
      <w:r w:rsidR="00617EE5" w:rsidRPr="00CF186D">
        <w:rPr>
          <w:color w:val="000000"/>
          <w:lang w:val="fr-CH"/>
        </w:rPr>
        <w:t>4.2) de l</w:t>
      </w:r>
      <w:r w:rsidR="00930F9A">
        <w:rPr>
          <w:color w:val="000000"/>
          <w:lang w:val="fr-CH"/>
        </w:rPr>
        <w:t>’</w:t>
      </w:r>
      <w:r w:rsidR="00617EE5" w:rsidRPr="00CF186D">
        <w:rPr>
          <w:color w:val="000000"/>
          <w:lang w:val="fr-CH"/>
        </w:rPr>
        <w:t xml:space="preserve">Acte </w:t>
      </w:r>
      <w:r w:rsidR="00930F9A" w:rsidRPr="00CF186D">
        <w:rPr>
          <w:color w:val="000000"/>
          <w:lang w:val="fr-CH"/>
        </w:rPr>
        <w:t>de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1991</w:t>
      </w:r>
      <w:r w:rsidR="00617EE5" w:rsidRPr="00CF186D">
        <w:rPr>
          <w:color w:val="000000"/>
          <w:lang w:val="fr-CH"/>
        </w:rPr>
        <w:t xml:space="preserve"> de la </w:t>
      </w:r>
      <w:r w:rsidR="00930F9A">
        <w:rPr>
          <w:color w:val="000000"/>
          <w:lang w:val="fr-CH"/>
        </w:rPr>
        <w:t>Convention UPOV</w:t>
      </w:r>
      <w:r w:rsidR="00617EE5" w:rsidRPr="00CF186D">
        <w:rPr>
          <w:color w:val="000000"/>
          <w:lang w:val="fr-CH"/>
        </w:rPr>
        <w:t>, devait lui être présentée pour examen à sa soixante</w:t>
      </w:r>
      <w:r w:rsidR="00930F9A">
        <w:rPr>
          <w:color w:val="000000"/>
          <w:lang w:val="fr-CH"/>
        </w:rPr>
        <w:t>-</w:t>
      </w:r>
      <w:r w:rsidR="00617EE5" w:rsidRPr="00CF186D">
        <w:rPr>
          <w:color w:val="000000"/>
          <w:lang w:val="fr-CH"/>
        </w:rPr>
        <w:t>dix</w:t>
      </w:r>
      <w:r w:rsidR="00930F9A">
        <w:rPr>
          <w:color w:val="000000"/>
          <w:lang w:val="fr-CH"/>
        </w:rPr>
        <w:t>-</w:t>
      </w:r>
      <w:r w:rsidR="00617EE5" w:rsidRPr="00CF186D">
        <w:rPr>
          <w:color w:val="000000"/>
          <w:lang w:val="fr-CH"/>
        </w:rPr>
        <w:t>huit</w:t>
      </w:r>
      <w:r w:rsidR="00930F9A">
        <w:rPr>
          <w:color w:val="000000"/>
          <w:lang w:val="fr-CH"/>
        </w:rPr>
        <w:t>ième session</w:t>
      </w:r>
      <w:r w:rsidR="00617EE5" w:rsidRPr="00CF186D">
        <w:rPr>
          <w:color w:val="000000"/>
          <w:lang w:val="fr-CH"/>
        </w:rPr>
        <w:t>, et il a proposé au Conseil qu</w:t>
      </w:r>
      <w:r w:rsidR="00930F9A">
        <w:rPr>
          <w:color w:val="000000"/>
          <w:lang w:val="fr-CH"/>
        </w:rPr>
        <w:t>’</w:t>
      </w:r>
      <w:r w:rsidR="00617EE5" w:rsidRPr="00CF186D">
        <w:rPr>
          <w:color w:val="000000"/>
          <w:lang w:val="fr-CH"/>
        </w:rPr>
        <w:t xml:space="preserve">un séminaire soit organisé sur ces questions (voir le </w:t>
      </w:r>
      <w:r w:rsidR="00930F9A" w:rsidRPr="00CF186D">
        <w:rPr>
          <w:color w:val="000000"/>
          <w:lang w:val="fr-CH"/>
        </w:rPr>
        <w:t>paragraphe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4</w:t>
      </w:r>
      <w:r w:rsidR="00617EE5" w:rsidRPr="00CF186D">
        <w:rPr>
          <w:color w:val="000000"/>
          <w:lang w:val="fr-CH"/>
        </w:rPr>
        <w:t xml:space="preserve">3 du </w:t>
      </w:r>
      <w:r w:rsidR="00930F9A" w:rsidRPr="00CF186D">
        <w:rPr>
          <w:color w:val="000000"/>
          <w:lang w:val="fr-CH"/>
        </w:rPr>
        <w:t>document</w:t>
      </w:r>
      <w:r w:rsidR="00930F9A">
        <w:rPr>
          <w:color w:val="000000"/>
          <w:lang w:val="fr-CH"/>
        </w:rPr>
        <w:t xml:space="preserve"> </w:t>
      </w:r>
      <w:r w:rsidR="00930F9A" w:rsidRPr="00CF186D">
        <w:rPr>
          <w:color w:val="000000"/>
          <w:lang w:val="fr-CH"/>
        </w:rPr>
        <w:t>CA</w:t>
      </w:r>
      <w:r w:rsidR="00617EE5" w:rsidRPr="00CF186D">
        <w:rPr>
          <w:color w:val="000000"/>
          <w:lang w:val="fr-CH"/>
        </w:rPr>
        <w:t>J/77/9 “Résultats de l</w:t>
      </w:r>
      <w:r w:rsidR="00930F9A">
        <w:rPr>
          <w:color w:val="000000"/>
          <w:lang w:val="fr-CH"/>
        </w:rPr>
        <w:t>’</w:t>
      </w:r>
      <w:r w:rsidR="00617EE5" w:rsidRPr="00CF186D">
        <w:rPr>
          <w:color w:val="000000"/>
          <w:lang w:val="fr-CH"/>
        </w:rPr>
        <w:t xml:space="preserve">examen des documents par correspondance” et les </w:t>
      </w:r>
      <w:r w:rsidR="00930F9A" w:rsidRPr="00CF186D">
        <w:rPr>
          <w:color w:val="000000"/>
          <w:lang w:val="fr-CH"/>
        </w:rPr>
        <w:t>paragraphes</w:t>
      </w:r>
      <w:r w:rsidR="00930F9A">
        <w:rPr>
          <w:color w:val="000000"/>
          <w:lang w:val="fr-CH"/>
        </w:rPr>
        <w:t> </w:t>
      </w:r>
      <w:r w:rsidR="00930F9A" w:rsidRPr="00CF186D">
        <w:rPr>
          <w:color w:val="000000"/>
          <w:lang w:val="fr-CH"/>
        </w:rPr>
        <w:t>2</w:t>
      </w:r>
      <w:r w:rsidR="00617EE5" w:rsidRPr="00CF186D">
        <w:rPr>
          <w:color w:val="000000"/>
          <w:lang w:val="fr-CH"/>
        </w:rPr>
        <w:t>6 à 30 du document CAJ/77/10 “Compte rendu”).</w:t>
      </w:r>
    </w:p>
    <w:p w:rsidR="001431B5" w:rsidRDefault="001431B5" w:rsidP="00BA6845">
      <w:pPr>
        <w:keepLines/>
        <w:rPr>
          <w:rFonts w:cs="Arial"/>
          <w:spacing w:val="-2"/>
          <w:lang w:val="fr-CH"/>
        </w:rPr>
      </w:pPr>
    </w:p>
    <w:p w:rsidR="001431B5" w:rsidRPr="00BA6845" w:rsidRDefault="0030147A" w:rsidP="00BA6845">
      <w:pPr>
        <w:keepLines/>
        <w:autoSpaceDE w:val="0"/>
        <w:autoSpaceDN w:val="0"/>
        <w:adjustRightInd w:val="0"/>
        <w:rPr>
          <w:rFonts w:cs="Arial"/>
          <w:lang w:val="fr-CH"/>
        </w:rPr>
      </w:pPr>
      <w:r w:rsidRPr="00BA6845">
        <w:rPr>
          <w:rFonts w:cs="Arial"/>
          <w:lang w:val="fr-CH"/>
        </w:rPr>
        <w:lastRenderedPageBreak/>
        <w:fldChar w:fldCharType="begin"/>
      </w:r>
      <w:r w:rsidRPr="00BA6845">
        <w:rPr>
          <w:rFonts w:cs="Arial"/>
          <w:lang w:val="fr-CH"/>
        </w:rPr>
        <w:instrText xml:space="preserve"> AUTONUM  </w:instrText>
      </w:r>
      <w:r w:rsidRPr="00BA6845">
        <w:rPr>
          <w:rFonts w:cs="Arial"/>
          <w:lang w:val="fr-CH"/>
        </w:rPr>
        <w:fldChar w:fldCharType="end"/>
      </w:r>
      <w:r w:rsidRPr="00BA6845">
        <w:rPr>
          <w:rFonts w:cs="Arial"/>
          <w:lang w:val="fr-CH"/>
        </w:rPr>
        <w:tab/>
      </w:r>
      <w:r w:rsidR="00103147" w:rsidRPr="00BA6845">
        <w:rPr>
          <w:rFonts w:cs="Arial"/>
          <w:color w:val="000000"/>
          <w:lang w:val="fr-CH"/>
        </w:rPr>
        <w:t xml:space="preserve">Le </w:t>
      </w:r>
      <w:r w:rsidR="00930F9A" w:rsidRPr="00BA6845">
        <w:rPr>
          <w:rFonts w:cs="Arial"/>
          <w:color w:val="000000"/>
          <w:lang w:val="fr-CH"/>
        </w:rPr>
        <w:t>“</w:t>
      </w:r>
      <w:r w:rsidR="00BA6845" w:rsidRPr="00BA6845">
        <w:rPr>
          <w:rFonts w:cs="Arial"/>
          <w:color w:val="000000"/>
          <w:lang w:val="fr-CH"/>
        </w:rPr>
        <w:t>Séminaire sur le droit d’obtenteur en relation avec le produit de la récolte</w:t>
      </w:r>
      <w:r w:rsidR="00930F9A" w:rsidRPr="00BA6845">
        <w:rPr>
          <w:rFonts w:cs="Arial"/>
          <w:color w:val="000000"/>
          <w:lang w:val="fr-CH"/>
        </w:rPr>
        <w:t>”</w:t>
      </w:r>
      <w:r w:rsidR="00103147" w:rsidRPr="00BA6845">
        <w:rPr>
          <w:rFonts w:cs="Arial"/>
          <w:color w:val="000000"/>
          <w:lang w:val="fr-CH"/>
        </w:rPr>
        <w:t xml:space="preserve"> avait pour but d</w:t>
      </w:r>
      <w:r w:rsidR="00930F9A" w:rsidRPr="00BA6845">
        <w:rPr>
          <w:rFonts w:cs="Arial"/>
          <w:color w:val="000000"/>
          <w:lang w:val="fr-CH"/>
        </w:rPr>
        <w:t>’</w:t>
      </w:r>
      <w:r w:rsidR="00103147" w:rsidRPr="00BA6845">
        <w:rPr>
          <w:rFonts w:cs="Arial"/>
          <w:color w:val="000000"/>
          <w:lang w:val="fr-CH"/>
        </w:rPr>
        <w:t>échanger des informations sur les questions relatives au produit de la récolte et à l</w:t>
      </w:r>
      <w:r w:rsidR="00930F9A" w:rsidRPr="00BA6845">
        <w:rPr>
          <w:rFonts w:cs="Arial"/>
          <w:color w:val="000000"/>
          <w:lang w:val="fr-CH"/>
        </w:rPr>
        <w:t>’</w:t>
      </w:r>
      <w:r w:rsidR="00103147" w:rsidRPr="00BA6845">
        <w:rPr>
          <w:rFonts w:cs="Arial"/>
          <w:color w:val="000000"/>
          <w:lang w:val="fr-CH"/>
        </w:rPr>
        <w:t>utilisation non autorisée de matériel de reproduction ou de multiplication, dans le cadre des réflexions</w:t>
      </w:r>
      <w:r w:rsidR="00930F9A" w:rsidRPr="00BA6845">
        <w:rPr>
          <w:rFonts w:cs="Arial"/>
          <w:color w:val="000000"/>
          <w:lang w:val="fr-CH"/>
        </w:rPr>
        <w:t xml:space="preserve"> du CAJ</w:t>
      </w:r>
      <w:r w:rsidR="00103147" w:rsidRPr="00BA6845">
        <w:rPr>
          <w:rFonts w:cs="Arial"/>
          <w:color w:val="000000"/>
          <w:lang w:val="fr-CH"/>
        </w:rPr>
        <w:t xml:space="preserve"> visant à élaborer des orientations sur ces questions (voir le </w:t>
      </w:r>
      <w:r w:rsidR="00930F9A" w:rsidRPr="00BA6845">
        <w:rPr>
          <w:rFonts w:cs="Arial"/>
          <w:color w:val="000000"/>
          <w:lang w:val="fr-CH"/>
        </w:rPr>
        <w:t>paragraphe 5</w:t>
      </w:r>
      <w:r w:rsidR="00103147" w:rsidRPr="00BA6845">
        <w:rPr>
          <w:rFonts w:cs="Arial"/>
          <w:color w:val="000000"/>
          <w:lang w:val="fr-CH"/>
        </w:rPr>
        <w:t>4 du document</w:t>
      </w:r>
      <w:r w:rsidR="00A27353" w:rsidRPr="00BA6845">
        <w:rPr>
          <w:rFonts w:cs="Arial"/>
          <w:color w:val="000000"/>
          <w:lang w:val="fr-CH"/>
        </w:rPr>
        <w:t> </w:t>
      </w:r>
      <w:r w:rsidR="00103147" w:rsidRPr="00BA6845">
        <w:rPr>
          <w:rFonts w:cs="Arial"/>
          <w:color w:val="000000"/>
          <w:lang w:val="fr-CH"/>
        </w:rPr>
        <w:t xml:space="preserve">C/54/21 </w:t>
      </w:r>
      <w:r w:rsidR="00930F9A" w:rsidRPr="00BA6845">
        <w:rPr>
          <w:rFonts w:cs="Arial"/>
          <w:color w:val="000000"/>
          <w:lang w:val="fr-CH"/>
        </w:rPr>
        <w:t>“C</w:t>
      </w:r>
      <w:r w:rsidR="00103147" w:rsidRPr="00BA6845">
        <w:rPr>
          <w:rFonts w:cs="Arial"/>
          <w:color w:val="000000"/>
          <w:lang w:val="fr-CH"/>
        </w:rPr>
        <w:t>ompte rend</w:t>
      </w:r>
      <w:r w:rsidR="00930F9A" w:rsidRPr="00BA6845">
        <w:rPr>
          <w:rFonts w:cs="Arial"/>
          <w:color w:val="000000"/>
          <w:lang w:val="fr-CH"/>
        </w:rPr>
        <w:t>u”</w:t>
      </w:r>
      <w:r w:rsidR="00103147" w:rsidRPr="00BA6845">
        <w:rPr>
          <w:rFonts w:cs="Arial"/>
          <w:color w:val="000000"/>
          <w:lang w:val="fr-CH"/>
        </w:rPr>
        <w:t xml:space="preserve">, </w:t>
      </w:r>
      <w:r w:rsidR="00CE1AF6" w:rsidRPr="00BA6845">
        <w:rPr>
          <w:rFonts w:cs="Arial"/>
          <w:color w:val="000000"/>
          <w:lang w:val="fr-CH"/>
        </w:rPr>
        <w:t>ainsi que le</w:t>
      </w:r>
      <w:r w:rsidR="00103147" w:rsidRPr="00BA6845">
        <w:rPr>
          <w:rFonts w:cs="Arial"/>
          <w:color w:val="000000"/>
          <w:lang w:val="fr-CH"/>
        </w:rPr>
        <w:t xml:space="preserve"> </w:t>
      </w:r>
      <w:r w:rsidR="00930F9A" w:rsidRPr="00BA6845">
        <w:rPr>
          <w:rFonts w:cs="Arial"/>
          <w:color w:val="000000"/>
          <w:lang w:val="fr-CH"/>
        </w:rPr>
        <w:t>“R</w:t>
      </w:r>
      <w:r w:rsidR="00103147" w:rsidRPr="00BA6845">
        <w:rPr>
          <w:rFonts w:cs="Arial"/>
          <w:color w:val="000000"/>
          <w:lang w:val="fr-CH"/>
        </w:rPr>
        <w:t>appe</w:t>
      </w:r>
      <w:r w:rsidR="00930F9A" w:rsidRPr="00BA6845">
        <w:rPr>
          <w:rFonts w:cs="Arial"/>
          <w:color w:val="000000"/>
          <w:lang w:val="fr-CH"/>
        </w:rPr>
        <w:t>l”</w:t>
      </w:r>
      <w:r w:rsidR="00103147" w:rsidRPr="00BA6845">
        <w:rPr>
          <w:rFonts w:cs="Arial"/>
          <w:color w:val="000000"/>
          <w:lang w:val="fr-CH"/>
        </w:rPr>
        <w:t xml:space="preserve"> et le </w:t>
      </w:r>
      <w:r w:rsidR="00930F9A" w:rsidRPr="00BA6845">
        <w:rPr>
          <w:rFonts w:cs="Arial"/>
          <w:color w:val="000000"/>
          <w:lang w:val="fr-CH"/>
        </w:rPr>
        <w:t>paragraphe 1</w:t>
      </w:r>
      <w:r w:rsidR="00103147" w:rsidRPr="00BA6845">
        <w:rPr>
          <w:rFonts w:cs="Arial"/>
          <w:color w:val="000000"/>
          <w:lang w:val="fr-CH"/>
        </w:rPr>
        <w:t>7 ci</w:t>
      </w:r>
      <w:r w:rsidR="00930F9A" w:rsidRPr="00BA6845">
        <w:rPr>
          <w:rFonts w:cs="Arial"/>
          <w:color w:val="000000"/>
          <w:lang w:val="fr-CH"/>
        </w:rPr>
        <w:t>-</w:t>
      </w:r>
      <w:r w:rsidR="00103147" w:rsidRPr="00BA6845">
        <w:rPr>
          <w:rFonts w:cs="Arial"/>
          <w:color w:val="000000"/>
          <w:lang w:val="fr-CH"/>
        </w:rPr>
        <w:t>dessus).</w:t>
      </w:r>
    </w:p>
    <w:p w:rsidR="001431B5" w:rsidRDefault="001431B5" w:rsidP="00BA6845">
      <w:pPr>
        <w:keepLines/>
        <w:rPr>
          <w:rFonts w:cs="Arial"/>
          <w:spacing w:val="-2"/>
          <w:lang w:val="fr-CH"/>
        </w:rPr>
      </w:pPr>
    </w:p>
    <w:p w:rsidR="001431B5" w:rsidRDefault="0030147A" w:rsidP="00BA6845">
      <w:pPr>
        <w:keepLines/>
        <w:rPr>
          <w:rFonts w:cs="Arial"/>
          <w:spacing w:val="-2"/>
          <w:lang w:val="fr-CH"/>
        </w:rPr>
      </w:pPr>
      <w:r w:rsidRPr="00CF186D">
        <w:rPr>
          <w:rFonts w:cs="Arial"/>
          <w:spacing w:val="-2"/>
          <w:lang w:val="fr-CH"/>
        </w:rPr>
        <w:fldChar w:fldCharType="begin"/>
      </w:r>
      <w:r w:rsidRPr="00CF186D">
        <w:rPr>
          <w:rFonts w:cs="Arial"/>
          <w:spacing w:val="-2"/>
          <w:lang w:val="fr-CH"/>
        </w:rPr>
        <w:instrText xml:space="preserve"> AUTONUM  </w:instrText>
      </w:r>
      <w:r w:rsidRPr="00CF186D">
        <w:rPr>
          <w:rFonts w:cs="Arial"/>
          <w:spacing w:val="-2"/>
          <w:lang w:val="fr-CH"/>
        </w:rPr>
        <w:fldChar w:fldCharType="end"/>
      </w:r>
      <w:r w:rsidRPr="00CF186D">
        <w:rPr>
          <w:rFonts w:cs="Arial"/>
          <w:spacing w:val="-2"/>
          <w:lang w:val="fr-CH"/>
        </w:rPr>
        <w:tab/>
      </w:r>
      <w:r w:rsidR="00103147" w:rsidRPr="00CF186D">
        <w:rPr>
          <w:rFonts w:cs="Arial"/>
          <w:color w:val="000000"/>
          <w:spacing w:val="-2"/>
          <w:lang w:val="fr-CH"/>
        </w:rPr>
        <w:t>Les conclusions présentées à la clôture du séminaire par M.</w:t>
      </w:r>
      <w:r w:rsidR="000C40B4">
        <w:rPr>
          <w:rFonts w:cs="Arial"/>
          <w:color w:val="000000"/>
          <w:spacing w:val="-2"/>
          <w:lang w:val="fr-CH"/>
        </w:rPr>
        <w:t> </w:t>
      </w:r>
      <w:r w:rsidR="00103147" w:rsidRPr="00CF186D">
        <w:rPr>
          <w:rFonts w:cs="Arial"/>
          <w:color w:val="000000"/>
          <w:spacing w:val="-2"/>
          <w:lang w:val="fr-CH"/>
        </w:rPr>
        <w:t xml:space="preserve">Manuel Antonio Toro </w:t>
      </w:r>
      <w:proofErr w:type="spellStart"/>
      <w:r w:rsidR="00103147" w:rsidRPr="00CF186D">
        <w:rPr>
          <w:rFonts w:cs="Arial"/>
          <w:color w:val="000000"/>
          <w:spacing w:val="-2"/>
          <w:lang w:val="fr-CH"/>
        </w:rPr>
        <w:t>Ugalde</w:t>
      </w:r>
      <w:proofErr w:type="spellEnd"/>
      <w:r w:rsidR="00103147" w:rsidRPr="00CF186D">
        <w:rPr>
          <w:rFonts w:cs="Arial"/>
          <w:color w:val="000000"/>
          <w:spacing w:val="-2"/>
          <w:lang w:val="fr-CH"/>
        </w:rPr>
        <w:t>, vice</w:t>
      </w:r>
      <w:r w:rsidR="00930F9A">
        <w:rPr>
          <w:rFonts w:cs="Arial"/>
          <w:color w:val="000000"/>
          <w:spacing w:val="-2"/>
          <w:lang w:val="fr-CH"/>
        </w:rPr>
        <w:t>-</w:t>
      </w:r>
      <w:r w:rsidR="00103147" w:rsidRPr="00CF186D">
        <w:rPr>
          <w:rFonts w:cs="Arial"/>
          <w:color w:val="000000"/>
          <w:spacing w:val="-2"/>
          <w:lang w:val="fr-CH"/>
        </w:rPr>
        <w:t>président</w:t>
      </w:r>
      <w:r w:rsidR="00930F9A" w:rsidRPr="00CF186D">
        <w:rPr>
          <w:rFonts w:cs="Arial"/>
          <w:color w:val="000000"/>
          <w:spacing w:val="-2"/>
          <w:lang w:val="fr-CH"/>
        </w:rPr>
        <w:t xml:space="preserve"> du</w:t>
      </w:r>
      <w:r w:rsidR="00930F9A">
        <w:rPr>
          <w:rFonts w:cs="Arial"/>
          <w:color w:val="000000"/>
          <w:spacing w:val="-2"/>
          <w:lang w:val="fr-CH"/>
        </w:rPr>
        <w:t> </w:t>
      </w:r>
      <w:r w:rsidR="00930F9A" w:rsidRPr="00CF186D">
        <w:rPr>
          <w:rFonts w:cs="Arial"/>
          <w:color w:val="000000"/>
          <w:spacing w:val="-2"/>
          <w:lang w:val="fr-CH"/>
        </w:rPr>
        <w:t>CAJ</w:t>
      </w:r>
      <w:r w:rsidR="00103147" w:rsidRPr="00CF186D">
        <w:rPr>
          <w:rFonts w:cs="Arial"/>
          <w:color w:val="000000"/>
          <w:spacing w:val="-2"/>
          <w:lang w:val="fr-CH"/>
        </w:rPr>
        <w:t>, au nom de M.</w:t>
      </w:r>
      <w:r w:rsidR="000C40B4">
        <w:rPr>
          <w:rFonts w:cs="Arial"/>
          <w:color w:val="000000"/>
          <w:spacing w:val="-2"/>
          <w:lang w:val="fr-CH"/>
        </w:rPr>
        <w:t> </w:t>
      </w:r>
      <w:r w:rsidR="00103147" w:rsidRPr="00CF186D">
        <w:rPr>
          <w:rFonts w:cs="Arial"/>
          <w:color w:val="000000"/>
          <w:spacing w:val="-2"/>
          <w:lang w:val="fr-CH"/>
        </w:rPr>
        <w:t>Patrick</w:t>
      </w:r>
      <w:r w:rsidR="00A27353">
        <w:rPr>
          <w:rFonts w:cs="Arial"/>
          <w:color w:val="000000"/>
          <w:spacing w:val="-2"/>
          <w:lang w:val="fr-CH"/>
        </w:rPr>
        <w:t> </w:t>
      </w:r>
      <w:proofErr w:type="spellStart"/>
      <w:r w:rsidR="00103147" w:rsidRPr="00CF186D">
        <w:rPr>
          <w:rFonts w:cs="Arial"/>
          <w:color w:val="000000"/>
          <w:spacing w:val="-2"/>
          <w:lang w:val="fr-CH"/>
        </w:rPr>
        <w:t>Ngwediagi</w:t>
      </w:r>
      <w:proofErr w:type="spellEnd"/>
      <w:r w:rsidR="00103147" w:rsidRPr="00CF186D">
        <w:rPr>
          <w:rFonts w:cs="Arial"/>
          <w:color w:val="000000"/>
          <w:spacing w:val="-2"/>
          <w:lang w:val="fr-CH"/>
        </w:rPr>
        <w:t>, président</w:t>
      </w:r>
      <w:r w:rsidR="00930F9A" w:rsidRPr="00CF186D">
        <w:rPr>
          <w:rFonts w:cs="Arial"/>
          <w:color w:val="000000"/>
          <w:spacing w:val="-2"/>
          <w:lang w:val="fr-CH"/>
        </w:rPr>
        <w:t xml:space="preserve"> du</w:t>
      </w:r>
      <w:r w:rsidR="00930F9A">
        <w:rPr>
          <w:rFonts w:cs="Arial"/>
          <w:color w:val="000000"/>
          <w:spacing w:val="-2"/>
          <w:lang w:val="fr-CH"/>
        </w:rPr>
        <w:t> </w:t>
      </w:r>
      <w:r w:rsidR="00930F9A" w:rsidRPr="00CF186D">
        <w:rPr>
          <w:rFonts w:cs="Arial"/>
          <w:color w:val="000000"/>
          <w:spacing w:val="-2"/>
          <w:lang w:val="fr-CH"/>
        </w:rPr>
        <w:t>CAJ</w:t>
      </w:r>
      <w:r w:rsidR="00103147" w:rsidRPr="00CF186D">
        <w:rPr>
          <w:rFonts w:cs="Arial"/>
          <w:color w:val="000000"/>
          <w:spacing w:val="-2"/>
          <w:lang w:val="fr-CH"/>
        </w:rPr>
        <w:t xml:space="preserve">, indiquaient notamment que les orientations contenues dans les notes explicatives sur le produit de la récolte gagneraient à être précisées et que, pour favoriser la </w:t>
      </w:r>
      <w:r w:rsidR="00CE1AF6">
        <w:rPr>
          <w:rFonts w:cs="Arial"/>
          <w:color w:val="000000"/>
          <w:spacing w:val="-2"/>
          <w:lang w:val="fr-CH"/>
        </w:rPr>
        <w:t>création</w:t>
      </w:r>
      <w:r w:rsidR="00103147" w:rsidRPr="00CF186D">
        <w:rPr>
          <w:rFonts w:cs="Arial"/>
          <w:color w:val="000000"/>
          <w:spacing w:val="-2"/>
          <w:lang w:val="fr-CH"/>
        </w:rPr>
        <w:t xml:space="preserve"> de nouvelles variétés de plantes, il serait utile d</w:t>
      </w:r>
      <w:r w:rsidR="00930F9A">
        <w:rPr>
          <w:rFonts w:cs="Arial"/>
          <w:color w:val="000000"/>
          <w:spacing w:val="-2"/>
          <w:lang w:val="fr-CH"/>
        </w:rPr>
        <w:t>’</w:t>
      </w:r>
      <w:r w:rsidR="00103147" w:rsidRPr="00CF186D">
        <w:rPr>
          <w:rFonts w:cs="Arial"/>
          <w:color w:val="000000"/>
          <w:spacing w:val="-2"/>
          <w:lang w:val="fr-CH"/>
        </w:rPr>
        <w:t xml:space="preserve">élaborer des orientations supplémentaires (voir le </w:t>
      </w:r>
      <w:r w:rsidR="00930F9A" w:rsidRPr="00CF186D">
        <w:rPr>
          <w:rFonts w:cs="Arial"/>
          <w:color w:val="000000"/>
          <w:spacing w:val="-2"/>
          <w:lang w:val="fr-CH"/>
        </w:rPr>
        <w:t>paragraphe</w:t>
      </w:r>
      <w:r w:rsidR="00930F9A">
        <w:rPr>
          <w:rFonts w:cs="Arial"/>
          <w:color w:val="000000"/>
          <w:spacing w:val="-2"/>
          <w:lang w:val="fr-CH"/>
        </w:rPr>
        <w:t> </w:t>
      </w:r>
      <w:r w:rsidR="00930F9A" w:rsidRPr="00CF186D">
        <w:rPr>
          <w:rFonts w:cs="Arial"/>
          <w:color w:val="000000"/>
          <w:spacing w:val="-2"/>
          <w:lang w:val="fr-CH"/>
        </w:rPr>
        <w:t>1</w:t>
      </w:r>
      <w:r w:rsidR="00103147" w:rsidRPr="00CF186D">
        <w:rPr>
          <w:rFonts w:cs="Arial"/>
          <w:color w:val="000000"/>
          <w:spacing w:val="-2"/>
          <w:lang w:val="fr-CH"/>
        </w:rPr>
        <w:t xml:space="preserve">6 </w:t>
      </w:r>
      <w:r w:rsidR="00930F9A">
        <w:rPr>
          <w:rFonts w:cs="Arial"/>
          <w:color w:val="000000"/>
          <w:spacing w:val="-2"/>
          <w:lang w:val="fr-CH"/>
        </w:rPr>
        <w:t>“</w:t>
      </w:r>
      <w:r w:rsidR="00930F9A" w:rsidRPr="00CF186D">
        <w:rPr>
          <w:rFonts w:cs="Arial"/>
          <w:color w:val="000000"/>
          <w:spacing w:val="-2"/>
          <w:lang w:val="fr-CH"/>
        </w:rPr>
        <w:t>C</w:t>
      </w:r>
      <w:r w:rsidR="00103147" w:rsidRPr="00CF186D">
        <w:rPr>
          <w:rFonts w:cs="Arial"/>
          <w:color w:val="000000"/>
          <w:spacing w:val="-2"/>
          <w:lang w:val="fr-CH"/>
        </w:rPr>
        <w:t>onclusions</w:t>
      </w:r>
      <w:r w:rsidR="00930F9A">
        <w:rPr>
          <w:rFonts w:cs="Arial"/>
          <w:color w:val="000000"/>
          <w:spacing w:val="-2"/>
          <w:lang w:val="fr-CH"/>
        </w:rPr>
        <w:t>”</w:t>
      </w:r>
      <w:r w:rsidR="00CE1AF6">
        <w:rPr>
          <w:rFonts w:cs="Arial"/>
          <w:color w:val="000000"/>
          <w:spacing w:val="-2"/>
          <w:lang w:val="fr-CH"/>
        </w:rPr>
        <w:t xml:space="preserve"> </w:t>
      </w:r>
      <w:r w:rsidR="00CE1AF6" w:rsidRPr="00CF186D">
        <w:rPr>
          <w:rFonts w:cs="Arial"/>
          <w:color w:val="000000"/>
          <w:spacing w:val="-2"/>
          <w:lang w:val="fr-CH"/>
        </w:rPr>
        <w:t>du séminaire</w:t>
      </w:r>
      <w:r w:rsidR="00103147" w:rsidRPr="00CF186D">
        <w:rPr>
          <w:rFonts w:cs="Arial"/>
          <w:color w:val="000000"/>
          <w:spacing w:val="-2"/>
          <w:lang w:val="fr-CH"/>
        </w:rPr>
        <w:t>).</w:t>
      </w:r>
    </w:p>
    <w:p w:rsidR="001431B5" w:rsidRDefault="001431B5" w:rsidP="00BA6845">
      <w:pPr>
        <w:rPr>
          <w:rFonts w:cs="Arial"/>
          <w:spacing w:val="-2"/>
          <w:lang w:val="fr-CH"/>
        </w:rPr>
      </w:pPr>
    </w:p>
    <w:p w:rsidR="001431B5" w:rsidRPr="005212B0" w:rsidRDefault="0030147A" w:rsidP="00BA6845">
      <w:pPr>
        <w:keepLines/>
        <w:rPr>
          <w:rFonts w:cs="Arial"/>
          <w:spacing w:val="-2"/>
          <w:lang w:val="fr-CH"/>
        </w:rPr>
      </w:pPr>
      <w:r w:rsidRPr="00CF186D">
        <w:rPr>
          <w:rFonts w:cs="Arial"/>
          <w:spacing w:val="-2"/>
          <w:lang w:val="fr-CH"/>
        </w:rPr>
        <w:fldChar w:fldCharType="begin"/>
      </w:r>
      <w:r w:rsidRPr="00CF186D">
        <w:rPr>
          <w:rFonts w:cs="Arial"/>
          <w:spacing w:val="-2"/>
          <w:lang w:val="fr-CH"/>
        </w:rPr>
        <w:instrText xml:space="preserve"> AUTONUM  </w:instrText>
      </w:r>
      <w:r w:rsidRPr="00CF186D">
        <w:rPr>
          <w:rFonts w:cs="Arial"/>
          <w:spacing w:val="-2"/>
          <w:lang w:val="fr-CH"/>
        </w:rPr>
        <w:fldChar w:fldCharType="end"/>
      </w:r>
      <w:r w:rsidRPr="00CF186D">
        <w:rPr>
          <w:rFonts w:cs="Arial"/>
          <w:spacing w:val="-2"/>
          <w:lang w:val="fr-CH"/>
        </w:rPr>
        <w:tab/>
      </w:r>
      <w:r w:rsidR="00103147" w:rsidRPr="005212B0">
        <w:rPr>
          <w:rFonts w:cs="Arial"/>
          <w:spacing w:val="-2"/>
          <w:lang w:val="fr-CH"/>
        </w:rPr>
        <w:t>Sur la base de ce qui précède,</w:t>
      </w:r>
      <w:r w:rsidR="00930F9A" w:rsidRPr="005212B0">
        <w:rPr>
          <w:rFonts w:cs="Arial"/>
          <w:spacing w:val="-2"/>
          <w:lang w:val="fr-CH"/>
        </w:rPr>
        <w:t xml:space="preserve"> le CAJ</w:t>
      </w:r>
      <w:r w:rsidR="00103147" w:rsidRPr="005212B0">
        <w:rPr>
          <w:rFonts w:cs="Arial"/>
          <w:spacing w:val="-2"/>
          <w:lang w:val="fr-CH"/>
        </w:rPr>
        <w:t xml:space="preserve"> est invité à entreprendre la révision des “Notes explicatives sur les actes </w:t>
      </w:r>
      <w:r w:rsidR="00930F9A" w:rsidRPr="005212B0">
        <w:rPr>
          <w:rFonts w:cs="Arial"/>
          <w:spacing w:val="-2"/>
          <w:lang w:val="fr-CH"/>
        </w:rPr>
        <w:t>à l’égard</w:t>
      </w:r>
      <w:r w:rsidR="00103147" w:rsidRPr="005212B0">
        <w:rPr>
          <w:rFonts w:cs="Arial"/>
          <w:spacing w:val="-2"/>
          <w:lang w:val="fr-CH"/>
        </w:rPr>
        <w:t xml:space="preserve"> du produit de la récolte selon l</w:t>
      </w:r>
      <w:r w:rsidR="00930F9A" w:rsidRPr="005212B0">
        <w:rPr>
          <w:rFonts w:cs="Arial"/>
          <w:spacing w:val="-2"/>
          <w:lang w:val="fr-CH"/>
        </w:rPr>
        <w:t>’</w:t>
      </w:r>
      <w:r w:rsidR="00103147" w:rsidRPr="005212B0">
        <w:rPr>
          <w:rFonts w:cs="Arial"/>
          <w:spacing w:val="-2"/>
          <w:lang w:val="fr-CH"/>
        </w:rPr>
        <w:t>Acte de 1991 de la </w:t>
      </w:r>
      <w:r w:rsidR="00930F9A" w:rsidRPr="005212B0">
        <w:rPr>
          <w:rFonts w:cs="Arial"/>
          <w:spacing w:val="-2"/>
          <w:lang w:val="fr-CH"/>
        </w:rPr>
        <w:t>Convention UPOV</w:t>
      </w:r>
      <w:r w:rsidR="00103147" w:rsidRPr="005212B0">
        <w:rPr>
          <w:rFonts w:cs="Arial"/>
          <w:spacing w:val="-2"/>
          <w:lang w:val="fr-CH"/>
        </w:rPr>
        <w:t>” (document</w:t>
      </w:r>
      <w:r w:rsidR="00A27353" w:rsidRPr="005212B0">
        <w:rPr>
          <w:rFonts w:cs="Arial"/>
          <w:spacing w:val="-2"/>
          <w:lang w:val="fr-CH"/>
        </w:rPr>
        <w:t> </w:t>
      </w:r>
      <w:r w:rsidR="00103147" w:rsidRPr="005212B0">
        <w:rPr>
          <w:rFonts w:cs="Arial"/>
          <w:spacing w:val="-2"/>
          <w:lang w:val="fr-CH"/>
        </w:rPr>
        <w:t xml:space="preserve">UPOV/EXN/HRV/1), des </w:t>
      </w:r>
      <w:r w:rsidR="00930F9A" w:rsidRPr="005212B0">
        <w:rPr>
          <w:rFonts w:cs="Arial"/>
          <w:spacing w:val="-2"/>
          <w:lang w:val="fr-CH"/>
        </w:rPr>
        <w:t>“N</w:t>
      </w:r>
      <w:r w:rsidR="00103147" w:rsidRPr="005212B0">
        <w:rPr>
          <w:rFonts w:cs="Arial"/>
          <w:spacing w:val="-2"/>
          <w:lang w:val="fr-CH"/>
        </w:rPr>
        <w:t xml:space="preserve">otes explicatives sur le matériel de reproduction ou de multiplication selon la </w:t>
      </w:r>
      <w:r w:rsidR="00930F9A" w:rsidRPr="005212B0">
        <w:rPr>
          <w:rFonts w:cs="Arial"/>
          <w:spacing w:val="-2"/>
          <w:lang w:val="fr-CH"/>
        </w:rPr>
        <w:t>Convention UPOV”</w:t>
      </w:r>
      <w:r w:rsidR="00103147" w:rsidRPr="005212B0">
        <w:rPr>
          <w:rFonts w:cs="Arial"/>
          <w:spacing w:val="-2"/>
          <w:lang w:val="fr-CH"/>
        </w:rPr>
        <w:t xml:space="preserve"> (UPOV/EXN/PPM/1) et des “Notes explicatives sur la protection provisoire selon la </w:t>
      </w:r>
      <w:r w:rsidR="00930F9A" w:rsidRPr="005212B0">
        <w:rPr>
          <w:rFonts w:cs="Arial"/>
          <w:spacing w:val="-2"/>
          <w:lang w:val="fr-CH"/>
        </w:rPr>
        <w:t>Convention UPOV</w:t>
      </w:r>
      <w:r w:rsidR="00103147" w:rsidRPr="005212B0">
        <w:rPr>
          <w:rFonts w:cs="Arial"/>
          <w:spacing w:val="-2"/>
          <w:lang w:val="fr-CH"/>
        </w:rPr>
        <w:t>” (UPOV/EXN/PRP/2).</w:t>
      </w:r>
    </w:p>
    <w:p w:rsidR="001431B5" w:rsidRPr="005212B0" w:rsidRDefault="001431B5" w:rsidP="00BA6845">
      <w:pPr>
        <w:rPr>
          <w:rFonts w:cs="Arial"/>
          <w:spacing w:val="-2"/>
          <w:lang w:val="fr-CH"/>
        </w:rPr>
      </w:pPr>
    </w:p>
    <w:p w:rsidR="001431B5" w:rsidRPr="005212B0" w:rsidRDefault="0030147A" w:rsidP="00103147">
      <w:pPr>
        <w:rPr>
          <w:lang w:val="fr-CH"/>
        </w:rPr>
      </w:pPr>
      <w:r w:rsidRPr="005212B0">
        <w:rPr>
          <w:lang w:val="fr-CH"/>
        </w:rPr>
        <w:fldChar w:fldCharType="begin"/>
      </w:r>
      <w:r w:rsidRPr="005212B0">
        <w:rPr>
          <w:lang w:val="fr-CH"/>
        </w:rPr>
        <w:instrText xml:space="preserve"> AUTONUM  </w:instrText>
      </w:r>
      <w:r w:rsidRPr="005212B0">
        <w:rPr>
          <w:lang w:val="fr-CH"/>
        </w:rPr>
        <w:fldChar w:fldCharType="end"/>
      </w:r>
      <w:r w:rsidRPr="005212B0">
        <w:rPr>
          <w:lang w:val="fr-CH"/>
        </w:rPr>
        <w:tab/>
      </w:r>
      <w:r w:rsidR="00103147" w:rsidRPr="005212B0">
        <w:rPr>
          <w:lang w:val="fr-CH"/>
        </w:rPr>
        <w:t xml:space="preserve">Il est proposé que </w:t>
      </w:r>
      <w:r w:rsidR="005212B0" w:rsidRPr="005212B0">
        <w:rPr>
          <w:lang w:val="fr-CH"/>
        </w:rPr>
        <w:t xml:space="preserve">les </w:t>
      </w:r>
      <w:r w:rsidR="00103147" w:rsidRPr="005212B0">
        <w:rPr>
          <w:lang w:val="fr-CH"/>
        </w:rPr>
        <w:t>questions soulevées dans les réponses à la circulaire</w:t>
      </w:r>
      <w:r w:rsidR="00A27353" w:rsidRPr="005212B0">
        <w:rPr>
          <w:lang w:val="fr-CH"/>
        </w:rPr>
        <w:t> </w:t>
      </w:r>
      <w:r w:rsidR="00103147" w:rsidRPr="005212B0">
        <w:rPr>
          <w:lang w:val="fr-CH"/>
        </w:rPr>
        <w:t>E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 xml:space="preserve">19/232 </w:t>
      </w:r>
      <w:r w:rsidR="00D91F41">
        <w:rPr>
          <w:lang w:val="fr-CH"/>
        </w:rPr>
        <w:t>de l’</w:t>
      </w:r>
      <w:r w:rsidR="00D91F41" w:rsidRPr="005212B0">
        <w:rPr>
          <w:lang w:val="fr-CH"/>
        </w:rPr>
        <w:t xml:space="preserve">UPOV </w:t>
      </w:r>
      <w:r w:rsidR="00103147" w:rsidRPr="005212B0">
        <w:rPr>
          <w:lang w:val="fr-CH"/>
        </w:rPr>
        <w:t xml:space="preserve">et lors du </w:t>
      </w:r>
      <w:r w:rsidR="00930F9A" w:rsidRPr="005212B0">
        <w:rPr>
          <w:lang w:val="fr-CH"/>
        </w:rPr>
        <w:t>“</w:t>
      </w:r>
      <w:r w:rsidR="00BA6845" w:rsidRPr="00BA6845">
        <w:rPr>
          <w:lang w:val="fr-CH"/>
        </w:rPr>
        <w:t>Séminaire sur le droit d’obtenteur en relation avec le produit de la récolte</w:t>
      </w:r>
      <w:r w:rsidR="00930F9A" w:rsidRPr="005212B0">
        <w:rPr>
          <w:lang w:val="fr-CH"/>
        </w:rPr>
        <w:t>”</w:t>
      </w:r>
      <w:r w:rsidR="005212B0" w:rsidRPr="005212B0">
        <w:rPr>
          <w:lang w:val="fr-CH"/>
        </w:rPr>
        <w:t xml:space="preserve"> soient prises en considération dans la version révisée</w:t>
      </w:r>
      <w:r w:rsidR="00103147" w:rsidRPr="005212B0">
        <w:rPr>
          <w:lang w:val="fr-CH"/>
        </w:rPr>
        <w:t>.</w:t>
      </w:r>
      <w:r w:rsidRPr="005212B0">
        <w:rPr>
          <w:lang w:val="fr-CH"/>
        </w:rPr>
        <w:t xml:space="preserve">  </w:t>
      </w:r>
      <w:r w:rsidR="00C60F6F">
        <w:rPr>
          <w:rFonts w:cs="Arial"/>
          <w:spacing w:val="-2"/>
          <w:lang w:val="fr-CH"/>
        </w:rPr>
        <w:t>Il est également</w:t>
      </w:r>
      <w:r w:rsidR="00103147" w:rsidRPr="005212B0">
        <w:rPr>
          <w:rFonts w:cs="Arial"/>
          <w:spacing w:val="-2"/>
          <w:lang w:val="fr-CH"/>
        </w:rPr>
        <w:t xml:space="preserve"> proposé de créer un groupe de travail sur le produit de la récolte et l</w:t>
      </w:r>
      <w:r w:rsidR="00930F9A" w:rsidRPr="005212B0">
        <w:rPr>
          <w:rFonts w:cs="Arial"/>
          <w:spacing w:val="-2"/>
          <w:lang w:val="fr-CH"/>
        </w:rPr>
        <w:t>’</w:t>
      </w:r>
      <w:r w:rsidR="00103147" w:rsidRPr="005212B0">
        <w:rPr>
          <w:rFonts w:cs="Arial"/>
          <w:spacing w:val="-2"/>
          <w:lang w:val="fr-CH"/>
        </w:rPr>
        <w:t>utilisation non autorisée de matériel de reproduction ou de multiplication (WG</w:t>
      </w:r>
      <w:r w:rsidR="00930F9A" w:rsidRPr="005212B0">
        <w:rPr>
          <w:rFonts w:cs="Arial"/>
          <w:spacing w:val="-2"/>
          <w:lang w:val="fr-CH"/>
        </w:rPr>
        <w:t>-</w:t>
      </w:r>
      <w:r w:rsidR="00103147" w:rsidRPr="005212B0">
        <w:rPr>
          <w:rFonts w:cs="Arial"/>
          <w:spacing w:val="-2"/>
          <w:lang w:val="fr-CH"/>
        </w:rPr>
        <w:t>HRV)</w:t>
      </w:r>
      <w:r w:rsidR="005212B0" w:rsidRPr="005212B0">
        <w:rPr>
          <w:rFonts w:cs="Arial"/>
          <w:spacing w:val="-2"/>
          <w:lang w:val="fr-CH"/>
        </w:rPr>
        <w:t>,</w:t>
      </w:r>
      <w:r w:rsidR="00103147" w:rsidRPr="005212B0">
        <w:rPr>
          <w:rFonts w:cs="Arial"/>
          <w:spacing w:val="-2"/>
          <w:lang w:val="fr-CH"/>
        </w:rPr>
        <w:t xml:space="preserve"> chargé de rédiger des orientations sur ce sujet.</w:t>
      </w:r>
    </w:p>
    <w:p w:rsidR="001431B5" w:rsidRPr="005212B0" w:rsidRDefault="001431B5" w:rsidP="0030147A">
      <w:pPr>
        <w:rPr>
          <w:sz w:val="18"/>
          <w:lang w:val="fr-CH"/>
        </w:rPr>
      </w:pPr>
    </w:p>
    <w:p w:rsidR="00930F9A" w:rsidRPr="005212B0" w:rsidRDefault="0030147A" w:rsidP="00103147">
      <w:pPr>
        <w:rPr>
          <w:rFonts w:cs="Arial"/>
          <w:spacing w:val="-5"/>
          <w:lang w:val="fr-CH"/>
        </w:rPr>
      </w:pPr>
      <w:r w:rsidRPr="005212B0">
        <w:rPr>
          <w:rFonts w:cs="Arial"/>
          <w:spacing w:val="-5"/>
          <w:lang w:val="fr-CH"/>
        </w:rPr>
        <w:fldChar w:fldCharType="begin"/>
      </w:r>
      <w:r w:rsidRPr="005212B0">
        <w:rPr>
          <w:rFonts w:cs="Arial"/>
          <w:spacing w:val="-5"/>
          <w:lang w:val="fr-CH"/>
        </w:rPr>
        <w:instrText xml:space="preserve"> AUTONUM  </w:instrText>
      </w:r>
      <w:r w:rsidRPr="005212B0">
        <w:rPr>
          <w:rFonts w:cs="Arial"/>
          <w:spacing w:val="-5"/>
          <w:lang w:val="fr-CH"/>
        </w:rPr>
        <w:fldChar w:fldCharType="end"/>
      </w:r>
      <w:r w:rsidRPr="005212B0">
        <w:rPr>
          <w:rFonts w:cs="Arial"/>
          <w:spacing w:val="-5"/>
          <w:lang w:val="fr-CH"/>
        </w:rPr>
        <w:tab/>
      </w:r>
      <w:r w:rsidR="00CF186D" w:rsidRPr="005212B0">
        <w:rPr>
          <w:rFonts w:cs="Arial"/>
          <w:spacing w:val="-5"/>
          <w:lang w:val="fr-CH"/>
        </w:rPr>
        <w:t>Le CAJ est invité</w:t>
      </w:r>
      <w:r w:rsidR="00BA6845">
        <w:rPr>
          <w:rFonts w:cs="Arial"/>
          <w:spacing w:val="-5"/>
          <w:lang w:val="fr-CH"/>
        </w:rPr>
        <w:t xml:space="preserve"> à</w:t>
      </w:r>
    </w:p>
    <w:p w:rsidR="001431B5" w:rsidRPr="005212B0" w:rsidRDefault="001431B5" w:rsidP="0030147A">
      <w:pPr>
        <w:rPr>
          <w:rFonts w:cs="Arial"/>
          <w:spacing w:val="-5"/>
          <w:lang w:val="fr-CH"/>
        </w:rPr>
      </w:pPr>
    </w:p>
    <w:p w:rsidR="00930F9A" w:rsidRPr="005212B0" w:rsidRDefault="00103147" w:rsidP="00103147">
      <w:pPr>
        <w:pStyle w:val="ListParagraph"/>
        <w:numPr>
          <w:ilvl w:val="0"/>
          <w:numId w:val="3"/>
        </w:numPr>
        <w:rPr>
          <w:lang w:val="fr-CH"/>
        </w:rPr>
      </w:pPr>
      <w:proofErr w:type="gramStart"/>
      <w:r w:rsidRPr="005212B0">
        <w:rPr>
          <w:lang w:val="fr-CH"/>
        </w:rPr>
        <w:t>décider</w:t>
      </w:r>
      <w:proofErr w:type="gramEnd"/>
      <w:r w:rsidRPr="005212B0">
        <w:rPr>
          <w:lang w:val="fr-CH"/>
        </w:rPr>
        <w:t xml:space="preserve"> de créer un groupe de travail sur le produit de la récolte et 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utilisation non autorisée de matériel de reproduction ou de multiplication (WG</w:t>
      </w:r>
      <w:r w:rsidR="00930F9A" w:rsidRPr="005212B0">
        <w:rPr>
          <w:lang w:val="fr-CH"/>
        </w:rPr>
        <w:t>-</w:t>
      </w:r>
      <w:r w:rsidRPr="005212B0">
        <w:rPr>
          <w:lang w:val="fr-CH"/>
        </w:rPr>
        <w:t>HRV),</w:t>
      </w:r>
    </w:p>
    <w:p w:rsidR="001431B5" w:rsidRPr="00564C90" w:rsidRDefault="001431B5" w:rsidP="00564C90">
      <w:pPr>
        <w:rPr>
          <w:lang w:val="fr-CH"/>
        </w:rPr>
      </w:pPr>
    </w:p>
    <w:p w:rsidR="001431B5" w:rsidRPr="005212B0" w:rsidRDefault="00103147" w:rsidP="00103147">
      <w:pPr>
        <w:pStyle w:val="ListParagraph"/>
        <w:numPr>
          <w:ilvl w:val="0"/>
          <w:numId w:val="3"/>
        </w:numPr>
        <w:rPr>
          <w:lang w:val="fr-CH"/>
        </w:rPr>
      </w:pPr>
      <w:proofErr w:type="gramStart"/>
      <w:r w:rsidRPr="005212B0">
        <w:rPr>
          <w:lang w:val="fr-CH"/>
        </w:rPr>
        <w:t>approuver</w:t>
      </w:r>
      <w:proofErr w:type="gramEnd"/>
      <w:r w:rsidRPr="005212B0">
        <w:rPr>
          <w:lang w:val="fr-CH"/>
        </w:rPr>
        <w:t xml:space="preserve"> le projet de mandat du WG</w:t>
      </w:r>
      <w:r w:rsidR="00930F9A" w:rsidRPr="005212B0">
        <w:rPr>
          <w:lang w:val="fr-CH"/>
        </w:rPr>
        <w:t>-</w:t>
      </w:r>
      <w:r w:rsidRPr="005212B0">
        <w:rPr>
          <w:lang w:val="fr-CH"/>
        </w:rPr>
        <w:t>HRV figurant dans 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annexe du présent document, et</w:t>
      </w:r>
    </w:p>
    <w:p w:rsidR="001431B5" w:rsidRPr="005212B0" w:rsidRDefault="001431B5" w:rsidP="0030147A">
      <w:pPr>
        <w:rPr>
          <w:lang w:val="fr-CH"/>
        </w:rPr>
      </w:pPr>
    </w:p>
    <w:p w:rsidR="001431B5" w:rsidRPr="005212B0" w:rsidRDefault="00103147" w:rsidP="001801B9">
      <w:pPr>
        <w:pStyle w:val="ListParagraph"/>
        <w:numPr>
          <w:ilvl w:val="0"/>
          <w:numId w:val="3"/>
        </w:numPr>
        <w:rPr>
          <w:lang w:val="fr-CH"/>
        </w:rPr>
      </w:pPr>
      <w:proofErr w:type="gramStart"/>
      <w:r w:rsidRPr="005212B0">
        <w:rPr>
          <w:lang w:val="fr-CH"/>
        </w:rPr>
        <w:t>sous</w:t>
      </w:r>
      <w:proofErr w:type="gramEnd"/>
      <w:r w:rsidRPr="005212B0">
        <w:rPr>
          <w:lang w:val="fr-CH"/>
        </w:rPr>
        <w:t xml:space="preserve"> réserve de 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approbation de la création du WG</w:t>
      </w:r>
      <w:r w:rsidR="00930F9A" w:rsidRPr="005212B0">
        <w:rPr>
          <w:lang w:val="fr-CH"/>
        </w:rPr>
        <w:t>-</w:t>
      </w:r>
      <w:r w:rsidR="00BA6845">
        <w:rPr>
          <w:lang w:val="fr-CH"/>
        </w:rPr>
        <w:t xml:space="preserve">HRV et de son mandat, </w:t>
      </w:r>
      <w:r w:rsidRPr="005212B0">
        <w:rPr>
          <w:lang w:val="fr-CH"/>
        </w:rPr>
        <w:t>demander au Bureau de 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Union de publier une circulaire afin d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inviter les membres de 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Union et les observateurs auprès</w:t>
      </w:r>
      <w:r w:rsidR="00930F9A" w:rsidRPr="005212B0">
        <w:rPr>
          <w:lang w:val="fr-CH"/>
        </w:rPr>
        <w:t xml:space="preserve"> du CAJ</w:t>
      </w:r>
      <w:r w:rsidRPr="005212B0">
        <w:rPr>
          <w:lang w:val="fr-CH"/>
        </w:rPr>
        <w:t xml:space="preserve"> </w:t>
      </w:r>
      <w:r w:rsidR="001801B9" w:rsidRPr="001801B9">
        <w:rPr>
          <w:lang w:val="fr-CH"/>
        </w:rPr>
        <w:t xml:space="preserve">à faire part de leur volonté d’être membre du </w:t>
      </w:r>
      <w:r w:rsidRPr="005212B0">
        <w:rPr>
          <w:lang w:val="fr-CH"/>
        </w:rPr>
        <w:t>WG</w:t>
      </w:r>
      <w:r w:rsidR="00930F9A" w:rsidRPr="005212B0">
        <w:rPr>
          <w:lang w:val="fr-CH"/>
        </w:rPr>
        <w:t>-</w:t>
      </w:r>
      <w:r w:rsidRPr="005212B0">
        <w:rPr>
          <w:lang w:val="fr-CH"/>
        </w:rPr>
        <w:t>HRV.</w:t>
      </w:r>
    </w:p>
    <w:p w:rsidR="001431B5" w:rsidRDefault="001431B5" w:rsidP="0030147A">
      <w:pPr>
        <w:rPr>
          <w:rFonts w:cs="Arial"/>
          <w:spacing w:val="-5"/>
          <w:lang w:val="fr-CH"/>
        </w:rPr>
      </w:pPr>
    </w:p>
    <w:p w:rsidR="00930F9A" w:rsidRPr="005212B0" w:rsidRDefault="0030147A" w:rsidP="00103147">
      <w:pPr>
        <w:rPr>
          <w:lang w:val="fr-CH"/>
        </w:rPr>
      </w:pPr>
      <w:r w:rsidRPr="00CF186D">
        <w:rPr>
          <w:rFonts w:cs="Arial"/>
          <w:lang w:val="fr-CH"/>
        </w:rPr>
        <w:fldChar w:fldCharType="begin"/>
      </w:r>
      <w:r w:rsidRPr="00CF186D">
        <w:rPr>
          <w:rFonts w:cs="Arial"/>
          <w:lang w:val="fr-CH"/>
        </w:rPr>
        <w:instrText xml:space="preserve"> AUTONUM  </w:instrText>
      </w:r>
      <w:r w:rsidRPr="00CF186D">
        <w:rPr>
          <w:rFonts w:cs="Arial"/>
          <w:lang w:val="fr-CH"/>
        </w:rPr>
        <w:fldChar w:fldCharType="end"/>
      </w:r>
      <w:r w:rsidRPr="00CF186D">
        <w:rPr>
          <w:rFonts w:cs="Arial"/>
          <w:lang w:val="fr-CH"/>
        </w:rPr>
        <w:tab/>
      </w:r>
      <w:r w:rsidR="00103147" w:rsidRPr="005212B0">
        <w:rPr>
          <w:rFonts w:cs="Arial"/>
          <w:lang w:val="fr-CH"/>
        </w:rPr>
        <w:t>À sa soixante</w:t>
      </w:r>
      <w:r w:rsidR="00930F9A" w:rsidRPr="005212B0">
        <w:rPr>
          <w:rFonts w:cs="Arial"/>
          <w:lang w:val="fr-CH"/>
        </w:rPr>
        <w:t>-</w:t>
      </w:r>
      <w:r w:rsidR="00103147" w:rsidRPr="005212B0">
        <w:rPr>
          <w:rFonts w:cs="Arial"/>
          <w:lang w:val="fr-CH"/>
        </w:rPr>
        <w:t>dix</w:t>
      </w:r>
      <w:r w:rsidR="00930F9A" w:rsidRPr="005212B0">
        <w:rPr>
          <w:rFonts w:cs="Arial"/>
          <w:lang w:val="fr-CH"/>
        </w:rPr>
        <w:t>-</w:t>
      </w:r>
      <w:r w:rsidR="00103147" w:rsidRPr="005212B0">
        <w:rPr>
          <w:rFonts w:cs="Arial"/>
          <w:lang w:val="fr-CH"/>
        </w:rPr>
        <w:t>huit</w:t>
      </w:r>
      <w:r w:rsidR="00930F9A" w:rsidRPr="005212B0">
        <w:rPr>
          <w:rFonts w:cs="Arial"/>
          <w:lang w:val="fr-CH"/>
        </w:rPr>
        <w:t>ième session</w:t>
      </w:r>
      <w:r w:rsidR="00103147" w:rsidRPr="005212B0">
        <w:rPr>
          <w:rFonts w:cs="Arial"/>
          <w:lang w:val="fr-CH"/>
        </w:rPr>
        <w:t>,</w:t>
      </w:r>
      <w:r w:rsidR="00930F9A" w:rsidRPr="005212B0">
        <w:rPr>
          <w:rFonts w:cs="Arial"/>
          <w:lang w:val="fr-CH"/>
        </w:rPr>
        <w:t xml:space="preserve"> le CAJ</w:t>
      </w:r>
      <w:r w:rsidR="00103147" w:rsidRPr="005212B0">
        <w:rPr>
          <w:rFonts w:cs="Arial"/>
          <w:lang w:val="fr-CH"/>
        </w:rPr>
        <w:t xml:space="preserve"> recevra un compte rendu des réponses à la circulaire avec les manifestations d</w:t>
      </w:r>
      <w:r w:rsidR="00930F9A" w:rsidRPr="005212B0">
        <w:rPr>
          <w:rFonts w:cs="Arial"/>
          <w:lang w:val="fr-CH"/>
        </w:rPr>
        <w:t>’</w:t>
      </w:r>
      <w:r w:rsidR="00103147" w:rsidRPr="005212B0">
        <w:rPr>
          <w:rFonts w:cs="Arial"/>
          <w:lang w:val="fr-CH"/>
        </w:rPr>
        <w:t>intérêt pour une participation au WG</w:t>
      </w:r>
      <w:r w:rsidR="00930F9A" w:rsidRPr="005212B0">
        <w:rPr>
          <w:rFonts w:cs="Arial"/>
          <w:lang w:val="fr-CH"/>
        </w:rPr>
        <w:t>-</w:t>
      </w:r>
      <w:r w:rsidR="00103147" w:rsidRPr="005212B0">
        <w:rPr>
          <w:rFonts w:cs="Arial"/>
          <w:lang w:val="fr-CH"/>
        </w:rPr>
        <w:t xml:space="preserve">HRV, </w:t>
      </w:r>
      <w:r w:rsidR="005212B0" w:rsidRPr="005212B0">
        <w:rPr>
          <w:rFonts w:cs="Arial"/>
          <w:lang w:val="fr-CH"/>
        </w:rPr>
        <w:t>ainsi qu’</w:t>
      </w:r>
      <w:r w:rsidR="00103147" w:rsidRPr="005212B0">
        <w:rPr>
          <w:rFonts w:cs="Arial"/>
          <w:lang w:val="fr-CH"/>
        </w:rPr>
        <w:t>une demande d</w:t>
      </w:r>
      <w:r w:rsidR="00930F9A" w:rsidRPr="005212B0">
        <w:rPr>
          <w:rFonts w:cs="Arial"/>
          <w:lang w:val="fr-CH"/>
        </w:rPr>
        <w:t>’</w:t>
      </w:r>
      <w:r w:rsidR="00103147" w:rsidRPr="005212B0">
        <w:rPr>
          <w:rFonts w:cs="Arial"/>
          <w:lang w:val="fr-CH"/>
        </w:rPr>
        <w:t>approbation de la composition et de la date de la première réunion du WG</w:t>
      </w:r>
      <w:r w:rsidR="00930F9A" w:rsidRPr="005212B0">
        <w:rPr>
          <w:rFonts w:cs="Arial"/>
          <w:lang w:val="fr-CH"/>
        </w:rPr>
        <w:t>-</w:t>
      </w:r>
      <w:r w:rsidR="00103147" w:rsidRPr="005212B0">
        <w:rPr>
          <w:rFonts w:cs="Arial"/>
          <w:lang w:val="fr-CH"/>
        </w:rPr>
        <w:t>HRV.</w:t>
      </w:r>
    </w:p>
    <w:p w:rsidR="001431B5" w:rsidRPr="005212B0" w:rsidRDefault="001431B5" w:rsidP="0030147A">
      <w:pPr>
        <w:rPr>
          <w:lang w:val="fr-CH"/>
        </w:rPr>
      </w:pPr>
    </w:p>
    <w:p w:rsidR="00930F9A" w:rsidRPr="005212B0" w:rsidRDefault="0030147A" w:rsidP="00103147">
      <w:pPr>
        <w:pStyle w:val="DecisionParagraphs"/>
        <w:rPr>
          <w:lang w:val="fr-CH"/>
        </w:rPr>
      </w:pPr>
      <w:r w:rsidRPr="005212B0">
        <w:rPr>
          <w:lang w:val="fr-CH"/>
        </w:rPr>
        <w:fldChar w:fldCharType="begin"/>
      </w:r>
      <w:r w:rsidRPr="005212B0">
        <w:rPr>
          <w:lang w:val="fr-CH"/>
        </w:rPr>
        <w:instrText xml:space="preserve"> AUTONUM  </w:instrText>
      </w:r>
      <w:r w:rsidRPr="005212B0">
        <w:rPr>
          <w:lang w:val="fr-CH"/>
        </w:rPr>
        <w:fldChar w:fldCharType="end"/>
      </w:r>
      <w:r w:rsidRPr="005212B0">
        <w:rPr>
          <w:lang w:val="fr-CH"/>
        </w:rPr>
        <w:tab/>
      </w:r>
      <w:r w:rsidR="00103147" w:rsidRPr="005212B0">
        <w:rPr>
          <w:lang w:val="fr-CH"/>
        </w:rPr>
        <w:t>Le CAJ est invité</w:t>
      </w:r>
    </w:p>
    <w:p w:rsidR="001431B5" w:rsidRDefault="001431B5" w:rsidP="00564C90">
      <w:pPr>
        <w:pStyle w:val="DecisionParagraphs"/>
        <w:ind w:left="0"/>
        <w:rPr>
          <w:lang w:val="fr-CH"/>
        </w:rPr>
      </w:pPr>
    </w:p>
    <w:p w:rsidR="001431B5" w:rsidRPr="005212B0" w:rsidRDefault="0030147A" w:rsidP="00103147">
      <w:pPr>
        <w:pStyle w:val="DecisionParagraphs"/>
        <w:rPr>
          <w:lang w:val="fr-CH"/>
        </w:rPr>
      </w:pPr>
      <w:r w:rsidRPr="00CF186D">
        <w:rPr>
          <w:lang w:val="fr-CH"/>
        </w:rPr>
        <w:tab/>
      </w:r>
      <w:r w:rsidR="00103147" w:rsidRPr="005212B0">
        <w:rPr>
          <w:lang w:val="fr-CH"/>
        </w:rPr>
        <w:t>a)</w:t>
      </w:r>
      <w:r w:rsidR="00103147" w:rsidRPr="005212B0">
        <w:rPr>
          <w:lang w:val="fr-CH"/>
        </w:rPr>
        <w:tab/>
        <w:t>à prendre note des faits nouveaux intervenus concernant le produit de la récolte et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 xml:space="preserve">utilisation non autorisée de matériel de reproduction ou de multiplication, notamment des questions pertinentes concernant le </w:t>
      </w:r>
      <w:r w:rsidR="00930F9A" w:rsidRPr="005212B0">
        <w:rPr>
          <w:lang w:val="fr-CH"/>
        </w:rPr>
        <w:t>“</w:t>
      </w:r>
      <w:r w:rsidR="001801B9" w:rsidRPr="001801B9">
        <w:rPr>
          <w:lang w:val="fr-CH"/>
        </w:rPr>
        <w:t>Séminaire sur le droit d’obtenteur en relation avec le produit de la récolte</w:t>
      </w:r>
      <w:r w:rsidR="00930F9A" w:rsidRPr="005212B0">
        <w:rPr>
          <w:lang w:val="fr-CH"/>
        </w:rPr>
        <w:t>”</w:t>
      </w:r>
      <w:r w:rsidR="00103147" w:rsidRPr="005212B0">
        <w:rPr>
          <w:lang w:val="fr-CH"/>
        </w:rPr>
        <w:t xml:space="preserve">, indiqués aux </w:t>
      </w:r>
      <w:r w:rsidR="00930F9A" w:rsidRPr="005212B0">
        <w:rPr>
          <w:lang w:val="fr-CH"/>
        </w:rPr>
        <w:t>paragraphes 4</w:t>
      </w:r>
      <w:r w:rsidR="00103147" w:rsidRPr="005212B0">
        <w:rPr>
          <w:lang w:val="fr-CH"/>
        </w:rPr>
        <w:t xml:space="preserve"> à 16 du présent document, et</w:t>
      </w:r>
    </w:p>
    <w:p w:rsidR="001431B5" w:rsidRPr="005212B0" w:rsidRDefault="001431B5" w:rsidP="0030147A">
      <w:pPr>
        <w:pStyle w:val="DecisionParagraphs"/>
        <w:rPr>
          <w:lang w:val="fr-CH"/>
        </w:rPr>
      </w:pPr>
    </w:p>
    <w:p w:rsidR="001431B5" w:rsidRPr="005212B0" w:rsidRDefault="0030147A" w:rsidP="00103147">
      <w:pPr>
        <w:pStyle w:val="DecisionParagraphs"/>
        <w:rPr>
          <w:lang w:val="fr-CH"/>
        </w:rPr>
      </w:pPr>
      <w:r w:rsidRPr="005212B0">
        <w:rPr>
          <w:lang w:val="fr-CH"/>
        </w:rPr>
        <w:tab/>
      </w:r>
      <w:r w:rsidR="00103147" w:rsidRPr="005212B0">
        <w:rPr>
          <w:lang w:val="fr-CH"/>
        </w:rPr>
        <w:t>b)</w:t>
      </w:r>
      <w:r w:rsidR="00103147" w:rsidRPr="005212B0">
        <w:rPr>
          <w:lang w:val="fr-CH"/>
        </w:rPr>
        <w:tab/>
        <w:t>à approuver les propositions relatives à une procédure de révision des documents d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orientation correspondants, comme suit</w:t>
      </w:r>
      <w:r w:rsidR="00930F9A" w:rsidRPr="005212B0">
        <w:rPr>
          <w:lang w:val="fr-CH"/>
        </w:rPr>
        <w:t> :</w:t>
      </w:r>
    </w:p>
    <w:p w:rsidR="001431B5" w:rsidRPr="005212B0" w:rsidRDefault="001431B5" w:rsidP="001801B9">
      <w:pPr>
        <w:pStyle w:val="DecisionParagraphs"/>
        <w:ind w:left="4770"/>
        <w:rPr>
          <w:lang w:val="fr-CH"/>
        </w:rPr>
      </w:pPr>
    </w:p>
    <w:p w:rsidR="00930F9A" w:rsidRPr="001801B9" w:rsidRDefault="0030147A" w:rsidP="00103147">
      <w:pPr>
        <w:pStyle w:val="DecisionParagraphs"/>
        <w:tabs>
          <w:tab w:val="left" w:pos="6480"/>
        </w:tabs>
        <w:ind w:left="5387"/>
        <w:rPr>
          <w:spacing w:val="-4"/>
          <w:lang w:val="fr-CH"/>
        </w:rPr>
      </w:pPr>
      <w:r w:rsidRPr="001801B9">
        <w:rPr>
          <w:spacing w:val="-4"/>
          <w:lang w:val="fr-CH"/>
        </w:rPr>
        <w:tab/>
      </w:r>
      <w:r w:rsidR="00103147" w:rsidRPr="001801B9">
        <w:rPr>
          <w:spacing w:val="-4"/>
          <w:lang w:val="fr-CH"/>
        </w:rPr>
        <w:t>i)</w:t>
      </w:r>
      <w:r w:rsidR="00103147" w:rsidRPr="001801B9">
        <w:rPr>
          <w:spacing w:val="-4"/>
          <w:lang w:val="fr-CH"/>
        </w:rPr>
        <w:tab/>
        <w:t>décider d</w:t>
      </w:r>
      <w:r w:rsidR="00930F9A" w:rsidRPr="001801B9">
        <w:rPr>
          <w:spacing w:val="-4"/>
          <w:lang w:val="fr-CH"/>
        </w:rPr>
        <w:t>’</w:t>
      </w:r>
      <w:r w:rsidR="00103147" w:rsidRPr="001801B9">
        <w:rPr>
          <w:spacing w:val="-4"/>
          <w:lang w:val="fr-CH"/>
        </w:rPr>
        <w:t xml:space="preserve">entreprendre la révision des “Notes explicatives sur les actes </w:t>
      </w:r>
      <w:r w:rsidR="00930F9A" w:rsidRPr="001801B9">
        <w:rPr>
          <w:spacing w:val="-4"/>
          <w:lang w:val="fr-CH"/>
        </w:rPr>
        <w:t>à l’égard</w:t>
      </w:r>
      <w:r w:rsidR="00103147" w:rsidRPr="001801B9">
        <w:rPr>
          <w:spacing w:val="-4"/>
          <w:lang w:val="fr-CH"/>
        </w:rPr>
        <w:t xml:space="preserve"> du produit de la récolte selon l</w:t>
      </w:r>
      <w:r w:rsidR="00930F9A" w:rsidRPr="001801B9">
        <w:rPr>
          <w:spacing w:val="-4"/>
          <w:lang w:val="fr-CH"/>
        </w:rPr>
        <w:t>’</w:t>
      </w:r>
      <w:r w:rsidR="00103147" w:rsidRPr="001801B9">
        <w:rPr>
          <w:spacing w:val="-4"/>
          <w:lang w:val="fr-CH"/>
        </w:rPr>
        <w:t>Acte de 1991 de la </w:t>
      </w:r>
      <w:r w:rsidR="00930F9A" w:rsidRPr="001801B9">
        <w:rPr>
          <w:spacing w:val="-4"/>
          <w:lang w:val="fr-CH"/>
        </w:rPr>
        <w:t>Convention UPOV</w:t>
      </w:r>
      <w:r w:rsidR="00103147" w:rsidRPr="001801B9">
        <w:rPr>
          <w:spacing w:val="-4"/>
          <w:lang w:val="fr-CH"/>
        </w:rPr>
        <w:t>” (document</w:t>
      </w:r>
      <w:r w:rsidR="001801B9" w:rsidRPr="001801B9">
        <w:rPr>
          <w:spacing w:val="-4"/>
          <w:lang w:val="fr-CH"/>
        </w:rPr>
        <w:t xml:space="preserve"> </w:t>
      </w:r>
      <w:r w:rsidR="00103147" w:rsidRPr="001801B9">
        <w:rPr>
          <w:spacing w:val="-4"/>
          <w:lang w:val="fr-CH"/>
        </w:rPr>
        <w:t xml:space="preserve">UPOV/EXN/HRV/1), des </w:t>
      </w:r>
      <w:r w:rsidR="00930F9A" w:rsidRPr="001801B9">
        <w:rPr>
          <w:spacing w:val="-4"/>
          <w:lang w:val="fr-CH"/>
        </w:rPr>
        <w:t>“N</w:t>
      </w:r>
      <w:r w:rsidR="00103147" w:rsidRPr="001801B9">
        <w:rPr>
          <w:spacing w:val="-4"/>
          <w:lang w:val="fr-CH"/>
        </w:rPr>
        <w:t xml:space="preserve">otes explicatives sur le matériel de reproduction ou de multiplication selon la </w:t>
      </w:r>
      <w:r w:rsidR="00930F9A" w:rsidRPr="001801B9">
        <w:rPr>
          <w:spacing w:val="-4"/>
          <w:lang w:val="fr-CH"/>
        </w:rPr>
        <w:t>Convention UPOV”</w:t>
      </w:r>
      <w:r w:rsidR="00103147" w:rsidRPr="001801B9">
        <w:rPr>
          <w:spacing w:val="-4"/>
          <w:lang w:val="fr-CH"/>
        </w:rPr>
        <w:t xml:space="preserve"> (UPOV/EXN/PPM/1) et des “Notes explicatives sur la protection provisoire selon la </w:t>
      </w:r>
      <w:r w:rsidR="00930F9A" w:rsidRPr="001801B9">
        <w:rPr>
          <w:spacing w:val="-4"/>
          <w:lang w:val="fr-CH"/>
        </w:rPr>
        <w:t>Convention UPOV</w:t>
      </w:r>
      <w:r w:rsidR="00103147" w:rsidRPr="001801B9">
        <w:rPr>
          <w:spacing w:val="-4"/>
          <w:lang w:val="fr-CH"/>
        </w:rPr>
        <w:t>” (UPOV/EXN/PRP/2),</w:t>
      </w:r>
    </w:p>
    <w:p w:rsidR="001431B5" w:rsidRPr="001801B9" w:rsidRDefault="001431B5" w:rsidP="00564C90">
      <w:pPr>
        <w:pStyle w:val="DecisionParagraphs"/>
        <w:tabs>
          <w:tab w:val="left" w:pos="6480"/>
        </w:tabs>
        <w:ind w:left="0"/>
        <w:rPr>
          <w:spacing w:val="-4"/>
          <w:lang w:val="fr-CH"/>
        </w:rPr>
      </w:pPr>
    </w:p>
    <w:p w:rsidR="00930F9A" w:rsidRPr="005212B0" w:rsidRDefault="0030147A" w:rsidP="00103147">
      <w:pPr>
        <w:pStyle w:val="DecisionParagraphs"/>
        <w:tabs>
          <w:tab w:val="left" w:pos="6480"/>
        </w:tabs>
        <w:ind w:left="5387"/>
        <w:rPr>
          <w:lang w:val="fr-CH"/>
        </w:rPr>
      </w:pPr>
      <w:r w:rsidRPr="005212B0">
        <w:rPr>
          <w:lang w:val="fr-CH"/>
        </w:rPr>
        <w:tab/>
      </w:r>
      <w:r w:rsidR="00103147" w:rsidRPr="005212B0">
        <w:rPr>
          <w:lang w:val="fr-CH"/>
        </w:rPr>
        <w:t>ii)</w:t>
      </w:r>
      <w:r w:rsidR="00103147" w:rsidRPr="005212B0">
        <w:rPr>
          <w:lang w:val="fr-CH"/>
        </w:rPr>
        <w:tab/>
        <w:t>décider de créer un groupe de travail sur le produit de la récolte et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utilisation non autorisée de matériel de reproduction ou de multiplication (WG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HRV),</w:t>
      </w:r>
    </w:p>
    <w:p w:rsidR="001431B5" w:rsidRPr="005212B0" w:rsidRDefault="001431B5" w:rsidP="00564C90">
      <w:pPr>
        <w:pStyle w:val="DecisionParagraphs"/>
        <w:tabs>
          <w:tab w:val="left" w:pos="6480"/>
        </w:tabs>
        <w:ind w:left="0"/>
        <w:rPr>
          <w:lang w:val="fr-CH"/>
        </w:rPr>
      </w:pPr>
    </w:p>
    <w:p w:rsidR="00930F9A" w:rsidRPr="005212B0" w:rsidRDefault="0030147A" w:rsidP="00103147">
      <w:pPr>
        <w:pStyle w:val="DecisionParagraphs"/>
        <w:tabs>
          <w:tab w:val="left" w:pos="6480"/>
        </w:tabs>
        <w:ind w:left="5387"/>
        <w:rPr>
          <w:lang w:val="fr-CH"/>
        </w:rPr>
      </w:pPr>
      <w:r w:rsidRPr="005212B0">
        <w:rPr>
          <w:lang w:val="fr-CH"/>
        </w:rPr>
        <w:tab/>
      </w:r>
      <w:r w:rsidR="00103147" w:rsidRPr="005212B0">
        <w:rPr>
          <w:lang w:val="fr-CH"/>
        </w:rPr>
        <w:t>iii)</w:t>
      </w:r>
      <w:r w:rsidR="00103147" w:rsidRPr="005212B0">
        <w:rPr>
          <w:lang w:val="fr-CH"/>
        </w:rPr>
        <w:tab/>
        <w:t>approuver le projet de mandat du 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HRV figurant dans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annexe du présent document,</w:t>
      </w:r>
    </w:p>
    <w:p w:rsidR="001431B5" w:rsidRPr="005212B0" w:rsidRDefault="001431B5" w:rsidP="00564C90">
      <w:pPr>
        <w:pStyle w:val="DecisionParagraphs"/>
        <w:tabs>
          <w:tab w:val="left" w:pos="6480"/>
        </w:tabs>
        <w:ind w:left="0"/>
        <w:rPr>
          <w:lang w:val="fr-CH"/>
        </w:rPr>
      </w:pPr>
    </w:p>
    <w:p w:rsidR="001431B5" w:rsidRPr="005212B0" w:rsidRDefault="0030147A" w:rsidP="00103147">
      <w:pPr>
        <w:pStyle w:val="DecisionParagraphs"/>
        <w:tabs>
          <w:tab w:val="left" w:pos="6480"/>
        </w:tabs>
        <w:ind w:left="5387"/>
        <w:rPr>
          <w:lang w:val="fr-CH"/>
        </w:rPr>
      </w:pPr>
      <w:r w:rsidRPr="005212B0">
        <w:rPr>
          <w:lang w:val="fr-CH"/>
        </w:rPr>
        <w:tab/>
      </w:r>
      <w:r w:rsidR="00103147" w:rsidRPr="005212B0">
        <w:rPr>
          <w:lang w:val="fr-CH"/>
        </w:rPr>
        <w:t>iv)</w:t>
      </w:r>
      <w:r w:rsidR="00103147" w:rsidRPr="005212B0">
        <w:rPr>
          <w:lang w:val="fr-CH"/>
        </w:rPr>
        <w:tab/>
        <w:t>sous réserve de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approbation de la création du 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HRV et de son mandat, demander au Bureau de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Union de publier une circulaire afin d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inviter les membres de l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Union et les observateurs auprès</w:t>
      </w:r>
      <w:r w:rsidR="00930F9A" w:rsidRPr="005212B0">
        <w:rPr>
          <w:lang w:val="fr-CH"/>
        </w:rPr>
        <w:t xml:space="preserve"> du CAJ</w:t>
      </w:r>
      <w:r w:rsidR="00103147" w:rsidRPr="005212B0">
        <w:rPr>
          <w:lang w:val="fr-CH"/>
        </w:rPr>
        <w:t xml:space="preserve"> </w:t>
      </w:r>
      <w:r w:rsidR="001801B9" w:rsidRPr="001801B9">
        <w:rPr>
          <w:lang w:val="fr-CH"/>
        </w:rPr>
        <w:t xml:space="preserve">à faire part de leur volonté d’être membre du </w:t>
      </w:r>
      <w:r w:rsidR="00103147" w:rsidRPr="005212B0">
        <w:rPr>
          <w:lang w:val="fr-CH"/>
        </w:rPr>
        <w:t>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HRV, et</w:t>
      </w:r>
    </w:p>
    <w:p w:rsidR="001431B5" w:rsidRPr="005212B0" w:rsidRDefault="001431B5" w:rsidP="00564C90">
      <w:pPr>
        <w:pStyle w:val="DecisionParagraphs"/>
        <w:tabs>
          <w:tab w:val="left" w:pos="6480"/>
        </w:tabs>
        <w:ind w:left="0"/>
        <w:rPr>
          <w:lang w:val="fr-CH"/>
        </w:rPr>
      </w:pPr>
    </w:p>
    <w:p w:rsidR="00930F9A" w:rsidRPr="005212B0" w:rsidRDefault="0030147A" w:rsidP="00103147">
      <w:pPr>
        <w:pStyle w:val="DecisionParagraphs"/>
        <w:tabs>
          <w:tab w:val="left" w:pos="6480"/>
        </w:tabs>
        <w:ind w:left="5387"/>
        <w:rPr>
          <w:lang w:val="fr-CH"/>
        </w:rPr>
      </w:pPr>
      <w:r w:rsidRPr="005212B0">
        <w:rPr>
          <w:lang w:val="fr-CH"/>
        </w:rPr>
        <w:tab/>
      </w:r>
      <w:r w:rsidR="00103147" w:rsidRPr="005212B0">
        <w:rPr>
          <w:lang w:val="fr-CH"/>
        </w:rPr>
        <w:t>v)</w:t>
      </w:r>
      <w:r w:rsidR="00103147" w:rsidRPr="005212B0">
        <w:rPr>
          <w:lang w:val="fr-CH"/>
        </w:rPr>
        <w:tab/>
        <w:t>noter que, le cas échéant, à sa soixante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dix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huit</w:t>
      </w:r>
      <w:r w:rsidR="00930F9A" w:rsidRPr="005212B0">
        <w:rPr>
          <w:lang w:val="fr-CH"/>
        </w:rPr>
        <w:t>ième session</w:t>
      </w:r>
      <w:r w:rsidR="00103147" w:rsidRPr="005212B0">
        <w:rPr>
          <w:lang w:val="fr-CH"/>
        </w:rPr>
        <w:t>,</w:t>
      </w:r>
      <w:r w:rsidR="00930F9A" w:rsidRPr="005212B0">
        <w:rPr>
          <w:lang w:val="fr-CH"/>
        </w:rPr>
        <w:t xml:space="preserve"> le CAJ</w:t>
      </w:r>
      <w:r w:rsidR="00103147" w:rsidRPr="005212B0">
        <w:rPr>
          <w:lang w:val="fr-CH"/>
        </w:rPr>
        <w:t xml:space="preserve"> recevra un compte rendu des réponses à la circulaire avec les manifestations d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intérêt pour une participation au 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 xml:space="preserve">HRV, </w:t>
      </w:r>
      <w:r w:rsidR="005212B0">
        <w:rPr>
          <w:lang w:val="fr-CH"/>
        </w:rPr>
        <w:t>ainsi qu’</w:t>
      </w:r>
      <w:r w:rsidR="00103147" w:rsidRPr="005212B0">
        <w:rPr>
          <w:lang w:val="fr-CH"/>
        </w:rPr>
        <w:t>une demande d</w:t>
      </w:r>
      <w:r w:rsidR="00930F9A" w:rsidRPr="005212B0">
        <w:rPr>
          <w:lang w:val="fr-CH"/>
        </w:rPr>
        <w:t>’</w:t>
      </w:r>
      <w:r w:rsidR="00103147" w:rsidRPr="005212B0">
        <w:rPr>
          <w:lang w:val="fr-CH"/>
        </w:rPr>
        <w:t>approbation de la composition et de la date de la première réunion du WG</w:t>
      </w:r>
      <w:r w:rsidR="00930F9A" w:rsidRPr="005212B0">
        <w:rPr>
          <w:lang w:val="fr-CH"/>
        </w:rPr>
        <w:t>-</w:t>
      </w:r>
      <w:r w:rsidR="00103147" w:rsidRPr="005212B0">
        <w:rPr>
          <w:lang w:val="fr-CH"/>
        </w:rPr>
        <w:t>HRV.</w:t>
      </w:r>
    </w:p>
    <w:p w:rsidR="001431B5" w:rsidRPr="005212B0" w:rsidRDefault="001431B5" w:rsidP="00564C90">
      <w:pPr>
        <w:pStyle w:val="DecisionParagraphs"/>
        <w:tabs>
          <w:tab w:val="left" w:pos="6570"/>
        </w:tabs>
        <w:ind w:left="0"/>
        <w:rPr>
          <w:lang w:val="fr-CH"/>
        </w:rPr>
      </w:pPr>
    </w:p>
    <w:p w:rsidR="001431B5" w:rsidRPr="005212B0" w:rsidRDefault="001431B5" w:rsidP="00564C90">
      <w:pPr>
        <w:pStyle w:val="DecisionParagraphs"/>
        <w:tabs>
          <w:tab w:val="left" w:pos="6570"/>
        </w:tabs>
        <w:ind w:left="0"/>
        <w:rPr>
          <w:lang w:val="fr-CH"/>
        </w:rPr>
      </w:pPr>
    </w:p>
    <w:p w:rsidR="001431B5" w:rsidRDefault="00103147" w:rsidP="00103147">
      <w:pPr>
        <w:jc w:val="right"/>
        <w:rPr>
          <w:lang w:val="fr-CH"/>
        </w:rPr>
      </w:pPr>
      <w:r w:rsidRPr="005212B0">
        <w:rPr>
          <w:lang w:val="fr-CH"/>
        </w:rPr>
        <w:t>[L</w:t>
      </w:r>
      <w:r w:rsidR="00930F9A" w:rsidRPr="005212B0">
        <w:rPr>
          <w:lang w:val="fr-CH"/>
        </w:rPr>
        <w:t>’</w:t>
      </w:r>
      <w:r w:rsidRPr="005212B0">
        <w:rPr>
          <w:lang w:val="fr-CH"/>
        </w:rPr>
        <w:t>annexe suit]</w:t>
      </w:r>
    </w:p>
    <w:p w:rsidR="001431B5" w:rsidRPr="00564C90" w:rsidRDefault="001431B5" w:rsidP="00564C90">
      <w:pPr>
        <w:pStyle w:val="DecisionParagraphs"/>
        <w:tabs>
          <w:tab w:val="left" w:pos="6570"/>
        </w:tabs>
        <w:ind w:left="0"/>
        <w:rPr>
          <w:i w:val="0"/>
          <w:lang w:val="fr-CH"/>
        </w:rPr>
      </w:pPr>
    </w:p>
    <w:p w:rsidR="001431B5" w:rsidRDefault="001431B5" w:rsidP="00564C90">
      <w:pPr>
        <w:pStyle w:val="DecisionParagraphs"/>
        <w:tabs>
          <w:tab w:val="left" w:pos="6570"/>
        </w:tabs>
        <w:ind w:left="0"/>
        <w:rPr>
          <w:lang w:val="fr-CH"/>
        </w:rPr>
      </w:pPr>
    </w:p>
    <w:p w:rsidR="001431B5" w:rsidRDefault="001431B5" w:rsidP="0030147A">
      <w:pPr>
        <w:rPr>
          <w:lang w:val="fr-CH"/>
        </w:rPr>
      </w:pPr>
    </w:p>
    <w:p w:rsidR="0030147A" w:rsidRPr="00CF186D" w:rsidRDefault="0030147A" w:rsidP="0030147A">
      <w:pPr>
        <w:rPr>
          <w:lang w:val="fr-CH"/>
        </w:rPr>
        <w:sectPr w:rsidR="0030147A" w:rsidRPr="00CF186D" w:rsidSect="00530523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930F9A" w:rsidRPr="000E323B" w:rsidRDefault="000E323B" w:rsidP="001431B5">
      <w:pPr>
        <w:jc w:val="center"/>
        <w:rPr>
          <w:rFonts w:cs="Arial"/>
          <w:caps/>
          <w:lang w:val="fr-CH"/>
        </w:rPr>
      </w:pPr>
      <w:r w:rsidRPr="000E323B">
        <w:rPr>
          <w:rFonts w:cs="Arial"/>
          <w:caps/>
          <w:color w:val="000000"/>
          <w:lang w:val="fr-CH"/>
        </w:rPr>
        <w:lastRenderedPageBreak/>
        <w:t>Projet de mandat du groupe de travail sur</w:t>
      </w:r>
    </w:p>
    <w:p w:rsidR="00930F9A" w:rsidRPr="000E323B" w:rsidRDefault="000E323B" w:rsidP="001431B5">
      <w:pPr>
        <w:jc w:val="center"/>
        <w:rPr>
          <w:rFonts w:cs="Arial"/>
          <w:caps/>
          <w:lang w:val="fr-CH"/>
        </w:rPr>
      </w:pPr>
      <w:r w:rsidRPr="000E323B">
        <w:rPr>
          <w:rFonts w:cs="Arial"/>
          <w:caps/>
          <w:color w:val="000000"/>
          <w:lang w:val="fr-CH"/>
        </w:rPr>
        <w:t>Le produit de la récolte et l</w:t>
      </w:r>
      <w:r w:rsidR="005212B0" w:rsidRPr="000E323B">
        <w:rPr>
          <w:rFonts w:cs="Arial"/>
          <w:caps/>
          <w:color w:val="000000"/>
          <w:lang w:val="fr-CH"/>
        </w:rPr>
        <w:t>’</w:t>
      </w:r>
      <w:r w:rsidRPr="000E323B">
        <w:rPr>
          <w:rFonts w:cs="Arial"/>
          <w:caps/>
          <w:color w:val="000000"/>
          <w:lang w:val="fr-CH"/>
        </w:rPr>
        <w:t>utilisation non autorisée de matériel de reproduction ou de multiplication</w:t>
      </w:r>
    </w:p>
    <w:p w:rsidR="001431B5" w:rsidRPr="000E323B" w:rsidRDefault="000E323B" w:rsidP="001431B5">
      <w:pPr>
        <w:jc w:val="center"/>
        <w:rPr>
          <w:caps/>
          <w:lang w:val="fr-CH"/>
        </w:rPr>
      </w:pPr>
      <w:r w:rsidRPr="000E323B">
        <w:rPr>
          <w:caps/>
          <w:color w:val="000000"/>
          <w:lang w:val="fr-CH"/>
        </w:rPr>
        <w:t>(WG</w:t>
      </w:r>
      <w:r w:rsidR="005212B0" w:rsidRPr="000E323B">
        <w:rPr>
          <w:caps/>
          <w:color w:val="000000"/>
          <w:lang w:val="fr-CH"/>
        </w:rPr>
        <w:t>-</w:t>
      </w:r>
      <w:r w:rsidRPr="000E323B">
        <w:rPr>
          <w:caps/>
          <w:color w:val="000000"/>
          <w:lang w:val="fr-CH"/>
        </w:rPr>
        <w:t>HRV)</w:t>
      </w:r>
    </w:p>
    <w:p w:rsidR="001431B5" w:rsidRPr="00481C5B" w:rsidRDefault="001431B5" w:rsidP="0030147A">
      <w:pPr>
        <w:rPr>
          <w:lang w:val="fr-CH"/>
        </w:rPr>
      </w:pPr>
    </w:p>
    <w:p w:rsidR="001431B5" w:rsidRPr="00481C5B" w:rsidRDefault="001431B5" w:rsidP="0030147A">
      <w:pPr>
        <w:rPr>
          <w:lang w:val="fr-CH"/>
        </w:rPr>
      </w:pPr>
    </w:p>
    <w:p w:rsidR="00930F9A" w:rsidRDefault="00471D96" w:rsidP="001431B5">
      <w:pPr>
        <w:rPr>
          <w:lang w:val="fr-CH"/>
        </w:rPr>
      </w:pPr>
      <w:r w:rsidRPr="00471D96">
        <w:rPr>
          <w:caps/>
          <w:color w:val="000000"/>
          <w:lang w:val="fr-CH"/>
        </w:rPr>
        <w:t>Objet</w:t>
      </w:r>
      <w:r w:rsidR="005212B0" w:rsidRPr="00471D96">
        <w:rPr>
          <w:caps/>
          <w:color w:val="000000"/>
          <w:lang w:val="fr-CH"/>
        </w:rPr>
        <w:t> </w:t>
      </w:r>
      <w:r w:rsidR="005212B0">
        <w:rPr>
          <w:color w:val="000000"/>
          <w:lang w:val="fr-CH"/>
        </w:rPr>
        <w:t>:</w:t>
      </w:r>
    </w:p>
    <w:p w:rsidR="001431B5" w:rsidRPr="00481C5B" w:rsidRDefault="001431B5" w:rsidP="0030147A">
      <w:pPr>
        <w:contextualSpacing/>
        <w:rPr>
          <w:rFonts w:cs="Arial"/>
          <w:sz w:val="18"/>
          <w:lang w:val="fr-CH"/>
        </w:rPr>
      </w:pPr>
    </w:p>
    <w:p w:rsidR="001431B5" w:rsidRPr="005212B0" w:rsidRDefault="00481C5B" w:rsidP="00481C5B">
      <w:pPr>
        <w:contextualSpacing/>
        <w:rPr>
          <w:rFonts w:cs="Arial"/>
          <w:lang w:val="fr-CH"/>
        </w:rPr>
      </w:pPr>
      <w:r w:rsidRPr="005212B0">
        <w:rPr>
          <w:rFonts w:cs="Arial"/>
          <w:lang w:val="fr-CH"/>
        </w:rPr>
        <w:t>Le WG</w:t>
      </w:r>
      <w:r w:rsidR="00930F9A" w:rsidRPr="005212B0">
        <w:rPr>
          <w:rFonts w:cs="Arial"/>
          <w:lang w:val="fr-CH"/>
        </w:rPr>
        <w:t>-</w:t>
      </w:r>
      <w:r w:rsidR="005212B0" w:rsidRPr="005212B0">
        <w:rPr>
          <w:rFonts w:cs="Arial"/>
          <w:lang w:val="fr-CH"/>
        </w:rPr>
        <w:t>HRV</w:t>
      </w:r>
      <w:r w:rsidRPr="005212B0">
        <w:rPr>
          <w:rFonts w:cs="Arial"/>
          <w:lang w:val="fr-CH"/>
        </w:rPr>
        <w:t xml:space="preserve"> a pour mission de rédiger une version révisée des “Notes explicatives sur les actes </w:t>
      </w:r>
      <w:r w:rsidR="00930F9A" w:rsidRPr="005212B0">
        <w:rPr>
          <w:rFonts w:cs="Arial"/>
          <w:lang w:val="fr-CH"/>
        </w:rPr>
        <w:t>à l’égard</w:t>
      </w:r>
      <w:r w:rsidRPr="005212B0">
        <w:rPr>
          <w:rFonts w:cs="Arial"/>
          <w:lang w:val="fr-CH"/>
        </w:rPr>
        <w:t xml:space="preserve"> du produit de la récolte selon l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Acte de 1991 de la </w:t>
      </w:r>
      <w:r w:rsidR="00930F9A" w:rsidRPr="005212B0">
        <w:rPr>
          <w:rFonts w:cs="Arial"/>
          <w:lang w:val="fr-CH"/>
        </w:rPr>
        <w:t>Convention UPOV</w:t>
      </w:r>
      <w:r w:rsidRPr="005212B0">
        <w:rPr>
          <w:rFonts w:cs="Arial"/>
          <w:lang w:val="fr-CH"/>
        </w:rPr>
        <w:t xml:space="preserve">” (document UPOV/EXN/HRV/1), des </w:t>
      </w:r>
      <w:r w:rsidR="00930F9A" w:rsidRPr="005212B0">
        <w:rPr>
          <w:rFonts w:cs="Arial"/>
          <w:lang w:val="fr-CH"/>
        </w:rPr>
        <w:t>“N</w:t>
      </w:r>
      <w:r w:rsidRPr="005212B0">
        <w:rPr>
          <w:rFonts w:cs="Arial"/>
          <w:lang w:val="fr-CH"/>
        </w:rPr>
        <w:t xml:space="preserve">otes explicatives sur le matériel de reproduction ou de multiplication selon la </w:t>
      </w:r>
      <w:r w:rsidR="00930F9A" w:rsidRPr="005212B0">
        <w:rPr>
          <w:rFonts w:cs="Arial"/>
          <w:lang w:val="fr-CH"/>
        </w:rPr>
        <w:t>Convention UPOV”</w:t>
      </w:r>
      <w:r w:rsidRPr="005212B0">
        <w:rPr>
          <w:rFonts w:cs="Arial"/>
          <w:lang w:val="fr-CH"/>
        </w:rPr>
        <w:t xml:space="preserve"> (UPOV/EXN/PPM/1) et des “Notes explicatives sur la protection provisoire selon la </w:t>
      </w:r>
      <w:r w:rsidR="00930F9A" w:rsidRPr="005212B0">
        <w:rPr>
          <w:rFonts w:cs="Arial"/>
          <w:lang w:val="fr-CH"/>
        </w:rPr>
        <w:t>Convention UPOV</w:t>
      </w:r>
      <w:r w:rsidRPr="005212B0">
        <w:rPr>
          <w:rFonts w:cs="Arial"/>
          <w:lang w:val="fr-CH"/>
        </w:rPr>
        <w:t>” (UPOV/EXN/PRP/2), pour examen par le Comité administratif et juridique (CAJ).</w:t>
      </w:r>
    </w:p>
    <w:p w:rsidR="001431B5" w:rsidRPr="005212B0" w:rsidRDefault="001431B5" w:rsidP="0030147A">
      <w:pPr>
        <w:rPr>
          <w:sz w:val="18"/>
          <w:szCs w:val="18"/>
          <w:lang w:val="fr-CH"/>
        </w:rPr>
      </w:pPr>
    </w:p>
    <w:p w:rsidR="001431B5" w:rsidRPr="00481C5B" w:rsidRDefault="001431B5" w:rsidP="0030147A">
      <w:pPr>
        <w:rPr>
          <w:sz w:val="18"/>
          <w:szCs w:val="18"/>
          <w:lang w:val="fr-CH"/>
        </w:rPr>
      </w:pPr>
    </w:p>
    <w:p w:rsidR="001431B5" w:rsidRPr="00481C5B" w:rsidRDefault="001431B5" w:rsidP="0030147A">
      <w:pPr>
        <w:rPr>
          <w:sz w:val="18"/>
          <w:szCs w:val="18"/>
          <w:lang w:val="fr-CH"/>
        </w:rPr>
      </w:pPr>
    </w:p>
    <w:p w:rsidR="001431B5" w:rsidRPr="006C74D4" w:rsidRDefault="00471D96" w:rsidP="0030147A">
      <w:pPr>
        <w:rPr>
          <w:lang w:val="fr-CH"/>
        </w:rPr>
      </w:pPr>
      <w:bookmarkStart w:id="26" w:name="_Toc47557369"/>
      <w:bookmarkStart w:id="27" w:name="_Toc48316465"/>
      <w:r w:rsidRPr="00471D96">
        <w:rPr>
          <w:caps/>
          <w:lang w:val="fr-CH"/>
        </w:rPr>
        <w:t>Composition</w:t>
      </w:r>
      <w:r w:rsidR="000C40B4" w:rsidRPr="006C74D4">
        <w:rPr>
          <w:lang w:val="fr-CH"/>
        </w:rPr>
        <w:t> </w:t>
      </w:r>
      <w:r w:rsidR="0030147A" w:rsidRPr="006C74D4">
        <w:rPr>
          <w:lang w:val="fr-CH"/>
        </w:rPr>
        <w:t>:</w:t>
      </w:r>
      <w:bookmarkEnd w:id="26"/>
      <w:bookmarkEnd w:id="27"/>
    </w:p>
    <w:p w:rsidR="001431B5" w:rsidRPr="006C74D4" w:rsidRDefault="001431B5" w:rsidP="0030147A">
      <w:pPr>
        <w:rPr>
          <w:rFonts w:cs="Arial"/>
          <w:sz w:val="18"/>
          <w:szCs w:val="18"/>
          <w:lang w:val="fr-CH"/>
        </w:rPr>
      </w:pPr>
    </w:p>
    <w:p w:rsidR="00930F9A" w:rsidRPr="005212B0" w:rsidRDefault="00481C5B" w:rsidP="00481C5B">
      <w:pPr>
        <w:ind w:firstLine="567"/>
        <w:rPr>
          <w:rFonts w:cs="Arial"/>
          <w:lang w:val="fr-CH"/>
        </w:rPr>
      </w:pPr>
      <w:r w:rsidRPr="005212B0">
        <w:rPr>
          <w:rFonts w:cs="Arial"/>
          <w:lang w:val="fr-CH"/>
        </w:rPr>
        <w:t xml:space="preserve">a) </w:t>
      </w:r>
      <w:r w:rsidRPr="005212B0">
        <w:rPr>
          <w:rFonts w:cs="Arial"/>
          <w:lang w:val="fr-CH"/>
        </w:rPr>
        <w:tab/>
        <w:t>le WG</w:t>
      </w:r>
      <w:r w:rsidR="00930F9A" w:rsidRPr="005212B0">
        <w:rPr>
          <w:rFonts w:cs="Arial"/>
          <w:lang w:val="fr-CH"/>
        </w:rPr>
        <w:t>-</w:t>
      </w:r>
      <w:r w:rsidRPr="005212B0">
        <w:rPr>
          <w:rFonts w:cs="Arial"/>
          <w:lang w:val="fr-CH"/>
        </w:rPr>
        <w:t>HRV est composé des membres de l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Union et des observateurs accrédités par</w:t>
      </w:r>
      <w:r w:rsidR="00930F9A" w:rsidRPr="005212B0">
        <w:rPr>
          <w:rFonts w:cs="Arial"/>
          <w:lang w:val="fr-CH"/>
        </w:rPr>
        <w:t xml:space="preserve"> le CAJ</w:t>
      </w:r>
      <w:r w:rsidRPr="005212B0">
        <w:rPr>
          <w:rFonts w:cs="Arial"/>
          <w:lang w:val="fr-CH"/>
        </w:rPr>
        <w:t>;</w:t>
      </w:r>
    </w:p>
    <w:p w:rsidR="001431B5" w:rsidRPr="005212B0" w:rsidRDefault="001431B5" w:rsidP="0030147A">
      <w:pPr>
        <w:rPr>
          <w:rFonts w:cs="Arial"/>
          <w:sz w:val="18"/>
          <w:szCs w:val="18"/>
          <w:lang w:val="fr-CH"/>
        </w:rPr>
      </w:pPr>
    </w:p>
    <w:p w:rsidR="001431B5" w:rsidRPr="005212B0" w:rsidRDefault="00481C5B" w:rsidP="00481C5B">
      <w:pPr>
        <w:ind w:firstLine="567"/>
        <w:rPr>
          <w:rFonts w:cs="Arial"/>
          <w:lang w:val="fr-CH"/>
        </w:rPr>
      </w:pPr>
      <w:r w:rsidRPr="005212B0">
        <w:rPr>
          <w:rFonts w:cs="Arial"/>
          <w:lang w:val="fr-CH"/>
        </w:rPr>
        <w:t>b)</w:t>
      </w:r>
      <w:r w:rsidRPr="005212B0">
        <w:rPr>
          <w:rFonts w:cs="Arial"/>
          <w:lang w:val="fr-CH"/>
        </w:rPr>
        <w:tab/>
        <w:t>les autres membres de l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Union seraient libres de participer à toute réunion du WG</w:t>
      </w:r>
      <w:r w:rsidR="00930F9A" w:rsidRPr="005212B0">
        <w:rPr>
          <w:rFonts w:cs="Arial"/>
          <w:lang w:val="fr-CH"/>
        </w:rPr>
        <w:t>-</w:t>
      </w:r>
      <w:r w:rsidRPr="005212B0">
        <w:rPr>
          <w:rFonts w:cs="Arial"/>
          <w:lang w:val="fr-CH"/>
        </w:rPr>
        <w:t xml:space="preserve">HRV </w:t>
      </w:r>
      <w:r w:rsidR="005212B0">
        <w:rPr>
          <w:rFonts w:cs="Arial"/>
          <w:lang w:val="fr-CH"/>
        </w:rPr>
        <w:t xml:space="preserve">et de formuler des observations </w:t>
      </w:r>
      <w:r w:rsidRPr="005212B0">
        <w:rPr>
          <w:rFonts w:cs="Arial"/>
          <w:lang w:val="fr-CH"/>
        </w:rPr>
        <w:t>s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ils le souhaitent;</w:t>
      </w:r>
    </w:p>
    <w:p w:rsidR="001431B5" w:rsidRPr="005212B0" w:rsidRDefault="001431B5" w:rsidP="0030147A">
      <w:pPr>
        <w:rPr>
          <w:rFonts w:cs="Arial"/>
          <w:sz w:val="18"/>
          <w:szCs w:val="18"/>
          <w:lang w:val="fr-CH"/>
        </w:rPr>
      </w:pPr>
    </w:p>
    <w:p w:rsidR="00930F9A" w:rsidRPr="005212B0" w:rsidRDefault="00481C5B" w:rsidP="00481C5B">
      <w:pPr>
        <w:ind w:firstLine="567"/>
        <w:rPr>
          <w:rFonts w:cs="Arial"/>
          <w:lang w:val="fr-CH"/>
        </w:rPr>
      </w:pPr>
      <w:r w:rsidRPr="005212B0">
        <w:rPr>
          <w:rFonts w:cs="Arial"/>
          <w:lang w:val="fr-CH"/>
        </w:rPr>
        <w:t>c)</w:t>
      </w:r>
      <w:r w:rsidRPr="005212B0">
        <w:rPr>
          <w:rFonts w:cs="Arial"/>
          <w:lang w:val="fr-CH"/>
        </w:rPr>
        <w:tab/>
        <w:t>le WG</w:t>
      </w:r>
      <w:r w:rsidR="00930F9A" w:rsidRPr="005212B0">
        <w:rPr>
          <w:rFonts w:cs="Arial"/>
          <w:lang w:val="fr-CH"/>
        </w:rPr>
        <w:t>-</w:t>
      </w:r>
      <w:r w:rsidRPr="005212B0">
        <w:rPr>
          <w:rFonts w:cs="Arial"/>
          <w:lang w:val="fr-CH"/>
        </w:rPr>
        <w:t>HRV consulterait de nouveau</w:t>
      </w:r>
      <w:r w:rsidR="00930F9A" w:rsidRPr="005212B0">
        <w:rPr>
          <w:rFonts w:cs="Arial"/>
          <w:lang w:val="fr-CH"/>
        </w:rPr>
        <w:t xml:space="preserve"> le CAJ</w:t>
      </w:r>
      <w:r w:rsidRPr="005212B0">
        <w:rPr>
          <w:rFonts w:cs="Arial"/>
          <w:lang w:val="fr-CH"/>
        </w:rPr>
        <w:t xml:space="preserve"> s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il recommandait d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inviter d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>autres observateurs ou experts à l</w:t>
      </w:r>
      <w:r w:rsidR="00930F9A" w:rsidRPr="005212B0">
        <w:rPr>
          <w:rFonts w:cs="Arial"/>
          <w:lang w:val="fr-CH"/>
        </w:rPr>
        <w:t>’</w:t>
      </w:r>
      <w:r w:rsidRPr="005212B0">
        <w:rPr>
          <w:rFonts w:cs="Arial"/>
          <w:lang w:val="fr-CH"/>
        </w:rPr>
        <w:t xml:space="preserve">une de ses </w:t>
      </w:r>
      <w:proofErr w:type="gramStart"/>
      <w:r w:rsidRPr="005212B0">
        <w:rPr>
          <w:rFonts w:cs="Arial"/>
          <w:lang w:val="fr-CH"/>
        </w:rPr>
        <w:t xml:space="preserve">réunions; </w:t>
      </w:r>
      <w:r w:rsidR="000C40B4" w:rsidRPr="005212B0">
        <w:rPr>
          <w:rFonts w:cs="Arial"/>
          <w:lang w:val="fr-CH"/>
        </w:rPr>
        <w:t xml:space="preserve"> </w:t>
      </w:r>
      <w:r w:rsidRPr="005212B0">
        <w:rPr>
          <w:rFonts w:cs="Arial"/>
          <w:lang w:val="fr-CH"/>
        </w:rPr>
        <w:t>et</w:t>
      </w:r>
      <w:proofErr w:type="gramEnd"/>
    </w:p>
    <w:p w:rsidR="001431B5" w:rsidRPr="005212B0" w:rsidRDefault="001431B5" w:rsidP="0030147A">
      <w:pPr>
        <w:rPr>
          <w:rFonts w:cs="Arial"/>
          <w:sz w:val="18"/>
          <w:szCs w:val="18"/>
          <w:lang w:val="fr-CH"/>
        </w:rPr>
      </w:pPr>
    </w:p>
    <w:p w:rsidR="001431B5" w:rsidRPr="005212B0" w:rsidRDefault="00481C5B" w:rsidP="00481C5B">
      <w:pPr>
        <w:tabs>
          <w:tab w:val="left" w:pos="1134"/>
        </w:tabs>
        <w:ind w:firstLine="567"/>
        <w:rPr>
          <w:rFonts w:cs="Arial"/>
          <w:lang w:val="fr-CH"/>
        </w:rPr>
      </w:pPr>
      <w:r w:rsidRPr="005212B0">
        <w:rPr>
          <w:rFonts w:cs="Arial"/>
          <w:lang w:val="fr-CH"/>
        </w:rPr>
        <w:t>d)</w:t>
      </w:r>
      <w:r w:rsidRPr="005212B0">
        <w:rPr>
          <w:rFonts w:cs="Arial"/>
          <w:lang w:val="fr-CH"/>
        </w:rPr>
        <w:tab/>
        <w:t>les réunions seraient présidées par le Secrétaire général adjoint.</w:t>
      </w:r>
    </w:p>
    <w:p w:rsidR="001431B5" w:rsidRPr="005212B0" w:rsidRDefault="001431B5" w:rsidP="0030147A">
      <w:pPr>
        <w:rPr>
          <w:sz w:val="18"/>
          <w:lang w:val="fr-CH"/>
        </w:rPr>
      </w:pPr>
    </w:p>
    <w:p w:rsidR="001431B5" w:rsidRPr="00481C5B" w:rsidRDefault="001431B5" w:rsidP="0030147A">
      <w:pPr>
        <w:rPr>
          <w:sz w:val="18"/>
          <w:lang w:val="fr-CH"/>
        </w:rPr>
      </w:pPr>
    </w:p>
    <w:p w:rsidR="001431B5" w:rsidRPr="00481C5B" w:rsidRDefault="001431B5" w:rsidP="0030147A">
      <w:pPr>
        <w:rPr>
          <w:sz w:val="18"/>
          <w:lang w:val="fr-CH"/>
        </w:rPr>
      </w:pPr>
    </w:p>
    <w:p w:rsidR="001431B5" w:rsidRPr="00471D96" w:rsidRDefault="00471D96" w:rsidP="0030147A">
      <w:pPr>
        <w:rPr>
          <w:caps/>
          <w:lang w:val="fr-CH"/>
        </w:rPr>
      </w:pPr>
      <w:bookmarkStart w:id="28" w:name="_Toc47557370"/>
      <w:bookmarkStart w:id="29" w:name="_Toc48316466"/>
      <w:r w:rsidRPr="007135D4">
        <w:rPr>
          <w:i/>
          <w:caps/>
          <w:lang w:val="fr-CH"/>
        </w:rPr>
        <w:t>Modus operandi</w:t>
      </w:r>
      <w:r w:rsidR="007135D4" w:rsidRPr="007135D4">
        <w:t xml:space="preserve"> </w:t>
      </w:r>
      <w:r w:rsidR="007135D4">
        <w:t>(</w:t>
      </w:r>
      <w:r w:rsidR="007135D4" w:rsidRPr="007135D4">
        <w:rPr>
          <w:caps/>
          <w:lang w:val="fr-CH"/>
        </w:rPr>
        <w:t>MODALITÉS DE FONCTIONNEMENT</w:t>
      </w:r>
      <w:r w:rsidR="007135D4">
        <w:rPr>
          <w:caps/>
          <w:lang w:val="fr-CH"/>
        </w:rPr>
        <w:t>)</w:t>
      </w:r>
      <w:r w:rsidR="000C40B4" w:rsidRPr="00471D96">
        <w:rPr>
          <w:caps/>
          <w:lang w:val="fr-CH"/>
        </w:rPr>
        <w:t> </w:t>
      </w:r>
      <w:r w:rsidR="0030147A" w:rsidRPr="00471D96">
        <w:rPr>
          <w:caps/>
          <w:lang w:val="fr-CH"/>
        </w:rPr>
        <w:t>:</w:t>
      </w:r>
      <w:bookmarkEnd w:id="28"/>
      <w:bookmarkEnd w:id="29"/>
    </w:p>
    <w:p w:rsidR="001431B5" w:rsidRPr="006C74D4" w:rsidRDefault="001431B5" w:rsidP="0030147A">
      <w:pPr>
        <w:rPr>
          <w:rFonts w:cs="Arial"/>
          <w:sz w:val="18"/>
          <w:szCs w:val="18"/>
          <w:u w:val="single"/>
          <w:lang w:val="fr-CH"/>
        </w:rPr>
      </w:pPr>
    </w:p>
    <w:p w:rsidR="001431B5" w:rsidRPr="005212B0" w:rsidRDefault="0066016D" w:rsidP="0066016D">
      <w:pPr>
        <w:pStyle w:val="ListParagraph"/>
        <w:ind w:left="567"/>
        <w:rPr>
          <w:rFonts w:cs="Arial"/>
          <w:lang w:val="fr-CH"/>
        </w:rPr>
      </w:pPr>
      <w:r>
        <w:rPr>
          <w:rFonts w:cs="Arial"/>
          <w:lang w:val="fr-CH"/>
        </w:rPr>
        <w:t>a)</w:t>
      </w:r>
      <w:r w:rsidR="005212B0" w:rsidRPr="005212B0">
        <w:rPr>
          <w:rFonts w:cs="Arial"/>
          <w:lang w:val="fr-CH"/>
        </w:rPr>
        <w:tab/>
      </w:r>
      <w:r w:rsidR="00481C5B" w:rsidRPr="005212B0">
        <w:rPr>
          <w:rFonts w:cs="Arial"/>
          <w:color w:val="000000"/>
          <w:lang w:val="fr-CH"/>
        </w:rPr>
        <w:t>lors de la rédaction de la version révisée des documents UPOV/EXN/HRV/1, UPOV/EXN/PPM/1 et UPOV/EXN/PRP/2, le WG</w:t>
      </w:r>
      <w:r w:rsidR="00930F9A" w:rsidRPr="005212B0">
        <w:rPr>
          <w:rFonts w:cs="Arial"/>
          <w:color w:val="000000"/>
          <w:lang w:val="fr-CH"/>
        </w:rPr>
        <w:t>-</w:t>
      </w:r>
      <w:r w:rsidR="00481C5B" w:rsidRPr="005212B0">
        <w:rPr>
          <w:rFonts w:cs="Arial"/>
          <w:color w:val="000000"/>
          <w:lang w:val="fr-CH"/>
        </w:rPr>
        <w:t>HRV examine les questions soulevées da</w:t>
      </w:r>
      <w:r w:rsidR="005212B0">
        <w:rPr>
          <w:rFonts w:cs="Arial"/>
          <w:color w:val="000000"/>
          <w:lang w:val="fr-CH"/>
        </w:rPr>
        <w:t>ns les réponses à la circulaire </w:t>
      </w:r>
      <w:r w:rsidR="00481C5B" w:rsidRPr="005212B0">
        <w:rPr>
          <w:rFonts w:cs="Arial"/>
          <w:color w:val="000000"/>
          <w:lang w:val="fr-CH"/>
        </w:rPr>
        <w:t>E</w:t>
      </w:r>
      <w:r w:rsidR="007135D4">
        <w:rPr>
          <w:rFonts w:cs="Arial"/>
          <w:color w:val="000000"/>
          <w:lang w:val="fr-CH"/>
        </w:rPr>
        <w:noBreakHyphen/>
      </w:r>
      <w:r w:rsidR="00481C5B" w:rsidRPr="005212B0">
        <w:rPr>
          <w:rFonts w:cs="Arial"/>
          <w:color w:val="000000"/>
          <w:lang w:val="fr-CH"/>
        </w:rPr>
        <w:t xml:space="preserve">19/232 </w:t>
      </w:r>
      <w:r w:rsidR="005212B0">
        <w:rPr>
          <w:rFonts w:cs="Arial"/>
          <w:color w:val="000000"/>
          <w:lang w:val="fr-CH"/>
        </w:rPr>
        <w:t xml:space="preserve">de l’UPOV </w:t>
      </w:r>
      <w:r w:rsidR="00481C5B" w:rsidRPr="005212B0">
        <w:rPr>
          <w:rFonts w:cs="Arial"/>
          <w:color w:val="000000"/>
          <w:lang w:val="fr-CH"/>
        </w:rPr>
        <w:t xml:space="preserve">et, en particulier, les conclusions du </w:t>
      </w:r>
      <w:r w:rsidR="007135D4" w:rsidRPr="007135D4">
        <w:rPr>
          <w:rFonts w:cs="Arial"/>
          <w:color w:val="000000"/>
          <w:lang w:val="fr-CH"/>
        </w:rPr>
        <w:t>Séminaire sur le droit d’obtenteur en relation avec le produit de la récolte</w:t>
      </w:r>
      <w:r w:rsidR="00481C5B" w:rsidRPr="005212B0">
        <w:rPr>
          <w:rFonts w:cs="Arial"/>
          <w:color w:val="000000"/>
          <w:lang w:val="fr-CH"/>
        </w:rPr>
        <w:t xml:space="preserve"> </w:t>
      </w:r>
      <w:r w:rsidR="00930F9A" w:rsidRPr="005212B0">
        <w:rPr>
          <w:rFonts w:cs="Arial"/>
          <w:color w:val="000000"/>
          <w:lang w:val="fr-CH"/>
        </w:rPr>
        <w:t>de 2021 :</w:t>
      </w:r>
    </w:p>
    <w:p w:rsidR="001431B5" w:rsidRPr="00481C5B" w:rsidRDefault="001431B5" w:rsidP="0030147A">
      <w:pPr>
        <w:keepNext/>
        <w:ind w:left="927"/>
        <w:rPr>
          <w:rFonts w:cs="Arial"/>
          <w:sz w:val="18"/>
          <w:lang w:val="fr-CH"/>
        </w:rPr>
      </w:pPr>
    </w:p>
    <w:p w:rsidR="001431B5" w:rsidRPr="00D91F41" w:rsidRDefault="00930F9A" w:rsidP="001471D4">
      <w:pPr>
        <w:pStyle w:val="ListParagraph"/>
        <w:keepNext/>
        <w:numPr>
          <w:ilvl w:val="0"/>
          <w:numId w:val="2"/>
        </w:numPr>
        <w:ind w:left="1494" w:right="639"/>
        <w:rPr>
          <w:rFonts w:cs="Arial"/>
          <w:i/>
          <w:sz w:val="18"/>
          <w:lang w:val="fr-CH"/>
        </w:rPr>
      </w:pPr>
      <w:r w:rsidRPr="00D91F41">
        <w:rPr>
          <w:rFonts w:cs="Arial"/>
          <w:i/>
          <w:sz w:val="18"/>
          <w:lang w:val="fr-CH"/>
        </w:rPr>
        <w:t>“Q</w:t>
      </w:r>
      <w:r w:rsidR="001471D4" w:rsidRPr="00D91F41">
        <w:rPr>
          <w:rFonts w:cs="Arial"/>
          <w:i/>
          <w:sz w:val="18"/>
          <w:lang w:val="fr-CH"/>
        </w:rPr>
        <w:t>uelles sont les incidences de l</w:t>
      </w:r>
      <w:r w:rsidRPr="00D91F41">
        <w:rPr>
          <w:rFonts w:cs="Arial"/>
          <w:i/>
          <w:sz w:val="18"/>
          <w:lang w:val="fr-CH"/>
        </w:rPr>
        <w:t>’</w:t>
      </w:r>
      <w:r w:rsidR="001471D4" w:rsidRPr="00D91F41">
        <w:rPr>
          <w:rFonts w:cs="Arial"/>
          <w:i/>
          <w:sz w:val="18"/>
          <w:lang w:val="fr-CH"/>
        </w:rPr>
        <w:t>absence de protection efficace du produit de la récolte sur les cultivateurs et les consommateurs?</w:t>
      </w:r>
    </w:p>
    <w:p w:rsidR="001431B5" w:rsidRPr="00D91F41" w:rsidRDefault="001431B5" w:rsidP="0030147A">
      <w:pPr>
        <w:pStyle w:val="ListParagraph"/>
        <w:keepNext/>
        <w:ind w:left="1494" w:right="639"/>
        <w:rPr>
          <w:rFonts w:cs="Arial"/>
          <w:sz w:val="18"/>
          <w:lang w:val="fr-CH"/>
        </w:rPr>
      </w:pPr>
    </w:p>
    <w:p w:rsidR="001431B5" w:rsidRPr="00D91F41" w:rsidRDefault="00930F9A" w:rsidP="001471D4">
      <w:pPr>
        <w:pStyle w:val="ListParagraph"/>
        <w:keepLines/>
        <w:ind w:left="1908" w:right="639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ors du séminaire, il a été démontré que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absence de protection efficace des nouvelles variétés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arbres fruitiers, avant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octroi de droits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obtenteur, pouvait empêcher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introduction précoce de variétés nouvelles et améliorées, réduisant ainsi les avantages de ces variétés pour les cultivateurs et les consommateurs et, par conséquent, pour toute la socié</w:t>
      </w:r>
      <w:r w:rsidR="006C74D4" w:rsidRPr="00D91F41">
        <w:rPr>
          <w:rFonts w:cs="Arial"/>
          <w:sz w:val="18"/>
          <w:lang w:val="fr-CH"/>
        </w:rPr>
        <w:t>té.  En</w:t>
      </w:r>
      <w:r w:rsidR="001471D4" w:rsidRPr="00D91F41">
        <w:rPr>
          <w:rFonts w:cs="Arial"/>
          <w:sz w:val="18"/>
          <w:lang w:val="fr-CH"/>
        </w:rPr>
        <w:t xml:space="preserve"> outre, si les obtenteurs ne bénéficient pas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une protection efficace leur permettant de récupérer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investissement réalisé en matière de sélection, les variétés améliorées risquent de ne pas être créées du tout.</w:t>
      </w:r>
    </w:p>
    <w:p w:rsidR="001431B5" w:rsidRPr="00D91F41" w:rsidRDefault="001431B5" w:rsidP="0030147A">
      <w:pPr>
        <w:pStyle w:val="ListParagraph"/>
        <w:ind w:left="1494" w:right="639"/>
        <w:rPr>
          <w:rFonts w:cs="Arial"/>
          <w:sz w:val="18"/>
          <w:lang w:val="fr-CH"/>
        </w:rPr>
      </w:pPr>
    </w:p>
    <w:p w:rsidR="001431B5" w:rsidRPr="00D91F41" w:rsidRDefault="00930F9A" w:rsidP="001471D4">
      <w:pPr>
        <w:pStyle w:val="ListParagraph"/>
        <w:keepNext/>
        <w:numPr>
          <w:ilvl w:val="0"/>
          <w:numId w:val="2"/>
        </w:numPr>
        <w:ind w:left="1494" w:right="639"/>
        <w:rPr>
          <w:rFonts w:cs="Arial"/>
          <w:i/>
          <w:spacing w:val="-2"/>
          <w:sz w:val="18"/>
          <w:lang w:val="fr-CH"/>
        </w:rPr>
      </w:pPr>
      <w:r w:rsidRPr="00D91F41">
        <w:rPr>
          <w:rFonts w:cs="Arial"/>
          <w:i/>
          <w:spacing w:val="-2"/>
          <w:sz w:val="18"/>
          <w:lang w:val="fr-CH"/>
        </w:rPr>
        <w:t>“Q</w:t>
      </w:r>
      <w:r w:rsidR="001471D4" w:rsidRPr="00D91F41">
        <w:rPr>
          <w:rFonts w:cs="Arial"/>
          <w:i/>
          <w:spacing w:val="-2"/>
          <w:sz w:val="18"/>
          <w:lang w:val="fr-CH"/>
        </w:rPr>
        <w:t>uels sont les principaux enjeux de l</w:t>
      </w:r>
      <w:r w:rsidRPr="00D91F41">
        <w:rPr>
          <w:rFonts w:cs="Arial"/>
          <w:i/>
          <w:spacing w:val="-2"/>
          <w:sz w:val="18"/>
          <w:lang w:val="fr-CH"/>
        </w:rPr>
        <w:t>’</w:t>
      </w:r>
      <w:r w:rsidR="001471D4" w:rsidRPr="00D91F41">
        <w:rPr>
          <w:rFonts w:cs="Arial"/>
          <w:i/>
          <w:spacing w:val="-2"/>
          <w:sz w:val="18"/>
          <w:lang w:val="fr-CH"/>
        </w:rPr>
        <w:t>exercice du droit d</w:t>
      </w:r>
      <w:r w:rsidRPr="00D91F41">
        <w:rPr>
          <w:rFonts w:cs="Arial"/>
          <w:i/>
          <w:spacing w:val="-2"/>
          <w:sz w:val="18"/>
          <w:lang w:val="fr-CH"/>
        </w:rPr>
        <w:t>’</w:t>
      </w:r>
      <w:r w:rsidR="001471D4" w:rsidRPr="00D91F41">
        <w:rPr>
          <w:rFonts w:cs="Arial"/>
          <w:i/>
          <w:spacing w:val="-2"/>
          <w:sz w:val="18"/>
          <w:lang w:val="fr-CH"/>
        </w:rPr>
        <w:t>obtenteur en relation avec le produit de la récolte?</w:t>
      </w:r>
      <w:r w:rsidR="00A27353" w:rsidRPr="00D91F41">
        <w:rPr>
          <w:rFonts w:cs="Arial"/>
          <w:i/>
          <w:spacing w:val="-2"/>
          <w:sz w:val="18"/>
          <w:lang w:val="fr-CH"/>
        </w:rPr>
        <w:t>”</w:t>
      </w:r>
    </w:p>
    <w:p w:rsidR="001431B5" w:rsidRPr="00D91F41" w:rsidRDefault="001431B5" w:rsidP="0030147A">
      <w:pPr>
        <w:pStyle w:val="ListParagraph"/>
        <w:keepNext/>
        <w:ind w:left="1494" w:right="639"/>
        <w:rPr>
          <w:rFonts w:cs="Arial"/>
          <w:sz w:val="18"/>
          <w:lang w:val="fr-CH"/>
        </w:rPr>
      </w:pPr>
    </w:p>
    <w:p w:rsidR="00930F9A" w:rsidRPr="00D91F41" w:rsidRDefault="00930F9A" w:rsidP="001471D4">
      <w:pPr>
        <w:pStyle w:val="ListParagraph"/>
        <w:keepLines/>
        <w:ind w:left="1908" w:right="639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“U</w:t>
      </w:r>
      <w:r w:rsidR="001471D4" w:rsidRPr="00D91F41">
        <w:rPr>
          <w:rFonts w:cs="Arial"/>
          <w:sz w:val="18"/>
          <w:lang w:val="fr-CH"/>
        </w:rPr>
        <w:t>n sujet de préoccupation commun est le manque de prévisibilité concernant le droit de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obtenteur en relation avec le produit de la récolte.</w:t>
      </w:r>
    </w:p>
    <w:p w:rsidR="001431B5" w:rsidRPr="00D91F41" w:rsidRDefault="001431B5" w:rsidP="0030147A">
      <w:pPr>
        <w:pStyle w:val="ListParagraph"/>
        <w:ind w:left="1908" w:right="639"/>
        <w:rPr>
          <w:rFonts w:cs="Arial"/>
          <w:sz w:val="18"/>
          <w:lang w:val="fr-CH"/>
        </w:rPr>
      </w:pPr>
    </w:p>
    <w:p w:rsidR="001431B5" w:rsidRPr="00D91F41" w:rsidRDefault="00930F9A" w:rsidP="001471D4">
      <w:pPr>
        <w:pStyle w:val="ListParagraph"/>
        <w:keepLines/>
        <w:ind w:left="1908" w:right="639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“P</w:t>
      </w:r>
      <w:r w:rsidR="001471D4" w:rsidRPr="00D91F41">
        <w:rPr>
          <w:rFonts w:cs="Arial"/>
          <w:sz w:val="18"/>
          <w:lang w:val="fr-CH"/>
        </w:rPr>
        <w:t>our certaines espèces, les arbres, une fois plantés, peuvent produire des fruits pendant de nombreuses anné</w:t>
      </w:r>
      <w:r w:rsidR="006C74D4" w:rsidRPr="00D91F41">
        <w:rPr>
          <w:rFonts w:cs="Arial"/>
          <w:sz w:val="18"/>
          <w:lang w:val="fr-CH"/>
        </w:rPr>
        <w:t>es.  Pa</w:t>
      </w:r>
      <w:r w:rsidR="001471D4" w:rsidRPr="00D91F41">
        <w:rPr>
          <w:rFonts w:cs="Arial"/>
          <w:sz w:val="18"/>
          <w:lang w:val="fr-CH"/>
        </w:rPr>
        <w:t>r conséquent, une portée minimale de la protection provisoire ou une interprétation restrictive de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 xml:space="preserve">expression </w:t>
      </w:r>
      <w:r w:rsidRPr="00D91F41">
        <w:rPr>
          <w:rFonts w:cs="Arial"/>
          <w:sz w:val="18"/>
          <w:lang w:val="fr-CH"/>
        </w:rPr>
        <w:t>“u</w:t>
      </w:r>
      <w:r w:rsidR="001471D4" w:rsidRPr="00D91F41">
        <w:rPr>
          <w:rFonts w:cs="Arial"/>
          <w:sz w:val="18"/>
          <w:lang w:val="fr-CH"/>
        </w:rPr>
        <w:t>tilisation non autorisée du matériel de reproduction ou de multiplicatio</w:t>
      </w:r>
      <w:r w:rsidRPr="00D91F41">
        <w:rPr>
          <w:rFonts w:cs="Arial"/>
          <w:sz w:val="18"/>
          <w:lang w:val="fr-CH"/>
        </w:rPr>
        <w:t>n”</w:t>
      </w:r>
      <w:r w:rsidR="001471D4" w:rsidRPr="00D91F41">
        <w:rPr>
          <w:rFonts w:cs="Arial"/>
          <w:sz w:val="18"/>
          <w:lang w:val="fr-CH"/>
        </w:rPr>
        <w:t xml:space="preserve"> peut ne pas donner à l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obtenteur les moyens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exercer et de faire respecter son droit en relation avec la culture des plantes et la production et la vente des fruits.</w:t>
      </w:r>
    </w:p>
    <w:p w:rsidR="001431B5" w:rsidRPr="00D91F41" w:rsidRDefault="001431B5" w:rsidP="0030147A">
      <w:pPr>
        <w:pStyle w:val="ListParagraph"/>
        <w:ind w:left="1494" w:right="639"/>
        <w:rPr>
          <w:rFonts w:cs="Arial"/>
          <w:sz w:val="18"/>
          <w:lang w:val="fr-CH"/>
        </w:rPr>
      </w:pPr>
    </w:p>
    <w:p w:rsidR="001431B5" w:rsidRPr="00D91F41" w:rsidRDefault="00930F9A" w:rsidP="001471D4">
      <w:pPr>
        <w:pStyle w:val="ListParagraph"/>
        <w:keepNext/>
        <w:numPr>
          <w:ilvl w:val="0"/>
          <w:numId w:val="2"/>
        </w:numPr>
        <w:ind w:left="1494" w:right="639"/>
        <w:rPr>
          <w:rFonts w:cs="Arial"/>
          <w:i/>
          <w:sz w:val="18"/>
          <w:lang w:val="fr-CH"/>
        </w:rPr>
      </w:pPr>
      <w:r w:rsidRPr="00D91F41">
        <w:rPr>
          <w:rFonts w:cs="Arial"/>
          <w:i/>
          <w:sz w:val="18"/>
          <w:lang w:val="fr-CH"/>
        </w:rPr>
        <w:t>“A</w:t>
      </w:r>
      <w:r w:rsidR="001471D4" w:rsidRPr="00D91F41">
        <w:rPr>
          <w:rFonts w:cs="Arial"/>
          <w:i/>
          <w:sz w:val="18"/>
          <w:lang w:val="fr-CH"/>
        </w:rPr>
        <w:t>u niveau de l</w:t>
      </w:r>
      <w:r w:rsidRPr="00D91F41">
        <w:rPr>
          <w:rFonts w:cs="Arial"/>
          <w:i/>
          <w:sz w:val="18"/>
          <w:lang w:val="fr-CH"/>
        </w:rPr>
        <w:t>’</w:t>
      </w:r>
      <w:r w:rsidR="001471D4" w:rsidRPr="00D91F41">
        <w:rPr>
          <w:rFonts w:cs="Arial"/>
          <w:i/>
          <w:sz w:val="18"/>
          <w:lang w:val="fr-CH"/>
        </w:rPr>
        <w:t>UPOV</w:t>
      </w:r>
      <w:r w:rsidRPr="00D91F41">
        <w:rPr>
          <w:rFonts w:cs="Arial"/>
          <w:i/>
          <w:sz w:val="18"/>
          <w:lang w:val="fr-CH"/>
        </w:rPr>
        <w:t> :</w:t>
      </w:r>
      <w:r w:rsidR="001471D4" w:rsidRPr="00D91F41">
        <w:rPr>
          <w:rFonts w:cs="Arial"/>
          <w:i/>
          <w:sz w:val="18"/>
          <w:lang w:val="fr-CH"/>
        </w:rPr>
        <w:t xml:space="preserve"> quelles solutions voyez</w:t>
      </w:r>
      <w:r w:rsidRPr="00D91F41">
        <w:rPr>
          <w:rFonts w:cs="Arial"/>
          <w:i/>
          <w:sz w:val="18"/>
          <w:lang w:val="fr-CH"/>
        </w:rPr>
        <w:t>-</w:t>
      </w:r>
      <w:r w:rsidR="001471D4" w:rsidRPr="00D91F41">
        <w:rPr>
          <w:rFonts w:cs="Arial"/>
          <w:i/>
          <w:sz w:val="18"/>
          <w:lang w:val="fr-CH"/>
        </w:rPr>
        <w:t>vous pour ces enjeux de l</w:t>
      </w:r>
      <w:r w:rsidRPr="00D91F41">
        <w:rPr>
          <w:rFonts w:cs="Arial"/>
          <w:i/>
          <w:sz w:val="18"/>
          <w:lang w:val="fr-CH"/>
        </w:rPr>
        <w:t>’</w:t>
      </w:r>
      <w:r w:rsidR="001471D4" w:rsidRPr="00D91F41">
        <w:rPr>
          <w:rFonts w:cs="Arial"/>
          <w:i/>
          <w:sz w:val="18"/>
          <w:lang w:val="fr-CH"/>
        </w:rPr>
        <w:t>exercice du droit d</w:t>
      </w:r>
      <w:r w:rsidRPr="00D91F41">
        <w:rPr>
          <w:rFonts w:cs="Arial"/>
          <w:i/>
          <w:sz w:val="18"/>
          <w:lang w:val="fr-CH"/>
        </w:rPr>
        <w:t>’</w:t>
      </w:r>
      <w:r w:rsidR="001471D4" w:rsidRPr="00D91F41">
        <w:rPr>
          <w:rFonts w:cs="Arial"/>
          <w:i/>
          <w:sz w:val="18"/>
          <w:lang w:val="fr-CH"/>
        </w:rPr>
        <w:t>obtenteur en relation avec le produit de la récolte?</w:t>
      </w:r>
    </w:p>
    <w:p w:rsidR="001431B5" w:rsidRPr="00D91F41" w:rsidRDefault="001431B5" w:rsidP="0030147A">
      <w:pPr>
        <w:pStyle w:val="ListParagraph"/>
        <w:keepNext/>
        <w:ind w:left="1494" w:right="639"/>
        <w:rPr>
          <w:rFonts w:cs="Arial"/>
          <w:sz w:val="18"/>
          <w:lang w:val="fr-CH"/>
        </w:rPr>
      </w:pPr>
    </w:p>
    <w:p w:rsidR="001431B5" w:rsidRPr="007135D4" w:rsidRDefault="00930F9A" w:rsidP="007135D4">
      <w:pPr>
        <w:pStyle w:val="ListParagraph"/>
        <w:keepLines/>
        <w:spacing w:after="120"/>
        <w:ind w:left="1915" w:right="634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“I</w:t>
      </w:r>
      <w:r w:rsidR="001471D4" w:rsidRPr="00D91F41">
        <w:rPr>
          <w:rFonts w:cs="Arial"/>
          <w:sz w:val="18"/>
          <w:lang w:val="fr-CH"/>
        </w:rPr>
        <w:t>l ressort clairement des exposés et des débats que les orientations contenues dans les notes explicatives sur le produit de la récolte gagneraient à être précisées.</w:t>
      </w:r>
    </w:p>
    <w:p w:rsidR="001431B5" w:rsidRPr="00D91F41" w:rsidRDefault="00930F9A" w:rsidP="001471D4">
      <w:pPr>
        <w:pStyle w:val="ListParagraph"/>
        <w:keepNext/>
        <w:keepLines/>
        <w:ind w:left="1908" w:right="639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lastRenderedPageBreak/>
        <w:t>“P</w:t>
      </w:r>
      <w:r w:rsidR="001471D4" w:rsidRPr="00D91F41">
        <w:rPr>
          <w:rFonts w:cs="Arial"/>
          <w:sz w:val="18"/>
          <w:lang w:val="fr-CH"/>
        </w:rPr>
        <w:t>our favoriser la mise au point de nouvelles variétés de plantes, il serait utile de disposer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orientations supplémentaires sur</w:t>
      </w:r>
      <w:r w:rsidRPr="00D91F41">
        <w:rPr>
          <w:rFonts w:cs="Arial"/>
          <w:sz w:val="18"/>
          <w:lang w:val="fr-CH"/>
        </w:rPr>
        <w:t> :</w:t>
      </w:r>
    </w:p>
    <w:p w:rsidR="001431B5" w:rsidRPr="00D91F41" w:rsidRDefault="00930F9A" w:rsidP="001471D4">
      <w:pPr>
        <w:pStyle w:val="ListParagraph"/>
        <w:keepNext/>
        <w:numPr>
          <w:ilvl w:val="2"/>
          <w:numId w:val="2"/>
        </w:numPr>
        <w:spacing w:before="120"/>
        <w:ind w:left="3352" w:right="639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e matériel de reproduction ou de multiplication</w:t>
      </w:r>
    </w:p>
    <w:p w:rsidR="001431B5" w:rsidRPr="00D91F41" w:rsidRDefault="00930F9A" w:rsidP="001471D4">
      <w:pPr>
        <w:pStyle w:val="ListParagraph"/>
        <w:numPr>
          <w:ilvl w:val="2"/>
          <w:numId w:val="2"/>
        </w:numPr>
        <w:spacing w:before="120"/>
        <w:ind w:left="3352" w:right="639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e produit de la récolte</w:t>
      </w:r>
    </w:p>
    <w:p w:rsidR="001431B5" w:rsidRPr="00D91F41" w:rsidRDefault="00930F9A" w:rsidP="001471D4">
      <w:pPr>
        <w:pStyle w:val="ListParagraph"/>
        <w:numPr>
          <w:ilvl w:val="2"/>
          <w:numId w:val="2"/>
        </w:numPr>
        <w:spacing w:before="120"/>
        <w:ind w:left="3352" w:right="639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a protection provisoire efficace</w:t>
      </w:r>
    </w:p>
    <w:p w:rsidR="001431B5" w:rsidRPr="00D91F41" w:rsidRDefault="00930F9A" w:rsidP="001471D4">
      <w:pPr>
        <w:pStyle w:val="ListParagraph"/>
        <w:numPr>
          <w:ilvl w:val="2"/>
          <w:numId w:val="2"/>
        </w:numPr>
        <w:spacing w:before="120"/>
        <w:ind w:left="3352" w:right="639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a notion d</w:t>
      </w:r>
      <w:r w:rsidR="00CC3A5E">
        <w:rPr>
          <w:rFonts w:cs="Arial"/>
          <w:sz w:val="18"/>
          <w:lang w:val="fr-CH"/>
        </w:rPr>
        <w:t>’‘</w:t>
      </w:r>
      <w:r w:rsidR="001471D4" w:rsidRPr="00D91F41">
        <w:rPr>
          <w:rFonts w:cs="Arial"/>
          <w:sz w:val="18"/>
          <w:lang w:val="fr-CH"/>
        </w:rPr>
        <w:t>utilisation non autorisée de matériel de reproduction ou de multiplication</w:t>
      </w:r>
      <w:r w:rsidR="00A27353" w:rsidRPr="00D91F41">
        <w:rPr>
          <w:rFonts w:cs="Arial"/>
          <w:sz w:val="18"/>
          <w:lang w:val="fr-CH"/>
        </w:rPr>
        <w:t>’</w:t>
      </w:r>
    </w:p>
    <w:p w:rsidR="001431B5" w:rsidRPr="00D91F41" w:rsidRDefault="00930F9A" w:rsidP="001471D4">
      <w:pPr>
        <w:pStyle w:val="ListParagraph"/>
        <w:numPr>
          <w:ilvl w:val="2"/>
          <w:numId w:val="2"/>
        </w:numPr>
        <w:spacing w:before="120"/>
        <w:ind w:left="3352" w:right="639"/>
        <w:contextualSpacing w:val="0"/>
        <w:rPr>
          <w:rFonts w:cs="Arial"/>
          <w:sz w:val="18"/>
          <w:lang w:val="fr-CH"/>
        </w:rPr>
      </w:pPr>
      <w:r w:rsidRPr="00D91F41">
        <w:rPr>
          <w:rFonts w:cs="Arial"/>
          <w:sz w:val="18"/>
          <w:lang w:val="fr-CH"/>
        </w:rPr>
        <w:t>“l</w:t>
      </w:r>
      <w:r w:rsidR="001471D4" w:rsidRPr="00D91F41">
        <w:rPr>
          <w:rFonts w:cs="Arial"/>
          <w:sz w:val="18"/>
          <w:lang w:val="fr-CH"/>
        </w:rPr>
        <w:t>a doctrine d</w:t>
      </w:r>
      <w:r w:rsidRPr="00D91F41">
        <w:rPr>
          <w:rFonts w:cs="Arial"/>
          <w:sz w:val="18"/>
          <w:lang w:val="fr-CH"/>
        </w:rPr>
        <w:t>’</w:t>
      </w:r>
      <w:r w:rsidR="001471D4" w:rsidRPr="00D91F41">
        <w:rPr>
          <w:rFonts w:cs="Arial"/>
          <w:sz w:val="18"/>
          <w:lang w:val="fr-CH"/>
        </w:rPr>
        <w:t>épuisement des droits en relation avec le renversement de la charge de la preuve</w:t>
      </w:r>
      <w:r w:rsidRPr="00D91F41">
        <w:rPr>
          <w:rFonts w:cs="Arial"/>
          <w:sz w:val="18"/>
          <w:lang w:val="fr-CH"/>
        </w:rPr>
        <w:t>.”</w:t>
      </w:r>
    </w:p>
    <w:p w:rsidR="001431B5" w:rsidRPr="001471D4" w:rsidRDefault="001431B5" w:rsidP="0030147A">
      <w:pPr>
        <w:rPr>
          <w:rFonts w:cs="Arial"/>
          <w:sz w:val="18"/>
          <w:u w:val="single"/>
          <w:lang w:val="fr-CH"/>
        </w:rPr>
      </w:pPr>
    </w:p>
    <w:p w:rsidR="001431B5" w:rsidRPr="00CC28AB" w:rsidRDefault="001471D4" w:rsidP="001471D4">
      <w:pPr>
        <w:tabs>
          <w:tab w:val="left" w:pos="1134"/>
        </w:tabs>
        <w:ind w:firstLine="567"/>
        <w:rPr>
          <w:rFonts w:cs="Arial"/>
          <w:lang w:val="fr-CH"/>
        </w:rPr>
      </w:pPr>
      <w:r w:rsidRPr="00CC28AB">
        <w:rPr>
          <w:rFonts w:cs="Arial"/>
          <w:lang w:val="fr-CH"/>
        </w:rPr>
        <w:t>b)</w:t>
      </w:r>
      <w:r w:rsidRPr="00CC28AB">
        <w:rPr>
          <w:rFonts w:cs="Arial"/>
          <w:lang w:val="fr-CH"/>
        </w:rPr>
        <w:tab/>
        <w:t>le WG</w:t>
      </w:r>
      <w:r w:rsidR="00930F9A" w:rsidRPr="00CC28AB">
        <w:rPr>
          <w:rFonts w:cs="Arial"/>
          <w:lang w:val="fr-CH"/>
        </w:rPr>
        <w:t>-</w:t>
      </w:r>
      <w:r w:rsidRPr="00CC28AB">
        <w:rPr>
          <w:rFonts w:cs="Arial"/>
          <w:lang w:val="fr-CH"/>
        </w:rPr>
        <w:t>HRV se réunit selon une périodicité lui permettant de remplir son mandat, par des moyens physiques ou virtuels, tel que convenu par le WG</w:t>
      </w:r>
      <w:r w:rsidR="00930F9A" w:rsidRPr="00CC28AB">
        <w:rPr>
          <w:rFonts w:cs="Arial"/>
          <w:lang w:val="fr-CH"/>
        </w:rPr>
        <w:t>-</w:t>
      </w:r>
      <w:r w:rsidRPr="00CC28AB">
        <w:rPr>
          <w:rFonts w:cs="Arial"/>
          <w:lang w:val="fr-CH"/>
        </w:rPr>
        <w:t>HRV;</w:t>
      </w:r>
    </w:p>
    <w:p w:rsidR="001431B5" w:rsidRPr="00CC28AB" w:rsidRDefault="001431B5" w:rsidP="0030147A">
      <w:pPr>
        <w:tabs>
          <w:tab w:val="left" w:pos="1134"/>
        </w:tabs>
        <w:rPr>
          <w:rFonts w:cs="Arial"/>
          <w:sz w:val="18"/>
          <w:u w:val="single"/>
          <w:lang w:val="fr-CH"/>
        </w:rPr>
      </w:pPr>
    </w:p>
    <w:p w:rsidR="001431B5" w:rsidRPr="00CC28AB" w:rsidRDefault="00823BC6" w:rsidP="00823BC6">
      <w:pPr>
        <w:tabs>
          <w:tab w:val="left" w:pos="1134"/>
        </w:tabs>
        <w:ind w:firstLine="567"/>
        <w:rPr>
          <w:rFonts w:cs="Arial"/>
          <w:lang w:val="fr-CH"/>
        </w:rPr>
      </w:pPr>
      <w:r w:rsidRPr="00CC28AB">
        <w:rPr>
          <w:rFonts w:cs="Arial"/>
          <w:lang w:val="fr-CH"/>
        </w:rPr>
        <w:t>c)</w:t>
      </w:r>
      <w:r w:rsidRPr="00CC28AB">
        <w:rPr>
          <w:rFonts w:cs="Arial"/>
          <w:lang w:val="fr-CH"/>
        </w:rPr>
        <w:tab/>
        <w:t>le WG</w:t>
      </w:r>
      <w:r w:rsidR="00930F9A" w:rsidRPr="00CC28AB">
        <w:rPr>
          <w:rFonts w:cs="Arial"/>
          <w:lang w:val="fr-CH"/>
        </w:rPr>
        <w:t>-</w:t>
      </w:r>
      <w:r w:rsidRPr="00CC28AB">
        <w:rPr>
          <w:rFonts w:cs="Arial"/>
          <w:lang w:val="fr-CH"/>
        </w:rPr>
        <w:t>HRV rend compte</w:t>
      </w:r>
      <w:r w:rsidR="00930F9A" w:rsidRPr="00CC28AB">
        <w:rPr>
          <w:rFonts w:cs="Arial"/>
          <w:lang w:val="fr-CH"/>
        </w:rPr>
        <w:t xml:space="preserve"> au CAJ</w:t>
      </w:r>
      <w:r w:rsidRPr="00CC28AB">
        <w:rPr>
          <w:rFonts w:cs="Arial"/>
          <w:lang w:val="fr-CH"/>
        </w:rPr>
        <w:t xml:space="preserve"> de l</w:t>
      </w:r>
      <w:r w:rsidR="00930F9A" w:rsidRPr="00CC28AB">
        <w:rPr>
          <w:rFonts w:cs="Arial"/>
          <w:lang w:val="fr-CH"/>
        </w:rPr>
        <w:t>’</w:t>
      </w:r>
      <w:r w:rsidRPr="00CC28AB">
        <w:rPr>
          <w:rFonts w:cs="Arial"/>
          <w:lang w:val="fr-CH"/>
        </w:rPr>
        <w:t>avancement de ses travaux et sollicite des orientations supplémentaires auprès</w:t>
      </w:r>
      <w:r w:rsidR="00930F9A" w:rsidRPr="00CC28AB">
        <w:rPr>
          <w:rFonts w:cs="Arial"/>
          <w:lang w:val="fr-CH"/>
        </w:rPr>
        <w:t xml:space="preserve"> du CAJ</w:t>
      </w:r>
      <w:r w:rsidRPr="00CC28AB">
        <w:rPr>
          <w:rFonts w:cs="Arial"/>
          <w:lang w:val="fr-CH"/>
        </w:rPr>
        <w:t>, le cas échéant;</w:t>
      </w:r>
    </w:p>
    <w:p w:rsidR="001431B5" w:rsidRPr="00CC28AB" w:rsidRDefault="001431B5" w:rsidP="0030147A">
      <w:pPr>
        <w:tabs>
          <w:tab w:val="left" w:pos="1134"/>
        </w:tabs>
        <w:rPr>
          <w:rFonts w:cs="Arial"/>
          <w:sz w:val="18"/>
          <w:lang w:val="fr-CH"/>
        </w:rPr>
      </w:pPr>
    </w:p>
    <w:p w:rsidR="001431B5" w:rsidRPr="00CC28AB" w:rsidRDefault="00823BC6" w:rsidP="00823BC6">
      <w:pPr>
        <w:tabs>
          <w:tab w:val="left" w:pos="1134"/>
        </w:tabs>
        <w:ind w:firstLine="567"/>
        <w:rPr>
          <w:lang w:val="fr-CH"/>
        </w:rPr>
      </w:pPr>
      <w:r w:rsidRPr="00CC28AB">
        <w:rPr>
          <w:lang w:val="fr-CH"/>
        </w:rPr>
        <w:t>d)</w:t>
      </w:r>
      <w:r w:rsidRPr="00CC28AB">
        <w:rPr>
          <w:lang w:val="fr-CH"/>
        </w:rPr>
        <w:tab/>
        <w:t>les documents du WG</w:t>
      </w:r>
      <w:r w:rsidR="00930F9A" w:rsidRPr="00CC28AB">
        <w:rPr>
          <w:lang w:val="fr-CH"/>
        </w:rPr>
        <w:t>-</w:t>
      </w:r>
      <w:r w:rsidRPr="00CC28AB">
        <w:rPr>
          <w:lang w:val="fr-CH"/>
        </w:rPr>
        <w:t>HRV sont mis à la disposition</w:t>
      </w:r>
      <w:r w:rsidR="00930F9A" w:rsidRPr="00CC28AB">
        <w:rPr>
          <w:lang w:val="fr-CH"/>
        </w:rPr>
        <w:t xml:space="preserve"> du CAJ</w:t>
      </w:r>
      <w:r w:rsidRPr="00CC28AB">
        <w:rPr>
          <w:lang w:val="fr-CH"/>
        </w:rPr>
        <w:t>.</w:t>
      </w:r>
    </w:p>
    <w:p w:rsidR="001431B5" w:rsidRPr="00823BC6" w:rsidRDefault="001431B5" w:rsidP="00050E16">
      <w:pPr>
        <w:rPr>
          <w:lang w:val="fr-CH"/>
        </w:rPr>
      </w:pPr>
    </w:p>
    <w:p w:rsidR="001431B5" w:rsidRPr="00823BC6" w:rsidRDefault="001431B5" w:rsidP="00050E16">
      <w:pPr>
        <w:rPr>
          <w:lang w:val="fr-CH"/>
        </w:rPr>
      </w:pPr>
    </w:p>
    <w:p w:rsidR="001431B5" w:rsidRDefault="00050E16" w:rsidP="00050E16">
      <w:pPr>
        <w:jc w:val="right"/>
        <w:rPr>
          <w:lang w:val="fr-CH"/>
        </w:rPr>
      </w:pPr>
      <w:r w:rsidRPr="00CF186D">
        <w:rPr>
          <w:lang w:val="fr-CH"/>
        </w:rPr>
        <w:t>[</w:t>
      </w:r>
      <w:r w:rsidR="00A706D3" w:rsidRPr="00CF186D">
        <w:rPr>
          <w:lang w:val="fr-CH"/>
        </w:rPr>
        <w:t>Fin d</w:t>
      </w:r>
      <w:r w:rsidR="0030147A" w:rsidRPr="00CF186D">
        <w:rPr>
          <w:lang w:val="fr-CH"/>
        </w:rPr>
        <w:t>e l</w:t>
      </w:r>
      <w:r w:rsidR="00930F9A">
        <w:rPr>
          <w:lang w:val="fr-CH"/>
        </w:rPr>
        <w:t>’</w:t>
      </w:r>
      <w:r w:rsidR="0030147A" w:rsidRPr="00CF186D">
        <w:rPr>
          <w:lang w:val="fr-CH"/>
        </w:rPr>
        <w:t>annexe et d</w:t>
      </w:r>
      <w:r w:rsidR="00A706D3" w:rsidRPr="00CF186D">
        <w:rPr>
          <w:lang w:val="fr-CH"/>
        </w:rPr>
        <w:t xml:space="preserve">u </w:t>
      </w:r>
      <w:r w:rsidRPr="00CF186D">
        <w:rPr>
          <w:lang w:val="fr-CH"/>
        </w:rPr>
        <w:t>document]</w:t>
      </w:r>
    </w:p>
    <w:p w:rsidR="001431B5" w:rsidRDefault="001431B5">
      <w:pPr>
        <w:jc w:val="left"/>
        <w:rPr>
          <w:lang w:val="fr-CH"/>
        </w:rPr>
      </w:pPr>
    </w:p>
    <w:p w:rsidR="001431B5" w:rsidRDefault="001431B5" w:rsidP="009B440E">
      <w:pPr>
        <w:jc w:val="left"/>
        <w:rPr>
          <w:lang w:val="fr-CH"/>
        </w:rPr>
      </w:pPr>
    </w:p>
    <w:p w:rsidR="00050E16" w:rsidRPr="00CF186D" w:rsidRDefault="00050E16" w:rsidP="009B440E">
      <w:pPr>
        <w:jc w:val="left"/>
        <w:rPr>
          <w:lang w:val="fr-CH"/>
        </w:rPr>
      </w:pPr>
    </w:p>
    <w:sectPr w:rsidR="00050E16" w:rsidRPr="00CF186D" w:rsidSect="00871C0F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7A" w:rsidRDefault="0030147A" w:rsidP="006655D3">
      <w:r>
        <w:separator/>
      </w:r>
    </w:p>
    <w:p w:rsidR="0030147A" w:rsidRDefault="0030147A" w:rsidP="006655D3"/>
    <w:p w:rsidR="0030147A" w:rsidRDefault="0030147A" w:rsidP="006655D3"/>
  </w:endnote>
  <w:endnote w:type="continuationSeparator" w:id="0">
    <w:p w:rsidR="0030147A" w:rsidRDefault="0030147A" w:rsidP="006655D3">
      <w:r>
        <w:separator/>
      </w:r>
    </w:p>
    <w:p w:rsidR="0030147A" w:rsidRPr="00294751" w:rsidRDefault="0030147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147A" w:rsidRPr="00294751" w:rsidRDefault="0030147A" w:rsidP="006655D3"/>
    <w:p w:rsidR="0030147A" w:rsidRPr="00294751" w:rsidRDefault="0030147A" w:rsidP="006655D3"/>
  </w:endnote>
  <w:endnote w:type="continuationNotice" w:id="1">
    <w:p w:rsidR="0030147A" w:rsidRPr="00294751" w:rsidRDefault="0030147A" w:rsidP="006655D3">
      <w:r w:rsidRPr="00294751">
        <w:t>[Suite de la note page suivante]</w:t>
      </w:r>
    </w:p>
    <w:p w:rsidR="0030147A" w:rsidRPr="00294751" w:rsidRDefault="0030147A" w:rsidP="006655D3"/>
    <w:p w:rsidR="0030147A" w:rsidRPr="00294751" w:rsidRDefault="0030147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7A" w:rsidRDefault="0030147A" w:rsidP="006655D3">
      <w:r>
        <w:separator/>
      </w:r>
    </w:p>
  </w:footnote>
  <w:footnote w:type="continuationSeparator" w:id="0">
    <w:p w:rsidR="0030147A" w:rsidRDefault="0030147A" w:rsidP="006655D3">
      <w:r>
        <w:separator/>
      </w:r>
    </w:p>
  </w:footnote>
  <w:footnote w:type="continuationNotice" w:id="1">
    <w:p w:rsidR="0030147A" w:rsidRPr="00AB530F" w:rsidRDefault="0030147A" w:rsidP="00AB530F">
      <w:pPr>
        <w:pStyle w:val="Footer"/>
      </w:pPr>
    </w:p>
  </w:footnote>
  <w:footnote w:id="2">
    <w:p w:rsidR="00C34DFA" w:rsidRPr="00CB20AA" w:rsidRDefault="00C34DFA" w:rsidP="00C34DFA">
      <w:pPr>
        <w:pStyle w:val="FootnoteText"/>
        <w:rPr>
          <w:lang w:val="fr-CH"/>
        </w:rPr>
      </w:pPr>
      <w:r w:rsidRPr="00CB20AA">
        <w:rPr>
          <w:rStyle w:val="FootnoteReference"/>
        </w:rPr>
        <w:footnoteRef/>
      </w:r>
      <w:r w:rsidRPr="00CB20AA">
        <w:rPr>
          <w:lang w:val="fr-CH"/>
        </w:rPr>
        <w:t xml:space="preserve"> </w:t>
      </w:r>
      <w:r w:rsidRPr="00CB20AA">
        <w:rPr>
          <w:lang w:val="fr-CH"/>
        </w:rPr>
        <w:tab/>
        <w:t>Tenue à Genève le 3</w:t>
      </w:r>
      <w:r w:rsidR="003469E7" w:rsidRPr="00CB20AA">
        <w:rPr>
          <w:lang w:val="fr-CH"/>
        </w:rPr>
        <w:t>0 octobre 20</w:t>
      </w:r>
      <w:r w:rsidRPr="00CB20AA">
        <w:rPr>
          <w:lang w:val="fr-CH"/>
        </w:rPr>
        <w:t>19.</w:t>
      </w:r>
    </w:p>
  </w:footnote>
  <w:footnote w:id="3">
    <w:p w:rsidR="00F53016" w:rsidRPr="00CB20AA" w:rsidRDefault="00F53016" w:rsidP="00F53016">
      <w:pPr>
        <w:pStyle w:val="FootnoteText"/>
        <w:rPr>
          <w:lang w:val="fr-CH"/>
        </w:rPr>
      </w:pPr>
      <w:r w:rsidRPr="00CB20AA">
        <w:rPr>
          <w:rStyle w:val="FootnoteReference"/>
        </w:rPr>
        <w:footnoteRef/>
      </w:r>
      <w:r w:rsidRPr="00CB20AA">
        <w:rPr>
          <w:lang w:val="fr-CH"/>
        </w:rPr>
        <w:t xml:space="preserve"> </w:t>
      </w:r>
      <w:r w:rsidRPr="00CB20AA">
        <w:rPr>
          <w:lang w:val="fr-CH"/>
        </w:rPr>
        <w:tab/>
        <w:t>Tenue à Genève le 3</w:t>
      </w:r>
      <w:r w:rsidR="003469E7" w:rsidRPr="00CB20AA">
        <w:rPr>
          <w:lang w:val="fr-CH"/>
        </w:rPr>
        <w:t>0 octobre 20</w:t>
      </w:r>
      <w:r w:rsidRPr="00CB20AA">
        <w:rPr>
          <w:lang w:val="fr-CH"/>
        </w:rPr>
        <w:t>20 par voie électronique.</w:t>
      </w:r>
    </w:p>
  </w:footnote>
  <w:footnote w:id="4">
    <w:p w:rsidR="00617EE5" w:rsidRPr="00CB20AA" w:rsidRDefault="00617EE5" w:rsidP="00617EE5">
      <w:pPr>
        <w:pStyle w:val="FootnoteText"/>
        <w:rPr>
          <w:lang w:val="fr-CH"/>
        </w:rPr>
      </w:pPr>
      <w:r w:rsidRPr="00CB20AA">
        <w:rPr>
          <w:rStyle w:val="FootnoteReference"/>
        </w:rPr>
        <w:footnoteRef/>
      </w:r>
      <w:r w:rsidRPr="00CB20AA">
        <w:rPr>
          <w:lang w:val="fr-CH"/>
        </w:rPr>
        <w:t xml:space="preserve"> </w:t>
      </w:r>
      <w:r w:rsidRPr="00CB20AA">
        <w:rPr>
          <w:lang w:val="fr-CH"/>
        </w:rPr>
        <w:tab/>
        <w:t>Tenue à Genève le 2</w:t>
      </w:r>
      <w:r w:rsidR="003469E7" w:rsidRPr="00CB20AA">
        <w:rPr>
          <w:lang w:val="fr-CH"/>
        </w:rPr>
        <w:t>8 octobre 20</w:t>
      </w:r>
      <w:r w:rsidRPr="00CB20AA">
        <w:rPr>
          <w:lang w:val="fr-CH"/>
        </w:rPr>
        <w:t>20 par voie électronique.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7A" w:rsidRPr="00C5280D" w:rsidRDefault="0030147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CAJ/78/5</w:t>
    </w:r>
  </w:p>
  <w:p w:rsidR="0030147A" w:rsidRPr="00C5280D" w:rsidRDefault="0030147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A27353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3535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778F6" w:rsidRDefault="00A778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F6" w:rsidRPr="00C5280D" w:rsidRDefault="00B7317C" w:rsidP="00FB313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</w:t>
    </w:r>
    <w:r w:rsidR="00667404">
      <w:rPr>
        <w:rStyle w:val="PageNumber"/>
        <w:lang w:val="en-US"/>
      </w:rPr>
      <w:t>/</w:t>
    </w:r>
    <w:r w:rsidR="00871C0F">
      <w:rPr>
        <w:rStyle w:val="PageNumber"/>
        <w:lang w:val="en-US"/>
      </w:rPr>
      <w:t>5</w:t>
    </w:r>
  </w:p>
  <w:p w:rsidR="00182B99" w:rsidRPr="00C5280D" w:rsidRDefault="00A778F6" w:rsidP="00EB048E">
    <w:pPr>
      <w:pStyle w:val="Header"/>
      <w:rPr>
        <w:lang w:val="en-US"/>
      </w:rPr>
    </w:pPr>
    <w:r>
      <w:rPr>
        <w:lang w:val="en-US"/>
      </w:rPr>
      <w:t xml:space="preserve">Annexe, </w:t>
    </w:r>
    <w:r w:rsidR="00182B99" w:rsidRPr="00C5280D">
      <w:rPr>
        <w:lang w:val="en-US"/>
      </w:rPr>
      <w:t>page</w:t>
    </w:r>
    <w:r w:rsidR="00FB3139">
      <w:rPr>
        <w:lang w:val="en-US"/>
      </w:rPr>
      <w:t> 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235351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23" w:rsidRDefault="00530523">
    <w:pPr>
      <w:pStyle w:val="Header"/>
      <w:rPr>
        <w:lang w:val="fr-CH"/>
      </w:rPr>
    </w:pPr>
    <w:r>
      <w:rPr>
        <w:lang w:val="fr-CH"/>
      </w:rPr>
      <w:t>CAJ/78/5</w:t>
    </w:r>
  </w:p>
  <w:p w:rsidR="00530523" w:rsidRDefault="00530523">
    <w:pPr>
      <w:pStyle w:val="Header"/>
      <w:rPr>
        <w:lang w:val="fr-CH"/>
      </w:rPr>
    </w:pPr>
  </w:p>
  <w:p w:rsidR="00530523" w:rsidRDefault="00530523">
    <w:pPr>
      <w:pStyle w:val="Header"/>
      <w:rPr>
        <w:caps/>
        <w:lang w:val="fr-CH"/>
      </w:rPr>
    </w:pPr>
    <w:r w:rsidRPr="00530523">
      <w:rPr>
        <w:caps/>
        <w:lang w:val="fr-CH"/>
      </w:rPr>
      <w:t>Annexe</w:t>
    </w:r>
  </w:p>
  <w:p w:rsidR="00530523" w:rsidRPr="00530523" w:rsidRDefault="00530523">
    <w:pPr>
      <w:pStyle w:val="Header"/>
      <w:rPr>
        <w:caps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386"/>
    <w:multiLevelType w:val="hybridMultilevel"/>
    <w:tmpl w:val="BC86D516"/>
    <w:lvl w:ilvl="0" w:tplc="68E22AE4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000000"/>
      </w:rPr>
    </w:lvl>
    <w:lvl w:ilvl="1" w:tplc="100C0019" w:tentative="1">
      <w:start w:val="1"/>
      <w:numFmt w:val="lowerLetter"/>
      <w:lvlText w:val="%2."/>
      <w:lvlJc w:val="left"/>
      <w:pPr>
        <w:ind w:left="2574" w:hanging="360"/>
      </w:pPr>
    </w:lvl>
    <w:lvl w:ilvl="2" w:tplc="100C001B" w:tentative="1">
      <w:start w:val="1"/>
      <w:numFmt w:val="lowerRoman"/>
      <w:lvlText w:val="%3."/>
      <w:lvlJc w:val="right"/>
      <w:pPr>
        <w:ind w:left="3294" w:hanging="180"/>
      </w:pPr>
    </w:lvl>
    <w:lvl w:ilvl="3" w:tplc="100C000F" w:tentative="1">
      <w:start w:val="1"/>
      <w:numFmt w:val="decimal"/>
      <w:lvlText w:val="%4."/>
      <w:lvlJc w:val="left"/>
      <w:pPr>
        <w:ind w:left="4014" w:hanging="360"/>
      </w:pPr>
    </w:lvl>
    <w:lvl w:ilvl="4" w:tplc="100C0019" w:tentative="1">
      <w:start w:val="1"/>
      <w:numFmt w:val="lowerLetter"/>
      <w:lvlText w:val="%5."/>
      <w:lvlJc w:val="left"/>
      <w:pPr>
        <w:ind w:left="4734" w:hanging="360"/>
      </w:pPr>
    </w:lvl>
    <w:lvl w:ilvl="5" w:tplc="100C001B" w:tentative="1">
      <w:start w:val="1"/>
      <w:numFmt w:val="lowerRoman"/>
      <w:lvlText w:val="%6."/>
      <w:lvlJc w:val="right"/>
      <w:pPr>
        <w:ind w:left="5454" w:hanging="180"/>
      </w:pPr>
    </w:lvl>
    <w:lvl w:ilvl="6" w:tplc="100C000F" w:tentative="1">
      <w:start w:val="1"/>
      <w:numFmt w:val="decimal"/>
      <w:lvlText w:val="%7."/>
      <w:lvlJc w:val="left"/>
      <w:pPr>
        <w:ind w:left="6174" w:hanging="360"/>
      </w:pPr>
    </w:lvl>
    <w:lvl w:ilvl="7" w:tplc="100C0019" w:tentative="1">
      <w:start w:val="1"/>
      <w:numFmt w:val="lowerLetter"/>
      <w:lvlText w:val="%8."/>
      <w:lvlJc w:val="left"/>
      <w:pPr>
        <w:ind w:left="6894" w:hanging="360"/>
      </w:pPr>
    </w:lvl>
    <w:lvl w:ilvl="8" w:tplc="10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86A49"/>
    <w:multiLevelType w:val="hybridMultilevel"/>
    <w:tmpl w:val="92DCA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C9401B8"/>
    <w:multiLevelType w:val="hybridMultilevel"/>
    <w:tmpl w:val="C63EE774"/>
    <w:lvl w:ilvl="0" w:tplc="04090017">
      <w:start w:val="1"/>
      <w:numFmt w:val="lowerLetter"/>
      <w:lvlText w:val="%1)"/>
      <w:lvlJc w:val="left"/>
      <w:pPr>
        <w:ind w:left="1130" w:hanging="5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0147A"/>
    <w:rsid w:val="00000D4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146"/>
    <w:rsid w:val="00074FDE"/>
    <w:rsid w:val="00077FB4"/>
    <w:rsid w:val="00085505"/>
    <w:rsid w:val="000B5739"/>
    <w:rsid w:val="000C40B4"/>
    <w:rsid w:val="000C4E25"/>
    <w:rsid w:val="000C7021"/>
    <w:rsid w:val="000D6BBC"/>
    <w:rsid w:val="000D7780"/>
    <w:rsid w:val="000E323B"/>
    <w:rsid w:val="000E636A"/>
    <w:rsid w:val="000F2F11"/>
    <w:rsid w:val="00103147"/>
    <w:rsid w:val="00105929"/>
    <w:rsid w:val="00110C36"/>
    <w:rsid w:val="001131D5"/>
    <w:rsid w:val="00141DB8"/>
    <w:rsid w:val="001431B5"/>
    <w:rsid w:val="001471D4"/>
    <w:rsid w:val="00172084"/>
    <w:rsid w:val="0017474A"/>
    <w:rsid w:val="001758C6"/>
    <w:rsid w:val="001801B9"/>
    <w:rsid w:val="001806BF"/>
    <w:rsid w:val="00182B99"/>
    <w:rsid w:val="001A0548"/>
    <w:rsid w:val="001B791B"/>
    <w:rsid w:val="001C176C"/>
    <w:rsid w:val="001D5FF3"/>
    <w:rsid w:val="0021332C"/>
    <w:rsid w:val="00213982"/>
    <w:rsid w:val="00235351"/>
    <w:rsid w:val="0024416D"/>
    <w:rsid w:val="00255E24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D369F"/>
    <w:rsid w:val="002E0DA5"/>
    <w:rsid w:val="0030147A"/>
    <w:rsid w:val="00305A7F"/>
    <w:rsid w:val="003152FE"/>
    <w:rsid w:val="003166F6"/>
    <w:rsid w:val="00327436"/>
    <w:rsid w:val="00327BBA"/>
    <w:rsid w:val="00337C0A"/>
    <w:rsid w:val="00344BD6"/>
    <w:rsid w:val="00346020"/>
    <w:rsid w:val="003469E7"/>
    <w:rsid w:val="00350329"/>
    <w:rsid w:val="0035084F"/>
    <w:rsid w:val="0035528D"/>
    <w:rsid w:val="00360FB2"/>
    <w:rsid w:val="00361821"/>
    <w:rsid w:val="00361E9E"/>
    <w:rsid w:val="003C7FBE"/>
    <w:rsid w:val="003D227C"/>
    <w:rsid w:val="003D2B4D"/>
    <w:rsid w:val="00401E3D"/>
    <w:rsid w:val="0040557F"/>
    <w:rsid w:val="00444A88"/>
    <w:rsid w:val="00471D96"/>
    <w:rsid w:val="00474DA4"/>
    <w:rsid w:val="00476B4D"/>
    <w:rsid w:val="004805FA"/>
    <w:rsid w:val="00481C5B"/>
    <w:rsid w:val="004935D2"/>
    <w:rsid w:val="004B1215"/>
    <w:rsid w:val="004C5AE3"/>
    <w:rsid w:val="004D047D"/>
    <w:rsid w:val="004E5C70"/>
    <w:rsid w:val="004F1E9E"/>
    <w:rsid w:val="004F305A"/>
    <w:rsid w:val="00512164"/>
    <w:rsid w:val="005164D0"/>
    <w:rsid w:val="00520297"/>
    <w:rsid w:val="005212B0"/>
    <w:rsid w:val="00530523"/>
    <w:rsid w:val="005338F9"/>
    <w:rsid w:val="0054281C"/>
    <w:rsid w:val="00544581"/>
    <w:rsid w:val="00545E42"/>
    <w:rsid w:val="0055268D"/>
    <w:rsid w:val="0056160F"/>
    <w:rsid w:val="00564C90"/>
    <w:rsid w:val="00576BE4"/>
    <w:rsid w:val="005A400A"/>
    <w:rsid w:val="005F7B92"/>
    <w:rsid w:val="00602AD5"/>
    <w:rsid w:val="00612379"/>
    <w:rsid w:val="0061444F"/>
    <w:rsid w:val="006153B6"/>
    <w:rsid w:val="0061555F"/>
    <w:rsid w:val="00617EE5"/>
    <w:rsid w:val="00636CA6"/>
    <w:rsid w:val="00641200"/>
    <w:rsid w:val="00645CA8"/>
    <w:rsid w:val="0066016D"/>
    <w:rsid w:val="006655D3"/>
    <w:rsid w:val="00667404"/>
    <w:rsid w:val="00686441"/>
    <w:rsid w:val="00687EB4"/>
    <w:rsid w:val="00695C56"/>
    <w:rsid w:val="006A5CDE"/>
    <w:rsid w:val="006A644A"/>
    <w:rsid w:val="006B17D2"/>
    <w:rsid w:val="006C224E"/>
    <w:rsid w:val="006C2928"/>
    <w:rsid w:val="006C49CB"/>
    <w:rsid w:val="006C74D4"/>
    <w:rsid w:val="006D780A"/>
    <w:rsid w:val="0071271E"/>
    <w:rsid w:val="007135D4"/>
    <w:rsid w:val="00732DEC"/>
    <w:rsid w:val="00735BD5"/>
    <w:rsid w:val="00751613"/>
    <w:rsid w:val="00752467"/>
    <w:rsid w:val="007556F6"/>
    <w:rsid w:val="00760EEF"/>
    <w:rsid w:val="00777CA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26B"/>
    <w:rsid w:val="00811B20"/>
    <w:rsid w:val="008211B5"/>
    <w:rsid w:val="0082296E"/>
    <w:rsid w:val="00823BC6"/>
    <w:rsid w:val="00824099"/>
    <w:rsid w:val="00846D7C"/>
    <w:rsid w:val="00864C55"/>
    <w:rsid w:val="00867AC1"/>
    <w:rsid w:val="00871C0F"/>
    <w:rsid w:val="00890DF8"/>
    <w:rsid w:val="008A4EF1"/>
    <w:rsid w:val="008A743F"/>
    <w:rsid w:val="008C0970"/>
    <w:rsid w:val="008D0BC5"/>
    <w:rsid w:val="008D2CF7"/>
    <w:rsid w:val="00900C26"/>
    <w:rsid w:val="0090197F"/>
    <w:rsid w:val="00903242"/>
    <w:rsid w:val="00906DDC"/>
    <w:rsid w:val="00930F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2A01"/>
    <w:rsid w:val="009B440E"/>
    <w:rsid w:val="009B6906"/>
    <w:rsid w:val="009C1093"/>
    <w:rsid w:val="009D690D"/>
    <w:rsid w:val="009E65B6"/>
    <w:rsid w:val="00A06575"/>
    <w:rsid w:val="00A24C10"/>
    <w:rsid w:val="00A27353"/>
    <w:rsid w:val="00A42AC3"/>
    <w:rsid w:val="00A430CF"/>
    <w:rsid w:val="00A54309"/>
    <w:rsid w:val="00A706D3"/>
    <w:rsid w:val="00A71548"/>
    <w:rsid w:val="00A778F6"/>
    <w:rsid w:val="00AB2B93"/>
    <w:rsid w:val="00AB530F"/>
    <w:rsid w:val="00AB7E5B"/>
    <w:rsid w:val="00AC1326"/>
    <w:rsid w:val="00AC2883"/>
    <w:rsid w:val="00AE0EF1"/>
    <w:rsid w:val="00AE2937"/>
    <w:rsid w:val="00AE4434"/>
    <w:rsid w:val="00AF196F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A6845"/>
    <w:rsid w:val="00BC127D"/>
    <w:rsid w:val="00BC1FE6"/>
    <w:rsid w:val="00C04847"/>
    <w:rsid w:val="00C061B6"/>
    <w:rsid w:val="00C2446C"/>
    <w:rsid w:val="00C34DFA"/>
    <w:rsid w:val="00C36AE5"/>
    <w:rsid w:val="00C41F17"/>
    <w:rsid w:val="00C527FA"/>
    <w:rsid w:val="00C5280D"/>
    <w:rsid w:val="00C53EB3"/>
    <w:rsid w:val="00C5791C"/>
    <w:rsid w:val="00C60F6F"/>
    <w:rsid w:val="00C66290"/>
    <w:rsid w:val="00C72B7A"/>
    <w:rsid w:val="00C973F2"/>
    <w:rsid w:val="00CA304C"/>
    <w:rsid w:val="00CA774A"/>
    <w:rsid w:val="00CB20AA"/>
    <w:rsid w:val="00CC11B0"/>
    <w:rsid w:val="00CC2841"/>
    <w:rsid w:val="00CC28AB"/>
    <w:rsid w:val="00CC3A5E"/>
    <w:rsid w:val="00CD2CC0"/>
    <w:rsid w:val="00CE1AF6"/>
    <w:rsid w:val="00CF1330"/>
    <w:rsid w:val="00CF186D"/>
    <w:rsid w:val="00CF7E36"/>
    <w:rsid w:val="00D253A7"/>
    <w:rsid w:val="00D3708D"/>
    <w:rsid w:val="00D40426"/>
    <w:rsid w:val="00D57C96"/>
    <w:rsid w:val="00D57D18"/>
    <w:rsid w:val="00D91203"/>
    <w:rsid w:val="00D91F41"/>
    <w:rsid w:val="00D95174"/>
    <w:rsid w:val="00DA4973"/>
    <w:rsid w:val="00DA6F36"/>
    <w:rsid w:val="00DB596E"/>
    <w:rsid w:val="00DB7773"/>
    <w:rsid w:val="00DC00EA"/>
    <w:rsid w:val="00DC3802"/>
    <w:rsid w:val="00DC6776"/>
    <w:rsid w:val="00E07D87"/>
    <w:rsid w:val="00E32F7E"/>
    <w:rsid w:val="00E5267B"/>
    <w:rsid w:val="00E63C0E"/>
    <w:rsid w:val="00E67296"/>
    <w:rsid w:val="00E706E8"/>
    <w:rsid w:val="00E70F71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3016"/>
    <w:rsid w:val="00F560F7"/>
    <w:rsid w:val="00F6334D"/>
    <w:rsid w:val="00F70FE8"/>
    <w:rsid w:val="00FA0A9D"/>
    <w:rsid w:val="00FA49AB"/>
    <w:rsid w:val="00FB3139"/>
    <w:rsid w:val="00FB4E47"/>
    <w:rsid w:val="00FE39C7"/>
    <w:rsid w:val="00FF12E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A767EA2-9229-4C0C-A3E7-DA513AE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752467"/>
    <w:pPr>
      <w:keepNext/>
      <w:jc w:val="both"/>
      <w:outlineLvl w:val="0"/>
    </w:pPr>
    <w:rPr>
      <w:rFonts w:ascii="Arial" w:hAnsi="Arial"/>
      <w:caps/>
      <w:snapToGrid w:val="0"/>
      <w:lang w:val="fr-CH"/>
    </w:rPr>
  </w:style>
  <w:style w:type="paragraph" w:styleId="Heading2">
    <w:name w:val="heading 2"/>
    <w:next w:val="Normal"/>
    <w:link w:val="Heading2Char"/>
    <w:autoRedefine/>
    <w:qFormat/>
    <w:rsid w:val="002D369F"/>
    <w:pPr>
      <w:keepNext/>
      <w:jc w:val="both"/>
      <w:outlineLvl w:val="1"/>
    </w:pPr>
    <w:rPr>
      <w:rFonts w:ascii="Arial" w:hAnsi="Arial"/>
      <w:bCs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81126B"/>
    <w:pPr>
      <w:tabs>
        <w:tab w:val="right" w:leader="dot" w:pos="9639"/>
      </w:tabs>
      <w:spacing w:before="120" w:after="60"/>
      <w:ind w:left="720" w:right="720"/>
    </w:pPr>
    <w:rPr>
      <w:rFonts w:ascii="Arial" w:hAnsi="Arial"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1126B"/>
    <w:pPr>
      <w:keepNext/>
      <w:tabs>
        <w:tab w:val="right" w:leader="dot" w:pos="9639"/>
      </w:tabs>
      <w:spacing w:before="120"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752467"/>
    <w:rPr>
      <w:rFonts w:ascii="Arial" w:hAnsi="Arial"/>
      <w:caps/>
      <w:snapToGrid w:val="0"/>
      <w:lang w:val="fr-CH"/>
    </w:rPr>
  </w:style>
  <w:style w:type="character" w:customStyle="1" w:styleId="FootnoteTextChar">
    <w:name w:val="Footnote Text Char"/>
    <w:link w:val="FootnoteText"/>
    <w:rsid w:val="0030147A"/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147A"/>
    <w:pPr>
      <w:ind w:left="720"/>
      <w:contextualSpacing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2D369F"/>
    <w:rPr>
      <w:rFonts w:ascii="Arial" w:hAnsi="Arial"/>
      <w:bCs/>
      <w:u w:val="single"/>
      <w:lang w:val="fr-CH"/>
    </w:rPr>
  </w:style>
  <w:style w:type="character" w:customStyle="1" w:styleId="DecisionParagraphsChar">
    <w:name w:val="DecisionParagraphs Char"/>
    <w:basedOn w:val="DefaultParagraphFont"/>
    <w:link w:val="DecisionParagraphs"/>
    <w:rsid w:val="0030147A"/>
    <w:rPr>
      <w:rFonts w:ascii="Arial" w:hAnsi="Arial"/>
      <w:i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30147A"/>
    <w:rPr>
      <w:rFonts w:ascii="Arial" w:hAnsi="Arial"/>
      <w:lang w:val="fr-FR"/>
    </w:rPr>
  </w:style>
  <w:style w:type="table" w:styleId="TableGrid">
    <w:name w:val="Table Grid"/>
    <w:basedOn w:val="TableNormal"/>
    <w:rsid w:val="00C34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04847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val="en-US"/>
    </w:rPr>
  </w:style>
  <w:style w:type="character" w:styleId="FollowedHyperlink">
    <w:name w:val="FollowedHyperlink"/>
    <w:basedOn w:val="DefaultParagraphFont"/>
    <w:semiHidden/>
    <w:unhideWhenUsed/>
    <w:rsid w:val="002D36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30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C250B-6D1E-46C7-827A-6AF0D09D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9</Pages>
  <Words>4107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27474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BAILLY Delphine</dc:creator>
  <cp:lastModifiedBy>SANTOS Carla Marina</cp:lastModifiedBy>
  <cp:revision>53</cp:revision>
  <cp:lastPrinted>2021-06-16T18:22:00Z</cp:lastPrinted>
  <dcterms:created xsi:type="dcterms:W3CDTF">2021-06-14T06:23:00Z</dcterms:created>
  <dcterms:modified xsi:type="dcterms:W3CDTF">2021-06-16T18:23:00Z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fbb2d290-7997-45f3-9409-4413f20803d6</vt:lpwstr>
  </property>
</Properties>
</file>