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63288" w:rsidTr="00EB4E9C">
        <w:tc>
          <w:tcPr>
            <w:tcW w:w="6522" w:type="dxa"/>
          </w:tcPr>
          <w:p w:rsidR="00DC3802" w:rsidRPr="00963288" w:rsidRDefault="00DC3802" w:rsidP="00AC2883">
            <w:pPr>
              <w:rPr>
                <w:lang w:val="fr-FR"/>
              </w:rPr>
            </w:pPr>
            <w:r w:rsidRPr="00963288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963288" w:rsidRDefault="00CA4B58" w:rsidP="00AC2883">
            <w:pPr>
              <w:pStyle w:val="Lettrine"/>
              <w:rPr>
                <w:lang w:val="fr-FR"/>
              </w:rPr>
            </w:pPr>
            <w:r w:rsidRPr="00963288">
              <w:rPr>
                <w:lang w:val="fr-FR"/>
              </w:rPr>
              <w:t>F</w:t>
            </w:r>
          </w:p>
        </w:tc>
      </w:tr>
      <w:tr w:rsidR="00DC3802" w:rsidRPr="00333D36" w:rsidTr="00645CA8">
        <w:trPr>
          <w:trHeight w:val="219"/>
        </w:trPr>
        <w:tc>
          <w:tcPr>
            <w:tcW w:w="6522" w:type="dxa"/>
          </w:tcPr>
          <w:p w:rsidR="00DC3802" w:rsidRPr="00963288" w:rsidRDefault="00CA4B58" w:rsidP="00AC2883">
            <w:pPr>
              <w:pStyle w:val="upove"/>
              <w:rPr>
                <w:lang w:val="fr-FR"/>
              </w:rPr>
            </w:pPr>
            <w:r w:rsidRPr="00963288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963288" w:rsidRDefault="00DC3802" w:rsidP="00DA4973">
            <w:pPr>
              <w:rPr>
                <w:lang w:val="fr-FR"/>
              </w:rPr>
            </w:pPr>
          </w:p>
        </w:tc>
      </w:tr>
    </w:tbl>
    <w:p w:rsidR="00DB045D" w:rsidRPr="00963288" w:rsidRDefault="00DB045D" w:rsidP="00DC3802">
      <w:pPr>
        <w:rPr>
          <w:lang w:val="fr-FR"/>
        </w:rPr>
      </w:pPr>
    </w:p>
    <w:p w:rsidR="00D70E65" w:rsidRPr="00963288" w:rsidRDefault="00D70E65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33D36" w:rsidTr="00EB4E9C">
        <w:tc>
          <w:tcPr>
            <w:tcW w:w="6512" w:type="dxa"/>
          </w:tcPr>
          <w:p w:rsidR="00DB045D" w:rsidRPr="00963288" w:rsidRDefault="006C1AAE" w:rsidP="006C1AAE">
            <w:pPr>
              <w:pStyle w:val="Sessiontc"/>
              <w:spacing w:line="240" w:lineRule="auto"/>
              <w:rPr>
                <w:lang w:val="fr-FR"/>
              </w:rPr>
            </w:pPr>
            <w:r w:rsidRPr="00963288">
              <w:rPr>
                <w:lang w:val="fr-FR"/>
              </w:rPr>
              <w:t>Comité administratif et juridique</w:t>
            </w:r>
          </w:p>
          <w:p w:rsidR="00EB4E9C" w:rsidRPr="00963288" w:rsidRDefault="006C1AAE" w:rsidP="006C1AAE">
            <w:pPr>
              <w:pStyle w:val="Sessiontcplacedate"/>
              <w:rPr>
                <w:sz w:val="22"/>
                <w:lang w:val="fr-FR"/>
              </w:rPr>
            </w:pPr>
            <w:r w:rsidRPr="00963288">
              <w:rPr>
                <w:lang w:val="fr-FR"/>
              </w:rPr>
              <w:t>Soixante</w:t>
            </w:r>
            <w:r w:rsidR="00326251">
              <w:rPr>
                <w:lang w:val="fr-FR"/>
              </w:rPr>
              <w:t>-</w:t>
            </w:r>
            <w:r w:rsidRPr="00963288">
              <w:rPr>
                <w:lang w:val="fr-FR"/>
              </w:rPr>
              <w:t>dix</w:t>
            </w:r>
            <w:r w:rsidR="00326251">
              <w:rPr>
                <w:lang w:val="fr-FR"/>
              </w:rPr>
              <w:t>-</w:t>
            </w:r>
            <w:r w:rsidR="006D4CC8" w:rsidRPr="00963288">
              <w:rPr>
                <w:lang w:val="fr-FR"/>
              </w:rPr>
              <w:t>huit</w:t>
            </w:r>
            <w:r w:rsidR="00326251">
              <w:rPr>
                <w:lang w:val="fr-FR"/>
              </w:rPr>
              <w:t>ième session</w:t>
            </w:r>
            <w:r w:rsidR="006D4CC8" w:rsidRPr="00963288">
              <w:rPr>
                <w:lang w:val="fr-FR"/>
              </w:rPr>
              <w:br/>
            </w:r>
            <w:r w:rsidRPr="00963288">
              <w:rPr>
                <w:lang w:val="fr-FR"/>
              </w:rPr>
              <w:t>Genève, 2</w:t>
            </w:r>
            <w:r w:rsidR="00326251" w:rsidRPr="00963288">
              <w:rPr>
                <w:lang w:val="fr-FR"/>
              </w:rPr>
              <w:t>7</w:t>
            </w:r>
            <w:r w:rsidR="00326251">
              <w:rPr>
                <w:lang w:val="fr-FR"/>
              </w:rPr>
              <w:t> </w:t>
            </w:r>
            <w:r w:rsidR="00326251" w:rsidRPr="00963288">
              <w:rPr>
                <w:lang w:val="fr-FR"/>
              </w:rPr>
              <w:t>octobre</w:t>
            </w:r>
            <w:r w:rsidR="00326251">
              <w:rPr>
                <w:lang w:val="fr-FR"/>
              </w:rPr>
              <w:t> </w:t>
            </w:r>
            <w:r w:rsidR="00326251" w:rsidRPr="00963288">
              <w:rPr>
                <w:lang w:val="fr-FR"/>
              </w:rPr>
              <w:t>20</w:t>
            </w:r>
            <w:r w:rsidRPr="00963288">
              <w:rPr>
                <w:lang w:val="fr-FR"/>
              </w:rPr>
              <w:t>21</w:t>
            </w:r>
          </w:p>
        </w:tc>
        <w:tc>
          <w:tcPr>
            <w:tcW w:w="3127" w:type="dxa"/>
          </w:tcPr>
          <w:p w:rsidR="00DB045D" w:rsidRPr="00963288" w:rsidRDefault="00265496" w:rsidP="003C7FBE">
            <w:pPr>
              <w:pStyle w:val="Doccode"/>
              <w:rPr>
                <w:lang w:val="fr-FR"/>
              </w:rPr>
            </w:pPr>
            <w:r w:rsidRPr="00963288">
              <w:rPr>
                <w:lang w:val="fr-FR"/>
              </w:rPr>
              <w:t>CAJ/78/10</w:t>
            </w:r>
          </w:p>
          <w:p w:rsidR="00DB045D" w:rsidRPr="00963288" w:rsidRDefault="006C1AAE" w:rsidP="006C1AAE">
            <w:pPr>
              <w:pStyle w:val="Docoriginal"/>
              <w:rPr>
                <w:lang w:val="fr-FR"/>
              </w:rPr>
            </w:pPr>
            <w:r w:rsidRPr="00963288">
              <w:rPr>
                <w:lang w:val="fr-FR"/>
              </w:rPr>
              <w:t>Original</w:t>
            </w:r>
            <w:r w:rsidR="00326251">
              <w:rPr>
                <w:lang w:val="fr-FR"/>
              </w:rPr>
              <w:t> :</w:t>
            </w:r>
            <w:r w:rsidRPr="00963288">
              <w:rPr>
                <w:b w:val="0"/>
                <w:lang w:val="fr-FR"/>
              </w:rPr>
              <w:t xml:space="preserve"> an</w:t>
            </w:r>
            <w:bookmarkStart w:id="0" w:name="_GoBack"/>
            <w:bookmarkEnd w:id="0"/>
            <w:r w:rsidRPr="00963288">
              <w:rPr>
                <w:b w:val="0"/>
                <w:lang w:val="fr-FR"/>
              </w:rPr>
              <w:t>glais</w:t>
            </w:r>
          </w:p>
          <w:p w:rsidR="00EB4E9C" w:rsidRPr="00963288" w:rsidRDefault="006C1AAE" w:rsidP="006C1AAE">
            <w:pPr>
              <w:pStyle w:val="Docoriginal"/>
              <w:rPr>
                <w:lang w:val="fr-FR"/>
              </w:rPr>
            </w:pPr>
            <w:r w:rsidRPr="00963288">
              <w:rPr>
                <w:lang w:val="fr-FR"/>
              </w:rPr>
              <w:t>Date</w:t>
            </w:r>
            <w:r w:rsidR="00326251">
              <w:rPr>
                <w:lang w:val="fr-FR"/>
              </w:rPr>
              <w:t> :</w:t>
            </w:r>
            <w:r w:rsidRPr="00963288">
              <w:rPr>
                <w:b w:val="0"/>
                <w:lang w:val="fr-FR"/>
              </w:rPr>
              <w:t xml:space="preserve"> 1</w:t>
            </w:r>
            <w:r w:rsidR="00326251" w:rsidRPr="00963288">
              <w:rPr>
                <w:b w:val="0"/>
                <w:lang w:val="fr-FR"/>
              </w:rPr>
              <w:t>3</w:t>
            </w:r>
            <w:r w:rsidR="00326251">
              <w:rPr>
                <w:b w:val="0"/>
                <w:lang w:val="fr-FR"/>
              </w:rPr>
              <w:t> </w:t>
            </w:r>
            <w:r w:rsidR="00326251" w:rsidRPr="00963288">
              <w:rPr>
                <w:b w:val="0"/>
                <w:lang w:val="fr-FR"/>
              </w:rPr>
              <w:t>septembre</w:t>
            </w:r>
            <w:r w:rsidR="00326251">
              <w:rPr>
                <w:b w:val="0"/>
                <w:lang w:val="fr-FR"/>
              </w:rPr>
              <w:t> </w:t>
            </w:r>
            <w:r w:rsidR="00326251" w:rsidRPr="00963288">
              <w:rPr>
                <w:b w:val="0"/>
                <w:lang w:val="fr-FR"/>
              </w:rPr>
              <w:t>20</w:t>
            </w:r>
            <w:r w:rsidRPr="00963288">
              <w:rPr>
                <w:b w:val="0"/>
                <w:lang w:val="fr-FR"/>
              </w:rPr>
              <w:t>21</w:t>
            </w:r>
          </w:p>
        </w:tc>
      </w:tr>
    </w:tbl>
    <w:p w:rsidR="00DB045D" w:rsidRPr="00963288" w:rsidRDefault="006C1AAE" w:rsidP="006C1AAE">
      <w:pPr>
        <w:pStyle w:val="Titleofdoc0"/>
        <w:jc w:val="both"/>
        <w:rPr>
          <w:lang w:val="fr-FR"/>
        </w:rPr>
      </w:pPr>
      <w:bookmarkStart w:id="1" w:name="TitleOfDoc"/>
      <w:bookmarkEnd w:id="1"/>
      <w:r w:rsidRPr="00963288">
        <w:rPr>
          <w:lang w:val="fr-FR"/>
        </w:rPr>
        <w:t>Orientations possibles sur l</w:t>
      </w:r>
      <w:r w:rsidR="00326251">
        <w:rPr>
          <w:lang w:val="fr-FR"/>
        </w:rPr>
        <w:t>’</w:t>
      </w:r>
      <w:r w:rsidRPr="00963288">
        <w:rPr>
          <w:lang w:val="fr-FR"/>
        </w:rPr>
        <w:t>utilisation de rapports d</w:t>
      </w:r>
      <w:r w:rsidR="00326251">
        <w:rPr>
          <w:lang w:val="fr-FR"/>
        </w:rPr>
        <w:t>’</w:t>
      </w:r>
      <w:r w:rsidRPr="00963288">
        <w:rPr>
          <w:lang w:val="fr-FR"/>
        </w:rPr>
        <w:t>examen</w:t>
      </w:r>
      <w:r w:rsidR="002F3084">
        <w:rPr>
          <w:lang w:val="fr-FR"/>
        </w:rPr>
        <w:t> </w:t>
      </w:r>
      <w:r w:rsidRPr="00963288">
        <w:rPr>
          <w:lang w:val="fr-FR"/>
        </w:rPr>
        <w:t>DHS lorsque les demandeurs ne sont pas en mesure de remettre du matériel végétal</w:t>
      </w:r>
    </w:p>
    <w:p w:rsidR="00DB045D" w:rsidRPr="00963288" w:rsidRDefault="006C1AAE" w:rsidP="006C1AAE">
      <w:pPr>
        <w:pStyle w:val="preparedby1"/>
        <w:jc w:val="left"/>
        <w:rPr>
          <w:lang w:val="fr-FR"/>
        </w:rPr>
      </w:pPr>
      <w:bookmarkStart w:id="2" w:name="Prepared"/>
      <w:bookmarkEnd w:id="2"/>
      <w:r w:rsidRPr="00963288">
        <w:rPr>
          <w:lang w:val="fr-FR"/>
        </w:rPr>
        <w:t>Document établi par le Bureau de l</w:t>
      </w:r>
      <w:r w:rsidR="00326251">
        <w:rPr>
          <w:lang w:val="fr-FR"/>
        </w:rPr>
        <w:t>’</w:t>
      </w:r>
      <w:r w:rsidRPr="00963288">
        <w:rPr>
          <w:lang w:val="fr-FR"/>
        </w:rPr>
        <w:t>Union</w:t>
      </w:r>
    </w:p>
    <w:p w:rsidR="00DB045D" w:rsidRPr="00963288" w:rsidRDefault="006C1AAE" w:rsidP="006C1AAE">
      <w:pPr>
        <w:pStyle w:val="Disclaimer"/>
        <w:rPr>
          <w:lang w:val="fr-FR"/>
        </w:rPr>
      </w:pPr>
      <w:r w:rsidRPr="00963288">
        <w:rPr>
          <w:color w:val="800080"/>
          <w:lang w:val="fr-FR"/>
        </w:rPr>
        <w:t>‏</w:t>
      </w:r>
      <w:r w:rsidRPr="00963288">
        <w:rPr>
          <w:lang w:val="fr-FR"/>
        </w:rPr>
        <w:t>Avertissement</w:t>
      </w:r>
      <w:r w:rsidR="00326251">
        <w:rPr>
          <w:lang w:val="fr-FR"/>
        </w:rPr>
        <w:t> :</w:t>
      </w:r>
      <w:r w:rsidRPr="00963288">
        <w:rPr>
          <w:lang w:val="fr-FR"/>
        </w:rPr>
        <w:t xml:space="preserve"> le présent document ne représente pas les principes ou les orientations de l</w:t>
      </w:r>
      <w:r w:rsidR="00326251">
        <w:rPr>
          <w:lang w:val="fr-FR"/>
        </w:rPr>
        <w:t>’</w:t>
      </w:r>
      <w:r w:rsidRPr="00963288">
        <w:rPr>
          <w:lang w:val="fr-FR"/>
        </w:rPr>
        <w:t>UPOV</w:t>
      </w:r>
    </w:p>
    <w:p w:rsidR="00DB045D" w:rsidRPr="00963288" w:rsidRDefault="00280C80" w:rsidP="00280C80">
      <w:pPr>
        <w:pStyle w:val="Heading1"/>
        <w:rPr>
          <w:lang w:val="fr-FR"/>
        </w:rPr>
      </w:pPr>
      <w:bookmarkStart w:id="3" w:name="_Toc82693774"/>
      <w:r>
        <w:rPr>
          <w:lang w:val="fr-FR"/>
        </w:rPr>
        <w:t>R</w:t>
      </w:r>
      <w:r w:rsidRPr="00963288">
        <w:rPr>
          <w:lang w:val="fr-FR"/>
        </w:rPr>
        <w:t>ésumé</w:t>
      </w:r>
      <w:bookmarkEnd w:id="3"/>
    </w:p>
    <w:p w:rsidR="00DB045D" w:rsidRPr="00333D36" w:rsidRDefault="00DB045D" w:rsidP="005E5B90">
      <w:pPr>
        <w:rPr>
          <w:spacing w:val="-2"/>
          <w:lang w:val="fr-FR"/>
        </w:rPr>
      </w:pPr>
    </w:p>
    <w:p w:rsidR="00DB045D" w:rsidRPr="00333D36" w:rsidRDefault="005E5B90" w:rsidP="002F679B">
      <w:pPr>
        <w:rPr>
          <w:spacing w:val="-2"/>
          <w:lang w:val="fr-FR"/>
        </w:rPr>
      </w:pPr>
      <w:r w:rsidRPr="00333D36">
        <w:rPr>
          <w:spacing w:val="-2"/>
          <w:lang w:val="fr-FR"/>
        </w:rPr>
        <w:fldChar w:fldCharType="begin"/>
      </w:r>
      <w:r w:rsidRPr="00333D36">
        <w:rPr>
          <w:spacing w:val="-2"/>
          <w:lang w:val="fr-FR"/>
        </w:rPr>
        <w:instrText xml:space="preserve"> AUTONUM  </w:instrText>
      </w:r>
      <w:r w:rsidRPr="00333D36">
        <w:rPr>
          <w:spacing w:val="-2"/>
          <w:lang w:val="fr-FR"/>
        </w:rPr>
        <w:fldChar w:fldCharType="end"/>
      </w:r>
      <w:r w:rsidRPr="00333D36">
        <w:rPr>
          <w:spacing w:val="-2"/>
          <w:lang w:val="fr-FR"/>
        </w:rPr>
        <w:tab/>
      </w:r>
      <w:r w:rsidR="002F679B" w:rsidRPr="00333D36">
        <w:rPr>
          <w:spacing w:val="-2"/>
          <w:lang w:val="fr-FR"/>
        </w:rPr>
        <w:t>Le présent document a pour objet de présenter les solutions envisageables pour élaborer des orientations destinées à encourager les membres de l</w:t>
      </w:r>
      <w:r w:rsidR="00326251" w:rsidRPr="00333D36">
        <w:rPr>
          <w:spacing w:val="-2"/>
          <w:lang w:val="fr-FR"/>
        </w:rPr>
        <w:t>’</w:t>
      </w:r>
      <w:r w:rsidR="002F679B" w:rsidRPr="00333D36">
        <w:rPr>
          <w:spacing w:val="-2"/>
          <w:lang w:val="fr-FR"/>
        </w:rPr>
        <w:t>Union, sur une base volontaire, à prendre à leur compte les rapports d</w:t>
      </w:r>
      <w:r w:rsidR="00326251" w:rsidRPr="00333D36">
        <w:rPr>
          <w:spacing w:val="-2"/>
          <w:lang w:val="fr-FR"/>
        </w:rPr>
        <w:t>’</w:t>
      </w:r>
      <w:r w:rsidR="002F679B" w:rsidRPr="00333D36">
        <w:rPr>
          <w:spacing w:val="-2"/>
          <w:lang w:val="fr-FR"/>
        </w:rPr>
        <w:t>examen</w:t>
      </w:r>
      <w:r w:rsidR="002F3084" w:rsidRPr="00333D36">
        <w:rPr>
          <w:spacing w:val="-2"/>
          <w:lang w:val="fr-FR"/>
        </w:rPr>
        <w:t> </w:t>
      </w:r>
      <w:r w:rsidR="002F679B" w:rsidRPr="00333D36">
        <w:rPr>
          <w:spacing w:val="-2"/>
          <w:lang w:val="fr-FR"/>
        </w:rPr>
        <w:t>DHS lorsque les demandeurs ne sont pas en mesure de remettre du matériel végétal pour des raisons phytosanitaires ou autres, lorsque cela est acceptable pour les membres de l</w:t>
      </w:r>
      <w:r w:rsidR="00326251" w:rsidRPr="00333D36">
        <w:rPr>
          <w:spacing w:val="-2"/>
          <w:lang w:val="fr-FR"/>
        </w:rPr>
        <w:t>’</w:t>
      </w:r>
      <w:r w:rsidR="002F679B" w:rsidRPr="00333D36">
        <w:rPr>
          <w:spacing w:val="-2"/>
          <w:lang w:val="fr-FR"/>
        </w:rPr>
        <w:t>Union concernés.</w:t>
      </w:r>
    </w:p>
    <w:p w:rsidR="00DB045D" w:rsidRPr="00963288" w:rsidRDefault="00DB045D" w:rsidP="004F1C47">
      <w:pPr>
        <w:rPr>
          <w:spacing w:val="-4"/>
          <w:lang w:val="fr-FR"/>
        </w:rPr>
      </w:pPr>
    </w:p>
    <w:p w:rsidR="00DB045D" w:rsidRPr="00963288" w:rsidRDefault="00753040" w:rsidP="002F679B">
      <w:pPr>
        <w:tabs>
          <w:tab w:val="left" w:pos="567"/>
          <w:tab w:val="left" w:pos="1134"/>
          <w:tab w:val="left" w:pos="1701"/>
          <w:tab w:val="left" w:pos="5387"/>
        </w:tabs>
        <w:rPr>
          <w:snapToGrid w:val="0"/>
          <w:lang w:val="fr-FR"/>
        </w:rPr>
      </w:pPr>
      <w:r w:rsidRPr="00963288">
        <w:rPr>
          <w:snapToGrid w:val="0"/>
          <w:lang w:val="fr-FR"/>
        </w:rPr>
        <w:fldChar w:fldCharType="begin"/>
      </w:r>
      <w:r w:rsidRPr="00963288">
        <w:rPr>
          <w:snapToGrid w:val="0"/>
          <w:lang w:val="fr-FR"/>
        </w:rPr>
        <w:instrText xml:space="preserve"> AUTONUM  </w:instrText>
      </w:r>
      <w:r w:rsidRPr="00963288">
        <w:rPr>
          <w:snapToGrid w:val="0"/>
          <w:lang w:val="fr-FR"/>
        </w:rPr>
        <w:fldChar w:fldCharType="end"/>
      </w:r>
      <w:r w:rsidRPr="00963288">
        <w:rPr>
          <w:snapToGrid w:val="0"/>
          <w:lang w:val="fr-FR"/>
        </w:rPr>
        <w:tab/>
      </w:r>
      <w:r w:rsidR="002F679B" w:rsidRPr="00963288">
        <w:rPr>
          <w:snapToGrid w:val="0"/>
          <w:lang w:val="fr-FR"/>
        </w:rPr>
        <w:t xml:space="preserve">Le CAJ est </w:t>
      </w:r>
      <w:r w:rsidR="00036CCF" w:rsidRPr="00963288">
        <w:rPr>
          <w:snapToGrid w:val="0"/>
          <w:lang w:val="fr-FR"/>
        </w:rPr>
        <w:t>invité</w:t>
      </w:r>
      <w:r w:rsidR="00326251">
        <w:rPr>
          <w:snapToGrid w:val="0"/>
          <w:lang w:val="fr-FR"/>
        </w:rPr>
        <w:t> </w:t>
      </w:r>
      <w:r w:rsidR="00333D36">
        <w:rPr>
          <w:snapToGrid w:val="0"/>
          <w:lang w:val="fr-FR"/>
        </w:rPr>
        <w:t>à</w:t>
      </w:r>
      <w:r w:rsidR="00326251">
        <w:rPr>
          <w:snapToGrid w:val="0"/>
          <w:lang w:val="fr-FR"/>
        </w:rPr>
        <w:t>:</w:t>
      </w:r>
    </w:p>
    <w:p w:rsidR="00DB045D" w:rsidRPr="00963288" w:rsidRDefault="00DB045D" w:rsidP="00753040">
      <w:pPr>
        <w:tabs>
          <w:tab w:val="left" w:pos="567"/>
          <w:tab w:val="left" w:pos="1134"/>
          <w:tab w:val="left" w:pos="1701"/>
          <w:tab w:val="left" w:pos="5387"/>
        </w:tabs>
        <w:rPr>
          <w:snapToGrid w:val="0"/>
          <w:lang w:val="fr-FR"/>
        </w:rPr>
      </w:pPr>
    </w:p>
    <w:p w:rsidR="00DB045D" w:rsidRPr="00963288" w:rsidRDefault="00036CCF" w:rsidP="004C703D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5670"/>
        </w:tabs>
        <w:ind w:left="0" w:firstLine="567"/>
        <w:rPr>
          <w:snapToGrid w:val="0"/>
          <w:lang w:val="fr-FR"/>
        </w:rPr>
      </w:pPr>
      <w:r w:rsidRPr="00963288">
        <w:rPr>
          <w:snapToGrid w:val="0"/>
          <w:lang w:val="fr-FR"/>
        </w:rPr>
        <w:t>noter</w:t>
      </w:r>
      <w:r w:rsidR="00B87DEC" w:rsidRPr="00963288">
        <w:rPr>
          <w:snapToGrid w:val="0"/>
          <w:lang w:val="fr-FR"/>
        </w:rPr>
        <w:t xml:space="preserve"> que d</w:t>
      </w:r>
      <w:r w:rsidR="002F679B" w:rsidRPr="00963288">
        <w:rPr>
          <w:snapToGrid w:val="0"/>
          <w:lang w:val="fr-FR"/>
        </w:rPr>
        <w:t xml:space="preserve">es propositions visant à </w:t>
      </w:r>
      <w:r w:rsidR="00916F2E" w:rsidRPr="00963288">
        <w:rPr>
          <w:snapToGrid w:val="0"/>
          <w:lang w:val="fr-FR"/>
        </w:rPr>
        <w:t>renforcer</w:t>
      </w:r>
      <w:r w:rsidR="002F679B" w:rsidRPr="00963288">
        <w:rPr>
          <w:snapToGrid w:val="0"/>
          <w:lang w:val="fr-FR"/>
        </w:rPr>
        <w:t xml:space="preserve"> la coopération et </w:t>
      </w:r>
      <w:r w:rsidR="0001626A" w:rsidRPr="00963288">
        <w:rPr>
          <w:snapToGrid w:val="0"/>
          <w:lang w:val="fr-FR"/>
        </w:rPr>
        <w:t>la reprise</w:t>
      </w:r>
      <w:r w:rsidR="002F679B" w:rsidRPr="00963288">
        <w:rPr>
          <w:snapToGrid w:val="0"/>
          <w:lang w:val="fr-FR"/>
        </w:rPr>
        <w:t xml:space="preserve"> des rapports d</w:t>
      </w:r>
      <w:r w:rsidR="00326251">
        <w:rPr>
          <w:snapToGrid w:val="0"/>
          <w:lang w:val="fr-FR"/>
        </w:rPr>
        <w:t>’</w:t>
      </w:r>
      <w:r w:rsidR="002F679B" w:rsidRPr="00963288">
        <w:rPr>
          <w:snapToGrid w:val="0"/>
          <w:lang w:val="fr-FR"/>
        </w:rPr>
        <w:t xml:space="preserve">examen </w:t>
      </w:r>
      <w:r w:rsidR="00916F2E" w:rsidRPr="00963288">
        <w:rPr>
          <w:snapToGrid w:val="0"/>
          <w:lang w:val="fr-FR"/>
        </w:rPr>
        <w:t>figurent</w:t>
      </w:r>
      <w:r w:rsidR="002F679B" w:rsidRPr="00963288">
        <w:rPr>
          <w:snapToGrid w:val="0"/>
          <w:lang w:val="fr-FR"/>
        </w:rPr>
        <w:t xml:space="preserve"> dans le document CAJ/78/9 </w:t>
      </w:r>
      <w:r w:rsidR="00326251">
        <w:rPr>
          <w:snapToGrid w:val="0"/>
          <w:lang w:val="fr-FR"/>
        </w:rPr>
        <w:t>“</w:t>
      </w:r>
      <w:r w:rsidR="00326251" w:rsidRPr="00963288">
        <w:rPr>
          <w:snapToGrid w:val="0"/>
          <w:lang w:val="fr-FR"/>
        </w:rPr>
        <w:t>M</w:t>
      </w:r>
      <w:r w:rsidR="002F679B" w:rsidRPr="00963288">
        <w:rPr>
          <w:snapToGrid w:val="0"/>
          <w:lang w:val="fr-FR"/>
        </w:rPr>
        <w:t>esures visant à renforcer la coopération en matière d</w:t>
      </w:r>
      <w:r w:rsidR="00326251">
        <w:rPr>
          <w:snapToGrid w:val="0"/>
          <w:lang w:val="fr-FR"/>
        </w:rPr>
        <w:t>’</w:t>
      </w:r>
      <w:r w:rsidR="002F679B" w:rsidRPr="00963288">
        <w:rPr>
          <w:snapToGrid w:val="0"/>
          <w:lang w:val="fr-FR"/>
        </w:rPr>
        <w:t>exame</w:t>
      </w:r>
      <w:r w:rsidR="00326251" w:rsidRPr="00963288">
        <w:rPr>
          <w:snapToGrid w:val="0"/>
          <w:lang w:val="fr-FR"/>
        </w:rPr>
        <w:t>n</w:t>
      </w:r>
      <w:r w:rsidR="00326251">
        <w:rPr>
          <w:snapToGrid w:val="0"/>
          <w:lang w:val="fr-FR"/>
        </w:rPr>
        <w:t>”</w:t>
      </w:r>
      <w:r w:rsidR="002F679B" w:rsidRPr="00963288">
        <w:rPr>
          <w:snapToGrid w:val="0"/>
          <w:lang w:val="fr-FR"/>
        </w:rPr>
        <w:t>;  et</w:t>
      </w:r>
    </w:p>
    <w:p w:rsidR="00DB045D" w:rsidRPr="00963288" w:rsidRDefault="00DB045D" w:rsidP="00753040">
      <w:pPr>
        <w:pStyle w:val="ListParagraph"/>
        <w:tabs>
          <w:tab w:val="left" w:pos="567"/>
          <w:tab w:val="left" w:pos="1134"/>
          <w:tab w:val="left" w:pos="1701"/>
          <w:tab w:val="left" w:pos="5670"/>
        </w:tabs>
        <w:ind w:left="0"/>
        <w:rPr>
          <w:snapToGrid w:val="0"/>
          <w:lang w:val="fr-FR"/>
        </w:rPr>
      </w:pPr>
    </w:p>
    <w:p w:rsidR="00DB045D" w:rsidRPr="00963288" w:rsidRDefault="00B87DEC" w:rsidP="004C703D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5670"/>
        </w:tabs>
        <w:ind w:left="0" w:firstLine="567"/>
        <w:rPr>
          <w:spacing w:val="-4"/>
          <w:lang w:val="fr-FR"/>
        </w:rPr>
      </w:pPr>
      <w:r w:rsidRPr="00963288">
        <w:rPr>
          <w:spacing w:val="-4"/>
          <w:lang w:val="fr-FR"/>
        </w:rPr>
        <w:t>considérer</w:t>
      </w:r>
      <w:r w:rsidR="002F679B" w:rsidRPr="00963288">
        <w:rPr>
          <w:spacing w:val="-4"/>
          <w:lang w:val="fr-FR"/>
        </w:rPr>
        <w:t xml:space="preserve"> les possibles </w:t>
      </w:r>
      <w:r w:rsidR="00326251">
        <w:rPr>
          <w:spacing w:val="-4"/>
          <w:lang w:val="fr-FR"/>
        </w:rPr>
        <w:t>“</w:t>
      </w:r>
      <w:r w:rsidR="00326251" w:rsidRPr="00963288">
        <w:rPr>
          <w:spacing w:val="-4"/>
          <w:lang w:val="fr-FR"/>
        </w:rPr>
        <w:t>o</w:t>
      </w:r>
      <w:r w:rsidR="002F679B" w:rsidRPr="00963288">
        <w:rPr>
          <w:spacing w:val="-4"/>
          <w:lang w:val="fr-FR"/>
        </w:rPr>
        <w:t>rientations pour encourager les membres de l</w:t>
      </w:r>
      <w:r w:rsidR="00326251">
        <w:rPr>
          <w:spacing w:val="-4"/>
          <w:lang w:val="fr-FR"/>
        </w:rPr>
        <w:t>’</w:t>
      </w:r>
      <w:r w:rsidR="002F679B" w:rsidRPr="00963288">
        <w:rPr>
          <w:spacing w:val="-4"/>
          <w:lang w:val="fr-FR"/>
        </w:rPr>
        <w:t>Union, sur une base volontaire, à prendre à leur compte les rapports d</w:t>
      </w:r>
      <w:r w:rsidR="00326251">
        <w:rPr>
          <w:spacing w:val="-4"/>
          <w:lang w:val="fr-FR"/>
        </w:rPr>
        <w:t>’</w:t>
      </w:r>
      <w:r w:rsidR="002F679B" w:rsidRPr="00963288">
        <w:rPr>
          <w:spacing w:val="-4"/>
          <w:lang w:val="fr-FR"/>
        </w:rPr>
        <w:t>examen</w:t>
      </w:r>
      <w:r w:rsidR="002F3084">
        <w:rPr>
          <w:spacing w:val="-4"/>
          <w:lang w:val="fr-FR"/>
        </w:rPr>
        <w:t> </w:t>
      </w:r>
      <w:r w:rsidR="002F679B" w:rsidRPr="00963288">
        <w:rPr>
          <w:spacing w:val="-4"/>
          <w:lang w:val="fr-FR"/>
        </w:rPr>
        <w:t>DHS lorsque les demandeurs ne sont pas en mesure de remettre du matériel végétal pour des raisons phytosanitaires ou autres, lorsque cela est acceptable pour les membres de l</w:t>
      </w:r>
      <w:r w:rsidR="00326251">
        <w:rPr>
          <w:spacing w:val="-4"/>
          <w:lang w:val="fr-FR"/>
        </w:rPr>
        <w:t>’</w:t>
      </w:r>
      <w:r w:rsidR="002F679B" w:rsidRPr="00963288">
        <w:rPr>
          <w:spacing w:val="-4"/>
          <w:lang w:val="fr-FR"/>
        </w:rPr>
        <w:t>Union concerné</w:t>
      </w:r>
      <w:r w:rsidR="00326251" w:rsidRPr="00963288">
        <w:rPr>
          <w:spacing w:val="-4"/>
          <w:lang w:val="fr-FR"/>
        </w:rPr>
        <w:t>s</w:t>
      </w:r>
      <w:r w:rsidR="00326251">
        <w:rPr>
          <w:spacing w:val="-4"/>
          <w:lang w:val="fr-FR"/>
        </w:rPr>
        <w:t>”</w:t>
      </w:r>
      <w:r w:rsidR="002F679B" w:rsidRPr="00963288">
        <w:rPr>
          <w:spacing w:val="-4"/>
          <w:lang w:val="fr-FR"/>
        </w:rPr>
        <w:t xml:space="preserve"> comme faisant partie intégrante des propositions et éventuels travaux futurs qu</w:t>
      </w:r>
      <w:r w:rsidR="00326251">
        <w:rPr>
          <w:spacing w:val="-4"/>
          <w:lang w:val="fr-FR"/>
        </w:rPr>
        <w:t>’</w:t>
      </w:r>
      <w:r w:rsidR="002F679B" w:rsidRPr="00963288">
        <w:rPr>
          <w:spacing w:val="-4"/>
          <w:lang w:val="fr-FR"/>
        </w:rPr>
        <w:t>il est invité à examiner au titre du document CAJ/78/9.</w:t>
      </w:r>
    </w:p>
    <w:p w:rsidR="00DB045D" w:rsidRPr="00963288" w:rsidRDefault="00DB045D" w:rsidP="005E5B90">
      <w:pPr>
        <w:rPr>
          <w:lang w:val="fr-FR"/>
        </w:rPr>
      </w:pPr>
    </w:p>
    <w:p w:rsidR="00DB045D" w:rsidRPr="00963288" w:rsidRDefault="005E5B90" w:rsidP="002F679B">
      <w:pPr>
        <w:rPr>
          <w:lang w:val="fr-FR"/>
        </w:rPr>
      </w:pPr>
      <w:r w:rsidRPr="00963288">
        <w:rPr>
          <w:lang w:val="fr-FR"/>
        </w:rPr>
        <w:fldChar w:fldCharType="begin"/>
      </w:r>
      <w:r w:rsidRPr="00963288">
        <w:rPr>
          <w:lang w:val="fr-FR"/>
        </w:rPr>
        <w:instrText xml:space="preserve"> AUTONUM  </w:instrText>
      </w:r>
      <w:r w:rsidRPr="00963288">
        <w:rPr>
          <w:lang w:val="fr-FR"/>
        </w:rPr>
        <w:fldChar w:fldCharType="end"/>
      </w:r>
      <w:r w:rsidRPr="00963288">
        <w:rPr>
          <w:lang w:val="fr-FR"/>
        </w:rPr>
        <w:tab/>
      </w:r>
      <w:r w:rsidR="002F679B" w:rsidRPr="00963288">
        <w:rPr>
          <w:lang w:val="fr-FR"/>
        </w:rPr>
        <w:t>La structure du présent document est la suivante</w:t>
      </w:r>
      <w:r w:rsidR="00326251">
        <w:rPr>
          <w:lang w:val="fr-FR"/>
        </w:rPr>
        <w:t> :</w:t>
      </w:r>
    </w:p>
    <w:p w:rsidR="00DB045D" w:rsidRPr="00963288" w:rsidRDefault="00DB045D" w:rsidP="005E5B90">
      <w:pPr>
        <w:rPr>
          <w:lang w:val="fr-FR"/>
        </w:rPr>
      </w:pPr>
    </w:p>
    <w:p w:rsidR="00280C80" w:rsidRPr="00280C80" w:rsidRDefault="005E5B9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963288">
        <w:rPr>
          <w:rFonts w:eastAsia="MS Mincho" w:cs="Arial"/>
          <w:noProof/>
          <w:sz w:val="18"/>
          <w:lang w:val="fr-FR" w:eastAsia="ja-JP"/>
        </w:rPr>
        <w:fldChar w:fldCharType="begin"/>
      </w:r>
      <w:r w:rsidRPr="00963288">
        <w:rPr>
          <w:rFonts w:eastAsia="MS Mincho" w:cs="Arial"/>
          <w:noProof/>
          <w:lang w:val="fr-FR" w:eastAsia="ja-JP"/>
        </w:rPr>
        <w:instrText xml:space="preserve"> TOC \o "1-2" \u </w:instrText>
      </w:r>
      <w:r w:rsidRPr="00963288">
        <w:rPr>
          <w:rFonts w:eastAsia="MS Mincho" w:cs="Arial"/>
          <w:noProof/>
          <w:sz w:val="18"/>
          <w:lang w:val="fr-FR" w:eastAsia="ja-JP"/>
        </w:rPr>
        <w:fldChar w:fldCharType="separate"/>
      </w:r>
      <w:r w:rsidR="00280C80" w:rsidRPr="00D84A3F">
        <w:rPr>
          <w:noProof/>
          <w:lang w:val="fr-FR"/>
        </w:rPr>
        <w:t>Résumé</w:t>
      </w:r>
      <w:r w:rsidR="00280C80" w:rsidRPr="00280C80">
        <w:rPr>
          <w:noProof/>
          <w:lang w:val="fr-CH"/>
        </w:rPr>
        <w:tab/>
      </w:r>
      <w:r w:rsidR="00280C80">
        <w:rPr>
          <w:noProof/>
        </w:rPr>
        <w:fldChar w:fldCharType="begin"/>
      </w:r>
      <w:r w:rsidR="00280C80" w:rsidRPr="00280C80">
        <w:rPr>
          <w:noProof/>
          <w:lang w:val="fr-CH"/>
        </w:rPr>
        <w:instrText xml:space="preserve"> PAGEREF _Toc82693774 \h </w:instrText>
      </w:r>
      <w:r w:rsidR="00280C80">
        <w:rPr>
          <w:noProof/>
        </w:rPr>
      </w:r>
      <w:r w:rsidR="00280C80">
        <w:rPr>
          <w:noProof/>
        </w:rPr>
        <w:fldChar w:fldCharType="separate"/>
      </w:r>
      <w:r w:rsidR="00BF7159">
        <w:rPr>
          <w:noProof/>
          <w:lang w:val="fr-CH"/>
        </w:rPr>
        <w:t>1</w:t>
      </w:r>
      <w:r w:rsidR="00280C80">
        <w:rPr>
          <w:noProof/>
        </w:rPr>
        <w:fldChar w:fldCharType="end"/>
      </w:r>
    </w:p>
    <w:p w:rsidR="00280C80" w:rsidRPr="00280C80" w:rsidRDefault="00280C8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D84A3F">
        <w:rPr>
          <w:noProof/>
          <w:snapToGrid w:val="0"/>
          <w:lang w:val="fr-FR"/>
        </w:rPr>
        <w:t>Informations générales</w:t>
      </w:r>
      <w:r w:rsidRPr="00280C80">
        <w:rPr>
          <w:noProof/>
          <w:lang w:val="fr-CH"/>
        </w:rPr>
        <w:tab/>
      </w:r>
      <w:r>
        <w:rPr>
          <w:noProof/>
        </w:rPr>
        <w:fldChar w:fldCharType="begin"/>
      </w:r>
      <w:r w:rsidRPr="00280C80">
        <w:rPr>
          <w:noProof/>
          <w:lang w:val="fr-CH"/>
        </w:rPr>
        <w:instrText xml:space="preserve"> PAGEREF _Toc82693775 \h </w:instrText>
      </w:r>
      <w:r>
        <w:rPr>
          <w:noProof/>
        </w:rPr>
      </w:r>
      <w:r>
        <w:rPr>
          <w:noProof/>
        </w:rPr>
        <w:fldChar w:fldCharType="separate"/>
      </w:r>
      <w:r w:rsidR="00BF7159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280C80" w:rsidRPr="00280C80" w:rsidRDefault="00280C8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D84A3F">
        <w:rPr>
          <w:noProof/>
          <w:lang w:val="fr-FR"/>
        </w:rPr>
        <w:t>Propositions visant à élaborer des orientations pour encourager les membres de l’union à prendre à leur compte les rapports d’examen DHS lorsque les demandeurs ne sont pas en mesure de remettre du matériel végétal</w:t>
      </w:r>
      <w:r w:rsidRPr="00280C80">
        <w:rPr>
          <w:noProof/>
          <w:lang w:val="fr-CH"/>
        </w:rPr>
        <w:tab/>
      </w:r>
      <w:r>
        <w:rPr>
          <w:noProof/>
        </w:rPr>
        <w:fldChar w:fldCharType="begin"/>
      </w:r>
      <w:r w:rsidRPr="00280C80">
        <w:rPr>
          <w:noProof/>
          <w:lang w:val="fr-CH"/>
        </w:rPr>
        <w:instrText xml:space="preserve"> PAGEREF _Toc82693776 \h </w:instrText>
      </w:r>
      <w:r>
        <w:rPr>
          <w:noProof/>
        </w:rPr>
      </w:r>
      <w:r>
        <w:rPr>
          <w:noProof/>
        </w:rPr>
        <w:fldChar w:fldCharType="separate"/>
      </w:r>
      <w:r w:rsidR="00BF7159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DB045D" w:rsidRPr="00333D36" w:rsidRDefault="005E5B90" w:rsidP="00A77080">
      <w:pPr>
        <w:tabs>
          <w:tab w:val="left" w:pos="1134"/>
        </w:tabs>
        <w:ind w:left="1134" w:hanging="1134"/>
        <w:rPr>
          <w:rFonts w:cs="Arial"/>
          <w:sz w:val="16"/>
          <w:lang w:val="fr-FR"/>
        </w:rPr>
      </w:pPr>
      <w:r w:rsidRPr="00963288">
        <w:rPr>
          <w:rFonts w:eastAsia="MS Mincho" w:cs="Arial"/>
          <w:bCs/>
          <w:i/>
          <w:noProof/>
          <w:lang w:val="fr-FR" w:eastAsia="ja-JP"/>
        </w:rPr>
        <w:fldChar w:fldCharType="end"/>
      </w:r>
    </w:p>
    <w:p w:rsidR="00DB045D" w:rsidRPr="00963288" w:rsidRDefault="005E5B90" w:rsidP="002F679B">
      <w:pPr>
        <w:keepNext/>
        <w:rPr>
          <w:lang w:val="fr-FR"/>
        </w:rPr>
      </w:pPr>
      <w:r w:rsidRPr="00963288">
        <w:rPr>
          <w:color w:val="000000"/>
          <w:lang w:val="fr-FR"/>
        </w:rPr>
        <w:fldChar w:fldCharType="begin"/>
      </w:r>
      <w:r w:rsidRPr="00963288">
        <w:rPr>
          <w:color w:val="000000"/>
          <w:lang w:val="fr-FR"/>
        </w:rPr>
        <w:instrText xml:space="preserve"> AUTONUM  </w:instrText>
      </w:r>
      <w:r w:rsidRPr="00963288">
        <w:rPr>
          <w:color w:val="000000"/>
          <w:lang w:val="fr-FR"/>
        </w:rPr>
        <w:fldChar w:fldCharType="end"/>
      </w:r>
      <w:r w:rsidRPr="00963288">
        <w:rPr>
          <w:color w:val="000000"/>
          <w:lang w:val="fr-FR"/>
        </w:rPr>
        <w:tab/>
      </w:r>
      <w:r w:rsidR="002F679B" w:rsidRPr="00963288">
        <w:rPr>
          <w:lang w:val="fr-FR"/>
        </w:rPr>
        <w:t>Les abréviations ci</w:t>
      </w:r>
      <w:r w:rsidR="00326251">
        <w:rPr>
          <w:lang w:val="fr-FR"/>
        </w:rPr>
        <w:t>-</w:t>
      </w:r>
      <w:r w:rsidR="002F679B" w:rsidRPr="00963288">
        <w:rPr>
          <w:lang w:val="fr-FR"/>
        </w:rPr>
        <w:t>après sont utilisées dans le présent document</w:t>
      </w:r>
      <w:r w:rsidR="00326251">
        <w:rPr>
          <w:lang w:val="fr-FR"/>
        </w:rPr>
        <w:t> :</w:t>
      </w:r>
    </w:p>
    <w:p w:rsidR="00DB045D" w:rsidRPr="00963288" w:rsidRDefault="00DB045D" w:rsidP="005E5B90">
      <w:pPr>
        <w:keepNext/>
        <w:ind w:left="1692" w:hanging="1125"/>
        <w:jc w:val="left"/>
        <w:rPr>
          <w:lang w:val="fr-FR"/>
        </w:rPr>
      </w:pPr>
    </w:p>
    <w:p w:rsidR="00326251" w:rsidRDefault="005E5B90" w:rsidP="002F679B">
      <w:pPr>
        <w:keepNext/>
        <w:tabs>
          <w:tab w:val="left" w:pos="567"/>
          <w:tab w:val="left" w:pos="1701"/>
        </w:tabs>
        <w:rPr>
          <w:lang w:val="fr-FR"/>
        </w:rPr>
      </w:pPr>
      <w:r w:rsidRPr="00963288">
        <w:rPr>
          <w:lang w:val="fr-FR"/>
        </w:rPr>
        <w:tab/>
      </w:r>
      <w:r w:rsidR="002F679B" w:rsidRPr="00963288">
        <w:rPr>
          <w:lang w:val="fr-FR"/>
        </w:rPr>
        <w:t>CAJ</w:t>
      </w:r>
      <w:r w:rsidR="00326251">
        <w:rPr>
          <w:lang w:val="fr-FR"/>
        </w:rPr>
        <w:t> :</w:t>
      </w:r>
      <w:r w:rsidR="002F679B" w:rsidRPr="00963288">
        <w:rPr>
          <w:lang w:val="fr-FR"/>
        </w:rPr>
        <w:t xml:space="preserve"> Comité administratif et juridique</w:t>
      </w:r>
    </w:p>
    <w:p w:rsidR="00DB045D" w:rsidRPr="00963288" w:rsidRDefault="005E5B90" w:rsidP="002F679B">
      <w:pPr>
        <w:keepNext/>
        <w:tabs>
          <w:tab w:val="left" w:pos="567"/>
          <w:tab w:val="left" w:pos="1701"/>
        </w:tabs>
        <w:rPr>
          <w:lang w:val="fr-FR"/>
        </w:rPr>
      </w:pPr>
      <w:r w:rsidRPr="00963288">
        <w:rPr>
          <w:lang w:val="fr-FR"/>
        </w:rPr>
        <w:tab/>
      </w:r>
      <w:r w:rsidR="002F679B" w:rsidRPr="00963288">
        <w:rPr>
          <w:lang w:val="fr-FR"/>
        </w:rPr>
        <w:t>TC</w:t>
      </w:r>
      <w:r w:rsidR="00326251">
        <w:rPr>
          <w:lang w:val="fr-FR"/>
        </w:rPr>
        <w:t> :</w:t>
      </w:r>
      <w:r w:rsidR="002F679B" w:rsidRPr="00963288">
        <w:rPr>
          <w:lang w:val="fr-FR"/>
        </w:rPr>
        <w:t xml:space="preserve"> Comité technique</w:t>
      </w:r>
    </w:p>
    <w:p w:rsidR="00DB045D" w:rsidRPr="00BF7159" w:rsidRDefault="00DB045D" w:rsidP="00BF7159">
      <w:pPr>
        <w:rPr>
          <w:sz w:val="18"/>
        </w:rPr>
      </w:pPr>
    </w:p>
    <w:p w:rsidR="00DB045D" w:rsidRPr="00BF7159" w:rsidRDefault="005E5B90" w:rsidP="00BF7159">
      <w:pPr>
        <w:rPr>
          <w:sz w:val="18"/>
        </w:rPr>
      </w:pPr>
      <w:r w:rsidRPr="00BF7159">
        <w:rPr>
          <w:sz w:val="18"/>
        </w:rPr>
        <w:fldChar w:fldCharType="begin"/>
      </w:r>
      <w:r w:rsidRPr="00BF7159">
        <w:rPr>
          <w:sz w:val="18"/>
        </w:rPr>
        <w:instrText xml:space="preserve"> TOC \o "1-3" \h \z \u </w:instrText>
      </w:r>
      <w:r w:rsidRPr="00BF7159">
        <w:rPr>
          <w:sz w:val="18"/>
        </w:rPr>
        <w:fldChar w:fldCharType="separate"/>
      </w:r>
    </w:p>
    <w:p w:rsidR="00DB045D" w:rsidRPr="00BF7159" w:rsidRDefault="005E5B90" w:rsidP="00BF7159">
      <w:pPr>
        <w:rPr>
          <w:sz w:val="18"/>
        </w:rPr>
      </w:pPr>
      <w:r w:rsidRPr="00BF7159">
        <w:rPr>
          <w:sz w:val="18"/>
        </w:rPr>
        <w:fldChar w:fldCharType="end"/>
      </w:r>
    </w:p>
    <w:p w:rsidR="00DB045D" w:rsidRPr="00963288" w:rsidRDefault="00280C80" w:rsidP="00BF7159">
      <w:pPr>
        <w:pStyle w:val="Heading1"/>
        <w:keepLines/>
        <w:rPr>
          <w:snapToGrid w:val="0"/>
          <w:lang w:val="fr-FR"/>
        </w:rPr>
      </w:pPr>
      <w:bookmarkStart w:id="4" w:name="_Toc82693775"/>
      <w:r>
        <w:rPr>
          <w:snapToGrid w:val="0"/>
          <w:lang w:val="fr-FR"/>
        </w:rPr>
        <w:lastRenderedPageBreak/>
        <w:t>Informations générales</w:t>
      </w:r>
      <w:bookmarkEnd w:id="4"/>
    </w:p>
    <w:p w:rsidR="00DB045D" w:rsidRPr="00963288" w:rsidRDefault="00DB045D" w:rsidP="00BF7159">
      <w:pPr>
        <w:keepNext/>
        <w:keepLines/>
        <w:rPr>
          <w:snapToGrid w:val="0"/>
          <w:lang w:val="fr-FR"/>
        </w:rPr>
      </w:pPr>
    </w:p>
    <w:p w:rsidR="00DB045D" w:rsidRPr="00963288" w:rsidRDefault="00EC49C1" w:rsidP="00BF7159">
      <w:pPr>
        <w:keepNext/>
        <w:keepLines/>
        <w:rPr>
          <w:snapToGrid w:val="0"/>
          <w:lang w:val="fr-FR"/>
        </w:rPr>
      </w:pPr>
      <w:r w:rsidRPr="00963288">
        <w:rPr>
          <w:lang w:val="fr-FR"/>
        </w:rPr>
        <w:fldChar w:fldCharType="begin"/>
      </w:r>
      <w:r w:rsidRPr="00963288">
        <w:rPr>
          <w:lang w:val="fr-FR"/>
        </w:rPr>
        <w:instrText xml:space="preserve"> AUTONUM  </w:instrText>
      </w:r>
      <w:r w:rsidRPr="00963288">
        <w:rPr>
          <w:lang w:val="fr-FR"/>
        </w:rPr>
        <w:fldChar w:fldCharType="end"/>
      </w:r>
      <w:r w:rsidRPr="00963288">
        <w:rPr>
          <w:lang w:val="fr-FR"/>
        </w:rPr>
        <w:tab/>
      </w:r>
      <w:r w:rsidR="00ED1744" w:rsidRPr="00963288">
        <w:rPr>
          <w:color w:val="000000"/>
          <w:lang w:val="fr-FR"/>
        </w:rPr>
        <w:t>À sa cinquante</w:t>
      </w:r>
      <w:r w:rsidR="00326251">
        <w:rPr>
          <w:color w:val="000000"/>
          <w:lang w:val="fr-FR"/>
        </w:rPr>
        <w:t>-</w:t>
      </w:r>
      <w:r w:rsidR="00ED1744" w:rsidRPr="00963288">
        <w:rPr>
          <w:color w:val="000000"/>
          <w:lang w:val="fr-FR"/>
        </w:rPr>
        <w:t>six</w:t>
      </w:r>
      <w:r w:rsidR="00326251">
        <w:rPr>
          <w:color w:val="000000"/>
          <w:lang w:val="fr-FR"/>
        </w:rPr>
        <w:t>ième session</w:t>
      </w:r>
      <w:r w:rsidR="00ED1744" w:rsidRPr="00963288">
        <w:rPr>
          <w:rStyle w:val="FootnoteReference"/>
          <w:color w:val="000000"/>
          <w:lang w:val="fr-FR"/>
        </w:rPr>
        <w:footnoteReference w:id="2"/>
      </w:r>
      <w:r w:rsidR="00ED1744" w:rsidRPr="00963288">
        <w:rPr>
          <w:color w:val="000000"/>
          <w:lang w:val="fr-FR"/>
        </w:rPr>
        <w:t>, le Comité technique a pris note de l</w:t>
      </w:r>
      <w:r w:rsidR="00326251">
        <w:rPr>
          <w:color w:val="000000"/>
          <w:lang w:val="fr-FR"/>
        </w:rPr>
        <w:t>’</w:t>
      </w:r>
      <w:r w:rsidR="00ED1744" w:rsidRPr="00963288">
        <w:rPr>
          <w:color w:val="000000"/>
          <w:lang w:val="fr-FR"/>
        </w:rPr>
        <w:t>observation formulée par le Japon en réponse à la circulaire</w:t>
      </w:r>
      <w:r w:rsidR="00422AD7">
        <w:rPr>
          <w:color w:val="000000"/>
          <w:lang w:val="fr-FR"/>
        </w:rPr>
        <w:t> </w:t>
      </w:r>
      <w:r w:rsidR="00ED1744" w:rsidRPr="00963288">
        <w:rPr>
          <w:color w:val="000000"/>
          <w:lang w:val="fr-FR"/>
        </w:rPr>
        <w:t>E</w:t>
      </w:r>
      <w:r w:rsidR="00326251">
        <w:rPr>
          <w:color w:val="000000"/>
          <w:lang w:val="fr-FR"/>
        </w:rPr>
        <w:t>-</w:t>
      </w:r>
      <w:r w:rsidR="00ED1744" w:rsidRPr="00963288">
        <w:rPr>
          <w:color w:val="000000"/>
          <w:lang w:val="fr-FR"/>
        </w:rPr>
        <w:t>20/119 du 2</w:t>
      </w:r>
      <w:r w:rsidR="00326251" w:rsidRPr="00963288">
        <w:rPr>
          <w:color w:val="000000"/>
          <w:lang w:val="fr-FR"/>
        </w:rPr>
        <w:t>1</w:t>
      </w:r>
      <w:r w:rsidR="00326251">
        <w:rPr>
          <w:color w:val="000000"/>
          <w:lang w:val="fr-FR"/>
        </w:rPr>
        <w:t> </w:t>
      </w:r>
      <w:r w:rsidR="00326251" w:rsidRPr="00963288">
        <w:rPr>
          <w:color w:val="000000"/>
          <w:lang w:val="fr-FR"/>
        </w:rPr>
        <w:t>août</w:t>
      </w:r>
      <w:r w:rsidR="00326251">
        <w:rPr>
          <w:color w:val="000000"/>
          <w:lang w:val="fr-FR"/>
        </w:rPr>
        <w:t> </w:t>
      </w:r>
      <w:r w:rsidR="00326251" w:rsidRPr="00963288">
        <w:rPr>
          <w:color w:val="000000"/>
          <w:lang w:val="fr-FR"/>
        </w:rPr>
        <w:t>20</w:t>
      </w:r>
      <w:r w:rsidR="00ED1744" w:rsidRPr="00963288">
        <w:rPr>
          <w:color w:val="000000"/>
          <w:lang w:val="fr-FR"/>
        </w:rPr>
        <w:t xml:space="preserve">20 concernant les difficultés rencontrées pour soumettre du matériel végétal au service qui reçoit la demande pour des raisons phytosanitaires, de quarantaine ou autres, </w:t>
      </w:r>
      <w:r w:rsidR="00036CCF" w:rsidRPr="00963288">
        <w:rPr>
          <w:color w:val="000000"/>
          <w:lang w:val="fr-FR"/>
        </w:rPr>
        <w:t>telle qu</w:t>
      </w:r>
      <w:r w:rsidR="00326251">
        <w:rPr>
          <w:color w:val="000000"/>
          <w:lang w:val="fr-FR"/>
        </w:rPr>
        <w:t>’</w:t>
      </w:r>
      <w:r w:rsidR="00ED1744" w:rsidRPr="00963288">
        <w:rPr>
          <w:color w:val="000000"/>
          <w:lang w:val="fr-FR"/>
        </w:rPr>
        <w:t xml:space="preserve">indiquée au </w:t>
      </w:r>
      <w:r w:rsidR="00326251" w:rsidRPr="00963288">
        <w:rPr>
          <w:color w:val="000000"/>
          <w:lang w:val="fr-FR"/>
        </w:rPr>
        <w:t>paragraphe</w:t>
      </w:r>
      <w:r w:rsidR="00326251">
        <w:rPr>
          <w:color w:val="000000"/>
          <w:lang w:val="fr-FR"/>
        </w:rPr>
        <w:t> </w:t>
      </w:r>
      <w:r w:rsidR="00326251" w:rsidRPr="00963288">
        <w:rPr>
          <w:color w:val="000000"/>
          <w:lang w:val="fr-FR"/>
        </w:rPr>
        <w:t>4</w:t>
      </w:r>
      <w:r w:rsidR="00ED1744" w:rsidRPr="00963288">
        <w:rPr>
          <w:color w:val="000000"/>
          <w:lang w:val="fr-FR"/>
        </w:rPr>
        <w:t xml:space="preserve">7 du </w:t>
      </w:r>
      <w:r w:rsidR="00326251" w:rsidRPr="00963288">
        <w:rPr>
          <w:color w:val="000000"/>
          <w:lang w:val="fr-FR"/>
        </w:rPr>
        <w:t>document</w:t>
      </w:r>
      <w:r w:rsidR="00326251">
        <w:rPr>
          <w:color w:val="000000"/>
          <w:lang w:val="fr-FR"/>
        </w:rPr>
        <w:t xml:space="preserve"> TC</w:t>
      </w:r>
      <w:r w:rsidR="00ED1744" w:rsidRPr="00963288">
        <w:rPr>
          <w:color w:val="000000"/>
          <w:lang w:val="fr-FR"/>
        </w:rPr>
        <w:t>/56/22 et reproduite ci</w:t>
      </w:r>
      <w:r w:rsidR="00326251">
        <w:rPr>
          <w:color w:val="000000"/>
          <w:lang w:val="fr-FR"/>
        </w:rPr>
        <w:t>-</w:t>
      </w:r>
      <w:r w:rsidR="00ED1744" w:rsidRPr="00963288">
        <w:rPr>
          <w:color w:val="000000"/>
          <w:lang w:val="fr-FR"/>
        </w:rPr>
        <w:t xml:space="preserve">après (voir les </w:t>
      </w:r>
      <w:r w:rsidR="00326251" w:rsidRPr="00963288">
        <w:rPr>
          <w:color w:val="000000"/>
          <w:lang w:val="fr-FR"/>
        </w:rPr>
        <w:t>paragraphes</w:t>
      </w:r>
      <w:r w:rsidR="00326251">
        <w:rPr>
          <w:color w:val="000000"/>
          <w:lang w:val="fr-FR"/>
        </w:rPr>
        <w:t> </w:t>
      </w:r>
      <w:r w:rsidR="00326251" w:rsidRPr="00963288">
        <w:rPr>
          <w:color w:val="000000"/>
          <w:lang w:val="fr-FR"/>
        </w:rPr>
        <w:t>6</w:t>
      </w:r>
      <w:r w:rsidR="00ED1744" w:rsidRPr="00963288">
        <w:rPr>
          <w:color w:val="000000"/>
          <w:lang w:val="fr-FR"/>
        </w:rPr>
        <w:t xml:space="preserve">1 à 63 du </w:t>
      </w:r>
      <w:r w:rsidR="00326251" w:rsidRPr="00963288">
        <w:rPr>
          <w:color w:val="000000"/>
          <w:lang w:val="fr-FR"/>
        </w:rPr>
        <w:t>document</w:t>
      </w:r>
      <w:r w:rsidR="00326251">
        <w:rPr>
          <w:color w:val="000000"/>
          <w:lang w:val="fr-FR"/>
        </w:rPr>
        <w:t xml:space="preserve"> TC</w:t>
      </w:r>
      <w:r w:rsidR="00ED1744" w:rsidRPr="00963288">
        <w:rPr>
          <w:color w:val="000000"/>
          <w:lang w:val="fr-FR"/>
        </w:rPr>
        <w:t xml:space="preserve">/56/23 </w:t>
      </w:r>
      <w:r w:rsidR="00326251">
        <w:rPr>
          <w:color w:val="000000"/>
          <w:lang w:val="fr-FR"/>
        </w:rPr>
        <w:t>“</w:t>
      </w:r>
      <w:r w:rsidR="00326251" w:rsidRPr="00963288">
        <w:rPr>
          <w:color w:val="000000"/>
          <w:lang w:val="fr-FR"/>
        </w:rPr>
        <w:t>R</w:t>
      </w:r>
      <w:r w:rsidR="00ED1744" w:rsidRPr="00963288">
        <w:rPr>
          <w:color w:val="000000"/>
          <w:lang w:val="fr-FR"/>
        </w:rPr>
        <w:t>appor</w:t>
      </w:r>
      <w:r w:rsidR="00326251" w:rsidRPr="00963288">
        <w:rPr>
          <w:color w:val="000000"/>
          <w:lang w:val="fr-FR"/>
        </w:rPr>
        <w:t>t</w:t>
      </w:r>
      <w:r w:rsidR="00326251">
        <w:rPr>
          <w:color w:val="000000"/>
          <w:lang w:val="fr-FR"/>
        </w:rPr>
        <w:t>”</w:t>
      </w:r>
      <w:r w:rsidR="00ED1744" w:rsidRPr="00963288">
        <w:rPr>
          <w:color w:val="000000"/>
          <w:lang w:val="fr-FR"/>
        </w:rPr>
        <w:t>)</w:t>
      </w:r>
      <w:r w:rsidR="00326251">
        <w:rPr>
          <w:color w:val="000000"/>
          <w:lang w:val="fr-FR"/>
        </w:rPr>
        <w:t> :</w:t>
      </w:r>
    </w:p>
    <w:p w:rsidR="00DB045D" w:rsidRPr="00963288" w:rsidRDefault="00DB045D" w:rsidP="00BF7159">
      <w:pPr>
        <w:keepNext/>
        <w:keepLines/>
        <w:rPr>
          <w:lang w:val="fr-FR"/>
        </w:rPr>
      </w:pPr>
    </w:p>
    <w:p w:rsidR="00DB045D" w:rsidRPr="00963288" w:rsidRDefault="00ED1744" w:rsidP="00BF7159">
      <w:pPr>
        <w:keepNext/>
        <w:ind w:left="567" w:right="562"/>
        <w:rPr>
          <w:sz w:val="18"/>
          <w:szCs w:val="18"/>
          <w:lang w:val="fr-FR"/>
        </w:rPr>
      </w:pPr>
      <w:r w:rsidRPr="00963288">
        <w:rPr>
          <w:sz w:val="18"/>
          <w:szCs w:val="18"/>
          <w:lang w:val="fr-FR"/>
        </w:rPr>
        <w:t>“Rappel</w:t>
      </w:r>
    </w:p>
    <w:p w:rsidR="00DB045D" w:rsidRPr="00963288" w:rsidRDefault="00DB045D" w:rsidP="00BF7159">
      <w:pPr>
        <w:keepNext/>
        <w:ind w:right="562"/>
        <w:rPr>
          <w:sz w:val="18"/>
          <w:szCs w:val="18"/>
          <w:lang w:val="fr-FR" w:eastAsia="ja-JP"/>
        </w:rPr>
      </w:pPr>
    </w:p>
    <w:p w:rsidR="00DB045D" w:rsidRPr="00963288" w:rsidRDefault="00ED1744" w:rsidP="00BF7159">
      <w:pPr>
        <w:keepNext/>
        <w:autoSpaceDE w:val="0"/>
        <w:autoSpaceDN w:val="0"/>
        <w:ind w:left="567" w:right="562"/>
        <w:rPr>
          <w:rFonts w:cs="Arial"/>
          <w:sz w:val="18"/>
          <w:szCs w:val="18"/>
          <w:lang w:val="fr-FR" w:eastAsia="ja-JP"/>
        </w:rPr>
      </w:pPr>
      <w:r w:rsidRPr="00963288">
        <w:rPr>
          <w:rFonts w:cs="Arial"/>
          <w:sz w:val="18"/>
          <w:szCs w:val="18"/>
          <w:lang w:val="fr-FR" w:eastAsia="ja-JP"/>
        </w:rPr>
        <w:t>“Lorsqu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ils demandent la protection d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une obtention végétale dans un autre membre de l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UPOV, les obtenteurs peuvent rencontrer des difficultés pour soumettre du matériel végétal au service qui reçoit la demande pour des raisons phytosanitaires, de quarantaine ou autres.</w:t>
      </w:r>
    </w:p>
    <w:p w:rsidR="00DB045D" w:rsidRPr="00963288" w:rsidRDefault="00DB045D" w:rsidP="00BF7159">
      <w:pPr>
        <w:autoSpaceDE w:val="0"/>
        <w:autoSpaceDN w:val="0"/>
        <w:ind w:left="567" w:right="562"/>
        <w:rPr>
          <w:rFonts w:cs="Arial"/>
          <w:sz w:val="18"/>
          <w:szCs w:val="18"/>
          <w:lang w:val="fr-FR" w:eastAsia="ja-JP"/>
        </w:rPr>
      </w:pPr>
    </w:p>
    <w:p w:rsidR="00DB045D" w:rsidRPr="00963288" w:rsidRDefault="00ED1744" w:rsidP="00BF7159">
      <w:pPr>
        <w:autoSpaceDE w:val="0"/>
        <w:autoSpaceDN w:val="0"/>
        <w:ind w:left="567" w:right="562"/>
        <w:rPr>
          <w:rFonts w:cs="Arial"/>
          <w:sz w:val="18"/>
          <w:szCs w:val="18"/>
          <w:lang w:val="fr-FR" w:eastAsia="ja-JP"/>
        </w:rPr>
      </w:pPr>
      <w:r w:rsidRPr="00963288">
        <w:rPr>
          <w:rFonts w:cs="Arial"/>
          <w:sz w:val="18"/>
          <w:szCs w:val="18"/>
          <w:lang w:val="fr-FR" w:eastAsia="ja-JP"/>
        </w:rPr>
        <w:t>“Ces raisons sanitaires, de quarantaine ou autres devraient être débattues et résolues dans le cadre de consultations bilatéral</w:t>
      </w:r>
      <w:r w:rsidR="00422AD7" w:rsidRPr="00963288">
        <w:rPr>
          <w:rFonts w:cs="Arial"/>
          <w:sz w:val="18"/>
          <w:szCs w:val="18"/>
          <w:lang w:val="fr-FR" w:eastAsia="ja-JP"/>
        </w:rPr>
        <w:t>es</w:t>
      </w:r>
      <w:r w:rsidR="00422AD7">
        <w:rPr>
          <w:rFonts w:cs="Arial"/>
          <w:sz w:val="18"/>
          <w:szCs w:val="18"/>
          <w:lang w:val="fr-FR" w:eastAsia="ja-JP"/>
        </w:rPr>
        <w:t xml:space="preserve">.  </w:t>
      </w:r>
      <w:r w:rsidR="00422AD7" w:rsidRPr="00963288">
        <w:rPr>
          <w:rFonts w:cs="Arial"/>
          <w:sz w:val="18"/>
          <w:szCs w:val="18"/>
          <w:lang w:val="fr-FR" w:eastAsia="ja-JP"/>
        </w:rPr>
        <w:t>Ce</w:t>
      </w:r>
      <w:r w:rsidRPr="00963288">
        <w:rPr>
          <w:rFonts w:cs="Arial"/>
          <w:sz w:val="18"/>
          <w:szCs w:val="18"/>
          <w:lang w:val="fr-FR" w:eastAsia="ja-JP"/>
        </w:rPr>
        <w:t>s consultations peuvent prendre beaucoup de tem</w:t>
      </w:r>
      <w:r w:rsidR="00422AD7" w:rsidRPr="00963288">
        <w:rPr>
          <w:rFonts w:cs="Arial"/>
          <w:sz w:val="18"/>
          <w:szCs w:val="18"/>
          <w:lang w:val="fr-FR" w:eastAsia="ja-JP"/>
        </w:rPr>
        <w:t>ps</w:t>
      </w:r>
      <w:r w:rsidR="00422AD7">
        <w:rPr>
          <w:rFonts w:cs="Arial"/>
          <w:sz w:val="18"/>
          <w:szCs w:val="18"/>
          <w:lang w:val="fr-FR" w:eastAsia="ja-JP"/>
        </w:rPr>
        <w:t xml:space="preserve">.  </w:t>
      </w:r>
      <w:r w:rsidR="00422AD7" w:rsidRPr="00963288">
        <w:rPr>
          <w:rFonts w:cs="Arial"/>
          <w:sz w:val="18"/>
          <w:szCs w:val="18"/>
          <w:lang w:val="fr-FR" w:eastAsia="ja-JP"/>
        </w:rPr>
        <w:t>Au</w:t>
      </w:r>
      <w:r w:rsidRPr="00963288">
        <w:rPr>
          <w:rFonts w:cs="Arial"/>
          <w:sz w:val="18"/>
          <w:szCs w:val="18"/>
          <w:lang w:val="fr-FR" w:eastAsia="ja-JP"/>
        </w:rPr>
        <w:t xml:space="preserve"> cours de cette période, les demandes de protection des obtentions végétales peuvent être rejetées en raison de l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impossibilité pour les demandeurs de remettre du matériel végétal aux fins d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examen dans ces autres membres de l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UPOV.</w:t>
      </w:r>
    </w:p>
    <w:p w:rsidR="00DB045D" w:rsidRPr="00963288" w:rsidRDefault="00DB045D" w:rsidP="00BF7159">
      <w:pPr>
        <w:autoSpaceDE w:val="0"/>
        <w:autoSpaceDN w:val="0"/>
        <w:ind w:left="567" w:right="562"/>
        <w:rPr>
          <w:rFonts w:cs="Arial"/>
          <w:sz w:val="18"/>
          <w:szCs w:val="18"/>
          <w:lang w:val="fr-FR" w:eastAsia="ja-JP"/>
        </w:rPr>
      </w:pPr>
    </w:p>
    <w:p w:rsidR="00DB045D" w:rsidRPr="00963288" w:rsidRDefault="00ED1744" w:rsidP="00BF7159">
      <w:pPr>
        <w:ind w:left="567" w:right="562"/>
        <w:rPr>
          <w:rFonts w:cs="Arial"/>
          <w:sz w:val="18"/>
          <w:szCs w:val="18"/>
          <w:lang w:val="fr-FR" w:eastAsia="ja-JP"/>
        </w:rPr>
      </w:pPr>
      <w:r w:rsidRPr="00963288">
        <w:rPr>
          <w:rFonts w:cs="Arial"/>
          <w:sz w:val="18"/>
          <w:szCs w:val="18"/>
          <w:lang w:val="fr-FR" w:eastAsia="ja-JP"/>
        </w:rPr>
        <w:t>“Dans certains cas, du matériel de reproduction ou de multiplication d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une variété peut entrer sur le territoire d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un autre membre de l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UPOV sans le consentement de l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 xml:space="preserve">obtenteur, </w:t>
      </w:r>
      <w:r w:rsidR="00326251">
        <w:rPr>
          <w:rFonts w:cs="Arial"/>
          <w:sz w:val="18"/>
          <w:szCs w:val="18"/>
          <w:lang w:val="fr-FR" w:eastAsia="ja-JP"/>
        </w:rPr>
        <w:t>y compris</w:t>
      </w:r>
      <w:r w:rsidRPr="00963288">
        <w:rPr>
          <w:rFonts w:cs="Arial"/>
          <w:sz w:val="18"/>
          <w:szCs w:val="18"/>
          <w:lang w:val="fr-FR" w:eastAsia="ja-JP"/>
        </w:rPr>
        <w:t xml:space="preserve"> en cas de quarantaine ou d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interdiction d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importati</w:t>
      </w:r>
      <w:r w:rsidR="00422AD7" w:rsidRPr="00963288">
        <w:rPr>
          <w:rFonts w:cs="Arial"/>
          <w:sz w:val="18"/>
          <w:szCs w:val="18"/>
          <w:lang w:val="fr-FR" w:eastAsia="ja-JP"/>
        </w:rPr>
        <w:t>on</w:t>
      </w:r>
      <w:r w:rsidR="00422AD7">
        <w:rPr>
          <w:rFonts w:cs="Arial"/>
          <w:sz w:val="18"/>
          <w:szCs w:val="18"/>
          <w:lang w:val="fr-FR" w:eastAsia="ja-JP"/>
        </w:rPr>
        <w:t xml:space="preserve">.  </w:t>
      </w:r>
      <w:r w:rsidR="00422AD7" w:rsidRPr="00963288">
        <w:rPr>
          <w:rFonts w:cs="Arial"/>
          <w:sz w:val="18"/>
          <w:szCs w:val="18"/>
          <w:lang w:val="fr-FR" w:eastAsia="ja-JP"/>
        </w:rPr>
        <w:t>Ce</w:t>
      </w:r>
      <w:r w:rsidRPr="00963288">
        <w:rPr>
          <w:rFonts w:cs="Arial"/>
          <w:sz w:val="18"/>
          <w:szCs w:val="18"/>
          <w:lang w:val="fr-FR" w:eastAsia="ja-JP"/>
        </w:rPr>
        <w:t>tte situation pourrait poser de graves problèmes dans le cas où les droits d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obtenteur ne sont pas octroyés dans ce membre de l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Pr="00963288">
        <w:rPr>
          <w:rFonts w:cs="Arial"/>
          <w:sz w:val="18"/>
          <w:szCs w:val="18"/>
          <w:lang w:val="fr-FR" w:eastAsia="ja-JP"/>
        </w:rPr>
        <w:t>UPOV en raison de problèmes phytosanitaires, de quarantaine ou autres.</w:t>
      </w:r>
    </w:p>
    <w:p w:rsidR="00DB045D" w:rsidRPr="00963288" w:rsidRDefault="00DB045D" w:rsidP="00BF7159">
      <w:pPr>
        <w:autoSpaceDE w:val="0"/>
        <w:autoSpaceDN w:val="0"/>
        <w:ind w:left="567" w:right="562"/>
        <w:rPr>
          <w:rFonts w:cs="Arial"/>
          <w:sz w:val="18"/>
          <w:szCs w:val="18"/>
          <w:lang w:val="fr-FR" w:eastAsia="ja-JP"/>
        </w:rPr>
      </w:pPr>
    </w:p>
    <w:p w:rsidR="00DB045D" w:rsidRPr="00963288" w:rsidRDefault="00ED1744" w:rsidP="00BF7159">
      <w:pPr>
        <w:keepNext/>
        <w:autoSpaceDE w:val="0"/>
        <w:autoSpaceDN w:val="0"/>
        <w:ind w:left="567" w:right="562"/>
        <w:rPr>
          <w:rFonts w:cs="Arial"/>
          <w:sz w:val="18"/>
          <w:szCs w:val="18"/>
          <w:lang w:val="fr-FR" w:eastAsia="ja-JP"/>
        </w:rPr>
      </w:pPr>
      <w:r w:rsidRPr="00963288">
        <w:rPr>
          <w:rFonts w:cs="Arial"/>
          <w:sz w:val="18"/>
          <w:szCs w:val="18"/>
          <w:lang w:val="fr-FR" w:eastAsia="ja-JP"/>
        </w:rPr>
        <w:t>“Proposition</w:t>
      </w:r>
      <w:r w:rsidR="00326251">
        <w:rPr>
          <w:rFonts w:cs="Arial"/>
          <w:sz w:val="18"/>
          <w:szCs w:val="18"/>
          <w:lang w:val="fr-FR" w:eastAsia="ja-JP"/>
        </w:rPr>
        <w:t> :</w:t>
      </w:r>
    </w:p>
    <w:p w:rsidR="00DB045D" w:rsidRPr="00963288" w:rsidRDefault="00DB045D" w:rsidP="00BF7159">
      <w:pPr>
        <w:keepNext/>
        <w:autoSpaceDE w:val="0"/>
        <w:autoSpaceDN w:val="0"/>
        <w:ind w:left="567" w:right="562"/>
        <w:rPr>
          <w:rFonts w:cs="Arial"/>
          <w:sz w:val="18"/>
          <w:szCs w:val="18"/>
          <w:lang w:val="fr-FR" w:eastAsia="ja-JP"/>
        </w:rPr>
      </w:pPr>
    </w:p>
    <w:p w:rsidR="00DB045D" w:rsidRPr="00963288" w:rsidRDefault="00BF7159" w:rsidP="00BF7159">
      <w:pPr>
        <w:keepNext/>
        <w:autoSpaceDE w:val="0"/>
        <w:autoSpaceDN w:val="0"/>
        <w:ind w:left="567" w:right="562"/>
        <w:rPr>
          <w:rFonts w:cs="Arial"/>
          <w:color w:val="000000"/>
          <w:sz w:val="18"/>
          <w:szCs w:val="18"/>
          <w:lang w:val="fr-FR" w:eastAsia="ja-JP"/>
        </w:rPr>
      </w:pPr>
      <w:r w:rsidRPr="00963288">
        <w:rPr>
          <w:rFonts w:cs="Arial"/>
          <w:sz w:val="18"/>
          <w:szCs w:val="18"/>
          <w:lang w:val="fr-FR" w:eastAsia="ja-JP"/>
        </w:rPr>
        <w:t>“</w:t>
      </w:r>
      <w:r w:rsidR="00ED1744" w:rsidRPr="00963288">
        <w:rPr>
          <w:rFonts w:cs="Arial"/>
          <w:sz w:val="18"/>
          <w:szCs w:val="18"/>
          <w:lang w:val="fr-FR" w:eastAsia="ja-JP"/>
        </w:rPr>
        <w:t>Le Japon souhaiterait proposer d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="00ED1744" w:rsidRPr="00963288">
        <w:rPr>
          <w:rFonts w:cs="Arial"/>
          <w:sz w:val="18"/>
          <w:szCs w:val="18"/>
          <w:lang w:val="fr-FR" w:eastAsia="ja-JP"/>
        </w:rPr>
        <w:t>élaborer des orientations pour encourager les membres de l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="00ED1744" w:rsidRPr="00963288">
        <w:rPr>
          <w:rFonts w:cs="Arial"/>
          <w:sz w:val="18"/>
          <w:szCs w:val="18"/>
          <w:lang w:val="fr-FR" w:eastAsia="ja-JP"/>
        </w:rPr>
        <w:t>UPOV à prendre à leur compte les rapports d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="00ED1744" w:rsidRPr="00963288">
        <w:rPr>
          <w:rFonts w:cs="Arial"/>
          <w:sz w:val="18"/>
          <w:szCs w:val="18"/>
          <w:lang w:val="fr-FR" w:eastAsia="ja-JP"/>
        </w:rPr>
        <w:t>examen DHS lorsque les demandeurs ne sont pas en mesure de remettre du matériel végétal pour des raisons phytosanitaires ou autr</w:t>
      </w:r>
      <w:r w:rsidR="00422AD7" w:rsidRPr="00963288">
        <w:rPr>
          <w:rFonts w:cs="Arial"/>
          <w:sz w:val="18"/>
          <w:szCs w:val="18"/>
          <w:lang w:val="fr-FR" w:eastAsia="ja-JP"/>
        </w:rPr>
        <w:t>es</w:t>
      </w:r>
      <w:r w:rsidR="00422AD7">
        <w:rPr>
          <w:rFonts w:cs="Arial"/>
          <w:sz w:val="18"/>
          <w:szCs w:val="18"/>
          <w:lang w:val="fr-FR" w:eastAsia="ja-JP"/>
        </w:rPr>
        <w:t xml:space="preserve">.  </w:t>
      </w:r>
      <w:r w:rsidR="00422AD7" w:rsidRPr="00963288">
        <w:rPr>
          <w:rFonts w:cs="Arial"/>
          <w:sz w:val="18"/>
          <w:szCs w:val="18"/>
          <w:lang w:val="fr-FR" w:eastAsia="ja-JP"/>
        </w:rPr>
        <w:t>Da</w:t>
      </w:r>
      <w:r w:rsidR="00ED1744" w:rsidRPr="00963288">
        <w:rPr>
          <w:rFonts w:cs="Arial"/>
          <w:sz w:val="18"/>
          <w:szCs w:val="18"/>
          <w:lang w:val="fr-FR" w:eastAsia="ja-JP"/>
        </w:rPr>
        <w:t>ns le cas où le Comité technique accepterait d</w:t>
      </w:r>
      <w:r w:rsidR="00326251">
        <w:rPr>
          <w:rFonts w:cs="Arial"/>
          <w:sz w:val="18"/>
          <w:szCs w:val="18"/>
          <w:lang w:val="fr-FR" w:eastAsia="ja-JP"/>
        </w:rPr>
        <w:t>’</w:t>
      </w:r>
      <w:r w:rsidR="00ED1744" w:rsidRPr="00963288">
        <w:rPr>
          <w:rFonts w:cs="Arial"/>
          <w:sz w:val="18"/>
          <w:szCs w:val="18"/>
          <w:lang w:val="fr-FR" w:eastAsia="ja-JP"/>
        </w:rPr>
        <w:t>élaborer de telles orientations, la proposition pourrait être soumise au CAJ pour examen.”</w:t>
      </w:r>
      <w:r>
        <w:rPr>
          <w:rFonts w:cs="Arial"/>
          <w:sz w:val="18"/>
          <w:szCs w:val="18"/>
          <w:lang w:val="fr-FR" w:eastAsia="ja-JP"/>
        </w:rPr>
        <w:t xml:space="preserve"> </w:t>
      </w:r>
    </w:p>
    <w:p w:rsidR="00DB045D" w:rsidRPr="00963288" w:rsidRDefault="00DB045D" w:rsidP="00F06E56">
      <w:pPr>
        <w:rPr>
          <w:rFonts w:cs="Arial"/>
          <w:color w:val="000000"/>
          <w:sz w:val="18"/>
          <w:szCs w:val="18"/>
          <w:lang w:val="fr-FR" w:eastAsia="ja-JP"/>
        </w:rPr>
      </w:pPr>
    </w:p>
    <w:p w:rsidR="00326251" w:rsidRDefault="00EC49C1" w:rsidP="00560737">
      <w:pPr>
        <w:rPr>
          <w:rFonts w:cs="Arial"/>
          <w:color w:val="000000"/>
          <w:szCs w:val="18"/>
          <w:lang w:val="fr-FR" w:eastAsia="ja-JP"/>
        </w:rPr>
      </w:pPr>
      <w:r w:rsidRPr="00963288">
        <w:rPr>
          <w:rFonts w:cs="Arial"/>
          <w:color w:val="000000"/>
          <w:szCs w:val="18"/>
          <w:lang w:val="fr-FR" w:eastAsia="ja-JP"/>
        </w:rPr>
        <w:fldChar w:fldCharType="begin"/>
      </w:r>
      <w:r w:rsidRPr="00963288">
        <w:rPr>
          <w:rFonts w:cs="Arial"/>
          <w:color w:val="000000"/>
          <w:szCs w:val="18"/>
          <w:lang w:val="fr-FR" w:eastAsia="ja-JP"/>
        </w:rPr>
        <w:instrText xml:space="preserve"> AUTONUM  </w:instrText>
      </w:r>
      <w:r w:rsidRPr="00963288">
        <w:rPr>
          <w:rFonts w:cs="Arial"/>
          <w:color w:val="000000"/>
          <w:szCs w:val="18"/>
          <w:lang w:val="fr-FR" w:eastAsia="ja-JP"/>
        </w:rPr>
        <w:fldChar w:fldCharType="end"/>
      </w:r>
      <w:r w:rsidRPr="00963288">
        <w:rPr>
          <w:rFonts w:cs="Arial"/>
          <w:color w:val="000000"/>
          <w:szCs w:val="18"/>
          <w:lang w:val="fr-FR" w:eastAsia="ja-JP"/>
        </w:rPr>
        <w:tab/>
      </w:r>
      <w:r w:rsidR="00560737" w:rsidRPr="00963288">
        <w:rPr>
          <w:rFonts w:cs="Arial"/>
          <w:color w:val="000000"/>
          <w:szCs w:val="18"/>
          <w:lang w:val="fr-FR" w:eastAsia="ja-JP"/>
        </w:rPr>
        <w:t>À sa cinquante</w:t>
      </w:r>
      <w:r w:rsidR="00326251">
        <w:rPr>
          <w:rFonts w:cs="Arial"/>
          <w:color w:val="000000"/>
          <w:szCs w:val="18"/>
          <w:lang w:val="fr-FR" w:eastAsia="ja-JP"/>
        </w:rPr>
        <w:t>-</w:t>
      </w:r>
      <w:r w:rsidR="00560737" w:rsidRPr="00963288">
        <w:rPr>
          <w:rFonts w:cs="Arial"/>
          <w:color w:val="000000"/>
          <w:szCs w:val="18"/>
          <w:lang w:val="fr-FR" w:eastAsia="ja-JP"/>
        </w:rPr>
        <w:t>six</w:t>
      </w:r>
      <w:r w:rsidR="00326251">
        <w:rPr>
          <w:rFonts w:cs="Arial"/>
          <w:color w:val="000000"/>
          <w:szCs w:val="18"/>
          <w:lang w:val="fr-FR" w:eastAsia="ja-JP"/>
        </w:rPr>
        <w:t>ième session</w:t>
      </w:r>
      <w:r w:rsidR="00560737" w:rsidRPr="00963288">
        <w:rPr>
          <w:rFonts w:cs="Arial"/>
          <w:color w:val="000000"/>
          <w:szCs w:val="18"/>
          <w:lang w:val="fr-FR" w:eastAsia="ja-JP"/>
        </w:rPr>
        <w:t>, le</w:t>
      </w:r>
      <w:r w:rsidR="00326251">
        <w:rPr>
          <w:rFonts w:cs="Arial"/>
          <w:color w:val="000000"/>
          <w:szCs w:val="18"/>
          <w:lang w:val="fr-FR" w:eastAsia="ja-JP"/>
        </w:rPr>
        <w:t> TC</w:t>
      </w:r>
      <w:r w:rsidR="00560737" w:rsidRPr="00963288">
        <w:rPr>
          <w:rFonts w:cs="Arial"/>
          <w:color w:val="000000"/>
          <w:szCs w:val="18"/>
          <w:lang w:val="fr-FR" w:eastAsia="ja-JP"/>
        </w:rPr>
        <w:t xml:space="preserve"> a noté que la soumission du matériel végétal était requise pour l</w:t>
      </w:r>
      <w:r w:rsidR="00326251">
        <w:rPr>
          <w:rFonts w:cs="Arial"/>
          <w:color w:val="000000"/>
          <w:szCs w:val="18"/>
          <w:lang w:val="fr-FR" w:eastAsia="ja-JP"/>
        </w:rPr>
        <w:t>’</w:t>
      </w:r>
      <w:r w:rsidR="00560737" w:rsidRPr="00963288">
        <w:rPr>
          <w:rFonts w:cs="Arial"/>
          <w:color w:val="000000"/>
          <w:szCs w:val="18"/>
          <w:lang w:val="fr-FR" w:eastAsia="ja-JP"/>
        </w:rPr>
        <w:t>octroi de droits d</w:t>
      </w:r>
      <w:r w:rsidR="00326251">
        <w:rPr>
          <w:rFonts w:cs="Arial"/>
          <w:color w:val="000000"/>
          <w:szCs w:val="18"/>
          <w:lang w:val="fr-FR" w:eastAsia="ja-JP"/>
        </w:rPr>
        <w:t>’</w:t>
      </w:r>
      <w:r w:rsidR="00560737" w:rsidRPr="00963288">
        <w:rPr>
          <w:rFonts w:cs="Arial"/>
          <w:color w:val="000000"/>
          <w:szCs w:val="18"/>
          <w:lang w:val="fr-FR" w:eastAsia="ja-JP"/>
        </w:rPr>
        <w:t>obtenteur dans certains membres de l</w:t>
      </w:r>
      <w:r w:rsidR="00326251">
        <w:rPr>
          <w:rFonts w:cs="Arial"/>
          <w:color w:val="000000"/>
          <w:szCs w:val="18"/>
          <w:lang w:val="fr-FR" w:eastAsia="ja-JP"/>
        </w:rPr>
        <w:t>’</w:t>
      </w:r>
      <w:r w:rsidR="00560737" w:rsidRPr="00963288">
        <w:rPr>
          <w:rFonts w:cs="Arial"/>
          <w:color w:val="000000"/>
          <w:szCs w:val="18"/>
          <w:lang w:val="fr-FR" w:eastAsia="ja-JP"/>
        </w:rPr>
        <w:t>Union.</w:t>
      </w:r>
    </w:p>
    <w:p w:rsidR="00DB045D" w:rsidRPr="00963288" w:rsidRDefault="00DB045D" w:rsidP="00EC49C1">
      <w:pPr>
        <w:rPr>
          <w:rFonts w:cs="Arial"/>
          <w:color w:val="000000"/>
          <w:sz w:val="18"/>
          <w:szCs w:val="18"/>
          <w:lang w:val="fr-FR" w:eastAsia="ja-JP"/>
        </w:rPr>
      </w:pPr>
    </w:p>
    <w:p w:rsidR="00052BB7" w:rsidRPr="00963288" w:rsidRDefault="00EC49C1" w:rsidP="00560737">
      <w:pPr>
        <w:rPr>
          <w:lang w:val="fr-FR"/>
        </w:rPr>
      </w:pPr>
      <w:r w:rsidRPr="00963288">
        <w:rPr>
          <w:rFonts w:cs="Arial"/>
          <w:color w:val="000000"/>
          <w:szCs w:val="18"/>
          <w:lang w:val="fr-FR" w:eastAsia="ja-JP"/>
        </w:rPr>
        <w:fldChar w:fldCharType="begin"/>
      </w:r>
      <w:r w:rsidRPr="00963288">
        <w:rPr>
          <w:rFonts w:cs="Arial"/>
          <w:color w:val="000000"/>
          <w:szCs w:val="18"/>
          <w:lang w:val="fr-FR" w:eastAsia="ja-JP"/>
        </w:rPr>
        <w:instrText xml:space="preserve"> AUTONUM  </w:instrText>
      </w:r>
      <w:r w:rsidRPr="00963288">
        <w:rPr>
          <w:rFonts w:cs="Arial"/>
          <w:color w:val="000000"/>
          <w:szCs w:val="18"/>
          <w:lang w:val="fr-FR" w:eastAsia="ja-JP"/>
        </w:rPr>
        <w:fldChar w:fldCharType="end"/>
      </w:r>
      <w:r w:rsidRPr="00963288">
        <w:rPr>
          <w:rFonts w:cs="Arial"/>
          <w:color w:val="000000"/>
          <w:szCs w:val="18"/>
          <w:lang w:val="fr-FR" w:eastAsia="ja-JP"/>
        </w:rPr>
        <w:tab/>
      </w:r>
      <w:r w:rsidR="00052BB7" w:rsidRPr="00963288">
        <w:rPr>
          <w:rFonts w:cs="Arial"/>
          <w:szCs w:val="18"/>
          <w:lang w:val="fr-FR" w:eastAsia="ja-JP"/>
        </w:rPr>
        <w:t>Le</w:t>
      </w:r>
      <w:r w:rsidR="00326251">
        <w:rPr>
          <w:rFonts w:cs="Arial"/>
          <w:szCs w:val="18"/>
          <w:lang w:val="fr-FR" w:eastAsia="ja-JP"/>
        </w:rPr>
        <w:t> TC</w:t>
      </w:r>
      <w:r w:rsidR="00052BB7" w:rsidRPr="00963288">
        <w:rPr>
          <w:rFonts w:cs="Arial"/>
          <w:szCs w:val="18"/>
          <w:lang w:val="fr-FR" w:eastAsia="ja-JP"/>
        </w:rPr>
        <w:t xml:space="preserve"> est convenu de proposer au CAJ d</w:t>
      </w:r>
      <w:r w:rsidR="00326251">
        <w:rPr>
          <w:rFonts w:cs="Arial"/>
          <w:szCs w:val="18"/>
          <w:lang w:val="fr-FR" w:eastAsia="ja-JP"/>
        </w:rPr>
        <w:t>’</w:t>
      </w:r>
      <w:r w:rsidR="00052BB7" w:rsidRPr="00963288">
        <w:rPr>
          <w:rFonts w:cs="Arial"/>
          <w:szCs w:val="18"/>
          <w:lang w:val="fr-FR" w:eastAsia="ja-JP"/>
        </w:rPr>
        <w:t>élaborer des orientations pour encourager les membres de l</w:t>
      </w:r>
      <w:r w:rsidR="00326251">
        <w:rPr>
          <w:rFonts w:cs="Arial"/>
          <w:szCs w:val="18"/>
          <w:lang w:val="fr-FR" w:eastAsia="ja-JP"/>
        </w:rPr>
        <w:t>’</w:t>
      </w:r>
      <w:r w:rsidR="00052BB7" w:rsidRPr="00963288">
        <w:rPr>
          <w:rFonts w:cs="Arial"/>
          <w:szCs w:val="18"/>
          <w:lang w:val="fr-FR" w:eastAsia="ja-JP"/>
        </w:rPr>
        <w:t>UPOV, sur une base volontaire, à prendre à leur compte les rapports d</w:t>
      </w:r>
      <w:r w:rsidR="00326251">
        <w:rPr>
          <w:rFonts w:cs="Arial"/>
          <w:szCs w:val="18"/>
          <w:lang w:val="fr-FR" w:eastAsia="ja-JP"/>
        </w:rPr>
        <w:t>’</w:t>
      </w:r>
      <w:r w:rsidR="00052BB7" w:rsidRPr="00963288">
        <w:rPr>
          <w:rFonts w:cs="Arial"/>
          <w:szCs w:val="18"/>
          <w:lang w:val="fr-FR" w:eastAsia="ja-JP"/>
        </w:rPr>
        <w:t>examen DHS lorsque les demandeurs ne sont pas en mesure de remettre du matériel végétal pour des raisons phytosanitaires ou autres, lorsque cela est acceptable pour les membres de l</w:t>
      </w:r>
      <w:r w:rsidR="00326251">
        <w:rPr>
          <w:rFonts w:cs="Arial"/>
          <w:szCs w:val="18"/>
          <w:lang w:val="fr-FR" w:eastAsia="ja-JP"/>
        </w:rPr>
        <w:t>’</w:t>
      </w:r>
      <w:r w:rsidR="00052BB7" w:rsidRPr="00963288">
        <w:rPr>
          <w:rFonts w:cs="Arial"/>
          <w:szCs w:val="18"/>
          <w:lang w:val="fr-FR" w:eastAsia="ja-JP"/>
        </w:rPr>
        <w:t>UPOV concern</w:t>
      </w:r>
      <w:r w:rsidR="00422AD7" w:rsidRPr="00963288">
        <w:rPr>
          <w:rFonts w:cs="Arial"/>
          <w:szCs w:val="18"/>
          <w:lang w:val="fr-FR" w:eastAsia="ja-JP"/>
        </w:rPr>
        <w:t>és</w:t>
      </w:r>
      <w:r w:rsidR="00422AD7">
        <w:rPr>
          <w:rFonts w:cs="Arial"/>
          <w:szCs w:val="18"/>
          <w:lang w:val="fr-FR" w:eastAsia="ja-JP"/>
        </w:rPr>
        <w:t xml:space="preserve">.  </w:t>
      </w:r>
      <w:r w:rsidR="00422AD7" w:rsidRPr="00963288">
        <w:rPr>
          <w:lang w:val="fr-FR"/>
        </w:rPr>
        <w:t>Le</w:t>
      </w:r>
      <w:r w:rsidR="00326251">
        <w:rPr>
          <w:lang w:val="fr-FR"/>
        </w:rPr>
        <w:t> TC</w:t>
      </w:r>
      <w:r w:rsidR="00052BB7" w:rsidRPr="00963288">
        <w:rPr>
          <w:lang w:val="fr-FR"/>
        </w:rPr>
        <w:t xml:space="preserve"> est convenu que cette proposition devrait être soumise au CAJ pour examen dans le document CAJ/77/2 “Rapport sur les faits nouveaux intervenus au sein du Comité technique”.</w:t>
      </w:r>
    </w:p>
    <w:p w:rsidR="00DB045D" w:rsidRPr="00963288" w:rsidRDefault="00DB045D" w:rsidP="00EC49C1">
      <w:pPr>
        <w:rPr>
          <w:spacing w:val="-4"/>
          <w:sz w:val="18"/>
          <w:lang w:val="fr-FR"/>
        </w:rPr>
      </w:pPr>
    </w:p>
    <w:p w:rsidR="00052BB7" w:rsidRPr="00963288" w:rsidRDefault="00EC49C1" w:rsidP="00052BB7">
      <w:pPr>
        <w:rPr>
          <w:lang w:val="fr-FR"/>
        </w:rPr>
      </w:pPr>
      <w:r w:rsidRPr="00963288">
        <w:rPr>
          <w:spacing w:val="-4"/>
          <w:lang w:val="fr-FR"/>
        </w:rPr>
        <w:fldChar w:fldCharType="begin"/>
      </w:r>
      <w:r w:rsidRPr="00963288">
        <w:rPr>
          <w:spacing w:val="-4"/>
          <w:lang w:val="fr-FR"/>
        </w:rPr>
        <w:instrText xml:space="preserve"> AUTONUM  </w:instrText>
      </w:r>
      <w:r w:rsidRPr="00963288">
        <w:rPr>
          <w:spacing w:val="-4"/>
          <w:lang w:val="fr-FR"/>
        </w:rPr>
        <w:fldChar w:fldCharType="end"/>
      </w:r>
      <w:r w:rsidRPr="00963288">
        <w:rPr>
          <w:spacing w:val="-4"/>
          <w:lang w:val="fr-FR"/>
        </w:rPr>
        <w:tab/>
      </w:r>
      <w:r w:rsidR="00052BB7" w:rsidRPr="00963288">
        <w:rPr>
          <w:spacing w:val="-4"/>
          <w:lang w:val="fr-FR"/>
        </w:rPr>
        <w:t>En réponse à la demande du</w:t>
      </w:r>
      <w:r w:rsidR="00326251">
        <w:rPr>
          <w:spacing w:val="-4"/>
          <w:lang w:val="fr-FR"/>
        </w:rPr>
        <w:t> TC</w:t>
      </w:r>
      <w:r w:rsidR="00052BB7" w:rsidRPr="00963288">
        <w:rPr>
          <w:spacing w:val="-4"/>
          <w:lang w:val="fr-FR"/>
        </w:rPr>
        <w:t xml:space="preserve">, </w:t>
      </w:r>
      <w:r w:rsidR="00052BB7" w:rsidRPr="00963288">
        <w:rPr>
          <w:color w:val="000000"/>
          <w:spacing w:val="-4"/>
          <w:lang w:val="fr-FR"/>
        </w:rPr>
        <w:t>à sa soixante</w:t>
      </w:r>
      <w:r w:rsidR="00326251">
        <w:rPr>
          <w:color w:val="000000"/>
          <w:spacing w:val="-4"/>
          <w:lang w:val="fr-FR"/>
        </w:rPr>
        <w:t>-</w:t>
      </w:r>
      <w:r w:rsidR="00052BB7" w:rsidRPr="00963288">
        <w:rPr>
          <w:color w:val="000000"/>
          <w:spacing w:val="-4"/>
          <w:lang w:val="fr-FR"/>
        </w:rPr>
        <w:t>dix</w:t>
      </w:r>
      <w:r w:rsidR="00326251">
        <w:rPr>
          <w:color w:val="000000"/>
          <w:spacing w:val="-4"/>
          <w:lang w:val="fr-FR"/>
        </w:rPr>
        <w:t>-</w:t>
      </w:r>
      <w:r w:rsidR="00052BB7" w:rsidRPr="00963288">
        <w:rPr>
          <w:color w:val="000000"/>
          <w:spacing w:val="-4"/>
          <w:lang w:val="fr-FR"/>
        </w:rPr>
        <w:t>sept</w:t>
      </w:r>
      <w:r w:rsidR="00326251">
        <w:rPr>
          <w:color w:val="000000"/>
          <w:spacing w:val="-4"/>
          <w:lang w:val="fr-FR"/>
        </w:rPr>
        <w:t>ième session</w:t>
      </w:r>
      <w:r w:rsidR="00052BB7" w:rsidRPr="00963288">
        <w:rPr>
          <w:rStyle w:val="FootnoteReference"/>
          <w:color w:val="000000"/>
          <w:spacing w:val="-4"/>
          <w:lang w:val="fr-FR"/>
        </w:rPr>
        <w:footnoteReference w:id="3"/>
      </w:r>
      <w:r w:rsidR="00052BB7" w:rsidRPr="00963288">
        <w:rPr>
          <w:color w:val="000000"/>
          <w:spacing w:val="-4"/>
          <w:lang w:val="fr-FR"/>
        </w:rPr>
        <w:t>,</w:t>
      </w:r>
      <w:r w:rsidR="00052BB7" w:rsidRPr="00963288">
        <w:rPr>
          <w:color w:val="008000"/>
          <w:spacing w:val="-4"/>
          <w:lang w:val="fr-FR"/>
        </w:rPr>
        <w:t xml:space="preserve"> </w:t>
      </w:r>
      <w:r w:rsidR="00052BB7" w:rsidRPr="00963288">
        <w:rPr>
          <w:spacing w:val="-4"/>
          <w:lang w:val="fr-FR"/>
        </w:rPr>
        <w:t>le CAJ a en outre prié le Bureau de l</w:t>
      </w:r>
      <w:r w:rsidR="00326251">
        <w:rPr>
          <w:spacing w:val="-4"/>
          <w:lang w:val="fr-FR"/>
        </w:rPr>
        <w:t>’</w:t>
      </w:r>
      <w:r w:rsidR="00052BB7" w:rsidRPr="00963288">
        <w:rPr>
          <w:spacing w:val="-4"/>
          <w:lang w:val="fr-FR"/>
        </w:rPr>
        <w:t>Union d</w:t>
      </w:r>
      <w:r w:rsidR="00326251">
        <w:rPr>
          <w:spacing w:val="-4"/>
          <w:lang w:val="fr-FR"/>
        </w:rPr>
        <w:t>’</w:t>
      </w:r>
      <w:r w:rsidR="00052BB7" w:rsidRPr="00963288">
        <w:rPr>
          <w:spacing w:val="-4"/>
          <w:lang w:val="fr-FR"/>
        </w:rPr>
        <w:t>établir, pour examen à sa soixante</w:t>
      </w:r>
      <w:r w:rsidR="00326251">
        <w:rPr>
          <w:spacing w:val="-4"/>
          <w:lang w:val="fr-FR"/>
        </w:rPr>
        <w:t>-</w:t>
      </w:r>
      <w:r w:rsidR="00052BB7" w:rsidRPr="00963288">
        <w:rPr>
          <w:spacing w:val="-4"/>
          <w:lang w:val="fr-FR"/>
        </w:rPr>
        <w:t>dix</w:t>
      </w:r>
      <w:r w:rsidR="00326251">
        <w:rPr>
          <w:spacing w:val="-4"/>
          <w:lang w:val="fr-FR"/>
        </w:rPr>
        <w:t>-</w:t>
      </w:r>
      <w:r w:rsidR="00052BB7" w:rsidRPr="00963288">
        <w:rPr>
          <w:spacing w:val="-4"/>
          <w:lang w:val="fr-FR"/>
        </w:rPr>
        <w:t>huit</w:t>
      </w:r>
      <w:r w:rsidR="00326251">
        <w:rPr>
          <w:spacing w:val="-4"/>
          <w:lang w:val="fr-FR"/>
        </w:rPr>
        <w:t>ième session</w:t>
      </w:r>
      <w:r w:rsidR="00052BB7" w:rsidRPr="00963288">
        <w:rPr>
          <w:spacing w:val="-4"/>
          <w:lang w:val="fr-FR"/>
        </w:rPr>
        <w:t>, un document contenant des propositions visant à élaborer des orientations pour encourager les membres de l</w:t>
      </w:r>
      <w:r w:rsidR="00326251">
        <w:rPr>
          <w:spacing w:val="-4"/>
          <w:lang w:val="fr-FR"/>
        </w:rPr>
        <w:t>’</w:t>
      </w:r>
      <w:r w:rsidR="00052BB7" w:rsidRPr="00963288">
        <w:rPr>
          <w:spacing w:val="-4"/>
          <w:lang w:val="fr-FR"/>
        </w:rPr>
        <w:t>Union, sur une base volontaire, à prendre à leur compte les rapports d</w:t>
      </w:r>
      <w:r w:rsidR="00326251">
        <w:rPr>
          <w:spacing w:val="-4"/>
          <w:lang w:val="fr-FR"/>
        </w:rPr>
        <w:t>’</w:t>
      </w:r>
      <w:r w:rsidR="00052BB7" w:rsidRPr="00963288">
        <w:rPr>
          <w:spacing w:val="-4"/>
          <w:lang w:val="fr-FR"/>
        </w:rPr>
        <w:t>examen DHS lorsque les demandeurs ne sont pas en mesure de remettre du matériel végétal pour des raisons phytosanitaires ou autres, lorsque cela est acceptable pour les membres de l</w:t>
      </w:r>
      <w:r w:rsidR="00326251">
        <w:rPr>
          <w:spacing w:val="-4"/>
          <w:lang w:val="fr-FR"/>
        </w:rPr>
        <w:t>’</w:t>
      </w:r>
      <w:r w:rsidR="00052BB7" w:rsidRPr="00963288">
        <w:rPr>
          <w:spacing w:val="-4"/>
          <w:lang w:val="fr-FR"/>
        </w:rPr>
        <w:t xml:space="preserve">Union concernés </w:t>
      </w:r>
      <w:r w:rsidR="00052BB7" w:rsidRPr="00963288">
        <w:rPr>
          <w:color w:val="000000"/>
          <w:spacing w:val="-4"/>
          <w:lang w:val="fr-FR"/>
        </w:rPr>
        <w:t xml:space="preserve">(voir le </w:t>
      </w:r>
      <w:r w:rsidR="00326251" w:rsidRPr="00963288">
        <w:rPr>
          <w:color w:val="000000"/>
          <w:spacing w:val="-4"/>
          <w:lang w:val="fr-FR"/>
        </w:rPr>
        <w:t>paragraphe</w:t>
      </w:r>
      <w:r w:rsidR="00326251">
        <w:rPr>
          <w:color w:val="000000"/>
          <w:spacing w:val="-4"/>
          <w:lang w:val="fr-FR"/>
        </w:rPr>
        <w:t> </w:t>
      </w:r>
      <w:r w:rsidR="00326251" w:rsidRPr="00963288">
        <w:rPr>
          <w:color w:val="000000"/>
          <w:spacing w:val="-4"/>
          <w:lang w:val="fr-FR"/>
        </w:rPr>
        <w:t>1</w:t>
      </w:r>
      <w:r w:rsidR="00052BB7" w:rsidRPr="00963288">
        <w:rPr>
          <w:color w:val="000000"/>
          <w:spacing w:val="-4"/>
          <w:lang w:val="fr-FR"/>
        </w:rPr>
        <w:t xml:space="preserve">5 du document CAJ/77/10 </w:t>
      </w:r>
      <w:r w:rsidR="00326251">
        <w:rPr>
          <w:color w:val="000000"/>
          <w:spacing w:val="-4"/>
          <w:lang w:val="fr-FR"/>
        </w:rPr>
        <w:t>“</w:t>
      </w:r>
      <w:r w:rsidR="00326251" w:rsidRPr="00963288">
        <w:rPr>
          <w:color w:val="000000"/>
          <w:spacing w:val="-4"/>
          <w:lang w:val="fr-FR"/>
        </w:rPr>
        <w:t>R</w:t>
      </w:r>
      <w:r w:rsidR="00052BB7" w:rsidRPr="00963288">
        <w:rPr>
          <w:color w:val="000000"/>
          <w:spacing w:val="-4"/>
          <w:lang w:val="fr-FR"/>
        </w:rPr>
        <w:t>appor</w:t>
      </w:r>
      <w:r w:rsidR="00326251" w:rsidRPr="00963288">
        <w:rPr>
          <w:color w:val="000000"/>
          <w:spacing w:val="-4"/>
          <w:lang w:val="fr-FR"/>
        </w:rPr>
        <w:t>t</w:t>
      </w:r>
      <w:r w:rsidR="00326251">
        <w:rPr>
          <w:color w:val="000000"/>
          <w:spacing w:val="-4"/>
          <w:lang w:val="fr-FR"/>
        </w:rPr>
        <w:t>”</w:t>
      </w:r>
      <w:r w:rsidR="00052BB7" w:rsidRPr="00963288">
        <w:rPr>
          <w:color w:val="000000"/>
          <w:spacing w:val="-4"/>
          <w:lang w:val="fr-FR"/>
        </w:rPr>
        <w:t>)</w:t>
      </w:r>
      <w:r w:rsidR="00052BB7" w:rsidRPr="00963288">
        <w:rPr>
          <w:color w:val="008000"/>
          <w:spacing w:val="-4"/>
          <w:lang w:val="fr-FR"/>
        </w:rPr>
        <w:t>.</w:t>
      </w:r>
    </w:p>
    <w:p w:rsidR="00DB045D" w:rsidRDefault="00DB045D" w:rsidP="00EC49C1">
      <w:pPr>
        <w:rPr>
          <w:spacing w:val="-4"/>
          <w:sz w:val="18"/>
          <w:lang w:val="fr-FR"/>
        </w:rPr>
      </w:pPr>
    </w:p>
    <w:p w:rsidR="00BF7159" w:rsidRPr="00963288" w:rsidRDefault="00BF7159" w:rsidP="00EC49C1">
      <w:pPr>
        <w:rPr>
          <w:spacing w:val="-4"/>
          <w:sz w:val="18"/>
          <w:lang w:val="fr-FR"/>
        </w:rPr>
      </w:pPr>
    </w:p>
    <w:p w:rsidR="00DB045D" w:rsidRPr="00963288" w:rsidRDefault="00DB045D" w:rsidP="00EC49C1">
      <w:pPr>
        <w:rPr>
          <w:spacing w:val="-4"/>
          <w:sz w:val="18"/>
          <w:lang w:val="fr-FR"/>
        </w:rPr>
      </w:pPr>
    </w:p>
    <w:p w:rsidR="00326251" w:rsidRDefault="00280C80" w:rsidP="00280C80">
      <w:pPr>
        <w:pStyle w:val="Heading1"/>
        <w:rPr>
          <w:lang w:val="fr-FR"/>
        </w:rPr>
      </w:pPr>
      <w:bookmarkStart w:id="5" w:name="_Toc82693776"/>
      <w:r>
        <w:rPr>
          <w:lang w:val="fr-FR"/>
        </w:rPr>
        <w:t>P</w:t>
      </w:r>
      <w:r w:rsidRPr="00963288">
        <w:rPr>
          <w:lang w:val="fr-FR"/>
        </w:rPr>
        <w:t>ropositions visant à élaborer des orientations pour encourager les membres de l</w:t>
      </w:r>
      <w:r>
        <w:rPr>
          <w:lang w:val="fr-FR"/>
        </w:rPr>
        <w:t>’</w:t>
      </w:r>
      <w:r w:rsidRPr="00963288">
        <w:rPr>
          <w:lang w:val="fr-FR"/>
        </w:rPr>
        <w:t>union à prendre à leur compte les rapports d</w:t>
      </w:r>
      <w:r>
        <w:rPr>
          <w:lang w:val="fr-FR"/>
        </w:rPr>
        <w:t>’</w:t>
      </w:r>
      <w:r w:rsidRPr="00963288">
        <w:rPr>
          <w:lang w:val="fr-FR"/>
        </w:rPr>
        <w:t xml:space="preserve">examen </w:t>
      </w:r>
      <w:r>
        <w:rPr>
          <w:lang w:val="fr-FR"/>
        </w:rPr>
        <w:t>DHS</w:t>
      </w:r>
      <w:r w:rsidRPr="00963288">
        <w:rPr>
          <w:lang w:val="fr-FR"/>
        </w:rPr>
        <w:t xml:space="preserve"> lorsque les demandeurs ne sont pas en mesure de remettre du matériel végétal</w:t>
      </w:r>
      <w:bookmarkEnd w:id="5"/>
    </w:p>
    <w:p w:rsidR="00DB045D" w:rsidRPr="00963288" w:rsidRDefault="00DB045D">
      <w:pPr>
        <w:jc w:val="left"/>
        <w:rPr>
          <w:snapToGrid w:val="0"/>
          <w:sz w:val="18"/>
          <w:lang w:val="fr-FR"/>
        </w:rPr>
      </w:pPr>
    </w:p>
    <w:p w:rsidR="00326251" w:rsidRDefault="00D36A78" w:rsidP="006D4CC8">
      <w:pPr>
        <w:rPr>
          <w:spacing w:val="-4"/>
          <w:lang w:val="fr-FR"/>
        </w:rPr>
      </w:pPr>
      <w:r w:rsidRPr="00963288">
        <w:rPr>
          <w:spacing w:val="-4"/>
          <w:lang w:val="fr-FR"/>
        </w:rPr>
        <w:fldChar w:fldCharType="begin"/>
      </w:r>
      <w:r w:rsidRPr="00963288">
        <w:rPr>
          <w:spacing w:val="-4"/>
          <w:lang w:val="fr-FR"/>
        </w:rPr>
        <w:instrText xml:space="preserve"> AUTONUM  </w:instrText>
      </w:r>
      <w:r w:rsidRPr="00963288">
        <w:rPr>
          <w:spacing w:val="-4"/>
          <w:lang w:val="fr-FR"/>
        </w:rPr>
        <w:fldChar w:fldCharType="end"/>
      </w:r>
      <w:r w:rsidRPr="00963288">
        <w:rPr>
          <w:spacing w:val="-4"/>
          <w:lang w:val="fr-FR"/>
        </w:rPr>
        <w:tab/>
      </w:r>
      <w:r w:rsidR="00B87DEC" w:rsidRPr="00963288">
        <w:rPr>
          <w:color w:val="000000"/>
          <w:spacing w:val="-4"/>
          <w:lang w:val="fr-FR"/>
        </w:rPr>
        <w:t>D</w:t>
      </w:r>
      <w:r w:rsidR="006D4CC8" w:rsidRPr="00963288">
        <w:rPr>
          <w:color w:val="000000"/>
          <w:spacing w:val="-4"/>
          <w:lang w:val="fr-FR"/>
        </w:rPr>
        <w:t xml:space="preserve">es propositions visant à renforcer la coopération et </w:t>
      </w:r>
      <w:r w:rsidR="0001626A" w:rsidRPr="00963288">
        <w:rPr>
          <w:color w:val="000000"/>
          <w:spacing w:val="-4"/>
          <w:lang w:val="fr-FR"/>
        </w:rPr>
        <w:t>la reprise</w:t>
      </w:r>
      <w:r w:rsidR="006D4CC8" w:rsidRPr="00963288">
        <w:rPr>
          <w:color w:val="000000"/>
          <w:spacing w:val="-4"/>
          <w:lang w:val="fr-FR"/>
        </w:rPr>
        <w:t xml:space="preserve"> des rapports d</w:t>
      </w:r>
      <w:r w:rsidR="00326251">
        <w:rPr>
          <w:color w:val="000000"/>
          <w:spacing w:val="-4"/>
          <w:lang w:val="fr-FR"/>
        </w:rPr>
        <w:t>’</w:t>
      </w:r>
      <w:r w:rsidR="006D4CC8" w:rsidRPr="00963288">
        <w:rPr>
          <w:color w:val="000000"/>
          <w:spacing w:val="-4"/>
          <w:lang w:val="fr-FR"/>
        </w:rPr>
        <w:t xml:space="preserve">examens DHS figurent dans le document CAJ/78/9 </w:t>
      </w:r>
      <w:r w:rsidR="00326251">
        <w:rPr>
          <w:color w:val="000000"/>
          <w:spacing w:val="-4"/>
          <w:lang w:val="fr-FR"/>
        </w:rPr>
        <w:t>“</w:t>
      </w:r>
      <w:r w:rsidR="00326251" w:rsidRPr="00963288">
        <w:rPr>
          <w:color w:val="000000"/>
          <w:spacing w:val="-4"/>
          <w:lang w:val="fr-FR"/>
        </w:rPr>
        <w:t>M</w:t>
      </w:r>
      <w:r w:rsidR="006D4CC8" w:rsidRPr="00963288">
        <w:rPr>
          <w:color w:val="000000"/>
          <w:spacing w:val="-4"/>
          <w:lang w:val="fr-FR"/>
        </w:rPr>
        <w:t>esures visant à renforcer la coopération en matière d</w:t>
      </w:r>
      <w:r w:rsidR="00326251">
        <w:rPr>
          <w:color w:val="000000"/>
          <w:spacing w:val="-4"/>
          <w:lang w:val="fr-FR"/>
        </w:rPr>
        <w:t>’</w:t>
      </w:r>
      <w:r w:rsidR="006D4CC8" w:rsidRPr="00963288">
        <w:rPr>
          <w:color w:val="000000"/>
          <w:spacing w:val="-4"/>
          <w:lang w:val="fr-FR"/>
        </w:rPr>
        <w:t>exame</w:t>
      </w:r>
      <w:r w:rsidR="00326251" w:rsidRPr="00963288">
        <w:rPr>
          <w:color w:val="000000"/>
          <w:spacing w:val="-4"/>
          <w:lang w:val="fr-FR"/>
        </w:rPr>
        <w:t>n</w:t>
      </w:r>
      <w:r w:rsidR="00326251">
        <w:rPr>
          <w:color w:val="000000"/>
          <w:spacing w:val="-4"/>
          <w:lang w:val="fr-FR"/>
        </w:rPr>
        <w:t>”</w:t>
      </w:r>
      <w:r w:rsidR="006D4CC8" w:rsidRPr="00963288">
        <w:rPr>
          <w:color w:val="000000"/>
          <w:spacing w:val="-4"/>
          <w:lang w:val="fr-FR"/>
        </w:rPr>
        <w:t>.</w:t>
      </w:r>
    </w:p>
    <w:p w:rsidR="00DB045D" w:rsidRPr="00963288" w:rsidRDefault="00DB045D" w:rsidP="00753040">
      <w:pPr>
        <w:rPr>
          <w:spacing w:val="-4"/>
          <w:sz w:val="18"/>
          <w:lang w:val="fr-FR"/>
        </w:rPr>
      </w:pPr>
    </w:p>
    <w:p w:rsidR="00B87DEC" w:rsidRPr="00963288" w:rsidRDefault="00753040" w:rsidP="00BF7159">
      <w:pPr>
        <w:keepNext/>
        <w:keepLines/>
        <w:rPr>
          <w:spacing w:val="-4"/>
          <w:lang w:val="fr-FR"/>
        </w:rPr>
      </w:pPr>
      <w:r w:rsidRPr="00963288">
        <w:rPr>
          <w:spacing w:val="-4"/>
          <w:lang w:val="fr-FR"/>
        </w:rPr>
        <w:lastRenderedPageBreak/>
        <w:fldChar w:fldCharType="begin"/>
      </w:r>
      <w:r w:rsidRPr="00963288">
        <w:rPr>
          <w:spacing w:val="-4"/>
          <w:lang w:val="fr-FR"/>
        </w:rPr>
        <w:instrText xml:space="preserve"> AUTONUM  </w:instrText>
      </w:r>
      <w:r w:rsidRPr="00963288">
        <w:rPr>
          <w:spacing w:val="-4"/>
          <w:lang w:val="fr-FR"/>
        </w:rPr>
        <w:fldChar w:fldCharType="end"/>
      </w:r>
      <w:r w:rsidRPr="00963288">
        <w:rPr>
          <w:spacing w:val="-4"/>
          <w:lang w:val="fr-FR"/>
        </w:rPr>
        <w:tab/>
      </w:r>
      <w:r w:rsidR="00B87DEC" w:rsidRPr="00963288">
        <w:rPr>
          <w:spacing w:val="-4"/>
          <w:lang w:val="fr-FR"/>
        </w:rPr>
        <w:t>Il est proposé d</w:t>
      </w:r>
      <w:r w:rsidR="00326251">
        <w:rPr>
          <w:spacing w:val="-4"/>
          <w:lang w:val="fr-FR"/>
        </w:rPr>
        <w:t>’</w:t>
      </w:r>
      <w:r w:rsidR="00B87DEC" w:rsidRPr="00963288">
        <w:rPr>
          <w:spacing w:val="-4"/>
          <w:lang w:val="fr-FR"/>
        </w:rPr>
        <w:t xml:space="preserve">inclure les possibles </w:t>
      </w:r>
      <w:r w:rsidR="00326251">
        <w:rPr>
          <w:spacing w:val="-4"/>
          <w:lang w:val="fr-FR"/>
        </w:rPr>
        <w:t>“</w:t>
      </w:r>
      <w:r w:rsidR="00326251" w:rsidRPr="00963288">
        <w:rPr>
          <w:spacing w:val="-4"/>
          <w:lang w:val="fr-FR"/>
        </w:rPr>
        <w:t>o</w:t>
      </w:r>
      <w:r w:rsidR="00B87DEC" w:rsidRPr="00963288">
        <w:rPr>
          <w:spacing w:val="-4"/>
          <w:lang w:val="fr-FR"/>
        </w:rPr>
        <w:t>rientations pour encourager les membres de l</w:t>
      </w:r>
      <w:r w:rsidR="00326251">
        <w:rPr>
          <w:spacing w:val="-4"/>
          <w:lang w:val="fr-FR"/>
        </w:rPr>
        <w:t>’</w:t>
      </w:r>
      <w:r w:rsidR="00B87DEC" w:rsidRPr="00963288">
        <w:rPr>
          <w:spacing w:val="-4"/>
          <w:lang w:val="fr-FR"/>
        </w:rPr>
        <w:t>Union, sur une base volontaire, à prendre à leur compte les rapports d</w:t>
      </w:r>
      <w:r w:rsidR="00326251">
        <w:rPr>
          <w:spacing w:val="-4"/>
          <w:lang w:val="fr-FR"/>
        </w:rPr>
        <w:t>’</w:t>
      </w:r>
      <w:r w:rsidR="00B87DEC" w:rsidRPr="00963288">
        <w:rPr>
          <w:spacing w:val="-4"/>
          <w:lang w:val="fr-FR"/>
        </w:rPr>
        <w:t>examen</w:t>
      </w:r>
      <w:r w:rsidR="002F3084">
        <w:rPr>
          <w:spacing w:val="-4"/>
          <w:lang w:val="fr-FR"/>
        </w:rPr>
        <w:t> </w:t>
      </w:r>
      <w:r w:rsidR="00B87DEC" w:rsidRPr="00963288">
        <w:rPr>
          <w:spacing w:val="-4"/>
          <w:lang w:val="fr-FR"/>
        </w:rPr>
        <w:t>DHS lorsque les demandeurs ne sont pas en mesure de remettre du matériel végétal pour des raisons phytosanitaires ou autres, lorsque cela est acceptable pour les membres de l</w:t>
      </w:r>
      <w:r w:rsidR="00326251">
        <w:rPr>
          <w:spacing w:val="-4"/>
          <w:lang w:val="fr-FR"/>
        </w:rPr>
        <w:t>’</w:t>
      </w:r>
      <w:r w:rsidR="00B87DEC" w:rsidRPr="00963288">
        <w:rPr>
          <w:spacing w:val="-4"/>
          <w:lang w:val="fr-FR"/>
        </w:rPr>
        <w:t>Union concerné</w:t>
      </w:r>
      <w:r w:rsidR="00326251" w:rsidRPr="00963288">
        <w:rPr>
          <w:spacing w:val="-4"/>
          <w:lang w:val="fr-FR"/>
        </w:rPr>
        <w:t>s</w:t>
      </w:r>
      <w:r w:rsidR="00326251">
        <w:rPr>
          <w:spacing w:val="-4"/>
          <w:lang w:val="fr-FR"/>
        </w:rPr>
        <w:t>”</w:t>
      </w:r>
      <w:r w:rsidR="00B87DEC" w:rsidRPr="00963288">
        <w:rPr>
          <w:spacing w:val="-4"/>
          <w:lang w:val="fr-FR"/>
        </w:rPr>
        <w:t xml:space="preserve"> dans les propositions et éventuels travaux futurs que</w:t>
      </w:r>
      <w:r w:rsidR="00326251" w:rsidRPr="00963288">
        <w:rPr>
          <w:spacing w:val="-4"/>
          <w:lang w:val="fr-FR"/>
        </w:rPr>
        <w:t xml:space="preserve"> le</w:t>
      </w:r>
      <w:r w:rsidR="00326251">
        <w:rPr>
          <w:spacing w:val="-4"/>
          <w:lang w:val="fr-FR"/>
        </w:rPr>
        <w:t> </w:t>
      </w:r>
      <w:r w:rsidR="00326251" w:rsidRPr="00963288">
        <w:rPr>
          <w:spacing w:val="-4"/>
          <w:lang w:val="fr-FR"/>
        </w:rPr>
        <w:t>CAJ</w:t>
      </w:r>
      <w:r w:rsidR="00B87DEC" w:rsidRPr="00963288">
        <w:rPr>
          <w:spacing w:val="-4"/>
          <w:lang w:val="fr-FR"/>
        </w:rPr>
        <w:t xml:space="preserve"> est invité à examiner au titre du document CAJ/78/9.</w:t>
      </w:r>
    </w:p>
    <w:p w:rsidR="00DB045D" w:rsidRPr="00963288" w:rsidRDefault="00DB045D" w:rsidP="00F2069C">
      <w:pPr>
        <w:keepNext/>
        <w:keepLines/>
        <w:rPr>
          <w:spacing w:val="-4"/>
          <w:sz w:val="18"/>
          <w:lang w:val="fr-FR"/>
        </w:rPr>
      </w:pPr>
    </w:p>
    <w:p w:rsidR="00DB045D" w:rsidRPr="00963288" w:rsidRDefault="00D36A78" w:rsidP="00F2069C">
      <w:pPr>
        <w:keepNext/>
        <w:keepLines/>
        <w:tabs>
          <w:tab w:val="left" w:pos="5387"/>
        </w:tabs>
        <w:ind w:left="4820"/>
        <w:rPr>
          <w:i/>
          <w:snapToGrid w:val="0"/>
          <w:lang w:val="fr-FR"/>
        </w:rPr>
      </w:pPr>
      <w:r w:rsidRPr="00963288">
        <w:rPr>
          <w:i/>
          <w:snapToGrid w:val="0"/>
          <w:lang w:val="fr-FR"/>
        </w:rPr>
        <w:fldChar w:fldCharType="begin"/>
      </w:r>
      <w:r w:rsidRPr="00963288">
        <w:rPr>
          <w:i/>
          <w:snapToGrid w:val="0"/>
          <w:lang w:val="fr-FR"/>
        </w:rPr>
        <w:instrText xml:space="preserve"> AUTONUM  </w:instrText>
      </w:r>
      <w:r w:rsidRPr="00963288">
        <w:rPr>
          <w:i/>
          <w:snapToGrid w:val="0"/>
          <w:lang w:val="fr-FR"/>
        </w:rPr>
        <w:fldChar w:fldCharType="end"/>
      </w:r>
      <w:r w:rsidRPr="00963288">
        <w:rPr>
          <w:i/>
          <w:snapToGrid w:val="0"/>
          <w:lang w:val="fr-FR"/>
        </w:rPr>
        <w:tab/>
      </w:r>
      <w:r w:rsidR="006D4CC8" w:rsidRPr="00963288">
        <w:rPr>
          <w:i/>
          <w:snapToGrid w:val="0"/>
          <w:lang w:val="fr-FR"/>
        </w:rPr>
        <w:t>Le CAJ est invité</w:t>
      </w:r>
      <w:r w:rsidR="00BF7159">
        <w:rPr>
          <w:i/>
          <w:snapToGrid w:val="0"/>
          <w:lang w:val="fr-FR"/>
        </w:rPr>
        <w:t xml:space="preserve"> à</w:t>
      </w:r>
    </w:p>
    <w:p w:rsidR="00DB045D" w:rsidRPr="00963288" w:rsidRDefault="00DB045D" w:rsidP="00F2069C">
      <w:pPr>
        <w:keepNext/>
        <w:keepLines/>
        <w:tabs>
          <w:tab w:val="left" w:pos="5387"/>
        </w:tabs>
        <w:ind w:left="4820"/>
        <w:rPr>
          <w:i/>
          <w:snapToGrid w:val="0"/>
          <w:sz w:val="18"/>
          <w:lang w:val="fr-FR"/>
        </w:rPr>
      </w:pPr>
    </w:p>
    <w:p w:rsidR="00B87DEC" w:rsidRPr="00963288" w:rsidRDefault="00B87DEC" w:rsidP="00F2069C">
      <w:pPr>
        <w:pStyle w:val="ListParagraph"/>
        <w:keepNext/>
        <w:keepLines/>
        <w:numPr>
          <w:ilvl w:val="0"/>
          <w:numId w:val="2"/>
        </w:numPr>
        <w:tabs>
          <w:tab w:val="left" w:pos="5954"/>
        </w:tabs>
        <w:ind w:left="4820" w:right="9" w:firstLine="567"/>
        <w:rPr>
          <w:i/>
          <w:spacing w:val="-2"/>
          <w:lang w:val="fr-FR"/>
        </w:rPr>
      </w:pPr>
      <w:r w:rsidRPr="00963288">
        <w:rPr>
          <w:i/>
          <w:spacing w:val="-2"/>
          <w:lang w:val="fr-FR"/>
        </w:rPr>
        <w:t xml:space="preserve">noter que des propositions visant à renforcer la coopération et </w:t>
      </w:r>
      <w:r w:rsidR="0001626A" w:rsidRPr="00963288">
        <w:rPr>
          <w:i/>
          <w:spacing w:val="-2"/>
          <w:lang w:val="fr-FR"/>
        </w:rPr>
        <w:t>la reprise</w:t>
      </w:r>
      <w:r w:rsidRPr="00963288">
        <w:rPr>
          <w:i/>
          <w:spacing w:val="-2"/>
          <w:lang w:val="fr-FR"/>
        </w:rPr>
        <w:t xml:space="preserve"> des rapports d</w:t>
      </w:r>
      <w:r w:rsidR="00326251">
        <w:rPr>
          <w:i/>
          <w:spacing w:val="-2"/>
          <w:lang w:val="fr-FR"/>
        </w:rPr>
        <w:t>’</w:t>
      </w:r>
      <w:r w:rsidRPr="00963288">
        <w:rPr>
          <w:i/>
          <w:spacing w:val="-2"/>
          <w:lang w:val="fr-FR"/>
        </w:rPr>
        <w:t xml:space="preserve">examen figurent dans le document CAJ/78/9 </w:t>
      </w:r>
      <w:r w:rsidR="00326251">
        <w:rPr>
          <w:i/>
          <w:spacing w:val="-2"/>
          <w:lang w:val="fr-FR"/>
        </w:rPr>
        <w:t>“</w:t>
      </w:r>
      <w:r w:rsidR="00326251" w:rsidRPr="00963288">
        <w:rPr>
          <w:i/>
          <w:spacing w:val="-2"/>
          <w:lang w:val="fr-FR"/>
        </w:rPr>
        <w:t>M</w:t>
      </w:r>
      <w:r w:rsidRPr="00963288">
        <w:rPr>
          <w:i/>
          <w:spacing w:val="-2"/>
          <w:lang w:val="fr-FR"/>
        </w:rPr>
        <w:t>esures visant à renforcer la coopération en matière d</w:t>
      </w:r>
      <w:r w:rsidR="00326251">
        <w:rPr>
          <w:i/>
          <w:spacing w:val="-2"/>
          <w:lang w:val="fr-FR"/>
        </w:rPr>
        <w:t>’</w:t>
      </w:r>
      <w:r w:rsidRPr="00963288">
        <w:rPr>
          <w:i/>
          <w:spacing w:val="-2"/>
          <w:lang w:val="fr-FR"/>
        </w:rPr>
        <w:t>exame</w:t>
      </w:r>
      <w:r w:rsidR="00326251" w:rsidRPr="00963288">
        <w:rPr>
          <w:i/>
          <w:spacing w:val="-2"/>
          <w:lang w:val="fr-FR"/>
        </w:rPr>
        <w:t>n</w:t>
      </w:r>
      <w:r w:rsidR="00326251">
        <w:rPr>
          <w:i/>
          <w:spacing w:val="-2"/>
          <w:lang w:val="fr-FR"/>
        </w:rPr>
        <w:t>”</w:t>
      </w:r>
      <w:r w:rsidR="00BF7159">
        <w:rPr>
          <w:i/>
          <w:spacing w:val="-2"/>
          <w:lang w:val="fr-FR"/>
        </w:rPr>
        <w:t xml:space="preserve">; </w:t>
      </w:r>
      <w:r w:rsidRPr="00963288">
        <w:rPr>
          <w:i/>
          <w:spacing w:val="-2"/>
          <w:lang w:val="fr-FR"/>
        </w:rPr>
        <w:t>et</w:t>
      </w:r>
    </w:p>
    <w:p w:rsidR="00B87DEC" w:rsidRPr="00963288" w:rsidRDefault="00B87DEC" w:rsidP="00B87DEC">
      <w:pPr>
        <w:pStyle w:val="ListParagraph"/>
        <w:tabs>
          <w:tab w:val="left" w:pos="5954"/>
        </w:tabs>
        <w:ind w:left="5180" w:right="9"/>
        <w:rPr>
          <w:i/>
          <w:spacing w:val="-2"/>
          <w:lang w:val="fr-FR"/>
        </w:rPr>
      </w:pPr>
    </w:p>
    <w:p w:rsidR="00B87DEC" w:rsidRPr="00963288" w:rsidRDefault="00B87DEC" w:rsidP="00F2069C">
      <w:pPr>
        <w:pStyle w:val="ListParagraph"/>
        <w:numPr>
          <w:ilvl w:val="0"/>
          <w:numId w:val="2"/>
        </w:numPr>
        <w:tabs>
          <w:tab w:val="left" w:pos="5954"/>
        </w:tabs>
        <w:ind w:left="4820" w:right="9" w:firstLine="567"/>
        <w:rPr>
          <w:i/>
          <w:spacing w:val="-2"/>
          <w:lang w:val="fr-FR"/>
        </w:rPr>
      </w:pPr>
      <w:r w:rsidRPr="00963288">
        <w:rPr>
          <w:i/>
          <w:spacing w:val="-2"/>
          <w:lang w:val="fr-FR"/>
        </w:rPr>
        <w:t xml:space="preserve">considérer les possibles </w:t>
      </w:r>
      <w:r w:rsidR="00326251">
        <w:rPr>
          <w:i/>
          <w:spacing w:val="-2"/>
          <w:lang w:val="fr-FR"/>
        </w:rPr>
        <w:t>“</w:t>
      </w:r>
      <w:r w:rsidR="00326251" w:rsidRPr="00963288">
        <w:rPr>
          <w:i/>
          <w:spacing w:val="-2"/>
          <w:lang w:val="fr-FR"/>
        </w:rPr>
        <w:t>o</w:t>
      </w:r>
      <w:r w:rsidRPr="00963288">
        <w:rPr>
          <w:i/>
          <w:spacing w:val="-2"/>
          <w:lang w:val="fr-FR"/>
        </w:rPr>
        <w:t>rientations pour encourager les membres de l</w:t>
      </w:r>
      <w:r w:rsidR="00326251">
        <w:rPr>
          <w:i/>
          <w:spacing w:val="-2"/>
          <w:lang w:val="fr-FR"/>
        </w:rPr>
        <w:t>’</w:t>
      </w:r>
      <w:r w:rsidRPr="00963288">
        <w:rPr>
          <w:i/>
          <w:spacing w:val="-2"/>
          <w:lang w:val="fr-FR"/>
        </w:rPr>
        <w:t>Union, sur une base volontaire, à prendre à leur compte les rapports d</w:t>
      </w:r>
      <w:r w:rsidR="00326251">
        <w:rPr>
          <w:i/>
          <w:spacing w:val="-2"/>
          <w:lang w:val="fr-FR"/>
        </w:rPr>
        <w:t>’</w:t>
      </w:r>
      <w:r w:rsidRPr="00963288">
        <w:rPr>
          <w:i/>
          <w:spacing w:val="-2"/>
          <w:lang w:val="fr-FR"/>
        </w:rPr>
        <w:t>examen</w:t>
      </w:r>
      <w:r w:rsidR="002F3084">
        <w:rPr>
          <w:i/>
          <w:spacing w:val="-2"/>
          <w:lang w:val="fr-FR"/>
        </w:rPr>
        <w:t> </w:t>
      </w:r>
      <w:r w:rsidRPr="00963288">
        <w:rPr>
          <w:i/>
          <w:spacing w:val="-2"/>
          <w:lang w:val="fr-FR"/>
        </w:rPr>
        <w:t>DHS lorsque les demandeurs ne sont pas en mesure de remettre du matériel végétal pour des raisons phytosanitaires ou autres, lorsque cela est acceptable pour les membres de l</w:t>
      </w:r>
      <w:r w:rsidR="00326251">
        <w:rPr>
          <w:i/>
          <w:spacing w:val="-2"/>
          <w:lang w:val="fr-FR"/>
        </w:rPr>
        <w:t>’</w:t>
      </w:r>
      <w:r w:rsidRPr="00963288">
        <w:rPr>
          <w:i/>
          <w:spacing w:val="-2"/>
          <w:lang w:val="fr-FR"/>
        </w:rPr>
        <w:t>Union concerné</w:t>
      </w:r>
      <w:r w:rsidR="00326251" w:rsidRPr="00963288">
        <w:rPr>
          <w:i/>
          <w:spacing w:val="-2"/>
          <w:lang w:val="fr-FR"/>
        </w:rPr>
        <w:t>s</w:t>
      </w:r>
      <w:r w:rsidR="00326251">
        <w:rPr>
          <w:i/>
          <w:spacing w:val="-2"/>
          <w:lang w:val="fr-FR"/>
        </w:rPr>
        <w:t>”</w:t>
      </w:r>
      <w:r w:rsidRPr="00963288">
        <w:rPr>
          <w:i/>
          <w:spacing w:val="-2"/>
          <w:lang w:val="fr-FR"/>
        </w:rPr>
        <w:t xml:space="preserve"> comme faisant partie intégrante des propositions </w:t>
      </w:r>
      <w:r w:rsidR="00963288" w:rsidRPr="00963288">
        <w:rPr>
          <w:i/>
          <w:spacing w:val="-2"/>
          <w:lang w:val="fr-FR"/>
        </w:rPr>
        <w:t>et éventuels</w:t>
      </w:r>
      <w:r w:rsidRPr="00963288">
        <w:rPr>
          <w:i/>
          <w:spacing w:val="-2"/>
          <w:lang w:val="fr-FR"/>
        </w:rPr>
        <w:t xml:space="preserve"> travaux futurs qu</w:t>
      </w:r>
      <w:r w:rsidR="00326251">
        <w:rPr>
          <w:i/>
          <w:spacing w:val="-2"/>
          <w:lang w:val="fr-FR"/>
        </w:rPr>
        <w:t>’</w:t>
      </w:r>
      <w:r w:rsidRPr="00963288">
        <w:rPr>
          <w:i/>
          <w:spacing w:val="-2"/>
          <w:lang w:val="fr-FR"/>
        </w:rPr>
        <w:t xml:space="preserve">il est invité à examiner au titre </w:t>
      </w:r>
      <w:r w:rsidR="00BF7159">
        <w:rPr>
          <w:i/>
          <w:spacing w:val="-2"/>
          <w:lang w:val="fr-FR"/>
        </w:rPr>
        <w:t>du document </w:t>
      </w:r>
      <w:r w:rsidRPr="00963288">
        <w:rPr>
          <w:i/>
          <w:spacing w:val="-2"/>
          <w:lang w:val="fr-FR"/>
        </w:rPr>
        <w:t>CAJ/78/9.</w:t>
      </w:r>
    </w:p>
    <w:p w:rsidR="00DB045D" w:rsidRDefault="00DB045D" w:rsidP="00050E16">
      <w:pPr>
        <w:rPr>
          <w:lang w:val="fr-FR"/>
        </w:rPr>
      </w:pPr>
    </w:p>
    <w:p w:rsidR="00BF7159" w:rsidRDefault="00BF7159" w:rsidP="00050E16">
      <w:pPr>
        <w:rPr>
          <w:lang w:val="fr-FR"/>
        </w:rPr>
      </w:pPr>
    </w:p>
    <w:p w:rsidR="00BF7159" w:rsidRPr="00151379" w:rsidRDefault="00BF7159" w:rsidP="00BF7159">
      <w:pPr>
        <w:jc w:val="right"/>
      </w:pPr>
      <w:r w:rsidRPr="00151379">
        <w:t>[Fin du document]</w:t>
      </w:r>
    </w:p>
    <w:p w:rsidR="00BF7159" w:rsidRPr="00963288" w:rsidRDefault="00BF7159" w:rsidP="00050E16">
      <w:pPr>
        <w:rPr>
          <w:lang w:val="fr-FR"/>
        </w:rPr>
      </w:pPr>
    </w:p>
    <w:sectPr w:rsidR="00BF7159" w:rsidRPr="00963288" w:rsidSect="00AA6628">
      <w:headerReference w:type="even" r:id="rId9"/>
      <w:headerReference w:type="default" r:id="rId10"/>
      <w:pgSz w:w="11907" w:h="16840" w:code="9"/>
      <w:pgMar w:top="510" w:right="1134" w:bottom="1080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71" w:rsidRDefault="00234371" w:rsidP="006655D3">
      <w:r>
        <w:separator/>
      </w:r>
    </w:p>
    <w:p w:rsidR="00234371" w:rsidRDefault="00234371" w:rsidP="006655D3"/>
    <w:p w:rsidR="00234371" w:rsidRDefault="00234371" w:rsidP="006655D3"/>
  </w:endnote>
  <w:endnote w:type="continuationSeparator" w:id="0">
    <w:p w:rsidR="00234371" w:rsidRDefault="00234371" w:rsidP="006655D3">
      <w:r>
        <w:separator/>
      </w:r>
    </w:p>
    <w:p w:rsidR="00234371" w:rsidRPr="00294751" w:rsidRDefault="0023437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34371" w:rsidRPr="00294751" w:rsidRDefault="00234371" w:rsidP="006655D3">
      <w:pPr>
        <w:rPr>
          <w:lang w:val="fr-FR"/>
        </w:rPr>
      </w:pPr>
    </w:p>
    <w:p w:rsidR="00234371" w:rsidRPr="00294751" w:rsidRDefault="00234371" w:rsidP="006655D3">
      <w:pPr>
        <w:rPr>
          <w:lang w:val="fr-FR"/>
        </w:rPr>
      </w:pPr>
    </w:p>
  </w:endnote>
  <w:endnote w:type="continuationNotice" w:id="1">
    <w:p w:rsidR="00234371" w:rsidRPr="00294751" w:rsidRDefault="0023437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34371" w:rsidRPr="00294751" w:rsidRDefault="00234371" w:rsidP="006655D3">
      <w:pPr>
        <w:rPr>
          <w:lang w:val="fr-FR"/>
        </w:rPr>
      </w:pPr>
    </w:p>
    <w:p w:rsidR="00234371" w:rsidRPr="00294751" w:rsidRDefault="0023437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71" w:rsidRDefault="00234371" w:rsidP="006655D3">
      <w:r>
        <w:separator/>
      </w:r>
    </w:p>
  </w:footnote>
  <w:footnote w:type="continuationSeparator" w:id="0">
    <w:p w:rsidR="00234371" w:rsidRDefault="00234371" w:rsidP="006655D3">
      <w:r>
        <w:separator/>
      </w:r>
    </w:p>
  </w:footnote>
  <w:footnote w:type="continuationNotice" w:id="1">
    <w:p w:rsidR="00234371" w:rsidRPr="00AB530F" w:rsidRDefault="00234371" w:rsidP="00AB530F">
      <w:pPr>
        <w:pStyle w:val="Footer"/>
      </w:pPr>
    </w:p>
  </w:footnote>
  <w:footnote w:id="2">
    <w:p w:rsidR="00ED1744" w:rsidRPr="00ED1744" w:rsidRDefault="00ED1744" w:rsidP="00F2069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ED1744">
        <w:rPr>
          <w:lang w:val="fr-CH"/>
        </w:rPr>
        <w:t xml:space="preserve"> </w:t>
      </w:r>
      <w:r w:rsidR="00F2069C">
        <w:rPr>
          <w:lang w:val="fr-CH"/>
        </w:rPr>
        <w:tab/>
      </w:r>
      <w:r w:rsidRPr="00036CCF">
        <w:rPr>
          <w:lang w:val="fr-CH"/>
        </w:rPr>
        <w:t>Tenue par voie électronique les 26 et 2</w:t>
      </w:r>
      <w:r w:rsidR="0064164A" w:rsidRPr="00036CCF">
        <w:rPr>
          <w:lang w:val="fr-CH"/>
        </w:rPr>
        <w:t>7</w:t>
      </w:r>
      <w:r w:rsidR="0064164A">
        <w:rPr>
          <w:lang w:val="fr-CH"/>
        </w:rPr>
        <w:t> </w:t>
      </w:r>
      <w:r w:rsidR="0064164A" w:rsidRPr="00036CCF">
        <w:rPr>
          <w:lang w:val="fr-CH"/>
        </w:rPr>
        <w:t>octobre</w:t>
      </w:r>
      <w:r w:rsidR="0064164A">
        <w:rPr>
          <w:lang w:val="fr-CH"/>
        </w:rPr>
        <w:t> </w:t>
      </w:r>
      <w:r w:rsidR="0064164A" w:rsidRPr="00036CCF">
        <w:rPr>
          <w:lang w:val="fr-CH"/>
        </w:rPr>
        <w:t>20</w:t>
      </w:r>
      <w:r w:rsidRPr="00036CCF">
        <w:rPr>
          <w:lang w:val="fr-CH"/>
        </w:rPr>
        <w:t>20.</w:t>
      </w:r>
    </w:p>
  </w:footnote>
  <w:footnote w:id="3">
    <w:p w:rsidR="00052BB7" w:rsidRPr="00151379" w:rsidRDefault="00052BB7" w:rsidP="00F2069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6D4CC8">
        <w:rPr>
          <w:lang w:val="fr-CH"/>
        </w:rPr>
        <w:t xml:space="preserve"> </w:t>
      </w:r>
      <w:r w:rsidR="00F2069C">
        <w:rPr>
          <w:lang w:val="fr-CH"/>
        </w:rPr>
        <w:tab/>
      </w:r>
      <w:r w:rsidRPr="00151379">
        <w:rPr>
          <w:lang w:val="fr-CH"/>
        </w:rPr>
        <w:t>Tenue à Genève le 2</w:t>
      </w:r>
      <w:r w:rsidR="0064164A" w:rsidRPr="00151379">
        <w:rPr>
          <w:lang w:val="fr-CH"/>
        </w:rPr>
        <w:t>8</w:t>
      </w:r>
      <w:r w:rsidR="0064164A">
        <w:rPr>
          <w:lang w:val="fr-CH"/>
        </w:rPr>
        <w:t> </w:t>
      </w:r>
      <w:r w:rsidR="0064164A" w:rsidRPr="00151379">
        <w:rPr>
          <w:lang w:val="fr-CH"/>
        </w:rPr>
        <w:t>octobre</w:t>
      </w:r>
      <w:r w:rsidR="0064164A">
        <w:rPr>
          <w:lang w:val="fr-CH"/>
        </w:rPr>
        <w:t> </w:t>
      </w:r>
      <w:r w:rsidR="0064164A" w:rsidRPr="00151379">
        <w:rPr>
          <w:lang w:val="fr-CH"/>
        </w:rPr>
        <w:t>20</w:t>
      </w:r>
      <w:r w:rsidRPr="00151379">
        <w:rPr>
          <w:lang w:val="fr-CH"/>
        </w:rPr>
        <w:t>20 par voie électronique.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28" w:rsidRPr="00C5280D" w:rsidRDefault="00AA6628" w:rsidP="00AA662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CAJ/78/10</w:t>
    </w:r>
  </w:p>
  <w:p w:rsidR="00AA6628" w:rsidRPr="00C5280D" w:rsidRDefault="00AA6628" w:rsidP="00AA6628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F715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A6628" w:rsidRPr="00C5280D" w:rsidRDefault="00AA6628" w:rsidP="00AA66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C" w:rsidRPr="00C5280D" w:rsidRDefault="0054347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CAJ/78/10</w:t>
    </w:r>
  </w:p>
  <w:p w:rsidR="0054347C" w:rsidRPr="00C5280D" w:rsidRDefault="0054347C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422AD7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F715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54347C" w:rsidRPr="00C5280D" w:rsidRDefault="0054347C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C07"/>
    <w:multiLevelType w:val="hybridMultilevel"/>
    <w:tmpl w:val="490E3582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538784E"/>
    <w:multiLevelType w:val="hybridMultilevel"/>
    <w:tmpl w:val="D3B0806A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2D166C83"/>
    <w:multiLevelType w:val="hybridMultilevel"/>
    <w:tmpl w:val="22EAE1DC"/>
    <w:lvl w:ilvl="0" w:tplc="727A4694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|TextBase TMs\WorkspaceFTS\Treaties &amp; Laws\WIPO Lex|TextBase TMs\WorkspaceFTS\Treaties &amp; Laws\WIPO Treaties|TextBase TMs\WorkspaceFTS\Outreach\Academy|TextBase TMs\WorkspaceFTS\Outreach\ACE|TextBase TMs\WorkspaceFTS\Outreach\Communications|TextBase TMs\WorkspaceFTS\Outreach\Outreach|TextBase TMs\WorkspaceFTS\Outreach\Publications|TextBase TMs\WorkspaceFTS\Ad-hoc\Glossair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4D330A"/>
    <w:rsid w:val="00010CF3"/>
    <w:rsid w:val="00011E27"/>
    <w:rsid w:val="000148BC"/>
    <w:rsid w:val="00015E08"/>
    <w:rsid w:val="0001626A"/>
    <w:rsid w:val="00024AB8"/>
    <w:rsid w:val="00030854"/>
    <w:rsid w:val="00036028"/>
    <w:rsid w:val="00036CCF"/>
    <w:rsid w:val="0004198B"/>
    <w:rsid w:val="00044642"/>
    <w:rsid w:val="000446B9"/>
    <w:rsid w:val="00047E21"/>
    <w:rsid w:val="00050E16"/>
    <w:rsid w:val="00052BB7"/>
    <w:rsid w:val="00085505"/>
    <w:rsid w:val="000C4E25"/>
    <w:rsid w:val="000C7021"/>
    <w:rsid w:val="000D6BBC"/>
    <w:rsid w:val="000D7780"/>
    <w:rsid w:val="000E005A"/>
    <w:rsid w:val="000E636A"/>
    <w:rsid w:val="000F2F11"/>
    <w:rsid w:val="00100A5F"/>
    <w:rsid w:val="00105929"/>
    <w:rsid w:val="00110BED"/>
    <w:rsid w:val="00110C36"/>
    <w:rsid w:val="001131D5"/>
    <w:rsid w:val="00114547"/>
    <w:rsid w:val="001237A4"/>
    <w:rsid w:val="00141DB8"/>
    <w:rsid w:val="0014736E"/>
    <w:rsid w:val="00151379"/>
    <w:rsid w:val="00166B32"/>
    <w:rsid w:val="00172084"/>
    <w:rsid w:val="0017474A"/>
    <w:rsid w:val="001758C6"/>
    <w:rsid w:val="00182B99"/>
    <w:rsid w:val="001C1525"/>
    <w:rsid w:val="0021332C"/>
    <w:rsid w:val="00213982"/>
    <w:rsid w:val="00234371"/>
    <w:rsid w:val="0024416D"/>
    <w:rsid w:val="00265496"/>
    <w:rsid w:val="00271911"/>
    <w:rsid w:val="00273187"/>
    <w:rsid w:val="002800A0"/>
    <w:rsid w:val="002801B3"/>
    <w:rsid w:val="00280C80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2F3084"/>
    <w:rsid w:val="002F679B"/>
    <w:rsid w:val="00305A7F"/>
    <w:rsid w:val="003152FE"/>
    <w:rsid w:val="003261FD"/>
    <w:rsid w:val="00326251"/>
    <w:rsid w:val="00327436"/>
    <w:rsid w:val="00333D36"/>
    <w:rsid w:val="00344BD6"/>
    <w:rsid w:val="00354F00"/>
    <w:rsid w:val="0035528D"/>
    <w:rsid w:val="00361821"/>
    <w:rsid w:val="00361E9E"/>
    <w:rsid w:val="003753EE"/>
    <w:rsid w:val="00376017"/>
    <w:rsid w:val="003A0835"/>
    <w:rsid w:val="003A5AAF"/>
    <w:rsid w:val="003B700A"/>
    <w:rsid w:val="003C7FBE"/>
    <w:rsid w:val="003D227C"/>
    <w:rsid w:val="003D2B4D"/>
    <w:rsid w:val="003F37F5"/>
    <w:rsid w:val="00422AD7"/>
    <w:rsid w:val="00444A88"/>
    <w:rsid w:val="00474DA4"/>
    <w:rsid w:val="00476B4D"/>
    <w:rsid w:val="004805FA"/>
    <w:rsid w:val="004935D2"/>
    <w:rsid w:val="004B1215"/>
    <w:rsid w:val="004C703D"/>
    <w:rsid w:val="004D047D"/>
    <w:rsid w:val="004D330A"/>
    <w:rsid w:val="004F1C47"/>
    <w:rsid w:val="004F1E9E"/>
    <w:rsid w:val="004F305A"/>
    <w:rsid w:val="004F79F3"/>
    <w:rsid w:val="00512164"/>
    <w:rsid w:val="005160B0"/>
    <w:rsid w:val="00520297"/>
    <w:rsid w:val="005338F9"/>
    <w:rsid w:val="0054281C"/>
    <w:rsid w:val="0054347C"/>
    <w:rsid w:val="00544581"/>
    <w:rsid w:val="0055268D"/>
    <w:rsid w:val="00560737"/>
    <w:rsid w:val="0056083A"/>
    <w:rsid w:val="00575DE2"/>
    <w:rsid w:val="00576BE4"/>
    <w:rsid w:val="005779DB"/>
    <w:rsid w:val="005A400A"/>
    <w:rsid w:val="005B269D"/>
    <w:rsid w:val="005E5B90"/>
    <w:rsid w:val="005F7B92"/>
    <w:rsid w:val="00612379"/>
    <w:rsid w:val="006153B6"/>
    <w:rsid w:val="0061555F"/>
    <w:rsid w:val="006245ED"/>
    <w:rsid w:val="00636CA6"/>
    <w:rsid w:val="00641200"/>
    <w:rsid w:val="0064164A"/>
    <w:rsid w:val="00645CA8"/>
    <w:rsid w:val="006655D3"/>
    <w:rsid w:val="00667404"/>
    <w:rsid w:val="00687EB4"/>
    <w:rsid w:val="00695C56"/>
    <w:rsid w:val="006A5CDE"/>
    <w:rsid w:val="006A644A"/>
    <w:rsid w:val="006B17D2"/>
    <w:rsid w:val="006C1AAE"/>
    <w:rsid w:val="006C224E"/>
    <w:rsid w:val="006D34F5"/>
    <w:rsid w:val="006D4CC8"/>
    <w:rsid w:val="006D780A"/>
    <w:rsid w:val="006E790B"/>
    <w:rsid w:val="0071271E"/>
    <w:rsid w:val="00732DEC"/>
    <w:rsid w:val="00735BD5"/>
    <w:rsid w:val="007451EC"/>
    <w:rsid w:val="00751613"/>
    <w:rsid w:val="00753040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273D"/>
    <w:rsid w:val="0080679D"/>
    <w:rsid w:val="008108B0"/>
    <w:rsid w:val="00811B20"/>
    <w:rsid w:val="00812609"/>
    <w:rsid w:val="008211B5"/>
    <w:rsid w:val="0082296E"/>
    <w:rsid w:val="00824099"/>
    <w:rsid w:val="008425A9"/>
    <w:rsid w:val="00846D7C"/>
    <w:rsid w:val="008655E7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16F2E"/>
    <w:rsid w:val="00934E09"/>
    <w:rsid w:val="00936253"/>
    <w:rsid w:val="00940D46"/>
    <w:rsid w:val="009413F1"/>
    <w:rsid w:val="00952DD4"/>
    <w:rsid w:val="009561F4"/>
    <w:rsid w:val="00963288"/>
    <w:rsid w:val="00965AE7"/>
    <w:rsid w:val="00970FED"/>
    <w:rsid w:val="00992D82"/>
    <w:rsid w:val="00997029"/>
    <w:rsid w:val="009A7339"/>
    <w:rsid w:val="009B440E"/>
    <w:rsid w:val="009D690D"/>
    <w:rsid w:val="009E65B6"/>
    <w:rsid w:val="009E6E71"/>
    <w:rsid w:val="009F0A51"/>
    <w:rsid w:val="009F77CF"/>
    <w:rsid w:val="00A06E96"/>
    <w:rsid w:val="00A24C10"/>
    <w:rsid w:val="00A42AC3"/>
    <w:rsid w:val="00A430CF"/>
    <w:rsid w:val="00A54309"/>
    <w:rsid w:val="00A55E85"/>
    <w:rsid w:val="00A610A9"/>
    <w:rsid w:val="00A77080"/>
    <w:rsid w:val="00A80F2A"/>
    <w:rsid w:val="00A96C33"/>
    <w:rsid w:val="00AA6628"/>
    <w:rsid w:val="00AB2B93"/>
    <w:rsid w:val="00AB530F"/>
    <w:rsid w:val="00AB7E5B"/>
    <w:rsid w:val="00AC2883"/>
    <w:rsid w:val="00AC414C"/>
    <w:rsid w:val="00AE0EF1"/>
    <w:rsid w:val="00AE2937"/>
    <w:rsid w:val="00B07301"/>
    <w:rsid w:val="00B11F3E"/>
    <w:rsid w:val="00B224DE"/>
    <w:rsid w:val="00B324D4"/>
    <w:rsid w:val="00B45869"/>
    <w:rsid w:val="00B46575"/>
    <w:rsid w:val="00B61777"/>
    <w:rsid w:val="00B622E6"/>
    <w:rsid w:val="00B62352"/>
    <w:rsid w:val="00B83E82"/>
    <w:rsid w:val="00B84BBD"/>
    <w:rsid w:val="00B87DEC"/>
    <w:rsid w:val="00BA43FB"/>
    <w:rsid w:val="00BC127D"/>
    <w:rsid w:val="00BC1FE6"/>
    <w:rsid w:val="00BF7159"/>
    <w:rsid w:val="00C061B6"/>
    <w:rsid w:val="00C2446C"/>
    <w:rsid w:val="00C32BB0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2D2"/>
    <w:rsid w:val="00CA304C"/>
    <w:rsid w:val="00CA4B58"/>
    <w:rsid w:val="00CA774A"/>
    <w:rsid w:val="00CB4921"/>
    <w:rsid w:val="00CB5BF1"/>
    <w:rsid w:val="00CC11B0"/>
    <w:rsid w:val="00CC2841"/>
    <w:rsid w:val="00CD38D1"/>
    <w:rsid w:val="00CF1330"/>
    <w:rsid w:val="00CF2D13"/>
    <w:rsid w:val="00CF7E36"/>
    <w:rsid w:val="00D36A78"/>
    <w:rsid w:val="00D3708D"/>
    <w:rsid w:val="00D40426"/>
    <w:rsid w:val="00D404A7"/>
    <w:rsid w:val="00D57C96"/>
    <w:rsid w:val="00D57D18"/>
    <w:rsid w:val="00D70E65"/>
    <w:rsid w:val="00D76356"/>
    <w:rsid w:val="00D91203"/>
    <w:rsid w:val="00D95174"/>
    <w:rsid w:val="00D96D93"/>
    <w:rsid w:val="00DA4973"/>
    <w:rsid w:val="00DA6F36"/>
    <w:rsid w:val="00DB045D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56621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49C1"/>
    <w:rsid w:val="00ED1744"/>
    <w:rsid w:val="00ED6903"/>
    <w:rsid w:val="00EE34DF"/>
    <w:rsid w:val="00EF2F89"/>
    <w:rsid w:val="00F03E98"/>
    <w:rsid w:val="00F06E56"/>
    <w:rsid w:val="00F1237A"/>
    <w:rsid w:val="00F2069C"/>
    <w:rsid w:val="00F22CBD"/>
    <w:rsid w:val="00F272F1"/>
    <w:rsid w:val="00F31412"/>
    <w:rsid w:val="00F45372"/>
    <w:rsid w:val="00F560F7"/>
    <w:rsid w:val="00F6334D"/>
    <w:rsid w:val="00F63599"/>
    <w:rsid w:val="00F71781"/>
    <w:rsid w:val="00F73D71"/>
    <w:rsid w:val="00FA49AB"/>
    <w:rsid w:val="00FC3DBF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751D9B6"/>
  <w15:docId w15:val="{FB9EE9C9-BDA8-434B-81E4-BD65E5A3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2069C"/>
    <w:pPr>
      <w:tabs>
        <w:tab w:val="left" w:pos="1134"/>
      </w:tabs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55E85"/>
    <w:pPr>
      <w:tabs>
        <w:tab w:val="right" w:leader="dot" w:pos="9639"/>
      </w:tabs>
      <w:spacing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rsid w:val="004F79F3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F2069C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5E5B90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B4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2449-5791-46B2-89A8-33845E90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1088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CAJ/78/10</vt:lpstr>
    </vt:vector>
  </TitlesOfParts>
  <Company>UPOV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CAJ/78/10</dc:title>
  <dc:creator>SANCHEZ VIZCAINO GOMEZ Rosa Maria</dc:creator>
  <cp:keywords>FOR OFFICIAL USE ONLY</cp:keywords>
  <cp:lastModifiedBy>SANTOS Carla Marina</cp:lastModifiedBy>
  <cp:revision>13</cp:revision>
  <cp:lastPrinted>2016-11-22T15:41:00Z</cp:lastPrinted>
  <dcterms:created xsi:type="dcterms:W3CDTF">2021-09-16T11:48:00Z</dcterms:created>
  <dcterms:modified xsi:type="dcterms:W3CDTF">2021-09-17T10:58:00Z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585e9e0d-521f-4809-94a2-71dc97c21dbb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