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99"/>
        <w:gridCol w:w="3154"/>
      </w:tblGrid>
      <w:tr w:rsidR="00270E3C" w:rsidRPr="00745FBE" w:rsidTr="00385CBA">
        <w:tc>
          <w:tcPr>
            <w:tcW w:w="6522" w:type="dxa"/>
          </w:tcPr>
          <w:p w:rsidR="00270E3C" w:rsidRPr="00745FBE" w:rsidRDefault="00270E3C" w:rsidP="00385CBA">
            <w:pPr>
              <w:rPr>
                <w:lang w:val="fr-CH"/>
              </w:rPr>
            </w:pPr>
            <w:r w:rsidRPr="00745FBE">
              <w:rPr>
                <w:noProof/>
              </w:rPr>
              <w:drawing>
                <wp:inline distT="0" distB="0" distL="0" distR="0" wp14:anchorId="57EC2DA1" wp14:editId="1A9F4E62">
                  <wp:extent cx="952031" cy="244054"/>
                  <wp:effectExtent l="0" t="0" r="635" b="381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70E3C" w:rsidRPr="00745FBE" w:rsidRDefault="00270E3C" w:rsidP="00385CBA">
            <w:pPr>
              <w:pStyle w:val="Lettrine"/>
              <w:rPr>
                <w:lang w:val="fr-CH"/>
              </w:rPr>
            </w:pPr>
            <w:r w:rsidRPr="00745FBE">
              <w:rPr>
                <w:lang w:val="fr-CH"/>
              </w:rPr>
              <w:t>F</w:t>
            </w:r>
          </w:p>
        </w:tc>
      </w:tr>
      <w:tr w:rsidR="00270E3C" w:rsidRPr="00ED146B" w:rsidTr="00385CBA">
        <w:trPr>
          <w:trHeight w:val="219"/>
        </w:trPr>
        <w:tc>
          <w:tcPr>
            <w:tcW w:w="6522" w:type="dxa"/>
          </w:tcPr>
          <w:p w:rsidR="00270E3C" w:rsidRPr="00745FBE" w:rsidRDefault="00270E3C" w:rsidP="00385CBA">
            <w:pPr>
              <w:pStyle w:val="upove"/>
              <w:rPr>
                <w:lang w:val="fr-CH"/>
              </w:rPr>
            </w:pPr>
            <w:r w:rsidRPr="00745FBE">
              <w:rPr>
                <w:lang w:val="fr-CH"/>
              </w:rPr>
              <w:t>Union internationale pour la protection des obtentions végétales</w:t>
            </w:r>
          </w:p>
        </w:tc>
        <w:tc>
          <w:tcPr>
            <w:tcW w:w="3117" w:type="dxa"/>
          </w:tcPr>
          <w:p w:rsidR="00270E3C" w:rsidRPr="00745FBE" w:rsidRDefault="00270E3C" w:rsidP="00385CBA">
            <w:pPr>
              <w:rPr>
                <w:lang w:val="fr-CH"/>
              </w:rPr>
            </w:pPr>
          </w:p>
        </w:tc>
      </w:tr>
    </w:tbl>
    <w:p w:rsidR="00797CB8" w:rsidRPr="00745FBE" w:rsidRDefault="00797CB8" w:rsidP="00270E3C">
      <w:pPr>
        <w:rPr>
          <w:lang w:val="fr-CH"/>
        </w:rPr>
      </w:pPr>
    </w:p>
    <w:p w:rsidR="00270E3C" w:rsidRPr="00745FBE" w:rsidRDefault="00270E3C" w:rsidP="00270E3C">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89"/>
        <w:gridCol w:w="3164"/>
      </w:tblGrid>
      <w:tr w:rsidR="00270E3C" w:rsidRPr="009B26EF" w:rsidTr="00385CBA">
        <w:tc>
          <w:tcPr>
            <w:tcW w:w="6512" w:type="dxa"/>
          </w:tcPr>
          <w:p w:rsidR="00270E3C" w:rsidRPr="00745FBE" w:rsidRDefault="00270E3C" w:rsidP="00385CBA">
            <w:pPr>
              <w:rPr>
                <w:b/>
                <w:sz w:val="18"/>
                <w:lang w:val="fr-CH"/>
              </w:rPr>
            </w:pPr>
          </w:p>
        </w:tc>
        <w:tc>
          <w:tcPr>
            <w:tcW w:w="3127" w:type="dxa"/>
          </w:tcPr>
          <w:p w:rsidR="00797CB8" w:rsidRPr="00440663" w:rsidRDefault="00270E3C" w:rsidP="00385CBA">
            <w:pPr>
              <w:pStyle w:val="Doccode"/>
              <w:rPr>
                <w:lang w:val="de-CH"/>
              </w:rPr>
            </w:pPr>
            <w:r w:rsidRPr="00440663">
              <w:rPr>
                <w:u w:val="single"/>
                <w:shd w:val="pct15" w:color="auto" w:fill="FFFFFF"/>
                <w:lang w:val="de-CH"/>
              </w:rPr>
              <w:t>UPOV/EXN/DEN/1 Draft 3</w:t>
            </w:r>
          </w:p>
          <w:p w:rsidR="00797CB8" w:rsidRPr="00440663" w:rsidRDefault="00270E3C" w:rsidP="00385CBA">
            <w:pPr>
              <w:pStyle w:val="Docoriginal"/>
              <w:rPr>
                <w:lang w:val="de-CH"/>
              </w:rPr>
            </w:pPr>
            <w:r w:rsidRPr="00440663">
              <w:rPr>
                <w:lang w:val="de-CH"/>
              </w:rPr>
              <w:t>Original</w:t>
            </w:r>
            <w:r w:rsidR="009B26EF" w:rsidRPr="00440663">
              <w:rPr>
                <w:lang w:val="de-CH"/>
              </w:rPr>
              <w:t> :</w:t>
            </w:r>
            <w:r w:rsidRPr="00440663">
              <w:rPr>
                <w:b w:val="0"/>
                <w:spacing w:val="0"/>
                <w:lang w:val="de-CH"/>
              </w:rPr>
              <w:t xml:space="preserve"> anglais</w:t>
            </w:r>
          </w:p>
          <w:p w:rsidR="00270E3C" w:rsidRPr="00745FBE" w:rsidRDefault="00270E3C" w:rsidP="00633C99">
            <w:pPr>
              <w:pStyle w:val="Docoriginal"/>
              <w:rPr>
                <w:b w:val="0"/>
                <w:spacing w:val="0"/>
                <w:highlight w:val="yellow"/>
                <w:lang w:val="fr-CH"/>
              </w:rPr>
            </w:pPr>
            <w:r w:rsidRPr="00745FBE">
              <w:rPr>
                <w:lang w:val="fr-CH"/>
              </w:rPr>
              <w:t>Date</w:t>
            </w:r>
            <w:r w:rsidR="009B26EF">
              <w:rPr>
                <w:lang w:val="fr-CH"/>
              </w:rPr>
              <w:t> :</w:t>
            </w:r>
            <w:r w:rsidRPr="00745FBE">
              <w:rPr>
                <w:b w:val="0"/>
                <w:spacing w:val="0"/>
                <w:lang w:val="fr-CH"/>
              </w:rPr>
              <w:t xml:space="preserve"> </w:t>
            </w:r>
            <w:r w:rsidR="00633C99" w:rsidRPr="00ED146B">
              <w:rPr>
                <w:b w:val="0"/>
                <w:spacing w:val="0"/>
                <w:lang w:val="fr-CH"/>
              </w:rPr>
              <w:t>3 avril</w:t>
            </w:r>
            <w:r w:rsidRPr="00ED146B">
              <w:rPr>
                <w:b w:val="0"/>
                <w:spacing w:val="0"/>
                <w:lang w:val="fr-CH"/>
              </w:rPr>
              <w:t> </w:t>
            </w:r>
            <w:r w:rsidR="00745FBE" w:rsidRPr="00ED146B">
              <w:rPr>
                <w:b w:val="0"/>
                <w:spacing w:val="0"/>
                <w:lang w:val="fr-CH"/>
              </w:rPr>
              <w:t>2020</w:t>
            </w:r>
          </w:p>
        </w:tc>
      </w:tr>
    </w:tbl>
    <w:p w:rsidR="00797CB8" w:rsidRPr="00745FBE" w:rsidRDefault="00797CB8" w:rsidP="00270E3C">
      <w:pPr>
        <w:rPr>
          <w:lang w:val="fr-CH"/>
        </w:rPr>
      </w:pPr>
      <w:bookmarkStart w:id="0" w:name="TitleOfDoc"/>
      <w:bookmarkEnd w:id="0"/>
    </w:p>
    <w:p w:rsidR="00270E3C" w:rsidRPr="00745FBE" w:rsidRDefault="00270E3C" w:rsidP="00270E3C">
      <w:pPr>
        <w:rPr>
          <w:lang w:val="fr-CH"/>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743"/>
      </w:tblGrid>
      <w:tr w:rsidR="00270E3C" w:rsidRPr="00745FBE" w:rsidTr="00385CBA">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97CB8" w:rsidRPr="00745FBE" w:rsidRDefault="00270E3C" w:rsidP="00385CBA">
            <w:pPr>
              <w:jc w:val="center"/>
              <w:rPr>
                <w:b/>
                <w:lang w:val="fr-CH"/>
              </w:rPr>
            </w:pPr>
            <w:r w:rsidRPr="00745FBE">
              <w:rPr>
                <w:b/>
                <w:lang w:val="fr-CH"/>
              </w:rPr>
              <w:t>PROJET</w:t>
            </w:r>
          </w:p>
          <w:p w:rsidR="00270E3C" w:rsidRPr="00745FBE" w:rsidRDefault="00270E3C" w:rsidP="00385CBA">
            <w:pPr>
              <w:jc w:val="center"/>
              <w:rPr>
                <w:b/>
                <w:lang w:val="fr-CH"/>
              </w:rPr>
            </w:pPr>
            <w:r w:rsidRPr="00745FBE">
              <w:rPr>
                <w:b/>
                <w:lang w:val="fr-CH"/>
              </w:rPr>
              <w:t>(</w:t>
            </w:r>
            <w:r w:rsidR="009E3FEF" w:rsidRPr="00745FBE">
              <w:rPr>
                <w:b/>
                <w:lang w:val="fr-CH"/>
              </w:rPr>
              <w:t>Révision</w:t>
            </w:r>
            <w:r w:rsidRPr="00745FBE">
              <w:rPr>
                <w:b/>
                <w:lang w:val="fr-CH"/>
              </w:rPr>
              <w:t>)</w:t>
            </w:r>
          </w:p>
        </w:tc>
      </w:tr>
    </w:tbl>
    <w:p w:rsidR="00797CB8" w:rsidRPr="00745FBE" w:rsidRDefault="00270E3C" w:rsidP="00270E3C">
      <w:pPr>
        <w:pStyle w:val="Titleofdoc0"/>
        <w:rPr>
          <w:lang w:val="fr-CH"/>
        </w:rPr>
      </w:pPr>
      <w:r w:rsidRPr="00745FBE">
        <w:rPr>
          <w:lang w:val="fr-CH"/>
        </w:rPr>
        <w:t xml:space="preserve">Notes explicatives concernant les dénominations variétales </w:t>
      </w:r>
      <w:r w:rsidR="0033324D">
        <w:rPr>
          <w:lang w:val="fr-CH"/>
        </w:rPr>
        <w:br/>
      </w:r>
      <w:r w:rsidRPr="00745FBE">
        <w:rPr>
          <w:lang w:val="fr-CH"/>
        </w:rPr>
        <w:t xml:space="preserve">en vertu de la </w:t>
      </w:r>
      <w:r w:rsidR="009B26EF">
        <w:rPr>
          <w:lang w:val="fr-CH"/>
        </w:rPr>
        <w:t>Convention UPOV</w:t>
      </w:r>
    </w:p>
    <w:p w:rsidR="00797CB8" w:rsidRPr="00745FBE" w:rsidRDefault="00270E3C" w:rsidP="0033324D">
      <w:pPr>
        <w:pStyle w:val="preparedby1"/>
        <w:spacing w:after="0"/>
        <w:jc w:val="left"/>
        <w:rPr>
          <w:lang w:val="fr-CH"/>
        </w:rPr>
      </w:pPr>
      <w:bookmarkStart w:id="1" w:name="Prepared"/>
      <w:bookmarkEnd w:id="1"/>
      <w:r w:rsidRPr="00745FBE">
        <w:rPr>
          <w:lang w:val="fr-CH"/>
        </w:rPr>
        <w:t>Document établi par le Bureau de l</w:t>
      </w:r>
      <w:r w:rsidR="009B26EF">
        <w:rPr>
          <w:lang w:val="fr-CH"/>
        </w:rPr>
        <w:t>’</w:t>
      </w:r>
      <w:r w:rsidRPr="00745FBE">
        <w:rPr>
          <w:lang w:val="fr-CH"/>
        </w:rPr>
        <w:t>Union</w:t>
      </w:r>
    </w:p>
    <w:p w:rsidR="00797CB8" w:rsidRPr="00745FBE" w:rsidRDefault="00270E3C" w:rsidP="00A53816">
      <w:pPr>
        <w:pStyle w:val="preparedby1"/>
        <w:spacing w:before="600"/>
        <w:jc w:val="left"/>
        <w:rPr>
          <w:rFonts w:cs="Arial"/>
          <w:lang w:val="fr-CH"/>
        </w:rPr>
      </w:pPr>
      <w:r w:rsidRPr="00745FBE">
        <w:rPr>
          <w:rFonts w:cs="Arial"/>
          <w:lang w:val="fr-CH"/>
        </w:rPr>
        <w:t>pour examen</w:t>
      </w:r>
      <w:r w:rsidR="00ED146B" w:rsidRPr="00745FBE">
        <w:rPr>
          <w:rFonts w:eastAsia="Times New Roman"/>
          <w:lang w:val="fr-CH"/>
        </w:rPr>
        <w:t xml:space="preserve"> par correspondance</w:t>
      </w:r>
      <w:bookmarkStart w:id="2" w:name="_GoBack"/>
      <w:bookmarkEnd w:id="2"/>
      <w:r w:rsidRPr="00745FBE">
        <w:rPr>
          <w:rFonts w:cs="Arial"/>
          <w:lang w:val="fr-CH"/>
        </w:rPr>
        <w:t xml:space="preserve"> par </w:t>
      </w:r>
      <w:r w:rsidR="00A53816">
        <w:rPr>
          <w:rFonts w:cs="Arial"/>
          <w:lang w:val="fr-CH"/>
        </w:rPr>
        <w:br/>
      </w:r>
      <w:r w:rsidR="00A53816">
        <w:rPr>
          <w:rFonts w:cs="Arial"/>
          <w:lang w:val="fr-CH"/>
        </w:rPr>
        <w:br/>
      </w:r>
      <w:r w:rsidRPr="00745FBE">
        <w:rPr>
          <w:rFonts w:eastAsia="Times New Roman"/>
          <w:lang w:val="fr-CH"/>
        </w:rPr>
        <w:t>le Comité administratif et juridique</w:t>
      </w:r>
    </w:p>
    <w:p w:rsidR="00893C7D" w:rsidRPr="00440663" w:rsidRDefault="00440663" w:rsidP="00893C7D">
      <w:pPr>
        <w:pStyle w:val="Disclaimer"/>
        <w:spacing w:after="1200"/>
        <w:rPr>
          <w:lang w:val="fr-CH"/>
        </w:rPr>
      </w:pPr>
      <w:r w:rsidRPr="00440663">
        <w:rPr>
          <w:lang w:val="fr-CH"/>
        </w:rPr>
        <w:t>Avertissement : le présent document ne représente pas les principes ou les orientations de l’UPOV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ED146B" w:rsidTr="00A804AB">
        <w:trPr>
          <w:cantSplit/>
          <w:trHeight w:val="1690"/>
          <w:jc w:val="center"/>
        </w:trPr>
        <w:tc>
          <w:tcPr>
            <w:tcW w:w="8313" w:type="dxa"/>
            <w:shd w:val="clear" w:color="auto" w:fill="F2F2F2" w:themeFill="background1" w:themeFillShade="F2"/>
          </w:tcPr>
          <w:p w:rsidR="00797CB8" w:rsidRPr="00745FBE" w:rsidRDefault="00270E3C" w:rsidP="00270E3C">
            <w:pPr>
              <w:jc w:val="center"/>
              <w:rPr>
                <w:rFonts w:cs="Arial"/>
                <w:sz w:val="18"/>
                <w:szCs w:val="18"/>
                <w:u w:val="single"/>
                <w:lang w:val="fr-CH"/>
              </w:rPr>
            </w:pPr>
            <w:r w:rsidRPr="00745FBE">
              <w:rPr>
                <w:rFonts w:cs="Arial"/>
                <w:sz w:val="18"/>
                <w:szCs w:val="18"/>
                <w:u w:val="single"/>
                <w:lang w:val="fr-CH"/>
              </w:rPr>
              <w:t>Précisions concernant cette version</w:t>
            </w:r>
          </w:p>
          <w:p w:rsidR="00797CB8" w:rsidRPr="00745FBE" w:rsidRDefault="00797CB8" w:rsidP="00270E3C">
            <w:pPr>
              <w:rPr>
                <w:rFonts w:cs="Arial"/>
                <w:sz w:val="18"/>
                <w:szCs w:val="18"/>
                <w:lang w:val="fr-CH"/>
              </w:rPr>
            </w:pPr>
          </w:p>
          <w:p w:rsidR="00797CB8" w:rsidRPr="00745FBE" w:rsidRDefault="00270E3C" w:rsidP="00270E3C">
            <w:pPr>
              <w:rPr>
                <w:rFonts w:cs="Arial"/>
                <w:sz w:val="18"/>
                <w:szCs w:val="18"/>
                <w:lang w:val="fr-CH"/>
              </w:rPr>
            </w:pPr>
            <w:r w:rsidRPr="00745FBE">
              <w:rPr>
                <w:rFonts w:cs="Arial"/>
                <w:sz w:val="18"/>
                <w:szCs w:val="18"/>
                <w:lang w:val="fr-CH"/>
              </w:rPr>
              <w:t>Les notes de bas de page seront conservées dans le document publié.</w:t>
            </w:r>
          </w:p>
          <w:p w:rsidR="00797CB8" w:rsidRPr="00745FBE" w:rsidRDefault="00797CB8" w:rsidP="00270E3C">
            <w:pPr>
              <w:rPr>
                <w:rFonts w:cs="Arial"/>
                <w:sz w:val="18"/>
                <w:szCs w:val="18"/>
                <w:lang w:val="fr-CH"/>
              </w:rPr>
            </w:pPr>
          </w:p>
          <w:p w:rsidR="00797CB8" w:rsidRPr="00745FBE" w:rsidRDefault="00270E3C" w:rsidP="00270E3C">
            <w:pPr>
              <w:rPr>
                <w:rFonts w:cs="Arial"/>
                <w:sz w:val="18"/>
                <w:szCs w:val="18"/>
                <w:lang w:val="fr-CH" w:eastAsia="ja-JP"/>
              </w:rPr>
            </w:pPr>
            <w:r w:rsidRPr="00745FBE">
              <w:rPr>
                <w:rFonts w:cs="Arial"/>
                <w:sz w:val="18"/>
                <w:szCs w:val="18"/>
                <w:highlight w:val="lightGray"/>
                <w:lang w:val="fr-CH"/>
              </w:rPr>
              <w:t>Les notes de fin de document et les encadrés en surbrillance</w:t>
            </w:r>
            <w:r w:rsidRPr="00745FBE">
              <w:rPr>
                <w:rFonts w:cs="Arial"/>
                <w:sz w:val="18"/>
                <w:szCs w:val="18"/>
                <w:lang w:val="fr-CH"/>
              </w:rPr>
              <w:t xml:space="preserve"> </w:t>
            </w:r>
            <w:r w:rsidRPr="00745FBE">
              <w:rPr>
                <w:rFonts w:cs="Arial"/>
                <w:sz w:val="18"/>
                <w:szCs w:val="18"/>
                <w:lang w:val="fr-CH" w:eastAsia="ja-JP"/>
              </w:rPr>
              <w:t>sont des explications destinées à faciliter l</w:t>
            </w:r>
            <w:r w:rsidR="009B26EF">
              <w:rPr>
                <w:rFonts w:cs="Arial"/>
                <w:sz w:val="18"/>
                <w:szCs w:val="18"/>
                <w:lang w:val="fr-CH" w:eastAsia="ja-JP"/>
              </w:rPr>
              <w:t>’</w:t>
            </w:r>
            <w:r w:rsidRPr="00745FBE">
              <w:rPr>
                <w:rFonts w:cs="Arial"/>
                <w:sz w:val="18"/>
                <w:szCs w:val="18"/>
                <w:lang w:val="fr-CH" w:eastAsia="ja-JP"/>
              </w:rPr>
              <w:t>examen de ce projet et ne figureront pas dans le document final qui sera publié</w:t>
            </w:r>
            <w:r w:rsidRPr="00745FBE">
              <w:rPr>
                <w:rFonts w:cs="Arial"/>
                <w:sz w:val="18"/>
                <w:szCs w:val="18"/>
                <w:lang w:val="fr-CH"/>
              </w:rPr>
              <w:t>.</w:t>
            </w:r>
          </w:p>
          <w:p w:rsidR="00797CB8" w:rsidRPr="00745FBE" w:rsidRDefault="00797CB8" w:rsidP="00270E3C">
            <w:pPr>
              <w:rPr>
                <w:rFonts w:cs="Arial"/>
                <w:sz w:val="18"/>
                <w:szCs w:val="18"/>
                <w:lang w:val="fr-CH" w:eastAsia="ja-JP"/>
              </w:rPr>
            </w:pPr>
          </w:p>
          <w:p w:rsidR="00797CB8" w:rsidRPr="00745FBE" w:rsidRDefault="00270E3C" w:rsidP="00270E3C">
            <w:pPr>
              <w:rPr>
                <w:rFonts w:cs="Arial"/>
                <w:spacing w:val="-2"/>
                <w:sz w:val="18"/>
                <w:szCs w:val="18"/>
                <w:lang w:val="fr-CH" w:eastAsia="ja-JP"/>
              </w:rPr>
            </w:pPr>
            <w:r w:rsidRPr="00745FBE">
              <w:rPr>
                <w:rFonts w:cs="Arial"/>
                <w:spacing w:val="-2"/>
                <w:sz w:val="18"/>
                <w:szCs w:val="18"/>
                <w:highlight w:val="lightGray"/>
                <w:lang w:val="fr-CH"/>
              </w:rPr>
              <w:t xml:space="preserve">Le texte </w:t>
            </w:r>
            <w:r w:rsidRPr="00745FBE">
              <w:rPr>
                <w:rFonts w:cs="Arial"/>
                <w:strike/>
                <w:spacing w:val="-2"/>
                <w:sz w:val="18"/>
                <w:szCs w:val="18"/>
                <w:highlight w:val="lightGray"/>
                <w:lang w:val="fr-CH"/>
              </w:rPr>
              <w:t>biffé</w:t>
            </w:r>
            <w:r w:rsidRPr="00745FBE">
              <w:rPr>
                <w:rFonts w:cs="Arial"/>
                <w:spacing w:val="-2"/>
                <w:sz w:val="18"/>
                <w:szCs w:val="18"/>
                <w:highlight w:val="lightGray"/>
                <w:lang w:val="fr-CH"/>
              </w:rPr>
              <w:t xml:space="preserve"> (surligné en gris)</w:t>
            </w:r>
            <w:r w:rsidRPr="00745FBE">
              <w:rPr>
                <w:rFonts w:cs="Arial"/>
                <w:spacing w:val="-2"/>
                <w:sz w:val="18"/>
                <w:szCs w:val="18"/>
                <w:lang w:val="fr-CH"/>
              </w:rPr>
              <w:t xml:space="preserve"> a été supprimé du texte du </w:t>
            </w:r>
            <w:r w:rsidR="009B26EF" w:rsidRPr="00745FBE">
              <w:rPr>
                <w:rFonts w:cs="Arial"/>
                <w:spacing w:val="-2"/>
                <w:sz w:val="18"/>
                <w:szCs w:val="18"/>
                <w:lang w:val="fr-CH"/>
              </w:rPr>
              <w:t>document</w:t>
            </w:r>
            <w:r w:rsidR="009B26EF">
              <w:rPr>
                <w:rFonts w:cs="Arial"/>
                <w:spacing w:val="-2"/>
                <w:sz w:val="18"/>
                <w:szCs w:val="18"/>
                <w:lang w:val="fr-CH"/>
              </w:rPr>
              <w:t xml:space="preserve"> </w:t>
            </w:r>
            <w:r w:rsidR="009B26EF" w:rsidRPr="00745FBE">
              <w:rPr>
                <w:rFonts w:cs="Arial"/>
                <w:spacing w:val="-2"/>
                <w:sz w:val="18"/>
                <w:szCs w:val="18"/>
                <w:lang w:val="fr-CH" w:eastAsia="ja-JP"/>
              </w:rPr>
              <w:t>UP</w:t>
            </w:r>
            <w:r w:rsidRPr="00745FBE">
              <w:rPr>
                <w:rFonts w:cs="Arial"/>
                <w:spacing w:val="-2"/>
                <w:sz w:val="18"/>
                <w:szCs w:val="18"/>
                <w:lang w:val="fr-CH" w:eastAsia="ja-JP"/>
              </w:rPr>
              <w:t>OV/INF/12/5 avec l</w:t>
            </w:r>
            <w:r w:rsidR="009B26EF">
              <w:rPr>
                <w:rFonts w:cs="Arial"/>
                <w:spacing w:val="-2"/>
                <w:sz w:val="18"/>
                <w:szCs w:val="18"/>
                <w:lang w:val="fr-CH" w:eastAsia="ja-JP"/>
              </w:rPr>
              <w:t>’</w:t>
            </w:r>
            <w:r w:rsidRPr="00745FBE">
              <w:rPr>
                <w:rFonts w:cs="Arial"/>
                <w:spacing w:val="-2"/>
                <w:sz w:val="18"/>
                <w:szCs w:val="18"/>
                <w:lang w:val="fr-CH" w:eastAsia="ja-JP"/>
              </w:rPr>
              <w:t>accord du WG</w:t>
            </w:r>
            <w:r w:rsidR="009B26EF">
              <w:rPr>
                <w:rFonts w:cs="Arial"/>
                <w:spacing w:val="-2"/>
                <w:sz w:val="18"/>
                <w:szCs w:val="18"/>
                <w:lang w:val="fr-CH" w:eastAsia="ja-JP"/>
              </w:rPr>
              <w:t>-</w:t>
            </w:r>
            <w:r w:rsidRPr="00745FBE">
              <w:rPr>
                <w:rFonts w:cs="Arial"/>
                <w:spacing w:val="-2"/>
                <w:sz w:val="18"/>
                <w:szCs w:val="18"/>
                <w:lang w:val="fr-CH" w:eastAsia="ja-JP"/>
              </w:rPr>
              <w:t>DEN.</w:t>
            </w:r>
          </w:p>
          <w:p w:rsidR="00797CB8" w:rsidRPr="00745FBE" w:rsidRDefault="00797CB8" w:rsidP="00270E3C">
            <w:pPr>
              <w:rPr>
                <w:rFonts w:cs="Arial"/>
                <w:sz w:val="18"/>
                <w:szCs w:val="18"/>
                <w:lang w:val="fr-CH" w:eastAsia="ja-JP"/>
              </w:rPr>
            </w:pPr>
          </w:p>
          <w:p w:rsidR="00797CB8" w:rsidRPr="00745FBE" w:rsidRDefault="00270E3C" w:rsidP="00270E3C">
            <w:pPr>
              <w:rPr>
                <w:rFonts w:cs="Arial"/>
                <w:sz w:val="18"/>
                <w:szCs w:val="18"/>
                <w:lang w:val="fr-CH" w:eastAsia="ja-JP"/>
              </w:rPr>
            </w:pPr>
            <w:r w:rsidRPr="00745FBE">
              <w:rPr>
                <w:rFonts w:cs="Arial"/>
                <w:spacing w:val="-2"/>
                <w:sz w:val="18"/>
                <w:szCs w:val="18"/>
                <w:highlight w:val="lightGray"/>
                <w:u w:val="single"/>
                <w:lang w:val="fr-CH"/>
              </w:rPr>
              <w:t>Le texte souligné</w:t>
            </w:r>
            <w:r w:rsidRPr="00745FBE">
              <w:rPr>
                <w:rFonts w:cs="Arial"/>
                <w:spacing w:val="-2"/>
                <w:sz w:val="18"/>
                <w:szCs w:val="18"/>
                <w:highlight w:val="lightGray"/>
                <w:lang w:val="fr-CH"/>
              </w:rPr>
              <w:t xml:space="preserve"> (surligné en gris)</w:t>
            </w:r>
            <w:r w:rsidRPr="00745FBE">
              <w:rPr>
                <w:rFonts w:cs="Arial"/>
                <w:spacing w:val="-2"/>
                <w:sz w:val="18"/>
                <w:szCs w:val="18"/>
                <w:lang w:val="fr-CH"/>
              </w:rPr>
              <w:t xml:space="preserve"> a été ajouté au texte du </w:t>
            </w:r>
            <w:r w:rsidR="009B26EF" w:rsidRPr="00745FBE">
              <w:rPr>
                <w:rFonts w:cs="Arial"/>
                <w:spacing w:val="-2"/>
                <w:sz w:val="18"/>
                <w:szCs w:val="18"/>
                <w:lang w:val="fr-CH"/>
              </w:rPr>
              <w:t>document</w:t>
            </w:r>
            <w:r w:rsidR="009B26EF">
              <w:rPr>
                <w:rFonts w:cs="Arial"/>
                <w:spacing w:val="-2"/>
                <w:sz w:val="18"/>
                <w:szCs w:val="18"/>
                <w:lang w:val="fr-CH"/>
              </w:rPr>
              <w:t xml:space="preserve"> </w:t>
            </w:r>
            <w:r w:rsidR="009B26EF" w:rsidRPr="00745FBE">
              <w:rPr>
                <w:rFonts w:cs="Arial"/>
                <w:spacing w:val="-2"/>
                <w:sz w:val="18"/>
                <w:szCs w:val="18"/>
                <w:lang w:val="fr-CH" w:eastAsia="ja-JP"/>
              </w:rPr>
              <w:t>UP</w:t>
            </w:r>
            <w:r w:rsidRPr="00745FBE">
              <w:rPr>
                <w:rFonts w:cs="Arial"/>
                <w:spacing w:val="-2"/>
                <w:sz w:val="18"/>
                <w:szCs w:val="18"/>
                <w:lang w:val="fr-CH" w:eastAsia="ja-JP"/>
              </w:rPr>
              <w:t>OV/INF/12/5 avec l</w:t>
            </w:r>
            <w:r w:rsidR="009B26EF">
              <w:rPr>
                <w:rFonts w:cs="Arial"/>
                <w:spacing w:val="-2"/>
                <w:sz w:val="18"/>
                <w:szCs w:val="18"/>
                <w:lang w:val="fr-CH" w:eastAsia="ja-JP"/>
              </w:rPr>
              <w:t>’</w:t>
            </w:r>
            <w:r w:rsidRPr="00745FBE">
              <w:rPr>
                <w:rFonts w:cs="Arial"/>
                <w:spacing w:val="-2"/>
                <w:sz w:val="18"/>
                <w:szCs w:val="18"/>
                <w:lang w:val="fr-CH" w:eastAsia="ja-JP"/>
              </w:rPr>
              <w:t>accord du WG</w:t>
            </w:r>
            <w:r w:rsidR="009B26EF">
              <w:rPr>
                <w:rFonts w:cs="Arial"/>
                <w:spacing w:val="-2"/>
                <w:sz w:val="18"/>
                <w:szCs w:val="18"/>
                <w:lang w:val="fr-CH" w:eastAsia="ja-JP"/>
              </w:rPr>
              <w:t>-</w:t>
            </w:r>
            <w:r w:rsidRPr="00745FBE">
              <w:rPr>
                <w:rFonts w:cs="Arial"/>
                <w:spacing w:val="-2"/>
                <w:sz w:val="18"/>
                <w:szCs w:val="18"/>
                <w:lang w:val="fr-CH" w:eastAsia="ja-JP"/>
              </w:rPr>
              <w:t>DEN.</w:t>
            </w:r>
          </w:p>
          <w:p w:rsidR="00797CB8" w:rsidRPr="00745FBE" w:rsidRDefault="00797CB8" w:rsidP="009F7478">
            <w:pPr>
              <w:rPr>
                <w:rFonts w:cs="Arial"/>
                <w:sz w:val="18"/>
                <w:szCs w:val="18"/>
                <w:lang w:val="fr-CH"/>
              </w:rPr>
            </w:pPr>
          </w:p>
          <w:p w:rsidR="009B26EF" w:rsidRDefault="00270E3C" w:rsidP="00270E3C">
            <w:pPr>
              <w:rPr>
                <w:sz w:val="18"/>
                <w:szCs w:val="18"/>
                <w:lang w:val="fr-CH" w:eastAsia="ja-JP"/>
              </w:rPr>
            </w:pPr>
            <w:r w:rsidRPr="00745FBE">
              <w:rPr>
                <w:dstrike/>
                <w:spacing w:val="-2"/>
                <w:sz w:val="18"/>
                <w:szCs w:val="18"/>
                <w:highlight w:val="yellow"/>
                <w:lang w:val="fr-CH" w:eastAsia="ja-JP"/>
              </w:rPr>
              <w:t>Le texte biffé deux fois</w:t>
            </w:r>
            <w:r w:rsidRPr="00745FBE">
              <w:rPr>
                <w:spacing w:val="-2"/>
                <w:sz w:val="18"/>
                <w:szCs w:val="18"/>
                <w:highlight w:val="yellow"/>
                <w:lang w:val="fr-CH" w:eastAsia="ja-JP"/>
              </w:rPr>
              <w:t xml:space="preserve"> et surligné en jaune</w:t>
            </w:r>
            <w:r w:rsidR="009F7478" w:rsidRPr="00745FBE">
              <w:rPr>
                <w:sz w:val="18"/>
                <w:szCs w:val="18"/>
                <w:lang w:val="fr-CH" w:eastAsia="ja-JP"/>
              </w:rPr>
              <w:t xml:space="preserve"> </w:t>
            </w:r>
            <w:r w:rsidRPr="00745FBE">
              <w:rPr>
                <w:color w:val="000000"/>
                <w:sz w:val="18"/>
                <w:szCs w:val="18"/>
                <w:lang w:val="fr-CH" w:eastAsia="ja-JP"/>
              </w:rPr>
              <w:t xml:space="preserve">répond à la demande de </w:t>
            </w:r>
            <w:r w:rsidR="00745FBE" w:rsidRPr="00745FBE">
              <w:rPr>
                <w:color w:val="000000"/>
                <w:sz w:val="18"/>
                <w:szCs w:val="18"/>
                <w:lang w:val="fr-CH" w:eastAsia="ja-JP"/>
              </w:rPr>
              <w:t>clarification</w:t>
            </w:r>
            <w:r w:rsidR="0067318F" w:rsidRPr="00745FBE">
              <w:rPr>
                <w:color w:val="000000"/>
                <w:sz w:val="18"/>
                <w:szCs w:val="18"/>
                <w:lang w:val="fr-CH" w:eastAsia="ja-JP"/>
              </w:rPr>
              <w:t xml:space="preserve"> </w:t>
            </w:r>
            <w:r w:rsidR="00745FBE" w:rsidRPr="00745FBE">
              <w:rPr>
                <w:color w:val="000000"/>
                <w:sz w:val="18"/>
                <w:szCs w:val="18"/>
                <w:lang w:val="fr-CH" w:eastAsia="ja-JP"/>
              </w:rPr>
              <w:t xml:space="preserve">du </w:t>
            </w:r>
            <w:r w:rsidR="0067318F" w:rsidRPr="00745FBE">
              <w:rPr>
                <w:color w:val="000000"/>
                <w:sz w:val="18"/>
                <w:szCs w:val="18"/>
                <w:lang w:val="fr-CH" w:eastAsia="ja-JP"/>
              </w:rPr>
              <w:t xml:space="preserve">projet de </w:t>
            </w:r>
            <w:r w:rsidR="009B26EF" w:rsidRPr="00745FBE">
              <w:rPr>
                <w:color w:val="000000"/>
                <w:sz w:val="18"/>
                <w:szCs w:val="18"/>
                <w:lang w:val="fr-CH" w:eastAsia="ja-JP"/>
              </w:rPr>
              <w:t>section</w:t>
            </w:r>
            <w:r w:rsidR="009B26EF">
              <w:rPr>
                <w:color w:val="000000"/>
                <w:sz w:val="18"/>
                <w:szCs w:val="18"/>
                <w:lang w:val="fr-CH" w:eastAsia="ja-JP"/>
              </w:rPr>
              <w:t> </w:t>
            </w:r>
            <w:r w:rsidR="009B26EF" w:rsidRPr="00745FBE">
              <w:rPr>
                <w:color w:val="000000"/>
                <w:sz w:val="18"/>
                <w:szCs w:val="18"/>
                <w:lang w:val="fr-CH" w:eastAsia="ja-JP"/>
              </w:rPr>
              <w:t>5</w:t>
            </w:r>
            <w:r w:rsidRPr="00745FBE">
              <w:rPr>
                <w:color w:val="000000"/>
                <w:sz w:val="18"/>
                <w:szCs w:val="18"/>
                <w:lang w:val="fr-CH" w:eastAsia="ja-JP"/>
              </w:rPr>
              <w:t>.3.a) par le WG</w:t>
            </w:r>
            <w:r w:rsidR="009B26EF">
              <w:rPr>
                <w:color w:val="000000"/>
                <w:sz w:val="18"/>
                <w:szCs w:val="18"/>
                <w:lang w:val="fr-CH" w:eastAsia="ja-JP"/>
              </w:rPr>
              <w:t>-</w:t>
            </w:r>
            <w:r w:rsidRPr="00745FBE">
              <w:rPr>
                <w:color w:val="000000"/>
                <w:sz w:val="18"/>
                <w:szCs w:val="18"/>
                <w:lang w:val="fr-CH" w:eastAsia="ja-JP"/>
              </w:rPr>
              <w:t xml:space="preserve">DEN au </w:t>
            </w:r>
            <w:r w:rsidRPr="00745FBE">
              <w:rPr>
                <w:sz w:val="18"/>
                <w:szCs w:val="18"/>
                <w:lang w:val="fr-CH" w:eastAsia="ja-JP"/>
              </w:rPr>
              <w:t>Bureau de l</w:t>
            </w:r>
            <w:r w:rsidR="009B26EF">
              <w:rPr>
                <w:sz w:val="18"/>
                <w:szCs w:val="18"/>
                <w:lang w:val="fr-CH" w:eastAsia="ja-JP"/>
              </w:rPr>
              <w:t>’</w:t>
            </w:r>
            <w:r w:rsidRPr="00745FBE">
              <w:rPr>
                <w:sz w:val="18"/>
                <w:szCs w:val="18"/>
                <w:lang w:val="fr-CH" w:eastAsia="ja-JP"/>
              </w:rPr>
              <w:t>Union</w:t>
            </w:r>
            <w:r w:rsidRPr="00745FBE">
              <w:rPr>
                <w:color w:val="000000"/>
                <w:sz w:val="18"/>
                <w:szCs w:val="18"/>
                <w:lang w:val="fr-CH" w:eastAsia="ja-JP"/>
              </w:rPr>
              <w:t>.</w:t>
            </w:r>
          </w:p>
          <w:p w:rsidR="00FE644D" w:rsidRPr="00745FBE" w:rsidRDefault="00FE644D" w:rsidP="0014183C">
            <w:pPr>
              <w:rPr>
                <w:rFonts w:cs="Arial"/>
                <w:sz w:val="18"/>
                <w:szCs w:val="18"/>
                <w:lang w:val="fr-CH"/>
              </w:rPr>
            </w:pPr>
          </w:p>
        </w:tc>
      </w:tr>
    </w:tbl>
    <w:p w:rsidR="00797CB8" w:rsidRPr="00745FBE" w:rsidRDefault="00797CB8" w:rsidP="00893C7D">
      <w:pPr>
        <w:rPr>
          <w:snapToGrid w:val="0"/>
          <w:lang w:val="fr-CH"/>
        </w:rPr>
      </w:pPr>
    </w:p>
    <w:p w:rsidR="00797CB8" w:rsidRPr="00745FBE" w:rsidRDefault="00893C7D">
      <w:pPr>
        <w:jc w:val="left"/>
        <w:rPr>
          <w:snapToGrid w:val="0"/>
          <w:lang w:val="fr-CH"/>
        </w:rPr>
      </w:pPr>
      <w:r w:rsidRPr="00745FBE">
        <w:rPr>
          <w:snapToGrid w:val="0"/>
          <w:lang w:val="fr-CH"/>
        </w:rPr>
        <w:br w:type="page"/>
      </w:r>
    </w:p>
    <w:p w:rsidR="00797CB8" w:rsidRPr="00745FBE" w:rsidRDefault="00893C7D" w:rsidP="00893C7D">
      <w:pPr>
        <w:jc w:val="left"/>
        <w:rPr>
          <w:u w:val="single"/>
          <w:lang w:val="fr-CH"/>
        </w:rPr>
      </w:pPr>
      <w:r w:rsidRPr="00745FBE">
        <w:rPr>
          <w:u w:val="single"/>
          <w:lang w:val="fr-CH"/>
        </w:rPr>
        <w:lastRenderedPageBreak/>
        <w:t xml:space="preserve">Table </w:t>
      </w:r>
      <w:r w:rsidR="00745FBE" w:rsidRPr="00745FBE">
        <w:rPr>
          <w:u w:val="single"/>
          <w:lang w:val="fr-CH"/>
        </w:rPr>
        <w:t>des matières</w:t>
      </w:r>
    </w:p>
    <w:p w:rsidR="00797CB8" w:rsidRPr="00745FBE" w:rsidRDefault="00797CB8" w:rsidP="00893C7D">
      <w:pPr>
        <w:jc w:val="left"/>
        <w:rPr>
          <w:sz w:val="18"/>
          <w:lang w:val="fr-CH"/>
        </w:rPr>
      </w:pPr>
    </w:p>
    <w:p w:rsidR="00745FBE" w:rsidRPr="00745FBE" w:rsidRDefault="00D46C27">
      <w:pPr>
        <w:pStyle w:val="TOC1"/>
        <w:rPr>
          <w:rFonts w:asciiTheme="minorHAnsi" w:eastAsiaTheme="minorEastAsia" w:hAnsiTheme="minorHAnsi" w:cstheme="minorBidi"/>
          <w:bCs w:val="0"/>
          <w:caps w:val="0"/>
          <w:sz w:val="22"/>
          <w:szCs w:val="22"/>
          <w:lang w:val="fr-CH"/>
        </w:rPr>
      </w:pPr>
      <w:r w:rsidRPr="00745FBE">
        <w:rPr>
          <w:szCs w:val="18"/>
          <w:lang w:val="fr-CH"/>
        </w:rPr>
        <w:fldChar w:fldCharType="begin"/>
      </w:r>
      <w:r w:rsidRPr="00745FBE">
        <w:rPr>
          <w:szCs w:val="18"/>
          <w:lang w:val="fr-CH"/>
        </w:rPr>
        <w:instrText xml:space="preserve"> TOC \o "3-4" \h \z \t "Heading 1;1;Heading 2;2" </w:instrText>
      </w:r>
      <w:r w:rsidRPr="00745FBE">
        <w:rPr>
          <w:szCs w:val="18"/>
          <w:lang w:val="fr-CH"/>
        </w:rPr>
        <w:fldChar w:fldCharType="separate"/>
      </w:r>
      <w:hyperlink w:anchor="_Toc35937344" w:history="1">
        <w:r w:rsidR="00745FBE" w:rsidRPr="00745FBE">
          <w:rPr>
            <w:rStyle w:val="Hyperlink"/>
            <w:lang w:val="fr-CH"/>
          </w:rPr>
          <w:t>PRÉAMBULE</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_Toc35937344 \h </w:instrText>
        </w:r>
        <w:r w:rsidR="00745FBE" w:rsidRPr="00745FBE">
          <w:rPr>
            <w:webHidden/>
            <w:lang w:val="fr-CH"/>
          </w:rPr>
        </w:r>
        <w:r w:rsidR="00745FBE" w:rsidRPr="00745FBE">
          <w:rPr>
            <w:webHidden/>
            <w:lang w:val="fr-CH"/>
          </w:rPr>
          <w:fldChar w:fldCharType="separate"/>
        </w:r>
        <w:r w:rsidR="00745FBE" w:rsidRPr="00745FBE">
          <w:rPr>
            <w:webHidden/>
            <w:lang w:val="fr-CH"/>
          </w:rPr>
          <w:t>3</w:t>
        </w:r>
        <w:r w:rsidR="00745FBE" w:rsidRPr="00745FBE">
          <w:rPr>
            <w:webHidden/>
            <w:lang w:val="fr-CH"/>
          </w:rPr>
          <w:fldChar w:fldCharType="end"/>
        </w:r>
      </w:hyperlink>
    </w:p>
    <w:p w:rsidR="00745FBE" w:rsidRPr="00745FBE" w:rsidRDefault="00ED146B">
      <w:pPr>
        <w:pStyle w:val="TOC1"/>
        <w:rPr>
          <w:rFonts w:asciiTheme="minorHAnsi" w:eastAsiaTheme="minorEastAsia" w:hAnsiTheme="minorHAnsi" w:cstheme="minorBidi"/>
          <w:bCs w:val="0"/>
          <w:caps w:val="0"/>
          <w:sz w:val="22"/>
          <w:szCs w:val="22"/>
          <w:lang w:val="fr-CH"/>
        </w:rPr>
      </w:pPr>
      <w:hyperlink w:anchor="_Toc35937345" w:history="1">
        <w:r w:rsidR="00745FBE" w:rsidRPr="00745FBE">
          <w:rPr>
            <w:rStyle w:val="Hyperlink"/>
            <w:lang w:val="fr-CH"/>
          </w:rPr>
          <w:t>Paragraphe 1</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_Toc35937345 \h </w:instrText>
        </w:r>
        <w:r w:rsidR="00745FBE" w:rsidRPr="00745FBE">
          <w:rPr>
            <w:webHidden/>
            <w:lang w:val="fr-CH"/>
          </w:rPr>
        </w:r>
        <w:r w:rsidR="00745FBE" w:rsidRPr="00745FBE">
          <w:rPr>
            <w:webHidden/>
            <w:lang w:val="fr-CH"/>
          </w:rPr>
          <w:fldChar w:fldCharType="separate"/>
        </w:r>
        <w:r w:rsidR="00745FBE" w:rsidRPr="00745FBE">
          <w:rPr>
            <w:webHidden/>
            <w:lang w:val="fr-CH"/>
          </w:rPr>
          <w:t>5</w:t>
        </w:r>
        <w:r w:rsidR="00745FBE" w:rsidRPr="00745FBE">
          <w:rPr>
            <w:webHidden/>
            <w:lang w:val="fr-CH"/>
          </w:rPr>
          <w:fldChar w:fldCharType="end"/>
        </w:r>
      </w:hyperlink>
    </w:p>
    <w:p w:rsidR="00745FBE" w:rsidRPr="00745FBE" w:rsidRDefault="00ED146B">
      <w:pPr>
        <w:pStyle w:val="TOC2"/>
        <w:rPr>
          <w:rFonts w:asciiTheme="minorHAnsi" w:eastAsiaTheme="minorEastAsia" w:hAnsiTheme="minorHAnsi" w:cstheme="minorBidi"/>
          <w:sz w:val="22"/>
          <w:szCs w:val="22"/>
          <w:lang w:val="fr-CH"/>
        </w:rPr>
      </w:pPr>
      <w:hyperlink w:anchor="_Toc35937346" w:history="1">
        <w:r w:rsidR="00745FBE" w:rsidRPr="00745FBE">
          <w:rPr>
            <w:rStyle w:val="Hyperlink"/>
            <w:lang w:val="fr-CH"/>
          </w:rPr>
          <w:t>[Désignation des variétés par des dénominations;  utilisation de la dénomination]</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_Toc35937346 \h </w:instrText>
        </w:r>
        <w:r w:rsidR="00745FBE" w:rsidRPr="00745FBE">
          <w:rPr>
            <w:webHidden/>
            <w:lang w:val="fr-CH"/>
          </w:rPr>
        </w:r>
        <w:r w:rsidR="00745FBE" w:rsidRPr="00745FBE">
          <w:rPr>
            <w:webHidden/>
            <w:lang w:val="fr-CH"/>
          </w:rPr>
          <w:fldChar w:fldCharType="separate"/>
        </w:r>
        <w:r w:rsidR="00745FBE" w:rsidRPr="00745FBE">
          <w:rPr>
            <w:webHidden/>
            <w:lang w:val="fr-CH"/>
          </w:rPr>
          <w:t>5</w:t>
        </w:r>
        <w:r w:rsidR="00745FBE" w:rsidRPr="00745FBE">
          <w:rPr>
            <w:webHidden/>
            <w:lang w:val="fr-CH"/>
          </w:rPr>
          <w:fldChar w:fldCharType="end"/>
        </w:r>
      </w:hyperlink>
    </w:p>
    <w:p w:rsidR="00745FBE" w:rsidRPr="00745FBE" w:rsidRDefault="00ED146B">
      <w:pPr>
        <w:pStyle w:val="TOC1"/>
        <w:rPr>
          <w:rFonts w:asciiTheme="minorHAnsi" w:eastAsiaTheme="minorEastAsia" w:hAnsiTheme="minorHAnsi" w:cstheme="minorBidi"/>
          <w:bCs w:val="0"/>
          <w:caps w:val="0"/>
          <w:sz w:val="22"/>
          <w:szCs w:val="22"/>
          <w:lang w:val="fr-CH"/>
        </w:rPr>
      </w:pPr>
      <w:hyperlink w:anchor="_Toc35937347" w:history="1">
        <w:r w:rsidR="00745FBE" w:rsidRPr="00745FBE">
          <w:rPr>
            <w:rStyle w:val="Hyperlink"/>
            <w:lang w:val="fr-CH"/>
          </w:rPr>
          <w:t>Paragraphe 2</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_Toc35937347 \h </w:instrText>
        </w:r>
        <w:r w:rsidR="00745FBE" w:rsidRPr="00745FBE">
          <w:rPr>
            <w:webHidden/>
            <w:lang w:val="fr-CH"/>
          </w:rPr>
        </w:r>
        <w:r w:rsidR="00745FBE" w:rsidRPr="00745FBE">
          <w:rPr>
            <w:webHidden/>
            <w:lang w:val="fr-CH"/>
          </w:rPr>
          <w:fldChar w:fldCharType="separate"/>
        </w:r>
        <w:r w:rsidR="00745FBE" w:rsidRPr="00745FBE">
          <w:rPr>
            <w:webHidden/>
            <w:lang w:val="fr-CH"/>
          </w:rPr>
          <w:t>6</w:t>
        </w:r>
        <w:r w:rsidR="00745FBE" w:rsidRPr="00745FBE">
          <w:rPr>
            <w:webHidden/>
            <w:lang w:val="fr-CH"/>
          </w:rPr>
          <w:fldChar w:fldCharType="end"/>
        </w:r>
      </w:hyperlink>
    </w:p>
    <w:p w:rsidR="00745FBE" w:rsidRPr="00745FBE" w:rsidRDefault="00ED146B">
      <w:pPr>
        <w:pStyle w:val="TOC2"/>
        <w:rPr>
          <w:rFonts w:asciiTheme="minorHAnsi" w:eastAsiaTheme="minorEastAsia" w:hAnsiTheme="minorHAnsi" w:cstheme="minorBidi"/>
          <w:sz w:val="22"/>
          <w:szCs w:val="22"/>
          <w:lang w:val="fr-CH"/>
        </w:rPr>
      </w:pPr>
      <w:hyperlink w:anchor="_Toc35937348" w:history="1">
        <w:r w:rsidR="00745FBE" w:rsidRPr="00745FBE">
          <w:rPr>
            <w:rStyle w:val="Hyperlink"/>
            <w:lang w:val="fr-CH"/>
          </w:rPr>
          <w:t>[Caractéristiques de la dénomination]</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_Toc35937348 \h </w:instrText>
        </w:r>
        <w:r w:rsidR="00745FBE" w:rsidRPr="00745FBE">
          <w:rPr>
            <w:webHidden/>
            <w:lang w:val="fr-CH"/>
          </w:rPr>
        </w:r>
        <w:r w:rsidR="00745FBE" w:rsidRPr="00745FBE">
          <w:rPr>
            <w:webHidden/>
            <w:lang w:val="fr-CH"/>
          </w:rPr>
          <w:fldChar w:fldCharType="separate"/>
        </w:r>
        <w:r w:rsidR="00745FBE" w:rsidRPr="00745FBE">
          <w:rPr>
            <w:webHidden/>
            <w:lang w:val="fr-CH"/>
          </w:rPr>
          <w:t>6</w:t>
        </w:r>
        <w:r w:rsidR="00745FBE" w:rsidRPr="00745FBE">
          <w:rPr>
            <w:webHidden/>
            <w:lang w:val="fr-CH"/>
          </w:rPr>
          <w:fldChar w:fldCharType="end"/>
        </w:r>
      </w:hyperlink>
    </w:p>
    <w:p w:rsidR="00745FBE" w:rsidRPr="00745FBE" w:rsidRDefault="00ED146B">
      <w:pPr>
        <w:pStyle w:val="TOC3"/>
        <w:tabs>
          <w:tab w:val="left" w:pos="1134"/>
        </w:tabs>
        <w:rPr>
          <w:rFonts w:asciiTheme="minorHAnsi" w:eastAsiaTheme="minorEastAsia" w:hAnsiTheme="minorHAnsi" w:cstheme="minorBidi"/>
          <w:i w:val="0"/>
          <w:sz w:val="22"/>
          <w:szCs w:val="22"/>
          <w:lang w:val="fr-CH"/>
        </w:rPr>
      </w:pPr>
      <w:hyperlink w:anchor="_Toc35937349" w:history="1">
        <w:r w:rsidR="00745FBE" w:rsidRPr="00745FBE">
          <w:rPr>
            <w:rStyle w:val="Hyperlink"/>
            <w:lang w:val="fr-CH"/>
          </w:rPr>
          <w:t>2.1</w:t>
        </w:r>
        <w:r w:rsidR="00745FBE" w:rsidRPr="00745FBE">
          <w:rPr>
            <w:rFonts w:asciiTheme="minorHAnsi" w:eastAsiaTheme="minorEastAsia" w:hAnsiTheme="minorHAnsi" w:cstheme="minorBidi"/>
            <w:i w:val="0"/>
            <w:sz w:val="22"/>
            <w:szCs w:val="22"/>
            <w:lang w:val="fr-CH"/>
          </w:rPr>
          <w:tab/>
        </w:r>
        <w:r w:rsidR="00745FBE" w:rsidRPr="00745FBE">
          <w:rPr>
            <w:rStyle w:val="Hyperlink"/>
            <w:lang w:val="fr-CH"/>
          </w:rPr>
          <w:t>Identification</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_Toc35937349 \h </w:instrText>
        </w:r>
        <w:r w:rsidR="00745FBE" w:rsidRPr="00745FBE">
          <w:rPr>
            <w:webHidden/>
            <w:lang w:val="fr-CH"/>
          </w:rPr>
        </w:r>
        <w:r w:rsidR="00745FBE" w:rsidRPr="00745FBE">
          <w:rPr>
            <w:webHidden/>
            <w:lang w:val="fr-CH"/>
          </w:rPr>
          <w:fldChar w:fldCharType="separate"/>
        </w:r>
        <w:r w:rsidR="00745FBE" w:rsidRPr="00745FBE">
          <w:rPr>
            <w:webHidden/>
            <w:lang w:val="fr-CH"/>
          </w:rPr>
          <w:t>6</w:t>
        </w:r>
        <w:r w:rsidR="00745FBE" w:rsidRPr="00745FBE">
          <w:rPr>
            <w:webHidden/>
            <w:lang w:val="fr-CH"/>
          </w:rPr>
          <w:fldChar w:fldCharType="end"/>
        </w:r>
      </w:hyperlink>
    </w:p>
    <w:p w:rsidR="00745FBE" w:rsidRPr="00745FBE" w:rsidRDefault="00ED146B">
      <w:pPr>
        <w:pStyle w:val="TOC3"/>
        <w:tabs>
          <w:tab w:val="left" w:pos="1134"/>
        </w:tabs>
        <w:rPr>
          <w:rFonts w:asciiTheme="minorHAnsi" w:eastAsiaTheme="minorEastAsia" w:hAnsiTheme="minorHAnsi" w:cstheme="minorBidi"/>
          <w:i w:val="0"/>
          <w:sz w:val="22"/>
          <w:szCs w:val="22"/>
          <w:lang w:val="fr-CH"/>
        </w:rPr>
      </w:pPr>
      <w:hyperlink w:anchor="_Toc35937350" w:history="1">
        <w:r w:rsidR="00745FBE" w:rsidRPr="00745FBE">
          <w:rPr>
            <w:rStyle w:val="Hyperlink"/>
            <w:lang w:val="fr-CH"/>
          </w:rPr>
          <w:t>2.2</w:t>
        </w:r>
        <w:r w:rsidR="00745FBE" w:rsidRPr="00745FBE">
          <w:rPr>
            <w:rFonts w:asciiTheme="minorHAnsi" w:eastAsiaTheme="minorEastAsia" w:hAnsiTheme="minorHAnsi" w:cstheme="minorBidi"/>
            <w:i w:val="0"/>
            <w:sz w:val="22"/>
            <w:szCs w:val="22"/>
            <w:lang w:val="fr-CH"/>
          </w:rPr>
          <w:tab/>
        </w:r>
        <w:r w:rsidR="00745FBE" w:rsidRPr="00745FBE">
          <w:rPr>
            <w:rStyle w:val="Hyperlink"/>
            <w:lang w:val="fr-CH"/>
          </w:rPr>
          <w:t>Uniquement de chiffres</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_Toc35937350 \h </w:instrText>
        </w:r>
        <w:r w:rsidR="00745FBE" w:rsidRPr="00745FBE">
          <w:rPr>
            <w:webHidden/>
            <w:lang w:val="fr-CH"/>
          </w:rPr>
        </w:r>
        <w:r w:rsidR="00745FBE" w:rsidRPr="00745FBE">
          <w:rPr>
            <w:webHidden/>
            <w:lang w:val="fr-CH"/>
          </w:rPr>
          <w:fldChar w:fldCharType="separate"/>
        </w:r>
        <w:r w:rsidR="00745FBE" w:rsidRPr="00745FBE">
          <w:rPr>
            <w:webHidden/>
            <w:lang w:val="fr-CH"/>
          </w:rPr>
          <w:t>6</w:t>
        </w:r>
        <w:r w:rsidR="00745FBE" w:rsidRPr="00745FBE">
          <w:rPr>
            <w:webHidden/>
            <w:lang w:val="fr-CH"/>
          </w:rPr>
          <w:fldChar w:fldCharType="end"/>
        </w:r>
      </w:hyperlink>
    </w:p>
    <w:p w:rsidR="00745FBE" w:rsidRPr="00745FBE" w:rsidRDefault="00ED146B">
      <w:pPr>
        <w:pStyle w:val="TOC3"/>
        <w:tabs>
          <w:tab w:val="left" w:pos="1134"/>
        </w:tabs>
        <w:rPr>
          <w:rFonts w:asciiTheme="minorHAnsi" w:eastAsiaTheme="minorEastAsia" w:hAnsiTheme="minorHAnsi" w:cstheme="minorBidi"/>
          <w:i w:val="0"/>
          <w:sz w:val="22"/>
          <w:szCs w:val="22"/>
          <w:lang w:val="fr-CH"/>
        </w:rPr>
      </w:pPr>
      <w:hyperlink w:anchor="_Toc35937351" w:history="1">
        <w:r w:rsidR="00745FBE" w:rsidRPr="00745FBE">
          <w:rPr>
            <w:rStyle w:val="Hyperlink"/>
            <w:lang w:val="fr-CH"/>
          </w:rPr>
          <w:t>2.3</w:t>
        </w:r>
        <w:r w:rsidR="00745FBE" w:rsidRPr="00745FBE">
          <w:rPr>
            <w:rFonts w:asciiTheme="minorHAnsi" w:eastAsiaTheme="minorEastAsia" w:hAnsiTheme="minorHAnsi" w:cstheme="minorBidi"/>
            <w:i w:val="0"/>
            <w:sz w:val="22"/>
            <w:szCs w:val="22"/>
            <w:lang w:val="fr-CH"/>
          </w:rPr>
          <w:tab/>
        </w:r>
        <w:r w:rsidR="00745FBE" w:rsidRPr="00745FBE">
          <w:rPr>
            <w:rStyle w:val="Hyperlink"/>
            <w:lang w:val="fr-CH"/>
          </w:rPr>
          <w:t>Susceptible d</w:t>
        </w:r>
        <w:r w:rsidR="009B26EF">
          <w:rPr>
            <w:rStyle w:val="Hyperlink"/>
            <w:lang w:val="fr-CH"/>
          </w:rPr>
          <w:t>’</w:t>
        </w:r>
        <w:r w:rsidR="00745FBE" w:rsidRPr="00745FBE">
          <w:rPr>
            <w:rStyle w:val="Hyperlink"/>
            <w:lang w:val="fr-CH"/>
          </w:rPr>
          <w:t>induire en erreur ou de prêter à confusion</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_Toc35937351 \h </w:instrText>
        </w:r>
        <w:r w:rsidR="00745FBE" w:rsidRPr="00745FBE">
          <w:rPr>
            <w:webHidden/>
            <w:lang w:val="fr-CH"/>
          </w:rPr>
        </w:r>
        <w:r w:rsidR="00745FBE" w:rsidRPr="00745FBE">
          <w:rPr>
            <w:webHidden/>
            <w:lang w:val="fr-CH"/>
          </w:rPr>
          <w:fldChar w:fldCharType="separate"/>
        </w:r>
        <w:r w:rsidR="00745FBE" w:rsidRPr="00745FBE">
          <w:rPr>
            <w:webHidden/>
            <w:lang w:val="fr-CH"/>
          </w:rPr>
          <w:t>6</w:t>
        </w:r>
        <w:r w:rsidR="00745FBE" w:rsidRPr="00745FBE">
          <w:rPr>
            <w:webHidden/>
            <w:lang w:val="fr-CH"/>
          </w:rPr>
          <w:fldChar w:fldCharType="end"/>
        </w:r>
      </w:hyperlink>
    </w:p>
    <w:p w:rsidR="00745FBE" w:rsidRPr="00745FBE" w:rsidRDefault="00ED146B">
      <w:pPr>
        <w:pStyle w:val="TOC4"/>
        <w:rPr>
          <w:rFonts w:asciiTheme="minorHAnsi" w:eastAsiaTheme="minorEastAsia" w:hAnsiTheme="minorHAnsi" w:cstheme="minorBidi"/>
          <w:i w:val="0"/>
          <w:noProof/>
          <w:sz w:val="22"/>
          <w:szCs w:val="22"/>
          <w:lang w:val="fr-CH"/>
        </w:rPr>
      </w:pPr>
      <w:hyperlink w:anchor="_Toc35937352" w:history="1">
        <w:r w:rsidR="00745FBE" w:rsidRPr="00745FBE">
          <w:rPr>
            <w:rStyle w:val="Hyperlink"/>
            <w:noProof/>
            <w:lang w:val="fr-CH"/>
          </w:rPr>
          <w:t>2.3.1</w:t>
        </w:r>
        <w:r w:rsidR="00745FBE" w:rsidRPr="00745FBE">
          <w:rPr>
            <w:rFonts w:asciiTheme="minorHAnsi" w:eastAsiaTheme="minorEastAsia" w:hAnsiTheme="minorHAnsi" w:cstheme="minorBidi"/>
            <w:i w:val="0"/>
            <w:noProof/>
            <w:sz w:val="22"/>
            <w:szCs w:val="22"/>
            <w:lang w:val="fr-CH"/>
          </w:rPr>
          <w:tab/>
        </w:r>
        <w:r w:rsidR="00745FBE" w:rsidRPr="00745FBE">
          <w:rPr>
            <w:rStyle w:val="Hyperlink"/>
            <w:noProof/>
            <w:lang w:val="fr-CH"/>
          </w:rPr>
          <w:t>Caractéristiques de la variété</w:t>
        </w:r>
        <w:r w:rsidR="00745FBE" w:rsidRPr="00745FBE">
          <w:rPr>
            <w:noProof/>
            <w:webHidden/>
            <w:lang w:val="fr-CH"/>
          </w:rPr>
          <w:tab/>
        </w:r>
        <w:r w:rsidR="00745FBE" w:rsidRPr="00745FBE">
          <w:rPr>
            <w:noProof/>
            <w:webHidden/>
            <w:lang w:val="fr-CH"/>
          </w:rPr>
          <w:fldChar w:fldCharType="begin"/>
        </w:r>
        <w:r w:rsidR="00745FBE" w:rsidRPr="00745FBE">
          <w:rPr>
            <w:noProof/>
            <w:webHidden/>
            <w:lang w:val="fr-CH"/>
          </w:rPr>
          <w:instrText xml:space="preserve"> PAGEREF _Toc35937352 \h </w:instrText>
        </w:r>
        <w:r w:rsidR="00745FBE" w:rsidRPr="00745FBE">
          <w:rPr>
            <w:noProof/>
            <w:webHidden/>
            <w:lang w:val="fr-CH"/>
          </w:rPr>
        </w:r>
        <w:r w:rsidR="00745FBE" w:rsidRPr="00745FBE">
          <w:rPr>
            <w:noProof/>
            <w:webHidden/>
            <w:lang w:val="fr-CH"/>
          </w:rPr>
          <w:fldChar w:fldCharType="separate"/>
        </w:r>
        <w:r w:rsidR="00745FBE" w:rsidRPr="00745FBE">
          <w:rPr>
            <w:noProof/>
            <w:webHidden/>
            <w:lang w:val="fr-CH"/>
          </w:rPr>
          <w:t>6</w:t>
        </w:r>
        <w:r w:rsidR="00745FBE" w:rsidRPr="00745FBE">
          <w:rPr>
            <w:noProof/>
            <w:webHidden/>
            <w:lang w:val="fr-CH"/>
          </w:rPr>
          <w:fldChar w:fldCharType="end"/>
        </w:r>
      </w:hyperlink>
    </w:p>
    <w:p w:rsidR="00745FBE" w:rsidRPr="00745FBE" w:rsidRDefault="00ED146B">
      <w:pPr>
        <w:pStyle w:val="TOC4"/>
        <w:rPr>
          <w:rFonts w:asciiTheme="minorHAnsi" w:eastAsiaTheme="minorEastAsia" w:hAnsiTheme="minorHAnsi" w:cstheme="minorBidi"/>
          <w:i w:val="0"/>
          <w:noProof/>
          <w:sz w:val="22"/>
          <w:szCs w:val="22"/>
          <w:lang w:val="fr-CH"/>
        </w:rPr>
      </w:pPr>
      <w:hyperlink w:anchor="_Toc35937353" w:history="1">
        <w:r w:rsidR="00745FBE" w:rsidRPr="00745FBE">
          <w:rPr>
            <w:rStyle w:val="Hyperlink"/>
            <w:noProof/>
            <w:lang w:val="fr-CH"/>
          </w:rPr>
          <w:t>2.3.2</w:t>
        </w:r>
        <w:r w:rsidR="00745FBE" w:rsidRPr="00745FBE">
          <w:rPr>
            <w:rFonts w:asciiTheme="minorHAnsi" w:eastAsiaTheme="minorEastAsia" w:hAnsiTheme="minorHAnsi" w:cstheme="minorBidi"/>
            <w:i w:val="0"/>
            <w:noProof/>
            <w:sz w:val="22"/>
            <w:szCs w:val="22"/>
            <w:lang w:val="fr-CH"/>
          </w:rPr>
          <w:tab/>
        </w:r>
        <w:r w:rsidR="00745FBE" w:rsidRPr="00745FBE">
          <w:rPr>
            <w:rStyle w:val="Hyperlink"/>
            <w:noProof/>
            <w:lang w:val="fr-CH"/>
          </w:rPr>
          <w:t>Valeur de la variété</w:t>
        </w:r>
        <w:r w:rsidR="00745FBE" w:rsidRPr="00745FBE">
          <w:rPr>
            <w:noProof/>
            <w:webHidden/>
            <w:lang w:val="fr-CH"/>
          </w:rPr>
          <w:tab/>
        </w:r>
        <w:r w:rsidR="00745FBE" w:rsidRPr="00745FBE">
          <w:rPr>
            <w:noProof/>
            <w:webHidden/>
            <w:lang w:val="fr-CH"/>
          </w:rPr>
          <w:fldChar w:fldCharType="begin"/>
        </w:r>
        <w:r w:rsidR="00745FBE" w:rsidRPr="00745FBE">
          <w:rPr>
            <w:noProof/>
            <w:webHidden/>
            <w:lang w:val="fr-CH"/>
          </w:rPr>
          <w:instrText xml:space="preserve"> PAGEREF _Toc35937353 \h </w:instrText>
        </w:r>
        <w:r w:rsidR="00745FBE" w:rsidRPr="00745FBE">
          <w:rPr>
            <w:noProof/>
            <w:webHidden/>
            <w:lang w:val="fr-CH"/>
          </w:rPr>
        </w:r>
        <w:r w:rsidR="00745FBE" w:rsidRPr="00745FBE">
          <w:rPr>
            <w:noProof/>
            <w:webHidden/>
            <w:lang w:val="fr-CH"/>
          </w:rPr>
          <w:fldChar w:fldCharType="separate"/>
        </w:r>
        <w:r w:rsidR="00745FBE" w:rsidRPr="00745FBE">
          <w:rPr>
            <w:noProof/>
            <w:webHidden/>
            <w:lang w:val="fr-CH"/>
          </w:rPr>
          <w:t>7</w:t>
        </w:r>
        <w:r w:rsidR="00745FBE" w:rsidRPr="00745FBE">
          <w:rPr>
            <w:noProof/>
            <w:webHidden/>
            <w:lang w:val="fr-CH"/>
          </w:rPr>
          <w:fldChar w:fldCharType="end"/>
        </w:r>
      </w:hyperlink>
    </w:p>
    <w:p w:rsidR="00745FBE" w:rsidRPr="00745FBE" w:rsidRDefault="00ED146B">
      <w:pPr>
        <w:pStyle w:val="TOC4"/>
        <w:rPr>
          <w:rFonts w:asciiTheme="minorHAnsi" w:eastAsiaTheme="minorEastAsia" w:hAnsiTheme="minorHAnsi" w:cstheme="minorBidi"/>
          <w:i w:val="0"/>
          <w:noProof/>
          <w:sz w:val="22"/>
          <w:szCs w:val="22"/>
          <w:lang w:val="fr-CH"/>
        </w:rPr>
      </w:pPr>
      <w:hyperlink w:anchor="_Toc35937354" w:history="1">
        <w:r w:rsidR="00745FBE" w:rsidRPr="00745FBE">
          <w:rPr>
            <w:rStyle w:val="Hyperlink"/>
            <w:noProof/>
            <w:lang w:val="fr-CH"/>
          </w:rPr>
          <w:t>2.3.3</w:t>
        </w:r>
        <w:r w:rsidR="00745FBE" w:rsidRPr="00745FBE">
          <w:rPr>
            <w:rFonts w:asciiTheme="minorHAnsi" w:eastAsiaTheme="minorEastAsia" w:hAnsiTheme="minorHAnsi" w:cstheme="minorBidi"/>
            <w:i w:val="0"/>
            <w:noProof/>
            <w:sz w:val="22"/>
            <w:szCs w:val="22"/>
            <w:lang w:val="fr-CH"/>
          </w:rPr>
          <w:tab/>
        </w:r>
        <w:r w:rsidR="00745FBE" w:rsidRPr="00745FBE">
          <w:rPr>
            <w:rStyle w:val="Hyperlink"/>
            <w:noProof/>
            <w:lang w:val="fr-CH"/>
          </w:rPr>
          <w:t>Identité de la variété</w:t>
        </w:r>
        <w:r w:rsidR="00745FBE" w:rsidRPr="00745FBE">
          <w:rPr>
            <w:noProof/>
            <w:webHidden/>
            <w:lang w:val="fr-CH"/>
          </w:rPr>
          <w:tab/>
        </w:r>
        <w:r w:rsidR="00745FBE" w:rsidRPr="00745FBE">
          <w:rPr>
            <w:noProof/>
            <w:webHidden/>
            <w:lang w:val="fr-CH"/>
          </w:rPr>
          <w:fldChar w:fldCharType="begin"/>
        </w:r>
        <w:r w:rsidR="00745FBE" w:rsidRPr="00745FBE">
          <w:rPr>
            <w:noProof/>
            <w:webHidden/>
            <w:lang w:val="fr-CH"/>
          </w:rPr>
          <w:instrText xml:space="preserve"> PAGEREF _Toc35937354 \h </w:instrText>
        </w:r>
        <w:r w:rsidR="00745FBE" w:rsidRPr="00745FBE">
          <w:rPr>
            <w:noProof/>
            <w:webHidden/>
            <w:lang w:val="fr-CH"/>
          </w:rPr>
        </w:r>
        <w:r w:rsidR="00745FBE" w:rsidRPr="00745FBE">
          <w:rPr>
            <w:noProof/>
            <w:webHidden/>
            <w:lang w:val="fr-CH"/>
          </w:rPr>
          <w:fldChar w:fldCharType="separate"/>
        </w:r>
        <w:r w:rsidR="00745FBE" w:rsidRPr="00745FBE">
          <w:rPr>
            <w:noProof/>
            <w:webHidden/>
            <w:lang w:val="fr-CH"/>
          </w:rPr>
          <w:t>8</w:t>
        </w:r>
        <w:r w:rsidR="00745FBE" w:rsidRPr="00745FBE">
          <w:rPr>
            <w:noProof/>
            <w:webHidden/>
            <w:lang w:val="fr-CH"/>
          </w:rPr>
          <w:fldChar w:fldCharType="end"/>
        </w:r>
      </w:hyperlink>
    </w:p>
    <w:p w:rsidR="00745FBE" w:rsidRPr="00745FBE" w:rsidRDefault="00ED146B">
      <w:pPr>
        <w:pStyle w:val="TOC4"/>
        <w:rPr>
          <w:rFonts w:asciiTheme="minorHAnsi" w:eastAsiaTheme="minorEastAsia" w:hAnsiTheme="minorHAnsi" w:cstheme="minorBidi"/>
          <w:i w:val="0"/>
          <w:noProof/>
          <w:sz w:val="22"/>
          <w:szCs w:val="22"/>
          <w:lang w:val="fr-CH"/>
        </w:rPr>
      </w:pPr>
      <w:hyperlink w:anchor="_Toc35937355" w:history="1">
        <w:r w:rsidR="00745FBE" w:rsidRPr="00745FBE">
          <w:rPr>
            <w:rStyle w:val="Hyperlink"/>
            <w:noProof/>
            <w:lang w:val="fr-CH"/>
          </w:rPr>
          <w:t>2.3.4</w:t>
        </w:r>
        <w:r w:rsidR="00745FBE" w:rsidRPr="00745FBE">
          <w:rPr>
            <w:rFonts w:asciiTheme="minorHAnsi" w:eastAsiaTheme="minorEastAsia" w:hAnsiTheme="minorHAnsi" w:cstheme="minorBidi"/>
            <w:i w:val="0"/>
            <w:noProof/>
            <w:sz w:val="22"/>
            <w:szCs w:val="22"/>
            <w:lang w:val="fr-CH"/>
          </w:rPr>
          <w:tab/>
        </w:r>
        <w:r w:rsidR="00745FBE" w:rsidRPr="00745FBE">
          <w:rPr>
            <w:rStyle w:val="Hyperlink"/>
            <w:noProof/>
            <w:lang w:val="fr-CH"/>
          </w:rPr>
          <w:t>Identité de l</w:t>
        </w:r>
        <w:r w:rsidR="009B26EF">
          <w:rPr>
            <w:rStyle w:val="Hyperlink"/>
            <w:noProof/>
            <w:lang w:val="fr-CH"/>
          </w:rPr>
          <w:t>’</w:t>
        </w:r>
        <w:r w:rsidR="00745FBE" w:rsidRPr="00745FBE">
          <w:rPr>
            <w:rStyle w:val="Hyperlink"/>
            <w:noProof/>
            <w:lang w:val="fr-CH"/>
          </w:rPr>
          <w:t>obtenteur</w:t>
        </w:r>
        <w:r w:rsidR="00745FBE" w:rsidRPr="00745FBE">
          <w:rPr>
            <w:noProof/>
            <w:webHidden/>
            <w:lang w:val="fr-CH"/>
          </w:rPr>
          <w:tab/>
        </w:r>
        <w:r w:rsidR="00745FBE" w:rsidRPr="00745FBE">
          <w:rPr>
            <w:noProof/>
            <w:webHidden/>
            <w:lang w:val="fr-CH"/>
          </w:rPr>
          <w:fldChar w:fldCharType="begin"/>
        </w:r>
        <w:r w:rsidR="00745FBE" w:rsidRPr="00745FBE">
          <w:rPr>
            <w:noProof/>
            <w:webHidden/>
            <w:lang w:val="fr-CH"/>
          </w:rPr>
          <w:instrText xml:space="preserve"> PAGEREF _Toc35937355 \h </w:instrText>
        </w:r>
        <w:r w:rsidR="00745FBE" w:rsidRPr="00745FBE">
          <w:rPr>
            <w:noProof/>
            <w:webHidden/>
            <w:lang w:val="fr-CH"/>
          </w:rPr>
        </w:r>
        <w:r w:rsidR="00745FBE" w:rsidRPr="00745FBE">
          <w:rPr>
            <w:noProof/>
            <w:webHidden/>
            <w:lang w:val="fr-CH"/>
          </w:rPr>
          <w:fldChar w:fldCharType="separate"/>
        </w:r>
        <w:r w:rsidR="00745FBE" w:rsidRPr="00745FBE">
          <w:rPr>
            <w:noProof/>
            <w:webHidden/>
            <w:lang w:val="fr-CH"/>
          </w:rPr>
          <w:t>8</w:t>
        </w:r>
        <w:r w:rsidR="00745FBE" w:rsidRPr="00745FBE">
          <w:rPr>
            <w:noProof/>
            <w:webHidden/>
            <w:lang w:val="fr-CH"/>
          </w:rPr>
          <w:fldChar w:fldCharType="end"/>
        </w:r>
      </w:hyperlink>
    </w:p>
    <w:p w:rsidR="00745FBE" w:rsidRPr="00745FBE" w:rsidRDefault="00ED146B">
      <w:pPr>
        <w:pStyle w:val="TOC3"/>
        <w:tabs>
          <w:tab w:val="left" w:pos="1134"/>
        </w:tabs>
        <w:rPr>
          <w:rFonts w:asciiTheme="minorHAnsi" w:eastAsiaTheme="minorEastAsia" w:hAnsiTheme="minorHAnsi" w:cstheme="minorBidi"/>
          <w:i w:val="0"/>
          <w:sz w:val="22"/>
          <w:szCs w:val="22"/>
          <w:lang w:val="fr-CH"/>
        </w:rPr>
      </w:pPr>
      <w:hyperlink w:anchor="_Toc35937356" w:history="1">
        <w:r w:rsidR="00745FBE" w:rsidRPr="00745FBE">
          <w:rPr>
            <w:rStyle w:val="Hyperlink"/>
            <w:lang w:val="fr-CH"/>
          </w:rPr>
          <w:t>2.4</w:t>
        </w:r>
        <w:r w:rsidR="00745FBE" w:rsidRPr="00745FBE">
          <w:rPr>
            <w:rFonts w:asciiTheme="minorHAnsi" w:eastAsiaTheme="minorEastAsia" w:hAnsiTheme="minorHAnsi" w:cstheme="minorBidi"/>
            <w:i w:val="0"/>
            <w:sz w:val="22"/>
            <w:szCs w:val="22"/>
            <w:lang w:val="fr-CH"/>
          </w:rPr>
          <w:tab/>
        </w:r>
        <w:r w:rsidR="00745FBE" w:rsidRPr="00745FBE">
          <w:rPr>
            <w:rStyle w:val="Hyperlink"/>
            <w:lang w:val="fr-CH"/>
          </w:rPr>
          <w:t>Être différente de toute dénomination qui désigne […] une variété préexistante de la même espèce végétale ou d</w:t>
        </w:r>
        <w:r w:rsidR="009B26EF">
          <w:rPr>
            <w:rStyle w:val="Hyperlink"/>
            <w:lang w:val="fr-CH"/>
          </w:rPr>
          <w:t>’</w:t>
        </w:r>
        <w:r w:rsidR="00745FBE" w:rsidRPr="00745FBE">
          <w:rPr>
            <w:rStyle w:val="Hyperlink"/>
            <w:lang w:val="fr-CH"/>
          </w:rPr>
          <w:t>une espèce voisine</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_Toc35937356 \h </w:instrText>
        </w:r>
        <w:r w:rsidR="00745FBE" w:rsidRPr="00745FBE">
          <w:rPr>
            <w:webHidden/>
            <w:lang w:val="fr-CH"/>
          </w:rPr>
        </w:r>
        <w:r w:rsidR="00745FBE" w:rsidRPr="00745FBE">
          <w:rPr>
            <w:webHidden/>
            <w:lang w:val="fr-CH"/>
          </w:rPr>
          <w:fldChar w:fldCharType="separate"/>
        </w:r>
        <w:r w:rsidR="00745FBE" w:rsidRPr="00745FBE">
          <w:rPr>
            <w:webHidden/>
            <w:lang w:val="fr-CH"/>
          </w:rPr>
          <w:t>9</w:t>
        </w:r>
        <w:r w:rsidR="00745FBE" w:rsidRPr="00745FBE">
          <w:rPr>
            <w:webHidden/>
            <w:lang w:val="fr-CH"/>
          </w:rPr>
          <w:fldChar w:fldCharType="end"/>
        </w:r>
      </w:hyperlink>
    </w:p>
    <w:p w:rsidR="00745FBE" w:rsidRPr="00745FBE" w:rsidRDefault="00ED146B">
      <w:pPr>
        <w:pStyle w:val="TOC3"/>
        <w:tabs>
          <w:tab w:val="left" w:pos="1134"/>
        </w:tabs>
        <w:rPr>
          <w:rFonts w:asciiTheme="minorHAnsi" w:eastAsiaTheme="minorEastAsia" w:hAnsiTheme="minorHAnsi" w:cstheme="minorBidi"/>
          <w:i w:val="0"/>
          <w:sz w:val="22"/>
          <w:szCs w:val="22"/>
          <w:lang w:val="fr-CH"/>
        </w:rPr>
      </w:pPr>
      <w:hyperlink w:anchor="_Toc35937357" w:history="1">
        <w:r w:rsidR="00745FBE" w:rsidRPr="00745FBE">
          <w:rPr>
            <w:rStyle w:val="Hyperlink"/>
            <w:lang w:val="fr-CH"/>
          </w:rPr>
          <w:t>2.5</w:t>
        </w:r>
        <w:r w:rsidR="00745FBE" w:rsidRPr="00745FBE">
          <w:rPr>
            <w:rFonts w:asciiTheme="minorHAnsi" w:eastAsiaTheme="minorEastAsia" w:hAnsiTheme="minorHAnsi" w:cstheme="minorBidi"/>
            <w:i w:val="0"/>
            <w:sz w:val="22"/>
            <w:szCs w:val="22"/>
            <w:lang w:val="fr-CH"/>
          </w:rPr>
          <w:tab/>
        </w:r>
        <w:r w:rsidR="00745FBE" w:rsidRPr="00745FBE">
          <w:rPr>
            <w:rStyle w:val="Hyperlink"/>
            <w:lang w:val="fr-CH"/>
          </w:rPr>
          <w:t>Classes de dénominations variétales</w:t>
        </w:r>
        <w:r w:rsidR="00440663">
          <w:rPr>
            <w:rStyle w:val="Hyperlink"/>
            <w:lang w:val="fr-CH"/>
          </w:rPr>
          <w:t>:</w:t>
        </w:r>
        <w:r w:rsidR="00745FBE" w:rsidRPr="00745FBE">
          <w:rPr>
            <w:rStyle w:val="Hyperlink"/>
            <w:lang w:val="fr-CH"/>
          </w:rPr>
          <w:t xml:space="preserve"> une dénomination variétale ne doit pas être utilisée plus d</w:t>
        </w:r>
        <w:r w:rsidR="009B26EF">
          <w:rPr>
            <w:rStyle w:val="Hyperlink"/>
            <w:lang w:val="fr-CH"/>
          </w:rPr>
          <w:t>’</w:t>
        </w:r>
        <w:r w:rsidR="00745FBE" w:rsidRPr="00745FBE">
          <w:rPr>
            <w:rStyle w:val="Hyperlink"/>
            <w:lang w:val="fr-CH"/>
          </w:rPr>
          <w:t>une fois dans la même classe</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_Toc35937357 \h </w:instrText>
        </w:r>
        <w:r w:rsidR="00745FBE" w:rsidRPr="00745FBE">
          <w:rPr>
            <w:webHidden/>
            <w:lang w:val="fr-CH"/>
          </w:rPr>
        </w:r>
        <w:r w:rsidR="00745FBE" w:rsidRPr="00745FBE">
          <w:rPr>
            <w:webHidden/>
            <w:lang w:val="fr-CH"/>
          </w:rPr>
          <w:fldChar w:fldCharType="separate"/>
        </w:r>
        <w:r w:rsidR="00745FBE" w:rsidRPr="00745FBE">
          <w:rPr>
            <w:webHidden/>
            <w:lang w:val="fr-CH"/>
          </w:rPr>
          <w:t>9</w:t>
        </w:r>
        <w:r w:rsidR="00745FBE" w:rsidRPr="00745FBE">
          <w:rPr>
            <w:webHidden/>
            <w:lang w:val="fr-CH"/>
          </w:rPr>
          <w:fldChar w:fldCharType="end"/>
        </w:r>
      </w:hyperlink>
    </w:p>
    <w:p w:rsidR="00745FBE" w:rsidRPr="00745FBE" w:rsidRDefault="00ED146B">
      <w:pPr>
        <w:pStyle w:val="TOC1"/>
        <w:rPr>
          <w:rFonts w:asciiTheme="minorHAnsi" w:eastAsiaTheme="minorEastAsia" w:hAnsiTheme="minorHAnsi" w:cstheme="minorBidi"/>
          <w:bCs w:val="0"/>
          <w:caps w:val="0"/>
          <w:sz w:val="22"/>
          <w:szCs w:val="22"/>
          <w:lang w:val="fr-CH"/>
        </w:rPr>
      </w:pPr>
      <w:hyperlink w:anchor="_Toc35937358" w:history="1">
        <w:r w:rsidR="00745FBE" w:rsidRPr="00745FBE">
          <w:rPr>
            <w:rStyle w:val="Hyperlink"/>
            <w:lang w:val="fr-CH"/>
          </w:rPr>
          <w:t>Paragraphe 3</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_Toc35937358 \h </w:instrText>
        </w:r>
        <w:r w:rsidR="00745FBE" w:rsidRPr="00745FBE">
          <w:rPr>
            <w:webHidden/>
            <w:lang w:val="fr-CH"/>
          </w:rPr>
        </w:r>
        <w:r w:rsidR="00745FBE" w:rsidRPr="00745FBE">
          <w:rPr>
            <w:webHidden/>
            <w:lang w:val="fr-CH"/>
          </w:rPr>
          <w:fldChar w:fldCharType="separate"/>
        </w:r>
        <w:r w:rsidR="00745FBE" w:rsidRPr="00745FBE">
          <w:rPr>
            <w:webHidden/>
            <w:lang w:val="fr-CH"/>
          </w:rPr>
          <w:t>10</w:t>
        </w:r>
        <w:r w:rsidR="00745FBE" w:rsidRPr="00745FBE">
          <w:rPr>
            <w:webHidden/>
            <w:lang w:val="fr-CH"/>
          </w:rPr>
          <w:fldChar w:fldCharType="end"/>
        </w:r>
      </w:hyperlink>
    </w:p>
    <w:p w:rsidR="00745FBE" w:rsidRPr="00745FBE" w:rsidRDefault="00ED146B">
      <w:pPr>
        <w:pStyle w:val="TOC2"/>
        <w:rPr>
          <w:rFonts w:asciiTheme="minorHAnsi" w:eastAsiaTheme="minorEastAsia" w:hAnsiTheme="minorHAnsi" w:cstheme="minorBidi"/>
          <w:sz w:val="22"/>
          <w:szCs w:val="22"/>
          <w:lang w:val="fr-CH"/>
        </w:rPr>
      </w:pPr>
      <w:hyperlink w:anchor="_Toc35937359" w:history="1">
        <w:r w:rsidR="00745FBE" w:rsidRPr="00745FBE">
          <w:rPr>
            <w:rStyle w:val="Hyperlink"/>
            <w:lang w:val="fr-CH"/>
          </w:rPr>
          <w:t>[Enregistrement de la dénomination]</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_Toc35937359 \h </w:instrText>
        </w:r>
        <w:r w:rsidR="00745FBE" w:rsidRPr="00745FBE">
          <w:rPr>
            <w:webHidden/>
            <w:lang w:val="fr-CH"/>
          </w:rPr>
        </w:r>
        <w:r w:rsidR="00745FBE" w:rsidRPr="00745FBE">
          <w:rPr>
            <w:webHidden/>
            <w:lang w:val="fr-CH"/>
          </w:rPr>
          <w:fldChar w:fldCharType="separate"/>
        </w:r>
        <w:r w:rsidR="00745FBE" w:rsidRPr="00745FBE">
          <w:rPr>
            <w:webHidden/>
            <w:lang w:val="fr-CH"/>
          </w:rPr>
          <w:t>10</w:t>
        </w:r>
        <w:r w:rsidR="00745FBE" w:rsidRPr="00745FBE">
          <w:rPr>
            <w:webHidden/>
            <w:lang w:val="fr-CH"/>
          </w:rPr>
          <w:fldChar w:fldCharType="end"/>
        </w:r>
      </w:hyperlink>
    </w:p>
    <w:p w:rsidR="00745FBE" w:rsidRPr="00745FBE" w:rsidRDefault="00ED146B">
      <w:pPr>
        <w:pStyle w:val="TOC1"/>
        <w:rPr>
          <w:rFonts w:asciiTheme="minorHAnsi" w:eastAsiaTheme="minorEastAsia" w:hAnsiTheme="minorHAnsi" w:cstheme="minorBidi"/>
          <w:bCs w:val="0"/>
          <w:caps w:val="0"/>
          <w:sz w:val="22"/>
          <w:szCs w:val="22"/>
          <w:lang w:val="fr-CH"/>
        </w:rPr>
      </w:pPr>
      <w:hyperlink w:anchor="_Toc35937360" w:history="1">
        <w:r w:rsidR="00745FBE" w:rsidRPr="00745FBE">
          <w:rPr>
            <w:rStyle w:val="Hyperlink"/>
            <w:lang w:val="fr-CH"/>
          </w:rPr>
          <w:t>Paragraphe 4</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_Toc35937360 \h </w:instrText>
        </w:r>
        <w:r w:rsidR="00745FBE" w:rsidRPr="00745FBE">
          <w:rPr>
            <w:webHidden/>
            <w:lang w:val="fr-CH"/>
          </w:rPr>
        </w:r>
        <w:r w:rsidR="00745FBE" w:rsidRPr="00745FBE">
          <w:rPr>
            <w:webHidden/>
            <w:lang w:val="fr-CH"/>
          </w:rPr>
          <w:fldChar w:fldCharType="separate"/>
        </w:r>
        <w:r w:rsidR="00745FBE" w:rsidRPr="00745FBE">
          <w:rPr>
            <w:webHidden/>
            <w:lang w:val="fr-CH"/>
          </w:rPr>
          <w:t>11</w:t>
        </w:r>
        <w:r w:rsidR="00745FBE" w:rsidRPr="00745FBE">
          <w:rPr>
            <w:webHidden/>
            <w:lang w:val="fr-CH"/>
          </w:rPr>
          <w:fldChar w:fldCharType="end"/>
        </w:r>
      </w:hyperlink>
    </w:p>
    <w:p w:rsidR="00745FBE" w:rsidRPr="00745FBE" w:rsidRDefault="00ED146B">
      <w:pPr>
        <w:pStyle w:val="TOC2"/>
        <w:rPr>
          <w:rFonts w:asciiTheme="minorHAnsi" w:eastAsiaTheme="minorEastAsia" w:hAnsiTheme="minorHAnsi" w:cstheme="minorBidi"/>
          <w:sz w:val="22"/>
          <w:szCs w:val="22"/>
          <w:lang w:val="fr-CH"/>
        </w:rPr>
      </w:pPr>
      <w:hyperlink w:anchor="_Toc35937361" w:history="1">
        <w:r w:rsidR="00745FBE" w:rsidRPr="00745FBE">
          <w:rPr>
            <w:rStyle w:val="Hyperlink"/>
            <w:lang w:val="fr-CH"/>
          </w:rPr>
          <w:t>[Droits antérieurs des tiers]</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_Toc35937361 \h </w:instrText>
        </w:r>
        <w:r w:rsidR="00745FBE" w:rsidRPr="00745FBE">
          <w:rPr>
            <w:webHidden/>
            <w:lang w:val="fr-CH"/>
          </w:rPr>
        </w:r>
        <w:r w:rsidR="00745FBE" w:rsidRPr="00745FBE">
          <w:rPr>
            <w:webHidden/>
            <w:lang w:val="fr-CH"/>
          </w:rPr>
          <w:fldChar w:fldCharType="separate"/>
        </w:r>
        <w:r w:rsidR="00745FBE" w:rsidRPr="00745FBE">
          <w:rPr>
            <w:webHidden/>
            <w:lang w:val="fr-CH"/>
          </w:rPr>
          <w:t>11</w:t>
        </w:r>
        <w:r w:rsidR="00745FBE" w:rsidRPr="00745FBE">
          <w:rPr>
            <w:webHidden/>
            <w:lang w:val="fr-CH"/>
          </w:rPr>
          <w:fldChar w:fldCharType="end"/>
        </w:r>
      </w:hyperlink>
    </w:p>
    <w:p w:rsidR="00745FBE" w:rsidRPr="00745FBE" w:rsidRDefault="00ED146B">
      <w:pPr>
        <w:pStyle w:val="TOC1"/>
        <w:rPr>
          <w:rFonts w:asciiTheme="minorHAnsi" w:eastAsiaTheme="minorEastAsia" w:hAnsiTheme="minorHAnsi" w:cstheme="minorBidi"/>
          <w:bCs w:val="0"/>
          <w:caps w:val="0"/>
          <w:sz w:val="22"/>
          <w:szCs w:val="22"/>
          <w:lang w:val="fr-CH"/>
        </w:rPr>
      </w:pPr>
      <w:hyperlink w:anchor="_Toc35937362" w:history="1">
        <w:r w:rsidR="00745FBE" w:rsidRPr="00745FBE">
          <w:rPr>
            <w:rStyle w:val="Hyperlink"/>
            <w:lang w:val="fr-CH"/>
          </w:rPr>
          <w:t>Paragraphe 5</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_Toc35937362 \h </w:instrText>
        </w:r>
        <w:r w:rsidR="00745FBE" w:rsidRPr="00745FBE">
          <w:rPr>
            <w:webHidden/>
            <w:lang w:val="fr-CH"/>
          </w:rPr>
        </w:r>
        <w:r w:rsidR="00745FBE" w:rsidRPr="00745FBE">
          <w:rPr>
            <w:webHidden/>
            <w:lang w:val="fr-CH"/>
          </w:rPr>
          <w:fldChar w:fldCharType="separate"/>
        </w:r>
        <w:r w:rsidR="00745FBE" w:rsidRPr="00745FBE">
          <w:rPr>
            <w:webHidden/>
            <w:lang w:val="fr-CH"/>
          </w:rPr>
          <w:t>13</w:t>
        </w:r>
        <w:r w:rsidR="00745FBE" w:rsidRPr="00745FBE">
          <w:rPr>
            <w:webHidden/>
            <w:lang w:val="fr-CH"/>
          </w:rPr>
          <w:fldChar w:fldCharType="end"/>
        </w:r>
      </w:hyperlink>
    </w:p>
    <w:p w:rsidR="00745FBE" w:rsidRPr="00745FBE" w:rsidRDefault="00ED146B">
      <w:pPr>
        <w:pStyle w:val="TOC2"/>
        <w:rPr>
          <w:rFonts w:asciiTheme="minorHAnsi" w:eastAsiaTheme="minorEastAsia" w:hAnsiTheme="minorHAnsi" w:cstheme="minorBidi"/>
          <w:sz w:val="22"/>
          <w:szCs w:val="22"/>
          <w:lang w:val="fr-CH"/>
        </w:rPr>
      </w:pPr>
      <w:hyperlink w:anchor="_Toc35937363" w:history="1">
        <w:r w:rsidR="00745FBE" w:rsidRPr="00745FBE">
          <w:rPr>
            <w:rStyle w:val="Hyperlink"/>
            <w:lang w:val="fr-CH"/>
          </w:rPr>
          <w:t>[Même dénomination dans tous les membres de l</w:t>
        </w:r>
        <w:r w:rsidR="009B26EF">
          <w:rPr>
            <w:rStyle w:val="Hyperlink"/>
            <w:lang w:val="fr-CH"/>
          </w:rPr>
          <w:t>’</w:t>
        </w:r>
        <w:r w:rsidR="00745FBE" w:rsidRPr="00745FBE">
          <w:rPr>
            <w:rStyle w:val="Hyperlink"/>
            <w:lang w:val="fr-CH"/>
          </w:rPr>
          <w:t>Union]</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_Toc35937363 \h </w:instrText>
        </w:r>
        <w:r w:rsidR="00745FBE" w:rsidRPr="00745FBE">
          <w:rPr>
            <w:webHidden/>
            <w:lang w:val="fr-CH"/>
          </w:rPr>
        </w:r>
        <w:r w:rsidR="00745FBE" w:rsidRPr="00745FBE">
          <w:rPr>
            <w:webHidden/>
            <w:lang w:val="fr-CH"/>
          </w:rPr>
          <w:fldChar w:fldCharType="separate"/>
        </w:r>
        <w:r w:rsidR="00745FBE" w:rsidRPr="00745FBE">
          <w:rPr>
            <w:webHidden/>
            <w:lang w:val="fr-CH"/>
          </w:rPr>
          <w:t>13</w:t>
        </w:r>
        <w:r w:rsidR="00745FBE" w:rsidRPr="00745FBE">
          <w:rPr>
            <w:webHidden/>
            <w:lang w:val="fr-CH"/>
          </w:rPr>
          <w:fldChar w:fldCharType="end"/>
        </w:r>
      </w:hyperlink>
    </w:p>
    <w:p w:rsidR="00745FBE" w:rsidRPr="00745FBE" w:rsidRDefault="00ED146B">
      <w:pPr>
        <w:pStyle w:val="TOC1"/>
        <w:rPr>
          <w:rFonts w:asciiTheme="minorHAnsi" w:eastAsiaTheme="minorEastAsia" w:hAnsiTheme="minorHAnsi" w:cstheme="minorBidi"/>
          <w:bCs w:val="0"/>
          <w:caps w:val="0"/>
          <w:sz w:val="22"/>
          <w:szCs w:val="22"/>
          <w:lang w:val="fr-CH"/>
        </w:rPr>
      </w:pPr>
      <w:hyperlink w:anchor="_Toc35937364" w:history="1">
        <w:r w:rsidR="00745FBE" w:rsidRPr="00745FBE">
          <w:rPr>
            <w:rStyle w:val="Hyperlink"/>
            <w:lang w:val="fr-CH"/>
          </w:rPr>
          <w:t>Paragraphe 6</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_Toc35937364 \h </w:instrText>
        </w:r>
        <w:r w:rsidR="00745FBE" w:rsidRPr="00745FBE">
          <w:rPr>
            <w:webHidden/>
            <w:lang w:val="fr-CH"/>
          </w:rPr>
        </w:r>
        <w:r w:rsidR="00745FBE" w:rsidRPr="00745FBE">
          <w:rPr>
            <w:webHidden/>
            <w:lang w:val="fr-CH"/>
          </w:rPr>
          <w:fldChar w:fldCharType="separate"/>
        </w:r>
        <w:r w:rsidR="00745FBE" w:rsidRPr="00745FBE">
          <w:rPr>
            <w:webHidden/>
            <w:lang w:val="fr-CH"/>
          </w:rPr>
          <w:t>15</w:t>
        </w:r>
        <w:r w:rsidR="00745FBE" w:rsidRPr="00745FBE">
          <w:rPr>
            <w:webHidden/>
            <w:lang w:val="fr-CH"/>
          </w:rPr>
          <w:fldChar w:fldCharType="end"/>
        </w:r>
      </w:hyperlink>
    </w:p>
    <w:p w:rsidR="00745FBE" w:rsidRPr="00745FBE" w:rsidRDefault="00ED146B">
      <w:pPr>
        <w:pStyle w:val="TOC2"/>
        <w:rPr>
          <w:rFonts w:asciiTheme="minorHAnsi" w:eastAsiaTheme="minorEastAsia" w:hAnsiTheme="minorHAnsi" w:cstheme="minorBidi"/>
          <w:sz w:val="22"/>
          <w:szCs w:val="22"/>
          <w:lang w:val="fr-CH"/>
        </w:rPr>
      </w:pPr>
      <w:hyperlink w:anchor="_Toc35937365" w:history="1">
        <w:r w:rsidR="00745FBE" w:rsidRPr="00745FBE">
          <w:rPr>
            <w:rStyle w:val="Hyperlink"/>
            <w:lang w:val="fr-CH"/>
          </w:rPr>
          <w:t>[Information mutuelle des services des membres de l</w:t>
        </w:r>
        <w:r w:rsidR="009B26EF">
          <w:rPr>
            <w:rStyle w:val="Hyperlink"/>
            <w:lang w:val="fr-CH"/>
          </w:rPr>
          <w:t>’</w:t>
        </w:r>
        <w:r w:rsidR="00745FBE" w:rsidRPr="00745FBE">
          <w:rPr>
            <w:rStyle w:val="Hyperlink"/>
            <w:lang w:val="fr-CH"/>
          </w:rPr>
          <w:t>Union]</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_Toc35937365 \h </w:instrText>
        </w:r>
        <w:r w:rsidR="00745FBE" w:rsidRPr="00745FBE">
          <w:rPr>
            <w:webHidden/>
            <w:lang w:val="fr-CH"/>
          </w:rPr>
        </w:r>
        <w:r w:rsidR="00745FBE" w:rsidRPr="00745FBE">
          <w:rPr>
            <w:webHidden/>
            <w:lang w:val="fr-CH"/>
          </w:rPr>
          <w:fldChar w:fldCharType="separate"/>
        </w:r>
        <w:r w:rsidR="00745FBE" w:rsidRPr="00745FBE">
          <w:rPr>
            <w:webHidden/>
            <w:lang w:val="fr-CH"/>
          </w:rPr>
          <w:t>15</w:t>
        </w:r>
        <w:r w:rsidR="00745FBE" w:rsidRPr="00745FBE">
          <w:rPr>
            <w:webHidden/>
            <w:lang w:val="fr-CH"/>
          </w:rPr>
          <w:fldChar w:fldCharType="end"/>
        </w:r>
      </w:hyperlink>
    </w:p>
    <w:p w:rsidR="00745FBE" w:rsidRPr="00745FBE" w:rsidRDefault="00ED146B">
      <w:pPr>
        <w:pStyle w:val="TOC1"/>
        <w:rPr>
          <w:rFonts w:asciiTheme="minorHAnsi" w:eastAsiaTheme="minorEastAsia" w:hAnsiTheme="minorHAnsi" w:cstheme="minorBidi"/>
          <w:bCs w:val="0"/>
          <w:caps w:val="0"/>
          <w:sz w:val="22"/>
          <w:szCs w:val="22"/>
          <w:lang w:val="fr-CH"/>
        </w:rPr>
      </w:pPr>
      <w:hyperlink w:anchor="_Toc35937366" w:history="1">
        <w:r w:rsidR="00745FBE" w:rsidRPr="00745FBE">
          <w:rPr>
            <w:rStyle w:val="Hyperlink"/>
            <w:lang w:val="fr-CH"/>
          </w:rPr>
          <w:t>Paragraphe 7</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_Toc35937366 \h </w:instrText>
        </w:r>
        <w:r w:rsidR="00745FBE" w:rsidRPr="00745FBE">
          <w:rPr>
            <w:webHidden/>
            <w:lang w:val="fr-CH"/>
          </w:rPr>
        </w:r>
        <w:r w:rsidR="00745FBE" w:rsidRPr="00745FBE">
          <w:rPr>
            <w:webHidden/>
            <w:lang w:val="fr-CH"/>
          </w:rPr>
          <w:fldChar w:fldCharType="separate"/>
        </w:r>
        <w:r w:rsidR="00745FBE" w:rsidRPr="00745FBE">
          <w:rPr>
            <w:webHidden/>
            <w:lang w:val="fr-CH"/>
          </w:rPr>
          <w:t>16</w:t>
        </w:r>
        <w:r w:rsidR="00745FBE" w:rsidRPr="00745FBE">
          <w:rPr>
            <w:webHidden/>
            <w:lang w:val="fr-CH"/>
          </w:rPr>
          <w:fldChar w:fldCharType="end"/>
        </w:r>
      </w:hyperlink>
    </w:p>
    <w:p w:rsidR="00745FBE" w:rsidRPr="00745FBE" w:rsidRDefault="00ED146B">
      <w:pPr>
        <w:pStyle w:val="TOC2"/>
        <w:rPr>
          <w:rFonts w:asciiTheme="minorHAnsi" w:eastAsiaTheme="minorEastAsia" w:hAnsiTheme="minorHAnsi" w:cstheme="minorBidi"/>
          <w:sz w:val="22"/>
          <w:szCs w:val="22"/>
          <w:lang w:val="fr-CH"/>
        </w:rPr>
      </w:pPr>
      <w:hyperlink w:anchor="_Toc35937367" w:history="1">
        <w:r w:rsidR="00745FBE" w:rsidRPr="00745FBE">
          <w:rPr>
            <w:rStyle w:val="Hyperlink"/>
            <w:lang w:val="fr-CH"/>
          </w:rPr>
          <w:t>[Obligation d</w:t>
        </w:r>
        <w:r w:rsidR="009B26EF">
          <w:rPr>
            <w:rStyle w:val="Hyperlink"/>
            <w:lang w:val="fr-CH"/>
          </w:rPr>
          <w:t>’</w:t>
        </w:r>
        <w:r w:rsidR="00745FBE" w:rsidRPr="00745FBE">
          <w:rPr>
            <w:rStyle w:val="Hyperlink"/>
            <w:lang w:val="fr-CH"/>
          </w:rPr>
          <w:t>utiliser la dénomination]</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_Toc35937367 \h </w:instrText>
        </w:r>
        <w:r w:rsidR="00745FBE" w:rsidRPr="00745FBE">
          <w:rPr>
            <w:webHidden/>
            <w:lang w:val="fr-CH"/>
          </w:rPr>
        </w:r>
        <w:r w:rsidR="00745FBE" w:rsidRPr="00745FBE">
          <w:rPr>
            <w:webHidden/>
            <w:lang w:val="fr-CH"/>
          </w:rPr>
          <w:fldChar w:fldCharType="separate"/>
        </w:r>
        <w:r w:rsidR="00745FBE" w:rsidRPr="00745FBE">
          <w:rPr>
            <w:webHidden/>
            <w:lang w:val="fr-CH"/>
          </w:rPr>
          <w:t>16</w:t>
        </w:r>
        <w:r w:rsidR="00745FBE" w:rsidRPr="00745FBE">
          <w:rPr>
            <w:webHidden/>
            <w:lang w:val="fr-CH"/>
          </w:rPr>
          <w:fldChar w:fldCharType="end"/>
        </w:r>
      </w:hyperlink>
    </w:p>
    <w:p w:rsidR="00745FBE" w:rsidRPr="00745FBE" w:rsidRDefault="00ED146B">
      <w:pPr>
        <w:pStyle w:val="TOC1"/>
        <w:rPr>
          <w:rFonts w:asciiTheme="minorHAnsi" w:eastAsiaTheme="minorEastAsia" w:hAnsiTheme="minorHAnsi" w:cstheme="minorBidi"/>
          <w:bCs w:val="0"/>
          <w:caps w:val="0"/>
          <w:sz w:val="22"/>
          <w:szCs w:val="22"/>
          <w:lang w:val="fr-CH"/>
        </w:rPr>
      </w:pPr>
      <w:hyperlink w:anchor="_Toc35937368" w:history="1">
        <w:r w:rsidR="00745FBE" w:rsidRPr="00745FBE">
          <w:rPr>
            <w:rStyle w:val="Hyperlink"/>
            <w:lang w:val="fr-CH"/>
          </w:rPr>
          <w:t>Paragraphe 8</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_Toc35937368 \h </w:instrText>
        </w:r>
        <w:r w:rsidR="00745FBE" w:rsidRPr="00745FBE">
          <w:rPr>
            <w:webHidden/>
            <w:lang w:val="fr-CH"/>
          </w:rPr>
        </w:r>
        <w:r w:rsidR="00745FBE" w:rsidRPr="00745FBE">
          <w:rPr>
            <w:webHidden/>
            <w:lang w:val="fr-CH"/>
          </w:rPr>
          <w:fldChar w:fldCharType="separate"/>
        </w:r>
        <w:r w:rsidR="00745FBE" w:rsidRPr="00745FBE">
          <w:rPr>
            <w:webHidden/>
            <w:lang w:val="fr-CH"/>
          </w:rPr>
          <w:t>17</w:t>
        </w:r>
        <w:r w:rsidR="00745FBE" w:rsidRPr="00745FBE">
          <w:rPr>
            <w:webHidden/>
            <w:lang w:val="fr-CH"/>
          </w:rPr>
          <w:fldChar w:fldCharType="end"/>
        </w:r>
      </w:hyperlink>
    </w:p>
    <w:p w:rsidR="00745FBE" w:rsidRPr="00745FBE" w:rsidRDefault="00ED146B">
      <w:pPr>
        <w:pStyle w:val="TOC2"/>
        <w:rPr>
          <w:rFonts w:asciiTheme="minorHAnsi" w:eastAsiaTheme="minorEastAsia" w:hAnsiTheme="minorHAnsi" w:cstheme="minorBidi"/>
          <w:sz w:val="22"/>
          <w:szCs w:val="22"/>
          <w:lang w:val="fr-CH"/>
        </w:rPr>
      </w:pPr>
      <w:hyperlink w:anchor="_Toc35937369" w:history="1">
        <w:r w:rsidR="00745FBE" w:rsidRPr="00745FBE">
          <w:rPr>
            <w:rStyle w:val="Hyperlink"/>
            <w:lang w:val="fr-CH"/>
          </w:rPr>
          <w:t>[Indications utilisées en association avec des dénominations]</w:t>
        </w:r>
        <w:r w:rsidR="00745FBE" w:rsidRPr="00745FBE">
          <w:rPr>
            <w:webHidden/>
            <w:lang w:val="fr-CH"/>
          </w:rPr>
          <w:tab/>
        </w:r>
        <w:r w:rsidR="00745FBE" w:rsidRPr="00745FBE">
          <w:rPr>
            <w:webHidden/>
            <w:lang w:val="fr-CH"/>
          </w:rPr>
          <w:fldChar w:fldCharType="begin"/>
        </w:r>
        <w:r w:rsidR="00745FBE" w:rsidRPr="00745FBE">
          <w:rPr>
            <w:webHidden/>
            <w:lang w:val="fr-CH"/>
          </w:rPr>
          <w:instrText xml:space="preserve"> PAGEREF _Toc35937369 \h </w:instrText>
        </w:r>
        <w:r w:rsidR="00745FBE" w:rsidRPr="00745FBE">
          <w:rPr>
            <w:webHidden/>
            <w:lang w:val="fr-CH"/>
          </w:rPr>
        </w:r>
        <w:r w:rsidR="00745FBE" w:rsidRPr="00745FBE">
          <w:rPr>
            <w:webHidden/>
            <w:lang w:val="fr-CH"/>
          </w:rPr>
          <w:fldChar w:fldCharType="separate"/>
        </w:r>
        <w:r w:rsidR="00745FBE" w:rsidRPr="00745FBE">
          <w:rPr>
            <w:webHidden/>
            <w:lang w:val="fr-CH"/>
          </w:rPr>
          <w:t>17</w:t>
        </w:r>
        <w:r w:rsidR="00745FBE" w:rsidRPr="00745FBE">
          <w:rPr>
            <w:webHidden/>
            <w:lang w:val="fr-CH"/>
          </w:rPr>
          <w:fldChar w:fldCharType="end"/>
        </w:r>
      </w:hyperlink>
    </w:p>
    <w:p w:rsidR="00797CB8" w:rsidRPr="00745FBE" w:rsidRDefault="00D46C27" w:rsidP="00D706BE">
      <w:pPr>
        <w:rPr>
          <w:noProof/>
          <w:sz w:val="18"/>
          <w:lang w:val="fr-CH"/>
        </w:rPr>
      </w:pPr>
      <w:r w:rsidRPr="00745FBE">
        <w:rPr>
          <w:rFonts w:cs="Arial"/>
          <w:noProof/>
          <w:sz w:val="18"/>
          <w:szCs w:val="18"/>
          <w:lang w:val="fr-CH"/>
        </w:rPr>
        <w:fldChar w:fldCharType="end"/>
      </w:r>
    </w:p>
    <w:p w:rsidR="00797CB8" w:rsidRPr="00745FBE" w:rsidRDefault="00D706BE" w:rsidP="00606097">
      <w:pPr>
        <w:ind w:left="1134" w:right="1275" w:hanging="1134"/>
        <w:rPr>
          <w:noProof/>
          <w:sz w:val="18"/>
          <w:lang w:val="fr-CH"/>
        </w:rPr>
      </w:pPr>
      <w:r w:rsidRPr="00745FBE">
        <w:rPr>
          <w:noProof/>
          <w:sz w:val="18"/>
          <w:lang w:val="fr-CH"/>
        </w:rPr>
        <w:t>ANNEX</w:t>
      </w:r>
      <w:r w:rsidR="00745FBE">
        <w:rPr>
          <w:noProof/>
          <w:sz w:val="18"/>
          <w:lang w:val="fr-CH"/>
        </w:rPr>
        <w:t>E</w:t>
      </w:r>
      <w:r w:rsidRPr="00745FBE">
        <w:rPr>
          <w:noProof/>
          <w:sz w:val="18"/>
          <w:lang w:val="fr-CH"/>
        </w:rPr>
        <w:t xml:space="preserve"> I</w:t>
      </w:r>
      <w:r w:rsidR="00784873">
        <w:rPr>
          <w:noProof/>
          <w:sz w:val="18"/>
          <w:lang w:val="fr-CH"/>
        </w:rPr>
        <w:t> </w:t>
      </w:r>
      <w:r w:rsidRPr="00745FBE">
        <w:rPr>
          <w:noProof/>
          <w:sz w:val="18"/>
          <w:lang w:val="fr-CH"/>
        </w:rPr>
        <w:t xml:space="preserve">: </w:t>
      </w:r>
      <w:r w:rsidRPr="00745FBE">
        <w:rPr>
          <w:noProof/>
          <w:sz w:val="18"/>
          <w:lang w:val="fr-CH"/>
        </w:rPr>
        <w:tab/>
      </w:r>
      <w:r w:rsidR="0019303E" w:rsidRPr="0019303E">
        <w:rPr>
          <w:noProof/>
          <w:sz w:val="18"/>
          <w:lang w:val="fr-CH"/>
        </w:rPr>
        <w:t>Classes de dénominations variétales de l</w:t>
      </w:r>
      <w:r w:rsidR="009B26EF">
        <w:rPr>
          <w:noProof/>
          <w:sz w:val="18"/>
          <w:lang w:val="fr-CH"/>
        </w:rPr>
        <w:t>’</w:t>
      </w:r>
      <w:r w:rsidR="0019303E" w:rsidRPr="0019303E">
        <w:rPr>
          <w:noProof/>
          <w:sz w:val="18"/>
          <w:lang w:val="fr-CH"/>
        </w:rPr>
        <w:t>UPOV</w:t>
      </w:r>
      <w:r w:rsidR="009B26EF">
        <w:rPr>
          <w:noProof/>
          <w:sz w:val="18"/>
          <w:lang w:val="fr-CH"/>
        </w:rPr>
        <w:t> :</w:t>
      </w:r>
      <w:r w:rsidR="0019303E" w:rsidRPr="0019303E">
        <w:rPr>
          <w:noProof/>
          <w:sz w:val="18"/>
          <w:lang w:val="fr-CH"/>
        </w:rPr>
        <w:t xml:space="preserve"> une dénomination variétale ne doit pas être utilisée plus d</w:t>
      </w:r>
      <w:r w:rsidR="009B26EF">
        <w:rPr>
          <w:noProof/>
          <w:sz w:val="18"/>
          <w:lang w:val="fr-CH"/>
        </w:rPr>
        <w:t>’</w:t>
      </w:r>
      <w:r w:rsidR="0019303E" w:rsidRPr="0019303E">
        <w:rPr>
          <w:noProof/>
          <w:sz w:val="18"/>
          <w:lang w:val="fr-CH"/>
        </w:rPr>
        <w:t>une fois dans la même classe</w:t>
      </w:r>
    </w:p>
    <w:p w:rsidR="00797CB8" w:rsidRPr="00745FBE" w:rsidRDefault="00797CB8" w:rsidP="00012886">
      <w:pPr>
        <w:ind w:left="1134" w:right="1275" w:hanging="1134"/>
        <w:rPr>
          <w:noProof/>
          <w:sz w:val="18"/>
          <w:lang w:val="fr-CH"/>
        </w:rPr>
      </w:pPr>
    </w:p>
    <w:p w:rsidR="00797CB8" w:rsidRPr="00745FBE" w:rsidRDefault="00012886" w:rsidP="00606097">
      <w:pPr>
        <w:tabs>
          <w:tab w:val="left" w:pos="1134"/>
        </w:tabs>
        <w:ind w:left="1276" w:right="1275" w:hanging="1276"/>
        <w:jc w:val="left"/>
        <w:rPr>
          <w:noProof/>
          <w:sz w:val="18"/>
          <w:lang w:val="fr-CH"/>
        </w:rPr>
      </w:pPr>
      <w:r w:rsidRPr="00745FBE">
        <w:rPr>
          <w:noProof/>
          <w:sz w:val="18"/>
          <w:lang w:val="fr-CH"/>
        </w:rPr>
        <w:t>ANNEX</w:t>
      </w:r>
      <w:r w:rsidR="00745FBE">
        <w:rPr>
          <w:noProof/>
          <w:sz w:val="18"/>
          <w:lang w:val="fr-CH"/>
        </w:rPr>
        <w:t>E</w:t>
      </w:r>
      <w:r w:rsidRPr="00745FBE">
        <w:rPr>
          <w:noProof/>
          <w:sz w:val="18"/>
          <w:lang w:val="fr-CH"/>
        </w:rPr>
        <w:t xml:space="preserve"> II</w:t>
      </w:r>
      <w:r w:rsidR="00784873">
        <w:rPr>
          <w:noProof/>
          <w:sz w:val="18"/>
          <w:lang w:val="fr-CH"/>
        </w:rPr>
        <w:t> </w:t>
      </w:r>
      <w:r w:rsidRPr="00745FBE">
        <w:rPr>
          <w:noProof/>
          <w:sz w:val="18"/>
          <w:lang w:val="fr-CH"/>
        </w:rPr>
        <w:t xml:space="preserve">: </w:t>
      </w:r>
      <w:r w:rsidRPr="00745FBE">
        <w:rPr>
          <w:noProof/>
          <w:sz w:val="18"/>
          <w:lang w:val="fr-CH"/>
        </w:rPr>
        <w:tab/>
      </w:r>
      <w:r w:rsidR="009B26EF">
        <w:rPr>
          <w:noProof/>
          <w:sz w:val="18"/>
          <w:lang w:val="fr-CH"/>
        </w:rPr>
        <w:t>-</w:t>
      </w:r>
      <w:r w:rsidR="00606097">
        <w:rPr>
          <w:noProof/>
          <w:sz w:val="18"/>
          <w:lang w:val="fr-CH"/>
        </w:rPr>
        <w:tab/>
      </w:r>
      <w:r w:rsidR="0019303E" w:rsidRPr="0019303E">
        <w:rPr>
          <w:noProof/>
          <w:sz w:val="18"/>
          <w:lang w:val="fr-CH"/>
        </w:rPr>
        <w:t>Formulaire type pour la soumission d</w:t>
      </w:r>
      <w:r w:rsidR="009B26EF">
        <w:rPr>
          <w:noProof/>
          <w:sz w:val="18"/>
          <w:lang w:val="fr-CH"/>
        </w:rPr>
        <w:t>’</w:t>
      </w:r>
      <w:r w:rsidR="0019303E" w:rsidRPr="0019303E">
        <w:rPr>
          <w:noProof/>
          <w:sz w:val="18"/>
          <w:lang w:val="fr-CH"/>
        </w:rPr>
        <w:t>observations sur des dénominations variétales</w:t>
      </w:r>
      <w:r w:rsidR="0019303E">
        <w:rPr>
          <w:noProof/>
          <w:sz w:val="18"/>
          <w:lang w:val="fr-CH"/>
        </w:rPr>
        <w:t xml:space="preserve"> </w:t>
      </w:r>
      <w:r w:rsidR="0019303E" w:rsidRPr="0019303E">
        <w:rPr>
          <w:noProof/>
          <w:sz w:val="18"/>
          <w:lang w:val="fr-CH"/>
        </w:rPr>
        <w:t>proposées déposées auprès d</w:t>
      </w:r>
      <w:r w:rsidR="009B26EF">
        <w:rPr>
          <w:noProof/>
          <w:sz w:val="18"/>
          <w:lang w:val="fr-CH"/>
        </w:rPr>
        <w:t>’</w:t>
      </w:r>
      <w:r w:rsidR="0019303E" w:rsidRPr="0019303E">
        <w:rPr>
          <w:noProof/>
          <w:sz w:val="18"/>
          <w:lang w:val="fr-CH"/>
        </w:rPr>
        <w:t>un autre membre de l</w:t>
      </w:r>
      <w:r w:rsidR="009B26EF">
        <w:rPr>
          <w:noProof/>
          <w:sz w:val="18"/>
          <w:lang w:val="fr-CH"/>
        </w:rPr>
        <w:t>’</w:t>
      </w:r>
      <w:r w:rsidR="0019303E" w:rsidRPr="0019303E">
        <w:rPr>
          <w:noProof/>
          <w:sz w:val="18"/>
          <w:lang w:val="fr-CH"/>
        </w:rPr>
        <w:t>Union</w:t>
      </w:r>
    </w:p>
    <w:p w:rsidR="00797CB8" w:rsidRPr="00745FBE" w:rsidRDefault="00797CB8" w:rsidP="0094333D">
      <w:pPr>
        <w:tabs>
          <w:tab w:val="left" w:pos="993"/>
        </w:tabs>
        <w:ind w:left="1134" w:right="1275" w:hanging="1134"/>
        <w:jc w:val="left"/>
        <w:rPr>
          <w:noProof/>
          <w:sz w:val="18"/>
          <w:lang w:val="fr-CH"/>
        </w:rPr>
      </w:pPr>
    </w:p>
    <w:p w:rsidR="009B26EF" w:rsidRDefault="00012886" w:rsidP="00606097">
      <w:pPr>
        <w:tabs>
          <w:tab w:val="left" w:pos="1134"/>
        </w:tabs>
        <w:ind w:left="1276" w:right="1275" w:hanging="1276"/>
        <w:jc w:val="left"/>
        <w:rPr>
          <w:noProof/>
          <w:sz w:val="18"/>
          <w:lang w:val="fr-CH"/>
        </w:rPr>
      </w:pPr>
      <w:r w:rsidRPr="00745FBE">
        <w:rPr>
          <w:noProof/>
          <w:sz w:val="18"/>
          <w:lang w:val="fr-CH"/>
        </w:rPr>
        <w:tab/>
      </w:r>
      <w:r w:rsidR="009B26EF">
        <w:rPr>
          <w:noProof/>
          <w:sz w:val="18"/>
          <w:lang w:val="fr-CH"/>
        </w:rPr>
        <w:t>-</w:t>
      </w:r>
      <w:r w:rsidRPr="00745FBE">
        <w:rPr>
          <w:noProof/>
          <w:sz w:val="18"/>
          <w:lang w:val="fr-CH"/>
        </w:rPr>
        <w:tab/>
      </w:r>
      <w:r w:rsidR="0019303E" w:rsidRPr="0019303E">
        <w:rPr>
          <w:noProof/>
          <w:sz w:val="18"/>
          <w:lang w:val="fr-CH"/>
        </w:rPr>
        <w:t>Réponse type aux observations sur des dénominations variétales proposées</w:t>
      </w:r>
      <w:r w:rsidR="0019303E">
        <w:rPr>
          <w:noProof/>
          <w:sz w:val="18"/>
          <w:lang w:val="fr-CH"/>
        </w:rPr>
        <w:t xml:space="preserve"> </w:t>
      </w:r>
      <w:r w:rsidR="0019303E" w:rsidRPr="009B26EF">
        <w:rPr>
          <w:noProof/>
          <w:sz w:val="18"/>
          <w:lang w:val="fr-CH"/>
        </w:rPr>
        <w:t>déposées auprès d</w:t>
      </w:r>
      <w:r w:rsidR="009B26EF">
        <w:rPr>
          <w:noProof/>
          <w:sz w:val="18"/>
          <w:lang w:val="fr-CH"/>
        </w:rPr>
        <w:t>’</w:t>
      </w:r>
      <w:r w:rsidR="0019303E" w:rsidRPr="009B26EF">
        <w:rPr>
          <w:noProof/>
          <w:sz w:val="18"/>
          <w:lang w:val="fr-CH"/>
        </w:rPr>
        <w:t>un autre membre de l</w:t>
      </w:r>
      <w:r w:rsidR="009B26EF">
        <w:rPr>
          <w:noProof/>
          <w:sz w:val="18"/>
          <w:lang w:val="fr-CH"/>
        </w:rPr>
        <w:t>’</w:t>
      </w:r>
      <w:r w:rsidR="0019303E" w:rsidRPr="009B26EF">
        <w:rPr>
          <w:noProof/>
          <w:sz w:val="18"/>
          <w:lang w:val="fr-CH"/>
        </w:rPr>
        <w:t>Union</w:t>
      </w:r>
    </w:p>
    <w:p w:rsidR="00797CB8" w:rsidRPr="009B26EF" w:rsidRDefault="00797CB8" w:rsidP="00893C7D">
      <w:pPr>
        <w:jc w:val="center"/>
        <w:rPr>
          <w:caps/>
          <w:lang w:val="fr-CH"/>
        </w:rPr>
      </w:pPr>
    </w:p>
    <w:p w:rsidR="00797CB8" w:rsidRPr="009B26EF" w:rsidRDefault="00893C7D" w:rsidP="00893C7D">
      <w:pPr>
        <w:tabs>
          <w:tab w:val="left" w:pos="567"/>
        </w:tabs>
        <w:jc w:val="left"/>
        <w:rPr>
          <w:lang w:val="fr-CH"/>
        </w:rPr>
      </w:pPr>
      <w:r w:rsidRPr="009B26EF">
        <w:rPr>
          <w:lang w:val="fr-CH"/>
        </w:rPr>
        <w:br w:type="page"/>
      </w:r>
    </w:p>
    <w:p w:rsidR="00797CB8" w:rsidRPr="00745FBE" w:rsidRDefault="00EF6837" w:rsidP="00EF6837">
      <w:pPr>
        <w:spacing w:before="120"/>
        <w:jc w:val="center"/>
        <w:rPr>
          <w:lang w:val="fr-CH"/>
        </w:rPr>
      </w:pPr>
      <w:r w:rsidRPr="00745FBE">
        <w:rPr>
          <w:lang w:val="fr-CH"/>
        </w:rPr>
        <w:lastRenderedPageBreak/>
        <w:t xml:space="preserve">NOTES EXPLICATIVES CONCERNANT LES DÉNOMINATIONS VARIÉTALES </w:t>
      </w:r>
      <w:r w:rsidR="00606097">
        <w:rPr>
          <w:lang w:val="fr-CH"/>
        </w:rPr>
        <w:br/>
      </w:r>
      <w:r w:rsidRPr="00745FBE">
        <w:rPr>
          <w:lang w:val="fr-CH"/>
        </w:rPr>
        <w:t>EN VERTU DE LA </w:t>
      </w:r>
      <w:r w:rsidR="009B26EF">
        <w:rPr>
          <w:lang w:val="fr-CH"/>
        </w:rPr>
        <w:t>CONVENTION UPOV</w:t>
      </w:r>
    </w:p>
    <w:p w:rsidR="00797CB8" w:rsidRPr="00745FBE" w:rsidRDefault="00797CB8" w:rsidP="00EF6837">
      <w:pPr>
        <w:rPr>
          <w:lang w:val="fr-CH"/>
        </w:rPr>
      </w:pPr>
    </w:p>
    <w:p w:rsidR="00797CB8" w:rsidRPr="00745FBE" w:rsidRDefault="00EF6837" w:rsidP="00EF6837">
      <w:pPr>
        <w:pStyle w:val="Heading1"/>
        <w:rPr>
          <w:lang w:val="fr-CH"/>
        </w:rPr>
      </w:pPr>
      <w:bookmarkStart w:id="3" w:name="_Toc35937344"/>
      <w:r w:rsidRPr="00745FBE">
        <w:rPr>
          <w:lang w:val="fr-CH"/>
        </w:rPr>
        <w:t>PRÉAMBULE</w:t>
      </w:r>
      <w:bookmarkEnd w:id="3"/>
    </w:p>
    <w:p w:rsidR="00797CB8" w:rsidRPr="00745FBE" w:rsidRDefault="00797CB8" w:rsidP="00EF6837">
      <w:pPr>
        <w:rPr>
          <w:lang w:val="fr-CH"/>
        </w:rPr>
      </w:pPr>
    </w:p>
    <w:p w:rsidR="00797CB8" w:rsidRPr="00745FBE" w:rsidRDefault="00EF6837" w:rsidP="00EF6837">
      <w:pPr>
        <w:rPr>
          <w:lang w:val="fr-CH"/>
        </w:rPr>
      </w:pPr>
      <w:r w:rsidRPr="00745FBE">
        <w:rPr>
          <w:lang w:val="fr-CH"/>
        </w:rPr>
        <w:t>1.</w:t>
      </w:r>
      <w:r w:rsidRPr="00745FBE">
        <w:rPr>
          <w:lang w:val="fr-CH"/>
        </w:rPr>
        <w:tab/>
        <w:t>Le Conseil de l</w:t>
      </w:r>
      <w:r w:rsidR="009B26EF">
        <w:rPr>
          <w:lang w:val="fr-CH"/>
        </w:rPr>
        <w:t>’</w:t>
      </w:r>
      <w:r w:rsidRPr="00745FBE">
        <w:rPr>
          <w:lang w:val="fr-CH"/>
        </w:rPr>
        <w:t>Union internationale pour la protection des obtentions végétales (UPOV) se réfère à la Convention internationale pour la protection des obtentions végétales (</w:t>
      </w:r>
      <w:r w:rsidR="009B26EF">
        <w:rPr>
          <w:lang w:val="fr-CH"/>
        </w:rPr>
        <w:t>Convention UPOV</w:t>
      </w:r>
      <w:r w:rsidRPr="00745FBE">
        <w:rPr>
          <w:lang w:val="fr-CH"/>
        </w:rPr>
        <w:t>), et en particulier aux articles 5.2) et 20 de l</w:t>
      </w:r>
      <w:r w:rsidR="009B26EF">
        <w:rPr>
          <w:lang w:val="fr-CH"/>
        </w:rPr>
        <w:t>’</w:t>
      </w:r>
      <w:r w:rsidRPr="00745FBE">
        <w:rPr>
          <w:lang w:val="fr-CH"/>
        </w:rPr>
        <w:t>Acte de 1991 et 6.1)e) et 13 de l</w:t>
      </w:r>
      <w:r w:rsidR="009B26EF">
        <w:rPr>
          <w:lang w:val="fr-CH"/>
        </w:rPr>
        <w:t>’</w:t>
      </w:r>
      <w:r w:rsidRPr="00745FBE">
        <w:rPr>
          <w:lang w:val="fr-CH"/>
        </w:rPr>
        <w:t>Acte de 1978 et de la Convention de 1961 qui disposent qu</w:t>
      </w:r>
      <w:r w:rsidR="009B26EF">
        <w:rPr>
          <w:lang w:val="fr-CH"/>
        </w:rPr>
        <w:t>’</w:t>
      </w:r>
      <w:r w:rsidRPr="00745FBE">
        <w:rPr>
          <w:lang w:val="fr-CH"/>
        </w:rPr>
        <w:t>une variété doit être désignée par une dénomination appropriée qui est enregistrée en même temps qu</w:t>
      </w:r>
      <w:r w:rsidR="009B26EF">
        <w:rPr>
          <w:lang w:val="fr-CH"/>
        </w:rPr>
        <w:t>’</w:t>
      </w:r>
      <w:r w:rsidRPr="00745FBE">
        <w:rPr>
          <w:lang w:val="fr-CH"/>
        </w:rPr>
        <w:t>est octroyé le droit d</w:t>
      </w:r>
      <w:r w:rsidR="009B26EF">
        <w:rPr>
          <w:lang w:val="fr-CH"/>
        </w:rPr>
        <w:t>’</w:t>
      </w:r>
      <w:r w:rsidRPr="00745FBE">
        <w:rPr>
          <w:lang w:val="fr-CH"/>
        </w:rPr>
        <w:t>obtenteur.</w:t>
      </w:r>
    </w:p>
    <w:p w:rsidR="00797CB8" w:rsidRPr="00745FBE" w:rsidRDefault="00797CB8" w:rsidP="00EF6837">
      <w:pPr>
        <w:rPr>
          <w:sz w:val="18"/>
          <w:lang w:val="fr-CH"/>
        </w:rPr>
      </w:pPr>
    </w:p>
    <w:p w:rsidR="00797CB8" w:rsidRPr="00745FBE" w:rsidRDefault="00EF6837" w:rsidP="00EF6837">
      <w:pPr>
        <w:rPr>
          <w:lang w:val="fr-CH"/>
        </w:rPr>
      </w:pPr>
      <w:r w:rsidRPr="00745FBE">
        <w:rPr>
          <w:lang w:val="fr-CH"/>
        </w:rPr>
        <w:t>2.</w:t>
      </w:r>
      <w:r w:rsidRPr="00745FBE">
        <w:rPr>
          <w:lang w:val="fr-CH"/>
        </w:rPr>
        <w:tab/>
        <w:t xml:space="preserve">Le Conseil rappelle que, en vertu des dispositions pertinentes de la </w:t>
      </w:r>
      <w:r w:rsidR="009B26EF">
        <w:rPr>
          <w:lang w:val="fr-CH"/>
        </w:rPr>
        <w:t>Convention UPOV</w:t>
      </w:r>
      <w:r w:rsidRPr="00745FBE">
        <w:rPr>
          <w:lang w:val="fr-CH"/>
        </w:rPr>
        <w:t>, la dénomination variétale doit convenir comme désignation générique et permettre d</w:t>
      </w:r>
      <w:r w:rsidR="009B26EF">
        <w:rPr>
          <w:lang w:val="fr-CH"/>
        </w:rPr>
        <w:t>’</w:t>
      </w:r>
      <w:r w:rsidRPr="00745FBE">
        <w:rPr>
          <w:lang w:val="fr-CH"/>
        </w:rPr>
        <w:t>identifier la variété et ne doit pas être susceptible d</w:t>
      </w:r>
      <w:r w:rsidR="009B26EF">
        <w:rPr>
          <w:lang w:val="fr-CH"/>
        </w:rPr>
        <w:t>’</w:t>
      </w:r>
      <w:r w:rsidRPr="00745FBE">
        <w:rPr>
          <w:lang w:val="fr-CH"/>
        </w:rPr>
        <w:t>induire en erreur ou de prêter à confusion sur les caractéristiques, la valeur ou l</w:t>
      </w:r>
      <w:r w:rsidR="009B26EF">
        <w:rPr>
          <w:lang w:val="fr-CH"/>
        </w:rPr>
        <w:t>’</w:t>
      </w:r>
      <w:r w:rsidRPr="00745FBE">
        <w:rPr>
          <w:lang w:val="fr-CH"/>
        </w:rPr>
        <w:t>identité de la variété ou sur l</w:t>
      </w:r>
      <w:r w:rsidR="009B26EF">
        <w:rPr>
          <w:lang w:val="fr-CH"/>
        </w:rPr>
        <w:t>’</w:t>
      </w:r>
      <w:r w:rsidRPr="00745FBE">
        <w:rPr>
          <w:lang w:val="fr-CH"/>
        </w:rPr>
        <w:t>identité de l</w:t>
      </w:r>
      <w:r w:rsidR="009B26EF">
        <w:rPr>
          <w:lang w:val="fr-CH"/>
        </w:rPr>
        <w:t>’</w:t>
      </w:r>
      <w:r w:rsidRPr="00745FBE">
        <w:rPr>
          <w:lang w:val="fr-CH"/>
        </w:rPr>
        <w:t>obtenteur.</w:t>
      </w:r>
    </w:p>
    <w:p w:rsidR="00797CB8" w:rsidRPr="00745FBE" w:rsidRDefault="00797CB8" w:rsidP="00EF6837">
      <w:pPr>
        <w:rPr>
          <w:sz w:val="18"/>
          <w:lang w:val="fr-CH"/>
        </w:rPr>
      </w:pPr>
    </w:p>
    <w:p w:rsidR="00797CB8" w:rsidRPr="00745FBE" w:rsidRDefault="00EF6837" w:rsidP="00EF6837">
      <w:pPr>
        <w:rPr>
          <w:lang w:val="fr-CH"/>
        </w:rPr>
      </w:pPr>
      <w:r w:rsidRPr="00745FBE">
        <w:rPr>
          <w:lang w:val="fr-CH"/>
        </w:rPr>
        <w:t>3.</w:t>
      </w:r>
      <w:r w:rsidRPr="00745FBE">
        <w:rPr>
          <w:lang w:val="fr-CH"/>
        </w:rPr>
        <w:tab/>
        <w:t>Le Conseil souligne que les présentes notes explicatives ont pour principal objectif de garantir que, dans toute la mesure du possible, les variétés protégées sont désignées dans tous les membres de l</w:t>
      </w:r>
      <w:r w:rsidR="009B26EF">
        <w:rPr>
          <w:lang w:val="fr-CH"/>
        </w:rPr>
        <w:t>’</w:t>
      </w:r>
      <w:r w:rsidRPr="00745FBE">
        <w:rPr>
          <w:lang w:val="fr-CH"/>
        </w:rPr>
        <w:t>Union par la même dénomination, que les dénominations variétales approuvées s</w:t>
      </w:r>
      <w:r w:rsidR="009B26EF">
        <w:rPr>
          <w:lang w:val="fr-CH"/>
        </w:rPr>
        <w:t>’</w:t>
      </w:r>
      <w:r w:rsidRPr="00745FBE">
        <w:rPr>
          <w:lang w:val="fr-CH"/>
        </w:rPr>
        <w:t>imposent en tant que désignations génériques et qu</w:t>
      </w:r>
      <w:r w:rsidR="009B26EF">
        <w:rPr>
          <w:lang w:val="fr-CH"/>
        </w:rPr>
        <w:t>’</w:t>
      </w:r>
      <w:r w:rsidRPr="00745FBE">
        <w:rPr>
          <w:lang w:val="fr-CH"/>
        </w:rPr>
        <w:t>elles sont utilisées lors de la vente ou de la commercialisation du matériel de reproduction ou de multiplication végétative de la variété, même après l</w:t>
      </w:r>
      <w:r w:rsidR="009B26EF">
        <w:rPr>
          <w:lang w:val="fr-CH"/>
        </w:rPr>
        <w:t>’</w:t>
      </w:r>
      <w:r w:rsidRPr="00745FBE">
        <w:rPr>
          <w:lang w:val="fr-CH"/>
        </w:rPr>
        <w:t>expiration du droit d</w:t>
      </w:r>
      <w:r w:rsidR="009B26EF">
        <w:rPr>
          <w:lang w:val="fr-CH"/>
        </w:rPr>
        <w:t>’</w:t>
      </w:r>
      <w:r w:rsidRPr="00745FBE">
        <w:rPr>
          <w:lang w:val="fr-CH"/>
        </w:rPr>
        <w:t>obtenteur.</w:t>
      </w:r>
    </w:p>
    <w:p w:rsidR="00797CB8" w:rsidRPr="00745FBE" w:rsidRDefault="00797CB8" w:rsidP="00EF6837">
      <w:pPr>
        <w:rPr>
          <w:sz w:val="18"/>
          <w:lang w:val="fr-CH"/>
        </w:rPr>
      </w:pPr>
    </w:p>
    <w:p w:rsidR="00797CB8" w:rsidRPr="00745FBE" w:rsidRDefault="00EF6837" w:rsidP="00EF6837">
      <w:pPr>
        <w:rPr>
          <w:shd w:val="pct15" w:color="auto" w:fill="FFFFFF"/>
          <w:lang w:val="fr-CH"/>
        </w:rPr>
      </w:pPr>
      <w:r w:rsidRPr="00745FBE">
        <w:rPr>
          <w:u w:val="single"/>
          <w:shd w:val="pct15" w:color="auto" w:fill="FFFFFF"/>
          <w:lang w:val="fr-CH"/>
        </w:rPr>
        <w:t>4.</w:t>
      </w:r>
      <w:r w:rsidRPr="00745FBE">
        <w:rPr>
          <w:u w:val="single"/>
          <w:shd w:val="pct15" w:color="auto" w:fill="FFFFFF"/>
          <w:lang w:val="fr-CH"/>
        </w:rPr>
        <w:tab/>
        <w:t>Le Conseil rappelle la définition du terme “variété” donnée à</w:t>
      </w:r>
      <w:r w:rsidR="001E2C4C">
        <w:rPr>
          <w:u w:val="single"/>
          <w:shd w:val="pct15" w:color="auto" w:fill="FFFFFF"/>
          <w:lang w:val="fr-CH"/>
        </w:rPr>
        <w:t xml:space="preserve"> l’alinéa vi) de</w:t>
      </w:r>
      <w:r w:rsidRPr="00745FBE">
        <w:rPr>
          <w:u w:val="single"/>
          <w:shd w:val="pct15" w:color="auto" w:fill="FFFFFF"/>
          <w:lang w:val="fr-CH"/>
        </w:rPr>
        <w:t xml:space="preserve"> l</w:t>
      </w:r>
      <w:r w:rsidR="009B26EF">
        <w:rPr>
          <w:u w:val="single"/>
          <w:shd w:val="pct15" w:color="auto" w:fill="FFFFFF"/>
          <w:lang w:val="fr-CH"/>
        </w:rPr>
        <w:t>’</w:t>
      </w:r>
      <w:r w:rsidRPr="00745FBE">
        <w:rPr>
          <w:u w:val="single"/>
          <w:shd w:val="pct15" w:color="auto" w:fill="FFFFFF"/>
          <w:lang w:val="fr-CH"/>
        </w:rPr>
        <w:t>article premier de l</w:t>
      </w:r>
      <w:r w:rsidR="009B26EF">
        <w:rPr>
          <w:u w:val="single"/>
          <w:shd w:val="pct15" w:color="auto" w:fill="FFFFFF"/>
          <w:lang w:val="fr-CH"/>
        </w:rPr>
        <w:t>’</w:t>
      </w:r>
      <w:r w:rsidRPr="00745FBE">
        <w:rPr>
          <w:u w:val="single"/>
          <w:shd w:val="pct15" w:color="auto" w:fill="FFFFFF"/>
          <w:lang w:val="fr-CH"/>
        </w:rPr>
        <w:t xml:space="preserve">Acte de 1991 de la </w:t>
      </w:r>
      <w:r w:rsidR="009B26EF">
        <w:rPr>
          <w:u w:val="single"/>
          <w:shd w:val="pct15" w:color="auto" w:fill="FFFFFF"/>
          <w:lang w:val="fr-CH"/>
        </w:rPr>
        <w:t>Convention UPOV :</w:t>
      </w:r>
    </w:p>
    <w:p w:rsidR="00797CB8" w:rsidRPr="00745FBE" w:rsidRDefault="00797CB8" w:rsidP="00EF6837">
      <w:pPr>
        <w:rPr>
          <w:sz w:val="16"/>
          <w:u w:val="single"/>
          <w:shd w:val="pct15" w:color="auto" w:fill="FFFFFF"/>
          <w:lang w:val="fr-CH"/>
        </w:rPr>
      </w:pPr>
    </w:p>
    <w:p w:rsidR="00797CB8" w:rsidRPr="00745FBE" w:rsidRDefault="00EF6837" w:rsidP="00EF6837">
      <w:pPr>
        <w:ind w:left="567"/>
        <w:rPr>
          <w:sz w:val="18"/>
          <w:szCs w:val="18"/>
          <w:u w:val="single"/>
          <w:shd w:val="pct15" w:color="auto" w:fill="FFFFFF"/>
          <w:lang w:val="fr-CH"/>
        </w:rPr>
      </w:pPr>
      <w:r w:rsidRPr="00745FBE">
        <w:rPr>
          <w:sz w:val="18"/>
          <w:szCs w:val="18"/>
          <w:u w:val="single"/>
          <w:shd w:val="pct15" w:color="auto" w:fill="FFFFFF"/>
          <w:lang w:val="fr-CH"/>
        </w:rPr>
        <w:t>on entend par “variété” un ensemble végétal d</w:t>
      </w:r>
      <w:r w:rsidR="009B26EF">
        <w:rPr>
          <w:sz w:val="18"/>
          <w:szCs w:val="18"/>
          <w:u w:val="single"/>
          <w:shd w:val="pct15" w:color="auto" w:fill="FFFFFF"/>
          <w:lang w:val="fr-CH"/>
        </w:rPr>
        <w:t>’</w:t>
      </w:r>
      <w:r w:rsidRPr="00745FBE">
        <w:rPr>
          <w:sz w:val="18"/>
          <w:szCs w:val="18"/>
          <w:u w:val="single"/>
          <w:shd w:val="pct15" w:color="auto" w:fill="FFFFFF"/>
          <w:lang w:val="fr-CH"/>
        </w:rPr>
        <w:t>un taxon botanique du rang le plus bas connu qui, qu</w:t>
      </w:r>
      <w:r w:rsidR="009B26EF">
        <w:rPr>
          <w:sz w:val="18"/>
          <w:szCs w:val="18"/>
          <w:u w:val="single"/>
          <w:shd w:val="pct15" w:color="auto" w:fill="FFFFFF"/>
          <w:lang w:val="fr-CH"/>
        </w:rPr>
        <w:t>’</w:t>
      </w:r>
      <w:r w:rsidRPr="00745FBE">
        <w:rPr>
          <w:sz w:val="18"/>
          <w:szCs w:val="18"/>
          <w:u w:val="single"/>
          <w:shd w:val="pct15" w:color="auto" w:fill="FFFFFF"/>
          <w:lang w:val="fr-CH"/>
        </w:rPr>
        <w:t>il réponde ou non pleinement aux conditions pour l</w:t>
      </w:r>
      <w:r w:rsidR="009B26EF">
        <w:rPr>
          <w:sz w:val="18"/>
          <w:szCs w:val="18"/>
          <w:u w:val="single"/>
          <w:shd w:val="pct15" w:color="auto" w:fill="FFFFFF"/>
          <w:lang w:val="fr-CH"/>
        </w:rPr>
        <w:t>’</w:t>
      </w:r>
      <w:r w:rsidRPr="00745FBE">
        <w:rPr>
          <w:sz w:val="18"/>
          <w:szCs w:val="18"/>
          <w:u w:val="single"/>
          <w:shd w:val="pct15" w:color="auto" w:fill="FFFFFF"/>
          <w:lang w:val="fr-CH"/>
        </w:rPr>
        <w:t>octroi d</w:t>
      </w:r>
      <w:r w:rsidR="009B26EF">
        <w:rPr>
          <w:sz w:val="18"/>
          <w:szCs w:val="18"/>
          <w:u w:val="single"/>
          <w:shd w:val="pct15" w:color="auto" w:fill="FFFFFF"/>
          <w:lang w:val="fr-CH"/>
        </w:rPr>
        <w:t>’</w:t>
      </w:r>
      <w:r w:rsidRPr="00745FBE">
        <w:rPr>
          <w:sz w:val="18"/>
          <w:szCs w:val="18"/>
          <w:u w:val="single"/>
          <w:shd w:val="pct15" w:color="auto" w:fill="FFFFFF"/>
          <w:lang w:val="fr-CH"/>
        </w:rPr>
        <w:t>un droit d</w:t>
      </w:r>
      <w:r w:rsidR="009B26EF">
        <w:rPr>
          <w:sz w:val="18"/>
          <w:szCs w:val="18"/>
          <w:u w:val="single"/>
          <w:shd w:val="pct15" w:color="auto" w:fill="FFFFFF"/>
          <w:lang w:val="fr-CH"/>
        </w:rPr>
        <w:t>’</w:t>
      </w:r>
      <w:r w:rsidRPr="00745FBE">
        <w:rPr>
          <w:sz w:val="18"/>
          <w:szCs w:val="18"/>
          <w:u w:val="single"/>
          <w:shd w:val="pct15" w:color="auto" w:fill="FFFFFF"/>
          <w:lang w:val="fr-CH"/>
        </w:rPr>
        <w:t>obtenteur, peut être</w:t>
      </w:r>
    </w:p>
    <w:p w:rsidR="00797CB8" w:rsidRPr="00606097" w:rsidRDefault="00EF6837" w:rsidP="00EF6837">
      <w:pPr>
        <w:ind w:left="993" w:hanging="142"/>
        <w:rPr>
          <w:spacing w:val="-2"/>
          <w:sz w:val="18"/>
          <w:szCs w:val="18"/>
          <w:u w:val="single"/>
          <w:shd w:val="pct15" w:color="auto" w:fill="FFFFFF"/>
          <w:lang w:val="fr-CH"/>
        </w:rPr>
      </w:pPr>
      <w:r w:rsidRPr="00606097">
        <w:rPr>
          <w:spacing w:val="-2"/>
          <w:sz w:val="18"/>
          <w:szCs w:val="18"/>
          <w:u w:val="single"/>
          <w:shd w:val="pct15" w:color="auto" w:fill="FFFFFF"/>
          <w:lang w:val="fr-CH"/>
        </w:rPr>
        <w:t>– défini par l</w:t>
      </w:r>
      <w:r w:rsidR="009B26EF" w:rsidRPr="00606097">
        <w:rPr>
          <w:spacing w:val="-2"/>
          <w:sz w:val="18"/>
          <w:szCs w:val="18"/>
          <w:u w:val="single"/>
          <w:shd w:val="pct15" w:color="auto" w:fill="FFFFFF"/>
          <w:lang w:val="fr-CH"/>
        </w:rPr>
        <w:t>’</w:t>
      </w:r>
      <w:r w:rsidRPr="00606097">
        <w:rPr>
          <w:spacing w:val="-2"/>
          <w:sz w:val="18"/>
          <w:szCs w:val="18"/>
          <w:u w:val="single"/>
          <w:shd w:val="pct15" w:color="auto" w:fill="FFFFFF"/>
          <w:lang w:val="fr-CH"/>
        </w:rPr>
        <w:t>expression des caractères résultant d</w:t>
      </w:r>
      <w:r w:rsidR="009B26EF" w:rsidRPr="00606097">
        <w:rPr>
          <w:spacing w:val="-2"/>
          <w:sz w:val="18"/>
          <w:szCs w:val="18"/>
          <w:u w:val="single"/>
          <w:shd w:val="pct15" w:color="auto" w:fill="FFFFFF"/>
          <w:lang w:val="fr-CH"/>
        </w:rPr>
        <w:t>’</w:t>
      </w:r>
      <w:r w:rsidRPr="00606097">
        <w:rPr>
          <w:spacing w:val="-2"/>
          <w:sz w:val="18"/>
          <w:szCs w:val="18"/>
          <w:u w:val="single"/>
          <w:shd w:val="pct15" w:color="auto" w:fill="FFFFFF"/>
          <w:lang w:val="fr-CH"/>
        </w:rPr>
        <w:t>un certain génotype ou d</w:t>
      </w:r>
      <w:r w:rsidR="009B26EF" w:rsidRPr="00606097">
        <w:rPr>
          <w:spacing w:val="-2"/>
          <w:sz w:val="18"/>
          <w:szCs w:val="18"/>
          <w:u w:val="single"/>
          <w:shd w:val="pct15" w:color="auto" w:fill="FFFFFF"/>
          <w:lang w:val="fr-CH"/>
        </w:rPr>
        <w:t>’</w:t>
      </w:r>
      <w:r w:rsidRPr="00606097">
        <w:rPr>
          <w:spacing w:val="-2"/>
          <w:sz w:val="18"/>
          <w:szCs w:val="18"/>
          <w:u w:val="single"/>
          <w:shd w:val="pct15" w:color="auto" w:fill="FFFFFF"/>
          <w:lang w:val="fr-CH"/>
        </w:rPr>
        <w:t>une certaine combinaison de génotypes,</w:t>
      </w:r>
    </w:p>
    <w:p w:rsidR="00797CB8" w:rsidRPr="00745FBE" w:rsidRDefault="00EF6837" w:rsidP="00EF6837">
      <w:pPr>
        <w:ind w:left="993" w:hanging="142"/>
        <w:rPr>
          <w:sz w:val="18"/>
          <w:szCs w:val="18"/>
          <w:u w:val="single"/>
          <w:shd w:val="pct15" w:color="auto" w:fill="FFFFFF"/>
          <w:lang w:val="fr-CH"/>
        </w:rPr>
      </w:pPr>
      <w:r w:rsidRPr="00745FBE">
        <w:rPr>
          <w:sz w:val="18"/>
          <w:szCs w:val="18"/>
          <w:u w:val="single"/>
          <w:shd w:val="pct15" w:color="auto" w:fill="FFFFFF"/>
          <w:lang w:val="fr-CH"/>
        </w:rPr>
        <w:t>– distingué de tout autre ensemble végétal par l</w:t>
      </w:r>
      <w:r w:rsidR="009B26EF">
        <w:rPr>
          <w:sz w:val="18"/>
          <w:szCs w:val="18"/>
          <w:u w:val="single"/>
          <w:shd w:val="pct15" w:color="auto" w:fill="FFFFFF"/>
          <w:lang w:val="fr-CH"/>
        </w:rPr>
        <w:t>’</w:t>
      </w:r>
      <w:r w:rsidRPr="00745FBE">
        <w:rPr>
          <w:sz w:val="18"/>
          <w:szCs w:val="18"/>
          <w:u w:val="single"/>
          <w:shd w:val="pct15" w:color="auto" w:fill="FFFFFF"/>
          <w:lang w:val="fr-CH"/>
        </w:rPr>
        <w:t>expression d</w:t>
      </w:r>
      <w:r w:rsidR="009B26EF">
        <w:rPr>
          <w:sz w:val="18"/>
          <w:szCs w:val="18"/>
          <w:u w:val="single"/>
          <w:shd w:val="pct15" w:color="auto" w:fill="FFFFFF"/>
          <w:lang w:val="fr-CH"/>
        </w:rPr>
        <w:t>’</w:t>
      </w:r>
      <w:r w:rsidRPr="00745FBE">
        <w:rPr>
          <w:sz w:val="18"/>
          <w:szCs w:val="18"/>
          <w:u w:val="single"/>
          <w:shd w:val="pct15" w:color="auto" w:fill="FFFFFF"/>
          <w:lang w:val="fr-CH"/>
        </w:rPr>
        <w:t>au moins un desdits caractères et</w:t>
      </w:r>
    </w:p>
    <w:p w:rsidR="00797CB8" w:rsidRPr="00745FBE" w:rsidRDefault="00EF6837" w:rsidP="00EF6837">
      <w:pPr>
        <w:ind w:left="993" w:hanging="142"/>
        <w:rPr>
          <w:sz w:val="18"/>
          <w:szCs w:val="18"/>
          <w:u w:val="single"/>
          <w:shd w:val="pct15" w:color="auto" w:fill="FFFFFF"/>
          <w:lang w:val="fr-CH"/>
        </w:rPr>
      </w:pPr>
      <w:r w:rsidRPr="00745FBE">
        <w:rPr>
          <w:sz w:val="18"/>
          <w:szCs w:val="18"/>
          <w:u w:val="single"/>
          <w:shd w:val="pct15" w:color="auto" w:fill="FFFFFF"/>
          <w:lang w:val="fr-CH"/>
        </w:rPr>
        <w:t>– considéré comme une entité eu égard à son aptitude à être reproduit conforme[;].</w:t>
      </w:r>
    </w:p>
    <w:p w:rsidR="00797CB8" w:rsidRPr="00745FBE" w:rsidRDefault="00797CB8" w:rsidP="00EF6837">
      <w:pPr>
        <w:rPr>
          <w:u w:val="single"/>
          <w:lang w:val="fr-CH"/>
        </w:rPr>
      </w:pPr>
    </w:p>
    <w:p w:rsidR="00797CB8" w:rsidRPr="00745FBE" w:rsidRDefault="00EF6837" w:rsidP="00893C7D">
      <w:pPr>
        <w:rPr>
          <w:lang w:val="fr-CH"/>
        </w:rPr>
      </w:pPr>
      <w:r w:rsidRPr="00745FBE">
        <w:rPr>
          <w:strike/>
          <w:shd w:val="pct15" w:color="auto" w:fill="FFFFFF"/>
          <w:lang w:val="fr-CH"/>
        </w:rPr>
        <w:t>4.</w:t>
      </w:r>
      <w:r w:rsidRPr="00745FBE">
        <w:rPr>
          <w:highlight w:val="lightGray"/>
          <w:u w:val="single"/>
          <w:shd w:val="pct15" w:color="auto" w:fill="FFFFFF"/>
          <w:lang w:val="fr-CH"/>
        </w:rPr>
        <w:t>5</w:t>
      </w:r>
      <w:r w:rsidRPr="00745FBE">
        <w:rPr>
          <w:highlight w:val="lightGray"/>
          <w:u w:val="single"/>
          <w:lang w:val="fr-CH"/>
        </w:rPr>
        <w:t>.</w:t>
      </w:r>
      <w:r w:rsidRPr="00745FBE">
        <w:rPr>
          <w:color w:val="008000"/>
          <w:lang w:val="fr-CH"/>
        </w:rPr>
        <w:tab/>
      </w:r>
      <w:r w:rsidRPr="00745FBE">
        <w:rPr>
          <w:lang w:val="fr-CH"/>
        </w:rPr>
        <w:t>Tout en notant que les seules obligations à caractère contraignant auxquelles sont soumis les membres de l</w:t>
      </w:r>
      <w:r w:rsidR="009B26EF">
        <w:rPr>
          <w:lang w:val="fr-CH"/>
        </w:rPr>
        <w:t>’</w:t>
      </w:r>
      <w:r w:rsidRPr="00745FBE">
        <w:rPr>
          <w:lang w:val="fr-CH"/>
        </w:rPr>
        <w:t xml:space="preserve">Union sont celles prévues dans la </w:t>
      </w:r>
      <w:r w:rsidR="009B26EF">
        <w:rPr>
          <w:lang w:val="fr-CH"/>
        </w:rPr>
        <w:t>Convention UPOV</w:t>
      </w:r>
      <w:r w:rsidRPr="00745FBE">
        <w:rPr>
          <w:lang w:val="fr-CH"/>
        </w:rPr>
        <w:t xml:space="preserve"> elle</w:t>
      </w:r>
      <w:r w:rsidR="009B26EF">
        <w:rPr>
          <w:lang w:val="fr-CH"/>
        </w:rPr>
        <w:t>-</w:t>
      </w:r>
      <w:r w:rsidRPr="00745FBE">
        <w:rPr>
          <w:lang w:val="fr-CH"/>
        </w:rPr>
        <w:t>même, le Conseil estime que l</w:t>
      </w:r>
      <w:r w:rsidR="009B26EF">
        <w:rPr>
          <w:lang w:val="fr-CH"/>
        </w:rPr>
        <w:t>’</w:t>
      </w:r>
      <w:r w:rsidRPr="00745FBE">
        <w:rPr>
          <w:lang w:val="fr-CH"/>
        </w:rPr>
        <w:t xml:space="preserve">objectif défini au paragraphe 3 ne peut être atteint que si les dispositions relatives aux dénominations variétales énoncées dans leurs grandes lignes dans la </w:t>
      </w:r>
      <w:r w:rsidR="009B26EF">
        <w:rPr>
          <w:lang w:val="fr-CH"/>
        </w:rPr>
        <w:t>Convention UPOV</w:t>
      </w:r>
      <w:r w:rsidRPr="00745FBE">
        <w:rPr>
          <w:lang w:val="fr-CH"/>
        </w:rPr>
        <w:t xml:space="preserve"> sont uniformément interprétées et appliquées par les membres de l</w:t>
      </w:r>
      <w:r w:rsidR="009B26EF">
        <w:rPr>
          <w:lang w:val="fr-CH"/>
        </w:rPr>
        <w:t>’</w:t>
      </w:r>
      <w:r w:rsidRPr="00745FBE">
        <w:rPr>
          <w:lang w:val="fr-CH"/>
        </w:rPr>
        <w:t>Union, ce qui rend souhaitable l</w:t>
      </w:r>
      <w:r w:rsidR="009B26EF">
        <w:rPr>
          <w:lang w:val="fr-CH"/>
        </w:rPr>
        <w:t>’</w:t>
      </w:r>
      <w:r w:rsidRPr="00745FBE">
        <w:rPr>
          <w:lang w:val="fr-CH"/>
        </w:rPr>
        <w:t>adoption de notes explicatives correspondant</w:t>
      </w:r>
      <w:r w:rsidR="00440663" w:rsidRPr="00745FBE">
        <w:rPr>
          <w:lang w:val="fr-CH"/>
        </w:rPr>
        <w:t>es</w:t>
      </w:r>
      <w:r w:rsidR="00440663">
        <w:rPr>
          <w:lang w:val="fr-CH"/>
        </w:rPr>
        <w:t xml:space="preserve">.  </w:t>
      </w:r>
      <w:r w:rsidR="00440663" w:rsidRPr="00745FBE">
        <w:rPr>
          <w:lang w:val="fr-CH"/>
        </w:rPr>
        <w:t>Ce</w:t>
      </w:r>
      <w:r w:rsidRPr="00745FBE">
        <w:rPr>
          <w:lang w:val="fr-CH"/>
        </w:rPr>
        <w:t>s notes explicatives ne doivent pas être interprétées d</w:t>
      </w:r>
      <w:r w:rsidR="009B26EF">
        <w:rPr>
          <w:lang w:val="fr-CH"/>
        </w:rPr>
        <w:t>’</w:t>
      </w:r>
      <w:r w:rsidRPr="00745FBE">
        <w:rPr>
          <w:lang w:val="fr-CH"/>
        </w:rPr>
        <w:t xml:space="preserve">une manière incompatible avec la </w:t>
      </w:r>
      <w:r w:rsidR="009B26EF">
        <w:rPr>
          <w:lang w:val="fr-CH"/>
        </w:rPr>
        <w:t>Convention UPOV</w:t>
      </w:r>
      <w:r w:rsidRPr="00745FBE">
        <w:rPr>
          <w:lang w:val="fr-CH"/>
        </w:rPr>
        <w:t>.</w:t>
      </w:r>
    </w:p>
    <w:p w:rsidR="00797CB8" w:rsidRPr="00745FBE" w:rsidRDefault="00797CB8" w:rsidP="00893C7D">
      <w:pPr>
        <w:rPr>
          <w:sz w:val="18"/>
          <w:lang w:val="fr-CH"/>
        </w:rPr>
      </w:pPr>
    </w:p>
    <w:p w:rsidR="00797CB8" w:rsidRPr="00745FBE" w:rsidRDefault="00C922E6" w:rsidP="00C922E6">
      <w:pPr>
        <w:rPr>
          <w:lang w:val="fr-CH"/>
        </w:rPr>
      </w:pPr>
      <w:r w:rsidRPr="00745FBE">
        <w:rPr>
          <w:strike/>
          <w:highlight w:val="lightGray"/>
          <w:shd w:val="pct15" w:color="auto" w:fill="FFFFFF"/>
          <w:lang w:val="fr-CH"/>
        </w:rPr>
        <w:t>5</w:t>
      </w:r>
      <w:r w:rsidRPr="00745FBE">
        <w:rPr>
          <w:strike/>
          <w:highlight w:val="lightGray"/>
          <w:lang w:val="fr-CH"/>
        </w:rPr>
        <w:t>.</w:t>
      </w:r>
      <w:r w:rsidRPr="00745FBE">
        <w:rPr>
          <w:highlight w:val="lightGray"/>
          <w:u w:val="single"/>
          <w:lang w:val="fr-CH"/>
        </w:rPr>
        <w:t>6.</w:t>
      </w:r>
      <w:r w:rsidRPr="00745FBE">
        <w:rPr>
          <w:lang w:val="fr-CH"/>
        </w:rPr>
        <w:tab/>
        <w:t>Le Conseil considère en outre que l</w:t>
      </w:r>
      <w:r w:rsidR="009B26EF">
        <w:rPr>
          <w:lang w:val="fr-CH"/>
        </w:rPr>
        <w:t>’</w:t>
      </w:r>
      <w:r w:rsidRPr="00745FBE">
        <w:rPr>
          <w:lang w:val="fr-CH"/>
        </w:rPr>
        <w:t>adoption de telles notes explicatives aux fins de l</w:t>
      </w:r>
      <w:r w:rsidR="009B26EF">
        <w:rPr>
          <w:lang w:val="fr-CH"/>
        </w:rPr>
        <w:t>’</w:t>
      </w:r>
      <w:r w:rsidRPr="00745FBE">
        <w:rPr>
          <w:lang w:val="fr-CH"/>
        </w:rPr>
        <w:t>interprétation et de l</w:t>
      </w:r>
      <w:r w:rsidR="009B26EF">
        <w:rPr>
          <w:lang w:val="fr-CH"/>
        </w:rPr>
        <w:t>’</w:t>
      </w:r>
      <w:r w:rsidRPr="00745FBE">
        <w:rPr>
          <w:lang w:val="fr-CH"/>
        </w:rPr>
        <w:t>application harmonisées des dispositions relatives aux dénominations variétales présentera un intérêt non seulement pour les services compétents</w:t>
      </w:r>
      <w:r w:rsidRPr="00745FBE">
        <w:rPr>
          <w:rStyle w:val="FootnoteReference"/>
          <w:lang w:val="fr-CH"/>
        </w:rPr>
        <w:footnoteReference w:id="2"/>
      </w:r>
      <w:r w:rsidRPr="00745FBE">
        <w:rPr>
          <w:lang w:val="fr-CH"/>
        </w:rPr>
        <w:t xml:space="preserve"> des membres de l</w:t>
      </w:r>
      <w:r w:rsidR="009B26EF">
        <w:rPr>
          <w:lang w:val="fr-CH"/>
        </w:rPr>
        <w:t>’</w:t>
      </w:r>
      <w:r w:rsidRPr="00745FBE">
        <w:rPr>
          <w:lang w:val="fr-CH"/>
        </w:rPr>
        <w:t>Union, mais aussi pour les obtenteurs dans le cadre de leurs activités de sélection des dénominations variétales.</w:t>
      </w:r>
    </w:p>
    <w:p w:rsidR="00797CB8" w:rsidRPr="00745FBE" w:rsidRDefault="00797CB8" w:rsidP="00C922E6">
      <w:pPr>
        <w:rPr>
          <w:lang w:val="fr-CH"/>
        </w:rPr>
      </w:pPr>
    </w:p>
    <w:p w:rsidR="00797CB8" w:rsidRPr="00745FBE" w:rsidRDefault="00C922E6" w:rsidP="00C922E6">
      <w:pPr>
        <w:rPr>
          <w:lang w:val="fr-CH"/>
        </w:rPr>
      </w:pPr>
      <w:r w:rsidRPr="00745FBE">
        <w:rPr>
          <w:strike/>
          <w:highlight w:val="lightGray"/>
          <w:shd w:val="pct15" w:color="auto" w:fill="FFFFFF"/>
          <w:lang w:val="fr-CH"/>
        </w:rPr>
        <w:t>6</w:t>
      </w:r>
      <w:r w:rsidRPr="00745FBE">
        <w:rPr>
          <w:strike/>
          <w:highlight w:val="lightGray"/>
          <w:lang w:val="fr-CH"/>
        </w:rPr>
        <w:t>.</w:t>
      </w:r>
      <w:r w:rsidRPr="00745FBE">
        <w:rPr>
          <w:highlight w:val="lightGray"/>
          <w:u w:val="single"/>
          <w:lang w:val="fr-CH"/>
        </w:rPr>
        <w:t>7.</w:t>
      </w:r>
      <w:r w:rsidRPr="00745FBE">
        <w:rPr>
          <w:lang w:val="fr-CH"/>
        </w:rPr>
        <w:tab/>
        <w:t xml:space="preserve">Le Conseil, en vertu de la </w:t>
      </w:r>
      <w:r w:rsidR="009B26EF">
        <w:rPr>
          <w:lang w:val="fr-CH"/>
        </w:rPr>
        <w:t>Convention UPOV</w:t>
      </w:r>
      <w:r w:rsidRPr="00745FBE">
        <w:rPr>
          <w:lang w:val="fr-CH"/>
        </w:rPr>
        <w:t xml:space="preserve"> (article 26.5)x) de l</w:t>
      </w:r>
      <w:r w:rsidR="009B26EF">
        <w:rPr>
          <w:lang w:val="fr-CH"/>
        </w:rPr>
        <w:t>’</w:t>
      </w:r>
      <w:r w:rsidRPr="00745FBE">
        <w:rPr>
          <w:lang w:val="fr-CH"/>
        </w:rPr>
        <w:t>Acte de 1991 et article 21.h) de l</w:t>
      </w:r>
      <w:r w:rsidR="009B26EF">
        <w:rPr>
          <w:lang w:val="fr-CH"/>
        </w:rPr>
        <w:t>’</w:t>
      </w:r>
      <w:r w:rsidRPr="00745FBE">
        <w:rPr>
          <w:lang w:val="fr-CH"/>
        </w:rPr>
        <w:t>Acte de 1978 et de la Convention de 1961), aux termes de laquelle il a pour mission de prendre toutes les décisions nécessaires au bon fonctionnement de l</w:t>
      </w:r>
      <w:r w:rsidR="009B26EF">
        <w:rPr>
          <w:lang w:val="fr-CH"/>
        </w:rPr>
        <w:t>’</w:t>
      </w:r>
      <w:r w:rsidRPr="00745FBE">
        <w:rPr>
          <w:lang w:val="fr-CH"/>
        </w:rPr>
        <w:t>Union, et compte tenu de l</w:t>
      </w:r>
      <w:r w:rsidR="009B26EF">
        <w:rPr>
          <w:lang w:val="fr-CH"/>
        </w:rPr>
        <w:t>’</w:t>
      </w:r>
      <w:r w:rsidRPr="00745FBE">
        <w:rPr>
          <w:lang w:val="fr-CH"/>
        </w:rPr>
        <w:t>expérience acquise par les membres de l</w:t>
      </w:r>
      <w:r w:rsidR="009B26EF">
        <w:rPr>
          <w:lang w:val="fr-CH"/>
        </w:rPr>
        <w:t>’</w:t>
      </w:r>
      <w:r w:rsidRPr="00745FBE">
        <w:rPr>
          <w:lang w:val="fr-CH"/>
        </w:rPr>
        <w:t>Union en matière de dénominations variétales, recommande que les services compétents des membres de l</w:t>
      </w:r>
      <w:r w:rsidR="009B26EF">
        <w:rPr>
          <w:lang w:val="fr-CH"/>
        </w:rPr>
        <w:t>’</w:t>
      </w:r>
      <w:r w:rsidRPr="00745FBE">
        <w:rPr>
          <w:lang w:val="fr-CH"/>
        </w:rPr>
        <w:t>Union</w:t>
      </w:r>
      <w:r w:rsidR="009B26EF">
        <w:rPr>
          <w:lang w:val="fr-CH"/>
        </w:rPr>
        <w:t> :</w:t>
      </w:r>
    </w:p>
    <w:p w:rsidR="00797CB8" w:rsidRPr="00745FBE" w:rsidRDefault="00797CB8" w:rsidP="00C922E6">
      <w:pPr>
        <w:rPr>
          <w:sz w:val="16"/>
          <w:lang w:val="fr-CH"/>
        </w:rPr>
      </w:pPr>
    </w:p>
    <w:p w:rsidR="00797CB8" w:rsidRPr="00745FBE" w:rsidRDefault="00C922E6" w:rsidP="00C922E6">
      <w:pPr>
        <w:pStyle w:val="ListParagraph"/>
        <w:numPr>
          <w:ilvl w:val="0"/>
          <w:numId w:val="5"/>
        </w:numPr>
        <w:ind w:left="0" w:firstLine="851"/>
        <w:rPr>
          <w:lang w:val="fr-CH"/>
        </w:rPr>
      </w:pPr>
      <w:r w:rsidRPr="00745FBE">
        <w:rPr>
          <w:lang w:val="fr-CH"/>
        </w:rPr>
        <w:t>s</w:t>
      </w:r>
      <w:r w:rsidR="009B26EF">
        <w:rPr>
          <w:lang w:val="fr-CH"/>
        </w:rPr>
        <w:t>’</w:t>
      </w:r>
      <w:r w:rsidRPr="00745FBE">
        <w:rPr>
          <w:lang w:val="fr-CH"/>
        </w:rPr>
        <w:t>appuient sur les présentes notes explicatives pour se prononcer sur la convenance des dénominations variétales proposées;</w:t>
      </w:r>
    </w:p>
    <w:p w:rsidR="00797CB8" w:rsidRPr="00745FBE" w:rsidRDefault="00797CB8" w:rsidP="00C922E6">
      <w:pPr>
        <w:rPr>
          <w:sz w:val="16"/>
          <w:lang w:val="fr-CH"/>
        </w:rPr>
      </w:pPr>
    </w:p>
    <w:p w:rsidR="00797CB8" w:rsidRPr="00745FBE" w:rsidRDefault="00C922E6" w:rsidP="00C922E6">
      <w:pPr>
        <w:pStyle w:val="ListParagraph"/>
        <w:numPr>
          <w:ilvl w:val="0"/>
          <w:numId w:val="5"/>
        </w:numPr>
        <w:ind w:left="0" w:firstLine="851"/>
        <w:rPr>
          <w:lang w:val="fr-CH"/>
        </w:rPr>
      </w:pPr>
      <w:r w:rsidRPr="00745FBE">
        <w:rPr>
          <w:lang w:val="fr-CH"/>
        </w:rPr>
        <w:t>tiennent compte, dans le cadre de la procédure d</w:t>
      </w:r>
      <w:r w:rsidR="009B26EF">
        <w:rPr>
          <w:lang w:val="fr-CH"/>
        </w:rPr>
        <w:t>’</w:t>
      </w:r>
      <w:r w:rsidRPr="00745FBE">
        <w:rPr>
          <w:lang w:val="fr-CH"/>
        </w:rPr>
        <w:t>examen de la convenance des dénominations variétales proposées et de l</w:t>
      </w:r>
      <w:r w:rsidR="009B26EF">
        <w:rPr>
          <w:lang w:val="fr-CH"/>
        </w:rPr>
        <w:t>’</w:t>
      </w:r>
      <w:r w:rsidRPr="00745FBE">
        <w:rPr>
          <w:lang w:val="fr-CH"/>
        </w:rPr>
        <w:t>échange d</w:t>
      </w:r>
      <w:r w:rsidR="009B26EF">
        <w:rPr>
          <w:lang w:val="fr-CH"/>
        </w:rPr>
        <w:t>’</w:t>
      </w:r>
      <w:r w:rsidRPr="00745FBE">
        <w:rPr>
          <w:lang w:val="fr-CH"/>
        </w:rPr>
        <w:t>informations, des recommandations énoncées dans les présentes notes explicatives;</w:t>
      </w:r>
    </w:p>
    <w:p w:rsidR="00797CB8" w:rsidRPr="00745FBE" w:rsidRDefault="00797CB8" w:rsidP="00C922E6">
      <w:pPr>
        <w:rPr>
          <w:sz w:val="18"/>
          <w:lang w:val="fr-CH"/>
        </w:rPr>
      </w:pPr>
    </w:p>
    <w:p w:rsidR="00797CB8" w:rsidRPr="00745FBE" w:rsidRDefault="00C922E6" w:rsidP="00C922E6">
      <w:pPr>
        <w:pStyle w:val="ListParagraph"/>
        <w:numPr>
          <w:ilvl w:val="0"/>
          <w:numId w:val="5"/>
        </w:numPr>
        <w:ind w:left="0" w:firstLine="851"/>
        <w:rPr>
          <w:lang w:val="fr-CH"/>
        </w:rPr>
      </w:pPr>
      <w:r w:rsidRPr="00745FBE">
        <w:rPr>
          <w:lang w:val="fr-CH"/>
        </w:rPr>
        <w:t>informent amplement les obtenteurs de ces notes explicatives, en vue de les aider dans le choix des dénominations variétales.</w:t>
      </w:r>
    </w:p>
    <w:p w:rsidR="00797CB8" w:rsidRPr="00745FBE" w:rsidRDefault="00797CB8" w:rsidP="00C922E6">
      <w:pPr>
        <w:rPr>
          <w:lang w:val="fr-CH"/>
        </w:rPr>
      </w:pPr>
    </w:p>
    <w:p w:rsidR="008D4B95" w:rsidRPr="00980C58" w:rsidRDefault="00C922E6">
      <w:pPr>
        <w:rPr>
          <w:sz w:val="18"/>
          <w:lang w:val="fr-CH"/>
        </w:rPr>
      </w:pPr>
      <w:r w:rsidRPr="00980C58">
        <w:rPr>
          <w:sz w:val="18"/>
          <w:lang w:val="fr-CH"/>
        </w:rPr>
        <w:t xml:space="preserve">Les recommandations sur cette question précédemment énoncées dans les “Notes explicatives concernant les dénominations variétales en vertu de la </w:t>
      </w:r>
      <w:r w:rsidR="009B26EF" w:rsidRPr="00980C58">
        <w:rPr>
          <w:sz w:val="18"/>
          <w:lang w:val="fr-CH"/>
        </w:rPr>
        <w:t>Convention UPOV</w:t>
      </w:r>
      <w:r w:rsidRPr="00980C58">
        <w:rPr>
          <w:sz w:val="18"/>
          <w:lang w:val="fr-CH"/>
        </w:rPr>
        <w:t>” (</w:t>
      </w:r>
      <w:r w:rsidR="009B26EF" w:rsidRPr="00980C58">
        <w:rPr>
          <w:sz w:val="18"/>
          <w:lang w:val="fr-CH"/>
        </w:rPr>
        <w:t>document UP</w:t>
      </w:r>
      <w:r w:rsidRPr="00980C58">
        <w:rPr>
          <w:sz w:val="18"/>
          <w:lang w:val="fr-CH"/>
        </w:rPr>
        <w:t>OV/INF/12/</w:t>
      </w:r>
      <w:r w:rsidRPr="00980C58">
        <w:rPr>
          <w:strike/>
          <w:sz w:val="18"/>
          <w:shd w:val="pct15" w:color="auto" w:fill="FFFFFF"/>
          <w:lang w:val="fr-CH"/>
        </w:rPr>
        <w:t>3</w:t>
      </w:r>
      <w:r w:rsidRPr="00980C58">
        <w:rPr>
          <w:sz w:val="18"/>
          <w:u w:val="single"/>
          <w:shd w:val="pct15" w:color="auto" w:fill="FFFFFF"/>
          <w:lang w:val="fr-CH"/>
        </w:rPr>
        <w:t>5</w:t>
      </w:r>
      <w:r w:rsidRPr="00980C58">
        <w:rPr>
          <w:sz w:val="18"/>
          <w:lang w:val="fr-CH"/>
        </w:rPr>
        <w:t xml:space="preserve">) sont remplacées par les présentes notes explicatives </w:t>
      </w:r>
      <w:r w:rsidRPr="00980C58">
        <w:rPr>
          <w:sz w:val="18"/>
          <w:u w:val="single"/>
          <w:shd w:val="pct15" w:color="auto" w:fill="FFFFFF"/>
          <w:lang w:val="fr-CH"/>
        </w:rPr>
        <w:t>(</w:t>
      </w:r>
      <w:r w:rsidR="009B26EF" w:rsidRPr="00980C58">
        <w:rPr>
          <w:sz w:val="18"/>
          <w:u w:val="single"/>
          <w:shd w:val="pct15" w:color="auto" w:fill="FFFFFF"/>
          <w:lang w:val="fr-CH"/>
        </w:rPr>
        <w:t>document UP</w:t>
      </w:r>
      <w:r w:rsidRPr="00980C58">
        <w:rPr>
          <w:sz w:val="18"/>
          <w:u w:val="single"/>
          <w:shd w:val="pct15" w:color="auto" w:fill="FFFFFF"/>
          <w:lang w:val="fr-CH"/>
        </w:rPr>
        <w:t>OV/EXN/DEN/1)</w:t>
      </w:r>
      <w:r w:rsidRPr="00980C58">
        <w:rPr>
          <w:sz w:val="18"/>
          <w:lang w:val="fr-CH"/>
        </w:rPr>
        <w:t>.</w:t>
      </w:r>
    </w:p>
    <w:tbl>
      <w:tblPr>
        <w:tblW w:w="9493" w:type="dxa"/>
        <w:jc w:val="center"/>
        <w:tblLook w:val="0000" w:firstRow="0" w:lastRow="0" w:firstColumn="0" w:lastColumn="0" w:noHBand="0" w:noVBand="0"/>
      </w:tblPr>
      <w:tblGrid>
        <w:gridCol w:w="9493"/>
      </w:tblGrid>
      <w:tr w:rsidR="00893C7D" w:rsidRPr="00ED146B" w:rsidTr="00980C58">
        <w:trPr>
          <w:jc w:val="center"/>
        </w:trPr>
        <w:tc>
          <w:tcPr>
            <w:tcW w:w="9493" w:type="dxa"/>
            <w:tcBorders>
              <w:top w:val="single" w:sz="4" w:space="0" w:color="auto"/>
              <w:left w:val="single" w:sz="4" w:space="0" w:color="auto"/>
              <w:bottom w:val="single" w:sz="4" w:space="0" w:color="auto"/>
              <w:right w:val="single" w:sz="4" w:space="0" w:color="auto"/>
            </w:tcBorders>
          </w:tcPr>
          <w:p w:rsidR="00797CB8" w:rsidRPr="00745FBE" w:rsidRDefault="00536372" w:rsidP="00980C58">
            <w:pPr>
              <w:pStyle w:val="Style1"/>
              <w:pageBreakBefore/>
              <w:spacing w:before="240"/>
              <w:jc w:val="center"/>
              <w:rPr>
                <w:b/>
                <w:lang w:val="fr-CH"/>
              </w:rPr>
            </w:pPr>
            <w:r w:rsidRPr="00745FBE">
              <w:rPr>
                <w:b/>
                <w:lang w:val="fr-CH"/>
              </w:rPr>
              <w:lastRenderedPageBreak/>
              <w:t xml:space="preserve">NOTES EXPLICATIVES CONCERNANT </w:t>
            </w:r>
            <w:r w:rsidRPr="00980C58">
              <w:rPr>
                <w:b/>
                <w:lang w:val="fr-FR"/>
              </w:rPr>
              <w:t>LES</w:t>
            </w:r>
            <w:r w:rsidRPr="00745FBE">
              <w:rPr>
                <w:b/>
                <w:lang w:val="fr-CH"/>
              </w:rPr>
              <w:t xml:space="preserve"> DÉNOMINATIONS VARIÉTALES </w:t>
            </w:r>
            <w:r w:rsidRPr="00745FBE">
              <w:rPr>
                <w:b/>
                <w:lang w:val="fr-CH"/>
              </w:rPr>
              <w:br/>
              <w:t xml:space="preserve">EN VERTU DE LA </w:t>
            </w:r>
            <w:r w:rsidR="009B26EF">
              <w:rPr>
                <w:b/>
                <w:lang w:val="fr-CH"/>
              </w:rPr>
              <w:t>CONVENTION UPOV</w:t>
            </w:r>
          </w:p>
          <w:p w:rsidR="00797CB8" w:rsidRPr="00745FBE" w:rsidRDefault="00797CB8" w:rsidP="00536372">
            <w:pPr>
              <w:pStyle w:val="Style1"/>
              <w:pageBreakBefore/>
              <w:jc w:val="center"/>
              <w:rPr>
                <w:lang w:val="fr-CH"/>
              </w:rPr>
            </w:pPr>
          </w:p>
          <w:p w:rsidR="00893C7D" w:rsidRPr="00745FBE" w:rsidRDefault="00536372" w:rsidP="00536372">
            <w:pPr>
              <w:pStyle w:val="Style1"/>
              <w:pageBreakBefore/>
              <w:spacing w:after="240"/>
              <w:jc w:val="center"/>
              <w:rPr>
                <w:i/>
                <w:highlight w:val="yellow"/>
                <w:lang w:val="fr-CH"/>
              </w:rPr>
            </w:pPr>
            <w:r w:rsidRPr="00745FBE">
              <w:rPr>
                <w:i/>
                <w:lang w:val="fr-CH"/>
              </w:rPr>
              <w:t>Les notes explicatives ci</w:t>
            </w:r>
            <w:r w:rsidR="009B26EF">
              <w:rPr>
                <w:i/>
                <w:lang w:val="fr-CH"/>
              </w:rPr>
              <w:t>-</w:t>
            </w:r>
            <w:r w:rsidRPr="00745FBE">
              <w:rPr>
                <w:i/>
                <w:lang w:val="fr-CH"/>
              </w:rPr>
              <w:t>après correspondent, sauf indication contraire, aux numéros des paragraphes de l</w:t>
            </w:r>
            <w:r w:rsidR="009B26EF">
              <w:rPr>
                <w:i/>
                <w:lang w:val="fr-CH"/>
              </w:rPr>
              <w:t>’</w:t>
            </w:r>
            <w:r w:rsidRPr="00745FBE">
              <w:rPr>
                <w:i/>
                <w:lang w:val="fr-CH"/>
              </w:rPr>
              <w:t>article 20 de l</w:t>
            </w:r>
            <w:r w:rsidR="009B26EF">
              <w:rPr>
                <w:i/>
                <w:lang w:val="fr-CH"/>
              </w:rPr>
              <w:t>’</w:t>
            </w:r>
            <w:r w:rsidRPr="00745FBE">
              <w:rPr>
                <w:i/>
                <w:lang w:val="fr-CH"/>
              </w:rPr>
              <w:t>Acte de 1991 et de l</w:t>
            </w:r>
            <w:r w:rsidR="009B26EF">
              <w:rPr>
                <w:i/>
                <w:lang w:val="fr-CH"/>
              </w:rPr>
              <w:t>’</w:t>
            </w:r>
            <w:r w:rsidRPr="00745FBE">
              <w:rPr>
                <w:i/>
                <w:lang w:val="fr-CH"/>
              </w:rPr>
              <w:t>article 13 de l</w:t>
            </w:r>
            <w:r w:rsidR="009B26EF">
              <w:rPr>
                <w:i/>
                <w:lang w:val="fr-CH"/>
              </w:rPr>
              <w:t>’</w:t>
            </w:r>
            <w:r w:rsidRPr="00745FBE">
              <w:rPr>
                <w:i/>
                <w:lang w:val="fr-CH"/>
              </w:rPr>
              <w:t>Acte de 1978 et de la Convention de 1961</w:t>
            </w:r>
            <w:r w:rsidR="00893C7D" w:rsidRPr="00745FBE">
              <w:rPr>
                <w:i/>
                <w:lang w:val="fr-CH"/>
              </w:rPr>
              <w:t>.</w:t>
            </w:r>
          </w:p>
        </w:tc>
      </w:tr>
    </w:tbl>
    <w:p w:rsidR="00797CB8" w:rsidRPr="00745FBE" w:rsidRDefault="00797CB8" w:rsidP="00893C7D">
      <w:pPr>
        <w:rPr>
          <w:i/>
          <w:lang w:val="fr-CH"/>
        </w:rPr>
      </w:pPr>
    </w:p>
    <w:p w:rsidR="00797CB8" w:rsidRPr="00745FBE" w:rsidRDefault="00797CB8" w:rsidP="00893C7D">
      <w:pPr>
        <w:rPr>
          <w:i/>
          <w:lang w:val="fr-CH"/>
        </w:rPr>
      </w:pPr>
    </w:p>
    <w:p w:rsidR="00797CB8" w:rsidRPr="00745FBE" w:rsidRDefault="00797CB8" w:rsidP="00893C7D">
      <w:pPr>
        <w:rPr>
          <w:i/>
          <w:lang w:val="fr-CH"/>
        </w:rPr>
      </w:pPr>
    </w:p>
    <w:p w:rsidR="00797CB8" w:rsidRPr="00745FBE" w:rsidRDefault="00536372" w:rsidP="00536372">
      <w:pPr>
        <w:pStyle w:val="Heading1"/>
        <w:rPr>
          <w:lang w:val="fr-CH"/>
        </w:rPr>
      </w:pPr>
      <w:bookmarkStart w:id="4" w:name="_Toc35937345"/>
      <w:r w:rsidRPr="00745FBE">
        <w:rPr>
          <w:lang w:val="fr-CH"/>
        </w:rPr>
        <w:t>Paragraphe 1</w:t>
      </w:r>
      <w:bookmarkEnd w:id="4"/>
    </w:p>
    <w:p w:rsidR="00797CB8" w:rsidRPr="00745FBE" w:rsidRDefault="00536372" w:rsidP="00536372">
      <w:pPr>
        <w:jc w:val="center"/>
        <w:rPr>
          <w:lang w:val="fr-CH"/>
        </w:rPr>
      </w:pPr>
      <w:r w:rsidRPr="00745FBE">
        <w:rPr>
          <w:lang w:val="fr-CH"/>
        </w:rPr>
        <w:t>(Paragraphes 1 et 3 de l</w:t>
      </w:r>
      <w:r w:rsidR="009B26EF">
        <w:rPr>
          <w:lang w:val="fr-CH"/>
        </w:rPr>
        <w:t>’</w:t>
      </w:r>
      <w:r w:rsidRPr="00745FBE">
        <w:rPr>
          <w:lang w:val="fr-CH"/>
        </w:rPr>
        <w:t>article 13 de la Convention de 1961)</w:t>
      </w:r>
    </w:p>
    <w:p w:rsidR="00797CB8" w:rsidRPr="00745FBE" w:rsidRDefault="00797CB8" w:rsidP="00536372">
      <w:pPr>
        <w:rPr>
          <w:lang w:val="fr-CH"/>
        </w:rPr>
      </w:pPr>
    </w:p>
    <w:p w:rsidR="00797CB8" w:rsidRPr="00745FBE" w:rsidRDefault="00536372" w:rsidP="00536372">
      <w:pPr>
        <w:pStyle w:val="Heading2"/>
        <w:rPr>
          <w:lang w:val="fr-CH"/>
        </w:rPr>
      </w:pPr>
      <w:bookmarkStart w:id="5" w:name="_Toc35937346"/>
      <w:r w:rsidRPr="00745FBE">
        <w:rPr>
          <w:lang w:val="fr-CH"/>
        </w:rPr>
        <w:t>[Désignation des variétés par des dénominations;  utilisation de la dénomination]</w:t>
      </w:r>
      <w:bookmarkEnd w:id="5"/>
    </w:p>
    <w:p w:rsidR="00797CB8" w:rsidRPr="00745FBE" w:rsidRDefault="00797CB8" w:rsidP="00536372">
      <w:pPr>
        <w:jc w:val="center"/>
        <w:rPr>
          <w:b/>
          <w:lang w:val="fr-CH"/>
        </w:rPr>
      </w:pPr>
    </w:p>
    <w:p w:rsidR="00797CB8" w:rsidRPr="00745FBE" w:rsidRDefault="00536372" w:rsidP="00536372">
      <w:pPr>
        <w:ind w:firstLine="567"/>
        <w:rPr>
          <w:b/>
          <w:lang w:val="fr-CH"/>
        </w:rPr>
      </w:pPr>
      <w:r w:rsidRPr="00745FBE">
        <w:rPr>
          <w:b/>
          <w:lang w:val="fr-CH"/>
        </w:rPr>
        <w:t>La variété sera désignée par une dénomination destinée à être sa désignation générique.</w:t>
      </w:r>
      <w:r w:rsidR="00B56D96">
        <w:rPr>
          <w:b/>
          <w:lang w:val="fr-CH"/>
        </w:rPr>
        <w:t xml:space="preserve">  </w:t>
      </w:r>
      <w:r w:rsidRPr="00745FBE">
        <w:rPr>
          <w:b/>
          <w:lang w:val="fr-CH"/>
        </w:rPr>
        <w:t>Chaque membre de l</w:t>
      </w:r>
      <w:r w:rsidR="009B26EF">
        <w:rPr>
          <w:b/>
          <w:lang w:val="fr-CH"/>
        </w:rPr>
        <w:t>’</w:t>
      </w:r>
      <w:r w:rsidRPr="00745FBE">
        <w:rPr>
          <w:b/>
          <w:lang w:val="fr-CH"/>
        </w:rPr>
        <w:t>Union s</w:t>
      </w:r>
      <w:r w:rsidR="009B26EF">
        <w:rPr>
          <w:b/>
          <w:lang w:val="fr-CH"/>
        </w:rPr>
        <w:t>’</w:t>
      </w:r>
      <w:r w:rsidRPr="00745FBE">
        <w:rPr>
          <w:b/>
          <w:lang w:val="fr-CH"/>
        </w:rPr>
        <w:t>assure que, sous réserve du paragraphe 4), aucun droit relatif à la désignation enregistrée comme la dénomination de la variété n</w:t>
      </w:r>
      <w:r w:rsidR="009B26EF">
        <w:rPr>
          <w:b/>
          <w:lang w:val="fr-CH"/>
        </w:rPr>
        <w:t>’</w:t>
      </w:r>
      <w:r w:rsidRPr="00745FBE">
        <w:rPr>
          <w:b/>
          <w:lang w:val="fr-CH"/>
        </w:rPr>
        <w:t>entrave la libre utilisation de la dénomination en relation avec la variété, même après l</w:t>
      </w:r>
      <w:r w:rsidR="009B26EF">
        <w:rPr>
          <w:b/>
          <w:lang w:val="fr-CH"/>
        </w:rPr>
        <w:t>’</w:t>
      </w:r>
      <w:r w:rsidRPr="00745FBE">
        <w:rPr>
          <w:b/>
          <w:lang w:val="fr-CH"/>
        </w:rPr>
        <w:t>expiration du droit d</w:t>
      </w:r>
      <w:r w:rsidR="009B26EF">
        <w:rPr>
          <w:b/>
          <w:lang w:val="fr-CH"/>
        </w:rPr>
        <w:t>’</w:t>
      </w:r>
      <w:r w:rsidRPr="00745FBE">
        <w:rPr>
          <w:b/>
          <w:lang w:val="fr-CH"/>
        </w:rPr>
        <w:t>obtenteur.</w:t>
      </w:r>
    </w:p>
    <w:p w:rsidR="00797CB8" w:rsidRPr="00745FBE" w:rsidRDefault="00797CB8" w:rsidP="00536372">
      <w:pPr>
        <w:rPr>
          <w:b/>
          <w:lang w:val="fr-CH"/>
        </w:rPr>
      </w:pPr>
    </w:p>
    <w:p w:rsidR="00797CB8" w:rsidRPr="00745FBE" w:rsidRDefault="00536372" w:rsidP="00536372">
      <w:pPr>
        <w:rPr>
          <w:u w:val="single"/>
          <w:lang w:val="fr-CH"/>
        </w:rPr>
      </w:pPr>
      <w:r w:rsidRPr="00745FBE">
        <w:rPr>
          <w:u w:val="single"/>
          <w:lang w:val="fr-CH"/>
        </w:rPr>
        <w:t>Notes explicatives – Paragraphe 1)</w:t>
      </w:r>
    </w:p>
    <w:p w:rsidR="00797CB8" w:rsidRPr="00745FBE" w:rsidRDefault="00797CB8" w:rsidP="00536372">
      <w:pPr>
        <w:rPr>
          <w:lang w:val="fr-CH"/>
        </w:rPr>
      </w:pPr>
    </w:p>
    <w:p w:rsidR="00797CB8" w:rsidRPr="00745FBE" w:rsidRDefault="00536372" w:rsidP="00536372">
      <w:pPr>
        <w:widowControl w:val="0"/>
        <w:tabs>
          <w:tab w:val="left" w:pos="567"/>
        </w:tabs>
        <w:rPr>
          <w:lang w:val="fr-CH"/>
        </w:rPr>
      </w:pPr>
      <w:r w:rsidRPr="00745FBE">
        <w:rPr>
          <w:lang w:val="fr-CH"/>
        </w:rPr>
        <w:t>1.1</w:t>
      </w:r>
      <w:r w:rsidRPr="00745FBE">
        <w:rPr>
          <w:lang w:val="fr-CH"/>
        </w:rPr>
        <w:tab/>
        <w:t>L</w:t>
      </w:r>
      <w:r w:rsidR="009B26EF">
        <w:rPr>
          <w:lang w:val="fr-CH"/>
        </w:rPr>
        <w:t>’</w:t>
      </w:r>
      <w:r w:rsidRPr="00745FBE">
        <w:rPr>
          <w:lang w:val="fr-CH"/>
        </w:rPr>
        <w:t>article 5.2) de l</w:t>
      </w:r>
      <w:r w:rsidR="009B26EF">
        <w:rPr>
          <w:lang w:val="fr-CH"/>
        </w:rPr>
        <w:t>’</w:t>
      </w:r>
      <w:r w:rsidRPr="00745FBE">
        <w:rPr>
          <w:lang w:val="fr-CH"/>
        </w:rPr>
        <w:t>Acte de 1991 ainsi que l</w:t>
      </w:r>
      <w:r w:rsidR="009B26EF">
        <w:rPr>
          <w:lang w:val="fr-CH"/>
        </w:rPr>
        <w:t>’</w:t>
      </w:r>
      <w:r w:rsidRPr="00745FBE">
        <w:rPr>
          <w:lang w:val="fr-CH"/>
        </w:rPr>
        <w:t>article 6.1)e) de l</w:t>
      </w:r>
      <w:r w:rsidR="009B26EF">
        <w:rPr>
          <w:lang w:val="fr-CH"/>
        </w:rPr>
        <w:t>’</w:t>
      </w:r>
      <w:r w:rsidRPr="00745FBE">
        <w:rPr>
          <w:lang w:val="fr-CH"/>
        </w:rPr>
        <w:t>Acte de 1978 et de la Convention de 1961 exigent que la variété soit désignée par une dénominati</w:t>
      </w:r>
      <w:r w:rsidR="00440663" w:rsidRPr="00745FBE">
        <w:rPr>
          <w:lang w:val="fr-CH"/>
        </w:rPr>
        <w:t>on</w:t>
      </w:r>
      <w:r w:rsidR="00440663">
        <w:rPr>
          <w:lang w:val="fr-CH"/>
        </w:rPr>
        <w:t xml:space="preserve">.  </w:t>
      </w:r>
      <w:r w:rsidR="00440663" w:rsidRPr="00745FBE">
        <w:rPr>
          <w:lang w:val="fr-CH"/>
        </w:rPr>
        <w:t>Le</w:t>
      </w:r>
      <w:r w:rsidRPr="00745FBE">
        <w:rPr>
          <w:lang w:val="fr-CH"/>
        </w:rPr>
        <w:t xml:space="preserve"> paragraphe 1) prévoit que la dénomination doit être la désignation générique de la variété et que, sous réserve d</w:t>
      </w:r>
      <w:r w:rsidR="009B26EF">
        <w:rPr>
          <w:lang w:val="fr-CH"/>
        </w:rPr>
        <w:t>’</w:t>
      </w:r>
      <w:r w:rsidRPr="00745FBE">
        <w:rPr>
          <w:lang w:val="fr-CH"/>
        </w:rPr>
        <w:t>autres droits, aucun droit ne doit entraver la libre utilisation de la dénomination variétale, même après l</w:t>
      </w:r>
      <w:r w:rsidR="009B26EF">
        <w:rPr>
          <w:lang w:val="fr-CH"/>
        </w:rPr>
        <w:t>’</w:t>
      </w:r>
      <w:r w:rsidRPr="00745FBE">
        <w:rPr>
          <w:lang w:val="fr-CH"/>
        </w:rPr>
        <w:t>expiration du droit d</w:t>
      </w:r>
      <w:r w:rsidR="009B26EF">
        <w:rPr>
          <w:lang w:val="fr-CH"/>
        </w:rPr>
        <w:t>’</w:t>
      </w:r>
      <w:r w:rsidRPr="00745FBE">
        <w:rPr>
          <w:lang w:val="fr-CH"/>
        </w:rPr>
        <w:t>obtente</w:t>
      </w:r>
      <w:r w:rsidR="00440663" w:rsidRPr="00745FBE">
        <w:rPr>
          <w:lang w:val="fr-CH"/>
        </w:rPr>
        <w:t>ur</w:t>
      </w:r>
      <w:r w:rsidR="00440663">
        <w:rPr>
          <w:lang w:val="fr-CH"/>
        </w:rPr>
        <w:t xml:space="preserve">.  </w:t>
      </w:r>
      <w:r w:rsidR="00440663" w:rsidRPr="00745FBE">
        <w:rPr>
          <w:lang w:val="fr-CH"/>
        </w:rPr>
        <w:t>L</w:t>
      </w:r>
      <w:r w:rsidR="00440663">
        <w:rPr>
          <w:lang w:val="fr-CH"/>
        </w:rPr>
        <w:t>’</w:t>
      </w:r>
      <w:r w:rsidR="00440663" w:rsidRPr="00745FBE">
        <w:rPr>
          <w:lang w:val="fr-CH"/>
        </w:rPr>
        <w:t>o</w:t>
      </w:r>
      <w:r w:rsidRPr="00745FBE">
        <w:rPr>
          <w:lang w:val="fr-CH"/>
        </w:rPr>
        <w:t>bligation visée au paragraphe 1) doit être prise en considération parallèlement à l</w:t>
      </w:r>
      <w:r w:rsidR="009B26EF">
        <w:rPr>
          <w:lang w:val="fr-CH"/>
        </w:rPr>
        <w:t>’</w:t>
      </w:r>
      <w:r w:rsidRPr="00745FBE">
        <w:rPr>
          <w:lang w:val="fr-CH"/>
        </w:rPr>
        <w:t>obligation d</w:t>
      </w:r>
      <w:r w:rsidR="009B26EF">
        <w:rPr>
          <w:lang w:val="fr-CH"/>
        </w:rPr>
        <w:t>’</w:t>
      </w:r>
      <w:r w:rsidRPr="00745FBE">
        <w:rPr>
          <w:lang w:val="fr-CH"/>
        </w:rPr>
        <w:t>utiliser cette dénomination aux fins de la mise en vente ou de la commercialisation du matériel de reproduction ou de multiplication végétative de la variété (voir le paragraphe 7)).</w:t>
      </w:r>
    </w:p>
    <w:p w:rsidR="00797CB8" w:rsidRPr="00745FBE" w:rsidRDefault="00797CB8" w:rsidP="00536372">
      <w:pPr>
        <w:widowControl w:val="0"/>
        <w:tabs>
          <w:tab w:val="left" w:pos="567"/>
        </w:tabs>
        <w:rPr>
          <w:lang w:val="fr-CH"/>
        </w:rPr>
      </w:pPr>
    </w:p>
    <w:p w:rsidR="00797CB8" w:rsidRPr="00745FBE" w:rsidRDefault="00536372" w:rsidP="00536372">
      <w:pPr>
        <w:widowControl w:val="0"/>
        <w:tabs>
          <w:tab w:val="left" w:pos="567"/>
        </w:tabs>
        <w:rPr>
          <w:lang w:val="fr-CH"/>
        </w:rPr>
      </w:pPr>
      <w:r w:rsidRPr="00745FBE">
        <w:rPr>
          <w:lang w:val="fr-CH"/>
        </w:rPr>
        <w:t>1.2</w:t>
      </w:r>
      <w:r w:rsidRPr="00745FBE">
        <w:rPr>
          <w:lang w:val="fr-CH"/>
        </w:rPr>
        <w:tab/>
        <w:t>L</w:t>
      </w:r>
      <w:r w:rsidR="009B26EF">
        <w:rPr>
          <w:lang w:val="fr-CH"/>
        </w:rPr>
        <w:t>’</w:t>
      </w:r>
      <w:r w:rsidRPr="00745FBE">
        <w:rPr>
          <w:lang w:val="fr-CH"/>
        </w:rPr>
        <w:t>obligation prévue au paragraphe 1) visant à permettre l</w:t>
      </w:r>
      <w:r w:rsidR="009B26EF">
        <w:rPr>
          <w:lang w:val="fr-CH"/>
        </w:rPr>
        <w:t>’</w:t>
      </w:r>
      <w:r w:rsidRPr="00745FBE">
        <w:rPr>
          <w:lang w:val="fr-CH"/>
        </w:rPr>
        <w:t>utilisation de la dénomination en rapport avec la variété, même après l</w:t>
      </w:r>
      <w:r w:rsidR="009B26EF">
        <w:rPr>
          <w:lang w:val="fr-CH"/>
        </w:rPr>
        <w:t>’</w:t>
      </w:r>
      <w:r w:rsidRPr="00745FBE">
        <w:rPr>
          <w:lang w:val="fr-CH"/>
        </w:rPr>
        <w:t>expiration du droit d</w:t>
      </w:r>
      <w:r w:rsidR="009B26EF">
        <w:rPr>
          <w:lang w:val="fr-CH"/>
        </w:rPr>
        <w:t>’</w:t>
      </w:r>
      <w:r w:rsidRPr="00745FBE">
        <w:rPr>
          <w:lang w:val="fr-CH"/>
        </w:rPr>
        <w:t>obtenteur, est pertinente si l</w:t>
      </w:r>
      <w:r w:rsidR="009B26EF">
        <w:rPr>
          <w:lang w:val="fr-CH"/>
        </w:rPr>
        <w:t>’</w:t>
      </w:r>
      <w:r w:rsidRPr="00745FBE">
        <w:rPr>
          <w:lang w:val="fr-CH"/>
        </w:rPr>
        <w:t>obtenteur de la variété est aussi le propriétaire de la marque identique à la dénomination variéta</w:t>
      </w:r>
      <w:r w:rsidR="00440663" w:rsidRPr="00745FBE">
        <w:rPr>
          <w:lang w:val="fr-CH"/>
        </w:rPr>
        <w:t>le</w:t>
      </w:r>
      <w:r w:rsidR="00440663">
        <w:rPr>
          <w:lang w:val="fr-CH"/>
        </w:rPr>
        <w:t xml:space="preserve">.  </w:t>
      </w:r>
      <w:r w:rsidR="00440663" w:rsidRPr="00745FBE">
        <w:rPr>
          <w:lang w:val="fr-CH"/>
        </w:rPr>
        <w:t>Il</w:t>
      </w:r>
      <w:r w:rsidRPr="00745FBE">
        <w:rPr>
          <w:lang w:val="fr-CH"/>
        </w:rPr>
        <w:t xml:space="preserve"> convient de noter que, lorsqu</w:t>
      </w:r>
      <w:r w:rsidR="009B26EF">
        <w:rPr>
          <w:lang w:val="fr-CH"/>
        </w:rPr>
        <w:t>’</w:t>
      </w:r>
      <w:r w:rsidRPr="00745FBE">
        <w:rPr>
          <w:lang w:val="fr-CH"/>
        </w:rPr>
        <w:t>un nom est enregistré en tant que marque par une administration compétente en matière de marques, l</w:t>
      </w:r>
      <w:r w:rsidR="009B26EF">
        <w:rPr>
          <w:lang w:val="fr-CH"/>
        </w:rPr>
        <w:t>’</w:t>
      </w:r>
      <w:r w:rsidRPr="00745FBE">
        <w:rPr>
          <w:lang w:val="fr-CH"/>
        </w:rPr>
        <w:t>utilisation de ce nom en tant que dénomination variétale peut transformer la marque en nom génériq</w:t>
      </w:r>
      <w:r w:rsidR="00440663" w:rsidRPr="00745FBE">
        <w:rPr>
          <w:lang w:val="fr-CH"/>
        </w:rPr>
        <w:t>ue</w:t>
      </w:r>
      <w:r w:rsidR="00440663">
        <w:rPr>
          <w:lang w:val="fr-CH"/>
        </w:rPr>
        <w:t xml:space="preserve">.  </w:t>
      </w:r>
      <w:r w:rsidR="00440663" w:rsidRPr="00745FBE">
        <w:rPr>
          <w:lang w:val="fr-CH"/>
        </w:rPr>
        <w:t>Ce</w:t>
      </w:r>
      <w:r w:rsidRPr="00745FBE">
        <w:rPr>
          <w:lang w:val="fr-CH"/>
        </w:rPr>
        <w:t xml:space="preserve"> type de situation peut conduire à la radiation de la marque</w:t>
      </w:r>
      <w:r w:rsidRPr="00745FBE">
        <w:rPr>
          <w:rStyle w:val="FootnoteReference"/>
          <w:lang w:val="fr-CH"/>
        </w:rPr>
        <w:footnoteReference w:id="3"/>
      </w:r>
      <w:r w:rsidRPr="00745FBE">
        <w:rPr>
          <w:lang w:val="fr-CH"/>
        </w:rPr>
        <w:t>.  À des fins de clarté et pour éviter toute incertitude en ce qui concerne les dénominations variétales, les services doivent refuser toute dénomination variétale qui est identique à une marque sur laquelle l</w:t>
      </w:r>
      <w:r w:rsidR="009B26EF">
        <w:rPr>
          <w:lang w:val="fr-CH"/>
        </w:rPr>
        <w:t>’</w:t>
      </w:r>
      <w:r w:rsidRPr="00745FBE">
        <w:rPr>
          <w:lang w:val="fr-CH"/>
        </w:rPr>
        <w:t>obtenteur a un dro</w:t>
      </w:r>
      <w:r w:rsidR="00440663" w:rsidRPr="00745FBE">
        <w:rPr>
          <w:lang w:val="fr-CH"/>
        </w:rPr>
        <w:t>it</w:t>
      </w:r>
      <w:r w:rsidR="00440663">
        <w:rPr>
          <w:lang w:val="fr-CH"/>
        </w:rPr>
        <w:t xml:space="preserve">.  </w:t>
      </w:r>
      <w:r w:rsidR="00440663" w:rsidRPr="00745FBE">
        <w:rPr>
          <w:lang w:val="fr-CH"/>
        </w:rPr>
        <w:t>L</w:t>
      </w:r>
      <w:r w:rsidR="00440663">
        <w:rPr>
          <w:lang w:val="fr-CH"/>
        </w:rPr>
        <w:t>’</w:t>
      </w:r>
      <w:r w:rsidR="00440663" w:rsidRPr="00745FBE">
        <w:rPr>
          <w:lang w:val="fr-CH"/>
        </w:rPr>
        <w:t>o</w:t>
      </w:r>
      <w:r w:rsidRPr="00745FBE">
        <w:rPr>
          <w:lang w:val="fr-CH"/>
        </w:rPr>
        <w:t>btenteur peut choisir de renoncer aux droits attachés à la marque avant de soumettre une proposition de dénomination afin d</w:t>
      </w:r>
      <w:r w:rsidR="009B26EF">
        <w:rPr>
          <w:lang w:val="fr-CH"/>
        </w:rPr>
        <w:t>’</w:t>
      </w:r>
      <w:r w:rsidRPr="00745FBE">
        <w:rPr>
          <w:lang w:val="fr-CH"/>
        </w:rPr>
        <w:t>éviter tout refus.</w:t>
      </w:r>
    </w:p>
    <w:p w:rsidR="00797CB8" w:rsidRPr="00745FBE" w:rsidRDefault="00797CB8" w:rsidP="00536372">
      <w:pPr>
        <w:jc w:val="left"/>
        <w:rPr>
          <w:lang w:val="fr-CH" w:eastAsia="ja-JP"/>
        </w:rPr>
      </w:pPr>
    </w:p>
    <w:p w:rsidR="00797CB8" w:rsidRPr="00745FBE" w:rsidRDefault="00536372" w:rsidP="00536372">
      <w:pPr>
        <w:widowControl w:val="0"/>
        <w:tabs>
          <w:tab w:val="left" w:pos="567"/>
        </w:tabs>
        <w:rPr>
          <w:u w:val="single"/>
          <w:lang w:val="fr-CH"/>
        </w:rPr>
      </w:pPr>
      <w:r w:rsidRPr="00745FBE">
        <w:rPr>
          <w:highlight w:val="lightGray"/>
          <w:u w:val="single"/>
          <w:lang w:val="fr-CH"/>
        </w:rPr>
        <w:t>1.3</w:t>
      </w:r>
      <w:r w:rsidRPr="00745FBE">
        <w:rPr>
          <w:highlight w:val="lightGray"/>
          <w:u w:val="single"/>
          <w:lang w:val="fr-CH"/>
        </w:rPr>
        <w:tab/>
      </w:r>
      <w:r w:rsidRPr="00745FBE">
        <w:rPr>
          <w:color w:val="000000"/>
          <w:highlight w:val="lightGray"/>
          <w:u w:val="single"/>
          <w:lang w:val="fr-CH" w:eastAsia="ja-JP"/>
        </w:rPr>
        <w:t>Lorsqu</w:t>
      </w:r>
      <w:r w:rsidR="009B26EF">
        <w:rPr>
          <w:color w:val="000000"/>
          <w:highlight w:val="lightGray"/>
          <w:u w:val="single"/>
          <w:lang w:val="fr-CH" w:eastAsia="ja-JP"/>
        </w:rPr>
        <w:t>’</w:t>
      </w:r>
      <w:r w:rsidRPr="00745FBE">
        <w:rPr>
          <w:color w:val="000000"/>
          <w:highlight w:val="lightGray"/>
          <w:u w:val="single"/>
          <w:lang w:val="fr-CH" w:eastAsia="ja-JP"/>
        </w:rPr>
        <w:t>un service autorise consciemment l</w:t>
      </w:r>
      <w:r w:rsidR="009B26EF">
        <w:rPr>
          <w:color w:val="000000"/>
          <w:highlight w:val="lightGray"/>
          <w:u w:val="single"/>
          <w:lang w:val="fr-CH" w:eastAsia="ja-JP"/>
        </w:rPr>
        <w:t>’</w:t>
      </w:r>
      <w:r w:rsidRPr="00745FBE">
        <w:rPr>
          <w:color w:val="000000"/>
          <w:highlight w:val="lightGray"/>
          <w:u w:val="single"/>
          <w:lang w:val="fr-CH" w:eastAsia="ja-JP"/>
        </w:rPr>
        <w:t>enregistrement d</w:t>
      </w:r>
      <w:r w:rsidR="009B26EF">
        <w:rPr>
          <w:color w:val="000000"/>
          <w:highlight w:val="lightGray"/>
          <w:u w:val="single"/>
          <w:lang w:val="fr-CH" w:eastAsia="ja-JP"/>
        </w:rPr>
        <w:t>’</w:t>
      </w:r>
      <w:r w:rsidRPr="00745FBE">
        <w:rPr>
          <w:color w:val="000000"/>
          <w:highlight w:val="lightGray"/>
          <w:u w:val="single"/>
          <w:lang w:val="fr-CH" w:eastAsia="ja-JP"/>
        </w:rPr>
        <w:t>une dénomination, si l</w:t>
      </w:r>
      <w:r w:rsidR="009B26EF">
        <w:rPr>
          <w:color w:val="000000"/>
          <w:highlight w:val="lightGray"/>
          <w:u w:val="single"/>
          <w:lang w:val="fr-CH" w:eastAsia="ja-JP"/>
        </w:rPr>
        <w:t>’</w:t>
      </w:r>
      <w:r w:rsidRPr="00745FBE">
        <w:rPr>
          <w:color w:val="000000"/>
          <w:highlight w:val="lightGray"/>
          <w:u w:val="single"/>
          <w:lang w:val="fr-CH" w:eastAsia="ja-JP"/>
        </w:rPr>
        <w:t>obtenteur de la variété est aussi le propriétaire d</w:t>
      </w:r>
      <w:r w:rsidR="009B26EF">
        <w:rPr>
          <w:color w:val="000000"/>
          <w:highlight w:val="lightGray"/>
          <w:u w:val="single"/>
          <w:lang w:val="fr-CH" w:eastAsia="ja-JP"/>
        </w:rPr>
        <w:t>’</w:t>
      </w:r>
      <w:r w:rsidRPr="00745FBE">
        <w:rPr>
          <w:color w:val="000000"/>
          <w:highlight w:val="lightGray"/>
          <w:u w:val="single"/>
          <w:lang w:val="fr-CH" w:eastAsia="ja-JP"/>
        </w:rPr>
        <w:t>une marque identique à la dénomination variétale, ce service</w:t>
      </w:r>
      <w:r w:rsidRPr="00745FBE">
        <w:rPr>
          <w:highlight w:val="lightGray"/>
          <w:u w:val="single"/>
          <w:shd w:val="pct15" w:color="auto" w:fill="FFFFFF"/>
          <w:lang w:val="fr-CH"/>
        </w:rPr>
        <w:t>, tant qu</w:t>
      </w:r>
      <w:r w:rsidR="009B26EF">
        <w:rPr>
          <w:highlight w:val="lightGray"/>
          <w:u w:val="single"/>
          <w:shd w:val="pct15" w:color="auto" w:fill="FFFFFF"/>
          <w:lang w:val="fr-CH"/>
        </w:rPr>
        <w:t>’</w:t>
      </w:r>
      <w:r w:rsidRPr="00745FBE">
        <w:rPr>
          <w:highlight w:val="lightGray"/>
          <w:u w:val="single"/>
          <w:shd w:val="pct15" w:color="auto" w:fill="FFFFFF"/>
          <w:lang w:val="fr-CH"/>
        </w:rPr>
        <w:t>il en a pris conscience,</w:t>
      </w:r>
      <w:r w:rsidRPr="00745FBE">
        <w:rPr>
          <w:color w:val="000000"/>
          <w:highlight w:val="lightGray"/>
          <w:u w:val="single"/>
          <w:lang w:val="fr-CH" w:eastAsia="ja-JP"/>
        </w:rPr>
        <w:t xml:space="preserve"> devrait informer l</w:t>
      </w:r>
      <w:r w:rsidR="009B26EF">
        <w:rPr>
          <w:color w:val="000000"/>
          <w:highlight w:val="lightGray"/>
          <w:u w:val="single"/>
          <w:lang w:val="fr-CH" w:eastAsia="ja-JP"/>
        </w:rPr>
        <w:t>’</w:t>
      </w:r>
      <w:r w:rsidRPr="00745FBE">
        <w:rPr>
          <w:color w:val="000000"/>
          <w:highlight w:val="lightGray"/>
          <w:u w:val="single"/>
          <w:lang w:val="fr-CH" w:eastAsia="ja-JP"/>
        </w:rPr>
        <w:t>obtenteur de son obligation de permettre l</w:t>
      </w:r>
      <w:r w:rsidR="009B26EF">
        <w:rPr>
          <w:color w:val="000000"/>
          <w:highlight w:val="lightGray"/>
          <w:u w:val="single"/>
          <w:lang w:val="fr-CH" w:eastAsia="ja-JP"/>
        </w:rPr>
        <w:t>’</w:t>
      </w:r>
      <w:r w:rsidRPr="00745FBE">
        <w:rPr>
          <w:color w:val="000000"/>
          <w:highlight w:val="lightGray"/>
          <w:u w:val="single"/>
          <w:lang w:val="fr-CH" w:eastAsia="ja-JP"/>
        </w:rPr>
        <w:t>utilisation de la dénomination en rapport avec la variété, même après l</w:t>
      </w:r>
      <w:r w:rsidR="009B26EF">
        <w:rPr>
          <w:color w:val="000000"/>
          <w:highlight w:val="lightGray"/>
          <w:u w:val="single"/>
          <w:lang w:val="fr-CH" w:eastAsia="ja-JP"/>
        </w:rPr>
        <w:t>’</w:t>
      </w:r>
      <w:r w:rsidRPr="00745FBE">
        <w:rPr>
          <w:color w:val="000000"/>
          <w:highlight w:val="lightGray"/>
          <w:u w:val="single"/>
          <w:lang w:val="fr-CH" w:eastAsia="ja-JP"/>
        </w:rPr>
        <w:t>expiration du droit d</w:t>
      </w:r>
      <w:r w:rsidR="009B26EF">
        <w:rPr>
          <w:color w:val="000000"/>
          <w:highlight w:val="lightGray"/>
          <w:u w:val="single"/>
          <w:lang w:val="fr-CH" w:eastAsia="ja-JP"/>
        </w:rPr>
        <w:t>’</w:t>
      </w:r>
      <w:r w:rsidRPr="00745FBE">
        <w:rPr>
          <w:color w:val="000000"/>
          <w:highlight w:val="lightGray"/>
          <w:u w:val="single"/>
          <w:lang w:val="fr-CH" w:eastAsia="ja-JP"/>
        </w:rPr>
        <w:t>obtenteur.</w:t>
      </w:r>
    </w:p>
    <w:p w:rsidR="00797CB8" w:rsidRPr="00745FBE" w:rsidRDefault="00797CB8" w:rsidP="00893C7D">
      <w:pPr>
        <w:widowControl w:val="0"/>
        <w:tabs>
          <w:tab w:val="left" w:pos="567"/>
        </w:tabs>
        <w:rPr>
          <w:lang w:val="fr-CH"/>
        </w:rPr>
      </w:pPr>
    </w:p>
    <w:p w:rsidR="00797CB8" w:rsidRPr="00745FBE" w:rsidRDefault="00DC0320" w:rsidP="00DC0320">
      <w:pPr>
        <w:pStyle w:val="Heading1"/>
        <w:rPr>
          <w:lang w:val="fr-CH"/>
        </w:rPr>
      </w:pPr>
      <w:bookmarkStart w:id="6" w:name="_Toc35937347"/>
      <w:r w:rsidRPr="00745FBE">
        <w:rPr>
          <w:lang w:val="fr-CH"/>
        </w:rPr>
        <w:lastRenderedPageBreak/>
        <w:t>Paragraphe 2</w:t>
      </w:r>
      <w:bookmarkEnd w:id="6"/>
    </w:p>
    <w:p w:rsidR="00797CB8" w:rsidRPr="00745FBE" w:rsidRDefault="00797CB8" w:rsidP="00DC0320">
      <w:pPr>
        <w:keepNext/>
        <w:jc w:val="center"/>
        <w:rPr>
          <w:b/>
          <w:lang w:val="fr-CH"/>
        </w:rPr>
      </w:pPr>
    </w:p>
    <w:p w:rsidR="00797CB8" w:rsidRPr="00745FBE" w:rsidRDefault="00DC0320" w:rsidP="00DC0320">
      <w:pPr>
        <w:pStyle w:val="Heading2"/>
        <w:rPr>
          <w:lang w:val="fr-CH"/>
        </w:rPr>
      </w:pPr>
      <w:bookmarkStart w:id="7" w:name="_Toc35937348"/>
      <w:r w:rsidRPr="00745FBE">
        <w:rPr>
          <w:lang w:val="fr-CH"/>
        </w:rPr>
        <w:t>[Caractéristiques de la dénomination]</w:t>
      </w:r>
      <w:bookmarkEnd w:id="7"/>
    </w:p>
    <w:p w:rsidR="00797CB8" w:rsidRPr="00745FBE" w:rsidRDefault="00797CB8" w:rsidP="00DC0320">
      <w:pPr>
        <w:keepNext/>
        <w:keepLines/>
        <w:ind w:firstLine="567"/>
        <w:rPr>
          <w:b/>
          <w:lang w:val="fr-CH"/>
        </w:rPr>
      </w:pPr>
    </w:p>
    <w:p w:rsidR="00797CB8" w:rsidRPr="00745FBE" w:rsidRDefault="00DC0320" w:rsidP="00DC0320">
      <w:pPr>
        <w:keepNext/>
        <w:keepLines/>
        <w:ind w:firstLine="567"/>
        <w:rPr>
          <w:b/>
          <w:lang w:val="fr-CH"/>
        </w:rPr>
      </w:pPr>
      <w:r w:rsidRPr="00745FBE">
        <w:rPr>
          <w:b/>
          <w:lang w:val="fr-CH"/>
        </w:rPr>
        <w:t>La dénomination doit permettre d</w:t>
      </w:r>
      <w:r w:rsidR="009B26EF">
        <w:rPr>
          <w:b/>
          <w:lang w:val="fr-CH"/>
        </w:rPr>
        <w:t>’</w:t>
      </w:r>
      <w:r w:rsidRPr="00745FBE">
        <w:rPr>
          <w:b/>
          <w:lang w:val="fr-CH"/>
        </w:rPr>
        <w:t>identifier la varié</w:t>
      </w:r>
      <w:r w:rsidR="00440663" w:rsidRPr="00745FBE">
        <w:rPr>
          <w:b/>
          <w:lang w:val="fr-CH"/>
        </w:rPr>
        <w:t>té</w:t>
      </w:r>
      <w:r w:rsidR="00440663">
        <w:rPr>
          <w:b/>
          <w:lang w:val="fr-CH"/>
        </w:rPr>
        <w:t xml:space="preserve">.  </w:t>
      </w:r>
      <w:r w:rsidR="00440663" w:rsidRPr="00745FBE">
        <w:rPr>
          <w:b/>
          <w:lang w:val="fr-CH"/>
        </w:rPr>
        <w:t>El</w:t>
      </w:r>
      <w:r w:rsidRPr="00745FBE">
        <w:rPr>
          <w:b/>
          <w:lang w:val="fr-CH"/>
        </w:rPr>
        <w:t>le ne peut se composer uniquement de chiffres sauf lorsque c</w:t>
      </w:r>
      <w:r w:rsidR="009B26EF">
        <w:rPr>
          <w:b/>
          <w:lang w:val="fr-CH"/>
        </w:rPr>
        <w:t>’</w:t>
      </w:r>
      <w:r w:rsidRPr="00745FBE">
        <w:rPr>
          <w:b/>
          <w:lang w:val="fr-CH"/>
        </w:rPr>
        <w:t>est une pratique établie pour désigner des variét</w:t>
      </w:r>
      <w:r w:rsidR="00440663" w:rsidRPr="00745FBE">
        <w:rPr>
          <w:b/>
          <w:lang w:val="fr-CH"/>
        </w:rPr>
        <w:t>és</w:t>
      </w:r>
      <w:r w:rsidR="00440663">
        <w:rPr>
          <w:b/>
          <w:lang w:val="fr-CH"/>
        </w:rPr>
        <w:t xml:space="preserve">.  </w:t>
      </w:r>
      <w:r w:rsidR="00440663" w:rsidRPr="00745FBE">
        <w:rPr>
          <w:b/>
          <w:lang w:val="fr-CH"/>
        </w:rPr>
        <w:t>El</w:t>
      </w:r>
      <w:r w:rsidRPr="00745FBE">
        <w:rPr>
          <w:b/>
          <w:lang w:val="fr-CH"/>
        </w:rPr>
        <w:t>le ne doit pas être susceptible d</w:t>
      </w:r>
      <w:r w:rsidR="009B26EF">
        <w:rPr>
          <w:b/>
          <w:lang w:val="fr-CH"/>
        </w:rPr>
        <w:t>’</w:t>
      </w:r>
      <w:r w:rsidRPr="00745FBE">
        <w:rPr>
          <w:b/>
          <w:lang w:val="fr-CH"/>
        </w:rPr>
        <w:t>induire en erreur ou de prêter à confusion sur les caractéristiques, la valeur ou l</w:t>
      </w:r>
      <w:r w:rsidR="009B26EF">
        <w:rPr>
          <w:b/>
          <w:lang w:val="fr-CH"/>
        </w:rPr>
        <w:t>’</w:t>
      </w:r>
      <w:r w:rsidRPr="00745FBE">
        <w:rPr>
          <w:b/>
          <w:lang w:val="fr-CH"/>
        </w:rPr>
        <w:t>identité de la variété ou sur l</w:t>
      </w:r>
      <w:r w:rsidR="009B26EF">
        <w:rPr>
          <w:b/>
          <w:lang w:val="fr-CH"/>
        </w:rPr>
        <w:t>’</w:t>
      </w:r>
      <w:r w:rsidRPr="00745FBE">
        <w:rPr>
          <w:b/>
          <w:lang w:val="fr-CH"/>
        </w:rPr>
        <w:t>identité de l</w:t>
      </w:r>
      <w:r w:rsidR="009B26EF">
        <w:rPr>
          <w:b/>
          <w:lang w:val="fr-CH"/>
        </w:rPr>
        <w:t>’</w:t>
      </w:r>
      <w:r w:rsidRPr="00745FBE">
        <w:rPr>
          <w:b/>
          <w:lang w:val="fr-CH"/>
        </w:rPr>
        <w:t>obtente</w:t>
      </w:r>
      <w:r w:rsidR="00440663" w:rsidRPr="00745FBE">
        <w:rPr>
          <w:b/>
          <w:lang w:val="fr-CH"/>
        </w:rPr>
        <w:t>ur</w:t>
      </w:r>
      <w:r w:rsidR="00440663">
        <w:rPr>
          <w:b/>
          <w:lang w:val="fr-CH"/>
        </w:rPr>
        <w:t xml:space="preserve">.  </w:t>
      </w:r>
      <w:r w:rsidR="00440663" w:rsidRPr="00745FBE">
        <w:rPr>
          <w:b/>
          <w:lang w:val="fr-CH"/>
        </w:rPr>
        <w:t>El</w:t>
      </w:r>
      <w:r w:rsidRPr="00745FBE">
        <w:rPr>
          <w:b/>
          <w:lang w:val="fr-CH"/>
        </w:rPr>
        <w:t>le doit notamment être différente de toute dénomination qui désigne, sur le territoire de l</w:t>
      </w:r>
      <w:r w:rsidR="009B26EF">
        <w:rPr>
          <w:b/>
          <w:lang w:val="fr-CH"/>
        </w:rPr>
        <w:t>’</w:t>
      </w:r>
      <w:r w:rsidRPr="00745FBE">
        <w:rPr>
          <w:b/>
          <w:lang w:val="fr-CH"/>
        </w:rPr>
        <w:t>un quelconque des membres de l</w:t>
      </w:r>
      <w:r w:rsidR="009B26EF">
        <w:rPr>
          <w:b/>
          <w:lang w:val="fr-CH"/>
        </w:rPr>
        <w:t>’</w:t>
      </w:r>
      <w:r w:rsidRPr="00745FBE">
        <w:rPr>
          <w:b/>
          <w:lang w:val="fr-CH"/>
        </w:rPr>
        <w:t>Union, une variété préexistante de la même espèce végétale ou d</w:t>
      </w:r>
      <w:r w:rsidR="009B26EF">
        <w:rPr>
          <w:b/>
          <w:lang w:val="fr-CH"/>
        </w:rPr>
        <w:t>’</w:t>
      </w:r>
      <w:r w:rsidRPr="00745FBE">
        <w:rPr>
          <w:b/>
          <w:lang w:val="fr-CH"/>
        </w:rPr>
        <w:t>une espèce voisine.</w:t>
      </w:r>
    </w:p>
    <w:p w:rsidR="00797CB8" w:rsidRPr="00745FBE" w:rsidRDefault="00797CB8" w:rsidP="00DC0320">
      <w:pPr>
        <w:rPr>
          <w:lang w:val="fr-CH"/>
        </w:rPr>
      </w:pPr>
    </w:p>
    <w:p w:rsidR="00797CB8" w:rsidRPr="00745FBE" w:rsidRDefault="00DC0320" w:rsidP="00DC0320">
      <w:pPr>
        <w:keepNext/>
        <w:rPr>
          <w:u w:val="single"/>
          <w:lang w:val="fr-CH"/>
        </w:rPr>
      </w:pPr>
      <w:r w:rsidRPr="00745FBE">
        <w:rPr>
          <w:u w:val="single"/>
          <w:lang w:val="fr-CH"/>
        </w:rPr>
        <w:t>Notes explicatives – Paragraphe 2)</w:t>
      </w:r>
    </w:p>
    <w:p w:rsidR="00797CB8" w:rsidRPr="00745FBE" w:rsidRDefault="00797CB8" w:rsidP="00DC0320">
      <w:pPr>
        <w:keepNext/>
        <w:rPr>
          <w:lang w:val="fr-CH" w:eastAsia="ja-JP"/>
        </w:rPr>
      </w:pPr>
    </w:p>
    <w:p w:rsidR="00797CB8" w:rsidRPr="00745FBE" w:rsidRDefault="00DC0320" w:rsidP="00DC0320">
      <w:pPr>
        <w:pStyle w:val="Heading3"/>
        <w:rPr>
          <w:lang w:val="fr-CH"/>
        </w:rPr>
      </w:pPr>
      <w:bookmarkStart w:id="8" w:name="_Toc15031423"/>
      <w:bookmarkStart w:id="9" w:name="_Toc35937349"/>
      <w:r w:rsidRPr="00745FBE">
        <w:rPr>
          <w:lang w:val="fr-CH"/>
        </w:rPr>
        <w:t>2.1</w:t>
      </w:r>
      <w:r w:rsidRPr="00745FBE">
        <w:rPr>
          <w:i w:val="0"/>
          <w:lang w:val="fr-CH"/>
        </w:rPr>
        <w:tab/>
      </w:r>
      <w:r w:rsidRPr="00745FBE">
        <w:rPr>
          <w:lang w:val="fr-CH"/>
        </w:rPr>
        <w:t>Identification</w:t>
      </w:r>
      <w:bookmarkEnd w:id="8"/>
      <w:bookmarkEnd w:id="9"/>
    </w:p>
    <w:p w:rsidR="00797CB8" w:rsidRPr="00745FBE" w:rsidRDefault="00797CB8" w:rsidP="00DC0320">
      <w:pPr>
        <w:rPr>
          <w:lang w:val="fr-CH"/>
        </w:rPr>
      </w:pPr>
    </w:p>
    <w:p w:rsidR="00797CB8" w:rsidRPr="00745FBE" w:rsidRDefault="00DC0320" w:rsidP="00DC0320">
      <w:pPr>
        <w:tabs>
          <w:tab w:val="left" w:pos="567"/>
        </w:tabs>
        <w:rPr>
          <w:lang w:val="fr-CH"/>
        </w:rPr>
      </w:pPr>
      <w:r w:rsidRPr="00745FBE">
        <w:rPr>
          <w:lang w:val="fr-CH"/>
        </w:rPr>
        <w:t>Les dispositions du paragraphe 2) soulignent le rôle d</w:t>
      </w:r>
      <w:r w:rsidR="009B26EF">
        <w:rPr>
          <w:lang w:val="fr-CH"/>
        </w:rPr>
        <w:t>’</w:t>
      </w:r>
      <w:r w:rsidRPr="00745FBE">
        <w:rPr>
          <w:lang w:val="fr-CH"/>
        </w:rPr>
        <w:t>“identification” de la dénominati</w:t>
      </w:r>
      <w:r w:rsidR="00440663" w:rsidRPr="00745FBE">
        <w:rPr>
          <w:lang w:val="fr-CH"/>
        </w:rPr>
        <w:t>on</w:t>
      </w:r>
      <w:r w:rsidR="00440663">
        <w:rPr>
          <w:lang w:val="fr-CH"/>
        </w:rPr>
        <w:t xml:space="preserve">.  </w:t>
      </w:r>
      <w:r w:rsidR="00440663" w:rsidRPr="00745FBE">
        <w:rPr>
          <w:lang w:val="fr-CH"/>
        </w:rPr>
        <w:t>Co</w:t>
      </w:r>
      <w:r w:rsidRPr="00745FBE">
        <w:rPr>
          <w:lang w:val="fr-CH"/>
        </w:rPr>
        <w:t>mpte tenu du fait que le principal objectif de la dénomination est de permettre d</w:t>
      </w:r>
      <w:r w:rsidR="009B26EF">
        <w:rPr>
          <w:lang w:val="fr-CH"/>
        </w:rPr>
        <w:t>’</w:t>
      </w:r>
      <w:r w:rsidRPr="00745FBE">
        <w:rPr>
          <w:lang w:val="fr-CH"/>
        </w:rPr>
        <w:t>identifier une variété, une souplesse suffisante doit être prévue afin de prendre en considération l</w:t>
      </w:r>
      <w:r w:rsidR="009B26EF">
        <w:rPr>
          <w:lang w:val="fr-CH"/>
        </w:rPr>
        <w:t>’</w:t>
      </w:r>
      <w:r w:rsidRPr="00745FBE">
        <w:rPr>
          <w:lang w:val="fr-CH"/>
        </w:rPr>
        <w:t>évolution des pratiques dans la désignation des variétés.</w:t>
      </w:r>
    </w:p>
    <w:p w:rsidR="00797CB8" w:rsidRPr="00745FBE" w:rsidRDefault="00797CB8" w:rsidP="00DC0320">
      <w:pPr>
        <w:tabs>
          <w:tab w:val="left" w:pos="567"/>
        </w:tabs>
        <w:rPr>
          <w:lang w:val="fr-CH" w:eastAsia="ja-JP"/>
        </w:rPr>
      </w:pPr>
    </w:p>
    <w:p w:rsidR="00797CB8" w:rsidRPr="00745FBE" w:rsidRDefault="00797CB8" w:rsidP="00DC0320">
      <w:pPr>
        <w:tabs>
          <w:tab w:val="left" w:pos="567"/>
        </w:tabs>
        <w:rPr>
          <w:lang w:val="fr-CH" w:eastAsia="ja-JP"/>
        </w:rPr>
      </w:pPr>
    </w:p>
    <w:p w:rsidR="00797CB8" w:rsidRPr="00745FBE" w:rsidRDefault="00DC0320" w:rsidP="00DC0320">
      <w:pPr>
        <w:pStyle w:val="Heading3"/>
        <w:rPr>
          <w:lang w:val="fr-CH"/>
        </w:rPr>
      </w:pPr>
      <w:bookmarkStart w:id="10" w:name="_Toc15031424"/>
      <w:bookmarkStart w:id="11" w:name="_Toc35937350"/>
      <w:r w:rsidRPr="00745FBE">
        <w:rPr>
          <w:lang w:val="fr-CH"/>
        </w:rPr>
        <w:t>2.2</w:t>
      </w:r>
      <w:r w:rsidRPr="00745FBE">
        <w:rPr>
          <w:i w:val="0"/>
          <w:lang w:val="fr-CH"/>
        </w:rPr>
        <w:tab/>
      </w:r>
      <w:r w:rsidRPr="00745FBE">
        <w:rPr>
          <w:lang w:val="fr-CH"/>
        </w:rPr>
        <w:t>Uniquement de chiffres</w:t>
      </w:r>
      <w:bookmarkEnd w:id="10"/>
      <w:bookmarkEnd w:id="11"/>
    </w:p>
    <w:p w:rsidR="00797CB8" w:rsidRPr="00745FBE" w:rsidRDefault="00797CB8" w:rsidP="00DC0320">
      <w:pPr>
        <w:rPr>
          <w:i/>
          <w:lang w:val="fr-CH"/>
        </w:rPr>
      </w:pPr>
    </w:p>
    <w:p w:rsidR="00797CB8" w:rsidRPr="00745FBE" w:rsidRDefault="00DC0320" w:rsidP="00DC0320">
      <w:pPr>
        <w:rPr>
          <w:lang w:val="fr-CH"/>
        </w:rPr>
      </w:pPr>
      <w:r w:rsidRPr="00745FBE">
        <w:rPr>
          <w:lang w:val="fr-CH"/>
        </w:rPr>
        <w:t>2.2.1</w:t>
      </w:r>
      <w:r w:rsidRPr="00745FBE">
        <w:rPr>
          <w:lang w:val="fr-CH"/>
        </w:rPr>
        <w:tab/>
        <w:t>Le paragraphe 2) dispose que la dénomination ne peut pas se composer “uniquement de chiffres”, sauf lorsqu</w:t>
      </w:r>
      <w:r w:rsidR="009B26EF">
        <w:rPr>
          <w:lang w:val="fr-CH"/>
        </w:rPr>
        <w:t>’</w:t>
      </w:r>
      <w:r w:rsidRPr="00745FBE">
        <w:rPr>
          <w:lang w:val="fr-CH"/>
        </w:rPr>
        <w:t>il s</w:t>
      </w:r>
      <w:r w:rsidR="009B26EF">
        <w:rPr>
          <w:lang w:val="fr-CH"/>
        </w:rPr>
        <w:t>’</w:t>
      </w:r>
      <w:r w:rsidRPr="00745FBE">
        <w:rPr>
          <w:lang w:val="fr-CH"/>
        </w:rPr>
        <w:t>agit d</w:t>
      </w:r>
      <w:r w:rsidR="009B26EF">
        <w:rPr>
          <w:lang w:val="fr-CH"/>
        </w:rPr>
        <w:t>’</w:t>
      </w:r>
      <w:r w:rsidRPr="00745FBE">
        <w:rPr>
          <w:lang w:val="fr-CH"/>
        </w:rPr>
        <w:t>une “pratique établie” pour désigner des variét</w:t>
      </w:r>
      <w:r w:rsidR="00440663" w:rsidRPr="00745FBE">
        <w:rPr>
          <w:lang w:val="fr-CH"/>
        </w:rPr>
        <w:t>és</w:t>
      </w:r>
      <w:r w:rsidR="00440663">
        <w:rPr>
          <w:lang w:val="fr-CH"/>
        </w:rPr>
        <w:t xml:space="preserve">.  </w:t>
      </w:r>
      <w:r w:rsidR="00440663" w:rsidRPr="00745FBE">
        <w:rPr>
          <w:lang w:val="fr-CH"/>
        </w:rPr>
        <w:t>L</w:t>
      </w:r>
      <w:r w:rsidR="00440663">
        <w:rPr>
          <w:lang w:val="fr-CH"/>
        </w:rPr>
        <w:t>’</w:t>
      </w:r>
      <w:r w:rsidR="00440663" w:rsidRPr="00745FBE">
        <w:rPr>
          <w:lang w:val="fr-CH"/>
        </w:rPr>
        <w:t>e</w:t>
      </w:r>
      <w:r w:rsidRPr="00745FBE">
        <w:rPr>
          <w:lang w:val="fr-CH"/>
        </w:rPr>
        <w:t>xpression “uniquement de chiffres” renvoie à des dénominations variétales consistant uniquement en des nombres (par exemple 91150).  Par conséquent, les dénominations contenant à la fois des lettres et des chiffres ne relèvent pas de la “pratique établie” (par exemple AX350).</w:t>
      </w:r>
    </w:p>
    <w:p w:rsidR="00797CB8" w:rsidRPr="00745FBE" w:rsidRDefault="00797CB8" w:rsidP="00DC0320">
      <w:pPr>
        <w:rPr>
          <w:lang w:val="fr-CH"/>
        </w:rPr>
      </w:pPr>
    </w:p>
    <w:p w:rsidR="00797CB8" w:rsidRPr="00745FBE" w:rsidRDefault="00DC0320" w:rsidP="00DC0320">
      <w:pPr>
        <w:rPr>
          <w:lang w:val="fr-CH"/>
        </w:rPr>
      </w:pPr>
      <w:r w:rsidRPr="00745FBE">
        <w:rPr>
          <w:lang w:val="fr-CH"/>
        </w:rPr>
        <w:t xml:space="preserve">2.2.2 </w:t>
      </w:r>
      <w:r w:rsidRPr="00745FBE">
        <w:rPr>
          <w:lang w:val="fr-CH"/>
        </w:rPr>
        <w:tab/>
        <w:t>En cas de dénomination composée “uniquement de chiffres”, la liste non exhaustive des éléments ci</w:t>
      </w:r>
      <w:r w:rsidR="009B26EF">
        <w:rPr>
          <w:lang w:val="fr-CH"/>
        </w:rPr>
        <w:t>-</w:t>
      </w:r>
      <w:r w:rsidRPr="00745FBE">
        <w:rPr>
          <w:lang w:val="fr-CH"/>
        </w:rPr>
        <w:t>après peut aider les services d</w:t>
      </w:r>
      <w:r w:rsidR="009B26EF">
        <w:rPr>
          <w:lang w:val="fr-CH"/>
        </w:rPr>
        <w:t>’</w:t>
      </w:r>
      <w:r w:rsidRPr="00745FBE">
        <w:rPr>
          <w:lang w:val="fr-CH"/>
        </w:rPr>
        <w:t>enregistrement à comprendre ce qui peut être considéré comme une “pratique établie”</w:t>
      </w:r>
      <w:r w:rsidR="009B26EF">
        <w:rPr>
          <w:lang w:val="fr-CH"/>
        </w:rPr>
        <w:t> :</w:t>
      </w:r>
    </w:p>
    <w:p w:rsidR="00797CB8" w:rsidRPr="00745FBE" w:rsidRDefault="00797CB8" w:rsidP="00DC0320">
      <w:pPr>
        <w:rPr>
          <w:lang w:val="fr-CH"/>
        </w:rPr>
      </w:pPr>
    </w:p>
    <w:p w:rsidR="00797CB8" w:rsidRPr="00745FBE" w:rsidRDefault="00DC0320" w:rsidP="00DC0320">
      <w:pPr>
        <w:ind w:firstLine="567"/>
        <w:rPr>
          <w:lang w:val="fr-CH"/>
        </w:rPr>
      </w:pPr>
      <w:r w:rsidRPr="00745FBE">
        <w:rPr>
          <w:lang w:val="fr-CH"/>
        </w:rPr>
        <w:t>a)</w:t>
      </w:r>
      <w:r w:rsidRPr="00745FBE">
        <w:rPr>
          <w:lang w:val="fr-CH"/>
        </w:rPr>
        <w:tab/>
        <w:t>concernant des variétés utilisées au sein d</w:t>
      </w:r>
      <w:r w:rsidR="009B26EF">
        <w:rPr>
          <w:lang w:val="fr-CH"/>
        </w:rPr>
        <w:t>’</w:t>
      </w:r>
      <w:r w:rsidRPr="00745FBE">
        <w:rPr>
          <w:lang w:val="fr-CH"/>
        </w:rPr>
        <w:t>un cercle limité de spécialistes, la pratique établie doit tenir compte de cette particularité (par exemple des lignées endogames);</w:t>
      </w:r>
    </w:p>
    <w:p w:rsidR="00797CB8" w:rsidRPr="00745FBE" w:rsidRDefault="00797CB8" w:rsidP="00DC0320">
      <w:pPr>
        <w:ind w:firstLine="567"/>
        <w:rPr>
          <w:lang w:val="fr-CH"/>
        </w:rPr>
      </w:pPr>
    </w:p>
    <w:p w:rsidR="00797CB8" w:rsidRPr="00745FBE" w:rsidRDefault="00DC0320" w:rsidP="00DC0320">
      <w:pPr>
        <w:ind w:firstLine="567"/>
        <w:rPr>
          <w:lang w:val="fr-CH" w:eastAsia="ja-JP"/>
        </w:rPr>
      </w:pPr>
      <w:r w:rsidRPr="00745FBE">
        <w:rPr>
          <w:color w:val="000000"/>
          <w:lang w:val="fr-CH"/>
        </w:rPr>
        <w:t>b)</w:t>
      </w:r>
      <w:r w:rsidRPr="00745FBE">
        <w:rPr>
          <w:color w:val="000000"/>
          <w:lang w:val="fr-CH"/>
        </w:rPr>
        <w:tab/>
      </w:r>
      <w:r w:rsidRPr="00745FBE">
        <w:rPr>
          <w:lang w:val="fr-CH"/>
        </w:rPr>
        <w:t xml:space="preserve">les pratiques commerciales établies pour certains types de variétés (par exemple les hybrides) et </w:t>
      </w:r>
      <w:r w:rsidRPr="00745FBE">
        <w:rPr>
          <w:highlight w:val="lightGray"/>
          <w:u w:val="single"/>
          <w:lang w:val="fr-CH" w:eastAsia="ja-JP"/>
        </w:rPr>
        <w:t>certains genres</w:t>
      </w:r>
      <w:r w:rsidRPr="00745FBE">
        <w:rPr>
          <w:lang w:val="fr-CH"/>
        </w:rPr>
        <w:t xml:space="preserve"> ou espèces (par exemple Medicago, Helianthus).</w:t>
      </w:r>
    </w:p>
    <w:p w:rsidR="00797CB8" w:rsidRPr="00745FBE" w:rsidRDefault="00797CB8" w:rsidP="00DC0320">
      <w:pPr>
        <w:rPr>
          <w:color w:val="000000"/>
          <w:lang w:val="fr-CH" w:eastAsia="ja-JP"/>
        </w:rPr>
      </w:pPr>
    </w:p>
    <w:p w:rsidR="00797CB8" w:rsidRPr="00745FBE" w:rsidRDefault="00DC0320" w:rsidP="00DC0320">
      <w:pPr>
        <w:ind w:firstLine="567"/>
        <w:rPr>
          <w:color w:val="000000"/>
          <w:lang w:val="fr-CH" w:eastAsia="ja-JP"/>
        </w:rPr>
      </w:pPr>
      <w:r w:rsidRPr="00745FBE">
        <w:rPr>
          <w:color w:val="000000"/>
          <w:lang w:val="fr-CH" w:eastAsia="ja-JP"/>
        </w:rPr>
        <w:t>c)</w:t>
      </w:r>
      <w:r w:rsidRPr="00745FBE">
        <w:rPr>
          <w:color w:val="000000"/>
          <w:lang w:val="fr-CH" w:eastAsia="ja-JP"/>
        </w:rPr>
        <w:tab/>
        <w:t>Il y a “pratique établie” lorsque l</w:t>
      </w:r>
      <w:r w:rsidR="009B26EF">
        <w:rPr>
          <w:color w:val="000000"/>
          <w:lang w:val="fr-CH" w:eastAsia="ja-JP"/>
        </w:rPr>
        <w:t>’</w:t>
      </w:r>
      <w:r w:rsidRPr="00745FBE">
        <w:rPr>
          <w:color w:val="000000"/>
          <w:lang w:val="fr-CH" w:eastAsia="ja-JP"/>
        </w:rPr>
        <w:t>enregistrement a été accepté pour une espèce ou un groupe de telle sorte qu</w:t>
      </w:r>
      <w:r w:rsidR="009B26EF">
        <w:rPr>
          <w:color w:val="000000"/>
          <w:lang w:val="fr-CH" w:eastAsia="ja-JP"/>
        </w:rPr>
        <w:t>’</w:t>
      </w:r>
      <w:r w:rsidRPr="00745FBE">
        <w:rPr>
          <w:color w:val="000000"/>
          <w:lang w:val="fr-CH" w:eastAsia="ja-JP"/>
        </w:rPr>
        <w:t>il puisse être utilisé dans d</w:t>
      </w:r>
      <w:r w:rsidR="009B26EF">
        <w:rPr>
          <w:color w:val="000000"/>
          <w:lang w:val="fr-CH" w:eastAsia="ja-JP"/>
        </w:rPr>
        <w:t>’</w:t>
      </w:r>
      <w:r w:rsidRPr="00745FBE">
        <w:rPr>
          <w:color w:val="000000"/>
          <w:lang w:val="fr-CH" w:eastAsia="ja-JP"/>
        </w:rPr>
        <w:t>autres espèces qui n</w:t>
      </w:r>
      <w:r w:rsidR="009B26EF">
        <w:rPr>
          <w:color w:val="000000"/>
          <w:lang w:val="fr-CH" w:eastAsia="ja-JP"/>
        </w:rPr>
        <w:t>’</w:t>
      </w:r>
      <w:r w:rsidRPr="00745FBE">
        <w:rPr>
          <w:color w:val="000000"/>
          <w:lang w:val="fr-CH" w:eastAsia="ja-JP"/>
        </w:rPr>
        <w:t>ont pas encore enregistré une variété dont la dénomination est composée uniquement de chiffres.</w:t>
      </w:r>
    </w:p>
    <w:p w:rsidR="00797CB8" w:rsidRPr="00745FBE" w:rsidRDefault="00797CB8" w:rsidP="00DC0320">
      <w:pPr>
        <w:rPr>
          <w:lang w:val="fr-CH" w:eastAsia="ja-JP"/>
        </w:rPr>
      </w:pPr>
    </w:p>
    <w:p w:rsidR="00797CB8" w:rsidRPr="00745FBE" w:rsidRDefault="00797CB8" w:rsidP="00DC0320">
      <w:pPr>
        <w:rPr>
          <w:lang w:val="fr-CH" w:eastAsia="ja-JP"/>
        </w:rPr>
      </w:pPr>
    </w:p>
    <w:p w:rsidR="00797CB8" w:rsidRPr="00745FBE" w:rsidRDefault="00DC0320" w:rsidP="00DC0320">
      <w:pPr>
        <w:pStyle w:val="Heading3"/>
        <w:rPr>
          <w:lang w:val="fr-CH"/>
        </w:rPr>
      </w:pPr>
      <w:bookmarkStart w:id="12" w:name="_Toc15031425"/>
      <w:bookmarkStart w:id="13" w:name="_Toc35937351"/>
      <w:r w:rsidRPr="00745FBE">
        <w:rPr>
          <w:color w:val="000000"/>
          <w:lang w:val="fr-CH"/>
        </w:rPr>
        <w:t>2.3</w:t>
      </w:r>
      <w:r w:rsidRPr="00745FBE">
        <w:rPr>
          <w:color w:val="000000"/>
          <w:lang w:val="fr-CH"/>
        </w:rPr>
        <w:tab/>
      </w:r>
      <w:r w:rsidRPr="00745FBE">
        <w:rPr>
          <w:lang w:val="fr-CH"/>
        </w:rPr>
        <w:t>Susceptible d</w:t>
      </w:r>
      <w:r w:rsidR="009B26EF">
        <w:rPr>
          <w:lang w:val="fr-CH"/>
        </w:rPr>
        <w:t>’</w:t>
      </w:r>
      <w:r w:rsidRPr="00745FBE">
        <w:rPr>
          <w:lang w:val="fr-CH"/>
        </w:rPr>
        <w:t>induire en erreur ou de prêter à confusion</w:t>
      </w:r>
      <w:bookmarkEnd w:id="12"/>
      <w:bookmarkEnd w:id="13"/>
    </w:p>
    <w:p w:rsidR="00797CB8" w:rsidRPr="00745FBE" w:rsidRDefault="00797CB8" w:rsidP="00DC0320">
      <w:pPr>
        <w:keepNext/>
        <w:rPr>
          <w:i/>
          <w:lang w:val="fr-CH"/>
        </w:rPr>
      </w:pPr>
    </w:p>
    <w:p w:rsidR="00797CB8" w:rsidRPr="00745FBE" w:rsidRDefault="00DC0320" w:rsidP="00DC0320">
      <w:pPr>
        <w:rPr>
          <w:lang w:val="fr-CH"/>
        </w:rPr>
      </w:pPr>
      <w:r w:rsidRPr="00745FBE">
        <w:rPr>
          <w:lang w:val="fr-CH"/>
        </w:rPr>
        <w:t>Le paragraphe 2) dispose que la dénomination ne doit pas être susceptible “d</w:t>
      </w:r>
      <w:r w:rsidR="009B26EF">
        <w:rPr>
          <w:lang w:val="fr-CH"/>
        </w:rPr>
        <w:t>’</w:t>
      </w:r>
      <w:r w:rsidRPr="00745FBE">
        <w:rPr>
          <w:lang w:val="fr-CH"/>
        </w:rPr>
        <w:t>induire en erreur ou de prêter à confusion sur les caractéristiques, la valeur ou l</w:t>
      </w:r>
      <w:r w:rsidR="009B26EF">
        <w:rPr>
          <w:lang w:val="fr-CH"/>
        </w:rPr>
        <w:t>’</w:t>
      </w:r>
      <w:r w:rsidRPr="00745FBE">
        <w:rPr>
          <w:lang w:val="fr-CH"/>
        </w:rPr>
        <w:t>identité de la variété ou sur l</w:t>
      </w:r>
      <w:r w:rsidR="009B26EF">
        <w:rPr>
          <w:lang w:val="fr-CH"/>
        </w:rPr>
        <w:t>’</w:t>
      </w:r>
      <w:r w:rsidRPr="00745FBE">
        <w:rPr>
          <w:lang w:val="fr-CH"/>
        </w:rPr>
        <w:t>identité de l</w:t>
      </w:r>
      <w:r w:rsidR="009B26EF">
        <w:rPr>
          <w:lang w:val="fr-CH"/>
        </w:rPr>
        <w:t>’</w:t>
      </w:r>
      <w:r w:rsidRPr="00745FBE">
        <w:rPr>
          <w:lang w:val="fr-CH"/>
        </w:rPr>
        <w:t>obtenteur”.  Ces éléments sont examinés ci</w:t>
      </w:r>
      <w:r w:rsidR="009B26EF">
        <w:rPr>
          <w:lang w:val="fr-CH"/>
        </w:rPr>
        <w:t>-</w:t>
      </w:r>
      <w:r w:rsidRPr="00745FBE">
        <w:rPr>
          <w:lang w:val="fr-CH"/>
        </w:rPr>
        <w:t>après.</w:t>
      </w:r>
    </w:p>
    <w:p w:rsidR="00797CB8" w:rsidRPr="00745FBE" w:rsidRDefault="00797CB8" w:rsidP="00DC0320">
      <w:pPr>
        <w:spacing w:line="360" w:lineRule="auto"/>
        <w:rPr>
          <w:lang w:val="fr-CH"/>
        </w:rPr>
      </w:pPr>
    </w:p>
    <w:p w:rsidR="00797CB8" w:rsidRPr="00745FBE" w:rsidRDefault="00DC0320" w:rsidP="00DC0320">
      <w:pPr>
        <w:pStyle w:val="Heading4"/>
        <w:rPr>
          <w:lang w:val="fr-CH"/>
        </w:rPr>
      </w:pPr>
      <w:bookmarkStart w:id="14" w:name="_Toc15031426"/>
      <w:bookmarkStart w:id="15" w:name="_Toc35937352"/>
      <w:r w:rsidRPr="00745FBE">
        <w:rPr>
          <w:lang w:val="fr-CH"/>
        </w:rPr>
        <w:t>2.3.1</w:t>
      </w:r>
      <w:r w:rsidRPr="00745FBE">
        <w:rPr>
          <w:color w:val="000000"/>
          <w:lang w:val="fr-CH"/>
        </w:rPr>
        <w:tab/>
      </w:r>
      <w:r w:rsidRPr="00745FBE">
        <w:rPr>
          <w:lang w:val="fr-CH"/>
        </w:rPr>
        <w:t>Caractéristiques de la variété</w:t>
      </w:r>
      <w:bookmarkEnd w:id="14"/>
      <w:bookmarkEnd w:id="15"/>
    </w:p>
    <w:p w:rsidR="00797CB8" w:rsidRPr="00745FBE" w:rsidRDefault="00797CB8" w:rsidP="00DC0320">
      <w:pPr>
        <w:keepNext/>
        <w:rPr>
          <w:lang w:val="fr-CH"/>
        </w:rPr>
      </w:pPr>
    </w:p>
    <w:p w:rsidR="00797CB8" w:rsidRPr="00745FBE" w:rsidRDefault="00DC0320" w:rsidP="00DC0320">
      <w:pPr>
        <w:keepNext/>
        <w:rPr>
          <w:lang w:val="fr-CH"/>
        </w:rPr>
      </w:pPr>
      <w:r w:rsidRPr="00745FBE">
        <w:rPr>
          <w:lang w:val="fr-CH"/>
        </w:rPr>
        <w:t>La dénomination ne doit pas</w:t>
      </w:r>
    </w:p>
    <w:p w:rsidR="00797CB8" w:rsidRPr="00745FBE" w:rsidRDefault="00797CB8" w:rsidP="00DC0320">
      <w:pPr>
        <w:keepNext/>
        <w:rPr>
          <w:lang w:val="fr-CH"/>
        </w:rPr>
      </w:pPr>
    </w:p>
    <w:p w:rsidR="00797CB8" w:rsidRPr="00745FBE" w:rsidRDefault="00DC0320" w:rsidP="00DC0320">
      <w:pPr>
        <w:spacing w:after="120"/>
        <w:ind w:firstLine="567"/>
        <w:rPr>
          <w:lang w:val="fr-CH"/>
        </w:rPr>
      </w:pPr>
      <w:r w:rsidRPr="00745FBE">
        <w:rPr>
          <w:lang w:val="fr-CH"/>
        </w:rPr>
        <w:t>a)</w:t>
      </w:r>
      <w:r w:rsidRPr="00745FBE">
        <w:rPr>
          <w:lang w:val="fr-CH"/>
        </w:rPr>
        <w:tab/>
        <w:t>donner l</w:t>
      </w:r>
      <w:r w:rsidR="009B26EF">
        <w:rPr>
          <w:lang w:val="fr-CH"/>
        </w:rPr>
        <w:t>’</w:t>
      </w:r>
      <w:r w:rsidRPr="00745FBE">
        <w:rPr>
          <w:lang w:val="fr-CH"/>
        </w:rPr>
        <w:t>impression que la variété a certaines caractéristiques lorsque ce n</w:t>
      </w:r>
      <w:r w:rsidR="009B26EF">
        <w:rPr>
          <w:lang w:val="fr-CH"/>
        </w:rPr>
        <w:t>’</w:t>
      </w:r>
      <w:r w:rsidRPr="00745FBE">
        <w:rPr>
          <w:lang w:val="fr-CH"/>
        </w:rPr>
        <w:t>est pas le cas;</w:t>
      </w:r>
    </w:p>
    <w:p w:rsidR="00797CB8" w:rsidRPr="00745FBE" w:rsidRDefault="00DC0320" w:rsidP="00DC0320">
      <w:pPr>
        <w:ind w:left="567"/>
        <w:rPr>
          <w:lang w:val="fr-CH"/>
        </w:rPr>
      </w:pPr>
      <w:r w:rsidRPr="00745FBE">
        <w:rPr>
          <w:i/>
          <w:lang w:val="fr-CH"/>
        </w:rPr>
        <w:t>Exemple</w:t>
      </w:r>
      <w:r w:rsidR="009B26EF">
        <w:rPr>
          <w:i/>
          <w:lang w:val="fr-CH"/>
        </w:rPr>
        <w:t> :</w:t>
      </w:r>
      <w:r w:rsidRPr="00745FBE">
        <w:rPr>
          <w:lang w:val="fr-CH"/>
        </w:rPr>
        <w:t xml:space="preserve"> la dénomination “nain” pour une variété d</w:t>
      </w:r>
      <w:r w:rsidR="009B26EF">
        <w:rPr>
          <w:lang w:val="fr-CH"/>
        </w:rPr>
        <w:t>’</w:t>
      </w:r>
      <w:r w:rsidRPr="00745FBE">
        <w:rPr>
          <w:lang w:val="fr-CH"/>
        </w:rPr>
        <w:t>une hauteur normale, lorsque cette caractéristique existe au sein de l</w:t>
      </w:r>
      <w:r w:rsidR="009B26EF">
        <w:rPr>
          <w:lang w:val="fr-CH"/>
        </w:rPr>
        <w:t>’</w:t>
      </w:r>
      <w:r w:rsidRPr="00745FBE">
        <w:rPr>
          <w:lang w:val="fr-CH"/>
        </w:rPr>
        <w:t>espèce concernée mais que la variété ne la possède pas.</w:t>
      </w:r>
    </w:p>
    <w:p w:rsidR="00797CB8" w:rsidRPr="00745FBE" w:rsidRDefault="00797CB8" w:rsidP="00893C7D">
      <w:pPr>
        <w:rPr>
          <w:lang w:val="fr-CH" w:eastAsia="ja-JP"/>
        </w:rPr>
      </w:pPr>
    </w:p>
    <w:p w:rsidR="00797CB8" w:rsidRPr="00745FBE" w:rsidRDefault="00211C6F">
      <w:pPr>
        <w:rPr>
          <w:color w:val="000000"/>
          <w:lang w:val="fr-CH"/>
        </w:rPr>
      </w:pPr>
      <w:r w:rsidRPr="00745FBE">
        <w:rPr>
          <w:color w:val="000000"/>
          <w:lang w:val="fr-CH"/>
        </w:rPr>
        <w:br w:type="page"/>
      </w:r>
    </w:p>
    <w:p w:rsidR="00797CB8" w:rsidRPr="00745FBE" w:rsidRDefault="009B3D60" w:rsidP="00385CBA">
      <w:pPr>
        <w:tabs>
          <w:tab w:val="left" w:pos="567"/>
        </w:tabs>
        <w:spacing w:after="120"/>
        <w:rPr>
          <w:sz w:val="18"/>
          <w:szCs w:val="18"/>
          <w:lang w:val="fr-CH" w:eastAsia="ja-JP"/>
        </w:rPr>
      </w:pPr>
      <w:r w:rsidRPr="00745FBE">
        <w:rPr>
          <w:color w:val="000000"/>
          <w:lang w:val="fr-CH"/>
        </w:rPr>
        <w:lastRenderedPageBreak/>
        <w:tab/>
      </w:r>
      <w:r w:rsidR="00385CBA" w:rsidRPr="00745FBE">
        <w:rPr>
          <w:color w:val="000000"/>
          <w:lang w:val="fr-CH"/>
        </w:rPr>
        <w:t>b)</w:t>
      </w:r>
      <w:r w:rsidR="00385CBA" w:rsidRPr="00745FBE">
        <w:rPr>
          <w:color w:val="000000"/>
          <w:lang w:val="fr-CH"/>
        </w:rPr>
        <w:tab/>
      </w:r>
      <w:r w:rsidR="00385CBA" w:rsidRPr="00745FBE">
        <w:rPr>
          <w:lang w:val="fr-CH"/>
        </w:rPr>
        <w:t>se référer à des caractéristiques de la variété de telle façon qu</w:t>
      </w:r>
      <w:r w:rsidR="009B26EF">
        <w:rPr>
          <w:lang w:val="fr-CH"/>
        </w:rPr>
        <w:t>’</w:t>
      </w:r>
      <w:r w:rsidR="00385CBA" w:rsidRPr="00745FBE">
        <w:rPr>
          <w:lang w:val="fr-CH"/>
        </w:rPr>
        <w:t>elle donne l</w:t>
      </w:r>
      <w:r w:rsidR="009B26EF">
        <w:rPr>
          <w:lang w:val="fr-CH"/>
        </w:rPr>
        <w:t>’</w:t>
      </w:r>
      <w:r w:rsidR="00385CBA" w:rsidRPr="00745FBE">
        <w:rPr>
          <w:lang w:val="fr-CH"/>
        </w:rPr>
        <w:t>impression que cette variété est la seule à les posséder, alors que d</w:t>
      </w:r>
      <w:r w:rsidR="009B26EF">
        <w:rPr>
          <w:lang w:val="fr-CH"/>
        </w:rPr>
        <w:t>’</w:t>
      </w:r>
      <w:r w:rsidR="00385CBA" w:rsidRPr="00745FBE">
        <w:rPr>
          <w:lang w:val="fr-CH"/>
        </w:rPr>
        <w:t>autres variétés de l</w:t>
      </w:r>
      <w:r w:rsidR="009B26EF">
        <w:rPr>
          <w:lang w:val="fr-CH"/>
        </w:rPr>
        <w:t>’</w:t>
      </w:r>
      <w:r w:rsidR="00385CBA" w:rsidRPr="00745FBE">
        <w:rPr>
          <w:lang w:val="fr-CH"/>
        </w:rPr>
        <w:t>espèce considérée les possèdent ou pourraient les posséder;  ce serait le cas par exemple d</w:t>
      </w:r>
      <w:r w:rsidR="009B26EF">
        <w:rPr>
          <w:lang w:val="fr-CH"/>
        </w:rPr>
        <w:t>’</w:t>
      </w:r>
      <w:r w:rsidR="00385CBA" w:rsidRPr="00745FBE">
        <w:rPr>
          <w:lang w:val="fr-CH"/>
        </w:rPr>
        <w:t>une dénomination consistant uniquement en des mots descriptifs décrivant des attributs de la variété que d</w:t>
      </w:r>
      <w:r w:rsidR="009B26EF">
        <w:rPr>
          <w:lang w:val="fr-CH"/>
        </w:rPr>
        <w:t>’</w:t>
      </w:r>
      <w:r w:rsidR="00385CBA" w:rsidRPr="00745FBE">
        <w:rPr>
          <w:lang w:val="fr-CH"/>
        </w:rPr>
        <w:t>autres variétés de l</w:t>
      </w:r>
      <w:r w:rsidR="009B26EF">
        <w:rPr>
          <w:lang w:val="fr-CH"/>
        </w:rPr>
        <w:t>’</w:t>
      </w:r>
      <w:r w:rsidR="00385CBA" w:rsidRPr="00745FBE">
        <w:rPr>
          <w:lang w:val="fr-CH"/>
        </w:rPr>
        <w:t>espèce peuvent également posséder.</w:t>
      </w:r>
    </w:p>
    <w:p w:rsidR="00797CB8" w:rsidRPr="00745FBE" w:rsidRDefault="00385CBA" w:rsidP="00385CBA">
      <w:pPr>
        <w:ind w:left="567"/>
        <w:jc w:val="left"/>
        <w:rPr>
          <w:lang w:val="fr-CH"/>
        </w:rPr>
      </w:pPr>
      <w:r w:rsidRPr="00745FBE">
        <w:rPr>
          <w:i/>
          <w:lang w:val="fr-CH"/>
        </w:rPr>
        <w:t>Exemple 1</w:t>
      </w:r>
      <w:r w:rsidR="009B26EF">
        <w:rPr>
          <w:i/>
          <w:lang w:val="fr-CH"/>
        </w:rPr>
        <w:t> :</w:t>
      </w:r>
      <w:r w:rsidRPr="00745FBE">
        <w:rPr>
          <w:lang w:val="fr-CH"/>
        </w:rPr>
        <w:t xml:space="preserve"> “sucré” pour une variété fruitière;</w:t>
      </w:r>
      <w:r w:rsidRPr="00745FBE">
        <w:rPr>
          <w:lang w:val="fr-CH"/>
        </w:rPr>
        <w:br/>
      </w:r>
      <w:r w:rsidRPr="00745FBE">
        <w:rPr>
          <w:i/>
          <w:lang w:val="fr-CH"/>
        </w:rPr>
        <w:t>Exemple 2</w:t>
      </w:r>
      <w:r w:rsidR="009B26EF">
        <w:rPr>
          <w:i/>
          <w:lang w:val="fr-CH"/>
        </w:rPr>
        <w:t> :</w:t>
      </w:r>
      <w:r w:rsidRPr="00745FBE">
        <w:rPr>
          <w:lang w:val="fr-CH"/>
        </w:rPr>
        <w:t xml:space="preserve"> “Grande blanche” pour une variété de chrysanthème.</w:t>
      </w:r>
    </w:p>
    <w:p w:rsidR="00797CB8" w:rsidRPr="00745FBE" w:rsidRDefault="00797CB8" w:rsidP="00385CBA">
      <w:pPr>
        <w:ind w:left="567"/>
        <w:jc w:val="left"/>
        <w:rPr>
          <w:highlight w:val="lightGray"/>
          <w:lang w:val="fr-CH" w:eastAsia="ja-JP"/>
        </w:rPr>
      </w:pPr>
    </w:p>
    <w:p w:rsidR="00797CB8" w:rsidRPr="00745FBE" w:rsidRDefault="00385CBA" w:rsidP="00385CBA">
      <w:pPr>
        <w:keepNext/>
        <w:tabs>
          <w:tab w:val="left" w:pos="1078"/>
        </w:tabs>
        <w:ind w:firstLine="567"/>
        <w:rPr>
          <w:rFonts w:eastAsia="Times New Roman"/>
          <w:strike/>
          <w:spacing w:val="-2"/>
          <w:highlight w:val="lightGray"/>
          <w:lang w:val="fr-CH"/>
        </w:rPr>
      </w:pPr>
      <w:r w:rsidRPr="00745FBE">
        <w:rPr>
          <w:rFonts w:eastAsia="Times New Roman"/>
          <w:spacing w:val="-2"/>
          <w:lang w:val="fr-CH"/>
        </w:rPr>
        <w:t>c)</w:t>
      </w:r>
      <w:r w:rsidRPr="00745FBE">
        <w:rPr>
          <w:rFonts w:eastAsia="Times New Roman"/>
          <w:spacing w:val="-2"/>
          <w:lang w:val="fr-CH"/>
        </w:rPr>
        <w:tab/>
        <w:t>donner l</w:t>
      </w:r>
      <w:r w:rsidR="009B26EF">
        <w:rPr>
          <w:rFonts w:eastAsia="Times New Roman"/>
          <w:spacing w:val="-2"/>
          <w:lang w:val="fr-CH"/>
        </w:rPr>
        <w:t>’</w:t>
      </w:r>
      <w:r w:rsidRPr="00745FBE">
        <w:rPr>
          <w:rFonts w:eastAsia="Times New Roman"/>
          <w:spacing w:val="-2"/>
          <w:lang w:val="fr-CH"/>
        </w:rPr>
        <w:t xml:space="preserve">impression que la variété </w:t>
      </w:r>
      <w:r w:rsidRPr="00745FBE">
        <w:rPr>
          <w:rFonts w:eastAsia="Times New Roman"/>
          <w:spacing w:val="-2"/>
          <w:highlight w:val="lightGray"/>
          <w:u w:val="single"/>
          <w:lang w:val="fr-CH"/>
        </w:rPr>
        <w:t>a certaines caractéristiques qu</w:t>
      </w:r>
      <w:r w:rsidR="009B26EF">
        <w:rPr>
          <w:rFonts w:eastAsia="Times New Roman"/>
          <w:spacing w:val="-2"/>
          <w:highlight w:val="lightGray"/>
          <w:u w:val="single"/>
          <w:lang w:val="fr-CH"/>
        </w:rPr>
        <w:t>’</w:t>
      </w:r>
      <w:r w:rsidRPr="00745FBE">
        <w:rPr>
          <w:rFonts w:eastAsia="Times New Roman"/>
          <w:spacing w:val="-2"/>
          <w:highlight w:val="lightGray"/>
          <w:u w:val="single"/>
          <w:lang w:val="fr-CH"/>
        </w:rPr>
        <w:t>elle n</w:t>
      </w:r>
      <w:r w:rsidR="009B26EF">
        <w:rPr>
          <w:rFonts w:eastAsia="Times New Roman"/>
          <w:spacing w:val="-2"/>
          <w:highlight w:val="lightGray"/>
          <w:u w:val="single"/>
          <w:lang w:val="fr-CH"/>
        </w:rPr>
        <w:t>’</w:t>
      </w:r>
      <w:r w:rsidRPr="00745FBE">
        <w:rPr>
          <w:rFonts w:eastAsia="Times New Roman"/>
          <w:spacing w:val="-2"/>
          <w:highlight w:val="lightGray"/>
          <w:u w:val="single"/>
          <w:lang w:val="fr-CH"/>
        </w:rPr>
        <w:t>a pas en réalité, par similarité ou association avec une autre dénomination variétale</w:t>
      </w:r>
      <w:r w:rsidRPr="00745FBE">
        <w:rPr>
          <w:rFonts w:eastAsia="Times New Roman"/>
          <w:spacing w:val="-2"/>
          <w:highlight w:val="lightGray"/>
          <w:lang w:val="fr-CH"/>
        </w:rPr>
        <w:t xml:space="preserve"> </w:t>
      </w:r>
      <w:r w:rsidR="00021E3F" w:rsidRPr="00745FBE">
        <w:rPr>
          <w:rFonts w:eastAsia="Times New Roman"/>
          <w:strike/>
          <w:spacing w:val="-2"/>
          <w:highlight w:val="lightGray"/>
          <w:lang w:val="fr-CH"/>
        </w:rPr>
        <w:t xml:space="preserve">est </w:t>
      </w:r>
      <w:r w:rsidRPr="00745FBE">
        <w:rPr>
          <w:rFonts w:eastAsia="Times New Roman"/>
          <w:strike/>
          <w:spacing w:val="-2"/>
          <w:highlight w:val="lightGray"/>
          <w:lang w:val="fr-CH"/>
        </w:rPr>
        <w:t xml:space="preserve">issue </w:t>
      </w:r>
      <w:r w:rsidR="00021E3F" w:rsidRPr="00745FBE">
        <w:rPr>
          <w:rFonts w:eastAsia="Times New Roman"/>
          <w:strike/>
          <w:spacing w:val="-2"/>
          <w:highlight w:val="lightGray"/>
          <w:lang w:val="fr-CH"/>
        </w:rPr>
        <w:t>d</w:t>
      </w:r>
      <w:r w:rsidR="009B26EF">
        <w:rPr>
          <w:rFonts w:eastAsia="Times New Roman"/>
          <w:strike/>
          <w:spacing w:val="-2"/>
          <w:highlight w:val="lightGray"/>
          <w:lang w:val="fr-CH"/>
        </w:rPr>
        <w:t>’</w:t>
      </w:r>
      <w:r w:rsidR="00021E3F" w:rsidRPr="00745FBE">
        <w:rPr>
          <w:rFonts w:eastAsia="Times New Roman"/>
          <w:strike/>
          <w:spacing w:val="-2"/>
          <w:highlight w:val="lightGray"/>
          <w:lang w:val="fr-CH"/>
        </w:rPr>
        <w:t xml:space="preserve">une autre variété </w:t>
      </w:r>
      <w:r w:rsidRPr="00745FBE">
        <w:rPr>
          <w:rFonts w:eastAsia="Times New Roman"/>
          <w:strike/>
          <w:spacing w:val="-2"/>
          <w:highlight w:val="lightGray"/>
          <w:lang w:val="fr-CH"/>
        </w:rPr>
        <w:t xml:space="preserve">ou </w:t>
      </w:r>
      <w:r w:rsidR="00021E3F" w:rsidRPr="00745FBE">
        <w:rPr>
          <w:rFonts w:eastAsia="Times New Roman"/>
          <w:strike/>
          <w:spacing w:val="-2"/>
          <w:highlight w:val="lightGray"/>
          <w:lang w:val="fr-CH"/>
        </w:rPr>
        <w:t xml:space="preserve">y est </w:t>
      </w:r>
      <w:r w:rsidRPr="00745FBE">
        <w:rPr>
          <w:rFonts w:eastAsia="Times New Roman"/>
          <w:strike/>
          <w:spacing w:val="-2"/>
          <w:highlight w:val="lightGray"/>
          <w:lang w:val="fr-CH"/>
        </w:rPr>
        <w:t>apparentée alors que ce n</w:t>
      </w:r>
      <w:r w:rsidR="009B26EF">
        <w:rPr>
          <w:rFonts w:eastAsia="Times New Roman"/>
          <w:strike/>
          <w:spacing w:val="-2"/>
          <w:highlight w:val="lightGray"/>
          <w:lang w:val="fr-CH"/>
        </w:rPr>
        <w:t>’</w:t>
      </w:r>
      <w:r w:rsidRPr="00745FBE">
        <w:rPr>
          <w:rFonts w:eastAsia="Times New Roman"/>
          <w:strike/>
          <w:spacing w:val="-2"/>
          <w:highlight w:val="lightGray"/>
          <w:lang w:val="fr-CH"/>
        </w:rPr>
        <w:t>est pas le cas;</w:t>
      </w:r>
      <w:r w:rsidRPr="00745FBE">
        <w:rPr>
          <w:rFonts w:eastAsia="Times New Roman"/>
          <w:spacing w:val="-2"/>
          <w:highlight w:val="lightGray"/>
          <w:u w:val="single"/>
          <w:lang w:val="fr-CH"/>
        </w:rPr>
        <w:t>.</w:t>
      </w:r>
    </w:p>
    <w:p w:rsidR="00797CB8" w:rsidRPr="00745FBE" w:rsidRDefault="00797CB8" w:rsidP="00385CBA">
      <w:pPr>
        <w:keepNext/>
        <w:ind w:firstLine="567"/>
        <w:rPr>
          <w:rFonts w:eastAsia="Times New Roman"/>
          <w:strike/>
          <w:highlight w:val="lightGray"/>
          <w:lang w:val="fr-CH"/>
        </w:rPr>
      </w:pPr>
    </w:p>
    <w:p w:rsidR="00797CB8" w:rsidRPr="00745FBE" w:rsidRDefault="00385CBA" w:rsidP="00385CBA">
      <w:pPr>
        <w:keepNext/>
        <w:ind w:left="567"/>
        <w:rPr>
          <w:rFonts w:eastAsia="Times New Roman"/>
          <w:highlight w:val="lightGray"/>
          <w:u w:val="single"/>
          <w:lang w:val="fr-CH"/>
        </w:rPr>
      </w:pPr>
      <w:r w:rsidRPr="00745FBE">
        <w:rPr>
          <w:rFonts w:eastAsia="Times New Roman"/>
          <w:i/>
          <w:highlight w:val="lightGray"/>
          <w:u w:val="single"/>
          <w:lang w:val="fr-CH"/>
        </w:rPr>
        <w:t>Exemple de dénomination inappropriée</w:t>
      </w:r>
      <w:r w:rsidR="009B26EF">
        <w:rPr>
          <w:rFonts w:eastAsia="Times New Roman"/>
          <w:i/>
          <w:highlight w:val="lightGray"/>
          <w:u w:val="single"/>
          <w:lang w:val="fr-CH"/>
        </w:rPr>
        <w:t> :</w:t>
      </w:r>
      <w:r w:rsidRPr="00745FBE">
        <w:rPr>
          <w:rFonts w:eastAsia="Times New Roman"/>
          <w:i/>
          <w:highlight w:val="lightGray"/>
          <w:u w:val="single"/>
          <w:lang w:val="fr-CH"/>
        </w:rPr>
        <w:t xml:space="preserve"> </w:t>
      </w:r>
      <w:r w:rsidRPr="00745FBE">
        <w:rPr>
          <w:rFonts w:eastAsia="Times New Roman"/>
          <w:highlight w:val="lightGray"/>
          <w:u w:val="single"/>
          <w:lang w:val="fr-CH"/>
        </w:rPr>
        <w:t>“Son of Russet Burbank”, où la variété de pomme de terre “Russet Burbank” n</w:t>
      </w:r>
      <w:r w:rsidR="009B26EF">
        <w:rPr>
          <w:rFonts w:eastAsia="Times New Roman"/>
          <w:highlight w:val="lightGray"/>
          <w:u w:val="single"/>
          <w:lang w:val="fr-CH"/>
        </w:rPr>
        <w:t>’</w:t>
      </w:r>
      <w:r w:rsidRPr="00745FBE">
        <w:rPr>
          <w:rFonts w:eastAsia="Times New Roman"/>
          <w:highlight w:val="lightGray"/>
          <w:u w:val="single"/>
          <w:lang w:val="fr-CH"/>
        </w:rPr>
        <w:t>a pas été utilisée dans la sélection de “Son of Russet Burbank”.</w:t>
      </w:r>
    </w:p>
    <w:p w:rsidR="00797CB8" w:rsidRPr="00745FBE" w:rsidRDefault="00797CB8" w:rsidP="00385CBA">
      <w:pPr>
        <w:keepNext/>
        <w:ind w:firstLine="567"/>
        <w:rPr>
          <w:rFonts w:eastAsia="Times New Roman"/>
          <w:highlight w:val="lightGray"/>
          <w:lang w:val="fr-CH"/>
        </w:rPr>
      </w:pPr>
    </w:p>
    <w:p w:rsidR="00797CB8" w:rsidRPr="00745FBE" w:rsidRDefault="00385CBA" w:rsidP="00385CBA">
      <w:pPr>
        <w:keepNext/>
        <w:ind w:left="567"/>
        <w:rPr>
          <w:rFonts w:eastAsiaTheme="minorEastAsia"/>
          <w:spacing w:val="-2"/>
          <w:highlight w:val="lightGray"/>
          <w:u w:val="single"/>
          <w:lang w:val="fr-CH" w:eastAsia="ja-JP"/>
        </w:rPr>
      </w:pPr>
      <w:r w:rsidRPr="00745FBE">
        <w:rPr>
          <w:rFonts w:eastAsia="Times New Roman"/>
          <w:i/>
          <w:spacing w:val="-2"/>
          <w:highlight w:val="lightGray"/>
          <w:u w:val="single"/>
          <w:lang w:val="fr-CH"/>
        </w:rPr>
        <w:t>Exemple de dénomination appropriée</w:t>
      </w:r>
      <w:r w:rsidR="009B26EF">
        <w:rPr>
          <w:rFonts w:eastAsia="Times New Roman"/>
          <w:i/>
          <w:spacing w:val="-2"/>
          <w:highlight w:val="lightGray"/>
          <w:u w:val="single"/>
          <w:lang w:val="fr-CH"/>
        </w:rPr>
        <w:t> :</w:t>
      </w:r>
      <w:r w:rsidRPr="00745FBE">
        <w:rPr>
          <w:rFonts w:eastAsia="Times New Roman"/>
          <w:spacing w:val="-2"/>
          <w:highlight w:val="lightGray"/>
          <w:u w:val="single"/>
          <w:lang w:val="fr-CH"/>
        </w:rPr>
        <w:t xml:space="preserve"> “Koshihikari Niigata BL 1 go” et “Koshihikari Niigata BL 2 go”, qui ont introduit une résistance</w:t>
      </w:r>
      <w:r w:rsidRPr="00745FBE">
        <w:rPr>
          <w:rFonts w:eastAsiaTheme="minorEastAsia"/>
          <w:spacing w:val="-2"/>
          <w:highlight w:val="lightGray"/>
          <w:u w:val="single"/>
          <w:lang w:val="fr-CH" w:eastAsia="ja-JP"/>
        </w:rPr>
        <w:t xml:space="preserve"> à la bactérie du riz dans le </w:t>
      </w:r>
      <w:r w:rsidRPr="00745FBE">
        <w:rPr>
          <w:rFonts w:eastAsia="Times New Roman"/>
          <w:spacing w:val="-2"/>
          <w:highlight w:val="lightGray"/>
          <w:u w:val="single"/>
          <w:lang w:val="fr-CH"/>
        </w:rPr>
        <w:t>“Koshihikari”, auprès</w:t>
      </w:r>
      <w:r w:rsidRPr="00745FBE">
        <w:rPr>
          <w:rFonts w:eastAsiaTheme="minorEastAsia"/>
          <w:spacing w:val="-2"/>
          <w:highlight w:val="lightGray"/>
          <w:u w:val="single"/>
          <w:lang w:val="fr-CH" w:eastAsia="ja-JP"/>
        </w:rPr>
        <w:t xml:space="preserve"> des autorités de la préfecture de Niigata.</w:t>
      </w:r>
    </w:p>
    <w:p w:rsidR="00797CB8" w:rsidRPr="00745FBE" w:rsidRDefault="00797CB8" w:rsidP="00385CBA">
      <w:pPr>
        <w:keepNext/>
        <w:ind w:firstLine="567"/>
        <w:rPr>
          <w:rFonts w:eastAsia="Times New Roman"/>
          <w:strike/>
          <w:highlight w:val="lightGray"/>
          <w:lang w:val="fr-CH"/>
        </w:rPr>
      </w:pPr>
    </w:p>
    <w:p w:rsidR="00797CB8" w:rsidRPr="00745FBE" w:rsidRDefault="00385CBA" w:rsidP="00385CBA">
      <w:pPr>
        <w:ind w:left="567"/>
        <w:rPr>
          <w:rFonts w:eastAsia="Times New Roman"/>
          <w:strike/>
          <w:highlight w:val="lightGray"/>
          <w:lang w:val="fr-CH"/>
        </w:rPr>
      </w:pPr>
      <w:r w:rsidRPr="00745FBE">
        <w:rPr>
          <w:rFonts w:eastAsia="Times New Roman"/>
          <w:i/>
          <w:strike/>
          <w:highlight w:val="lightGray"/>
          <w:lang w:val="fr-CH"/>
        </w:rPr>
        <w:t>Exemple</w:t>
      </w:r>
      <w:r w:rsidR="009B26EF">
        <w:rPr>
          <w:rFonts w:eastAsia="Times New Roman"/>
          <w:i/>
          <w:strike/>
          <w:highlight w:val="lightGray"/>
          <w:lang w:val="fr-CH"/>
        </w:rPr>
        <w:t> :</w:t>
      </w:r>
      <w:r w:rsidRPr="00745FBE">
        <w:rPr>
          <w:rFonts w:eastAsia="Times New Roman"/>
          <w:strike/>
          <w:highlight w:val="lightGray"/>
          <w:lang w:val="fr-CH"/>
        </w:rPr>
        <w:t xml:space="preserve"> une dénomination analogue à celle d</w:t>
      </w:r>
      <w:r w:rsidR="009B26EF">
        <w:rPr>
          <w:rFonts w:eastAsia="Times New Roman"/>
          <w:strike/>
          <w:highlight w:val="lightGray"/>
          <w:lang w:val="fr-CH"/>
        </w:rPr>
        <w:t>’</w:t>
      </w:r>
      <w:r w:rsidRPr="00745FBE">
        <w:rPr>
          <w:rFonts w:eastAsia="Times New Roman"/>
          <w:strike/>
          <w:highlight w:val="lightGray"/>
          <w:lang w:val="fr-CH"/>
        </w:rPr>
        <w:t>une autre variété de la même espèce ou qui lui est apparentée, p. ex. “Southern cross 1”, “Southern cross 2”, etc., qui donne l</w:t>
      </w:r>
      <w:r w:rsidR="009B26EF">
        <w:rPr>
          <w:rFonts w:eastAsia="Times New Roman"/>
          <w:strike/>
          <w:highlight w:val="lightGray"/>
          <w:lang w:val="fr-CH"/>
        </w:rPr>
        <w:t>’</w:t>
      </w:r>
      <w:r w:rsidRPr="00745FBE">
        <w:rPr>
          <w:rFonts w:eastAsia="Times New Roman"/>
          <w:strike/>
          <w:highlight w:val="lightGray"/>
          <w:lang w:val="fr-CH"/>
        </w:rPr>
        <w:t>impression que ces variétés constituent une série de variétés apparentées présentant les mêmes caractéristiques alors que ce n</w:t>
      </w:r>
      <w:r w:rsidR="009B26EF">
        <w:rPr>
          <w:rFonts w:eastAsia="Times New Roman"/>
          <w:strike/>
          <w:highlight w:val="lightGray"/>
          <w:lang w:val="fr-CH"/>
        </w:rPr>
        <w:t>’</w:t>
      </w:r>
      <w:r w:rsidRPr="00745FBE">
        <w:rPr>
          <w:rFonts w:eastAsia="Times New Roman"/>
          <w:strike/>
          <w:highlight w:val="lightGray"/>
          <w:lang w:val="fr-CH"/>
        </w:rPr>
        <w:t>est pas le cas.</w:t>
      </w:r>
    </w:p>
    <w:p w:rsidR="00797CB8" w:rsidRPr="00745FBE" w:rsidRDefault="00797CB8" w:rsidP="00385CBA">
      <w:pPr>
        <w:rPr>
          <w:lang w:val="fr-CH" w:eastAsia="ja-JP"/>
        </w:rPr>
      </w:pPr>
    </w:p>
    <w:p w:rsidR="00797CB8" w:rsidRPr="00745FBE" w:rsidRDefault="00385CBA" w:rsidP="00385CBA">
      <w:pPr>
        <w:ind w:firstLine="540"/>
        <w:rPr>
          <w:highlight w:val="lightGray"/>
          <w:u w:val="single"/>
          <w:lang w:val="fr-CH" w:eastAsia="ja-JP"/>
        </w:rPr>
      </w:pPr>
      <w:r w:rsidRPr="00745FBE">
        <w:rPr>
          <w:highlight w:val="lightGray"/>
          <w:u w:val="single"/>
          <w:lang w:val="fr-CH" w:eastAsia="ja-JP"/>
        </w:rPr>
        <w:t>d)</w:t>
      </w:r>
      <w:r w:rsidRPr="00745FBE">
        <w:rPr>
          <w:highlight w:val="lightGray"/>
          <w:u w:val="single"/>
          <w:lang w:val="fr-CH" w:eastAsia="ja-JP"/>
        </w:rPr>
        <w:tab/>
        <w:t>contient le nom botanique ou commun du genre auquel cette variété appartient.</w:t>
      </w:r>
    </w:p>
    <w:p w:rsidR="00797CB8" w:rsidRPr="00745FBE" w:rsidRDefault="00797CB8" w:rsidP="00385CBA">
      <w:pPr>
        <w:rPr>
          <w:highlight w:val="lightGray"/>
          <w:u w:val="single"/>
          <w:lang w:val="fr-CH" w:eastAsia="ja-JP"/>
        </w:rPr>
      </w:pPr>
    </w:p>
    <w:p w:rsidR="00797CB8" w:rsidRPr="00745FBE" w:rsidRDefault="00385CBA" w:rsidP="00385CBA">
      <w:pPr>
        <w:ind w:left="540"/>
        <w:rPr>
          <w:i/>
          <w:highlight w:val="lightGray"/>
          <w:u w:val="single"/>
          <w:lang w:val="fr-CH" w:eastAsia="ja-JP"/>
        </w:rPr>
      </w:pPr>
      <w:r w:rsidRPr="00745FBE">
        <w:rPr>
          <w:i/>
          <w:highlight w:val="lightGray"/>
          <w:u w:val="single"/>
          <w:lang w:val="fr-CH" w:eastAsia="ja-JP"/>
        </w:rPr>
        <w:t>Exemples de dénomination inappropriée</w:t>
      </w:r>
      <w:r w:rsidR="009B26EF">
        <w:rPr>
          <w:i/>
          <w:highlight w:val="lightGray"/>
          <w:u w:val="single"/>
          <w:lang w:val="fr-CH" w:eastAsia="ja-JP"/>
        </w:rPr>
        <w:t> :</w:t>
      </w:r>
    </w:p>
    <w:p w:rsidR="00797CB8" w:rsidRPr="00745FBE" w:rsidRDefault="00385CBA" w:rsidP="00385CBA">
      <w:pPr>
        <w:ind w:left="851"/>
        <w:rPr>
          <w:i/>
          <w:color w:val="000000"/>
          <w:sz w:val="18"/>
          <w:szCs w:val="18"/>
          <w:u w:val="single"/>
          <w:shd w:val="pct15" w:color="auto" w:fill="FFFFFF"/>
          <w:lang w:val="fr-CH" w:eastAsia="ja-JP"/>
        </w:rPr>
      </w:pPr>
      <w:r w:rsidRPr="00745FBE">
        <w:rPr>
          <w:highlight w:val="lightGray"/>
          <w:u w:val="single"/>
          <w:lang w:val="fr-CH" w:eastAsia="ja-JP"/>
        </w:rPr>
        <w:t xml:space="preserve">Variété </w:t>
      </w:r>
      <w:r w:rsidRPr="00745FBE">
        <w:rPr>
          <w:i/>
          <w:highlight w:val="lightGray"/>
          <w:u w:val="single"/>
          <w:lang w:val="fr-CH" w:eastAsia="ja-JP"/>
        </w:rPr>
        <w:t xml:space="preserve">Carex </w:t>
      </w:r>
      <w:r w:rsidRPr="00745FBE">
        <w:rPr>
          <w:highlight w:val="lightGray"/>
          <w:u w:val="single"/>
          <w:lang w:val="fr-CH" w:eastAsia="ja-JP"/>
        </w:rPr>
        <w:t>“Laîche” (</w:t>
      </w:r>
      <w:r w:rsidRPr="00745FBE">
        <w:rPr>
          <w:i/>
          <w:highlight w:val="lightGray"/>
          <w:u w:val="single"/>
          <w:lang w:val="fr-CH" w:eastAsia="ja-JP"/>
        </w:rPr>
        <w:t>Carex</w:t>
      </w:r>
      <w:r w:rsidRPr="00745FBE">
        <w:rPr>
          <w:highlight w:val="lightGray"/>
          <w:u w:val="single"/>
          <w:lang w:val="fr-CH" w:eastAsia="ja-JP"/>
        </w:rPr>
        <w:t xml:space="preserve"> est le nom botanique du genre, dont le nom commun est </w:t>
      </w:r>
      <w:r w:rsidRPr="00745FBE">
        <w:rPr>
          <w:rFonts w:cs="Arial"/>
          <w:highlight w:val="lightGray"/>
          <w:u w:val="single"/>
          <w:lang w:val="fr-CH" w:eastAsia="ja-JP"/>
        </w:rPr>
        <w:t>“</w:t>
      </w:r>
      <w:r w:rsidRPr="00745FBE">
        <w:rPr>
          <w:highlight w:val="lightGray"/>
          <w:u w:val="single"/>
          <w:lang w:val="fr-CH" w:eastAsia="ja-JP"/>
        </w:rPr>
        <w:t>laîche”)</w:t>
      </w:r>
      <w:r w:rsidRPr="00745FBE">
        <w:rPr>
          <w:i/>
          <w:color w:val="000000"/>
          <w:sz w:val="18"/>
          <w:szCs w:val="18"/>
          <w:u w:val="single"/>
          <w:shd w:val="pct15" w:color="auto" w:fill="FFFFFF"/>
          <w:lang w:val="fr-CH" w:eastAsia="ja-JP"/>
        </w:rPr>
        <w:t>;</w:t>
      </w:r>
    </w:p>
    <w:p w:rsidR="00797CB8" w:rsidRPr="00745FBE" w:rsidRDefault="00385CBA" w:rsidP="00385CBA">
      <w:pPr>
        <w:ind w:left="851"/>
        <w:rPr>
          <w:highlight w:val="lightGray"/>
          <w:u w:val="single"/>
          <w:lang w:val="fr-CH" w:eastAsia="ja-JP"/>
        </w:rPr>
      </w:pPr>
      <w:r w:rsidRPr="00745FBE">
        <w:rPr>
          <w:i/>
          <w:highlight w:val="lightGray"/>
          <w:u w:val="single"/>
          <w:lang w:val="fr-CH" w:eastAsia="ja-JP"/>
        </w:rPr>
        <w:t>Castanea</w:t>
      </w:r>
      <w:r w:rsidRPr="00745FBE">
        <w:rPr>
          <w:highlight w:val="lightGray"/>
          <w:u w:val="single"/>
          <w:lang w:val="fr-CH" w:eastAsia="ja-JP"/>
        </w:rPr>
        <w:t xml:space="preserve"> </w:t>
      </w:r>
      <w:r w:rsidRPr="00745FBE">
        <w:rPr>
          <w:rFonts w:cs="Arial"/>
          <w:highlight w:val="lightGray"/>
          <w:u w:val="single"/>
          <w:lang w:val="fr-CH" w:eastAsia="ja-JP"/>
        </w:rPr>
        <w:t xml:space="preserve">“Châtaigne claire” </w:t>
      </w:r>
      <w:r w:rsidRPr="00745FBE">
        <w:rPr>
          <w:highlight w:val="lightGray"/>
          <w:u w:val="single"/>
          <w:lang w:val="fr-CH" w:eastAsia="ja-JP"/>
        </w:rPr>
        <w:t>(</w:t>
      </w:r>
      <w:r w:rsidRPr="00745FBE">
        <w:rPr>
          <w:i/>
          <w:highlight w:val="lightGray"/>
          <w:u w:val="single"/>
          <w:lang w:val="fr-CH" w:eastAsia="ja-JP"/>
        </w:rPr>
        <w:t>Castanea</w:t>
      </w:r>
      <w:r w:rsidRPr="00745FBE">
        <w:rPr>
          <w:highlight w:val="lightGray"/>
          <w:u w:val="single"/>
          <w:lang w:val="fr-CH" w:eastAsia="ja-JP"/>
        </w:rPr>
        <w:t xml:space="preserve"> est le nom botanique du genre, dont le nom commun est </w:t>
      </w:r>
      <w:r w:rsidRPr="00745FBE">
        <w:rPr>
          <w:rFonts w:cs="Arial"/>
          <w:highlight w:val="lightGray"/>
          <w:u w:val="single"/>
          <w:lang w:val="fr-CH" w:eastAsia="ja-JP"/>
        </w:rPr>
        <w:t>“châtaigne”</w:t>
      </w:r>
      <w:r w:rsidRPr="00745FBE">
        <w:rPr>
          <w:highlight w:val="lightGray"/>
          <w:u w:val="single"/>
          <w:lang w:val="fr-CH" w:eastAsia="ja-JP"/>
        </w:rPr>
        <w:t>);</w:t>
      </w:r>
    </w:p>
    <w:p w:rsidR="00797CB8" w:rsidRPr="00745FBE" w:rsidRDefault="00385CBA" w:rsidP="00385CBA">
      <w:pPr>
        <w:ind w:left="851"/>
        <w:rPr>
          <w:highlight w:val="lightGray"/>
          <w:u w:val="single"/>
          <w:lang w:val="fr-CH" w:eastAsia="ja-JP"/>
        </w:rPr>
      </w:pPr>
      <w:r w:rsidRPr="00745FBE">
        <w:rPr>
          <w:i/>
          <w:highlight w:val="lightGray"/>
          <w:u w:val="single"/>
          <w:lang w:val="fr-CH" w:eastAsia="ja-JP"/>
        </w:rPr>
        <w:t>Gladiolus</w:t>
      </w:r>
      <w:r w:rsidRPr="00745FBE">
        <w:rPr>
          <w:rFonts w:cs="Arial"/>
          <w:highlight w:val="lightGray"/>
          <w:u w:val="single"/>
          <w:lang w:val="fr-CH" w:eastAsia="ja-JP"/>
        </w:rPr>
        <w:t xml:space="preserve"> “Glaïeul rose”</w:t>
      </w:r>
      <w:r w:rsidRPr="00745FBE">
        <w:rPr>
          <w:highlight w:val="lightGray"/>
          <w:u w:val="single"/>
          <w:lang w:val="fr-CH" w:eastAsia="ja-JP"/>
        </w:rPr>
        <w:t>;</w:t>
      </w:r>
    </w:p>
    <w:p w:rsidR="00797CB8" w:rsidRPr="00745FBE" w:rsidRDefault="00385CBA" w:rsidP="00385CBA">
      <w:pPr>
        <w:ind w:left="851"/>
        <w:rPr>
          <w:highlight w:val="lightGray"/>
          <w:u w:val="single"/>
          <w:lang w:val="fr-CH" w:eastAsia="ja-JP"/>
        </w:rPr>
      </w:pPr>
      <w:r w:rsidRPr="00745FBE">
        <w:rPr>
          <w:i/>
          <w:highlight w:val="lightGray"/>
          <w:u w:val="single"/>
          <w:lang w:val="fr-CH" w:eastAsia="ja-JP"/>
        </w:rPr>
        <w:t>Narcissus</w:t>
      </w:r>
      <w:r w:rsidRPr="00745FBE">
        <w:rPr>
          <w:highlight w:val="lightGray"/>
          <w:u w:val="single"/>
          <w:lang w:val="fr-CH" w:eastAsia="ja-JP"/>
        </w:rPr>
        <w:t xml:space="preserve"> “Davis Daff”</w:t>
      </w:r>
      <w:r w:rsidRPr="00745FBE">
        <w:rPr>
          <w:i/>
          <w:highlight w:val="lightGray"/>
          <w:u w:val="single"/>
          <w:lang w:val="fr-CH" w:eastAsia="ja-JP"/>
        </w:rPr>
        <w:t xml:space="preserve"> </w:t>
      </w:r>
      <w:r w:rsidRPr="00745FBE">
        <w:rPr>
          <w:highlight w:val="lightGray"/>
          <w:u w:val="single"/>
          <w:lang w:val="fr-CH" w:eastAsia="ja-JP"/>
        </w:rPr>
        <w:t>(</w:t>
      </w:r>
      <w:r w:rsidRPr="00745FBE">
        <w:rPr>
          <w:i/>
          <w:highlight w:val="lightGray"/>
          <w:u w:val="single"/>
          <w:lang w:val="fr-CH" w:eastAsia="ja-JP"/>
        </w:rPr>
        <w:t>Narcissus</w:t>
      </w:r>
      <w:r w:rsidRPr="00745FBE">
        <w:rPr>
          <w:highlight w:val="lightGray"/>
          <w:u w:val="single"/>
          <w:lang w:val="fr-CH" w:eastAsia="ja-JP"/>
        </w:rPr>
        <w:t xml:space="preserve"> est le nom botanique du genre, dont le nom commun est </w:t>
      </w:r>
      <w:r w:rsidRPr="00745FBE">
        <w:rPr>
          <w:rFonts w:cs="Arial"/>
          <w:highlight w:val="lightGray"/>
          <w:u w:val="single"/>
          <w:lang w:val="fr-CH" w:eastAsia="ja-JP"/>
        </w:rPr>
        <w:t>“</w:t>
      </w:r>
      <w:r w:rsidRPr="00745FBE">
        <w:rPr>
          <w:highlight w:val="lightGray"/>
          <w:u w:val="single"/>
          <w:lang w:val="fr-CH" w:eastAsia="ja-JP"/>
        </w:rPr>
        <w:t>narcisse”);</w:t>
      </w:r>
    </w:p>
    <w:p w:rsidR="00797CB8" w:rsidRPr="00745FBE" w:rsidRDefault="00385CBA" w:rsidP="00385CBA">
      <w:pPr>
        <w:ind w:left="851"/>
        <w:rPr>
          <w:highlight w:val="lightGray"/>
          <w:u w:val="single"/>
          <w:lang w:val="fr-CH" w:eastAsia="ja-JP"/>
        </w:rPr>
      </w:pPr>
      <w:r w:rsidRPr="00745FBE">
        <w:rPr>
          <w:i/>
          <w:highlight w:val="lightGray"/>
          <w:u w:val="single"/>
          <w:lang w:val="fr-CH" w:eastAsia="ja-JP"/>
        </w:rPr>
        <w:t>Narcissus</w:t>
      </w:r>
      <w:r w:rsidRPr="00745FBE">
        <w:rPr>
          <w:highlight w:val="lightGray"/>
          <w:u w:val="single"/>
          <w:lang w:val="fr-CH" w:eastAsia="ja-JP"/>
        </w:rPr>
        <w:t xml:space="preserve"> “Narcisse de grand</w:t>
      </w:r>
      <w:r w:rsidR="009B26EF">
        <w:rPr>
          <w:highlight w:val="lightGray"/>
          <w:u w:val="single"/>
          <w:lang w:val="fr-CH" w:eastAsia="ja-JP"/>
        </w:rPr>
        <w:t>-</w:t>
      </w:r>
      <w:r w:rsidRPr="00745FBE">
        <w:rPr>
          <w:highlight w:val="lightGray"/>
          <w:u w:val="single"/>
          <w:lang w:val="fr-CH" w:eastAsia="ja-JP"/>
        </w:rPr>
        <w:t>mère”;</w:t>
      </w:r>
    </w:p>
    <w:p w:rsidR="00797CB8" w:rsidRPr="00745FBE" w:rsidRDefault="00385CBA" w:rsidP="00385CBA">
      <w:pPr>
        <w:ind w:left="851"/>
        <w:rPr>
          <w:highlight w:val="lightGray"/>
          <w:u w:val="single"/>
          <w:lang w:val="fr-CH" w:eastAsia="ja-JP"/>
        </w:rPr>
      </w:pPr>
      <w:r w:rsidRPr="00745FBE">
        <w:rPr>
          <w:i/>
          <w:highlight w:val="lightGray"/>
          <w:u w:val="single"/>
          <w:lang w:val="fr-CH" w:eastAsia="ja-JP"/>
        </w:rPr>
        <w:t>Paeonia</w:t>
      </w:r>
      <w:r w:rsidRPr="00745FBE">
        <w:rPr>
          <w:highlight w:val="lightGray"/>
          <w:u w:val="single"/>
          <w:lang w:val="fr-CH" w:eastAsia="ja-JP"/>
        </w:rPr>
        <w:t xml:space="preserve"> “Pivoine du Sussex”</w:t>
      </w:r>
      <w:r w:rsidRPr="00745FBE">
        <w:rPr>
          <w:i/>
          <w:highlight w:val="lightGray"/>
          <w:u w:val="single"/>
          <w:lang w:val="fr-CH" w:eastAsia="ja-JP"/>
        </w:rPr>
        <w:t xml:space="preserve"> </w:t>
      </w:r>
      <w:r w:rsidRPr="00745FBE">
        <w:rPr>
          <w:highlight w:val="lightGray"/>
          <w:u w:val="single"/>
          <w:lang w:val="fr-CH" w:eastAsia="ja-JP"/>
        </w:rPr>
        <w:t>(</w:t>
      </w:r>
      <w:r w:rsidRPr="00745FBE">
        <w:rPr>
          <w:i/>
          <w:highlight w:val="lightGray"/>
          <w:u w:val="single"/>
          <w:lang w:val="fr-CH" w:eastAsia="ja-JP"/>
        </w:rPr>
        <w:t>Paeonia</w:t>
      </w:r>
      <w:r w:rsidRPr="00745FBE">
        <w:rPr>
          <w:highlight w:val="lightGray"/>
          <w:u w:val="single"/>
          <w:lang w:val="fr-CH" w:eastAsia="ja-JP"/>
        </w:rPr>
        <w:t xml:space="preserve"> est le nom botanique du genre, dont le nom commun est </w:t>
      </w:r>
      <w:r w:rsidRPr="00745FBE">
        <w:rPr>
          <w:rFonts w:cs="Arial"/>
          <w:highlight w:val="lightGray"/>
          <w:u w:val="single"/>
          <w:lang w:val="fr-CH" w:eastAsia="ja-JP"/>
        </w:rPr>
        <w:t>“pivoine”</w:t>
      </w:r>
      <w:r w:rsidRPr="00745FBE">
        <w:rPr>
          <w:highlight w:val="lightGray"/>
          <w:u w:val="single"/>
          <w:lang w:val="fr-CH" w:eastAsia="ja-JP"/>
        </w:rPr>
        <w:t>);</w:t>
      </w:r>
    </w:p>
    <w:p w:rsidR="00797CB8" w:rsidRPr="009B26EF" w:rsidRDefault="00385CBA" w:rsidP="00385CBA">
      <w:pPr>
        <w:ind w:left="851"/>
        <w:rPr>
          <w:highlight w:val="lightGray"/>
          <w:u w:val="single"/>
          <w:lang w:eastAsia="ja-JP"/>
        </w:rPr>
      </w:pPr>
      <w:r w:rsidRPr="009B26EF">
        <w:rPr>
          <w:i/>
          <w:highlight w:val="lightGray"/>
          <w:u w:val="single"/>
          <w:lang w:eastAsia="ja-JP"/>
        </w:rPr>
        <w:t>Phlox</w:t>
      </w:r>
      <w:r w:rsidRPr="009B26EF">
        <w:rPr>
          <w:highlight w:val="lightGray"/>
          <w:u w:val="single"/>
          <w:lang w:eastAsia="ja-JP"/>
        </w:rPr>
        <w:t xml:space="preserve"> “Phlox of Sheep”;</w:t>
      </w:r>
    </w:p>
    <w:p w:rsidR="00797CB8" w:rsidRPr="009B26EF" w:rsidRDefault="00385CBA" w:rsidP="00385CBA">
      <w:pPr>
        <w:ind w:left="851"/>
        <w:rPr>
          <w:highlight w:val="lightGray"/>
          <w:u w:val="single"/>
          <w:lang w:eastAsia="ja-JP"/>
        </w:rPr>
      </w:pPr>
      <w:r w:rsidRPr="009B26EF">
        <w:rPr>
          <w:i/>
          <w:highlight w:val="lightGray"/>
          <w:u w:val="single"/>
          <w:lang w:eastAsia="ja-JP"/>
        </w:rPr>
        <w:t>Rhododendron</w:t>
      </w:r>
      <w:r w:rsidRPr="009B26EF">
        <w:rPr>
          <w:highlight w:val="lightGray"/>
          <w:u w:val="single"/>
          <w:lang w:eastAsia="ja-JP"/>
        </w:rPr>
        <w:t xml:space="preserve"> “Mad Rhododendron”.</w:t>
      </w:r>
    </w:p>
    <w:p w:rsidR="00797CB8" w:rsidRPr="009B26EF" w:rsidRDefault="00797CB8" w:rsidP="00385CBA">
      <w:pPr>
        <w:rPr>
          <w:highlight w:val="lightGray"/>
          <w:u w:val="single"/>
          <w:lang w:eastAsia="ja-JP"/>
        </w:rPr>
      </w:pPr>
    </w:p>
    <w:p w:rsidR="00797CB8" w:rsidRPr="00745FBE" w:rsidRDefault="00385CBA" w:rsidP="00385CBA">
      <w:pPr>
        <w:ind w:left="540"/>
        <w:rPr>
          <w:i/>
          <w:highlight w:val="lightGray"/>
          <w:u w:val="single"/>
          <w:lang w:val="fr-CH" w:eastAsia="ja-JP"/>
        </w:rPr>
      </w:pPr>
      <w:r w:rsidRPr="00745FBE">
        <w:rPr>
          <w:i/>
          <w:highlight w:val="lightGray"/>
          <w:u w:val="single"/>
          <w:lang w:val="fr-CH" w:eastAsia="ja-JP"/>
        </w:rPr>
        <w:t>Exemples de dénomination appropriée</w:t>
      </w:r>
      <w:r w:rsidR="009B26EF">
        <w:rPr>
          <w:i/>
          <w:highlight w:val="lightGray"/>
          <w:u w:val="single"/>
          <w:lang w:val="fr-CH" w:eastAsia="ja-JP"/>
        </w:rPr>
        <w:t> :</w:t>
      </w:r>
    </w:p>
    <w:p w:rsidR="00797CB8" w:rsidRPr="00745FBE" w:rsidRDefault="00385CBA" w:rsidP="00385CBA">
      <w:pPr>
        <w:ind w:left="851"/>
        <w:rPr>
          <w:i/>
          <w:sz w:val="18"/>
          <w:szCs w:val="18"/>
          <w:u w:val="single"/>
          <w:shd w:val="pct15" w:color="auto" w:fill="FFFFFF"/>
          <w:lang w:val="fr-CH" w:eastAsia="ja-JP"/>
        </w:rPr>
      </w:pPr>
      <w:r w:rsidRPr="00745FBE">
        <w:rPr>
          <w:i/>
          <w:highlight w:val="lightGray"/>
          <w:u w:val="single"/>
          <w:lang w:val="fr-CH" w:eastAsia="ja-JP"/>
        </w:rPr>
        <w:t>Dianthus</w:t>
      </w:r>
      <w:r w:rsidRPr="00745FBE">
        <w:rPr>
          <w:highlight w:val="lightGray"/>
          <w:u w:val="single"/>
          <w:lang w:val="fr-CH" w:eastAsia="ja-JP"/>
        </w:rPr>
        <w:t xml:space="preserve"> “Rupert</w:t>
      </w:r>
      <w:r w:rsidR="009B26EF">
        <w:rPr>
          <w:highlight w:val="lightGray"/>
          <w:u w:val="single"/>
          <w:lang w:val="fr-CH" w:eastAsia="ja-JP"/>
        </w:rPr>
        <w:t>’</w:t>
      </w:r>
      <w:r w:rsidRPr="00745FBE">
        <w:rPr>
          <w:highlight w:val="lightGray"/>
          <w:u w:val="single"/>
          <w:lang w:val="fr-CH" w:eastAsia="ja-JP"/>
        </w:rPr>
        <w:t>s Pink”</w:t>
      </w:r>
      <w:r w:rsidRPr="00745FBE">
        <w:rPr>
          <w:i/>
          <w:highlight w:val="lightGray"/>
          <w:u w:val="single"/>
          <w:lang w:val="fr-CH" w:eastAsia="ja-JP"/>
        </w:rPr>
        <w:t xml:space="preserve"> </w:t>
      </w:r>
      <w:r w:rsidRPr="00745FBE">
        <w:rPr>
          <w:highlight w:val="lightGray"/>
          <w:u w:val="single"/>
          <w:lang w:val="fr-CH" w:eastAsia="ja-JP"/>
        </w:rPr>
        <w:t>(“Pink” n</w:t>
      </w:r>
      <w:r w:rsidR="009B26EF">
        <w:rPr>
          <w:highlight w:val="lightGray"/>
          <w:u w:val="single"/>
          <w:lang w:val="fr-CH" w:eastAsia="ja-JP"/>
        </w:rPr>
        <w:t>’</w:t>
      </w:r>
      <w:r w:rsidRPr="00745FBE">
        <w:rPr>
          <w:highlight w:val="lightGray"/>
          <w:u w:val="single"/>
          <w:lang w:val="fr-CH" w:eastAsia="ja-JP"/>
        </w:rPr>
        <w:t xml:space="preserve">est pas le nom commun de toutes les plantes du genre </w:t>
      </w:r>
      <w:r w:rsidRPr="00745FBE">
        <w:rPr>
          <w:i/>
          <w:highlight w:val="lightGray"/>
          <w:u w:val="single"/>
          <w:lang w:val="fr-CH" w:eastAsia="ja-JP"/>
        </w:rPr>
        <w:t>Dianthus</w:t>
      </w:r>
      <w:r w:rsidRPr="00745FBE">
        <w:rPr>
          <w:u w:val="single"/>
          <w:shd w:val="pct15" w:color="auto" w:fill="FFFFFF"/>
          <w:lang w:val="fr-CH" w:eastAsia="ja-JP"/>
        </w:rPr>
        <w:t>);</w:t>
      </w:r>
    </w:p>
    <w:p w:rsidR="00797CB8" w:rsidRPr="00745FBE" w:rsidRDefault="00385CBA" w:rsidP="00385CBA">
      <w:pPr>
        <w:ind w:left="851"/>
        <w:rPr>
          <w:i/>
          <w:highlight w:val="lightGray"/>
          <w:u w:val="single"/>
          <w:lang w:val="fr-CH" w:eastAsia="ja-JP"/>
        </w:rPr>
      </w:pPr>
      <w:r w:rsidRPr="00745FBE">
        <w:rPr>
          <w:i/>
          <w:highlight w:val="lightGray"/>
          <w:u w:val="single"/>
          <w:lang w:val="fr-CH" w:eastAsia="ja-JP"/>
        </w:rPr>
        <w:t>Pyrus bretschneideri</w:t>
      </w:r>
      <w:r w:rsidRPr="00745FBE">
        <w:rPr>
          <w:highlight w:val="lightGray"/>
          <w:u w:val="single"/>
          <w:lang w:val="fr-CH" w:eastAsia="ja-JP"/>
        </w:rPr>
        <w:t xml:space="preserve"> “Ya Li”.  (Alors que “li” est le nom commun chinois utilisé pour le genre </w:t>
      </w:r>
      <w:r w:rsidRPr="00745FBE">
        <w:rPr>
          <w:i/>
          <w:highlight w:val="lightGray"/>
          <w:u w:val="single"/>
          <w:lang w:val="fr-CH" w:eastAsia="ja-JP"/>
        </w:rPr>
        <w:t>Pyrus</w:t>
      </w:r>
      <w:r w:rsidRPr="00745FBE">
        <w:rPr>
          <w:highlight w:val="lightGray"/>
          <w:u w:val="single"/>
          <w:lang w:val="fr-CH" w:eastAsia="ja-JP"/>
        </w:rPr>
        <w:t>, “li” est inséparable de “ya”, selon l</w:t>
      </w:r>
      <w:r w:rsidR="009B26EF">
        <w:rPr>
          <w:highlight w:val="lightGray"/>
          <w:u w:val="single"/>
          <w:lang w:val="fr-CH" w:eastAsia="ja-JP"/>
        </w:rPr>
        <w:t>’</w:t>
      </w:r>
      <w:r w:rsidRPr="00745FBE">
        <w:rPr>
          <w:highlight w:val="lightGray"/>
          <w:u w:val="single"/>
          <w:lang w:val="fr-CH" w:eastAsia="ja-JP"/>
        </w:rPr>
        <w:t>usage de la langue chinoise, et l</w:t>
      </w:r>
      <w:r w:rsidR="009B26EF">
        <w:rPr>
          <w:highlight w:val="lightGray"/>
          <w:u w:val="single"/>
          <w:lang w:val="fr-CH" w:eastAsia="ja-JP"/>
        </w:rPr>
        <w:t>’</w:t>
      </w:r>
      <w:r w:rsidRPr="00745FBE">
        <w:rPr>
          <w:highlight w:val="lightGray"/>
          <w:u w:val="single"/>
          <w:lang w:val="fr-CH" w:eastAsia="ja-JP"/>
        </w:rPr>
        <w:t>ajout de ce mot dans la dénomination variétale est dès lors nécessaire et acceptable)</w:t>
      </w:r>
      <w:r w:rsidRPr="00745FBE">
        <w:rPr>
          <w:u w:val="single"/>
          <w:lang w:val="fr-CH" w:eastAsia="ja-JP"/>
        </w:rPr>
        <w:t>.</w:t>
      </w:r>
    </w:p>
    <w:p w:rsidR="00797CB8" w:rsidRPr="00745FBE" w:rsidRDefault="00797CB8" w:rsidP="00385CBA">
      <w:pPr>
        <w:spacing w:line="360" w:lineRule="auto"/>
        <w:rPr>
          <w:lang w:val="fr-CH" w:eastAsia="ja-JP"/>
        </w:rPr>
      </w:pPr>
    </w:p>
    <w:p w:rsidR="00797CB8" w:rsidRPr="00745FBE" w:rsidRDefault="00385CBA" w:rsidP="00385CBA">
      <w:pPr>
        <w:pStyle w:val="Heading4"/>
        <w:rPr>
          <w:lang w:val="fr-CH"/>
        </w:rPr>
      </w:pPr>
      <w:bookmarkStart w:id="16" w:name="_Toc15031427"/>
      <w:bookmarkStart w:id="17" w:name="_Toc35937353"/>
      <w:r w:rsidRPr="00745FBE">
        <w:rPr>
          <w:lang w:val="fr-CH"/>
        </w:rPr>
        <w:t>2.3.2</w:t>
      </w:r>
      <w:r w:rsidRPr="00745FBE">
        <w:rPr>
          <w:lang w:val="fr-CH"/>
        </w:rPr>
        <w:tab/>
        <w:t>Valeur de la variété</w:t>
      </w:r>
      <w:bookmarkEnd w:id="16"/>
      <w:bookmarkEnd w:id="17"/>
    </w:p>
    <w:p w:rsidR="00797CB8" w:rsidRPr="00745FBE" w:rsidRDefault="00797CB8" w:rsidP="00385CBA">
      <w:pPr>
        <w:keepNext/>
        <w:rPr>
          <w:lang w:val="fr-CH"/>
        </w:rPr>
      </w:pPr>
    </w:p>
    <w:p w:rsidR="00797CB8" w:rsidRPr="00745FBE" w:rsidRDefault="00385CBA" w:rsidP="00385CBA">
      <w:pPr>
        <w:keepNext/>
        <w:rPr>
          <w:lang w:val="fr-CH"/>
        </w:rPr>
      </w:pPr>
      <w:r w:rsidRPr="00745FBE">
        <w:rPr>
          <w:lang w:val="fr-CH"/>
        </w:rPr>
        <w:t xml:space="preserve">La dénomination ne doit pas se composer de comparatifs ou de superlatifs </w:t>
      </w:r>
      <w:r w:rsidRPr="00745FBE">
        <w:rPr>
          <w:highlight w:val="lightGray"/>
          <w:u w:val="single"/>
          <w:lang w:val="fr-CH"/>
        </w:rPr>
        <w:t>susceptibles d</w:t>
      </w:r>
      <w:r w:rsidR="009B26EF">
        <w:rPr>
          <w:highlight w:val="lightGray"/>
          <w:u w:val="single"/>
          <w:lang w:val="fr-CH"/>
        </w:rPr>
        <w:t>’</w:t>
      </w:r>
      <w:r w:rsidRPr="00745FBE">
        <w:rPr>
          <w:highlight w:val="lightGray"/>
          <w:u w:val="single"/>
          <w:lang w:val="fr-CH"/>
        </w:rPr>
        <w:t>induire en erreur ou de prêter à confusion quant aux caractéristiques ou à la valeur de la variété</w:t>
      </w:r>
      <w:r w:rsidRPr="00745FBE">
        <w:rPr>
          <w:lang w:val="fr-CH"/>
        </w:rPr>
        <w:t>, ni en contenir.</w:t>
      </w:r>
    </w:p>
    <w:p w:rsidR="00797CB8" w:rsidRPr="00745FBE" w:rsidRDefault="00797CB8" w:rsidP="00385CBA">
      <w:pPr>
        <w:keepNext/>
        <w:ind w:firstLine="567"/>
        <w:rPr>
          <w:lang w:val="fr-CH"/>
        </w:rPr>
      </w:pPr>
    </w:p>
    <w:p w:rsidR="00797CB8" w:rsidRPr="00745FBE" w:rsidRDefault="00385CBA" w:rsidP="00385CBA">
      <w:pPr>
        <w:ind w:left="567"/>
        <w:rPr>
          <w:lang w:val="fr-CH"/>
        </w:rPr>
      </w:pPr>
      <w:r w:rsidRPr="00745FBE">
        <w:rPr>
          <w:i/>
          <w:lang w:val="fr-CH"/>
        </w:rPr>
        <w:t>Exemple</w:t>
      </w:r>
      <w:r w:rsidRPr="00745FBE">
        <w:rPr>
          <w:i/>
          <w:u w:val="single"/>
          <w:lang w:val="fr-CH"/>
        </w:rPr>
        <w:t xml:space="preserve"> </w:t>
      </w:r>
      <w:r w:rsidRPr="00745FBE">
        <w:rPr>
          <w:i/>
          <w:highlight w:val="lightGray"/>
          <w:u w:val="single"/>
          <w:lang w:val="fr-CH"/>
        </w:rPr>
        <w:t>de dénomination inappropriée</w:t>
      </w:r>
      <w:r w:rsidR="009B26EF">
        <w:rPr>
          <w:i/>
          <w:u w:val="single"/>
          <w:lang w:val="fr-CH"/>
        </w:rPr>
        <w:t> :</w:t>
      </w:r>
      <w:r w:rsidRPr="00745FBE">
        <w:rPr>
          <w:lang w:val="fr-CH"/>
        </w:rPr>
        <w:t xml:space="preserve"> </w:t>
      </w:r>
      <w:r w:rsidRPr="00745FBE">
        <w:rPr>
          <w:strike/>
          <w:highlight w:val="lightGray"/>
          <w:lang w:val="fr-CH"/>
        </w:rPr>
        <w:t>une dénomination comprenant des termes tels que</w:t>
      </w:r>
      <w:r w:rsidRPr="00745FBE">
        <w:rPr>
          <w:strike/>
          <w:lang w:val="fr-CH"/>
        </w:rPr>
        <w:t xml:space="preserve"> </w:t>
      </w:r>
      <w:r w:rsidRPr="00745FBE">
        <w:rPr>
          <w:lang w:val="fr-CH"/>
        </w:rPr>
        <w:t>“meilleur</w:t>
      </w:r>
      <w:r w:rsidRPr="00745FBE">
        <w:rPr>
          <w:u w:val="single"/>
          <w:lang w:val="fr-CH"/>
        </w:rPr>
        <w:t xml:space="preserve"> </w:t>
      </w:r>
      <w:r w:rsidRPr="00745FBE">
        <w:rPr>
          <w:highlight w:val="lightGray"/>
          <w:u w:val="single"/>
          <w:lang w:val="fr-CH"/>
        </w:rPr>
        <w:t>de sa catégorie</w:t>
      </w:r>
      <w:r w:rsidRPr="00745FBE">
        <w:rPr>
          <w:lang w:val="fr-CH"/>
        </w:rPr>
        <w:t>”, “</w:t>
      </w:r>
      <w:r w:rsidRPr="00745FBE">
        <w:rPr>
          <w:highlight w:val="lightGray"/>
          <w:u w:val="single"/>
          <w:lang w:val="fr-CH"/>
        </w:rPr>
        <w:t>parfum</w:t>
      </w:r>
      <w:r w:rsidRPr="00745FBE">
        <w:rPr>
          <w:lang w:val="fr-CH"/>
        </w:rPr>
        <w:t xml:space="preserve"> supérieur”, “plus sucré </w:t>
      </w:r>
      <w:r w:rsidRPr="00745FBE">
        <w:rPr>
          <w:highlight w:val="lightGray"/>
          <w:u w:val="single"/>
          <w:lang w:val="fr-CH"/>
        </w:rPr>
        <w:t>que les autres</w:t>
      </w:r>
      <w:r w:rsidRPr="00745FBE">
        <w:rPr>
          <w:lang w:val="fr-CH"/>
        </w:rPr>
        <w:t>”.</w:t>
      </w:r>
    </w:p>
    <w:p w:rsidR="00797CB8" w:rsidRPr="00745FBE" w:rsidRDefault="00797CB8" w:rsidP="00385CBA">
      <w:pPr>
        <w:rPr>
          <w:lang w:val="fr-CH"/>
        </w:rPr>
      </w:pPr>
    </w:p>
    <w:p w:rsidR="009B26EF" w:rsidRDefault="00385CBA" w:rsidP="00385CBA">
      <w:pPr>
        <w:tabs>
          <w:tab w:val="left" w:pos="567"/>
        </w:tabs>
        <w:spacing w:after="120"/>
        <w:rPr>
          <w:rStyle w:val="EndnoteReference"/>
          <w:color w:val="000000"/>
          <w:lang w:val="fr-CH"/>
        </w:rPr>
      </w:pPr>
      <w:r w:rsidRPr="00745FBE">
        <w:rPr>
          <w:i/>
          <w:highlight w:val="lightGray"/>
          <w:u w:val="single"/>
          <w:lang w:val="fr-CH"/>
        </w:rPr>
        <w:t>Exemples de dénomination appropriée</w:t>
      </w:r>
      <w:r w:rsidR="009B26EF">
        <w:rPr>
          <w:i/>
          <w:highlight w:val="lightGray"/>
          <w:u w:val="single"/>
          <w:lang w:val="fr-CH"/>
        </w:rPr>
        <w:t> :</w:t>
      </w:r>
      <w:r w:rsidRPr="00745FBE">
        <w:rPr>
          <w:highlight w:val="lightGray"/>
          <w:u w:val="single"/>
          <w:lang w:val="fr-CH"/>
        </w:rPr>
        <w:t xml:space="preserve"> “lac Supérieur”, “meilleurs vœux”.</w:t>
      </w:r>
    </w:p>
    <w:p w:rsidR="00797CB8" w:rsidRPr="00745FBE" w:rsidRDefault="00797CB8" w:rsidP="004359AA">
      <w:pPr>
        <w:spacing w:line="360" w:lineRule="auto"/>
        <w:rPr>
          <w:lang w:val="fr-CH"/>
        </w:rPr>
      </w:pPr>
    </w:p>
    <w:p w:rsidR="00797CB8" w:rsidRPr="00745FBE" w:rsidRDefault="00893C7D" w:rsidP="00927C51">
      <w:pPr>
        <w:pStyle w:val="Heading4"/>
        <w:numPr>
          <w:ilvl w:val="2"/>
          <w:numId w:val="21"/>
        </w:numPr>
        <w:rPr>
          <w:lang w:val="fr-CH"/>
        </w:rPr>
      </w:pPr>
      <w:bookmarkStart w:id="18" w:name="_Toc35937354"/>
      <w:r w:rsidRPr="00745FBE">
        <w:rPr>
          <w:lang w:val="fr-CH"/>
        </w:rPr>
        <w:lastRenderedPageBreak/>
        <w:t>Identit</w:t>
      </w:r>
      <w:r w:rsidR="00EB55DC" w:rsidRPr="00745FBE">
        <w:rPr>
          <w:lang w:val="fr-CH"/>
        </w:rPr>
        <w:t>é de la variété</w:t>
      </w:r>
      <w:bookmarkEnd w:id="18"/>
    </w:p>
    <w:p w:rsidR="00797CB8" w:rsidRPr="00745FBE" w:rsidRDefault="000C3B11" w:rsidP="000C3B11">
      <w:pPr>
        <w:keepNext/>
        <w:keepLines/>
        <w:rPr>
          <w:lang w:val="fr-CH"/>
        </w:rPr>
      </w:pPr>
      <w:r w:rsidRPr="00745FBE">
        <w:rPr>
          <w:lang w:val="fr-CH"/>
        </w:rPr>
        <w:tab/>
      </w:r>
    </w:p>
    <w:p w:rsidR="00797CB8" w:rsidRPr="00745FBE" w:rsidRDefault="000C3B11" w:rsidP="000710E3">
      <w:pPr>
        <w:keepNext/>
        <w:keepLines/>
        <w:ind w:firstLine="567"/>
        <w:rPr>
          <w:u w:val="single"/>
          <w:lang w:val="fr-CH"/>
        </w:rPr>
      </w:pPr>
      <w:r w:rsidRPr="00745FBE">
        <w:rPr>
          <w:lang w:val="fr-CH"/>
        </w:rPr>
        <w:t>a)</w:t>
      </w:r>
      <w:r w:rsidRPr="00745FBE">
        <w:rPr>
          <w:lang w:val="fr-CH"/>
        </w:rPr>
        <w:tab/>
      </w:r>
      <w:r w:rsidR="00EB55DC" w:rsidRPr="00745FBE">
        <w:rPr>
          <w:strike/>
          <w:highlight w:val="lightGray"/>
          <w:lang w:val="fr-CH"/>
        </w:rPr>
        <w:t>De manière générale, une</w:t>
      </w:r>
      <w:r w:rsidR="00EB55DC" w:rsidRPr="00745FBE">
        <w:rPr>
          <w:lang w:val="fr-CH"/>
        </w:rPr>
        <w:t xml:space="preserve"> </w:t>
      </w:r>
      <w:r w:rsidR="00EB55DC" w:rsidRPr="00745FBE">
        <w:rPr>
          <w:highlight w:val="lightGray"/>
          <w:u w:val="single"/>
          <w:lang w:val="fr-CH"/>
        </w:rPr>
        <w:t>Une</w:t>
      </w:r>
      <w:r w:rsidR="00EB55DC" w:rsidRPr="00745FBE">
        <w:rPr>
          <w:lang w:val="fr-CH"/>
        </w:rPr>
        <w:t xml:space="preserve"> différence d</w:t>
      </w:r>
      <w:r w:rsidR="009B26EF">
        <w:rPr>
          <w:lang w:val="fr-CH"/>
        </w:rPr>
        <w:t>’</w:t>
      </w:r>
      <w:r w:rsidR="00EB55DC" w:rsidRPr="00745FBE">
        <w:rPr>
          <w:lang w:val="fr-CH"/>
        </w:rPr>
        <w:t>une seule lettre ou d</w:t>
      </w:r>
      <w:r w:rsidR="009B26EF">
        <w:rPr>
          <w:lang w:val="fr-CH"/>
        </w:rPr>
        <w:t>’</w:t>
      </w:r>
      <w:r w:rsidR="00EB55DC" w:rsidRPr="00745FBE">
        <w:rPr>
          <w:lang w:val="fr-CH"/>
        </w:rPr>
        <w:t>un seul chiffre peut être considérée comme susceptible d</w:t>
      </w:r>
      <w:r w:rsidR="009B26EF">
        <w:rPr>
          <w:lang w:val="fr-CH"/>
        </w:rPr>
        <w:t>’</w:t>
      </w:r>
      <w:r w:rsidR="00EB55DC" w:rsidRPr="00745FBE">
        <w:rPr>
          <w:lang w:val="fr-CH"/>
        </w:rPr>
        <w:t>induire en erreur ou de prêter à confusion quant à l</w:t>
      </w:r>
      <w:r w:rsidR="009B26EF">
        <w:rPr>
          <w:lang w:val="fr-CH"/>
        </w:rPr>
        <w:t>’</w:t>
      </w:r>
      <w:r w:rsidR="00EB55DC" w:rsidRPr="00745FBE">
        <w:rPr>
          <w:lang w:val="fr-CH"/>
        </w:rPr>
        <w:t>identité de la variété</w:t>
      </w:r>
      <w:r w:rsidR="00EB55DC" w:rsidRPr="00745FBE">
        <w:rPr>
          <w:strike/>
          <w:highlight w:val="lightGray"/>
          <w:lang w:val="fr-CH"/>
        </w:rPr>
        <w:t>,</w:t>
      </w:r>
      <w:r w:rsidR="00EB55DC" w:rsidRPr="00745FBE">
        <w:rPr>
          <w:highlight w:val="lightGray"/>
          <w:u w:val="single"/>
          <w:lang w:val="fr-CH"/>
        </w:rPr>
        <w:t>.</w:t>
      </w:r>
      <w:r w:rsidR="00EB55DC" w:rsidRPr="00440663">
        <w:rPr>
          <w:lang w:val="fr-CH"/>
        </w:rPr>
        <w:t xml:space="preserve">  </w:t>
      </w:r>
      <w:r w:rsidR="00EB55DC" w:rsidRPr="00745FBE">
        <w:rPr>
          <w:strike/>
          <w:highlight w:val="lightGray"/>
          <w:lang w:val="fr-CH"/>
        </w:rPr>
        <w:t>sauf lorsque </w:t>
      </w:r>
      <w:r w:rsidR="00CB66EB" w:rsidRPr="00745FBE">
        <w:rPr>
          <w:highlight w:val="lightGray"/>
          <w:u w:val="single"/>
          <w:lang w:val="fr-CH"/>
        </w:rPr>
        <w:t xml:space="preserve">Toutefois, </w:t>
      </w:r>
      <w:r w:rsidR="000710E3" w:rsidRPr="00745FBE">
        <w:rPr>
          <w:highlight w:val="lightGray"/>
          <w:u w:val="single"/>
          <w:lang w:val="fr-CH"/>
        </w:rPr>
        <w:t xml:space="preserve">dans </w:t>
      </w:r>
      <w:r w:rsidR="00CB66EB" w:rsidRPr="00745FBE">
        <w:rPr>
          <w:highlight w:val="lightGray"/>
          <w:u w:val="single"/>
          <w:lang w:val="fr-CH"/>
        </w:rPr>
        <w:t>les cas suivants</w:t>
      </w:r>
      <w:r w:rsidR="000710E3" w:rsidRPr="00745FBE">
        <w:rPr>
          <w:highlight w:val="lightGray"/>
          <w:u w:val="single"/>
          <w:lang w:val="fr-CH"/>
        </w:rPr>
        <w:t>, cette différence d</w:t>
      </w:r>
      <w:r w:rsidR="009B26EF">
        <w:rPr>
          <w:highlight w:val="lightGray"/>
          <w:u w:val="single"/>
          <w:lang w:val="fr-CH"/>
        </w:rPr>
        <w:t>’</w:t>
      </w:r>
      <w:r w:rsidR="000710E3" w:rsidRPr="00745FBE">
        <w:rPr>
          <w:highlight w:val="lightGray"/>
          <w:u w:val="single"/>
          <w:lang w:val="fr-CH"/>
        </w:rPr>
        <w:t>une seule lettre ou d</w:t>
      </w:r>
      <w:r w:rsidR="009B26EF">
        <w:rPr>
          <w:highlight w:val="lightGray"/>
          <w:u w:val="single"/>
          <w:lang w:val="fr-CH"/>
        </w:rPr>
        <w:t>’</w:t>
      </w:r>
      <w:r w:rsidR="000710E3" w:rsidRPr="00745FBE">
        <w:rPr>
          <w:highlight w:val="lightGray"/>
          <w:u w:val="single"/>
          <w:lang w:val="fr-CH"/>
        </w:rPr>
        <w:t>un seul chiffre peut ne pas être considérée comme susceptible d</w:t>
      </w:r>
      <w:r w:rsidR="009B26EF">
        <w:rPr>
          <w:highlight w:val="lightGray"/>
          <w:u w:val="single"/>
          <w:lang w:val="fr-CH"/>
        </w:rPr>
        <w:t>’</w:t>
      </w:r>
      <w:r w:rsidR="000710E3" w:rsidRPr="00745FBE">
        <w:rPr>
          <w:highlight w:val="lightGray"/>
          <w:u w:val="single"/>
          <w:lang w:val="fr-CH"/>
        </w:rPr>
        <w:t>induire en erreur ou de prêter à confusion</w:t>
      </w:r>
      <w:r w:rsidR="009B26EF">
        <w:rPr>
          <w:highlight w:val="lightGray"/>
          <w:u w:val="single"/>
          <w:lang w:val="fr-CH"/>
        </w:rPr>
        <w:t> :</w:t>
      </w:r>
    </w:p>
    <w:p w:rsidR="00797CB8" w:rsidRPr="00745FBE" w:rsidRDefault="00797CB8" w:rsidP="000C3B11">
      <w:pPr>
        <w:keepNext/>
        <w:keepLines/>
        <w:rPr>
          <w:lang w:val="fr-CH"/>
        </w:rPr>
      </w:pPr>
    </w:p>
    <w:p w:rsidR="00797CB8" w:rsidRPr="00745FBE" w:rsidRDefault="000C3B11" w:rsidP="005F7385">
      <w:pPr>
        <w:keepNext/>
        <w:keepLines/>
        <w:tabs>
          <w:tab w:val="right" w:pos="1022"/>
        </w:tabs>
        <w:ind w:left="1163" w:hanging="1163"/>
        <w:rPr>
          <w:lang w:val="fr-CH"/>
        </w:rPr>
      </w:pPr>
      <w:r w:rsidRPr="00745FBE">
        <w:rPr>
          <w:lang w:val="fr-CH"/>
        </w:rPr>
        <w:tab/>
        <w:t>i)</w:t>
      </w:r>
      <w:r w:rsidRPr="00745FBE">
        <w:rPr>
          <w:lang w:val="fr-CH"/>
        </w:rPr>
        <w:tab/>
      </w:r>
      <w:r w:rsidR="005F7385" w:rsidRPr="00745FBE">
        <w:rPr>
          <w:lang w:val="fr-CH"/>
        </w:rPr>
        <w:t>la différence d</w:t>
      </w:r>
      <w:r w:rsidR="009B26EF">
        <w:rPr>
          <w:lang w:val="fr-CH"/>
        </w:rPr>
        <w:t>’</w:t>
      </w:r>
      <w:r w:rsidR="005F7385" w:rsidRPr="00745FBE">
        <w:rPr>
          <w:lang w:val="fr-CH"/>
        </w:rPr>
        <w:t>une lettre permet d</w:t>
      </w:r>
      <w:r w:rsidR="009B26EF">
        <w:rPr>
          <w:lang w:val="fr-CH"/>
        </w:rPr>
        <w:t>’</w:t>
      </w:r>
      <w:r w:rsidR="005F7385" w:rsidRPr="00745FBE">
        <w:rPr>
          <w:lang w:val="fr-CH"/>
        </w:rPr>
        <w:t xml:space="preserve">obtenir une différence visuelle </w:t>
      </w:r>
      <w:r w:rsidR="005F7385" w:rsidRPr="00745FBE">
        <w:rPr>
          <w:strike/>
          <w:highlight w:val="lightGray"/>
          <w:lang w:val="fr-CH"/>
        </w:rPr>
        <w:t>ou</w:t>
      </w:r>
      <w:r w:rsidR="005F7385" w:rsidRPr="00745FBE">
        <w:rPr>
          <w:highlight w:val="lightGray"/>
          <w:u w:val="single"/>
          <w:lang w:val="fr-CH"/>
        </w:rPr>
        <w:t>et</w:t>
      </w:r>
      <w:r w:rsidR="005F7385" w:rsidRPr="00745FBE">
        <w:rPr>
          <w:lang w:val="fr-CH"/>
        </w:rPr>
        <w:t xml:space="preserve"> phonétique nette, par exemple lorsqu</w:t>
      </w:r>
      <w:r w:rsidR="009B26EF">
        <w:rPr>
          <w:lang w:val="fr-CH"/>
        </w:rPr>
        <w:t>’</w:t>
      </w:r>
      <w:r w:rsidR="005F7385" w:rsidRPr="00745FBE">
        <w:rPr>
          <w:lang w:val="fr-CH"/>
        </w:rPr>
        <w:t>il s</w:t>
      </w:r>
      <w:r w:rsidR="009B26EF">
        <w:rPr>
          <w:lang w:val="fr-CH"/>
        </w:rPr>
        <w:t>’</w:t>
      </w:r>
      <w:r w:rsidR="005F7385" w:rsidRPr="00745FBE">
        <w:rPr>
          <w:lang w:val="fr-CH"/>
        </w:rPr>
        <w:t>agit</w:t>
      </w:r>
      <w:r w:rsidR="00832C4B" w:rsidRPr="00745FBE">
        <w:rPr>
          <w:lang w:val="fr-CH"/>
        </w:rPr>
        <w:t xml:space="preserve"> d</w:t>
      </w:r>
      <w:r w:rsidR="009B26EF">
        <w:rPr>
          <w:lang w:val="fr-CH"/>
        </w:rPr>
        <w:t>’</w:t>
      </w:r>
      <w:r w:rsidR="00832C4B" w:rsidRPr="00745FBE">
        <w:rPr>
          <w:lang w:val="fr-CH"/>
        </w:rPr>
        <w:t>une lettre au début d</w:t>
      </w:r>
      <w:r w:rsidR="009B26EF">
        <w:rPr>
          <w:lang w:val="fr-CH"/>
        </w:rPr>
        <w:t>’</w:t>
      </w:r>
      <w:r w:rsidR="00832C4B" w:rsidRPr="00745FBE">
        <w:rPr>
          <w:lang w:val="fr-CH"/>
        </w:rPr>
        <w:t>un mot</w:t>
      </w:r>
      <w:r w:rsidR="009B26EF">
        <w:rPr>
          <w:lang w:val="fr-CH"/>
        </w:rPr>
        <w:t> :</w:t>
      </w:r>
    </w:p>
    <w:p w:rsidR="00797CB8" w:rsidRPr="00745FBE" w:rsidRDefault="00797CB8" w:rsidP="000C3B11">
      <w:pPr>
        <w:keepNext/>
        <w:rPr>
          <w:sz w:val="14"/>
          <w:lang w:val="fr-CH"/>
        </w:rPr>
      </w:pPr>
    </w:p>
    <w:p w:rsidR="009B26EF" w:rsidRDefault="005F7385" w:rsidP="005F7385">
      <w:pPr>
        <w:ind w:left="567"/>
        <w:rPr>
          <w:lang w:val="fr-CH"/>
        </w:rPr>
      </w:pPr>
      <w:r w:rsidRPr="00745FBE">
        <w:rPr>
          <w:i/>
          <w:lang w:val="fr-CH"/>
        </w:rPr>
        <w:t>Exemple</w:t>
      </w:r>
      <w:r w:rsidRPr="00745FBE">
        <w:rPr>
          <w:i/>
          <w:strike/>
          <w:lang w:val="fr-CH"/>
        </w:rPr>
        <w:t xml:space="preserve"> </w:t>
      </w:r>
      <w:r w:rsidRPr="00745FBE">
        <w:rPr>
          <w:i/>
          <w:strike/>
          <w:highlight w:val="lightGray"/>
          <w:u w:val="single"/>
          <w:lang w:val="fr-CH"/>
        </w:rPr>
        <w:t>1</w:t>
      </w:r>
      <w:r w:rsidRPr="00745FBE">
        <w:rPr>
          <w:i/>
          <w:highlight w:val="lightGray"/>
          <w:u w:val="single"/>
          <w:lang w:val="fr-CH"/>
        </w:rPr>
        <w:t>s de dénomination appropriée</w:t>
      </w:r>
      <w:r w:rsidR="009B26EF">
        <w:rPr>
          <w:i/>
          <w:highlight w:val="lightGray"/>
          <w:lang w:val="fr-CH"/>
        </w:rPr>
        <w:t> :</w:t>
      </w:r>
      <w:r w:rsidRPr="00745FBE">
        <w:rPr>
          <w:highlight w:val="lightGray"/>
          <w:lang w:val="fr-CH"/>
        </w:rPr>
        <w:t xml:space="preserve"> </w:t>
      </w:r>
      <w:r w:rsidRPr="00745FBE">
        <w:rPr>
          <w:strike/>
          <w:highlight w:val="lightGray"/>
          <w:lang w:val="fr-CH"/>
        </w:rPr>
        <w:t xml:space="preserve">en anglais, </w:t>
      </w:r>
      <w:r w:rsidRPr="00745FBE">
        <w:rPr>
          <w:lang w:val="fr-CH"/>
        </w:rPr>
        <w:t>“</w:t>
      </w:r>
      <w:r w:rsidRPr="00745FBE">
        <w:rPr>
          <w:u w:val="single"/>
          <w:lang w:val="fr-CH"/>
        </w:rPr>
        <w:t>H</w:t>
      </w:r>
      <w:r w:rsidRPr="00745FBE">
        <w:rPr>
          <w:lang w:val="fr-CH"/>
        </w:rPr>
        <w:t>arry” et “</w:t>
      </w:r>
      <w:r w:rsidRPr="00745FBE">
        <w:rPr>
          <w:u w:val="single"/>
          <w:lang w:val="fr-CH"/>
        </w:rPr>
        <w:t>L</w:t>
      </w:r>
      <w:r w:rsidRPr="00745FBE">
        <w:rPr>
          <w:lang w:val="fr-CH"/>
        </w:rPr>
        <w:t>arry”</w:t>
      </w:r>
      <w:r w:rsidRPr="00745FBE">
        <w:rPr>
          <w:highlight w:val="lightGray"/>
          <w:u w:val="single"/>
          <w:lang w:val="fr-CH"/>
        </w:rPr>
        <w:t>, “Meagan” et “Reagan”</w:t>
      </w:r>
      <w:r w:rsidR="00E924BD" w:rsidRPr="00745FBE">
        <w:rPr>
          <w:highlight w:val="lightGray"/>
          <w:u w:val="single"/>
          <w:lang w:val="fr-CH"/>
        </w:rPr>
        <w:t>,</w:t>
      </w:r>
      <w:r w:rsidRPr="00745FBE">
        <w:rPr>
          <w:highlight w:val="lightGray"/>
          <w:u w:val="single"/>
          <w:lang w:val="fr-CH"/>
        </w:rPr>
        <w:t xml:space="preserve"> “Kinky” et “Binky” et “Hagar” et “Magar”</w:t>
      </w:r>
      <w:r w:rsidRPr="00745FBE">
        <w:rPr>
          <w:strike/>
          <w:highlight w:val="lightGray"/>
          <w:lang w:val="fr-CH"/>
        </w:rPr>
        <w:t xml:space="preserve"> ne prêtent pas à confusion; </w:t>
      </w:r>
      <w:r w:rsidR="00E924BD" w:rsidRPr="00745FBE">
        <w:rPr>
          <w:strike/>
          <w:highlight w:val="lightGray"/>
          <w:lang w:val="fr-CH"/>
        </w:rPr>
        <w:t xml:space="preserve"> </w:t>
      </w:r>
      <w:r w:rsidRPr="00745FBE">
        <w:rPr>
          <w:strike/>
          <w:highlight w:val="lightGray"/>
          <w:lang w:val="fr-CH"/>
        </w:rPr>
        <w:t>mais, “Bough”</w:t>
      </w:r>
      <w:r w:rsidR="00E924BD" w:rsidRPr="00745FBE">
        <w:rPr>
          <w:strike/>
          <w:highlight w:val="lightGray"/>
          <w:lang w:val="fr-CH"/>
        </w:rPr>
        <w:t xml:space="preserve"> </w:t>
      </w:r>
      <w:r w:rsidRPr="00745FBE">
        <w:rPr>
          <w:strike/>
          <w:highlight w:val="lightGray"/>
          <w:lang w:val="fr-CH"/>
        </w:rPr>
        <w:t>et “Bow” peuvent prêter à confusion (phonétiquement);</w:t>
      </w:r>
    </w:p>
    <w:p w:rsidR="00797CB8" w:rsidRPr="00745FBE" w:rsidRDefault="005F7385" w:rsidP="005F7385">
      <w:pPr>
        <w:spacing w:before="120"/>
        <w:ind w:left="567"/>
        <w:rPr>
          <w:highlight w:val="lightGray"/>
          <w:u w:val="single"/>
          <w:lang w:val="fr-CH"/>
        </w:rPr>
      </w:pPr>
      <w:r w:rsidRPr="00745FBE">
        <w:rPr>
          <w:i/>
          <w:highlight w:val="lightGray"/>
          <w:lang w:val="fr-CH"/>
        </w:rPr>
        <w:t>Exemple</w:t>
      </w:r>
      <w:r w:rsidRPr="00745FBE">
        <w:rPr>
          <w:i/>
          <w:strike/>
          <w:highlight w:val="lightGray"/>
          <w:lang w:val="fr-CH"/>
        </w:rPr>
        <w:t xml:space="preserve"> 2</w:t>
      </w:r>
      <w:r w:rsidRPr="00745FBE">
        <w:rPr>
          <w:i/>
          <w:highlight w:val="lightGray"/>
          <w:u w:val="single"/>
          <w:lang w:val="fr-CH"/>
        </w:rPr>
        <w:t>s de dénomination inappropriée</w:t>
      </w:r>
      <w:r w:rsidR="009B26EF">
        <w:rPr>
          <w:highlight w:val="lightGray"/>
          <w:lang w:val="fr-CH"/>
        </w:rPr>
        <w:t> :</w:t>
      </w:r>
      <w:r w:rsidRPr="00745FBE">
        <w:rPr>
          <w:highlight w:val="lightGray"/>
          <w:lang w:val="fr-CH"/>
        </w:rPr>
        <w:t xml:space="preserve"> </w:t>
      </w:r>
      <w:r w:rsidRPr="00745FBE">
        <w:rPr>
          <w:strike/>
          <w:highlight w:val="lightGray"/>
          <w:lang w:val="fr-CH"/>
        </w:rPr>
        <w:t>en japonais et en coréen, il n</w:t>
      </w:r>
      <w:r w:rsidR="009B26EF">
        <w:rPr>
          <w:strike/>
          <w:highlight w:val="lightGray"/>
          <w:lang w:val="fr-CH"/>
        </w:rPr>
        <w:t>’</w:t>
      </w:r>
      <w:r w:rsidRPr="00745FBE">
        <w:rPr>
          <w:strike/>
          <w:highlight w:val="lightGray"/>
          <w:lang w:val="fr-CH"/>
        </w:rPr>
        <w:t>y a pas de différence entre les sons “L” et “R”, ce qui signifie que “Lion” et “Raion” se prononcent de la même façon alors qu</w:t>
      </w:r>
      <w:r w:rsidR="009B26EF">
        <w:rPr>
          <w:strike/>
          <w:highlight w:val="lightGray"/>
          <w:lang w:val="fr-CH"/>
        </w:rPr>
        <w:t>’</w:t>
      </w:r>
      <w:r w:rsidRPr="00745FBE">
        <w:rPr>
          <w:strike/>
          <w:highlight w:val="lightGray"/>
          <w:lang w:val="fr-CH"/>
        </w:rPr>
        <w:t>ils sont bien distincts pour les anglophones</w:t>
      </w:r>
      <w:r w:rsidRPr="00745FBE">
        <w:rPr>
          <w:highlight w:val="lightGray"/>
          <w:lang w:val="fr-CH"/>
        </w:rPr>
        <w:t xml:space="preserve"> </w:t>
      </w:r>
      <w:r w:rsidRPr="00745FBE">
        <w:rPr>
          <w:highlight w:val="lightGray"/>
          <w:u w:val="single"/>
          <w:lang w:val="fr-CH"/>
        </w:rPr>
        <w:t>“Helena” et “Elena”, “Paqou”, “Pacou” et “Pakou”, “Poge” et “Poje” et “Zophia” et “Sophia”.</w:t>
      </w:r>
      <w:r w:rsidRPr="00440663">
        <w:rPr>
          <w:highlight w:val="lightGray"/>
          <w:lang w:val="fr-CH"/>
        </w:rPr>
        <w:t xml:space="preserve"> </w:t>
      </w:r>
      <w:r w:rsidRPr="00745FBE">
        <w:rPr>
          <w:strike/>
          <w:highlight w:val="lightGray"/>
          <w:lang w:val="fr-CH"/>
        </w:rPr>
        <w:t>peuvent prêter à confusion phonétiquement, mais pas visuellement;</w:t>
      </w:r>
    </w:p>
    <w:p w:rsidR="00797CB8" w:rsidRPr="00745FBE" w:rsidRDefault="00797CB8" w:rsidP="000C3B11">
      <w:pPr>
        <w:rPr>
          <w:highlight w:val="lightGray"/>
          <w:lang w:val="fr-CH" w:eastAsia="ja-JP"/>
        </w:rPr>
      </w:pPr>
    </w:p>
    <w:p w:rsidR="00797CB8" w:rsidRPr="00745FBE" w:rsidRDefault="000C3B11" w:rsidP="005F7385">
      <w:pPr>
        <w:keepNext/>
        <w:keepLines/>
        <w:tabs>
          <w:tab w:val="right" w:pos="1022"/>
        </w:tabs>
        <w:ind w:left="1163" w:hanging="1163"/>
        <w:rPr>
          <w:highlight w:val="lightGray"/>
          <w:u w:val="single"/>
          <w:lang w:val="fr-CH"/>
        </w:rPr>
      </w:pPr>
      <w:r w:rsidRPr="00745FBE">
        <w:rPr>
          <w:highlight w:val="lightGray"/>
          <w:lang w:val="fr-CH"/>
        </w:rPr>
        <w:tab/>
      </w:r>
      <w:r w:rsidR="005F7385" w:rsidRPr="00745FBE">
        <w:rPr>
          <w:highlight w:val="lightGray"/>
          <w:u w:val="single"/>
          <w:lang w:val="fr-CH"/>
        </w:rPr>
        <w:t>ii)</w:t>
      </w:r>
      <w:r w:rsidR="005F7385" w:rsidRPr="00745FBE">
        <w:rPr>
          <w:highlight w:val="lightGray"/>
          <w:u w:val="single"/>
          <w:lang w:val="fr-CH"/>
        </w:rPr>
        <w:tab/>
        <w:t>la différence d</w:t>
      </w:r>
      <w:r w:rsidR="009B26EF">
        <w:rPr>
          <w:highlight w:val="lightGray"/>
          <w:u w:val="single"/>
          <w:lang w:val="fr-CH"/>
        </w:rPr>
        <w:t>’</w:t>
      </w:r>
      <w:r w:rsidR="005F7385" w:rsidRPr="00745FBE">
        <w:rPr>
          <w:highlight w:val="lightGray"/>
          <w:u w:val="single"/>
          <w:lang w:val="fr-CH"/>
        </w:rPr>
        <w:t>une lettre permet d</w:t>
      </w:r>
      <w:r w:rsidR="009B26EF">
        <w:rPr>
          <w:highlight w:val="lightGray"/>
          <w:u w:val="single"/>
          <w:lang w:val="fr-CH"/>
        </w:rPr>
        <w:t>’</w:t>
      </w:r>
      <w:r w:rsidR="005F7385" w:rsidRPr="00745FBE">
        <w:rPr>
          <w:highlight w:val="lightGray"/>
          <w:u w:val="single"/>
          <w:lang w:val="fr-CH"/>
        </w:rPr>
        <w:t>obtenir une différence de sens évidente</w:t>
      </w:r>
    </w:p>
    <w:p w:rsidR="00797CB8" w:rsidRPr="00745FBE" w:rsidRDefault="00797CB8" w:rsidP="000C3B11">
      <w:pPr>
        <w:keepNext/>
        <w:keepLines/>
        <w:tabs>
          <w:tab w:val="right" w:pos="1022"/>
        </w:tabs>
        <w:ind w:left="1163" w:hanging="1163"/>
        <w:rPr>
          <w:sz w:val="14"/>
          <w:highlight w:val="lightGray"/>
          <w:u w:val="single"/>
          <w:lang w:val="fr-CH"/>
        </w:rPr>
      </w:pPr>
    </w:p>
    <w:p w:rsidR="009B26EF" w:rsidRDefault="000C3B11" w:rsidP="005F7385">
      <w:pPr>
        <w:rPr>
          <w:highlight w:val="lightGray"/>
          <w:u w:val="single"/>
          <w:lang w:val="fr-CH" w:eastAsia="ja-JP"/>
        </w:rPr>
      </w:pPr>
      <w:r w:rsidRPr="00745FBE">
        <w:rPr>
          <w:highlight w:val="lightGray"/>
          <w:u w:val="single"/>
          <w:lang w:val="fr-CH" w:eastAsia="ja-JP"/>
        </w:rPr>
        <w:tab/>
      </w:r>
      <w:r w:rsidR="005F7385" w:rsidRPr="00745FBE">
        <w:rPr>
          <w:i/>
          <w:highlight w:val="lightGray"/>
          <w:u w:val="single"/>
          <w:lang w:val="fr-CH" w:eastAsia="ja-JP"/>
        </w:rPr>
        <w:t>Exem</w:t>
      </w:r>
      <w:r w:rsidR="001F73D6" w:rsidRPr="00745FBE">
        <w:rPr>
          <w:i/>
          <w:highlight w:val="lightGray"/>
          <w:u w:val="single"/>
          <w:lang w:val="fr-CH" w:eastAsia="ja-JP"/>
        </w:rPr>
        <w:t>ples de dénomination appropriée</w:t>
      </w:r>
      <w:r w:rsidR="009B26EF">
        <w:rPr>
          <w:i/>
          <w:highlight w:val="lightGray"/>
          <w:u w:val="single"/>
          <w:lang w:val="fr-CH" w:eastAsia="ja-JP"/>
        </w:rPr>
        <w:t> :</w:t>
      </w:r>
      <w:r w:rsidR="005F7385" w:rsidRPr="00745FBE">
        <w:rPr>
          <w:highlight w:val="lightGray"/>
          <w:u w:val="single"/>
          <w:lang w:val="fr-CH" w:eastAsia="ja-JP"/>
        </w:rPr>
        <w:t xml:space="preserve"> “Power” et “Poker”, “Angle” et “Ankle”;</w:t>
      </w:r>
    </w:p>
    <w:p w:rsidR="00797CB8" w:rsidRPr="00745FBE" w:rsidRDefault="00797CB8" w:rsidP="000C3B11">
      <w:pPr>
        <w:keepNext/>
        <w:keepLines/>
        <w:tabs>
          <w:tab w:val="right" w:pos="1022"/>
        </w:tabs>
        <w:ind w:left="1306" w:hanging="1306"/>
        <w:rPr>
          <w:highlight w:val="lightGray"/>
          <w:u w:val="single"/>
          <w:lang w:val="fr-CH"/>
        </w:rPr>
      </w:pPr>
    </w:p>
    <w:p w:rsidR="009B26EF" w:rsidRDefault="000C3B11" w:rsidP="005F7385">
      <w:pPr>
        <w:keepNext/>
        <w:keepLines/>
        <w:tabs>
          <w:tab w:val="right" w:pos="1022"/>
        </w:tabs>
        <w:ind w:left="1163" w:hanging="1163"/>
        <w:rPr>
          <w:highlight w:val="lightGray"/>
          <w:u w:val="single"/>
          <w:lang w:val="fr-CH" w:eastAsia="ja-JP"/>
        </w:rPr>
      </w:pPr>
      <w:r w:rsidRPr="00745FBE">
        <w:rPr>
          <w:highlight w:val="lightGray"/>
          <w:u w:val="single"/>
          <w:lang w:val="fr-CH"/>
        </w:rPr>
        <w:tab/>
      </w:r>
      <w:r w:rsidR="005F7385" w:rsidRPr="00745FBE">
        <w:rPr>
          <w:highlight w:val="lightGray"/>
          <w:u w:val="single"/>
          <w:lang w:val="fr-CH"/>
        </w:rPr>
        <w:t>iii)</w:t>
      </w:r>
      <w:r w:rsidR="005F7385" w:rsidRPr="00745FBE">
        <w:rPr>
          <w:highlight w:val="lightGray"/>
          <w:u w:val="single"/>
          <w:lang w:val="fr-CH"/>
        </w:rPr>
        <w:tab/>
      </w:r>
      <w:r w:rsidR="000710E3" w:rsidRPr="00745FBE">
        <w:rPr>
          <w:highlight w:val="lightGray"/>
          <w:u w:val="single"/>
          <w:lang w:val="fr-CH"/>
        </w:rPr>
        <w:t xml:space="preserve">la </w:t>
      </w:r>
      <w:r w:rsidR="005F7385" w:rsidRPr="00745FBE">
        <w:rPr>
          <w:highlight w:val="lightGray"/>
          <w:u w:val="single"/>
          <w:lang w:val="fr-CH"/>
        </w:rPr>
        <w:t>dénomination</w:t>
      </w:r>
      <w:r w:rsidR="000710E3" w:rsidRPr="00745FBE">
        <w:rPr>
          <w:highlight w:val="lightGray"/>
          <w:u w:val="single"/>
          <w:lang w:val="fr-CH"/>
        </w:rPr>
        <w:t xml:space="preserve"> se compose</w:t>
      </w:r>
      <w:r w:rsidR="005F7385" w:rsidRPr="00745FBE">
        <w:rPr>
          <w:highlight w:val="lightGray"/>
          <w:u w:val="single"/>
          <w:lang w:val="fr-CH"/>
        </w:rPr>
        <w:t xml:space="preserve"> uniquement de lettres qui ne forment pas de mot</w:t>
      </w:r>
    </w:p>
    <w:p w:rsidR="009B26EF" w:rsidRDefault="009B26EF" w:rsidP="000C3B11">
      <w:pPr>
        <w:rPr>
          <w:highlight w:val="lightGray"/>
          <w:u w:val="single"/>
          <w:lang w:val="fr-CH" w:eastAsia="ja-JP"/>
        </w:rPr>
      </w:pPr>
    </w:p>
    <w:p w:rsidR="00797CB8" w:rsidRPr="00745FBE" w:rsidRDefault="000C3B11" w:rsidP="005F7385">
      <w:pPr>
        <w:rPr>
          <w:u w:val="single"/>
          <w:lang w:val="fr-CH" w:eastAsia="ja-JP"/>
        </w:rPr>
      </w:pPr>
      <w:r w:rsidRPr="00745FBE">
        <w:rPr>
          <w:highlight w:val="lightGray"/>
          <w:u w:val="single"/>
          <w:lang w:val="fr-CH" w:eastAsia="ja-JP"/>
        </w:rPr>
        <w:tab/>
      </w:r>
      <w:r w:rsidR="005F7385" w:rsidRPr="00745FBE">
        <w:rPr>
          <w:i/>
          <w:highlight w:val="lightGray"/>
          <w:u w:val="single"/>
          <w:lang w:val="fr-CH" w:eastAsia="ja-JP"/>
        </w:rPr>
        <w:t>Exemples de dénomination appropriée</w:t>
      </w:r>
      <w:r w:rsidR="009B26EF">
        <w:rPr>
          <w:highlight w:val="lightGray"/>
          <w:u w:val="single"/>
          <w:lang w:val="fr-CH" w:eastAsia="ja-JP"/>
        </w:rPr>
        <w:t> :</w:t>
      </w:r>
      <w:r w:rsidR="005F7385" w:rsidRPr="00745FBE">
        <w:rPr>
          <w:highlight w:val="lightGray"/>
          <w:u w:val="single"/>
          <w:lang w:val="fr-CH" w:eastAsia="ja-JP"/>
        </w:rPr>
        <w:t xml:space="preserve"> “ABCD” et “ABCE”;</w:t>
      </w:r>
    </w:p>
    <w:p w:rsidR="00797CB8" w:rsidRPr="00745FBE" w:rsidRDefault="00797CB8" w:rsidP="000C3B11">
      <w:pPr>
        <w:rPr>
          <w:lang w:val="fr-CH" w:eastAsia="ja-JP"/>
        </w:rPr>
      </w:pPr>
    </w:p>
    <w:p w:rsidR="009B26EF" w:rsidRDefault="000C3B11" w:rsidP="005F7385">
      <w:pPr>
        <w:keepNext/>
        <w:keepLines/>
        <w:tabs>
          <w:tab w:val="right" w:pos="1021"/>
        </w:tabs>
        <w:ind w:left="1163" w:hanging="1163"/>
        <w:rPr>
          <w:lang w:val="fr-CH"/>
        </w:rPr>
      </w:pPr>
      <w:r w:rsidRPr="00745FBE">
        <w:rPr>
          <w:lang w:val="fr-CH"/>
        </w:rPr>
        <w:tab/>
      </w:r>
      <w:r w:rsidR="001F73D6" w:rsidRPr="00BF403C">
        <w:rPr>
          <w:strike/>
          <w:highlight w:val="lightGray"/>
          <w:u w:val="single"/>
          <w:lang w:val="fr-CH"/>
        </w:rPr>
        <w:t>ii)</w:t>
      </w:r>
      <w:r w:rsidR="005F7385" w:rsidRPr="00745FBE">
        <w:rPr>
          <w:highlight w:val="lightGray"/>
          <w:u w:val="single"/>
          <w:lang w:val="fr-CH"/>
        </w:rPr>
        <w:t>iv)</w:t>
      </w:r>
      <w:r w:rsidR="005F7385" w:rsidRPr="00745FBE">
        <w:rPr>
          <w:lang w:val="fr-CH"/>
        </w:rPr>
        <w:tab/>
      </w:r>
      <w:r w:rsidR="00745FBE" w:rsidRPr="00745FBE">
        <w:rPr>
          <w:lang w:val="fr-CH"/>
        </w:rPr>
        <w:t xml:space="preserve">la </w:t>
      </w:r>
      <w:r w:rsidR="00832C4B" w:rsidRPr="00745FBE">
        <w:rPr>
          <w:lang w:val="fr-CH"/>
        </w:rPr>
        <w:t>dénomination</w:t>
      </w:r>
      <w:r w:rsidR="00745FBE" w:rsidRPr="00745FBE">
        <w:rPr>
          <w:lang w:val="fr-CH"/>
        </w:rPr>
        <w:t xml:space="preserve"> se </w:t>
      </w:r>
      <w:r w:rsidR="005F7385" w:rsidRPr="00745FBE">
        <w:rPr>
          <w:lang w:val="fr-CH"/>
        </w:rPr>
        <w:t>compo</w:t>
      </w:r>
      <w:r w:rsidR="00745FBE" w:rsidRPr="00745FBE">
        <w:rPr>
          <w:lang w:val="fr-CH"/>
        </w:rPr>
        <w:t xml:space="preserve">se </w:t>
      </w:r>
      <w:r w:rsidR="005F7385" w:rsidRPr="00745FBE">
        <w:rPr>
          <w:lang w:val="fr-CH"/>
        </w:rPr>
        <w:t>d</w:t>
      </w:r>
      <w:r w:rsidR="009B26EF">
        <w:rPr>
          <w:lang w:val="fr-CH"/>
        </w:rPr>
        <w:t>’</w:t>
      </w:r>
      <w:r w:rsidR="005F7385" w:rsidRPr="00745FBE">
        <w:rPr>
          <w:lang w:val="fr-CH"/>
        </w:rPr>
        <w:t>une combinaison de lettres et de chiffres;</w:t>
      </w:r>
    </w:p>
    <w:p w:rsidR="009B26EF" w:rsidRDefault="009B26EF" w:rsidP="000C3B11">
      <w:pPr>
        <w:rPr>
          <w:lang w:val="fr-CH" w:eastAsia="ja-JP"/>
        </w:rPr>
      </w:pPr>
    </w:p>
    <w:p w:rsidR="00797CB8" w:rsidRPr="00745FBE" w:rsidRDefault="000C3B11" w:rsidP="005F7385">
      <w:pPr>
        <w:rPr>
          <w:highlight w:val="yellow"/>
          <w:u w:val="single"/>
          <w:shd w:val="pct15" w:color="auto" w:fill="FFFFFF"/>
          <w:vertAlign w:val="superscript"/>
          <w:lang w:val="fr-CH"/>
        </w:rPr>
      </w:pPr>
      <w:r w:rsidRPr="00745FBE">
        <w:rPr>
          <w:lang w:val="fr-CH" w:eastAsia="ja-JP"/>
        </w:rPr>
        <w:tab/>
      </w:r>
      <w:r w:rsidR="005F7385" w:rsidRPr="00745FBE">
        <w:rPr>
          <w:i/>
          <w:highlight w:val="lightGray"/>
          <w:u w:val="single"/>
          <w:lang w:val="fr-CH" w:eastAsia="ja-JP"/>
        </w:rPr>
        <w:t>Exemples de dénomination appropriée</w:t>
      </w:r>
      <w:r w:rsidR="009B26EF">
        <w:rPr>
          <w:highlight w:val="lightGray"/>
          <w:u w:val="single"/>
          <w:lang w:val="fr-CH" w:eastAsia="ja-JP"/>
        </w:rPr>
        <w:t> :</w:t>
      </w:r>
      <w:r w:rsidR="005F7385" w:rsidRPr="00745FBE">
        <w:rPr>
          <w:highlight w:val="lightGray"/>
          <w:u w:val="single"/>
          <w:lang w:val="fr-CH" w:eastAsia="ja-JP"/>
        </w:rPr>
        <w:t xml:space="preserve"> “ABC678” et “ABC688”, “PremP009” et “PremP109”;</w:t>
      </w:r>
    </w:p>
    <w:p w:rsidR="00797CB8" w:rsidRPr="00745FBE" w:rsidRDefault="00797CB8" w:rsidP="000C3B11">
      <w:pPr>
        <w:tabs>
          <w:tab w:val="right" w:pos="1134"/>
          <w:tab w:val="left" w:pos="1418"/>
        </w:tabs>
        <w:rPr>
          <w:lang w:val="fr-CH"/>
        </w:rPr>
      </w:pPr>
    </w:p>
    <w:p w:rsidR="009B26EF" w:rsidRDefault="000C3B11" w:rsidP="005F7385">
      <w:pPr>
        <w:tabs>
          <w:tab w:val="right" w:pos="1021"/>
        </w:tabs>
        <w:ind w:left="1163" w:hanging="1163"/>
        <w:rPr>
          <w:highlight w:val="yellow"/>
          <w:lang w:val="fr-CH"/>
        </w:rPr>
      </w:pPr>
      <w:r w:rsidRPr="00745FBE">
        <w:rPr>
          <w:lang w:val="fr-CH"/>
        </w:rPr>
        <w:tab/>
      </w:r>
      <w:r w:rsidR="001F73D6" w:rsidRPr="00745FBE">
        <w:rPr>
          <w:strike/>
          <w:highlight w:val="lightGray"/>
          <w:lang w:val="fr-CH"/>
        </w:rPr>
        <w:t>iii)</w:t>
      </w:r>
      <w:r w:rsidR="005F7385" w:rsidRPr="00745FBE">
        <w:rPr>
          <w:highlight w:val="lightGray"/>
          <w:u w:val="single"/>
          <w:lang w:val="fr-CH"/>
        </w:rPr>
        <w:t>v)</w:t>
      </w:r>
      <w:r w:rsidR="005F7385" w:rsidRPr="00745FBE">
        <w:rPr>
          <w:lang w:val="fr-CH"/>
        </w:rPr>
        <w:tab/>
      </w:r>
      <w:r w:rsidR="00745FBE" w:rsidRPr="00745FBE">
        <w:rPr>
          <w:lang w:val="fr-CH"/>
        </w:rPr>
        <w:t>la dénomination se compose</w:t>
      </w:r>
      <w:r w:rsidR="00571F60" w:rsidRPr="00745FBE">
        <w:rPr>
          <w:lang w:val="fr-CH"/>
        </w:rPr>
        <w:t xml:space="preserve"> </w:t>
      </w:r>
      <w:r w:rsidR="005F7385" w:rsidRPr="00745FBE">
        <w:rPr>
          <w:lang w:val="fr-CH"/>
        </w:rPr>
        <w:t>“uniquement de chiffres”.</w:t>
      </w:r>
    </w:p>
    <w:p w:rsidR="009B26EF" w:rsidRDefault="009B26EF" w:rsidP="000C3B11">
      <w:pPr>
        <w:rPr>
          <w:lang w:val="fr-CH" w:eastAsia="ja-JP"/>
        </w:rPr>
      </w:pPr>
    </w:p>
    <w:p w:rsidR="00797CB8" w:rsidRPr="00745FBE" w:rsidRDefault="000C3B11" w:rsidP="005F7385">
      <w:pPr>
        <w:rPr>
          <w:u w:val="single"/>
          <w:lang w:val="fr-CH" w:eastAsia="ja-JP"/>
        </w:rPr>
      </w:pPr>
      <w:r w:rsidRPr="00745FBE">
        <w:rPr>
          <w:i/>
          <w:lang w:val="fr-CH" w:eastAsia="ja-JP"/>
        </w:rPr>
        <w:tab/>
      </w:r>
      <w:r w:rsidR="005F7385" w:rsidRPr="00745FBE">
        <w:rPr>
          <w:i/>
          <w:highlight w:val="lightGray"/>
          <w:u w:val="single"/>
          <w:lang w:val="fr-CH" w:eastAsia="ja-JP"/>
        </w:rPr>
        <w:t>Exemples de dénomination appropriée</w:t>
      </w:r>
      <w:r w:rsidR="009B26EF">
        <w:rPr>
          <w:highlight w:val="lightGray"/>
          <w:u w:val="single"/>
          <w:lang w:val="fr-CH" w:eastAsia="ja-JP"/>
        </w:rPr>
        <w:t> :</w:t>
      </w:r>
      <w:r w:rsidR="005F7385" w:rsidRPr="00745FBE">
        <w:rPr>
          <w:highlight w:val="lightGray"/>
          <w:u w:val="single"/>
          <w:lang w:val="fr-CH" w:eastAsia="ja-JP"/>
        </w:rPr>
        <w:t xml:space="preserve"> “411” et “412”.</w:t>
      </w:r>
    </w:p>
    <w:p w:rsidR="00797CB8" w:rsidRPr="00745FBE" w:rsidRDefault="00797CB8" w:rsidP="00893C7D">
      <w:pPr>
        <w:rPr>
          <w:lang w:val="fr-CH" w:eastAsia="ja-JP"/>
        </w:rPr>
      </w:pPr>
    </w:p>
    <w:p w:rsidR="00797CB8" w:rsidRPr="00745FBE" w:rsidRDefault="00893C7D" w:rsidP="005F7385">
      <w:pPr>
        <w:rPr>
          <w:lang w:val="fr-CH"/>
        </w:rPr>
      </w:pPr>
      <w:r w:rsidRPr="00745FBE">
        <w:rPr>
          <w:lang w:val="fr-CH"/>
        </w:rPr>
        <w:tab/>
      </w:r>
      <w:r w:rsidR="005F7385" w:rsidRPr="00745FBE">
        <w:rPr>
          <w:lang w:val="fr-CH"/>
        </w:rPr>
        <w:t>b)</w:t>
      </w:r>
      <w:r w:rsidR="005F7385" w:rsidRPr="00745FBE">
        <w:rPr>
          <w:lang w:val="fr-CH"/>
        </w:rPr>
        <w:tab/>
        <w:t>L</w:t>
      </w:r>
      <w:r w:rsidR="009B26EF">
        <w:rPr>
          <w:lang w:val="fr-CH"/>
        </w:rPr>
        <w:t>’</w:t>
      </w:r>
      <w:r w:rsidR="005F7385" w:rsidRPr="00745FBE">
        <w:rPr>
          <w:lang w:val="fr-CH"/>
        </w:rPr>
        <w:t>utilisation d</w:t>
      </w:r>
      <w:r w:rsidR="009B26EF">
        <w:rPr>
          <w:lang w:val="fr-CH"/>
        </w:rPr>
        <w:t>’</w:t>
      </w:r>
      <w:r w:rsidR="005F7385" w:rsidRPr="00745FBE">
        <w:rPr>
          <w:lang w:val="fr-CH"/>
        </w:rPr>
        <w:t>une dénomination analogue à celle utilisée pour une variété d</w:t>
      </w:r>
      <w:r w:rsidR="009B26EF">
        <w:rPr>
          <w:lang w:val="fr-CH"/>
        </w:rPr>
        <w:t>’</w:t>
      </w:r>
      <w:r w:rsidR="005F7385" w:rsidRPr="00745FBE">
        <w:rPr>
          <w:lang w:val="fr-CH"/>
        </w:rPr>
        <w:t>une autre espèce ou d</w:t>
      </w:r>
      <w:r w:rsidR="009B26EF">
        <w:rPr>
          <w:lang w:val="fr-CH"/>
        </w:rPr>
        <w:t>’</w:t>
      </w:r>
      <w:r w:rsidR="005F7385" w:rsidRPr="00745FBE">
        <w:rPr>
          <w:lang w:val="fr-CH"/>
        </w:rPr>
        <w:t xml:space="preserve">un autre genre dans la même classe de </w:t>
      </w:r>
      <w:r w:rsidR="00745FBE" w:rsidRPr="00745FBE">
        <w:rPr>
          <w:lang w:val="fr-CH"/>
        </w:rPr>
        <w:t xml:space="preserve">dénomination (voir la </w:t>
      </w:r>
      <w:r w:rsidR="009B26EF" w:rsidRPr="00745FBE">
        <w:rPr>
          <w:lang w:val="fr-CH"/>
        </w:rPr>
        <w:t>section</w:t>
      </w:r>
      <w:r w:rsidR="009B26EF">
        <w:rPr>
          <w:lang w:val="fr-CH"/>
        </w:rPr>
        <w:t> </w:t>
      </w:r>
      <w:r w:rsidR="009B26EF" w:rsidRPr="00745FBE">
        <w:rPr>
          <w:lang w:val="fr-CH"/>
        </w:rPr>
        <w:t>2</w:t>
      </w:r>
      <w:r w:rsidR="00745FBE" w:rsidRPr="00745FBE">
        <w:rPr>
          <w:lang w:val="fr-CH"/>
        </w:rPr>
        <w:t>.</w:t>
      </w:r>
      <w:r w:rsidR="005F7385" w:rsidRPr="00745FBE">
        <w:rPr>
          <w:lang w:val="fr-CH"/>
        </w:rPr>
        <w:t>5 ci</w:t>
      </w:r>
      <w:r w:rsidR="009B26EF">
        <w:rPr>
          <w:lang w:val="fr-CH"/>
        </w:rPr>
        <w:t>-</w:t>
      </w:r>
      <w:r w:rsidR="005F7385" w:rsidRPr="00745FBE">
        <w:rPr>
          <w:lang w:val="fr-CH"/>
        </w:rPr>
        <w:t>dessus) peut prêter à confusion.</w:t>
      </w:r>
    </w:p>
    <w:p w:rsidR="00797CB8" w:rsidRPr="00745FBE" w:rsidRDefault="00797CB8" w:rsidP="00A207A9">
      <w:pPr>
        <w:rPr>
          <w:lang w:val="fr-CH"/>
        </w:rPr>
      </w:pPr>
    </w:p>
    <w:p w:rsidR="009B26EF" w:rsidRDefault="005F7385" w:rsidP="005F7385">
      <w:pPr>
        <w:spacing w:line="240" w:lineRule="atLeast"/>
        <w:ind w:firstLine="567"/>
        <w:rPr>
          <w:lang w:val="fr-CH"/>
        </w:rPr>
      </w:pPr>
      <w:r w:rsidRPr="00745FBE">
        <w:rPr>
          <w:lang w:val="fr-CH"/>
        </w:rPr>
        <w:t>c)</w:t>
      </w:r>
      <w:r w:rsidRPr="00745FBE">
        <w:rPr>
          <w:lang w:val="fr-CH"/>
        </w:rPr>
        <w:tab/>
        <w:t>À des fins de clarté et pour éviter toute incertitude en ce qui concerne les dénominations variétales, la réutilisation de dénominations n</w:t>
      </w:r>
      <w:r w:rsidR="009B26EF">
        <w:rPr>
          <w:lang w:val="fr-CH"/>
        </w:rPr>
        <w:t>’</w:t>
      </w:r>
      <w:r w:rsidRPr="00745FBE">
        <w:rPr>
          <w:lang w:val="fr-CH"/>
        </w:rPr>
        <w:t>est en général pas encouragée, étant donné que cette réutilisation, même lorsqu</w:t>
      </w:r>
      <w:r w:rsidR="009B26EF">
        <w:rPr>
          <w:lang w:val="fr-CH"/>
        </w:rPr>
        <w:t>’</w:t>
      </w:r>
      <w:r w:rsidRPr="00745FBE">
        <w:rPr>
          <w:lang w:val="fr-CH"/>
        </w:rPr>
        <w:t>elle concerne une variété qui n</w:t>
      </w:r>
      <w:r w:rsidR="009B26EF">
        <w:rPr>
          <w:lang w:val="fr-CH"/>
        </w:rPr>
        <w:t>’</w:t>
      </w:r>
      <w:r w:rsidRPr="00745FBE">
        <w:rPr>
          <w:lang w:val="fr-CH"/>
        </w:rPr>
        <w:t xml:space="preserve">existe plus (voir la </w:t>
      </w:r>
      <w:r w:rsidR="009B26EF" w:rsidRPr="00745FBE">
        <w:rPr>
          <w:lang w:val="fr-CH"/>
        </w:rPr>
        <w:t>section</w:t>
      </w:r>
      <w:r w:rsidR="009B26EF">
        <w:rPr>
          <w:lang w:val="fr-CH"/>
        </w:rPr>
        <w:t> </w:t>
      </w:r>
      <w:r w:rsidR="009B26EF" w:rsidRPr="00745FBE">
        <w:rPr>
          <w:lang w:val="fr-CH"/>
        </w:rPr>
        <w:t>2</w:t>
      </w:r>
      <w:r w:rsidRPr="00745FBE">
        <w:rPr>
          <w:lang w:val="fr-CH"/>
        </w:rPr>
        <w:t>.4.2), peut prêter à confusi</w:t>
      </w:r>
      <w:r w:rsidR="00440663" w:rsidRPr="00745FBE">
        <w:rPr>
          <w:lang w:val="fr-CH"/>
        </w:rPr>
        <w:t>on</w:t>
      </w:r>
      <w:r w:rsidR="00440663">
        <w:rPr>
          <w:lang w:val="fr-CH"/>
        </w:rPr>
        <w:t xml:space="preserve">.  </w:t>
      </w:r>
      <w:r w:rsidR="00440663" w:rsidRPr="00745FBE">
        <w:rPr>
          <w:lang w:val="fr-CH"/>
        </w:rPr>
        <w:t>Da</w:t>
      </w:r>
      <w:r w:rsidRPr="00745FBE">
        <w:rPr>
          <w:lang w:val="fr-CH"/>
        </w:rPr>
        <w:t>ns certains cas précis, on peut tolérer une exception, par exemple lorsque la variété n</w:t>
      </w:r>
      <w:r w:rsidR="009B26EF">
        <w:rPr>
          <w:lang w:val="fr-CH"/>
        </w:rPr>
        <w:t>’</w:t>
      </w:r>
      <w:r w:rsidRPr="00745FBE">
        <w:rPr>
          <w:lang w:val="fr-CH"/>
        </w:rPr>
        <w:t>a jamais été commercialisée ou qu</w:t>
      </w:r>
      <w:r w:rsidR="009B26EF">
        <w:rPr>
          <w:lang w:val="fr-CH"/>
        </w:rPr>
        <w:t>’</w:t>
      </w:r>
      <w:r w:rsidRPr="00745FBE">
        <w:rPr>
          <w:lang w:val="fr-CH"/>
        </w:rPr>
        <w:t>elle n</w:t>
      </w:r>
      <w:r w:rsidR="009B26EF">
        <w:rPr>
          <w:lang w:val="fr-CH"/>
        </w:rPr>
        <w:t>’</w:t>
      </w:r>
      <w:r w:rsidRPr="00745FBE">
        <w:rPr>
          <w:lang w:val="fr-CH"/>
        </w:rPr>
        <w:t>a été commercialisée que de manière restreinte pendant un délai très cou</w:t>
      </w:r>
      <w:r w:rsidR="00440663" w:rsidRPr="00745FBE">
        <w:rPr>
          <w:lang w:val="fr-CH"/>
        </w:rPr>
        <w:t>rt</w:t>
      </w:r>
      <w:r w:rsidR="00440663">
        <w:rPr>
          <w:lang w:val="fr-CH"/>
        </w:rPr>
        <w:t xml:space="preserve">.  </w:t>
      </w:r>
      <w:r w:rsidR="00440663" w:rsidRPr="00745FBE">
        <w:rPr>
          <w:lang w:val="fr-CH"/>
        </w:rPr>
        <w:t>Da</w:t>
      </w:r>
      <w:r w:rsidRPr="00745FBE">
        <w:rPr>
          <w:lang w:val="fr-CH"/>
        </w:rPr>
        <w:t>ns ce cas, il convient de prévoir un certain laps de temps entre le moment où la variété cesse d</w:t>
      </w:r>
      <w:r w:rsidR="009B26EF">
        <w:rPr>
          <w:lang w:val="fr-CH"/>
        </w:rPr>
        <w:t>’</w:t>
      </w:r>
      <w:r w:rsidRPr="00745FBE">
        <w:rPr>
          <w:lang w:val="fr-CH"/>
        </w:rPr>
        <w:t>être commercialisée et celui où la dénomination est réutilisée pour éviter toute confusion quant à l</w:t>
      </w:r>
      <w:r w:rsidR="009B26EF">
        <w:rPr>
          <w:lang w:val="fr-CH"/>
        </w:rPr>
        <w:t>’</w:t>
      </w:r>
      <w:r w:rsidRPr="00745FBE">
        <w:rPr>
          <w:lang w:val="fr-CH"/>
        </w:rPr>
        <w:t>identité ou aux caractéristiques de la variété.</w:t>
      </w:r>
    </w:p>
    <w:p w:rsidR="00797CB8" w:rsidRPr="00745FBE" w:rsidRDefault="00797CB8" w:rsidP="00A207A9">
      <w:pPr>
        <w:spacing w:line="240" w:lineRule="atLeast"/>
        <w:ind w:firstLine="567"/>
        <w:rPr>
          <w:lang w:val="fr-CH"/>
        </w:rPr>
      </w:pPr>
    </w:p>
    <w:p w:rsidR="00797CB8" w:rsidRPr="00745FBE" w:rsidRDefault="00893C7D" w:rsidP="00A24E0F">
      <w:pPr>
        <w:pStyle w:val="Heading4"/>
        <w:rPr>
          <w:lang w:val="fr-CH"/>
        </w:rPr>
      </w:pPr>
      <w:bookmarkStart w:id="19" w:name="_Toc35937355"/>
      <w:r w:rsidRPr="00745FBE">
        <w:rPr>
          <w:lang w:val="fr-CH"/>
        </w:rPr>
        <w:t>2.3.4</w:t>
      </w:r>
      <w:r w:rsidRPr="00745FBE">
        <w:rPr>
          <w:lang w:val="fr-CH"/>
        </w:rPr>
        <w:tab/>
      </w:r>
      <w:r w:rsidR="005A32A4" w:rsidRPr="00745FBE">
        <w:rPr>
          <w:lang w:val="fr-CH"/>
        </w:rPr>
        <w:t>Identité de l</w:t>
      </w:r>
      <w:r w:rsidR="009B26EF">
        <w:rPr>
          <w:lang w:val="fr-CH"/>
        </w:rPr>
        <w:t>’</w:t>
      </w:r>
      <w:r w:rsidR="005A32A4" w:rsidRPr="00745FBE">
        <w:rPr>
          <w:lang w:val="fr-CH"/>
        </w:rPr>
        <w:t>obtenteur</w:t>
      </w:r>
      <w:bookmarkEnd w:id="19"/>
    </w:p>
    <w:p w:rsidR="009B26EF" w:rsidRDefault="009B26EF" w:rsidP="0081352E">
      <w:pPr>
        <w:pStyle w:val="ListParagraph"/>
        <w:tabs>
          <w:tab w:val="left" w:pos="853"/>
        </w:tabs>
        <w:ind w:left="0" w:firstLine="357"/>
        <w:rPr>
          <w:lang w:val="fr-CH" w:eastAsia="ja-JP"/>
        </w:rPr>
      </w:pPr>
    </w:p>
    <w:p w:rsidR="00797CB8" w:rsidRPr="00745FBE" w:rsidRDefault="0081352E" w:rsidP="0081352E">
      <w:pPr>
        <w:pStyle w:val="ListParagraph"/>
        <w:tabs>
          <w:tab w:val="left" w:pos="853"/>
        </w:tabs>
        <w:ind w:left="0" w:firstLine="357"/>
        <w:rPr>
          <w:lang w:val="fr-CH" w:eastAsia="ja-JP"/>
        </w:rPr>
      </w:pPr>
      <w:r w:rsidRPr="00745FBE">
        <w:rPr>
          <w:highlight w:val="lightGray"/>
          <w:u w:val="single"/>
          <w:lang w:val="fr-CH" w:eastAsia="ja-JP"/>
        </w:rPr>
        <w:t>a)</w:t>
      </w:r>
      <w:r w:rsidRPr="00745FBE">
        <w:rPr>
          <w:lang w:val="fr-CH" w:eastAsia="ja-JP"/>
        </w:rPr>
        <w:tab/>
      </w:r>
      <w:r w:rsidR="005A32A4" w:rsidRPr="00745FBE">
        <w:rPr>
          <w:lang w:val="fr-CH" w:eastAsia="ja-JP"/>
        </w:rPr>
        <w:t>L</w:t>
      </w:r>
      <w:r w:rsidR="005A32A4" w:rsidRPr="00745FBE">
        <w:rPr>
          <w:lang w:val="fr-CH"/>
        </w:rPr>
        <w:t>a dénomination variétale ne doit pas induire en erreur, ni prêter à confusion quant à l</w:t>
      </w:r>
      <w:r w:rsidR="009B26EF">
        <w:rPr>
          <w:lang w:val="fr-CH"/>
        </w:rPr>
        <w:t>’</w:t>
      </w:r>
      <w:r w:rsidR="005A32A4" w:rsidRPr="00745FBE">
        <w:rPr>
          <w:lang w:val="fr-CH"/>
        </w:rPr>
        <w:t>identité de l</w:t>
      </w:r>
      <w:r w:rsidR="009B26EF">
        <w:rPr>
          <w:lang w:val="fr-CH"/>
        </w:rPr>
        <w:t>’</w:t>
      </w:r>
      <w:r w:rsidR="005A32A4" w:rsidRPr="00745FBE">
        <w:rPr>
          <w:lang w:val="fr-CH"/>
        </w:rPr>
        <w:t>obtenteur.</w:t>
      </w:r>
    </w:p>
    <w:p w:rsidR="009B26EF" w:rsidRDefault="009B26EF" w:rsidP="0081352E">
      <w:pPr>
        <w:ind w:left="880" w:hanging="567"/>
        <w:rPr>
          <w:lang w:val="fr-CH" w:eastAsia="ja-JP"/>
        </w:rPr>
      </w:pPr>
    </w:p>
    <w:p w:rsidR="00797CB8" w:rsidRPr="00745FBE" w:rsidRDefault="0081352E" w:rsidP="004C5B53">
      <w:pPr>
        <w:pStyle w:val="ListParagraph"/>
        <w:tabs>
          <w:tab w:val="left" w:pos="880"/>
        </w:tabs>
        <w:ind w:left="0" w:firstLine="357"/>
        <w:rPr>
          <w:sz w:val="18"/>
          <w:szCs w:val="18"/>
          <w:highlight w:val="lightGray"/>
          <w:u w:val="single"/>
          <w:lang w:val="fr-CH" w:eastAsia="ja-JP"/>
        </w:rPr>
      </w:pPr>
      <w:r w:rsidRPr="00745FBE">
        <w:rPr>
          <w:highlight w:val="lightGray"/>
          <w:u w:val="single"/>
          <w:lang w:val="fr-CH" w:eastAsia="ja-JP"/>
        </w:rPr>
        <w:t>b)</w:t>
      </w:r>
      <w:r w:rsidRPr="00745FBE">
        <w:rPr>
          <w:highlight w:val="lightGray"/>
          <w:u w:val="single"/>
          <w:lang w:val="fr-CH" w:eastAsia="ja-JP"/>
        </w:rPr>
        <w:tab/>
      </w:r>
      <w:r w:rsidR="004C5B53" w:rsidRPr="00745FBE">
        <w:rPr>
          <w:highlight w:val="lightGray"/>
          <w:u w:val="single"/>
          <w:lang w:val="fr-CH" w:eastAsia="ja-JP"/>
        </w:rPr>
        <w:t>Une formulation, configuration ou combinaison de mots peut être liée à un obtenteur avec l</w:t>
      </w:r>
      <w:r w:rsidR="009B26EF">
        <w:rPr>
          <w:highlight w:val="lightGray"/>
          <w:u w:val="single"/>
          <w:lang w:val="fr-CH" w:eastAsia="ja-JP"/>
        </w:rPr>
        <w:t>’</w:t>
      </w:r>
      <w:r w:rsidR="004C5B53" w:rsidRPr="00745FBE">
        <w:rPr>
          <w:highlight w:val="lightGray"/>
          <w:u w:val="single"/>
          <w:lang w:val="fr-CH" w:eastAsia="ja-JP"/>
        </w:rPr>
        <w:t>usage ou la pratiq</w:t>
      </w:r>
      <w:r w:rsidR="00440663" w:rsidRPr="00745FBE">
        <w:rPr>
          <w:highlight w:val="lightGray"/>
          <w:u w:val="single"/>
          <w:lang w:val="fr-CH" w:eastAsia="ja-JP"/>
        </w:rPr>
        <w:t>ue</w:t>
      </w:r>
      <w:r w:rsidR="00440663">
        <w:rPr>
          <w:highlight w:val="lightGray"/>
          <w:u w:val="single"/>
          <w:lang w:val="fr-CH" w:eastAsia="ja-JP"/>
        </w:rPr>
        <w:t xml:space="preserve">.  </w:t>
      </w:r>
      <w:r w:rsidR="00440663" w:rsidRPr="00745FBE">
        <w:rPr>
          <w:highlight w:val="lightGray"/>
          <w:u w:val="single"/>
          <w:lang w:val="fr-CH" w:eastAsia="ja-JP"/>
        </w:rPr>
        <w:t>Ce</w:t>
      </w:r>
      <w:r w:rsidR="004C5B53" w:rsidRPr="00745FBE">
        <w:rPr>
          <w:highlight w:val="lightGray"/>
          <w:u w:val="single"/>
          <w:lang w:val="fr-CH" w:eastAsia="ja-JP"/>
        </w:rPr>
        <w:t>pendant, pour qu</w:t>
      </w:r>
      <w:r w:rsidR="009B26EF">
        <w:rPr>
          <w:highlight w:val="lightGray"/>
          <w:u w:val="single"/>
          <w:lang w:val="fr-CH" w:eastAsia="ja-JP"/>
        </w:rPr>
        <w:t>’</w:t>
      </w:r>
      <w:r w:rsidR="004C5B53" w:rsidRPr="00745FBE">
        <w:rPr>
          <w:highlight w:val="lightGray"/>
          <w:u w:val="single"/>
          <w:lang w:val="fr-CH" w:eastAsia="ja-JP"/>
        </w:rPr>
        <w:t>une formulation, configuration ou combinaison de mots soit liée à un obtenteur, il conviendrait de l</w:t>
      </w:r>
      <w:r w:rsidR="009B26EF">
        <w:rPr>
          <w:highlight w:val="lightGray"/>
          <w:u w:val="single"/>
          <w:lang w:val="fr-CH" w:eastAsia="ja-JP"/>
        </w:rPr>
        <w:t>’</w:t>
      </w:r>
      <w:r w:rsidR="004C5B53" w:rsidRPr="00745FBE">
        <w:rPr>
          <w:highlight w:val="lightGray"/>
          <w:u w:val="single"/>
          <w:lang w:val="fr-CH" w:eastAsia="ja-JP"/>
        </w:rPr>
        <w:t>accompagner d</w:t>
      </w:r>
      <w:r w:rsidR="009B26EF">
        <w:rPr>
          <w:highlight w:val="lightGray"/>
          <w:u w:val="single"/>
          <w:lang w:val="fr-CH" w:eastAsia="ja-JP"/>
        </w:rPr>
        <w:t>’</w:t>
      </w:r>
      <w:r w:rsidR="004C5B53" w:rsidRPr="00745FBE">
        <w:rPr>
          <w:highlight w:val="lightGray"/>
          <w:u w:val="single"/>
          <w:lang w:val="fr-CH" w:eastAsia="ja-JP"/>
        </w:rPr>
        <w:t>un nom commun, d</w:t>
      </w:r>
      <w:r w:rsidR="009B26EF">
        <w:rPr>
          <w:highlight w:val="lightGray"/>
          <w:u w:val="single"/>
          <w:lang w:val="fr-CH" w:eastAsia="ja-JP"/>
        </w:rPr>
        <w:t>’</w:t>
      </w:r>
      <w:r w:rsidR="004C5B53" w:rsidRPr="00745FBE">
        <w:rPr>
          <w:highlight w:val="lightGray"/>
          <w:u w:val="single"/>
          <w:lang w:val="fr-CH" w:eastAsia="ja-JP"/>
        </w:rPr>
        <w:t>un préfixe ou d</w:t>
      </w:r>
      <w:r w:rsidR="009B26EF">
        <w:rPr>
          <w:highlight w:val="lightGray"/>
          <w:u w:val="single"/>
          <w:lang w:val="fr-CH" w:eastAsia="ja-JP"/>
        </w:rPr>
        <w:t>’</w:t>
      </w:r>
      <w:r w:rsidR="004C5B53" w:rsidRPr="00745FBE">
        <w:rPr>
          <w:highlight w:val="lightGray"/>
          <w:u w:val="single"/>
          <w:lang w:val="fr-CH" w:eastAsia="ja-JP"/>
        </w:rPr>
        <w:t>un suffi</w:t>
      </w:r>
      <w:r w:rsidR="00440663" w:rsidRPr="00745FBE">
        <w:rPr>
          <w:highlight w:val="lightGray"/>
          <w:u w:val="single"/>
          <w:lang w:val="fr-CH" w:eastAsia="ja-JP"/>
        </w:rPr>
        <w:t>xe</w:t>
      </w:r>
      <w:r w:rsidR="00440663">
        <w:rPr>
          <w:highlight w:val="lightGray"/>
          <w:u w:val="single"/>
          <w:lang w:val="fr-CH" w:eastAsia="ja-JP"/>
        </w:rPr>
        <w:t xml:space="preserve">.  </w:t>
      </w:r>
      <w:r w:rsidR="00440663" w:rsidRPr="00745FBE">
        <w:rPr>
          <w:highlight w:val="lightGray"/>
          <w:u w:val="single"/>
          <w:lang w:val="fr-CH" w:eastAsia="ja-JP"/>
        </w:rPr>
        <w:t>Da</w:t>
      </w:r>
      <w:r w:rsidR="004C5B53" w:rsidRPr="00745FBE">
        <w:rPr>
          <w:highlight w:val="lightGray"/>
          <w:u w:val="single"/>
          <w:lang w:val="fr-CH" w:eastAsia="ja-JP"/>
        </w:rPr>
        <w:t>ns ce cas</w:t>
      </w:r>
      <w:r w:rsidR="009B26EF">
        <w:rPr>
          <w:highlight w:val="lightGray"/>
          <w:u w:val="single"/>
          <w:lang w:val="fr-CH" w:eastAsia="ja-JP"/>
        </w:rPr>
        <w:t>-</w:t>
      </w:r>
      <w:r w:rsidR="004C5B53" w:rsidRPr="00745FBE">
        <w:rPr>
          <w:highlight w:val="lightGray"/>
          <w:u w:val="single"/>
          <w:lang w:val="fr-CH" w:eastAsia="ja-JP"/>
        </w:rPr>
        <w:t>là, le service peut considérer que l</w:t>
      </w:r>
      <w:r w:rsidR="009B26EF">
        <w:rPr>
          <w:highlight w:val="lightGray"/>
          <w:u w:val="single"/>
          <w:lang w:val="fr-CH" w:eastAsia="ja-JP"/>
        </w:rPr>
        <w:t>’</w:t>
      </w:r>
      <w:r w:rsidR="004C5B53" w:rsidRPr="00745FBE">
        <w:rPr>
          <w:highlight w:val="lightGray"/>
          <w:u w:val="single"/>
          <w:lang w:val="fr-CH" w:eastAsia="ja-JP"/>
        </w:rPr>
        <w:t>utilisation de cette formulation, configuration ou combinaison de mots dans des dénominations variétales d</w:t>
      </w:r>
      <w:r w:rsidR="009B26EF">
        <w:rPr>
          <w:highlight w:val="lightGray"/>
          <w:u w:val="single"/>
          <w:lang w:val="fr-CH" w:eastAsia="ja-JP"/>
        </w:rPr>
        <w:t>’</w:t>
      </w:r>
      <w:r w:rsidR="004C5B53" w:rsidRPr="00745FBE">
        <w:rPr>
          <w:highlight w:val="lightGray"/>
          <w:u w:val="single"/>
          <w:lang w:val="fr-CH" w:eastAsia="ja-JP"/>
        </w:rPr>
        <w:t>un autre obtenteur risquerait d</w:t>
      </w:r>
      <w:r w:rsidR="009B26EF">
        <w:rPr>
          <w:highlight w:val="lightGray"/>
          <w:u w:val="single"/>
          <w:lang w:val="fr-CH" w:eastAsia="ja-JP"/>
        </w:rPr>
        <w:t>’</w:t>
      </w:r>
      <w:r w:rsidR="004C5B53" w:rsidRPr="00745FBE">
        <w:rPr>
          <w:highlight w:val="lightGray"/>
          <w:u w:val="single"/>
          <w:lang w:val="fr-CH" w:eastAsia="ja-JP"/>
        </w:rPr>
        <w:t>induire en erreur ou de prêter à confusion quant à l</w:t>
      </w:r>
      <w:r w:rsidR="009B26EF">
        <w:rPr>
          <w:highlight w:val="lightGray"/>
          <w:u w:val="single"/>
          <w:lang w:val="fr-CH" w:eastAsia="ja-JP"/>
        </w:rPr>
        <w:t>’</w:t>
      </w:r>
      <w:r w:rsidR="004C5B53" w:rsidRPr="00745FBE">
        <w:rPr>
          <w:highlight w:val="lightGray"/>
          <w:u w:val="single"/>
          <w:lang w:val="fr-CH" w:eastAsia="ja-JP"/>
        </w:rPr>
        <w:t>identité de l</w:t>
      </w:r>
      <w:r w:rsidR="009B26EF">
        <w:rPr>
          <w:highlight w:val="lightGray"/>
          <w:u w:val="single"/>
          <w:lang w:val="fr-CH" w:eastAsia="ja-JP"/>
        </w:rPr>
        <w:t>’</w:t>
      </w:r>
      <w:r w:rsidR="004C5B53" w:rsidRPr="00745FBE">
        <w:rPr>
          <w:highlight w:val="lightGray"/>
          <w:u w:val="single"/>
          <w:lang w:val="fr-CH" w:eastAsia="ja-JP"/>
        </w:rPr>
        <w:t>obtenteur;</w:t>
      </w:r>
    </w:p>
    <w:p w:rsidR="00797CB8" w:rsidRPr="00745FBE" w:rsidRDefault="00797CB8" w:rsidP="0081352E">
      <w:pPr>
        <w:pStyle w:val="ListParagraph"/>
        <w:rPr>
          <w:sz w:val="14"/>
          <w:szCs w:val="18"/>
          <w:highlight w:val="lightGray"/>
          <w:u w:val="single"/>
          <w:lang w:val="fr-CH" w:eastAsia="ja-JP"/>
        </w:rPr>
      </w:pPr>
    </w:p>
    <w:p w:rsidR="00797CB8" w:rsidRPr="00745FBE" w:rsidRDefault="0081352E" w:rsidP="004C5B53">
      <w:pPr>
        <w:ind w:left="567" w:hanging="567"/>
        <w:rPr>
          <w:u w:val="single"/>
          <w:lang w:val="fr-CH" w:eastAsia="ja-JP"/>
        </w:rPr>
      </w:pPr>
      <w:r w:rsidRPr="00745FBE">
        <w:rPr>
          <w:highlight w:val="lightGray"/>
          <w:lang w:val="fr-CH" w:eastAsia="ja-JP"/>
        </w:rPr>
        <w:tab/>
      </w:r>
      <w:r w:rsidR="004C5B53" w:rsidRPr="00745FBE">
        <w:rPr>
          <w:i/>
          <w:highlight w:val="lightGray"/>
          <w:u w:val="single"/>
          <w:lang w:val="fr-CH" w:eastAsia="ja-JP"/>
        </w:rPr>
        <w:t>Exemples de dénomination inappropriée</w:t>
      </w:r>
      <w:r w:rsidR="009B26EF">
        <w:rPr>
          <w:highlight w:val="lightGray"/>
          <w:u w:val="single"/>
          <w:lang w:val="fr-CH" w:eastAsia="ja-JP"/>
        </w:rPr>
        <w:t> :</w:t>
      </w:r>
      <w:r w:rsidR="004C5B53" w:rsidRPr="00745FBE">
        <w:rPr>
          <w:highlight w:val="lightGray"/>
          <w:u w:val="single"/>
          <w:lang w:val="fr-CH" w:eastAsia="ja-JP"/>
        </w:rPr>
        <w:t xml:space="preserve"> la dénomination </w:t>
      </w:r>
      <w:r w:rsidR="009B26EF">
        <w:rPr>
          <w:highlight w:val="lightGray"/>
          <w:u w:val="single"/>
          <w:lang w:val="fr-CH" w:eastAsia="ja-JP"/>
        </w:rPr>
        <w:t>‘</w:t>
      </w:r>
      <w:r w:rsidR="004C5B53" w:rsidRPr="00745FBE">
        <w:rPr>
          <w:highlight w:val="lightGray"/>
          <w:u w:val="single"/>
          <w:lang w:val="fr-CH" w:eastAsia="ja-JP"/>
        </w:rPr>
        <w:t>ABC rouge</w:t>
      </w:r>
      <w:r w:rsidR="009B26EF">
        <w:rPr>
          <w:highlight w:val="lightGray"/>
          <w:u w:val="single"/>
          <w:lang w:val="fr-CH" w:eastAsia="ja-JP"/>
        </w:rPr>
        <w:t>’</w:t>
      </w:r>
      <w:r w:rsidR="004C5B53" w:rsidRPr="00745FBE">
        <w:rPr>
          <w:highlight w:val="lightGray"/>
          <w:u w:val="single"/>
          <w:lang w:val="fr-CH" w:eastAsia="ja-JP"/>
        </w:rPr>
        <w:t xml:space="preserve"> proposée par un obtenteur (Obtenteur 2) lorsque les dénominations </w:t>
      </w:r>
      <w:r w:rsidR="009B26EF">
        <w:rPr>
          <w:highlight w:val="lightGray"/>
          <w:u w:val="single"/>
          <w:lang w:val="fr-CH" w:eastAsia="ja-JP"/>
        </w:rPr>
        <w:t>‘</w:t>
      </w:r>
      <w:r w:rsidR="004C5B53" w:rsidRPr="00745FBE">
        <w:rPr>
          <w:highlight w:val="lightGray"/>
          <w:u w:val="single"/>
          <w:lang w:val="fr-CH" w:eastAsia="ja-JP"/>
        </w:rPr>
        <w:t>ABC velours</w:t>
      </w:r>
      <w:r w:rsidR="00BF403C">
        <w:rPr>
          <w:highlight w:val="lightGray"/>
          <w:u w:val="single"/>
          <w:lang w:val="fr-CH" w:eastAsia="ja-JP"/>
        </w:rPr>
        <w:t>’</w:t>
      </w:r>
      <w:r w:rsidR="004C5B53" w:rsidRPr="00745FBE">
        <w:rPr>
          <w:highlight w:val="lightGray"/>
          <w:u w:val="single"/>
          <w:lang w:val="fr-CH" w:eastAsia="ja-JP"/>
        </w:rPr>
        <w:t xml:space="preserve">, </w:t>
      </w:r>
      <w:r w:rsidR="009B26EF">
        <w:rPr>
          <w:highlight w:val="lightGray"/>
          <w:u w:val="single"/>
          <w:lang w:val="fr-CH" w:eastAsia="ja-JP"/>
        </w:rPr>
        <w:t>‘</w:t>
      </w:r>
      <w:r w:rsidR="004C5B53" w:rsidRPr="00745FBE">
        <w:rPr>
          <w:highlight w:val="lightGray"/>
          <w:u w:val="single"/>
          <w:lang w:val="fr-CH" w:eastAsia="ja-JP"/>
        </w:rPr>
        <w:t>ABC étoile</w:t>
      </w:r>
      <w:r w:rsidR="009B26EF">
        <w:rPr>
          <w:highlight w:val="lightGray"/>
          <w:u w:val="single"/>
          <w:lang w:val="fr-CH" w:eastAsia="ja-JP"/>
        </w:rPr>
        <w:t>’</w:t>
      </w:r>
      <w:r w:rsidR="004C5B53" w:rsidRPr="00745FBE">
        <w:rPr>
          <w:highlight w:val="lightGray"/>
          <w:u w:val="single"/>
          <w:lang w:val="fr-CH" w:eastAsia="ja-JP"/>
        </w:rPr>
        <w:t xml:space="preserve"> et </w:t>
      </w:r>
      <w:r w:rsidR="009B26EF">
        <w:rPr>
          <w:highlight w:val="lightGray"/>
          <w:u w:val="single"/>
          <w:lang w:val="fr-CH" w:eastAsia="ja-JP"/>
        </w:rPr>
        <w:t>‘</w:t>
      </w:r>
      <w:r w:rsidR="004C5B53" w:rsidRPr="00745FBE">
        <w:rPr>
          <w:highlight w:val="lightGray"/>
          <w:u w:val="single"/>
          <w:lang w:val="fr-CH" w:eastAsia="ja-JP"/>
        </w:rPr>
        <w:t>ABC vert</w:t>
      </w:r>
      <w:r w:rsidR="009B26EF">
        <w:rPr>
          <w:highlight w:val="lightGray"/>
          <w:u w:val="single"/>
          <w:lang w:val="fr-CH" w:eastAsia="ja-JP"/>
        </w:rPr>
        <w:t>’</w:t>
      </w:r>
      <w:r w:rsidR="004C5B53" w:rsidRPr="00745FBE">
        <w:rPr>
          <w:highlight w:val="lightGray"/>
          <w:u w:val="single"/>
          <w:lang w:val="fr-CH" w:eastAsia="ja-JP"/>
        </w:rPr>
        <w:t xml:space="preserve"> sont enregistrées par un autre obtenteur (Obtenteur 1).</w:t>
      </w:r>
    </w:p>
    <w:p w:rsidR="00797CB8" w:rsidRPr="00745FBE" w:rsidRDefault="00797CB8" w:rsidP="0081352E">
      <w:pPr>
        <w:ind w:left="567" w:hanging="567"/>
        <w:rPr>
          <w:u w:val="single"/>
          <w:lang w:val="fr-CH" w:eastAsia="ja-JP"/>
        </w:rPr>
      </w:pPr>
    </w:p>
    <w:p w:rsidR="00797CB8" w:rsidRPr="00745FBE" w:rsidRDefault="00797CB8" w:rsidP="001E2C4C">
      <w:pPr>
        <w:rPr>
          <w:lang w:val="fr-CH"/>
        </w:rPr>
      </w:pPr>
    </w:p>
    <w:p w:rsidR="00797CB8" w:rsidRPr="00745FBE" w:rsidRDefault="00732CC8" w:rsidP="00732CC8">
      <w:pPr>
        <w:pStyle w:val="Heading3"/>
        <w:rPr>
          <w:lang w:val="fr-CH"/>
        </w:rPr>
      </w:pPr>
      <w:bookmarkStart w:id="20" w:name="_Toc15031430"/>
      <w:bookmarkStart w:id="21" w:name="_Toc35937356"/>
      <w:r w:rsidRPr="00745FBE">
        <w:rPr>
          <w:color w:val="000000"/>
          <w:lang w:val="fr-CH"/>
        </w:rPr>
        <w:lastRenderedPageBreak/>
        <w:t>2.4</w:t>
      </w:r>
      <w:r w:rsidRPr="00745FBE">
        <w:rPr>
          <w:color w:val="000000"/>
          <w:lang w:val="fr-CH"/>
        </w:rPr>
        <w:tab/>
      </w:r>
      <w:r w:rsidRPr="00745FBE">
        <w:rPr>
          <w:lang w:val="fr-CH"/>
        </w:rPr>
        <w:t>Être différente de toute dénomination qui désigne […] une variété préexistante de la même espèce végétale ou d</w:t>
      </w:r>
      <w:r w:rsidR="009B26EF">
        <w:rPr>
          <w:lang w:val="fr-CH"/>
        </w:rPr>
        <w:t>’</w:t>
      </w:r>
      <w:r w:rsidRPr="00745FBE">
        <w:rPr>
          <w:lang w:val="fr-CH"/>
        </w:rPr>
        <w:t>une espèce voisine</w:t>
      </w:r>
      <w:bookmarkEnd w:id="20"/>
      <w:bookmarkEnd w:id="21"/>
    </w:p>
    <w:p w:rsidR="00797CB8" w:rsidRPr="00745FBE" w:rsidRDefault="00797CB8" w:rsidP="00732CC8">
      <w:pPr>
        <w:keepNext/>
        <w:rPr>
          <w:lang w:val="fr-CH"/>
        </w:rPr>
      </w:pPr>
    </w:p>
    <w:p w:rsidR="00797CB8" w:rsidRPr="00745FBE" w:rsidRDefault="00732CC8" w:rsidP="00732CC8">
      <w:pPr>
        <w:rPr>
          <w:lang w:val="fr-CH"/>
        </w:rPr>
      </w:pPr>
      <w:r w:rsidRPr="00745FBE">
        <w:rPr>
          <w:lang w:val="fr-CH"/>
        </w:rPr>
        <w:t>2.4.1</w:t>
      </w:r>
      <w:r w:rsidRPr="00745FBE">
        <w:rPr>
          <w:lang w:val="fr-CH"/>
        </w:rPr>
        <w:tab/>
        <w:t>Le paragraphe 2) prévoit que la dénomination doit être “différente” d</w:t>
      </w:r>
      <w:r w:rsidR="009B26EF">
        <w:rPr>
          <w:lang w:val="fr-CH"/>
        </w:rPr>
        <w:t>’</w:t>
      </w:r>
      <w:r w:rsidRPr="00745FBE">
        <w:rPr>
          <w:lang w:val="fr-CH"/>
        </w:rPr>
        <w:t>une variété préexistante de la même espèce végétale ou d</w:t>
      </w:r>
      <w:r w:rsidR="009B26EF">
        <w:rPr>
          <w:lang w:val="fr-CH"/>
        </w:rPr>
        <w:t>’</w:t>
      </w:r>
      <w:r w:rsidRPr="00745FBE">
        <w:rPr>
          <w:lang w:val="fr-CH"/>
        </w:rPr>
        <w:t>une espèce voisine</w:t>
      </w:r>
      <w:r w:rsidRPr="00745FBE">
        <w:rPr>
          <w:rStyle w:val="FootnoteReference"/>
          <w:lang w:val="fr-CH"/>
        </w:rPr>
        <w:footnoteReference w:id="4"/>
      </w:r>
      <w:r w:rsidRPr="00745FBE">
        <w:rPr>
          <w:lang w:val="fr-CH"/>
        </w:rPr>
        <w:t>.</w:t>
      </w:r>
    </w:p>
    <w:p w:rsidR="00797CB8" w:rsidRPr="00745FBE" w:rsidRDefault="00732CC8" w:rsidP="00732CC8">
      <w:pPr>
        <w:spacing w:before="240" w:after="480"/>
        <w:rPr>
          <w:lang w:val="fr-CH"/>
        </w:rPr>
      </w:pPr>
      <w:r w:rsidRPr="00745FBE">
        <w:rPr>
          <w:lang w:val="fr-CH"/>
        </w:rPr>
        <w:t>2.4.2</w:t>
      </w:r>
      <w:r w:rsidRPr="00745FBE">
        <w:rPr>
          <w:lang w:val="fr-CH"/>
        </w:rPr>
        <w:tab/>
        <w:t>L</w:t>
      </w:r>
      <w:r w:rsidR="009B26EF">
        <w:rPr>
          <w:lang w:val="fr-CH"/>
        </w:rPr>
        <w:t>’</w:t>
      </w:r>
      <w:r w:rsidRPr="00745FBE">
        <w:rPr>
          <w:lang w:val="fr-CH"/>
        </w:rPr>
        <w:t>explication ci</w:t>
      </w:r>
      <w:r w:rsidR="009B26EF">
        <w:rPr>
          <w:lang w:val="fr-CH"/>
        </w:rPr>
        <w:t>-</w:t>
      </w:r>
      <w:r w:rsidRPr="00745FBE">
        <w:rPr>
          <w:lang w:val="fr-CH"/>
        </w:rPr>
        <w:t>après vise les dénominations variétales et n</w:t>
      </w:r>
      <w:r w:rsidR="009B26EF">
        <w:rPr>
          <w:lang w:val="fr-CH"/>
        </w:rPr>
        <w:t>’</w:t>
      </w:r>
      <w:r w:rsidRPr="00745FBE">
        <w:rPr>
          <w:lang w:val="fr-CH"/>
        </w:rPr>
        <w:t>a aucune incidence sur le sens du membre de phrase “variété notoirement connue” figurant à l</w:t>
      </w:r>
      <w:r w:rsidR="009B26EF">
        <w:rPr>
          <w:lang w:val="fr-CH"/>
        </w:rPr>
        <w:t>’</w:t>
      </w:r>
      <w:r w:rsidRPr="00745FBE">
        <w:rPr>
          <w:lang w:val="fr-CH"/>
        </w:rPr>
        <w:t>article 7 de l</w:t>
      </w:r>
      <w:r w:rsidR="009B26EF">
        <w:rPr>
          <w:lang w:val="fr-CH"/>
        </w:rPr>
        <w:t>’</w:t>
      </w:r>
      <w:r w:rsidRPr="00745FBE">
        <w:rPr>
          <w:lang w:val="fr-CH"/>
        </w:rPr>
        <w:t>Acte de 1991 et à l</w:t>
      </w:r>
      <w:r w:rsidR="009B26EF">
        <w:rPr>
          <w:lang w:val="fr-CH"/>
        </w:rPr>
        <w:t>’</w:t>
      </w:r>
      <w:r w:rsidRPr="00745FBE">
        <w:rPr>
          <w:lang w:val="fr-CH"/>
        </w:rPr>
        <w:t>article 6.1)a) de l</w:t>
      </w:r>
      <w:r w:rsidR="009B26EF">
        <w:rPr>
          <w:lang w:val="fr-CH"/>
        </w:rPr>
        <w:t>’</w:t>
      </w:r>
      <w:r w:rsidRPr="00745FBE">
        <w:rPr>
          <w:lang w:val="fr-CH"/>
        </w:rPr>
        <w:t>Acte de 1978 et de la Convention de 1961.  En règle générale, la réutilisation d</w:t>
      </w:r>
      <w:r w:rsidR="009B26EF">
        <w:rPr>
          <w:lang w:val="fr-CH"/>
        </w:rPr>
        <w:t>’</w:t>
      </w:r>
      <w:r w:rsidRPr="00745FBE">
        <w:rPr>
          <w:lang w:val="fr-CH"/>
        </w:rPr>
        <w:t>une dénomination est déconseillée mais, dans certains cas exceptionnels (voir le point 2.3.3.c)), la dénomination d</w:t>
      </w:r>
      <w:r w:rsidR="009B26EF">
        <w:rPr>
          <w:lang w:val="fr-CH"/>
        </w:rPr>
        <w:t>’</w:t>
      </w:r>
      <w:r w:rsidRPr="00745FBE">
        <w:rPr>
          <w:lang w:val="fr-CH"/>
        </w:rPr>
        <w:t>une ancienne variété peut, en principe, être attribuée à une nouvelle variété.</w:t>
      </w:r>
    </w:p>
    <w:p w:rsidR="00797CB8" w:rsidRPr="00745FBE" w:rsidRDefault="00732CC8" w:rsidP="00732CC8">
      <w:pPr>
        <w:pStyle w:val="Heading3"/>
        <w:rPr>
          <w:lang w:val="fr-CH"/>
        </w:rPr>
      </w:pPr>
      <w:bookmarkStart w:id="22" w:name="_Toc15031431"/>
      <w:bookmarkStart w:id="23" w:name="_Toc35937357"/>
      <w:r w:rsidRPr="00745FBE">
        <w:rPr>
          <w:lang w:val="fr-CH"/>
        </w:rPr>
        <w:t>2.5</w:t>
      </w:r>
      <w:r w:rsidRPr="00745FBE">
        <w:rPr>
          <w:i w:val="0"/>
          <w:lang w:val="fr-CH"/>
        </w:rPr>
        <w:tab/>
      </w:r>
      <w:r w:rsidRPr="00745FBE">
        <w:rPr>
          <w:lang w:val="fr-CH"/>
        </w:rPr>
        <w:t>Classes de dénominations variétales</w:t>
      </w:r>
      <w:r w:rsidR="009B26EF">
        <w:rPr>
          <w:lang w:val="fr-CH"/>
        </w:rPr>
        <w:t> :</w:t>
      </w:r>
      <w:r w:rsidRPr="00745FBE">
        <w:rPr>
          <w:lang w:val="fr-CH"/>
        </w:rPr>
        <w:t xml:space="preserve"> une dénomination variétale ne doit pas être utilisée plus d</w:t>
      </w:r>
      <w:r w:rsidR="009B26EF">
        <w:rPr>
          <w:lang w:val="fr-CH"/>
        </w:rPr>
        <w:t>’</w:t>
      </w:r>
      <w:r w:rsidRPr="00745FBE">
        <w:rPr>
          <w:lang w:val="fr-CH"/>
        </w:rPr>
        <w:t>une fois dans la même classe</w:t>
      </w:r>
      <w:bookmarkEnd w:id="22"/>
      <w:bookmarkEnd w:id="23"/>
    </w:p>
    <w:p w:rsidR="00797CB8" w:rsidRPr="00745FBE" w:rsidRDefault="00797CB8" w:rsidP="00732CC8">
      <w:pPr>
        <w:keepNext/>
        <w:rPr>
          <w:lang w:val="fr-CH" w:eastAsia="ja-JP"/>
        </w:rPr>
      </w:pPr>
    </w:p>
    <w:p w:rsidR="00797CB8" w:rsidRPr="00745FBE" w:rsidRDefault="00732CC8" w:rsidP="00732CC8">
      <w:pPr>
        <w:rPr>
          <w:spacing w:val="-2"/>
          <w:lang w:val="fr-CH"/>
        </w:rPr>
      </w:pPr>
      <w:r w:rsidRPr="00745FBE">
        <w:rPr>
          <w:spacing w:val="-2"/>
          <w:lang w:val="fr-CH"/>
        </w:rPr>
        <w:t>2.5.1</w:t>
      </w:r>
      <w:r w:rsidRPr="00745FBE">
        <w:rPr>
          <w:spacing w:val="-2"/>
          <w:lang w:val="fr-CH"/>
        </w:rPr>
        <w:tab/>
        <w:t>À des fins de précision des troisième (voir le point 2.3.3.b)) et quatrième phrases du paragraphe 2 de l</w:t>
      </w:r>
      <w:r w:rsidR="009B26EF">
        <w:rPr>
          <w:spacing w:val="-2"/>
          <w:lang w:val="fr-CH"/>
        </w:rPr>
        <w:t>’</w:t>
      </w:r>
      <w:r w:rsidRPr="00745FBE">
        <w:rPr>
          <w:spacing w:val="-2"/>
          <w:lang w:val="fr-CH"/>
        </w:rPr>
        <w:t>article 20 de l</w:t>
      </w:r>
      <w:r w:rsidR="009B26EF">
        <w:rPr>
          <w:spacing w:val="-2"/>
          <w:lang w:val="fr-CH"/>
        </w:rPr>
        <w:t>’</w:t>
      </w:r>
      <w:r w:rsidRPr="00745FBE">
        <w:rPr>
          <w:spacing w:val="-2"/>
          <w:lang w:val="fr-CH"/>
        </w:rPr>
        <w:t>Acte de 1991 et de l</w:t>
      </w:r>
      <w:r w:rsidR="009B26EF">
        <w:rPr>
          <w:spacing w:val="-2"/>
          <w:lang w:val="fr-CH"/>
        </w:rPr>
        <w:t>’</w:t>
      </w:r>
      <w:r w:rsidRPr="00745FBE">
        <w:rPr>
          <w:spacing w:val="-2"/>
          <w:lang w:val="fr-CH"/>
        </w:rPr>
        <w:t>article 13 de l</w:t>
      </w:r>
      <w:r w:rsidR="009B26EF">
        <w:rPr>
          <w:spacing w:val="-2"/>
          <w:lang w:val="fr-CH"/>
        </w:rPr>
        <w:t>’</w:t>
      </w:r>
      <w:r w:rsidRPr="00745FBE">
        <w:rPr>
          <w:spacing w:val="-2"/>
          <w:lang w:val="fr-CH"/>
        </w:rPr>
        <w:t>Acte de 1978 et de la Convention de 1961, des classes de dénominations variétales ont été élaboré</w:t>
      </w:r>
      <w:r w:rsidR="00440663" w:rsidRPr="00745FBE">
        <w:rPr>
          <w:spacing w:val="-2"/>
          <w:lang w:val="fr-CH"/>
        </w:rPr>
        <w:t>es</w:t>
      </w:r>
      <w:r w:rsidR="00440663">
        <w:rPr>
          <w:spacing w:val="-2"/>
          <w:lang w:val="fr-CH"/>
        </w:rPr>
        <w:t xml:space="preserve">.  </w:t>
      </w:r>
      <w:r w:rsidR="00440663" w:rsidRPr="00745FBE">
        <w:rPr>
          <w:spacing w:val="-2"/>
          <w:lang w:val="fr-CH"/>
        </w:rPr>
        <w:t>Un</w:t>
      </w:r>
      <w:r w:rsidRPr="00745FBE">
        <w:rPr>
          <w:spacing w:val="-2"/>
          <w:lang w:val="fr-CH"/>
        </w:rPr>
        <w:t>e dénomination variétale ne doit pas être utilisée plus d</w:t>
      </w:r>
      <w:r w:rsidR="009B26EF">
        <w:rPr>
          <w:spacing w:val="-2"/>
          <w:lang w:val="fr-CH"/>
        </w:rPr>
        <w:t>’</w:t>
      </w:r>
      <w:r w:rsidRPr="00745FBE">
        <w:rPr>
          <w:spacing w:val="-2"/>
          <w:lang w:val="fr-CH"/>
        </w:rPr>
        <w:t>une fois dans la même clas</w:t>
      </w:r>
      <w:r w:rsidR="00440663" w:rsidRPr="00745FBE">
        <w:rPr>
          <w:spacing w:val="-2"/>
          <w:lang w:val="fr-CH"/>
        </w:rPr>
        <w:t>se</w:t>
      </w:r>
      <w:r w:rsidR="00440663">
        <w:rPr>
          <w:spacing w:val="-2"/>
          <w:lang w:val="fr-CH"/>
        </w:rPr>
        <w:t xml:space="preserve">.  </w:t>
      </w:r>
      <w:r w:rsidR="00440663" w:rsidRPr="00745FBE">
        <w:rPr>
          <w:spacing w:val="-2"/>
          <w:lang w:val="fr-CH"/>
        </w:rPr>
        <w:t>Le</w:t>
      </w:r>
      <w:r w:rsidRPr="00745FBE">
        <w:rPr>
          <w:spacing w:val="-2"/>
          <w:lang w:val="fr-CH"/>
        </w:rPr>
        <w:t>s classes ont été élaborées de telle sorte que les taxons botaniques au sein d</w:t>
      </w:r>
      <w:r w:rsidR="009B26EF">
        <w:rPr>
          <w:spacing w:val="-2"/>
          <w:lang w:val="fr-CH"/>
        </w:rPr>
        <w:t>’</w:t>
      </w:r>
      <w:r w:rsidRPr="00745FBE">
        <w:rPr>
          <w:spacing w:val="-2"/>
          <w:lang w:val="fr-CH"/>
        </w:rPr>
        <w:t>une même classe sont considérés comme étant étroitement liés et susceptibles d</w:t>
      </w:r>
      <w:r w:rsidR="009B26EF">
        <w:rPr>
          <w:spacing w:val="-2"/>
          <w:lang w:val="fr-CH"/>
        </w:rPr>
        <w:t>’</w:t>
      </w:r>
      <w:r w:rsidRPr="00745FBE">
        <w:rPr>
          <w:spacing w:val="-2"/>
          <w:lang w:val="fr-CH"/>
        </w:rPr>
        <w:t>induire en erreur ou de prêter à confusion quant à l</w:t>
      </w:r>
      <w:r w:rsidR="009B26EF">
        <w:rPr>
          <w:spacing w:val="-2"/>
          <w:lang w:val="fr-CH"/>
        </w:rPr>
        <w:t>’</w:t>
      </w:r>
      <w:r w:rsidRPr="00745FBE">
        <w:rPr>
          <w:spacing w:val="-2"/>
          <w:lang w:val="fr-CH"/>
        </w:rPr>
        <w:t>identité de la variété.</w:t>
      </w:r>
    </w:p>
    <w:p w:rsidR="00797CB8" w:rsidRPr="00745FBE" w:rsidRDefault="00797CB8" w:rsidP="00732CC8">
      <w:pPr>
        <w:rPr>
          <w:lang w:val="fr-CH"/>
        </w:rPr>
      </w:pPr>
    </w:p>
    <w:p w:rsidR="00797CB8" w:rsidRPr="00745FBE" w:rsidRDefault="00732CC8" w:rsidP="00732CC8">
      <w:pPr>
        <w:keepNext/>
        <w:spacing w:line="240" w:lineRule="atLeast"/>
        <w:rPr>
          <w:lang w:val="fr-CH"/>
        </w:rPr>
      </w:pPr>
      <w:r w:rsidRPr="00745FBE">
        <w:rPr>
          <w:lang w:val="fr-CH"/>
        </w:rPr>
        <w:t>2.5.2</w:t>
      </w:r>
      <w:r w:rsidRPr="00745FBE">
        <w:rPr>
          <w:lang w:val="fr-CH"/>
        </w:rPr>
        <w:tab/>
        <w:t>Les classes de dénominations variétales sont les suivantes</w:t>
      </w:r>
      <w:r w:rsidR="009B26EF">
        <w:rPr>
          <w:lang w:val="fr-CH"/>
        </w:rPr>
        <w:t> :</w:t>
      </w:r>
    </w:p>
    <w:p w:rsidR="00797CB8" w:rsidRPr="00745FBE" w:rsidRDefault="00797CB8" w:rsidP="00732CC8">
      <w:pPr>
        <w:keepNext/>
        <w:rPr>
          <w:lang w:val="fr-CH"/>
        </w:rPr>
      </w:pPr>
    </w:p>
    <w:p w:rsidR="00797CB8" w:rsidRPr="00745FBE" w:rsidRDefault="00732CC8" w:rsidP="00732CC8">
      <w:pPr>
        <w:pStyle w:val="BodyTextIndent"/>
        <w:ind w:left="0" w:firstLine="567"/>
        <w:rPr>
          <w:lang w:val="fr-CH"/>
        </w:rPr>
      </w:pPr>
      <w:r w:rsidRPr="00745FBE">
        <w:rPr>
          <w:lang w:val="fr-CH"/>
        </w:rPr>
        <w:t>a)</w:t>
      </w:r>
      <w:r w:rsidRPr="00745FBE">
        <w:rPr>
          <w:lang w:val="fr-CH"/>
        </w:rPr>
        <w:tab/>
        <w:t>règle générale (un genre / une classe)</w:t>
      </w:r>
      <w:r w:rsidR="009B26EF">
        <w:rPr>
          <w:lang w:val="fr-CH"/>
        </w:rPr>
        <w:t> :</w:t>
      </w:r>
      <w:r w:rsidRPr="00745FBE">
        <w:rPr>
          <w:lang w:val="fr-CH"/>
        </w:rPr>
        <w:t xml:space="preserve"> en ce qui concerne les genres et espèces qui ne figurent pas sur la liste des classes reproduite dans l</w:t>
      </w:r>
      <w:r w:rsidR="009B26EF">
        <w:rPr>
          <w:lang w:val="fr-CH"/>
        </w:rPr>
        <w:t>’</w:t>
      </w:r>
      <w:r w:rsidRPr="00745FBE">
        <w:rPr>
          <w:lang w:val="fr-CH"/>
        </w:rPr>
        <w:t>annexe I, un genre est considéré comme une classe;</w:t>
      </w:r>
    </w:p>
    <w:p w:rsidR="00797CB8" w:rsidRPr="00745FBE" w:rsidRDefault="00797CB8" w:rsidP="00732CC8">
      <w:pPr>
        <w:pStyle w:val="BodyTextIndent"/>
        <w:ind w:left="0"/>
        <w:rPr>
          <w:lang w:val="fr-CH"/>
        </w:rPr>
      </w:pPr>
    </w:p>
    <w:p w:rsidR="00797CB8" w:rsidRPr="00745FBE" w:rsidRDefault="00732CC8" w:rsidP="00732CC8">
      <w:pPr>
        <w:pStyle w:val="BodyTextIndent"/>
        <w:ind w:left="0" w:firstLine="567"/>
        <w:rPr>
          <w:lang w:val="fr-CH"/>
        </w:rPr>
      </w:pPr>
      <w:r w:rsidRPr="00745FBE">
        <w:rPr>
          <w:lang w:val="fr-CH"/>
        </w:rPr>
        <w:t>b)</w:t>
      </w:r>
      <w:r w:rsidRPr="00745FBE">
        <w:rPr>
          <w:lang w:val="fr-CH"/>
        </w:rPr>
        <w:tab/>
        <w:t>exceptions à la règle générale (liste des classes)</w:t>
      </w:r>
      <w:r w:rsidR="009B26EF">
        <w:rPr>
          <w:lang w:val="fr-CH"/>
        </w:rPr>
        <w:t> :</w:t>
      </w:r>
    </w:p>
    <w:p w:rsidR="00797CB8" w:rsidRPr="00745FBE" w:rsidRDefault="00797CB8" w:rsidP="00732CC8">
      <w:pPr>
        <w:pStyle w:val="BodyTextIndent"/>
        <w:ind w:left="0"/>
        <w:rPr>
          <w:sz w:val="18"/>
          <w:lang w:val="fr-CH"/>
        </w:rPr>
      </w:pPr>
    </w:p>
    <w:p w:rsidR="00797CB8" w:rsidRPr="00745FBE" w:rsidRDefault="00732CC8" w:rsidP="00732CC8">
      <w:pPr>
        <w:pStyle w:val="BodyTextIndent"/>
        <w:tabs>
          <w:tab w:val="right" w:pos="1134"/>
          <w:tab w:val="left" w:pos="1418"/>
        </w:tabs>
        <w:ind w:left="0"/>
        <w:rPr>
          <w:lang w:val="fr-CH"/>
        </w:rPr>
      </w:pPr>
      <w:r w:rsidRPr="00745FBE">
        <w:rPr>
          <w:lang w:val="fr-CH"/>
        </w:rPr>
        <w:tab/>
        <w:t>i)</w:t>
      </w:r>
      <w:r w:rsidRPr="00745FBE">
        <w:rPr>
          <w:lang w:val="fr-CH"/>
        </w:rPr>
        <w:tab/>
        <w:t>classes au sein d</w:t>
      </w:r>
      <w:r w:rsidR="009B26EF">
        <w:rPr>
          <w:lang w:val="fr-CH"/>
        </w:rPr>
        <w:t>’</w:t>
      </w:r>
      <w:r w:rsidRPr="00745FBE">
        <w:rPr>
          <w:lang w:val="fr-CH"/>
        </w:rPr>
        <w:t>un genre</w:t>
      </w:r>
      <w:r w:rsidR="009B26EF">
        <w:rPr>
          <w:lang w:val="fr-CH"/>
        </w:rPr>
        <w:t> :</w:t>
      </w:r>
      <w:r w:rsidRPr="00745FBE">
        <w:rPr>
          <w:lang w:val="fr-CH"/>
        </w:rPr>
        <w:t xml:space="preserve"> liste des classes dans l</w:t>
      </w:r>
      <w:r w:rsidR="009B26EF">
        <w:rPr>
          <w:lang w:val="fr-CH"/>
        </w:rPr>
        <w:t>’</w:t>
      </w:r>
      <w:r w:rsidRPr="00745FBE">
        <w:rPr>
          <w:lang w:val="fr-CH"/>
        </w:rPr>
        <w:t>annexe I</w:t>
      </w:r>
      <w:r w:rsidR="009B26EF">
        <w:rPr>
          <w:lang w:val="fr-CH"/>
        </w:rPr>
        <w:t> :</w:t>
      </w:r>
      <w:r w:rsidRPr="00745FBE">
        <w:rPr>
          <w:lang w:val="fr-CH"/>
        </w:rPr>
        <w:t xml:space="preserve"> première partie;</w:t>
      </w:r>
    </w:p>
    <w:p w:rsidR="00797CB8" w:rsidRPr="00745FBE" w:rsidRDefault="00797CB8" w:rsidP="00732CC8">
      <w:pPr>
        <w:pStyle w:val="BodyTextIndent"/>
        <w:tabs>
          <w:tab w:val="right" w:pos="1134"/>
          <w:tab w:val="left" w:pos="1418"/>
        </w:tabs>
        <w:ind w:left="0"/>
        <w:rPr>
          <w:sz w:val="16"/>
          <w:lang w:val="fr-CH"/>
        </w:rPr>
      </w:pPr>
    </w:p>
    <w:p w:rsidR="00797CB8" w:rsidRPr="00745FBE" w:rsidRDefault="00732CC8" w:rsidP="00732CC8">
      <w:pPr>
        <w:pStyle w:val="Header"/>
        <w:tabs>
          <w:tab w:val="right" w:pos="1134"/>
          <w:tab w:val="left" w:pos="1418"/>
        </w:tabs>
        <w:spacing w:after="240"/>
        <w:jc w:val="left"/>
        <w:rPr>
          <w:lang w:val="fr-CH"/>
        </w:rPr>
      </w:pPr>
      <w:r w:rsidRPr="00745FBE">
        <w:rPr>
          <w:lang w:val="fr-CH"/>
        </w:rPr>
        <w:tab/>
        <w:t>ii)</w:t>
      </w:r>
      <w:r w:rsidRPr="00745FBE">
        <w:rPr>
          <w:lang w:val="fr-CH"/>
        </w:rPr>
        <w:tab/>
        <w:t>classes englobant plusieurs genres</w:t>
      </w:r>
      <w:r w:rsidR="009B26EF">
        <w:rPr>
          <w:lang w:val="fr-CH"/>
        </w:rPr>
        <w:t> :</w:t>
      </w:r>
      <w:r w:rsidRPr="00745FBE">
        <w:rPr>
          <w:lang w:val="fr-CH"/>
        </w:rPr>
        <w:t xml:space="preserve"> liste des classes dans l</w:t>
      </w:r>
      <w:r w:rsidR="009B26EF">
        <w:rPr>
          <w:lang w:val="fr-CH"/>
        </w:rPr>
        <w:t>’</w:t>
      </w:r>
      <w:r w:rsidRPr="00745FBE">
        <w:rPr>
          <w:lang w:val="fr-CH"/>
        </w:rPr>
        <w:t>annexe I</w:t>
      </w:r>
      <w:r w:rsidR="009B26EF">
        <w:rPr>
          <w:lang w:val="fr-CH"/>
        </w:rPr>
        <w:t> :</w:t>
      </w:r>
      <w:r w:rsidRPr="00745FBE">
        <w:rPr>
          <w:lang w:val="fr-CH"/>
        </w:rPr>
        <w:t xml:space="preserve"> deuxième partie.</w:t>
      </w:r>
    </w:p>
    <w:p w:rsidR="00797CB8" w:rsidRPr="00745FBE" w:rsidRDefault="00732CC8" w:rsidP="00732CC8">
      <w:pPr>
        <w:rPr>
          <w:color w:val="000000"/>
          <w:spacing w:val="-2"/>
          <w:lang w:val="fr-CH"/>
        </w:rPr>
      </w:pPr>
      <w:r w:rsidRPr="00745FBE">
        <w:rPr>
          <w:spacing w:val="-2"/>
          <w:lang w:val="fr-CH"/>
        </w:rPr>
        <w:t>2.5.3</w:t>
      </w:r>
      <w:r w:rsidRPr="00745FBE">
        <w:rPr>
          <w:spacing w:val="-2"/>
          <w:lang w:val="fr-CH"/>
        </w:rPr>
        <w:tab/>
        <w:t>Il est recommandé d</w:t>
      </w:r>
      <w:r w:rsidR="009B26EF">
        <w:rPr>
          <w:spacing w:val="-2"/>
          <w:lang w:val="fr-CH"/>
        </w:rPr>
        <w:t>’</w:t>
      </w:r>
      <w:r w:rsidRPr="00745FBE">
        <w:rPr>
          <w:spacing w:val="-2"/>
          <w:lang w:val="fr-CH"/>
        </w:rPr>
        <w:t xml:space="preserve">utiliser la base de données </w:t>
      </w:r>
      <w:r w:rsidRPr="00745FBE">
        <w:rPr>
          <w:color w:val="000000"/>
          <w:spacing w:val="-2"/>
          <w:highlight w:val="lightGray"/>
          <w:u w:val="single"/>
          <w:lang w:val="fr-CH" w:eastAsia="ja-JP"/>
        </w:rPr>
        <w:t xml:space="preserve">PLUTO </w:t>
      </w:r>
      <w:r w:rsidRPr="00745FBE">
        <w:rPr>
          <w:strike/>
          <w:color w:val="000000"/>
          <w:spacing w:val="-2"/>
          <w:highlight w:val="lightGray"/>
          <w:u w:val="single"/>
          <w:lang w:val="fr-CH" w:eastAsia="ja-JP"/>
        </w:rPr>
        <w:t>UPOV</w:t>
      </w:r>
      <w:r w:rsidR="009B26EF">
        <w:rPr>
          <w:strike/>
          <w:color w:val="000000"/>
          <w:spacing w:val="-2"/>
          <w:highlight w:val="lightGray"/>
          <w:u w:val="single"/>
          <w:lang w:val="fr-CH" w:eastAsia="ja-JP"/>
        </w:rPr>
        <w:t>-</w:t>
      </w:r>
      <w:r w:rsidRPr="00745FBE">
        <w:rPr>
          <w:strike/>
          <w:color w:val="000000"/>
          <w:spacing w:val="-2"/>
          <w:highlight w:val="lightGray"/>
          <w:u w:val="single"/>
          <w:lang w:val="fr-CH" w:eastAsia="ja-JP"/>
        </w:rPr>
        <w:t>ROM</w:t>
      </w:r>
      <w:r w:rsidRPr="00745FBE">
        <w:rPr>
          <w:spacing w:val="-2"/>
          <w:lang w:val="fr-CH"/>
        </w:rPr>
        <w:t xml:space="preserve"> sur les variétés végétales pour vérifier si, sur le territoire d</w:t>
      </w:r>
      <w:r w:rsidR="009B26EF">
        <w:rPr>
          <w:spacing w:val="-2"/>
          <w:lang w:val="fr-CH"/>
        </w:rPr>
        <w:t>’</w:t>
      </w:r>
      <w:r w:rsidRPr="00745FBE">
        <w:rPr>
          <w:spacing w:val="-2"/>
          <w:lang w:val="fr-CH"/>
        </w:rPr>
        <w:t>un membre de l</w:t>
      </w:r>
      <w:r w:rsidR="009B26EF">
        <w:rPr>
          <w:spacing w:val="-2"/>
          <w:lang w:val="fr-CH"/>
        </w:rPr>
        <w:t>’</w:t>
      </w:r>
      <w:r w:rsidRPr="00745FBE">
        <w:rPr>
          <w:spacing w:val="-2"/>
          <w:lang w:val="fr-CH"/>
        </w:rPr>
        <w:t>Union, la dénomination proposée est différente de dénominations désignant des variétés préexistantes du même genre ou, le cas échéant, de la classe de la dénomination variétale (voir l</w:t>
      </w:r>
      <w:r w:rsidR="009B26EF">
        <w:rPr>
          <w:spacing w:val="-2"/>
          <w:lang w:val="fr-CH"/>
        </w:rPr>
        <w:t>’</w:t>
      </w:r>
      <w:r w:rsidRPr="00745FBE">
        <w:rPr>
          <w:spacing w:val="-2"/>
          <w:lang w:val="fr-CH"/>
        </w:rPr>
        <w:t>annexe I).  L</w:t>
      </w:r>
      <w:r w:rsidR="009B26EF">
        <w:rPr>
          <w:spacing w:val="-2"/>
          <w:lang w:val="fr-CH"/>
        </w:rPr>
        <w:t>’</w:t>
      </w:r>
      <w:r w:rsidRPr="00745FBE">
        <w:rPr>
          <w:spacing w:val="-2"/>
          <w:lang w:val="fr-CH"/>
        </w:rPr>
        <w:t xml:space="preserve">attention est appelée sur la “Mention de réserve et avertissement de caractère général” qui figure dans la base de données </w:t>
      </w:r>
      <w:r w:rsidRPr="00745FBE">
        <w:rPr>
          <w:color w:val="000000"/>
          <w:spacing w:val="-2"/>
          <w:highlight w:val="lightGray"/>
          <w:u w:val="single"/>
          <w:lang w:val="fr-CH" w:eastAsia="ja-JP"/>
        </w:rPr>
        <w:t xml:space="preserve">PLUTO </w:t>
      </w:r>
      <w:r w:rsidRPr="00745FBE">
        <w:rPr>
          <w:strike/>
          <w:color w:val="000000"/>
          <w:spacing w:val="-2"/>
          <w:highlight w:val="lightGray"/>
          <w:u w:val="single"/>
          <w:lang w:val="fr-CH" w:eastAsia="ja-JP"/>
        </w:rPr>
        <w:t>UPOV</w:t>
      </w:r>
      <w:r w:rsidR="009B26EF">
        <w:rPr>
          <w:strike/>
          <w:color w:val="000000"/>
          <w:spacing w:val="-2"/>
          <w:highlight w:val="lightGray"/>
          <w:u w:val="single"/>
          <w:lang w:val="fr-CH" w:eastAsia="ja-JP"/>
        </w:rPr>
        <w:t>-</w:t>
      </w:r>
      <w:r w:rsidRPr="00745FBE">
        <w:rPr>
          <w:strike/>
          <w:color w:val="000000"/>
          <w:spacing w:val="-2"/>
          <w:highlight w:val="lightGray"/>
          <w:u w:val="single"/>
          <w:lang w:val="fr-CH" w:eastAsia="ja-JP"/>
        </w:rPr>
        <w:t>ROM</w:t>
      </w:r>
      <w:r w:rsidRPr="00745FBE">
        <w:rPr>
          <w:spacing w:val="-2"/>
          <w:lang w:val="fr-CH"/>
        </w:rPr>
        <w:t>, pour une prise en considération appropriée des renseignements qu</w:t>
      </w:r>
      <w:r w:rsidR="009B26EF">
        <w:rPr>
          <w:spacing w:val="-2"/>
          <w:lang w:val="fr-CH"/>
        </w:rPr>
        <w:t>’</w:t>
      </w:r>
      <w:r w:rsidRPr="00745FBE">
        <w:rPr>
          <w:spacing w:val="-2"/>
          <w:lang w:val="fr-CH"/>
        </w:rPr>
        <w:t>elle contient.</w:t>
      </w:r>
    </w:p>
    <w:p w:rsidR="00797CB8" w:rsidRPr="00745FBE" w:rsidRDefault="00797CB8" w:rsidP="00893C7D">
      <w:pPr>
        <w:rPr>
          <w:color w:val="000000"/>
          <w:spacing w:val="-2"/>
          <w:lang w:val="fr-CH"/>
        </w:rPr>
      </w:pPr>
    </w:p>
    <w:p w:rsidR="00797CB8" w:rsidRPr="00745FBE" w:rsidRDefault="00797CB8" w:rsidP="00893C7D">
      <w:pPr>
        <w:rPr>
          <w:color w:val="000000"/>
          <w:spacing w:val="-2"/>
          <w:lang w:val="fr-CH"/>
        </w:rPr>
      </w:pPr>
    </w:p>
    <w:p w:rsidR="00797CB8" w:rsidRPr="00745FBE" w:rsidRDefault="00775FCF" w:rsidP="00775FCF">
      <w:pPr>
        <w:keepNext/>
        <w:ind w:left="567" w:hanging="567"/>
        <w:outlineLvl w:val="2"/>
        <w:rPr>
          <w:i/>
          <w:snapToGrid w:val="0"/>
          <w:highlight w:val="lightGray"/>
          <w:u w:val="single"/>
          <w:lang w:val="fr-CH"/>
        </w:rPr>
      </w:pPr>
      <w:r w:rsidRPr="00745FBE">
        <w:rPr>
          <w:i/>
          <w:snapToGrid w:val="0"/>
          <w:highlight w:val="lightGray"/>
          <w:u w:val="single"/>
          <w:lang w:val="fr-CH"/>
        </w:rPr>
        <w:t>2.6</w:t>
      </w:r>
      <w:r w:rsidRPr="00745FBE">
        <w:rPr>
          <w:i/>
          <w:snapToGrid w:val="0"/>
          <w:highlight w:val="lightGray"/>
          <w:u w:val="single"/>
          <w:lang w:val="fr-CH"/>
        </w:rPr>
        <w:tab/>
      </w:r>
      <w:r w:rsidR="00732CC8" w:rsidRPr="00745FBE">
        <w:rPr>
          <w:i/>
          <w:snapToGrid w:val="0"/>
          <w:u w:val="single"/>
          <w:lang w:val="fr-CH"/>
        </w:rPr>
        <w:t>Outil de recherche de similarité de l</w:t>
      </w:r>
      <w:r w:rsidR="009B26EF">
        <w:rPr>
          <w:i/>
          <w:snapToGrid w:val="0"/>
          <w:u w:val="single"/>
          <w:lang w:val="fr-CH"/>
        </w:rPr>
        <w:t>’</w:t>
      </w:r>
      <w:r w:rsidR="00732CC8" w:rsidRPr="00745FBE">
        <w:rPr>
          <w:i/>
          <w:snapToGrid w:val="0"/>
          <w:u w:val="single"/>
          <w:lang w:val="fr-CH"/>
        </w:rPr>
        <w:t>UPOV aux fins de la dénomination variétale</w:t>
      </w:r>
    </w:p>
    <w:p w:rsidR="00797CB8" w:rsidRPr="00745FBE" w:rsidRDefault="00797CB8" w:rsidP="00775FCF">
      <w:pPr>
        <w:rPr>
          <w:highlight w:val="lightGray"/>
          <w:u w:val="single"/>
          <w:lang w:val="fr-CH"/>
        </w:rPr>
      </w:pPr>
    </w:p>
    <w:p w:rsidR="00797CB8" w:rsidRPr="00745FBE" w:rsidRDefault="00732CC8" w:rsidP="00775FCF">
      <w:pPr>
        <w:rPr>
          <w:color w:val="000000"/>
          <w:spacing w:val="-2"/>
          <w:u w:val="single"/>
          <w:lang w:val="fr-CH"/>
        </w:rPr>
      </w:pPr>
      <w:r w:rsidRPr="00745FBE">
        <w:rPr>
          <w:u w:val="single"/>
          <w:shd w:val="pct15" w:color="auto" w:fill="FFFFFF"/>
          <w:lang w:val="fr-CH"/>
        </w:rPr>
        <w:t>Les membres de l</w:t>
      </w:r>
      <w:r w:rsidR="009B26EF">
        <w:rPr>
          <w:u w:val="single"/>
          <w:shd w:val="pct15" w:color="auto" w:fill="FFFFFF"/>
          <w:lang w:val="fr-CH"/>
        </w:rPr>
        <w:t>’</w:t>
      </w:r>
      <w:r w:rsidRPr="00745FBE">
        <w:rPr>
          <w:u w:val="single"/>
          <w:shd w:val="pct15" w:color="auto" w:fill="FFFFFF"/>
          <w:lang w:val="fr-CH"/>
        </w:rPr>
        <w:t>Union sont encouragés à utiliser l</w:t>
      </w:r>
      <w:r w:rsidR="009B26EF">
        <w:rPr>
          <w:u w:val="single"/>
          <w:shd w:val="pct15" w:color="auto" w:fill="FFFFFF"/>
          <w:lang w:val="fr-CH"/>
        </w:rPr>
        <w:t>’</w:t>
      </w:r>
      <w:r w:rsidRPr="00745FBE">
        <w:rPr>
          <w:u w:val="single"/>
          <w:shd w:val="pct15" w:color="auto" w:fill="FFFFFF"/>
          <w:lang w:val="fr-CH"/>
        </w:rPr>
        <w:t>outil de recherche de similarité de l</w:t>
      </w:r>
      <w:r w:rsidR="009B26EF">
        <w:rPr>
          <w:u w:val="single"/>
          <w:shd w:val="pct15" w:color="auto" w:fill="FFFFFF"/>
          <w:lang w:val="fr-CH"/>
        </w:rPr>
        <w:t>’</w:t>
      </w:r>
      <w:r w:rsidRPr="00745FBE">
        <w:rPr>
          <w:u w:val="single"/>
          <w:shd w:val="pct15" w:color="auto" w:fill="FFFFFF"/>
          <w:lang w:val="fr-CH"/>
        </w:rPr>
        <w:t>UPOV aux fins de la dénomination variétale afin de vérifier au préalable si la dénomination proposée est différente des dénominations désignant des variétés préexistantes de la même classe de dénomination variétale (voir l</w:t>
      </w:r>
      <w:r w:rsidR="009B26EF">
        <w:rPr>
          <w:u w:val="single"/>
          <w:shd w:val="pct15" w:color="auto" w:fill="FFFFFF"/>
          <w:lang w:val="fr-CH"/>
        </w:rPr>
        <w:t>’</w:t>
      </w:r>
      <w:r w:rsidR="009B26EF" w:rsidRPr="00745FBE">
        <w:rPr>
          <w:u w:val="single"/>
          <w:shd w:val="pct15" w:color="auto" w:fill="FFFFFF"/>
          <w:lang w:val="fr-CH"/>
        </w:rPr>
        <w:t>annexe</w:t>
      </w:r>
      <w:r w:rsidR="009B26EF">
        <w:rPr>
          <w:u w:val="single"/>
          <w:shd w:val="pct15" w:color="auto" w:fill="FFFFFF"/>
          <w:lang w:val="fr-CH"/>
        </w:rPr>
        <w:t> </w:t>
      </w:r>
      <w:r w:rsidR="009B26EF" w:rsidRPr="00745FBE">
        <w:rPr>
          <w:u w:val="single"/>
          <w:shd w:val="pct15" w:color="auto" w:fill="FFFFFF"/>
          <w:lang w:val="fr-CH"/>
        </w:rPr>
        <w:t>I</w:t>
      </w:r>
      <w:r w:rsidRPr="00745FBE">
        <w:rPr>
          <w:u w:val="single"/>
          <w:shd w:val="pct15" w:color="auto" w:fill="FFFFFF"/>
          <w:lang w:val="fr-CH"/>
        </w:rPr>
        <w:t>).  Il convient de rappeler que l</w:t>
      </w:r>
      <w:r w:rsidR="009B26EF">
        <w:rPr>
          <w:u w:val="single"/>
          <w:shd w:val="pct15" w:color="auto" w:fill="FFFFFF"/>
          <w:lang w:val="fr-CH"/>
        </w:rPr>
        <w:t>’</w:t>
      </w:r>
      <w:r w:rsidRPr="00745FBE">
        <w:rPr>
          <w:u w:val="single"/>
          <w:shd w:val="pct15" w:color="auto" w:fill="FFFFFF"/>
          <w:lang w:val="fr-CH"/>
        </w:rPr>
        <w:t>utilisation de l</w:t>
      </w:r>
      <w:r w:rsidR="009B26EF">
        <w:rPr>
          <w:u w:val="single"/>
          <w:shd w:val="pct15" w:color="auto" w:fill="FFFFFF"/>
          <w:lang w:val="fr-CH"/>
        </w:rPr>
        <w:t>’</w:t>
      </w:r>
      <w:r w:rsidRPr="00745FBE">
        <w:rPr>
          <w:u w:val="single"/>
          <w:shd w:val="pct15" w:color="auto" w:fill="FFFFFF"/>
          <w:lang w:val="fr-CH"/>
        </w:rPr>
        <w:t>outil de recherche de similarité de l</w:t>
      </w:r>
      <w:r w:rsidR="009B26EF">
        <w:rPr>
          <w:u w:val="single"/>
          <w:shd w:val="pct15" w:color="auto" w:fill="FFFFFF"/>
          <w:lang w:val="fr-CH"/>
        </w:rPr>
        <w:t>’</w:t>
      </w:r>
      <w:r w:rsidRPr="00745FBE">
        <w:rPr>
          <w:u w:val="single"/>
          <w:shd w:val="pct15" w:color="auto" w:fill="FFFFFF"/>
          <w:lang w:val="fr-CH"/>
        </w:rPr>
        <w:t>UPOV aux fins de la dénomination variétale constitue une première étape du processus d</w:t>
      </w:r>
      <w:r w:rsidR="009B26EF">
        <w:rPr>
          <w:u w:val="single"/>
          <w:shd w:val="pct15" w:color="auto" w:fill="FFFFFF"/>
          <w:lang w:val="fr-CH"/>
        </w:rPr>
        <w:t>’</w:t>
      </w:r>
      <w:r w:rsidRPr="00745FBE">
        <w:rPr>
          <w:u w:val="single"/>
          <w:shd w:val="pct15" w:color="auto" w:fill="FFFFFF"/>
          <w:lang w:val="fr-CH"/>
        </w:rPr>
        <w:t>examen du caractère approprié de la dénomination variétale et que d</w:t>
      </w:r>
      <w:r w:rsidR="009B26EF">
        <w:rPr>
          <w:u w:val="single"/>
          <w:shd w:val="pct15" w:color="auto" w:fill="FFFFFF"/>
          <w:lang w:val="fr-CH"/>
        </w:rPr>
        <w:t>’</w:t>
      </w:r>
      <w:r w:rsidRPr="00745FBE">
        <w:rPr>
          <w:u w:val="single"/>
          <w:shd w:val="pct15" w:color="auto" w:fill="FFFFFF"/>
          <w:lang w:val="fr-CH"/>
        </w:rPr>
        <w:t>autres vérifications peuvent être entreprises par le service le cas échéant.</w:t>
      </w:r>
    </w:p>
    <w:p w:rsidR="00797CB8" w:rsidRPr="00745FBE" w:rsidRDefault="00797CB8" w:rsidP="00893C7D">
      <w:pPr>
        <w:rPr>
          <w:color w:val="000000"/>
          <w:u w:val="single"/>
          <w:lang w:val="fr-CH"/>
        </w:rPr>
      </w:pPr>
    </w:p>
    <w:p w:rsidR="00797CB8" w:rsidRPr="00745FBE" w:rsidRDefault="00797CB8" w:rsidP="00893C7D">
      <w:pPr>
        <w:rPr>
          <w:color w:val="000000"/>
          <w:u w:val="single"/>
          <w:lang w:val="fr-CH"/>
        </w:rPr>
      </w:pPr>
    </w:p>
    <w:p w:rsidR="00797CB8" w:rsidRPr="00745FBE" w:rsidRDefault="00797CB8" w:rsidP="00936710">
      <w:pPr>
        <w:rPr>
          <w:highlight w:val="lightGray"/>
          <w:lang w:val="fr-CH"/>
        </w:rPr>
      </w:pPr>
    </w:p>
    <w:p w:rsidR="00797CB8" w:rsidRPr="00745FBE" w:rsidRDefault="004359AA">
      <w:pPr>
        <w:rPr>
          <w:lang w:val="fr-CH"/>
        </w:rPr>
      </w:pPr>
      <w:r w:rsidRPr="00745FBE">
        <w:rPr>
          <w:lang w:val="fr-CH"/>
        </w:rPr>
        <w:br w:type="page"/>
      </w:r>
    </w:p>
    <w:p w:rsidR="00797CB8" w:rsidRPr="00745FBE" w:rsidRDefault="00F546A7" w:rsidP="00F546A7">
      <w:pPr>
        <w:pStyle w:val="Heading1"/>
        <w:rPr>
          <w:lang w:val="fr-CH"/>
        </w:rPr>
      </w:pPr>
      <w:bookmarkStart w:id="24" w:name="_Toc35937358"/>
      <w:r w:rsidRPr="00745FBE">
        <w:rPr>
          <w:lang w:val="fr-CH"/>
        </w:rPr>
        <w:lastRenderedPageBreak/>
        <w:t>Paragraphe 3</w:t>
      </w:r>
      <w:bookmarkEnd w:id="24"/>
    </w:p>
    <w:p w:rsidR="00797CB8" w:rsidRPr="00745FBE" w:rsidRDefault="00F546A7" w:rsidP="00F546A7">
      <w:pPr>
        <w:keepNext/>
        <w:jc w:val="center"/>
        <w:rPr>
          <w:sz w:val="18"/>
          <w:lang w:val="fr-CH"/>
        </w:rPr>
      </w:pPr>
      <w:r w:rsidRPr="00745FBE">
        <w:rPr>
          <w:sz w:val="18"/>
          <w:lang w:val="fr-CH"/>
        </w:rPr>
        <w:t>(Paragraphe 4 de l</w:t>
      </w:r>
      <w:r w:rsidR="009B26EF">
        <w:rPr>
          <w:sz w:val="18"/>
          <w:lang w:val="fr-CH"/>
        </w:rPr>
        <w:t>’</w:t>
      </w:r>
      <w:r w:rsidRPr="00745FBE">
        <w:rPr>
          <w:sz w:val="18"/>
          <w:lang w:val="fr-CH"/>
        </w:rPr>
        <w:t>article 13 de la Convention de 1961)</w:t>
      </w:r>
    </w:p>
    <w:p w:rsidR="00797CB8" w:rsidRPr="00745FBE" w:rsidRDefault="00797CB8" w:rsidP="00F546A7">
      <w:pPr>
        <w:keepNext/>
        <w:rPr>
          <w:lang w:val="fr-CH"/>
        </w:rPr>
      </w:pPr>
    </w:p>
    <w:p w:rsidR="00797CB8" w:rsidRPr="00745FBE" w:rsidRDefault="00F546A7" w:rsidP="00F546A7">
      <w:pPr>
        <w:pStyle w:val="Heading2"/>
        <w:rPr>
          <w:lang w:val="fr-CH"/>
        </w:rPr>
      </w:pPr>
      <w:bookmarkStart w:id="25" w:name="_Toc35937359"/>
      <w:r w:rsidRPr="00745FBE">
        <w:rPr>
          <w:lang w:val="fr-CH"/>
        </w:rPr>
        <w:t>[Enregistrement de la dénomination]</w:t>
      </w:r>
      <w:bookmarkEnd w:id="25"/>
    </w:p>
    <w:p w:rsidR="00797CB8" w:rsidRPr="00745FBE" w:rsidRDefault="00797CB8" w:rsidP="00F546A7">
      <w:pPr>
        <w:rPr>
          <w:lang w:val="fr-CH"/>
        </w:rPr>
      </w:pPr>
    </w:p>
    <w:p w:rsidR="00797CB8" w:rsidRPr="00745FBE" w:rsidRDefault="00F546A7" w:rsidP="00F546A7">
      <w:pPr>
        <w:keepNext/>
        <w:keepLines/>
        <w:rPr>
          <w:b/>
          <w:lang w:val="fr-CH"/>
        </w:rPr>
      </w:pPr>
      <w:r w:rsidRPr="00745FBE">
        <w:rPr>
          <w:b/>
          <w:lang w:val="fr-CH"/>
        </w:rPr>
        <w:tab/>
        <w:t>La dénomination de la variété est proposée par l</w:t>
      </w:r>
      <w:r w:rsidR="009B26EF">
        <w:rPr>
          <w:b/>
          <w:lang w:val="fr-CH"/>
        </w:rPr>
        <w:t>’</w:t>
      </w:r>
      <w:r w:rsidRPr="00745FBE">
        <w:rPr>
          <w:b/>
          <w:lang w:val="fr-CH"/>
        </w:rPr>
        <w:t>obtenteur auprès du service.</w:t>
      </w:r>
    </w:p>
    <w:p w:rsidR="00797CB8" w:rsidRPr="00745FBE" w:rsidRDefault="00F546A7" w:rsidP="00F546A7">
      <w:pPr>
        <w:keepNext/>
        <w:keepLines/>
        <w:rPr>
          <w:b/>
          <w:lang w:val="fr-CH"/>
        </w:rPr>
      </w:pPr>
      <w:r w:rsidRPr="00745FBE">
        <w:rPr>
          <w:b/>
          <w:lang w:val="fr-CH"/>
        </w:rPr>
        <w:t>S</w:t>
      </w:r>
      <w:r w:rsidR="009B26EF">
        <w:rPr>
          <w:b/>
          <w:lang w:val="fr-CH"/>
        </w:rPr>
        <w:t>’</w:t>
      </w:r>
      <w:r w:rsidRPr="00745FBE">
        <w:rPr>
          <w:b/>
          <w:lang w:val="fr-CH"/>
        </w:rPr>
        <w:t>il apparaît que cette dénomination ne satisfait pas aux exigences énoncées au paragraphe 2), le service refuse de l</w:t>
      </w:r>
      <w:r w:rsidR="009B26EF">
        <w:rPr>
          <w:b/>
          <w:lang w:val="fr-CH"/>
        </w:rPr>
        <w:t>’</w:t>
      </w:r>
      <w:r w:rsidRPr="00745FBE">
        <w:rPr>
          <w:b/>
          <w:lang w:val="fr-CH"/>
        </w:rPr>
        <w:t>enregistrer et exige que l</w:t>
      </w:r>
      <w:r w:rsidR="009B26EF">
        <w:rPr>
          <w:b/>
          <w:lang w:val="fr-CH"/>
        </w:rPr>
        <w:t>’</w:t>
      </w:r>
      <w:r w:rsidRPr="00745FBE">
        <w:rPr>
          <w:b/>
          <w:lang w:val="fr-CH"/>
        </w:rPr>
        <w:t>obtenteur propose, dans un délai prescrit, une autre dénominati</w:t>
      </w:r>
      <w:r w:rsidR="00440663" w:rsidRPr="00745FBE">
        <w:rPr>
          <w:b/>
          <w:lang w:val="fr-CH"/>
        </w:rPr>
        <w:t>on</w:t>
      </w:r>
      <w:r w:rsidR="00440663">
        <w:rPr>
          <w:b/>
          <w:lang w:val="fr-CH"/>
        </w:rPr>
        <w:t xml:space="preserve">.  </w:t>
      </w:r>
      <w:r w:rsidR="00440663" w:rsidRPr="00745FBE">
        <w:rPr>
          <w:b/>
          <w:lang w:val="fr-CH"/>
        </w:rPr>
        <w:t>La</w:t>
      </w:r>
      <w:r w:rsidRPr="00745FBE">
        <w:rPr>
          <w:b/>
          <w:lang w:val="fr-CH"/>
        </w:rPr>
        <w:t xml:space="preserve"> dénomination est enregistrée par celui</w:t>
      </w:r>
      <w:r w:rsidR="009B26EF">
        <w:rPr>
          <w:b/>
          <w:lang w:val="fr-CH"/>
        </w:rPr>
        <w:t>-</w:t>
      </w:r>
      <w:r w:rsidRPr="00745FBE">
        <w:rPr>
          <w:b/>
          <w:lang w:val="fr-CH"/>
        </w:rPr>
        <w:t>ci en même temps qu</w:t>
      </w:r>
      <w:r w:rsidR="009B26EF">
        <w:rPr>
          <w:b/>
          <w:lang w:val="fr-CH"/>
        </w:rPr>
        <w:t>’</w:t>
      </w:r>
      <w:r w:rsidRPr="00745FBE">
        <w:rPr>
          <w:b/>
          <w:lang w:val="fr-CH"/>
        </w:rPr>
        <w:t>est octroyé le droit d</w:t>
      </w:r>
      <w:r w:rsidR="009B26EF">
        <w:rPr>
          <w:b/>
          <w:lang w:val="fr-CH"/>
        </w:rPr>
        <w:t>’</w:t>
      </w:r>
      <w:r w:rsidRPr="00745FBE">
        <w:rPr>
          <w:b/>
          <w:lang w:val="fr-CH"/>
        </w:rPr>
        <w:t>obtenteur.</w:t>
      </w:r>
    </w:p>
    <w:p w:rsidR="00797CB8" w:rsidRPr="00745FBE" w:rsidRDefault="00797CB8" w:rsidP="00F546A7">
      <w:pPr>
        <w:keepNext/>
        <w:rPr>
          <w:b/>
          <w:lang w:val="fr-CH"/>
        </w:rPr>
      </w:pPr>
    </w:p>
    <w:p w:rsidR="00797CB8" w:rsidRPr="00745FBE" w:rsidRDefault="00F546A7" w:rsidP="00F546A7">
      <w:pPr>
        <w:keepNext/>
        <w:rPr>
          <w:u w:val="single"/>
          <w:lang w:val="fr-CH"/>
        </w:rPr>
      </w:pPr>
      <w:r w:rsidRPr="00745FBE">
        <w:rPr>
          <w:u w:val="single"/>
          <w:lang w:val="fr-CH"/>
        </w:rPr>
        <w:t>Notes explicatives – Paragraphe 3)</w:t>
      </w:r>
    </w:p>
    <w:p w:rsidR="00797CB8" w:rsidRPr="00745FBE" w:rsidRDefault="00797CB8" w:rsidP="00F546A7">
      <w:pPr>
        <w:keepNext/>
        <w:rPr>
          <w:lang w:val="fr-CH"/>
        </w:rPr>
      </w:pPr>
    </w:p>
    <w:p w:rsidR="00797CB8" w:rsidRPr="00745FBE" w:rsidRDefault="00F546A7" w:rsidP="00F546A7">
      <w:pPr>
        <w:rPr>
          <w:lang w:val="fr-CH"/>
        </w:rPr>
      </w:pPr>
      <w:r w:rsidRPr="00745FBE">
        <w:rPr>
          <w:lang w:val="fr-CH"/>
        </w:rPr>
        <w:t>3.1</w:t>
      </w:r>
      <w:r w:rsidRPr="00745FBE">
        <w:rPr>
          <w:lang w:val="fr-CH"/>
        </w:rPr>
        <w:tab/>
        <w:t>Si le service n</w:t>
      </w:r>
      <w:r w:rsidR="009B26EF">
        <w:rPr>
          <w:lang w:val="fr-CH"/>
        </w:rPr>
        <w:t>’</w:t>
      </w:r>
      <w:r w:rsidRPr="00745FBE">
        <w:rPr>
          <w:lang w:val="fr-CH"/>
        </w:rPr>
        <w:t>a pas trouvé de motif de refus au sens du paragraphe 2) et n</w:t>
      </w:r>
      <w:r w:rsidR="009B26EF">
        <w:rPr>
          <w:lang w:val="fr-CH"/>
        </w:rPr>
        <w:t>’</w:t>
      </w:r>
      <w:r w:rsidRPr="00745FBE">
        <w:rPr>
          <w:lang w:val="fr-CH"/>
        </w:rPr>
        <w:t>a connaissance d</w:t>
      </w:r>
      <w:r w:rsidR="009B26EF">
        <w:rPr>
          <w:lang w:val="fr-CH"/>
        </w:rPr>
        <w:t>’</w:t>
      </w:r>
      <w:r w:rsidRPr="00745FBE">
        <w:rPr>
          <w:lang w:val="fr-CH"/>
        </w:rPr>
        <w:t>aucun motif de refus au sens du paragraphe 4), la dénomination proposée est enregistrée, publiée et communiquée aux services des autres membres de l</w:t>
      </w:r>
      <w:r w:rsidR="009B26EF">
        <w:rPr>
          <w:lang w:val="fr-CH"/>
        </w:rPr>
        <w:t>’</w:t>
      </w:r>
      <w:r w:rsidRPr="00745FBE">
        <w:rPr>
          <w:lang w:val="fr-CH"/>
        </w:rPr>
        <w:t>Union.</w:t>
      </w:r>
    </w:p>
    <w:p w:rsidR="00797CB8" w:rsidRPr="00745FBE" w:rsidRDefault="00797CB8" w:rsidP="00F546A7">
      <w:pPr>
        <w:rPr>
          <w:lang w:val="fr-CH"/>
        </w:rPr>
      </w:pPr>
    </w:p>
    <w:p w:rsidR="00797CB8" w:rsidRPr="00745FBE" w:rsidRDefault="00F546A7" w:rsidP="00F546A7">
      <w:pPr>
        <w:rPr>
          <w:lang w:val="fr-CH"/>
        </w:rPr>
      </w:pPr>
      <w:r w:rsidRPr="00745FBE">
        <w:rPr>
          <w:lang w:val="fr-CH"/>
        </w:rPr>
        <w:t>3.2</w:t>
      </w:r>
      <w:r w:rsidRPr="00745FBE">
        <w:rPr>
          <w:lang w:val="fr-CH"/>
        </w:rPr>
        <w:tab/>
        <w:t>S</w:t>
      </w:r>
      <w:r w:rsidR="009B26EF">
        <w:rPr>
          <w:lang w:val="fr-CH"/>
        </w:rPr>
        <w:t>’</w:t>
      </w:r>
      <w:r w:rsidRPr="00745FBE">
        <w:rPr>
          <w:lang w:val="fr-CH"/>
        </w:rPr>
        <w:t>il existe des droits antérieurs (paragraphe 4)) ou d</w:t>
      </w:r>
      <w:r w:rsidR="009B26EF">
        <w:rPr>
          <w:lang w:val="fr-CH"/>
        </w:rPr>
        <w:t>’</w:t>
      </w:r>
      <w:r w:rsidRPr="00745FBE">
        <w:rPr>
          <w:lang w:val="fr-CH"/>
        </w:rPr>
        <w:t>autres motifs de refus, toute personne intéressée peut déposer une objection à l</w:t>
      </w:r>
      <w:r w:rsidR="009B26EF">
        <w:rPr>
          <w:lang w:val="fr-CH"/>
        </w:rPr>
        <w:t>’</w:t>
      </w:r>
      <w:r w:rsidRPr="00745FBE">
        <w:rPr>
          <w:lang w:val="fr-CH"/>
        </w:rPr>
        <w:t>enregistreme</w:t>
      </w:r>
      <w:r w:rsidR="00440663" w:rsidRPr="00745FBE">
        <w:rPr>
          <w:lang w:val="fr-CH"/>
        </w:rPr>
        <w:t>nt</w:t>
      </w:r>
      <w:r w:rsidR="00440663">
        <w:rPr>
          <w:lang w:val="fr-CH"/>
        </w:rPr>
        <w:t xml:space="preserve">.  </w:t>
      </w:r>
      <w:r w:rsidR="00440663" w:rsidRPr="00745FBE">
        <w:rPr>
          <w:lang w:val="fr-CH"/>
        </w:rPr>
        <w:t>Le</w:t>
      </w:r>
      <w:r w:rsidRPr="00745FBE">
        <w:rPr>
          <w:lang w:val="fr-CH"/>
        </w:rPr>
        <w:t>s services des autres membres de l</w:t>
      </w:r>
      <w:r w:rsidR="009B26EF">
        <w:rPr>
          <w:lang w:val="fr-CH"/>
        </w:rPr>
        <w:t>’</w:t>
      </w:r>
      <w:r w:rsidRPr="00745FBE">
        <w:rPr>
          <w:lang w:val="fr-CH"/>
        </w:rPr>
        <w:t>Union peuvent formuler des observations (voir de notes explicatives sur le paragraphe 6)).</w:t>
      </w:r>
    </w:p>
    <w:p w:rsidR="00797CB8" w:rsidRPr="00745FBE" w:rsidRDefault="00797CB8" w:rsidP="00F546A7">
      <w:pPr>
        <w:rPr>
          <w:lang w:val="fr-CH"/>
        </w:rPr>
      </w:pPr>
    </w:p>
    <w:p w:rsidR="00797CB8" w:rsidRPr="00745FBE" w:rsidRDefault="00F546A7" w:rsidP="00F546A7">
      <w:pPr>
        <w:rPr>
          <w:lang w:val="fr-CH"/>
        </w:rPr>
      </w:pPr>
      <w:r w:rsidRPr="00745FBE">
        <w:rPr>
          <w:lang w:val="fr-CH"/>
        </w:rPr>
        <w:t>3.3</w:t>
      </w:r>
      <w:r w:rsidRPr="00745FBE">
        <w:rPr>
          <w:lang w:val="fr-CH"/>
        </w:rPr>
        <w:tab/>
        <w:t>Les objections et observations pertinentes doivent être communiquées au demande</w:t>
      </w:r>
      <w:r w:rsidR="00440663" w:rsidRPr="00745FBE">
        <w:rPr>
          <w:lang w:val="fr-CH"/>
        </w:rPr>
        <w:t>ur</w:t>
      </w:r>
      <w:r w:rsidR="00440663">
        <w:rPr>
          <w:lang w:val="fr-CH"/>
        </w:rPr>
        <w:t xml:space="preserve">.  </w:t>
      </w:r>
      <w:r w:rsidR="00440663" w:rsidRPr="00745FBE">
        <w:rPr>
          <w:lang w:val="fr-CH"/>
        </w:rPr>
        <w:t>Le</w:t>
      </w:r>
      <w:r w:rsidRPr="00745FBE">
        <w:rPr>
          <w:lang w:val="fr-CH"/>
        </w:rPr>
        <w:t xml:space="preserve"> demandeur doit avoir la possibilité de répondre à ces observatio</w:t>
      </w:r>
      <w:r w:rsidR="00440663" w:rsidRPr="00745FBE">
        <w:rPr>
          <w:lang w:val="fr-CH"/>
        </w:rPr>
        <w:t>ns</w:t>
      </w:r>
      <w:r w:rsidR="00440663">
        <w:rPr>
          <w:lang w:val="fr-CH"/>
        </w:rPr>
        <w:t xml:space="preserve">.  </w:t>
      </w:r>
      <w:r w:rsidR="00440663" w:rsidRPr="00745FBE">
        <w:rPr>
          <w:lang w:val="fr-CH"/>
        </w:rPr>
        <w:t>Lo</w:t>
      </w:r>
      <w:r w:rsidRPr="00745FBE">
        <w:rPr>
          <w:lang w:val="fr-CH"/>
        </w:rPr>
        <w:t>rsque le service considère la dénomination inappropriée sur son territoire, il demande à l</w:t>
      </w:r>
      <w:r w:rsidR="009B26EF">
        <w:rPr>
          <w:lang w:val="fr-CH"/>
        </w:rPr>
        <w:t>’</w:t>
      </w:r>
      <w:r w:rsidRPr="00745FBE">
        <w:rPr>
          <w:lang w:val="fr-CH"/>
        </w:rPr>
        <w:t>obtenteur de lui soumettre une autre dénominati</w:t>
      </w:r>
      <w:r w:rsidR="00440663" w:rsidRPr="00745FBE">
        <w:rPr>
          <w:lang w:val="fr-CH"/>
        </w:rPr>
        <w:t>on</w:t>
      </w:r>
      <w:r w:rsidR="00440663">
        <w:rPr>
          <w:lang w:val="fr-CH"/>
        </w:rPr>
        <w:t xml:space="preserve">.  </w:t>
      </w:r>
      <w:r w:rsidR="00440663" w:rsidRPr="00745FBE">
        <w:rPr>
          <w:lang w:val="fr-CH"/>
        </w:rPr>
        <w:t>Ma</w:t>
      </w:r>
      <w:r w:rsidRPr="00745FBE">
        <w:rPr>
          <w:lang w:val="fr-CH"/>
        </w:rPr>
        <w:t>nquer de soumettre une autre dénomination dans les délais prévus entraîne le rejet de la demande.</w:t>
      </w:r>
    </w:p>
    <w:p w:rsidR="00797CB8" w:rsidRPr="00745FBE" w:rsidRDefault="00797CB8" w:rsidP="00F546A7">
      <w:pPr>
        <w:rPr>
          <w:lang w:val="fr-CH"/>
        </w:rPr>
      </w:pPr>
    </w:p>
    <w:p w:rsidR="00797CB8" w:rsidRPr="00745FBE" w:rsidRDefault="00F546A7" w:rsidP="00F546A7">
      <w:pPr>
        <w:rPr>
          <w:lang w:val="fr-CH"/>
        </w:rPr>
      </w:pPr>
      <w:r w:rsidRPr="00745FBE">
        <w:rPr>
          <w:lang w:val="fr-CH"/>
        </w:rPr>
        <w:t>3.4</w:t>
      </w:r>
      <w:r w:rsidRPr="00745FBE">
        <w:rPr>
          <w:lang w:val="fr-CH"/>
        </w:rPr>
        <w:tab/>
        <w:t>L</w:t>
      </w:r>
      <w:r w:rsidR="009B26EF">
        <w:rPr>
          <w:lang w:val="fr-CH"/>
        </w:rPr>
        <w:t>’</w:t>
      </w:r>
      <w:r w:rsidRPr="00745FBE">
        <w:rPr>
          <w:lang w:val="fr-CH"/>
        </w:rPr>
        <w:t>examen de la dénomination proposée ainsi que l</w:t>
      </w:r>
      <w:r w:rsidR="009B26EF">
        <w:rPr>
          <w:lang w:val="fr-CH"/>
        </w:rPr>
        <w:t>’</w:t>
      </w:r>
      <w:r w:rsidRPr="00745FBE">
        <w:rPr>
          <w:lang w:val="fr-CH"/>
        </w:rPr>
        <w:t>examen des autres conditions de protection de la variété constituent des procédures qui doivent être appliquées parallèlement afin que la dénomination soit enregistrée au moment où le droit d</w:t>
      </w:r>
      <w:r w:rsidR="009B26EF">
        <w:rPr>
          <w:lang w:val="fr-CH"/>
        </w:rPr>
        <w:t>’</w:t>
      </w:r>
      <w:r w:rsidRPr="00745FBE">
        <w:rPr>
          <w:lang w:val="fr-CH"/>
        </w:rPr>
        <w:t>obtenteur est octroyé.</w:t>
      </w:r>
    </w:p>
    <w:p w:rsidR="00797CB8" w:rsidRPr="00745FBE" w:rsidRDefault="00797CB8" w:rsidP="00893C7D">
      <w:pPr>
        <w:rPr>
          <w:lang w:val="fr-CH"/>
        </w:rPr>
      </w:pPr>
    </w:p>
    <w:p w:rsidR="00797CB8" w:rsidRPr="00745FBE" w:rsidRDefault="00797CB8" w:rsidP="00893C7D">
      <w:pPr>
        <w:rPr>
          <w:lang w:val="fr-CH"/>
        </w:rPr>
      </w:pPr>
    </w:p>
    <w:p w:rsidR="00797CB8" w:rsidRPr="00745FBE" w:rsidRDefault="004359AA">
      <w:pPr>
        <w:rPr>
          <w:lang w:val="fr-CH"/>
        </w:rPr>
      </w:pPr>
      <w:r w:rsidRPr="00745FBE">
        <w:rPr>
          <w:lang w:val="fr-CH"/>
        </w:rPr>
        <w:br w:type="page"/>
      </w:r>
    </w:p>
    <w:p w:rsidR="00797CB8" w:rsidRPr="00745FBE" w:rsidRDefault="00F546A7" w:rsidP="00F546A7">
      <w:pPr>
        <w:pStyle w:val="Heading1"/>
        <w:rPr>
          <w:lang w:val="fr-CH"/>
        </w:rPr>
      </w:pPr>
      <w:bookmarkStart w:id="26" w:name="_Toc35937360"/>
      <w:r w:rsidRPr="00745FBE">
        <w:rPr>
          <w:lang w:val="fr-CH"/>
        </w:rPr>
        <w:lastRenderedPageBreak/>
        <w:t>Paragraphe 4</w:t>
      </w:r>
      <w:bookmarkEnd w:id="26"/>
    </w:p>
    <w:p w:rsidR="00797CB8" w:rsidRPr="00745FBE" w:rsidRDefault="00F546A7" w:rsidP="00F546A7">
      <w:pPr>
        <w:keepNext/>
        <w:jc w:val="center"/>
        <w:rPr>
          <w:lang w:val="fr-CH"/>
        </w:rPr>
      </w:pPr>
      <w:r w:rsidRPr="00745FBE">
        <w:rPr>
          <w:lang w:val="fr-CH"/>
        </w:rPr>
        <w:t>(Paragraphe 10 de l</w:t>
      </w:r>
      <w:r w:rsidR="009B26EF">
        <w:rPr>
          <w:lang w:val="fr-CH"/>
        </w:rPr>
        <w:t>’</w:t>
      </w:r>
      <w:r w:rsidRPr="00745FBE">
        <w:rPr>
          <w:lang w:val="fr-CH"/>
        </w:rPr>
        <w:t>article 13 de la Convention de 1961)</w:t>
      </w:r>
    </w:p>
    <w:p w:rsidR="00797CB8" w:rsidRPr="00745FBE" w:rsidRDefault="00797CB8" w:rsidP="00F546A7">
      <w:pPr>
        <w:keepNext/>
        <w:rPr>
          <w:lang w:val="fr-CH"/>
        </w:rPr>
      </w:pPr>
    </w:p>
    <w:p w:rsidR="00797CB8" w:rsidRPr="00745FBE" w:rsidRDefault="00F546A7" w:rsidP="00F546A7">
      <w:pPr>
        <w:pStyle w:val="Heading2"/>
        <w:rPr>
          <w:lang w:val="fr-CH"/>
        </w:rPr>
      </w:pPr>
      <w:bookmarkStart w:id="27" w:name="_Toc35937361"/>
      <w:r w:rsidRPr="00745FBE">
        <w:rPr>
          <w:lang w:val="fr-CH"/>
        </w:rPr>
        <w:t>[Droits antérieurs des tiers]</w:t>
      </w:r>
      <w:bookmarkEnd w:id="27"/>
    </w:p>
    <w:p w:rsidR="00797CB8" w:rsidRPr="00745FBE" w:rsidRDefault="00797CB8" w:rsidP="00F546A7">
      <w:pPr>
        <w:keepLines/>
        <w:rPr>
          <w:b/>
          <w:lang w:val="fr-CH"/>
        </w:rPr>
      </w:pPr>
    </w:p>
    <w:p w:rsidR="00797CB8" w:rsidRPr="00745FBE" w:rsidRDefault="00F546A7" w:rsidP="00F546A7">
      <w:pPr>
        <w:rPr>
          <w:b/>
          <w:lang w:val="fr-CH"/>
        </w:rPr>
      </w:pPr>
      <w:r w:rsidRPr="00745FBE">
        <w:rPr>
          <w:b/>
          <w:lang w:val="fr-CH"/>
        </w:rPr>
        <w:t>Il n</w:t>
      </w:r>
      <w:r w:rsidR="009B26EF">
        <w:rPr>
          <w:b/>
          <w:lang w:val="fr-CH"/>
        </w:rPr>
        <w:t>’</w:t>
      </w:r>
      <w:r w:rsidRPr="00745FBE">
        <w:rPr>
          <w:b/>
          <w:lang w:val="fr-CH"/>
        </w:rPr>
        <w:t>est pas porté atteinte aux droits antérieurs des tiers.</w:t>
      </w:r>
    </w:p>
    <w:p w:rsidR="00797CB8" w:rsidRPr="00745FBE" w:rsidRDefault="00F546A7" w:rsidP="00F546A7">
      <w:pPr>
        <w:keepLines/>
        <w:rPr>
          <w:b/>
          <w:lang w:val="fr-CH"/>
        </w:rPr>
      </w:pPr>
      <w:r w:rsidRPr="00745FBE">
        <w:rPr>
          <w:b/>
          <w:lang w:val="fr-CH"/>
        </w:rPr>
        <w:t>Si, en vertu d</w:t>
      </w:r>
      <w:r w:rsidR="009B26EF">
        <w:rPr>
          <w:b/>
          <w:lang w:val="fr-CH"/>
        </w:rPr>
        <w:t>’</w:t>
      </w:r>
      <w:r w:rsidRPr="00745FBE">
        <w:rPr>
          <w:b/>
          <w:lang w:val="fr-CH"/>
        </w:rPr>
        <w:t>un droit antérieur, l</w:t>
      </w:r>
      <w:r w:rsidR="009B26EF">
        <w:rPr>
          <w:b/>
          <w:lang w:val="fr-CH"/>
        </w:rPr>
        <w:t>’</w:t>
      </w:r>
      <w:r w:rsidRPr="00745FBE">
        <w:rPr>
          <w:b/>
          <w:lang w:val="fr-CH"/>
        </w:rPr>
        <w:t>utilisation de la dénomination d</w:t>
      </w:r>
      <w:r w:rsidR="009B26EF">
        <w:rPr>
          <w:b/>
          <w:lang w:val="fr-CH"/>
        </w:rPr>
        <w:t>’</w:t>
      </w:r>
      <w:r w:rsidRPr="00745FBE">
        <w:rPr>
          <w:b/>
          <w:lang w:val="fr-CH"/>
        </w:rPr>
        <w:t>une variété est interdite à une personne qui, conformément aux dispositions du paragraphe 7), est obligée de l</w:t>
      </w:r>
      <w:r w:rsidR="009B26EF">
        <w:rPr>
          <w:b/>
          <w:lang w:val="fr-CH"/>
        </w:rPr>
        <w:t>’</w:t>
      </w:r>
      <w:r w:rsidRPr="00745FBE">
        <w:rPr>
          <w:b/>
          <w:lang w:val="fr-CH"/>
        </w:rPr>
        <w:t>utiliser, le service exige que l</w:t>
      </w:r>
      <w:r w:rsidR="009B26EF">
        <w:rPr>
          <w:b/>
          <w:lang w:val="fr-CH"/>
        </w:rPr>
        <w:t>’</w:t>
      </w:r>
      <w:r w:rsidRPr="00745FBE">
        <w:rPr>
          <w:b/>
          <w:lang w:val="fr-CH"/>
        </w:rPr>
        <w:t>obtenteur propose une autre dénomination pour la variété.</w:t>
      </w:r>
    </w:p>
    <w:p w:rsidR="00797CB8" w:rsidRPr="00745FBE" w:rsidRDefault="00797CB8" w:rsidP="00F546A7">
      <w:pPr>
        <w:rPr>
          <w:lang w:val="fr-CH"/>
        </w:rPr>
      </w:pPr>
    </w:p>
    <w:p w:rsidR="00797CB8" w:rsidRPr="00745FBE" w:rsidRDefault="00F546A7" w:rsidP="00F546A7">
      <w:pPr>
        <w:keepNext/>
        <w:rPr>
          <w:u w:val="single"/>
          <w:lang w:val="fr-CH"/>
        </w:rPr>
      </w:pPr>
      <w:r w:rsidRPr="00745FBE">
        <w:rPr>
          <w:u w:val="single"/>
          <w:lang w:val="fr-CH"/>
        </w:rPr>
        <w:t>Notes explicatives – Paragraphe 4)</w:t>
      </w:r>
    </w:p>
    <w:p w:rsidR="00797CB8" w:rsidRPr="00745FBE" w:rsidRDefault="00797CB8" w:rsidP="00F546A7">
      <w:pPr>
        <w:keepNext/>
        <w:rPr>
          <w:lang w:val="fr-CH"/>
        </w:rPr>
      </w:pPr>
    </w:p>
    <w:p w:rsidR="00797CB8" w:rsidRPr="00745FBE" w:rsidRDefault="00F546A7" w:rsidP="00F546A7">
      <w:pPr>
        <w:rPr>
          <w:lang w:val="fr-CH"/>
        </w:rPr>
      </w:pPr>
      <w:r w:rsidRPr="00745FBE">
        <w:rPr>
          <w:lang w:val="fr-CH"/>
        </w:rPr>
        <w:t>4.</w:t>
      </w:r>
      <w:r w:rsidRPr="00745FBE">
        <w:rPr>
          <w:lang w:val="fr-CH"/>
        </w:rPr>
        <w:tab/>
        <w:t>Les notes qui suivent sont destinées à aider les services dans leur décision sur la convenance de la dénomination proposée et dans leur examen des objections et observations concernant les droits antérieurs de tiers.</w:t>
      </w:r>
    </w:p>
    <w:p w:rsidR="00797CB8" w:rsidRPr="00745FBE" w:rsidRDefault="00797CB8" w:rsidP="00F546A7">
      <w:pPr>
        <w:tabs>
          <w:tab w:val="left" w:pos="567"/>
        </w:tabs>
        <w:rPr>
          <w:lang w:val="fr-CH"/>
        </w:rPr>
      </w:pPr>
    </w:p>
    <w:p w:rsidR="00797CB8" w:rsidRPr="00745FBE" w:rsidRDefault="00F546A7" w:rsidP="00F546A7">
      <w:pPr>
        <w:rPr>
          <w:lang w:val="fr-CH"/>
        </w:rPr>
      </w:pPr>
      <w:r w:rsidRPr="00745FBE">
        <w:rPr>
          <w:lang w:val="fr-CH"/>
        </w:rPr>
        <w:tab/>
        <w:t>a)</w:t>
      </w:r>
      <w:r w:rsidRPr="00745FBE">
        <w:rPr>
          <w:lang w:val="fr-CH"/>
        </w:rPr>
        <w:tab/>
        <w:t>Un service n</w:t>
      </w:r>
      <w:r w:rsidR="009B26EF">
        <w:rPr>
          <w:lang w:val="fr-CH"/>
        </w:rPr>
        <w:t>’</w:t>
      </w:r>
      <w:r w:rsidRPr="00745FBE">
        <w:rPr>
          <w:lang w:val="fr-CH"/>
        </w:rPr>
        <w:t>acceptera pas une dénomination variétale lorsqu</w:t>
      </w:r>
      <w:r w:rsidR="009B26EF">
        <w:rPr>
          <w:lang w:val="fr-CH"/>
        </w:rPr>
        <w:t>’</w:t>
      </w:r>
      <w:r w:rsidRPr="00745FBE">
        <w:rPr>
          <w:highlight w:val="lightGray"/>
          <w:u w:val="single"/>
          <w:lang w:val="fr-CH"/>
        </w:rPr>
        <w:t>il existe</w:t>
      </w:r>
      <w:r w:rsidRPr="00745FBE">
        <w:rPr>
          <w:lang w:val="fr-CH"/>
        </w:rPr>
        <w:t xml:space="preserve"> un droit antérieur, dont l</w:t>
      </w:r>
      <w:r w:rsidR="009B26EF">
        <w:rPr>
          <w:lang w:val="fr-CH"/>
        </w:rPr>
        <w:t>’</w:t>
      </w:r>
      <w:r w:rsidRPr="00745FBE">
        <w:rPr>
          <w:lang w:val="fr-CH"/>
        </w:rPr>
        <w:t>exercice peut empêcher l</w:t>
      </w:r>
      <w:r w:rsidR="009B26EF">
        <w:rPr>
          <w:lang w:val="fr-CH"/>
        </w:rPr>
        <w:t>’</w:t>
      </w:r>
      <w:r w:rsidRPr="00745FBE">
        <w:rPr>
          <w:lang w:val="fr-CH"/>
        </w:rPr>
        <w:t>utilisation de la dénomination proposée</w:t>
      </w:r>
      <w:r w:rsidRPr="00745FBE">
        <w:rPr>
          <w:strike/>
          <w:highlight w:val="lightGray"/>
          <w:lang w:val="fr-CH"/>
        </w:rPr>
        <w:t>, a déjà été octroyé à un tiers en vertu du droit d</w:t>
      </w:r>
      <w:r w:rsidR="009B26EF">
        <w:rPr>
          <w:strike/>
          <w:highlight w:val="lightGray"/>
          <w:lang w:val="fr-CH"/>
        </w:rPr>
        <w:t>’</w:t>
      </w:r>
      <w:r w:rsidRPr="00745FBE">
        <w:rPr>
          <w:strike/>
          <w:highlight w:val="lightGray"/>
          <w:lang w:val="fr-CH"/>
        </w:rPr>
        <w:t>obtenteur, du droit des marques ou de toute autre législation en matière de propriété intellectuel</w:t>
      </w:r>
      <w:r w:rsidR="00440663" w:rsidRPr="00745FBE">
        <w:rPr>
          <w:strike/>
          <w:highlight w:val="lightGray"/>
          <w:lang w:val="fr-CH"/>
        </w:rPr>
        <w:t>le</w:t>
      </w:r>
      <w:r w:rsidR="00440663">
        <w:rPr>
          <w:strike/>
          <w:highlight w:val="lightGray"/>
          <w:lang w:val="fr-CH"/>
        </w:rPr>
        <w:t xml:space="preserve">.  </w:t>
      </w:r>
      <w:r w:rsidR="00440663" w:rsidRPr="00745FBE">
        <w:rPr>
          <w:lang w:val="fr-CH"/>
        </w:rPr>
        <w:t>Il</w:t>
      </w:r>
      <w:r w:rsidRPr="00745FBE">
        <w:rPr>
          <w:lang w:val="fr-CH"/>
        </w:rPr>
        <w:t xml:space="preserve"> incombe au titulaire d</w:t>
      </w:r>
      <w:r w:rsidR="009B26EF">
        <w:rPr>
          <w:lang w:val="fr-CH"/>
        </w:rPr>
        <w:t>’</w:t>
      </w:r>
      <w:r w:rsidRPr="00745FBE">
        <w:rPr>
          <w:lang w:val="fr-CH"/>
        </w:rPr>
        <w:t>un droit antérieur de faire valoir ses droits dans le cadre des procédures d</w:t>
      </w:r>
      <w:r w:rsidR="009B26EF">
        <w:rPr>
          <w:lang w:val="fr-CH"/>
        </w:rPr>
        <w:t>’</w:t>
      </w:r>
      <w:r w:rsidRPr="00745FBE">
        <w:rPr>
          <w:lang w:val="fr-CH"/>
        </w:rPr>
        <w:t>opposition ou des procédures judiciaires disponibl</w:t>
      </w:r>
      <w:r w:rsidR="00440663" w:rsidRPr="00745FBE">
        <w:rPr>
          <w:lang w:val="fr-CH"/>
        </w:rPr>
        <w:t>es</w:t>
      </w:r>
      <w:r w:rsidR="00440663">
        <w:rPr>
          <w:lang w:val="fr-CH"/>
        </w:rPr>
        <w:t xml:space="preserve">.  </w:t>
      </w:r>
      <w:r w:rsidR="00440663" w:rsidRPr="00745FBE">
        <w:rPr>
          <w:lang w:val="fr-CH"/>
        </w:rPr>
        <w:t>Ce</w:t>
      </w:r>
      <w:r w:rsidRPr="00745FBE">
        <w:rPr>
          <w:lang w:val="fr-CH"/>
        </w:rPr>
        <w:t>la étant, les services sont encourages à effectuer des recherches préalables dans les publications (par exemple les bulletins officiels) et les bases de données pertinentes (par exemple </w:t>
      </w:r>
      <w:r w:rsidRPr="00745FBE">
        <w:rPr>
          <w:color w:val="000000"/>
          <w:spacing w:val="-2"/>
          <w:lang w:val="fr-CH" w:eastAsia="ja-JP"/>
        </w:rPr>
        <w:t>la base de données PLUTO, à l</w:t>
      </w:r>
      <w:r w:rsidR="009B26EF">
        <w:rPr>
          <w:color w:val="000000"/>
          <w:spacing w:val="-2"/>
          <w:lang w:val="fr-CH" w:eastAsia="ja-JP"/>
        </w:rPr>
        <w:t>’</w:t>
      </w:r>
      <w:r w:rsidRPr="00745FBE">
        <w:rPr>
          <w:color w:val="000000"/>
          <w:spacing w:val="-2"/>
          <w:lang w:val="fr-CH" w:eastAsia="ja-JP"/>
        </w:rPr>
        <w:t xml:space="preserve">adresse </w:t>
      </w:r>
      <w:hyperlink r:id="rId9" w:history="1">
        <w:r w:rsidR="00D763EF" w:rsidRPr="00AB1EEF">
          <w:rPr>
            <w:rStyle w:val="Hyperlink"/>
            <w:spacing w:val="-2"/>
            <w:lang w:val="fr-CH" w:eastAsia="ja-JP"/>
          </w:rPr>
          <w:t>https://www.upov.int/pluto/fr/)</w:t>
        </w:r>
      </w:hyperlink>
      <w:r w:rsidRPr="00745FBE">
        <w:rPr>
          <w:lang w:val="fr-CH"/>
        </w:rPr>
        <w:t xml:space="preserve"> afin de recenser les droits antérieurs sur les dénominations variétales concerné</w:t>
      </w:r>
      <w:r w:rsidR="00440663" w:rsidRPr="00745FBE">
        <w:rPr>
          <w:lang w:val="fr-CH"/>
        </w:rPr>
        <w:t>es</w:t>
      </w:r>
      <w:r w:rsidR="00440663">
        <w:rPr>
          <w:lang w:val="fr-CH"/>
        </w:rPr>
        <w:t xml:space="preserve">.  </w:t>
      </w:r>
      <w:r w:rsidR="00440663" w:rsidRPr="00745FBE">
        <w:rPr>
          <w:lang w:val="fr-CH"/>
        </w:rPr>
        <w:t>Il</w:t>
      </w:r>
      <w:r w:rsidRPr="00745FBE">
        <w:rPr>
          <w:lang w:val="fr-CH"/>
        </w:rPr>
        <w:t>s peuvent aussi effectuer des recherches dans d</w:t>
      </w:r>
      <w:r w:rsidR="009B26EF">
        <w:rPr>
          <w:lang w:val="fr-CH"/>
        </w:rPr>
        <w:t>’</w:t>
      </w:r>
      <w:r w:rsidRPr="00745FBE">
        <w:rPr>
          <w:lang w:val="fr-CH"/>
        </w:rPr>
        <w:t>autres registres, tels que des registres de marques, avant d</w:t>
      </w:r>
      <w:r w:rsidR="009B26EF">
        <w:rPr>
          <w:lang w:val="fr-CH"/>
        </w:rPr>
        <w:t>’</w:t>
      </w:r>
      <w:r w:rsidRPr="00745FBE">
        <w:rPr>
          <w:lang w:val="fr-CH"/>
        </w:rPr>
        <w:t>accepter une dénomination variétale.</w:t>
      </w:r>
    </w:p>
    <w:p w:rsidR="00797CB8" w:rsidRPr="00745FBE" w:rsidRDefault="00797CB8" w:rsidP="00F546A7">
      <w:pPr>
        <w:rPr>
          <w:lang w:val="fr-CH" w:eastAsia="ja-JP"/>
        </w:rPr>
      </w:pPr>
    </w:p>
    <w:p w:rsidR="00797CB8" w:rsidRPr="00745FBE" w:rsidRDefault="00F546A7" w:rsidP="00F546A7">
      <w:pPr>
        <w:ind w:firstLine="567"/>
        <w:rPr>
          <w:lang w:val="fr-CH"/>
        </w:rPr>
      </w:pPr>
      <w:r w:rsidRPr="00745FBE">
        <w:rPr>
          <w:color w:val="000000"/>
          <w:lang w:val="fr-CH"/>
        </w:rPr>
        <w:t>b)</w:t>
      </w:r>
      <w:r w:rsidRPr="00745FBE">
        <w:rPr>
          <w:color w:val="000000"/>
          <w:lang w:val="fr-CH"/>
        </w:rPr>
        <w:tab/>
      </w:r>
      <w:r w:rsidRPr="00745FBE">
        <w:rPr>
          <w:lang w:val="fr-CH"/>
        </w:rPr>
        <w:t>La notion de droits antérieurs doit englober les droits qui sont en vigueur, sur le territoire concerné, au moment de la publication de la dénomination propos</w:t>
      </w:r>
      <w:r w:rsidR="00440663" w:rsidRPr="00745FBE">
        <w:rPr>
          <w:lang w:val="fr-CH"/>
        </w:rPr>
        <w:t>ée</w:t>
      </w:r>
      <w:r w:rsidR="00440663">
        <w:rPr>
          <w:lang w:val="fr-CH"/>
        </w:rPr>
        <w:t xml:space="preserve">.  </w:t>
      </w:r>
      <w:r w:rsidR="00440663" w:rsidRPr="00745FBE">
        <w:rPr>
          <w:lang w:val="fr-CH"/>
        </w:rPr>
        <w:t>En</w:t>
      </w:r>
      <w:r w:rsidRPr="00745FBE">
        <w:rPr>
          <w:lang w:val="fr-CH"/>
        </w:rPr>
        <w:t xml:space="preserve"> ce qui concerne les droits dont la durée débute à la date de dépôt de la demande, les dates de dépôt sont celles qui sont prises en compte dans l</w:t>
      </w:r>
      <w:r w:rsidR="009B26EF">
        <w:rPr>
          <w:lang w:val="fr-CH"/>
        </w:rPr>
        <w:t>’</w:t>
      </w:r>
      <w:r w:rsidRPr="00745FBE">
        <w:rPr>
          <w:lang w:val="fr-CH"/>
        </w:rPr>
        <w:t>examen des droits antérieurs, sous réserve que ces demandes aboutissent à l</w:t>
      </w:r>
      <w:r w:rsidR="009B26EF">
        <w:rPr>
          <w:lang w:val="fr-CH"/>
        </w:rPr>
        <w:t>’</w:t>
      </w:r>
      <w:r w:rsidRPr="00745FBE">
        <w:rPr>
          <w:lang w:val="fr-CH"/>
        </w:rPr>
        <w:t>octroi de droits.</w:t>
      </w:r>
    </w:p>
    <w:p w:rsidR="00797CB8" w:rsidRPr="00745FBE" w:rsidRDefault="00797CB8" w:rsidP="00F546A7">
      <w:pPr>
        <w:ind w:firstLine="567"/>
        <w:rPr>
          <w:lang w:val="fr-CH"/>
        </w:rPr>
      </w:pPr>
    </w:p>
    <w:p w:rsidR="00797CB8" w:rsidRPr="00745FBE" w:rsidRDefault="00F546A7" w:rsidP="00F546A7">
      <w:pPr>
        <w:ind w:firstLine="567"/>
        <w:rPr>
          <w:lang w:val="fr-CH"/>
        </w:rPr>
      </w:pPr>
      <w:r w:rsidRPr="00745FBE">
        <w:rPr>
          <w:lang w:val="fr-CH"/>
        </w:rPr>
        <w:t>c)</w:t>
      </w:r>
      <w:r w:rsidRPr="00745FBE">
        <w:rPr>
          <w:lang w:val="fr-CH"/>
        </w:rPr>
        <w:tab/>
        <w:t>Dans le cas de deux dénominations variétales proposées concurrentes (voir le paragraphe 2)) sur le même territoire ou sur des territoires différents, il convient de retenir la dénomination dont la date de publication est la plus antérieure;  le service compétent demandera à l</w:t>
      </w:r>
      <w:r w:rsidR="009B26EF">
        <w:rPr>
          <w:lang w:val="fr-CH"/>
        </w:rPr>
        <w:t>’</w:t>
      </w:r>
      <w:r w:rsidRPr="00745FBE">
        <w:rPr>
          <w:lang w:val="fr-CH"/>
        </w:rPr>
        <w:t>obtenteur, dont la dénomination proposée a été ou peut avoir été publiée à une date ultérieure, de soumettre une autre dénomination.</w:t>
      </w:r>
    </w:p>
    <w:p w:rsidR="00797CB8" w:rsidRPr="00745FBE" w:rsidRDefault="00797CB8" w:rsidP="00F546A7">
      <w:pPr>
        <w:ind w:firstLine="567"/>
        <w:rPr>
          <w:lang w:val="fr-CH"/>
        </w:rPr>
      </w:pPr>
    </w:p>
    <w:p w:rsidR="00797CB8" w:rsidRPr="00745FBE" w:rsidRDefault="00F546A7" w:rsidP="00F546A7">
      <w:pPr>
        <w:ind w:firstLine="567"/>
        <w:rPr>
          <w:lang w:val="fr-CH"/>
        </w:rPr>
      </w:pPr>
      <w:r w:rsidRPr="00745FBE">
        <w:rPr>
          <w:lang w:val="fr-CH"/>
        </w:rPr>
        <w:t>d)</w:t>
      </w:r>
      <w:r w:rsidRPr="00745FBE">
        <w:rPr>
          <w:lang w:val="fr-CH"/>
        </w:rPr>
        <w:tab/>
        <w:t>Si, après l</w:t>
      </w:r>
      <w:r w:rsidR="009B26EF">
        <w:rPr>
          <w:lang w:val="fr-CH"/>
        </w:rPr>
        <w:t>’</w:t>
      </w:r>
      <w:r w:rsidRPr="00745FBE">
        <w:rPr>
          <w:lang w:val="fr-CH"/>
        </w:rPr>
        <w:t>octroi d</w:t>
      </w:r>
      <w:r w:rsidR="009B26EF">
        <w:rPr>
          <w:lang w:val="fr-CH"/>
        </w:rPr>
        <w:t>’</w:t>
      </w:r>
      <w:r w:rsidRPr="00745FBE">
        <w:rPr>
          <w:lang w:val="fr-CH"/>
        </w:rPr>
        <w:t>un droit d</w:t>
      </w:r>
      <w:r w:rsidR="009B26EF">
        <w:rPr>
          <w:lang w:val="fr-CH"/>
        </w:rPr>
        <w:t>’</w:t>
      </w:r>
      <w:r w:rsidRPr="00745FBE">
        <w:rPr>
          <w:lang w:val="fr-CH"/>
        </w:rPr>
        <w:t>obtenteur, on constate l</w:t>
      </w:r>
      <w:r w:rsidR="009B26EF">
        <w:rPr>
          <w:lang w:val="fr-CH"/>
        </w:rPr>
        <w:t>’</w:t>
      </w:r>
      <w:r w:rsidRPr="00745FBE">
        <w:rPr>
          <w:lang w:val="fr-CH"/>
        </w:rPr>
        <w:t>existence d</w:t>
      </w:r>
      <w:r w:rsidR="009B26EF">
        <w:rPr>
          <w:lang w:val="fr-CH"/>
        </w:rPr>
        <w:t>’</w:t>
      </w:r>
      <w:r w:rsidRPr="00745FBE">
        <w:rPr>
          <w:lang w:val="fr-CH"/>
        </w:rPr>
        <w:t>un droit antérieur concernant la dénomination, qui aurait conduit au refus de cette dénomination, celle</w:t>
      </w:r>
      <w:r w:rsidR="009B26EF">
        <w:rPr>
          <w:lang w:val="fr-CH"/>
        </w:rPr>
        <w:t>-</w:t>
      </w:r>
      <w:r w:rsidRPr="00745FBE">
        <w:rPr>
          <w:lang w:val="fr-CH"/>
        </w:rPr>
        <w:t>ci sera radiée et l</w:t>
      </w:r>
      <w:r w:rsidR="009B26EF">
        <w:rPr>
          <w:lang w:val="fr-CH"/>
        </w:rPr>
        <w:t>’</w:t>
      </w:r>
      <w:r w:rsidRPr="00745FBE">
        <w:rPr>
          <w:lang w:val="fr-CH"/>
        </w:rPr>
        <w:t>obtenteur proposera une autre dénomination qui convienne à la varié</w:t>
      </w:r>
      <w:r w:rsidR="00440663" w:rsidRPr="00745FBE">
        <w:rPr>
          <w:lang w:val="fr-CH"/>
        </w:rPr>
        <w:t>té</w:t>
      </w:r>
      <w:r w:rsidR="00440663">
        <w:rPr>
          <w:lang w:val="fr-CH"/>
        </w:rPr>
        <w:t xml:space="preserve">.  </w:t>
      </w:r>
      <w:r w:rsidR="00440663" w:rsidRPr="00745FBE">
        <w:rPr>
          <w:lang w:val="fr-CH"/>
        </w:rPr>
        <w:t>L</w:t>
      </w:r>
      <w:r w:rsidR="00440663">
        <w:rPr>
          <w:lang w:val="fr-CH"/>
        </w:rPr>
        <w:t>’</w:t>
      </w:r>
      <w:r w:rsidR="00440663" w:rsidRPr="00745FBE">
        <w:rPr>
          <w:lang w:val="fr-CH"/>
        </w:rPr>
        <w:t>a</w:t>
      </w:r>
      <w:r w:rsidRPr="00745FBE">
        <w:rPr>
          <w:lang w:val="fr-CH"/>
        </w:rPr>
        <w:t>rticle 22.1)b)iii) de l</w:t>
      </w:r>
      <w:r w:rsidR="009B26EF">
        <w:rPr>
          <w:lang w:val="fr-CH"/>
        </w:rPr>
        <w:t>’</w:t>
      </w:r>
      <w:r w:rsidRPr="00745FBE">
        <w:rPr>
          <w:lang w:val="fr-CH"/>
        </w:rPr>
        <w:t>Acte de 1991 dispose que si l</w:t>
      </w:r>
      <w:r w:rsidR="009B26EF">
        <w:rPr>
          <w:lang w:val="fr-CH"/>
        </w:rPr>
        <w:t>’</w:t>
      </w:r>
      <w:r w:rsidRPr="00745FBE">
        <w:rPr>
          <w:lang w:val="fr-CH"/>
        </w:rPr>
        <w:t>obtenteur ne propose pas une autre dénomination qui convienne, le service peut radier le droit d</w:t>
      </w:r>
      <w:r w:rsidR="009B26EF">
        <w:rPr>
          <w:lang w:val="fr-CH"/>
        </w:rPr>
        <w:t>’</w:t>
      </w:r>
      <w:r w:rsidRPr="00745FBE">
        <w:rPr>
          <w:lang w:val="fr-CH"/>
        </w:rPr>
        <w:t>obtenteur.</w:t>
      </w:r>
    </w:p>
    <w:p w:rsidR="00797CB8" w:rsidRPr="00745FBE" w:rsidRDefault="00797CB8" w:rsidP="00F546A7">
      <w:pPr>
        <w:rPr>
          <w:lang w:val="fr-CH"/>
        </w:rPr>
      </w:pPr>
    </w:p>
    <w:p w:rsidR="00797CB8" w:rsidRPr="00745FBE" w:rsidRDefault="00F546A7" w:rsidP="00F546A7">
      <w:pPr>
        <w:ind w:firstLine="567"/>
        <w:rPr>
          <w:lang w:val="fr-CH"/>
        </w:rPr>
      </w:pPr>
      <w:r w:rsidRPr="00745FBE">
        <w:rPr>
          <w:lang w:val="fr-CH"/>
        </w:rPr>
        <w:t>e)</w:t>
      </w:r>
      <w:r w:rsidRPr="00745FBE">
        <w:rPr>
          <w:lang w:val="fr-CH"/>
        </w:rPr>
        <w:tab/>
        <w:t>On trouvera ci</w:t>
      </w:r>
      <w:r w:rsidR="009B26EF">
        <w:rPr>
          <w:lang w:val="fr-CH"/>
        </w:rPr>
        <w:t>-</w:t>
      </w:r>
      <w:r w:rsidRPr="00745FBE">
        <w:rPr>
          <w:lang w:val="fr-CH"/>
        </w:rPr>
        <w:t>après des indications sur ce qui peut constituer un “droit antérieur”, dont l</w:t>
      </w:r>
      <w:r w:rsidR="009B26EF">
        <w:rPr>
          <w:lang w:val="fr-CH"/>
        </w:rPr>
        <w:t>’</w:t>
      </w:r>
      <w:r w:rsidRPr="00745FBE">
        <w:rPr>
          <w:lang w:val="fr-CH"/>
        </w:rPr>
        <w:t>exercice peut empêcher l</w:t>
      </w:r>
      <w:r w:rsidR="009B26EF">
        <w:rPr>
          <w:lang w:val="fr-CH"/>
        </w:rPr>
        <w:t>’</w:t>
      </w:r>
      <w:r w:rsidRPr="00745FBE">
        <w:rPr>
          <w:lang w:val="fr-CH"/>
        </w:rPr>
        <w:t>utilisation de la dénomination proposée</w:t>
      </w:r>
      <w:r w:rsidR="009B26EF">
        <w:rPr>
          <w:lang w:val="fr-CH"/>
        </w:rPr>
        <w:t> :</w:t>
      </w:r>
    </w:p>
    <w:p w:rsidR="00797CB8" w:rsidRPr="00745FBE" w:rsidRDefault="00797CB8" w:rsidP="00F546A7">
      <w:pPr>
        <w:rPr>
          <w:lang w:val="fr-CH"/>
        </w:rPr>
      </w:pPr>
    </w:p>
    <w:p w:rsidR="00797CB8" w:rsidRPr="00745FBE" w:rsidRDefault="00F546A7" w:rsidP="00D763EF">
      <w:pPr>
        <w:spacing w:after="240"/>
        <w:rPr>
          <w:lang w:val="fr-CH"/>
        </w:rPr>
      </w:pPr>
      <w:r w:rsidRPr="00745FBE">
        <w:rPr>
          <w:lang w:val="fr-CH"/>
        </w:rPr>
        <w:tab/>
        <w:t>i)</w:t>
      </w:r>
      <w:r w:rsidRPr="00745FBE">
        <w:rPr>
          <w:lang w:val="fr-CH"/>
        </w:rPr>
        <w:tab/>
        <w:t>une marque peut être considérée comme un droit antérieur lorsque la dénomination proposée est identique à une marque enregistrée pour un produit identiq</w:t>
      </w:r>
      <w:r w:rsidR="00440663" w:rsidRPr="00745FBE">
        <w:rPr>
          <w:lang w:val="fr-CH"/>
        </w:rPr>
        <w:t>ue</w:t>
      </w:r>
      <w:r w:rsidR="00440663">
        <w:rPr>
          <w:lang w:val="fr-CH"/>
        </w:rPr>
        <w:t xml:space="preserve">.  </w:t>
      </w:r>
      <w:r w:rsidR="00440663" w:rsidRPr="00745FBE">
        <w:rPr>
          <w:lang w:val="fr-CH"/>
        </w:rPr>
        <w:t>En</w:t>
      </w:r>
      <w:r w:rsidRPr="00745FBE">
        <w:rPr>
          <w:lang w:val="fr-CH"/>
        </w:rPr>
        <w:t xml:space="preserve"> pratique, cette identité de produits a le plus de chances de se présenter dans le cas de marques enregistrées pour des produits appartenant à la classe 31 de la classification de Nice</w:t>
      </w:r>
      <w:r w:rsidRPr="00745FBE">
        <w:rPr>
          <w:rStyle w:val="FootnoteReference"/>
          <w:lang w:val="fr-CH"/>
        </w:rPr>
        <w:footnoteReference w:id="5"/>
      </w:r>
      <w:r w:rsidRPr="00745FBE">
        <w:rPr>
          <w:lang w:val="fr-CH"/>
        </w:rPr>
        <w:t>, même s</w:t>
      </w:r>
      <w:r w:rsidR="009B26EF">
        <w:rPr>
          <w:lang w:val="fr-CH"/>
        </w:rPr>
        <w:t>’</w:t>
      </w:r>
      <w:r w:rsidRPr="00745FBE">
        <w:rPr>
          <w:lang w:val="fr-CH"/>
        </w:rPr>
        <w:t>il convient de rappeler que dans certains pays, les marques peuvent aussi être protégées sur la base de l</w:t>
      </w:r>
      <w:r w:rsidR="009B26EF">
        <w:rPr>
          <w:lang w:val="fr-CH"/>
        </w:rPr>
        <w:t>’</w:t>
      </w:r>
      <w:r w:rsidRPr="00745FBE">
        <w:rPr>
          <w:lang w:val="fr-CH"/>
        </w:rPr>
        <w:t>utilisation et non de l</w:t>
      </w:r>
      <w:r w:rsidR="009B26EF">
        <w:rPr>
          <w:lang w:val="fr-CH"/>
        </w:rPr>
        <w:t>’</w:t>
      </w:r>
      <w:r w:rsidRPr="00745FBE">
        <w:rPr>
          <w:lang w:val="fr-CH"/>
        </w:rPr>
        <w:t>enregistreme</w:t>
      </w:r>
      <w:r w:rsidR="00440663" w:rsidRPr="00745FBE">
        <w:rPr>
          <w:lang w:val="fr-CH"/>
        </w:rPr>
        <w:t>nt</w:t>
      </w:r>
      <w:r w:rsidR="00440663">
        <w:rPr>
          <w:lang w:val="fr-CH"/>
        </w:rPr>
        <w:t xml:space="preserve">.  </w:t>
      </w:r>
      <w:r w:rsidR="00440663" w:rsidRPr="00745FBE">
        <w:rPr>
          <w:lang w:val="fr-CH"/>
        </w:rPr>
        <w:t>Si</w:t>
      </w:r>
      <w:r w:rsidRPr="00745FBE">
        <w:rPr>
          <w:lang w:val="fr-CH"/>
        </w:rPr>
        <w:t xml:space="preserve"> la marque et la dénomination proposée ne sont pas identiques, mais similaires, la marque, dans certains cas, peut constituer un droit antérieur, dont l</w:t>
      </w:r>
      <w:r w:rsidR="009B26EF">
        <w:rPr>
          <w:lang w:val="fr-CH"/>
        </w:rPr>
        <w:t>’</w:t>
      </w:r>
      <w:r w:rsidRPr="00745FBE">
        <w:rPr>
          <w:lang w:val="fr-CH"/>
        </w:rPr>
        <w:t>exercice peut empêcher l</w:t>
      </w:r>
      <w:r w:rsidR="009B26EF">
        <w:rPr>
          <w:lang w:val="fr-CH"/>
        </w:rPr>
        <w:t>’</w:t>
      </w:r>
      <w:r w:rsidRPr="00745FBE">
        <w:rPr>
          <w:lang w:val="fr-CH"/>
        </w:rPr>
        <w:t>utilisation de la dénomination proposée, et l</w:t>
      </w:r>
      <w:r w:rsidR="009B26EF">
        <w:rPr>
          <w:lang w:val="fr-CH"/>
        </w:rPr>
        <w:t>’</w:t>
      </w:r>
      <w:r w:rsidRPr="00745FBE">
        <w:rPr>
          <w:lang w:val="fr-CH"/>
        </w:rPr>
        <w:t>obtenteur peut être tenu de proposer une autre dénominati</w:t>
      </w:r>
      <w:r w:rsidR="00440663" w:rsidRPr="00745FBE">
        <w:rPr>
          <w:lang w:val="fr-CH"/>
        </w:rPr>
        <w:t>on</w:t>
      </w:r>
      <w:r w:rsidR="00440663">
        <w:rPr>
          <w:lang w:val="fr-CH"/>
        </w:rPr>
        <w:t xml:space="preserve">.  </w:t>
      </w:r>
      <w:r w:rsidR="00440663" w:rsidRPr="00745FBE">
        <w:rPr>
          <w:lang w:val="fr-CH"/>
        </w:rPr>
        <w:t>Si</w:t>
      </w:r>
      <w:r w:rsidRPr="00745FBE">
        <w:rPr>
          <w:lang w:val="fr-CH"/>
        </w:rPr>
        <w:t>, malgré la similitude entre la dénomination proposée et la marque, l</w:t>
      </w:r>
      <w:r w:rsidR="009B26EF">
        <w:rPr>
          <w:lang w:val="fr-CH"/>
        </w:rPr>
        <w:t>’</w:t>
      </w:r>
      <w:r w:rsidRPr="00745FBE">
        <w:rPr>
          <w:lang w:val="fr-CH"/>
        </w:rPr>
        <w:t>exercice du droit attaché à cette dernière n</w:t>
      </w:r>
      <w:r w:rsidR="009B26EF">
        <w:rPr>
          <w:lang w:val="fr-CH"/>
        </w:rPr>
        <w:t>’</w:t>
      </w:r>
      <w:r w:rsidRPr="00745FBE">
        <w:rPr>
          <w:lang w:val="fr-CH"/>
        </w:rPr>
        <w:t>empêche pas l</w:t>
      </w:r>
      <w:r w:rsidR="009B26EF">
        <w:rPr>
          <w:lang w:val="fr-CH"/>
        </w:rPr>
        <w:t>’</w:t>
      </w:r>
      <w:r w:rsidRPr="00745FBE">
        <w:rPr>
          <w:lang w:val="fr-CH"/>
        </w:rPr>
        <w:t>utilisation de la dénomination proposée, celle</w:t>
      </w:r>
      <w:r w:rsidR="009B26EF">
        <w:rPr>
          <w:lang w:val="fr-CH"/>
        </w:rPr>
        <w:t>-</w:t>
      </w:r>
      <w:r w:rsidRPr="00745FBE">
        <w:rPr>
          <w:lang w:val="fr-CH"/>
        </w:rPr>
        <w:t>ci peut être acceptée;  les rejets de dénominations par le service au motif de la similitude avec une marque découleront généralement d</w:t>
      </w:r>
      <w:r w:rsidR="009B26EF">
        <w:rPr>
          <w:lang w:val="fr-CH"/>
        </w:rPr>
        <w:t>’</w:t>
      </w:r>
      <w:r w:rsidRPr="00745FBE">
        <w:rPr>
          <w:lang w:val="fr-CH"/>
        </w:rPr>
        <w:t>oppositions formulées par des titulaires de marques, d</w:t>
      </w:r>
      <w:r w:rsidR="009B26EF">
        <w:rPr>
          <w:lang w:val="fr-CH"/>
        </w:rPr>
        <w:t>’</w:t>
      </w:r>
      <w:r w:rsidRPr="00745FBE">
        <w:rPr>
          <w:lang w:val="fr-CH"/>
        </w:rPr>
        <w:t>observations déposées par des services chargés de l</w:t>
      </w:r>
      <w:r w:rsidR="009B26EF">
        <w:rPr>
          <w:lang w:val="fr-CH"/>
        </w:rPr>
        <w:t>’</w:t>
      </w:r>
      <w:r w:rsidRPr="00745FBE">
        <w:rPr>
          <w:lang w:val="fr-CH"/>
        </w:rPr>
        <w:t>enregistrement des marques ou de jugements prononcés par un tribunal compéte</w:t>
      </w:r>
      <w:r w:rsidR="00440663" w:rsidRPr="00745FBE">
        <w:rPr>
          <w:lang w:val="fr-CH"/>
        </w:rPr>
        <w:t>nt</w:t>
      </w:r>
      <w:r w:rsidR="00440663">
        <w:rPr>
          <w:lang w:val="fr-CH"/>
        </w:rPr>
        <w:t xml:space="preserve">.  </w:t>
      </w:r>
      <w:r w:rsidR="00440663" w:rsidRPr="00745FBE">
        <w:rPr>
          <w:lang w:val="fr-CH"/>
        </w:rPr>
        <w:t>Da</w:t>
      </w:r>
      <w:r w:rsidRPr="00745FBE">
        <w:rPr>
          <w:lang w:val="fr-CH"/>
        </w:rPr>
        <w:t xml:space="preserve">ns les cas de simple similitude ou de faible risque </w:t>
      </w:r>
      <w:r w:rsidRPr="00745FBE">
        <w:rPr>
          <w:strike/>
          <w:highlight w:val="lightGray"/>
          <w:lang w:val="fr-CH"/>
        </w:rPr>
        <w:t>d</w:t>
      </w:r>
      <w:r w:rsidR="009B26EF">
        <w:rPr>
          <w:strike/>
          <w:highlight w:val="lightGray"/>
          <w:lang w:val="fr-CH"/>
        </w:rPr>
        <w:t>’</w:t>
      </w:r>
      <w:r w:rsidRPr="00745FBE">
        <w:rPr>
          <w:strike/>
          <w:highlight w:val="lightGray"/>
          <w:lang w:val="fr-CH"/>
        </w:rPr>
        <w:t>association</w:t>
      </w:r>
      <w:r w:rsidRPr="00745FBE">
        <w:rPr>
          <w:highlight w:val="lightGray"/>
          <w:u w:val="single"/>
          <w:lang w:val="fr-CH"/>
        </w:rPr>
        <w:t xml:space="preserve">de </w:t>
      </w:r>
      <w:r w:rsidRPr="00745FBE">
        <w:rPr>
          <w:highlight w:val="lightGray"/>
          <w:u w:val="single"/>
          <w:lang w:val="fr-CH" w:eastAsia="ja-JP"/>
        </w:rPr>
        <w:t>confusion</w:t>
      </w:r>
      <w:r w:rsidRPr="00745FBE">
        <w:rPr>
          <w:lang w:val="fr-CH" w:eastAsia="ja-JP"/>
        </w:rPr>
        <w:t xml:space="preserve"> </w:t>
      </w:r>
      <w:r w:rsidRPr="00745FBE">
        <w:rPr>
          <w:lang w:val="fr-CH"/>
        </w:rPr>
        <w:t>par les utilisateurs, des dérogations accordées aux obtenteurs par les titulaires des droits antérieurs sur une marque peuvent convenir;</w:t>
      </w:r>
    </w:p>
    <w:p w:rsidR="00797CB8" w:rsidRPr="00745FBE" w:rsidRDefault="00893C7D" w:rsidP="0090257E">
      <w:pPr>
        <w:tabs>
          <w:tab w:val="right" w:pos="1134"/>
          <w:tab w:val="left" w:pos="1418"/>
        </w:tabs>
        <w:rPr>
          <w:lang w:val="fr-CH"/>
        </w:rPr>
      </w:pPr>
      <w:r w:rsidRPr="00745FBE">
        <w:rPr>
          <w:lang w:val="fr-CH"/>
        </w:rPr>
        <w:lastRenderedPageBreak/>
        <w:tab/>
      </w:r>
      <w:r w:rsidR="0090257E" w:rsidRPr="00745FBE">
        <w:rPr>
          <w:lang w:val="fr-CH"/>
        </w:rPr>
        <w:t>ii)</w:t>
      </w:r>
      <w:r w:rsidR="0090257E" w:rsidRPr="00745FBE">
        <w:rPr>
          <w:lang w:val="fr-CH"/>
        </w:rPr>
        <w:tab/>
        <w:t>si elle est identique ou analogue à une marque notoirement connue, la dénomination proposée peut ne pas convenir, même si la marque notoirement connue s</w:t>
      </w:r>
      <w:r w:rsidR="009B26EF">
        <w:rPr>
          <w:lang w:val="fr-CH"/>
        </w:rPr>
        <w:t>’</w:t>
      </w:r>
      <w:r w:rsidR="0090257E" w:rsidRPr="00745FBE">
        <w:rPr>
          <w:lang w:val="fr-CH"/>
        </w:rPr>
        <w:t>applique à des produits différents de ceux appartenant à la classe 31 de la classification de Nice</w:t>
      </w:r>
      <w:r w:rsidR="00271536">
        <w:rPr>
          <w:lang w:val="fr-CH"/>
        </w:rPr>
        <w:t>;</w:t>
      </w:r>
      <w:r w:rsidR="0090257E" w:rsidRPr="00745FBE">
        <w:rPr>
          <w:rStyle w:val="FootnoteReference"/>
          <w:lang w:val="fr-CH"/>
        </w:rPr>
        <w:footnoteReference w:id="6"/>
      </w:r>
    </w:p>
    <w:p w:rsidR="00797CB8" w:rsidRPr="00745FBE" w:rsidRDefault="00797CB8" w:rsidP="0090257E">
      <w:pPr>
        <w:tabs>
          <w:tab w:val="right" w:pos="1134"/>
        </w:tabs>
        <w:rPr>
          <w:lang w:val="fr-CH"/>
        </w:rPr>
      </w:pPr>
    </w:p>
    <w:p w:rsidR="00797CB8" w:rsidRPr="00745FBE" w:rsidRDefault="0090257E" w:rsidP="0090257E">
      <w:pPr>
        <w:tabs>
          <w:tab w:val="right" w:pos="1134"/>
          <w:tab w:val="left" w:pos="1418"/>
        </w:tabs>
        <w:rPr>
          <w:lang w:val="fr-CH"/>
        </w:rPr>
      </w:pPr>
      <w:r w:rsidRPr="00745FBE">
        <w:rPr>
          <w:lang w:val="fr-CH"/>
        </w:rPr>
        <w:tab/>
        <w:t>iii)</w:t>
      </w:r>
      <w:r w:rsidRPr="00745FBE">
        <w:rPr>
          <w:lang w:val="fr-CH"/>
        </w:rPr>
        <w:tab/>
        <w:t>les droits antérieurs peuvent concerner aussi des noms commerciaux</w:t>
      </w:r>
      <w:r w:rsidRPr="00745FBE">
        <w:rPr>
          <w:rStyle w:val="FootnoteReference"/>
          <w:lang w:val="fr-CH"/>
        </w:rPr>
        <w:footnoteReference w:id="7"/>
      </w:r>
      <w:r w:rsidRPr="00745FBE">
        <w:rPr>
          <w:lang w:val="fr-CH"/>
        </w:rPr>
        <w:t xml:space="preserve"> et des noms de personnes célèbres;</w:t>
      </w:r>
    </w:p>
    <w:p w:rsidR="00797CB8" w:rsidRPr="00745FBE" w:rsidRDefault="00797CB8" w:rsidP="0090257E">
      <w:pPr>
        <w:tabs>
          <w:tab w:val="right" w:pos="1134"/>
        </w:tabs>
        <w:rPr>
          <w:lang w:val="fr-CH"/>
        </w:rPr>
      </w:pPr>
    </w:p>
    <w:p w:rsidR="00797CB8" w:rsidRPr="00745FBE" w:rsidRDefault="0090257E" w:rsidP="0090257E">
      <w:pPr>
        <w:tabs>
          <w:tab w:val="right" w:pos="1134"/>
          <w:tab w:val="left" w:pos="1418"/>
        </w:tabs>
        <w:rPr>
          <w:lang w:val="fr-CH"/>
        </w:rPr>
      </w:pPr>
      <w:r w:rsidRPr="00745FBE">
        <w:rPr>
          <w:lang w:val="fr-CH"/>
        </w:rPr>
        <w:tab/>
        <w:t xml:space="preserve">iv) </w:t>
      </w:r>
      <w:r w:rsidRPr="00745FBE">
        <w:rPr>
          <w:lang w:val="fr-CH"/>
        </w:rPr>
        <w:tab/>
        <w:t>les noms et abréviations d</w:t>
      </w:r>
      <w:r w:rsidR="009B26EF">
        <w:rPr>
          <w:lang w:val="fr-CH"/>
        </w:rPr>
        <w:t>’</w:t>
      </w:r>
      <w:r w:rsidRPr="00745FBE">
        <w:rPr>
          <w:lang w:val="fr-CH"/>
        </w:rPr>
        <w:t>organisations intergouvernementales, dont l</w:t>
      </w:r>
      <w:r w:rsidR="009B26EF">
        <w:rPr>
          <w:lang w:val="fr-CH"/>
        </w:rPr>
        <w:t>’</w:t>
      </w:r>
      <w:r w:rsidRPr="00745FBE">
        <w:rPr>
          <w:lang w:val="fr-CH"/>
        </w:rPr>
        <w:t>utilisation comme marques ou parties de marques est exclue par des conventions internationales, ne conviennent pas comme dénominations variétales</w:t>
      </w:r>
      <w:r w:rsidR="00D763EF">
        <w:rPr>
          <w:lang w:val="fr-CH"/>
        </w:rPr>
        <w:t>;</w:t>
      </w:r>
      <w:r w:rsidRPr="00745FBE">
        <w:rPr>
          <w:rStyle w:val="FootnoteReference"/>
          <w:lang w:val="fr-CH"/>
        </w:rPr>
        <w:footnoteReference w:id="8"/>
      </w:r>
    </w:p>
    <w:p w:rsidR="00797CB8" w:rsidRPr="00745FBE" w:rsidRDefault="00797CB8" w:rsidP="0090257E">
      <w:pPr>
        <w:ind w:firstLine="1134"/>
        <w:rPr>
          <w:lang w:val="fr-CH"/>
        </w:rPr>
      </w:pPr>
    </w:p>
    <w:p w:rsidR="00797CB8" w:rsidRPr="00745FBE" w:rsidRDefault="0090257E" w:rsidP="0090257E">
      <w:pPr>
        <w:tabs>
          <w:tab w:val="left" w:pos="993"/>
          <w:tab w:val="left" w:pos="1418"/>
        </w:tabs>
        <w:jc w:val="left"/>
        <w:rPr>
          <w:lang w:val="fr-CH"/>
        </w:rPr>
      </w:pPr>
      <w:r w:rsidRPr="00745FBE">
        <w:rPr>
          <w:lang w:val="fr-CH"/>
        </w:rPr>
        <w:tab/>
        <w:t>v)</w:t>
      </w:r>
      <w:r w:rsidRPr="00745FBE">
        <w:rPr>
          <w:lang w:val="fr-CH"/>
        </w:rPr>
        <w:tab/>
        <w:t>des droits antérieurs sur des appellations d</w:t>
      </w:r>
      <w:r w:rsidR="009B26EF">
        <w:rPr>
          <w:lang w:val="fr-CH"/>
        </w:rPr>
        <w:t>’</w:t>
      </w:r>
      <w:r w:rsidRPr="00745FBE">
        <w:rPr>
          <w:lang w:val="fr-CH"/>
        </w:rPr>
        <w:t xml:space="preserve">origine et des indications géographiques (par exemple “Scotch”) peuvent être conférés en vertu de la législation nationale selon les principes de la </w:t>
      </w:r>
      <w:r w:rsidRPr="00745FBE">
        <w:rPr>
          <w:i/>
          <w:lang w:val="fr-CH"/>
        </w:rPr>
        <w:t>common law</w:t>
      </w:r>
      <w:r w:rsidRPr="00745FBE">
        <w:rPr>
          <w:lang w:val="fr-CH"/>
        </w:rPr>
        <w:t xml:space="preserve"> ou d</w:t>
      </w:r>
      <w:r w:rsidR="009B26EF">
        <w:rPr>
          <w:lang w:val="fr-CH"/>
        </w:rPr>
        <w:t>’</w:t>
      </w:r>
      <w:r w:rsidRPr="00745FBE">
        <w:rPr>
          <w:lang w:val="fr-CH"/>
        </w:rPr>
        <w:t>un enregistrement;</w:t>
      </w:r>
      <w:r w:rsidR="00D763EF" w:rsidRPr="00745FBE">
        <w:rPr>
          <w:rStyle w:val="FootnoteReference"/>
          <w:lang w:val="fr-CH"/>
        </w:rPr>
        <w:footnoteReference w:id="9"/>
      </w:r>
    </w:p>
    <w:p w:rsidR="00797CB8" w:rsidRPr="00745FBE" w:rsidRDefault="00797CB8" w:rsidP="0090257E">
      <w:pPr>
        <w:tabs>
          <w:tab w:val="right" w:pos="1134"/>
          <w:tab w:val="left" w:pos="1418"/>
        </w:tabs>
        <w:rPr>
          <w:lang w:val="fr-CH"/>
        </w:rPr>
      </w:pPr>
    </w:p>
    <w:p w:rsidR="00797CB8" w:rsidRPr="00745FBE" w:rsidRDefault="0090257E" w:rsidP="0090257E">
      <w:pPr>
        <w:tabs>
          <w:tab w:val="right" w:pos="1134"/>
          <w:tab w:val="left" w:pos="1418"/>
        </w:tabs>
        <w:rPr>
          <w:lang w:val="fr-CH"/>
        </w:rPr>
      </w:pPr>
      <w:r w:rsidRPr="00745FBE">
        <w:rPr>
          <w:lang w:val="fr-CH"/>
        </w:rPr>
        <w:tab/>
        <w:t>vi)</w:t>
      </w:r>
      <w:r w:rsidRPr="00745FBE">
        <w:rPr>
          <w:lang w:val="fr-CH"/>
        </w:rPr>
        <w:tab/>
        <w:t>dans certains cas, des droits antérieurs sur des noms géographiques (par exemple des noms de villes ou d</w:t>
      </w:r>
      <w:r w:rsidR="009B26EF">
        <w:rPr>
          <w:lang w:val="fr-CH"/>
        </w:rPr>
        <w:t>’</w:t>
      </w:r>
      <w:r w:rsidRPr="00745FBE">
        <w:rPr>
          <w:lang w:val="fr-CH"/>
        </w:rPr>
        <w:t>États) peuvent exister;  il n</w:t>
      </w:r>
      <w:r w:rsidR="009B26EF">
        <w:rPr>
          <w:lang w:val="fr-CH"/>
        </w:rPr>
        <w:t>’</w:t>
      </w:r>
      <w:r w:rsidRPr="00745FBE">
        <w:rPr>
          <w:lang w:val="fr-CH"/>
        </w:rPr>
        <w:t>existe toutefois aucune règle générale applicable à ces cas et il convient de procéder à une évaluation sur la base du matériel probatoire présenté au cas par cas</w:t>
      </w:r>
      <w:r w:rsidR="00893C7D" w:rsidRPr="00745FBE">
        <w:rPr>
          <w:lang w:val="fr-CH"/>
        </w:rPr>
        <w:t>.</w:t>
      </w:r>
    </w:p>
    <w:p w:rsidR="00797CB8" w:rsidRPr="00745FBE" w:rsidRDefault="00797CB8" w:rsidP="00D51156">
      <w:pPr>
        <w:rPr>
          <w:lang w:val="fr-CH"/>
        </w:rPr>
      </w:pPr>
    </w:p>
    <w:p w:rsidR="00797CB8" w:rsidRPr="00745FBE" w:rsidRDefault="00797CB8" w:rsidP="00D51156">
      <w:pPr>
        <w:rPr>
          <w:lang w:val="fr-CH"/>
        </w:rPr>
      </w:pPr>
    </w:p>
    <w:p w:rsidR="00797CB8" w:rsidRPr="00745FBE" w:rsidRDefault="00797CB8" w:rsidP="00893C7D">
      <w:pPr>
        <w:jc w:val="left"/>
        <w:rPr>
          <w:b/>
          <w:lang w:val="fr-CH"/>
        </w:rPr>
      </w:pPr>
    </w:p>
    <w:p w:rsidR="00797CB8" w:rsidRPr="00745FBE" w:rsidRDefault="004359AA">
      <w:pPr>
        <w:rPr>
          <w:lang w:val="fr-CH"/>
        </w:rPr>
      </w:pPr>
      <w:r w:rsidRPr="00745FBE">
        <w:rPr>
          <w:lang w:val="fr-CH"/>
        </w:rPr>
        <w:br w:type="page"/>
      </w:r>
    </w:p>
    <w:p w:rsidR="00797CB8" w:rsidRPr="00745FBE" w:rsidRDefault="00D11DF0" w:rsidP="00D11DF0">
      <w:pPr>
        <w:pStyle w:val="Heading1"/>
        <w:rPr>
          <w:lang w:val="fr-CH"/>
        </w:rPr>
      </w:pPr>
      <w:bookmarkStart w:id="28" w:name="_Toc35937362"/>
      <w:r w:rsidRPr="00745FBE">
        <w:rPr>
          <w:lang w:val="fr-CH"/>
        </w:rPr>
        <w:lastRenderedPageBreak/>
        <w:t>Paragraphe 5</w:t>
      </w:r>
      <w:bookmarkEnd w:id="28"/>
    </w:p>
    <w:p w:rsidR="00797CB8" w:rsidRPr="00745FBE" w:rsidRDefault="00797CB8" w:rsidP="00D11DF0">
      <w:pPr>
        <w:keepNext/>
        <w:keepLines/>
        <w:ind w:firstLine="567"/>
        <w:rPr>
          <w:lang w:val="fr-CH"/>
        </w:rPr>
      </w:pPr>
    </w:p>
    <w:p w:rsidR="00797CB8" w:rsidRPr="00745FBE" w:rsidRDefault="00D11DF0" w:rsidP="00D11DF0">
      <w:pPr>
        <w:pStyle w:val="Heading2"/>
        <w:rPr>
          <w:lang w:val="fr-CH"/>
        </w:rPr>
      </w:pPr>
      <w:bookmarkStart w:id="29" w:name="_Toc35937363"/>
      <w:r w:rsidRPr="00745FBE">
        <w:rPr>
          <w:lang w:val="fr-CH"/>
        </w:rPr>
        <w:t>[Même dénomination dans tous les membres de l</w:t>
      </w:r>
      <w:r w:rsidR="009B26EF">
        <w:rPr>
          <w:lang w:val="fr-CH"/>
        </w:rPr>
        <w:t>’</w:t>
      </w:r>
      <w:r w:rsidRPr="00745FBE">
        <w:rPr>
          <w:lang w:val="fr-CH"/>
        </w:rPr>
        <w:t>Union]</w:t>
      </w:r>
      <w:bookmarkEnd w:id="29"/>
    </w:p>
    <w:p w:rsidR="00797CB8" w:rsidRPr="00745FBE" w:rsidRDefault="00797CB8" w:rsidP="00D11DF0">
      <w:pPr>
        <w:keepNext/>
        <w:ind w:left="1701" w:firstLine="567"/>
        <w:rPr>
          <w:b/>
          <w:lang w:val="fr-CH"/>
        </w:rPr>
      </w:pPr>
    </w:p>
    <w:p w:rsidR="00797CB8" w:rsidRPr="00745FBE" w:rsidRDefault="00D11DF0" w:rsidP="00D11DF0">
      <w:pPr>
        <w:keepNext/>
        <w:keepLines/>
        <w:ind w:firstLine="567"/>
        <w:rPr>
          <w:b/>
          <w:lang w:val="fr-CH"/>
        </w:rPr>
      </w:pPr>
      <w:r w:rsidRPr="00745FBE">
        <w:rPr>
          <w:b/>
          <w:lang w:val="fr-CH"/>
        </w:rPr>
        <w:t>Une variété ne peut faire l</w:t>
      </w:r>
      <w:r w:rsidR="009B26EF">
        <w:rPr>
          <w:b/>
          <w:lang w:val="fr-CH"/>
        </w:rPr>
        <w:t>’</w:t>
      </w:r>
      <w:r w:rsidRPr="00745FBE">
        <w:rPr>
          <w:b/>
          <w:lang w:val="fr-CH"/>
        </w:rPr>
        <w:t>objet de demandes d</w:t>
      </w:r>
      <w:r w:rsidR="009B26EF">
        <w:rPr>
          <w:b/>
          <w:lang w:val="fr-CH"/>
        </w:rPr>
        <w:t>’</w:t>
      </w:r>
      <w:r w:rsidRPr="00745FBE">
        <w:rPr>
          <w:b/>
          <w:lang w:val="fr-CH"/>
        </w:rPr>
        <w:t>octroi d</w:t>
      </w:r>
      <w:r w:rsidR="009B26EF">
        <w:rPr>
          <w:b/>
          <w:lang w:val="fr-CH"/>
        </w:rPr>
        <w:t>’</w:t>
      </w:r>
      <w:r w:rsidRPr="00745FBE">
        <w:rPr>
          <w:b/>
          <w:lang w:val="fr-CH"/>
        </w:rPr>
        <w:t>un droit d</w:t>
      </w:r>
      <w:r w:rsidR="009B26EF">
        <w:rPr>
          <w:b/>
          <w:lang w:val="fr-CH"/>
        </w:rPr>
        <w:t>’</w:t>
      </w:r>
      <w:r w:rsidRPr="00745FBE">
        <w:rPr>
          <w:b/>
          <w:lang w:val="fr-CH"/>
        </w:rPr>
        <w:t>obtenteur auprès des membres de l</w:t>
      </w:r>
      <w:r w:rsidR="009B26EF">
        <w:rPr>
          <w:b/>
          <w:lang w:val="fr-CH"/>
        </w:rPr>
        <w:t>’</w:t>
      </w:r>
      <w:r w:rsidRPr="00745FBE">
        <w:rPr>
          <w:b/>
          <w:lang w:val="fr-CH"/>
        </w:rPr>
        <w:t>Union que sous la même dénominati</w:t>
      </w:r>
      <w:r w:rsidR="00440663" w:rsidRPr="00745FBE">
        <w:rPr>
          <w:b/>
          <w:lang w:val="fr-CH"/>
        </w:rPr>
        <w:t>on</w:t>
      </w:r>
      <w:r w:rsidR="00440663">
        <w:rPr>
          <w:b/>
          <w:lang w:val="fr-CH"/>
        </w:rPr>
        <w:t xml:space="preserve">.  </w:t>
      </w:r>
      <w:r w:rsidR="00440663" w:rsidRPr="00745FBE">
        <w:rPr>
          <w:b/>
          <w:lang w:val="fr-CH"/>
        </w:rPr>
        <w:t>Le</w:t>
      </w:r>
      <w:r w:rsidRPr="00745FBE">
        <w:rPr>
          <w:b/>
          <w:lang w:val="fr-CH"/>
        </w:rPr>
        <w:t xml:space="preserve"> service compétent de chaque membre de l</w:t>
      </w:r>
      <w:r w:rsidR="009B26EF">
        <w:rPr>
          <w:b/>
          <w:lang w:val="fr-CH"/>
        </w:rPr>
        <w:t>’</w:t>
      </w:r>
      <w:r w:rsidRPr="00745FBE">
        <w:rPr>
          <w:b/>
          <w:lang w:val="fr-CH"/>
        </w:rPr>
        <w:t>Union est tenu d</w:t>
      </w:r>
      <w:r w:rsidR="009B26EF">
        <w:rPr>
          <w:b/>
          <w:lang w:val="fr-CH"/>
        </w:rPr>
        <w:t>’</w:t>
      </w:r>
      <w:r w:rsidRPr="00745FBE">
        <w:rPr>
          <w:b/>
          <w:lang w:val="fr-CH"/>
        </w:rPr>
        <w:t>enregistrer la dénomination ainsi proposée, à moins qu</w:t>
      </w:r>
      <w:r w:rsidR="009B26EF">
        <w:rPr>
          <w:b/>
          <w:lang w:val="fr-CH"/>
        </w:rPr>
        <w:t>’</w:t>
      </w:r>
      <w:r w:rsidRPr="00745FBE">
        <w:rPr>
          <w:b/>
          <w:lang w:val="fr-CH"/>
        </w:rPr>
        <w:t>il ne constate l</w:t>
      </w:r>
      <w:r w:rsidR="009B26EF">
        <w:rPr>
          <w:b/>
          <w:lang w:val="fr-CH"/>
        </w:rPr>
        <w:t>’</w:t>
      </w:r>
      <w:r w:rsidRPr="00745FBE">
        <w:rPr>
          <w:b/>
          <w:lang w:val="fr-CH"/>
        </w:rPr>
        <w:t>inadéquation de cette dénomination sur le territoire de ce membre de l</w:t>
      </w:r>
      <w:r w:rsidR="009B26EF">
        <w:rPr>
          <w:b/>
          <w:lang w:val="fr-CH"/>
        </w:rPr>
        <w:t>’</w:t>
      </w:r>
      <w:r w:rsidRPr="00745FBE">
        <w:rPr>
          <w:b/>
          <w:lang w:val="fr-CH"/>
        </w:rPr>
        <w:t>Uni</w:t>
      </w:r>
      <w:r w:rsidR="00440663" w:rsidRPr="00745FBE">
        <w:rPr>
          <w:b/>
          <w:lang w:val="fr-CH"/>
        </w:rPr>
        <w:t>on</w:t>
      </w:r>
      <w:r w:rsidR="00440663">
        <w:rPr>
          <w:b/>
          <w:lang w:val="fr-CH"/>
        </w:rPr>
        <w:t xml:space="preserve">.  </w:t>
      </w:r>
      <w:r w:rsidR="00440663" w:rsidRPr="00745FBE">
        <w:rPr>
          <w:b/>
          <w:lang w:val="fr-CH"/>
        </w:rPr>
        <w:t>Da</w:t>
      </w:r>
      <w:r w:rsidRPr="00745FBE">
        <w:rPr>
          <w:b/>
          <w:lang w:val="fr-CH"/>
        </w:rPr>
        <w:t>ns ce cas, il exige que l</w:t>
      </w:r>
      <w:r w:rsidR="009B26EF">
        <w:rPr>
          <w:b/>
          <w:lang w:val="fr-CH"/>
        </w:rPr>
        <w:t>’</w:t>
      </w:r>
      <w:r w:rsidRPr="00745FBE">
        <w:rPr>
          <w:b/>
          <w:lang w:val="fr-CH"/>
        </w:rPr>
        <w:t>obtenteur propose une autre dénomination.</w:t>
      </w:r>
    </w:p>
    <w:p w:rsidR="00797CB8" w:rsidRPr="00745FBE" w:rsidRDefault="00797CB8" w:rsidP="00D11DF0">
      <w:pPr>
        <w:keepNext/>
        <w:rPr>
          <w:i/>
          <w:lang w:val="fr-CH"/>
        </w:rPr>
      </w:pPr>
    </w:p>
    <w:p w:rsidR="00797CB8" w:rsidRPr="00745FBE" w:rsidRDefault="00D11DF0" w:rsidP="00D11DF0">
      <w:pPr>
        <w:keepNext/>
        <w:rPr>
          <w:u w:val="single"/>
          <w:lang w:val="fr-CH"/>
        </w:rPr>
      </w:pPr>
      <w:r w:rsidRPr="00745FBE">
        <w:rPr>
          <w:u w:val="single"/>
          <w:lang w:val="fr-CH"/>
        </w:rPr>
        <w:t>Notes explicatives – paragraphe 5)</w:t>
      </w:r>
    </w:p>
    <w:p w:rsidR="00797CB8" w:rsidRPr="00745FBE" w:rsidRDefault="00797CB8" w:rsidP="00D11DF0">
      <w:pPr>
        <w:keepNext/>
        <w:rPr>
          <w:lang w:val="fr-CH"/>
        </w:rPr>
      </w:pPr>
    </w:p>
    <w:p w:rsidR="00797CB8" w:rsidRPr="00745FBE" w:rsidRDefault="00D11DF0" w:rsidP="00D11DF0">
      <w:pPr>
        <w:rPr>
          <w:lang w:val="fr-CH"/>
        </w:rPr>
      </w:pPr>
      <w:r w:rsidRPr="00745FBE">
        <w:rPr>
          <w:lang w:val="fr-CH"/>
        </w:rPr>
        <w:t>5.1</w:t>
      </w:r>
      <w:r w:rsidRPr="00745FBE">
        <w:rPr>
          <w:lang w:val="fr-CH"/>
        </w:rPr>
        <w:tab/>
        <w:t>Cette disposition fait ressortir l</w:t>
      </w:r>
      <w:r w:rsidR="009B26EF">
        <w:rPr>
          <w:lang w:val="fr-CH"/>
        </w:rPr>
        <w:t>’</w:t>
      </w:r>
      <w:r w:rsidRPr="00745FBE">
        <w:rPr>
          <w:lang w:val="fr-CH"/>
        </w:rPr>
        <w:t>importance d</w:t>
      </w:r>
      <w:r w:rsidR="009B26EF">
        <w:rPr>
          <w:lang w:val="fr-CH"/>
        </w:rPr>
        <w:t>’</w:t>
      </w:r>
      <w:r w:rsidRPr="00745FBE">
        <w:rPr>
          <w:lang w:val="fr-CH"/>
        </w:rPr>
        <w:t>une seule et unique dénomination variétale pour le fonctionnement efficace du système de l</w:t>
      </w:r>
      <w:r w:rsidR="009B26EF">
        <w:rPr>
          <w:lang w:val="fr-CH"/>
        </w:rPr>
        <w:t>’</w:t>
      </w:r>
      <w:r w:rsidRPr="00745FBE">
        <w:rPr>
          <w:lang w:val="fr-CH"/>
        </w:rPr>
        <w:t>UPOV.</w:t>
      </w:r>
    </w:p>
    <w:p w:rsidR="00797CB8" w:rsidRPr="00745FBE" w:rsidRDefault="00797CB8" w:rsidP="00D11DF0">
      <w:pPr>
        <w:rPr>
          <w:lang w:val="fr-CH"/>
        </w:rPr>
      </w:pPr>
    </w:p>
    <w:p w:rsidR="00797CB8" w:rsidRPr="00745FBE" w:rsidRDefault="00D11DF0" w:rsidP="00D11DF0">
      <w:pPr>
        <w:rPr>
          <w:lang w:val="fr-CH"/>
        </w:rPr>
      </w:pPr>
      <w:r w:rsidRPr="00745FBE">
        <w:rPr>
          <w:lang w:val="fr-CH"/>
        </w:rPr>
        <w:t>5.2</w:t>
      </w:r>
      <w:r w:rsidRPr="00745FBE">
        <w:rPr>
          <w:lang w:val="fr-CH"/>
        </w:rPr>
        <w:tab/>
      </w:r>
      <w:r w:rsidRPr="00745FBE">
        <w:rPr>
          <w:i/>
          <w:lang w:val="fr-CH"/>
        </w:rPr>
        <w:t xml:space="preserve">Le paragraphe 5) </w:t>
      </w:r>
      <w:r w:rsidRPr="00745FBE">
        <w:rPr>
          <w:lang w:val="fr-CH"/>
        </w:rPr>
        <w:t>donne des orientations claires aussi bien aux obtenteurs qu</w:t>
      </w:r>
      <w:r w:rsidR="009B26EF">
        <w:rPr>
          <w:lang w:val="fr-CH"/>
        </w:rPr>
        <w:t>’</w:t>
      </w:r>
      <w:r w:rsidRPr="00745FBE">
        <w:rPr>
          <w:lang w:val="fr-CH"/>
        </w:rPr>
        <w:t>aux services</w:t>
      </w:r>
      <w:r w:rsidR="009B26EF">
        <w:rPr>
          <w:lang w:val="fr-CH"/>
        </w:rPr>
        <w:t> :</w:t>
      </w:r>
    </w:p>
    <w:p w:rsidR="00797CB8" w:rsidRPr="00745FBE" w:rsidRDefault="00797CB8" w:rsidP="00D11DF0">
      <w:pPr>
        <w:rPr>
          <w:lang w:val="fr-CH"/>
        </w:rPr>
      </w:pPr>
    </w:p>
    <w:p w:rsidR="00797CB8" w:rsidRPr="00745FBE" w:rsidRDefault="00D11DF0" w:rsidP="00D11DF0">
      <w:pPr>
        <w:ind w:firstLine="567"/>
        <w:rPr>
          <w:lang w:val="fr-CH"/>
        </w:rPr>
      </w:pPr>
      <w:r w:rsidRPr="00745FBE">
        <w:rPr>
          <w:lang w:val="fr-CH"/>
        </w:rPr>
        <w:t>a)</w:t>
      </w:r>
      <w:r w:rsidRPr="00745FBE">
        <w:rPr>
          <w:lang w:val="fr-CH"/>
        </w:rPr>
        <w:tab/>
        <w:t>en ce qui concerne les demandes ultérieures de la même variété, l</w:t>
      </w:r>
      <w:r w:rsidR="009B26EF">
        <w:rPr>
          <w:lang w:val="fr-CH"/>
        </w:rPr>
        <w:t>’</w:t>
      </w:r>
      <w:r w:rsidRPr="00745FBE">
        <w:rPr>
          <w:lang w:val="fr-CH"/>
        </w:rPr>
        <w:t>obtenteur doit soumettre dans tous les membres de l</w:t>
      </w:r>
      <w:r w:rsidR="009B26EF">
        <w:rPr>
          <w:lang w:val="fr-CH"/>
        </w:rPr>
        <w:t>’</w:t>
      </w:r>
      <w:r w:rsidRPr="00745FBE">
        <w:rPr>
          <w:lang w:val="fr-CH"/>
        </w:rPr>
        <w:t>Union la dénomination qui a été proposée dans la première deman</w:t>
      </w:r>
      <w:r w:rsidR="00440663" w:rsidRPr="00745FBE">
        <w:rPr>
          <w:lang w:val="fr-CH"/>
        </w:rPr>
        <w:t>de</w:t>
      </w:r>
      <w:r w:rsidR="00440663">
        <w:rPr>
          <w:lang w:val="fr-CH"/>
        </w:rPr>
        <w:t xml:space="preserve">.  </w:t>
      </w:r>
      <w:r w:rsidR="00440663" w:rsidRPr="00745FBE">
        <w:rPr>
          <w:lang w:val="fr-CH"/>
        </w:rPr>
        <w:t>Un</w:t>
      </w:r>
      <w:r w:rsidRPr="00745FBE">
        <w:rPr>
          <w:lang w:val="fr-CH"/>
        </w:rPr>
        <w:t>e dérogation à l</w:t>
      </w:r>
      <w:r w:rsidR="009B26EF">
        <w:rPr>
          <w:lang w:val="fr-CH"/>
        </w:rPr>
        <w:t>’</w:t>
      </w:r>
      <w:r w:rsidRPr="00745FBE">
        <w:rPr>
          <w:lang w:val="fr-CH"/>
        </w:rPr>
        <w:t>obligation susmentionnée peut convenir lorsque la dénomination proposée est refusée par un service avant qu</w:t>
      </w:r>
      <w:r w:rsidR="009B26EF">
        <w:rPr>
          <w:lang w:val="fr-CH"/>
        </w:rPr>
        <w:t>’</w:t>
      </w:r>
      <w:r w:rsidRPr="00745FBE">
        <w:rPr>
          <w:lang w:val="fr-CH"/>
        </w:rPr>
        <w:t>elle soit enregistrée par tout autre membre de l</w:t>
      </w:r>
      <w:r w:rsidR="009B26EF">
        <w:rPr>
          <w:lang w:val="fr-CH"/>
        </w:rPr>
        <w:t>’</w:t>
      </w:r>
      <w:r w:rsidRPr="00745FBE">
        <w:rPr>
          <w:lang w:val="fr-CH"/>
        </w:rPr>
        <w:t>Union, auquel cas l</w:t>
      </w:r>
      <w:r w:rsidR="009B26EF">
        <w:rPr>
          <w:lang w:val="fr-CH"/>
        </w:rPr>
        <w:t>’</w:t>
      </w:r>
      <w:r w:rsidRPr="00745FBE">
        <w:rPr>
          <w:lang w:val="fr-CH"/>
        </w:rPr>
        <w:t>obtenteur est encouragé à soumettre une nouvelle dénomination à tous les services afin d</w:t>
      </w:r>
      <w:r w:rsidR="009B26EF">
        <w:rPr>
          <w:lang w:val="fr-CH"/>
        </w:rPr>
        <w:t>’</w:t>
      </w:r>
      <w:r w:rsidRPr="00745FBE">
        <w:rPr>
          <w:lang w:val="fr-CH"/>
        </w:rPr>
        <w:t>obtenir une seule dénomination sur tous les territoires.</w:t>
      </w:r>
    </w:p>
    <w:p w:rsidR="00797CB8" w:rsidRPr="00745FBE" w:rsidRDefault="00797CB8" w:rsidP="00D11DF0">
      <w:pPr>
        <w:rPr>
          <w:lang w:val="fr-CH"/>
        </w:rPr>
      </w:pPr>
    </w:p>
    <w:p w:rsidR="00797CB8" w:rsidRPr="00745FBE" w:rsidRDefault="00D11DF0" w:rsidP="005F0A2E">
      <w:pPr>
        <w:ind w:firstLine="567"/>
        <w:rPr>
          <w:lang w:val="fr-CH"/>
        </w:rPr>
      </w:pPr>
      <w:r w:rsidRPr="00745FBE">
        <w:rPr>
          <w:lang w:val="fr-CH"/>
        </w:rPr>
        <w:t>b)</w:t>
      </w:r>
      <w:r w:rsidRPr="00745FBE">
        <w:rPr>
          <w:lang w:val="fr-CH"/>
        </w:rPr>
        <w:tab/>
        <w:t>l</w:t>
      </w:r>
      <w:r w:rsidR="009B26EF">
        <w:rPr>
          <w:lang w:val="fr-CH"/>
        </w:rPr>
        <w:t>’</w:t>
      </w:r>
      <w:r w:rsidRPr="00745FBE">
        <w:rPr>
          <w:lang w:val="fr-CH"/>
        </w:rPr>
        <w:t>obligation essentielle énoncée au paragraphe 5) réside dans l</w:t>
      </w:r>
      <w:r w:rsidR="009B26EF">
        <w:rPr>
          <w:lang w:val="fr-CH"/>
        </w:rPr>
        <w:t>’</w:t>
      </w:r>
      <w:r w:rsidRPr="00745FBE">
        <w:rPr>
          <w:lang w:val="fr-CH"/>
        </w:rPr>
        <w:t>acceptation par les services de la dénomination qui a été soumise et enregistrée avec la première demande, à moins que cette dénomination ne convienne pas sur leur territoire (voir la section 5.3).  Cela suppose que, même si certaines dispositions relatives aux dénominations variétales autorisent les services à élaborer leurs propres lignes directrices ou pratiques recommandées, l</w:t>
      </w:r>
      <w:r w:rsidR="009B26EF">
        <w:rPr>
          <w:lang w:val="fr-CH"/>
        </w:rPr>
        <w:t>’</w:t>
      </w:r>
      <w:r w:rsidRPr="00745FBE">
        <w:rPr>
          <w:lang w:val="fr-CH"/>
        </w:rPr>
        <w:t>obligation prévue au paragraphe 5) prévaudra, à moins que ces dispositions soient directement incompatibles avec d</w:t>
      </w:r>
      <w:r w:rsidR="009B26EF">
        <w:rPr>
          <w:lang w:val="fr-CH"/>
        </w:rPr>
        <w:t>’</w:t>
      </w:r>
      <w:r w:rsidRPr="00745FBE">
        <w:rPr>
          <w:lang w:val="fr-CH"/>
        </w:rPr>
        <w:t xml:space="preserve">autres dispositions pertinentes de la </w:t>
      </w:r>
      <w:r w:rsidR="009B26EF">
        <w:rPr>
          <w:lang w:val="fr-CH"/>
        </w:rPr>
        <w:t>Convention UPOV</w:t>
      </w:r>
      <w:r w:rsidRPr="00745FBE">
        <w:rPr>
          <w:lang w:val="fr-CH"/>
        </w:rPr>
        <w:t>.  À cet égard, il est en outre recommandé d</w:t>
      </w:r>
      <w:r w:rsidR="009B26EF">
        <w:rPr>
          <w:lang w:val="fr-CH"/>
        </w:rPr>
        <w:t>’</w:t>
      </w:r>
      <w:r w:rsidRPr="00745FBE">
        <w:rPr>
          <w:lang w:val="fr-CH"/>
        </w:rPr>
        <w:t xml:space="preserve">éviter toute interprétation restrictive des dispositions de la </w:t>
      </w:r>
      <w:r w:rsidR="009B26EF">
        <w:rPr>
          <w:lang w:val="fr-CH"/>
        </w:rPr>
        <w:t>Convention UPOV</w:t>
      </w:r>
      <w:r w:rsidRPr="00745FBE">
        <w:rPr>
          <w:lang w:val="fr-CH"/>
        </w:rPr>
        <w:t>, ainsi que des lignes directrices ou pratiques recommandées connexes, qui pourraient conduire au refus inutile de dénominations variétales et, par voie de conséquence, à la création inutile de synonymes pour une variété donn</w:t>
      </w:r>
      <w:r w:rsidR="00440663" w:rsidRPr="00745FBE">
        <w:rPr>
          <w:lang w:val="fr-CH"/>
        </w:rPr>
        <w:t>ée</w:t>
      </w:r>
      <w:r w:rsidR="00440663">
        <w:rPr>
          <w:lang w:val="fr-CH"/>
        </w:rPr>
        <w:t xml:space="preserve">.  </w:t>
      </w:r>
      <w:r w:rsidR="00440663" w:rsidRPr="00745FBE">
        <w:rPr>
          <w:u w:val="single"/>
          <w:shd w:val="pct15" w:color="auto" w:fill="FFFFFF"/>
          <w:lang w:val="fr-CH"/>
        </w:rPr>
        <w:t>Lo</w:t>
      </w:r>
      <w:r w:rsidR="005F0A2E" w:rsidRPr="00745FBE">
        <w:rPr>
          <w:u w:val="single"/>
          <w:shd w:val="pct15" w:color="auto" w:fill="FFFFFF"/>
          <w:lang w:val="fr-CH"/>
        </w:rPr>
        <w:t>rsque des dénominations différentes ont été acceptées pour une même variété par différents membres de l</w:t>
      </w:r>
      <w:r w:rsidR="009B26EF">
        <w:rPr>
          <w:u w:val="single"/>
          <w:shd w:val="pct15" w:color="auto" w:fill="FFFFFF"/>
          <w:lang w:val="fr-CH"/>
        </w:rPr>
        <w:t>’</w:t>
      </w:r>
      <w:r w:rsidR="005F0A2E" w:rsidRPr="00745FBE">
        <w:rPr>
          <w:u w:val="single"/>
          <w:shd w:val="pct15" w:color="auto" w:fill="FFFFFF"/>
          <w:lang w:val="fr-CH"/>
        </w:rPr>
        <w:t xml:space="preserve">Union, les services doivent accepter la dénomination qui </w:t>
      </w:r>
      <w:r w:rsidR="005D3941">
        <w:rPr>
          <w:u w:val="single"/>
          <w:shd w:val="pct15" w:color="auto" w:fill="FFFFFF"/>
          <w:lang w:val="fr-CH"/>
        </w:rPr>
        <w:t xml:space="preserve">a </w:t>
      </w:r>
      <w:r w:rsidR="005F0A2E" w:rsidRPr="00745FBE">
        <w:rPr>
          <w:u w:val="single"/>
          <w:shd w:val="pct15" w:color="auto" w:fill="FFFFFF"/>
          <w:lang w:val="fr-CH"/>
        </w:rPr>
        <w:t>été soumise et enregistrée avec la première demande, à moins que cette dénomination ne convienne pas sur leur territoire</w:t>
      </w:r>
      <w:r w:rsidR="005F0A2E" w:rsidRPr="00745FBE">
        <w:rPr>
          <w:shd w:val="pct15" w:color="auto" w:fill="FFFFFF"/>
          <w:lang w:val="fr-CH"/>
        </w:rPr>
        <w:t>;</w:t>
      </w:r>
    </w:p>
    <w:p w:rsidR="00797CB8" w:rsidRPr="00745FBE" w:rsidRDefault="00797CB8" w:rsidP="00893C7D">
      <w:pPr>
        <w:rPr>
          <w:lang w:val="fr-CH" w:eastAsia="ja-JP"/>
        </w:rPr>
      </w:pPr>
    </w:p>
    <w:p w:rsidR="00B508C3" w:rsidRPr="00745FBE" w:rsidRDefault="00893C7D" w:rsidP="00B508C3">
      <w:pPr>
        <w:spacing w:after="240"/>
        <w:rPr>
          <w:lang w:val="fr-CH"/>
        </w:rPr>
      </w:pPr>
      <w:r w:rsidRPr="00745FBE">
        <w:rPr>
          <w:lang w:val="fr-CH"/>
        </w:rPr>
        <w:tab/>
      </w:r>
      <w:r w:rsidR="00B508C3" w:rsidRPr="00745FBE">
        <w:rPr>
          <w:lang w:val="fr-CH"/>
        </w:rPr>
        <w:t>c)</w:t>
      </w:r>
      <w:r w:rsidR="00B508C3" w:rsidRPr="00745FBE">
        <w:rPr>
          <w:lang w:val="fr-CH"/>
        </w:rPr>
        <w:tab/>
        <w:t>en raison d</w:t>
      </w:r>
      <w:r w:rsidR="009B26EF">
        <w:rPr>
          <w:lang w:val="fr-CH"/>
        </w:rPr>
        <w:t>’</w:t>
      </w:r>
      <w:r w:rsidR="00B508C3" w:rsidRPr="00745FBE">
        <w:rPr>
          <w:lang w:val="fr-CH"/>
        </w:rPr>
        <w:t>alphabets ou de systèmes d</w:t>
      </w:r>
      <w:r w:rsidR="009B26EF">
        <w:rPr>
          <w:lang w:val="fr-CH"/>
        </w:rPr>
        <w:t>’</w:t>
      </w:r>
      <w:r w:rsidR="00B508C3" w:rsidRPr="00745FBE">
        <w:rPr>
          <w:lang w:val="fr-CH"/>
        </w:rPr>
        <w:t>écriture différents, il peut être nécessaire de procéder à la translittération ou à la transcription de la dénomination présentée pour pouvoir l</w:t>
      </w:r>
      <w:r w:rsidR="009B26EF">
        <w:rPr>
          <w:lang w:val="fr-CH"/>
        </w:rPr>
        <w:t>’</w:t>
      </w:r>
      <w:r w:rsidR="00B508C3" w:rsidRPr="00745FBE">
        <w:rPr>
          <w:lang w:val="fr-CH"/>
        </w:rPr>
        <w:t>enregistrer sur un autre territoi</w:t>
      </w:r>
      <w:r w:rsidR="00440663" w:rsidRPr="00745FBE">
        <w:rPr>
          <w:lang w:val="fr-CH"/>
        </w:rPr>
        <w:t>re</w:t>
      </w:r>
      <w:r w:rsidR="00440663">
        <w:rPr>
          <w:lang w:val="fr-CH"/>
        </w:rPr>
        <w:t xml:space="preserve">.  </w:t>
      </w:r>
      <w:r w:rsidR="00440663" w:rsidRPr="00745FBE">
        <w:rPr>
          <w:lang w:val="fr-CH"/>
        </w:rPr>
        <w:t>Da</w:t>
      </w:r>
      <w:r w:rsidR="00B508C3" w:rsidRPr="00745FBE">
        <w:rPr>
          <w:lang w:val="fr-CH"/>
        </w:rPr>
        <w:t>ns ce cas, la dénomination variétale faisant l</w:t>
      </w:r>
      <w:r w:rsidR="009B26EF">
        <w:rPr>
          <w:lang w:val="fr-CH"/>
        </w:rPr>
        <w:t>’</w:t>
      </w:r>
      <w:r w:rsidR="00B508C3" w:rsidRPr="00745FBE">
        <w:rPr>
          <w:lang w:val="fr-CH"/>
        </w:rPr>
        <w:t>objet de la demande ainsi que sa translittération ou transcription sont considérées comme étant la même dénominati</w:t>
      </w:r>
      <w:r w:rsidR="00440663" w:rsidRPr="00745FBE">
        <w:rPr>
          <w:lang w:val="fr-CH"/>
        </w:rPr>
        <w:t>on</w:t>
      </w:r>
      <w:r w:rsidR="00440663">
        <w:rPr>
          <w:lang w:val="fr-CH"/>
        </w:rPr>
        <w:t xml:space="preserve">.  </w:t>
      </w:r>
      <w:r w:rsidR="00440663" w:rsidRPr="00745FBE">
        <w:rPr>
          <w:lang w:val="fr-CH"/>
        </w:rPr>
        <w:t>En</w:t>
      </w:r>
      <w:r w:rsidR="00B508C3" w:rsidRPr="00745FBE">
        <w:rPr>
          <w:lang w:val="fr-CH"/>
        </w:rPr>
        <w:t xml:space="preserve"> revanche, une traduction ne saurait être considérée comme la même dénomination.</w:t>
      </w:r>
    </w:p>
    <w:p w:rsidR="00797CB8" w:rsidRPr="00745FBE" w:rsidRDefault="00B508C3" w:rsidP="00B508C3">
      <w:pPr>
        <w:rPr>
          <w:lang w:val="fr-CH"/>
        </w:rPr>
      </w:pPr>
      <w:r w:rsidRPr="00745FBE">
        <w:rPr>
          <w:lang w:val="fr-CH"/>
        </w:rPr>
        <w:t>5.3</w:t>
      </w:r>
      <w:r w:rsidRPr="00745FBE">
        <w:rPr>
          <w:lang w:val="fr-CH"/>
        </w:rPr>
        <w:tab/>
        <w:t>Même si une certaine souplesse est souhaitable, la liste non exhaustive ci</w:t>
      </w:r>
      <w:r w:rsidR="009B26EF">
        <w:rPr>
          <w:lang w:val="fr-CH"/>
        </w:rPr>
        <w:t>-</w:t>
      </w:r>
      <w:r w:rsidRPr="00745FBE">
        <w:rPr>
          <w:lang w:val="fr-CH"/>
        </w:rPr>
        <w:t>après peut aider les services dans leur décision quant à l</w:t>
      </w:r>
      <w:r w:rsidR="009B26EF">
        <w:rPr>
          <w:lang w:val="fr-CH"/>
        </w:rPr>
        <w:t>’</w:t>
      </w:r>
      <w:r w:rsidRPr="00745FBE">
        <w:rPr>
          <w:lang w:val="fr-CH"/>
        </w:rPr>
        <w:t>inadéquation de la dénominati</w:t>
      </w:r>
      <w:r w:rsidR="00440663" w:rsidRPr="00745FBE">
        <w:rPr>
          <w:lang w:val="fr-CH"/>
        </w:rPr>
        <w:t>on</w:t>
      </w:r>
      <w:r w:rsidR="00440663">
        <w:rPr>
          <w:lang w:val="fr-CH"/>
        </w:rPr>
        <w:t xml:space="preserve">.  </w:t>
      </w:r>
      <w:r w:rsidR="00440663" w:rsidRPr="00745FBE">
        <w:rPr>
          <w:lang w:val="fr-CH"/>
        </w:rPr>
        <w:t>Un</w:t>
      </w:r>
      <w:r w:rsidRPr="00745FBE">
        <w:rPr>
          <w:lang w:val="fr-CH"/>
        </w:rPr>
        <w:t>e dénomination proposée peut être refusée par le service compétent d</w:t>
      </w:r>
      <w:r w:rsidR="009B26EF">
        <w:rPr>
          <w:lang w:val="fr-CH"/>
        </w:rPr>
        <w:t>’</w:t>
      </w:r>
      <w:r w:rsidRPr="00745FBE">
        <w:rPr>
          <w:lang w:val="fr-CH"/>
        </w:rPr>
        <w:t>un membre s</w:t>
      </w:r>
      <w:r w:rsidR="009B26EF">
        <w:rPr>
          <w:lang w:val="fr-CH"/>
        </w:rPr>
        <w:t>’</w:t>
      </w:r>
      <w:r w:rsidRPr="00745FBE">
        <w:rPr>
          <w:lang w:val="fr-CH"/>
        </w:rPr>
        <w:t>il apparaît, malgré les efforts déployés (voir la section 5.5), que sur son territoire,</w:t>
      </w:r>
    </w:p>
    <w:p w:rsidR="00797CB8" w:rsidRPr="00745FBE" w:rsidRDefault="00797CB8" w:rsidP="00860F1C">
      <w:pPr>
        <w:rPr>
          <w:lang w:val="fr-CH" w:eastAsia="ja-JP"/>
        </w:rPr>
      </w:pPr>
    </w:p>
    <w:p w:rsidR="00B508C3" w:rsidRPr="00745FBE" w:rsidRDefault="00B508C3" w:rsidP="00B508C3">
      <w:pPr>
        <w:ind w:firstLine="567"/>
        <w:rPr>
          <w:lang w:val="fr-CH"/>
        </w:rPr>
      </w:pPr>
      <w:r w:rsidRPr="00745FBE">
        <w:rPr>
          <w:lang w:val="fr-CH"/>
        </w:rPr>
        <w:t xml:space="preserve">a) </w:t>
      </w:r>
      <w:r w:rsidRPr="00745FBE">
        <w:rPr>
          <w:lang w:val="fr-CH"/>
        </w:rPr>
        <w:tab/>
        <w:t>elle n</w:t>
      </w:r>
      <w:r w:rsidR="009B26EF">
        <w:rPr>
          <w:lang w:val="fr-CH"/>
        </w:rPr>
        <w:t>’</w:t>
      </w:r>
      <w:r w:rsidRPr="00745FBE">
        <w:rPr>
          <w:lang w:val="fr-CH"/>
        </w:rPr>
        <w:t xml:space="preserve">est pas conforme aux dispositions des paragraphes 2) </w:t>
      </w:r>
      <w:r w:rsidRPr="00745FBE">
        <w:rPr>
          <w:u w:val="single"/>
          <w:shd w:val="pct15" w:color="auto" w:fill="FFFFFF"/>
          <w:lang w:val="fr-CH"/>
        </w:rPr>
        <w:t>(par exemple, la dénomination proposée ne diffère pas de la dénomination d</w:t>
      </w:r>
      <w:r w:rsidR="009B26EF">
        <w:rPr>
          <w:u w:val="single"/>
          <w:shd w:val="pct15" w:color="auto" w:fill="FFFFFF"/>
          <w:lang w:val="fr-CH"/>
        </w:rPr>
        <w:t>’</w:t>
      </w:r>
      <w:r w:rsidRPr="00745FBE">
        <w:rPr>
          <w:u w:val="single"/>
          <w:shd w:val="pct15" w:color="auto" w:fill="FFFFFF"/>
          <w:lang w:val="fr-CH"/>
        </w:rPr>
        <w:t>une variété préexistante de la même espèce végétale ou d</w:t>
      </w:r>
      <w:r w:rsidR="009B26EF">
        <w:rPr>
          <w:u w:val="single"/>
          <w:shd w:val="pct15" w:color="auto" w:fill="FFFFFF"/>
          <w:lang w:val="fr-CH"/>
        </w:rPr>
        <w:t>’</w:t>
      </w:r>
      <w:r w:rsidRPr="00745FBE">
        <w:rPr>
          <w:u w:val="single"/>
          <w:shd w:val="pct15" w:color="auto" w:fill="FFFFFF"/>
          <w:lang w:val="fr-CH"/>
        </w:rPr>
        <w:t xml:space="preserve">une espèce voisine </w:t>
      </w:r>
      <w:r w:rsidRPr="00745FBE">
        <w:rPr>
          <w:dstrike/>
          <w:highlight w:val="yellow"/>
          <w:shd w:val="pct15" w:color="auto" w:fill="FFFFFF"/>
          <w:lang w:val="fr-CH"/>
        </w:rPr>
        <w:t>sur son territoire</w:t>
      </w:r>
      <w:r w:rsidRPr="00745FBE">
        <w:rPr>
          <w:u w:val="single"/>
          <w:shd w:val="pct15" w:color="auto" w:fill="FFFFFF"/>
          <w:lang w:val="fr-CH"/>
        </w:rPr>
        <w:t>)</w:t>
      </w:r>
      <w:r w:rsidRPr="00745FBE">
        <w:rPr>
          <w:highlight w:val="yellow"/>
          <w:shd w:val="pct15" w:color="auto" w:fill="FFFFFF"/>
          <w:vertAlign w:val="superscript"/>
          <w:lang w:val="fr-CH"/>
        </w:rPr>
        <w:t xml:space="preserve"> </w:t>
      </w:r>
      <w:r w:rsidRPr="00745FBE">
        <w:rPr>
          <w:highlight w:val="yellow"/>
          <w:shd w:val="pct15" w:color="auto" w:fill="FFFFFF"/>
          <w:vertAlign w:val="superscript"/>
          <w:lang w:val="fr-CH"/>
        </w:rPr>
        <w:endnoteReference w:id="2"/>
      </w:r>
      <w:r w:rsidRPr="00440663">
        <w:rPr>
          <w:lang w:val="fr-CH"/>
        </w:rPr>
        <w:t xml:space="preserve"> </w:t>
      </w:r>
      <w:r w:rsidRPr="00745FBE">
        <w:rPr>
          <w:lang w:val="fr-CH"/>
        </w:rPr>
        <w:t>et 4)</w:t>
      </w:r>
      <w:r w:rsidRPr="00745FBE">
        <w:rPr>
          <w:shd w:val="pct15" w:color="auto" w:fill="FFFFFF"/>
          <w:lang w:val="fr-CH"/>
        </w:rPr>
        <w:t xml:space="preserve"> </w:t>
      </w:r>
      <w:r w:rsidRPr="00745FBE">
        <w:rPr>
          <w:u w:val="single"/>
          <w:shd w:val="pct15" w:color="auto" w:fill="FFFFFF"/>
          <w:lang w:val="fr-CH"/>
        </w:rPr>
        <w:t>(par exemple, la dénomination proposée est identique à une marque enregistrée pour un produit identique)</w:t>
      </w:r>
      <w:r w:rsidRPr="00745FBE">
        <w:rPr>
          <w:lang w:val="fr-CH"/>
        </w:rPr>
        <w:t>;  ou</w:t>
      </w:r>
    </w:p>
    <w:p w:rsidR="00B508C3" w:rsidRPr="00745FBE" w:rsidRDefault="00B508C3" w:rsidP="00B508C3">
      <w:pPr>
        <w:ind w:firstLine="567"/>
        <w:rPr>
          <w:lang w:val="fr-CH"/>
        </w:rPr>
      </w:pPr>
    </w:p>
    <w:p w:rsidR="00797CB8" w:rsidRPr="00745FBE" w:rsidRDefault="00B508C3" w:rsidP="00B508C3">
      <w:pPr>
        <w:ind w:firstLine="567"/>
        <w:rPr>
          <w:lang w:val="fr-CH"/>
        </w:rPr>
      </w:pPr>
      <w:r w:rsidRPr="00745FBE">
        <w:rPr>
          <w:lang w:val="fr-CH"/>
        </w:rPr>
        <w:t>b)</w:t>
      </w:r>
      <w:r w:rsidRPr="00745FBE">
        <w:rPr>
          <w:lang w:val="fr-CH"/>
        </w:rPr>
        <w:tab/>
        <w:t>elle est contraire à l</w:t>
      </w:r>
      <w:r w:rsidR="009B26EF">
        <w:rPr>
          <w:lang w:val="fr-CH"/>
        </w:rPr>
        <w:t>’</w:t>
      </w:r>
      <w:r w:rsidRPr="00745FBE">
        <w:rPr>
          <w:lang w:val="fr-CH"/>
        </w:rPr>
        <w:t>intérêt général.</w:t>
      </w:r>
    </w:p>
    <w:p w:rsidR="00797CB8" w:rsidRPr="00745FBE" w:rsidRDefault="00797CB8" w:rsidP="00893C7D">
      <w:pPr>
        <w:ind w:firstLine="567"/>
        <w:rPr>
          <w:lang w:val="fr-CH"/>
        </w:rPr>
      </w:pPr>
    </w:p>
    <w:p w:rsidR="00B508C3" w:rsidRPr="00745FBE" w:rsidRDefault="00893C7D" w:rsidP="00B508C3">
      <w:pPr>
        <w:rPr>
          <w:lang w:val="fr-CH"/>
        </w:rPr>
      </w:pPr>
      <w:r w:rsidRPr="00745FBE">
        <w:rPr>
          <w:lang w:val="fr-CH"/>
        </w:rPr>
        <w:t>5.4</w:t>
      </w:r>
      <w:r w:rsidRPr="00745FBE">
        <w:rPr>
          <w:lang w:val="fr-CH"/>
        </w:rPr>
        <w:tab/>
      </w:r>
      <w:r w:rsidR="00B508C3" w:rsidRPr="00745FBE">
        <w:rPr>
          <w:lang w:val="fr-CH"/>
        </w:rPr>
        <w:t>Afin de permettre l</w:t>
      </w:r>
      <w:r w:rsidR="009B26EF">
        <w:rPr>
          <w:lang w:val="fr-CH"/>
        </w:rPr>
        <w:t>’</w:t>
      </w:r>
      <w:r w:rsidR="00B508C3" w:rsidRPr="00745FBE">
        <w:rPr>
          <w:lang w:val="fr-CH"/>
        </w:rPr>
        <w:t>identification correcte d</w:t>
      </w:r>
      <w:r w:rsidR="009B26EF">
        <w:rPr>
          <w:lang w:val="fr-CH"/>
        </w:rPr>
        <w:t>’</w:t>
      </w:r>
      <w:r w:rsidR="00B508C3" w:rsidRPr="00745FBE">
        <w:rPr>
          <w:lang w:val="fr-CH"/>
        </w:rPr>
        <w:t>une variété enregistrée sous différentes dénominations pour des raisons exceptionnelles (voir la section 5.3), sur des territoires différents, l</w:t>
      </w:r>
      <w:r w:rsidR="009B26EF">
        <w:rPr>
          <w:lang w:val="fr-CH"/>
        </w:rPr>
        <w:t>’</w:t>
      </w:r>
      <w:r w:rsidR="00B508C3" w:rsidRPr="00745FBE">
        <w:rPr>
          <w:lang w:val="fr-CH"/>
        </w:rPr>
        <w:t>UPOV ou certains membres de l</w:t>
      </w:r>
      <w:r w:rsidR="009B26EF">
        <w:rPr>
          <w:lang w:val="fr-CH"/>
        </w:rPr>
        <w:t>’</w:t>
      </w:r>
      <w:r w:rsidR="00B508C3" w:rsidRPr="00745FBE">
        <w:rPr>
          <w:lang w:val="fr-CH"/>
        </w:rPr>
        <w:t>Union peuvent établir un registre régional ou international de synonymes.</w:t>
      </w:r>
    </w:p>
    <w:p w:rsidR="00B508C3" w:rsidRPr="00745FBE" w:rsidRDefault="00B508C3" w:rsidP="00B508C3">
      <w:pPr>
        <w:rPr>
          <w:lang w:val="fr-CH"/>
        </w:rPr>
      </w:pPr>
    </w:p>
    <w:p w:rsidR="003961E1" w:rsidRDefault="00B508C3" w:rsidP="00B508C3">
      <w:pPr>
        <w:rPr>
          <w:lang w:val="fr-CH"/>
        </w:rPr>
      </w:pPr>
      <w:r w:rsidRPr="00745FBE">
        <w:rPr>
          <w:lang w:val="fr-CH"/>
        </w:rPr>
        <w:t>5.5</w:t>
      </w:r>
      <w:r w:rsidRPr="00745FBE">
        <w:rPr>
          <w:lang w:val="fr-CH"/>
        </w:rPr>
        <w:tab/>
        <w:t>Afin de limiter le risque d</w:t>
      </w:r>
      <w:r w:rsidR="009B26EF">
        <w:rPr>
          <w:lang w:val="fr-CH"/>
        </w:rPr>
        <w:t>’</w:t>
      </w:r>
      <w:r w:rsidRPr="00745FBE">
        <w:rPr>
          <w:lang w:val="fr-CH"/>
        </w:rPr>
        <w:t>inadéquation d</w:t>
      </w:r>
      <w:r w:rsidR="009B26EF">
        <w:rPr>
          <w:lang w:val="fr-CH"/>
        </w:rPr>
        <w:t>’</w:t>
      </w:r>
      <w:r w:rsidRPr="00745FBE">
        <w:rPr>
          <w:lang w:val="fr-CH"/>
        </w:rPr>
        <w:t>une dénomination variétale sur un territoire dans lequel une protection est demandée, les membres de l</w:t>
      </w:r>
      <w:r w:rsidR="009B26EF">
        <w:rPr>
          <w:lang w:val="fr-CH"/>
        </w:rPr>
        <w:t>’</w:t>
      </w:r>
      <w:r w:rsidRPr="00745FBE">
        <w:rPr>
          <w:lang w:val="fr-CH"/>
        </w:rPr>
        <w:t>Union sont encouragés à mettre à la disposition des autres services et obtenteurs les critères, lignes directrices et pratiques recommandées qu</w:t>
      </w:r>
      <w:r w:rsidR="009B26EF">
        <w:rPr>
          <w:lang w:val="fr-CH"/>
        </w:rPr>
        <w:t>’</w:t>
      </w:r>
      <w:r w:rsidRPr="00745FBE">
        <w:rPr>
          <w:lang w:val="fr-CH"/>
        </w:rPr>
        <w:t>ils appliquent aux dénominations variétal</w:t>
      </w:r>
      <w:r w:rsidR="00440663" w:rsidRPr="00745FBE">
        <w:rPr>
          <w:lang w:val="fr-CH"/>
        </w:rPr>
        <w:t>es</w:t>
      </w:r>
      <w:r w:rsidR="00440663">
        <w:rPr>
          <w:lang w:val="fr-CH"/>
        </w:rPr>
        <w:t xml:space="preserve">.  </w:t>
      </w:r>
      <w:r w:rsidR="00440663" w:rsidRPr="00745FBE">
        <w:rPr>
          <w:lang w:val="fr-CH"/>
        </w:rPr>
        <w:t>En</w:t>
      </w:r>
      <w:r w:rsidRPr="00745FBE">
        <w:rPr>
          <w:lang w:val="fr-CH"/>
        </w:rPr>
        <w:t xml:space="preserve"> particulier, les services sont encouragés à fournir toute fonction de recherche électronique qu</w:t>
      </w:r>
      <w:r w:rsidR="009B26EF">
        <w:rPr>
          <w:lang w:val="fr-CH"/>
        </w:rPr>
        <w:t>’</w:t>
      </w:r>
      <w:r w:rsidRPr="00745FBE">
        <w:rPr>
          <w:lang w:val="fr-CH"/>
        </w:rPr>
        <w:t>ils utilisent dans l</w:t>
      </w:r>
      <w:r w:rsidR="009B26EF">
        <w:rPr>
          <w:lang w:val="fr-CH"/>
        </w:rPr>
        <w:t>’</w:t>
      </w:r>
      <w:r w:rsidRPr="00745FBE">
        <w:rPr>
          <w:lang w:val="fr-CH"/>
        </w:rPr>
        <w:t>examen des dénominations de façon à permettre la vérification en ligne d</w:t>
      </w:r>
      <w:r w:rsidR="009B26EF">
        <w:rPr>
          <w:lang w:val="fr-CH"/>
        </w:rPr>
        <w:t>’</w:t>
      </w:r>
      <w:r w:rsidRPr="00745FBE">
        <w:rPr>
          <w:lang w:val="fr-CH"/>
        </w:rPr>
        <w:t xml:space="preserve">une dénomination variétale proposée dans des bases de données de variétés pertinentes et, en particulier, dans la base de </w:t>
      </w:r>
      <w:r w:rsidRPr="00745FBE">
        <w:rPr>
          <w:lang w:val="fr-CH"/>
        </w:rPr>
        <w:lastRenderedPageBreak/>
        <w:t xml:space="preserve">données </w:t>
      </w:r>
      <w:r w:rsidRPr="00745FBE">
        <w:rPr>
          <w:strike/>
          <w:highlight w:val="lightGray"/>
          <w:lang w:val="fr-CH"/>
        </w:rPr>
        <w:t>de l</w:t>
      </w:r>
      <w:r w:rsidR="009B26EF">
        <w:rPr>
          <w:strike/>
          <w:highlight w:val="lightGray"/>
          <w:lang w:val="fr-CH"/>
        </w:rPr>
        <w:t>’</w:t>
      </w:r>
      <w:r w:rsidRPr="00745FBE">
        <w:rPr>
          <w:strike/>
          <w:highlight w:val="lightGray"/>
          <w:lang w:val="fr-CH"/>
        </w:rPr>
        <w:t>UPOV sur les variétés végétales</w:t>
      </w:r>
      <w:r w:rsidRPr="00745FBE">
        <w:rPr>
          <w:highlight w:val="lightGray"/>
          <w:u w:val="single"/>
          <w:lang w:val="fr-CH"/>
        </w:rPr>
        <w:t>PL</w:t>
      </w:r>
      <w:r w:rsidR="00440663" w:rsidRPr="00745FBE">
        <w:rPr>
          <w:highlight w:val="lightGray"/>
          <w:u w:val="single"/>
          <w:lang w:val="fr-CH"/>
        </w:rPr>
        <w:t>UTO</w:t>
      </w:r>
      <w:r w:rsidR="00440663">
        <w:rPr>
          <w:highlight w:val="lightGray"/>
          <w:u w:val="single"/>
          <w:lang w:val="fr-CH"/>
        </w:rPr>
        <w:t xml:space="preserve">.  </w:t>
      </w:r>
      <w:r w:rsidR="00440663" w:rsidRPr="00745FBE">
        <w:rPr>
          <w:lang w:val="fr-CH"/>
        </w:rPr>
        <w:t>Le</w:t>
      </w:r>
      <w:r w:rsidRPr="00745FBE">
        <w:rPr>
          <w:lang w:val="fr-CH"/>
        </w:rPr>
        <w:t>s membres de l</w:t>
      </w:r>
      <w:r w:rsidR="009B26EF">
        <w:rPr>
          <w:lang w:val="fr-CH"/>
        </w:rPr>
        <w:t>’</w:t>
      </w:r>
      <w:r w:rsidRPr="00745FBE">
        <w:rPr>
          <w:lang w:val="fr-CH"/>
        </w:rPr>
        <w:t>Union peuvent également choisir d</w:t>
      </w:r>
      <w:r w:rsidR="009B26EF">
        <w:rPr>
          <w:lang w:val="fr-CH"/>
        </w:rPr>
        <w:t>’</w:t>
      </w:r>
      <w:r w:rsidRPr="00745FBE">
        <w:rPr>
          <w:lang w:val="fr-CH"/>
        </w:rPr>
        <w:t>assurer des services de vérification des dénominations variétales adaptés aux besoins des utilisateu</w:t>
      </w:r>
      <w:r w:rsidR="00440663" w:rsidRPr="00745FBE">
        <w:rPr>
          <w:lang w:val="fr-CH"/>
        </w:rPr>
        <w:t>rs</w:t>
      </w:r>
      <w:r w:rsidR="00440663">
        <w:rPr>
          <w:lang w:val="fr-CH"/>
        </w:rPr>
        <w:t xml:space="preserve">.  </w:t>
      </w:r>
      <w:r w:rsidR="00440663" w:rsidRPr="00745FBE">
        <w:rPr>
          <w:lang w:val="fr-CH"/>
        </w:rPr>
        <w:t>Il</w:t>
      </w:r>
      <w:r w:rsidRPr="00745FBE">
        <w:rPr>
          <w:lang w:val="fr-CH"/>
        </w:rPr>
        <w:t>s sont alors encouragés à utiliser le site Web de l</w:t>
      </w:r>
      <w:r w:rsidR="009B26EF">
        <w:rPr>
          <w:lang w:val="fr-CH"/>
        </w:rPr>
        <w:t>’</w:t>
      </w:r>
      <w:r w:rsidRPr="00745FBE">
        <w:rPr>
          <w:lang w:val="fr-CH"/>
        </w:rPr>
        <w:t>UPOV pour fournir des informations relatives à ces ressources ainsi que des liens vers ces dernières.</w:t>
      </w:r>
    </w:p>
    <w:p w:rsidR="003961E1" w:rsidRDefault="003961E1" w:rsidP="00B508C3">
      <w:pPr>
        <w:rPr>
          <w:lang w:val="fr-CH"/>
        </w:rPr>
      </w:pPr>
    </w:p>
    <w:p w:rsidR="00797CB8" w:rsidRPr="00745FBE" w:rsidRDefault="004359AA" w:rsidP="00B508C3">
      <w:pPr>
        <w:rPr>
          <w:lang w:val="fr-CH"/>
        </w:rPr>
      </w:pPr>
      <w:r w:rsidRPr="00745FBE">
        <w:rPr>
          <w:lang w:val="fr-CH"/>
        </w:rPr>
        <w:br w:type="page"/>
      </w:r>
    </w:p>
    <w:p w:rsidR="00E47AE4" w:rsidRPr="00745FBE" w:rsidRDefault="00E47AE4" w:rsidP="00E47AE4">
      <w:pPr>
        <w:pStyle w:val="Heading1"/>
        <w:rPr>
          <w:lang w:val="fr-CH"/>
        </w:rPr>
      </w:pPr>
      <w:bookmarkStart w:id="30" w:name="_Toc35937364"/>
      <w:r w:rsidRPr="00745FBE">
        <w:rPr>
          <w:lang w:val="fr-CH"/>
        </w:rPr>
        <w:lastRenderedPageBreak/>
        <w:t>Paragraphe 6</w:t>
      </w:r>
      <w:bookmarkEnd w:id="30"/>
    </w:p>
    <w:p w:rsidR="00E47AE4" w:rsidRPr="00745FBE" w:rsidRDefault="00E47AE4" w:rsidP="00E47AE4">
      <w:pPr>
        <w:keepNext/>
        <w:rPr>
          <w:lang w:val="fr-CH"/>
        </w:rPr>
      </w:pPr>
    </w:p>
    <w:p w:rsidR="00E47AE4" w:rsidRPr="00745FBE" w:rsidRDefault="00E47AE4" w:rsidP="00E47AE4">
      <w:pPr>
        <w:pStyle w:val="Heading2"/>
        <w:rPr>
          <w:lang w:val="fr-CH"/>
        </w:rPr>
      </w:pPr>
      <w:bookmarkStart w:id="31" w:name="_Toc35937365"/>
      <w:r w:rsidRPr="00745FBE">
        <w:rPr>
          <w:lang w:val="fr-CH"/>
        </w:rPr>
        <w:t>[Information mutuelle des services des membres de l</w:t>
      </w:r>
      <w:r w:rsidR="009B26EF">
        <w:rPr>
          <w:lang w:val="fr-CH"/>
        </w:rPr>
        <w:t>’</w:t>
      </w:r>
      <w:r w:rsidRPr="00745FBE">
        <w:rPr>
          <w:lang w:val="fr-CH"/>
        </w:rPr>
        <w:t>Union]</w:t>
      </w:r>
      <w:bookmarkEnd w:id="31"/>
    </w:p>
    <w:p w:rsidR="00E47AE4" w:rsidRPr="00745FBE" w:rsidRDefault="00E47AE4" w:rsidP="00E47AE4">
      <w:pPr>
        <w:rPr>
          <w:b/>
          <w:lang w:val="fr-CH"/>
        </w:rPr>
      </w:pPr>
    </w:p>
    <w:p w:rsidR="00E47AE4" w:rsidRPr="00745FBE" w:rsidRDefault="00E47AE4" w:rsidP="00E47AE4">
      <w:pPr>
        <w:rPr>
          <w:b/>
          <w:lang w:val="fr-CH"/>
        </w:rPr>
      </w:pPr>
      <w:r w:rsidRPr="00745FBE">
        <w:rPr>
          <w:b/>
          <w:lang w:val="fr-CH"/>
        </w:rPr>
        <w:tab/>
        <w:t>Le service d</w:t>
      </w:r>
      <w:r w:rsidR="009B26EF">
        <w:rPr>
          <w:b/>
          <w:lang w:val="fr-CH"/>
        </w:rPr>
        <w:t>’</w:t>
      </w:r>
      <w:r w:rsidRPr="00745FBE">
        <w:rPr>
          <w:b/>
          <w:lang w:val="fr-CH"/>
        </w:rPr>
        <w:t>un membre de l</w:t>
      </w:r>
      <w:r w:rsidR="009B26EF">
        <w:rPr>
          <w:b/>
          <w:lang w:val="fr-CH"/>
        </w:rPr>
        <w:t>’</w:t>
      </w:r>
      <w:r w:rsidRPr="00745FBE">
        <w:rPr>
          <w:b/>
          <w:lang w:val="fr-CH"/>
        </w:rPr>
        <w:t>Union doit assurer la communication aux services des autres membres de l</w:t>
      </w:r>
      <w:r w:rsidR="009B26EF">
        <w:rPr>
          <w:b/>
          <w:lang w:val="fr-CH"/>
        </w:rPr>
        <w:t>’</w:t>
      </w:r>
      <w:r w:rsidRPr="00745FBE">
        <w:rPr>
          <w:b/>
          <w:lang w:val="fr-CH"/>
        </w:rPr>
        <w:t>Union des informations relatives aux dénominations variétales, notamment de la proposition, de l</w:t>
      </w:r>
      <w:r w:rsidR="009B26EF">
        <w:rPr>
          <w:b/>
          <w:lang w:val="fr-CH"/>
        </w:rPr>
        <w:t>’</w:t>
      </w:r>
      <w:r w:rsidRPr="00745FBE">
        <w:rPr>
          <w:b/>
          <w:lang w:val="fr-CH"/>
        </w:rPr>
        <w:t>enregistrement et de la radiation de dénominatio</w:t>
      </w:r>
      <w:r w:rsidR="00440663" w:rsidRPr="00745FBE">
        <w:rPr>
          <w:b/>
          <w:lang w:val="fr-CH"/>
        </w:rPr>
        <w:t>ns</w:t>
      </w:r>
      <w:r w:rsidR="00440663">
        <w:rPr>
          <w:b/>
          <w:lang w:val="fr-CH"/>
        </w:rPr>
        <w:t xml:space="preserve">.  </w:t>
      </w:r>
      <w:r w:rsidR="00440663" w:rsidRPr="00745FBE">
        <w:rPr>
          <w:b/>
          <w:lang w:val="fr-CH"/>
        </w:rPr>
        <w:t>To</w:t>
      </w:r>
      <w:r w:rsidRPr="00745FBE">
        <w:rPr>
          <w:b/>
          <w:lang w:val="fr-CH"/>
        </w:rPr>
        <w:t>ut service peut transmettre ses observations éventuelles sur l</w:t>
      </w:r>
      <w:r w:rsidR="009B26EF">
        <w:rPr>
          <w:b/>
          <w:lang w:val="fr-CH"/>
        </w:rPr>
        <w:t>’</w:t>
      </w:r>
      <w:r w:rsidRPr="00745FBE">
        <w:rPr>
          <w:b/>
          <w:lang w:val="fr-CH"/>
        </w:rPr>
        <w:t>enregistrement d</w:t>
      </w:r>
      <w:r w:rsidR="009B26EF">
        <w:rPr>
          <w:b/>
          <w:lang w:val="fr-CH"/>
        </w:rPr>
        <w:t>’</w:t>
      </w:r>
      <w:r w:rsidRPr="00745FBE">
        <w:rPr>
          <w:b/>
          <w:lang w:val="fr-CH"/>
        </w:rPr>
        <w:t>une dénomination au service qui a communiqué cette dénomination.</w:t>
      </w:r>
    </w:p>
    <w:p w:rsidR="00E47AE4" w:rsidRPr="00745FBE" w:rsidRDefault="00E47AE4" w:rsidP="00E47AE4">
      <w:pPr>
        <w:rPr>
          <w:lang w:val="fr-CH"/>
        </w:rPr>
      </w:pPr>
    </w:p>
    <w:p w:rsidR="00E47AE4" w:rsidRPr="00745FBE" w:rsidRDefault="00E47AE4" w:rsidP="00E47AE4">
      <w:pPr>
        <w:keepNext/>
        <w:rPr>
          <w:u w:val="single"/>
          <w:lang w:val="fr-CH"/>
        </w:rPr>
      </w:pPr>
      <w:r w:rsidRPr="00745FBE">
        <w:rPr>
          <w:u w:val="single"/>
          <w:lang w:val="fr-CH"/>
        </w:rPr>
        <w:t>Notes explicatives – paragraphe 6)</w:t>
      </w:r>
    </w:p>
    <w:p w:rsidR="00E47AE4" w:rsidRPr="00745FBE" w:rsidRDefault="00E47AE4" w:rsidP="00E47AE4">
      <w:pPr>
        <w:keepNext/>
        <w:rPr>
          <w:lang w:val="fr-CH"/>
        </w:rPr>
      </w:pPr>
    </w:p>
    <w:p w:rsidR="00E47AE4" w:rsidRPr="00745FBE" w:rsidRDefault="00E47AE4" w:rsidP="00E47AE4">
      <w:pPr>
        <w:rPr>
          <w:lang w:val="fr-CH"/>
        </w:rPr>
      </w:pPr>
      <w:r w:rsidRPr="00745FBE">
        <w:rPr>
          <w:lang w:val="fr-CH"/>
        </w:rPr>
        <w:t>6.1</w:t>
      </w:r>
      <w:r w:rsidRPr="00745FBE">
        <w:rPr>
          <w:lang w:val="fr-CH"/>
        </w:rPr>
        <w:tab/>
        <w:t>Les dispositions du paragraphe 6) soulignent l</w:t>
      </w:r>
      <w:r w:rsidR="009B26EF">
        <w:rPr>
          <w:lang w:val="fr-CH"/>
        </w:rPr>
        <w:t>’</w:t>
      </w:r>
      <w:r w:rsidRPr="00745FBE">
        <w:rPr>
          <w:lang w:val="fr-CH"/>
        </w:rPr>
        <w:t>importance de la coopération et de l</w:t>
      </w:r>
      <w:r w:rsidR="009B26EF">
        <w:rPr>
          <w:lang w:val="fr-CH"/>
        </w:rPr>
        <w:t>’</w:t>
      </w:r>
      <w:r w:rsidRPr="00745FBE">
        <w:rPr>
          <w:lang w:val="fr-CH"/>
        </w:rPr>
        <w:t>échange d</w:t>
      </w:r>
      <w:r w:rsidR="009B26EF">
        <w:rPr>
          <w:lang w:val="fr-CH"/>
        </w:rPr>
        <w:t>’</w:t>
      </w:r>
      <w:r w:rsidRPr="00745FBE">
        <w:rPr>
          <w:lang w:val="fr-CH"/>
        </w:rPr>
        <w:t>informations entre services.</w:t>
      </w:r>
    </w:p>
    <w:p w:rsidR="00E47AE4" w:rsidRPr="00745FBE" w:rsidRDefault="00E47AE4" w:rsidP="00E47AE4">
      <w:pPr>
        <w:rPr>
          <w:lang w:val="fr-CH"/>
        </w:rPr>
      </w:pPr>
    </w:p>
    <w:p w:rsidR="00E47AE4" w:rsidRPr="00745FBE" w:rsidRDefault="00E47AE4" w:rsidP="00E47AE4">
      <w:pPr>
        <w:rPr>
          <w:lang w:val="fr-CH"/>
        </w:rPr>
      </w:pPr>
      <w:r w:rsidRPr="00745FBE">
        <w:rPr>
          <w:lang w:val="fr-CH"/>
        </w:rPr>
        <w:t>6.2</w:t>
      </w:r>
      <w:r w:rsidRPr="00745FBE">
        <w:rPr>
          <w:lang w:val="fr-CH"/>
        </w:rPr>
        <w:tab/>
        <w:t>L</w:t>
      </w:r>
      <w:r w:rsidR="009B26EF">
        <w:rPr>
          <w:lang w:val="fr-CH"/>
        </w:rPr>
        <w:t>’</w:t>
      </w:r>
      <w:r w:rsidRPr="00745FBE">
        <w:rPr>
          <w:lang w:val="fr-CH"/>
        </w:rPr>
        <w:t>obligation de communiquer aux autres membres de l</w:t>
      </w:r>
      <w:r w:rsidR="009B26EF">
        <w:rPr>
          <w:lang w:val="fr-CH"/>
        </w:rPr>
        <w:t>’</w:t>
      </w:r>
      <w:r w:rsidRPr="00745FBE">
        <w:rPr>
          <w:lang w:val="fr-CH"/>
        </w:rPr>
        <w:t>Union les informations relatives aux dénominations variétales repose sur l</w:t>
      </w:r>
      <w:r w:rsidR="009B26EF">
        <w:rPr>
          <w:lang w:val="fr-CH"/>
        </w:rPr>
        <w:t>’</w:t>
      </w:r>
      <w:r w:rsidRPr="00745FBE">
        <w:rPr>
          <w:lang w:val="fr-CH"/>
        </w:rPr>
        <w:t>échange de bulletins officiels et d</w:t>
      </w:r>
      <w:r w:rsidR="009B26EF">
        <w:rPr>
          <w:lang w:val="fr-CH"/>
        </w:rPr>
        <w:t>’</w:t>
      </w:r>
      <w:r w:rsidRPr="00745FBE">
        <w:rPr>
          <w:lang w:val="fr-CH"/>
        </w:rPr>
        <w:t>autres publicatio</w:t>
      </w:r>
      <w:r w:rsidR="00440663" w:rsidRPr="00745FBE">
        <w:rPr>
          <w:lang w:val="fr-CH"/>
        </w:rPr>
        <w:t>ns</w:t>
      </w:r>
      <w:r w:rsidR="00440663">
        <w:rPr>
          <w:lang w:val="fr-CH"/>
        </w:rPr>
        <w:t xml:space="preserve">.  </w:t>
      </w:r>
      <w:r w:rsidR="00440663" w:rsidRPr="00745FBE">
        <w:rPr>
          <w:lang w:val="fr-CH"/>
        </w:rPr>
        <w:t>Il</w:t>
      </w:r>
      <w:r w:rsidRPr="00745FBE">
        <w:rPr>
          <w:lang w:val="fr-CH"/>
        </w:rPr>
        <w:t xml:space="preserve"> est recommandé de présenter ces bulletins officiels conformément au bulletin type de l</w:t>
      </w:r>
      <w:r w:rsidR="009B26EF">
        <w:rPr>
          <w:lang w:val="fr-CH"/>
        </w:rPr>
        <w:t>’</w:t>
      </w:r>
      <w:r w:rsidRPr="00745FBE">
        <w:rPr>
          <w:lang w:val="fr-CH"/>
        </w:rPr>
        <w:t>UPOV concernant la protection des obtentions végétales (</w:t>
      </w:r>
      <w:r w:rsidR="009B26EF" w:rsidRPr="00745FBE">
        <w:rPr>
          <w:lang w:val="fr-CH"/>
        </w:rPr>
        <w:t>document</w:t>
      </w:r>
      <w:r w:rsidR="009B26EF">
        <w:rPr>
          <w:lang w:val="fr-CH"/>
        </w:rPr>
        <w:t xml:space="preserve"> </w:t>
      </w:r>
      <w:r w:rsidR="009B26EF" w:rsidRPr="00745FBE">
        <w:rPr>
          <w:lang w:val="fr-CH"/>
        </w:rPr>
        <w:t>UP</w:t>
      </w:r>
      <w:r w:rsidRPr="00745FBE">
        <w:rPr>
          <w:lang w:val="fr-CH"/>
        </w:rPr>
        <w:t>OV/INF/5);  en particulier, les chapitres contenant des informations sur les dénominations variétales seront signalés dans la table des matièr</w:t>
      </w:r>
      <w:r w:rsidR="00440663" w:rsidRPr="00745FBE">
        <w:rPr>
          <w:lang w:val="fr-CH"/>
        </w:rPr>
        <w:t>es</w:t>
      </w:r>
      <w:r w:rsidR="00440663">
        <w:rPr>
          <w:lang w:val="fr-CH"/>
        </w:rPr>
        <w:t xml:space="preserve">.  </w:t>
      </w:r>
      <w:r w:rsidR="00440663" w:rsidRPr="00745FBE">
        <w:rPr>
          <w:lang w:val="fr-CH"/>
        </w:rPr>
        <w:t>Ce</w:t>
      </w:r>
      <w:r w:rsidRPr="00745FBE">
        <w:rPr>
          <w:lang w:val="fr-CH"/>
        </w:rPr>
        <w:t xml:space="preserve">pendant, la base de données </w:t>
      </w:r>
      <w:r w:rsidRPr="00745FBE">
        <w:rPr>
          <w:highlight w:val="lightGray"/>
          <w:lang w:val="fr-CH"/>
        </w:rPr>
        <w:t>PLUTO</w:t>
      </w:r>
      <w:r w:rsidRPr="00745FBE">
        <w:rPr>
          <w:lang w:val="fr-CH"/>
        </w:rPr>
        <w:t xml:space="preserve"> </w:t>
      </w:r>
      <w:r w:rsidRPr="00745FBE">
        <w:rPr>
          <w:strike/>
          <w:highlight w:val="lightGray"/>
          <w:lang w:val="fr-CH"/>
        </w:rPr>
        <w:t>de l</w:t>
      </w:r>
      <w:r w:rsidR="009B26EF">
        <w:rPr>
          <w:strike/>
          <w:highlight w:val="lightGray"/>
          <w:lang w:val="fr-CH"/>
        </w:rPr>
        <w:t>’</w:t>
      </w:r>
      <w:r w:rsidRPr="00745FBE">
        <w:rPr>
          <w:strike/>
          <w:highlight w:val="lightGray"/>
          <w:lang w:val="fr-CH"/>
        </w:rPr>
        <w:t>UPOV sur les variétés végétales</w:t>
      </w:r>
      <w:r w:rsidRPr="00745FBE">
        <w:rPr>
          <w:lang w:val="fr-CH"/>
        </w:rPr>
        <w:t xml:space="preserve"> constitue un outil important permettant de tirer le meilleur parti des informations relatives aux dénominations variétales, mises à la disposition des membres de l</w:t>
      </w:r>
      <w:r w:rsidR="009B26EF">
        <w:rPr>
          <w:lang w:val="fr-CH"/>
        </w:rPr>
        <w:t>’</w:t>
      </w:r>
      <w:r w:rsidRPr="00745FBE">
        <w:rPr>
          <w:lang w:val="fr-CH"/>
        </w:rPr>
        <w:t>Union sous une forme pratique.</w:t>
      </w:r>
    </w:p>
    <w:p w:rsidR="00E47AE4" w:rsidRPr="00745FBE" w:rsidRDefault="00E47AE4" w:rsidP="00E47AE4">
      <w:pPr>
        <w:rPr>
          <w:lang w:val="fr-CH"/>
        </w:rPr>
      </w:pPr>
    </w:p>
    <w:p w:rsidR="00E47AE4" w:rsidRPr="00745FBE" w:rsidRDefault="00E47AE4" w:rsidP="00E47AE4">
      <w:pPr>
        <w:rPr>
          <w:lang w:val="fr-CH"/>
        </w:rPr>
      </w:pPr>
      <w:r w:rsidRPr="00745FBE">
        <w:rPr>
          <w:lang w:val="fr-CH"/>
        </w:rPr>
        <w:t>6.3</w:t>
      </w:r>
      <w:r w:rsidRPr="00745FBE">
        <w:rPr>
          <w:lang w:val="fr-CH"/>
        </w:rPr>
        <w:tab/>
        <w:t>Le paragraphe 6) prévoit la possibilité pour un membre de l</w:t>
      </w:r>
      <w:r w:rsidR="009B26EF">
        <w:rPr>
          <w:lang w:val="fr-CH"/>
        </w:rPr>
        <w:t>’</w:t>
      </w:r>
      <w:r w:rsidRPr="00745FBE">
        <w:rPr>
          <w:lang w:val="fr-CH"/>
        </w:rPr>
        <w:t>Union de formuler des observations lorsqu</w:t>
      </w:r>
      <w:r w:rsidR="009B26EF">
        <w:rPr>
          <w:lang w:val="fr-CH"/>
        </w:rPr>
        <w:t>’</w:t>
      </w:r>
      <w:r w:rsidRPr="00745FBE">
        <w:rPr>
          <w:lang w:val="fr-CH"/>
        </w:rPr>
        <w:t>il estime qu</w:t>
      </w:r>
      <w:r w:rsidR="009B26EF">
        <w:rPr>
          <w:lang w:val="fr-CH"/>
        </w:rPr>
        <w:t>’</w:t>
      </w:r>
      <w:r w:rsidRPr="00745FBE">
        <w:rPr>
          <w:lang w:val="fr-CH"/>
        </w:rPr>
        <w:t>une dénomination proposée dans un autre membre de l</w:t>
      </w:r>
      <w:r w:rsidR="009B26EF">
        <w:rPr>
          <w:lang w:val="fr-CH"/>
        </w:rPr>
        <w:t>’</w:t>
      </w:r>
      <w:r w:rsidRPr="00745FBE">
        <w:rPr>
          <w:lang w:val="fr-CH"/>
        </w:rPr>
        <w:t>Union ne convient p</w:t>
      </w:r>
      <w:r w:rsidR="00440663" w:rsidRPr="00745FBE">
        <w:rPr>
          <w:lang w:val="fr-CH"/>
        </w:rPr>
        <w:t>as</w:t>
      </w:r>
      <w:r w:rsidR="00440663">
        <w:rPr>
          <w:lang w:val="fr-CH"/>
        </w:rPr>
        <w:t xml:space="preserve">.  </w:t>
      </w:r>
      <w:r w:rsidR="00440663" w:rsidRPr="00745FBE">
        <w:rPr>
          <w:lang w:val="fr-CH"/>
        </w:rPr>
        <w:t>Eu</w:t>
      </w:r>
      <w:r w:rsidRPr="00745FBE">
        <w:rPr>
          <w:lang w:val="fr-CH"/>
        </w:rPr>
        <w:t xml:space="preserve"> égard en particulier aux dispositions du paragraphe 5), le service prendra en considération toutes les observations formulées par les services des autres États membres lorsqu</w:t>
      </w:r>
      <w:r w:rsidR="009B26EF">
        <w:rPr>
          <w:lang w:val="fr-CH"/>
        </w:rPr>
        <w:t>’</w:t>
      </w:r>
      <w:r w:rsidRPr="00745FBE">
        <w:rPr>
          <w:lang w:val="fr-CH"/>
        </w:rPr>
        <w:t>il se prononcera sur la convenance d</w:t>
      </w:r>
      <w:r w:rsidR="009B26EF">
        <w:rPr>
          <w:lang w:val="fr-CH"/>
        </w:rPr>
        <w:t>’</w:t>
      </w:r>
      <w:r w:rsidRPr="00745FBE">
        <w:rPr>
          <w:lang w:val="fr-CH"/>
        </w:rPr>
        <w:t>une dénomination propos</w:t>
      </w:r>
      <w:r w:rsidR="00440663" w:rsidRPr="00745FBE">
        <w:rPr>
          <w:lang w:val="fr-CH"/>
        </w:rPr>
        <w:t>ée</w:t>
      </w:r>
      <w:r w:rsidR="00440663">
        <w:rPr>
          <w:lang w:val="fr-CH"/>
        </w:rPr>
        <w:t xml:space="preserve">.  </w:t>
      </w:r>
      <w:r w:rsidR="00440663" w:rsidRPr="00745FBE">
        <w:rPr>
          <w:lang w:val="fr-CH"/>
        </w:rPr>
        <w:t>Si</w:t>
      </w:r>
      <w:r w:rsidRPr="00745FBE">
        <w:rPr>
          <w:lang w:val="fr-CH"/>
        </w:rPr>
        <w:t xml:space="preserve"> les observations concernent un obstacle à l</w:t>
      </w:r>
      <w:r w:rsidR="009B26EF">
        <w:rPr>
          <w:lang w:val="fr-CH"/>
        </w:rPr>
        <w:t>’</w:t>
      </w:r>
      <w:r w:rsidRPr="00745FBE">
        <w:rPr>
          <w:lang w:val="fr-CH"/>
        </w:rPr>
        <w:t xml:space="preserve">enregistrement qui est valable pour tous les membres, conformément aux dispositions relatives aux dénominations variétales en vertu de la </w:t>
      </w:r>
      <w:r w:rsidR="009B26EF">
        <w:rPr>
          <w:lang w:val="fr-CH"/>
        </w:rPr>
        <w:t>Convention UPOV</w:t>
      </w:r>
      <w:r w:rsidRPr="00745FBE">
        <w:rPr>
          <w:lang w:val="fr-CH"/>
        </w:rPr>
        <w:t>, la dénomination proposée sera refus</w:t>
      </w:r>
      <w:r w:rsidR="00440663" w:rsidRPr="00745FBE">
        <w:rPr>
          <w:lang w:val="fr-CH"/>
        </w:rPr>
        <w:t>ée</w:t>
      </w:r>
      <w:r w:rsidR="00440663">
        <w:rPr>
          <w:lang w:val="fr-CH"/>
        </w:rPr>
        <w:t xml:space="preserve">.  </w:t>
      </w:r>
      <w:r w:rsidR="00440663" w:rsidRPr="00745FBE">
        <w:rPr>
          <w:lang w:val="fr-CH"/>
        </w:rPr>
        <w:t>Si</w:t>
      </w:r>
      <w:r w:rsidRPr="00745FBE">
        <w:rPr>
          <w:lang w:val="fr-CH"/>
        </w:rPr>
        <w:t xml:space="preserve"> les observations concernent un obstacle à l</w:t>
      </w:r>
      <w:r w:rsidR="009B26EF">
        <w:rPr>
          <w:lang w:val="fr-CH"/>
        </w:rPr>
        <w:t>’</w:t>
      </w:r>
      <w:r w:rsidRPr="00745FBE">
        <w:rPr>
          <w:lang w:val="fr-CH"/>
        </w:rPr>
        <w:t>enregistrement uniquement dans le membre de l</w:t>
      </w:r>
      <w:r w:rsidR="009B26EF">
        <w:rPr>
          <w:lang w:val="fr-CH"/>
        </w:rPr>
        <w:t>’</w:t>
      </w:r>
      <w:r w:rsidRPr="00745FBE">
        <w:rPr>
          <w:lang w:val="fr-CH"/>
        </w:rPr>
        <w:t>Union qui a émis ces observations (par exemple un droit antérieur attaché à une marque sur son territoire), le demandeur en sera infor</w:t>
      </w:r>
      <w:r w:rsidR="00440663" w:rsidRPr="00745FBE">
        <w:rPr>
          <w:lang w:val="fr-CH"/>
        </w:rPr>
        <w:t>mé</w:t>
      </w:r>
      <w:r w:rsidR="00440663">
        <w:rPr>
          <w:lang w:val="fr-CH"/>
        </w:rPr>
        <w:t xml:space="preserve">.  </w:t>
      </w:r>
      <w:r w:rsidR="00440663" w:rsidRPr="00745FBE">
        <w:rPr>
          <w:lang w:val="fr-CH"/>
        </w:rPr>
        <w:t>S</w:t>
      </w:r>
      <w:r w:rsidR="00440663">
        <w:rPr>
          <w:lang w:val="fr-CH"/>
        </w:rPr>
        <w:t>’</w:t>
      </w:r>
      <w:r w:rsidR="00440663" w:rsidRPr="00745FBE">
        <w:rPr>
          <w:lang w:val="fr-CH"/>
        </w:rPr>
        <w:t>i</w:t>
      </w:r>
      <w:r w:rsidRPr="00745FBE">
        <w:rPr>
          <w:lang w:val="fr-CH"/>
        </w:rPr>
        <w:t>l est envisagé de déposer aussi une demande de protection ou s</w:t>
      </w:r>
      <w:r w:rsidR="009B26EF">
        <w:rPr>
          <w:lang w:val="fr-CH"/>
        </w:rPr>
        <w:t>’</w:t>
      </w:r>
      <w:r w:rsidRPr="00745FBE">
        <w:rPr>
          <w:lang w:val="fr-CH"/>
        </w:rPr>
        <w:t>il est à prévoir que du matériel de reproduction ou de multiplication végétative de cette variété sera commercialisé sur le territoire du membre de l</w:t>
      </w:r>
      <w:r w:rsidR="009B26EF">
        <w:rPr>
          <w:lang w:val="fr-CH"/>
        </w:rPr>
        <w:t>’</w:t>
      </w:r>
      <w:r w:rsidRPr="00745FBE">
        <w:rPr>
          <w:lang w:val="fr-CH"/>
        </w:rPr>
        <w:t>Union qui a émis ces observations, le service examinant la dénomination proposée exigera que le demandeur propose une autre dénomination.</w:t>
      </w:r>
    </w:p>
    <w:p w:rsidR="00E47AE4" w:rsidRPr="00745FBE" w:rsidRDefault="00E47AE4" w:rsidP="00E47AE4">
      <w:pPr>
        <w:rPr>
          <w:lang w:val="fr-CH"/>
        </w:rPr>
      </w:pPr>
    </w:p>
    <w:p w:rsidR="00E47AE4" w:rsidRPr="00745FBE" w:rsidRDefault="00E47AE4" w:rsidP="00E47AE4">
      <w:pPr>
        <w:pStyle w:val="BodyText"/>
        <w:rPr>
          <w:lang w:val="fr-CH"/>
        </w:rPr>
      </w:pPr>
      <w:r w:rsidRPr="00745FBE">
        <w:rPr>
          <w:lang w:val="fr-CH"/>
        </w:rPr>
        <w:t>6.4</w:t>
      </w:r>
      <w:r w:rsidRPr="00745FBE">
        <w:rPr>
          <w:lang w:val="fr-CH"/>
        </w:rPr>
        <w:tab/>
        <w:t>Les services formulant des observations et le service procédant à l</w:t>
      </w:r>
      <w:r w:rsidR="009B26EF">
        <w:rPr>
          <w:lang w:val="fr-CH"/>
        </w:rPr>
        <w:t>’</w:t>
      </w:r>
      <w:r w:rsidRPr="00745FBE">
        <w:rPr>
          <w:lang w:val="fr-CH"/>
        </w:rPr>
        <w:t>examen s</w:t>
      </w:r>
      <w:r w:rsidR="009B26EF">
        <w:rPr>
          <w:lang w:val="fr-CH"/>
        </w:rPr>
        <w:t>’</w:t>
      </w:r>
      <w:r w:rsidRPr="00745FBE">
        <w:rPr>
          <w:lang w:val="fr-CH"/>
        </w:rPr>
        <w:t>efforceront, dans la mesure du possible, de parvenir à un accord sur l</w:t>
      </w:r>
      <w:r w:rsidR="009B26EF">
        <w:rPr>
          <w:lang w:val="fr-CH"/>
        </w:rPr>
        <w:t>’</w:t>
      </w:r>
      <w:r w:rsidRPr="00745FBE">
        <w:rPr>
          <w:lang w:val="fr-CH"/>
        </w:rPr>
        <w:t>acceptabilité d</w:t>
      </w:r>
      <w:r w:rsidR="009B26EF">
        <w:rPr>
          <w:lang w:val="fr-CH"/>
        </w:rPr>
        <w:t>’</w:t>
      </w:r>
      <w:r w:rsidRPr="00745FBE">
        <w:rPr>
          <w:lang w:val="fr-CH"/>
        </w:rPr>
        <w:t>une dénomination variétale.</w:t>
      </w:r>
    </w:p>
    <w:p w:rsidR="00E47AE4" w:rsidRPr="00745FBE" w:rsidRDefault="00E47AE4" w:rsidP="00E47AE4">
      <w:pPr>
        <w:rPr>
          <w:lang w:val="fr-CH"/>
        </w:rPr>
      </w:pPr>
    </w:p>
    <w:p w:rsidR="00E47AE4" w:rsidRPr="00745FBE" w:rsidRDefault="00E47AE4" w:rsidP="00E47AE4">
      <w:pPr>
        <w:rPr>
          <w:lang w:val="fr-CH"/>
        </w:rPr>
      </w:pPr>
      <w:r w:rsidRPr="00745FBE">
        <w:rPr>
          <w:lang w:val="fr-CH"/>
        </w:rPr>
        <w:t>6.5</w:t>
      </w:r>
      <w:r w:rsidRPr="00745FBE">
        <w:rPr>
          <w:lang w:val="fr-CH"/>
        </w:rPr>
        <w:tab/>
        <w:t>Il est recommandé de communiquer la décision finale à tous les services qui ont émis des observations.</w:t>
      </w:r>
    </w:p>
    <w:p w:rsidR="00E47AE4" w:rsidRPr="00745FBE" w:rsidRDefault="00E47AE4" w:rsidP="00E47AE4">
      <w:pPr>
        <w:rPr>
          <w:lang w:val="fr-CH"/>
        </w:rPr>
      </w:pPr>
    </w:p>
    <w:p w:rsidR="00E47AE4" w:rsidRPr="00745FBE" w:rsidRDefault="00E47AE4" w:rsidP="00E47AE4">
      <w:pPr>
        <w:rPr>
          <w:lang w:val="fr-CH"/>
        </w:rPr>
      </w:pPr>
      <w:r w:rsidRPr="00745FBE">
        <w:rPr>
          <w:lang w:val="fr-CH"/>
        </w:rPr>
        <w:t>6.6</w:t>
      </w:r>
      <w:r w:rsidRPr="00745FBE">
        <w:rPr>
          <w:lang w:val="fr-CH"/>
        </w:rPr>
        <w:tab/>
        <w:t>Les services sont encouragés à envoyer des informations relatives aux dénominations variétales aux administrations chargées de la protection d</w:t>
      </w:r>
      <w:r w:rsidR="009B26EF">
        <w:rPr>
          <w:lang w:val="fr-CH"/>
        </w:rPr>
        <w:t>’</w:t>
      </w:r>
      <w:r w:rsidRPr="00745FBE">
        <w:rPr>
          <w:lang w:val="fr-CH"/>
        </w:rPr>
        <w:t>autres droits (par exemple les administrations chargées de l</w:t>
      </w:r>
      <w:r w:rsidR="009B26EF">
        <w:rPr>
          <w:lang w:val="fr-CH"/>
        </w:rPr>
        <w:t>’</w:t>
      </w:r>
      <w:r w:rsidRPr="00745FBE">
        <w:rPr>
          <w:lang w:val="fr-CH"/>
        </w:rPr>
        <w:t>enregistrement des marques).</w:t>
      </w:r>
    </w:p>
    <w:p w:rsidR="00E47AE4" w:rsidRPr="00745FBE" w:rsidRDefault="00E47AE4" w:rsidP="00E47AE4">
      <w:pPr>
        <w:rPr>
          <w:lang w:val="fr-CH"/>
        </w:rPr>
      </w:pPr>
    </w:p>
    <w:p w:rsidR="00E47AE4" w:rsidRPr="00745FBE" w:rsidRDefault="00E47AE4" w:rsidP="00E47AE4">
      <w:pPr>
        <w:rPr>
          <w:lang w:val="fr-CH"/>
        </w:rPr>
      </w:pPr>
      <w:r w:rsidRPr="00745FBE">
        <w:rPr>
          <w:lang w:val="fr-CH"/>
        </w:rPr>
        <w:t>6.7</w:t>
      </w:r>
      <w:r w:rsidRPr="00745FBE">
        <w:rPr>
          <w:lang w:val="fr-CH"/>
        </w:rPr>
        <w:tab/>
        <w:t>On trouvera dans l</w:t>
      </w:r>
      <w:r w:rsidR="009B26EF">
        <w:rPr>
          <w:lang w:val="fr-CH"/>
        </w:rPr>
        <w:t>’</w:t>
      </w:r>
      <w:r w:rsidRPr="00745FBE">
        <w:rPr>
          <w:lang w:val="fr-CH"/>
        </w:rPr>
        <w:t>annexe II le formulaire type pour la soumission d</w:t>
      </w:r>
      <w:r w:rsidR="009B26EF">
        <w:rPr>
          <w:lang w:val="fr-CH"/>
        </w:rPr>
        <w:t>’</w:t>
      </w:r>
      <w:r w:rsidRPr="00745FBE">
        <w:rPr>
          <w:lang w:val="fr-CH"/>
        </w:rPr>
        <w:t>observations sur des dénominations proposées déposées auprès d</w:t>
      </w:r>
      <w:r w:rsidR="009B26EF">
        <w:rPr>
          <w:lang w:val="fr-CH"/>
        </w:rPr>
        <w:t>’</w:t>
      </w:r>
      <w:r w:rsidRPr="00745FBE">
        <w:rPr>
          <w:lang w:val="fr-CH"/>
        </w:rPr>
        <w:t>un autre membre de l</w:t>
      </w:r>
      <w:r w:rsidR="009B26EF">
        <w:rPr>
          <w:lang w:val="fr-CH"/>
        </w:rPr>
        <w:t>’</w:t>
      </w:r>
      <w:r w:rsidRPr="00745FBE">
        <w:rPr>
          <w:lang w:val="fr-CH"/>
        </w:rPr>
        <w:t>Union, et dans l</w:t>
      </w:r>
      <w:r w:rsidR="009B26EF">
        <w:rPr>
          <w:lang w:val="fr-CH"/>
        </w:rPr>
        <w:t>’</w:t>
      </w:r>
      <w:r w:rsidRPr="00745FBE">
        <w:rPr>
          <w:lang w:val="fr-CH"/>
        </w:rPr>
        <w:t>annexe III le formulaire type pour la réponse à ces observatio</w:t>
      </w:r>
      <w:r w:rsidR="00440663" w:rsidRPr="00745FBE">
        <w:rPr>
          <w:lang w:val="fr-CH"/>
        </w:rPr>
        <w:t>ns</w:t>
      </w:r>
      <w:r w:rsidR="00440663">
        <w:rPr>
          <w:lang w:val="fr-CH"/>
        </w:rPr>
        <w:t xml:space="preserve">.  </w:t>
      </w:r>
      <w:r w:rsidR="00440663" w:rsidRPr="00745FBE">
        <w:rPr>
          <w:lang w:val="fr-CH"/>
        </w:rPr>
        <w:t>De</w:t>
      </w:r>
      <w:r w:rsidRPr="00745FBE">
        <w:rPr>
          <w:lang w:val="fr-CH"/>
        </w:rPr>
        <w:t>s copies de ces communications seront envoyées en même temps aux services des autres membres de l</w:t>
      </w:r>
      <w:r w:rsidR="009B26EF">
        <w:rPr>
          <w:lang w:val="fr-CH"/>
        </w:rPr>
        <w:t>’</w:t>
      </w:r>
      <w:r w:rsidRPr="00745FBE">
        <w:rPr>
          <w:lang w:val="fr-CH"/>
        </w:rPr>
        <w:t>Union.</w:t>
      </w:r>
    </w:p>
    <w:p w:rsidR="00E47AE4" w:rsidRPr="00745FBE" w:rsidRDefault="00E47AE4" w:rsidP="00E47AE4">
      <w:pPr>
        <w:rPr>
          <w:lang w:val="fr-CH"/>
        </w:rPr>
      </w:pPr>
    </w:p>
    <w:p w:rsidR="00797CB8" w:rsidRPr="00745FBE" w:rsidRDefault="00E47AE4" w:rsidP="00E47AE4">
      <w:pPr>
        <w:rPr>
          <w:u w:val="single"/>
          <w:lang w:val="fr-CH"/>
        </w:rPr>
      </w:pPr>
      <w:r w:rsidRPr="00745FBE">
        <w:rPr>
          <w:highlight w:val="lightGray"/>
          <w:u w:val="single"/>
          <w:lang w:val="fr-CH"/>
        </w:rPr>
        <w:t>6.8</w:t>
      </w:r>
      <w:r w:rsidRPr="00745FBE">
        <w:rPr>
          <w:highlight w:val="lightGray"/>
          <w:u w:val="single"/>
          <w:lang w:val="fr-CH"/>
        </w:rPr>
        <w:tab/>
        <w:t>L</w:t>
      </w:r>
      <w:r w:rsidR="009B26EF">
        <w:rPr>
          <w:highlight w:val="lightGray"/>
          <w:u w:val="single"/>
          <w:lang w:val="fr-CH"/>
        </w:rPr>
        <w:t>’</w:t>
      </w:r>
      <w:r w:rsidRPr="00745FBE">
        <w:rPr>
          <w:highlight w:val="lightGray"/>
          <w:u w:val="single"/>
          <w:lang w:val="fr-CH"/>
        </w:rPr>
        <w:t>apport de données dans la base de données PLUTO par les membres de l</w:t>
      </w:r>
      <w:r w:rsidR="009B26EF">
        <w:rPr>
          <w:highlight w:val="lightGray"/>
          <w:u w:val="single"/>
          <w:lang w:val="fr-CH"/>
        </w:rPr>
        <w:t>’</w:t>
      </w:r>
      <w:r w:rsidRPr="00745FBE">
        <w:rPr>
          <w:highlight w:val="lightGray"/>
          <w:u w:val="single"/>
          <w:lang w:val="fr-CH"/>
        </w:rPr>
        <w:t>Union permet de faciliter l</w:t>
      </w:r>
      <w:r w:rsidR="009B26EF">
        <w:rPr>
          <w:highlight w:val="lightGray"/>
          <w:u w:val="single"/>
          <w:lang w:val="fr-CH"/>
        </w:rPr>
        <w:t>’</w:t>
      </w:r>
      <w:r w:rsidRPr="00745FBE">
        <w:rPr>
          <w:highlight w:val="lightGray"/>
          <w:u w:val="single"/>
          <w:lang w:val="fr-CH"/>
        </w:rPr>
        <w:t>examen des dénominations variétal</w:t>
      </w:r>
      <w:r w:rsidR="00440663" w:rsidRPr="00745FBE">
        <w:rPr>
          <w:highlight w:val="lightGray"/>
          <w:u w:val="single"/>
          <w:lang w:val="fr-CH"/>
        </w:rPr>
        <w:t>es</w:t>
      </w:r>
      <w:r w:rsidR="00440663">
        <w:rPr>
          <w:highlight w:val="lightGray"/>
          <w:u w:val="single"/>
          <w:lang w:val="fr-CH"/>
        </w:rPr>
        <w:t xml:space="preserve">.  </w:t>
      </w:r>
      <w:r w:rsidR="00440663" w:rsidRPr="00745FBE">
        <w:rPr>
          <w:highlight w:val="lightGray"/>
          <w:u w:val="single"/>
          <w:lang w:val="fr-CH"/>
        </w:rPr>
        <w:t>Le</w:t>
      </w:r>
      <w:r w:rsidRPr="00745FBE">
        <w:rPr>
          <w:highlight w:val="lightGray"/>
          <w:u w:val="single"/>
          <w:lang w:val="fr-CH"/>
        </w:rPr>
        <w:t>s membres de l</w:t>
      </w:r>
      <w:r w:rsidR="009B26EF">
        <w:rPr>
          <w:highlight w:val="lightGray"/>
          <w:u w:val="single"/>
          <w:lang w:val="fr-CH"/>
        </w:rPr>
        <w:t>’</w:t>
      </w:r>
      <w:r w:rsidRPr="00745FBE">
        <w:rPr>
          <w:highlight w:val="lightGray"/>
          <w:u w:val="single"/>
          <w:lang w:val="fr-CH"/>
        </w:rPr>
        <w:t>Union sont encouragés à fournir des données dès que possible après leur publication par les services concern</w:t>
      </w:r>
      <w:r w:rsidR="00440663" w:rsidRPr="00745FBE">
        <w:rPr>
          <w:highlight w:val="lightGray"/>
          <w:u w:val="single"/>
          <w:lang w:val="fr-CH"/>
        </w:rPr>
        <w:t>és</w:t>
      </w:r>
      <w:r w:rsidR="00440663">
        <w:rPr>
          <w:highlight w:val="lightGray"/>
          <w:u w:val="single"/>
          <w:lang w:val="fr-CH"/>
        </w:rPr>
        <w:t xml:space="preserve">.  </w:t>
      </w:r>
      <w:r w:rsidR="00440663" w:rsidRPr="00745FBE">
        <w:rPr>
          <w:highlight w:val="lightGray"/>
          <w:u w:val="single"/>
          <w:lang w:val="fr-CH"/>
        </w:rPr>
        <w:t>La</w:t>
      </w:r>
      <w:r w:rsidRPr="00745FBE">
        <w:rPr>
          <w:highlight w:val="lightGray"/>
          <w:u w:val="single"/>
          <w:lang w:val="fr-CH"/>
        </w:rPr>
        <w:t xml:space="preserve"> base de données PLUTO sera actualisée aussi rapidement que possible après réception des nouvelles données, conformément à la procédure de téléchargeme</w:t>
      </w:r>
      <w:r w:rsidR="00440663" w:rsidRPr="00745FBE">
        <w:rPr>
          <w:highlight w:val="lightGray"/>
          <w:u w:val="single"/>
          <w:lang w:val="fr-CH"/>
        </w:rPr>
        <w:t>nt</w:t>
      </w:r>
      <w:r w:rsidR="00440663">
        <w:rPr>
          <w:highlight w:val="lightGray"/>
          <w:u w:val="single"/>
          <w:lang w:val="fr-CH"/>
        </w:rPr>
        <w:t xml:space="preserve">.  </w:t>
      </w:r>
      <w:r w:rsidR="00440663" w:rsidRPr="00745FBE">
        <w:rPr>
          <w:highlight w:val="lightGray"/>
          <w:u w:val="single"/>
          <w:lang w:val="fr-CH"/>
        </w:rPr>
        <w:t>La</w:t>
      </w:r>
      <w:r w:rsidRPr="00745FBE">
        <w:rPr>
          <w:highlight w:val="lightGray"/>
          <w:u w:val="single"/>
          <w:lang w:val="fr-CH"/>
        </w:rPr>
        <w:t xml:space="preserve"> base de données PLUTO peut, si nécessaire, être actualisée avec des données corrigées, conformément à la procédure de téléchargement.</w:t>
      </w:r>
    </w:p>
    <w:p w:rsidR="00797CB8" w:rsidRPr="00745FBE" w:rsidRDefault="00797CB8" w:rsidP="00893C7D">
      <w:pPr>
        <w:jc w:val="left"/>
        <w:rPr>
          <w:b/>
          <w:lang w:val="fr-CH"/>
        </w:rPr>
      </w:pPr>
    </w:p>
    <w:p w:rsidR="00797CB8" w:rsidRPr="00745FBE" w:rsidRDefault="00797CB8" w:rsidP="00893C7D">
      <w:pPr>
        <w:jc w:val="left"/>
        <w:rPr>
          <w:b/>
          <w:lang w:val="fr-CH"/>
        </w:rPr>
      </w:pPr>
    </w:p>
    <w:p w:rsidR="00797CB8" w:rsidRPr="00745FBE" w:rsidRDefault="00797CB8" w:rsidP="00893C7D">
      <w:pPr>
        <w:jc w:val="left"/>
        <w:rPr>
          <w:b/>
          <w:lang w:val="fr-CH"/>
        </w:rPr>
      </w:pPr>
    </w:p>
    <w:p w:rsidR="00797CB8" w:rsidRPr="00745FBE" w:rsidRDefault="002E12C4">
      <w:pPr>
        <w:rPr>
          <w:b/>
          <w:lang w:val="fr-CH"/>
        </w:rPr>
      </w:pPr>
      <w:r w:rsidRPr="00745FBE">
        <w:rPr>
          <w:lang w:val="fr-CH"/>
        </w:rPr>
        <w:br w:type="page"/>
      </w:r>
    </w:p>
    <w:p w:rsidR="00E47AE4" w:rsidRPr="00745FBE" w:rsidRDefault="00E47AE4" w:rsidP="00E47AE4">
      <w:pPr>
        <w:pStyle w:val="Heading1"/>
        <w:rPr>
          <w:lang w:val="fr-CH"/>
        </w:rPr>
      </w:pPr>
      <w:bookmarkStart w:id="32" w:name="_Toc35937366"/>
      <w:r w:rsidRPr="00745FBE">
        <w:rPr>
          <w:lang w:val="fr-CH"/>
        </w:rPr>
        <w:lastRenderedPageBreak/>
        <w:t>Paragraphe 7</w:t>
      </w:r>
      <w:bookmarkEnd w:id="32"/>
    </w:p>
    <w:p w:rsidR="00E47AE4" w:rsidRPr="00745FBE" w:rsidRDefault="00E47AE4" w:rsidP="00E47AE4">
      <w:pPr>
        <w:keepNext/>
        <w:rPr>
          <w:b/>
          <w:lang w:val="fr-CH"/>
        </w:rPr>
      </w:pPr>
    </w:p>
    <w:p w:rsidR="00E47AE4" w:rsidRPr="00745FBE" w:rsidRDefault="00E47AE4" w:rsidP="00E47AE4">
      <w:pPr>
        <w:pStyle w:val="Heading2"/>
        <w:rPr>
          <w:lang w:val="fr-CH"/>
        </w:rPr>
      </w:pPr>
      <w:bookmarkStart w:id="33" w:name="_Toc35937367"/>
      <w:r w:rsidRPr="00745FBE">
        <w:rPr>
          <w:lang w:val="fr-CH"/>
        </w:rPr>
        <w:t>[Obligation d</w:t>
      </w:r>
      <w:r w:rsidR="009B26EF">
        <w:rPr>
          <w:lang w:val="fr-CH"/>
        </w:rPr>
        <w:t>’</w:t>
      </w:r>
      <w:r w:rsidRPr="00745FBE">
        <w:rPr>
          <w:lang w:val="fr-CH"/>
        </w:rPr>
        <w:t>utiliser la dénomination]</w:t>
      </w:r>
      <w:bookmarkEnd w:id="33"/>
    </w:p>
    <w:p w:rsidR="00E47AE4" w:rsidRPr="00745FBE" w:rsidRDefault="00E47AE4" w:rsidP="00E47AE4">
      <w:pPr>
        <w:ind w:left="2268" w:firstLine="567"/>
        <w:rPr>
          <w:b/>
          <w:i/>
          <w:lang w:val="fr-CH"/>
        </w:rPr>
      </w:pPr>
    </w:p>
    <w:p w:rsidR="00E47AE4" w:rsidRPr="00745FBE" w:rsidRDefault="00E47AE4" w:rsidP="00E47AE4">
      <w:pPr>
        <w:rPr>
          <w:b/>
          <w:lang w:val="fr-CH"/>
        </w:rPr>
      </w:pPr>
      <w:r w:rsidRPr="00745FBE">
        <w:rPr>
          <w:b/>
          <w:lang w:val="fr-CH"/>
        </w:rPr>
        <w:t>Toute personne qui, sur le territoire de l</w:t>
      </w:r>
      <w:r w:rsidR="009B26EF">
        <w:rPr>
          <w:b/>
          <w:lang w:val="fr-CH"/>
        </w:rPr>
        <w:t>’</w:t>
      </w:r>
      <w:r w:rsidRPr="00745FBE">
        <w:rPr>
          <w:b/>
          <w:lang w:val="fr-CH"/>
        </w:rPr>
        <w:t>un des membres de l</w:t>
      </w:r>
      <w:r w:rsidR="009B26EF">
        <w:rPr>
          <w:b/>
          <w:lang w:val="fr-CH"/>
        </w:rPr>
        <w:t>’</w:t>
      </w:r>
      <w:r w:rsidRPr="00745FBE">
        <w:rPr>
          <w:b/>
          <w:lang w:val="fr-CH"/>
        </w:rPr>
        <w:t>Union, procède à la mise en vente ou à la commercialisation du matériel de reproduction ou de multiplication végétative d</w:t>
      </w:r>
      <w:r w:rsidR="009B26EF">
        <w:rPr>
          <w:b/>
          <w:lang w:val="fr-CH"/>
        </w:rPr>
        <w:t>’</w:t>
      </w:r>
      <w:r w:rsidRPr="00745FBE">
        <w:rPr>
          <w:b/>
          <w:lang w:val="fr-CH"/>
        </w:rPr>
        <w:t>une variété protégée sur ledit territoire est tenue d</w:t>
      </w:r>
      <w:r w:rsidR="009B26EF">
        <w:rPr>
          <w:b/>
          <w:lang w:val="fr-CH"/>
        </w:rPr>
        <w:t>’</w:t>
      </w:r>
      <w:r w:rsidRPr="00745FBE">
        <w:rPr>
          <w:b/>
          <w:lang w:val="fr-CH"/>
        </w:rPr>
        <w:t>utiliser la dénomination de cette variété, même après l</w:t>
      </w:r>
      <w:r w:rsidR="009B26EF">
        <w:rPr>
          <w:b/>
          <w:lang w:val="fr-CH"/>
        </w:rPr>
        <w:t>’</w:t>
      </w:r>
      <w:r w:rsidRPr="00745FBE">
        <w:rPr>
          <w:b/>
          <w:lang w:val="fr-CH"/>
        </w:rPr>
        <w:t>expiration du droit d</w:t>
      </w:r>
      <w:r w:rsidR="009B26EF">
        <w:rPr>
          <w:b/>
          <w:lang w:val="fr-CH"/>
        </w:rPr>
        <w:t>’</w:t>
      </w:r>
      <w:r w:rsidRPr="00745FBE">
        <w:rPr>
          <w:b/>
          <w:lang w:val="fr-CH"/>
        </w:rPr>
        <w:t>obtenteur relatif à cette variété, pour autant que, conformément aux dispositions du paragraphe 4), des droits antérieurs ne s</w:t>
      </w:r>
      <w:r w:rsidR="009B26EF">
        <w:rPr>
          <w:b/>
          <w:lang w:val="fr-CH"/>
        </w:rPr>
        <w:t>’</w:t>
      </w:r>
      <w:r w:rsidRPr="00745FBE">
        <w:rPr>
          <w:b/>
          <w:lang w:val="fr-CH"/>
        </w:rPr>
        <w:t>opposent pas à cette utilisation.</w:t>
      </w:r>
    </w:p>
    <w:p w:rsidR="00E47AE4" w:rsidRPr="00745FBE" w:rsidRDefault="00E47AE4" w:rsidP="00E47AE4">
      <w:pPr>
        <w:rPr>
          <w:lang w:val="fr-CH"/>
        </w:rPr>
      </w:pPr>
    </w:p>
    <w:p w:rsidR="00E47AE4" w:rsidRPr="00745FBE" w:rsidRDefault="00E47AE4" w:rsidP="00E47AE4">
      <w:pPr>
        <w:keepNext/>
        <w:rPr>
          <w:u w:val="single"/>
          <w:lang w:val="fr-CH"/>
        </w:rPr>
      </w:pPr>
      <w:r w:rsidRPr="00745FBE">
        <w:rPr>
          <w:u w:val="single"/>
          <w:lang w:val="fr-CH"/>
        </w:rPr>
        <w:t>Notes explicatives – paragraphe 7)</w:t>
      </w:r>
    </w:p>
    <w:p w:rsidR="00E47AE4" w:rsidRPr="00745FBE" w:rsidRDefault="00E47AE4" w:rsidP="00E47AE4">
      <w:pPr>
        <w:keepNext/>
        <w:rPr>
          <w:lang w:val="fr-CH"/>
        </w:rPr>
      </w:pPr>
    </w:p>
    <w:p w:rsidR="00E47AE4" w:rsidRPr="00745FBE" w:rsidRDefault="00E47AE4" w:rsidP="00E47AE4">
      <w:pPr>
        <w:rPr>
          <w:lang w:val="fr-CH"/>
        </w:rPr>
      </w:pPr>
      <w:r w:rsidRPr="00745FBE">
        <w:rPr>
          <w:lang w:val="fr-CH"/>
        </w:rPr>
        <w:t>7.1.  S</w:t>
      </w:r>
      <w:r w:rsidR="009B26EF">
        <w:rPr>
          <w:lang w:val="fr-CH"/>
        </w:rPr>
        <w:t>’</w:t>
      </w:r>
      <w:r w:rsidRPr="00745FBE">
        <w:rPr>
          <w:lang w:val="fr-CH"/>
        </w:rPr>
        <w:t>il apparaît que les droits antérieurs d</w:t>
      </w:r>
      <w:r w:rsidR="009B26EF">
        <w:rPr>
          <w:lang w:val="fr-CH"/>
        </w:rPr>
        <w:t>’</w:t>
      </w:r>
      <w:r w:rsidRPr="00745FBE">
        <w:rPr>
          <w:lang w:val="fr-CH"/>
        </w:rPr>
        <w:t>un tiers s</w:t>
      </w:r>
      <w:r w:rsidR="009B26EF">
        <w:rPr>
          <w:lang w:val="fr-CH"/>
        </w:rPr>
        <w:t>’</w:t>
      </w:r>
      <w:r w:rsidRPr="00745FBE">
        <w:rPr>
          <w:lang w:val="fr-CH"/>
        </w:rPr>
        <w:t>opposent à l</w:t>
      </w:r>
      <w:r w:rsidR="009B26EF">
        <w:rPr>
          <w:lang w:val="fr-CH"/>
        </w:rPr>
        <w:t>’</w:t>
      </w:r>
      <w:r w:rsidRPr="00745FBE">
        <w:rPr>
          <w:lang w:val="fr-CH"/>
        </w:rPr>
        <w:t>utilisation de la dénomination variétale enregistrée, le service concerné exigera que l</w:t>
      </w:r>
      <w:r w:rsidR="009B26EF">
        <w:rPr>
          <w:lang w:val="fr-CH"/>
        </w:rPr>
        <w:t>’</w:t>
      </w:r>
      <w:r w:rsidRPr="00745FBE">
        <w:rPr>
          <w:lang w:val="fr-CH"/>
        </w:rPr>
        <w:t>obtenteur propose une autre dénominati</w:t>
      </w:r>
      <w:r w:rsidR="00440663" w:rsidRPr="00745FBE">
        <w:rPr>
          <w:lang w:val="fr-CH"/>
        </w:rPr>
        <w:t>on</w:t>
      </w:r>
      <w:r w:rsidR="00440663">
        <w:rPr>
          <w:lang w:val="fr-CH"/>
        </w:rPr>
        <w:t xml:space="preserve">.  </w:t>
      </w:r>
      <w:r w:rsidR="00440663" w:rsidRPr="00745FBE">
        <w:rPr>
          <w:lang w:val="fr-CH"/>
        </w:rPr>
        <w:t>L</w:t>
      </w:r>
      <w:r w:rsidR="00440663">
        <w:rPr>
          <w:lang w:val="fr-CH"/>
        </w:rPr>
        <w:t>’</w:t>
      </w:r>
      <w:r w:rsidR="00440663" w:rsidRPr="00745FBE">
        <w:rPr>
          <w:lang w:val="fr-CH"/>
        </w:rPr>
        <w:t>a</w:t>
      </w:r>
      <w:r w:rsidRPr="00745FBE">
        <w:rPr>
          <w:lang w:val="fr-CH"/>
        </w:rPr>
        <w:t>rticle 22.1)b)iii) de l</w:t>
      </w:r>
      <w:r w:rsidR="009B26EF">
        <w:rPr>
          <w:lang w:val="fr-CH"/>
        </w:rPr>
        <w:t>’</w:t>
      </w:r>
      <w:r w:rsidRPr="00745FBE">
        <w:rPr>
          <w:lang w:val="fr-CH"/>
        </w:rPr>
        <w:t>Acte de 1991 prévoit que le droit de l</w:t>
      </w:r>
      <w:r w:rsidR="009B26EF">
        <w:rPr>
          <w:lang w:val="fr-CH"/>
        </w:rPr>
        <w:t>’</w:t>
      </w:r>
      <w:r w:rsidRPr="00745FBE">
        <w:rPr>
          <w:lang w:val="fr-CH"/>
        </w:rPr>
        <w:t>obtenteur peut être radié si “l</w:t>
      </w:r>
      <w:r w:rsidR="009B26EF">
        <w:rPr>
          <w:lang w:val="fr-CH"/>
        </w:rPr>
        <w:t>’</w:t>
      </w:r>
      <w:r w:rsidRPr="00745FBE">
        <w:rPr>
          <w:lang w:val="fr-CH"/>
        </w:rPr>
        <w:t>obtenteur ne propose pas, en cas de radiation de la dénomination de la variété après l</w:t>
      </w:r>
      <w:r w:rsidR="009B26EF">
        <w:rPr>
          <w:lang w:val="fr-CH"/>
        </w:rPr>
        <w:t>’</w:t>
      </w:r>
      <w:r w:rsidRPr="00745FBE">
        <w:rPr>
          <w:lang w:val="fr-CH"/>
        </w:rPr>
        <w:t>octroi du droit, une autre dénomination qui convienne.”</w:t>
      </w:r>
    </w:p>
    <w:p w:rsidR="00E47AE4" w:rsidRPr="00745FBE" w:rsidRDefault="00E47AE4" w:rsidP="00E47AE4">
      <w:pPr>
        <w:rPr>
          <w:lang w:val="fr-CH"/>
        </w:rPr>
      </w:pPr>
    </w:p>
    <w:p w:rsidR="00E47AE4" w:rsidRPr="00745FBE" w:rsidRDefault="00E47AE4" w:rsidP="00E47AE4">
      <w:pPr>
        <w:rPr>
          <w:lang w:val="fr-CH"/>
        </w:rPr>
      </w:pPr>
      <w:r w:rsidRPr="00745FBE">
        <w:rPr>
          <w:lang w:val="fr-CH"/>
        </w:rPr>
        <w:t>7.2</w:t>
      </w:r>
      <w:r w:rsidRPr="00745FBE">
        <w:rPr>
          <w:lang w:val="fr-CH"/>
        </w:rPr>
        <w:tab/>
        <w:t>Les points suivants fournissent des orientations concernant les modifications de dénominations variétales enregistrées</w:t>
      </w:r>
      <w:r w:rsidR="009B26EF">
        <w:rPr>
          <w:lang w:val="fr-CH"/>
        </w:rPr>
        <w:t> :</w:t>
      </w:r>
    </w:p>
    <w:p w:rsidR="00E47AE4" w:rsidRPr="00745FBE" w:rsidRDefault="00E47AE4" w:rsidP="00E47AE4">
      <w:pPr>
        <w:rPr>
          <w:lang w:val="fr-CH"/>
        </w:rPr>
      </w:pPr>
    </w:p>
    <w:p w:rsidR="00E47AE4" w:rsidRPr="00745FBE" w:rsidRDefault="00E47AE4" w:rsidP="00E47AE4">
      <w:pPr>
        <w:ind w:firstLine="567"/>
        <w:rPr>
          <w:lang w:val="fr-CH"/>
        </w:rPr>
      </w:pPr>
      <w:r w:rsidRPr="00745FBE">
        <w:rPr>
          <w:lang w:val="fr-CH"/>
        </w:rPr>
        <w:t>a)</w:t>
      </w:r>
      <w:r w:rsidRPr="00745FBE">
        <w:rPr>
          <w:lang w:val="fr-CH"/>
        </w:rPr>
        <w:tab/>
        <w:t xml:space="preserve">La </w:t>
      </w:r>
      <w:r w:rsidR="009B26EF">
        <w:rPr>
          <w:lang w:val="fr-CH"/>
        </w:rPr>
        <w:t>Convention UPOV</w:t>
      </w:r>
      <w:r w:rsidRPr="00745FBE">
        <w:rPr>
          <w:lang w:val="fr-CH"/>
        </w:rPr>
        <w:t xml:space="preserve"> exige de changer la dénomination enregistrée lorsque la dénomination de la variété est radiée après l</w:t>
      </w:r>
      <w:r w:rsidR="009B26EF">
        <w:rPr>
          <w:lang w:val="fr-CH"/>
        </w:rPr>
        <w:t>’</w:t>
      </w:r>
      <w:r w:rsidRPr="00745FBE">
        <w:rPr>
          <w:lang w:val="fr-CH"/>
        </w:rPr>
        <w:t>octroi du droit d</w:t>
      </w:r>
      <w:r w:rsidR="009B26EF">
        <w:rPr>
          <w:lang w:val="fr-CH"/>
        </w:rPr>
        <w:t>’</w:t>
      </w:r>
      <w:r w:rsidRPr="00745FBE">
        <w:rPr>
          <w:lang w:val="fr-CH"/>
        </w:rPr>
        <w:t>obtente</w:t>
      </w:r>
      <w:r w:rsidR="00440663" w:rsidRPr="00745FBE">
        <w:rPr>
          <w:lang w:val="fr-CH"/>
        </w:rPr>
        <w:t>ur</w:t>
      </w:r>
      <w:r w:rsidR="00440663">
        <w:rPr>
          <w:lang w:val="fr-CH"/>
        </w:rPr>
        <w:t xml:space="preserve">.  </w:t>
      </w:r>
      <w:r w:rsidR="00440663" w:rsidRPr="00745FBE">
        <w:rPr>
          <w:lang w:val="fr-CH"/>
        </w:rPr>
        <w:t>Le</w:t>
      </w:r>
      <w:r w:rsidRPr="00745FBE">
        <w:rPr>
          <w:lang w:val="fr-CH"/>
        </w:rPr>
        <w:t xml:space="preserve"> service compétent doit radier une dénomination variétale si</w:t>
      </w:r>
      <w:r w:rsidR="009B26EF">
        <w:rPr>
          <w:lang w:val="fr-CH"/>
        </w:rPr>
        <w:t> :</w:t>
      </w:r>
    </w:p>
    <w:p w:rsidR="00E47AE4" w:rsidRPr="00745FBE" w:rsidRDefault="00E47AE4" w:rsidP="00E47AE4">
      <w:pPr>
        <w:pStyle w:val="ListParagraph"/>
        <w:rPr>
          <w:lang w:val="fr-CH"/>
        </w:rPr>
      </w:pPr>
    </w:p>
    <w:p w:rsidR="00E47AE4" w:rsidRPr="00745FBE" w:rsidRDefault="00E47AE4" w:rsidP="00E47AE4">
      <w:pPr>
        <w:pStyle w:val="ListParagraph"/>
        <w:numPr>
          <w:ilvl w:val="0"/>
          <w:numId w:val="7"/>
        </w:numPr>
        <w:tabs>
          <w:tab w:val="left" w:pos="1418"/>
        </w:tabs>
        <w:rPr>
          <w:lang w:val="fr-CH"/>
        </w:rPr>
      </w:pPr>
      <w:r w:rsidRPr="00745FBE">
        <w:rPr>
          <w:lang w:val="fr-CH"/>
        </w:rPr>
        <w:t>en vertu d</w:t>
      </w:r>
      <w:r w:rsidR="009B26EF">
        <w:rPr>
          <w:lang w:val="fr-CH"/>
        </w:rPr>
        <w:t>’</w:t>
      </w:r>
      <w:r w:rsidRPr="00745FBE">
        <w:rPr>
          <w:lang w:val="fr-CH"/>
        </w:rPr>
        <w:t>un droit antérieur, l</w:t>
      </w:r>
      <w:r w:rsidR="009B26EF">
        <w:rPr>
          <w:lang w:val="fr-CH"/>
        </w:rPr>
        <w:t>’</w:t>
      </w:r>
      <w:r w:rsidRPr="00745FBE">
        <w:rPr>
          <w:lang w:val="fr-CH"/>
        </w:rPr>
        <w:t>utilisation de la dénomination d</w:t>
      </w:r>
      <w:r w:rsidR="009B26EF">
        <w:rPr>
          <w:lang w:val="fr-CH"/>
        </w:rPr>
        <w:t>’</w:t>
      </w:r>
      <w:r w:rsidRPr="00745FBE">
        <w:rPr>
          <w:lang w:val="fr-CH"/>
        </w:rPr>
        <w:t>une variété est interdite à une personne qui, conformément aux dispositions du paragraphe 7), est obligée de l</w:t>
      </w:r>
      <w:r w:rsidR="009B26EF">
        <w:rPr>
          <w:lang w:val="fr-CH"/>
        </w:rPr>
        <w:t>’</w:t>
      </w:r>
      <w:r w:rsidRPr="00745FBE">
        <w:rPr>
          <w:lang w:val="fr-CH"/>
        </w:rPr>
        <w:t>utiliser (voir le paragraphe 4) “Droits antérieurs des tiers”);</w:t>
      </w:r>
    </w:p>
    <w:p w:rsidR="00E47AE4" w:rsidRPr="00745FBE" w:rsidRDefault="00E47AE4" w:rsidP="00E47AE4">
      <w:pPr>
        <w:tabs>
          <w:tab w:val="left" w:pos="1418"/>
        </w:tabs>
        <w:ind w:firstLine="1134"/>
        <w:rPr>
          <w:lang w:val="fr-CH"/>
        </w:rPr>
      </w:pPr>
    </w:p>
    <w:p w:rsidR="00E47AE4" w:rsidRPr="00745FBE" w:rsidRDefault="00E47AE4" w:rsidP="00E47AE4">
      <w:pPr>
        <w:pStyle w:val="ListParagraph"/>
        <w:numPr>
          <w:ilvl w:val="0"/>
          <w:numId w:val="7"/>
        </w:numPr>
        <w:tabs>
          <w:tab w:val="left" w:pos="1418"/>
        </w:tabs>
        <w:rPr>
          <w:lang w:val="fr-CH"/>
        </w:rPr>
      </w:pPr>
      <w:r w:rsidRPr="00745FBE">
        <w:rPr>
          <w:lang w:val="fr-CH"/>
        </w:rPr>
        <w:t>la dénomination est inadéquate car elle est contraire aux dispositions du paragraphe 2) “Caractères de la dénomination”;</w:t>
      </w:r>
    </w:p>
    <w:p w:rsidR="00E47AE4" w:rsidRPr="00745FBE" w:rsidRDefault="00E47AE4" w:rsidP="00E47AE4">
      <w:pPr>
        <w:pStyle w:val="ListParagraph"/>
        <w:ind w:left="1854"/>
        <w:rPr>
          <w:lang w:val="fr-CH"/>
        </w:rPr>
      </w:pPr>
    </w:p>
    <w:p w:rsidR="00E47AE4" w:rsidRPr="00745FBE" w:rsidRDefault="00E47AE4" w:rsidP="00E47AE4">
      <w:pPr>
        <w:ind w:firstLine="567"/>
        <w:rPr>
          <w:lang w:val="fr-CH"/>
        </w:rPr>
      </w:pPr>
      <w:r w:rsidRPr="00745FBE">
        <w:rPr>
          <w:lang w:val="fr-CH"/>
        </w:rPr>
        <w:t>b)</w:t>
      </w:r>
      <w:r w:rsidRPr="00745FBE">
        <w:rPr>
          <w:lang w:val="fr-CH"/>
        </w:rPr>
        <w:tab/>
        <w:t>si la dénomination enregistrée est par la suite refusée dans un autre membre de l</w:t>
      </w:r>
      <w:r w:rsidR="009B26EF">
        <w:rPr>
          <w:lang w:val="fr-CH"/>
        </w:rPr>
        <w:t>’</w:t>
      </w:r>
      <w:r w:rsidRPr="00745FBE">
        <w:rPr>
          <w:lang w:val="fr-CH"/>
        </w:rPr>
        <w:t>Union car elle est inadéquate sur ce territoire (p. ex. droit antérieur), à la demande de l</w:t>
      </w:r>
      <w:r w:rsidR="009B26EF">
        <w:rPr>
          <w:lang w:val="fr-CH"/>
        </w:rPr>
        <w:t>’</w:t>
      </w:r>
      <w:r w:rsidRPr="00745FBE">
        <w:rPr>
          <w:lang w:val="fr-CH"/>
        </w:rPr>
        <w:t>obtenteur, le service peut juger approprié de modifier la dénomination enregistrée dans cet autre membre de l</w:t>
      </w:r>
      <w:r w:rsidR="009B26EF">
        <w:rPr>
          <w:lang w:val="fr-CH"/>
        </w:rPr>
        <w:t>’</w:t>
      </w:r>
      <w:r w:rsidRPr="00745FBE">
        <w:rPr>
          <w:lang w:val="fr-CH"/>
        </w:rPr>
        <w:t>Union (voir les dispositions dans le paragraphe 5) “Même dénomination dans toutes les Parties contractantes”);  et</w:t>
      </w:r>
    </w:p>
    <w:p w:rsidR="00E47AE4" w:rsidRPr="00745FBE" w:rsidRDefault="00E47AE4" w:rsidP="00E47AE4">
      <w:pPr>
        <w:rPr>
          <w:lang w:val="fr-CH"/>
        </w:rPr>
      </w:pPr>
    </w:p>
    <w:p w:rsidR="00797CB8" w:rsidRPr="00745FBE" w:rsidRDefault="00E47AE4" w:rsidP="00E47AE4">
      <w:pPr>
        <w:ind w:firstLine="567"/>
        <w:rPr>
          <w:lang w:val="fr-CH"/>
        </w:rPr>
      </w:pPr>
      <w:r w:rsidRPr="00745FBE">
        <w:rPr>
          <w:lang w:val="fr-CH"/>
        </w:rPr>
        <w:t>c)</w:t>
      </w:r>
      <w:r w:rsidRPr="00745FBE">
        <w:rPr>
          <w:lang w:val="fr-CH"/>
        </w:rPr>
        <w:tab/>
        <w:t>en général, sous réserve des alinéas a) et b) ci</w:t>
      </w:r>
      <w:r w:rsidR="009B26EF">
        <w:rPr>
          <w:lang w:val="fr-CH"/>
        </w:rPr>
        <w:t>-</w:t>
      </w:r>
      <w:r w:rsidRPr="00745FBE">
        <w:rPr>
          <w:lang w:val="fr-CH"/>
        </w:rPr>
        <w:t>dessus, il ne serait pas approprié pour le service de modifier une dénomination enregistrée à la demande de l</w:t>
      </w:r>
      <w:r w:rsidR="009B26EF">
        <w:rPr>
          <w:lang w:val="fr-CH"/>
        </w:rPr>
        <w:t>’</w:t>
      </w:r>
      <w:r w:rsidRPr="00745FBE">
        <w:rPr>
          <w:lang w:val="fr-CH"/>
        </w:rPr>
        <w:t>obtenteur.</w:t>
      </w:r>
    </w:p>
    <w:p w:rsidR="00797CB8" w:rsidRPr="00745FBE" w:rsidRDefault="00797CB8" w:rsidP="00893C7D">
      <w:pPr>
        <w:rPr>
          <w:lang w:val="fr-CH"/>
        </w:rPr>
      </w:pPr>
    </w:p>
    <w:p w:rsidR="00797CB8" w:rsidRPr="00745FBE" w:rsidRDefault="00797CB8" w:rsidP="00893C7D">
      <w:pPr>
        <w:rPr>
          <w:lang w:val="fr-CH"/>
        </w:rPr>
      </w:pPr>
    </w:p>
    <w:p w:rsidR="00797CB8" w:rsidRPr="00745FBE" w:rsidRDefault="00797CB8" w:rsidP="00893C7D">
      <w:pPr>
        <w:jc w:val="left"/>
        <w:rPr>
          <w:b/>
          <w:lang w:val="fr-CH"/>
        </w:rPr>
      </w:pPr>
    </w:p>
    <w:p w:rsidR="00797CB8" w:rsidRPr="00745FBE" w:rsidRDefault="004359AA">
      <w:pPr>
        <w:rPr>
          <w:lang w:val="fr-CH"/>
        </w:rPr>
      </w:pPr>
      <w:r w:rsidRPr="00745FBE">
        <w:rPr>
          <w:lang w:val="fr-CH"/>
        </w:rPr>
        <w:br w:type="page"/>
      </w:r>
    </w:p>
    <w:p w:rsidR="00635050" w:rsidRPr="00745FBE" w:rsidRDefault="00635050" w:rsidP="00635050">
      <w:pPr>
        <w:pStyle w:val="Heading1"/>
        <w:rPr>
          <w:lang w:val="fr-CH"/>
        </w:rPr>
      </w:pPr>
      <w:bookmarkStart w:id="34" w:name="_Toc35937368"/>
      <w:r w:rsidRPr="00745FBE">
        <w:rPr>
          <w:lang w:val="fr-CH"/>
        </w:rPr>
        <w:lastRenderedPageBreak/>
        <w:t>Paragraphe 8</w:t>
      </w:r>
      <w:bookmarkEnd w:id="34"/>
    </w:p>
    <w:p w:rsidR="00635050" w:rsidRPr="00745FBE" w:rsidRDefault="00635050" w:rsidP="00635050">
      <w:pPr>
        <w:rPr>
          <w:lang w:val="fr-CH"/>
        </w:rPr>
      </w:pPr>
    </w:p>
    <w:p w:rsidR="00635050" w:rsidRPr="00745FBE" w:rsidRDefault="00635050" w:rsidP="00635050">
      <w:pPr>
        <w:pStyle w:val="Heading2"/>
        <w:rPr>
          <w:lang w:val="fr-CH"/>
        </w:rPr>
      </w:pPr>
      <w:bookmarkStart w:id="35" w:name="_Toc35937369"/>
      <w:r w:rsidRPr="00745FBE">
        <w:rPr>
          <w:lang w:val="fr-CH"/>
        </w:rPr>
        <w:t>[Indications utilisées en association avec des dénominations]</w:t>
      </w:r>
      <w:bookmarkEnd w:id="35"/>
    </w:p>
    <w:p w:rsidR="00635050" w:rsidRPr="00745FBE" w:rsidRDefault="00635050" w:rsidP="00635050">
      <w:pPr>
        <w:ind w:left="1134" w:firstLine="567"/>
        <w:rPr>
          <w:b/>
          <w:i/>
          <w:lang w:val="fr-CH"/>
        </w:rPr>
      </w:pPr>
    </w:p>
    <w:p w:rsidR="00635050" w:rsidRPr="00745FBE" w:rsidRDefault="00635050" w:rsidP="00635050">
      <w:pPr>
        <w:rPr>
          <w:b/>
          <w:lang w:val="fr-CH"/>
        </w:rPr>
      </w:pPr>
      <w:r w:rsidRPr="00745FBE">
        <w:rPr>
          <w:b/>
          <w:lang w:val="fr-CH"/>
        </w:rPr>
        <w:t>Lorsqu</w:t>
      </w:r>
      <w:r w:rsidR="009B26EF">
        <w:rPr>
          <w:b/>
          <w:lang w:val="fr-CH"/>
        </w:rPr>
        <w:t>’</w:t>
      </w:r>
      <w:r w:rsidRPr="00745FBE">
        <w:rPr>
          <w:b/>
          <w:lang w:val="fr-CH"/>
        </w:rPr>
        <w:t>une variété est offerte à la vente ou commercialisée, il est permis d</w:t>
      </w:r>
      <w:r w:rsidR="009B26EF">
        <w:rPr>
          <w:b/>
          <w:lang w:val="fr-CH"/>
        </w:rPr>
        <w:t>’</w:t>
      </w:r>
      <w:r w:rsidRPr="00745FBE">
        <w:rPr>
          <w:b/>
          <w:lang w:val="fr-CH"/>
        </w:rPr>
        <w:t>associer une marque de fabrique ou de commerce, un nom commercial ou une indication similaire, à la dénomination variétale enregistr</w:t>
      </w:r>
      <w:r w:rsidR="00440663" w:rsidRPr="00745FBE">
        <w:rPr>
          <w:b/>
          <w:lang w:val="fr-CH"/>
        </w:rPr>
        <w:t>ée</w:t>
      </w:r>
      <w:r w:rsidR="00440663">
        <w:rPr>
          <w:b/>
          <w:lang w:val="fr-CH"/>
        </w:rPr>
        <w:t xml:space="preserve">.  </w:t>
      </w:r>
      <w:r w:rsidR="00440663" w:rsidRPr="00745FBE">
        <w:rPr>
          <w:b/>
          <w:lang w:val="fr-CH"/>
        </w:rPr>
        <w:t>Si</w:t>
      </w:r>
      <w:r w:rsidRPr="00745FBE">
        <w:rPr>
          <w:b/>
          <w:lang w:val="fr-CH"/>
        </w:rPr>
        <w:t xml:space="preserve"> une telle indication est ainsi associée, la dénomination doit néanmoins être facilement reconnaissable.</w:t>
      </w:r>
    </w:p>
    <w:p w:rsidR="00635050" w:rsidRPr="00745FBE" w:rsidRDefault="00635050" w:rsidP="00635050">
      <w:pPr>
        <w:rPr>
          <w:lang w:val="fr-CH"/>
        </w:rPr>
      </w:pPr>
    </w:p>
    <w:p w:rsidR="00635050" w:rsidRPr="00745FBE" w:rsidRDefault="00635050" w:rsidP="00635050">
      <w:pPr>
        <w:rPr>
          <w:lang w:val="fr-CH"/>
        </w:rPr>
      </w:pPr>
      <w:r w:rsidRPr="00745FBE">
        <w:rPr>
          <w:lang w:val="fr-CH"/>
        </w:rPr>
        <w:tab/>
        <w:t>Cette disposition n</w:t>
      </w:r>
      <w:r w:rsidR="009B26EF">
        <w:rPr>
          <w:lang w:val="fr-CH"/>
        </w:rPr>
        <w:t>’</w:t>
      </w:r>
      <w:r w:rsidRPr="00745FBE">
        <w:rPr>
          <w:lang w:val="fr-CH"/>
        </w:rPr>
        <w:t>appelle pas de commentaires particuliers.</w:t>
      </w:r>
    </w:p>
    <w:p w:rsidR="00635050" w:rsidRPr="00745FBE" w:rsidRDefault="00635050" w:rsidP="00635050">
      <w:pPr>
        <w:rPr>
          <w:lang w:val="fr-CH"/>
        </w:rPr>
      </w:pPr>
    </w:p>
    <w:p w:rsidR="00635050" w:rsidRPr="00745FBE" w:rsidRDefault="00635050" w:rsidP="00635050">
      <w:pPr>
        <w:rPr>
          <w:lang w:val="fr-CH"/>
        </w:rPr>
      </w:pPr>
    </w:p>
    <w:p w:rsidR="00635050" w:rsidRPr="00745FBE" w:rsidRDefault="00635050" w:rsidP="00635050">
      <w:pPr>
        <w:rPr>
          <w:lang w:val="fr-CH"/>
        </w:rPr>
      </w:pPr>
    </w:p>
    <w:p w:rsidR="00797CB8" w:rsidRPr="00745FBE" w:rsidRDefault="00635050" w:rsidP="00635050">
      <w:pPr>
        <w:jc w:val="right"/>
        <w:rPr>
          <w:lang w:val="fr-CH"/>
        </w:rPr>
      </w:pPr>
      <w:r w:rsidRPr="00745FBE">
        <w:rPr>
          <w:lang w:val="fr-CH"/>
        </w:rPr>
        <w:t>[Les annexes suivent]</w:t>
      </w:r>
    </w:p>
    <w:p w:rsidR="00797CB8" w:rsidRPr="00745FBE" w:rsidRDefault="00797CB8" w:rsidP="00253EA1">
      <w:pPr>
        <w:rPr>
          <w:lang w:val="fr-CH"/>
        </w:rPr>
      </w:pPr>
    </w:p>
    <w:p w:rsidR="00893C7D" w:rsidRPr="00745FBE" w:rsidRDefault="00893C7D" w:rsidP="00893C7D">
      <w:pPr>
        <w:jc w:val="right"/>
        <w:rPr>
          <w:lang w:val="fr-CH"/>
        </w:rPr>
        <w:sectPr w:rsidR="00893C7D" w:rsidRPr="00745FBE" w:rsidSect="00980C58">
          <w:headerReference w:type="even" r:id="rId10"/>
          <w:headerReference w:type="default" r:id="rId11"/>
          <w:footerReference w:type="even" r:id="rId12"/>
          <w:endnotePr>
            <w:numFmt w:val="lowerLetter"/>
          </w:endnotePr>
          <w:pgSz w:w="11907" w:h="16840" w:code="9"/>
          <w:pgMar w:top="510" w:right="1077" w:bottom="851" w:left="1077" w:header="510" w:footer="454" w:gutter="0"/>
          <w:cols w:space="720"/>
          <w:titlePg/>
          <w:docGrid w:linePitch="272"/>
        </w:sectPr>
      </w:pPr>
    </w:p>
    <w:p w:rsidR="005E10BE" w:rsidRPr="00745FBE" w:rsidRDefault="005E10BE" w:rsidP="005E10BE">
      <w:pPr>
        <w:spacing w:line="240" w:lineRule="atLeast"/>
        <w:jc w:val="center"/>
        <w:rPr>
          <w:u w:val="single"/>
          <w:lang w:val="fr-CH"/>
        </w:rPr>
      </w:pPr>
      <w:r w:rsidRPr="00745FBE">
        <w:rPr>
          <w:u w:val="single"/>
          <w:lang w:val="fr-CH"/>
        </w:rPr>
        <w:lastRenderedPageBreak/>
        <w:t>Classes de dénominations variétales de l</w:t>
      </w:r>
      <w:r w:rsidR="009B26EF">
        <w:rPr>
          <w:u w:val="single"/>
          <w:lang w:val="fr-CH"/>
        </w:rPr>
        <w:t>’</w:t>
      </w:r>
      <w:r w:rsidRPr="00745FBE">
        <w:rPr>
          <w:u w:val="single"/>
          <w:lang w:val="fr-CH"/>
        </w:rPr>
        <w:t>UPOV</w:t>
      </w:r>
      <w:r w:rsidR="009B26EF">
        <w:rPr>
          <w:u w:val="single"/>
          <w:lang w:val="fr-CH"/>
        </w:rPr>
        <w:t> :</w:t>
      </w:r>
      <w:r w:rsidRPr="00745FBE">
        <w:rPr>
          <w:u w:val="single"/>
          <w:lang w:val="fr-CH"/>
        </w:rPr>
        <w:t xml:space="preserve"> une dénomination variétale </w:t>
      </w:r>
      <w:r w:rsidRPr="00745FBE">
        <w:rPr>
          <w:u w:val="single"/>
          <w:lang w:val="fr-CH"/>
        </w:rPr>
        <w:br/>
        <w:t>ne doit pas être utilisée plus d</w:t>
      </w:r>
      <w:r w:rsidR="009B26EF">
        <w:rPr>
          <w:u w:val="single"/>
          <w:lang w:val="fr-CH"/>
        </w:rPr>
        <w:t>’</w:t>
      </w:r>
      <w:r w:rsidRPr="00745FBE">
        <w:rPr>
          <w:u w:val="single"/>
          <w:lang w:val="fr-CH"/>
        </w:rPr>
        <w:t>une fois dans la même classe</w:t>
      </w:r>
    </w:p>
    <w:p w:rsidR="005E10BE" w:rsidRPr="00745FBE" w:rsidRDefault="005E10BE" w:rsidP="005E10BE">
      <w:pPr>
        <w:spacing w:line="240" w:lineRule="atLeast"/>
        <w:rPr>
          <w:b/>
          <w:lang w:val="fr-CH"/>
        </w:rPr>
      </w:pPr>
    </w:p>
    <w:p w:rsidR="005E10BE" w:rsidRPr="00745FBE" w:rsidRDefault="005E10BE" w:rsidP="005E10BE">
      <w:pPr>
        <w:spacing w:line="240" w:lineRule="atLeast"/>
        <w:rPr>
          <w:lang w:val="fr-CH"/>
        </w:rPr>
      </w:pPr>
      <w:r w:rsidRPr="00745FBE">
        <w:rPr>
          <w:lang w:val="fr-CH"/>
        </w:rPr>
        <w:t>À des fins de précision des troisième et quatrième phrases du paragraphe 2 de l</w:t>
      </w:r>
      <w:r w:rsidR="009B26EF">
        <w:rPr>
          <w:lang w:val="fr-CH"/>
        </w:rPr>
        <w:t>’</w:t>
      </w:r>
      <w:r w:rsidRPr="00745FBE">
        <w:rPr>
          <w:lang w:val="fr-CH"/>
        </w:rPr>
        <w:t>article 20 de l</w:t>
      </w:r>
      <w:r w:rsidR="009B26EF">
        <w:rPr>
          <w:lang w:val="fr-CH"/>
        </w:rPr>
        <w:t>’</w:t>
      </w:r>
      <w:r w:rsidRPr="00745FBE">
        <w:rPr>
          <w:lang w:val="fr-CH"/>
        </w:rPr>
        <w:t>Acte de 1991 et de l</w:t>
      </w:r>
      <w:r w:rsidR="009B26EF">
        <w:rPr>
          <w:lang w:val="fr-CH"/>
        </w:rPr>
        <w:t>’</w:t>
      </w:r>
      <w:r w:rsidRPr="00745FBE">
        <w:rPr>
          <w:lang w:val="fr-CH"/>
        </w:rPr>
        <w:t>article 13 de l</w:t>
      </w:r>
      <w:r w:rsidR="009B26EF">
        <w:rPr>
          <w:lang w:val="fr-CH"/>
        </w:rPr>
        <w:t>’</w:t>
      </w:r>
      <w:r w:rsidRPr="00745FBE">
        <w:rPr>
          <w:lang w:val="fr-CH"/>
        </w:rPr>
        <w:t>Acte de 1978 et de la Convention de 1961, des classes de dénominations variétales ont été élaboré</w:t>
      </w:r>
      <w:r w:rsidR="00440663" w:rsidRPr="00745FBE">
        <w:rPr>
          <w:lang w:val="fr-CH"/>
        </w:rPr>
        <w:t>es</w:t>
      </w:r>
      <w:r w:rsidR="00440663">
        <w:rPr>
          <w:lang w:val="fr-CH"/>
        </w:rPr>
        <w:t xml:space="preserve">.  </w:t>
      </w:r>
      <w:r w:rsidR="00440663" w:rsidRPr="00745FBE">
        <w:rPr>
          <w:lang w:val="fr-CH"/>
        </w:rPr>
        <w:t>Un</w:t>
      </w:r>
      <w:r w:rsidRPr="00745FBE">
        <w:rPr>
          <w:lang w:val="fr-CH"/>
        </w:rPr>
        <w:t>e dénomination variétale ne doit pas être utilisée plus d</w:t>
      </w:r>
      <w:r w:rsidR="009B26EF">
        <w:rPr>
          <w:lang w:val="fr-CH"/>
        </w:rPr>
        <w:t>’</w:t>
      </w:r>
      <w:r w:rsidRPr="00745FBE">
        <w:rPr>
          <w:lang w:val="fr-CH"/>
        </w:rPr>
        <w:t>une fois dans la même clas</w:t>
      </w:r>
      <w:r w:rsidR="00440663" w:rsidRPr="00745FBE">
        <w:rPr>
          <w:lang w:val="fr-CH"/>
        </w:rPr>
        <w:t>se</w:t>
      </w:r>
      <w:r w:rsidR="00440663">
        <w:rPr>
          <w:lang w:val="fr-CH"/>
        </w:rPr>
        <w:t xml:space="preserve">.  </w:t>
      </w:r>
      <w:r w:rsidR="00440663" w:rsidRPr="00745FBE">
        <w:rPr>
          <w:lang w:val="fr-CH"/>
        </w:rPr>
        <w:t>Le</w:t>
      </w:r>
      <w:r w:rsidRPr="00745FBE">
        <w:rPr>
          <w:lang w:val="fr-CH"/>
        </w:rPr>
        <w:t>s classes ont été élaborées de telle sorte que les taxons botaniques au sein d</w:t>
      </w:r>
      <w:r w:rsidR="009B26EF">
        <w:rPr>
          <w:lang w:val="fr-CH"/>
        </w:rPr>
        <w:t>’</w:t>
      </w:r>
      <w:r w:rsidRPr="00745FBE">
        <w:rPr>
          <w:lang w:val="fr-CH"/>
        </w:rPr>
        <w:t>une même classe sont considérés comme étant étroitement liés et susceptibles d</w:t>
      </w:r>
      <w:r w:rsidR="009B26EF">
        <w:rPr>
          <w:lang w:val="fr-CH"/>
        </w:rPr>
        <w:t>’</w:t>
      </w:r>
      <w:r w:rsidRPr="00745FBE">
        <w:rPr>
          <w:lang w:val="fr-CH"/>
        </w:rPr>
        <w:t>induire en erreur ou de prêter à confusion quant à l</w:t>
      </w:r>
      <w:r w:rsidR="009B26EF">
        <w:rPr>
          <w:lang w:val="fr-CH"/>
        </w:rPr>
        <w:t>’</w:t>
      </w:r>
      <w:r w:rsidRPr="00745FBE">
        <w:rPr>
          <w:lang w:val="fr-CH"/>
        </w:rPr>
        <w:t>identité de la variété.</w:t>
      </w:r>
    </w:p>
    <w:p w:rsidR="005E10BE" w:rsidRPr="00745FBE" w:rsidRDefault="005E10BE" w:rsidP="005E10BE">
      <w:pPr>
        <w:spacing w:line="240" w:lineRule="atLeast"/>
        <w:rPr>
          <w:lang w:val="fr-CH"/>
        </w:rPr>
      </w:pPr>
    </w:p>
    <w:p w:rsidR="005E10BE" w:rsidRPr="00745FBE" w:rsidRDefault="005E10BE" w:rsidP="005E10BE">
      <w:pPr>
        <w:spacing w:line="240" w:lineRule="atLeast"/>
        <w:rPr>
          <w:lang w:val="fr-CH"/>
        </w:rPr>
      </w:pPr>
      <w:r w:rsidRPr="00745FBE">
        <w:rPr>
          <w:lang w:val="fr-CH"/>
        </w:rPr>
        <w:t>Les classes de dénominations variétales sont les suivantes</w:t>
      </w:r>
      <w:r w:rsidR="009B26EF">
        <w:rPr>
          <w:lang w:val="fr-CH"/>
        </w:rPr>
        <w:t> :</w:t>
      </w:r>
    </w:p>
    <w:p w:rsidR="005E10BE" w:rsidRPr="00745FBE" w:rsidRDefault="005E10BE" w:rsidP="005E10BE">
      <w:pPr>
        <w:spacing w:line="240" w:lineRule="atLeast"/>
        <w:rPr>
          <w:lang w:val="fr-CH"/>
        </w:rPr>
      </w:pPr>
    </w:p>
    <w:p w:rsidR="005E10BE" w:rsidRPr="00745FBE" w:rsidRDefault="005E10BE" w:rsidP="005E10BE">
      <w:pPr>
        <w:pStyle w:val="BodyTextIndent"/>
        <w:rPr>
          <w:lang w:val="fr-CH"/>
        </w:rPr>
      </w:pPr>
      <w:r w:rsidRPr="00745FBE">
        <w:rPr>
          <w:lang w:val="fr-CH"/>
        </w:rPr>
        <w:t>a)</w:t>
      </w:r>
      <w:r w:rsidRPr="00745FBE">
        <w:rPr>
          <w:lang w:val="fr-CH"/>
        </w:rPr>
        <w:tab/>
        <w:t>règle générale (un genre / une classe)</w:t>
      </w:r>
      <w:r w:rsidR="009B26EF">
        <w:rPr>
          <w:lang w:val="fr-CH"/>
        </w:rPr>
        <w:t> :</w:t>
      </w:r>
      <w:r w:rsidRPr="00745FBE">
        <w:rPr>
          <w:lang w:val="fr-CH"/>
        </w:rPr>
        <w:t xml:space="preserve"> en ce qui concerne les genres et espèces qui ne figurent pas sur la liste des classes reproduite dans la présente annexe, un genre est considéré comme une classe;</w:t>
      </w:r>
    </w:p>
    <w:p w:rsidR="005E10BE" w:rsidRPr="00745FBE" w:rsidRDefault="005E10BE" w:rsidP="005E10BE">
      <w:pPr>
        <w:pStyle w:val="BodyTextIndent"/>
        <w:ind w:left="0"/>
        <w:rPr>
          <w:lang w:val="fr-CH"/>
        </w:rPr>
      </w:pPr>
    </w:p>
    <w:p w:rsidR="005E10BE" w:rsidRPr="00745FBE" w:rsidRDefault="005E10BE" w:rsidP="005E10BE">
      <w:pPr>
        <w:pStyle w:val="BodyTextIndent"/>
        <w:ind w:left="0" w:firstLine="567"/>
        <w:rPr>
          <w:lang w:val="fr-CH"/>
        </w:rPr>
      </w:pPr>
      <w:r w:rsidRPr="00745FBE">
        <w:rPr>
          <w:lang w:val="fr-CH"/>
        </w:rPr>
        <w:t>b)</w:t>
      </w:r>
      <w:r w:rsidRPr="00745FBE">
        <w:rPr>
          <w:lang w:val="fr-CH"/>
        </w:rPr>
        <w:tab/>
        <w:t>exceptions à la règle générale (liste des classes)</w:t>
      </w:r>
      <w:r w:rsidR="009B26EF">
        <w:rPr>
          <w:lang w:val="fr-CH"/>
        </w:rPr>
        <w:t> :</w:t>
      </w:r>
    </w:p>
    <w:p w:rsidR="005E10BE" w:rsidRPr="00745FBE" w:rsidRDefault="005E10BE" w:rsidP="005E10BE">
      <w:pPr>
        <w:pStyle w:val="BodyTextIndent"/>
        <w:tabs>
          <w:tab w:val="right" w:pos="1134"/>
        </w:tabs>
        <w:ind w:left="0"/>
        <w:rPr>
          <w:lang w:val="fr-CH"/>
        </w:rPr>
      </w:pPr>
    </w:p>
    <w:p w:rsidR="005E10BE" w:rsidRPr="00745FBE" w:rsidRDefault="005E10BE" w:rsidP="005E10BE">
      <w:pPr>
        <w:tabs>
          <w:tab w:val="right" w:pos="1134"/>
          <w:tab w:val="left" w:pos="1418"/>
        </w:tabs>
        <w:ind w:left="993"/>
        <w:rPr>
          <w:lang w:val="fr-CH"/>
        </w:rPr>
      </w:pPr>
      <w:r w:rsidRPr="00745FBE">
        <w:rPr>
          <w:lang w:val="fr-CH"/>
        </w:rPr>
        <w:tab/>
        <w:t>i)</w:t>
      </w:r>
      <w:r w:rsidRPr="00745FBE">
        <w:rPr>
          <w:lang w:val="fr-CH"/>
        </w:rPr>
        <w:tab/>
        <w:t>classes au sein d</w:t>
      </w:r>
      <w:r w:rsidR="009B26EF">
        <w:rPr>
          <w:lang w:val="fr-CH"/>
        </w:rPr>
        <w:t>’</w:t>
      </w:r>
      <w:r w:rsidRPr="00745FBE">
        <w:rPr>
          <w:lang w:val="fr-CH"/>
        </w:rPr>
        <w:t>un genre</w:t>
      </w:r>
      <w:r w:rsidR="009B26EF">
        <w:rPr>
          <w:lang w:val="fr-CH"/>
        </w:rPr>
        <w:t> :</w:t>
      </w:r>
      <w:r w:rsidRPr="00745FBE">
        <w:rPr>
          <w:lang w:val="fr-CH"/>
        </w:rPr>
        <w:t xml:space="preserve"> liste des classes dans la présente annexe</w:t>
      </w:r>
      <w:r w:rsidR="009B26EF">
        <w:rPr>
          <w:lang w:val="fr-CH"/>
        </w:rPr>
        <w:t> :</w:t>
      </w:r>
      <w:r w:rsidRPr="00745FBE">
        <w:rPr>
          <w:lang w:val="fr-CH"/>
        </w:rPr>
        <w:t xml:space="preserve"> première partie;</w:t>
      </w:r>
    </w:p>
    <w:p w:rsidR="005E10BE" w:rsidRPr="00745FBE" w:rsidRDefault="005E10BE" w:rsidP="005E10BE">
      <w:pPr>
        <w:tabs>
          <w:tab w:val="right" w:pos="1134"/>
          <w:tab w:val="left" w:pos="1418"/>
        </w:tabs>
        <w:rPr>
          <w:lang w:val="fr-CH"/>
        </w:rPr>
      </w:pPr>
    </w:p>
    <w:p w:rsidR="005E10BE" w:rsidRPr="00745FBE" w:rsidRDefault="005E10BE" w:rsidP="005E10BE">
      <w:pPr>
        <w:tabs>
          <w:tab w:val="left" w:pos="993"/>
          <w:tab w:val="right" w:pos="1134"/>
          <w:tab w:val="left" w:pos="1418"/>
        </w:tabs>
        <w:ind w:left="993"/>
        <w:rPr>
          <w:lang w:val="fr-CH"/>
        </w:rPr>
      </w:pPr>
      <w:r w:rsidRPr="00745FBE">
        <w:rPr>
          <w:lang w:val="fr-CH"/>
        </w:rPr>
        <w:tab/>
        <w:t>ii)</w:t>
      </w:r>
      <w:r w:rsidRPr="00745FBE">
        <w:rPr>
          <w:lang w:val="fr-CH"/>
        </w:rPr>
        <w:tab/>
        <w:t>classes englobant plusieurs genres</w:t>
      </w:r>
      <w:r w:rsidR="009B26EF">
        <w:rPr>
          <w:lang w:val="fr-CH"/>
        </w:rPr>
        <w:t> :</w:t>
      </w:r>
      <w:r w:rsidRPr="00745FBE">
        <w:rPr>
          <w:lang w:val="fr-CH"/>
        </w:rPr>
        <w:t xml:space="preserve"> liste des classes dans la présente annexe</w:t>
      </w:r>
      <w:r w:rsidR="009B26EF">
        <w:rPr>
          <w:lang w:val="fr-CH"/>
        </w:rPr>
        <w:t> :</w:t>
      </w:r>
      <w:r w:rsidRPr="00745FBE">
        <w:rPr>
          <w:lang w:val="fr-CH"/>
        </w:rPr>
        <w:t xml:space="preserve"> deuxième partie.</w:t>
      </w:r>
    </w:p>
    <w:p w:rsidR="005E10BE" w:rsidRPr="00745FBE" w:rsidRDefault="005E10BE" w:rsidP="005E10BE">
      <w:pPr>
        <w:pStyle w:val="BodyTextIndent"/>
        <w:ind w:left="0"/>
        <w:rPr>
          <w:lang w:val="fr-CH"/>
        </w:rPr>
      </w:pPr>
    </w:p>
    <w:p w:rsidR="005E10BE" w:rsidRPr="00745FBE" w:rsidRDefault="005E10BE" w:rsidP="005E10BE">
      <w:pPr>
        <w:pStyle w:val="BodyTextIndent"/>
        <w:ind w:left="0"/>
        <w:rPr>
          <w:lang w:val="fr-CH"/>
        </w:rPr>
      </w:pPr>
    </w:p>
    <w:p w:rsidR="005E10BE" w:rsidRPr="00745FBE" w:rsidRDefault="005E10BE" w:rsidP="005E10BE">
      <w:pPr>
        <w:jc w:val="center"/>
        <w:rPr>
          <w:lang w:val="fr-CH"/>
        </w:rPr>
      </w:pPr>
      <w:r w:rsidRPr="00745FBE">
        <w:rPr>
          <w:lang w:val="fr-CH"/>
        </w:rPr>
        <w:t>LISTE DES CLASSES</w:t>
      </w:r>
    </w:p>
    <w:p w:rsidR="005E10BE" w:rsidRPr="00745FBE" w:rsidRDefault="005E10BE" w:rsidP="005E10BE">
      <w:pPr>
        <w:rPr>
          <w:u w:val="single"/>
          <w:lang w:val="fr-CH"/>
        </w:rPr>
      </w:pPr>
    </w:p>
    <w:p w:rsidR="005E10BE" w:rsidRPr="00745FBE" w:rsidRDefault="005E10BE" w:rsidP="005E10BE">
      <w:pPr>
        <w:pStyle w:val="Heading8"/>
        <w:rPr>
          <w:lang w:val="fr-CH"/>
        </w:rPr>
      </w:pPr>
      <w:r w:rsidRPr="00745FBE">
        <w:rPr>
          <w:lang w:val="fr-CH"/>
        </w:rPr>
        <w:t>Première partie</w:t>
      </w:r>
    </w:p>
    <w:p w:rsidR="005E10BE" w:rsidRPr="00745FBE" w:rsidRDefault="005E10BE" w:rsidP="005E10BE">
      <w:pPr>
        <w:pStyle w:val="EndnoteText"/>
        <w:rPr>
          <w:lang w:val="fr-CH"/>
        </w:rPr>
      </w:pPr>
    </w:p>
    <w:p w:rsidR="005E10BE" w:rsidRPr="00745FBE" w:rsidRDefault="005E10BE" w:rsidP="005E10BE">
      <w:pPr>
        <w:jc w:val="center"/>
        <w:rPr>
          <w:i/>
          <w:lang w:val="fr-CH"/>
        </w:rPr>
      </w:pPr>
      <w:r w:rsidRPr="00745FBE">
        <w:rPr>
          <w:i/>
          <w:lang w:val="fr-CH"/>
        </w:rPr>
        <w:t>Classes au sein d</w:t>
      </w:r>
      <w:r w:rsidR="009B26EF">
        <w:rPr>
          <w:i/>
          <w:lang w:val="fr-CH"/>
        </w:rPr>
        <w:t>’</w:t>
      </w:r>
      <w:r w:rsidRPr="00745FBE">
        <w:rPr>
          <w:i/>
          <w:lang w:val="fr-CH"/>
        </w:rPr>
        <w:t>un genre</w:t>
      </w:r>
    </w:p>
    <w:p w:rsidR="005E10BE" w:rsidRPr="00745FBE" w:rsidRDefault="005E10BE" w:rsidP="005E10BE">
      <w:pPr>
        <w:pStyle w:val="Style1"/>
        <w:tabs>
          <w:tab w:val="clear" w:pos="907"/>
          <w:tab w:val="clear" w:pos="1077"/>
        </w:tabs>
        <w:rPr>
          <w:szCs w:val="20"/>
          <w:lang w:val="fr-CH"/>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5E10BE" w:rsidRPr="00745FBE" w:rsidTr="003F7B25">
        <w:trPr>
          <w:cantSplit/>
          <w:tblHeader/>
        </w:trPr>
        <w:tc>
          <w:tcPr>
            <w:tcW w:w="1418" w:type="dxa"/>
            <w:shd w:val="clear" w:color="auto" w:fill="D9D9D9" w:themeFill="background1" w:themeFillShade="D9"/>
            <w:vAlign w:val="center"/>
          </w:tcPr>
          <w:p w:rsidR="005E10BE" w:rsidRPr="00745FBE" w:rsidRDefault="005E10BE" w:rsidP="003F7B25">
            <w:pPr>
              <w:spacing w:before="40" w:after="60"/>
              <w:jc w:val="left"/>
              <w:rPr>
                <w:sz w:val="18"/>
                <w:u w:val="single"/>
                <w:lang w:val="fr-CH"/>
              </w:rPr>
            </w:pPr>
          </w:p>
        </w:tc>
        <w:tc>
          <w:tcPr>
            <w:tcW w:w="5670" w:type="dxa"/>
            <w:shd w:val="clear" w:color="auto" w:fill="D9D9D9" w:themeFill="background1" w:themeFillShade="D9"/>
            <w:vAlign w:val="center"/>
          </w:tcPr>
          <w:p w:rsidR="005E10BE" w:rsidRPr="00745FBE" w:rsidRDefault="005E10BE" w:rsidP="003F7B25">
            <w:pPr>
              <w:spacing w:before="40" w:after="60"/>
              <w:jc w:val="center"/>
              <w:rPr>
                <w:sz w:val="18"/>
                <w:u w:val="single"/>
                <w:lang w:val="fr-CH"/>
              </w:rPr>
            </w:pPr>
            <w:r w:rsidRPr="00745FBE">
              <w:rPr>
                <w:sz w:val="18"/>
                <w:u w:val="single"/>
                <w:lang w:val="fr-CH"/>
              </w:rPr>
              <w:t>Noms botaniques</w:t>
            </w:r>
          </w:p>
        </w:tc>
        <w:tc>
          <w:tcPr>
            <w:tcW w:w="2551" w:type="dxa"/>
            <w:shd w:val="clear" w:color="auto" w:fill="D9D9D9" w:themeFill="background1" w:themeFillShade="D9"/>
            <w:vAlign w:val="center"/>
          </w:tcPr>
          <w:p w:rsidR="005E10BE" w:rsidRPr="00745FBE" w:rsidRDefault="005E10BE" w:rsidP="003F7B25">
            <w:pPr>
              <w:spacing w:before="40" w:after="60"/>
              <w:jc w:val="center"/>
              <w:rPr>
                <w:sz w:val="18"/>
                <w:u w:val="single"/>
                <w:lang w:val="fr-CH"/>
              </w:rPr>
            </w:pPr>
            <w:r w:rsidRPr="00745FBE">
              <w:rPr>
                <w:sz w:val="18"/>
                <w:u w:val="single"/>
                <w:lang w:val="fr-CH"/>
              </w:rPr>
              <w:t>Codes UPOV</w:t>
            </w:r>
          </w:p>
        </w:tc>
      </w:tr>
      <w:tr w:rsidR="005E10BE" w:rsidRPr="00745FBE" w:rsidTr="003F7B25">
        <w:trPr>
          <w:cantSplit/>
          <w:tblHeader/>
        </w:trPr>
        <w:tc>
          <w:tcPr>
            <w:tcW w:w="1418" w:type="dxa"/>
            <w:tcBorders>
              <w:left w:val="nil"/>
              <w:right w:val="nil"/>
            </w:tcBorders>
          </w:tcPr>
          <w:p w:rsidR="005E10BE" w:rsidRPr="00745FBE" w:rsidRDefault="005E10BE" w:rsidP="003F7B25">
            <w:pPr>
              <w:jc w:val="left"/>
              <w:rPr>
                <w:sz w:val="18"/>
                <w:lang w:val="fr-CH"/>
              </w:rPr>
            </w:pPr>
          </w:p>
        </w:tc>
        <w:tc>
          <w:tcPr>
            <w:tcW w:w="5670" w:type="dxa"/>
            <w:tcBorders>
              <w:left w:val="nil"/>
              <w:right w:val="nil"/>
            </w:tcBorders>
          </w:tcPr>
          <w:p w:rsidR="005E10BE" w:rsidRPr="00745FBE" w:rsidRDefault="005E10BE" w:rsidP="003F7B25">
            <w:pPr>
              <w:jc w:val="left"/>
              <w:rPr>
                <w:sz w:val="18"/>
                <w:lang w:val="fr-CH"/>
              </w:rPr>
            </w:pPr>
          </w:p>
        </w:tc>
        <w:tc>
          <w:tcPr>
            <w:tcW w:w="2551" w:type="dxa"/>
            <w:tcBorders>
              <w:left w:val="nil"/>
              <w:right w:val="nil"/>
            </w:tcBorders>
          </w:tcPr>
          <w:p w:rsidR="005E10BE" w:rsidRPr="00745FBE" w:rsidRDefault="005E10BE" w:rsidP="003F7B25">
            <w:pPr>
              <w:jc w:val="left"/>
              <w:rPr>
                <w:sz w:val="18"/>
                <w:lang w:val="fr-CH"/>
              </w:rPr>
            </w:pPr>
          </w:p>
        </w:tc>
      </w:tr>
      <w:tr w:rsidR="005E10BE" w:rsidRPr="00745FBE" w:rsidTr="003F7B25">
        <w:trPr>
          <w:cantSplit/>
        </w:trPr>
        <w:tc>
          <w:tcPr>
            <w:tcW w:w="1418" w:type="dxa"/>
          </w:tcPr>
          <w:p w:rsidR="005E10BE" w:rsidRPr="00745FBE" w:rsidRDefault="005E10BE" w:rsidP="003F7B25">
            <w:pPr>
              <w:spacing w:before="40" w:after="40"/>
              <w:jc w:val="left"/>
              <w:rPr>
                <w:sz w:val="18"/>
                <w:lang w:val="fr-CH"/>
              </w:rPr>
            </w:pPr>
            <w:r w:rsidRPr="00745FBE">
              <w:rPr>
                <w:sz w:val="18"/>
                <w:lang w:val="fr-CH"/>
              </w:rPr>
              <w:t>Classe 1.1</w:t>
            </w:r>
          </w:p>
        </w:tc>
        <w:tc>
          <w:tcPr>
            <w:tcW w:w="5670" w:type="dxa"/>
          </w:tcPr>
          <w:p w:rsidR="005E10BE" w:rsidRPr="00745FBE" w:rsidRDefault="005E10BE" w:rsidP="003F7B25">
            <w:pPr>
              <w:spacing w:before="40" w:after="40"/>
              <w:jc w:val="left"/>
              <w:rPr>
                <w:sz w:val="18"/>
                <w:lang w:val="fr-CH"/>
              </w:rPr>
            </w:pPr>
            <w:r w:rsidRPr="00745FBE">
              <w:rPr>
                <w:sz w:val="18"/>
                <w:lang w:val="fr-CH"/>
              </w:rPr>
              <w:t>Brassica oleracea</w:t>
            </w:r>
          </w:p>
        </w:tc>
        <w:tc>
          <w:tcPr>
            <w:tcW w:w="2551" w:type="dxa"/>
          </w:tcPr>
          <w:p w:rsidR="005E10BE" w:rsidRPr="00745FBE" w:rsidRDefault="005E10BE" w:rsidP="003F7B25">
            <w:pPr>
              <w:spacing w:before="40" w:after="40"/>
              <w:jc w:val="left"/>
              <w:rPr>
                <w:sz w:val="18"/>
                <w:lang w:val="fr-CH"/>
              </w:rPr>
            </w:pPr>
            <w:r w:rsidRPr="00745FBE">
              <w:rPr>
                <w:sz w:val="18"/>
                <w:lang w:val="fr-CH"/>
              </w:rPr>
              <w:t>BRASS_OLE</w:t>
            </w:r>
          </w:p>
        </w:tc>
      </w:tr>
      <w:tr w:rsidR="005E10BE" w:rsidRPr="00745FBE" w:rsidTr="003F7B25">
        <w:trPr>
          <w:cantSplit/>
        </w:trPr>
        <w:tc>
          <w:tcPr>
            <w:tcW w:w="1418" w:type="dxa"/>
            <w:tcBorders>
              <w:bottom w:val="nil"/>
            </w:tcBorders>
          </w:tcPr>
          <w:p w:rsidR="005E10BE" w:rsidRPr="00745FBE" w:rsidRDefault="005E10BE" w:rsidP="003F7B25">
            <w:pPr>
              <w:spacing w:before="40" w:after="40"/>
              <w:jc w:val="left"/>
              <w:rPr>
                <w:sz w:val="18"/>
                <w:lang w:val="fr-CH"/>
              </w:rPr>
            </w:pPr>
            <w:r w:rsidRPr="00745FBE">
              <w:rPr>
                <w:sz w:val="18"/>
                <w:lang w:val="fr-CH"/>
              </w:rPr>
              <w:t>Classe 1.2</w:t>
            </w:r>
          </w:p>
        </w:tc>
        <w:tc>
          <w:tcPr>
            <w:tcW w:w="5670" w:type="dxa"/>
            <w:tcBorders>
              <w:bottom w:val="nil"/>
            </w:tcBorders>
          </w:tcPr>
          <w:p w:rsidR="005E10BE" w:rsidRPr="00745FBE" w:rsidRDefault="005E10BE" w:rsidP="003F7B25">
            <w:pPr>
              <w:spacing w:before="40" w:after="40"/>
              <w:jc w:val="left"/>
              <w:rPr>
                <w:sz w:val="18"/>
                <w:lang w:val="fr-CH"/>
              </w:rPr>
            </w:pPr>
            <w:r w:rsidRPr="00745FBE">
              <w:rPr>
                <w:sz w:val="18"/>
                <w:lang w:val="fr-CH"/>
              </w:rPr>
              <w:t>Brassica autres que Brassica oleracea</w:t>
            </w:r>
          </w:p>
        </w:tc>
        <w:tc>
          <w:tcPr>
            <w:tcW w:w="2551" w:type="dxa"/>
            <w:tcBorders>
              <w:bottom w:val="nil"/>
            </w:tcBorders>
          </w:tcPr>
          <w:p w:rsidR="005E10BE" w:rsidRPr="00745FBE" w:rsidRDefault="005E10BE" w:rsidP="003F7B25">
            <w:pPr>
              <w:spacing w:before="40" w:after="40"/>
              <w:jc w:val="left"/>
              <w:rPr>
                <w:sz w:val="18"/>
                <w:lang w:val="fr-CH"/>
              </w:rPr>
            </w:pPr>
            <w:r w:rsidRPr="00745FBE">
              <w:rPr>
                <w:sz w:val="18"/>
                <w:lang w:val="fr-CH"/>
              </w:rPr>
              <w:t>autre que BRASS_OLE</w:t>
            </w:r>
          </w:p>
        </w:tc>
      </w:tr>
      <w:tr w:rsidR="005E10BE" w:rsidRPr="00745FBE" w:rsidTr="003F7B25">
        <w:trPr>
          <w:cantSplit/>
        </w:trPr>
        <w:tc>
          <w:tcPr>
            <w:tcW w:w="1418" w:type="dxa"/>
            <w:tcBorders>
              <w:left w:val="nil"/>
              <w:right w:val="nil"/>
            </w:tcBorders>
          </w:tcPr>
          <w:p w:rsidR="005E10BE" w:rsidRPr="00745FBE" w:rsidRDefault="005E10BE" w:rsidP="003F7B25">
            <w:pPr>
              <w:jc w:val="left"/>
              <w:rPr>
                <w:sz w:val="18"/>
                <w:lang w:val="fr-CH"/>
              </w:rPr>
            </w:pPr>
          </w:p>
        </w:tc>
        <w:tc>
          <w:tcPr>
            <w:tcW w:w="5670" w:type="dxa"/>
            <w:tcBorders>
              <w:left w:val="nil"/>
              <w:right w:val="nil"/>
            </w:tcBorders>
          </w:tcPr>
          <w:p w:rsidR="005E10BE" w:rsidRPr="00745FBE" w:rsidRDefault="005E10BE" w:rsidP="003F7B25">
            <w:pPr>
              <w:jc w:val="left"/>
              <w:rPr>
                <w:sz w:val="18"/>
                <w:lang w:val="fr-CH"/>
              </w:rPr>
            </w:pPr>
          </w:p>
        </w:tc>
        <w:tc>
          <w:tcPr>
            <w:tcW w:w="2551" w:type="dxa"/>
            <w:tcBorders>
              <w:left w:val="nil"/>
              <w:right w:val="nil"/>
            </w:tcBorders>
          </w:tcPr>
          <w:p w:rsidR="005E10BE" w:rsidRPr="00745FBE" w:rsidRDefault="005E10BE" w:rsidP="003F7B25">
            <w:pPr>
              <w:jc w:val="left"/>
              <w:rPr>
                <w:sz w:val="18"/>
                <w:lang w:val="fr-CH"/>
              </w:rPr>
            </w:pPr>
          </w:p>
        </w:tc>
      </w:tr>
      <w:tr w:rsidR="005E10BE" w:rsidRPr="00ED146B" w:rsidTr="003F7B25">
        <w:trPr>
          <w:cantSplit/>
        </w:trPr>
        <w:tc>
          <w:tcPr>
            <w:tcW w:w="1418" w:type="dxa"/>
          </w:tcPr>
          <w:p w:rsidR="005E10BE" w:rsidRPr="00745FBE" w:rsidRDefault="005E10BE" w:rsidP="003F7B25">
            <w:pPr>
              <w:spacing w:before="40" w:after="40"/>
              <w:jc w:val="left"/>
              <w:rPr>
                <w:sz w:val="18"/>
                <w:lang w:val="fr-CH"/>
              </w:rPr>
            </w:pPr>
            <w:r w:rsidRPr="00745FBE">
              <w:rPr>
                <w:sz w:val="18"/>
                <w:lang w:val="fr-CH"/>
              </w:rPr>
              <w:t>Classe 2.1</w:t>
            </w:r>
          </w:p>
        </w:tc>
        <w:tc>
          <w:tcPr>
            <w:tcW w:w="5670" w:type="dxa"/>
          </w:tcPr>
          <w:p w:rsidR="005E10BE" w:rsidRPr="009B26EF" w:rsidRDefault="005E10BE" w:rsidP="003F7B25">
            <w:pPr>
              <w:spacing w:before="40" w:after="40"/>
              <w:jc w:val="left"/>
              <w:rPr>
                <w:sz w:val="18"/>
                <w:lang w:val="es-AR"/>
              </w:rPr>
            </w:pPr>
            <w:r w:rsidRPr="009B26EF">
              <w:rPr>
                <w:sz w:val="18"/>
                <w:lang w:val="es-AR"/>
              </w:rPr>
              <w:t xml:space="preserve">Beta vulgaris L. var. alba DC., </w:t>
            </w:r>
            <w:r w:rsidRPr="009B26EF">
              <w:rPr>
                <w:sz w:val="18"/>
                <w:lang w:val="es-AR"/>
              </w:rPr>
              <w:br/>
              <w:t>Beta vulgaris L. var. altissima</w:t>
            </w:r>
          </w:p>
        </w:tc>
        <w:tc>
          <w:tcPr>
            <w:tcW w:w="2551" w:type="dxa"/>
          </w:tcPr>
          <w:p w:rsidR="005E10BE" w:rsidRPr="009B26EF" w:rsidRDefault="005E10BE" w:rsidP="003F7B25">
            <w:pPr>
              <w:spacing w:before="40" w:after="40"/>
              <w:jc w:val="left"/>
              <w:rPr>
                <w:sz w:val="18"/>
                <w:lang w:val="es-AR"/>
              </w:rPr>
            </w:pPr>
            <w:r w:rsidRPr="009B26EF">
              <w:rPr>
                <w:sz w:val="18"/>
                <w:lang w:val="es-AR"/>
              </w:rPr>
              <w:t>BETAA_VUL_GVA;  BETAA_VUL_GVS</w:t>
            </w:r>
          </w:p>
        </w:tc>
      </w:tr>
      <w:tr w:rsidR="005E10BE" w:rsidRPr="00ED146B" w:rsidTr="003F7B25">
        <w:trPr>
          <w:cantSplit/>
        </w:trPr>
        <w:tc>
          <w:tcPr>
            <w:tcW w:w="1418" w:type="dxa"/>
          </w:tcPr>
          <w:p w:rsidR="005E10BE" w:rsidRPr="00745FBE" w:rsidRDefault="005E10BE" w:rsidP="003F7B25">
            <w:pPr>
              <w:spacing w:before="40" w:after="40"/>
              <w:jc w:val="left"/>
              <w:rPr>
                <w:sz w:val="18"/>
                <w:lang w:val="fr-CH"/>
              </w:rPr>
            </w:pPr>
            <w:r w:rsidRPr="00745FBE">
              <w:rPr>
                <w:sz w:val="18"/>
                <w:lang w:val="fr-CH"/>
              </w:rPr>
              <w:t>Classe 2.2</w:t>
            </w:r>
          </w:p>
        </w:tc>
        <w:tc>
          <w:tcPr>
            <w:tcW w:w="5670" w:type="dxa"/>
          </w:tcPr>
          <w:p w:rsidR="005E10BE" w:rsidRPr="009B26EF" w:rsidRDefault="005E10BE" w:rsidP="003F7B25">
            <w:pPr>
              <w:spacing w:before="40" w:after="40"/>
              <w:jc w:val="left"/>
              <w:rPr>
                <w:sz w:val="18"/>
                <w:lang w:val="es-AR"/>
              </w:rPr>
            </w:pPr>
            <w:r w:rsidRPr="009B26EF">
              <w:rPr>
                <w:sz w:val="18"/>
                <w:lang w:val="es-AR"/>
              </w:rPr>
              <w:t>Beta vulgaris ssp. vulgaris var. conditiva Alef. (syn.</w:t>
            </w:r>
            <w:r w:rsidR="009B26EF">
              <w:rPr>
                <w:sz w:val="18"/>
                <w:lang w:val="es-AR"/>
              </w:rPr>
              <w:t> :</w:t>
            </w:r>
            <w:r w:rsidRPr="009B26EF">
              <w:rPr>
                <w:sz w:val="18"/>
                <w:lang w:val="es-AR"/>
              </w:rPr>
              <w:t xml:space="preserve"> B. vulgaris L. var. rubra L.), B. vulgaris L. var. cicla L., B. vulgaris L. ssp. vulgaris var. vulgaris</w:t>
            </w:r>
          </w:p>
        </w:tc>
        <w:tc>
          <w:tcPr>
            <w:tcW w:w="2551" w:type="dxa"/>
          </w:tcPr>
          <w:p w:rsidR="005E10BE" w:rsidRPr="009B26EF" w:rsidRDefault="005E10BE" w:rsidP="003F7B25">
            <w:pPr>
              <w:spacing w:before="40" w:after="40"/>
              <w:jc w:val="left"/>
              <w:rPr>
                <w:sz w:val="18"/>
                <w:lang w:val="es-AR"/>
              </w:rPr>
            </w:pPr>
            <w:r w:rsidRPr="009B26EF">
              <w:rPr>
                <w:sz w:val="18"/>
                <w:lang w:val="es-AR"/>
              </w:rPr>
              <w:t>BETAA_VUL_GVC; BETAA_VUL_GVF</w:t>
            </w:r>
          </w:p>
        </w:tc>
      </w:tr>
      <w:tr w:rsidR="005E10BE" w:rsidRPr="00ED146B" w:rsidTr="003F7B25">
        <w:trPr>
          <w:cantSplit/>
        </w:trPr>
        <w:tc>
          <w:tcPr>
            <w:tcW w:w="1418" w:type="dxa"/>
            <w:tcBorders>
              <w:bottom w:val="nil"/>
            </w:tcBorders>
          </w:tcPr>
          <w:p w:rsidR="005E10BE" w:rsidRPr="00745FBE" w:rsidRDefault="005E10BE" w:rsidP="003F7B25">
            <w:pPr>
              <w:spacing w:before="40" w:after="40"/>
              <w:jc w:val="left"/>
              <w:rPr>
                <w:sz w:val="18"/>
                <w:lang w:val="fr-CH"/>
              </w:rPr>
            </w:pPr>
            <w:r w:rsidRPr="00745FBE">
              <w:rPr>
                <w:sz w:val="18"/>
                <w:lang w:val="fr-CH"/>
              </w:rPr>
              <w:t>Classe 2.3</w:t>
            </w:r>
          </w:p>
        </w:tc>
        <w:tc>
          <w:tcPr>
            <w:tcW w:w="5670" w:type="dxa"/>
            <w:tcBorders>
              <w:bottom w:val="nil"/>
            </w:tcBorders>
          </w:tcPr>
          <w:p w:rsidR="005E10BE" w:rsidRPr="00745FBE" w:rsidRDefault="005E10BE" w:rsidP="003F7B25">
            <w:pPr>
              <w:spacing w:before="40" w:after="40"/>
              <w:jc w:val="left"/>
              <w:rPr>
                <w:sz w:val="18"/>
                <w:lang w:val="fr-CH"/>
              </w:rPr>
            </w:pPr>
            <w:r w:rsidRPr="00745FBE">
              <w:rPr>
                <w:sz w:val="18"/>
                <w:lang w:val="fr-CH"/>
              </w:rPr>
              <w:t>Beta autres que les classes 2.1 et 2.2.</w:t>
            </w:r>
          </w:p>
        </w:tc>
        <w:tc>
          <w:tcPr>
            <w:tcW w:w="2551" w:type="dxa"/>
            <w:tcBorders>
              <w:bottom w:val="nil"/>
            </w:tcBorders>
          </w:tcPr>
          <w:p w:rsidR="005E10BE" w:rsidRPr="00745FBE" w:rsidRDefault="005E10BE" w:rsidP="003F7B25">
            <w:pPr>
              <w:spacing w:before="40" w:after="40"/>
              <w:jc w:val="left"/>
              <w:rPr>
                <w:sz w:val="18"/>
                <w:lang w:val="fr-CH"/>
              </w:rPr>
            </w:pPr>
            <w:r w:rsidRPr="00745FBE">
              <w:rPr>
                <w:sz w:val="18"/>
                <w:lang w:val="fr-CH"/>
              </w:rPr>
              <w:t>autre que les classes 2.1</w:t>
            </w:r>
            <w:r w:rsidRPr="00745FBE">
              <w:rPr>
                <w:sz w:val="18"/>
                <w:lang w:val="fr-CH"/>
              </w:rPr>
              <w:br/>
              <w:t>et 2.2</w:t>
            </w:r>
          </w:p>
        </w:tc>
      </w:tr>
      <w:tr w:rsidR="005E10BE" w:rsidRPr="00ED146B" w:rsidTr="003F7B25">
        <w:trPr>
          <w:cantSplit/>
        </w:trPr>
        <w:tc>
          <w:tcPr>
            <w:tcW w:w="1418" w:type="dxa"/>
            <w:tcBorders>
              <w:left w:val="nil"/>
              <w:bottom w:val="nil"/>
              <w:right w:val="nil"/>
            </w:tcBorders>
          </w:tcPr>
          <w:p w:rsidR="005E10BE" w:rsidRPr="00745FBE" w:rsidRDefault="005E10BE" w:rsidP="003F7B25">
            <w:pPr>
              <w:jc w:val="left"/>
              <w:rPr>
                <w:sz w:val="18"/>
                <w:lang w:val="fr-CH"/>
              </w:rPr>
            </w:pPr>
          </w:p>
        </w:tc>
        <w:tc>
          <w:tcPr>
            <w:tcW w:w="5670" w:type="dxa"/>
            <w:tcBorders>
              <w:left w:val="nil"/>
              <w:bottom w:val="nil"/>
              <w:right w:val="nil"/>
            </w:tcBorders>
          </w:tcPr>
          <w:p w:rsidR="005E10BE" w:rsidRPr="00745FBE" w:rsidRDefault="005E10BE" w:rsidP="003F7B25">
            <w:pPr>
              <w:jc w:val="left"/>
              <w:rPr>
                <w:sz w:val="18"/>
                <w:lang w:val="fr-CH"/>
              </w:rPr>
            </w:pPr>
          </w:p>
        </w:tc>
        <w:tc>
          <w:tcPr>
            <w:tcW w:w="2551" w:type="dxa"/>
            <w:tcBorders>
              <w:left w:val="nil"/>
              <w:bottom w:val="nil"/>
              <w:right w:val="nil"/>
            </w:tcBorders>
          </w:tcPr>
          <w:p w:rsidR="005E10BE" w:rsidRPr="00745FBE" w:rsidRDefault="005E10BE" w:rsidP="003F7B25">
            <w:pPr>
              <w:jc w:val="left"/>
              <w:rPr>
                <w:sz w:val="18"/>
                <w:lang w:val="fr-CH"/>
              </w:rPr>
            </w:pPr>
          </w:p>
        </w:tc>
      </w:tr>
      <w:tr w:rsidR="005E10BE" w:rsidRPr="00745FBE" w:rsidTr="003F7B25">
        <w:trPr>
          <w:cantSplit/>
        </w:trPr>
        <w:tc>
          <w:tcPr>
            <w:tcW w:w="1418" w:type="dxa"/>
            <w:tcBorders>
              <w:top w:val="single" w:sz="4" w:space="0" w:color="auto"/>
            </w:tcBorders>
          </w:tcPr>
          <w:p w:rsidR="005E10BE" w:rsidRPr="00745FBE" w:rsidRDefault="005E10BE" w:rsidP="003F7B25">
            <w:pPr>
              <w:spacing w:before="40" w:after="40"/>
              <w:jc w:val="left"/>
              <w:rPr>
                <w:sz w:val="18"/>
                <w:lang w:val="fr-CH"/>
              </w:rPr>
            </w:pPr>
            <w:r w:rsidRPr="00745FBE">
              <w:rPr>
                <w:sz w:val="18"/>
                <w:lang w:val="fr-CH"/>
              </w:rPr>
              <w:t>Classe 3.1</w:t>
            </w:r>
          </w:p>
        </w:tc>
        <w:tc>
          <w:tcPr>
            <w:tcW w:w="5670" w:type="dxa"/>
            <w:tcBorders>
              <w:top w:val="single" w:sz="4" w:space="0" w:color="auto"/>
            </w:tcBorders>
          </w:tcPr>
          <w:p w:rsidR="005E10BE" w:rsidRPr="00745FBE" w:rsidRDefault="005E10BE" w:rsidP="003F7B25">
            <w:pPr>
              <w:spacing w:before="40" w:after="40"/>
              <w:jc w:val="left"/>
              <w:rPr>
                <w:sz w:val="18"/>
                <w:lang w:val="fr-CH"/>
              </w:rPr>
            </w:pPr>
            <w:r w:rsidRPr="00745FBE">
              <w:rPr>
                <w:sz w:val="18"/>
                <w:lang w:val="fr-CH"/>
              </w:rPr>
              <w:t>Cucumis sativus</w:t>
            </w:r>
          </w:p>
        </w:tc>
        <w:tc>
          <w:tcPr>
            <w:tcW w:w="2551" w:type="dxa"/>
            <w:tcBorders>
              <w:top w:val="single" w:sz="4" w:space="0" w:color="auto"/>
            </w:tcBorders>
          </w:tcPr>
          <w:p w:rsidR="005E10BE" w:rsidRPr="00745FBE" w:rsidRDefault="005E10BE" w:rsidP="003F7B25">
            <w:pPr>
              <w:spacing w:before="40" w:after="40"/>
              <w:jc w:val="left"/>
              <w:rPr>
                <w:sz w:val="18"/>
                <w:lang w:val="fr-CH"/>
              </w:rPr>
            </w:pPr>
            <w:r w:rsidRPr="00745FBE">
              <w:rPr>
                <w:sz w:val="18"/>
                <w:lang w:val="fr-CH"/>
              </w:rPr>
              <w:t>CUCUM_SAT</w:t>
            </w:r>
          </w:p>
        </w:tc>
      </w:tr>
      <w:tr w:rsidR="005E10BE" w:rsidRPr="00745FBE" w:rsidTr="003F7B25">
        <w:trPr>
          <w:cantSplit/>
        </w:trPr>
        <w:tc>
          <w:tcPr>
            <w:tcW w:w="1418" w:type="dxa"/>
          </w:tcPr>
          <w:p w:rsidR="005E10BE" w:rsidRPr="00745FBE" w:rsidRDefault="005E10BE" w:rsidP="003F7B25">
            <w:pPr>
              <w:spacing w:before="40" w:after="40"/>
              <w:jc w:val="left"/>
              <w:rPr>
                <w:sz w:val="18"/>
                <w:lang w:val="fr-CH"/>
              </w:rPr>
            </w:pPr>
            <w:r w:rsidRPr="00745FBE">
              <w:rPr>
                <w:sz w:val="18"/>
                <w:lang w:val="fr-CH"/>
              </w:rPr>
              <w:t>Classe 3.2</w:t>
            </w:r>
          </w:p>
        </w:tc>
        <w:tc>
          <w:tcPr>
            <w:tcW w:w="5670" w:type="dxa"/>
          </w:tcPr>
          <w:p w:rsidR="005E10BE" w:rsidRPr="00745FBE" w:rsidRDefault="005E10BE" w:rsidP="003F7B25">
            <w:pPr>
              <w:spacing w:before="40" w:after="40"/>
              <w:jc w:val="left"/>
              <w:rPr>
                <w:sz w:val="18"/>
                <w:lang w:val="fr-CH"/>
              </w:rPr>
            </w:pPr>
            <w:r w:rsidRPr="00745FBE">
              <w:rPr>
                <w:sz w:val="18"/>
                <w:lang w:val="fr-CH"/>
              </w:rPr>
              <w:t>Cucumis melo</w:t>
            </w:r>
          </w:p>
        </w:tc>
        <w:tc>
          <w:tcPr>
            <w:tcW w:w="2551" w:type="dxa"/>
          </w:tcPr>
          <w:p w:rsidR="005E10BE" w:rsidRPr="00745FBE" w:rsidRDefault="005E10BE" w:rsidP="003F7B25">
            <w:pPr>
              <w:spacing w:before="40" w:after="40"/>
              <w:jc w:val="left"/>
              <w:rPr>
                <w:sz w:val="18"/>
                <w:lang w:val="fr-CH"/>
              </w:rPr>
            </w:pPr>
            <w:r w:rsidRPr="00745FBE">
              <w:rPr>
                <w:sz w:val="18"/>
                <w:lang w:val="fr-CH"/>
              </w:rPr>
              <w:t>CUCUM_MEL</w:t>
            </w:r>
          </w:p>
        </w:tc>
      </w:tr>
      <w:tr w:rsidR="005E10BE" w:rsidRPr="00ED146B" w:rsidTr="003F7B25">
        <w:trPr>
          <w:cantSplit/>
        </w:trPr>
        <w:tc>
          <w:tcPr>
            <w:tcW w:w="1418" w:type="dxa"/>
          </w:tcPr>
          <w:p w:rsidR="005E10BE" w:rsidRPr="00745FBE" w:rsidRDefault="005E10BE" w:rsidP="003F7B25">
            <w:pPr>
              <w:spacing w:before="40" w:after="40"/>
              <w:jc w:val="left"/>
              <w:rPr>
                <w:sz w:val="18"/>
                <w:lang w:val="fr-CH"/>
              </w:rPr>
            </w:pPr>
            <w:r w:rsidRPr="00745FBE">
              <w:rPr>
                <w:sz w:val="18"/>
                <w:lang w:val="fr-CH"/>
              </w:rPr>
              <w:t>Classe 3.3</w:t>
            </w:r>
          </w:p>
        </w:tc>
        <w:tc>
          <w:tcPr>
            <w:tcW w:w="5670" w:type="dxa"/>
          </w:tcPr>
          <w:p w:rsidR="005E10BE" w:rsidRPr="00745FBE" w:rsidRDefault="005E10BE" w:rsidP="003F7B25">
            <w:pPr>
              <w:spacing w:before="40" w:after="40"/>
              <w:jc w:val="left"/>
              <w:rPr>
                <w:sz w:val="18"/>
                <w:lang w:val="fr-CH"/>
              </w:rPr>
            </w:pPr>
            <w:r w:rsidRPr="00745FBE">
              <w:rPr>
                <w:sz w:val="18"/>
                <w:lang w:val="fr-CH"/>
              </w:rPr>
              <w:t>Cucumis autres que les classes 3.1 et 3.2</w:t>
            </w:r>
          </w:p>
        </w:tc>
        <w:tc>
          <w:tcPr>
            <w:tcW w:w="2551" w:type="dxa"/>
          </w:tcPr>
          <w:p w:rsidR="005E10BE" w:rsidRPr="00745FBE" w:rsidRDefault="005E10BE" w:rsidP="003F7B25">
            <w:pPr>
              <w:spacing w:before="40" w:after="40"/>
              <w:jc w:val="left"/>
              <w:rPr>
                <w:sz w:val="18"/>
                <w:lang w:val="fr-CH"/>
              </w:rPr>
            </w:pPr>
            <w:r w:rsidRPr="00745FBE">
              <w:rPr>
                <w:sz w:val="18"/>
                <w:lang w:val="fr-CH"/>
              </w:rPr>
              <w:t>autre que les classes 3.1</w:t>
            </w:r>
            <w:r w:rsidRPr="00745FBE">
              <w:rPr>
                <w:sz w:val="18"/>
                <w:lang w:val="fr-CH"/>
              </w:rPr>
              <w:br/>
              <w:t>et 3.2</w:t>
            </w:r>
          </w:p>
        </w:tc>
      </w:tr>
      <w:tr w:rsidR="005E10BE" w:rsidRPr="00ED146B" w:rsidTr="003F7B25">
        <w:trPr>
          <w:cantSplit/>
        </w:trPr>
        <w:tc>
          <w:tcPr>
            <w:tcW w:w="1418" w:type="dxa"/>
            <w:tcBorders>
              <w:left w:val="nil"/>
              <w:bottom w:val="nil"/>
              <w:right w:val="nil"/>
            </w:tcBorders>
          </w:tcPr>
          <w:p w:rsidR="005E10BE" w:rsidRPr="00745FBE" w:rsidRDefault="005E10BE" w:rsidP="003F7B25">
            <w:pPr>
              <w:jc w:val="left"/>
              <w:rPr>
                <w:sz w:val="18"/>
                <w:lang w:val="fr-CH"/>
              </w:rPr>
            </w:pPr>
          </w:p>
        </w:tc>
        <w:tc>
          <w:tcPr>
            <w:tcW w:w="5670" w:type="dxa"/>
            <w:tcBorders>
              <w:left w:val="nil"/>
              <w:bottom w:val="nil"/>
              <w:right w:val="nil"/>
            </w:tcBorders>
          </w:tcPr>
          <w:p w:rsidR="005E10BE" w:rsidRPr="00745FBE" w:rsidRDefault="005E10BE" w:rsidP="003F7B25">
            <w:pPr>
              <w:jc w:val="left"/>
              <w:rPr>
                <w:sz w:val="18"/>
                <w:lang w:val="fr-CH"/>
              </w:rPr>
            </w:pPr>
          </w:p>
        </w:tc>
        <w:tc>
          <w:tcPr>
            <w:tcW w:w="2551" w:type="dxa"/>
            <w:tcBorders>
              <w:left w:val="nil"/>
              <w:bottom w:val="nil"/>
              <w:right w:val="nil"/>
            </w:tcBorders>
          </w:tcPr>
          <w:p w:rsidR="005E10BE" w:rsidRPr="00745FBE" w:rsidRDefault="005E10BE" w:rsidP="003F7B25">
            <w:pPr>
              <w:jc w:val="left"/>
              <w:rPr>
                <w:sz w:val="18"/>
                <w:lang w:val="fr-CH"/>
              </w:rPr>
            </w:pPr>
          </w:p>
        </w:tc>
      </w:tr>
      <w:tr w:rsidR="005E10BE" w:rsidRPr="00745FBE" w:rsidTr="003F7B25">
        <w:trPr>
          <w:cantSplit/>
        </w:trPr>
        <w:tc>
          <w:tcPr>
            <w:tcW w:w="1418" w:type="dxa"/>
            <w:tcBorders>
              <w:top w:val="single" w:sz="4" w:space="0" w:color="auto"/>
              <w:left w:val="single" w:sz="4" w:space="0" w:color="auto"/>
              <w:bottom w:val="single" w:sz="4" w:space="0" w:color="auto"/>
            </w:tcBorders>
          </w:tcPr>
          <w:p w:rsidR="005E10BE" w:rsidRPr="00745FBE" w:rsidRDefault="005E10BE" w:rsidP="003F7B25">
            <w:pPr>
              <w:keepNext/>
              <w:spacing w:before="40" w:after="40"/>
              <w:rPr>
                <w:color w:val="000000"/>
                <w:sz w:val="18"/>
                <w:lang w:val="fr-CH"/>
              </w:rPr>
            </w:pPr>
            <w:r w:rsidRPr="00745FBE">
              <w:rPr>
                <w:color w:val="000000"/>
                <w:sz w:val="18"/>
                <w:lang w:val="fr-CH"/>
              </w:rPr>
              <w:t>Classe 4.1</w:t>
            </w:r>
          </w:p>
        </w:tc>
        <w:tc>
          <w:tcPr>
            <w:tcW w:w="5670" w:type="dxa"/>
            <w:tcBorders>
              <w:top w:val="single" w:sz="4" w:space="0" w:color="auto"/>
              <w:bottom w:val="single" w:sz="4" w:space="0" w:color="auto"/>
            </w:tcBorders>
          </w:tcPr>
          <w:p w:rsidR="005E10BE" w:rsidRPr="00745FBE" w:rsidRDefault="005E10BE" w:rsidP="003F7B25">
            <w:pPr>
              <w:keepNext/>
              <w:spacing w:before="40" w:after="40"/>
              <w:rPr>
                <w:color w:val="000000"/>
                <w:sz w:val="18"/>
                <w:lang w:val="fr-CH"/>
              </w:rPr>
            </w:pPr>
            <w:r w:rsidRPr="00745FBE">
              <w:rPr>
                <w:color w:val="000000"/>
                <w:sz w:val="18"/>
                <w:lang w:val="fr-CH"/>
              </w:rPr>
              <w:t>Solanum tuberosum L.</w:t>
            </w:r>
          </w:p>
        </w:tc>
        <w:tc>
          <w:tcPr>
            <w:tcW w:w="2551" w:type="dxa"/>
            <w:tcBorders>
              <w:top w:val="single" w:sz="4" w:space="0" w:color="auto"/>
              <w:bottom w:val="single" w:sz="4" w:space="0" w:color="auto"/>
            </w:tcBorders>
          </w:tcPr>
          <w:p w:rsidR="005E10BE" w:rsidRPr="00745FBE" w:rsidRDefault="005E10BE" w:rsidP="003F7B25">
            <w:pPr>
              <w:keepNext/>
              <w:spacing w:before="40" w:after="40"/>
              <w:rPr>
                <w:color w:val="000000"/>
                <w:sz w:val="18"/>
                <w:lang w:val="fr-CH"/>
              </w:rPr>
            </w:pPr>
            <w:r w:rsidRPr="00745FBE">
              <w:rPr>
                <w:color w:val="000000"/>
                <w:sz w:val="18"/>
                <w:lang w:val="fr-CH"/>
              </w:rPr>
              <w:t>SOLAN_TUB</w:t>
            </w:r>
          </w:p>
        </w:tc>
      </w:tr>
      <w:tr w:rsidR="005E10BE" w:rsidRPr="00ED146B" w:rsidTr="003F7B25">
        <w:trPr>
          <w:cantSplit/>
        </w:trPr>
        <w:tc>
          <w:tcPr>
            <w:tcW w:w="1418" w:type="dxa"/>
            <w:tcBorders>
              <w:top w:val="single"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rPr>
                <w:color w:val="000000"/>
                <w:sz w:val="18"/>
                <w:lang w:val="fr-CH"/>
              </w:rPr>
            </w:pPr>
            <w:r w:rsidRPr="00745FBE">
              <w:rPr>
                <w:color w:val="000000"/>
                <w:sz w:val="18"/>
                <w:lang w:val="fr-CH"/>
              </w:rPr>
              <w:t>Classe 4.2</w:t>
            </w:r>
          </w:p>
        </w:tc>
        <w:tc>
          <w:tcPr>
            <w:tcW w:w="5670" w:type="dxa"/>
            <w:tcBorders>
              <w:top w:val="single"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ind w:left="227" w:hanging="227"/>
              <w:jc w:val="left"/>
              <w:rPr>
                <w:iCs/>
                <w:color w:val="000000"/>
                <w:sz w:val="18"/>
                <w:lang w:val="fr-CH"/>
              </w:rPr>
            </w:pPr>
            <w:r w:rsidRPr="00745FBE">
              <w:rPr>
                <w:iCs/>
                <w:color w:val="000000"/>
                <w:sz w:val="18"/>
                <w:lang w:val="fr-CH"/>
              </w:rPr>
              <w:t>Tomate et porte</w:t>
            </w:r>
            <w:r w:rsidR="009B26EF">
              <w:rPr>
                <w:iCs/>
                <w:color w:val="000000"/>
                <w:sz w:val="18"/>
                <w:lang w:val="fr-CH"/>
              </w:rPr>
              <w:t>-</w:t>
            </w:r>
            <w:r w:rsidRPr="00745FBE">
              <w:rPr>
                <w:iCs/>
                <w:color w:val="000000"/>
                <w:sz w:val="18"/>
                <w:lang w:val="fr-CH"/>
              </w:rPr>
              <w:t>greffes de tomates</w:t>
            </w:r>
          </w:p>
        </w:tc>
        <w:tc>
          <w:tcPr>
            <w:tcW w:w="2551" w:type="dxa"/>
            <w:tcBorders>
              <w:top w:val="single"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rPr>
                <w:color w:val="000000"/>
                <w:sz w:val="18"/>
                <w:lang w:val="fr-CH"/>
              </w:rPr>
            </w:pP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ind w:left="340" w:hanging="170"/>
              <w:jc w:val="left"/>
              <w:rPr>
                <w:iCs/>
                <w:color w:val="000000"/>
                <w:sz w:val="18"/>
                <w:lang w:val="fr-CH"/>
              </w:rPr>
            </w:pPr>
            <w:r w:rsidRPr="00745FBE">
              <w:rPr>
                <w:iCs/>
                <w:color w:val="000000"/>
                <w:sz w:val="18"/>
                <w:lang w:val="fr-CH"/>
              </w:rPr>
              <w:t>Solanum lycopersicum L.</w:t>
            </w:r>
            <w:r w:rsidRPr="00745FBE">
              <w:rPr>
                <w:color w:val="000000"/>
                <w:sz w:val="18"/>
                <w:lang w:val="fr-CH"/>
              </w:rPr>
              <w:t xml:space="preserve"> </w:t>
            </w:r>
            <w:r w:rsidRPr="00745FBE">
              <w:rPr>
                <w:iCs/>
                <w:strike/>
                <w:color w:val="000000"/>
                <w:sz w:val="18"/>
                <w:lang w:val="fr-CH"/>
              </w:rPr>
              <w:br/>
            </w:r>
            <w:r w:rsidRPr="00745FBE">
              <w:rPr>
                <w:iCs/>
                <w:color w:val="000000"/>
                <w:sz w:val="18"/>
                <w:lang w:val="fr-CH"/>
              </w:rPr>
              <w:t>(synonyme</w:t>
            </w:r>
            <w:r w:rsidR="009B26EF">
              <w:rPr>
                <w:iCs/>
                <w:color w:val="000000"/>
                <w:sz w:val="18"/>
                <w:lang w:val="fr-CH"/>
              </w:rPr>
              <w:t> :</w:t>
            </w:r>
            <w:r w:rsidRPr="00745FBE">
              <w:rPr>
                <w:iCs/>
                <w:color w:val="000000"/>
                <w:sz w:val="18"/>
                <w:lang w:val="fr-CH"/>
              </w:rPr>
              <w:t xml:space="preserve"> Lycopersicon esculentum Mill.)</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rPr>
                <w:color w:val="000000"/>
                <w:sz w:val="18"/>
                <w:lang w:val="fr-CH"/>
              </w:rPr>
            </w:pPr>
            <w:bookmarkStart w:id="36" w:name="OLE_LINK1"/>
            <w:bookmarkStart w:id="37" w:name="OLE_LINK2"/>
            <w:r w:rsidRPr="00745FBE">
              <w:rPr>
                <w:color w:val="000000"/>
                <w:sz w:val="18"/>
                <w:lang w:val="fr-CH"/>
              </w:rPr>
              <w:t>SOLAN_</w:t>
            </w:r>
            <w:bookmarkEnd w:id="36"/>
            <w:bookmarkEnd w:id="37"/>
            <w:r w:rsidRPr="00745FBE">
              <w:rPr>
                <w:color w:val="000000"/>
                <w:sz w:val="18"/>
                <w:lang w:val="fr-CH"/>
              </w:rPr>
              <w:t>LYC</w:t>
            </w: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ind w:left="340" w:hanging="170"/>
              <w:jc w:val="left"/>
              <w:rPr>
                <w:iCs/>
                <w:color w:val="000000"/>
                <w:sz w:val="18"/>
                <w:lang w:val="fr-CH"/>
              </w:rPr>
            </w:pPr>
            <w:r w:rsidRPr="00745FBE">
              <w:rPr>
                <w:sz w:val="18"/>
                <w:lang w:val="fr-CH"/>
              </w:rPr>
              <w:t xml:space="preserve">Solanum cheesmaniae (L. Ridley) Fosberg </w:t>
            </w:r>
            <w:r w:rsidRPr="00745FBE">
              <w:rPr>
                <w:sz w:val="18"/>
                <w:lang w:val="fr-CH"/>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rPr>
                <w:color w:val="000000"/>
                <w:sz w:val="18"/>
                <w:lang w:val="fr-CH"/>
              </w:rPr>
            </w:pPr>
            <w:r w:rsidRPr="00745FBE">
              <w:rPr>
                <w:color w:val="000000"/>
                <w:sz w:val="18"/>
                <w:lang w:val="fr-CH"/>
              </w:rPr>
              <w:t>SOLAN_CHE</w:t>
            </w: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ind w:left="340" w:hanging="170"/>
              <w:jc w:val="left"/>
              <w:rPr>
                <w:iCs/>
                <w:color w:val="000000"/>
                <w:sz w:val="18"/>
                <w:lang w:val="fr-CH"/>
              </w:rPr>
            </w:pPr>
            <w:r w:rsidRPr="00745FBE">
              <w:rPr>
                <w:sz w:val="18"/>
                <w:lang w:val="fr-CH"/>
              </w:rPr>
              <w:t xml:space="preserve">Solanum chilense (Dunal) Reiche </w:t>
            </w:r>
            <w:r w:rsidRPr="00745FBE">
              <w:rPr>
                <w:sz w:val="18"/>
                <w:lang w:val="fr-CH"/>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keepNext/>
              <w:spacing w:before="40" w:after="40"/>
              <w:rPr>
                <w:color w:val="000000"/>
                <w:sz w:val="18"/>
                <w:lang w:val="fr-CH"/>
              </w:rPr>
            </w:pPr>
            <w:r w:rsidRPr="00745FBE">
              <w:rPr>
                <w:color w:val="000000"/>
                <w:sz w:val="18"/>
                <w:lang w:val="fr-CH"/>
              </w:rPr>
              <w:t>SOLAN_CHI</w:t>
            </w: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ind w:left="340" w:hanging="170"/>
              <w:jc w:val="left"/>
              <w:rPr>
                <w:iCs/>
                <w:color w:val="000000"/>
                <w:sz w:val="18"/>
                <w:lang w:val="fr-CH"/>
              </w:rPr>
            </w:pPr>
            <w:r w:rsidRPr="00745FBE">
              <w:rPr>
                <w:sz w:val="18"/>
                <w:lang w:val="fr-CH"/>
              </w:rPr>
              <w:t xml:space="preserve">Solanum chmielewskii (C.M. Rick et al.) D.M. Spooner et al. </w:t>
            </w:r>
            <w:r w:rsidRPr="00745FBE">
              <w:rPr>
                <w:sz w:val="18"/>
                <w:lang w:val="fr-CH"/>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r w:rsidRPr="00745FBE">
              <w:rPr>
                <w:color w:val="000000"/>
                <w:sz w:val="18"/>
                <w:lang w:val="fr-CH"/>
              </w:rPr>
              <w:t>SOLAN_CHM</w:t>
            </w: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ind w:left="340" w:hanging="170"/>
              <w:jc w:val="left"/>
              <w:rPr>
                <w:sz w:val="18"/>
                <w:lang w:val="fr-CH"/>
              </w:rPr>
            </w:pPr>
            <w:r w:rsidRPr="00745FBE">
              <w:rPr>
                <w:sz w:val="18"/>
                <w:lang w:val="fr-CH"/>
              </w:rPr>
              <w:t>Solanum galapagense S.C. Darwin &amp; Peralta</w:t>
            </w:r>
            <w:r w:rsidRPr="00745FBE">
              <w:rPr>
                <w:sz w:val="18"/>
                <w:lang w:val="fr-CH"/>
              </w:rPr>
              <w:br/>
              <w:t>(Lycopersicon cheesmaniae f. minor (Hook. f.) C. H. Müll.)</w:t>
            </w:r>
            <w:r w:rsidRPr="00745FBE">
              <w:rPr>
                <w:sz w:val="18"/>
                <w:lang w:val="fr-CH"/>
              </w:rPr>
              <w:br/>
              <w:t>(Lycopersicon cheesmaniae var. minor (Hook. f.)</w:t>
            </w:r>
            <w:r w:rsidRPr="00745FBE">
              <w:rPr>
                <w:sz w:val="18"/>
                <w:lang w:val="fr-CH"/>
              </w:rPr>
              <w:br/>
              <w:t>D. M. Porter)</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r w:rsidRPr="00745FBE">
              <w:rPr>
                <w:color w:val="000000"/>
                <w:sz w:val="18"/>
                <w:lang w:val="fr-CH"/>
              </w:rPr>
              <w:t>SOLAN_GAL</w:t>
            </w: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ind w:left="340" w:hanging="170"/>
              <w:jc w:val="left"/>
              <w:rPr>
                <w:sz w:val="18"/>
                <w:lang w:val="fr-CH"/>
              </w:rPr>
            </w:pPr>
            <w:r w:rsidRPr="00745FBE">
              <w:rPr>
                <w:sz w:val="18"/>
                <w:lang w:val="fr-CH"/>
              </w:rPr>
              <w:t>Solanum habrochaites S. Knapp &amp; D.M. Spooner</w:t>
            </w:r>
            <w:r w:rsidRPr="00745FBE">
              <w:rPr>
                <w:sz w:val="18"/>
                <w:lang w:val="fr-CH"/>
              </w:rPr>
              <w:br/>
              <w:t>(Lycopersicon agrimoniifolium Dunal)</w:t>
            </w:r>
            <w:r w:rsidRPr="00745FBE">
              <w:rPr>
                <w:sz w:val="18"/>
                <w:lang w:val="fr-CH"/>
              </w:rPr>
              <w:br/>
              <w:t>(Lycopersicon hirsutum Dunal)</w:t>
            </w:r>
            <w:r w:rsidRPr="00745FBE">
              <w:rPr>
                <w:sz w:val="18"/>
                <w:lang w:val="fr-CH"/>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r w:rsidRPr="00745FBE">
              <w:rPr>
                <w:color w:val="000000"/>
                <w:sz w:val="18"/>
                <w:lang w:val="fr-CH"/>
              </w:rPr>
              <w:t>SOLAN_HAB</w:t>
            </w: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ind w:left="340" w:hanging="170"/>
              <w:jc w:val="left"/>
              <w:rPr>
                <w:sz w:val="18"/>
                <w:lang w:val="fr-CH"/>
              </w:rPr>
            </w:pPr>
            <w:r w:rsidRPr="00745FBE">
              <w:rPr>
                <w:sz w:val="18"/>
                <w:lang w:val="fr-CH"/>
              </w:rPr>
              <w:t>Solanum pennellii Correll</w:t>
            </w:r>
            <w:r w:rsidRPr="00745FBE">
              <w:rPr>
                <w:sz w:val="18"/>
                <w:lang w:val="fr-CH"/>
              </w:rPr>
              <w:br/>
              <w:t>(Lycopersicon pennellii (Correll) D</w:t>
            </w:r>
            <w:r w:rsidR="009B26EF">
              <w:rPr>
                <w:sz w:val="18"/>
                <w:lang w:val="fr-CH"/>
              </w:rPr>
              <w:t>’</w:t>
            </w:r>
            <w:r w:rsidRPr="00745FBE">
              <w:rPr>
                <w:sz w:val="18"/>
                <w:lang w:val="fr-CH"/>
              </w:rPr>
              <w:t>Arcy)</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r w:rsidRPr="00745FBE">
              <w:rPr>
                <w:color w:val="000000"/>
                <w:sz w:val="18"/>
                <w:lang w:val="fr-CH"/>
              </w:rPr>
              <w:t>SOLAN_PEN</w:t>
            </w: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ind w:left="340" w:hanging="170"/>
              <w:jc w:val="left"/>
              <w:rPr>
                <w:sz w:val="18"/>
                <w:lang w:val="fr-CH"/>
              </w:rPr>
            </w:pPr>
            <w:r w:rsidRPr="00745FBE">
              <w:rPr>
                <w:sz w:val="18"/>
                <w:lang w:val="fr-CH"/>
              </w:rPr>
              <w:t>Solanum peruvianum L.</w:t>
            </w:r>
            <w:r w:rsidRPr="00745FBE">
              <w:rPr>
                <w:sz w:val="18"/>
                <w:lang w:val="fr-CH"/>
              </w:rPr>
              <w:br/>
              <w:t>(Lycopersicon dentatum Dunal)</w:t>
            </w:r>
            <w:r w:rsidRPr="00745FBE">
              <w:rPr>
                <w:sz w:val="18"/>
                <w:lang w:val="fr-CH"/>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r w:rsidRPr="00745FBE">
              <w:rPr>
                <w:color w:val="000000"/>
                <w:sz w:val="18"/>
                <w:lang w:val="fr-CH"/>
              </w:rPr>
              <w:t>SOLAN_PER</w:t>
            </w:r>
          </w:p>
        </w:tc>
      </w:tr>
      <w:tr w:rsidR="005E10BE" w:rsidRPr="00745FBE" w:rsidTr="003F7B25">
        <w:trPr>
          <w:cantSplit/>
        </w:trPr>
        <w:tc>
          <w:tcPr>
            <w:tcW w:w="1418"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ind w:left="340" w:hanging="170"/>
              <w:jc w:val="left"/>
              <w:rPr>
                <w:sz w:val="18"/>
                <w:lang w:val="fr-CH"/>
              </w:rPr>
            </w:pPr>
            <w:r w:rsidRPr="00745FBE">
              <w:rPr>
                <w:sz w:val="18"/>
                <w:lang w:val="fr-CH"/>
              </w:rPr>
              <w:t>Solanum pimpinellifolium L.</w:t>
            </w:r>
            <w:r w:rsidRPr="00745FBE">
              <w:rPr>
                <w:sz w:val="18"/>
                <w:lang w:val="fr-CH"/>
              </w:rPr>
              <w:br/>
              <w:t>(Lycopersicon pimpinellifolium (L.) Mill.)</w:t>
            </w:r>
            <w:r w:rsidRPr="00745FBE">
              <w:rPr>
                <w:sz w:val="18"/>
                <w:lang w:val="fr-CH"/>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5E10BE" w:rsidRPr="00745FBE" w:rsidRDefault="005E10BE" w:rsidP="003F7B25">
            <w:pPr>
              <w:spacing w:before="40" w:after="40"/>
              <w:rPr>
                <w:color w:val="000000"/>
                <w:sz w:val="18"/>
                <w:lang w:val="fr-CH"/>
              </w:rPr>
            </w:pPr>
            <w:r w:rsidRPr="00745FBE">
              <w:rPr>
                <w:color w:val="000000"/>
                <w:sz w:val="18"/>
                <w:lang w:val="fr-CH"/>
              </w:rPr>
              <w:t>SOLAN_PIM</w:t>
            </w:r>
          </w:p>
        </w:tc>
      </w:tr>
      <w:tr w:rsidR="005E10BE" w:rsidRPr="00ED146B" w:rsidTr="003F7B25">
        <w:trPr>
          <w:cantSplit/>
        </w:trPr>
        <w:tc>
          <w:tcPr>
            <w:tcW w:w="1418" w:type="dxa"/>
            <w:tcBorders>
              <w:top w:val="dotted" w:sz="4" w:space="0" w:color="auto"/>
              <w:left w:val="single" w:sz="4" w:space="0" w:color="auto"/>
              <w:bottom w:val="single" w:sz="4" w:space="0" w:color="auto"/>
              <w:right w:val="single" w:sz="4" w:space="0" w:color="auto"/>
            </w:tcBorders>
          </w:tcPr>
          <w:p w:rsidR="005E10BE" w:rsidRPr="00745FBE" w:rsidRDefault="005E10BE" w:rsidP="003F7B25">
            <w:pPr>
              <w:spacing w:before="40" w:after="40"/>
              <w:rPr>
                <w:color w:val="000000"/>
                <w:sz w:val="18"/>
                <w:lang w:val="fr-CH"/>
              </w:rPr>
            </w:pPr>
          </w:p>
        </w:tc>
        <w:tc>
          <w:tcPr>
            <w:tcW w:w="5670" w:type="dxa"/>
            <w:tcBorders>
              <w:top w:val="dotted" w:sz="4" w:space="0" w:color="auto"/>
              <w:left w:val="single" w:sz="4" w:space="0" w:color="auto"/>
              <w:bottom w:val="single" w:sz="4" w:space="0" w:color="auto"/>
              <w:right w:val="single" w:sz="4" w:space="0" w:color="auto"/>
            </w:tcBorders>
          </w:tcPr>
          <w:p w:rsidR="005E10BE" w:rsidRPr="00745FBE" w:rsidRDefault="005E10BE" w:rsidP="003F7B25">
            <w:pPr>
              <w:spacing w:before="40" w:after="40"/>
              <w:rPr>
                <w:i/>
                <w:color w:val="000000"/>
                <w:sz w:val="18"/>
                <w:lang w:val="fr-CH"/>
              </w:rPr>
            </w:pPr>
            <w:r w:rsidRPr="00745FBE">
              <w:rPr>
                <w:color w:val="000000"/>
                <w:sz w:val="18"/>
                <w:lang w:val="fr-CH"/>
              </w:rPr>
              <w:t>et les hybrides entre ces espèces</w:t>
            </w:r>
          </w:p>
        </w:tc>
        <w:tc>
          <w:tcPr>
            <w:tcW w:w="2551" w:type="dxa"/>
            <w:tcBorders>
              <w:top w:val="dotted" w:sz="4" w:space="0" w:color="auto"/>
              <w:left w:val="single" w:sz="4" w:space="0" w:color="auto"/>
              <w:bottom w:val="single" w:sz="4" w:space="0" w:color="auto"/>
              <w:right w:val="single" w:sz="4" w:space="0" w:color="auto"/>
            </w:tcBorders>
          </w:tcPr>
          <w:p w:rsidR="005E10BE" w:rsidRPr="00745FBE" w:rsidRDefault="005E10BE" w:rsidP="003F7B25">
            <w:pPr>
              <w:spacing w:before="40" w:after="40"/>
              <w:rPr>
                <w:color w:val="000000"/>
                <w:sz w:val="18"/>
                <w:lang w:val="fr-CH"/>
              </w:rPr>
            </w:pPr>
          </w:p>
        </w:tc>
      </w:tr>
      <w:tr w:rsidR="005E10BE" w:rsidRPr="00745FBE" w:rsidTr="003F7B25">
        <w:trPr>
          <w:cantSplit/>
        </w:trPr>
        <w:tc>
          <w:tcPr>
            <w:tcW w:w="1418" w:type="dxa"/>
            <w:tcBorders>
              <w:top w:val="single" w:sz="4" w:space="0" w:color="auto"/>
              <w:left w:val="single" w:sz="4" w:space="0" w:color="auto"/>
              <w:bottom w:val="single" w:sz="4" w:space="0" w:color="auto"/>
              <w:right w:val="single" w:sz="4" w:space="0" w:color="auto"/>
            </w:tcBorders>
          </w:tcPr>
          <w:p w:rsidR="005E10BE" w:rsidRPr="00745FBE" w:rsidRDefault="005E10BE" w:rsidP="003F7B25">
            <w:pPr>
              <w:spacing w:before="40" w:after="40"/>
              <w:jc w:val="left"/>
              <w:rPr>
                <w:color w:val="000000"/>
                <w:sz w:val="18"/>
                <w:lang w:val="fr-CH"/>
              </w:rPr>
            </w:pPr>
            <w:r w:rsidRPr="00745FBE">
              <w:rPr>
                <w:color w:val="000000"/>
                <w:sz w:val="18"/>
                <w:lang w:val="fr-CH"/>
              </w:rPr>
              <w:t>Classe 4.3</w:t>
            </w:r>
          </w:p>
        </w:tc>
        <w:tc>
          <w:tcPr>
            <w:tcW w:w="5670" w:type="dxa"/>
            <w:tcBorders>
              <w:top w:val="single" w:sz="4" w:space="0" w:color="auto"/>
              <w:left w:val="single" w:sz="4" w:space="0" w:color="auto"/>
              <w:bottom w:val="single" w:sz="4" w:space="0" w:color="auto"/>
              <w:right w:val="single" w:sz="4" w:space="0" w:color="auto"/>
            </w:tcBorders>
          </w:tcPr>
          <w:p w:rsidR="005E10BE" w:rsidRPr="00745FBE" w:rsidRDefault="005E10BE" w:rsidP="003F7B25">
            <w:pPr>
              <w:spacing w:before="40" w:after="40"/>
              <w:jc w:val="left"/>
              <w:rPr>
                <w:color w:val="000000"/>
                <w:sz w:val="18"/>
                <w:lang w:val="fr-CH"/>
              </w:rPr>
            </w:pPr>
            <w:r w:rsidRPr="00745FBE">
              <w:rPr>
                <w:iCs/>
                <w:color w:val="000000"/>
                <w:sz w:val="18"/>
                <w:lang w:val="fr-CH"/>
              </w:rPr>
              <w:t xml:space="preserve">Solanum melongena </w:t>
            </w:r>
            <w:r w:rsidRPr="00745FBE">
              <w:rPr>
                <w:color w:val="000000"/>
                <w:sz w:val="18"/>
                <w:lang w:val="fr-CH"/>
              </w:rPr>
              <w:t>L.</w:t>
            </w:r>
          </w:p>
        </w:tc>
        <w:tc>
          <w:tcPr>
            <w:tcW w:w="2551" w:type="dxa"/>
            <w:tcBorders>
              <w:top w:val="single" w:sz="4" w:space="0" w:color="auto"/>
              <w:left w:val="single" w:sz="4" w:space="0" w:color="auto"/>
              <w:bottom w:val="single" w:sz="4" w:space="0" w:color="auto"/>
              <w:right w:val="single" w:sz="4" w:space="0" w:color="auto"/>
            </w:tcBorders>
          </w:tcPr>
          <w:p w:rsidR="005E10BE" w:rsidRPr="00745FBE" w:rsidRDefault="005E10BE" w:rsidP="003F7B25">
            <w:pPr>
              <w:spacing w:before="40" w:after="40"/>
              <w:jc w:val="left"/>
              <w:rPr>
                <w:color w:val="000000"/>
                <w:sz w:val="18"/>
                <w:lang w:val="fr-CH"/>
              </w:rPr>
            </w:pPr>
            <w:r w:rsidRPr="00745FBE">
              <w:rPr>
                <w:color w:val="000000"/>
                <w:sz w:val="18"/>
                <w:lang w:val="fr-CH"/>
              </w:rPr>
              <w:t>SOLAN_MEL</w:t>
            </w:r>
          </w:p>
        </w:tc>
      </w:tr>
      <w:tr w:rsidR="005E10BE" w:rsidRPr="00ED146B" w:rsidTr="003F7B25">
        <w:trPr>
          <w:cantSplit/>
        </w:trPr>
        <w:tc>
          <w:tcPr>
            <w:tcW w:w="1418" w:type="dxa"/>
            <w:tcBorders>
              <w:top w:val="single" w:sz="4" w:space="0" w:color="auto"/>
              <w:left w:val="single" w:sz="4" w:space="0" w:color="auto"/>
              <w:bottom w:val="single" w:sz="4" w:space="0" w:color="auto"/>
              <w:right w:val="single" w:sz="4" w:space="0" w:color="auto"/>
            </w:tcBorders>
          </w:tcPr>
          <w:p w:rsidR="005E10BE" w:rsidRPr="00745FBE" w:rsidRDefault="005E10BE" w:rsidP="003F7B25">
            <w:pPr>
              <w:spacing w:before="40" w:after="40"/>
              <w:jc w:val="left"/>
              <w:rPr>
                <w:color w:val="000000"/>
                <w:sz w:val="18"/>
                <w:lang w:val="fr-CH"/>
              </w:rPr>
            </w:pPr>
            <w:r w:rsidRPr="00745FBE">
              <w:rPr>
                <w:color w:val="000000"/>
                <w:sz w:val="18"/>
                <w:lang w:val="fr-CH"/>
              </w:rPr>
              <w:t>Classe 4.4</w:t>
            </w:r>
          </w:p>
        </w:tc>
        <w:tc>
          <w:tcPr>
            <w:tcW w:w="5670" w:type="dxa"/>
            <w:tcBorders>
              <w:top w:val="single" w:sz="4" w:space="0" w:color="auto"/>
              <w:left w:val="single" w:sz="4" w:space="0" w:color="auto"/>
              <w:bottom w:val="single" w:sz="4" w:space="0" w:color="auto"/>
              <w:right w:val="single" w:sz="4" w:space="0" w:color="auto"/>
            </w:tcBorders>
          </w:tcPr>
          <w:p w:rsidR="005E10BE" w:rsidRPr="00745FBE" w:rsidRDefault="005E10BE" w:rsidP="003F7B25">
            <w:pPr>
              <w:spacing w:before="40" w:after="40"/>
              <w:jc w:val="left"/>
              <w:rPr>
                <w:color w:val="000000"/>
                <w:sz w:val="18"/>
                <w:lang w:val="fr-CH"/>
              </w:rPr>
            </w:pPr>
            <w:r w:rsidRPr="00745FBE">
              <w:rPr>
                <w:color w:val="000000"/>
                <w:sz w:val="18"/>
                <w:lang w:val="fr-CH"/>
              </w:rPr>
              <w:t>Solanum autres que les classes 4.1, 4.2 et 4.3</w:t>
            </w:r>
          </w:p>
        </w:tc>
        <w:tc>
          <w:tcPr>
            <w:tcW w:w="2551" w:type="dxa"/>
            <w:tcBorders>
              <w:top w:val="single" w:sz="4" w:space="0" w:color="auto"/>
              <w:left w:val="single" w:sz="4" w:space="0" w:color="auto"/>
              <w:bottom w:val="single" w:sz="4" w:space="0" w:color="auto"/>
              <w:right w:val="single" w:sz="4" w:space="0" w:color="auto"/>
            </w:tcBorders>
          </w:tcPr>
          <w:p w:rsidR="005E10BE" w:rsidRPr="00745FBE" w:rsidRDefault="005E10BE" w:rsidP="003F7B25">
            <w:pPr>
              <w:spacing w:before="40" w:after="40"/>
              <w:jc w:val="left"/>
              <w:rPr>
                <w:color w:val="000000"/>
                <w:sz w:val="18"/>
                <w:lang w:val="fr-CH"/>
              </w:rPr>
            </w:pPr>
            <w:r w:rsidRPr="00745FBE">
              <w:rPr>
                <w:color w:val="000000"/>
                <w:sz w:val="18"/>
                <w:lang w:val="fr-CH"/>
              </w:rPr>
              <w:t>autre que les classes 4.1, 4.2 et 4.3</w:t>
            </w:r>
          </w:p>
        </w:tc>
      </w:tr>
    </w:tbl>
    <w:p w:rsidR="005E10BE" w:rsidRPr="00745FBE" w:rsidRDefault="005E10BE" w:rsidP="005E10BE">
      <w:pPr>
        <w:rPr>
          <w:lang w:val="fr-CH"/>
        </w:rPr>
      </w:pPr>
    </w:p>
    <w:p w:rsidR="00797CB8" w:rsidRPr="00745FBE" w:rsidRDefault="00797CB8" w:rsidP="00893C7D">
      <w:pPr>
        <w:rPr>
          <w:lang w:val="fr-CH"/>
        </w:rPr>
      </w:pPr>
    </w:p>
    <w:p w:rsidR="00B404F3" w:rsidRPr="00745FBE" w:rsidRDefault="00893C7D" w:rsidP="00B404F3">
      <w:pPr>
        <w:jc w:val="center"/>
        <w:rPr>
          <w:lang w:val="fr-CH"/>
        </w:rPr>
      </w:pPr>
      <w:r w:rsidRPr="00745FBE">
        <w:rPr>
          <w:lang w:val="fr-CH"/>
        </w:rPr>
        <w:br w:type="page"/>
      </w:r>
      <w:r w:rsidR="00B404F3" w:rsidRPr="00745FBE">
        <w:rPr>
          <w:lang w:val="fr-CH"/>
        </w:rPr>
        <w:lastRenderedPageBreak/>
        <w:t>LISTE DES CLASSES (suite)</w:t>
      </w:r>
    </w:p>
    <w:p w:rsidR="00B404F3" w:rsidRPr="00745FBE" w:rsidRDefault="00B404F3" w:rsidP="00B404F3">
      <w:pPr>
        <w:rPr>
          <w:lang w:val="fr-CH"/>
        </w:rPr>
      </w:pPr>
    </w:p>
    <w:p w:rsidR="00B404F3" w:rsidRPr="00745FBE" w:rsidRDefault="00B404F3" w:rsidP="00B404F3">
      <w:pPr>
        <w:keepNext/>
        <w:jc w:val="center"/>
        <w:rPr>
          <w:u w:val="single"/>
          <w:lang w:val="fr-CH"/>
        </w:rPr>
      </w:pPr>
      <w:r w:rsidRPr="00745FBE">
        <w:rPr>
          <w:u w:val="single"/>
          <w:lang w:val="fr-CH"/>
        </w:rPr>
        <w:t>Deuxième partie</w:t>
      </w:r>
    </w:p>
    <w:p w:rsidR="00B404F3" w:rsidRPr="00745FBE" w:rsidRDefault="00B404F3" w:rsidP="00B404F3">
      <w:pPr>
        <w:rPr>
          <w:lang w:val="fr-CH"/>
        </w:rPr>
      </w:pPr>
    </w:p>
    <w:p w:rsidR="00B404F3" w:rsidRPr="00745FBE" w:rsidRDefault="00B404F3" w:rsidP="00B404F3">
      <w:pPr>
        <w:jc w:val="center"/>
        <w:rPr>
          <w:i/>
          <w:lang w:val="fr-CH"/>
        </w:rPr>
      </w:pPr>
      <w:r w:rsidRPr="00745FBE">
        <w:rPr>
          <w:i/>
          <w:lang w:val="fr-CH"/>
        </w:rPr>
        <w:t>Classes englobant plusieurs genres</w:t>
      </w:r>
    </w:p>
    <w:p w:rsidR="00B404F3" w:rsidRPr="00745FBE" w:rsidRDefault="00B404F3" w:rsidP="00B404F3">
      <w:pPr>
        <w:jc w:val="center"/>
        <w:rPr>
          <w:i/>
          <w:lang w:val="fr-CH"/>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B404F3" w:rsidRPr="00745FBE" w:rsidTr="003F7B25">
        <w:trPr>
          <w:cantSplit/>
          <w:tblHeader/>
        </w:trPr>
        <w:tc>
          <w:tcPr>
            <w:tcW w:w="1277" w:type="dxa"/>
            <w:shd w:val="clear" w:color="auto" w:fill="D9D9D9" w:themeFill="background1" w:themeFillShade="D9"/>
            <w:vAlign w:val="center"/>
          </w:tcPr>
          <w:p w:rsidR="00B404F3" w:rsidRPr="00745FBE" w:rsidRDefault="00B404F3" w:rsidP="003F7B25">
            <w:pPr>
              <w:spacing w:before="40" w:after="40"/>
              <w:jc w:val="left"/>
              <w:rPr>
                <w:sz w:val="18"/>
                <w:szCs w:val="18"/>
                <w:u w:val="single"/>
                <w:lang w:val="fr-CH"/>
              </w:rPr>
            </w:pPr>
          </w:p>
        </w:tc>
        <w:tc>
          <w:tcPr>
            <w:tcW w:w="4473" w:type="dxa"/>
            <w:shd w:val="clear" w:color="auto" w:fill="D9D9D9" w:themeFill="background1" w:themeFillShade="D9"/>
            <w:vAlign w:val="center"/>
          </w:tcPr>
          <w:p w:rsidR="00B404F3" w:rsidRPr="00745FBE" w:rsidRDefault="00B404F3" w:rsidP="003F7B25">
            <w:pPr>
              <w:spacing w:before="40" w:after="40"/>
              <w:jc w:val="center"/>
              <w:rPr>
                <w:sz w:val="18"/>
                <w:szCs w:val="18"/>
                <w:u w:val="single"/>
                <w:lang w:val="fr-CH"/>
              </w:rPr>
            </w:pPr>
            <w:r w:rsidRPr="00745FBE">
              <w:rPr>
                <w:sz w:val="18"/>
                <w:szCs w:val="18"/>
                <w:u w:val="single"/>
                <w:lang w:val="fr-CH"/>
              </w:rPr>
              <w:t>Noms botaniques</w:t>
            </w:r>
          </w:p>
        </w:tc>
        <w:tc>
          <w:tcPr>
            <w:tcW w:w="4034" w:type="dxa"/>
            <w:shd w:val="clear" w:color="auto" w:fill="D9D9D9" w:themeFill="background1" w:themeFillShade="D9"/>
            <w:vAlign w:val="center"/>
          </w:tcPr>
          <w:p w:rsidR="00B404F3" w:rsidRPr="00745FBE" w:rsidRDefault="00B404F3" w:rsidP="003F7B25">
            <w:pPr>
              <w:spacing w:before="40" w:after="40"/>
              <w:jc w:val="center"/>
              <w:rPr>
                <w:sz w:val="18"/>
                <w:szCs w:val="18"/>
                <w:u w:val="single"/>
                <w:lang w:val="fr-CH"/>
              </w:rPr>
            </w:pPr>
            <w:r w:rsidRPr="00745FBE">
              <w:rPr>
                <w:sz w:val="18"/>
                <w:szCs w:val="18"/>
                <w:u w:val="single"/>
                <w:lang w:val="fr-CH"/>
              </w:rPr>
              <w:t>Codes UPOV</w:t>
            </w:r>
          </w:p>
        </w:tc>
      </w:tr>
      <w:tr w:rsidR="00B404F3" w:rsidRPr="00745FBE" w:rsidTr="003F7B25">
        <w:trPr>
          <w:cantSplit/>
          <w:tblHeader/>
        </w:trPr>
        <w:tc>
          <w:tcPr>
            <w:tcW w:w="1277" w:type="dxa"/>
            <w:tcBorders>
              <w:top w:val="nil"/>
              <w:left w:val="nil"/>
              <w:bottom w:val="nil"/>
              <w:right w:val="nil"/>
            </w:tcBorders>
          </w:tcPr>
          <w:p w:rsidR="00B404F3" w:rsidRPr="00745FBE" w:rsidRDefault="00B404F3" w:rsidP="003F7B25">
            <w:pPr>
              <w:keepNext/>
              <w:spacing w:before="40" w:after="40"/>
              <w:jc w:val="left"/>
              <w:rPr>
                <w:sz w:val="10"/>
                <w:szCs w:val="18"/>
                <w:lang w:val="fr-CH"/>
              </w:rPr>
            </w:pPr>
          </w:p>
        </w:tc>
        <w:tc>
          <w:tcPr>
            <w:tcW w:w="4473" w:type="dxa"/>
            <w:tcBorders>
              <w:top w:val="nil"/>
              <w:left w:val="nil"/>
              <w:bottom w:val="nil"/>
              <w:right w:val="nil"/>
            </w:tcBorders>
          </w:tcPr>
          <w:p w:rsidR="00B404F3" w:rsidRPr="00745FBE" w:rsidRDefault="00B404F3" w:rsidP="003F7B25">
            <w:pPr>
              <w:keepNext/>
              <w:spacing w:before="40" w:after="40"/>
              <w:jc w:val="left"/>
              <w:rPr>
                <w:sz w:val="10"/>
                <w:szCs w:val="18"/>
                <w:lang w:val="fr-CH"/>
              </w:rPr>
            </w:pPr>
          </w:p>
        </w:tc>
        <w:tc>
          <w:tcPr>
            <w:tcW w:w="4034" w:type="dxa"/>
            <w:tcBorders>
              <w:top w:val="nil"/>
              <w:left w:val="nil"/>
              <w:bottom w:val="nil"/>
              <w:right w:val="nil"/>
            </w:tcBorders>
          </w:tcPr>
          <w:p w:rsidR="00B404F3" w:rsidRPr="00745FBE" w:rsidRDefault="00B404F3" w:rsidP="003F7B25">
            <w:pPr>
              <w:keepNext/>
              <w:spacing w:before="40" w:after="40"/>
              <w:jc w:val="left"/>
              <w:rPr>
                <w:sz w:val="10"/>
                <w:szCs w:val="18"/>
                <w:lang w:val="fr-CH"/>
              </w:rPr>
            </w:pPr>
          </w:p>
        </w:tc>
      </w:tr>
      <w:tr w:rsidR="00B404F3" w:rsidRPr="00745FBE" w:rsidTr="003F7B25">
        <w:trPr>
          <w:cantSplit/>
        </w:trPr>
        <w:tc>
          <w:tcPr>
            <w:tcW w:w="1277" w:type="dxa"/>
            <w:tcBorders>
              <w:top w:val="single" w:sz="4" w:space="0" w:color="auto"/>
            </w:tcBorders>
          </w:tcPr>
          <w:p w:rsidR="00B404F3" w:rsidRPr="00745FBE" w:rsidRDefault="00B404F3" w:rsidP="003F7B25">
            <w:pPr>
              <w:spacing w:before="40" w:after="40"/>
              <w:jc w:val="left"/>
              <w:rPr>
                <w:sz w:val="18"/>
                <w:szCs w:val="18"/>
                <w:lang w:val="fr-CH"/>
              </w:rPr>
            </w:pPr>
            <w:r w:rsidRPr="00745FBE">
              <w:rPr>
                <w:sz w:val="18"/>
                <w:szCs w:val="18"/>
                <w:lang w:val="fr-CH"/>
              </w:rPr>
              <w:t>Classe 201</w:t>
            </w:r>
          </w:p>
        </w:tc>
        <w:tc>
          <w:tcPr>
            <w:tcW w:w="4473" w:type="dxa"/>
            <w:tcBorders>
              <w:top w:val="single" w:sz="4" w:space="0" w:color="auto"/>
            </w:tcBorders>
          </w:tcPr>
          <w:p w:rsidR="00B404F3" w:rsidRPr="00745FBE" w:rsidRDefault="00B404F3" w:rsidP="003F7B25">
            <w:pPr>
              <w:keepNext/>
              <w:spacing w:before="40" w:after="40"/>
              <w:jc w:val="left"/>
              <w:rPr>
                <w:sz w:val="18"/>
                <w:szCs w:val="18"/>
                <w:lang w:val="fr-CH"/>
              </w:rPr>
            </w:pPr>
            <w:r w:rsidRPr="00745FBE">
              <w:rPr>
                <w:sz w:val="18"/>
                <w:szCs w:val="18"/>
                <w:lang w:val="fr-CH"/>
              </w:rPr>
              <w:t>Secale, Triticale</w:t>
            </w:r>
            <w:r w:rsidRPr="00745FBE">
              <w:rPr>
                <w:iCs/>
                <w:sz w:val="18"/>
                <w:szCs w:val="18"/>
                <w:lang w:val="fr-CH"/>
              </w:rPr>
              <w:t xml:space="preserve">, </w:t>
            </w:r>
            <w:r w:rsidRPr="00745FBE">
              <w:rPr>
                <w:sz w:val="18"/>
                <w:szCs w:val="18"/>
                <w:lang w:val="fr-CH"/>
              </w:rPr>
              <w:t>Triticum</w:t>
            </w:r>
          </w:p>
        </w:tc>
        <w:tc>
          <w:tcPr>
            <w:tcW w:w="4034" w:type="dxa"/>
            <w:tcBorders>
              <w:top w:val="single" w:sz="4" w:space="0" w:color="auto"/>
            </w:tcBorders>
          </w:tcPr>
          <w:p w:rsidR="00B404F3" w:rsidRPr="00745FBE" w:rsidRDefault="00B404F3" w:rsidP="003F7B25">
            <w:pPr>
              <w:keepNext/>
              <w:spacing w:before="40" w:after="40"/>
              <w:jc w:val="left"/>
              <w:rPr>
                <w:sz w:val="18"/>
                <w:szCs w:val="18"/>
                <w:lang w:val="fr-CH"/>
              </w:rPr>
            </w:pPr>
            <w:r w:rsidRPr="00745FBE">
              <w:rPr>
                <w:sz w:val="18"/>
                <w:szCs w:val="18"/>
                <w:lang w:val="fr-CH"/>
              </w:rPr>
              <w:t>SECAL;  TRITL;  TRITI</w:t>
            </w:r>
          </w:p>
        </w:tc>
      </w:tr>
      <w:tr w:rsidR="00B404F3" w:rsidRPr="00745FBE"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202</w:t>
            </w:r>
          </w:p>
        </w:tc>
        <w:tc>
          <w:tcPr>
            <w:tcW w:w="4473" w:type="dxa"/>
          </w:tcPr>
          <w:p w:rsidR="00B404F3" w:rsidRPr="00745FBE" w:rsidRDefault="00B404F3" w:rsidP="003F7B25">
            <w:pPr>
              <w:keepNext/>
              <w:spacing w:before="40" w:after="40"/>
              <w:jc w:val="left"/>
              <w:rPr>
                <w:sz w:val="18"/>
                <w:szCs w:val="18"/>
                <w:lang w:val="fr-CH"/>
              </w:rPr>
            </w:pPr>
            <w:r w:rsidRPr="00745FBE">
              <w:rPr>
                <w:iCs/>
                <w:sz w:val="18"/>
                <w:szCs w:val="18"/>
                <w:lang w:val="fr-CH"/>
              </w:rPr>
              <w:t xml:space="preserve">Megathyrsus, </w:t>
            </w:r>
            <w:r w:rsidRPr="00745FBE">
              <w:rPr>
                <w:sz w:val="18"/>
                <w:szCs w:val="18"/>
                <w:lang w:val="fr-CH"/>
              </w:rPr>
              <w:t xml:space="preserve">Panicum, Setaria, </w:t>
            </w:r>
            <w:r w:rsidRPr="00745FBE">
              <w:rPr>
                <w:iCs/>
                <w:sz w:val="18"/>
                <w:szCs w:val="18"/>
                <w:lang w:val="fr-CH"/>
              </w:rPr>
              <w:t>Steinchisma</w:t>
            </w:r>
          </w:p>
        </w:tc>
        <w:tc>
          <w:tcPr>
            <w:tcW w:w="4034" w:type="dxa"/>
          </w:tcPr>
          <w:p w:rsidR="00B404F3" w:rsidRPr="00745FBE" w:rsidRDefault="00B404F3" w:rsidP="003F7B25">
            <w:pPr>
              <w:keepNext/>
              <w:spacing w:before="40" w:after="40"/>
              <w:jc w:val="left"/>
              <w:rPr>
                <w:sz w:val="18"/>
                <w:szCs w:val="18"/>
                <w:lang w:val="fr-CH"/>
              </w:rPr>
            </w:pPr>
            <w:r w:rsidRPr="00745FBE">
              <w:rPr>
                <w:sz w:val="18"/>
                <w:szCs w:val="18"/>
                <w:lang w:val="fr-CH"/>
              </w:rPr>
              <w:t>MEGAT;  PANIC;  SETAR;  STEIN</w:t>
            </w:r>
          </w:p>
        </w:tc>
      </w:tr>
      <w:tr w:rsidR="00B404F3" w:rsidRPr="00ED146B"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203</w:t>
            </w:r>
            <w:r w:rsidRPr="00745FBE">
              <w:rPr>
                <w:rStyle w:val="FootnoteReference"/>
                <w:sz w:val="18"/>
                <w:szCs w:val="18"/>
                <w:lang w:val="fr-CH"/>
              </w:rPr>
              <w:footnoteReference w:customMarkFollows="1" w:id="10"/>
              <w:t>*</w:t>
            </w:r>
          </w:p>
        </w:tc>
        <w:tc>
          <w:tcPr>
            <w:tcW w:w="4473" w:type="dxa"/>
          </w:tcPr>
          <w:p w:rsidR="00B404F3" w:rsidRPr="00745FBE" w:rsidRDefault="00B404F3" w:rsidP="003F7B25">
            <w:pPr>
              <w:keepNext/>
              <w:spacing w:before="40" w:after="40"/>
              <w:jc w:val="left"/>
              <w:rPr>
                <w:sz w:val="18"/>
                <w:szCs w:val="18"/>
                <w:lang w:val="fr-CH"/>
              </w:rPr>
            </w:pPr>
            <w:r w:rsidRPr="00745FBE">
              <w:rPr>
                <w:sz w:val="18"/>
                <w:szCs w:val="18"/>
                <w:lang w:val="fr-CH"/>
              </w:rPr>
              <w:t>Agrostis, Dactylis, Festuca, Festulolium, Lolium, Phalaris, Phleum et Poa</w:t>
            </w:r>
            <w:r w:rsidRPr="00745FBE">
              <w:rPr>
                <w:sz w:val="18"/>
                <w:szCs w:val="18"/>
                <w:u w:val="single"/>
                <w:shd w:val="pct15" w:color="auto" w:fill="FFFFFF"/>
                <w:lang w:val="fr-CH"/>
              </w:rPr>
              <w:t>, Neotyphodium, Epichloe</w:t>
            </w:r>
          </w:p>
        </w:tc>
        <w:tc>
          <w:tcPr>
            <w:tcW w:w="4034" w:type="dxa"/>
          </w:tcPr>
          <w:p w:rsidR="00B404F3" w:rsidRPr="00745FBE" w:rsidRDefault="00B404F3" w:rsidP="00B404F3">
            <w:pPr>
              <w:keepNext/>
              <w:spacing w:before="40" w:after="40"/>
              <w:jc w:val="left"/>
              <w:rPr>
                <w:sz w:val="18"/>
                <w:szCs w:val="18"/>
                <w:lang w:val="fr-CH"/>
              </w:rPr>
            </w:pPr>
            <w:r w:rsidRPr="00745FBE">
              <w:rPr>
                <w:sz w:val="18"/>
                <w:szCs w:val="18"/>
                <w:lang w:val="fr-CH"/>
              </w:rPr>
              <w:t>AGROS;  DCTLS;  FESTU;  FESTL;  LOLIU;  PHALR;  PHLEU;  POAAA</w:t>
            </w:r>
            <w:r w:rsidRPr="00745FBE">
              <w:rPr>
                <w:sz w:val="18"/>
                <w:szCs w:val="18"/>
                <w:u w:val="single"/>
                <w:shd w:val="pct15" w:color="auto" w:fill="FFFFFF"/>
                <w:lang w:val="fr-CH"/>
              </w:rPr>
              <w:t>;  EPICH;  NEOTY</w:t>
            </w:r>
            <w:r w:rsidRPr="00745FBE">
              <w:rPr>
                <w:sz w:val="18"/>
                <w:szCs w:val="18"/>
                <w:shd w:val="clear" w:color="auto" w:fill="FFFFFF" w:themeFill="background1"/>
                <w:vertAlign w:val="superscript"/>
                <w:lang w:val="fr-CH"/>
              </w:rPr>
              <w:t xml:space="preserve"> </w:t>
            </w:r>
          </w:p>
        </w:tc>
      </w:tr>
      <w:tr w:rsidR="00B404F3" w:rsidRPr="00745FBE"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204</w:t>
            </w:r>
            <w:r w:rsidRPr="00745FBE">
              <w:rPr>
                <w:sz w:val="18"/>
                <w:szCs w:val="18"/>
                <w:vertAlign w:val="superscript"/>
                <w:lang w:val="fr-CH"/>
              </w:rPr>
              <w:t>*</w:t>
            </w:r>
          </w:p>
        </w:tc>
        <w:tc>
          <w:tcPr>
            <w:tcW w:w="4473" w:type="dxa"/>
          </w:tcPr>
          <w:p w:rsidR="00B404F3" w:rsidRPr="009B26EF" w:rsidRDefault="00B404F3" w:rsidP="003F7B25">
            <w:pPr>
              <w:keepNext/>
              <w:spacing w:before="40" w:after="40"/>
              <w:jc w:val="left"/>
              <w:rPr>
                <w:sz w:val="18"/>
                <w:szCs w:val="18"/>
              </w:rPr>
            </w:pPr>
            <w:r w:rsidRPr="009B26EF">
              <w:rPr>
                <w:sz w:val="18"/>
                <w:szCs w:val="18"/>
              </w:rPr>
              <w:t>Lotus, Medicago, Ornithopus, Onobrychis, Trifolium</w:t>
            </w:r>
          </w:p>
        </w:tc>
        <w:tc>
          <w:tcPr>
            <w:tcW w:w="4034" w:type="dxa"/>
          </w:tcPr>
          <w:p w:rsidR="00B404F3" w:rsidRPr="009B26EF" w:rsidRDefault="00B404F3" w:rsidP="003F7B25">
            <w:pPr>
              <w:keepNext/>
              <w:spacing w:before="40" w:after="40"/>
              <w:jc w:val="left"/>
              <w:rPr>
                <w:sz w:val="18"/>
                <w:szCs w:val="18"/>
              </w:rPr>
            </w:pPr>
            <w:r w:rsidRPr="009B26EF">
              <w:rPr>
                <w:sz w:val="18"/>
                <w:szCs w:val="18"/>
              </w:rPr>
              <w:t>LOTUS;  MEDIC;  ORNTP;  ONOBR;  TRFOL</w:t>
            </w:r>
          </w:p>
        </w:tc>
      </w:tr>
      <w:tr w:rsidR="00B404F3" w:rsidRPr="00745FBE"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205</w:t>
            </w:r>
          </w:p>
        </w:tc>
        <w:tc>
          <w:tcPr>
            <w:tcW w:w="4473" w:type="dxa"/>
          </w:tcPr>
          <w:p w:rsidR="00B404F3" w:rsidRPr="00745FBE" w:rsidRDefault="00B404F3" w:rsidP="003F7B25">
            <w:pPr>
              <w:keepNext/>
              <w:spacing w:before="40" w:after="40"/>
              <w:jc w:val="left"/>
              <w:rPr>
                <w:sz w:val="18"/>
                <w:szCs w:val="18"/>
                <w:lang w:val="fr-CH"/>
              </w:rPr>
            </w:pPr>
            <w:r w:rsidRPr="00745FBE">
              <w:rPr>
                <w:sz w:val="18"/>
                <w:szCs w:val="18"/>
                <w:lang w:val="fr-CH"/>
              </w:rPr>
              <w:t xml:space="preserve">Cichorium, Lactuca </w:t>
            </w:r>
          </w:p>
        </w:tc>
        <w:tc>
          <w:tcPr>
            <w:tcW w:w="4034" w:type="dxa"/>
          </w:tcPr>
          <w:p w:rsidR="00B404F3" w:rsidRPr="00745FBE" w:rsidRDefault="00B404F3" w:rsidP="003F7B25">
            <w:pPr>
              <w:keepNext/>
              <w:spacing w:before="40" w:after="40"/>
              <w:jc w:val="left"/>
              <w:rPr>
                <w:sz w:val="18"/>
                <w:szCs w:val="18"/>
                <w:lang w:val="fr-CH"/>
              </w:rPr>
            </w:pPr>
            <w:r w:rsidRPr="00745FBE">
              <w:rPr>
                <w:sz w:val="18"/>
                <w:szCs w:val="18"/>
                <w:lang w:val="fr-CH"/>
              </w:rPr>
              <w:t>CICHO;  LACTU</w:t>
            </w:r>
          </w:p>
        </w:tc>
      </w:tr>
      <w:tr w:rsidR="00B404F3" w:rsidRPr="00745FBE" w:rsidTr="003F7B25">
        <w:trPr>
          <w:cantSplit/>
        </w:trPr>
        <w:tc>
          <w:tcPr>
            <w:tcW w:w="1277" w:type="dxa"/>
          </w:tcPr>
          <w:p w:rsidR="00B404F3" w:rsidRPr="00745FBE" w:rsidRDefault="00391C8B" w:rsidP="003F7B25">
            <w:pPr>
              <w:spacing w:before="40" w:after="40"/>
              <w:jc w:val="left"/>
              <w:rPr>
                <w:sz w:val="18"/>
                <w:szCs w:val="18"/>
                <w:u w:val="single"/>
                <w:shd w:val="pct15" w:color="auto" w:fill="FFFFFF"/>
                <w:lang w:val="fr-CH"/>
              </w:rPr>
            </w:pPr>
            <w:r>
              <w:rPr>
                <w:sz w:val="18"/>
                <w:szCs w:val="18"/>
                <w:u w:val="single"/>
                <w:shd w:val="pct15" w:color="auto" w:fill="FFFFFF"/>
                <w:lang w:val="fr-CH"/>
              </w:rPr>
              <w:t>[</w:t>
            </w:r>
            <w:r w:rsidR="00B404F3" w:rsidRPr="00745FBE">
              <w:rPr>
                <w:sz w:val="18"/>
                <w:szCs w:val="18"/>
                <w:u w:val="single"/>
                <w:shd w:val="pct15" w:color="auto" w:fill="FFFFFF"/>
                <w:lang w:val="fr-CH"/>
              </w:rPr>
              <w:t>Classe 205B</w:t>
            </w:r>
          </w:p>
        </w:tc>
        <w:tc>
          <w:tcPr>
            <w:tcW w:w="4473" w:type="dxa"/>
          </w:tcPr>
          <w:p w:rsidR="00B404F3" w:rsidRPr="00745FBE" w:rsidRDefault="00B404F3" w:rsidP="003F7B25">
            <w:pPr>
              <w:keepNext/>
              <w:spacing w:before="40" w:after="40"/>
              <w:jc w:val="left"/>
              <w:rPr>
                <w:sz w:val="18"/>
                <w:szCs w:val="18"/>
                <w:u w:val="single"/>
                <w:shd w:val="pct15" w:color="auto" w:fill="FFFFFF"/>
                <w:lang w:val="fr-CH"/>
              </w:rPr>
            </w:pPr>
            <w:r w:rsidRPr="00391C8B">
              <w:rPr>
                <w:bCs/>
                <w:sz w:val="18"/>
                <w:szCs w:val="18"/>
                <w:highlight w:val="lightGray"/>
                <w:u w:val="single"/>
                <w:shd w:val="pct15" w:color="auto" w:fill="FFFFFF"/>
                <w:lang w:val="fr-CH"/>
              </w:rPr>
              <w:t>Cichorium</w:t>
            </w:r>
            <w:r w:rsidRPr="00745FBE">
              <w:rPr>
                <w:bCs/>
                <w:sz w:val="18"/>
                <w:szCs w:val="18"/>
                <w:u w:val="single"/>
                <w:shd w:val="pct15" w:color="auto" w:fill="FFFFFF"/>
                <w:lang w:val="fr-CH"/>
              </w:rPr>
              <w:t xml:space="preserve"> intybus L. var. sativum</w:t>
            </w:r>
            <w:r w:rsidRPr="00745FBE">
              <w:rPr>
                <w:sz w:val="18"/>
                <w:szCs w:val="18"/>
                <w:vertAlign w:val="superscript"/>
                <w:lang w:val="fr-CH"/>
              </w:rPr>
              <w:t xml:space="preserve"> </w:t>
            </w:r>
          </w:p>
        </w:tc>
        <w:tc>
          <w:tcPr>
            <w:tcW w:w="4034" w:type="dxa"/>
          </w:tcPr>
          <w:p w:rsidR="00B404F3" w:rsidRPr="00745FBE" w:rsidRDefault="00B404F3" w:rsidP="003F7B25">
            <w:pPr>
              <w:keepNext/>
              <w:spacing w:before="40" w:after="40"/>
              <w:jc w:val="left"/>
              <w:rPr>
                <w:sz w:val="18"/>
                <w:szCs w:val="18"/>
                <w:u w:val="single"/>
                <w:shd w:val="pct15" w:color="auto" w:fill="FFFFFF"/>
                <w:lang w:val="fr-CH"/>
              </w:rPr>
            </w:pPr>
            <w:r w:rsidRPr="00745FBE">
              <w:rPr>
                <w:sz w:val="18"/>
                <w:szCs w:val="18"/>
                <w:u w:val="single"/>
                <w:shd w:val="pct15" w:color="auto" w:fill="FFFFFF"/>
                <w:lang w:val="fr-CH"/>
              </w:rPr>
              <w:t>CICHO_INT_SAT</w:t>
            </w:r>
            <w:r w:rsidR="00391C8B">
              <w:rPr>
                <w:sz w:val="18"/>
                <w:szCs w:val="18"/>
                <w:u w:val="single"/>
                <w:shd w:val="pct15" w:color="auto" w:fill="FFFFFF"/>
                <w:lang w:val="fr-CH"/>
              </w:rPr>
              <w:t>]</w:t>
            </w:r>
          </w:p>
        </w:tc>
      </w:tr>
      <w:tr w:rsidR="00B404F3" w:rsidRPr="00745FBE"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206</w:t>
            </w:r>
          </w:p>
        </w:tc>
        <w:tc>
          <w:tcPr>
            <w:tcW w:w="4473" w:type="dxa"/>
          </w:tcPr>
          <w:p w:rsidR="00B404F3" w:rsidRPr="00745FBE" w:rsidRDefault="00B404F3" w:rsidP="003F7B25">
            <w:pPr>
              <w:keepNext/>
              <w:spacing w:before="40" w:after="40"/>
              <w:jc w:val="left"/>
              <w:rPr>
                <w:sz w:val="18"/>
                <w:szCs w:val="18"/>
                <w:lang w:val="fr-CH"/>
              </w:rPr>
            </w:pPr>
            <w:r w:rsidRPr="00745FBE">
              <w:rPr>
                <w:sz w:val="18"/>
                <w:szCs w:val="18"/>
                <w:lang w:val="fr-CH"/>
              </w:rPr>
              <w:t>Petunia et Calibrachoa</w:t>
            </w:r>
          </w:p>
        </w:tc>
        <w:tc>
          <w:tcPr>
            <w:tcW w:w="4034" w:type="dxa"/>
          </w:tcPr>
          <w:p w:rsidR="00B404F3" w:rsidRPr="00745FBE" w:rsidRDefault="00B404F3" w:rsidP="003F7B25">
            <w:pPr>
              <w:keepNext/>
              <w:spacing w:before="40" w:after="40"/>
              <w:jc w:val="left"/>
              <w:rPr>
                <w:sz w:val="18"/>
                <w:szCs w:val="18"/>
                <w:lang w:val="fr-CH"/>
              </w:rPr>
            </w:pPr>
            <w:r w:rsidRPr="00745FBE">
              <w:rPr>
                <w:sz w:val="18"/>
                <w:szCs w:val="18"/>
                <w:lang w:val="fr-CH"/>
              </w:rPr>
              <w:t>PETUN;  CALIB</w:t>
            </w:r>
          </w:p>
        </w:tc>
      </w:tr>
      <w:tr w:rsidR="00B404F3" w:rsidRPr="00745FBE"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207</w:t>
            </w:r>
          </w:p>
        </w:tc>
        <w:tc>
          <w:tcPr>
            <w:tcW w:w="4473" w:type="dxa"/>
          </w:tcPr>
          <w:p w:rsidR="00B404F3" w:rsidRPr="00745FBE" w:rsidRDefault="00B404F3" w:rsidP="003F7B25">
            <w:pPr>
              <w:keepNext/>
              <w:spacing w:before="40" w:after="40"/>
              <w:jc w:val="left"/>
              <w:rPr>
                <w:sz w:val="18"/>
                <w:szCs w:val="18"/>
                <w:lang w:val="fr-CH"/>
              </w:rPr>
            </w:pPr>
            <w:r w:rsidRPr="00745FBE">
              <w:rPr>
                <w:sz w:val="18"/>
                <w:szCs w:val="18"/>
                <w:lang w:val="fr-CH"/>
              </w:rPr>
              <w:t>Chrysanthemum et Ajania</w:t>
            </w:r>
          </w:p>
        </w:tc>
        <w:tc>
          <w:tcPr>
            <w:tcW w:w="4034" w:type="dxa"/>
          </w:tcPr>
          <w:p w:rsidR="00B404F3" w:rsidRPr="00745FBE" w:rsidRDefault="00B404F3" w:rsidP="003F7B25">
            <w:pPr>
              <w:keepNext/>
              <w:spacing w:before="40" w:after="40"/>
              <w:jc w:val="left"/>
              <w:rPr>
                <w:sz w:val="18"/>
                <w:szCs w:val="18"/>
                <w:lang w:val="fr-CH"/>
              </w:rPr>
            </w:pPr>
            <w:r w:rsidRPr="00745FBE">
              <w:rPr>
                <w:sz w:val="18"/>
                <w:szCs w:val="18"/>
                <w:lang w:val="fr-CH"/>
              </w:rPr>
              <w:t>CHRYS;  AJANI</w:t>
            </w:r>
          </w:p>
        </w:tc>
      </w:tr>
      <w:tr w:rsidR="00B404F3" w:rsidRPr="00745FBE"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208</w:t>
            </w:r>
          </w:p>
        </w:tc>
        <w:tc>
          <w:tcPr>
            <w:tcW w:w="4473" w:type="dxa"/>
          </w:tcPr>
          <w:p w:rsidR="00B404F3" w:rsidRPr="00745FBE" w:rsidRDefault="00B404F3" w:rsidP="003F7B25">
            <w:pPr>
              <w:keepNext/>
              <w:spacing w:before="40" w:after="40"/>
              <w:jc w:val="left"/>
              <w:rPr>
                <w:sz w:val="18"/>
                <w:szCs w:val="18"/>
                <w:lang w:val="fr-CH"/>
              </w:rPr>
            </w:pPr>
            <w:r w:rsidRPr="00745FBE">
              <w:rPr>
                <w:sz w:val="18"/>
                <w:szCs w:val="18"/>
                <w:lang w:val="fr-CH"/>
              </w:rPr>
              <w:t>(Statice) Goniolimon, Limonium, Psylliostachys</w:t>
            </w:r>
          </w:p>
        </w:tc>
        <w:tc>
          <w:tcPr>
            <w:tcW w:w="4034" w:type="dxa"/>
          </w:tcPr>
          <w:p w:rsidR="00B404F3" w:rsidRPr="00745FBE" w:rsidRDefault="00B404F3" w:rsidP="003F7B25">
            <w:pPr>
              <w:keepNext/>
              <w:spacing w:before="40" w:after="40"/>
              <w:jc w:val="left"/>
              <w:rPr>
                <w:sz w:val="18"/>
                <w:szCs w:val="18"/>
                <w:lang w:val="fr-CH"/>
              </w:rPr>
            </w:pPr>
            <w:r w:rsidRPr="00745FBE">
              <w:rPr>
                <w:sz w:val="18"/>
                <w:szCs w:val="18"/>
                <w:lang w:val="fr-CH"/>
              </w:rPr>
              <w:t>GONIO;  LIMON;  PSYLL</w:t>
            </w:r>
          </w:p>
        </w:tc>
      </w:tr>
      <w:tr w:rsidR="00B404F3" w:rsidRPr="00745FBE"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209</w:t>
            </w:r>
          </w:p>
        </w:tc>
        <w:tc>
          <w:tcPr>
            <w:tcW w:w="4473" w:type="dxa"/>
          </w:tcPr>
          <w:p w:rsidR="00B404F3" w:rsidRPr="00745FBE" w:rsidRDefault="00B404F3" w:rsidP="003F7B25">
            <w:pPr>
              <w:keepNext/>
              <w:spacing w:before="40" w:after="40"/>
              <w:jc w:val="left"/>
              <w:rPr>
                <w:sz w:val="18"/>
                <w:szCs w:val="18"/>
                <w:lang w:val="fr-CH"/>
              </w:rPr>
            </w:pPr>
            <w:r w:rsidRPr="00745FBE">
              <w:rPr>
                <w:sz w:val="18"/>
                <w:szCs w:val="18"/>
                <w:lang w:val="fr-CH"/>
              </w:rPr>
              <w:t>(Waxflower) Chamelaucium, Verticordia</w:t>
            </w:r>
          </w:p>
        </w:tc>
        <w:tc>
          <w:tcPr>
            <w:tcW w:w="4034" w:type="dxa"/>
          </w:tcPr>
          <w:p w:rsidR="00B404F3" w:rsidRPr="00745FBE" w:rsidRDefault="00B404F3" w:rsidP="003F7B25">
            <w:pPr>
              <w:keepNext/>
              <w:spacing w:before="40" w:after="40"/>
              <w:jc w:val="left"/>
              <w:rPr>
                <w:sz w:val="18"/>
                <w:szCs w:val="18"/>
                <w:lang w:val="fr-CH"/>
              </w:rPr>
            </w:pPr>
            <w:r w:rsidRPr="00745FBE">
              <w:rPr>
                <w:sz w:val="18"/>
                <w:szCs w:val="18"/>
                <w:lang w:val="fr-CH"/>
              </w:rPr>
              <w:t>CHMLC;  VERTI;  VECHM</w:t>
            </w:r>
          </w:p>
        </w:tc>
      </w:tr>
      <w:tr w:rsidR="00B404F3" w:rsidRPr="00745FBE" w:rsidTr="003F7B25">
        <w:trPr>
          <w:cantSplit/>
        </w:trPr>
        <w:tc>
          <w:tcPr>
            <w:tcW w:w="1277" w:type="dxa"/>
          </w:tcPr>
          <w:p w:rsidR="00B404F3" w:rsidRPr="00745FBE" w:rsidRDefault="00B404F3" w:rsidP="003F7B25">
            <w:pPr>
              <w:spacing w:before="40" w:after="40"/>
              <w:jc w:val="left"/>
              <w:rPr>
                <w:sz w:val="18"/>
                <w:szCs w:val="18"/>
                <w:lang w:val="fr-CH"/>
              </w:rPr>
            </w:pPr>
            <w:r w:rsidRPr="00745FBE">
              <w:rPr>
                <w:sz w:val="18"/>
                <w:szCs w:val="18"/>
                <w:lang w:val="fr-CH"/>
              </w:rPr>
              <w:t>Classe 210</w:t>
            </w:r>
          </w:p>
        </w:tc>
        <w:tc>
          <w:tcPr>
            <w:tcW w:w="4473" w:type="dxa"/>
          </w:tcPr>
          <w:p w:rsidR="00B404F3" w:rsidRPr="00745FBE" w:rsidRDefault="00B404F3" w:rsidP="003F7B25">
            <w:pPr>
              <w:keepNext/>
              <w:spacing w:before="40" w:after="40"/>
              <w:jc w:val="left"/>
              <w:rPr>
                <w:sz w:val="18"/>
                <w:szCs w:val="18"/>
                <w:lang w:val="fr-CH"/>
              </w:rPr>
            </w:pPr>
            <w:r w:rsidRPr="00745FBE">
              <w:rPr>
                <w:sz w:val="18"/>
                <w:szCs w:val="18"/>
                <w:lang w:val="fr-CH"/>
              </w:rPr>
              <w:t>Jamesbrittania et Sutera</w:t>
            </w:r>
          </w:p>
        </w:tc>
        <w:tc>
          <w:tcPr>
            <w:tcW w:w="4034" w:type="dxa"/>
          </w:tcPr>
          <w:p w:rsidR="00B404F3" w:rsidRPr="00745FBE" w:rsidRDefault="00B404F3" w:rsidP="003F7B25">
            <w:pPr>
              <w:keepNext/>
              <w:spacing w:before="40" w:after="40"/>
              <w:jc w:val="left"/>
              <w:rPr>
                <w:sz w:val="18"/>
                <w:szCs w:val="18"/>
                <w:lang w:val="fr-CH"/>
              </w:rPr>
            </w:pPr>
            <w:r w:rsidRPr="00745FBE">
              <w:rPr>
                <w:sz w:val="18"/>
                <w:szCs w:val="18"/>
                <w:lang w:val="fr-CH"/>
              </w:rPr>
              <w:t>JAMES;  SUTER</w:t>
            </w:r>
          </w:p>
        </w:tc>
      </w:tr>
      <w:tr w:rsidR="00B404F3" w:rsidRPr="00ED146B" w:rsidTr="003F7B25">
        <w:trPr>
          <w:cantSplit/>
        </w:trPr>
        <w:tc>
          <w:tcPr>
            <w:tcW w:w="1277" w:type="dxa"/>
          </w:tcPr>
          <w:p w:rsidR="00B404F3" w:rsidRPr="00745FBE" w:rsidRDefault="00B404F3" w:rsidP="003F7B25">
            <w:pPr>
              <w:spacing w:before="40" w:after="40"/>
              <w:ind w:left="567" w:right="113" w:hanging="567"/>
              <w:jc w:val="left"/>
              <w:rPr>
                <w:sz w:val="18"/>
                <w:szCs w:val="18"/>
                <w:lang w:val="fr-CH"/>
              </w:rPr>
            </w:pPr>
            <w:r w:rsidRPr="00745FBE">
              <w:rPr>
                <w:sz w:val="18"/>
                <w:szCs w:val="18"/>
                <w:lang w:val="fr-CH"/>
              </w:rPr>
              <w:t>Classe 211</w:t>
            </w:r>
          </w:p>
        </w:tc>
        <w:tc>
          <w:tcPr>
            <w:tcW w:w="4473" w:type="dxa"/>
          </w:tcPr>
          <w:p w:rsidR="00B404F3" w:rsidRPr="00745FBE" w:rsidRDefault="00B404F3" w:rsidP="003F7B25">
            <w:pPr>
              <w:tabs>
                <w:tab w:val="left" w:pos="6373"/>
                <w:tab w:val="left" w:pos="9066"/>
              </w:tabs>
              <w:spacing w:before="40" w:after="40"/>
              <w:ind w:left="298" w:right="113" w:hanging="298"/>
              <w:jc w:val="left"/>
              <w:rPr>
                <w:sz w:val="18"/>
                <w:szCs w:val="18"/>
                <w:lang w:val="fr-CH"/>
              </w:rPr>
            </w:pPr>
            <w:r w:rsidRPr="00745FBE">
              <w:rPr>
                <w:sz w:val="18"/>
                <w:szCs w:val="18"/>
                <w:lang w:val="fr-CH"/>
              </w:rPr>
              <w:t>(Champignons)</w:t>
            </w:r>
            <w:r w:rsidRPr="00745FBE">
              <w:rPr>
                <w:sz w:val="18"/>
                <w:szCs w:val="18"/>
                <w:lang w:val="fr-CH"/>
              </w:rPr>
              <w:br/>
            </w:r>
            <w:r w:rsidRPr="00745FBE">
              <w:rPr>
                <w:snapToGrid w:val="0"/>
                <w:color w:val="000000"/>
                <w:sz w:val="18"/>
                <w:szCs w:val="18"/>
                <w:lang w:val="fr-CH"/>
              </w:rPr>
              <w:t xml:space="preserve">Agaricus </w:t>
            </w:r>
            <w:r w:rsidRPr="00745FBE">
              <w:rPr>
                <w:snapToGrid w:val="0"/>
                <w:color w:val="000000"/>
                <w:sz w:val="18"/>
                <w:szCs w:val="18"/>
                <w:lang w:val="fr-CH"/>
              </w:rPr>
              <w:br/>
              <w:t xml:space="preserve">Agrocybe </w:t>
            </w:r>
            <w:r w:rsidRPr="00745FBE">
              <w:rPr>
                <w:snapToGrid w:val="0"/>
                <w:color w:val="000000"/>
                <w:sz w:val="18"/>
                <w:szCs w:val="18"/>
                <w:lang w:val="fr-CH"/>
              </w:rPr>
              <w:br/>
              <w:t xml:space="preserve">Auricularia </w:t>
            </w:r>
            <w:r w:rsidRPr="00745FBE">
              <w:rPr>
                <w:snapToGrid w:val="0"/>
                <w:color w:val="000000"/>
                <w:sz w:val="18"/>
                <w:szCs w:val="18"/>
                <w:lang w:val="fr-CH"/>
              </w:rPr>
              <w:br/>
              <w:t xml:space="preserve">Dictyophora </w:t>
            </w:r>
            <w:r w:rsidRPr="00745FBE">
              <w:rPr>
                <w:snapToGrid w:val="0"/>
                <w:color w:val="000000"/>
                <w:sz w:val="18"/>
                <w:szCs w:val="18"/>
                <w:lang w:val="fr-CH"/>
              </w:rPr>
              <w:br/>
              <w:t xml:space="preserve">Flammulina </w:t>
            </w:r>
            <w:r w:rsidRPr="00745FBE">
              <w:rPr>
                <w:snapToGrid w:val="0"/>
                <w:color w:val="000000"/>
                <w:sz w:val="18"/>
                <w:szCs w:val="18"/>
                <w:lang w:val="fr-CH"/>
              </w:rPr>
              <w:br/>
              <w:t xml:space="preserve">Ganoderma </w:t>
            </w:r>
            <w:r w:rsidRPr="00745FBE">
              <w:rPr>
                <w:snapToGrid w:val="0"/>
                <w:color w:val="000000"/>
                <w:sz w:val="18"/>
                <w:szCs w:val="18"/>
                <w:lang w:val="fr-CH"/>
              </w:rPr>
              <w:br/>
              <w:t xml:space="preserve">Grifola </w:t>
            </w:r>
            <w:r w:rsidRPr="00745FBE">
              <w:rPr>
                <w:snapToGrid w:val="0"/>
                <w:color w:val="000000"/>
                <w:sz w:val="18"/>
                <w:szCs w:val="18"/>
                <w:lang w:val="fr-CH"/>
              </w:rPr>
              <w:br/>
              <w:t xml:space="preserve">Hericium </w:t>
            </w:r>
            <w:r w:rsidRPr="00745FBE">
              <w:rPr>
                <w:snapToGrid w:val="0"/>
                <w:color w:val="000000"/>
                <w:sz w:val="18"/>
                <w:szCs w:val="18"/>
                <w:lang w:val="fr-CH"/>
              </w:rPr>
              <w:br/>
              <w:t xml:space="preserve">Hypsizigus </w:t>
            </w:r>
            <w:r w:rsidRPr="00745FBE">
              <w:rPr>
                <w:snapToGrid w:val="0"/>
                <w:color w:val="000000"/>
                <w:sz w:val="18"/>
                <w:szCs w:val="18"/>
                <w:lang w:val="fr-CH"/>
              </w:rPr>
              <w:br/>
              <w:t xml:space="preserve">Lentinula </w:t>
            </w:r>
            <w:r w:rsidRPr="00745FBE">
              <w:rPr>
                <w:snapToGrid w:val="0"/>
                <w:color w:val="000000"/>
                <w:sz w:val="18"/>
                <w:szCs w:val="18"/>
                <w:lang w:val="fr-CH"/>
              </w:rPr>
              <w:br/>
              <w:t xml:space="preserve">Lepista </w:t>
            </w:r>
            <w:r w:rsidRPr="00745FBE">
              <w:rPr>
                <w:snapToGrid w:val="0"/>
                <w:color w:val="000000"/>
                <w:sz w:val="18"/>
                <w:szCs w:val="18"/>
                <w:lang w:val="fr-CH"/>
              </w:rPr>
              <w:br/>
              <w:t xml:space="preserve">Lyophyllum </w:t>
            </w:r>
            <w:r w:rsidRPr="00745FBE">
              <w:rPr>
                <w:snapToGrid w:val="0"/>
                <w:color w:val="000000"/>
                <w:sz w:val="18"/>
                <w:szCs w:val="18"/>
                <w:lang w:val="fr-CH"/>
              </w:rPr>
              <w:br/>
              <w:t xml:space="preserve">Meripilus </w:t>
            </w:r>
            <w:r w:rsidRPr="00745FBE">
              <w:rPr>
                <w:snapToGrid w:val="0"/>
                <w:color w:val="000000"/>
                <w:sz w:val="18"/>
                <w:szCs w:val="18"/>
                <w:lang w:val="fr-CH"/>
              </w:rPr>
              <w:br/>
              <w:t xml:space="preserve">Mycoleptodonoides </w:t>
            </w:r>
            <w:r w:rsidRPr="00745FBE">
              <w:rPr>
                <w:snapToGrid w:val="0"/>
                <w:color w:val="000000"/>
                <w:sz w:val="18"/>
                <w:szCs w:val="18"/>
                <w:lang w:val="fr-CH"/>
              </w:rPr>
              <w:br/>
              <w:t xml:space="preserve">Naematoloma </w:t>
            </w:r>
            <w:r w:rsidRPr="00745FBE">
              <w:rPr>
                <w:snapToGrid w:val="0"/>
                <w:color w:val="000000"/>
                <w:sz w:val="18"/>
                <w:szCs w:val="18"/>
                <w:lang w:val="fr-CH"/>
              </w:rPr>
              <w:br/>
              <w:t>Panellus</w:t>
            </w:r>
            <w:r w:rsidRPr="00745FBE">
              <w:rPr>
                <w:snapToGrid w:val="0"/>
                <w:color w:val="000000"/>
                <w:sz w:val="18"/>
                <w:szCs w:val="18"/>
                <w:lang w:val="fr-CH"/>
              </w:rPr>
              <w:br/>
              <w:t xml:space="preserve">Pholiota </w:t>
            </w:r>
            <w:r w:rsidRPr="00745FBE">
              <w:rPr>
                <w:snapToGrid w:val="0"/>
                <w:color w:val="000000"/>
                <w:sz w:val="18"/>
                <w:szCs w:val="18"/>
                <w:lang w:val="fr-CH"/>
              </w:rPr>
              <w:br/>
              <w:t xml:space="preserve">Pleurotus </w:t>
            </w:r>
            <w:r w:rsidRPr="00745FBE">
              <w:rPr>
                <w:snapToGrid w:val="0"/>
                <w:color w:val="000000"/>
                <w:sz w:val="18"/>
                <w:szCs w:val="18"/>
                <w:lang w:val="fr-CH"/>
              </w:rPr>
              <w:br/>
              <w:t xml:space="preserve">Polyporus </w:t>
            </w:r>
            <w:r w:rsidRPr="00745FBE">
              <w:rPr>
                <w:snapToGrid w:val="0"/>
                <w:color w:val="000000"/>
                <w:sz w:val="18"/>
                <w:szCs w:val="18"/>
                <w:lang w:val="fr-CH"/>
              </w:rPr>
              <w:br/>
              <w:t xml:space="preserve">Sparassis </w:t>
            </w:r>
            <w:r w:rsidRPr="00745FBE">
              <w:rPr>
                <w:snapToGrid w:val="0"/>
                <w:color w:val="000000"/>
                <w:sz w:val="18"/>
                <w:szCs w:val="18"/>
                <w:lang w:val="fr-CH"/>
              </w:rPr>
              <w:br/>
              <w:t xml:space="preserve">Tricholoma </w:t>
            </w:r>
          </w:p>
        </w:tc>
        <w:tc>
          <w:tcPr>
            <w:tcW w:w="4034" w:type="dxa"/>
          </w:tcPr>
          <w:p w:rsidR="00B404F3" w:rsidRPr="00745FBE" w:rsidRDefault="00B404F3" w:rsidP="003F7B25">
            <w:pPr>
              <w:spacing w:before="40" w:after="40"/>
              <w:jc w:val="left"/>
              <w:rPr>
                <w:snapToGrid w:val="0"/>
                <w:color w:val="000000"/>
                <w:sz w:val="18"/>
                <w:szCs w:val="18"/>
                <w:lang w:val="fr-CH"/>
              </w:rPr>
            </w:pPr>
            <w:r w:rsidRPr="00745FBE">
              <w:rPr>
                <w:snapToGrid w:val="0"/>
                <w:color w:val="000000"/>
                <w:sz w:val="18"/>
                <w:szCs w:val="18"/>
                <w:lang w:val="fr-CH"/>
              </w:rPr>
              <w:br/>
              <w:t>AGARI</w:t>
            </w:r>
            <w:r w:rsidRPr="00745FBE">
              <w:rPr>
                <w:b/>
                <w:snapToGrid w:val="0"/>
                <w:color w:val="000000"/>
                <w:sz w:val="18"/>
                <w:szCs w:val="18"/>
                <w:lang w:val="fr-CH"/>
              </w:rPr>
              <w:br/>
            </w:r>
            <w:r w:rsidRPr="00745FBE">
              <w:rPr>
                <w:snapToGrid w:val="0"/>
                <w:color w:val="000000"/>
                <w:sz w:val="18"/>
                <w:szCs w:val="18"/>
                <w:lang w:val="fr-CH"/>
              </w:rPr>
              <w:t>AGROC</w:t>
            </w:r>
            <w:r w:rsidRPr="00745FBE">
              <w:rPr>
                <w:snapToGrid w:val="0"/>
                <w:color w:val="000000"/>
                <w:sz w:val="18"/>
                <w:szCs w:val="18"/>
                <w:lang w:val="fr-CH"/>
              </w:rPr>
              <w:br/>
              <w:t>AURIC</w:t>
            </w:r>
            <w:r w:rsidRPr="00745FBE">
              <w:rPr>
                <w:snapToGrid w:val="0"/>
                <w:color w:val="000000"/>
                <w:sz w:val="18"/>
                <w:szCs w:val="18"/>
                <w:lang w:val="fr-CH"/>
              </w:rPr>
              <w:br/>
              <w:t>DICTP</w:t>
            </w:r>
            <w:r w:rsidRPr="00745FBE">
              <w:rPr>
                <w:snapToGrid w:val="0"/>
                <w:color w:val="000000"/>
                <w:sz w:val="18"/>
                <w:szCs w:val="18"/>
                <w:lang w:val="fr-CH"/>
              </w:rPr>
              <w:br/>
              <w:t>FLAMM</w:t>
            </w:r>
            <w:r w:rsidRPr="00745FBE">
              <w:rPr>
                <w:snapToGrid w:val="0"/>
                <w:color w:val="000000"/>
                <w:sz w:val="18"/>
                <w:szCs w:val="18"/>
                <w:lang w:val="fr-CH"/>
              </w:rPr>
              <w:br/>
              <w:t>GANOD</w:t>
            </w:r>
            <w:r w:rsidRPr="00745FBE">
              <w:rPr>
                <w:snapToGrid w:val="0"/>
                <w:color w:val="000000"/>
                <w:sz w:val="18"/>
                <w:szCs w:val="18"/>
                <w:lang w:val="fr-CH"/>
              </w:rPr>
              <w:br/>
              <w:t>GRIFO</w:t>
            </w:r>
            <w:r w:rsidRPr="00745FBE">
              <w:rPr>
                <w:snapToGrid w:val="0"/>
                <w:color w:val="000000"/>
                <w:sz w:val="18"/>
                <w:szCs w:val="18"/>
                <w:lang w:val="fr-CH"/>
              </w:rPr>
              <w:br/>
              <w:t>HERIC</w:t>
            </w:r>
            <w:r w:rsidRPr="00745FBE">
              <w:rPr>
                <w:snapToGrid w:val="0"/>
                <w:color w:val="000000"/>
                <w:sz w:val="18"/>
                <w:szCs w:val="18"/>
                <w:lang w:val="fr-CH"/>
              </w:rPr>
              <w:br/>
              <w:t>HYPSI</w:t>
            </w:r>
            <w:r w:rsidRPr="00745FBE">
              <w:rPr>
                <w:snapToGrid w:val="0"/>
                <w:color w:val="000000"/>
                <w:sz w:val="18"/>
                <w:szCs w:val="18"/>
                <w:lang w:val="fr-CH"/>
              </w:rPr>
              <w:br/>
              <w:t>LENTI</w:t>
            </w:r>
            <w:r w:rsidRPr="00745FBE">
              <w:rPr>
                <w:snapToGrid w:val="0"/>
                <w:color w:val="000000"/>
                <w:sz w:val="18"/>
                <w:szCs w:val="18"/>
                <w:lang w:val="fr-CH"/>
              </w:rPr>
              <w:br/>
              <w:t>LEPIS</w:t>
            </w:r>
            <w:r w:rsidRPr="00745FBE">
              <w:rPr>
                <w:snapToGrid w:val="0"/>
                <w:color w:val="000000"/>
                <w:sz w:val="18"/>
                <w:szCs w:val="18"/>
                <w:lang w:val="fr-CH"/>
              </w:rPr>
              <w:br/>
              <w:t>LYOPH</w:t>
            </w:r>
            <w:r w:rsidRPr="00745FBE">
              <w:rPr>
                <w:snapToGrid w:val="0"/>
                <w:color w:val="000000"/>
                <w:sz w:val="18"/>
                <w:szCs w:val="18"/>
                <w:lang w:val="fr-CH"/>
              </w:rPr>
              <w:br/>
              <w:t>MERIP</w:t>
            </w:r>
            <w:r w:rsidRPr="00745FBE">
              <w:rPr>
                <w:snapToGrid w:val="0"/>
                <w:color w:val="000000"/>
                <w:sz w:val="18"/>
                <w:szCs w:val="18"/>
                <w:lang w:val="fr-CH"/>
              </w:rPr>
              <w:br/>
              <w:t>MYCOL</w:t>
            </w:r>
            <w:r w:rsidRPr="00745FBE">
              <w:rPr>
                <w:snapToGrid w:val="0"/>
                <w:color w:val="000000"/>
                <w:sz w:val="18"/>
                <w:szCs w:val="18"/>
                <w:lang w:val="fr-CH"/>
              </w:rPr>
              <w:br/>
              <w:t>NAEMA</w:t>
            </w:r>
            <w:r w:rsidRPr="00745FBE">
              <w:rPr>
                <w:snapToGrid w:val="0"/>
                <w:color w:val="000000"/>
                <w:sz w:val="18"/>
                <w:szCs w:val="18"/>
                <w:lang w:val="fr-CH"/>
              </w:rPr>
              <w:br/>
              <w:t>PANEL</w:t>
            </w:r>
            <w:r w:rsidRPr="00745FBE">
              <w:rPr>
                <w:snapToGrid w:val="0"/>
                <w:color w:val="000000"/>
                <w:sz w:val="18"/>
                <w:szCs w:val="18"/>
                <w:lang w:val="fr-CH"/>
              </w:rPr>
              <w:br/>
              <w:t>PHLIO</w:t>
            </w:r>
            <w:r w:rsidRPr="00745FBE">
              <w:rPr>
                <w:snapToGrid w:val="0"/>
                <w:color w:val="000000"/>
                <w:sz w:val="18"/>
                <w:szCs w:val="18"/>
                <w:lang w:val="fr-CH"/>
              </w:rPr>
              <w:br/>
              <w:t>PLEUR</w:t>
            </w:r>
            <w:r w:rsidRPr="00745FBE">
              <w:rPr>
                <w:snapToGrid w:val="0"/>
                <w:color w:val="000000"/>
                <w:sz w:val="18"/>
                <w:szCs w:val="18"/>
                <w:lang w:val="fr-CH"/>
              </w:rPr>
              <w:br/>
              <w:t>POLYO</w:t>
            </w:r>
            <w:r w:rsidRPr="00745FBE">
              <w:rPr>
                <w:snapToGrid w:val="0"/>
                <w:color w:val="000000"/>
                <w:sz w:val="18"/>
                <w:szCs w:val="18"/>
                <w:lang w:val="fr-CH"/>
              </w:rPr>
              <w:br/>
              <w:t>SPARA</w:t>
            </w:r>
            <w:r w:rsidRPr="00745FBE">
              <w:rPr>
                <w:snapToGrid w:val="0"/>
                <w:color w:val="000000"/>
                <w:sz w:val="18"/>
                <w:szCs w:val="18"/>
                <w:lang w:val="fr-CH"/>
              </w:rPr>
              <w:br/>
              <w:t>MACRO</w:t>
            </w:r>
          </w:p>
        </w:tc>
      </w:tr>
      <w:tr w:rsidR="00B404F3" w:rsidRPr="00745FBE" w:rsidTr="003F7B25">
        <w:trPr>
          <w:cantSplit/>
        </w:trPr>
        <w:tc>
          <w:tcPr>
            <w:tcW w:w="1277" w:type="dxa"/>
            <w:tcBorders>
              <w:bottom w:val="single" w:sz="4" w:space="0" w:color="auto"/>
            </w:tcBorders>
          </w:tcPr>
          <w:p w:rsidR="00B404F3" w:rsidRPr="00745FBE" w:rsidRDefault="00B404F3" w:rsidP="003F7B25">
            <w:pPr>
              <w:spacing w:before="40" w:after="40"/>
              <w:ind w:left="567" w:right="113" w:hanging="567"/>
              <w:jc w:val="left"/>
              <w:rPr>
                <w:sz w:val="18"/>
                <w:szCs w:val="18"/>
                <w:lang w:val="fr-CH"/>
              </w:rPr>
            </w:pPr>
            <w:r w:rsidRPr="00745FBE">
              <w:rPr>
                <w:snapToGrid w:val="0"/>
                <w:sz w:val="18"/>
                <w:szCs w:val="18"/>
                <w:lang w:val="fr-CH"/>
              </w:rPr>
              <w:t>Classe 212</w:t>
            </w:r>
          </w:p>
        </w:tc>
        <w:tc>
          <w:tcPr>
            <w:tcW w:w="4473" w:type="dxa"/>
            <w:tcBorders>
              <w:bottom w:val="single" w:sz="4" w:space="0" w:color="auto"/>
            </w:tcBorders>
          </w:tcPr>
          <w:p w:rsidR="00B404F3" w:rsidRPr="00745FBE" w:rsidRDefault="00B404F3" w:rsidP="003F7B25">
            <w:pPr>
              <w:tabs>
                <w:tab w:val="left" w:pos="6373"/>
                <w:tab w:val="left" w:pos="9066"/>
              </w:tabs>
              <w:spacing w:before="40" w:after="40"/>
              <w:ind w:left="301" w:right="113" w:hanging="301"/>
              <w:jc w:val="left"/>
              <w:rPr>
                <w:sz w:val="18"/>
                <w:szCs w:val="18"/>
                <w:lang w:val="fr-CH"/>
              </w:rPr>
            </w:pPr>
            <w:r w:rsidRPr="00745FBE">
              <w:rPr>
                <w:sz w:val="18"/>
                <w:szCs w:val="18"/>
                <w:lang w:val="fr-CH"/>
              </w:rPr>
              <w:t>Verbena L. et Glandularia J. F. Gmel.</w:t>
            </w:r>
          </w:p>
        </w:tc>
        <w:tc>
          <w:tcPr>
            <w:tcW w:w="4034" w:type="dxa"/>
            <w:tcBorders>
              <w:bottom w:val="single" w:sz="4" w:space="0" w:color="auto"/>
            </w:tcBorders>
          </w:tcPr>
          <w:p w:rsidR="00B404F3" w:rsidRPr="00745FBE" w:rsidRDefault="00B404F3" w:rsidP="003F7B25">
            <w:pPr>
              <w:spacing w:before="40" w:after="40"/>
              <w:jc w:val="left"/>
              <w:rPr>
                <w:snapToGrid w:val="0"/>
                <w:color w:val="000000"/>
                <w:sz w:val="18"/>
                <w:szCs w:val="18"/>
                <w:lang w:val="fr-CH"/>
              </w:rPr>
            </w:pPr>
            <w:r w:rsidRPr="00745FBE">
              <w:rPr>
                <w:snapToGrid w:val="0"/>
                <w:color w:val="000000"/>
                <w:sz w:val="18"/>
                <w:szCs w:val="18"/>
                <w:lang w:val="fr-CH"/>
              </w:rPr>
              <w:t>VERBE;  GLAND</w:t>
            </w:r>
          </w:p>
        </w:tc>
      </w:tr>
      <w:tr w:rsidR="00B404F3" w:rsidRPr="00745FBE" w:rsidTr="003F7B25">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B404F3" w:rsidRPr="00745FBE" w:rsidRDefault="00B404F3" w:rsidP="003F7B25">
            <w:pPr>
              <w:spacing w:before="40"/>
              <w:ind w:left="301" w:right="113" w:hanging="301"/>
              <w:jc w:val="left"/>
              <w:rPr>
                <w:sz w:val="18"/>
                <w:szCs w:val="18"/>
                <w:lang w:val="fr-CH"/>
              </w:rPr>
            </w:pPr>
            <w:r w:rsidRPr="00745FBE">
              <w:rPr>
                <w:sz w:val="18"/>
                <w:szCs w:val="18"/>
                <w:lang w:val="fr-CH"/>
              </w:rPr>
              <w:t>Classe 213</w:t>
            </w:r>
          </w:p>
        </w:tc>
        <w:tc>
          <w:tcPr>
            <w:tcW w:w="4473" w:type="dxa"/>
            <w:tcBorders>
              <w:top w:val="single" w:sz="4" w:space="0" w:color="auto"/>
              <w:left w:val="single" w:sz="4" w:space="0" w:color="auto"/>
              <w:right w:val="single" w:sz="4" w:space="0" w:color="auto"/>
            </w:tcBorders>
            <w:shd w:val="clear" w:color="auto" w:fill="auto"/>
          </w:tcPr>
          <w:p w:rsidR="00B404F3" w:rsidRPr="00745FBE" w:rsidRDefault="00B404F3" w:rsidP="003F7B25">
            <w:pPr>
              <w:tabs>
                <w:tab w:val="left" w:pos="6373"/>
                <w:tab w:val="left" w:pos="9066"/>
              </w:tabs>
              <w:spacing w:before="40" w:after="40"/>
              <w:ind w:left="298" w:right="113" w:hanging="298"/>
              <w:jc w:val="left"/>
              <w:rPr>
                <w:color w:val="000000"/>
                <w:sz w:val="18"/>
                <w:szCs w:val="18"/>
                <w:lang w:val="fr-CH"/>
              </w:rPr>
            </w:pPr>
            <w:r w:rsidRPr="009B26EF">
              <w:rPr>
                <w:sz w:val="18"/>
                <w:szCs w:val="18"/>
              </w:rPr>
              <w:t>Eupatorium</w:t>
            </w:r>
            <w:r w:rsidRPr="009B26EF">
              <w:rPr>
                <w:color w:val="000000"/>
                <w:sz w:val="18"/>
                <w:szCs w:val="18"/>
              </w:rPr>
              <w:t xml:space="preserve"> L.</w:t>
            </w:r>
            <w:r w:rsidRPr="009B26EF">
              <w:rPr>
                <w:color w:val="000000"/>
                <w:sz w:val="18"/>
                <w:szCs w:val="18"/>
              </w:rPr>
              <w:br/>
              <w:t>Acanthostyles R. M. King &amp; H. Rob.</w:t>
            </w:r>
            <w:r w:rsidRPr="009B26EF">
              <w:rPr>
                <w:color w:val="000000"/>
                <w:sz w:val="18"/>
                <w:szCs w:val="18"/>
              </w:rPr>
              <w:br/>
            </w:r>
            <w:r w:rsidRPr="009B26EF">
              <w:rPr>
                <w:iCs/>
                <w:color w:val="000000"/>
                <w:sz w:val="18"/>
                <w:szCs w:val="18"/>
              </w:rPr>
              <w:t>Ageratina Spach</w:t>
            </w:r>
            <w:r w:rsidRPr="009B26EF">
              <w:rPr>
                <w:color w:val="000000"/>
                <w:sz w:val="18"/>
                <w:szCs w:val="18"/>
              </w:rPr>
              <w:br/>
            </w:r>
            <w:r w:rsidRPr="009B26EF">
              <w:rPr>
                <w:sz w:val="18"/>
                <w:szCs w:val="18"/>
              </w:rPr>
              <w:t>Asplundianthus R. M. King &amp; H. Rob.</w:t>
            </w:r>
            <w:r w:rsidRPr="009B26EF">
              <w:rPr>
                <w:color w:val="000000"/>
                <w:sz w:val="18"/>
                <w:szCs w:val="18"/>
              </w:rPr>
              <w:br/>
            </w:r>
            <w:r w:rsidRPr="009B26EF">
              <w:rPr>
                <w:sz w:val="18"/>
                <w:szCs w:val="18"/>
              </w:rPr>
              <w:t>Bartlettina R. M. King &amp; H. Rob.</w:t>
            </w:r>
            <w:r w:rsidRPr="009B26EF">
              <w:rPr>
                <w:color w:val="000000"/>
                <w:sz w:val="18"/>
                <w:szCs w:val="18"/>
              </w:rPr>
              <w:br/>
            </w:r>
            <w:r w:rsidRPr="009B26EF">
              <w:rPr>
                <w:sz w:val="18"/>
                <w:szCs w:val="18"/>
              </w:rPr>
              <w:t>Campuloclinium DC.</w:t>
            </w:r>
            <w:r w:rsidRPr="009B26EF">
              <w:rPr>
                <w:color w:val="000000"/>
                <w:sz w:val="18"/>
                <w:szCs w:val="18"/>
              </w:rPr>
              <w:br/>
            </w:r>
            <w:r w:rsidRPr="009B26EF">
              <w:rPr>
                <w:sz w:val="18"/>
                <w:szCs w:val="18"/>
              </w:rPr>
              <w:t>Chromolaena DC.</w:t>
            </w:r>
            <w:r w:rsidRPr="009B26EF">
              <w:rPr>
                <w:color w:val="000000"/>
                <w:sz w:val="18"/>
                <w:szCs w:val="18"/>
              </w:rPr>
              <w:br/>
            </w:r>
            <w:r w:rsidRPr="009B26EF">
              <w:rPr>
                <w:sz w:val="18"/>
                <w:szCs w:val="18"/>
              </w:rPr>
              <w:t>Conoclinium DC.</w:t>
            </w:r>
            <w:r w:rsidRPr="009B26EF">
              <w:rPr>
                <w:color w:val="000000"/>
                <w:sz w:val="18"/>
                <w:szCs w:val="18"/>
              </w:rPr>
              <w:br/>
            </w:r>
            <w:r w:rsidRPr="009B26EF">
              <w:rPr>
                <w:sz w:val="18"/>
                <w:szCs w:val="18"/>
              </w:rPr>
              <w:t>Cronquistianthus R. M. King &amp; H. Rob.</w:t>
            </w:r>
            <w:r w:rsidRPr="009B26EF">
              <w:rPr>
                <w:color w:val="000000"/>
                <w:sz w:val="18"/>
                <w:szCs w:val="18"/>
              </w:rPr>
              <w:br/>
            </w:r>
            <w:r w:rsidRPr="009B26EF">
              <w:rPr>
                <w:iCs/>
                <w:color w:val="000000"/>
                <w:sz w:val="18"/>
                <w:szCs w:val="18"/>
              </w:rPr>
              <w:t>Eutrochium Raf.</w:t>
            </w:r>
            <w:r w:rsidRPr="009B26EF">
              <w:rPr>
                <w:color w:val="000000"/>
                <w:sz w:val="18"/>
                <w:szCs w:val="18"/>
              </w:rPr>
              <w:br/>
            </w:r>
            <w:r w:rsidRPr="00745FBE">
              <w:rPr>
                <w:sz w:val="18"/>
                <w:szCs w:val="18"/>
                <w:lang w:val="fr-CH"/>
              </w:rPr>
              <w:t>Fleischmannia S</w:t>
            </w:r>
            <w:r w:rsidR="00440663" w:rsidRPr="00745FBE">
              <w:rPr>
                <w:sz w:val="18"/>
                <w:szCs w:val="18"/>
                <w:lang w:val="fr-CH"/>
              </w:rPr>
              <w:t>ch</w:t>
            </w:r>
            <w:r w:rsidR="00440663">
              <w:rPr>
                <w:sz w:val="18"/>
                <w:szCs w:val="18"/>
                <w:lang w:val="fr-CH"/>
              </w:rPr>
              <w:t xml:space="preserve">.  </w:t>
            </w:r>
            <w:r w:rsidR="00440663" w:rsidRPr="00745FBE">
              <w:rPr>
                <w:sz w:val="18"/>
                <w:szCs w:val="18"/>
                <w:lang w:val="fr-CH"/>
              </w:rPr>
              <w:t>Bi</w:t>
            </w:r>
            <w:r w:rsidRPr="00745FBE">
              <w:rPr>
                <w:sz w:val="18"/>
                <w:szCs w:val="18"/>
                <w:lang w:val="fr-CH"/>
              </w:rPr>
              <w:t>p.</w:t>
            </w:r>
            <w:r w:rsidRPr="00745FBE">
              <w:rPr>
                <w:color w:val="000000"/>
                <w:sz w:val="18"/>
                <w:szCs w:val="18"/>
                <w:lang w:val="fr-CH"/>
              </w:rPr>
              <w:br/>
            </w:r>
            <w:r w:rsidRPr="00745FBE">
              <w:rPr>
                <w:sz w:val="18"/>
                <w:szCs w:val="18"/>
                <w:lang w:val="fr-CH"/>
              </w:rPr>
              <w:t>Praxelis Cass.</w:t>
            </w:r>
            <w:r w:rsidRPr="00745FBE">
              <w:rPr>
                <w:sz w:val="18"/>
                <w:szCs w:val="18"/>
                <w:lang w:val="fr-CH"/>
              </w:rPr>
              <w:br/>
            </w:r>
            <w:r w:rsidRPr="00745FBE">
              <w:rPr>
                <w:rFonts w:cs="Arial"/>
                <w:sz w:val="18"/>
                <w:szCs w:val="18"/>
                <w:lang w:val="fr-CH"/>
              </w:rPr>
              <w:t>Viereckia R. M. King &amp; H. Rob.</w:t>
            </w:r>
          </w:p>
        </w:tc>
        <w:tc>
          <w:tcPr>
            <w:tcW w:w="4034" w:type="dxa"/>
            <w:tcBorders>
              <w:top w:val="single" w:sz="4" w:space="0" w:color="auto"/>
              <w:left w:val="single" w:sz="4" w:space="0" w:color="auto"/>
              <w:right w:val="single" w:sz="4" w:space="0" w:color="auto"/>
            </w:tcBorders>
            <w:shd w:val="clear" w:color="auto" w:fill="auto"/>
          </w:tcPr>
          <w:p w:rsidR="00B404F3" w:rsidRPr="00745FBE" w:rsidRDefault="00B404F3" w:rsidP="003F7B25">
            <w:pPr>
              <w:spacing w:before="10" w:after="10"/>
              <w:jc w:val="left"/>
              <w:rPr>
                <w:sz w:val="18"/>
                <w:szCs w:val="18"/>
                <w:lang w:val="fr-CH"/>
              </w:rPr>
            </w:pPr>
            <w:r w:rsidRPr="00745FBE">
              <w:rPr>
                <w:sz w:val="18"/>
                <w:szCs w:val="18"/>
                <w:lang w:val="fr-CH"/>
              </w:rPr>
              <w:t>EUPAT</w:t>
            </w:r>
            <w:r w:rsidRPr="00745FBE">
              <w:rPr>
                <w:sz w:val="18"/>
                <w:szCs w:val="18"/>
                <w:lang w:val="fr-CH"/>
              </w:rPr>
              <w:br/>
            </w:r>
            <w:r w:rsidR="009B26EF">
              <w:rPr>
                <w:sz w:val="18"/>
                <w:szCs w:val="18"/>
                <w:lang w:val="fr-CH"/>
              </w:rPr>
              <w:t>-</w:t>
            </w:r>
            <w:r w:rsidRPr="00745FBE">
              <w:rPr>
                <w:sz w:val="18"/>
                <w:szCs w:val="18"/>
                <w:lang w:val="fr-CH"/>
              </w:rPr>
              <w:br/>
              <w:t>AGERT</w:t>
            </w:r>
            <w:r w:rsidRPr="00745FBE">
              <w:rPr>
                <w:sz w:val="18"/>
                <w:szCs w:val="18"/>
                <w:lang w:val="fr-CH"/>
              </w:rPr>
              <w:br/>
            </w:r>
            <w:r w:rsidR="009B26EF">
              <w:rPr>
                <w:sz w:val="18"/>
                <w:szCs w:val="18"/>
                <w:lang w:val="fr-CH"/>
              </w:rPr>
              <w:t>-</w:t>
            </w:r>
            <w:r w:rsidRPr="00745FBE">
              <w:rPr>
                <w:sz w:val="18"/>
                <w:szCs w:val="18"/>
                <w:lang w:val="fr-CH"/>
              </w:rPr>
              <w:br/>
            </w:r>
            <w:r w:rsidR="009B26EF">
              <w:rPr>
                <w:sz w:val="18"/>
                <w:szCs w:val="18"/>
                <w:lang w:val="fr-CH"/>
              </w:rPr>
              <w:t>-</w:t>
            </w:r>
            <w:r w:rsidRPr="00745FBE">
              <w:rPr>
                <w:sz w:val="18"/>
                <w:szCs w:val="18"/>
                <w:lang w:val="fr-CH"/>
              </w:rPr>
              <w:br/>
            </w:r>
            <w:r w:rsidR="009B26EF">
              <w:rPr>
                <w:sz w:val="18"/>
                <w:szCs w:val="18"/>
                <w:lang w:val="fr-CH"/>
              </w:rPr>
              <w:t>-</w:t>
            </w:r>
            <w:r w:rsidRPr="00745FBE">
              <w:rPr>
                <w:sz w:val="18"/>
                <w:szCs w:val="18"/>
                <w:lang w:val="fr-CH"/>
              </w:rPr>
              <w:br/>
            </w:r>
            <w:r w:rsidR="009B26EF">
              <w:rPr>
                <w:sz w:val="18"/>
                <w:szCs w:val="18"/>
                <w:lang w:val="fr-CH"/>
              </w:rPr>
              <w:t>-</w:t>
            </w:r>
            <w:r w:rsidRPr="00745FBE">
              <w:rPr>
                <w:sz w:val="18"/>
                <w:szCs w:val="18"/>
                <w:lang w:val="fr-CH"/>
              </w:rPr>
              <w:br/>
            </w:r>
            <w:r w:rsidR="009B26EF">
              <w:rPr>
                <w:sz w:val="18"/>
                <w:szCs w:val="18"/>
                <w:lang w:val="fr-CH"/>
              </w:rPr>
              <w:t>-</w:t>
            </w:r>
            <w:r w:rsidRPr="00745FBE">
              <w:rPr>
                <w:sz w:val="18"/>
                <w:szCs w:val="18"/>
                <w:lang w:val="fr-CH"/>
              </w:rPr>
              <w:br/>
            </w:r>
            <w:r w:rsidR="009B26EF">
              <w:rPr>
                <w:sz w:val="18"/>
                <w:szCs w:val="18"/>
                <w:lang w:val="fr-CH"/>
              </w:rPr>
              <w:t>-</w:t>
            </w:r>
            <w:r w:rsidRPr="00745FBE">
              <w:rPr>
                <w:sz w:val="18"/>
                <w:szCs w:val="18"/>
                <w:lang w:val="fr-CH"/>
              </w:rPr>
              <w:br/>
              <w:t>EUTRO</w:t>
            </w:r>
            <w:r w:rsidRPr="00745FBE">
              <w:rPr>
                <w:sz w:val="18"/>
                <w:szCs w:val="18"/>
                <w:lang w:val="fr-CH"/>
              </w:rPr>
              <w:br/>
            </w:r>
            <w:r w:rsidR="009B26EF">
              <w:rPr>
                <w:sz w:val="18"/>
                <w:szCs w:val="18"/>
                <w:lang w:val="fr-CH"/>
              </w:rPr>
              <w:t>-</w:t>
            </w:r>
            <w:r w:rsidRPr="00745FBE">
              <w:rPr>
                <w:sz w:val="18"/>
                <w:szCs w:val="18"/>
                <w:lang w:val="fr-CH"/>
              </w:rPr>
              <w:br/>
            </w:r>
            <w:r w:rsidR="009B26EF">
              <w:rPr>
                <w:sz w:val="18"/>
                <w:szCs w:val="18"/>
                <w:lang w:val="fr-CH"/>
              </w:rPr>
              <w:t>-</w:t>
            </w:r>
            <w:r w:rsidRPr="00745FBE">
              <w:rPr>
                <w:sz w:val="18"/>
                <w:szCs w:val="18"/>
                <w:lang w:val="fr-CH"/>
              </w:rPr>
              <w:br/>
            </w:r>
            <w:r w:rsidR="009B26EF">
              <w:rPr>
                <w:sz w:val="18"/>
                <w:szCs w:val="18"/>
                <w:lang w:val="fr-CH"/>
              </w:rPr>
              <w:t>-</w:t>
            </w:r>
          </w:p>
        </w:tc>
      </w:tr>
    </w:tbl>
    <w:p w:rsidR="00B404F3" w:rsidRPr="00745FBE" w:rsidRDefault="00B404F3" w:rsidP="00B404F3">
      <w:pPr>
        <w:rPr>
          <w:lang w:val="fr-CH"/>
        </w:rPr>
      </w:pPr>
    </w:p>
    <w:p w:rsidR="00797CB8" w:rsidRPr="00745FBE" w:rsidRDefault="006F1818" w:rsidP="00B404F3">
      <w:pPr>
        <w:jc w:val="center"/>
        <w:rPr>
          <w:lang w:val="fr-CH"/>
        </w:rPr>
      </w:pPr>
      <w:r w:rsidRPr="00745FBE">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BC3" w:rsidRPr="009929A5" w:rsidRDefault="00261BC3">
                            <w:pPr>
                              <w:ind w:right="53"/>
                              <w:jc w:val="right"/>
                              <w:rPr>
                                <w:rFonts w:cs="Arial"/>
                              </w:rPr>
                            </w:pPr>
                            <w:r>
                              <w:t>[L’annexe II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261BC3" w:rsidRPr="009929A5" w:rsidRDefault="00261BC3">
                      <w:pPr>
                        <w:ind w:right="53"/>
                        <w:jc w:val="right"/>
                        <w:rPr>
                          <w:rFonts w:cs="Arial"/>
                        </w:rPr>
                      </w:pPr>
                      <w:r>
                        <w:t>[L’annexe II suit]</w:t>
                      </w:r>
                    </w:p>
                  </w:txbxContent>
                </v:textbox>
              </v:shape>
            </w:pict>
          </mc:Fallback>
        </mc:AlternateContent>
      </w:r>
    </w:p>
    <w:p w:rsidR="00893C7D" w:rsidRPr="00745FBE" w:rsidRDefault="00893C7D" w:rsidP="00893C7D">
      <w:pPr>
        <w:jc w:val="right"/>
        <w:rPr>
          <w:lang w:val="fr-CH"/>
        </w:rPr>
        <w:sectPr w:rsidR="00893C7D" w:rsidRPr="00745FBE" w:rsidSect="006F1818">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907" w:left="1134" w:header="510" w:footer="113" w:gutter="0"/>
          <w:pgNumType w:start="1"/>
          <w:cols w:space="720"/>
          <w:titlePg/>
        </w:sectPr>
      </w:pPr>
    </w:p>
    <w:p w:rsidR="008A1474" w:rsidRPr="00745FBE" w:rsidRDefault="008A1474" w:rsidP="008A1474">
      <w:pPr>
        <w:jc w:val="center"/>
        <w:rPr>
          <w:u w:val="single"/>
          <w:lang w:val="fr-CH"/>
        </w:rPr>
      </w:pPr>
      <w:r w:rsidRPr="00745FBE">
        <w:rPr>
          <w:u w:val="single"/>
          <w:lang w:val="fr-CH"/>
        </w:rPr>
        <w:lastRenderedPageBreak/>
        <w:t>Formulaire type pour la soumission d</w:t>
      </w:r>
      <w:r w:rsidR="009B26EF">
        <w:rPr>
          <w:u w:val="single"/>
          <w:lang w:val="fr-CH"/>
        </w:rPr>
        <w:t>’</w:t>
      </w:r>
      <w:r w:rsidRPr="00745FBE">
        <w:rPr>
          <w:u w:val="single"/>
          <w:lang w:val="fr-CH"/>
        </w:rPr>
        <w:t>observations sur des dénominations variétales</w:t>
      </w:r>
    </w:p>
    <w:p w:rsidR="008A1474" w:rsidRPr="00745FBE" w:rsidRDefault="008A1474" w:rsidP="008A1474">
      <w:pPr>
        <w:jc w:val="center"/>
        <w:rPr>
          <w:u w:val="single"/>
          <w:lang w:val="fr-CH"/>
        </w:rPr>
      </w:pPr>
      <w:r w:rsidRPr="00745FBE">
        <w:rPr>
          <w:u w:val="single"/>
          <w:lang w:val="fr-CH"/>
        </w:rPr>
        <w:t>proposées déposées auprès d</w:t>
      </w:r>
      <w:r w:rsidR="009B26EF">
        <w:rPr>
          <w:u w:val="single"/>
          <w:lang w:val="fr-CH"/>
        </w:rPr>
        <w:t>’</w:t>
      </w:r>
      <w:r w:rsidRPr="00745FBE">
        <w:rPr>
          <w:u w:val="single"/>
          <w:lang w:val="fr-CH"/>
        </w:rPr>
        <w:t>un autre membre de l</w:t>
      </w:r>
      <w:r w:rsidR="009B26EF">
        <w:rPr>
          <w:u w:val="single"/>
          <w:lang w:val="fr-CH"/>
        </w:rPr>
        <w:t>’</w:t>
      </w:r>
      <w:r w:rsidRPr="00745FBE">
        <w:rPr>
          <w:u w:val="single"/>
          <w:lang w:val="fr-CH"/>
        </w:rPr>
        <w:t>Union</w:t>
      </w:r>
    </w:p>
    <w:p w:rsidR="008A1474" w:rsidRPr="00745FBE" w:rsidRDefault="008A1474" w:rsidP="008A1474">
      <w:pPr>
        <w:rPr>
          <w:lang w:val="fr-CH"/>
        </w:rPr>
      </w:pPr>
    </w:p>
    <w:p w:rsidR="008A1474" w:rsidRPr="00745FBE" w:rsidRDefault="008A1474" w:rsidP="008A1474">
      <w:pPr>
        <w:rPr>
          <w:lang w:val="fr-CH"/>
        </w:rPr>
      </w:pPr>
      <w:r w:rsidRPr="00745FBE">
        <w:rPr>
          <w:lang w:val="fr-CH"/>
        </w:rPr>
        <w:t>De</w:t>
      </w:r>
      <w:r w:rsidR="009B26EF">
        <w:rPr>
          <w:lang w:val="fr-CH"/>
        </w:rPr>
        <w:t> :</w:t>
      </w:r>
    </w:p>
    <w:p w:rsidR="008A1474" w:rsidRPr="00745FBE" w:rsidRDefault="008A1474" w:rsidP="008A1474">
      <w:pPr>
        <w:tabs>
          <w:tab w:val="right" w:leader="underscore" w:pos="9639"/>
        </w:tabs>
        <w:ind w:left="4678"/>
        <w:jc w:val="center"/>
        <w:rPr>
          <w:lang w:val="fr-CH"/>
        </w:rPr>
      </w:pPr>
      <w:r w:rsidRPr="00745FBE">
        <w:rPr>
          <w:lang w:val="fr-CH"/>
        </w:rPr>
        <w:tab/>
      </w:r>
    </w:p>
    <w:p w:rsidR="008A1474" w:rsidRPr="00745FBE" w:rsidRDefault="008A1474" w:rsidP="008A1474">
      <w:pPr>
        <w:tabs>
          <w:tab w:val="left" w:pos="4678"/>
          <w:tab w:val="right" w:leader="underscore" w:pos="9072"/>
        </w:tabs>
        <w:ind w:left="4678"/>
        <w:jc w:val="center"/>
        <w:rPr>
          <w:lang w:val="fr-CH"/>
        </w:rPr>
      </w:pPr>
      <w:r w:rsidRPr="00745FBE">
        <w:rPr>
          <w:lang w:val="fr-CH"/>
        </w:rPr>
        <w:t>Votre réf.</w:t>
      </w:r>
    </w:p>
    <w:p w:rsidR="008A1474" w:rsidRPr="00745FBE" w:rsidRDefault="008A1474" w:rsidP="008A1474">
      <w:pPr>
        <w:tabs>
          <w:tab w:val="left" w:pos="4678"/>
          <w:tab w:val="right" w:leader="underscore" w:pos="9639"/>
        </w:tabs>
        <w:ind w:left="4678"/>
        <w:jc w:val="center"/>
        <w:rPr>
          <w:lang w:val="fr-CH"/>
        </w:rPr>
      </w:pPr>
      <w:r w:rsidRPr="00745FBE">
        <w:rPr>
          <w:lang w:val="fr-CH"/>
        </w:rPr>
        <w:tab/>
      </w:r>
    </w:p>
    <w:p w:rsidR="008A1474" w:rsidRPr="00745FBE" w:rsidRDefault="008A1474" w:rsidP="008A1474">
      <w:pPr>
        <w:tabs>
          <w:tab w:val="left" w:pos="4678"/>
          <w:tab w:val="right" w:leader="underscore" w:pos="9072"/>
        </w:tabs>
        <w:ind w:left="4678"/>
        <w:jc w:val="center"/>
        <w:rPr>
          <w:lang w:val="fr-CH"/>
        </w:rPr>
      </w:pPr>
      <w:r w:rsidRPr="00745FBE">
        <w:rPr>
          <w:lang w:val="fr-CH"/>
        </w:rPr>
        <w:t>Notre réf.</w:t>
      </w:r>
    </w:p>
    <w:p w:rsidR="008A1474" w:rsidRPr="00745FBE" w:rsidRDefault="008A1474" w:rsidP="008A1474">
      <w:pPr>
        <w:rPr>
          <w:lang w:val="fr-CH"/>
        </w:rPr>
      </w:pPr>
    </w:p>
    <w:p w:rsidR="008A1474" w:rsidRPr="00745FBE" w:rsidRDefault="008A1474" w:rsidP="008A1474">
      <w:pPr>
        <w:rPr>
          <w:lang w:val="fr-CH"/>
        </w:rPr>
      </w:pPr>
    </w:p>
    <w:p w:rsidR="008A1474" w:rsidRPr="00745FBE" w:rsidRDefault="008A1474" w:rsidP="008A1474">
      <w:pPr>
        <w:jc w:val="center"/>
        <w:rPr>
          <w:b/>
          <w:lang w:val="fr-CH"/>
        </w:rPr>
      </w:pPr>
      <w:r w:rsidRPr="00745FBE">
        <w:rPr>
          <w:b/>
          <w:lang w:val="fr-CH"/>
        </w:rPr>
        <w:t>Observations sur une dénomination variétale déposée</w:t>
      </w:r>
    </w:p>
    <w:p w:rsidR="008A1474" w:rsidRPr="00745FBE" w:rsidRDefault="008A1474" w:rsidP="008A1474">
      <w:pPr>
        <w:jc w:val="center"/>
        <w:rPr>
          <w:b/>
          <w:lang w:val="fr-CH"/>
        </w:rPr>
      </w:pPr>
    </w:p>
    <w:p w:rsidR="008A1474" w:rsidRPr="00745FBE" w:rsidRDefault="008A1474" w:rsidP="008A1474">
      <w:pPr>
        <w:rPr>
          <w:lang w:val="fr-CH"/>
        </w:rPr>
      </w:pPr>
      <w:r w:rsidRPr="00745FBE">
        <w:rPr>
          <w:lang w:val="fr-CH"/>
        </w:rPr>
        <w:t>À</w:t>
      </w:r>
      <w:r w:rsidR="009B26EF">
        <w:rPr>
          <w:lang w:val="fr-CH"/>
        </w:rPr>
        <w:t> :</w:t>
      </w:r>
    </w:p>
    <w:p w:rsidR="008A1474" w:rsidRPr="00745FBE" w:rsidRDefault="008A1474" w:rsidP="008A1474">
      <w:pPr>
        <w:rPr>
          <w:lang w:val="fr-CH"/>
        </w:rPr>
      </w:pPr>
    </w:p>
    <w:p w:rsidR="008A1474" w:rsidRPr="00745FBE" w:rsidRDefault="008A1474" w:rsidP="008A1474">
      <w:pPr>
        <w:rPr>
          <w:lang w:val="fr-CH"/>
        </w:rPr>
      </w:pPr>
    </w:p>
    <w:p w:rsidR="008A1474" w:rsidRPr="00745FBE" w:rsidRDefault="008A1474" w:rsidP="008A1474">
      <w:pPr>
        <w:tabs>
          <w:tab w:val="right" w:leader="underscore" w:pos="9639"/>
        </w:tabs>
        <w:rPr>
          <w:lang w:val="fr-CH"/>
        </w:rPr>
      </w:pPr>
      <w:r w:rsidRPr="00745FBE">
        <w:rPr>
          <w:lang w:val="fr-CH"/>
        </w:rPr>
        <w:t>Dénomination variétale déposée</w:t>
      </w:r>
      <w:r w:rsidR="009B26EF">
        <w:rPr>
          <w:lang w:val="fr-CH"/>
        </w:rPr>
        <w:t> :</w:t>
      </w:r>
      <w:r w:rsidRPr="00745FBE">
        <w:rPr>
          <w:lang w:val="fr-CH"/>
        </w:rPr>
        <w:t xml:space="preserve">  </w:t>
      </w:r>
      <w:r w:rsidRPr="00745FBE">
        <w:rPr>
          <w:lang w:val="fr-CH"/>
        </w:rPr>
        <w:tab/>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6096"/>
          <w:tab w:val="left" w:pos="6237"/>
          <w:tab w:val="right" w:leader="underscore" w:pos="9639"/>
        </w:tabs>
        <w:rPr>
          <w:lang w:val="fr-CH"/>
        </w:rPr>
      </w:pPr>
      <w:r w:rsidRPr="00745FBE">
        <w:rPr>
          <w:lang w:val="fr-CH"/>
        </w:rPr>
        <w:t>Genre/espèce (nom botanique)</w:t>
      </w:r>
      <w:r w:rsidR="009B26EF">
        <w:rPr>
          <w:lang w:val="fr-CH"/>
        </w:rPr>
        <w:t> :</w:t>
      </w:r>
      <w:r w:rsidRPr="00745FBE">
        <w:rPr>
          <w:lang w:val="fr-CH"/>
        </w:rPr>
        <w:tab/>
        <w:t>Code UPOV</w:t>
      </w:r>
      <w:r w:rsidR="009B26EF">
        <w:rPr>
          <w:lang w:val="fr-CH"/>
        </w:rPr>
        <w:t> :</w:t>
      </w:r>
      <w:r w:rsidRPr="00745FBE">
        <w:rPr>
          <w:lang w:val="fr-CH"/>
        </w:rPr>
        <w:t xml:space="preserve"> </w:t>
      </w:r>
      <w:r w:rsidRPr="00745FBE">
        <w:rPr>
          <w:lang w:val="fr-CH"/>
        </w:rPr>
        <w:tab/>
      </w:r>
      <w:r w:rsidRPr="00745FBE">
        <w:rPr>
          <w:lang w:val="fr-CH"/>
        </w:rPr>
        <w:tab/>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639"/>
        </w:tabs>
        <w:rPr>
          <w:lang w:val="fr-CH"/>
        </w:rPr>
      </w:pPr>
      <w:r w:rsidRPr="00745FBE">
        <w:rPr>
          <w:lang w:val="fr-CH"/>
        </w:rPr>
        <w:t>Bulletin</w:t>
      </w:r>
      <w:r w:rsidR="009B26EF">
        <w:rPr>
          <w:lang w:val="fr-CH"/>
        </w:rPr>
        <w:t> :</w:t>
      </w:r>
      <w:r w:rsidRPr="00745FBE">
        <w:rPr>
          <w:lang w:val="fr-CH"/>
        </w:rPr>
        <w:t xml:space="preserve"> </w:t>
      </w:r>
      <w:r w:rsidRPr="00745FBE">
        <w:rPr>
          <w:lang w:val="fr-CH"/>
        </w:rPr>
        <w:tab/>
      </w:r>
    </w:p>
    <w:p w:rsidR="008A1474" w:rsidRPr="00745FBE" w:rsidRDefault="008A1474" w:rsidP="008A1474">
      <w:pPr>
        <w:tabs>
          <w:tab w:val="right" w:leader="underscore" w:pos="9072"/>
        </w:tabs>
        <w:jc w:val="center"/>
        <w:rPr>
          <w:lang w:val="fr-CH"/>
        </w:rPr>
      </w:pPr>
      <w:r w:rsidRPr="00745FBE">
        <w:rPr>
          <w:lang w:val="fr-CH"/>
        </w:rPr>
        <w:t>(numéro/année)</w:t>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639"/>
        </w:tabs>
        <w:rPr>
          <w:lang w:val="fr-CH"/>
        </w:rPr>
      </w:pPr>
      <w:r w:rsidRPr="00745FBE">
        <w:rPr>
          <w:lang w:val="fr-CH"/>
        </w:rPr>
        <w:t>Demandeur</w:t>
      </w:r>
      <w:r w:rsidR="009B26EF">
        <w:rPr>
          <w:lang w:val="fr-CH"/>
        </w:rPr>
        <w:t> :</w:t>
      </w:r>
      <w:r w:rsidRPr="00745FBE">
        <w:rPr>
          <w:lang w:val="fr-CH"/>
        </w:rPr>
        <w:t xml:space="preserve"> </w:t>
      </w:r>
      <w:r w:rsidRPr="00745FBE">
        <w:rPr>
          <w:lang w:val="fr-CH"/>
        </w:rPr>
        <w:tab/>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639"/>
        </w:tabs>
        <w:rPr>
          <w:lang w:val="fr-CH"/>
        </w:rPr>
      </w:pPr>
      <w:r w:rsidRPr="00745FBE">
        <w:rPr>
          <w:lang w:val="fr-CH"/>
        </w:rPr>
        <w:t>Observations</w:t>
      </w:r>
      <w:r w:rsidR="009B26EF">
        <w:rPr>
          <w:lang w:val="fr-CH"/>
        </w:rPr>
        <w:t> :</w:t>
      </w:r>
      <w:r w:rsidRPr="00745FBE">
        <w:rPr>
          <w:lang w:val="fr-CH"/>
        </w:rPr>
        <w:t xml:space="preserve"> </w:t>
      </w:r>
      <w:r w:rsidRPr="00745FBE">
        <w:rPr>
          <w:lang w:val="fr-CH"/>
        </w:rPr>
        <w:tab/>
      </w:r>
      <w:r w:rsidRPr="00745FBE">
        <w:rPr>
          <w:lang w:val="fr-CH"/>
        </w:rPr>
        <w:tab/>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639"/>
        </w:tabs>
        <w:rPr>
          <w:lang w:val="fr-CH"/>
        </w:rPr>
      </w:pPr>
      <w:r w:rsidRPr="00745FBE">
        <w:rPr>
          <w:lang w:val="fr-CH"/>
        </w:rPr>
        <w:tab/>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639"/>
        </w:tabs>
        <w:rPr>
          <w:lang w:val="fr-CH"/>
        </w:rPr>
      </w:pPr>
      <w:r w:rsidRPr="00745FBE">
        <w:rPr>
          <w:lang w:val="fr-CH"/>
        </w:rPr>
        <w:tab/>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639"/>
        </w:tabs>
        <w:rPr>
          <w:lang w:val="fr-CH"/>
        </w:rPr>
      </w:pPr>
      <w:r w:rsidRPr="00745FBE">
        <w:rPr>
          <w:lang w:val="fr-CH"/>
        </w:rPr>
        <w:tab/>
      </w:r>
    </w:p>
    <w:p w:rsidR="008A1474" w:rsidRPr="00745FBE" w:rsidRDefault="008A1474" w:rsidP="008A1474">
      <w:pPr>
        <w:tabs>
          <w:tab w:val="right" w:leader="underscore" w:pos="9072"/>
        </w:tabs>
        <w:rPr>
          <w:lang w:val="fr-CH"/>
        </w:rPr>
      </w:pPr>
    </w:p>
    <w:p w:rsidR="008A1474" w:rsidRPr="00745FBE" w:rsidRDefault="008A1474" w:rsidP="008A1474">
      <w:pPr>
        <w:pStyle w:val="BodyText"/>
        <w:tabs>
          <w:tab w:val="right" w:leader="underscore" w:pos="9072"/>
        </w:tabs>
        <w:rPr>
          <w:lang w:val="fr-CH"/>
        </w:rPr>
      </w:pPr>
      <w:r w:rsidRPr="00745FBE">
        <w:rPr>
          <w:lang w:val="fr-CH"/>
        </w:rPr>
        <w:t>Si les observations font référence à une marque ou à un autre droit, nom et adresse de son titulaire (si possible)</w:t>
      </w:r>
      <w:r w:rsidR="009B26EF">
        <w:rPr>
          <w:lang w:val="fr-CH"/>
        </w:rPr>
        <w:t> :</w:t>
      </w:r>
    </w:p>
    <w:p w:rsidR="008A1474" w:rsidRPr="00745FBE" w:rsidRDefault="008A1474" w:rsidP="008A1474">
      <w:pPr>
        <w:tabs>
          <w:tab w:val="right" w:leader="underscore" w:pos="9639"/>
        </w:tabs>
        <w:ind w:right="-568"/>
        <w:rPr>
          <w:lang w:val="fr-CH"/>
        </w:rPr>
      </w:pPr>
      <w:r w:rsidRPr="00745FBE">
        <w:rPr>
          <w:lang w:val="fr-CH"/>
        </w:rPr>
        <w:tab/>
      </w:r>
    </w:p>
    <w:p w:rsidR="008A1474" w:rsidRPr="00745FBE" w:rsidRDefault="008A1474" w:rsidP="008A1474">
      <w:pPr>
        <w:tabs>
          <w:tab w:val="right" w:leader="underscore" w:pos="9072"/>
          <w:tab w:val="left" w:pos="10773"/>
        </w:tabs>
        <w:ind w:right="-1"/>
        <w:rPr>
          <w:lang w:val="fr-CH"/>
        </w:rPr>
      </w:pPr>
    </w:p>
    <w:p w:rsidR="008A1474" w:rsidRPr="00745FBE" w:rsidRDefault="008A1474" w:rsidP="008A1474">
      <w:pPr>
        <w:pStyle w:val="BodyText"/>
        <w:tabs>
          <w:tab w:val="right" w:leader="underscore" w:pos="9639"/>
        </w:tabs>
        <w:rPr>
          <w:lang w:val="fr-CH"/>
        </w:rPr>
      </w:pPr>
      <w:r w:rsidRPr="00745FBE">
        <w:rPr>
          <w:lang w:val="fr-CH"/>
        </w:rPr>
        <w:tab/>
      </w:r>
    </w:p>
    <w:p w:rsidR="008A1474" w:rsidRPr="00745FBE" w:rsidRDefault="008A1474" w:rsidP="008A1474">
      <w:pPr>
        <w:tabs>
          <w:tab w:val="right" w:leader="underscore" w:pos="9072"/>
          <w:tab w:val="left" w:pos="10773"/>
        </w:tabs>
        <w:ind w:right="-1"/>
        <w:rPr>
          <w:lang w:val="fr-CH"/>
        </w:rPr>
      </w:pPr>
    </w:p>
    <w:p w:rsidR="008A1474" w:rsidRPr="00745FBE" w:rsidRDefault="008A1474" w:rsidP="008A1474">
      <w:pPr>
        <w:tabs>
          <w:tab w:val="right" w:leader="underscore" w:pos="9639"/>
        </w:tabs>
        <w:ind w:right="-568"/>
        <w:rPr>
          <w:lang w:val="fr-CH"/>
        </w:rPr>
      </w:pPr>
      <w:r w:rsidRPr="00745FBE">
        <w:rPr>
          <w:lang w:val="fr-CH"/>
        </w:rPr>
        <w:tab/>
      </w:r>
    </w:p>
    <w:p w:rsidR="008A1474" w:rsidRPr="00745FBE" w:rsidRDefault="008A1474" w:rsidP="008A1474">
      <w:pPr>
        <w:tabs>
          <w:tab w:val="right" w:leader="underscore" w:pos="9639"/>
        </w:tabs>
        <w:rPr>
          <w:lang w:val="fr-CH"/>
        </w:rPr>
      </w:pPr>
    </w:p>
    <w:p w:rsidR="008A1474" w:rsidRPr="00745FBE" w:rsidRDefault="008A1474" w:rsidP="008A1474">
      <w:pPr>
        <w:tabs>
          <w:tab w:val="right" w:leader="underscore" w:pos="9072"/>
        </w:tabs>
        <w:jc w:val="center"/>
        <w:rPr>
          <w:lang w:val="fr-CH"/>
        </w:rPr>
      </w:pPr>
      <w:r w:rsidRPr="00745FBE">
        <w:rPr>
          <w:lang w:val="fr-CH"/>
        </w:rPr>
        <w:t>Copies aux services des autres membres de l</w:t>
      </w:r>
      <w:r w:rsidR="009B26EF">
        <w:rPr>
          <w:lang w:val="fr-CH"/>
        </w:rPr>
        <w:t>’</w:t>
      </w:r>
      <w:r w:rsidRPr="00745FBE">
        <w:rPr>
          <w:lang w:val="fr-CH"/>
        </w:rPr>
        <w:t>Union</w:t>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3828"/>
          <w:tab w:val="left" w:pos="4253"/>
          <w:tab w:val="left" w:pos="5387"/>
          <w:tab w:val="right" w:leader="underscore" w:pos="9639"/>
        </w:tabs>
        <w:rPr>
          <w:lang w:val="fr-CH"/>
        </w:rPr>
      </w:pPr>
      <w:r w:rsidRPr="00745FBE">
        <w:rPr>
          <w:lang w:val="fr-CH"/>
        </w:rPr>
        <w:t>Date</w:t>
      </w:r>
      <w:r w:rsidR="009B26EF">
        <w:rPr>
          <w:lang w:val="fr-CH"/>
        </w:rPr>
        <w:t> :</w:t>
      </w:r>
      <w:r w:rsidRPr="00745FBE">
        <w:rPr>
          <w:lang w:val="fr-CH"/>
        </w:rPr>
        <w:t xml:space="preserve"> </w:t>
      </w:r>
      <w:r w:rsidRPr="00745FBE">
        <w:rPr>
          <w:lang w:val="fr-CH"/>
        </w:rPr>
        <w:br/>
      </w:r>
      <w:r w:rsidRPr="00745FBE">
        <w:rPr>
          <w:lang w:val="fr-CH"/>
        </w:rPr>
        <w:tab/>
      </w:r>
      <w:r w:rsidRPr="00745FBE">
        <w:rPr>
          <w:lang w:val="fr-CH"/>
        </w:rPr>
        <w:tab/>
        <w:t>Signature</w:t>
      </w:r>
      <w:r w:rsidR="009B26EF">
        <w:rPr>
          <w:lang w:val="fr-CH"/>
        </w:rPr>
        <w:t> :</w:t>
      </w:r>
      <w:r w:rsidRPr="00745FBE">
        <w:rPr>
          <w:lang w:val="fr-CH"/>
        </w:rPr>
        <w:t xml:space="preserve"> </w:t>
      </w:r>
      <w:r w:rsidRPr="00745FBE">
        <w:rPr>
          <w:lang w:val="fr-CH"/>
        </w:rPr>
        <w:tab/>
      </w:r>
      <w:r w:rsidRPr="00745FBE">
        <w:rPr>
          <w:lang w:val="fr-CH"/>
        </w:rPr>
        <w:tab/>
      </w:r>
    </w:p>
    <w:p w:rsidR="008A1474" w:rsidRPr="00745FBE" w:rsidRDefault="008A1474" w:rsidP="008A1474">
      <w:pPr>
        <w:pStyle w:val="Header"/>
        <w:tabs>
          <w:tab w:val="right" w:leader="underscore" w:pos="9072"/>
        </w:tabs>
        <w:rPr>
          <w:lang w:val="fr-CH"/>
        </w:rPr>
      </w:pPr>
    </w:p>
    <w:p w:rsidR="008A1474" w:rsidRPr="00745FBE" w:rsidRDefault="008A1474" w:rsidP="008A1474">
      <w:pPr>
        <w:pStyle w:val="Header"/>
        <w:tabs>
          <w:tab w:val="right" w:leader="underscore" w:pos="9072"/>
        </w:tabs>
        <w:rPr>
          <w:lang w:val="fr-CH"/>
        </w:rPr>
      </w:pPr>
    </w:p>
    <w:p w:rsidR="008A1474" w:rsidRPr="00745FBE" w:rsidRDefault="008A1474" w:rsidP="008A1474">
      <w:pPr>
        <w:pStyle w:val="Header"/>
        <w:tabs>
          <w:tab w:val="right" w:leader="underscore" w:pos="9072"/>
        </w:tabs>
        <w:rPr>
          <w:lang w:val="fr-CH"/>
        </w:rPr>
      </w:pPr>
    </w:p>
    <w:p w:rsidR="008A1474" w:rsidRPr="00745FBE" w:rsidRDefault="008A1474" w:rsidP="008A1474">
      <w:pPr>
        <w:jc w:val="right"/>
        <w:rPr>
          <w:lang w:val="fr-CH"/>
        </w:rPr>
      </w:pPr>
    </w:p>
    <w:p w:rsidR="008A1474" w:rsidRPr="00745FBE" w:rsidRDefault="008A1474" w:rsidP="008A1474">
      <w:pPr>
        <w:jc w:val="center"/>
        <w:rPr>
          <w:lang w:val="fr-CH"/>
        </w:rPr>
        <w:sectPr w:rsidR="008A1474" w:rsidRPr="00745FBE" w:rsidSect="00893C7D">
          <w:headerReference w:type="default" r:id="rId19"/>
          <w:headerReference w:type="first" r:id="rId20"/>
          <w:pgSz w:w="11907" w:h="16840" w:code="9"/>
          <w:pgMar w:top="510" w:right="1134" w:bottom="1134" w:left="1134" w:header="510" w:footer="113" w:gutter="0"/>
          <w:pgNumType w:start="1"/>
          <w:cols w:space="720"/>
          <w:titlePg/>
        </w:sectPr>
      </w:pPr>
    </w:p>
    <w:p w:rsidR="008A1474" w:rsidRPr="00745FBE" w:rsidRDefault="008A1474" w:rsidP="008A1474">
      <w:pPr>
        <w:jc w:val="center"/>
        <w:rPr>
          <w:u w:val="single"/>
          <w:lang w:val="fr-CH"/>
        </w:rPr>
      </w:pPr>
      <w:r w:rsidRPr="00745FBE">
        <w:rPr>
          <w:u w:val="single"/>
          <w:lang w:val="fr-CH"/>
        </w:rPr>
        <w:lastRenderedPageBreak/>
        <w:t>Réponse type aux observations sur des dénominations variétales proposées</w:t>
      </w:r>
      <w:r w:rsidRPr="00745FBE">
        <w:rPr>
          <w:u w:val="single"/>
          <w:lang w:val="fr-CH"/>
        </w:rPr>
        <w:br/>
        <w:t>déposées auprès d</w:t>
      </w:r>
      <w:r w:rsidR="009B26EF">
        <w:rPr>
          <w:u w:val="single"/>
          <w:lang w:val="fr-CH"/>
        </w:rPr>
        <w:t>’</w:t>
      </w:r>
      <w:r w:rsidRPr="00745FBE">
        <w:rPr>
          <w:u w:val="single"/>
          <w:lang w:val="fr-CH"/>
        </w:rPr>
        <w:t>un autre membre de l</w:t>
      </w:r>
      <w:r w:rsidR="009B26EF">
        <w:rPr>
          <w:u w:val="single"/>
          <w:lang w:val="fr-CH"/>
        </w:rPr>
        <w:t>’</w:t>
      </w:r>
      <w:r w:rsidRPr="00745FBE">
        <w:rPr>
          <w:u w:val="single"/>
          <w:lang w:val="fr-CH"/>
        </w:rPr>
        <w:t>Union</w:t>
      </w:r>
    </w:p>
    <w:p w:rsidR="008A1474" w:rsidRPr="00745FBE" w:rsidRDefault="008A1474" w:rsidP="008A1474">
      <w:pPr>
        <w:rPr>
          <w:lang w:val="fr-CH"/>
        </w:rPr>
      </w:pPr>
    </w:p>
    <w:p w:rsidR="008A1474" w:rsidRPr="00745FBE" w:rsidRDefault="008A1474" w:rsidP="008A1474">
      <w:pPr>
        <w:rPr>
          <w:lang w:val="fr-CH"/>
        </w:rPr>
      </w:pPr>
      <w:r w:rsidRPr="00745FBE">
        <w:rPr>
          <w:lang w:val="fr-CH"/>
        </w:rPr>
        <w:t>De</w:t>
      </w:r>
      <w:r w:rsidR="009B26EF">
        <w:rPr>
          <w:lang w:val="fr-CH"/>
        </w:rPr>
        <w:t> :</w:t>
      </w:r>
    </w:p>
    <w:p w:rsidR="008A1474" w:rsidRPr="00745FBE" w:rsidRDefault="008A1474" w:rsidP="008A1474">
      <w:pPr>
        <w:tabs>
          <w:tab w:val="left" w:pos="4678"/>
          <w:tab w:val="right" w:leader="underscore" w:pos="9639"/>
        </w:tabs>
        <w:ind w:left="4678"/>
        <w:jc w:val="center"/>
        <w:rPr>
          <w:lang w:val="fr-CH"/>
        </w:rPr>
      </w:pPr>
      <w:r w:rsidRPr="00745FBE">
        <w:rPr>
          <w:lang w:val="fr-CH"/>
        </w:rPr>
        <w:tab/>
      </w:r>
    </w:p>
    <w:p w:rsidR="008A1474" w:rsidRPr="00745FBE" w:rsidRDefault="008A1474" w:rsidP="008A1474">
      <w:pPr>
        <w:tabs>
          <w:tab w:val="left" w:pos="4678"/>
          <w:tab w:val="right" w:leader="underscore" w:pos="9072"/>
        </w:tabs>
        <w:ind w:left="4678"/>
        <w:jc w:val="center"/>
        <w:rPr>
          <w:lang w:val="fr-CH"/>
        </w:rPr>
      </w:pPr>
      <w:r w:rsidRPr="00745FBE">
        <w:rPr>
          <w:lang w:val="fr-CH"/>
        </w:rPr>
        <w:t>Votre réf.</w:t>
      </w:r>
    </w:p>
    <w:p w:rsidR="008A1474" w:rsidRPr="00745FBE" w:rsidRDefault="008A1474" w:rsidP="008A1474">
      <w:pPr>
        <w:tabs>
          <w:tab w:val="left" w:pos="4678"/>
          <w:tab w:val="right" w:leader="underscore" w:pos="9639"/>
        </w:tabs>
        <w:ind w:left="4678"/>
        <w:jc w:val="center"/>
        <w:rPr>
          <w:lang w:val="fr-CH"/>
        </w:rPr>
      </w:pPr>
      <w:r w:rsidRPr="00745FBE">
        <w:rPr>
          <w:lang w:val="fr-CH"/>
        </w:rPr>
        <w:tab/>
      </w:r>
    </w:p>
    <w:p w:rsidR="008A1474" w:rsidRPr="00745FBE" w:rsidRDefault="008A1474" w:rsidP="008A1474">
      <w:pPr>
        <w:tabs>
          <w:tab w:val="left" w:pos="4678"/>
          <w:tab w:val="right" w:leader="underscore" w:pos="9639"/>
        </w:tabs>
        <w:ind w:left="4678"/>
        <w:jc w:val="center"/>
        <w:rPr>
          <w:lang w:val="fr-CH"/>
        </w:rPr>
      </w:pPr>
      <w:r w:rsidRPr="00745FBE">
        <w:rPr>
          <w:lang w:val="fr-CH"/>
        </w:rPr>
        <w:t>Notre réf.</w:t>
      </w:r>
    </w:p>
    <w:p w:rsidR="008A1474" w:rsidRPr="00745FBE" w:rsidRDefault="008A1474" w:rsidP="008A1474">
      <w:pPr>
        <w:rPr>
          <w:lang w:val="fr-CH"/>
        </w:rPr>
      </w:pPr>
    </w:p>
    <w:p w:rsidR="008A1474" w:rsidRPr="00745FBE" w:rsidRDefault="008A1474" w:rsidP="008A1474">
      <w:pPr>
        <w:rPr>
          <w:lang w:val="fr-CH"/>
        </w:rPr>
      </w:pPr>
    </w:p>
    <w:p w:rsidR="008A1474" w:rsidRPr="00745FBE" w:rsidRDefault="008A1474" w:rsidP="008A1474">
      <w:pPr>
        <w:jc w:val="center"/>
        <w:rPr>
          <w:b/>
          <w:bCs/>
          <w:lang w:val="fr-CH"/>
        </w:rPr>
      </w:pPr>
      <w:r w:rsidRPr="00745FBE">
        <w:rPr>
          <w:b/>
          <w:bCs/>
          <w:lang w:val="fr-CH"/>
        </w:rPr>
        <w:t>Observations sur une dénomination variétale déposée</w:t>
      </w:r>
    </w:p>
    <w:p w:rsidR="008A1474" w:rsidRPr="00745FBE" w:rsidRDefault="008A1474" w:rsidP="008A1474">
      <w:pPr>
        <w:jc w:val="center"/>
        <w:rPr>
          <w:b/>
          <w:lang w:val="fr-CH"/>
        </w:rPr>
      </w:pPr>
    </w:p>
    <w:p w:rsidR="008A1474" w:rsidRPr="00745FBE" w:rsidRDefault="008A1474" w:rsidP="008A1474">
      <w:pPr>
        <w:rPr>
          <w:lang w:val="fr-CH"/>
        </w:rPr>
      </w:pPr>
      <w:r w:rsidRPr="00745FBE">
        <w:rPr>
          <w:lang w:val="fr-CH"/>
        </w:rPr>
        <w:t>À</w:t>
      </w:r>
      <w:r w:rsidR="009B26EF">
        <w:rPr>
          <w:lang w:val="fr-CH"/>
        </w:rPr>
        <w:t> :</w:t>
      </w:r>
    </w:p>
    <w:p w:rsidR="008A1474" w:rsidRPr="00745FBE" w:rsidRDefault="008A1474" w:rsidP="008A1474">
      <w:pPr>
        <w:rPr>
          <w:lang w:val="fr-CH"/>
        </w:rPr>
      </w:pPr>
    </w:p>
    <w:p w:rsidR="008A1474" w:rsidRPr="00745FBE" w:rsidRDefault="008A1474" w:rsidP="008A1474">
      <w:pPr>
        <w:tabs>
          <w:tab w:val="right" w:leader="dot" w:pos="7655"/>
          <w:tab w:val="left" w:pos="7797"/>
        </w:tabs>
        <w:ind w:firstLine="567"/>
        <w:rPr>
          <w:lang w:val="fr-CH"/>
        </w:rPr>
      </w:pPr>
      <w:r w:rsidRPr="00745FBE">
        <w:rPr>
          <w:lang w:val="fr-CH"/>
        </w:rPr>
        <w:t>En réponse à votre objection à la dénomination [………………….…….] pour la variété de [nom botanique/code UPOV], nous souhaitons vous informer que</w:t>
      </w:r>
      <w:r w:rsidR="009B26EF">
        <w:rPr>
          <w:lang w:val="fr-CH"/>
        </w:rPr>
        <w:t> :</w:t>
      </w:r>
    </w:p>
    <w:p w:rsidR="008A1474" w:rsidRPr="00745FBE" w:rsidRDefault="008A1474" w:rsidP="008A1474">
      <w:pPr>
        <w:rPr>
          <w:lang w:val="fr-CH"/>
        </w:rPr>
      </w:pPr>
    </w:p>
    <w:p w:rsidR="008A1474" w:rsidRPr="00745FBE" w:rsidRDefault="008A1474" w:rsidP="008A1474">
      <w:pPr>
        <w:tabs>
          <w:tab w:val="left" w:pos="391"/>
          <w:tab w:val="left" w:pos="851"/>
          <w:tab w:val="right" w:leader="dot" w:pos="3686"/>
          <w:tab w:val="left" w:pos="3828"/>
          <w:tab w:val="right" w:leader="dot" w:pos="9639"/>
        </w:tabs>
        <w:ind w:left="851" w:hanging="851"/>
        <w:rPr>
          <w:lang w:val="fr-CH"/>
        </w:rPr>
      </w:pPr>
      <w:r w:rsidRPr="00745FBE">
        <w:rPr>
          <w:lang w:val="fr-CH"/>
        </w:rPr>
        <w:t>1.</w:t>
      </w:r>
      <w:r w:rsidRPr="00745FBE">
        <w:rPr>
          <w:lang w:val="fr-CH"/>
        </w:rPr>
        <w:tab/>
        <w:t>□</w:t>
      </w:r>
      <w:r w:rsidRPr="00745FBE">
        <w:rPr>
          <w:lang w:val="fr-CH"/>
        </w:rPr>
        <w:tab/>
        <w:t>À notre avis, il existe une différence suffisante entre le nom …………………… et le nom …………………… sur le plan de l</w:t>
      </w:r>
      <w:r w:rsidR="009B26EF">
        <w:rPr>
          <w:lang w:val="fr-CH"/>
        </w:rPr>
        <w:t>’</w:t>
      </w:r>
      <w:r w:rsidRPr="00745FBE">
        <w:rPr>
          <w:lang w:val="fr-CH"/>
        </w:rPr>
        <w:t>orthographe et de la prononciati</w:t>
      </w:r>
      <w:r w:rsidR="00440663" w:rsidRPr="00745FBE">
        <w:rPr>
          <w:lang w:val="fr-CH"/>
        </w:rPr>
        <w:t>on</w:t>
      </w:r>
      <w:r w:rsidR="00440663">
        <w:rPr>
          <w:lang w:val="fr-CH"/>
        </w:rPr>
        <w:t xml:space="preserve">.  </w:t>
      </w:r>
      <w:r w:rsidR="00440663" w:rsidRPr="00745FBE">
        <w:rPr>
          <w:lang w:val="fr-CH"/>
        </w:rPr>
        <w:t>Pa</w:t>
      </w:r>
      <w:r w:rsidRPr="00745FBE">
        <w:rPr>
          <w:lang w:val="fr-CH"/>
        </w:rPr>
        <w:t>r conséquent, le [service] ne voit aucune raison de refuser la dénomination.</w:t>
      </w:r>
    </w:p>
    <w:p w:rsidR="008A1474" w:rsidRPr="00745FBE" w:rsidRDefault="008A1474" w:rsidP="008A1474">
      <w:pPr>
        <w:ind w:left="851" w:hanging="851"/>
        <w:rPr>
          <w:sz w:val="16"/>
          <w:lang w:val="fr-CH"/>
        </w:rPr>
      </w:pPr>
    </w:p>
    <w:p w:rsidR="008A1474" w:rsidRPr="00745FBE" w:rsidRDefault="008A1474" w:rsidP="008A1474">
      <w:pPr>
        <w:tabs>
          <w:tab w:val="left" w:pos="392"/>
        </w:tabs>
        <w:ind w:left="851" w:hanging="851"/>
        <w:rPr>
          <w:lang w:val="fr-CH"/>
        </w:rPr>
      </w:pPr>
      <w:r w:rsidRPr="00745FBE">
        <w:rPr>
          <w:lang w:val="fr-CH"/>
        </w:rPr>
        <w:t>2.</w:t>
      </w:r>
      <w:r w:rsidRPr="00745FBE">
        <w:rPr>
          <w:lang w:val="fr-CH"/>
        </w:rPr>
        <w:tab/>
        <w:t>□</w:t>
      </w:r>
      <w:r w:rsidRPr="00745FBE">
        <w:rPr>
          <w:lang w:val="fr-CH"/>
        </w:rPr>
        <w:tab/>
        <w:t>Le [service] a accepté cette dénomination et aucune objection n</w:t>
      </w:r>
      <w:r w:rsidR="009B26EF">
        <w:rPr>
          <w:lang w:val="fr-CH"/>
        </w:rPr>
        <w:t>’</w:t>
      </w:r>
      <w:r w:rsidRPr="00745FBE">
        <w:rPr>
          <w:lang w:val="fr-CH"/>
        </w:rPr>
        <w:t>a été reçue dans le délai prescrit suivant la publication.</w:t>
      </w:r>
    </w:p>
    <w:p w:rsidR="008A1474" w:rsidRPr="00745FBE" w:rsidRDefault="008A1474" w:rsidP="008A1474">
      <w:pPr>
        <w:rPr>
          <w:sz w:val="16"/>
          <w:lang w:val="fr-CH"/>
        </w:rPr>
      </w:pPr>
    </w:p>
    <w:p w:rsidR="008A1474" w:rsidRPr="00745FBE" w:rsidRDefault="008A1474" w:rsidP="008A1474">
      <w:pPr>
        <w:tabs>
          <w:tab w:val="left" w:pos="392"/>
          <w:tab w:val="left" w:pos="851"/>
          <w:tab w:val="right" w:leader="dot" w:pos="9639"/>
        </w:tabs>
        <w:ind w:left="851" w:hanging="851"/>
        <w:rPr>
          <w:lang w:val="fr-CH"/>
        </w:rPr>
      </w:pPr>
      <w:r w:rsidRPr="00745FBE">
        <w:rPr>
          <w:lang w:val="fr-CH"/>
        </w:rPr>
        <w:t>3.</w:t>
      </w:r>
      <w:r w:rsidRPr="00745FBE">
        <w:rPr>
          <w:lang w:val="fr-CH"/>
        </w:rPr>
        <w:tab/>
        <w:t>□</w:t>
      </w:r>
      <w:r w:rsidRPr="00745FBE">
        <w:rPr>
          <w:lang w:val="fr-CH"/>
        </w:rPr>
        <w:tab/>
        <w:t xml:space="preserve">Cette variété a été enregistrée sous ce nom le </w:t>
      </w:r>
      <w:r w:rsidRPr="00745FBE">
        <w:rPr>
          <w:lang w:val="fr-CH"/>
        </w:rPr>
        <w:tab/>
      </w:r>
    </w:p>
    <w:p w:rsidR="008A1474" w:rsidRPr="00745FBE" w:rsidRDefault="008A1474" w:rsidP="008A1474">
      <w:pPr>
        <w:rPr>
          <w:sz w:val="16"/>
          <w:lang w:val="fr-CH"/>
        </w:rPr>
      </w:pPr>
    </w:p>
    <w:p w:rsidR="008A1474" w:rsidRPr="00745FBE" w:rsidRDefault="008A1474" w:rsidP="008A1474">
      <w:pPr>
        <w:tabs>
          <w:tab w:val="left" w:pos="392"/>
          <w:tab w:val="left" w:pos="851"/>
          <w:tab w:val="right" w:leader="dot" w:pos="9639"/>
        </w:tabs>
        <w:ind w:left="851" w:hanging="851"/>
        <w:rPr>
          <w:lang w:val="fr-CH"/>
        </w:rPr>
      </w:pPr>
      <w:r w:rsidRPr="00745FBE">
        <w:rPr>
          <w:lang w:val="fr-CH"/>
        </w:rPr>
        <w:t>4.</w:t>
      </w:r>
      <w:r w:rsidRPr="00745FBE">
        <w:rPr>
          <w:lang w:val="fr-CH"/>
        </w:rPr>
        <w:tab/>
        <w:t>□</w:t>
      </w:r>
      <w:r w:rsidRPr="00745FBE">
        <w:rPr>
          <w:lang w:val="fr-CH"/>
        </w:rPr>
        <w:tab/>
        <w:t xml:space="preserve">Première publication sous la forme de la dénomination proposée dans </w:t>
      </w:r>
      <w:r w:rsidRPr="00745FBE">
        <w:rPr>
          <w:lang w:val="fr-CH"/>
        </w:rPr>
        <w:tab/>
      </w:r>
    </w:p>
    <w:p w:rsidR="008A1474" w:rsidRPr="00745FBE" w:rsidRDefault="008A1474" w:rsidP="008A1474">
      <w:pPr>
        <w:tabs>
          <w:tab w:val="left" w:pos="851"/>
        </w:tabs>
        <w:ind w:left="851" w:hanging="851"/>
        <w:rPr>
          <w:sz w:val="16"/>
          <w:lang w:val="fr-CH"/>
        </w:rPr>
      </w:pPr>
    </w:p>
    <w:p w:rsidR="008A1474" w:rsidRPr="00745FBE" w:rsidRDefault="008A1474" w:rsidP="008A1474">
      <w:pPr>
        <w:tabs>
          <w:tab w:val="left" w:pos="392"/>
          <w:tab w:val="left" w:pos="851"/>
        </w:tabs>
        <w:ind w:left="851" w:hanging="851"/>
        <w:rPr>
          <w:lang w:val="fr-CH"/>
        </w:rPr>
      </w:pPr>
      <w:r w:rsidRPr="00745FBE">
        <w:rPr>
          <w:lang w:val="fr-CH"/>
        </w:rPr>
        <w:t>5.</w:t>
      </w:r>
      <w:r w:rsidRPr="00745FBE">
        <w:rPr>
          <w:lang w:val="fr-CH"/>
        </w:rPr>
        <w:tab/>
        <w:t>□</w:t>
      </w:r>
      <w:r w:rsidRPr="00745FBE">
        <w:rPr>
          <w:lang w:val="fr-CH"/>
        </w:rPr>
        <w:tab/>
        <w:t>Le demandeur a été prié de proposer une autre dénomination.</w:t>
      </w:r>
    </w:p>
    <w:p w:rsidR="008A1474" w:rsidRPr="00745FBE" w:rsidRDefault="008A1474" w:rsidP="008A1474">
      <w:pPr>
        <w:rPr>
          <w:sz w:val="16"/>
          <w:lang w:val="fr-CH"/>
        </w:rPr>
      </w:pPr>
    </w:p>
    <w:p w:rsidR="008A1474" w:rsidRPr="00745FBE" w:rsidRDefault="008A1474" w:rsidP="008A1474">
      <w:pPr>
        <w:tabs>
          <w:tab w:val="left" w:pos="392"/>
          <w:tab w:val="left" w:pos="851"/>
        </w:tabs>
        <w:ind w:left="851" w:hanging="851"/>
        <w:rPr>
          <w:lang w:val="fr-CH"/>
        </w:rPr>
      </w:pPr>
      <w:r w:rsidRPr="00745FBE">
        <w:rPr>
          <w:lang w:val="fr-CH"/>
        </w:rPr>
        <w:t>6.</w:t>
      </w:r>
      <w:r w:rsidRPr="00745FBE">
        <w:rPr>
          <w:lang w:val="fr-CH"/>
        </w:rPr>
        <w:tab/>
        <w:t>□</w:t>
      </w:r>
      <w:r w:rsidRPr="00745FBE">
        <w:rPr>
          <w:lang w:val="fr-CH"/>
        </w:rPr>
        <w:tab/>
        <w:t>Il s</w:t>
      </w:r>
      <w:r w:rsidR="009B26EF">
        <w:rPr>
          <w:lang w:val="fr-CH"/>
        </w:rPr>
        <w:t>’</w:t>
      </w:r>
      <w:r w:rsidRPr="00745FBE">
        <w:rPr>
          <w:lang w:val="fr-CH"/>
        </w:rPr>
        <w:t>agit de la même variété.</w:t>
      </w:r>
    </w:p>
    <w:p w:rsidR="008A1474" w:rsidRPr="00745FBE" w:rsidRDefault="008A1474" w:rsidP="008A1474">
      <w:pPr>
        <w:rPr>
          <w:sz w:val="16"/>
          <w:lang w:val="fr-CH"/>
        </w:rPr>
      </w:pPr>
    </w:p>
    <w:p w:rsidR="008A1474" w:rsidRPr="00745FBE" w:rsidRDefault="008A1474" w:rsidP="008A1474">
      <w:pPr>
        <w:tabs>
          <w:tab w:val="left" w:pos="392"/>
          <w:tab w:val="left" w:pos="851"/>
        </w:tabs>
        <w:ind w:left="851" w:hanging="851"/>
        <w:rPr>
          <w:lang w:val="fr-CH"/>
        </w:rPr>
      </w:pPr>
      <w:r w:rsidRPr="00745FBE">
        <w:rPr>
          <w:lang w:val="fr-CH"/>
        </w:rPr>
        <w:t>7.</w:t>
      </w:r>
      <w:r w:rsidRPr="00745FBE">
        <w:rPr>
          <w:lang w:val="fr-CH"/>
        </w:rPr>
        <w:tab/>
        <w:t>□</w:t>
      </w:r>
      <w:r w:rsidRPr="00745FBE">
        <w:rPr>
          <w:lang w:val="fr-CH"/>
        </w:rPr>
        <w:tab/>
        <w:t>La demande relative à la variété a été retirée/refusée.</w:t>
      </w:r>
    </w:p>
    <w:p w:rsidR="008A1474" w:rsidRPr="00745FBE" w:rsidRDefault="008A1474" w:rsidP="008A1474">
      <w:pPr>
        <w:rPr>
          <w:sz w:val="16"/>
          <w:lang w:val="fr-CH"/>
        </w:rPr>
      </w:pPr>
    </w:p>
    <w:p w:rsidR="008A1474" w:rsidRPr="00745FBE" w:rsidRDefault="008A1474" w:rsidP="008A1474">
      <w:pPr>
        <w:tabs>
          <w:tab w:val="left" w:pos="392"/>
          <w:tab w:val="left" w:pos="851"/>
        </w:tabs>
        <w:ind w:left="851" w:hanging="851"/>
        <w:rPr>
          <w:lang w:val="fr-CH"/>
        </w:rPr>
      </w:pPr>
      <w:r w:rsidRPr="00745FBE">
        <w:rPr>
          <w:lang w:val="fr-CH"/>
        </w:rPr>
        <w:t>8.</w:t>
      </w:r>
      <w:r w:rsidRPr="00745FBE">
        <w:rPr>
          <w:lang w:val="fr-CH"/>
        </w:rPr>
        <w:tab/>
        <w:t>□</w:t>
      </w:r>
      <w:r w:rsidRPr="00745FBE">
        <w:rPr>
          <w:lang w:val="fr-CH"/>
        </w:rPr>
        <w:tab/>
        <w:t>Le demandeur a retiré la dénomination proposée pour la variété.</w:t>
      </w:r>
    </w:p>
    <w:p w:rsidR="008A1474" w:rsidRPr="00745FBE" w:rsidRDefault="008A1474" w:rsidP="008A1474">
      <w:pPr>
        <w:rPr>
          <w:sz w:val="16"/>
          <w:lang w:val="fr-CH"/>
        </w:rPr>
      </w:pPr>
    </w:p>
    <w:p w:rsidR="008A1474" w:rsidRPr="00745FBE" w:rsidRDefault="008A1474" w:rsidP="008A1474">
      <w:pPr>
        <w:tabs>
          <w:tab w:val="left" w:pos="392"/>
          <w:tab w:val="left" w:pos="851"/>
        </w:tabs>
        <w:ind w:left="851" w:hanging="851"/>
        <w:rPr>
          <w:lang w:val="fr-CH"/>
        </w:rPr>
      </w:pPr>
      <w:r w:rsidRPr="00745FBE">
        <w:rPr>
          <w:lang w:val="fr-CH"/>
        </w:rPr>
        <w:t>9.</w:t>
      </w:r>
      <w:r w:rsidRPr="00745FBE">
        <w:rPr>
          <w:lang w:val="fr-CH"/>
        </w:rPr>
        <w:tab/>
        <w:t>□</w:t>
      </w:r>
      <w:r w:rsidRPr="00745FBE">
        <w:rPr>
          <w:lang w:val="fr-CH"/>
        </w:rPr>
        <w:tab/>
        <w:t>Autre</w:t>
      </w:r>
    </w:p>
    <w:p w:rsidR="008A1474" w:rsidRPr="00745FBE" w:rsidRDefault="008A1474" w:rsidP="008A1474">
      <w:pPr>
        <w:rPr>
          <w:lang w:val="fr-CH"/>
        </w:rPr>
      </w:pPr>
    </w:p>
    <w:p w:rsidR="008A1474" w:rsidRPr="00745FBE" w:rsidRDefault="008A1474" w:rsidP="008A1474">
      <w:pPr>
        <w:tabs>
          <w:tab w:val="right" w:leader="underscore" w:pos="9072"/>
        </w:tabs>
        <w:jc w:val="center"/>
        <w:rPr>
          <w:lang w:val="fr-CH"/>
        </w:rPr>
      </w:pPr>
      <w:r w:rsidRPr="00745FBE">
        <w:rPr>
          <w:lang w:val="fr-CH"/>
        </w:rPr>
        <w:t>Copies aux services des autres membres de l</w:t>
      </w:r>
      <w:r w:rsidR="009B26EF">
        <w:rPr>
          <w:lang w:val="fr-CH"/>
        </w:rPr>
        <w:t>’</w:t>
      </w:r>
      <w:r w:rsidRPr="00745FBE">
        <w:rPr>
          <w:lang w:val="fr-CH"/>
        </w:rPr>
        <w:t>Union</w:t>
      </w: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9072"/>
        </w:tabs>
        <w:rPr>
          <w:lang w:val="fr-CH"/>
        </w:rPr>
      </w:pPr>
    </w:p>
    <w:p w:rsidR="008A1474" w:rsidRPr="00745FBE" w:rsidRDefault="008A1474" w:rsidP="008A1474">
      <w:pPr>
        <w:tabs>
          <w:tab w:val="right" w:leader="underscore" w:pos="3828"/>
          <w:tab w:val="left" w:pos="4253"/>
          <w:tab w:val="right" w:leader="underscore" w:pos="9072"/>
        </w:tabs>
        <w:rPr>
          <w:lang w:val="fr-CH"/>
        </w:rPr>
      </w:pPr>
      <w:r w:rsidRPr="00745FBE">
        <w:rPr>
          <w:lang w:val="fr-CH"/>
        </w:rPr>
        <w:t>Date</w:t>
      </w:r>
      <w:r w:rsidR="009B26EF">
        <w:rPr>
          <w:lang w:val="fr-CH"/>
        </w:rPr>
        <w:t> :</w:t>
      </w:r>
      <w:r w:rsidRPr="00745FBE">
        <w:rPr>
          <w:lang w:val="fr-CH"/>
        </w:rPr>
        <w:t xml:space="preserve"> </w:t>
      </w:r>
      <w:r w:rsidRPr="00745FBE">
        <w:rPr>
          <w:lang w:val="fr-CH"/>
        </w:rPr>
        <w:tab/>
      </w:r>
      <w:r w:rsidRPr="00745FBE">
        <w:rPr>
          <w:lang w:val="fr-CH"/>
        </w:rPr>
        <w:tab/>
        <w:t>Signature</w:t>
      </w:r>
      <w:r w:rsidR="009B26EF">
        <w:rPr>
          <w:lang w:val="fr-CH"/>
        </w:rPr>
        <w:t> :</w:t>
      </w:r>
      <w:r w:rsidRPr="00745FBE">
        <w:rPr>
          <w:lang w:val="fr-CH"/>
        </w:rPr>
        <w:t xml:space="preserve"> </w:t>
      </w:r>
      <w:r w:rsidRPr="00745FBE">
        <w:rPr>
          <w:lang w:val="fr-CH"/>
        </w:rPr>
        <w:tab/>
      </w:r>
      <w:r w:rsidRPr="00745FBE">
        <w:rPr>
          <w:lang w:val="fr-CH"/>
        </w:rPr>
        <w:tab/>
      </w:r>
    </w:p>
    <w:p w:rsidR="008A1474" w:rsidRPr="00745FBE" w:rsidRDefault="008A1474" w:rsidP="008A1474">
      <w:pPr>
        <w:pStyle w:val="Header"/>
        <w:tabs>
          <w:tab w:val="right" w:leader="underscore" w:pos="9072"/>
        </w:tabs>
        <w:rPr>
          <w:lang w:val="fr-CH"/>
        </w:rPr>
      </w:pPr>
    </w:p>
    <w:p w:rsidR="008A1474" w:rsidRPr="00745FBE" w:rsidRDefault="008A1474" w:rsidP="008A1474">
      <w:pPr>
        <w:jc w:val="right"/>
        <w:rPr>
          <w:lang w:val="fr-CH"/>
        </w:rPr>
      </w:pPr>
    </w:p>
    <w:p w:rsidR="008A1474" w:rsidRPr="00745FBE" w:rsidRDefault="008A1474" w:rsidP="008A1474">
      <w:pPr>
        <w:jc w:val="right"/>
        <w:rPr>
          <w:lang w:val="fr-CH"/>
        </w:rPr>
      </w:pPr>
    </w:p>
    <w:p w:rsidR="008A1474" w:rsidRPr="00745FBE" w:rsidRDefault="008A1474" w:rsidP="008A1474">
      <w:pPr>
        <w:jc w:val="right"/>
        <w:rPr>
          <w:lang w:val="fr-CH"/>
        </w:rPr>
      </w:pPr>
    </w:p>
    <w:p w:rsidR="00797CB8" w:rsidRPr="00745FBE" w:rsidRDefault="008A1474" w:rsidP="008A1474">
      <w:pPr>
        <w:jc w:val="right"/>
        <w:rPr>
          <w:lang w:val="fr-CH"/>
        </w:rPr>
      </w:pPr>
      <w:r w:rsidRPr="00745FBE">
        <w:rPr>
          <w:lang w:val="fr-CH" w:eastAsia="ja-JP"/>
        </w:rPr>
        <w:t>[Les notes de fin de document suivent]</w:t>
      </w:r>
    </w:p>
    <w:p w:rsidR="00797CB8" w:rsidRPr="00745FBE" w:rsidRDefault="00797CB8" w:rsidP="005B3CF6">
      <w:pPr>
        <w:rPr>
          <w:lang w:val="fr-CH" w:eastAsia="ja-JP"/>
        </w:rPr>
      </w:pPr>
    </w:p>
    <w:p w:rsidR="00893C7D" w:rsidRPr="00745FBE" w:rsidRDefault="00893C7D" w:rsidP="00893C7D">
      <w:pPr>
        <w:jc w:val="right"/>
        <w:rPr>
          <w:lang w:val="fr-CH" w:eastAsia="ja-JP"/>
        </w:rPr>
        <w:sectPr w:rsidR="00893C7D" w:rsidRPr="00745FBE" w:rsidSect="00893C7D">
          <w:headerReference w:type="even" r:id="rId21"/>
          <w:headerReference w:type="default" r:id="rId22"/>
          <w:footerReference w:type="even" r:id="rId23"/>
          <w:footerReference w:type="default" r:id="rId24"/>
          <w:headerReference w:type="first" r:id="rId25"/>
          <w:footerReference w:type="first" r:id="rId26"/>
          <w:pgSz w:w="11907" w:h="16840" w:code="9"/>
          <w:pgMar w:top="510" w:right="1134" w:bottom="1134" w:left="1134" w:header="510" w:footer="624" w:gutter="0"/>
          <w:cols w:space="720"/>
          <w:titlePg/>
        </w:sectPr>
      </w:pPr>
    </w:p>
    <w:p w:rsidR="00797CB8" w:rsidRPr="00745FBE" w:rsidRDefault="00797CB8" w:rsidP="00CA143F">
      <w:pPr>
        <w:rPr>
          <w:lang w:val="fr-CH"/>
        </w:rPr>
      </w:pPr>
    </w:p>
    <w:p w:rsidR="00797CB8" w:rsidRPr="00745FBE" w:rsidRDefault="00797CB8" w:rsidP="00CA143F">
      <w:pPr>
        <w:rPr>
          <w:lang w:val="fr-CH"/>
        </w:rPr>
      </w:pPr>
    </w:p>
    <w:p w:rsidR="00797CB8" w:rsidRPr="00745FBE" w:rsidRDefault="00797CB8" w:rsidP="00CA143F">
      <w:pPr>
        <w:rPr>
          <w:lang w:val="fr-CH"/>
        </w:rPr>
      </w:pPr>
    </w:p>
    <w:p w:rsidR="00797CB8" w:rsidRPr="00745FBE" w:rsidRDefault="00797CB8" w:rsidP="00CA143F">
      <w:pPr>
        <w:rPr>
          <w:lang w:val="fr-CH"/>
        </w:rPr>
      </w:pPr>
    </w:p>
    <w:p w:rsidR="00797CB8" w:rsidRPr="00745FBE" w:rsidRDefault="00797CB8" w:rsidP="00CA143F">
      <w:pPr>
        <w:rPr>
          <w:lang w:val="fr-CH"/>
        </w:rPr>
      </w:pPr>
    </w:p>
    <w:p w:rsidR="00E3281E" w:rsidRPr="00745FBE" w:rsidRDefault="00E3281E" w:rsidP="00CA143F">
      <w:pPr>
        <w:rPr>
          <w:lang w:val="fr-CH"/>
        </w:rPr>
      </w:pPr>
    </w:p>
    <w:sectPr w:rsidR="00E3281E" w:rsidRPr="00745FBE" w:rsidSect="005B3CF6">
      <w:headerReference w:type="even" r:id="rId27"/>
      <w:headerReference w:type="default" r:id="rId28"/>
      <w:footerReference w:type="even" r:id="rId29"/>
      <w:footerReference w:type="default" r:id="rId30"/>
      <w:headerReference w:type="first" r:id="rId31"/>
      <w:foot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C3" w:rsidRDefault="00261BC3" w:rsidP="00893C7D">
      <w:r>
        <w:separator/>
      </w:r>
    </w:p>
  </w:endnote>
  <w:endnote w:type="continuationSeparator" w:id="0">
    <w:p w:rsidR="00261BC3" w:rsidRDefault="00261BC3" w:rsidP="00893C7D">
      <w:r>
        <w:continuationSeparator/>
      </w:r>
    </w:p>
  </w:endnote>
  <w:endnote w:type="continuationNotice" w:id="1">
    <w:p w:rsidR="00261BC3" w:rsidRDefault="00261BC3"/>
  </w:endnote>
  <w:endnote w:id="2">
    <w:p w:rsidR="00261BC3" w:rsidRPr="003F7B25" w:rsidRDefault="00261BC3" w:rsidP="003F7B25">
      <w:pPr>
        <w:tabs>
          <w:tab w:val="left" w:pos="284"/>
        </w:tabs>
        <w:spacing w:before="60"/>
        <w:rPr>
          <w:sz w:val="16"/>
          <w:lang w:val="fr-CH"/>
        </w:rPr>
      </w:pPr>
      <w:r w:rsidRPr="004A2389">
        <w:rPr>
          <w:rStyle w:val="EndnoteReference"/>
          <w:sz w:val="16"/>
        </w:rPr>
        <w:endnoteRef/>
      </w:r>
      <w:r w:rsidRPr="003F7B25">
        <w:rPr>
          <w:sz w:val="16"/>
          <w:lang w:val="fr-CH"/>
        </w:rPr>
        <w:t xml:space="preserve"> </w:t>
      </w:r>
      <w:r w:rsidRPr="003F7B25">
        <w:rPr>
          <w:sz w:val="16"/>
          <w:lang w:val="fr-CH"/>
        </w:rPr>
        <w:tab/>
      </w:r>
      <w:r w:rsidRPr="003F7B25">
        <w:rPr>
          <w:color w:val="000000"/>
          <w:sz w:val="16"/>
          <w:lang w:val="fr-CH"/>
        </w:rPr>
        <w:t>Le paragraphe</w:t>
      </w:r>
      <w:r>
        <w:rPr>
          <w:color w:val="000000"/>
          <w:sz w:val="16"/>
          <w:lang w:val="fr-CH"/>
        </w:rPr>
        <w:t> </w:t>
      </w:r>
      <w:r w:rsidRPr="003F7B25">
        <w:rPr>
          <w:color w:val="000000"/>
          <w:sz w:val="16"/>
          <w:lang w:val="fr-CH"/>
        </w:rPr>
        <w:t>36 du document CAJ/76/9 “Compte rendu” est libellé comme suit</w:t>
      </w:r>
      <w:r>
        <w:rPr>
          <w:color w:val="000000"/>
          <w:sz w:val="16"/>
          <w:lang w:val="fr-CH"/>
        </w:rPr>
        <w:t> :</w:t>
      </w:r>
    </w:p>
    <w:p w:rsidR="00261BC3" w:rsidRPr="003F7B25" w:rsidRDefault="00261BC3" w:rsidP="003F7B25">
      <w:pPr>
        <w:ind w:left="426"/>
        <w:rPr>
          <w:sz w:val="14"/>
          <w:lang w:val="fr-CH"/>
        </w:rPr>
      </w:pPr>
      <w:r w:rsidRPr="003F7B25">
        <w:rPr>
          <w:sz w:val="14"/>
          <w:lang w:val="fr-CH"/>
        </w:rPr>
        <w:t>Le CAJ note que le WG</w:t>
      </w:r>
      <w:r>
        <w:rPr>
          <w:sz w:val="14"/>
          <w:lang w:val="fr-CH"/>
        </w:rPr>
        <w:t>-</w:t>
      </w:r>
      <w:r w:rsidRPr="003F7B25">
        <w:rPr>
          <w:sz w:val="14"/>
          <w:lang w:val="fr-CH"/>
        </w:rPr>
        <w:t>DEN a demandé au Bureau de l</w:t>
      </w:r>
      <w:r>
        <w:rPr>
          <w:sz w:val="14"/>
          <w:lang w:val="fr-CH"/>
        </w:rPr>
        <w:t>’</w:t>
      </w:r>
      <w:r w:rsidRPr="003F7B25">
        <w:rPr>
          <w:sz w:val="14"/>
          <w:lang w:val="fr-CH"/>
        </w:rPr>
        <w:t>Union de clarifier le libellé ci</w:t>
      </w:r>
      <w:r>
        <w:rPr>
          <w:sz w:val="14"/>
          <w:lang w:val="fr-CH"/>
        </w:rPr>
        <w:t>-</w:t>
      </w:r>
      <w:r w:rsidRPr="003F7B25">
        <w:rPr>
          <w:sz w:val="14"/>
          <w:lang w:val="fr-CH"/>
        </w:rPr>
        <w:t>après</w:t>
      </w:r>
      <w:r>
        <w:rPr>
          <w:sz w:val="14"/>
          <w:lang w:val="fr-CH"/>
        </w:rPr>
        <w:t> :</w:t>
      </w:r>
    </w:p>
    <w:p w:rsidR="00261BC3" w:rsidRPr="003F7B25" w:rsidRDefault="00261BC3" w:rsidP="003F7B25">
      <w:pPr>
        <w:ind w:left="426"/>
        <w:rPr>
          <w:sz w:val="14"/>
          <w:lang w:val="fr-CH"/>
        </w:rPr>
      </w:pPr>
      <w:r w:rsidRPr="003F7B25">
        <w:rPr>
          <w:sz w:val="14"/>
          <w:lang w:val="fr-CH"/>
        </w:rPr>
        <w:t>“Section</w:t>
      </w:r>
      <w:r>
        <w:rPr>
          <w:sz w:val="14"/>
          <w:lang w:val="fr-CH"/>
        </w:rPr>
        <w:t> </w:t>
      </w:r>
      <w:r w:rsidRPr="003F7B25">
        <w:rPr>
          <w:sz w:val="14"/>
          <w:lang w:val="fr-CH"/>
        </w:rPr>
        <w:t>5.3 a)</w:t>
      </w:r>
      <w:r>
        <w:rPr>
          <w:sz w:val="14"/>
          <w:lang w:val="fr-CH"/>
        </w:rPr>
        <w:t> :</w:t>
      </w:r>
    </w:p>
    <w:p w:rsidR="00261BC3" w:rsidRPr="0067318F" w:rsidRDefault="00261BC3" w:rsidP="003F7B25">
      <w:pPr>
        <w:ind w:left="426"/>
        <w:rPr>
          <w:sz w:val="14"/>
          <w:lang w:val="fr-CH"/>
        </w:rPr>
      </w:pPr>
      <w:r>
        <w:rPr>
          <w:sz w:val="14"/>
          <w:lang w:val="fr-CH"/>
        </w:rPr>
        <w:t>‘</w:t>
      </w:r>
      <w:r w:rsidRPr="003F7B25">
        <w:rPr>
          <w:sz w:val="14"/>
          <w:lang w:val="fr-CH"/>
        </w:rPr>
        <w:t>elle n</w:t>
      </w:r>
      <w:r>
        <w:rPr>
          <w:sz w:val="14"/>
          <w:lang w:val="fr-CH"/>
        </w:rPr>
        <w:t>’</w:t>
      </w:r>
      <w:r w:rsidRPr="003F7B25">
        <w:rPr>
          <w:sz w:val="14"/>
          <w:lang w:val="fr-CH"/>
        </w:rPr>
        <w:t>est pas conforme aux dispositions des paragraphes</w:t>
      </w:r>
      <w:r>
        <w:rPr>
          <w:sz w:val="14"/>
          <w:lang w:val="fr-CH"/>
        </w:rPr>
        <w:t> </w:t>
      </w:r>
      <w:r w:rsidRPr="003F7B25">
        <w:rPr>
          <w:sz w:val="14"/>
          <w:lang w:val="fr-CH"/>
        </w:rPr>
        <w:t>2) (par exemple, la</w:t>
      </w:r>
      <w:r>
        <w:rPr>
          <w:sz w:val="14"/>
          <w:lang w:val="fr-CH"/>
        </w:rPr>
        <w:t xml:space="preserve"> </w:t>
      </w:r>
      <w:r w:rsidRPr="003F7B25">
        <w:rPr>
          <w:sz w:val="14"/>
          <w:lang w:val="fr-CH"/>
        </w:rPr>
        <w:t>dénomination proposée ne diffère pas de la dénomination d</w:t>
      </w:r>
      <w:r>
        <w:rPr>
          <w:sz w:val="14"/>
          <w:lang w:val="fr-CH"/>
        </w:rPr>
        <w:t>’</w:t>
      </w:r>
      <w:r w:rsidRPr="003F7B25">
        <w:rPr>
          <w:sz w:val="14"/>
          <w:lang w:val="fr-CH"/>
        </w:rPr>
        <w:t>une variété préexistante de la</w:t>
      </w:r>
      <w:r>
        <w:rPr>
          <w:sz w:val="14"/>
          <w:lang w:val="fr-CH"/>
        </w:rPr>
        <w:t xml:space="preserve"> </w:t>
      </w:r>
      <w:r w:rsidRPr="003F7B25">
        <w:rPr>
          <w:sz w:val="14"/>
          <w:lang w:val="fr-CH"/>
        </w:rPr>
        <w:t>même espèce végétale ou d</w:t>
      </w:r>
      <w:r>
        <w:rPr>
          <w:sz w:val="14"/>
          <w:lang w:val="fr-CH"/>
        </w:rPr>
        <w:t>’</w:t>
      </w:r>
      <w:r w:rsidRPr="003F7B25">
        <w:rPr>
          <w:sz w:val="14"/>
          <w:lang w:val="fr-CH"/>
        </w:rPr>
        <w:t>une espèce voisine sur son territoire) et 4) (par exemple, la</w:t>
      </w:r>
      <w:r>
        <w:rPr>
          <w:sz w:val="14"/>
          <w:lang w:val="fr-CH"/>
        </w:rPr>
        <w:t xml:space="preserve"> </w:t>
      </w:r>
      <w:r w:rsidRPr="003F7B25">
        <w:rPr>
          <w:sz w:val="14"/>
          <w:lang w:val="fr-CH"/>
        </w:rPr>
        <w:t>dénomination proposée est identique à une marque enregistrée pour un produit</w:t>
      </w:r>
      <w:r>
        <w:rPr>
          <w:sz w:val="14"/>
          <w:lang w:val="fr-CH"/>
        </w:rPr>
        <w:t xml:space="preserve"> </w:t>
      </w:r>
      <w:r w:rsidRPr="0067318F">
        <w:rPr>
          <w:sz w:val="14"/>
          <w:lang w:val="fr-CH"/>
        </w:rPr>
        <w:t>identique);</w:t>
      </w:r>
      <w:r>
        <w:rPr>
          <w:rFonts w:cs="Arial"/>
          <w:sz w:val="14"/>
          <w:lang w:val="fr-CH"/>
        </w:rPr>
        <w:t>’</w:t>
      </w:r>
      <w:r w:rsidRPr="0067318F">
        <w:rPr>
          <w:sz w:val="14"/>
          <w:lang w:val="fr-CH"/>
        </w:rPr>
        <w:t>”</w:t>
      </w:r>
    </w:p>
    <w:p w:rsidR="00261BC3" w:rsidRPr="0067318F" w:rsidRDefault="00261BC3" w:rsidP="00E10E1C">
      <w:pPr>
        <w:spacing w:before="60"/>
        <w:ind w:left="284" w:hanging="284"/>
        <w:rPr>
          <w:sz w:val="16"/>
          <w:szCs w:val="16"/>
          <w:lang w:val="fr-CH"/>
        </w:rPr>
      </w:pPr>
    </w:p>
    <w:p w:rsidR="00261BC3" w:rsidRPr="0067318F" w:rsidRDefault="00261BC3" w:rsidP="00B508C3">
      <w:pPr>
        <w:pStyle w:val="CommentText"/>
        <w:ind w:left="1843" w:hanging="1559"/>
        <w:rPr>
          <w:sz w:val="16"/>
          <w:szCs w:val="16"/>
          <w:lang w:val="fr-CH"/>
        </w:rPr>
      </w:pPr>
    </w:p>
    <w:p w:rsidR="00261BC3" w:rsidRPr="0067318F" w:rsidRDefault="00261BC3" w:rsidP="00B508C3">
      <w:pPr>
        <w:jc w:val="right"/>
        <w:rPr>
          <w:lang w:val="fr-CH"/>
        </w:rPr>
      </w:pPr>
      <w:r w:rsidRPr="0067318F">
        <w:rPr>
          <w:lang w:val="fr-CH"/>
        </w:rPr>
        <w:t>[Fin du document]</w:t>
      </w:r>
    </w:p>
    <w:p w:rsidR="00261BC3" w:rsidRPr="0067318F" w:rsidRDefault="00261BC3" w:rsidP="00B508C3">
      <w:pPr>
        <w:jc w:val="right"/>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Default="00261BC3" w:rsidP="00B713C8">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1BC3" w:rsidRDefault="00261BC3"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A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k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1mAJqgIAAGQFAAAOAAAAAAAAAAAAAAAA&#10;AC4CAABkcnMvZTJvRG9jLnhtbFBLAQItABQABgAIAAAAIQDN8vMo2gAAAAgBAAAPAAAAAAAAAAAA&#10;AAAAAAQFAABkcnMvZG93bnJldi54bWxQSwUGAAAAAAQABADzAAAACwYAAAAA&#10;" o:allowincell="f" filled="f" stroked="f" strokeweight=".5pt">
              <v:path arrowok="t"/>
              <v:textbox>
                <w:txbxContent>
                  <w:p w:rsidR="00261BC3" w:rsidRDefault="00261BC3" w:rsidP="00A34D12">
                    <w:pPr>
                      <w:jc w:val="center"/>
                    </w:pPr>
                    <w:r w:rsidRPr="00A34D1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2466B" w:rsidRDefault="00261BC3" w:rsidP="00893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Default="00261BC3" w:rsidP="00B713C8">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1BC3" w:rsidRDefault="00261BC3"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DY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Y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2tkDYqgIAAGQFAAAOAAAAAAAAAAAAAAAA&#10;AC4CAABkcnMvZTJvRG9jLnhtbFBLAQItABQABgAIAAAAIQDN8vMo2gAAAAgBAAAPAAAAAAAAAAAA&#10;AAAAAAQFAABkcnMvZG93bnJldi54bWxQSwUGAAAAAAQABADzAAAACwYAAAAA&#10;" o:allowincell="f" filled="f" stroked="f" strokeweight=".5pt">
              <v:path arrowok="t"/>
              <v:textbox>
                <w:txbxContent>
                  <w:p w:rsidR="00261BC3" w:rsidRDefault="00261BC3"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Default="00261BC3">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1BC3" w:rsidRDefault="00261BC3"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Rq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573QGyheUWcDSDMqYjVfVHj3kln3wAzOBm7ivLt7/JQSkFvoLEq2YL7/ad/jkRL0&#10;UnLAWcup/bZjRlAi7xQ28zRJUwzrwiIdTYa4MKeezalH7eobQBaSkF0wPd7J3iwN1E/4LMz9rehi&#10;iuPdOXW9eePaFwCfFS7m8wDCcdTMLdVK8769Pefr5okZ3bWdQza/Qj+VLPvQfS3Wq6VgvnNQVqE1&#10;Pc8tq92c4CgHTbpnx78Vp+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xJRqqgIAAGQFAAAOAAAAAAAAAAAAAAAA&#10;AC4CAABkcnMvZTJvRG9jLnhtbFBLAQItABQABgAIAAAAIQDN8vMo2gAAAAgBAAAPAAAAAAAAAAAA&#10;AAAAAAQFAABkcnMvZG93bnJldi54bWxQSwUGAAAAAAQABADzAAAACwYAAAAA&#10;" o:allowincell="f" filled="f" stroked="f" strokeweight=".5pt">
              <v:path arrowok="t"/>
              <v:textbox>
                <w:txbxContent>
                  <w:p w:rsidR="00261BC3" w:rsidRDefault="00261BC3"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2466B" w:rsidRDefault="00261BC3" w:rsidP="00893C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Default="00261BC3" w:rsidP="00B713C8">
    <w:pPr>
      <w:pStyle w:val="Footer"/>
    </w:pPr>
    <w:r>
      <w:rPr>
        <w:noProof/>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1BC3" w:rsidRDefault="00261BC3"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1"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q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YL8aS/0BopX1NkA0oyKWM0XFd69ZNbdM4PDgZs48O4OP6UE5BY6i5ItmO9/2vd4pAS9&#10;lOxx2HJqv+2YEZTIG4XdPE3SFMO6sEhHkyEuzLFnc+xRu/oKkIUkZBdMj3eyN0sD9SO+C3N/K7qY&#10;4nh3Tl1vXrn2CcB3hYv5PIBwHjVzS7XSvG9vz/m6eWRGd23nkM1b6MeSZR+6r8V6tRTMdw7KKrSm&#10;57lltZsTnOWgSffu+Mfie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7N3FqgIAAGUFAAAOAAAAAAAAAAAAAAAA&#10;AC4CAABkcnMvZTJvRG9jLnhtbFBLAQItABQABgAIAAAAIQDN8vMo2gAAAAgBAAAPAAAAAAAAAAAA&#10;AAAAAAQFAABkcnMvZG93bnJldi54bWxQSwUGAAAAAAQABADzAAAACwYAAAAA&#10;" o:allowincell="f" filled="f" stroked="f" strokeweight=".5pt">
              <v:path arrowok="t"/>
              <v:textbox>
                <w:txbxContent>
                  <w:p w:rsidR="00261BC3" w:rsidRDefault="00261BC3"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Default="00261BC3">
    <w:pPr>
      <w:pStyle w:val="Footer"/>
    </w:pPr>
    <w:r>
      <w:rPr>
        <w:noProof/>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1BC3" w:rsidRDefault="00261BC3"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2"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hg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dZ+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o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msWhgqgIAAGUFAAAOAAAAAAAAAAAAAAAA&#10;AC4CAABkcnMvZTJvRG9jLnhtbFBLAQItABQABgAIAAAAIQDN8vMo2gAAAAgBAAAPAAAAAAAAAAAA&#10;AAAAAAQFAABkcnMvZG93bnJldi54bWxQSwUGAAAAAAQABADzAAAACwYAAAAA&#10;" o:allowincell="f" filled="f" stroked="f" strokeweight=".5pt">
              <v:path arrowok="t"/>
              <v:textbox>
                <w:txbxContent>
                  <w:p w:rsidR="00261BC3" w:rsidRDefault="00261BC3"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2466B" w:rsidRDefault="00261BC3" w:rsidP="00893C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Default="00261BC3" w:rsidP="00B713C8">
    <w:pPr>
      <w:pStyle w:val="Foote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1BC3" w:rsidRDefault="00261BC3"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6"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bO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YibOqgIAAGUFAAAOAAAAAAAAAAAAAAAA&#10;AC4CAABkcnMvZTJvRG9jLnhtbFBLAQItABQABgAIAAAAIQDN8vMo2gAAAAgBAAAPAAAAAAAAAAAA&#10;AAAAAAQFAABkcnMvZG93bnJldi54bWxQSwUGAAAAAAQABADzAAAACwYAAAAA&#10;" o:allowincell="f" filled="f" stroked="f" strokeweight=".5pt">
              <v:path arrowok="t"/>
              <v:textbox>
                <w:txbxContent>
                  <w:p w:rsidR="00606097" w:rsidRDefault="00606097"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Default="00261BC3">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1BC3" w:rsidRDefault="00261BC3"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7"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lyqQ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CGySXKpAgAAZgUAAA4AAAAAAAAAAAAAAAAA&#10;LgIAAGRycy9lMm9Eb2MueG1sUEsBAi0AFAAGAAgAAAAhAM3y8yjaAAAACAEAAA8AAAAAAAAAAAAA&#10;AAAAAwUAAGRycy9kb3ducmV2LnhtbFBLBQYAAAAABAAEAPMAAAAKBgAAAAA=&#10;" o:allowincell="f" filled="f" stroked="f" strokeweight=".5pt">
              <v:path arrowok="t"/>
              <v:textbox>
                <w:txbxContent>
                  <w:p w:rsidR="00606097" w:rsidRDefault="00606097" w:rsidP="00A34D12">
                    <w:pPr>
                      <w:jc w:val="center"/>
                    </w:pPr>
                    <w:r w:rsidRPr="00A34D1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C3" w:rsidRDefault="00261BC3" w:rsidP="004E5448">
      <w:pPr>
        <w:spacing w:before="240"/>
      </w:pPr>
      <w:r>
        <w:separator/>
      </w:r>
    </w:p>
  </w:footnote>
  <w:footnote w:type="continuationSeparator" w:id="0">
    <w:p w:rsidR="00261BC3" w:rsidRDefault="00261BC3" w:rsidP="00893C7D">
      <w:r>
        <w:continuationSeparator/>
      </w:r>
    </w:p>
  </w:footnote>
  <w:footnote w:type="continuationNotice" w:id="1">
    <w:p w:rsidR="00261BC3" w:rsidRDefault="00261BC3"/>
  </w:footnote>
  <w:footnote w:id="2">
    <w:p w:rsidR="00261BC3" w:rsidRPr="00CD0396" w:rsidRDefault="00261BC3" w:rsidP="00C922E6">
      <w:pPr>
        <w:pStyle w:val="FootnoteText"/>
        <w:rPr>
          <w:lang w:val="fr-CH"/>
        </w:rPr>
      </w:pPr>
      <w:r w:rsidRPr="00D46CEF">
        <w:rPr>
          <w:rStyle w:val="FootnoteReference"/>
        </w:rPr>
        <w:footnoteRef/>
      </w:r>
      <w:r w:rsidRPr="00D46CEF">
        <w:rPr>
          <w:lang w:val="fr-CH"/>
        </w:rPr>
        <w:t xml:space="preserve"> </w:t>
      </w:r>
      <w:r w:rsidRPr="00D46CEF">
        <w:rPr>
          <w:lang w:val="fr-CH"/>
        </w:rPr>
        <w:tab/>
        <w:t>On entend par “service” le service chargé d</w:t>
      </w:r>
      <w:r>
        <w:rPr>
          <w:lang w:val="fr-CH"/>
        </w:rPr>
        <w:t>’</w:t>
      </w:r>
      <w:r w:rsidRPr="00D46CEF">
        <w:rPr>
          <w:lang w:val="fr-CH"/>
        </w:rPr>
        <w:t>octroyer des droits d</w:t>
      </w:r>
      <w:r>
        <w:rPr>
          <w:lang w:val="fr-CH"/>
        </w:rPr>
        <w:t>’</w:t>
      </w:r>
      <w:r w:rsidRPr="00D46CEF">
        <w:rPr>
          <w:lang w:val="fr-CH"/>
        </w:rPr>
        <w:t>obtenteur (article</w:t>
      </w:r>
      <w:r>
        <w:rPr>
          <w:lang w:val="fr-CH"/>
        </w:rPr>
        <w:t> </w:t>
      </w:r>
      <w:r w:rsidRPr="00D46CEF">
        <w:rPr>
          <w:lang w:val="fr-CH"/>
        </w:rPr>
        <w:t>30.1)ii) de l</w:t>
      </w:r>
      <w:r>
        <w:rPr>
          <w:lang w:val="fr-CH"/>
        </w:rPr>
        <w:t>’</w:t>
      </w:r>
      <w:r w:rsidRPr="00D46CEF">
        <w:rPr>
          <w:lang w:val="fr-CH"/>
        </w:rPr>
        <w:t>Acte de</w:t>
      </w:r>
      <w:r>
        <w:rPr>
          <w:lang w:val="fr-CH"/>
        </w:rPr>
        <w:t> </w:t>
      </w:r>
      <w:r w:rsidRPr="00D46CEF">
        <w:rPr>
          <w:lang w:val="fr-CH"/>
        </w:rPr>
        <w:t>1991 et article</w:t>
      </w:r>
      <w:r>
        <w:rPr>
          <w:lang w:val="fr-CH"/>
        </w:rPr>
        <w:t> </w:t>
      </w:r>
      <w:r w:rsidRPr="00D46CEF">
        <w:rPr>
          <w:lang w:val="fr-CH"/>
        </w:rPr>
        <w:t>30.1)b) de l</w:t>
      </w:r>
      <w:r>
        <w:rPr>
          <w:lang w:val="fr-CH"/>
        </w:rPr>
        <w:t>’</w:t>
      </w:r>
      <w:r w:rsidRPr="00D46CEF">
        <w:rPr>
          <w:lang w:val="fr-CH"/>
        </w:rPr>
        <w:t>Acte de</w:t>
      </w:r>
      <w:r>
        <w:rPr>
          <w:lang w:val="fr-CH"/>
        </w:rPr>
        <w:t> </w:t>
      </w:r>
      <w:r w:rsidRPr="00D46CEF">
        <w:rPr>
          <w:lang w:val="fr-CH"/>
        </w:rPr>
        <w:t>1978 et de la Convention de</w:t>
      </w:r>
      <w:r>
        <w:rPr>
          <w:lang w:val="fr-CH"/>
        </w:rPr>
        <w:t> </w:t>
      </w:r>
      <w:r w:rsidRPr="00D46CEF">
        <w:rPr>
          <w:lang w:val="fr-CH"/>
        </w:rPr>
        <w:t>1961).</w:t>
      </w:r>
    </w:p>
  </w:footnote>
  <w:footnote w:id="3">
    <w:p w:rsidR="00261BC3" w:rsidRPr="00846516" w:rsidRDefault="00261BC3" w:rsidP="00536372">
      <w:pPr>
        <w:pStyle w:val="FootnoteText"/>
        <w:rPr>
          <w:lang w:val="fr-CH"/>
        </w:rPr>
      </w:pPr>
      <w:r>
        <w:rPr>
          <w:rStyle w:val="FootnoteReference"/>
        </w:rPr>
        <w:footnoteRef/>
      </w:r>
      <w:r w:rsidRPr="002B2F7B">
        <w:rPr>
          <w:lang w:val="fr-CH"/>
        </w:rPr>
        <w:t xml:space="preserve"> </w:t>
      </w:r>
      <w:r w:rsidRPr="002B2F7B">
        <w:rPr>
          <w:lang w:val="fr-CH"/>
        </w:rPr>
        <w:tab/>
      </w:r>
      <w:r w:rsidRPr="00846516">
        <w:rPr>
          <w:lang w:val="fr-CH"/>
        </w:rPr>
        <w:t xml:space="preserve">Publication </w:t>
      </w:r>
      <w:r>
        <w:rPr>
          <w:lang w:val="fr-CH"/>
        </w:rPr>
        <w:t>n° </w:t>
      </w:r>
      <w:r w:rsidRPr="00846516">
        <w:rPr>
          <w:lang w:val="fr-CH"/>
        </w:rPr>
        <w:t>489 de l</w:t>
      </w:r>
      <w:r>
        <w:rPr>
          <w:lang w:val="fr-CH"/>
        </w:rPr>
        <w:t>’</w:t>
      </w:r>
      <w:r w:rsidRPr="00846516">
        <w:rPr>
          <w:lang w:val="fr-CH"/>
        </w:rPr>
        <w:t>OMPI, intitulée WIPO Intellectual Property Handbook.</w:t>
      </w:r>
    </w:p>
    <w:p w:rsidR="00261BC3" w:rsidRPr="00846516" w:rsidRDefault="00261BC3" w:rsidP="00536372">
      <w:pPr>
        <w:pStyle w:val="FootnoteText"/>
        <w:ind w:left="568"/>
        <w:rPr>
          <w:u w:val="single"/>
          <w:lang w:val="fr-CH"/>
        </w:rPr>
      </w:pPr>
      <w:r w:rsidRPr="00846516">
        <w:rPr>
          <w:u w:val="single"/>
          <w:lang w:val="fr-CH"/>
        </w:rPr>
        <w:t>Utilisation judicieuse des marques</w:t>
      </w:r>
    </w:p>
    <w:p w:rsidR="00261BC3" w:rsidRPr="00846516" w:rsidRDefault="00261BC3" w:rsidP="00536372">
      <w:pPr>
        <w:pStyle w:val="FootnoteText"/>
        <w:tabs>
          <w:tab w:val="left" w:pos="851"/>
        </w:tabs>
        <w:ind w:left="568"/>
        <w:rPr>
          <w:lang w:val="fr-CH"/>
        </w:rPr>
      </w:pPr>
      <w:r w:rsidRPr="00846516">
        <w:rPr>
          <w:lang w:val="fr-CH"/>
        </w:rPr>
        <w:t>“2.397</w:t>
      </w:r>
      <w:r w:rsidRPr="00846516">
        <w:rPr>
          <w:lang w:val="fr-CH"/>
        </w:rPr>
        <w:tab/>
        <w:t>L</w:t>
      </w:r>
      <w:r>
        <w:rPr>
          <w:lang w:val="fr-CH"/>
        </w:rPr>
        <w:t>’</w:t>
      </w:r>
      <w:r w:rsidRPr="00846516">
        <w:rPr>
          <w:lang w:val="fr-CH"/>
        </w:rPr>
        <w:t>absence d</w:t>
      </w:r>
      <w:r>
        <w:rPr>
          <w:lang w:val="fr-CH"/>
        </w:rPr>
        <w:t>’</w:t>
      </w:r>
      <w:r w:rsidRPr="00846516">
        <w:rPr>
          <w:lang w:val="fr-CH"/>
        </w:rPr>
        <w:t>utilisation peut entraîner la perte des droits attachés à la marque</w:t>
      </w:r>
      <w:r>
        <w:rPr>
          <w:lang w:val="fr-CH"/>
        </w:rPr>
        <w:t>.  M</w:t>
      </w:r>
      <w:r w:rsidRPr="00846516">
        <w:rPr>
          <w:lang w:val="fr-CH"/>
        </w:rPr>
        <w:t>ais une utilisation inappropriée peut avoir le même résultat</w:t>
      </w:r>
      <w:r>
        <w:rPr>
          <w:lang w:val="fr-CH"/>
        </w:rPr>
        <w:t xml:space="preserve">.  </w:t>
      </w:r>
      <w:r w:rsidRPr="00846516">
        <w:rPr>
          <w:lang w:val="fr-CH"/>
        </w:rPr>
        <w:t>Une marque peut être radiée du registre lorsque son propriétaire a provoqué ou toléré sa transformation en nom générique pour un ou plusieurs produits ou services pour lesquels la marque est enregistrée, ce qui signifie que, dans les milieux commerciaux et aux yeux des consommateurs intéressés et du grand public, son importance en tant que marque est perdue.</w:t>
      </w:r>
    </w:p>
    <w:p w:rsidR="00261BC3" w:rsidRPr="00846516" w:rsidRDefault="00261BC3" w:rsidP="00536372">
      <w:pPr>
        <w:pStyle w:val="FootnoteText"/>
        <w:tabs>
          <w:tab w:val="left" w:pos="851"/>
        </w:tabs>
        <w:ind w:left="568"/>
        <w:rPr>
          <w:lang w:val="fr-CH"/>
        </w:rPr>
      </w:pPr>
      <w:r w:rsidRPr="00846516">
        <w:rPr>
          <w:lang w:val="fr-CH"/>
        </w:rPr>
        <w:t>2.398</w:t>
      </w:r>
      <w:r w:rsidRPr="00846516">
        <w:rPr>
          <w:lang w:val="fr-CH"/>
        </w:rPr>
        <w:tab/>
        <w:t>En substance,</w:t>
      </w:r>
      <w:r>
        <w:rPr>
          <w:lang w:val="fr-CH"/>
        </w:rPr>
        <w:t xml:space="preserve"> deux </w:t>
      </w:r>
      <w:r w:rsidRPr="00846516">
        <w:rPr>
          <w:lang w:val="fr-CH"/>
        </w:rPr>
        <w:t>choses peuvent entraîner l</w:t>
      </w:r>
      <w:r>
        <w:rPr>
          <w:lang w:val="fr-CH"/>
        </w:rPr>
        <w:t>’</w:t>
      </w:r>
      <w:r w:rsidRPr="00846516">
        <w:rPr>
          <w:lang w:val="fr-CH"/>
        </w:rPr>
        <w:t>apparition d</w:t>
      </w:r>
      <w:r>
        <w:rPr>
          <w:lang w:val="fr-CH"/>
        </w:rPr>
        <w:t>’</w:t>
      </w:r>
      <w:r w:rsidRPr="00846516">
        <w:rPr>
          <w:lang w:val="fr-CH"/>
        </w:rPr>
        <w:t>un caractère générique</w:t>
      </w:r>
      <w:r>
        <w:rPr>
          <w:lang w:val="fr-CH"/>
        </w:rPr>
        <w:t> :</w:t>
      </w:r>
      <w:r w:rsidRPr="00846516">
        <w:rPr>
          <w:lang w:val="fr-CH"/>
        </w:rPr>
        <w:t xml:space="preserve"> une utilisation inappropriée par son propriétaire, laquelle provoque la transformation de la marque en terme générique, et une utilisation inappropriée par des tiers, lorsque celle</w:t>
      </w:r>
      <w:r>
        <w:rPr>
          <w:lang w:val="fr-CH"/>
        </w:rPr>
        <w:t>-</w:t>
      </w:r>
      <w:r w:rsidRPr="00846516">
        <w:rPr>
          <w:lang w:val="fr-CH"/>
        </w:rPr>
        <w:t>ci est tolérée par le propriétaire</w:t>
      </w:r>
      <w:r>
        <w:rPr>
          <w:lang w:val="fr-CH"/>
        </w:rPr>
        <w:t xml:space="preserve">.  </w:t>
      </w:r>
      <w:r w:rsidRPr="00846516">
        <w:rPr>
          <w:lang w:val="fr-CH"/>
        </w:rPr>
        <w:t>[…]</w:t>
      </w:r>
    </w:p>
    <w:p w:rsidR="00261BC3" w:rsidRPr="00846516" w:rsidRDefault="00261BC3" w:rsidP="00536372">
      <w:pPr>
        <w:pStyle w:val="FootnoteText"/>
        <w:tabs>
          <w:tab w:val="left" w:pos="851"/>
        </w:tabs>
        <w:ind w:left="568"/>
        <w:rPr>
          <w:lang w:val="fr-CH"/>
        </w:rPr>
      </w:pPr>
      <w:r w:rsidRPr="00846516">
        <w:rPr>
          <w:lang w:val="fr-CH"/>
        </w:rPr>
        <w:t>2.400</w:t>
      </w:r>
      <w:r w:rsidRPr="00846516">
        <w:rPr>
          <w:lang w:val="fr-CH"/>
        </w:rPr>
        <w:tab/>
        <w:t>La règle fondamentale est que la marque ne doit pas servir à désigner un produit, ni à remplacer cette désignation du produit</w:t>
      </w:r>
      <w:r>
        <w:rPr>
          <w:lang w:val="fr-CH"/>
        </w:rPr>
        <w:t xml:space="preserve">.  </w:t>
      </w:r>
      <w:r w:rsidRPr="00846516">
        <w:rPr>
          <w:lang w:val="fr-CH"/>
        </w:rPr>
        <w:t>[</w:t>
      </w:r>
      <w:r>
        <w:rPr>
          <w:lang w:val="fr-CH"/>
        </w:rPr>
        <w:t>…</w:t>
      </w:r>
      <w:r w:rsidRPr="00846516">
        <w:rPr>
          <w:lang w:val="fr-CH"/>
        </w:rPr>
        <w:t>]</w:t>
      </w:r>
    </w:p>
    <w:p w:rsidR="00261BC3" w:rsidRPr="002B2F7B" w:rsidRDefault="00261BC3" w:rsidP="00536372">
      <w:pPr>
        <w:pStyle w:val="FootnoteText"/>
        <w:tabs>
          <w:tab w:val="left" w:pos="851"/>
        </w:tabs>
        <w:ind w:left="568"/>
        <w:rPr>
          <w:lang w:val="fr-CH"/>
        </w:rPr>
      </w:pPr>
      <w:r w:rsidRPr="00846516">
        <w:rPr>
          <w:lang w:val="fr-CH"/>
        </w:rPr>
        <w:t>2.404</w:t>
      </w:r>
      <w:r w:rsidRPr="00846516">
        <w:rPr>
          <w:lang w:val="fr-CH"/>
        </w:rPr>
        <w:tab/>
        <w:t>Toutefois, il ne suffit pas de respecter ces règles</w:t>
      </w:r>
      <w:r>
        <w:rPr>
          <w:lang w:val="fr-CH"/>
        </w:rPr>
        <w:t> :</w:t>
      </w:r>
      <w:r w:rsidRPr="00846516">
        <w:rPr>
          <w:lang w:val="fr-CH"/>
        </w:rPr>
        <w:t xml:space="preserve"> le propriétaire de la marque doit aussi s</w:t>
      </w:r>
      <w:r>
        <w:rPr>
          <w:lang w:val="fr-CH"/>
        </w:rPr>
        <w:t>’</w:t>
      </w:r>
      <w:r w:rsidRPr="00846516">
        <w:rPr>
          <w:lang w:val="fr-CH"/>
        </w:rPr>
        <w:t>assurer que les tiers et le public ne font pas une utilisation illicite de sa marque</w:t>
      </w:r>
      <w:r>
        <w:rPr>
          <w:lang w:val="fr-CH"/>
        </w:rPr>
        <w:t xml:space="preserve">.  </w:t>
      </w:r>
      <w:r w:rsidRPr="00846516">
        <w:rPr>
          <w:lang w:val="fr-CH"/>
        </w:rPr>
        <w:t>Il est particulièrement important que la marque ne serve pas à décrire un produit, ni ne remplace la description d</w:t>
      </w:r>
      <w:r>
        <w:rPr>
          <w:lang w:val="fr-CH"/>
        </w:rPr>
        <w:t>’</w:t>
      </w:r>
      <w:r w:rsidRPr="00846516">
        <w:rPr>
          <w:lang w:val="fr-CH"/>
        </w:rPr>
        <w:t>un produit dans les dictionnaires, les publications officielles, les revues spécialisées, etc.”</w:t>
      </w:r>
    </w:p>
  </w:footnote>
  <w:footnote w:id="4">
    <w:p w:rsidR="00261BC3" w:rsidRPr="002165DD" w:rsidRDefault="00261BC3" w:rsidP="001E2C4C">
      <w:pPr>
        <w:pStyle w:val="FootnoteText"/>
        <w:rPr>
          <w:lang w:val="fr-CH"/>
        </w:rPr>
      </w:pPr>
      <w:r>
        <w:rPr>
          <w:rStyle w:val="FootnoteReference"/>
        </w:rPr>
        <w:footnoteRef/>
      </w:r>
      <w:r w:rsidRPr="002165DD">
        <w:rPr>
          <w:lang w:val="fr-CH"/>
        </w:rPr>
        <w:t xml:space="preserve"> </w:t>
      </w:r>
      <w:r w:rsidRPr="002165DD">
        <w:rPr>
          <w:lang w:val="fr-CH"/>
        </w:rPr>
        <w:tab/>
      </w:r>
      <w:r w:rsidRPr="0019303E">
        <w:rPr>
          <w:lang w:val="fr-CH"/>
        </w:rPr>
        <w:t>L</w:t>
      </w:r>
      <w:r>
        <w:rPr>
          <w:lang w:val="fr-CH"/>
        </w:rPr>
        <w:t>’</w:t>
      </w:r>
      <w:r w:rsidRPr="0019303E">
        <w:rPr>
          <w:lang w:val="fr-CH"/>
        </w:rPr>
        <w:t>article</w:t>
      </w:r>
      <w:r>
        <w:rPr>
          <w:lang w:val="fr-CH"/>
        </w:rPr>
        <w:t> </w:t>
      </w:r>
      <w:r w:rsidRPr="0019303E">
        <w:rPr>
          <w:lang w:val="fr-CH"/>
        </w:rPr>
        <w:t>13 de l</w:t>
      </w:r>
      <w:r>
        <w:rPr>
          <w:lang w:val="fr-CH"/>
        </w:rPr>
        <w:t>’</w:t>
      </w:r>
      <w:r w:rsidRPr="0019303E">
        <w:rPr>
          <w:lang w:val="fr-CH"/>
        </w:rPr>
        <w:t>Acte de</w:t>
      </w:r>
      <w:r>
        <w:rPr>
          <w:lang w:val="fr-CH"/>
        </w:rPr>
        <w:t> </w:t>
      </w:r>
      <w:r w:rsidRPr="0019303E">
        <w:rPr>
          <w:lang w:val="fr-CH"/>
        </w:rPr>
        <w:t>1978 mentionne des “variétés préexistantes de la même espèce botanique ou d</w:t>
      </w:r>
      <w:r>
        <w:rPr>
          <w:lang w:val="fr-CH"/>
        </w:rPr>
        <w:t>’</w:t>
      </w:r>
      <w:r w:rsidRPr="0019303E">
        <w:rPr>
          <w:lang w:val="fr-CH"/>
        </w:rPr>
        <w:t>une espèce voisine”</w:t>
      </w:r>
      <w:r>
        <w:rPr>
          <w:lang w:val="fr-CH"/>
        </w:rPr>
        <w:t xml:space="preserve"> ; </w:t>
      </w:r>
      <w:r w:rsidRPr="0019303E">
        <w:rPr>
          <w:lang w:val="fr-CH"/>
        </w:rPr>
        <w:t xml:space="preserve"> cette</w:t>
      </w:r>
      <w:r>
        <w:rPr>
          <w:lang w:val="fr-CH"/>
        </w:rPr>
        <w:t xml:space="preserve"> </w:t>
      </w:r>
      <w:r w:rsidRPr="0019303E">
        <w:rPr>
          <w:lang w:val="fr-CH"/>
        </w:rPr>
        <w:t>différence de terminologie n</w:t>
      </w:r>
      <w:r>
        <w:rPr>
          <w:lang w:val="fr-CH"/>
        </w:rPr>
        <w:t>’</w:t>
      </w:r>
      <w:r w:rsidRPr="0019303E">
        <w:rPr>
          <w:lang w:val="fr-CH"/>
        </w:rPr>
        <w:t>a aucune incidence quant au fond</w:t>
      </w:r>
      <w:r>
        <w:rPr>
          <w:lang w:val="fr-CH"/>
        </w:rPr>
        <w:t>.</w:t>
      </w:r>
    </w:p>
  </w:footnote>
  <w:footnote w:id="5">
    <w:p w:rsidR="00261BC3" w:rsidRPr="005F256F" w:rsidRDefault="00261BC3" w:rsidP="00F546A7">
      <w:pPr>
        <w:pStyle w:val="FootnoteText"/>
        <w:rPr>
          <w:lang w:val="fr-CH"/>
        </w:rPr>
      </w:pPr>
      <w:r w:rsidRPr="005F256F">
        <w:rPr>
          <w:rStyle w:val="FootnoteReference"/>
        </w:rPr>
        <w:footnoteRef/>
      </w:r>
      <w:r w:rsidRPr="005F256F">
        <w:rPr>
          <w:lang w:val="fr-CH"/>
        </w:rPr>
        <w:t xml:space="preserve"> </w:t>
      </w:r>
      <w:r w:rsidRPr="005F256F">
        <w:rPr>
          <w:lang w:val="fr-CH"/>
        </w:rPr>
        <w:tab/>
        <w:t>Arrangement de Nice concernant la classification internationale des produits et des services aux fins de l</w:t>
      </w:r>
      <w:r>
        <w:rPr>
          <w:lang w:val="fr-CH"/>
        </w:rPr>
        <w:t>’</w:t>
      </w:r>
      <w:r w:rsidRPr="005F256F">
        <w:rPr>
          <w:lang w:val="fr-CH"/>
        </w:rPr>
        <w:t>enregistrement des marques, du 15 juin 1957, révisé à Stockholm le 14 juillet 1967 et à Genève le 13 mai 1977, et modifié le 28 septembre 1979.</w:t>
      </w:r>
    </w:p>
  </w:footnote>
  <w:footnote w:id="6">
    <w:p w:rsidR="00261BC3" w:rsidRPr="00846516" w:rsidRDefault="00261BC3" w:rsidP="0090257E">
      <w:pPr>
        <w:pStyle w:val="FootnoteText"/>
        <w:rPr>
          <w:lang w:val="fr-CH"/>
        </w:rPr>
      </w:pPr>
      <w:r>
        <w:rPr>
          <w:rStyle w:val="FootnoteReference"/>
        </w:rPr>
        <w:footnoteRef/>
      </w:r>
      <w:r w:rsidRPr="009454F1">
        <w:rPr>
          <w:lang w:val="fr-CH"/>
        </w:rPr>
        <w:t xml:space="preserve"> </w:t>
      </w:r>
      <w:r w:rsidRPr="009454F1">
        <w:rPr>
          <w:lang w:val="fr-CH"/>
        </w:rPr>
        <w:tab/>
      </w:r>
      <w:r w:rsidRPr="00846516">
        <w:rPr>
          <w:lang w:val="fr-CH"/>
        </w:rPr>
        <w:t>Les marques notoirement connues sont protégées par la Convention de Paris pour la protection de la propriété industrielle (article</w:t>
      </w:r>
      <w:r>
        <w:rPr>
          <w:lang w:val="fr-CH"/>
        </w:rPr>
        <w:t> </w:t>
      </w:r>
      <w:r w:rsidRPr="00846516">
        <w:rPr>
          <w:lang w:val="fr-CH"/>
        </w:rPr>
        <w:t>6</w:t>
      </w:r>
      <w:r w:rsidRPr="00692FBC">
        <w:rPr>
          <w:i/>
          <w:lang w:val="fr-CH"/>
        </w:rPr>
        <w:t>bis</w:t>
      </w:r>
      <w:r w:rsidRPr="00846516">
        <w:rPr>
          <w:lang w:val="fr-CH"/>
        </w:rPr>
        <w:t>) et par l</w:t>
      </w:r>
      <w:r>
        <w:rPr>
          <w:lang w:val="fr-CH"/>
        </w:rPr>
        <w:t>’</w:t>
      </w:r>
      <w:r w:rsidRPr="00846516">
        <w:rPr>
          <w:lang w:val="fr-CH"/>
        </w:rPr>
        <w:t>Accord sur les aspects des droits de propriété intellectuelle qui touchent au commerce (article</w:t>
      </w:r>
      <w:r>
        <w:rPr>
          <w:lang w:val="fr-CH"/>
        </w:rPr>
        <w:t> </w:t>
      </w:r>
      <w:r w:rsidRPr="00846516">
        <w:rPr>
          <w:lang w:val="fr-CH"/>
        </w:rPr>
        <w:t>16.2 et 3 de l</w:t>
      </w:r>
      <w:r>
        <w:rPr>
          <w:lang w:val="fr-CH"/>
        </w:rPr>
        <w:t>’</w:t>
      </w:r>
      <w:r w:rsidRPr="00846516">
        <w:rPr>
          <w:lang w:val="fr-CH"/>
        </w:rPr>
        <w:t>Accord sur les</w:t>
      </w:r>
      <w:r>
        <w:rPr>
          <w:lang w:val="fr-CH"/>
        </w:rPr>
        <w:t> </w:t>
      </w:r>
      <w:r w:rsidRPr="00846516">
        <w:rPr>
          <w:lang w:val="fr-CH"/>
        </w:rPr>
        <w:t>ADPIC)</w:t>
      </w:r>
      <w:r>
        <w:rPr>
          <w:lang w:val="fr-CH"/>
        </w:rPr>
        <w:t xml:space="preserve">.  </w:t>
      </w:r>
      <w:r w:rsidRPr="00846516">
        <w:rPr>
          <w:lang w:val="fr-CH"/>
        </w:rPr>
        <w:t xml:space="preserve">Se reporter également à la Recommandation commune </w:t>
      </w:r>
      <w:r>
        <w:rPr>
          <w:lang w:val="fr-CH"/>
        </w:rPr>
        <w:t xml:space="preserve">de 1999 </w:t>
      </w:r>
      <w:r w:rsidRPr="00846516">
        <w:rPr>
          <w:lang w:val="fr-CH"/>
        </w:rPr>
        <w:t>concernant les dispositions relatives à la protection des marques notoirement connues de l</w:t>
      </w:r>
      <w:r>
        <w:rPr>
          <w:lang w:val="fr-CH"/>
        </w:rPr>
        <w:t>’</w:t>
      </w:r>
      <w:r w:rsidRPr="00846516">
        <w:rPr>
          <w:lang w:val="fr-CH"/>
        </w:rPr>
        <w:t>OMPI.</w:t>
      </w:r>
    </w:p>
  </w:footnote>
  <w:footnote w:id="7">
    <w:p w:rsidR="00261BC3" w:rsidRPr="00846516" w:rsidRDefault="00261BC3" w:rsidP="0090257E">
      <w:pPr>
        <w:pStyle w:val="FootnoteText"/>
        <w:rPr>
          <w:lang w:val="fr-CH"/>
        </w:rPr>
      </w:pPr>
      <w:r w:rsidRPr="00846516">
        <w:rPr>
          <w:rStyle w:val="FootnoteReference"/>
        </w:rPr>
        <w:footnoteRef/>
      </w:r>
      <w:r w:rsidRPr="00846516">
        <w:rPr>
          <w:lang w:val="fr-CH"/>
        </w:rPr>
        <w:t xml:space="preserve"> </w:t>
      </w:r>
      <w:r w:rsidRPr="00846516">
        <w:rPr>
          <w:lang w:val="fr-CH"/>
        </w:rPr>
        <w:tab/>
        <w:t>Article</w:t>
      </w:r>
      <w:r>
        <w:rPr>
          <w:lang w:val="fr-CH"/>
        </w:rPr>
        <w:t> </w:t>
      </w:r>
      <w:r w:rsidRPr="00846516">
        <w:rPr>
          <w:lang w:val="fr-CH"/>
        </w:rPr>
        <w:t>8 de la Convention de Paris.</w:t>
      </w:r>
    </w:p>
  </w:footnote>
  <w:footnote w:id="8">
    <w:p w:rsidR="00261BC3" w:rsidRPr="009454F1" w:rsidRDefault="00261BC3" w:rsidP="0090257E">
      <w:pPr>
        <w:pStyle w:val="FootnoteText"/>
        <w:rPr>
          <w:lang w:val="fr-CH"/>
        </w:rPr>
      </w:pPr>
      <w:r w:rsidRPr="00846516">
        <w:rPr>
          <w:rStyle w:val="FootnoteReference"/>
        </w:rPr>
        <w:footnoteRef/>
      </w:r>
      <w:r w:rsidRPr="00846516">
        <w:rPr>
          <w:lang w:val="fr-CH"/>
        </w:rPr>
        <w:t xml:space="preserve"> </w:t>
      </w:r>
      <w:r w:rsidRPr="00846516">
        <w:rPr>
          <w:lang w:val="fr-CH"/>
        </w:rPr>
        <w:tab/>
        <w:t>Cette recommandation concerne aussi les noms et abréviations notifiés en vertu de l</w:t>
      </w:r>
      <w:r>
        <w:rPr>
          <w:lang w:val="fr-CH"/>
        </w:rPr>
        <w:t>’</w:t>
      </w:r>
      <w:r w:rsidRPr="00846516">
        <w:rPr>
          <w:lang w:val="fr-CH"/>
        </w:rPr>
        <w:t>article</w:t>
      </w:r>
      <w:r>
        <w:rPr>
          <w:lang w:val="fr-CH"/>
        </w:rPr>
        <w:t> </w:t>
      </w:r>
      <w:r w:rsidRPr="00846516">
        <w:rPr>
          <w:lang w:val="fr-CH"/>
        </w:rPr>
        <w:t>6</w:t>
      </w:r>
      <w:r w:rsidRPr="00692FBC">
        <w:rPr>
          <w:i/>
          <w:lang w:val="fr-CH"/>
        </w:rPr>
        <w:t>ter</w:t>
      </w:r>
      <w:r w:rsidRPr="00846516">
        <w:rPr>
          <w:lang w:val="fr-CH"/>
        </w:rPr>
        <w:t xml:space="preserve"> de la Convention de Paris.</w:t>
      </w:r>
    </w:p>
  </w:footnote>
  <w:footnote w:id="9">
    <w:p w:rsidR="00261BC3" w:rsidRPr="00F90E84" w:rsidRDefault="00261BC3" w:rsidP="00D763EF">
      <w:pPr>
        <w:pStyle w:val="FootnoteText"/>
        <w:rPr>
          <w:lang w:val="fr-CH"/>
        </w:rPr>
      </w:pPr>
      <w:r>
        <w:rPr>
          <w:rStyle w:val="FootnoteReference"/>
        </w:rPr>
        <w:footnoteRef/>
      </w:r>
      <w:r w:rsidRPr="00F90E84">
        <w:rPr>
          <w:lang w:val="fr-CH"/>
        </w:rPr>
        <w:t xml:space="preserve"> </w:t>
      </w:r>
      <w:r w:rsidRPr="00F90E84">
        <w:rPr>
          <w:lang w:val="fr-CH"/>
        </w:rPr>
        <w:tab/>
        <w:t>Les articles</w:t>
      </w:r>
      <w:r>
        <w:rPr>
          <w:lang w:val="fr-CH"/>
        </w:rPr>
        <w:t> </w:t>
      </w:r>
      <w:r w:rsidRPr="00F90E84">
        <w:rPr>
          <w:lang w:val="fr-CH"/>
        </w:rPr>
        <w:t>22 à 24 de l</w:t>
      </w:r>
      <w:r>
        <w:rPr>
          <w:lang w:val="fr-CH"/>
        </w:rPr>
        <w:t>’</w:t>
      </w:r>
      <w:r w:rsidRPr="00F90E84">
        <w:rPr>
          <w:lang w:val="fr-CH"/>
        </w:rPr>
        <w:t>Accord sur les</w:t>
      </w:r>
      <w:r>
        <w:rPr>
          <w:lang w:val="fr-CH"/>
        </w:rPr>
        <w:t> </w:t>
      </w:r>
      <w:r w:rsidRPr="00F90E84">
        <w:rPr>
          <w:lang w:val="fr-CH"/>
        </w:rPr>
        <w:t>ADPIC prévoient l</w:t>
      </w:r>
      <w:r>
        <w:rPr>
          <w:lang w:val="fr-CH"/>
        </w:rPr>
        <w:t>’</w:t>
      </w:r>
      <w:r w:rsidRPr="00F90E84">
        <w:rPr>
          <w:lang w:val="fr-CH"/>
        </w:rPr>
        <w:t>obligation pour les membres de l</w:t>
      </w:r>
      <w:r>
        <w:rPr>
          <w:lang w:val="fr-CH"/>
        </w:rPr>
        <w:t>’</w:t>
      </w:r>
      <w:r w:rsidRPr="00F90E84">
        <w:rPr>
          <w:lang w:val="fr-CH"/>
        </w:rPr>
        <w:t>OMC de protéger les indications géographiques</w:t>
      </w:r>
      <w:r>
        <w:rPr>
          <w:lang w:val="fr-CH"/>
        </w:rPr>
        <w:t xml:space="preserve">;  </w:t>
      </w:r>
      <w:r w:rsidRPr="00F90E84">
        <w:rPr>
          <w:lang w:val="fr-CH"/>
        </w:rPr>
        <w:t>l</w:t>
      </w:r>
      <w:r>
        <w:rPr>
          <w:lang w:val="fr-CH"/>
        </w:rPr>
        <w:t>’</w:t>
      </w:r>
      <w:r w:rsidRPr="00F90E84">
        <w:rPr>
          <w:lang w:val="fr-CH"/>
        </w:rPr>
        <w:t xml:space="preserve">Arrangement de Lisbonne concernant la protection </w:t>
      </w:r>
      <w:r>
        <w:rPr>
          <w:lang w:val="fr-CH"/>
        </w:rPr>
        <w:t>des a</w:t>
      </w:r>
      <w:r w:rsidRPr="00F90E84">
        <w:rPr>
          <w:lang w:val="fr-CH"/>
        </w:rPr>
        <w:t xml:space="preserve">ppellations </w:t>
      </w:r>
      <w:r>
        <w:rPr>
          <w:lang w:val="fr-CH"/>
        </w:rPr>
        <w:t>d’o</w:t>
      </w:r>
      <w:r w:rsidRPr="00F90E84">
        <w:rPr>
          <w:lang w:val="fr-CH"/>
        </w:rPr>
        <w:t>rigin</w:t>
      </w:r>
      <w:r>
        <w:rPr>
          <w:lang w:val="fr-CH"/>
        </w:rPr>
        <w:t>e</w:t>
      </w:r>
      <w:r w:rsidRPr="00F90E84">
        <w:rPr>
          <w:lang w:val="fr-CH"/>
        </w:rPr>
        <w:t xml:space="preserve"> </w:t>
      </w:r>
      <w:r>
        <w:rPr>
          <w:lang w:val="fr-CH"/>
        </w:rPr>
        <w:t>et leur enregistrement international prévoit des procédures d’enregistrement des</w:t>
      </w:r>
      <w:r w:rsidRPr="00F90E84">
        <w:rPr>
          <w:lang w:val="fr-CH"/>
        </w:rPr>
        <w:t xml:space="preserve"> appellations </w:t>
      </w:r>
      <w:r>
        <w:rPr>
          <w:lang w:val="fr-CH"/>
        </w:rPr>
        <w:t>d’</w:t>
      </w:r>
      <w:r w:rsidRPr="00F90E84">
        <w:rPr>
          <w:lang w:val="fr-CH"/>
        </w:rPr>
        <w:t>origin</w:t>
      </w:r>
      <w:r>
        <w:rPr>
          <w:lang w:val="fr-CH"/>
        </w:rPr>
        <w:t>e dans les États parties à cet arrangement</w:t>
      </w:r>
      <w:r w:rsidRPr="00F90E84">
        <w:rPr>
          <w:lang w:val="fr-CH"/>
        </w:rPr>
        <w:t>.</w:t>
      </w:r>
    </w:p>
  </w:footnote>
  <w:footnote w:id="10">
    <w:p w:rsidR="00261BC3" w:rsidRPr="00846516" w:rsidRDefault="00261BC3" w:rsidP="00B404F3">
      <w:pPr>
        <w:pStyle w:val="FootnoteText"/>
        <w:ind w:right="851"/>
        <w:rPr>
          <w:lang w:val="fr-CH"/>
        </w:rPr>
      </w:pPr>
      <w:r w:rsidRPr="00846516">
        <w:rPr>
          <w:lang w:val="fr-CH"/>
        </w:rPr>
        <w:t xml:space="preserve">* </w:t>
      </w:r>
      <w:r w:rsidRPr="00846516">
        <w:rPr>
          <w:lang w:val="fr-CH"/>
        </w:rPr>
        <w:tab/>
        <w:t>Les classes</w:t>
      </w:r>
      <w:r>
        <w:rPr>
          <w:lang w:val="fr-CH"/>
        </w:rPr>
        <w:t> </w:t>
      </w:r>
      <w:r w:rsidRPr="00846516">
        <w:rPr>
          <w:lang w:val="fr-CH"/>
        </w:rPr>
        <w:t>203 et 204 ne sont pas uniquement établies en fonction de la proximité des espèces.</w:t>
      </w:r>
    </w:p>
    <w:p w:rsidR="00261BC3" w:rsidRPr="00960021" w:rsidRDefault="00261BC3" w:rsidP="00B404F3">
      <w:pPr>
        <w:pStyle w:val="FootnoteText"/>
        <w:ind w:right="851"/>
        <w:rPr>
          <w:color w:val="000000"/>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D07485" w:rsidRDefault="00261BC3" w:rsidP="00B713C8">
    <w:pPr>
      <w:jc w:val="center"/>
      <w:rPr>
        <w:b/>
        <w:lang w:val="de-DE" w:eastAsia="ja-JP"/>
      </w:rPr>
    </w:pPr>
    <w:r w:rsidRPr="00D07485">
      <w:rPr>
        <w:lang w:val="de-DE"/>
      </w:rPr>
      <w:t xml:space="preserve">UPOV/EXN/DEN/1 Draft </w:t>
    </w:r>
    <w:r>
      <w:rPr>
        <w:lang w:val="de-DE"/>
      </w:rPr>
      <w:t>3</w:t>
    </w:r>
  </w:p>
  <w:p w:rsidR="00261BC3" w:rsidRPr="00D07485" w:rsidRDefault="00261BC3" w:rsidP="00B713C8">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sidR="00ED146B">
      <w:rPr>
        <w:noProof/>
        <w:lang w:val="de-DE"/>
      </w:rPr>
      <w:t>16</w:t>
    </w:r>
    <w:r>
      <w:fldChar w:fldCharType="end"/>
    </w:r>
  </w:p>
  <w:p w:rsidR="00261BC3" w:rsidRPr="00D07485" w:rsidRDefault="00261BC3"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37C5F" w:rsidRDefault="00261BC3" w:rsidP="00893C7D">
    <w:pPr>
      <w:jc w:val="center"/>
      <w:rPr>
        <w:lang w:val="de-DE"/>
      </w:rPr>
    </w:pPr>
    <w:r w:rsidRPr="00537C5F">
      <w:rPr>
        <w:lang w:val="de-DE"/>
      </w:rPr>
      <w:t xml:space="preserve">UPOV/EXN/DEN/1 Draft </w:t>
    </w:r>
    <w:r>
      <w:rPr>
        <w:lang w:val="de-DE"/>
      </w:rPr>
      <w:t>3</w:t>
    </w:r>
  </w:p>
  <w:p w:rsidR="00261BC3" w:rsidRPr="00537C5F" w:rsidRDefault="00261BC3">
    <w:pPr>
      <w:jc w:val="center"/>
      <w:rPr>
        <w:lang w:val="de-DE" w:eastAsia="ja-JP"/>
      </w:rPr>
    </w:pPr>
    <w:r w:rsidRPr="00537C5F">
      <w:rPr>
        <w:lang w:val="de-DE"/>
      </w:rPr>
      <w:t>A</w:t>
    </w:r>
    <w:r w:rsidRPr="00537C5F">
      <w:rPr>
        <w:rFonts w:hint="eastAsia"/>
        <w:lang w:val="de-DE" w:eastAsia="ja-JP"/>
      </w:rPr>
      <w:t>nnex</w:t>
    </w:r>
    <w:r>
      <w:rPr>
        <w:lang w:val="de-DE" w:eastAsia="ja-JP"/>
      </w:rPr>
      <w:t>e</w:t>
    </w:r>
    <w:r w:rsidRPr="00537C5F">
      <w:rPr>
        <w:lang w:val="de-DE"/>
      </w:rPr>
      <w:t xml:space="preserve"> II</w:t>
    </w:r>
    <w:r w:rsidRPr="00537C5F">
      <w:rPr>
        <w:rFonts w:hint="eastAsia"/>
        <w:lang w:val="de-DE" w:eastAsia="ja-JP"/>
      </w:rPr>
      <w:t>, page 2</w:t>
    </w:r>
  </w:p>
  <w:p w:rsidR="00261BC3" w:rsidRPr="00537C5F" w:rsidRDefault="00261BC3">
    <w:pPr>
      <w:jc w:val="center"/>
      <w:rPr>
        <w:lang w:val="de-DE"/>
      </w:rPr>
    </w:pPr>
  </w:p>
  <w:p w:rsidR="00261BC3" w:rsidRPr="00537C5F" w:rsidRDefault="00261BC3">
    <w:pPr>
      <w:jc w:val="cente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37C5F" w:rsidRDefault="00261BC3" w:rsidP="00B713C8">
    <w:pPr>
      <w:pStyle w:val="Header"/>
      <w:rPr>
        <w:rStyle w:val="PageNumber"/>
        <w:lang w:val="de-DE"/>
      </w:rPr>
    </w:pPr>
    <w:r w:rsidRPr="00537C5F">
      <w:rPr>
        <w:rStyle w:val="PageNumber"/>
        <w:lang w:val="de-DE"/>
      </w:rPr>
      <w:t>UPOV/EXN/DEN/1 Draft 1</w:t>
    </w:r>
  </w:p>
  <w:p w:rsidR="00261BC3" w:rsidRPr="00537C5F" w:rsidRDefault="00261BC3" w:rsidP="00B713C8">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261BC3" w:rsidRPr="00537C5F" w:rsidRDefault="00261BC3" w:rsidP="00B713C8">
    <w:pP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37C5F" w:rsidRDefault="00261BC3" w:rsidP="00893C7D">
    <w:pPr>
      <w:pStyle w:val="Header"/>
      <w:rPr>
        <w:rStyle w:val="PageNumber"/>
        <w:lang w:val="de-DE"/>
      </w:rPr>
    </w:pPr>
    <w:r w:rsidRPr="00537C5F">
      <w:rPr>
        <w:rStyle w:val="PageNumber"/>
        <w:lang w:val="de-DE"/>
      </w:rPr>
      <w:t>UPOV/EXN/DEN/1 Draft 1</w:t>
    </w:r>
  </w:p>
  <w:p w:rsidR="00261BC3" w:rsidRPr="00537C5F" w:rsidRDefault="00261BC3"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261BC3" w:rsidRPr="00537C5F" w:rsidRDefault="00261BC3" w:rsidP="00893C7D">
    <w:pP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E10E1C" w:rsidRDefault="00261BC3" w:rsidP="00893C7D">
    <w:pPr>
      <w:jc w:val="center"/>
      <w:rPr>
        <w:lang w:val="fr-CH" w:eastAsia="ja-JP"/>
      </w:rPr>
    </w:pPr>
    <w:r w:rsidRPr="00E10E1C">
      <w:rPr>
        <w:lang w:val="fr-CH"/>
      </w:rPr>
      <w:t>UPOV/EXN/DEN/1 Draft 3</w:t>
    </w:r>
  </w:p>
  <w:p w:rsidR="00261BC3" w:rsidRPr="00E10E1C" w:rsidRDefault="00261BC3" w:rsidP="00893C7D">
    <w:pPr>
      <w:jc w:val="center"/>
      <w:rPr>
        <w:lang w:val="fr-CH" w:eastAsia="ja-JP"/>
      </w:rPr>
    </w:pPr>
  </w:p>
  <w:p w:rsidR="00261BC3" w:rsidRPr="00E10E1C" w:rsidRDefault="00261BC3">
    <w:pPr>
      <w:jc w:val="center"/>
      <w:rPr>
        <w:lang w:val="fr-CH" w:eastAsia="ja-JP"/>
      </w:rPr>
    </w:pPr>
    <w:r w:rsidRPr="00E10E1C">
      <w:rPr>
        <w:sz w:val="18"/>
        <w:lang w:val="fr-CH"/>
      </w:rPr>
      <w:t>NOTES DE FIN DE DOCUMENT</w:t>
    </w:r>
  </w:p>
  <w:p w:rsidR="00261BC3" w:rsidRPr="00E10E1C" w:rsidRDefault="00261BC3">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D07485" w:rsidRDefault="00261BC3">
    <w:pPr>
      <w:jc w:val="center"/>
      <w:rPr>
        <w:b/>
        <w:lang w:val="de-DE" w:eastAsia="ja-JP"/>
      </w:rP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61BC3" w:rsidRDefault="00261BC3"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u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UH+S6mAgAAXQUAAA4AAAAAAAAAAAAAAAAALgIA&#10;AGRycy9lMm9Eb2MueG1sUEsBAi0AFAAGAAgAAAAhAM3y8yjaAAAACAEAAA8AAAAAAAAAAAAAAAAA&#10;AAUAAGRycy9kb3ducmV2LnhtbFBLBQYAAAAABAAEAPMAAAAHBgAAAAA=&#10;" o:allowincell="f" filled="f" stroked="f" strokeweight=".5pt">
              <v:path arrowok="t"/>
              <v:textbox>
                <w:txbxContent>
                  <w:p w:rsidR="00261BC3" w:rsidRDefault="00261BC3" w:rsidP="00A34D12">
                    <w:pPr>
                      <w:jc w:val="center"/>
                    </w:pPr>
                    <w:r w:rsidRPr="00A34D12">
                      <w:rPr>
                        <w:color w:val="000000"/>
                        <w:sz w:val="17"/>
                      </w:rPr>
                      <w:t>WIPO FOR OFFICIAL USE ONLY</w:t>
                    </w:r>
                  </w:p>
                </w:txbxContent>
              </v:textbox>
              <w10:wrap anchorx="margin" anchory="margin"/>
            </v:shape>
          </w:pict>
        </mc:Fallback>
      </mc:AlternateContent>
    </w:r>
    <w:r w:rsidRPr="00D07485">
      <w:rPr>
        <w:lang w:val="de-DE"/>
      </w:rPr>
      <w:t xml:space="preserve">UPOV/EXN/DEN/1 Draft </w:t>
    </w:r>
    <w:r>
      <w:rPr>
        <w:lang w:val="de-DE"/>
      </w:rPr>
      <w:t>3</w:t>
    </w:r>
  </w:p>
  <w:p w:rsidR="00261BC3" w:rsidRPr="00D07485" w:rsidRDefault="00261BC3">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sidR="00ED146B">
      <w:rPr>
        <w:noProof/>
        <w:lang w:val="de-DE"/>
      </w:rPr>
      <w:t>15</w:t>
    </w:r>
    <w:r>
      <w:fldChar w:fldCharType="end"/>
    </w:r>
  </w:p>
  <w:p w:rsidR="00261BC3" w:rsidRPr="00D07485" w:rsidRDefault="00261BC3">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27219" w:rsidRDefault="00261BC3" w:rsidP="00B713C8">
    <w:pPr>
      <w:jc w:val="center"/>
    </w:pPr>
    <w:r>
      <w:t>UPOV/EXN/DEN/1 Draft 3</w:t>
    </w:r>
  </w:p>
  <w:p w:rsidR="00261BC3" w:rsidRDefault="00261BC3" w:rsidP="00B713C8">
    <w:pPr>
      <w:jc w:val="center"/>
    </w:pPr>
    <w:r>
      <w:t xml:space="preserve">Annexe I, page </w:t>
    </w:r>
    <w:r>
      <w:fldChar w:fldCharType="begin"/>
    </w:r>
    <w:r>
      <w:instrText xml:space="preserve"> PAGE  \* MERGEFORMAT </w:instrText>
    </w:r>
    <w:r>
      <w:fldChar w:fldCharType="separate"/>
    </w:r>
    <w:r w:rsidR="00ED146B">
      <w:rPr>
        <w:noProof/>
      </w:rPr>
      <w:t>2</w:t>
    </w:r>
    <w:r>
      <w:fldChar w:fldCharType="end"/>
    </w:r>
  </w:p>
  <w:p w:rsidR="00261BC3" w:rsidRPr="00B62109" w:rsidRDefault="00261BC3" w:rsidP="00B713C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27219" w:rsidRDefault="00261BC3" w:rsidP="00893C7D">
    <w:pPr>
      <w:jc w:val="center"/>
    </w:pPr>
    <w:r>
      <w:t>UPOV/EXN/DEN/1 Draft 3</w:t>
    </w:r>
  </w:p>
  <w:p w:rsidR="00261BC3" w:rsidRDefault="00261BC3">
    <w:pPr>
      <w:jc w:val="center"/>
    </w:pPr>
    <w:r>
      <w:t xml:space="preserve">Annexe I, page </w:t>
    </w:r>
    <w:r>
      <w:fldChar w:fldCharType="begin"/>
    </w:r>
    <w:r>
      <w:instrText xml:space="preserve"> PAGE  \* MERGEFORMAT </w:instrText>
    </w:r>
    <w:r>
      <w:fldChar w:fldCharType="separate"/>
    </w:r>
    <w:r w:rsidR="00ED146B">
      <w:rPr>
        <w:noProof/>
      </w:rPr>
      <w:t>3</w:t>
    </w:r>
    <w:r>
      <w:fldChar w:fldCharType="end"/>
    </w:r>
  </w:p>
  <w:p w:rsidR="00261BC3" w:rsidRPr="00B62109" w:rsidRDefault="00261BC3" w:rsidP="00893C7D">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27219" w:rsidRDefault="00261BC3" w:rsidP="00893C7D">
    <w:pPr>
      <w:jc w:val="center"/>
    </w:pPr>
    <w:r>
      <w:t>UPOV/EXN/DEN/1 Draft 3</w:t>
    </w:r>
  </w:p>
  <w:p w:rsidR="00261BC3" w:rsidRPr="00527219" w:rsidRDefault="00261BC3" w:rsidP="00893C7D">
    <w:pPr>
      <w:jc w:val="center"/>
    </w:pPr>
  </w:p>
  <w:p w:rsidR="00261BC3" w:rsidRPr="00527219" w:rsidRDefault="00261BC3" w:rsidP="00893C7D">
    <w:pPr>
      <w:jc w:val="center"/>
    </w:pPr>
    <w:r w:rsidRPr="00527219">
      <w:t>ANNEX</w:t>
    </w:r>
    <w:r>
      <w:t>E</w:t>
    </w:r>
    <w:r w:rsidRPr="00527219">
      <w:t xml:space="preserve"> I</w:t>
    </w:r>
  </w:p>
  <w:p w:rsidR="00261BC3" w:rsidRPr="00527219" w:rsidRDefault="00261BC3" w:rsidP="00893C7D">
    <w:pPr>
      <w:jc w:val="center"/>
    </w:pPr>
  </w:p>
  <w:p w:rsidR="00261BC3" w:rsidRPr="00A424A9" w:rsidRDefault="00261BC3" w:rsidP="00893C7D">
    <w:pPr>
      <w:pStyle w:val="Header"/>
      <w:rPr>
        <w:szCs w:val="24"/>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B62109" w:rsidRDefault="00261BC3">
    <w:pPr>
      <w:jc w:val="center"/>
      <w:rPr>
        <w:b/>
        <w:lang w:val="fr-FR"/>
      </w:rPr>
    </w:pPr>
    <w:r w:rsidRPr="00B62109">
      <w:rPr>
        <w:lang w:val="fr-FR"/>
      </w:rPr>
      <w:t>UPOV/INF/12/4</w:t>
    </w:r>
  </w:p>
  <w:p w:rsidR="00261BC3" w:rsidRPr="00B62109" w:rsidRDefault="00261BC3">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10</w:t>
    </w:r>
    <w:r>
      <w:fldChar w:fldCharType="end"/>
    </w:r>
  </w:p>
  <w:p w:rsidR="00261BC3" w:rsidRPr="00B62109" w:rsidRDefault="00261BC3">
    <w:pPr>
      <w:jc w:val="center"/>
      <w:rPr>
        <w:szCs w:val="24"/>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537C5F" w:rsidRDefault="00261BC3" w:rsidP="00893C7D">
    <w:pPr>
      <w:jc w:val="center"/>
      <w:rPr>
        <w:lang w:val="de-DE"/>
      </w:rPr>
    </w:pPr>
    <w:r w:rsidRPr="00537C5F">
      <w:rPr>
        <w:lang w:val="de-DE"/>
      </w:rPr>
      <w:t xml:space="preserve">UPOV/EXN/DEN/1 Draft </w:t>
    </w:r>
    <w:r>
      <w:rPr>
        <w:lang w:val="de-DE"/>
      </w:rPr>
      <w:t>2</w:t>
    </w:r>
  </w:p>
  <w:p w:rsidR="00261BC3" w:rsidRPr="00537C5F" w:rsidRDefault="00261BC3">
    <w:pPr>
      <w:jc w:val="center"/>
      <w:rPr>
        <w:lang w:val="de-DE"/>
      </w:rPr>
    </w:pPr>
  </w:p>
  <w:p w:rsidR="00261BC3" w:rsidRPr="00537C5F" w:rsidRDefault="00261BC3">
    <w:pPr>
      <w:jc w:val="center"/>
      <w:rPr>
        <w:lang w:val="de-DE"/>
      </w:rPr>
    </w:pPr>
    <w:r w:rsidRPr="00537C5F">
      <w:rPr>
        <w:lang w:val="de-DE"/>
      </w:rPr>
      <w:t>ANNEX</w:t>
    </w:r>
    <w:r>
      <w:rPr>
        <w:lang w:val="de-DE"/>
      </w:rPr>
      <w:t>E</w:t>
    </w:r>
    <w:r w:rsidRPr="00537C5F">
      <w:rPr>
        <w:lang w:val="de-DE"/>
      </w:rPr>
      <w:t xml:space="preserve"> II</w:t>
    </w:r>
  </w:p>
  <w:p w:rsidR="00261BC3" w:rsidRPr="00537C5F" w:rsidRDefault="00261BC3">
    <w:pPr>
      <w:jc w:val="center"/>
      <w:rPr>
        <w:lang w:val="de-DE"/>
      </w:rPr>
    </w:pPr>
  </w:p>
  <w:p w:rsidR="00261BC3" w:rsidRPr="00537C5F" w:rsidRDefault="00261BC3">
    <w:pPr>
      <w:jc w:val="cent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9929A5" w:rsidRDefault="00261BC3" w:rsidP="00B713C8">
    <w:pPr>
      <w:pStyle w:val="Header"/>
      <w:rPr>
        <w:rFonts w:cs="Arial"/>
      </w:rPr>
    </w:pPr>
    <w:r>
      <w:rPr>
        <w:rFonts w:cs="Arial"/>
      </w:rPr>
      <w:t>UPOV/INF/12/6 Draft 1</w:t>
    </w:r>
  </w:p>
  <w:p w:rsidR="00261BC3" w:rsidRPr="009929A5" w:rsidRDefault="00261BC3" w:rsidP="00B713C8">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rsidR="00261BC3" w:rsidRPr="009929A5" w:rsidRDefault="00261BC3" w:rsidP="00B713C8">
    <w:pPr>
      <w:pStyle w:val="Header"/>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C3" w:rsidRPr="009929A5" w:rsidRDefault="00261BC3" w:rsidP="00893C7D">
    <w:pPr>
      <w:pStyle w:val="Header"/>
      <w:rPr>
        <w:rFonts w:cs="Arial"/>
      </w:rPr>
    </w:pPr>
    <w:r>
      <w:rPr>
        <w:rFonts w:cs="Arial"/>
      </w:rPr>
      <w:t>UPOV/INF/12/6 Draft 1</w:t>
    </w:r>
  </w:p>
  <w:p w:rsidR="00261BC3" w:rsidRPr="009929A5" w:rsidRDefault="00261BC3"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rsidR="00261BC3" w:rsidRPr="009929A5" w:rsidRDefault="00261BC3" w:rsidP="00893C7D">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948A0426"/>
    <w:lvl w:ilvl="0" w:tplc="A0E2A87E">
      <w:start w:val="1"/>
      <w:numFmt w:val="lowerRoman"/>
      <w:lvlText w:val="%1)"/>
      <w:lvlJc w:val="right"/>
      <w:pPr>
        <w:ind w:left="1695" w:hanging="720"/>
      </w:pPr>
      <w:rPr>
        <w:rFonts w:cs="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3"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6"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8"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1"/>
  </w:num>
  <w:num w:numId="8">
    <w:abstractNumId w:val="26"/>
  </w:num>
  <w:num w:numId="9">
    <w:abstractNumId w:val="15"/>
  </w:num>
  <w:num w:numId="10">
    <w:abstractNumId w:val="3"/>
  </w:num>
  <w:num w:numId="11">
    <w:abstractNumId w:val="1"/>
  </w:num>
  <w:num w:numId="12">
    <w:abstractNumId w:val="24"/>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28"/>
  </w:num>
  <w:num w:numId="22">
    <w:abstractNumId w:val="27"/>
  </w:num>
  <w:num w:numId="23">
    <w:abstractNumId w:val="18"/>
  </w:num>
  <w:num w:numId="24">
    <w:abstractNumId w:val="20"/>
  </w:num>
  <w:num w:numId="25">
    <w:abstractNumId w:val="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activeWritingStyle w:appName="MSWord" w:lang="nl-NL" w:vendorID="64" w:dllVersion="131078" w:nlCheck="1" w:checkStyle="0"/>
  <w:activeWritingStyle w:appName="MSWord" w:lang="nl-BE" w:vendorID="64" w:dllVersion="131078" w:nlCheck="1" w:checkStyle="0"/>
  <w:activeWritingStyle w:appName="MSWord" w:lang="es-AR" w:vendorID="64" w:dllVersion="131078" w:nlCheck="1" w:checkStyle="0"/>
  <w:activeWritingStyle w:appName="MSWord" w:lang="de-CH"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lowerLetter"/>
    <w:endnote w:id="-1"/>
    <w:endnote w:id="0"/>
    <w:endnote w:id="1"/>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xtBase TMs\academy|Team Server TMs\French|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Treaties &amp; Laws\WIPO Lex|TextBase TMs\WorkspaceFTS\UPOV\TGs|TextBase TMs\WorkspaceFTS\UPOV\UPOV|TextBase TMs\WorkspaceFTS\xLegacy\Academy|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893C7D"/>
    <w:rsid w:val="00000531"/>
    <w:rsid w:val="00002775"/>
    <w:rsid w:val="00002E6A"/>
    <w:rsid w:val="000031A2"/>
    <w:rsid w:val="00003875"/>
    <w:rsid w:val="00004910"/>
    <w:rsid w:val="00004E4E"/>
    <w:rsid w:val="00005853"/>
    <w:rsid w:val="000064F9"/>
    <w:rsid w:val="0000682E"/>
    <w:rsid w:val="00006D0B"/>
    <w:rsid w:val="00007C29"/>
    <w:rsid w:val="000100CA"/>
    <w:rsid w:val="00010D9E"/>
    <w:rsid w:val="000119CD"/>
    <w:rsid w:val="000126EB"/>
    <w:rsid w:val="00012886"/>
    <w:rsid w:val="000134B6"/>
    <w:rsid w:val="00014723"/>
    <w:rsid w:val="000162E4"/>
    <w:rsid w:val="00016F95"/>
    <w:rsid w:val="0001787D"/>
    <w:rsid w:val="000208DA"/>
    <w:rsid w:val="000215D1"/>
    <w:rsid w:val="00021E3F"/>
    <w:rsid w:val="00023EDE"/>
    <w:rsid w:val="00023FAD"/>
    <w:rsid w:val="000240FC"/>
    <w:rsid w:val="000243D2"/>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FB3"/>
    <w:rsid w:val="00042119"/>
    <w:rsid w:val="00043776"/>
    <w:rsid w:val="00044035"/>
    <w:rsid w:val="0004487B"/>
    <w:rsid w:val="00045EE0"/>
    <w:rsid w:val="00046148"/>
    <w:rsid w:val="00047094"/>
    <w:rsid w:val="000476B5"/>
    <w:rsid w:val="000476B6"/>
    <w:rsid w:val="000477C1"/>
    <w:rsid w:val="00047D35"/>
    <w:rsid w:val="00050282"/>
    <w:rsid w:val="0005083A"/>
    <w:rsid w:val="00050871"/>
    <w:rsid w:val="00050DEE"/>
    <w:rsid w:val="00051F03"/>
    <w:rsid w:val="0005265E"/>
    <w:rsid w:val="00052775"/>
    <w:rsid w:val="00052D34"/>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0E3"/>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824"/>
    <w:rsid w:val="000C3B11"/>
    <w:rsid w:val="000C4CE7"/>
    <w:rsid w:val="000C4FCF"/>
    <w:rsid w:val="000C5B2E"/>
    <w:rsid w:val="000D05CF"/>
    <w:rsid w:val="000D18D5"/>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50AE"/>
    <w:rsid w:val="00135CC0"/>
    <w:rsid w:val="0013633B"/>
    <w:rsid w:val="00137786"/>
    <w:rsid w:val="001401B9"/>
    <w:rsid w:val="0014183C"/>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674"/>
    <w:rsid w:val="001619D7"/>
    <w:rsid w:val="00161C39"/>
    <w:rsid w:val="00162273"/>
    <w:rsid w:val="001623A0"/>
    <w:rsid w:val="001641C6"/>
    <w:rsid w:val="00165579"/>
    <w:rsid w:val="001667F3"/>
    <w:rsid w:val="00166A34"/>
    <w:rsid w:val="00167EC8"/>
    <w:rsid w:val="001703F3"/>
    <w:rsid w:val="001706B9"/>
    <w:rsid w:val="00171099"/>
    <w:rsid w:val="00172A75"/>
    <w:rsid w:val="00175BAC"/>
    <w:rsid w:val="00176502"/>
    <w:rsid w:val="001769B8"/>
    <w:rsid w:val="00177001"/>
    <w:rsid w:val="00177708"/>
    <w:rsid w:val="0017779A"/>
    <w:rsid w:val="0017786C"/>
    <w:rsid w:val="00180802"/>
    <w:rsid w:val="001811B0"/>
    <w:rsid w:val="001815F2"/>
    <w:rsid w:val="00181A4D"/>
    <w:rsid w:val="00185C94"/>
    <w:rsid w:val="00185DEA"/>
    <w:rsid w:val="00187D87"/>
    <w:rsid w:val="00190569"/>
    <w:rsid w:val="001915D4"/>
    <w:rsid w:val="00191F38"/>
    <w:rsid w:val="0019303E"/>
    <w:rsid w:val="0019350E"/>
    <w:rsid w:val="00193803"/>
    <w:rsid w:val="00193CA6"/>
    <w:rsid w:val="00193FF2"/>
    <w:rsid w:val="00194374"/>
    <w:rsid w:val="001952C8"/>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2C4C"/>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3D6"/>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1EBA"/>
    <w:rsid w:val="00253EA1"/>
    <w:rsid w:val="00255928"/>
    <w:rsid w:val="002560D7"/>
    <w:rsid w:val="00256210"/>
    <w:rsid w:val="00260B84"/>
    <w:rsid w:val="00260EC1"/>
    <w:rsid w:val="00260EC9"/>
    <w:rsid w:val="00260F87"/>
    <w:rsid w:val="00261BC3"/>
    <w:rsid w:val="00261F07"/>
    <w:rsid w:val="002629CA"/>
    <w:rsid w:val="00262D64"/>
    <w:rsid w:val="00263C88"/>
    <w:rsid w:val="002668EC"/>
    <w:rsid w:val="00266AE7"/>
    <w:rsid w:val="00267280"/>
    <w:rsid w:val="00270479"/>
    <w:rsid w:val="00270CF1"/>
    <w:rsid w:val="00270E3C"/>
    <w:rsid w:val="00271224"/>
    <w:rsid w:val="00271536"/>
    <w:rsid w:val="0027174A"/>
    <w:rsid w:val="00271D68"/>
    <w:rsid w:val="002730CC"/>
    <w:rsid w:val="0027444E"/>
    <w:rsid w:val="00275D7F"/>
    <w:rsid w:val="00275EF2"/>
    <w:rsid w:val="00275FAA"/>
    <w:rsid w:val="00276166"/>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9D1"/>
    <w:rsid w:val="002C0CDA"/>
    <w:rsid w:val="002C5439"/>
    <w:rsid w:val="002C6605"/>
    <w:rsid w:val="002C760B"/>
    <w:rsid w:val="002D0AEB"/>
    <w:rsid w:val="002D0C29"/>
    <w:rsid w:val="002D0ED1"/>
    <w:rsid w:val="002D2652"/>
    <w:rsid w:val="002D2714"/>
    <w:rsid w:val="002D3B17"/>
    <w:rsid w:val="002D4388"/>
    <w:rsid w:val="002D5C64"/>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F4D"/>
    <w:rsid w:val="002F0522"/>
    <w:rsid w:val="002F1D59"/>
    <w:rsid w:val="002F1E5B"/>
    <w:rsid w:val="002F3206"/>
    <w:rsid w:val="002F36CE"/>
    <w:rsid w:val="002F5834"/>
    <w:rsid w:val="002F6A5B"/>
    <w:rsid w:val="002F7C69"/>
    <w:rsid w:val="002F7F8A"/>
    <w:rsid w:val="00300EB9"/>
    <w:rsid w:val="003012F6"/>
    <w:rsid w:val="00301D2D"/>
    <w:rsid w:val="0030281F"/>
    <w:rsid w:val="00302EC5"/>
    <w:rsid w:val="0030332C"/>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1926"/>
    <w:rsid w:val="0032345F"/>
    <w:rsid w:val="003237CA"/>
    <w:rsid w:val="003238A2"/>
    <w:rsid w:val="00324537"/>
    <w:rsid w:val="00324F66"/>
    <w:rsid w:val="00325B84"/>
    <w:rsid w:val="00327307"/>
    <w:rsid w:val="0033011F"/>
    <w:rsid w:val="00330C10"/>
    <w:rsid w:val="00331A7E"/>
    <w:rsid w:val="00331AFF"/>
    <w:rsid w:val="003322E3"/>
    <w:rsid w:val="0033300E"/>
    <w:rsid w:val="0033324D"/>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78A"/>
    <w:rsid w:val="00382B96"/>
    <w:rsid w:val="003839BE"/>
    <w:rsid w:val="00383CA3"/>
    <w:rsid w:val="00385CBA"/>
    <w:rsid w:val="003868FD"/>
    <w:rsid w:val="0038748A"/>
    <w:rsid w:val="003911C4"/>
    <w:rsid w:val="003911FB"/>
    <w:rsid w:val="00391411"/>
    <w:rsid w:val="00391802"/>
    <w:rsid w:val="00391A76"/>
    <w:rsid w:val="00391C8B"/>
    <w:rsid w:val="00393191"/>
    <w:rsid w:val="0039330F"/>
    <w:rsid w:val="00394208"/>
    <w:rsid w:val="003961E1"/>
    <w:rsid w:val="00396AC0"/>
    <w:rsid w:val="003A002F"/>
    <w:rsid w:val="003A1164"/>
    <w:rsid w:val="003A128B"/>
    <w:rsid w:val="003A16CD"/>
    <w:rsid w:val="003A2018"/>
    <w:rsid w:val="003A359E"/>
    <w:rsid w:val="003A3DB3"/>
    <w:rsid w:val="003A4336"/>
    <w:rsid w:val="003A465F"/>
    <w:rsid w:val="003A489B"/>
    <w:rsid w:val="003A7078"/>
    <w:rsid w:val="003A70A0"/>
    <w:rsid w:val="003A752B"/>
    <w:rsid w:val="003A7AD9"/>
    <w:rsid w:val="003A7E1D"/>
    <w:rsid w:val="003A7FC2"/>
    <w:rsid w:val="003B001D"/>
    <w:rsid w:val="003B0B59"/>
    <w:rsid w:val="003B215F"/>
    <w:rsid w:val="003B2370"/>
    <w:rsid w:val="003B2927"/>
    <w:rsid w:val="003B29B8"/>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3F7B25"/>
    <w:rsid w:val="00400202"/>
    <w:rsid w:val="004003DA"/>
    <w:rsid w:val="004017C9"/>
    <w:rsid w:val="004021C1"/>
    <w:rsid w:val="004043BA"/>
    <w:rsid w:val="00406070"/>
    <w:rsid w:val="00406878"/>
    <w:rsid w:val="00407739"/>
    <w:rsid w:val="0041053C"/>
    <w:rsid w:val="00411203"/>
    <w:rsid w:val="004126B6"/>
    <w:rsid w:val="00412E09"/>
    <w:rsid w:val="00413CB3"/>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59AA"/>
    <w:rsid w:val="004366E0"/>
    <w:rsid w:val="004369F8"/>
    <w:rsid w:val="004401FC"/>
    <w:rsid w:val="00440663"/>
    <w:rsid w:val="004419AA"/>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B53"/>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957"/>
    <w:rsid w:val="00524D48"/>
    <w:rsid w:val="00524E0C"/>
    <w:rsid w:val="00526F62"/>
    <w:rsid w:val="005311B3"/>
    <w:rsid w:val="0053160D"/>
    <w:rsid w:val="005318B4"/>
    <w:rsid w:val="005323AC"/>
    <w:rsid w:val="00532D7A"/>
    <w:rsid w:val="005336FA"/>
    <w:rsid w:val="005338F3"/>
    <w:rsid w:val="00533BEB"/>
    <w:rsid w:val="0053459C"/>
    <w:rsid w:val="005348B3"/>
    <w:rsid w:val="00534EFE"/>
    <w:rsid w:val="00536372"/>
    <w:rsid w:val="00536A22"/>
    <w:rsid w:val="00537C5F"/>
    <w:rsid w:val="00537F5C"/>
    <w:rsid w:val="005404AF"/>
    <w:rsid w:val="00540801"/>
    <w:rsid w:val="005413FF"/>
    <w:rsid w:val="0054147B"/>
    <w:rsid w:val="005414AE"/>
    <w:rsid w:val="005425A5"/>
    <w:rsid w:val="0054304A"/>
    <w:rsid w:val="00543752"/>
    <w:rsid w:val="00543F37"/>
    <w:rsid w:val="00544803"/>
    <w:rsid w:val="00546DB4"/>
    <w:rsid w:val="00546F4D"/>
    <w:rsid w:val="00547816"/>
    <w:rsid w:val="00547E3C"/>
    <w:rsid w:val="005513DF"/>
    <w:rsid w:val="00552A3B"/>
    <w:rsid w:val="00553312"/>
    <w:rsid w:val="00554286"/>
    <w:rsid w:val="00555C87"/>
    <w:rsid w:val="005572B4"/>
    <w:rsid w:val="005576D1"/>
    <w:rsid w:val="00560A1B"/>
    <w:rsid w:val="00560D36"/>
    <w:rsid w:val="0056302B"/>
    <w:rsid w:val="00566214"/>
    <w:rsid w:val="005665C5"/>
    <w:rsid w:val="0056728C"/>
    <w:rsid w:val="00567EC5"/>
    <w:rsid w:val="00567F47"/>
    <w:rsid w:val="005713E9"/>
    <w:rsid w:val="0057160E"/>
    <w:rsid w:val="00571F60"/>
    <w:rsid w:val="005720B4"/>
    <w:rsid w:val="005722A8"/>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D5"/>
    <w:rsid w:val="00597C4D"/>
    <w:rsid w:val="00597E91"/>
    <w:rsid w:val="005A2310"/>
    <w:rsid w:val="005A291D"/>
    <w:rsid w:val="005A2C11"/>
    <w:rsid w:val="005A2F0F"/>
    <w:rsid w:val="005A32A4"/>
    <w:rsid w:val="005A368F"/>
    <w:rsid w:val="005A398D"/>
    <w:rsid w:val="005A654E"/>
    <w:rsid w:val="005B1117"/>
    <w:rsid w:val="005B1D9E"/>
    <w:rsid w:val="005B3875"/>
    <w:rsid w:val="005B3CF6"/>
    <w:rsid w:val="005B3F9D"/>
    <w:rsid w:val="005B414B"/>
    <w:rsid w:val="005B4488"/>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3941"/>
    <w:rsid w:val="005D7065"/>
    <w:rsid w:val="005D7FD2"/>
    <w:rsid w:val="005E0696"/>
    <w:rsid w:val="005E0A80"/>
    <w:rsid w:val="005E0F09"/>
    <w:rsid w:val="005E10BE"/>
    <w:rsid w:val="005E1E3E"/>
    <w:rsid w:val="005E20A2"/>
    <w:rsid w:val="005E233F"/>
    <w:rsid w:val="005E281A"/>
    <w:rsid w:val="005E3ECF"/>
    <w:rsid w:val="005E40F4"/>
    <w:rsid w:val="005E5265"/>
    <w:rsid w:val="005E532E"/>
    <w:rsid w:val="005E6790"/>
    <w:rsid w:val="005F0328"/>
    <w:rsid w:val="005F03EB"/>
    <w:rsid w:val="005F0A2E"/>
    <w:rsid w:val="005F16FB"/>
    <w:rsid w:val="005F1832"/>
    <w:rsid w:val="005F4961"/>
    <w:rsid w:val="005F4D73"/>
    <w:rsid w:val="005F560B"/>
    <w:rsid w:val="005F56C7"/>
    <w:rsid w:val="005F59D6"/>
    <w:rsid w:val="005F6641"/>
    <w:rsid w:val="005F69DD"/>
    <w:rsid w:val="005F6A20"/>
    <w:rsid w:val="005F6B6F"/>
    <w:rsid w:val="005F703B"/>
    <w:rsid w:val="005F7385"/>
    <w:rsid w:val="005F74EC"/>
    <w:rsid w:val="00600FF7"/>
    <w:rsid w:val="00601B8D"/>
    <w:rsid w:val="0060205C"/>
    <w:rsid w:val="0060461A"/>
    <w:rsid w:val="006052F7"/>
    <w:rsid w:val="00606097"/>
    <w:rsid w:val="00607181"/>
    <w:rsid w:val="006071E8"/>
    <w:rsid w:val="00610002"/>
    <w:rsid w:val="006102B9"/>
    <w:rsid w:val="006118A3"/>
    <w:rsid w:val="00612E96"/>
    <w:rsid w:val="00613B4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33EC"/>
    <w:rsid w:val="00633793"/>
    <w:rsid w:val="00633C99"/>
    <w:rsid w:val="0063477E"/>
    <w:rsid w:val="00634C7E"/>
    <w:rsid w:val="00634DB2"/>
    <w:rsid w:val="00635050"/>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F7"/>
    <w:rsid w:val="00664037"/>
    <w:rsid w:val="00664265"/>
    <w:rsid w:val="00665DA2"/>
    <w:rsid w:val="00665E0F"/>
    <w:rsid w:val="00665E9C"/>
    <w:rsid w:val="006665BF"/>
    <w:rsid w:val="00666A97"/>
    <w:rsid w:val="006701FD"/>
    <w:rsid w:val="006702E4"/>
    <w:rsid w:val="00671820"/>
    <w:rsid w:val="00672AE3"/>
    <w:rsid w:val="0067318F"/>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2FBC"/>
    <w:rsid w:val="00693143"/>
    <w:rsid w:val="00694F72"/>
    <w:rsid w:val="006956FA"/>
    <w:rsid w:val="0069682F"/>
    <w:rsid w:val="00696DEB"/>
    <w:rsid w:val="006A0FA8"/>
    <w:rsid w:val="006A1CD0"/>
    <w:rsid w:val="006A32D3"/>
    <w:rsid w:val="006A46EF"/>
    <w:rsid w:val="006A4C1A"/>
    <w:rsid w:val="006A4E70"/>
    <w:rsid w:val="006A59E4"/>
    <w:rsid w:val="006B03E2"/>
    <w:rsid w:val="006B0539"/>
    <w:rsid w:val="006B1269"/>
    <w:rsid w:val="006B1D69"/>
    <w:rsid w:val="006B26A6"/>
    <w:rsid w:val="006B3AEC"/>
    <w:rsid w:val="006B465E"/>
    <w:rsid w:val="006B477A"/>
    <w:rsid w:val="006B61BA"/>
    <w:rsid w:val="006B67A8"/>
    <w:rsid w:val="006B6B11"/>
    <w:rsid w:val="006C07B7"/>
    <w:rsid w:val="006C0802"/>
    <w:rsid w:val="006C0BEC"/>
    <w:rsid w:val="006C1930"/>
    <w:rsid w:val="006C1E31"/>
    <w:rsid w:val="006C29B5"/>
    <w:rsid w:val="006C3139"/>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5603"/>
    <w:rsid w:val="006F56C5"/>
    <w:rsid w:val="006F6210"/>
    <w:rsid w:val="006F62B1"/>
    <w:rsid w:val="006F73B0"/>
    <w:rsid w:val="006F75F8"/>
    <w:rsid w:val="00700171"/>
    <w:rsid w:val="0070029C"/>
    <w:rsid w:val="00700C10"/>
    <w:rsid w:val="007011C6"/>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CC8"/>
    <w:rsid w:val="00733008"/>
    <w:rsid w:val="00734A61"/>
    <w:rsid w:val="007355BC"/>
    <w:rsid w:val="00735DAD"/>
    <w:rsid w:val="007369D4"/>
    <w:rsid w:val="00736D73"/>
    <w:rsid w:val="00736FE8"/>
    <w:rsid w:val="007372E2"/>
    <w:rsid w:val="00740108"/>
    <w:rsid w:val="007403E3"/>
    <w:rsid w:val="00740E84"/>
    <w:rsid w:val="00744567"/>
    <w:rsid w:val="00744A8F"/>
    <w:rsid w:val="00744B77"/>
    <w:rsid w:val="00744F57"/>
    <w:rsid w:val="00745FBE"/>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4873"/>
    <w:rsid w:val="007869FC"/>
    <w:rsid w:val="00787C20"/>
    <w:rsid w:val="00791384"/>
    <w:rsid w:val="00793503"/>
    <w:rsid w:val="00793C46"/>
    <w:rsid w:val="00793DE5"/>
    <w:rsid w:val="00795B36"/>
    <w:rsid w:val="00795BDE"/>
    <w:rsid w:val="00795E44"/>
    <w:rsid w:val="00796002"/>
    <w:rsid w:val="007975E8"/>
    <w:rsid w:val="00797CB8"/>
    <w:rsid w:val="007A0033"/>
    <w:rsid w:val="007A004A"/>
    <w:rsid w:val="007A1DCC"/>
    <w:rsid w:val="007A2A81"/>
    <w:rsid w:val="007A3E1A"/>
    <w:rsid w:val="007A5B13"/>
    <w:rsid w:val="007A5B1D"/>
    <w:rsid w:val="007A720D"/>
    <w:rsid w:val="007A7776"/>
    <w:rsid w:val="007B0581"/>
    <w:rsid w:val="007B0E4D"/>
    <w:rsid w:val="007B2BAB"/>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8BE"/>
    <w:rsid w:val="007C436E"/>
    <w:rsid w:val="007C4DB7"/>
    <w:rsid w:val="007C5670"/>
    <w:rsid w:val="007C5770"/>
    <w:rsid w:val="007C6495"/>
    <w:rsid w:val="007C72DC"/>
    <w:rsid w:val="007C7FF9"/>
    <w:rsid w:val="007D1805"/>
    <w:rsid w:val="007D2262"/>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52E"/>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C0F"/>
    <w:rsid w:val="00827CAC"/>
    <w:rsid w:val="00832C4B"/>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837"/>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F29"/>
    <w:rsid w:val="008A01D5"/>
    <w:rsid w:val="008A0287"/>
    <w:rsid w:val="008A0491"/>
    <w:rsid w:val="008A1460"/>
    <w:rsid w:val="008A1474"/>
    <w:rsid w:val="008A19FD"/>
    <w:rsid w:val="008A222B"/>
    <w:rsid w:val="008A3A2F"/>
    <w:rsid w:val="008A3AAF"/>
    <w:rsid w:val="008A628C"/>
    <w:rsid w:val="008A7EAB"/>
    <w:rsid w:val="008B0494"/>
    <w:rsid w:val="008B2198"/>
    <w:rsid w:val="008B37C2"/>
    <w:rsid w:val="008B3B75"/>
    <w:rsid w:val="008B40D3"/>
    <w:rsid w:val="008B479B"/>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A5"/>
    <w:rsid w:val="008D5A54"/>
    <w:rsid w:val="008D6F52"/>
    <w:rsid w:val="008D7A68"/>
    <w:rsid w:val="008D7E42"/>
    <w:rsid w:val="008D7F3E"/>
    <w:rsid w:val="008E1876"/>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257E"/>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3B5"/>
    <w:rsid w:val="00970C66"/>
    <w:rsid w:val="00970FC7"/>
    <w:rsid w:val="00971567"/>
    <w:rsid w:val="00971F8A"/>
    <w:rsid w:val="00972394"/>
    <w:rsid w:val="009724B7"/>
    <w:rsid w:val="00972C6C"/>
    <w:rsid w:val="009731FC"/>
    <w:rsid w:val="00974339"/>
    <w:rsid w:val="009745AD"/>
    <w:rsid w:val="00974ADD"/>
    <w:rsid w:val="00974C12"/>
    <w:rsid w:val="009759AF"/>
    <w:rsid w:val="00975C27"/>
    <w:rsid w:val="00976577"/>
    <w:rsid w:val="00980571"/>
    <w:rsid w:val="00980C58"/>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7D0F"/>
    <w:rsid w:val="009A7EAE"/>
    <w:rsid w:val="009B0A0E"/>
    <w:rsid w:val="009B2531"/>
    <w:rsid w:val="009B26EF"/>
    <w:rsid w:val="009B2B00"/>
    <w:rsid w:val="009B2DA8"/>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38"/>
    <w:rsid w:val="009D51E6"/>
    <w:rsid w:val="009D558F"/>
    <w:rsid w:val="009D7962"/>
    <w:rsid w:val="009E055F"/>
    <w:rsid w:val="009E0576"/>
    <w:rsid w:val="009E06F2"/>
    <w:rsid w:val="009E132A"/>
    <w:rsid w:val="009E1B11"/>
    <w:rsid w:val="009E2121"/>
    <w:rsid w:val="009E3207"/>
    <w:rsid w:val="009E3B8B"/>
    <w:rsid w:val="009E3FEF"/>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E0F"/>
    <w:rsid w:val="00A261F6"/>
    <w:rsid w:val="00A26F3C"/>
    <w:rsid w:val="00A27A84"/>
    <w:rsid w:val="00A27BC2"/>
    <w:rsid w:val="00A3131D"/>
    <w:rsid w:val="00A32140"/>
    <w:rsid w:val="00A33AC2"/>
    <w:rsid w:val="00A33C16"/>
    <w:rsid w:val="00A33E1B"/>
    <w:rsid w:val="00A34D12"/>
    <w:rsid w:val="00A35725"/>
    <w:rsid w:val="00A364F2"/>
    <w:rsid w:val="00A371BC"/>
    <w:rsid w:val="00A4064E"/>
    <w:rsid w:val="00A41B5B"/>
    <w:rsid w:val="00A41F2B"/>
    <w:rsid w:val="00A4427E"/>
    <w:rsid w:val="00A45A82"/>
    <w:rsid w:val="00A47257"/>
    <w:rsid w:val="00A477DA"/>
    <w:rsid w:val="00A502AB"/>
    <w:rsid w:val="00A51DA2"/>
    <w:rsid w:val="00A527F9"/>
    <w:rsid w:val="00A53816"/>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1DEE"/>
    <w:rsid w:val="00A75A6F"/>
    <w:rsid w:val="00A76972"/>
    <w:rsid w:val="00A76D35"/>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40A2"/>
    <w:rsid w:val="00AC49C5"/>
    <w:rsid w:val="00AC4CDA"/>
    <w:rsid w:val="00AC71D2"/>
    <w:rsid w:val="00AC7220"/>
    <w:rsid w:val="00AC7A38"/>
    <w:rsid w:val="00AC7A70"/>
    <w:rsid w:val="00AD0C63"/>
    <w:rsid w:val="00AD100B"/>
    <w:rsid w:val="00AD106E"/>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173"/>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04F3"/>
    <w:rsid w:val="00B41020"/>
    <w:rsid w:val="00B417B0"/>
    <w:rsid w:val="00B41EEA"/>
    <w:rsid w:val="00B426C8"/>
    <w:rsid w:val="00B42C6A"/>
    <w:rsid w:val="00B443F6"/>
    <w:rsid w:val="00B44B25"/>
    <w:rsid w:val="00B45032"/>
    <w:rsid w:val="00B4518D"/>
    <w:rsid w:val="00B451EF"/>
    <w:rsid w:val="00B45AEA"/>
    <w:rsid w:val="00B45C90"/>
    <w:rsid w:val="00B473E7"/>
    <w:rsid w:val="00B47DB0"/>
    <w:rsid w:val="00B47F66"/>
    <w:rsid w:val="00B508C3"/>
    <w:rsid w:val="00B50EF0"/>
    <w:rsid w:val="00B511B9"/>
    <w:rsid w:val="00B51F6F"/>
    <w:rsid w:val="00B52158"/>
    <w:rsid w:val="00B5225B"/>
    <w:rsid w:val="00B5336B"/>
    <w:rsid w:val="00B55331"/>
    <w:rsid w:val="00B55FDA"/>
    <w:rsid w:val="00B56C0C"/>
    <w:rsid w:val="00B56CC7"/>
    <w:rsid w:val="00B56D96"/>
    <w:rsid w:val="00B5731A"/>
    <w:rsid w:val="00B60A3C"/>
    <w:rsid w:val="00B60A6A"/>
    <w:rsid w:val="00B614F6"/>
    <w:rsid w:val="00B621B6"/>
    <w:rsid w:val="00B636EF"/>
    <w:rsid w:val="00B63BCF"/>
    <w:rsid w:val="00B6440E"/>
    <w:rsid w:val="00B67E7A"/>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0BD"/>
    <w:rsid w:val="00B87546"/>
    <w:rsid w:val="00B87757"/>
    <w:rsid w:val="00B878BF"/>
    <w:rsid w:val="00B90C15"/>
    <w:rsid w:val="00B911F8"/>
    <w:rsid w:val="00B91610"/>
    <w:rsid w:val="00B92748"/>
    <w:rsid w:val="00B93F7B"/>
    <w:rsid w:val="00B94F01"/>
    <w:rsid w:val="00B95D55"/>
    <w:rsid w:val="00B960FB"/>
    <w:rsid w:val="00B96A14"/>
    <w:rsid w:val="00B96AE2"/>
    <w:rsid w:val="00B96EC5"/>
    <w:rsid w:val="00BA15C6"/>
    <w:rsid w:val="00BA2625"/>
    <w:rsid w:val="00BA2B2D"/>
    <w:rsid w:val="00BA4641"/>
    <w:rsid w:val="00BA567B"/>
    <w:rsid w:val="00BA5798"/>
    <w:rsid w:val="00BA57B3"/>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22FC"/>
    <w:rsid w:val="00BE5096"/>
    <w:rsid w:val="00BE6025"/>
    <w:rsid w:val="00BE7AA6"/>
    <w:rsid w:val="00BE7BB8"/>
    <w:rsid w:val="00BE7DE8"/>
    <w:rsid w:val="00BF1AB0"/>
    <w:rsid w:val="00BF234A"/>
    <w:rsid w:val="00BF2357"/>
    <w:rsid w:val="00BF3062"/>
    <w:rsid w:val="00BF38E5"/>
    <w:rsid w:val="00BF403C"/>
    <w:rsid w:val="00BF434C"/>
    <w:rsid w:val="00BF4A5D"/>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09A1"/>
    <w:rsid w:val="00C217A9"/>
    <w:rsid w:val="00C22700"/>
    <w:rsid w:val="00C22874"/>
    <w:rsid w:val="00C24935"/>
    <w:rsid w:val="00C26397"/>
    <w:rsid w:val="00C26A76"/>
    <w:rsid w:val="00C26BDF"/>
    <w:rsid w:val="00C3090A"/>
    <w:rsid w:val="00C30D3E"/>
    <w:rsid w:val="00C31D02"/>
    <w:rsid w:val="00C32075"/>
    <w:rsid w:val="00C34F4E"/>
    <w:rsid w:val="00C3520B"/>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AE7"/>
    <w:rsid w:val="00C90854"/>
    <w:rsid w:val="00C922E6"/>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099"/>
    <w:rsid w:val="00CB5C6B"/>
    <w:rsid w:val="00CB5DC7"/>
    <w:rsid w:val="00CB6402"/>
    <w:rsid w:val="00CB66EB"/>
    <w:rsid w:val="00CB704A"/>
    <w:rsid w:val="00CB708E"/>
    <w:rsid w:val="00CB70B3"/>
    <w:rsid w:val="00CC00EA"/>
    <w:rsid w:val="00CC13C4"/>
    <w:rsid w:val="00CC1D2F"/>
    <w:rsid w:val="00CC3C0E"/>
    <w:rsid w:val="00CC3E64"/>
    <w:rsid w:val="00CC54E2"/>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2C6"/>
    <w:rsid w:val="00CE7EDA"/>
    <w:rsid w:val="00CF0C04"/>
    <w:rsid w:val="00CF1735"/>
    <w:rsid w:val="00CF2454"/>
    <w:rsid w:val="00CF2671"/>
    <w:rsid w:val="00CF2E0A"/>
    <w:rsid w:val="00CF3A82"/>
    <w:rsid w:val="00CF4207"/>
    <w:rsid w:val="00CF6272"/>
    <w:rsid w:val="00CF7B76"/>
    <w:rsid w:val="00D00338"/>
    <w:rsid w:val="00D01E37"/>
    <w:rsid w:val="00D03461"/>
    <w:rsid w:val="00D03EF3"/>
    <w:rsid w:val="00D05099"/>
    <w:rsid w:val="00D06257"/>
    <w:rsid w:val="00D0668A"/>
    <w:rsid w:val="00D06AEB"/>
    <w:rsid w:val="00D07485"/>
    <w:rsid w:val="00D07ABE"/>
    <w:rsid w:val="00D11DF0"/>
    <w:rsid w:val="00D1321A"/>
    <w:rsid w:val="00D1331B"/>
    <w:rsid w:val="00D14951"/>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DBA"/>
    <w:rsid w:val="00D46272"/>
    <w:rsid w:val="00D46775"/>
    <w:rsid w:val="00D46C27"/>
    <w:rsid w:val="00D51156"/>
    <w:rsid w:val="00D5220F"/>
    <w:rsid w:val="00D5293F"/>
    <w:rsid w:val="00D52E71"/>
    <w:rsid w:val="00D53A17"/>
    <w:rsid w:val="00D54D70"/>
    <w:rsid w:val="00D555B0"/>
    <w:rsid w:val="00D57A32"/>
    <w:rsid w:val="00D608DE"/>
    <w:rsid w:val="00D6156B"/>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3EF"/>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59D"/>
    <w:rsid w:val="00DB63B5"/>
    <w:rsid w:val="00DB7AC3"/>
    <w:rsid w:val="00DC0029"/>
    <w:rsid w:val="00DC0320"/>
    <w:rsid w:val="00DC046F"/>
    <w:rsid w:val="00DC0F4D"/>
    <w:rsid w:val="00DC0FA7"/>
    <w:rsid w:val="00DC158E"/>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0E1C"/>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E0E"/>
    <w:rsid w:val="00E306E0"/>
    <w:rsid w:val="00E30C75"/>
    <w:rsid w:val="00E31065"/>
    <w:rsid w:val="00E31E68"/>
    <w:rsid w:val="00E3281E"/>
    <w:rsid w:val="00E33A0B"/>
    <w:rsid w:val="00E33FA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7AE4"/>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721D9"/>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4BD"/>
    <w:rsid w:val="00E926EB"/>
    <w:rsid w:val="00E937BC"/>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B55DC"/>
    <w:rsid w:val="00EC03F0"/>
    <w:rsid w:val="00EC0603"/>
    <w:rsid w:val="00EC0952"/>
    <w:rsid w:val="00EC0C4A"/>
    <w:rsid w:val="00EC11C9"/>
    <w:rsid w:val="00EC2279"/>
    <w:rsid w:val="00EC2588"/>
    <w:rsid w:val="00EC2930"/>
    <w:rsid w:val="00EC38B7"/>
    <w:rsid w:val="00EC4BFB"/>
    <w:rsid w:val="00EC4E75"/>
    <w:rsid w:val="00EC5BFA"/>
    <w:rsid w:val="00EC604D"/>
    <w:rsid w:val="00EC722C"/>
    <w:rsid w:val="00EC79DC"/>
    <w:rsid w:val="00ED1007"/>
    <w:rsid w:val="00ED146B"/>
    <w:rsid w:val="00ED15F4"/>
    <w:rsid w:val="00ED2D29"/>
    <w:rsid w:val="00ED4482"/>
    <w:rsid w:val="00ED4B87"/>
    <w:rsid w:val="00ED4FB1"/>
    <w:rsid w:val="00ED5662"/>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6837"/>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6A7"/>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619B"/>
    <w:rsid w:val="00FC64C4"/>
    <w:rsid w:val="00FC773B"/>
    <w:rsid w:val="00FC7AC8"/>
    <w:rsid w:val="00FC7DBB"/>
    <w:rsid w:val="00FC7E69"/>
    <w:rsid w:val="00FD00EA"/>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4B5"/>
    <w:rsid w:val="00FF471E"/>
    <w:rsid w:val="00FF47F7"/>
    <w:rsid w:val="00FF4CB6"/>
    <w:rsid w:val="00FF4EDE"/>
    <w:rsid w:val="00FF540A"/>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63A9AA25-8488-4C74-B4FB-65E2EF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upov.int/pluto/fr/)" TargetMode="Externa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9.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CFAA3-2CCE-4C3F-89A8-9AC3A47C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23</Pages>
  <Words>7377</Words>
  <Characters>41434</Characters>
  <Application>Microsoft Office Word</Application>
  <DocSecurity>0</DocSecurity>
  <Lines>1079</Lines>
  <Paragraphs>365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49</cp:revision>
  <cp:lastPrinted>2020-03-12T16:25:00Z</cp:lastPrinted>
  <dcterms:created xsi:type="dcterms:W3CDTF">2020-03-23T13:12:00Z</dcterms:created>
  <dcterms:modified xsi:type="dcterms:W3CDTF">2020-04-03T16:05:00Z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0d765d31-db80-4520-964d-f9d31b2d9c99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