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847FB6" w:rsidRDefault="00847FB6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847FB6" w:rsidRDefault="001C176C" w:rsidP="00AC2883">
            <w:pPr>
              <w:pStyle w:val="Sessiontc"/>
              <w:spacing w:line="240" w:lineRule="auto"/>
            </w:pPr>
            <w:r w:rsidRPr="001C176C">
              <w:t>Comité administratif et juridique</w:t>
            </w:r>
          </w:p>
          <w:p w:rsidR="00EB4E9C" w:rsidRPr="00DC3802" w:rsidRDefault="001C176C" w:rsidP="00E86C32">
            <w:pPr>
              <w:pStyle w:val="Sessiontcplacedate"/>
              <w:rPr>
                <w:sz w:val="22"/>
              </w:rPr>
            </w:pPr>
            <w:r>
              <w:t>Soixante</w:t>
            </w:r>
            <w:r w:rsidR="00B24468">
              <w:noBreakHyphen/>
            </w:r>
            <w:r w:rsidR="00E86C32">
              <w:t>dix</w:t>
            </w:r>
            <w:r w:rsidR="00B24468">
              <w:noBreakHyphen/>
            </w:r>
            <w:r w:rsidR="00E86C32">
              <w:t>sept</w:t>
            </w:r>
            <w:r w:rsidR="00164402">
              <w:t>ième session</w:t>
            </w:r>
            <w:r w:rsidR="00EB4E9C" w:rsidRPr="00DA4973">
              <w:br/>
              <w:t>Gen</w:t>
            </w:r>
            <w:r w:rsidR="00A706D3">
              <w:t>è</w:t>
            </w:r>
            <w:r w:rsidR="00EB4E9C" w:rsidRPr="00DA4973">
              <w:t>v</w:t>
            </w:r>
            <w:r w:rsidR="00A706D3">
              <w:t>e</w:t>
            </w:r>
            <w:r w:rsidR="00EB4E9C" w:rsidRPr="00DA4973">
              <w:t xml:space="preserve">, </w:t>
            </w:r>
            <w:r w:rsidR="00E86C32">
              <w:t>2</w:t>
            </w:r>
            <w:r w:rsidR="00164402">
              <w:t>8 octobre 20</w:t>
            </w:r>
            <w:r w:rsidR="00E86C32">
              <w:t>20</w:t>
            </w:r>
          </w:p>
        </w:tc>
        <w:tc>
          <w:tcPr>
            <w:tcW w:w="3127" w:type="dxa"/>
          </w:tcPr>
          <w:p w:rsidR="00847FB6" w:rsidRDefault="00E86C32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CAJ/77</w:t>
            </w:r>
            <w:r w:rsidR="00EB4E9C" w:rsidRPr="00E86C32">
              <w:rPr>
                <w:lang w:val="fr-FR"/>
              </w:rPr>
              <w:t>/</w:t>
            </w:r>
            <w:r w:rsidR="00532990">
              <w:rPr>
                <w:lang w:val="fr-FR"/>
              </w:rPr>
              <w:t>INF/3</w:t>
            </w:r>
          </w:p>
          <w:p w:rsidR="00847FB6" w:rsidRDefault="00EB4E9C" w:rsidP="003C7FBE">
            <w:pPr>
              <w:pStyle w:val="Docoriginal"/>
            </w:pPr>
            <w:r w:rsidRPr="00AC2883">
              <w:t>Original</w:t>
            </w:r>
            <w:r w:rsidR="001A69E6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91474C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532990">
            <w:pPr>
              <w:pStyle w:val="Docoriginal"/>
            </w:pPr>
            <w:r w:rsidRPr="00AC2883">
              <w:t>Date</w:t>
            </w:r>
            <w:r w:rsidR="001A69E6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91474C">
              <w:rPr>
                <w:b w:val="0"/>
                <w:spacing w:val="0"/>
              </w:rPr>
              <w:t xml:space="preserve"> </w:t>
            </w:r>
            <w:r w:rsidR="00532990" w:rsidRPr="0091474C">
              <w:rPr>
                <w:b w:val="0"/>
                <w:spacing w:val="0"/>
              </w:rPr>
              <w:t>1</w:t>
            </w:r>
            <w:r w:rsidR="00164402" w:rsidRPr="0091474C">
              <w:rPr>
                <w:b w:val="0"/>
                <w:spacing w:val="0"/>
              </w:rPr>
              <w:t>4 octobre</w:t>
            </w:r>
            <w:r w:rsidR="00532990" w:rsidRPr="0091474C">
              <w:rPr>
                <w:b w:val="0"/>
                <w:spacing w:val="0"/>
              </w:rPr>
              <w:t xml:space="preserve"> </w:t>
            </w:r>
            <w:r w:rsidR="00E86C32" w:rsidRPr="0091474C">
              <w:rPr>
                <w:b w:val="0"/>
                <w:spacing w:val="0"/>
              </w:rPr>
              <w:t>2020</w:t>
            </w:r>
          </w:p>
        </w:tc>
      </w:tr>
    </w:tbl>
    <w:p w:rsidR="00847FB6" w:rsidRDefault="003C07B4" w:rsidP="006A644A">
      <w:pPr>
        <w:pStyle w:val="Titleofdoc0"/>
      </w:pPr>
      <w:bookmarkStart w:id="0" w:name="TitleOfDoc"/>
      <w:bookmarkEnd w:id="0"/>
      <w:r>
        <w:rPr>
          <w:lang w:val="fr-CH"/>
        </w:rPr>
        <w:t>Bases de données d</w:t>
      </w:r>
      <w:r w:rsidR="00164402">
        <w:rPr>
          <w:lang w:val="fr-CH"/>
        </w:rPr>
        <w:t>’</w:t>
      </w:r>
      <w:r>
        <w:rPr>
          <w:lang w:val="fr-CH"/>
        </w:rPr>
        <w:t>information de l</w:t>
      </w:r>
      <w:r w:rsidR="00164402">
        <w:rPr>
          <w:lang w:val="fr-CH"/>
        </w:rPr>
        <w:t>’</w:t>
      </w:r>
      <w:r>
        <w:rPr>
          <w:lang w:val="fr-CH"/>
        </w:rPr>
        <w:t>UPOV</w:t>
      </w:r>
    </w:p>
    <w:p w:rsidR="00847FB6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</w:t>
      </w:r>
      <w:r w:rsidR="00164402">
        <w:t>’</w:t>
      </w:r>
      <w:r w:rsidR="00A706D3">
        <w:t>Union</w:t>
      </w:r>
    </w:p>
    <w:p w:rsidR="00847FB6" w:rsidRDefault="00A706D3" w:rsidP="006A644A">
      <w:pPr>
        <w:pStyle w:val="Disclaimer"/>
      </w:pPr>
      <w:r w:rsidRPr="00A706D3">
        <w:t>Avertissement</w:t>
      </w:r>
      <w:r w:rsidR="00164402">
        <w:t> :</w:t>
      </w:r>
      <w:r w:rsidRPr="00A706D3">
        <w:t xml:space="preserve"> le présent document ne représente pas les principes ou les orientations de l</w:t>
      </w:r>
      <w:r w:rsidR="00164402">
        <w:t>’</w:t>
      </w:r>
      <w:r w:rsidRPr="00A706D3">
        <w:t>UPOV</w:t>
      </w:r>
    </w:p>
    <w:p w:rsidR="00847FB6" w:rsidRDefault="003C07B4" w:rsidP="00532990">
      <w:pPr>
        <w:keepNext/>
        <w:outlineLvl w:val="0"/>
        <w:rPr>
          <w:caps/>
        </w:rPr>
      </w:pPr>
      <w:bookmarkStart w:id="2" w:name="_Toc53751896"/>
      <w:r w:rsidRPr="00CF2391">
        <w:rPr>
          <w:caps/>
        </w:rPr>
        <w:t>RÉSUMÉ</w:t>
      </w:r>
      <w:bookmarkEnd w:id="2"/>
    </w:p>
    <w:p w:rsidR="00847FB6" w:rsidRDefault="00847FB6" w:rsidP="00532990"/>
    <w:p w:rsidR="00164402" w:rsidRDefault="00532990" w:rsidP="00CF2391">
      <w:r>
        <w:fldChar w:fldCharType="begin"/>
      </w:r>
      <w:r w:rsidRPr="00CF2391">
        <w:instrText xml:space="preserve"> AUTONUM  </w:instrText>
      </w:r>
      <w:r>
        <w:fldChar w:fldCharType="end"/>
      </w:r>
      <w:r w:rsidRPr="00CF2391">
        <w:tab/>
      </w:r>
      <w:r w:rsidR="00CF2391" w:rsidRPr="00CF2391">
        <w:t>L</w:t>
      </w:r>
      <w:r w:rsidR="00164402">
        <w:t>’</w:t>
      </w:r>
      <w:r w:rsidR="00CF2391" w:rsidRPr="00CF2391">
        <w:t xml:space="preserve">objet du présent document est de faire le point sur les faits nouveaux concernant la base de données GENIE, le </w:t>
      </w:r>
      <w:r w:rsidR="00C946AA">
        <w:t>s</w:t>
      </w:r>
      <w:r w:rsidR="00CF2391" w:rsidRPr="00CF2391">
        <w:t>ystème de codes UPOV et la base de données PLUTO</w:t>
      </w:r>
      <w:r w:rsidR="00C946AA">
        <w:t>,</w:t>
      </w:r>
      <w:r w:rsidR="00CF2391" w:rsidRPr="00CF2391">
        <w:t xml:space="preserve"> qui ne sont pas pris en considération dans d</w:t>
      </w:r>
      <w:r w:rsidR="00164402">
        <w:t>’</w:t>
      </w:r>
      <w:r w:rsidR="00CF2391" w:rsidRPr="00CF2391">
        <w:t>autres documents.</w:t>
      </w:r>
    </w:p>
    <w:p w:rsidR="00847FB6" w:rsidRDefault="00847FB6" w:rsidP="00532990"/>
    <w:p w:rsidR="00847FB6" w:rsidRDefault="00532990" w:rsidP="005E1CB7">
      <w:r>
        <w:fldChar w:fldCharType="begin"/>
      </w:r>
      <w:r w:rsidRPr="003C07B4">
        <w:instrText xml:space="preserve"> AUTONUM  </w:instrText>
      </w:r>
      <w:r>
        <w:fldChar w:fldCharType="end"/>
      </w:r>
      <w:r w:rsidRPr="003C07B4">
        <w:tab/>
      </w:r>
      <w:r w:rsidR="005E1CB7">
        <w:t>Le Comité administratif et juridique (CAJ) est invité à prendre note des éléments ci</w:t>
      </w:r>
      <w:r w:rsidR="00B24468">
        <w:noBreakHyphen/>
      </w:r>
      <w:r w:rsidR="005E1CB7">
        <w:t>après</w:t>
      </w:r>
      <w:r w:rsidR="00164402">
        <w:t> :</w:t>
      </w:r>
    </w:p>
    <w:p w:rsidR="00847FB6" w:rsidRDefault="00847FB6" w:rsidP="00532990">
      <w:pPr>
        <w:rPr>
          <w:rFonts w:eastAsiaTheme="minorEastAsia" w:cs="Arial"/>
        </w:rPr>
      </w:pPr>
    </w:p>
    <w:p w:rsidR="00847FB6" w:rsidRDefault="00532990" w:rsidP="0091474C">
      <w:pPr>
        <w:tabs>
          <w:tab w:val="left" w:pos="567"/>
          <w:tab w:val="left" w:pos="1134"/>
        </w:tabs>
        <w:jc w:val="left"/>
        <w:rPr>
          <w:rFonts w:eastAsiaTheme="minorEastAsia"/>
        </w:rPr>
      </w:pPr>
      <w:r w:rsidRPr="003C07B4">
        <w:rPr>
          <w:rFonts w:eastAsiaTheme="minorEastAsia"/>
        </w:rPr>
        <w:tab/>
      </w:r>
      <w:r w:rsidR="005E1CB7">
        <w:rPr>
          <w:rFonts w:eastAsiaTheme="minorEastAsia"/>
        </w:rPr>
        <w:t xml:space="preserve">a) </w:t>
      </w:r>
      <w:r w:rsidR="0091474C">
        <w:rPr>
          <w:rFonts w:eastAsiaTheme="minorEastAsia"/>
        </w:rPr>
        <w:tab/>
      </w:r>
      <w:r w:rsidR="005E1CB7">
        <w:rPr>
          <w:rFonts w:eastAsiaTheme="minorEastAsia"/>
        </w:rPr>
        <w:t>des faits nouveaux concernant les informations figurant dans la base de données GENIE et son utilisation figurent dans le document</w:t>
      </w:r>
      <w:r w:rsidR="00311EE0">
        <w:rPr>
          <w:rFonts w:eastAsiaTheme="minorEastAsia"/>
        </w:rPr>
        <w:t> </w:t>
      </w:r>
      <w:r w:rsidR="005E1CB7">
        <w:rPr>
          <w:rFonts w:eastAsiaTheme="minorEastAsia"/>
        </w:rPr>
        <w:t xml:space="preserve">C/54/2 </w:t>
      </w:r>
      <w:r w:rsidR="00164402">
        <w:rPr>
          <w:rFonts w:eastAsiaTheme="minorEastAsia"/>
        </w:rPr>
        <w:t>“R</w:t>
      </w:r>
      <w:r w:rsidR="005E1CB7">
        <w:rPr>
          <w:rFonts w:eastAsiaTheme="minorEastAsia"/>
        </w:rPr>
        <w:t xml:space="preserve">apport annuel du Secrétaire général </w:t>
      </w:r>
      <w:r w:rsidR="00164402">
        <w:rPr>
          <w:rFonts w:eastAsiaTheme="minorEastAsia"/>
        </w:rPr>
        <w:t>pour 2019”</w:t>
      </w:r>
      <w:r w:rsidR="005E1CB7">
        <w:rPr>
          <w:rFonts w:eastAsiaTheme="minorEastAsia"/>
        </w:rPr>
        <w:t>;</w:t>
      </w:r>
    </w:p>
    <w:p w:rsidR="00847FB6" w:rsidRDefault="00847FB6" w:rsidP="0091474C">
      <w:pPr>
        <w:tabs>
          <w:tab w:val="left" w:pos="567"/>
          <w:tab w:val="left" w:pos="1134"/>
        </w:tabs>
        <w:jc w:val="left"/>
        <w:rPr>
          <w:rFonts w:eastAsiaTheme="minorEastAsia"/>
        </w:rPr>
      </w:pPr>
    </w:p>
    <w:p w:rsidR="00847FB6" w:rsidRDefault="00532990" w:rsidP="0091474C">
      <w:pPr>
        <w:tabs>
          <w:tab w:val="left" w:pos="567"/>
          <w:tab w:val="left" w:pos="1134"/>
        </w:tabs>
        <w:jc w:val="left"/>
        <w:rPr>
          <w:rFonts w:eastAsiaTheme="minorEastAsia"/>
        </w:rPr>
      </w:pPr>
      <w:r w:rsidRPr="00CF2391">
        <w:rPr>
          <w:rFonts w:eastAsiaTheme="minorEastAsia"/>
          <w:spacing w:val="-4"/>
        </w:rPr>
        <w:tab/>
      </w:r>
      <w:r w:rsidR="005E1CB7">
        <w:rPr>
          <w:rFonts w:eastAsiaTheme="minorEastAsia"/>
          <w:spacing w:val="-4"/>
        </w:rPr>
        <w:t xml:space="preserve">b) </w:t>
      </w:r>
      <w:r w:rsidR="0091474C">
        <w:rPr>
          <w:rFonts w:eastAsiaTheme="minorEastAsia"/>
          <w:spacing w:val="-4"/>
        </w:rPr>
        <w:tab/>
      </w:r>
      <w:r w:rsidR="005E1CB7">
        <w:rPr>
          <w:rFonts w:eastAsiaTheme="minorEastAsia"/>
          <w:spacing w:val="-4"/>
        </w:rPr>
        <w:t>145 nouveaux codes UPOV avaient été créés au 3</w:t>
      </w:r>
      <w:r w:rsidR="00164402">
        <w:rPr>
          <w:rFonts w:eastAsiaTheme="minorEastAsia"/>
          <w:spacing w:val="-4"/>
        </w:rPr>
        <w:t>0 août 20</w:t>
      </w:r>
      <w:r w:rsidR="005E1CB7">
        <w:rPr>
          <w:rFonts w:eastAsiaTheme="minorEastAsia"/>
          <w:spacing w:val="-4"/>
        </w:rPr>
        <w:t xml:space="preserve">20 et la base de données GENIE contient un total </w:t>
      </w:r>
      <w:r w:rsidR="00164402">
        <w:rPr>
          <w:rFonts w:eastAsiaTheme="minorEastAsia"/>
          <w:spacing w:val="-4"/>
        </w:rPr>
        <w:t>de 9178</w:t>
      </w:r>
      <w:r w:rsidR="00311EE0">
        <w:rPr>
          <w:rFonts w:eastAsiaTheme="minorEastAsia"/>
          <w:spacing w:val="-4"/>
        </w:rPr>
        <w:t> </w:t>
      </w:r>
      <w:r w:rsidR="005E1CB7">
        <w:rPr>
          <w:rFonts w:eastAsiaTheme="minorEastAsia"/>
          <w:spacing w:val="-4"/>
        </w:rPr>
        <w:t>codes UPOV;</w:t>
      </w:r>
    </w:p>
    <w:p w:rsidR="00847FB6" w:rsidRDefault="00847FB6" w:rsidP="0091474C">
      <w:pPr>
        <w:tabs>
          <w:tab w:val="left" w:pos="567"/>
          <w:tab w:val="left" w:pos="1134"/>
        </w:tabs>
        <w:jc w:val="left"/>
        <w:rPr>
          <w:rFonts w:eastAsiaTheme="minorEastAsia"/>
        </w:rPr>
      </w:pPr>
    </w:p>
    <w:p w:rsidR="00847FB6" w:rsidRDefault="00532990" w:rsidP="0091474C">
      <w:pPr>
        <w:tabs>
          <w:tab w:val="left" w:pos="567"/>
          <w:tab w:val="left" w:pos="1134"/>
        </w:tabs>
        <w:jc w:val="left"/>
        <w:rPr>
          <w:rFonts w:eastAsiaTheme="minorEastAsia"/>
        </w:rPr>
      </w:pPr>
      <w:r w:rsidRPr="00855D84">
        <w:rPr>
          <w:rFonts w:eastAsiaTheme="minorEastAsia"/>
        </w:rPr>
        <w:tab/>
      </w:r>
      <w:r w:rsidR="005C00AD">
        <w:rPr>
          <w:rFonts w:eastAsiaTheme="minorEastAsia"/>
        </w:rPr>
        <w:t>c)</w:t>
      </w:r>
      <w:r w:rsidR="00164402">
        <w:rPr>
          <w:rFonts w:eastAsiaTheme="minorEastAsia"/>
        </w:rPr>
        <w:t xml:space="preserve"> </w:t>
      </w:r>
      <w:r w:rsidR="0091474C">
        <w:rPr>
          <w:rFonts w:eastAsiaTheme="minorEastAsia"/>
        </w:rPr>
        <w:tab/>
      </w:r>
      <w:r w:rsidR="00164402">
        <w:rPr>
          <w:rFonts w:eastAsiaTheme="minorEastAsia"/>
        </w:rPr>
        <w:t>le </w:t>
      </w:r>
      <w:proofErr w:type="spellStart"/>
      <w:r w:rsidR="00164402">
        <w:rPr>
          <w:rFonts w:eastAsiaTheme="minorEastAsia"/>
        </w:rPr>
        <w:t>CAJ</w:t>
      </w:r>
      <w:proofErr w:type="spellEnd"/>
      <w:r w:rsidR="005C00AD">
        <w:rPr>
          <w:rFonts w:eastAsiaTheme="minorEastAsia"/>
        </w:rPr>
        <w:t xml:space="preserve"> sera invité à examiner le document</w:t>
      </w:r>
      <w:r w:rsidR="00311EE0">
        <w:rPr>
          <w:rFonts w:eastAsiaTheme="minorEastAsia"/>
        </w:rPr>
        <w:t> </w:t>
      </w:r>
      <w:r w:rsidR="005C00AD">
        <w:rPr>
          <w:rFonts w:eastAsiaTheme="minorEastAsia"/>
        </w:rPr>
        <w:t>UPOV/INF/23/1, sur la base du document</w:t>
      </w:r>
      <w:r w:rsidR="00311EE0">
        <w:rPr>
          <w:rFonts w:eastAsiaTheme="minorEastAsia"/>
        </w:rPr>
        <w:t> </w:t>
      </w:r>
      <w:r w:rsidR="005C00AD">
        <w:rPr>
          <w:rFonts w:eastAsiaTheme="minorEastAsia"/>
        </w:rPr>
        <w:t>UPOV/</w:t>
      </w:r>
      <w:proofErr w:type="spellStart"/>
      <w:r w:rsidR="005C00AD">
        <w:rPr>
          <w:rFonts w:eastAsiaTheme="minorEastAsia"/>
        </w:rPr>
        <w:t>INF</w:t>
      </w:r>
      <w:proofErr w:type="spellEnd"/>
      <w:r w:rsidR="005C00AD">
        <w:rPr>
          <w:rFonts w:eastAsiaTheme="minorEastAsia"/>
        </w:rPr>
        <w:t xml:space="preserve">/23/1 </w:t>
      </w:r>
      <w:proofErr w:type="spellStart"/>
      <w:r w:rsidR="005C00AD">
        <w:rPr>
          <w:rFonts w:eastAsiaTheme="minorEastAsia"/>
        </w:rPr>
        <w:t>Draft</w:t>
      </w:r>
      <w:proofErr w:type="spellEnd"/>
      <w:r w:rsidR="005C00AD">
        <w:rPr>
          <w:rFonts w:eastAsiaTheme="minorEastAsia"/>
        </w:rPr>
        <w:t xml:space="preserve"> 1</w:t>
      </w:r>
      <w:r w:rsidR="00311EE0">
        <w:rPr>
          <w:rFonts w:eastAsiaTheme="minorEastAsia"/>
        </w:rPr>
        <w:t> </w:t>
      </w:r>
      <w:r w:rsidR="00164402">
        <w:rPr>
          <w:rFonts w:eastAsiaTheme="minorEastAsia"/>
        </w:rPr>
        <w:t>“I</w:t>
      </w:r>
      <w:r w:rsidR="005C00AD">
        <w:rPr>
          <w:rFonts w:eastAsiaTheme="minorEastAsia"/>
        </w:rPr>
        <w:t>ntroduction au système de codes UPO</w:t>
      </w:r>
      <w:r w:rsidR="00164402">
        <w:rPr>
          <w:rFonts w:eastAsiaTheme="minorEastAsia"/>
        </w:rPr>
        <w:t>V”</w:t>
      </w:r>
      <w:r w:rsidR="005C00AD">
        <w:rPr>
          <w:rFonts w:eastAsiaTheme="minorEastAsia"/>
        </w:rPr>
        <w:t>, comme indiqué dans le document</w:t>
      </w:r>
      <w:r w:rsidR="00311EE0">
        <w:rPr>
          <w:rFonts w:eastAsiaTheme="minorEastAsia"/>
        </w:rPr>
        <w:t> </w:t>
      </w:r>
      <w:proofErr w:type="spellStart"/>
      <w:r w:rsidR="005C00AD">
        <w:rPr>
          <w:rFonts w:eastAsiaTheme="minorEastAsia"/>
        </w:rPr>
        <w:t>CAJ</w:t>
      </w:r>
      <w:proofErr w:type="spellEnd"/>
      <w:r w:rsidR="005C00AD">
        <w:rPr>
          <w:rFonts w:eastAsiaTheme="minorEastAsia"/>
        </w:rPr>
        <w:t>/77/3</w:t>
      </w:r>
      <w:r w:rsidR="001A69E6">
        <w:rPr>
          <w:rFonts w:eastAsiaTheme="minorEastAsia"/>
        </w:rPr>
        <w:t> </w:t>
      </w:r>
      <w:proofErr w:type="spellStart"/>
      <w:r w:rsidR="005C00AD">
        <w:rPr>
          <w:rFonts w:eastAsiaTheme="minorEastAsia"/>
        </w:rPr>
        <w:t>Rev</w:t>
      </w:r>
      <w:proofErr w:type="spellEnd"/>
      <w:r w:rsidR="005C00AD">
        <w:rPr>
          <w:rFonts w:eastAsiaTheme="minorEastAsia"/>
        </w:rPr>
        <w:t xml:space="preserve">. </w:t>
      </w:r>
      <w:r w:rsidR="00164402">
        <w:rPr>
          <w:rFonts w:eastAsiaTheme="minorEastAsia"/>
        </w:rPr>
        <w:t>“É</w:t>
      </w:r>
      <w:r w:rsidR="005C00AD">
        <w:rPr>
          <w:rFonts w:eastAsiaTheme="minorEastAsia"/>
        </w:rPr>
        <w:t>laboration de documents d</w:t>
      </w:r>
      <w:r w:rsidR="00164402">
        <w:rPr>
          <w:rFonts w:eastAsiaTheme="minorEastAsia"/>
        </w:rPr>
        <w:t>’</w:t>
      </w:r>
      <w:r w:rsidR="005C00AD">
        <w:rPr>
          <w:rFonts w:eastAsiaTheme="minorEastAsia"/>
        </w:rPr>
        <w:t>orientation et d</w:t>
      </w:r>
      <w:r w:rsidR="00164402">
        <w:rPr>
          <w:rFonts w:eastAsiaTheme="minorEastAsia"/>
        </w:rPr>
        <w:t>’</w:t>
      </w:r>
      <w:r w:rsidR="005C00AD">
        <w:rPr>
          <w:rFonts w:eastAsiaTheme="minorEastAsia"/>
        </w:rPr>
        <w:t>informatio</w:t>
      </w:r>
      <w:r w:rsidR="00164402">
        <w:rPr>
          <w:rFonts w:eastAsiaTheme="minorEastAsia"/>
        </w:rPr>
        <w:t>n”</w:t>
      </w:r>
      <w:r w:rsidR="005C00AD">
        <w:rPr>
          <w:rFonts w:eastAsiaTheme="minorEastAsia"/>
        </w:rPr>
        <w:t>;</w:t>
      </w:r>
    </w:p>
    <w:p w:rsidR="00847FB6" w:rsidRDefault="00847FB6" w:rsidP="0091474C">
      <w:pPr>
        <w:tabs>
          <w:tab w:val="left" w:pos="567"/>
          <w:tab w:val="left" w:pos="1134"/>
        </w:tabs>
        <w:jc w:val="left"/>
        <w:rPr>
          <w:rFonts w:eastAsiaTheme="minorEastAsia"/>
        </w:rPr>
      </w:pPr>
    </w:p>
    <w:p w:rsidR="00847FB6" w:rsidRDefault="00532990" w:rsidP="0091474C">
      <w:pPr>
        <w:tabs>
          <w:tab w:val="left" w:pos="567"/>
          <w:tab w:val="left" w:pos="1134"/>
        </w:tabs>
        <w:jc w:val="left"/>
        <w:rPr>
          <w:rFonts w:eastAsiaTheme="minorEastAsia"/>
        </w:rPr>
      </w:pPr>
      <w:r w:rsidRPr="005C00AD">
        <w:rPr>
          <w:rFonts w:eastAsiaTheme="minorEastAsia"/>
        </w:rPr>
        <w:tab/>
      </w:r>
      <w:r w:rsidR="005C00AD" w:rsidRPr="005C00AD">
        <w:rPr>
          <w:rFonts w:eastAsiaTheme="minorEastAsia"/>
        </w:rPr>
        <w:t xml:space="preserve">d) </w:t>
      </w:r>
      <w:r w:rsidR="0091474C">
        <w:rPr>
          <w:rFonts w:eastAsiaTheme="minorEastAsia"/>
        </w:rPr>
        <w:tab/>
      </w:r>
      <w:r w:rsidR="005C00AD" w:rsidRPr="005C00AD">
        <w:rPr>
          <w:rFonts w:eastAsiaTheme="minorEastAsia"/>
        </w:rPr>
        <w:t xml:space="preserve">les questions concernant la base de données </w:t>
      </w:r>
      <w:r w:rsidR="00C946AA" w:rsidRPr="005C00AD">
        <w:rPr>
          <w:rFonts w:eastAsiaTheme="minorEastAsia"/>
        </w:rPr>
        <w:t xml:space="preserve">PLUTO </w:t>
      </w:r>
      <w:r w:rsidR="005C00AD" w:rsidRPr="005C00AD">
        <w:rPr>
          <w:rFonts w:eastAsiaTheme="minorEastAsia"/>
        </w:rPr>
        <w:t>sur les variétés végétales sont présentées dans le document</w:t>
      </w:r>
      <w:r w:rsidR="00311EE0">
        <w:rPr>
          <w:rFonts w:eastAsiaTheme="minorEastAsia"/>
        </w:rPr>
        <w:t> </w:t>
      </w:r>
      <w:r w:rsidR="005C00AD" w:rsidRPr="005C00AD">
        <w:rPr>
          <w:rFonts w:eastAsiaTheme="minorEastAsia"/>
        </w:rPr>
        <w:t xml:space="preserve">CAJ/77/8 </w:t>
      </w:r>
      <w:r w:rsidR="00164402">
        <w:rPr>
          <w:rFonts w:eastAsiaTheme="minorEastAsia"/>
        </w:rPr>
        <w:t>“</w:t>
      </w:r>
      <w:r w:rsidR="00164402" w:rsidRPr="005C00AD">
        <w:rPr>
          <w:rFonts w:eastAsiaTheme="minorEastAsia"/>
        </w:rPr>
        <w:t>B</w:t>
      </w:r>
      <w:r w:rsidR="005C00AD" w:rsidRPr="005C00AD">
        <w:rPr>
          <w:rFonts w:eastAsiaTheme="minorEastAsia"/>
        </w:rPr>
        <w:t>ase de données PLUTO sur les variétés végétale</w:t>
      </w:r>
      <w:r w:rsidR="00164402" w:rsidRPr="005C00AD">
        <w:rPr>
          <w:rFonts w:eastAsiaTheme="minorEastAsia"/>
        </w:rPr>
        <w:t>s</w:t>
      </w:r>
      <w:r w:rsidR="00164402">
        <w:rPr>
          <w:rFonts w:eastAsiaTheme="minorEastAsia"/>
        </w:rPr>
        <w:t>”</w:t>
      </w:r>
      <w:r w:rsidR="005C00AD" w:rsidRPr="005C00AD">
        <w:rPr>
          <w:rFonts w:eastAsiaTheme="minorEastAsia"/>
        </w:rPr>
        <w:t xml:space="preserve">; </w:t>
      </w:r>
      <w:r w:rsidR="001A69E6">
        <w:rPr>
          <w:rFonts w:eastAsiaTheme="minorEastAsia"/>
        </w:rPr>
        <w:t xml:space="preserve"> </w:t>
      </w:r>
      <w:r w:rsidR="005C00AD" w:rsidRPr="005C00AD">
        <w:rPr>
          <w:rFonts w:eastAsiaTheme="minorEastAsia"/>
        </w:rPr>
        <w:t>et</w:t>
      </w:r>
    </w:p>
    <w:p w:rsidR="00847FB6" w:rsidRDefault="00847FB6" w:rsidP="0091474C">
      <w:pPr>
        <w:tabs>
          <w:tab w:val="left" w:pos="567"/>
          <w:tab w:val="left" w:pos="1134"/>
        </w:tabs>
        <w:jc w:val="left"/>
        <w:rPr>
          <w:rFonts w:eastAsiaTheme="minorEastAsia"/>
        </w:rPr>
      </w:pPr>
    </w:p>
    <w:p w:rsidR="00847FB6" w:rsidRDefault="00532990" w:rsidP="0091474C">
      <w:pPr>
        <w:tabs>
          <w:tab w:val="left" w:pos="567"/>
          <w:tab w:val="left" w:pos="1134"/>
        </w:tabs>
        <w:jc w:val="left"/>
        <w:rPr>
          <w:rFonts w:eastAsiaTheme="minorEastAsia"/>
        </w:rPr>
      </w:pPr>
      <w:r w:rsidRPr="005C00AD">
        <w:rPr>
          <w:rFonts w:eastAsiaTheme="minorEastAsia"/>
        </w:rPr>
        <w:tab/>
      </w:r>
      <w:r w:rsidR="0047685D">
        <w:rPr>
          <w:rFonts w:eastAsiaTheme="minorEastAsia"/>
        </w:rPr>
        <w:t>e)</w:t>
      </w:r>
      <w:r w:rsidR="0091474C">
        <w:rPr>
          <w:rFonts w:eastAsiaTheme="minorEastAsia"/>
        </w:rPr>
        <w:tab/>
      </w:r>
      <w:r w:rsidR="0047685D">
        <w:rPr>
          <w:rFonts w:eastAsiaTheme="minorEastAsia"/>
        </w:rPr>
        <w:t>les questions relatives à l</w:t>
      </w:r>
      <w:r w:rsidR="00164402">
        <w:rPr>
          <w:rFonts w:eastAsiaTheme="minorEastAsia"/>
        </w:rPr>
        <w:t>’</w:t>
      </w:r>
      <w:r w:rsidR="0047685D">
        <w:rPr>
          <w:rFonts w:eastAsiaTheme="minorEastAsia"/>
        </w:rPr>
        <w:t>élaboration éventuelle d</w:t>
      </w:r>
      <w:r w:rsidR="00164402">
        <w:rPr>
          <w:rFonts w:eastAsiaTheme="minorEastAsia"/>
        </w:rPr>
        <w:t>’</w:t>
      </w:r>
      <w:r w:rsidR="0047685D">
        <w:rPr>
          <w:rFonts w:eastAsiaTheme="minorEastAsia"/>
        </w:rPr>
        <w:t>un outil de recherche de similarité aux fins de la dénomination variétale sont examinées dans le document</w:t>
      </w:r>
      <w:r w:rsidR="00311EE0">
        <w:rPr>
          <w:rFonts w:eastAsiaTheme="minorEastAsia"/>
        </w:rPr>
        <w:t> </w:t>
      </w:r>
      <w:r w:rsidR="0047685D">
        <w:rPr>
          <w:rFonts w:eastAsiaTheme="minorEastAsia"/>
        </w:rPr>
        <w:t xml:space="preserve">CAJ/77/7 </w:t>
      </w:r>
      <w:r w:rsidR="00164402">
        <w:rPr>
          <w:rFonts w:eastAsiaTheme="minorEastAsia"/>
        </w:rPr>
        <w:t>“O</w:t>
      </w:r>
      <w:r w:rsidR="0047685D">
        <w:rPr>
          <w:rFonts w:eastAsiaTheme="minorEastAsia"/>
        </w:rPr>
        <w:t>util de recherche de similarité de l</w:t>
      </w:r>
      <w:r w:rsidR="00164402">
        <w:rPr>
          <w:rFonts w:eastAsiaTheme="minorEastAsia"/>
        </w:rPr>
        <w:t>’</w:t>
      </w:r>
      <w:r w:rsidR="0047685D">
        <w:rPr>
          <w:rFonts w:eastAsiaTheme="minorEastAsia"/>
        </w:rPr>
        <w:t>UPOV aux fins de la dénomination variétal</w:t>
      </w:r>
      <w:r w:rsidR="00164402">
        <w:rPr>
          <w:rFonts w:eastAsiaTheme="minorEastAsia"/>
        </w:rPr>
        <w:t>e”</w:t>
      </w:r>
      <w:r w:rsidR="0047685D">
        <w:rPr>
          <w:rFonts w:eastAsiaTheme="minorEastAsia"/>
        </w:rPr>
        <w:t>.</w:t>
      </w:r>
    </w:p>
    <w:p w:rsidR="00847FB6" w:rsidRDefault="00847FB6" w:rsidP="00532990">
      <w:pPr>
        <w:jc w:val="left"/>
        <w:rPr>
          <w:rFonts w:cs="Arial"/>
          <w:snapToGrid w:val="0"/>
        </w:rPr>
      </w:pPr>
    </w:p>
    <w:p w:rsidR="00847FB6" w:rsidRDefault="00532990" w:rsidP="00532990">
      <w:pPr>
        <w:keepNext/>
        <w:keepLines/>
      </w:pPr>
      <w:r>
        <w:fldChar w:fldCharType="begin"/>
      </w:r>
      <w:r w:rsidRPr="003C07B4">
        <w:instrText xml:space="preserve"> AUTONUM  </w:instrText>
      </w:r>
      <w:r>
        <w:fldChar w:fldCharType="end"/>
      </w:r>
      <w:r w:rsidRPr="003C07B4">
        <w:tab/>
      </w:r>
      <w:r w:rsidR="003C07B4">
        <w:rPr>
          <w:lang w:val="fr-CH"/>
        </w:rPr>
        <w:t>Le présent document est structuré comme suit</w:t>
      </w:r>
      <w:r w:rsidR="00164402">
        <w:rPr>
          <w:lang w:val="fr-CH"/>
        </w:rPr>
        <w:t> :</w:t>
      </w:r>
    </w:p>
    <w:p w:rsidR="00847FB6" w:rsidRDefault="00847FB6" w:rsidP="00532990">
      <w:pPr>
        <w:keepNext/>
        <w:keepLines/>
      </w:pPr>
    </w:p>
    <w:p w:rsidR="004A000B" w:rsidRDefault="00532990" w:rsidP="0091474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>
        <w:rPr>
          <w:rFonts w:eastAsiaTheme="minorEastAsia" w:cs="Arial"/>
          <w:szCs w:val="18"/>
          <w:lang w:eastAsia="ja-JP"/>
        </w:rPr>
        <w:fldChar w:fldCharType="begin"/>
      </w:r>
      <w:r>
        <w:rPr>
          <w:rFonts w:eastAsiaTheme="minorEastAsia" w:cs="Arial"/>
          <w:bCs/>
          <w:lang w:eastAsia="ja-JP"/>
        </w:rPr>
        <w:instrText xml:space="preserve"> TOC \o "1-3" \h \z \u </w:instrText>
      </w:r>
      <w:r>
        <w:rPr>
          <w:rFonts w:eastAsiaTheme="minorEastAsia" w:cs="Arial"/>
          <w:szCs w:val="18"/>
          <w:lang w:eastAsia="ja-JP"/>
        </w:rPr>
        <w:fldChar w:fldCharType="separate"/>
      </w:r>
      <w:hyperlink w:anchor="_Toc53751896" w:history="1">
        <w:r w:rsidR="004A000B" w:rsidRPr="007F1921">
          <w:rPr>
            <w:rStyle w:val="Hyperlink"/>
            <w:noProof/>
          </w:rPr>
          <w:t>RÉSUMÉ</w:t>
        </w:r>
        <w:r w:rsidR="004A000B">
          <w:rPr>
            <w:noProof/>
            <w:webHidden/>
          </w:rPr>
          <w:tab/>
        </w:r>
        <w:r w:rsidR="004A000B">
          <w:rPr>
            <w:noProof/>
            <w:webHidden/>
          </w:rPr>
          <w:fldChar w:fldCharType="begin"/>
        </w:r>
        <w:r w:rsidR="004A000B">
          <w:rPr>
            <w:noProof/>
            <w:webHidden/>
          </w:rPr>
          <w:instrText xml:space="preserve"> PAGEREF _Toc53751896 \h </w:instrText>
        </w:r>
        <w:r w:rsidR="004A000B">
          <w:rPr>
            <w:noProof/>
            <w:webHidden/>
          </w:rPr>
        </w:r>
        <w:r w:rsidR="004A000B">
          <w:rPr>
            <w:noProof/>
            <w:webHidden/>
          </w:rPr>
          <w:fldChar w:fldCharType="separate"/>
        </w:r>
        <w:r w:rsidR="004A000B">
          <w:rPr>
            <w:noProof/>
            <w:webHidden/>
          </w:rPr>
          <w:t>1</w:t>
        </w:r>
        <w:r w:rsidR="004A000B">
          <w:rPr>
            <w:noProof/>
            <w:webHidden/>
          </w:rPr>
          <w:fldChar w:fldCharType="end"/>
        </w:r>
      </w:hyperlink>
    </w:p>
    <w:p w:rsidR="004A000B" w:rsidRDefault="0091474C" w:rsidP="0091474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53751897" w:history="1">
        <w:r w:rsidR="004A000B" w:rsidRPr="007F1921">
          <w:rPr>
            <w:rStyle w:val="Hyperlink"/>
            <w:noProof/>
          </w:rPr>
          <w:t>Base de données GENIE</w:t>
        </w:r>
        <w:r w:rsidR="004A000B">
          <w:rPr>
            <w:noProof/>
            <w:webHidden/>
          </w:rPr>
          <w:tab/>
        </w:r>
        <w:r w:rsidR="004A000B">
          <w:rPr>
            <w:noProof/>
            <w:webHidden/>
          </w:rPr>
          <w:fldChar w:fldCharType="begin"/>
        </w:r>
        <w:r w:rsidR="004A000B">
          <w:rPr>
            <w:noProof/>
            <w:webHidden/>
          </w:rPr>
          <w:instrText xml:space="preserve"> PAGEREF _Toc53751897 \h </w:instrText>
        </w:r>
        <w:r w:rsidR="004A000B">
          <w:rPr>
            <w:noProof/>
            <w:webHidden/>
          </w:rPr>
        </w:r>
        <w:r w:rsidR="004A000B">
          <w:rPr>
            <w:noProof/>
            <w:webHidden/>
          </w:rPr>
          <w:fldChar w:fldCharType="separate"/>
        </w:r>
        <w:r w:rsidR="004A000B">
          <w:rPr>
            <w:noProof/>
            <w:webHidden/>
          </w:rPr>
          <w:t>2</w:t>
        </w:r>
        <w:r w:rsidR="004A000B">
          <w:rPr>
            <w:noProof/>
            <w:webHidden/>
          </w:rPr>
          <w:fldChar w:fldCharType="end"/>
        </w:r>
      </w:hyperlink>
    </w:p>
    <w:p w:rsidR="004A000B" w:rsidRDefault="0091474C" w:rsidP="0091474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53751898" w:history="1">
        <w:r w:rsidR="004A000B" w:rsidRPr="007F1921">
          <w:rPr>
            <w:rStyle w:val="Hyperlink"/>
            <w:noProof/>
            <w:lang w:val="fr-CH"/>
          </w:rPr>
          <w:t>Système de codes UPOV</w:t>
        </w:r>
        <w:r w:rsidR="004A000B">
          <w:rPr>
            <w:noProof/>
            <w:webHidden/>
          </w:rPr>
          <w:tab/>
        </w:r>
        <w:r w:rsidR="004A000B">
          <w:rPr>
            <w:noProof/>
            <w:webHidden/>
          </w:rPr>
          <w:fldChar w:fldCharType="begin"/>
        </w:r>
        <w:r w:rsidR="004A000B">
          <w:rPr>
            <w:noProof/>
            <w:webHidden/>
          </w:rPr>
          <w:instrText xml:space="preserve"> PAGEREF _Toc53751898 \h </w:instrText>
        </w:r>
        <w:r w:rsidR="004A000B">
          <w:rPr>
            <w:noProof/>
            <w:webHidden/>
          </w:rPr>
        </w:r>
        <w:r w:rsidR="004A000B">
          <w:rPr>
            <w:noProof/>
            <w:webHidden/>
          </w:rPr>
          <w:fldChar w:fldCharType="separate"/>
        </w:r>
        <w:r w:rsidR="004A000B">
          <w:rPr>
            <w:noProof/>
            <w:webHidden/>
          </w:rPr>
          <w:t>2</w:t>
        </w:r>
        <w:r w:rsidR="004A000B">
          <w:rPr>
            <w:noProof/>
            <w:webHidden/>
          </w:rPr>
          <w:fldChar w:fldCharType="end"/>
        </w:r>
      </w:hyperlink>
    </w:p>
    <w:p w:rsidR="004A000B" w:rsidRDefault="0091474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hyperlink w:anchor="_Toc53751899" w:history="1">
        <w:r w:rsidR="004A000B" w:rsidRPr="00BB2F5A">
          <w:rPr>
            <w:rStyle w:val="Hyperlink"/>
            <w:smallCaps w:val="0"/>
            <w:noProof/>
            <w:lang w:val="fr-CH"/>
          </w:rPr>
          <w:t>Introduction au système de codes UPOV</w:t>
        </w:r>
        <w:r w:rsidR="004A000B">
          <w:rPr>
            <w:noProof/>
            <w:webHidden/>
          </w:rPr>
          <w:tab/>
        </w:r>
        <w:r w:rsidR="004A000B">
          <w:rPr>
            <w:noProof/>
            <w:webHidden/>
          </w:rPr>
          <w:fldChar w:fldCharType="begin"/>
        </w:r>
        <w:r w:rsidR="004A000B">
          <w:rPr>
            <w:noProof/>
            <w:webHidden/>
          </w:rPr>
          <w:instrText xml:space="preserve"> PAGEREF _Toc53751899 \h </w:instrText>
        </w:r>
        <w:r w:rsidR="004A000B">
          <w:rPr>
            <w:noProof/>
            <w:webHidden/>
          </w:rPr>
        </w:r>
        <w:r w:rsidR="004A000B">
          <w:rPr>
            <w:noProof/>
            <w:webHidden/>
          </w:rPr>
          <w:fldChar w:fldCharType="separate"/>
        </w:r>
        <w:r w:rsidR="004A000B">
          <w:rPr>
            <w:noProof/>
            <w:webHidden/>
          </w:rPr>
          <w:t>2</w:t>
        </w:r>
        <w:r w:rsidR="004A000B">
          <w:rPr>
            <w:noProof/>
            <w:webHidden/>
          </w:rPr>
          <w:fldChar w:fldCharType="end"/>
        </w:r>
      </w:hyperlink>
    </w:p>
    <w:p w:rsidR="004A000B" w:rsidRDefault="0091474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hyperlink w:anchor="_Toc53751900" w:history="1">
        <w:r w:rsidR="004A000B" w:rsidRPr="00BB2F5A">
          <w:rPr>
            <w:rStyle w:val="Hyperlink"/>
            <w:smallCaps w:val="0"/>
            <w:noProof/>
            <w:lang w:val="fr-CH"/>
          </w:rPr>
          <w:t>Faits nouveaux concernant les codes UPOV</w:t>
        </w:r>
        <w:r w:rsidR="004A000B">
          <w:rPr>
            <w:noProof/>
            <w:webHidden/>
          </w:rPr>
          <w:tab/>
        </w:r>
        <w:r w:rsidR="004A000B">
          <w:rPr>
            <w:noProof/>
            <w:webHidden/>
          </w:rPr>
          <w:fldChar w:fldCharType="begin"/>
        </w:r>
        <w:r w:rsidR="004A000B">
          <w:rPr>
            <w:noProof/>
            <w:webHidden/>
          </w:rPr>
          <w:instrText xml:space="preserve"> PAGEREF _Toc53751900 \h </w:instrText>
        </w:r>
        <w:r w:rsidR="004A000B">
          <w:rPr>
            <w:noProof/>
            <w:webHidden/>
          </w:rPr>
        </w:r>
        <w:r w:rsidR="004A000B">
          <w:rPr>
            <w:noProof/>
            <w:webHidden/>
          </w:rPr>
          <w:fldChar w:fldCharType="separate"/>
        </w:r>
        <w:r w:rsidR="004A000B">
          <w:rPr>
            <w:noProof/>
            <w:webHidden/>
          </w:rPr>
          <w:t>2</w:t>
        </w:r>
        <w:r w:rsidR="004A000B">
          <w:rPr>
            <w:noProof/>
            <w:webHidden/>
          </w:rPr>
          <w:fldChar w:fldCharType="end"/>
        </w:r>
      </w:hyperlink>
    </w:p>
    <w:p w:rsidR="004A000B" w:rsidRDefault="0091474C" w:rsidP="0091474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53751901" w:history="1">
        <w:r w:rsidR="004A000B" w:rsidRPr="007F1921">
          <w:rPr>
            <w:rStyle w:val="Hyperlink"/>
            <w:noProof/>
            <w:lang w:val="fr-CH"/>
          </w:rPr>
          <w:t>Base de données PLUTO</w:t>
        </w:r>
        <w:r w:rsidR="004A000B">
          <w:rPr>
            <w:noProof/>
            <w:webHidden/>
          </w:rPr>
          <w:tab/>
        </w:r>
        <w:r w:rsidR="004A000B">
          <w:rPr>
            <w:noProof/>
            <w:webHidden/>
          </w:rPr>
          <w:fldChar w:fldCharType="begin"/>
        </w:r>
        <w:r w:rsidR="004A000B">
          <w:rPr>
            <w:noProof/>
            <w:webHidden/>
          </w:rPr>
          <w:instrText xml:space="preserve"> PAGEREF _Toc53751901 \h </w:instrText>
        </w:r>
        <w:r w:rsidR="004A000B">
          <w:rPr>
            <w:noProof/>
            <w:webHidden/>
          </w:rPr>
        </w:r>
        <w:r w:rsidR="004A000B">
          <w:rPr>
            <w:noProof/>
            <w:webHidden/>
          </w:rPr>
          <w:fldChar w:fldCharType="separate"/>
        </w:r>
        <w:r w:rsidR="004A000B">
          <w:rPr>
            <w:noProof/>
            <w:webHidden/>
          </w:rPr>
          <w:t>3</w:t>
        </w:r>
        <w:r w:rsidR="004A000B">
          <w:rPr>
            <w:noProof/>
            <w:webHidden/>
          </w:rPr>
          <w:fldChar w:fldCharType="end"/>
        </w:r>
      </w:hyperlink>
    </w:p>
    <w:p w:rsidR="004A000B" w:rsidRDefault="0091474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hyperlink w:anchor="_Toc53751902" w:history="1">
        <w:r w:rsidR="004A000B" w:rsidRPr="00BB2F5A">
          <w:rPr>
            <w:rStyle w:val="Hyperlink"/>
            <w:smallCaps w:val="0"/>
            <w:noProof/>
            <w:lang w:val="fr-CH"/>
          </w:rPr>
          <w:t>Programme d</w:t>
        </w:r>
        <w:r w:rsidR="00164402" w:rsidRPr="00BB2F5A">
          <w:rPr>
            <w:rStyle w:val="Hyperlink"/>
            <w:smallCaps w:val="0"/>
            <w:noProof/>
            <w:lang w:val="fr-CH"/>
          </w:rPr>
          <w:t>’</w:t>
        </w:r>
        <w:r w:rsidR="004A000B" w:rsidRPr="00BB2F5A">
          <w:rPr>
            <w:rStyle w:val="Hyperlink"/>
            <w:smallCaps w:val="0"/>
            <w:noProof/>
            <w:lang w:val="fr-CH"/>
          </w:rPr>
          <w:t>amélioration de la base de données PLUTO</w:t>
        </w:r>
        <w:r w:rsidR="004A000B">
          <w:rPr>
            <w:noProof/>
            <w:webHidden/>
          </w:rPr>
          <w:tab/>
        </w:r>
        <w:r w:rsidR="004A000B">
          <w:rPr>
            <w:noProof/>
            <w:webHidden/>
          </w:rPr>
          <w:fldChar w:fldCharType="begin"/>
        </w:r>
        <w:r w:rsidR="004A000B">
          <w:rPr>
            <w:noProof/>
            <w:webHidden/>
          </w:rPr>
          <w:instrText xml:space="preserve"> PAGEREF _Toc53751902 \h </w:instrText>
        </w:r>
        <w:r w:rsidR="004A000B">
          <w:rPr>
            <w:noProof/>
            <w:webHidden/>
          </w:rPr>
        </w:r>
        <w:r w:rsidR="004A000B">
          <w:rPr>
            <w:noProof/>
            <w:webHidden/>
          </w:rPr>
          <w:fldChar w:fldCharType="separate"/>
        </w:r>
        <w:r w:rsidR="004A000B">
          <w:rPr>
            <w:noProof/>
            <w:webHidden/>
          </w:rPr>
          <w:t>3</w:t>
        </w:r>
        <w:r w:rsidR="004A000B">
          <w:rPr>
            <w:noProof/>
            <w:webHidden/>
          </w:rPr>
          <w:fldChar w:fldCharType="end"/>
        </w:r>
      </w:hyperlink>
    </w:p>
    <w:p w:rsidR="004A000B" w:rsidRDefault="0091474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hyperlink w:anchor="_Toc53751903" w:history="1">
        <w:r w:rsidR="004A000B" w:rsidRPr="00BB2F5A">
          <w:rPr>
            <w:rStyle w:val="Hyperlink"/>
            <w:smallCaps w:val="0"/>
            <w:noProof/>
            <w:lang w:val="fr-CH"/>
          </w:rPr>
          <w:t>Outils de recherche</w:t>
        </w:r>
        <w:r w:rsidR="004A000B">
          <w:rPr>
            <w:noProof/>
            <w:webHidden/>
          </w:rPr>
          <w:tab/>
        </w:r>
        <w:r w:rsidR="004A000B">
          <w:rPr>
            <w:noProof/>
            <w:webHidden/>
          </w:rPr>
          <w:fldChar w:fldCharType="begin"/>
        </w:r>
        <w:r w:rsidR="004A000B">
          <w:rPr>
            <w:noProof/>
            <w:webHidden/>
          </w:rPr>
          <w:instrText xml:space="preserve"> PAGEREF _Toc53751903 \h </w:instrText>
        </w:r>
        <w:r w:rsidR="004A000B">
          <w:rPr>
            <w:noProof/>
            <w:webHidden/>
          </w:rPr>
        </w:r>
        <w:r w:rsidR="004A000B">
          <w:rPr>
            <w:noProof/>
            <w:webHidden/>
          </w:rPr>
          <w:fldChar w:fldCharType="separate"/>
        </w:r>
        <w:r w:rsidR="004A000B">
          <w:rPr>
            <w:noProof/>
            <w:webHidden/>
          </w:rPr>
          <w:t>3</w:t>
        </w:r>
        <w:r w:rsidR="004A000B">
          <w:rPr>
            <w:noProof/>
            <w:webHidden/>
          </w:rPr>
          <w:fldChar w:fldCharType="end"/>
        </w:r>
      </w:hyperlink>
    </w:p>
    <w:p w:rsidR="00847FB6" w:rsidRDefault="00532990" w:rsidP="00532990">
      <w:pPr>
        <w:tabs>
          <w:tab w:val="right" w:leader="dot" w:pos="9639"/>
        </w:tabs>
        <w:spacing w:before="60" w:after="120"/>
        <w:ind w:left="1276" w:right="1418" w:hanging="1276"/>
        <w:jc w:val="left"/>
        <w:rPr>
          <w:rFonts w:eastAsiaTheme="minorEastAsia" w:cs="Arial"/>
          <w:spacing w:val="-2"/>
          <w:sz w:val="18"/>
          <w:szCs w:val="18"/>
          <w:lang w:eastAsia="ja-JP"/>
        </w:rPr>
      </w:pPr>
      <w:r>
        <w:rPr>
          <w:rFonts w:eastAsiaTheme="minorEastAsia" w:cs="Arial"/>
          <w:caps/>
          <w:noProof/>
          <w:sz w:val="18"/>
          <w:lang w:eastAsia="ja-JP"/>
        </w:rPr>
        <w:fldChar w:fldCharType="end"/>
      </w:r>
    </w:p>
    <w:p w:rsidR="00847FB6" w:rsidRDefault="00532990" w:rsidP="00532990">
      <w:pPr>
        <w:rPr>
          <w:color w:val="000000"/>
        </w:rPr>
      </w:pPr>
      <w:r>
        <w:rPr>
          <w:color w:val="000000"/>
        </w:rPr>
        <w:fldChar w:fldCharType="begin"/>
      </w:r>
      <w:r w:rsidRPr="003C07B4">
        <w:rPr>
          <w:color w:val="000000"/>
        </w:rPr>
        <w:instrText xml:space="preserve"> AUTONUM  </w:instrText>
      </w:r>
      <w:r>
        <w:rPr>
          <w:color w:val="000000"/>
        </w:rPr>
        <w:fldChar w:fldCharType="end"/>
      </w:r>
      <w:r w:rsidRPr="003C07B4">
        <w:rPr>
          <w:color w:val="000000"/>
        </w:rPr>
        <w:tab/>
      </w:r>
      <w:r w:rsidR="003C07B4">
        <w:rPr>
          <w:lang w:val="fr-CH"/>
        </w:rPr>
        <w:t>Les abréviations suivantes sont utilisées dans le présent document</w:t>
      </w:r>
      <w:r w:rsidR="00164402">
        <w:rPr>
          <w:lang w:val="fr-CH"/>
        </w:rPr>
        <w:t> :</w:t>
      </w:r>
    </w:p>
    <w:p w:rsidR="00847FB6" w:rsidRDefault="00847FB6" w:rsidP="00532990">
      <w:pPr>
        <w:ind w:left="1692" w:hanging="1125"/>
        <w:jc w:val="left"/>
        <w:rPr>
          <w:color w:val="000000"/>
        </w:rPr>
      </w:pPr>
    </w:p>
    <w:p w:rsidR="00164402" w:rsidRDefault="00532990" w:rsidP="00532990">
      <w:pPr>
        <w:tabs>
          <w:tab w:val="left" w:pos="1701"/>
        </w:tabs>
        <w:ind w:left="567"/>
        <w:rPr>
          <w:color w:val="000000"/>
        </w:rPr>
      </w:pPr>
      <w:r w:rsidRPr="003C07B4">
        <w:t>CAJ</w:t>
      </w:r>
      <w:r w:rsidR="001A69E6">
        <w:t xml:space="preserve">: </w:t>
      </w:r>
      <w:r w:rsidRPr="003C07B4">
        <w:tab/>
      </w:r>
      <w:r w:rsidR="003C07B4">
        <w:rPr>
          <w:lang w:val="fr-CH"/>
        </w:rPr>
        <w:t>Comité administratif et juridique</w:t>
      </w:r>
    </w:p>
    <w:p w:rsidR="00847FB6" w:rsidRDefault="00532990" w:rsidP="00532990">
      <w:pPr>
        <w:tabs>
          <w:tab w:val="left" w:pos="1701"/>
        </w:tabs>
        <w:ind w:left="567"/>
      </w:pPr>
      <w:r w:rsidRPr="003C07B4">
        <w:t>TC</w:t>
      </w:r>
      <w:r w:rsidR="001A69E6">
        <w:t xml:space="preserve"> : </w:t>
      </w:r>
      <w:r w:rsidRPr="003C07B4">
        <w:tab/>
      </w:r>
      <w:r w:rsidR="003C07B4">
        <w:rPr>
          <w:lang w:val="fr-CH"/>
        </w:rPr>
        <w:t>Comité technique</w:t>
      </w:r>
    </w:p>
    <w:p w:rsidR="00847FB6" w:rsidRDefault="00532990" w:rsidP="0091474C">
      <w:pPr>
        <w:ind w:left="567"/>
        <w:rPr>
          <w:rFonts w:cs="Arial"/>
        </w:rPr>
      </w:pPr>
      <w:r w:rsidRPr="003C07B4">
        <w:rPr>
          <w:snapToGrid w:val="0"/>
        </w:rPr>
        <w:t>WG</w:t>
      </w:r>
      <w:r w:rsidR="00B24468">
        <w:rPr>
          <w:snapToGrid w:val="0"/>
        </w:rPr>
        <w:noBreakHyphen/>
      </w:r>
      <w:r w:rsidRPr="003C07B4">
        <w:rPr>
          <w:snapToGrid w:val="0"/>
        </w:rPr>
        <w:t>DEN</w:t>
      </w:r>
      <w:r w:rsidR="001A69E6">
        <w:rPr>
          <w:snapToGrid w:val="0"/>
        </w:rPr>
        <w:t xml:space="preserve">: </w:t>
      </w:r>
      <w:r w:rsidRPr="003C07B4">
        <w:rPr>
          <w:snapToGrid w:val="0"/>
        </w:rPr>
        <w:tab/>
      </w:r>
      <w:r w:rsidR="003C07B4">
        <w:rPr>
          <w:rFonts w:cs="Arial"/>
          <w:lang w:val="fr-CH"/>
        </w:rPr>
        <w:t>Groupe de travail sur les dénominations variétales</w:t>
      </w:r>
      <w:r w:rsidR="0091474C">
        <w:rPr>
          <w:rFonts w:cs="Arial"/>
          <w:lang w:val="fr-CH"/>
        </w:rPr>
        <w:t xml:space="preserve">  </w:t>
      </w:r>
      <w:r w:rsidRPr="003C07B4">
        <w:rPr>
          <w:rFonts w:cs="Arial"/>
        </w:rPr>
        <w:br w:type="page"/>
      </w:r>
    </w:p>
    <w:p w:rsidR="00847FB6" w:rsidRPr="00311EE0" w:rsidRDefault="0047685D" w:rsidP="0047685D">
      <w:pPr>
        <w:pStyle w:val="Heading1"/>
        <w:rPr>
          <w:rFonts w:eastAsiaTheme="minorEastAsia"/>
          <w:lang w:val="fr-FR"/>
        </w:rPr>
      </w:pPr>
      <w:bookmarkStart w:id="3" w:name="_Toc53751897"/>
      <w:bookmarkStart w:id="4" w:name="_Toc522275158"/>
      <w:r w:rsidRPr="00311EE0">
        <w:rPr>
          <w:rFonts w:eastAsiaTheme="minorEastAsia"/>
          <w:lang w:val="fr-FR"/>
        </w:rPr>
        <w:lastRenderedPageBreak/>
        <w:t>Base de données GENIE</w:t>
      </w:r>
      <w:bookmarkEnd w:id="3"/>
    </w:p>
    <w:p w:rsidR="00847FB6" w:rsidRPr="00311EE0" w:rsidRDefault="00847FB6" w:rsidP="00532990">
      <w:pPr>
        <w:keepNext/>
        <w:outlineLvl w:val="0"/>
        <w:rPr>
          <w:rFonts w:eastAsiaTheme="minorEastAsia"/>
          <w:caps/>
        </w:rPr>
      </w:pPr>
    </w:p>
    <w:p w:rsidR="00847FB6" w:rsidRDefault="00532990" w:rsidP="00925678">
      <w:pPr>
        <w:rPr>
          <w:rFonts w:eastAsiaTheme="minorEastAsia"/>
        </w:rPr>
      </w:pPr>
      <w:r>
        <w:fldChar w:fldCharType="begin"/>
      </w:r>
      <w:r w:rsidRPr="00925678">
        <w:rPr>
          <w:rFonts w:eastAsiaTheme="minorEastAsia"/>
          <w:spacing w:val="-4"/>
        </w:rPr>
        <w:instrText xml:space="preserve"> AUTONUM  </w:instrText>
      </w:r>
      <w:r>
        <w:fldChar w:fldCharType="end"/>
      </w:r>
      <w:r w:rsidRPr="00925678">
        <w:rPr>
          <w:rFonts w:eastAsiaTheme="minorEastAsia"/>
          <w:spacing w:val="-4"/>
        </w:rPr>
        <w:tab/>
      </w:r>
      <w:r w:rsidR="00925678" w:rsidRPr="00925678">
        <w:rPr>
          <w:rFonts w:eastAsiaTheme="minorEastAsia"/>
          <w:spacing w:val="-4"/>
        </w:rPr>
        <w:t>La base de données GENIE (http://www.upov.int/genie/fr/) a été élaborée pour permettre l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>accès en ligne à des informations telles que les taxons protégés par les membres de l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>Union (voir le document</w:t>
      </w:r>
      <w:r w:rsidR="00311EE0">
        <w:rPr>
          <w:rFonts w:eastAsiaTheme="minorEastAsia"/>
          <w:spacing w:val="-4"/>
        </w:rPr>
        <w:t> </w:t>
      </w:r>
      <w:r w:rsidR="00925678" w:rsidRPr="00925678">
        <w:rPr>
          <w:rFonts w:eastAsiaTheme="minorEastAsia"/>
          <w:spacing w:val="-4"/>
        </w:rPr>
        <w:t>C/[session]/INF/6), la coopération en matière d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>examen (voir le document</w:t>
      </w:r>
      <w:r w:rsidR="00311EE0">
        <w:rPr>
          <w:rFonts w:eastAsiaTheme="minorEastAsia"/>
          <w:spacing w:val="-4"/>
        </w:rPr>
        <w:t> </w:t>
      </w:r>
      <w:r w:rsidR="00925678" w:rsidRPr="00925678">
        <w:rPr>
          <w:rFonts w:eastAsiaTheme="minorEastAsia"/>
          <w:spacing w:val="-4"/>
        </w:rPr>
        <w:t>C/[session]/INF/5), l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>expérience en matière d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>examen</w:t>
      </w:r>
      <w:r w:rsidR="001A69E6">
        <w:rPr>
          <w:rFonts w:eastAsiaTheme="minorEastAsia"/>
          <w:spacing w:val="-4"/>
        </w:rPr>
        <w:t> </w:t>
      </w:r>
      <w:r w:rsidR="00925678" w:rsidRPr="00925678">
        <w:rPr>
          <w:rFonts w:eastAsiaTheme="minorEastAsia"/>
          <w:spacing w:val="-4"/>
        </w:rPr>
        <w:t xml:space="preserve">DHS (voir le </w:t>
      </w:r>
      <w:r w:rsidR="00164402" w:rsidRPr="00925678">
        <w:rPr>
          <w:rFonts w:eastAsiaTheme="minorEastAsia"/>
          <w:spacing w:val="-4"/>
        </w:rPr>
        <w:t>document</w:t>
      </w:r>
      <w:r w:rsidR="00311EE0">
        <w:rPr>
          <w:rFonts w:eastAsiaTheme="minorEastAsia"/>
          <w:spacing w:val="-4"/>
        </w:rPr>
        <w:t> </w:t>
      </w:r>
      <w:r w:rsidR="00164402">
        <w:rPr>
          <w:rFonts w:eastAsiaTheme="minorEastAsia"/>
          <w:spacing w:val="-4"/>
        </w:rPr>
        <w:t>TC</w:t>
      </w:r>
      <w:r w:rsidR="00925678" w:rsidRPr="00925678">
        <w:rPr>
          <w:rFonts w:eastAsiaTheme="minorEastAsia"/>
          <w:spacing w:val="-4"/>
        </w:rPr>
        <w:t>/[session]/INF/4) et l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>existence de principes directeurs d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>examen de l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 xml:space="preserve">UPOV (voir le </w:t>
      </w:r>
      <w:r w:rsidR="00164402" w:rsidRPr="00925678">
        <w:rPr>
          <w:rFonts w:eastAsiaTheme="minorEastAsia"/>
          <w:spacing w:val="-4"/>
        </w:rPr>
        <w:t>document</w:t>
      </w:r>
      <w:r w:rsidR="00311EE0">
        <w:rPr>
          <w:rFonts w:eastAsiaTheme="minorEastAsia"/>
          <w:spacing w:val="-4"/>
        </w:rPr>
        <w:t> </w:t>
      </w:r>
      <w:r w:rsidR="00164402">
        <w:rPr>
          <w:rFonts w:eastAsiaTheme="minorEastAsia"/>
          <w:spacing w:val="-4"/>
        </w:rPr>
        <w:t>TC</w:t>
      </w:r>
      <w:r w:rsidR="00925678" w:rsidRPr="00925678">
        <w:rPr>
          <w:rFonts w:eastAsiaTheme="minorEastAsia"/>
          <w:spacing w:val="-4"/>
        </w:rPr>
        <w:t>/[session]/2) pour différents genres et espèces (</w:t>
      </w:r>
      <w:r w:rsidR="00164402">
        <w:rPr>
          <w:rFonts w:eastAsiaTheme="minorEastAsia"/>
          <w:spacing w:val="-4"/>
        </w:rPr>
        <w:t>“</w:t>
      </w:r>
      <w:proofErr w:type="spellStart"/>
      <w:r w:rsidR="00164402" w:rsidRPr="00925678">
        <w:rPr>
          <w:rFonts w:eastAsiaTheme="minorEastAsia"/>
          <w:i/>
          <w:spacing w:val="-4"/>
        </w:rPr>
        <w:t>G</w:t>
      </w:r>
      <w:r w:rsidR="00925678" w:rsidRPr="00925678">
        <w:rPr>
          <w:rFonts w:eastAsiaTheme="minorEastAsia"/>
          <w:i/>
          <w:spacing w:val="-4"/>
        </w:rPr>
        <w:t>ENera</w:t>
      </w:r>
      <w:proofErr w:type="spellEnd"/>
      <w:r w:rsidR="00925678" w:rsidRPr="00925678">
        <w:rPr>
          <w:rFonts w:eastAsiaTheme="minorEastAsia"/>
          <w:i/>
          <w:spacing w:val="-4"/>
        </w:rPr>
        <w:t xml:space="preserve"> and </w:t>
      </w:r>
      <w:proofErr w:type="spellStart"/>
      <w:r w:rsidR="00925678" w:rsidRPr="00925678">
        <w:rPr>
          <w:rFonts w:eastAsiaTheme="minorEastAsia"/>
          <w:i/>
          <w:spacing w:val="-4"/>
        </w:rPr>
        <w:t>specIE</w:t>
      </w:r>
      <w:r w:rsidR="00164402" w:rsidRPr="00925678">
        <w:rPr>
          <w:rFonts w:eastAsiaTheme="minorEastAsia"/>
          <w:i/>
          <w:spacing w:val="-4"/>
        </w:rPr>
        <w:t>s</w:t>
      </w:r>
      <w:proofErr w:type="spellEnd"/>
      <w:r w:rsidR="00164402">
        <w:rPr>
          <w:rFonts w:eastAsiaTheme="minorEastAsia"/>
          <w:i/>
          <w:spacing w:val="-4"/>
        </w:rPr>
        <w:t>”</w:t>
      </w:r>
      <w:r w:rsidR="00925678" w:rsidRPr="00925678">
        <w:rPr>
          <w:rFonts w:eastAsiaTheme="minorEastAsia"/>
          <w:spacing w:val="-4"/>
        </w:rPr>
        <w:t xml:space="preserve"> en anglais, d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>où l</w:t>
      </w:r>
      <w:r w:rsidR="00164402">
        <w:rPr>
          <w:rFonts w:eastAsiaTheme="minorEastAsia"/>
          <w:spacing w:val="-4"/>
        </w:rPr>
        <w:t>’</w:t>
      </w:r>
      <w:r w:rsidR="00925678" w:rsidRPr="00925678">
        <w:rPr>
          <w:rFonts w:eastAsiaTheme="minorEastAsia"/>
          <w:spacing w:val="-4"/>
        </w:rPr>
        <w:t xml:space="preserve">acronyme </w:t>
      </w:r>
      <w:r w:rsidR="00164402">
        <w:rPr>
          <w:rFonts w:eastAsiaTheme="minorEastAsia"/>
          <w:spacing w:val="-4"/>
        </w:rPr>
        <w:t>“</w:t>
      </w:r>
      <w:r w:rsidR="00164402" w:rsidRPr="00925678">
        <w:rPr>
          <w:rFonts w:eastAsiaTheme="minorEastAsia"/>
          <w:spacing w:val="-4"/>
        </w:rPr>
        <w:t>G</w:t>
      </w:r>
      <w:r w:rsidR="00925678" w:rsidRPr="00925678">
        <w:rPr>
          <w:rFonts w:eastAsiaTheme="minorEastAsia"/>
          <w:spacing w:val="-4"/>
        </w:rPr>
        <w:t>ENI</w:t>
      </w:r>
      <w:r w:rsidR="00164402" w:rsidRPr="00925678">
        <w:rPr>
          <w:rFonts w:eastAsiaTheme="minorEastAsia"/>
          <w:spacing w:val="-4"/>
        </w:rPr>
        <w:t>E</w:t>
      </w:r>
      <w:r w:rsidR="00164402">
        <w:rPr>
          <w:rFonts w:eastAsiaTheme="minorEastAsia"/>
          <w:spacing w:val="-4"/>
        </w:rPr>
        <w:t>”</w:t>
      </w:r>
      <w:r w:rsidR="00925678" w:rsidRPr="00925678">
        <w:rPr>
          <w:rFonts w:eastAsiaTheme="minorEastAsia"/>
          <w:spacing w:val="-4"/>
        </w:rPr>
        <w:t>), et elle est utilisée pour générer les documents pertinents du Conseil et du Comité technique (TC) concernant ces informations.</w:t>
      </w:r>
      <w:r w:rsidRPr="00311EE0">
        <w:rPr>
          <w:rFonts w:eastAsiaTheme="minorEastAsia"/>
          <w:spacing w:val="-4"/>
        </w:rPr>
        <w:t xml:space="preserve">  </w:t>
      </w:r>
      <w:r w:rsidR="00925678">
        <w:rPr>
          <w:rFonts w:eastAsiaTheme="minorEastAsia"/>
        </w:rPr>
        <w:t>En outre, la base de données GENIE contient la liste des codes UPOV et fournit des renseignements en ce qui concerne d</w:t>
      </w:r>
      <w:r w:rsidR="00164402">
        <w:rPr>
          <w:rFonts w:eastAsiaTheme="minorEastAsia"/>
        </w:rPr>
        <w:t>’</w:t>
      </w:r>
      <w:r w:rsidR="00925678">
        <w:rPr>
          <w:rFonts w:eastAsiaTheme="minorEastAsia"/>
        </w:rPr>
        <w:t>autres noms botaniques et communs.</w:t>
      </w:r>
    </w:p>
    <w:p w:rsidR="00847FB6" w:rsidRDefault="00847FB6" w:rsidP="00532990">
      <w:pPr>
        <w:rPr>
          <w:rFonts w:eastAsiaTheme="minorEastAsia"/>
        </w:rPr>
      </w:pPr>
    </w:p>
    <w:p w:rsidR="00847FB6" w:rsidRDefault="00532990" w:rsidP="00925678">
      <w:pPr>
        <w:rPr>
          <w:rFonts w:eastAsiaTheme="minorEastAsia"/>
        </w:rPr>
      </w:pPr>
      <w:r>
        <w:fldChar w:fldCharType="begin"/>
      </w:r>
      <w:r w:rsidRPr="00925678">
        <w:rPr>
          <w:rFonts w:eastAsiaTheme="minorEastAsia"/>
        </w:rPr>
        <w:instrText xml:space="preserve"> AUTONUM  </w:instrText>
      </w:r>
      <w:r>
        <w:fldChar w:fldCharType="end"/>
      </w:r>
      <w:r w:rsidRPr="00925678">
        <w:rPr>
          <w:rFonts w:eastAsiaTheme="minorEastAsia"/>
        </w:rPr>
        <w:tab/>
      </w:r>
      <w:r w:rsidR="00C946AA">
        <w:rPr>
          <w:rFonts w:eastAsiaTheme="minorEastAsia"/>
        </w:rPr>
        <w:t>D</w:t>
      </w:r>
      <w:r w:rsidR="00925678" w:rsidRPr="00925678">
        <w:rPr>
          <w:rFonts w:eastAsiaTheme="minorEastAsia"/>
        </w:rPr>
        <w:t>es faits nouveaux concernant les informations figurant dans la base de données GENIE et son utilisation figurent dans le document</w:t>
      </w:r>
      <w:r w:rsidR="00311EE0">
        <w:rPr>
          <w:rFonts w:eastAsiaTheme="minorEastAsia"/>
        </w:rPr>
        <w:t> </w:t>
      </w:r>
      <w:r w:rsidR="00925678" w:rsidRPr="00925678">
        <w:rPr>
          <w:rFonts w:eastAsiaTheme="minorEastAsia"/>
        </w:rPr>
        <w:t xml:space="preserve">C/54/2 </w:t>
      </w:r>
      <w:r w:rsidR="00164402">
        <w:rPr>
          <w:rFonts w:eastAsiaTheme="minorEastAsia"/>
        </w:rPr>
        <w:t>“</w:t>
      </w:r>
      <w:r w:rsidR="00164402" w:rsidRPr="00925678">
        <w:rPr>
          <w:rFonts w:eastAsiaTheme="minorEastAsia"/>
        </w:rPr>
        <w:t>R</w:t>
      </w:r>
      <w:r w:rsidR="00925678" w:rsidRPr="00925678">
        <w:rPr>
          <w:rFonts w:eastAsiaTheme="minorEastAsia"/>
        </w:rPr>
        <w:t xml:space="preserve">apport annuel du Secrétaire général </w:t>
      </w:r>
      <w:r w:rsidR="00164402" w:rsidRPr="00925678">
        <w:rPr>
          <w:rFonts w:eastAsiaTheme="minorEastAsia"/>
        </w:rPr>
        <w:t>pour</w:t>
      </w:r>
      <w:r w:rsidR="00164402">
        <w:rPr>
          <w:rFonts w:eastAsiaTheme="minorEastAsia"/>
        </w:rPr>
        <w:t> </w:t>
      </w:r>
      <w:r w:rsidR="00164402" w:rsidRPr="00925678">
        <w:rPr>
          <w:rFonts w:eastAsiaTheme="minorEastAsia"/>
        </w:rPr>
        <w:t>2019</w:t>
      </w:r>
      <w:r w:rsidR="00164402">
        <w:rPr>
          <w:rFonts w:eastAsiaTheme="minorEastAsia"/>
        </w:rPr>
        <w:t>”</w:t>
      </w:r>
      <w:r w:rsidR="00925678" w:rsidRPr="00925678">
        <w:rPr>
          <w:rFonts w:eastAsiaTheme="minorEastAsia"/>
        </w:rPr>
        <w:t>.</w:t>
      </w:r>
      <w:r w:rsidRPr="00925678">
        <w:rPr>
          <w:rFonts w:eastAsiaTheme="minorEastAsia"/>
        </w:rPr>
        <w:t xml:space="preserve">  </w:t>
      </w:r>
      <w:r w:rsidR="00925678">
        <w:rPr>
          <w:rFonts w:eastAsiaTheme="minorEastAsia"/>
        </w:rPr>
        <w:t xml:space="preserve">Le présent document contient des informations sur le nombre de codes UPOV inclus dans la base de données GENIE (voir </w:t>
      </w:r>
      <w:r w:rsidR="00164402">
        <w:rPr>
          <w:rFonts w:eastAsiaTheme="minorEastAsia"/>
        </w:rPr>
        <w:t>“S</w:t>
      </w:r>
      <w:r w:rsidR="00925678">
        <w:rPr>
          <w:rFonts w:eastAsiaTheme="minorEastAsia"/>
        </w:rPr>
        <w:t>ystème de codes UPO</w:t>
      </w:r>
      <w:r w:rsidR="00164402">
        <w:rPr>
          <w:rFonts w:eastAsiaTheme="minorEastAsia"/>
        </w:rPr>
        <w:t>V”</w:t>
      </w:r>
      <w:r w:rsidR="00925678">
        <w:rPr>
          <w:rFonts w:eastAsiaTheme="minorEastAsia"/>
        </w:rPr>
        <w:t>).</w:t>
      </w:r>
    </w:p>
    <w:p w:rsidR="00847FB6" w:rsidRDefault="00847FB6" w:rsidP="00532990">
      <w:pPr>
        <w:rPr>
          <w:rFonts w:eastAsiaTheme="minorEastAsia"/>
        </w:rPr>
      </w:pPr>
    </w:p>
    <w:p w:rsidR="00847FB6" w:rsidRDefault="00847FB6" w:rsidP="00532990">
      <w:pPr>
        <w:keepNext/>
        <w:outlineLvl w:val="0"/>
        <w:rPr>
          <w:rFonts w:eastAsiaTheme="minorEastAsia"/>
          <w:caps/>
        </w:rPr>
      </w:pPr>
    </w:p>
    <w:p w:rsidR="00847FB6" w:rsidRDefault="00847FB6" w:rsidP="00532990">
      <w:pPr>
        <w:keepNext/>
        <w:outlineLvl w:val="0"/>
        <w:rPr>
          <w:rFonts w:eastAsiaTheme="minorEastAsia"/>
          <w:caps/>
        </w:rPr>
      </w:pPr>
    </w:p>
    <w:p w:rsidR="00847FB6" w:rsidRDefault="003C07B4" w:rsidP="003C07B4">
      <w:pPr>
        <w:keepNext/>
        <w:outlineLvl w:val="0"/>
        <w:rPr>
          <w:rFonts w:eastAsiaTheme="minorEastAsia"/>
          <w:caps/>
          <w:lang w:val="fr-CH"/>
        </w:rPr>
      </w:pPr>
      <w:bookmarkStart w:id="5" w:name="_Toc19281158"/>
      <w:bookmarkStart w:id="6" w:name="_Toc53751898"/>
      <w:bookmarkEnd w:id="4"/>
      <w:r>
        <w:rPr>
          <w:rFonts w:eastAsiaTheme="minorEastAsia"/>
          <w:caps/>
          <w:lang w:val="fr-CH"/>
        </w:rPr>
        <w:t>Système de codes UPOV</w:t>
      </w:r>
      <w:bookmarkEnd w:id="5"/>
      <w:bookmarkEnd w:id="6"/>
    </w:p>
    <w:p w:rsidR="00847FB6" w:rsidRDefault="00847FB6" w:rsidP="003C07B4">
      <w:pPr>
        <w:keepNext/>
        <w:rPr>
          <w:rFonts w:eastAsiaTheme="minorEastAsia"/>
          <w:lang w:val="fr-CH"/>
        </w:rPr>
      </w:pPr>
    </w:p>
    <w:p w:rsidR="00847FB6" w:rsidRDefault="003C07B4" w:rsidP="003C07B4">
      <w:pPr>
        <w:keepNext/>
        <w:outlineLvl w:val="1"/>
        <w:rPr>
          <w:rFonts w:eastAsiaTheme="minorEastAsia"/>
          <w:u w:val="single"/>
        </w:rPr>
      </w:pPr>
      <w:bookmarkStart w:id="7" w:name="_Toc19281159"/>
      <w:bookmarkStart w:id="8" w:name="_Toc53751899"/>
      <w:r>
        <w:rPr>
          <w:rFonts w:eastAsiaTheme="minorEastAsia"/>
          <w:u w:val="single"/>
          <w:lang w:val="fr-CH"/>
        </w:rPr>
        <w:t>Introduction au système de codes UPOV</w:t>
      </w:r>
      <w:bookmarkEnd w:id="7"/>
      <w:bookmarkEnd w:id="8"/>
    </w:p>
    <w:p w:rsidR="00847FB6" w:rsidRDefault="00847FB6" w:rsidP="00532990">
      <w:pPr>
        <w:keepNext/>
        <w:rPr>
          <w:rFonts w:eastAsiaTheme="minorEastAsia" w:cs="Arial"/>
          <w:snapToGrid w:val="0"/>
        </w:rPr>
      </w:pPr>
    </w:p>
    <w:p w:rsidR="00847FB6" w:rsidRDefault="00532990" w:rsidP="00925678">
      <w:pPr>
        <w:rPr>
          <w:rFonts w:cs="Arial"/>
          <w:snapToGrid w:val="0"/>
          <w:spacing w:val="2"/>
        </w:rPr>
      </w:pPr>
      <w:r>
        <w:rPr>
          <w:spacing w:val="2"/>
          <w:lang w:val="en-GB"/>
        </w:rPr>
        <w:fldChar w:fldCharType="begin"/>
      </w:r>
      <w:r w:rsidRPr="00925678">
        <w:rPr>
          <w:spacing w:val="2"/>
        </w:rPr>
        <w:instrText xml:space="preserve"> AUTONUM  </w:instrText>
      </w:r>
      <w:r>
        <w:rPr>
          <w:spacing w:val="2"/>
          <w:lang w:val="en-GB"/>
        </w:rPr>
        <w:fldChar w:fldCharType="end"/>
      </w:r>
      <w:r w:rsidRPr="00925678">
        <w:rPr>
          <w:spacing w:val="2"/>
        </w:rPr>
        <w:tab/>
      </w:r>
      <w:r w:rsidR="00925678" w:rsidRPr="00925678">
        <w:rPr>
          <w:spacing w:val="2"/>
        </w:rPr>
        <w:t>L</w:t>
      </w:r>
      <w:r w:rsidR="00164402">
        <w:rPr>
          <w:spacing w:val="2"/>
        </w:rPr>
        <w:t>’</w:t>
      </w:r>
      <w:r w:rsidR="00925678" w:rsidRPr="00925678">
        <w:rPr>
          <w:spacing w:val="2"/>
        </w:rPr>
        <w:t>“Introduction au système de codes UPOV”, tel qu</w:t>
      </w:r>
      <w:r w:rsidR="00164402">
        <w:rPr>
          <w:spacing w:val="2"/>
        </w:rPr>
        <w:t>’</w:t>
      </w:r>
      <w:r w:rsidR="00925678" w:rsidRPr="00925678">
        <w:rPr>
          <w:spacing w:val="2"/>
        </w:rPr>
        <w:t>elle a été modifiée par le</w:t>
      </w:r>
      <w:r w:rsidR="00164402">
        <w:rPr>
          <w:spacing w:val="2"/>
        </w:rPr>
        <w:t> TC</w:t>
      </w:r>
      <w:r w:rsidR="00925678" w:rsidRPr="00925678">
        <w:rPr>
          <w:spacing w:val="2"/>
        </w:rPr>
        <w:t xml:space="preserve"> à l</w:t>
      </w:r>
      <w:r w:rsidR="00164402">
        <w:rPr>
          <w:spacing w:val="2"/>
        </w:rPr>
        <w:t>’</w:t>
      </w:r>
      <w:r w:rsidR="00925678" w:rsidRPr="00925678">
        <w:rPr>
          <w:spacing w:val="2"/>
        </w:rPr>
        <w:t>occasion de sa quarante</w:t>
      </w:r>
      <w:r w:rsidR="00B24468">
        <w:rPr>
          <w:spacing w:val="2"/>
        </w:rPr>
        <w:noBreakHyphen/>
      </w:r>
      <w:r w:rsidR="00925678" w:rsidRPr="00925678">
        <w:rPr>
          <w:spacing w:val="2"/>
        </w:rPr>
        <w:t>huit</w:t>
      </w:r>
      <w:r w:rsidR="00164402">
        <w:rPr>
          <w:spacing w:val="2"/>
        </w:rPr>
        <w:t>ième session</w:t>
      </w:r>
      <w:r w:rsidR="00925678">
        <w:rPr>
          <w:rStyle w:val="FootnoteReference"/>
          <w:spacing w:val="2"/>
          <w:lang w:val="en-GB"/>
        </w:rPr>
        <w:footnoteReference w:id="2"/>
      </w:r>
      <w:r w:rsidR="00925678" w:rsidRPr="00925678">
        <w:rPr>
          <w:spacing w:val="2"/>
        </w:rPr>
        <w:t>, et par</w:t>
      </w:r>
      <w:r w:rsidR="00164402" w:rsidRPr="00925678">
        <w:rPr>
          <w:spacing w:val="2"/>
        </w:rPr>
        <w:t xml:space="preserve"> le</w:t>
      </w:r>
      <w:r w:rsidR="00164402">
        <w:rPr>
          <w:spacing w:val="2"/>
        </w:rPr>
        <w:t> </w:t>
      </w:r>
      <w:r w:rsidR="00164402" w:rsidRPr="00925678">
        <w:rPr>
          <w:spacing w:val="2"/>
        </w:rPr>
        <w:t>CAJ</w:t>
      </w:r>
      <w:r w:rsidR="00925678" w:rsidRPr="00925678">
        <w:rPr>
          <w:spacing w:val="2"/>
        </w:rPr>
        <w:t xml:space="preserve"> à l</w:t>
      </w:r>
      <w:r w:rsidR="00164402">
        <w:rPr>
          <w:spacing w:val="2"/>
        </w:rPr>
        <w:t>’</w:t>
      </w:r>
      <w:r w:rsidR="00925678" w:rsidRPr="00925678">
        <w:rPr>
          <w:spacing w:val="2"/>
        </w:rPr>
        <w:t>occasion de sa soixante</w:t>
      </w:r>
      <w:r w:rsidR="00B24468">
        <w:rPr>
          <w:spacing w:val="2"/>
        </w:rPr>
        <w:noBreakHyphen/>
      </w:r>
      <w:r w:rsidR="00925678" w:rsidRPr="00925678">
        <w:rPr>
          <w:spacing w:val="2"/>
        </w:rPr>
        <w:t>cinqu</w:t>
      </w:r>
      <w:r w:rsidR="00164402">
        <w:rPr>
          <w:spacing w:val="2"/>
        </w:rPr>
        <w:t>ième session</w:t>
      </w:r>
      <w:r w:rsidR="00925678">
        <w:rPr>
          <w:rStyle w:val="FootnoteReference"/>
          <w:spacing w:val="2"/>
          <w:lang w:val="en-GB"/>
        </w:rPr>
        <w:footnoteReference w:id="3"/>
      </w:r>
      <w:r w:rsidR="00925678" w:rsidRPr="00925678">
        <w:rPr>
          <w:spacing w:val="2"/>
        </w:rPr>
        <w:t>, est reproduite à l</w:t>
      </w:r>
      <w:r w:rsidR="00164402">
        <w:rPr>
          <w:spacing w:val="2"/>
        </w:rPr>
        <w:t>’</w:t>
      </w:r>
      <w:r w:rsidR="00164402" w:rsidRPr="00925678">
        <w:rPr>
          <w:spacing w:val="2"/>
        </w:rPr>
        <w:t>annexe</w:t>
      </w:r>
      <w:r w:rsidR="00164402">
        <w:rPr>
          <w:spacing w:val="2"/>
        </w:rPr>
        <w:t> </w:t>
      </w:r>
      <w:r w:rsidR="00164402" w:rsidRPr="00925678">
        <w:rPr>
          <w:spacing w:val="2"/>
        </w:rPr>
        <w:t>1</w:t>
      </w:r>
      <w:r w:rsidR="00925678" w:rsidRPr="00925678">
        <w:rPr>
          <w:spacing w:val="2"/>
        </w:rPr>
        <w:t xml:space="preserve"> des </w:t>
      </w:r>
      <w:r w:rsidR="00164402" w:rsidRPr="00925678">
        <w:rPr>
          <w:spacing w:val="2"/>
        </w:rPr>
        <w:t>documents</w:t>
      </w:r>
      <w:r w:rsidR="00311EE0">
        <w:rPr>
          <w:spacing w:val="2"/>
        </w:rPr>
        <w:t> </w:t>
      </w:r>
      <w:r w:rsidR="00164402">
        <w:rPr>
          <w:spacing w:val="2"/>
        </w:rPr>
        <w:t>TC</w:t>
      </w:r>
      <w:r w:rsidR="00925678" w:rsidRPr="00925678">
        <w:rPr>
          <w:spacing w:val="2"/>
        </w:rPr>
        <w:t>/49/6 et CAJ/67/6, et est disponible sur le site</w:t>
      </w:r>
      <w:r w:rsidR="001A69E6">
        <w:rPr>
          <w:spacing w:val="2"/>
        </w:rPr>
        <w:t> </w:t>
      </w:r>
      <w:r w:rsidR="00925678" w:rsidRPr="00925678">
        <w:rPr>
          <w:spacing w:val="2"/>
        </w:rPr>
        <w:t>Web de l</w:t>
      </w:r>
      <w:r w:rsidR="00164402">
        <w:rPr>
          <w:spacing w:val="2"/>
        </w:rPr>
        <w:t>’</w:t>
      </w:r>
      <w:r w:rsidR="00925678" w:rsidRPr="00925678">
        <w:rPr>
          <w:spacing w:val="2"/>
        </w:rPr>
        <w:t>UPOV (</w:t>
      </w:r>
      <w:hyperlink r:id="rId7" w:history="1">
        <w:r w:rsidR="00925678" w:rsidRPr="00925678">
          <w:rPr>
            <w:rStyle w:val="Hyperlink"/>
            <w:rFonts w:cs="Arial"/>
          </w:rPr>
          <w:t>https://www.upov.int/genie/resources/pdfs/upov_code_system_fr.pdf</w:t>
        </w:r>
      </w:hyperlink>
      <w:r w:rsidR="00925678" w:rsidRPr="00925678">
        <w:rPr>
          <w:spacing w:val="2"/>
        </w:rPr>
        <w:t>).</w:t>
      </w:r>
    </w:p>
    <w:p w:rsidR="00847FB6" w:rsidRDefault="00847FB6" w:rsidP="00532990">
      <w:pPr>
        <w:rPr>
          <w:rFonts w:cs="Arial"/>
          <w:snapToGrid w:val="0"/>
          <w:spacing w:val="-2"/>
        </w:rPr>
      </w:pPr>
    </w:p>
    <w:p w:rsidR="00164402" w:rsidRDefault="00532990" w:rsidP="00925678">
      <w:pPr>
        <w:pStyle w:val="Default"/>
        <w:jc w:val="both"/>
        <w:rPr>
          <w:sz w:val="20"/>
          <w:szCs w:val="20"/>
          <w:lang w:val="fr-FR"/>
        </w:rPr>
      </w:pPr>
      <w:r>
        <w:rPr>
          <w:sz w:val="20"/>
          <w:szCs w:val="20"/>
        </w:rPr>
        <w:fldChar w:fldCharType="begin"/>
      </w:r>
      <w:r w:rsidRPr="00925678">
        <w:rPr>
          <w:sz w:val="20"/>
          <w:szCs w:val="20"/>
          <w:lang w:val="fr-FR"/>
        </w:rPr>
        <w:instrText xml:space="preserve"> AUTONUM  </w:instrText>
      </w:r>
      <w:r>
        <w:rPr>
          <w:sz w:val="20"/>
          <w:szCs w:val="20"/>
        </w:rPr>
        <w:fldChar w:fldCharType="end"/>
      </w:r>
      <w:r w:rsidRPr="00925678">
        <w:rPr>
          <w:sz w:val="20"/>
          <w:szCs w:val="20"/>
          <w:lang w:val="fr-FR"/>
        </w:rPr>
        <w:tab/>
      </w:r>
      <w:r w:rsidR="00925678" w:rsidRPr="00925678">
        <w:rPr>
          <w:sz w:val="20"/>
          <w:szCs w:val="20"/>
          <w:lang w:val="fr-FR"/>
        </w:rPr>
        <w:t>Le Comité consultatif, à sa quatre</w:t>
      </w:r>
      <w:r w:rsidR="00B24468">
        <w:rPr>
          <w:sz w:val="20"/>
          <w:szCs w:val="20"/>
          <w:lang w:val="fr-FR"/>
        </w:rPr>
        <w:noBreakHyphen/>
      </w:r>
      <w:r w:rsidR="00925678" w:rsidRPr="00925678">
        <w:rPr>
          <w:sz w:val="20"/>
          <w:szCs w:val="20"/>
          <w:lang w:val="fr-FR"/>
        </w:rPr>
        <w:t>vingt</w:t>
      </w:r>
      <w:r w:rsidR="00B24468">
        <w:rPr>
          <w:sz w:val="20"/>
          <w:szCs w:val="20"/>
          <w:lang w:val="fr-FR"/>
        </w:rPr>
        <w:noBreakHyphen/>
      </w:r>
      <w:r w:rsidR="00925678" w:rsidRPr="00925678">
        <w:rPr>
          <w:sz w:val="20"/>
          <w:szCs w:val="20"/>
          <w:lang w:val="fr-FR"/>
        </w:rPr>
        <w:t>seiz</w:t>
      </w:r>
      <w:r w:rsidR="00164402">
        <w:rPr>
          <w:sz w:val="20"/>
          <w:szCs w:val="20"/>
          <w:lang w:val="fr-FR"/>
        </w:rPr>
        <w:t>ième session</w:t>
      </w:r>
      <w:r w:rsidR="00925678" w:rsidRPr="00925678">
        <w:rPr>
          <w:sz w:val="20"/>
          <w:szCs w:val="20"/>
          <w:lang w:val="fr-FR"/>
        </w:rPr>
        <w:t xml:space="preserve"> qui s</w:t>
      </w:r>
      <w:r w:rsidR="00164402">
        <w:rPr>
          <w:sz w:val="20"/>
          <w:szCs w:val="20"/>
          <w:lang w:val="fr-FR"/>
        </w:rPr>
        <w:t>’</w:t>
      </w:r>
      <w:r w:rsidR="00925678" w:rsidRPr="00925678">
        <w:rPr>
          <w:sz w:val="20"/>
          <w:szCs w:val="20"/>
          <w:lang w:val="fr-FR"/>
        </w:rPr>
        <w:t>est tenue à Genève le 3</w:t>
      </w:r>
      <w:r w:rsidR="00164402" w:rsidRPr="00925678">
        <w:rPr>
          <w:sz w:val="20"/>
          <w:szCs w:val="20"/>
          <w:lang w:val="fr-FR"/>
        </w:rPr>
        <w:t>1</w:t>
      </w:r>
      <w:r w:rsidR="00164402">
        <w:rPr>
          <w:sz w:val="20"/>
          <w:szCs w:val="20"/>
          <w:lang w:val="fr-FR"/>
        </w:rPr>
        <w:t> </w:t>
      </w:r>
      <w:r w:rsidR="00164402" w:rsidRPr="00925678">
        <w:rPr>
          <w:sz w:val="20"/>
          <w:szCs w:val="20"/>
          <w:lang w:val="fr-FR"/>
        </w:rPr>
        <w:t>octobre</w:t>
      </w:r>
      <w:r w:rsidR="00164402">
        <w:rPr>
          <w:sz w:val="20"/>
          <w:szCs w:val="20"/>
          <w:lang w:val="fr-FR"/>
        </w:rPr>
        <w:t> </w:t>
      </w:r>
      <w:r w:rsidR="00164402" w:rsidRPr="00925678">
        <w:rPr>
          <w:sz w:val="20"/>
          <w:szCs w:val="20"/>
          <w:lang w:val="fr-FR"/>
        </w:rPr>
        <w:t>20</w:t>
      </w:r>
      <w:r w:rsidR="00925678" w:rsidRPr="00925678">
        <w:rPr>
          <w:sz w:val="20"/>
          <w:szCs w:val="20"/>
          <w:lang w:val="fr-FR"/>
        </w:rPr>
        <w:t>19, a noté qu</w:t>
      </w:r>
      <w:r w:rsidR="00164402">
        <w:rPr>
          <w:sz w:val="20"/>
          <w:szCs w:val="20"/>
          <w:lang w:val="fr-FR"/>
        </w:rPr>
        <w:t>’</w:t>
      </w:r>
      <w:r w:rsidR="00925678" w:rsidRPr="00925678">
        <w:rPr>
          <w:sz w:val="20"/>
          <w:szCs w:val="20"/>
          <w:lang w:val="fr-FR"/>
        </w:rPr>
        <w:t>en temps voulu le Conseil serait invité à adopter le “Programme d</w:t>
      </w:r>
      <w:r w:rsidR="00164402">
        <w:rPr>
          <w:sz w:val="20"/>
          <w:szCs w:val="20"/>
          <w:lang w:val="fr-FR"/>
        </w:rPr>
        <w:t>’</w:t>
      </w:r>
      <w:r w:rsidR="00925678" w:rsidRPr="00925678">
        <w:rPr>
          <w:sz w:val="20"/>
          <w:szCs w:val="20"/>
          <w:lang w:val="fr-FR"/>
        </w:rPr>
        <w:t>améliorations de la base de données PLUTO” et l</w:t>
      </w:r>
      <w:r w:rsidR="00164402">
        <w:rPr>
          <w:sz w:val="20"/>
          <w:szCs w:val="20"/>
          <w:lang w:val="fr-FR"/>
        </w:rPr>
        <w:t>’</w:t>
      </w:r>
      <w:r w:rsidR="00925678" w:rsidRPr="00925678">
        <w:rPr>
          <w:sz w:val="20"/>
          <w:szCs w:val="20"/>
          <w:lang w:val="fr-FR"/>
        </w:rPr>
        <w:t>“Introduction au système de codes UPOV”, diffusés dans la Collection de documents d</w:t>
      </w:r>
      <w:r w:rsidR="00164402">
        <w:rPr>
          <w:sz w:val="20"/>
          <w:szCs w:val="20"/>
          <w:lang w:val="fr-FR"/>
        </w:rPr>
        <w:t>’</w:t>
      </w:r>
      <w:r w:rsidR="00925678" w:rsidRPr="00925678">
        <w:rPr>
          <w:sz w:val="20"/>
          <w:szCs w:val="20"/>
          <w:lang w:val="fr-FR"/>
        </w:rPr>
        <w:t>information de l</w:t>
      </w:r>
      <w:r w:rsidR="00164402">
        <w:rPr>
          <w:sz w:val="20"/>
          <w:szCs w:val="20"/>
          <w:lang w:val="fr-FR"/>
        </w:rPr>
        <w:t>’</w:t>
      </w:r>
      <w:r w:rsidR="00925678" w:rsidRPr="00925678">
        <w:rPr>
          <w:sz w:val="20"/>
          <w:szCs w:val="20"/>
          <w:lang w:val="fr-FR"/>
        </w:rPr>
        <w:t>UPOV (document</w:t>
      </w:r>
      <w:r w:rsidR="00311EE0">
        <w:rPr>
          <w:sz w:val="20"/>
          <w:szCs w:val="20"/>
          <w:lang w:val="fr-FR"/>
        </w:rPr>
        <w:t> </w:t>
      </w:r>
      <w:r w:rsidR="00925678" w:rsidRPr="00925678">
        <w:rPr>
          <w:sz w:val="20"/>
          <w:szCs w:val="20"/>
          <w:lang w:val="fr-FR"/>
        </w:rPr>
        <w:t xml:space="preserve">CC/96/14, “Compte rendu”, </w:t>
      </w:r>
      <w:r w:rsidR="00164402" w:rsidRPr="00925678">
        <w:rPr>
          <w:sz w:val="20"/>
          <w:szCs w:val="20"/>
          <w:lang w:val="fr-FR"/>
        </w:rPr>
        <w:t>paragraphe</w:t>
      </w:r>
      <w:r w:rsidR="00164402">
        <w:rPr>
          <w:sz w:val="20"/>
          <w:szCs w:val="20"/>
          <w:lang w:val="fr-FR"/>
        </w:rPr>
        <w:t> </w:t>
      </w:r>
      <w:r w:rsidR="00164402" w:rsidRPr="00925678">
        <w:rPr>
          <w:sz w:val="20"/>
          <w:szCs w:val="20"/>
          <w:lang w:val="fr-FR"/>
        </w:rPr>
        <w:t>8</w:t>
      </w:r>
      <w:r w:rsidR="00925678" w:rsidRPr="00925678">
        <w:rPr>
          <w:sz w:val="20"/>
          <w:szCs w:val="20"/>
          <w:lang w:val="fr-FR"/>
        </w:rPr>
        <w:t>5).</w:t>
      </w:r>
    </w:p>
    <w:p w:rsidR="00847FB6" w:rsidRDefault="00847FB6" w:rsidP="00532990">
      <w:pPr>
        <w:rPr>
          <w:rFonts w:cs="Arial"/>
          <w:snapToGrid w:val="0"/>
          <w:spacing w:val="-2"/>
        </w:rPr>
      </w:pPr>
    </w:p>
    <w:p w:rsidR="00847FB6" w:rsidRDefault="00532990" w:rsidP="00D64F57">
      <w:pPr>
        <w:rPr>
          <w:lang w:eastAsia="ja-JP"/>
        </w:rPr>
      </w:pPr>
      <w:r>
        <w:rPr>
          <w:lang w:eastAsia="ja-JP"/>
        </w:rPr>
        <w:fldChar w:fldCharType="begin"/>
      </w:r>
      <w:r w:rsidRPr="00D64F57"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 w:rsidRPr="00D64F57">
        <w:rPr>
          <w:lang w:eastAsia="ja-JP"/>
        </w:rPr>
        <w:tab/>
      </w:r>
      <w:r w:rsidR="00D64F57" w:rsidRPr="00D64F57">
        <w:rPr>
          <w:lang w:eastAsia="ja-JP"/>
        </w:rPr>
        <w:t>Le CAJ sera invité à examiner le document</w:t>
      </w:r>
      <w:r w:rsidR="00311EE0">
        <w:rPr>
          <w:lang w:eastAsia="ja-JP"/>
        </w:rPr>
        <w:t> </w:t>
      </w:r>
      <w:r w:rsidR="00D64F57" w:rsidRPr="00D64F57">
        <w:rPr>
          <w:lang w:eastAsia="ja-JP"/>
        </w:rPr>
        <w:t>UPOV/INF/23/1, sur la base du document</w:t>
      </w:r>
      <w:r w:rsidR="00311EE0">
        <w:rPr>
          <w:lang w:eastAsia="ja-JP"/>
        </w:rPr>
        <w:t> </w:t>
      </w:r>
      <w:r w:rsidR="0091474C">
        <w:rPr>
          <w:lang w:eastAsia="ja-JP"/>
        </w:rPr>
        <w:t>UPOV/</w:t>
      </w:r>
      <w:proofErr w:type="spellStart"/>
      <w:r w:rsidR="0091474C">
        <w:rPr>
          <w:lang w:eastAsia="ja-JP"/>
        </w:rPr>
        <w:t>INF</w:t>
      </w:r>
      <w:proofErr w:type="spellEnd"/>
      <w:r w:rsidR="0091474C">
        <w:rPr>
          <w:lang w:eastAsia="ja-JP"/>
        </w:rPr>
        <w:t>/23/1 </w:t>
      </w:r>
      <w:proofErr w:type="spellStart"/>
      <w:r w:rsidR="0091474C">
        <w:rPr>
          <w:lang w:eastAsia="ja-JP"/>
        </w:rPr>
        <w:t>Draft</w:t>
      </w:r>
      <w:proofErr w:type="spellEnd"/>
      <w:r w:rsidR="0091474C">
        <w:rPr>
          <w:lang w:eastAsia="ja-JP"/>
        </w:rPr>
        <w:t> </w:t>
      </w:r>
      <w:r w:rsidR="00D64F57" w:rsidRPr="00D64F57">
        <w:rPr>
          <w:lang w:eastAsia="ja-JP"/>
        </w:rPr>
        <w:t>1</w:t>
      </w:r>
      <w:r w:rsidR="0091474C">
        <w:rPr>
          <w:lang w:eastAsia="ja-JP"/>
        </w:rPr>
        <w:t xml:space="preserve"> </w:t>
      </w:r>
      <w:r w:rsidR="00164402">
        <w:rPr>
          <w:lang w:eastAsia="ja-JP"/>
        </w:rPr>
        <w:t>“</w:t>
      </w:r>
      <w:r w:rsidR="00164402" w:rsidRPr="00D64F57">
        <w:rPr>
          <w:lang w:eastAsia="ja-JP"/>
        </w:rPr>
        <w:t>I</w:t>
      </w:r>
      <w:r w:rsidR="00D64F57" w:rsidRPr="00D64F57">
        <w:rPr>
          <w:lang w:eastAsia="ja-JP"/>
        </w:rPr>
        <w:t>ntroduction au système de codes UPO</w:t>
      </w:r>
      <w:r w:rsidR="00164402" w:rsidRPr="00D64F57">
        <w:rPr>
          <w:lang w:eastAsia="ja-JP"/>
        </w:rPr>
        <w:t>V</w:t>
      </w:r>
      <w:r w:rsidR="00164402">
        <w:rPr>
          <w:lang w:eastAsia="ja-JP"/>
        </w:rPr>
        <w:t>”</w:t>
      </w:r>
      <w:r w:rsidR="00D64F57" w:rsidRPr="00D64F57">
        <w:rPr>
          <w:lang w:eastAsia="ja-JP"/>
        </w:rPr>
        <w:t>, comme indiqué dans le document</w:t>
      </w:r>
      <w:r w:rsidR="00311EE0">
        <w:rPr>
          <w:lang w:eastAsia="ja-JP"/>
        </w:rPr>
        <w:t> </w:t>
      </w:r>
      <w:proofErr w:type="spellStart"/>
      <w:r w:rsidR="00D64F57" w:rsidRPr="00D64F57">
        <w:rPr>
          <w:lang w:eastAsia="ja-JP"/>
        </w:rPr>
        <w:t>CAJ</w:t>
      </w:r>
      <w:proofErr w:type="spellEnd"/>
      <w:r w:rsidR="00D64F57" w:rsidRPr="00D64F57">
        <w:rPr>
          <w:lang w:eastAsia="ja-JP"/>
        </w:rPr>
        <w:t>/77/3</w:t>
      </w:r>
      <w:r w:rsidR="001A69E6">
        <w:rPr>
          <w:lang w:eastAsia="ja-JP"/>
        </w:rPr>
        <w:t> </w:t>
      </w:r>
      <w:proofErr w:type="spellStart"/>
      <w:r w:rsidR="00D64F57" w:rsidRPr="00D64F57">
        <w:rPr>
          <w:lang w:eastAsia="ja-JP"/>
        </w:rPr>
        <w:t>Rev</w:t>
      </w:r>
      <w:proofErr w:type="spellEnd"/>
      <w:r w:rsidR="00D64F57" w:rsidRPr="00D64F57">
        <w:rPr>
          <w:lang w:eastAsia="ja-JP"/>
        </w:rPr>
        <w:t xml:space="preserve">. </w:t>
      </w:r>
      <w:r w:rsidR="00164402">
        <w:rPr>
          <w:lang w:eastAsia="ja-JP"/>
        </w:rPr>
        <w:t>“</w:t>
      </w:r>
      <w:r w:rsidR="00164402" w:rsidRPr="002540F0">
        <w:rPr>
          <w:lang w:eastAsia="ja-JP"/>
        </w:rPr>
        <w:t>É</w:t>
      </w:r>
      <w:r w:rsidR="00D64F57" w:rsidRPr="002540F0">
        <w:rPr>
          <w:lang w:eastAsia="ja-JP"/>
        </w:rPr>
        <w:t>laboration de documents d</w:t>
      </w:r>
      <w:r w:rsidR="00164402">
        <w:rPr>
          <w:lang w:eastAsia="ja-JP"/>
        </w:rPr>
        <w:t>’</w:t>
      </w:r>
      <w:r w:rsidR="00D64F57" w:rsidRPr="002540F0">
        <w:rPr>
          <w:lang w:eastAsia="ja-JP"/>
        </w:rPr>
        <w:t>orientation et d</w:t>
      </w:r>
      <w:r w:rsidR="00164402">
        <w:rPr>
          <w:lang w:eastAsia="ja-JP"/>
        </w:rPr>
        <w:t>’</w:t>
      </w:r>
      <w:r w:rsidR="00D64F57" w:rsidRPr="002540F0">
        <w:rPr>
          <w:lang w:eastAsia="ja-JP"/>
        </w:rPr>
        <w:t>informatio</w:t>
      </w:r>
      <w:r w:rsidR="00164402" w:rsidRPr="002540F0">
        <w:rPr>
          <w:lang w:eastAsia="ja-JP"/>
        </w:rPr>
        <w:t>n</w:t>
      </w:r>
      <w:r w:rsidR="00164402">
        <w:rPr>
          <w:lang w:eastAsia="ja-JP"/>
        </w:rPr>
        <w:t>”</w:t>
      </w:r>
      <w:r w:rsidR="00D64F57" w:rsidRPr="002540F0">
        <w:rPr>
          <w:lang w:eastAsia="ja-JP"/>
        </w:rPr>
        <w:t>.</w:t>
      </w:r>
    </w:p>
    <w:p w:rsidR="00847FB6" w:rsidRDefault="00847FB6" w:rsidP="00532990">
      <w:pPr>
        <w:rPr>
          <w:lang w:eastAsia="ja-JP"/>
        </w:rPr>
      </w:pPr>
    </w:p>
    <w:p w:rsidR="00847FB6" w:rsidRDefault="00847FB6" w:rsidP="00532990">
      <w:pPr>
        <w:rPr>
          <w:lang w:eastAsia="ja-JP"/>
        </w:rPr>
      </w:pPr>
    </w:p>
    <w:p w:rsidR="00847FB6" w:rsidRDefault="003C07B4" w:rsidP="00532990">
      <w:pPr>
        <w:keepNext/>
        <w:outlineLvl w:val="1"/>
        <w:rPr>
          <w:rFonts w:eastAsiaTheme="minorEastAsia"/>
          <w:u w:val="single"/>
        </w:rPr>
      </w:pPr>
      <w:bookmarkStart w:id="9" w:name="_Toc19281160"/>
      <w:bookmarkStart w:id="10" w:name="_Toc53751900"/>
      <w:r>
        <w:rPr>
          <w:rFonts w:eastAsiaTheme="minorEastAsia"/>
          <w:u w:val="single"/>
          <w:lang w:val="fr-CH"/>
        </w:rPr>
        <w:t>Faits nouveaux concernant les codes UPOV</w:t>
      </w:r>
      <w:bookmarkEnd w:id="9"/>
      <w:bookmarkEnd w:id="10"/>
    </w:p>
    <w:p w:rsidR="00847FB6" w:rsidRDefault="00847FB6" w:rsidP="00532990">
      <w:pPr>
        <w:keepNext/>
        <w:keepLines/>
        <w:rPr>
          <w:rFonts w:eastAsiaTheme="minorEastAsia" w:cs="Arial"/>
          <w:snapToGrid w:val="0"/>
        </w:rPr>
      </w:pPr>
    </w:p>
    <w:p w:rsidR="00847FB6" w:rsidRDefault="00532990" w:rsidP="00532990">
      <w:pPr>
        <w:keepNext/>
        <w:keepLines/>
        <w:rPr>
          <w:rFonts w:eastAsiaTheme="minorEastAsia" w:cs="Arial"/>
          <w:snapToGrid w:val="0"/>
        </w:rPr>
      </w:pPr>
      <w:r>
        <w:rPr>
          <w:rFonts w:eastAsiaTheme="minorEastAsia" w:cs="Arial"/>
          <w:snapToGrid w:val="0"/>
        </w:rPr>
        <w:fldChar w:fldCharType="begin"/>
      </w:r>
      <w:r w:rsidRPr="003C07B4">
        <w:rPr>
          <w:rFonts w:eastAsiaTheme="minorEastAsia" w:cs="Arial"/>
          <w:snapToGrid w:val="0"/>
        </w:rPr>
        <w:instrText xml:space="preserve"> AUTONUM  </w:instrText>
      </w:r>
      <w:r>
        <w:rPr>
          <w:rFonts w:eastAsiaTheme="minorEastAsia" w:cs="Arial"/>
          <w:snapToGrid w:val="0"/>
        </w:rPr>
        <w:fldChar w:fldCharType="end"/>
      </w:r>
      <w:r w:rsidRPr="003C07B4">
        <w:rPr>
          <w:rFonts w:eastAsiaTheme="minorEastAsia" w:cs="Arial"/>
          <w:snapToGrid w:val="0"/>
        </w:rPr>
        <w:tab/>
      </w:r>
      <w:r w:rsidR="003C07B4" w:rsidRPr="003C07B4">
        <w:rPr>
          <w:rFonts w:eastAsiaTheme="minorEastAsia" w:cs="Arial"/>
          <w:snapToGrid w:val="0"/>
        </w:rPr>
        <w:t>Au</w:t>
      </w:r>
      <w:r w:rsidRPr="003C07B4">
        <w:rPr>
          <w:rFonts w:eastAsiaTheme="minorEastAsia" w:cs="Arial"/>
          <w:snapToGrid w:val="0"/>
        </w:rPr>
        <w:t xml:space="preserve"> 3</w:t>
      </w:r>
      <w:r w:rsidR="00164402" w:rsidRPr="003C07B4">
        <w:rPr>
          <w:rFonts w:eastAsiaTheme="minorEastAsia" w:cs="Arial"/>
          <w:snapToGrid w:val="0"/>
        </w:rPr>
        <w:t>0</w:t>
      </w:r>
      <w:r w:rsidR="00164402">
        <w:rPr>
          <w:rFonts w:eastAsiaTheme="minorEastAsia" w:cs="Arial"/>
          <w:snapToGrid w:val="0"/>
        </w:rPr>
        <w:t> </w:t>
      </w:r>
      <w:r w:rsidR="00164402" w:rsidRPr="003C07B4">
        <w:rPr>
          <w:rFonts w:eastAsiaTheme="minorEastAsia" w:cs="Arial"/>
          <w:snapToGrid w:val="0"/>
        </w:rPr>
        <w:t>août</w:t>
      </w:r>
      <w:r w:rsidR="00164402">
        <w:rPr>
          <w:rFonts w:eastAsiaTheme="minorEastAsia" w:cs="Arial"/>
          <w:snapToGrid w:val="0"/>
        </w:rPr>
        <w:t> </w:t>
      </w:r>
      <w:r w:rsidR="00164402" w:rsidRPr="003C07B4">
        <w:rPr>
          <w:rFonts w:eastAsiaTheme="minorEastAsia" w:cs="Arial"/>
          <w:snapToGrid w:val="0"/>
        </w:rPr>
        <w:t>20</w:t>
      </w:r>
      <w:r w:rsidRPr="003C07B4">
        <w:rPr>
          <w:rFonts w:eastAsiaTheme="minorEastAsia" w:cs="Arial"/>
          <w:snapToGrid w:val="0"/>
        </w:rPr>
        <w:t>20, 145</w:t>
      </w:r>
      <w:r w:rsidR="00311EE0">
        <w:rPr>
          <w:rFonts w:eastAsiaTheme="minorEastAsia" w:cs="Arial"/>
          <w:snapToGrid w:val="0"/>
        </w:rPr>
        <w:t> </w:t>
      </w:r>
      <w:r w:rsidR="003C07B4">
        <w:rPr>
          <w:rFonts w:eastAsiaTheme="minorEastAsia" w:cs="Arial"/>
          <w:snapToGrid w:val="0"/>
          <w:lang w:val="fr-CH"/>
        </w:rPr>
        <w:t>nouveaux codes UPOV avaient été créés</w:t>
      </w:r>
      <w:r w:rsidRPr="003C07B4">
        <w:rPr>
          <w:rFonts w:eastAsiaTheme="minorEastAsia" w:cs="Arial"/>
          <w:snapToGrid w:val="0"/>
        </w:rPr>
        <w:t xml:space="preserve">.  </w:t>
      </w:r>
      <w:r w:rsidR="003C07B4">
        <w:rPr>
          <w:rFonts w:eastAsiaTheme="minorEastAsia" w:cs="Arial"/>
          <w:snapToGrid w:val="0"/>
          <w:lang w:val="fr-CH"/>
        </w:rPr>
        <w:t>Le nombre total de codes UPOV figurant dans la base de données GENIE à cette date s</w:t>
      </w:r>
      <w:r w:rsidR="00164402">
        <w:rPr>
          <w:rFonts w:eastAsiaTheme="minorEastAsia" w:cs="Arial"/>
          <w:snapToGrid w:val="0"/>
          <w:lang w:val="fr-CH"/>
        </w:rPr>
        <w:t>’</w:t>
      </w:r>
      <w:r w:rsidR="003C07B4">
        <w:rPr>
          <w:rFonts w:eastAsiaTheme="minorEastAsia" w:cs="Arial"/>
          <w:snapToGrid w:val="0"/>
          <w:lang w:val="fr-CH"/>
        </w:rPr>
        <w:t>élevait à</w:t>
      </w:r>
      <w:r w:rsidRPr="003C07B4">
        <w:rPr>
          <w:rFonts w:eastAsiaTheme="minorEastAsia" w:cs="Arial"/>
          <w:snapToGrid w:val="0"/>
        </w:rPr>
        <w:t xml:space="preserve"> 9178.</w:t>
      </w:r>
    </w:p>
    <w:p w:rsidR="00532990" w:rsidRPr="003C07B4" w:rsidRDefault="00532990" w:rsidP="00532990">
      <w:pPr>
        <w:keepNext/>
        <w:keepLines/>
        <w:rPr>
          <w:rFonts w:eastAsiaTheme="minorEastAsia" w:cs="Arial"/>
          <w:snapToGrid w:val="0"/>
        </w:rPr>
      </w:pPr>
    </w:p>
    <w:tbl>
      <w:tblPr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0"/>
        <w:gridCol w:w="756"/>
        <w:gridCol w:w="294"/>
        <w:gridCol w:w="293"/>
        <w:gridCol w:w="169"/>
        <w:gridCol w:w="757"/>
        <w:gridCol w:w="124"/>
        <w:gridCol w:w="632"/>
        <w:gridCol w:w="756"/>
        <w:gridCol w:w="757"/>
        <w:gridCol w:w="756"/>
        <w:gridCol w:w="756"/>
        <w:gridCol w:w="757"/>
        <w:gridCol w:w="756"/>
        <w:gridCol w:w="1027"/>
      </w:tblGrid>
      <w:tr w:rsidR="00532990" w:rsidTr="003C07B4">
        <w:tc>
          <w:tcPr>
            <w:tcW w:w="131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32990" w:rsidRPr="003C07B4" w:rsidRDefault="00532990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2990" w:rsidRPr="003C07B4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</w:p>
        </w:tc>
        <w:tc>
          <w:tcPr>
            <w:tcW w:w="754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3C07B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Année</w:t>
            </w:r>
          </w:p>
        </w:tc>
      </w:tr>
      <w:tr w:rsidR="00532990" w:rsidTr="003C07B4"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32990" w:rsidRDefault="00532990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2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2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2"/>
                <w:szCs w:val="18"/>
              </w:rPr>
            </w:pPr>
          </w:p>
        </w:tc>
        <w:tc>
          <w:tcPr>
            <w:tcW w:w="619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2"/>
                <w:szCs w:val="18"/>
              </w:rPr>
            </w:pPr>
          </w:p>
        </w:tc>
      </w:tr>
      <w:tr w:rsidR="00532990" w:rsidTr="003C07B4">
        <w:tc>
          <w:tcPr>
            <w:tcW w:w="13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532990" w:rsidRDefault="00532990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</w:t>
            </w: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10</w:t>
            </w:r>
          </w:p>
        </w:tc>
        <w:tc>
          <w:tcPr>
            <w:tcW w:w="7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1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3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4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5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2016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2017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2018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2990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FB6" w:rsidRDefault="0053299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2020</w:t>
            </w:r>
          </w:p>
          <w:p w:rsidR="00532990" w:rsidRDefault="00532990" w:rsidP="003C07B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4"/>
                <w:szCs w:val="18"/>
                <w:u w:val="single"/>
              </w:rPr>
              <w:t>(</w:t>
            </w:r>
            <w:r w:rsidR="003C07B4">
              <w:rPr>
                <w:rFonts w:eastAsiaTheme="minorEastAsia" w:cs="Arial"/>
                <w:snapToGrid w:val="0"/>
                <w:sz w:val="14"/>
                <w:szCs w:val="18"/>
                <w:u w:val="single"/>
              </w:rPr>
              <w:t>au</w:t>
            </w:r>
            <w:r>
              <w:rPr>
                <w:rFonts w:eastAsiaTheme="minorEastAsia" w:cs="Arial"/>
                <w:snapToGrid w:val="0"/>
                <w:sz w:val="14"/>
                <w:szCs w:val="18"/>
                <w:u w:val="single"/>
              </w:rPr>
              <w:t xml:space="preserve"> 3</w:t>
            </w:r>
            <w:r w:rsidR="00164402">
              <w:rPr>
                <w:rFonts w:eastAsiaTheme="minorEastAsia" w:cs="Arial"/>
                <w:snapToGrid w:val="0"/>
                <w:sz w:val="14"/>
                <w:szCs w:val="18"/>
                <w:u w:val="single"/>
              </w:rPr>
              <w:t>0 août</w:t>
            </w:r>
            <w:r>
              <w:rPr>
                <w:rFonts w:eastAsiaTheme="minorEastAsia" w:cs="Arial"/>
                <w:snapToGrid w:val="0"/>
                <w:sz w:val="14"/>
                <w:szCs w:val="18"/>
                <w:u w:val="single"/>
              </w:rPr>
              <w:t>)</w:t>
            </w:r>
            <w:r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 xml:space="preserve"> </w:t>
            </w:r>
          </w:p>
        </w:tc>
      </w:tr>
      <w:tr w:rsidR="003C07B4" w:rsidTr="003C07B4"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Nouveaux codes UPOV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114</w:t>
            </w:r>
          </w:p>
        </w:tc>
        <w:tc>
          <w:tcPr>
            <w:tcW w:w="7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173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212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209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577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188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173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440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242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145</w:t>
            </w:r>
          </w:p>
        </w:tc>
      </w:tr>
      <w:tr w:rsidR="003C07B4" w:rsidTr="003C07B4"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Modifications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Theme="minorEastAsia" w:cs="Arial"/>
                <w:snapToGrid w:val="0"/>
                <w:sz w:val="18"/>
                <w:szCs w:val="18"/>
              </w:rPr>
              <w:t>47*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</w:t>
            </w:r>
          </w:p>
        </w:tc>
      </w:tr>
      <w:tr w:rsidR="003C07B4" w:rsidTr="003C07B4"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fr-CH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val="fr-CH"/>
              </w:rPr>
              <w:t xml:space="preserve">Nombre total de codes UPOV 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6 683</w:t>
            </w:r>
          </w:p>
        </w:tc>
        <w:tc>
          <w:tcPr>
            <w:tcW w:w="7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6 851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7 061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</w:rPr>
              <w:t>7 251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</w:t>
            </w:r>
            <w:r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808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</w:t>
            </w:r>
            <w:r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992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</w:t>
            </w:r>
            <w:r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149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</w:t>
            </w:r>
            <w:r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589</w:t>
            </w:r>
          </w:p>
        </w:tc>
        <w:tc>
          <w:tcPr>
            <w:tcW w:w="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</w:t>
            </w:r>
            <w:r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844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FB6" w:rsidRDefault="003C07B4" w:rsidP="003C07B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</w:t>
            </w:r>
            <w:r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077</w:t>
            </w:r>
          </w:p>
          <w:p w:rsidR="003C07B4" w:rsidRDefault="003C07B4" w:rsidP="003C07B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C07B4" w:rsidRDefault="003C07B4" w:rsidP="003C07B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</w:t>
            </w:r>
            <w:r>
              <w:rPr>
                <w:rFonts w:eastAsiaTheme="minorEastAsia" w:cs="Arial"/>
                <w:snapToGrid w:val="0"/>
                <w:sz w:val="18"/>
                <w:szCs w:val="18"/>
              </w:rPr>
              <w:t> </w:t>
            </w:r>
            <w:r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178</w:t>
            </w:r>
          </w:p>
        </w:tc>
      </w:tr>
    </w:tbl>
    <w:p w:rsidR="00847FB6" w:rsidRDefault="003C07B4" w:rsidP="00532990">
      <w:pPr>
        <w:spacing w:before="120"/>
        <w:ind w:left="851" w:hanging="284"/>
        <w:rPr>
          <w:rFonts w:eastAsiaTheme="minorEastAsia" w:cs="Arial"/>
          <w:sz w:val="16"/>
          <w:szCs w:val="18"/>
          <w:lang w:eastAsia="ja-JP"/>
        </w:rPr>
      </w:pPr>
      <w:r w:rsidRPr="003C07B4">
        <w:rPr>
          <w:rFonts w:eastAsiaTheme="minorEastAsia" w:cs="Arial"/>
          <w:sz w:val="16"/>
          <w:szCs w:val="18"/>
        </w:rPr>
        <w:t xml:space="preserve">* </w:t>
      </w:r>
      <w:r w:rsidRPr="003C07B4">
        <w:rPr>
          <w:rFonts w:eastAsiaTheme="minorEastAsia" w:cs="Arial"/>
          <w:sz w:val="16"/>
          <w:szCs w:val="18"/>
        </w:rPr>
        <w:tab/>
      </w:r>
      <w:r w:rsidR="00164402">
        <w:rPr>
          <w:rFonts w:eastAsiaTheme="minorEastAsia" w:cs="Arial"/>
          <w:sz w:val="16"/>
          <w:szCs w:val="18"/>
        </w:rPr>
        <w:t>y compris</w:t>
      </w:r>
      <w:r w:rsidRPr="003C07B4">
        <w:rPr>
          <w:rFonts w:eastAsiaTheme="minorEastAsia" w:cs="Arial"/>
          <w:sz w:val="16"/>
          <w:szCs w:val="18"/>
        </w:rPr>
        <w:t xml:space="preserve"> les modifications des codes UPOV résultant de la modification du “Guide relatif au système de codes UPOV” concernant les hybrides (voir le </w:t>
      </w:r>
      <w:r w:rsidR="00164402" w:rsidRPr="003C07B4">
        <w:rPr>
          <w:rFonts w:eastAsiaTheme="minorEastAsia" w:cs="Arial"/>
          <w:sz w:val="16"/>
          <w:szCs w:val="18"/>
        </w:rPr>
        <w:t>document</w:t>
      </w:r>
      <w:r w:rsidR="00311EE0">
        <w:rPr>
          <w:rFonts w:eastAsiaTheme="minorEastAsia" w:cs="Arial"/>
          <w:sz w:val="16"/>
          <w:szCs w:val="18"/>
        </w:rPr>
        <w:t> </w:t>
      </w:r>
      <w:r w:rsidR="00164402">
        <w:rPr>
          <w:rFonts w:eastAsiaTheme="minorEastAsia" w:cs="Arial"/>
          <w:sz w:val="16"/>
          <w:szCs w:val="18"/>
        </w:rPr>
        <w:t>TC</w:t>
      </w:r>
      <w:r w:rsidRPr="003C07B4">
        <w:rPr>
          <w:rFonts w:eastAsiaTheme="minorEastAsia" w:cs="Arial"/>
          <w:sz w:val="16"/>
          <w:szCs w:val="18"/>
        </w:rPr>
        <w:t>/49/6).</w:t>
      </w:r>
    </w:p>
    <w:p w:rsidR="00164402" w:rsidRDefault="00164402" w:rsidP="00532990">
      <w:pPr>
        <w:rPr>
          <w:rFonts w:eastAsiaTheme="minorEastAsia" w:cs="Arial"/>
        </w:rPr>
      </w:pPr>
    </w:p>
    <w:p w:rsidR="00847FB6" w:rsidRDefault="00847FB6" w:rsidP="00532990">
      <w:pPr>
        <w:rPr>
          <w:rFonts w:eastAsiaTheme="minorEastAsia" w:cs="Arial"/>
        </w:rPr>
      </w:pPr>
    </w:p>
    <w:p w:rsidR="00847FB6" w:rsidRDefault="00532990" w:rsidP="00532990">
      <w:pPr>
        <w:jc w:val="left"/>
        <w:rPr>
          <w:rFonts w:eastAsiaTheme="minorEastAsia" w:cs="Arial"/>
        </w:rPr>
      </w:pPr>
      <w:r w:rsidRPr="003C07B4">
        <w:rPr>
          <w:rFonts w:eastAsiaTheme="minorEastAsia" w:cs="Arial"/>
        </w:rPr>
        <w:br w:type="page"/>
      </w:r>
    </w:p>
    <w:p w:rsidR="00847FB6" w:rsidRDefault="00E3708A" w:rsidP="00E3708A">
      <w:pPr>
        <w:keepNext/>
        <w:keepLines/>
        <w:outlineLvl w:val="0"/>
        <w:rPr>
          <w:rFonts w:eastAsiaTheme="minorEastAsia"/>
          <w:caps/>
          <w:lang w:val="fr-CH"/>
        </w:rPr>
      </w:pPr>
      <w:bookmarkStart w:id="11" w:name="_Toc19281161"/>
      <w:bookmarkStart w:id="12" w:name="_Toc53751901"/>
      <w:r>
        <w:rPr>
          <w:rFonts w:eastAsiaTheme="minorEastAsia"/>
          <w:caps/>
          <w:lang w:val="fr-CH"/>
        </w:rPr>
        <w:lastRenderedPageBreak/>
        <w:t>Base de données PLUTO</w:t>
      </w:r>
      <w:bookmarkEnd w:id="11"/>
      <w:bookmarkEnd w:id="12"/>
    </w:p>
    <w:p w:rsidR="00847FB6" w:rsidRDefault="00847FB6" w:rsidP="00E3708A">
      <w:pPr>
        <w:keepNext/>
        <w:keepLines/>
        <w:rPr>
          <w:rFonts w:eastAsiaTheme="minorEastAsia"/>
          <w:lang w:val="fr-CH"/>
        </w:rPr>
      </w:pPr>
    </w:p>
    <w:p w:rsidR="00164402" w:rsidRDefault="00E3708A" w:rsidP="00E3708A">
      <w:pPr>
        <w:keepNext/>
        <w:keepLines/>
        <w:outlineLvl w:val="1"/>
        <w:rPr>
          <w:rFonts w:eastAsiaTheme="minorEastAsia"/>
          <w:u w:val="single"/>
        </w:rPr>
      </w:pPr>
      <w:bookmarkStart w:id="13" w:name="_Toc19281162"/>
      <w:bookmarkStart w:id="14" w:name="_Toc53751902"/>
      <w:r>
        <w:rPr>
          <w:rFonts w:eastAsiaTheme="minorEastAsia"/>
          <w:u w:val="single"/>
          <w:lang w:val="fr-CH"/>
        </w:rPr>
        <w:t>Programme d</w:t>
      </w:r>
      <w:r w:rsidR="00164402">
        <w:rPr>
          <w:rFonts w:eastAsiaTheme="minorEastAsia"/>
          <w:u w:val="single"/>
          <w:lang w:val="fr-CH"/>
        </w:rPr>
        <w:t>’</w:t>
      </w:r>
      <w:r>
        <w:rPr>
          <w:rFonts w:eastAsiaTheme="minorEastAsia"/>
          <w:u w:val="single"/>
          <w:lang w:val="fr-CH"/>
        </w:rPr>
        <w:t>amélioration de la base de données PLUTO</w:t>
      </w:r>
      <w:bookmarkEnd w:id="13"/>
      <w:bookmarkEnd w:id="14"/>
    </w:p>
    <w:p w:rsidR="00847FB6" w:rsidRDefault="00847FB6" w:rsidP="00532990">
      <w:pPr>
        <w:keepNext/>
        <w:keepLines/>
        <w:rPr>
          <w:rFonts w:eastAsiaTheme="minorEastAsia" w:cs="Arial"/>
          <w:bCs/>
        </w:rPr>
      </w:pPr>
    </w:p>
    <w:p w:rsidR="00847FB6" w:rsidRDefault="00532990" w:rsidP="00D035DD">
      <w:pPr>
        <w:keepNext/>
        <w:keepLines/>
        <w:rPr>
          <w:rFonts w:eastAsiaTheme="minorEastAsia" w:cs="Arial"/>
          <w:bCs/>
        </w:rPr>
      </w:pPr>
      <w:r>
        <w:rPr>
          <w:rFonts w:eastAsiaTheme="minorEastAsia" w:cs="Arial"/>
          <w:bCs/>
        </w:rPr>
        <w:fldChar w:fldCharType="begin"/>
      </w:r>
      <w:r w:rsidRPr="00D035DD">
        <w:rPr>
          <w:rFonts w:eastAsiaTheme="minorEastAsia" w:cs="Arial"/>
          <w:bCs/>
        </w:rPr>
        <w:instrText xml:space="preserve"> AUTONUM  </w:instrText>
      </w:r>
      <w:r>
        <w:rPr>
          <w:rFonts w:eastAsiaTheme="minorEastAsia" w:cs="Arial"/>
          <w:bCs/>
        </w:rPr>
        <w:fldChar w:fldCharType="end"/>
      </w:r>
      <w:r w:rsidRPr="00D035DD">
        <w:rPr>
          <w:rFonts w:eastAsiaTheme="minorEastAsia" w:cs="Arial"/>
          <w:bCs/>
        </w:rPr>
        <w:tab/>
      </w:r>
      <w:r w:rsidR="00D035DD" w:rsidRPr="00D035DD">
        <w:rPr>
          <w:rFonts w:eastAsiaTheme="minorEastAsia" w:cs="Arial"/>
          <w:bCs/>
        </w:rPr>
        <w:t>Les questions concernant la base de données PLUTO sur les variétés végétales figurent dans le document</w:t>
      </w:r>
      <w:r w:rsidR="00311EE0">
        <w:rPr>
          <w:rFonts w:eastAsiaTheme="minorEastAsia" w:cs="Arial"/>
          <w:bCs/>
        </w:rPr>
        <w:t> </w:t>
      </w:r>
      <w:r w:rsidR="00D035DD" w:rsidRPr="00D035DD">
        <w:rPr>
          <w:rFonts w:eastAsiaTheme="minorEastAsia" w:cs="Arial"/>
          <w:bCs/>
        </w:rPr>
        <w:t xml:space="preserve">CAJ/77/8 </w:t>
      </w:r>
      <w:r w:rsidR="00164402">
        <w:rPr>
          <w:rFonts w:eastAsiaTheme="minorEastAsia" w:cs="Arial"/>
          <w:bCs/>
        </w:rPr>
        <w:t>“</w:t>
      </w:r>
      <w:r w:rsidR="00164402" w:rsidRPr="00D035DD">
        <w:rPr>
          <w:rFonts w:eastAsiaTheme="minorEastAsia" w:cs="Arial"/>
          <w:bCs/>
        </w:rPr>
        <w:t>B</w:t>
      </w:r>
      <w:r w:rsidR="00D035DD" w:rsidRPr="00D035DD">
        <w:rPr>
          <w:rFonts w:eastAsiaTheme="minorEastAsia" w:cs="Arial"/>
          <w:bCs/>
        </w:rPr>
        <w:t>ase de données PLUTO sur les variétés végétale</w:t>
      </w:r>
      <w:r w:rsidR="00164402" w:rsidRPr="00D035DD">
        <w:rPr>
          <w:rFonts w:eastAsiaTheme="minorEastAsia" w:cs="Arial"/>
          <w:bCs/>
        </w:rPr>
        <w:t>s</w:t>
      </w:r>
      <w:r w:rsidR="00164402">
        <w:rPr>
          <w:rFonts w:eastAsiaTheme="minorEastAsia" w:cs="Arial"/>
          <w:bCs/>
        </w:rPr>
        <w:t>”</w:t>
      </w:r>
      <w:r w:rsidR="00D035DD" w:rsidRPr="00D035DD">
        <w:rPr>
          <w:rFonts w:eastAsiaTheme="minorEastAsia" w:cs="Arial"/>
          <w:bCs/>
        </w:rPr>
        <w:t>.</w:t>
      </w:r>
    </w:p>
    <w:p w:rsidR="00847FB6" w:rsidRDefault="00847FB6" w:rsidP="00532990">
      <w:pPr>
        <w:keepNext/>
        <w:keepLines/>
        <w:rPr>
          <w:rFonts w:eastAsiaTheme="minorEastAsia" w:cs="Arial"/>
          <w:bCs/>
        </w:rPr>
      </w:pPr>
    </w:p>
    <w:p w:rsidR="00847FB6" w:rsidRDefault="00847FB6" w:rsidP="00532990">
      <w:pPr>
        <w:rPr>
          <w:rFonts w:eastAsiaTheme="minorEastAsia"/>
        </w:rPr>
      </w:pPr>
    </w:p>
    <w:p w:rsidR="00847FB6" w:rsidRDefault="00E3708A" w:rsidP="00532990">
      <w:pPr>
        <w:keepNext/>
        <w:outlineLvl w:val="1"/>
        <w:rPr>
          <w:rFonts w:eastAsiaTheme="minorEastAsia"/>
          <w:u w:val="single"/>
        </w:rPr>
      </w:pPr>
      <w:bookmarkStart w:id="15" w:name="_Toc19281163"/>
      <w:bookmarkStart w:id="16" w:name="_Toc53751903"/>
      <w:r>
        <w:rPr>
          <w:rFonts w:eastAsiaTheme="minorEastAsia"/>
          <w:u w:val="single"/>
          <w:lang w:val="fr-CH"/>
        </w:rPr>
        <w:t>Outils de recherche</w:t>
      </w:r>
      <w:bookmarkEnd w:id="15"/>
      <w:bookmarkEnd w:id="16"/>
    </w:p>
    <w:p w:rsidR="00847FB6" w:rsidRDefault="00847FB6" w:rsidP="00532990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</w:rPr>
      </w:pPr>
    </w:p>
    <w:p w:rsidR="00847FB6" w:rsidRDefault="00532990" w:rsidP="00532990">
      <w:r>
        <w:rPr>
          <w:rFonts w:eastAsiaTheme="minorEastAsia" w:cs="Arial"/>
        </w:rPr>
        <w:fldChar w:fldCharType="begin"/>
      </w:r>
      <w:r w:rsidRPr="00E3708A">
        <w:rPr>
          <w:rFonts w:eastAsiaTheme="minorEastAsia" w:cs="Arial"/>
        </w:rPr>
        <w:instrText xml:space="preserve"> AUTONUM  </w:instrText>
      </w:r>
      <w:r>
        <w:rPr>
          <w:rFonts w:eastAsiaTheme="minorEastAsia" w:cs="Arial"/>
        </w:rPr>
        <w:fldChar w:fldCharType="end"/>
      </w:r>
      <w:r w:rsidRPr="00E3708A">
        <w:rPr>
          <w:rFonts w:eastAsiaTheme="minorEastAsia" w:cs="Arial"/>
        </w:rPr>
        <w:tab/>
      </w:r>
      <w:r w:rsidR="00E3708A">
        <w:rPr>
          <w:rFonts w:eastAsiaTheme="minorEastAsia" w:cs="Arial"/>
          <w:lang w:val="fr-CH"/>
        </w:rPr>
        <w:t>Les questions concernant la possibilité d</w:t>
      </w:r>
      <w:r w:rsidR="00164402">
        <w:rPr>
          <w:rFonts w:eastAsiaTheme="minorEastAsia" w:cs="Arial"/>
          <w:lang w:val="fr-CH"/>
        </w:rPr>
        <w:t>’</w:t>
      </w:r>
      <w:r w:rsidR="00E3708A">
        <w:rPr>
          <w:rFonts w:eastAsiaTheme="minorEastAsia" w:cs="Arial"/>
          <w:lang w:val="fr-CH"/>
        </w:rPr>
        <w:t>élaboration d</w:t>
      </w:r>
      <w:r w:rsidR="00164402">
        <w:rPr>
          <w:rFonts w:eastAsiaTheme="minorEastAsia" w:cs="Arial"/>
          <w:lang w:val="fr-CH"/>
        </w:rPr>
        <w:t>’</w:t>
      </w:r>
      <w:r w:rsidR="00E3708A">
        <w:rPr>
          <w:rFonts w:eastAsiaTheme="minorEastAsia" w:cs="Arial"/>
          <w:lang w:val="fr-CH"/>
        </w:rPr>
        <w:t>un outil de recherche de similarité aux fins de la dénomination variétale sont abordées dans le document</w:t>
      </w:r>
      <w:r w:rsidR="00311EE0">
        <w:rPr>
          <w:rFonts w:eastAsiaTheme="minorEastAsia" w:cs="Arial"/>
          <w:lang w:val="fr-CH"/>
        </w:rPr>
        <w:t> </w:t>
      </w:r>
      <w:r w:rsidRPr="00E3708A">
        <w:t>CAJ/77/7 “</w:t>
      </w:r>
      <w:r w:rsidR="00D035DD">
        <w:rPr>
          <w:rFonts w:eastAsiaTheme="minorEastAsia"/>
        </w:rPr>
        <w:t>Outil de recherche de similarité de l</w:t>
      </w:r>
      <w:r w:rsidR="00164402">
        <w:rPr>
          <w:rFonts w:eastAsiaTheme="minorEastAsia"/>
        </w:rPr>
        <w:t>’</w:t>
      </w:r>
      <w:r w:rsidR="00D035DD">
        <w:rPr>
          <w:rFonts w:eastAsiaTheme="minorEastAsia"/>
        </w:rPr>
        <w:t>UPOV aux fins de la dénomination variétale</w:t>
      </w:r>
      <w:r w:rsidRPr="00E3708A">
        <w:t>”.</w:t>
      </w:r>
    </w:p>
    <w:p w:rsidR="00847FB6" w:rsidRDefault="00847FB6" w:rsidP="00532990">
      <w:pPr>
        <w:rPr>
          <w:rFonts w:eastAsiaTheme="minorEastAsia"/>
        </w:rPr>
      </w:pPr>
    </w:p>
    <w:p w:rsidR="00847FB6" w:rsidRPr="00847FB6" w:rsidRDefault="00532990" w:rsidP="00847FB6">
      <w:pPr>
        <w:tabs>
          <w:tab w:val="left" w:pos="5387"/>
        </w:tabs>
        <w:ind w:left="4820"/>
        <w:rPr>
          <w:rFonts w:eastAsiaTheme="minorEastAsia"/>
          <w:i/>
        </w:rPr>
      </w:pPr>
      <w:r>
        <w:rPr>
          <w:rFonts w:eastAsiaTheme="minorEastAsia"/>
          <w:i/>
        </w:rPr>
        <w:fldChar w:fldCharType="begin"/>
      </w:r>
      <w:r w:rsidRPr="00847FB6">
        <w:rPr>
          <w:rFonts w:eastAsiaTheme="minorEastAsia"/>
          <w:i/>
        </w:rPr>
        <w:instrText xml:space="preserve"> AUTONUM  </w:instrText>
      </w:r>
      <w:r>
        <w:rPr>
          <w:rFonts w:eastAsiaTheme="minorEastAsia"/>
          <w:i/>
        </w:rPr>
        <w:fldChar w:fldCharType="end"/>
      </w:r>
      <w:r w:rsidRPr="00847FB6">
        <w:rPr>
          <w:rFonts w:eastAsiaTheme="minorEastAsia"/>
          <w:i/>
        </w:rPr>
        <w:tab/>
      </w:r>
      <w:r w:rsidR="00847FB6">
        <w:rPr>
          <w:rFonts w:eastAsiaTheme="minorEastAsia"/>
          <w:i/>
        </w:rPr>
        <w:t>Le CAJ est invité à prendre note des éléments ci</w:t>
      </w:r>
      <w:r w:rsidR="00B24468">
        <w:rPr>
          <w:rFonts w:eastAsiaTheme="minorEastAsia"/>
          <w:i/>
        </w:rPr>
        <w:noBreakHyphen/>
      </w:r>
      <w:r w:rsidR="00847FB6">
        <w:rPr>
          <w:rFonts w:eastAsiaTheme="minorEastAsia"/>
          <w:i/>
        </w:rPr>
        <w:t>après</w:t>
      </w:r>
    </w:p>
    <w:p w:rsidR="00847FB6" w:rsidRPr="00847FB6" w:rsidRDefault="00847FB6" w:rsidP="00532990">
      <w:pPr>
        <w:tabs>
          <w:tab w:val="left" w:pos="5387"/>
        </w:tabs>
        <w:ind w:left="4820"/>
        <w:rPr>
          <w:rFonts w:eastAsiaTheme="minorEastAsia"/>
          <w:i/>
        </w:rPr>
      </w:pPr>
    </w:p>
    <w:p w:rsidR="00847FB6" w:rsidRPr="00847FB6" w:rsidRDefault="00532990" w:rsidP="0091474C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847FB6">
        <w:rPr>
          <w:rFonts w:eastAsiaTheme="minorEastAsia"/>
          <w:i/>
        </w:rPr>
        <w:tab/>
      </w:r>
      <w:r w:rsidR="00847FB6" w:rsidRPr="00847FB6">
        <w:rPr>
          <w:rFonts w:eastAsiaTheme="minorEastAsia"/>
          <w:i/>
        </w:rPr>
        <w:t xml:space="preserve">a) </w:t>
      </w:r>
      <w:r w:rsidR="0091474C">
        <w:rPr>
          <w:rFonts w:eastAsiaTheme="minorEastAsia"/>
          <w:i/>
        </w:rPr>
        <w:tab/>
      </w:r>
      <w:r w:rsidR="00847FB6" w:rsidRPr="00847FB6">
        <w:rPr>
          <w:rFonts w:eastAsiaTheme="minorEastAsia"/>
          <w:i/>
        </w:rPr>
        <w:t>des faits nouveaux concernant les informations figurant dans la base de données GENIE et son utilisation figurent dans le document</w:t>
      </w:r>
      <w:r w:rsidR="00311EE0">
        <w:rPr>
          <w:rFonts w:eastAsiaTheme="minorEastAsia"/>
          <w:i/>
        </w:rPr>
        <w:t> </w:t>
      </w:r>
      <w:r w:rsidR="00847FB6" w:rsidRPr="00847FB6">
        <w:rPr>
          <w:rFonts w:eastAsiaTheme="minorEastAsia"/>
          <w:i/>
        </w:rPr>
        <w:t xml:space="preserve">C/54/2 </w:t>
      </w:r>
      <w:r w:rsidR="00164402">
        <w:rPr>
          <w:rFonts w:eastAsiaTheme="minorEastAsia"/>
          <w:i/>
        </w:rPr>
        <w:t>“</w:t>
      </w:r>
      <w:r w:rsidR="00164402" w:rsidRPr="00847FB6">
        <w:rPr>
          <w:rFonts w:eastAsiaTheme="minorEastAsia"/>
          <w:i/>
        </w:rPr>
        <w:t>R</w:t>
      </w:r>
      <w:r w:rsidR="00847FB6" w:rsidRPr="00847FB6">
        <w:rPr>
          <w:rFonts w:eastAsiaTheme="minorEastAsia"/>
          <w:i/>
        </w:rPr>
        <w:t xml:space="preserve">apport annuel du Secrétaire général </w:t>
      </w:r>
      <w:r w:rsidR="00164402" w:rsidRPr="00847FB6">
        <w:rPr>
          <w:rFonts w:eastAsiaTheme="minorEastAsia"/>
          <w:i/>
        </w:rPr>
        <w:t>pour</w:t>
      </w:r>
      <w:r w:rsidR="00164402">
        <w:rPr>
          <w:rFonts w:eastAsiaTheme="minorEastAsia"/>
          <w:i/>
        </w:rPr>
        <w:t> </w:t>
      </w:r>
      <w:r w:rsidR="00164402" w:rsidRPr="00847FB6">
        <w:rPr>
          <w:rFonts w:eastAsiaTheme="minorEastAsia"/>
          <w:i/>
        </w:rPr>
        <w:t>2019</w:t>
      </w:r>
      <w:r w:rsidR="00164402">
        <w:rPr>
          <w:rFonts w:eastAsiaTheme="minorEastAsia"/>
          <w:i/>
        </w:rPr>
        <w:t>”</w:t>
      </w:r>
      <w:r w:rsidRPr="00847FB6">
        <w:rPr>
          <w:rFonts w:eastAsiaTheme="minorEastAsia"/>
          <w:i/>
        </w:rPr>
        <w:t>;</w:t>
      </w:r>
    </w:p>
    <w:p w:rsidR="00847FB6" w:rsidRPr="00847FB6" w:rsidRDefault="00847FB6" w:rsidP="0091474C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</w:p>
    <w:p w:rsidR="00847FB6" w:rsidRPr="00847FB6" w:rsidRDefault="00532990" w:rsidP="0091474C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847FB6">
        <w:rPr>
          <w:rFonts w:eastAsiaTheme="minorEastAsia"/>
          <w:i/>
        </w:rPr>
        <w:tab/>
      </w:r>
      <w:r w:rsidR="00847FB6" w:rsidRPr="00847FB6">
        <w:rPr>
          <w:rFonts w:eastAsiaTheme="minorEastAsia"/>
          <w:i/>
        </w:rPr>
        <w:t xml:space="preserve">b) </w:t>
      </w:r>
      <w:r w:rsidR="0091474C">
        <w:rPr>
          <w:rFonts w:eastAsiaTheme="minorEastAsia"/>
          <w:i/>
        </w:rPr>
        <w:tab/>
      </w:r>
      <w:r w:rsidR="00847FB6" w:rsidRPr="00847FB6">
        <w:rPr>
          <w:rFonts w:eastAsiaTheme="minorEastAsia"/>
          <w:i/>
        </w:rPr>
        <w:t>145 nouveaux codes UPOV avaient été créés au 3</w:t>
      </w:r>
      <w:r w:rsidR="00164402" w:rsidRPr="00847FB6">
        <w:rPr>
          <w:rFonts w:eastAsiaTheme="minorEastAsia"/>
          <w:i/>
        </w:rPr>
        <w:t>0</w:t>
      </w:r>
      <w:r w:rsidR="00164402">
        <w:rPr>
          <w:rFonts w:eastAsiaTheme="minorEastAsia"/>
          <w:i/>
        </w:rPr>
        <w:t> </w:t>
      </w:r>
      <w:r w:rsidR="00164402" w:rsidRPr="00847FB6">
        <w:rPr>
          <w:rFonts w:eastAsiaTheme="minorEastAsia"/>
          <w:i/>
        </w:rPr>
        <w:t>août</w:t>
      </w:r>
      <w:r w:rsidR="00164402">
        <w:rPr>
          <w:rFonts w:eastAsiaTheme="minorEastAsia"/>
          <w:i/>
        </w:rPr>
        <w:t> </w:t>
      </w:r>
      <w:r w:rsidR="00164402" w:rsidRPr="00847FB6">
        <w:rPr>
          <w:rFonts w:eastAsiaTheme="minorEastAsia"/>
          <w:i/>
        </w:rPr>
        <w:t>20</w:t>
      </w:r>
      <w:r w:rsidR="00847FB6" w:rsidRPr="00847FB6">
        <w:rPr>
          <w:rFonts w:eastAsiaTheme="minorEastAsia"/>
          <w:i/>
        </w:rPr>
        <w:t xml:space="preserve">20 et la base de données GENIE contient un total </w:t>
      </w:r>
      <w:r w:rsidR="00164402" w:rsidRPr="00847FB6">
        <w:rPr>
          <w:rFonts w:eastAsiaTheme="minorEastAsia"/>
          <w:i/>
        </w:rPr>
        <w:t>de</w:t>
      </w:r>
      <w:r w:rsidR="00164402">
        <w:rPr>
          <w:rFonts w:eastAsiaTheme="minorEastAsia"/>
          <w:i/>
        </w:rPr>
        <w:t> </w:t>
      </w:r>
      <w:r w:rsidR="00164402" w:rsidRPr="00847FB6">
        <w:rPr>
          <w:rFonts w:eastAsiaTheme="minorEastAsia"/>
          <w:i/>
        </w:rPr>
        <w:t>9178</w:t>
      </w:r>
      <w:r w:rsidR="00311EE0">
        <w:rPr>
          <w:rFonts w:eastAsiaTheme="minorEastAsia"/>
          <w:i/>
        </w:rPr>
        <w:t> </w:t>
      </w:r>
      <w:r w:rsidR="00847FB6" w:rsidRPr="00847FB6">
        <w:rPr>
          <w:rFonts w:eastAsiaTheme="minorEastAsia"/>
          <w:i/>
        </w:rPr>
        <w:t>codes UPOV;</w:t>
      </w:r>
    </w:p>
    <w:p w:rsidR="00847FB6" w:rsidRPr="00847FB6" w:rsidRDefault="00847FB6" w:rsidP="0091474C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</w:p>
    <w:p w:rsidR="00847FB6" w:rsidRPr="00847FB6" w:rsidRDefault="00532990" w:rsidP="0091474C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847FB6">
        <w:rPr>
          <w:rFonts w:eastAsiaTheme="minorEastAsia"/>
          <w:i/>
        </w:rPr>
        <w:tab/>
      </w:r>
      <w:r w:rsidR="00847FB6" w:rsidRPr="00847FB6">
        <w:rPr>
          <w:rFonts w:eastAsiaTheme="minorEastAsia"/>
          <w:i/>
        </w:rPr>
        <w:t>c)</w:t>
      </w:r>
      <w:r w:rsidR="0091474C">
        <w:rPr>
          <w:rFonts w:eastAsiaTheme="minorEastAsia"/>
          <w:i/>
        </w:rPr>
        <w:tab/>
      </w:r>
      <w:r w:rsidR="00164402" w:rsidRPr="00847FB6">
        <w:rPr>
          <w:rFonts w:eastAsiaTheme="minorEastAsia"/>
          <w:i/>
        </w:rPr>
        <w:t>le</w:t>
      </w:r>
      <w:r w:rsidR="00164402">
        <w:rPr>
          <w:rFonts w:eastAsiaTheme="minorEastAsia"/>
          <w:i/>
        </w:rPr>
        <w:t> </w:t>
      </w:r>
      <w:proofErr w:type="spellStart"/>
      <w:r w:rsidR="00164402" w:rsidRPr="00847FB6">
        <w:rPr>
          <w:rFonts w:eastAsiaTheme="minorEastAsia"/>
          <w:i/>
        </w:rPr>
        <w:t>CAJ</w:t>
      </w:r>
      <w:proofErr w:type="spellEnd"/>
      <w:r w:rsidR="00847FB6" w:rsidRPr="00847FB6">
        <w:rPr>
          <w:rFonts w:eastAsiaTheme="minorEastAsia"/>
          <w:i/>
        </w:rPr>
        <w:t xml:space="preserve"> sera invité à examiner le document</w:t>
      </w:r>
      <w:r w:rsidR="00311EE0">
        <w:rPr>
          <w:rFonts w:eastAsiaTheme="minorEastAsia"/>
          <w:i/>
        </w:rPr>
        <w:t> </w:t>
      </w:r>
      <w:r w:rsidR="00847FB6" w:rsidRPr="00847FB6">
        <w:rPr>
          <w:rFonts w:eastAsiaTheme="minorEastAsia"/>
          <w:i/>
        </w:rPr>
        <w:t>UPOV/INF/23/1, sur la base du document</w:t>
      </w:r>
      <w:r w:rsidR="00311EE0">
        <w:rPr>
          <w:rFonts w:eastAsiaTheme="minorEastAsia"/>
          <w:i/>
        </w:rPr>
        <w:t> </w:t>
      </w:r>
      <w:r w:rsidR="0091474C">
        <w:rPr>
          <w:rFonts w:eastAsiaTheme="minorEastAsia"/>
          <w:i/>
        </w:rPr>
        <w:t>UPOV/</w:t>
      </w:r>
      <w:proofErr w:type="spellStart"/>
      <w:r w:rsidR="0091474C">
        <w:rPr>
          <w:rFonts w:eastAsiaTheme="minorEastAsia"/>
          <w:i/>
        </w:rPr>
        <w:t>INF</w:t>
      </w:r>
      <w:proofErr w:type="spellEnd"/>
      <w:r w:rsidR="0091474C">
        <w:rPr>
          <w:rFonts w:eastAsiaTheme="minorEastAsia"/>
          <w:i/>
        </w:rPr>
        <w:t>/23/1 </w:t>
      </w:r>
      <w:proofErr w:type="spellStart"/>
      <w:r w:rsidR="0091474C">
        <w:rPr>
          <w:rFonts w:eastAsiaTheme="minorEastAsia"/>
          <w:i/>
        </w:rPr>
        <w:t>Draft</w:t>
      </w:r>
      <w:proofErr w:type="spellEnd"/>
      <w:r w:rsidR="0091474C">
        <w:rPr>
          <w:rFonts w:eastAsiaTheme="minorEastAsia"/>
          <w:i/>
        </w:rPr>
        <w:t> </w:t>
      </w:r>
      <w:r w:rsidR="00847FB6" w:rsidRPr="00847FB6">
        <w:rPr>
          <w:rFonts w:eastAsiaTheme="minorEastAsia"/>
          <w:i/>
        </w:rPr>
        <w:t>1</w:t>
      </w:r>
      <w:r w:rsidR="0091474C">
        <w:rPr>
          <w:rFonts w:eastAsiaTheme="minorEastAsia"/>
          <w:i/>
        </w:rPr>
        <w:t xml:space="preserve"> </w:t>
      </w:r>
      <w:r w:rsidR="00164402">
        <w:rPr>
          <w:rFonts w:eastAsiaTheme="minorEastAsia"/>
          <w:i/>
        </w:rPr>
        <w:t>“</w:t>
      </w:r>
      <w:r w:rsidR="00164402" w:rsidRPr="00847FB6">
        <w:rPr>
          <w:rFonts w:eastAsiaTheme="minorEastAsia"/>
          <w:i/>
        </w:rPr>
        <w:t>I</w:t>
      </w:r>
      <w:r w:rsidR="00847FB6" w:rsidRPr="00847FB6">
        <w:rPr>
          <w:rFonts w:eastAsiaTheme="minorEastAsia"/>
          <w:i/>
        </w:rPr>
        <w:t>ntroduction au système de codes UPO</w:t>
      </w:r>
      <w:r w:rsidR="00164402" w:rsidRPr="00847FB6">
        <w:rPr>
          <w:rFonts w:eastAsiaTheme="minorEastAsia"/>
          <w:i/>
        </w:rPr>
        <w:t>V</w:t>
      </w:r>
      <w:r w:rsidR="00164402">
        <w:rPr>
          <w:rFonts w:eastAsiaTheme="minorEastAsia"/>
          <w:i/>
        </w:rPr>
        <w:t>”</w:t>
      </w:r>
      <w:r w:rsidR="00847FB6" w:rsidRPr="00847FB6">
        <w:rPr>
          <w:rFonts w:eastAsiaTheme="minorEastAsia"/>
          <w:i/>
        </w:rPr>
        <w:t>, comme indiqué dans le document</w:t>
      </w:r>
      <w:r w:rsidR="00311EE0">
        <w:rPr>
          <w:rFonts w:eastAsiaTheme="minorEastAsia"/>
          <w:i/>
        </w:rPr>
        <w:t> </w:t>
      </w:r>
      <w:proofErr w:type="spellStart"/>
      <w:r w:rsidR="00847FB6" w:rsidRPr="00847FB6">
        <w:rPr>
          <w:rFonts w:eastAsiaTheme="minorEastAsia"/>
          <w:i/>
        </w:rPr>
        <w:t>CAJ</w:t>
      </w:r>
      <w:proofErr w:type="spellEnd"/>
      <w:r w:rsidR="00847FB6" w:rsidRPr="00847FB6">
        <w:rPr>
          <w:rFonts w:eastAsiaTheme="minorEastAsia"/>
          <w:i/>
        </w:rPr>
        <w:t>/77/3</w:t>
      </w:r>
      <w:r w:rsidR="001A69E6">
        <w:rPr>
          <w:rFonts w:eastAsiaTheme="minorEastAsia"/>
          <w:i/>
        </w:rPr>
        <w:t> </w:t>
      </w:r>
      <w:proofErr w:type="spellStart"/>
      <w:r w:rsidR="00847FB6" w:rsidRPr="00847FB6">
        <w:rPr>
          <w:rFonts w:eastAsiaTheme="minorEastAsia"/>
          <w:i/>
        </w:rPr>
        <w:t>Rev</w:t>
      </w:r>
      <w:proofErr w:type="spellEnd"/>
      <w:r w:rsidR="00847FB6" w:rsidRPr="00847FB6">
        <w:rPr>
          <w:rFonts w:eastAsiaTheme="minorEastAsia"/>
          <w:i/>
        </w:rPr>
        <w:t xml:space="preserve">. </w:t>
      </w:r>
      <w:r w:rsidR="00164402">
        <w:rPr>
          <w:rFonts w:eastAsiaTheme="minorEastAsia"/>
          <w:i/>
        </w:rPr>
        <w:t>“</w:t>
      </w:r>
      <w:r w:rsidR="00164402" w:rsidRPr="00847FB6">
        <w:rPr>
          <w:rFonts w:eastAsiaTheme="minorEastAsia"/>
          <w:i/>
        </w:rPr>
        <w:t>É</w:t>
      </w:r>
      <w:r w:rsidR="00847FB6" w:rsidRPr="00847FB6">
        <w:rPr>
          <w:rFonts w:eastAsiaTheme="minorEastAsia"/>
          <w:i/>
        </w:rPr>
        <w:t>laboration de documents d</w:t>
      </w:r>
      <w:r w:rsidR="00164402">
        <w:rPr>
          <w:rFonts w:eastAsiaTheme="minorEastAsia"/>
          <w:i/>
        </w:rPr>
        <w:t>’</w:t>
      </w:r>
      <w:r w:rsidR="00847FB6" w:rsidRPr="00847FB6">
        <w:rPr>
          <w:rFonts w:eastAsiaTheme="minorEastAsia"/>
          <w:i/>
        </w:rPr>
        <w:t>orientation et d</w:t>
      </w:r>
      <w:r w:rsidR="00164402">
        <w:rPr>
          <w:rFonts w:eastAsiaTheme="minorEastAsia"/>
          <w:i/>
        </w:rPr>
        <w:t>’</w:t>
      </w:r>
      <w:r w:rsidR="00847FB6" w:rsidRPr="00847FB6">
        <w:rPr>
          <w:rFonts w:eastAsiaTheme="minorEastAsia"/>
          <w:i/>
        </w:rPr>
        <w:t>informatio</w:t>
      </w:r>
      <w:r w:rsidR="00164402" w:rsidRPr="00847FB6">
        <w:rPr>
          <w:rFonts w:eastAsiaTheme="minorEastAsia"/>
          <w:i/>
        </w:rPr>
        <w:t>n</w:t>
      </w:r>
      <w:r w:rsidR="00164402">
        <w:rPr>
          <w:rFonts w:eastAsiaTheme="minorEastAsia"/>
          <w:i/>
        </w:rPr>
        <w:t>”</w:t>
      </w:r>
      <w:r w:rsidR="00847FB6" w:rsidRPr="00847FB6">
        <w:rPr>
          <w:rFonts w:eastAsiaTheme="minorEastAsia"/>
          <w:i/>
        </w:rPr>
        <w:t>;</w:t>
      </w:r>
    </w:p>
    <w:p w:rsidR="00847FB6" w:rsidRPr="00847FB6" w:rsidRDefault="00847FB6" w:rsidP="0091474C">
      <w:pPr>
        <w:tabs>
          <w:tab w:val="left" w:pos="5387"/>
          <w:tab w:val="left" w:pos="5954"/>
        </w:tabs>
        <w:ind w:left="4820" w:firstLine="567"/>
        <w:rPr>
          <w:rFonts w:eastAsiaTheme="minorEastAsia"/>
          <w:i/>
        </w:rPr>
      </w:pPr>
    </w:p>
    <w:p w:rsidR="00847FB6" w:rsidRPr="00847FB6" w:rsidRDefault="00532990" w:rsidP="0091474C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847FB6">
        <w:rPr>
          <w:rFonts w:eastAsiaTheme="minorEastAsia"/>
          <w:i/>
        </w:rPr>
        <w:tab/>
      </w:r>
      <w:r w:rsidR="00847FB6" w:rsidRPr="00847FB6">
        <w:rPr>
          <w:rFonts w:eastAsiaTheme="minorEastAsia"/>
          <w:i/>
        </w:rPr>
        <w:t xml:space="preserve">d) </w:t>
      </w:r>
      <w:r w:rsidR="0091474C">
        <w:rPr>
          <w:rFonts w:eastAsiaTheme="minorEastAsia"/>
          <w:i/>
        </w:rPr>
        <w:tab/>
      </w:r>
      <w:r w:rsidR="00847FB6" w:rsidRPr="00847FB6">
        <w:rPr>
          <w:rFonts w:eastAsiaTheme="minorEastAsia"/>
          <w:i/>
        </w:rPr>
        <w:t>les questions concernant la base de données sur les variétés végétales PLUTO sont présentées dans le document</w:t>
      </w:r>
      <w:r w:rsidR="00311EE0">
        <w:rPr>
          <w:rFonts w:eastAsiaTheme="minorEastAsia"/>
          <w:i/>
        </w:rPr>
        <w:t> </w:t>
      </w:r>
      <w:r w:rsidR="00847FB6" w:rsidRPr="00847FB6">
        <w:rPr>
          <w:rFonts w:eastAsiaTheme="minorEastAsia"/>
          <w:i/>
        </w:rPr>
        <w:t xml:space="preserve">CAJ/77/8 </w:t>
      </w:r>
      <w:r w:rsidR="00164402">
        <w:rPr>
          <w:rFonts w:eastAsiaTheme="minorEastAsia"/>
          <w:i/>
        </w:rPr>
        <w:t>“</w:t>
      </w:r>
      <w:r w:rsidR="00164402" w:rsidRPr="00847FB6">
        <w:rPr>
          <w:rFonts w:eastAsiaTheme="minorEastAsia"/>
          <w:i/>
        </w:rPr>
        <w:t>B</w:t>
      </w:r>
      <w:r w:rsidR="00847FB6" w:rsidRPr="00847FB6">
        <w:rPr>
          <w:rFonts w:eastAsiaTheme="minorEastAsia"/>
          <w:i/>
        </w:rPr>
        <w:t>ase de données PLUTO sur les variétés végétale</w:t>
      </w:r>
      <w:r w:rsidR="00164402" w:rsidRPr="00847FB6">
        <w:rPr>
          <w:rFonts w:eastAsiaTheme="minorEastAsia"/>
          <w:i/>
        </w:rPr>
        <w:t>s</w:t>
      </w:r>
      <w:r w:rsidR="00164402">
        <w:rPr>
          <w:rFonts w:eastAsiaTheme="minorEastAsia"/>
          <w:i/>
        </w:rPr>
        <w:t>”</w:t>
      </w:r>
      <w:r w:rsidR="00847FB6" w:rsidRPr="00847FB6">
        <w:rPr>
          <w:rFonts w:eastAsiaTheme="minorEastAsia"/>
          <w:i/>
        </w:rPr>
        <w:t xml:space="preserve">; </w:t>
      </w:r>
      <w:r w:rsidR="001A69E6">
        <w:rPr>
          <w:rFonts w:eastAsiaTheme="minorEastAsia"/>
          <w:i/>
        </w:rPr>
        <w:t xml:space="preserve"> </w:t>
      </w:r>
      <w:r w:rsidR="00847FB6" w:rsidRPr="00847FB6">
        <w:rPr>
          <w:rFonts w:eastAsiaTheme="minorEastAsia"/>
          <w:i/>
        </w:rPr>
        <w:t>et</w:t>
      </w:r>
    </w:p>
    <w:p w:rsidR="00847FB6" w:rsidRPr="00847FB6" w:rsidRDefault="00847FB6" w:rsidP="0091474C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</w:p>
    <w:p w:rsidR="00847FB6" w:rsidRPr="00847FB6" w:rsidRDefault="00532990" w:rsidP="0091474C">
      <w:pPr>
        <w:tabs>
          <w:tab w:val="left" w:pos="5387"/>
          <w:tab w:val="left" w:pos="5954"/>
        </w:tabs>
        <w:ind w:left="4820"/>
        <w:rPr>
          <w:rFonts w:eastAsiaTheme="minorEastAsia"/>
          <w:i/>
        </w:rPr>
      </w:pPr>
      <w:r w:rsidRPr="00847FB6">
        <w:rPr>
          <w:rFonts w:eastAsiaTheme="minorEastAsia"/>
          <w:i/>
        </w:rPr>
        <w:tab/>
      </w:r>
      <w:r w:rsidR="00847FB6" w:rsidRPr="00847FB6">
        <w:rPr>
          <w:rFonts w:eastAsiaTheme="minorEastAsia"/>
          <w:i/>
        </w:rPr>
        <w:t xml:space="preserve">e) </w:t>
      </w:r>
      <w:r w:rsidR="0091474C">
        <w:rPr>
          <w:rFonts w:eastAsiaTheme="minorEastAsia"/>
          <w:i/>
        </w:rPr>
        <w:tab/>
      </w:r>
      <w:r w:rsidR="00847FB6" w:rsidRPr="00847FB6">
        <w:rPr>
          <w:rFonts w:eastAsiaTheme="minorEastAsia"/>
          <w:i/>
        </w:rPr>
        <w:t>les questions relatives à l</w:t>
      </w:r>
      <w:r w:rsidR="00164402">
        <w:rPr>
          <w:rFonts w:eastAsiaTheme="minorEastAsia"/>
          <w:i/>
        </w:rPr>
        <w:t>’</w:t>
      </w:r>
      <w:r w:rsidR="00847FB6" w:rsidRPr="00847FB6">
        <w:rPr>
          <w:rFonts w:eastAsiaTheme="minorEastAsia"/>
          <w:i/>
        </w:rPr>
        <w:t>élaboration éventuelle d</w:t>
      </w:r>
      <w:r w:rsidR="00164402">
        <w:rPr>
          <w:rFonts w:eastAsiaTheme="minorEastAsia"/>
          <w:i/>
        </w:rPr>
        <w:t>’</w:t>
      </w:r>
      <w:r w:rsidR="00847FB6" w:rsidRPr="00847FB6">
        <w:rPr>
          <w:rFonts w:eastAsiaTheme="minorEastAsia"/>
          <w:i/>
        </w:rPr>
        <w:t>un outil de recherche de similarité aux fins de la dénomination variétale sont examinées dans le document</w:t>
      </w:r>
      <w:r w:rsidR="00311EE0">
        <w:rPr>
          <w:rFonts w:eastAsiaTheme="minorEastAsia"/>
          <w:i/>
        </w:rPr>
        <w:t> </w:t>
      </w:r>
      <w:r w:rsidR="00847FB6" w:rsidRPr="00847FB6">
        <w:rPr>
          <w:rFonts w:eastAsiaTheme="minorEastAsia"/>
          <w:i/>
        </w:rPr>
        <w:t xml:space="preserve">CAJ/77/7 </w:t>
      </w:r>
      <w:r w:rsidR="00164402">
        <w:rPr>
          <w:rFonts w:eastAsiaTheme="minorEastAsia"/>
          <w:i/>
        </w:rPr>
        <w:t>“</w:t>
      </w:r>
      <w:r w:rsidR="00164402" w:rsidRPr="00847FB6">
        <w:rPr>
          <w:rFonts w:eastAsiaTheme="minorEastAsia"/>
          <w:i/>
        </w:rPr>
        <w:t>O</w:t>
      </w:r>
      <w:r w:rsidR="00847FB6" w:rsidRPr="00847FB6">
        <w:rPr>
          <w:rFonts w:eastAsiaTheme="minorEastAsia"/>
          <w:i/>
        </w:rPr>
        <w:t>util de recherche de similarité de l</w:t>
      </w:r>
      <w:r w:rsidR="00164402">
        <w:rPr>
          <w:rFonts w:eastAsiaTheme="minorEastAsia"/>
          <w:i/>
        </w:rPr>
        <w:t>’</w:t>
      </w:r>
      <w:r w:rsidR="00847FB6" w:rsidRPr="00847FB6">
        <w:rPr>
          <w:rFonts w:eastAsiaTheme="minorEastAsia"/>
          <w:i/>
        </w:rPr>
        <w:t>UPOV aux fins de la dénomination variétal</w:t>
      </w:r>
      <w:r w:rsidR="00164402" w:rsidRPr="00847FB6">
        <w:rPr>
          <w:rFonts w:eastAsiaTheme="minorEastAsia"/>
          <w:i/>
        </w:rPr>
        <w:t>e</w:t>
      </w:r>
      <w:r w:rsidR="00164402">
        <w:rPr>
          <w:rFonts w:eastAsiaTheme="minorEastAsia"/>
          <w:i/>
        </w:rPr>
        <w:t>”</w:t>
      </w:r>
      <w:r w:rsidR="00847FB6" w:rsidRPr="00847FB6">
        <w:rPr>
          <w:rFonts w:eastAsiaTheme="minorEastAsia"/>
          <w:i/>
        </w:rPr>
        <w:t>.</w:t>
      </w:r>
    </w:p>
    <w:p w:rsidR="00847FB6" w:rsidRPr="00847FB6" w:rsidRDefault="00847FB6" w:rsidP="00532990">
      <w:pPr>
        <w:jc w:val="right"/>
        <w:rPr>
          <w:rFonts w:cs="Arial"/>
        </w:rPr>
      </w:pPr>
      <w:bookmarkStart w:id="17" w:name="_GoBack"/>
      <w:bookmarkEnd w:id="17"/>
    </w:p>
    <w:p w:rsidR="00847FB6" w:rsidRPr="00847FB6" w:rsidRDefault="00847FB6" w:rsidP="00532990">
      <w:pPr>
        <w:jc w:val="right"/>
        <w:rPr>
          <w:rFonts w:cs="Arial"/>
        </w:rPr>
      </w:pPr>
    </w:p>
    <w:p w:rsidR="00847FB6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847FB6" w:rsidRDefault="00847FB6">
      <w:pPr>
        <w:jc w:val="left"/>
      </w:pPr>
    </w:p>
    <w:p w:rsidR="00847FB6" w:rsidRDefault="00847FB6" w:rsidP="009B440E">
      <w:pPr>
        <w:jc w:val="left"/>
      </w:pPr>
    </w:p>
    <w:p w:rsidR="00847FB6" w:rsidRDefault="00847FB6" w:rsidP="009B440E">
      <w:pPr>
        <w:jc w:val="left"/>
      </w:pPr>
    </w:p>
    <w:sectPr w:rsidR="00847FB6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90" w:rsidRDefault="00532990" w:rsidP="006655D3">
      <w:r>
        <w:separator/>
      </w:r>
    </w:p>
    <w:p w:rsidR="00532990" w:rsidRDefault="00532990" w:rsidP="006655D3"/>
    <w:p w:rsidR="00532990" w:rsidRDefault="00532990" w:rsidP="006655D3"/>
  </w:endnote>
  <w:endnote w:type="continuationSeparator" w:id="0">
    <w:p w:rsidR="00532990" w:rsidRDefault="00532990" w:rsidP="006655D3">
      <w:r>
        <w:separator/>
      </w:r>
    </w:p>
    <w:p w:rsidR="00532990" w:rsidRPr="00294751" w:rsidRDefault="005329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32990" w:rsidRPr="00294751" w:rsidRDefault="00532990" w:rsidP="006655D3"/>
    <w:p w:rsidR="00532990" w:rsidRPr="00294751" w:rsidRDefault="00532990" w:rsidP="006655D3"/>
  </w:endnote>
  <w:endnote w:type="continuationNotice" w:id="1">
    <w:p w:rsidR="00532990" w:rsidRPr="00294751" w:rsidRDefault="00532990" w:rsidP="006655D3">
      <w:r w:rsidRPr="00294751">
        <w:t>[Suite de la note page suivante]</w:t>
      </w:r>
    </w:p>
    <w:p w:rsidR="00532990" w:rsidRPr="00294751" w:rsidRDefault="00532990" w:rsidP="006655D3"/>
    <w:p w:rsidR="00532990" w:rsidRPr="00294751" w:rsidRDefault="00532990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90" w:rsidRDefault="00532990" w:rsidP="006655D3">
      <w:r>
        <w:separator/>
      </w:r>
    </w:p>
  </w:footnote>
  <w:footnote w:type="continuationSeparator" w:id="0">
    <w:p w:rsidR="00532990" w:rsidRDefault="00532990" w:rsidP="006655D3">
      <w:r>
        <w:separator/>
      </w:r>
    </w:p>
  </w:footnote>
  <w:footnote w:type="continuationNotice" w:id="1">
    <w:p w:rsidR="00532990" w:rsidRPr="00AB530F" w:rsidRDefault="00532990" w:rsidP="00AB530F">
      <w:pPr>
        <w:pStyle w:val="Footer"/>
      </w:pPr>
    </w:p>
  </w:footnote>
  <w:footnote w:id="2">
    <w:p w:rsidR="00925678" w:rsidRDefault="009256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Tenue à Genève du 26 au 2</w:t>
      </w:r>
      <w:r w:rsidR="001D1254">
        <w:t>8 mars 20</w:t>
      </w:r>
      <w:r>
        <w:t>12.</w:t>
      </w:r>
    </w:p>
  </w:footnote>
  <w:footnote w:id="3">
    <w:p w:rsidR="00925678" w:rsidRDefault="009256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Tenue à Genève le 2</w:t>
      </w:r>
      <w:r w:rsidR="001D1254">
        <w:t>9 mars 20</w:t>
      </w:r>
      <w:r>
        <w:t>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86C32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</w:t>
    </w:r>
    <w:r w:rsidR="00667404">
      <w:rPr>
        <w:rStyle w:val="PageNumber"/>
        <w:lang w:val="en-US"/>
      </w:rPr>
      <w:t>/</w:t>
    </w:r>
    <w:r w:rsidR="00B24468">
      <w:rPr>
        <w:rStyle w:val="PageNumber"/>
        <w:lang w:val="en-US"/>
      </w:rPr>
      <w:t>INF/3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1474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53299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0E01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4402"/>
    <w:rsid w:val="00172084"/>
    <w:rsid w:val="0017474A"/>
    <w:rsid w:val="001758C6"/>
    <w:rsid w:val="00182B99"/>
    <w:rsid w:val="001A69E6"/>
    <w:rsid w:val="001C176C"/>
    <w:rsid w:val="001D1254"/>
    <w:rsid w:val="001F3033"/>
    <w:rsid w:val="0021332C"/>
    <w:rsid w:val="00213982"/>
    <w:rsid w:val="0024416D"/>
    <w:rsid w:val="002540F0"/>
    <w:rsid w:val="00271911"/>
    <w:rsid w:val="00274F54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1EE0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B5EAD"/>
    <w:rsid w:val="003C07B4"/>
    <w:rsid w:val="003C7FBE"/>
    <w:rsid w:val="003D227C"/>
    <w:rsid w:val="003D2B4D"/>
    <w:rsid w:val="0040557F"/>
    <w:rsid w:val="00444A88"/>
    <w:rsid w:val="00474DA4"/>
    <w:rsid w:val="0047685D"/>
    <w:rsid w:val="00476B4D"/>
    <w:rsid w:val="004805FA"/>
    <w:rsid w:val="004935D2"/>
    <w:rsid w:val="004A000B"/>
    <w:rsid w:val="004B1215"/>
    <w:rsid w:val="004C5AE3"/>
    <w:rsid w:val="004D047D"/>
    <w:rsid w:val="004F1E9E"/>
    <w:rsid w:val="004F305A"/>
    <w:rsid w:val="00512164"/>
    <w:rsid w:val="00520297"/>
    <w:rsid w:val="00532990"/>
    <w:rsid w:val="005338F9"/>
    <w:rsid w:val="0054281C"/>
    <w:rsid w:val="00544581"/>
    <w:rsid w:val="00545E42"/>
    <w:rsid w:val="0055268D"/>
    <w:rsid w:val="00576BE4"/>
    <w:rsid w:val="005A400A"/>
    <w:rsid w:val="005C00AD"/>
    <w:rsid w:val="005E1CB7"/>
    <w:rsid w:val="005F7B92"/>
    <w:rsid w:val="00612379"/>
    <w:rsid w:val="006153B6"/>
    <w:rsid w:val="0061555F"/>
    <w:rsid w:val="00632212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2DB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47FB6"/>
    <w:rsid w:val="00855D84"/>
    <w:rsid w:val="00864C55"/>
    <w:rsid w:val="00867AC1"/>
    <w:rsid w:val="00890DF8"/>
    <w:rsid w:val="008A743F"/>
    <w:rsid w:val="008C0970"/>
    <w:rsid w:val="008D0BC5"/>
    <w:rsid w:val="008D2CF7"/>
    <w:rsid w:val="008F6192"/>
    <w:rsid w:val="00900C26"/>
    <w:rsid w:val="0090197F"/>
    <w:rsid w:val="00903242"/>
    <w:rsid w:val="00906DDC"/>
    <w:rsid w:val="0091474C"/>
    <w:rsid w:val="00925678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3685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24468"/>
    <w:rsid w:val="00B324D4"/>
    <w:rsid w:val="00B46575"/>
    <w:rsid w:val="00B61777"/>
    <w:rsid w:val="00B84BBD"/>
    <w:rsid w:val="00BA43FB"/>
    <w:rsid w:val="00BB2F5A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46AA"/>
    <w:rsid w:val="00C973F2"/>
    <w:rsid w:val="00CA304C"/>
    <w:rsid w:val="00CA774A"/>
    <w:rsid w:val="00CC11B0"/>
    <w:rsid w:val="00CC2841"/>
    <w:rsid w:val="00CD2CC0"/>
    <w:rsid w:val="00CF1330"/>
    <w:rsid w:val="00CF2391"/>
    <w:rsid w:val="00CF7E36"/>
    <w:rsid w:val="00D035DD"/>
    <w:rsid w:val="00D3708D"/>
    <w:rsid w:val="00D40426"/>
    <w:rsid w:val="00D57C96"/>
    <w:rsid w:val="00D57D18"/>
    <w:rsid w:val="00D64F57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3708A"/>
    <w:rsid w:val="00E51035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2AF4"/>
    <w:rsid w:val="00F6334D"/>
    <w:rsid w:val="00F7673B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2139FF0"/>
  <w15:docId w15:val="{847A8F6B-BC92-439D-BD64-5AEE563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1474C"/>
    <w:pPr>
      <w:tabs>
        <w:tab w:val="right" w:leader="dot" w:pos="9639"/>
      </w:tabs>
      <w:spacing w:before="60"/>
      <w:ind w:left="284" w:right="851"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91474C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532990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532990"/>
    <w:rPr>
      <w:rFonts w:ascii="Arial" w:hAnsi="Arial"/>
      <w:sz w:val="16"/>
      <w:lang w:val="fr-FR"/>
    </w:rPr>
  </w:style>
  <w:style w:type="paragraph" w:customStyle="1" w:styleId="Default">
    <w:name w:val="Default"/>
    <w:rsid w:val="005329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74F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pov.int/genie/resources/pdfs/upov_code_system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1070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CAJ/77</vt:lpstr>
      <vt:lpstr>CAJ/77</vt:lpstr>
    </vt:vector>
  </TitlesOfParts>
  <Company>UPOV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</dc:title>
  <dc:creator>BARBU Caroline</dc:creator>
  <cp:lastModifiedBy>SANTOS Carla Marina</cp:lastModifiedBy>
  <cp:revision>6</cp:revision>
  <cp:lastPrinted>2016-11-22T15:41:00Z</cp:lastPrinted>
  <dcterms:created xsi:type="dcterms:W3CDTF">2020-10-19T07:14:00Z</dcterms:created>
  <dcterms:modified xsi:type="dcterms:W3CDTF">2020-10-22T07:29:00Z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5633ae76-16db-43a4-8364-2a21814dc330</vt:lpwstr>
  </property>
</Properties>
</file>