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A4614B" w:rsidRDefault="00A4614B"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A4614B" w:rsidRDefault="001C176C" w:rsidP="00AC2883">
            <w:pPr>
              <w:pStyle w:val="Sessiontc"/>
              <w:spacing w:line="240" w:lineRule="auto"/>
            </w:pPr>
            <w:r w:rsidRPr="001C176C">
              <w:t>Comité administratif et juridique</w:t>
            </w:r>
          </w:p>
          <w:p w:rsidR="00EB4E9C" w:rsidRPr="00DC3802" w:rsidRDefault="001C176C" w:rsidP="00E86C32">
            <w:pPr>
              <w:pStyle w:val="Sessiontcplacedate"/>
              <w:rPr>
                <w:sz w:val="22"/>
              </w:rPr>
            </w:pPr>
            <w:r>
              <w:t>Soixante</w:t>
            </w:r>
            <w:r w:rsidR="000970A8">
              <w:t>-</w:t>
            </w:r>
            <w:r w:rsidR="00E86C32">
              <w:t>dix</w:t>
            </w:r>
            <w:r w:rsidR="000970A8">
              <w:t>-</w:t>
            </w:r>
            <w:r w:rsidR="00E86C32">
              <w:t>sept</w:t>
            </w:r>
            <w:r w:rsidR="000970A8">
              <w:t>ième session</w:t>
            </w:r>
            <w:r w:rsidR="00EB4E9C" w:rsidRPr="00DA4973">
              <w:br/>
              <w:t>Gen</w:t>
            </w:r>
            <w:r w:rsidR="00A706D3">
              <w:t>è</w:t>
            </w:r>
            <w:r w:rsidR="00EB4E9C" w:rsidRPr="00DA4973">
              <w:t>v</w:t>
            </w:r>
            <w:r w:rsidR="00A706D3">
              <w:t>e</w:t>
            </w:r>
            <w:r w:rsidR="00EB4E9C" w:rsidRPr="00DA4973">
              <w:t xml:space="preserve">, </w:t>
            </w:r>
            <w:r w:rsidR="00E86C32">
              <w:t>2</w:t>
            </w:r>
            <w:r w:rsidR="00165F29">
              <w:t>8 octobre 20</w:t>
            </w:r>
            <w:r w:rsidR="00E86C32">
              <w:t>20</w:t>
            </w:r>
          </w:p>
        </w:tc>
        <w:tc>
          <w:tcPr>
            <w:tcW w:w="3127" w:type="dxa"/>
          </w:tcPr>
          <w:p w:rsidR="00A4614B" w:rsidRDefault="00E86C32" w:rsidP="003C7FBE">
            <w:pPr>
              <w:pStyle w:val="Doccode"/>
              <w:rPr>
                <w:lang w:val="fr-FR"/>
              </w:rPr>
            </w:pPr>
            <w:r>
              <w:rPr>
                <w:lang w:val="fr-FR"/>
              </w:rPr>
              <w:t>CAJ/77</w:t>
            </w:r>
            <w:r w:rsidR="00EB4E9C" w:rsidRPr="00E86C32">
              <w:rPr>
                <w:lang w:val="fr-FR"/>
              </w:rPr>
              <w:t>/</w:t>
            </w:r>
            <w:r w:rsidR="004823C4">
              <w:rPr>
                <w:lang w:val="fr-FR"/>
              </w:rPr>
              <w:t>9</w:t>
            </w:r>
          </w:p>
          <w:p w:rsidR="00A4614B" w:rsidRDefault="00EB4E9C" w:rsidP="003C7FBE">
            <w:pPr>
              <w:pStyle w:val="Docoriginal"/>
            </w:pPr>
            <w:r w:rsidRPr="00AC2883">
              <w:t>Original</w:t>
            </w:r>
            <w:r w:rsidR="000970A8">
              <w:t> :</w:t>
            </w:r>
            <w:r w:rsidRPr="000E636A">
              <w:rPr>
                <w:b w:val="0"/>
                <w:spacing w:val="0"/>
              </w:rPr>
              <w:t xml:space="preserve"> </w:t>
            </w:r>
            <w:r w:rsidR="003A768F">
              <w:rPr>
                <w:b w:val="0"/>
                <w:spacing w:val="0"/>
              </w:rPr>
              <w:t xml:space="preserve"> </w:t>
            </w:r>
            <w:r w:rsidR="00A706D3">
              <w:rPr>
                <w:b w:val="0"/>
                <w:spacing w:val="0"/>
              </w:rPr>
              <w:t>anglais</w:t>
            </w:r>
          </w:p>
          <w:p w:rsidR="00EB4E9C" w:rsidRPr="007C1D92" w:rsidRDefault="00EB4E9C" w:rsidP="003A768F">
            <w:pPr>
              <w:pStyle w:val="Docoriginal"/>
            </w:pPr>
            <w:r w:rsidRPr="00AC2883">
              <w:t>Date</w:t>
            </w:r>
            <w:r w:rsidR="000970A8">
              <w:t> :</w:t>
            </w:r>
            <w:r w:rsidRPr="000E636A">
              <w:rPr>
                <w:b w:val="0"/>
                <w:spacing w:val="0"/>
              </w:rPr>
              <w:t xml:space="preserve"> </w:t>
            </w:r>
            <w:r w:rsidR="003A768F">
              <w:rPr>
                <w:b w:val="0"/>
                <w:spacing w:val="0"/>
              </w:rPr>
              <w:t xml:space="preserve"> </w:t>
            </w:r>
            <w:r w:rsidR="004823C4" w:rsidRPr="003A768F">
              <w:rPr>
                <w:b w:val="0"/>
                <w:spacing w:val="0"/>
              </w:rPr>
              <w:t>2</w:t>
            </w:r>
            <w:r w:rsidR="003A768F" w:rsidRPr="003A768F">
              <w:rPr>
                <w:b w:val="0"/>
                <w:spacing w:val="0"/>
              </w:rPr>
              <w:t>6</w:t>
            </w:r>
            <w:r w:rsidR="00165F29" w:rsidRPr="003A768F">
              <w:rPr>
                <w:b w:val="0"/>
                <w:spacing w:val="0"/>
              </w:rPr>
              <w:t> octobre 20</w:t>
            </w:r>
            <w:r w:rsidR="004823C4" w:rsidRPr="003A768F">
              <w:rPr>
                <w:b w:val="0"/>
                <w:spacing w:val="0"/>
              </w:rPr>
              <w:t>20</w:t>
            </w:r>
          </w:p>
        </w:tc>
      </w:tr>
    </w:tbl>
    <w:p w:rsidR="00A4614B" w:rsidRPr="0063490F" w:rsidRDefault="00B5636E" w:rsidP="00B5636E">
      <w:pPr>
        <w:pStyle w:val="Titleofdoc0"/>
        <w:rPr>
          <w:lang w:val="fr-CH"/>
        </w:rPr>
      </w:pPr>
      <w:bookmarkStart w:id="0" w:name="TitleOfDoc"/>
      <w:bookmarkEnd w:id="0"/>
      <w:r w:rsidRPr="0063490F">
        <w:rPr>
          <w:lang w:val="fr-CH"/>
        </w:rPr>
        <w:t>Résultats de l</w:t>
      </w:r>
      <w:r w:rsidR="000970A8">
        <w:rPr>
          <w:lang w:val="fr-CH"/>
        </w:rPr>
        <w:t>’</w:t>
      </w:r>
      <w:r w:rsidRPr="0063490F">
        <w:rPr>
          <w:lang w:val="fr-CH"/>
        </w:rPr>
        <w:t>examen des documents par correspondance</w:t>
      </w:r>
    </w:p>
    <w:p w:rsidR="00A4614B" w:rsidRDefault="00AE0EF1" w:rsidP="006A644A">
      <w:pPr>
        <w:pStyle w:val="preparedby1"/>
        <w:jc w:val="left"/>
      </w:pPr>
      <w:bookmarkStart w:id="1" w:name="Prepared"/>
      <w:bookmarkEnd w:id="1"/>
      <w:r w:rsidRPr="000C4E25">
        <w:t xml:space="preserve">Document </w:t>
      </w:r>
      <w:r w:rsidR="00A706D3">
        <w:t>établi par le Bureau de l</w:t>
      </w:r>
      <w:r w:rsidR="000970A8">
        <w:t>’</w:t>
      </w:r>
      <w:r w:rsidR="00A706D3">
        <w:t>Union</w:t>
      </w:r>
    </w:p>
    <w:p w:rsidR="00A4614B" w:rsidRDefault="00A706D3" w:rsidP="006A644A">
      <w:pPr>
        <w:pStyle w:val="Disclaimer"/>
      </w:pPr>
      <w:r w:rsidRPr="00A706D3">
        <w:t>Avertissement</w:t>
      </w:r>
      <w:r w:rsidR="000970A8">
        <w:t> :</w:t>
      </w:r>
      <w:r w:rsidRPr="00A706D3">
        <w:t xml:space="preserve"> le présent document ne représente pas les principes ou les orientations de l</w:t>
      </w:r>
      <w:r w:rsidR="000970A8">
        <w:t>’</w:t>
      </w:r>
      <w:r w:rsidRPr="00A706D3">
        <w:t>UPOV</w:t>
      </w:r>
    </w:p>
    <w:p w:rsidR="00A4614B" w:rsidRPr="0063490F" w:rsidRDefault="00B5636E" w:rsidP="00B5636E">
      <w:pPr>
        <w:keepNext/>
        <w:outlineLvl w:val="0"/>
        <w:rPr>
          <w:caps/>
          <w:snapToGrid w:val="0"/>
          <w:lang w:val="fr-CH"/>
        </w:rPr>
      </w:pPr>
      <w:bookmarkStart w:id="2" w:name="_Toc55924360"/>
      <w:r w:rsidRPr="0063490F">
        <w:rPr>
          <w:caps/>
          <w:snapToGrid w:val="0"/>
          <w:lang w:val="fr-CH"/>
        </w:rPr>
        <w:t>Résumé</w:t>
      </w:r>
      <w:bookmarkEnd w:id="2"/>
    </w:p>
    <w:p w:rsidR="00A4614B" w:rsidRDefault="00A4614B" w:rsidP="004823C4">
      <w:pPr>
        <w:rPr>
          <w:caps/>
          <w:snapToGrid w:val="0"/>
          <w:lang w:val="fr-CH"/>
        </w:rPr>
      </w:pPr>
    </w:p>
    <w:p w:rsidR="00A4614B" w:rsidRDefault="004823C4" w:rsidP="00B5636E">
      <w:pPr>
        <w:rPr>
          <w:lang w:val="fr-CH"/>
        </w:rPr>
      </w:pPr>
      <w:r w:rsidRPr="00257C2B">
        <w:fldChar w:fldCharType="begin"/>
      </w:r>
      <w:r w:rsidRPr="00257C2B">
        <w:rPr>
          <w:lang w:val="fr-CH"/>
        </w:rPr>
        <w:instrText xml:space="preserve"> AUTONUM  </w:instrText>
      </w:r>
      <w:r w:rsidRPr="00257C2B">
        <w:fldChar w:fldCharType="end"/>
      </w:r>
      <w:r w:rsidRPr="00257C2B">
        <w:rPr>
          <w:lang w:val="fr-CH"/>
        </w:rPr>
        <w:tab/>
      </w:r>
      <w:r w:rsidR="00B5636E" w:rsidRPr="00257C2B">
        <w:rPr>
          <w:lang w:val="fr-CH"/>
        </w:rPr>
        <w:t>L</w:t>
      </w:r>
      <w:r w:rsidR="00257C2B">
        <w:rPr>
          <w:lang w:val="fr-CH"/>
        </w:rPr>
        <w:t>e</w:t>
      </w:r>
      <w:r w:rsidR="00B5636E" w:rsidRPr="00257C2B">
        <w:rPr>
          <w:lang w:val="fr-CH"/>
        </w:rPr>
        <w:t xml:space="preserve"> présent document </w:t>
      </w:r>
      <w:r w:rsidR="00257C2B">
        <w:rPr>
          <w:lang w:val="fr-CH"/>
        </w:rPr>
        <w:t xml:space="preserve">a pour objet </w:t>
      </w:r>
      <w:r w:rsidR="00B5636E" w:rsidRPr="00257C2B">
        <w:rPr>
          <w:lang w:val="fr-CH"/>
        </w:rPr>
        <w:t>de rendre compte des résultats de l</w:t>
      </w:r>
      <w:r w:rsidR="000970A8">
        <w:rPr>
          <w:lang w:val="fr-CH"/>
        </w:rPr>
        <w:t>’</w:t>
      </w:r>
      <w:r w:rsidR="00B5636E" w:rsidRPr="00257C2B">
        <w:rPr>
          <w:lang w:val="fr-CH"/>
        </w:rPr>
        <w:t xml:space="preserve">examen des documents </w:t>
      </w:r>
      <w:r w:rsidR="00257C2B">
        <w:rPr>
          <w:lang w:val="fr-CH"/>
        </w:rPr>
        <w:t>du</w:t>
      </w:r>
      <w:r w:rsidR="00B5636E" w:rsidRPr="00257C2B">
        <w:rPr>
          <w:lang w:val="fr-CH"/>
        </w:rPr>
        <w:t xml:space="preserve"> Comité administratif et juridique (CAJ) par correspondance, conformément à la procédure adoptée par le Conseil </w:t>
      </w:r>
      <w:r w:rsidR="00165F29" w:rsidRPr="00257C2B">
        <w:rPr>
          <w:lang w:val="fr-CH"/>
        </w:rPr>
        <w:t>en 2020</w:t>
      </w:r>
      <w:r w:rsidR="00B5636E" w:rsidRPr="00257C2B">
        <w:rPr>
          <w:rStyle w:val="FootnoteReference"/>
          <w:lang w:val="en-US"/>
        </w:rPr>
        <w:footnoteReference w:id="2"/>
      </w:r>
      <w:r w:rsidR="00B5636E" w:rsidRPr="00257C2B">
        <w:rPr>
          <w:lang w:val="fr-CH"/>
        </w:rPr>
        <w:t>.</w:t>
      </w:r>
    </w:p>
    <w:p w:rsidR="00A4614B" w:rsidRDefault="00A4614B" w:rsidP="004823C4">
      <w:pPr>
        <w:rPr>
          <w:lang w:val="fr-CH"/>
        </w:rPr>
      </w:pPr>
    </w:p>
    <w:p w:rsidR="00A4614B" w:rsidRDefault="004823C4" w:rsidP="00B5636E">
      <w:pPr>
        <w:rPr>
          <w:lang w:val="fr-CH"/>
        </w:rPr>
      </w:pPr>
      <w:r w:rsidRPr="00257C2B">
        <w:fldChar w:fldCharType="begin"/>
      </w:r>
      <w:r w:rsidRPr="00257C2B">
        <w:rPr>
          <w:lang w:val="fr-CH"/>
        </w:rPr>
        <w:instrText xml:space="preserve"> AUTONUM  </w:instrText>
      </w:r>
      <w:r w:rsidRPr="00257C2B">
        <w:fldChar w:fldCharType="end"/>
      </w:r>
      <w:r w:rsidRPr="00257C2B">
        <w:rPr>
          <w:lang w:val="fr-CH"/>
        </w:rPr>
        <w:tab/>
      </w:r>
      <w:r w:rsidR="00B5636E" w:rsidRPr="00257C2B">
        <w:rPr>
          <w:lang w:val="fr-CH"/>
        </w:rPr>
        <w:t>Le CAJ a approuvé la ou les décisions contenues dans les documents suivants</w:t>
      </w:r>
      <w:r w:rsidR="000970A8">
        <w:rPr>
          <w:lang w:val="fr-CH"/>
        </w:rPr>
        <w:t> :</w:t>
      </w:r>
    </w:p>
    <w:p w:rsidR="00A4614B" w:rsidRDefault="00A4614B" w:rsidP="004823C4">
      <w:pPr>
        <w:rPr>
          <w:lang w:val="fr-CH"/>
        </w:rPr>
      </w:pPr>
    </w:p>
    <w:p w:rsidR="00A4614B" w:rsidRDefault="00B5636E" w:rsidP="00B5636E">
      <w:pPr>
        <w:spacing w:after="60"/>
        <w:ind w:left="567"/>
        <w:rPr>
          <w:rFonts w:cs="Arial"/>
          <w:lang w:val="fr-CH"/>
        </w:rPr>
      </w:pPr>
      <w:r w:rsidRPr="00257C2B">
        <w:rPr>
          <w:rFonts w:cs="Arial"/>
          <w:lang w:val="fr-CH"/>
        </w:rPr>
        <w:t>Élaboration de documents d</w:t>
      </w:r>
      <w:r w:rsidR="000970A8">
        <w:rPr>
          <w:rFonts w:cs="Arial"/>
          <w:lang w:val="fr-CH"/>
        </w:rPr>
        <w:t>’</w:t>
      </w:r>
      <w:r w:rsidRPr="00257C2B">
        <w:rPr>
          <w:rFonts w:cs="Arial"/>
          <w:lang w:val="fr-CH"/>
        </w:rPr>
        <w:t>orientation et d</w:t>
      </w:r>
      <w:r w:rsidR="000970A8">
        <w:rPr>
          <w:rFonts w:cs="Arial"/>
          <w:lang w:val="fr-CH"/>
        </w:rPr>
        <w:t>’</w:t>
      </w:r>
      <w:r w:rsidRPr="00257C2B">
        <w:rPr>
          <w:rFonts w:cs="Arial"/>
          <w:lang w:val="fr-CH"/>
        </w:rPr>
        <w:t>information (</w:t>
      </w:r>
      <w:r w:rsidR="00875470" w:rsidRPr="00257C2B">
        <w:rPr>
          <w:rFonts w:cs="Arial"/>
          <w:lang w:val="fr-CH"/>
        </w:rPr>
        <w:t>document</w:t>
      </w:r>
      <w:r w:rsidR="00875470">
        <w:rPr>
          <w:rFonts w:cs="Arial"/>
          <w:lang w:val="fr-CH"/>
        </w:rPr>
        <w:t xml:space="preserve"> </w:t>
      </w:r>
      <w:r w:rsidR="00875470" w:rsidRPr="00257C2B">
        <w:rPr>
          <w:rFonts w:cs="Arial"/>
          <w:lang w:val="fr-CH"/>
        </w:rPr>
        <w:t>CA</w:t>
      </w:r>
      <w:r w:rsidRPr="00257C2B">
        <w:rPr>
          <w:rFonts w:cs="Arial"/>
          <w:lang w:val="fr-CH"/>
        </w:rPr>
        <w:t>J/77/3</w:t>
      </w:r>
      <w:r w:rsidR="00A23882">
        <w:rPr>
          <w:rFonts w:cs="Arial"/>
          <w:lang w:val="fr-CH"/>
        </w:rPr>
        <w:t> </w:t>
      </w:r>
      <w:proofErr w:type="spellStart"/>
      <w:r w:rsidR="00A23882">
        <w:rPr>
          <w:rFonts w:cs="Arial"/>
          <w:lang w:val="fr-CH"/>
        </w:rPr>
        <w:t>Rev</w:t>
      </w:r>
      <w:proofErr w:type="spellEnd"/>
      <w:r w:rsidR="00A23882">
        <w:rPr>
          <w:rFonts w:cs="Arial"/>
          <w:lang w:val="fr-CH"/>
        </w:rPr>
        <w:t>.</w:t>
      </w:r>
      <w:r w:rsidRPr="00257C2B">
        <w:rPr>
          <w:rFonts w:cs="Arial"/>
          <w:lang w:val="fr-CH"/>
        </w:rPr>
        <w:t>)</w:t>
      </w:r>
    </w:p>
    <w:p w:rsidR="00A4614B" w:rsidRDefault="00B5636E" w:rsidP="00B5636E">
      <w:pPr>
        <w:spacing w:after="60"/>
        <w:ind w:left="567"/>
        <w:rPr>
          <w:rFonts w:cs="Arial"/>
          <w:lang w:val="fr-CH"/>
        </w:rPr>
      </w:pPr>
      <w:r w:rsidRPr="00257C2B">
        <w:rPr>
          <w:rFonts w:cs="Arial"/>
          <w:lang w:val="fr-CH"/>
        </w:rPr>
        <w:t>Variétés essentiellement dérivées (document CAJ/77/4</w:t>
      </w:r>
      <w:r w:rsidR="00073D9C" w:rsidRPr="00257C2B">
        <w:rPr>
          <w:rFonts w:cs="Arial"/>
          <w:lang w:val="fr-CH"/>
        </w:rPr>
        <w:t> </w:t>
      </w:r>
      <w:proofErr w:type="spellStart"/>
      <w:r w:rsidRPr="00257C2B">
        <w:rPr>
          <w:rFonts w:cs="Arial"/>
          <w:lang w:val="fr-CH"/>
        </w:rPr>
        <w:t>Rev</w:t>
      </w:r>
      <w:proofErr w:type="spellEnd"/>
      <w:r w:rsidRPr="00257C2B">
        <w:rPr>
          <w:rFonts w:cs="Arial"/>
          <w:lang w:val="fr-CH"/>
        </w:rPr>
        <w:t>.)</w:t>
      </w:r>
    </w:p>
    <w:p w:rsidR="00A4614B" w:rsidRDefault="00B5636E" w:rsidP="00B5636E">
      <w:pPr>
        <w:spacing w:after="60"/>
        <w:ind w:left="567"/>
        <w:rPr>
          <w:rFonts w:cs="Arial"/>
          <w:lang w:val="fr-CH"/>
        </w:rPr>
      </w:pPr>
      <w:r w:rsidRPr="00257C2B">
        <w:rPr>
          <w:rFonts w:cs="Arial"/>
          <w:lang w:val="fr-CH"/>
        </w:rPr>
        <w:t>Produit de la récolte (</w:t>
      </w:r>
      <w:r w:rsidR="00875470" w:rsidRPr="00257C2B">
        <w:rPr>
          <w:rFonts w:cs="Arial"/>
          <w:lang w:val="fr-CH"/>
        </w:rPr>
        <w:t>document</w:t>
      </w:r>
      <w:r w:rsidR="00875470">
        <w:rPr>
          <w:rFonts w:cs="Arial"/>
          <w:lang w:val="fr-CH"/>
        </w:rPr>
        <w:t xml:space="preserve"> </w:t>
      </w:r>
      <w:r w:rsidR="00875470" w:rsidRPr="00257C2B">
        <w:rPr>
          <w:rFonts w:cs="Arial"/>
          <w:lang w:val="fr-CH"/>
        </w:rPr>
        <w:t>CA</w:t>
      </w:r>
      <w:r w:rsidRPr="00257C2B">
        <w:rPr>
          <w:rFonts w:cs="Arial"/>
          <w:lang w:val="fr-CH"/>
        </w:rPr>
        <w:t>J/77/5)</w:t>
      </w:r>
    </w:p>
    <w:p w:rsidR="00A4614B" w:rsidRDefault="00B5636E" w:rsidP="00B5636E">
      <w:pPr>
        <w:spacing w:after="60"/>
        <w:ind w:left="567"/>
        <w:rPr>
          <w:spacing w:val="-2"/>
          <w:lang w:val="fr-CH"/>
        </w:rPr>
      </w:pPr>
      <w:r w:rsidRPr="00257C2B">
        <w:rPr>
          <w:spacing w:val="-2"/>
          <w:lang w:val="fr-CH"/>
        </w:rPr>
        <w:t>Outil de recherche de similarité aux fins de la dénomination variétale (</w:t>
      </w:r>
      <w:r w:rsidR="00875470" w:rsidRPr="00257C2B">
        <w:rPr>
          <w:spacing w:val="-2"/>
          <w:lang w:val="fr-CH"/>
        </w:rPr>
        <w:t>document</w:t>
      </w:r>
      <w:r w:rsidR="00875470">
        <w:rPr>
          <w:spacing w:val="-2"/>
          <w:lang w:val="fr-CH"/>
        </w:rPr>
        <w:t xml:space="preserve"> </w:t>
      </w:r>
      <w:r w:rsidR="00875470" w:rsidRPr="00257C2B">
        <w:rPr>
          <w:spacing w:val="-2"/>
          <w:lang w:val="fr-CH"/>
        </w:rPr>
        <w:t>CA</w:t>
      </w:r>
      <w:r w:rsidRPr="00257C2B">
        <w:rPr>
          <w:spacing w:val="-2"/>
          <w:lang w:val="fr-CH"/>
        </w:rPr>
        <w:t>J/77/7)</w:t>
      </w:r>
    </w:p>
    <w:p w:rsidR="00A4614B" w:rsidRDefault="00A4614B" w:rsidP="004823C4">
      <w:pPr>
        <w:rPr>
          <w:lang w:val="fr-CH"/>
        </w:rPr>
      </w:pPr>
    </w:p>
    <w:p w:rsidR="00A4614B" w:rsidRDefault="004823C4" w:rsidP="00B5636E">
      <w:pPr>
        <w:rPr>
          <w:spacing w:val="-4"/>
          <w:lang w:val="fr-CH"/>
        </w:rPr>
      </w:pPr>
      <w:r w:rsidRPr="00257C2B">
        <w:fldChar w:fldCharType="begin"/>
      </w:r>
      <w:r w:rsidRPr="00257C2B">
        <w:rPr>
          <w:lang w:val="fr-CH"/>
        </w:rPr>
        <w:instrText xml:space="preserve"> AUTONUM  </w:instrText>
      </w:r>
      <w:r w:rsidRPr="00257C2B">
        <w:fldChar w:fldCharType="end"/>
      </w:r>
      <w:r w:rsidRPr="00257C2B">
        <w:rPr>
          <w:lang w:val="fr-CH"/>
        </w:rPr>
        <w:tab/>
      </w:r>
      <w:r w:rsidR="00B5636E" w:rsidRPr="00257C2B">
        <w:rPr>
          <w:lang w:val="fr-CH"/>
        </w:rPr>
        <w:t xml:space="preserve">Les documents UPOV/EXN/DEN/1 </w:t>
      </w:r>
      <w:proofErr w:type="spellStart"/>
      <w:r w:rsidR="00B5636E" w:rsidRPr="00257C2B">
        <w:rPr>
          <w:lang w:val="fr-CH"/>
        </w:rPr>
        <w:t>Draft</w:t>
      </w:r>
      <w:proofErr w:type="spellEnd"/>
      <w:r w:rsidR="00EE25CC" w:rsidRPr="00257C2B">
        <w:rPr>
          <w:lang w:val="fr-CH"/>
        </w:rPr>
        <w:t> </w:t>
      </w:r>
      <w:r w:rsidR="00B5636E" w:rsidRPr="00257C2B">
        <w:rPr>
          <w:lang w:val="fr-CH"/>
        </w:rPr>
        <w:t xml:space="preserve">4 “Notes explicatives concernant les dénominations variétales en vertu de la </w:t>
      </w:r>
      <w:r w:rsidR="000970A8">
        <w:rPr>
          <w:lang w:val="fr-CH"/>
        </w:rPr>
        <w:t>Convention UPOV</w:t>
      </w:r>
      <w:r w:rsidR="00B5636E" w:rsidRPr="00257C2B">
        <w:rPr>
          <w:lang w:val="fr-CH"/>
        </w:rPr>
        <w:t>” et CAJ/77/6 “Nouveauté des lignées parentales en rapport avec l</w:t>
      </w:r>
      <w:r w:rsidR="000970A8">
        <w:rPr>
          <w:lang w:val="fr-CH"/>
        </w:rPr>
        <w:t>’</w:t>
      </w:r>
      <w:r w:rsidR="00B5636E" w:rsidRPr="00257C2B">
        <w:rPr>
          <w:lang w:val="fr-CH"/>
        </w:rPr>
        <w:t>exploitation de la variété hybride” ont fait l</w:t>
      </w:r>
      <w:r w:rsidR="000970A8">
        <w:rPr>
          <w:lang w:val="fr-CH"/>
        </w:rPr>
        <w:t>’</w:t>
      </w:r>
      <w:r w:rsidR="00B5636E" w:rsidRPr="00257C2B">
        <w:rPr>
          <w:lang w:val="fr-CH"/>
        </w:rPr>
        <w:t>objet d</w:t>
      </w:r>
      <w:r w:rsidR="000970A8">
        <w:rPr>
          <w:lang w:val="fr-CH"/>
        </w:rPr>
        <w:t>’</w:t>
      </w:r>
      <w:r w:rsidR="00B5636E" w:rsidRPr="00257C2B">
        <w:rPr>
          <w:lang w:val="fr-CH"/>
        </w:rPr>
        <w:t>observations n</w:t>
      </w:r>
      <w:r w:rsidR="000970A8">
        <w:rPr>
          <w:lang w:val="fr-CH"/>
        </w:rPr>
        <w:t>’</w:t>
      </w:r>
      <w:r w:rsidR="00B5636E" w:rsidRPr="00257C2B">
        <w:rPr>
          <w:lang w:val="fr-CH"/>
        </w:rPr>
        <w:t>étaient pas simples et qui seront examinées à la session virtuelle</w:t>
      </w:r>
      <w:r w:rsidR="00165F29" w:rsidRPr="00257C2B">
        <w:rPr>
          <w:lang w:val="fr-CH"/>
        </w:rPr>
        <w:t xml:space="preserve"> du CAJ</w:t>
      </w:r>
      <w:r w:rsidR="00B5636E" w:rsidRPr="00257C2B">
        <w:rPr>
          <w:lang w:val="fr-CH"/>
        </w:rPr>
        <w:t xml:space="preserve"> (voir respectivement les </w:t>
      </w:r>
      <w:r w:rsidR="00165F29" w:rsidRPr="003A768F">
        <w:rPr>
          <w:lang w:val="fr-CH"/>
        </w:rPr>
        <w:t>paragraphes 3</w:t>
      </w:r>
      <w:r w:rsidR="00B5636E" w:rsidRPr="003A768F">
        <w:rPr>
          <w:lang w:val="fr-CH"/>
        </w:rPr>
        <w:t xml:space="preserve">4 et 35 et les </w:t>
      </w:r>
      <w:r w:rsidR="00165F29" w:rsidRPr="003A768F">
        <w:rPr>
          <w:lang w:val="fr-CH"/>
        </w:rPr>
        <w:t>paragraphes 4</w:t>
      </w:r>
      <w:r w:rsidR="00B5636E" w:rsidRPr="003A768F">
        <w:rPr>
          <w:lang w:val="fr-CH"/>
        </w:rPr>
        <w:t>9 et 50).</w:t>
      </w:r>
    </w:p>
    <w:p w:rsidR="00A4614B" w:rsidRDefault="00A4614B" w:rsidP="004823C4">
      <w:pPr>
        <w:rPr>
          <w:spacing w:val="-4"/>
          <w:lang w:val="fr-CH"/>
        </w:rPr>
      </w:pPr>
    </w:p>
    <w:p w:rsidR="00A4614B" w:rsidRDefault="004823C4" w:rsidP="00B5636E">
      <w:pPr>
        <w:rPr>
          <w:rFonts w:cs="Arial"/>
          <w:lang w:val="fr-CH"/>
        </w:rPr>
      </w:pPr>
      <w:r w:rsidRPr="00257C2B">
        <w:fldChar w:fldCharType="begin"/>
      </w:r>
      <w:r w:rsidRPr="00257C2B">
        <w:rPr>
          <w:lang w:val="fr-CH"/>
        </w:rPr>
        <w:instrText xml:space="preserve"> AUTONUM  </w:instrText>
      </w:r>
      <w:r w:rsidRPr="00257C2B">
        <w:fldChar w:fldCharType="end"/>
      </w:r>
      <w:r w:rsidRPr="00257C2B">
        <w:rPr>
          <w:lang w:val="fr-CH"/>
        </w:rPr>
        <w:tab/>
      </w:r>
      <w:r w:rsidR="00B5636E" w:rsidRPr="00257C2B">
        <w:rPr>
          <w:lang w:val="fr-CH"/>
        </w:rPr>
        <w:t>Le présent document contient également les observations reçues en réponse à la circulaire</w:t>
      </w:r>
      <w:r w:rsidR="00EE25CC" w:rsidRPr="00257C2B">
        <w:rPr>
          <w:lang w:val="fr-CH"/>
        </w:rPr>
        <w:t> </w:t>
      </w:r>
      <w:r w:rsidR="00B5636E" w:rsidRPr="00257C2B">
        <w:rPr>
          <w:lang w:val="fr-CH"/>
        </w:rPr>
        <w:t>E</w:t>
      </w:r>
      <w:r w:rsidR="00945DBD">
        <w:rPr>
          <w:lang w:val="fr-CH"/>
        </w:rPr>
        <w:noBreakHyphen/>
      </w:r>
      <w:r w:rsidR="00B5636E" w:rsidRPr="00257C2B">
        <w:rPr>
          <w:lang w:val="fr-CH"/>
        </w:rPr>
        <w:t>20/120 du 2</w:t>
      </w:r>
      <w:r w:rsidR="00165F29" w:rsidRPr="00257C2B">
        <w:rPr>
          <w:lang w:val="fr-CH"/>
        </w:rPr>
        <w:t>1 août 20</w:t>
      </w:r>
      <w:r w:rsidR="00B5636E" w:rsidRPr="00257C2B">
        <w:rPr>
          <w:lang w:val="fr-CH"/>
        </w:rPr>
        <w:t>20 qui n</w:t>
      </w:r>
      <w:r w:rsidR="000970A8">
        <w:rPr>
          <w:lang w:val="fr-CH"/>
        </w:rPr>
        <w:t>’</w:t>
      </w:r>
      <w:r w:rsidR="00B5636E" w:rsidRPr="00257C2B">
        <w:rPr>
          <w:lang w:val="fr-CH"/>
        </w:rPr>
        <w:t xml:space="preserve">ont pas donné lieu à une révision des documents mais qui contiennent des propositions </w:t>
      </w:r>
      <w:r w:rsidR="00B5636E" w:rsidRPr="003A768F">
        <w:rPr>
          <w:lang w:val="fr-CH"/>
        </w:rPr>
        <w:t xml:space="preserve">de mesures supplémentaires </w:t>
      </w:r>
      <w:r w:rsidR="00257C2B" w:rsidRPr="003A768F">
        <w:rPr>
          <w:lang w:val="fr-CH"/>
        </w:rPr>
        <w:t xml:space="preserve">pour examen </w:t>
      </w:r>
      <w:r w:rsidR="00B5636E" w:rsidRPr="003A768F">
        <w:rPr>
          <w:lang w:val="fr-CH"/>
        </w:rPr>
        <w:t>par</w:t>
      </w:r>
      <w:r w:rsidR="00165F29" w:rsidRPr="003A768F">
        <w:rPr>
          <w:lang w:val="fr-CH"/>
        </w:rPr>
        <w:t xml:space="preserve"> le CAJ</w:t>
      </w:r>
      <w:r w:rsidR="00B5636E" w:rsidRPr="003A768F">
        <w:rPr>
          <w:lang w:val="fr-CH"/>
        </w:rPr>
        <w:t xml:space="preserve"> à sa session virtuelle d</w:t>
      </w:r>
      <w:r w:rsidR="000970A8" w:rsidRPr="003A768F">
        <w:rPr>
          <w:lang w:val="fr-CH"/>
        </w:rPr>
        <w:t>’</w:t>
      </w:r>
      <w:r w:rsidR="00165F29" w:rsidRPr="003A768F">
        <w:rPr>
          <w:lang w:val="fr-CH"/>
        </w:rPr>
        <w:t>octobre 20</w:t>
      </w:r>
      <w:r w:rsidR="00B5636E" w:rsidRPr="003A768F">
        <w:rPr>
          <w:lang w:val="fr-CH"/>
        </w:rPr>
        <w:t xml:space="preserve">20 (voir le </w:t>
      </w:r>
      <w:r w:rsidR="00165F29" w:rsidRPr="003A768F">
        <w:rPr>
          <w:lang w:val="fr-CH"/>
        </w:rPr>
        <w:t>paragraphe 4</w:t>
      </w:r>
      <w:r w:rsidR="00B5636E" w:rsidRPr="003A768F">
        <w:rPr>
          <w:lang w:val="fr-CH"/>
        </w:rPr>
        <w:t>8).</w:t>
      </w:r>
    </w:p>
    <w:p w:rsidR="00A4614B" w:rsidRDefault="00A4614B" w:rsidP="004823C4">
      <w:pPr>
        <w:rPr>
          <w:highlight w:val="green"/>
          <w:lang w:val="fr-CH"/>
        </w:rPr>
      </w:pPr>
    </w:p>
    <w:p w:rsidR="00A4614B" w:rsidRDefault="004823C4" w:rsidP="00D670F2">
      <w:pPr>
        <w:spacing w:after="120"/>
        <w:rPr>
          <w:rFonts w:cs="Arial"/>
          <w:lang w:val="fr-CH"/>
        </w:rPr>
      </w:pPr>
      <w:r w:rsidRPr="00257C2B">
        <w:rPr>
          <w:rFonts w:cs="Arial"/>
        </w:rPr>
        <w:fldChar w:fldCharType="begin"/>
      </w:r>
      <w:r w:rsidRPr="00257C2B">
        <w:rPr>
          <w:rFonts w:cs="Arial"/>
          <w:lang w:val="fr-CH"/>
        </w:rPr>
        <w:instrText xml:space="preserve"> AUTONUM  </w:instrText>
      </w:r>
      <w:r w:rsidRPr="00257C2B">
        <w:rPr>
          <w:rFonts w:cs="Arial"/>
        </w:rPr>
        <w:fldChar w:fldCharType="end"/>
      </w:r>
      <w:r w:rsidRPr="00257C2B">
        <w:rPr>
          <w:rFonts w:cs="Arial"/>
          <w:lang w:val="fr-CH"/>
        </w:rPr>
        <w:tab/>
      </w:r>
      <w:r w:rsidR="00D670F2" w:rsidRPr="00257C2B">
        <w:rPr>
          <w:rFonts w:cs="Arial"/>
          <w:lang w:val="fr-CH"/>
        </w:rPr>
        <w:t>Le présent document est structuré comme suit</w:t>
      </w:r>
      <w:r w:rsidR="000970A8">
        <w:rPr>
          <w:rFonts w:cs="Arial"/>
          <w:lang w:val="fr-CH"/>
        </w:rPr>
        <w:t> :</w:t>
      </w:r>
    </w:p>
    <w:p w:rsidR="00AD17A6" w:rsidRDefault="00786D28">
      <w:pPr>
        <w:pStyle w:val="TOC1"/>
        <w:rPr>
          <w:rFonts w:asciiTheme="minorHAnsi" w:eastAsiaTheme="minorEastAsia" w:hAnsiTheme="minorHAnsi" w:cstheme="minorBidi"/>
          <w:caps w:val="0"/>
          <w:noProof/>
          <w:sz w:val="22"/>
          <w:szCs w:val="22"/>
        </w:rPr>
      </w:pPr>
      <w:r>
        <w:rPr>
          <w:noProof/>
          <w:spacing w:val="4"/>
        </w:rPr>
        <w:fldChar w:fldCharType="begin"/>
      </w:r>
      <w:r>
        <w:rPr>
          <w:noProof/>
          <w:spacing w:val="4"/>
        </w:rPr>
        <w:instrText xml:space="preserve"> TOC \o "1-5" \h \z \u </w:instrText>
      </w:r>
      <w:r>
        <w:rPr>
          <w:noProof/>
          <w:spacing w:val="4"/>
        </w:rPr>
        <w:fldChar w:fldCharType="separate"/>
      </w:r>
      <w:hyperlink w:anchor="_Toc55924360" w:history="1">
        <w:r w:rsidR="00AD17A6" w:rsidRPr="003117BD">
          <w:rPr>
            <w:rStyle w:val="Hyperlink"/>
            <w:noProof/>
            <w:snapToGrid w:val="0"/>
            <w:lang w:val="fr-CH"/>
          </w:rPr>
          <w:t>Résumé</w:t>
        </w:r>
        <w:r w:rsidR="00AD17A6">
          <w:rPr>
            <w:noProof/>
            <w:webHidden/>
          </w:rPr>
          <w:tab/>
        </w:r>
        <w:r w:rsidR="00AD17A6">
          <w:rPr>
            <w:noProof/>
            <w:webHidden/>
          </w:rPr>
          <w:fldChar w:fldCharType="begin"/>
        </w:r>
        <w:r w:rsidR="00AD17A6">
          <w:rPr>
            <w:noProof/>
            <w:webHidden/>
          </w:rPr>
          <w:instrText xml:space="preserve"> PAGEREF _Toc55924360 \h </w:instrText>
        </w:r>
        <w:r w:rsidR="00AD17A6">
          <w:rPr>
            <w:noProof/>
            <w:webHidden/>
          </w:rPr>
        </w:r>
        <w:r w:rsidR="00AD17A6">
          <w:rPr>
            <w:noProof/>
            <w:webHidden/>
          </w:rPr>
          <w:fldChar w:fldCharType="separate"/>
        </w:r>
        <w:r w:rsidR="00AD17A6">
          <w:rPr>
            <w:noProof/>
            <w:webHidden/>
          </w:rPr>
          <w:t>1</w:t>
        </w:r>
        <w:r w:rsidR="00AD17A6">
          <w:rPr>
            <w:noProof/>
            <w:webHidden/>
          </w:rPr>
          <w:fldChar w:fldCharType="end"/>
        </w:r>
      </w:hyperlink>
    </w:p>
    <w:p w:rsidR="00AD17A6" w:rsidRDefault="00BD62F0">
      <w:pPr>
        <w:pStyle w:val="TOC1"/>
        <w:rPr>
          <w:rFonts w:asciiTheme="minorHAnsi" w:eastAsiaTheme="minorEastAsia" w:hAnsiTheme="minorHAnsi" w:cstheme="minorBidi"/>
          <w:caps w:val="0"/>
          <w:noProof/>
          <w:sz w:val="22"/>
          <w:szCs w:val="22"/>
        </w:rPr>
      </w:pPr>
      <w:hyperlink w:anchor="_Toc55924361" w:history="1">
        <w:r w:rsidR="00AD17A6" w:rsidRPr="003117BD">
          <w:rPr>
            <w:rStyle w:val="Hyperlink"/>
            <w:noProof/>
          </w:rPr>
          <w:t>Informations générales</w:t>
        </w:r>
        <w:r w:rsidR="00AD17A6">
          <w:rPr>
            <w:noProof/>
            <w:webHidden/>
          </w:rPr>
          <w:tab/>
        </w:r>
        <w:r w:rsidR="00AD17A6">
          <w:rPr>
            <w:noProof/>
            <w:webHidden/>
          </w:rPr>
          <w:fldChar w:fldCharType="begin"/>
        </w:r>
        <w:r w:rsidR="00AD17A6">
          <w:rPr>
            <w:noProof/>
            <w:webHidden/>
          </w:rPr>
          <w:instrText xml:space="preserve"> PAGEREF _Toc55924361 \h </w:instrText>
        </w:r>
        <w:r w:rsidR="00AD17A6">
          <w:rPr>
            <w:noProof/>
            <w:webHidden/>
          </w:rPr>
        </w:r>
        <w:r w:rsidR="00AD17A6">
          <w:rPr>
            <w:noProof/>
            <w:webHidden/>
          </w:rPr>
          <w:fldChar w:fldCharType="separate"/>
        </w:r>
        <w:r w:rsidR="00AD17A6">
          <w:rPr>
            <w:noProof/>
            <w:webHidden/>
          </w:rPr>
          <w:t>2</w:t>
        </w:r>
        <w:r w:rsidR="00AD17A6">
          <w:rPr>
            <w:noProof/>
            <w:webHidden/>
          </w:rPr>
          <w:fldChar w:fldCharType="end"/>
        </w:r>
      </w:hyperlink>
    </w:p>
    <w:p w:rsidR="00AD17A6" w:rsidRDefault="00BD62F0">
      <w:pPr>
        <w:pStyle w:val="TOC1"/>
        <w:rPr>
          <w:rFonts w:asciiTheme="minorHAnsi" w:eastAsiaTheme="minorEastAsia" w:hAnsiTheme="minorHAnsi" w:cstheme="minorBidi"/>
          <w:caps w:val="0"/>
          <w:noProof/>
          <w:sz w:val="22"/>
          <w:szCs w:val="22"/>
        </w:rPr>
      </w:pPr>
      <w:hyperlink w:anchor="_Toc55924362" w:history="1">
        <w:r w:rsidR="00AD17A6" w:rsidRPr="003117BD">
          <w:rPr>
            <w:rStyle w:val="Hyperlink"/>
            <w:noProof/>
          </w:rPr>
          <w:t>Point 6 de l’ordre du jour :  Élaboration de documents d’orientation et d’information (document CAJ/77/3 Rev.)</w:t>
        </w:r>
        <w:r w:rsidR="00AD17A6">
          <w:rPr>
            <w:noProof/>
            <w:webHidden/>
          </w:rPr>
          <w:tab/>
        </w:r>
        <w:r w:rsidR="00AD17A6">
          <w:rPr>
            <w:noProof/>
            <w:webHidden/>
          </w:rPr>
          <w:fldChar w:fldCharType="begin"/>
        </w:r>
        <w:r w:rsidR="00AD17A6">
          <w:rPr>
            <w:noProof/>
            <w:webHidden/>
          </w:rPr>
          <w:instrText xml:space="preserve"> PAGEREF _Toc55924362 \h </w:instrText>
        </w:r>
        <w:r w:rsidR="00AD17A6">
          <w:rPr>
            <w:noProof/>
            <w:webHidden/>
          </w:rPr>
        </w:r>
        <w:r w:rsidR="00AD17A6">
          <w:rPr>
            <w:noProof/>
            <w:webHidden/>
          </w:rPr>
          <w:fldChar w:fldCharType="separate"/>
        </w:r>
        <w:r w:rsidR="00AD17A6">
          <w:rPr>
            <w:noProof/>
            <w:webHidden/>
          </w:rPr>
          <w:t>4</w:t>
        </w:r>
        <w:r w:rsidR="00AD17A6">
          <w:rPr>
            <w:noProof/>
            <w:webHidden/>
          </w:rPr>
          <w:fldChar w:fldCharType="end"/>
        </w:r>
      </w:hyperlink>
    </w:p>
    <w:p w:rsidR="00AD17A6" w:rsidRDefault="00BD62F0">
      <w:pPr>
        <w:pStyle w:val="TOC2"/>
        <w:rPr>
          <w:rFonts w:asciiTheme="minorHAnsi" w:eastAsiaTheme="minorEastAsia" w:hAnsiTheme="minorHAnsi" w:cstheme="minorBidi"/>
          <w:noProof/>
          <w:sz w:val="22"/>
          <w:szCs w:val="22"/>
        </w:rPr>
      </w:pPr>
      <w:hyperlink w:anchor="_Toc55924363" w:history="1">
        <w:r w:rsidR="00AD17A6" w:rsidRPr="003117BD">
          <w:rPr>
            <w:rStyle w:val="Hyperlink"/>
            <w:noProof/>
            <w:lang w:val="fr-CH"/>
          </w:rPr>
          <w:t>Documents d’information</w:t>
        </w:r>
        <w:r w:rsidR="00AD17A6">
          <w:rPr>
            <w:noProof/>
            <w:webHidden/>
          </w:rPr>
          <w:tab/>
        </w:r>
        <w:r w:rsidR="00AD17A6">
          <w:rPr>
            <w:noProof/>
            <w:webHidden/>
          </w:rPr>
          <w:fldChar w:fldCharType="begin"/>
        </w:r>
        <w:r w:rsidR="00AD17A6">
          <w:rPr>
            <w:noProof/>
            <w:webHidden/>
          </w:rPr>
          <w:instrText xml:space="preserve"> PAGEREF _Toc55924363 \h </w:instrText>
        </w:r>
        <w:r w:rsidR="00AD17A6">
          <w:rPr>
            <w:noProof/>
            <w:webHidden/>
          </w:rPr>
        </w:r>
        <w:r w:rsidR="00AD17A6">
          <w:rPr>
            <w:noProof/>
            <w:webHidden/>
          </w:rPr>
          <w:fldChar w:fldCharType="separate"/>
        </w:r>
        <w:r w:rsidR="00AD17A6">
          <w:rPr>
            <w:noProof/>
            <w:webHidden/>
          </w:rPr>
          <w:t>4</w:t>
        </w:r>
        <w:r w:rsidR="00AD17A6">
          <w:rPr>
            <w:noProof/>
            <w:webHidden/>
          </w:rPr>
          <w:fldChar w:fldCharType="end"/>
        </w:r>
      </w:hyperlink>
    </w:p>
    <w:p w:rsidR="00AD17A6" w:rsidRDefault="00BD62F0">
      <w:pPr>
        <w:pStyle w:val="TOC3"/>
        <w:rPr>
          <w:rFonts w:asciiTheme="minorHAnsi" w:eastAsiaTheme="minorEastAsia" w:hAnsiTheme="minorHAnsi" w:cstheme="minorBidi"/>
          <w:i w:val="0"/>
          <w:noProof/>
          <w:sz w:val="22"/>
          <w:szCs w:val="22"/>
          <w:lang w:val="en-US"/>
        </w:rPr>
      </w:pPr>
      <w:hyperlink w:anchor="_Toc55924364" w:history="1">
        <w:r w:rsidR="00AD17A6" w:rsidRPr="003117BD">
          <w:rPr>
            <w:rStyle w:val="Hyperlink"/>
            <w:noProof/>
            <w:lang w:val="fr-CH"/>
          </w:rPr>
          <w:t>UPOV/INF/16 :  Logiciels échangeables (révision) (document UPOV/INF/16/9 Draft 2)</w:t>
        </w:r>
        <w:r w:rsidR="00AD17A6">
          <w:rPr>
            <w:noProof/>
            <w:webHidden/>
          </w:rPr>
          <w:tab/>
        </w:r>
        <w:r w:rsidR="00AD17A6">
          <w:rPr>
            <w:noProof/>
            <w:webHidden/>
          </w:rPr>
          <w:fldChar w:fldCharType="begin"/>
        </w:r>
        <w:r w:rsidR="00AD17A6">
          <w:rPr>
            <w:noProof/>
            <w:webHidden/>
          </w:rPr>
          <w:instrText xml:space="preserve"> PAGEREF _Toc55924364 \h </w:instrText>
        </w:r>
        <w:r w:rsidR="00AD17A6">
          <w:rPr>
            <w:noProof/>
            <w:webHidden/>
          </w:rPr>
        </w:r>
        <w:r w:rsidR="00AD17A6">
          <w:rPr>
            <w:noProof/>
            <w:webHidden/>
          </w:rPr>
          <w:fldChar w:fldCharType="separate"/>
        </w:r>
        <w:r w:rsidR="00AD17A6">
          <w:rPr>
            <w:noProof/>
            <w:webHidden/>
          </w:rPr>
          <w:t>4</w:t>
        </w:r>
        <w:r w:rsidR="00AD17A6">
          <w:rPr>
            <w:noProof/>
            <w:webHidden/>
          </w:rPr>
          <w:fldChar w:fldCharType="end"/>
        </w:r>
      </w:hyperlink>
    </w:p>
    <w:p w:rsidR="00AD17A6" w:rsidRDefault="00BD62F0">
      <w:pPr>
        <w:pStyle w:val="TOC3"/>
        <w:rPr>
          <w:rFonts w:asciiTheme="minorHAnsi" w:eastAsiaTheme="minorEastAsia" w:hAnsiTheme="minorHAnsi" w:cstheme="minorBidi"/>
          <w:i w:val="0"/>
          <w:noProof/>
          <w:sz w:val="22"/>
          <w:szCs w:val="22"/>
          <w:lang w:val="en-US"/>
        </w:rPr>
      </w:pPr>
      <w:hyperlink w:anchor="_Toc55924365" w:history="1">
        <w:r w:rsidR="00AD17A6" w:rsidRPr="003117BD">
          <w:rPr>
            <w:rStyle w:val="Hyperlink"/>
            <w:noProof/>
            <w:lang w:val="fr-CH"/>
          </w:rPr>
          <w:t>UPOV/INF/22 :  Logiciels et équipements utilisés par les membres de l’Union (révision) (document UPOV/INF/22/7 Draft 1)</w:t>
        </w:r>
        <w:r w:rsidR="00AD17A6">
          <w:rPr>
            <w:noProof/>
            <w:webHidden/>
          </w:rPr>
          <w:tab/>
        </w:r>
        <w:r w:rsidR="00AD17A6">
          <w:rPr>
            <w:noProof/>
            <w:webHidden/>
          </w:rPr>
          <w:fldChar w:fldCharType="begin"/>
        </w:r>
        <w:r w:rsidR="00AD17A6">
          <w:rPr>
            <w:noProof/>
            <w:webHidden/>
          </w:rPr>
          <w:instrText xml:space="preserve"> PAGEREF _Toc55924365 \h </w:instrText>
        </w:r>
        <w:r w:rsidR="00AD17A6">
          <w:rPr>
            <w:noProof/>
            <w:webHidden/>
          </w:rPr>
        </w:r>
        <w:r w:rsidR="00AD17A6">
          <w:rPr>
            <w:noProof/>
            <w:webHidden/>
          </w:rPr>
          <w:fldChar w:fldCharType="separate"/>
        </w:r>
        <w:r w:rsidR="00AD17A6">
          <w:rPr>
            <w:noProof/>
            <w:webHidden/>
          </w:rPr>
          <w:t>4</w:t>
        </w:r>
        <w:r w:rsidR="00AD17A6">
          <w:rPr>
            <w:noProof/>
            <w:webHidden/>
          </w:rPr>
          <w:fldChar w:fldCharType="end"/>
        </w:r>
      </w:hyperlink>
    </w:p>
    <w:p w:rsidR="00AD17A6" w:rsidRDefault="00BD62F0">
      <w:pPr>
        <w:pStyle w:val="TOC2"/>
        <w:rPr>
          <w:rFonts w:asciiTheme="minorHAnsi" w:eastAsiaTheme="minorEastAsia" w:hAnsiTheme="minorHAnsi" w:cstheme="minorBidi"/>
          <w:noProof/>
          <w:sz w:val="22"/>
          <w:szCs w:val="22"/>
        </w:rPr>
      </w:pPr>
      <w:hyperlink w:anchor="_Toc55924366" w:history="1">
        <w:r w:rsidR="00AD17A6" w:rsidRPr="003117BD">
          <w:rPr>
            <w:rStyle w:val="Hyperlink"/>
            <w:noProof/>
            <w:lang w:val="fr-CH"/>
          </w:rPr>
          <w:t>Documents TGP</w:t>
        </w:r>
        <w:r w:rsidR="00AD17A6">
          <w:rPr>
            <w:noProof/>
            <w:webHidden/>
          </w:rPr>
          <w:tab/>
        </w:r>
        <w:r w:rsidR="00AD17A6">
          <w:rPr>
            <w:noProof/>
            <w:webHidden/>
          </w:rPr>
          <w:fldChar w:fldCharType="begin"/>
        </w:r>
        <w:r w:rsidR="00AD17A6">
          <w:rPr>
            <w:noProof/>
            <w:webHidden/>
          </w:rPr>
          <w:instrText xml:space="preserve"> PAGEREF _Toc55924366 \h </w:instrText>
        </w:r>
        <w:r w:rsidR="00AD17A6">
          <w:rPr>
            <w:noProof/>
            <w:webHidden/>
          </w:rPr>
        </w:r>
        <w:r w:rsidR="00AD17A6">
          <w:rPr>
            <w:noProof/>
            <w:webHidden/>
          </w:rPr>
          <w:fldChar w:fldCharType="separate"/>
        </w:r>
        <w:r w:rsidR="00AD17A6">
          <w:rPr>
            <w:noProof/>
            <w:webHidden/>
          </w:rPr>
          <w:t>4</w:t>
        </w:r>
        <w:r w:rsidR="00AD17A6">
          <w:rPr>
            <w:noProof/>
            <w:webHidden/>
          </w:rPr>
          <w:fldChar w:fldCharType="end"/>
        </w:r>
      </w:hyperlink>
    </w:p>
    <w:p w:rsidR="00AD17A6" w:rsidRDefault="00BD62F0">
      <w:pPr>
        <w:pStyle w:val="TOC3"/>
        <w:rPr>
          <w:rFonts w:asciiTheme="minorHAnsi" w:eastAsiaTheme="minorEastAsia" w:hAnsiTheme="minorHAnsi" w:cstheme="minorBidi"/>
          <w:i w:val="0"/>
          <w:noProof/>
          <w:sz w:val="22"/>
          <w:szCs w:val="22"/>
          <w:lang w:val="en-US"/>
        </w:rPr>
      </w:pPr>
      <w:hyperlink w:anchor="_Toc55924367" w:history="1">
        <w:r w:rsidR="00AD17A6" w:rsidRPr="003117BD">
          <w:rPr>
            <w:rStyle w:val="Hyperlink"/>
            <w:noProof/>
            <w:lang w:val="fr-CH"/>
          </w:rPr>
          <w:t>TGP/5 :  Expérience et coopération en matière d’examen DHS, Section 6 :  Rapport UPOV d’examen technique et Formulaire UPOV de description variétale (révision) (document TGP/5 :  Section 6/3 Draft 1)</w:t>
        </w:r>
        <w:r w:rsidR="00AD17A6">
          <w:rPr>
            <w:noProof/>
            <w:webHidden/>
          </w:rPr>
          <w:tab/>
        </w:r>
        <w:r w:rsidR="00AD17A6">
          <w:rPr>
            <w:noProof/>
            <w:webHidden/>
          </w:rPr>
          <w:fldChar w:fldCharType="begin"/>
        </w:r>
        <w:r w:rsidR="00AD17A6">
          <w:rPr>
            <w:noProof/>
            <w:webHidden/>
          </w:rPr>
          <w:instrText xml:space="preserve"> PAGEREF _Toc55924367 \h </w:instrText>
        </w:r>
        <w:r w:rsidR="00AD17A6">
          <w:rPr>
            <w:noProof/>
            <w:webHidden/>
          </w:rPr>
        </w:r>
        <w:r w:rsidR="00AD17A6">
          <w:rPr>
            <w:noProof/>
            <w:webHidden/>
          </w:rPr>
          <w:fldChar w:fldCharType="separate"/>
        </w:r>
        <w:r w:rsidR="00AD17A6">
          <w:rPr>
            <w:noProof/>
            <w:webHidden/>
          </w:rPr>
          <w:t>4</w:t>
        </w:r>
        <w:r w:rsidR="00AD17A6">
          <w:rPr>
            <w:noProof/>
            <w:webHidden/>
          </w:rPr>
          <w:fldChar w:fldCharType="end"/>
        </w:r>
      </w:hyperlink>
    </w:p>
    <w:p w:rsidR="00AD17A6" w:rsidRDefault="00BD62F0">
      <w:pPr>
        <w:pStyle w:val="TOC3"/>
        <w:rPr>
          <w:rFonts w:asciiTheme="minorHAnsi" w:eastAsiaTheme="minorEastAsia" w:hAnsiTheme="minorHAnsi" w:cstheme="minorBidi"/>
          <w:i w:val="0"/>
          <w:noProof/>
          <w:sz w:val="22"/>
          <w:szCs w:val="22"/>
          <w:lang w:val="en-US"/>
        </w:rPr>
      </w:pPr>
      <w:hyperlink w:anchor="_Toc55924368" w:history="1">
        <w:r w:rsidR="00AD17A6" w:rsidRPr="003117BD">
          <w:rPr>
            <w:rStyle w:val="Hyperlink"/>
            <w:noProof/>
            <w:lang w:val="fr-CH"/>
          </w:rPr>
          <w:t>TGP/7 :  Élaboration des principes directeurs d’examen (révision) (document TGP/7/8 Draft 1)</w:t>
        </w:r>
        <w:r w:rsidR="00AD17A6">
          <w:rPr>
            <w:noProof/>
            <w:webHidden/>
          </w:rPr>
          <w:tab/>
        </w:r>
        <w:r w:rsidR="00AD17A6">
          <w:rPr>
            <w:noProof/>
            <w:webHidden/>
          </w:rPr>
          <w:fldChar w:fldCharType="begin"/>
        </w:r>
        <w:r w:rsidR="00AD17A6">
          <w:rPr>
            <w:noProof/>
            <w:webHidden/>
          </w:rPr>
          <w:instrText xml:space="preserve"> PAGEREF _Toc55924368 \h </w:instrText>
        </w:r>
        <w:r w:rsidR="00AD17A6">
          <w:rPr>
            <w:noProof/>
            <w:webHidden/>
          </w:rPr>
        </w:r>
        <w:r w:rsidR="00AD17A6">
          <w:rPr>
            <w:noProof/>
            <w:webHidden/>
          </w:rPr>
          <w:fldChar w:fldCharType="separate"/>
        </w:r>
        <w:r w:rsidR="00AD17A6">
          <w:rPr>
            <w:noProof/>
            <w:webHidden/>
          </w:rPr>
          <w:t>4</w:t>
        </w:r>
        <w:r w:rsidR="00AD17A6">
          <w:rPr>
            <w:noProof/>
            <w:webHidden/>
          </w:rPr>
          <w:fldChar w:fldCharType="end"/>
        </w:r>
      </w:hyperlink>
    </w:p>
    <w:p w:rsidR="00AD17A6" w:rsidRDefault="00BD62F0">
      <w:pPr>
        <w:pStyle w:val="TOC3"/>
        <w:rPr>
          <w:rFonts w:asciiTheme="minorHAnsi" w:eastAsiaTheme="minorEastAsia" w:hAnsiTheme="minorHAnsi" w:cstheme="minorBidi"/>
          <w:i w:val="0"/>
          <w:noProof/>
          <w:sz w:val="22"/>
          <w:szCs w:val="22"/>
          <w:lang w:val="en-US"/>
        </w:rPr>
      </w:pPr>
      <w:hyperlink w:anchor="_Toc55924369" w:history="1">
        <w:r w:rsidR="00AD17A6" w:rsidRPr="003117BD">
          <w:rPr>
            <w:rStyle w:val="Hyperlink"/>
            <w:noProof/>
            <w:lang w:val="fr-CH"/>
          </w:rPr>
          <w:t>TGP/14 :  Glossaire de termes utilisés dans les documents de l’UPOV (révision) (document TGP/14/5 Draft 1)</w:t>
        </w:r>
        <w:r w:rsidR="00AD17A6">
          <w:rPr>
            <w:noProof/>
            <w:webHidden/>
          </w:rPr>
          <w:tab/>
        </w:r>
        <w:r w:rsidR="00AD17A6">
          <w:rPr>
            <w:noProof/>
            <w:webHidden/>
          </w:rPr>
          <w:fldChar w:fldCharType="begin"/>
        </w:r>
        <w:r w:rsidR="00AD17A6">
          <w:rPr>
            <w:noProof/>
            <w:webHidden/>
          </w:rPr>
          <w:instrText xml:space="preserve"> PAGEREF _Toc55924369 \h </w:instrText>
        </w:r>
        <w:r w:rsidR="00AD17A6">
          <w:rPr>
            <w:noProof/>
            <w:webHidden/>
          </w:rPr>
        </w:r>
        <w:r w:rsidR="00AD17A6">
          <w:rPr>
            <w:noProof/>
            <w:webHidden/>
          </w:rPr>
          <w:fldChar w:fldCharType="separate"/>
        </w:r>
        <w:r w:rsidR="00AD17A6">
          <w:rPr>
            <w:noProof/>
            <w:webHidden/>
          </w:rPr>
          <w:t>5</w:t>
        </w:r>
        <w:r w:rsidR="00AD17A6">
          <w:rPr>
            <w:noProof/>
            <w:webHidden/>
          </w:rPr>
          <w:fldChar w:fldCharType="end"/>
        </w:r>
      </w:hyperlink>
    </w:p>
    <w:p w:rsidR="00AD17A6" w:rsidRDefault="00BD62F0">
      <w:pPr>
        <w:pStyle w:val="TOC3"/>
        <w:rPr>
          <w:rFonts w:asciiTheme="minorHAnsi" w:eastAsiaTheme="minorEastAsia" w:hAnsiTheme="minorHAnsi" w:cstheme="minorBidi"/>
          <w:i w:val="0"/>
          <w:noProof/>
          <w:sz w:val="22"/>
          <w:szCs w:val="22"/>
          <w:lang w:val="en-US"/>
        </w:rPr>
      </w:pPr>
      <w:hyperlink w:anchor="_Toc55924370" w:history="1">
        <w:r w:rsidR="00AD17A6" w:rsidRPr="00AD17A6">
          <w:rPr>
            <w:rStyle w:val="Hyperlink"/>
            <w:noProof/>
            <w:spacing w:val="-4"/>
            <w:lang w:val="fr-CH"/>
          </w:rPr>
          <w:t>TGP/15 :  Conseils en ce qui concerne l’utilisation des marqueurs biochimiques et moléculaires dans l’examen de la distinction, de l’homogénéité et de la stabilité (DHS) (révision) (document TGP/15/3 Draft 1</w:t>
        </w:r>
        <w:r w:rsidR="00AD17A6" w:rsidRPr="003117BD">
          <w:rPr>
            <w:rStyle w:val="Hyperlink"/>
            <w:noProof/>
            <w:lang w:val="fr-CH"/>
          </w:rPr>
          <w:t>)</w:t>
        </w:r>
        <w:r w:rsidR="00AD17A6">
          <w:rPr>
            <w:noProof/>
            <w:webHidden/>
          </w:rPr>
          <w:tab/>
        </w:r>
        <w:r w:rsidR="00AD17A6">
          <w:rPr>
            <w:noProof/>
            <w:webHidden/>
          </w:rPr>
          <w:fldChar w:fldCharType="begin"/>
        </w:r>
        <w:r w:rsidR="00AD17A6">
          <w:rPr>
            <w:noProof/>
            <w:webHidden/>
          </w:rPr>
          <w:instrText xml:space="preserve"> PAGEREF _Toc55924370 \h </w:instrText>
        </w:r>
        <w:r w:rsidR="00AD17A6">
          <w:rPr>
            <w:noProof/>
            <w:webHidden/>
          </w:rPr>
        </w:r>
        <w:r w:rsidR="00AD17A6">
          <w:rPr>
            <w:noProof/>
            <w:webHidden/>
          </w:rPr>
          <w:fldChar w:fldCharType="separate"/>
        </w:r>
        <w:r w:rsidR="00AD17A6">
          <w:rPr>
            <w:noProof/>
            <w:webHidden/>
          </w:rPr>
          <w:t>5</w:t>
        </w:r>
        <w:r w:rsidR="00AD17A6">
          <w:rPr>
            <w:noProof/>
            <w:webHidden/>
          </w:rPr>
          <w:fldChar w:fldCharType="end"/>
        </w:r>
      </w:hyperlink>
    </w:p>
    <w:p w:rsidR="00AD17A6" w:rsidRDefault="00BD62F0">
      <w:pPr>
        <w:pStyle w:val="TOC2"/>
        <w:rPr>
          <w:rFonts w:asciiTheme="minorHAnsi" w:eastAsiaTheme="minorEastAsia" w:hAnsiTheme="minorHAnsi" w:cstheme="minorBidi"/>
          <w:noProof/>
          <w:sz w:val="22"/>
          <w:szCs w:val="22"/>
        </w:rPr>
      </w:pPr>
      <w:hyperlink w:anchor="_Toc55924371" w:history="1">
        <w:r w:rsidR="00AD17A6" w:rsidRPr="003117BD">
          <w:rPr>
            <w:rStyle w:val="Hyperlink"/>
            <w:noProof/>
            <w:lang w:val="fr-CH"/>
          </w:rPr>
          <w:t>Autres questions à soumettre au CAJ</w:t>
        </w:r>
        <w:r w:rsidR="00AD17A6">
          <w:rPr>
            <w:noProof/>
            <w:webHidden/>
          </w:rPr>
          <w:tab/>
        </w:r>
        <w:r w:rsidR="00AD17A6">
          <w:rPr>
            <w:noProof/>
            <w:webHidden/>
          </w:rPr>
          <w:fldChar w:fldCharType="begin"/>
        </w:r>
        <w:r w:rsidR="00AD17A6">
          <w:rPr>
            <w:noProof/>
            <w:webHidden/>
          </w:rPr>
          <w:instrText xml:space="preserve"> PAGEREF _Toc55924371 \h </w:instrText>
        </w:r>
        <w:r w:rsidR="00AD17A6">
          <w:rPr>
            <w:noProof/>
            <w:webHidden/>
          </w:rPr>
        </w:r>
        <w:r w:rsidR="00AD17A6">
          <w:rPr>
            <w:noProof/>
            <w:webHidden/>
          </w:rPr>
          <w:fldChar w:fldCharType="separate"/>
        </w:r>
        <w:r w:rsidR="00AD17A6">
          <w:rPr>
            <w:noProof/>
            <w:webHidden/>
          </w:rPr>
          <w:t>5</w:t>
        </w:r>
        <w:r w:rsidR="00AD17A6">
          <w:rPr>
            <w:noProof/>
            <w:webHidden/>
          </w:rPr>
          <w:fldChar w:fldCharType="end"/>
        </w:r>
      </w:hyperlink>
    </w:p>
    <w:p w:rsidR="00AD17A6" w:rsidRDefault="00BD62F0">
      <w:pPr>
        <w:pStyle w:val="TOC3"/>
        <w:rPr>
          <w:rFonts w:asciiTheme="minorHAnsi" w:eastAsiaTheme="minorEastAsia" w:hAnsiTheme="minorHAnsi" w:cstheme="minorBidi"/>
          <w:i w:val="0"/>
          <w:noProof/>
          <w:sz w:val="22"/>
          <w:szCs w:val="22"/>
          <w:lang w:val="en-US"/>
        </w:rPr>
      </w:pPr>
      <w:hyperlink w:anchor="_Toc55924372" w:history="1">
        <w:r w:rsidR="00AD17A6" w:rsidRPr="003117BD">
          <w:rPr>
            <w:rStyle w:val="Hyperlink"/>
            <w:noProof/>
            <w:lang w:val="fr-CH"/>
          </w:rPr>
          <w:t>UPOV/INF/23 :  Logiciels et équipements utilisés par les membres de l’Union (révision) (document UPOV/INF/22/7 Draft 1)</w:t>
        </w:r>
        <w:r w:rsidR="00AD17A6">
          <w:rPr>
            <w:noProof/>
            <w:webHidden/>
          </w:rPr>
          <w:tab/>
        </w:r>
        <w:r w:rsidR="00AD17A6">
          <w:rPr>
            <w:noProof/>
            <w:webHidden/>
          </w:rPr>
          <w:fldChar w:fldCharType="begin"/>
        </w:r>
        <w:r w:rsidR="00AD17A6">
          <w:rPr>
            <w:noProof/>
            <w:webHidden/>
          </w:rPr>
          <w:instrText xml:space="preserve"> PAGEREF _Toc55924372 \h </w:instrText>
        </w:r>
        <w:r w:rsidR="00AD17A6">
          <w:rPr>
            <w:noProof/>
            <w:webHidden/>
          </w:rPr>
        </w:r>
        <w:r w:rsidR="00AD17A6">
          <w:rPr>
            <w:noProof/>
            <w:webHidden/>
          </w:rPr>
          <w:fldChar w:fldCharType="separate"/>
        </w:r>
        <w:r w:rsidR="00AD17A6">
          <w:rPr>
            <w:noProof/>
            <w:webHidden/>
          </w:rPr>
          <w:t>5</w:t>
        </w:r>
        <w:r w:rsidR="00AD17A6">
          <w:rPr>
            <w:noProof/>
            <w:webHidden/>
          </w:rPr>
          <w:fldChar w:fldCharType="end"/>
        </w:r>
      </w:hyperlink>
    </w:p>
    <w:p w:rsidR="00AD17A6" w:rsidRDefault="00BD62F0">
      <w:pPr>
        <w:pStyle w:val="TOC3"/>
        <w:rPr>
          <w:rFonts w:asciiTheme="minorHAnsi" w:eastAsiaTheme="minorEastAsia" w:hAnsiTheme="minorHAnsi" w:cstheme="minorBidi"/>
          <w:i w:val="0"/>
          <w:noProof/>
          <w:sz w:val="22"/>
          <w:szCs w:val="22"/>
          <w:lang w:val="en-US"/>
        </w:rPr>
      </w:pPr>
      <w:hyperlink w:anchor="_Toc55924373" w:history="1">
        <w:r w:rsidR="00AD17A6" w:rsidRPr="003117BD">
          <w:rPr>
            <w:rStyle w:val="Hyperlink"/>
            <w:noProof/>
            <w:lang w:val="fr-CH"/>
          </w:rPr>
          <w:t>Référence à UPOV PRISMA dans les documents d’orientation et d’information de l’UPOV</w:t>
        </w:r>
        <w:r w:rsidR="00AD17A6">
          <w:rPr>
            <w:noProof/>
            <w:webHidden/>
          </w:rPr>
          <w:tab/>
        </w:r>
        <w:r w:rsidR="00AD17A6">
          <w:rPr>
            <w:noProof/>
            <w:webHidden/>
          </w:rPr>
          <w:fldChar w:fldCharType="begin"/>
        </w:r>
        <w:r w:rsidR="00AD17A6">
          <w:rPr>
            <w:noProof/>
            <w:webHidden/>
          </w:rPr>
          <w:instrText xml:space="preserve"> PAGEREF _Toc55924373 \h </w:instrText>
        </w:r>
        <w:r w:rsidR="00AD17A6">
          <w:rPr>
            <w:noProof/>
            <w:webHidden/>
          </w:rPr>
        </w:r>
        <w:r w:rsidR="00AD17A6">
          <w:rPr>
            <w:noProof/>
            <w:webHidden/>
          </w:rPr>
          <w:fldChar w:fldCharType="separate"/>
        </w:r>
        <w:r w:rsidR="00AD17A6">
          <w:rPr>
            <w:noProof/>
            <w:webHidden/>
          </w:rPr>
          <w:t>5</w:t>
        </w:r>
        <w:r w:rsidR="00AD17A6">
          <w:rPr>
            <w:noProof/>
            <w:webHidden/>
          </w:rPr>
          <w:fldChar w:fldCharType="end"/>
        </w:r>
      </w:hyperlink>
    </w:p>
    <w:p w:rsidR="00AD17A6" w:rsidRDefault="00BD62F0">
      <w:pPr>
        <w:pStyle w:val="TOC3"/>
        <w:rPr>
          <w:rFonts w:asciiTheme="minorHAnsi" w:eastAsiaTheme="minorEastAsia" w:hAnsiTheme="minorHAnsi" w:cstheme="minorBidi"/>
          <w:i w:val="0"/>
          <w:noProof/>
          <w:sz w:val="22"/>
          <w:szCs w:val="22"/>
          <w:lang w:val="en-US"/>
        </w:rPr>
      </w:pPr>
      <w:hyperlink w:anchor="_Toc55924374" w:history="1">
        <w:r w:rsidR="00AD17A6" w:rsidRPr="003117BD">
          <w:rPr>
            <w:rStyle w:val="Hyperlink"/>
            <w:noProof/>
            <w:lang w:val="fr-CH"/>
          </w:rPr>
          <w:t>Variétés essentiellement dérivées</w:t>
        </w:r>
        <w:r w:rsidR="00AD17A6">
          <w:rPr>
            <w:noProof/>
            <w:webHidden/>
          </w:rPr>
          <w:tab/>
        </w:r>
        <w:r w:rsidR="00AD17A6">
          <w:rPr>
            <w:noProof/>
            <w:webHidden/>
          </w:rPr>
          <w:fldChar w:fldCharType="begin"/>
        </w:r>
        <w:r w:rsidR="00AD17A6">
          <w:rPr>
            <w:noProof/>
            <w:webHidden/>
          </w:rPr>
          <w:instrText xml:space="preserve"> PAGEREF _Toc55924374 \h </w:instrText>
        </w:r>
        <w:r w:rsidR="00AD17A6">
          <w:rPr>
            <w:noProof/>
            <w:webHidden/>
          </w:rPr>
        </w:r>
        <w:r w:rsidR="00AD17A6">
          <w:rPr>
            <w:noProof/>
            <w:webHidden/>
          </w:rPr>
          <w:fldChar w:fldCharType="separate"/>
        </w:r>
        <w:r w:rsidR="00AD17A6">
          <w:rPr>
            <w:noProof/>
            <w:webHidden/>
          </w:rPr>
          <w:t>5</w:t>
        </w:r>
        <w:r w:rsidR="00AD17A6">
          <w:rPr>
            <w:noProof/>
            <w:webHidden/>
          </w:rPr>
          <w:fldChar w:fldCharType="end"/>
        </w:r>
      </w:hyperlink>
    </w:p>
    <w:p w:rsidR="00AD17A6" w:rsidRDefault="00BD62F0">
      <w:pPr>
        <w:pStyle w:val="TOC3"/>
        <w:rPr>
          <w:rFonts w:asciiTheme="minorHAnsi" w:eastAsiaTheme="minorEastAsia" w:hAnsiTheme="minorHAnsi" w:cstheme="minorBidi"/>
          <w:i w:val="0"/>
          <w:noProof/>
          <w:sz w:val="22"/>
          <w:szCs w:val="22"/>
          <w:lang w:val="en-US"/>
        </w:rPr>
      </w:pPr>
      <w:hyperlink w:anchor="_Toc55924375" w:history="1">
        <w:r w:rsidR="00AD17A6" w:rsidRPr="003117BD">
          <w:rPr>
            <w:rStyle w:val="Hyperlink"/>
            <w:noProof/>
            <w:lang w:val="fr-CH"/>
          </w:rPr>
          <w:t>Produit de la récolte</w:t>
        </w:r>
        <w:r w:rsidR="00AD17A6">
          <w:rPr>
            <w:noProof/>
            <w:webHidden/>
          </w:rPr>
          <w:tab/>
        </w:r>
        <w:r w:rsidR="00AD17A6">
          <w:rPr>
            <w:noProof/>
            <w:webHidden/>
          </w:rPr>
          <w:fldChar w:fldCharType="begin"/>
        </w:r>
        <w:r w:rsidR="00AD17A6">
          <w:rPr>
            <w:noProof/>
            <w:webHidden/>
          </w:rPr>
          <w:instrText xml:space="preserve"> PAGEREF _Toc55924375 \h </w:instrText>
        </w:r>
        <w:r w:rsidR="00AD17A6">
          <w:rPr>
            <w:noProof/>
            <w:webHidden/>
          </w:rPr>
        </w:r>
        <w:r w:rsidR="00AD17A6">
          <w:rPr>
            <w:noProof/>
            <w:webHidden/>
          </w:rPr>
          <w:fldChar w:fldCharType="separate"/>
        </w:r>
        <w:r w:rsidR="00AD17A6">
          <w:rPr>
            <w:noProof/>
            <w:webHidden/>
          </w:rPr>
          <w:t>5</w:t>
        </w:r>
        <w:r w:rsidR="00AD17A6">
          <w:rPr>
            <w:noProof/>
            <w:webHidden/>
          </w:rPr>
          <w:fldChar w:fldCharType="end"/>
        </w:r>
      </w:hyperlink>
    </w:p>
    <w:p w:rsidR="00AD17A6" w:rsidRDefault="00BD62F0">
      <w:pPr>
        <w:pStyle w:val="TOC3"/>
        <w:rPr>
          <w:rFonts w:asciiTheme="minorHAnsi" w:eastAsiaTheme="minorEastAsia" w:hAnsiTheme="minorHAnsi" w:cstheme="minorBidi"/>
          <w:i w:val="0"/>
          <w:noProof/>
          <w:sz w:val="22"/>
          <w:szCs w:val="22"/>
          <w:lang w:val="en-US"/>
        </w:rPr>
      </w:pPr>
      <w:hyperlink w:anchor="_Toc55924376" w:history="1">
        <w:r w:rsidR="00AD17A6" w:rsidRPr="003117BD">
          <w:rPr>
            <w:rStyle w:val="Hyperlink"/>
            <w:noProof/>
            <w:lang w:val="fr-CH"/>
          </w:rPr>
          <w:t>Nouveauté des lignées parentales en rapport avec l’exploitation d’une variété hybride</w:t>
        </w:r>
        <w:r w:rsidR="00AD17A6">
          <w:rPr>
            <w:noProof/>
            <w:webHidden/>
          </w:rPr>
          <w:tab/>
        </w:r>
        <w:r w:rsidR="00AD17A6">
          <w:rPr>
            <w:noProof/>
            <w:webHidden/>
          </w:rPr>
          <w:fldChar w:fldCharType="begin"/>
        </w:r>
        <w:r w:rsidR="00AD17A6">
          <w:rPr>
            <w:noProof/>
            <w:webHidden/>
          </w:rPr>
          <w:instrText xml:space="preserve"> PAGEREF _Toc55924376 \h </w:instrText>
        </w:r>
        <w:r w:rsidR="00AD17A6">
          <w:rPr>
            <w:noProof/>
            <w:webHidden/>
          </w:rPr>
        </w:r>
        <w:r w:rsidR="00AD17A6">
          <w:rPr>
            <w:noProof/>
            <w:webHidden/>
          </w:rPr>
          <w:fldChar w:fldCharType="separate"/>
        </w:r>
        <w:r w:rsidR="00AD17A6">
          <w:rPr>
            <w:noProof/>
            <w:webHidden/>
          </w:rPr>
          <w:t>5</w:t>
        </w:r>
        <w:r w:rsidR="00AD17A6">
          <w:rPr>
            <w:noProof/>
            <w:webHidden/>
          </w:rPr>
          <w:fldChar w:fldCharType="end"/>
        </w:r>
      </w:hyperlink>
    </w:p>
    <w:p w:rsidR="00AD17A6" w:rsidRDefault="00BD62F0">
      <w:pPr>
        <w:pStyle w:val="TOC2"/>
        <w:rPr>
          <w:rFonts w:asciiTheme="minorHAnsi" w:eastAsiaTheme="minorEastAsia" w:hAnsiTheme="minorHAnsi" w:cstheme="minorBidi"/>
          <w:noProof/>
          <w:sz w:val="22"/>
          <w:szCs w:val="22"/>
        </w:rPr>
      </w:pPr>
      <w:hyperlink w:anchor="_Toc55924377" w:history="1">
        <w:r w:rsidR="00AD17A6" w:rsidRPr="003117BD">
          <w:rPr>
            <w:rStyle w:val="Hyperlink"/>
            <w:noProof/>
            <w:lang w:val="fr-CH"/>
          </w:rPr>
          <w:t>Programme provisoire d’élaboration de documents d’orientation et d’information</w:t>
        </w:r>
        <w:r w:rsidR="00AD17A6">
          <w:rPr>
            <w:noProof/>
            <w:webHidden/>
          </w:rPr>
          <w:tab/>
        </w:r>
        <w:r w:rsidR="00AD17A6">
          <w:rPr>
            <w:noProof/>
            <w:webHidden/>
          </w:rPr>
          <w:fldChar w:fldCharType="begin"/>
        </w:r>
        <w:r w:rsidR="00AD17A6">
          <w:rPr>
            <w:noProof/>
            <w:webHidden/>
          </w:rPr>
          <w:instrText xml:space="preserve"> PAGEREF _Toc55924377 \h </w:instrText>
        </w:r>
        <w:r w:rsidR="00AD17A6">
          <w:rPr>
            <w:noProof/>
            <w:webHidden/>
          </w:rPr>
        </w:r>
        <w:r w:rsidR="00AD17A6">
          <w:rPr>
            <w:noProof/>
            <w:webHidden/>
          </w:rPr>
          <w:fldChar w:fldCharType="separate"/>
        </w:r>
        <w:r w:rsidR="00AD17A6">
          <w:rPr>
            <w:noProof/>
            <w:webHidden/>
          </w:rPr>
          <w:t>5</w:t>
        </w:r>
        <w:r w:rsidR="00AD17A6">
          <w:rPr>
            <w:noProof/>
            <w:webHidden/>
          </w:rPr>
          <w:fldChar w:fldCharType="end"/>
        </w:r>
      </w:hyperlink>
    </w:p>
    <w:p w:rsidR="00AD17A6" w:rsidRDefault="00BD62F0">
      <w:pPr>
        <w:pStyle w:val="TOC2"/>
        <w:rPr>
          <w:rFonts w:asciiTheme="minorHAnsi" w:eastAsiaTheme="minorEastAsia" w:hAnsiTheme="minorHAnsi" w:cstheme="minorBidi"/>
          <w:noProof/>
          <w:sz w:val="22"/>
          <w:szCs w:val="22"/>
        </w:rPr>
      </w:pPr>
      <w:hyperlink w:anchor="_Toc55924378" w:history="1">
        <w:r w:rsidR="00AD17A6" w:rsidRPr="003117BD">
          <w:rPr>
            <w:rStyle w:val="Hyperlink"/>
            <w:noProof/>
            <w:snapToGrid w:val="0"/>
            <w:lang w:val="fr-CH"/>
          </w:rPr>
          <w:t>Notes explicatives</w:t>
        </w:r>
        <w:r w:rsidR="00AD17A6">
          <w:rPr>
            <w:noProof/>
            <w:webHidden/>
          </w:rPr>
          <w:tab/>
        </w:r>
        <w:r w:rsidR="00AD17A6">
          <w:rPr>
            <w:noProof/>
            <w:webHidden/>
          </w:rPr>
          <w:fldChar w:fldCharType="begin"/>
        </w:r>
        <w:r w:rsidR="00AD17A6">
          <w:rPr>
            <w:noProof/>
            <w:webHidden/>
          </w:rPr>
          <w:instrText xml:space="preserve"> PAGEREF _Toc55924378 \h </w:instrText>
        </w:r>
        <w:r w:rsidR="00AD17A6">
          <w:rPr>
            <w:noProof/>
            <w:webHidden/>
          </w:rPr>
        </w:r>
        <w:r w:rsidR="00AD17A6">
          <w:rPr>
            <w:noProof/>
            <w:webHidden/>
          </w:rPr>
          <w:fldChar w:fldCharType="separate"/>
        </w:r>
        <w:r w:rsidR="00AD17A6">
          <w:rPr>
            <w:noProof/>
            <w:webHidden/>
          </w:rPr>
          <w:t>6</w:t>
        </w:r>
        <w:r w:rsidR="00AD17A6">
          <w:rPr>
            <w:noProof/>
            <w:webHidden/>
          </w:rPr>
          <w:fldChar w:fldCharType="end"/>
        </w:r>
      </w:hyperlink>
    </w:p>
    <w:p w:rsidR="00AD17A6" w:rsidRDefault="00BD62F0">
      <w:pPr>
        <w:pStyle w:val="TOC3"/>
        <w:rPr>
          <w:rFonts w:asciiTheme="minorHAnsi" w:eastAsiaTheme="minorEastAsia" w:hAnsiTheme="minorHAnsi" w:cstheme="minorBidi"/>
          <w:i w:val="0"/>
          <w:noProof/>
          <w:sz w:val="22"/>
          <w:szCs w:val="22"/>
          <w:lang w:val="en-US"/>
        </w:rPr>
      </w:pPr>
      <w:hyperlink w:anchor="_Toc55924379" w:history="1">
        <w:r w:rsidR="00AD17A6" w:rsidRPr="003117BD">
          <w:rPr>
            <w:rStyle w:val="Hyperlink"/>
            <w:noProof/>
            <w:kern w:val="28"/>
            <w:lang w:val="fr-CH"/>
          </w:rPr>
          <w:t>UPOV/EXN/DEN :  Notes explicatives concernant les dénominations variétales en vertu de la Convention UPOV (document UPOV/EXN/DEN/1 Draft 4)</w:t>
        </w:r>
        <w:r w:rsidR="00AD17A6">
          <w:rPr>
            <w:noProof/>
            <w:webHidden/>
          </w:rPr>
          <w:tab/>
        </w:r>
        <w:r w:rsidR="00AD17A6">
          <w:rPr>
            <w:noProof/>
            <w:webHidden/>
          </w:rPr>
          <w:fldChar w:fldCharType="begin"/>
        </w:r>
        <w:r w:rsidR="00AD17A6">
          <w:rPr>
            <w:noProof/>
            <w:webHidden/>
          </w:rPr>
          <w:instrText xml:space="preserve"> PAGEREF _Toc55924379 \h </w:instrText>
        </w:r>
        <w:r w:rsidR="00AD17A6">
          <w:rPr>
            <w:noProof/>
            <w:webHidden/>
          </w:rPr>
        </w:r>
        <w:r w:rsidR="00AD17A6">
          <w:rPr>
            <w:noProof/>
            <w:webHidden/>
          </w:rPr>
          <w:fldChar w:fldCharType="separate"/>
        </w:r>
        <w:r w:rsidR="00AD17A6">
          <w:rPr>
            <w:noProof/>
            <w:webHidden/>
          </w:rPr>
          <w:t>6</w:t>
        </w:r>
        <w:r w:rsidR="00AD17A6">
          <w:rPr>
            <w:noProof/>
            <w:webHidden/>
          </w:rPr>
          <w:fldChar w:fldCharType="end"/>
        </w:r>
      </w:hyperlink>
    </w:p>
    <w:p w:rsidR="00AD17A6" w:rsidRDefault="00BD62F0">
      <w:pPr>
        <w:pStyle w:val="TOC1"/>
        <w:rPr>
          <w:rFonts w:asciiTheme="minorHAnsi" w:eastAsiaTheme="minorEastAsia" w:hAnsiTheme="minorHAnsi" w:cstheme="minorBidi"/>
          <w:caps w:val="0"/>
          <w:noProof/>
          <w:sz w:val="22"/>
          <w:szCs w:val="22"/>
        </w:rPr>
      </w:pPr>
      <w:hyperlink w:anchor="_Toc55924380" w:history="1">
        <w:r w:rsidR="00AD17A6" w:rsidRPr="003117BD">
          <w:rPr>
            <w:rStyle w:val="Hyperlink"/>
            <w:noProof/>
          </w:rPr>
          <w:t>Point 7 de l’ordre du jour : Variétés essentiellement dérivées (document CAJ/77/4 REV.)</w:t>
        </w:r>
        <w:r w:rsidR="00AD17A6">
          <w:rPr>
            <w:noProof/>
            <w:webHidden/>
          </w:rPr>
          <w:tab/>
        </w:r>
        <w:r w:rsidR="00AD17A6">
          <w:rPr>
            <w:noProof/>
            <w:webHidden/>
          </w:rPr>
          <w:fldChar w:fldCharType="begin"/>
        </w:r>
        <w:r w:rsidR="00AD17A6">
          <w:rPr>
            <w:noProof/>
            <w:webHidden/>
          </w:rPr>
          <w:instrText xml:space="preserve"> PAGEREF _Toc55924380 \h </w:instrText>
        </w:r>
        <w:r w:rsidR="00AD17A6">
          <w:rPr>
            <w:noProof/>
            <w:webHidden/>
          </w:rPr>
        </w:r>
        <w:r w:rsidR="00AD17A6">
          <w:rPr>
            <w:noProof/>
            <w:webHidden/>
          </w:rPr>
          <w:fldChar w:fldCharType="separate"/>
        </w:r>
        <w:r w:rsidR="00AD17A6">
          <w:rPr>
            <w:noProof/>
            <w:webHidden/>
          </w:rPr>
          <w:t>6</w:t>
        </w:r>
        <w:r w:rsidR="00AD17A6">
          <w:rPr>
            <w:noProof/>
            <w:webHidden/>
          </w:rPr>
          <w:fldChar w:fldCharType="end"/>
        </w:r>
      </w:hyperlink>
    </w:p>
    <w:p w:rsidR="00AD17A6" w:rsidRDefault="00BD62F0">
      <w:pPr>
        <w:pStyle w:val="TOC1"/>
        <w:rPr>
          <w:rFonts w:asciiTheme="minorHAnsi" w:eastAsiaTheme="minorEastAsia" w:hAnsiTheme="minorHAnsi" w:cstheme="minorBidi"/>
          <w:caps w:val="0"/>
          <w:noProof/>
          <w:sz w:val="22"/>
          <w:szCs w:val="22"/>
        </w:rPr>
      </w:pPr>
      <w:hyperlink w:anchor="_Toc55924381" w:history="1">
        <w:r w:rsidR="00AD17A6" w:rsidRPr="003117BD">
          <w:rPr>
            <w:rStyle w:val="Hyperlink"/>
            <w:noProof/>
          </w:rPr>
          <w:t>Point 8 de l’ordre du jour : Produit de la récolte (document CAJ/77/5)</w:t>
        </w:r>
        <w:r w:rsidR="00AD17A6">
          <w:rPr>
            <w:noProof/>
            <w:webHidden/>
          </w:rPr>
          <w:tab/>
        </w:r>
        <w:r w:rsidR="00AD17A6">
          <w:rPr>
            <w:noProof/>
            <w:webHidden/>
          </w:rPr>
          <w:fldChar w:fldCharType="begin"/>
        </w:r>
        <w:r w:rsidR="00AD17A6">
          <w:rPr>
            <w:noProof/>
            <w:webHidden/>
          </w:rPr>
          <w:instrText xml:space="preserve"> PAGEREF _Toc55924381 \h </w:instrText>
        </w:r>
        <w:r w:rsidR="00AD17A6">
          <w:rPr>
            <w:noProof/>
            <w:webHidden/>
          </w:rPr>
        </w:r>
        <w:r w:rsidR="00AD17A6">
          <w:rPr>
            <w:noProof/>
            <w:webHidden/>
          </w:rPr>
          <w:fldChar w:fldCharType="separate"/>
        </w:r>
        <w:r w:rsidR="00AD17A6">
          <w:rPr>
            <w:noProof/>
            <w:webHidden/>
          </w:rPr>
          <w:t>7</w:t>
        </w:r>
        <w:r w:rsidR="00AD17A6">
          <w:rPr>
            <w:noProof/>
            <w:webHidden/>
          </w:rPr>
          <w:fldChar w:fldCharType="end"/>
        </w:r>
      </w:hyperlink>
    </w:p>
    <w:p w:rsidR="00AD17A6" w:rsidRDefault="00BD62F0">
      <w:pPr>
        <w:pStyle w:val="TOC2"/>
        <w:rPr>
          <w:rFonts w:asciiTheme="minorHAnsi" w:eastAsiaTheme="minorEastAsia" w:hAnsiTheme="minorHAnsi" w:cstheme="minorBidi"/>
          <w:noProof/>
          <w:sz w:val="22"/>
          <w:szCs w:val="22"/>
        </w:rPr>
      </w:pPr>
      <w:hyperlink w:anchor="_Toc55924382" w:history="1">
        <w:r w:rsidR="00AD17A6" w:rsidRPr="003117BD">
          <w:rPr>
            <w:rStyle w:val="Hyperlink"/>
            <w:noProof/>
          </w:rPr>
          <w:t>Propositions concernant les prochaines étapes</w:t>
        </w:r>
        <w:r w:rsidR="00AD17A6">
          <w:rPr>
            <w:noProof/>
            <w:webHidden/>
          </w:rPr>
          <w:tab/>
        </w:r>
        <w:r w:rsidR="00AD17A6">
          <w:rPr>
            <w:noProof/>
            <w:webHidden/>
          </w:rPr>
          <w:fldChar w:fldCharType="begin"/>
        </w:r>
        <w:r w:rsidR="00AD17A6">
          <w:rPr>
            <w:noProof/>
            <w:webHidden/>
          </w:rPr>
          <w:instrText xml:space="preserve"> PAGEREF _Toc55924382 \h </w:instrText>
        </w:r>
        <w:r w:rsidR="00AD17A6">
          <w:rPr>
            <w:noProof/>
            <w:webHidden/>
          </w:rPr>
        </w:r>
        <w:r w:rsidR="00AD17A6">
          <w:rPr>
            <w:noProof/>
            <w:webHidden/>
          </w:rPr>
          <w:fldChar w:fldCharType="separate"/>
        </w:r>
        <w:r w:rsidR="00AD17A6">
          <w:rPr>
            <w:noProof/>
            <w:webHidden/>
          </w:rPr>
          <w:t>7</w:t>
        </w:r>
        <w:r w:rsidR="00AD17A6">
          <w:rPr>
            <w:noProof/>
            <w:webHidden/>
          </w:rPr>
          <w:fldChar w:fldCharType="end"/>
        </w:r>
      </w:hyperlink>
    </w:p>
    <w:p w:rsidR="00AD17A6" w:rsidRDefault="00BD62F0">
      <w:pPr>
        <w:pStyle w:val="TOC3"/>
        <w:rPr>
          <w:rFonts w:asciiTheme="minorHAnsi" w:eastAsiaTheme="minorEastAsia" w:hAnsiTheme="minorHAnsi" w:cstheme="minorBidi"/>
          <w:i w:val="0"/>
          <w:noProof/>
          <w:sz w:val="22"/>
          <w:szCs w:val="22"/>
          <w:lang w:val="en-US"/>
        </w:rPr>
      </w:pPr>
      <w:hyperlink w:anchor="_Toc55924383" w:history="1">
        <w:r w:rsidR="00AD17A6" w:rsidRPr="003117BD">
          <w:rPr>
            <w:rStyle w:val="Hyperlink"/>
            <w:noProof/>
          </w:rPr>
          <w:t>Euroseeds</w:t>
        </w:r>
        <w:r w:rsidR="00AD17A6">
          <w:rPr>
            <w:noProof/>
            <w:webHidden/>
          </w:rPr>
          <w:tab/>
        </w:r>
        <w:r w:rsidR="00AD17A6">
          <w:rPr>
            <w:noProof/>
            <w:webHidden/>
          </w:rPr>
          <w:fldChar w:fldCharType="begin"/>
        </w:r>
        <w:r w:rsidR="00AD17A6">
          <w:rPr>
            <w:noProof/>
            <w:webHidden/>
          </w:rPr>
          <w:instrText xml:space="preserve"> PAGEREF _Toc55924383 \h </w:instrText>
        </w:r>
        <w:r w:rsidR="00AD17A6">
          <w:rPr>
            <w:noProof/>
            <w:webHidden/>
          </w:rPr>
        </w:r>
        <w:r w:rsidR="00AD17A6">
          <w:rPr>
            <w:noProof/>
            <w:webHidden/>
          </w:rPr>
          <w:fldChar w:fldCharType="separate"/>
        </w:r>
        <w:r w:rsidR="00AD17A6">
          <w:rPr>
            <w:noProof/>
            <w:webHidden/>
          </w:rPr>
          <w:t>7</w:t>
        </w:r>
        <w:r w:rsidR="00AD17A6">
          <w:rPr>
            <w:noProof/>
            <w:webHidden/>
          </w:rPr>
          <w:fldChar w:fldCharType="end"/>
        </w:r>
      </w:hyperlink>
    </w:p>
    <w:p w:rsidR="00AD17A6" w:rsidRDefault="00BD62F0">
      <w:pPr>
        <w:pStyle w:val="TOC3"/>
        <w:rPr>
          <w:rFonts w:asciiTheme="minorHAnsi" w:eastAsiaTheme="minorEastAsia" w:hAnsiTheme="minorHAnsi" w:cstheme="minorBidi"/>
          <w:i w:val="0"/>
          <w:noProof/>
          <w:sz w:val="22"/>
          <w:szCs w:val="22"/>
          <w:lang w:val="en-US"/>
        </w:rPr>
      </w:pPr>
      <w:hyperlink w:anchor="_Toc55924384" w:history="1">
        <w:r w:rsidR="00AD17A6" w:rsidRPr="003117BD">
          <w:rPr>
            <w:rStyle w:val="Hyperlink"/>
            <w:noProof/>
          </w:rPr>
          <w:t>Communauté internationale des obtenteurs de plantes horticoles de reproduction asexuée (CIOPORA) et International Seed Federation (ISF)</w:t>
        </w:r>
        <w:r w:rsidR="00AD17A6">
          <w:rPr>
            <w:noProof/>
            <w:webHidden/>
          </w:rPr>
          <w:tab/>
        </w:r>
        <w:r w:rsidR="00AD17A6">
          <w:rPr>
            <w:noProof/>
            <w:webHidden/>
          </w:rPr>
          <w:fldChar w:fldCharType="begin"/>
        </w:r>
        <w:r w:rsidR="00AD17A6">
          <w:rPr>
            <w:noProof/>
            <w:webHidden/>
          </w:rPr>
          <w:instrText xml:space="preserve"> PAGEREF _Toc55924384 \h </w:instrText>
        </w:r>
        <w:r w:rsidR="00AD17A6">
          <w:rPr>
            <w:noProof/>
            <w:webHidden/>
          </w:rPr>
        </w:r>
        <w:r w:rsidR="00AD17A6">
          <w:rPr>
            <w:noProof/>
            <w:webHidden/>
          </w:rPr>
          <w:fldChar w:fldCharType="separate"/>
        </w:r>
        <w:r w:rsidR="00AD17A6">
          <w:rPr>
            <w:noProof/>
            <w:webHidden/>
          </w:rPr>
          <w:t>8</w:t>
        </w:r>
        <w:r w:rsidR="00AD17A6">
          <w:rPr>
            <w:noProof/>
            <w:webHidden/>
          </w:rPr>
          <w:fldChar w:fldCharType="end"/>
        </w:r>
      </w:hyperlink>
    </w:p>
    <w:p w:rsidR="00AD17A6" w:rsidRDefault="00BD62F0">
      <w:pPr>
        <w:pStyle w:val="TOC1"/>
        <w:rPr>
          <w:rFonts w:asciiTheme="minorHAnsi" w:eastAsiaTheme="minorEastAsia" w:hAnsiTheme="minorHAnsi" w:cstheme="minorBidi"/>
          <w:caps w:val="0"/>
          <w:noProof/>
          <w:sz w:val="22"/>
          <w:szCs w:val="22"/>
        </w:rPr>
      </w:pPr>
      <w:hyperlink w:anchor="_Toc55924385" w:history="1">
        <w:r w:rsidR="00AD17A6" w:rsidRPr="003117BD">
          <w:rPr>
            <w:rStyle w:val="Hyperlink"/>
            <w:noProof/>
          </w:rPr>
          <w:t>Point 9 de l’ordre du jour : Nouveauté des lignées parentales en rapport avec l’exploitation d’une variété hybride (document CAJ/77/6)</w:t>
        </w:r>
        <w:r w:rsidR="00AD17A6">
          <w:rPr>
            <w:noProof/>
            <w:webHidden/>
          </w:rPr>
          <w:tab/>
        </w:r>
        <w:r w:rsidR="00AD17A6">
          <w:rPr>
            <w:noProof/>
            <w:webHidden/>
          </w:rPr>
          <w:fldChar w:fldCharType="begin"/>
        </w:r>
        <w:r w:rsidR="00AD17A6">
          <w:rPr>
            <w:noProof/>
            <w:webHidden/>
          </w:rPr>
          <w:instrText xml:space="preserve"> PAGEREF _Toc55924385 \h </w:instrText>
        </w:r>
        <w:r w:rsidR="00AD17A6">
          <w:rPr>
            <w:noProof/>
            <w:webHidden/>
          </w:rPr>
        </w:r>
        <w:r w:rsidR="00AD17A6">
          <w:rPr>
            <w:noProof/>
            <w:webHidden/>
          </w:rPr>
          <w:fldChar w:fldCharType="separate"/>
        </w:r>
        <w:r w:rsidR="00AD17A6">
          <w:rPr>
            <w:noProof/>
            <w:webHidden/>
          </w:rPr>
          <w:t>8</w:t>
        </w:r>
        <w:r w:rsidR="00AD17A6">
          <w:rPr>
            <w:noProof/>
            <w:webHidden/>
          </w:rPr>
          <w:fldChar w:fldCharType="end"/>
        </w:r>
      </w:hyperlink>
    </w:p>
    <w:p w:rsidR="00AD17A6" w:rsidRDefault="00BD62F0">
      <w:pPr>
        <w:pStyle w:val="TOC1"/>
        <w:rPr>
          <w:rFonts w:asciiTheme="minorHAnsi" w:eastAsiaTheme="minorEastAsia" w:hAnsiTheme="minorHAnsi" w:cstheme="minorBidi"/>
          <w:caps w:val="0"/>
          <w:noProof/>
          <w:sz w:val="22"/>
          <w:szCs w:val="22"/>
        </w:rPr>
      </w:pPr>
      <w:hyperlink w:anchor="_Toc55924386" w:history="1">
        <w:r w:rsidR="00AD17A6" w:rsidRPr="003117BD">
          <w:rPr>
            <w:rStyle w:val="Hyperlink"/>
            <w:noProof/>
          </w:rPr>
          <w:t>Point 11 de l’ordre du jour : outil de recherche de l’UPOV de similarité aux fins de la dénomination variétale (document CAJ/77/7)</w:t>
        </w:r>
        <w:r w:rsidR="00AD17A6">
          <w:rPr>
            <w:noProof/>
            <w:webHidden/>
          </w:rPr>
          <w:tab/>
        </w:r>
        <w:r w:rsidR="00AD17A6">
          <w:rPr>
            <w:noProof/>
            <w:webHidden/>
          </w:rPr>
          <w:fldChar w:fldCharType="begin"/>
        </w:r>
        <w:r w:rsidR="00AD17A6">
          <w:rPr>
            <w:noProof/>
            <w:webHidden/>
          </w:rPr>
          <w:instrText xml:space="preserve"> PAGEREF _Toc55924386 \h </w:instrText>
        </w:r>
        <w:r w:rsidR="00AD17A6">
          <w:rPr>
            <w:noProof/>
            <w:webHidden/>
          </w:rPr>
        </w:r>
        <w:r w:rsidR="00AD17A6">
          <w:rPr>
            <w:noProof/>
            <w:webHidden/>
          </w:rPr>
          <w:fldChar w:fldCharType="separate"/>
        </w:r>
        <w:r w:rsidR="00AD17A6">
          <w:rPr>
            <w:noProof/>
            <w:webHidden/>
          </w:rPr>
          <w:t>9</w:t>
        </w:r>
        <w:r w:rsidR="00AD17A6">
          <w:rPr>
            <w:noProof/>
            <w:webHidden/>
          </w:rPr>
          <w:fldChar w:fldCharType="end"/>
        </w:r>
      </w:hyperlink>
    </w:p>
    <w:p w:rsidR="00A4614B" w:rsidRPr="00AD17A6" w:rsidRDefault="00786D28" w:rsidP="00AD17A6">
      <w:pPr>
        <w:spacing w:before="120"/>
        <w:ind w:left="1134" w:hanging="1134"/>
        <w:rPr>
          <w:color w:val="000000"/>
          <w:lang w:val="fr-CH"/>
        </w:rPr>
      </w:pPr>
      <w:r>
        <w:rPr>
          <w:noProof/>
          <w:spacing w:val="4"/>
          <w:lang w:val="en-US"/>
        </w:rPr>
        <w:fldChar w:fldCharType="end"/>
      </w:r>
      <w:r w:rsidR="00165F29" w:rsidRPr="00AD17A6">
        <w:rPr>
          <w:color w:val="000000"/>
          <w:lang w:val="fr-CH"/>
        </w:rPr>
        <w:t>Annexe I</w:t>
      </w:r>
      <w:r w:rsidR="00D670F2" w:rsidRPr="00AD17A6">
        <w:rPr>
          <w:color w:val="000000"/>
          <w:lang w:val="fr-CH"/>
        </w:rPr>
        <w:tab/>
        <w:t xml:space="preserve">Document UPOV/EXN/DEN “Notes explicatives concernant les dénominations variétales en vertu de la </w:t>
      </w:r>
      <w:r w:rsidR="000970A8" w:rsidRPr="00AD17A6">
        <w:rPr>
          <w:color w:val="000000"/>
          <w:lang w:val="fr-CH"/>
        </w:rPr>
        <w:t>Convention UPOV</w:t>
      </w:r>
      <w:r w:rsidR="00D670F2" w:rsidRPr="00AD17A6">
        <w:rPr>
          <w:color w:val="000000"/>
          <w:lang w:val="fr-CH"/>
        </w:rPr>
        <w:t xml:space="preserve">” (document UPOV/EXN/DEN/1 </w:t>
      </w:r>
      <w:proofErr w:type="spellStart"/>
      <w:r w:rsidR="00D670F2" w:rsidRPr="00AD17A6">
        <w:rPr>
          <w:color w:val="000000"/>
          <w:lang w:val="fr-CH"/>
        </w:rPr>
        <w:t>Draft</w:t>
      </w:r>
      <w:proofErr w:type="spellEnd"/>
      <w:r w:rsidR="00D670F2" w:rsidRPr="00AD17A6">
        <w:rPr>
          <w:color w:val="000000"/>
          <w:lang w:val="fr-CH"/>
        </w:rPr>
        <w:t xml:space="preserve"> 4)</w:t>
      </w:r>
      <w:r w:rsidR="000970A8" w:rsidRPr="00AD17A6">
        <w:rPr>
          <w:color w:val="000000"/>
          <w:lang w:val="fr-CH"/>
        </w:rPr>
        <w:t> :</w:t>
      </w:r>
      <w:r w:rsidR="00AD17A6">
        <w:rPr>
          <w:color w:val="000000"/>
          <w:lang w:val="fr-CH"/>
        </w:rPr>
        <w:t xml:space="preserve"> </w:t>
      </w:r>
      <w:r w:rsidR="00D670F2" w:rsidRPr="00AD17A6">
        <w:rPr>
          <w:color w:val="000000"/>
          <w:lang w:val="fr-CH"/>
        </w:rPr>
        <w:t xml:space="preserve"> Observations reçues en réponse à la circulaire</w:t>
      </w:r>
      <w:r w:rsidR="00EE25CC" w:rsidRPr="00AD17A6">
        <w:rPr>
          <w:color w:val="000000"/>
          <w:lang w:val="fr-CH"/>
        </w:rPr>
        <w:t> </w:t>
      </w:r>
      <w:r w:rsidR="00D670F2" w:rsidRPr="00AD17A6">
        <w:rPr>
          <w:color w:val="000000"/>
          <w:lang w:val="fr-CH"/>
        </w:rPr>
        <w:t>E</w:t>
      </w:r>
      <w:r w:rsidR="00945DBD" w:rsidRPr="00AD17A6">
        <w:rPr>
          <w:color w:val="000000"/>
          <w:lang w:val="fr-CH"/>
        </w:rPr>
        <w:noBreakHyphen/>
      </w:r>
      <w:r w:rsidR="00D670F2" w:rsidRPr="00AD17A6">
        <w:rPr>
          <w:color w:val="000000"/>
          <w:lang w:val="fr-CH"/>
        </w:rPr>
        <w:t>20/120 du 2</w:t>
      </w:r>
      <w:r w:rsidR="00165F29" w:rsidRPr="00AD17A6">
        <w:rPr>
          <w:color w:val="000000"/>
          <w:lang w:val="fr-CH"/>
        </w:rPr>
        <w:t>1 août 20</w:t>
      </w:r>
      <w:r w:rsidR="00D670F2" w:rsidRPr="00AD17A6">
        <w:rPr>
          <w:color w:val="000000"/>
          <w:lang w:val="fr-CH"/>
        </w:rPr>
        <w:t>20</w:t>
      </w:r>
    </w:p>
    <w:p w:rsidR="00A4614B" w:rsidRDefault="00D670F2" w:rsidP="00D670F2">
      <w:pPr>
        <w:tabs>
          <w:tab w:val="left" w:pos="1985"/>
        </w:tabs>
        <w:spacing w:before="60"/>
        <w:ind w:left="567"/>
        <w:rPr>
          <w:lang w:val="fr-CH"/>
        </w:rPr>
      </w:pPr>
      <w:r w:rsidRPr="00D670F2">
        <w:rPr>
          <w:color w:val="000000"/>
          <w:lang w:val="fr-CH"/>
        </w:rPr>
        <w:t>Appendice I</w:t>
      </w:r>
      <w:r w:rsidR="000970A8">
        <w:rPr>
          <w:color w:val="000000"/>
          <w:lang w:val="fr-CH"/>
        </w:rPr>
        <w:t> :</w:t>
      </w:r>
      <w:r w:rsidRPr="00D670F2">
        <w:rPr>
          <w:color w:val="000000"/>
          <w:lang w:val="fr-CH"/>
        </w:rPr>
        <w:t xml:space="preserve"> </w:t>
      </w:r>
      <w:r w:rsidR="009F2C7E">
        <w:rPr>
          <w:color w:val="000000"/>
          <w:lang w:val="fr-CH"/>
        </w:rPr>
        <w:tab/>
      </w:r>
      <w:r w:rsidRPr="00D670F2">
        <w:rPr>
          <w:color w:val="000000"/>
          <w:lang w:val="fr-CH"/>
        </w:rPr>
        <w:t>Observations du Brésil</w:t>
      </w:r>
    </w:p>
    <w:p w:rsidR="00A4614B" w:rsidRDefault="00D670F2" w:rsidP="00D670F2">
      <w:pPr>
        <w:tabs>
          <w:tab w:val="left" w:pos="1985"/>
        </w:tabs>
        <w:spacing w:before="60"/>
        <w:ind w:left="567"/>
        <w:rPr>
          <w:lang w:val="fr-CH"/>
        </w:rPr>
      </w:pPr>
      <w:r w:rsidRPr="00257C2B">
        <w:rPr>
          <w:lang w:val="fr-CH"/>
        </w:rPr>
        <w:t>Appendice</w:t>
      </w:r>
      <w:r w:rsidR="00EE25CC" w:rsidRPr="00257C2B">
        <w:rPr>
          <w:lang w:val="fr-CH"/>
        </w:rPr>
        <w:t> </w:t>
      </w:r>
      <w:r w:rsidRPr="00257C2B">
        <w:rPr>
          <w:lang w:val="fr-CH"/>
        </w:rPr>
        <w:t>II</w:t>
      </w:r>
      <w:r w:rsidR="000970A8">
        <w:rPr>
          <w:lang w:val="fr-CH"/>
        </w:rPr>
        <w:t> :</w:t>
      </w:r>
      <w:r w:rsidRPr="00257C2B">
        <w:rPr>
          <w:lang w:val="fr-CH"/>
        </w:rPr>
        <w:t xml:space="preserve"> </w:t>
      </w:r>
      <w:r w:rsidR="009F2C7E">
        <w:rPr>
          <w:lang w:val="fr-CH"/>
        </w:rPr>
        <w:tab/>
      </w:r>
      <w:r w:rsidRPr="00257C2B">
        <w:rPr>
          <w:lang w:val="fr-CH"/>
        </w:rPr>
        <w:t>Observations de l</w:t>
      </w:r>
      <w:r w:rsidR="000970A8">
        <w:rPr>
          <w:lang w:val="fr-CH"/>
        </w:rPr>
        <w:t>’</w:t>
      </w:r>
      <w:r w:rsidRPr="00257C2B">
        <w:rPr>
          <w:lang w:val="fr-CH"/>
        </w:rPr>
        <w:t>Union européenne</w:t>
      </w:r>
    </w:p>
    <w:p w:rsidR="00A4614B" w:rsidRDefault="00D670F2" w:rsidP="00D670F2">
      <w:pPr>
        <w:tabs>
          <w:tab w:val="left" w:pos="1985"/>
        </w:tabs>
        <w:spacing w:before="60"/>
        <w:ind w:left="567"/>
        <w:rPr>
          <w:lang w:val="fr-CH"/>
        </w:rPr>
      </w:pPr>
      <w:r w:rsidRPr="00D670F2">
        <w:rPr>
          <w:color w:val="000000"/>
          <w:lang w:val="fr-CH"/>
        </w:rPr>
        <w:t>Appendice</w:t>
      </w:r>
      <w:r w:rsidR="00EE25CC">
        <w:rPr>
          <w:color w:val="000000"/>
          <w:lang w:val="fr-CH"/>
        </w:rPr>
        <w:t> </w:t>
      </w:r>
      <w:r w:rsidRPr="00D670F2">
        <w:rPr>
          <w:color w:val="000000"/>
          <w:lang w:val="fr-CH"/>
        </w:rPr>
        <w:t>III</w:t>
      </w:r>
      <w:r w:rsidR="000970A8">
        <w:rPr>
          <w:color w:val="000000"/>
          <w:lang w:val="fr-CH"/>
        </w:rPr>
        <w:t> :</w:t>
      </w:r>
      <w:r w:rsidR="00A62B33">
        <w:rPr>
          <w:color w:val="000000"/>
          <w:lang w:val="fr-CH"/>
        </w:rPr>
        <w:t xml:space="preserve"> </w:t>
      </w:r>
      <w:r w:rsidRPr="00D670F2">
        <w:rPr>
          <w:color w:val="000000"/>
          <w:lang w:val="fr-CH"/>
        </w:rPr>
        <w:tab/>
        <w:t xml:space="preserve">Observations </w:t>
      </w:r>
      <w:r w:rsidR="00700B2A" w:rsidRPr="00700B2A">
        <w:rPr>
          <w:spacing w:val="-2"/>
          <w:lang w:val="fr-CH"/>
        </w:rPr>
        <w:t>d’</w:t>
      </w:r>
      <w:proofErr w:type="spellStart"/>
      <w:r w:rsidR="00700B2A" w:rsidRPr="00700B2A">
        <w:rPr>
          <w:i/>
          <w:spacing w:val="-2"/>
          <w:lang w:val="fr-CH"/>
        </w:rPr>
        <w:t>Euroseeds</w:t>
      </w:r>
      <w:proofErr w:type="spellEnd"/>
    </w:p>
    <w:p w:rsidR="00A4614B" w:rsidRDefault="00D670F2" w:rsidP="00D670F2">
      <w:pPr>
        <w:tabs>
          <w:tab w:val="left" w:pos="1985"/>
        </w:tabs>
        <w:spacing w:before="60"/>
        <w:ind w:left="567"/>
        <w:rPr>
          <w:lang w:val="fr-CH"/>
        </w:rPr>
      </w:pPr>
      <w:r w:rsidRPr="00D670F2">
        <w:rPr>
          <w:color w:val="000000"/>
          <w:lang w:val="fr-CH"/>
        </w:rPr>
        <w:t>Appendice</w:t>
      </w:r>
      <w:r w:rsidR="00EE25CC">
        <w:rPr>
          <w:color w:val="000000"/>
          <w:lang w:val="fr-CH"/>
        </w:rPr>
        <w:t> </w:t>
      </w:r>
      <w:r w:rsidRPr="00D670F2">
        <w:rPr>
          <w:color w:val="000000"/>
          <w:lang w:val="fr-CH"/>
        </w:rPr>
        <w:t>IV</w:t>
      </w:r>
      <w:r w:rsidR="000970A8">
        <w:rPr>
          <w:color w:val="000000"/>
          <w:lang w:val="fr-CH"/>
        </w:rPr>
        <w:t> :</w:t>
      </w:r>
      <w:r w:rsidRPr="00D670F2">
        <w:rPr>
          <w:color w:val="000000"/>
          <w:lang w:val="fr-CH"/>
        </w:rPr>
        <w:t xml:space="preserve"> </w:t>
      </w:r>
      <w:r w:rsidRPr="00D670F2">
        <w:rPr>
          <w:color w:val="000000"/>
          <w:lang w:val="fr-CH"/>
        </w:rPr>
        <w:tab/>
        <w:t xml:space="preserve">Observations de </w:t>
      </w:r>
      <w:r w:rsidRPr="00700B2A">
        <w:rPr>
          <w:lang w:val="fr-CH"/>
        </w:rPr>
        <w:t>l</w:t>
      </w:r>
      <w:r w:rsidR="000970A8" w:rsidRPr="00700B2A">
        <w:rPr>
          <w:lang w:val="fr-CH"/>
        </w:rPr>
        <w:t>’</w:t>
      </w:r>
      <w:r w:rsidRPr="00700B2A">
        <w:rPr>
          <w:i/>
          <w:lang w:val="fr-CH"/>
        </w:rPr>
        <w:t xml:space="preserve">International </w:t>
      </w:r>
      <w:proofErr w:type="spellStart"/>
      <w:r w:rsidRPr="00700B2A">
        <w:rPr>
          <w:i/>
          <w:lang w:val="fr-CH"/>
        </w:rPr>
        <w:t>Seed</w:t>
      </w:r>
      <w:proofErr w:type="spellEnd"/>
      <w:r w:rsidRPr="00700B2A">
        <w:rPr>
          <w:i/>
          <w:lang w:val="fr-CH"/>
        </w:rPr>
        <w:t xml:space="preserve"> </w:t>
      </w:r>
      <w:proofErr w:type="spellStart"/>
      <w:r w:rsidRPr="00700B2A">
        <w:rPr>
          <w:i/>
          <w:lang w:val="fr-CH"/>
        </w:rPr>
        <w:t>Federation</w:t>
      </w:r>
      <w:proofErr w:type="spellEnd"/>
      <w:r w:rsidRPr="00257C2B">
        <w:rPr>
          <w:lang w:val="fr-CH"/>
        </w:rPr>
        <w:t xml:space="preserve"> </w:t>
      </w:r>
      <w:r w:rsidRPr="00D670F2">
        <w:rPr>
          <w:color w:val="000000"/>
          <w:lang w:val="fr-CH"/>
        </w:rPr>
        <w:t>(ISF)</w:t>
      </w:r>
    </w:p>
    <w:p w:rsidR="00A4614B" w:rsidRDefault="00A4614B" w:rsidP="004823C4">
      <w:pPr>
        <w:rPr>
          <w:lang w:val="fr-CH"/>
        </w:rPr>
      </w:pPr>
    </w:p>
    <w:p w:rsidR="00A4614B" w:rsidRDefault="00165F29" w:rsidP="00D670F2">
      <w:pPr>
        <w:ind w:left="1134" w:hanging="1134"/>
        <w:rPr>
          <w:lang w:val="fr-CH"/>
        </w:rPr>
      </w:pPr>
      <w:r w:rsidRPr="00D670F2">
        <w:rPr>
          <w:color w:val="000000"/>
          <w:lang w:val="fr-CH"/>
        </w:rPr>
        <w:t>Annexe</w:t>
      </w:r>
      <w:r>
        <w:rPr>
          <w:color w:val="000000"/>
          <w:lang w:val="fr-CH"/>
        </w:rPr>
        <w:t> </w:t>
      </w:r>
      <w:r w:rsidRPr="00D670F2">
        <w:rPr>
          <w:color w:val="000000"/>
          <w:lang w:val="fr-CH"/>
        </w:rPr>
        <w:t>I</w:t>
      </w:r>
      <w:r w:rsidR="00D670F2" w:rsidRPr="00D670F2">
        <w:rPr>
          <w:color w:val="000000"/>
          <w:lang w:val="fr-CH"/>
        </w:rPr>
        <w:t>I</w:t>
      </w:r>
      <w:r w:rsidR="00D670F2" w:rsidRPr="00D670F2">
        <w:rPr>
          <w:color w:val="000000"/>
          <w:lang w:val="fr-CH"/>
        </w:rPr>
        <w:tab/>
        <w:t>Document CAJ/77/6 “Nouveauté des lignées parentales en rapport avec l</w:t>
      </w:r>
      <w:r w:rsidR="000970A8">
        <w:rPr>
          <w:color w:val="000000"/>
          <w:lang w:val="fr-CH"/>
        </w:rPr>
        <w:t>’</w:t>
      </w:r>
      <w:r w:rsidR="00D670F2" w:rsidRPr="00D670F2">
        <w:rPr>
          <w:color w:val="000000"/>
          <w:lang w:val="fr-CH"/>
        </w:rPr>
        <w:t>exploitation de la variété hybride”</w:t>
      </w:r>
      <w:r w:rsidR="000970A8">
        <w:rPr>
          <w:color w:val="000000"/>
          <w:lang w:val="fr-CH"/>
        </w:rPr>
        <w:t> :</w:t>
      </w:r>
      <w:r w:rsidR="00AD17A6">
        <w:rPr>
          <w:color w:val="000000"/>
          <w:lang w:val="fr-CH"/>
        </w:rPr>
        <w:t xml:space="preserve"> </w:t>
      </w:r>
      <w:r w:rsidR="00D670F2" w:rsidRPr="00D670F2">
        <w:rPr>
          <w:color w:val="000000"/>
          <w:lang w:val="fr-CH"/>
        </w:rPr>
        <w:t xml:space="preserve"> Observations reçues en réponse à la circulaire</w:t>
      </w:r>
      <w:r w:rsidR="00EE25CC">
        <w:rPr>
          <w:color w:val="000000"/>
          <w:lang w:val="fr-CH"/>
        </w:rPr>
        <w:t> </w:t>
      </w:r>
      <w:r w:rsidR="00D670F2" w:rsidRPr="00D670F2">
        <w:rPr>
          <w:color w:val="000000"/>
          <w:lang w:val="fr-CH"/>
        </w:rPr>
        <w:t>E</w:t>
      </w:r>
      <w:r w:rsidR="00945DBD">
        <w:rPr>
          <w:color w:val="000000"/>
          <w:lang w:val="fr-CH"/>
        </w:rPr>
        <w:noBreakHyphen/>
      </w:r>
      <w:r w:rsidR="00D670F2" w:rsidRPr="00D670F2">
        <w:rPr>
          <w:color w:val="000000"/>
          <w:lang w:val="fr-CH"/>
        </w:rPr>
        <w:t>20/120 du 2</w:t>
      </w:r>
      <w:r w:rsidRPr="00D670F2">
        <w:rPr>
          <w:color w:val="000000"/>
          <w:lang w:val="fr-CH"/>
        </w:rPr>
        <w:t>1</w:t>
      </w:r>
      <w:r>
        <w:rPr>
          <w:color w:val="000000"/>
          <w:lang w:val="fr-CH"/>
        </w:rPr>
        <w:t> </w:t>
      </w:r>
      <w:r w:rsidRPr="00D670F2">
        <w:rPr>
          <w:color w:val="000000"/>
          <w:lang w:val="fr-CH"/>
        </w:rPr>
        <w:t>août</w:t>
      </w:r>
      <w:r>
        <w:rPr>
          <w:color w:val="000000"/>
          <w:lang w:val="fr-CH"/>
        </w:rPr>
        <w:t> </w:t>
      </w:r>
      <w:r w:rsidRPr="00D670F2">
        <w:rPr>
          <w:color w:val="000000"/>
          <w:lang w:val="fr-CH"/>
        </w:rPr>
        <w:t>20</w:t>
      </w:r>
      <w:r w:rsidR="00D670F2" w:rsidRPr="00D670F2">
        <w:rPr>
          <w:color w:val="000000"/>
          <w:lang w:val="fr-CH"/>
        </w:rPr>
        <w:t>20</w:t>
      </w:r>
    </w:p>
    <w:p w:rsidR="00A4614B" w:rsidRDefault="00D670F2" w:rsidP="00D670F2">
      <w:pPr>
        <w:tabs>
          <w:tab w:val="left" w:pos="1985"/>
        </w:tabs>
        <w:spacing w:before="60"/>
        <w:ind w:left="567"/>
        <w:rPr>
          <w:lang w:val="fr-CH"/>
        </w:rPr>
      </w:pPr>
      <w:r w:rsidRPr="00D670F2">
        <w:rPr>
          <w:color w:val="000000"/>
          <w:lang w:val="fr-CH"/>
        </w:rPr>
        <w:t>Appendice I</w:t>
      </w:r>
      <w:r w:rsidR="000970A8">
        <w:rPr>
          <w:color w:val="000000"/>
          <w:lang w:val="fr-CH"/>
        </w:rPr>
        <w:t> :</w:t>
      </w:r>
      <w:r w:rsidR="00A62B33">
        <w:rPr>
          <w:color w:val="000000"/>
          <w:lang w:val="fr-CH"/>
        </w:rPr>
        <w:t xml:space="preserve"> </w:t>
      </w:r>
      <w:r w:rsidRPr="00D670F2">
        <w:rPr>
          <w:color w:val="000000"/>
          <w:lang w:val="fr-CH"/>
        </w:rPr>
        <w:tab/>
        <w:t>Observations de l</w:t>
      </w:r>
      <w:r w:rsidR="000970A8">
        <w:rPr>
          <w:color w:val="000000"/>
          <w:lang w:val="fr-CH"/>
        </w:rPr>
        <w:t>’</w:t>
      </w:r>
      <w:r w:rsidRPr="00D670F2">
        <w:rPr>
          <w:color w:val="000000"/>
          <w:lang w:val="fr-CH"/>
        </w:rPr>
        <w:t>Union européenne</w:t>
      </w:r>
    </w:p>
    <w:p w:rsidR="00A4614B" w:rsidRDefault="00D670F2" w:rsidP="00D670F2">
      <w:pPr>
        <w:tabs>
          <w:tab w:val="left" w:pos="1985"/>
        </w:tabs>
        <w:spacing w:before="60"/>
        <w:ind w:left="567"/>
        <w:rPr>
          <w:lang w:val="fr-CH"/>
        </w:rPr>
      </w:pPr>
      <w:r w:rsidRPr="00D670F2">
        <w:rPr>
          <w:color w:val="000000"/>
          <w:lang w:val="fr-CH"/>
        </w:rPr>
        <w:t>Appendice</w:t>
      </w:r>
      <w:r w:rsidR="00EE25CC">
        <w:rPr>
          <w:color w:val="000000"/>
          <w:lang w:val="fr-CH"/>
        </w:rPr>
        <w:t> </w:t>
      </w:r>
      <w:r w:rsidRPr="00D670F2">
        <w:rPr>
          <w:color w:val="000000"/>
          <w:lang w:val="fr-CH"/>
        </w:rPr>
        <w:t>II</w:t>
      </w:r>
      <w:r w:rsidR="000970A8">
        <w:rPr>
          <w:color w:val="000000"/>
          <w:lang w:val="fr-CH"/>
        </w:rPr>
        <w:t> :</w:t>
      </w:r>
      <w:r w:rsidR="00A62B33">
        <w:rPr>
          <w:color w:val="000000"/>
          <w:lang w:val="fr-CH"/>
        </w:rPr>
        <w:t xml:space="preserve"> </w:t>
      </w:r>
      <w:r w:rsidRPr="00D670F2">
        <w:rPr>
          <w:color w:val="000000"/>
          <w:lang w:val="fr-CH"/>
        </w:rPr>
        <w:tab/>
        <w:t xml:space="preserve">Observations </w:t>
      </w:r>
      <w:r w:rsidR="00700B2A" w:rsidRPr="00700B2A">
        <w:rPr>
          <w:spacing w:val="-2"/>
          <w:lang w:val="fr-CH"/>
        </w:rPr>
        <w:t>d’</w:t>
      </w:r>
      <w:proofErr w:type="spellStart"/>
      <w:r w:rsidR="00700B2A" w:rsidRPr="00700B2A">
        <w:rPr>
          <w:i/>
          <w:spacing w:val="-2"/>
          <w:lang w:val="fr-CH"/>
        </w:rPr>
        <w:t>Euroseeds</w:t>
      </w:r>
      <w:proofErr w:type="spellEnd"/>
    </w:p>
    <w:p w:rsidR="00A4614B" w:rsidRDefault="00D670F2" w:rsidP="00D670F2">
      <w:pPr>
        <w:tabs>
          <w:tab w:val="left" w:pos="1985"/>
        </w:tabs>
        <w:spacing w:before="60"/>
        <w:ind w:left="1985" w:hanging="1418"/>
        <w:rPr>
          <w:lang w:val="fr-CH"/>
        </w:rPr>
      </w:pPr>
      <w:r w:rsidRPr="00D670F2">
        <w:rPr>
          <w:color w:val="000000"/>
          <w:lang w:val="fr-CH"/>
        </w:rPr>
        <w:t>Appendice</w:t>
      </w:r>
      <w:r w:rsidR="00EE25CC">
        <w:rPr>
          <w:color w:val="000000"/>
          <w:lang w:val="fr-CH"/>
        </w:rPr>
        <w:t> </w:t>
      </w:r>
      <w:r w:rsidRPr="00D670F2">
        <w:rPr>
          <w:color w:val="000000"/>
          <w:lang w:val="fr-CH"/>
        </w:rPr>
        <w:t>III</w:t>
      </w:r>
      <w:r w:rsidR="000970A8">
        <w:rPr>
          <w:color w:val="000000"/>
          <w:lang w:val="fr-CH"/>
        </w:rPr>
        <w:t> :</w:t>
      </w:r>
      <w:r w:rsidR="00A62B33">
        <w:rPr>
          <w:color w:val="000000"/>
          <w:lang w:val="fr-CH"/>
        </w:rPr>
        <w:t xml:space="preserve"> </w:t>
      </w:r>
      <w:r w:rsidRPr="00D670F2">
        <w:rPr>
          <w:color w:val="000000"/>
          <w:lang w:val="fr-CH"/>
        </w:rPr>
        <w:tab/>
        <w:t xml:space="preserve">Observations conjointes </w:t>
      </w:r>
      <w:r w:rsidRPr="00257C2B">
        <w:rPr>
          <w:lang w:val="fr-CH"/>
        </w:rPr>
        <w:t xml:space="preserve">de </w:t>
      </w:r>
      <w:r w:rsidRPr="00700B2A">
        <w:rPr>
          <w:lang w:val="fr-CH"/>
        </w:rPr>
        <w:t>l</w:t>
      </w:r>
      <w:r w:rsidR="000970A8" w:rsidRPr="00700B2A">
        <w:rPr>
          <w:lang w:val="fr-CH"/>
        </w:rPr>
        <w:t>’</w:t>
      </w:r>
      <w:r w:rsidRPr="00700B2A">
        <w:rPr>
          <w:i/>
          <w:lang w:val="fr-CH"/>
        </w:rPr>
        <w:t xml:space="preserve">International </w:t>
      </w:r>
      <w:proofErr w:type="spellStart"/>
      <w:r w:rsidRPr="00700B2A">
        <w:rPr>
          <w:i/>
          <w:lang w:val="fr-CH"/>
        </w:rPr>
        <w:t>Seed</w:t>
      </w:r>
      <w:proofErr w:type="spellEnd"/>
      <w:r w:rsidRPr="00700B2A">
        <w:rPr>
          <w:i/>
          <w:lang w:val="fr-CH"/>
        </w:rPr>
        <w:t xml:space="preserve"> </w:t>
      </w:r>
      <w:proofErr w:type="spellStart"/>
      <w:r w:rsidRPr="00700B2A">
        <w:rPr>
          <w:i/>
          <w:lang w:val="fr-CH"/>
        </w:rPr>
        <w:t>Federation</w:t>
      </w:r>
      <w:proofErr w:type="spellEnd"/>
      <w:r w:rsidRPr="00257C2B">
        <w:rPr>
          <w:lang w:val="fr-CH"/>
        </w:rPr>
        <w:t xml:space="preserve"> (ISF), de l</w:t>
      </w:r>
      <w:r w:rsidR="000970A8">
        <w:rPr>
          <w:lang w:val="fr-CH"/>
        </w:rPr>
        <w:t>’</w:t>
      </w:r>
      <w:r w:rsidRPr="00257C2B">
        <w:rPr>
          <w:lang w:val="fr-CH"/>
        </w:rPr>
        <w:t>Association africaine du commerce des semences (AFSTA), de l</w:t>
      </w:r>
      <w:r w:rsidR="000970A8">
        <w:rPr>
          <w:lang w:val="fr-CH"/>
        </w:rPr>
        <w:t>’</w:t>
      </w:r>
      <w:r w:rsidRPr="00257C2B">
        <w:rPr>
          <w:lang w:val="fr-CH"/>
        </w:rPr>
        <w:t>Association de semenciers d</w:t>
      </w:r>
      <w:r w:rsidR="000970A8">
        <w:rPr>
          <w:lang w:val="fr-CH"/>
        </w:rPr>
        <w:t>’</w:t>
      </w:r>
      <w:r w:rsidRPr="00257C2B">
        <w:rPr>
          <w:lang w:val="fr-CH"/>
        </w:rPr>
        <w:t xml:space="preserve">Asie et du Pacifique (APSA) et de la </w:t>
      </w:r>
      <w:proofErr w:type="spellStart"/>
      <w:r w:rsidRPr="00AD17A6">
        <w:rPr>
          <w:i/>
          <w:lang w:val="fr-CH"/>
        </w:rPr>
        <w:t>Seed</w:t>
      </w:r>
      <w:proofErr w:type="spellEnd"/>
      <w:r w:rsidRPr="00AD17A6">
        <w:rPr>
          <w:i/>
          <w:lang w:val="fr-CH"/>
        </w:rPr>
        <w:t xml:space="preserve"> Association of the </w:t>
      </w:r>
      <w:proofErr w:type="spellStart"/>
      <w:r w:rsidRPr="00AD17A6">
        <w:rPr>
          <w:i/>
          <w:lang w:val="fr-CH"/>
        </w:rPr>
        <w:t>Americas</w:t>
      </w:r>
      <w:proofErr w:type="spellEnd"/>
      <w:r w:rsidRPr="00257C2B">
        <w:rPr>
          <w:lang w:val="fr-CH"/>
        </w:rPr>
        <w:t xml:space="preserve"> (SAA)</w:t>
      </w:r>
    </w:p>
    <w:p w:rsidR="00A4614B" w:rsidRPr="003A768F" w:rsidRDefault="00A4614B" w:rsidP="003A768F"/>
    <w:p w:rsidR="00A4614B" w:rsidRPr="003A768F" w:rsidRDefault="00A4614B" w:rsidP="003A768F"/>
    <w:p w:rsidR="00A4614B" w:rsidRPr="003A768F" w:rsidRDefault="00A4614B" w:rsidP="003A768F"/>
    <w:p w:rsidR="00A4614B" w:rsidRPr="007145E5" w:rsidRDefault="00E10BC4" w:rsidP="007145E5">
      <w:pPr>
        <w:pStyle w:val="Heading1"/>
      </w:pPr>
      <w:bookmarkStart w:id="3" w:name="_Toc55924361"/>
      <w:r w:rsidRPr="007145E5">
        <w:t>Informations générales</w:t>
      </w:r>
      <w:bookmarkEnd w:id="3"/>
    </w:p>
    <w:p w:rsidR="00A4614B" w:rsidRDefault="00A4614B" w:rsidP="0045397F">
      <w:pPr>
        <w:keepLines/>
        <w:rPr>
          <w:lang w:val="fr-CH"/>
        </w:rPr>
      </w:pPr>
    </w:p>
    <w:p w:rsidR="00A4614B" w:rsidRDefault="004823C4" w:rsidP="0045397F">
      <w:pPr>
        <w:keepLines/>
        <w:rPr>
          <w:rFonts w:cs="Arial"/>
          <w:lang w:val="fr-CH"/>
        </w:rPr>
      </w:pPr>
      <w:r w:rsidRPr="00257C2B">
        <w:rPr>
          <w:rFonts w:cs="Arial"/>
        </w:rPr>
        <w:fldChar w:fldCharType="begin"/>
      </w:r>
      <w:r w:rsidRPr="00257C2B">
        <w:rPr>
          <w:rFonts w:cs="Arial"/>
          <w:lang w:val="fr-CH"/>
        </w:rPr>
        <w:instrText xml:space="preserve"> AUTONUM  </w:instrText>
      </w:r>
      <w:r w:rsidRPr="00257C2B">
        <w:rPr>
          <w:rFonts w:cs="Arial"/>
        </w:rPr>
        <w:fldChar w:fldCharType="end"/>
      </w:r>
      <w:r w:rsidRPr="00257C2B">
        <w:rPr>
          <w:rFonts w:cs="Arial"/>
          <w:lang w:val="fr-CH"/>
        </w:rPr>
        <w:tab/>
      </w:r>
      <w:r w:rsidR="00E10BC4" w:rsidRPr="00257C2B">
        <w:rPr>
          <w:rFonts w:cs="Arial"/>
          <w:lang w:val="fr-CH"/>
        </w:rPr>
        <w:t>Conformément à la circulaire</w:t>
      </w:r>
      <w:r w:rsidR="00EE25CC" w:rsidRPr="00257C2B">
        <w:rPr>
          <w:rFonts w:cs="Arial"/>
          <w:lang w:val="fr-CH"/>
        </w:rPr>
        <w:t> </w:t>
      </w:r>
      <w:r w:rsidR="00E10BC4" w:rsidRPr="00257C2B">
        <w:rPr>
          <w:rFonts w:cs="Arial"/>
          <w:lang w:val="fr-CH"/>
        </w:rPr>
        <w:t>E</w:t>
      </w:r>
      <w:r w:rsidR="00945DBD">
        <w:rPr>
          <w:rFonts w:cs="Arial"/>
          <w:lang w:val="fr-CH"/>
        </w:rPr>
        <w:noBreakHyphen/>
      </w:r>
      <w:r w:rsidR="00E10BC4" w:rsidRPr="00257C2B">
        <w:rPr>
          <w:rFonts w:cs="Arial"/>
          <w:lang w:val="fr-CH"/>
        </w:rPr>
        <w:t>20/094 du 2</w:t>
      </w:r>
      <w:r w:rsidR="00165F29" w:rsidRPr="00257C2B">
        <w:rPr>
          <w:rFonts w:cs="Arial"/>
          <w:lang w:val="fr-CH"/>
        </w:rPr>
        <w:t>3 juillet 20</w:t>
      </w:r>
      <w:r w:rsidR="00E10BC4" w:rsidRPr="00257C2B">
        <w:rPr>
          <w:rFonts w:cs="Arial"/>
          <w:lang w:val="fr-CH"/>
        </w:rPr>
        <w:t xml:space="preserve">20 (disponible sur la </w:t>
      </w:r>
      <w:r w:rsidR="00165F29" w:rsidRPr="00257C2B">
        <w:rPr>
          <w:rFonts w:cs="Arial"/>
          <w:lang w:val="fr-CH"/>
        </w:rPr>
        <w:t>page W</w:t>
      </w:r>
      <w:r w:rsidR="00E10BC4" w:rsidRPr="00257C2B">
        <w:rPr>
          <w:rFonts w:cs="Arial"/>
          <w:lang w:val="fr-CH"/>
        </w:rPr>
        <w:t xml:space="preserve">eb de la </w:t>
      </w:r>
      <w:hyperlink r:id="rId9" w:history="1">
        <w:r w:rsidR="00E10BC4" w:rsidRPr="00E10BC4">
          <w:rPr>
            <w:rStyle w:val="Hyperlink"/>
            <w:rFonts w:cs="Arial"/>
          </w:rPr>
          <w:t>soixante</w:t>
        </w:r>
        <w:r w:rsidR="003A768F">
          <w:rPr>
            <w:rStyle w:val="Hyperlink"/>
            <w:rFonts w:cs="Arial"/>
          </w:rPr>
          <w:noBreakHyphen/>
        </w:r>
        <w:r w:rsidR="00E10BC4" w:rsidRPr="00E10BC4">
          <w:rPr>
            <w:rStyle w:val="Hyperlink"/>
            <w:rFonts w:cs="Arial"/>
          </w:rPr>
          <w:t>dix</w:t>
        </w:r>
        <w:r w:rsidR="003A768F">
          <w:rPr>
            <w:rStyle w:val="Hyperlink"/>
            <w:rFonts w:cs="Arial"/>
          </w:rPr>
          <w:noBreakHyphen/>
        </w:r>
        <w:r w:rsidR="00E10BC4" w:rsidRPr="00E10BC4">
          <w:rPr>
            <w:rStyle w:val="Hyperlink"/>
            <w:rFonts w:cs="Arial"/>
          </w:rPr>
          <w:t>sept</w:t>
        </w:r>
        <w:r w:rsidR="000970A8">
          <w:rPr>
            <w:rStyle w:val="Hyperlink"/>
            <w:rFonts w:cs="Arial"/>
          </w:rPr>
          <w:t>ième session</w:t>
        </w:r>
        <w:r w:rsidR="00165F29" w:rsidRPr="00E10BC4">
          <w:rPr>
            <w:rStyle w:val="Hyperlink"/>
            <w:rFonts w:cs="Arial"/>
          </w:rPr>
          <w:t xml:space="preserve"> du</w:t>
        </w:r>
        <w:r w:rsidR="00165F29">
          <w:rPr>
            <w:rStyle w:val="Hyperlink"/>
            <w:rFonts w:cs="Arial"/>
          </w:rPr>
          <w:t> </w:t>
        </w:r>
        <w:r w:rsidR="00165F29" w:rsidRPr="00E10BC4">
          <w:rPr>
            <w:rStyle w:val="Hyperlink"/>
            <w:rFonts w:cs="Arial"/>
          </w:rPr>
          <w:t>CAJ</w:t>
        </w:r>
      </w:hyperlink>
      <w:r w:rsidR="00E10BC4" w:rsidRPr="00257C2B">
        <w:rPr>
          <w:rFonts w:cs="Arial"/>
          <w:lang w:val="fr-CH"/>
        </w:rPr>
        <w:t>), le Conseil a décidé que les sessions de l</w:t>
      </w:r>
      <w:r w:rsidR="000970A8">
        <w:rPr>
          <w:rFonts w:cs="Arial"/>
          <w:lang w:val="fr-CH"/>
        </w:rPr>
        <w:t>’</w:t>
      </w:r>
      <w:r w:rsidR="00E10BC4" w:rsidRPr="00257C2B">
        <w:rPr>
          <w:rFonts w:cs="Arial"/>
          <w:lang w:val="fr-CH"/>
        </w:rPr>
        <w:t>UPOV d</w:t>
      </w:r>
      <w:r w:rsidR="000970A8">
        <w:rPr>
          <w:rFonts w:cs="Arial"/>
          <w:lang w:val="fr-CH"/>
        </w:rPr>
        <w:t>’</w:t>
      </w:r>
      <w:r w:rsidR="00165F29" w:rsidRPr="00257C2B">
        <w:rPr>
          <w:rFonts w:cs="Arial"/>
          <w:lang w:val="fr-CH"/>
        </w:rPr>
        <w:t>octobre 20</w:t>
      </w:r>
      <w:r w:rsidR="00E10BC4" w:rsidRPr="00257C2B">
        <w:rPr>
          <w:rFonts w:cs="Arial"/>
          <w:lang w:val="fr-CH"/>
        </w:rPr>
        <w:t>20 se tiendraient sous la forme de réunions virtuelles, avec examen préalable de documents par correspondance.</w:t>
      </w:r>
    </w:p>
    <w:p w:rsidR="00A4614B" w:rsidRPr="003A768F" w:rsidRDefault="00A4614B" w:rsidP="003A768F"/>
    <w:p w:rsidR="00A4614B" w:rsidRDefault="004823C4" w:rsidP="0045397F">
      <w:pPr>
        <w:keepNext/>
        <w:keepLines/>
        <w:rPr>
          <w:rFonts w:cs="Arial"/>
          <w:lang w:val="fr-CH"/>
        </w:rPr>
      </w:pPr>
      <w:r w:rsidRPr="00157E95">
        <w:rPr>
          <w:rFonts w:cs="Arial"/>
        </w:rPr>
        <w:lastRenderedPageBreak/>
        <w:fldChar w:fldCharType="begin"/>
      </w:r>
      <w:r w:rsidRPr="00E10BC4">
        <w:rPr>
          <w:rFonts w:cs="Arial"/>
          <w:lang w:val="fr-CH"/>
        </w:rPr>
        <w:instrText xml:space="preserve"> AUTONUM  </w:instrText>
      </w:r>
      <w:r w:rsidRPr="00157E95">
        <w:rPr>
          <w:rFonts w:cs="Arial"/>
        </w:rPr>
        <w:fldChar w:fldCharType="end"/>
      </w:r>
      <w:r w:rsidRPr="00E10BC4">
        <w:rPr>
          <w:rFonts w:cs="Arial"/>
          <w:lang w:val="fr-CH"/>
        </w:rPr>
        <w:tab/>
      </w:r>
      <w:r w:rsidR="00E10BC4" w:rsidRPr="00F12B5A">
        <w:rPr>
          <w:rFonts w:cs="Arial"/>
          <w:lang w:val="fr-CH"/>
        </w:rPr>
        <w:t>La circulaire</w:t>
      </w:r>
      <w:r w:rsidR="00EE25CC" w:rsidRPr="00F12B5A">
        <w:rPr>
          <w:rFonts w:cs="Arial"/>
          <w:lang w:val="fr-CH"/>
        </w:rPr>
        <w:t> </w:t>
      </w:r>
      <w:r w:rsidR="00E10BC4" w:rsidRPr="00F12B5A">
        <w:rPr>
          <w:rFonts w:cs="Arial"/>
          <w:lang w:val="fr-CH"/>
        </w:rPr>
        <w:t>E</w:t>
      </w:r>
      <w:r w:rsidR="00945DBD">
        <w:rPr>
          <w:rFonts w:cs="Arial"/>
          <w:lang w:val="fr-CH"/>
        </w:rPr>
        <w:noBreakHyphen/>
      </w:r>
      <w:r w:rsidR="00E10BC4" w:rsidRPr="00F12B5A">
        <w:rPr>
          <w:rFonts w:cs="Arial"/>
          <w:lang w:val="fr-CH"/>
        </w:rPr>
        <w:t>20/120 du 2</w:t>
      </w:r>
      <w:r w:rsidR="00165F29" w:rsidRPr="00F12B5A">
        <w:rPr>
          <w:rFonts w:cs="Arial"/>
          <w:lang w:val="fr-CH"/>
        </w:rPr>
        <w:t>1 août 20</w:t>
      </w:r>
      <w:r w:rsidR="00E10BC4" w:rsidRPr="00F12B5A">
        <w:rPr>
          <w:rFonts w:cs="Arial"/>
          <w:lang w:val="fr-CH"/>
        </w:rPr>
        <w:t>20 recensait les documents ci</w:t>
      </w:r>
      <w:r w:rsidR="00945DBD">
        <w:rPr>
          <w:rFonts w:cs="Arial"/>
          <w:lang w:val="fr-CH"/>
        </w:rPr>
        <w:noBreakHyphen/>
      </w:r>
      <w:r w:rsidR="00E10BC4" w:rsidRPr="00F12B5A">
        <w:rPr>
          <w:rFonts w:cs="Arial"/>
          <w:lang w:val="fr-CH"/>
        </w:rPr>
        <w:t>après pour la procédure par correspondance et prévoyait la possibilité de formuler des observations avant le 2</w:t>
      </w:r>
      <w:r w:rsidR="00165F29" w:rsidRPr="00F12B5A">
        <w:rPr>
          <w:rFonts w:cs="Arial"/>
          <w:lang w:val="fr-CH"/>
        </w:rPr>
        <w:t>1 septembre 20</w:t>
      </w:r>
      <w:r w:rsidR="00E10BC4" w:rsidRPr="00F12B5A">
        <w:rPr>
          <w:rFonts w:cs="Arial"/>
          <w:lang w:val="fr-CH"/>
        </w:rPr>
        <w:t>20, avant les demandes d</w:t>
      </w:r>
      <w:r w:rsidR="000970A8">
        <w:rPr>
          <w:rFonts w:cs="Arial"/>
          <w:lang w:val="fr-CH"/>
        </w:rPr>
        <w:t>’</w:t>
      </w:r>
      <w:r w:rsidR="00E10BC4" w:rsidRPr="00F12B5A">
        <w:rPr>
          <w:rFonts w:cs="Arial"/>
          <w:lang w:val="fr-CH"/>
        </w:rPr>
        <w:t>approbation des décisions proposées dans les documents, le cas échéant</w:t>
      </w:r>
      <w:r w:rsidR="000970A8">
        <w:rPr>
          <w:rFonts w:cs="Arial"/>
          <w:lang w:val="fr-CH"/>
        </w:rPr>
        <w:t> :</w:t>
      </w:r>
    </w:p>
    <w:p w:rsidR="00A4614B" w:rsidRDefault="00E10BC4" w:rsidP="00E10BC4">
      <w:pPr>
        <w:pStyle w:val="ListParagraph"/>
        <w:keepNext/>
        <w:spacing w:before="120" w:after="60"/>
        <w:ind w:left="567"/>
        <w:contextualSpacing w:val="0"/>
        <w:rPr>
          <w:lang w:val="fr-CH"/>
        </w:rPr>
      </w:pPr>
      <w:r w:rsidRPr="00F12B5A">
        <w:rPr>
          <w:lang w:val="fr-CH"/>
        </w:rPr>
        <w:t>Élaboration de documents d</w:t>
      </w:r>
      <w:r w:rsidR="000970A8">
        <w:rPr>
          <w:lang w:val="fr-CH"/>
        </w:rPr>
        <w:t>’</w:t>
      </w:r>
      <w:r w:rsidRPr="00F12B5A">
        <w:rPr>
          <w:lang w:val="fr-CH"/>
        </w:rPr>
        <w:t>orientation et d</w:t>
      </w:r>
      <w:r w:rsidR="000970A8">
        <w:rPr>
          <w:lang w:val="fr-CH"/>
        </w:rPr>
        <w:t>’</w:t>
      </w:r>
      <w:r w:rsidRPr="00F12B5A">
        <w:rPr>
          <w:lang w:val="fr-CH"/>
        </w:rPr>
        <w:t>information (</w:t>
      </w:r>
      <w:r w:rsidR="00875470" w:rsidRPr="00F12B5A">
        <w:rPr>
          <w:lang w:val="fr-CH"/>
        </w:rPr>
        <w:t>document</w:t>
      </w:r>
      <w:r w:rsidR="00875470">
        <w:rPr>
          <w:lang w:val="fr-CH"/>
        </w:rPr>
        <w:t xml:space="preserve"> </w:t>
      </w:r>
      <w:r w:rsidR="00875470" w:rsidRPr="00F12B5A">
        <w:rPr>
          <w:lang w:val="fr-CH"/>
        </w:rPr>
        <w:t>CA</w:t>
      </w:r>
      <w:r w:rsidRPr="00F12B5A">
        <w:rPr>
          <w:lang w:val="fr-CH"/>
        </w:rPr>
        <w:t>J/77/3)</w:t>
      </w:r>
    </w:p>
    <w:p w:rsidR="00A4614B" w:rsidRDefault="00E10BC4" w:rsidP="00E10BC4">
      <w:pPr>
        <w:pStyle w:val="ListParagraph"/>
        <w:keepNext/>
        <w:spacing w:after="60"/>
        <w:ind w:left="2835" w:hanging="1701"/>
        <w:contextualSpacing w:val="0"/>
        <w:rPr>
          <w:rFonts w:cs="Angsana New"/>
          <w:szCs w:val="24"/>
          <w:lang w:val="fr-CH" w:eastAsia="ja-JP" w:bidi="th-TH"/>
        </w:rPr>
      </w:pPr>
      <w:r w:rsidRPr="00F12B5A">
        <w:rPr>
          <w:rFonts w:cs="Angsana New"/>
          <w:szCs w:val="24"/>
          <w:lang w:val="fr-CH" w:eastAsia="ja-JP" w:bidi="th-TH"/>
        </w:rPr>
        <w:t>UPOV/INF/16</w:t>
      </w:r>
      <w:r w:rsidRPr="00F12B5A">
        <w:rPr>
          <w:rFonts w:cs="Angsana New"/>
          <w:szCs w:val="24"/>
          <w:lang w:val="fr-CH" w:eastAsia="ja-JP" w:bidi="th-TH"/>
        </w:rPr>
        <w:tab/>
        <w:t>Logiciels échangeables (révision) (</w:t>
      </w:r>
      <w:r w:rsidR="00875470" w:rsidRPr="00F12B5A">
        <w:rPr>
          <w:rFonts w:cs="Angsana New"/>
          <w:szCs w:val="24"/>
          <w:lang w:val="fr-CH" w:eastAsia="ja-JP" w:bidi="th-TH"/>
        </w:rPr>
        <w:t>document</w:t>
      </w:r>
      <w:r w:rsidR="00875470">
        <w:rPr>
          <w:rFonts w:cs="Angsana New"/>
          <w:szCs w:val="24"/>
          <w:lang w:val="fr-CH" w:eastAsia="ja-JP" w:bidi="th-TH"/>
        </w:rPr>
        <w:t xml:space="preserve"> </w:t>
      </w:r>
      <w:r w:rsidR="00875470" w:rsidRPr="00F12B5A">
        <w:rPr>
          <w:rFonts w:cs="Angsana New"/>
          <w:szCs w:val="24"/>
          <w:lang w:val="fr-CH" w:eastAsia="ja-JP" w:bidi="th-TH"/>
        </w:rPr>
        <w:t>UP</w:t>
      </w:r>
      <w:r w:rsidRPr="00F12B5A">
        <w:rPr>
          <w:rFonts w:cs="Angsana New"/>
          <w:szCs w:val="24"/>
          <w:lang w:val="fr-CH" w:eastAsia="ja-JP" w:bidi="th-TH"/>
        </w:rPr>
        <w:t xml:space="preserve">OV/INF/16/9 </w:t>
      </w:r>
      <w:proofErr w:type="spellStart"/>
      <w:r w:rsidRPr="00F12B5A">
        <w:rPr>
          <w:rFonts w:cs="Angsana New"/>
          <w:szCs w:val="24"/>
          <w:lang w:val="fr-CH" w:eastAsia="ja-JP" w:bidi="th-TH"/>
        </w:rPr>
        <w:t>Draft</w:t>
      </w:r>
      <w:proofErr w:type="spellEnd"/>
      <w:r w:rsidR="00EE25CC" w:rsidRPr="00F12B5A">
        <w:rPr>
          <w:rFonts w:cs="Angsana New"/>
          <w:szCs w:val="24"/>
          <w:lang w:val="fr-CH" w:eastAsia="ja-JP" w:bidi="th-TH"/>
        </w:rPr>
        <w:t> </w:t>
      </w:r>
      <w:r w:rsidRPr="00F12B5A">
        <w:rPr>
          <w:rFonts w:cs="Angsana New"/>
          <w:szCs w:val="24"/>
          <w:lang w:val="fr-CH" w:eastAsia="ja-JP" w:bidi="th-TH"/>
        </w:rPr>
        <w:t>1)</w:t>
      </w:r>
    </w:p>
    <w:p w:rsidR="00A4614B" w:rsidRDefault="00E10BC4" w:rsidP="00E10BC4">
      <w:pPr>
        <w:pStyle w:val="ListParagraph"/>
        <w:keepNext/>
        <w:spacing w:after="60"/>
        <w:ind w:left="2835" w:hanging="1701"/>
        <w:contextualSpacing w:val="0"/>
        <w:rPr>
          <w:rFonts w:cs="Angsana New"/>
          <w:szCs w:val="24"/>
          <w:lang w:val="fr-CH" w:eastAsia="ja-JP" w:bidi="th-TH"/>
        </w:rPr>
      </w:pPr>
      <w:r w:rsidRPr="00F12B5A">
        <w:rPr>
          <w:rFonts w:cs="Angsana New"/>
          <w:szCs w:val="24"/>
          <w:lang w:val="fr-CH" w:eastAsia="ja-JP" w:bidi="th-TH"/>
        </w:rPr>
        <w:t xml:space="preserve">UPOV/INF/22 </w:t>
      </w:r>
      <w:r w:rsidRPr="00F12B5A">
        <w:rPr>
          <w:rFonts w:cs="Angsana New"/>
          <w:szCs w:val="24"/>
          <w:lang w:val="fr-CH" w:eastAsia="ja-JP" w:bidi="th-TH"/>
        </w:rPr>
        <w:tab/>
        <w:t>Logiciels et équipements utilisés par les membres de l</w:t>
      </w:r>
      <w:r w:rsidR="000970A8">
        <w:rPr>
          <w:rFonts w:cs="Angsana New"/>
          <w:szCs w:val="24"/>
          <w:lang w:val="fr-CH" w:eastAsia="ja-JP" w:bidi="th-TH"/>
        </w:rPr>
        <w:t>’</w:t>
      </w:r>
      <w:r w:rsidRPr="00F12B5A">
        <w:rPr>
          <w:rFonts w:cs="Angsana New"/>
          <w:szCs w:val="24"/>
          <w:lang w:val="fr-CH" w:eastAsia="ja-JP" w:bidi="th-TH"/>
        </w:rPr>
        <w:t>Union (révision) (</w:t>
      </w:r>
      <w:r w:rsidR="00875470" w:rsidRPr="00F12B5A">
        <w:rPr>
          <w:rFonts w:cs="Angsana New"/>
          <w:szCs w:val="24"/>
          <w:lang w:val="fr-CH" w:eastAsia="ja-JP" w:bidi="th-TH"/>
        </w:rPr>
        <w:t>document</w:t>
      </w:r>
      <w:r w:rsidR="00875470">
        <w:rPr>
          <w:rFonts w:cs="Angsana New"/>
          <w:szCs w:val="24"/>
          <w:lang w:val="fr-CH" w:eastAsia="ja-JP" w:bidi="th-TH"/>
        </w:rPr>
        <w:t xml:space="preserve"> </w:t>
      </w:r>
      <w:r w:rsidR="00875470" w:rsidRPr="00F12B5A">
        <w:rPr>
          <w:rFonts w:cs="Angsana New"/>
          <w:szCs w:val="24"/>
          <w:lang w:val="fr-CH" w:eastAsia="ja-JP" w:bidi="th-TH"/>
        </w:rPr>
        <w:t>UP</w:t>
      </w:r>
      <w:r w:rsidRPr="00F12B5A">
        <w:rPr>
          <w:rFonts w:cs="Angsana New"/>
          <w:szCs w:val="24"/>
          <w:lang w:val="fr-CH" w:eastAsia="ja-JP" w:bidi="th-TH"/>
        </w:rPr>
        <w:t xml:space="preserve">OV/INF/22/7 </w:t>
      </w:r>
      <w:proofErr w:type="spellStart"/>
      <w:r w:rsidRPr="00F12B5A">
        <w:rPr>
          <w:rFonts w:cs="Angsana New"/>
          <w:szCs w:val="24"/>
          <w:lang w:val="fr-CH" w:eastAsia="ja-JP" w:bidi="th-TH"/>
        </w:rPr>
        <w:t>Draft</w:t>
      </w:r>
      <w:proofErr w:type="spellEnd"/>
      <w:r w:rsidR="00EE25CC" w:rsidRPr="00F12B5A">
        <w:rPr>
          <w:rFonts w:cs="Angsana New"/>
          <w:szCs w:val="24"/>
          <w:lang w:val="fr-CH" w:eastAsia="ja-JP" w:bidi="th-TH"/>
        </w:rPr>
        <w:t> </w:t>
      </w:r>
      <w:r w:rsidRPr="00F12B5A">
        <w:rPr>
          <w:rFonts w:cs="Angsana New"/>
          <w:szCs w:val="24"/>
          <w:lang w:val="fr-CH" w:eastAsia="ja-JP" w:bidi="th-TH"/>
        </w:rPr>
        <w:t>1)</w:t>
      </w:r>
    </w:p>
    <w:p w:rsidR="00A4614B" w:rsidRDefault="00E10BC4" w:rsidP="00E10BC4">
      <w:pPr>
        <w:pStyle w:val="ListParagraph"/>
        <w:keepNext/>
        <w:spacing w:after="60"/>
        <w:ind w:left="2835" w:hanging="1701"/>
        <w:contextualSpacing w:val="0"/>
        <w:rPr>
          <w:rFonts w:cs="Angsana New"/>
          <w:szCs w:val="24"/>
          <w:lang w:val="fr-CH" w:eastAsia="ja-JP" w:bidi="th-TH"/>
        </w:rPr>
      </w:pPr>
      <w:r w:rsidRPr="00F12B5A">
        <w:rPr>
          <w:rFonts w:cs="Angsana New"/>
          <w:szCs w:val="24"/>
          <w:lang w:val="fr-CH" w:eastAsia="ja-JP" w:bidi="th-TH"/>
        </w:rPr>
        <w:t xml:space="preserve">UPOV/INF/23 </w:t>
      </w:r>
      <w:r w:rsidR="00F12B5A">
        <w:rPr>
          <w:rFonts w:cs="Angsana New"/>
          <w:szCs w:val="24"/>
          <w:lang w:val="fr-CH" w:eastAsia="ja-JP" w:bidi="th-TH"/>
        </w:rPr>
        <w:tab/>
      </w:r>
      <w:r w:rsidRPr="00F12B5A">
        <w:rPr>
          <w:rFonts w:cs="Angsana New"/>
          <w:szCs w:val="24"/>
          <w:lang w:val="fr-CH" w:eastAsia="ja-JP" w:bidi="th-TH"/>
        </w:rPr>
        <w:t>Introduction au système de codes UPOV (</w:t>
      </w:r>
      <w:r w:rsidR="00875470" w:rsidRPr="00F12B5A">
        <w:rPr>
          <w:rFonts w:cs="Angsana New"/>
          <w:szCs w:val="24"/>
          <w:lang w:val="fr-CH" w:eastAsia="ja-JP" w:bidi="th-TH"/>
        </w:rPr>
        <w:t>document</w:t>
      </w:r>
      <w:r w:rsidR="00875470">
        <w:rPr>
          <w:rFonts w:cs="Angsana New"/>
          <w:szCs w:val="24"/>
          <w:lang w:val="fr-CH" w:eastAsia="ja-JP" w:bidi="th-TH"/>
        </w:rPr>
        <w:t xml:space="preserve"> </w:t>
      </w:r>
      <w:r w:rsidR="00875470" w:rsidRPr="00F12B5A">
        <w:rPr>
          <w:rFonts w:cs="Angsana New"/>
          <w:szCs w:val="24"/>
          <w:lang w:val="fr-CH" w:eastAsia="ja-JP" w:bidi="th-TH"/>
        </w:rPr>
        <w:t>UP</w:t>
      </w:r>
      <w:r w:rsidRPr="00F12B5A">
        <w:rPr>
          <w:rFonts w:cs="Angsana New"/>
          <w:szCs w:val="24"/>
          <w:lang w:val="fr-CH" w:eastAsia="ja-JP" w:bidi="th-TH"/>
        </w:rPr>
        <w:t xml:space="preserve">OV/INF/23/1 </w:t>
      </w:r>
      <w:proofErr w:type="spellStart"/>
      <w:r w:rsidRPr="00F12B5A">
        <w:rPr>
          <w:rFonts w:cs="Angsana New"/>
          <w:szCs w:val="24"/>
          <w:lang w:val="fr-CH" w:eastAsia="ja-JP" w:bidi="th-TH"/>
        </w:rPr>
        <w:t>Draft</w:t>
      </w:r>
      <w:proofErr w:type="spellEnd"/>
      <w:r w:rsidR="00EE25CC" w:rsidRPr="00F12B5A">
        <w:rPr>
          <w:rFonts w:cs="Angsana New"/>
          <w:szCs w:val="24"/>
          <w:lang w:val="fr-CH" w:eastAsia="ja-JP" w:bidi="th-TH"/>
        </w:rPr>
        <w:t> </w:t>
      </w:r>
      <w:r w:rsidRPr="00F12B5A">
        <w:rPr>
          <w:rFonts w:cs="Angsana New"/>
          <w:szCs w:val="24"/>
          <w:lang w:val="fr-CH" w:eastAsia="ja-JP" w:bidi="th-TH"/>
        </w:rPr>
        <w:t>1)</w:t>
      </w:r>
    </w:p>
    <w:p w:rsidR="00A4614B" w:rsidRDefault="00E10BC4" w:rsidP="00E10BC4">
      <w:pPr>
        <w:pStyle w:val="ListParagraph"/>
        <w:spacing w:after="60"/>
        <w:ind w:left="2835" w:hanging="1701"/>
        <w:contextualSpacing w:val="0"/>
        <w:rPr>
          <w:rFonts w:cs="Angsana New"/>
          <w:szCs w:val="24"/>
          <w:lang w:val="fr-CH" w:eastAsia="ja-JP" w:bidi="th-TH"/>
        </w:rPr>
      </w:pPr>
      <w:r w:rsidRPr="00F12B5A">
        <w:rPr>
          <w:rFonts w:cs="Angsana New"/>
          <w:szCs w:val="24"/>
          <w:lang w:val="fr-CH" w:eastAsia="ja-JP" w:bidi="th-TH"/>
        </w:rPr>
        <w:t>UPOV/EXN/DEN</w:t>
      </w:r>
      <w:r w:rsidRPr="00F12B5A">
        <w:rPr>
          <w:rFonts w:cs="Angsana New"/>
          <w:szCs w:val="24"/>
          <w:lang w:val="fr-CH" w:eastAsia="ja-JP" w:bidi="th-TH"/>
        </w:rPr>
        <w:tab/>
        <w:t xml:space="preserve">Notes explicatives concernant les dénominations variétales en vertu de la </w:t>
      </w:r>
      <w:r w:rsidR="000970A8">
        <w:rPr>
          <w:rFonts w:cs="Angsana New"/>
          <w:szCs w:val="24"/>
          <w:lang w:val="fr-CH" w:eastAsia="ja-JP" w:bidi="th-TH"/>
        </w:rPr>
        <w:t>Convention UPOV</w:t>
      </w:r>
      <w:r w:rsidRPr="00F12B5A">
        <w:rPr>
          <w:rFonts w:cs="Angsana New"/>
          <w:szCs w:val="24"/>
          <w:lang w:val="fr-CH" w:eastAsia="ja-JP" w:bidi="th-TH"/>
        </w:rPr>
        <w:t xml:space="preserve"> (</w:t>
      </w:r>
      <w:r w:rsidR="00875470" w:rsidRPr="00F12B5A">
        <w:rPr>
          <w:rFonts w:cs="Angsana New"/>
          <w:szCs w:val="24"/>
          <w:lang w:val="fr-CH" w:eastAsia="ja-JP" w:bidi="th-TH"/>
        </w:rPr>
        <w:t>document</w:t>
      </w:r>
      <w:r w:rsidR="00875470">
        <w:rPr>
          <w:rFonts w:cs="Angsana New"/>
          <w:szCs w:val="24"/>
          <w:lang w:val="fr-CH" w:eastAsia="ja-JP" w:bidi="th-TH"/>
        </w:rPr>
        <w:t xml:space="preserve"> </w:t>
      </w:r>
      <w:r w:rsidR="00875470" w:rsidRPr="00F12B5A">
        <w:rPr>
          <w:rFonts w:cs="Angsana New"/>
          <w:szCs w:val="24"/>
          <w:lang w:val="fr-CH" w:eastAsia="ja-JP" w:bidi="th-TH"/>
        </w:rPr>
        <w:t>UP</w:t>
      </w:r>
      <w:r w:rsidRPr="00F12B5A">
        <w:rPr>
          <w:rFonts w:cs="Angsana New"/>
          <w:szCs w:val="24"/>
          <w:lang w:val="fr-CH" w:eastAsia="ja-JP" w:bidi="th-TH"/>
        </w:rPr>
        <w:t xml:space="preserve">OV/EXN/DEN/1 </w:t>
      </w:r>
      <w:proofErr w:type="spellStart"/>
      <w:r w:rsidRPr="00F12B5A">
        <w:rPr>
          <w:rFonts w:cs="Angsana New"/>
          <w:szCs w:val="24"/>
          <w:lang w:val="fr-CH" w:eastAsia="ja-JP" w:bidi="th-TH"/>
        </w:rPr>
        <w:t>Draft</w:t>
      </w:r>
      <w:proofErr w:type="spellEnd"/>
      <w:r w:rsidR="00EE25CC" w:rsidRPr="00F12B5A">
        <w:rPr>
          <w:rFonts w:cs="Angsana New"/>
          <w:szCs w:val="24"/>
          <w:lang w:val="fr-CH" w:eastAsia="ja-JP" w:bidi="th-TH"/>
        </w:rPr>
        <w:t> </w:t>
      </w:r>
      <w:r w:rsidRPr="00F12B5A">
        <w:rPr>
          <w:rFonts w:cs="Angsana New"/>
          <w:szCs w:val="24"/>
          <w:lang w:val="fr-CH" w:eastAsia="ja-JP" w:bidi="th-TH"/>
        </w:rPr>
        <w:t>4)</w:t>
      </w:r>
    </w:p>
    <w:p w:rsidR="00A4614B" w:rsidRDefault="00E10BC4" w:rsidP="00E10BC4">
      <w:pPr>
        <w:pStyle w:val="ListParagraph"/>
        <w:spacing w:after="60"/>
        <w:ind w:left="2835" w:hanging="1701"/>
        <w:contextualSpacing w:val="0"/>
        <w:rPr>
          <w:rFonts w:cs="Angsana New"/>
          <w:szCs w:val="24"/>
          <w:lang w:val="fr-CH" w:eastAsia="ja-JP" w:bidi="th-TH"/>
        </w:rPr>
      </w:pPr>
      <w:r w:rsidRPr="00F12B5A">
        <w:rPr>
          <w:rFonts w:cs="Angsana New"/>
          <w:szCs w:val="24"/>
          <w:lang w:val="fr-CH" w:eastAsia="ja-JP" w:bidi="th-TH"/>
        </w:rPr>
        <w:t>TGP/5</w:t>
      </w:r>
      <w:r w:rsidRPr="00F12B5A">
        <w:rPr>
          <w:rFonts w:cs="Angsana New"/>
          <w:szCs w:val="24"/>
          <w:lang w:val="fr-CH" w:eastAsia="ja-JP" w:bidi="th-TH"/>
        </w:rPr>
        <w:tab/>
        <w:t>Expérience et coopération en matière d</w:t>
      </w:r>
      <w:r w:rsidR="000970A8">
        <w:rPr>
          <w:rFonts w:cs="Angsana New"/>
          <w:szCs w:val="24"/>
          <w:lang w:val="fr-CH" w:eastAsia="ja-JP" w:bidi="th-TH"/>
        </w:rPr>
        <w:t>’</w:t>
      </w:r>
      <w:r w:rsidRPr="00F12B5A">
        <w:rPr>
          <w:rFonts w:cs="Angsana New"/>
          <w:szCs w:val="24"/>
          <w:lang w:val="fr-CH" w:eastAsia="ja-JP" w:bidi="th-TH"/>
        </w:rPr>
        <w:t>examen</w:t>
      </w:r>
      <w:r w:rsidR="00073D9C" w:rsidRPr="00F12B5A">
        <w:rPr>
          <w:rFonts w:cs="Angsana New"/>
          <w:szCs w:val="24"/>
          <w:lang w:val="fr-CH" w:eastAsia="ja-JP" w:bidi="th-TH"/>
        </w:rPr>
        <w:t> </w:t>
      </w:r>
      <w:r w:rsidRPr="00F12B5A">
        <w:rPr>
          <w:rFonts w:cs="Angsana New"/>
          <w:szCs w:val="24"/>
          <w:lang w:val="fr-CH" w:eastAsia="ja-JP" w:bidi="th-TH"/>
        </w:rPr>
        <w:t xml:space="preserve">DHS, </w:t>
      </w:r>
      <w:r w:rsidR="00165F29" w:rsidRPr="00F12B5A">
        <w:rPr>
          <w:rFonts w:cs="Angsana New"/>
          <w:szCs w:val="24"/>
          <w:lang w:val="fr-CH" w:eastAsia="ja-JP" w:bidi="th-TH"/>
        </w:rPr>
        <w:t>Section 6</w:t>
      </w:r>
      <w:r w:rsidR="000970A8">
        <w:rPr>
          <w:rFonts w:cs="Angsana New"/>
          <w:szCs w:val="24"/>
          <w:lang w:val="fr-CH" w:eastAsia="ja-JP" w:bidi="th-TH"/>
        </w:rPr>
        <w:t> :</w:t>
      </w:r>
      <w:r w:rsidRPr="00F12B5A">
        <w:rPr>
          <w:rFonts w:cs="Angsana New"/>
          <w:szCs w:val="24"/>
          <w:lang w:val="fr-CH" w:eastAsia="ja-JP" w:bidi="th-TH"/>
        </w:rPr>
        <w:t xml:space="preserve"> Rapport UPOV d</w:t>
      </w:r>
      <w:r w:rsidR="000970A8">
        <w:rPr>
          <w:rFonts w:cs="Angsana New"/>
          <w:szCs w:val="24"/>
          <w:lang w:val="fr-CH" w:eastAsia="ja-JP" w:bidi="th-TH"/>
        </w:rPr>
        <w:t>’</w:t>
      </w:r>
      <w:r w:rsidRPr="00F12B5A">
        <w:rPr>
          <w:rFonts w:cs="Angsana New"/>
          <w:szCs w:val="24"/>
          <w:lang w:val="fr-CH" w:eastAsia="ja-JP" w:bidi="th-TH"/>
        </w:rPr>
        <w:t>examen technique et Formulaire UPOV de description variétale (révision) (document TGP/5</w:t>
      </w:r>
      <w:r w:rsidR="000970A8">
        <w:rPr>
          <w:rFonts w:cs="Angsana New"/>
          <w:szCs w:val="24"/>
          <w:lang w:val="fr-CH" w:eastAsia="ja-JP" w:bidi="th-TH"/>
        </w:rPr>
        <w:t> :</w:t>
      </w:r>
      <w:r w:rsidRPr="00F12B5A">
        <w:rPr>
          <w:rFonts w:cs="Angsana New"/>
          <w:szCs w:val="24"/>
          <w:lang w:val="fr-CH" w:eastAsia="ja-JP" w:bidi="th-TH"/>
        </w:rPr>
        <w:t xml:space="preserve"> </w:t>
      </w:r>
      <w:r w:rsidR="00165F29" w:rsidRPr="00F12B5A">
        <w:rPr>
          <w:rFonts w:cs="Angsana New"/>
          <w:szCs w:val="24"/>
          <w:lang w:val="fr-CH" w:eastAsia="ja-JP" w:bidi="th-TH"/>
        </w:rPr>
        <w:t>Section 6</w:t>
      </w:r>
      <w:r w:rsidRPr="00F12B5A">
        <w:rPr>
          <w:rFonts w:cs="Angsana New"/>
          <w:szCs w:val="24"/>
          <w:lang w:val="fr-CH" w:eastAsia="ja-JP" w:bidi="th-TH"/>
        </w:rPr>
        <w:t>/3</w:t>
      </w:r>
      <w:r w:rsidR="00EE25CC" w:rsidRPr="00F12B5A">
        <w:rPr>
          <w:rFonts w:cs="Angsana New"/>
          <w:szCs w:val="24"/>
          <w:lang w:val="fr-CH" w:eastAsia="ja-JP" w:bidi="th-TH"/>
        </w:rPr>
        <w:t> </w:t>
      </w:r>
      <w:proofErr w:type="spellStart"/>
      <w:r w:rsidRPr="00F12B5A">
        <w:rPr>
          <w:rFonts w:cs="Angsana New"/>
          <w:szCs w:val="24"/>
          <w:lang w:val="fr-CH" w:eastAsia="ja-JP" w:bidi="th-TH"/>
        </w:rPr>
        <w:t>Draft</w:t>
      </w:r>
      <w:proofErr w:type="spellEnd"/>
      <w:r w:rsidR="00EE25CC" w:rsidRPr="00F12B5A">
        <w:rPr>
          <w:rFonts w:cs="Angsana New"/>
          <w:szCs w:val="24"/>
          <w:lang w:val="fr-CH" w:eastAsia="ja-JP" w:bidi="th-TH"/>
        </w:rPr>
        <w:t> </w:t>
      </w:r>
      <w:r w:rsidRPr="00F12B5A">
        <w:rPr>
          <w:rFonts w:cs="Angsana New"/>
          <w:szCs w:val="24"/>
          <w:lang w:val="fr-CH" w:eastAsia="ja-JP" w:bidi="th-TH"/>
        </w:rPr>
        <w:t>1)</w:t>
      </w:r>
    </w:p>
    <w:p w:rsidR="00A4614B" w:rsidRDefault="00E10BC4" w:rsidP="00E10BC4">
      <w:pPr>
        <w:pStyle w:val="ListParagraph"/>
        <w:spacing w:after="60"/>
        <w:ind w:left="2835" w:hanging="1701"/>
        <w:contextualSpacing w:val="0"/>
        <w:rPr>
          <w:rFonts w:cs="Angsana New"/>
          <w:szCs w:val="24"/>
          <w:lang w:val="fr-CH" w:eastAsia="ja-JP" w:bidi="th-TH"/>
        </w:rPr>
      </w:pPr>
      <w:r w:rsidRPr="00F12B5A">
        <w:rPr>
          <w:rFonts w:cs="Angsana New"/>
          <w:szCs w:val="24"/>
          <w:lang w:val="fr-CH" w:eastAsia="ja-JP" w:bidi="th-TH"/>
        </w:rPr>
        <w:t>TGP/7</w:t>
      </w:r>
      <w:r w:rsidRPr="00F12B5A">
        <w:rPr>
          <w:rFonts w:cs="Angsana New"/>
          <w:szCs w:val="24"/>
          <w:lang w:val="fr-CH" w:eastAsia="ja-JP" w:bidi="th-TH"/>
        </w:rPr>
        <w:tab/>
        <w:t>Élaboration des principes directeurs d</w:t>
      </w:r>
      <w:r w:rsidR="000970A8">
        <w:rPr>
          <w:rFonts w:cs="Angsana New"/>
          <w:szCs w:val="24"/>
          <w:lang w:val="fr-CH" w:eastAsia="ja-JP" w:bidi="th-TH"/>
        </w:rPr>
        <w:t>’</w:t>
      </w:r>
      <w:r w:rsidRPr="00F12B5A">
        <w:rPr>
          <w:rFonts w:cs="Angsana New"/>
          <w:szCs w:val="24"/>
          <w:lang w:val="fr-CH" w:eastAsia="ja-JP" w:bidi="th-TH"/>
        </w:rPr>
        <w:t>examen (révision) (</w:t>
      </w:r>
      <w:r w:rsidR="00875470" w:rsidRPr="00F12B5A">
        <w:rPr>
          <w:rFonts w:cs="Angsana New"/>
          <w:szCs w:val="24"/>
          <w:lang w:val="fr-CH" w:eastAsia="ja-JP" w:bidi="th-TH"/>
        </w:rPr>
        <w:t>document</w:t>
      </w:r>
      <w:r w:rsidR="003A768F">
        <w:rPr>
          <w:rFonts w:cs="Angsana New"/>
          <w:szCs w:val="24"/>
          <w:lang w:val="fr-CH" w:eastAsia="ja-JP" w:bidi="th-TH"/>
        </w:rPr>
        <w:t> </w:t>
      </w:r>
      <w:r w:rsidR="00875470" w:rsidRPr="00F12B5A">
        <w:rPr>
          <w:rFonts w:cs="Angsana New"/>
          <w:szCs w:val="24"/>
          <w:lang w:val="fr-CH" w:eastAsia="ja-JP" w:bidi="th-TH"/>
        </w:rPr>
        <w:t>TG</w:t>
      </w:r>
      <w:r w:rsidR="003A768F">
        <w:rPr>
          <w:rFonts w:cs="Angsana New"/>
          <w:szCs w:val="24"/>
          <w:lang w:val="fr-CH" w:eastAsia="ja-JP" w:bidi="th-TH"/>
        </w:rPr>
        <w:t>P/7/8 </w:t>
      </w:r>
      <w:proofErr w:type="spellStart"/>
      <w:r w:rsidRPr="00F12B5A">
        <w:rPr>
          <w:rFonts w:cs="Angsana New"/>
          <w:szCs w:val="24"/>
          <w:lang w:val="fr-CH" w:eastAsia="ja-JP" w:bidi="th-TH"/>
        </w:rPr>
        <w:t>Draft</w:t>
      </w:r>
      <w:proofErr w:type="spellEnd"/>
      <w:r w:rsidR="00EE25CC" w:rsidRPr="00F12B5A">
        <w:rPr>
          <w:rFonts w:cs="Angsana New"/>
          <w:szCs w:val="24"/>
          <w:lang w:val="fr-CH" w:eastAsia="ja-JP" w:bidi="th-TH"/>
        </w:rPr>
        <w:t> </w:t>
      </w:r>
      <w:r w:rsidRPr="00F12B5A">
        <w:rPr>
          <w:rFonts w:cs="Angsana New"/>
          <w:szCs w:val="24"/>
          <w:lang w:val="fr-CH" w:eastAsia="ja-JP" w:bidi="th-TH"/>
        </w:rPr>
        <w:t>1)</w:t>
      </w:r>
    </w:p>
    <w:p w:rsidR="00A4614B" w:rsidRDefault="00E10BC4" w:rsidP="00E10BC4">
      <w:pPr>
        <w:pStyle w:val="ListParagraph"/>
        <w:spacing w:after="60"/>
        <w:ind w:left="2835" w:hanging="1701"/>
        <w:contextualSpacing w:val="0"/>
        <w:rPr>
          <w:rFonts w:cs="Angsana New"/>
          <w:szCs w:val="24"/>
          <w:lang w:val="fr-CH" w:eastAsia="ja-JP" w:bidi="th-TH"/>
        </w:rPr>
      </w:pPr>
      <w:r w:rsidRPr="00F12B5A">
        <w:rPr>
          <w:rFonts w:cs="Angsana New"/>
          <w:szCs w:val="24"/>
          <w:lang w:val="fr-CH" w:eastAsia="ja-JP" w:bidi="th-TH"/>
        </w:rPr>
        <w:t>TGP/14</w:t>
      </w:r>
      <w:r w:rsidRPr="00F12B5A">
        <w:rPr>
          <w:rFonts w:cs="Angsana New"/>
          <w:szCs w:val="24"/>
          <w:lang w:val="fr-CH" w:eastAsia="ja-JP" w:bidi="th-TH"/>
        </w:rPr>
        <w:tab/>
        <w:t>Glossaire de termes utilisés dans les documents de l</w:t>
      </w:r>
      <w:r w:rsidR="000970A8">
        <w:rPr>
          <w:rFonts w:cs="Angsana New"/>
          <w:szCs w:val="24"/>
          <w:lang w:val="fr-CH" w:eastAsia="ja-JP" w:bidi="th-TH"/>
        </w:rPr>
        <w:t>’</w:t>
      </w:r>
      <w:r w:rsidRPr="00F12B5A">
        <w:rPr>
          <w:rFonts w:cs="Angsana New"/>
          <w:szCs w:val="24"/>
          <w:lang w:val="fr-CH" w:eastAsia="ja-JP" w:bidi="th-TH"/>
        </w:rPr>
        <w:t>UPOV (révision) (</w:t>
      </w:r>
      <w:r w:rsidR="00875470" w:rsidRPr="00F12B5A">
        <w:rPr>
          <w:rFonts w:cs="Angsana New"/>
          <w:szCs w:val="24"/>
          <w:lang w:val="fr-CH" w:eastAsia="ja-JP" w:bidi="th-TH"/>
        </w:rPr>
        <w:t>document</w:t>
      </w:r>
      <w:r w:rsidR="00875470">
        <w:rPr>
          <w:rFonts w:cs="Angsana New"/>
          <w:szCs w:val="24"/>
          <w:lang w:val="fr-CH" w:eastAsia="ja-JP" w:bidi="th-TH"/>
        </w:rPr>
        <w:t xml:space="preserve"> </w:t>
      </w:r>
      <w:r w:rsidR="00875470" w:rsidRPr="00F12B5A">
        <w:rPr>
          <w:rFonts w:cs="Angsana New"/>
          <w:szCs w:val="24"/>
          <w:lang w:val="fr-CH" w:eastAsia="ja-JP" w:bidi="th-TH"/>
        </w:rPr>
        <w:t>TG</w:t>
      </w:r>
      <w:r w:rsidRPr="00F12B5A">
        <w:rPr>
          <w:rFonts w:cs="Angsana New"/>
          <w:szCs w:val="24"/>
          <w:lang w:val="fr-CH" w:eastAsia="ja-JP" w:bidi="th-TH"/>
        </w:rPr>
        <w:t xml:space="preserve">P/14/5 </w:t>
      </w:r>
      <w:proofErr w:type="spellStart"/>
      <w:r w:rsidRPr="00F12B5A">
        <w:rPr>
          <w:rFonts w:cs="Angsana New"/>
          <w:szCs w:val="24"/>
          <w:lang w:val="fr-CH" w:eastAsia="ja-JP" w:bidi="th-TH"/>
        </w:rPr>
        <w:t>Draft</w:t>
      </w:r>
      <w:proofErr w:type="spellEnd"/>
      <w:r w:rsidR="00EE25CC" w:rsidRPr="00F12B5A">
        <w:rPr>
          <w:rFonts w:cs="Angsana New"/>
          <w:szCs w:val="24"/>
          <w:lang w:val="fr-CH" w:eastAsia="ja-JP" w:bidi="th-TH"/>
        </w:rPr>
        <w:t> </w:t>
      </w:r>
      <w:r w:rsidRPr="00F12B5A">
        <w:rPr>
          <w:rFonts w:cs="Angsana New"/>
          <w:szCs w:val="24"/>
          <w:lang w:val="fr-CH" w:eastAsia="ja-JP" w:bidi="th-TH"/>
        </w:rPr>
        <w:t>1)</w:t>
      </w:r>
    </w:p>
    <w:p w:rsidR="00A4614B" w:rsidRDefault="00E10BC4" w:rsidP="00E10BC4">
      <w:pPr>
        <w:pStyle w:val="ListParagraph"/>
        <w:spacing w:after="60"/>
        <w:ind w:left="2835" w:hanging="1701"/>
        <w:contextualSpacing w:val="0"/>
        <w:rPr>
          <w:rFonts w:cs="Angsana New"/>
          <w:szCs w:val="24"/>
          <w:lang w:val="fr-CH" w:eastAsia="ja-JP" w:bidi="th-TH"/>
        </w:rPr>
      </w:pPr>
      <w:r w:rsidRPr="00F12B5A">
        <w:rPr>
          <w:rFonts w:cs="Angsana New"/>
          <w:szCs w:val="24"/>
          <w:lang w:val="fr-CH" w:eastAsia="ja-JP" w:bidi="th-TH"/>
        </w:rPr>
        <w:t>TGP/15</w:t>
      </w:r>
      <w:r w:rsidRPr="00F12B5A">
        <w:rPr>
          <w:rFonts w:cs="Angsana New"/>
          <w:szCs w:val="24"/>
          <w:lang w:val="fr-CH" w:eastAsia="ja-JP" w:bidi="th-TH"/>
        </w:rPr>
        <w:tab/>
        <w:t>Conseils en ce qui concerne l</w:t>
      </w:r>
      <w:r w:rsidR="000970A8">
        <w:rPr>
          <w:rFonts w:cs="Angsana New"/>
          <w:szCs w:val="24"/>
          <w:lang w:val="fr-CH" w:eastAsia="ja-JP" w:bidi="th-TH"/>
        </w:rPr>
        <w:t>’</w:t>
      </w:r>
      <w:r w:rsidRPr="00F12B5A">
        <w:rPr>
          <w:rFonts w:cs="Angsana New"/>
          <w:szCs w:val="24"/>
          <w:lang w:val="fr-CH" w:eastAsia="ja-JP" w:bidi="th-TH"/>
        </w:rPr>
        <w:t>utilisation des marqueurs biochimiques et moléculaires dans l</w:t>
      </w:r>
      <w:r w:rsidR="000970A8">
        <w:rPr>
          <w:rFonts w:cs="Angsana New"/>
          <w:szCs w:val="24"/>
          <w:lang w:val="fr-CH" w:eastAsia="ja-JP" w:bidi="th-TH"/>
        </w:rPr>
        <w:t>’</w:t>
      </w:r>
      <w:r w:rsidRPr="00F12B5A">
        <w:rPr>
          <w:rFonts w:cs="Angsana New"/>
          <w:szCs w:val="24"/>
          <w:lang w:val="fr-CH" w:eastAsia="ja-JP" w:bidi="th-TH"/>
        </w:rPr>
        <w:t>examen de la distinction, de l</w:t>
      </w:r>
      <w:r w:rsidR="000970A8">
        <w:rPr>
          <w:rFonts w:cs="Angsana New"/>
          <w:szCs w:val="24"/>
          <w:lang w:val="fr-CH" w:eastAsia="ja-JP" w:bidi="th-TH"/>
        </w:rPr>
        <w:t>’</w:t>
      </w:r>
      <w:r w:rsidRPr="00F12B5A">
        <w:rPr>
          <w:rFonts w:cs="Angsana New"/>
          <w:szCs w:val="24"/>
          <w:lang w:val="fr-CH" w:eastAsia="ja-JP" w:bidi="th-TH"/>
        </w:rPr>
        <w:t>homogénéité et de la stabilité (DHS) (révision) (</w:t>
      </w:r>
      <w:r w:rsidR="00875470" w:rsidRPr="00F12B5A">
        <w:rPr>
          <w:rFonts w:cs="Angsana New"/>
          <w:szCs w:val="24"/>
          <w:lang w:val="fr-CH" w:eastAsia="ja-JP" w:bidi="th-TH"/>
        </w:rPr>
        <w:t>document</w:t>
      </w:r>
      <w:r w:rsidR="00875470">
        <w:rPr>
          <w:rFonts w:cs="Angsana New"/>
          <w:szCs w:val="24"/>
          <w:lang w:val="fr-CH" w:eastAsia="ja-JP" w:bidi="th-TH"/>
        </w:rPr>
        <w:t xml:space="preserve"> </w:t>
      </w:r>
      <w:r w:rsidR="00875470" w:rsidRPr="00F12B5A">
        <w:rPr>
          <w:rFonts w:cs="Angsana New"/>
          <w:szCs w:val="24"/>
          <w:lang w:val="fr-CH" w:eastAsia="ja-JP" w:bidi="th-TH"/>
        </w:rPr>
        <w:t>TG</w:t>
      </w:r>
      <w:r w:rsidRPr="00F12B5A">
        <w:rPr>
          <w:rFonts w:cs="Angsana New"/>
          <w:szCs w:val="24"/>
          <w:lang w:val="fr-CH" w:eastAsia="ja-JP" w:bidi="th-TH"/>
        </w:rPr>
        <w:t xml:space="preserve">P/15/3 </w:t>
      </w:r>
      <w:proofErr w:type="spellStart"/>
      <w:r w:rsidRPr="00F12B5A">
        <w:rPr>
          <w:rFonts w:cs="Angsana New"/>
          <w:szCs w:val="24"/>
          <w:lang w:val="fr-CH" w:eastAsia="ja-JP" w:bidi="th-TH"/>
        </w:rPr>
        <w:t>Draft</w:t>
      </w:r>
      <w:proofErr w:type="spellEnd"/>
      <w:r w:rsidR="00EE25CC" w:rsidRPr="00F12B5A">
        <w:rPr>
          <w:rFonts w:cs="Angsana New"/>
          <w:szCs w:val="24"/>
          <w:lang w:val="fr-CH" w:eastAsia="ja-JP" w:bidi="th-TH"/>
        </w:rPr>
        <w:t> </w:t>
      </w:r>
      <w:r w:rsidRPr="00F12B5A">
        <w:rPr>
          <w:rFonts w:cs="Angsana New"/>
          <w:szCs w:val="24"/>
          <w:lang w:val="fr-CH" w:eastAsia="ja-JP" w:bidi="th-TH"/>
        </w:rPr>
        <w:t>1)</w:t>
      </w:r>
    </w:p>
    <w:p w:rsidR="00A4614B" w:rsidRDefault="00E10BC4" w:rsidP="003A768F">
      <w:pPr>
        <w:pStyle w:val="ListParagraph"/>
        <w:spacing w:before="240" w:after="80"/>
        <w:ind w:left="567"/>
        <w:contextualSpacing w:val="0"/>
        <w:rPr>
          <w:rFonts w:cs="Angsana New"/>
          <w:szCs w:val="24"/>
          <w:lang w:val="fr-CH" w:eastAsia="ja-JP" w:bidi="th-TH"/>
        </w:rPr>
      </w:pPr>
      <w:r w:rsidRPr="00F12B5A">
        <w:rPr>
          <w:rFonts w:cs="Angsana New"/>
          <w:szCs w:val="24"/>
          <w:lang w:val="fr-CH" w:eastAsia="ja-JP" w:bidi="th-TH"/>
        </w:rPr>
        <w:t>Variétés essentiellement dérivées (</w:t>
      </w:r>
      <w:r w:rsidR="00875470" w:rsidRPr="00F12B5A">
        <w:rPr>
          <w:rFonts w:cs="Angsana New"/>
          <w:szCs w:val="24"/>
          <w:lang w:val="fr-CH" w:eastAsia="ja-JP" w:bidi="th-TH"/>
        </w:rPr>
        <w:t>document</w:t>
      </w:r>
      <w:r w:rsidR="00875470">
        <w:rPr>
          <w:rFonts w:cs="Angsana New"/>
          <w:szCs w:val="24"/>
          <w:lang w:val="fr-CH" w:eastAsia="ja-JP" w:bidi="th-TH"/>
        </w:rPr>
        <w:t xml:space="preserve"> </w:t>
      </w:r>
      <w:r w:rsidR="00875470" w:rsidRPr="00F12B5A">
        <w:rPr>
          <w:rFonts w:cs="Angsana New"/>
          <w:szCs w:val="24"/>
          <w:lang w:val="fr-CH" w:eastAsia="ja-JP" w:bidi="th-TH"/>
        </w:rPr>
        <w:t>CA</w:t>
      </w:r>
      <w:r w:rsidRPr="00F12B5A">
        <w:rPr>
          <w:rFonts w:cs="Angsana New"/>
          <w:szCs w:val="24"/>
          <w:lang w:val="fr-CH" w:eastAsia="ja-JP" w:bidi="th-TH"/>
        </w:rPr>
        <w:t>J/77/4)</w:t>
      </w:r>
    </w:p>
    <w:p w:rsidR="00A4614B" w:rsidRDefault="00E10BC4" w:rsidP="003A768F">
      <w:pPr>
        <w:pStyle w:val="ListParagraph"/>
        <w:spacing w:after="120"/>
        <w:ind w:left="567"/>
        <w:contextualSpacing w:val="0"/>
        <w:rPr>
          <w:rFonts w:cs="Angsana New"/>
          <w:szCs w:val="24"/>
          <w:lang w:val="fr-CH" w:eastAsia="ja-JP" w:bidi="th-TH"/>
        </w:rPr>
      </w:pPr>
      <w:r w:rsidRPr="00F12B5A">
        <w:rPr>
          <w:rFonts w:cs="Angsana New"/>
          <w:szCs w:val="24"/>
          <w:lang w:val="fr-CH" w:eastAsia="ja-JP" w:bidi="th-TH"/>
        </w:rPr>
        <w:t>Produit de la récolte (</w:t>
      </w:r>
      <w:r w:rsidR="00875470" w:rsidRPr="00F12B5A">
        <w:rPr>
          <w:rFonts w:cs="Angsana New"/>
          <w:szCs w:val="24"/>
          <w:lang w:val="fr-CH" w:eastAsia="ja-JP" w:bidi="th-TH"/>
        </w:rPr>
        <w:t>document</w:t>
      </w:r>
      <w:r w:rsidR="00875470">
        <w:rPr>
          <w:rFonts w:cs="Angsana New"/>
          <w:szCs w:val="24"/>
          <w:lang w:val="fr-CH" w:eastAsia="ja-JP" w:bidi="th-TH"/>
        </w:rPr>
        <w:t xml:space="preserve"> </w:t>
      </w:r>
      <w:r w:rsidR="00875470" w:rsidRPr="00F12B5A">
        <w:rPr>
          <w:rFonts w:cs="Angsana New"/>
          <w:szCs w:val="24"/>
          <w:lang w:val="fr-CH" w:eastAsia="ja-JP" w:bidi="th-TH"/>
        </w:rPr>
        <w:t>CA</w:t>
      </w:r>
      <w:r w:rsidRPr="00F12B5A">
        <w:rPr>
          <w:rFonts w:cs="Angsana New"/>
          <w:szCs w:val="24"/>
          <w:lang w:val="fr-CH" w:eastAsia="ja-JP" w:bidi="th-TH"/>
        </w:rPr>
        <w:t>J/77/5)</w:t>
      </w:r>
    </w:p>
    <w:p w:rsidR="00A4614B" w:rsidRDefault="00E10BC4" w:rsidP="003A768F">
      <w:pPr>
        <w:pStyle w:val="ListParagraph"/>
        <w:spacing w:after="120"/>
        <w:ind w:left="567"/>
        <w:contextualSpacing w:val="0"/>
        <w:rPr>
          <w:rFonts w:cs="Angsana New"/>
          <w:szCs w:val="24"/>
          <w:lang w:val="fr-CH" w:eastAsia="ja-JP" w:bidi="th-TH"/>
        </w:rPr>
      </w:pPr>
      <w:r w:rsidRPr="00F12B5A">
        <w:rPr>
          <w:rFonts w:cs="Angsana New"/>
          <w:szCs w:val="24"/>
          <w:lang w:val="fr-CH" w:eastAsia="ja-JP" w:bidi="th-TH"/>
        </w:rPr>
        <w:t>Nouveauté des lignées parentales en rapport avec l</w:t>
      </w:r>
      <w:r w:rsidR="000970A8">
        <w:rPr>
          <w:rFonts w:cs="Angsana New"/>
          <w:szCs w:val="24"/>
          <w:lang w:val="fr-CH" w:eastAsia="ja-JP" w:bidi="th-TH"/>
        </w:rPr>
        <w:t>’</w:t>
      </w:r>
      <w:r w:rsidRPr="00F12B5A">
        <w:rPr>
          <w:rFonts w:cs="Angsana New"/>
          <w:szCs w:val="24"/>
          <w:lang w:val="fr-CH" w:eastAsia="ja-JP" w:bidi="th-TH"/>
        </w:rPr>
        <w:t>exploitation d</w:t>
      </w:r>
      <w:r w:rsidR="000970A8">
        <w:rPr>
          <w:rFonts w:cs="Angsana New"/>
          <w:szCs w:val="24"/>
          <w:lang w:val="fr-CH" w:eastAsia="ja-JP" w:bidi="th-TH"/>
        </w:rPr>
        <w:t>’</w:t>
      </w:r>
      <w:r w:rsidRPr="00F12B5A">
        <w:rPr>
          <w:rFonts w:cs="Angsana New"/>
          <w:szCs w:val="24"/>
          <w:lang w:val="fr-CH" w:eastAsia="ja-JP" w:bidi="th-TH"/>
        </w:rPr>
        <w:t>une variété hybride (</w:t>
      </w:r>
      <w:r w:rsidR="00875470" w:rsidRPr="00F12B5A">
        <w:rPr>
          <w:rFonts w:cs="Angsana New"/>
          <w:szCs w:val="24"/>
          <w:lang w:val="fr-CH" w:eastAsia="ja-JP" w:bidi="th-TH"/>
        </w:rPr>
        <w:t>document</w:t>
      </w:r>
      <w:r w:rsidR="00BD62F0">
        <w:rPr>
          <w:rFonts w:cs="Angsana New"/>
          <w:szCs w:val="24"/>
          <w:lang w:val="fr-CH" w:eastAsia="ja-JP" w:bidi="th-TH"/>
        </w:rPr>
        <w:t> </w:t>
      </w:r>
      <w:r w:rsidR="00875470" w:rsidRPr="00F12B5A">
        <w:rPr>
          <w:rFonts w:cs="Angsana New"/>
          <w:szCs w:val="24"/>
          <w:lang w:val="fr-CH" w:eastAsia="ja-JP" w:bidi="th-TH"/>
        </w:rPr>
        <w:t>CA</w:t>
      </w:r>
      <w:r w:rsidRPr="00F12B5A">
        <w:rPr>
          <w:rFonts w:cs="Angsana New"/>
          <w:szCs w:val="24"/>
          <w:lang w:val="fr-CH" w:eastAsia="ja-JP" w:bidi="th-TH"/>
        </w:rPr>
        <w:t>J/77/6)</w:t>
      </w:r>
    </w:p>
    <w:p w:rsidR="00A4614B" w:rsidRDefault="00E10BC4" w:rsidP="003A768F">
      <w:pPr>
        <w:pStyle w:val="ListParagraph"/>
        <w:ind w:left="567"/>
        <w:contextualSpacing w:val="0"/>
        <w:rPr>
          <w:rFonts w:cs="Arial"/>
          <w:lang w:val="fr-CH"/>
        </w:rPr>
      </w:pPr>
      <w:r w:rsidRPr="00F12B5A">
        <w:rPr>
          <w:rFonts w:cs="Arial"/>
          <w:lang w:val="fr-CH"/>
        </w:rPr>
        <w:t>Outil de recherche de similarité aux fins de la dénomination variétale (</w:t>
      </w:r>
      <w:r w:rsidR="00875470" w:rsidRPr="00F12B5A">
        <w:rPr>
          <w:rFonts w:cs="Arial"/>
          <w:lang w:val="fr-CH"/>
        </w:rPr>
        <w:t>document</w:t>
      </w:r>
      <w:r w:rsidR="00875470">
        <w:rPr>
          <w:rFonts w:cs="Arial"/>
          <w:lang w:val="fr-CH"/>
        </w:rPr>
        <w:t xml:space="preserve"> </w:t>
      </w:r>
      <w:r w:rsidR="00875470" w:rsidRPr="00F12B5A">
        <w:rPr>
          <w:rFonts w:cs="Arial"/>
          <w:lang w:val="fr-CH"/>
        </w:rPr>
        <w:t>CA</w:t>
      </w:r>
      <w:r w:rsidRPr="00F12B5A">
        <w:rPr>
          <w:rFonts w:cs="Arial"/>
          <w:lang w:val="fr-CH"/>
        </w:rPr>
        <w:t>J/77/7)</w:t>
      </w:r>
    </w:p>
    <w:p w:rsidR="00A4614B" w:rsidRDefault="00A4614B" w:rsidP="004823C4">
      <w:pPr>
        <w:rPr>
          <w:lang w:val="fr-CH"/>
        </w:rPr>
      </w:pPr>
    </w:p>
    <w:p w:rsidR="00A4614B" w:rsidRDefault="004823C4" w:rsidP="00A86338">
      <w:pPr>
        <w:keepNext/>
        <w:rPr>
          <w:rFonts w:cs="Arial"/>
          <w:lang w:val="fr-CH"/>
        </w:rPr>
      </w:pPr>
      <w:r w:rsidRPr="007A68B4">
        <w:rPr>
          <w:rFonts w:cs="Arial"/>
        </w:rPr>
        <w:fldChar w:fldCharType="begin"/>
      </w:r>
      <w:r w:rsidRPr="00A86338">
        <w:rPr>
          <w:rFonts w:cs="Arial"/>
          <w:lang w:val="fr-CH"/>
        </w:rPr>
        <w:instrText xml:space="preserve"> AUTONUM  </w:instrText>
      </w:r>
      <w:r w:rsidRPr="007A68B4">
        <w:rPr>
          <w:rFonts w:cs="Arial"/>
        </w:rPr>
        <w:fldChar w:fldCharType="end"/>
      </w:r>
      <w:r w:rsidRPr="00A86338">
        <w:rPr>
          <w:rFonts w:cs="Arial"/>
          <w:lang w:val="fr-CH"/>
        </w:rPr>
        <w:tab/>
      </w:r>
      <w:r w:rsidR="00A86338" w:rsidRPr="00A86338">
        <w:rPr>
          <w:rFonts w:cs="Arial"/>
          <w:color w:val="000000"/>
          <w:lang w:val="fr-CH"/>
        </w:rPr>
        <w:t>Au 2</w:t>
      </w:r>
      <w:r w:rsidR="00165F29" w:rsidRPr="00A86338">
        <w:rPr>
          <w:rFonts w:cs="Arial"/>
          <w:color w:val="000000"/>
          <w:lang w:val="fr-CH"/>
        </w:rPr>
        <w:t>1</w:t>
      </w:r>
      <w:r w:rsidR="00165F29">
        <w:rPr>
          <w:rFonts w:cs="Arial"/>
          <w:color w:val="000000"/>
          <w:lang w:val="fr-CH"/>
        </w:rPr>
        <w:t> </w:t>
      </w:r>
      <w:r w:rsidR="00165F29" w:rsidRPr="00A86338">
        <w:rPr>
          <w:rFonts w:cs="Arial"/>
          <w:color w:val="000000"/>
          <w:lang w:val="fr-CH"/>
        </w:rPr>
        <w:t>septembre</w:t>
      </w:r>
      <w:r w:rsidR="00165F29">
        <w:rPr>
          <w:rFonts w:cs="Arial"/>
          <w:color w:val="000000"/>
          <w:lang w:val="fr-CH"/>
        </w:rPr>
        <w:t> </w:t>
      </w:r>
      <w:r w:rsidR="00165F29" w:rsidRPr="00A86338">
        <w:rPr>
          <w:rFonts w:cs="Arial"/>
          <w:color w:val="000000"/>
          <w:lang w:val="fr-CH"/>
        </w:rPr>
        <w:t>20</w:t>
      </w:r>
      <w:r w:rsidR="00A86338" w:rsidRPr="00A86338">
        <w:rPr>
          <w:rFonts w:cs="Arial"/>
          <w:color w:val="000000"/>
          <w:lang w:val="fr-CH"/>
        </w:rPr>
        <w:t xml:space="preserve">20, des observations simples </w:t>
      </w:r>
      <w:r w:rsidR="00F12B5A">
        <w:rPr>
          <w:rFonts w:cs="Arial"/>
          <w:color w:val="000000"/>
          <w:lang w:val="fr-CH"/>
        </w:rPr>
        <w:t xml:space="preserve">avaient </w:t>
      </w:r>
      <w:r w:rsidR="00A86338" w:rsidRPr="00A86338">
        <w:rPr>
          <w:rFonts w:cs="Arial"/>
          <w:color w:val="000000"/>
          <w:lang w:val="fr-CH"/>
        </w:rPr>
        <w:t>été reçues sur les documents ci</w:t>
      </w:r>
      <w:r w:rsidR="00945DBD">
        <w:rPr>
          <w:rFonts w:cs="Arial"/>
          <w:color w:val="000000"/>
          <w:lang w:val="fr-CH"/>
        </w:rPr>
        <w:noBreakHyphen/>
      </w:r>
      <w:r w:rsidR="00A86338" w:rsidRPr="00A86338">
        <w:rPr>
          <w:rFonts w:cs="Arial"/>
          <w:color w:val="000000"/>
          <w:lang w:val="fr-CH"/>
        </w:rPr>
        <w:t>après, indiqués dans la circulaire</w:t>
      </w:r>
      <w:r w:rsidR="00EE25CC">
        <w:rPr>
          <w:rFonts w:cs="Arial"/>
          <w:color w:val="000000"/>
          <w:lang w:val="fr-CH"/>
        </w:rPr>
        <w:t> </w:t>
      </w:r>
      <w:r w:rsidR="00A86338" w:rsidRPr="00A86338">
        <w:rPr>
          <w:rFonts w:cs="Arial"/>
          <w:color w:val="000000"/>
          <w:lang w:val="fr-CH"/>
        </w:rPr>
        <w:t>E</w:t>
      </w:r>
      <w:r w:rsidR="00945DBD">
        <w:rPr>
          <w:rFonts w:cs="Arial"/>
          <w:color w:val="000000"/>
          <w:lang w:val="fr-CH"/>
        </w:rPr>
        <w:noBreakHyphen/>
      </w:r>
      <w:r w:rsidR="00A86338" w:rsidRPr="00A86338">
        <w:rPr>
          <w:rFonts w:cs="Arial"/>
          <w:color w:val="000000"/>
          <w:lang w:val="fr-CH"/>
        </w:rPr>
        <w:t>20/120 du 2</w:t>
      </w:r>
      <w:r w:rsidR="00165F29" w:rsidRPr="00A86338">
        <w:rPr>
          <w:rFonts w:cs="Arial"/>
          <w:color w:val="000000"/>
          <w:lang w:val="fr-CH"/>
        </w:rPr>
        <w:t>1</w:t>
      </w:r>
      <w:r w:rsidR="00165F29">
        <w:rPr>
          <w:rFonts w:cs="Arial"/>
          <w:color w:val="000000"/>
          <w:lang w:val="fr-CH"/>
        </w:rPr>
        <w:t> </w:t>
      </w:r>
      <w:r w:rsidR="00165F29" w:rsidRPr="00A86338">
        <w:rPr>
          <w:rFonts w:cs="Arial"/>
          <w:color w:val="000000"/>
          <w:lang w:val="fr-CH"/>
        </w:rPr>
        <w:t>août</w:t>
      </w:r>
      <w:r w:rsidR="00165F29">
        <w:rPr>
          <w:rFonts w:cs="Arial"/>
          <w:color w:val="000000"/>
          <w:lang w:val="fr-CH"/>
        </w:rPr>
        <w:t> </w:t>
      </w:r>
      <w:r w:rsidR="00165F29" w:rsidRPr="00A86338">
        <w:rPr>
          <w:rFonts w:cs="Arial"/>
          <w:color w:val="000000"/>
          <w:lang w:val="fr-CH"/>
        </w:rPr>
        <w:t>20</w:t>
      </w:r>
      <w:r w:rsidR="00A86338" w:rsidRPr="00A86338">
        <w:rPr>
          <w:rFonts w:cs="Arial"/>
          <w:color w:val="000000"/>
          <w:lang w:val="fr-CH"/>
        </w:rPr>
        <w:t>20.</w:t>
      </w:r>
      <w:r w:rsidR="00A86338" w:rsidRPr="00186B67">
        <w:rPr>
          <w:color w:val="000000"/>
          <w:lang w:val="fr-CH"/>
        </w:rPr>
        <w:t xml:space="preserve"> </w:t>
      </w:r>
      <w:r w:rsidR="00073D9C">
        <w:rPr>
          <w:rFonts w:cs="Arial"/>
          <w:color w:val="000000"/>
          <w:lang w:val="fr-CH"/>
        </w:rPr>
        <w:t xml:space="preserve"> </w:t>
      </w:r>
      <w:r w:rsidR="00A86338" w:rsidRPr="0027582B">
        <w:rPr>
          <w:rFonts w:cs="Arial"/>
          <w:lang w:val="fr-CH"/>
        </w:rPr>
        <w:t>Le Bureau de l</w:t>
      </w:r>
      <w:r w:rsidR="000970A8">
        <w:rPr>
          <w:rFonts w:cs="Arial"/>
          <w:lang w:val="fr-CH"/>
        </w:rPr>
        <w:t>’</w:t>
      </w:r>
      <w:r w:rsidR="00A86338" w:rsidRPr="0027582B">
        <w:rPr>
          <w:rFonts w:cs="Arial"/>
          <w:lang w:val="fr-CH"/>
        </w:rPr>
        <w:t>Union a traité les observations simples dans une version révisée des documents ci</w:t>
      </w:r>
      <w:r w:rsidR="00945DBD">
        <w:rPr>
          <w:rFonts w:cs="Arial"/>
          <w:lang w:val="fr-CH"/>
        </w:rPr>
        <w:noBreakHyphen/>
      </w:r>
      <w:r w:rsidR="00A86338" w:rsidRPr="0027582B">
        <w:rPr>
          <w:rFonts w:cs="Arial"/>
          <w:lang w:val="fr-CH"/>
        </w:rPr>
        <w:t>après, dans le cadre de notes finales</w:t>
      </w:r>
      <w:r w:rsidR="000970A8">
        <w:rPr>
          <w:rFonts w:cs="Arial"/>
          <w:lang w:val="fr-CH"/>
        </w:rPr>
        <w:t> :</w:t>
      </w:r>
    </w:p>
    <w:p w:rsidR="00A4614B" w:rsidRDefault="00A4614B" w:rsidP="004823C4">
      <w:pPr>
        <w:keepNext/>
        <w:rPr>
          <w:rFonts w:cs="Arial"/>
          <w:lang w:val="fr-CH" w:eastAsia="fr-FR"/>
        </w:rPr>
      </w:pPr>
    </w:p>
    <w:p w:rsidR="00A4614B" w:rsidRDefault="006968A4" w:rsidP="006968A4">
      <w:pPr>
        <w:pStyle w:val="ListParagraph"/>
        <w:keepNext/>
        <w:spacing w:after="60"/>
        <w:ind w:left="567"/>
        <w:contextualSpacing w:val="0"/>
        <w:rPr>
          <w:lang w:val="fr-CH"/>
        </w:rPr>
      </w:pPr>
      <w:r w:rsidRPr="00F12B5A">
        <w:rPr>
          <w:lang w:val="fr-CH"/>
        </w:rPr>
        <w:t>Élaboration de documents d</w:t>
      </w:r>
      <w:r w:rsidR="000970A8">
        <w:rPr>
          <w:lang w:val="fr-CH"/>
        </w:rPr>
        <w:t>’</w:t>
      </w:r>
      <w:r w:rsidRPr="00F12B5A">
        <w:rPr>
          <w:lang w:val="fr-CH"/>
        </w:rPr>
        <w:t>orientation et d</w:t>
      </w:r>
      <w:r w:rsidR="000970A8">
        <w:rPr>
          <w:lang w:val="fr-CH"/>
        </w:rPr>
        <w:t>’</w:t>
      </w:r>
      <w:r w:rsidRPr="00F12B5A">
        <w:rPr>
          <w:lang w:val="fr-CH"/>
        </w:rPr>
        <w:t>information (document CAJ/77/3</w:t>
      </w:r>
      <w:r w:rsidR="00073D9C" w:rsidRPr="00F12B5A">
        <w:rPr>
          <w:lang w:val="fr-CH"/>
        </w:rPr>
        <w:t> </w:t>
      </w:r>
      <w:proofErr w:type="spellStart"/>
      <w:r w:rsidRPr="00F12B5A">
        <w:rPr>
          <w:lang w:val="fr-CH"/>
        </w:rPr>
        <w:t>Rev</w:t>
      </w:r>
      <w:proofErr w:type="spellEnd"/>
      <w:r w:rsidRPr="00F12B5A">
        <w:rPr>
          <w:lang w:val="fr-CH"/>
        </w:rPr>
        <w:t>.)</w:t>
      </w:r>
    </w:p>
    <w:p w:rsidR="00A4614B" w:rsidRDefault="006968A4" w:rsidP="006968A4">
      <w:pPr>
        <w:pStyle w:val="ListParagraph"/>
        <w:keepNext/>
        <w:spacing w:after="60"/>
        <w:ind w:left="1134"/>
        <w:contextualSpacing w:val="0"/>
        <w:rPr>
          <w:rFonts w:cs="Arial"/>
          <w:lang w:val="fr-CH"/>
        </w:rPr>
      </w:pPr>
      <w:r w:rsidRPr="00F12B5A">
        <w:rPr>
          <w:rFonts w:cs="Arial"/>
          <w:lang w:val="fr-CH"/>
        </w:rPr>
        <w:t>UPOV/INF/16</w:t>
      </w:r>
      <w:r w:rsidR="000970A8">
        <w:rPr>
          <w:rFonts w:cs="Arial"/>
          <w:lang w:val="fr-CH"/>
        </w:rPr>
        <w:t> :</w:t>
      </w:r>
      <w:r w:rsidR="00073D9C" w:rsidRPr="00F12B5A">
        <w:rPr>
          <w:rFonts w:cs="Arial"/>
          <w:lang w:val="fr-CH"/>
        </w:rPr>
        <w:t xml:space="preserve"> </w:t>
      </w:r>
      <w:r w:rsidRPr="00F12B5A">
        <w:rPr>
          <w:rFonts w:cs="Arial"/>
          <w:lang w:val="fr-CH"/>
        </w:rPr>
        <w:tab/>
        <w:t>Logiciels échangeables (révision) (</w:t>
      </w:r>
      <w:r w:rsidR="00875470" w:rsidRPr="00F12B5A">
        <w:rPr>
          <w:rFonts w:cs="Arial"/>
          <w:lang w:val="fr-CH"/>
        </w:rPr>
        <w:t>document</w:t>
      </w:r>
      <w:r w:rsidR="00875470">
        <w:rPr>
          <w:rFonts w:cs="Arial"/>
          <w:lang w:val="fr-CH"/>
        </w:rPr>
        <w:t xml:space="preserve"> </w:t>
      </w:r>
      <w:r w:rsidR="00875470" w:rsidRPr="00F12B5A">
        <w:rPr>
          <w:rFonts w:cs="Arial"/>
          <w:lang w:val="fr-CH"/>
        </w:rPr>
        <w:t>UP</w:t>
      </w:r>
      <w:r w:rsidRPr="00F12B5A">
        <w:rPr>
          <w:rFonts w:cs="Arial"/>
          <w:lang w:val="fr-CH"/>
        </w:rPr>
        <w:t xml:space="preserve">OV/INF/16/9 </w:t>
      </w:r>
      <w:proofErr w:type="spellStart"/>
      <w:r w:rsidRPr="00F12B5A">
        <w:rPr>
          <w:rFonts w:cs="Arial"/>
          <w:lang w:val="fr-CH"/>
        </w:rPr>
        <w:t>Draft</w:t>
      </w:r>
      <w:proofErr w:type="spellEnd"/>
      <w:r w:rsidR="00EE25CC" w:rsidRPr="00F12B5A">
        <w:rPr>
          <w:rFonts w:cs="Arial"/>
          <w:lang w:val="fr-CH"/>
        </w:rPr>
        <w:t> </w:t>
      </w:r>
      <w:r w:rsidRPr="00F12B5A">
        <w:rPr>
          <w:rFonts w:cs="Arial"/>
          <w:lang w:val="fr-CH"/>
        </w:rPr>
        <w:t>2)</w:t>
      </w:r>
    </w:p>
    <w:p w:rsidR="00A4614B" w:rsidRDefault="006968A4" w:rsidP="006968A4">
      <w:pPr>
        <w:pStyle w:val="ListParagraph"/>
        <w:spacing w:after="120"/>
        <w:ind w:left="567"/>
        <w:contextualSpacing w:val="0"/>
        <w:rPr>
          <w:rFonts w:cs="Arial"/>
          <w:lang w:val="fr-CH"/>
        </w:rPr>
      </w:pPr>
      <w:r w:rsidRPr="00F12B5A">
        <w:rPr>
          <w:rFonts w:cs="Arial"/>
          <w:lang w:val="fr-CH"/>
        </w:rPr>
        <w:t>Variétés essentiellement dérivées (document CAJ/77/4</w:t>
      </w:r>
      <w:r w:rsidR="00073D9C" w:rsidRPr="00F12B5A">
        <w:rPr>
          <w:rFonts w:cs="Arial"/>
          <w:lang w:val="fr-CH"/>
        </w:rPr>
        <w:t> </w:t>
      </w:r>
      <w:proofErr w:type="spellStart"/>
      <w:r w:rsidRPr="00F12B5A">
        <w:rPr>
          <w:rFonts w:cs="Arial"/>
          <w:lang w:val="fr-CH"/>
        </w:rPr>
        <w:t>Rev</w:t>
      </w:r>
      <w:proofErr w:type="spellEnd"/>
      <w:r w:rsidRPr="00F12B5A">
        <w:rPr>
          <w:rFonts w:cs="Arial"/>
          <w:lang w:val="fr-CH"/>
        </w:rPr>
        <w:t>.)</w:t>
      </w:r>
    </w:p>
    <w:p w:rsidR="00A4614B" w:rsidRDefault="00A4614B" w:rsidP="004823C4">
      <w:pPr>
        <w:rPr>
          <w:lang w:val="fr-CH"/>
        </w:rPr>
      </w:pPr>
    </w:p>
    <w:p w:rsidR="00A4614B" w:rsidRDefault="004823C4" w:rsidP="006968A4">
      <w:pPr>
        <w:rPr>
          <w:rFonts w:cs="Arial"/>
          <w:lang w:val="fr-CH" w:eastAsia="fr-FR"/>
        </w:rPr>
      </w:pPr>
      <w:r w:rsidRPr="00F12B5A">
        <w:rPr>
          <w:rFonts w:cs="Arial"/>
        </w:rPr>
        <w:fldChar w:fldCharType="begin"/>
      </w:r>
      <w:r w:rsidRPr="00F12B5A">
        <w:rPr>
          <w:rFonts w:cs="Arial"/>
          <w:lang w:val="fr-CH"/>
        </w:rPr>
        <w:instrText xml:space="preserve"> AUTONUM  </w:instrText>
      </w:r>
      <w:r w:rsidRPr="00F12B5A">
        <w:rPr>
          <w:rFonts w:cs="Arial"/>
        </w:rPr>
        <w:fldChar w:fldCharType="end"/>
      </w:r>
      <w:r w:rsidRPr="00F12B5A">
        <w:rPr>
          <w:rFonts w:cs="Arial"/>
          <w:lang w:val="fr-CH"/>
        </w:rPr>
        <w:tab/>
      </w:r>
      <w:r w:rsidR="006968A4" w:rsidRPr="00F12B5A">
        <w:rPr>
          <w:rFonts w:cs="Arial"/>
          <w:lang w:val="fr-CH"/>
        </w:rPr>
        <w:t>Au 2</w:t>
      </w:r>
      <w:r w:rsidR="00165F29" w:rsidRPr="00F12B5A">
        <w:rPr>
          <w:rFonts w:cs="Arial"/>
          <w:lang w:val="fr-CH"/>
        </w:rPr>
        <w:t>1 septembre 20</w:t>
      </w:r>
      <w:r w:rsidR="006968A4" w:rsidRPr="00F12B5A">
        <w:rPr>
          <w:rFonts w:cs="Arial"/>
          <w:lang w:val="fr-CH"/>
        </w:rPr>
        <w:t>20, les observations reçues sur les documents ci</w:t>
      </w:r>
      <w:r w:rsidR="00945DBD">
        <w:rPr>
          <w:rFonts w:cs="Arial"/>
          <w:lang w:val="fr-CH"/>
        </w:rPr>
        <w:noBreakHyphen/>
      </w:r>
      <w:r w:rsidR="006968A4" w:rsidRPr="00F12B5A">
        <w:rPr>
          <w:rFonts w:cs="Arial"/>
          <w:lang w:val="fr-CH"/>
        </w:rPr>
        <w:t>après n</w:t>
      </w:r>
      <w:r w:rsidR="000970A8">
        <w:rPr>
          <w:rFonts w:cs="Arial"/>
          <w:lang w:val="fr-CH"/>
        </w:rPr>
        <w:t>’</w:t>
      </w:r>
      <w:r w:rsidR="006968A4" w:rsidRPr="00F12B5A">
        <w:rPr>
          <w:rFonts w:cs="Arial"/>
          <w:lang w:val="fr-CH"/>
        </w:rPr>
        <w:t>étaient pas des observations simples et, par conséquent, ces documents n</w:t>
      </w:r>
      <w:r w:rsidR="000970A8">
        <w:rPr>
          <w:rFonts w:cs="Arial"/>
          <w:lang w:val="fr-CH"/>
        </w:rPr>
        <w:t>’</w:t>
      </w:r>
      <w:r w:rsidR="006968A4" w:rsidRPr="00F12B5A">
        <w:rPr>
          <w:rFonts w:cs="Arial"/>
          <w:lang w:val="fr-CH"/>
        </w:rPr>
        <w:t xml:space="preserve">étaient pas soumis </w:t>
      </w:r>
      <w:r w:rsidR="00F12B5A">
        <w:rPr>
          <w:rFonts w:cs="Arial"/>
          <w:lang w:val="fr-CH"/>
        </w:rPr>
        <w:t xml:space="preserve">au </w:t>
      </w:r>
      <w:r w:rsidR="006968A4" w:rsidRPr="00F12B5A">
        <w:rPr>
          <w:rFonts w:cs="Arial"/>
          <w:lang w:val="fr-CH"/>
        </w:rPr>
        <w:t xml:space="preserve">Conseil </w:t>
      </w:r>
      <w:r w:rsidR="00F12B5A">
        <w:rPr>
          <w:rFonts w:cs="Arial"/>
          <w:lang w:val="fr-CH"/>
        </w:rPr>
        <w:t xml:space="preserve">pour approbation </w:t>
      </w:r>
      <w:r w:rsidR="006968A4" w:rsidRPr="00F12B5A">
        <w:rPr>
          <w:rFonts w:cs="Arial"/>
          <w:lang w:val="fr-CH"/>
        </w:rPr>
        <w:t xml:space="preserve">par correspondance </w:t>
      </w:r>
      <w:r w:rsidR="0052482B">
        <w:rPr>
          <w:rFonts w:cs="Arial"/>
          <w:lang w:val="fr-CH"/>
        </w:rPr>
        <w:t xml:space="preserve">des décisions contenues dans les documents </w:t>
      </w:r>
      <w:r w:rsidR="006968A4" w:rsidRPr="00F12B5A">
        <w:rPr>
          <w:rFonts w:cs="Arial"/>
          <w:lang w:val="fr-CH"/>
        </w:rPr>
        <w:t>et seront examinés lors des sessions virtuelles correspondantes</w:t>
      </w:r>
      <w:r w:rsidR="000970A8">
        <w:rPr>
          <w:rFonts w:cs="Arial"/>
          <w:lang w:val="fr-CH"/>
        </w:rPr>
        <w:t> :</w:t>
      </w:r>
    </w:p>
    <w:p w:rsidR="00A4614B" w:rsidRDefault="00A4614B" w:rsidP="004823C4">
      <w:pPr>
        <w:rPr>
          <w:rFonts w:cs="Arial"/>
          <w:lang w:val="fr-CH" w:eastAsia="fr-FR"/>
        </w:rPr>
      </w:pPr>
    </w:p>
    <w:p w:rsidR="00A4614B" w:rsidRDefault="006968A4" w:rsidP="006968A4">
      <w:pPr>
        <w:keepNext/>
        <w:ind w:left="567"/>
        <w:rPr>
          <w:rFonts w:cs="Arial"/>
          <w:lang w:val="fr-CH" w:eastAsia="fr-FR"/>
        </w:rPr>
      </w:pPr>
      <w:r w:rsidRPr="00F12B5A">
        <w:rPr>
          <w:rFonts w:cs="Arial"/>
          <w:lang w:val="fr-CH" w:eastAsia="fr-FR"/>
        </w:rPr>
        <w:t xml:space="preserve">Document UPOV/EXN/DEN/1 </w:t>
      </w:r>
      <w:proofErr w:type="spellStart"/>
      <w:r w:rsidRPr="00F12B5A">
        <w:rPr>
          <w:rFonts w:cs="Arial"/>
          <w:lang w:val="fr-CH" w:eastAsia="fr-FR"/>
        </w:rPr>
        <w:t>Draft</w:t>
      </w:r>
      <w:proofErr w:type="spellEnd"/>
      <w:r w:rsidR="00EE25CC" w:rsidRPr="00F12B5A">
        <w:rPr>
          <w:rFonts w:cs="Arial"/>
          <w:lang w:val="fr-CH" w:eastAsia="fr-FR"/>
        </w:rPr>
        <w:t> </w:t>
      </w:r>
      <w:r w:rsidRPr="00F12B5A">
        <w:rPr>
          <w:rFonts w:cs="Arial"/>
          <w:lang w:val="fr-CH" w:eastAsia="fr-FR"/>
        </w:rPr>
        <w:t xml:space="preserve">4 “Notes explicatives concernant les dénominations variétales en vertu de la </w:t>
      </w:r>
      <w:r w:rsidR="000970A8">
        <w:rPr>
          <w:rFonts w:cs="Arial"/>
          <w:lang w:val="fr-CH" w:eastAsia="fr-FR"/>
        </w:rPr>
        <w:t>Convention UPOV</w:t>
      </w:r>
      <w:r w:rsidRPr="00F12B5A">
        <w:rPr>
          <w:rFonts w:cs="Arial"/>
          <w:lang w:val="fr-CH" w:eastAsia="fr-FR"/>
        </w:rPr>
        <w:t>”</w:t>
      </w:r>
    </w:p>
    <w:p w:rsidR="00A4614B" w:rsidRDefault="00A4614B" w:rsidP="004823C4">
      <w:pPr>
        <w:keepNext/>
        <w:ind w:left="360"/>
        <w:rPr>
          <w:rFonts w:cs="Arial"/>
          <w:lang w:val="fr-CH" w:eastAsia="fr-FR"/>
        </w:rPr>
      </w:pPr>
    </w:p>
    <w:p w:rsidR="00A4614B" w:rsidRDefault="006968A4" w:rsidP="006968A4">
      <w:pPr>
        <w:pStyle w:val="ListParagraph"/>
        <w:ind w:left="567"/>
        <w:contextualSpacing w:val="0"/>
        <w:rPr>
          <w:rFonts w:cs="Arial"/>
          <w:lang w:val="fr-CH"/>
        </w:rPr>
      </w:pPr>
      <w:r w:rsidRPr="00F12B5A">
        <w:rPr>
          <w:rFonts w:cs="Arial"/>
          <w:lang w:val="fr-CH"/>
        </w:rPr>
        <w:t>Document CAJ/77/6 “Nouveauté des lignées parentales en rapport avec l</w:t>
      </w:r>
      <w:r w:rsidR="000970A8">
        <w:rPr>
          <w:rFonts w:cs="Arial"/>
          <w:lang w:val="fr-CH"/>
        </w:rPr>
        <w:t>’</w:t>
      </w:r>
      <w:r w:rsidR="003A768F">
        <w:rPr>
          <w:rFonts w:cs="Arial"/>
          <w:lang w:val="fr-CH"/>
        </w:rPr>
        <w:t>exploitation de la variété </w:t>
      </w:r>
      <w:r w:rsidRPr="00F12B5A">
        <w:rPr>
          <w:rFonts w:cs="Arial"/>
          <w:lang w:val="fr-CH"/>
        </w:rPr>
        <w:t>hybride”</w:t>
      </w:r>
    </w:p>
    <w:p w:rsidR="00A4614B" w:rsidRDefault="00A4614B" w:rsidP="004823C4">
      <w:pPr>
        <w:rPr>
          <w:lang w:val="fr-CH"/>
        </w:rPr>
      </w:pPr>
    </w:p>
    <w:p w:rsidR="00A4614B" w:rsidRDefault="004823C4" w:rsidP="00FB17C9">
      <w:pPr>
        <w:keepNext/>
        <w:rPr>
          <w:rFonts w:cs="Arial"/>
          <w:lang w:val="fr-CH"/>
        </w:rPr>
      </w:pPr>
      <w:r w:rsidRPr="00F12B5A">
        <w:rPr>
          <w:rFonts w:cs="Arial"/>
        </w:rPr>
        <w:fldChar w:fldCharType="begin"/>
      </w:r>
      <w:r w:rsidRPr="00F12B5A">
        <w:rPr>
          <w:rFonts w:cs="Arial"/>
          <w:lang w:val="fr-CH"/>
        </w:rPr>
        <w:instrText xml:space="preserve"> AUTONUM  </w:instrText>
      </w:r>
      <w:r w:rsidRPr="00F12B5A">
        <w:rPr>
          <w:rFonts w:cs="Arial"/>
        </w:rPr>
        <w:fldChar w:fldCharType="end"/>
      </w:r>
      <w:r w:rsidRPr="00F12B5A">
        <w:rPr>
          <w:rFonts w:cs="Arial"/>
          <w:lang w:val="fr-CH"/>
        </w:rPr>
        <w:tab/>
      </w:r>
      <w:r w:rsidR="00FB17C9" w:rsidRPr="00F12B5A">
        <w:rPr>
          <w:rFonts w:cs="Arial"/>
          <w:lang w:val="fr-CH"/>
        </w:rPr>
        <w:t xml:space="preserve">Les observations reçues au sujet des documents UPOV/EXN/DEN/1 </w:t>
      </w:r>
      <w:proofErr w:type="spellStart"/>
      <w:r w:rsidR="00FB17C9" w:rsidRPr="00F12B5A">
        <w:rPr>
          <w:rFonts w:cs="Arial"/>
          <w:lang w:val="fr-CH"/>
        </w:rPr>
        <w:t>Draft</w:t>
      </w:r>
      <w:proofErr w:type="spellEnd"/>
      <w:r w:rsidR="00EE25CC" w:rsidRPr="00F12B5A">
        <w:rPr>
          <w:rFonts w:cs="Arial"/>
          <w:lang w:val="fr-CH"/>
        </w:rPr>
        <w:t> </w:t>
      </w:r>
      <w:r w:rsidR="00FB17C9" w:rsidRPr="00F12B5A">
        <w:rPr>
          <w:rFonts w:cs="Arial"/>
          <w:lang w:val="fr-CH"/>
        </w:rPr>
        <w:t xml:space="preserve">4 “Notes explicatives concernant les dénominations variétales en vertu de la </w:t>
      </w:r>
      <w:r w:rsidR="000970A8">
        <w:rPr>
          <w:rFonts w:cs="Arial"/>
          <w:lang w:val="fr-CH"/>
        </w:rPr>
        <w:t>Convention UPOV</w:t>
      </w:r>
      <w:r w:rsidR="00FB17C9" w:rsidRPr="00F12B5A">
        <w:rPr>
          <w:rFonts w:cs="Arial"/>
          <w:lang w:val="fr-CH"/>
        </w:rPr>
        <w:t xml:space="preserve">” et CAJ/77/6 “Nouveauté des lignées parentales en rapport avec </w:t>
      </w:r>
      <w:r w:rsidR="00FB17C9" w:rsidRPr="003A768F">
        <w:rPr>
          <w:rFonts w:cs="Arial"/>
          <w:lang w:val="fr-CH"/>
        </w:rPr>
        <w:t>l</w:t>
      </w:r>
      <w:r w:rsidR="000970A8" w:rsidRPr="003A768F">
        <w:rPr>
          <w:rFonts w:cs="Arial"/>
          <w:lang w:val="fr-CH"/>
        </w:rPr>
        <w:t>’</w:t>
      </w:r>
      <w:r w:rsidR="00FB17C9" w:rsidRPr="003A768F">
        <w:rPr>
          <w:rFonts w:cs="Arial"/>
          <w:lang w:val="fr-CH"/>
        </w:rPr>
        <w:t>exploitation de la variété hybride” sont contenues dans le présent document (voir respectivement les paragraphes 34 et 49).</w:t>
      </w:r>
      <w:r w:rsidRPr="003A768F">
        <w:rPr>
          <w:lang w:val="fr-CH"/>
        </w:rPr>
        <w:t xml:space="preserve">  </w:t>
      </w:r>
      <w:r w:rsidR="00FB17C9" w:rsidRPr="003A768F">
        <w:rPr>
          <w:rFonts w:cs="Arial"/>
          <w:lang w:val="fr-CH"/>
        </w:rPr>
        <w:t xml:space="preserve">Le présent document contient également des propositions pour traiter ces observations dans les </w:t>
      </w:r>
      <w:r w:rsidR="00165F29" w:rsidRPr="003A768F">
        <w:rPr>
          <w:rFonts w:cs="Arial"/>
          <w:lang w:val="fr-CH"/>
        </w:rPr>
        <w:t>paragraphes 3</w:t>
      </w:r>
      <w:r w:rsidR="00FB17C9" w:rsidRPr="003A768F">
        <w:rPr>
          <w:rFonts w:cs="Arial"/>
          <w:lang w:val="fr-CH"/>
        </w:rPr>
        <w:t>5 et 50.</w:t>
      </w:r>
    </w:p>
    <w:p w:rsidR="00A4614B" w:rsidRDefault="00A4614B" w:rsidP="004823C4">
      <w:pPr>
        <w:rPr>
          <w:lang w:val="fr-CH"/>
        </w:rPr>
      </w:pPr>
    </w:p>
    <w:p w:rsidR="00A4614B" w:rsidRDefault="004823C4" w:rsidP="003A768F">
      <w:pPr>
        <w:keepNext/>
        <w:spacing w:after="120"/>
        <w:rPr>
          <w:rFonts w:cs="Arial"/>
          <w:lang w:val="fr-CH"/>
        </w:rPr>
      </w:pPr>
      <w:r w:rsidRPr="00F12B5A">
        <w:rPr>
          <w:rFonts w:cs="Arial"/>
        </w:rPr>
        <w:lastRenderedPageBreak/>
        <w:fldChar w:fldCharType="begin"/>
      </w:r>
      <w:r w:rsidRPr="00F12B5A">
        <w:rPr>
          <w:rFonts w:cs="Arial"/>
          <w:lang w:val="fr-CH"/>
        </w:rPr>
        <w:instrText xml:space="preserve"> AUTONUM  </w:instrText>
      </w:r>
      <w:r w:rsidRPr="00F12B5A">
        <w:rPr>
          <w:rFonts w:cs="Arial"/>
        </w:rPr>
        <w:fldChar w:fldCharType="end"/>
      </w:r>
      <w:r w:rsidRPr="00F12B5A">
        <w:rPr>
          <w:rFonts w:cs="Arial"/>
          <w:lang w:val="fr-CH"/>
        </w:rPr>
        <w:tab/>
      </w:r>
      <w:r w:rsidR="00FB17C9" w:rsidRPr="00F12B5A">
        <w:rPr>
          <w:rFonts w:cs="Arial"/>
          <w:lang w:val="fr-CH"/>
        </w:rPr>
        <w:t>La circulaire</w:t>
      </w:r>
      <w:r w:rsidR="00EE25CC" w:rsidRPr="00F12B5A">
        <w:rPr>
          <w:rFonts w:cs="Arial"/>
          <w:lang w:val="fr-CH"/>
        </w:rPr>
        <w:t> </w:t>
      </w:r>
      <w:r w:rsidR="00FB17C9" w:rsidRPr="00F12B5A">
        <w:rPr>
          <w:rFonts w:cs="Arial"/>
          <w:lang w:val="fr-CH"/>
        </w:rPr>
        <w:t>E</w:t>
      </w:r>
      <w:r w:rsidR="00945DBD">
        <w:rPr>
          <w:rFonts w:cs="Arial"/>
          <w:lang w:val="fr-CH"/>
        </w:rPr>
        <w:noBreakHyphen/>
      </w:r>
      <w:r w:rsidR="00FB17C9" w:rsidRPr="00F12B5A">
        <w:rPr>
          <w:rFonts w:cs="Arial"/>
          <w:lang w:val="fr-CH"/>
        </w:rPr>
        <w:t>20/160 du 2</w:t>
      </w:r>
      <w:r w:rsidR="00165F29" w:rsidRPr="00F12B5A">
        <w:rPr>
          <w:rFonts w:cs="Arial"/>
          <w:lang w:val="fr-CH"/>
        </w:rPr>
        <w:t>5 septembre 20</w:t>
      </w:r>
      <w:r w:rsidR="00FB17C9" w:rsidRPr="00F12B5A">
        <w:rPr>
          <w:rFonts w:cs="Arial"/>
          <w:lang w:val="fr-CH"/>
        </w:rPr>
        <w:t>20 invitait</w:t>
      </w:r>
      <w:r w:rsidR="00165F29" w:rsidRPr="00F12B5A">
        <w:rPr>
          <w:rFonts w:cs="Arial"/>
          <w:lang w:val="fr-CH"/>
        </w:rPr>
        <w:t xml:space="preserve"> le CAJ</w:t>
      </w:r>
      <w:r w:rsidR="00FB17C9" w:rsidRPr="00F12B5A">
        <w:rPr>
          <w:rFonts w:cs="Arial"/>
          <w:lang w:val="fr-CH"/>
        </w:rPr>
        <w:t xml:space="preserve"> à approuver la ou les décisions proposées contenues dans les documents </w:t>
      </w:r>
      <w:r w:rsidR="0052482B">
        <w:rPr>
          <w:rFonts w:cs="Arial"/>
          <w:lang w:val="fr-CH"/>
        </w:rPr>
        <w:t>ci</w:t>
      </w:r>
      <w:r w:rsidR="00945DBD">
        <w:rPr>
          <w:rFonts w:cs="Arial"/>
          <w:lang w:val="fr-CH"/>
        </w:rPr>
        <w:noBreakHyphen/>
      </w:r>
      <w:r w:rsidR="0052482B">
        <w:rPr>
          <w:rFonts w:cs="Arial"/>
          <w:lang w:val="fr-CH"/>
        </w:rPr>
        <w:t>après,</w:t>
      </w:r>
      <w:r w:rsidR="00FB17C9" w:rsidRPr="00F12B5A">
        <w:rPr>
          <w:rFonts w:cs="Arial"/>
          <w:lang w:val="fr-CH"/>
        </w:rPr>
        <w:t xml:space="preserve"> dans un délai de 30</w:t>
      </w:r>
      <w:r w:rsidR="00EE25CC" w:rsidRPr="00F12B5A">
        <w:rPr>
          <w:rFonts w:cs="Arial"/>
          <w:lang w:val="fr-CH"/>
        </w:rPr>
        <w:t> </w:t>
      </w:r>
      <w:r w:rsidR="00FB17C9" w:rsidRPr="00F12B5A">
        <w:rPr>
          <w:rFonts w:cs="Arial"/>
          <w:lang w:val="fr-CH"/>
        </w:rPr>
        <w:t>jours (soit le 2</w:t>
      </w:r>
      <w:r w:rsidR="00165F29" w:rsidRPr="00F12B5A">
        <w:rPr>
          <w:rFonts w:cs="Arial"/>
          <w:lang w:val="fr-CH"/>
        </w:rPr>
        <w:t>5 octobre 20</w:t>
      </w:r>
      <w:r w:rsidR="00FB17C9" w:rsidRPr="00F12B5A">
        <w:rPr>
          <w:rFonts w:cs="Arial"/>
          <w:lang w:val="fr-CH"/>
        </w:rPr>
        <w:t>20)</w:t>
      </w:r>
      <w:r w:rsidR="000970A8">
        <w:rPr>
          <w:rFonts w:cs="Arial"/>
          <w:lang w:val="fr-CH"/>
        </w:rPr>
        <w:t> :</w:t>
      </w:r>
    </w:p>
    <w:p w:rsidR="00A4614B" w:rsidRDefault="00FB17C9" w:rsidP="003A768F">
      <w:pPr>
        <w:pStyle w:val="ListParagraph"/>
        <w:keepNext/>
        <w:spacing w:after="120"/>
        <w:ind w:left="567"/>
        <w:contextualSpacing w:val="0"/>
        <w:rPr>
          <w:lang w:val="fr-CH"/>
        </w:rPr>
      </w:pPr>
      <w:r w:rsidRPr="00F12B5A">
        <w:rPr>
          <w:lang w:val="fr-CH"/>
        </w:rPr>
        <w:t>Élaboration de documents d</w:t>
      </w:r>
      <w:r w:rsidR="000970A8">
        <w:rPr>
          <w:lang w:val="fr-CH"/>
        </w:rPr>
        <w:t>’</w:t>
      </w:r>
      <w:r w:rsidRPr="00F12B5A">
        <w:rPr>
          <w:lang w:val="fr-CH"/>
        </w:rPr>
        <w:t>orientation et d</w:t>
      </w:r>
      <w:r w:rsidR="000970A8">
        <w:rPr>
          <w:lang w:val="fr-CH"/>
        </w:rPr>
        <w:t>’</w:t>
      </w:r>
      <w:r w:rsidRPr="00F12B5A">
        <w:rPr>
          <w:lang w:val="fr-CH"/>
        </w:rPr>
        <w:t>information (document CAJ/77/3</w:t>
      </w:r>
      <w:r w:rsidR="00073D9C" w:rsidRPr="00F12B5A">
        <w:rPr>
          <w:lang w:val="fr-CH"/>
        </w:rPr>
        <w:t> </w:t>
      </w:r>
      <w:proofErr w:type="spellStart"/>
      <w:r w:rsidRPr="00F12B5A">
        <w:rPr>
          <w:lang w:val="fr-CH"/>
        </w:rPr>
        <w:t>Rev</w:t>
      </w:r>
      <w:proofErr w:type="spellEnd"/>
      <w:r w:rsidRPr="00F12B5A">
        <w:rPr>
          <w:lang w:val="fr-CH"/>
        </w:rPr>
        <w:t>.)</w:t>
      </w:r>
    </w:p>
    <w:p w:rsidR="00A4614B" w:rsidRDefault="00FB17C9" w:rsidP="003A768F">
      <w:pPr>
        <w:pStyle w:val="ListParagraph"/>
        <w:keepNext/>
        <w:spacing w:after="120"/>
        <w:ind w:left="567"/>
        <w:contextualSpacing w:val="0"/>
        <w:rPr>
          <w:rFonts w:cs="Angsana New"/>
          <w:szCs w:val="24"/>
          <w:lang w:val="fr-CH" w:eastAsia="ja-JP" w:bidi="th-TH"/>
        </w:rPr>
      </w:pPr>
      <w:r w:rsidRPr="00F12B5A">
        <w:rPr>
          <w:rFonts w:cs="Angsana New"/>
          <w:szCs w:val="24"/>
          <w:lang w:val="fr-CH" w:eastAsia="ja-JP" w:bidi="th-TH"/>
        </w:rPr>
        <w:t>Variétés essentiellement dérivées (document CAJ/77/4</w:t>
      </w:r>
      <w:r w:rsidR="00073D9C" w:rsidRPr="00F12B5A">
        <w:rPr>
          <w:rFonts w:cs="Angsana New"/>
          <w:szCs w:val="24"/>
          <w:lang w:val="fr-CH" w:eastAsia="ja-JP" w:bidi="th-TH"/>
        </w:rPr>
        <w:t> </w:t>
      </w:r>
      <w:proofErr w:type="spellStart"/>
      <w:r w:rsidRPr="00F12B5A">
        <w:rPr>
          <w:rFonts w:cs="Angsana New"/>
          <w:szCs w:val="24"/>
          <w:lang w:val="fr-CH" w:eastAsia="ja-JP" w:bidi="th-TH"/>
        </w:rPr>
        <w:t>Rev</w:t>
      </w:r>
      <w:proofErr w:type="spellEnd"/>
      <w:r w:rsidRPr="00F12B5A">
        <w:rPr>
          <w:rFonts w:cs="Angsana New"/>
          <w:szCs w:val="24"/>
          <w:lang w:val="fr-CH" w:eastAsia="ja-JP" w:bidi="th-TH"/>
        </w:rPr>
        <w:t>.)</w:t>
      </w:r>
    </w:p>
    <w:p w:rsidR="00A4614B" w:rsidRDefault="00FB17C9" w:rsidP="003A768F">
      <w:pPr>
        <w:pStyle w:val="ListParagraph"/>
        <w:spacing w:after="120"/>
        <w:ind w:left="567"/>
        <w:contextualSpacing w:val="0"/>
        <w:rPr>
          <w:rFonts w:cs="Angsana New"/>
          <w:szCs w:val="24"/>
          <w:lang w:val="fr-CH" w:eastAsia="ja-JP" w:bidi="th-TH"/>
        </w:rPr>
      </w:pPr>
      <w:r w:rsidRPr="00F12B5A">
        <w:rPr>
          <w:rFonts w:cs="Angsana New"/>
          <w:szCs w:val="24"/>
          <w:lang w:val="fr-CH" w:eastAsia="ja-JP" w:bidi="th-TH"/>
        </w:rPr>
        <w:t>Produit de la récolte (</w:t>
      </w:r>
      <w:r w:rsidR="00875470" w:rsidRPr="00F12B5A">
        <w:rPr>
          <w:rFonts w:cs="Angsana New"/>
          <w:szCs w:val="24"/>
          <w:lang w:val="fr-CH" w:eastAsia="ja-JP" w:bidi="th-TH"/>
        </w:rPr>
        <w:t>document</w:t>
      </w:r>
      <w:r w:rsidR="00875470">
        <w:rPr>
          <w:rFonts w:cs="Angsana New"/>
          <w:szCs w:val="24"/>
          <w:lang w:val="fr-CH" w:eastAsia="ja-JP" w:bidi="th-TH"/>
        </w:rPr>
        <w:t xml:space="preserve"> </w:t>
      </w:r>
      <w:r w:rsidR="00875470" w:rsidRPr="00F12B5A">
        <w:rPr>
          <w:rFonts w:cs="Angsana New"/>
          <w:szCs w:val="24"/>
          <w:lang w:val="fr-CH" w:eastAsia="ja-JP" w:bidi="th-TH"/>
        </w:rPr>
        <w:t>CA</w:t>
      </w:r>
      <w:r w:rsidRPr="00F12B5A">
        <w:rPr>
          <w:rFonts w:cs="Angsana New"/>
          <w:szCs w:val="24"/>
          <w:lang w:val="fr-CH" w:eastAsia="ja-JP" w:bidi="th-TH"/>
        </w:rPr>
        <w:t>J/77/5)</w:t>
      </w:r>
    </w:p>
    <w:p w:rsidR="00A4614B" w:rsidRDefault="00FB17C9" w:rsidP="003A768F">
      <w:pPr>
        <w:pStyle w:val="ListParagraph"/>
        <w:ind w:left="567"/>
        <w:contextualSpacing w:val="0"/>
        <w:rPr>
          <w:rFonts w:cs="Angsana New"/>
          <w:szCs w:val="24"/>
          <w:lang w:val="fr-CH" w:eastAsia="ja-JP" w:bidi="th-TH"/>
        </w:rPr>
      </w:pPr>
      <w:r w:rsidRPr="0052482B">
        <w:rPr>
          <w:rFonts w:cs="Angsana New"/>
          <w:szCs w:val="24"/>
          <w:lang w:val="fr-CH" w:eastAsia="ja-JP" w:bidi="th-TH"/>
        </w:rPr>
        <w:t>Outil de recherche de similarité aux fins de la dénomination variétale (</w:t>
      </w:r>
      <w:r w:rsidR="00875470" w:rsidRPr="0052482B">
        <w:rPr>
          <w:rFonts w:cs="Angsana New"/>
          <w:szCs w:val="24"/>
          <w:lang w:val="fr-CH" w:eastAsia="ja-JP" w:bidi="th-TH"/>
        </w:rPr>
        <w:t>document</w:t>
      </w:r>
      <w:r w:rsidR="00875470">
        <w:rPr>
          <w:rFonts w:cs="Angsana New"/>
          <w:szCs w:val="24"/>
          <w:lang w:val="fr-CH" w:eastAsia="ja-JP" w:bidi="th-TH"/>
        </w:rPr>
        <w:t xml:space="preserve"> </w:t>
      </w:r>
      <w:r w:rsidR="00875470" w:rsidRPr="0052482B">
        <w:rPr>
          <w:rFonts w:cs="Angsana New"/>
          <w:szCs w:val="24"/>
          <w:lang w:val="fr-CH" w:eastAsia="ja-JP" w:bidi="th-TH"/>
        </w:rPr>
        <w:t>CA</w:t>
      </w:r>
      <w:r w:rsidRPr="0052482B">
        <w:rPr>
          <w:rFonts w:cs="Angsana New"/>
          <w:szCs w:val="24"/>
          <w:lang w:val="fr-CH" w:eastAsia="ja-JP" w:bidi="th-TH"/>
        </w:rPr>
        <w:t>J/77/7)</w:t>
      </w:r>
    </w:p>
    <w:p w:rsidR="00A4614B" w:rsidRDefault="00A4614B" w:rsidP="004823C4">
      <w:pPr>
        <w:ind w:left="1134" w:hanging="1134"/>
        <w:rPr>
          <w:rFonts w:cs="Arial"/>
          <w:highlight w:val="lightGray"/>
          <w:lang w:val="fr-CH"/>
        </w:rPr>
      </w:pPr>
    </w:p>
    <w:p w:rsidR="00A4614B" w:rsidRDefault="004823C4" w:rsidP="00F55503">
      <w:pPr>
        <w:rPr>
          <w:rFonts w:cs="Arial"/>
          <w:lang w:val="fr-CH"/>
        </w:rPr>
      </w:pPr>
      <w:r w:rsidRPr="00157E95">
        <w:rPr>
          <w:rFonts w:cs="Arial"/>
        </w:rPr>
        <w:fldChar w:fldCharType="begin"/>
      </w:r>
      <w:r w:rsidRPr="00F55503">
        <w:rPr>
          <w:rFonts w:cs="Arial"/>
          <w:lang w:val="fr-CH"/>
        </w:rPr>
        <w:instrText xml:space="preserve"> AUTONUM  </w:instrText>
      </w:r>
      <w:r w:rsidRPr="00157E95">
        <w:rPr>
          <w:rFonts w:cs="Arial"/>
        </w:rPr>
        <w:fldChar w:fldCharType="end"/>
      </w:r>
      <w:r w:rsidRPr="00F55503">
        <w:rPr>
          <w:rFonts w:cs="Arial"/>
          <w:lang w:val="fr-CH"/>
        </w:rPr>
        <w:tab/>
      </w:r>
      <w:r w:rsidR="00F55503" w:rsidRPr="00F55503">
        <w:rPr>
          <w:rFonts w:cs="Arial"/>
          <w:color w:val="000000"/>
          <w:lang w:val="fr-CH"/>
        </w:rPr>
        <w:t>Aucune objection n</w:t>
      </w:r>
      <w:r w:rsidR="000970A8">
        <w:rPr>
          <w:rFonts w:cs="Arial"/>
          <w:color w:val="000000"/>
          <w:lang w:val="fr-CH"/>
        </w:rPr>
        <w:t>’</w:t>
      </w:r>
      <w:r w:rsidR="00F55503" w:rsidRPr="00F55503">
        <w:rPr>
          <w:rFonts w:cs="Arial"/>
          <w:color w:val="000000"/>
          <w:lang w:val="fr-CH"/>
        </w:rPr>
        <w:t>ayant été reçue au 2</w:t>
      </w:r>
      <w:r w:rsidR="00165F29" w:rsidRPr="00F55503">
        <w:rPr>
          <w:rFonts w:cs="Arial"/>
          <w:color w:val="000000"/>
          <w:lang w:val="fr-CH"/>
        </w:rPr>
        <w:t>5</w:t>
      </w:r>
      <w:r w:rsidR="00165F29">
        <w:rPr>
          <w:rFonts w:cs="Arial"/>
          <w:color w:val="000000"/>
          <w:lang w:val="fr-CH"/>
        </w:rPr>
        <w:t> </w:t>
      </w:r>
      <w:r w:rsidR="00165F29" w:rsidRPr="00F55503">
        <w:rPr>
          <w:rFonts w:cs="Arial"/>
          <w:color w:val="000000"/>
          <w:lang w:val="fr-CH"/>
        </w:rPr>
        <w:t>octobre</w:t>
      </w:r>
      <w:r w:rsidR="00165F29">
        <w:rPr>
          <w:rFonts w:cs="Arial"/>
          <w:color w:val="000000"/>
          <w:lang w:val="fr-CH"/>
        </w:rPr>
        <w:t> </w:t>
      </w:r>
      <w:r w:rsidR="00165F29" w:rsidRPr="00F55503">
        <w:rPr>
          <w:rFonts w:cs="Arial"/>
          <w:color w:val="000000"/>
          <w:lang w:val="fr-CH"/>
        </w:rPr>
        <w:t>20</w:t>
      </w:r>
      <w:r w:rsidR="00F55503" w:rsidRPr="00F55503">
        <w:rPr>
          <w:rFonts w:cs="Arial"/>
          <w:color w:val="000000"/>
          <w:lang w:val="fr-CH"/>
        </w:rPr>
        <w:t xml:space="preserve">20, les décisions pertinentes reproduites dans les </w:t>
      </w:r>
      <w:r w:rsidR="00165F29" w:rsidRPr="003A768F">
        <w:rPr>
          <w:rFonts w:cs="Arial"/>
          <w:color w:val="000000"/>
          <w:lang w:val="fr-CH"/>
        </w:rPr>
        <w:t>paragraphes 1</w:t>
      </w:r>
      <w:r w:rsidR="00F55503" w:rsidRPr="003A768F">
        <w:rPr>
          <w:rFonts w:cs="Arial"/>
          <w:color w:val="000000"/>
          <w:lang w:val="fr-CH"/>
        </w:rPr>
        <w:t>3 à 33, 36 à 43 et 51 à 55, sont considérées</w:t>
      </w:r>
      <w:r w:rsidR="00F55503" w:rsidRPr="00F55503">
        <w:rPr>
          <w:rFonts w:cs="Arial"/>
          <w:color w:val="000000"/>
          <w:lang w:val="fr-CH"/>
        </w:rPr>
        <w:t xml:space="preserve"> comme ayant été prises par correspondance.</w:t>
      </w:r>
    </w:p>
    <w:p w:rsidR="00A4614B" w:rsidRDefault="00A4614B" w:rsidP="004823C4">
      <w:pPr>
        <w:jc w:val="left"/>
        <w:rPr>
          <w:lang w:val="fr-CH"/>
        </w:rPr>
      </w:pPr>
    </w:p>
    <w:p w:rsidR="00A4614B" w:rsidRDefault="00A4614B" w:rsidP="004823C4">
      <w:pPr>
        <w:jc w:val="left"/>
        <w:rPr>
          <w:lang w:val="fr-CH"/>
        </w:rPr>
      </w:pPr>
    </w:p>
    <w:p w:rsidR="00A4614B" w:rsidRPr="0063490F" w:rsidRDefault="00A4614B" w:rsidP="004823C4">
      <w:pPr>
        <w:jc w:val="left"/>
        <w:rPr>
          <w:caps/>
          <w:lang w:val="fr-CH"/>
        </w:rPr>
      </w:pPr>
    </w:p>
    <w:p w:rsidR="00A4614B" w:rsidRPr="003A768F" w:rsidRDefault="00165F29" w:rsidP="007145E5">
      <w:pPr>
        <w:pStyle w:val="Heading1"/>
      </w:pPr>
      <w:bookmarkStart w:id="4" w:name="_Toc55924362"/>
      <w:r w:rsidRPr="0063490F">
        <w:t>Point 6</w:t>
      </w:r>
      <w:r w:rsidR="00F55503" w:rsidRPr="0063490F">
        <w:t xml:space="preserve"> de l</w:t>
      </w:r>
      <w:r w:rsidR="000970A8">
        <w:t>’</w:t>
      </w:r>
      <w:r w:rsidR="00F55503" w:rsidRPr="0063490F">
        <w:t>ordre du jour</w:t>
      </w:r>
      <w:r w:rsidR="000970A8">
        <w:t> :</w:t>
      </w:r>
      <w:r w:rsidR="00F55503" w:rsidRPr="0063490F">
        <w:t xml:space="preserve"> </w:t>
      </w:r>
      <w:r w:rsidR="003A768F">
        <w:t xml:space="preserve"> </w:t>
      </w:r>
      <w:r w:rsidR="00F55503" w:rsidRPr="0063490F">
        <w:t>Élaboration de documents d</w:t>
      </w:r>
      <w:r w:rsidR="000970A8">
        <w:t>’</w:t>
      </w:r>
      <w:r w:rsidR="00F55503" w:rsidRPr="0063490F">
        <w:t xml:space="preserve">orientation et </w:t>
      </w:r>
      <w:r w:rsidR="00F55503" w:rsidRPr="003A768F">
        <w:t>d</w:t>
      </w:r>
      <w:r w:rsidR="000970A8" w:rsidRPr="003A768F">
        <w:t>’</w:t>
      </w:r>
      <w:r w:rsidR="00F55503" w:rsidRPr="003A768F">
        <w:t>information (</w:t>
      </w:r>
      <w:r w:rsidR="003A768F" w:rsidRPr="003A768F">
        <w:t>document </w:t>
      </w:r>
      <w:r w:rsidR="00875470" w:rsidRPr="003A768F">
        <w:t>CA</w:t>
      </w:r>
      <w:r w:rsidR="00F55503" w:rsidRPr="003A768F">
        <w:t>J/77/3 Rev.)</w:t>
      </w:r>
      <w:bookmarkEnd w:id="4"/>
    </w:p>
    <w:p w:rsidR="00A4614B" w:rsidRPr="003A768F" w:rsidRDefault="00A4614B" w:rsidP="004823C4">
      <w:pPr>
        <w:rPr>
          <w:sz w:val="18"/>
          <w:lang w:val="fr-CH"/>
        </w:rPr>
      </w:pPr>
    </w:p>
    <w:p w:rsidR="00A4614B" w:rsidRDefault="004823C4" w:rsidP="00F55503">
      <w:pPr>
        <w:keepNext/>
        <w:rPr>
          <w:snapToGrid w:val="0"/>
          <w:lang w:val="fr-CH"/>
        </w:rPr>
      </w:pPr>
      <w:r w:rsidRPr="003A768F">
        <w:fldChar w:fldCharType="begin"/>
      </w:r>
      <w:r w:rsidRPr="003A768F">
        <w:rPr>
          <w:lang w:val="fr-CH"/>
        </w:rPr>
        <w:instrText xml:space="preserve"> AUTONUM  </w:instrText>
      </w:r>
      <w:r w:rsidRPr="003A768F">
        <w:fldChar w:fldCharType="end"/>
      </w:r>
      <w:r w:rsidRPr="003A768F">
        <w:rPr>
          <w:lang w:val="fr-CH"/>
        </w:rPr>
        <w:tab/>
      </w:r>
      <w:r w:rsidR="00F55503" w:rsidRPr="003A768F">
        <w:rPr>
          <w:lang w:val="fr-CH"/>
        </w:rPr>
        <w:t>Le CAJ</w:t>
      </w:r>
      <w:r w:rsidR="00F55503" w:rsidRPr="0052482B">
        <w:rPr>
          <w:lang w:val="fr-CH"/>
        </w:rPr>
        <w:t xml:space="preserve"> a examiné le </w:t>
      </w:r>
      <w:r w:rsidR="00875470" w:rsidRPr="0052482B">
        <w:rPr>
          <w:lang w:val="fr-CH"/>
        </w:rPr>
        <w:t>document</w:t>
      </w:r>
      <w:r w:rsidR="00875470">
        <w:rPr>
          <w:lang w:val="fr-CH"/>
        </w:rPr>
        <w:t xml:space="preserve"> </w:t>
      </w:r>
      <w:r w:rsidR="00875470" w:rsidRPr="0052482B">
        <w:rPr>
          <w:lang w:val="fr-CH"/>
        </w:rPr>
        <w:t>CA</w:t>
      </w:r>
      <w:r w:rsidR="00F55503" w:rsidRPr="0052482B">
        <w:rPr>
          <w:lang w:val="fr-CH"/>
        </w:rPr>
        <w:t>J/77/3</w:t>
      </w:r>
      <w:r w:rsidR="00073D9C" w:rsidRPr="0052482B">
        <w:rPr>
          <w:lang w:val="fr-CH"/>
        </w:rPr>
        <w:t> </w:t>
      </w:r>
      <w:proofErr w:type="spellStart"/>
      <w:proofErr w:type="gramStart"/>
      <w:r w:rsidR="00F55503" w:rsidRPr="0052482B">
        <w:rPr>
          <w:lang w:val="fr-CH"/>
        </w:rPr>
        <w:t>Rev</w:t>
      </w:r>
      <w:proofErr w:type="spellEnd"/>
      <w:r w:rsidR="00F55503" w:rsidRPr="0052482B">
        <w:rPr>
          <w:lang w:val="fr-CH"/>
        </w:rPr>
        <w:t>.</w:t>
      </w:r>
      <w:r w:rsidR="00AD17A6">
        <w:rPr>
          <w:lang w:val="fr-CH"/>
        </w:rPr>
        <w:t>.</w:t>
      </w:r>
      <w:proofErr w:type="gramEnd"/>
    </w:p>
    <w:p w:rsidR="00A4614B" w:rsidRDefault="00A4614B" w:rsidP="004823C4">
      <w:pPr>
        <w:rPr>
          <w:lang w:val="fr-CH"/>
        </w:rPr>
      </w:pPr>
    </w:p>
    <w:p w:rsidR="00A4614B" w:rsidRDefault="00A4614B" w:rsidP="004823C4">
      <w:pPr>
        <w:rPr>
          <w:lang w:val="fr-CH"/>
        </w:rPr>
      </w:pPr>
    </w:p>
    <w:p w:rsidR="00A4614B" w:rsidRDefault="00F55503" w:rsidP="00F55503">
      <w:pPr>
        <w:pStyle w:val="Heading2"/>
        <w:rPr>
          <w:lang w:val="fr-CH"/>
        </w:rPr>
      </w:pPr>
      <w:bookmarkStart w:id="5" w:name="_Toc55924363"/>
      <w:r w:rsidRPr="0052482B">
        <w:rPr>
          <w:lang w:val="fr-CH"/>
        </w:rPr>
        <w:t>Documents d</w:t>
      </w:r>
      <w:r w:rsidR="000970A8">
        <w:rPr>
          <w:lang w:val="fr-CH"/>
        </w:rPr>
        <w:t>’</w:t>
      </w:r>
      <w:r w:rsidRPr="0052482B">
        <w:rPr>
          <w:lang w:val="fr-CH"/>
        </w:rPr>
        <w:t>information</w:t>
      </w:r>
      <w:bookmarkEnd w:id="5"/>
    </w:p>
    <w:p w:rsidR="00A4614B" w:rsidRDefault="00A4614B" w:rsidP="004823C4">
      <w:pPr>
        <w:keepNext/>
        <w:outlineLvl w:val="1"/>
        <w:rPr>
          <w:rFonts w:eastAsiaTheme="minorEastAsia"/>
          <w:sz w:val="18"/>
          <w:u w:val="single"/>
          <w:lang w:val="fr-CH"/>
        </w:rPr>
      </w:pPr>
    </w:p>
    <w:p w:rsidR="00A4614B" w:rsidRDefault="00F55503" w:rsidP="00F55503">
      <w:pPr>
        <w:pStyle w:val="Heading3"/>
        <w:rPr>
          <w:lang w:val="fr-CH"/>
        </w:rPr>
      </w:pPr>
      <w:bookmarkStart w:id="6" w:name="_Toc55924364"/>
      <w:r w:rsidRPr="0052482B">
        <w:rPr>
          <w:lang w:val="fr-CH"/>
        </w:rPr>
        <w:t>UPOV/INF/16</w:t>
      </w:r>
      <w:r w:rsidR="000970A8">
        <w:rPr>
          <w:lang w:val="fr-CH"/>
        </w:rPr>
        <w:t> :</w:t>
      </w:r>
      <w:r w:rsidR="003A768F">
        <w:rPr>
          <w:lang w:val="fr-CH"/>
        </w:rPr>
        <w:t xml:space="preserve"> </w:t>
      </w:r>
      <w:r w:rsidRPr="0052482B">
        <w:rPr>
          <w:lang w:val="fr-CH"/>
        </w:rPr>
        <w:t xml:space="preserve"> Logiciels échangeables (révision) (</w:t>
      </w:r>
      <w:r w:rsidR="00875470" w:rsidRPr="0052482B">
        <w:rPr>
          <w:lang w:val="fr-CH"/>
        </w:rPr>
        <w:t>document</w:t>
      </w:r>
      <w:r w:rsidR="003A768F">
        <w:rPr>
          <w:lang w:val="fr-CH"/>
        </w:rPr>
        <w:t> </w:t>
      </w:r>
      <w:r w:rsidR="00875470" w:rsidRPr="0052482B">
        <w:rPr>
          <w:lang w:val="fr-CH"/>
        </w:rPr>
        <w:t>UP</w:t>
      </w:r>
      <w:r w:rsidRPr="0052482B">
        <w:rPr>
          <w:lang w:val="fr-CH"/>
        </w:rPr>
        <w:t>OV/INF/16/9</w:t>
      </w:r>
      <w:r w:rsidR="003A768F">
        <w:rPr>
          <w:lang w:val="fr-CH"/>
        </w:rPr>
        <w:t> </w:t>
      </w:r>
      <w:proofErr w:type="spellStart"/>
      <w:r w:rsidRPr="0052482B">
        <w:rPr>
          <w:lang w:val="fr-CH"/>
        </w:rPr>
        <w:t>Draft</w:t>
      </w:r>
      <w:proofErr w:type="spellEnd"/>
      <w:r w:rsidR="00EE25CC" w:rsidRPr="0052482B">
        <w:rPr>
          <w:lang w:val="fr-CH"/>
        </w:rPr>
        <w:t> </w:t>
      </w:r>
      <w:r w:rsidRPr="0052482B">
        <w:rPr>
          <w:lang w:val="fr-CH"/>
        </w:rPr>
        <w:t>2)</w:t>
      </w:r>
      <w:bookmarkEnd w:id="6"/>
    </w:p>
    <w:p w:rsidR="00A4614B" w:rsidRDefault="00A4614B" w:rsidP="004823C4">
      <w:pPr>
        <w:keepNext/>
        <w:rPr>
          <w:sz w:val="18"/>
          <w:lang w:val="fr-CH"/>
        </w:rPr>
      </w:pPr>
    </w:p>
    <w:p w:rsidR="00A4614B" w:rsidRDefault="004823C4" w:rsidP="008702BE">
      <w:pPr>
        <w:keepLines/>
        <w:rPr>
          <w:rFonts w:eastAsia="SimSun"/>
          <w:snapToGrid w:val="0"/>
          <w:lang w:val="fr-CH" w:eastAsia="ja-JP"/>
        </w:rPr>
      </w:pPr>
      <w:r w:rsidRPr="0052482B">
        <w:rPr>
          <w:rFonts w:eastAsia="SimSun"/>
          <w:snapToGrid w:val="0"/>
          <w:lang w:eastAsia="ja-JP"/>
        </w:rPr>
        <w:fldChar w:fldCharType="begin"/>
      </w:r>
      <w:r w:rsidRPr="0052482B">
        <w:rPr>
          <w:rFonts w:eastAsia="SimSun"/>
          <w:snapToGrid w:val="0"/>
          <w:lang w:val="fr-CH" w:eastAsia="ja-JP"/>
        </w:rPr>
        <w:instrText xml:space="preserve"> AUTONUM  </w:instrText>
      </w:r>
      <w:r w:rsidRPr="0052482B">
        <w:rPr>
          <w:rFonts w:eastAsia="SimSun"/>
          <w:snapToGrid w:val="0"/>
          <w:lang w:eastAsia="ja-JP"/>
        </w:rPr>
        <w:fldChar w:fldCharType="end"/>
      </w:r>
      <w:r w:rsidRPr="0052482B">
        <w:rPr>
          <w:rFonts w:eastAsia="SimSun"/>
          <w:snapToGrid w:val="0"/>
          <w:lang w:val="fr-CH" w:eastAsia="ja-JP"/>
        </w:rPr>
        <w:tab/>
      </w:r>
      <w:r w:rsidR="008702BE" w:rsidRPr="0052482B">
        <w:rPr>
          <w:rFonts w:eastAsia="SimSun"/>
          <w:snapToGrid w:val="0"/>
          <w:lang w:val="fr-CH" w:eastAsia="ja-JP"/>
        </w:rPr>
        <w:t xml:space="preserve">Le CAJ a approuvé la proposition de révision du </w:t>
      </w:r>
      <w:r w:rsidR="00875470" w:rsidRPr="0052482B">
        <w:rPr>
          <w:rFonts w:eastAsia="SimSun"/>
          <w:snapToGrid w:val="0"/>
          <w:lang w:val="fr-CH" w:eastAsia="ja-JP"/>
        </w:rPr>
        <w:t>document</w:t>
      </w:r>
      <w:r w:rsidR="00875470">
        <w:rPr>
          <w:rFonts w:eastAsia="SimSun"/>
          <w:snapToGrid w:val="0"/>
          <w:lang w:val="fr-CH" w:eastAsia="ja-JP"/>
        </w:rPr>
        <w:t xml:space="preserve"> </w:t>
      </w:r>
      <w:r w:rsidR="00875470" w:rsidRPr="0052482B">
        <w:rPr>
          <w:rFonts w:eastAsia="SimSun"/>
          <w:snapToGrid w:val="0"/>
          <w:lang w:val="fr-CH" w:eastAsia="ja-JP"/>
        </w:rPr>
        <w:t>UP</w:t>
      </w:r>
      <w:r w:rsidR="008702BE" w:rsidRPr="0052482B">
        <w:rPr>
          <w:rFonts w:eastAsia="SimSun"/>
          <w:snapToGrid w:val="0"/>
          <w:lang w:val="fr-CH" w:eastAsia="ja-JP"/>
        </w:rPr>
        <w:t xml:space="preserve">OV/INF/16/8 “Logiciels échangeables” sur la base du </w:t>
      </w:r>
      <w:r w:rsidR="00875470" w:rsidRPr="0052482B">
        <w:rPr>
          <w:rFonts w:eastAsia="SimSun"/>
          <w:snapToGrid w:val="0"/>
          <w:lang w:val="fr-CH" w:eastAsia="ja-JP"/>
        </w:rPr>
        <w:t>document</w:t>
      </w:r>
      <w:r w:rsidR="00875470">
        <w:rPr>
          <w:rFonts w:eastAsia="SimSun"/>
          <w:snapToGrid w:val="0"/>
          <w:lang w:val="fr-CH" w:eastAsia="ja-JP"/>
        </w:rPr>
        <w:t xml:space="preserve"> </w:t>
      </w:r>
      <w:r w:rsidR="00875470" w:rsidRPr="0052482B">
        <w:rPr>
          <w:rFonts w:eastAsia="SimSun"/>
          <w:snapToGrid w:val="0"/>
          <w:lang w:val="fr-CH" w:eastAsia="ja-JP"/>
        </w:rPr>
        <w:t>UP</w:t>
      </w:r>
      <w:r w:rsidR="008702BE" w:rsidRPr="0052482B">
        <w:rPr>
          <w:rFonts w:eastAsia="SimSun"/>
          <w:snapToGrid w:val="0"/>
          <w:lang w:val="fr-CH" w:eastAsia="ja-JP"/>
        </w:rPr>
        <w:t xml:space="preserve">OV/INF/16/9 </w:t>
      </w:r>
      <w:proofErr w:type="spellStart"/>
      <w:r w:rsidR="008702BE" w:rsidRPr="0052482B">
        <w:rPr>
          <w:rFonts w:eastAsia="SimSun"/>
          <w:snapToGrid w:val="0"/>
          <w:lang w:val="fr-CH" w:eastAsia="ja-JP"/>
        </w:rPr>
        <w:t>Draft</w:t>
      </w:r>
      <w:proofErr w:type="spellEnd"/>
      <w:r w:rsidR="00EE25CC" w:rsidRPr="0052482B">
        <w:rPr>
          <w:rFonts w:eastAsia="SimSun"/>
          <w:snapToGrid w:val="0"/>
          <w:lang w:val="fr-CH" w:eastAsia="ja-JP"/>
        </w:rPr>
        <w:t> </w:t>
      </w:r>
      <w:r w:rsidR="008702BE" w:rsidRPr="0052482B">
        <w:rPr>
          <w:rFonts w:eastAsia="SimSun"/>
          <w:snapToGrid w:val="0"/>
          <w:lang w:val="fr-CH" w:eastAsia="ja-JP"/>
        </w:rPr>
        <w:t>2.</w:t>
      </w:r>
    </w:p>
    <w:p w:rsidR="00A4614B" w:rsidRDefault="00A4614B" w:rsidP="004823C4">
      <w:pPr>
        <w:rPr>
          <w:rFonts w:eastAsia="SimSun"/>
          <w:snapToGrid w:val="0"/>
          <w:lang w:val="fr-CH" w:eastAsia="ja-JP"/>
        </w:rPr>
      </w:pPr>
    </w:p>
    <w:p w:rsidR="00A4614B" w:rsidRDefault="004823C4" w:rsidP="008702BE">
      <w:pPr>
        <w:keepLines/>
        <w:rPr>
          <w:spacing w:val="-4"/>
          <w:lang w:val="fr-CH"/>
        </w:rPr>
      </w:pPr>
      <w:r w:rsidRPr="0052482B">
        <w:rPr>
          <w:spacing w:val="-4"/>
        </w:rPr>
        <w:fldChar w:fldCharType="begin"/>
      </w:r>
      <w:r w:rsidRPr="0052482B">
        <w:rPr>
          <w:spacing w:val="-4"/>
          <w:lang w:val="fr-CH"/>
        </w:rPr>
        <w:instrText xml:space="preserve"> AUTONUM  </w:instrText>
      </w:r>
      <w:r w:rsidRPr="0052482B">
        <w:rPr>
          <w:spacing w:val="-4"/>
        </w:rPr>
        <w:fldChar w:fldCharType="end"/>
      </w:r>
      <w:r w:rsidRPr="0052482B">
        <w:rPr>
          <w:spacing w:val="-4"/>
          <w:lang w:val="fr-CH"/>
        </w:rPr>
        <w:tab/>
      </w:r>
      <w:r w:rsidR="008702BE" w:rsidRPr="0052482B">
        <w:rPr>
          <w:spacing w:val="-4"/>
          <w:lang w:val="fr-CH"/>
        </w:rPr>
        <w:t>Le CAJ est convenu que le Conseil serait invité à examiner les propositions de révision du document UPOV/INF/16/9 “Logiciels échangeables” figurant dans le document UPOV/INF/16/9 </w:t>
      </w:r>
      <w:proofErr w:type="spellStart"/>
      <w:r w:rsidR="008702BE" w:rsidRPr="0052482B">
        <w:rPr>
          <w:spacing w:val="-4"/>
          <w:lang w:val="fr-CH"/>
        </w:rPr>
        <w:t>Draft</w:t>
      </w:r>
      <w:proofErr w:type="spellEnd"/>
      <w:r w:rsidR="008702BE" w:rsidRPr="0052482B">
        <w:rPr>
          <w:spacing w:val="-4"/>
          <w:lang w:val="fr-CH"/>
        </w:rPr>
        <w:t xml:space="preserve"> 2, pour adoption </w:t>
      </w:r>
      <w:r w:rsidR="00165F29" w:rsidRPr="0052482B">
        <w:rPr>
          <w:spacing w:val="-4"/>
          <w:lang w:val="fr-CH"/>
        </w:rPr>
        <w:t>en 2020</w:t>
      </w:r>
      <w:r w:rsidR="008702BE" w:rsidRPr="0052482B">
        <w:rPr>
          <w:spacing w:val="-4"/>
          <w:lang w:val="fr-CH"/>
        </w:rPr>
        <w:t>.</w:t>
      </w:r>
    </w:p>
    <w:p w:rsidR="00A4614B" w:rsidRDefault="00A4614B" w:rsidP="004823C4">
      <w:pPr>
        <w:rPr>
          <w:sz w:val="18"/>
          <w:lang w:val="fr-CH"/>
        </w:rPr>
      </w:pPr>
    </w:p>
    <w:p w:rsidR="00A4614B" w:rsidRDefault="00A4614B" w:rsidP="004823C4">
      <w:pPr>
        <w:rPr>
          <w:sz w:val="18"/>
          <w:lang w:val="fr-CH"/>
        </w:rPr>
      </w:pPr>
    </w:p>
    <w:p w:rsidR="00A4614B" w:rsidRDefault="008702BE" w:rsidP="008702BE">
      <w:pPr>
        <w:pStyle w:val="Heading3"/>
        <w:rPr>
          <w:lang w:val="fr-CH"/>
        </w:rPr>
      </w:pPr>
      <w:bookmarkStart w:id="7" w:name="_Toc55924365"/>
      <w:r w:rsidRPr="0052482B">
        <w:rPr>
          <w:lang w:val="fr-CH"/>
        </w:rPr>
        <w:t>UPOV/INF/22</w:t>
      </w:r>
      <w:r w:rsidR="000970A8">
        <w:rPr>
          <w:lang w:val="fr-CH"/>
        </w:rPr>
        <w:t> :</w:t>
      </w:r>
      <w:r w:rsidR="003A768F">
        <w:rPr>
          <w:lang w:val="fr-CH"/>
        </w:rPr>
        <w:t xml:space="preserve"> </w:t>
      </w:r>
      <w:r w:rsidRPr="0052482B">
        <w:rPr>
          <w:lang w:val="fr-CH"/>
        </w:rPr>
        <w:t xml:space="preserve"> Logiciels et équipements utilisés par les membres de l</w:t>
      </w:r>
      <w:r w:rsidR="000970A8">
        <w:rPr>
          <w:lang w:val="fr-CH"/>
        </w:rPr>
        <w:t>’</w:t>
      </w:r>
      <w:r w:rsidRPr="0052482B">
        <w:rPr>
          <w:lang w:val="fr-CH"/>
        </w:rPr>
        <w:t>Union (révision) (</w:t>
      </w:r>
      <w:r w:rsidR="00875470" w:rsidRPr="0052482B">
        <w:rPr>
          <w:lang w:val="fr-CH"/>
        </w:rPr>
        <w:t>document</w:t>
      </w:r>
      <w:r w:rsidR="003A768F">
        <w:rPr>
          <w:lang w:val="fr-CH"/>
        </w:rPr>
        <w:t> </w:t>
      </w:r>
      <w:r w:rsidR="00875470" w:rsidRPr="0052482B">
        <w:rPr>
          <w:lang w:val="fr-CH"/>
        </w:rPr>
        <w:t>UP</w:t>
      </w:r>
      <w:r w:rsidR="00700B2A">
        <w:rPr>
          <w:lang w:val="fr-CH"/>
        </w:rPr>
        <w:t>OV/INF/22/7 </w:t>
      </w:r>
      <w:proofErr w:type="spellStart"/>
      <w:r w:rsidRPr="0052482B">
        <w:rPr>
          <w:lang w:val="fr-CH"/>
        </w:rPr>
        <w:t>Draft</w:t>
      </w:r>
      <w:proofErr w:type="spellEnd"/>
      <w:r w:rsidR="00EE25CC" w:rsidRPr="0052482B">
        <w:rPr>
          <w:lang w:val="fr-CH"/>
        </w:rPr>
        <w:t> </w:t>
      </w:r>
      <w:r w:rsidRPr="0052482B">
        <w:rPr>
          <w:lang w:val="fr-CH"/>
        </w:rPr>
        <w:t>1)</w:t>
      </w:r>
      <w:bookmarkEnd w:id="7"/>
    </w:p>
    <w:p w:rsidR="00A4614B" w:rsidRDefault="00A4614B" w:rsidP="004823C4">
      <w:pPr>
        <w:keepNext/>
        <w:rPr>
          <w:sz w:val="18"/>
          <w:lang w:val="fr-CH"/>
        </w:rPr>
      </w:pPr>
    </w:p>
    <w:p w:rsidR="00A4614B" w:rsidRDefault="004823C4" w:rsidP="008702BE">
      <w:pPr>
        <w:keepLines/>
        <w:rPr>
          <w:rFonts w:eastAsia="SimSun"/>
          <w:snapToGrid w:val="0"/>
          <w:lang w:val="fr-CH" w:eastAsia="ja-JP"/>
        </w:rPr>
      </w:pPr>
      <w:r w:rsidRPr="0052482B">
        <w:rPr>
          <w:rFonts w:eastAsia="SimSun"/>
          <w:snapToGrid w:val="0"/>
          <w:lang w:eastAsia="ja-JP"/>
        </w:rPr>
        <w:fldChar w:fldCharType="begin"/>
      </w:r>
      <w:r w:rsidRPr="0052482B">
        <w:rPr>
          <w:rFonts w:eastAsia="SimSun"/>
          <w:snapToGrid w:val="0"/>
          <w:lang w:val="fr-CH" w:eastAsia="ja-JP"/>
        </w:rPr>
        <w:instrText xml:space="preserve"> AUTONUM  </w:instrText>
      </w:r>
      <w:r w:rsidRPr="0052482B">
        <w:rPr>
          <w:rFonts w:eastAsia="SimSun"/>
          <w:snapToGrid w:val="0"/>
          <w:lang w:eastAsia="ja-JP"/>
        </w:rPr>
        <w:fldChar w:fldCharType="end"/>
      </w:r>
      <w:r w:rsidRPr="0052482B">
        <w:rPr>
          <w:rFonts w:eastAsia="SimSun"/>
          <w:snapToGrid w:val="0"/>
          <w:lang w:val="fr-CH" w:eastAsia="ja-JP"/>
        </w:rPr>
        <w:tab/>
      </w:r>
      <w:r w:rsidR="008702BE" w:rsidRPr="0052482B">
        <w:rPr>
          <w:rFonts w:eastAsia="SimSun"/>
          <w:snapToGrid w:val="0"/>
          <w:lang w:val="fr-CH" w:eastAsia="ja-JP"/>
        </w:rPr>
        <w:t xml:space="preserve">Le CAJ a approuvé la proposition de révision du </w:t>
      </w:r>
      <w:r w:rsidR="00875470" w:rsidRPr="0052482B">
        <w:rPr>
          <w:rFonts w:eastAsia="SimSun"/>
          <w:snapToGrid w:val="0"/>
          <w:lang w:val="fr-CH" w:eastAsia="ja-JP"/>
        </w:rPr>
        <w:t>document</w:t>
      </w:r>
      <w:r w:rsidR="00875470">
        <w:rPr>
          <w:rFonts w:eastAsia="SimSun"/>
          <w:snapToGrid w:val="0"/>
          <w:lang w:val="fr-CH" w:eastAsia="ja-JP"/>
        </w:rPr>
        <w:t xml:space="preserve"> </w:t>
      </w:r>
      <w:r w:rsidR="00875470" w:rsidRPr="0052482B">
        <w:rPr>
          <w:rFonts w:eastAsia="SimSun"/>
          <w:snapToGrid w:val="0"/>
          <w:lang w:val="fr-CH" w:eastAsia="ja-JP"/>
        </w:rPr>
        <w:t>UP</w:t>
      </w:r>
      <w:r w:rsidR="008702BE" w:rsidRPr="0052482B">
        <w:rPr>
          <w:rFonts w:eastAsia="SimSun"/>
          <w:snapToGrid w:val="0"/>
          <w:lang w:val="fr-CH" w:eastAsia="ja-JP"/>
        </w:rPr>
        <w:t>OV/INF/22/6 “Logiciels et équipements utilisés par les membres de l</w:t>
      </w:r>
      <w:r w:rsidR="000970A8">
        <w:rPr>
          <w:rFonts w:eastAsia="SimSun"/>
          <w:snapToGrid w:val="0"/>
          <w:lang w:val="fr-CH" w:eastAsia="ja-JP"/>
        </w:rPr>
        <w:t>’</w:t>
      </w:r>
      <w:r w:rsidR="008702BE" w:rsidRPr="0052482B">
        <w:rPr>
          <w:rFonts w:eastAsia="SimSun"/>
          <w:snapToGrid w:val="0"/>
          <w:lang w:val="fr-CH" w:eastAsia="ja-JP"/>
        </w:rPr>
        <w:t xml:space="preserve">Union” sur la base du </w:t>
      </w:r>
      <w:r w:rsidR="00875470" w:rsidRPr="0052482B">
        <w:rPr>
          <w:rFonts w:eastAsia="SimSun"/>
          <w:snapToGrid w:val="0"/>
          <w:lang w:val="fr-CH" w:eastAsia="ja-JP"/>
        </w:rPr>
        <w:t>document</w:t>
      </w:r>
      <w:r w:rsidR="00875470">
        <w:rPr>
          <w:rFonts w:eastAsia="SimSun"/>
          <w:snapToGrid w:val="0"/>
          <w:lang w:val="fr-CH" w:eastAsia="ja-JP"/>
        </w:rPr>
        <w:t xml:space="preserve"> </w:t>
      </w:r>
      <w:r w:rsidR="00875470" w:rsidRPr="0052482B">
        <w:rPr>
          <w:rFonts w:eastAsia="SimSun"/>
          <w:snapToGrid w:val="0"/>
          <w:lang w:val="fr-CH" w:eastAsia="ja-JP"/>
        </w:rPr>
        <w:t>UP</w:t>
      </w:r>
      <w:r w:rsidR="008702BE" w:rsidRPr="0052482B">
        <w:rPr>
          <w:rFonts w:eastAsia="SimSun"/>
          <w:snapToGrid w:val="0"/>
          <w:lang w:val="fr-CH" w:eastAsia="ja-JP"/>
        </w:rPr>
        <w:t xml:space="preserve">OV/INF/22/7 </w:t>
      </w:r>
      <w:proofErr w:type="spellStart"/>
      <w:r w:rsidR="008702BE" w:rsidRPr="0052482B">
        <w:rPr>
          <w:rFonts w:eastAsia="SimSun"/>
          <w:snapToGrid w:val="0"/>
          <w:lang w:val="fr-CH" w:eastAsia="ja-JP"/>
        </w:rPr>
        <w:t>Draft</w:t>
      </w:r>
      <w:proofErr w:type="spellEnd"/>
      <w:r w:rsidR="00EE25CC" w:rsidRPr="0052482B">
        <w:rPr>
          <w:rFonts w:eastAsia="SimSun"/>
          <w:snapToGrid w:val="0"/>
          <w:lang w:val="fr-CH" w:eastAsia="ja-JP"/>
        </w:rPr>
        <w:t> </w:t>
      </w:r>
      <w:r w:rsidR="0052482B">
        <w:rPr>
          <w:rFonts w:eastAsia="SimSun"/>
          <w:snapToGrid w:val="0"/>
          <w:lang w:val="fr-CH" w:eastAsia="ja-JP"/>
        </w:rPr>
        <w:t>1.</w:t>
      </w:r>
    </w:p>
    <w:p w:rsidR="00A4614B" w:rsidRDefault="00A4614B" w:rsidP="004823C4">
      <w:pPr>
        <w:rPr>
          <w:rFonts w:eastAsia="SimSun"/>
          <w:snapToGrid w:val="0"/>
          <w:sz w:val="18"/>
          <w:lang w:val="fr-CH" w:eastAsia="ja-JP"/>
        </w:rPr>
      </w:pPr>
    </w:p>
    <w:p w:rsidR="00A4614B" w:rsidRDefault="004823C4" w:rsidP="008702BE">
      <w:pPr>
        <w:keepLines/>
        <w:rPr>
          <w:lang w:val="fr-CH"/>
        </w:rPr>
      </w:pPr>
      <w:r w:rsidRPr="0052482B">
        <w:fldChar w:fldCharType="begin"/>
      </w:r>
      <w:r w:rsidRPr="0052482B">
        <w:rPr>
          <w:lang w:val="fr-CH"/>
        </w:rPr>
        <w:instrText xml:space="preserve"> AUTONUM  </w:instrText>
      </w:r>
      <w:r w:rsidRPr="0052482B">
        <w:fldChar w:fldCharType="end"/>
      </w:r>
      <w:r w:rsidRPr="0052482B">
        <w:rPr>
          <w:lang w:val="fr-CH"/>
        </w:rPr>
        <w:tab/>
      </w:r>
      <w:r w:rsidR="008702BE" w:rsidRPr="0052482B">
        <w:rPr>
          <w:lang w:val="fr-CH"/>
        </w:rPr>
        <w:t>Le CAJ est convenu que le Conseil serait invité à examiner les propositions de révision du document UPOV/INF/22/7 “Logiciels et équipements utilisés par les membres de l</w:t>
      </w:r>
      <w:r w:rsidR="000970A8">
        <w:rPr>
          <w:lang w:val="fr-CH"/>
        </w:rPr>
        <w:t>’</w:t>
      </w:r>
      <w:r w:rsidR="008702BE" w:rsidRPr="0052482B">
        <w:rPr>
          <w:lang w:val="fr-CH"/>
        </w:rPr>
        <w:t>Union” figurant dans le document UPOV/INF/22/7 </w:t>
      </w:r>
      <w:proofErr w:type="spellStart"/>
      <w:r w:rsidR="008702BE" w:rsidRPr="0052482B">
        <w:rPr>
          <w:lang w:val="fr-CH"/>
        </w:rPr>
        <w:t>Draft</w:t>
      </w:r>
      <w:proofErr w:type="spellEnd"/>
      <w:r w:rsidR="008702BE" w:rsidRPr="0052482B">
        <w:rPr>
          <w:lang w:val="fr-CH"/>
        </w:rPr>
        <w:t xml:space="preserve"> 1, pour adoption </w:t>
      </w:r>
      <w:r w:rsidR="00165F29" w:rsidRPr="0052482B">
        <w:rPr>
          <w:lang w:val="fr-CH"/>
        </w:rPr>
        <w:t>en 2020</w:t>
      </w:r>
      <w:r w:rsidR="008702BE" w:rsidRPr="0052482B">
        <w:rPr>
          <w:lang w:val="fr-CH"/>
        </w:rPr>
        <w:t>.</w:t>
      </w:r>
    </w:p>
    <w:p w:rsidR="00A4614B" w:rsidRDefault="00A4614B" w:rsidP="004823C4">
      <w:pPr>
        <w:rPr>
          <w:lang w:val="fr-CH"/>
        </w:rPr>
      </w:pPr>
    </w:p>
    <w:p w:rsidR="00A4614B" w:rsidRDefault="00A4614B" w:rsidP="004823C4">
      <w:pPr>
        <w:rPr>
          <w:lang w:val="fr-CH"/>
        </w:rPr>
      </w:pPr>
    </w:p>
    <w:p w:rsidR="00A4614B" w:rsidRDefault="008702BE" w:rsidP="008702BE">
      <w:pPr>
        <w:pStyle w:val="Heading2"/>
        <w:rPr>
          <w:lang w:val="fr-CH"/>
        </w:rPr>
      </w:pPr>
      <w:bookmarkStart w:id="8" w:name="_Toc55924366"/>
      <w:r w:rsidRPr="0052482B">
        <w:rPr>
          <w:lang w:val="fr-CH"/>
        </w:rPr>
        <w:t>Documents TGP</w:t>
      </w:r>
      <w:bookmarkEnd w:id="8"/>
    </w:p>
    <w:p w:rsidR="00A4614B" w:rsidRPr="00700B2A" w:rsidRDefault="00A4614B" w:rsidP="00700B2A">
      <w:pPr>
        <w:keepNext/>
      </w:pPr>
    </w:p>
    <w:p w:rsidR="00A4614B" w:rsidRDefault="008702BE" w:rsidP="008702BE">
      <w:pPr>
        <w:pStyle w:val="Heading3"/>
        <w:rPr>
          <w:lang w:val="fr-CH"/>
        </w:rPr>
      </w:pPr>
      <w:bookmarkStart w:id="9" w:name="_Toc55924367"/>
      <w:r w:rsidRPr="0052482B">
        <w:rPr>
          <w:lang w:val="fr-CH"/>
        </w:rPr>
        <w:t>TGP/5</w:t>
      </w:r>
      <w:r w:rsidR="000970A8">
        <w:rPr>
          <w:lang w:val="fr-CH"/>
        </w:rPr>
        <w:t> :</w:t>
      </w:r>
      <w:r w:rsidR="00700B2A">
        <w:rPr>
          <w:lang w:val="fr-CH"/>
        </w:rPr>
        <w:t xml:space="preserve"> </w:t>
      </w:r>
      <w:r w:rsidRPr="0052482B">
        <w:rPr>
          <w:lang w:val="fr-CH"/>
        </w:rPr>
        <w:t xml:space="preserve"> Expérience et coopération en matière d</w:t>
      </w:r>
      <w:r w:rsidR="000970A8">
        <w:rPr>
          <w:lang w:val="fr-CH"/>
        </w:rPr>
        <w:t>’</w:t>
      </w:r>
      <w:r w:rsidRPr="0052482B">
        <w:rPr>
          <w:lang w:val="fr-CH"/>
        </w:rPr>
        <w:t>examen</w:t>
      </w:r>
      <w:r w:rsidR="00073D9C" w:rsidRPr="0052482B">
        <w:rPr>
          <w:lang w:val="fr-CH"/>
        </w:rPr>
        <w:t> </w:t>
      </w:r>
      <w:r w:rsidRPr="0052482B">
        <w:rPr>
          <w:lang w:val="fr-CH"/>
        </w:rPr>
        <w:t xml:space="preserve">DHS, </w:t>
      </w:r>
      <w:r w:rsidR="00165F29" w:rsidRPr="0052482B">
        <w:rPr>
          <w:lang w:val="fr-CH"/>
        </w:rPr>
        <w:t>Section 6</w:t>
      </w:r>
      <w:r w:rsidR="000970A8">
        <w:rPr>
          <w:lang w:val="fr-CH"/>
        </w:rPr>
        <w:t> :</w:t>
      </w:r>
      <w:r w:rsidR="00700B2A">
        <w:rPr>
          <w:lang w:val="fr-CH"/>
        </w:rPr>
        <w:t>  </w:t>
      </w:r>
      <w:r w:rsidRPr="0052482B">
        <w:rPr>
          <w:lang w:val="fr-CH"/>
        </w:rPr>
        <w:t>Rapport UPOV d</w:t>
      </w:r>
      <w:r w:rsidR="000970A8">
        <w:rPr>
          <w:lang w:val="fr-CH"/>
        </w:rPr>
        <w:t>’</w:t>
      </w:r>
      <w:r w:rsidRPr="0052482B">
        <w:rPr>
          <w:lang w:val="fr-CH"/>
        </w:rPr>
        <w:t>examen technique et Formulaire UPOV de description</w:t>
      </w:r>
      <w:r w:rsidR="00700B2A">
        <w:rPr>
          <w:lang w:val="fr-CH"/>
        </w:rPr>
        <w:t xml:space="preserve"> variétale (révision) (document </w:t>
      </w:r>
      <w:r w:rsidRPr="0052482B">
        <w:rPr>
          <w:lang w:val="fr-CH"/>
        </w:rPr>
        <w:t>TGP/5</w:t>
      </w:r>
      <w:r w:rsidR="000970A8">
        <w:rPr>
          <w:lang w:val="fr-CH"/>
        </w:rPr>
        <w:t> :</w:t>
      </w:r>
      <w:r w:rsidR="00700B2A">
        <w:rPr>
          <w:lang w:val="fr-CH"/>
        </w:rPr>
        <w:t>  </w:t>
      </w:r>
      <w:r w:rsidR="00165F29" w:rsidRPr="0052482B">
        <w:rPr>
          <w:lang w:val="fr-CH"/>
        </w:rPr>
        <w:t>Section 6</w:t>
      </w:r>
      <w:r w:rsidRPr="0052482B">
        <w:rPr>
          <w:lang w:val="fr-CH"/>
        </w:rPr>
        <w:t>/3</w:t>
      </w:r>
      <w:r w:rsidR="00EE25CC" w:rsidRPr="0052482B">
        <w:rPr>
          <w:lang w:val="fr-CH"/>
        </w:rPr>
        <w:t> </w:t>
      </w:r>
      <w:proofErr w:type="spellStart"/>
      <w:r w:rsidRPr="0052482B">
        <w:rPr>
          <w:lang w:val="fr-CH"/>
        </w:rPr>
        <w:t>Draft</w:t>
      </w:r>
      <w:proofErr w:type="spellEnd"/>
      <w:r w:rsidR="00EE25CC" w:rsidRPr="0052482B">
        <w:rPr>
          <w:lang w:val="fr-CH"/>
        </w:rPr>
        <w:t> </w:t>
      </w:r>
      <w:r w:rsidRPr="0052482B">
        <w:rPr>
          <w:lang w:val="fr-CH"/>
        </w:rPr>
        <w:t>1)</w:t>
      </w:r>
      <w:bookmarkEnd w:id="9"/>
    </w:p>
    <w:p w:rsidR="00A4614B" w:rsidRDefault="00A4614B" w:rsidP="004823C4">
      <w:pPr>
        <w:keepNext/>
        <w:rPr>
          <w:snapToGrid w:val="0"/>
          <w:sz w:val="18"/>
          <w:lang w:val="fr-CH"/>
        </w:rPr>
      </w:pPr>
    </w:p>
    <w:p w:rsidR="00A4614B" w:rsidRDefault="004823C4" w:rsidP="00032952">
      <w:pPr>
        <w:keepLines/>
        <w:rPr>
          <w:rFonts w:eastAsia="SimSun"/>
          <w:snapToGrid w:val="0"/>
          <w:lang w:val="fr-CH" w:eastAsia="ja-JP"/>
        </w:rPr>
      </w:pPr>
      <w:r w:rsidRPr="0052482B">
        <w:rPr>
          <w:rFonts w:eastAsia="SimSun"/>
          <w:snapToGrid w:val="0"/>
          <w:lang w:eastAsia="ja-JP"/>
        </w:rPr>
        <w:fldChar w:fldCharType="begin"/>
      </w:r>
      <w:r w:rsidRPr="0052482B">
        <w:rPr>
          <w:rFonts w:eastAsia="SimSun"/>
          <w:snapToGrid w:val="0"/>
          <w:lang w:val="fr-CH" w:eastAsia="ja-JP"/>
        </w:rPr>
        <w:instrText xml:space="preserve"> AUTONUM  </w:instrText>
      </w:r>
      <w:r w:rsidRPr="0052482B">
        <w:rPr>
          <w:rFonts w:eastAsia="SimSun"/>
          <w:snapToGrid w:val="0"/>
          <w:lang w:eastAsia="ja-JP"/>
        </w:rPr>
        <w:fldChar w:fldCharType="end"/>
      </w:r>
      <w:r w:rsidRPr="0052482B">
        <w:rPr>
          <w:rFonts w:eastAsia="SimSun"/>
          <w:snapToGrid w:val="0"/>
          <w:lang w:val="fr-CH" w:eastAsia="ja-JP"/>
        </w:rPr>
        <w:tab/>
      </w:r>
      <w:r w:rsidR="00032952" w:rsidRPr="0052482B">
        <w:rPr>
          <w:rFonts w:eastAsia="SimSun"/>
          <w:snapToGrid w:val="0"/>
          <w:lang w:val="fr-CH" w:eastAsia="ja-JP"/>
        </w:rPr>
        <w:t>Le CAJ a approuvé le document TGP/5</w:t>
      </w:r>
      <w:r w:rsidR="000970A8">
        <w:rPr>
          <w:rFonts w:eastAsia="SimSun"/>
          <w:snapToGrid w:val="0"/>
          <w:lang w:val="fr-CH" w:eastAsia="ja-JP"/>
        </w:rPr>
        <w:t> :</w:t>
      </w:r>
      <w:r w:rsidR="00032952" w:rsidRPr="0052482B">
        <w:rPr>
          <w:rFonts w:eastAsia="SimSun"/>
          <w:snapToGrid w:val="0"/>
          <w:lang w:val="fr-CH" w:eastAsia="ja-JP"/>
        </w:rPr>
        <w:t xml:space="preserve"> </w:t>
      </w:r>
      <w:r w:rsidR="00165F29" w:rsidRPr="0052482B">
        <w:rPr>
          <w:rFonts w:eastAsia="SimSun"/>
          <w:snapToGrid w:val="0"/>
          <w:lang w:val="fr-CH" w:eastAsia="ja-JP"/>
        </w:rPr>
        <w:t>Section 6</w:t>
      </w:r>
      <w:r w:rsidR="00032952" w:rsidRPr="0052482B">
        <w:rPr>
          <w:rFonts w:eastAsia="SimSun"/>
          <w:snapToGrid w:val="0"/>
          <w:lang w:val="fr-CH" w:eastAsia="ja-JP"/>
        </w:rPr>
        <w:t>/3 “TGP/5 Expérience et coopération en matière d</w:t>
      </w:r>
      <w:r w:rsidR="000970A8">
        <w:rPr>
          <w:rFonts w:eastAsia="SimSun"/>
          <w:snapToGrid w:val="0"/>
          <w:lang w:val="fr-CH" w:eastAsia="ja-JP"/>
        </w:rPr>
        <w:t>’</w:t>
      </w:r>
      <w:r w:rsidR="00032952" w:rsidRPr="0052482B">
        <w:rPr>
          <w:rFonts w:eastAsia="SimSun"/>
          <w:snapToGrid w:val="0"/>
          <w:lang w:val="fr-CH" w:eastAsia="ja-JP"/>
        </w:rPr>
        <w:t>examen</w:t>
      </w:r>
      <w:r w:rsidR="00073D9C" w:rsidRPr="0052482B">
        <w:rPr>
          <w:rFonts w:eastAsia="SimSun"/>
          <w:snapToGrid w:val="0"/>
          <w:lang w:val="fr-CH" w:eastAsia="ja-JP"/>
        </w:rPr>
        <w:t> </w:t>
      </w:r>
      <w:r w:rsidR="00032952" w:rsidRPr="0052482B">
        <w:rPr>
          <w:rFonts w:eastAsia="SimSun"/>
          <w:snapToGrid w:val="0"/>
          <w:lang w:val="fr-CH" w:eastAsia="ja-JP"/>
        </w:rPr>
        <w:t xml:space="preserve">DHS, </w:t>
      </w:r>
      <w:r w:rsidR="00165F29" w:rsidRPr="0052482B">
        <w:rPr>
          <w:rFonts w:eastAsia="SimSun"/>
          <w:snapToGrid w:val="0"/>
          <w:lang w:val="fr-CH" w:eastAsia="ja-JP"/>
        </w:rPr>
        <w:t>Section 6</w:t>
      </w:r>
      <w:r w:rsidR="000970A8">
        <w:rPr>
          <w:rFonts w:eastAsia="SimSun"/>
          <w:snapToGrid w:val="0"/>
          <w:lang w:val="fr-CH" w:eastAsia="ja-JP"/>
        </w:rPr>
        <w:t> :</w:t>
      </w:r>
      <w:r w:rsidR="00700B2A">
        <w:rPr>
          <w:rFonts w:eastAsia="SimSun"/>
          <w:snapToGrid w:val="0"/>
          <w:lang w:val="fr-CH" w:eastAsia="ja-JP"/>
        </w:rPr>
        <w:t>  </w:t>
      </w:r>
      <w:r w:rsidR="00032952" w:rsidRPr="0052482B">
        <w:rPr>
          <w:rFonts w:eastAsia="SimSun"/>
          <w:snapToGrid w:val="0"/>
          <w:lang w:val="fr-CH" w:eastAsia="ja-JP"/>
        </w:rPr>
        <w:t>Rapport UPOV d</w:t>
      </w:r>
      <w:r w:rsidR="000970A8">
        <w:rPr>
          <w:rFonts w:eastAsia="SimSun"/>
          <w:snapToGrid w:val="0"/>
          <w:lang w:val="fr-CH" w:eastAsia="ja-JP"/>
        </w:rPr>
        <w:t>’</w:t>
      </w:r>
      <w:r w:rsidR="00032952" w:rsidRPr="0052482B">
        <w:rPr>
          <w:rFonts w:eastAsia="SimSun"/>
          <w:snapToGrid w:val="0"/>
          <w:lang w:val="fr-CH" w:eastAsia="ja-JP"/>
        </w:rPr>
        <w:t>examen technique et Formulaire UPOV de description variétale” sur la base du document TGP/5</w:t>
      </w:r>
      <w:r w:rsidR="000970A8">
        <w:rPr>
          <w:rFonts w:eastAsia="SimSun"/>
          <w:snapToGrid w:val="0"/>
          <w:lang w:val="fr-CH" w:eastAsia="ja-JP"/>
        </w:rPr>
        <w:t> :</w:t>
      </w:r>
      <w:r w:rsidR="00700B2A">
        <w:rPr>
          <w:rFonts w:eastAsia="SimSun"/>
          <w:snapToGrid w:val="0"/>
          <w:lang w:val="fr-CH" w:eastAsia="ja-JP"/>
        </w:rPr>
        <w:t>  </w:t>
      </w:r>
      <w:r w:rsidR="00165F29" w:rsidRPr="0052482B">
        <w:rPr>
          <w:rFonts w:eastAsia="SimSun"/>
          <w:snapToGrid w:val="0"/>
          <w:lang w:val="fr-CH" w:eastAsia="ja-JP"/>
        </w:rPr>
        <w:t>Section 6</w:t>
      </w:r>
      <w:r w:rsidR="00032952" w:rsidRPr="0052482B">
        <w:rPr>
          <w:rFonts w:eastAsia="SimSun"/>
          <w:snapToGrid w:val="0"/>
          <w:lang w:val="fr-CH" w:eastAsia="ja-JP"/>
        </w:rPr>
        <w:t>/3</w:t>
      </w:r>
      <w:r w:rsidR="00EE25CC" w:rsidRPr="0052482B">
        <w:rPr>
          <w:rFonts w:eastAsia="SimSun"/>
          <w:snapToGrid w:val="0"/>
          <w:lang w:val="fr-CH" w:eastAsia="ja-JP"/>
        </w:rPr>
        <w:t> </w:t>
      </w:r>
      <w:proofErr w:type="spellStart"/>
      <w:r w:rsidR="00032952" w:rsidRPr="0052482B">
        <w:rPr>
          <w:rFonts w:eastAsia="SimSun"/>
          <w:snapToGrid w:val="0"/>
          <w:lang w:val="fr-CH" w:eastAsia="ja-JP"/>
        </w:rPr>
        <w:t>Draft</w:t>
      </w:r>
      <w:proofErr w:type="spellEnd"/>
      <w:r w:rsidR="00EE25CC" w:rsidRPr="0052482B">
        <w:rPr>
          <w:rFonts w:eastAsia="SimSun"/>
          <w:snapToGrid w:val="0"/>
          <w:lang w:val="fr-CH" w:eastAsia="ja-JP"/>
        </w:rPr>
        <w:t> </w:t>
      </w:r>
      <w:r w:rsidR="00032952" w:rsidRPr="0052482B">
        <w:rPr>
          <w:rFonts w:eastAsia="SimSun"/>
          <w:snapToGrid w:val="0"/>
          <w:lang w:val="fr-CH" w:eastAsia="ja-JP"/>
        </w:rPr>
        <w:t>1.</w:t>
      </w:r>
    </w:p>
    <w:p w:rsidR="00A4614B" w:rsidRDefault="00A4614B" w:rsidP="004823C4">
      <w:pPr>
        <w:rPr>
          <w:rFonts w:eastAsia="SimSun"/>
          <w:snapToGrid w:val="0"/>
          <w:sz w:val="18"/>
          <w:lang w:val="fr-CH" w:eastAsia="ja-JP"/>
        </w:rPr>
      </w:pPr>
    </w:p>
    <w:p w:rsidR="00A4614B" w:rsidRDefault="004823C4" w:rsidP="00032952">
      <w:pPr>
        <w:keepLines/>
        <w:rPr>
          <w:lang w:val="fr-CH"/>
        </w:rPr>
      </w:pPr>
      <w:r w:rsidRPr="0052482B">
        <w:fldChar w:fldCharType="begin"/>
      </w:r>
      <w:r w:rsidRPr="0052482B">
        <w:rPr>
          <w:lang w:val="fr-CH"/>
        </w:rPr>
        <w:instrText xml:space="preserve"> AUTONUM  </w:instrText>
      </w:r>
      <w:r w:rsidRPr="0052482B">
        <w:fldChar w:fldCharType="end"/>
      </w:r>
      <w:r w:rsidRPr="0052482B">
        <w:rPr>
          <w:lang w:val="fr-CH"/>
        </w:rPr>
        <w:tab/>
      </w:r>
      <w:r w:rsidR="00032952" w:rsidRPr="0052482B">
        <w:rPr>
          <w:lang w:val="fr-CH"/>
        </w:rPr>
        <w:t>Le CAJ est convenu que le Conseil serait invité à examiner le document TGP/5</w:t>
      </w:r>
      <w:r w:rsidR="000970A8">
        <w:rPr>
          <w:lang w:val="fr-CH"/>
        </w:rPr>
        <w:t> :</w:t>
      </w:r>
      <w:r w:rsidR="00700B2A">
        <w:rPr>
          <w:lang w:val="fr-CH"/>
        </w:rPr>
        <w:t>  </w:t>
      </w:r>
      <w:r w:rsidR="00165F29" w:rsidRPr="0052482B">
        <w:rPr>
          <w:lang w:val="fr-CH"/>
        </w:rPr>
        <w:t>Section 6</w:t>
      </w:r>
      <w:r w:rsidR="00032952" w:rsidRPr="0052482B">
        <w:rPr>
          <w:lang w:val="fr-CH"/>
        </w:rPr>
        <w:t>/3 “TGP/5 Expérience et coopération en matière d</w:t>
      </w:r>
      <w:r w:rsidR="000970A8">
        <w:rPr>
          <w:lang w:val="fr-CH"/>
        </w:rPr>
        <w:t>’</w:t>
      </w:r>
      <w:r w:rsidR="00032952" w:rsidRPr="0052482B">
        <w:rPr>
          <w:lang w:val="fr-CH"/>
        </w:rPr>
        <w:t>examen</w:t>
      </w:r>
      <w:r w:rsidR="00073D9C" w:rsidRPr="0052482B">
        <w:rPr>
          <w:lang w:val="fr-CH"/>
        </w:rPr>
        <w:t> </w:t>
      </w:r>
      <w:r w:rsidR="00032952" w:rsidRPr="0052482B">
        <w:rPr>
          <w:lang w:val="fr-CH"/>
        </w:rPr>
        <w:t xml:space="preserve">DHS, </w:t>
      </w:r>
      <w:r w:rsidR="00165F29" w:rsidRPr="0052482B">
        <w:rPr>
          <w:lang w:val="fr-CH"/>
        </w:rPr>
        <w:t>Section 6</w:t>
      </w:r>
      <w:r w:rsidR="000970A8">
        <w:rPr>
          <w:lang w:val="fr-CH"/>
        </w:rPr>
        <w:t> :</w:t>
      </w:r>
      <w:r w:rsidR="00700B2A">
        <w:rPr>
          <w:lang w:val="fr-CH"/>
        </w:rPr>
        <w:t>  </w:t>
      </w:r>
      <w:r w:rsidR="00032952" w:rsidRPr="0052482B">
        <w:rPr>
          <w:lang w:val="fr-CH"/>
        </w:rPr>
        <w:t>Rapport UPOV d</w:t>
      </w:r>
      <w:r w:rsidR="000970A8">
        <w:rPr>
          <w:lang w:val="fr-CH"/>
        </w:rPr>
        <w:t>’</w:t>
      </w:r>
      <w:r w:rsidR="00032952" w:rsidRPr="0052482B">
        <w:rPr>
          <w:lang w:val="fr-CH"/>
        </w:rPr>
        <w:t>examen technique et Formulaire UPOV de description variétale” sur la base du document TGP/5</w:t>
      </w:r>
      <w:r w:rsidR="000970A8">
        <w:rPr>
          <w:lang w:val="fr-CH"/>
        </w:rPr>
        <w:t> :</w:t>
      </w:r>
      <w:r w:rsidR="00700B2A">
        <w:rPr>
          <w:lang w:val="fr-CH"/>
        </w:rPr>
        <w:t>  </w:t>
      </w:r>
      <w:r w:rsidR="00165F29" w:rsidRPr="0052482B">
        <w:rPr>
          <w:lang w:val="fr-CH"/>
        </w:rPr>
        <w:t>Section 6</w:t>
      </w:r>
      <w:r w:rsidR="00032952" w:rsidRPr="0052482B">
        <w:rPr>
          <w:lang w:val="fr-CH"/>
        </w:rPr>
        <w:t xml:space="preserve">/3 </w:t>
      </w:r>
      <w:proofErr w:type="spellStart"/>
      <w:r w:rsidR="00032952" w:rsidRPr="0052482B">
        <w:rPr>
          <w:lang w:val="fr-CH"/>
        </w:rPr>
        <w:t>Draft</w:t>
      </w:r>
      <w:proofErr w:type="spellEnd"/>
      <w:r w:rsidR="00032952" w:rsidRPr="0052482B">
        <w:rPr>
          <w:lang w:val="fr-CH"/>
        </w:rPr>
        <w:t xml:space="preserve"> 1, pour adoption </w:t>
      </w:r>
      <w:r w:rsidR="00165F29" w:rsidRPr="0052482B">
        <w:rPr>
          <w:lang w:val="fr-CH"/>
        </w:rPr>
        <w:t>en 2020</w:t>
      </w:r>
      <w:r w:rsidR="00032952" w:rsidRPr="0052482B">
        <w:rPr>
          <w:lang w:val="fr-CH"/>
        </w:rPr>
        <w:t>.</w:t>
      </w:r>
    </w:p>
    <w:p w:rsidR="00A4614B" w:rsidRDefault="00A4614B" w:rsidP="004823C4">
      <w:pPr>
        <w:rPr>
          <w:sz w:val="18"/>
          <w:lang w:val="fr-CH"/>
        </w:rPr>
      </w:pPr>
    </w:p>
    <w:p w:rsidR="00A4614B" w:rsidRDefault="00032952" w:rsidP="00032952">
      <w:pPr>
        <w:pStyle w:val="Heading3"/>
        <w:rPr>
          <w:lang w:val="fr-CH"/>
        </w:rPr>
      </w:pPr>
      <w:bookmarkStart w:id="10" w:name="_Toc55924368"/>
      <w:r w:rsidRPr="0052482B">
        <w:rPr>
          <w:lang w:val="fr-CH"/>
        </w:rPr>
        <w:t>TGP/7</w:t>
      </w:r>
      <w:r w:rsidR="000970A8">
        <w:rPr>
          <w:lang w:val="fr-CH"/>
        </w:rPr>
        <w:t> :</w:t>
      </w:r>
      <w:r w:rsidRPr="0052482B">
        <w:rPr>
          <w:lang w:val="fr-CH"/>
        </w:rPr>
        <w:t xml:space="preserve"> </w:t>
      </w:r>
      <w:r w:rsidR="00700B2A">
        <w:rPr>
          <w:lang w:val="fr-CH"/>
        </w:rPr>
        <w:t xml:space="preserve"> </w:t>
      </w:r>
      <w:r w:rsidRPr="0052482B">
        <w:rPr>
          <w:lang w:val="fr-CH"/>
        </w:rPr>
        <w:t>Élaboration des principes directeurs d</w:t>
      </w:r>
      <w:r w:rsidR="000970A8">
        <w:rPr>
          <w:lang w:val="fr-CH"/>
        </w:rPr>
        <w:t>’</w:t>
      </w:r>
      <w:r w:rsidRPr="0052482B">
        <w:rPr>
          <w:lang w:val="fr-CH"/>
        </w:rPr>
        <w:t>examen (révision) (</w:t>
      </w:r>
      <w:r w:rsidR="00875470" w:rsidRPr="0052482B">
        <w:rPr>
          <w:lang w:val="fr-CH"/>
        </w:rPr>
        <w:t>document</w:t>
      </w:r>
      <w:r w:rsidR="00700B2A">
        <w:rPr>
          <w:lang w:val="fr-CH"/>
        </w:rPr>
        <w:t> </w:t>
      </w:r>
      <w:r w:rsidR="00875470" w:rsidRPr="0052482B">
        <w:rPr>
          <w:lang w:val="fr-CH"/>
        </w:rPr>
        <w:t>TG</w:t>
      </w:r>
      <w:r w:rsidR="00700B2A">
        <w:rPr>
          <w:lang w:val="fr-CH"/>
        </w:rPr>
        <w:t>P/7/8 </w:t>
      </w:r>
      <w:proofErr w:type="spellStart"/>
      <w:r w:rsidRPr="0052482B">
        <w:rPr>
          <w:lang w:val="fr-CH"/>
        </w:rPr>
        <w:t>Draft</w:t>
      </w:r>
      <w:proofErr w:type="spellEnd"/>
      <w:r w:rsidR="00EE25CC" w:rsidRPr="0052482B">
        <w:rPr>
          <w:lang w:val="fr-CH"/>
        </w:rPr>
        <w:t> </w:t>
      </w:r>
      <w:r w:rsidRPr="0052482B">
        <w:rPr>
          <w:lang w:val="fr-CH"/>
        </w:rPr>
        <w:t>1)</w:t>
      </w:r>
      <w:bookmarkEnd w:id="10"/>
    </w:p>
    <w:p w:rsidR="00A4614B" w:rsidRPr="00700B2A" w:rsidRDefault="00A4614B" w:rsidP="00700B2A">
      <w:pPr>
        <w:keepNext/>
      </w:pPr>
    </w:p>
    <w:p w:rsidR="00A4614B" w:rsidRDefault="004823C4" w:rsidP="00032952">
      <w:pPr>
        <w:keepLines/>
        <w:rPr>
          <w:rFonts w:eastAsia="SimSun"/>
          <w:snapToGrid w:val="0"/>
          <w:lang w:val="fr-CH" w:eastAsia="ja-JP"/>
        </w:rPr>
      </w:pPr>
      <w:r w:rsidRPr="0052482B">
        <w:rPr>
          <w:rFonts w:eastAsia="SimSun"/>
          <w:snapToGrid w:val="0"/>
          <w:lang w:eastAsia="ja-JP"/>
        </w:rPr>
        <w:fldChar w:fldCharType="begin"/>
      </w:r>
      <w:r w:rsidRPr="0052482B">
        <w:rPr>
          <w:rFonts w:eastAsia="SimSun"/>
          <w:snapToGrid w:val="0"/>
          <w:lang w:val="fr-CH" w:eastAsia="ja-JP"/>
        </w:rPr>
        <w:instrText xml:space="preserve"> AUTONUM  </w:instrText>
      </w:r>
      <w:r w:rsidRPr="0052482B">
        <w:rPr>
          <w:rFonts w:eastAsia="SimSun"/>
          <w:snapToGrid w:val="0"/>
          <w:lang w:eastAsia="ja-JP"/>
        </w:rPr>
        <w:fldChar w:fldCharType="end"/>
      </w:r>
      <w:r w:rsidRPr="0052482B">
        <w:rPr>
          <w:rFonts w:eastAsia="SimSun"/>
          <w:snapToGrid w:val="0"/>
          <w:lang w:val="fr-CH" w:eastAsia="ja-JP"/>
        </w:rPr>
        <w:tab/>
      </w:r>
      <w:r w:rsidR="00032952" w:rsidRPr="0052482B">
        <w:rPr>
          <w:rFonts w:eastAsia="SimSun"/>
          <w:snapToGrid w:val="0"/>
          <w:lang w:val="fr-CH" w:eastAsia="ja-JP"/>
        </w:rPr>
        <w:t xml:space="preserve">Le CAJ a approuvé le </w:t>
      </w:r>
      <w:r w:rsidR="00875470" w:rsidRPr="0052482B">
        <w:rPr>
          <w:rFonts w:eastAsia="SimSun"/>
          <w:snapToGrid w:val="0"/>
          <w:lang w:val="fr-CH" w:eastAsia="ja-JP"/>
        </w:rPr>
        <w:t>document</w:t>
      </w:r>
      <w:r w:rsidR="00875470">
        <w:rPr>
          <w:rFonts w:eastAsia="SimSun"/>
          <w:snapToGrid w:val="0"/>
          <w:lang w:val="fr-CH" w:eastAsia="ja-JP"/>
        </w:rPr>
        <w:t xml:space="preserve"> </w:t>
      </w:r>
      <w:r w:rsidR="00875470" w:rsidRPr="0052482B">
        <w:rPr>
          <w:rFonts w:eastAsia="SimSun"/>
          <w:snapToGrid w:val="0"/>
          <w:lang w:val="fr-CH" w:eastAsia="ja-JP"/>
        </w:rPr>
        <w:t>TG</w:t>
      </w:r>
      <w:r w:rsidR="00032952" w:rsidRPr="0052482B">
        <w:rPr>
          <w:rFonts w:eastAsia="SimSun"/>
          <w:snapToGrid w:val="0"/>
          <w:lang w:val="fr-CH" w:eastAsia="ja-JP"/>
        </w:rPr>
        <w:t>P/7/8 “Élaboration des principes directeurs d</w:t>
      </w:r>
      <w:r w:rsidR="000970A8">
        <w:rPr>
          <w:rFonts w:eastAsia="SimSun"/>
          <w:snapToGrid w:val="0"/>
          <w:lang w:val="fr-CH" w:eastAsia="ja-JP"/>
        </w:rPr>
        <w:t>’</w:t>
      </w:r>
      <w:r w:rsidR="00032952" w:rsidRPr="0052482B">
        <w:rPr>
          <w:rFonts w:eastAsia="SimSun"/>
          <w:snapToGrid w:val="0"/>
          <w:lang w:val="fr-CH" w:eastAsia="ja-JP"/>
        </w:rPr>
        <w:t xml:space="preserve">examen” sur la base du </w:t>
      </w:r>
      <w:r w:rsidR="00875470" w:rsidRPr="0052482B">
        <w:rPr>
          <w:rFonts w:eastAsia="SimSun"/>
          <w:snapToGrid w:val="0"/>
          <w:lang w:val="fr-CH" w:eastAsia="ja-JP"/>
        </w:rPr>
        <w:t>document</w:t>
      </w:r>
      <w:r w:rsidR="00875470">
        <w:rPr>
          <w:rFonts w:eastAsia="SimSun"/>
          <w:snapToGrid w:val="0"/>
          <w:lang w:val="fr-CH" w:eastAsia="ja-JP"/>
        </w:rPr>
        <w:t xml:space="preserve"> </w:t>
      </w:r>
      <w:r w:rsidR="00875470" w:rsidRPr="0052482B">
        <w:rPr>
          <w:rFonts w:eastAsia="SimSun"/>
          <w:snapToGrid w:val="0"/>
          <w:lang w:val="fr-CH" w:eastAsia="ja-JP"/>
        </w:rPr>
        <w:t>TG</w:t>
      </w:r>
      <w:r w:rsidR="00032952" w:rsidRPr="0052482B">
        <w:rPr>
          <w:rFonts w:eastAsia="SimSun"/>
          <w:snapToGrid w:val="0"/>
          <w:lang w:val="fr-CH" w:eastAsia="ja-JP"/>
        </w:rPr>
        <w:t xml:space="preserve">P/7/8 </w:t>
      </w:r>
      <w:proofErr w:type="spellStart"/>
      <w:r w:rsidR="00032952" w:rsidRPr="0052482B">
        <w:rPr>
          <w:rFonts w:eastAsia="SimSun"/>
          <w:snapToGrid w:val="0"/>
          <w:lang w:val="fr-CH" w:eastAsia="ja-JP"/>
        </w:rPr>
        <w:t>Draft</w:t>
      </w:r>
      <w:proofErr w:type="spellEnd"/>
      <w:r w:rsidR="00EE25CC" w:rsidRPr="0052482B">
        <w:rPr>
          <w:rFonts w:eastAsia="SimSun"/>
          <w:snapToGrid w:val="0"/>
          <w:lang w:val="fr-CH" w:eastAsia="ja-JP"/>
        </w:rPr>
        <w:t> </w:t>
      </w:r>
      <w:r w:rsidR="00032952" w:rsidRPr="0052482B">
        <w:rPr>
          <w:rFonts w:eastAsia="SimSun"/>
          <w:snapToGrid w:val="0"/>
          <w:lang w:val="fr-CH" w:eastAsia="ja-JP"/>
        </w:rPr>
        <w:t>1.</w:t>
      </w:r>
    </w:p>
    <w:p w:rsidR="00A4614B" w:rsidRPr="00700B2A" w:rsidRDefault="00A4614B" w:rsidP="00700B2A">
      <w:pPr>
        <w:rPr>
          <w:rFonts w:eastAsia="SimSun"/>
        </w:rPr>
      </w:pPr>
    </w:p>
    <w:p w:rsidR="00A4614B" w:rsidRDefault="004823C4" w:rsidP="00032952">
      <w:pPr>
        <w:keepLines/>
        <w:rPr>
          <w:lang w:val="fr-CH"/>
        </w:rPr>
      </w:pPr>
      <w:r w:rsidRPr="0052482B">
        <w:lastRenderedPageBreak/>
        <w:fldChar w:fldCharType="begin"/>
      </w:r>
      <w:r w:rsidRPr="0052482B">
        <w:rPr>
          <w:lang w:val="fr-CH"/>
        </w:rPr>
        <w:instrText xml:space="preserve"> AUTONUM  </w:instrText>
      </w:r>
      <w:r w:rsidRPr="0052482B">
        <w:fldChar w:fldCharType="end"/>
      </w:r>
      <w:r w:rsidRPr="0052482B">
        <w:rPr>
          <w:lang w:val="fr-CH"/>
        </w:rPr>
        <w:tab/>
      </w:r>
      <w:r w:rsidR="00032952" w:rsidRPr="0052482B">
        <w:rPr>
          <w:lang w:val="fr-CH"/>
        </w:rPr>
        <w:t>Le CAJ est convenu que le Conseil serait invité à examiner le document TGP/7/8 “Élaboration des principes directeurs d</w:t>
      </w:r>
      <w:r w:rsidR="000970A8">
        <w:rPr>
          <w:lang w:val="fr-CH"/>
        </w:rPr>
        <w:t>’</w:t>
      </w:r>
      <w:r w:rsidR="00032952" w:rsidRPr="0052482B">
        <w:rPr>
          <w:lang w:val="fr-CH"/>
        </w:rPr>
        <w:t xml:space="preserve">examen” sur la base du </w:t>
      </w:r>
      <w:r w:rsidR="00165F29" w:rsidRPr="0052482B">
        <w:rPr>
          <w:lang w:val="fr-CH"/>
        </w:rPr>
        <w:t>document TG</w:t>
      </w:r>
      <w:r w:rsidR="00032952" w:rsidRPr="0052482B">
        <w:rPr>
          <w:lang w:val="fr-CH"/>
        </w:rPr>
        <w:t xml:space="preserve">P/7/8 </w:t>
      </w:r>
      <w:proofErr w:type="spellStart"/>
      <w:r w:rsidR="00032952" w:rsidRPr="0052482B">
        <w:rPr>
          <w:lang w:val="fr-CH"/>
        </w:rPr>
        <w:t>Draft</w:t>
      </w:r>
      <w:proofErr w:type="spellEnd"/>
      <w:r w:rsidR="00032952" w:rsidRPr="0052482B">
        <w:rPr>
          <w:lang w:val="fr-CH"/>
        </w:rPr>
        <w:t xml:space="preserve"> 1, pour adoption </w:t>
      </w:r>
      <w:r w:rsidR="00165F29" w:rsidRPr="0052482B">
        <w:rPr>
          <w:lang w:val="fr-CH"/>
        </w:rPr>
        <w:t>en 2020</w:t>
      </w:r>
      <w:r w:rsidR="00032952" w:rsidRPr="0052482B">
        <w:rPr>
          <w:lang w:val="fr-CH"/>
        </w:rPr>
        <w:t>.</w:t>
      </w:r>
    </w:p>
    <w:p w:rsidR="00A4614B" w:rsidRPr="00700B2A" w:rsidRDefault="00A4614B" w:rsidP="00700B2A"/>
    <w:p w:rsidR="00A4614B" w:rsidRDefault="00032952" w:rsidP="00032952">
      <w:pPr>
        <w:pStyle w:val="Heading3"/>
        <w:rPr>
          <w:lang w:val="fr-CH"/>
        </w:rPr>
      </w:pPr>
      <w:bookmarkStart w:id="11" w:name="_Toc55924369"/>
      <w:r w:rsidRPr="0052482B">
        <w:rPr>
          <w:lang w:val="fr-CH"/>
        </w:rPr>
        <w:t>TGP/14</w:t>
      </w:r>
      <w:r w:rsidR="000970A8">
        <w:rPr>
          <w:lang w:val="fr-CH"/>
        </w:rPr>
        <w:t> :</w:t>
      </w:r>
      <w:r w:rsidRPr="0052482B">
        <w:rPr>
          <w:lang w:val="fr-CH"/>
        </w:rPr>
        <w:t xml:space="preserve"> </w:t>
      </w:r>
      <w:r w:rsidR="00700B2A">
        <w:rPr>
          <w:lang w:val="fr-CH"/>
        </w:rPr>
        <w:t xml:space="preserve"> </w:t>
      </w:r>
      <w:r w:rsidRPr="0052482B">
        <w:rPr>
          <w:lang w:val="fr-CH"/>
        </w:rPr>
        <w:t>Glossaire de termes utilisés dans les documents de l</w:t>
      </w:r>
      <w:r w:rsidR="000970A8">
        <w:rPr>
          <w:lang w:val="fr-CH"/>
        </w:rPr>
        <w:t>’</w:t>
      </w:r>
      <w:r w:rsidRPr="0052482B">
        <w:rPr>
          <w:lang w:val="fr-CH"/>
        </w:rPr>
        <w:t>UPOV (révision) (</w:t>
      </w:r>
      <w:r w:rsidR="00875470" w:rsidRPr="0052482B">
        <w:rPr>
          <w:lang w:val="fr-CH"/>
        </w:rPr>
        <w:t>document</w:t>
      </w:r>
      <w:r w:rsidR="00700B2A">
        <w:rPr>
          <w:lang w:val="fr-CH"/>
        </w:rPr>
        <w:t> </w:t>
      </w:r>
      <w:r w:rsidR="00875470" w:rsidRPr="0052482B">
        <w:rPr>
          <w:lang w:val="fr-CH"/>
        </w:rPr>
        <w:t>TG</w:t>
      </w:r>
      <w:r w:rsidR="00700B2A">
        <w:rPr>
          <w:lang w:val="fr-CH"/>
        </w:rPr>
        <w:t>P/14/5 </w:t>
      </w:r>
      <w:proofErr w:type="spellStart"/>
      <w:r w:rsidRPr="0052482B">
        <w:rPr>
          <w:lang w:val="fr-CH"/>
        </w:rPr>
        <w:t>Draft</w:t>
      </w:r>
      <w:proofErr w:type="spellEnd"/>
      <w:r w:rsidR="00EE25CC" w:rsidRPr="0052482B">
        <w:rPr>
          <w:lang w:val="fr-CH"/>
        </w:rPr>
        <w:t> </w:t>
      </w:r>
      <w:r w:rsidRPr="0052482B">
        <w:rPr>
          <w:lang w:val="fr-CH"/>
        </w:rPr>
        <w:t>1)</w:t>
      </w:r>
      <w:bookmarkEnd w:id="11"/>
    </w:p>
    <w:p w:rsidR="00A4614B" w:rsidRPr="00700B2A" w:rsidRDefault="00A4614B" w:rsidP="00700B2A">
      <w:pPr>
        <w:keepNext/>
      </w:pPr>
    </w:p>
    <w:p w:rsidR="00A4614B" w:rsidRDefault="004823C4" w:rsidP="00032952">
      <w:pPr>
        <w:keepLines/>
        <w:rPr>
          <w:rFonts w:eastAsia="SimSun"/>
          <w:snapToGrid w:val="0"/>
          <w:lang w:val="fr-CH" w:eastAsia="ja-JP"/>
        </w:rPr>
      </w:pPr>
      <w:r w:rsidRPr="0052482B">
        <w:rPr>
          <w:rFonts w:eastAsia="SimSun"/>
          <w:snapToGrid w:val="0"/>
          <w:lang w:eastAsia="ja-JP"/>
        </w:rPr>
        <w:fldChar w:fldCharType="begin"/>
      </w:r>
      <w:r w:rsidRPr="0052482B">
        <w:rPr>
          <w:rFonts w:eastAsia="SimSun"/>
          <w:snapToGrid w:val="0"/>
          <w:lang w:val="fr-CH" w:eastAsia="ja-JP"/>
        </w:rPr>
        <w:instrText xml:space="preserve"> AUTONUM  </w:instrText>
      </w:r>
      <w:r w:rsidRPr="0052482B">
        <w:rPr>
          <w:rFonts w:eastAsia="SimSun"/>
          <w:snapToGrid w:val="0"/>
          <w:lang w:eastAsia="ja-JP"/>
        </w:rPr>
        <w:fldChar w:fldCharType="end"/>
      </w:r>
      <w:r w:rsidRPr="0052482B">
        <w:rPr>
          <w:rFonts w:eastAsia="SimSun"/>
          <w:snapToGrid w:val="0"/>
          <w:lang w:val="fr-CH" w:eastAsia="ja-JP"/>
        </w:rPr>
        <w:tab/>
      </w:r>
      <w:r w:rsidR="00032952" w:rsidRPr="0052482B">
        <w:rPr>
          <w:rFonts w:eastAsia="SimSun"/>
          <w:snapToGrid w:val="0"/>
          <w:lang w:val="fr-CH" w:eastAsia="ja-JP"/>
        </w:rPr>
        <w:t xml:space="preserve">Le CAJ a approuvé le </w:t>
      </w:r>
      <w:r w:rsidR="00875470" w:rsidRPr="0052482B">
        <w:rPr>
          <w:rFonts w:eastAsia="SimSun"/>
          <w:snapToGrid w:val="0"/>
          <w:lang w:val="fr-CH" w:eastAsia="ja-JP"/>
        </w:rPr>
        <w:t>document</w:t>
      </w:r>
      <w:r w:rsidR="00875470">
        <w:rPr>
          <w:rFonts w:eastAsia="SimSun"/>
          <w:snapToGrid w:val="0"/>
          <w:lang w:val="fr-CH" w:eastAsia="ja-JP"/>
        </w:rPr>
        <w:t xml:space="preserve"> </w:t>
      </w:r>
      <w:r w:rsidR="00875470" w:rsidRPr="0052482B">
        <w:rPr>
          <w:rFonts w:eastAsia="SimSun"/>
          <w:snapToGrid w:val="0"/>
          <w:lang w:val="fr-CH" w:eastAsia="ja-JP"/>
        </w:rPr>
        <w:t>TG</w:t>
      </w:r>
      <w:r w:rsidR="00032952" w:rsidRPr="0052482B">
        <w:rPr>
          <w:rFonts w:eastAsia="SimSun"/>
          <w:snapToGrid w:val="0"/>
          <w:lang w:val="fr-CH" w:eastAsia="ja-JP"/>
        </w:rPr>
        <w:t>P/14/5 “Glossaire de termes utilisés dans les documents de l</w:t>
      </w:r>
      <w:r w:rsidR="000970A8">
        <w:rPr>
          <w:rFonts w:eastAsia="SimSun"/>
          <w:snapToGrid w:val="0"/>
          <w:lang w:val="fr-CH" w:eastAsia="ja-JP"/>
        </w:rPr>
        <w:t>’</w:t>
      </w:r>
      <w:r w:rsidR="00032952" w:rsidRPr="0052482B">
        <w:rPr>
          <w:rFonts w:eastAsia="SimSun"/>
          <w:snapToGrid w:val="0"/>
          <w:lang w:val="fr-CH" w:eastAsia="ja-JP"/>
        </w:rPr>
        <w:t xml:space="preserve">UPOV” sur la base du </w:t>
      </w:r>
      <w:r w:rsidR="00875470" w:rsidRPr="0052482B">
        <w:rPr>
          <w:rFonts w:eastAsia="SimSun"/>
          <w:snapToGrid w:val="0"/>
          <w:lang w:val="fr-CH" w:eastAsia="ja-JP"/>
        </w:rPr>
        <w:t>document</w:t>
      </w:r>
      <w:r w:rsidR="00875470">
        <w:rPr>
          <w:rFonts w:eastAsia="SimSun"/>
          <w:snapToGrid w:val="0"/>
          <w:lang w:val="fr-CH" w:eastAsia="ja-JP"/>
        </w:rPr>
        <w:t xml:space="preserve"> </w:t>
      </w:r>
      <w:r w:rsidR="00875470" w:rsidRPr="0052482B">
        <w:rPr>
          <w:rFonts w:eastAsia="SimSun"/>
          <w:snapToGrid w:val="0"/>
          <w:lang w:val="fr-CH" w:eastAsia="ja-JP"/>
        </w:rPr>
        <w:t>TG</w:t>
      </w:r>
      <w:r w:rsidR="00032952" w:rsidRPr="0052482B">
        <w:rPr>
          <w:rFonts w:eastAsia="SimSun"/>
          <w:snapToGrid w:val="0"/>
          <w:lang w:val="fr-CH" w:eastAsia="ja-JP"/>
        </w:rPr>
        <w:t xml:space="preserve">P/14/5 </w:t>
      </w:r>
      <w:proofErr w:type="spellStart"/>
      <w:r w:rsidR="00032952" w:rsidRPr="0052482B">
        <w:rPr>
          <w:rFonts w:eastAsia="SimSun"/>
          <w:snapToGrid w:val="0"/>
          <w:lang w:val="fr-CH" w:eastAsia="ja-JP"/>
        </w:rPr>
        <w:t>Draft</w:t>
      </w:r>
      <w:proofErr w:type="spellEnd"/>
      <w:r w:rsidR="00EE25CC" w:rsidRPr="0052482B">
        <w:rPr>
          <w:rFonts w:eastAsia="SimSun"/>
          <w:snapToGrid w:val="0"/>
          <w:lang w:val="fr-CH" w:eastAsia="ja-JP"/>
        </w:rPr>
        <w:t> </w:t>
      </w:r>
      <w:r w:rsidR="00032952" w:rsidRPr="0052482B">
        <w:rPr>
          <w:rFonts w:eastAsia="SimSun"/>
          <w:snapToGrid w:val="0"/>
          <w:lang w:val="fr-CH" w:eastAsia="ja-JP"/>
        </w:rPr>
        <w:t>1.</w:t>
      </w:r>
    </w:p>
    <w:p w:rsidR="00A4614B" w:rsidRPr="00700B2A" w:rsidRDefault="00A4614B" w:rsidP="00700B2A">
      <w:pPr>
        <w:rPr>
          <w:rFonts w:eastAsia="SimSun"/>
        </w:rPr>
      </w:pPr>
    </w:p>
    <w:p w:rsidR="00A4614B" w:rsidRDefault="004823C4" w:rsidP="00032952">
      <w:pPr>
        <w:keepLines/>
        <w:rPr>
          <w:lang w:val="fr-CH"/>
        </w:rPr>
      </w:pPr>
      <w:r w:rsidRPr="0052482B">
        <w:fldChar w:fldCharType="begin"/>
      </w:r>
      <w:r w:rsidRPr="0052482B">
        <w:rPr>
          <w:lang w:val="fr-CH"/>
        </w:rPr>
        <w:instrText xml:space="preserve"> AUTONUM  </w:instrText>
      </w:r>
      <w:r w:rsidRPr="0052482B">
        <w:fldChar w:fldCharType="end"/>
      </w:r>
      <w:r w:rsidRPr="0052482B">
        <w:rPr>
          <w:lang w:val="fr-CH"/>
        </w:rPr>
        <w:tab/>
      </w:r>
      <w:r w:rsidR="00032952" w:rsidRPr="0052482B">
        <w:rPr>
          <w:lang w:val="fr-CH"/>
        </w:rPr>
        <w:t>Le CAJ est convenu que le Conseil serait invité à examiner le document TGP/14/5 “Glossaire de termes utilisés dans les documents de l</w:t>
      </w:r>
      <w:r w:rsidR="000970A8">
        <w:rPr>
          <w:lang w:val="fr-CH"/>
        </w:rPr>
        <w:t>’</w:t>
      </w:r>
      <w:r w:rsidR="00032952" w:rsidRPr="0052482B">
        <w:rPr>
          <w:lang w:val="fr-CH"/>
        </w:rPr>
        <w:t xml:space="preserve">UPOV” sur la base du document TGP/14/5 </w:t>
      </w:r>
      <w:proofErr w:type="spellStart"/>
      <w:r w:rsidR="00032952" w:rsidRPr="0052482B">
        <w:rPr>
          <w:lang w:val="fr-CH"/>
        </w:rPr>
        <w:t>Draft</w:t>
      </w:r>
      <w:proofErr w:type="spellEnd"/>
      <w:r w:rsidR="003D0584">
        <w:rPr>
          <w:lang w:val="fr-CH"/>
        </w:rPr>
        <w:t> </w:t>
      </w:r>
      <w:r w:rsidR="00032952" w:rsidRPr="0052482B">
        <w:rPr>
          <w:lang w:val="fr-CH"/>
        </w:rPr>
        <w:t xml:space="preserve">1, pour adoption </w:t>
      </w:r>
      <w:r w:rsidR="00165F29" w:rsidRPr="0052482B">
        <w:rPr>
          <w:lang w:val="fr-CH"/>
        </w:rPr>
        <w:t>en 2020</w:t>
      </w:r>
      <w:r w:rsidR="00032952" w:rsidRPr="0052482B">
        <w:rPr>
          <w:lang w:val="fr-CH"/>
        </w:rPr>
        <w:t>.</w:t>
      </w:r>
    </w:p>
    <w:p w:rsidR="00A4614B" w:rsidRPr="00700B2A" w:rsidRDefault="00A4614B" w:rsidP="00700B2A"/>
    <w:p w:rsidR="00A4614B" w:rsidRDefault="00032952" w:rsidP="00032952">
      <w:pPr>
        <w:pStyle w:val="Heading3"/>
        <w:rPr>
          <w:lang w:val="fr-CH"/>
        </w:rPr>
      </w:pPr>
      <w:bookmarkStart w:id="12" w:name="_Toc55924370"/>
      <w:r w:rsidRPr="0052482B">
        <w:rPr>
          <w:lang w:val="fr-CH"/>
        </w:rPr>
        <w:t>TGP/15</w:t>
      </w:r>
      <w:r w:rsidR="000970A8">
        <w:rPr>
          <w:lang w:val="fr-CH"/>
        </w:rPr>
        <w:t> :</w:t>
      </w:r>
      <w:r w:rsidRPr="0052482B">
        <w:rPr>
          <w:lang w:val="fr-CH"/>
        </w:rPr>
        <w:t xml:space="preserve"> </w:t>
      </w:r>
      <w:r w:rsidR="00700B2A">
        <w:rPr>
          <w:lang w:val="fr-CH"/>
        </w:rPr>
        <w:t xml:space="preserve"> </w:t>
      </w:r>
      <w:r w:rsidRPr="0052482B">
        <w:rPr>
          <w:lang w:val="fr-CH"/>
        </w:rPr>
        <w:t>Conseils en ce qui concerne l</w:t>
      </w:r>
      <w:r w:rsidR="000970A8">
        <w:rPr>
          <w:lang w:val="fr-CH"/>
        </w:rPr>
        <w:t>’</w:t>
      </w:r>
      <w:r w:rsidRPr="0052482B">
        <w:rPr>
          <w:lang w:val="fr-CH"/>
        </w:rPr>
        <w:t>utilisation des marqueurs biochimiques et moléculaires dans l</w:t>
      </w:r>
      <w:r w:rsidR="000970A8">
        <w:rPr>
          <w:lang w:val="fr-CH"/>
        </w:rPr>
        <w:t>’</w:t>
      </w:r>
      <w:r w:rsidRPr="0052482B">
        <w:rPr>
          <w:lang w:val="fr-CH"/>
        </w:rPr>
        <w:t>examen de la distinction, de l</w:t>
      </w:r>
      <w:r w:rsidR="000970A8">
        <w:rPr>
          <w:lang w:val="fr-CH"/>
        </w:rPr>
        <w:t>’</w:t>
      </w:r>
      <w:r w:rsidRPr="0052482B">
        <w:rPr>
          <w:lang w:val="fr-CH"/>
        </w:rPr>
        <w:t>homogénéité et de la stabilité (DHS) (révision) (</w:t>
      </w:r>
      <w:r w:rsidR="00875470" w:rsidRPr="0052482B">
        <w:rPr>
          <w:lang w:val="fr-CH"/>
        </w:rPr>
        <w:t>document</w:t>
      </w:r>
      <w:r w:rsidR="00700B2A">
        <w:rPr>
          <w:lang w:val="fr-CH"/>
        </w:rPr>
        <w:t> </w:t>
      </w:r>
      <w:r w:rsidR="00875470" w:rsidRPr="0052482B">
        <w:rPr>
          <w:lang w:val="fr-CH"/>
        </w:rPr>
        <w:t>TG</w:t>
      </w:r>
      <w:r w:rsidR="00700B2A">
        <w:rPr>
          <w:lang w:val="fr-CH"/>
        </w:rPr>
        <w:t>P/15/3 </w:t>
      </w:r>
      <w:proofErr w:type="spellStart"/>
      <w:r w:rsidRPr="0052482B">
        <w:rPr>
          <w:lang w:val="fr-CH"/>
        </w:rPr>
        <w:t>Draft</w:t>
      </w:r>
      <w:proofErr w:type="spellEnd"/>
      <w:r w:rsidR="00EE25CC" w:rsidRPr="0052482B">
        <w:rPr>
          <w:lang w:val="fr-CH"/>
        </w:rPr>
        <w:t> </w:t>
      </w:r>
      <w:r w:rsidRPr="0052482B">
        <w:rPr>
          <w:lang w:val="fr-CH"/>
        </w:rPr>
        <w:t>1)</w:t>
      </w:r>
      <w:bookmarkEnd w:id="12"/>
    </w:p>
    <w:p w:rsidR="00A4614B" w:rsidRPr="00700B2A" w:rsidRDefault="00A4614B" w:rsidP="00700B2A">
      <w:pPr>
        <w:keepNext/>
      </w:pPr>
    </w:p>
    <w:p w:rsidR="00A4614B" w:rsidRDefault="004823C4" w:rsidP="00032952">
      <w:pPr>
        <w:keepLines/>
        <w:rPr>
          <w:rFonts w:eastAsia="SimSun"/>
          <w:snapToGrid w:val="0"/>
          <w:lang w:val="fr-CH" w:eastAsia="ja-JP"/>
        </w:rPr>
      </w:pPr>
      <w:r w:rsidRPr="0052482B">
        <w:rPr>
          <w:rFonts w:eastAsia="SimSun"/>
          <w:snapToGrid w:val="0"/>
          <w:lang w:eastAsia="ja-JP"/>
        </w:rPr>
        <w:fldChar w:fldCharType="begin"/>
      </w:r>
      <w:r w:rsidRPr="0052482B">
        <w:rPr>
          <w:rFonts w:eastAsia="SimSun"/>
          <w:snapToGrid w:val="0"/>
          <w:lang w:val="fr-CH" w:eastAsia="ja-JP"/>
        </w:rPr>
        <w:instrText xml:space="preserve"> AUTONUM  </w:instrText>
      </w:r>
      <w:r w:rsidRPr="0052482B">
        <w:rPr>
          <w:rFonts w:eastAsia="SimSun"/>
          <w:snapToGrid w:val="0"/>
          <w:lang w:eastAsia="ja-JP"/>
        </w:rPr>
        <w:fldChar w:fldCharType="end"/>
      </w:r>
      <w:r w:rsidRPr="0052482B">
        <w:rPr>
          <w:rFonts w:eastAsia="SimSun"/>
          <w:snapToGrid w:val="0"/>
          <w:lang w:val="fr-CH" w:eastAsia="ja-JP"/>
        </w:rPr>
        <w:tab/>
      </w:r>
      <w:r w:rsidR="00032952" w:rsidRPr="0052482B">
        <w:rPr>
          <w:rFonts w:eastAsia="SimSun"/>
          <w:snapToGrid w:val="0"/>
          <w:lang w:val="fr-CH" w:eastAsia="ja-JP"/>
        </w:rPr>
        <w:t xml:space="preserve">Le CAJ a approuvé le </w:t>
      </w:r>
      <w:r w:rsidR="00875470" w:rsidRPr="0052482B">
        <w:rPr>
          <w:rFonts w:eastAsia="SimSun"/>
          <w:snapToGrid w:val="0"/>
          <w:lang w:val="fr-CH" w:eastAsia="ja-JP"/>
        </w:rPr>
        <w:t>document</w:t>
      </w:r>
      <w:r w:rsidR="00875470">
        <w:rPr>
          <w:rFonts w:eastAsia="SimSun"/>
          <w:snapToGrid w:val="0"/>
          <w:lang w:val="fr-CH" w:eastAsia="ja-JP"/>
        </w:rPr>
        <w:t xml:space="preserve"> </w:t>
      </w:r>
      <w:r w:rsidR="00875470" w:rsidRPr="0052482B">
        <w:rPr>
          <w:rFonts w:eastAsia="SimSun"/>
          <w:snapToGrid w:val="0"/>
          <w:lang w:val="fr-CH" w:eastAsia="ja-JP"/>
        </w:rPr>
        <w:t>TG</w:t>
      </w:r>
      <w:r w:rsidR="00032952" w:rsidRPr="0052482B">
        <w:rPr>
          <w:rFonts w:eastAsia="SimSun"/>
          <w:snapToGrid w:val="0"/>
          <w:lang w:val="fr-CH" w:eastAsia="ja-JP"/>
        </w:rPr>
        <w:t>P/15/3 “Conseils en ce qui concerne l</w:t>
      </w:r>
      <w:r w:rsidR="000970A8">
        <w:rPr>
          <w:rFonts w:eastAsia="SimSun"/>
          <w:snapToGrid w:val="0"/>
          <w:lang w:val="fr-CH" w:eastAsia="ja-JP"/>
        </w:rPr>
        <w:t>’</w:t>
      </w:r>
      <w:r w:rsidR="00032952" w:rsidRPr="0052482B">
        <w:rPr>
          <w:rFonts w:eastAsia="SimSun"/>
          <w:snapToGrid w:val="0"/>
          <w:lang w:val="fr-CH" w:eastAsia="ja-JP"/>
        </w:rPr>
        <w:t>utilisation des marqueurs biochimiques et moléculaires dans l</w:t>
      </w:r>
      <w:r w:rsidR="000970A8">
        <w:rPr>
          <w:rFonts w:eastAsia="SimSun"/>
          <w:snapToGrid w:val="0"/>
          <w:lang w:val="fr-CH" w:eastAsia="ja-JP"/>
        </w:rPr>
        <w:t>’</w:t>
      </w:r>
      <w:r w:rsidR="00032952" w:rsidRPr="0052482B">
        <w:rPr>
          <w:rFonts w:eastAsia="SimSun"/>
          <w:snapToGrid w:val="0"/>
          <w:lang w:val="fr-CH" w:eastAsia="ja-JP"/>
        </w:rPr>
        <w:t>examen de la distinction, de l</w:t>
      </w:r>
      <w:r w:rsidR="000970A8">
        <w:rPr>
          <w:rFonts w:eastAsia="SimSun"/>
          <w:snapToGrid w:val="0"/>
          <w:lang w:val="fr-CH" w:eastAsia="ja-JP"/>
        </w:rPr>
        <w:t>’</w:t>
      </w:r>
      <w:r w:rsidR="00032952" w:rsidRPr="0052482B">
        <w:rPr>
          <w:rFonts w:eastAsia="SimSun"/>
          <w:snapToGrid w:val="0"/>
          <w:lang w:val="fr-CH" w:eastAsia="ja-JP"/>
        </w:rPr>
        <w:t xml:space="preserve">homogénéité et de la stabilité (DHS)” sur la base du </w:t>
      </w:r>
      <w:r w:rsidR="00875470" w:rsidRPr="0052482B">
        <w:rPr>
          <w:rFonts w:eastAsia="SimSun"/>
          <w:snapToGrid w:val="0"/>
          <w:lang w:val="fr-CH" w:eastAsia="ja-JP"/>
        </w:rPr>
        <w:t>document</w:t>
      </w:r>
      <w:r w:rsidR="00875470">
        <w:rPr>
          <w:rFonts w:eastAsia="SimSun"/>
          <w:snapToGrid w:val="0"/>
          <w:lang w:val="fr-CH" w:eastAsia="ja-JP"/>
        </w:rPr>
        <w:t xml:space="preserve"> </w:t>
      </w:r>
      <w:r w:rsidR="00875470" w:rsidRPr="0052482B">
        <w:rPr>
          <w:rFonts w:eastAsia="SimSun"/>
          <w:snapToGrid w:val="0"/>
          <w:lang w:val="fr-CH" w:eastAsia="ja-JP"/>
        </w:rPr>
        <w:t>TG</w:t>
      </w:r>
      <w:r w:rsidR="00032952" w:rsidRPr="0052482B">
        <w:rPr>
          <w:rFonts w:eastAsia="SimSun"/>
          <w:snapToGrid w:val="0"/>
          <w:lang w:val="fr-CH" w:eastAsia="ja-JP"/>
        </w:rPr>
        <w:t xml:space="preserve">P/15/3 </w:t>
      </w:r>
      <w:proofErr w:type="spellStart"/>
      <w:r w:rsidR="00032952" w:rsidRPr="0052482B">
        <w:rPr>
          <w:rFonts w:eastAsia="SimSun"/>
          <w:snapToGrid w:val="0"/>
          <w:lang w:val="fr-CH" w:eastAsia="ja-JP"/>
        </w:rPr>
        <w:t>Draft</w:t>
      </w:r>
      <w:proofErr w:type="spellEnd"/>
      <w:r w:rsidR="00EE25CC" w:rsidRPr="0052482B">
        <w:rPr>
          <w:rFonts w:eastAsia="SimSun"/>
          <w:snapToGrid w:val="0"/>
          <w:lang w:val="fr-CH" w:eastAsia="ja-JP"/>
        </w:rPr>
        <w:t> </w:t>
      </w:r>
      <w:r w:rsidR="00032952" w:rsidRPr="0052482B">
        <w:rPr>
          <w:rFonts w:eastAsia="SimSun"/>
          <w:snapToGrid w:val="0"/>
          <w:lang w:val="fr-CH" w:eastAsia="ja-JP"/>
        </w:rPr>
        <w:t>1.</w:t>
      </w:r>
    </w:p>
    <w:p w:rsidR="00A4614B" w:rsidRPr="00700B2A" w:rsidRDefault="00A4614B" w:rsidP="00700B2A">
      <w:pPr>
        <w:rPr>
          <w:rFonts w:eastAsia="SimSun"/>
        </w:rPr>
      </w:pPr>
    </w:p>
    <w:p w:rsidR="00875470" w:rsidRDefault="004823C4" w:rsidP="00032952">
      <w:pPr>
        <w:keepLines/>
        <w:rPr>
          <w:lang w:val="fr-CH"/>
        </w:rPr>
      </w:pPr>
      <w:r w:rsidRPr="0052482B">
        <w:fldChar w:fldCharType="begin"/>
      </w:r>
      <w:r w:rsidRPr="0052482B">
        <w:rPr>
          <w:lang w:val="fr-CH"/>
        </w:rPr>
        <w:instrText xml:space="preserve"> AUTONUM  </w:instrText>
      </w:r>
      <w:r w:rsidRPr="0052482B">
        <w:fldChar w:fldCharType="end"/>
      </w:r>
      <w:r w:rsidRPr="0052482B">
        <w:rPr>
          <w:lang w:val="fr-CH"/>
        </w:rPr>
        <w:tab/>
      </w:r>
      <w:r w:rsidR="00032952" w:rsidRPr="0052482B">
        <w:rPr>
          <w:lang w:val="fr-CH"/>
        </w:rPr>
        <w:t>Le CAJ est convenu que le Conseil serait invité à examiner le document TGP/15/3 “Conseils en ce qui concerne l</w:t>
      </w:r>
      <w:r w:rsidR="000970A8">
        <w:rPr>
          <w:lang w:val="fr-CH"/>
        </w:rPr>
        <w:t>’</w:t>
      </w:r>
      <w:r w:rsidR="00032952" w:rsidRPr="0052482B">
        <w:rPr>
          <w:lang w:val="fr-CH"/>
        </w:rPr>
        <w:t>utilisation des marqueurs biochimiques et moléculaires dans l</w:t>
      </w:r>
      <w:r w:rsidR="000970A8">
        <w:rPr>
          <w:lang w:val="fr-CH"/>
        </w:rPr>
        <w:t>’</w:t>
      </w:r>
      <w:r w:rsidR="00032952" w:rsidRPr="0052482B">
        <w:rPr>
          <w:lang w:val="fr-CH"/>
        </w:rPr>
        <w:t>examen de la distinction, de l</w:t>
      </w:r>
      <w:r w:rsidR="000970A8">
        <w:rPr>
          <w:lang w:val="fr-CH"/>
        </w:rPr>
        <w:t>’</w:t>
      </w:r>
      <w:r w:rsidR="00032952" w:rsidRPr="0052482B">
        <w:rPr>
          <w:lang w:val="fr-CH"/>
        </w:rPr>
        <w:t xml:space="preserve">homogénéité et de la stabilité (DHS)” sur la base du document TGP/15/3 </w:t>
      </w:r>
      <w:proofErr w:type="spellStart"/>
      <w:r w:rsidR="00032952" w:rsidRPr="0052482B">
        <w:rPr>
          <w:lang w:val="fr-CH"/>
        </w:rPr>
        <w:t>Draft</w:t>
      </w:r>
      <w:proofErr w:type="spellEnd"/>
      <w:r w:rsidR="003D0584">
        <w:rPr>
          <w:lang w:val="fr-CH"/>
        </w:rPr>
        <w:t> </w:t>
      </w:r>
      <w:r w:rsidR="00032952" w:rsidRPr="0052482B">
        <w:rPr>
          <w:lang w:val="fr-CH"/>
        </w:rPr>
        <w:t xml:space="preserve">1, pour adoption </w:t>
      </w:r>
      <w:r w:rsidR="00165F29" w:rsidRPr="0052482B">
        <w:rPr>
          <w:lang w:val="fr-CH"/>
        </w:rPr>
        <w:t>en 2020</w:t>
      </w:r>
      <w:r w:rsidR="00032952" w:rsidRPr="0052482B">
        <w:rPr>
          <w:lang w:val="fr-CH"/>
        </w:rPr>
        <w:t>.</w:t>
      </w:r>
    </w:p>
    <w:p w:rsidR="00A4614B" w:rsidRDefault="00A4614B" w:rsidP="00700B2A"/>
    <w:p w:rsidR="00700B2A" w:rsidRPr="00700B2A" w:rsidRDefault="00700B2A" w:rsidP="00700B2A"/>
    <w:p w:rsidR="00A4614B" w:rsidRDefault="00032952" w:rsidP="00032952">
      <w:pPr>
        <w:pStyle w:val="Heading2"/>
        <w:rPr>
          <w:lang w:val="fr-CH"/>
        </w:rPr>
      </w:pPr>
      <w:bookmarkStart w:id="13" w:name="_Toc55924371"/>
      <w:bookmarkStart w:id="14" w:name="_Toc54097482"/>
      <w:bookmarkStart w:id="15" w:name="_Toc54097616"/>
      <w:r w:rsidRPr="0052482B">
        <w:rPr>
          <w:lang w:val="fr-CH"/>
        </w:rPr>
        <w:t>Autres questions à soumettre</w:t>
      </w:r>
      <w:r w:rsidR="00165F29" w:rsidRPr="0052482B">
        <w:rPr>
          <w:lang w:val="fr-CH"/>
        </w:rPr>
        <w:t xml:space="preserve"> au CAJ</w:t>
      </w:r>
      <w:bookmarkEnd w:id="13"/>
    </w:p>
    <w:p w:rsidR="00A4614B" w:rsidRDefault="00A4614B" w:rsidP="004823C4">
      <w:pPr>
        <w:keepNext/>
        <w:rPr>
          <w:lang w:val="fr-CH"/>
        </w:rPr>
      </w:pPr>
    </w:p>
    <w:p w:rsidR="00A4614B" w:rsidRDefault="00032952" w:rsidP="00032952">
      <w:pPr>
        <w:pStyle w:val="Heading3"/>
        <w:rPr>
          <w:lang w:val="fr-CH"/>
        </w:rPr>
      </w:pPr>
      <w:bookmarkStart w:id="16" w:name="_Toc55924372"/>
      <w:bookmarkEnd w:id="14"/>
      <w:bookmarkEnd w:id="15"/>
      <w:r w:rsidRPr="0052482B">
        <w:rPr>
          <w:lang w:val="fr-CH"/>
        </w:rPr>
        <w:t>UPOV/INF/23</w:t>
      </w:r>
      <w:r w:rsidR="000970A8">
        <w:rPr>
          <w:lang w:val="fr-CH"/>
        </w:rPr>
        <w:t> :</w:t>
      </w:r>
      <w:r w:rsidR="00700B2A">
        <w:rPr>
          <w:lang w:val="fr-CH"/>
        </w:rPr>
        <w:t xml:space="preserve"> </w:t>
      </w:r>
      <w:r w:rsidRPr="0052482B">
        <w:rPr>
          <w:lang w:val="fr-CH"/>
        </w:rPr>
        <w:t xml:space="preserve"> Logiciels et équipements utilisés par les membres de l</w:t>
      </w:r>
      <w:r w:rsidR="000970A8">
        <w:rPr>
          <w:lang w:val="fr-CH"/>
        </w:rPr>
        <w:t>’</w:t>
      </w:r>
      <w:r w:rsidRPr="0052482B">
        <w:rPr>
          <w:lang w:val="fr-CH"/>
        </w:rPr>
        <w:t>Union (révision) (</w:t>
      </w:r>
      <w:r w:rsidR="00875470" w:rsidRPr="0052482B">
        <w:rPr>
          <w:lang w:val="fr-CH"/>
        </w:rPr>
        <w:t>document</w:t>
      </w:r>
      <w:r w:rsidR="00700B2A">
        <w:rPr>
          <w:lang w:val="fr-CH"/>
        </w:rPr>
        <w:t> </w:t>
      </w:r>
      <w:r w:rsidR="00875470" w:rsidRPr="0052482B">
        <w:rPr>
          <w:lang w:val="fr-CH"/>
        </w:rPr>
        <w:t>UP</w:t>
      </w:r>
      <w:r w:rsidR="00700B2A">
        <w:rPr>
          <w:lang w:val="fr-CH"/>
        </w:rPr>
        <w:t>OV/INF/22/7 </w:t>
      </w:r>
      <w:proofErr w:type="spellStart"/>
      <w:r w:rsidRPr="0052482B">
        <w:rPr>
          <w:lang w:val="fr-CH"/>
        </w:rPr>
        <w:t>Draft</w:t>
      </w:r>
      <w:proofErr w:type="spellEnd"/>
      <w:r w:rsidR="00EE25CC" w:rsidRPr="0052482B">
        <w:rPr>
          <w:lang w:val="fr-CH"/>
        </w:rPr>
        <w:t> </w:t>
      </w:r>
      <w:r w:rsidRPr="0052482B">
        <w:rPr>
          <w:lang w:val="fr-CH"/>
        </w:rPr>
        <w:t>1)</w:t>
      </w:r>
      <w:bookmarkEnd w:id="16"/>
    </w:p>
    <w:p w:rsidR="00A4614B" w:rsidRDefault="00A4614B" w:rsidP="004823C4">
      <w:pPr>
        <w:rPr>
          <w:lang w:val="fr-CH"/>
        </w:rPr>
      </w:pPr>
    </w:p>
    <w:p w:rsidR="00A4614B" w:rsidRDefault="004823C4" w:rsidP="00EE7342">
      <w:pPr>
        <w:keepLines/>
        <w:rPr>
          <w:rFonts w:eastAsia="SimSun"/>
          <w:snapToGrid w:val="0"/>
          <w:lang w:val="fr-CH" w:eastAsia="ja-JP"/>
        </w:rPr>
      </w:pPr>
      <w:r w:rsidRPr="0052482B">
        <w:rPr>
          <w:rFonts w:eastAsia="SimSun"/>
          <w:snapToGrid w:val="0"/>
          <w:lang w:eastAsia="ja-JP"/>
        </w:rPr>
        <w:fldChar w:fldCharType="begin"/>
      </w:r>
      <w:r w:rsidRPr="0052482B">
        <w:rPr>
          <w:rFonts w:eastAsia="SimSun"/>
          <w:snapToGrid w:val="0"/>
          <w:lang w:val="fr-CH" w:eastAsia="ja-JP"/>
        </w:rPr>
        <w:instrText xml:space="preserve"> AUTONUM  </w:instrText>
      </w:r>
      <w:r w:rsidRPr="0052482B">
        <w:rPr>
          <w:rFonts w:eastAsia="SimSun"/>
          <w:snapToGrid w:val="0"/>
          <w:lang w:eastAsia="ja-JP"/>
        </w:rPr>
        <w:fldChar w:fldCharType="end"/>
      </w:r>
      <w:r w:rsidRPr="0052482B">
        <w:rPr>
          <w:rFonts w:eastAsia="SimSun"/>
          <w:snapToGrid w:val="0"/>
          <w:lang w:val="fr-CH" w:eastAsia="ja-JP"/>
        </w:rPr>
        <w:tab/>
      </w:r>
      <w:r w:rsidR="00EE7342" w:rsidRPr="0052482B">
        <w:rPr>
          <w:rFonts w:eastAsia="SimSun"/>
          <w:snapToGrid w:val="0"/>
          <w:lang w:val="fr-CH" w:eastAsia="ja-JP"/>
        </w:rPr>
        <w:t>Le CAJ a approuvé l</w:t>
      </w:r>
      <w:r w:rsidR="000970A8">
        <w:rPr>
          <w:rFonts w:eastAsia="SimSun"/>
          <w:snapToGrid w:val="0"/>
          <w:lang w:val="fr-CH" w:eastAsia="ja-JP"/>
        </w:rPr>
        <w:t>’</w:t>
      </w:r>
      <w:r w:rsidR="00EE7342" w:rsidRPr="0052482B">
        <w:rPr>
          <w:rFonts w:eastAsia="SimSun"/>
          <w:snapToGrid w:val="0"/>
          <w:lang w:val="fr-CH" w:eastAsia="ja-JP"/>
        </w:rPr>
        <w:t xml:space="preserve">“Introduction au système de codes UPOV” sur la base du </w:t>
      </w:r>
      <w:r w:rsidR="00875470" w:rsidRPr="0052482B">
        <w:rPr>
          <w:rFonts w:eastAsia="SimSun"/>
          <w:snapToGrid w:val="0"/>
          <w:lang w:val="fr-CH" w:eastAsia="ja-JP"/>
        </w:rPr>
        <w:t>document</w:t>
      </w:r>
      <w:r w:rsidR="00875470">
        <w:rPr>
          <w:rFonts w:eastAsia="SimSun"/>
          <w:snapToGrid w:val="0"/>
          <w:lang w:val="fr-CH" w:eastAsia="ja-JP"/>
        </w:rPr>
        <w:t xml:space="preserve"> </w:t>
      </w:r>
      <w:r w:rsidR="00875470" w:rsidRPr="0052482B">
        <w:rPr>
          <w:rFonts w:eastAsia="SimSun"/>
          <w:snapToGrid w:val="0"/>
          <w:lang w:val="fr-CH" w:eastAsia="ja-JP"/>
        </w:rPr>
        <w:t>UP</w:t>
      </w:r>
      <w:r w:rsidR="00700B2A">
        <w:rPr>
          <w:rFonts w:eastAsia="SimSun"/>
          <w:snapToGrid w:val="0"/>
          <w:lang w:val="fr-CH" w:eastAsia="ja-JP"/>
        </w:rPr>
        <w:t>OV/INF/23/1 </w:t>
      </w:r>
      <w:proofErr w:type="spellStart"/>
      <w:r w:rsidR="00EE7342" w:rsidRPr="0052482B">
        <w:rPr>
          <w:rFonts w:eastAsia="SimSun"/>
          <w:snapToGrid w:val="0"/>
          <w:lang w:val="fr-CH" w:eastAsia="ja-JP"/>
        </w:rPr>
        <w:t>Draft</w:t>
      </w:r>
      <w:proofErr w:type="spellEnd"/>
      <w:r w:rsidR="00EE25CC" w:rsidRPr="0052482B">
        <w:rPr>
          <w:rFonts w:eastAsia="SimSun"/>
          <w:snapToGrid w:val="0"/>
          <w:lang w:val="fr-CH" w:eastAsia="ja-JP"/>
        </w:rPr>
        <w:t> </w:t>
      </w:r>
      <w:r w:rsidR="00EE7342" w:rsidRPr="0052482B">
        <w:rPr>
          <w:rFonts w:eastAsia="SimSun"/>
          <w:snapToGrid w:val="0"/>
          <w:lang w:val="fr-CH" w:eastAsia="ja-JP"/>
        </w:rPr>
        <w:t>1.</w:t>
      </w:r>
    </w:p>
    <w:p w:rsidR="00A4614B" w:rsidRDefault="00A4614B" w:rsidP="004823C4">
      <w:pPr>
        <w:keepLines/>
        <w:rPr>
          <w:rFonts w:eastAsia="SimSun"/>
          <w:snapToGrid w:val="0"/>
          <w:lang w:val="fr-CH" w:eastAsia="ja-JP"/>
        </w:rPr>
      </w:pPr>
    </w:p>
    <w:p w:rsidR="00A4614B" w:rsidRDefault="004823C4" w:rsidP="0083791A">
      <w:pPr>
        <w:keepLines/>
        <w:rPr>
          <w:spacing w:val="-4"/>
          <w:lang w:val="fr-CH"/>
        </w:rPr>
      </w:pPr>
      <w:r w:rsidRPr="0052482B">
        <w:rPr>
          <w:spacing w:val="-4"/>
        </w:rPr>
        <w:fldChar w:fldCharType="begin"/>
      </w:r>
      <w:r w:rsidRPr="0052482B">
        <w:rPr>
          <w:spacing w:val="-4"/>
          <w:lang w:val="fr-CH"/>
        </w:rPr>
        <w:instrText xml:space="preserve"> AUTONUM  </w:instrText>
      </w:r>
      <w:r w:rsidRPr="0052482B">
        <w:rPr>
          <w:spacing w:val="-4"/>
        </w:rPr>
        <w:fldChar w:fldCharType="end"/>
      </w:r>
      <w:r w:rsidRPr="0052482B">
        <w:rPr>
          <w:spacing w:val="-4"/>
          <w:lang w:val="fr-CH"/>
        </w:rPr>
        <w:tab/>
      </w:r>
      <w:r w:rsidR="0083791A" w:rsidRPr="0052482B">
        <w:rPr>
          <w:spacing w:val="-4"/>
          <w:lang w:val="fr-CH"/>
        </w:rPr>
        <w:t>Le CAJ a proposé que le</w:t>
      </w:r>
      <w:r w:rsidR="000970A8">
        <w:rPr>
          <w:spacing w:val="-4"/>
          <w:lang w:val="fr-CH"/>
        </w:rPr>
        <w:t> TC</w:t>
      </w:r>
      <w:r w:rsidR="0083791A" w:rsidRPr="0052482B">
        <w:rPr>
          <w:spacing w:val="-4"/>
          <w:lang w:val="fr-CH"/>
        </w:rPr>
        <w:t xml:space="preserve"> examine un nouveau projet de </w:t>
      </w:r>
      <w:r w:rsidR="00875470" w:rsidRPr="0052482B">
        <w:rPr>
          <w:spacing w:val="-4"/>
          <w:lang w:val="fr-CH"/>
        </w:rPr>
        <w:t>document</w:t>
      </w:r>
      <w:r w:rsidR="00875470">
        <w:rPr>
          <w:spacing w:val="-4"/>
          <w:lang w:val="fr-CH"/>
        </w:rPr>
        <w:t xml:space="preserve"> </w:t>
      </w:r>
      <w:r w:rsidR="00875470" w:rsidRPr="0052482B">
        <w:rPr>
          <w:spacing w:val="-4"/>
          <w:lang w:val="fr-CH"/>
        </w:rPr>
        <w:t>UP</w:t>
      </w:r>
      <w:r w:rsidR="0083791A" w:rsidRPr="0052482B">
        <w:rPr>
          <w:spacing w:val="-4"/>
          <w:lang w:val="fr-CH"/>
        </w:rPr>
        <w:t xml:space="preserve">OV/INF/23/1 “Introduction au système de codes UPOV” </w:t>
      </w:r>
      <w:r w:rsidR="00165F29" w:rsidRPr="0052482B">
        <w:rPr>
          <w:spacing w:val="-4"/>
          <w:lang w:val="fr-CH"/>
        </w:rPr>
        <w:t>en 2021</w:t>
      </w:r>
      <w:r w:rsidR="0083791A" w:rsidRPr="0052482B">
        <w:rPr>
          <w:spacing w:val="-4"/>
          <w:lang w:val="fr-CH"/>
        </w:rPr>
        <w:t>.</w:t>
      </w:r>
    </w:p>
    <w:p w:rsidR="00A4614B" w:rsidRDefault="00A4614B" w:rsidP="004823C4">
      <w:pPr>
        <w:rPr>
          <w:lang w:val="fr-CH"/>
        </w:rPr>
      </w:pPr>
    </w:p>
    <w:p w:rsidR="00A4614B" w:rsidRDefault="0083791A" w:rsidP="0083791A">
      <w:pPr>
        <w:pStyle w:val="Heading3"/>
        <w:rPr>
          <w:lang w:val="fr-CH"/>
        </w:rPr>
      </w:pPr>
      <w:bookmarkStart w:id="17" w:name="_Toc55924373"/>
      <w:r w:rsidRPr="0052482B">
        <w:rPr>
          <w:lang w:val="fr-CH"/>
        </w:rPr>
        <w:t>Référence à UPOV PRISMA dans les documents d</w:t>
      </w:r>
      <w:r w:rsidR="000970A8">
        <w:rPr>
          <w:lang w:val="fr-CH"/>
        </w:rPr>
        <w:t>’</w:t>
      </w:r>
      <w:r w:rsidRPr="0052482B">
        <w:rPr>
          <w:lang w:val="fr-CH"/>
        </w:rPr>
        <w:t>orientation et d</w:t>
      </w:r>
      <w:r w:rsidR="000970A8">
        <w:rPr>
          <w:lang w:val="fr-CH"/>
        </w:rPr>
        <w:t>’</w:t>
      </w:r>
      <w:r w:rsidRPr="0052482B">
        <w:rPr>
          <w:lang w:val="fr-CH"/>
        </w:rPr>
        <w:t>information de l</w:t>
      </w:r>
      <w:r w:rsidR="000970A8">
        <w:rPr>
          <w:lang w:val="fr-CH"/>
        </w:rPr>
        <w:t>’</w:t>
      </w:r>
      <w:r w:rsidRPr="0052482B">
        <w:rPr>
          <w:lang w:val="fr-CH"/>
        </w:rPr>
        <w:t>UPOV</w:t>
      </w:r>
      <w:bookmarkEnd w:id="17"/>
    </w:p>
    <w:p w:rsidR="00A4614B" w:rsidRDefault="00A4614B" w:rsidP="004823C4">
      <w:pPr>
        <w:rPr>
          <w:lang w:val="fr-CH"/>
        </w:rPr>
      </w:pPr>
    </w:p>
    <w:p w:rsidR="00A4614B" w:rsidRDefault="004823C4" w:rsidP="0083791A">
      <w:pPr>
        <w:rPr>
          <w:spacing w:val="-4"/>
          <w:lang w:val="fr-CH"/>
        </w:rPr>
      </w:pPr>
      <w:r w:rsidRPr="0052482B">
        <w:rPr>
          <w:spacing w:val="-4"/>
        </w:rPr>
        <w:fldChar w:fldCharType="begin"/>
      </w:r>
      <w:r w:rsidRPr="0052482B">
        <w:rPr>
          <w:spacing w:val="-4"/>
          <w:lang w:val="fr-CH"/>
        </w:rPr>
        <w:instrText xml:space="preserve"> AUTONUM  </w:instrText>
      </w:r>
      <w:r w:rsidRPr="0052482B">
        <w:rPr>
          <w:spacing w:val="-4"/>
        </w:rPr>
        <w:fldChar w:fldCharType="end"/>
      </w:r>
      <w:r w:rsidRPr="0052482B">
        <w:rPr>
          <w:spacing w:val="-4"/>
          <w:lang w:val="fr-CH"/>
        </w:rPr>
        <w:tab/>
      </w:r>
      <w:r w:rsidR="0083791A" w:rsidRPr="0052482B">
        <w:rPr>
          <w:spacing w:val="-4"/>
          <w:lang w:val="fr-CH"/>
        </w:rPr>
        <w:t xml:space="preserve">Le CAJ a approuvé les propositions de révision des </w:t>
      </w:r>
      <w:r w:rsidR="00875470" w:rsidRPr="0052482B">
        <w:rPr>
          <w:spacing w:val="-4"/>
          <w:lang w:val="fr-CH"/>
        </w:rPr>
        <w:t>documents</w:t>
      </w:r>
      <w:r w:rsidR="00875470">
        <w:rPr>
          <w:spacing w:val="-4"/>
          <w:lang w:val="fr-CH"/>
        </w:rPr>
        <w:t xml:space="preserve"> </w:t>
      </w:r>
      <w:r w:rsidR="00875470" w:rsidRPr="0052482B">
        <w:rPr>
          <w:spacing w:val="-4"/>
          <w:lang w:val="fr-CH"/>
        </w:rPr>
        <w:t>UP</w:t>
      </w:r>
      <w:r w:rsidR="0083791A" w:rsidRPr="0052482B">
        <w:rPr>
          <w:spacing w:val="-4"/>
          <w:lang w:val="fr-CH"/>
        </w:rPr>
        <w:t xml:space="preserve">OV/INF/6 et TGP/5 </w:t>
      </w:r>
      <w:r w:rsidR="00165F29" w:rsidRPr="0052482B">
        <w:rPr>
          <w:spacing w:val="-4"/>
          <w:lang w:val="fr-CH"/>
        </w:rPr>
        <w:t>Section 2</w:t>
      </w:r>
      <w:r w:rsidR="0083791A" w:rsidRPr="0052482B">
        <w:rPr>
          <w:spacing w:val="-4"/>
          <w:lang w:val="fr-CH"/>
        </w:rPr>
        <w:t>, telles qu</w:t>
      </w:r>
      <w:r w:rsidR="000970A8">
        <w:rPr>
          <w:spacing w:val="-4"/>
          <w:lang w:val="fr-CH"/>
        </w:rPr>
        <w:t>’</w:t>
      </w:r>
      <w:r w:rsidR="0083791A" w:rsidRPr="0052482B">
        <w:rPr>
          <w:spacing w:val="-4"/>
          <w:lang w:val="fr-CH"/>
        </w:rPr>
        <w:t xml:space="preserve">elles figurent aux </w:t>
      </w:r>
      <w:r w:rsidR="00165F29" w:rsidRPr="0052482B">
        <w:rPr>
          <w:spacing w:val="-4"/>
          <w:lang w:val="fr-CH"/>
        </w:rPr>
        <w:t>paragraphes 5</w:t>
      </w:r>
      <w:r w:rsidR="0083791A" w:rsidRPr="0052482B">
        <w:rPr>
          <w:spacing w:val="-4"/>
          <w:lang w:val="fr-CH"/>
        </w:rPr>
        <w:t xml:space="preserve">8 et 59 du présent document, pour adoption par le Conseil à sa session </w:t>
      </w:r>
      <w:r w:rsidR="00165F29" w:rsidRPr="0052482B">
        <w:rPr>
          <w:spacing w:val="-4"/>
          <w:lang w:val="fr-CH"/>
        </w:rPr>
        <w:t>de 2021</w:t>
      </w:r>
      <w:r w:rsidR="0083791A" w:rsidRPr="0052482B">
        <w:rPr>
          <w:spacing w:val="-4"/>
          <w:lang w:val="fr-CH"/>
        </w:rPr>
        <w:t>.</w:t>
      </w:r>
    </w:p>
    <w:p w:rsidR="00A4614B" w:rsidRDefault="00A4614B" w:rsidP="004823C4">
      <w:pPr>
        <w:rPr>
          <w:rFonts w:eastAsia="MS Mincho"/>
          <w:highlight w:val="yellow"/>
          <w:lang w:val="fr-CH"/>
        </w:rPr>
      </w:pPr>
    </w:p>
    <w:p w:rsidR="00A4614B" w:rsidRDefault="0083791A" w:rsidP="0083791A">
      <w:pPr>
        <w:pStyle w:val="Heading3"/>
        <w:rPr>
          <w:lang w:val="fr-CH"/>
        </w:rPr>
      </w:pPr>
      <w:bookmarkStart w:id="18" w:name="_Toc55924374"/>
      <w:r w:rsidRPr="0052482B">
        <w:rPr>
          <w:lang w:val="fr-CH"/>
        </w:rPr>
        <w:t>Variétés essentiellement dérivées</w:t>
      </w:r>
      <w:bookmarkEnd w:id="18"/>
    </w:p>
    <w:p w:rsidR="00A4614B" w:rsidRDefault="00A4614B" w:rsidP="004823C4">
      <w:pPr>
        <w:rPr>
          <w:sz w:val="12"/>
          <w:szCs w:val="12"/>
          <w:lang w:val="fr-CH"/>
        </w:rPr>
      </w:pPr>
    </w:p>
    <w:p w:rsidR="00A4614B" w:rsidRDefault="004823C4" w:rsidP="0083791A">
      <w:pPr>
        <w:rPr>
          <w:spacing w:val="-2"/>
          <w:lang w:val="fr-CH"/>
        </w:rPr>
      </w:pPr>
      <w:r w:rsidRPr="0052482B">
        <w:rPr>
          <w:spacing w:val="-2"/>
        </w:rPr>
        <w:fldChar w:fldCharType="begin"/>
      </w:r>
      <w:r w:rsidRPr="0052482B">
        <w:rPr>
          <w:spacing w:val="-2"/>
          <w:lang w:val="fr-CH"/>
        </w:rPr>
        <w:instrText xml:space="preserve"> AUTONUM  </w:instrText>
      </w:r>
      <w:r w:rsidRPr="0052482B">
        <w:rPr>
          <w:spacing w:val="-2"/>
        </w:rPr>
        <w:fldChar w:fldCharType="end"/>
      </w:r>
      <w:r w:rsidRPr="0052482B">
        <w:rPr>
          <w:spacing w:val="-2"/>
          <w:lang w:val="fr-CH"/>
        </w:rPr>
        <w:tab/>
      </w:r>
      <w:r w:rsidR="0083791A" w:rsidRPr="0052482B">
        <w:rPr>
          <w:spacing w:val="-2"/>
          <w:lang w:val="fr-CH"/>
        </w:rPr>
        <w:t xml:space="preserve">Le CAJ a noté que les questions relatives aux variétés essentiellement dérivées avaient été examinées dans le </w:t>
      </w:r>
      <w:r w:rsidR="00875470" w:rsidRPr="0052482B">
        <w:rPr>
          <w:spacing w:val="-2"/>
          <w:lang w:val="fr-CH"/>
        </w:rPr>
        <w:t>document</w:t>
      </w:r>
      <w:r w:rsidR="00875470">
        <w:rPr>
          <w:spacing w:val="-2"/>
          <w:lang w:val="fr-CH"/>
        </w:rPr>
        <w:t xml:space="preserve"> </w:t>
      </w:r>
      <w:r w:rsidR="00875470" w:rsidRPr="0052482B">
        <w:rPr>
          <w:spacing w:val="-2"/>
          <w:lang w:val="fr-CH"/>
        </w:rPr>
        <w:t>CA</w:t>
      </w:r>
      <w:r w:rsidR="0083791A" w:rsidRPr="0052482B">
        <w:rPr>
          <w:spacing w:val="-2"/>
          <w:lang w:val="fr-CH"/>
        </w:rPr>
        <w:t>J/77/4.</w:t>
      </w:r>
    </w:p>
    <w:p w:rsidR="00A4614B" w:rsidRDefault="00A4614B" w:rsidP="004823C4">
      <w:pPr>
        <w:rPr>
          <w:lang w:val="fr-CH"/>
        </w:rPr>
      </w:pPr>
    </w:p>
    <w:p w:rsidR="00A4614B" w:rsidRDefault="0083791A" w:rsidP="0083791A">
      <w:pPr>
        <w:pStyle w:val="Heading3"/>
        <w:rPr>
          <w:lang w:val="fr-CH"/>
        </w:rPr>
      </w:pPr>
      <w:bookmarkStart w:id="19" w:name="_Toc55924375"/>
      <w:r w:rsidRPr="0052482B">
        <w:rPr>
          <w:lang w:val="fr-CH"/>
        </w:rPr>
        <w:t>Produit de la récolte</w:t>
      </w:r>
      <w:bookmarkEnd w:id="19"/>
    </w:p>
    <w:p w:rsidR="00A4614B" w:rsidRDefault="00A4614B" w:rsidP="004823C4">
      <w:pPr>
        <w:rPr>
          <w:sz w:val="18"/>
          <w:lang w:val="fr-CH"/>
        </w:rPr>
      </w:pPr>
    </w:p>
    <w:p w:rsidR="00A4614B" w:rsidRDefault="004823C4" w:rsidP="00F070BD">
      <w:pPr>
        <w:rPr>
          <w:spacing w:val="-2"/>
          <w:lang w:val="fr-CH"/>
        </w:rPr>
      </w:pPr>
      <w:r w:rsidRPr="0052482B">
        <w:rPr>
          <w:spacing w:val="-2"/>
        </w:rPr>
        <w:fldChar w:fldCharType="begin"/>
      </w:r>
      <w:r w:rsidRPr="0052482B">
        <w:rPr>
          <w:spacing w:val="-2"/>
          <w:lang w:val="fr-CH"/>
        </w:rPr>
        <w:instrText xml:space="preserve"> AUTONUM  </w:instrText>
      </w:r>
      <w:r w:rsidRPr="0052482B">
        <w:rPr>
          <w:spacing w:val="-2"/>
        </w:rPr>
        <w:fldChar w:fldCharType="end"/>
      </w:r>
      <w:r w:rsidRPr="0052482B">
        <w:rPr>
          <w:spacing w:val="-2"/>
          <w:lang w:val="fr-CH"/>
        </w:rPr>
        <w:tab/>
      </w:r>
      <w:r w:rsidR="00F070BD" w:rsidRPr="0052482B">
        <w:rPr>
          <w:spacing w:val="-2"/>
          <w:lang w:val="fr-CH"/>
        </w:rPr>
        <w:t xml:space="preserve">Le CAJ a noté que les questions relatives au produit de la récolte </w:t>
      </w:r>
      <w:r w:rsidR="0052482B">
        <w:rPr>
          <w:spacing w:val="-2"/>
          <w:lang w:val="fr-CH"/>
        </w:rPr>
        <w:t>avaient</w:t>
      </w:r>
      <w:r w:rsidR="00F070BD" w:rsidRPr="0052482B">
        <w:rPr>
          <w:spacing w:val="-2"/>
          <w:lang w:val="fr-CH"/>
        </w:rPr>
        <w:t xml:space="preserve"> été examinées dans le </w:t>
      </w:r>
      <w:r w:rsidR="00875470" w:rsidRPr="0052482B">
        <w:rPr>
          <w:spacing w:val="-2"/>
          <w:lang w:val="fr-CH"/>
        </w:rPr>
        <w:t>document</w:t>
      </w:r>
      <w:r w:rsidR="00875470">
        <w:rPr>
          <w:spacing w:val="-2"/>
          <w:lang w:val="fr-CH"/>
        </w:rPr>
        <w:t xml:space="preserve"> </w:t>
      </w:r>
      <w:r w:rsidR="00875470" w:rsidRPr="0052482B">
        <w:rPr>
          <w:spacing w:val="-2"/>
          <w:lang w:val="fr-CH"/>
        </w:rPr>
        <w:t>CA</w:t>
      </w:r>
      <w:r w:rsidR="00F070BD" w:rsidRPr="0052482B">
        <w:rPr>
          <w:spacing w:val="-2"/>
          <w:lang w:val="fr-CH"/>
        </w:rPr>
        <w:t>J/77/5.</w:t>
      </w:r>
    </w:p>
    <w:p w:rsidR="00A4614B" w:rsidRDefault="00A4614B" w:rsidP="004823C4">
      <w:pPr>
        <w:rPr>
          <w:sz w:val="18"/>
          <w:lang w:val="fr-CH"/>
        </w:rPr>
      </w:pPr>
    </w:p>
    <w:p w:rsidR="00A4614B" w:rsidRDefault="00F070BD" w:rsidP="00F070BD">
      <w:pPr>
        <w:pStyle w:val="Heading3"/>
        <w:rPr>
          <w:lang w:val="fr-CH"/>
        </w:rPr>
      </w:pPr>
      <w:bookmarkStart w:id="20" w:name="_Toc55924376"/>
      <w:r w:rsidRPr="0052482B">
        <w:rPr>
          <w:lang w:val="fr-CH"/>
        </w:rPr>
        <w:t>Nouveauté des lignées parentales en rapport avec l</w:t>
      </w:r>
      <w:r w:rsidR="000970A8">
        <w:rPr>
          <w:lang w:val="fr-CH"/>
        </w:rPr>
        <w:t>’</w:t>
      </w:r>
      <w:r w:rsidRPr="0052482B">
        <w:rPr>
          <w:lang w:val="fr-CH"/>
        </w:rPr>
        <w:t>exploitation d</w:t>
      </w:r>
      <w:r w:rsidR="000970A8">
        <w:rPr>
          <w:lang w:val="fr-CH"/>
        </w:rPr>
        <w:t>’</w:t>
      </w:r>
      <w:r w:rsidRPr="0052482B">
        <w:rPr>
          <w:lang w:val="fr-CH"/>
        </w:rPr>
        <w:t>une variété hybride</w:t>
      </w:r>
      <w:bookmarkEnd w:id="20"/>
    </w:p>
    <w:p w:rsidR="00A4614B" w:rsidRDefault="00A4614B" w:rsidP="004823C4">
      <w:pPr>
        <w:rPr>
          <w:spacing w:val="-2"/>
          <w:lang w:val="fr-CH"/>
        </w:rPr>
      </w:pPr>
    </w:p>
    <w:p w:rsidR="00A4614B" w:rsidRDefault="004823C4" w:rsidP="00F070BD">
      <w:pPr>
        <w:rPr>
          <w:spacing w:val="-2"/>
          <w:lang w:val="fr-CH"/>
        </w:rPr>
      </w:pPr>
      <w:r w:rsidRPr="0052482B">
        <w:rPr>
          <w:spacing w:val="-2"/>
        </w:rPr>
        <w:fldChar w:fldCharType="begin"/>
      </w:r>
      <w:r w:rsidRPr="0052482B">
        <w:rPr>
          <w:spacing w:val="-2"/>
          <w:lang w:val="fr-CH"/>
        </w:rPr>
        <w:instrText xml:space="preserve"> AUTONUM  </w:instrText>
      </w:r>
      <w:r w:rsidRPr="0052482B">
        <w:rPr>
          <w:spacing w:val="-2"/>
        </w:rPr>
        <w:fldChar w:fldCharType="end"/>
      </w:r>
      <w:r w:rsidRPr="0052482B">
        <w:rPr>
          <w:spacing w:val="-2"/>
          <w:lang w:val="fr-CH"/>
        </w:rPr>
        <w:tab/>
      </w:r>
      <w:r w:rsidR="00F070BD" w:rsidRPr="0052482B">
        <w:rPr>
          <w:spacing w:val="-2"/>
          <w:lang w:val="fr-CH"/>
        </w:rPr>
        <w:t>Le CAJ a noté que les questions relatives à la nouveauté des lignées parentales en rapport avec l</w:t>
      </w:r>
      <w:r w:rsidR="000970A8">
        <w:rPr>
          <w:spacing w:val="-2"/>
          <w:lang w:val="fr-CH"/>
        </w:rPr>
        <w:t>’</w:t>
      </w:r>
      <w:r w:rsidR="00F070BD" w:rsidRPr="0052482B">
        <w:rPr>
          <w:spacing w:val="-2"/>
          <w:lang w:val="fr-CH"/>
        </w:rPr>
        <w:t>exploitation d</w:t>
      </w:r>
      <w:r w:rsidR="000970A8">
        <w:rPr>
          <w:spacing w:val="-2"/>
          <w:lang w:val="fr-CH"/>
        </w:rPr>
        <w:t>’</w:t>
      </w:r>
      <w:r w:rsidR="00F070BD" w:rsidRPr="0052482B">
        <w:rPr>
          <w:spacing w:val="-2"/>
          <w:lang w:val="fr-CH"/>
        </w:rPr>
        <w:t xml:space="preserve">une variété hybride </w:t>
      </w:r>
      <w:r w:rsidR="0052482B">
        <w:rPr>
          <w:spacing w:val="-2"/>
          <w:lang w:val="fr-CH"/>
        </w:rPr>
        <w:t>avaient</w:t>
      </w:r>
      <w:r w:rsidR="00F070BD" w:rsidRPr="0052482B">
        <w:rPr>
          <w:spacing w:val="-2"/>
          <w:lang w:val="fr-CH"/>
        </w:rPr>
        <w:t xml:space="preserve"> été examinées dans le </w:t>
      </w:r>
      <w:r w:rsidR="00875470" w:rsidRPr="0052482B">
        <w:rPr>
          <w:spacing w:val="-2"/>
          <w:lang w:val="fr-CH"/>
        </w:rPr>
        <w:t>document</w:t>
      </w:r>
      <w:r w:rsidR="00875470">
        <w:rPr>
          <w:spacing w:val="-2"/>
          <w:lang w:val="fr-CH"/>
        </w:rPr>
        <w:t xml:space="preserve"> </w:t>
      </w:r>
      <w:r w:rsidR="00875470" w:rsidRPr="0052482B">
        <w:rPr>
          <w:spacing w:val="-2"/>
          <w:lang w:val="fr-CH"/>
        </w:rPr>
        <w:t>CA</w:t>
      </w:r>
      <w:r w:rsidR="00F070BD" w:rsidRPr="0052482B">
        <w:rPr>
          <w:spacing w:val="-2"/>
          <w:lang w:val="fr-CH"/>
        </w:rPr>
        <w:t>J/77/6.</w:t>
      </w:r>
    </w:p>
    <w:p w:rsidR="00A4614B" w:rsidRDefault="00A4614B" w:rsidP="004823C4">
      <w:pPr>
        <w:rPr>
          <w:lang w:val="fr-CH"/>
        </w:rPr>
      </w:pPr>
      <w:bookmarkStart w:id="21" w:name="_Toc522523025"/>
      <w:bookmarkStart w:id="22" w:name="_Toc14799995"/>
      <w:bookmarkStart w:id="23" w:name="_Toc51935401"/>
    </w:p>
    <w:p w:rsidR="00A4614B" w:rsidRDefault="00A4614B" w:rsidP="004823C4">
      <w:pPr>
        <w:rPr>
          <w:lang w:val="fr-CH"/>
        </w:rPr>
      </w:pPr>
    </w:p>
    <w:p w:rsidR="00A4614B" w:rsidRDefault="00F070BD" w:rsidP="00F070BD">
      <w:pPr>
        <w:pStyle w:val="Heading2"/>
        <w:rPr>
          <w:lang w:val="fr-CH"/>
        </w:rPr>
      </w:pPr>
      <w:bookmarkStart w:id="24" w:name="_Toc55924377"/>
      <w:bookmarkEnd w:id="21"/>
      <w:bookmarkEnd w:id="22"/>
      <w:bookmarkEnd w:id="23"/>
      <w:r w:rsidRPr="0052482B">
        <w:rPr>
          <w:lang w:val="fr-CH"/>
        </w:rPr>
        <w:t>Programme provisoire d</w:t>
      </w:r>
      <w:r w:rsidR="000970A8">
        <w:rPr>
          <w:lang w:val="fr-CH"/>
        </w:rPr>
        <w:t>’</w:t>
      </w:r>
      <w:r w:rsidRPr="0052482B">
        <w:rPr>
          <w:lang w:val="fr-CH"/>
        </w:rPr>
        <w:t>élaboration de documents d</w:t>
      </w:r>
      <w:r w:rsidR="000970A8">
        <w:rPr>
          <w:lang w:val="fr-CH"/>
        </w:rPr>
        <w:t>’</w:t>
      </w:r>
      <w:r w:rsidRPr="0052482B">
        <w:rPr>
          <w:lang w:val="fr-CH"/>
        </w:rPr>
        <w:t>orientation et d</w:t>
      </w:r>
      <w:r w:rsidR="000970A8">
        <w:rPr>
          <w:lang w:val="fr-CH"/>
        </w:rPr>
        <w:t>’</w:t>
      </w:r>
      <w:r w:rsidRPr="0052482B">
        <w:rPr>
          <w:lang w:val="fr-CH"/>
        </w:rPr>
        <w:t>information</w:t>
      </w:r>
      <w:bookmarkEnd w:id="24"/>
    </w:p>
    <w:p w:rsidR="00A4614B" w:rsidRDefault="00A4614B" w:rsidP="004823C4">
      <w:pPr>
        <w:rPr>
          <w:lang w:val="fr-CH"/>
        </w:rPr>
      </w:pPr>
    </w:p>
    <w:p w:rsidR="00A4614B" w:rsidRPr="00700B2A" w:rsidRDefault="004823C4" w:rsidP="00F070BD">
      <w:pPr>
        <w:tabs>
          <w:tab w:val="left" w:pos="567"/>
        </w:tabs>
        <w:rPr>
          <w:rFonts w:eastAsiaTheme="minorEastAsia"/>
          <w:lang w:val="fr-CH"/>
        </w:rPr>
      </w:pPr>
      <w:r w:rsidRPr="0052482B">
        <w:fldChar w:fldCharType="begin"/>
      </w:r>
      <w:r w:rsidRPr="0052482B">
        <w:rPr>
          <w:lang w:val="fr-CH"/>
        </w:rPr>
        <w:instrText xml:space="preserve"> AUTONUM  </w:instrText>
      </w:r>
      <w:r w:rsidRPr="0052482B">
        <w:fldChar w:fldCharType="end"/>
      </w:r>
      <w:r w:rsidRPr="0052482B">
        <w:rPr>
          <w:lang w:val="fr-CH"/>
        </w:rPr>
        <w:tab/>
      </w:r>
      <w:r w:rsidR="00F070BD" w:rsidRPr="00700B2A">
        <w:rPr>
          <w:lang w:val="fr-CH"/>
        </w:rPr>
        <w:t>Le CAJ a approuvé le programme d</w:t>
      </w:r>
      <w:r w:rsidR="000970A8" w:rsidRPr="00700B2A">
        <w:rPr>
          <w:lang w:val="fr-CH"/>
        </w:rPr>
        <w:t>’</w:t>
      </w:r>
      <w:r w:rsidR="00F070BD" w:rsidRPr="00700B2A">
        <w:rPr>
          <w:lang w:val="fr-CH"/>
        </w:rPr>
        <w:t>élaboration des documents d</w:t>
      </w:r>
      <w:r w:rsidR="000970A8" w:rsidRPr="00700B2A">
        <w:rPr>
          <w:lang w:val="fr-CH"/>
        </w:rPr>
        <w:t>’</w:t>
      </w:r>
      <w:r w:rsidR="00F070BD" w:rsidRPr="00700B2A">
        <w:rPr>
          <w:lang w:val="fr-CH"/>
        </w:rPr>
        <w:t>information, tel qu</w:t>
      </w:r>
      <w:r w:rsidR="000970A8" w:rsidRPr="00700B2A">
        <w:rPr>
          <w:lang w:val="fr-CH"/>
        </w:rPr>
        <w:t>’</w:t>
      </w:r>
      <w:r w:rsidR="00F070BD" w:rsidRPr="00700B2A">
        <w:rPr>
          <w:lang w:val="fr-CH"/>
        </w:rPr>
        <w:t>il figure dans l</w:t>
      </w:r>
      <w:r w:rsidR="000970A8" w:rsidRPr="00700B2A">
        <w:rPr>
          <w:lang w:val="fr-CH"/>
        </w:rPr>
        <w:t>’</w:t>
      </w:r>
      <w:r w:rsidR="00165F29" w:rsidRPr="00700B2A">
        <w:rPr>
          <w:lang w:val="fr-CH"/>
        </w:rPr>
        <w:t>annexe V</w:t>
      </w:r>
      <w:r w:rsidR="00F070BD" w:rsidRPr="00700B2A">
        <w:rPr>
          <w:lang w:val="fr-CH"/>
        </w:rPr>
        <w:t xml:space="preserve">I du </w:t>
      </w:r>
      <w:r w:rsidR="00875470" w:rsidRPr="00700B2A">
        <w:rPr>
          <w:lang w:val="fr-CH"/>
        </w:rPr>
        <w:t>document CA</w:t>
      </w:r>
      <w:r w:rsidR="00F070BD" w:rsidRPr="00700B2A">
        <w:rPr>
          <w:lang w:val="fr-CH"/>
        </w:rPr>
        <w:t>J/77/3</w:t>
      </w:r>
      <w:r w:rsidR="00073D9C" w:rsidRPr="00700B2A">
        <w:rPr>
          <w:lang w:val="fr-CH"/>
        </w:rPr>
        <w:t> </w:t>
      </w:r>
      <w:proofErr w:type="spellStart"/>
      <w:proofErr w:type="gramStart"/>
      <w:r w:rsidR="00F070BD" w:rsidRPr="00700B2A">
        <w:rPr>
          <w:lang w:val="fr-CH"/>
        </w:rPr>
        <w:t>Rev</w:t>
      </w:r>
      <w:proofErr w:type="spellEnd"/>
      <w:r w:rsidR="00F070BD" w:rsidRPr="00700B2A">
        <w:rPr>
          <w:lang w:val="fr-CH"/>
        </w:rPr>
        <w:t>.</w:t>
      </w:r>
      <w:r w:rsidR="00AD17A6">
        <w:rPr>
          <w:lang w:val="fr-CH"/>
        </w:rPr>
        <w:t>.</w:t>
      </w:r>
      <w:proofErr w:type="gramEnd"/>
    </w:p>
    <w:p w:rsidR="00A4614B" w:rsidRPr="00700B2A" w:rsidRDefault="00A4614B" w:rsidP="004823C4">
      <w:pPr>
        <w:tabs>
          <w:tab w:val="left" w:pos="567"/>
        </w:tabs>
        <w:rPr>
          <w:rFonts w:eastAsiaTheme="minorEastAsia"/>
          <w:lang w:val="fr-CH"/>
        </w:rPr>
      </w:pPr>
    </w:p>
    <w:p w:rsidR="00A4614B" w:rsidRDefault="004823C4" w:rsidP="00F070BD">
      <w:pPr>
        <w:tabs>
          <w:tab w:val="left" w:pos="567"/>
        </w:tabs>
        <w:rPr>
          <w:i/>
          <w:lang w:val="fr-CH"/>
        </w:rPr>
      </w:pPr>
      <w:r w:rsidRPr="00700B2A">
        <w:fldChar w:fldCharType="begin"/>
      </w:r>
      <w:r w:rsidRPr="00700B2A">
        <w:rPr>
          <w:lang w:val="fr-CH"/>
        </w:rPr>
        <w:instrText xml:space="preserve"> AUTONUM  </w:instrText>
      </w:r>
      <w:r w:rsidRPr="00700B2A">
        <w:fldChar w:fldCharType="end"/>
      </w:r>
      <w:r w:rsidRPr="00700B2A">
        <w:rPr>
          <w:lang w:val="fr-CH"/>
        </w:rPr>
        <w:tab/>
      </w:r>
      <w:r w:rsidR="00F070BD" w:rsidRPr="00700B2A">
        <w:rPr>
          <w:lang w:val="fr-CH"/>
        </w:rPr>
        <w:t>Le CAJ a approuvé le programme d</w:t>
      </w:r>
      <w:r w:rsidR="000970A8" w:rsidRPr="00700B2A">
        <w:rPr>
          <w:lang w:val="fr-CH"/>
        </w:rPr>
        <w:t>’</w:t>
      </w:r>
      <w:r w:rsidR="00F070BD" w:rsidRPr="00700B2A">
        <w:rPr>
          <w:lang w:val="fr-CH"/>
        </w:rPr>
        <w:t>élaboration des documents TGP, tel qu</w:t>
      </w:r>
      <w:r w:rsidR="000970A8" w:rsidRPr="00700B2A">
        <w:rPr>
          <w:lang w:val="fr-CH"/>
        </w:rPr>
        <w:t>’</w:t>
      </w:r>
      <w:r w:rsidR="00F070BD" w:rsidRPr="00700B2A">
        <w:rPr>
          <w:lang w:val="fr-CH"/>
        </w:rPr>
        <w:t>il figure dans l</w:t>
      </w:r>
      <w:r w:rsidR="000970A8" w:rsidRPr="00700B2A">
        <w:rPr>
          <w:lang w:val="fr-CH"/>
        </w:rPr>
        <w:t>’</w:t>
      </w:r>
      <w:r w:rsidR="00165F29" w:rsidRPr="00700B2A">
        <w:rPr>
          <w:lang w:val="fr-CH"/>
        </w:rPr>
        <w:t>annexe V</w:t>
      </w:r>
      <w:r w:rsidR="00F070BD" w:rsidRPr="00700B2A">
        <w:rPr>
          <w:lang w:val="fr-CH"/>
        </w:rPr>
        <w:t xml:space="preserve">II du </w:t>
      </w:r>
      <w:r w:rsidR="00875470" w:rsidRPr="00700B2A">
        <w:rPr>
          <w:lang w:val="fr-CH"/>
        </w:rPr>
        <w:t>document CA</w:t>
      </w:r>
      <w:r w:rsidR="00F070BD" w:rsidRPr="00700B2A">
        <w:rPr>
          <w:lang w:val="fr-CH"/>
        </w:rPr>
        <w:t>J</w:t>
      </w:r>
      <w:r w:rsidR="00F070BD" w:rsidRPr="0052482B">
        <w:rPr>
          <w:lang w:val="fr-CH"/>
        </w:rPr>
        <w:t>/77/3</w:t>
      </w:r>
      <w:r w:rsidR="00073D9C" w:rsidRPr="0052482B">
        <w:rPr>
          <w:lang w:val="fr-CH"/>
        </w:rPr>
        <w:t> </w:t>
      </w:r>
      <w:proofErr w:type="spellStart"/>
      <w:r w:rsidR="00F070BD" w:rsidRPr="0052482B">
        <w:rPr>
          <w:lang w:val="fr-CH"/>
        </w:rPr>
        <w:t>Rev</w:t>
      </w:r>
      <w:proofErr w:type="spellEnd"/>
      <w:r w:rsidR="00F070BD" w:rsidRPr="0052482B">
        <w:rPr>
          <w:lang w:val="fr-CH"/>
        </w:rPr>
        <w:t>.</w:t>
      </w:r>
      <w:r w:rsidR="0052482B">
        <w:rPr>
          <w:lang w:val="fr-CH"/>
        </w:rPr>
        <w:t>,</w:t>
      </w:r>
      <w:r w:rsidR="00F070BD" w:rsidRPr="0052482B">
        <w:rPr>
          <w:lang w:val="fr-CH"/>
        </w:rPr>
        <w:t xml:space="preserve"> compte tenu des conclusions formulées par le</w:t>
      </w:r>
      <w:r w:rsidR="000970A8">
        <w:rPr>
          <w:lang w:val="fr-CH"/>
        </w:rPr>
        <w:t> TC</w:t>
      </w:r>
      <w:r w:rsidR="00F070BD" w:rsidRPr="0052482B">
        <w:rPr>
          <w:lang w:val="fr-CH"/>
        </w:rPr>
        <w:t>.</w:t>
      </w:r>
    </w:p>
    <w:p w:rsidR="00700B2A" w:rsidRDefault="00700B2A">
      <w:pPr>
        <w:jc w:val="left"/>
        <w:rPr>
          <w:lang w:val="fr-CH"/>
        </w:rPr>
      </w:pPr>
      <w:r>
        <w:rPr>
          <w:lang w:val="fr-CH"/>
        </w:rPr>
        <w:br w:type="page"/>
      </w:r>
    </w:p>
    <w:p w:rsidR="00A4614B" w:rsidRDefault="00F070BD" w:rsidP="00F070BD">
      <w:pPr>
        <w:pStyle w:val="Heading2"/>
        <w:rPr>
          <w:snapToGrid w:val="0"/>
          <w:lang w:val="fr-CH"/>
        </w:rPr>
      </w:pPr>
      <w:bookmarkStart w:id="25" w:name="_Toc55924378"/>
      <w:r w:rsidRPr="0052482B">
        <w:rPr>
          <w:snapToGrid w:val="0"/>
          <w:lang w:val="fr-CH"/>
        </w:rPr>
        <w:lastRenderedPageBreak/>
        <w:t>Notes explicatives</w:t>
      </w:r>
      <w:bookmarkEnd w:id="25"/>
    </w:p>
    <w:p w:rsidR="00A4614B" w:rsidRDefault="00A4614B" w:rsidP="004823C4">
      <w:pPr>
        <w:rPr>
          <w:lang w:val="fr-CH"/>
        </w:rPr>
      </w:pPr>
    </w:p>
    <w:p w:rsidR="00A4614B" w:rsidRDefault="00F070BD" w:rsidP="00F070BD">
      <w:pPr>
        <w:pStyle w:val="Heading3"/>
        <w:rPr>
          <w:kern w:val="28"/>
          <w:lang w:val="fr-CH"/>
        </w:rPr>
      </w:pPr>
      <w:bookmarkStart w:id="26" w:name="_Toc55924379"/>
      <w:r w:rsidRPr="0052482B">
        <w:rPr>
          <w:kern w:val="28"/>
          <w:lang w:val="fr-CH"/>
        </w:rPr>
        <w:t>UPOV/EXN/DEN</w:t>
      </w:r>
      <w:r w:rsidR="000970A8">
        <w:rPr>
          <w:kern w:val="28"/>
          <w:lang w:val="fr-CH"/>
        </w:rPr>
        <w:t> :</w:t>
      </w:r>
      <w:r w:rsidRPr="0052482B">
        <w:rPr>
          <w:kern w:val="28"/>
          <w:lang w:val="fr-CH"/>
        </w:rPr>
        <w:t xml:space="preserve"> </w:t>
      </w:r>
      <w:r w:rsidR="00700B2A">
        <w:rPr>
          <w:kern w:val="28"/>
          <w:lang w:val="fr-CH"/>
        </w:rPr>
        <w:t xml:space="preserve"> </w:t>
      </w:r>
      <w:r w:rsidRPr="0052482B">
        <w:rPr>
          <w:kern w:val="28"/>
          <w:lang w:val="fr-CH"/>
        </w:rPr>
        <w:t xml:space="preserve">Notes explicatives concernant les dénominations variétales en vertu de la </w:t>
      </w:r>
      <w:r w:rsidR="000970A8">
        <w:rPr>
          <w:kern w:val="28"/>
          <w:lang w:val="fr-CH"/>
        </w:rPr>
        <w:t>Convention UPOV</w:t>
      </w:r>
      <w:r w:rsidR="00700B2A">
        <w:rPr>
          <w:kern w:val="28"/>
          <w:lang w:val="fr-CH"/>
        </w:rPr>
        <w:t xml:space="preserve"> (document UPOV/EXN/DEN/1 </w:t>
      </w:r>
      <w:proofErr w:type="spellStart"/>
      <w:r w:rsidR="00700B2A">
        <w:rPr>
          <w:kern w:val="28"/>
          <w:lang w:val="fr-CH"/>
        </w:rPr>
        <w:t>Draft</w:t>
      </w:r>
      <w:proofErr w:type="spellEnd"/>
      <w:r w:rsidR="00700B2A">
        <w:rPr>
          <w:kern w:val="28"/>
          <w:lang w:val="fr-CH"/>
        </w:rPr>
        <w:t> </w:t>
      </w:r>
      <w:r w:rsidRPr="0052482B">
        <w:rPr>
          <w:kern w:val="28"/>
          <w:lang w:val="fr-CH"/>
        </w:rPr>
        <w:t>4)</w:t>
      </w:r>
      <w:bookmarkEnd w:id="26"/>
    </w:p>
    <w:p w:rsidR="00A4614B" w:rsidRDefault="00A4614B" w:rsidP="004823C4">
      <w:pPr>
        <w:rPr>
          <w:rFonts w:cs="Arial"/>
          <w:lang w:val="fr-CH" w:eastAsia="fr-FR"/>
        </w:rPr>
      </w:pPr>
    </w:p>
    <w:p w:rsidR="00A4614B" w:rsidRDefault="004823C4" w:rsidP="00360138">
      <w:pPr>
        <w:rPr>
          <w:spacing w:val="-2"/>
          <w:lang w:val="fr-CH"/>
        </w:rPr>
      </w:pPr>
      <w:r w:rsidRPr="00700B2A">
        <w:rPr>
          <w:spacing w:val="-2"/>
        </w:rPr>
        <w:fldChar w:fldCharType="begin"/>
      </w:r>
      <w:r w:rsidRPr="00700B2A">
        <w:rPr>
          <w:spacing w:val="-2"/>
          <w:lang w:val="fr-CH"/>
        </w:rPr>
        <w:instrText xml:space="preserve"> AUTONUM  </w:instrText>
      </w:r>
      <w:r w:rsidRPr="00700B2A">
        <w:rPr>
          <w:spacing w:val="-2"/>
        </w:rPr>
        <w:fldChar w:fldCharType="end"/>
      </w:r>
      <w:r w:rsidRPr="00700B2A">
        <w:rPr>
          <w:spacing w:val="-2"/>
          <w:lang w:val="fr-CH"/>
        </w:rPr>
        <w:tab/>
      </w:r>
      <w:r w:rsidR="00360138" w:rsidRPr="00700B2A">
        <w:rPr>
          <w:spacing w:val="-2"/>
          <w:lang w:val="fr-CH"/>
        </w:rPr>
        <w:t>En réponse à la circulaire</w:t>
      </w:r>
      <w:r w:rsidR="00EE25CC" w:rsidRPr="00700B2A">
        <w:rPr>
          <w:spacing w:val="-2"/>
          <w:lang w:val="fr-CH"/>
        </w:rPr>
        <w:t> </w:t>
      </w:r>
      <w:r w:rsidR="00360138" w:rsidRPr="00700B2A">
        <w:rPr>
          <w:spacing w:val="-2"/>
          <w:lang w:val="fr-CH"/>
        </w:rPr>
        <w:t>E</w:t>
      </w:r>
      <w:r w:rsidR="00945DBD" w:rsidRPr="00700B2A">
        <w:rPr>
          <w:spacing w:val="-2"/>
          <w:lang w:val="fr-CH"/>
        </w:rPr>
        <w:noBreakHyphen/>
      </w:r>
      <w:r w:rsidR="00360138" w:rsidRPr="00700B2A">
        <w:rPr>
          <w:spacing w:val="-2"/>
          <w:lang w:val="fr-CH"/>
        </w:rPr>
        <w:t>20/120 du 2</w:t>
      </w:r>
      <w:r w:rsidR="00165F29" w:rsidRPr="00700B2A">
        <w:rPr>
          <w:spacing w:val="-2"/>
          <w:lang w:val="fr-CH"/>
        </w:rPr>
        <w:t>1 août 20</w:t>
      </w:r>
      <w:r w:rsidR="00360138" w:rsidRPr="00700B2A">
        <w:rPr>
          <w:spacing w:val="-2"/>
          <w:lang w:val="fr-CH"/>
        </w:rPr>
        <w:t>20, des observations ont été reçues du Brésil, de l</w:t>
      </w:r>
      <w:r w:rsidR="000970A8" w:rsidRPr="00700B2A">
        <w:rPr>
          <w:spacing w:val="-2"/>
          <w:lang w:val="fr-CH"/>
        </w:rPr>
        <w:t>’</w:t>
      </w:r>
      <w:r w:rsidR="00360138" w:rsidRPr="00700B2A">
        <w:rPr>
          <w:spacing w:val="-2"/>
          <w:lang w:val="fr-CH"/>
        </w:rPr>
        <w:t>Union européenne, d</w:t>
      </w:r>
      <w:r w:rsidR="000970A8" w:rsidRPr="00700B2A">
        <w:rPr>
          <w:spacing w:val="-2"/>
          <w:lang w:val="fr-CH"/>
        </w:rPr>
        <w:t>’</w:t>
      </w:r>
      <w:proofErr w:type="spellStart"/>
      <w:r w:rsidR="00360138" w:rsidRPr="00700B2A">
        <w:rPr>
          <w:i/>
          <w:spacing w:val="-2"/>
          <w:lang w:val="fr-CH"/>
        </w:rPr>
        <w:t>Euroseeds</w:t>
      </w:r>
      <w:proofErr w:type="spellEnd"/>
      <w:r w:rsidR="00360138" w:rsidRPr="00700B2A">
        <w:rPr>
          <w:spacing w:val="-2"/>
          <w:lang w:val="fr-CH"/>
        </w:rPr>
        <w:t xml:space="preserve"> et de l</w:t>
      </w:r>
      <w:r w:rsidR="000970A8" w:rsidRPr="00700B2A">
        <w:rPr>
          <w:spacing w:val="-2"/>
          <w:lang w:val="fr-CH"/>
        </w:rPr>
        <w:t>’</w:t>
      </w:r>
      <w:r w:rsidR="00360138" w:rsidRPr="00700B2A">
        <w:rPr>
          <w:i/>
          <w:spacing w:val="-2"/>
          <w:lang w:val="fr-CH"/>
        </w:rPr>
        <w:t>International</w:t>
      </w:r>
      <w:r w:rsidR="00360138" w:rsidRPr="00700B2A">
        <w:rPr>
          <w:spacing w:val="-2"/>
          <w:lang w:val="fr-CH"/>
        </w:rPr>
        <w:t xml:space="preserve"> </w:t>
      </w:r>
      <w:proofErr w:type="spellStart"/>
      <w:r w:rsidR="00360138" w:rsidRPr="00700B2A">
        <w:rPr>
          <w:i/>
          <w:spacing w:val="-2"/>
          <w:lang w:val="fr-CH"/>
        </w:rPr>
        <w:t>Seed</w:t>
      </w:r>
      <w:proofErr w:type="spellEnd"/>
      <w:r w:rsidR="00360138" w:rsidRPr="00700B2A">
        <w:rPr>
          <w:i/>
          <w:spacing w:val="-2"/>
          <w:lang w:val="fr-CH"/>
        </w:rPr>
        <w:t xml:space="preserve"> </w:t>
      </w:r>
      <w:proofErr w:type="spellStart"/>
      <w:r w:rsidR="00360138" w:rsidRPr="00700B2A">
        <w:rPr>
          <w:i/>
          <w:spacing w:val="-2"/>
          <w:lang w:val="fr-CH"/>
        </w:rPr>
        <w:t>Federation</w:t>
      </w:r>
      <w:proofErr w:type="spellEnd"/>
      <w:r w:rsidR="00360138" w:rsidRPr="00700B2A">
        <w:rPr>
          <w:spacing w:val="-2"/>
          <w:lang w:val="fr-CH"/>
        </w:rPr>
        <w:t xml:space="preserve"> (ISF) sur le </w:t>
      </w:r>
      <w:r w:rsidR="00875470" w:rsidRPr="00700B2A">
        <w:rPr>
          <w:spacing w:val="-2"/>
          <w:lang w:val="fr-CH"/>
        </w:rPr>
        <w:t>document UP</w:t>
      </w:r>
      <w:r w:rsidR="00360138" w:rsidRPr="00700B2A">
        <w:rPr>
          <w:spacing w:val="-2"/>
          <w:lang w:val="fr-CH"/>
        </w:rPr>
        <w:t>OV/EXN/DEN/1 </w:t>
      </w:r>
      <w:proofErr w:type="spellStart"/>
      <w:r w:rsidR="00360138" w:rsidRPr="00700B2A">
        <w:rPr>
          <w:spacing w:val="-2"/>
          <w:lang w:val="fr-CH"/>
        </w:rPr>
        <w:t>Draft</w:t>
      </w:r>
      <w:proofErr w:type="spellEnd"/>
      <w:r w:rsidR="00360138" w:rsidRPr="00700B2A">
        <w:rPr>
          <w:spacing w:val="-2"/>
          <w:lang w:val="fr-CH"/>
        </w:rPr>
        <w:t> 4;  ce n</w:t>
      </w:r>
      <w:r w:rsidR="000970A8" w:rsidRPr="00700B2A">
        <w:rPr>
          <w:spacing w:val="-2"/>
          <w:lang w:val="fr-CH"/>
        </w:rPr>
        <w:t>’</w:t>
      </w:r>
      <w:r w:rsidR="00360138" w:rsidRPr="00700B2A">
        <w:rPr>
          <w:spacing w:val="-2"/>
          <w:lang w:val="fr-CH"/>
        </w:rPr>
        <w:t xml:space="preserve">étaient pas des observations simples et, par conséquent, le </w:t>
      </w:r>
      <w:r w:rsidR="00875470" w:rsidRPr="00700B2A">
        <w:rPr>
          <w:color w:val="000000"/>
          <w:spacing w:val="-2"/>
          <w:lang w:val="fr-CH"/>
        </w:rPr>
        <w:t>document UP</w:t>
      </w:r>
      <w:r w:rsidR="00360138" w:rsidRPr="00700B2A">
        <w:rPr>
          <w:color w:val="000000"/>
          <w:spacing w:val="-2"/>
          <w:lang w:val="fr-CH"/>
        </w:rPr>
        <w:t>OV/EXN/DEN/1 </w:t>
      </w:r>
      <w:proofErr w:type="spellStart"/>
      <w:r w:rsidR="00360138" w:rsidRPr="00700B2A">
        <w:rPr>
          <w:color w:val="000000"/>
          <w:spacing w:val="-2"/>
          <w:lang w:val="fr-CH"/>
        </w:rPr>
        <w:t>Draft</w:t>
      </w:r>
      <w:proofErr w:type="spellEnd"/>
      <w:r w:rsidR="00360138" w:rsidRPr="00700B2A">
        <w:rPr>
          <w:color w:val="000000"/>
          <w:spacing w:val="-2"/>
          <w:lang w:val="fr-CH"/>
        </w:rPr>
        <w:t> 4 n</w:t>
      </w:r>
      <w:r w:rsidR="000970A8" w:rsidRPr="00700B2A">
        <w:rPr>
          <w:color w:val="000000"/>
          <w:spacing w:val="-2"/>
          <w:lang w:val="fr-CH"/>
        </w:rPr>
        <w:t>’</w:t>
      </w:r>
      <w:r w:rsidR="00360138" w:rsidRPr="00700B2A">
        <w:rPr>
          <w:color w:val="000000"/>
          <w:spacing w:val="-2"/>
          <w:lang w:val="fr-CH"/>
        </w:rPr>
        <w:t>a pas été inclus dans la circulaire</w:t>
      </w:r>
      <w:r w:rsidR="00EE25CC" w:rsidRPr="00700B2A">
        <w:rPr>
          <w:color w:val="000000"/>
          <w:spacing w:val="-2"/>
          <w:lang w:val="fr-CH"/>
        </w:rPr>
        <w:t> </w:t>
      </w:r>
      <w:r w:rsidR="00360138" w:rsidRPr="00700B2A">
        <w:rPr>
          <w:color w:val="000000"/>
          <w:spacing w:val="-2"/>
          <w:lang w:val="fr-CH"/>
        </w:rPr>
        <w:t>E</w:t>
      </w:r>
      <w:r w:rsidR="00945DBD" w:rsidRPr="00700B2A">
        <w:rPr>
          <w:color w:val="000000"/>
          <w:spacing w:val="-2"/>
          <w:lang w:val="fr-CH"/>
        </w:rPr>
        <w:noBreakHyphen/>
      </w:r>
      <w:r w:rsidR="00360138" w:rsidRPr="00700B2A">
        <w:rPr>
          <w:color w:val="000000"/>
          <w:spacing w:val="-2"/>
          <w:lang w:val="fr-CH"/>
        </w:rPr>
        <w:t>20/160 du 2</w:t>
      </w:r>
      <w:r w:rsidR="00165F29" w:rsidRPr="00700B2A">
        <w:rPr>
          <w:color w:val="000000"/>
          <w:spacing w:val="-2"/>
          <w:lang w:val="fr-CH"/>
        </w:rPr>
        <w:t>5 septembre 20</w:t>
      </w:r>
      <w:r w:rsidR="00360138" w:rsidRPr="00700B2A">
        <w:rPr>
          <w:color w:val="000000"/>
          <w:spacing w:val="-2"/>
          <w:lang w:val="fr-CH"/>
        </w:rPr>
        <w:t>20 pour approbation par correspondance et il est soumis</w:t>
      </w:r>
      <w:r w:rsidR="00165F29" w:rsidRPr="00700B2A">
        <w:rPr>
          <w:color w:val="000000"/>
          <w:spacing w:val="-2"/>
          <w:lang w:val="fr-CH"/>
        </w:rPr>
        <w:t xml:space="preserve"> au CAJ</w:t>
      </w:r>
      <w:r w:rsidR="00360138" w:rsidRPr="00700B2A">
        <w:rPr>
          <w:color w:val="000000"/>
          <w:spacing w:val="-2"/>
          <w:lang w:val="fr-CH"/>
        </w:rPr>
        <w:t xml:space="preserve"> pour examen à sa session virtuelle du 2</w:t>
      </w:r>
      <w:r w:rsidR="00165F29" w:rsidRPr="00700B2A">
        <w:rPr>
          <w:color w:val="000000"/>
          <w:spacing w:val="-2"/>
          <w:lang w:val="fr-CH"/>
        </w:rPr>
        <w:t>8 octobre 20</w:t>
      </w:r>
      <w:r w:rsidR="00360138" w:rsidRPr="00700B2A">
        <w:rPr>
          <w:color w:val="000000"/>
          <w:spacing w:val="-2"/>
          <w:lang w:val="fr-CH"/>
        </w:rPr>
        <w:t>20, conjointement avec les observations reçues, qui sont reproduites dans l</w:t>
      </w:r>
      <w:r w:rsidR="000970A8" w:rsidRPr="00700B2A">
        <w:rPr>
          <w:color w:val="000000"/>
          <w:spacing w:val="-2"/>
          <w:lang w:val="fr-CH"/>
        </w:rPr>
        <w:t>’</w:t>
      </w:r>
      <w:r w:rsidR="00165F29" w:rsidRPr="00700B2A">
        <w:rPr>
          <w:color w:val="000000"/>
          <w:spacing w:val="-2"/>
          <w:lang w:val="fr-CH"/>
        </w:rPr>
        <w:t>annexe I</w:t>
      </w:r>
      <w:r w:rsidR="00360138" w:rsidRPr="00700B2A">
        <w:rPr>
          <w:color w:val="000000"/>
          <w:spacing w:val="-2"/>
          <w:lang w:val="fr-CH"/>
        </w:rPr>
        <w:t xml:space="preserve"> du présent document</w:t>
      </w:r>
      <w:r w:rsidR="00360138" w:rsidRPr="00360138">
        <w:rPr>
          <w:color w:val="000000"/>
          <w:spacing w:val="-2"/>
          <w:lang w:val="fr-CH"/>
        </w:rPr>
        <w:t>.</w:t>
      </w:r>
    </w:p>
    <w:p w:rsidR="00A4614B" w:rsidRDefault="00A4614B" w:rsidP="004823C4">
      <w:pPr>
        <w:rPr>
          <w:rFonts w:cs="Arial"/>
          <w:lang w:val="fr-CH" w:eastAsia="fr-FR"/>
        </w:rPr>
      </w:pPr>
    </w:p>
    <w:p w:rsidR="00A4614B" w:rsidRPr="00700B2A" w:rsidRDefault="004823C4" w:rsidP="00360138">
      <w:pPr>
        <w:keepNext/>
        <w:tabs>
          <w:tab w:val="left" w:pos="5387"/>
          <w:tab w:val="left" w:pos="5954"/>
        </w:tabs>
        <w:ind w:left="4820"/>
        <w:rPr>
          <w:rFonts w:eastAsia="MS Mincho"/>
          <w:i/>
          <w:snapToGrid w:val="0"/>
          <w:lang w:val="fr-CH" w:eastAsia="ja-JP"/>
        </w:rPr>
      </w:pPr>
      <w:r w:rsidRPr="00700B2A">
        <w:fldChar w:fldCharType="begin"/>
      </w:r>
      <w:r w:rsidRPr="00700B2A">
        <w:rPr>
          <w:lang w:val="fr-CH"/>
        </w:rPr>
        <w:instrText xml:space="preserve"> AUTONUM  </w:instrText>
      </w:r>
      <w:r w:rsidRPr="00700B2A">
        <w:fldChar w:fldCharType="end"/>
      </w:r>
      <w:r w:rsidRPr="00700B2A">
        <w:rPr>
          <w:lang w:val="fr-CH"/>
        </w:rPr>
        <w:tab/>
      </w:r>
      <w:r w:rsidR="00360138" w:rsidRPr="00700B2A">
        <w:rPr>
          <w:i/>
          <w:lang w:val="fr-CH"/>
        </w:rPr>
        <w:t>Le CAJ est invité</w:t>
      </w:r>
    </w:p>
    <w:p w:rsidR="00A4614B" w:rsidRPr="00700B2A" w:rsidRDefault="00A4614B" w:rsidP="004823C4">
      <w:pPr>
        <w:keepNext/>
        <w:keepLines/>
        <w:rPr>
          <w:rFonts w:eastAsia="SimSun"/>
          <w:snapToGrid w:val="0"/>
          <w:lang w:val="fr-CH" w:eastAsia="ja-JP"/>
        </w:rPr>
      </w:pPr>
    </w:p>
    <w:p w:rsidR="00A4614B" w:rsidRDefault="004823C4" w:rsidP="00360138">
      <w:pPr>
        <w:keepNext/>
        <w:keepLines/>
        <w:tabs>
          <w:tab w:val="left" w:pos="5387"/>
          <w:tab w:val="left" w:pos="5954"/>
        </w:tabs>
        <w:ind w:left="4820"/>
        <w:rPr>
          <w:i/>
          <w:snapToGrid w:val="0"/>
          <w:lang w:val="fr-CH" w:eastAsia="ja-JP"/>
        </w:rPr>
      </w:pPr>
      <w:r w:rsidRPr="00700B2A">
        <w:rPr>
          <w:i/>
          <w:snapToGrid w:val="0"/>
          <w:lang w:val="fr-CH" w:eastAsia="ja-JP"/>
        </w:rPr>
        <w:tab/>
      </w:r>
      <w:r w:rsidR="00360138" w:rsidRPr="00700B2A">
        <w:rPr>
          <w:i/>
          <w:snapToGrid w:val="0"/>
          <w:color w:val="000000"/>
          <w:lang w:val="fr-CH" w:eastAsia="ja-JP"/>
        </w:rPr>
        <w:t>a)</w:t>
      </w:r>
      <w:r w:rsidR="00360138" w:rsidRPr="00700B2A">
        <w:rPr>
          <w:i/>
          <w:snapToGrid w:val="0"/>
          <w:color w:val="000000"/>
          <w:lang w:val="fr-CH" w:eastAsia="ja-JP"/>
        </w:rPr>
        <w:tab/>
        <w:t>à</w:t>
      </w:r>
      <w:r w:rsidR="00360138" w:rsidRPr="00360138">
        <w:rPr>
          <w:i/>
          <w:snapToGrid w:val="0"/>
          <w:color w:val="000000"/>
          <w:lang w:val="fr-CH" w:eastAsia="ja-JP"/>
        </w:rPr>
        <w:t xml:space="preserve"> prendre note des réponses des membres de l</w:t>
      </w:r>
      <w:r w:rsidR="000970A8">
        <w:rPr>
          <w:i/>
          <w:snapToGrid w:val="0"/>
          <w:color w:val="000000"/>
          <w:lang w:val="fr-CH" w:eastAsia="ja-JP"/>
        </w:rPr>
        <w:t>’</w:t>
      </w:r>
      <w:r w:rsidR="00360138" w:rsidRPr="00360138">
        <w:rPr>
          <w:i/>
          <w:snapToGrid w:val="0"/>
          <w:color w:val="000000"/>
          <w:lang w:val="fr-CH" w:eastAsia="ja-JP"/>
        </w:rPr>
        <w:t>Union à la circulaire</w:t>
      </w:r>
      <w:r w:rsidR="00EE25CC">
        <w:rPr>
          <w:i/>
          <w:snapToGrid w:val="0"/>
          <w:color w:val="000000"/>
          <w:lang w:val="fr-CH" w:eastAsia="ja-JP"/>
        </w:rPr>
        <w:t> </w:t>
      </w:r>
      <w:r w:rsidR="00360138" w:rsidRPr="00360138">
        <w:rPr>
          <w:i/>
          <w:snapToGrid w:val="0"/>
          <w:color w:val="000000"/>
          <w:lang w:val="fr-CH" w:eastAsia="ja-JP"/>
        </w:rPr>
        <w:t>E</w:t>
      </w:r>
      <w:r w:rsidR="00945DBD">
        <w:rPr>
          <w:i/>
          <w:snapToGrid w:val="0"/>
          <w:color w:val="000000"/>
          <w:lang w:val="fr-CH" w:eastAsia="ja-JP"/>
        </w:rPr>
        <w:noBreakHyphen/>
      </w:r>
      <w:r w:rsidR="00360138" w:rsidRPr="00360138">
        <w:rPr>
          <w:i/>
          <w:snapToGrid w:val="0"/>
          <w:color w:val="000000"/>
          <w:lang w:val="fr-CH" w:eastAsia="ja-JP"/>
        </w:rPr>
        <w:t>20/017, reproduites à l</w:t>
      </w:r>
      <w:r w:rsidR="000970A8">
        <w:rPr>
          <w:i/>
          <w:snapToGrid w:val="0"/>
          <w:color w:val="000000"/>
          <w:lang w:val="fr-CH" w:eastAsia="ja-JP"/>
        </w:rPr>
        <w:t>’</w:t>
      </w:r>
      <w:r w:rsidR="00165F29" w:rsidRPr="00360138">
        <w:rPr>
          <w:i/>
          <w:snapToGrid w:val="0"/>
          <w:color w:val="000000"/>
          <w:lang w:val="fr-CH" w:eastAsia="ja-JP"/>
        </w:rPr>
        <w:t>annexe</w:t>
      </w:r>
      <w:r w:rsidR="00165F29">
        <w:rPr>
          <w:i/>
          <w:snapToGrid w:val="0"/>
          <w:color w:val="000000"/>
          <w:lang w:val="fr-CH" w:eastAsia="ja-JP"/>
        </w:rPr>
        <w:t> </w:t>
      </w:r>
      <w:r w:rsidR="00165F29" w:rsidRPr="00360138">
        <w:rPr>
          <w:i/>
          <w:snapToGrid w:val="0"/>
          <w:color w:val="000000"/>
          <w:lang w:val="fr-CH" w:eastAsia="ja-JP"/>
        </w:rPr>
        <w:t>I</w:t>
      </w:r>
      <w:r w:rsidR="00360138" w:rsidRPr="00360138">
        <w:rPr>
          <w:i/>
          <w:snapToGrid w:val="0"/>
          <w:color w:val="000000"/>
          <w:lang w:val="fr-CH" w:eastAsia="ja-JP"/>
        </w:rPr>
        <w:t xml:space="preserve"> du </w:t>
      </w:r>
      <w:r w:rsidR="00875470" w:rsidRPr="00360138">
        <w:rPr>
          <w:i/>
          <w:snapToGrid w:val="0"/>
          <w:color w:val="000000"/>
          <w:lang w:val="fr-CH" w:eastAsia="ja-JP"/>
        </w:rPr>
        <w:t>document</w:t>
      </w:r>
      <w:r w:rsidR="00875470">
        <w:rPr>
          <w:i/>
          <w:snapToGrid w:val="0"/>
          <w:color w:val="000000"/>
          <w:lang w:val="fr-CH" w:eastAsia="ja-JP"/>
        </w:rPr>
        <w:t xml:space="preserve"> </w:t>
      </w:r>
      <w:r w:rsidR="00875470" w:rsidRPr="00360138">
        <w:rPr>
          <w:i/>
          <w:snapToGrid w:val="0"/>
          <w:color w:val="000000"/>
          <w:lang w:val="fr-CH" w:eastAsia="ja-JP"/>
        </w:rPr>
        <w:t>CA</w:t>
      </w:r>
      <w:r w:rsidR="00360138" w:rsidRPr="00360138">
        <w:rPr>
          <w:i/>
          <w:snapToGrid w:val="0"/>
          <w:color w:val="000000"/>
          <w:lang w:val="fr-CH" w:eastAsia="ja-JP"/>
        </w:rPr>
        <w:t>J/77/3</w:t>
      </w:r>
      <w:r w:rsidR="00073D9C">
        <w:rPr>
          <w:i/>
          <w:snapToGrid w:val="0"/>
          <w:color w:val="000000"/>
          <w:lang w:val="fr-CH" w:eastAsia="ja-JP"/>
        </w:rPr>
        <w:t> </w:t>
      </w:r>
      <w:proofErr w:type="spellStart"/>
      <w:r w:rsidR="00360138" w:rsidRPr="00360138">
        <w:rPr>
          <w:i/>
          <w:snapToGrid w:val="0"/>
          <w:color w:val="000000"/>
          <w:lang w:val="fr-CH" w:eastAsia="ja-JP"/>
        </w:rPr>
        <w:t>Rev</w:t>
      </w:r>
      <w:proofErr w:type="spellEnd"/>
      <w:r w:rsidR="00360138" w:rsidRPr="00360138">
        <w:rPr>
          <w:i/>
          <w:snapToGrid w:val="0"/>
          <w:color w:val="000000"/>
          <w:lang w:val="fr-CH" w:eastAsia="ja-JP"/>
        </w:rPr>
        <w:t>.,</w:t>
      </w:r>
    </w:p>
    <w:p w:rsidR="00A4614B" w:rsidRDefault="00A4614B" w:rsidP="004823C4">
      <w:pPr>
        <w:keepNext/>
        <w:keepLines/>
        <w:tabs>
          <w:tab w:val="left" w:pos="5387"/>
          <w:tab w:val="left" w:pos="5954"/>
        </w:tabs>
        <w:ind w:left="4820"/>
        <w:rPr>
          <w:i/>
          <w:snapToGrid w:val="0"/>
          <w:lang w:val="fr-CH" w:eastAsia="ja-JP"/>
        </w:rPr>
      </w:pPr>
    </w:p>
    <w:p w:rsidR="00A4614B" w:rsidRDefault="004823C4" w:rsidP="00251621">
      <w:pPr>
        <w:keepLines/>
        <w:tabs>
          <w:tab w:val="left" w:pos="5387"/>
          <w:tab w:val="left" w:pos="5954"/>
        </w:tabs>
        <w:ind w:left="4820"/>
        <w:rPr>
          <w:i/>
          <w:lang w:val="fr-CH"/>
        </w:rPr>
      </w:pPr>
      <w:r w:rsidRPr="00360138">
        <w:rPr>
          <w:i/>
          <w:spacing w:val="-4"/>
          <w:lang w:val="fr-CH"/>
        </w:rPr>
        <w:tab/>
      </w:r>
      <w:r w:rsidR="00251621" w:rsidRPr="00251621">
        <w:rPr>
          <w:color w:val="000000"/>
          <w:spacing w:val="-4"/>
          <w:lang w:val="fr-CH"/>
        </w:rPr>
        <w:t>b)</w:t>
      </w:r>
      <w:r w:rsidR="00251621" w:rsidRPr="00251621">
        <w:rPr>
          <w:color w:val="000000"/>
          <w:spacing w:val="-4"/>
          <w:lang w:val="fr-CH"/>
        </w:rPr>
        <w:tab/>
      </w:r>
      <w:r w:rsidR="00251621" w:rsidRPr="0052482B">
        <w:rPr>
          <w:i/>
          <w:color w:val="000000"/>
          <w:spacing w:val="-4"/>
          <w:lang w:val="fr-CH"/>
        </w:rPr>
        <w:t>à examiner la demande formulée par</w:t>
      </w:r>
      <w:r w:rsidR="00165F29" w:rsidRPr="0052482B">
        <w:rPr>
          <w:i/>
          <w:color w:val="000000"/>
          <w:spacing w:val="-4"/>
          <w:lang w:val="fr-CH"/>
        </w:rPr>
        <w:t xml:space="preserve"> le TWV</w:t>
      </w:r>
      <w:r w:rsidR="00251621" w:rsidRPr="0052482B">
        <w:rPr>
          <w:i/>
          <w:color w:val="000000"/>
          <w:spacing w:val="-4"/>
          <w:lang w:val="fr-CH"/>
        </w:rPr>
        <w:t xml:space="preserve"> à sa cinquante</w:t>
      </w:r>
      <w:r w:rsidR="00945DBD">
        <w:rPr>
          <w:i/>
          <w:color w:val="000000"/>
          <w:spacing w:val="-4"/>
          <w:lang w:val="fr-CH"/>
        </w:rPr>
        <w:noBreakHyphen/>
      </w:r>
      <w:r w:rsidR="00251621" w:rsidRPr="0052482B">
        <w:rPr>
          <w:i/>
          <w:color w:val="000000"/>
          <w:spacing w:val="-4"/>
          <w:lang w:val="fr-CH"/>
        </w:rPr>
        <w:t>quatr</w:t>
      </w:r>
      <w:r w:rsidR="000970A8">
        <w:rPr>
          <w:i/>
          <w:color w:val="000000"/>
          <w:spacing w:val="-4"/>
          <w:lang w:val="fr-CH"/>
        </w:rPr>
        <w:t>ième session</w:t>
      </w:r>
      <w:r w:rsidR="00251621" w:rsidRPr="0052482B">
        <w:rPr>
          <w:i/>
          <w:color w:val="000000"/>
          <w:spacing w:val="-4"/>
          <w:lang w:val="fr-CH"/>
        </w:rPr>
        <w:t xml:space="preserve"> tendant à ne pas introduire la </w:t>
      </w:r>
      <w:r w:rsidR="00165F29" w:rsidRPr="0052482B">
        <w:rPr>
          <w:i/>
          <w:color w:val="000000"/>
          <w:spacing w:val="-4"/>
          <w:lang w:val="fr-CH"/>
        </w:rPr>
        <w:t>classe 2</w:t>
      </w:r>
      <w:r w:rsidR="00251621" w:rsidRPr="0052482B">
        <w:rPr>
          <w:i/>
          <w:color w:val="000000"/>
          <w:spacing w:val="-4"/>
          <w:lang w:val="fr-CH"/>
        </w:rPr>
        <w:t xml:space="preserve">05B dans le </w:t>
      </w:r>
      <w:r w:rsidR="00875470" w:rsidRPr="0052482B">
        <w:rPr>
          <w:i/>
          <w:color w:val="000000"/>
          <w:spacing w:val="-4"/>
          <w:lang w:val="fr-CH"/>
        </w:rPr>
        <w:t>document</w:t>
      </w:r>
      <w:r w:rsidR="00875470">
        <w:rPr>
          <w:i/>
          <w:color w:val="000000"/>
          <w:spacing w:val="-4"/>
          <w:lang w:val="fr-CH"/>
        </w:rPr>
        <w:t xml:space="preserve"> </w:t>
      </w:r>
      <w:r w:rsidR="00875470" w:rsidRPr="0052482B">
        <w:rPr>
          <w:i/>
          <w:color w:val="000000"/>
          <w:spacing w:val="-4"/>
          <w:lang w:val="fr-CH"/>
        </w:rPr>
        <w:t>UP</w:t>
      </w:r>
      <w:r w:rsidR="00251621" w:rsidRPr="0052482B">
        <w:rPr>
          <w:i/>
          <w:color w:val="000000"/>
          <w:spacing w:val="-4"/>
          <w:lang w:val="fr-CH"/>
        </w:rPr>
        <w:t xml:space="preserve">OV/EXN/DEN/1 (voir le </w:t>
      </w:r>
      <w:r w:rsidR="00165F29" w:rsidRPr="0052482B">
        <w:rPr>
          <w:i/>
          <w:color w:val="000000"/>
          <w:spacing w:val="-4"/>
          <w:lang w:val="fr-CH"/>
        </w:rPr>
        <w:t>paragraphe 2</w:t>
      </w:r>
      <w:r w:rsidR="00251621" w:rsidRPr="0052482B">
        <w:rPr>
          <w:i/>
          <w:color w:val="000000"/>
          <w:spacing w:val="-4"/>
          <w:lang w:val="fr-CH"/>
        </w:rPr>
        <w:t>5 du document CAJ/77/3</w:t>
      </w:r>
      <w:r w:rsidR="00073D9C" w:rsidRPr="0052482B">
        <w:rPr>
          <w:i/>
          <w:color w:val="000000"/>
          <w:spacing w:val="-4"/>
          <w:lang w:val="fr-CH"/>
        </w:rPr>
        <w:t> </w:t>
      </w:r>
      <w:proofErr w:type="spellStart"/>
      <w:r w:rsidR="00251621" w:rsidRPr="0052482B">
        <w:rPr>
          <w:i/>
          <w:color w:val="000000"/>
          <w:spacing w:val="-4"/>
          <w:lang w:val="fr-CH"/>
        </w:rPr>
        <w:t>Rev</w:t>
      </w:r>
      <w:proofErr w:type="spellEnd"/>
      <w:r w:rsidR="00251621" w:rsidRPr="0052482B">
        <w:rPr>
          <w:i/>
          <w:color w:val="000000"/>
          <w:spacing w:val="-4"/>
          <w:lang w:val="fr-CH"/>
        </w:rPr>
        <w:t>.),</w:t>
      </w:r>
    </w:p>
    <w:p w:rsidR="00A4614B" w:rsidRDefault="00A4614B" w:rsidP="004823C4">
      <w:pPr>
        <w:keepLines/>
        <w:tabs>
          <w:tab w:val="left" w:pos="5387"/>
          <w:tab w:val="left" w:pos="5954"/>
        </w:tabs>
        <w:ind w:left="4820"/>
        <w:rPr>
          <w:i/>
          <w:spacing w:val="-4"/>
          <w:lang w:val="fr-CH"/>
        </w:rPr>
      </w:pPr>
    </w:p>
    <w:p w:rsidR="00A4614B" w:rsidRDefault="004823C4" w:rsidP="00251621">
      <w:pPr>
        <w:keepLines/>
        <w:tabs>
          <w:tab w:val="left" w:pos="5387"/>
          <w:tab w:val="left" w:pos="5954"/>
        </w:tabs>
        <w:ind w:left="4820"/>
        <w:rPr>
          <w:i/>
          <w:spacing w:val="-2"/>
          <w:lang w:val="fr-CH"/>
        </w:rPr>
      </w:pPr>
      <w:r w:rsidRPr="00251621">
        <w:rPr>
          <w:i/>
          <w:snapToGrid w:val="0"/>
          <w:spacing w:val="-2"/>
          <w:lang w:val="fr-CH" w:eastAsia="ja-JP"/>
        </w:rPr>
        <w:tab/>
      </w:r>
      <w:r w:rsidR="00251621" w:rsidRPr="0052482B">
        <w:rPr>
          <w:i/>
          <w:snapToGrid w:val="0"/>
          <w:spacing w:val="-2"/>
          <w:lang w:val="fr-CH" w:eastAsia="ja-JP"/>
        </w:rPr>
        <w:t xml:space="preserve">c) à examiner la proposition de révision du document UPOV/EXN/DEN “Notes explicatives concernant les dénominations variétales en vertu de la </w:t>
      </w:r>
      <w:r w:rsidR="000970A8">
        <w:rPr>
          <w:i/>
          <w:snapToGrid w:val="0"/>
          <w:spacing w:val="-2"/>
          <w:lang w:val="fr-CH" w:eastAsia="ja-JP"/>
        </w:rPr>
        <w:t>Convention UPOV</w:t>
      </w:r>
      <w:r w:rsidR="00251621" w:rsidRPr="0052482B">
        <w:rPr>
          <w:i/>
          <w:snapToGrid w:val="0"/>
          <w:spacing w:val="-2"/>
          <w:lang w:val="fr-CH" w:eastAsia="ja-JP"/>
        </w:rPr>
        <w:t xml:space="preserve">” sur la base du document UPOV/EXN/DEN/1 </w:t>
      </w:r>
      <w:proofErr w:type="spellStart"/>
      <w:r w:rsidR="00251621" w:rsidRPr="0052482B">
        <w:rPr>
          <w:i/>
          <w:snapToGrid w:val="0"/>
          <w:spacing w:val="-2"/>
          <w:lang w:val="fr-CH" w:eastAsia="ja-JP"/>
        </w:rPr>
        <w:t>Draft</w:t>
      </w:r>
      <w:proofErr w:type="spellEnd"/>
      <w:r w:rsidR="00EE25CC" w:rsidRPr="0052482B">
        <w:rPr>
          <w:i/>
          <w:snapToGrid w:val="0"/>
          <w:spacing w:val="-2"/>
          <w:lang w:val="fr-CH" w:eastAsia="ja-JP"/>
        </w:rPr>
        <w:t> </w:t>
      </w:r>
      <w:r w:rsidR="00251621" w:rsidRPr="0052482B">
        <w:rPr>
          <w:i/>
          <w:snapToGrid w:val="0"/>
          <w:spacing w:val="-2"/>
          <w:lang w:val="fr-CH" w:eastAsia="ja-JP"/>
        </w:rPr>
        <w:t xml:space="preserve">4 compte tenu des observations concernant le document UPOV/EXN/DEN/1 </w:t>
      </w:r>
      <w:proofErr w:type="spellStart"/>
      <w:r w:rsidR="00251621" w:rsidRPr="0052482B">
        <w:rPr>
          <w:i/>
          <w:snapToGrid w:val="0"/>
          <w:spacing w:val="-2"/>
          <w:lang w:val="fr-CH" w:eastAsia="ja-JP"/>
        </w:rPr>
        <w:t>Draft</w:t>
      </w:r>
      <w:proofErr w:type="spellEnd"/>
      <w:r w:rsidR="003D0584">
        <w:rPr>
          <w:i/>
          <w:snapToGrid w:val="0"/>
          <w:spacing w:val="-2"/>
          <w:lang w:val="fr-CH" w:eastAsia="ja-JP"/>
        </w:rPr>
        <w:t> </w:t>
      </w:r>
      <w:r w:rsidR="00251621" w:rsidRPr="0052482B">
        <w:rPr>
          <w:i/>
          <w:snapToGrid w:val="0"/>
          <w:spacing w:val="-2"/>
          <w:lang w:val="fr-CH" w:eastAsia="ja-JP"/>
        </w:rPr>
        <w:t>4 reçues en réponse à la circulaire</w:t>
      </w:r>
      <w:r w:rsidR="003D0584">
        <w:rPr>
          <w:i/>
          <w:snapToGrid w:val="0"/>
          <w:spacing w:val="-2"/>
          <w:lang w:val="fr-CH" w:eastAsia="ja-JP"/>
        </w:rPr>
        <w:t> </w:t>
      </w:r>
      <w:r w:rsidR="00251621" w:rsidRPr="0052482B">
        <w:rPr>
          <w:i/>
          <w:snapToGrid w:val="0"/>
          <w:spacing w:val="-2"/>
          <w:lang w:val="fr-CH" w:eastAsia="ja-JP"/>
        </w:rPr>
        <w:t>E</w:t>
      </w:r>
      <w:r w:rsidR="00945DBD">
        <w:rPr>
          <w:i/>
          <w:snapToGrid w:val="0"/>
          <w:spacing w:val="-2"/>
          <w:lang w:val="fr-CH" w:eastAsia="ja-JP"/>
        </w:rPr>
        <w:noBreakHyphen/>
      </w:r>
      <w:r w:rsidR="00251621" w:rsidRPr="0052482B">
        <w:rPr>
          <w:i/>
          <w:snapToGrid w:val="0"/>
          <w:spacing w:val="-2"/>
          <w:lang w:val="fr-CH" w:eastAsia="ja-JP"/>
        </w:rPr>
        <w:t>20/120, figurant à l</w:t>
      </w:r>
      <w:r w:rsidR="000970A8">
        <w:rPr>
          <w:i/>
          <w:snapToGrid w:val="0"/>
          <w:spacing w:val="-2"/>
          <w:lang w:val="fr-CH" w:eastAsia="ja-JP"/>
        </w:rPr>
        <w:t>’</w:t>
      </w:r>
      <w:r w:rsidR="00165F29" w:rsidRPr="0052482B">
        <w:rPr>
          <w:i/>
          <w:snapToGrid w:val="0"/>
          <w:spacing w:val="-2"/>
          <w:lang w:val="fr-CH" w:eastAsia="ja-JP"/>
        </w:rPr>
        <w:t>annexe I</w:t>
      </w:r>
      <w:r w:rsidR="00251621" w:rsidRPr="0052482B">
        <w:rPr>
          <w:i/>
          <w:snapToGrid w:val="0"/>
          <w:spacing w:val="-2"/>
          <w:lang w:val="fr-CH" w:eastAsia="ja-JP"/>
        </w:rPr>
        <w:t xml:space="preserve"> du présent document, et</w:t>
      </w:r>
    </w:p>
    <w:p w:rsidR="00A4614B" w:rsidRPr="00AD17A6" w:rsidRDefault="00A4614B" w:rsidP="00AD17A6"/>
    <w:p w:rsidR="00A4614B" w:rsidRPr="00AD17A6" w:rsidRDefault="004823C4" w:rsidP="00251621">
      <w:pPr>
        <w:keepLines/>
        <w:tabs>
          <w:tab w:val="left" w:pos="5387"/>
          <w:tab w:val="left" w:pos="5954"/>
        </w:tabs>
        <w:ind w:left="4820"/>
        <w:rPr>
          <w:i/>
          <w:snapToGrid w:val="0"/>
          <w:spacing w:val="2"/>
          <w:lang w:val="fr-CH" w:eastAsia="ja-JP"/>
        </w:rPr>
      </w:pPr>
      <w:r w:rsidRPr="00AD17A6">
        <w:rPr>
          <w:i/>
          <w:spacing w:val="2"/>
          <w:lang w:val="fr-CH"/>
        </w:rPr>
        <w:tab/>
      </w:r>
      <w:r w:rsidR="00251621" w:rsidRPr="00AD17A6">
        <w:rPr>
          <w:i/>
          <w:spacing w:val="2"/>
          <w:lang w:val="fr-CH"/>
        </w:rPr>
        <w:t>d) sur la base des observations figurant à l</w:t>
      </w:r>
      <w:r w:rsidR="000970A8" w:rsidRPr="00AD17A6">
        <w:rPr>
          <w:i/>
          <w:spacing w:val="2"/>
          <w:lang w:val="fr-CH"/>
        </w:rPr>
        <w:t>’</w:t>
      </w:r>
      <w:r w:rsidR="00165F29" w:rsidRPr="00AD17A6">
        <w:rPr>
          <w:i/>
          <w:spacing w:val="2"/>
          <w:lang w:val="fr-CH"/>
        </w:rPr>
        <w:t>annexe I</w:t>
      </w:r>
      <w:r w:rsidR="00251621" w:rsidRPr="00AD17A6">
        <w:rPr>
          <w:i/>
          <w:spacing w:val="2"/>
          <w:lang w:val="fr-CH"/>
        </w:rPr>
        <w:t xml:space="preserve"> du présent document et des discussions tenues à la soixante</w:t>
      </w:r>
      <w:r w:rsidR="00945DBD" w:rsidRPr="00AD17A6">
        <w:rPr>
          <w:i/>
          <w:spacing w:val="2"/>
          <w:lang w:val="fr-CH"/>
        </w:rPr>
        <w:noBreakHyphen/>
      </w:r>
      <w:r w:rsidR="00251621" w:rsidRPr="00AD17A6">
        <w:rPr>
          <w:i/>
          <w:spacing w:val="2"/>
          <w:lang w:val="fr-CH"/>
        </w:rPr>
        <w:t>dix</w:t>
      </w:r>
      <w:r w:rsidR="00945DBD" w:rsidRPr="00AD17A6">
        <w:rPr>
          <w:i/>
          <w:spacing w:val="2"/>
          <w:lang w:val="fr-CH"/>
        </w:rPr>
        <w:noBreakHyphen/>
      </w:r>
      <w:r w:rsidR="00251621" w:rsidRPr="00AD17A6">
        <w:rPr>
          <w:i/>
          <w:spacing w:val="2"/>
          <w:lang w:val="fr-CH"/>
        </w:rPr>
        <w:t>sept</w:t>
      </w:r>
      <w:r w:rsidR="000970A8" w:rsidRPr="00AD17A6">
        <w:rPr>
          <w:i/>
          <w:spacing w:val="2"/>
          <w:lang w:val="fr-CH"/>
        </w:rPr>
        <w:t>ième session</w:t>
      </w:r>
      <w:r w:rsidR="00165F29" w:rsidRPr="00AD17A6">
        <w:rPr>
          <w:i/>
          <w:spacing w:val="2"/>
          <w:lang w:val="fr-CH"/>
        </w:rPr>
        <w:t xml:space="preserve"> du CAJ</w:t>
      </w:r>
      <w:r w:rsidR="00251621" w:rsidRPr="00AD17A6">
        <w:rPr>
          <w:i/>
          <w:spacing w:val="2"/>
          <w:lang w:val="fr-CH"/>
        </w:rPr>
        <w:t>, à inviter le Bureau de l</w:t>
      </w:r>
      <w:r w:rsidR="000970A8" w:rsidRPr="00AD17A6">
        <w:rPr>
          <w:i/>
          <w:spacing w:val="2"/>
          <w:lang w:val="fr-CH"/>
        </w:rPr>
        <w:t>’</w:t>
      </w:r>
      <w:r w:rsidR="00251621" w:rsidRPr="00AD17A6">
        <w:rPr>
          <w:i/>
          <w:spacing w:val="2"/>
          <w:lang w:val="fr-CH"/>
        </w:rPr>
        <w:t xml:space="preserve">Union à établir un projet de document UPOV/EXN/DEN “Notes explicatives concernant les dénominations variétales en vertu de la </w:t>
      </w:r>
      <w:r w:rsidR="000970A8" w:rsidRPr="00AD17A6">
        <w:rPr>
          <w:i/>
          <w:spacing w:val="2"/>
          <w:lang w:val="fr-CH"/>
        </w:rPr>
        <w:t>Convention UPOV</w:t>
      </w:r>
      <w:r w:rsidR="00251621" w:rsidRPr="00AD17A6">
        <w:rPr>
          <w:i/>
          <w:spacing w:val="2"/>
          <w:lang w:val="fr-CH"/>
        </w:rPr>
        <w:t>” (</w:t>
      </w:r>
      <w:r w:rsidR="000970A8" w:rsidRPr="00AD17A6">
        <w:rPr>
          <w:i/>
          <w:spacing w:val="2"/>
          <w:lang w:val="fr-CH"/>
        </w:rPr>
        <w:t>document UP</w:t>
      </w:r>
      <w:r w:rsidR="00251621" w:rsidRPr="00AD17A6">
        <w:rPr>
          <w:i/>
          <w:spacing w:val="2"/>
          <w:lang w:val="fr-CH"/>
        </w:rPr>
        <w:t>OV/EXN/DEN/1 </w:t>
      </w:r>
      <w:proofErr w:type="spellStart"/>
      <w:r w:rsidR="00251621" w:rsidRPr="00AD17A6">
        <w:rPr>
          <w:i/>
          <w:spacing w:val="2"/>
          <w:lang w:val="fr-CH"/>
        </w:rPr>
        <w:t>Draft</w:t>
      </w:r>
      <w:proofErr w:type="spellEnd"/>
      <w:r w:rsidR="00251621" w:rsidRPr="00AD17A6">
        <w:rPr>
          <w:i/>
          <w:spacing w:val="2"/>
          <w:lang w:val="fr-CH"/>
        </w:rPr>
        <w:t> 5), qui serait soumis</w:t>
      </w:r>
      <w:r w:rsidR="00165F29" w:rsidRPr="00AD17A6">
        <w:rPr>
          <w:i/>
          <w:spacing w:val="2"/>
          <w:lang w:val="fr-CH"/>
        </w:rPr>
        <w:t xml:space="preserve"> au CAJ</w:t>
      </w:r>
      <w:r w:rsidR="00251621" w:rsidRPr="00AD17A6">
        <w:rPr>
          <w:i/>
          <w:spacing w:val="2"/>
          <w:lang w:val="fr-CH"/>
        </w:rPr>
        <w:t xml:space="preserve"> pour observations par correspondance;  et, sur la base des observations reçues, </w:t>
      </w:r>
      <w:r w:rsidR="00A4614B" w:rsidRPr="00AD17A6">
        <w:rPr>
          <w:i/>
          <w:spacing w:val="2"/>
          <w:lang w:val="fr-CH"/>
        </w:rPr>
        <w:t>à</w:t>
      </w:r>
      <w:r w:rsidR="00251621" w:rsidRPr="00AD17A6">
        <w:rPr>
          <w:i/>
          <w:spacing w:val="2"/>
          <w:lang w:val="fr-CH"/>
        </w:rPr>
        <w:t xml:space="preserve"> établir un nouveau projet de document UPOV/EXN/DEN pour examen par</w:t>
      </w:r>
      <w:r w:rsidR="00165F29" w:rsidRPr="00AD17A6">
        <w:rPr>
          <w:i/>
          <w:spacing w:val="2"/>
          <w:lang w:val="fr-CH"/>
        </w:rPr>
        <w:t xml:space="preserve"> le CAJ</w:t>
      </w:r>
      <w:r w:rsidR="00251621" w:rsidRPr="00AD17A6">
        <w:rPr>
          <w:i/>
          <w:spacing w:val="2"/>
          <w:lang w:val="fr-CH"/>
        </w:rPr>
        <w:t xml:space="preserve"> à sa soixante</w:t>
      </w:r>
      <w:r w:rsidR="00945DBD" w:rsidRPr="00AD17A6">
        <w:rPr>
          <w:i/>
          <w:spacing w:val="2"/>
          <w:lang w:val="fr-CH"/>
        </w:rPr>
        <w:noBreakHyphen/>
      </w:r>
      <w:r w:rsidR="00251621" w:rsidRPr="00AD17A6">
        <w:rPr>
          <w:i/>
          <w:spacing w:val="2"/>
          <w:lang w:val="fr-CH"/>
        </w:rPr>
        <w:t>dix</w:t>
      </w:r>
      <w:r w:rsidR="00945DBD" w:rsidRPr="00AD17A6">
        <w:rPr>
          <w:i/>
          <w:spacing w:val="2"/>
          <w:lang w:val="fr-CH"/>
        </w:rPr>
        <w:noBreakHyphen/>
      </w:r>
      <w:r w:rsidR="00251621" w:rsidRPr="00AD17A6">
        <w:rPr>
          <w:i/>
          <w:spacing w:val="2"/>
          <w:lang w:val="fr-CH"/>
        </w:rPr>
        <w:t>huit</w:t>
      </w:r>
      <w:r w:rsidR="000970A8" w:rsidRPr="00AD17A6">
        <w:rPr>
          <w:i/>
          <w:spacing w:val="2"/>
          <w:lang w:val="fr-CH"/>
        </w:rPr>
        <w:t>ième session</w:t>
      </w:r>
      <w:r w:rsidR="00251621" w:rsidRPr="00AD17A6">
        <w:rPr>
          <w:i/>
          <w:spacing w:val="2"/>
          <w:lang w:val="fr-CH"/>
        </w:rPr>
        <w:t xml:space="preserve"> prévue </w:t>
      </w:r>
      <w:r w:rsidR="00165F29" w:rsidRPr="00AD17A6">
        <w:rPr>
          <w:i/>
          <w:spacing w:val="2"/>
          <w:lang w:val="fr-CH"/>
        </w:rPr>
        <w:t>en 2021</w:t>
      </w:r>
      <w:r w:rsidR="00251621" w:rsidRPr="00AD17A6">
        <w:rPr>
          <w:i/>
          <w:spacing w:val="2"/>
          <w:lang w:val="fr-CH"/>
        </w:rPr>
        <w:t>.</w:t>
      </w:r>
    </w:p>
    <w:p w:rsidR="00A4614B" w:rsidRPr="00AD17A6" w:rsidRDefault="00A4614B" w:rsidP="00AD17A6"/>
    <w:p w:rsidR="00A4614B" w:rsidRPr="00AD17A6" w:rsidRDefault="00A4614B" w:rsidP="00AD17A6"/>
    <w:p w:rsidR="00A4614B" w:rsidRPr="00AD17A6" w:rsidRDefault="00A4614B" w:rsidP="00AD17A6"/>
    <w:p w:rsidR="00A4614B" w:rsidRPr="00ED214A" w:rsidRDefault="00A4614B" w:rsidP="007145E5">
      <w:pPr>
        <w:pStyle w:val="Heading1"/>
      </w:pPr>
      <w:bookmarkStart w:id="27" w:name="_Toc55924380"/>
      <w:r w:rsidRPr="007145E5">
        <w:t>Point</w:t>
      </w:r>
      <w:r w:rsidR="00DF3DD1" w:rsidRPr="007145E5">
        <w:t> </w:t>
      </w:r>
      <w:r w:rsidRPr="007145E5">
        <w:t>7 de l</w:t>
      </w:r>
      <w:r w:rsidR="000970A8" w:rsidRPr="007145E5">
        <w:t>’</w:t>
      </w:r>
      <w:r w:rsidRPr="007145E5">
        <w:t>ordre du jour</w:t>
      </w:r>
      <w:r w:rsidR="000970A8" w:rsidRPr="007145E5">
        <w:t> :</w:t>
      </w:r>
      <w:r w:rsidRPr="007145E5">
        <w:t xml:space="preserve"> Variétés essentiellement dérivées (</w:t>
      </w:r>
      <w:r w:rsidR="00ED214A" w:rsidRPr="00ED214A">
        <w:t>document </w:t>
      </w:r>
      <w:r w:rsidR="00875470" w:rsidRPr="00ED214A">
        <w:t>CA</w:t>
      </w:r>
      <w:r w:rsidRPr="00ED214A">
        <w:t>J/77/4</w:t>
      </w:r>
      <w:r w:rsidR="0063490F" w:rsidRPr="00ED214A">
        <w:t> </w:t>
      </w:r>
      <w:r w:rsidRPr="00ED214A">
        <w:t>REV.)</w:t>
      </w:r>
      <w:bookmarkEnd w:id="27"/>
    </w:p>
    <w:p w:rsidR="00A4614B" w:rsidRPr="00ED214A" w:rsidRDefault="00A4614B" w:rsidP="004823C4">
      <w:pPr>
        <w:keepNext/>
        <w:ind w:left="567" w:hanging="567"/>
        <w:jc w:val="left"/>
        <w:rPr>
          <w:lang w:val="fr-CH"/>
        </w:rPr>
      </w:pPr>
    </w:p>
    <w:p w:rsidR="00A4614B" w:rsidRPr="00DF3DD1" w:rsidRDefault="004823C4" w:rsidP="00A4614B">
      <w:pPr>
        <w:keepNext/>
        <w:rPr>
          <w:snapToGrid w:val="0"/>
          <w:lang w:val="fr-CH"/>
        </w:rPr>
      </w:pPr>
      <w:r w:rsidRPr="00ED214A">
        <w:fldChar w:fldCharType="begin"/>
      </w:r>
      <w:r w:rsidRPr="00ED214A">
        <w:rPr>
          <w:lang w:val="fr-CH"/>
        </w:rPr>
        <w:instrText xml:space="preserve"> AUTONUM  </w:instrText>
      </w:r>
      <w:r w:rsidRPr="00ED214A">
        <w:fldChar w:fldCharType="end"/>
      </w:r>
      <w:r w:rsidRPr="00ED214A">
        <w:rPr>
          <w:lang w:val="fr-CH"/>
        </w:rPr>
        <w:tab/>
      </w:r>
      <w:r w:rsidR="00A4614B" w:rsidRPr="00ED214A">
        <w:rPr>
          <w:lang w:val="fr-CH"/>
        </w:rPr>
        <w:t xml:space="preserve">Le CAJ a examiné le </w:t>
      </w:r>
      <w:r w:rsidR="00875470" w:rsidRPr="00ED214A">
        <w:rPr>
          <w:lang w:val="fr-CH"/>
        </w:rPr>
        <w:t>document CA</w:t>
      </w:r>
      <w:r w:rsidR="00A4614B" w:rsidRPr="00ED214A">
        <w:rPr>
          <w:lang w:val="fr-CH"/>
        </w:rPr>
        <w:t>J/77/4</w:t>
      </w:r>
      <w:r w:rsidR="00A62B33" w:rsidRPr="00ED214A">
        <w:rPr>
          <w:lang w:val="fr-CH"/>
        </w:rPr>
        <w:t> </w:t>
      </w:r>
      <w:bookmarkStart w:id="28" w:name="_GoBack"/>
      <w:proofErr w:type="spellStart"/>
      <w:proofErr w:type="gramStart"/>
      <w:r w:rsidR="00A4614B" w:rsidRPr="00ED214A">
        <w:rPr>
          <w:lang w:val="fr-CH"/>
        </w:rPr>
        <w:t>Rev</w:t>
      </w:r>
      <w:proofErr w:type="spellEnd"/>
      <w:r w:rsidR="00A4614B" w:rsidRPr="00ED214A">
        <w:rPr>
          <w:lang w:val="fr-CH"/>
        </w:rPr>
        <w:t>.</w:t>
      </w:r>
      <w:bookmarkEnd w:id="28"/>
      <w:r w:rsidR="00AD17A6" w:rsidRPr="00ED214A">
        <w:rPr>
          <w:lang w:val="fr-CH"/>
        </w:rPr>
        <w:t>.</w:t>
      </w:r>
      <w:proofErr w:type="gramEnd"/>
    </w:p>
    <w:p w:rsidR="00A4614B" w:rsidRPr="00DF3DD1" w:rsidRDefault="00A4614B" w:rsidP="004823C4">
      <w:pPr>
        <w:keepNext/>
        <w:ind w:left="567" w:hanging="567"/>
        <w:rPr>
          <w:lang w:val="fr-CH"/>
        </w:rPr>
      </w:pPr>
    </w:p>
    <w:p w:rsidR="00A4614B" w:rsidRPr="00DF3DD1" w:rsidRDefault="004823C4" w:rsidP="00A4614B">
      <w:pPr>
        <w:rPr>
          <w:lang w:val="fr-CH"/>
        </w:rPr>
      </w:pPr>
      <w:r w:rsidRPr="00DF3DD1">
        <w:fldChar w:fldCharType="begin"/>
      </w:r>
      <w:r w:rsidRPr="00DF3DD1">
        <w:rPr>
          <w:lang w:val="fr-CH"/>
        </w:rPr>
        <w:instrText xml:space="preserve"> AUTONUM  </w:instrText>
      </w:r>
      <w:r w:rsidRPr="00DF3DD1">
        <w:fldChar w:fldCharType="end"/>
      </w:r>
      <w:r w:rsidRPr="00DF3DD1">
        <w:rPr>
          <w:lang w:val="fr-CH"/>
        </w:rPr>
        <w:tab/>
      </w:r>
      <w:r w:rsidR="00A4614B" w:rsidRPr="00DF3DD1">
        <w:rPr>
          <w:lang w:val="fr-CH"/>
        </w:rPr>
        <w:t>Le CAJ est convenu d</w:t>
      </w:r>
      <w:r w:rsidR="000970A8">
        <w:rPr>
          <w:lang w:val="fr-CH"/>
        </w:rPr>
        <w:t>’</w:t>
      </w:r>
      <w:r w:rsidR="00A4614B" w:rsidRPr="00DF3DD1">
        <w:rPr>
          <w:lang w:val="fr-CH"/>
        </w:rPr>
        <w:t>établir le WG</w:t>
      </w:r>
      <w:r w:rsidR="00945DBD">
        <w:rPr>
          <w:lang w:val="fr-CH"/>
        </w:rPr>
        <w:noBreakHyphen/>
      </w:r>
      <w:r w:rsidR="00A4614B" w:rsidRPr="00DF3DD1">
        <w:rPr>
          <w:lang w:val="fr-CH"/>
        </w:rPr>
        <w:t>EDV et d</w:t>
      </w:r>
      <w:r w:rsidR="000970A8">
        <w:rPr>
          <w:lang w:val="fr-CH"/>
        </w:rPr>
        <w:t>’</w:t>
      </w:r>
      <w:r w:rsidR="00A4614B" w:rsidRPr="00DF3DD1">
        <w:rPr>
          <w:lang w:val="fr-CH"/>
        </w:rPr>
        <w:t>approuver son mandat, comme indiqué à l</w:t>
      </w:r>
      <w:r w:rsidR="000970A8">
        <w:rPr>
          <w:lang w:val="fr-CH"/>
        </w:rPr>
        <w:t>’</w:t>
      </w:r>
      <w:r w:rsidR="00A4614B" w:rsidRPr="00DF3DD1">
        <w:rPr>
          <w:lang w:val="fr-CH"/>
        </w:rPr>
        <w:t>annexe</w:t>
      </w:r>
      <w:r w:rsidR="00DF3DD1">
        <w:rPr>
          <w:lang w:val="fr-CH"/>
        </w:rPr>
        <w:t> </w:t>
      </w:r>
      <w:r w:rsidR="00A4614B" w:rsidRPr="00DF3DD1">
        <w:rPr>
          <w:lang w:val="fr-CH"/>
        </w:rPr>
        <w:t>II du document CAJ/77/4</w:t>
      </w:r>
      <w:r w:rsidR="00A62B33">
        <w:rPr>
          <w:lang w:val="fr-CH"/>
        </w:rPr>
        <w:t> </w:t>
      </w:r>
      <w:proofErr w:type="spellStart"/>
      <w:r w:rsidR="00A4614B" w:rsidRPr="00DF3DD1">
        <w:rPr>
          <w:lang w:val="fr-CH"/>
        </w:rPr>
        <w:t>Rev</w:t>
      </w:r>
      <w:proofErr w:type="spellEnd"/>
      <w:r w:rsidR="00A4614B" w:rsidRPr="00DF3DD1">
        <w:rPr>
          <w:lang w:val="fr-CH"/>
        </w:rPr>
        <w:t>., en parallèle avec les “Questions sur les politiques en rapport avec les usages et pratiques des obtenteurs” figurant à l</w:t>
      </w:r>
      <w:r w:rsidR="000970A8">
        <w:rPr>
          <w:lang w:val="fr-CH"/>
        </w:rPr>
        <w:t>’</w:t>
      </w:r>
      <w:r w:rsidR="00875470" w:rsidRPr="00DF3DD1">
        <w:rPr>
          <w:lang w:val="fr-CH"/>
        </w:rPr>
        <w:t>annexe</w:t>
      </w:r>
      <w:r w:rsidR="00875470">
        <w:rPr>
          <w:lang w:val="fr-CH"/>
        </w:rPr>
        <w:t> </w:t>
      </w:r>
      <w:r w:rsidR="00875470" w:rsidRPr="00DF3DD1">
        <w:rPr>
          <w:lang w:val="fr-CH"/>
        </w:rPr>
        <w:t>I</w:t>
      </w:r>
      <w:r w:rsidR="00A4614B" w:rsidRPr="00DF3DD1">
        <w:rPr>
          <w:lang w:val="fr-CH"/>
        </w:rPr>
        <w:t xml:space="preserve"> du document CAJ/77/4</w:t>
      </w:r>
      <w:r w:rsidR="00A62B33">
        <w:rPr>
          <w:lang w:val="fr-CH"/>
        </w:rPr>
        <w:t> </w:t>
      </w:r>
      <w:proofErr w:type="spellStart"/>
      <w:proofErr w:type="gramStart"/>
      <w:r w:rsidR="00A4614B" w:rsidRPr="00DF3DD1">
        <w:rPr>
          <w:lang w:val="fr-CH"/>
        </w:rPr>
        <w:t>Rev</w:t>
      </w:r>
      <w:proofErr w:type="spellEnd"/>
      <w:r w:rsidR="00A4614B" w:rsidRPr="00DF3DD1">
        <w:rPr>
          <w:lang w:val="fr-CH"/>
        </w:rPr>
        <w:t>.</w:t>
      </w:r>
      <w:r w:rsidR="00AD17A6">
        <w:rPr>
          <w:lang w:val="fr-CH"/>
        </w:rPr>
        <w:t>.</w:t>
      </w:r>
      <w:proofErr w:type="gramEnd"/>
    </w:p>
    <w:p w:rsidR="00A4614B" w:rsidRPr="00AD17A6" w:rsidRDefault="00A4614B" w:rsidP="00AD17A6"/>
    <w:p w:rsidR="00A4614B" w:rsidRPr="00DF3DD1" w:rsidRDefault="004823C4" w:rsidP="00232286">
      <w:pPr>
        <w:keepNext/>
        <w:rPr>
          <w:snapToGrid w:val="0"/>
          <w:spacing w:val="-2"/>
          <w:lang w:val="fr-CH"/>
        </w:rPr>
      </w:pPr>
      <w:r w:rsidRPr="00DF3DD1">
        <w:rPr>
          <w:spacing w:val="-2"/>
        </w:rPr>
        <w:fldChar w:fldCharType="begin"/>
      </w:r>
      <w:r w:rsidRPr="00DF3DD1">
        <w:rPr>
          <w:spacing w:val="-2"/>
          <w:lang w:val="fr-CH"/>
        </w:rPr>
        <w:instrText xml:space="preserve"> AUTONUM  </w:instrText>
      </w:r>
      <w:r w:rsidRPr="00DF3DD1">
        <w:rPr>
          <w:spacing w:val="-2"/>
        </w:rPr>
        <w:fldChar w:fldCharType="end"/>
      </w:r>
      <w:r w:rsidRPr="00DF3DD1">
        <w:rPr>
          <w:spacing w:val="-2"/>
          <w:lang w:val="fr-CH"/>
        </w:rPr>
        <w:tab/>
      </w:r>
      <w:r w:rsidR="00232286" w:rsidRPr="00DF3DD1">
        <w:rPr>
          <w:spacing w:val="-2"/>
          <w:lang w:val="fr-CH"/>
        </w:rPr>
        <w:t>Le CAJ a approuvé la composition s</w:t>
      </w:r>
      <w:r w:rsidR="00DF3DD1" w:rsidRPr="00DF3DD1">
        <w:rPr>
          <w:spacing w:val="-2"/>
          <w:lang w:val="fr-CH"/>
        </w:rPr>
        <w:t>u</w:t>
      </w:r>
      <w:r w:rsidR="00232286" w:rsidRPr="00DF3DD1">
        <w:rPr>
          <w:spacing w:val="-2"/>
          <w:lang w:val="fr-CH"/>
        </w:rPr>
        <w:t>ivante du WG</w:t>
      </w:r>
      <w:r w:rsidR="00945DBD">
        <w:rPr>
          <w:spacing w:val="-2"/>
          <w:lang w:val="fr-CH"/>
        </w:rPr>
        <w:noBreakHyphen/>
      </w:r>
      <w:r w:rsidR="00232286" w:rsidRPr="00DF3DD1">
        <w:rPr>
          <w:spacing w:val="-2"/>
          <w:lang w:val="fr-CH"/>
        </w:rPr>
        <w:t>EDV</w:t>
      </w:r>
      <w:r w:rsidR="000970A8">
        <w:rPr>
          <w:spacing w:val="-2"/>
          <w:lang w:val="fr-CH"/>
        </w:rPr>
        <w:t> :</w:t>
      </w:r>
      <w:r w:rsidR="00232286" w:rsidRPr="00DF3DD1">
        <w:rPr>
          <w:spacing w:val="-2"/>
          <w:lang w:val="fr-CH"/>
        </w:rPr>
        <w:t xml:space="preserve"> Australie, Brésil, Chili, Chine, Équateur, États</w:t>
      </w:r>
      <w:r w:rsidR="00945DBD">
        <w:rPr>
          <w:spacing w:val="-2"/>
          <w:lang w:val="fr-CH"/>
        </w:rPr>
        <w:noBreakHyphen/>
      </w:r>
      <w:r w:rsidR="00232286" w:rsidRPr="00DF3DD1">
        <w:rPr>
          <w:spacing w:val="-2"/>
          <w:lang w:val="fr-CH"/>
        </w:rPr>
        <w:t>Unis d</w:t>
      </w:r>
      <w:r w:rsidR="000970A8">
        <w:rPr>
          <w:spacing w:val="-2"/>
          <w:lang w:val="fr-CH"/>
        </w:rPr>
        <w:t>’</w:t>
      </w:r>
      <w:r w:rsidR="00232286" w:rsidRPr="00DF3DD1">
        <w:rPr>
          <w:spacing w:val="-2"/>
          <w:lang w:val="fr-CH"/>
        </w:rPr>
        <w:t>Amérique, France, Japon, Kenya, Pays</w:t>
      </w:r>
      <w:r w:rsidR="00945DBD">
        <w:rPr>
          <w:spacing w:val="-2"/>
          <w:lang w:val="fr-CH"/>
        </w:rPr>
        <w:noBreakHyphen/>
      </w:r>
      <w:r w:rsidR="00232286" w:rsidRPr="00DF3DD1">
        <w:rPr>
          <w:spacing w:val="-2"/>
          <w:lang w:val="fr-CH"/>
        </w:rPr>
        <w:t>Bas, Suède, République</w:t>
      </w:r>
      <w:r w:rsidR="00945DBD">
        <w:rPr>
          <w:spacing w:val="-2"/>
          <w:lang w:val="fr-CH"/>
        </w:rPr>
        <w:noBreakHyphen/>
      </w:r>
      <w:r w:rsidR="00700B2A">
        <w:rPr>
          <w:spacing w:val="-2"/>
          <w:lang w:val="fr-CH"/>
        </w:rPr>
        <w:t>Unie de Tanzanie, Union </w:t>
      </w:r>
      <w:r w:rsidR="00232286" w:rsidRPr="00DF3DD1">
        <w:rPr>
          <w:spacing w:val="-2"/>
          <w:lang w:val="fr-CH"/>
        </w:rPr>
        <w:t xml:space="preserve">européenne, APSA, APBREBES, CIOPORA, </w:t>
      </w:r>
      <w:proofErr w:type="spellStart"/>
      <w:r w:rsidR="00232286" w:rsidRPr="00700B2A">
        <w:rPr>
          <w:i/>
          <w:spacing w:val="-2"/>
          <w:lang w:val="fr-CH"/>
        </w:rPr>
        <w:t>CropLife</w:t>
      </w:r>
      <w:proofErr w:type="spellEnd"/>
      <w:r w:rsidR="00232286" w:rsidRPr="00700B2A">
        <w:rPr>
          <w:i/>
          <w:spacing w:val="-2"/>
          <w:lang w:val="fr-CH"/>
        </w:rPr>
        <w:t xml:space="preserve"> International</w:t>
      </w:r>
      <w:r w:rsidR="00232286" w:rsidRPr="00DF3DD1">
        <w:rPr>
          <w:spacing w:val="-2"/>
          <w:lang w:val="fr-CH"/>
        </w:rPr>
        <w:t xml:space="preserve">, </w:t>
      </w:r>
      <w:proofErr w:type="spellStart"/>
      <w:r w:rsidR="00700B2A" w:rsidRPr="00700B2A">
        <w:rPr>
          <w:i/>
          <w:spacing w:val="-2"/>
          <w:lang w:val="fr-CH"/>
        </w:rPr>
        <w:t>Euroseeds</w:t>
      </w:r>
      <w:proofErr w:type="spellEnd"/>
      <w:r w:rsidR="00232286" w:rsidRPr="00DF3DD1">
        <w:rPr>
          <w:spacing w:val="-2"/>
          <w:lang w:val="fr-CH"/>
        </w:rPr>
        <w:t>, ISF et SAA.</w:t>
      </w:r>
    </w:p>
    <w:p w:rsidR="00A4614B" w:rsidRPr="00DF3DD1" w:rsidRDefault="00A4614B" w:rsidP="004823C4">
      <w:pPr>
        <w:rPr>
          <w:lang w:val="fr-CH"/>
        </w:rPr>
      </w:pPr>
    </w:p>
    <w:p w:rsidR="00A4614B" w:rsidRPr="00DF3DD1" w:rsidRDefault="004823C4" w:rsidP="00DF3DD1">
      <w:pPr>
        <w:keepNext/>
        <w:rPr>
          <w:spacing w:val="-4"/>
          <w:lang w:val="fr-CH"/>
        </w:rPr>
      </w:pPr>
      <w:r w:rsidRPr="00DF3DD1">
        <w:rPr>
          <w:spacing w:val="-4"/>
        </w:rPr>
        <w:lastRenderedPageBreak/>
        <w:fldChar w:fldCharType="begin"/>
      </w:r>
      <w:r w:rsidRPr="00DF3DD1">
        <w:rPr>
          <w:spacing w:val="-4"/>
          <w:lang w:val="fr-CH"/>
        </w:rPr>
        <w:instrText xml:space="preserve"> AUTONUM  </w:instrText>
      </w:r>
      <w:r w:rsidRPr="00DF3DD1">
        <w:rPr>
          <w:spacing w:val="-4"/>
        </w:rPr>
        <w:fldChar w:fldCharType="end"/>
      </w:r>
      <w:r w:rsidRPr="00DF3DD1">
        <w:rPr>
          <w:spacing w:val="-4"/>
          <w:lang w:val="fr-CH"/>
        </w:rPr>
        <w:tab/>
      </w:r>
      <w:r w:rsidR="00DF3DD1" w:rsidRPr="00DF3DD1">
        <w:rPr>
          <w:spacing w:val="-4"/>
          <w:lang w:val="fr-CH"/>
        </w:rPr>
        <w:t>Le CAJ est convenu que la première réunion du WG</w:t>
      </w:r>
      <w:r w:rsidR="00945DBD">
        <w:rPr>
          <w:spacing w:val="-4"/>
          <w:lang w:val="fr-CH"/>
        </w:rPr>
        <w:noBreakHyphen/>
      </w:r>
      <w:r w:rsidR="00DF3DD1" w:rsidRPr="00DF3DD1">
        <w:rPr>
          <w:spacing w:val="-4"/>
          <w:lang w:val="fr-CH"/>
        </w:rPr>
        <w:t>EDV se tiendrait le 8</w:t>
      </w:r>
      <w:r w:rsidR="00DF3DD1">
        <w:rPr>
          <w:spacing w:val="-4"/>
          <w:lang w:val="fr-CH"/>
        </w:rPr>
        <w:t> </w:t>
      </w:r>
      <w:r w:rsidR="00DF3DD1" w:rsidRPr="00DF3DD1">
        <w:rPr>
          <w:spacing w:val="-4"/>
          <w:lang w:val="fr-CH"/>
        </w:rPr>
        <w:t>décembre</w:t>
      </w:r>
      <w:r w:rsidR="00DF3DD1">
        <w:rPr>
          <w:spacing w:val="-4"/>
          <w:lang w:val="fr-CH"/>
        </w:rPr>
        <w:t> </w:t>
      </w:r>
      <w:r w:rsidR="00DF3DD1" w:rsidRPr="00DF3DD1">
        <w:rPr>
          <w:spacing w:val="-4"/>
          <w:lang w:val="fr-CH"/>
        </w:rPr>
        <w:t>2020, par des moyens électroniques.</w:t>
      </w:r>
    </w:p>
    <w:p w:rsidR="00A4614B" w:rsidRPr="00DF3DD1" w:rsidRDefault="00A4614B" w:rsidP="004823C4">
      <w:pPr>
        <w:ind w:left="567" w:hanging="567"/>
        <w:rPr>
          <w:lang w:val="fr-CH"/>
        </w:rPr>
      </w:pPr>
    </w:p>
    <w:p w:rsidR="00A4614B" w:rsidRPr="00DF3DD1" w:rsidRDefault="004823C4" w:rsidP="00DF3DD1">
      <w:pPr>
        <w:keepNext/>
        <w:rPr>
          <w:lang w:val="fr-CH"/>
        </w:rPr>
      </w:pPr>
      <w:r w:rsidRPr="00DF3DD1">
        <w:fldChar w:fldCharType="begin"/>
      </w:r>
      <w:r w:rsidRPr="00DF3DD1">
        <w:rPr>
          <w:lang w:val="fr-CH"/>
        </w:rPr>
        <w:instrText xml:space="preserve"> AUTONUM  </w:instrText>
      </w:r>
      <w:r w:rsidRPr="00DF3DD1">
        <w:fldChar w:fldCharType="end"/>
      </w:r>
      <w:r w:rsidRPr="00DF3DD1">
        <w:rPr>
          <w:lang w:val="fr-CH"/>
        </w:rPr>
        <w:tab/>
      </w:r>
      <w:r w:rsidR="00DF3DD1" w:rsidRPr="00DF3DD1">
        <w:rPr>
          <w:lang w:val="fr-CH"/>
        </w:rPr>
        <w:t>Le CAJ est convenu de prier le WG</w:t>
      </w:r>
      <w:r w:rsidR="00945DBD">
        <w:rPr>
          <w:lang w:val="fr-CH"/>
        </w:rPr>
        <w:noBreakHyphen/>
      </w:r>
      <w:r w:rsidR="00DF3DD1" w:rsidRPr="00DF3DD1">
        <w:rPr>
          <w:lang w:val="fr-CH"/>
        </w:rPr>
        <w:t>EDV de proposer un calendrier pour ses travaux à sa première réunion, pour examen par</w:t>
      </w:r>
      <w:r w:rsidR="00875470" w:rsidRPr="00DF3DD1">
        <w:rPr>
          <w:lang w:val="fr-CH"/>
        </w:rPr>
        <w:t xml:space="preserve"> le</w:t>
      </w:r>
      <w:r w:rsidR="00875470">
        <w:rPr>
          <w:lang w:val="fr-CH"/>
        </w:rPr>
        <w:t> </w:t>
      </w:r>
      <w:r w:rsidR="00875470" w:rsidRPr="00DF3DD1">
        <w:rPr>
          <w:lang w:val="fr-CH"/>
        </w:rPr>
        <w:t>CAJ</w:t>
      </w:r>
      <w:r w:rsidR="00DF3DD1" w:rsidRPr="00DF3DD1">
        <w:rPr>
          <w:lang w:val="fr-CH"/>
        </w:rPr>
        <w:t xml:space="preserve"> à sa session</w:t>
      </w:r>
      <w:r w:rsidR="00DF3DD1">
        <w:rPr>
          <w:lang w:val="fr-CH"/>
        </w:rPr>
        <w:t> </w:t>
      </w:r>
      <w:r w:rsidR="00DF3DD1" w:rsidRPr="00DF3DD1">
        <w:rPr>
          <w:lang w:val="fr-CH"/>
        </w:rPr>
        <w:t>2021.</w:t>
      </w:r>
    </w:p>
    <w:p w:rsidR="00A4614B" w:rsidRPr="00DF3DD1" w:rsidRDefault="00A4614B" w:rsidP="004823C4">
      <w:pPr>
        <w:jc w:val="left"/>
        <w:rPr>
          <w:sz w:val="18"/>
          <w:lang w:val="fr-CH"/>
        </w:rPr>
      </w:pPr>
    </w:p>
    <w:p w:rsidR="00A4614B" w:rsidRPr="00DF3DD1" w:rsidRDefault="00A4614B" w:rsidP="004823C4">
      <w:pPr>
        <w:ind w:left="567" w:hanging="567"/>
        <w:jc w:val="left"/>
        <w:rPr>
          <w:sz w:val="18"/>
          <w:lang w:val="fr-CH"/>
        </w:rPr>
      </w:pPr>
    </w:p>
    <w:p w:rsidR="00A4614B" w:rsidRPr="00DF3DD1" w:rsidRDefault="00A4614B" w:rsidP="004823C4">
      <w:pPr>
        <w:ind w:left="567" w:hanging="567"/>
        <w:jc w:val="left"/>
        <w:rPr>
          <w:sz w:val="18"/>
          <w:lang w:val="fr-CH"/>
        </w:rPr>
      </w:pPr>
    </w:p>
    <w:p w:rsidR="00F66643" w:rsidRPr="007145E5" w:rsidRDefault="00F66643" w:rsidP="007145E5">
      <w:pPr>
        <w:pStyle w:val="Heading1"/>
      </w:pPr>
      <w:bookmarkStart w:id="29" w:name="_Toc54097493"/>
      <w:bookmarkStart w:id="30" w:name="_Toc54097627"/>
      <w:bookmarkStart w:id="31" w:name="_Toc55924381"/>
      <w:bookmarkStart w:id="32" w:name="_Toc54026673"/>
      <w:bookmarkStart w:id="33" w:name="_Toc54090431"/>
      <w:r w:rsidRPr="007145E5">
        <w:t>Point 8 de l</w:t>
      </w:r>
      <w:r w:rsidR="000970A8" w:rsidRPr="007145E5">
        <w:t>’</w:t>
      </w:r>
      <w:r w:rsidRPr="007145E5">
        <w:t>ordre du jour</w:t>
      </w:r>
      <w:r w:rsidR="000970A8" w:rsidRPr="007145E5">
        <w:t> :</w:t>
      </w:r>
      <w:r w:rsidRPr="007145E5">
        <w:t xml:space="preserve"> Produit de la </w:t>
      </w:r>
      <w:r w:rsidR="007145E5" w:rsidRPr="007145E5">
        <w:t xml:space="preserve">récolte </w:t>
      </w:r>
      <w:r w:rsidRPr="007145E5">
        <w:t>(document CAJ/77/5)</w:t>
      </w:r>
      <w:bookmarkEnd w:id="29"/>
      <w:bookmarkEnd w:id="30"/>
      <w:bookmarkEnd w:id="31"/>
    </w:p>
    <w:p w:rsidR="00F66643" w:rsidRPr="00856A61" w:rsidRDefault="00F66643" w:rsidP="00F66643">
      <w:pPr>
        <w:keepNext/>
        <w:ind w:left="567" w:hanging="567"/>
        <w:jc w:val="left"/>
      </w:pPr>
    </w:p>
    <w:p w:rsidR="00F66643" w:rsidRPr="00856A61" w:rsidRDefault="00F66643" w:rsidP="00F66643">
      <w:pPr>
        <w:keepNext/>
        <w:ind w:left="567" w:hanging="567"/>
        <w:jc w:val="left"/>
        <w:rPr>
          <w:snapToGrid w:val="0"/>
        </w:rPr>
      </w:pPr>
      <w:r w:rsidRPr="00856A61">
        <w:fldChar w:fldCharType="begin"/>
      </w:r>
      <w:r w:rsidRPr="00856A61">
        <w:instrText xml:space="preserve"> AUTONUM  </w:instrText>
      </w:r>
      <w:r w:rsidRPr="00856A61">
        <w:fldChar w:fldCharType="end"/>
      </w:r>
      <w:r w:rsidRPr="00856A61">
        <w:tab/>
        <w:t>Le CAJ a examiné le document</w:t>
      </w:r>
      <w:r w:rsidRPr="00856A61">
        <w:rPr>
          <w:snapToGrid w:val="0"/>
        </w:rPr>
        <w:t xml:space="preserve"> CAJ/77/5.</w:t>
      </w:r>
    </w:p>
    <w:p w:rsidR="00F66643" w:rsidRPr="00856A61" w:rsidRDefault="00F66643" w:rsidP="00F66643">
      <w:pPr>
        <w:ind w:left="567" w:hanging="567"/>
      </w:pPr>
    </w:p>
    <w:p w:rsidR="00F66643" w:rsidRPr="00AD17A6" w:rsidRDefault="00F66643" w:rsidP="00F66643">
      <w:pPr>
        <w:keepNext/>
      </w:pPr>
      <w:r w:rsidRPr="00AD17A6">
        <w:fldChar w:fldCharType="begin"/>
      </w:r>
      <w:r w:rsidRPr="00AD17A6">
        <w:instrText xml:space="preserve"> AUTONUM  </w:instrText>
      </w:r>
      <w:r w:rsidRPr="00AD17A6">
        <w:fldChar w:fldCharType="end"/>
      </w:r>
      <w:r w:rsidRPr="00AD17A6">
        <w:tab/>
      </w:r>
      <w:r w:rsidRPr="00AD17A6">
        <w:rPr>
          <w:spacing w:val="-2"/>
        </w:rPr>
        <w:t>Le CAJ a pris note des informations et des propositions reçues en réponse à la circulaire</w:t>
      </w:r>
      <w:r w:rsidRPr="00AD17A6">
        <w:rPr>
          <w:snapToGrid w:val="0"/>
          <w:spacing w:val="-2"/>
        </w:rPr>
        <w:t> E</w:t>
      </w:r>
      <w:r w:rsidR="00945DBD" w:rsidRPr="00AD17A6">
        <w:rPr>
          <w:snapToGrid w:val="0"/>
          <w:spacing w:val="-2"/>
        </w:rPr>
        <w:noBreakHyphen/>
      </w:r>
      <w:r w:rsidRPr="00AD17A6">
        <w:rPr>
          <w:snapToGrid w:val="0"/>
          <w:spacing w:val="-2"/>
        </w:rPr>
        <w:t>19/232 de l</w:t>
      </w:r>
      <w:r w:rsidR="000970A8" w:rsidRPr="00AD17A6">
        <w:rPr>
          <w:snapToGrid w:val="0"/>
          <w:spacing w:val="-2"/>
        </w:rPr>
        <w:t>’</w:t>
      </w:r>
      <w:r w:rsidRPr="00AD17A6">
        <w:rPr>
          <w:snapToGrid w:val="0"/>
          <w:spacing w:val="-2"/>
        </w:rPr>
        <w:t>UPOV, telles qu</w:t>
      </w:r>
      <w:r w:rsidR="000970A8" w:rsidRPr="00AD17A6">
        <w:rPr>
          <w:snapToGrid w:val="0"/>
          <w:spacing w:val="-2"/>
        </w:rPr>
        <w:t>’</w:t>
      </w:r>
      <w:r w:rsidRPr="00AD17A6">
        <w:rPr>
          <w:snapToGrid w:val="0"/>
          <w:spacing w:val="-2"/>
        </w:rPr>
        <w:t>elles figurent dans les annexes I à III du document CAJ/77/5.</w:t>
      </w:r>
    </w:p>
    <w:p w:rsidR="00F66643" w:rsidRPr="00AD17A6" w:rsidRDefault="00F66643" w:rsidP="00F66643"/>
    <w:p w:rsidR="00F66643" w:rsidRPr="00856A61" w:rsidRDefault="00F66643" w:rsidP="00F66643">
      <w:pPr>
        <w:keepNext/>
        <w:keepLines/>
        <w:rPr>
          <w:snapToGrid w:val="0"/>
          <w:spacing w:val="-2"/>
        </w:rPr>
      </w:pPr>
      <w:r w:rsidRPr="00AD17A6">
        <w:fldChar w:fldCharType="begin"/>
      </w:r>
      <w:r w:rsidRPr="00AD17A6">
        <w:instrText xml:space="preserve"> AUTONUM  </w:instrText>
      </w:r>
      <w:r w:rsidRPr="00AD17A6">
        <w:fldChar w:fldCharType="end"/>
      </w:r>
      <w:r w:rsidRPr="00AD17A6">
        <w:tab/>
        <w:t>Le CAJ est convenu d</w:t>
      </w:r>
      <w:r w:rsidR="000970A8" w:rsidRPr="00AD17A6">
        <w:t>’</w:t>
      </w:r>
      <w:r w:rsidRPr="00AD17A6">
        <w:t>inviter le Bureau de l</w:t>
      </w:r>
      <w:r w:rsidR="000970A8" w:rsidRPr="00AD17A6">
        <w:t>’</w:t>
      </w:r>
      <w:r w:rsidRPr="00AD17A6">
        <w:t>Union à consulter les membres de l</w:t>
      </w:r>
      <w:r w:rsidR="000970A8" w:rsidRPr="00AD17A6">
        <w:t>’</w:t>
      </w:r>
      <w:r w:rsidRPr="00AD17A6">
        <w:t xml:space="preserve">Union qui ont fourni des informations et des propositions en réponse à la </w:t>
      </w:r>
      <w:r w:rsidRPr="00AD17A6">
        <w:rPr>
          <w:spacing w:val="-2"/>
        </w:rPr>
        <w:t>circulaire</w:t>
      </w:r>
      <w:r w:rsidRPr="00AD17A6">
        <w:rPr>
          <w:snapToGrid w:val="0"/>
          <w:spacing w:val="-2"/>
        </w:rPr>
        <w:t> E</w:t>
      </w:r>
      <w:r w:rsidR="00945DBD" w:rsidRPr="00AD17A6">
        <w:rPr>
          <w:snapToGrid w:val="0"/>
          <w:spacing w:val="-2"/>
        </w:rPr>
        <w:noBreakHyphen/>
      </w:r>
      <w:r w:rsidRPr="00AD17A6">
        <w:rPr>
          <w:snapToGrid w:val="0"/>
          <w:spacing w:val="-2"/>
        </w:rPr>
        <w:t>19/232, afin d</w:t>
      </w:r>
      <w:r w:rsidR="000970A8" w:rsidRPr="00AD17A6">
        <w:rPr>
          <w:snapToGrid w:val="0"/>
          <w:spacing w:val="-2"/>
        </w:rPr>
        <w:t>’</w:t>
      </w:r>
      <w:r w:rsidRPr="00AD17A6">
        <w:rPr>
          <w:snapToGrid w:val="0"/>
          <w:spacing w:val="-2"/>
        </w:rPr>
        <w:t>étudier les utilisations possibles de l</w:t>
      </w:r>
      <w:r w:rsidR="000970A8" w:rsidRPr="00AD17A6">
        <w:rPr>
          <w:snapToGrid w:val="0"/>
          <w:spacing w:val="-2"/>
        </w:rPr>
        <w:t>’</w:t>
      </w:r>
      <w:r w:rsidRPr="00AD17A6">
        <w:rPr>
          <w:snapToGrid w:val="0"/>
          <w:spacing w:val="-2"/>
        </w:rPr>
        <w:t>expression “utilisation non autorisée de matériel de reproduction ou de multiplication”, notamment en rapport avec les</w:t>
      </w:r>
      <w:r w:rsidRPr="00856A61">
        <w:rPr>
          <w:snapToGrid w:val="0"/>
          <w:spacing w:val="-2"/>
        </w:rPr>
        <w:t xml:space="preserve"> arbres, à l</w:t>
      </w:r>
      <w:r w:rsidR="000970A8">
        <w:rPr>
          <w:snapToGrid w:val="0"/>
          <w:spacing w:val="-2"/>
        </w:rPr>
        <w:t>’</w:t>
      </w:r>
      <w:r w:rsidRPr="00856A61">
        <w:rPr>
          <w:snapToGrid w:val="0"/>
          <w:spacing w:val="-2"/>
        </w:rPr>
        <w:t>article</w:t>
      </w:r>
      <w:r>
        <w:rPr>
          <w:snapToGrid w:val="0"/>
          <w:spacing w:val="-2"/>
        </w:rPr>
        <w:t> </w:t>
      </w:r>
      <w:r w:rsidRPr="00856A61">
        <w:rPr>
          <w:snapToGrid w:val="0"/>
          <w:spacing w:val="-2"/>
        </w:rPr>
        <w:t>14.2) de l</w:t>
      </w:r>
      <w:r w:rsidR="000970A8">
        <w:rPr>
          <w:snapToGrid w:val="0"/>
          <w:spacing w:val="-2"/>
        </w:rPr>
        <w:t>’</w:t>
      </w:r>
      <w:r w:rsidRPr="00856A61">
        <w:rPr>
          <w:snapToGrid w:val="0"/>
          <w:spacing w:val="-2"/>
        </w:rPr>
        <w:t>Acte de</w:t>
      </w:r>
      <w:r>
        <w:rPr>
          <w:snapToGrid w:val="0"/>
          <w:spacing w:val="-2"/>
        </w:rPr>
        <w:t> </w:t>
      </w:r>
      <w:r w:rsidRPr="00856A61">
        <w:rPr>
          <w:snapToGrid w:val="0"/>
          <w:spacing w:val="-2"/>
        </w:rPr>
        <w:t xml:space="preserve">1991 de la </w:t>
      </w:r>
      <w:r w:rsidR="000970A8">
        <w:rPr>
          <w:snapToGrid w:val="0"/>
          <w:spacing w:val="-2"/>
        </w:rPr>
        <w:t>Convention UPOV</w:t>
      </w:r>
      <w:r w:rsidRPr="00856A61">
        <w:rPr>
          <w:snapToGrid w:val="0"/>
          <w:spacing w:val="-2"/>
        </w:rPr>
        <w:t>, en vue de présenter une proposition pour examen par le</w:t>
      </w:r>
      <w:r>
        <w:rPr>
          <w:snapToGrid w:val="0"/>
          <w:spacing w:val="-2"/>
        </w:rPr>
        <w:t> </w:t>
      </w:r>
      <w:r w:rsidRPr="00856A61">
        <w:rPr>
          <w:snapToGrid w:val="0"/>
          <w:spacing w:val="-2"/>
        </w:rPr>
        <w:t>CAJ à sa soixante</w:t>
      </w:r>
      <w:r w:rsidR="00945DBD">
        <w:rPr>
          <w:snapToGrid w:val="0"/>
          <w:spacing w:val="-2"/>
        </w:rPr>
        <w:noBreakHyphen/>
      </w:r>
      <w:r w:rsidRPr="00856A61">
        <w:rPr>
          <w:snapToGrid w:val="0"/>
          <w:spacing w:val="-2"/>
        </w:rPr>
        <w:t>dix</w:t>
      </w:r>
      <w:r w:rsidR="00945DBD">
        <w:rPr>
          <w:snapToGrid w:val="0"/>
          <w:spacing w:val="-2"/>
        </w:rPr>
        <w:noBreakHyphen/>
      </w:r>
      <w:r w:rsidRPr="00856A61">
        <w:rPr>
          <w:snapToGrid w:val="0"/>
          <w:spacing w:val="-2"/>
        </w:rPr>
        <w:t>huit</w:t>
      </w:r>
      <w:r w:rsidR="000970A8">
        <w:rPr>
          <w:snapToGrid w:val="0"/>
          <w:spacing w:val="-2"/>
        </w:rPr>
        <w:t>ième session</w:t>
      </w:r>
      <w:r w:rsidRPr="00856A61">
        <w:rPr>
          <w:snapToGrid w:val="0"/>
          <w:spacing w:val="-2"/>
        </w:rPr>
        <w:t>.</w:t>
      </w:r>
    </w:p>
    <w:p w:rsidR="00F66643" w:rsidRPr="00856A61" w:rsidRDefault="00F66643" w:rsidP="00F66643">
      <w:pPr>
        <w:jc w:val="left"/>
        <w:rPr>
          <w:sz w:val="18"/>
        </w:rPr>
      </w:pPr>
    </w:p>
    <w:p w:rsidR="00F66643" w:rsidRPr="00856A61" w:rsidRDefault="00F66643" w:rsidP="00F66643">
      <w:pPr>
        <w:rPr>
          <w:snapToGrid w:val="0"/>
          <w:sz w:val="18"/>
        </w:rPr>
      </w:pPr>
    </w:p>
    <w:p w:rsidR="00F66643" w:rsidRPr="00BD62F0" w:rsidRDefault="003A768F" w:rsidP="003A768F">
      <w:pPr>
        <w:pStyle w:val="Heading2"/>
        <w:rPr>
          <w:lang w:val="fr-CH"/>
        </w:rPr>
      </w:pPr>
      <w:bookmarkStart w:id="34" w:name="_Toc55924382"/>
      <w:r w:rsidRPr="00BD62F0">
        <w:rPr>
          <w:lang w:val="fr-CH"/>
        </w:rPr>
        <w:t>Propositions concernant les prochaines étapes</w:t>
      </w:r>
      <w:bookmarkEnd w:id="34"/>
    </w:p>
    <w:p w:rsidR="003A768F" w:rsidRPr="00856A61" w:rsidRDefault="003A768F" w:rsidP="00F66643"/>
    <w:p w:rsidR="00F66643" w:rsidRPr="00856A61" w:rsidRDefault="00F66643" w:rsidP="00F66643">
      <w:pPr>
        <w:rPr>
          <w:i/>
        </w:rPr>
      </w:pPr>
      <w:r w:rsidRPr="00856A61">
        <w:rPr>
          <w:i/>
        </w:rPr>
        <w:t>Japon</w:t>
      </w:r>
    </w:p>
    <w:p w:rsidR="00F66643" w:rsidRPr="00856A61" w:rsidRDefault="00F66643" w:rsidP="00F66643">
      <w:pPr>
        <w:rPr>
          <w:i/>
        </w:rPr>
      </w:pPr>
    </w:p>
    <w:p w:rsidR="00F66643" w:rsidRPr="00856A61" w:rsidRDefault="00F66643" w:rsidP="00F66643">
      <w:r w:rsidRPr="00856A61">
        <w:fldChar w:fldCharType="begin"/>
      </w:r>
      <w:r w:rsidRPr="00856A61">
        <w:instrText xml:space="preserve"> AUTONUM  </w:instrText>
      </w:r>
      <w:r w:rsidRPr="00856A61">
        <w:fldChar w:fldCharType="end"/>
      </w:r>
      <w:r w:rsidRPr="00856A61">
        <w:tab/>
        <w:t xml:space="preserve">En réponse à la </w:t>
      </w:r>
      <w:r w:rsidRPr="00856A61">
        <w:rPr>
          <w:spacing w:val="-2"/>
        </w:rPr>
        <w:t>circulaire</w:t>
      </w:r>
      <w:r>
        <w:rPr>
          <w:snapToGrid w:val="0"/>
          <w:spacing w:val="-2"/>
        </w:rPr>
        <w:t> </w:t>
      </w:r>
      <w:r w:rsidRPr="00856A61">
        <w:t>E</w:t>
      </w:r>
      <w:r w:rsidR="00945DBD">
        <w:noBreakHyphen/>
      </w:r>
      <w:r w:rsidRPr="00856A61">
        <w:t>20/120 du 21</w:t>
      </w:r>
      <w:r>
        <w:t> </w:t>
      </w:r>
      <w:r w:rsidRPr="00856A61">
        <w:t>août</w:t>
      </w:r>
      <w:r>
        <w:t> </w:t>
      </w:r>
      <w:r w:rsidRPr="00856A61">
        <w:t>2020, la délégation du Japon s</w:t>
      </w:r>
      <w:r w:rsidR="000970A8">
        <w:t>’</w:t>
      </w:r>
      <w:r w:rsidRPr="00856A61">
        <w:t>est déclarée favorable aux décisions qui figurent dans le document CAJ/77/5 et a déclaré qu</w:t>
      </w:r>
      <w:r w:rsidR="000970A8">
        <w:t>’</w:t>
      </w:r>
      <w:r w:rsidRPr="00856A61">
        <w:t>elle “serait favorable à l</w:t>
      </w:r>
      <w:r w:rsidR="000970A8">
        <w:t>’</w:t>
      </w:r>
      <w:r w:rsidRPr="00856A61">
        <w:t>organisation, en</w:t>
      </w:r>
      <w:r>
        <w:t> </w:t>
      </w:r>
      <w:r w:rsidRPr="00856A61">
        <w:t>2021, d</w:t>
      </w:r>
      <w:r w:rsidR="000970A8">
        <w:t>’</w:t>
      </w:r>
      <w:r w:rsidRPr="00856A61">
        <w:t>un séminaire de l</w:t>
      </w:r>
      <w:r w:rsidR="000970A8">
        <w:t>’</w:t>
      </w:r>
      <w:r w:rsidRPr="00856A61">
        <w:t>Union relatif au produit de la récolte en vue d</w:t>
      </w:r>
      <w:r w:rsidR="000970A8">
        <w:t>’</w:t>
      </w:r>
      <w:r w:rsidRPr="00856A61">
        <w:t>échanger des informations sur ce sujet”.</w:t>
      </w:r>
    </w:p>
    <w:p w:rsidR="00F66643" w:rsidRPr="00856A61" w:rsidRDefault="00F66643" w:rsidP="00F66643"/>
    <w:p w:rsidR="00F66643" w:rsidRPr="00856A61" w:rsidRDefault="00F66643" w:rsidP="00F66643">
      <w:pPr>
        <w:rPr>
          <w:sz w:val="18"/>
        </w:rPr>
      </w:pPr>
    </w:p>
    <w:p w:rsidR="00F66643" w:rsidRPr="00856A61" w:rsidRDefault="00F66643" w:rsidP="00F66643">
      <w:pPr>
        <w:pStyle w:val="Heading3"/>
        <w:rPr>
          <w:lang w:val="fr-FR"/>
        </w:rPr>
      </w:pPr>
      <w:bookmarkStart w:id="35" w:name="_Toc55924383"/>
      <w:r w:rsidRPr="00856A61">
        <w:rPr>
          <w:lang w:val="fr-FR"/>
        </w:rPr>
        <w:t>Euroseeds</w:t>
      </w:r>
      <w:bookmarkEnd w:id="35"/>
    </w:p>
    <w:p w:rsidR="00F66643" w:rsidRPr="00856A61" w:rsidRDefault="00F66643" w:rsidP="00F66643">
      <w:pPr>
        <w:keepNext/>
      </w:pPr>
    </w:p>
    <w:p w:rsidR="00F66643" w:rsidRPr="00856A61" w:rsidRDefault="00F66643" w:rsidP="00F66643">
      <w:pPr>
        <w:keepNext/>
      </w:pPr>
      <w:r w:rsidRPr="00856A61">
        <w:fldChar w:fldCharType="begin"/>
      </w:r>
      <w:r w:rsidRPr="00856A61">
        <w:instrText xml:space="preserve"> AUTONUM  </w:instrText>
      </w:r>
      <w:r w:rsidRPr="00856A61">
        <w:fldChar w:fldCharType="end"/>
      </w:r>
      <w:r w:rsidRPr="00856A61">
        <w:tab/>
        <w:t xml:space="preserve">En réponse à la </w:t>
      </w:r>
      <w:r w:rsidRPr="00856A61">
        <w:rPr>
          <w:spacing w:val="-2"/>
        </w:rPr>
        <w:t>circulaire</w:t>
      </w:r>
      <w:r>
        <w:rPr>
          <w:snapToGrid w:val="0"/>
          <w:spacing w:val="-2"/>
        </w:rPr>
        <w:t> </w:t>
      </w:r>
      <w:r w:rsidRPr="00856A61">
        <w:t>E</w:t>
      </w:r>
      <w:r w:rsidR="00945DBD">
        <w:noBreakHyphen/>
      </w:r>
      <w:r w:rsidRPr="00856A61">
        <w:t>20/120 du 21</w:t>
      </w:r>
      <w:r>
        <w:t> </w:t>
      </w:r>
      <w:r w:rsidRPr="00856A61">
        <w:t>août</w:t>
      </w:r>
      <w:r>
        <w:t> </w:t>
      </w:r>
      <w:r w:rsidRPr="00856A61">
        <w:t xml:space="preserve">2020, </w:t>
      </w:r>
      <w:proofErr w:type="spellStart"/>
      <w:r w:rsidRPr="00700B2A">
        <w:rPr>
          <w:i/>
        </w:rPr>
        <w:t>Euroseeds</w:t>
      </w:r>
      <w:proofErr w:type="spellEnd"/>
      <w:r w:rsidRPr="00856A61">
        <w:t xml:space="preserve"> a fait part des observations suivantes, concernant le </w:t>
      </w:r>
      <w:r w:rsidRPr="00856A61">
        <w:rPr>
          <w:snapToGrid w:val="0"/>
        </w:rPr>
        <w:t>document CAJ/77/5</w:t>
      </w:r>
      <w:r w:rsidR="000970A8">
        <w:rPr>
          <w:snapToGrid w:val="0"/>
        </w:rPr>
        <w:t> :</w:t>
      </w:r>
    </w:p>
    <w:p w:rsidR="00F66643" w:rsidRPr="00856A61" w:rsidRDefault="00F66643" w:rsidP="00F66643">
      <w:pPr>
        <w:keepNext/>
        <w:rPr>
          <w:sz w:val="22"/>
        </w:rPr>
      </w:pPr>
    </w:p>
    <w:p w:rsidR="00F66643" w:rsidRPr="00856A61" w:rsidRDefault="00F66643" w:rsidP="00F66643">
      <w:pPr>
        <w:pStyle w:val="TableParagraph"/>
        <w:ind w:left="567" w:right="567"/>
        <w:jc w:val="both"/>
        <w:rPr>
          <w:rFonts w:ascii="Arial" w:hAnsi="Arial" w:cs="Arial"/>
          <w:sz w:val="18"/>
          <w:szCs w:val="18"/>
          <w:lang w:val="fr-FR" w:eastAsia="zh-CN"/>
        </w:rPr>
      </w:pPr>
      <w:r w:rsidRPr="00856A61">
        <w:rPr>
          <w:rFonts w:ascii="Arial" w:hAnsi="Arial" w:cs="Arial"/>
          <w:sz w:val="18"/>
          <w:szCs w:val="18"/>
          <w:lang w:val="fr-FR" w:eastAsia="zh-CN"/>
        </w:rPr>
        <w:t>“Nous avons observé qu</w:t>
      </w:r>
      <w:r w:rsidR="000970A8">
        <w:rPr>
          <w:rFonts w:ascii="Arial" w:hAnsi="Arial" w:cs="Arial"/>
          <w:sz w:val="18"/>
          <w:szCs w:val="18"/>
          <w:lang w:val="fr-FR" w:eastAsia="zh-CN"/>
        </w:rPr>
        <w:t>’</w:t>
      </w:r>
      <w:r w:rsidRPr="00856A61">
        <w:rPr>
          <w:rFonts w:ascii="Arial" w:hAnsi="Arial" w:cs="Arial"/>
          <w:sz w:val="18"/>
          <w:szCs w:val="18"/>
          <w:lang w:val="fr-FR" w:eastAsia="zh-CN"/>
        </w:rPr>
        <w:t>il est proposé, à ce sujet, de présenter une proposition pour examen par le</w:t>
      </w:r>
      <w:r>
        <w:rPr>
          <w:rFonts w:ascii="Arial" w:hAnsi="Arial" w:cs="Arial"/>
          <w:sz w:val="18"/>
          <w:szCs w:val="18"/>
          <w:lang w:val="fr-FR" w:eastAsia="zh-CN"/>
        </w:rPr>
        <w:t> </w:t>
      </w:r>
      <w:r w:rsidRPr="00856A61">
        <w:rPr>
          <w:rFonts w:ascii="Arial" w:hAnsi="Arial" w:cs="Arial"/>
          <w:sz w:val="18"/>
          <w:szCs w:val="18"/>
          <w:lang w:val="fr-FR" w:eastAsia="zh-CN"/>
        </w:rPr>
        <w:t>CAJ à sa prochaine session, avec l</w:t>
      </w:r>
      <w:r w:rsidR="000970A8">
        <w:rPr>
          <w:rFonts w:ascii="Arial" w:hAnsi="Arial" w:cs="Arial"/>
          <w:sz w:val="18"/>
          <w:szCs w:val="18"/>
          <w:lang w:val="fr-FR" w:eastAsia="zh-CN"/>
        </w:rPr>
        <w:t>’</w:t>
      </w:r>
      <w:r w:rsidRPr="00856A61">
        <w:rPr>
          <w:rFonts w:ascii="Arial" w:hAnsi="Arial" w:cs="Arial"/>
          <w:sz w:val="18"/>
          <w:szCs w:val="18"/>
          <w:lang w:val="fr-FR" w:eastAsia="zh-CN"/>
        </w:rPr>
        <w:t>intention de rechercher dans l</w:t>
      </w:r>
      <w:r w:rsidR="000970A8">
        <w:rPr>
          <w:rFonts w:ascii="Arial" w:hAnsi="Arial" w:cs="Arial"/>
          <w:sz w:val="18"/>
          <w:szCs w:val="18"/>
          <w:lang w:val="fr-FR" w:eastAsia="zh-CN"/>
        </w:rPr>
        <w:t>’</w:t>
      </w:r>
      <w:r w:rsidRPr="00856A61">
        <w:rPr>
          <w:rFonts w:ascii="Arial" w:hAnsi="Arial" w:cs="Arial"/>
          <w:sz w:val="18"/>
          <w:szCs w:val="18"/>
          <w:lang w:val="fr-FR" w:eastAsia="zh-CN"/>
        </w:rPr>
        <w:t>intervalle la meilleure manière de donner des orientations sur la notion d</w:t>
      </w:r>
      <w:r w:rsidR="000970A8">
        <w:rPr>
          <w:rFonts w:ascii="Arial" w:hAnsi="Arial" w:cs="Arial"/>
          <w:sz w:val="18"/>
          <w:szCs w:val="18"/>
          <w:lang w:val="fr-FR" w:eastAsia="zh-CN"/>
        </w:rPr>
        <w:t>’</w:t>
      </w:r>
      <w:r>
        <w:rPr>
          <w:rFonts w:ascii="Arial" w:hAnsi="Arial" w:cs="Arial"/>
          <w:sz w:val="18"/>
          <w:szCs w:val="18"/>
          <w:lang w:val="fr-FR" w:eastAsia="zh-CN"/>
        </w:rPr>
        <w:t>“</w:t>
      </w:r>
      <w:r w:rsidRPr="00856A61">
        <w:rPr>
          <w:rFonts w:ascii="Arial" w:hAnsi="Arial" w:cs="Arial"/>
          <w:sz w:val="18"/>
          <w:szCs w:val="18"/>
          <w:lang w:val="fr-FR" w:eastAsia="zh-CN"/>
        </w:rPr>
        <w:t>utilisation non autorisée de matériel de reproduction ou de multiplication</w:t>
      </w:r>
      <w:r>
        <w:rPr>
          <w:rFonts w:ascii="Arial" w:hAnsi="Arial" w:cs="Arial"/>
          <w:sz w:val="18"/>
          <w:szCs w:val="18"/>
          <w:lang w:val="fr-FR" w:eastAsia="zh-CN"/>
        </w:rPr>
        <w:t>”</w:t>
      </w:r>
      <w:r w:rsidRPr="00856A61">
        <w:rPr>
          <w:rFonts w:ascii="Arial" w:hAnsi="Arial" w:cs="Arial"/>
          <w:sz w:val="18"/>
          <w:szCs w:val="18"/>
          <w:lang w:val="fr-FR" w:eastAsia="zh-CN"/>
        </w:rPr>
        <w:t xml:space="preserve">. </w:t>
      </w:r>
      <w:r>
        <w:rPr>
          <w:rFonts w:ascii="Arial" w:hAnsi="Arial" w:cs="Arial"/>
          <w:sz w:val="18"/>
          <w:szCs w:val="18"/>
          <w:lang w:val="fr-FR" w:eastAsia="zh-CN"/>
        </w:rPr>
        <w:t xml:space="preserve"> </w:t>
      </w:r>
      <w:proofErr w:type="spellStart"/>
      <w:r w:rsidRPr="00700B2A">
        <w:rPr>
          <w:rFonts w:ascii="Arial" w:hAnsi="Arial" w:cs="Arial"/>
          <w:i/>
          <w:sz w:val="18"/>
          <w:szCs w:val="18"/>
          <w:lang w:val="fr-FR" w:eastAsia="zh-CN"/>
        </w:rPr>
        <w:t>Euroseeds</w:t>
      </w:r>
      <w:proofErr w:type="spellEnd"/>
      <w:r w:rsidRPr="00856A61">
        <w:rPr>
          <w:rFonts w:ascii="Arial" w:hAnsi="Arial" w:cs="Arial"/>
          <w:sz w:val="18"/>
          <w:szCs w:val="18"/>
          <w:lang w:val="fr-FR" w:eastAsia="zh-CN"/>
        </w:rPr>
        <w:t xml:space="preserve"> approuve la procédure propos</w:t>
      </w:r>
      <w:r w:rsidR="00E402DE" w:rsidRPr="00856A61">
        <w:rPr>
          <w:rFonts w:ascii="Arial" w:hAnsi="Arial" w:cs="Arial"/>
          <w:sz w:val="18"/>
          <w:szCs w:val="18"/>
          <w:lang w:val="fr-FR" w:eastAsia="zh-CN"/>
        </w:rPr>
        <w:t>ée</w:t>
      </w:r>
      <w:r w:rsidR="00E402DE">
        <w:rPr>
          <w:rFonts w:ascii="Arial" w:hAnsi="Arial" w:cs="Arial"/>
          <w:sz w:val="18"/>
          <w:szCs w:val="18"/>
          <w:lang w:val="fr-FR" w:eastAsia="zh-CN"/>
        </w:rPr>
        <w:t xml:space="preserve">.  </w:t>
      </w:r>
      <w:r w:rsidR="00E402DE" w:rsidRPr="00856A61">
        <w:rPr>
          <w:rFonts w:ascii="Arial" w:hAnsi="Arial" w:cs="Arial"/>
          <w:sz w:val="18"/>
          <w:szCs w:val="18"/>
          <w:lang w:val="fr-FR" w:eastAsia="zh-CN"/>
        </w:rPr>
        <w:t>Ce</w:t>
      </w:r>
      <w:r w:rsidRPr="00856A61">
        <w:rPr>
          <w:rFonts w:ascii="Arial" w:hAnsi="Arial" w:cs="Arial"/>
          <w:sz w:val="18"/>
          <w:szCs w:val="18"/>
          <w:lang w:val="fr-FR" w:eastAsia="zh-CN"/>
        </w:rPr>
        <w:t xml:space="preserve">pendant, nous saisissons cette occasion </w:t>
      </w:r>
      <w:r>
        <w:rPr>
          <w:rFonts w:ascii="Arial" w:hAnsi="Arial" w:cs="Arial"/>
          <w:sz w:val="18"/>
          <w:szCs w:val="18"/>
          <w:lang w:val="fr-FR" w:eastAsia="zh-CN"/>
        </w:rPr>
        <w:t xml:space="preserve">pour </w:t>
      </w:r>
      <w:r w:rsidRPr="00856A61">
        <w:rPr>
          <w:rFonts w:ascii="Arial" w:hAnsi="Arial" w:cs="Arial"/>
          <w:sz w:val="18"/>
          <w:szCs w:val="18"/>
          <w:lang w:val="fr-FR" w:eastAsia="zh-CN"/>
        </w:rPr>
        <w:t>aborder certains éléments essentiels en lien avec la notion d</w:t>
      </w:r>
      <w:r w:rsidR="000970A8">
        <w:rPr>
          <w:rFonts w:ascii="Arial" w:hAnsi="Arial" w:cs="Arial"/>
          <w:sz w:val="18"/>
          <w:szCs w:val="18"/>
          <w:lang w:val="fr-FR" w:eastAsia="zh-CN"/>
        </w:rPr>
        <w:t>’</w:t>
      </w:r>
      <w:r>
        <w:rPr>
          <w:rFonts w:ascii="Arial" w:hAnsi="Arial" w:cs="Arial"/>
          <w:sz w:val="18"/>
          <w:szCs w:val="18"/>
          <w:lang w:val="fr-FR" w:eastAsia="zh-CN"/>
        </w:rPr>
        <w:t>“</w:t>
      </w:r>
      <w:r w:rsidRPr="00856A61">
        <w:rPr>
          <w:rFonts w:ascii="Arial" w:hAnsi="Arial" w:cs="Arial"/>
          <w:sz w:val="18"/>
          <w:szCs w:val="18"/>
          <w:lang w:val="fr-FR" w:eastAsia="zh-CN"/>
        </w:rPr>
        <w:t>utilisation non autorisée</w:t>
      </w:r>
      <w:r>
        <w:rPr>
          <w:rFonts w:ascii="Arial" w:hAnsi="Arial" w:cs="Arial"/>
          <w:sz w:val="18"/>
          <w:szCs w:val="18"/>
          <w:lang w:val="fr-FR" w:eastAsia="zh-CN"/>
        </w:rPr>
        <w:t>”</w:t>
      </w:r>
      <w:r w:rsidRPr="00856A61">
        <w:rPr>
          <w:rFonts w:ascii="Arial" w:hAnsi="Arial" w:cs="Arial"/>
          <w:sz w:val="18"/>
          <w:szCs w:val="18"/>
          <w:lang w:val="fr-FR" w:eastAsia="zh-CN"/>
        </w:rPr>
        <w:t xml:space="preserve">. </w:t>
      </w:r>
      <w:r>
        <w:rPr>
          <w:rFonts w:ascii="Arial" w:hAnsi="Arial" w:cs="Arial"/>
          <w:sz w:val="18"/>
          <w:szCs w:val="18"/>
          <w:lang w:val="fr-FR" w:eastAsia="zh-CN"/>
        </w:rPr>
        <w:t xml:space="preserve"> </w:t>
      </w:r>
      <w:proofErr w:type="spellStart"/>
      <w:r w:rsidRPr="00700B2A">
        <w:rPr>
          <w:rFonts w:ascii="Arial" w:hAnsi="Arial" w:cs="Arial"/>
          <w:i/>
          <w:sz w:val="18"/>
          <w:szCs w:val="18"/>
          <w:lang w:val="fr-FR" w:eastAsia="zh-CN"/>
        </w:rPr>
        <w:t>Euroseeds</w:t>
      </w:r>
      <w:proofErr w:type="spellEnd"/>
      <w:r w:rsidRPr="00856A61">
        <w:rPr>
          <w:rFonts w:ascii="Arial" w:hAnsi="Arial" w:cs="Arial"/>
          <w:sz w:val="18"/>
          <w:szCs w:val="18"/>
          <w:lang w:val="fr-FR" w:eastAsia="zh-CN"/>
        </w:rPr>
        <w:t xml:space="preserve"> estime que l</w:t>
      </w:r>
      <w:r w:rsidR="000970A8">
        <w:rPr>
          <w:rFonts w:ascii="Arial" w:hAnsi="Arial" w:cs="Arial"/>
          <w:sz w:val="18"/>
          <w:szCs w:val="18"/>
          <w:lang w:val="fr-FR" w:eastAsia="zh-CN"/>
        </w:rPr>
        <w:t>’</w:t>
      </w:r>
      <w:r>
        <w:rPr>
          <w:rFonts w:ascii="Arial" w:hAnsi="Arial" w:cs="Arial"/>
          <w:sz w:val="18"/>
          <w:szCs w:val="18"/>
          <w:lang w:val="fr-FR" w:eastAsia="zh-CN"/>
        </w:rPr>
        <w:t>“</w:t>
      </w:r>
      <w:r w:rsidRPr="00856A61">
        <w:rPr>
          <w:rFonts w:ascii="Arial" w:hAnsi="Arial" w:cs="Arial"/>
          <w:sz w:val="18"/>
          <w:szCs w:val="18"/>
          <w:lang w:val="fr-FR" w:eastAsia="zh-CN"/>
        </w:rPr>
        <w:t>utilisation non autorisée</w:t>
      </w:r>
      <w:r>
        <w:rPr>
          <w:rFonts w:ascii="Arial" w:hAnsi="Arial" w:cs="Arial"/>
          <w:sz w:val="18"/>
          <w:szCs w:val="18"/>
          <w:lang w:val="fr-FR" w:eastAsia="zh-CN"/>
        </w:rPr>
        <w:t>”</w:t>
      </w:r>
      <w:r w:rsidRPr="00856A61">
        <w:rPr>
          <w:rFonts w:ascii="Arial" w:hAnsi="Arial" w:cs="Arial"/>
          <w:sz w:val="18"/>
          <w:szCs w:val="18"/>
          <w:lang w:val="fr-FR" w:eastAsia="zh-CN"/>
        </w:rPr>
        <w:t xml:space="preserve"> ne fait pas seulement référence à l</w:t>
      </w:r>
      <w:r w:rsidR="000970A8">
        <w:rPr>
          <w:rFonts w:ascii="Arial" w:hAnsi="Arial" w:cs="Arial"/>
          <w:sz w:val="18"/>
          <w:szCs w:val="18"/>
          <w:lang w:val="fr-FR" w:eastAsia="zh-CN"/>
        </w:rPr>
        <w:t>’</w:t>
      </w:r>
      <w:r w:rsidRPr="00856A61">
        <w:rPr>
          <w:rFonts w:ascii="Arial" w:hAnsi="Arial" w:cs="Arial"/>
          <w:sz w:val="18"/>
          <w:szCs w:val="18"/>
          <w:lang w:val="fr-FR" w:eastAsia="zh-CN"/>
        </w:rPr>
        <w:t>utilisation sans le consentement du titulaire de droit d</w:t>
      </w:r>
      <w:r w:rsidR="000970A8">
        <w:rPr>
          <w:rFonts w:ascii="Arial" w:hAnsi="Arial" w:cs="Arial"/>
          <w:sz w:val="18"/>
          <w:szCs w:val="18"/>
          <w:lang w:val="fr-FR" w:eastAsia="zh-CN"/>
        </w:rPr>
        <w:t>’</w:t>
      </w:r>
      <w:r w:rsidRPr="00856A61">
        <w:rPr>
          <w:rFonts w:ascii="Arial" w:hAnsi="Arial" w:cs="Arial"/>
          <w:sz w:val="18"/>
          <w:szCs w:val="18"/>
          <w:lang w:val="fr-FR" w:eastAsia="zh-CN"/>
        </w:rPr>
        <w:t>obtenteur (en l</w:t>
      </w:r>
      <w:r w:rsidR="000970A8">
        <w:rPr>
          <w:rFonts w:ascii="Arial" w:hAnsi="Arial" w:cs="Arial"/>
          <w:sz w:val="18"/>
          <w:szCs w:val="18"/>
          <w:lang w:val="fr-FR" w:eastAsia="zh-CN"/>
        </w:rPr>
        <w:t>’</w:t>
      </w:r>
      <w:r w:rsidRPr="00856A61">
        <w:rPr>
          <w:rFonts w:ascii="Arial" w:hAnsi="Arial" w:cs="Arial"/>
          <w:sz w:val="18"/>
          <w:szCs w:val="18"/>
          <w:lang w:val="fr-FR" w:eastAsia="zh-CN"/>
        </w:rPr>
        <w:t>occurrence pour les actes dont la liste figure dans l</w:t>
      </w:r>
      <w:r w:rsidR="000970A8">
        <w:rPr>
          <w:rFonts w:ascii="Arial" w:hAnsi="Arial" w:cs="Arial"/>
          <w:sz w:val="18"/>
          <w:szCs w:val="18"/>
          <w:lang w:val="fr-FR" w:eastAsia="zh-CN"/>
        </w:rPr>
        <w:t>’</w:t>
      </w:r>
      <w:r w:rsidRPr="00856A61">
        <w:rPr>
          <w:rFonts w:ascii="Arial" w:hAnsi="Arial" w:cs="Arial"/>
          <w:sz w:val="18"/>
          <w:szCs w:val="18"/>
          <w:lang w:val="fr-FR" w:eastAsia="zh-CN"/>
        </w:rPr>
        <w:t>article</w:t>
      </w:r>
      <w:r>
        <w:rPr>
          <w:rFonts w:ascii="Arial" w:hAnsi="Arial" w:cs="Arial"/>
          <w:sz w:val="18"/>
          <w:szCs w:val="18"/>
          <w:lang w:val="fr-FR" w:eastAsia="zh-CN"/>
        </w:rPr>
        <w:t> </w:t>
      </w:r>
      <w:r w:rsidRPr="00856A61">
        <w:rPr>
          <w:rFonts w:ascii="Arial" w:hAnsi="Arial" w:cs="Arial"/>
          <w:sz w:val="18"/>
          <w:szCs w:val="18"/>
          <w:lang w:val="fr-FR" w:eastAsia="zh-CN"/>
        </w:rPr>
        <w:t>14.1) a) de l</w:t>
      </w:r>
      <w:r w:rsidR="000970A8">
        <w:rPr>
          <w:rFonts w:ascii="Arial" w:hAnsi="Arial" w:cs="Arial"/>
          <w:sz w:val="18"/>
          <w:szCs w:val="18"/>
          <w:lang w:val="fr-FR" w:eastAsia="zh-CN"/>
        </w:rPr>
        <w:t>’</w:t>
      </w:r>
      <w:r w:rsidRPr="00856A61">
        <w:rPr>
          <w:rFonts w:ascii="Arial" w:hAnsi="Arial" w:cs="Arial"/>
          <w:sz w:val="18"/>
          <w:szCs w:val="18"/>
          <w:lang w:val="fr-FR" w:eastAsia="zh-CN"/>
        </w:rPr>
        <w:t>Acte de</w:t>
      </w:r>
      <w:r>
        <w:rPr>
          <w:rFonts w:ascii="Arial" w:hAnsi="Arial" w:cs="Arial"/>
          <w:sz w:val="18"/>
          <w:szCs w:val="18"/>
          <w:lang w:val="fr-FR" w:eastAsia="zh-CN"/>
        </w:rPr>
        <w:t> </w:t>
      </w:r>
      <w:r w:rsidRPr="00856A61">
        <w:rPr>
          <w:rFonts w:ascii="Arial" w:hAnsi="Arial" w:cs="Arial"/>
          <w:sz w:val="18"/>
          <w:szCs w:val="18"/>
          <w:lang w:val="fr-FR" w:eastAsia="zh-CN"/>
        </w:rPr>
        <w:t xml:space="preserve">1991 de la </w:t>
      </w:r>
      <w:r w:rsidR="000970A8">
        <w:rPr>
          <w:rFonts w:ascii="Arial" w:hAnsi="Arial" w:cs="Arial"/>
          <w:sz w:val="18"/>
          <w:szCs w:val="18"/>
          <w:lang w:val="fr-FR" w:eastAsia="zh-CN"/>
        </w:rPr>
        <w:t>Convention UPOV</w:t>
      </w:r>
      <w:r w:rsidRPr="00856A61">
        <w:rPr>
          <w:rFonts w:ascii="Arial" w:hAnsi="Arial" w:cs="Arial"/>
          <w:sz w:val="18"/>
          <w:szCs w:val="18"/>
          <w:lang w:val="fr-FR" w:eastAsia="zh-CN"/>
        </w:rPr>
        <w:t>), mais aussi à toute autre utilisation non autorisée, par exemple le non</w:t>
      </w:r>
      <w:r w:rsidR="00945DBD">
        <w:rPr>
          <w:rFonts w:ascii="Arial" w:hAnsi="Arial" w:cs="Arial"/>
          <w:sz w:val="18"/>
          <w:szCs w:val="18"/>
          <w:lang w:val="fr-FR" w:eastAsia="zh-CN"/>
        </w:rPr>
        <w:noBreakHyphen/>
      </w:r>
      <w:r w:rsidRPr="00856A61">
        <w:rPr>
          <w:rFonts w:ascii="Arial" w:hAnsi="Arial" w:cs="Arial"/>
          <w:sz w:val="18"/>
          <w:szCs w:val="18"/>
          <w:lang w:val="fr-FR" w:eastAsia="zh-CN"/>
        </w:rPr>
        <w:t>respect d</w:t>
      </w:r>
      <w:r w:rsidR="000970A8">
        <w:rPr>
          <w:rFonts w:ascii="Arial" w:hAnsi="Arial" w:cs="Arial"/>
          <w:sz w:val="18"/>
          <w:szCs w:val="18"/>
          <w:lang w:val="fr-FR" w:eastAsia="zh-CN"/>
        </w:rPr>
        <w:t>’</w:t>
      </w:r>
      <w:r w:rsidRPr="00856A61">
        <w:rPr>
          <w:rFonts w:ascii="Arial" w:hAnsi="Arial" w:cs="Arial"/>
          <w:sz w:val="18"/>
          <w:szCs w:val="18"/>
          <w:lang w:val="fr-FR" w:eastAsia="zh-CN"/>
        </w:rPr>
        <w:t>un contr</w:t>
      </w:r>
      <w:r w:rsidR="00E402DE" w:rsidRPr="00856A61">
        <w:rPr>
          <w:rFonts w:ascii="Arial" w:hAnsi="Arial" w:cs="Arial"/>
          <w:sz w:val="18"/>
          <w:szCs w:val="18"/>
          <w:lang w:val="fr-FR" w:eastAsia="zh-CN"/>
        </w:rPr>
        <w:t>at</w:t>
      </w:r>
      <w:r w:rsidR="00E402DE">
        <w:rPr>
          <w:rFonts w:ascii="Arial" w:hAnsi="Arial" w:cs="Arial"/>
          <w:sz w:val="18"/>
          <w:szCs w:val="18"/>
          <w:lang w:val="fr-FR" w:eastAsia="zh-CN"/>
        </w:rPr>
        <w:t xml:space="preserve">.  </w:t>
      </w:r>
      <w:r w:rsidR="00E402DE" w:rsidRPr="00856A61">
        <w:rPr>
          <w:rFonts w:ascii="Arial" w:hAnsi="Arial" w:cs="Arial"/>
          <w:sz w:val="18"/>
          <w:szCs w:val="18"/>
          <w:lang w:val="fr-FR" w:eastAsia="zh-CN"/>
        </w:rPr>
        <w:t>Pa</w:t>
      </w:r>
      <w:r w:rsidRPr="00856A61">
        <w:rPr>
          <w:rFonts w:ascii="Arial" w:hAnsi="Arial" w:cs="Arial"/>
          <w:sz w:val="18"/>
          <w:szCs w:val="18"/>
          <w:lang w:val="fr-FR" w:eastAsia="zh-CN"/>
        </w:rPr>
        <w:t xml:space="preserve">r conséquent, </w:t>
      </w:r>
      <w:proofErr w:type="spellStart"/>
      <w:r w:rsidRPr="00700B2A">
        <w:rPr>
          <w:rFonts w:ascii="Arial" w:hAnsi="Arial" w:cs="Arial"/>
          <w:i/>
          <w:sz w:val="18"/>
          <w:szCs w:val="18"/>
          <w:lang w:val="fr-FR" w:eastAsia="zh-CN"/>
        </w:rPr>
        <w:t>Euroseeds</w:t>
      </w:r>
      <w:proofErr w:type="spellEnd"/>
      <w:r w:rsidRPr="00856A61">
        <w:rPr>
          <w:rFonts w:ascii="Arial" w:hAnsi="Arial" w:cs="Arial"/>
          <w:sz w:val="18"/>
          <w:szCs w:val="18"/>
          <w:lang w:val="fr-FR" w:eastAsia="zh-CN"/>
        </w:rPr>
        <w:t xml:space="preserve"> préconise une interprétation large de la notion d</w:t>
      </w:r>
      <w:r w:rsidR="000970A8">
        <w:rPr>
          <w:rFonts w:ascii="Arial" w:hAnsi="Arial" w:cs="Arial"/>
          <w:sz w:val="18"/>
          <w:szCs w:val="18"/>
          <w:lang w:val="fr-FR" w:eastAsia="zh-CN"/>
        </w:rPr>
        <w:t>’</w:t>
      </w:r>
      <w:r>
        <w:rPr>
          <w:rFonts w:ascii="Arial" w:hAnsi="Arial" w:cs="Arial"/>
          <w:sz w:val="18"/>
          <w:szCs w:val="18"/>
          <w:lang w:val="fr-FR" w:eastAsia="zh-CN"/>
        </w:rPr>
        <w:t>“</w:t>
      </w:r>
      <w:r w:rsidRPr="00856A61">
        <w:rPr>
          <w:rFonts w:ascii="Arial" w:hAnsi="Arial" w:cs="Arial"/>
          <w:sz w:val="18"/>
          <w:szCs w:val="18"/>
          <w:lang w:val="fr-FR" w:eastAsia="zh-CN"/>
        </w:rPr>
        <w:t>utilisation non autorisée</w:t>
      </w:r>
      <w:r>
        <w:rPr>
          <w:rFonts w:ascii="Arial" w:hAnsi="Arial" w:cs="Arial"/>
          <w:sz w:val="18"/>
          <w:szCs w:val="18"/>
          <w:lang w:val="fr-FR" w:eastAsia="zh-CN"/>
        </w:rPr>
        <w:t>”</w:t>
      </w:r>
      <w:r w:rsidRPr="00856A61">
        <w:rPr>
          <w:rFonts w:ascii="Arial" w:hAnsi="Arial" w:cs="Arial"/>
          <w:sz w:val="18"/>
          <w:szCs w:val="18"/>
          <w:lang w:val="fr-FR" w:eastAsia="zh-CN"/>
        </w:rPr>
        <w:t xml:space="preserve"> et souligne également que la décision rendue par la Cour de justice de l</w:t>
      </w:r>
      <w:r w:rsidR="000970A8">
        <w:rPr>
          <w:rFonts w:ascii="Arial" w:hAnsi="Arial" w:cs="Arial"/>
          <w:sz w:val="18"/>
          <w:szCs w:val="18"/>
          <w:lang w:val="fr-FR" w:eastAsia="zh-CN"/>
        </w:rPr>
        <w:t>’</w:t>
      </w:r>
      <w:r w:rsidRPr="00856A61">
        <w:rPr>
          <w:rFonts w:ascii="Arial" w:hAnsi="Arial" w:cs="Arial"/>
          <w:sz w:val="18"/>
          <w:szCs w:val="18"/>
          <w:lang w:val="fr-FR" w:eastAsia="zh-CN"/>
        </w:rPr>
        <w:t>Union européenne dans l</w:t>
      </w:r>
      <w:r w:rsidR="000970A8">
        <w:rPr>
          <w:rFonts w:ascii="Arial" w:hAnsi="Arial" w:cs="Arial"/>
          <w:sz w:val="18"/>
          <w:szCs w:val="18"/>
          <w:lang w:val="fr-FR" w:eastAsia="zh-CN"/>
        </w:rPr>
        <w:t>’</w:t>
      </w:r>
      <w:r w:rsidRPr="00856A61">
        <w:rPr>
          <w:rFonts w:ascii="Arial" w:hAnsi="Arial" w:cs="Arial"/>
          <w:sz w:val="18"/>
          <w:szCs w:val="18"/>
          <w:lang w:val="fr-FR" w:eastAsia="zh-CN"/>
        </w:rPr>
        <w:t>affaire</w:t>
      </w:r>
      <w:r>
        <w:rPr>
          <w:rFonts w:ascii="Arial" w:hAnsi="Arial" w:cs="Arial"/>
          <w:sz w:val="18"/>
          <w:szCs w:val="18"/>
          <w:lang w:val="fr-FR" w:eastAsia="zh-CN"/>
        </w:rPr>
        <w:t> </w:t>
      </w:r>
      <w:r w:rsidRPr="00856A61">
        <w:rPr>
          <w:rFonts w:ascii="Arial" w:hAnsi="Arial" w:cs="Arial"/>
          <w:sz w:val="18"/>
          <w:szCs w:val="18"/>
          <w:lang w:val="fr-FR" w:eastAsia="zh-CN"/>
        </w:rPr>
        <w:t>C</w:t>
      </w:r>
      <w:r w:rsidR="00945DBD">
        <w:rPr>
          <w:rFonts w:ascii="Arial" w:hAnsi="Arial" w:cs="Arial"/>
          <w:sz w:val="18"/>
          <w:szCs w:val="18"/>
          <w:lang w:val="fr-FR" w:eastAsia="zh-CN"/>
        </w:rPr>
        <w:noBreakHyphen/>
      </w:r>
      <w:r w:rsidRPr="00856A61">
        <w:rPr>
          <w:rFonts w:ascii="Arial" w:hAnsi="Arial" w:cs="Arial"/>
          <w:sz w:val="18"/>
          <w:szCs w:val="18"/>
          <w:lang w:val="fr-FR" w:eastAsia="zh-CN"/>
        </w:rPr>
        <w:t>176/18, qui suggère une interprétation limitée, a d</w:t>
      </w:r>
      <w:r w:rsidR="000970A8">
        <w:rPr>
          <w:rFonts w:ascii="Arial" w:hAnsi="Arial" w:cs="Arial"/>
          <w:sz w:val="18"/>
          <w:szCs w:val="18"/>
          <w:lang w:val="fr-FR" w:eastAsia="zh-CN"/>
        </w:rPr>
        <w:t>’</w:t>
      </w:r>
      <w:r w:rsidRPr="00856A61">
        <w:rPr>
          <w:rFonts w:ascii="Arial" w:hAnsi="Arial" w:cs="Arial"/>
          <w:sz w:val="18"/>
          <w:szCs w:val="18"/>
          <w:lang w:val="fr-FR" w:eastAsia="zh-CN"/>
        </w:rPr>
        <w:t>importantes conséquences négatives pour les sélectionneurs.</w:t>
      </w:r>
    </w:p>
    <w:p w:rsidR="00F66643" w:rsidRPr="00856A61" w:rsidRDefault="00F66643" w:rsidP="00F66643">
      <w:pPr>
        <w:pStyle w:val="TableParagraph"/>
        <w:ind w:left="567" w:right="567"/>
        <w:jc w:val="both"/>
        <w:rPr>
          <w:rFonts w:ascii="Arial" w:hAnsi="Arial" w:cs="Arial"/>
          <w:sz w:val="18"/>
          <w:szCs w:val="18"/>
          <w:lang w:val="fr-FR"/>
        </w:rPr>
      </w:pPr>
    </w:p>
    <w:p w:rsidR="00700B2A" w:rsidRPr="00856A61" w:rsidRDefault="00F66643" w:rsidP="00700B2A">
      <w:pPr>
        <w:pStyle w:val="TableParagraph"/>
        <w:ind w:left="567" w:right="567"/>
        <w:jc w:val="both"/>
        <w:rPr>
          <w:rFonts w:ascii="Arial" w:hAnsi="Arial" w:cs="Arial"/>
          <w:sz w:val="18"/>
          <w:szCs w:val="18"/>
          <w:lang w:val="fr-FR"/>
        </w:rPr>
      </w:pPr>
      <w:r w:rsidRPr="00856A61">
        <w:rPr>
          <w:rFonts w:ascii="Arial" w:hAnsi="Arial" w:cs="Arial"/>
          <w:sz w:val="18"/>
          <w:szCs w:val="18"/>
          <w:lang w:val="fr-FR"/>
        </w:rPr>
        <w:t xml:space="preserve">Compte tenu de ce qui précède, </w:t>
      </w:r>
      <w:proofErr w:type="spellStart"/>
      <w:r w:rsidRPr="00700B2A">
        <w:rPr>
          <w:rFonts w:ascii="Arial" w:hAnsi="Arial" w:cs="Arial"/>
          <w:i/>
          <w:sz w:val="18"/>
          <w:szCs w:val="18"/>
          <w:lang w:val="fr-FR"/>
        </w:rPr>
        <w:t>Euroseeds</w:t>
      </w:r>
      <w:proofErr w:type="spellEnd"/>
      <w:r w:rsidRPr="00856A61">
        <w:rPr>
          <w:rFonts w:ascii="Arial" w:hAnsi="Arial" w:cs="Arial"/>
          <w:sz w:val="18"/>
          <w:szCs w:val="18"/>
          <w:lang w:val="fr-FR"/>
        </w:rPr>
        <w:t xml:space="preserve"> aimerait voir une note explicative solide et de qualité concernant le produit de la récolte, qui prenne en compte le besoin des sélectionneurs de disposer d</w:t>
      </w:r>
      <w:r w:rsidR="000970A8">
        <w:rPr>
          <w:rFonts w:ascii="Arial" w:hAnsi="Arial" w:cs="Arial"/>
          <w:sz w:val="18"/>
          <w:szCs w:val="18"/>
          <w:lang w:val="fr-FR"/>
        </w:rPr>
        <w:t>’</w:t>
      </w:r>
      <w:r w:rsidRPr="00856A61">
        <w:rPr>
          <w:rFonts w:ascii="Arial" w:hAnsi="Arial" w:cs="Arial"/>
          <w:sz w:val="18"/>
          <w:szCs w:val="18"/>
          <w:lang w:val="fr-FR"/>
        </w:rPr>
        <w:t>une protection solide et de possibilités réalistes d</w:t>
      </w:r>
      <w:r w:rsidR="000970A8">
        <w:rPr>
          <w:rFonts w:ascii="Arial" w:hAnsi="Arial" w:cs="Arial"/>
          <w:sz w:val="18"/>
          <w:szCs w:val="18"/>
          <w:lang w:val="fr-FR"/>
        </w:rPr>
        <w:t>’</w:t>
      </w:r>
      <w:r w:rsidRPr="00856A61">
        <w:rPr>
          <w:rFonts w:ascii="Arial" w:hAnsi="Arial" w:cs="Arial"/>
          <w:sz w:val="18"/>
          <w:szCs w:val="18"/>
          <w:lang w:val="fr-FR"/>
        </w:rPr>
        <w:t>application, aussi au sujet du produit de la récol</w:t>
      </w:r>
      <w:r w:rsidR="00E402DE" w:rsidRPr="00856A61">
        <w:rPr>
          <w:rFonts w:ascii="Arial" w:hAnsi="Arial" w:cs="Arial"/>
          <w:sz w:val="18"/>
          <w:szCs w:val="18"/>
          <w:lang w:val="fr-FR"/>
        </w:rPr>
        <w:t>te</w:t>
      </w:r>
      <w:r w:rsidR="00E402DE">
        <w:rPr>
          <w:rFonts w:ascii="Arial" w:hAnsi="Arial" w:cs="Arial"/>
          <w:sz w:val="18"/>
          <w:szCs w:val="18"/>
          <w:lang w:val="fr-FR"/>
        </w:rPr>
        <w:t xml:space="preserve">.  </w:t>
      </w:r>
      <w:r w:rsidR="00E402DE" w:rsidRPr="00856A61">
        <w:rPr>
          <w:rFonts w:ascii="Arial" w:hAnsi="Arial" w:cs="Arial"/>
          <w:sz w:val="18"/>
          <w:szCs w:val="18"/>
          <w:lang w:val="fr-FR"/>
        </w:rPr>
        <w:t xml:space="preserve">À </w:t>
      </w:r>
      <w:r w:rsidRPr="00856A61">
        <w:rPr>
          <w:rFonts w:ascii="Arial" w:hAnsi="Arial" w:cs="Arial"/>
          <w:sz w:val="18"/>
          <w:szCs w:val="18"/>
          <w:lang w:val="fr-FR"/>
        </w:rPr>
        <w:t xml:space="preserve">cet égard, pour plus de détails, nous vous invitons à </w:t>
      </w:r>
      <w:r w:rsidR="00700B2A" w:rsidRPr="00856A61">
        <w:rPr>
          <w:rFonts w:ascii="Arial" w:hAnsi="Arial" w:cs="Arial"/>
          <w:sz w:val="18"/>
          <w:szCs w:val="18"/>
          <w:lang w:val="fr-FR"/>
        </w:rPr>
        <w:t xml:space="preserve">consulter la </w:t>
      </w:r>
      <w:r w:rsidR="00BD62F0">
        <w:fldChar w:fldCharType="begin"/>
      </w:r>
      <w:r w:rsidR="00BD62F0" w:rsidRPr="00BD62F0">
        <w:rPr>
          <w:lang w:val="fr-CH"/>
        </w:rPr>
        <w:instrText xml:space="preserve"> HYPERLINK "https://www.euroseeds.eu/app/uploads/2019/07/11.0046-Euroseeds-position-Harvested-Material.doc-1.pdf" </w:instrText>
      </w:r>
      <w:r w:rsidR="00BD62F0">
        <w:fldChar w:fldCharType="separate"/>
      </w:r>
      <w:r w:rsidR="00700B2A" w:rsidRPr="00856A61">
        <w:rPr>
          <w:rStyle w:val="Hyperlink"/>
          <w:rFonts w:cs="Arial"/>
          <w:sz w:val="18"/>
          <w:szCs w:val="18"/>
          <w:lang w:val="fr-FR"/>
        </w:rPr>
        <w:t>position d</w:t>
      </w:r>
      <w:r w:rsidR="00700B2A">
        <w:rPr>
          <w:rStyle w:val="Hyperlink"/>
          <w:rFonts w:cs="Arial"/>
          <w:sz w:val="18"/>
          <w:szCs w:val="18"/>
          <w:lang w:val="fr-FR"/>
        </w:rPr>
        <w:t>’</w:t>
      </w:r>
      <w:proofErr w:type="spellStart"/>
      <w:r w:rsidR="00700B2A" w:rsidRPr="00856A61">
        <w:rPr>
          <w:rStyle w:val="Hyperlink"/>
          <w:rFonts w:cs="Arial"/>
          <w:sz w:val="18"/>
          <w:szCs w:val="18"/>
          <w:lang w:val="fr-FR"/>
        </w:rPr>
        <w:t>Euroseeds</w:t>
      </w:r>
      <w:proofErr w:type="spellEnd"/>
      <w:r w:rsidR="00700B2A" w:rsidRPr="00856A61">
        <w:rPr>
          <w:rStyle w:val="Hyperlink"/>
          <w:rFonts w:cs="Arial"/>
          <w:sz w:val="18"/>
          <w:szCs w:val="18"/>
          <w:lang w:val="fr-FR"/>
        </w:rPr>
        <w:t xml:space="preserve"> sur le produit de la récolte</w:t>
      </w:r>
      <w:r w:rsidR="00BD62F0">
        <w:rPr>
          <w:rStyle w:val="Hyperlink"/>
          <w:rFonts w:cs="Arial"/>
          <w:sz w:val="18"/>
          <w:szCs w:val="18"/>
          <w:lang w:val="fr-FR"/>
        </w:rPr>
        <w:fldChar w:fldCharType="end"/>
      </w:r>
      <w:r w:rsidR="00700B2A" w:rsidRPr="00856A61">
        <w:rPr>
          <w:rFonts w:ascii="Arial" w:hAnsi="Arial" w:cs="Arial"/>
          <w:sz w:val="18"/>
          <w:szCs w:val="18"/>
          <w:lang w:val="fr-FR"/>
        </w:rPr>
        <w:t>.”</w:t>
      </w:r>
    </w:p>
    <w:p w:rsidR="00F66643" w:rsidRPr="00700B2A" w:rsidRDefault="00F66643" w:rsidP="00700B2A"/>
    <w:p w:rsidR="00F66643" w:rsidRPr="00856A61" w:rsidRDefault="00AD17A6" w:rsidP="00F66643">
      <w:pPr>
        <w:pStyle w:val="Heading3"/>
        <w:rPr>
          <w:lang w:val="fr-FR"/>
        </w:rPr>
      </w:pPr>
      <w:bookmarkStart w:id="36" w:name="_Toc55924384"/>
      <w:r w:rsidRPr="00AD17A6">
        <w:rPr>
          <w:lang w:val="fr-FR"/>
        </w:rPr>
        <w:lastRenderedPageBreak/>
        <w:t xml:space="preserve">Communauté internationale des obtenteurs de plantes horticoles de reproduction asexuée </w:t>
      </w:r>
      <w:r w:rsidR="00F66643" w:rsidRPr="00856A61">
        <w:rPr>
          <w:lang w:val="fr-FR"/>
        </w:rPr>
        <w:t xml:space="preserve">(CIOPORA) et International </w:t>
      </w:r>
      <w:proofErr w:type="spellStart"/>
      <w:r w:rsidR="00F66643" w:rsidRPr="00856A61">
        <w:rPr>
          <w:lang w:val="fr-FR"/>
        </w:rPr>
        <w:t>Seed</w:t>
      </w:r>
      <w:proofErr w:type="spellEnd"/>
      <w:r w:rsidR="00F66643" w:rsidRPr="00856A61">
        <w:rPr>
          <w:lang w:val="fr-FR"/>
        </w:rPr>
        <w:t xml:space="preserve"> </w:t>
      </w:r>
      <w:proofErr w:type="spellStart"/>
      <w:r w:rsidR="00F66643" w:rsidRPr="00856A61">
        <w:rPr>
          <w:lang w:val="fr-FR"/>
        </w:rPr>
        <w:t>Federation</w:t>
      </w:r>
      <w:proofErr w:type="spellEnd"/>
      <w:r w:rsidR="00F66643" w:rsidRPr="00856A61">
        <w:rPr>
          <w:lang w:val="fr-FR"/>
        </w:rPr>
        <w:t xml:space="preserve"> (ISF)</w:t>
      </w:r>
      <w:bookmarkEnd w:id="36"/>
    </w:p>
    <w:p w:rsidR="00F66643" w:rsidRPr="00856A61" w:rsidRDefault="00F66643" w:rsidP="00F66643">
      <w:pPr>
        <w:keepNext/>
      </w:pPr>
    </w:p>
    <w:p w:rsidR="00F66643" w:rsidRPr="00856A61" w:rsidRDefault="00F66643" w:rsidP="00F66643">
      <w:pPr>
        <w:keepNext/>
      </w:pPr>
      <w:r w:rsidRPr="00856A61">
        <w:fldChar w:fldCharType="begin"/>
      </w:r>
      <w:r w:rsidRPr="00856A61">
        <w:instrText xml:space="preserve"> AUTONUM  </w:instrText>
      </w:r>
      <w:r w:rsidRPr="00856A61">
        <w:fldChar w:fldCharType="end"/>
      </w:r>
      <w:r w:rsidRPr="00856A61">
        <w:tab/>
        <w:t xml:space="preserve">En réponse à la </w:t>
      </w:r>
      <w:r w:rsidRPr="00856A61">
        <w:rPr>
          <w:spacing w:val="-2"/>
        </w:rPr>
        <w:t>circulaire</w:t>
      </w:r>
      <w:r>
        <w:rPr>
          <w:snapToGrid w:val="0"/>
          <w:spacing w:val="-2"/>
        </w:rPr>
        <w:t> </w:t>
      </w:r>
      <w:r w:rsidRPr="00856A61">
        <w:t>E</w:t>
      </w:r>
      <w:r w:rsidR="00945DBD">
        <w:noBreakHyphen/>
      </w:r>
      <w:r w:rsidRPr="00856A61">
        <w:t>20/120 du 21</w:t>
      </w:r>
      <w:r>
        <w:t> </w:t>
      </w:r>
      <w:r w:rsidRPr="00856A61">
        <w:t>août</w:t>
      </w:r>
      <w:r>
        <w:t> </w:t>
      </w:r>
      <w:r w:rsidRPr="00856A61">
        <w:t xml:space="preserve">2020, la </w:t>
      </w:r>
      <w:r w:rsidR="00AD17A6" w:rsidRPr="00AD17A6">
        <w:t xml:space="preserve">Communauté internationale des obtenteurs de plantes horticoles de reproduction asexuée </w:t>
      </w:r>
      <w:r w:rsidRPr="00856A61">
        <w:t>(CIOPORA) et l</w:t>
      </w:r>
      <w:r w:rsidR="000970A8">
        <w:t>’</w:t>
      </w:r>
      <w:r w:rsidRPr="00700B2A">
        <w:rPr>
          <w:i/>
        </w:rPr>
        <w:t xml:space="preserve">International </w:t>
      </w:r>
      <w:proofErr w:type="spellStart"/>
      <w:r w:rsidRPr="00700B2A">
        <w:rPr>
          <w:i/>
        </w:rPr>
        <w:t>Seed</w:t>
      </w:r>
      <w:proofErr w:type="spellEnd"/>
      <w:r w:rsidRPr="00700B2A">
        <w:rPr>
          <w:i/>
        </w:rPr>
        <w:t xml:space="preserve"> </w:t>
      </w:r>
      <w:proofErr w:type="spellStart"/>
      <w:r w:rsidRPr="00700B2A">
        <w:rPr>
          <w:i/>
        </w:rPr>
        <w:t>Federation</w:t>
      </w:r>
      <w:proofErr w:type="spellEnd"/>
      <w:r w:rsidRPr="00856A61">
        <w:t xml:space="preserve"> (ISF) ont soumis conjointement les observations suivantes concernant le </w:t>
      </w:r>
      <w:r w:rsidRPr="00856A61">
        <w:rPr>
          <w:snapToGrid w:val="0"/>
        </w:rPr>
        <w:t>document CAJ/77/5</w:t>
      </w:r>
      <w:r w:rsidR="000970A8">
        <w:rPr>
          <w:snapToGrid w:val="0"/>
        </w:rPr>
        <w:t> :</w:t>
      </w:r>
    </w:p>
    <w:p w:rsidR="00F66643" w:rsidRPr="003D184E" w:rsidRDefault="00F66643" w:rsidP="00F66643">
      <w:pPr>
        <w:keepNext/>
        <w:rPr>
          <w:sz w:val="18"/>
        </w:rPr>
      </w:pPr>
    </w:p>
    <w:p w:rsidR="00F66643" w:rsidRDefault="00F66643" w:rsidP="00ED214A">
      <w:pPr>
        <w:pStyle w:val="TableParagraph"/>
        <w:keepLines/>
        <w:ind w:left="567" w:right="567"/>
        <w:jc w:val="both"/>
        <w:rPr>
          <w:rFonts w:ascii="Arial" w:hAnsi="Arial" w:cs="Arial"/>
          <w:sz w:val="18"/>
          <w:szCs w:val="18"/>
          <w:lang w:val="fr-FR"/>
        </w:rPr>
      </w:pPr>
      <w:r w:rsidRPr="00856A61">
        <w:rPr>
          <w:rFonts w:ascii="Arial" w:hAnsi="Arial" w:cs="Arial"/>
          <w:sz w:val="18"/>
          <w:szCs w:val="18"/>
          <w:lang w:val="fr-FR" w:eastAsia="zh-CN"/>
        </w:rPr>
        <w:t>“</w:t>
      </w:r>
      <w:r w:rsidRPr="00856A61">
        <w:rPr>
          <w:rFonts w:ascii="Arial" w:hAnsi="Arial" w:cs="Arial"/>
          <w:sz w:val="18"/>
          <w:szCs w:val="18"/>
          <w:lang w:val="fr-FR"/>
        </w:rPr>
        <w:t>En réponse à la circulaire</w:t>
      </w:r>
      <w:r>
        <w:rPr>
          <w:rFonts w:ascii="Arial" w:hAnsi="Arial" w:cs="Arial"/>
          <w:sz w:val="18"/>
          <w:szCs w:val="18"/>
          <w:lang w:val="fr-FR"/>
        </w:rPr>
        <w:t> </w:t>
      </w:r>
      <w:r w:rsidRPr="00856A61">
        <w:rPr>
          <w:rFonts w:ascii="Arial" w:hAnsi="Arial" w:cs="Arial"/>
          <w:sz w:val="18"/>
          <w:szCs w:val="18"/>
          <w:lang w:val="fr-FR"/>
        </w:rPr>
        <w:t>E</w:t>
      </w:r>
      <w:r w:rsidR="00945DBD">
        <w:rPr>
          <w:rFonts w:ascii="Arial" w:hAnsi="Arial" w:cs="Arial"/>
          <w:sz w:val="18"/>
          <w:szCs w:val="18"/>
          <w:lang w:val="fr-FR"/>
        </w:rPr>
        <w:noBreakHyphen/>
      </w:r>
      <w:r w:rsidRPr="00856A61">
        <w:rPr>
          <w:rFonts w:ascii="Arial" w:hAnsi="Arial" w:cs="Arial"/>
          <w:sz w:val="18"/>
          <w:szCs w:val="18"/>
          <w:lang w:val="fr-FR"/>
        </w:rPr>
        <w:t>20/120 du 21</w:t>
      </w:r>
      <w:r>
        <w:rPr>
          <w:rFonts w:ascii="Arial" w:hAnsi="Arial" w:cs="Arial"/>
          <w:sz w:val="18"/>
          <w:szCs w:val="18"/>
          <w:lang w:val="fr-FR"/>
        </w:rPr>
        <w:t> </w:t>
      </w:r>
      <w:r w:rsidRPr="00856A61">
        <w:rPr>
          <w:rFonts w:ascii="Arial" w:hAnsi="Arial" w:cs="Arial"/>
          <w:sz w:val="18"/>
          <w:szCs w:val="18"/>
          <w:lang w:val="fr-FR"/>
        </w:rPr>
        <w:t>août</w:t>
      </w:r>
      <w:r>
        <w:rPr>
          <w:rFonts w:ascii="Arial" w:hAnsi="Arial" w:cs="Arial"/>
          <w:sz w:val="18"/>
          <w:szCs w:val="18"/>
          <w:lang w:val="fr-FR"/>
        </w:rPr>
        <w:t> </w:t>
      </w:r>
      <w:r w:rsidRPr="00856A61">
        <w:rPr>
          <w:rFonts w:ascii="Arial" w:hAnsi="Arial" w:cs="Arial"/>
          <w:sz w:val="18"/>
          <w:szCs w:val="18"/>
          <w:lang w:val="fr-FR"/>
        </w:rPr>
        <w:t>2020, nous sommes particulièrement reconnaissants au Japon de sa suggestion d</w:t>
      </w:r>
      <w:r w:rsidR="000970A8">
        <w:rPr>
          <w:rFonts w:ascii="Arial" w:hAnsi="Arial" w:cs="Arial"/>
          <w:sz w:val="18"/>
          <w:szCs w:val="18"/>
          <w:lang w:val="fr-FR"/>
        </w:rPr>
        <w:t>’</w:t>
      </w:r>
      <w:r w:rsidRPr="00856A61">
        <w:rPr>
          <w:rFonts w:ascii="Arial" w:hAnsi="Arial" w:cs="Arial"/>
          <w:sz w:val="18"/>
          <w:szCs w:val="18"/>
          <w:lang w:val="fr-FR"/>
        </w:rPr>
        <w:t>élaborer des orientations sur l</w:t>
      </w:r>
      <w:r w:rsidR="000970A8">
        <w:rPr>
          <w:rFonts w:ascii="Arial" w:hAnsi="Arial" w:cs="Arial"/>
          <w:sz w:val="18"/>
          <w:szCs w:val="18"/>
          <w:lang w:val="fr-FR"/>
        </w:rPr>
        <w:t>’</w:t>
      </w:r>
      <w:r w:rsidRPr="00856A61">
        <w:rPr>
          <w:rFonts w:ascii="Arial" w:hAnsi="Arial" w:cs="Arial"/>
          <w:sz w:val="18"/>
          <w:szCs w:val="18"/>
          <w:lang w:val="fr-FR"/>
        </w:rPr>
        <w:t xml:space="preserve">expression </w:t>
      </w:r>
      <w:r>
        <w:rPr>
          <w:rFonts w:ascii="Arial" w:hAnsi="Arial" w:cs="Arial"/>
          <w:sz w:val="18"/>
          <w:szCs w:val="18"/>
          <w:lang w:val="fr-FR"/>
        </w:rPr>
        <w:t>“</w:t>
      </w:r>
      <w:r w:rsidRPr="00856A61">
        <w:rPr>
          <w:rFonts w:ascii="Arial" w:hAnsi="Arial" w:cs="Arial"/>
          <w:sz w:val="18"/>
          <w:szCs w:val="18"/>
          <w:lang w:val="fr-FR"/>
        </w:rPr>
        <w:t xml:space="preserve">utilisation non autorisée de matériel de reproduction ou de multiplication”. </w:t>
      </w:r>
      <w:r>
        <w:rPr>
          <w:rFonts w:ascii="Arial" w:hAnsi="Arial" w:cs="Arial"/>
          <w:sz w:val="18"/>
          <w:szCs w:val="18"/>
          <w:lang w:val="fr-FR"/>
        </w:rPr>
        <w:t xml:space="preserve"> </w:t>
      </w:r>
      <w:r w:rsidRPr="00856A61">
        <w:rPr>
          <w:rFonts w:ascii="Arial" w:hAnsi="Arial" w:cs="Arial"/>
          <w:sz w:val="18"/>
          <w:szCs w:val="18"/>
          <w:lang w:val="fr-FR"/>
        </w:rPr>
        <w:t xml:space="preserve">Le débat sur ce sujet arrive à point nommé, cette question ayant récemment gagné en importance, puisque la </w:t>
      </w:r>
      <w:r w:rsidRPr="00856A61">
        <w:rPr>
          <w:rFonts w:ascii="Arial" w:hAnsi="Arial" w:cs="Arial"/>
          <w:sz w:val="18"/>
          <w:szCs w:val="18"/>
          <w:lang w:val="fr-FR" w:eastAsia="zh-CN"/>
        </w:rPr>
        <w:t>Cour de justice de l</w:t>
      </w:r>
      <w:r w:rsidR="000970A8">
        <w:rPr>
          <w:rFonts w:ascii="Arial" w:hAnsi="Arial" w:cs="Arial"/>
          <w:sz w:val="18"/>
          <w:szCs w:val="18"/>
          <w:lang w:val="fr-FR" w:eastAsia="zh-CN"/>
        </w:rPr>
        <w:t>’</w:t>
      </w:r>
      <w:r w:rsidRPr="00856A61">
        <w:rPr>
          <w:rFonts w:ascii="Arial" w:hAnsi="Arial" w:cs="Arial"/>
          <w:sz w:val="18"/>
          <w:szCs w:val="18"/>
          <w:lang w:val="fr-FR" w:eastAsia="zh-CN"/>
        </w:rPr>
        <w:t>Union européenne, dans l</w:t>
      </w:r>
      <w:r w:rsidR="000970A8">
        <w:rPr>
          <w:rFonts w:ascii="Arial" w:hAnsi="Arial" w:cs="Arial"/>
          <w:sz w:val="18"/>
          <w:szCs w:val="18"/>
          <w:lang w:val="fr-FR" w:eastAsia="zh-CN"/>
        </w:rPr>
        <w:t>’</w:t>
      </w:r>
      <w:r w:rsidRPr="00856A61">
        <w:rPr>
          <w:rFonts w:ascii="Arial" w:hAnsi="Arial" w:cs="Arial"/>
          <w:sz w:val="18"/>
          <w:szCs w:val="18"/>
          <w:lang w:val="fr-FR" w:eastAsia="zh-CN"/>
        </w:rPr>
        <w:t>affaire</w:t>
      </w:r>
      <w:r>
        <w:rPr>
          <w:rFonts w:ascii="Arial" w:hAnsi="Arial" w:cs="Arial"/>
          <w:sz w:val="18"/>
          <w:szCs w:val="18"/>
          <w:lang w:val="fr-FR" w:eastAsia="zh-CN"/>
        </w:rPr>
        <w:t> </w:t>
      </w:r>
      <w:r w:rsidRPr="00856A61">
        <w:rPr>
          <w:rFonts w:ascii="Arial" w:hAnsi="Arial" w:cs="Arial"/>
          <w:sz w:val="18"/>
          <w:szCs w:val="18"/>
          <w:lang w:val="fr-FR"/>
        </w:rPr>
        <w:t>C</w:t>
      </w:r>
      <w:r w:rsidR="00945DBD">
        <w:rPr>
          <w:rFonts w:ascii="Arial" w:hAnsi="Arial" w:cs="Arial"/>
          <w:sz w:val="18"/>
          <w:szCs w:val="18"/>
          <w:lang w:val="fr-FR"/>
        </w:rPr>
        <w:noBreakHyphen/>
      </w:r>
      <w:r w:rsidRPr="00856A61">
        <w:rPr>
          <w:rFonts w:ascii="Arial" w:hAnsi="Arial" w:cs="Arial"/>
          <w:sz w:val="18"/>
          <w:szCs w:val="18"/>
          <w:lang w:val="fr-FR"/>
        </w:rPr>
        <w:t>176/18 (</w:t>
      </w:r>
      <w:proofErr w:type="spellStart"/>
      <w:r w:rsidRPr="00856A61">
        <w:rPr>
          <w:rFonts w:ascii="Arial" w:hAnsi="Arial" w:cs="Arial"/>
          <w:sz w:val="18"/>
          <w:szCs w:val="18"/>
          <w:lang w:val="fr-FR"/>
        </w:rPr>
        <w:t>Nadorcott</w:t>
      </w:r>
      <w:proofErr w:type="spellEnd"/>
      <w:r w:rsidRPr="00856A61">
        <w:rPr>
          <w:rFonts w:ascii="Arial" w:hAnsi="Arial" w:cs="Arial"/>
          <w:sz w:val="18"/>
          <w:szCs w:val="18"/>
          <w:lang w:val="fr-FR"/>
        </w:rPr>
        <w:t>), a rendu une décision d</w:t>
      </w:r>
      <w:r w:rsidR="000970A8">
        <w:rPr>
          <w:rFonts w:ascii="Arial" w:hAnsi="Arial" w:cs="Arial"/>
          <w:sz w:val="18"/>
          <w:szCs w:val="18"/>
          <w:lang w:val="fr-FR"/>
        </w:rPr>
        <w:t>’</w:t>
      </w:r>
      <w:r w:rsidRPr="00856A61">
        <w:rPr>
          <w:rFonts w:ascii="Arial" w:hAnsi="Arial" w:cs="Arial"/>
          <w:sz w:val="18"/>
          <w:szCs w:val="18"/>
          <w:lang w:val="fr-FR"/>
        </w:rPr>
        <w:t>une grande portée, principalement centrée sur la question de savoir dans quelles circonstances la règle de l</w:t>
      </w:r>
      <w:r w:rsidR="000970A8">
        <w:rPr>
          <w:rFonts w:ascii="Arial" w:hAnsi="Arial" w:cs="Arial"/>
          <w:sz w:val="18"/>
          <w:szCs w:val="18"/>
          <w:lang w:val="fr-FR"/>
        </w:rPr>
        <w:t>’</w:t>
      </w:r>
      <w:r>
        <w:rPr>
          <w:rFonts w:ascii="Arial" w:hAnsi="Arial" w:cs="Arial"/>
          <w:sz w:val="18"/>
          <w:szCs w:val="18"/>
          <w:lang w:val="fr-FR"/>
        </w:rPr>
        <w:t>“</w:t>
      </w:r>
      <w:r w:rsidRPr="00856A61">
        <w:rPr>
          <w:rFonts w:ascii="Arial" w:hAnsi="Arial" w:cs="Arial"/>
          <w:sz w:val="18"/>
          <w:szCs w:val="18"/>
          <w:lang w:val="fr-FR"/>
        </w:rPr>
        <w:t>utilisation non autorisée de matériel de reproduction ou de multiplication (constituants variétaux)” concerne l</w:t>
      </w:r>
      <w:r w:rsidR="000970A8">
        <w:rPr>
          <w:rFonts w:ascii="Arial" w:hAnsi="Arial" w:cs="Arial"/>
          <w:sz w:val="18"/>
          <w:szCs w:val="18"/>
          <w:lang w:val="fr-FR"/>
        </w:rPr>
        <w:t>’</w:t>
      </w:r>
      <w:r w:rsidRPr="00856A61">
        <w:rPr>
          <w:rFonts w:ascii="Arial" w:hAnsi="Arial" w:cs="Arial"/>
          <w:sz w:val="18"/>
          <w:szCs w:val="18"/>
          <w:lang w:val="fr-FR"/>
        </w:rPr>
        <w:t>exercice du droit d</w:t>
      </w:r>
      <w:r w:rsidR="000970A8">
        <w:rPr>
          <w:rFonts w:ascii="Arial" w:hAnsi="Arial" w:cs="Arial"/>
          <w:sz w:val="18"/>
          <w:szCs w:val="18"/>
          <w:lang w:val="fr-FR"/>
        </w:rPr>
        <w:t>’</w:t>
      </w:r>
      <w:r w:rsidRPr="00856A61">
        <w:rPr>
          <w:rFonts w:ascii="Arial" w:hAnsi="Arial" w:cs="Arial"/>
          <w:sz w:val="18"/>
          <w:szCs w:val="18"/>
          <w:lang w:val="fr-FR"/>
        </w:rPr>
        <w:t xml:space="preserve">obtenteur </w:t>
      </w:r>
      <w:r w:rsidR="000970A8">
        <w:rPr>
          <w:rFonts w:ascii="Arial" w:hAnsi="Arial" w:cs="Arial"/>
          <w:sz w:val="18"/>
          <w:szCs w:val="18"/>
          <w:lang w:val="fr-FR"/>
        </w:rPr>
        <w:t>à l’égard</w:t>
      </w:r>
      <w:r w:rsidRPr="00856A61">
        <w:rPr>
          <w:rFonts w:ascii="Arial" w:hAnsi="Arial" w:cs="Arial"/>
          <w:sz w:val="18"/>
          <w:szCs w:val="18"/>
          <w:lang w:val="fr-FR"/>
        </w:rPr>
        <w:t xml:space="preserve"> du produit de la récolte.</w:t>
      </w:r>
    </w:p>
    <w:p w:rsidR="00F66643" w:rsidRPr="00856A61" w:rsidRDefault="00F66643" w:rsidP="00F66643">
      <w:pPr>
        <w:pStyle w:val="TableParagraph"/>
        <w:ind w:left="567" w:right="567"/>
        <w:jc w:val="both"/>
        <w:rPr>
          <w:rFonts w:ascii="Arial" w:hAnsi="Arial" w:cs="Arial"/>
          <w:sz w:val="18"/>
          <w:szCs w:val="18"/>
          <w:lang w:val="fr-FR"/>
        </w:rPr>
      </w:pPr>
      <w:r w:rsidRPr="00856A61">
        <w:rPr>
          <w:rFonts w:ascii="Arial" w:hAnsi="Arial" w:cs="Arial"/>
          <w:sz w:val="18"/>
          <w:szCs w:val="18"/>
          <w:lang w:val="fr-FR"/>
        </w:rPr>
        <w:t>La CIOPORA et l</w:t>
      </w:r>
      <w:r w:rsidR="000970A8">
        <w:rPr>
          <w:rFonts w:ascii="Arial" w:hAnsi="Arial" w:cs="Arial"/>
          <w:sz w:val="18"/>
          <w:szCs w:val="18"/>
          <w:lang w:val="fr-FR"/>
        </w:rPr>
        <w:t>’</w:t>
      </w:r>
      <w:r w:rsidRPr="00856A61">
        <w:rPr>
          <w:rFonts w:ascii="Arial" w:hAnsi="Arial" w:cs="Arial"/>
          <w:sz w:val="18"/>
          <w:szCs w:val="18"/>
          <w:lang w:val="fr-FR"/>
        </w:rPr>
        <w:t>ISF, par conséquent, sont favorables à la proposition formulée par le Japon d</w:t>
      </w:r>
      <w:r w:rsidR="000970A8">
        <w:rPr>
          <w:rFonts w:ascii="Arial" w:hAnsi="Arial" w:cs="Arial"/>
          <w:sz w:val="18"/>
          <w:szCs w:val="18"/>
          <w:lang w:val="fr-FR"/>
        </w:rPr>
        <w:t>’</w:t>
      </w:r>
      <w:r w:rsidRPr="00856A61">
        <w:rPr>
          <w:rFonts w:ascii="Arial" w:hAnsi="Arial" w:cs="Arial"/>
          <w:sz w:val="18"/>
          <w:szCs w:val="18"/>
          <w:lang w:val="fr-FR"/>
        </w:rPr>
        <w:t>ajouter dans la note explicative, en lien avec l</w:t>
      </w:r>
      <w:r w:rsidR="000970A8">
        <w:rPr>
          <w:rFonts w:ascii="Arial" w:hAnsi="Arial" w:cs="Arial"/>
          <w:sz w:val="18"/>
          <w:szCs w:val="18"/>
          <w:lang w:val="fr-FR"/>
        </w:rPr>
        <w:t>’</w:t>
      </w:r>
      <w:r>
        <w:rPr>
          <w:rFonts w:ascii="Arial" w:hAnsi="Arial" w:cs="Arial"/>
          <w:sz w:val="18"/>
          <w:szCs w:val="18"/>
          <w:lang w:val="fr-FR"/>
        </w:rPr>
        <w:t>“</w:t>
      </w:r>
      <w:r w:rsidRPr="00856A61">
        <w:rPr>
          <w:rFonts w:ascii="Arial" w:hAnsi="Arial" w:cs="Arial"/>
          <w:sz w:val="18"/>
          <w:szCs w:val="18"/>
          <w:lang w:val="fr-FR"/>
        </w:rPr>
        <w:t>utilisation non autorisée” de matériel de reproduction ou de multiplication, les actes de culture (planter et cultiv</w:t>
      </w:r>
      <w:r w:rsidR="00E402DE" w:rsidRPr="00856A61">
        <w:rPr>
          <w:rFonts w:ascii="Arial" w:hAnsi="Arial" w:cs="Arial"/>
          <w:sz w:val="18"/>
          <w:szCs w:val="18"/>
          <w:lang w:val="fr-FR"/>
        </w:rPr>
        <w:t>er)</w:t>
      </w:r>
      <w:r w:rsidR="00E402DE">
        <w:rPr>
          <w:rFonts w:ascii="Arial" w:hAnsi="Arial" w:cs="Arial"/>
          <w:sz w:val="18"/>
          <w:szCs w:val="18"/>
          <w:lang w:val="fr-FR"/>
        </w:rPr>
        <w:t xml:space="preserve">.  </w:t>
      </w:r>
      <w:r w:rsidR="00E402DE" w:rsidRPr="00856A61">
        <w:rPr>
          <w:rFonts w:ascii="Arial" w:hAnsi="Arial" w:cs="Arial"/>
          <w:sz w:val="18"/>
          <w:szCs w:val="18"/>
          <w:lang w:val="fr-FR"/>
        </w:rPr>
        <w:t>Ce</w:t>
      </w:r>
      <w:r w:rsidRPr="00856A61">
        <w:rPr>
          <w:rFonts w:ascii="Arial" w:hAnsi="Arial" w:cs="Arial"/>
          <w:sz w:val="18"/>
          <w:szCs w:val="18"/>
          <w:lang w:val="fr-FR"/>
        </w:rPr>
        <w:t>la apporterait une solution à la situation dans laquelle des arbres (matériel de reproduction ou de multiplication) sont produits avant que le droit d</w:t>
      </w:r>
      <w:r w:rsidR="000970A8">
        <w:rPr>
          <w:rFonts w:ascii="Arial" w:hAnsi="Arial" w:cs="Arial"/>
          <w:sz w:val="18"/>
          <w:szCs w:val="18"/>
          <w:lang w:val="fr-FR"/>
        </w:rPr>
        <w:t>’</w:t>
      </w:r>
      <w:r w:rsidRPr="00856A61">
        <w:rPr>
          <w:rFonts w:ascii="Arial" w:hAnsi="Arial" w:cs="Arial"/>
          <w:sz w:val="18"/>
          <w:szCs w:val="18"/>
          <w:lang w:val="fr-FR"/>
        </w:rPr>
        <w:t>obtenteur soit accordé, puis sont plantés sur l</w:t>
      </w:r>
      <w:r w:rsidR="000970A8">
        <w:rPr>
          <w:rFonts w:ascii="Arial" w:hAnsi="Arial" w:cs="Arial"/>
          <w:sz w:val="18"/>
          <w:szCs w:val="18"/>
          <w:lang w:val="fr-FR"/>
        </w:rPr>
        <w:t>’</w:t>
      </w:r>
      <w:r w:rsidRPr="00856A61">
        <w:rPr>
          <w:rFonts w:ascii="Arial" w:hAnsi="Arial" w:cs="Arial"/>
          <w:sz w:val="18"/>
          <w:szCs w:val="18"/>
          <w:lang w:val="fr-FR"/>
        </w:rPr>
        <w:t>exploitation d</w:t>
      </w:r>
      <w:r w:rsidR="000970A8">
        <w:rPr>
          <w:rFonts w:ascii="Arial" w:hAnsi="Arial" w:cs="Arial"/>
          <w:sz w:val="18"/>
          <w:szCs w:val="18"/>
          <w:lang w:val="fr-FR"/>
        </w:rPr>
        <w:t>’</w:t>
      </w:r>
      <w:r w:rsidRPr="00856A61">
        <w:rPr>
          <w:rFonts w:ascii="Arial" w:hAnsi="Arial" w:cs="Arial"/>
          <w:sz w:val="18"/>
          <w:szCs w:val="18"/>
          <w:lang w:val="fr-FR"/>
        </w:rPr>
        <w:t>un cultivateur, qui produit des fruits en continu pendant plusieurs années.</w:t>
      </w:r>
    </w:p>
    <w:p w:rsidR="00F66643" w:rsidRPr="00856A61" w:rsidRDefault="00F66643" w:rsidP="00F66643">
      <w:pPr>
        <w:pStyle w:val="TableParagraph"/>
        <w:ind w:left="567" w:right="567"/>
        <w:jc w:val="both"/>
        <w:rPr>
          <w:rFonts w:ascii="Arial" w:hAnsi="Arial" w:cs="Arial"/>
          <w:sz w:val="18"/>
          <w:szCs w:val="18"/>
          <w:lang w:val="fr-FR"/>
        </w:rPr>
      </w:pPr>
    </w:p>
    <w:p w:rsidR="00F66643" w:rsidRPr="00856A61" w:rsidRDefault="00F66643" w:rsidP="00F66643">
      <w:pPr>
        <w:pStyle w:val="TableParagraph"/>
        <w:ind w:left="567" w:right="567"/>
        <w:jc w:val="both"/>
        <w:rPr>
          <w:rFonts w:ascii="Arial" w:hAnsi="Arial" w:cs="Arial"/>
          <w:sz w:val="18"/>
          <w:szCs w:val="18"/>
          <w:lang w:val="fr-FR" w:eastAsia="zh-CN"/>
        </w:rPr>
      </w:pPr>
      <w:r w:rsidRPr="00856A61">
        <w:rPr>
          <w:rFonts w:ascii="Arial" w:hAnsi="Arial" w:cs="Arial"/>
          <w:sz w:val="18"/>
          <w:szCs w:val="18"/>
          <w:lang w:val="fr-FR"/>
        </w:rPr>
        <w:t>La protection efficace du produit de la récolte est très importante pour les sélectionneu</w:t>
      </w:r>
      <w:r w:rsidR="00E402DE" w:rsidRPr="00856A61">
        <w:rPr>
          <w:rFonts w:ascii="Arial" w:hAnsi="Arial" w:cs="Arial"/>
          <w:sz w:val="18"/>
          <w:szCs w:val="18"/>
          <w:lang w:val="fr-FR"/>
        </w:rPr>
        <w:t>rs</w:t>
      </w:r>
      <w:r w:rsidR="00E402DE">
        <w:rPr>
          <w:rFonts w:ascii="Arial" w:hAnsi="Arial" w:cs="Arial"/>
          <w:sz w:val="18"/>
          <w:szCs w:val="18"/>
          <w:lang w:val="fr-FR"/>
        </w:rPr>
        <w:t xml:space="preserve">.  </w:t>
      </w:r>
      <w:r w:rsidR="00E402DE" w:rsidRPr="00856A61">
        <w:rPr>
          <w:rFonts w:ascii="Arial" w:hAnsi="Arial" w:cs="Arial"/>
          <w:sz w:val="18"/>
          <w:szCs w:val="18"/>
          <w:lang w:val="fr-FR"/>
        </w:rPr>
        <w:t>Pa</w:t>
      </w:r>
      <w:r w:rsidRPr="00856A61">
        <w:rPr>
          <w:rFonts w:ascii="Arial" w:hAnsi="Arial" w:cs="Arial"/>
          <w:sz w:val="18"/>
          <w:szCs w:val="18"/>
          <w:lang w:val="fr-FR"/>
        </w:rPr>
        <w:t>r conséquent, il pourrait être souhaitable d</w:t>
      </w:r>
      <w:r w:rsidR="000970A8">
        <w:rPr>
          <w:rFonts w:ascii="Arial" w:hAnsi="Arial" w:cs="Arial"/>
          <w:sz w:val="18"/>
          <w:szCs w:val="18"/>
          <w:lang w:val="fr-FR"/>
        </w:rPr>
        <w:t>’</w:t>
      </w:r>
      <w:r w:rsidRPr="00856A61">
        <w:rPr>
          <w:rFonts w:ascii="Arial" w:hAnsi="Arial" w:cs="Arial"/>
          <w:sz w:val="18"/>
          <w:szCs w:val="18"/>
          <w:lang w:val="fr-FR"/>
        </w:rPr>
        <w:t>organiser un séminaire à ce sujet pendant le premier semestre de</w:t>
      </w:r>
      <w:r>
        <w:rPr>
          <w:rFonts w:ascii="Arial" w:hAnsi="Arial" w:cs="Arial"/>
          <w:sz w:val="18"/>
          <w:szCs w:val="18"/>
          <w:lang w:val="fr-FR"/>
        </w:rPr>
        <w:t> </w:t>
      </w:r>
      <w:r w:rsidRPr="00856A61">
        <w:rPr>
          <w:rFonts w:ascii="Arial" w:hAnsi="Arial" w:cs="Arial"/>
          <w:sz w:val="18"/>
          <w:szCs w:val="18"/>
          <w:lang w:val="fr-FR"/>
        </w:rPr>
        <w:t>2021.”</w:t>
      </w:r>
    </w:p>
    <w:p w:rsidR="00F66643" w:rsidRPr="00856A61" w:rsidRDefault="00F66643" w:rsidP="00F66643">
      <w:pPr>
        <w:jc w:val="left"/>
      </w:pPr>
      <w:bookmarkStart w:id="37" w:name="_Toc54097494"/>
      <w:bookmarkStart w:id="38" w:name="_Toc54097628"/>
    </w:p>
    <w:p w:rsidR="00F66643" w:rsidRPr="00856A61" w:rsidRDefault="00F66643" w:rsidP="00F66643">
      <w:pPr>
        <w:rPr>
          <w:snapToGrid w:val="0"/>
        </w:rPr>
      </w:pPr>
      <w:r w:rsidRPr="00856A61">
        <w:rPr>
          <w:spacing w:val="-2"/>
        </w:rPr>
        <w:fldChar w:fldCharType="begin"/>
      </w:r>
      <w:r w:rsidRPr="00856A61">
        <w:rPr>
          <w:spacing w:val="-2"/>
        </w:rPr>
        <w:instrText xml:space="preserve"> AUTONUM  </w:instrText>
      </w:r>
      <w:r w:rsidRPr="00856A61">
        <w:rPr>
          <w:spacing w:val="-2"/>
        </w:rPr>
        <w:fldChar w:fldCharType="end"/>
      </w:r>
      <w:r w:rsidRPr="00856A61">
        <w:rPr>
          <w:spacing w:val="-2"/>
        </w:rPr>
        <w:tab/>
        <w:t>Dans leurs observations conjointes reçues en réponse à la circulaire</w:t>
      </w:r>
      <w:r>
        <w:rPr>
          <w:spacing w:val="-2"/>
        </w:rPr>
        <w:t> </w:t>
      </w:r>
      <w:r w:rsidRPr="00856A61">
        <w:rPr>
          <w:spacing w:val="-2"/>
        </w:rPr>
        <w:t>E</w:t>
      </w:r>
      <w:r w:rsidR="00945DBD">
        <w:rPr>
          <w:spacing w:val="-2"/>
        </w:rPr>
        <w:noBreakHyphen/>
      </w:r>
      <w:r w:rsidRPr="00856A61">
        <w:rPr>
          <w:spacing w:val="-2"/>
        </w:rPr>
        <w:t>20/120 du 21</w:t>
      </w:r>
      <w:r>
        <w:rPr>
          <w:spacing w:val="-2"/>
        </w:rPr>
        <w:t> </w:t>
      </w:r>
      <w:r w:rsidRPr="00856A61">
        <w:rPr>
          <w:spacing w:val="-2"/>
        </w:rPr>
        <w:t>août</w:t>
      </w:r>
      <w:r>
        <w:rPr>
          <w:spacing w:val="-2"/>
        </w:rPr>
        <w:t> </w:t>
      </w:r>
      <w:r w:rsidRPr="00856A61">
        <w:rPr>
          <w:spacing w:val="-2"/>
        </w:rPr>
        <w:t>2020, l</w:t>
      </w:r>
      <w:r w:rsidR="000970A8">
        <w:rPr>
          <w:spacing w:val="-2"/>
        </w:rPr>
        <w:t>’</w:t>
      </w:r>
      <w:r w:rsidRPr="00856A61">
        <w:rPr>
          <w:spacing w:val="-2"/>
        </w:rPr>
        <w:t>ISF, l</w:t>
      </w:r>
      <w:r w:rsidR="000970A8">
        <w:rPr>
          <w:spacing w:val="-2"/>
        </w:rPr>
        <w:t>’</w:t>
      </w:r>
      <w:r w:rsidRPr="00856A61">
        <w:rPr>
          <w:spacing w:val="-2"/>
        </w:rPr>
        <w:t>Association africaine du commerce des semences (AFSTA), l</w:t>
      </w:r>
      <w:r w:rsidR="000970A8">
        <w:rPr>
          <w:spacing w:val="-2"/>
        </w:rPr>
        <w:t>’</w:t>
      </w:r>
      <w:r w:rsidRPr="00856A61">
        <w:rPr>
          <w:spacing w:val="-2"/>
        </w:rPr>
        <w:t>Association des semenciers d</w:t>
      </w:r>
      <w:r w:rsidR="000970A8">
        <w:rPr>
          <w:spacing w:val="-2"/>
        </w:rPr>
        <w:t>’</w:t>
      </w:r>
      <w:r w:rsidRPr="00856A61">
        <w:rPr>
          <w:spacing w:val="-2"/>
        </w:rPr>
        <w:t xml:space="preserve">Asie et du Pacifique (APSA) et la </w:t>
      </w:r>
      <w:proofErr w:type="spellStart"/>
      <w:r w:rsidRPr="00700B2A">
        <w:rPr>
          <w:i/>
          <w:snapToGrid w:val="0"/>
          <w:spacing w:val="-2"/>
        </w:rPr>
        <w:t>Seed</w:t>
      </w:r>
      <w:proofErr w:type="spellEnd"/>
      <w:r w:rsidRPr="00700B2A">
        <w:rPr>
          <w:i/>
          <w:snapToGrid w:val="0"/>
          <w:spacing w:val="-2"/>
        </w:rPr>
        <w:t xml:space="preserve"> Association of the </w:t>
      </w:r>
      <w:proofErr w:type="spellStart"/>
      <w:r w:rsidRPr="00700B2A">
        <w:rPr>
          <w:i/>
          <w:snapToGrid w:val="0"/>
          <w:spacing w:val="-2"/>
        </w:rPr>
        <w:t>Americas</w:t>
      </w:r>
      <w:proofErr w:type="spellEnd"/>
      <w:r w:rsidRPr="00856A61">
        <w:rPr>
          <w:snapToGrid w:val="0"/>
          <w:spacing w:val="-2"/>
        </w:rPr>
        <w:t xml:space="preserve"> (SAA) ont exprimé leur soutien en faveur de la proposition ci</w:t>
      </w:r>
      <w:r w:rsidR="00945DBD">
        <w:rPr>
          <w:snapToGrid w:val="0"/>
          <w:spacing w:val="-2"/>
        </w:rPr>
        <w:noBreakHyphen/>
      </w:r>
      <w:r w:rsidRPr="00856A61">
        <w:rPr>
          <w:snapToGrid w:val="0"/>
          <w:spacing w:val="-2"/>
        </w:rPr>
        <w:t>dessus formulée par la</w:t>
      </w:r>
      <w:r>
        <w:rPr>
          <w:snapToGrid w:val="0"/>
          <w:spacing w:val="-2"/>
        </w:rPr>
        <w:t> </w:t>
      </w:r>
      <w:r w:rsidRPr="00856A61">
        <w:rPr>
          <w:snapToGrid w:val="0"/>
          <w:spacing w:val="-2"/>
        </w:rPr>
        <w:t>CIOPORA et l</w:t>
      </w:r>
      <w:r w:rsidR="000970A8">
        <w:rPr>
          <w:snapToGrid w:val="0"/>
          <w:spacing w:val="-2"/>
        </w:rPr>
        <w:t>’</w:t>
      </w:r>
      <w:r w:rsidRPr="00856A61">
        <w:rPr>
          <w:snapToGrid w:val="0"/>
          <w:spacing w:val="-2"/>
        </w:rPr>
        <w:t>ISF en vue d</w:t>
      </w:r>
      <w:r w:rsidR="000970A8">
        <w:rPr>
          <w:snapToGrid w:val="0"/>
          <w:spacing w:val="-2"/>
        </w:rPr>
        <w:t>’</w:t>
      </w:r>
      <w:r w:rsidRPr="00856A61">
        <w:rPr>
          <w:snapToGrid w:val="0"/>
          <w:spacing w:val="-2"/>
        </w:rPr>
        <w:t>organiser un séminaire sur ce sujet, comme reproduit ci</w:t>
      </w:r>
      <w:r w:rsidR="00945DBD">
        <w:rPr>
          <w:snapToGrid w:val="0"/>
          <w:spacing w:val="-2"/>
        </w:rPr>
        <w:noBreakHyphen/>
      </w:r>
      <w:r w:rsidRPr="00856A61">
        <w:rPr>
          <w:snapToGrid w:val="0"/>
          <w:spacing w:val="-2"/>
        </w:rPr>
        <w:t>dessous</w:t>
      </w:r>
      <w:r w:rsidR="000970A8">
        <w:rPr>
          <w:snapToGrid w:val="0"/>
          <w:spacing w:val="-2"/>
        </w:rPr>
        <w:t> :</w:t>
      </w:r>
    </w:p>
    <w:p w:rsidR="00F66643" w:rsidRPr="00856A61" w:rsidRDefault="00F66643" w:rsidP="00F66643">
      <w:pPr>
        <w:ind w:left="567" w:right="567"/>
        <w:rPr>
          <w:sz w:val="18"/>
        </w:rPr>
      </w:pPr>
    </w:p>
    <w:p w:rsidR="00F66643" w:rsidRPr="00AD17A6" w:rsidRDefault="00F66643" w:rsidP="00F66643">
      <w:pPr>
        <w:ind w:left="567" w:right="567"/>
        <w:rPr>
          <w:sz w:val="18"/>
        </w:rPr>
      </w:pPr>
      <w:r w:rsidRPr="00AD17A6">
        <w:rPr>
          <w:sz w:val="18"/>
        </w:rPr>
        <w:t>“Nous accueillons avec satisfaction les contributions de l</w:t>
      </w:r>
      <w:r w:rsidR="000970A8" w:rsidRPr="00AD17A6">
        <w:rPr>
          <w:sz w:val="18"/>
        </w:rPr>
        <w:t>’</w:t>
      </w:r>
      <w:r w:rsidRPr="00AD17A6">
        <w:rPr>
          <w:sz w:val="18"/>
        </w:rPr>
        <w:t>Union européenne et du Jap</w:t>
      </w:r>
      <w:r w:rsidR="00E402DE" w:rsidRPr="00AD17A6">
        <w:rPr>
          <w:sz w:val="18"/>
        </w:rPr>
        <w:t>on.  No</w:t>
      </w:r>
      <w:r w:rsidRPr="00AD17A6">
        <w:rPr>
          <w:sz w:val="18"/>
        </w:rPr>
        <w:t>us convenons qu</w:t>
      </w:r>
      <w:r w:rsidR="000970A8" w:rsidRPr="00AD17A6">
        <w:rPr>
          <w:sz w:val="18"/>
        </w:rPr>
        <w:t>’</w:t>
      </w:r>
      <w:r w:rsidRPr="00AD17A6">
        <w:rPr>
          <w:sz w:val="18"/>
        </w:rPr>
        <w:t>il s</w:t>
      </w:r>
      <w:r w:rsidR="000970A8" w:rsidRPr="00AD17A6">
        <w:rPr>
          <w:sz w:val="18"/>
        </w:rPr>
        <w:t>’</w:t>
      </w:r>
      <w:r w:rsidRPr="00AD17A6">
        <w:rPr>
          <w:sz w:val="18"/>
        </w:rPr>
        <w:t>agit d</w:t>
      </w:r>
      <w:r w:rsidR="000970A8" w:rsidRPr="00AD17A6">
        <w:rPr>
          <w:sz w:val="18"/>
        </w:rPr>
        <w:t>’</w:t>
      </w:r>
      <w:r w:rsidRPr="00AD17A6">
        <w:rPr>
          <w:sz w:val="18"/>
        </w:rPr>
        <w:t>une question de grande importance.</w:t>
      </w:r>
    </w:p>
    <w:p w:rsidR="00F66643" w:rsidRPr="00AD17A6" w:rsidRDefault="00F66643" w:rsidP="00F66643">
      <w:pPr>
        <w:ind w:left="567" w:right="567"/>
        <w:rPr>
          <w:sz w:val="18"/>
        </w:rPr>
      </w:pPr>
      <w:r w:rsidRPr="00AD17A6">
        <w:rPr>
          <w:sz w:val="18"/>
        </w:rPr>
        <w:t>L</w:t>
      </w:r>
      <w:r w:rsidR="000970A8" w:rsidRPr="00AD17A6">
        <w:rPr>
          <w:sz w:val="18"/>
        </w:rPr>
        <w:t>’</w:t>
      </w:r>
      <w:r w:rsidRPr="00AD17A6">
        <w:rPr>
          <w:sz w:val="18"/>
        </w:rPr>
        <w:t>ISF a envoyé une lettre cosignée par la CIOPORA à ce sujet, et nous remercions les membres d</w:t>
      </w:r>
      <w:r w:rsidR="000970A8" w:rsidRPr="00AD17A6">
        <w:rPr>
          <w:sz w:val="18"/>
        </w:rPr>
        <w:t>’</w:t>
      </w:r>
      <w:r w:rsidRPr="00AD17A6">
        <w:rPr>
          <w:sz w:val="18"/>
        </w:rPr>
        <w:t>avoir examiné notre demande d</w:t>
      </w:r>
      <w:r w:rsidR="000970A8" w:rsidRPr="00AD17A6">
        <w:rPr>
          <w:sz w:val="18"/>
        </w:rPr>
        <w:t>’</w:t>
      </w:r>
      <w:r w:rsidRPr="00AD17A6">
        <w:rPr>
          <w:sz w:val="18"/>
        </w:rPr>
        <w:t>organiser un séminaire ou un webinaire afin d</w:t>
      </w:r>
      <w:r w:rsidR="000970A8" w:rsidRPr="00AD17A6">
        <w:rPr>
          <w:sz w:val="18"/>
        </w:rPr>
        <w:t>’</w:t>
      </w:r>
      <w:r w:rsidRPr="00AD17A6">
        <w:rPr>
          <w:sz w:val="18"/>
        </w:rPr>
        <w:t>aborder plus avant la définition d</w:t>
      </w:r>
      <w:r w:rsidR="000970A8" w:rsidRPr="00AD17A6">
        <w:rPr>
          <w:sz w:val="18"/>
        </w:rPr>
        <w:t>’</w:t>
      </w:r>
      <w:r w:rsidRPr="00AD17A6">
        <w:rPr>
          <w:rFonts w:cs="Arial"/>
          <w:sz w:val="18"/>
          <w:szCs w:val="18"/>
        </w:rPr>
        <w:t>“utilisation non autorisée” et de clarifier la note explicative.</w:t>
      </w:r>
      <w:r w:rsidRPr="00AD17A6">
        <w:rPr>
          <w:sz w:val="18"/>
        </w:rPr>
        <w:t>”</w:t>
      </w:r>
    </w:p>
    <w:p w:rsidR="00F66643" w:rsidRPr="00AD17A6" w:rsidRDefault="00F66643" w:rsidP="00F66643"/>
    <w:p w:rsidR="00F66643" w:rsidRPr="00856A61" w:rsidRDefault="00F66643" w:rsidP="00F66643">
      <w:pPr>
        <w:pStyle w:val="DecisionParagraphs"/>
        <w:keepNext/>
        <w:keepLines/>
        <w:rPr>
          <w:spacing w:val="-2"/>
        </w:rPr>
      </w:pPr>
      <w:r w:rsidRPr="00AD17A6">
        <w:fldChar w:fldCharType="begin"/>
      </w:r>
      <w:r w:rsidRPr="00AD17A6">
        <w:instrText xml:space="preserve"> AUTONUM  </w:instrText>
      </w:r>
      <w:r w:rsidRPr="00AD17A6">
        <w:fldChar w:fldCharType="end"/>
      </w:r>
      <w:r w:rsidRPr="00AD17A6">
        <w:tab/>
        <w:t>Le CAJ est invité à examiner la proposition d</w:t>
      </w:r>
      <w:r w:rsidR="000970A8" w:rsidRPr="00AD17A6">
        <w:t>’</w:t>
      </w:r>
      <w:r w:rsidRPr="00AD17A6">
        <w:t>organiser un séminaire pendant le premier semestre de 2021, afin</w:t>
      </w:r>
      <w:r w:rsidRPr="00856A61">
        <w:t xml:space="preserve"> d</w:t>
      </w:r>
      <w:r w:rsidR="000970A8">
        <w:t>’</w:t>
      </w:r>
      <w:r w:rsidRPr="00856A61">
        <w:t>échanger des informations sur les questions relatives au produit de la récolte et à l</w:t>
      </w:r>
      <w:r w:rsidR="000970A8">
        <w:t>’</w:t>
      </w:r>
      <w:r w:rsidRPr="00856A61">
        <w:t>utilisation non autorisée de matériel de reproduction ou de multiplication.</w:t>
      </w:r>
    </w:p>
    <w:p w:rsidR="00F66643" w:rsidRPr="00856A61" w:rsidRDefault="00F66643" w:rsidP="00F66643"/>
    <w:p w:rsidR="00F66643" w:rsidRPr="00856A61" w:rsidRDefault="00F66643" w:rsidP="00F66643"/>
    <w:p w:rsidR="00F66643" w:rsidRPr="007145E5" w:rsidRDefault="00F66643" w:rsidP="00F66643"/>
    <w:p w:rsidR="00F66643" w:rsidRPr="007145E5" w:rsidRDefault="00F66643" w:rsidP="007145E5">
      <w:pPr>
        <w:pStyle w:val="Heading1"/>
      </w:pPr>
      <w:bookmarkStart w:id="39" w:name="_Toc55924385"/>
      <w:r w:rsidRPr="007145E5">
        <w:t>Point 9 de l</w:t>
      </w:r>
      <w:r w:rsidR="000970A8" w:rsidRPr="007145E5">
        <w:t>’</w:t>
      </w:r>
      <w:r w:rsidRPr="007145E5">
        <w:t>ordre du jour</w:t>
      </w:r>
      <w:r w:rsidR="000970A8" w:rsidRPr="007145E5">
        <w:t> :</w:t>
      </w:r>
      <w:r w:rsidRPr="007145E5">
        <w:t xml:space="preserve"> </w:t>
      </w:r>
      <w:r w:rsidR="007145E5" w:rsidRPr="007145E5">
        <w:t xml:space="preserve">Nouveauté </w:t>
      </w:r>
      <w:r w:rsidRPr="007145E5">
        <w:t xml:space="preserve">des </w:t>
      </w:r>
      <w:r w:rsidR="007145E5" w:rsidRPr="007145E5">
        <w:t xml:space="preserve">lignées </w:t>
      </w:r>
      <w:r w:rsidRPr="007145E5">
        <w:t>parentales en rapport avec l</w:t>
      </w:r>
      <w:r w:rsidR="000970A8" w:rsidRPr="007145E5">
        <w:t>’</w:t>
      </w:r>
      <w:r w:rsidRPr="007145E5">
        <w:t>exploitation d</w:t>
      </w:r>
      <w:r w:rsidR="000970A8" w:rsidRPr="007145E5">
        <w:t>’</w:t>
      </w:r>
      <w:r w:rsidRPr="007145E5">
        <w:t xml:space="preserve">une </w:t>
      </w:r>
      <w:r w:rsidR="007145E5" w:rsidRPr="007145E5">
        <w:t xml:space="preserve">variété </w:t>
      </w:r>
      <w:r w:rsidRPr="007145E5">
        <w:t>hybride (document CAJ/77/6)</w:t>
      </w:r>
      <w:bookmarkEnd w:id="37"/>
      <w:bookmarkEnd w:id="38"/>
      <w:bookmarkEnd w:id="39"/>
    </w:p>
    <w:p w:rsidR="00F66643" w:rsidRPr="00856A61" w:rsidRDefault="00F66643" w:rsidP="00F66643">
      <w:pPr>
        <w:keepNext/>
        <w:ind w:left="567" w:hanging="567"/>
        <w:jc w:val="left"/>
      </w:pPr>
    </w:p>
    <w:p w:rsidR="00F66643" w:rsidRPr="00AD17A6" w:rsidRDefault="00F66643" w:rsidP="00F66643">
      <w:pPr>
        <w:keepLines/>
      </w:pPr>
      <w:r w:rsidRPr="00AD17A6">
        <w:fldChar w:fldCharType="begin"/>
      </w:r>
      <w:r w:rsidRPr="00AD17A6">
        <w:instrText xml:space="preserve"> AUTONUM  </w:instrText>
      </w:r>
      <w:r w:rsidRPr="00AD17A6">
        <w:fldChar w:fldCharType="end"/>
      </w:r>
      <w:r w:rsidRPr="00AD17A6">
        <w:tab/>
        <w:t xml:space="preserve">En réponse à la </w:t>
      </w:r>
      <w:r w:rsidRPr="00AD17A6">
        <w:rPr>
          <w:spacing w:val="-2"/>
        </w:rPr>
        <w:t>circulaire</w:t>
      </w:r>
      <w:r w:rsidRPr="00AD17A6">
        <w:rPr>
          <w:snapToGrid w:val="0"/>
          <w:spacing w:val="-2"/>
        </w:rPr>
        <w:t> </w:t>
      </w:r>
      <w:r w:rsidRPr="00AD17A6">
        <w:t>E</w:t>
      </w:r>
      <w:r w:rsidR="00945DBD" w:rsidRPr="00AD17A6">
        <w:noBreakHyphen/>
      </w:r>
      <w:r w:rsidRPr="00AD17A6">
        <w:t>20/120 du 21 août 2020, des observations ont été soumises par l</w:t>
      </w:r>
      <w:r w:rsidR="000970A8" w:rsidRPr="00AD17A6">
        <w:t>’</w:t>
      </w:r>
      <w:r w:rsidRPr="00AD17A6">
        <w:t xml:space="preserve">Union européenne et par </w:t>
      </w:r>
      <w:proofErr w:type="spellStart"/>
      <w:r w:rsidRPr="00AD17A6">
        <w:rPr>
          <w:i/>
        </w:rPr>
        <w:t>Euroseeds</w:t>
      </w:r>
      <w:proofErr w:type="spellEnd"/>
      <w:r w:rsidRPr="00AD17A6">
        <w:t>, et des observations conjointes ont été reçues de la part de l</w:t>
      </w:r>
      <w:r w:rsidR="000970A8" w:rsidRPr="00AD17A6">
        <w:t>’</w:t>
      </w:r>
      <w:r w:rsidRPr="00AD17A6">
        <w:t>ISF, de l</w:t>
      </w:r>
      <w:r w:rsidR="000970A8" w:rsidRPr="00AD17A6">
        <w:t>’</w:t>
      </w:r>
      <w:r w:rsidRPr="00AD17A6">
        <w:t>AFSTA, de l</w:t>
      </w:r>
      <w:r w:rsidR="000970A8" w:rsidRPr="00AD17A6">
        <w:t>’</w:t>
      </w:r>
      <w:r w:rsidRPr="00AD17A6">
        <w:t xml:space="preserve">APSA et de la SAA, concernant le </w:t>
      </w:r>
      <w:r w:rsidRPr="00AD17A6">
        <w:rPr>
          <w:rFonts w:cs="Arial"/>
          <w:lang w:eastAsia="fr-FR"/>
        </w:rPr>
        <w:t>document CAJ/77/6 </w:t>
      </w:r>
      <w:r w:rsidRPr="00AD17A6">
        <w:t>;  ces observations n</w:t>
      </w:r>
      <w:r w:rsidR="000970A8" w:rsidRPr="00AD17A6">
        <w:t>’</w:t>
      </w:r>
      <w:r w:rsidRPr="00AD17A6">
        <w:t xml:space="preserve">étaient pas simples et, par conséquent, le </w:t>
      </w:r>
      <w:r w:rsidRPr="00AD17A6">
        <w:rPr>
          <w:rFonts w:cs="Arial"/>
          <w:lang w:eastAsia="fr-FR"/>
        </w:rPr>
        <w:t>document CAJ/77/6 n</w:t>
      </w:r>
      <w:r w:rsidR="000970A8" w:rsidRPr="00AD17A6">
        <w:rPr>
          <w:rFonts w:cs="Arial"/>
          <w:lang w:eastAsia="fr-FR"/>
        </w:rPr>
        <w:t>’</w:t>
      </w:r>
      <w:r w:rsidRPr="00AD17A6">
        <w:rPr>
          <w:rFonts w:cs="Arial"/>
          <w:lang w:eastAsia="fr-FR"/>
        </w:rPr>
        <w:t>a pas été inclus à la circulaire E</w:t>
      </w:r>
      <w:r w:rsidR="00945DBD" w:rsidRPr="00AD17A6">
        <w:rPr>
          <w:rFonts w:cs="Arial"/>
          <w:lang w:eastAsia="fr-FR"/>
        </w:rPr>
        <w:noBreakHyphen/>
      </w:r>
      <w:r w:rsidRPr="00AD17A6">
        <w:rPr>
          <w:rFonts w:cs="Arial"/>
          <w:lang w:eastAsia="fr-FR"/>
        </w:rPr>
        <w:t>20/160 du 25 septembre 2020 pour approbation par correspondance par le CAJ et il est soumis au CAJ pour examen à sa session virtuelle du 28 octobre 2020, conjointement avec les observations reçues, qui sont reproduites à l</w:t>
      </w:r>
      <w:r w:rsidR="000970A8" w:rsidRPr="00AD17A6">
        <w:rPr>
          <w:rFonts w:cs="Arial"/>
          <w:lang w:eastAsia="fr-FR"/>
        </w:rPr>
        <w:t>’</w:t>
      </w:r>
      <w:r w:rsidRPr="00AD17A6">
        <w:rPr>
          <w:rFonts w:cs="Arial"/>
          <w:lang w:eastAsia="fr-FR"/>
        </w:rPr>
        <w:t>annexe II du présent document.</w:t>
      </w:r>
    </w:p>
    <w:p w:rsidR="00F66643" w:rsidRPr="00AD17A6" w:rsidRDefault="00F66643" w:rsidP="00F66643">
      <w:pPr>
        <w:ind w:left="567" w:hanging="567"/>
        <w:jc w:val="left"/>
      </w:pPr>
    </w:p>
    <w:p w:rsidR="00F66643" w:rsidRPr="00856A61" w:rsidRDefault="00F66643" w:rsidP="00F66643">
      <w:pPr>
        <w:keepNext/>
        <w:tabs>
          <w:tab w:val="left" w:pos="5387"/>
          <w:tab w:val="left" w:pos="5954"/>
        </w:tabs>
        <w:ind w:left="4820"/>
        <w:rPr>
          <w:rFonts w:eastAsia="MS Mincho"/>
          <w:i/>
        </w:rPr>
      </w:pPr>
      <w:r w:rsidRPr="00AD17A6">
        <w:rPr>
          <w:rFonts w:eastAsia="MS Mincho"/>
          <w:i/>
        </w:rPr>
        <w:fldChar w:fldCharType="begin"/>
      </w:r>
      <w:r w:rsidRPr="00AD17A6">
        <w:rPr>
          <w:rFonts w:eastAsia="MS Mincho"/>
          <w:i/>
        </w:rPr>
        <w:instrText xml:space="preserve"> AUTONUM  </w:instrText>
      </w:r>
      <w:r w:rsidRPr="00AD17A6">
        <w:rPr>
          <w:rFonts w:eastAsia="MS Mincho"/>
          <w:i/>
        </w:rPr>
        <w:fldChar w:fldCharType="end"/>
      </w:r>
      <w:r w:rsidRPr="00AD17A6">
        <w:rPr>
          <w:rFonts w:eastAsia="MS Mincho"/>
          <w:i/>
        </w:rPr>
        <w:tab/>
      </w:r>
      <w:r w:rsidRPr="00AD17A6">
        <w:rPr>
          <w:i/>
          <w:iCs/>
        </w:rPr>
        <w:t>Le CAJ est</w:t>
      </w:r>
      <w:r w:rsidRPr="00856A61">
        <w:rPr>
          <w:i/>
          <w:iCs/>
        </w:rPr>
        <w:t xml:space="preserve"> invité à</w:t>
      </w:r>
      <w:r w:rsidR="000970A8">
        <w:rPr>
          <w:i/>
          <w:iCs/>
        </w:rPr>
        <w:t> :</w:t>
      </w:r>
    </w:p>
    <w:p w:rsidR="00F66643" w:rsidRPr="00856A61" w:rsidRDefault="00F66643" w:rsidP="00F66643">
      <w:pPr>
        <w:keepNext/>
        <w:tabs>
          <w:tab w:val="left" w:pos="5387"/>
          <w:tab w:val="left" w:pos="5954"/>
        </w:tabs>
        <w:ind w:left="4820"/>
        <w:rPr>
          <w:i/>
          <w:snapToGrid w:val="0"/>
          <w:sz w:val="18"/>
          <w:lang w:eastAsia="ja-JP"/>
        </w:rPr>
      </w:pPr>
    </w:p>
    <w:p w:rsidR="00F66643" w:rsidRPr="00EC6F39" w:rsidRDefault="00EC6F39" w:rsidP="008E6B61">
      <w:pPr>
        <w:tabs>
          <w:tab w:val="left" w:pos="5954"/>
        </w:tabs>
        <w:ind w:left="4820" w:firstLine="567"/>
        <w:rPr>
          <w:i/>
          <w:snapToGrid w:val="0"/>
          <w:lang w:eastAsia="ja-JP"/>
        </w:rPr>
      </w:pPr>
      <w:r w:rsidRPr="00360138">
        <w:rPr>
          <w:i/>
          <w:snapToGrid w:val="0"/>
          <w:color w:val="000000"/>
          <w:lang w:val="fr-CH" w:eastAsia="ja-JP"/>
        </w:rPr>
        <w:t>a)</w:t>
      </w:r>
      <w:r w:rsidRPr="00360138">
        <w:rPr>
          <w:i/>
          <w:snapToGrid w:val="0"/>
          <w:color w:val="000000"/>
          <w:lang w:val="fr-CH" w:eastAsia="ja-JP"/>
        </w:rPr>
        <w:tab/>
      </w:r>
      <w:r w:rsidR="00F66643" w:rsidRPr="00EC6F39">
        <w:rPr>
          <w:i/>
          <w:spacing w:val="-2"/>
        </w:rPr>
        <w:t>prendre note des réponses à l</w:t>
      </w:r>
      <w:r w:rsidR="000970A8" w:rsidRPr="00EC6F39">
        <w:rPr>
          <w:i/>
          <w:spacing w:val="-2"/>
        </w:rPr>
        <w:t>’</w:t>
      </w:r>
      <w:r w:rsidR="00F66643" w:rsidRPr="00EC6F39">
        <w:rPr>
          <w:i/>
          <w:spacing w:val="-2"/>
        </w:rPr>
        <w:t>enquête pour étudier l</w:t>
      </w:r>
      <w:r w:rsidR="000970A8" w:rsidRPr="00EC6F39">
        <w:rPr>
          <w:i/>
          <w:spacing w:val="-2"/>
        </w:rPr>
        <w:t>’</w:t>
      </w:r>
      <w:r w:rsidR="00F66643" w:rsidRPr="00EC6F39">
        <w:rPr>
          <w:i/>
          <w:spacing w:val="-2"/>
        </w:rPr>
        <w:t>état de la nouveauté des lignées parentales en rapport avec l</w:t>
      </w:r>
      <w:r w:rsidR="000970A8" w:rsidRPr="00EC6F39">
        <w:rPr>
          <w:i/>
          <w:spacing w:val="-2"/>
        </w:rPr>
        <w:t>’</w:t>
      </w:r>
      <w:r w:rsidR="00F66643" w:rsidRPr="00EC6F39">
        <w:rPr>
          <w:i/>
          <w:spacing w:val="-2"/>
        </w:rPr>
        <w:t>exploitation d</w:t>
      </w:r>
      <w:r w:rsidR="000970A8" w:rsidRPr="00EC6F39">
        <w:rPr>
          <w:i/>
          <w:spacing w:val="-2"/>
        </w:rPr>
        <w:t>’</w:t>
      </w:r>
      <w:r w:rsidR="00F66643" w:rsidRPr="00EC6F39">
        <w:rPr>
          <w:i/>
          <w:spacing w:val="-2"/>
        </w:rPr>
        <w:t>une variété hybride dans les membres de l</w:t>
      </w:r>
      <w:r w:rsidR="000970A8" w:rsidRPr="00EC6F39">
        <w:rPr>
          <w:i/>
          <w:spacing w:val="-2"/>
        </w:rPr>
        <w:t>’</w:t>
      </w:r>
      <w:r w:rsidR="00F66643" w:rsidRPr="00EC6F39">
        <w:rPr>
          <w:i/>
          <w:spacing w:val="-2"/>
        </w:rPr>
        <w:t xml:space="preserve">Union, telles que présentées dans le document </w:t>
      </w:r>
      <w:r w:rsidR="00F66643" w:rsidRPr="00EC6F39">
        <w:rPr>
          <w:i/>
          <w:snapToGrid w:val="0"/>
          <w:lang w:eastAsia="ja-JP"/>
        </w:rPr>
        <w:t xml:space="preserve">CAJ/77/6 </w:t>
      </w:r>
      <w:r w:rsidR="00F66643" w:rsidRPr="00EC6F39">
        <w:rPr>
          <w:i/>
          <w:spacing w:val="-2"/>
        </w:rPr>
        <w:t>et dans ses annexes ;</w:t>
      </w:r>
    </w:p>
    <w:p w:rsidR="00F66643" w:rsidRPr="00AD17A6" w:rsidRDefault="00F66643" w:rsidP="00F66643">
      <w:pPr>
        <w:tabs>
          <w:tab w:val="left" w:pos="5387"/>
          <w:tab w:val="left" w:pos="5954"/>
        </w:tabs>
        <w:ind w:left="4820"/>
        <w:rPr>
          <w:snapToGrid w:val="0"/>
          <w:sz w:val="22"/>
          <w:lang w:eastAsia="ja-JP"/>
        </w:rPr>
      </w:pPr>
    </w:p>
    <w:p w:rsidR="00F66643" w:rsidRPr="00AD17A6" w:rsidRDefault="00EC6F39" w:rsidP="008E6B61">
      <w:pPr>
        <w:keepNext/>
        <w:tabs>
          <w:tab w:val="left" w:pos="5387"/>
          <w:tab w:val="left" w:pos="5954"/>
        </w:tabs>
        <w:ind w:left="4820"/>
        <w:rPr>
          <w:i/>
          <w:snapToGrid w:val="0"/>
          <w:lang w:eastAsia="ja-JP"/>
        </w:rPr>
      </w:pPr>
      <w:r w:rsidRPr="00AD17A6">
        <w:rPr>
          <w:i/>
          <w:snapToGrid w:val="0"/>
          <w:lang w:eastAsia="ja-JP"/>
        </w:rPr>
        <w:lastRenderedPageBreak/>
        <w:tab/>
        <w:t>b)</w:t>
      </w:r>
      <w:r w:rsidRPr="00AD17A6">
        <w:rPr>
          <w:i/>
          <w:snapToGrid w:val="0"/>
          <w:lang w:eastAsia="ja-JP"/>
        </w:rPr>
        <w:tab/>
      </w:r>
      <w:r w:rsidR="00F66643" w:rsidRPr="00AD17A6">
        <w:rPr>
          <w:i/>
          <w:snapToGrid w:val="0"/>
          <w:lang w:eastAsia="ja-JP"/>
        </w:rPr>
        <w:t>inviter les membres de l</w:t>
      </w:r>
      <w:r w:rsidR="000970A8" w:rsidRPr="00AD17A6">
        <w:rPr>
          <w:i/>
          <w:snapToGrid w:val="0"/>
          <w:lang w:eastAsia="ja-JP"/>
        </w:rPr>
        <w:t>’</w:t>
      </w:r>
      <w:r w:rsidR="00F66643" w:rsidRPr="00AD17A6">
        <w:rPr>
          <w:i/>
          <w:snapToGrid w:val="0"/>
          <w:lang w:eastAsia="ja-JP"/>
        </w:rPr>
        <w:t>Union, l</w:t>
      </w:r>
      <w:r w:rsidR="000970A8" w:rsidRPr="00AD17A6">
        <w:rPr>
          <w:i/>
          <w:snapToGrid w:val="0"/>
          <w:lang w:eastAsia="ja-JP"/>
        </w:rPr>
        <w:t>’</w:t>
      </w:r>
      <w:r w:rsidR="00F66643" w:rsidRPr="00AD17A6">
        <w:rPr>
          <w:i/>
          <w:snapToGrid w:val="0"/>
          <w:lang w:eastAsia="ja-JP"/>
        </w:rPr>
        <w:t>ISF, l</w:t>
      </w:r>
      <w:r w:rsidR="000970A8" w:rsidRPr="00AD17A6">
        <w:rPr>
          <w:i/>
          <w:snapToGrid w:val="0"/>
          <w:lang w:eastAsia="ja-JP"/>
        </w:rPr>
        <w:t>’</w:t>
      </w:r>
      <w:r w:rsidR="00F66643" w:rsidRPr="00AD17A6">
        <w:rPr>
          <w:i/>
          <w:snapToGrid w:val="0"/>
          <w:lang w:eastAsia="ja-JP"/>
        </w:rPr>
        <w:t>AFSTA, l</w:t>
      </w:r>
      <w:r w:rsidR="000970A8" w:rsidRPr="00AD17A6">
        <w:rPr>
          <w:i/>
          <w:snapToGrid w:val="0"/>
          <w:lang w:eastAsia="ja-JP"/>
        </w:rPr>
        <w:t>’</w:t>
      </w:r>
      <w:r w:rsidR="00F66643" w:rsidRPr="00AD17A6">
        <w:rPr>
          <w:i/>
          <w:snapToGrid w:val="0"/>
          <w:lang w:eastAsia="ja-JP"/>
        </w:rPr>
        <w:t>APSA et la SAA à proposer des présentations relatives à la nouveauté des lignées parentales en rapport avec l</w:t>
      </w:r>
      <w:r w:rsidR="000970A8" w:rsidRPr="00AD17A6">
        <w:rPr>
          <w:i/>
          <w:snapToGrid w:val="0"/>
          <w:lang w:eastAsia="ja-JP"/>
        </w:rPr>
        <w:t>’</w:t>
      </w:r>
      <w:r w:rsidR="00F66643" w:rsidRPr="00AD17A6">
        <w:rPr>
          <w:i/>
          <w:snapToGrid w:val="0"/>
          <w:lang w:eastAsia="ja-JP"/>
        </w:rPr>
        <w:t>exploitation d</w:t>
      </w:r>
      <w:r w:rsidR="000970A8" w:rsidRPr="00AD17A6">
        <w:rPr>
          <w:i/>
          <w:snapToGrid w:val="0"/>
          <w:lang w:eastAsia="ja-JP"/>
        </w:rPr>
        <w:t>’</w:t>
      </w:r>
      <w:r w:rsidR="00F66643" w:rsidRPr="00AD17A6">
        <w:rPr>
          <w:i/>
          <w:snapToGrid w:val="0"/>
          <w:lang w:eastAsia="ja-JP"/>
        </w:rPr>
        <w:t>une variété hybride pendant la soixante</w:t>
      </w:r>
      <w:r w:rsidR="00945DBD" w:rsidRPr="00AD17A6">
        <w:rPr>
          <w:i/>
          <w:snapToGrid w:val="0"/>
          <w:lang w:eastAsia="ja-JP"/>
        </w:rPr>
        <w:noBreakHyphen/>
      </w:r>
      <w:r w:rsidR="00F66643" w:rsidRPr="00AD17A6">
        <w:rPr>
          <w:i/>
          <w:snapToGrid w:val="0"/>
          <w:lang w:eastAsia="ja-JP"/>
        </w:rPr>
        <w:t>dix</w:t>
      </w:r>
      <w:r w:rsidR="00945DBD" w:rsidRPr="00AD17A6">
        <w:rPr>
          <w:i/>
          <w:snapToGrid w:val="0"/>
          <w:lang w:eastAsia="ja-JP"/>
        </w:rPr>
        <w:noBreakHyphen/>
      </w:r>
      <w:r w:rsidR="00F66643" w:rsidRPr="00AD17A6">
        <w:rPr>
          <w:i/>
          <w:snapToGrid w:val="0"/>
          <w:lang w:eastAsia="ja-JP"/>
        </w:rPr>
        <w:t>huit</w:t>
      </w:r>
      <w:r w:rsidR="000970A8" w:rsidRPr="00AD17A6">
        <w:rPr>
          <w:i/>
          <w:snapToGrid w:val="0"/>
          <w:lang w:eastAsia="ja-JP"/>
        </w:rPr>
        <w:t>ième session</w:t>
      </w:r>
      <w:r w:rsidR="00F66643" w:rsidRPr="00AD17A6">
        <w:rPr>
          <w:i/>
          <w:snapToGrid w:val="0"/>
          <w:lang w:eastAsia="ja-JP"/>
        </w:rPr>
        <w:t xml:space="preserve"> du CAJ, en vue d</w:t>
      </w:r>
      <w:r w:rsidR="000970A8" w:rsidRPr="00AD17A6">
        <w:rPr>
          <w:i/>
          <w:snapToGrid w:val="0"/>
          <w:lang w:eastAsia="ja-JP"/>
        </w:rPr>
        <w:t>’</w:t>
      </w:r>
      <w:r w:rsidR="00F66643" w:rsidRPr="00AD17A6">
        <w:rPr>
          <w:i/>
          <w:snapToGrid w:val="0"/>
          <w:lang w:eastAsia="ja-JP"/>
        </w:rPr>
        <w:t>inviter le Bureau de l</w:t>
      </w:r>
      <w:r w:rsidR="000970A8" w:rsidRPr="00AD17A6">
        <w:rPr>
          <w:i/>
          <w:snapToGrid w:val="0"/>
          <w:lang w:eastAsia="ja-JP"/>
        </w:rPr>
        <w:t>’</w:t>
      </w:r>
      <w:r w:rsidR="00F66643" w:rsidRPr="00AD17A6">
        <w:rPr>
          <w:i/>
          <w:snapToGrid w:val="0"/>
          <w:lang w:eastAsia="ja-JP"/>
        </w:rPr>
        <w:t>Union à amorcer la préparation d</w:t>
      </w:r>
      <w:r w:rsidR="000970A8" w:rsidRPr="00AD17A6">
        <w:rPr>
          <w:i/>
          <w:snapToGrid w:val="0"/>
          <w:lang w:eastAsia="ja-JP"/>
        </w:rPr>
        <w:t>’</w:t>
      </w:r>
      <w:r w:rsidR="00F66643" w:rsidRPr="00AD17A6">
        <w:rPr>
          <w:i/>
          <w:snapToGrid w:val="0"/>
          <w:lang w:eastAsia="ja-JP"/>
        </w:rPr>
        <w:t>orientations communes sur cette question, pour examen par le CAJ à sa soixante</w:t>
      </w:r>
      <w:r w:rsidR="00945DBD" w:rsidRPr="00AD17A6">
        <w:rPr>
          <w:i/>
          <w:snapToGrid w:val="0"/>
          <w:lang w:eastAsia="ja-JP"/>
        </w:rPr>
        <w:noBreakHyphen/>
      </w:r>
      <w:r w:rsidR="00F66643" w:rsidRPr="00AD17A6">
        <w:rPr>
          <w:i/>
          <w:snapToGrid w:val="0"/>
          <w:lang w:eastAsia="ja-JP"/>
        </w:rPr>
        <w:t>dix</w:t>
      </w:r>
      <w:r w:rsidR="00945DBD" w:rsidRPr="00AD17A6">
        <w:rPr>
          <w:i/>
          <w:snapToGrid w:val="0"/>
          <w:lang w:eastAsia="ja-JP"/>
        </w:rPr>
        <w:noBreakHyphen/>
      </w:r>
      <w:r w:rsidR="00F66643" w:rsidRPr="00AD17A6">
        <w:rPr>
          <w:i/>
          <w:snapToGrid w:val="0"/>
          <w:lang w:eastAsia="ja-JP"/>
        </w:rPr>
        <w:t>neuv</w:t>
      </w:r>
      <w:r w:rsidR="000970A8" w:rsidRPr="00AD17A6">
        <w:rPr>
          <w:i/>
          <w:snapToGrid w:val="0"/>
          <w:lang w:eastAsia="ja-JP"/>
        </w:rPr>
        <w:t>ième session</w:t>
      </w:r>
      <w:r w:rsidR="00F66643" w:rsidRPr="00AD17A6">
        <w:rPr>
          <w:i/>
          <w:snapToGrid w:val="0"/>
          <w:lang w:eastAsia="ja-JP"/>
        </w:rPr>
        <w:t>, sur la base des présentations et des discussions qui auront eu lieu pendant la session précédente du CAJ.</w:t>
      </w:r>
    </w:p>
    <w:p w:rsidR="00F66643" w:rsidRDefault="00F66643" w:rsidP="00F66643">
      <w:pPr>
        <w:tabs>
          <w:tab w:val="left" w:pos="5387"/>
          <w:tab w:val="left" w:pos="5954"/>
        </w:tabs>
        <w:ind w:left="4820"/>
        <w:rPr>
          <w:i/>
          <w:spacing w:val="-2"/>
        </w:rPr>
      </w:pPr>
    </w:p>
    <w:p w:rsidR="00ED214A" w:rsidRDefault="00ED214A" w:rsidP="00F66643">
      <w:pPr>
        <w:tabs>
          <w:tab w:val="left" w:pos="5387"/>
          <w:tab w:val="left" w:pos="5954"/>
        </w:tabs>
        <w:ind w:left="4820"/>
        <w:rPr>
          <w:i/>
          <w:spacing w:val="-2"/>
        </w:rPr>
      </w:pPr>
    </w:p>
    <w:p w:rsidR="00ED214A" w:rsidRPr="00856A61" w:rsidRDefault="00ED214A" w:rsidP="00F66643">
      <w:pPr>
        <w:tabs>
          <w:tab w:val="left" w:pos="5387"/>
          <w:tab w:val="left" w:pos="5954"/>
        </w:tabs>
        <w:ind w:left="4820"/>
        <w:rPr>
          <w:i/>
          <w:spacing w:val="-2"/>
        </w:rPr>
      </w:pPr>
    </w:p>
    <w:p w:rsidR="00F66643" w:rsidRPr="00AD17A6" w:rsidRDefault="00F66643" w:rsidP="007145E5">
      <w:pPr>
        <w:pStyle w:val="Heading1"/>
      </w:pPr>
      <w:bookmarkStart w:id="40" w:name="_Toc54097495"/>
      <w:bookmarkStart w:id="41" w:name="_Toc54097629"/>
      <w:bookmarkStart w:id="42" w:name="_Toc55924386"/>
      <w:r w:rsidRPr="00AD17A6">
        <w:t>Point 11 de l</w:t>
      </w:r>
      <w:r w:rsidR="000970A8" w:rsidRPr="00AD17A6">
        <w:t>’</w:t>
      </w:r>
      <w:r w:rsidRPr="00AD17A6">
        <w:t>ordre du jour</w:t>
      </w:r>
      <w:r w:rsidR="000970A8" w:rsidRPr="00AD17A6">
        <w:t> :</w:t>
      </w:r>
      <w:r w:rsidRPr="00AD17A6">
        <w:t xml:space="preserve"> outil de recherche de l</w:t>
      </w:r>
      <w:r w:rsidR="000970A8" w:rsidRPr="00AD17A6">
        <w:t>’</w:t>
      </w:r>
      <w:r w:rsidRPr="00AD17A6">
        <w:t xml:space="preserve">UPOV de </w:t>
      </w:r>
      <w:r w:rsidR="00D355F7" w:rsidRPr="00AD17A6">
        <w:t xml:space="preserve">similarité aux fins de la dénomination variétale </w:t>
      </w:r>
      <w:bookmarkEnd w:id="40"/>
      <w:bookmarkEnd w:id="41"/>
      <w:r w:rsidRPr="00AD17A6">
        <w:t>(document CAJ/77/7)</w:t>
      </w:r>
      <w:bookmarkEnd w:id="42"/>
    </w:p>
    <w:p w:rsidR="00F66643" w:rsidRPr="00AD17A6" w:rsidRDefault="00F66643" w:rsidP="00F66643">
      <w:pPr>
        <w:keepNext/>
        <w:ind w:left="567" w:hanging="567"/>
        <w:jc w:val="left"/>
        <w:rPr>
          <w:kern w:val="28"/>
        </w:rPr>
      </w:pPr>
    </w:p>
    <w:p w:rsidR="00F66643" w:rsidRPr="00AD17A6" w:rsidRDefault="00F66643" w:rsidP="00F66643">
      <w:pPr>
        <w:keepNext/>
        <w:rPr>
          <w:snapToGrid w:val="0"/>
        </w:rPr>
      </w:pPr>
      <w:r w:rsidRPr="00AD17A6">
        <w:fldChar w:fldCharType="begin"/>
      </w:r>
      <w:r w:rsidRPr="00AD17A6">
        <w:instrText xml:space="preserve"> AUTONUM  </w:instrText>
      </w:r>
      <w:r w:rsidRPr="00AD17A6">
        <w:fldChar w:fldCharType="end"/>
      </w:r>
      <w:r w:rsidRPr="00AD17A6">
        <w:tab/>
        <w:t>Le CAJ a examiné le document</w:t>
      </w:r>
      <w:r w:rsidRPr="00AD17A6">
        <w:rPr>
          <w:snapToGrid w:val="0"/>
        </w:rPr>
        <w:t xml:space="preserve"> CAJ/77/7.</w:t>
      </w:r>
    </w:p>
    <w:p w:rsidR="00F66643" w:rsidRPr="00AD17A6" w:rsidRDefault="00F66643" w:rsidP="00F66643">
      <w:pPr>
        <w:keepNext/>
        <w:ind w:left="567" w:hanging="567"/>
        <w:jc w:val="left"/>
        <w:rPr>
          <w:kern w:val="28"/>
        </w:rPr>
      </w:pPr>
    </w:p>
    <w:p w:rsidR="00F66643" w:rsidRPr="00AD17A6" w:rsidRDefault="00F66643" w:rsidP="00F66643">
      <w:pPr>
        <w:keepNext/>
      </w:pPr>
      <w:r w:rsidRPr="00AD17A6">
        <w:fldChar w:fldCharType="begin"/>
      </w:r>
      <w:r w:rsidRPr="00AD17A6">
        <w:instrText xml:space="preserve"> AUTONUM  </w:instrText>
      </w:r>
      <w:r w:rsidRPr="00AD17A6">
        <w:fldChar w:fldCharType="end"/>
      </w:r>
      <w:r w:rsidRPr="00AD17A6">
        <w:tab/>
        <w:t>Le CAJ prend note de la conclusion de l</w:t>
      </w:r>
      <w:r w:rsidR="000970A8" w:rsidRPr="00AD17A6">
        <w:t>’</w:t>
      </w:r>
      <w:r w:rsidRPr="00AD17A6">
        <w:t>OCVV et du Bureau de l</w:t>
      </w:r>
      <w:r w:rsidR="000970A8" w:rsidRPr="00AD17A6">
        <w:t>’</w:t>
      </w:r>
      <w:r w:rsidRPr="00AD17A6">
        <w:t>Union selon laquelle l</w:t>
      </w:r>
      <w:r w:rsidR="000970A8" w:rsidRPr="00AD17A6">
        <w:t>’</w:t>
      </w:r>
      <w:r w:rsidRPr="00AD17A6">
        <w:t>algorithme de recherche de similitudes de l</w:t>
      </w:r>
      <w:r w:rsidR="000970A8" w:rsidRPr="00AD17A6">
        <w:t>’</w:t>
      </w:r>
      <w:r w:rsidRPr="00AD17A6">
        <w:t>OCVV fonctionne bien et l</w:t>
      </w:r>
      <w:r w:rsidR="000970A8" w:rsidRPr="00AD17A6">
        <w:t>’</w:t>
      </w:r>
      <w:r w:rsidRPr="00AD17A6">
        <w:t>utilisation de ressources pour améliorer cet algorithme aux fins de la recherche de similitudes avec les dénominations variétales ne serait pas appropriée pour le moment</w:t>
      </w:r>
      <w:r w:rsidRPr="00AD17A6">
        <w:rPr>
          <w:snapToGrid w:val="0"/>
          <w:spacing w:val="-2"/>
        </w:rPr>
        <w:t>.</w:t>
      </w:r>
    </w:p>
    <w:p w:rsidR="00F66643" w:rsidRPr="00AD17A6" w:rsidRDefault="00F66643" w:rsidP="00F66643"/>
    <w:p w:rsidR="00F66643" w:rsidRPr="00AD17A6" w:rsidRDefault="00F66643" w:rsidP="00F66643">
      <w:pPr>
        <w:keepNext/>
      </w:pPr>
      <w:r w:rsidRPr="00AD17A6">
        <w:fldChar w:fldCharType="begin"/>
      </w:r>
      <w:r w:rsidRPr="00AD17A6">
        <w:instrText xml:space="preserve"> AUTONUM  </w:instrText>
      </w:r>
      <w:r w:rsidRPr="00AD17A6">
        <w:fldChar w:fldCharType="end"/>
      </w:r>
      <w:r w:rsidRPr="00AD17A6">
        <w:tab/>
        <w:t>Le CAJ a accepté que le Bureau de l</w:t>
      </w:r>
      <w:r w:rsidR="000970A8" w:rsidRPr="00AD17A6">
        <w:t>’</w:t>
      </w:r>
      <w:r w:rsidRPr="00AD17A6">
        <w:t>Union étudie conjointement avec l</w:t>
      </w:r>
      <w:r w:rsidR="000970A8" w:rsidRPr="00AD17A6">
        <w:t>’</w:t>
      </w:r>
      <w:r w:rsidRPr="00AD17A6">
        <w:t>OCVV les options pour faire en sorte que l</w:t>
      </w:r>
      <w:r w:rsidR="000970A8" w:rsidRPr="00AD17A6">
        <w:t>’</w:t>
      </w:r>
      <w:r w:rsidRPr="00AD17A6">
        <w:t>outil de recherche sur les dénominations variétales permette une recherche basée sur les caractéristiques, comme indiqué aux paragraphes 14 à 16 du document</w:t>
      </w:r>
      <w:r w:rsidRPr="00AD17A6">
        <w:rPr>
          <w:snapToGrid w:val="0"/>
          <w:spacing w:val="-2"/>
        </w:rPr>
        <w:t xml:space="preserve"> CAJ/77/7.</w:t>
      </w:r>
    </w:p>
    <w:p w:rsidR="00F66643" w:rsidRPr="00AD17A6" w:rsidRDefault="00F66643" w:rsidP="00F66643"/>
    <w:p w:rsidR="00F66643" w:rsidRPr="00AD17A6" w:rsidRDefault="00F66643" w:rsidP="00F66643">
      <w:pPr>
        <w:keepNext/>
        <w:rPr>
          <w:snapToGrid w:val="0"/>
          <w:spacing w:val="-2"/>
        </w:rPr>
      </w:pPr>
      <w:r w:rsidRPr="00AD17A6">
        <w:fldChar w:fldCharType="begin"/>
      </w:r>
      <w:r w:rsidRPr="00AD17A6">
        <w:instrText xml:space="preserve"> AUTONUM  </w:instrText>
      </w:r>
      <w:r w:rsidRPr="00AD17A6">
        <w:fldChar w:fldCharType="end"/>
      </w:r>
      <w:r w:rsidRPr="00AD17A6">
        <w:tab/>
        <w:t>Le CAJ est convenu de rendre compte au CAJ, à sa soixante</w:t>
      </w:r>
      <w:r w:rsidR="00945DBD" w:rsidRPr="00AD17A6">
        <w:noBreakHyphen/>
      </w:r>
      <w:r w:rsidRPr="00AD17A6">
        <w:t>dix</w:t>
      </w:r>
      <w:r w:rsidR="00945DBD" w:rsidRPr="00AD17A6">
        <w:noBreakHyphen/>
      </w:r>
      <w:r w:rsidRPr="00AD17A6">
        <w:t>huit</w:t>
      </w:r>
      <w:r w:rsidR="000970A8" w:rsidRPr="00AD17A6">
        <w:t>ième session</w:t>
      </w:r>
      <w:r w:rsidRPr="00AD17A6">
        <w:t>, des résultats de cette étude</w:t>
      </w:r>
      <w:r w:rsidRPr="00AD17A6">
        <w:rPr>
          <w:snapToGrid w:val="0"/>
          <w:spacing w:val="-2"/>
        </w:rPr>
        <w:t>.</w:t>
      </w:r>
    </w:p>
    <w:p w:rsidR="00F66643" w:rsidRPr="00AD17A6" w:rsidRDefault="00F66643" w:rsidP="00F66643">
      <w:pPr>
        <w:keepNext/>
        <w:rPr>
          <w:snapToGrid w:val="0"/>
          <w:spacing w:val="-2"/>
        </w:rPr>
      </w:pPr>
    </w:p>
    <w:p w:rsidR="00F66643" w:rsidRDefault="00F66643" w:rsidP="00F66643">
      <w:pPr>
        <w:keepNext/>
        <w:rPr>
          <w:snapToGrid w:val="0"/>
          <w:spacing w:val="-2"/>
        </w:rPr>
      </w:pPr>
      <w:r w:rsidRPr="00AD17A6">
        <w:fldChar w:fldCharType="begin"/>
      </w:r>
      <w:r w:rsidRPr="00AD17A6">
        <w:instrText xml:space="preserve"> AUTONUM  </w:instrText>
      </w:r>
      <w:r w:rsidRPr="00AD17A6">
        <w:fldChar w:fldCharType="end"/>
      </w:r>
      <w:r w:rsidRPr="00AD17A6">
        <w:rPr>
          <w:snapToGrid w:val="0"/>
          <w:spacing w:val="-2"/>
        </w:rPr>
        <w:tab/>
        <w:t>Si nécessaire, un rapport sur l</w:t>
      </w:r>
      <w:r w:rsidR="000970A8" w:rsidRPr="00AD17A6">
        <w:rPr>
          <w:snapToGrid w:val="0"/>
          <w:spacing w:val="-2"/>
        </w:rPr>
        <w:t>’</w:t>
      </w:r>
      <w:r w:rsidRPr="00AD17A6">
        <w:rPr>
          <w:snapToGrid w:val="0"/>
          <w:spacing w:val="-2"/>
        </w:rPr>
        <w:t>évolution récente peut être élaboré par le Bureau de l</w:t>
      </w:r>
      <w:r w:rsidR="000970A8" w:rsidRPr="00AD17A6">
        <w:rPr>
          <w:snapToGrid w:val="0"/>
          <w:spacing w:val="-2"/>
        </w:rPr>
        <w:t>’</w:t>
      </w:r>
      <w:r w:rsidRPr="00AD17A6">
        <w:rPr>
          <w:snapToGrid w:val="0"/>
          <w:spacing w:val="-2"/>
        </w:rPr>
        <w:t>Union à sa soixante</w:t>
      </w:r>
      <w:r w:rsidR="00945DBD" w:rsidRPr="00AD17A6">
        <w:rPr>
          <w:snapToGrid w:val="0"/>
          <w:spacing w:val="-2"/>
        </w:rPr>
        <w:noBreakHyphen/>
      </w:r>
      <w:r w:rsidRPr="00AD17A6">
        <w:rPr>
          <w:snapToGrid w:val="0"/>
          <w:spacing w:val="-2"/>
        </w:rPr>
        <w:t>dix</w:t>
      </w:r>
      <w:r w:rsidR="00945DBD" w:rsidRPr="00AD17A6">
        <w:rPr>
          <w:snapToGrid w:val="0"/>
          <w:spacing w:val="-2"/>
        </w:rPr>
        <w:noBreakHyphen/>
      </w:r>
      <w:r w:rsidRPr="00AD17A6">
        <w:rPr>
          <w:snapToGrid w:val="0"/>
          <w:spacing w:val="-2"/>
        </w:rPr>
        <w:t>sept</w:t>
      </w:r>
      <w:r w:rsidR="000970A8" w:rsidRPr="00AD17A6">
        <w:rPr>
          <w:snapToGrid w:val="0"/>
          <w:spacing w:val="-2"/>
        </w:rPr>
        <w:t>ième</w:t>
      </w:r>
      <w:r w:rsidR="000970A8">
        <w:rPr>
          <w:snapToGrid w:val="0"/>
          <w:spacing w:val="-2"/>
        </w:rPr>
        <w:t> session</w:t>
      </w:r>
      <w:r w:rsidRPr="00856A61">
        <w:rPr>
          <w:snapToGrid w:val="0"/>
          <w:spacing w:val="-2"/>
        </w:rPr>
        <w:t>.</w:t>
      </w:r>
    </w:p>
    <w:p w:rsidR="00F66643" w:rsidRPr="00856A61" w:rsidRDefault="00F66643" w:rsidP="00F66643">
      <w:pPr>
        <w:keepNext/>
        <w:rPr>
          <w:snapToGrid w:val="0"/>
          <w:spacing w:val="-2"/>
        </w:rPr>
      </w:pPr>
    </w:p>
    <w:p w:rsidR="00F66643" w:rsidRPr="00856A61" w:rsidRDefault="00F66643" w:rsidP="00F66643"/>
    <w:p w:rsidR="00F66643" w:rsidRPr="00856A61" w:rsidRDefault="00F66643" w:rsidP="00F66643">
      <w:pPr>
        <w:jc w:val="right"/>
      </w:pPr>
      <w:r w:rsidRPr="00856A61">
        <w:t>[L</w:t>
      </w:r>
      <w:r w:rsidR="000970A8">
        <w:t>’</w:t>
      </w:r>
      <w:r w:rsidRPr="00856A61">
        <w:t>annexe suit]</w:t>
      </w:r>
    </w:p>
    <w:p w:rsidR="00F66643" w:rsidRPr="00856A61" w:rsidRDefault="00F66643" w:rsidP="00F66643"/>
    <w:p w:rsidR="00F66643" w:rsidRPr="00856A61" w:rsidRDefault="00F66643" w:rsidP="00F66643">
      <w:pPr>
        <w:sectPr w:rsidR="00F66643" w:rsidRPr="00856A61" w:rsidSect="003A768F">
          <w:headerReference w:type="even" r:id="rId10"/>
          <w:headerReference w:type="default" r:id="rId11"/>
          <w:footerReference w:type="default" r:id="rId12"/>
          <w:headerReference w:type="first" r:id="rId13"/>
          <w:pgSz w:w="11907" w:h="16840" w:code="9"/>
          <w:pgMar w:top="510" w:right="1134" w:bottom="1134" w:left="1134" w:header="510" w:footer="680" w:gutter="0"/>
          <w:cols w:space="720"/>
          <w:titlePg/>
          <w:docGrid w:linePitch="272"/>
        </w:sectPr>
      </w:pPr>
    </w:p>
    <w:p w:rsidR="00F66643" w:rsidRPr="00856A61" w:rsidRDefault="00F66643" w:rsidP="00F66643">
      <w:pPr>
        <w:jc w:val="center"/>
      </w:pPr>
      <w:r w:rsidRPr="00856A61">
        <w:lastRenderedPageBreak/>
        <w:t>Document UPOV/EXN/DEN</w:t>
      </w:r>
    </w:p>
    <w:p w:rsidR="00F66643" w:rsidRPr="00856A61" w:rsidRDefault="00F66643" w:rsidP="00F66643">
      <w:pPr>
        <w:jc w:val="center"/>
      </w:pPr>
      <w:r w:rsidRPr="00856A61">
        <w:t xml:space="preserve">“Notes explicatives concernant les dénominations variétales en vertu de la </w:t>
      </w:r>
      <w:r w:rsidR="000970A8">
        <w:t>Convention UPOV</w:t>
      </w:r>
      <w:r w:rsidRPr="00856A61">
        <w:t>”</w:t>
      </w:r>
    </w:p>
    <w:p w:rsidR="00F66643" w:rsidRPr="00700B2A" w:rsidRDefault="00F66643" w:rsidP="00F66643">
      <w:pPr>
        <w:jc w:val="center"/>
        <w:rPr>
          <w:lang w:val="de-DE"/>
        </w:rPr>
      </w:pPr>
      <w:r w:rsidRPr="00700B2A">
        <w:rPr>
          <w:lang w:val="de-DE"/>
        </w:rPr>
        <w:t>(Document UPOV/EXN/DEN/1 Draft 4)</w:t>
      </w:r>
      <w:r w:rsidR="000970A8" w:rsidRPr="00700B2A">
        <w:rPr>
          <w:lang w:val="de-DE"/>
        </w:rPr>
        <w:t> :</w:t>
      </w:r>
    </w:p>
    <w:p w:rsidR="00F66643" w:rsidRPr="00856A61" w:rsidRDefault="00F66643" w:rsidP="00F66643">
      <w:pPr>
        <w:jc w:val="center"/>
      </w:pPr>
      <w:r w:rsidRPr="00856A61">
        <w:t>Observations reçues en réponse à la circulaire</w:t>
      </w:r>
      <w:r>
        <w:t> </w:t>
      </w:r>
      <w:r w:rsidRPr="00856A61">
        <w:t>E</w:t>
      </w:r>
      <w:r w:rsidR="00945DBD">
        <w:noBreakHyphen/>
      </w:r>
      <w:r w:rsidRPr="00856A61">
        <w:t>20/120 du 21</w:t>
      </w:r>
      <w:r>
        <w:t> </w:t>
      </w:r>
      <w:r w:rsidRPr="00856A61">
        <w:t>août</w:t>
      </w:r>
      <w:r>
        <w:t> </w:t>
      </w:r>
      <w:r w:rsidRPr="00856A61">
        <w:t>2020</w:t>
      </w:r>
    </w:p>
    <w:p w:rsidR="00F66643" w:rsidRPr="00856A61" w:rsidRDefault="00F66643" w:rsidP="00F66643">
      <w:pPr>
        <w:jc w:val="center"/>
      </w:pPr>
    </w:p>
    <w:p w:rsidR="00F66643" w:rsidRPr="00856A61" w:rsidRDefault="00F66643" w:rsidP="00F66643">
      <w:pPr>
        <w:jc w:val="center"/>
      </w:pPr>
    </w:p>
    <w:p w:rsidR="00F66643" w:rsidRPr="00856A61" w:rsidRDefault="00F66643" w:rsidP="00F66643">
      <w:r w:rsidRPr="00856A61">
        <w:t>La présente annexe contient les informations ci</w:t>
      </w:r>
      <w:r w:rsidR="00945DBD">
        <w:noBreakHyphen/>
      </w:r>
      <w:r w:rsidRPr="00856A61">
        <w:t>après</w:t>
      </w:r>
      <w:r w:rsidR="000970A8">
        <w:t> :</w:t>
      </w:r>
    </w:p>
    <w:p w:rsidR="00F66643" w:rsidRPr="00856A61" w:rsidRDefault="00F66643" w:rsidP="00F66643"/>
    <w:p w:rsidR="00F66643" w:rsidRPr="00856A61" w:rsidRDefault="00F66643" w:rsidP="00F66643">
      <w:pPr>
        <w:tabs>
          <w:tab w:val="left" w:pos="1134"/>
          <w:tab w:val="left" w:pos="2552"/>
        </w:tabs>
        <w:ind w:left="567"/>
      </w:pPr>
      <w:r w:rsidRPr="00856A61">
        <w:t>a)</w:t>
      </w:r>
      <w:r w:rsidRPr="00856A61">
        <w:tab/>
        <w:t>Appendice I</w:t>
      </w:r>
      <w:r w:rsidR="000970A8">
        <w:t> :</w:t>
      </w:r>
      <w:r>
        <w:t xml:space="preserve"> </w:t>
      </w:r>
      <w:r w:rsidRPr="00856A61">
        <w:tab/>
        <w:t>Observations du Brésil</w:t>
      </w:r>
    </w:p>
    <w:p w:rsidR="00F66643" w:rsidRPr="00856A61" w:rsidRDefault="00F66643" w:rsidP="00F66643">
      <w:pPr>
        <w:tabs>
          <w:tab w:val="left" w:pos="1134"/>
          <w:tab w:val="left" w:pos="2552"/>
        </w:tabs>
        <w:ind w:left="567"/>
        <w:contextualSpacing/>
      </w:pPr>
    </w:p>
    <w:p w:rsidR="00F66643" w:rsidRPr="00856A61" w:rsidRDefault="00F66643" w:rsidP="00F66643">
      <w:pPr>
        <w:tabs>
          <w:tab w:val="left" w:pos="1134"/>
          <w:tab w:val="left" w:pos="2552"/>
        </w:tabs>
        <w:ind w:left="567"/>
      </w:pPr>
      <w:r w:rsidRPr="00856A61">
        <w:t>b)</w:t>
      </w:r>
      <w:r w:rsidRPr="00856A61">
        <w:tab/>
        <w:t>Appendice</w:t>
      </w:r>
      <w:r>
        <w:t> </w:t>
      </w:r>
      <w:r w:rsidRPr="00856A61">
        <w:t>II</w:t>
      </w:r>
      <w:r w:rsidR="000970A8">
        <w:t> :</w:t>
      </w:r>
      <w:r>
        <w:t xml:space="preserve"> </w:t>
      </w:r>
      <w:r w:rsidRPr="00856A61">
        <w:tab/>
        <w:t>Observations de l</w:t>
      </w:r>
      <w:r w:rsidR="000970A8">
        <w:t>’</w:t>
      </w:r>
      <w:r w:rsidRPr="00856A61">
        <w:t>Union européenne</w:t>
      </w:r>
    </w:p>
    <w:p w:rsidR="00F66643" w:rsidRPr="00856A61" w:rsidRDefault="00F66643" w:rsidP="00F66643">
      <w:pPr>
        <w:tabs>
          <w:tab w:val="left" w:pos="1134"/>
          <w:tab w:val="left" w:pos="2552"/>
        </w:tabs>
        <w:ind w:left="567"/>
      </w:pPr>
    </w:p>
    <w:p w:rsidR="00F66643" w:rsidRPr="00700B2A" w:rsidRDefault="00F66643" w:rsidP="00F66643">
      <w:pPr>
        <w:tabs>
          <w:tab w:val="left" w:pos="1134"/>
          <w:tab w:val="left" w:pos="2552"/>
        </w:tabs>
        <w:ind w:left="567"/>
        <w:rPr>
          <w:lang w:val="fr-CH"/>
        </w:rPr>
      </w:pPr>
      <w:r w:rsidRPr="00700B2A">
        <w:rPr>
          <w:lang w:val="fr-CH"/>
        </w:rPr>
        <w:t>c)</w:t>
      </w:r>
      <w:r w:rsidRPr="00700B2A">
        <w:rPr>
          <w:lang w:val="fr-CH"/>
        </w:rPr>
        <w:tab/>
        <w:t>Appendice III</w:t>
      </w:r>
      <w:r w:rsidR="000970A8" w:rsidRPr="00700B2A">
        <w:rPr>
          <w:lang w:val="fr-CH"/>
        </w:rPr>
        <w:t> :</w:t>
      </w:r>
      <w:r w:rsidRPr="00700B2A">
        <w:rPr>
          <w:lang w:val="fr-CH"/>
        </w:rPr>
        <w:t xml:space="preserve"> </w:t>
      </w:r>
      <w:r w:rsidRPr="00700B2A">
        <w:rPr>
          <w:lang w:val="fr-CH"/>
        </w:rPr>
        <w:tab/>
        <w:t>Observations d</w:t>
      </w:r>
      <w:r w:rsidR="000970A8" w:rsidRPr="00700B2A">
        <w:rPr>
          <w:lang w:val="fr-CH"/>
        </w:rPr>
        <w:t>’</w:t>
      </w:r>
      <w:proofErr w:type="spellStart"/>
      <w:r w:rsidRPr="00700B2A">
        <w:rPr>
          <w:i/>
          <w:lang w:val="fr-CH"/>
        </w:rPr>
        <w:t>Euroseeds</w:t>
      </w:r>
      <w:proofErr w:type="spellEnd"/>
    </w:p>
    <w:p w:rsidR="00F66643" w:rsidRPr="00700B2A" w:rsidRDefault="00F66643" w:rsidP="00F66643">
      <w:pPr>
        <w:tabs>
          <w:tab w:val="left" w:pos="1134"/>
          <w:tab w:val="left" w:pos="2552"/>
        </w:tabs>
        <w:ind w:left="567"/>
        <w:rPr>
          <w:lang w:val="fr-CH"/>
        </w:rPr>
      </w:pPr>
    </w:p>
    <w:p w:rsidR="00F66643" w:rsidRPr="00700B2A" w:rsidRDefault="00F66643" w:rsidP="00F66643">
      <w:pPr>
        <w:tabs>
          <w:tab w:val="left" w:pos="1134"/>
          <w:tab w:val="left" w:pos="2552"/>
        </w:tabs>
        <w:ind w:left="567"/>
        <w:rPr>
          <w:lang w:val="fr-CH"/>
        </w:rPr>
      </w:pPr>
      <w:r w:rsidRPr="00700B2A">
        <w:rPr>
          <w:lang w:val="fr-CH"/>
        </w:rPr>
        <w:t>d)</w:t>
      </w:r>
      <w:r w:rsidRPr="00700B2A">
        <w:rPr>
          <w:lang w:val="fr-CH"/>
        </w:rPr>
        <w:tab/>
        <w:t>Appendice IV</w:t>
      </w:r>
      <w:r w:rsidR="000970A8" w:rsidRPr="00700B2A">
        <w:rPr>
          <w:lang w:val="fr-CH"/>
        </w:rPr>
        <w:t> :</w:t>
      </w:r>
      <w:r w:rsidRPr="00700B2A">
        <w:rPr>
          <w:lang w:val="fr-CH"/>
        </w:rPr>
        <w:t xml:space="preserve"> </w:t>
      </w:r>
      <w:r w:rsidRPr="00700B2A">
        <w:rPr>
          <w:lang w:val="fr-CH"/>
        </w:rPr>
        <w:tab/>
        <w:t>Observations de l</w:t>
      </w:r>
      <w:r w:rsidR="000970A8" w:rsidRPr="00700B2A">
        <w:rPr>
          <w:lang w:val="fr-CH"/>
        </w:rPr>
        <w:t>’</w:t>
      </w:r>
      <w:r w:rsidRPr="00700B2A">
        <w:rPr>
          <w:i/>
          <w:lang w:val="fr-CH"/>
        </w:rPr>
        <w:t>International</w:t>
      </w:r>
      <w:r w:rsidRPr="00700B2A">
        <w:rPr>
          <w:lang w:val="fr-CH"/>
        </w:rPr>
        <w:t xml:space="preserve"> </w:t>
      </w:r>
      <w:proofErr w:type="spellStart"/>
      <w:r w:rsidRPr="00700B2A">
        <w:rPr>
          <w:i/>
          <w:lang w:val="fr-CH"/>
        </w:rPr>
        <w:t>Seed</w:t>
      </w:r>
      <w:proofErr w:type="spellEnd"/>
      <w:r w:rsidRPr="00700B2A">
        <w:rPr>
          <w:i/>
          <w:lang w:val="fr-CH"/>
        </w:rPr>
        <w:t xml:space="preserve"> </w:t>
      </w:r>
      <w:proofErr w:type="spellStart"/>
      <w:r w:rsidRPr="00700B2A">
        <w:rPr>
          <w:i/>
          <w:lang w:val="fr-CH"/>
        </w:rPr>
        <w:t>Federation</w:t>
      </w:r>
      <w:proofErr w:type="spellEnd"/>
      <w:r w:rsidRPr="00700B2A">
        <w:rPr>
          <w:lang w:val="fr-CH"/>
        </w:rPr>
        <w:t xml:space="preserve"> (ISF)</w:t>
      </w:r>
    </w:p>
    <w:p w:rsidR="00F66643" w:rsidRPr="00700B2A" w:rsidRDefault="00F66643" w:rsidP="00F66643">
      <w:pPr>
        <w:rPr>
          <w:lang w:val="fr-CH"/>
        </w:rPr>
      </w:pPr>
    </w:p>
    <w:p w:rsidR="00F66643" w:rsidRPr="00700B2A" w:rsidRDefault="00F66643" w:rsidP="00F66643">
      <w:pPr>
        <w:jc w:val="left"/>
        <w:rPr>
          <w:lang w:val="fr-CH"/>
        </w:rPr>
      </w:pPr>
    </w:p>
    <w:p w:rsidR="00F66643" w:rsidRPr="00700B2A" w:rsidRDefault="00F66643" w:rsidP="00F66643">
      <w:pPr>
        <w:jc w:val="left"/>
        <w:rPr>
          <w:lang w:val="fr-CH"/>
        </w:rPr>
      </w:pPr>
    </w:p>
    <w:p w:rsidR="00F66643" w:rsidRPr="00700B2A" w:rsidRDefault="00F66643" w:rsidP="00F66643">
      <w:pPr>
        <w:jc w:val="right"/>
        <w:rPr>
          <w:lang w:val="fr-CH"/>
        </w:rPr>
      </w:pPr>
      <w:r w:rsidRPr="00700B2A">
        <w:rPr>
          <w:lang w:val="fr-CH"/>
        </w:rPr>
        <w:t>[L</w:t>
      </w:r>
      <w:r w:rsidR="000970A8" w:rsidRPr="00700B2A">
        <w:rPr>
          <w:lang w:val="fr-CH"/>
        </w:rPr>
        <w:t>’</w:t>
      </w:r>
      <w:r w:rsidRPr="00700B2A">
        <w:rPr>
          <w:lang w:val="fr-CH"/>
        </w:rPr>
        <w:t>appendice I suit]</w:t>
      </w:r>
    </w:p>
    <w:p w:rsidR="00F66643" w:rsidRPr="00700B2A" w:rsidRDefault="00F66643" w:rsidP="00F66643">
      <w:pPr>
        <w:rPr>
          <w:lang w:val="fr-CH"/>
        </w:rPr>
      </w:pPr>
    </w:p>
    <w:p w:rsidR="00F66643" w:rsidRPr="00700B2A" w:rsidRDefault="00F66643" w:rsidP="00F66643">
      <w:pPr>
        <w:rPr>
          <w:lang w:val="fr-CH"/>
        </w:rPr>
      </w:pPr>
    </w:p>
    <w:p w:rsidR="00F66643" w:rsidRPr="00700B2A" w:rsidRDefault="00F66643" w:rsidP="00F66643">
      <w:pPr>
        <w:jc w:val="left"/>
        <w:rPr>
          <w:lang w:val="fr-CH"/>
        </w:rPr>
        <w:sectPr w:rsidR="00F66643" w:rsidRPr="00700B2A" w:rsidSect="00906DDC">
          <w:headerReference w:type="even" r:id="rId14"/>
          <w:headerReference w:type="default" r:id="rId15"/>
          <w:footerReference w:type="even" r:id="rId16"/>
          <w:footerReference w:type="default" r:id="rId17"/>
          <w:headerReference w:type="first" r:id="rId18"/>
          <w:footerReference w:type="first" r:id="rId19"/>
          <w:pgSz w:w="11907" w:h="16840" w:code="9"/>
          <w:pgMar w:top="510" w:right="1134" w:bottom="1134" w:left="1134" w:header="510" w:footer="680" w:gutter="0"/>
          <w:cols w:space="720"/>
          <w:titlePg/>
        </w:sectPr>
      </w:pPr>
    </w:p>
    <w:p w:rsidR="00F66643" w:rsidRPr="00700B2A" w:rsidRDefault="00F66643" w:rsidP="00F66643">
      <w:pPr>
        <w:jc w:val="center"/>
        <w:rPr>
          <w:lang w:val="fr-CH"/>
        </w:rPr>
      </w:pPr>
    </w:p>
    <w:p w:rsidR="00F66643" w:rsidRPr="00856A61" w:rsidRDefault="00F66643" w:rsidP="00F66643">
      <w:pPr>
        <w:jc w:val="center"/>
      </w:pPr>
      <w:r w:rsidRPr="00856A61">
        <w:t>BRÉSIL</w:t>
      </w:r>
    </w:p>
    <w:p w:rsidR="00F66643" w:rsidRPr="00856A61" w:rsidRDefault="00F66643" w:rsidP="00F66643"/>
    <w:p w:rsidR="00F66643" w:rsidRPr="00856A61" w:rsidRDefault="00F66643" w:rsidP="00F66643">
      <w:pPr>
        <w:shd w:val="clear" w:color="auto" w:fill="FFFFFF" w:themeFill="background1"/>
        <w:rPr>
          <w:snapToGrid w:val="0"/>
          <w:spacing w:val="-4"/>
        </w:rPr>
      </w:pPr>
    </w:p>
    <w:p w:rsidR="00F66643" w:rsidRPr="00856A61" w:rsidRDefault="00F66643" w:rsidP="00F66643">
      <w:pPr>
        <w:shd w:val="clear" w:color="auto" w:fill="FFFFFF" w:themeFill="background1"/>
        <w:rPr>
          <w:snapToGrid w:val="0"/>
          <w:spacing w:val="-4"/>
        </w:rPr>
      </w:pPr>
      <w:r w:rsidRPr="00856A61">
        <w:rPr>
          <w:spacing w:val="-4"/>
        </w:rPr>
        <w:t>La délégation du Brésil a formulé les observations suivantes concernant le</w:t>
      </w:r>
      <w:r w:rsidRPr="00856A61">
        <w:rPr>
          <w:snapToGrid w:val="0"/>
          <w:spacing w:val="-4"/>
        </w:rPr>
        <w:t xml:space="preserve"> document UPOV/EXN/DEN/1</w:t>
      </w:r>
      <w:r>
        <w:rPr>
          <w:snapToGrid w:val="0"/>
          <w:spacing w:val="-4"/>
        </w:rPr>
        <w:t> </w:t>
      </w:r>
      <w:proofErr w:type="spellStart"/>
      <w:r w:rsidRPr="00856A61">
        <w:rPr>
          <w:snapToGrid w:val="0"/>
          <w:spacing w:val="-4"/>
        </w:rPr>
        <w:t>Draft</w:t>
      </w:r>
      <w:proofErr w:type="spellEnd"/>
      <w:r>
        <w:rPr>
          <w:snapToGrid w:val="0"/>
          <w:spacing w:val="-4"/>
        </w:rPr>
        <w:t> </w:t>
      </w:r>
      <w:r w:rsidRPr="00856A61">
        <w:rPr>
          <w:snapToGrid w:val="0"/>
          <w:spacing w:val="-4"/>
        </w:rPr>
        <w:t>4 “</w:t>
      </w:r>
      <w:r w:rsidRPr="00856A61">
        <w:t xml:space="preserve">Notes explicatives concernant les dénominations variétales en vertu de la </w:t>
      </w:r>
      <w:r w:rsidR="000970A8">
        <w:t>Convention UPOV</w:t>
      </w:r>
      <w:r w:rsidRPr="00856A61">
        <w:rPr>
          <w:snapToGrid w:val="0"/>
          <w:spacing w:val="-4"/>
        </w:rPr>
        <w:t>”</w:t>
      </w:r>
      <w:r w:rsidR="000970A8">
        <w:rPr>
          <w:snapToGrid w:val="0"/>
          <w:spacing w:val="-4"/>
        </w:rPr>
        <w:t> :</w:t>
      </w:r>
    </w:p>
    <w:p w:rsidR="00F66643" w:rsidRPr="00856A61" w:rsidRDefault="00F66643" w:rsidP="00F66643">
      <w:pPr>
        <w:keepNext/>
        <w:rPr>
          <w:rFonts w:eastAsia="Arial" w:cs="Arial"/>
          <w:sz w:val="16"/>
          <w:szCs w:val="16"/>
        </w:rPr>
      </w:pPr>
    </w:p>
    <w:p w:rsidR="00F66643" w:rsidRPr="00856A61" w:rsidRDefault="00F66643" w:rsidP="00F66643">
      <w:pPr>
        <w:keepNext/>
        <w:keepLines/>
        <w:spacing w:after="120"/>
        <w:ind w:left="567" w:right="567"/>
        <w:rPr>
          <w:rFonts w:cs="Arial"/>
          <w:i/>
          <w:sz w:val="18"/>
          <w:szCs w:val="16"/>
          <w:u w:val="single"/>
        </w:rPr>
      </w:pPr>
      <w:r w:rsidRPr="00856A61">
        <w:rPr>
          <w:rFonts w:cs="Arial"/>
          <w:i/>
          <w:sz w:val="18"/>
          <w:szCs w:val="16"/>
          <w:u w:val="single"/>
        </w:rPr>
        <w:t>“Point</w:t>
      </w:r>
      <w:r>
        <w:rPr>
          <w:rFonts w:cs="Arial"/>
          <w:i/>
          <w:sz w:val="18"/>
          <w:szCs w:val="16"/>
          <w:u w:val="single"/>
        </w:rPr>
        <w:t> </w:t>
      </w:r>
      <w:r w:rsidRPr="00856A61">
        <w:rPr>
          <w:rFonts w:cs="Arial"/>
          <w:i/>
          <w:sz w:val="18"/>
          <w:szCs w:val="16"/>
          <w:u w:val="single"/>
        </w:rPr>
        <w:t>2.3.3 a) i)</w:t>
      </w:r>
    </w:p>
    <w:p w:rsidR="00F66643" w:rsidRDefault="00F66643" w:rsidP="00F66643">
      <w:pPr>
        <w:spacing w:after="120"/>
        <w:ind w:left="567" w:right="567"/>
        <w:rPr>
          <w:rFonts w:cs="Arial"/>
          <w:sz w:val="18"/>
          <w:szCs w:val="16"/>
        </w:rPr>
      </w:pPr>
      <w:r w:rsidRPr="00856A61">
        <w:rPr>
          <w:rFonts w:cs="Arial"/>
          <w:sz w:val="18"/>
          <w:szCs w:val="16"/>
        </w:rPr>
        <w:t>“</w:t>
      </w:r>
      <w:r w:rsidR="00945DBD">
        <w:rPr>
          <w:rFonts w:cs="Arial"/>
          <w:sz w:val="18"/>
          <w:szCs w:val="16"/>
        </w:rPr>
        <w:t>ؘ–</w:t>
      </w:r>
      <w:r w:rsidRPr="00856A61">
        <w:rPr>
          <w:rFonts w:cs="Arial"/>
          <w:sz w:val="18"/>
          <w:szCs w:val="16"/>
        </w:rPr>
        <w:t xml:space="preserve"> La suppression du texte “par exemple lorsqu</w:t>
      </w:r>
      <w:r w:rsidR="000970A8">
        <w:rPr>
          <w:rFonts w:cs="Arial"/>
          <w:sz w:val="18"/>
          <w:szCs w:val="16"/>
        </w:rPr>
        <w:t>’</w:t>
      </w:r>
      <w:r w:rsidRPr="00856A61">
        <w:rPr>
          <w:rFonts w:cs="Arial"/>
          <w:sz w:val="18"/>
          <w:szCs w:val="16"/>
        </w:rPr>
        <w:t>il s</w:t>
      </w:r>
      <w:r w:rsidR="000970A8">
        <w:rPr>
          <w:rFonts w:cs="Arial"/>
          <w:sz w:val="18"/>
          <w:szCs w:val="16"/>
        </w:rPr>
        <w:t>’</w:t>
      </w:r>
      <w:r w:rsidRPr="00856A61">
        <w:rPr>
          <w:rFonts w:cs="Arial"/>
          <w:sz w:val="18"/>
          <w:szCs w:val="16"/>
        </w:rPr>
        <w:t>agit d</w:t>
      </w:r>
      <w:r w:rsidR="000970A8">
        <w:rPr>
          <w:rFonts w:cs="Arial"/>
          <w:sz w:val="18"/>
          <w:szCs w:val="16"/>
        </w:rPr>
        <w:t>’</w:t>
      </w:r>
      <w:r w:rsidRPr="00856A61">
        <w:rPr>
          <w:rFonts w:cs="Arial"/>
          <w:sz w:val="18"/>
          <w:szCs w:val="16"/>
        </w:rPr>
        <w:t>une lettre au début d</w:t>
      </w:r>
      <w:r w:rsidR="000970A8">
        <w:rPr>
          <w:rFonts w:cs="Arial"/>
          <w:sz w:val="18"/>
          <w:szCs w:val="16"/>
        </w:rPr>
        <w:t>’</w:t>
      </w:r>
      <w:r w:rsidRPr="00856A61">
        <w:rPr>
          <w:rFonts w:cs="Arial"/>
          <w:sz w:val="18"/>
          <w:szCs w:val="16"/>
        </w:rPr>
        <w:t>un mot” et l</w:t>
      </w:r>
      <w:r w:rsidR="000970A8">
        <w:rPr>
          <w:rFonts w:cs="Arial"/>
          <w:sz w:val="18"/>
          <w:szCs w:val="16"/>
        </w:rPr>
        <w:t>’</w:t>
      </w:r>
      <w:r w:rsidRPr="00856A61">
        <w:rPr>
          <w:rFonts w:cs="Arial"/>
          <w:sz w:val="18"/>
          <w:szCs w:val="16"/>
        </w:rPr>
        <w:t xml:space="preserve">ajout des “Exemples de dénomination appropriée”, “Marina et Martina”, “Dora et </w:t>
      </w:r>
      <w:proofErr w:type="spellStart"/>
      <w:r w:rsidRPr="00856A61">
        <w:rPr>
          <w:rFonts w:cs="Arial"/>
          <w:sz w:val="18"/>
          <w:szCs w:val="16"/>
        </w:rPr>
        <w:t>Dorka</w:t>
      </w:r>
      <w:proofErr w:type="spellEnd"/>
      <w:r w:rsidRPr="00856A61">
        <w:rPr>
          <w:rFonts w:cs="Arial"/>
          <w:sz w:val="18"/>
          <w:szCs w:val="16"/>
        </w:rPr>
        <w:t xml:space="preserve">” et “Goran et </w:t>
      </w:r>
      <w:proofErr w:type="spellStart"/>
      <w:r w:rsidRPr="00856A61">
        <w:rPr>
          <w:rFonts w:cs="Arial"/>
          <w:sz w:val="18"/>
          <w:szCs w:val="16"/>
        </w:rPr>
        <w:t>Gran</w:t>
      </w:r>
      <w:proofErr w:type="spellEnd"/>
      <w:r w:rsidRPr="00856A61">
        <w:rPr>
          <w:rFonts w:cs="Arial"/>
          <w:sz w:val="18"/>
          <w:szCs w:val="16"/>
        </w:rPr>
        <w:t>” modifient de façon importante la règle suggérée dans le document UPOV/INF/12/5</w:t>
      </w:r>
      <w:r>
        <w:rPr>
          <w:rFonts w:cs="Arial"/>
          <w:sz w:val="18"/>
          <w:szCs w:val="16"/>
        </w:rPr>
        <w:t> </w:t>
      </w:r>
      <w:r w:rsidRPr="00856A61">
        <w:rPr>
          <w:rFonts w:cs="Arial"/>
          <w:sz w:val="18"/>
          <w:szCs w:val="16"/>
        </w:rPr>
        <w:t>;</w:t>
      </w:r>
    </w:p>
    <w:p w:rsidR="00F66643" w:rsidRDefault="00945DBD" w:rsidP="00F66643">
      <w:pPr>
        <w:spacing w:after="120"/>
        <w:ind w:left="567" w:right="567"/>
        <w:rPr>
          <w:rFonts w:cs="Arial"/>
          <w:sz w:val="18"/>
          <w:szCs w:val="16"/>
        </w:rPr>
      </w:pPr>
      <w:r>
        <w:rPr>
          <w:rFonts w:cs="Arial"/>
          <w:sz w:val="18"/>
          <w:szCs w:val="16"/>
        </w:rPr>
        <w:t>–</w:t>
      </w:r>
      <w:r w:rsidR="00F66643" w:rsidRPr="00856A61">
        <w:rPr>
          <w:rFonts w:cs="Arial"/>
          <w:sz w:val="18"/>
          <w:szCs w:val="16"/>
        </w:rPr>
        <w:t xml:space="preserve"> Les exemples ajoutés (en particulier Marina et Martina, au moins en portugais) permettraient de différencier nettement presque toutes (sinon toutes) les dénominations présentant des différences d</w:t>
      </w:r>
      <w:r w:rsidR="000970A8">
        <w:rPr>
          <w:rFonts w:cs="Arial"/>
          <w:sz w:val="18"/>
          <w:szCs w:val="16"/>
        </w:rPr>
        <w:t>’</w:t>
      </w:r>
      <w:r w:rsidR="00F66643" w:rsidRPr="00856A61">
        <w:rPr>
          <w:rFonts w:cs="Arial"/>
          <w:sz w:val="18"/>
          <w:szCs w:val="16"/>
        </w:rPr>
        <w:t>une lettre, qui offrent une différence visuelle et une différence phonétique</w:t>
      </w:r>
      <w:r w:rsidR="00F66643">
        <w:rPr>
          <w:rFonts w:cs="Arial"/>
          <w:sz w:val="18"/>
          <w:szCs w:val="16"/>
        </w:rPr>
        <w:t> </w:t>
      </w:r>
      <w:r w:rsidR="00F66643" w:rsidRPr="00856A61">
        <w:rPr>
          <w:rFonts w:cs="Arial"/>
          <w:sz w:val="18"/>
          <w:szCs w:val="16"/>
        </w:rPr>
        <w:t>;</w:t>
      </w:r>
    </w:p>
    <w:p w:rsidR="00F66643" w:rsidRPr="00856A61" w:rsidRDefault="00945DBD" w:rsidP="00F66643">
      <w:pPr>
        <w:spacing w:after="120"/>
        <w:ind w:left="567" w:right="567"/>
        <w:rPr>
          <w:rFonts w:cs="Arial"/>
          <w:sz w:val="18"/>
          <w:szCs w:val="16"/>
        </w:rPr>
      </w:pPr>
      <w:r>
        <w:rPr>
          <w:rFonts w:cs="Arial"/>
          <w:sz w:val="18"/>
          <w:szCs w:val="16"/>
        </w:rPr>
        <w:t xml:space="preserve">– </w:t>
      </w:r>
      <w:r w:rsidR="00F66643" w:rsidRPr="00856A61">
        <w:rPr>
          <w:rFonts w:cs="Arial"/>
          <w:sz w:val="18"/>
          <w:szCs w:val="16"/>
        </w:rPr>
        <w:t>Cela étant dit, si cette approche est approuvée par les membres, nous y serions favorables également, afin de bénéficier de la version harmonisée de cette règle et pour disposer de critères objectifs.</w:t>
      </w:r>
    </w:p>
    <w:p w:rsidR="00F66643" w:rsidRPr="00856A61" w:rsidRDefault="00945DBD" w:rsidP="00F66643">
      <w:pPr>
        <w:ind w:left="567" w:right="567"/>
        <w:rPr>
          <w:rFonts w:cs="Arial"/>
          <w:sz w:val="18"/>
          <w:szCs w:val="16"/>
        </w:rPr>
      </w:pPr>
      <w:r>
        <w:rPr>
          <w:rFonts w:cs="Arial"/>
          <w:sz w:val="18"/>
          <w:szCs w:val="16"/>
        </w:rPr>
        <w:t>–</w:t>
      </w:r>
      <w:r w:rsidR="00F66643" w:rsidRPr="00856A61">
        <w:rPr>
          <w:rFonts w:cs="Arial"/>
          <w:sz w:val="18"/>
          <w:szCs w:val="16"/>
        </w:rPr>
        <w:t xml:space="preserve"> Cependant, il conviendrait de mentionner le fait que, si le texte du point</w:t>
      </w:r>
      <w:r w:rsidR="00F66643">
        <w:rPr>
          <w:rFonts w:cs="Arial"/>
          <w:sz w:val="18"/>
          <w:szCs w:val="16"/>
        </w:rPr>
        <w:t> </w:t>
      </w:r>
      <w:r w:rsidR="00F66643" w:rsidRPr="00856A61">
        <w:rPr>
          <w:rFonts w:cs="Arial"/>
          <w:sz w:val="18"/>
          <w:szCs w:val="16"/>
        </w:rPr>
        <w:t xml:space="preserve">2.3.3. </w:t>
      </w:r>
      <w:r w:rsidR="00595BC6">
        <w:rPr>
          <w:rFonts w:cs="Arial"/>
          <w:sz w:val="18"/>
          <w:szCs w:val="16"/>
        </w:rPr>
        <w:t xml:space="preserve"> </w:t>
      </w:r>
      <w:r w:rsidR="00F66643" w:rsidRPr="00856A61">
        <w:rPr>
          <w:rFonts w:cs="Arial"/>
          <w:sz w:val="18"/>
          <w:szCs w:val="16"/>
        </w:rPr>
        <w:t>a) i) est conservé en l</w:t>
      </w:r>
      <w:r w:rsidR="000970A8">
        <w:rPr>
          <w:rFonts w:cs="Arial"/>
          <w:sz w:val="18"/>
          <w:szCs w:val="16"/>
        </w:rPr>
        <w:t>’</w:t>
      </w:r>
      <w:r w:rsidR="00F66643" w:rsidRPr="00856A61">
        <w:rPr>
          <w:rFonts w:cs="Arial"/>
          <w:sz w:val="18"/>
          <w:szCs w:val="16"/>
        </w:rPr>
        <w:t>état, les éléments</w:t>
      </w:r>
      <w:r w:rsidR="00F66643">
        <w:rPr>
          <w:rFonts w:cs="Arial"/>
          <w:sz w:val="18"/>
          <w:szCs w:val="16"/>
        </w:rPr>
        <w:t> </w:t>
      </w:r>
      <w:r w:rsidR="00F66643" w:rsidRPr="00856A61">
        <w:rPr>
          <w:rFonts w:cs="Arial"/>
          <w:sz w:val="18"/>
          <w:szCs w:val="16"/>
        </w:rPr>
        <w:t>ii), iii), iv)</w:t>
      </w:r>
      <w:r w:rsidR="00F66643">
        <w:rPr>
          <w:rFonts w:cs="Arial"/>
          <w:sz w:val="18"/>
          <w:szCs w:val="16"/>
        </w:rPr>
        <w:t> </w:t>
      </w:r>
      <w:r w:rsidR="00F66643" w:rsidRPr="00856A61">
        <w:rPr>
          <w:rFonts w:cs="Arial"/>
          <w:sz w:val="18"/>
          <w:szCs w:val="16"/>
        </w:rPr>
        <w:t>et v)</w:t>
      </w:r>
      <w:r w:rsidR="00F66643">
        <w:rPr>
          <w:rFonts w:cs="Arial"/>
          <w:sz w:val="18"/>
          <w:szCs w:val="16"/>
        </w:rPr>
        <w:t> </w:t>
      </w:r>
      <w:r w:rsidR="00F66643" w:rsidRPr="00856A61">
        <w:rPr>
          <w:rFonts w:cs="Arial"/>
          <w:sz w:val="18"/>
          <w:szCs w:val="16"/>
        </w:rPr>
        <w:t>doivent être supprimés, car tous présentent une différence d</w:t>
      </w:r>
      <w:r w:rsidR="000970A8">
        <w:rPr>
          <w:rFonts w:cs="Arial"/>
          <w:sz w:val="18"/>
          <w:szCs w:val="16"/>
        </w:rPr>
        <w:t>’</w:t>
      </w:r>
      <w:r w:rsidR="00F66643" w:rsidRPr="00856A61">
        <w:rPr>
          <w:rFonts w:cs="Arial"/>
          <w:sz w:val="18"/>
          <w:szCs w:val="16"/>
        </w:rPr>
        <w:t>au moins une lettre, offrant une ou plusieurs différence(s) visuelle(s) et une ou plusieurs différence(s) phonétique(s).”</w:t>
      </w:r>
    </w:p>
    <w:p w:rsidR="00F66643" w:rsidRPr="00856A61" w:rsidRDefault="00F66643" w:rsidP="00F66643">
      <w:pPr>
        <w:rPr>
          <w:rFonts w:eastAsia="Arial"/>
        </w:rPr>
      </w:pPr>
    </w:p>
    <w:p w:rsidR="00F66643" w:rsidRPr="00856A61" w:rsidRDefault="00F66643" w:rsidP="00F66643">
      <w:pPr>
        <w:rPr>
          <w:rFonts w:eastAsia="Arial"/>
        </w:rPr>
      </w:pPr>
    </w:p>
    <w:p w:rsidR="00F66643" w:rsidRPr="00856A61" w:rsidRDefault="00F66643" w:rsidP="00F66643">
      <w:pPr>
        <w:jc w:val="right"/>
      </w:pPr>
      <w:r w:rsidRPr="00856A61">
        <w:t>[L</w:t>
      </w:r>
      <w:r w:rsidR="000970A8">
        <w:t>’</w:t>
      </w:r>
      <w:r w:rsidRPr="00856A61">
        <w:t>appendice</w:t>
      </w:r>
      <w:r>
        <w:t> </w:t>
      </w:r>
      <w:r w:rsidRPr="00856A61">
        <w:t>II suit]</w:t>
      </w:r>
    </w:p>
    <w:p w:rsidR="00F66643" w:rsidRPr="00856A61" w:rsidRDefault="00F66643" w:rsidP="00F66643">
      <w:pPr>
        <w:ind w:left="567" w:right="567"/>
        <w:rPr>
          <w:rFonts w:eastAsia="Arial" w:cs="Arial"/>
          <w:sz w:val="18"/>
          <w:szCs w:val="16"/>
        </w:rPr>
      </w:pPr>
    </w:p>
    <w:p w:rsidR="00F66643" w:rsidRPr="00856A61" w:rsidRDefault="00F66643" w:rsidP="00F66643">
      <w:pPr>
        <w:ind w:left="567" w:right="567"/>
        <w:rPr>
          <w:rFonts w:eastAsia="Arial" w:cs="Arial"/>
          <w:b/>
          <w:bCs/>
          <w:sz w:val="18"/>
          <w:szCs w:val="16"/>
        </w:rPr>
      </w:pPr>
    </w:p>
    <w:p w:rsidR="00F66643" w:rsidRPr="00856A61" w:rsidRDefault="00F66643" w:rsidP="00F66643"/>
    <w:p w:rsidR="00F66643" w:rsidRPr="00856A61" w:rsidRDefault="00F66643" w:rsidP="00F66643">
      <w:pPr>
        <w:jc w:val="left"/>
        <w:sectPr w:rsidR="00F66643" w:rsidRPr="00856A61" w:rsidSect="00906DDC">
          <w:headerReference w:type="even" r:id="rId20"/>
          <w:headerReference w:type="default" r:id="rId21"/>
          <w:footerReference w:type="even" r:id="rId22"/>
          <w:footerReference w:type="default" r:id="rId23"/>
          <w:headerReference w:type="first" r:id="rId24"/>
          <w:footerReference w:type="first" r:id="rId25"/>
          <w:pgSz w:w="11907" w:h="16840" w:code="9"/>
          <w:pgMar w:top="510" w:right="1134" w:bottom="1134" w:left="1134" w:header="510" w:footer="680" w:gutter="0"/>
          <w:cols w:space="720"/>
          <w:titlePg/>
        </w:sectPr>
      </w:pPr>
    </w:p>
    <w:p w:rsidR="00F66643" w:rsidRPr="00856A61" w:rsidRDefault="00F66643" w:rsidP="00F66643"/>
    <w:p w:rsidR="00F66643" w:rsidRPr="00856A61" w:rsidRDefault="00F66643" w:rsidP="00F66643">
      <w:pPr>
        <w:jc w:val="center"/>
      </w:pPr>
      <w:r w:rsidRPr="00856A61">
        <w:t>UNION EUROP</w:t>
      </w:r>
      <w:r w:rsidRPr="00856A61">
        <w:rPr>
          <w:rFonts w:cs="Arial"/>
        </w:rPr>
        <w:t>É</w:t>
      </w:r>
      <w:r w:rsidRPr="00856A61">
        <w:t>ENNE</w:t>
      </w:r>
    </w:p>
    <w:p w:rsidR="00F66643" w:rsidRPr="00856A61" w:rsidRDefault="00F66643" w:rsidP="00F66643"/>
    <w:p w:rsidR="00F66643" w:rsidRPr="00856A61" w:rsidRDefault="00F66643" w:rsidP="00F66643"/>
    <w:p w:rsidR="00F66643" w:rsidRDefault="00F66643" w:rsidP="00F66643">
      <w:pPr>
        <w:shd w:val="clear" w:color="auto" w:fill="FFFFFF" w:themeFill="background1"/>
        <w:rPr>
          <w:spacing w:val="-6"/>
        </w:rPr>
      </w:pPr>
      <w:r w:rsidRPr="00856A61">
        <w:rPr>
          <w:spacing w:val="-4"/>
        </w:rPr>
        <w:t>La délégation de l</w:t>
      </w:r>
      <w:r w:rsidR="000970A8">
        <w:rPr>
          <w:spacing w:val="-4"/>
        </w:rPr>
        <w:t>’</w:t>
      </w:r>
      <w:r w:rsidRPr="00856A61">
        <w:rPr>
          <w:spacing w:val="-4"/>
        </w:rPr>
        <w:t>Union européenne a formulé les observations suivantes concernant le</w:t>
      </w:r>
      <w:r w:rsidRPr="00856A61">
        <w:rPr>
          <w:snapToGrid w:val="0"/>
          <w:spacing w:val="-4"/>
        </w:rPr>
        <w:t xml:space="preserve"> document UPOV/EXN/DEN/1</w:t>
      </w:r>
      <w:r>
        <w:rPr>
          <w:snapToGrid w:val="0"/>
          <w:spacing w:val="-4"/>
        </w:rPr>
        <w:t> </w:t>
      </w:r>
      <w:proofErr w:type="spellStart"/>
      <w:r w:rsidRPr="00856A61">
        <w:rPr>
          <w:snapToGrid w:val="0"/>
          <w:spacing w:val="-4"/>
        </w:rPr>
        <w:t>Draft</w:t>
      </w:r>
      <w:proofErr w:type="spellEnd"/>
      <w:r>
        <w:rPr>
          <w:snapToGrid w:val="0"/>
          <w:spacing w:val="-4"/>
        </w:rPr>
        <w:t> </w:t>
      </w:r>
      <w:r w:rsidRPr="00856A61">
        <w:rPr>
          <w:snapToGrid w:val="0"/>
          <w:spacing w:val="-4"/>
        </w:rPr>
        <w:t>4 “</w:t>
      </w:r>
      <w:r w:rsidRPr="00856A61">
        <w:t xml:space="preserve">Notes explicatives concernant les dénominations variétales en vertu de la </w:t>
      </w:r>
      <w:r w:rsidR="000970A8">
        <w:t>Convention UPOV</w:t>
      </w:r>
      <w:r w:rsidRPr="00856A61">
        <w:rPr>
          <w:snapToGrid w:val="0"/>
          <w:spacing w:val="-4"/>
        </w:rPr>
        <w:t>”</w:t>
      </w:r>
      <w:r w:rsidR="000970A8">
        <w:rPr>
          <w:snapToGrid w:val="0"/>
          <w:spacing w:val="-4"/>
        </w:rPr>
        <w:t> :</w:t>
      </w:r>
    </w:p>
    <w:p w:rsidR="00F66643" w:rsidRPr="00856A61" w:rsidRDefault="00F66643" w:rsidP="00F66643">
      <w:pPr>
        <w:shd w:val="clear" w:color="auto" w:fill="FFFFFF" w:themeFill="background1"/>
        <w:rPr>
          <w:rFonts w:eastAsia="Arial" w:cs="Arial"/>
          <w:sz w:val="16"/>
          <w:szCs w:val="16"/>
        </w:rPr>
      </w:pPr>
    </w:p>
    <w:p w:rsidR="00F66643" w:rsidRPr="00856A61" w:rsidRDefault="00F66643" w:rsidP="00F66643">
      <w:pPr>
        <w:ind w:left="567" w:right="567"/>
        <w:rPr>
          <w:sz w:val="18"/>
        </w:rPr>
      </w:pPr>
      <w:r w:rsidRPr="00856A61">
        <w:rPr>
          <w:sz w:val="18"/>
        </w:rPr>
        <w:t>“L</w:t>
      </w:r>
      <w:r w:rsidR="000970A8">
        <w:rPr>
          <w:sz w:val="18"/>
        </w:rPr>
        <w:t>’</w:t>
      </w:r>
      <w:r w:rsidRPr="00856A61">
        <w:rPr>
          <w:sz w:val="18"/>
        </w:rPr>
        <w:t>UE et ses États membres peuvent convenir de prendre note des réponses reçues de la part des membres de l</w:t>
      </w:r>
      <w:r w:rsidR="000970A8">
        <w:rPr>
          <w:sz w:val="18"/>
        </w:rPr>
        <w:t>’</w:t>
      </w:r>
      <w:r w:rsidRPr="00856A61">
        <w:rPr>
          <w:sz w:val="18"/>
        </w:rPr>
        <w:t>Union à la circulaire</w:t>
      </w:r>
      <w:r>
        <w:rPr>
          <w:sz w:val="18"/>
        </w:rPr>
        <w:t> </w:t>
      </w:r>
      <w:r w:rsidRPr="00856A61">
        <w:rPr>
          <w:sz w:val="18"/>
        </w:rPr>
        <w:t>E</w:t>
      </w:r>
      <w:r w:rsidR="00945DBD">
        <w:rPr>
          <w:sz w:val="18"/>
        </w:rPr>
        <w:noBreakHyphen/>
      </w:r>
      <w:r w:rsidRPr="00856A61">
        <w:rPr>
          <w:sz w:val="18"/>
        </w:rPr>
        <w:t>20/017, (b) examiner la demande présentée par le</w:t>
      </w:r>
      <w:r>
        <w:rPr>
          <w:sz w:val="18"/>
        </w:rPr>
        <w:t> </w:t>
      </w:r>
      <w:r w:rsidRPr="00856A61">
        <w:rPr>
          <w:sz w:val="18"/>
        </w:rPr>
        <w:t>TWV à sa cinquante</w:t>
      </w:r>
      <w:r w:rsidR="00945DBD">
        <w:rPr>
          <w:sz w:val="18"/>
        </w:rPr>
        <w:noBreakHyphen/>
      </w:r>
      <w:r w:rsidRPr="00856A61">
        <w:rPr>
          <w:sz w:val="18"/>
        </w:rPr>
        <w:t>quatr</w:t>
      </w:r>
      <w:r w:rsidR="000970A8">
        <w:rPr>
          <w:sz w:val="18"/>
        </w:rPr>
        <w:t>ième session</w:t>
      </w:r>
      <w:r w:rsidRPr="00856A61">
        <w:rPr>
          <w:sz w:val="18"/>
        </w:rPr>
        <w:t xml:space="preserve"> tendant à ce que la classe</w:t>
      </w:r>
      <w:r>
        <w:rPr>
          <w:sz w:val="18"/>
        </w:rPr>
        <w:t> </w:t>
      </w:r>
      <w:r w:rsidRPr="00856A61">
        <w:rPr>
          <w:sz w:val="18"/>
        </w:rPr>
        <w:t>205B ne soit pas introduite dans le document UPOV/EXN/DEN/1.</w:t>
      </w:r>
    </w:p>
    <w:p w:rsidR="00F66643" w:rsidRPr="00856A61" w:rsidRDefault="00F66643" w:rsidP="00F66643">
      <w:pPr>
        <w:ind w:left="567" w:right="567"/>
        <w:rPr>
          <w:sz w:val="18"/>
        </w:rPr>
      </w:pPr>
    </w:p>
    <w:p w:rsidR="00F66643" w:rsidRPr="00856A61" w:rsidRDefault="00F66643" w:rsidP="00F66643">
      <w:pPr>
        <w:ind w:left="567" w:right="567"/>
        <w:rPr>
          <w:sz w:val="18"/>
        </w:rPr>
      </w:pPr>
      <w:r w:rsidRPr="00856A61">
        <w:rPr>
          <w:sz w:val="18"/>
        </w:rPr>
        <w:t>Cependant, l</w:t>
      </w:r>
      <w:r w:rsidR="000970A8">
        <w:rPr>
          <w:sz w:val="18"/>
        </w:rPr>
        <w:t>’</w:t>
      </w:r>
      <w:r w:rsidRPr="00856A61">
        <w:rPr>
          <w:sz w:val="18"/>
        </w:rPr>
        <w:t>UE et ses États membres ne peuvent approuver le point</w:t>
      </w:r>
      <w:r>
        <w:rPr>
          <w:sz w:val="18"/>
        </w:rPr>
        <w:t> </w:t>
      </w:r>
      <w:r w:rsidRPr="00856A61">
        <w:rPr>
          <w:sz w:val="18"/>
        </w:rPr>
        <w:t xml:space="preserve">c) examiner la proposition de révision du document UPOV/EXN/DEN </w:t>
      </w:r>
      <w:r>
        <w:rPr>
          <w:sz w:val="18"/>
        </w:rPr>
        <w:t>“</w:t>
      </w:r>
      <w:r w:rsidRPr="00856A61">
        <w:rPr>
          <w:sz w:val="18"/>
        </w:rPr>
        <w:t xml:space="preserve">Notes explicatives concernant les dénominations variétales en vertu de la </w:t>
      </w:r>
      <w:r w:rsidR="000970A8">
        <w:rPr>
          <w:sz w:val="18"/>
        </w:rPr>
        <w:t>Convention UPOV</w:t>
      </w:r>
      <w:r w:rsidRPr="00856A61">
        <w:rPr>
          <w:sz w:val="18"/>
        </w:rPr>
        <w:t>”.</w:t>
      </w:r>
    </w:p>
    <w:p w:rsidR="00F66643" w:rsidRPr="00856A61" w:rsidRDefault="00F66643" w:rsidP="00F66643">
      <w:pPr>
        <w:ind w:left="567" w:right="567"/>
        <w:rPr>
          <w:sz w:val="18"/>
        </w:rPr>
      </w:pPr>
    </w:p>
    <w:p w:rsidR="00F66643" w:rsidRPr="00856A61" w:rsidRDefault="00F66643" w:rsidP="00F66643">
      <w:pPr>
        <w:ind w:left="567" w:right="567"/>
        <w:rPr>
          <w:sz w:val="18"/>
        </w:rPr>
      </w:pPr>
      <w:r w:rsidRPr="00856A61">
        <w:rPr>
          <w:sz w:val="18"/>
        </w:rPr>
        <w:t>En ce qui concerne le projet de la section</w:t>
      </w:r>
      <w:r>
        <w:rPr>
          <w:sz w:val="18"/>
        </w:rPr>
        <w:t> </w:t>
      </w:r>
      <w:r w:rsidRPr="00856A61">
        <w:rPr>
          <w:sz w:val="18"/>
        </w:rPr>
        <w:t>2.3.3.a) 1), page</w:t>
      </w:r>
      <w:r>
        <w:rPr>
          <w:sz w:val="18"/>
        </w:rPr>
        <w:t> </w:t>
      </w:r>
      <w:r w:rsidRPr="00856A61">
        <w:rPr>
          <w:sz w:val="18"/>
        </w:rPr>
        <w:t>7, “la différence d</w:t>
      </w:r>
      <w:r w:rsidR="000970A8">
        <w:rPr>
          <w:sz w:val="18"/>
        </w:rPr>
        <w:t>’</w:t>
      </w:r>
      <w:r w:rsidRPr="00856A61">
        <w:rPr>
          <w:sz w:val="18"/>
        </w:rPr>
        <w:t>une lettre permet d</w:t>
      </w:r>
      <w:r w:rsidR="000970A8">
        <w:rPr>
          <w:sz w:val="18"/>
        </w:rPr>
        <w:t>’</w:t>
      </w:r>
      <w:r w:rsidRPr="00856A61">
        <w:rPr>
          <w:sz w:val="18"/>
        </w:rPr>
        <w:t xml:space="preserve">obtenir une différence visuelle </w:t>
      </w:r>
      <w:r w:rsidRPr="00856A61">
        <w:rPr>
          <w:b/>
          <w:bCs/>
          <w:sz w:val="18"/>
        </w:rPr>
        <w:t>ET</w:t>
      </w:r>
      <w:r w:rsidRPr="00856A61">
        <w:rPr>
          <w:sz w:val="18"/>
        </w:rPr>
        <w:t xml:space="preserve"> phonétique nette, par exemple lorsqu</w:t>
      </w:r>
      <w:r w:rsidR="000970A8">
        <w:rPr>
          <w:sz w:val="18"/>
        </w:rPr>
        <w:t>’</w:t>
      </w:r>
      <w:r w:rsidRPr="00856A61">
        <w:rPr>
          <w:sz w:val="18"/>
        </w:rPr>
        <w:t>il s</w:t>
      </w:r>
      <w:r w:rsidR="000970A8">
        <w:rPr>
          <w:sz w:val="18"/>
        </w:rPr>
        <w:t>’</w:t>
      </w:r>
      <w:r w:rsidRPr="00856A61">
        <w:rPr>
          <w:sz w:val="18"/>
        </w:rPr>
        <w:t>agit d</w:t>
      </w:r>
      <w:r w:rsidR="000970A8">
        <w:rPr>
          <w:sz w:val="18"/>
        </w:rPr>
        <w:t>’</w:t>
      </w:r>
      <w:r w:rsidRPr="00856A61">
        <w:rPr>
          <w:sz w:val="18"/>
        </w:rPr>
        <w:t>une lettre au début d</w:t>
      </w:r>
      <w:r w:rsidR="000970A8">
        <w:rPr>
          <w:sz w:val="18"/>
        </w:rPr>
        <w:t>’</w:t>
      </w:r>
      <w:r w:rsidRPr="00856A61">
        <w:rPr>
          <w:sz w:val="18"/>
        </w:rPr>
        <w:t>un mot”, nous aimerions conserver le mot d</w:t>
      </w:r>
      <w:r w:rsidR="000970A8">
        <w:rPr>
          <w:sz w:val="18"/>
        </w:rPr>
        <w:t>’</w:t>
      </w:r>
      <w:r w:rsidRPr="00856A61">
        <w:rPr>
          <w:sz w:val="18"/>
        </w:rPr>
        <w:t>origine “</w:t>
      </w:r>
      <w:r w:rsidRPr="00856A61">
        <w:rPr>
          <w:b/>
          <w:bCs/>
          <w:sz w:val="18"/>
        </w:rPr>
        <w:t>OU</w:t>
      </w:r>
      <w:r w:rsidRPr="00856A61">
        <w:rPr>
          <w:sz w:val="18"/>
        </w:rPr>
        <w:t>”, et stipuler ce qui suit.</w:t>
      </w:r>
    </w:p>
    <w:p w:rsidR="00F66643" w:rsidRPr="00856A61" w:rsidRDefault="00F66643" w:rsidP="00F66643">
      <w:pPr>
        <w:ind w:left="567" w:right="567"/>
        <w:rPr>
          <w:sz w:val="18"/>
        </w:rPr>
      </w:pPr>
    </w:p>
    <w:p w:rsidR="00F66643" w:rsidRDefault="00F66643" w:rsidP="00F66643">
      <w:pPr>
        <w:ind w:left="567" w:right="567"/>
        <w:rPr>
          <w:sz w:val="18"/>
        </w:rPr>
      </w:pPr>
      <w:r w:rsidRPr="00856A61">
        <w:rPr>
          <w:sz w:val="18"/>
        </w:rPr>
        <w:t>La pratique montre que le sens des mots joue souvent un rôle important et peut suffire à éviter toute confusion, même si les deux</w:t>
      </w:r>
      <w:r>
        <w:rPr>
          <w:sz w:val="18"/>
        </w:rPr>
        <w:t> </w:t>
      </w:r>
      <w:r w:rsidRPr="00856A61">
        <w:rPr>
          <w:sz w:val="18"/>
        </w:rPr>
        <w:t>critères (différence visuelle et phonétique) ne sont pas rempl</w:t>
      </w:r>
      <w:r w:rsidR="00E402DE" w:rsidRPr="00856A61">
        <w:rPr>
          <w:sz w:val="18"/>
        </w:rPr>
        <w:t>is</w:t>
      </w:r>
      <w:r w:rsidR="00E402DE">
        <w:rPr>
          <w:sz w:val="18"/>
        </w:rPr>
        <w:t xml:space="preserve">.  </w:t>
      </w:r>
      <w:r w:rsidR="00E402DE" w:rsidRPr="00856A61">
        <w:rPr>
          <w:sz w:val="18"/>
        </w:rPr>
        <w:t>Da</w:t>
      </w:r>
      <w:r w:rsidRPr="00856A61">
        <w:rPr>
          <w:sz w:val="18"/>
        </w:rPr>
        <w:t>ns des exemples tels que “Power” &lt;&gt; “Poker” ou “Angle”&lt;&gt;”</w:t>
      </w:r>
      <w:proofErr w:type="spellStart"/>
      <w:r w:rsidRPr="00856A61">
        <w:rPr>
          <w:sz w:val="18"/>
        </w:rPr>
        <w:t>Ankel</w:t>
      </w:r>
      <w:proofErr w:type="spellEnd"/>
      <w:r w:rsidRPr="00856A61">
        <w:rPr>
          <w:sz w:val="18"/>
        </w:rPr>
        <w:t>”&lt;&gt;”Angel”, la similarité visuelle ou phonétique n</w:t>
      </w:r>
      <w:r w:rsidR="000970A8">
        <w:rPr>
          <w:sz w:val="18"/>
        </w:rPr>
        <w:t>’</w:t>
      </w:r>
      <w:r w:rsidRPr="00856A61">
        <w:rPr>
          <w:sz w:val="18"/>
        </w:rPr>
        <w:t>entraîne pas de confusion, car le sens de ces mots est clair.</w:t>
      </w:r>
    </w:p>
    <w:p w:rsidR="00F66643" w:rsidRPr="00856A61" w:rsidRDefault="00F66643" w:rsidP="00F66643">
      <w:pPr>
        <w:ind w:left="567" w:right="567"/>
        <w:rPr>
          <w:sz w:val="18"/>
        </w:rPr>
      </w:pPr>
    </w:p>
    <w:p w:rsidR="00F66643" w:rsidRPr="00856A61" w:rsidRDefault="00F66643" w:rsidP="00F66643">
      <w:pPr>
        <w:ind w:left="567" w:right="567"/>
        <w:rPr>
          <w:sz w:val="18"/>
        </w:rPr>
      </w:pPr>
      <w:r w:rsidRPr="00856A61">
        <w:rPr>
          <w:sz w:val="18"/>
        </w:rPr>
        <w:t>Nous sommes d</w:t>
      </w:r>
      <w:r w:rsidR="000970A8">
        <w:rPr>
          <w:sz w:val="18"/>
        </w:rPr>
        <w:t>’</w:t>
      </w:r>
      <w:r w:rsidRPr="00856A61">
        <w:rPr>
          <w:sz w:val="18"/>
        </w:rPr>
        <w:t>avis que dans ce cas, l</w:t>
      </w:r>
      <w:r w:rsidR="000970A8">
        <w:rPr>
          <w:sz w:val="18"/>
        </w:rPr>
        <w:t>’</w:t>
      </w:r>
      <w:r w:rsidRPr="00856A61">
        <w:rPr>
          <w:sz w:val="18"/>
        </w:rPr>
        <w:t>exigence d</w:t>
      </w:r>
      <w:r w:rsidR="000970A8">
        <w:rPr>
          <w:sz w:val="18"/>
        </w:rPr>
        <w:t>’</w:t>
      </w:r>
      <w:r w:rsidRPr="00856A61">
        <w:rPr>
          <w:sz w:val="18"/>
        </w:rPr>
        <w:t>avoir à la fois une différence visuelle et une différence phonétique pourrait conduire à une approche plus restrictive, alors que l</w:t>
      </w:r>
      <w:r w:rsidR="000970A8">
        <w:rPr>
          <w:sz w:val="18"/>
        </w:rPr>
        <w:t>’</w:t>
      </w:r>
      <w:r w:rsidRPr="00856A61">
        <w:rPr>
          <w:sz w:val="18"/>
        </w:rPr>
        <w:t>examen du concept pourrait contribuer à l</w:t>
      </w:r>
      <w:r w:rsidR="000970A8">
        <w:rPr>
          <w:sz w:val="18"/>
        </w:rPr>
        <w:t>’</w:t>
      </w:r>
      <w:r w:rsidRPr="00856A61">
        <w:rPr>
          <w:sz w:val="18"/>
        </w:rPr>
        <w:t>améliorer et permettrait de conserver la version initiale de la formulation “</w:t>
      </w:r>
      <w:r w:rsidRPr="00856A61">
        <w:rPr>
          <w:b/>
          <w:bCs/>
          <w:sz w:val="18"/>
        </w:rPr>
        <w:t>différence visuelle</w:t>
      </w:r>
      <w:r w:rsidRPr="00856A61">
        <w:rPr>
          <w:sz w:val="18"/>
        </w:rPr>
        <w:t xml:space="preserve"> </w:t>
      </w:r>
      <w:r w:rsidRPr="00856A61">
        <w:rPr>
          <w:b/>
          <w:bCs/>
          <w:sz w:val="18"/>
        </w:rPr>
        <w:t>ou phonétique</w:t>
      </w:r>
      <w:r w:rsidRPr="00856A61">
        <w:rPr>
          <w:sz w:val="18"/>
        </w:rPr>
        <w:t xml:space="preserve">”. </w:t>
      </w:r>
      <w:r>
        <w:rPr>
          <w:sz w:val="18"/>
        </w:rPr>
        <w:t xml:space="preserve"> </w:t>
      </w:r>
      <w:r w:rsidRPr="00856A61">
        <w:rPr>
          <w:sz w:val="18"/>
        </w:rPr>
        <w:t>Par conséquent, nous insistons pour présenter le concept comme un critère supplémentaire dans l</w:t>
      </w:r>
      <w:r w:rsidR="000970A8">
        <w:rPr>
          <w:sz w:val="18"/>
        </w:rPr>
        <w:t>’</w:t>
      </w:r>
      <w:r w:rsidRPr="00856A61">
        <w:rPr>
          <w:sz w:val="18"/>
        </w:rPr>
        <w:t>évaluation de la similarité.</w:t>
      </w:r>
    </w:p>
    <w:p w:rsidR="00F66643" w:rsidRPr="00856A61" w:rsidRDefault="00F66643" w:rsidP="00F66643">
      <w:pPr>
        <w:ind w:left="567" w:right="567"/>
        <w:rPr>
          <w:sz w:val="18"/>
        </w:rPr>
      </w:pPr>
    </w:p>
    <w:p w:rsidR="00F66643" w:rsidRPr="00856A61" w:rsidRDefault="00F66643" w:rsidP="00F66643">
      <w:pPr>
        <w:ind w:left="567" w:right="567"/>
        <w:rPr>
          <w:sz w:val="18"/>
        </w:rPr>
      </w:pPr>
      <w:r w:rsidRPr="00856A61">
        <w:rPr>
          <w:sz w:val="18"/>
        </w:rPr>
        <w:t>L</w:t>
      </w:r>
      <w:r w:rsidR="000970A8">
        <w:rPr>
          <w:sz w:val="18"/>
        </w:rPr>
        <w:t>’</w:t>
      </w:r>
      <w:r w:rsidRPr="00856A61">
        <w:rPr>
          <w:sz w:val="18"/>
        </w:rPr>
        <w:t>UE et ses États membres d) prennent note du fait que, sous réserve d</w:t>
      </w:r>
      <w:r w:rsidR="000970A8">
        <w:rPr>
          <w:sz w:val="18"/>
        </w:rPr>
        <w:t>’</w:t>
      </w:r>
      <w:r w:rsidRPr="00856A61">
        <w:rPr>
          <w:sz w:val="18"/>
        </w:rPr>
        <w:t>un accord du</w:t>
      </w:r>
      <w:r>
        <w:rPr>
          <w:sz w:val="18"/>
        </w:rPr>
        <w:t> </w:t>
      </w:r>
      <w:r w:rsidRPr="00856A61">
        <w:rPr>
          <w:sz w:val="18"/>
        </w:rPr>
        <w:t>CAJ, un projet de document UPOV/EXN/DEN/1</w:t>
      </w:r>
      <w:r>
        <w:rPr>
          <w:sz w:val="18"/>
        </w:rPr>
        <w:t> </w:t>
      </w:r>
      <w:r w:rsidRPr="00856A61">
        <w:rPr>
          <w:sz w:val="18"/>
        </w:rPr>
        <w:t>approuvé sera présenté au Conseil pour adoption en</w:t>
      </w:r>
      <w:r>
        <w:rPr>
          <w:sz w:val="18"/>
        </w:rPr>
        <w:t> </w:t>
      </w:r>
      <w:r w:rsidRPr="00856A61">
        <w:rPr>
          <w:sz w:val="18"/>
        </w:rPr>
        <w:t>2020.”</w:t>
      </w:r>
    </w:p>
    <w:p w:rsidR="00F66643" w:rsidRPr="00856A61" w:rsidRDefault="00F66643" w:rsidP="00F66643">
      <w:pPr>
        <w:ind w:left="567" w:right="567"/>
        <w:rPr>
          <w:sz w:val="18"/>
        </w:rPr>
      </w:pPr>
    </w:p>
    <w:p w:rsidR="00F66643" w:rsidRPr="00856A61" w:rsidRDefault="00F66643" w:rsidP="00F66643"/>
    <w:p w:rsidR="00F66643" w:rsidRPr="00856A61" w:rsidRDefault="00F66643" w:rsidP="00F66643"/>
    <w:p w:rsidR="00F66643" w:rsidRPr="000970A8" w:rsidRDefault="00F66643" w:rsidP="00F66643">
      <w:pPr>
        <w:jc w:val="right"/>
        <w:rPr>
          <w:lang w:val="fr-CH"/>
        </w:rPr>
      </w:pPr>
      <w:r w:rsidRPr="000970A8">
        <w:rPr>
          <w:lang w:val="fr-CH"/>
        </w:rPr>
        <w:t>[L</w:t>
      </w:r>
      <w:r w:rsidR="000970A8">
        <w:rPr>
          <w:lang w:val="fr-CH"/>
        </w:rPr>
        <w:t>’</w:t>
      </w:r>
      <w:r w:rsidRPr="000970A8">
        <w:rPr>
          <w:lang w:val="fr-CH"/>
        </w:rPr>
        <w:t>appendice III suit]</w:t>
      </w:r>
    </w:p>
    <w:p w:rsidR="00F66643" w:rsidRPr="000970A8" w:rsidRDefault="00F66643" w:rsidP="00F66643">
      <w:pPr>
        <w:ind w:left="567" w:right="567"/>
        <w:rPr>
          <w:rFonts w:cs="Arial"/>
          <w:sz w:val="18"/>
          <w:szCs w:val="16"/>
          <w:lang w:val="fr-CH"/>
        </w:rPr>
      </w:pPr>
    </w:p>
    <w:p w:rsidR="00F66643" w:rsidRPr="000970A8" w:rsidRDefault="00F66643" w:rsidP="00F66643">
      <w:pPr>
        <w:jc w:val="left"/>
        <w:rPr>
          <w:lang w:val="fr-CH"/>
        </w:rPr>
      </w:pPr>
    </w:p>
    <w:p w:rsidR="00A4614B" w:rsidRPr="000970A8" w:rsidRDefault="00A4614B" w:rsidP="004823C4">
      <w:pPr>
        <w:rPr>
          <w:rFonts w:eastAsia="Arial"/>
          <w:lang w:val="fr-CH"/>
        </w:rPr>
      </w:pPr>
    </w:p>
    <w:p w:rsidR="00A4614B" w:rsidRPr="000970A8" w:rsidRDefault="00A4614B" w:rsidP="004823C4">
      <w:pPr>
        <w:ind w:left="567" w:right="567"/>
        <w:rPr>
          <w:rFonts w:eastAsia="Arial" w:cs="Arial"/>
          <w:sz w:val="18"/>
          <w:szCs w:val="16"/>
          <w:lang w:val="fr-CH"/>
        </w:rPr>
      </w:pPr>
    </w:p>
    <w:p w:rsidR="00A4614B" w:rsidRPr="000970A8" w:rsidRDefault="00A4614B" w:rsidP="004823C4">
      <w:pPr>
        <w:ind w:left="567" w:right="567"/>
        <w:rPr>
          <w:rFonts w:eastAsia="Arial" w:cs="Arial"/>
          <w:b/>
          <w:bCs/>
          <w:sz w:val="18"/>
          <w:szCs w:val="16"/>
          <w:lang w:val="fr-CH"/>
        </w:rPr>
      </w:pPr>
    </w:p>
    <w:p w:rsidR="00A4614B" w:rsidRPr="000970A8" w:rsidRDefault="00A4614B" w:rsidP="004823C4">
      <w:pPr>
        <w:rPr>
          <w:lang w:val="fr-CH"/>
        </w:rPr>
      </w:pPr>
    </w:p>
    <w:p w:rsidR="004823C4" w:rsidRPr="000970A8" w:rsidRDefault="004823C4" w:rsidP="004823C4">
      <w:pPr>
        <w:jc w:val="left"/>
        <w:rPr>
          <w:lang w:val="fr-CH"/>
        </w:rPr>
        <w:sectPr w:rsidR="004823C4" w:rsidRPr="000970A8" w:rsidSect="00906DDC">
          <w:headerReference w:type="even" r:id="rId26"/>
          <w:headerReference w:type="default" r:id="rId27"/>
          <w:footerReference w:type="even" r:id="rId28"/>
          <w:footerReference w:type="default" r:id="rId29"/>
          <w:headerReference w:type="first" r:id="rId30"/>
          <w:footerReference w:type="first" r:id="rId31"/>
          <w:pgSz w:w="11907" w:h="16840" w:code="9"/>
          <w:pgMar w:top="510" w:right="1134" w:bottom="1134" w:left="1134" w:header="510" w:footer="680" w:gutter="0"/>
          <w:cols w:space="720"/>
          <w:titlePg/>
        </w:sectPr>
      </w:pPr>
    </w:p>
    <w:p w:rsidR="00A4614B" w:rsidRPr="00F23F31" w:rsidRDefault="00A4614B" w:rsidP="004823C4">
      <w:pPr>
        <w:jc w:val="center"/>
        <w:rPr>
          <w:lang w:val="fr-CH"/>
        </w:rPr>
      </w:pPr>
    </w:p>
    <w:bookmarkEnd w:id="32"/>
    <w:bookmarkEnd w:id="33"/>
    <w:p w:rsidR="00F23F31" w:rsidRPr="00700B2A" w:rsidRDefault="00F23F31" w:rsidP="00F23F31">
      <w:pPr>
        <w:jc w:val="center"/>
        <w:rPr>
          <w:i/>
          <w:lang w:val="fr-CH"/>
        </w:rPr>
      </w:pPr>
      <w:r w:rsidRPr="00700B2A">
        <w:rPr>
          <w:i/>
          <w:lang w:val="fr-CH"/>
        </w:rPr>
        <w:t>EUROSEEDS</w:t>
      </w:r>
    </w:p>
    <w:p w:rsidR="00F23F31" w:rsidRPr="005817BF" w:rsidRDefault="00F23F31" w:rsidP="00F23F31">
      <w:pPr>
        <w:rPr>
          <w:lang w:val="fr-CH"/>
        </w:rPr>
      </w:pPr>
    </w:p>
    <w:p w:rsidR="00F23F31" w:rsidRPr="005817BF" w:rsidRDefault="00F23F31" w:rsidP="00F23F31">
      <w:pPr>
        <w:rPr>
          <w:lang w:val="fr-CH"/>
        </w:rPr>
      </w:pPr>
    </w:p>
    <w:p w:rsidR="00F23F31" w:rsidRPr="005817BF" w:rsidRDefault="00F23F31" w:rsidP="00F23F31">
      <w:pPr>
        <w:shd w:val="clear" w:color="auto" w:fill="FFFFFF" w:themeFill="background1"/>
        <w:rPr>
          <w:snapToGrid w:val="0"/>
          <w:spacing w:val="-4"/>
          <w:lang w:val="fr-CH"/>
        </w:rPr>
      </w:pPr>
      <w:r w:rsidRPr="00700B2A">
        <w:rPr>
          <w:i/>
          <w:snapToGrid w:val="0"/>
          <w:spacing w:val="-4"/>
          <w:lang w:val="fr-CH"/>
        </w:rPr>
        <w:t>Euroseeds</w:t>
      </w:r>
      <w:r w:rsidRPr="005817BF">
        <w:rPr>
          <w:snapToGrid w:val="0"/>
          <w:spacing w:val="-4"/>
          <w:lang w:val="fr-CH"/>
        </w:rPr>
        <w:t xml:space="preserve"> a formulé les observations ci</w:t>
      </w:r>
      <w:r w:rsidR="00945DBD">
        <w:rPr>
          <w:snapToGrid w:val="0"/>
          <w:spacing w:val="-4"/>
          <w:lang w:val="fr-CH"/>
        </w:rPr>
        <w:noBreakHyphen/>
      </w:r>
      <w:r w:rsidRPr="005817BF">
        <w:rPr>
          <w:snapToGrid w:val="0"/>
          <w:spacing w:val="-4"/>
          <w:lang w:val="fr-CH"/>
        </w:rPr>
        <w:t xml:space="preserve">après concernant le document UPOV/EXN/DEN “Notes explicatives concernant les dénominations variétales en vertu de la </w:t>
      </w:r>
      <w:r w:rsidR="000970A8">
        <w:rPr>
          <w:snapToGrid w:val="0"/>
          <w:spacing w:val="-4"/>
          <w:lang w:val="fr-CH"/>
        </w:rPr>
        <w:t>Convention UPOV</w:t>
      </w:r>
      <w:r w:rsidRPr="005817BF">
        <w:rPr>
          <w:snapToGrid w:val="0"/>
          <w:spacing w:val="-4"/>
          <w:lang w:val="fr-CH"/>
        </w:rPr>
        <w:t xml:space="preserve">” (document UPOV/EXN/DEN/1 </w:t>
      </w:r>
      <w:proofErr w:type="spellStart"/>
      <w:r w:rsidRPr="005817BF">
        <w:rPr>
          <w:snapToGrid w:val="0"/>
          <w:spacing w:val="-4"/>
          <w:lang w:val="fr-CH"/>
        </w:rPr>
        <w:t>Draft</w:t>
      </w:r>
      <w:proofErr w:type="spellEnd"/>
      <w:r w:rsidRPr="005817BF">
        <w:rPr>
          <w:snapToGrid w:val="0"/>
          <w:spacing w:val="-4"/>
          <w:lang w:val="fr-CH"/>
        </w:rPr>
        <w:t xml:space="preserve"> 4)</w:t>
      </w:r>
      <w:r w:rsidR="000970A8">
        <w:rPr>
          <w:snapToGrid w:val="0"/>
          <w:spacing w:val="-4"/>
          <w:lang w:val="fr-CH"/>
        </w:rPr>
        <w:t> :</w:t>
      </w:r>
    </w:p>
    <w:p w:rsidR="00F23F31" w:rsidRPr="005817BF" w:rsidRDefault="00F23F31" w:rsidP="00F23F31">
      <w:pPr>
        <w:adjustRightInd w:val="0"/>
        <w:ind w:left="567" w:right="567"/>
        <w:rPr>
          <w:rFonts w:cs="Arial"/>
          <w:sz w:val="18"/>
          <w:szCs w:val="16"/>
          <w:lang w:val="fr-CH"/>
        </w:rPr>
      </w:pPr>
    </w:p>
    <w:p w:rsidR="00F23F31" w:rsidRPr="005817BF" w:rsidRDefault="00F23F31" w:rsidP="00F23F31">
      <w:pPr>
        <w:adjustRightInd w:val="0"/>
        <w:ind w:left="567" w:right="567"/>
        <w:rPr>
          <w:rFonts w:cs="Arial"/>
          <w:sz w:val="18"/>
          <w:szCs w:val="16"/>
          <w:lang w:val="fr-CH"/>
        </w:rPr>
      </w:pPr>
      <w:r w:rsidRPr="005817BF">
        <w:rPr>
          <w:rFonts w:cs="Arial"/>
          <w:sz w:val="18"/>
          <w:szCs w:val="16"/>
          <w:lang w:val="fr-CH"/>
        </w:rPr>
        <w:t>“Toutefois, nous prenons bonne note du fait que le nouveau projet</w:t>
      </w:r>
      <w:r w:rsidR="003D0584">
        <w:rPr>
          <w:rFonts w:cs="Arial"/>
          <w:sz w:val="18"/>
          <w:szCs w:val="16"/>
          <w:lang w:val="fr-CH"/>
        </w:rPr>
        <w:t> </w:t>
      </w:r>
      <w:r w:rsidRPr="005817BF">
        <w:rPr>
          <w:rFonts w:cs="Arial"/>
          <w:sz w:val="18"/>
          <w:szCs w:val="16"/>
          <w:lang w:val="fr-CH"/>
        </w:rPr>
        <w:t xml:space="preserve">4 ne contient pas les exemples </w:t>
      </w:r>
      <w:r w:rsidR="000970A8">
        <w:rPr>
          <w:rFonts w:cs="Arial"/>
          <w:sz w:val="18"/>
          <w:szCs w:val="16"/>
          <w:lang w:val="fr-CH"/>
        </w:rPr>
        <w:t>à l’égard</w:t>
      </w:r>
      <w:r w:rsidRPr="005817BF">
        <w:rPr>
          <w:rFonts w:cs="Arial"/>
          <w:sz w:val="18"/>
          <w:szCs w:val="16"/>
          <w:lang w:val="fr-CH"/>
        </w:rPr>
        <w:t xml:space="preserve"> desquels nous avons formulé des objections au paragraphe 2.3.3.ii).</w:t>
      </w:r>
    </w:p>
    <w:p w:rsidR="00F23F31" w:rsidRPr="005817BF" w:rsidRDefault="00F23F31" w:rsidP="00F23F31">
      <w:pPr>
        <w:adjustRightInd w:val="0"/>
        <w:ind w:left="567" w:right="567"/>
        <w:rPr>
          <w:rFonts w:cs="Arial"/>
          <w:sz w:val="18"/>
          <w:szCs w:val="16"/>
          <w:lang w:val="fr-CH"/>
        </w:rPr>
      </w:pPr>
      <w:r w:rsidRPr="005817BF">
        <w:rPr>
          <w:rFonts w:cs="Arial"/>
          <w:sz w:val="18"/>
          <w:szCs w:val="16"/>
          <w:lang w:val="fr-CH"/>
        </w:rPr>
        <w:t>En ce qui concerne le paragraphe 2.3.3.b), nous regrettons que notre proposition visant à inclure des exemples de dénominations appropriées n</w:t>
      </w:r>
      <w:r w:rsidR="000970A8">
        <w:rPr>
          <w:rFonts w:cs="Arial"/>
          <w:sz w:val="18"/>
          <w:szCs w:val="16"/>
          <w:lang w:val="fr-CH"/>
        </w:rPr>
        <w:t>’</w:t>
      </w:r>
      <w:r w:rsidRPr="005817BF">
        <w:rPr>
          <w:rFonts w:cs="Arial"/>
          <w:sz w:val="18"/>
          <w:szCs w:val="16"/>
          <w:lang w:val="fr-CH"/>
        </w:rPr>
        <w:t>ait pas été prise en considérati</w:t>
      </w:r>
      <w:r w:rsidR="00E402DE" w:rsidRPr="005817BF">
        <w:rPr>
          <w:rFonts w:cs="Arial"/>
          <w:sz w:val="18"/>
          <w:szCs w:val="16"/>
          <w:lang w:val="fr-CH"/>
        </w:rPr>
        <w:t>on</w:t>
      </w:r>
      <w:r w:rsidR="00E402DE">
        <w:rPr>
          <w:rFonts w:cs="Arial"/>
          <w:sz w:val="18"/>
          <w:szCs w:val="16"/>
          <w:lang w:val="fr-CH"/>
        </w:rPr>
        <w:t xml:space="preserve">.  </w:t>
      </w:r>
      <w:r w:rsidR="00E402DE" w:rsidRPr="005817BF">
        <w:rPr>
          <w:rFonts w:cs="Arial"/>
          <w:sz w:val="18"/>
          <w:szCs w:val="16"/>
          <w:lang w:val="fr-CH"/>
        </w:rPr>
        <w:t>No</w:t>
      </w:r>
      <w:r w:rsidRPr="005817BF">
        <w:rPr>
          <w:rFonts w:cs="Arial"/>
          <w:sz w:val="18"/>
          <w:szCs w:val="16"/>
          <w:lang w:val="fr-CH"/>
        </w:rPr>
        <w:t xml:space="preserve">us suggérons également de remplacer le terme </w:t>
      </w:r>
      <w:r w:rsidR="000970A8">
        <w:rPr>
          <w:rFonts w:cs="Arial"/>
          <w:sz w:val="18"/>
          <w:szCs w:val="16"/>
          <w:lang w:val="fr-CH"/>
        </w:rPr>
        <w:t>‘</w:t>
      </w:r>
      <w:r w:rsidRPr="005817BF">
        <w:rPr>
          <w:rFonts w:cs="Arial"/>
          <w:sz w:val="18"/>
          <w:szCs w:val="16"/>
          <w:lang w:val="fr-CH"/>
        </w:rPr>
        <w:t>ou</w:t>
      </w:r>
      <w:r w:rsidR="000970A8">
        <w:rPr>
          <w:rFonts w:cs="Arial"/>
          <w:sz w:val="18"/>
          <w:szCs w:val="16"/>
          <w:lang w:val="fr-CH"/>
        </w:rPr>
        <w:t>’</w:t>
      </w:r>
      <w:r w:rsidRPr="005817BF">
        <w:rPr>
          <w:rFonts w:cs="Arial"/>
          <w:sz w:val="18"/>
          <w:szCs w:val="16"/>
          <w:lang w:val="fr-CH"/>
        </w:rPr>
        <w:t xml:space="preserve"> par </w:t>
      </w:r>
      <w:r w:rsidR="000970A8">
        <w:rPr>
          <w:rFonts w:cs="Arial"/>
          <w:sz w:val="18"/>
          <w:szCs w:val="16"/>
          <w:lang w:val="fr-CH"/>
        </w:rPr>
        <w:t>‘</w:t>
      </w:r>
      <w:r w:rsidRPr="005817BF">
        <w:rPr>
          <w:rFonts w:cs="Arial"/>
          <w:sz w:val="18"/>
          <w:szCs w:val="16"/>
          <w:lang w:val="fr-CH"/>
        </w:rPr>
        <w:t>et</w:t>
      </w:r>
      <w:r w:rsidR="000970A8">
        <w:rPr>
          <w:rFonts w:cs="Arial"/>
          <w:sz w:val="18"/>
          <w:szCs w:val="16"/>
          <w:lang w:val="fr-CH"/>
        </w:rPr>
        <w:t>’</w:t>
      </w:r>
      <w:r w:rsidRPr="005817BF">
        <w:rPr>
          <w:rFonts w:cs="Arial"/>
          <w:sz w:val="18"/>
          <w:szCs w:val="16"/>
          <w:lang w:val="fr-CH"/>
        </w:rPr>
        <w:t xml:space="preserve"> dans la phrase suivante</w:t>
      </w:r>
      <w:r w:rsidR="000970A8">
        <w:rPr>
          <w:rFonts w:cs="Arial"/>
          <w:sz w:val="18"/>
          <w:szCs w:val="16"/>
          <w:lang w:val="fr-CH"/>
        </w:rPr>
        <w:t> :</w:t>
      </w:r>
      <w:r w:rsidRPr="005817BF">
        <w:rPr>
          <w:rFonts w:cs="Arial"/>
          <w:sz w:val="18"/>
          <w:szCs w:val="16"/>
          <w:lang w:val="fr-CH"/>
        </w:rPr>
        <w:t xml:space="preserve"> </w:t>
      </w:r>
      <w:r w:rsidR="000970A8">
        <w:rPr>
          <w:rFonts w:cs="Arial"/>
          <w:sz w:val="18"/>
          <w:szCs w:val="16"/>
          <w:lang w:val="fr-CH"/>
        </w:rPr>
        <w:t>‘</w:t>
      </w:r>
      <w:r w:rsidRPr="005817BF">
        <w:rPr>
          <w:rFonts w:cs="Arial"/>
          <w:sz w:val="18"/>
          <w:szCs w:val="16"/>
          <w:lang w:val="fr-CH"/>
        </w:rPr>
        <w:t>si la différence ne permet pas d</w:t>
      </w:r>
      <w:r w:rsidR="000970A8">
        <w:rPr>
          <w:rFonts w:cs="Arial"/>
          <w:sz w:val="18"/>
          <w:szCs w:val="16"/>
          <w:lang w:val="fr-CH"/>
        </w:rPr>
        <w:t>’</w:t>
      </w:r>
      <w:r w:rsidRPr="005817BF">
        <w:rPr>
          <w:rFonts w:cs="Arial"/>
          <w:sz w:val="18"/>
          <w:szCs w:val="16"/>
          <w:lang w:val="fr-CH"/>
        </w:rPr>
        <w:t xml:space="preserve">obtenir une différence phonétique nette </w:t>
      </w:r>
      <w:r w:rsidRPr="005817BF">
        <w:rPr>
          <w:rFonts w:cs="Arial"/>
          <w:b/>
          <w:sz w:val="18"/>
          <w:szCs w:val="16"/>
          <w:lang w:val="fr-CH"/>
        </w:rPr>
        <w:t xml:space="preserve">et </w:t>
      </w:r>
      <w:r w:rsidRPr="005817BF">
        <w:rPr>
          <w:rFonts w:cs="Arial"/>
          <w:sz w:val="18"/>
          <w:szCs w:val="16"/>
          <w:lang w:val="fr-CH"/>
        </w:rPr>
        <w:t>une différence de sens évidente</w:t>
      </w:r>
      <w:r w:rsidR="000970A8">
        <w:rPr>
          <w:rFonts w:cs="Arial"/>
          <w:sz w:val="18"/>
          <w:szCs w:val="16"/>
          <w:lang w:val="fr-CH"/>
        </w:rPr>
        <w:t>’</w:t>
      </w:r>
      <w:r w:rsidRPr="005817BF">
        <w:rPr>
          <w:rFonts w:cs="Arial"/>
          <w:sz w:val="18"/>
          <w:szCs w:val="16"/>
          <w:lang w:val="fr-CH"/>
        </w:rPr>
        <w:t>.</w:t>
      </w:r>
    </w:p>
    <w:p w:rsidR="00F23F31" w:rsidRPr="005817BF" w:rsidRDefault="00F23F31" w:rsidP="00F23F31">
      <w:pPr>
        <w:adjustRightInd w:val="0"/>
        <w:ind w:left="567" w:right="567"/>
        <w:rPr>
          <w:rFonts w:cs="Arial"/>
          <w:sz w:val="18"/>
          <w:szCs w:val="16"/>
          <w:lang w:val="fr-CH"/>
        </w:rPr>
      </w:pPr>
    </w:p>
    <w:p w:rsidR="00F23F31" w:rsidRPr="005817BF" w:rsidRDefault="00F23F31" w:rsidP="00F23F31">
      <w:pPr>
        <w:adjustRightInd w:val="0"/>
        <w:spacing w:after="120"/>
        <w:ind w:left="567" w:right="567"/>
        <w:rPr>
          <w:rFonts w:cs="Arial"/>
          <w:sz w:val="18"/>
          <w:szCs w:val="16"/>
          <w:lang w:val="fr-CH"/>
        </w:rPr>
      </w:pPr>
      <w:r w:rsidRPr="005817BF">
        <w:rPr>
          <w:rFonts w:cs="Arial"/>
          <w:sz w:val="18"/>
          <w:szCs w:val="16"/>
          <w:lang w:val="fr-CH"/>
        </w:rPr>
        <w:t>En effet, une dénomination ne devrait être refusée que lorsqu</w:t>
      </w:r>
      <w:r w:rsidR="000970A8">
        <w:rPr>
          <w:rFonts w:cs="Arial"/>
          <w:sz w:val="18"/>
          <w:szCs w:val="16"/>
          <w:lang w:val="fr-CH"/>
        </w:rPr>
        <w:t>’</w:t>
      </w:r>
      <w:r w:rsidRPr="005817BF">
        <w:rPr>
          <w:rFonts w:cs="Arial"/>
          <w:sz w:val="18"/>
          <w:szCs w:val="16"/>
          <w:lang w:val="fr-CH"/>
        </w:rPr>
        <w:t>elle remplit les deux critères</w:t>
      </w:r>
      <w:r w:rsidR="000970A8">
        <w:rPr>
          <w:rFonts w:cs="Arial"/>
          <w:sz w:val="18"/>
          <w:szCs w:val="16"/>
          <w:lang w:val="fr-CH"/>
        </w:rPr>
        <w:t> :</w:t>
      </w:r>
    </w:p>
    <w:p w:rsidR="00F23F31" w:rsidRPr="005817BF" w:rsidRDefault="00F23F31" w:rsidP="00F23F31">
      <w:pPr>
        <w:tabs>
          <w:tab w:val="left" w:pos="1134"/>
        </w:tabs>
        <w:spacing w:after="120"/>
        <w:ind w:left="567" w:right="567" w:firstLine="284"/>
        <w:rPr>
          <w:rFonts w:cs="Arial"/>
          <w:sz w:val="18"/>
          <w:szCs w:val="16"/>
          <w:lang w:val="fr-CH"/>
        </w:rPr>
      </w:pPr>
      <w:r w:rsidRPr="005817BF">
        <w:rPr>
          <w:rFonts w:cs="Arial"/>
          <w:sz w:val="18"/>
          <w:szCs w:val="16"/>
          <w:lang w:val="fr-CH"/>
        </w:rPr>
        <w:t xml:space="preserve">• </w:t>
      </w:r>
      <w:r w:rsidR="0063490F">
        <w:rPr>
          <w:rFonts w:cs="Arial"/>
          <w:sz w:val="18"/>
          <w:szCs w:val="16"/>
          <w:lang w:val="fr-CH"/>
        </w:rPr>
        <w:tab/>
      </w:r>
      <w:r w:rsidRPr="005817BF">
        <w:rPr>
          <w:rFonts w:cs="Arial"/>
          <w:sz w:val="18"/>
          <w:szCs w:val="16"/>
          <w:lang w:val="fr-CH"/>
        </w:rPr>
        <w:t>si elle ne permet pas d</w:t>
      </w:r>
      <w:r w:rsidR="000970A8">
        <w:rPr>
          <w:rFonts w:cs="Arial"/>
          <w:sz w:val="18"/>
          <w:szCs w:val="16"/>
          <w:lang w:val="fr-CH"/>
        </w:rPr>
        <w:t>’</w:t>
      </w:r>
      <w:r w:rsidRPr="005817BF">
        <w:rPr>
          <w:rFonts w:cs="Arial"/>
          <w:sz w:val="18"/>
          <w:szCs w:val="16"/>
          <w:lang w:val="fr-CH"/>
        </w:rPr>
        <w:t>obtenir une différence phonétique nette, mais qu</w:t>
      </w:r>
      <w:r w:rsidR="000970A8">
        <w:rPr>
          <w:rFonts w:cs="Arial"/>
          <w:sz w:val="18"/>
          <w:szCs w:val="16"/>
          <w:lang w:val="fr-CH"/>
        </w:rPr>
        <w:t>’</w:t>
      </w:r>
      <w:r w:rsidRPr="005817BF">
        <w:rPr>
          <w:rFonts w:cs="Arial"/>
          <w:sz w:val="18"/>
          <w:szCs w:val="16"/>
          <w:lang w:val="fr-CH"/>
        </w:rPr>
        <w:t>elle permet d</w:t>
      </w:r>
      <w:r w:rsidR="000970A8">
        <w:rPr>
          <w:rFonts w:cs="Arial"/>
          <w:sz w:val="18"/>
          <w:szCs w:val="16"/>
          <w:lang w:val="fr-CH"/>
        </w:rPr>
        <w:t>’</w:t>
      </w:r>
      <w:r w:rsidRPr="005817BF">
        <w:rPr>
          <w:rFonts w:cs="Arial"/>
          <w:sz w:val="18"/>
          <w:szCs w:val="16"/>
          <w:lang w:val="fr-CH"/>
        </w:rPr>
        <w:t>obtenir une différence de sens évidente, une dénomination est appropriée</w:t>
      </w:r>
      <w:r w:rsidR="000970A8">
        <w:rPr>
          <w:rFonts w:cs="Arial"/>
          <w:sz w:val="18"/>
          <w:szCs w:val="16"/>
          <w:lang w:val="fr-CH"/>
        </w:rPr>
        <w:t> :</w:t>
      </w:r>
      <w:r w:rsidRPr="005817BF">
        <w:rPr>
          <w:rFonts w:cs="Arial"/>
          <w:sz w:val="18"/>
          <w:szCs w:val="16"/>
          <w:lang w:val="fr-CH"/>
        </w:rPr>
        <w:t xml:space="preserve"> par exemple, Power/Poker</w:t>
      </w:r>
    </w:p>
    <w:p w:rsidR="00F23F31" w:rsidRPr="005817BF" w:rsidRDefault="00F23F31" w:rsidP="00F23F31">
      <w:pPr>
        <w:tabs>
          <w:tab w:val="left" w:pos="1134"/>
        </w:tabs>
        <w:ind w:left="567" w:right="567" w:firstLine="284"/>
        <w:rPr>
          <w:rFonts w:cs="Arial"/>
          <w:sz w:val="18"/>
          <w:szCs w:val="16"/>
          <w:lang w:val="fr-CH"/>
        </w:rPr>
      </w:pPr>
      <w:r w:rsidRPr="005817BF">
        <w:rPr>
          <w:rFonts w:cs="Arial"/>
          <w:sz w:val="18"/>
          <w:szCs w:val="16"/>
          <w:lang w:val="fr-CH"/>
        </w:rPr>
        <w:t xml:space="preserve">• </w:t>
      </w:r>
      <w:r w:rsidR="0063490F">
        <w:rPr>
          <w:rFonts w:cs="Arial"/>
          <w:sz w:val="18"/>
          <w:szCs w:val="16"/>
          <w:lang w:val="fr-CH"/>
        </w:rPr>
        <w:tab/>
      </w:r>
      <w:r w:rsidRPr="005817BF">
        <w:rPr>
          <w:rFonts w:cs="Arial"/>
          <w:sz w:val="18"/>
          <w:szCs w:val="16"/>
          <w:lang w:val="fr-CH"/>
        </w:rPr>
        <w:t>si elle ne permet pas d</w:t>
      </w:r>
      <w:r w:rsidR="000970A8">
        <w:rPr>
          <w:rFonts w:cs="Arial"/>
          <w:sz w:val="18"/>
          <w:szCs w:val="16"/>
          <w:lang w:val="fr-CH"/>
        </w:rPr>
        <w:t>’</w:t>
      </w:r>
      <w:r w:rsidRPr="005817BF">
        <w:rPr>
          <w:rFonts w:cs="Arial"/>
          <w:sz w:val="18"/>
          <w:szCs w:val="16"/>
          <w:lang w:val="fr-CH"/>
        </w:rPr>
        <w:t>obtenir une différence de sens évidente, mais qu</w:t>
      </w:r>
      <w:r w:rsidR="000970A8">
        <w:rPr>
          <w:rFonts w:cs="Arial"/>
          <w:sz w:val="18"/>
          <w:szCs w:val="16"/>
          <w:lang w:val="fr-CH"/>
        </w:rPr>
        <w:t>’</w:t>
      </w:r>
      <w:r w:rsidRPr="005817BF">
        <w:rPr>
          <w:rFonts w:cs="Arial"/>
          <w:sz w:val="18"/>
          <w:szCs w:val="16"/>
          <w:lang w:val="fr-CH"/>
        </w:rPr>
        <w:t>elle permet d</w:t>
      </w:r>
      <w:r w:rsidR="000970A8">
        <w:rPr>
          <w:rFonts w:cs="Arial"/>
          <w:sz w:val="18"/>
          <w:szCs w:val="16"/>
          <w:lang w:val="fr-CH"/>
        </w:rPr>
        <w:t>’</w:t>
      </w:r>
      <w:r w:rsidRPr="005817BF">
        <w:rPr>
          <w:rFonts w:cs="Arial"/>
          <w:sz w:val="18"/>
          <w:szCs w:val="16"/>
          <w:lang w:val="fr-CH"/>
        </w:rPr>
        <w:t>obtenir une différence phonétique nette, une dénomination est appropriée</w:t>
      </w:r>
      <w:r w:rsidR="000970A8">
        <w:rPr>
          <w:rFonts w:cs="Arial"/>
          <w:sz w:val="18"/>
          <w:szCs w:val="16"/>
          <w:lang w:val="fr-CH"/>
        </w:rPr>
        <w:t> :</w:t>
      </w:r>
      <w:r w:rsidRPr="005817BF">
        <w:rPr>
          <w:rFonts w:cs="Arial"/>
          <w:sz w:val="18"/>
          <w:szCs w:val="16"/>
          <w:lang w:val="fr-CH"/>
        </w:rPr>
        <w:t xml:space="preserve"> par exemple, Power/</w:t>
      </w:r>
      <w:proofErr w:type="spellStart"/>
      <w:r w:rsidRPr="005817BF">
        <w:rPr>
          <w:rFonts w:cs="Arial"/>
          <w:sz w:val="18"/>
          <w:szCs w:val="16"/>
          <w:lang w:val="fr-CH"/>
        </w:rPr>
        <w:t>Kracht</w:t>
      </w:r>
      <w:proofErr w:type="spellEnd"/>
      <w:r w:rsidRPr="005817BF">
        <w:rPr>
          <w:rFonts w:cs="Arial"/>
          <w:sz w:val="18"/>
          <w:szCs w:val="16"/>
          <w:lang w:val="fr-CH"/>
        </w:rPr>
        <w:t xml:space="preserve"> (power en néerlandais).”</w:t>
      </w:r>
    </w:p>
    <w:p w:rsidR="00F23F31" w:rsidRPr="005817BF" w:rsidRDefault="00F23F31" w:rsidP="00F23F31">
      <w:pPr>
        <w:rPr>
          <w:lang w:val="fr-CH"/>
        </w:rPr>
      </w:pPr>
    </w:p>
    <w:p w:rsidR="00F23F31" w:rsidRPr="005817BF" w:rsidRDefault="00F23F31" w:rsidP="00F23F31">
      <w:pPr>
        <w:rPr>
          <w:lang w:val="fr-CH"/>
        </w:rPr>
      </w:pPr>
    </w:p>
    <w:p w:rsidR="00F23F31" w:rsidRPr="005817BF" w:rsidRDefault="00F23F31" w:rsidP="00F23F31">
      <w:pPr>
        <w:jc w:val="right"/>
        <w:rPr>
          <w:lang w:val="en-US"/>
        </w:rPr>
      </w:pPr>
      <w:r w:rsidRPr="005817BF">
        <w:rPr>
          <w:lang w:val="en-US"/>
        </w:rPr>
        <w:t>[L</w:t>
      </w:r>
      <w:r w:rsidR="000970A8">
        <w:rPr>
          <w:lang w:val="en-US"/>
        </w:rPr>
        <w:t>’</w:t>
      </w:r>
      <w:r w:rsidRPr="005817BF">
        <w:rPr>
          <w:lang w:val="en-US"/>
        </w:rPr>
        <w:t>appendice</w:t>
      </w:r>
      <w:r w:rsidR="003D0584">
        <w:rPr>
          <w:lang w:val="en-US"/>
        </w:rPr>
        <w:t> </w:t>
      </w:r>
      <w:r w:rsidRPr="005817BF">
        <w:rPr>
          <w:lang w:val="en-US"/>
        </w:rPr>
        <w:t>IV suit]</w:t>
      </w:r>
    </w:p>
    <w:p w:rsidR="00F23F31" w:rsidRPr="005817BF" w:rsidRDefault="00F23F31" w:rsidP="00F23F31">
      <w:pPr>
        <w:ind w:left="567" w:right="567"/>
        <w:rPr>
          <w:sz w:val="18"/>
          <w:lang w:val="en-US"/>
        </w:rPr>
      </w:pPr>
    </w:p>
    <w:p w:rsidR="00F23F31" w:rsidRPr="005817BF" w:rsidRDefault="00F23F31" w:rsidP="00F23F31">
      <w:pPr>
        <w:ind w:left="567" w:right="567"/>
        <w:rPr>
          <w:sz w:val="18"/>
          <w:lang w:val="en-US"/>
        </w:rPr>
      </w:pPr>
    </w:p>
    <w:p w:rsidR="00F23F31" w:rsidRPr="005817BF" w:rsidRDefault="00F23F31" w:rsidP="00F23F31">
      <w:pPr>
        <w:rPr>
          <w:lang w:val="en-US"/>
        </w:rPr>
      </w:pPr>
    </w:p>
    <w:p w:rsidR="00F23F31" w:rsidRPr="005817BF" w:rsidRDefault="00F23F31" w:rsidP="00F23F31">
      <w:pPr>
        <w:rPr>
          <w:lang w:val="en-US"/>
        </w:rPr>
        <w:sectPr w:rsidR="00F23F31" w:rsidRPr="005817BF" w:rsidSect="00906DDC">
          <w:headerReference w:type="even" r:id="rId32"/>
          <w:headerReference w:type="default" r:id="rId33"/>
          <w:footerReference w:type="even" r:id="rId34"/>
          <w:footerReference w:type="default" r:id="rId35"/>
          <w:headerReference w:type="first" r:id="rId36"/>
          <w:footerReference w:type="first" r:id="rId37"/>
          <w:pgSz w:w="11907" w:h="16840" w:code="9"/>
          <w:pgMar w:top="510" w:right="1134" w:bottom="1134" w:left="1134" w:header="510" w:footer="680" w:gutter="0"/>
          <w:cols w:space="720"/>
          <w:titlePg/>
        </w:sectPr>
      </w:pPr>
    </w:p>
    <w:p w:rsidR="00F23F31" w:rsidRPr="005817BF" w:rsidRDefault="00F23F31" w:rsidP="00F23F31">
      <w:pPr>
        <w:jc w:val="center"/>
        <w:rPr>
          <w:lang w:val="en-US"/>
        </w:rPr>
      </w:pPr>
    </w:p>
    <w:p w:rsidR="00F23F31" w:rsidRPr="00700B2A" w:rsidRDefault="00F23F31" w:rsidP="00F23F31">
      <w:pPr>
        <w:jc w:val="center"/>
        <w:rPr>
          <w:i/>
          <w:lang w:val="en-US"/>
        </w:rPr>
      </w:pPr>
      <w:r w:rsidRPr="00700B2A">
        <w:rPr>
          <w:i/>
          <w:lang w:val="en-US"/>
        </w:rPr>
        <w:t>INTERNATIONAL SEED FEDERATION</w:t>
      </w:r>
    </w:p>
    <w:p w:rsidR="00F23F31" w:rsidRPr="005817BF" w:rsidRDefault="00F23F31" w:rsidP="00F23F31">
      <w:pPr>
        <w:rPr>
          <w:lang w:val="en-US"/>
        </w:rPr>
      </w:pPr>
    </w:p>
    <w:p w:rsidR="00F23F31" w:rsidRPr="005817BF" w:rsidRDefault="00F23F31" w:rsidP="00F23F31">
      <w:pPr>
        <w:rPr>
          <w:lang w:val="en-US"/>
        </w:rPr>
      </w:pPr>
    </w:p>
    <w:p w:rsidR="00F23F31" w:rsidRPr="005817BF" w:rsidRDefault="00F23F31" w:rsidP="00F23F31">
      <w:pPr>
        <w:shd w:val="clear" w:color="auto" w:fill="FFFFFF" w:themeFill="background1"/>
        <w:rPr>
          <w:snapToGrid w:val="0"/>
          <w:spacing w:val="-4"/>
          <w:lang w:val="fr-CH"/>
        </w:rPr>
      </w:pPr>
      <w:r w:rsidRPr="005817BF">
        <w:rPr>
          <w:snapToGrid w:val="0"/>
          <w:spacing w:val="-4"/>
          <w:lang w:val="fr-CH"/>
        </w:rPr>
        <w:t>L</w:t>
      </w:r>
      <w:r w:rsidR="000970A8">
        <w:rPr>
          <w:snapToGrid w:val="0"/>
          <w:spacing w:val="-4"/>
          <w:lang w:val="fr-CH"/>
        </w:rPr>
        <w:t>’</w:t>
      </w:r>
      <w:r w:rsidRPr="00700B2A">
        <w:rPr>
          <w:i/>
          <w:snapToGrid w:val="0"/>
          <w:spacing w:val="-4"/>
          <w:lang w:val="fr-CH"/>
        </w:rPr>
        <w:t>International</w:t>
      </w:r>
      <w:r w:rsidRPr="005817BF">
        <w:rPr>
          <w:snapToGrid w:val="0"/>
          <w:spacing w:val="-4"/>
          <w:lang w:val="fr-CH"/>
        </w:rPr>
        <w:t xml:space="preserve"> </w:t>
      </w:r>
      <w:proofErr w:type="spellStart"/>
      <w:r w:rsidRPr="00700B2A">
        <w:rPr>
          <w:i/>
          <w:snapToGrid w:val="0"/>
          <w:spacing w:val="-4"/>
          <w:lang w:val="fr-CH"/>
        </w:rPr>
        <w:t>Seed</w:t>
      </w:r>
      <w:proofErr w:type="spellEnd"/>
      <w:r w:rsidRPr="00700B2A">
        <w:rPr>
          <w:i/>
          <w:snapToGrid w:val="0"/>
          <w:spacing w:val="-4"/>
          <w:lang w:val="fr-CH"/>
        </w:rPr>
        <w:t xml:space="preserve"> </w:t>
      </w:r>
      <w:proofErr w:type="spellStart"/>
      <w:r w:rsidRPr="00700B2A">
        <w:rPr>
          <w:i/>
          <w:snapToGrid w:val="0"/>
          <w:spacing w:val="-4"/>
          <w:lang w:val="fr-CH"/>
        </w:rPr>
        <w:t>Federation</w:t>
      </w:r>
      <w:proofErr w:type="spellEnd"/>
      <w:r w:rsidRPr="00700B2A">
        <w:rPr>
          <w:i/>
          <w:snapToGrid w:val="0"/>
          <w:spacing w:val="-4"/>
          <w:lang w:val="fr-CH"/>
        </w:rPr>
        <w:t xml:space="preserve"> </w:t>
      </w:r>
      <w:r w:rsidRPr="005817BF">
        <w:rPr>
          <w:snapToGrid w:val="0"/>
          <w:spacing w:val="-4"/>
          <w:lang w:val="fr-CH"/>
        </w:rPr>
        <w:t>(ISF) a formulé les observations ci</w:t>
      </w:r>
      <w:r w:rsidR="00945DBD">
        <w:rPr>
          <w:snapToGrid w:val="0"/>
          <w:spacing w:val="-4"/>
          <w:lang w:val="fr-CH"/>
        </w:rPr>
        <w:noBreakHyphen/>
      </w:r>
      <w:r w:rsidRPr="005817BF">
        <w:rPr>
          <w:snapToGrid w:val="0"/>
          <w:spacing w:val="-4"/>
          <w:lang w:val="fr-CH"/>
        </w:rPr>
        <w:t xml:space="preserve">après concernant le document UPOV/EXN/DEN “Notes explicatives concernant les dénominations variétales en vertu de la </w:t>
      </w:r>
      <w:r w:rsidR="000970A8">
        <w:rPr>
          <w:snapToGrid w:val="0"/>
          <w:spacing w:val="-4"/>
          <w:lang w:val="fr-CH"/>
        </w:rPr>
        <w:t>Convention UPOV</w:t>
      </w:r>
      <w:r w:rsidRPr="005817BF">
        <w:rPr>
          <w:snapToGrid w:val="0"/>
          <w:spacing w:val="-4"/>
          <w:lang w:val="fr-CH"/>
        </w:rPr>
        <w:t>”</w:t>
      </w:r>
      <w:r w:rsidR="000970A8">
        <w:rPr>
          <w:snapToGrid w:val="0"/>
          <w:spacing w:val="-4"/>
          <w:lang w:val="fr-CH"/>
        </w:rPr>
        <w:t> :</w:t>
      </w:r>
    </w:p>
    <w:p w:rsidR="00F23F31" w:rsidRPr="005817BF" w:rsidRDefault="00F23F31" w:rsidP="00F23F31">
      <w:pPr>
        <w:rPr>
          <w:lang w:val="fr-CH"/>
        </w:rPr>
      </w:pPr>
    </w:p>
    <w:p w:rsidR="00F23F31" w:rsidRPr="005817BF" w:rsidRDefault="00F23F31" w:rsidP="00F23F31">
      <w:pPr>
        <w:adjustRightInd w:val="0"/>
        <w:spacing w:after="120"/>
        <w:ind w:left="567" w:right="567"/>
        <w:rPr>
          <w:rFonts w:cs="Arial"/>
          <w:sz w:val="18"/>
          <w:szCs w:val="16"/>
          <w:lang w:val="fr-CH"/>
        </w:rPr>
      </w:pPr>
      <w:r w:rsidRPr="005817BF">
        <w:rPr>
          <w:rFonts w:cs="Arial"/>
          <w:sz w:val="18"/>
          <w:szCs w:val="16"/>
          <w:lang w:val="fr-CH"/>
        </w:rPr>
        <w:t>“L</w:t>
      </w:r>
      <w:r w:rsidR="000970A8">
        <w:rPr>
          <w:rFonts w:cs="Arial"/>
          <w:sz w:val="18"/>
          <w:szCs w:val="16"/>
          <w:lang w:val="fr-CH"/>
        </w:rPr>
        <w:t>’</w:t>
      </w:r>
      <w:r w:rsidRPr="005817BF">
        <w:rPr>
          <w:rFonts w:cs="Arial"/>
          <w:sz w:val="18"/>
          <w:szCs w:val="16"/>
          <w:lang w:val="fr-CH"/>
        </w:rPr>
        <w:t xml:space="preserve">ISF et </w:t>
      </w:r>
      <w:proofErr w:type="spellStart"/>
      <w:r w:rsidRPr="00700B2A">
        <w:rPr>
          <w:rFonts w:cs="Arial"/>
          <w:i/>
          <w:sz w:val="18"/>
          <w:szCs w:val="16"/>
          <w:lang w:val="fr-CH"/>
        </w:rPr>
        <w:t>Euroseeds</w:t>
      </w:r>
      <w:proofErr w:type="spellEnd"/>
      <w:r w:rsidRPr="00700B2A">
        <w:rPr>
          <w:rFonts w:cs="Arial"/>
          <w:i/>
          <w:sz w:val="18"/>
          <w:szCs w:val="16"/>
          <w:lang w:val="fr-CH"/>
        </w:rPr>
        <w:t xml:space="preserve"> </w:t>
      </w:r>
      <w:r w:rsidRPr="005817BF">
        <w:rPr>
          <w:rFonts w:cs="Arial"/>
          <w:sz w:val="18"/>
          <w:szCs w:val="16"/>
          <w:lang w:val="fr-CH"/>
        </w:rPr>
        <w:t>vous remercient de la possibilité qui leur est offerte de formuler des observations en vue de l</w:t>
      </w:r>
      <w:r w:rsidR="000970A8">
        <w:rPr>
          <w:rFonts w:cs="Arial"/>
          <w:sz w:val="18"/>
          <w:szCs w:val="16"/>
          <w:lang w:val="fr-CH"/>
        </w:rPr>
        <w:t>’</w:t>
      </w:r>
      <w:r w:rsidRPr="005817BF">
        <w:rPr>
          <w:rFonts w:cs="Arial"/>
          <w:sz w:val="18"/>
          <w:szCs w:val="16"/>
          <w:lang w:val="fr-CH"/>
        </w:rPr>
        <w:t>élaboration de l</w:t>
      </w:r>
      <w:r w:rsidR="000970A8">
        <w:rPr>
          <w:rFonts w:cs="Arial"/>
          <w:sz w:val="18"/>
          <w:szCs w:val="16"/>
          <w:lang w:val="fr-CH"/>
        </w:rPr>
        <w:t>’</w:t>
      </w:r>
      <w:r w:rsidRPr="005817BF">
        <w:rPr>
          <w:rFonts w:cs="Arial"/>
          <w:sz w:val="18"/>
          <w:szCs w:val="16"/>
          <w:lang w:val="fr-CH"/>
        </w:rPr>
        <w:t xml:space="preserve">examen du document UPOV/EXN/DEN/1 </w:t>
      </w:r>
      <w:proofErr w:type="spellStart"/>
      <w:r w:rsidRPr="005817BF">
        <w:rPr>
          <w:rFonts w:cs="Arial"/>
          <w:sz w:val="18"/>
          <w:szCs w:val="16"/>
          <w:lang w:val="fr-CH"/>
        </w:rPr>
        <w:t>Draft</w:t>
      </w:r>
      <w:proofErr w:type="spellEnd"/>
      <w:r w:rsidR="003D0584">
        <w:rPr>
          <w:rFonts w:cs="Arial"/>
          <w:sz w:val="18"/>
          <w:szCs w:val="16"/>
          <w:lang w:val="fr-CH"/>
        </w:rPr>
        <w:t> </w:t>
      </w:r>
      <w:r w:rsidRPr="005817BF">
        <w:rPr>
          <w:rFonts w:cs="Arial"/>
          <w:sz w:val="18"/>
          <w:szCs w:val="16"/>
          <w:lang w:val="fr-CH"/>
        </w:rPr>
        <w:t>3 en octobre 2020 par le </w:t>
      </w:r>
      <w:r w:rsidR="00E402DE" w:rsidRPr="005817BF">
        <w:rPr>
          <w:rFonts w:cs="Arial"/>
          <w:sz w:val="18"/>
          <w:szCs w:val="16"/>
          <w:lang w:val="fr-CH"/>
        </w:rPr>
        <w:t>CAJ</w:t>
      </w:r>
      <w:r w:rsidR="00E402DE">
        <w:rPr>
          <w:rFonts w:cs="Arial"/>
          <w:sz w:val="18"/>
          <w:szCs w:val="16"/>
          <w:lang w:val="fr-CH"/>
        </w:rPr>
        <w:t xml:space="preserve">.  </w:t>
      </w:r>
      <w:r w:rsidR="00E402DE" w:rsidRPr="005817BF">
        <w:rPr>
          <w:rFonts w:cs="Arial"/>
          <w:sz w:val="18"/>
          <w:szCs w:val="16"/>
          <w:lang w:val="fr-CH"/>
        </w:rPr>
        <w:t>Da</w:t>
      </w:r>
      <w:r w:rsidRPr="005817BF">
        <w:rPr>
          <w:rFonts w:cs="Arial"/>
          <w:sz w:val="18"/>
          <w:szCs w:val="16"/>
          <w:lang w:val="fr-CH"/>
        </w:rPr>
        <w:t>ns la circulaire</w:t>
      </w:r>
      <w:r w:rsidR="003D0584">
        <w:rPr>
          <w:rFonts w:cs="Arial"/>
          <w:sz w:val="18"/>
          <w:szCs w:val="16"/>
          <w:lang w:val="fr-CH"/>
        </w:rPr>
        <w:t> </w:t>
      </w:r>
      <w:r w:rsidRPr="005817BF">
        <w:rPr>
          <w:rFonts w:cs="Arial"/>
          <w:sz w:val="18"/>
          <w:szCs w:val="16"/>
          <w:lang w:val="fr-CH"/>
        </w:rPr>
        <w:t>E</w:t>
      </w:r>
      <w:r w:rsidR="00945DBD">
        <w:rPr>
          <w:rFonts w:cs="Arial"/>
          <w:sz w:val="18"/>
          <w:szCs w:val="16"/>
          <w:lang w:val="fr-CH"/>
        </w:rPr>
        <w:noBreakHyphen/>
      </w:r>
      <w:r w:rsidRPr="005817BF">
        <w:rPr>
          <w:rFonts w:cs="Arial"/>
          <w:sz w:val="18"/>
          <w:szCs w:val="16"/>
          <w:lang w:val="fr-CH"/>
        </w:rPr>
        <w:t>20/017, vous avez invité les membres et les observateurs</w:t>
      </w:r>
      <w:r w:rsidR="000970A8">
        <w:rPr>
          <w:rFonts w:cs="Arial"/>
          <w:sz w:val="18"/>
          <w:szCs w:val="16"/>
          <w:lang w:val="fr-CH"/>
        </w:rPr>
        <w:t> :</w:t>
      </w:r>
    </w:p>
    <w:p w:rsidR="00F23F31" w:rsidRPr="005817BF" w:rsidRDefault="000970A8" w:rsidP="00F23F31">
      <w:pPr>
        <w:adjustRightInd w:val="0"/>
        <w:spacing w:after="120"/>
        <w:ind w:left="567" w:right="567" w:firstLine="567"/>
        <w:rPr>
          <w:rFonts w:cs="Arial"/>
          <w:sz w:val="18"/>
          <w:szCs w:val="16"/>
          <w:lang w:val="fr-CH"/>
        </w:rPr>
      </w:pPr>
      <w:r>
        <w:rPr>
          <w:rFonts w:cs="Arial"/>
          <w:sz w:val="18"/>
          <w:szCs w:val="16"/>
          <w:lang w:val="fr-CH"/>
        </w:rPr>
        <w:t>‘</w:t>
      </w:r>
      <w:r w:rsidR="00F23F31" w:rsidRPr="005817BF">
        <w:rPr>
          <w:rFonts w:cs="Arial"/>
          <w:sz w:val="18"/>
          <w:szCs w:val="16"/>
          <w:lang w:val="fr-CH"/>
        </w:rPr>
        <w:t>a)</w:t>
      </w:r>
      <w:r w:rsidR="00F23F31" w:rsidRPr="005817BF">
        <w:rPr>
          <w:rFonts w:cs="Arial"/>
          <w:sz w:val="18"/>
          <w:szCs w:val="16"/>
          <w:lang w:val="fr-CH"/>
        </w:rPr>
        <w:tab/>
        <w:t xml:space="preserve">à examiner le document UPOV/EXN/DEN/1 </w:t>
      </w:r>
      <w:proofErr w:type="spellStart"/>
      <w:r w:rsidR="00F23F31" w:rsidRPr="005817BF">
        <w:rPr>
          <w:rFonts w:cs="Arial"/>
          <w:sz w:val="18"/>
          <w:szCs w:val="16"/>
          <w:lang w:val="fr-CH"/>
        </w:rPr>
        <w:t>Draft</w:t>
      </w:r>
      <w:proofErr w:type="spellEnd"/>
      <w:r w:rsidR="003D0584">
        <w:rPr>
          <w:rFonts w:cs="Arial"/>
          <w:sz w:val="18"/>
          <w:szCs w:val="16"/>
          <w:lang w:val="fr-CH"/>
        </w:rPr>
        <w:t> </w:t>
      </w:r>
      <w:r w:rsidR="00F23F31" w:rsidRPr="005817BF">
        <w:rPr>
          <w:rFonts w:cs="Arial"/>
          <w:sz w:val="18"/>
          <w:szCs w:val="16"/>
          <w:lang w:val="fr-CH"/>
        </w:rPr>
        <w:t>3, inclus ci</w:t>
      </w:r>
      <w:r w:rsidR="00945DBD">
        <w:rPr>
          <w:rFonts w:cs="Arial"/>
          <w:sz w:val="18"/>
          <w:szCs w:val="16"/>
          <w:lang w:val="fr-CH"/>
        </w:rPr>
        <w:noBreakHyphen/>
      </w:r>
      <w:r w:rsidR="00F23F31" w:rsidRPr="005817BF">
        <w:rPr>
          <w:rFonts w:cs="Arial"/>
          <w:sz w:val="18"/>
          <w:szCs w:val="16"/>
          <w:lang w:val="fr-CH"/>
        </w:rPr>
        <w:t xml:space="preserve">joint et publié sur la page Web </w:t>
      </w:r>
      <w:hyperlink r:id="rId38" w:history="1">
        <w:r w:rsidR="00F23F31" w:rsidRPr="005817BF">
          <w:rPr>
            <w:rStyle w:val="Hyperlink"/>
            <w:rFonts w:cs="Arial"/>
            <w:sz w:val="18"/>
            <w:szCs w:val="16"/>
            <w:lang w:val="fr-CH"/>
          </w:rPr>
          <w:t>https://www.upov.int/meetings/fr/details.jsp?meeting_id=55678</w:t>
        </w:r>
      </w:hyperlink>
      <w:r w:rsidR="00F23F31" w:rsidRPr="005817BF">
        <w:rPr>
          <w:rFonts w:cs="Arial"/>
          <w:sz w:val="18"/>
          <w:szCs w:val="16"/>
          <w:lang w:val="fr-CH"/>
        </w:rPr>
        <w:t>, qui comprend les modifications apportées au document UPOV/INF/12/5 qui ont été convenues par le Groupe de travail sur les dénominations variétales (WG</w:t>
      </w:r>
      <w:r w:rsidR="00945DBD">
        <w:rPr>
          <w:rFonts w:cs="Arial"/>
          <w:sz w:val="18"/>
          <w:szCs w:val="16"/>
          <w:lang w:val="fr-CH"/>
        </w:rPr>
        <w:noBreakHyphen/>
      </w:r>
      <w:r w:rsidR="00F23F31" w:rsidRPr="005817BF">
        <w:rPr>
          <w:rFonts w:cs="Arial"/>
          <w:sz w:val="18"/>
          <w:szCs w:val="16"/>
          <w:lang w:val="fr-CH"/>
        </w:rPr>
        <w:t>DEN),</w:t>
      </w:r>
    </w:p>
    <w:p w:rsidR="00F23F31" w:rsidRPr="005817BF" w:rsidRDefault="00F23F31" w:rsidP="00F23F31">
      <w:pPr>
        <w:adjustRightInd w:val="0"/>
        <w:ind w:left="567" w:right="567" w:firstLine="567"/>
        <w:rPr>
          <w:rFonts w:cs="Arial"/>
          <w:sz w:val="18"/>
          <w:szCs w:val="16"/>
          <w:lang w:val="fr-CH"/>
        </w:rPr>
      </w:pPr>
      <w:r w:rsidRPr="005817BF">
        <w:rPr>
          <w:rFonts w:cs="Arial"/>
          <w:sz w:val="18"/>
          <w:szCs w:val="16"/>
          <w:lang w:val="fr-CH"/>
        </w:rPr>
        <w:t>b)</w:t>
      </w:r>
      <w:r w:rsidRPr="005817BF">
        <w:rPr>
          <w:rFonts w:cs="Arial"/>
          <w:sz w:val="18"/>
          <w:szCs w:val="16"/>
          <w:lang w:val="fr-CH"/>
        </w:rPr>
        <w:tab/>
        <w:t>à examiner les propositions de l</w:t>
      </w:r>
      <w:r w:rsidR="000970A8">
        <w:rPr>
          <w:rFonts w:cs="Arial"/>
          <w:sz w:val="18"/>
          <w:szCs w:val="16"/>
          <w:lang w:val="fr-CH"/>
        </w:rPr>
        <w:t>’</w:t>
      </w:r>
      <w:r w:rsidRPr="005817BF">
        <w:rPr>
          <w:rFonts w:cs="Arial"/>
          <w:sz w:val="18"/>
          <w:szCs w:val="16"/>
          <w:lang w:val="fr-CH"/>
        </w:rPr>
        <w:t>Office communautaire des variétés végétales (OCVV) de l</w:t>
      </w:r>
      <w:r w:rsidR="000970A8">
        <w:rPr>
          <w:rFonts w:cs="Arial"/>
          <w:sz w:val="18"/>
          <w:szCs w:val="16"/>
          <w:lang w:val="fr-CH"/>
        </w:rPr>
        <w:t>’</w:t>
      </w:r>
      <w:r w:rsidRPr="005817BF">
        <w:rPr>
          <w:rFonts w:cs="Arial"/>
          <w:sz w:val="18"/>
          <w:szCs w:val="16"/>
          <w:lang w:val="fr-CH"/>
        </w:rPr>
        <w:t xml:space="preserve">Union européenne visant à modifier la section 2.3.3 du document UPOV/EXN/DEN/1 </w:t>
      </w:r>
      <w:proofErr w:type="spellStart"/>
      <w:r w:rsidRPr="005817BF">
        <w:rPr>
          <w:rFonts w:cs="Arial"/>
          <w:sz w:val="18"/>
          <w:szCs w:val="16"/>
          <w:lang w:val="fr-CH"/>
        </w:rPr>
        <w:t>Draft</w:t>
      </w:r>
      <w:proofErr w:type="spellEnd"/>
      <w:r w:rsidR="003D0584">
        <w:rPr>
          <w:rFonts w:cs="Arial"/>
          <w:sz w:val="18"/>
          <w:szCs w:val="16"/>
          <w:lang w:val="fr-CH"/>
        </w:rPr>
        <w:t> </w:t>
      </w:r>
      <w:r w:rsidRPr="005817BF">
        <w:rPr>
          <w:rFonts w:cs="Arial"/>
          <w:sz w:val="18"/>
          <w:szCs w:val="16"/>
          <w:lang w:val="fr-CH"/>
        </w:rPr>
        <w:t>3, telles qu</w:t>
      </w:r>
      <w:r w:rsidR="000970A8">
        <w:rPr>
          <w:rFonts w:cs="Arial"/>
          <w:sz w:val="18"/>
          <w:szCs w:val="16"/>
          <w:lang w:val="fr-CH"/>
        </w:rPr>
        <w:t>’</w:t>
      </w:r>
      <w:r w:rsidRPr="005817BF">
        <w:rPr>
          <w:rFonts w:cs="Arial"/>
          <w:sz w:val="18"/>
          <w:szCs w:val="16"/>
          <w:lang w:val="fr-CH"/>
        </w:rPr>
        <w:t>elles sont reproduites dans l</w:t>
      </w:r>
      <w:r w:rsidR="000970A8">
        <w:rPr>
          <w:rFonts w:cs="Arial"/>
          <w:sz w:val="18"/>
          <w:szCs w:val="16"/>
          <w:lang w:val="fr-CH"/>
        </w:rPr>
        <w:t>’</w:t>
      </w:r>
      <w:r w:rsidRPr="005817BF">
        <w:rPr>
          <w:rFonts w:cs="Arial"/>
          <w:sz w:val="18"/>
          <w:szCs w:val="16"/>
          <w:lang w:val="fr-CH"/>
        </w:rPr>
        <w:t>annexe de la présente circulaire (les propositions de l</w:t>
      </w:r>
      <w:r w:rsidR="000970A8">
        <w:rPr>
          <w:rFonts w:cs="Arial"/>
          <w:sz w:val="18"/>
          <w:szCs w:val="16"/>
          <w:lang w:val="fr-CH"/>
        </w:rPr>
        <w:t>’</w:t>
      </w:r>
      <w:r w:rsidRPr="005817BF">
        <w:rPr>
          <w:rFonts w:cs="Arial"/>
          <w:sz w:val="18"/>
          <w:szCs w:val="16"/>
          <w:lang w:val="fr-CH"/>
        </w:rPr>
        <w:t>OCVV apparaissent surlignées en jaune).</w:t>
      </w:r>
      <w:r w:rsidR="000970A8">
        <w:rPr>
          <w:rFonts w:cs="Arial"/>
          <w:sz w:val="18"/>
          <w:szCs w:val="16"/>
          <w:lang w:val="fr-CH"/>
        </w:rPr>
        <w:t>’</w:t>
      </w:r>
    </w:p>
    <w:p w:rsidR="00F23F31" w:rsidRPr="005817BF" w:rsidRDefault="00F23F31" w:rsidP="00F23F31">
      <w:pPr>
        <w:adjustRightInd w:val="0"/>
        <w:ind w:left="567" w:right="567"/>
        <w:rPr>
          <w:rFonts w:cs="Arial"/>
          <w:sz w:val="18"/>
          <w:szCs w:val="16"/>
          <w:lang w:val="fr-CH"/>
        </w:rPr>
      </w:pPr>
    </w:p>
    <w:p w:rsidR="00F23F31" w:rsidRPr="005817BF" w:rsidRDefault="00F23F31" w:rsidP="00F23F31">
      <w:pPr>
        <w:adjustRightInd w:val="0"/>
        <w:ind w:left="567" w:right="567"/>
        <w:rPr>
          <w:rFonts w:cs="Arial"/>
          <w:sz w:val="18"/>
          <w:szCs w:val="16"/>
          <w:lang w:val="fr-CH"/>
        </w:rPr>
      </w:pPr>
      <w:r w:rsidRPr="005817BF">
        <w:rPr>
          <w:rFonts w:cs="Arial"/>
          <w:sz w:val="18"/>
          <w:szCs w:val="16"/>
          <w:lang w:val="fr-CH"/>
        </w:rPr>
        <w:t>En ce qui concerne le point a), l</w:t>
      </w:r>
      <w:r w:rsidR="000970A8">
        <w:rPr>
          <w:rFonts w:cs="Arial"/>
          <w:sz w:val="18"/>
          <w:szCs w:val="16"/>
          <w:lang w:val="fr-CH"/>
        </w:rPr>
        <w:t>’</w:t>
      </w:r>
      <w:r w:rsidRPr="005817BF">
        <w:rPr>
          <w:rFonts w:cs="Arial"/>
          <w:sz w:val="18"/>
          <w:szCs w:val="16"/>
          <w:lang w:val="fr-CH"/>
        </w:rPr>
        <w:t xml:space="preserve">ISF et </w:t>
      </w:r>
      <w:proofErr w:type="spellStart"/>
      <w:r w:rsidRPr="00700B2A">
        <w:rPr>
          <w:rFonts w:cs="Arial"/>
          <w:i/>
          <w:sz w:val="18"/>
          <w:szCs w:val="16"/>
          <w:lang w:val="fr-CH"/>
        </w:rPr>
        <w:t>Euroseeds</w:t>
      </w:r>
      <w:proofErr w:type="spellEnd"/>
      <w:r w:rsidRPr="00700B2A">
        <w:rPr>
          <w:rFonts w:cs="Arial"/>
          <w:i/>
          <w:sz w:val="18"/>
          <w:szCs w:val="16"/>
          <w:lang w:val="fr-CH"/>
        </w:rPr>
        <w:t xml:space="preserve"> </w:t>
      </w:r>
      <w:r w:rsidRPr="005817BF">
        <w:rPr>
          <w:rFonts w:cs="Arial"/>
          <w:sz w:val="18"/>
          <w:szCs w:val="16"/>
          <w:lang w:val="fr-CH"/>
        </w:rPr>
        <w:t>n</w:t>
      </w:r>
      <w:r w:rsidR="000970A8">
        <w:rPr>
          <w:rFonts w:cs="Arial"/>
          <w:sz w:val="18"/>
          <w:szCs w:val="16"/>
          <w:lang w:val="fr-CH"/>
        </w:rPr>
        <w:t>’</w:t>
      </w:r>
      <w:r w:rsidRPr="005817BF">
        <w:rPr>
          <w:rFonts w:cs="Arial"/>
          <w:sz w:val="18"/>
          <w:szCs w:val="16"/>
          <w:lang w:val="fr-CH"/>
        </w:rPr>
        <w:t>ont pas d</w:t>
      </w:r>
      <w:r w:rsidR="000970A8">
        <w:rPr>
          <w:rFonts w:cs="Arial"/>
          <w:sz w:val="18"/>
          <w:szCs w:val="16"/>
          <w:lang w:val="fr-CH"/>
        </w:rPr>
        <w:t>’</w:t>
      </w:r>
      <w:r w:rsidRPr="005817BF">
        <w:rPr>
          <w:rFonts w:cs="Arial"/>
          <w:sz w:val="18"/>
          <w:szCs w:val="16"/>
          <w:lang w:val="fr-CH"/>
        </w:rPr>
        <w:t>observation supplémentaire à formul</w:t>
      </w:r>
      <w:r w:rsidR="00E402DE" w:rsidRPr="005817BF">
        <w:rPr>
          <w:rFonts w:cs="Arial"/>
          <w:sz w:val="18"/>
          <w:szCs w:val="16"/>
          <w:lang w:val="fr-CH"/>
        </w:rPr>
        <w:t>er</w:t>
      </w:r>
      <w:r w:rsidR="00E402DE">
        <w:rPr>
          <w:rFonts w:cs="Arial"/>
          <w:sz w:val="18"/>
          <w:szCs w:val="16"/>
          <w:lang w:val="fr-CH"/>
        </w:rPr>
        <w:t xml:space="preserve">.  </w:t>
      </w:r>
      <w:r w:rsidR="00E402DE" w:rsidRPr="005817BF">
        <w:rPr>
          <w:rFonts w:cs="Arial"/>
          <w:sz w:val="18"/>
          <w:szCs w:val="16"/>
          <w:lang w:val="fr-CH"/>
        </w:rPr>
        <w:t>Ce</w:t>
      </w:r>
      <w:r w:rsidRPr="005817BF">
        <w:rPr>
          <w:rFonts w:cs="Arial"/>
          <w:sz w:val="18"/>
          <w:szCs w:val="16"/>
          <w:lang w:val="fr-CH"/>
        </w:rPr>
        <w:t xml:space="preserve"> projet correspond bien aux pratiques des obtenteurs.</w:t>
      </w:r>
    </w:p>
    <w:p w:rsidR="00F23F31" w:rsidRPr="005817BF" w:rsidRDefault="00F23F31" w:rsidP="00F23F31">
      <w:pPr>
        <w:adjustRightInd w:val="0"/>
        <w:ind w:left="567" w:right="567"/>
        <w:rPr>
          <w:rFonts w:cs="Arial"/>
          <w:sz w:val="18"/>
          <w:szCs w:val="16"/>
          <w:lang w:val="fr-CH"/>
        </w:rPr>
      </w:pPr>
    </w:p>
    <w:p w:rsidR="00F23F31" w:rsidRPr="005817BF" w:rsidRDefault="00F23F31" w:rsidP="00F23F31">
      <w:pPr>
        <w:adjustRightInd w:val="0"/>
        <w:ind w:left="567" w:right="567"/>
        <w:rPr>
          <w:rFonts w:cs="Arial"/>
          <w:sz w:val="18"/>
          <w:szCs w:val="16"/>
          <w:lang w:val="fr-CH"/>
        </w:rPr>
      </w:pPr>
      <w:r w:rsidRPr="005817BF">
        <w:rPr>
          <w:rFonts w:cs="Arial"/>
          <w:sz w:val="18"/>
          <w:szCs w:val="16"/>
          <w:lang w:val="fr-CH"/>
        </w:rPr>
        <w:t>En ce qui concerne le point b), la proposition de l</w:t>
      </w:r>
      <w:r w:rsidR="000970A8">
        <w:rPr>
          <w:rFonts w:cs="Arial"/>
          <w:sz w:val="18"/>
          <w:szCs w:val="16"/>
          <w:lang w:val="fr-CH"/>
        </w:rPr>
        <w:t>’</w:t>
      </w:r>
      <w:r w:rsidRPr="005817BF">
        <w:rPr>
          <w:rFonts w:cs="Arial"/>
          <w:sz w:val="18"/>
          <w:szCs w:val="16"/>
          <w:lang w:val="fr-CH"/>
        </w:rPr>
        <w:t>OCVV visant à modifier la section 2.3.3.ii) afin d</w:t>
      </w:r>
      <w:r w:rsidR="000970A8">
        <w:rPr>
          <w:rFonts w:cs="Arial"/>
          <w:sz w:val="18"/>
          <w:szCs w:val="16"/>
          <w:lang w:val="fr-CH"/>
        </w:rPr>
        <w:t>’</w:t>
      </w:r>
      <w:r w:rsidRPr="005817BF">
        <w:rPr>
          <w:rFonts w:cs="Arial"/>
          <w:sz w:val="18"/>
          <w:szCs w:val="16"/>
          <w:lang w:val="fr-CH"/>
        </w:rPr>
        <w:t>ajouter une option supplémentaire (approuver une dénomination s</w:t>
      </w:r>
      <w:r w:rsidR="000970A8">
        <w:rPr>
          <w:rFonts w:cs="Arial"/>
          <w:sz w:val="18"/>
          <w:szCs w:val="16"/>
          <w:lang w:val="fr-CH"/>
        </w:rPr>
        <w:t>’</w:t>
      </w:r>
      <w:r w:rsidRPr="005817BF">
        <w:rPr>
          <w:rFonts w:cs="Arial"/>
          <w:sz w:val="18"/>
          <w:szCs w:val="16"/>
          <w:lang w:val="fr-CH"/>
        </w:rPr>
        <w:t>il existe seulement une différence d</w:t>
      </w:r>
      <w:r w:rsidR="000970A8">
        <w:rPr>
          <w:rFonts w:cs="Arial"/>
          <w:sz w:val="18"/>
          <w:szCs w:val="16"/>
          <w:lang w:val="fr-CH"/>
        </w:rPr>
        <w:t>’</w:t>
      </w:r>
      <w:r w:rsidRPr="005817BF">
        <w:rPr>
          <w:rFonts w:cs="Arial"/>
          <w:sz w:val="18"/>
          <w:szCs w:val="16"/>
          <w:lang w:val="fr-CH"/>
        </w:rPr>
        <w:t>une lettre, lorsqu</w:t>
      </w:r>
      <w:r w:rsidR="000970A8">
        <w:rPr>
          <w:rFonts w:cs="Arial"/>
          <w:sz w:val="18"/>
          <w:szCs w:val="16"/>
          <w:lang w:val="fr-CH"/>
        </w:rPr>
        <w:t>’</w:t>
      </w:r>
      <w:r w:rsidRPr="005817BF">
        <w:rPr>
          <w:rFonts w:cs="Arial"/>
          <w:sz w:val="18"/>
          <w:szCs w:val="16"/>
          <w:lang w:val="fr-CH"/>
        </w:rPr>
        <w:t>elle n</w:t>
      </w:r>
      <w:r w:rsidR="000970A8">
        <w:rPr>
          <w:rFonts w:cs="Arial"/>
          <w:sz w:val="18"/>
          <w:szCs w:val="16"/>
          <w:lang w:val="fr-CH"/>
        </w:rPr>
        <w:t>’</w:t>
      </w:r>
      <w:r w:rsidRPr="005817BF">
        <w:rPr>
          <w:rFonts w:cs="Arial"/>
          <w:sz w:val="18"/>
          <w:szCs w:val="16"/>
          <w:lang w:val="fr-CH"/>
        </w:rPr>
        <w:t>est pas située en début de mot, qui permet d</w:t>
      </w:r>
      <w:r w:rsidR="000970A8">
        <w:rPr>
          <w:rFonts w:cs="Arial"/>
          <w:sz w:val="18"/>
          <w:szCs w:val="16"/>
          <w:lang w:val="fr-CH"/>
        </w:rPr>
        <w:t>’</w:t>
      </w:r>
      <w:r w:rsidRPr="005817BF">
        <w:rPr>
          <w:rFonts w:cs="Arial"/>
          <w:sz w:val="18"/>
          <w:szCs w:val="16"/>
          <w:lang w:val="fr-CH"/>
        </w:rPr>
        <w:t>obtenir une différence visuelle et phonétique nette) soulève certaines préoccupations pour l</w:t>
      </w:r>
      <w:r w:rsidR="000970A8">
        <w:rPr>
          <w:rFonts w:cs="Arial"/>
          <w:sz w:val="18"/>
          <w:szCs w:val="16"/>
          <w:lang w:val="fr-CH"/>
        </w:rPr>
        <w:t>’</w:t>
      </w:r>
      <w:r w:rsidRPr="005817BF">
        <w:rPr>
          <w:rFonts w:cs="Arial"/>
          <w:sz w:val="18"/>
          <w:szCs w:val="16"/>
          <w:lang w:val="fr-CH"/>
        </w:rPr>
        <w:t xml:space="preserve">ISF et </w:t>
      </w:r>
      <w:proofErr w:type="spellStart"/>
      <w:r w:rsidRPr="00700B2A">
        <w:rPr>
          <w:rFonts w:cs="Arial"/>
          <w:i/>
          <w:sz w:val="18"/>
          <w:szCs w:val="16"/>
          <w:lang w:val="fr-CH"/>
        </w:rPr>
        <w:t>Euroseeds</w:t>
      </w:r>
      <w:proofErr w:type="spellEnd"/>
      <w:r w:rsidRPr="005817BF">
        <w:rPr>
          <w:rFonts w:cs="Arial"/>
          <w:sz w:val="18"/>
          <w:szCs w:val="16"/>
          <w:lang w:val="fr-CH"/>
        </w:rPr>
        <w:t>.</w:t>
      </w:r>
    </w:p>
    <w:p w:rsidR="00F23F31" w:rsidRPr="005817BF" w:rsidRDefault="00F23F31" w:rsidP="00F23F31">
      <w:pPr>
        <w:adjustRightInd w:val="0"/>
        <w:ind w:left="567" w:right="567"/>
        <w:rPr>
          <w:rFonts w:cs="Arial"/>
          <w:sz w:val="18"/>
          <w:szCs w:val="16"/>
          <w:lang w:val="fr-CH"/>
        </w:rPr>
      </w:pPr>
      <w:r w:rsidRPr="005817BF">
        <w:rPr>
          <w:rFonts w:cs="Arial"/>
          <w:sz w:val="18"/>
          <w:szCs w:val="16"/>
          <w:lang w:val="fr-CH"/>
        </w:rPr>
        <w:t>Dans les exemples donnés, nous ne sommes pas d</w:t>
      </w:r>
      <w:r w:rsidR="000970A8">
        <w:rPr>
          <w:rFonts w:cs="Arial"/>
          <w:sz w:val="18"/>
          <w:szCs w:val="16"/>
          <w:lang w:val="fr-CH"/>
        </w:rPr>
        <w:t>’</w:t>
      </w:r>
      <w:r w:rsidRPr="005817BF">
        <w:rPr>
          <w:rFonts w:cs="Arial"/>
          <w:sz w:val="18"/>
          <w:szCs w:val="16"/>
          <w:lang w:val="fr-CH"/>
        </w:rPr>
        <w:t xml:space="preserve">avis que </w:t>
      </w:r>
      <w:r w:rsidR="000970A8">
        <w:rPr>
          <w:rFonts w:cs="Arial"/>
          <w:sz w:val="18"/>
          <w:szCs w:val="16"/>
          <w:lang w:val="fr-CH"/>
        </w:rPr>
        <w:t>‘</w:t>
      </w:r>
      <w:r w:rsidRPr="005817BF">
        <w:rPr>
          <w:rFonts w:cs="Arial"/>
          <w:sz w:val="18"/>
          <w:szCs w:val="16"/>
          <w:lang w:val="fr-CH"/>
        </w:rPr>
        <w:t>Alexandra</w:t>
      </w:r>
      <w:r w:rsidR="000970A8">
        <w:rPr>
          <w:rFonts w:cs="Arial"/>
          <w:sz w:val="18"/>
          <w:szCs w:val="16"/>
          <w:lang w:val="fr-CH"/>
        </w:rPr>
        <w:t>’</w:t>
      </w:r>
      <w:r w:rsidRPr="005817BF">
        <w:rPr>
          <w:rFonts w:cs="Arial"/>
          <w:sz w:val="18"/>
          <w:szCs w:val="16"/>
          <w:lang w:val="fr-CH"/>
        </w:rPr>
        <w:t xml:space="preserve"> et </w:t>
      </w:r>
      <w:r w:rsidR="000970A8">
        <w:rPr>
          <w:rFonts w:cs="Arial"/>
          <w:sz w:val="18"/>
          <w:szCs w:val="16"/>
          <w:lang w:val="fr-CH"/>
        </w:rPr>
        <w:t>‘</w:t>
      </w:r>
      <w:r w:rsidRPr="005817BF">
        <w:rPr>
          <w:rFonts w:cs="Arial"/>
          <w:sz w:val="18"/>
          <w:szCs w:val="16"/>
          <w:lang w:val="fr-CH"/>
        </w:rPr>
        <w:t>Alexandru</w:t>
      </w:r>
      <w:r w:rsidR="000970A8">
        <w:rPr>
          <w:rFonts w:cs="Arial"/>
          <w:sz w:val="18"/>
          <w:szCs w:val="16"/>
          <w:lang w:val="fr-CH"/>
        </w:rPr>
        <w:t>’</w:t>
      </w:r>
      <w:r w:rsidRPr="005817BF">
        <w:rPr>
          <w:rFonts w:cs="Arial"/>
          <w:sz w:val="18"/>
          <w:szCs w:val="16"/>
          <w:lang w:val="fr-CH"/>
        </w:rPr>
        <w:t xml:space="preserve"> ou </w:t>
      </w:r>
      <w:r w:rsidR="000970A8">
        <w:rPr>
          <w:rFonts w:cs="Arial"/>
          <w:sz w:val="18"/>
          <w:szCs w:val="16"/>
          <w:lang w:val="fr-CH"/>
        </w:rPr>
        <w:t>‘</w:t>
      </w:r>
      <w:r w:rsidRPr="005817BF">
        <w:rPr>
          <w:rFonts w:cs="Arial"/>
          <w:sz w:val="18"/>
          <w:szCs w:val="16"/>
          <w:lang w:val="fr-CH"/>
        </w:rPr>
        <w:t>Lila</w:t>
      </w:r>
      <w:r w:rsidR="000970A8">
        <w:rPr>
          <w:rFonts w:cs="Arial"/>
          <w:sz w:val="18"/>
          <w:szCs w:val="16"/>
          <w:lang w:val="fr-CH"/>
        </w:rPr>
        <w:t>’</w:t>
      </w:r>
      <w:r w:rsidRPr="005817BF">
        <w:rPr>
          <w:rFonts w:cs="Arial"/>
          <w:sz w:val="18"/>
          <w:szCs w:val="16"/>
          <w:lang w:val="fr-CH"/>
        </w:rPr>
        <w:t xml:space="preserve"> et </w:t>
      </w:r>
      <w:r w:rsidR="000970A8">
        <w:rPr>
          <w:rFonts w:cs="Arial"/>
          <w:sz w:val="18"/>
          <w:szCs w:val="16"/>
          <w:lang w:val="fr-CH"/>
        </w:rPr>
        <w:t>‘</w:t>
      </w:r>
      <w:r w:rsidRPr="005817BF">
        <w:rPr>
          <w:rFonts w:cs="Arial"/>
          <w:sz w:val="18"/>
          <w:szCs w:val="16"/>
          <w:lang w:val="fr-CH"/>
        </w:rPr>
        <w:t>Leila</w:t>
      </w:r>
      <w:r w:rsidR="000970A8">
        <w:rPr>
          <w:rFonts w:cs="Arial"/>
          <w:sz w:val="18"/>
          <w:szCs w:val="16"/>
          <w:lang w:val="fr-CH"/>
        </w:rPr>
        <w:t>’</w:t>
      </w:r>
      <w:r w:rsidRPr="005817BF">
        <w:rPr>
          <w:rFonts w:cs="Arial"/>
          <w:sz w:val="18"/>
          <w:szCs w:val="16"/>
          <w:lang w:val="fr-CH"/>
        </w:rPr>
        <w:t xml:space="preserve"> permettent d</w:t>
      </w:r>
      <w:r w:rsidR="000970A8">
        <w:rPr>
          <w:rFonts w:cs="Arial"/>
          <w:sz w:val="18"/>
          <w:szCs w:val="16"/>
          <w:lang w:val="fr-CH"/>
        </w:rPr>
        <w:t>’</w:t>
      </w:r>
      <w:r w:rsidRPr="005817BF">
        <w:rPr>
          <w:rFonts w:cs="Arial"/>
          <w:sz w:val="18"/>
          <w:szCs w:val="16"/>
          <w:lang w:val="fr-CH"/>
        </w:rPr>
        <w:t xml:space="preserve">obtenir </w:t>
      </w:r>
      <w:r w:rsidR="000970A8">
        <w:rPr>
          <w:rFonts w:cs="Arial"/>
          <w:sz w:val="18"/>
          <w:szCs w:val="16"/>
          <w:lang w:val="fr-CH"/>
        </w:rPr>
        <w:t>‘</w:t>
      </w:r>
      <w:r w:rsidRPr="005817BF">
        <w:rPr>
          <w:rFonts w:cs="Arial"/>
          <w:sz w:val="18"/>
          <w:szCs w:val="16"/>
          <w:lang w:val="fr-CH"/>
        </w:rPr>
        <w:t>une différence visuelle et phonétique nette</w:t>
      </w:r>
      <w:r w:rsidR="000970A8">
        <w:rPr>
          <w:rFonts w:cs="Arial"/>
          <w:sz w:val="18"/>
          <w:szCs w:val="16"/>
          <w:lang w:val="fr-CH"/>
        </w:rPr>
        <w:t>’</w:t>
      </w:r>
      <w:r w:rsidRPr="005817BF">
        <w:rPr>
          <w:rFonts w:cs="Arial"/>
          <w:sz w:val="18"/>
          <w:szCs w:val="16"/>
          <w:lang w:val="fr-CH"/>
        </w:rPr>
        <w:t xml:space="preserve"> afin d</w:t>
      </w:r>
      <w:r w:rsidR="000970A8">
        <w:rPr>
          <w:rFonts w:cs="Arial"/>
          <w:sz w:val="18"/>
          <w:szCs w:val="16"/>
          <w:lang w:val="fr-CH"/>
        </w:rPr>
        <w:t>’</w:t>
      </w:r>
      <w:r w:rsidRPr="005817BF">
        <w:rPr>
          <w:rFonts w:cs="Arial"/>
          <w:sz w:val="18"/>
          <w:szCs w:val="16"/>
          <w:lang w:val="fr-CH"/>
        </w:rPr>
        <w:t>établir une distinction nette entre les deux variétés potentiell</w:t>
      </w:r>
      <w:r w:rsidR="00E402DE" w:rsidRPr="005817BF">
        <w:rPr>
          <w:rFonts w:cs="Arial"/>
          <w:sz w:val="18"/>
          <w:szCs w:val="16"/>
          <w:lang w:val="fr-CH"/>
        </w:rPr>
        <w:t>es</w:t>
      </w:r>
      <w:r w:rsidR="00E402DE">
        <w:rPr>
          <w:rFonts w:cs="Arial"/>
          <w:sz w:val="18"/>
          <w:szCs w:val="16"/>
          <w:lang w:val="fr-CH"/>
        </w:rPr>
        <w:t xml:space="preserve">.  </w:t>
      </w:r>
      <w:r w:rsidR="00E402DE" w:rsidRPr="005817BF">
        <w:rPr>
          <w:rFonts w:cs="Arial"/>
          <w:sz w:val="18"/>
          <w:szCs w:val="16"/>
          <w:lang w:val="fr-CH"/>
        </w:rPr>
        <w:t>Le</w:t>
      </w:r>
      <w:r w:rsidRPr="005817BF">
        <w:rPr>
          <w:rFonts w:cs="Arial"/>
          <w:sz w:val="18"/>
          <w:szCs w:val="16"/>
          <w:lang w:val="fr-CH"/>
        </w:rPr>
        <w:t>s exemples n</w:t>
      </w:r>
      <w:r w:rsidR="000970A8">
        <w:rPr>
          <w:rFonts w:cs="Arial"/>
          <w:sz w:val="18"/>
          <w:szCs w:val="16"/>
          <w:lang w:val="fr-CH"/>
        </w:rPr>
        <w:t>’</w:t>
      </w:r>
      <w:r w:rsidRPr="005817BF">
        <w:rPr>
          <w:rFonts w:cs="Arial"/>
          <w:sz w:val="18"/>
          <w:szCs w:val="16"/>
          <w:lang w:val="fr-CH"/>
        </w:rPr>
        <w:t>indiquent pas clairement quels sont les critères permettant d</w:t>
      </w:r>
      <w:r w:rsidR="000970A8">
        <w:rPr>
          <w:rFonts w:cs="Arial"/>
          <w:sz w:val="18"/>
          <w:szCs w:val="16"/>
          <w:lang w:val="fr-CH"/>
        </w:rPr>
        <w:t>’</w:t>
      </w:r>
      <w:r w:rsidRPr="005817BF">
        <w:rPr>
          <w:rFonts w:cs="Arial"/>
          <w:sz w:val="18"/>
          <w:szCs w:val="16"/>
          <w:lang w:val="fr-CH"/>
        </w:rPr>
        <w:t>évaluer une différence visuelle et phonétique nette.</w:t>
      </w:r>
    </w:p>
    <w:p w:rsidR="00F23F31" w:rsidRPr="005817BF" w:rsidRDefault="00F23F31" w:rsidP="00F23F31">
      <w:pPr>
        <w:adjustRightInd w:val="0"/>
        <w:ind w:left="567" w:right="567"/>
        <w:rPr>
          <w:rFonts w:cs="Arial"/>
          <w:sz w:val="18"/>
          <w:szCs w:val="16"/>
          <w:lang w:val="fr-CH"/>
        </w:rPr>
      </w:pPr>
    </w:p>
    <w:p w:rsidR="00F23F31" w:rsidRPr="005817BF" w:rsidRDefault="00F23F31" w:rsidP="00F23F31">
      <w:pPr>
        <w:ind w:left="567" w:right="567"/>
        <w:rPr>
          <w:rFonts w:cs="Arial"/>
          <w:sz w:val="18"/>
          <w:szCs w:val="16"/>
          <w:lang w:val="fr-CH"/>
        </w:rPr>
      </w:pPr>
      <w:r w:rsidRPr="005817BF">
        <w:rPr>
          <w:rFonts w:cs="Arial"/>
          <w:sz w:val="18"/>
          <w:szCs w:val="16"/>
          <w:lang w:val="fr-CH"/>
        </w:rPr>
        <w:t>En ce qui concerne les deux variantes proposées par l</w:t>
      </w:r>
      <w:r w:rsidR="000970A8">
        <w:rPr>
          <w:rFonts w:cs="Arial"/>
          <w:sz w:val="18"/>
          <w:szCs w:val="16"/>
          <w:lang w:val="fr-CH"/>
        </w:rPr>
        <w:t>’</w:t>
      </w:r>
      <w:r w:rsidRPr="005817BF">
        <w:rPr>
          <w:rFonts w:cs="Arial"/>
          <w:sz w:val="18"/>
          <w:szCs w:val="16"/>
          <w:lang w:val="fr-CH"/>
        </w:rPr>
        <w:t>OCVV pour la section 2.3.3.b) visant à refuser les dénominations entre lesquelles il existe une différence de deux lettres ou plus, mais qui ne permet pas d</w:t>
      </w:r>
      <w:r w:rsidR="000970A8">
        <w:rPr>
          <w:rFonts w:cs="Arial"/>
          <w:sz w:val="18"/>
          <w:szCs w:val="16"/>
          <w:lang w:val="fr-CH"/>
        </w:rPr>
        <w:t>’</w:t>
      </w:r>
      <w:r w:rsidRPr="005817BF">
        <w:rPr>
          <w:rFonts w:cs="Arial"/>
          <w:sz w:val="18"/>
          <w:szCs w:val="16"/>
          <w:lang w:val="fr-CH"/>
        </w:rPr>
        <w:t>obtenir une différence phonétique nette ou une différence de sens évidente, l</w:t>
      </w:r>
      <w:r w:rsidR="000970A8">
        <w:rPr>
          <w:rFonts w:cs="Arial"/>
          <w:sz w:val="18"/>
          <w:szCs w:val="16"/>
          <w:lang w:val="fr-CH"/>
        </w:rPr>
        <w:t>’</w:t>
      </w:r>
      <w:r w:rsidRPr="005817BF">
        <w:rPr>
          <w:rFonts w:cs="Arial"/>
          <w:sz w:val="18"/>
          <w:szCs w:val="16"/>
          <w:lang w:val="fr-CH"/>
        </w:rPr>
        <w:t xml:space="preserve">ISF et </w:t>
      </w:r>
      <w:proofErr w:type="spellStart"/>
      <w:r w:rsidRPr="00700B2A">
        <w:rPr>
          <w:rFonts w:cs="Arial"/>
          <w:i/>
          <w:sz w:val="18"/>
          <w:szCs w:val="16"/>
          <w:lang w:val="fr-CH"/>
        </w:rPr>
        <w:t>Euroseeds</w:t>
      </w:r>
      <w:proofErr w:type="spellEnd"/>
      <w:r w:rsidRPr="00700B2A">
        <w:rPr>
          <w:rFonts w:cs="Arial"/>
          <w:i/>
          <w:sz w:val="18"/>
          <w:szCs w:val="16"/>
          <w:lang w:val="fr-CH"/>
        </w:rPr>
        <w:t xml:space="preserve"> </w:t>
      </w:r>
      <w:r w:rsidRPr="005817BF">
        <w:rPr>
          <w:rFonts w:cs="Arial"/>
          <w:sz w:val="18"/>
          <w:szCs w:val="16"/>
          <w:lang w:val="fr-CH"/>
        </w:rPr>
        <w:t>peuvent convenir de l</w:t>
      </w:r>
      <w:r w:rsidR="000970A8">
        <w:rPr>
          <w:rFonts w:cs="Arial"/>
          <w:sz w:val="18"/>
          <w:szCs w:val="16"/>
          <w:lang w:val="fr-CH"/>
        </w:rPr>
        <w:t>’</w:t>
      </w:r>
      <w:r w:rsidRPr="005817BF">
        <w:rPr>
          <w:rFonts w:cs="Arial"/>
          <w:sz w:val="18"/>
          <w:szCs w:val="16"/>
          <w:lang w:val="fr-CH"/>
        </w:rPr>
        <w:t>une ou l</w:t>
      </w:r>
      <w:r w:rsidR="000970A8">
        <w:rPr>
          <w:rFonts w:cs="Arial"/>
          <w:sz w:val="18"/>
          <w:szCs w:val="16"/>
          <w:lang w:val="fr-CH"/>
        </w:rPr>
        <w:t>’</w:t>
      </w:r>
      <w:r w:rsidRPr="005817BF">
        <w:rPr>
          <w:rFonts w:cs="Arial"/>
          <w:sz w:val="18"/>
          <w:szCs w:val="16"/>
          <w:lang w:val="fr-CH"/>
        </w:rPr>
        <w:t>autre des propositio</w:t>
      </w:r>
      <w:r w:rsidR="00E402DE" w:rsidRPr="005817BF">
        <w:rPr>
          <w:rFonts w:cs="Arial"/>
          <w:sz w:val="18"/>
          <w:szCs w:val="16"/>
          <w:lang w:val="fr-CH"/>
        </w:rPr>
        <w:t>ns</w:t>
      </w:r>
      <w:r w:rsidR="00E402DE">
        <w:rPr>
          <w:rFonts w:cs="Arial"/>
          <w:sz w:val="18"/>
          <w:szCs w:val="16"/>
          <w:lang w:val="fr-CH"/>
        </w:rPr>
        <w:t xml:space="preserve">.  </w:t>
      </w:r>
      <w:r w:rsidR="00E402DE" w:rsidRPr="005817BF">
        <w:rPr>
          <w:rFonts w:cs="Arial"/>
          <w:sz w:val="18"/>
          <w:szCs w:val="16"/>
          <w:lang w:val="fr-CH"/>
        </w:rPr>
        <w:t>To</w:t>
      </w:r>
      <w:r w:rsidRPr="005817BF">
        <w:rPr>
          <w:rFonts w:cs="Arial"/>
          <w:sz w:val="18"/>
          <w:szCs w:val="16"/>
          <w:lang w:val="fr-CH"/>
        </w:rPr>
        <w:t>utefois, nous souhaiterions demander à l</w:t>
      </w:r>
      <w:r w:rsidR="000970A8">
        <w:rPr>
          <w:rFonts w:cs="Arial"/>
          <w:sz w:val="18"/>
          <w:szCs w:val="16"/>
          <w:lang w:val="fr-CH"/>
        </w:rPr>
        <w:t>’</w:t>
      </w:r>
      <w:r w:rsidRPr="005817BF">
        <w:rPr>
          <w:rFonts w:cs="Arial"/>
          <w:sz w:val="18"/>
          <w:szCs w:val="16"/>
          <w:lang w:val="fr-CH"/>
        </w:rPr>
        <w:t>OCVV de fournir pour la variante n° 2 un autre exemple de dénomination appropriée, bien qu</w:t>
      </w:r>
      <w:r w:rsidR="000970A8">
        <w:rPr>
          <w:rFonts w:cs="Arial"/>
          <w:sz w:val="18"/>
          <w:szCs w:val="16"/>
          <w:lang w:val="fr-CH"/>
        </w:rPr>
        <w:t>’</w:t>
      </w:r>
      <w:r w:rsidRPr="005817BF">
        <w:rPr>
          <w:rFonts w:cs="Arial"/>
          <w:sz w:val="18"/>
          <w:szCs w:val="16"/>
          <w:lang w:val="fr-CH"/>
        </w:rPr>
        <w:t>il n</w:t>
      </w:r>
      <w:r w:rsidR="000970A8">
        <w:rPr>
          <w:rFonts w:cs="Arial"/>
          <w:sz w:val="18"/>
          <w:szCs w:val="16"/>
          <w:lang w:val="fr-CH"/>
        </w:rPr>
        <w:t>’</w:t>
      </w:r>
      <w:r w:rsidRPr="005817BF">
        <w:rPr>
          <w:rFonts w:cs="Arial"/>
          <w:sz w:val="18"/>
          <w:szCs w:val="16"/>
          <w:lang w:val="fr-CH"/>
        </w:rPr>
        <w:t xml:space="preserve">existe pas de différence phonétique nette, afin de faire ressortir clairement la </w:t>
      </w:r>
      <w:r w:rsidR="000970A8">
        <w:rPr>
          <w:rFonts w:cs="Arial"/>
          <w:sz w:val="18"/>
          <w:szCs w:val="16"/>
          <w:lang w:val="fr-CH"/>
        </w:rPr>
        <w:t>‘</w:t>
      </w:r>
      <w:r w:rsidRPr="005817BF">
        <w:rPr>
          <w:rFonts w:cs="Arial"/>
          <w:sz w:val="18"/>
          <w:szCs w:val="16"/>
          <w:lang w:val="fr-CH"/>
        </w:rPr>
        <w:t>différence de sens évidente</w:t>
      </w:r>
      <w:r w:rsidR="000970A8">
        <w:rPr>
          <w:rFonts w:cs="Arial"/>
          <w:sz w:val="18"/>
          <w:szCs w:val="16"/>
          <w:lang w:val="fr-CH"/>
        </w:rPr>
        <w:t>’</w:t>
      </w:r>
      <w:r w:rsidRPr="005817BF">
        <w:rPr>
          <w:rFonts w:cs="Arial"/>
          <w:sz w:val="18"/>
          <w:szCs w:val="16"/>
          <w:lang w:val="fr-CH"/>
        </w:rPr>
        <w:t>.  Dans le cas contraire, nous serions favorables à la variante n° 1.”</w:t>
      </w:r>
    </w:p>
    <w:p w:rsidR="00F23F31" w:rsidRPr="005817BF" w:rsidRDefault="00F23F31" w:rsidP="00F23F31">
      <w:pPr>
        <w:rPr>
          <w:lang w:val="fr-CH"/>
        </w:rPr>
      </w:pPr>
    </w:p>
    <w:p w:rsidR="00F23F31" w:rsidRPr="005817BF" w:rsidRDefault="00F23F31" w:rsidP="00F23F31">
      <w:pPr>
        <w:rPr>
          <w:lang w:val="fr-CH"/>
        </w:rPr>
      </w:pPr>
    </w:p>
    <w:p w:rsidR="00F23F31" w:rsidRPr="005817BF" w:rsidRDefault="00F23F31" w:rsidP="00F23F31">
      <w:pPr>
        <w:jc w:val="right"/>
        <w:rPr>
          <w:lang w:val="fr-CH"/>
        </w:rPr>
      </w:pPr>
      <w:r w:rsidRPr="005817BF">
        <w:rPr>
          <w:lang w:val="fr-CH"/>
        </w:rPr>
        <w:t>[L</w:t>
      </w:r>
      <w:r w:rsidR="000970A8">
        <w:rPr>
          <w:lang w:val="fr-CH"/>
        </w:rPr>
        <w:t>’</w:t>
      </w:r>
      <w:r w:rsidRPr="005817BF">
        <w:rPr>
          <w:lang w:val="fr-CH"/>
        </w:rPr>
        <w:t>annexe II suit]</w:t>
      </w:r>
    </w:p>
    <w:p w:rsidR="00F23F31" w:rsidRPr="005817BF" w:rsidRDefault="00F23F31" w:rsidP="00F23F31">
      <w:pPr>
        <w:tabs>
          <w:tab w:val="left" w:pos="1134"/>
        </w:tabs>
        <w:ind w:left="567" w:right="567" w:firstLine="284"/>
        <w:rPr>
          <w:sz w:val="22"/>
          <w:lang w:val="fr-CH"/>
        </w:rPr>
      </w:pPr>
    </w:p>
    <w:p w:rsidR="00F23F31" w:rsidRPr="005817BF" w:rsidRDefault="00F23F31" w:rsidP="00F23F31">
      <w:pPr>
        <w:rPr>
          <w:lang w:val="fr-CH"/>
        </w:rPr>
      </w:pPr>
    </w:p>
    <w:p w:rsidR="00F23F31" w:rsidRPr="005817BF" w:rsidRDefault="00F23F31" w:rsidP="00F23F31">
      <w:pPr>
        <w:rPr>
          <w:lang w:val="fr-CH"/>
        </w:rPr>
        <w:sectPr w:rsidR="00F23F31" w:rsidRPr="005817BF" w:rsidSect="00906DDC">
          <w:headerReference w:type="even" r:id="rId39"/>
          <w:headerReference w:type="default" r:id="rId40"/>
          <w:footerReference w:type="even" r:id="rId41"/>
          <w:footerReference w:type="default" r:id="rId42"/>
          <w:headerReference w:type="first" r:id="rId43"/>
          <w:footerReference w:type="first" r:id="rId44"/>
          <w:pgSz w:w="11907" w:h="16840" w:code="9"/>
          <w:pgMar w:top="510" w:right="1134" w:bottom="1134" w:left="1134" w:header="510" w:footer="680" w:gutter="0"/>
          <w:cols w:space="720"/>
          <w:titlePg/>
        </w:sectPr>
      </w:pPr>
    </w:p>
    <w:p w:rsidR="00F23F31" w:rsidRPr="005817BF" w:rsidRDefault="00F23F31" w:rsidP="00F23F31">
      <w:pPr>
        <w:jc w:val="center"/>
        <w:rPr>
          <w:lang w:val="fr-CH"/>
        </w:rPr>
      </w:pPr>
    </w:p>
    <w:p w:rsidR="00F23F31" w:rsidRPr="005817BF" w:rsidRDefault="00F23F31" w:rsidP="00F23F31">
      <w:pPr>
        <w:jc w:val="center"/>
        <w:rPr>
          <w:lang w:val="fr-CH"/>
        </w:rPr>
      </w:pPr>
      <w:r w:rsidRPr="005817BF">
        <w:rPr>
          <w:lang w:val="fr-CH"/>
        </w:rPr>
        <w:t>Document CAJ/77/6 “Nouveauté des lignées parentales en rapport avec l</w:t>
      </w:r>
      <w:r w:rsidR="000970A8">
        <w:rPr>
          <w:lang w:val="fr-CH"/>
        </w:rPr>
        <w:t>’</w:t>
      </w:r>
      <w:r w:rsidRPr="005817BF">
        <w:rPr>
          <w:lang w:val="fr-CH"/>
        </w:rPr>
        <w:t>exploitation de la variété hybride”</w:t>
      </w:r>
      <w:r w:rsidR="000970A8">
        <w:rPr>
          <w:lang w:val="fr-CH"/>
        </w:rPr>
        <w:t> :</w:t>
      </w:r>
    </w:p>
    <w:p w:rsidR="00F23F31" w:rsidRPr="005817BF" w:rsidRDefault="00F23F31" w:rsidP="00F23F31">
      <w:pPr>
        <w:jc w:val="center"/>
        <w:rPr>
          <w:lang w:val="fr-CH"/>
        </w:rPr>
      </w:pPr>
      <w:r w:rsidRPr="005817BF">
        <w:rPr>
          <w:lang w:val="fr-CH"/>
        </w:rPr>
        <w:t>Observations reçues en réponse à la circulaire</w:t>
      </w:r>
      <w:r w:rsidR="003D0584">
        <w:rPr>
          <w:lang w:val="fr-CH"/>
        </w:rPr>
        <w:t> </w:t>
      </w:r>
      <w:r w:rsidRPr="005817BF">
        <w:rPr>
          <w:lang w:val="fr-CH"/>
        </w:rPr>
        <w:t>E</w:t>
      </w:r>
      <w:r w:rsidR="00945DBD">
        <w:rPr>
          <w:lang w:val="fr-CH"/>
        </w:rPr>
        <w:noBreakHyphen/>
      </w:r>
      <w:r w:rsidRPr="005817BF">
        <w:rPr>
          <w:lang w:val="fr-CH"/>
        </w:rPr>
        <w:t>20/120 du 21 août 2020</w:t>
      </w:r>
    </w:p>
    <w:p w:rsidR="00F23F31" w:rsidRPr="005817BF" w:rsidRDefault="00F23F31" w:rsidP="00F23F31">
      <w:pPr>
        <w:jc w:val="center"/>
        <w:rPr>
          <w:lang w:val="fr-CH"/>
        </w:rPr>
      </w:pPr>
    </w:p>
    <w:p w:rsidR="00F23F31" w:rsidRPr="005817BF" w:rsidRDefault="00F23F31" w:rsidP="00F23F31">
      <w:pPr>
        <w:jc w:val="center"/>
        <w:rPr>
          <w:lang w:val="fr-CH"/>
        </w:rPr>
      </w:pPr>
    </w:p>
    <w:p w:rsidR="00F23F31" w:rsidRPr="005817BF" w:rsidRDefault="00F23F31" w:rsidP="00F23F31">
      <w:pPr>
        <w:rPr>
          <w:lang w:val="fr-CH"/>
        </w:rPr>
      </w:pPr>
      <w:r w:rsidRPr="005817BF">
        <w:rPr>
          <w:lang w:val="fr-CH"/>
        </w:rPr>
        <w:t>La présente annexe contient les informations ci</w:t>
      </w:r>
      <w:r w:rsidR="00945DBD">
        <w:rPr>
          <w:lang w:val="fr-CH"/>
        </w:rPr>
        <w:noBreakHyphen/>
      </w:r>
      <w:r w:rsidRPr="005817BF">
        <w:rPr>
          <w:lang w:val="fr-CH"/>
        </w:rPr>
        <w:t>après</w:t>
      </w:r>
      <w:r w:rsidR="000970A8">
        <w:rPr>
          <w:lang w:val="fr-CH"/>
        </w:rPr>
        <w:t> :</w:t>
      </w:r>
    </w:p>
    <w:p w:rsidR="00F23F31" w:rsidRPr="005817BF" w:rsidRDefault="00F23F31" w:rsidP="00F23F31">
      <w:pPr>
        <w:rPr>
          <w:lang w:val="fr-CH"/>
        </w:rPr>
      </w:pPr>
    </w:p>
    <w:p w:rsidR="00F23F31" w:rsidRPr="005817BF" w:rsidRDefault="00F23F31" w:rsidP="00F23F31">
      <w:pPr>
        <w:tabs>
          <w:tab w:val="left" w:pos="1134"/>
          <w:tab w:val="left" w:pos="2552"/>
        </w:tabs>
        <w:ind w:left="567"/>
        <w:rPr>
          <w:lang w:val="fr-CH"/>
        </w:rPr>
      </w:pPr>
      <w:r w:rsidRPr="005817BF">
        <w:rPr>
          <w:lang w:val="fr-CH"/>
        </w:rPr>
        <w:t>a)</w:t>
      </w:r>
      <w:r w:rsidRPr="005817BF">
        <w:rPr>
          <w:lang w:val="fr-CH"/>
        </w:rPr>
        <w:tab/>
        <w:t>Appendice I</w:t>
      </w:r>
      <w:r w:rsidR="000970A8">
        <w:rPr>
          <w:lang w:val="fr-CH"/>
        </w:rPr>
        <w:t> :</w:t>
      </w:r>
      <w:r w:rsidRPr="005817BF">
        <w:rPr>
          <w:lang w:val="fr-CH"/>
        </w:rPr>
        <w:t xml:space="preserve"> </w:t>
      </w:r>
      <w:r w:rsidRPr="005817BF">
        <w:rPr>
          <w:lang w:val="fr-CH"/>
        </w:rPr>
        <w:tab/>
        <w:t>Observations de l</w:t>
      </w:r>
      <w:r w:rsidR="000970A8">
        <w:rPr>
          <w:lang w:val="fr-CH"/>
        </w:rPr>
        <w:t>’</w:t>
      </w:r>
      <w:r w:rsidRPr="005817BF">
        <w:rPr>
          <w:lang w:val="fr-CH"/>
        </w:rPr>
        <w:t>Union européenne</w:t>
      </w:r>
    </w:p>
    <w:p w:rsidR="00F23F31" w:rsidRPr="005817BF" w:rsidRDefault="00F23F31" w:rsidP="00F23F31">
      <w:pPr>
        <w:tabs>
          <w:tab w:val="left" w:pos="1134"/>
          <w:tab w:val="left" w:pos="2552"/>
        </w:tabs>
        <w:ind w:left="567"/>
        <w:contextualSpacing/>
        <w:rPr>
          <w:lang w:val="fr-CH"/>
        </w:rPr>
      </w:pPr>
    </w:p>
    <w:p w:rsidR="00F23F31" w:rsidRPr="005817BF" w:rsidRDefault="00F23F31" w:rsidP="00F23F31">
      <w:pPr>
        <w:tabs>
          <w:tab w:val="left" w:pos="1134"/>
          <w:tab w:val="left" w:pos="2552"/>
        </w:tabs>
        <w:ind w:left="567"/>
        <w:rPr>
          <w:lang w:val="fr-CH"/>
        </w:rPr>
      </w:pPr>
      <w:r w:rsidRPr="005817BF">
        <w:rPr>
          <w:lang w:val="fr-CH"/>
        </w:rPr>
        <w:t>b)</w:t>
      </w:r>
      <w:r w:rsidRPr="005817BF">
        <w:rPr>
          <w:lang w:val="fr-CH"/>
        </w:rPr>
        <w:tab/>
        <w:t>Appendice</w:t>
      </w:r>
      <w:r w:rsidR="003D0584">
        <w:rPr>
          <w:lang w:val="fr-CH"/>
        </w:rPr>
        <w:t> </w:t>
      </w:r>
      <w:r w:rsidRPr="005817BF">
        <w:rPr>
          <w:lang w:val="fr-CH"/>
        </w:rPr>
        <w:t>II</w:t>
      </w:r>
      <w:r w:rsidR="000970A8">
        <w:rPr>
          <w:lang w:val="fr-CH"/>
        </w:rPr>
        <w:t> :</w:t>
      </w:r>
      <w:r w:rsidRPr="005817BF">
        <w:rPr>
          <w:lang w:val="fr-CH"/>
        </w:rPr>
        <w:t xml:space="preserve"> </w:t>
      </w:r>
      <w:r w:rsidRPr="005817BF">
        <w:rPr>
          <w:lang w:val="fr-CH"/>
        </w:rPr>
        <w:tab/>
        <w:t>Observations d</w:t>
      </w:r>
      <w:r w:rsidR="000970A8">
        <w:rPr>
          <w:lang w:val="fr-CH"/>
        </w:rPr>
        <w:t>’</w:t>
      </w:r>
      <w:proofErr w:type="spellStart"/>
      <w:r w:rsidRPr="00700B2A">
        <w:rPr>
          <w:i/>
          <w:lang w:val="fr-CH"/>
        </w:rPr>
        <w:t>Euroseeds</w:t>
      </w:r>
      <w:proofErr w:type="spellEnd"/>
    </w:p>
    <w:p w:rsidR="00F23F31" w:rsidRPr="005817BF" w:rsidRDefault="00F23F31" w:rsidP="00F23F31">
      <w:pPr>
        <w:tabs>
          <w:tab w:val="left" w:pos="1134"/>
          <w:tab w:val="left" w:pos="2552"/>
        </w:tabs>
        <w:ind w:left="567"/>
        <w:rPr>
          <w:lang w:val="fr-CH"/>
        </w:rPr>
      </w:pPr>
    </w:p>
    <w:p w:rsidR="00F23F31" w:rsidRPr="005817BF" w:rsidRDefault="00F23F31" w:rsidP="00F23F31">
      <w:pPr>
        <w:tabs>
          <w:tab w:val="left" w:pos="1134"/>
          <w:tab w:val="left" w:pos="2552"/>
        </w:tabs>
        <w:ind w:left="567"/>
        <w:rPr>
          <w:lang w:val="fr-CH"/>
        </w:rPr>
      </w:pPr>
      <w:r w:rsidRPr="005817BF">
        <w:rPr>
          <w:lang w:val="fr-CH"/>
        </w:rPr>
        <w:t xml:space="preserve">c) </w:t>
      </w:r>
      <w:r w:rsidRPr="005817BF">
        <w:rPr>
          <w:lang w:val="fr-CH"/>
        </w:rPr>
        <w:tab/>
        <w:t>Appendice</w:t>
      </w:r>
      <w:r w:rsidR="003D0584">
        <w:rPr>
          <w:lang w:val="fr-CH"/>
        </w:rPr>
        <w:t> </w:t>
      </w:r>
      <w:r w:rsidRPr="005817BF">
        <w:rPr>
          <w:lang w:val="fr-CH"/>
        </w:rPr>
        <w:t>III</w:t>
      </w:r>
      <w:r w:rsidR="000970A8">
        <w:rPr>
          <w:lang w:val="fr-CH"/>
        </w:rPr>
        <w:t> :</w:t>
      </w:r>
      <w:r w:rsidRPr="005817BF">
        <w:rPr>
          <w:lang w:val="fr-CH"/>
        </w:rPr>
        <w:t xml:space="preserve"> </w:t>
      </w:r>
      <w:r w:rsidRPr="005817BF">
        <w:rPr>
          <w:lang w:val="fr-CH"/>
        </w:rPr>
        <w:tab/>
        <w:t>Observations communes de l</w:t>
      </w:r>
      <w:r w:rsidR="000970A8">
        <w:rPr>
          <w:lang w:val="fr-CH"/>
        </w:rPr>
        <w:t>’</w:t>
      </w:r>
      <w:r w:rsidRPr="005817BF">
        <w:rPr>
          <w:lang w:val="fr-CH"/>
        </w:rPr>
        <w:t>ISF, de l</w:t>
      </w:r>
      <w:r w:rsidR="000970A8">
        <w:rPr>
          <w:lang w:val="fr-CH"/>
        </w:rPr>
        <w:t>’</w:t>
      </w:r>
      <w:r w:rsidRPr="005817BF">
        <w:rPr>
          <w:lang w:val="fr-CH"/>
        </w:rPr>
        <w:t>AFSTA, de l</w:t>
      </w:r>
      <w:r w:rsidR="000970A8">
        <w:rPr>
          <w:lang w:val="fr-CH"/>
        </w:rPr>
        <w:t>’</w:t>
      </w:r>
      <w:r w:rsidRPr="005817BF">
        <w:rPr>
          <w:lang w:val="fr-CH"/>
        </w:rPr>
        <w:t>APSA et de la SAA</w:t>
      </w:r>
    </w:p>
    <w:p w:rsidR="00F23F31" w:rsidRPr="005817BF" w:rsidRDefault="00F23F31" w:rsidP="00F23F31">
      <w:pPr>
        <w:ind w:firstLine="360"/>
        <w:rPr>
          <w:lang w:val="fr-CH"/>
        </w:rPr>
      </w:pPr>
    </w:p>
    <w:p w:rsidR="00F23F31" w:rsidRPr="005817BF" w:rsidRDefault="00F23F31" w:rsidP="00F23F31">
      <w:pPr>
        <w:rPr>
          <w:lang w:val="fr-CH"/>
        </w:rPr>
      </w:pPr>
    </w:p>
    <w:p w:rsidR="00F23F31" w:rsidRPr="005817BF" w:rsidRDefault="00F23F31" w:rsidP="00F23F31">
      <w:pPr>
        <w:jc w:val="right"/>
        <w:rPr>
          <w:lang w:val="fr-CH"/>
        </w:rPr>
      </w:pPr>
      <w:r w:rsidRPr="005817BF">
        <w:rPr>
          <w:lang w:val="fr-CH"/>
        </w:rPr>
        <w:t>[L</w:t>
      </w:r>
      <w:r w:rsidR="000970A8">
        <w:rPr>
          <w:lang w:val="fr-CH"/>
        </w:rPr>
        <w:t>’</w:t>
      </w:r>
      <w:r w:rsidRPr="005817BF">
        <w:rPr>
          <w:lang w:val="fr-CH"/>
        </w:rPr>
        <w:t>appendice I suit]</w:t>
      </w:r>
    </w:p>
    <w:p w:rsidR="00F23F31" w:rsidRPr="005817BF" w:rsidRDefault="00F23F31" w:rsidP="00F23F31">
      <w:pPr>
        <w:rPr>
          <w:lang w:val="fr-CH"/>
        </w:rPr>
      </w:pPr>
    </w:p>
    <w:p w:rsidR="00F23F31" w:rsidRPr="005817BF" w:rsidRDefault="00F23F31" w:rsidP="00F23F31">
      <w:pPr>
        <w:rPr>
          <w:lang w:val="fr-CH"/>
        </w:rPr>
      </w:pPr>
    </w:p>
    <w:p w:rsidR="00F23F31" w:rsidRPr="005817BF" w:rsidRDefault="00F23F31" w:rsidP="00F23F31">
      <w:pPr>
        <w:rPr>
          <w:lang w:val="fr-CH"/>
        </w:rPr>
        <w:sectPr w:rsidR="00F23F31" w:rsidRPr="005817BF" w:rsidSect="00906DDC">
          <w:headerReference w:type="even" r:id="rId45"/>
          <w:headerReference w:type="default" r:id="rId46"/>
          <w:footerReference w:type="even" r:id="rId47"/>
          <w:footerReference w:type="default" r:id="rId48"/>
          <w:headerReference w:type="first" r:id="rId49"/>
          <w:footerReference w:type="first" r:id="rId50"/>
          <w:pgSz w:w="11907" w:h="16840" w:code="9"/>
          <w:pgMar w:top="510" w:right="1134" w:bottom="1134" w:left="1134" w:header="510" w:footer="680" w:gutter="0"/>
          <w:cols w:space="720"/>
          <w:titlePg/>
        </w:sectPr>
      </w:pPr>
    </w:p>
    <w:p w:rsidR="00F23F31" w:rsidRPr="005817BF" w:rsidRDefault="00F23F31" w:rsidP="00F23F31">
      <w:pPr>
        <w:jc w:val="center"/>
        <w:rPr>
          <w:lang w:val="fr-CH"/>
        </w:rPr>
      </w:pPr>
    </w:p>
    <w:p w:rsidR="00F23F31" w:rsidRPr="005817BF" w:rsidRDefault="00F23F31" w:rsidP="00F23F31">
      <w:pPr>
        <w:jc w:val="center"/>
        <w:rPr>
          <w:lang w:val="fr-CH"/>
        </w:rPr>
      </w:pPr>
      <w:r w:rsidRPr="005817BF">
        <w:rPr>
          <w:lang w:val="fr-CH"/>
        </w:rPr>
        <w:t>UNION EUROPÉENNE</w:t>
      </w:r>
    </w:p>
    <w:p w:rsidR="00F23F31" w:rsidRPr="005817BF" w:rsidRDefault="00F23F31" w:rsidP="00F23F31">
      <w:pPr>
        <w:rPr>
          <w:lang w:val="fr-CH"/>
        </w:rPr>
      </w:pPr>
    </w:p>
    <w:p w:rsidR="00F23F31" w:rsidRPr="005817BF" w:rsidRDefault="00F23F31" w:rsidP="00F23F31">
      <w:pPr>
        <w:rPr>
          <w:lang w:val="fr-CH"/>
        </w:rPr>
      </w:pPr>
    </w:p>
    <w:p w:rsidR="00F23F31" w:rsidRPr="005817BF" w:rsidRDefault="00F23F31" w:rsidP="00F23F31">
      <w:pPr>
        <w:shd w:val="clear" w:color="auto" w:fill="FFFFFF" w:themeFill="background1"/>
        <w:rPr>
          <w:snapToGrid w:val="0"/>
          <w:spacing w:val="-4"/>
          <w:lang w:val="fr-CH"/>
        </w:rPr>
      </w:pPr>
      <w:r w:rsidRPr="005817BF">
        <w:rPr>
          <w:snapToGrid w:val="0"/>
          <w:spacing w:val="-4"/>
          <w:lang w:val="fr-CH"/>
        </w:rPr>
        <w:t>La délégation de l</w:t>
      </w:r>
      <w:r w:rsidR="000970A8">
        <w:rPr>
          <w:snapToGrid w:val="0"/>
          <w:spacing w:val="-4"/>
          <w:lang w:val="fr-CH"/>
        </w:rPr>
        <w:t>’</w:t>
      </w:r>
      <w:r w:rsidRPr="005817BF">
        <w:rPr>
          <w:snapToGrid w:val="0"/>
          <w:spacing w:val="-4"/>
          <w:lang w:val="fr-CH"/>
        </w:rPr>
        <w:t>Union européenne a formulé les observations ci</w:t>
      </w:r>
      <w:r w:rsidR="00945DBD">
        <w:rPr>
          <w:snapToGrid w:val="0"/>
          <w:spacing w:val="-4"/>
          <w:lang w:val="fr-CH"/>
        </w:rPr>
        <w:noBreakHyphen/>
      </w:r>
      <w:r w:rsidRPr="005817BF">
        <w:rPr>
          <w:snapToGrid w:val="0"/>
          <w:spacing w:val="-4"/>
          <w:lang w:val="fr-CH"/>
        </w:rPr>
        <w:t>après concernant le document CAJ/77/6 “Nouveauté des lignées parentales en rapport avec l</w:t>
      </w:r>
      <w:r w:rsidR="000970A8">
        <w:rPr>
          <w:snapToGrid w:val="0"/>
          <w:spacing w:val="-4"/>
          <w:lang w:val="fr-CH"/>
        </w:rPr>
        <w:t>’</w:t>
      </w:r>
      <w:r w:rsidRPr="005817BF">
        <w:rPr>
          <w:snapToGrid w:val="0"/>
          <w:spacing w:val="-4"/>
          <w:lang w:val="fr-CH"/>
        </w:rPr>
        <w:t>exploitation de la variété hybride”</w:t>
      </w:r>
      <w:r w:rsidR="000970A8">
        <w:rPr>
          <w:snapToGrid w:val="0"/>
          <w:spacing w:val="-4"/>
          <w:lang w:val="fr-CH"/>
        </w:rPr>
        <w:t> :</w:t>
      </w:r>
    </w:p>
    <w:p w:rsidR="00F23F31" w:rsidRPr="005817BF" w:rsidRDefault="00F23F31" w:rsidP="00F23F31">
      <w:pPr>
        <w:pStyle w:val="TableParagraph"/>
        <w:spacing w:before="120"/>
        <w:ind w:left="567" w:right="567"/>
        <w:jc w:val="both"/>
        <w:rPr>
          <w:rFonts w:ascii="Arial" w:hAnsi="Arial" w:cs="Arial"/>
          <w:sz w:val="18"/>
          <w:szCs w:val="18"/>
          <w:lang w:val="fr-CH"/>
        </w:rPr>
      </w:pPr>
      <w:r w:rsidRPr="005817BF">
        <w:rPr>
          <w:rFonts w:ascii="Arial" w:hAnsi="Arial" w:cs="Arial"/>
          <w:sz w:val="18"/>
          <w:szCs w:val="18"/>
          <w:lang w:val="fr-CH"/>
        </w:rPr>
        <w:t>“L</w:t>
      </w:r>
      <w:r w:rsidR="000970A8">
        <w:rPr>
          <w:rFonts w:ascii="Arial" w:hAnsi="Arial" w:cs="Arial"/>
          <w:sz w:val="18"/>
          <w:szCs w:val="18"/>
          <w:lang w:val="fr-CH"/>
        </w:rPr>
        <w:t>’</w:t>
      </w:r>
      <w:r w:rsidRPr="005817BF">
        <w:rPr>
          <w:rFonts w:ascii="Arial" w:hAnsi="Arial" w:cs="Arial"/>
          <w:sz w:val="18"/>
          <w:szCs w:val="18"/>
          <w:lang w:val="fr-CH"/>
        </w:rPr>
        <w:t>Union européenne et ses États membres peuvent</w:t>
      </w:r>
    </w:p>
    <w:p w:rsidR="00F23F31" w:rsidRPr="005817BF" w:rsidRDefault="00F23F31" w:rsidP="00F23F31">
      <w:pPr>
        <w:pStyle w:val="TableParagraph"/>
        <w:tabs>
          <w:tab w:val="left" w:pos="1701"/>
        </w:tabs>
        <w:spacing w:before="120"/>
        <w:ind w:left="567" w:right="567" w:firstLine="567"/>
        <w:jc w:val="both"/>
        <w:rPr>
          <w:rFonts w:ascii="Arial" w:hAnsi="Arial" w:cs="Arial"/>
          <w:sz w:val="18"/>
          <w:szCs w:val="18"/>
          <w:lang w:val="fr-CH"/>
        </w:rPr>
      </w:pPr>
      <w:r w:rsidRPr="005817BF">
        <w:rPr>
          <w:rFonts w:ascii="Arial" w:hAnsi="Arial" w:cs="Arial"/>
          <w:sz w:val="18"/>
          <w:szCs w:val="18"/>
          <w:lang w:val="fr-CH"/>
        </w:rPr>
        <w:t>a)</w:t>
      </w:r>
      <w:r w:rsidRPr="005817BF">
        <w:rPr>
          <w:rFonts w:ascii="Arial" w:hAnsi="Arial" w:cs="Arial"/>
          <w:sz w:val="18"/>
          <w:szCs w:val="18"/>
          <w:lang w:val="fr-CH"/>
        </w:rPr>
        <w:tab/>
        <w:t>prendre note des réponses à l</w:t>
      </w:r>
      <w:r w:rsidR="000970A8">
        <w:rPr>
          <w:rFonts w:ascii="Arial" w:hAnsi="Arial" w:cs="Arial"/>
          <w:sz w:val="18"/>
          <w:szCs w:val="18"/>
          <w:lang w:val="fr-CH"/>
        </w:rPr>
        <w:t>’</w:t>
      </w:r>
      <w:r w:rsidRPr="005817BF">
        <w:rPr>
          <w:rFonts w:ascii="Arial" w:hAnsi="Arial" w:cs="Arial"/>
          <w:sz w:val="18"/>
          <w:szCs w:val="18"/>
          <w:lang w:val="fr-CH"/>
        </w:rPr>
        <w:t>enquête pour étudier l</w:t>
      </w:r>
      <w:r w:rsidR="000970A8">
        <w:rPr>
          <w:rFonts w:ascii="Arial" w:hAnsi="Arial" w:cs="Arial"/>
          <w:sz w:val="18"/>
          <w:szCs w:val="18"/>
          <w:lang w:val="fr-CH"/>
        </w:rPr>
        <w:t>’</w:t>
      </w:r>
      <w:r w:rsidRPr="005817BF">
        <w:rPr>
          <w:rFonts w:ascii="Arial" w:hAnsi="Arial" w:cs="Arial"/>
          <w:sz w:val="18"/>
          <w:szCs w:val="18"/>
          <w:lang w:val="fr-CH"/>
        </w:rPr>
        <w:t>état de la nouveauté des lignées parentales en rapport avec l</w:t>
      </w:r>
      <w:r w:rsidR="000970A8">
        <w:rPr>
          <w:rFonts w:ascii="Arial" w:hAnsi="Arial" w:cs="Arial"/>
          <w:sz w:val="18"/>
          <w:szCs w:val="18"/>
          <w:lang w:val="fr-CH"/>
        </w:rPr>
        <w:t>’</w:t>
      </w:r>
      <w:r w:rsidRPr="005817BF">
        <w:rPr>
          <w:rFonts w:ascii="Arial" w:hAnsi="Arial" w:cs="Arial"/>
          <w:sz w:val="18"/>
          <w:szCs w:val="18"/>
          <w:lang w:val="fr-CH"/>
        </w:rPr>
        <w:t>exploitation d</w:t>
      </w:r>
      <w:r w:rsidR="000970A8">
        <w:rPr>
          <w:rFonts w:ascii="Arial" w:hAnsi="Arial" w:cs="Arial"/>
          <w:sz w:val="18"/>
          <w:szCs w:val="18"/>
          <w:lang w:val="fr-CH"/>
        </w:rPr>
        <w:t>’</w:t>
      </w:r>
      <w:r w:rsidRPr="005817BF">
        <w:rPr>
          <w:rFonts w:ascii="Arial" w:hAnsi="Arial" w:cs="Arial"/>
          <w:sz w:val="18"/>
          <w:szCs w:val="18"/>
          <w:lang w:val="fr-CH"/>
        </w:rPr>
        <w:t>une variété hybride dans les membres de l</w:t>
      </w:r>
      <w:r w:rsidR="000970A8">
        <w:rPr>
          <w:rFonts w:ascii="Arial" w:hAnsi="Arial" w:cs="Arial"/>
          <w:sz w:val="18"/>
          <w:szCs w:val="18"/>
          <w:lang w:val="fr-CH"/>
        </w:rPr>
        <w:t>’</w:t>
      </w:r>
      <w:r w:rsidRPr="005817BF">
        <w:rPr>
          <w:rFonts w:ascii="Arial" w:hAnsi="Arial" w:cs="Arial"/>
          <w:sz w:val="18"/>
          <w:szCs w:val="18"/>
          <w:lang w:val="fr-CH"/>
        </w:rPr>
        <w:t>Union, et</w:t>
      </w:r>
    </w:p>
    <w:p w:rsidR="00F23F31" w:rsidRPr="005817BF" w:rsidRDefault="00F23F31" w:rsidP="00F23F31">
      <w:pPr>
        <w:pStyle w:val="TableParagraph"/>
        <w:tabs>
          <w:tab w:val="left" w:pos="1701"/>
        </w:tabs>
        <w:spacing w:before="120"/>
        <w:ind w:left="567" w:right="567" w:firstLine="567"/>
        <w:jc w:val="both"/>
        <w:rPr>
          <w:rFonts w:ascii="Arial" w:hAnsi="Arial" w:cs="Arial"/>
          <w:sz w:val="18"/>
          <w:szCs w:val="18"/>
          <w:lang w:val="fr-CH"/>
        </w:rPr>
      </w:pPr>
      <w:r w:rsidRPr="005817BF">
        <w:rPr>
          <w:rFonts w:ascii="Arial" w:hAnsi="Arial" w:cs="Arial"/>
          <w:sz w:val="18"/>
          <w:szCs w:val="18"/>
          <w:lang w:val="fr-CH"/>
        </w:rPr>
        <w:t xml:space="preserve">b) </w:t>
      </w:r>
      <w:r w:rsidRPr="005817BF">
        <w:rPr>
          <w:rFonts w:ascii="Arial" w:hAnsi="Arial" w:cs="Arial"/>
          <w:sz w:val="18"/>
          <w:szCs w:val="18"/>
          <w:lang w:val="fr-CH"/>
        </w:rPr>
        <w:tab/>
        <w:t>examiner la proposition d</w:t>
      </w:r>
      <w:r w:rsidR="000970A8">
        <w:rPr>
          <w:rFonts w:ascii="Arial" w:hAnsi="Arial" w:cs="Arial"/>
          <w:sz w:val="18"/>
          <w:szCs w:val="18"/>
          <w:lang w:val="fr-CH"/>
        </w:rPr>
        <w:t>’</w:t>
      </w:r>
      <w:r w:rsidRPr="005817BF">
        <w:rPr>
          <w:rFonts w:ascii="Arial" w:hAnsi="Arial" w:cs="Arial"/>
          <w:sz w:val="18"/>
          <w:szCs w:val="18"/>
          <w:lang w:val="fr-CH"/>
        </w:rPr>
        <w:t>insérer une explication sur ce thème dans les Notes explicatives concernant la nouveau</w:t>
      </w:r>
      <w:r w:rsidR="00E402DE" w:rsidRPr="005817BF">
        <w:rPr>
          <w:rFonts w:ascii="Arial" w:hAnsi="Arial" w:cs="Arial"/>
          <w:sz w:val="18"/>
          <w:szCs w:val="18"/>
          <w:lang w:val="fr-CH"/>
        </w:rPr>
        <w:t>té</w:t>
      </w:r>
      <w:r w:rsidR="00E402DE">
        <w:rPr>
          <w:rFonts w:ascii="Arial" w:hAnsi="Arial" w:cs="Arial"/>
          <w:sz w:val="18"/>
          <w:szCs w:val="18"/>
          <w:lang w:val="fr-CH"/>
        </w:rPr>
        <w:t xml:space="preserve">.  </w:t>
      </w:r>
      <w:r w:rsidR="00E402DE" w:rsidRPr="005817BF">
        <w:rPr>
          <w:rFonts w:ascii="Arial" w:hAnsi="Arial" w:cs="Arial"/>
          <w:sz w:val="18"/>
          <w:szCs w:val="18"/>
          <w:lang w:val="fr-CH"/>
        </w:rPr>
        <w:t>No</w:t>
      </w:r>
      <w:r w:rsidRPr="005817BF">
        <w:rPr>
          <w:rFonts w:ascii="Arial" w:hAnsi="Arial" w:cs="Arial"/>
          <w:sz w:val="18"/>
          <w:szCs w:val="18"/>
          <w:lang w:val="fr-CH"/>
        </w:rPr>
        <w:t>us avons cependant des doutes quant à l</w:t>
      </w:r>
      <w:r w:rsidR="000970A8">
        <w:rPr>
          <w:rFonts w:ascii="Arial" w:hAnsi="Arial" w:cs="Arial"/>
          <w:sz w:val="18"/>
          <w:szCs w:val="18"/>
          <w:lang w:val="fr-CH"/>
        </w:rPr>
        <w:t>’</w:t>
      </w:r>
      <w:r w:rsidRPr="005817BF">
        <w:rPr>
          <w:rFonts w:ascii="Arial" w:hAnsi="Arial" w:cs="Arial"/>
          <w:sz w:val="18"/>
          <w:szCs w:val="18"/>
          <w:lang w:val="fr-CH"/>
        </w:rPr>
        <w:t>approche consistant à laisser une marge d</w:t>
      </w:r>
      <w:r w:rsidR="000970A8">
        <w:rPr>
          <w:rFonts w:ascii="Arial" w:hAnsi="Arial" w:cs="Arial"/>
          <w:sz w:val="18"/>
          <w:szCs w:val="18"/>
          <w:lang w:val="fr-CH"/>
        </w:rPr>
        <w:t>’</w:t>
      </w:r>
      <w:r w:rsidRPr="005817BF">
        <w:rPr>
          <w:rFonts w:ascii="Arial" w:hAnsi="Arial" w:cs="Arial"/>
          <w:sz w:val="18"/>
          <w:szCs w:val="18"/>
          <w:lang w:val="fr-CH"/>
        </w:rPr>
        <w:t>interprétation en ce qui concerne la nouveauté des lignées parentales hybrides en raison des incidences sur l</w:t>
      </w:r>
      <w:r w:rsidR="000970A8">
        <w:rPr>
          <w:rFonts w:ascii="Arial" w:hAnsi="Arial" w:cs="Arial"/>
          <w:sz w:val="18"/>
          <w:szCs w:val="18"/>
          <w:lang w:val="fr-CH"/>
        </w:rPr>
        <w:t>’</w:t>
      </w:r>
      <w:r w:rsidRPr="005817BF">
        <w:rPr>
          <w:rFonts w:ascii="Arial" w:hAnsi="Arial" w:cs="Arial"/>
          <w:sz w:val="18"/>
          <w:szCs w:val="18"/>
          <w:lang w:val="fr-CH"/>
        </w:rPr>
        <w:t>exploitati</w:t>
      </w:r>
      <w:r w:rsidR="00E402DE" w:rsidRPr="005817BF">
        <w:rPr>
          <w:rFonts w:ascii="Arial" w:hAnsi="Arial" w:cs="Arial"/>
          <w:sz w:val="18"/>
          <w:szCs w:val="18"/>
          <w:lang w:val="fr-CH"/>
        </w:rPr>
        <w:t>on</w:t>
      </w:r>
      <w:r w:rsidR="00E402DE">
        <w:rPr>
          <w:rFonts w:ascii="Arial" w:hAnsi="Arial" w:cs="Arial"/>
          <w:sz w:val="18"/>
          <w:szCs w:val="18"/>
          <w:lang w:val="fr-CH"/>
        </w:rPr>
        <w:t xml:space="preserve">.  </w:t>
      </w:r>
      <w:r w:rsidR="00E402DE" w:rsidRPr="005817BF">
        <w:rPr>
          <w:rFonts w:ascii="Arial" w:hAnsi="Arial" w:cs="Arial"/>
          <w:sz w:val="18"/>
          <w:szCs w:val="18"/>
          <w:lang w:val="fr-CH"/>
        </w:rPr>
        <w:t>Pa</w:t>
      </w:r>
      <w:r w:rsidRPr="005817BF">
        <w:rPr>
          <w:rFonts w:ascii="Arial" w:hAnsi="Arial" w:cs="Arial"/>
          <w:sz w:val="18"/>
          <w:szCs w:val="18"/>
          <w:lang w:val="fr-CH"/>
        </w:rPr>
        <w:t>r conséquent, nous pensons qu</w:t>
      </w:r>
      <w:r w:rsidR="000970A8">
        <w:rPr>
          <w:rFonts w:ascii="Arial" w:hAnsi="Arial" w:cs="Arial"/>
          <w:sz w:val="18"/>
          <w:szCs w:val="18"/>
          <w:lang w:val="fr-CH"/>
        </w:rPr>
        <w:t>’</w:t>
      </w:r>
      <w:r w:rsidRPr="005817BF">
        <w:rPr>
          <w:rFonts w:ascii="Arial" w:hAnsi="Arial" w:cs="Arial"/>
          <w:sz w:val="18"/>
          <w:szCs w:val="18"/>
          <w:lang w:val="fr-CH"/>
        </w:rPr>
        <w:t>il serait important de s</w:t>
      </w:r>
      <w:r w:rsidR="000970A8">
        <w:rPr>
          <w:rFonts w:ascii="Arial" w:hAnsi="Arial" w:cs="Arial"/>
          <w:sz w:val="18"/>
          <w:szCs w:val="18"/>
          <w:lang w:val="fr-CH"/>
        </w:rPr>
        <w:t>’</w:t>
      </w:r>
      <w:r w:rsidRPr="005817BF">
        <w:rPr>
          <w:rFonts w:ascii="Arial" w:hAnsi="Arial" w:cs="Arial"/>
          <w:sz w:val="18"/>
          <w:szCs w:val="18"/>
          <w:lang w:val="fr-CH"/>
        </w:rPr>
        <w:t>attacher à fournir des orientations communes sur cette question dans la note explicative afin d</w:t>
      </w:r>
      <w:r w:rsidR="000970A8">
        <w:rPr>
          <w:rFonts w:ascii="Arial" w:hAnsi="Arial" w:cs="Arial"/>
          <w:sz w:val="18"/>
          <w:szCs w:val="18"/>
          <w:lang w:val="fr-CH"/>
        </w:rPr>
        <w:t>’</w:t>
      </w:r>
      <w:r w:rsidRPr="005817BF">
        <w:rPr>
          <w:rFonts w:ascii="Arial" w:hAnsi="Arial" w:cs="Arial"/>
          <w:sz w:val="18"/>
          <w:szCs w:val="18"/>
          <w:lang w:val="fr-CH"/>
        </w:rPr>
        <w:t>éviter toute divergence d</w:t>
      </w:r>
      <w:r w:rsidR="000970A8">
        <w:rPr>
          <w:rFonts w:ascii="Arial" w:hAnsi="Arial" w:cs="Arial"/>
          <w:sz w:val="18"/>
          <w:szCs w:val="18"/>
          <w:lang w:val="fr-CH"/>
        </w:rPr>
        <w:t>’</w:t>
      </w:r>
      <w:r w:rsidRPr="005817BF">
        <w:rPr>
          <w:rFonts w:ascii="Arial" w:hAnsi="Arial" w:cs="Arial"/>
          <w:sz w:val="18"/>
          <w:szCs w:val="18"/>
          <w:lang w:val="fr-CH"/>
        </w:rPr>
        <w:t>interprétation entre les membres de l</w:t>
      </w:r>
      <w:r w:rsidR="000970A8">
        <w:rPr>
          <w:rFonts w:ascii="Arial" w:hAnsi="Arial" w:cs="Arial"/>
          <w:sz w:val="18"/>
          <w:szCs w:val="18"/>
          <w:lang w:val="fr-CH"/>
        </w:rPr>
        <w:t>’</w:t>
      </w:r>
      <w:r w:rsidRPr="005817BF">
        <w:rPr>
          <w:rFonts w:ascii="Arial" w:hAnsi="Arial" w:cs="Arial"/>
          <w:sz w:val="18"/>
          <w:szCs w:val="18"/>
          <w:lang w:val="fr-CH"/>
        </w:rPr>
        <w:t>Uni</w:t>
      </w:r>
      <w:r w:rsidR="00E402DE" w:rsidRPr="005817BF">
        <w:rPr>
          <w:rFonts w:ascii="Arial" w:hAnsi="Arial" w:cs="Arial"/>
          <w:sz w:val="18"/>
          <w:szCs w:val="18"/>
          <w:lang w:val="fr-CH"/>
        </w:rPr>
        <w:t>on</w:t>
      </w:r>
      <w:r w:rsidR="00E402DE">
        <w:rPr>
          <w:rFonts w:ascii="Arial" w:hAnsi="Arial" w:cs="Arial"/>
          <w:sz w:val="18"/>
          <w:szCs w:val="18"/>
          <w:lang w:val="fr-CH"/>
        </w:rPr>
        <w:t xml:space="preserve">.  </w:t>
      </w:r>
      <w:r w:rsidR="00E402DE" w:rsidRPr="005817BF">
        <w:rPr>
          <w:rFonts w:ascii="Arial" w:hAnsi="Arial" w:cs="Arial"/>
          <w:sz w:val="18"/>
          <w:szCs w:val="18"/>
          <w:lang w:val="fr-CH"/>
        </w:rPr>
        <w:t>Un</w:t>
      </w:r>
      <w:r w:rsidRPr="005817BF">
        <w:rPr>
          <w:rFonts w:ascii="Arial" w:hAnsi="Arial" w:cs="Arial"/>
          <w:sz w:val="18"/>
          <w:szCs w:val="18"/>
          <w:lang w:val="fr-CH"/>
        </w:rPr>
        <w:t xml:space="preserve"> débat sur le plan technique (p. ex.</w:t>
      </w:r>
      <w:r w:rsidR="000970A8">
        <w:rPr>
          <w:rFonts w:ascii="Arial" w:hAnsi="Arial" w:cs="Arial"/>
          <w:sz w:val="18"/>
          <w:szCs w:val="18"/>
          <w:lang w:val="fr-CH"/>
        </w:rPr>
        <w:t> TC</w:t>
      </w:r>
      <w:r w:rsidRPr="005817BF">
        <w:rPr>
          <w:rFonts w:ascii="Arial" w:hAnsi="Arial" w:cs="Arial"/>
          <w:sz w:val="18"/>
          <w:szCs w:val="18"/>
          <w:lang w:val="fr-CH"/>
        </w:rPr>
        <w:t xml:space="preserve">, TWP) serait </w:t>
      </w:r>
      <w:proofErr w:type="gramStart"/>
      <w:r w:rsidRPr="005817BF">
        <w:rPr>
          <w:rFonts w:ascii="Arial" w:hAnsi="Arial" w:cs="Arial"/>
          <w:sz w:val="18"/>
          <w:szCs w:val="18"/>
          <w:lang w:val="fr-CH"/>
        </w:rPr>
        <w:t>peut</w:t>
      </w:r>
      <w:proofErr w:type="gramEnd"/>
      <w:r w:rsidR="00945DBD">
        <w:rPr>
          <w:rFonts w:ascii="Arial" w:hAnsi="Arial" w:cs="Arial"/>
          <w:sz w:val="18"/>
          <w:szCs w:val="18"/>
          <w:lang w:val="fr-CH"/>
        </w:rPr>
        <w:noBreakHyphen/>
      </w:r>
      <w:r w:rsidRPr="005817BF">
        <w:rPr>
          <w:rFonts w:ascii="Arial" w:hAnsi="Arial" w:cs="Arial"/>
          <w:sz w:val="18"/>
          <w:szCs w:val="18"/>
          <w:lang w:val="fr-CH"/>
        </w:rPr>
        <w:t>être utile dans un premier temps.”</w:t>
      </w:r>
    </w:p>
    <w:p w:rsidR="00F23F31" w:rsidRPr="005817BF" w:rsidRDefault="00F23F31" w:rsidP="00F23F31">
      <w:pPr>
        <w:rPr>
          <w:lang w:val="fr-CH"/>
        </w:rPr>
      </w:pPr>
    </w:p>
    <w:p w:rsidR="00F23F31" w:rsidRPr="005817BF" w:rsidRDefault="00F23F31" w:rsidP="00F23F31">
      <w:pPr>
        <w:rPr>
          <w:lang w:val="fr-CH"/>
        </w:rPr>
      </w:pPr>
    </w:p>
    <w:p w:rsidR="00F23F31" w:rsidRPr="005817BF" w:rsidRDefault="00F23F31" w:rsidP="00F23F31">
      <w:pPr>
        <w:jc w:val="right"/>
        <w:rPr>
          <w:lang w:val="fr-CH"/>
        </w:rPr>
      </w:pPr>
      <w:r w:rsidRPr="005817BF">
        <w:rPr>
          <w:lang w:val="fr-CH"/>
        </w:rPr>
        <w:t>[L</w:t>
      </w:r>
      <w:r w:rsidR="000970A8">
        <w:rPr>
          <w:lang w:val="fr-CH"/>
        </w:rPr>
        <w:t>’</w:t>
      </w:r>
      <w:r w:rsidRPr="005817BF">
        <w:rPr>
          <w:lang w:val="fr-CH"/>
        </w:rPr>
        <w:t>appendice</w:t>
      </w:r>
      <w:r w:rsidR="003D0584">
        <w:rPr>
          <w:lang w:val="fr-CH"/>
        </w:rPr>
        <w:t> </w:t>
      </w:r>
      <w:r w:rsidRPr="005817BF">
        <w:rPr>
          <w:lang w:val="fr-CH"/>
        </w:rPr>
        <w:t>II suit]</w:t>
      </w:r>
    </w:p>
    <w:p w:rsidR="00F23F31" w:rsidRPr="005817BF" w:rsidRDefault="00F23F31" w:rsidP="00F23F31">
      <w:pPr>
        <w:rPr>
          <w:lang w:val="fr-CH"/>
        </w:rPr>
      </w:pPr>
    </w:p>
    <w:p w:rsidR="00F23F31" w:rsidRPr="005817BF" w:rsidRDefault="00F23F31" w:rsidP="00F23F31">
      <w:pPr>
        <w:rPr>
          <w:lang w:val="fr-CH"/>
        </w:rPr>
      </w:pPr>
    </w:p>
    <w:p w:rsidR="00F23F31" w:rsidRPr="005817BF" w:rsidRDefault="00F23F31" w:rsidP="00F23F31">
      <w:pPr>
        <w:rPr>
          <w:lang w:val="fr-CH"/>
        </w:rPr>
      </w:pPr>
    </w:p>
    <w:p w:rsidR="00F23F31" w:rsidRPr="005817BF" w:rsidRDefault="00F23F31" w:rsidP="00F23F31">
      <w:pPr>
        <w:rPr>
          <w:lang w:val="fr-CH"/>
        </w:rPr>
      </w:pPr>
    </w:p>
    <w:p w:rsidR="00F23F31" w:rsidRPr="005817BF" w:rsidRDefault="00F23F31" w:rsidP="00F23F31">
      <w:pPr>
        <w:rPr>
          <w:lang w:val="fr-CH"/>
        </w:rPr>
        <w:sectPr w:rsidR="00F23F31" w:rsidRPr="005817BF" w:rsidSect="00906DDC">
          <w:headerReference w:type="even" r:id="rId51"/>
          <w:headerReference w:type="default" r:id="rId52"/>
          <w:footerReference w:type="even" r:id="rId53"/>
          <w:footerReference w:type="default" r:id="rId54"/>
          <w:headerReference w:type="first" r:id="rId55"/>
          <w:footerReference w:type="first" r:id="rId56"/>
          <w:pgSz w:w="11907" w:h="16840" w:code="9"/>
          <w:pgMar w:top="510" w:right="1134" w:bottom="1134" w:left="1134" w:header="510" w:footer="680" w:gutter="0"/>
          <w:cols w:space="720"/>
          <w:titlePg/>
        </w:sectPr>
      </w:pPr>
    </w:p>
    <w:p w:rsidR="00F23F31" w:rsidRPr="005817BF" w:rsidRDefault="00F23F31" w:rsidP="00F23F31">
      <w:pPr>
        <w:jc w:val="center"/>
        <w:rPr>
          <w:lang w:val="fr-CH"/>
        </w:rPr>
      </w:pPr>
    </w:p>
    <w:p w:rsidR="00F23F31" w:rsidRPr="00700B2A" w:rsidRDefault="00F23F31" w:rsidP="00F23F31">
      <w:pPr>
        <w:jc w:val="center"/>
        <w:rPr>
          <w:i/>
          <w:lang w:val="fr-CH"/>
        </w:rPr>
      </w:pPr>
      <w:r w:rsidRPr="00700B2A">
        <w:rPr>
          <w:i/>
          <w:lang w:val="fr-CH"/>
        </w:rPr>
        <w:t>EUROSEEDS</w:t>
      </w:r>
    </w:p>
    <w:p w:rsidR="00F23F31" w:rsidRPr="005817BF" w:rsidRDefault="00F23F31" w:rsidP="00F23F31">
      <w:pPr>
        <w:rPr>
          <w:lang w:val="fr-CH"/>
        </w:rPr>
      </w:pPr>
    </w:p>
    <w:p w:rsidR="00F23F31" w:rsidRPr="005817BF" w:rsidRDefault="00F23F31" w:rsidP="00F23F31">
      <w:pPr>
        <w:shd w:val="clear" w:color="auto" w:fill="FFFFFF" w:themeFill="background1"/>
        <w:rPr>
          <w:snapToGrid w:val="0"/>
          <w:spacing w:val="-4"/>
          <w:lang w:val="fr-CH"/>
        </w:rPr>
      </w:pPr>
      <w:r w:rsidRPr="005817BF">
        <w:rPr>
          <w:snapToGrid w:val="0"/>
          <w:spacing w:val="-4"/>
          <w:lang w:val="fr-CH"/>
        </w:rPr>
        <w:t>La délégation d</w:t>
      </w:r>
      <w:r w:rsidR="000970A8">
        <w:rPr>
          <w:snapToGrid w:val="0"/>
          <w:spacing w:val="-4"/>
          <w:lang w:val="fr-CH"/>
        </w:rPr>
        <w:t>’</w:t>
      </w:r>
      <w:proofErr w:type="spellStart"/>
      <w:r w:rsidRPr="00700B2A">
        <w:rPr>
          <w:i/>
          <w:snapToGrid w:val="0"/>
          <w:spacing w:val="-4"/>
          <w:lang w:val="fr-CH"/>
        </w:rPr>
        <w:t>Euroseeds</w:t>
      </w:r>
      <w:proofErr w:type="spellEnd"/>
      <w:r w:rsidRPr="005817BF">
        <w:rPr>
          <w:snapToGrid w:val="0"/>
          <w:spacing w:val="-4"/>
          <w:lang w:val="fr-CH"/>
        </w:rPr>
        <w:t xml:space="preserve"> a formulé les observations ci</w:t>
      </w:r>
      <w:r w:rsidR="00945DBD">
        <w:rPr>
          <w:snapToGrid w:val="0"/>
          <w:spacing w:val="-4"/>
          <w:lang w:val="fr-CH"/>
        </w:rPr>
        <w:noBreakHyphen/>
      </w:r>
      <w:r w:rsidRPr="005817BF">
        <w:rPr>
          <w:snapToGrid w:val="0"/>
          <w:spacing w:val="-4"/>
          <w:lang w:val="fr-CH"/>
        </w:rPr>
        <w:t>après concernant le document CAJ/77/6 “Nouveauté des lignées parentales en rapport avec l</w:t>
      </w:r>
      <w:r w:rsidR="000970A8">
        <w:rPr>
          <w:snapToGrid w:val="0"/>
          <w:spacing w:val="-4"/>
          <w:lang w:val="fr-CH"/>
        </w:rPr>
        <w:t>’</w:t>
      </w:r>
      <w:r w:rsidRPr="005817BF">
        <w:rPr>
          <w:snapToGrid w:val="0"/>
          <w:spacing w:val="-4"/>
          <w:lang w:val="fr-CH"/>
        </w:rPr>
        <w:t>exploitation de la variété hybride”</w:t>
      </w:r>
      <w:r w:rsidR="000970A8">
        <w:rPr>
          <w:snapToGrid w:val="0"/>
          <w:spacing w:val="-4"/>
          <w:lang w:val="fr-CH"/>
        </w:rPr>
        <w:t> :</w:t>
      </w:r>
    </w:p>
    <w:p w:rsidR="00F23F31" w:rsidRPr="005817BF" w:rsidRDefault="00F23F31" w:rsidP="00F23F31">
      <w:pPr>
        <w:rPr>
          <w:lang w:val="fr-CH"/>
        </w:rPr>
      </w:pPr>
    </w:p>
    <w:p w:rsidR="00F23F31" w:rsidRPr="005817BF" w:rsidRDefault="00F23F31" w:rsidP="00F23F31">
      <w:pPr>
        <w:pStyle w:val="TableParagraph"/>
        <w:spacing w:before="120"/>
        <w:ind w:left="567" w:right="567"/>
        <w:jc w:val="both"/>
        <w:rPr>
          <w:rFonts w:ascii="Arial" w:hAnsi="Arial" w:cs="Arial"/>
          <w:sz w:val="18"/>
          <w:szCs w:val="18"/>
          <w:lang w:val="fr-CH"/>
        </w:rPr>
      </w:pPr>
      <w:r w:rsidRPr="005817BF">
        <w:rPr>
          <w:rFonts w:ascii="Arial" w:hAnsi="Arial" w:cs="Arial"/>
          <w:sz w:val="18"/>
          <w:szCs w:val="18"/>
          <w:lang w:val="fr-CH"/>
        </w:rPr>
        <w:t>“Nous tenons à remercier le Secrétariat de l</w:t>
      </w:r>
      <w:r w:rsidR="000970A8">
        <w:rPr>
          <w:rFonts w:ascii="Arial" w:hAnsi="Arial" w:cs="Arial"/>
          <w:sz w:val="18"/>
          <w:szCs w:val="18"/>
          <w:lang w:val="fr-CH"/>
        </w:rPr>
        <w:t>’</w:t>
      </w:r>
      <w:r w:rsidRPr="005817BF">
        <w:rPr>
          <w:rFonts w:ascii="Arial" w:hAnsi="Arial" w:cs="Arial"/>
          <w:sz w:val="18"/>
          <w:szCs w:val="18"/>
          <w:lang w:val="fr-CH"/>
        </w:rPr>
        <w:t>UPOV pour l</w:t>
      </w:r>
      <w:r w:rsidR="000970A8">
        <w:rPr>
          <w:rFonts w:ascii="Arial" w:hAnsi="Arial" w:cs="Arial"/>
          <w:sz w:val="18"/>
          <w:szCs w:val="18"/>
          <w:lang w:val="fr-CH"/>
        </w:rPr>
        <w:t>’</w:t>
      </w:r>
      <w:r w:rsidRPr="005817BF">
        <w:rPr>
          <w:rFonts w:ascii="Arial" w:hAnsi="Arial" w:cs="Arial"/>
          <w:sz w:val="18"/>
          <w:szCs w:val="18"/>
          <w:lang w:val="fr-CH"/>
        </w:rPr>
        <w:t>enquête menée auprès des membres de l</w:t>
      </w:r>
      <w:r w:rsidR="000970A8">
        <w:rPr>
          <w:rFonts w:ascii="Arial" w:hAnsi="Arial" w:cs="Arial"/>
          <w:sz w:val="18"/>
          <w:szCs w:val="18"/>
          <w:lang w:val="fr-CH"/>
        </w:rPr>
        <w:t>’</w:t>
      </w:r>
      <w:r w:rsidRPr="005817BF">
        <w:rPr>
          <w:rFonts w:ascii="Arial" w:hAnsi="Arial" w:cs="Arial"/>
          <w:sz w:val="18"/>
          <w:szCs w:val="18"/>
          <w:lang w:val="fr-CH"/>
        </w:rPr>
        <w:t>UPOV et la synthèse des réponses reçues qui figure à l</w:t>
      </w:r>
      <w:r w:rsidR="000970A8">
        <w:rPr>
          <w:rFonts w:ascii="Arial" w:hAnsi="Arial" w:cs="Arial"/>
          <w:sz w:val="18"/>
          <w:szCs w:val="18"/>
          <w:lang w:val="fr-CH"/>
        </w:rPr>
        <w:t>’</w:t>
      </w:r>
      <w:r w:rsidRPr="005817BF">
        <w:rPr>
          <w:rFonts w:ascii="Arial" w:hAnsi="Arial" w:cs="Arial"/>
          <w:sz w:val="18"/>
          <w:szCs w:val="18"/>
          <w:lang w:val="fr-CH"/>
        </w:rPr>
        <w:t>annexe II du document [CAJ/77/6].  Les interprétations et les pratiques varient selon les membres de l</w:t>
      </w:r>
      <w:r w:rsidR="000970A8">
        <w:rPr>
          <w:rFonts w:ascii="Arial" w:hAnsi="Arial" w:cs="Arial"/>
          <w:sz w:val="18"/>
          <w:szCs w:val="18"/>
          <w:lang w:val="fr-CH"/>
        </w:rPr>
        <w:t>’</w:t>
      </w:r>
      <w:r w:rsidRPr="005817BF">
        <w:rPr>
          <w:rFonts w:ascii="Arial" w:hAnsi="Arial" w:cs="Arial"/>
          <w:sz w:val="18"/>
          <w:szCs w:val="18"/>
          <w:lang w:val="fr-CH"/>
        </w:rPr>
        <w:t>UPOV et nous prenons note des discussions qui ont eu lieu précédemment sur cette question au sein de l</w:t>
      </w:r>
      <w:r w:rsidR="000970A8">
        <w:rPr>
          <w:rFonts w:ascii="Arial" w:hAnsi="Arial" w:cs="Arial"/>
          <w:sz w:val="18"/>
          <w:szCs w:val="18"/>
          <w:lang w:val="fr-CH"/>
        </w:rPr>
        <w:t>’</w:t>
      </w:r>
      <w:r w:rsidRPr="005817BF">
        <w:rPr>
          <w:rFonts w:ascii="Arial" w:hAnsi="Arial" w:cs="Arial"/>
          <w:sz w:val="18"/>
          <w:szCs w:val="18"/>
          <w:lang w:val="fr-CH"/>
        </w:rPr>
        <w:t>U</w:t>
      </w:r>
      <w:r w:rsidR="00E402DE" w:rsidRPr="005817BF">
        <w:rPr>
          <w:rFonts w:ascii="Arial" w:hAnsi="Arial" w:cs="Arial"/>
          <w:sz w:val="18"/>
          <w:szCs w:val="18"/>
          <w:lang w:val="fr-CH"/>
        </w:rPr>
        <w:t>POV</w:t>
      </w:r>
      <w:r w:rsidR="00E402DE">
        <w:rPr>
          <w:rFonts w:ascii="Arial" w:hAnsi="Arial" w:cs="Arial"/>
          <w:sz w:val="18"/>
          <w:szCs w:val="18"/>
          <w:lang w:val="fr-CH"/>
        </w:rPr>
        <w:t xml:space="preserve">.  </w:t>
      </w:r>
      <w:r w:rsidR="00E402DE" w:rsidRPr="005817BF">
        <w:rPr>
          <w:rFonts w:ascii="Arial" w:hAnsi="Arial" w:cs="Arial"/>
          <w:sz w:val="18"/>
          <w:szCs w:val="18"/>
          <w:lang w:val="fr-CH"/>
        </w:rPr>
        <w:t>Né</w:t>
      </w:r>
      <w:r w:rsidRPr="005817BF">
        <w:rPr>
          <w:rFonts w:ascii="Arial" w:hAnsi="Arial" w:cs="Arial"/>
          <w:sz w:val="18"/>
          <w:szCs w:val="18"/>
          <w:lang w:val="fr-CH"/>
        </w:rPr>
        <w:t>anmoins, la proposition visée au paragraphe 12 du document [CAJ/77/6] n</w:t>
      </w:r>
      <w:r w:rsidR="000970A8">
        <w:rPr>
          <w:rFonts w:ascii="Arial" w:hAnsi="Arial" w:cs="Arial"/>
          <w:sz w:val="18"/>
          <w:szCs w:val="18"/>
          <w:lang w:val="fr-CH"/>
        </w:rPr>
        <w:t>’</w:t>
      </w:r>
      <w:r w:rsidRPr="005817BF">
        <w:rPr>
          <w:rFonts w:ascii="Arial" w:hAnsi="Arial" w:cs="Arial"/>
          <w:sz w:val="18"/>
          <w:szCs w:val="18"/>
          <w:lang w:val="fr-CH"/>
        </w:rPr>
        <w:t>est pas acceptable pour les membres d</w:t>
      </w:r>
      <w:r w:rsidR="000970A8">
        <w:rPr>
          <w:rFonts w:ascii="Arial" w:hAnsi="Arial" w:cs="Arial"/>
          <w:sz w:val="18"/>
          <w:szCs w:val="18"/>
          <w:lang w:val="fr-CH"/>
        </w:rPr>
        <w:t>’</w:t>
      </w:r>
      <w:proofErr w:type="spellStart"/>
      <w:r w:rsidRPr="00700B2A">
        <w:rPr>
          <w:rFonts w:ascii="Arial" w:hAnsi="Arial" w:cs="Arial"/>
          <w:i/>
          <w:sz w:val="18"/>
          <w:szCs w:val="18"/>
          <w:lang w:val="fr-CH"/>
        </w:rPr>
        <w:t>Eurosee</w:t>
      </w:r>
      <w:r w:rsidR="00E402DE" w:rsidRPr="00700B2A">
        <w:rPr>
          <w:rFonts w:ascii="Arial" w:hAnsi="Arial" w:cs="Arial"/>
          <w:i/>
          <w:sz w:val="18"/>
          <w:szCs w:val="18"/>
          <w:lang w:val="fr-CH"/>
        </w:rPr>
        <w:t>ds</w:t>
      </w:r>
      <w:proofErr w:type="spellEnd"/>
      <w:r w:rsidR="00E402DE">
        <w:rPr>
          <w:rFonts w:ascii="Arial" w:hAnsi="Arial" w:cs="Arial"/>
          <w:sz w:val="18"/>
          <w:szCs w:val="18"/>
          <w:lang w:val="fr-CH"/>
        </w:rPr>
        <w:t xml:space="preserve">.  </w:t>
      </w:r>
      <w:r w:rsidR="00E402DE" w:rsidRPr="005817BF">
        <w:rPr>
          <w:rFonts w:ascii="Arial" w:hAnsi="Arial" w:cs="Arial"/>
          <w:sz w:val="18"/>
          <w:szCs w:val="18"/>
          <w:lang w:val="fr-CH"/>
        </w:rPr>
        <w:t>Le</w:t>
      </w:r>
      <w:r w:rsidRPr="005817BF">
        <w:rPr>
          <w:rFonts w:ascii="Arial" w:hAnsi="Arial" w:cs="Arial"/>
          <w:sz w:val="18"/>
          <w:szCs w:val="18"/>
          <w:lang w:val="fr-CH"/>
        </w:rPr>
        <w:t>s divergences d</w:t>
      </w:r>
      <w:r w:rsidR="000970A8">
        <w:rPr>
          <w:rFonts w:ascii="Arial" w:hAnsi="Arial" w:cs="Arial"/>
          <w:sz w:val="18"/>
          <w:szCs w:val="18"/>
          <w:lang w:val="fr-CH"/>
        </w:rPr>
        <w:t>’</w:t>
      </w:r>
      <w:r w:rsidRPr="005817BF">
        <w:rPr>
          <w:rFonts w:ascii="Arial" w:hAnsi="Arial" w:cs="Arial"/>
          <w:sz w:val="18"/>
          <w:szCs w:val="18"/>
          <w:lang w:val="fr-CH"/>
        </w:rPr>
        <w:t>interprétation entre les pays membres de l</w:t>
      </w:r>
      <w:r w:rsidR="000970A8">
        <w:rPr>
          <w:rFonts w:ascii="Arial" w:hAnsi="Arial" w:cs="Arial"/>
          <w:sz w:val="18"/>
          <w:szCs w:val="18"/>
          <w:lang w:val="fr-CH"/>
        </w:rPr>
        <w:t>’</w:t>
      </w:r>
      <w:r w:rsidRPr="005817BF">
        <w:rPr>
          <w:rFonts w:ascii="Arial" w:hAnsi="Arial" w:cs="Arial"/>
          <w:sz w:val="18"/>
          <w:szCs w:val="18"/>
          <w:lang w:val="fr-CH"/>
        </w:rPr>
        <w:t>UPOV en ce qui concerne une notion telle que la nouveauté, qui est essentielle à l</w:t>
      </w:r>
      <w:r w:rsidR="000970A8">
        <w:rPr>
          <w:rFonts w:ascii="Arial" w:hAnsi="Arial" w:cs="Arial"/>
          <w:sz w:val="18"/>
          <w:szCs w:val="18"/>
          <w:lang w:val="fr-CH"/>
        </w:rPr>
        <w:t>’</w:t>
      </w:r>
      <w:r w:rsidRPr="005817BF">
        <w:rPr>
          <w:rFonts w:ascii="Arial" w:hAnsi="Arial" w:cs="Arial"/>
          <w:sz w:val="18"/>
          <w:szCs w:val="18"/>
          <w:lang w:val="fr-CH"/>
        </w:rPr>
        <w:t>obtention de la protection, pénalisent les obtenteurs.</w:t>
      </w:r>
    </w:p>
    <w:p w:rsidR="00F23F31" w:rsidRPr="005817BF" w:rsidRDefault="00F23F31" w:rsidP="00F23F31">
      <w:pPr>
        <w:pStyle w:val="Default"/>
        <w:ind w:left="567" w:right="567"/>
        <w:jc w:val="both"/>
        <w:rPr>
          <w:color w:val="auto"/>
          <w:sz w:val="18"/>
          <w:szCs w:val="18"/>
          <w:lang w:val="fr-CH"/>
        </w:rPr>
      </w:pPr>
    </w:p>
    <w:p w:rsidR="00F23F31" w:rsidRPr="005817BF" w:rsidRDefault="00F23F31" w:rsidP="00F23F31">
      <w:pPr>
        <w:pStyle w:val="Default"/>
        <w:ind w:left="567" w:right="567"/>
        <w:jc w:val="both"/>
        <w:rPr>
          <w:color w:val="auto"/>
          <w:sz w:val="18"/>
          <w:szCs w:val="18"/>
          <w:lang w:val="fr-CH"/>
        </w:rPr>
      </w:pPr>
      <w:r w:rsidRPr="005817BF">
        <w:rPr>
          <w:color w:val="auto"/>
          <w:sz w:val="18"/>
          <w:szCs w:val="18"/>
          <w:lang w:val="fr-CH"/>
        </w:rPr>
        <w:t>Nous sommes conscients du fait que, d</w:t>
      </w:r>
      <w:r w:rsidR="000970A8">
        <w:rPr>
          <w:color w:val="auto"/>
          <w:sz w:val="18"/>
          <w:szCs w:val="18"/>
          <w:lang w:val="fr-CH"/>
        </w:rPr>
        <w:t>’</w:t>
      </w:r>
      <w:r w:rsidRPr="005817BF">
        <w:rPr>
          <w:color w:val="auto"/>
          <w:sz w:val="18"/>
          <w:szCs w:val="18"/>
          <w:lang w:val="fr-CH"/>
        </w:rPr>
        <w:t>après certains offices chargés d</w:t>
      </w:r>
      <w:r w:rsidR="000970A8">
        <w:rPr>
          <w:color w:val="auto"/>
          <w:sz w:val="18"/>
          <w:szCs w:val="18"/>
          <w:lang w:val="fr-CH"/>
        </w:rPr>
        <w:t>’</w:t>
      </w:r>
      <w:r w:rsidRPr="005817BF">
        <w:rPr>
          <w:color w:val="auto"/>
          <w:sz w:val="18"/>
          <w:szCs w:val="18"/>
          <w:lang w:val="fr-CH"/>
        </w:rPr>
        <w:t>octroyer des droits d</w:t>
      </w:r>
      <w:r w:rsidR="000970A8">
        <w:rPr>
          <w:color w:val="auto"/>
          <w:sz w:val="18"/>
          <w:szCs w:val="18"/>
          <w:lang w:val="fr-CH"/>
        </w:rPr>
        <w:t>’</w:t>
      </w:r>
      <w:r w:rsidRPr="005817BF">
        <w:rPr>
          <w:color w:val="auto"/>
          <w:sz w:val="18"/>
          <w:szCs w:val="18"/>
          <w:lang w:val="fr-CH"/>
        </w:rPr>
        <w:t>obtenteur et certaines législations nationales, la nouveauté des lignées parentales se perd lorsque les hybrides, composés de ces lignées parentales, ont déjà été produits ou vendus ou remis à un tiers d</w:t>
      </w:r>
      <w:r w:rsidR="000970A8">
        <w:rPr>
          <w:color w:val="auto"/>
          <w:sz w:val="18"/>
          <w:szCs w:val="18"/>
          <w:lang w:val="fr-CH"/>
        </w:rPr>
        <w:t>’</w:t>
      </w:r>
      <w:r w:rsidRPr="005817BF">
        <w:rPr>
          <w:color w:val="auto"/>
          <w:sz w:val="18"/>
          <w:szCs w:val="18"/>
          <w:lang w:val="fr-CH"/>
        </w:rPr>
        <w:t>une autre maniè</w:t>
      </w:r>
      <w:r w:rsidR="00E402DE" w:rsidRPr="005817BF">
        <w:rPr>
          <w:color w:val="auto"/>
          <w:sz w:val="18"/>
          <w:szCs w:val="18"/>
          <w:lang w:val="fr-CH"/>
        </w:rPr>
        <w:t>re</w:t>
      </w:r>
      <w:r w:rsidR="00E402DE">
        <w:rPr>
          <w:color w:val="auto"/>
          <w:sz w:val="18"/>
          <w:szCs w:val="18"/>
          <w:lang w:val="fr-CH"/>
        </w:rPr>
        <w:t xml:space="preserve">.  </w:t>
      </w:r>
      <w:proofErr w:type="spellStart"/>
      <w:r w:rsidR="00E402DE" w:rsidRPr="00700B2A">
        <w:rPr>
          <w:i/>
          <w:color w:val="auto"/>
          <w:sz w:val="18"/>
          <w:szCs w:val="18"/>
          <w:lang w:val="fr-CH"/>
        </w:rPr>
        <w:t>Eu</w:t>
      </w:r>
      <w:r w:rsidRPr="00700B2A">
        <w:rPr>
          <w:i/>
          <w:color w:val="auto"/>
          <w:sz w:val="18"/>
          <w:szCs w:val="18"/>
          <w:lang w:val="fr-CH"/>
        </w:rPr>
        <w:t>roseeds</w:t>
      </w:r>
      <w:proofErr w:type="spellEnd"/>
      <w:r w:rsidRPr="005817BF">
        <w:rPr>
          <w:color w:val="auto"/>
          <w:sz w:val="18"/>
          <w:szCs w:val="18"/>
          <w:lang w:val="fr-CH"/>
        </w:rPr>
        <w:t xml:space="preserve"> est d</w:t>
      </w:r>
      <w:r w:rsidR="000970A8">
        <w:rPr>
          <w:color w:val="auto"/>
          <w:sz w:val="18"/>
          <w:szCs w:val="18"/>
          <w:lang w:val="fr-CH"/>
        </w:rPr>
        <w:t>’</w:t>
      </w:r>
      <w:r w:rsidRPr="005817BF">
        <w:rPr>
          <w:color w:val="auto"/>
          <w:sz w:val="18"/>
          <w:szCs w:val="18"/>
          <w:lang w:val="fr-CH"/>
        </w:rPr>
        <w:t>avis que le fait que l</w:t>
      </w:r>
      <w:r w:rsidR="000970A8">
        <w:rPr>
          <w:color w:val="auto"/>
          <w:sz w:val="18"/>
          <w:szCs w:val="18"/>
          <w:lang w:val="fr-CH"/>
        </w:rPr>
        <w:t>’</w:t>
      </w:r>
      <w:r w:rsidRPr="005817BF">
        <w:rPr>
          <w:color w:val="auto"/>
          <w:sz w:val="18"/>
          <w:szCs w:val="18"/>
          <w:lang w:val="fr-CH"/>
        </w:rPr>
        <w:t>hybride ait été remis après le délai de grâce ne devrait avoir aucune incidence sur la nouveauté de la lignée parentale, étant donné que le droit d</w:t>
      </w:r>
      <w:r w:rsidR="000970A8">
        <w:rPr>
          <w:color w:val="auto"/>
          <w:sz w:val="18"/>
          <w:szCs w:val="18"/>
          <w:lang w:val="fr-CH"/>
        </w:rPr>
        <w:t>’</w:t>
      </w:r>
      <w:r w:rsidRPr="005817BF">
        <w:rPr>
          <w:color w:val="auto"/>
          <w:sz w:val="18"/>
          <w:szCs w:val="18"/>
          <w:lang w:val="fr-CH"/>
        </w:rPr>
        <w:t>obtenteur est accordé pour une variété donnée, qui doit satisfaire au critère de nouveau</w:t>
      </w:r>
      <w:r w:rsidR="00E402DE" w:rsidRPr="005817BF">
        <w:rPr>
          <w:color w:val="auto"/>
          <w:sz w:val="18"/>
          <w:szCs w:val="18"/>
          <w:lang w:val="fr-CH"/>
        </w:rPr>
        <w:t>té</w:t>
      </w:r>
      <w:r w:rsidR="00E402DE">
        <w:rPr>
          <w:color w:val="auto"/>
          <w:sz w:val="18"/>
          <w:szCs w:val="18"/>
          <w:lang w:val="fr-CH"/>
        </w:rPr>
        <w:t xml:space="preserve">.  </w:t>
      </w:r>
      <w:r w:rsidR="00E402DE" w:rsidRPr="005817BF">
        <w:rPr>
          <w:color w:val="auto"/>
          <w:sz w:val="18"/>
          <w:szCs w:val="18"/>
          <w:lang w:val="fr-CH"/>
        </w:rPr>
        <w:t>L</w:t>
      </w:r>
      <w:r w:rsidR="00E402DE">
        <w:rPr>
          <w:color w:val="auto"/>
          <w:sz w:val="18"/>
          <w:szCs w:val="18"/>
          <w:lang w:val="fr-CH"/>
        </w:rPr>
        <w:t>’</w:t>
      </w:r>
      <w:r w:rsidR="00E402DE" w:rsidRPr="005817BF">
        <w:rPr>
          <w:color w:val="auto"/>
          <w:sz w:val="18"/>
          <w:szCs w:val="18"/>
          <w:lang w:val="fr-CH"/>
        </w:rPr>
        <w:t>h</w:t>
      </w:r>
      <w:r w:rsidRPr="005817BF">
        <w:rPr>
          <w:color w:val="auto"/>
          <w:sz w:val="18"/>
          <w:szCs w:val="18"/>
          <w:lang w:val="fr-CH"/>
        </w:rPr>
        <w:t xml:space="preserve">ybride est une variété différente de ses lignées parentales; </w:t>
      </w:r>
      <w:r w:rsidR="0033264D">
        <w:rPr>
          <w:color w:val="auto"/>
          <w:sz w:val="18"/>
          <w:szCs w:val="18"/>
          <w:lang w:val="fr-CH"/>
        </w:rPr>
        <w:t>1</w:t>
      </w:r>
      <w:r w:rsidRPr="005817BF">
        <w:rPr>
          <w:color w:val="auto"/>
          <w:sz w:val="18"/>
          <w:szCs w:val="18"/>
          <w:lang w:val="fr-CH"/>
        </w:rPr>
        <w:t xml:space="preserve"> ils peuvent tous deux être protégés séparément et, par conséquent, le défaut de nouveauté de l</w:t>
      </w:r>
      <w:r w:rsidR="000970A8">
        <w:rPr>
          <w:color w:val="auto"/>
          <w:sz w:val="18"/>
          <w:szCs w:val="18"/>
          <w:lang w:val="fr-CH"/>
        </w:rPr>
        <w:t>’</w:t>
      </w:r>
      <w:r w:rsidRPr="005817BF">
        <w:rPr>
          <w:color w:val="auto"/>
          <w:sz w:val="18"/>
          <w:szCs w:val="18"/>
          <w:lang w:val="fr-CH"/>
        </w:rPr>
        <w:t>un ne devrait pas avoir de conséquence sur la nouveauté de l</w:t>
      </w:r>
      <w:r w:rsidR="000970A8">
        <w:rPr>
          <w:color w:val="auto"/>
          <w:sz w:val="18"/>
          <w:szCs w:val="18"/>
          <w:lang w:val="fr-CH"/>
        </w:rPr>
        <w:t>’</w:t>
      </w:r>
      <w:r w:rsidRPr="005817BF">
        <w:rPr>
          <w:color w:val="auto"/>
          <w:sz w:val="18"/>
          <w:szCs w:val="18"/>
          <w:lang w:val="fr-CH"/>
        </w:rPr>
        <w:t>autre, en princi</w:t>
      </w:r>
      <w:r w:rsidR="00E402DE" w:rsidRPr="005817BF">
        <w:rPr>
          <w:color w:val="auto"/>
          <w:sz w:val="18"/>
          <w:szCs w:val="18"/>
          <w:lang w:val="fr-CH"/>
        </w:rPr>
        <w:t>pe</w:t>
      </w:r>
      <w:r w:rsidR="00E402DE">
        <w:rPr>
          <w:color w:val="auto"/>
          <w:sz w:val="18"/>
          <w:szCs w:val="18"/>
          <w:lang w:val="fr-CH"/>
        </w:rPr>
        <w:t xml:space="preserve">.  </w:t>
      </w:r>
      <w:r w:rsidR="00E402DE" w:rsidRPr="005817BF">
        <w:rPr>
          <w:color w:val="auto"/>
          <w:sz w:val="18"/>
          <w:szCs w:val="18"/>
          <w:lang w:val="fr-CH"/>
        </w:rPr>
        <w:t>De</w:t>
      </w:r>
      <w:r w:rsidRPr="005817BF">
        <w:rPr>
          <w:color w:val="auto"/>
          <w:sz w:val="18"/>
          <w:szCs w:val="18"/>
          <w:lang w:val="fr-CH"/>
        </w:rPr>
        <w:t xml:space="preserve"> plus, l</w:t>
      </w:r>
      <w:r w:rsidR="000970A8">
        <w:rPr>
          <w:color w:val="auto"/>
          <w:sz w:val="18"/>
          <w:szCs w:val="18"/>
          <w:lang w:val="fr-CH"/>
        </w:rPr>
        <w:t>’</w:t>
      </w:r>
      <w:r w:rsidRPr="005817BF">
        <w:rPr>
          <w:color w:val="auto"/>
          <w:sz w:val="18"/>
          <w:szCs w:val="18"/>
          <w:lang w:val="fr-CH"/>
        </w:rPr>
        <w:t xml:space="preserve">article 7 de la </w:t>
      </w:r>
      <w:r w:rsidR="000970A8">
        <w:rPr>
          <w:color w:val="auto"/>
          <w:sz w:val="18"/>
          <w:szCs w:val="18"/>
          <w:lang w:val="fr-CH"/>
        </w:rPr>
        <w:t>Convention UPOV</w:t>
      </w:r>
      <w:r w:rsidRPr="005817BF">
        <w:rPr>
          <w:color w:val="auto"/>
          <w:sz w:val="18"/>
          <w:szCs w:val="18"/>
          <w:lang w:val="fr-CH"/>
        </w:rPr>
        <w:t xml:space="preserve"> de 1991 dispose que </w:t>
      </w:r>
      <w:r w:rsidR="000970A8">
        <w:rPr>
          <w:color w:val="auto"/>
          <w:sz w:val="18"/>
          <w:szCs w:val="18"/>
          <w:lang w:val="fr-CH"/>
        </w:rPr>
        <w:t>‘</w:t>
      </w:r>
      <w:r w:rsidRPr="005817BF">
        <w:rPr>
          <w:color w:val="auto"/>
          <w:sz w:val="18"/>
          <w:szCs w:val="18"/>
          <w:lang w:val="fr-CH"/>
        </w:rPr>
        <w:t>[l]a variété est réputée nouvelle si, à la date de dépôt de la demande de droit d</w:t>
      </w:r>
      <w:r w:rsidR="000970A8">
        <w:rPr>
          <w:color w:val="auto"/>
          <w:sz w:val="18"/>
          <w:szCs w:val="18"/>
          <w:lang w:val="fr-CH"/>
        </w:rPr>
        <w:t>’</w:t>
      </w:r>
      <w:r w:rsidRPr="005817BF">
        <w:rPr>
          <w:color w:val="auto"/>
          <w:sz w:val="18"/>
          <w:szCs w:val="18"/>
          <w:lang w:val="fr-CH"/>
        </w:rPr>
        <w:t>obtenteur, du matériel de reproduction ou de multiplication végétative ou un produit de récolte de la variété n</w:t>
      </w:r>
      <w:r w:rsidR="000970A8">
        <w:rPr>
          <w:color w:val="auto"/>
          <w:sz w:val="18"/>
          <w:szCs w:val="18"/>
          <w:lang w:val="fr-CH"/>
        </w:rPr>
        <w:t>’</w:t>
      </w:r>
      <w:r w:rsidRPr="005817BF">
        <w:rPr>
          <w:color w:val="auto"/>
          <w:sz w:val="18"/>
          <w:szCs w:val="18"/>
          <w:lang w:val="fr-CH"/>
        </w:rPr>
        <w:t>a pas été vendu ou remis à des tiers d</w:t>
      </w:r>
      <w:r w:rsidR="000970A8">
        <w:rPr>
          <w:color w:val="auto"/>
          <w:sz w:val="18"/>
          <w:szCs w:val="18"/>
          <w:lang w:val="fr-CH"/>
        </w:rPr>
        <w:t>’</w:t>
      </w:r>
      <w:r w:rsidRPr="005817BF">
        <w:rPr>
          <w:color w:val="auto"/>
          <w:sz w:val="18"/>
          <w:szCs w:val="18"/>
          <w:lang w:val="fr-CH"/>
        </w:rPr>
        <w:t>une autre manière […]</w:t>
      </w:r>
      <w:r w:rsidR="000970A8">
        <w:rPr>
          <w:color w:val="auto"/>
          <w:sz w:val="18"/>
          <w:szCs w:val="18"/>
          <w:lang w:val="fr-CH"/>
        </w:rPr>
        <w:t>’</w:t>
      </w:r>
      <w:r w:rsidRPr="005817BF">
        <w:rPr>
          <w:color w:val="auto"/>
          <w:sz w:val="18"/>
          <w:szCs w:val="18"/>
          <w:lang w:val="fr-CH"/>
        </w:rPr>
        <w:t>.  Comme indiqué précédemment, l</w:t>
      </w:r>
      <w:r w:rsidR="000970A8">
        <w:rPr>
          <w:color w:val="auto"/>
          <w:sz w:val="18"/>
          <w:szCs w:val="18"/>
          <w:lang w:val="fr-CH"/>
        </w:rPr>
        <w:t>’</w:t>
      </w:r>
      <w:r w:rsidRPr="005817BF">
        <w:rPr>
          <w:color w:val="auto"/>
          <w:sz w:val="18"/>
          <w:szCs w:val="18"/>
          <w:lang w:val="fr-CH"/>
        </w:rPr>
        <w:t>hybride et les lignées parentales sont différents et, par conséquent, la remise de l</w:t>
      </w:r>
      <w:r w:rsidR="000970A8">
        <w:rPr>
          <w:color w:val="auto"/>
          <w:sz w:val="18"/>
          <w:szCs w:val="18"/>
          <w:lang w:val="fr-CH"/>
        </w:rPr>
        <w:t>’</w:t>
      </w:r>
      <w:r w:rsidRPr="005817BF">
        <w:rPr>
          <w:color w:val="auto"/>
          <w:sz w:val="18"/>
          <w:szCs w:val="18"/>
          <w:lang w:val="fr-CH"/>
        </w:rPr>
        <w:t>hybride ne remplirait pas les conditions énoncées à l</w:t>
      </w:r>
      <w:r w:rsidR="000970A8">
        <w:rPr>
          <w:color w:val="auto"/>
          <w:sz w:val="18"/>
          <w:szCs w:val="18"/>
          <w:lang w:val="fr-CH"/>
        </w:rPr>
        <w:t>’</w:t>
      </w:r>
      <w:r w:rsidRPr="005817BF">
        <w:rPr>
          <w:color w:val="auto"/>
          <w:sz w:val="18"/>
          <w:szCs w:val="18"/>
          <w:lang w:val="fr-CH"/>
        </w:rPr>
        <w:t>article 7 selon lesquelles le matériel de reproduction ou de multiplication végétative ou un produit de récolte de la variété proprement dite doit être remis pour détruire la nouveauté.</w:t>
      </w:r>
    </w:p>
    <w:p w:rsidR="00F23F31" w:rsidRPr="005817BF" w:rsidRDefault="00F23F31" w:rsidP="00F23F31">
      <w:pPr>
        <w:pStyle w:val="TableParagraph"/>
        <w:spacing w:before="120"/>
        <w:ind w:left="567" w:right="567"/>
        <w:jc w:val="both"/>
        <w:rPr>
          <w:rFonts w:ascii="Arial" w:hAnsi="Arial" w:cs="Arial"/>
          <w:sz w:val="18"/>
          <w:szCs w:val="18"/>
          <w:lang w:val="fr-CH"/>
        </w:rPr>
      </w:pPr>
      <w:r w:rsidRPr="005817BF">
        <w:rPr>
          <w:rFonts w:ascii="Arial" w:hAnsi="Arial" w:cs="Arial"/>
          <w:sz w:val="18"/>
          <w:szCs w:val="18"/>
          <w:lang w:val="fr-CH"/>
        </w:rPr>
        <w:t>Une interprétation harmonisée est nécessaire entre les membres de l</w:t>
      </w:r>
      <w:r w:rsidR="000970A8">
        <w:rPr>
          <w:rFonts w:ascii="Arial" w:hAnsi="Arial" w:cs="Arial"/>
          <w:sz w:val="18"/>
          <w:szCs w:val="18"/>
          <w:lang w:val="fr-CH"/>
        </w:rPr>
        <w:t>’</w:t>
      </w:r>
      <w:r w:rsidRPr="005817BF">
        <w:rPr>
          <w:rFonts w:ascii="Arial" w:hAnsi="Arial" w:cs="Arial"/>
          <w:sz w:val="18"/>
          <w:szCs w:val="18"/>
          <w:lang w:val="fr-CH"/>
        </w:rPr>
        <w:t>UPOV sur une notion aussi importante, essentielle à l</w:t>
      </w:r>
      <w:r w:rsidR="000970A8">
        <w:rPr>
          <w:rFonts w:ascii="Arial" w:hAnsi="Arial" w:cs="Arial"/>
          <w:sz w:val="18"/>
          <w:szCs w:val="18"/>
          <w:lang w:val="fr-CH"/>
        </w:rPr>
        <w:t>’</w:t>
      </w:r>
      <w:r w:rsidRPr="005817BF">
        <w:rPr>
          <w:rFonts w:ascii="Arial" w:hAnsi="Arial" w:cs="Arial"/>
          <w:sz w:val="18"/>
          <w:szCs w:val="18"/>
          <w:lang w:val="fr-CH"/>
        </w:rPr>
        <w:t>obtention de la protection, afin de garantir une sécurité juridique et de permettre aux obtenteurs de mener leurs activités à l</w:t>
      </w:r>
      <w:r w:rsidR="000970A8">
        <w:rPr>
          <w:rFonts w:ascii="Arial" w:hAnsi="Arial" w:cs="Arial"/>
          <w:sz w:val="18"/>
          <w:szCs w:val="18"/>
          <w:lang w:val="fr-CH"/>
        </w:rPr>
        <w:t>’</w:t>
      </w:r>
      <w:r w:rsidRPr="005817BF">
        <w:rPr>
          <w:rFonts w:ascii="Arial" w:hAnsi="Arial" w:cs="Arial"/>
          <w:sz w:val="18"/>
          <w:szCs w:val="18"/>
          <w:lang w:val="fr-CH"/>
        </w:rPr>
        <w:t>échelle mondia</w:t>
      </w:r>
      <w:r w:rsidR="00E402DE" w:rsidRPr="005817BF">
        <w:rPr>
          <w:rFonts w:ascii="Arial" w:hAnsi="Arial" w:cs="Arial"/>
          <w:sz w:val="18"/>
          <w:szCs w:val="18"/>
          <w:lang w:val="fr-CH"/>
        </w:rPr>
        <w:t>le</w:t>
      </w:r>
      <w:r w:rsidR="00E402DE">
        <w:rPr>
          <w:rFonts w:ascii="Arial" w:hAnsi="Arial" w:cs="Arial"/>
          <w:sz w:val="18"/>
          <w:szCs w:val="18"/>
          <w:lang w:val="fr-CH"/>
        </w:rPr>
        <w:t xml:space="preserve">.  </w:t>
      </w:r>
      <w:r w:rsidR="00E402DE" w:rsidRPr="005817BF">
        <w:rPr>
          <w:rFonts w:ascii="Arial" w:hAnsi="Arial" w:cs="Arial"/>
          <w:sz w:val="18"/>
          <w:szCs w:val="18"/>
          <w:lang w:val="fr-CH"/>
        </w:rPr>
        <w:t>No</w:t>
      </w:r>
      <w:r w:rsidRPr="005817BF">
        <w:rPr>
          <w:rFonts w:ascii="Arial" w:hAnsi="Arial" w:cs="Arial"/>
          <w:sz w:val="18"/>
          <w:szCs w:val="18"/>
          <w:lang w:val="fr-CH"/>
        </w:rPr>
        <w:t>us invitons donc les membres de l</w:t>
      </w:r>
      <w:r w:rsidR="000970A8">
        <w:rPr>
          <w:rFonts w:ascii="Arial" w:hAnsi="Arial" w:cs="Arial"/>
          <w:sz w:val="18"/>
          <w:szCs w:val="18"/>
          <w:lang w:val="fr-CH"/>
        </w:rPr>
        <w:t>’</w:t>
      </w:r>
      <w:r w:rsidRPr="005817BF">
        <w:rPr>
          <w:rFonts w:ascii="Arial" w:hAnsi="Arial" w:cs="Arial"/>
          <w:sz w:val="18"/>
          <w:szCs w:val="18"/>
          <w:lang w:val="fr-CH"/>
        </w:rPr>
        <w:t>UPOV à poursuivre l</w:t>
      </w:r>
      <w:r w:rsidR="000970A8">
        <w:rPr>
          <w:rFonts w:ascii="Arial" w:hAnsi="Arial" w:cs="Arial"/>
          <w:sz w:val="18"/>
          <w:szCs w:val="18"/>
          <w:lang w:val="fr-CH"/>
        </w:rPr>
        <w:t>’</w:t>
      </w:r>
      <w:r w:rsidRPr="005817BF">
        <w:rPr>
          <w:rFonts w:ascii="Arial" w:hAnsi="Arial" w:cs="Arial"/>
          <w:sz w:val="18"/>
          <w:szCs w:val="18"/>
          <w:lang w:val="fr-CH"/>
        </w:rPr>
        <w:t>examen de cette question à la prochaine session du CAJ.”</w:t>
      </w:r>
    </w:p>
    <w:p w:rsidR="00F23F31" w:rsidRPr="005817BF" w:rsidRDefault="00F23F31" w:rsidP="00F23F31">
      <w:pPr>
        <w:rPr>
          <w:lang w:val="fr-CH"/>
        </w:rPr>
      </w:pPr>
    </w:p>
    <w:p w:rsidR="00F23F31" w:rsidRPr="005817BF" w:rsidRDefault="00F23F31" w:rsidP="00F23F31">
      <w:pPr>
        <w:rPr>
          <w:lang w:val="fr-CH"/>
        </w:rPr>
      </w:pPr>
    </w:p>
    <w:p w:rsidR="00F23F31" w:rsidRPr="005817BF" w:rsidRDefault="00F23F31" w:rsidP="00F23F31">
      <w:pPr>
        <w:jc w:val="right"/>
        <w:rPr>
          <w:lang w:val="en-US"/>
        </w:rPr>
      </w:pPr>
      <w:r w:rsidRPr="005817BF">
        <w:rPr>
          <w:lang w:val="en-US"/>
        </w:rPr>
        <w:t>[L</w:t>
      </w:r>
      <w:r w:rsidR="000970A8">
        <w:rPr>
          <w:lang w:val="en-US"/>
        </w:rPr>
        <w:t>’</w:t>
      </w:r>
      <w:r w:rsidRPr="005817BF">
        <w:rPr>
          <w:lang w:val="en-US"/>
        </w:rPr>
        <w:t>appendice</w:t>
      </w:r>
      <w:r w:rsidR="003D0584">
        <w:rPr>
          <w:lang w:val="en-US"/>
        </w:rPr>
        <w:t> </w:t>
      </w:r>
      <w:r w:rsidRPr="005817BF">
        <w:rPr>
          <w:lang w:val="en-US"/>
        </w:rPr>
        <w:t>III suit]</w:t>
      </w:r>
    </w:p>
    <w:p w:rsidR="00F23F31" w:rsidRPr="005817BF" w:rsidRDefault="00F23F31" w:rsidP="00F23F31">
      <w:pPr>
        <w:rPr>
          <w:rFonts w:cs="Arial"/>
          <w:lang w:val="en-US"/>
        </w:rPr>
      </w:pPr>
    </w:p>
    <w:p w:rsidR="00F23F31" w:rsidRPr="005817BF" w:rsidRDefault="00F23F31" w:rsidP="00F23F31">
      <w:pPr>
        <w:rPr>
          <w:lang w:val="en-US"/>
        </w:rPr>
      </w:pPr>
    </w:p>
    <w:p w:rsidR="00F23F31" w:rsidRPr="005817BF" w:rsidRDefault="00F23F31" w:rsidP="00F23F31">
      <w:pPr>
        <w:jc w:val="left"/>
        <w:rPr>
          <w:lang w:val="en-US"/>
        </w:rPr>
      </w:pPr>
      <w:r w:rsidRPr="005817BF">
        <w:rPr>
          <w:lang w:val="en-US"/>
        </w:rPr>
        <w:br w:type="page"/>
      </w:r>
    </w:p>
    <w:p w:rsidR="00F23F31" w:rsidRPr="005817BF" w:rsidRDefault="00F23F31" w:rsidP="00F23F31">
      <w:pPr>
        <w:jc w:val="center"/>
        <w:rPr>
          <w:lang w:val="en-US"/>
        </w:rPr>
      </w:pPr>
    </w:p>
    <w:p w:rsidR="00F23F31" w:rsidRPr="005817BF" w:rsidRDefault="00F23F31" w:rsidP="00F23F31">
      <w:pPr>
        <w:jc w:val="center"/>
        <w:rPr>
          <w:lang w:val="en-US"/>
        </w:rPr>
      </w:pPr>
      <w:r w:rsidRPr="00AD17A6">
        <w:rPr>
          <w:i/>
          <w:lang w:val="en-US"/>
        </w:rPr>
        <w:t>INTERNATIONAL SEED FEDERATION</w:t>
      </w:r>
      <w:r w:rsidRPr="005817BF">
        <w:rPr>
          <w:lang w:val="en-US"/>
        </w:rPr>
        <w:t xml:space="preserve"> (ISF),</w:t>
      </w:r>
    </w:p>
    <w:p w:rsidR="00F23F31" w:rsidRPr="005817BF" w:rsidRDefault="00F23F31" w:rsidP="00F23F31">
      <w:pPr>
        <w:jc w:val="center"/>
        <w:rPr>
          <w:lang w:val="fr-CH"/>
        </w:rPr>
      </w:pPr>
      <w:r w:rsidRPr="005817BF">
        <w:rPr>
          <w:lang w:val="fr-CH"/>
        </w:rPr>
        <w:t>ASSOCIATION AFRICAINE DU COMMERCE DES SEMENCES (AFSTA),</w:t>
      </w:r>
    </w:p>
    <w:p w:rsidR="00F23F31" w:rsidRPr="005817BF" w:rsidRDefault="00F23F31" w:rsidP="00F23F31">
      <w:pPr>
        <w:jc w:val="center"/>
        <w:rPr>
          <w:lang w:val="fr-CH"/>
        </w:rPr>
      </w:pPr>
      <w:r w:rsidRPr="005817BF">
        <w:rPr>
          <w:lang w:val="fr-CH"/>
        </w:rPr>
        <w:t>ASSOCIATION ASIE</w:t>
      </w:r>
      <w:r w:rsidR="00945DBD">
        <w:rPr>
          <w:lang w:val="fr-CH"/>
        </w:rPr>
        <w:noBreakHyphen/>
      </w:r>
      <w:r w:rsidRPr="005817BF">
        <w:rPr>
          <w:lang w:val="fr-CH"/>
        </w:rPr>
        <w:t>PACIFIQUE POUR LES SEMENCES (APSA) ET</w:t>
      </w:r>
    </w:p>
    <w:p w:rsidR="00F23F31" w:rsidRPr="005817BF" w:rsidRDefault="00F23F31" w:rsidP="00F23F31">
      <w:pPr>
        <w:jc w:val="center"/>
        <w:rPr>
          <w:lang w:val="en-US"/>
        </w:rPr>
      </w:pPr>
      <w:r w:rsidRPr="00AD17A6">
        <w:rPr>
          <w:i/>
          <w:lang w:val="en-US"/>
        </w:rPr>
        <w:t>SEED ASSOCIATION OF THE AMERICAS</w:t>
      </w:r>
      <w:r w:rsidRPr="005817BF">
        <w:rPr>
          <w:lang w:val="en-US"/>
        </w:rPr>
        <w:t xml:space="preserve"> (SAA)</w:t>
      </w:r>
    </w:p>
    <w:p w:rsidR="00F23F31" w:rsidRPr="005817BF" w:rsidRDefault="00F23F31" w:rsidP="00F23F31">
      <w:pPr>
        <w:jc w:val="center"/>
        <w:rPr>
          <w:lang w:val="fr-CH"/>
        </w:rPr>
      </w:pPr>
      <w:r w:rsidRPr="005817BF">
        <w:rPr>
          <w:lang w:val="fr-CH"/>
        </w:rPr>
        <w:t>(OBSERVATIONS COMMUNES)</w:t>
      </w:r>
    </w:p>
    <w:p w:rsidR="00F23F31" w:rsidRPr="005817BF" w:rsidRDefault="00F23F31" w:rsidP="00F23F31">
      <w:pPr>
        <w:rPr>
          <w:lang w:val="fr-CH"/>
        </w:rPr>
      </w:pPr>
    </w:p>
    <w:p w:rsidR="00F23F31" w:rsidRPr="005817BF" w:rsidRDefault="00F23F31" w:rsidP="00F23F31">
      <w:pPr>
        <w:rPr>
          <w:lang w:val="fr-CH"/>
        </w:rPr>
      </w:pPr>
    </w:p>
    <w:p w:rsidR="00F23F31" w:rsidRPr="005817BF" w:rsidRDefault="00F23F31" w:rsidP="00F23F31">
      <w:pPr>
        <w:shd w:val="clear" w:color="auto" w:fill="FFFFFF" w:themeFill="background1"/>
        <w:rPr>
          <w:snapToGrid w:val="0"/>
          <w:spacing w:val="-4"/>
          <w:lang w:val="fr-CH"/>
        </w:rPr>
      </w:pPr>
      <w:r w:rsidRPr="005817BF">
        <w:rPr>
          <w:snapToGrid w:val="0"/>
          <w:spacing w:val="-4"/>
          <w:lang w:val="fr-CH"/>
        </w:rPr>
        <w:t>L</w:t>
      </w:r>
      <w:r w:rsidR="000970A8">
        <w:rPr>
          <w:snapToGrid w:val="0"/>
          <w:spacing w:val="-4"/>
          <w:lang w:val="fr-CH"/>
        </w:rPr>
        <w:t>’</w:t>
      </w:r>
      <w:r w:rsidRPr="005817BF">
        <w:rPr>
          <w:snapToGrid w:val="0"/>
          <w:spacing w:val="-4"/>
          <w:lang w:val="fr-CH"/>
        </w:rPr>
        <w:t>ISF, l</w:t>
      </w:r>
      <w:r w:rsidR="000970A8">
        <w:rPr>
          <w:snapToGrid w:val="0"/>
          <w:spacing w:val="-4"/>
          <w:lang w:val="fr-CH"/>
        </w:rPr>
        <w:t>’</w:t>
      </w:r>
      <w:r w:rsidRPr="005817BF">
        <w:rPr>
          <w:snapToGrid w:val="0"/>
          <w:spacing w:val="-4"/>
          <w:lang w:val="fr-CH"/>
        </w:rPr>
        <w:t>AFSTA, l</w:t>
      </w:r>
      <w:r w:rsidR="000970A8">
        <w:rPr>
          <w:snapToGrid w:val="0"/>
          <w:spacing w:val="-4"/>
          <w:lang w:val="fr-CH"/>
        </w:rPr>
        <w:t>’</w:t>
      </w:r>
      <w:r w:rsidRPr="005817BF">
        <w:rPr>
          <w:snapToGrid w:val="0"/>
          <w:spacing w:val="-4"/>
          <w:lang w:val="fr-CH"/>
        </w:rPr>
        <w:t>APSA et la SAA ont formulé les observations communes ci</w:t>
      </w:r>
      <w:r w:rsidR="00945DBD">
        <w:rPr>
          <w:snapToGrid w:val="0"/>
          <w:spacing w:val="-4"/>
          <w:lang w:val="fr-CH"/>
        </w:rPr>
        <w:noBreakHyphen/>
      </w:r>
      <w:r w:rsidRPr="005817BF">
        <w:rPr>
          <w:snapToGrid w:val="0"/>
          <w:spacing w:val="-4"/>
          <w:lang w:val="fr-CH"/>
        </w:rPr>
        <w:t>après concernant le document CAJ/77/6 “Nouveauté des lignées parentales en rapport avec l</w:t>
      </w:r>
      <w:r w:rsidR="000970A8">
        <w:rPr>
          <w:snapToGrid w:val="0"/>
          <w:spacing w:val="-4"/>
          <w:lang w:val="fr-CH"/>
        </w:rPr>
        <w:t>’</w:t>
      </w:r>
      <w:r w:rsidRPr="005817BF">
        <w:rPr>
          <w:snapToGrid w:val="0"/>
          <w:spacing w:val="-4"/>
          <w:lang w:val="fr-CH"/>
        </w:rPr>
        <w:t>exploitation de la variété hybride”</w:t>
      </w:r>
      <w:r w:rsidR="000970A8">
        <w:rPr>
          <w:snapToGrid w:val="0"/>
          <w:spacing w:val="-4"/>
          <w:lang w:val="fr-CH"/>
        </w:rPr>
        <w:t> :</w:t>
      </w:r>
    </w:p>
    <w:p w:rsidR="00F23F31" w:rsidRPr="005817BF" w:rsidRDefault="00F23F31" w:rsidP="00F23F31">
      <w:pPr>
        <w:rPr>
          <w:lang w:val="fr-CH"/>
        </w:rPr>
      </w:pPr>
    </w:p>
    <w:p w:rsidR="00F23F31" w:rsidRPr="005817BF" w:rsidRDefault="00F23F31" w:rsidP="00F23F31">
      <w:pPr>
        <w:pStyle w:val="Default"/>
        <w:ind w:left="567" w:right="567"/>
        <w:jc w:val="both"/>
        <w:rPr>
          <w:color w:val="auto"/>
          <w:spacing w:val="-4"/>
          <w:sz w:val="18"/>
          <w:szCs w:val="18"/>
          <w:lang w:val="fr-CH"/>
        </w:rPr>
      </w:pPr>
      <w:r w:rsidRPr="005817BF">
        <w:rPr>
          <w:color w:val="auto"/>
          <w:spacing w:val="-4"/>
          <w:sz w:val="18"/>
          <w:szCs w:val="18"/>
          <w:lang w:val="fr-CH"/>
        </w:rPr>
        <w:t>“Comme indiqué dans le document, l</w:t>
      </w:r>
      <w:r w:rsidR="000970A8">
        <w:rPr>
          <w:color w:val="auto"/>
          <w:spacing w:val="-4"/>
          <w:sz w:val="18"/>
          <w:szCs w:val="18"/>
          <w:lang w:val="fr-CH"/>
        </w:rPr>
        <w:t>’</w:t>
      </w:r>
      <w:r w:rsidRPr="005817BF">
        <w:rPr>
          <w:color w:val="auto"/>
          <w:spacing w:val="-4"/>
          <w:sz w:val="18"/>
          <w:szCs w:val="18"/>
          <w:lang w:val="fr-CH"/>
        </w:rPr>
        <w:t>ASSINSEL a communiqué sa position en mars 2000 à la quarante</w:t>
      </w:r>
      <w:r w:rsidR="000970A8">
        <w:rPr>
          <w:color w:val="auto"/>
          <w:spacing w:val="-4"/>
          <w:sz w:val="18"/>
          <w:szCs w:val="18"/>
          <w:lang w:val="fr-CH"/>
        </w:rPr>
        <w:t> et unième session</w:t>
      </w:r>
      <w:r w:rsidRPr="005817BF">
        <w:rPr>
          <w:color w:val="auto"/>
          <w:spacing w:val="-4"/>
          <w:sz w:val="18"/>
          <w:szCs w:val="18"/>
          <w:lang w:val="fr-CH"/>
        </w:rPr>
        <w:t xml:space="preserve"> du CAJ.</w:t>
      </w:r>
    </w:p>
    <w:p w:rsidR="00F23F31" w:rsidRPr="005817BF" w:rsidRDefault="00F23F31" w:rsidP="00F23F31">
      <w:pPr>
        <w:pStyle w:val="Default"/>
        <w:ind w:left="567" w:right="567"/>
        <w:jc w:val="both"/>
        <w:rPr>
          <w:color w:val="auto"/>
          <w:sz w:val="18"/>
          <w:szCs w:val="18"/>
          <w:lang w:val="fr-CH"/>
        </w:rPr>
      </w:pPr>
    </w:p>
    <w:p w:rsidR="00F23F31" w:rsidRPr="005817BF" w:rsidRDefault="00F23F31" w:rsidP="00F23F31">
      <w:pPr>
        <w:pStyle w:val="Default"/>
        <w:ind w:left="567" w:right="567"/>
        <w:jc w:val="both"/>
        <w:rPr>
          <w:color w:val="auto"/>
          <w:sz w:val="18"/>
          <w:szCs w:val="18"/>
          <w:lang w:val="fr-CH"/>
        </w:rPr>
      </w:pPr>
      <w:r w:rsidRPr="005817BF">
        <w:rPr>
          <w:color w:val="auto"/>
          <w:sz w:val="18"/>
          <w:szCs w:val="18"/>
          <w:lang w:val="fr-CH"/>
        </w:rPr>
        <w:t>À la suite de la dissolution de l</w:t>
      </w:r>
      <w:r w:rsidR="000970A8">
        <w:rPr>
          <w:color w:val="auto"/>
          <w:sz w:val="18"/>
          <w:szCs w:val="18"/>
          <w:lang w:val="fr-CH"/>
        </w:rPr>
        <w:t>’</w:t>
      </w:r>
      <w:r w:rsidRPr="005817BF">
        <w:rPr>
          <w:color w:val="auto"/>
          <w:sz w:val="18"/>
          <w:szCs w:val="18"/>
          <w:lang w:val="fr-CH"/>
        </w:rPr>
        <w:t>ASSINSEL, j</w:t>
      </w:r>
      <w:r w:rsidR="000970A8">
        <w:rPr>
          <w:color w:val="auto"/>
          <w:sz w:val="18"/>
          <w:szCs w:val="18"/>
          <w:lang w:val="fr-CH"/>
        </w:rPr>
        <w:t>’</w:t>
      </w:r>
      <w:r w:rsidRPr="005817BF">
        <w:rPr>
          <w:color w:val="auto"/>
          <w:sz w:val="18"/>
          <w:szCs w:val="18"/>
          <w:lang w:val="fr-CH"/>
        </w:rPr>
        <w:t>aimerais partager avec vous la position de l</w:t>
      </w:r>
      <w:r w:rsidR="000970A8">
        <w:rPr>
          <w:color w:val="auto"/>
          <w:sz w:val="18"/>
          <w:szCs w:val="18"/>
          <w:lang w:val="fr-CH"/>
        </w:rPr>
        <w:t>’</w:t>
      </w:r>
      <w:r w:rsidRPr="00B45655">
        <w:rPr>
          <w:i/>
          <w:color w:val="auto"/>
          <w:sz w:val="18"/>
          <w:szCs w:val="18"/>
          <w:lang w:val="fr-CH"/>
        </w:rPr>
        <w:t>International</w:t>
      </w:r>
      <w:r w:rsidRPr="005817BF">
        <w:rPr>
          <w:color w:val="auto"/>
          <w:sz w:val="18"/>
          <w:szCs w:val="18"/>
          <w:lang w:val="fr-CH"/>
        </w:rPr>
        <w:t xml:space="preserve"> </w:t>
      </w:r>
      <w:proofErr w:type="spellStart"/>
      <w:r w:rsidRPr="00B45655">
        <w:rPr>
          <w:i/>
          <w:color w:val="auto"/>
          <w:sz w:val="18"/>
          <w:szCs w:val="18"/>
          <w:lang w:val="fr-CH"/>
        </w:rPr>
        <w:t>Seed</w:t>
      </w:r>
      <w:proofErr w:type="spellEnd"/>
      <w:r w:rsidRPr="005817BF">
        <w:rPr>
          <w:color w:val="auto"/>
          <w:sz w:val="18"/>
          <w:szCs w:val="18"/>
          <w:lang w:val="fr-CH"/>
        </w:rPr>
        <w:t xml:space="preserve"> </w:t>
      </w:r>
      <w:proofErr w:type="spellStart"/>
      <w:r w:rsidRPr="00B45655">
        <w:rPr>
          <w:i/>
          <w:color w:val="auto"/>
          <w:sz w:val="18"/>
          <w:szCs w:val="18"/>
          <w:lang w:val="fr-CH"/>
        </w:rPr>
        <w:t>Federation</w:t>
      </w:r>
      <w:proofErr w:type="spellEnd"/>
      <w:r w:rsidRPr="005817BF">
        <w:rPr>
          <w:color w:val="auto"/>
          <w:sz w:val="18"/>
          <w:szCs w:val="18"/>
          <w:lang w:val="fr-CH"/>
        </w:rPr>
        <w:t xml:space="preserve"> sur la question de la nouveauté.</w:t>
      </w:r>
    </w:p>
    <w:p w:rsidR="00F23F31" w:rsidRPr="005817BF" w:rsidRDefault="00F23F31" w:rsidP="00F23F31">
      <w:pPr>
        <w:pStyle w:val="Default"/>
        <w:ind w:left="567" w:right="567"/>
        <w:jc w:val="both"/>
        <w:rPr>
          <w:color w:val="auto"/>
          <w:sz w:val="18"/>
          <w:szCs w:val="18"/>
          <w:lang w:val="fr-CH"/>
        </w:rPr>
      </w:pPr>
    </w:p>
    <w:p w:rsidR="00F23F31" w:rsidRPr="005817BF" w:rsidRDefault="000970A8" w:rsidP="00F23F31">
      <w:pPr>
        <w:pStyle w:val="Default"/>
        <w:ind w:left="1134" w:right="1134"/>
        <w:jc w:val="both"/>
        <w:rPr>
          <w:color w:val="auto"/>
          <w:spacing w:val="-2"/>
          <w:sz w:val="16"/>
          <w:szCs w:val="18"/>
          <w:lang w:val="fr-CH"/>
        </w:rPr>
      </w:pPr>
      <w:r>
        <w:rPr>
          <w:color w:val="auto"/>
          <w:spacing w:val="-2"/>
          <w:sz w:val="16"/>
          <w:szCs w:val="18"/>
          <w:lang w:val="fr-CH"/>
        </w:rPr>
        <w:t>‘</w:t>
      </w:r>
      <w:r w:rsidR="00F23F31" w:rsidRPr="005817BF">
        <w:rPr>
          <w:color w:val="auto"/>
          <w:spacing w:val="-2"/>
          <w:sz w:val="16"/>
          <w:szCs w:val="18"/>
          <w:lang w:val="fr-CH"/>
        </w:rPr>
        <w:t>Conformément à l</w:t>
      </w:r>
      <w:r>
        <w:rPr>
          <w:color w:val="auto"/>
          <w:spacing w:val="-2"/>
          <w:sz w:val="16"/>
          <w:szCs w:val="18"/>
          <w:lang w:val="fr-CH"/>
        </w:rPr>
        <w:t>’</w:t>
      </w:r>
      <w:r w:rsidR="00F23F31" w:rsidRPr="005817BF">
        <w:rPr>
          <w:color w:val="auto"/>
          <w:spacing w:val="-2"/>
          <w:sz w:val="16"/>
          <w:szCs w:val="18"/>
          <w:lang w:val="fr-CH"/>
        </w:rPr>
        <w:t>article 6 de l</w:t>
      </w:r>
      <w:r>
        <w:rPr>
          <w:color w:val="auto"/>
          <w:spacing w:val="-2"/>
          <w:sz w:val="16"/>
          <w:szCs w:val="18"/>
          <w:lang w:val="fr-CH"/>
        </w:rPr>
        <w:t>’</w:t>
      </w:r>
      <w:r w:rsidR="00F23F31" w:rsidRPr="005817BF">
        <w:rPr>
          <w:color w:val="auto"/>
          <w:spacing w:val="-2"/>
          <w:sz w:val="16"/>
          <w:szCs w:val="18"/>
          <w:lang w:val="fr-CH"/>
        </w:rPr>
        <w:t xml:space="preserve">Acte de 1991 de la </w:t>
      </w:r>
      <w:r>
        <w:rPr>
          <w:color w:val="auto"/>
          <w:spacing w:val="-2"/>
          <w:sz w:val="16"/>
          <w:szCs w:val="18"/>
          <w:lang w:val="fr-CH"/>
        </w:rPr>
        <w:t>Convention UPOV</w:t>
      </w:r>
      <w:r w:rsidR="00F23F31" w:rsidRPr="005817BF">
        <w:rPr>
          <w:color w:val="auto"/>
          <w:spacing w:val="-2"/>
          <w:sz w:val="16"/>
          <w:szCs w:val="18"/>
          <w:lang w:val="fr-CH"/>
        </w:rPr>
        <w:t>, une variété végétale est réputée nouvelle si, à la date de dépôt de la demande de droit d</w:t>
      </w:r>
      <w:r>
        <w:rPr>
          <w:color w:val="auto"/>
          <w:spacing w:val="-2"/>
          <w:sz w:val="16"/>
          <w:szCs w:val="18"/>
          <w:lang w:val="fr-CH"/>
        </w:rPr>
        <w:t>’</w:t>
      </w:r>
      <w:r w:rsidR="00F23F31" w:rsidRPr="005817BF">
        <w:rPr>
          <w:color w:val="auto"/>
          <w:spacing w:val="-2"/>
          <w:sz w:val="16"/>
          <w:szCs w:val="18"/>
          <w:lang w:val="fr-CH"/>
        </w:rPr>
        <w:t>obtenteur, du matériel de reproduction ou de multiplication végétative ou un produit de récolte de cette variété n</w:t>
      </w:r>
      <w:r>
        <w:rPr>
          <w:color w:val="auto"/>
          <w:spacing w:val="-2"/>
          <w:sz w:val="16"/>
          <w:szCs w:val="18"/>
          <w:lang w:val="fr-CH"/>
        </w:rPr>
        <w:t>’</w:t>
      </w:r>
      <w:r w:rsidR="00F23F31" w:rsidRPr="005817BF">
        <w:rPr>
          <w:color w:val="auto"/>
          <w:spacing w:val="-2"/>
          <w:sz w:val="16"/>
          <w:szCs w:val="18"/>
          <w:lang w:val="fr-CH"/>
        </w:rPr>
        <w:t>a pas été vendu ou remis à des tiers d</w:t>
      </w:r>
      <w:r>
        <w:rPr>
          <w:color w:val="auto"/>
          <w:spacing w:val="-2"/>
          <w:sz w:val="16"/>
          <w:szCs w:val="18"/>
          <w:lang w:val="fr-CH"/>
        </w:rPr>
        <w:t>’</w:t>
      </w:r>
      <w:r w:rsidR="00F23F31" w:rsidRPr="005817BF">
        <w:rPr>
          <w:color w:val="auto"/>
          <w:spacing w:val="-2"/>
          <w:sz w:val="16"/>
          <w:szCs w:val="18"/>
          <w:lang w:val="fr-CH"/>
        </w:rPr>
        <w:t>une autre manière, par l</w:t>
      </w:r>
      <w:r>
        <w:rPr>
          <w:color w:val="auto"/>
          <w:spacing w:val="-2"/>
          <w:sz w:val="16"/>
          <w:szCs w:val="18"/>
          <w:lang w:val="fr-CH"/>
        </w:rPr>
        <w:t>’</w:t>
      </w:r>
      <w:r w:rsidR="00F23F31" w:rsidRPr="005817BF">
        <w:rPr>
          <w:color w:val="auto"/>
          <w:spacing w:val="-2"/>
          <w:sz w:val="16"/>
          <w:szCs w:val="18"/>
          <w:lang w:val="fr-CH"/>
        </w:rPr>
        <w:t>obtenteur ou avec son consentement, aux fins de l</w:t>
      </w:r>
      <w:r>
        <w:rPr>
          <w:color w:val="auto"/>
          <w:spacing w:val="-2"/>
          <w:sz w:val="16"/>
          <w:szCs w:val="18"/>
          <w:lang w:val="fr-CH"/>
        </w:rPr>
        <w:t>’</w:t>
      </w:r>
      <w:r w:rsidR="00F23F31" w:rsidRPr="005817BF">
        <w:rPr>
          <w:color w:val="auto"/>
          <w:spacing w:val="-2"/>
          <w:sz w:val="16"/>
          <w:szCs w:val="18"/>
          <w:lang w:val="fr-CH"/>
        </w:rPr>
        <w:t>exploitation de cette variété dans des délais précis, sur le territoire de la Partie contractante auprès de laquelle la demande a été déposée ou sur un territoire autre.</w:t>
      </w:r>
    </w:p>
    <w:p w:rsidR="00F23F31" w:rsidRPr="005817BF" w:rsidRDefault="00F23F31" w:rsidP="00F23F31">
      <w:pPr>
        <w:pStyle w:val="Default"/>
        <w:ind w:left="1134" w:right="1134"/>
        <w:jc w:val="both"/>
        <w:rPr>
          <w:color w:val="auto"/>
          <w:spacing w:val="-2"/>
          <w:sz w:val="16"/>
          <w:szCs w:val="18"/>
          <w:lang w:val="fr-CH"/>
        </w:rPr>
      </w:pPr>
      <w:r w:rsidRPr="005817BF">
        <w:rPr>
          <w:color w:val="auto"/>
          <w:spacing w:val="-2"/>
          <w:sz w:val="16"/>
          <w:szCs w:val="18"/>
          <w:lang w:val="fr-CH"/>
        </w:rPr>
        <w:t>Lors du dépôt d</w:t>
      </w:r>
      <w:r w:rsidR="000970A8">
        <w:rPr>
          <w:color w:val="auto"/>
          <w:spacing w:val="-2"/>
          <w:sz w:val="16"/>
          <w:szCs w:val="18"/>
          <w:lang w:val="fr-CH"/>
        </w:rPr>
        <w:t>’</w:t>
      </w:r>
      <w:r w:rsidRPr="005817BF">
        <w:rPr>
          <w:color w:val="auto"/>
          <w:spacing w:val="-2"/>
          <w:sz w:val="16"/>
          <w:szCs w:val="18"/>
          <w:lang w:val="fr-CH"/>
        </w:rPr>
        <w:t>une demande de droit d</w:t>
      </w:r>
      <w:r w:rsidR="000970A8">
        <w:rPr>
          <w:color w:val="auto"/>
          <w:spacing w:val="-2"/>
          <w:sz w:val="16"/>
          <w:szCs w:val="18"/>
          <w:lang w:val="fr-CH"/>
        </w:rPr>
        <w:t>’</w:t>
      </w:r>
      <w:r w:rsidRPr="005817BF">
        <w:rPr>
          <w:color w:val="auto"/>
          <w:spacing w:val="-2"/>
          <w:sz w:val="16"/>
          <w:szCs w:val="18"/>
          <w:lang w:val="fr-CH"/>
        </w:rPr>
        <w:t>obtenteur, le demandeur doit indiquer la date des premières ventes.  L</w:t>
      </w:r>
      <w:r w:rsidR="000970A8">
        <w:rPr>
          <w:color w:val="auto"/>
          <w:spacing w:val="-2"/>
          <w:sz w:val="16"/>
          <w:szCs w:val="18"/>
          <w:lang w:val="fr-CH"/>
        </w:rPr>
        <w:t>’</w:t>
      </w:r>
      <w:r w:rsidRPr="005817BF">
        <w:rPr>
          <w:color w:val="auto"/>
          <w:spacing w:val="-2"/>
          <w:sz w:val="16"/>
          <w:szCs w:val="18"/>
          <w:lang w:val="fr-CH"/>
        </w:rPr>
        <w:t>ISF recommande aux autorités officielles telles que les offices chargés d</w:t>
      </w:r>
      <w:r w:rsidR="000970A8">
        <w:rPr>
          <w:color w:val="auto"/>
          <w:spacing w:val="-2"/>
          <w:sz w:val="16"/>
          <w:szCs w:val="18"/>
          <w:lang w:val="fr-CH"/>
        </w:rPr>
        <w:t>’</w:t>
      </w:r>
      <w:r w:rsidRPr="005817BF">
        <w:rPr>
          <w:color w:val="auto"/>
          <w:spacing w:val="-2"/>
          <w:sz w:val="16"/>
          <w:szCs w:val="18"/>
          <w:lang w:val="fr-CH"/>
        </w:rPr>
        <w:t>octroyer des droits d</w:t>
      </w:r>
      <w:r w:rsidR="000970A8">
        <w:rPr>
          <w:color w:val="auto"/>
          <w:spacing w:val="-2"/>
          <w:sz w:val="16"/>
          <w:szCs w:val="18"/>
          <w:lang w:val="fr-CH"/>
        </w:rPr>
        <w:t>’</w:t>
      </w:r>
      <w:r w:rsidRPr="005817BF">
        <w:rPr>
          <w:color w:val="auto"/>
          <w:spacing w:val="-2"/>
          <w:sz w:val="16"/>
          <w:szCs w:val="18"/>
          <w:lang w:val="fr-CH"/>
        </w:rPr>
        <w:t>obtenteur de prendre en considération la date de la facture comme date de la première ven</w:t>
      </w:r>
      <w:r w:rsidR="00E402DE" w:rsidRPr="005817BF">
        <w:rPr>
          <w:color w:val="auto"/>
          <w:spacing w:val="-2"/>
          <w:sz w:val="16"/>
          <w:szCs w:val="18"/>
          <w:lang w:val="fr-CH"/>
        </w:rPr>
        <w:t>te</w:t>
      </w:r>
      <w:r w:rsidR="00E402DE">
        <w:rPr>
          <w:color w:val="auto"/>
          <w:spacing w:val="-2"/>
          <w:sz w:val="16"/>
          <w:szCs w:val="18"/>
          <w:lang w:val="fr-CH"/>
        </w:rPr>
        <w:t xml:space="preserve">.  </w:t>
      </w:r>
      <w:r w:rsidR="00E402DE" w:rsidRPr="005817BF">
        <w:rPr>
          <w:color w:val="auto"/>
          <w:spacing w:val="-2"/>
          <w:sz w:val="16"/>
          <w:szCs w:val="18"/>
          <w:lang w:val="fr-CH"/>
        </w:rPr>
        <w:t>En</w:t>
      </w:r>
      <w:r w:rsidRPr="005817BF">
        <w:rPr>
          <w:color w:val="auto"/>
          <w:spacing w:val="-2"/>
          <w:sz w:val="16"/>
          <w:szCs w:val="18"/>
          <w:lang w:val="fr-CH"/>
        </w:rPr>
        <w:t xml:space="preserve"> outre, l</w:t>
      </w:r>
      <w:r w:rsidR="000970A8">
        <w:rPr>
          <w:color w:val="auto"/>
          <w:spacing w:val="-2"/>
          <w:sz w:val="16"/>
          <w:szCs w:val="18"/>
          <w:lang w:val="fr-CH"/>
        </w:rPr>
        <w:t>’</w:t>
      </w:r>
      <w:r w:rsidRPr="005817BF">
        <w:rPr>
          <w:color w:val="auto"/>
          <w:spacing w:val="-2"/>
          <w:sz w:val="16"/>
          <w:szCs w:val="18"/>
          <w:lang w:val="fr-CH"/>
        </w:rPr>
        <w:t>ISF interprète l</w:t>
      </w:r>
      <w:r w:rsidR="000970A8">
        <w:rPr>
          <w:color w:val="auto"/>
          <w:spacing w:val="-2"/>
          <w:sz w:val="16"/>
          <w:szCs w:val="18"/>
          <w:lang w:val="fr-CH"/>
        </w:rPr>
        <w:t>’</w:t>
      </w:r>
      <w:r w:rsidRPr="005817BF">
        <w:rPr>
          <w:color w:val="auto"/>
          <w:spacing w:val="-2"/>
          <w:sz w:val="16"/>
          <w:szCs w:val="18"/>
          <w:lang w:val="fr-CH"/>
        </w:rPr>
        <w:t>exploitation</w:t>
      </w:r>
      <w:r w:rsidR="000970A8">
        <w:rPr>
          <w:color w:val="auto"/>
          <w:spacing w:val="-2"/>
          <w:sz w:val="16"/>
          <w:szCs w:val="18"/>
          <w:lang w:val="fr-CH"/>
        </w:rPr>
        <w:t>’</w:t>
      </w:r>
      <w:r w:rsidRPr="005817BF">
        <w:rPr>
          <w:color w:val="auto"/>
          <w:spacing w:val="-2"/>
          <w:sz w:val="16"/>
          <w:szCs w:val="18"/>
          <w:lang w:val="fr-CH"/>
        </w:rPr>
        <w:t xml:space="preserve"> dans le sens de l</w:t>
      </w:r>
      <w:r w:rsidR="000970A8">
        <w:rPr>
          <w:color w:val="auto"/>
          <w:spacing w:val="-2"/>
          <w:sz w:val="16"/>
          <w:szCs w:val="18"/>
          <w:lang w:val="fr-CH"/>
        </w:rPr>
        <w:t>’</w:t>
      </w:r>
      <w:r w:rsidRPr="005817BF">
        <w:rPr>
          <w:color w:val="auto"/>
          <w:spacing w:val="-2"/>
          <w:sz w:val="16"/>
          <w:szCs w:val="18"/>
          <w:lang w:val="fr-CH"/>
        </w:rPr>
        <w:t>exploitation commerciale</w:t>
      </w:r>
      <w:r w:rsidR="000970A8">
        <w:rPr>
          <w:color w:val="auto"/>
          <w:spacing w:val="-2"/>
          <w:sz w:val="16"/>
          <w:szCs w:val="18"/>
          <w:lang w:val="fr-CH"/>
        </w:rPr>
        <w:t>’</w:t>
      </w:r>
      <w:r w:rsidRPr="005817BF">
        <w:rPr>
          <w:color w:val="auto"/>
          <w:spacing w:val="-2"/>
          <w:sz w:val="16"/>
          <w:szCs w:val="18"/>
          <w:lang w:val="fr-CH"/>
        </w:rPr>
        <w:t xml:space="preserve"> afin de préciser que la remise du matériel de reproduction ou de multiplication à des tiers aux fins de l</w:t>
      </w:r>
      <w:r w:rsidR="000970A8">
        <w:rPr>
          <w:color w:val="auto"/>
          <w:spacing w:val="-2"/>
          <w:sz w:val="16"/>
          <w:szCs w:val="18"/>
          <w:lang w:val="fr-CH"/>
        </w:rPr>
        <w:t>’</w:t>
      </w:r>
      <w:r w:rsidRPr="005817BF">
        <w:rPr>
          <w:color w:val="auto"/>
          <w:spacing w:val="-2"/>
          <w:sz w:val="16"/>
          <w:szCs w:val="18"/>
          <w:lang w:val="fr-CH"/>
        </w:rPr>
        <w:t>examen ne porte pas atteinte à la nouveauté.</w:t>
      </w:r>
    </w:p>
    <w:p w:rsidR="00F23F31" w:rsidRPr="005817BF" w:rsidRDefault="00F23F31" w:rsidP="00F23F31">
      <w:pPr>
        <w:pStyle w:val="Default"/>
        <w:ind w:left="1134" w:right="1134"/>
        <w:jc w:val="both"/>
        <w:rPr>
          <w:b/>
          <w:bCs/>
          <w:color w:val="auto"/>
          <w:sz w:val="16"/>
          <w:szCs w:val="18"/>
          <w:lang w:val="fr-CH"/>
        </w:rPr>
      </w:pPr>
      <w:r w:rsidRPr="005817BF">
        <w:rPr>
          <w:color w:val="auto"/>
          <w:sz w:val="16"/>
          <w:szCs w:val="18"/>
          <w:lang w:val="fr-CH"/>
        </w:rPr>
        <w:t>Ces conditions devraient s</w:t>
      </w:r>
      <w:r w:rsidR="000970A8">
        <w:rPr>
          <w:color w:val="auto"/>
          <w:sz w:val="16"/>
          <w:szCs w:val="18"/>
          <w:lang w:val="fr-CH"/>
        </w:rPr>
        <w:t>’</w:t>
      </w:r>
      <w:r w:rsidRPr="005817BF">
        <w:rPr>
          <w:color w:val="auto"/>
          <w:sz w:val="16"/>
          <w:szCs w:val="18"/>
          <w:lang w:val="fr-CH"/>
        </w:rPr>
        <w:t>appliquer à toutes sortes de variétés, à reproduction sexuelle ou asexuée, lignées pures, populations ou hybrides de différents typ</w:t>
      </w:r>
      <w:r w:rsidR="00E402DE" w:rsidRPr="005817BF">
        <w:rPr>
          <w:color w:val="auto"/>
          <w:sz w:val="16"/>
          <w:szCs w:val="18"/>
          <w:lang w:val="fr-CH"/>
        </w:rPr>
        <w:t>es</w:t>
      </w:r>
      <w:r w:rsidR="00E402DE">
        <w:rPr>
          <w:color w:val="auto"/>
          <w:sz w:val="16"/>
          <w:szCs w:val="18"/>
          <w:lang w:val="fr-CH"/>
        </w:rPr>
        <w:t xml:space="preserve">.  </w:t>
      </w:r>
      <w:r w:rsidR="00E402DE" w:rsidRPr="005817BF">
        <w:rPr>
          <w:b/>
          <w:color w:val="auto"/>
          <w:sz w:val="16"/>
          <w:szCs w:val="18"/>
          <w:lang w:val="fr-CH"/>
        </w:rPr>
        <w:t>Le</w:t>
      </w:r>
      <w:r w:rsidRPr="005817BF">
        <w:rPr>
          <w:b/>
          <w:color w:val="auto"/>
          <w:sz w:val="16"/>
          <w:szCs w:val="18"/>
          <w:lang w:val="fr-CH"/>
        </w:rPr>
        <w:t>s lignées parentales hybrides devraient également être soumises aux mêmes conditions.</w:t>
      </w:r>
    </w:p>
    <w:p w:rsidR="00F23F31" w:rsidRPr="005817BF" w:rsidRDefault="00F23F31" w:rsidP="00F23F31">
      <w:pPr>
        <w:pStyle w:val="TableParagraph"/>
        <w:keepNext/>
        <w:keepLines/>
        <w:ind w:left="1134" w:right="1134"/>
        <w:jc w:val="both"/>
        <w:rPr>
          <w:rFonts w:ascii="Arial" w:hAnsi="Arial" w:cs="Arial"/>
          <w:spacing w:val="-2"/>
          <w:sz w:val="16"/>
          <w:szCs w:val="18"/>
          <w:lang w:val="fr-CH"/>
        </w:rPr>
      </w:pPr>
      <w:r w:rsidRPr="005817BF">
        <w:rPr>
          <w:rFonts w:ascii="Arial" w:hAnsi="Arial" w:cs="Arial"/>
          <w:spacing w:val="-2"/>
          <w:sz w:val="16"/>
          <w:szCs w:val="18"/>
          <w:lang w:val="fr-CH"/>
        </w:rPr>
        <w:t>D</w:t>
      </w:r>
      <w:r w:rsidR="000970A8">
        <w:rPr>
          <w:rFonts w:ascii="Arial" w:hAnsi="Arial" w:cs="Arial"/>
          <w:spacing w:val="-2"/>
          <w:sz w:val="16"/>
          <w:szCs w:val="18"/>
          <w:lang w:val="fr-CH"/>
        </w:rPr>
        <w:t>’</w:t>
      </w:r>
      <w:r w:rsidRPr="005817BF">
        <w:rPr>
          <w:rFonts w:ascii="Arial" w:hAnsi="Arial" w:cs="Arial"/>
          <w:spacing w:val="-2"/>
          <w:sz w:val="16"/>
          <w:szCs w:val="18"/>
          <w:lang w:val="fr-CH"/>
        </w:rPr>
        <w:t>après certains offices chargés d</w:t>
      </w:r>
      <w:r w:rsidR="000970A8">
        <w:rPr>
          <w:rFonts w:ascii="Arial" w:hAnsi="Arial" w:cs="Arial"/>
          <w:spacing w:val="-2"/>
          <w:sz w:val="16"/>
          <w:szCs w:val="18"/>
          <w:lang w:val="fr-CH"/>
        </w:rPr>
        <w:t>’</w:t>
      </w:r>
      <w:r w:rsidRPr="005817BF">
        <w:rPr>
          <w:rFonts w:ascii="Arial" w:hAnsi="Arial" w:cs="Arial"/>
          <w:spacing w:val="-2"/>
          <w:sz w:val="16"/>
          <w:szCs w:val="18"/>
          <w:lang w:val="fr-CH"/>
        </w:rPr>
        <w:t>octroyer des droits d</w:t>
      </w:r>
      <w:r w:rsidR="000970A8">
        <w:rPr>
          <w:rFonts w:ascii="Arial" w:hAnsi="Arial" w:cs="Arial"/>
          <w:spacing w:val="-2"/>
          <w:sz w:val="16"/>
          <w:szCs w:val="18"/>
          <w:lang w:val="fr-CH"/>
        </w:rPr>
        <w:t>’</w:t>
      </w:r>
      <w:r w:rsidRPr="005817BF">
        <w:rPr>
          <w:rFonts w:ascii="Arial" w:hAnsi="Arial" w:cs="Arial"/>
          <w:spacing w:val="-2"/>
          <w:sz w:val="16"/>
          <w:szCs w:val="18"/>
          <w:lang w:val="fr-CH"/>
        </w:rPr>
        <w:t xml:space="preserve">obtenteur et certaines législations nationales, les lignées parentales ne sont pas nouvelles dans les cas où les hybrides, composés de ces lignées parentales, ont déjà été produits ou vendus.  </w:t>
      </w:r>
      <w:r w:rsidRPr="005817BF">
        <w:rPr>
          <w:rFonts w:ascii="Arial" w:hAnsi="Arial" w:cs="Arial"/>
          <w:b/>
          <w:spacing w:val="-2"/>
          <w:sz w:val="16"/>
          <w:szCs w:val="18"/>
          <w:lang w:val="fr-CH"/>
        </w:rPr>
        <w:t>L</w:t>
      </w:r>
      <w:r w:rsidR="000970A8">
        <w:rPr>
          <w:rFonts w:ascii="Arial" w:hAnsi="Arial" w:cs="Arial"/>
          <w:b/>
          <w:spacing w:val="-2"/>
          <w:sz w:val="16"/>
          <w:szCs w:val="18"/>
          <w:lang w:val="fr-CH"/>
        </w:rPr>
        <w:t>’</w:t>
      </w:r>
      <w:r w:rsidRPr="005817BF">
        <w:rPr>
          <w:rFonts w:ascii="Arial" w:hAnsi="Arial" w:cs="Arial"/>
          <w:b/>
          <w:spacing w:val="-2"/>
          <w:sz w:val="16"/>
          <w:szCs w:val="18"/>
          <w:lang w:val="fr-CH"/>
        </w:rPr>
        <w:t>ISF est convaincue, d</w:t>
      </w:r>
      <w:r w:rsidR="000970A8">
        <w:rPr>
          <w:rFonts w:ascii="Arial" w:hAnsi="Arial" w:cs="Arial"/>
          <w:b/>
          <w:spacing w:val="-2"/>
          <w:sz w:val="16"/>
          <w:szCs w:val="18"/>
          <w:lang w:val="fr-CH"/>
        </w:rPr>
        <w:t>’</w:t>
      </w:r>
      <w:r w:rsidRPr="005817BF">
        <w:rPr>
          <w:rFonts w:ascii="Arial" w:hAnsi="Arial" w:cs="Arial"/>
          <w:b/>
          <w:spacing w:val="-2"/>
          <w:sz w:val="16"/>
          <w:szCs w:val="18"/>
          <w:lang w:val="fr-CH"/>
        </w:rPr>
        <w:t xml:space="preserve">après son interprétation de la </w:t>
      </w:r>
      <w:r w:rsidR="000970A8">
        <w:rPr>
          <w:rFonts w:ascii="Arial" w:hAnsi="Arial" w:cs="Arial"/>
          <w:b/>
          <w:spacing w:val="-2"/>
          <w:sz w:val="16"/>
          <w:szCs w:val="18"/>
          <w:lang w:val="fr-CH"/>
        </w:rPr>
        <w:t>Convention UPOV</w:t>
      </w:r>
      <w:r w:rsidRPr="005817BF">
        <w:rPr>
          <w:rFonts w:ascii="Arial" w:hAnsi="Arial" w:cs="Arial"/>
          <w:b/>
          <w:spacing w:val="-2"/>
          <w:sz w:val="16"/>
          <w:szCs w:val="18"/>
          <w:lang w:val="fr-CH"/>
        </w:rPr>
        <w:t>, que la commercialisation d</w:t>
      </w:r>
      <w:r w:rsidR="000970A8">
        <w:rPr>
          <w:rFonts w:ascii="Arial" w:hAnsi="Arial" w:cs="Arial"/>
          <w:b/>
          <w:spacing w:val="-2"/>
          <w:sz w:val="16"/>
          <w:szCs w:val="18"/>
          <w:lang w:val="fr-CH"/>
        </w:rPr>
        <w:t>’</w:t>
      </w:r>
      <w:r w:rsidRPr="005817BF">
        <w:rPr>
          <w:rFonts w:ascii="Arial" w:hAnsi="Arial" w:cs="Arial"/>
          <w:b/>
          <w:spacing w:val="-2"/>
          <w:sz w:val="16"/>
          <w:szCs w:val="18"/>
          <w:lang w:val="fr-CH"/>
        </w:rPr>
        <w:t>un hybride ne porte pas atteinte à la nouveauté des lignées parentales endogames correspondant</w:t>
      </w:r>
      <w:r w:rsidR="00E402DE" w:rsidRPr="005817BF">
        <w:rPr>
          <w:rFonts w:ascii="Arial" w:hAnsi="Arial" w:cs="Arial"/>
          <w:b/>
          <w:spacing w:val="-2"/>
          <w:sz w:val="16"/>
          <w:szCs w:val="18"/>
          <w:lang w:val="fr-CH"/>
        </w:rPr>
        <w:t>es</w:t>
      </w:r>
      <w:r w:rsidR="00E402DE">
        <w:rPr>
          <w:rFonts w:ascii="Arial" w:hAnsi="Arial" w:cs="Arial"/>
          <w:b/>
          <w:spacing w:val="-2"/>
          <w:sz w:val="16"/>
          <w:szCs w:val="18"/>
          <w:lang w:val="fr-CH"/>
        </w:rPr>
        <w:t xml:space="preserve">.  </w:t>
      </w:r>
      <w:r w:rsidR="00E402DE" w:rsidRPr="005817BF">
        <w:rPr>
          <w:rFonts w:ascii="Arial" w:hAnsi="Arial" w:cs="Arial"/>
          <w:bCs/>
          <w:spacing w:val="-2"/>
          <w:sz w:val="16"/>
          <w:szCs w:val="18"/>
          <w:lang w:val="fr-CH"/>
        </w:rPr>
        <w:t>Pr</w:t>
      </w:r>
      <w:r w:rsidRPr="005817BF">
        <w:rPr>
          <w:rFonts w:ascii="Arial" w:hAnsi="Arial" w:cs="Arial"/>
          <w:bCs/>
          <w:spacing w:val="-2"/>
          <w:sz w:val="16"/>
          <w:szCs w:val="18"/>
          <w:lang w:val="fr-CH"/>
        </w:rPr>
        <w:t>emièrement, les semences hybrides</w:t>
      </w:r>
      <w:r w:rsidR="003D0584">
        <w:rPr>
          <w:rFonts w:ascii="Arial" w:hAnsi="Arial" w:cs="Arial"/>
          <w:bCs/>
          <w:spacing w:val="-2"/>
          <w:sz w:val="16"/>
          <w:szCs w:val="18"/>
          <w:lang w:val="fr-CH"/>
        </w:rPr>
        <w:t> </w:t>
      </w:r>
      <w:r w:rsidRPr="005817BF">
        <w:rPr>
          <w:rFonts w:ascii="Arial" w:hAnsi="Arial" w:cs="Arial"/>
          <w:bCs/>
          <w:spacing w:val="-2"/>
          <w:sz w:val="16"/>
          <w:szCs w:val="18"/>
          <w:lang w:val="fr-CH"/>
        </w:rPr>
        <w:t xml:space="preserve">F1 présentent </w:t>
      </w:r>
      <w:proofErr w:type="gramStart"/>
      <w:r w:rsidRPr="005817BF">
        <w:rPr>
          <w:rFonts w:ascii="Arial" w:hAnsi="Arial" w:cs="Arial"/>
          <w:bCs/>
          <w:spacing w:val="-2"/>
          <w:sz w:val="16"/>
          <w:szCs w:val="18"/>
          <w:lang w:val="fr-CH"/>
        </w:rPr>
        <w:t>un hétérosis</w:t>
      </w:r>
      <w:proofErr w:type="gramEnd"/>
      <w:r w:rsidRPr="005817BF">
        <w:rPr>
          <w:rFonts w:ascii="Arial" w:hAnsi="Arial" w:cs="Arial"/>
          <w:bCs/>
          <w:spacing w:val="-2"/>
          <w:sz w:val="16"/>
          <w:szCs w:val="18"/>
          <w:lang w:val="fr-CH"/>
        </w:rPr>
        <w:t xml:space="preserve"> et sont de ce fait, par définition, différentes et supérieures à la somme du matériel récolté séparément des deux parents femelle et mâ</w:t>
      </w:r>
      <w:r w:rsidR="00E402DE" w:rsidRPr="005817BF">
        <w:rPr>
          <w:rFonts w:ascii="Arial" w:hAnsi="Arial" w:cs="Arial"/>
          <w:bCs/>
          <w:spacing w:val="-2"/>
          <w:sz w:val="16"/>
          <w:szCs w:val="18"/>
          <w:lang w:val="fr-CH"/>
        </w:rPr>
        <w:t>le</w:t>
      </w:r>
      <w:r w:rsidR="00E402DE">
        <w:rPr>
          <w:rFonts w:ascii="Arial" w:hAnsi="Arial" w:cs="Arial"/>
          <w:bCs/>
          <w:spacing w:val="-2"/>
          <w:sz w:val="16"/>
          <w:szCs w:val="18"/>
          <w:lang w:val="fr-CH"/>
        </w:rPr>
        <w:t xml:space="preserve">.  </w:t>
      </w:r>
      <w:r w:rsidR="00E402DE" w:rsidRPr="005817BF">
        <w:rPr>
          <w:rFonts w:ascii="Arial" w:hAnsi="Arial" w:cs="Arial"/>
          <w:spacing w:val="-2"/>
          <w:sz w:val="16"/>
          <w:szCs w:val="18"/>
          <w:lang w:val="fr-CH"/>
        </w:rPr>
        <w:t>De</w:t>
      </w:r>
      <w:r w:rsidRPr="005817BF">
        <w:rPr>
          <w:rFonts w:ascii="Arial" w:hAnsi="Arial" w:cs="Arial"/>
          <w:spacing w:val="-2"/>
          <w:sz w:val="16"/>
          <w:szCs w:val="18"/>
          <w:lang w:val="fr-CH"/>
        </w:rPr>
        <w:t>uxièmement, les semences récoltées à partir d</w:t>
      </w:r>
      <w:r w:rsidR="000970A8">
        <w:rPr>
          <w:rFonts w:ascii="Arial" w:hAnsi="Arial" w:cs="Arial"/>
          <w:spacing w:val="-2"/>
          <w:sz w:val="16"/>
          <w:szCs w:val="18"/>
          <w:lang w:val="fr-CH"/>
        </w:rPr>
        <w:t>’</w:t>
      </w:r>
      <w:r w:rsidRPr="005817BF">
        <w:rPr>
          <w:rFonts w:ascii="Arial" w:hAnsi="Arial" w:cs="Arial"/>
          <w:spacing w:val="-2"/>
          <w:sz w:val="16"/>
          <w:szCs w:val="18"/>
          <w:lang w:val="fr-CH"/>
        </w:rPr>
        <w:t>un hybride</w:t>
      </w:r>
      <w:r w:rsidR="003D0584">
        <w:rPr>
          <w:rFonts w:ascii="Arial" w:hAnsi="Arial" w:cs="Arial"/>
          <w:spacing w:val="-2"/>
          <w:sz w:val="16"/>
          <w:szCs w:val="18"/>
          <w:lang w:val="fr-CH"/>
        </w:rPr>
        <w:t> </w:t>
      </w:r>
      <w:r w:rsidRPr="005817BF">
        <w:rPr>
          <w:rFonts w:ascii="Arial" w:hAnsi="Arial" w:cs="Arial"/>
          <w:spacing w:val="-2"/>
          <w:sz w:val="16"/>
          <w:szCs w:val="18"/>
          <w:lang w:val="fr-CH"/>
        </w:rPr>
        <w:t>F1 ont fait l</w:t>
      </w:r>
      <w:r w:rsidR="000970A8">
        <w:rPr>
          <w:rFonts w:ascii="Arial" w:hAnsi="Arial" w:cs="Arial"/>
          <w:spacing w:val="-2"/>
          <w:sz w:val="16"/>
          <w:szCs w:val="18"/>
          <w:lang w:val="fr-CH"/>
        </w:rPr>
        <w:t>’</w:t>
      </w:r>
      <w:r w:rsidRPr="005817BF">
        <w:rPr>
          <w:rFonts w:ascii="Arial" w:hAnsi="Arial" w:cs="Arial"/>
          <w:spacing w:val="-2"/>
          <w:sz w:val="16"/>
          <w:szCs w:val="18"/>
          <w:lang w:val="fr-CH"/>
        </w:rPr>
        <w:t>objet d</w:t>
      </w:r>
      <w:r w:rsidR="000970A8">
        <w:rPr>
          <w:rFonts w:ascii="Arial" w:hAnsi="Arial" w:cs="Arial"/>
          <w:spacing w:val="-2"/>
          <w:sz w:val="16"/>
          <w:szCs w:val="18"/>
          <w:lang w:val="fr-CH"/>
        </w:rPr>
        <w:t>’</w:t>
      </w:r>
      <w:r w:rsidRPr="005817BF">
        <w:rPr>
          <w:rFonts w:ascii="Arial" w:hAnsi="Arial" w:cs="Arial"/>
          <w:spacing w:val="-2"/>
          <w:sz w:val="16"/>
          <w:szCs w:val="18"/>
          <w:lang w:val="fr-CH"/>
        </w:rPr>
        <w:t xml:space="preserve">une autofécondation sur une génération et représentent un mélange de </w:t>
      </w:r>
      <w:proofErr w:type="spellStart"/>
      <w:r w:rsidRPr="005817BF">
        <w:rPr>
          <w:rFonts w:ascii="Arial" w:hAnsi="Arial" w:cs="Arial"/>
          <w:spacing w:val="-2"/>
          <w:sz w:val="16"/>
          <w:szCs w:val="18"/>
          <w:lang w:val="fr-CH"/>
        </w:rPr>
        <w:t>germoplasme</w:t>
      </w:r>
      <w:proofErr w:type="spellEnd"/>
      <w:r w:rsidRPr="005817BF">
        <w:rPr>
          <w:rFonts w:ascii="Arial" w:hAnsi="Arial" w:cs="Arial"/>
          <w:spacing w:val="-2"/>
          <w:sz w:val="16"/>
          <w:szCs w:val="18"/>
          <w:lang w:val="fr-CH"/>
        </w:rPr>
        <w:t xml:space="preserve"> séparé des deux parents de la F1.  Il n</w:t>
      </w:r>
      <w:r w:rsidR="000970A8">
        <w:rPr>
          <w:rFonts w:ascii="Arial" w:hAnsi="Arial" w:cs="Arial"/>
          <w:spacing w:val="-2"/>
          <w:sz w:val="16"/>
          <w:szCs w:val="18"/>
          <w:lang w:val="fr-CH"/>
        </w:rPr>
        <w:t>’</w:t>
      </w:r>
      <w:r w:rsidRPr="005817BF">
        <w:rPr>
          <w:rFonts w:ascii="Arial" w:hAnsi="Arial" w:cs="Arial"/>
          <w:spacing w:val="-2"/>
          <w:sz w:val="16"/>
          <w:szCs w:val="18"/>
          <w:lang w:val="fr-CH"/>
        </w:rPr>
        <w:t>est donc manifestement pas justifié pour certains offices chargés d</w:t>
      </w:r>
      <w:r w:rsidR="000970A8">
        <w:rPr>
          <w:rFonts w:ascii="Arial" w:hAnsi="Arial" w:cs="Arial"/>
          <w:spacing w:val="-2"/>
          <w:sz w:val="16"/>
          <w:szCs w:val="18"/>
          <w:lang w:val="fr-CH"/>
        </w:rPr>
        <w:t>’</w:t>
      </w:r>
      <w:r w:rsidRPr="005817BF">
        <w:rPr>
          <w:rFonts w:ascii="Arial" w:hAnsi="Arial" w:cs="Arial"/>
          <w:spacing w:val="-2"/>
          <w:sz w:val="16"/>
          <w:szCs w:val="18"/>
          <w:lang w:val="fr-CH"/>
        </w:rPr>
        <w:t>octroyer des droits d</w:t>
      </w:r>
      <w:r w:rsidR="000970A8">
        <w:rPr>
          <w:rFonts w:ascii="Arial" w:hAnsi="Arial" w:cs="Arial"/>
          <w:spacing w:val="-2"/>
          <w:sz w:val="16"/>
          <w:szCs w:val="18"/>
          <w:lang w:val="fr-CH"/>
        </w:rPr>
        <w:t>’</w:t>
      </w:r>
      <w:r w:rsidRPr="005817BF">
        <w:rPr>
          <w:rFonts w:ascii="Arial" w:hAnsi="Arial" w:cs="Arial"/>
          <w:spacing w:val="-2"/>
          <w:sz w:val="16"/>
          <w:szCs w:val="18"/>
          <w:lang w:val="fr-CH"/>
        </w:rPr>
        <w:t>obtenteur et certaines législations nationales de déclarer que les lignées parentales ne sont pas nouvelles dans les cas où les hybrides, composés de ces lignées parentales, ont déjà été produits ou vendus.</w:t>
      </w:r>
    </w:p>
    <w:p w:rsidR="00F23F31" w:rsidRPr="005817BF" w:rsidRDefault="00F23F31" w:rsidP="00F23F31">
      <w:pPr>
        <w:adjustRightInd w:val="0"/>
        <w:ind w:left="1134" w:right="1134"/>
        <w:rPr>
          <w:rFonts w:cs="Arial"/>
          <w:sz w:val="16"/>
          <w:szCs w:val="18"/>
          <w:lang w:val="fr-CH"/>
        </w:rPr>
      </w:pPr>
      <w:r w:rsidRPr="005817BF">
        <w:rPr>
          <w:rFonts w:cs="Arial"/>
          <w:sz w:val="16"/>
          <w:szCs w:val="18"/>
          <w:lang w:val="fr-CH"/>
        </w:rPr>
        <w:t>Néanmoins, les obtenteurs qui souhaitent protéger leur matériel parental dans des pays qui n</w:t>
      </w:r>
      <w:r w:rsidR="000970A8">
        <w:rPr>
          <w:rFonts w:cs="Arial"/>
          <w:sz w:val="16"/>
          <w:szCs w:val="18"/>
          <w:lang w:val="fr-CH"/>
        </w:rPr>
        <w:t>’</w:t>
      </w:r>
      <w:r w:rsidRPr="005817BF">
        <w:rPr>
          <w:rFonts w:cs="Arial"/>
          <w:sz w:val="16"/>
          <w:szCs w:val="18"/>
          <w:lang w:val="fr-CH"/>
        </w:rPr>
        <w:t>ont pas (encore) adopté cette interprétation doivent évaluer l</w:t>
      </w:r>
      <w:r w:rsidR="000970A8">
        <w:rPr>
          <w:rFonts w:cs="Arial"/>
          <w:sz w:val="16"/>
          <w:szCs w:val="18"/>
          <w:lang w:val="fr-CH"/>
        </w:rPr>
        <w:t>’</w:t>
      </w:r>
      <w:r w:rsidRPr="005817BF">
        <w:rPr>
          <w:rFonts w:cs="Arial"/>
          <w:sz w:val="16"/>
          <w:szCs w:val="18"/>
          <w:lang w:val="fr-CH"/>
        </w:rPr>
        <w:t>effet de l</w:t>
      </w:r>
      <w:r w:rsidR="000970A8">
        <w:rPr>
          <w:rFonts w:cs="Arial"/>
          <w:sz w:val="16"/>
          <w:szCs w:val="18"/>
          <w:lang w:val="fr-CH"/>
        </w:rPr>
        <w:t>’</w:t>
      </w:r>
      <w:r w:rsidRPr="005817BF">
        <w:rPr>
          <w:rFonts w:cs="Arial"/>
          <w:sz w:val="16"/>
          <w:szCs w:val="18"/>
          <w:lang w:val="fr-CH"/>
        </w:rPr>
        <w:t>interprétation locale sur la nouveauté des lignées parentales lors de la commercialisation de leurs hybrides.</w:t>
      </w:r>
    </w:p>
    <w:p w:rsidR="00F23F31" w:rsidRPr="005817BF" w:rsidRDefault="00F23F31" w:rsidP="00F23F31">
      <w:pPr>
        <w:adjustRightInd w:val="0"/>
        <w:ind w:left="1134" w:right="1134"/>
        <w:rPr>
          <w:rFonts w:cs="Arial"/>
          <w:sz w:val="16"/>
          <w:szCs w:val="18"/>
          <w:lang w:val="fr-CH"/>
        </w:rPr>
      </w:pPr>
      <w:r w:rsidRPr="005817BF">
        <w:rPr>
          <w:rFonts w:cs="Arial"/>
          <w:sz w:val="16"/>
          <w:szCs w:val="18"/>
          <w:lang w:val="fr-CH"/>
        </w:rPr>
        <w:t>Dans le cas où une espèce en particulier peut être protégée dans un pays donné, il conviendrait d</w:t>
      </w:r>
      <w:r w:rsidR="000970A8">
        <w:rPr>
          <w:rFonts w:cs="Arial"/>
          <w:sz w:val="16"/>
          <w:szCs w:val="18"/>
          <w:lang w:val="fr-CH"/>
        </w:rPr>
        <w:t>’</w:t>
      </w:r>
      <w:r w:rsidRPr="005817BF">
        <w:rPr>
          <w:rFonts w:cs="Arial"/>
          <w:sz w:val="16"/>
          <w:szCs w:val="18"/>
          <w:lang w:val="fr-CH"/>
        </w:rPr>
        <w:t>établir une période de transition au cours de laquelle il serait possible de déposer une demande pour des variétés qui ont été protégées en dehors du territoi</w:t>
      </w:r>
      <w:r w:rsidR="00E402DE" w:rsidRPr="005817BF">
        <w:rPr>
          <w:rFonts w:cs="Arial"/>
          <w:sz w:val="16"/>
          <w:szCs w:val="18"/>
          <w:lang w:val="fr-CH"/>
        </w:rPr>
        <w:t>re</w:t>
      </w:r>
      <w:r w:rsidR="00E402DE">
        <w:rPr>
          <w:rFonts w:cs="Arial"/>
          <w:sz w:val="16"/>
          <w:szCs w:val="18"/>
          <w:lang w:val="fr-CH"/>
        </w:rPr>
        <w:t xml:space="preserve">.  </w:t>
      </w:r>
      <w:r w:rsidR="00E402DE" w:rsidRPr="005817BF">
        <w:rPr>
          <w:rFonts w:cs="Arial"/>
          <w:sz w:val="16"/>
          <w:szCs w:val="18"/>
          <w:lang w:val="fr-CH"/>
        </w:rPr>
        <w:t>Po</w:t>
      </w:r>
      <w:r w:rsidRPr="005817BF">
        <w:rPr>
          <w:rFonts w:cs="Arial"/>
          <w:sz w:val="16"/>
          <w:szCs w:val="18"/>
          <w:lang w:val="fr-CH"/>
        </w:rPr>
        <w:t>ur éviter tout abus, la durée de la protection restante pourrait être alignée sur celle du pays où la variété a été protégée pour la première fois.</w:t>
      </w:r>
      <w:r w:rsidR="000970A8">
        <w:rPr>
          <w:rFonts w:cs="Arial"/>
          <w:sz w:val="16"/>
          <w:szCs w:val="18"/>
          <w:lang w:val="fr-CH"/>
        </w:rPr>
        <w:t>’</w:t>
      </w:r>
    </w:p>
    <w:p w:rsidR="00F23F31" w:rsidRPr="005817BF" w:rsidRDefault="00F23F31" w:rsidP="00F23F31">
      <w:pPr>
        <w:adjustRightInd w:val="0"/>
        <w:ind w:left="567" w:right="1134"/>
        <w:rPr>
          <w:rFonts w:cs="Arial"/>
          <w:sz w:val="18"/>
          <w:szCs w:val="18"/>
          <w:lang w:val="fr-CH"/>
        </w:rPr>
      </w:pPr>
    </w:p>
    <w:p w:rsidR="00F23F31" w:rsidRPr="005817BF" w:rsidRDefault="00F23F31" w:rsidP="00F23F31">
      <w:pPr>
        <w:adjustRightInd w:val="0"/>
        <w:ind w:left="1134" w:right="1134"/>
        <w:rPr>
          <w:rFonts w:cs="Arial"/>
          <w:sz w:val="18"/>
          <w:szCs w:val="18"/>
          <w:lang w:val="fr-CH"/>
        </w:rPr>
      </w:pPr>
      <w:r w:rsidRPr="005817BF">
        <w:rPr>
          <w:rFonts w:cs="Arial"/>
          <w:sz w:val="18"/>
          <w:szCs w:val="18"/>
          <w:lang w:val="fr-CH"/>
        </w:rPr>
        <w:t>[Page 9 de la position de l</w:t>
      </w:r>
      <w:r w:rsidR="000970A8">
        <w:rPr>
          <w:rFonts w:cs="Arial"/>
          <w:sz w:val="18"/>
          <w:szCs w:val="18"/>
          <w:lang w:val="fr-CH"/>
        </w:rPr>
        <w:t>’</w:t>
      </w:r>
      <w:r w:rsidRPr="005817BF">
        <w:rPr>
          <w:rFonts w:cs="Arial"/>
          <w:sz w:val="18"/>
          <w:szCs w:val="18"/>
          <w:lang w:val="fr-CH"/>
        </w:rPr>
        <w:t>ISF sur la propriété intellectuelle, 28 juin 2012]</w:t>
      </w:r>
    </w:p>
    <w:p w:rsidR="00F23F31" w:rsidRPr="005817BF" w:rsidRDefault="00F23F31" w:rsidP="00F23F31">
      <w:pPr>
        <w:adjustRightInd w:val="0"/>
        <w:ind w:left="567" w:right="567"/>
        <w:rPr>
          <w:rFonts w:cs="Arial"/>
          <w:sz w:val="18"/>
          <w:szCs w:val="18"/>
          <w:lang w:val="fr-CH"/>
        </w:rPr>
      </w:pPr>
    </w:p>
    <w:p w:rsidR="00F23F31" w:rsidRPr="005817BF" w:rsidRDefault="00F23F31" w:rsidP="00F23F31">
      <w:pPr>
        <w:adjustRightInd w:val="0"/>
        <w:ind w:left="567" w:right="567"/>
        <w:rPr>
          <w:rFonts w:cs="Arial"/>
          <w:b/>
          <w:bCs/>
          <w:spacing w:val="-4"/>
          <w:sz w:val="18"/>
          <w:szCs w:val="18"/>
          <w:lang w:val="fr-CH"/>
        </w:rPr>
      </w:pPr>
      <w:r w:rsidRPr="005817BF">
        <w:rPr>
          <w:rFonts w:cs="Arial"/>
          <w:spacing w:val="-4"/>
          <w:sz w:val="18"/>
          <w:szCs w:val="18"/>
          <w:lang w:val="fr-CH"/>
        </w:rPr>
        <w:t>Nous avons pris bonne note des résultats de l</w:t>
      </w:r>
      <w:r w:rsidR="000970A8">
        <w:rPr>
          <w:rFonts w:cs="Arial"/>
          <w:spacing w:val="-4"/>
          <w:sz w:val="18"/>
          <w:szCs w:val="18"/>
          <w:lang w:val="fr-CH"/>
        </w:rPr>
        <w:t>’</w:t>
      </w:r>
      <w:r w:rsidRPr="005817BF">
        <w:rPr>
          <w:rFonts w:cs="Arial"/>
          <w:spacing w:val="-4"/>
          <w:sz w:val="18"/>
          <w:szCs w:val="18"/>
          <w:lang w:val="fr-CH"/>
        </w:rPr>
        <w:t>enquête menée par l</w:t>
      </w:r>
      <w:r w:rsidR="000970A8">
        <w:rPr>
          <w:rFonts w:cs="Arial"/>
          <w:spacing w:val="-4"/>
          <w:sz w:val="18"/>
          <w:szCs w:val="18"/>
          <w:lang w:val="fr-CH"/>
        </w:rPr>
        <w:t>’</w:t>
      </w:r>
      <w:r w:rsidRPr="005817BF">
        <w:rPr>
          <w:rFonts w:cs="Arial"/>
          <w:spacing w:val="-4"/>
          <w:sz w:val="18"/>
          <w:szCs w:val="18"/>
          <w:lang w:val="fr-CH"/>
        </w:rPr>
        <w:t>UPOV auprès de ses membres, qui rend compte d</w:t>
      </w:r>
      <w:r w:rsidR="000970A8">
        <w:rPr>
          <w:rFonts w:cs="Arial"/>
          <w:spacing w:val="-4"/>
          <w:sz w:val="18"/>
          <w:szCs w:val="18"/>
          <w:lang w:val="fr-CH"/>
        </w:rPr>
        <w:t>’</w:t>
      </w:r>
      <w:r w:rsidRPr="005817BF">
        <w:rPr>
          <w:rFonts w:cs="Arial"/>
          <w:spacing w:val="-4"/>
          <w:sz w:val="18"/>
          <w:szCs w:val="18"/>
          <w:lang w:val="fr-CH"/>
        </w:rPr>
        <w:t>approches différentes en la matiè</w:t>
      </w:r>
      <w:r w:rsidR="00E402DE" w:rsidRPr="005817BF">
        <w:rPr>
          <w:rFonts w:cs="Arial"/>
          <w:spacing w:val="-4"/>
          <w:sz w:val="18"/>
          <w:szCs w:val="18"/>
          <w:lang w:val="fr-CH"/>
        </w:rPr>
        <w:t>re</w:t>
      </w:r>
      <w:r w:rsidR="00E402DE">
        <w:rPr>
          <w:rFonts w:cs="Arial"/>
          <w:spacing w:val="-4"/>
          <w:sz w:val="18"/>
          <w:szCs w:val="18"/>
          <w:lang w:val="fr-CH"/>
        </w:rPr>
        <w:t xml:space="preserve">.  </w:t>
      </w:r>
      <w:r w:rsidR="00E402DE" w:rsidRPr="005817BF">
        <w:rPr>
          <w:rFonts w:cs="Arial"/>
          <w:spacing w:val="-4"/>
          <w:sz w:val="18"/>
          <w:szCs w:val="18"/>
          <w:lang w:val="fr-CH"/>
        </w:rPr>
        <w:t>To</w:t>
      </w:r>
      <w:r w:rsidRPr="005817BF">
        <w:rPr>
          <w:rFonts w:cs="Arial"/>
          <w:spacing w:val="-4"/>
          <w:sz w:val="18"/>
          <w:szCs w:val="18"/>
          <w:lang w:val="fr-CH"/>
        </w:rPr>
        <w:t>utefois, nous ne pouvons appuyer l</w:t>
      </w:r>
      <w:r w:rsidR="000970A8">
        <w:rPr>
          <w:rFonts w:cs="Arial"/>
          <w:spacing w:val="-4"/>
          <w:sz w:val="18"/>
          <w:szCs w:val="18"/>
          <w:lang w:val="fr-CH"/>
        </w:rPr>
        <w:t>’</w:t>
      </w:r>
      <w:r w:rsidRPr="005817BF">
        <w:rPr>
          <w:rFonts w:cs="Arial"/>
          <w:spacing w:val="-4"/>
          <w:sz w:val="18"/>
          <w:szCs w:val="18"/>
          <w:lang w:val="fr-CH"/>
        </w:rPr>
        <w:t>inclusion du paragraphe 7 propo</w:t>
      </w:r>
      <w:r w:rsidR="00E402DE" w:rsidRPr="005817BF">
        <w:rPr>
          <w:rFonts w:cs="Arial"/>
          <w:spacing w:val="-4"/>
          <w:sz w:val="18"/>
          <w:szCs w:val="18"/>
          <w:lang w:val="fr-CH"/>
        </w:rPr>
        <w:t>sé</w:t>
      </w:r>
      <w:r w:rsidR="00E402DE">
        <w:rPr>
          <w:rFonts w:cs="Arial"/>
          <w:spacing w:val="-4"/>
          <w:sz w:val="18"/>
          <w:szCs w:val="18"/>
          <w:lang w:val="fr-CH"/>
        </w:rPr>
        <w:t xml:space="preserve">.  </w:t>
      </w:r>
      <w:r w:rsidR="00E402DE" w:rsidRPr="005817BF">
        <w:rPr>
          <w:rFonts w:cs="Arial"/>
          <w:b/>
          <w:spacing w:val="-4"/>
          <w:sz w:val="18"/>
          <w:szCs w:val="18"/>
          <w:lang w:val="fr-CH"/>
        </w:rPr>
        <w:t>Un</w:t>
      </w:r>
      <w:r w:rsidRPr="005817BF">
        <w:rPr>
          <w:rFonts w:cs="Arial"/>
          <w:b/>
          <w:spacing w:val="-4"/>
          <w:sz w:val="18"/>
          <w:szCs w:val="18"/>
          <w:lang w:val="fr-CH"/>
        </w:rPr>
        <w:t xml:space="preserve">e interprétation claire, cohérente et harmonisée de la </w:t>
      </w:r>
      <w:r w:rsidR="000970A8">
        <w:rPr>
          <w:rFonts w:cs="Arial"/>
          <w:b/>
          <w:spacing w:val="-4"/>
          <w:sz w:val="18"/>
          <w:szCs w:val="18"/>
          <w:lang w:val="fr-CH"/>
        </w:rPr>
        <w:t>Convention UPOV</w:t>
      </w:r>
      <w:r w:rsidRPr="005817BF">
        <w:rPr>
          <w:rFonts w:cs="Arial"/>
          <w:b/>
          <w:spacing w:val="-4"/>
          <w:sz w:val="18"/>
          <w:szCs w:val="18"/>
          <w:lang w:val="fr-CH"/>
        </w:rPr>
        <w:t xml:space="preserve"> au sein de ses membres est essentielle pour que le secteur des semences puisse mener ses activités et fournir des semences de qualité adaptées aux conditions locales dans le monde entier.</w:t>
      </w:r>
    </w:p>
    <w:p w:rsidR="00F23F31" w:rsidRPr="005817BF" w:rsidRDefault="00F23F31" w:rsidP="00F23F31">
      <w:pPr>
        <w:pStyle w:val="TableParagraph"/>
        <w:keepNext/>
        <w:keepLines/>
        <w:ind w:left="567" w:right="567"/>
        <w:jc w:val="both"/>
        <w:rPr>
          <w:rFonts w:ascii="Arial" w:hAnsi="Arial" w:cs="Arial"/>
          <w:spacing w:val="-2"/>
          <w:sz w:val="18"/>
          <w:szCs w:val="18"/>
          <w:lang w:val="fr-CH"/>
        </w:rPr>
      </w:pPr>
      <w:r w:rsidRPr="005817BF">
        <w:rPr>
          <w:rFonts w:ascii="Arial" w:hAnsi="Arial" w:cs="Arial"/>
          <w:sz w:val="18"/>
          <w:szCs w:val="18"/>
          <w:lang w:val="fr-CH"/>
        </w:rPr>
        <w:t>Nous souhaiterions avoir l</w:t>
      </w:r>
      <w:r w:rsidR="000970A8">
        <w:rPr>
          <w:rFonts w:ascii="Arial" w:hAnsi="Arial" w:cs="Arial"/>
          <w:sz w:val="18"/>
          <w:szCs w:val="18"/>
          <w:lang w:val="fr-CH"/>
        </w:rPr>
        <w:t>’</w:t>
      </w:r>
      <w:r w:rsidRPr="005817BF">
        <w:rPr>
          <w:rFonts w:ascii="Arial" w:hAnsi="Arial" w:cs="Arial"/>
          <w:sz w:val="18"/>
          <w:szCs w:val="18"/>
          <w:lang w:val="fr-CH"/>
        </w:rPr>
        <w:t>occasion d</w:t>
      </w:r>
      <w:r w:rsidR="000970A8">
        <w:rPr>
          <w:rFonts w:ascii="Arial" w:hAnsi="Arial" w:cs="Arial"/>
          <w:sz w:val="18"/>
          <w:szCs w:val="18"/>
          <w:lang w:val="fr-CH"/>
        </w:rPr>
        <w:t>’</w:t>
      </w:r>
      <w:r w:rsidRPr="005817BF">
        <w:rPr>
          <w:rFonts w:ascii="Arial" w:hAnsi="Arial" w:cs="Arial"/>
          <w:sz w:val="18"/>
          <w:szCs w:val="18"/>
          <w:lang w:val="fr-CH"/>
        </w:rPr>
        <w:t>expliquer plus en détail l</w:t>
      </w:r>
      <w:r w:rsidR="000970A8">
        <w:rPr>
          <w:rFonts w:ascii="Arial" w:hAnsi="Arial" w:cs="Arial"/>
          <w:sz w:val="18"/>
          <w:szCs w:val="18"/>
          <w:lang w:val="fr-CH"/>
        </w:rPr>
        <w:t>’</w:t>
      </w:r>
      <w:r w:rsidRPr="005817BF">
        <w:rPr>
          <w:rFonts w:ascii="Arial" w:hAnsi="Arial" w:cs="Arial"/>
          <w:sz w:val="18"/>
          <w:szCs w:val="18"/>
          <w:lang w:val="fr-CH"/>
        </w:rPr>
        <w:t>importance de la position du secteur des semenc</w:t>
      </w:r>
      <w:r w:rsidR="00E402DE" w:rsidRPr="005817BF">
        <w:rPr>
          <w:rFonts w:ascii="Arial" w:hAnsi="Arial" w:cs="Arial"/>
          <w:sz w:val="18"/>
          <w:szCs w:val="18"/>
          <w:lang w:val="fr-CH"/>
        </w:rPr>
        <w:t>es</w:t>
      </w:r>
      <w:r w:rsidR="00E402DE">
        <w:rPr>
          <w:rFonts w:ascii="Arial" w:hAnsi="Arial" w:cs="Arial"/>
          <w:sz w:val="18"/>
          <w:szCs w:val="18"/>
          <w:lang w:val="fr-CH"/>
        </w:rPr>
        <w:t xml:space="preserve">.  </w:t>
      </w:r>
      <w:r w:rsidR="00E402DE" w:rsidRPr="005817BF">
        <w:rPr>
          <w:rFonts w:ascii="Arial" w:hAnsi="Arial" w:cs="Arial"/>
          <w:sz w:val="18"/>
          <w:szCs w:val="18"/>
          <w:lang w:val="fr-CH"/>
        </w:rPr>
        <w:t xml:space="preserve">À </w:t>
      </w:r>
      <w:r w:rsidRPr="005817BF">
        <w:rPr>
          <w:rFonts w:ascii="Arial" w:hAnsi="Arial" w:cs="Arial"/>
          <w:sz w:val="18"/>
          <w:szCs w:val="18"/>
          <w:lang w:val="fr-CH"/>
        </w:rPr>
        <w:t>cet égard, nous souhaiterions présenter cette position dans le cadre d</w:t>
      </w:r>
      <w:r w:rsidR="000970A8">
        <w:rPr>
          <w:rFonts w:ascii="Arial" w:hAnsi="Arial" w:cs="Arial"/>
          <w:sz w:val="18"/>
          <w:szCs w:val="18"/>
          <w:lang w:val="fr-CH"/>
        </w:rPr>
        <w:t>’</w:t>
      </w:r>
      <w:r w:rsidRPr="005817BF">
        <w:rPr>
          <w:rFonts w:ascii="Arial" w:hAnsi="Arial" w:cs="Arial"/>
          <w:sz w:val="18"/>
          <w:szCs w:val="18"/>
          <w:lang w:val="fr-CH"/>
        </w:rPr>
        <w:t>un exposé à la prochaine session du CAJ.”</w:t>
      </w:r>
    </w:p>
    <w:p w:rsidR="00F23F31" w:rsidRPr="005817BF" w:rsidRDefault="00F23F31" w:rsidP="00F23F31">
      <w:pPr>
        <w:rPr>
          <w:lang w:val="fr-CH"/>
        </w:rPr>
      </w:pPr>
    </w:p>
    <w:p w:rsidR="00F23F31" w:rsidRPr="005817BF" w:rsidRDefault="00F23F31" w:rsidP="00F23F31">
      <w:pPr>
        <w:rPr>
          <w:lang w:val="fr-CH"/>
        </w:rPr>
      </w:pPr>
    </w:p>
    <w:p w:rsidR="00F23F31" w:rsidRPr="005D34C2" w:rsidRDefault="00F23F31" w:rsidP="00F23F31">
      <w:pPr>
        <w:jc w:val="right"/>
        <w:rPr>
          <w:lang w:val="fr-CH"/>
        </w:rPr>
      </w:pPr>
      <w:r w:rsidRPr="005817BF">
        <w:rPr>
          <w:lang w:val="fr-CH"/>
        </w:rPr>
        <w:t>[Fin de l</w:t>
      </w:r>
      <w:r w:rsidR="000970A8">
        <w:rPr>
          <w:lang w:val="fr-CH"/>
        </w:rPr>
        <w:t>’</w:t>
      </w:r>
      <w:r w:rsidRPr="005817BF">
        <w:rPr>
          <w:lang w:val="fr-CH"/>
        </w:rPr>
        <w:t>annexe II et du document]</w:t>
      </w:r>
    </w:p>
    <w:sectPr w:rsidR="00F23F31" w:rsidRPr="005D34C2" w:rsidSect="00906DDC">
      <w:headerReference w:type="even" r:id="rId57"/>
      <w:headerReference w:type="default" r:id="rId58"/>
      <w:footerReference w:type="even" r:id="rId59"/>
      <w:footerReference w:type="default" r:id="rId60"/>
      <w:headerReference w:type="first" r:id="rId61"/>
      <w:footerReference w:type="first" r:id="rId6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68F" w:rsidRDefault="003A768F" w:rsidP="006655D3">
      <w:r>
        <w:separator/>
      </w:r>
    </w:p>
    <w:p w:rsidR="003A768F" w:rsidRDefault="003A768F" w:rsidP="006655D3"/>
    <w:p w:rsidR="003A768F" w:rsidRDefault="003A768F" w:rsidP="006655D3"/>
  </w:endnote>
  <w:endnote w:type="continuationSeparator" w:id="0">
    <w:p w:rsidR="003A768F" w:rsidRDefault="003A768F" w:rsidP="006655D3">
      <w:r>
        <w:separator/>
      </w:r>
    </w:p>
    <w:p w:rsidR="003A768F" w:rsidRPr="00294751" w:rsidRDefault="003A768F">
      <w:pPr>
        <w:pStyle w:val="Footer"/>
        <w:spacing w:after="60"/>
        <w:rPr>
          <w:sz w:val="18"/>
          <w:lang w:val="fr-FR"/>
        </w:rPr>
      </w:pPr>
      <w:r w:rsidRPr="00294751">
        <w:rPr>
          <w:sz w:val="18"/>
          <w:lang w:val="fr-FR"/>
        </w:rPr>
        <w:t>[Suite de la note de la page précédente]</w:t>
      </w:r>
    </w:p>
    <w:p w:rsidR="003A768F" w:rsidRPr="00294751" w:rsidRDefault="003A768F" w:rsidP="006655D3"/>
    <w:p w:rsidR="003A768F" w:rsidRPr="00294751" w:rsidRDefault="003A768F" w:rsidP="006655D3"/>
  </w:endnote>
  <w:endnote w:type="continuationNotice" w:id="1">
    <w:p w:rsidR="003A768F" w:rsidRPr="00294751" w:rsidRDefault="003A768F" w:rsidP="006655D3">
      <w:r w:rsidRPr="00294751">
        <w:t>[Suite de la note page suivante]</w:t>
      </w:r>
    </w:p>
    <w:p w:rsidR="003A768F" w:rsidRPr="00294751" w:rsidRDefault="003A768F" w:rsidP="006655D3"/>
    <w:p w:rsidR="003A768F" w:rsidRPr="00294751" w:rsidRDefault="003A768F"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rsidP="003A768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rsidP="003A768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rsidP="003A768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rsidP="003A768F">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rsidP="003A768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rsidP="00875470">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rsidP="003A76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rsidP="0087547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68F" w:rsidRDefault="003A768F" w:rsidP="006655D3">
      <w:r>
        <w:separator/>
      </w:r>
    </w:p>
  </w:footnote>
  <w:footnote w:type="continuationSeparator" w:id="0">
    <w:p w:rsidR="003A768F" w:rsidRDefault="003A768F" w:rsidP="006655D3">
      <w:r>
        <w:separator/>
      </w:r>
    </w:p>
  </w:footnote>
  <w:footnote w:type="continuationNotice" w:id="1">
    <w:p w:rsidR="003A768F" w:rsidRPr="00AB530F" w:rsidRDefault="003A768F" w:rsidP="00AB530F">
      <w:pPr>
        <w:pStyle w:val="Footer"/>
      </w:pPr>
    </w:p>
  </w:footnote>
  <w:footnote w:id="2">
    <w:p w:rsidR="003A768F" w:rsidRPr="00257C2B" w:rsidRDefault="003A768F" w:rsidP="00257C2B">
      <w:pPr>
        <w:pStyle w:val="FootnoteText"/>
        <w:rPr>
          <w:lang w:val="fr-CH"/>
        </w:rPr>
      </w:pPr>
      <w:r w:rsidRPr="00257C2B">
        <w:rPr>
          <w:rStyle w:val="FootnoteReference"/>
        </w:rPr>
        <w:footnoteRef/>
      </w:r>
      <w:r w:rsidRPr="00257C2B">
        <w:rPr>
          <w:lang w:val="fr-CH"/>
        </w:rPr>
        <w:t xml:space="preserve"> </w:t>
      </w:r>
      <w:r w:rsidRPr="00257C2B">
        <w:rPr>
          <w:lang w:val="fr-CH"/>
        </w:rPr>
        <w:tab/>
        <w:t>La procédure relative à l</w:t>
      </w:r>
      <w:r>
        <w:rPr>
          <w:lang w:val="fr-CH"/>
        </w:rPr>
        <w:t>’</w:t>
      </w:r>
      <w:r w:rsidRPr="00257C2B">
        <w:rPr>
          <w:lang w:val="fr-CH"/>
        </w:rPr>
        <w:t>examen des documents par correspondance est indiquée dans la circulaire E</w:t>
      </w:r>
      <w:r>
        <w:rPr>
          <w:lang w:val="fr-CH"/>
        </w:rPr>
        <w:t>-</w:t>
      </w:r>
      <w:r w:rsidRPr="00257C2B">
        <w:rPr>
          <w:lang w:val="fr-CH"/>
        </w:rPr>
        <w:t>20/094 du 23 juillet 2020 (disponible sur les pages Web consacrée à la cinquante</w:t>
      </w:r>
      <w:r>
        <w:rPr>
          <w:lang w:val="fr-CH"/>
        </w:rPr>
        <w:t>-</w:t>
      </w:r>
      <w:r w:rsidRPr="00257C2B">
        <w:rPr>
          <w:lang w:val="fr-CH"/>
        </w:rPr>
        <w:t>six</w:t>
      </w:r>
      <w:r>
        <w:rPr>
          <w:lang w:val="fr-CH"/>
        </w:rPr>
        <w:t>ième session</w:t>
      </w:r>
      <w:r w:rsidRPr="00257C2B">
        <w:rPr>
          <w:lang w:val="fr-CH"/>
        </w:rPr>
        <w:t xml:space="preserve"> du</w:t>
      </w:r>
      <w:r>
        <w:rPr>
          <w:lang w:val="fr-CH"/>
        </w:rPr>
        <w:t> TC</w:t>
      </w:r>
      <w:r w:rsidRPr="00257C2B">
        <w:rPr>
          <w:lang w:val="fr-CH"/>
        </w:rPr>
        <w:t>, à la soixante</w:t>
      </w:r>
      <w:r>
        <w:rPr>
          <w:lang w:val="fr-CH"/>
        </w:rPr>
        <w:t>-</w:t>
      </w:r>
      <w:r w:rsidRPr="00257C2B">
        <w:rPr>
          <w:lang w:val="fr-CH"/>
        </w:rPr>
        <w:t>dix</w:t>
      </w:r>
      <w:r>
        <w:rPr>
          <w:lang w:val="fr-CH"/>
        </w:rPr>
        <w:t>-</w:t>
      </w:r>
      <w:r w:rsidRPr="00257C2B">
        <w:rPr>
          <w:lang w:val="fr-CH"/>
        </w:rPr>
        <w:t>sept</w:t>
      </w:r>
      <w:r>
        <w:rPr>
          <w:lang w:val="fr-CH"/>
        </w:rPr>
        <w:t>ième session</w:t>
      </w:r>
      <w:r w:rsidRPr="00257C2B">
        <w:rPr>
          <w:lang w:val="fr-CH"/>
        </w:rPr>
        <w:t xml:space="preserve"> du CAJ et à la cinquante</w:t>
      </w:r>
      <w:r>
        <w:rPr>
          <w:lang w:val="fr-CH"/>
        </w:rPr>
        <w:t>-</w:t>
      </w:r>
      <w:r w:rsidRPr="00257C2B">
        <w:rPr>
          <w:lang w:val="fr-CH"/>
        </w:rPr>
        <w:t>quatr</w:t>
      </w:r>
      <w:r>
        <w:rPr>
          <w:lang w:val="fr-CH"/>
        </w:rPr>
        <w:t>ième session</w:t>
      </w:r>
      <w:r w:rsidRPr="00257C2B">
        <w:rPr>
          <w:lang w:val="fr-CH"/>
        </w:rPr>
        <w:t xml:space="preserve"> du Conseil).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C5280D" w:rsidRDefault="003A768F" w:rsidP="003A768F">
    <w:pPr>
      <w:pStyle w:val="Header"/>
      <w:rPr>
        <w:rStyle w:val="PageNumber"/>
        <w:lang w:val="en-US"/>
      </w:rPr>
    </w:pPr>
    <w:r>
      <w:rPr>
        <w:rStyle w:val="PageNumber"/>
        <w:lang w:val="en-US"/>
      </w:rPr>
      <w:t>CAJ/77/9</w:t>
    </w:r>
  </w:p>
  <w:p w:rsidR="003A768F" w:rsidRPr="00C5280D" w:rsidRDefault="003A768F" w:rsidP="003A768F">
    <w:pPr>
      <w:pStyle w:val="Header"/>
      <w:rPr>
        <w:lang w:val="en-US"/>
      </w:rPr>
    </w:pPr>
    <w:proofErr w:type="gramStart"/>
    <w:r w:rsidRPr="00C5280D">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D62F0">
      <w:rPr>
        <w:rStyle w:val="PageNumber"/>
        <w:noProof/>
        <w:lang w:val="en-US"/>
      </w:rPr>
      <w:t>8</w:t>
    </w:r>
    <w:r w:rsidRPr="00C5280D">
      <w:rPr>
        <w:rStyle w:val="PageNumber"/>
        <w:lang w:val="en-US"/>
      </w:rPr>
      <w:fldChar w:fldCharType="end"/>
    </w:r>
  </w:p>
  <w:p w:rsidR="003A768F" w:rsidRPr="00C5280D" w:rsidRDefault="003A768F" w:rsidP="003A768F"/>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C5280D" w:rsidRDefault="003A768F" w:rsidP="00875470">
    <w:pPr>
      <w:pStyle w:val="Header"/>
      <w:rPr>
        <w:rStyle w:val="PageNumber"/>
        <w:lang w:val="en-US"/>
      </w:rPr>
    </w:pPr>
    <w:r>
      <w:rPr>
        <w:rStyle w:val="PageNumber"/>
        <w:lang w:val="en-US"/>
      </w:rPr>
      <w:t>CAJ/77/9</w:t>
    </w:r>
  </w:p>
  <w:p w:rsidR="003A768F" w:rsidRDefault="003A768F" w:rsidP="00875470">
    <w:pPr>
      <w:pStyle w:val="Header"/>
      <w:rPr>
        <w:lang w:val="en-US"/>
      </w:rPr>
    </w:pPr>
  </w:p>
  <w:p w:rsidR="003A768F" w:rsidRPr="00C5280D" w:rsidRDefault="003A768F" w:rsidP="00875470">
    <w:pPr>
      <w:pStyle w:val="Header"/>
      <w:rPr>
        <w:lang w:val="en-US"/>
      </w:rPr>
    </w:pPr>
    <w:r>
      <w:rPr>
        <w:lang w:val="en-US"/>
      </w:rPr>
      <w:t xml:space="preserve">ANNEX II, </w:t>
    </w:r>
    <w:r w:rsidRPr="00926DF3">
      <w:rPr>
        <w:lang w:val="en-US"/>
      </w:rPr>
      <w:t>APPENDIX I</w:t>
    </w:r>
    <w:r>
      <w:rPr>
        <w:lang w:val="en-US"/>
      </w:rPr>
      <w:t>I</w:t>
    </w:r>
  </w:p>
  <w:p w:rsidR="003A768F" w:rsidRPr="00C5280D" w:rsidRDefault="003A768F" w:rsidP="00875470"/>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C5280D" w:rsidRDefault="003A768F" w:rsidP="00EB048E">
    <w:pPr>
      <w:pStyle w:val="Header"/>
      <w:rPr>
        <w:rStyle w:val="PageNumber"/>
        <w:lang w:val="en-US"/>
      </w:rPr>
    </w:pPr>
    <w:r>
      <w:rPr>
        <w:rStyle w:val="PageNumber"/>
        <w:lang w:val="en-US"/>
      </w:rPr>
      <w:t>CAJ/77/9</w:t>
    </w:r>
  </w:p>
  <w:p w:rsidR="003A768F" w:rsidRDefault="003A768F" w:rsidP="00EB048E">
    <w:pPr>
      <w:pStyle w:val="Header"/>
      <w:rPr>
        <w:lang w:val="en-US"/>
      </w:rPr>
    </w:pPr>
  </w:p>
  <w:p w:rsidR="003A768F" w:rsidRPr="00C5280D" w:rsidRDefault="003A768F" w:rsidP="00EB048E">
    <w:pPr>
      <w:pStyle w:val="Header"/>
      <w:rPr>
        <w:lang w:val="en-US"/>
      </w:rPr>
    </w:pPr>
    <w:r>
      <w:rPr>
        <w:lang w:val="en-US"/>
      </w:rPr>
      <w:t xml:space="preserve">ANNEX II, </w:t>
    </w:r>
    <w:r w:rsidRPr="00926DF3">
      <w:rPr>
        <w:lang w:val="en-US"/>
      </w:rPr>
      <w:t>APPENDIX I</w:t>
    </w:r>
    <w:r>
      <w:rPr>
        <w:lang w:val="en-US"/>
      </w:rPr>
      <w:t>I</w:t>
    </w:r>
  </w:p>
  <w:p w:rsidR="003A768F" w:rsidRPr="00C5280D" w:rsidRDefault="003A768F"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rsidP="00EC716D">
    <w:pPr>
      <w:pStyle w:val="Header"/>
      <w:rPr>
        <w:rStyle w:val="PageNumber"/>
        <w:lang w:val="en-US"/>
      </w:rPr>
    </w:pPr>
    <w:r>
      <w:rPr>
        <w:rStyle w:val="PageNumber"/>
        <w:lang w:val="en-US"/>
      </w:rPr>
      <w:t>CAJ/77/9</w:t>
    </w:r>
  </w:p>
  <w:p w:rsidR="003A768F" w:rsidRPr="00C5280D" w:rsidRDefault="003A768F" w:rsidP="00EC716D">
    <w:pPr>
      <w:pStyle w:val="Header"/>
      <w:rPr>
        <w:rStyle w:val="PageNumber"/>
        <w:lang w:val="en-US"/>
      </w:rPr>
    </w:pPr>
  </w:p>
  <w:p w:rsidR="003A768F" w:rsidRPr="00A72DBF" w:rsidRDefault="003A768F" w:rsidP="00EC716D">
    <w:pPr>
      <w:jc w:val="center"/>
      <w:rPr>
        <w:lang w:val="en-US"/>
      </w:rPr>
    </w:pPr>
    <w:r w:rsidRPr="00A72DBF">
      <w:rPr>
        <w:lang w:val="en-US"/>
      </w:rPr>
      <w:t xml:space="preserve">ANNEXE I, </w:t>
    </w:r>
    <w:r>
      <w:rPr>
        <w:lang w:val="en-US"/>
      </w:rPr>
      <w:t>APPENDICE</w:t>
    </w:r>
    <w:r w:rsidRPr="00A72DBF">
      <w:rPr>
        <w:lang w:val="en-US"/>
      </w:rPr>
      <w:t xml:space="preserve"> I</w:t>
    </w:r>
  </w:p>
  <w:p w:rsidR="003A768F" w:rsidRPr="00A72DBF" w:rsidRDefault="003A768F" w:rsidP="00EC716D">
    <w:pPr>
      <w:jc w:val="center"/>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C5280D" w:rsidRDefault="003A768F" w:rsidP="003A768F">
    <w:pPr>
      <w:pStyle w:val="Header"/>
      <w:rPr>
        <w:rStyle w:val="PageNumber"/>
        <w:lang w:val="en-US"/>
      </w:rPr>
    </w:pPr>
    <w:r>
      <w:rPr>
        <w:rStyle w:val="PageNumber"/>
        <w:lang w:val="en-US"/>
      </w:rPr>
      <w:t>CAJ/77/9</w:t>
    </w:r>
  </w:p>
  <w:p w:rsidR="003A768F" w:rsidRDefault="003A768F" w:rsidP="003A768F">
    <w:pPr>
      <w:pStyle w:val="Header"/>
      <w:rPr>
        <w:lang w:val="en-US"/>
      </w:rPr>
    </w:pPr>
  </w:p>
  <w:p w:rsidR="003A768F" w:rsidRPr="00C5280D" w:rsidRDefault="003A768F" w:rsidP="003A768F">
    <w:pPr>
      <w:pStyle w:val="Header"/>
      <w:rPr>
        <w:lang w:val="en-US"/>
      </w:rPr>
    </w:pPr>
    <w:r>
      <w:rPr>
        <w:lang w:val="en-US"/>
      </w:rPr>
      <w:t xml:space="preserve">ANNEX II, </w:t>
    </w:r>
    <w:r w:rsidRPr="00926DF3">
      <w:rPr>
        <w:lang w:val="en-US"/>
      </w:rPr>
      <w:t>APPENDIX I</w:t>
    </w:r>
    <w:r>
      <w:rPr>
        <w:lang w:val="en-US"/>
      </w:rPr>
      <w:t>I</w:t>
    </w:r>
  </w:p>
  <w:p w:rsidR="003A768F" w:rsidRPr="00C5280D" w:rsidRDefault="003A768F" w:rsidP="003A768F"/>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C5280D" w:rsidRDefault="003A768F" w:rsidP="00EB048E">
    <w:pPr>
      <w:pStyle w:val="Header"/>
      <w:rPr>
        <w:rStyle w:val="PageNumber"/>
        <w:lang w:val="en-US"/>
      </w:rPr>
    </w:pPr>
    <w:r>
      <w:rPr>
        <w:rStyle w:val="PageNumber"/>
        <w:lang w:val="en-US"/>
      </w:rPr>
      <w:t>CAJ/77/9</w:t>
    </w:r>
  </w:p>
  <w:p w:rsidR="003A768F" w:rsidRDefault="003A768F" w:rsidP="00EB048E">
    <w:pPr>
      <w:pStyle w:val="Header"/>
      <w:rPr>
        <w:lang w:val="en-US"/>
      </w:rPr>
    </w:pPr>
  </w:p>
  <w:p w:rsidR="003A768F" w:rsidRPr="00C5280D" w:rsidRDefault="003A768F" w:rsidP="00EB048E">
    <w:pPr>
      <w:pStyle w:val="Header"/>
      <w:rPr>
        <w:lang w:val="en-US"/>
      </w:rPr>
    </w:pPr>
    <w:r>
      <w:rPr>
        <w:lang w:val="en-US"/>
      </w:rPr>
      <w:t xml:space="preserve">ANNEX II, </w:t>
    </w:r>
    <w:r w:rsidRPr="00926DF3">
      <w:rPr>
        <w:lang w:val="en-US"/>
      </w:rPr>
      <w:t>APPENDIX I</w:t>
    </w:r>
    <w:r>
      <w:rPr>
        <w:lang w:val="en-US"/>
      </w:rPr>
      <w:t>I</w:t>
    </w:r>
  </w:p>
  <w:p w:rsidR="003A768F" w:rsidRPr="00C5280D" w:rsidRDefault="003A768F"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rsidP="00EC716D">
    <w:pPr>
      <w:pStyle w:val="Header"/>
      <w:rPr>
        <w:rStyle w:val="PageNumber"/>
        <w:lang w:val="en-US"/>
      </w:rPr>
    </w:pPr>
    <w:r>
      <w:rPr>
        <w:rStyle w:val="PageNumber"/>
        <w:lang w:val="en-US"/>
      </w:rPr>
      <w:t>CAJ/77/9</w:t>
    </w:r>
  </w:p>
  <w:p w:rsidR="003A768F" w:rsidRPr="00C5280D" w:rsidRDefault="003A768F" w:rsidP="00EC716D">
    <w:pPr>
      <w:pStyle w:val="Header"/>
      <w:rPr>
        <w:rStyle w:val="PageNumber"/>
        <w:lang w:val="en-US"/>
      </w:rPr>
    </w:pPr>
  </w:p>
  <w:p w:rsidR="003A768F" w:rsidRPr="00B4425D" w:rsidRDefault="003A768F" w:rsidP="00EC716D">
    <w:pPr>
      <w:jc w:val="center"/>
      <w:rPr>
        <w:lang w:val="en-US"/>
      </w:rPr>
    </w:pPr>
    <w:r w:rsidRPr="00B4425D">
      <w:rPr>
        <w:lang w:val="en-US"/>
      </w:rPr>
      <w:t>ANNEXE I, APPENDICE III</w:t>
    </w:r>
  </w:p>
  <w:p w:rsidR="003A768F" w:rsidRPr="00B4425D" w:rsidRDefault="003A768F" w:rsidP="00EC716D">
    <w:pPr>
      <w:jc w:val="center"/>
      <w:rPr>
        <w:lang w:val="en-U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C5280D" w:rsidRDefault="003A768F" w:rsidP="003A768F">
    <w:pPr>
      <w:pStyle w:val="Header"/>
      <w:rPr>
        <w:rStyle w:val="PageNumber"/>
        <w:lang w:val="en-US"/>
      </w:rPr>
    </w:pPr>
    <w:r>
      <w:rPr>
        <w:rStyle w:val="PageNumber"/>
        <w:lang w:val="en-US"/>
      </w:rPr>
      <w:t>CAJ/77/9</w:t>
    </w:r>
  </w:p>
  <w:p w:rsidR="003A768F" w:rsidRDefault="003A768F" w:rsidP="003A768F">
    <w:pPr>
      <w:pStyle w:val="Header"/>
      <w:rPr>
        <w:lang w:val="en-US"/>
      </w:rPr>
    </w:pPr>
  </w:p>
  <w:p w:rsidR="003A768F" w:rsidRPr="00C5280D" w:rsidRDefault="003A768F" w:rsidP="003A768F">
    <w:pPr>
      <w:pStyle w:val="Header"/>
      <w:rPr>
        <w:lang w:val="en-US"/>
      </w:rPr>
    </w:pPr>
    <w:r>
      <w:rPr>
        <w:lang w:val="en-US"/>
      </w:rPr>
      <w:t xml:space="preserve">ANNEX II, </w:t>
    </w:r>
    <w:r w:rsidRPr="00926DF3">
      <w:rPr>
        <w:lang w:val="en-US"/>
      </w:rPr>
      <w:t>APPENDIX I</w:t>
    </w:r>
    <w:r>
      <w:rPr>
        <w:lang w:val="en-US"/>
      </w:rPr>
      <w:t>I</w:t>
    </w:r>
  </w:p>
  <w:p w:rsidR="003A768F" w:rsidRPr="00C5280D" w:rsidRDefault="003A768F" w:rsidP="003A768F"/>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C5280D" w:rsidRDefault="003A768F" w:rsidP="00EB048E">
    <w:pPr>
      <w:pStyle w:val="Header"/>
      <w:rPr>
        <w:rStyle w:val="PageNumber"/>
        <w:lang w:val="en-US"/>
      </w:rPr>
    </w:pPr>
    <w:r>
      <w:rPr>
        <w:rStyle w:val="PageNumber"/>
        <w:lang w:val="en-US"/>
      </w:rPr>
      <w:t>CAJ/77/9</w:t>
    </w:r>
  </w:p>
  <w:p w:rsidR="003A768F" w:rsidRDefault="003A768F" w:rsidP="00EB048E">
    <w:pPr>
      <w:pStyle w:val="Header"/>
      <w:rPr>
        <w:lang w:val="en-US"/>
      </w:rPr>
    </w:pPr>
  </w:p>
  <w:p w:rsidR="003A768F" w:rsidRPr="00C5280D" w:rsidRDefault="003A768F" w:rsidP="00EB048E">
    <w:pPr>
      <w:pStyle w:val="Header"/>
      <w:rPr>
        <w:lang w:val="en-US"/>
      </w:rPr>
    </w:pPr>
    <w:r>
      <w:rPr>
        <w:lang w:val="en-US"/>
      </w:rPr>
      <w:t xml:space="preserve">ANNEX II, </w:t>
    </w:r>
    <w:r w:rsidRPr="00926DF3">
      <w:rPr>
        <w:lang w:val="en-US"/>
      </w:rPr>
      <w:t>APPENDIX I</w:t>
    </w:r>
    <w:r>
      <w:rPr>
        <w:lang w:val="en-US"/>
      </w:rPr>
      <w:t>I</w:t>
    </w:r>
  </w:p>
  <w:p w:rsidR="003A768F" w:rsidRPr="00C5280D" w:rsidRDefault="003A768F" w:rsidP="006655D3"/>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rsidP="00EC716D">
    <w:pPr>
      <w:pStyle w:val="Header"/>
      <w:rPr>
        <w:rStyle w:val="PageNumber"/>
        <w:lang w:val="en-US"/>
      </w:rPr>
    </w:pPr>
    <w:r>
      <w:rPr>
        <w:rStyle w:val="PageNumber"/>
        <w:lang w:val="en-US"/>
      </w:rPr>
      <w:t>CAJ/77/9</w:t>
    </w:r>
  </w:p>
  <w:p w:rsidR="003A768F" w:rsidRPr="00C5280D" w:rsidRDefault="003A768F" w:rsidP="00EC716D">
    <w:pPr>
      <w:pStyle w:val="Header"/>
      <w:rPr>
        <w:rStyle w:val="PageNumber"/>
        <w:lang w:val="en-US"/>
      </w:rPr>
    </w:pPr>
  </w:p>
  <w:p w:rsidR="003A768F" w:rsidRPr="00B4425D" w:rsidRDefault="003A768F" w:rsidP="00EC716D">
    <w:pPr>
      <w:jc w:val="center"/>
      <w:rPr>
        <w:lang w:val="en-US"/>
      </w:rPr>
    </w:pPr>
    <w:r w:rsidRPr="00B4425D">
      <w:rPr>
        <w:lang w:val="en-US"/>
      </w:rPr>
      <w:t>ANNEXE I, APPENDICE IV</w:t>
    </w:r>
  </w:p>
  <w:p w:rsidR="003A768F" w:rsidRPr="00B4425D" w:rsidRDefault="003A768F" w:rsidP="00EC716D">
    <w:pPr>
      <w:jc w:val="center"/>
      <w:rPr>
        <w:lang w:val="en-US"/>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C5280D" w:rsidRDefault="003A768F" w:rsidP="003A768F">
    <w:pPr>
      <w:pStyle w:val="Header"/>
      <w:rPr>
        <w:rStyle w:val="PageNumber"/>
        <w:lang w:val="en-US"/>
      </w:rPr>
    </w:pPr>
    <w:r>
      <w:rPr>
        <w:rStyle w:val="PageNumber"/>
        <w:lang w:val="en-US"/>
      </w:rPr>
      <w:t>CAJ/77/9</w:t>
    </w:r>
  </w:p>
  <w:p w:rsidR="003A768F" w:rsidRDefault="003A768F" w:rsidP="003A768F">
    <w:pPr>
      <w:pStyle w:val="Header"/>
      <w:rPr>
        <w:lang w:val="en-US"/>
      </w:rPr>
    </w:pPr>
  </w:p>
  <w:p w:rsidR="003A768F" w:rsidRPr="00C5280D" w:rsidRDefault="003A768F" w:rsidP="003A768F">
    <w:pPr>
      <w:pStyle w:val="Header"/>
      <w:rPr>
        <w:lang w:val="en-US"/>
      </w:rPr>
    </w:pPr>
    <w:r>
      <w:rPr>
        <w:lang w:val="en-US"/>
      </w:rPr>
      <w:t xml:space="preserve">ANNEX II, </w:t>
    </w:r>
    <w:r w:rsidRPr="00926DF3">
      <w:rPr>
        <w:lang w:val="en-US"/>
      </w:rPr>
      <w:t>APPENDIX I</w:t>
    </w:r>
    <w:r>
      <w:rPr>
        <w:lang w:val="en-US"/>
      </w:rPr>
      <w:t>I</w:t>
    </w:r>
  </w:p>
  <w:p w:rsidR="003A768F" w:rsidRPr="00C5280D" w:rsidRDefault="003A768F" w:rsidP="003A76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C5280D" w:rsidRDefault="003A768F" w:rsidP="00EB048E">
    <w:pPr>
      <w:pStyle w:val="Header"/>
      <w:rPr>
        <w:rStyle w:val="PageNumber"/>
        <w:lang w:val="en-US"/>
      </w:rPr>
    </w:pPr>
    <w:r>
      <w:rPr>
        <w:rStyle w:val="PageNumber"/>
        <w:lang w:val="en-US"/>
      </w:rPr>
      <w:t>CAJ/77/9</w:t>
    </w:r>
  </w:p>
  <w:p w:rsidR="003A768F" w:rsidRPr="00C5280D" w:rsidRDefault="003A768F" w:rsidP="00EB048E">
    <w:pPr>
      <w:pStyle w:val="Header"/>
      <w:rPr>
        <w:lang w:val="en-US"/>
      </w:rPr>
    </w:pPr>
    <w:proofErr w:type="gramStart"/>
    <w:r w:rsidRPr="00C5280D">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D62F0">
      <w:rPr>
        <w:rStyle w:val="PageNumber"/>
        <w:noProof/>
        <w:lang w:val="en-US"/>
      </w:rPr>
      <w:t>7</w:t>
    </w:r>
    <w:r w:rsidRPr="00C5280D">
      <w:rPr>
        <w:rStyle w:val="PageNumber"/>
        <w:lang w:val="en-US"/>
      </w:rPr>
      <w:fldChar w:fldCharType="end"/>
    </w:r>
  </w:p>
  <w:p w:rsidR="003A768F" w:rsidRPr="00C5280D" w:rsidRDefault="003A768F" w:rsidP="006655D3"/>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C5280D" w:rsidRDefault="003A768F" w:rsidP="00EB048E">
    <w:pPr>
      <w:pStyle w:val="Header"/>
      <w:rPr>
        <w:rStyle w:val="PageNumber"/>
        <w:lang w:val="en-US"/>
      </w:rPr>
    </w:pPr>
    <w:r>
      <w:rPr>
        <w:rStyle w:val="PageNumber"/>
        <w:lang w:val="en-US"/>
      </w:rPr>
      <w:t>CAJ/77/9</w:t>
    </w:r>
  </w:p>
  <w:p w:rsidR="003A768F" w:rsidRDefault="003A768F" w:rsidP="00EB048E">
    <w:pPr>
      <w:pStyle w:val="Header"/>
      <w:rPr>
        <w:lang w:val="en-US"/>
      </w:rPr>
    </w:pPr>
  </w:p>
  <w:p w:rsidR="003A768F" w:rsidRPr="00C5280D" w:rsidRDefault="003A768F" w:rsidP="00EB048E">
    <w:pPr>
      <w:pStyle w:val="Header"/>
      <w:rPr>
        <w:lang w:val="en-US"/>
      </w:rPr>
    </w:pPr>
    <w:r>
      <w:rPr>
        <w:lang w:val="en-US"/>
      </w:rPr>
      <w:t xml:space="preserve">ANNEX II, </w:t>
    </w:r>
    <w:r w:rsidRPr="00926DF3">
      <w:rPr>
        <w:lang w:val="en-US"/>
      </w:rPr>
      <w:t>APPENDIX I</w:t>
    </w:r>
    <w:r>
      <w:rPr>
        <w:lang w:val="en-US"/>
      </w:rPr>
      <w:t>I</w:t>
    </w:r>
  </w:p>
  <w:p w:rsidR="003A768F" w:rsidRPr="00C5280D" w:rsidRDefault="003A768F" w:rsidP="006655D3"/>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rsidP="00EC716D">
    <w:pPr>
      <w:pStyle w:val="Header"/>
      <w:rPr>
        <w:rStyle w:val="PageNumber"/>
        <w:lang w:val="en-US"/>
      </w:rPr>
    </w:pPr>
    <w:r>
      <w:rPr>
        <w:rStyle w:val="PageNumber"/>
        <w:lang w:val="en-US"/>
      </w:rPr>
      <w:t>CAJ/77/9</w:t>
    </w:r>
  </w:p>
  <w:p w:rsidR="003A768F" w:rsidRPr="00C5280D" w:rsidRDefault="003A768F" w:rsidP="00EC716D">
    <w:pPr>
      <w:pStyle w:val="Header"/>
      <w:rPr>
        <w:rStyle w:val="PageNumber"/>
        <w:lang w:val="en-US"/>
      </w:rPr>
    </w:pPr>
  </w:p>
  <w:p w:rsidR="003A768F" w:rsidRDefault="003A768F" w:rsidP="00EC716D">
    <w:pPr>
      <w:jc w:val="center"/>
    </w:pPr>
    <w:r w:rsidRPr="0091445C">
      <w:t>ANNEX</w:t>
    </w:r>
    <w:r>
      <w:t>E</w:t>
    </w:r>
    <w:r w:rsidRPr="0091445C">
      <w:t xml:space="preserve"> II</w:t>
    </w:r>
  </w:p>
  <w:p w:rsidR="003A768F" w:rsidRDefault="003A768F" w:rsidP="00EC716D">
    <w:pPr>
      <w:jc w:val="cent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C5280D" w:rsidRDefault="003A768F" w:rsidP="003A768F">
    <w:pPr>
      <w:pStyle w:val="Header"/>
      <w:rPr>
        <w:rStyle w:val="PageNumber"/>
        <w:lang w:val="en-US"/>
      </w:rPr>
    </w:pPr>
    <w:r>
      <w:rPr>
        <w:rStyle w:val="PageNumber"/>
        <w:lang w:val="en-US"/>
      </w:rPr>
      <w:t>CAJ/77/9</w:t>
    </w:r>
  </w:p>
  <w:p w:rsidR="003A768F" w:rsidRDefault="003A768F" w:rsidP="003A768F">
    <w:pPr>
      <w:pStyle w:val="Header"/>
      <w:rPr>
        <w:lang w:val="en-US"/>
      </w:rPr>
    </w:pPr>
  </w:p>
  <w:p w:rsidR="003A768F" w:rsidRPr="00C5280D" w:rsidRDefault="003A768F" w:rsidP="003A768F">
    <w:pPr>
      <w:pStyle w:val="Header"/>
      <w:rPr>
        <w:lang w:val="en-US"/>
      </w:rPr>
    </w:pPr>
    <w:r>
      <w:rPr>
        <w:lang w:val="en-US"/>
      </w:rPr>
      <w:t xml:space="preserve">ANNEX II, </w:t>
    </w:r>
    <w:r w:rsidRPr="00926DF3">
      <w:rPr>
        <w:lang w:val="en-US"/>
      </w:rPr>
      <w:t>APPENDIX I</w:t>
    </w:r>
    <w:r>
      <w:rPr>
        <w:lang w:val="en-US"/>
      </w:rPr>
      <w:t>I</w:t>
    </w:r>
  </w:p>
  <w:p w:rsidR="003A768F" w:rsidRPr="00C5280D" w:rsidRDefault="003A768F" w:rsidP="003A768F"/>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C5280D" w:rsidRDefault="003A768F" w:rsidP="00EB048E">
    <w:pPr>
      <w:pStyle w:val="Header"/>
      <w:rPr>
        <w:rStyle w:val="PageNumber"/>
        <w:lang w:val="en-US"/>
      </w:rPr>
    </w:pPr>
    <w:r>
      <w:rPr>
        <w:rStyle w:val="PageNumber"/>
        <w:lang w:val="en-US"/>
      </w:rPr>
      <w:t>CAJ/77/9</w:t>
    </w:r>
  </w:p>
  <w:p w:rsidR="003A768F" w:rsidRDefault="003A768F" w:rsidP="00EB048E">
    <w:pPr>
      <w:pStyle w:val="Header"/>
      <w:rPr>
        <w:lang w:val="en-US"/>
      </w:rPr>
    </w:pPr>
  </w:p>
  <w:p w:rsidR="003A768F" w:rsidRPr="00C5280D" w:rsidRDefault="003A768F" w:rsidP="00EB048E">
    <w:pPr>
      <w:pStyle w:val="Header"/>
      <w:rPr>
        <w:lang w:val="en-US"/>
      </w:rPr>
    </w:pPr>
    <w:r>
      <w:rPr>
        <w:lang w:val="en-US"/>
      </w:rPr>
      <w:t xml:space="preserve">ANNEX II, </w:t>
    </w:r>
    <w:r w:rsidRPr="00926DF3">
      <w:rPr>
        <w:lang w:val="en-US"/>
      </w:rPr>
      <w:t>APPENDIX I</w:t>
    </w:r>
    <w:r>
      <w:rPr>
        <w:lang w:val="en-US"/>
      </w:rPr>
      <w:t>I</w:t>
    </w:r>
  </w:p>
  <w:p w:rsidR="003A768F" w:rsidRPr="00C5280D" w:rsidRDefault="003A768F" w:rsidP="006655D3"/>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A01FAE" w:rsidRDefault="003A768F" w:rsidP="00EC716D">
    <w:pPr>
      <w:pStyle w:val="Header"/>
      <w:rPr>
        <w:rStyle w:val="PageNumber"/>
        <w:lang w:val="en-US"/>
      </w:rPr>
    </w:pPr>
    <w:r w:rsidRPr="00A01FAE">
      <w:rPr>
        <w:rStyle w:val="PageNumber"/>
        <w:lang w:val="en-US"/>
      </w:rPr>
      <w:t>CAJ/77/9</w:t>
    </w:r>
  </w:p>
  <w:p w:rsidR="003A768F" w:rsidRPr="00A01FAE" w:rsidRDefault="003A768F" w:rsidP="00EC716D">
    <w:pPr>
      <w:pStyle w:val="Header"/>
      <w:rPr>
        <w:rStyle w:val="PageNumber"/>
        <w:lang w:val="en-US"/>
      </w:rPr>
    </w:pPr>
  </w:p>
  <w:p w:rsidR="003A768F" w:rsidRPr="00A01FAE" w:rsidRDefault="003A768F" w:rsidP="00EC716D">
    <w:pPr>
      <w:jc w:val="center"/>
      <w:rPr>
        <w:lang w:val="en-US"/>
      </w:rPr>
    </w:pPr>
    <w:r w:rsidRPr="00A01FAE">
      <w:rPr>
        <w:lang w:val="en-US"/>
      </w:rPr>
      <w:t>ANNEXE II, APPENDICE I</w:t>
    </w:r>
  </w:p>
  <w:p w:rsidR="003A768F" w:rsidRPr="00A01FAE" w:rsidRDefault="003A768F" w:rsidP="00EC716D">
    <w:pPr>
      <w:jc w:val="center"/>
      <w:rPr>
        <w:lang w:val="en-US"/>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rsidP="00DD6495">
    <w:pPr>
      <w:pStyle w:val="Header"/>
      <w:rPr>
        <w:rStyle w:val="PageNumber"/>
        <w:lang w:val="en-US"/>
      </w:rPr>
    </w:pPr>
    <w:r>
      <w:rPr>
        <w:rStyle w:val="PageNumber"/>
        <w:lang w:val="en-US"/>
      </w:rPr>
      <w:t>CAJ/77/9</w:t>
    </w:r>
  </w:p>
  <w:p w:rsidR="003A768F" w:rsidRDefault="003A768F" w:rsidP="00DD6495">
    <w:pPr>
      <w:pStyle w:val="Header"/>
      <w:rPr>
        <w:rStyle w:val="PageNumber"/>
        <w:lang w:val="en-US"/>
      </w:rPr>
    </w:pPr>
  </w:p>
  <w:p w:rsidR="003A768F" w:rsidRDefault="003A768F" w:rsidP="00DD6495">
    <w:pPr>
      <w:pStyle w:val="Header"/>
      <w:rPr>
        <w:lang w:val="en-US"/>
      </w:rPr>
    </w:pPr>
    <w:r>
      <w:rPr>
        <w:lang w:val="en-US"/>
      </w:rPr>
      <w:t>ANNEXE II, APPENDICE III</w:t>
    </w:r>
  </w:p>
  <w:p w:rsidR="003A768F" w:rsidRPr="00DD6495" w:rsidRDefault="003A768F" w:rsidP="00DD6495">
    <w:pPr>
      <w:pStyle w:val="Header"/>
      <w:rPr>
        <w:lang w:val="en-US"/>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C5280D" w:rsidRDefault="003A768F" w:rsidP="00A71548">
    <w:pPr>
      <w:pStyle w:val="Header"/>
      <w:rPr>
        <w:rStyle w:val="PageNumber"/>
        <w:lang w:val="en-US"/>
      </w:rPr>
    </w:pPr>
    <w:r>
      <w:rPr>
        <w:rStyle w:val="PageNumber"/>
        <w:lang w:val="en-US"/>
      </w:rPr>
      <w:t>CAJ/77/</w:t>
    </w:r>
  </w:p>
  <w:p w:rsidR="003A768F" w:rsidRPr="00C5280D" w:rsidRDefault="003A768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19</w:t>
    </w:r>
    <w:r w:rsidRPr="00C5280D">
      <w:rPr>
        <w:rStyle w:val="PageNumber"/>
        <w:lang w:val="en-US"/>
      </w:rPr>
      <w:fldChar w:fldCharType="end"/>
    </w:r>
  </w:p>
  <w:p w:rsidR="003A768F" w:rsidRPr="00C5280D" w:rsidRDefault="003A768F" w:rsidP="006655D3"/>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DB40C1" w:rsidRDefault="003A768F" w:rsidP="00EC716D">
    <w:pPr>
      <w:pStyle w:val="Header"/>
      <w:rPr>
        <w:rStyle w:val="PageNumber"/>
        <w:lang w:val="en-US"/>
      </w:rPr>
    </w:pPr>
    <w:r w:rsidRPr="00DB40C1">
      <w:rPr>
        <w:rStyle w:val="PageNumber"/>
        <w:lang w:val="en-US"/>
      </w:rPr>
      <w:t>CAJ/77/9</w:t>
    </w:r>
  </w:p>
  <w:p w:rsidR="003A768F" w:rsidRPr="00DB40C1" w:rsidRDefault="003A768F" w:rsidP="00EC716D">
    <w:pPr>
      <w:pStyle w:val="Header"/>
      <w:rPr>
        <w:rStyle w:val="PageNumber"/>
        <w:lang w:val="en-US"/>
      </w:rPr>
    </w:pPr>
  </w:p>
  <w:p w:rsidR="003A768F" w:rsidRPr="00DB40C1" w:rsidRDefault="003A768F" w:rsidP="00EC716D">
    <w:pPr>
      <w:jc w:val="center"/>
      <w:rPr>
        <w:lang w:val="en-US"/>
      </w:rPr>
    </w:pPr>
    <w:r w:rsidRPr="00DB40C1">
      <w:rPr>
        <w:lang w:val="en-US"/>
      </w:rPr>
      <w:t>ANNEXE II, APPENDICE I</w:t>
    </w:r>
    <w:r>
      <w:rPr>
        <w:lang w:val="en-US"/>
      </w:rPr>
      <w:t>I</w:t>
    </w:r>
  </w:p>
  <w:p w:rsidR="003A768F" w:rsidRPr="00DB40C1" w:rsidRDefault="003A768F" w:rsidP="00EC716D">
    <w:pP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C5280D" w:rsidRDefault="003A768F" w:rsidP="003A768F">
    <w:pPr>
      <w:pStyle w:val="Header"/>
      <w:rPr>
        <w:rStyle w:val="PageNumber"/>
        <w:lang w:val="en-US"/>
      </w:rPr>
    </w:pPr>
    <w:r>
      <w:rPr>
        <w:rStyle w:val="PageNumber"/>
        <w:lang w:val="en-US"/>
      </w:rPr>
      <w:t>CAJ/77/9</w:t>
    </w:r>
  </w:p>
  <w:p w:rsidR="003A768F" w:rsidRDefault="003A768F" w:rsidP="003A768F">
    <w:pPr>
      <w:pStyle w:val="Header"/>
      <w:rPr>
        <w:lang w:val="en-US"/>
      </w:rPr>
    </w:pPr>
  </w:p>
  <w:p w:rsidR="003A768F" w:rsidRPr="00C5280D" w:rsidRDefault="003A768F" w:rsidP="003A768F">
    <w:pPr>
      <w:pStyle w:val="Header"/>
      <w:rPr>
        <w:lang w:val="en-US"/>
      </w:rPr>
    </w:pPr>
    <w:r>
      <w:rPr>
        <w:lang w:val="en-US"/>
      </w:rPr>
      <w:t xml:space="preserve">ANNEX II, </w:t>
    </w:r>
    <w:r w:rsidRPr="00926DF3">
      <w:rPr>
        <w:lang w:val="en-US"/>
      </w:rPr>
      <w:t>APPENDIX I</w:t>
    </w:r>
    <w:r>
      <w:rPr>
        <w:lang w:val="en-US"/>
      </w:rPr>
      <w:t>I</w:t>
    </w:r>
  </w:p>
  <w:p w:rsidR="003A768F" w:rsidRPr="00C5280D" w:rsidRDefault="003A768F" w:rsidP="003A768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C5280D" w:rsidRDefault="003A768F" w:rsidP="00EB048E">
    <w:pPr>
      <w:pStyle w:val="Header"/>
      <w:rPr>
        <w:rStyle w:val="PageNumber"/>
        <w:lang w:val="en-US"/>
      </w:rPr>
    </w:pPr>
    <w:r>
      <w:rPr>
        <w:rStyle w:val="PageNumber"/>
        <w:lang w:val="en-US"/>
      </w:rPr>
      <w:t>CAJ/77/9</w:t>
    </w:r>
  </w:p>
  <w:p w:rsidR="003A768F" w:rsidRDefault="003A768F" w:rsidP="00EB048E">
    <w:pPr>
      <w:pStyle w:val="Header"/>
      <w:rPr>
        <w:lang w:val="en-US"/>
      </w:rPr>
    </w:pPr>
  </w:p>
  <w:p w:rsidR="003A768F" w:rsidRPr="00C5280D" w:rsidRDefault="003A768F" w:rsidP="00EB048E">
    <w:pPr>
      <w:pStyle w:val="Header"/>
      <w:rPr>
        <w:lang w:val="en-US"/>
      </w:rPr>
    </w:pPr>
    <w:r>
      <w:rPr>
        <w:lang w:val="en-US"/>
      </w:rPr>
      <w:t xml:space="preserve">ANNEX II, </w:t>
    </w:r>
    <w:r w:rsidRPr="00926DF3">
      <w:rPr>
        <w:lang w:val="en-US"/>
      </w:rPr>
      <w:t>APPENDIX I</w:t>
    </w:r>
    <w:r>
      <w:rPr>
        <w:lang w:val="en-US"/>
      </w:rPr>
      <w:t>I</w:t>
    </w:r>
  </w:p>
  <w:p w:rsidR="003A768F" w:rsidRPr="00C5280D" w:rsidRDefault="003A768F"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rsidP="00EC716D">
    <w:pPr>
      <w:pStyle w:val="Header"/>
      <w:rPr>
        <w:rStyle w:val="PageNumber"/>
        <w:lang w:val="en-US"/>
      </w:rPr>
    </w:pPr>
    <w:r>
      <w:rPr>
        <w:rStyle w:val="PageNumber"/>
        <w:lang w:val="en-US"/>
      </w:rPr>
      <w:t>CAJ/77/9</w:t>
    </w:r>
  </w:p>
  <w:p w:rsidR="003A768F" w:rsidRPr="00C5280D" w:rsidRDefault="003A768F" w:rsidP="00EC716D">
    <w:pPr>
      <w:pStyle w:val="Header"/>
      <w:rPr>
        <w:rStyle w:val="PageNumber"/>
        <w:lang w:val="en-US"/>
      </w:rPr>
    </w:pPr>
  </w:p>
  <w:p w:rsidR="003A768F" w:rsidRDefault="003A768F" w:rsidP="00EC716D">
    <w:pPr>
      <w:jc w:val="center"/>
    </w:pPr>
    <w:r>
      <w:t>ANNEXE I</w:t>
    </w:r>
  </w:p>
  <w:p w:rsidR="003A768F" w:rsidRDefault="003A768F" w:rsidP="00EC716D">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C5280D" w:rsidRDefault="003A768F" w:rsidP="003A768F">
    <w:pPr>
      <w:pStyle w:val="Header"/>
      <w:rPr>
        <w:rStyle w:val="PageNumber"/>
        <w:lang w:val="en-US"/>
      </w:rPr>
    </w:pPr>
    <w:r>
      <w:rPr>
        <w:rStyle w:val="PageNumber"/>
        <w:lang w:val="en-US"/>
      </w:rPr>
      <w:t>CAJ/77/9</w:t>
    </w:r>
  </w:p>
  <w:p w:rsidR="003A768F" w:rsidRDefault="003A768F" w:rsidP="003A768F">
    <w:pPr>
      <w:pStyle w:val="Header"/>
      <w:rPr>
        <w:lang w:val="en-US"/>
      </w:rPr>
    </w:pPr>
  </w:p>
  <w:p w:rsidR="003A768F" w:rsidRPr="00C5280D" w:rsidRDefault="003A768F" w:rsidP="003A768F">
    <w:pPr>
      <w:pStyle w:val="Header"/>
      <w:rPr>
        <w:lang w:val="en-US"/>
      </w:rPr>
    </w:pPr>
    <w:r>
      <w:rPr>
        <w:lang w:val="en-US"/>
      </w:rPr>
      <w:t xml:space="preserve">ANNEX II, </w:t>
    </w:r>
    <w:r w:rsidRPr="00926DF3">
      <w:rPr>
        <w:lang w:val="en-US"/>
      </w:rPr>
      <w:t>APPENDIX I</w:t>
    </w:r>
    <w:r>
      <w:rPr>
        <w:lang w:val="en-US"/>
      </w:rPr>
      <w:t>I</w:t>
    </w:r>
  </w:p>
  <w:p w:rsidR="003A768F" w:rsidRPr="00C5280D" w:rsidRDefault="003A768F" w:rsidP="003A768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Pr="00C5280D" w:rsidRDefault="003A768F" w:rsidP="00EB048E">
    <w:pPr>
      <w:pStyle w:val="Header"/>
      <w:rPr>
        <w:rStyle w:val="PageNumber"/>
        <w:lang w:val="en-US"/>
      </w:rPr>
    </w:pPr>
    <w:r>
      <w:rPr>
        <w:rStyle w:val="PageNumber"/>
        <w:lang w:val="en-US"/>
      </w:rPr>
      <w:t>CAJ/77/9</w:t>
    </w:r>
  </w:p>
  <w:p w:rsidR="003A768F" w:rsidRDefault="003A768F" w:rsidP="00EB048E">
    <w:pPr>
      <w:pStyle w:val="Header"/>
      <w:rPr>
        <w:lang w:val="en-US"/>
      </w:rPr>
    </w:pPr>
  </w:p>
  <w:p w:rsidR="003A768F" w:rsidRPr="00C5280D" w:rsidRDefault="003A768F" w:rsidP="00EB048E">
    <w:pPr>
      <w:pStyle w:val="Header"/>
      <w:rPr>
        <w:lang w:val="en-US"/>
      </w:rPr>
    </w:pPr>
    <w:r>
      <w:rPr>
        <w:lang w:val="en-US"/>
      </w:rPr>
      <w:t xml:space="preserve">ANNEX II, </w:t>
    </w:r>
    <w:r w:rsidRPr="00926DF3">
      <w:rPr>
        <w:lang w:val="en-US"/>
      </w:rPr>
      <w:t>APPENDIX I</w:t>
    </w:r>
    <w:r>
      <w:rPr>
        <w:lang w:val="en-US"/>
      </w:rPr>
      <w:t>I</w:t>
    </w:r>
  </w:p>
  <w:p w:rsidR="003A768F" w:rsidRPr="00C5280D" w:rsidRDefault="003A768F"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8F" w:rsidRDefault="003A768F" w:rsidP="00EC716D">
    <w:pPr>
      <w:pStyle w:val="Header"/>
      <w:rPr>
        <w:rStyle w:val="PageNumber"/>
        <w:lang w:val="en-US"/>
      </w:rPr>
    </w:pPr>
    <w:r>
      <w:rPr>
        <w:rStyle w:val="PageNumber"/>
        <w:lang w:val="en-US"/>
      </w:rPr>
      <w:t>CAJ/77/9</w:t>
    </w:r>
  </w:p>
  <w:p w:rsidR="003A768F" w:rsidRPr="00C5280D" w:rsidRDefault="003A768F" w:rsidP="00EC716D">
    <w:pPr>
      <w:pStyle w:val="Header"/>
      <w:rPr>
        <w:rStyle w:val="PageNumber"/>
        <w:lang w:val="en-US"/>
      </w:rPr>
    </w:pPr>
  </w:p>
  <w:p w:rsidR="003A768F" w:rsidRDefault="003A768F" w:rsidP="00EC716D">
    <w:pPr>
      <w:jc w:val="center"/>
    </w:pPr>
    <w:r>
      <w:t xml:space="preserve">ANNEXE I, </w:t>
    </w:r>
    <w:r w:rsidRPr="00535B8D">
      <w:t>APPENDI</w:t>
    </w:r>
    <w:r>
      <w:t>CE</w:t>
    </w:r>
    <w:r w:rsidRPr="00535B8D">
      <w:t xml:space="preserve"> I</w:t>
    </w:r>
  </w:p>
  <w:p w:rsidR="003A768F" w:rsidRDefault="003A768F" w:rsidP="00EC716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2"/>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52692E"/>
    <w:multiLevelType w:val="hybridMultilevel"/>
    <w:tmpl w:val="3426261A"/>
    <w:lvl w:ilvl="0" w:tplc="326E2E38">
      <w:start w:val="2"/>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A1E4FE3"/>
    <w:multiLevelType w:val="hybridMultilevel"/>
    <w:tmpl w:val="6A8ACC92"/>
    <w:lvl w:ilvl="0" w:tplc="326E2E3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91409"/>
    <w:multiLevelType w:val="hybridMultilevel"/>
    <w:tmpl w:val="442C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42EBE"/>
    <w:multiLevelType w:val="hybridMultilevel"/>
    <w:tmpl w:val="099C1B72"/>
    <w:lvl w:ilvl="0" w:tplc="53B4ABC4">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3CCA417B"/>
    <w:multiLevelType w:val="hybridMultilevel"/>
    <w:tmpl w:val="F93635B0"/>
    <w:lvl w:ilvl="0" w:tplc="5B868488">
      <w:start w:val="27"/>
      <w:numFmt w:val="bullet"/>
      <w:lvlText w:val="-"/>
      <w:lvlJc w:val="left"/>
      <w:pPr>
        <w:ind w:left="924" w:hanging="360"/>
      </w:pPr>
      <w:rPr>
        <w:rFonts w:ascii="Arial" w:eastAsia="Times New Roman"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8EC0BA3"/>
    <w:multiLevelType w:val="hybridMultilevel"/>
    <w:tmpl w:val="0FEC4626"/>
    <w:lvl w:ilvl="0" w:tplc="326E2E38">
      <w:start w:val="2"/>
      <w:numFmt w:val="bullet"/>
      <w:lvlText w:val="-"/>
      <w:lvlJc w:val="left"/>
      <w:pPr>
        <w:ind w:left="1287" w:hanging="360"/>
      </w:pPr>
      <w:rPr>
        <w:rFonts w:ascii="Arial" w:eastAsia="Times New Roman" w:hAnsi="Arial" w:cs="Arial"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61FC5D2C"/>
    <w:multiLevelType w:val="hybridMultilevel"/>
    <w:tmpl w:val="66986286"/>
    <w:lvl w:ilvl="0" w:tplc="2084F23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3DA5E40"/>
    <w:multiLevelType w:val="hybridMultilevel"/>
    <w:tmpl w:val="F2CAB8C4"/>
    <w:lvl w:ilvl="0" w:tplc="707CCED8">
      <w:start w:val="1"/>
      <w:numFmt w:val="lowerLetter"/>
      <w:lvlText w:val="(%1)"/>
      <w:lvlJc w:val="left"/>
      <w:pPr>
        <w:ind w:left="5948" w:hanging="564"/>
      </w:pPr>
      <w:rPr>
        <w:rFonts w:hint="default"/>
      </w:rPr>
    </w:lvl>
    <w:lvl w:ilvl="1" w:tplc="040C0019" w:tentative="1">
      <w:start w:val="1"/>
      <w:numFmt w:val="lowerLetter"/>
      <w:lvlText w:val="%2."/>
      <w:lvlJc w:val="left"/>
      <w:pPr>
        <w:ind w:left="6464" w:hanging="360"/>
      </w:pPr>
    </w:lvl>
    <w:lvl w:ilvl="2" w:tplc="040C001B" w:tentative="1">
      <w:start w:val="1"/>
      <w:numFmt w:val="lowerRoman"/>
      <w:lvlText w:val="%3."/>
      <w:lvlJc w:val="right"/>
      <w:pPr>
        <w:ind w:left="7184" w:hanging="180"/>
      </w:pPr>
    </w:lvl>
    <w:lvl w:ilvl="3" w:tplc="040C000F" w:tentative="1">
      <w:start w:val="1"/>
      <w:numFmt w:val="decimal"/>
      <w:lvlText w:val="%4."/>
      <w:lvlJc w:val="left"/>
      <w:pPr>
        <w:ind w:left="7904" w:hanging="360"/>
      </w:pPr>
    </w:lvl>
    <w:lvl w:ilvl="4" w:tplc="040C0019" w:tentative="1">
      <w:start w:val="1"/>
      <w:numFmt w:val="lowerLetter"/>
      <w:lvlText w:val="%5."/>
      <w:lvlJc w:val="left"/>
      <w:pPr>
        <w:ind w:left="8624" w:hanging="360"/>
      </w:pPr>
    </w:lvl>
    <w:lvl w:ilvl="5" w:tplc="040C001B" w:tentative="1">
      <w:start w:val="1"/>
      <w:numFmt w:val="lowerRoman"/>
      <w:lvlText w:val="%6."/>
      <w:lvlJc w:val="right"/>
      <w:pPr>
        <w:ind w:left="9344" w:hanging="180"/>
      </w:pPr>
    </w:lvl>
    <w:lvl w:ilvl="6" w:tplc="040C000F" w:tentative="1">
      <w:start w:val="1"/>
      <w:numFmt w:val="decimal"/>
      <w:lvlText w:val="%7."/>
      <w:lvlJc w:val="left"/>
      <w:pPr>
        <w:ind w:left="10064" w:hanging="360"/>
      </w:pPr>
    </w:lvl>
    <w:lvl w:ilvl="7" w:tplc="040C0019" w:tentative="1">
      <w:start w:val="1"/>
      <w:numFmt w:val="lowerLetter"/>
      <w:lvlText w:val="%8."/>
      <w:lvlJc w:val="left"/>
      <w:pPr>
        <w:ind w:left="10784" w:hanging="360"/>
      </w:pPr>
    </w:lvl>
    <w:lvl w:ilvl="8" w:tplc="040C001B" w:tentative="1">
      <w:start w:val="1"/>
      <w:numFmt w:val="lowerRoman"/>
      <w:lvlText w:val="%9."/>
      <w:lvlJc w:val="right"/>
      <w:pPr>
        <w:ind w:left="11504" w:hanging="180"/>
      </w:pPr>
    </w:lvl>
  </w:abstractNum>
  <w:abstractNum w:abstractNumId="10" w15:restartNumberingAfterBreak="0">
    <w:nsid w:val="6B8C2AD6"/>
    <w:multiLevelType w:val="hybridMultilevel"/>
    <w:tmpl w:val="258A754A"/>
    <w:lvl w:ilvl="0" w:tplc="E4088ACC">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74D92"/>
    <w:multiLevelType w:val="hybridMultilevel"/>
    <w:tmpl w:val="47F269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351B2B"/>
    <w:multiLevelType w:val="hybridMultilevel"/>
    <w:tmpl w:val="C4C675CC"/>
    <w:lvl w:ilvl="0" w:tplc="326E2E38">
      <w:start w:val="2"/>
      <w:numFmt w:val="bullet"/>
      <w:lvlText w:val="-"/>
      <w:lvlJc w:val="left"/>
      <w:pPr>
        <w:ind w:left="1287" w:hanging="360"/>
      </w:pPr>
      <w:rPr>
        <w:rFonts w:ascii="Arial" w:eastAsia="Times New Roman" w:hAnsi="Arial" w:cs="Arial" w:hint="default"/>
      </w:rPr>
    </w:lvl>
    <w:lvl w:ilvl="1" w:tplc="326E2E38">
      <w:start w:val="2"/>
      <w:numFmt w:val="bullet"/>
      <w:lvlText w:val="-"/>
      <w:lvlJc w:val="left"/>
      <w:pPr>
        <w:ind w:left="2007" w:hanging="36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12"/>
  </w:num>
  <w:num w:numId="8">
    <w:abstractNumId w:val="7"/>
  </w:num>
  <w:num w:numId="9">
    <w:abstractNumId w:val="11"/>
  </w:num>
  <w:num w:numId="10">
    <w:abstractNumId w:val="0"/>
  </w:num>
  <w:num w:numId="11">
    <w:abstractNumId w:val="1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am Server TMs\French|Team Server TMs\French|TextBase TMs\WorkspaceFTS\Development\Development|TextBase TMs\WorkspaceFTS\xLegacy\Academy|TextBase TMs\WorkspaceFTS\xLegacy\Administrative|TextBase TMs\WorkspaceFTS\xLegacy\Budget and Finance|TextBase TMs\WorkspaceFTS\xLegacy\IP_Press_Other|TextBase TMs\WorkspaceFTS\xLegacy\Trademark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4823C4"/>
    <w:rsid w:val="00010CF3"/>
    <w:rsid w:val="00011E27"/>
    <w:rsid w:val="000148BC"/>
    <w:rsid w:val="00024AB8"/>
    <w:rsid w:val="00030854"/>
    <w:rsid w:val="00032952"/>
    <w:rsid w:val="00036028"/>
    <w:rsid w:val="00044642"/>
    <w:rsid w:val="000446B9"/>
    <w:rsid w:val="00047E21"/>
    <w:rsid w:val="00050E16"/>
    <w:rsid w:val="00073D9C"/>
    <w:rsid w:val="00074FDE"/>
    <w:rsid w:val="00085505"/>
    <w:rsid w:val="000970A8"/>
    <w:rsid w:val="000B7D22"/>
    <w:rsid w:val="000C4E25"/>
    <w:rsid w:val="000C7021"/>
    <w:rsid w:val="000D6BBC"/>
    <w:rsid w:val="000D7780"/>
    <w:rsid w:val="000E636A"/>
    <w:rsid w:val="000F2F11"/>
    <w:rsid w:val="000F7487"/>
    <w:rsid w:val="00105929"/>
    <w:rsid w:val="00110C36"/>
    <w:rsid w:val="001131D5"/>
    <w:rsid w:val="00141DB8"/>
    <w:rsid w:val="001640E5"/>
    <w:rsid w:val="00165F29"/>
    <w:rsid w:val="00171AC4"/>
    <w:rsid w:val="00172084"/>
    <w:rsid w:val="0017474A"/>
    <w:rsid w:val="001758C6"/>
    <w:rsid w:val="00182B99"/>
    <w:rsid w:val="00186B67"/>
    <w:rsid w:val="001C176C"/>
    <w:rsid w:val="001E0316"/>
    <w:rsid w:val="001F2133"/>
    <w:rsid w:val="001F4383"/>
    <w:rsid w:val="002052A8"/>
    <w:rsid w:val="0021332C"/>
    <w:rsid w:val="00213982"/>
    <w:rsid w:val="00232286"/>
    <w:rsid w:val="0024416D"/>
    <w:rsid w:val="00251621"/>
    <w:rsid w:val="00252467"/>
    <w:rsid w:val="00257C2B"/>
    <w:rsid w:val="00263EAF"/>
    <w:rsid w:val="00271911"/>
    <w:rsid w:val="002800A0"/>
    <w:rsid w:val="002801B3"/>
    <w:rsid w:val="00281060"/>
    <w:rsid w:val="002940E8"/>
    <w:rsid w:val="00294751"/>
    <w:rsid w:val="002A53EB"/>
    <w:rsid w:val="002A6E50"/>
    <w:rsid w:val="002B4298"/>
    <w:rsid w:val="002C256A"/>
    <w:rsid w:val="00305A7F"/>
    <w:rsid w:val="003152FE"/>
    <w:rsid w:val="00327436"/>
    <w:rsid w:val="00327BBA"/>
    <w:rsid w:val="0033264D"/>
    <w:rsid w:val="00337C0A"/>
    <w:rsid w:val="00344BD6"/>
    <w:rsid w:val="0035084F"/>
    <w:rsid w:val="0035528D"/>
    <w:rsid w:val="00360138"/>
    <w:rsid w:val="00360FB2"/>
    <w:rsid w:val="00361821"/>
    <w:rsid w:val="00361E9E"/>
    <w:rsid w:val="003869F7"/>
    <w:rsid w:val="003A768F"/>
    <w:rsid w:val="003C2C03"/>
    <w:rsid w:val="003C39D0"/>
    <w:rsid w:val="003C7FBE"/>
    <w:rsid w:val="003D0584"/>
    <w:rsid w:val="003D184E"/>
    <w:rsid w:val="003D227C"/>
    <w:rsid w:val="003D2B4D"/>
    <w:rsid w:val="003E0345"/>
    <w:rsid w:val="003E788D"/>
    <w:rsid w:val="003E7D94"/>
    <w:rsid w:val="0040557F"/>
    <w:rsid w:val="00444A88"/>
    <w:rsid w:val="0045397F"/>
    <w:rsid w:val="00474DA4"/>
    <w:rsid w:val="00476B4D"/>
    <w:rsid w:val="004805FA"/>
    <w:rsid w:val="004823C4"/>
    <w:rsid w:val="004935D2"/>
    <w:rsid w:val="004B1215"/>
    <w:rsid w:val="004C5AE3"/>
    <w:rsid w:val="004D047D"/>
    <w:rsid w:val="004F1E9E"/>
    <w:rsid w:val="004F305A"/>
    <w:rsid w:val="00512164"/>
    <w:rsid w:val="00520297"/>
    <w:rsid w:val="0052482B"/>
    <w:rsid w:val="005338F9"/>
    <w:rsid w:val="0054281C"/>
    <w:rsid w:val="00544581"/>
    <w:rsid w:val="00545E42"/>
    <w:rsid w:val="00547DBE"/>
    <w:rsid w:val="0055268D"/>
    <w:rsid w:val="00571A08"/>
    <w:rsid w:val="00576BE4"/>
    <w:rsid w:val="00583B55"/>
    <w:rsid w:val="00595BC6"/>
    <w:rsid w:val="005A400A"/>
    <w:rsid w:val="005F7B92"/>
    <w:rsid w:val="00612379"/>
    <w:rsid w:val="006153B6"/>
    <w:rsid w:val="0061555F"/>
    <w:rsid w:val="0063490F"/>
    <w:rsid w:val="00636CA6"/>
    <w:rsid w:val="00641200"/>
    <w:rsid w:val="00645CA8"/>
    <w:rsid w:val="006655D3"/>
    <w:rsid w:val="00667404"/>
    <w:rsid w:val="00687EB4"/>
    <w:rsid w:val="00695C56"/>
    <w:rsid w:val="006968A4"/>
    <w:rsid w:val="006A5CDE"/>
    <w:rsid w:val="006A644A"/>
    <w:rsid w:val="006B17D2"/>
    <w:rsid w:val="006C224E"/>
    <w:rsid w:val="006D780A"/>
    <w:rsid w:val="00700B2A"/>
    <w:rsid w:val="0071271E"/>
    <w:rsid w:val="007145E5"/>
    <w:rsid w:val="00715696"/>
    <w:rsid w:val="00732DEC"/>
    <w:rsid w:val="00735BD5"/>
    <w:rsid w:val="00751613"/>
    <w:rsid w:val="007556F6"/>
    <w:rsid w:val="007557BF"/>
    <w:rsid w:val="00760EEF"/>
    <w:rsid w:val="007753CF"/>
    <w:rsid w:val="00777EE5"/>
    <w:rsid w:val="00784836"/>
    <w:rsid w:val="00786D28"/>
    <w:rsid w:val="0079023E"/>
    <w:rsid w:val="007A03E5"/>
    <w:rsid w:val="007A2854"/>
    <w:rsid w:val="007C1D92"/>
    <w:rsid w:val="007C4CB9"/>
    <w:rsid w:val="007D0B9D"/>
    <w:rsid w:val="007D19B0"/>
    <w:rsid w:val="007D548B"/>
    <w:rsid w:val="007F498F"/>
    <w:rsid w:val="0080679D"/>
    <w:rsid w:val="008108B0"/>
    <w:rsid w:val="00811B20"/>
    <w:rsid w:val="008211B5"/>
    <w:rsid w:val="0082296E"/>
    <w:rsid w:val="00824099"/>
    <w:rsid w:val="0083791A"/>
    <w:rsid w:val="00846D7C"/>
    <w:rsid w:val="00864C55"/>
    <w:rsid w:val="00866BD7"/>
    <w:rsid w:val="00867AC1"/>
    <w:rsid w:val="008702BE"/>
    <w:rsid w:val="00875470"/>
    <w:rsid w:val="00890DF8"/>
    <w:rsid w:val="008A743F"/>
    <w:rsid w:val="008B4E55"/>
    <w:rsid w:val="008C0970"/>
    <w:rsid w:val="008D0BC5"/>
    <w:rsid w:val="008D2CF7"/>
    <w:rsid w:val="008E6B61"/>
    <w:rsid w:val="008F6CDB"/>
    <w:rsid w:val="008F6F37"/>
    <w:rsid w:val="00900C26"/>
    <w:rsid w:val="0090197F"/>
    <w:rsid w:val="00903242"/>
    <w:rsid w:val="00906DDC"/>
    <w:rsid w:val="00916EE3"/>
    <w:rsid w:val="00934E09"/>
    <w:rsid w:val="00936253"/>
    <w:rsid w:val="00940D46"/>
    <w:rsid w:val="00945DBD"/>
    <w:rsid w:val="00952DD4"/>
    <w:rsid w:val="00965AE7"/>
    <w:rsid w:val="00970FED"/>
    <w:rsid w:val="00984424"/>
    <w:rsid w:val="00992D82"/>
    <w:rsid w:val="00997029"/>
    <w:rsid w:val="009A7339"/>
    <w:rsid w:val="009B440E"/>
    <w:rsid w:val="009D690D"/>
    <w:rsid w:val="009E65B6"/>
    <w:rsid w:val="009F2C7E"/>
    <w:rsid w:val="00A23882"/>
    <w:rsid w:val="00A24C10"/>
    <w:rsid w:val="00A32475"/>
    <w:rsid w:val="00A42AC3"/>
    <w:rsid w:val="00A430CF"/>
    <w:rsid w:val="00A4614B"/>
    <w:rsid w:val="00A54309"/>
    <w:rsid w:val="00A62B33"/>
    <w:rsid w:val="00A706D3"/>
    <w:rsid w:val="00A71548"/>
    <w:rsid w:val="00A72DBF"/>
    <w:rsid w:val="00A86338"/>
    <w:rsid w:val="00AB2B93"/>
    <w:rsid w:val="00AB530F"/>
    <w:rsid w:val="00AB7E5B"/>
    <w:rsid w:val="00AC2883"/>
    <w:rsid w:val="00AC3B8D"/>
    <w:rsid w:val="00AD17A6"/>
    <w:rsid w:val="00AE0EF1"/>
    <w:rsid w:val="00AE2937"/>
    <w:rsid w:val="00AE4434"/>
    <w:rsid w:val="00B07301"/>
    <w:rsid w:val="00B11F3E"/>
    <w:rsid w:val="00B224DE"/>
    <w:rsid w:val="00B26E25"/>
    <w:rsid w:val="00B324D4"/>
    <w:rsid w:val="00B45655"/>
    <w:rsid w:val="00B46575"/>
    <w:rsid w:val="00B5636E"/>
    <w:rsid w:val="00B61777"/>
    <w:rsid w:val="00B76883"/>
    <w:rsid w:val="00B84BBD"/>
    <w:rsid w:val="00BA43FB"/>
    <w:rsid w:val="00BC127D"/>
    <w:rsid w:val="00BC1FE6"/>
    <w:rsid w:val="00BD62F0"/>
    <w:rsid w:val="00C061B6"/>
    <w:rsid w:val="00C2446C"/>
    <w:rsid w:val="00C36AE5"/>
    <w:rsid w:val="00C41F17"/>
    <w:rsid w:val="00C527FA"/>
    <w:rsid w:val="00C5280D"/>
    <w:rsid w:val="00C53EB3"/>
    <w:rsid w:val="00C5791C"/>
    <w:rsid w:val="00C64850"/>
    <w:rsid w:val="00C66290"/>
    <w:rsid w:val="00C72B7A"/>
    <w:rsid w:val="00C973F2"/>
    <w:rsid w:val="00CA304C"/>
    <w:rsid w:val="00CA774A"/>
    <w:rsid w:val="00CC11B0"/>
    <w:rsid w:val="00CC2841"/>
    <w:rsid w:val="00CD2CC0"/>
    <w:rsid w:val="00CF1330"/>
    <w:rsid w:val="00CF7E36"/>
    <w:rsid w:val="00D355F7"/>
    <w:rsid w:val="00D3708D"/>
    <w:rsid w:val="00D40426"/>
    <w:rsid w:val="00D550DB"/>
    <w:rsid w:val="00D57C96"/>
    <w:rsid w:val="00D57D18"/>
    <w:rsid w:val="00D60A38"/>
    <w:rsid w:val="00D670F2"/>
    <w:rsid w:val="00D91203"/>
    <w:rsid w:val="00D95174"/>
    <w:rsid w:val="00DA4973"/>
    <w:rsid w:val="00DA6F36"/>
    <w:rsid w:val="00DB40C1"/>
    <w:rsid w:val="00DB596E"/>
    <w:rsid w:val="00DB7773"/>
    <w:rsid w:val="00DC00EA"/>
    <w:rsid w:val="00DC3802"/>
    <w:rsid w:val="00DC5853"/>
    <w:rsid w:val="00DD6495"/>
    <w:rsid w:val="00DF3DD1"/>
    <w:rsid w:val="00E07D87"/>
    <w:rsid w:val="00E10BC4"/>
    <w:rsid w:val="00E32F7E"/>
    <w:rsid w:val="00E402DE"/>
    <w:rsid w:val="00E5267B"/>
    <w:rsid w:val="00E63C0E"/>
    <w:rsid w:val="00E72D49"/>
    <w:rsid w:val="00E73231"/>
    <w:rsid w:val="00E7593C"/>
    <w:rsid w:val="00E7678A"/>
    <w:rsid w:val="00E86C32"/>
    <w:rsid w:val="00E935F1"/>
    <w:rsid w:val="00E94A81"/>
    <w:rsid w:val="00EA1FFB"/>
    <w:rsid w:val="00EB048E"/>
    <w:rsid w:val="00EB4E9C"/>
    <w:rsid w:val="00EC6F39"/>
    <w:rsid w:val="00EC716D"/>
    <w:rsid w:val="00ED214A"/>
    <w:rsid w:val="00EE25CC"/>
    <w:rsid w:val="00EE34DF"/>
    <w:rsid w:val="00EE7342"/>
    <w:rsid w:val="00EF2F89"/>
    <w:rsid w:val="00F013A8"/>
    <w:rsid w:val="00F03E98"/>
    <w:rsid w:val="00F070BD"/>
    <w:rsid w:val="00F1237A"/>
    <w:rsid w:val="00F12B5A"/>
    <w:rsid w:val="00F22CBD"/>
    <w:rsid w:val="00F23F31"/>
    <w:rsid w:val="00F26F4B"/>
    <w:rsid w:val="00F272F1"/>
    <w:rsid w:val="00F45372"/>
    <w:rsid w:val="00F47CAD"/>
    <w:rsid w:val="00F55503"/>
    <w:rsid w:val="00F560F7"/>
    <w:rsid w:val="00F6334D"/>
    <w:rsid w:val="00F66643"/>
    <w:rsid w:val="00FA49AB"/>
    <w:rsid w:val="00FB17C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F3DA183"/>
  <w15:docId w15:val="{47CB87AA-1D2E-470B-AFFD-C73D1DEB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76C"/>
    <w:pPr>
      <w:jc w:val="both"/>
    </w:pPr>
    <w:rPr>
      <w:rFonts w:ascii="Arial" w:hAnsi="Arial"/>
      <w:lang w:val="fr-FR"/>
    </w:rPr>
  </w:style>
  <w:style w:type="paragraph" w:styleId="Heading1">
    <w:name w:val="heading 1"/>
    <w:next w:val="Normal"/>
    <w:autoRedefine/>
    <w:qFormat/>
    <w:rsid w:val="007145E5"/>
    <w:pPr>
      <w:keepNext/>
      <w:jc w:val="both"/>
      <w:outlineLvl w:val="0"/>
    </w:pPr>
    <w:rPr>
      <w:rFonts w:ascii="Arial" w:hAnsi="Arial"/>
      <w:caps/>
      <w:snapToGrid w:val="0"/>
      <w:lang w:val="fr-FR"/>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1C176C"/>
    <w:pPr>
      <w:tabs>
        <w:tab w:val="left" w:pos="5387"/>
        <w:tab w:val="left" w:pos="5954"/>
      </w:tabs>
      <w:ind w:left="4820"/>
    </w:pPr>
    <w:rPr>
      <w:i/>
    </w:rPr>
  </w:style>
  <w:style w:type="paragraph" w:styleId="FootnoteText">
    <w:name w:val="footnote text"/>
    <w:link w:val="FootnoteTextChar"/>
    <w:autoRedefine/>
    <w:rsid w:val="00257C2B"/>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AD17A6"/>
    <w:pPr>
      <w:tabs>
        <w:tab w:val="right" w:leader="dot" w:pos="9639"/>
      </w:tabs>
      <w:spacing w:before="60"/>
      <w:ind w:left="284" w:right="851"/>
    </w:pPr>
    <w:rPr>
      <w:rFonts w:ascii="Arial" w:hAnsi="Arial"/>
      <w:sz w:val="18"/>
    </w:rPr>
  </w:style>
  <w:style w:type="paragraph" w:styleId="TOC3">
    <w:name w:val="toc 3"/>
    <w:next w:val="Normal"/>
    <w:autoRedefine/>
    <w:uiPriority w:val="39"/>
    <w:rsid w:val="00AD17A6"/>
    <w:pPr>
      <w:tabs>
        <w:tab w:val="right" w:leader="dot" w:pos="9639"/>
      </w:tabs>
      <w:spacing w:before="60"/>
      <w:ind w:left="567" w:right="851"/>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AD17A6"/>
    <w:pPr>
      <w:tabs>
        <w:tab w:val="right" w:leader="dot" w:pos="9639"/>
      </w:tabs>
      <w:spacing w:before="60"/>
      <w:ind w:left="851" w:right="1134"/>
    </w:pPr>
    <w:rPr>
      <w:rFonts w:ascii="Arial" w:hAnsi="Arial"/>
      <w:sz w:val="16"/>
      <w:lang w:val="fr-FR"/>
    </w:rPr>
  </w:style>
  <w:style w:type="paragraph" w:styleId="TOC1">
    <w:name w:val="toc 1"/>
    <w:next w:val="Normal"/>
    <w:autoRedefine/>
    <w:uiPriority w:val="39"/>
    <w:rsid w:val="00AD17A6"/>
    <w:pPr>
      <w:tabs>
        <w:tab w:val="right" w:leader="dot" w:pos="9639"/>
      </w:tabs>
      <w:spacing w:before="120"/>
      <w:jc w:val="both"/>
    </w:pPr>
    <w:rPr>
      <w:rFonts w:ascii="Arial" w:hAnsi="Arial"/>
      <w:caps/>
      <w:sz w:val="18"/>
    </w:rPr>
  </w:style>
  <w:style w:type="paragraph" w:styleId="TOC5">
    <w:name w:val="toc 5"/>
    <w:next w:val="Normal"/>
    <w:autoRedefine/>
    <w:uiPriority w:val="39"/>
    <w:rsid w:val="00786D28"/>
    <w:pPr>
      <w:tabs>
        <w:tab w:val="right" w:leader="dot" w:pos="9639"/>
      </w:tabs>
      <w:spacing w:after="60"/>
      <w:ind w:left="567"/>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257C2B"/>
    <w:rPr>
      <w:rFonts w:ascii="Arial" w:hAnsi="Arial"/>
      <w:sz w:val="16"/>
      <w:lang w:val="fr-FR"/>
    </w:rPr>
  </w:style>
  <w:style w:type="paragraph" w:styleId="ListParagraph">
    <w:name w:val="List Paragraph"/>
    <w:aliases w:val="auto_list_(i),List Paragraph1"/>
    <w:basedOn w:val="Normal"/>
    <w:link w:val="ListParagraphChar"/>
    <w:uiPriority w:val="34"/>
    <w:qFormat/>
    <w:rsid w:val="004823C4"/>
    <w:pPr>
      <w:ind w:left="720"/>
      <w:contextualSpacing/>
    </w:pPr>
    <w:rPr>
      <w:lang w:val="en-US"/>
    </w:rPr>
  </w:style>
  <w:style w:type="character" w:customStyle="1" w:styleId="ListParagraphChar">
    <w:name w:val="List Paragraph Char"/>
    <w:aliases w:val="auto_list_(i) Char,List Paragraph1 Char"/>
    <w:basedOn w:val="DefaultParagraphFont"/>
    <w:link w:val="ListParagraph"/>
    <w:uiPriority w:val="34"/>
    <w:rsid w:val="004823C4"/>
    <w:rPr>
      <w:rFonts w:ascii="Arial" w:hAnsi="Arial"/>
    </w:rPr>
  </w:style>
  <w:style w:type="paragraph" w:customStyle="1" w:styleId="Default">
    <w:name w:val="Default"/>
    <w:rsid w:val="004823C4"/>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4823C4"/>
    <w:rPr>
      <w:rFonts w:ascii="Arial" w:hAnsi="Arial"/>
      <w:i/>
    </w:rPr>
  </w:style>
  <w:style w:type="character" w:customStyle="1" w:styleId="DecisionParagraphsChar">
    <w:name w:val="DecisionParagraphs Char"/>
    <w:basedOn w:val="DefaultParagraphFont"/>
    <w:link w:val="DecisionParagraphs"/>
    <w:rsid w:val="004823C4"/>
    <w:rPr>
      <w:rFonts w:ascii="Arial" w:hAnsi="Arial"/>
      <w:i/>
      <w:lang w:val="fr-FR"/>
    </w:rPr>
  </w:style>
  <w:style w:type="paragraph" w:customStyle="1" w:styleId="TableParagraph">
    <w:name w:val="Table Paragraph"/>
    <w:basedOn w:val="Normal"/>
    <w:uiPriority w:val="1"/>
    <w:qFormat/>
    <w:rsid w:val="004823C4"/>
    <w:pPr>
      <w:widowControl w:val="0"/>
      <w:autoSpaceDE w:val="0"/>
      <w:autoSpaceDN w:val="0"/>
      <w:jc w:val="left"/>
    </w:pPr>
    <w:rPr>
      <w:rFonts w:ascii="Times New Roman" w:hAnsi="Times New Roman"/>
      <w:sz w:val="22"/>
      <w:szCs w:val="22"/>
      <w:lang w:val="en-US"/>
    </w:rPr>
  </w:style>
  <w:style w:type="character" w:styleId="FollowedHyperlink">
    <w:name w:val="FollowedHyperlink"/>
    <w:basedOn w:val="DefaultParagraphFont"/>
    <w:semiHidden/>
    <w:unhideWhenUsed/>
    <w:rsid w:val="00945D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footer" Target="footer19.xml"/><Relationship Id="rId55" Type="http://schemas.openxmlformats.org/officeDocument/2006/relationships/header" Target="header2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3.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0.xml"/><Relationship Id="rId58" Type="http://schemas.openxmlformats.org/officeDocument/2006/relationships/header" Target="header26.xml"/><Relationship Id="rId5" Type="http://schemas.openxmlformats.org/officeDocument/2006/relationships/webSettings" Target="webSettings.xml"/><Relationship Id="rId61" Type="http://schemas.openxmlformats.org/officeDocument/2006/relationships/header" Target="header27.xml"/><Relationship Id="rId19" Type="http://schemas.openxmlformats.org/officeDocument/2006/relationships/footer" Target="footer4.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8.xml"/><Relationship Id="rId56" Type="http://schemas.openxmlformats.org/officeDocument/2006/relationships/footer" Target="footer22.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hyperlink" Target="https://www.upov.int/meetings/fr/details.jsp?meeting_id=55678" TargetMode="External"/><Relationship Id="rId46" Type="http://schemas.openxmlformats.org/officeDocument/2006/relationships/header" Target="header20.xml"/><Relationship Id="rId59" Type="http://schemas.openxmlformats.org/officeDocument/2006/relationships/footer" Target="footer23.xml"/><Relationship Id="rId20" Type="http://schemas.openxmlformats.org/officeDocument/2006/relationships/header" Target="header7.xml"/><Relationship Id="rId41" Type="http://schemas.openxmlformats.org/officeDocument/2006/relationships/footer" Target="footer14.xml"/><Relationship Id="rId54" Type="http://schemas.openxmlformats.org/officeDocument/2006/relationships/footer" Target="footer21.xml"/><Relationship Id="rId62"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header" Target="header1.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header" Target="header23.xml"/><Relationship Id="rId60"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yperlink" Target="https://www.upov.int/meetings/fr/details.jsp?meeting_id=55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BDB56-DEAA-4050-9E7F-9C5C9964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6513</Words>
  <Characters>39493</Characters>
  <Application>Microsoft Office Word</Application>
  <DocSecurity>0</DocSecurity>
  <Lines>329</Lines>
  <Paragraphs>91</Paragraphs>
  <ScaleCrop>false</ScaleCrop>
  <HeadingPairs>
    <vt:vector size="2" baseType="variant">
      <vt:variant>
        <vt:lpstr>Title</vt:lpstr>
      </vt:variant>
      <vt:variant>
        <vt:i4>1</vt:i4>
      </vt:variant>
    </vt:vector>
  </HeadingPairs>
  <TitlesOfParts>
    <vt:vector size="1" baseType="lpstr">
      <vt:lpstr>CAJ/77</vt:lpstr>
    </vt:vector>
  </TitlesOfParts>
  <Company>UPOV</Company>
  <LinksUpToDate>false</LinksUpToDate>
  <CharactersWithSpaces>45915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dc:title>
  <dc:creator>BAILLY Delphine</dc:creator>
  <cp:keywords>FOR OFFICIAL USE ONLY</cp:keywords>
  <cp:lastModifiedBy>SANTOS Carla Marina</cp:lastModifiedBy>
  <cp:revision>5</cp:revision>
  <cp:lastPrinted>2016-11-22T15:41:00Z</cp:lastPrinted>
  <dcterms:created xsi:type="dcterms:W3CDTF">2020-11-09T11:19:00Z</dcterms:created>
  <dcterms:modified xsi:type="dcterms:W3CDTF">2020-11-16T11:15:00Z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50ec7f08-470e-4cd2-84a3-02d92badcc19</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