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A5DB7" w:rsidRPr="00543E11" w14:paraId="08B42326" w14:textId="77777777" w:rsidTr="005E3627">
        <w:tc>
          <w:tcPr>
            <w:tcW w:w="6522" w:type="dxa"/>
          </w:tcPr>
          <w:p w14:paraId="118C7835" w14:textId="77777777" w:rsidR="00BA5DB7" w:rsidRPr="00543E11" w:rsidRDefault="00BA5DB7" w:rsidP="005E3627">
            <w:pPr>
              <w:rPr>
                <w:lang w:val="fr-FR"/>
              </w:rPr>
            </w:pPr>
            <w:bookmarkStart w:id="0" w:name="TitleOfDoc"/>
            <w:bookmarkEnd w:id="0"/>
            <w:r w:rsidRPr="00543E11">
              <w:rPr>
                <w:noProof/>
              </w:rPr>
              <w:drawing>
                <wp:inline distT="0" distB="0" distL="0" distR="0" wp14:anchorId="26BA76A2" wp14:editId="5A65EDD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4EC4F89" w14:textId="77777777" w:rsidR="00BA5DB7" w:rsidRPr="00543E11" w:rsidRDefault="00BA5DB7" w:rsidP="005E3627">
            <w:pPr>
              <w:pStyle w:val="Lettrine"/>
              <w:rPr>
                <w:lang w:val="fr-FR"/>
              </w:rPr>
            </w:pPr>
            <w:r w:rsidRPr="00543E11">
              <w:rPr>
                <w:lang w:val="fr-FR"/>
              </w:rPr>
              <w:t>F</w:t>
            </w:r>
          </w:p>
        </w:tc>
      </w:tr>
      <w:tr w:rsidR="00BA5DB7" w:rsidRPr="00635794" w14:paraId="7E3449FC" w14:textId="77777777" w:rsidTr="005E3627">
        <w:trPr>
          <w:trHeight w:val="219"/>
        </w:trPr>
        <w:tc>
          <w:tcPr>
            <w:tcW w:w="6522" w:type="dxa"/>
          </w:tcPr>
          <w:p w14:paraId="01B51D42" w14:textId="77777777" w:rsidR="00BA5DB7" w:rsidRPr="00543E11" w:rsidRDefault="00BA5DB7" w:rsidP="005E3627">
            <w:pPr>
              <w:pStyle w:val="upove"/>
              <w:rPr>
                <w:lang w:val="fr-FR"/>
              </w:rPr>
            </w:pPr>
            <w:r w:rsidRPr="00543E1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1C302626" w14:textId="77777777" w:rsidR="00BA5DB7" w:rsidRPr="00543E11" w:rsidRDefault="00BA5DB7" w:rsidP="005E3627">
            <w:pPr>
              <w:rPr>
                <w:lang w:val="fr-FR"/>
              </w:rPr>
            </w:pPr>
          </w:p>
        </w:tc>
      </w:tr>
    </w:tbl>
    <w:p w14:paraId="110C5768" w14:textId="77777777" w:rsidR="00835891" w:rsidRDefault="00835891" w:rsidP="00BA5DB7">
      <w:pPr>
        <w:rPr>
          <w:lang w:val="fr-FR"/>
        </w:rPr>
      </w:pPr>
    </w:p>
    <w:p w14:paraId="2A2EC593" w14:textId="77777777" w:rsidR="00BA5DB7" w:rsidRPr="00543E11" w:rsidRDefault="00BA5DB7" w:rsidP="00BA5DB7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A5DB7" w:rsidRPr="00635794" w14:paraId="3DEC20FE" w14:textId="77777777" w:rsidTr="005E3627">
        <w:tc>
          <w:tcPr>
            <w:tcW w:w="6512" w:type="dxa"/>
          </w:tcPr>
          <w:p w14:paraId="0FC26248" w14:textId="77777777" w:rsidR="00835891" w:rsidRDefault="00BA5DB7" w:rsidP="005E3627">
            <w:pPr>
              <w:pStyle w:val="Sessiontc"/>
              <w:spacing w:line="240" w:lineRule="auto"/>
              <w:rPr>
                <w:lang w:val="fr-FR"/>
              </w:rPr>
            </w:pPr>
            <w:r w:rsidRPr="00543E11">
              <w:rPr>
                <w:lang w:val="fr-FR"/>
              </w:rPr>
              <w:t>Comité administratif et juridique</w:t>
            </w:r>
          </w:p>
          <w:p w14:paraId="43773B89" w14:textId="2181E888" w:rsidR="00BA5DB7" w:rsidRPr="00543E11" w:rsidRDefault="00BA5DB7" w:rsidP="005E3627">
            <w:pPr>
              <w:pStyle w:val="Sessiontcplacedate"/>
              <w:rPr>
                <w:sz w:val="22"/>
                <w:lang w:val="fr-FR"/>
              </w:rPr>
            </w:pPr>
            <w:r w:rsidRPr="00543E11">
              <w:rPr>
                <w:lang w:val="fr-FR"/>
              </w:rPr>
              <w:t>Soixante</w:t>
            </w:r>
            <w:r w:rsidR="00012DAF">
              <w:rPr>
                <w:lang w:val="fr-FR"/>
              </w:rPr>
              <w:t>-</w:t>
            </w:r>
            <w:r w:rsidRPr="00543E11">
              <w:rPr>
                <w:lang w:val="fr-FR"/>
              </w:rPr>
              <w:t>dix</w:t>
            </w:r>
            <w:r w:rsidR="00012DAF">
              <w:rPr>
                <w:lang w:val="fr-FR"/>
              </w:rPr>
              <w:t>-</w:t>
            </w:r>
            <w:r w:rsidRPr="00543E11">
              <w:rPr>
                <w:lang w:val="fr-FR"/>
              </w:rPr>
              <w:t>sept</w:t>
            </w:r>
            <w:r w:rsidR="00012DAF">
              <w:rPr>
                <w:lang w:val="fr-FR"/>
              </w:rPr>
              <w:t>ième session</w:t>
            </w:r>
            <w:r w:rsidRPr="00543E11">
              <w:rPr>
                <w:lang w:val="fr-FR"/>
              </w:rPr>
              <w:br/>
              <w:t>Genève, 2</w:t>
            </w:r>
            <w:r w:rsidR="00012DAF" w:rsidRPr="00543E11">
              <w:rPr>
                <w:lang w:val="fr-FR"/>
              </w:rPr>
              <w:t>8</w:t>
            </w:r>
            <w:r w:rsidR="00012DAF">
              <w:rPr>
                <w:lang w:val="fr-FR"/>
              </w:rPr>
              <w:t> </w:t>
            </w:r>
            <w:r w:rsidR="00012DAF" w:rsidRPr="00543E11">
              <w:rPr>
                <w:lang w:val="fr-FR"/>
              </w:rPr>
              <w:t>octobre</w:t>
            </w:r>
            <w:r w:rsidR="00012DAF">
              <w:rPr>
                <w:lang w:val="fr-FR"/>
              </w:rPr>
              <w:t> </w:t>
            </w:r>
            <w:r w:rsidR="00012DAF" w:rsidRPr="00543E11">
              <w:rPr>
                <w:lang w:val="fr-FR"/>
              </w:rPr>
              <w:t>20</w:t>
            </w:r>
            <w:r w:rsidRPr="00543E11"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14:paraId="6E6E1C72" w14:textId="77777777" w:rsidR="00835891" w:rsidRDefault="00BA5DB7" w:rsidP="005E3627">
            <w:pPr>
              <w:pStyle w:val="Doccode"/>
              <w:rPr>
                <w:lang w:val="fr-FR"/>
              </w:rPr>
            </w:pPr>
            <w:r w:rsidRPr="00543E11">
              <w:rPr>
                <w:lang w:val="fr-FR"/>
              </w:rPr>
              <w:t>CAJ/77/8</w:t>
            </w:r>
          </w:p>
          <w:p w14:paraId="4BDDA3C6" w14:textId="77777777" w:rsidR="00835891" w:rsidRDefault="00BA5DB7" w:rsidP="005E3627">
            <w:pPr>
              <w:pStyle w:val="Docoriginal"/>
              <w:rPr>
                <w:lang w:val="fr-FR"/>
              </w:rPr>
            </w:pPr>
            <w:r w:rsidRPr="00543E11">
              <w:rPr>
                <w:lang w:val="fr-FR"/>
              </w:rPr>
              <w:t>Original</w:t>
            </w:r>
            <w:r w:rsidR="00370A79">
              <w:rPr>
                <w:lang w:val="fr-FR"/>
              </w:rPr>
              <w:t> :</w:t>
            </w:r>
            <w:r w:rsidRPr="00543E11">
              <w:rPr>
                <w:b w:val="0"/>
                <w:spacing w:val="0"/>
                <w:lang w:val="fr-FR"/>
              </w:rPr>
              <w:t xml:space="preserve"> anglais</w:t>
            </w:r>
          </w:p>
          <w:p w14:paraId="6D7BB56E" w14:textId="11462A9E" w:rsidR="00BA5DB7" w:rsidRPr="00543E11" w:rsidRDefault="00BA5DB7" w:rsidP="00E04FD2">
            <w:pPr>
              <w:pStyle w:val="Docoriginal"/>
              <w:rPr>
                <w:lang w:val="fr-FR"/>
              </w:rPr>
            </w:pPr>
            <w:r w:rsidRPr="00543E11">
              <w:rPr>
                <w:lang w:val="fr-FR"/>
              </w:rPr>
              <w:t>Date</w:t>
            </w:r>
            <w:r w:rsidR="00370A79">
              <w:rPr>
                <w:lang w:val="fr-FR"/>
              </w:rPr>
              <w:t> :</w:t>
            </w:r>
            <w:r w:rsidRPr="00543E11">
              <w:rPr>
                <w:b w:val="0"/>
                <w:spacing w:val="0"/>
                <w:lang w:val="fr-FR"/>
              </w:rPr>
              <w:t xml:space="preserve"> 2</w:t>
            </w:r>
            <w:r w:rsidR="00E04FD2">
              <w:rPr>
                <w:b w:val="0"/>
                <w:spacing w:val="0"/>
                <w:lang w:val="fr-FR"/>
              </w:rPr>
              <w:t>3</w:t>
            </w:r>
            <w:r w:rsidR="00012DAF">
              <w:rPr>
                <w:b w:val="0"/>
                <w:spacing w:val="0"/>
                <w:lang w:val="fr-FR"/>
              </w:rPr>
              <w:t> </w:t>
            </w:r>
            <w:r w:rsidR="00E04FD2">
              <w:rPr>
                <w:b w:val="0"/>
                <w:spacing w:val="0"/>
                <w:lang w:val="fr-FR"/>
              </w:rPr>
              <w:t>septembre</w:t>
            </w:r>
            <w:r w:rsidR="00012DAF">
              <w:rPr>
                <w:b w:val="0"/>
                <w:spacing w:val="0"/>
                <w:lang w:val="fr-FR"/>
              </w:rPr>
              <w:t> </w:t>
            </w:r>
            <w:r w:rsidR="00012DAF" w:rsidRPr="00543E11">
              <w:rPr>
                <w:b w:val="0"/>
                <w:spacing w:val="0"/>
                <w:lang w:val="fr-FR"/>
              </w:rPr>
              <w:t>20</w:t>
            </w:r>
            <w:r w:rsidRPr="00543E11">
              <w:rPr>
                <w:b w:val="0"/>
                <w:spacing w:val="0"/>
                <w:lang w:val="fr-FR"/>
              </w:rPr>
              <w:t>20</w:t>
            </w:r>
          </w:p>
        </w:tc>
      </w:tr>
    </w:tbl>
    <w:p w14:paraId="1885C571" w14:textId="77777777" w:rsidR="00835891" w:rsidRDefault="005E3627" w:rsidP="005E3627">
      <w:pPr>
        <w:pStyle w:val="Titleofdoc0"/>
        <w:rPr>
          <w:lang w:val="fr-FR"/>
        </w:rPr>
      </w:pPr>
      <w:r w:rsidRPr="00543E11">
        <w:rPr>
          <w:lang w:val="fr-FR"/>
        </w:rPr>
        <w:t>Base de données PLUTO sur les variétés végétales</w:t>
      </w:r>
    </w:p>
    <w:p w14:paraId="58588000" w14:textId="77777777" w:rsidR="00835891" w:rsidRDefault="005E3627" w:rsidP="005E3627">
      <w:pPr>
        <w:pStyle w:val="preparedby1"/>
        <w:jc w:val="left"/>
        <w:rPr>
          <w:lang w:val="fr-FR"/>
        </w:rPr>
      </w:pPr>
      <w:bookmarkStart w:id="1" w:name="Prepared"/>
      <w:bookmarkEnd w:id="1"/>
      <w:r w:rsidRPr="00543E11">
        <w:rPr>
          <w:lang w:val="fr-FR"/>
        </w:rPr>
        <w:t>Document établi par le Bureau de l</w:t>
      </w:r>
      <w:r w:rsidR="00012DAF">
        <w:rPr>
          <w:lang w:val="fr-FR"/>
        </w:rPr>
        <w:t>’</w:t>
      </w:r>
      <w:r w:rsidRPr="00543E11">
        <w:rPr>
          <w:lang w:val="fr-FR"/>
        </w:rPr>
        <w:t>Union</w:t>
      </w:r>
    </w:p>
    <w:p w14:paraId="0C26F1FA" w14:textId="77777777" w:rsidR="00835891" w:rsidRDefault="005E3627" w:rsidP="005E3627">
      <w:pPr>
        <w:pStyle w:val="Disclaimer"/>
        <w:rPr>
          <w:color w:val="auto"/>
          <w:lang w:val="fr-FR"/>
        </w:rPr>
      </w:pPr>
      <w:r w:rsidRPr="00543E11">
        <w:rPr>
          <w:color w:val="auto"/>
          <w:lang w:val="fr-FR"/>
        </w:rPr>
        <w:t>Avertissement</w:t>
      </w:r>
      <w:r w:rsidR="00012DAF">
        <w:rPr>
          <w:color w:val="auto"/>
          <w:lang w:val="fr-FR"/>
        </w:rPr>
        <w:t> :</w:t>
      </w:r>
      <w:r w:rsidRPr="00543E11">
        <w:rPr>
          <w:color w:val="auto"/>
          <w:lang w:val="fr-FR"/>
        </w:rPr>
        <w:t xml:space="preserve"> le présent document ne représente pas les principes ou les orientations de l</w:t>
      </w:r>
      <w:r w:rsidR="00012DAF">
        <w:rPr>
          <w:color w:val="auto"/>
          <w:lang w:val="fr-FR"/>
        </w:rPr>
        <w:t>’</w:t>
      </w:r>
      <w:r w:rsidRPr="00543E11">
        <w:rPr>
          <w:color w:val="auto"/>
          <w:lang w:val="fr-FR"/>
        </w:rPr>
        <w:t>UPOV</w:t>
      </w:r>
    </w:p>
    <w:p w14:paraId="0A15F8E0" w14:textId="77777777" w:rsidR="00835891" w:rsidRDefault="005E3627" w:rsidP="00826E28">
      <w:pPr>
        <w:pStyle w:val="Heading1"/>
        <w:rPr>
          <w:noProof w:val="0"/>
        </w:rPr>
      </w:pPr>
      <w:r w:rsidRPr="00543E11">
        <w:rPr>
          <w:noProof w:val="0"/>
        </w:rPr>
        <w:t>Résumé</w:t>
      </w:r>
    </w:p>
    <w:p w14:paraId="07F971C2" w14:textId="77777777" w:rsidR="00835891" w:rsidRDefault="00835891" w:rsidP="00391B0A">
      <w:pPr>
        <w:rPr>
          <w:lang w:val="fr-FR"/>
        </w:rPr>
      </w:pPr>
    </w:p>
    <w:p w14:paraId="698ECD88" w14:textId="77777777" w:rsidR="00835891" w:rsidRDefault="007B7639" w:rsidP="000431B7">
      <w:pPr>
        <w:rPr>
          <w:lang w:val="fr-FR"/>
        </w:rPr>
      </w:pPr>
      <w:r w:rsidRPr="00543E11">
        <w:rPr>
          <w:lang w:val="fr-FR"/>
        </w:rPr>
        <w:fldChar w:fldCharType="begin"/>
      </w:r>
      <w:r w:rsidRPr="00543E11">
        <w:rPr>
          <w:lang w:val="fr-FR"/>
        </w:rPr>
        <w:instrText xml:space="preserve"> AUTONUM  </w:instrText>
      </w:r>
      <w:r w:rsidRPr="00543E11">
        <w:rPr>
          <w:lang w:val="fr-FR"/>
        </w:rPr>
        <w:fldChar w:fldCharType="end"/>
      </w:r>
      <w:r w:rsidRPr="00543E11">
        <w:rPr>
          <w:lang w:val="fr-FR"/>
        </w:rPr>
        <w:tab/>
      </w:r>
      <w:r w:rsidR="000431B7" w:rsidRPr="00543E11">
        <w:rPr>
          <w:lang w:val="fr-FR"/>
        </w:rPr>
        <w:t>L</w:t>
      </w:r>
      <w:r w:rsidR="00012DAF">
        <w:rPr>
          <w:lang w:val="fr-FR"/>
        </w:rPr>
        <w:t>’</w:t>
      </w:r>
      <w:r w:rsidR="000431B7" w:rsidRPr="00543E11">
        <w:rPr>
          <w:lang w:val="fr-FR"/>
        </w:rPr>
        <w:t>objet du présent document est de faire rapport sur les éléments nouveaux concernant la base de données PLUTO sur les variétés végétales.</w:t>
      </w:r>
    </w:p>
    <w:p w14:paraId="266FC46F" w14:textId="77777777" w:rsidR="00835891" w:rsidRDefault="00835891" w:rsidP="00391B0A">
      <w:pPr>
        <w:rPr>
          <w:lang w:val="fr-FR"/>
        </w:rPr>
      </w:pPr>
    </w:p>
    <w:p w14:paraId="3D05EDB9" w14:textId="77777777" w:rsidR="00835891" w:rsidRDefault="00914406" w:rsidP="005E3627">
      <w:pPr>
        <w:rPr>
          <w:lang w:val="fr-FR"/>
        </w:rPr>
      </w:pPr>
      <w:r w:rsidRPr="00543E11">
        <w:rPr>
          <w:lang w:val="fr-FR"/>
        </w:rPr>
        <w:fldChar w:fldCharType="begin"/>
      </w:r>
      <w:r w:rsidRPr="00543E11">
        <w:rPr>
          <w:lang w:val="fr-FR"/>
        </w:rPr>
        <w:instrText xml:space="preserve"> AUTONUM  </w:instrText>
      </w:r>
      <w:r w:rsidRPr="00543E11">
        <w:rPr>
          <w:lang w:val="fr-FR"/>
        </w:rPr>
        <w:fldChar w:fldCharType="end"/>
      </w:r>
      <w:r w:rsidRPr="00543E11">
        <w:rPr>
          <w:lang w:val="fr-FR"/>
        </w:rPr>
        <w:tab/>
      </w:r>
      <w:r w:rsidR="005E3627" w:rsidRPr="00543E11">
        <w:rPr>
          <w:lang w:val="fr-FR"/>
        </w:rPr>
        <w:t>Le CAJ est invité</w:t>
      </w:r>
    </w:p>
    <w:p w14:paraId="277DA4A1" w14:textId="77777777" w:rsidR="00835891" w:rsidRDefault="00835891" w:rsidP="00914406">
      <w:pPr>
        <w:rPr>
          <w:lang w:val="fr-FR"/>
        </w:rPr>
      </w:pPr>
    </w:p>
    <w:p w14:paraId="133E8B20" w14:textId="77777777" w:rsidR="00835891" w:rsidRDefault="00914406" w:rsidP="007D2C45">
      <w:pPr>
        <w:rPr>
          <w:lang w:val="fr-FR"/>
        </w:rPr>
      </w:pPr>
      <w:r w:rsidRPr="00543E11">
        <w:rPr>
          <w:lang w:val="fr-FR"/>
        </w:rPr>
        <w:tab/>
      </w:r>
      <w:r w:rsidR="002A06AF" w:rsidRPr="00543E11">
        <w:rPr>
          <w:lang w:val="fr-FR"/>
        </w:rPr>
        <w:t>a)</w:t>
      </w:r>
      <w:r w:rsidR="00A839BD" w:rsidRPr="00543E11">
        <w:rPr>
          <w:lang w:val="fr-FR"/>
        </w:rPr>
        <w:tab/>
        <w:t xml:space="preserve">à noter </w:t>
      </w:r>
      <w:r w:rsidR="007D2C45" w:rsidRPr="00543E11">
        <w:rPr>
          <w:lang w:val="fr-FR"/>
        </w:rPr>
        <w:t>qu</w:t>
      </w:r>
      <w:r w:rsidR="00012DAF">
        <w:rPr>
          <w:lang w:val="fr-FR"/>
        </w:rPr>
        <w:t>’</w:t>
      </w:r>
      <w:r w:rsidR="007D2C45" w:rsidRPr="00543E11">
        <w:rPr>
          <w:lang w:val="fr-FR"/>
        </w:rPr>
        <w:t>un webinaire (en anglais) a été organisé le 3</w:t>
      </w:r>
      <w:r w:rsidR="00012DAF" w:rsidRPr="00543E11">
        <w:rPr>
          <w:lang w:val="fr-FR"/>
        </w:rPr>
        <w:t>0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juin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20</w:t>
      </w:r>
      <w:r w:rsidR="007D2C45" w:rsidRPr="00543E11">
        <w:rPr>
          <w:lang w:val="fr-FR"/>
        </w:rPr>
        <w:t xml:space="preserve">20 afin de présenter </w:t>
      </w:r>
      <w:r w:rsidR="00A32D2B" w:rsidRPr="00543E11">
        <w:rPr>
          <w:lang w:val="fr-FR"/>
        </w:rPr>
        <w:t>une synthèse des</w:t>
      </w:r>
      <w:r w:rsidR="007D2C45" w:rsidRPr="00543E11">
        <w:rPr>
          <w:lang w:val="fr-FR"/>
        </w:rPr>
        <w:t xml:space="preserve"> modifications </w:t>
      </w:r>
      <w:r w:rsidR="00A32D2B" w:rsidRPr="00543E11">
        <w:rPr>
          <w:lang w:val="fr-FR"/>
        </w:rPr>
        <w:t>à apporter</w:t>
      </w:r>
      <w:r w:rsidR="007D2C45" w:rsidRPr="00543E11">
        <w:rPr>
          <w:lang w:val="fr-FR"/>
        </w:rPr>
        <w:t xml:space="preserve"> à la base de données PLUTO et de donner la possibilité aux utilisateurs de faire part de leurs observation</w:t>
      </w:r>
      <w:r w:rsidR="00A32D2B" w:rsidRPr="00543E11">
        <w:rPr>
          <w:lang w:val="fr-FR"/>
        </w:rPr>
        <w:t>s sur la</w:t>
      </w:r>
      <w:r w:rsidR="000E5D57" w:rsidRPr="00543E11">
        <w:rPr>
          <w:lang w:val="fr-FR"/>
        </w:rPr>
        <w:t xml:space="preserve"> </w:t>
      </w:r>
      <w:r w:rsidR="007D2C45" w:rsidRPr="00543E11">
        <w:rPr>
          <w:lang w:val="fr-FR"/>
        </w:rPr>
        <w:t>configuration et les nouvelles fonctionnalités proposées;</w:t>
      </w:r>
    </w:p>
    <w:p w14:paraId="616BF3C2" w14:textId="77777777" w:rsidR="00835891" w:rsidRDefault="00835891" w:rsidP="00914406">
      <w:pPr>
        <w:rPr>
          <w:lang w:val="fr-FR"/>
        </w:rPr>
      </w:pPr>
    </w:p>
    <w:p w14:paraId="33A92C61" w14:textId="77777777" w:rsidR="00835891" w:rsidRDefault="00914406" w:rsidP="007D2C45">
      <w:pPr>
        <w:rPr>
          <w:lang w:val="fr-FR"/>
        </w:rPr>
      </w:pPr>
      <w:r w:rsidRPr="00543E11">
        <w:rPr>
          <w:lang w:val="fr-FR"/>
        </w:rPr>
        <w:tab/>
      </w:r>
      <w:r w:rsidR="002A06AF" w:rsidRPr="00543E11">
        <w:rPr>
          <w:lang w:val="fr-FR"/>
        </w:rPr>
        <w:t>b)</w:t>
      </w:r>
      <w:r w:rsidR="00A839BD" w:rsidRPr="00543E11">
        <w:rPr>
          <w:lang w:val="fr-FR"/>
        </w:rPr>
        <w:tab/>
        <w:t xml:space="preserve">à noter </w:t>
      </w:r>
      <w:r w:rsidR="007D2C45" w:rsidRPr="00543E11">
        <w:rPr>
          <w:lang w:val="fr-FR"/>
        </w:rPr>
        <w:t>qu</w:t>
      </w:r>
      <w:r w:rsidR="00012DAF">
        <w:rPr>
          <w:lang w:val="fr-FR"/>
        </w:rPr>
        <w:t>’</w:t>
      </w:r>
      <w:r w:rsidR="007D2C45" w:rsidRPr="00543E11">
        <w:rPr>
          <w:lang w:val="fr-FR"/>
        </w:rPr>
        <w:t>un questionnaire a été envoyé à tous les organes de l</w:t>
      </w:r>
      <w:r w:rsidR="00012DAF">
        <w:rPr>
          <w:lang w:val="fr-FR"/>
        </w:rPr>
        <w:t>’</w:t>
      </w:r>
      <w:r w:rsidR="007D2C45" w:rsidRPr="00543E11">
        <w:rPr>
          <w:lang w:val="fr-FR"/>
        </w:rPr>
        <w:t>UPOV, aux utilisateurs de la base de données PLUTO et aux participants du webinaire du 3</w:t>
      </w:r>
      <w:r w:rsidR="00012DAF" w:rsidRPr="00543E11">
        <w:rPr>
          <w:lang w:val="fr-FR"/>
        </w:rPr>
        <w:t>0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juin</w:t>
      </w:r>
      <w:r w:rsidR="007D2C45" w:rsidRPr="00543E11">
        <w:rPr>
          <w:lang w:val="fr-FR"/>
        </w:rPr>
        <w:t xml:space="preserve"> afin de mieux connaître les besoins des utilisateurs;</w:t>
      </w:r>
    </w:p>
    <w:p w14:paraId="7C18461F" w14:textId="77777777" w:rsidR="00835891" w:rsidRDefault="00835891" w:rsidP="00914406">
      <w:pPr>
        <w:rPr>
          <w:lang w:val="fr-FR"/>
        </w:rPr>
      </w:pPr>
    </w:p>
    <w:p w14:paraId="257D3A10" w14:textId="77777777" w:rsidR="00835891" w:rsidRDefault="007D2C45" w:rsidP="007D2C45">
      <w:pPr>
        <w:rPr>
          <w:lang w:val="fr-FR"/>
        </w:rPr>
      </w:pPr>
      <w:r w:rsidRPr="00543E11">
        <w:rPr>
          <w:lang w:val="fr-FR"/>
        </w:rPr>
        <w:tab/>
      </w:r>
      <w:r w:rsidR="00914406" w:rsidRPr="00543E11">
        <w:rPr>
          <w:lang w:val="fr-FR"/>
        </w:rPr>
        <w:t>c)</w:t>
      </w:r>
      <w:r w:rsidR="00914406" w:rsidRPr="00543E11">
        <w:rPr>
          <w:lang w:val="fr-FR"/>
        </w:rPr>
        <w:tab/>
      </w:r>
      <w:r w:rsidR="00A839BD" w:rsidRPr="00543E11">
        <w:rPr>
          <w:lang w:val="fr-FR"/>
        </w:rPr>
        <w:t xml:space="preserve">à noter </w:t>
      </w:r>
      <w:r w:rsidRPr="00543E11">
        <w:rPr>
          <w:lang w:val="fr-FR"/>
        </w:rPr>
        <w:t>que la nouvelle configuration de la base de données PLUTO tien</w:t>
      </w:r>
      <w:r w:rsidR="00E04FD2">
        <w:rPr>
          <w:lang w:val="fr-FR"/>
        </w:rPr>
        <w:t>dra</w:t>
      </w:r>
      <w:r w:rsidRPr="00543E11">
        <w:rPr>
          <w:lang w:val="fr-FR"/>
        </w:rPr>
        <w:t xml:space="preserve"> compte des observations formulées lors du webinaire du 3</w:t>
      </w:r>
      <w:r w:rsidR="00012DAF" w:rsidRPr="00543E11">
        <w:rPr>
          <w:lang w:val="fr-FR"/>
        </w:rPr>
        <w:t>0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juin</w:t>
      </w:r>
      <w:r w:rsidRPr="00543E11">
        <w:rPr>
          <w:lang w:val="fr-FR"/>
        </w:rPr>
        <w:t xml:space="preserve"> et </w:t>
      </w:r>
      <w:r w:rsidR="002A06AF" w:rsidRPr="00543E11">
        <w:rPr>
          <w:lang w:val="fr-FR"/>
        </w:rPr>
        <w:t>en réponse à un questionnaire envoyé ultérieurement</w:t>
      </w:r>
      <w:r w:rsidRPr="00543E11">
        <w:rPr>
          <w:lang w:val="fr-FR"/>
        </w:rPr>
        <w:t>;</w:t>
      </w:r>
    </w:p>
    <w:p w14:paraId="50294357" w14:textId="77777777" w:rsidR="00835891" w:rsidRDefault="00835891" w:rsidP="00914406">
      <w:pPr>
        <w:rPr>
          <w:lang w:val="fr-FR"/>
        </w:rPr>
      </w:pPr>
    </w:p>
    <w:p w14:paraId="2F9DF2E1" w14:textId="31D27AB5" w:rsidR="00835891" w:rsidRDefault="00914406" w:rsidP="000E5D57">
      <w:pPr>
        <w:rPr>
          <w:lang w:val="fr-FR"/>
        </w:rPr>
      </w:pPr>
      <w:r w:rsidRPr="00543E11">
        <w:rPr>
          <w:lang w:val="fr-FR"/>
        </w:rPr>
        <w:tab/>
      </w:r>
      <w:r w:rsidR="000E5D57" w:rsidRPr="00543E11">
        <w:rPr>
          <w:lang w:val="fr-FR"/>
        </w:rPr>
        <w:t>d)</w:t>
      </w:r>
      <w:r w:rsidR="000E5D57" w:rsidRPr="00543E11">
        <w:rPr>
          <w:lang w:val="fr-FR"/>
        </w:rPr>
        <w:tab/>
      </w:r>
      <w:r w:rsidR="00A839BD" w:rsidRPr="00543E11">
        <w:rPr>
          <w:lang w:val="fr-FR"/>
        </w:rPr>
        <w:t xml:space="preserve">à noter </w:t>
      </w:r>
      <w:r w:rsidR="000E5D57" w:rsidRPr="00543E11">
        <w:rPr>
          <w:lang w:val="fr-FR"/>
        </w:rPr>
        <w:t>que les services gratuits et à valeur ajoutée</w:t>
      </w:r>
      <w:r w:rsidR="00635794">
        <w:rPr>
          <w:lang w:val="fr-FR"/>
        </w:rPr>
        <w:t xml:space="preserve"> (</w:t>
      </w:r>
      <w:r w:rsidR="00635794" w:rsidRPr="00635794">
        <w:rPr>
          <w:i/>
          <w:lang w:val="fr-FR"/>
        </w:rPr>
        <w:t>premium</w:t>
      </w:r>
      <w:r w:rsidR="00635794">
        <w:rPr>
          <w:lang w:val="fr-FR"/>
        </w:rPr>
        <w:t>)</w:t>
      </w:r>
      <w:r w:rsidR="000E5D57" w:rsidRPr="00543E11">
        <w:rPr>
          <w:lang w:val="fr-FR"/>
        </w:rPr>
        <w:t xml:space="preserve"> seront mis à disposition </w:t>
      </w:r>
      <w:r w:rsidR="00E04FD2">
        <w:rPr>
          <w:lang w:val="fr-FR"/>
        </w:rPr>
        <w:t>pend</w:t>
      </w:r>
      <w:r w:rsidR="000E5D57" w:rsidRPr="00543E11">
        <w:rPr>
          <w:lang w:val="fr-FR"/>
        </w:rPr>
        <w:t xml:space="preserve">ant </w:t>
      </w:r>
      <w:r w:rsidR="00E04FD2">
        <w:rPr>
          <w:lang w:val="fr-FR"/>
        </w:rPr>
        <w:t xml:space="preserve">une durée limitée après le lancement de la </w:t>
      </w:r>
      <w:r w:rsidR="00E04FD2" w:rsidRPr="00543E11">
        <w:rPr>
          <w:lang w:val="fr-FR"/>
        </w:rPr>
        <w:t>nouvelle configuration de la base de données PLUTO</w:t>
      </w:r>
      <w:r w:rsidR="00E04FD2">
        <w:rPr>
          <w:lang w:val="fr-FR"/>
        </w:rPr>
        <w:t>,</w:t>
      </w:r>
      <w:r w:rsidR="00E04FD2" w:rsidRPr="00543E11">
        <w:rPr>
          <w:lang w:val="fr-FR"/>
        </w:rPr>
        <w:t xml:space="preserve"> </w:t>
      </w:r>
      <w:r w:rsidR="002A06AF" w:rsidRPr="00543E11">
        <w:rPr>
          <w:lang w:val="fr-FR"/>
        </w:rPr>
        <w:t>afin de</w:t>
      </w:r>
      <w:r w:rsidR="000E5D57" w:rsidRPr="00543E11">
        <w:rPr>
          <w:lang w:val="fr-FR"/>
        </w:rPr>
        <w:t xml:space="preserve"> tester la nouvelle configuration de la base de données PLUTO et de donner la </w:t>
      </w:r>
      <w:r w:rsidR="002A06AF" w:rsidRPr="00543E11">
        <w:rPr>
          <w:lang w:val="fr-FR"/>
        </w:rPr>
        <w:t xml:space="preserve">possibilité aux utilisateurs de </w:t>
      </w:r>
      <w:r w:rsidR="000E5D57" w:rsidRPr="00543E11">
        <w:rPr>
          <w:lang w:val="fr-FR"/>
        </w:rPr>
        <w:t>choisir le service gratuit ou le service à valeur ajoutée</w:t>
      </w:r>
      <w:r w:rsidR="00635794">
        <w:rPr>
          <w:lang w:val="fr-FR"/>
        </w:rPr>
        <w:t xml:space="preserve"> (</w:t>
      </w:r>
      <w:r w:rsidR="00635794" w:rsidRPr="00635794">
        <w:rPr>
          <w:i/>
          <w:lang w:val="fr-FR"/>
        </w:rPr>
        <w:t>premium</w:t>
      </w:r>
      <w:r w:rsidR="00635794">
        <w:rPr>
          <w:lang w:val="fr-FR"/>
        </w:rPr>
        <w:t>)</w:t>
      </w:r>
      <w:r w:rsidR="000E5D57" w:rsidRPr="00543E11">
        <w:rPr>
          <w:lang w:val="fr-FR"/>
        </w:rPr>
        <w:t>;</w:t>
      </w:r>
    </w:p>
    <w:p w14:paraId="597B7522" w14:textId="77777777" w:rsidR="00835891" w:rsidRDefault="00835891" w:rsidP="00914406">
      <w:pPr>
        <w:rPr>
          <w:lang w:val="fr-FR"/>
        </w:rPr>
      </w:pPr>
    </w:p>
    <w:p w14:paraId="4DC9457B" w14:textId="1920CDF9" w:rsidR="00835891" w:rsidRDefault="00914406" w:rsidP="000E5D57">
      <w:pPr>
        <w:rPr>
          <w:lang w:val="fr-FR"/>
        </w:rPr>
      </w:pPr>
      <w:r w:rsidRPr="00543E11">
        <w:rPr>
          <w:lang w:val="fr-FR"/>
        </w:rPr>
        <w:tab/>
      </w:r>
      <w:r w:rsidR="002A06AF" w:rsidRPr="00543E11">
        <w:rPr>
          <w:lang w:val="fr-FR"/>
        </w:rPr>
        <w:t>e)</w:t>
      </w:r>
      <w:r w:rsidR="00A839BD" w:rsidRPr="00543E11">
        <w:rPr>
          <w:lang w:val="fr-FR"/>
        </w:rPr>
        <w:tab/>
        <w:t xml:space="preserve">à noter </w:t>
      </w:r>
      <w:r w:rsidR="000E5D57" w:rsidRPr="00543E11">
        <w:rPr>
          <w:lang w:val="fr-FR"/>
        </w:rPr>
        <w:t>que des webinaires seront organisés pour présenter la nouvelle configuration et les nouvelles fonctionnalités de la base de données PLUTO;</w:t>
      </w:r>
      <w:r w:rsidR="00635794">
        <w:rPr>
          <w:lang w:val="fr-FR"/>
        </w:rPr>
        <w:t xml:space="preserve"> </w:t>
      </w:r>
    </w:p>
    <w:p w14:paraId="3D7B5421" w14:textId="77777777" w:rsidR="00835891" w:rsidRDefault="00835891" w:rsidP="00914406">
      <w:pPr>
        <w:rPr>
          <w:lang w:val="fr-FR"/>
        </w:rPr>
      </w:pPr>
    </w:p>
    <w:p w14:paraId="11F1FCF6" w14:textId="77777777" w:rsidR="00835891" w:rsidRDefault="00914406" w:rsidP="008F7B9A">
      <w:pPr>
        <w:rPr>
          <w:lang w:val="fr-FR"/>
        </w:rPr>
      </w:pPr>
      <w:r w:rsidRPr="00543E11">
        <w:rPr>
          <w:lang w:val="fr-FR"/>
        </w:rPr>
        <w:tab/>
      </w:r>
      <w:r w:rsidR="002A06AF" w:rsidRPr="00543E11">
        <w:rPr>
          <w:lang w:val="fr-FR"/>
        </w:rPr>
        <w:t>f)</w:t>
      </w:r>
      <w:r w:rsidR="00A839BD" w:rsidRPr="00543E11">
        <w:rPr>
          <w:lang w:val="fr-FR"/>
        </w:rPr>
        <w:tab/>
        <w:t xml:space="preserve">à prendre note des </w:t>
      </w:r>
      <w:r w:rsidR="008F7B9A" w:rsidRPr="00543E11">
        <w:rPr>
          <w:lang w:val="fr-FR"/>
        </w:rPr>
        <w:t>plans visant à améliorer la qualité des données par de nouveaux contrôles de la qualité des données et la fourniture d</w:t>
      </w:r>
      <w:r w:rsidR="00012DAF">
        <w:rPr>
          <w:lang w:val="fr-FR"/>
        </w:rPr>
        <w:t>’</w:t>
      </w:r>
      <w:r w:rsidR="008F7B9A" w:rsidRPr="00543E11">
        <w:rPr>
          <w:lang w:val="fr-FR"/>
        </w:rPr>
        <w:t>une assistance, qui permettront aux membres de l</w:t>
      </w:r>
      <w:r w:rsidR="00012DAF">
        <w:rPr>
          <w:lang w:val="fr-FR"/>
        </w:rPr>
        <w:t>’</w:t>
      </w:r>
      <w:r w:rsidR="008F7B9A" w:rsidRPr="00543E11">
        <w:rPr>
          <w:lang w:val="fr-FR"/>
        </w:rPr>
        <w:t>Union de commencer à fournir des données pour la première fois ou à fournir des données plus fréquemment;</w:t>
      </w:r>
    </w:p>
    <w:p w14:paraId="0B821C9F" w14:textId="77777777" w:rsidR="00835891" w:rsidRDefault="00835891" w:rsidP="00914406">
      <w:pPr>
        <w:rPr>
          <w:lang w:val="fr-FR"/>
        </w:rPr>
      </w:pPr>
    </w:p>
    <w:p w14:paraId="609D6CCB" w14:textId="77777777" w:rsidR="00835891" w:rsidRDefault="00914406" w:rsidP="008F7B9A">
      <w:pPr>
        <w:rPr>
          <w:lang w:val="fr-FR"/>
        </w:rPr>
      </w:pPr>
      <w:r w:rsidRPr="00543E11">
        <w:rPr>
          <w:lang w:val="fr-FR"/>
        </w:rPr>
        <w:tab/>
      </w:r>
      <w:r w:rsidR="008F7B9A" w:rsidRPr="00543E11">
        <w:rPr>
          <w:lang w:val="fr-FR"/>
        </w:rPr>
        <w:t>g)</w:t>
      </w:r>
      <w:r w:rsidR="008F7B9A" w:rsidRPr="00543E11">
        <w:rPr>
          <w:lang w:val="fr-FR"/>
        </w:rPr>
        <w:tab/>
      </w:r>
      <w:r w:rsidR="00A839BD" w:rsidRPr="00543E11">
        <w:rPr>
          <w:lang w:val="fr-FR"/>
        </w:rPr>
        <w:t xml:space="preserve">à prendre note </w:t>
      </w:r>
      <w:r w:rsidR="00E04FD2">
        <w:rPr>
          <w:lang w:val="fr-FR"/>
        </w:rPr>
        <w:t>de</w:t>
      </w:r>
      <w:r w:rsidR="008F7B9A" w:rsidRPr="00543E11">
        <w:rPr>
          <w:lang w:val="fr-FR"/>
        </w:rPr>
        <w:t xml:space="preserve"> l</w:t>
      </w:r>
      <w:r w:rsidR="00012DAF">
        <w:rPr>
          <w:lang w:val="fr-FR"/>
        </w:rPr>
        <w:t>’</w:t>
      </w:r>
      <w:r w:rsidR="008F7B9A" w:rsidRPr="00543E11">
        <w:rPr>
          <w:lang w:val="fr-FR"/>
        </w:rPr>
        <w:t>organisation d</w:t>
      </w:r>
      <w:r w:rsidR="00012DAF">
        <w:rPr>
          <w:lang w:val="fr-FR"/>
        </w:rPr>
        <w:t>’</w:t>
      </w:r>
      <w:r w:rsidR="008F7B9A" w:rsidRPr="00543E11">
        <w:rPr>
          <w:lang w:val="fr-FR"/>
        </w:rPr>
        <w:t>une série de webinaires et de réunions virtuelles individuelles, selon que de besoin, avec les contributeurs de données, concernant les nouvelles modalités applicables aux contributeurs de données;</w:t>
      </w:r>
    </w:p>
    <w:p w14:paraId="12639B37" w14:textId="77777777" w:rsidR="00835891" w:rsidRDefault="00835891" w:rsidP="00914406">
      <w:pPr>
        <w:rPr>
          <w:lang w:val="fr-FR"/>
        </w:rPr>
      </w:pPr>
    </w:p>
    <w:p w14:paraId="2B9C8041" w14:textId="77777777" w:rsidR="00835891" w:rsidRDefault="00914406" w:rsidP="008F7B9A">
      <w:pPr>
        <w:rPr>
          <w:lang w:val="fr-FR"/>
        </w:rPr>
      </w:pPr>
      <w:r w:rsidRPr="00543E11">
        <w:rPr>
          <w:lang w:val="fr-FR"/>
        </w:rPr>
        <w:tab/>
      </w:r>
      <w:r w:rsidR="008F7B9A" w:rsidRPr="00543E11">
        <w:rPr>
          <w:lang w:val="fr-FR"/>
        </w:rPr>
        <w:t>h)</w:t>
      </w:r>
      <w:r w:rsidR="008F7B9A" w:rsidRPr="00543E11">
        <w:rPr>
          <w:lang w:val="fr-FR"/>
        </w:rPr>
        <w:tab/>
        <w:t xml:space="preserve">à prendre note de la synthèse des contributions à la base de données PLUTO </w:t>
      </w:r>
      <w:r w:rsidR="00012DAF" w:rsidRPr="00543E11">
        <w:rPr>
          <w:lang w:val="fr-FR"/>
        </w:rPr>
        <w:t>de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2015</w:t>
      </w:r>
      <w:r w:rsidR="008F7B9A" w:rsidRPr="00543E11">
        <w:rPr>
          <w:lang w:val="fr-FR"/>
        </w:rPr>
        <w:t xml:space="preserve"> à 2020, qui figure à l</w:t>
      </w:r>
      <w:r w:rsidR="00012DAF">
        <w:rPr>
          <w:lang w:val="fr-FR"/>
        </w:rPr>
        <w:t>’</w:t>
      </w:r>
      <w:r w:rsidR="00012DAF" w:rsidRPr="00543E11">
        <w:rPr>
          <w:lang w:val="fr-FR"/>
        </w:rPr>
        <w:t>annexe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I</w:t>
      </w:r>
      <w:r w:rsidR="008F7B9A" w:rsidRPr="00543E11">
        <w:rPr>
          <w:lang w:val="fr-FR"/>
        </w:rPr>
        <w:t>I;  et</w:t>
      </w:r>
    </w:p>
    <w:p w14:paraId="2DF118E1" w14:textId="77777777" w:rsidR="00835891" w:rsidRDefault="00835891" w:rsidP="00914406">
      <w:pPr>
        <w:rPr>
          <w:lang w:val="fr-FR"/>
        </w:rPr>
      </w:pPr>
    </w:p>
    <w:p w14:paraId="593676E0" w14:textId="77777777" w:rsidR="00835891" w:rsidRDefault="00914406" w:rsidP="002C76E4">
      <w:pPr>
        <w:rPr>
          <w:lang w:val="fr-FR"/>
        </w:rPr>
      </w:pPr>
      <w:r w:rsidRPr="00543E11">
        <w:rPr>
          <w:lang w:val="fr-FR"/>
        </w:rPr>
        <w:tab/>
      </w:r>
      <w:r w:rsidR="002C76E4" w:rsidRPr="00543E11">
        <w:rPr>
          <w:lang w:val="fr-FR"/>
        </w:rPr>
        <w:t>i)</w:t>
      </w:r>
      <w:r w:rsidR="002C76E4" w:rsidRPr="00543E11">
        <w:rPr>
          <w:lang w:val="fr-FR"/>
        </w:rPr>
        <w:tab/>
      </w:r>
      <w:r w:rsidR="00A839BD" w:rsidRPr="00543E11">
        <w:rPr>
          <w:lang w:val="fr-FR"/>
        </w:rPr>
        <w:t>à noter que la nouvelle configuration et l</w:t>
      </w:r>
      <w:r w:rsidR="002C76E4" w:rsidRPr="00543E11">
        <w:rPr>
          <w:lang w:val="fr-FR"/>
        </w:rPr>
        <w:t>es nouvelles fonctionnalités de la ba</w:t>
      </w:r>
      <w:r w:rsidR="00A839BD" w:rsidRPr="00543E11">
        <w:rPr>
          <w:lang w:val="fr-FR"/>
        </w:rPr>
        <w:t>se de données PLUTO, ainsi que l</w:t>
      </w:r>
      <w:r w:rsidR="002C76E4" w:rsidRPr="00543E11">
        <w:rPr>
          <w:lang w:val="fr-FR"/>
        </w:rPr>
        <w:t xml:space="preserve">es nouvelles </w:t>
      </w:r>
      <w:r w:rsidR="002A06AF" w:rsidRPr="00543E11">
        <w:rPr>
          <w:lang w:val="fr-FR"/>
        </w:rPr>
        <w:t>modalités</w:t>
      </w:r>
      <w:r w:rsidR="002C76E4" w:rsidRPr="00543E11">
        <w:rPr>
          <w:lang w:val="fr-FR"/>
        </w:rPr>
        <w:t xml:space="preserve"> </w:t>
      </w:r>
      <w:r w:rsidR="002A06AF" w:rsidRPr="00543E11">
        <w:rPr>
          <w:lang w:val="fr-FR"/>
        </w:rPr>
        <w:t xml:space="preserve">concernant </w:t>
      </w:r>
      <w:r w:rsidR="00A839BD" w:rsidRPr="00543E11">
        <w:rPr>
          <w:lang w:val="fr-FR"/>
        </w:rPr>
        <w:t>la contribution de données</w:t>
      </w:r>
      <w:r w:rsidR="002A06AF" w:rsidRPr="00543E11">
        <w:rPr>
          <w:lang w:val="fr-FR"/>
        </w:rPr>
        <w:t>,</w:t>
      </w:r>
      <w:r w:rsidR="00A839BD" w:rsidRPr="00543E11">
        <w:rPr>
          <w:lang w:val="fr-FR"/>
        </w:rPr>
        <w:t xml:space="preserve"> seront </w:t>
      </w:r>
      <w:r w:rsidR="002C76E4" w:rsidRPr="00543E11">
        <w:rPr>
          <w:lang w:val="fr-FR"/>
        </w:rPr>
        <w:t>présenté</w:t>
      </w:r>
      <w:r w:rsidR="00A839BD" w:rsidRPr="00543E11">
        <w:rPr>
          <w:lang w:val="fr-FR"/>
        </w:rPr>
        <w:t>es</w:t>
      </w:r>
      <w:r w:rsidR="002C76E4" w:rsidRPr="00543E11">
        <w:rPr>
          <w:lang w:val="fr-FR"/>
        </w:rPr>
        <w:t xml:space="preserve"> à la soixante</w:t>
      </w:r>
      <w:r w:rsidR="00012DAF">
        <w:rPr>
          <w:lang w:val="fr-FR"/>
        </w:rPr>
        <w:t>-</w:t>
      </w:r>
      <w:r w:rsidR="002C76E4" w:rsidRPr="00543E11">
        <w:rPr>
          <w:lang w:val="fr-FR"/>
        </w:rPr>
        <w:t>dix</w:t>
      </w:r>
      <w:r w:rsidR="00012DAF">
        <w:rPr>
          <w:lang w:val="fr-FR"/>
        </w:rPr>
        <w:t>-</w:t>
      </w:r>
      <w:r w:rsidR="002C76E4" w:rsidRPr="00543E11">
        <w:rPr>
          <w:lang w:val="fr-FR"/>
        </w:rPr>
        <w:t>sept</w:t>
      </w:r>
      <w:r w:rsidR="00012DAF">
        <w:rPr>
          <w:lang w:val="fr-FR"/>
        </w:rPr>
        <w:t>ième session</w:t>
      </w:r>
      <w:r w:rsidR="00012DAF" w:rsidRPr="00543E11">
        <w:rPr>
          <w:lang w:val="fr-FR"/>
        </w:rPr>
        <w:t xml:space="preserve"> du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CAJ</w:t>
      </w:r>
      <w:r w:rsidR="002C76E4" w:rsidRPr="00543E11">
        <w:rPr>
          <w:lang w:val="fr-FR"/>
        </w:rPr>
        <w:t>.</w:t>
      </w:r>
    </w:p>
    <w:p w14:paraId="197B44B9" w14:textId="77777777" w:rsidR="00835891" w:rsidRDefault="00835891" w:rsidP="00826E28">
      <w:pPr>
        <w:pStyle w:val="Heading1"/>
        <w:rPr>
          <w:noProof w:val="0"/>
        </w:rPr>
      </w:pPr>
    </w:p>
    <w:p w14:paraId="29081C6A" w14:textId="77777777" w:rsidR="00835891" w:rsidRDefault="00835891" w:rsidP="00002D2F">
      <w:pPr>
        <w:rPr>
          <w:lang w:val="fr-FR"/>
        </w:rPr>
      </w:pPr>
    </w:p>
    <w:p w14:paraId="3736D29E" w14:textId="77777777" w:rsidR="00835891" w:rsidRDefault="00835891" w:rsidP="00002D2F">
      <w:pPr>
        <w:rPr>
          <w:lang w:val="fr-FR"/>
        </w:rPr>
      </w:pPr>
    </w:p>
    <w:p w14:paraId="651DBB75" w14:textId="77777777" w:rsidR="00835891" w:rsidRDefault="008E382E" w:rsidP="00826E28">
      <w:pPr>
        <w:pStyle w:val="Heading1"/>
        <w:rPr>
          <w:noProof w:val="0"/>
        </w:rPr>
      </w:pPr>
      <w:r w:rsidRPr="00543E11">
        <w:rPr>
          <w:noProof w:val="0"/>
        </w:rPr>
        <w:lastRenderedPageBreak/>
        <w:t>SERVICE PLUTO</w:t>
      </w:r>
    </w:p>
    <w:p w14:paraId="40AD7289" w14:textId="77777777" w:rsidR="00835891" w:rsidRDefault="00835891" w:rsidP="00002D2F">
      <w:pPr>
        <w:keepNext/>
        <w:rPr>
          <w:lang w:val="fr-FR"/>
        </w:rPr>
      </w:pPr>
    </w:p>
    <w:p w14:paraId="4F78A088" w14:textId="77777777" w:rsidR="00835891" w:rsidRDefault="00391B0A" w:rsidP="002C76E4">
      <w:pPr>
        <w:keepLines/>
        <w:tabs>
          <w:tab w:val="left" w:pos="567"/>
        </w:tabs>
        <w:rPr>
          <w:lang w:val="fr-FR"/>
        </w:rPr>
      </w:pPr>
      <w:r w:rsidRPr="00543E11">
        <w:rPr>
          <w:rFonts w:eastAsiaTheme="minorEastAsia" w:cs="Arial"/>
          <w:bCs/>
          <w:lang w:val="fr-FR"/>
        </w:rPr>
        <w:fldChar w:fldCharType="begin"/>
      </w:r>
      <w:r w:rsidRPr="00543E11">
        <w:rPr>
          <w:rFonts w:eastAsiaTheme="minorEastAsia" w:cs="Arial"/>
          <w:bCs/>
          <w:lang w:val="fr-FR"/>
        </w:rPr>
        <w:instrText xml:space="preserve"> AUTONUM  </w:instrText>
      </w:r>
      <w:r w:rsidRPr="00543E11">
        <w:rPr>
          <w:rFonts w:eastAsiaTheme="minorEastAsia" w:cs="Arial"/>
          <w:bCs/>
          <w:lang w:val="fr-FR"/>
        </w:rPr>
        <w:fldChar w:fldCharType="end"/>
      </w:r>
      <w:r w:rsidRPr="00543E11">
        <w:rPr>
          <w:rFonts w:eastAsiaTheme="minorEastAsia" w:cs="Arial"/>
          <w:bCs/>
          <w:lang w:val="fr-FR"/>
        </w:rPr>
        <w:tab/>
      </w:r>
      <w:r w:rsidR="008E382E" w:rsidRPr="00543E11">
        <w:rPr>
          <w:rFonts w:eastAsiaTheme="minorEastAsia" w:cs="Arial"/>
          <w:bCs/>
          <w:lang w:val="fr-FR"/>
        </w:rPr>
        <w:t>À sa cinquante</w:t>
      </w:r>
      <w:r w:rsidR="00012DAF">
        <w:rPr>
          <w:rFonts w:eastAsiaTheme="minorEastAsia" w:cs="Arial"/>
          <w:bCs/>
          <w:lang w:val="fr-FR"/>
        </w:rPr>
        <w:t>-</w:t>
      </w:r>
      <w:r w:rsidR="002C76E4" w:rsidRPr="00543E11">
        <w:rPr>
          <w:rFonts w:eastAsiaTheme="minorEastAsia" w:cs="Arial"/>
          <w:bCs/>
          <w:lang w:val="fr-FR"/>
        </w:rPr>
        <w:t>trois</w:t>
      </w:r>
      <w:r w:rsidR="00012DAF">
        <w:rPr>
          <w:rFonts w:eastAsiaTheme="minorEastAsia" w:cs="Arial"/>
          <w:bCs/>
          <w:lang w:val="fr-FR"/>
        </w:rPr>
        <w:t>ième session</w:t>
      </w:r>
      <w:r w:rsidR="002C76E4" w:rsidRPr="00543E11">
        <w:rPr>
          <w:rFonts w:eastAsiaTheme="minorEastAsia" w:cs="Arial"/>
          <w:bCs/>
          <w:lang w:val="fr-FR"/>
        </w:rPr>
        <w:t xml:space="preserve"> ordinaire tenue à Genève le</w:t>
      </w:r>
      <w:r w:rsidR="00012DAF">
        <w:rPr>
          <w:rFonts w:eastAsiaTheme="minorEastAsia" w:cs="Arial"/>
          <w:bCs/>
          <w:lang w:val="fr-FR"/>
        </w:rPr>
        <w:t xml:space="preserve"> 1</w:t>
      </w:r>
      <w:r w:rsidR="00012DAF" w:rsidRPr="00012DAF">
        <w:rPr>
          <w:rFonts w:eastAsiaTheme="minorEastAsia" w:cs="Arial"/>
          <w:bCs/>
          <w:vertAlign w:val="superscript"/>
          <w:lang w:val="fr-FR"/>
        </w:rPr>
        <w:t>er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novembre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20</w:t>
      </w:r>
      <w:r w:rsidR="002C76E4" w:rsidRPr="00543E11">
        <w:rPr>
          <w:rFonts w:eastAsiaTheme="minorEastAsia" w:cs="Arial"/>
          <w:bCs/>
          <w:lang w:val="fr-FR"/>
        </w:rPr>
        <w:t xml:space="preserve">19 (voir le </w:t>
      </w:r>
      <w:r w:rsidR="00012DAF" w:rsidRPr="00543E11">
        <w:rPr>
          <w:rFonts w:eastAsiaTheme="minorEastAsia" w:cs="Arial"/>
          <w:bCs/>
          <w:lang w:val="fr-FR"/>
        </w:rPr>
        <w:t>paragraphe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2</w:t>
      </w:r>
      <w:r w:rsidR="002C76E4" w:rsidRPr="00543E11">
        <w:rPr>
          <w:rFonts w:eastAsiaTheme="minorEastAsia" w:cs="Arial"/>
          <w:bCs/>
          <w:lang w:val="fr-FR"/>
        </w:rPr>
        <w:t>3 du document</w:t>
      </w:r>
      <w:r w:rsidR="006378A5">
        <w:rPr>
          <w:rFonts w:eastAsiaTheme="minorEastAsia" w:cs="Arial"/>
          <w:bCs/>
          <w:lang w:val="fr-FR"/>
        </w:rPr>
        <w:t> </w:t>
      </w:r>
      <w:r w:rsidR="002C76E4" w:rsidRPr="00543E11">
        <w:rPr>
          <w:rFonts w:eastAsiaTheme="minorEastAsia" w:cs="Arial"/>
          <w:bCs/>
          <w:lang w:val="fr-FR"/>
        </w:rPr>
        <w:t xml:space="preserve">C/53/15), </w:t>
      </w:r>
      <w:r w:rsidR="008E382E" w:rsidRPr="00543E11">
        <w:rPr>
          <w:rFonts w:eastAsiaTheme="minorEastAsia" w:cs="Arial"/>
          <w:bCs/>
          <w:lang w:val="fr-FR"/>
        </w:rPr>
        <w:t xml:space="preserve">le Conseil </w:t>
      </w:r>
      <w:r w:rsidR="002C76E4" w:rsidRPr="00543E11">
        <w:rPr>
          <w:rFonts w:eastAsiaTheme="minorEastAsia" w:cs="Arial"/>
          <w:bCs/>
          <w:lang w:val="fr-FR"/>
        </w:rPr>
        <w:t>a décidé de mettre fin à l</w:t>
      </w:r>
      <w:r w:rsidR="00012DAF">
        <w:rPr>
          <w:rFonts w:eastAsiaTheme="minorEastAsia" w:cs="Arial"/>
          <w:bCs/>
          <w:lang w:val="fr-FR"/>
        </w:rPr>
        <w:t>’</w:t>
      </w:r>
      <w:r w:rsidR="002C76E4" w:rsidRPr="00543E11">
        <w:rPr>
          <w:rFonts w:eastAsiaTheme="minorEastAsia" w:cs="Arial"/>
          <w:bCs/>
          <w:lang w:val="fr-FR"/>
        </w:rPr>
        <w:t>accord entre l</w:t>
      </w:r>
      <w:r w:rsidR="00012DAF">
        <w:rPr>
          <w:rFonts w:eastAsiaTheme="minorEastAsia" w:cs="Arial"/>
          <w:bCs/>
          <w:lang w:val="fr-FR"/>
        </w:rPr>
        <w:t>’</w:t>
      </w:r>
      <w:r w:rsidR="002C76E4" w:rsidRPr="00543E11">
        <w:rPr>
          <w:rFonts w:eastAsiaTheme="minorEastAsia" w:cs="Arial"/>
          <w:bCs/>
          <w:lang w:val="fr-FR"/>
        </w:rPr>
        <w:t>UPOV et l</w:t>
      </w:r>
      <w:r w:rsidR="00012DAF">
        <w:rPr>
          <w:rFonts w:eastAsiaTheme="minorEastAsia" w:cs="Arial"/>
          <w:bCs/>
          <w:lang w:val="fr-FR"/>
        </w:rPr>
        <w:t>’</w:t>
      </w:r>
      <w:r w:rsidR="002C76E4" w:rsidRPr="00543E11">
        <w:rPr>
          <w:rFonts w:eastAsiaTheme="minorEastAsia" w:cs="Arial"/>
          <w:bCs/>
          <w:lang w:val="fr-FR"/>
        </w:rPr>
        <w:t>OMPI concernant la base de données de l</w:t>
      </w:r>
      <w:r w:rsidR="00012DAF">
        <w:rPr>
          <w:rFonts w:eastAsiaTheme="minorEastAsia" w:cs="Arial"/>
          <w:bCs/>
          <w:lang w:val="fr-FR"/>
        </w:rPr>
        <w:t>’</w:t>
      </w:r>
      <w:r w:rsidR="002C76E4" w:rsidRPr="00543E11">
        <w:rPr>
          <w:rFonts w:eastAsiaTheme="minorEastAsia" w:cs="Arial"/>
          <w:bCs/>
          <w:lang w:val="fr-FR"/>
        </w:rPr>
        <w:t>UPOV sur les variétés végétales (accord UPOV</w:t>
      </w:r>
      <w:r w:rsidR="00012DAF">
        <w:rPr>
          <w:rFonts w:eastAsiaTheme="minorEastAsia" w:cs="Arial"/>
          <w:bCs/>
          <w:lang w:val="fr-FR"/>
        </w:rPr>
        <w:t>-</w:t>
      </w:r>
      <w:r w:rsidR="002C76E4" w:rsidRPr="00543E11">
        <w:rPr>
          <w:rFonts w:eastAsiaTheme="minorEastAsia" w:cs="Arial"/>
          <w:bCs/>
          <w:lang w:val="fr-FR"/>
        </w:rPr>
        <w:t>OMPI</w:t>
      </w:r>
      <w:r w:rsidR="002C76E4" w:rsidRPr="00543E11">
        <w:rPr>
          <w:rStyle w:val="FootnoteReference"/>
          <w:rFonts w:eastAsiaTheme="minorEastAsia" w:cs="Arial"/>
          <w:bCs/>
          <w:lang w:val="fr-FR"/>
        </w:rPr>
        <w:footnoteReference w:id="2"/>
      </w:r>
      <w:r w:rsidR="002C76E4" w:rsidRPr="00543E11">
        <w:rPr>
          <w:rFonts w:eastAsiaTheme="minorEastAsia" w:cs="Arial"/>
          <w:bCs/>
          <w:lang w:val="fr-FR"/>
        </w:rPr>
        <w:t>), dès lors que le transfert des connaissances et la rationalisation de la gestion des données de PLUTO auront été effectués à la satisfaction du Bureau de l</w:t>
      </w:r>
      <w:r w:rsidR="00012DAF">
        <w:rPr>
          <w:rFonts w:eastAsiaTheme="minorEastAsia" w:cs="Arial"/>
          <w:bCs/>
          <w:lang w:val="fr-FR"/>
        </w:rPr>
        <w:t>’</w:t>
      </w:r>
      <w:r w:rsidR="002C76E4" w:rsidRPr="00543E11">
        <w:rPr>
          <w:rFonts w:eastAsiaTheme="minorEastAsia" w:cs="Arial"/>
          <w:bCs/>
          <w:lang w:val="fr-FR"/>
        </w:rPr>
        <w:t>Union.</w:t>
      </w:r>
      <w:r w:rsidRPr="00543E11">
        <w:rPr>
          <w:rFonts w:eastAsiaTheme="minorEastAsia" w:cs="Arial"/>
          <w:bCs/>
          <w:lang w:val="fr-FR"/>
        </w:rPr>
        <w:t xml:space="preserve">  </w:t>
      </w:r>
      <w:r w:rsidR="002C76E4" w:rsidRPr="00543E11">
        <w:rPr>
          <w:rFonts w:eastAsiaTheme="minorEastAsia" w:cs="Arial"/>
          <w:bCs/>
          <w:lang w:val="fr-FR"/>
        </w:rPr>
        <w:t>Le Conseil a également décidé d</w:t>
      </w:r>
      <w:r w:rsidR="00012DAF">
        <w:rPr>
          <w:rFonts w:eastAsiaTheme="minorEastAsia" w:cs="Arial"/>
          <w:bCs/>
          <w:lang w:val="fr-FR"/>
        </w:rPr>
        <w:t>’</w:t>
      </w:r>
      <w:r w:rsidR="002C76E4" w:rsidRPr="00543E11">
        <w:rPr>
          <w:rFonts w:eastAsiaTheme="minorEastAsia" w:cs="Arial"/>
          <w:bCs/>
          <w:lang w:val="fr-FR"/>
        </w:rPr>
        <w:t>approuver l</w:t>
      </w:r>
      <w:r w:rsidR="00012DAF">
        <w:rPr>
          <w:rFonts w:eastAsiaTheme="minorEastAsia" w:cs="Arial"/>
          <w:bCs/>
          <w:lang w:val="fr-FR"/>
        </w:rPr>
        <w:t>’</w:t>
      </w:r>
      <w:r w:rsidR="002C76E4" w:rsidRPr="00543E11">
        <w:rPr>
          <w:rFonts w:eastAsiaTheme="minorEastAsia" w:cs="Arial"/>
          <w:bCs/>
          <w:lang w:val="fr-FR"/>
        </w:rPr>
        <w:t>approche ci</w:t>
      </w:r>
      <w:r w:rsidR="00012DAF">
        <w:rPr>
          <w:rFonts w:eastAsiaTheme="minorEastAsia" w:cs="Arial"/>
          <w:bCs/>
          <w:lang w:val="fr-FR"/>
        </w:rPr>
        <w:t>-</w:t>
      </w:r>
      <w:r w:rsidR="002C76E4" w:rsidRPr="00543E11">
        <w:rPr>
          <w:rFonts w:eastAsiaTheme="minorEastAsia" w:cs="Arial"/>
          <w:bCs/>
          <w:lang w:val="fr-FR"/>
        </w:rPr>
        <w:t xml:space="preserve">après à compter de </w:t>
      </w:r>
      <w:r w:rsidR="00012DAF" w:rsidRPr="00543E11">
        <w:rPr>
          <w:rFonts w:eastAsiaTheme="minorEastAsia" w:cs="Arial"/>
          <w:bCs/>
          <w:lang w:val="fr-FR"/>
        </w:rPr>
        <w:t>novembre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20</w:t>
      </w:r>
      <w:r w:rsidR="002C76E4" w:rsidRPr="00543E11">
        <w:rPr>
          <w:rFonts w:eastAsiaTheme="minorEastAsia" w:cs="Arial"/>
          <w:bCs/>
          <w:lang w:val="fr-FR"/>
        </w:rPr>
        <w:t>20 pour la base de données PLUTO</w:t>
      </w:r>
      <w:r w:rsidR="00012DAF">
        <w:rPr>
          <w:rFonts w:eastAsiaTheme="minorEastAsia" w:cs="Arial"/>
          <w:bCs/>
          <w:lang w:val="fr-FR"/>
        </w:rPr>
        <w:t> :</w:t>
      </w:r>
    </w:p>
    <w:p w14:paraId="61B35C25" w14:textId="77777777" w:rsidR="00835891" w:rsidRDefault="00835891" w:rsidP="00391B0A">
      <w:pPr>
        <w:rPr>
          <w:lang w:val="fr-FR"/>
        </w:rPr>
      </w:pPr>
    </w:p>
    <w:p w14:paraId="7052AB06" w14:textId="77777777" w:rsidR="00835891" w:rsidRDefault="005E3627" w:rsidP="005E3627">
      <w:pPr>
        <w:pStyle w:val="ListParagraph"/>
        <w:numPr>
          <w:ilvl w:val="0"/>
          <w:numId w:val="36"/>
        </w:numPr>
        <w:ind w:left="851" w:hanging="284"/>
        <w:rPr>
          <w:sz w:val="20"/>
          <w:szCs w:val="20"/>
          <w:lang w:val="fr-FR"/>
        </w:rPr>
      </w:pPr>
      <w:r w:rsidRPr="00543E11">
        <w:rPr>
          <w:sz w:val="20"/>
          <w:szCs w:val="20"/>
          <w:lang w:val="fr-FR"/>
        </w:rPr>
        <w:t>option gratuite</w:t>
      </w:r>
      <w:r w:rsidR="00012DAF">
        <w:rPr>
          <w:sz w:val="20"/>
          <w:szCs w:val="20"/>
          <w:lang w:val="fr-FR"/>
        </w:rPr>
        <w:t> :</w:t>
      </w:r>
      <w:r w:rsidRPr="00543E11">
        <w:rPr>
          <w:sz w:val="20"/>
          <w:szCs w:val="20"/>
          <w:lang w:val="fr-FR"/>
        </w:rPr>
        <w:t xml:space="preserve"> la base de données PLUTO ayant une fonction recherche serait gratuite pour tous les utilisateurs.</w:t>
      </w:r>
      <w:r w:rsidR="00391B0A" w:rsidRPr="00543E11">
        <w:rPr>
          <w:sz w:val="20"/>
          <w:szCs w:val="20"/>
          <w:lang w:val="fr-FR"/>
        </w:rPr>
        <w:t xml:space="preserve">  </w:t>
      </w:r>
      <w:r w:rsidRPr="00543E11">
        <w:rPr>
          <w:sz w:val="20"/>
          <w:szCs w:val="20"/>
          <w:lang w:val="fr-FR"/>
        </w:rPr>
        <w:t>Les résultats d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une recherche s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afficheraient uniquement à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écran sur une seule page.</w:t>
      </w:r>
      <w:r w:rsidR="00391B0A" w:rsidRPr="00543E11">
        <w:rPr>
          <w:sz w:val="20"/>
          <w:szCs w:val="20"/>
          <w:lang w:val="fr-FR"/>
        </w:rPr>
        <w:t xml:space="preserve">  </w:t>
      </w:r>
      <w:r w:rsidRPr="00543E11">
        <w:rPr>
          <w:sz w:val="20"/>
          <w:szCs w:val="20"/>
          <w:lang w:val="fr-FR"/>
        </w:rPr>
        <w:t>Il n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y aurait aucune option pour télécharger les résultats d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une recherche ou les données contenues dans PLUTO;</w:t>
      </w:r>
    </w:p>
    <w:p w14:paraId="2E77FE44" w14:textId="77777777" w:rsidR="00835891" w:rsidRDefault="00835891" w:rsidP="00784FD0">
      <w:pPr>
        <w:ind w:left="567"/>
        <w:rPr>
          <w:lang w:val="fr-FR"/>
        </w:rPr>
      </w:pPr>
    </w:p>
    <w:p w14:paraId="7006D534" w14:textId="77777777" w:rsidR="00835891" w:rsidRDefault="005E3627" w:rsidP="005E3627">
      <w:pPr>
        <w:pStyle w:val="ListParagraph"/>
        <w:numPr>
          <w:ilvl w:val="0"/>
          <w:numId w:val="36"/>
        </w:numPr>
        <w:ind w:left="851" w:hanging="284"/>
        <w:rPr>
          <w:sz w:val="20"/>
          <w:szCs w:val="20"/>
          <w:lang w:val="fr-FR"/>
        </w:rPr>
      </w:pPr>
      <w:r w:rsidRPr="00543E11">
        <w:rPr>
          <w:sz w:val="20"/>
          <w:szCs w:val="20"/>
          <w:lang w:val="fr-FR"/>
        </w:rPr>
        <w:t>option premium</w:t>
      </w:r>
      <w:r w:rsidR="00012DAF">
        <w:rPr>
          <w:sz w:val="20"/>
          <w:szCs w:val="20"/>
          <w:lang w:val="fr-FR"/>
        </w:rPr>
        <w:t> :</w:t>
      </w:r>
      <w:r w:rsidRPr="00543E11">
        <w:rPr>
          <w:sz w:val="20"/>
          <w:szCs w:val="20"/>
          <w:lang w:val="fr-FR"/>
        </w:rPr>
        <w:t xml:space="preserve"> les utilisateurs payants auraient accès à toutes les fonctionnalités de la base de données PLUTO et pourraient télécharger les données sans restriction.</w:t>
      </w:r>
      <w:r w:rsidR="00391B0A" w:rsidRPr="00543E11">
        <w:rPr>
          <w:sz w:val="20"/>
          <w:szCs w:val="20"/>
          <w:lang w:val="fr-FR"/>
        </w:rPr>
        <w:t xml:space="preserve">  </w:t>
      </w:r>
      <w:r w:rsidRPr="00543E11">
        <w:rPr>
          <w:sz w:val="20"/>
          <w:szCs w:val="20"/>
          <w:lang w:val="fr-FR"/>
        </w:rPr>
        <w:t>La taxe s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élèverait à 75</w:t>
      </w:r>
      <w:r w:rsidR="00012DAF" w:rsidRPr="00543E11">
        <w:rPr>
          <w:sz w:val="20"/>
          <w:szCs w:val="20"/>
          <w:lang w:val="fr-FR"/>
        </w:rPr>
        <w:t>0</w:t>
      </w:r>
      <w:r w:rsidR="00012DAF">
        <w:rPr>
          <w:sz w:val="20"/>
          <w:szCs w:val="20"/>
          <w:lang w:val="fr-FR"/>
        </w:rPr>
        <w:t> </w:t>
      </w:r>
      <w:r w:rsidR="00012DAF" w:rsidRPr="00543E11">
        <w:rPr>
          <w:sz w:val="20"/>
          <w:szCs w:val="20"/>
          <w:lang w:val="fr-FR"/>
        </w:rPr>
        <w:t>franc</w:t>
      </w:r>
      <w:r w:rsidRPr="00543E11">
        <w:rPr>
          <w:sz w:val="20"/>
          <w:szCs w:val="20"/>
          <w:lang w:val="fr-FR"/>
        </w:rPr>
        <w:t>s suisses par an;</w:t>
      </w:r>
    </w:p>
    <w:p w14:paraId="512E2340" w14:textId="77777777" w:rsidR="00835891" w:rsidRDefault="00835891" w:rsidP="00784FD0">
      <w:pPr>
        <w:ind w:left="851" w:hanging="284"/>
        <w:rPr>
          <w:lang w:val="fr-FR"/>
        </w:rPr>
      </w:pPr>
    </w:p>
    <w:p w14:paraId="3318F47E" w14:textId="77777777" w:rsidR="00835891" w:rsidRDefault="005E3627" w:rsidP="005E3627">
      <w:pPr>
        <w:pStyle w:val="ListParagraph"/>
        <w:numPr>
          <w:ilvl w:val="0"/>
          <w:numId w:val="36"/>
        </w:numPr>
        <w:ind w:left="851" w:hanging="284"/>
        <w:rPr>
          <w:sz w:val="20"/>
          <w:szCs w:val="20"/>
          <w:lang w:val="fr-FR"/>
        </w:rPr>
      </w:pPr>
      <w:r w:rsidRPr="00543E11">
        <w:rPr>
          <w:sz w:val="20"/>
          <w:szCs w:val="20"/>
          <w:lang w:val="fr-FR"/>
        </w:rPr>
        <w:t>membres de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Union et contributeurs de données</w:t>
      </w:r>
      <w:r w:rsidR="00012DAF">
        <w:rPr>
          <w:sz w:val="20"/>
          <w:szCs w:val="20"/>
          <w:lang w:val="fr-FR"/>
        </w:rPr>
        <w:t> :</w:t>
      </w:r>
      <w:r w:rsidRPr="00543E11">
        <w:rPr>
          <w:sz w:val="20"/>
          <w:szCs w:val="20"/>
          <w:lang w:val="fr-FR"/>
        </w:rPr>
        <w:t xml:space="preserve">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accès à toutes les fonctions “premium” de la base de données PLUTO serait gratuit pour tous les membres de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Union et contributeurs de données (par exemple,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OCDE);</w:t>
      </w:r>
      <w:r w:rsidR="008E382E" w:rsidRPr="00543E11">
        <w:rPr>
          <w:sz w:val="20"/>
          <w:szCs w:val="20"/>
          <w:lang w:val="fr-FR"/>
        </w:rPr>
        <w:t xml:space="preserve"> </w:t>
      </w:r>
      <w:r w:rsidRPr="00543E11">
        <w:rPr>
          <w:sz w:val="20"/>
          <w:szCs w:val="20"/>
          <w:lang w:val="fr-FR"/>
        </w:rPr>
        <w:t xml:space="preserve"> et</w:t>
      </w:r>
    </w:p>
    <w:p w14:paraId="5F684A08" w14:textId="77777777" w:rsidR="00835891" w:rsidRDefault="00835891" w:rsidP="00784FD0">
      <w:pPr>
        <w:ind w:left="851" w:hanging="284"/>
        <w:rPr>
          <w:lang w:val="fr-FR"/>
        </w:rPr>
      </w:pPr>
    </w:p>
    <w:p w14:paraId="254A67A2" w14:textId="77777777" w:rsidR="00835891" w:rsidRDefault="005E3627" w:rsidP="005E3627">
      <w:pPr>
        <w:pStyle w:val="ListParagraph"/>
        <w:numPr>
          <w:ilvl w:val="0"/>
          <w:numId w:val="36"/>
        </w:numPr>
        <w:ind w:left="851" w:hanging="284"/>
        <w:rPr>
          <w:sz w:val="20"/>
          <w:szCs w:val="20"/>
          <w:lang w:val="fr-FR"/>
        </w:rPr>
      </w:pPr>
      <w:r w:rsidRPr="00543E11">
        <w:rPr>
          <w:sz w:val="20"/>
          <w:szCs w:val="20"/>
          <w:lang w:val="fr-FR"/>
        </w:rPr>
        <w:t>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accès aux données PLUTO pourrait également être accordé dans les cas approuvés par le Comité consultatif, dans des conditions similaires à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assistance que le Bureau de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Union fournit au Traité international sur les ressources phytogénétiques pour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alimentation et l</w:t>
      </w:r>
      <w:r w:rsidR="00012DAF">
        <w:rPr>
          <w:sz w:val="20"/>
          <w:szCs w:val="20"/>
          <w:lang w:val="fr-FR"/>
        </w:rPr>
        <w:t>’</w:t>
      </w:r>
      <w:r w:rsidRPr="00543E11">
        <w:rPr>
          <w:sz w:val="20"/>
          <w:szCs w:val="20"/>
          <w:lang w:val="fr-FR"/>
        </w:rPr>
        <w:t>agriculture (Traité international);</w:t>
      </w:r>
    </w:p>
    <w:p w14:paraId="32768745" w14:textId="77777777" w:rsidR="00835891" w:rsidRDefault="00835891" w:rsidP="00391B0A">
      <w:pPr>
        <w:rPr>
          <w:lang w:val="fr-FR"/>
        </w:rPr>
      </w:pPr>
    </w:p>
    <w:p w14:paraId="3DDE804C" w14:textId="77777777" w:rsidR="00835891" w:rsidRPr="003E2D04" w:rsidRDefault="00391B0A" w:rsidP="00E941D4">
      <w:pPr>
        <w:rPr>
          <w:spacing w:val="2"/>
          <w:lang w:val="fr-FR"/>
        </w:rPr>
      </w:pPr>
      <w:r w:rsidRPr="003E2D04">
        <w:rPr>
          <w:spacing w:val="2"/>
          <w:lang w:val="fr-FR"/>
        </w:rPr>
        <w:fldChar w:fldCharType="begin"/>
      </w:r>
      <w:r w:rsidRPr="003E2D04">
        <w:rPr>
          <w:spacing w:val="2"/>
          <w:lang w:val="fr-FR"/>
        </w:rPr>
        <w:instrText xml:space="preserve"> AUTONUM  </w:instrText>
      </w:r>
      <w:r w:rsidRPr="003E2D04">
        <w:rPr>
          <w:spacing w:val="2"/>
          <w:lang w:val="fr-FR"/>
        </w:rPr>
        <w:fldChar w:fldCharType="end"/>
      </w:r>
      <w:r w:rsidRPr="003E2D04">
        <w:rPr>
          <w:spacing w:val="2"/>
          <w:lang w:val="fr-FR"/>
        </w:rPr>
        <w:tab/>
      </w:r>
      <w:r w:rsidR="00257045" w:rsidRPr="003E2D04">
        <w:rPr>
          <w:spacing w:val="2"/>
          <w:lang w:val="fr-FR"/>
        </w:rPr>
        <w:t>Le 3</w:t>
      </w:r>
      <w:r w:rsidR="00012DAF" w:rsidRPr="003E2D04">
        <w:rPr>
          <w:spacing w:val="2"/>
          <w:lang w:val="fr-FR"/>
        </w:rPr>
        <w:t>0 juin 20</w:t>
      </w:r>
      <w:r w:rsidR="00257045" w:rsidRPr="003E2D04">
        <w:rPr>
          <w:spacing w:val="2"/>
          <w:lang w:val="fr-FR"/>
        </w:rPr>
        <w:t xml:space="preserve">20, un webinaire (en anglais) a été organisé afin de présenter les modifications </w:t>
      </w:r>
      <w:r w:rsidR="008E382E" w:rsidRPr="003E2D04">
        <w:rPr>
          <w:spacing w:val="2"/>
          <w:lang w:val="fr-FR"/>
        </w:rPr>
        <w:t>à apporter</w:t>
      </w:r>
      <w:r w:rsidR="00257045" w:rsidRPr="003E2D04">
        <w:rPr>
          <w:spacing w:val="2"/>
          <w:lang w:val="fr-FR"/>
        </w:rPr>
        <w:t xml:space="preserve"> à la base de données PLUTO et de donner la possibilité aux utilisateurs de faire part de leurs observations sur</w:t>
      </w:r>
      <w:r w:rsidR="008E382E" w:rsidRPr="003E2D04">
        <w:rPr>
          <w:spacing w:val="2"/>
          <w:lang w:val="fr-FR"/>
        </w:rPr>
        <w:t xml:space="preserve"> la</w:t>
      </w:r>
      <w:r w:rsidR="00257045" w:rsidRPr="003E2D04">
        <w:rPr>
          <w:spacing w:val="2"/>
          <w:lang w:val="fr-FR"/>
        </w:rPr>
        <w:t xml:space="preserve"> configuration et les nouvelles</w:t>
      </w:r>
      <w:bookmarkStart w:id="2" w:name="_GoBack"/>
      <w:bookmarkEnd w:id="2"/>
      <w:r w:rsidR="00257045" w:rsidRPr="003E2D04">
        <w:rPr>
          <w:spacing w:val="2"/>
          <w:lang w:val="fr-FR"/>
        </w:rPr>
        <w:t xml:space="preserve"> fonctionnalités proposées.</w:t>
      </w:r>
      <w:r w:rsidR="00C938E9" w:rsidRPr="003E2D04">
        <w:rPr>
          <w:spacing w:val="2"/>
          <w:lang w:val="fr-FR"/>
        </w:rPr>
        <w:t xml:space="preserve">  </w:t>
      </w:r>
      <w:r w:rsidR="00257045" w:rsidRPr="003E2D04">
        <w:rPr>
          <w:spacing w:val="2"/>
          <w:lang w:val="fr-FR"/>
        </w:rPr>
        <w:t xml:space="preserve">Ce webinaire a été suivi </w:t>
      </w:r>
      <w:r w:rsidR="008E382E" w:rsidRPr="003E2D04">
        <w:rPr>
          <w:spacing w:val="2"/>
          <w:lang w:val="fr-FR"/>
        </w:rPr>
        <w:t xml:space="preserve">par </w:t>
      </w:r>
      <w:r w:rsidR="00257045" w:rsidRPr="003E2D04">
        <w:rPr>
          <w:spacing w:val="2"/>
          <w:lang w:val="fr-FR"/>
        </w:rPr>
        <w:t>185</w:t>
      </w:r>
      <w:r w:rsidR="006378A5" w:rsidRPr="003E2D04">
        <w:rPr>
          <w:spacing w:val="2"/>
          <w:lang w:val="fr-FR"/>
        </w:rPr>
        <w:t> </w:t>
      </w:r>
      <w:r w:rsidR="00257045" w:rsidRPr="003E2D04">
        <w:rPr>
          <w:spacing w:val="2"/>
          <w:lang w:val="fr-FR"/>
        </w:rPr>
        <w:t>participants.</w:t>
      </w:r>
      <w:r w:rsidR="005F34E7" w:rsidRPr="003E2D04">
        <w:rPr>
          <w:spacing w:val="2"/>
          <w:lang w:val="fr-FR"/>
        </w:rPr>
        <w:t xml:space="preserve">  </w:t>
      </w:r>
      <w:r w:rsidR="00257045" w:rsidRPr="003E2D04">
        <w:rPr>
          <w:spacing w:val="2"/>
          <w:lang w:val="fr-FR"/>
        </w:rPr>
        <w:t>Les participants ont pu formuler des observations en répondant à des questions posées en direct durant le webinaire ainsi que dans le cadre d</w:t>
      </w:r>
      <w:r w:rsidR="00012DAF" w:rsidRPr="003E2D04">
        <w:rPr>
          <w:spacing w:val="2"/>
          <w:lang w:val="fr-FR"/>
        </w:rPr>
        <w:t>’</w:t>
      </w:r>
      <w:r w:rsidR="00257045" w:rsidRPr="003E2D04">
        <w:rPr>
          <w:spacing w:val="2"/>
          <w:lang w:val="fr-FR"/>
        </w:rPr>
        <w:t>une session de questions</w:t>
      </w:r>
      <w:r w:rsidR="00012DAF" w:rsidRPr="003E2D04">
        <w:rPr>
          <w:spacing w:val="2"/>
          <w:lang w:val="fr-FR"/>
        </w:rPr>
        <w:t>-</w:t>
      </w:r>
      <w:r w:rsidR="00257045" w:rsidRPr="003E2D04">
        <w:rPr>
          <w:spacing w:val="2"/>
          <w:lang w:val="fr-FR"/>
        </w:rPr>
        <w:t>réponses organisée à la fin du webinaire, et avaient également la possibilité d</w:t>
      </w:r>
      <w:r w:rsidR="00012DAF" w:rsidRPr="003E2D04">
        <w:rPr>
          <w:spacing w:val="2"/>
          <w:lang w:val="fr-FR"/>
        </w:rPr>
        <w:t>’</w:t>
      </w:r>
      <w:r w:rsidR="00257045" w:rsidRPr="003E2D04">
        <w:rPr>
          <w:spacing w:val="2"/>
          <w:lang w:val="fr-FR"/>
        </w:rPr>
        <w:t>envoyer des questions par courrier électronique après le webinaire.</w:t>
      </w:r>
      <w:r w:rsidR="003B3EA9" w:rsidRPr="003E2D04">
        <w:rPr>
          <w:spacing w:val="2"/>
          <w:lang w:val="fr-FR"/>
        </w:rPr>
        <w:t xml:space="preserve">  </w:t>
      </w:r>
      <w:r w:rsidR="00A1206C" w:rsidRPr="003E2D04">
        <w:rPr>
          <w:spacing w:val="2"/>
          <w:lang w:val="fr-FR"/>
        </w:rPr>
        <w:t>Un enregistrement vidéo du we</w:t>
      </w:r>
      <w:r w:rsidR="00E941D4" w:rsidRPr="003E2D04">
        <w:rPr>
          <w:spacing w:val="2"/>
          <w:lang w:val="fr-FR"/>
        </w:rPr>
        <w:t>binaire, sans les questions posées en direct ni la session de questions</w:t>
      </w:r>
      <w:r w:rsidR="00012DAF" w:rsidRPr="003E2D04">
        <w:rPr>
          <w:spacing w:val="2"/>
          <w:lang w:val="fr-FR"/>
        </w:rPr>
        <w:t>-</w:t>
      </w:r>
      <w:r w:rsidR="00E941D4" w:rsidRPr="003E2D04">
        <w:rPr>
          <w:spacing w:val="2"/>
          <w:lang w:val="fr-FR"/>
        </w:rPr>
        <w:t>réponses, est disponible à l</w:t>
      </w:r>
      <w:r w:rsidR="00012DAF" w:rsidRPr="003E2D04">
        <w:rPr>
          <w:spacing w:val="2"/>
          <w:lang w:val="fr-FR"/>
        </w:rPr>
        <w:t>’</w:t>
      </w:r>
      <w:r w:rsidR="00E941D4" w:rsidRPr="003E2D04">
        <w:rPr>
          <w:spacing w:val="2"/>
          <w:lang w:val="fr-FR"/>
        </w:rPr>
        <w:t>adresse</w:t>
      </w:r>
      <w:r w:rsidR="006378A5" w:rsidRPr="003E2D04">
        <w:rPr>
          <w:spacing w:val="2"/>
          <w:lang w:val="fr-FR"/>
        </w:rPr>
        <w:t> </w:t>
      </w:r>
      <w:hyperlink r:id="rId9" w:history="1">
        <w:r w:rsidR="00E941D4" w:rsidRPr="003E2D04">
          <w:rPr>
            <w:rStyle w:val="Hyperlink"/>
            <w:rFonts w:cs="Arial"/>
            <w:color w:val="auto"/>
            <w:spacing w:val="2"/>
            <w:lang w:val="fr-FR"/>
          </w:rPr>
          <w:t>https://www.wipo.int/multimedia</w:t>
        </w:r>
        <w:r w:rsidR="00012DAF" w:rsidRPr="003E2D04">
          <w:rPr>
            <w:rStyle w:val="Hyperlink"/>
            <w:rFonts w:cs="Arial"/>
            <w:color w:val="auto"/>
            <w:spacing w:val="2"/>
            <w:lang w:val="fr-FR"/>
          </w:rPr>
          <w:t>-</w:t>
        </w:r>
        <w:r w:rsidR="00E941D4" w:rsidRPr="003E2D04">
          <w:rPr>
            <w:rStyle w:val="Hyperlink"/>
            <w:rFonts w:cs="Arial"/>
            <w:color w:val="auto"/>
            <w:spacing w:val="2"/>
            <w:lang w:val="fr-FR"/>
          </w:rPr>
          <w:t>video/upov/en/upov_pluto_webinar_30_6_2020.mp4</w:t>
        </w:r>
      </w:hyperlink>
      <w:r w:rsidR="00E941D4" w:rsidRPr="003E2D04">
        <w:rPr>
          <w:spacing w:val="2"/>
          <w:lang w:val="fr-FR"/>
        </w:rPr>
        <w:t>.</w:t>
      </w:r>
    </w:p>
    <w:p w14:paraId="1BECC219" w14:textId="77777777" w:rsidR="00835891" w:rsidRDefault="00835891" w:rsidP="00391B0A">
      <w:pPr>
        <w:rPr>
          <w:lang w:val="fr-FR"/>
        </w:rPr>
      </w:pPr>
    </w:p>
    <w:p w14:paraId="576DD863" w14:textId="77777777" w:rsidR="00835891" w:rsidRDefault="00C938E9" w:rsidP="00E941D4">
      <w:pPr>
        <w:rPr>
          <w:lang w:val="fr-FR"/>
        </w:rPr>
      </w:pPr>
      <w:r w:rsidRPr="00543E11">
        <w:rPr>
          <w:lang w:val="fr-FR"/>
        </w:rPr>
        <w:fldChar w:fldCharType="begin"/>
      </w:r>
      <w:r w:rsidRPr="00543E11">
        <w:rPr>
          <w:lang w:val="fr-FR"/>
        </w:rPr>
        <w:instrText xml:space="preserve"> AUTONUM  </w:instrText>
      </w:r>
      <w:r w:rsidRPr="00543E11">
        <w:rPr>
          <w:lang w:val="fr-FR"/>
        </w:rPr>
        <w:fldChar w:fldCharType="end"/>
      </w:r>
      <w:r w:rsidRPr="00543E11">
        <w:rPr>
          <w:lang w:val="fr-FR"/>
        </w:rPr>
        <w:tab/>
      </w:r>
      <w:r w:rsidR="00E941D4" w:rsidRPr="00543E11">
        <w:rPr>
          <w:lang w:val="fr-FR"/>
        </w:rPr>
        <w:t>Partant des observations formulées durant le webinaire et après celui</w:t>
      </w:r>
      <w:r w:rsidR="00012DAF">
        <w:rPr>
          <w:lang w:val="fr-FR"/>
        </w:rPr>
        <w:t>-</w:t>
      </w:r>
      <w:r w:rsidR="00E941D4" w:rsidRPr="00543E11">
        <w:rPr>
          <w:lang w:val="fr-FR"/>
        </w:rPr>
        <w:t>ci, il a été conclu qu</w:t>
      </w:r>
      <w:r w:rsidR="00012DAF">
        <w:rPr>
          <w:lang w:val="fr-FR"/>
        </w:rPr>
        <w:t>’</w:t>
      </w:r>
      <w:r w:rsidR="00E941D4" w:rsidRPr="00543E11">
        <w:rPr>
          <w:lang w:val="fr-FR"/>
        </w:rPr>
        <w:t>un questionnaire de suivi serait envoyé pour mieux connaître les besoins des utilisateurs.</w:t>
      </w:r>
      <w:r w:rsidRPr="00543E11">
        <w:rPr>
          <w:lang w:val="fr-FR"/>
        </w:rPr>
        <w:t xml:space="preserve">  </w:t>
      </w:r>
      <w:r w:rsidR="00E941D4" w:rsidRPr="00543E11">
        <w:rPr>
          <w:lang w:val="fr-FR"/>
        </w:rPr>
        <w:t>Une invitation à répondre à un questionnaire a été envoyé</w:t>
      </w:r>
      <w:r w:rsidR="006378A5">
        <w:rPr>
          <w:lang w:val="fr-FR"/>
        </w:rPr>
        <w:t xml:space="preserve">e </w:t>
      </w:r>
      <w:r w:rsidR="00E941D4" w:rsidRPr="00543E11">
        <w:rPr>
          <w:lang w:val="fr-FR"/>
        </w:rPr>
        <w:t>à tous les organes de l</w:t>
      </w:r>
      <w:r w:rsidR="00012DAF">
        <w:rPr>
          <w:lang w:val="fr-FR"/>
        </w:rPr>
        <w:t>’</w:t>
      </w:r>
      <w:r w:rsidR="00E941D4" w:rsidRPr="00543E11">
        <w:rPr>
          <w:lang w:val="fr-FR"/>
        </w:rPr>
        <w:t>UPOV, aux utilisateurs de la base de données PLUTO et aux participants au webinaire.</w:t>
      </w:r>
    </w:p>
    <w:p w14:paraId="2C13336B" w14:textId="77777777" w:rsidR="00835891" w:rsidRDefault="00835891" w:rsidP="00391B0A">
      <w:pPr>
        <w:rPr>
          <w:lang w:val="fr-FR"/>
        </w:rPr>
      </w:pPr>
    </w:p>
    <w:p w14:paraId="129600AC" w14:textId="77777777" w:rsidR="00835891" w:rsidRDefault="00C938E9" w:rsidP="00E941D4">
      <w:pPr>
        <w:rPr>
          <w:lang w:val="fr-FR"/>
        </w:rPr>
      </w:pPr>
      <w:r w:rsidRPr="00543E11">
        <w:rPr>
          <w:lang w:val="fr-FR"/>
        </w:rPr>
        <w:fldChar w:fldCharType="begin"/>
      </w:r>
      <w:r w:rsidRPr="00543E11">
        <w:rPr>
          <w:lang w:val="fr-FR"/>
        </w:rPr>
        <w:instrText xml:space="preserve"> AUTONUM  </w:instrText>
      </w:r>
      <w:r w:rsidRPr="00543E11">
        <w:rPr>
          <w:lang w:val="fr-FR"/>
        </w:rPr>
        <w:fldChar w:fldCharType="end"/>
      </w:r>
      <w:r w:rsidRPr="00543E11">
        <w:rPr>
          <w:lang w:val="fr-FR"/>
        </w:rPr>
        <w:tab/>
      </w:r>
      <w:r w:rsidR="00E941D4" w:rsidRPr="00543E11">
        <w:rPr>
          <w:lang w:val="fr-FR"/>
        </w:rPr>
        <w:t>Les réponses reçues dans le cadre du webinaire et en réponse au questionnaire serviront à la finalisation de la nouvelle configuration de la base de données PLUTO.</w:t>
      </w:r>
    </w:p>
    <w:p w14:paraId="1FA4820E" w14:textId="77777777" w:rsidR="00835891" w:rsidRDefault="00835891" w:rsidP="00391B0A">
      <w:pPr>
        <w:rPr>
          <w:lang w:val="fr-FR"/>
        </w:rPr>
      </w:pPr>
    </w:p>
    <w:p w14:paraId="6E419936" w14:textId="4B870535" w:rsidR="00835891" w:rsidRDefault="00E77C40" w:rsidP="00635794">
      <w:pPr>
        <w:keepLines/>
        <w:rPr>
          <w:lang w:val="fr-CH"/>
        </w:rPr>
      </w:pPr>
      <w:r w:rsidRPr="00543E11">
        <w:rPr>
          <w:lang w:val="fr-FR"/>
        </w:rPr>
        <w:lastRenderedPageBreak/>
        <w:fldChar w:fldCharType="begin"/>
      </w:r>
      <w:r w:rsidRPr="00543E11">
        <w:rPr>
          <w:lang w:val="fr-FR"/>
        </w:rPr>
        <w:instrText xml:space="preserve"> AUTONUM  </w:instrText>
      </w:r>
      <w:r w:rsidRPr="00543E11">
        <w:rPr>
          <w:lang w:val="fr-FR"/>
        </w:rPr>
        <w:fldChar w:fldCharType="end"/>
      </w:r>
      <w:r w:rsidRPr="00543E11">
        <w:rPr>
          <w:lang w:val="fr-FR"/>
        </w:rPr>
        <w:tab/>
      </w:r>
      <w:r w:rsidR="00E941D4" w:rsidRPr="00543E11">
        <w:rPr>
          <w:lang w:val="fr-FR"/>
        </w:rPr>
        <w:t>Afin de tester la nouvelle configuration de la base de données PLUTO et de donner la possib</w:t>
      </w:r>
      <w:r w:rsidR="006378A5">
        <w:rPr>
          <w:lang w:val="fr-FR"/>
        </w:rPr>
        <w:t>il</w:t>
      </w:r>
      <w:r w:rsidR="00E941D4" w:rsidRPr="00543E11">
        <w:rPr>
          <w:lang w:val="fr-FR"/>
        </w:rPr>
        <w:t>ité aux utilisateurs de choisir le service gratuit ou le service à valeur ajoutée</w:t>
      </w:r>
      <w:r w:rsidR="009E6F3A">
        <w:rPr>
          <w:lang w:val="fr-FR"/>
        </w:rPr>
        <w:t xml:space="preserve"> </w:t>
      </w:r>
      <w:r w:rsidR="009E6F3A">
        <w:rPr>
          <w:lang w:val="fr-FR"/>
        </w:rPr>
        <w:t>(</w:t>
      </w:r>
      <w:r w:rsidR="009E6F3A" w:rsidRPr="00635794">
        <w:rPr>
          <w:i/>
          <w:lang w:val="fr-FR"/>
        </w:rPr>
        <w:t>premium</w:t>
      </w:r>
      <w:r w:rsidR="009E6F3A">
        <w:rPr>
          <w:lang w:val="fr-FR"/>
        </w:rPr>
        <w:t>)</w:t>
      </w:r>
      <w:r w:rsidR="00E941D4" w:rsidRPr="00543E11">
        <w:rPr>
          <w:lang w:val="fr-FR"/>
        </w:rPr>
        <w:t>, il est prévu de mettre à disposition gratuitement les services gratuits et les services à valeur ajoutée</w:t>
      </w:r>
      <w:r w:rsidR="00635794">
        <w:rPr>
          <w:lang w:val="fr-FR"/>
        </w:rPr>
        <w:t xml:space="preserve"> (</w:t>
      </w:r>
      <w:r w:rsidR="00635794" w:rsidRPr="00635794">
        <w:rPr>
          <w:i/>
          <w:lang w:val="fr-FR"/>
        </w:rPr>
        <w:t>premium</w:t>
      </w:r>
      <w:r w:rsidR="00635794">
        <w:rPr>
          <w:lang w:val="fr-FR"/>
        </w:rPr>
        <w:t>)</w:t>
      </w:r>
      <w:r w:rsidR="00635794" w:rsidRPr="00543E11">
        <w:rPr>
          <w:lang w:val="fr-FR"/>
        </w:rPr>
        <w:t xml:space="preserve"> </w:t>
      </w:r>
      <w:r w:rsidR="00E04FD2">
        <w:rPr>
          <w:lang w:val="fr-FR"/>
        </w:rPr>
        <w:t xml:space="preserve">pendant une durée limitée après le lancement de la </w:t>
      </w:r>
      <w:r w:rsidR="00835891" w:rsidRPr="00543E11">
        <w:rPr>
          <w:lang w:val="fr-FR"/>
        </w:rPr>
        <w:t>nouvelle configuration de la base de données PLUTO</w:t>
      </w:r>
      <w:r w:rsidR="00E941D4" w:rsidRPr="00543E11">
        <w:rPr>
          <w:lang w:val="fr-FR"/>
        </w:rPr>
        <w:t>.</w:t>
      </w:r>
      <w:r w:rsidR="005F34E7" w:rsidRPr="00543E11">
        <w:rPr>
          <w:lang w:val="fr-FR"/>
        </w:rPr>
        <w:t xml:space="preserve">  </w:t>
      </w:r>
      <w:r w:rsidR="00E941D4" w:rsidRPr="00543E11">
        <w:rPr>
          <w:lang w:val="fr-FR"/>
        </w:rPr>
        <w:t xml:space="preserve">Des webinaires seront également organisés au </w:t>
      </w:r>
      <w:r w:rsidR="00835891">
        <w:rPr>
          <w:lang w:val="fr-FR"/>
        </w:rPr>
        <w:t xml:space="preserve">moment du lancement </w:t>
      </w:r>
      <w:r w:rsidR="00E941D4" w:rsidRPr="00835891">
        <w:rPr>
          <w:lang w:val="fr-FR"/>
        </w:rPr>
        <w:t>pour présenter la nouvelle configuration et les nouvelles fonctionnalités.</w:t>
      </w:r>
      <w:r w:rsidR="00835891" w:rsidRPr="00835891">
        <w:rPr>
          <w:lang w:val="fr-FR"/>
        </w:rPr>
        <w:t xml:space="preserve">  Des informations plus détaillées sur le calendrier du lancement et des webinaires seront communiquées en temps utile à la session du CAJ et via le site Web de l'UPOV.</w:t>
      </w:r>
    </w:p>
    <w:p w14:paraId="3848B663" w14:textId="77777777" w:rsidR="00835891" w:rsidRDefault="00835891" w:rsidP="00391B0A">
      <w:pPr>
        <w:rPr>
          <w:lang w:val="fr-CH"/>
        </w:rPr>
      </w:pPr>
    </w:p>
    <w:p w14:paraId="5889BFA4" w14:textId="77777777" w:rsidR="00835891" w:rsidRDefault="00835891" w:rsidP="00391B0A">
      <w:pPr>
        <w:rPr>
          <w:lang w:val="fr-CH"/>
        </w:rPr>
      </w:pPr>
    </w:p>
    <w:p w14:paraId="3789E1F4" w14:textId="77777777" w:rsidR="00835891" w:rsidRDefault="00835891" w:rsidP="00391B0A">
      <w:pPr>
        <w:rPr>
          <w:lang w:val="fr-CH"/>
        </w:rPr>
      </w:pPr>
    </w:p>
    <w:p w14:paraId="1319FA4E" w14:textId="77777777" w:rsidR="00835891" w:rsidRDefault="00E941D4" w:rsidP="00826E28">
      <w:pPr>
        <w:pStyle w:val="Heading1"/>
        <w:rPr>
          <w:noProof w:val="0"/>
        </w:rPr>
      </w:pPr>
      <w:r w:rsidRPr="00543E11">
        <w:rPr>
          <w:noProof w:val="0"/>
        </w:rPr>
        <w:t>ASSISTANCE POUR LES CONTRIBUTEURS DE DONNÉES</w:t>
      </w:r>
    </w:p>
    <w:p w14:paraId="66A43523" w14:textId="77777777" w:rsidR="00835891" w:rsidRDefault="00835891" w:rsidP="00391B0A">
      <w:pPr>
        <w:keepNext/>
        <w:keepLines/>
        <w:rPr>
          <w:rFonts w:eastAsiaTheme="minorEastAsia" w:cs="Arial"/>
          <w:bCs/>
          <w:lang w:val="fr-FR"/>
        </w:rPr>
      </w:pPr>
    </w:p>
    <w:p w14:paraId="7E33A42B" w14:textId="77777777" w:rsidR="00835891" w:rsidRDefault="005F34E7" w:rsidP="00E941D4">
      <w:pPr>
        <w:rPr>
          <w:rFonts w:eastAsiaTheme="minorEastAsia" w:cs="Arial"/>
          <w:bCs/>
          <w:lang w:val="fr-FR"/>
        </w:rPr>
      </w:pPr>
      <w:r w:rsidRPr="00543E11">
        <w:rPr>
          <w:rFonts w:eastAsiaTheme="minorEastAsia" w:cs="Arial"/>
          <w:bCs/>
          <w:lang w:val="fr-FR"/>
        </w:rPr>
        <w:fldChar w:fldCharType="begin"/>
      </w:r>
      <w:r w:rsidRPr="00543E11">
        <w:rPr>
          <w:rFonts w:eastAsiaTheme="minorEastAsia" w:cs="Arial"/>
          <w:bCs/>
          <w:lang w:val="fr-FR"/>
        </w:rPr>
        <w:instrText xml:space="preserve"> AUTONUM  </w:instrText>
      </w:r>
      <w:r w:rsidRPr="00543E11">
        <w:rPr>
          <w:rFonts w:eastAsiaTheme="minorEastAsia" w:cs="Arial"/>
          <w:bCs/>
          <w:lang w:val="fr-FR"/>
        </w:rPr>
        <w:fldChar w:fldCharType="end"/>
      </w:r>
      <w:r w:rsidRPr="00543E11">
        <w:rPr>
          <w:rFonts w:eastAsiaTheme="minorEastAsia" w:cs="Arial"/>
          <w:bCs/>
          <w:lang w:val="fr-FR"/>
        </w:rPr>
        <w:tab/>
      </w:r>
      <w:r w:rsidR="00A839BD" w:rsidRPr="00543E11">
        <w:rPr>
          <w:rFonts w:eastAsiaTheme="minorEastAsia" w:cs="Arial"/>
          <w:bCs/>
          <w:lang w:val="fr-FR"/>
        </w:rPr>
        <w:t>Outre l</w:t>
      </w:r>
      <w:r w:rsidR="00012DAF">
        <w:rPr>
          <w:rFonts w:eastAsiaTheme="minorEastAsia" w:cs="Arial"/>
          <w:bCs/>
          <w:lang w:val="fr-FR"/>
        </w:rPr>
        <w:t>’</w:t>
      </w:r>
      <w:r w:rsidR="00E941D4" w:rsidRPr="00543E11">
        <w:rPr>
          <w:rFonts w:eastAsiaTheme="minorEastAsia" w:cs="Arial"/>
          <w:bCs/>
          <w:lang w:val="fr-FR"/>
        </w:rPr>
        <w:t>amélioration du service fourni aux utilisateurs par l</w:t>
      </w:r>
      <w:r w:rsidR="00012DAF">
        <w:rPr>
          <w:rFonts w:eastAsiaTheme="minorEastAsia" w:cs="Arial"/>
          <w:bCs/>
          <w:lang w:val="fr-FR"/>
        </w:rPr>
        <w:t>’</w:t>
      </w:r>
      <w:r w:rsidR="00E941D4" w:rsidRPr="00543E11">
        <w:rPr>
          <w:rFonts w:eastAsiaTheme="minorEastAsia" w:cs="Arial"/>
          <w:bCs/>
          <w:lang w:val="fr-FR"/>
        </w:rPr>
        <w:t>amélioration de la configuration de la base de données PLUTO, il est également prévu d</w:t>
      </w:r>
      <w:r w:rsidR="00012DAF">
        <w:rPr>
          <w:rFonts w:eastAsiaTheme="minorEastAsia" w:cs="Arial"/>
          <w:bCs/>
          <w:lang w:val="fr-FR"/>
        </w:rPr>
        <w:t>’</w:t>
      </w:r>
      <w:r w:rsidR="00E941D4" w:rsidRPr="00543E11">
        <w:rPr>
          <w:rFonts w:eastAsiaTheme="minorEastAsia" w:cs="Arial"/>
          <w:bCs/>
          <w:lang w:val="fr-FR"/>
        </w:rPr>
        <w:t>améliorer la qualité des données moyennant de nouveaux contrôles de la qualité des données et la fourniture d</w:t>
      </w:r>
      <w:r w:rsidR="00012DAF">
        <w:rPr>
          <w:rFonts w:eastAsiaTheme="minorEastAsia" w:cs="Arial"/>
          <w:bCs/>
          <w:lang w:val="fr-FR"/>
        </w:rPr>
        <w:t>’</w:t>
      </w:r>
      <w:r w:rsidR="00E941D4" w:rsidRPr="00543E11">
        <w:rPr>
          <w:rFonts w:eastAsiaTheme="minorEastAsia" w:cs="Arial"/>
          <w:bCs/>
          <w:lang w:val="fr-FR"/>
        </w:rPr>
        <w:t>une assistance qui permettra aux membres de l</w:t>
      </w:r>
      <w:r w:rsidR="00012DAF">
        <w:rPr>
          <w:rFonts w:eastAsiaTheme="minorEastAsia" w:cs="Arial"/>
          <w:bCs/>
          <w:lang w:val="fr-FR"/>
        </w:rPr>
        <w:t>’</w:t>
      </w:r>
      <w:r w:rsidR="00E941D4" w:rsidRPr="00543E11">
        <w:rPr>
          <w:rFonts w:eastAsiaTheme="minorEastAsia" w:cs="Arial"/>
          <w:bCs/>
          <w:lang w:val="fr-FR"/>
        </w:rPr>
        <w:t>Union de commencer à fournir des</w:t>
      </w:r>
      <w:r w:rsidR="008915CC" w:rsidRPr="00543E11">
        <w:rPr>
          <w:rFonts w:eastAsiaTheme="minorEastAsia" w:cs="Arial"/>
          <w:bCs/>
          <w:lang w:val="fr-FR"/>
        </w:rPr>
        <w:t xml:space="preserve"> données pour la première fois ou</w:t>
      </w:r>
      <w:r w:rsidR="00E941D4" w:rsidRPr="00543E11">
        <w:rPr>
          <w:rFonts w:eastAsiaTheme="minorEastAsia" w:cs="Arial"/>
          <w:bCs/>
          <w:lang w:val="fr-FR"/>
        </w:rPr>
        <w:t xml:space="preserve"> de fournir des données plus fréquemment.</w:t>
      </w:r>
    </w:p>
    <w:p w14:paraId="1E2DF6D7" w14:textId="77777777" w:rsidR="00835891" w:rsidRDefault="00835891" w:rsidP="00E941D4">
      <w:pPr>
        <w:rPr>
          <w:rFonts w:eastAsiaTheme="minorEastAsia" w:cs="Arial"/>
          <w:bCs/>
          <w:lang w:val="fr-FR"/>
        </w:rPr>
      </w:pPr>
    </w:p>
    <w:p w14:paraId="52B10C47" w14:textId="77777777" w:rsidR="00835891" w:rsidRDefault="00DE0479" w:rsidP="00A839BD">
      <w:pPr>
        <w:rPr>
          <w:rFonts w:eastAsiaTheme="minorEastAsia" w:cs="Arial"/>
          <w:bCs/>
          <w:lang w:val="fr-FR"/>
        </w:rPr>
      </w:pPr>
      <w:r w:rsidRPr="00543E11">
        <w:rPr>
          <w:rFonts w:eastAsiaTheme="minorEastAsia" w:cs="Arial"/>
          <w:bCs/>
          <w:lang w:val="fr-FR"/>
        </w:rPr>
        <w:fldChar w:fldCharType="begin"/>
      </w:r>
      <w:r w:rsidRPr="00543E11">
        <w:rPr>
          <w:rFonts w:eastAsiaTheme="minorEastAsia" w:cs="Arial"/>
          <w:bCs/>
          <w:lang w:val="fr-FR"/>
        </w:rPr>
        <w:instrText xml:space="preserve"> AUTONUM  </w:instrText>
      </w:r>
      <w:r w:rsidRPr="00543E11">
        <w:rPr>
          <w:rFonts w:eastAsiaTheme="minorEastAsia" w:cs="Arial"/>
          <w:bCs/>
          <w:lang w:val="fr-FR"/>
        </w:rPr>
        <w:fldChar w:fldCharType="end"/>
      </w:r>
      <w:r w:rsidRPr="00543E11">
        <w:rPr>
          <w:rFonts w:eastAsiaTheme="minorEastAsia" w:cs="Arial"/>
          <w:bCs/>
          <w:lang w:val="fr-FR"/>
        </w:rPr>
        <w:tab/>
      </w:r>
      <w:r w:rsidR="00A839BD" w:rsidRPr="00543E11">
        <w:rPr>
          <w:rFonts w:eastAsiaTheme="minorEastAsia" w:cs="Arial"/>
          <w:bCs/>
          <w:lang w:val="fr-FR"/>
        </w:rPr>
        <w:t>Le programme d</w:t>
      </w:r>
      <w:r w:rsidR="00012DAF">
        <w:rPr>
          <w:rFonts w:eastAsiaTheme="minorEastAsia" w:cs="Arial"/>
          <w:bCs/>
          <w:lang w:val="fr-FR"/>
        </w:rPr>
        <w:t>’</w:t>
      </w:r>
      <w:r w:rsidR="00A839BD" w:rsidRPr="00543E11">
        <w:rPr>
          <w:rFonts w:eastAsiaTheme="minorEastAsia" w:cs="Arial"/>
          <w:bCs/>
          <w:lang w:val="fr-FR"/>
        </w:rPr>
        <w:t>améliorations de la base de données PLUTO</w:t>
      </w:r>
      <w:r w:rsidR="008915CC" w:rsidRPr="00543E11">
        <w:rPr>
          <w:rFonts w:eastAsiaTheme="minorEastAsia" w:cs="Arial"/>
          <w:bCs/>
          <w:lang w:val="fr-FR"/>
        </w:rPr>
        <w:t xml:space="preserve"> (ci</w:t>
      </w:r>
      <w:r w:rsidR="00012DAF">
        <w:rPr>
          <w:rFonts w:eastAsiaTheme="minorEastAsia" w:cs="Arial"/>
          <w:bCs/>
          <w:lang w:val="fr-FR"/>
        </w:rPr>
        <w:t>-</w:t>
      </w:r>
      <w:r w:rsidR="008915CC" w:rsidRPr="00543E11">
        <w:rPr>
          <w:rFonts w:eastAsiaTheme="minorEastAsia" w:cs="Arial"/>
          <w:bCs/>
          <w:lang w:val="fr-FR"/>
        </w:rPr>
        <w:t xml:space="preserve">après dénommé </w:t>
      </w:r>
      <w:r w:rsidR="00012DAF">
        <w:rPr>
          <w:rFonts w:eastAsiaTheme="minorEastAsia" w:cs="Arial"/>
          <w:bCs/>
          <w:lang w:val="fr-FR"/>
        </w:rPr>
        <w:t>“</w:t>
      </w:r>
      <w:r w:rsidR="00012DAF" w:rsidRPr="00543E11">
        <w:rPr>
          <w:rFonts w:eastAsiaTheme="minorEastAsia" w:cs="Arial"/>
          <w:bCs/>
          <w:lang w:val="fr-FR"/>
        </w:rPr>
        <w:t>p</w:t>
      </w:r>
      <w:r w:rsidR="008915CC" w:rsidRPr="00543E11">
        <w:rPr>
          <w:rFonts w:eastAsiaTheme="minorEastAsia" w:cs="Arial"/>
          <w:bCs/>
          <w:lang w:val="fr-FR"/>
        </w:rPr>
        <w:t>rogramm</w:t>
      </w:r>
      <w:r w:rsidR="00012DAF" w:rsidRPr="00543E11">
        <w:rPr>
          <w:rFonts w:eastAsiaTheme="minorEastAsia" w:cs="Arial"/>
          <w:bCs/>
          <w:lang w:val="fr-FR"/>
        </w:rPr>
        <w:t>e</w:t>
      </w:r>
      <w:r w:rsidR="00012DAF">
        <w:rPr>
          <w:rFonts w:eastAsiaTheme="minorEastAsia" w:cs="Arial"/>
          <w:bCs/>
          <w:lang w:val="fr-FR"/>
        </w:rPr>
        <w:t>”</w:t>
      </w:r>
      <w:r w:rsidR="008915CC" w:rsidRPr="00543E11">
        <w:rPr>
          <w:rFonts w:eastAsiaTheme="minorEastAsia" w:cs="Arial"/>
          <w:bCs/>
          <w:lang w:val="fr-FR"/>
        </w:rPr>
        <w:t>)</w:t>
      </w:r>
      <w:r w:rsidR="00A839BD" w:rsidRPr="00543E11">
        <w:rPr>
          <w:rFonts w:eastAsiaTheme="minorEastAsia" w:cs="Arial"/>
          <w:bCs/>
          <w:lang w:val="fr-FR"/>
        </w:rPr>
        <w:t xml:space="preserve"> présentant les modificatio</w:t>
      </w:r>
      <w:r w:rsidR="008915CC" w:rsidRPr="00543E11">
        <w:rPr>
          <w:rFonts w:eastAsiaTheme="minorEastAsia" w:cs="Arial"/>
          <w:bCs/>
          <w:lang w:val="fr-FR"/>
        </w:rPr>
        <w:t>ns approuvées par</w:t>
      </w:r>
      <w:r w:rsidR="00012DAF" w:rsidRPr="00543E11">
        <w:rPr>
          <w:rFonts w:eastAsiaTheme="minorEastAsia" w:cs="Arial"/>
          <w:bCs/>
          <w:lang w:val="fr-FR"/>
        </w:rPr>
        <w:t xml:space="preserve"> le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CAJ</w:t>
      </w:r>
      <w:r w:rsidR="008915CC" w:rsidRPr="00543E11">
        <w:rPr>
          <w:rFonts w:eastAsiaTheme="minorEastAsia" w:cs="Arial"/>
          <w:bCs/>
          <w:lang w:val="fr-FR"/>
        </w:rPr>
        <w:t>, tel qu</w:t>
      </w:r>
      <w:r w:rsidR="00012DAF">
        <w:rPr>
          <w:rFonts w:eastAsiaTheme="minorEastAsia" w:cs="Arial"/>
          <w:bCs/>
          <w:lang w:val="fr-FR"/>
        </w:rPr>
        <w:t>’</w:t>
      </w:r>
      <w:r w:rsidR="008915CC" w:rsidRPr="00543E11">
        <w:rPr>
          <w:rFonts w:eastAsiaTheme="minorEastAsia" w:cs="Arial"/>
          <w:bCs/>
          <w:lang w:val="fr-FR"/>
        </w:rPr>
        <w:t>il figure</w:t>
      </w:r>
      <w:r w:rsidR="00A839BD" w:rsidRPr="00543E11">
        <w:rPr>
          <w:rFonts w:eastAsiaTheme="minorEastAsia" w:cs="Arial"/>
          <w:bCs/>
          <w:lang w:val="fr-FR"/>
        </w:rPr>
        <w:t xml:space="preserve"> à l</w:t>
      </w:r>
      <w:r w:rsidR="00012DAF">
        <w:rPr>
          <w:rFonts w:eastAsiaTheme="minorEastAsia" w:cs="Arial"/>
          <w:bCs/>
          <w:lang w:val="fr-FR"/>
        </w:rPr>
        <w:t>’</w:t>
      </w:r>
      <w:r w:rsidR="00012DAF" w:rsidRPr="00543E11">
        <w:rPr>
          <w:rFonts w:eastAsiaTheme="minorEastAsia" w:cs="Arial"/>
          <w:bCs/>
          <w:lang w:val="fr-FR"/>
        </w:rPr>
        <w:t>annexe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I</w:t>
      </w:r>
      <w:r w:rsidR="00A839BD" w:rsidRPr="00543E11">
        <w:rPr>
          <w:rFonts w:eastAsiaTheme="minorEastAsia" w:cs="Arial"/>
          <w:bCs/>
          <w:lang w:val="fr-FR"/>
        </w:rPr>
        <w:t xml:space="preserve"> du présent document, précise le but de ces améliorations </w:t>
      </w:r>
      <w:r w:rsidR="008915CC" w:rsidRPr="00543E11">
        <w:rPr>
          <w:rFonts w:eastAsiaTheme="minorEastAsia" w:cs="Arial"/>
          <w:bCs/>
          <w:lang w:val="fr-FR"/>
        </w:rPr>
        <w:t>dans le cadre de</w:t>
      </w:r>
      <w:r w:rsidR="00A839BD" w:rsidRPr="00543E11">
        <w:rPr>
          <w:rFonts w:eastAsiaTheme="minorEastAsia" w:cs="Arial"/>
          <w:bCs/>
          <w:lang w:val="fr-FR"/>
        </w:rPr>
        <w:t xml:space="preserve"> l</w:t>
      </w:r>
      <w:r w:rsidR="00012DAF">
        <w:rPr>
          <w:rFonts w:eastAsiaTheme="minorEastAsia" w:cs="Arial"/>
          <w:bCs/>
          <w:lang w:val="fr-FR"/>
        </w:rPr>
        <w:t>’</w:t>
      </w:r>
      <w:r w:rsidR="00A839BD" w:rsidRPr="00543E11">
        <w:rPr>
          <w:rFonts w:eastAsiaTheme="minorEastAsia" w:cs="Arial"/>
          <w:bCs/>
          <w:lang w:val="fr-FR"/>
        </w:rPr>
        <w:t>assistance fournie aux contributeurs</w:t>
      </w:r>
      <w:r w:rsidR="00012DAF">
        <w:rPr>
          <w:rFonts w:eastAsiaTheme="minorEastAsia" w:cs="Arial"/>
          <w:bCs/>
          <w:lang w:val="fr-FR"/>
        </w:rPr>
        <w:t> :</w:t>
      </w:r>
    </w:p>
    <w:p w14:paraId="6D30F20E" w14:textId="77777777" w:rsidR="00835891" w:rsidRDefault="00835891" w:rsidP="007D0672">
      <w:pPr>
        <w:rPr>
          <w:rFonts w:eastAsiaTheme="minorEastAsia" w:cs="Arial"/>
          <w:bCs/>
          <w:lang w:val="fr-FR"/>
        </w:rPr>
      </w:pPr>
    </w:p>
    <w:p w14:paraId="1964DF6E" w14:textId="77777777" w:rsidR="00835891" w:rsidRDefault="005E3627" w:rsidP="005E3627">
      <w:pPr>
        <w:ind w:left="567" w:right="567"/>
        <w:rPr>
          <w:bCs/>
          <w:i/>
          <w:iCs/>
          <w:sz w:val="18"/>
          <w:lang w:val="fr-FR"/>
        </w:rPr>
      </w:pPr>
      <w:r w:rsidRPr="00543E11">
        <w:rPr>
          <w:bCs/>
          <w:i/>
          <w:iCs/>
          <w:sz w:val="18"/>
          <w:lang w:val="fr-FR"/>
        </w:rPr>
        <w:t>“2.</w:t>
      </w:r>
      <w:r w:rsidRPr="00543E11">
        <w:rPr>
          <w:bCs/>
          <w:i/>
          <w:iCs/>
          <w:sz w:val="18"/>
          <w:lang w:val="fr-FR"/>
        </w:rPr>
        <w:tab/>
        <w:t>Fourniture d</w:t>
      </w:r>
      <w:r w:rsidR="00012DAF">
        <w:rPr>
          <w:bCs/>
          <w:i/>
          <w:iCs/>
          <w:sz w:val="18"/>
          <w:lang w:val="fr-FR"/>
        </w:rPr>
        <w:t>’</w:t>
      </w:r>
      <w:r w:rsidRPr="00543E11">
        <w:rPr>
          <w:bCs/>
          <w:i/>
          <w:iCs/>
          <w:sz w:val="18"/>
          <w:lang w:val="fr-FR"/>
        </w:rPr>
        <w:t>une assistance aux contributeurs</w:t>
      </w:r>
    </w:p>
    <w:p w14:paraId="4DDC2DDE" w14:textId="77777777" w:rsidR="00835891" w:rsidRDefault="00835891" w:rsidP="007D0672">
      <w:pPr>
        <w:ind w:left="567" w:right="567"/>
        <w:rPr>
          <w:bCs/>
          <w:i/>
          <w:iCs/>
          <w:sz w:val="18"/>
          <w:lang w:val="fr-FR"/>
        </w:rPr>
      </w:pPr>
    </w:p>
    <w:p w14:paraId="13BD9B7C" w14:textId="77777777" w:rsidR="00835891" w:rsidRDefault="006378A5" w:rsidP="005E3627">
      <w:pPr>
        <w:ind w:left="567" w:right="567"/>
        <w:rPr>
          <w:bCs/>
          <w:sz w:val="18"/>
          <w:lang w:val="fr-FR"/>
        </w:rPr>
      </w:pPr>
      <w:r>
        <w:rPr>
          <w:bCs/>
          <w:sz w:val="18"/>
          <w:lang w:val="fr-FR"/>
        </w:rPr>
        <w:t>“</w:t>
      </w:r>
      <w:r w:rsidR="005E3627" w:rsidRPr="00543E11">
        <w:rPr>
          <w:bCs/>
          <w:sz w:val="18"/>
          <w:lang w:val="fr-FR"/>
        </w:rPr>
        <w:t>2.1</w:t>
      </w:r>
      <w:r w:rsidR="005E3627" w:rsidRPr="00543E11">
        <w:rPr>
          <w:bCs/>
          <w:sz w:val="18"/>
          <w:lang w:val="fr-FR"/>
        </w:rPr>
        <w:tab/>
        <w:t>L</w:t>
      </w:r>
      <w:r w:rsidR="00012DAF">
        <w:rPr>
          <w:bCs/>
          <w:sz w:val="18"/>
          <w:lang w:val="fr-FR"/>
        </w:rPr>
        <w:t>’</w:t>
      </w:r>
      <w:r w:rsidR="005E3627" w:rsidRPr="00543E11">
        <w:rPr>
          <w:bCs/>
          <w:sz w:val="18"/>
          <w:lang w:val="fr-FR"/>
        </w:rPr>
        <w:t>administrateur de la base de données PLUTO continuera de contacter tous les membres de l</w:t>
      </w:r>
      <w:r w:rsidR="00012DAF">
        <w:rPr>
          <w:bCs/>
          <w:sz w:val="18"/>
          <w:lang w:val="fr-FR"/>
        </w:rPr>
        <w:t>’</w:t>
      </w:r>
      <w:r w:rsidR="005E3627" w:rsidRPr="00543E11">
        <w:rPr>
          <w:bCs/>
          <w:sz w:val="18"/>
          <w:lang w:val="fr-FR"/>
        </w:rPr>
        <w:t>Union et les contributeurs à la base de données PLUTO qui n</w:t>
      </w:r>
      <w:r w:rsidR="00012DAF">
        <w:rPr>
          <w:bCs/>
          <w:sz w:val="18"/>
          <w:lang w:val="fr-FR"/>
        </w:rPr>
        <w:t>’</w:t>
      </w:r>
      <w:r w:rsidR="005E3627" w:rsidRPr="00543E11">
        <w:rPr>
          <w:bCs/>
          <w:sz w:val="18"/>
          <w:lang w:val="fr-FR"/>
        </w:rPr>
        <w:t>apportent pas de données à la base de données PLUTO, ne les apportent pas régulièrement ou ne les assortissent pas de codes UPOV.</w:t>
      </w:r>
      <w:r w:rsidR="00DE0479" w:rsidRPr="00543E11">
        <w:rPr>
          <w:bCs/>
          <w:sz w:val="18"/>
          <w:lang w:val="fr-FR"/>
        </w:rPr>
        <w:t xml:space="preserve">  </w:t>
      </w:r>
      <w:r w:rsidR="005E3627" w:rsidRPr="00543E11">
        <w:rPr>
          <w:bCs/>
          <w:sz w:val="18"/>
          <w:lang w:val="fr-FR"/>
        </w:rPr>
        <w:t>Dans chaque cas, l</w:t>
      </w:r>
      <w:r w:rsidR="00012DAF">
        <w:rPr>
          <w:bCs/>
          <w:sz w:val="18"/>
          <w:lang w:val="fr-FR"/>
        </w:rPr>
        <w:t>’</w:t>
      </w:r>
      <w:r w:rsidR="005E3627" w:rsidRPr="00543E11">
        <w:rPr>
          <w:bCs/>
          <w:sz w:val="18"/>
          <w:lang w:val="fr-FR"/>
        </w:rPr>
        <w:t>administrateur les invitera à décrire le type d</w:t>
      </w:r>
      <w:r w:rsidR="00012DAF">
        <w:rPr>
          <w:bCs/>
          <w:sz w:val="18"/>
          <w:lang w:val="fr-FR"/>
        </w:rPr>
        <w:t>’</w:t>
      </w:r>
      <w:r w:rsidR="005E3627" w:rsidRPr="00543E11">
        <w:rPr>
          <w:bCs/>
          <w:sz w:val="18"/>
          <w:lang w:val="fr-FR"/>
        </w:rPr>
        <w:t>assistance qui leur permettrait d</w:t>
      </w:r>
      <w:r w:rsidR="00012DAF">
        <w:rPr>
          <w:bCs/>
          <w:sz w:val="18"/>
          <w:lang w:val="fr-FR"/>
        </w:rPr>
        <w:t>’</w:t>
      </w:r>
      <w:r w:rsidR="005E3627" w:rsidRPr="00543E11">
        <w:rPr>
          <w:bCs/>
          <w:sz w:val="18"/>
          <w:lang w:val="fr-FR"/>
        </w:rPr>
        <w:t>apporter régulièrement des données complètes à la base de données PLUTO.</w:t>
      </w:r>
    </w:p>
    <w:p w14:paraId="6C029B6B" w14:textId="77777777" w:rsidR="00835891" w:rsidRDefault="00835891" w:rsidP="007D0672">
      <w:pPr>
        <w:ind w:left="567" w:right="567"/>
        <w:rPr>
          <w:bCs/>
          <w:sz w:val="18"/>
          <w:lang w:val="fr-FR"/>
        </w:rPr>
      </w:pPr>
    </w:p>
    <w:p w14:paraId="1F02F58D" w14:textId="77777777" w:rsidR="00835891" w:rsidRDefault="005E3627" w:rsidP="005E3627">
      <w:pPr>
        <w:ind w:left="567" w:right="567"/>
        <w:rPr>
          <w:bCs/>
          <w:sz w:val="18"/>
          <w:lang w:val="fr-FR"/>
        </w:rPr>
      </w:pPr>
      <w:r w:rsidRPr="00543E11">
        <w:rPr>
          <w:bCs/>
          <w:sz w:val="18"/>
          <w:lang w:val="fr-FR"/>
        </w:rPr>
        <w:t>“2.2</w:t>
      </w:r>
      <w:r w:rsidRPr="00543E11">
        <w:rPr>
          <w:bCs/>
          <w:sz w:val="18"/>
          <w:lang w:val="fr-FR"/>
        </w:rPr>
        <w:tab/>
        <w:t>Pour répondre aux besoins définis par les membres de l</w:t>
      </w:r>
      <w:r w:rsidR="00012DAF">
        <w:rPr>
          <w:bCs/>
          <w:sz w:val="18"/>
          <w:lang w:val="fr-FR"/>
        </w:rPr>
        <w:t>’</w:t>
      </w:r>
      <w:r w:rsidRPr="00543E11">
        <w:rPr>
          <w:bCs/>
          <w:sz w:val="18"/>
          <w:lang w:val="fr-FR"/>
        </w:rPr>
        <w:t>Union et les contributeurs à la base de données dans le cadre de l</w:t>
      </w:r>
      <w:r w:rsidR="00012DAF">
        <w:rPr>
          <w:bCs/>
          <w:sz w:val="18"/>
          <w:lang w:val="fr-FR"/>
        </w:rPr>
        <w:t>’</w:t>
      </w:r>
      <w:r w:rsidRPr="00543E11">
        <w:rPr>
          <w:bCs/>
          <w:sz w:val="18"/>
          <w:lang w:val="fr-FR"/>
        </w:rPr>
        <w:t xml:space="preserve">activité décrite au </w:t>
      </w:r>
      <w:r w:rsidR="00012DAF" w:rsidRPr="00543E11">
        <w:rPr>
          <w:bCs/>
          <w:sz w:val="18"/>
          <w:lang w:val="fr-FR"/>
        </w:rPr>
        <w:t>paragraphe</w:t>
      </w:r>
      <w:r w:rsidR="00012DAF">
        <w:rPr>
          <w:bCs/>
          <w:sz w:val="18"/>
          <w:lang w:val="fr-FR"/>
        </w:rPr>
        <w:t> </w:t>
      </w:r>
      <w:r w:rsidR="00012DAF" w:rsidRPr="00543E11">
        <w:rPr>
          <w:bCs/>
          <w:sz w:val="18"/>
          <w:lang w:val="fr-FR"/>
        </w:rPr>
        <w:t>2</w:t>
      </w:r>
      <w:r w:rsidR="008915CC" w:rsidRPr="00543E11">
        <w:rPr>
          <w:bCs/>
          <w:sz w:val="18"/>
          <w:lang w:val="fr-FR"/>
        </w:rPr>
        <w:t>.</w:t>
      </w:r>
      <w:r w:rsidRPr="00543E11">
        <w:rPr>
          <w:bCs/>
          <w:sz w:val="18"/>
          <w:lang w:val="fr-FR"/>
        </w:rPr>
        <w:t>1, l</w:t>
      </w:r>
      <w:r w:rsidR="00012DAF">
        <w:rPr>
          <w:bCs/>
          <w:sz w:val="18"/>
          <w:lang w:val="fr-FR"/>
        </w:rPr>
        <w:t>’</w:t>
      </w:r>
      <w:r w:rsidRPr="00543E11">
        <w:rPr>
          <w:bCs/>
          <w:sz w:val="18"/>
          <w:lang w:val="fr-FR"/>
        </w:rPr>
        <w:t>administrateur de la base de données PLUTO s</w:t>
      </w:r>
      <w:r w:rsidR="00012DAF">
        <w:rPr>
          <w:bCs/>
          <w:sz w:val="18"/>
          <w:lang w:val="fr-FR"/>
        </w:rPr>
        <w:t>’</w:t>
      </w:r>
      <w:r w:rsidRPr="00543E11">
        <w:rPr>
          <w:bCs/>
          <w:sz w:val="18"/>
          <w:lang w:val="fr-FR"/>
        </w:rPr>
        <w:t>efforcera d</w:t>
      </w:r>
      <w:r w:rsidR="00012DAF">
        <w:rPr>
          <w:bCs/>
          <w:sz w:val="18"/>
          <w:lang w:val="fr-FR"/>
        </w:rPr>
        <w:t>’</w:t>
      </w:r>
      <w:r w:rsidRPr="00543E11">
        <w:rPr>
          <w:bCs/>
          <w:sz w:val="18"/>
          <w:lang w:val="fr-FR"/>
        </w:rPr>
        <w:t>élaborer des solutions pour chacun des contributeurs à la base de données.</w:t>
      </w:r>
    </w:p>
    <w:p w14:paraId="4F92EB80" w14:textId="77777777" w:rsidR="00835891" w:rsidRDefault="00835891" w:rsidP="007D0672">
      <w:pPr>
        <w:ind w:left="567" w:right="567"/>
        <w:rPr>
          <w:bCs/>
          <w:sz w:val="18"/>
          <w:lang w:val="fr-FR"/>
        </w:rPr>
      </w:pPr>
    </w:p>
    <w:p w14:paraId="017ADB9B" w14:textId="77777777" w:rsidR="00835891" w:rsidRDefault="005E3627" w:rsidP="005E3627">
      <w:pPr>
        <w:ind w:left="567" w:right="567"/>
        <w:rPr>
          <w:bCs/>
          <w:sz w:val="18"/>
          <w:lang w:val="fr-FR"/>
        </w:rPr>
      </w:pPr>
      <w:r w:rsidRPr="00543E11">
        <w:rPr>
          <w:bCs/>
          <w:sz w:val="18"/>
          <w:lang w:val="fr-FR"/>
        </w:rPr>
        <w:t>“2.3</w:t>
      </w:r>
      <w:r w:rsidRPr="00543E11">
        <w:rPr>
          <w:bCs/>
          <w:sz w:val="18"/>
          <w:lang w:val="fr-FR"/>
        </w:rPr>
        <w:tab/>
        <w:t>Un rapport annuel de la situation sera présenté au Comité administratif et juridique (CAJ) et au Comité technique (TC).</w:t>
      </w:r>
    </w:p>
    <w:p w14:paraId="61476B19" w14:textId="77777777" w:rsidR="00835891" w:rsidRDefault="00835891" w:rsidP="007D0672">
      <w:pPr>
        <w:rPr>
          <w:rFonts w:eastAsiaTheme="minorEastAsia"/>
          <w:lang w:val="fr-FR"/>
        </w:rPr>
      </w:pPr>
    </w:p>
    <w:p w14:paraId="67E6ABFB" w14:textId="3675E1C9" w:rsidR="00835891" w:rsidRDefault="00DE0479" w:rsidP="00835891">
      <w:pPr>
        <w:rPr>
          <w:rFonts w:eastAsiaTheme="minorEastAsia"/>
          <w:lang w:val="fr-FR"/>
        </w:rPr>
      </w:pPr>
      <w:r w:rsidRPr="00543E11">
        <w:rPr>
          <w:rFonts w:eastAsiaTheme="minorEastAsia"/>
          <w:lang w:val="fr-FR"/>
        </w:rPr>
        <w:fldChar w:fldCharType="begin"/>
      </w:r>
      <w:r w:rsidRPr="00543E11">
        <w:rPr>
          <w:rFonts w:eastAsiaTheme="minorEastAsia"/>
          <w:lang w:val="fr-FR"/>
        </w:rPr>
        <w:instrText xml:space="preserve"> AUTONUM  </w:instrText>
      </w:r>
      <w:r w:rsidRPr="00543E11">
        <w:rPr>
          <w:rFonts w:eastAsiaTheme="minorEastAsia"/>
          <w:lang w:val="fr-FR"/>
        </w:rPr>
        <w:fldChar w:fldCharType="end"/>
      </w:r>
      <w:r w:rsidRPr="00543E11">
        <w:rPr>
          <w:rFonts w:eastAsiaTheme="minorEastAsia"/>
          <w:lang w:val="fr-FR"/>
        </w:rPr>
        <w:tab/>
      </w:r>
      <w:r w:rsidR="00A839BD" w:rsidRPr="00543E11">
        <w:rPr>
          <w:rFonts w:eastAsiaTheme="minorEastAsia"/>
          <w:lang w:val="fr-FR"/>
        </w:rPr>
        <w:t xml:space="preserve">Les nouvelles modalités applicables aux contributeurs de données </w:t>
      </w:r>
      <w:r w:rsidR="00835891">
        <w:rPr>
          <w:rFonts w:eastAsiaTheme="minorEastAsia"/>
          <w:lang w:val="fr-FR"/>
        </w:rPr>
        <w:t>ont été</w:t>
      </w:r>
      <w:r w:rsidR="00A839BD" w:rsidRPr="00543E11">
        <w:rPr>
          <w:rFonts w:eastAsiaTheme="minorEastAsia"/>
          <w:lang w:val="fr-FR"/>
        </w:rPr>
        <w:t xml:space="preserve"> expliquées dans le cadre d</w:t>
      </w:r>
      <w:r w:rsidR="00012DAF">
        <w:rPr>
          <w:rFonts w:eastAsiaTheme="minorEastAsia"/>
          <w:lang w:val="fr-FR"/>
        </w:rPr>
        <w:t>’</w:t>
      </w:r>
      <w:r w:rsidR="00A839BD" w:rsidRPr="00543E11">
        <w:rPr>
          <w:rFonts w:eastAsiaTheme="minorEastAsia"/>
          <w:lang w:val="fr-FR"/>
        </w:rPr>
        <w:t xml:space="preserve">une série de webinaires </w:t>
      </w:r>
      <w:r w:rsidR="00835891">
        <w:rPr>
          <w:rFonts w:eastAsiaTheme="minorEastAsia"/>
          <w:lang w:val="fr-FR"/>
        </w:rPr>
        <w:t xml:space="preserve">(en </w:t>
      </w:r>
      <w:r w:rsidR="00835891" w:rsidRPr="00835891">
        <w:rPr>
          <w:rFonts w:eastAsiaTheme="minorEastAsia"/>
          <w:lang w:val="fr-FR"/>
        </w:rPr>
        <w:t xml:space="preserve">français, anglais et espagnol) </w:t>
      </w:r>
      <w:r w:rsidR="008915CC" w:rsidRPr="00835891">
        <w:rPr>
          <w:rFonts w:eastAsiaTheme="minorEastAsia"/>
          <w:lang w:val="fr-FR"/>
        </w:rPr>
        <w:t>organisés</w:t>
      </w:r>
      <w:r w:rsidR="00835891" w:rsidRPr="00835891">
        <w:rPr>
          <w:rFonts w:eastAsiaTheme="minorEastAsia"/>
          <w:lang w:val="fr-FR"/>
        </w:rPr>
        <w:t xml:space="preserve"> à l’intention des fournisseurs de données à la base de données PLUTO</w:t>
      </w:r>
      <w:r w:rsidR="00A839BD" w:rsidRPr="00835891">
        <w:rPr>
          <w:rFonts w:eastAsiaTheme="minorEastAsia"/>
          <w:lang w:val="fr-FR"/>
        </w:rPr>
        <w:t xml:space="preserve"> </w:t>
      </w:r>
      <w:r w:rsidR="00835891" w:rsidRPr="00835891">
        <w:rPr>
          <w:rFonts w:eastAsiaTheme="minorEastAsia"/>
          <w:lang w:val="fr-FR"/>
        </w:rPr>
        <w:t>du 9</w:t>
      </w:r>
      <w:r w:rsidR="00A839BD" w:rsidRPr="00835891">
        <w:rPr>
          <w:rFonts w:eastAsiaTheme="minorEastAsia"/>
          <w:lang w:val="fr-FR"/>
        </w:rPr>
        <w:t xml:space="preserve"> </w:t>
      </w:r>
      <w:r w:rsidR="00835891" w:rsidRPr="00835891">
        <w:rPr>
          <w:rFonts w:eastAsiaTheme="minorEastAsia"/>
          <w:lang w:val="fr-FR"/>
        </w:rPr>
        <w:t>au</w:t>
      </w:r>
      <w:r w:rsidR="00A839BD" w:rsidRPr="00835891">
        <w:rPr>
          <w:rFonts w:eastAsiaTheme="minorEastAsia"/>
          <w:lang w:val="fr-FR"/>
        </w:rPr>
        <w:t xml:space="preserve"> </w:t>
      </w:r>
      <w:r w:rsidR="00835891" w:rsidRPr="00835891">
        <w:rPr>
          <w:rFonts w:eastAsiaTheme="minorEastAsia"/>
          <w:lang w:val="fr-FR"/>
        </w:rPr>
        <w:t>1</w:t>
      </w:r>
      <w:r w:rsidR="00012DAF" w:rsidRPr="00835891">
        <w:rPr>
          <w:rFonts w:eastAsiaTheme="minorEastAsia"/>
          <w:lang w:val="fr-FR"/>
        </w:rPr>
        <w:t>4 septembre 20</w:t>
      </w:r>
      <w:r w:rsidR="00A839BD" w:rsidRPr="00835891">
        <w:rPr>
          <w:rFonts w:eastAsiaTheme="minorEastAsia"/>
          <w:lang w:val="fr-FR"/>
        </w:rPr>
        <w:t>20</w:t>
      </w:r>
      <w:r w:rsidR="00835891" w:rsidRPr="00835891">
        <w:rPr>
          <w:rFonts w:eastAsiaTheme="minorEastAsia"/>
          <w:lang w:val="fr-FR"/>
        </w:rPr>
        <w:t>.  Des enregistrements vidéo sont disponibles auprès du Bureau de l'Union sur demande.</w:t>
      </w:r>
      <w:r w:rsidR="00835891" w:rsidRPr="00835891">
        <w:rPr>
          <w:lang w:val="fr-CH"/>
        </w:rPr>
        <w:t xml:space="preserve">  P</w:t>
      </w:r>
      <w:r w:rsidR="00835891">
        <w:rPr>
          <w:lang w:val="fr-CH"/>
        </w:rPr>
        <w:t>ar ailleurs, des</w:t>
      </w:r>
      <w:r w:rsidR="00A839BD" w:rsidRPr="00543E11">
        <w:rPr>
          <w:rFonts w:eastAsiaTheme="minorEastAsia"/>
          <w:lang w:val="fr-FR"/>
        </w:rPr>
        <w:t xml:space="preserve"> réunions virtuelles individuelles avec les contributeurs de données</w:t>
      </w:r>
      <w:r w:rsidR="00835891">
        <w:rPr>
          <w:rFonts w:eastAsiaTheme="minorEastAsia"/>
          <w:lang w:val="fr-FR"/>
        </w:rPr>
        <w:t xml:space="preserve"> seront organisées</w:t>
      </w:r>
      <w:r w:rsidR="00A839BD" w:rsidRPr="00543E11">
        <w:rPr>
          <w:rFonts w:eastAsiaTheme="minorEastAsia"/>
          <w:lang w:val="fr-FR"/>
        </w:rPr>
        <w:t>, selon que de besoin.</w:t>
      </w:r>
    </w:p>
    <w:p w14:paraId="17609C05" w14:textId="77777777" w:rsidR="00835891" w:rsidRDefault="00835891" w:rsidP="007D0672">
      <w:pPr>
        <w:rPr>
          <w:rFonts w:eastAsiaTheme="minorEastAsia"/>
          <w:lang w:val="fr-FR"/>
        </w:rPr>
      </w:pPr>
    </w:p>
    <w:p w14:paraId="01E7DCD8" w14:textId="77777777" w:rsidR="00835891" w:rsidRDefault="00D97433" w:rsidP="00652470">
      <w:pPr>
        <w:rPr>
          <w:rFonts w:eastAsiaTheme="minorEastAsia" w:cs="Arial"/>
          <w:bCs/>
          <w:lang w:val="fr-FR"/>
        </w:rPr>
      </w:pPr>
      <w:r w:rsidRPr="00543E11">
        <w:rPr>
          <w:rFonts w:eastAsiaTheme="minorEastAsia" w:cs="Arial"/>
          <w:bCs/>
          <w:lang w:val="fr-FR"/>
        </w:rPr>
        <w:fldChar w:fldCharType="begin"/>
      </w:r>
      <w:r w:rsidRPr="00543E11">
        <w:rPr>
          <w:rFonts w:eastAsiaTheme="minorEastAsia" w:cs="Arial"/>
          <w:bCs/>
          <w:lang w:val="fr-FR"/>
        </w:rPr>
        <w:instrText xml:space="preserve"> AUTONUM  </w:instrText>
      </w:r>
      <w:r w:rsidRPr="00543E11">
        <w:rPr>
          <w:rFonts w:eastAsiaTheme="minorEastAsia" w:cs="Arial"/>
          <w:bCs/>
          <w:lang w:val="fr-FR"/>
        </w:rPr>
        <w:fldChar w:fldCharType="end"/>
      </w:r>
      <w:r w:rsidRPr="00543E11">
        <w:rPr>
          <w:rFonts w:eastAsiaTheme="minorEastAsia" w:cs="Arial"/>
          <w:bCs/>
          <w:lang w:val="fr-FR"/>
        </w:rPr>
        <w:tab/>
      </w:r>
      <w:r w:rsidR="00652470" w:rsidRPr="00543E11">
        <w:rPr>
          <w:rFonts w:eastAsiaTheme="minorEastAsia" w:cs="Arial"/>
          <w:bCs/>
          <w:lang w:val="fr-FR"/>
        </w:rPr>
        <w:t>On trouvera à l</w:t>
      </w:r>
      <w:r w:rsidR="00012DAF">
        <w:rPr>
          <w:rFonts w:eastAsiaTheme="minorEastAsia" w:cs="Arial"/>
          <w:bCs/>
          <w:lang w:val="fr-FR"/>
        </w:rPr>
        <w:t>’</w:t>
      </w:r>
      <w:r w:rsidR="00012DAF" w:rsidRPr="00543E11">
        <w:rPr>
          <w:rFonts w:eastAsiaTheme="minorEastAsia" w:cs="Arial"/>
          <w:bCs/>
          <w:lang w:val="fr-FR"/>
        </w:rPr>
        <w:t>annexe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I</w:t>
      </w:r>
      <w:r w:rsidR="00652470" w:rsidRPr="00543E11">
        <w:rPr>
          <w:rFonts w:eastAsiaTheme="minorEastAsia" w:cs="Arial"/>
          <w:bCs/>
          <w:lang w:val="fr-FR"/>
        </w:rPr>
        <w:t>I du présent document une synthèse des contributions faites à la base de données PLUTO entre 2015 et 2020.</w:t>
      </w:r>
    </w:p>
    <w:p w14:paraId="370FEA04" w14:textId="77777777" w:rsidR="00835891" w:rsidRDefault="00835891" w:rsidP="00D97433">
      <w:pPr>
        <w:rPr>
          <w:rFonts w:eastAsiaTheme="minorEastAsia" w:cs="Arial"/>
          <w:bCs/>
          <w:lang w:val="fr-FR"/>
        </w:rPr>
      </w:pPr>
    </w:p>
    <w:p w14:paraId="7C42A9F7" w14:textId="77777777" w:rsidR="00835891" w:rsidRDefault="00D97433" w:rsidP="00A839BD">
      <w:pPr>
        <w:rPr>
          <w:rFonts w:eastAsiaTheme="minorEastAsia" w:cs="Arial"/>
          <w:bCs/>
          <w:lang w:val="fr-FR"/>
        </w:rPr>
      </w:pPr>
      <w:r w:rsidRPr="00543E11">
        <w:rPr>
          <w:rFonts w:eastAsiaTheme="minorEastAsia" w:cs="Arial"/>
          <w:bCs/>
          <w:lang w:val="fr-FR"/>
        </w:rPr>
        <w:fldChar w:fldCharType="begin"/>
      </w:r>
      <w:r w:rsidRPr="00543E11">
        <w:rPr>
          <w:rFonts w:eastAsiaTheme="minorEastAsia" w:cs="Arial"/>
          <w:bCs/>
          <w:lang w:val="fr-FR"/>
        </w:rPr>
        <w:instrText xml:space="preserve"> AUTONUM  </w:instrText>
      </w:r>
      <w:r w:rsidRPr="00543E11">
        <w:rPr>
          <w:rFonts w:eastAsiaTheme="minorEastAsia" w:cs="Arial"/>
          <w:bCs/>
          <w:lang w:val="fr-FR"/>
        </w:rPr>
        <w:fldChar w:fldCharType="end"/>
      </w:r>
      <w:r w:rsidRPr="00543E11">
        <w:rPr>
          <w:rFonts w:eastAsiaTheme="minorEastAsia" w:cs="Arial"/>
          <w:bCs/>
          <w:lang w:val="fr-FR"/>
        </w:rPr>
        <w:tab/>
      </w:r>
      <w:r w:rsidR="00A839BD" w:rsidRPr="00543E11">
        <w:rPr>
          <w:rFonts w:eastAsiaTheme="minorEastAsia" w:cs="Arial"/>
          <w:bCs/>
          <w:lang w:val="fr-FR"/>
        </w:rPr>
        <w:t>La nouvelle configuration et les nouvelles fonctionnalités de la base de données PLUTO, ainsi que les nouvelles dispositions relatives à la contribution de données seront présentées à la soixante</w:t>
      </w:r>
      <w:r w:rsidR="00012DAF">
        <w:rPr>
          <w:rFonts w:eastAsiaTheme="minorEastAsia" w:cs="Arial"/>
          <w:bCs/>
          <w:lang w:val="fr-FR"/>
        </w:rPr>
        <w:t>-</w:t>
      </w:r>
      <w:r w:rsidR="00A839BD" w:rsidRPr="00543E11">
        <w:rPr>
          <w:rFonts w:eastAsiaTheme="minorEastAsia" w:cs="Arial"/>
          <w:bCs/>
          <w:lang w:val="fr-FR"/>
        </w:rPr>
        <w:t>dix</w:t>
      </w:r>
      <w:r w:rsidR="00012DAF">
        <w:rPr>
          <w:rFonts w:eastAsiaTheme="minorEastAsia" w:cs="Arial"/>
          <w:bCs/>
          <w:lang w:val="fr-FR"/>
        </w:rPr>
        <w:t>-</w:t>
      </w:r>
      <w:r w:rsidR="00A839BD" w:rsidRPr="00543E11">
        <w:rPr>
          <w:rFonts w:eastAsiaTheme="minorEastAsia" w:cs="Arial"/>
          <w:bCs/>
          <w:lang w:val="fr-FR"/>
        </w:rPr>
        <w:t>sept</w:t>
      </w:r>
      <w:r w:rsidR="00012DAF">
        <w:rPr>
          <w:rFonts w:eastAsiaTheme="minorEastAsia" w:cs="Arial"/>
          <w:bCs/>
          <w:lang w:val="fr-FR"/>
        </w:rPr>
        <w:t>ième session</w:t>
      </w:r>
      <w:r w:rsidR="00012DAF" w:rsidRPr="00543E11">
        <w:rPr>
          <w:rFonts w:eastAsiaTheme="minorEastAsia" w:cs="Arial"/>
          <w:bCs/>
          <w:lang w:val="fr-FR"/>
        </w:rPr>
        <w:t xml:space="preserve"> du</w:t>
      </w:r>
      <w:r w:rsidR="00012DAF">
        <w:rPr>
          <w:rFonts w:eastAsiaTheme="minorEastAsia" w:cs="Arial"/>
          <w:bCs/>
          <w:lang w:val="fr-FR"/>
        </w:rPr>
        <w:t> </w:t>
      </w:r>
      <w:r w:rsidR="00012DAF" w:rsidRPr="00543E11">
        <w:rPr>
          <w:rFonts w:eastAsiaTheme="minorEastAsia" w:cs="Arial"/>
          <w:bCs/>
          <w:lang w:val="fr-FR"/>
        </w:rPr>
        <w:t>CAJ</w:t>
      </w:r>
      <w:r w:rsidR="00A839BD" w:rsidRPr="00543E11">
        <w:rPr>
          <w:rFonts w:eastAsiaTheme="minorEastAsia" w:cs="Arial"/>
          <w:bCs/>
          <w:lang w:val="fr-FR"/>
        </w:rPr>
        <w:t>.</w:t>
      </w:r>
    </w:p>
    <w:p w14:paraId="247F63D7" w14:textId="77777777" w:rsidR="00835891" w:rsidRDefault="00835891" w:rsidP="00657F5B">
      <w:pPr>
        <w:rPr>
          <w:rFonts w:eastAsiaTheme="minorEastAsia" w:cs="Arial"/>
          <w:bCs/>
          <w:lang w:val="fr-FR"/>
        </w:rPr>
      </w:pPr>
    </w:p>
    <w:p w14:paraId="38F622D5" w14:textId="77777777" w:rsidR="00835891" w:rsidRDefault="00682819" w:rsidP="007C31E6">
      <w:pPr>
        <w:pStyle w:val="DecisionParagraphs"/>
        <w:rPr>
          <w:lang w:val="fr-FR"/>
        </w:rPr>
      </w:pPr>
      <w:r w:rsidRPr="00543E11">
        <w:rPr>
          <w:lang w:val="fr-FR"/>
        </w:rPr>
        <w:fldChar w:fldCharType="begin"/>
      </w:r>
      <w:r w:rsidRPr="00543E11">
        <w:rPr>
          <w:lang w:val="fr-FR"/>
        </w:rPr>
        <w:instrText xml:space="preserve"> AUTONUM  </w:instrText>
      </w:r>
      <w:r w:rsidRPr="00543E11">
        <w:rPr>
          <w:lang w:val="fr-FR"/>
        </w:rPr>
        <w:fldChar w:fldCharType="end"/>
      </w:r>
      <w:r w:rsidRPr="00543E11">
        <w:rPr>
          <w:lang w:val="fr-FR"/>
        </w:rPr>
        <w:tab/>
      </w:r>
      <w:r w:rsidR="007C31E6" w:rsidRPr="00543E11">
        <w:rPr>
          <w:lang w:val="fr-FR"/>
        </w:rPr>
        <w:t>Le CAJ est invité</w:t>
      </w:r>
    </w:p>
    <w:p w14:paraId="55A31C5F" w14:textId="77777777" w:rsidR="00835891" w:rsidRDefault="00835891" w:rsidP="007C31E6">
      <w:pPr>
        <w:pStyle w:val="DecisionParagraphs"/>
        <w:rPr>
          <w:lang w:val="fr-FR"/>
        </w:rPr>
      </w:pPr>
    </w:p>
    <w:p w14:paraId="0548B000" w14:textId="77777777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a)</w:t>
      </w:r>
      <w:r w:rsidRPr="00543E11">
        <w:rPr>
          <w:lang w:val="fr-FR"/>
        </w:rPr>
        <w:tab/>
        <w:t>à noter qu</w:t>
      </w:r>
      <w:r w:rsidR="00012DAF">
        <w:rPr>
          <w:lang w:val="fr-FR"/>
        </w:rPr>
        <w:t>’</w:t>
      </w:r>
      <w:r w:rsidRPr="00543E11">
        <w:rPr>
          <w:lang w:val="fr-FR"/>
        </w:rPr>
        <w:t>un webinaire (en anglais) a été organisé le 3</w:t>
      </w:r>
      <w:r w:rsidR="00012DAF" w:rsidRPr="00543E11">
        <w:rPr>
          <w:lang w:val="fr-FR"/>
        </w:rPr>
        <w:t>0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juin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20</w:t>
      </w:r>
      <w:r w:rsidRPr="00543E11">
        <w:rPr>
          <w:lang w:val="fr-FR"/>
        </w:rPr>
        <w:t>20 afin de présenter une synthèse des modifications à apporter à la base de données PLUTO et de donner la possibilité aux utilisateurs de faire part de leurs observations sur la configuration et les nouvelles fonctionnalités proposées;</w:t>
      </w:r>
    </w:p>
    <w:p w14:paraId="5094B010" w14:textId="77777777" w:rsidR="00835891" w:rsidRDefault="00835891" w:rsidP="007C31E6">
      <w:pPr>
        <w:pStyle w:val="DecisionParagraphs"/>
        <w:rPr>
          <w:lang w:val="fr-FR"/>
        </w:rPr>
      </w:pPr>
    </w:p>
    <w:p w14:paraId="0F75774C" w14:textId="77777777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b)</w:t>
      </w:r>
      <w:r w:rsidRPr="00543E11">
        <w:rPr>
          <w:lang w:val="fr-FR"/>
        </w:rPr>
        <w:tab/>
        <w:t>à noter qu</w:t>
      </w:r>
      <w:r w:rsidR="00012DAF">
        <w:rPr>
          <w:lang w:val="fr-FR"/>
        </w:rPr>
        <w:t>’</w:t>
      </w:r>
      <w:r w:rsidRPr="00543E11">
        <w:rPr>
          <w:lang w:val="fr-FR"/>
        </w:rPr>
        <w:t>un questionnaire a été envoyé à tous les organes de l</w:t>
      </w:r>
      <w:r w:rsidR="00012DAF">
        <w:rPr>
          <w:lang w:val="fr-FR"/>
        </w:rPr>
        <w:t>’</w:t>
      </w:r>
      <w:r w:rsidRPr="00543E11">
        <w:rPr>
          <w:lang w:val="fr-FR"/>
        </w:rPr>
        <w:t>UPOV, aux utilisateurs de la base de données PLUTO et aux participants du webinaire du 3</w:t>
      </w:r>
      <w:r w:rsidR="00012DAF" w:rsidRPr="00543E11">
        <w:rPr>
          <w:lang w:val="fr-FR"/>
        </w:rPr>
        <w:t>0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juin</w:t>
      </w:r>
      <w:r w:rsidRPr="00543E11">
        <w:rPr>
          <w:lang w:val="fr-FR"/>
        </w:rPr>
        <w:t xml:space="preserve"> afin de mieux connaître les besoins des utilisateurs;</w:t>
      </w:r>
    </w:p>
    <w:p w14:paraId="286E5F20" w14:textId="77777777" w:rsidR="00835891" w:rsidRDefault="00835891" w:rsidP="007C31E6">
      <w:pPr>
        <w:pStyle w:val="DecisionParagraphs"/>
        <w:rPr>
          <w:lang w:val="fr-FR"/>
        </w:rPr>
      </w:pPr>
    </w:p>
    <w:p w14:paraId="27533720" w14:textId="1DA2398C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c)</w:t>
      </w:r>
      <w:r w:rsidRPr="00543E11">
        <w:rPr>
          <w:lang w:val="fr-FR"/>
        </w:rPr>
        <w:tab/>
        <w:t>à noter que la nouvelle configuration de la base de données PLUTO tien</w:t>
      </w:r>
      <w:r w:rsidR="00835891">
        <w:rPr>
          <w:lang w:val="fr-FR"/>
        </w:rPr>
        <w:t>dra</w:t>
      </w:r>
      <w:r w:rsidRPr="00543E11">
        <w:rPr>
          <w:lang w:val="fr-FR"/>
        </w:rPr>
        <w:t xml:space="preserve"> compte des observations formulées lors du webinaire du 3</w:t>
      </w:r>
      <w:r w:rsidR="00012DAF" w:rsidRPr="00543E11">
        <w:rPr>
          <w:lang w:val="fr-FR"/>
        </w:rPr>
        <w:t>0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juin</w:t>
      </w:r>
      <w:r w:rsidRPr="00543E11">
        <w:rPr>
          <w:lang w:val="fr-FR"/>
        </w:rPr>
        <w:t xml:space="preserve"> et en réponse à un ques</w:t>
      </w:r>
      <w:r w:rsidR="00835891">
        <w:rPr>
          <w:lang w:val="fr-FR"/>
        </w:rPr>
        <w:t>tionnaire envoyé ultérieurement</w:t>
      </w:r>
      <w:r w:rsidRPr="00543E11">
        <w:rPr>
          <w:lang w:val="fr-FR"/>
        </w:rPr>
        <w:t>;</w:t>
      </w:r>
    </w:p>
    <w:p w14:paraId="3E768950" w14:textId="77777777" w:rsidR="00835891" w:rsidRDefault="00835891" w:rsidP="007C31E6">
      <w:pPr>
        <w:pStyle w:val="DecisionParagraphs"/>
        <w:rPr>
          <w:lang w:val="fr-FR"/>
        </w:rPr>
      </w:pPr>
    </w:p>
    <w:p w14:paraId="663B9517" w14:textId="786A8EFD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d)</w:t>
      </w:r>
      <w:r w:rsidRPr="00543E11">
        <w:rPr>
          <w:lang w:val="fr-FR"/>
        </w:rPr>
        <w:tab/>
        <w:t xml:space="preserve">à noter que les services gratuits et à valeur ajoutée </w:t>
      </w:r>
      <w:r w:rsidR="00635794">
        <w:rPr>
          <w:lang w:val="fr-FR"/>
        </w:rPr>
        <w:t>(</w:t>
      </w:r>
      <w:r w:rsidR="00635794" w:rsidRPr="00635794">
        <w:rPr>
          <w:i w:val="0"/>
          <w:lang w:val="fr-FR"/>
        </w:rPr>
        <w:t>premium</w:t>
      </w:r>
      <w:r w:rsidR="00635794">
        <w:rPr>
          <w:lang w:val="fr-FR"/>
        </w:rPr>
        <w:t>)</w:t>
      </w:r>
      <w:r w:rsidR="00635794" w:rsidRPr="00543E11">
        <w:rPr>
          <w:lang w:val="fr-FR"/>
        </w:rPr>
        <w:t xml:space="preserve"> </w:t>
      </w:r>
      <w:r w:rsidRPr="00543E11">
        <w:rPr>
          <w:lang w:val="fr-FR"/>
        </w:rPr>
        <w:t xml:space="preserve">seront mis à disposition </w:t>
      </w:r>
      <w:r w:rsidR="00835891">
        <w:rPr>
          <w:lang w:val="fr-FR"/>
        </w:rPr>
        <w:t xml:space="preserve">pendant une </w:t>
      </w:r>
      <w:r w:rsidRPr="00543E11">
        <w:rPr>
          <w:lang w:val="fr-FR"/>
        </w:rPr>
        <w:t>dur</w:t>
      </w:r>
      <w:r w:rsidR="00835891">
        <w:rPr>
          <w:lang w:val="fr-FR"/>
        </w:rPr>
        <w:t xml:space="preserve">ée limitée après le lancement de la </w:t>
      </w:r>
      <w:r w:rsidR="00835891" w:rsidRPr="00543E11">
        <w:rPr>
          <w:lang w:val="fr-FR"/>
        </w:rPr>
        <w:t>nouvelle configuration de la base de données PLUTO</w:t>
      </w:r>
      <w:r w:rsidR="00835891">
        <w:rPr>
          <w:lang w:val="fr-FR"/>
        </w:rPr>
        <w:t>,</w:t>
      </w:r>
      <w:r w:rsidR="00835891" w:rsidRPr="00543E11">
        <w:rPr>
          <w:lang w:val="fr-FR"/>
        </w:rPr>
        <w:t xml:space="preserve"> </w:t>
      </w:r>
      <w:r w:rsidRPr="00543E11">
        <w:rPr>
          <w:lang w:val="fr-FR"/>
        </w:rPr>
        <w:t>afin de tester la nouvelle configuration de la base de données PLUTO et de donner la possibilité aux utilisateurs de choisir le service gratuit ou le service à valeur ajoutée</w:t>
      </w:r>
      <w:r w:rsidR="00635794">
        <w:rPr>
          <w:lang w:val="fr-FR"/>
        </w:rPr>
        <w:t xml:space="preserve"> (</w:t>
      </w:r>
      <w:r w:rsidR="00635794" w:rsidRPr="00635794">
        <w:rPr>
          <w:i w:val="0"/>
          <w:lang w:val="fr-FR"/>
        </w:rPr>
        <w:t>premium</w:t>
      </w:r>
      <w:r w:rsidR="00635794">
        <w:rPr>
          <w:lang w:val="fr-FR"/>
        </w:rPr>
        <w:t>)</w:t>
      </w:r>
      <w:r w:rsidRPr="00543E11">
        <w:rPr>
          <w:lang w:val="fr-FR"/>
        </w:rPr>
        <w:t>;</w:t>
      </w:r>
      <w:r w:rsidR="00635794">
        <w:rPr>
          <w:lang w:val="fr-FR"/>
        </w:rPr>
        <w:t xml:space="preserve"> </w:t>
      </w:r>
    </w:p>
    <w:p w14:paraId="16D38746" w14:textId="77777777" w:rsidR="00835891" w:rsidRDefault="00835891" w:rsidP="007C31E6">
      <w:pPr>
        <w:pStyle w:val="DecisionParagraphs"/>
        <w:rPr>
          <w:lang w:val="fr-FR"/>
        </w:rPr>
      </w:pPr>
    </w:p>
    <w:p w14:paraId="33792515" w14:textId="6FB08E4A" w:rsidR="00835891" w:rsidRPr="009E6F3A" w:rsidRDefault="007C31E6" w:rsidP="007C31E6">
      <w:pPr>
        <w:pStyle w:val="DecisionParagraphs"/>
        <w:rPr>
          <w:spacing w:val="-4"/>
          <w:lang w:val="fr-FR"/>
        </w:rPr>
      </w:pPr>
      <w:r w:rsidRPr="009E6F3A">
        <w:rPr>
          <w:spacing w:val="-4"/>
          <w:lang w:val="fr-FR"/>
        </w:rPr>
        <w:tab/>
        <w:t>e)</w:t>
      </w:r>
      <w:r w:rsidRPr="009E6F3A">
        <w:rPr>
          <w:spacing w:val="-4"/>
          <w:lang w:val="fr-FR"/>
        </w:rPr>
        <w:tab/>
        <w:t>à noter que des webinaires seront organisés pour présenter la nouvelle configuration et les nouvelles fonctionnalités de la base de données PLUTO;</w:t>
      </w:r>
    </w:p>
    <w:p w14:paraId="49907424" w14:textId="77777777" w:rsidR="00835891" w:rsidRDefault="00835891" w:rsidP="007C31E6">
      <w:pPr>
        <w:pStyle w:val="DecisionParagraphs"/>
        <w:rPr>
          <w:lang w:val="fr-FR"/>
        </w:rPr>
      </w:pPr>
    </w:p>
    <w:p w14:paraId="1847B7BD" w14:textId="77777777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f)</w:t>
      </w:r>
      <w:r w:rsidRPr="00543E11">
        <w:rPr>
          <w:lang w:val="fr-FR"/>
        </w:rPr>
        <w:tab/>
        <w:t>à prendre note des plans visant à améliorer la qualité des données par de nouveaux contrôles de la qualité des données et la fourniture d</w:t>
      </w:r>
      <w:r w:rsidR="00012DAF">
        <w:rPr>
          <w:lang w:val="fr-FR"/>
        </w:rPr>
        <w:t>’</w:t>
      </w:r>
      <w:r w:rsidRPr="00543E11">
        <w:rPr>
          <w:lang w:val="fr-FR"/>
        </w:rPr>
        <w:t>une assistance, qui permettront aux membres de l</w:t>
      </w:r>
      <w:r w:rsidR="00012DAF">
        <w:rPr>
          <w:lang w:val="fr-FR"/>
        </w:rPr>
        <w:t>’</w:t>
      </w:r>
      <w:r w:rsidRPr="00543E11">
        <w:rPr>
          <w:lang w:val="fr-FR"/>
        </w:rPr>
        <w:t>Union de commencer à fournir des données pour la première fois ou à fournir des données plus fréquemment;</w:t>
      </w:r>
    </w:p>
    <w:p w14:paraId="126087E2" w14:textId="77777777" w:rsidR="00835891" w:rsidRDefault="00835891" w:rsidP="007C31E6">
      <w:pPr>
        <w:pStyle w:val="DecisionParagraphs"/>
        <w:rPr>
          <w:lang w:val="fr-FR"/>
        </w:rPr>
      </w:pPr>
    </w:p>
    <w:p w14:paraId="4FCF0283" w14:textId="590222CD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g)</w:t>
      </w:r>
      <w:r w:rsidRPr="00543E11">
        <w:rPr>
          <w:lang w:val="fr-FR"/>
        </w:rPr>
        <w:tab/>
        <w:t xml:space="preserve">à prendre note </w:t>
      </w:r>
      <w:r w:rsidR="00835891">
        <w:rPr>
          <w:lang w:val="fr-FR"/>
        </w:rPr>
        <w:t>de</w:t>
      </w:r>
      <w:r w:rsidRPr="00543E11">
        <w:rPr>
          <w:lang w:val="fr-FR"/>
        </w:rPr>
        <w:t xml:space="preserve"> l</w:t>
      </w:r>
      <w:r w:rsidR="00012DAF">
        <w:rPr>
          <w:lang w:val="fr-FR"/>
        </w:rPr>
        <w:t>’</w:t>
      </w:r>
      <w:r w:rsidRPr="00543E11">
        <w:rPr>
          <w:lang w:val="fr-FR"/>
        </w:rPr>
        <w:t>organisation d</w:t>
      </w:r>
      <w:r w:rsidR="00012DAF">
        <w:rPr>
          <w:lang w:val="fr-FR"/>
        </w:rPr>
        <w:t>’</w:t>
      </w:r>
      <w:r w:rsidRPr="00543E11">
        <w:rPr>
          <w:lang w:val="fr-FR"/>
        </w:rPr>
        <w:t>une série de webinaires et de réunions virtuelles individuelles, selon que de besoin, avec les contributeurs de données, concernant les nouvelles modalités applicables aux contributeurs de données;</w:t>
      </w:r>
    </w:p>
    <w:p w14:paraId="53A04B88" w14:textId="77777777" w:rsidR="00835891" w:rsidRDefault="00835891" w:rsidP="007C31E6">
      <w:pPr>
        <w:pStyle w:val="DecisionParagraphs"/>
        <w:rPr>
          <w:lang w:val="fr-FR"/>
        </w:rPr>
      </w:pPr>
    </w:p>
    <w:p w14:paraId="5C46BBFC" w14:textId="77777777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h)</w:t>
      </w:r>
      <w:r w:rsidRPr="00543E11">
        <w:rPr>
          <w:lang w:val="fr-FR"/>
        </w:rPr>
        <w:tab/>
        <w:t xml:space="preserve">à prendre note de la synthèse des contributions à la base de données PLUTO </w:t>
      </w:r>
      <w:r w:rsidR="00012DAF" w:rsidRPr="00543E11">
        <w:rPr>
          <w:lang w:val="fr-FR"/>
        </w:rPr>
        <w:t>de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2015</w:t>
      </w:r>
      <w:r w:rsidRPr="00543E11">
        <w:rPr>
          <w:lang w:val="fr-FR"/>
        </w:rPr>
        <w:t xml:space="preserve"> à 2020, qui figure à l</w:t>
      </w:r>
      <w:r w:rsidR="00012DAF">
        <w:rPr>
          <w:lang w:val="fr-FR"/>
        </w:rPr>
        <w:t>’</w:t>
      </w:r>
      <w:r w:rsidR="00012DAF" w:rsidRPr="00543E11">
        <w:rPr>
          <w:lang w:val="fr-FR"/>
        </w:rPr>
        <w:t>annexe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I</w:t>
      </w:r>
      <w:r w:rsidRPr="00543E11">
        <w:rPr>
          <w:lang w:val="fr-FR"/>
        </w:rPr>
        <w:t>I;  et</w:t>
      </w:r>
    </w:p>
    <w:p w14:paraId="20A6A291" w14:textId="77777777" w:rsidR="00835891" w:rsidRDefault="00835891" w:rsidP="007C31E6">
      <w:pPr>
        <w:pStyle w:val="DecisionParagraphs"/>
        <w:rPr>
          <w:lang w:val="fr-FR"/>
        </w:rPr>
      </w:pPr>
    </w:p>
    <w:p w14:paraId="1C854D3E" w14:textId="77777777" w:rsidR="00835891" w:rsidRDefault="007C31E6" w:rsidP="007C31E6">
      <w:pPr>
        <w:pStyle w:val="DecisionParagraphs"/>
        <w:rPr>
          <w:lang w:val="fr-FR"/>
        </w:rPr>
      </w:pPr>
      <w:r w:rsidRPr="00543E11">
        <w:rPr>
          <w:lang w:val="fr-FR"/>
        </w:rPr>
        <w:tab/>
        <w:t>i)</w:t>
      </w:r>
      <w:r w:rsidRPr="00543E11">
        <w:rPr>
          <w:lang w:val="fr-FR"/>
        </w:rPr>
        <w:tab/>
        <w:t>à noter que la nouvelle configuration et les nouvelles fonctionnalités de la base de données PLUTO, ainsi que les nouvelles modalités concernant la contribution de données, seront présentées à la soixante</w:t>
      </w:r>
      <w:r w:rsidR="00012DAF">
        <w:rPr>
          <w:lang w:val="fr-FR"/>
        </w:rPr>
        <w:t>-</w:t>
      </w:r>
      <w:r w:rsidRPr="00543E11">
        <w:rPr>
          <w:lang w:val="fr-FR"/>
        </w:rPr>
        <w:t>dix</w:t>
      </w:r>
      <w:r w:rsidR="00012DAF">
        <w:rPr>
          <w:lang w:val="fr-FR"/>
        </w:rPr>
        <w:t>-</w:t>
      </w:r>
      <w:r w:rsidRPr="00543E11">
        <w:rPr>
          <w:lang w:val="fr-FR"/>
        </w:rPr>
        <w:t>sept</w:t>
      </w:r>
      <w:r w:rsidR="00012DAF">
        <w:rPr>
          <w:lang w:val="fr-FR"/>
        </w:rPr>
        <w:t>ième session</w:t>
      </w:r>
      <w:r w:rsidR="00012DAF" w:rsidRPr="00543E11">
        <w:rPr>
          <w:lang w:val="fr-FR"/>
        </w:rPr>
        <w:t xml:space="preserve"> du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CAJ</w:t>
      </w:r>
      <w:r w:rsidRPr="00543E11">
        <w:rPr>
          <w:lang w:val="fr-FR"/>
        </w:rPr>
        <w:t>.</w:t>
      </w:r>
    </w:p>
    <w:p w14:paraId="40F10D8E" w14:textId="77777777" w:rsidR="00835891" w:rsidRDefault="00835891" w:rsidP="007C31E6">
      <w:pPr>
        <w:pStyle w:val="DecisionParagraphs"/>
        <w:ind w:left="0"/>
        <w:rPr>
          <w:lang w:val="fr-FR"/>
        </w:rPr>
      </w:pPr>
    </w:p>
    <w:p w14:paraId="2B2BFCF7" w14:textId="77777777" w:rsidR="00835891" w:rsidRDefault="00835891" w:rsidP="00050E16">
      <w:pPr>
        <w:rPr>
          <w:lang w:val="fr-FR"/>
        </w:rPr>
      </w:pPr>
    </w:p>
    <w:p w14:paraId="51945BC8" w14:textId="77777777" w:rsidR="00835891" w:rsidRDefault="00835891" w:rsidP="00050E16">
      <w:pPr>
        <w:rPr>
          <w:lang w:val="fr-FR"/>
        </w:rPr>
      </w:pPr>
    </w:p>
    <w:p w14:paraId="509E1EA0" w14:textId="77777777" w:rsidR="00835891" w:rsidRDefault="00E21E4F" w:rsidP="00E21E4F">
      <w:pPr>
        <w:jc w:val="right"/>
        <w:rPr>
          <w:lang w:val="fr-FR"/>
        </w:rPr>
      </w:pPr>
      <w:r w:rsidRPr="00543E11">
        <w:rPr>
          <w:lang w:val="fr-FR"/>
        </w:rPr>
        <w:t>[Les annexes suivent]</w:t>
      </w:r>
    </w:p>
    <w:p w14:paraId="5D09B624" w14:textId="77777777" w:rsidR="00835891" w:rsidRDefault="00835891">
      <w:pPr>
        <w:jc w:val="left"/>
        <w:rPr>
          <w:lang w:val="fr-FR"/>
        </w:rPr>
      </w:pPr>
    </w:p>
    <w:p w14:paraId="5878A29F" w14:textId="77777777" w:rsidR="007749A2" w:rsidRPr="00543E11" w:rsidRDefault="007749A2" w:rsidP="009B440E">
      <w:pPr>
        <w:jc w:val="left"/>
        <w:rPr>
          <w:lang w:val="fr-FR"/>
        </w:rPr>
        <w:sectPr w:rsidR="007749A2" w:rsidRPr="00543E11" w:rsidSect="004C62DB">
          <w:headerReference w:type="even" r:id="rId10"/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14:paraId="2B04D263" w14:textId="77777777" w:rsidR="00835891" w:rsidRDefault="00E21E4F" w:rsidP="00E21E4F">
      <w:pPr>
        <w:jc w:val="center"/>
        <w:rPr>
          <w:rFonts w:cs="Angsana New"/>
          <w:szCs w:val="24"/>
          <w:lang w:val="fr-FR" w:bidi="th-TH"/>
        </w:rPr>
      </w:pPr>
      <w:r w:rsidRPr="00543E11">
        <w:rPr>
          <w:rFonts w:cs="Angsana New"/>
          <w:szCs w:val="24"/>
          <w:lang w:val="fr-FR" w:bidi="th-TH"/>
        </w:rPr>
        <w:lastRenderedPageBreak/>
        <w:t>PROGRAMME D</w:t>
      </w:r>
      <w:r w:rsidR="00012DAF">
        <w:rPr>
          <w:rFonts w:cs="Angsana New"/>
          <w:szCs w:val="24"/>
          <w:lang w:val="fr-FR" w:bidi="th-TH"/>
        </w:rPr>
        <w:t>’</w:t>
      </w:r>
      <w:r w:rsidRPr="00543E11">
        <w:rPr>
          <w:rFonts w:cs="Angsana New"/>
          <w:szCs w:val="24"/>
          <w:lang w:val="fr-FR" w:bidi="th-TH"/>
        </w:rPr>
        <w:t>AMÉLIORATIONS DE LA BASE DE DONNÉES SUR LES VARIÉTÉS VÉGÉTALES</w:t>
      </w:r>
    </w:p>
    <w:p w14:paraId="7307DB15" w14:textId="77777777" w:rsidR="00835891" w:rsidRDefault="00835891" w:rsidP="007749A2">
      <w:pPr>
        <w:jc w:val="center"/>
        <w:rPr>
          <w:rFonts w:cs="Angsana New"/>
          <w:szCs w:val="24"/>
          <w:lang w:val="fr-FR" w:bidi="th-TH"/>
        </w:rPr>
      </w:pPr>
    </w:p>
    <w:p w14:paraId="54712E71" w14:textId="77777777" w:rsidR="00835891" w:rsidRDefault="00D411F2" w:rsidP="00D411F2">
      <w:pPr>
        <w:jc w:val="center"/>
        <w:rPr>
          <w:bCs/>
          <w:i/>
          <w:sz w:val="18"/>
          <w:lang w:val="fr-FR"/>
        </w:rPr>
      </w:pPr>
      <w:r w:rsidRPr="00543E11">
        <w:rPr>
          <w:rFonts w:cs="Angsana New"/>
          <w:i/>
          <w:iCs/>
          <w:sz w:val="18"/>
          <w:szCs w:val="24"/>
          <w:lang w:val="fr-FR" w:bidi="th-TH"/>
        </w:rPr>
        <w:t>a</w:t>
      </w:r>
      <w:r w:rsidR="00C15240" w:rsidRPr="00543E11">
        <w:rPr>
          <w:rFonts w:cs="Angsana New"/>
          <w:i/>
          <w:iCs/>
          <w:sz w:val="18"/>
          <w:szCs w:val="24"/>
          <w:lang w:val="fr-FR" w:bidi="th-TH"/>
        </w:rPr>
        <w:t>pprouvé par le Comité administratif et juridique (CAJ)</w:t>
      </w:r>
      <w:r w:rsidR="007749A2" w:rsidRPr="00543E11">
        <w:rPr>
          <w:rFonts w:cs="Angsana New"/>
          <w:i/>
          <w:iCs/>
          <w:sz w:val="18"/>
          <w:szCs w:val="24"/>
          <w:lang w:val="fr-FR" w:bidi="th-TH"/>
        </w:rPr>
        <w:t xml:space="preserve">, </w:t>
      </w:r>
      <w:r w:rsidR="007749A2" w:rsidRPr="00543E11">
        <w:rPr>
          <w:rFonts w:cs="Angsana New"/>
          <w:i/>
          <w:iCs/>
          <w:sz w:val="18"/>
          <w:szCs w:val="24"/>
          <w:lang w:val="fr-FR" w:bidi="th-TH"/>
        </w:rPr>
        <w:br/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à sa cinquante</w:t>
      </w:r>
      <w:r w:rsidR="00012DAF">
        <w:rPr>
          <w:rFonts w:cs="Arial"/>
          <w:bCs/>
          <w:i/>
          <w:spacing w:val="-2"/>
          <w:sz w:val="18"/>
          <w:lang w:val="fr-FR"/>
        </w:rPr>
        <w:t>-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neuv</w:t>
      </w:r>
      <w:r w:rsidR="00012DAF">
        <w:rPr>
          <w:rFonts w:cs="Arial"/>
          <w:bCs/>
          <w:i/>
          <w:spacing w:val="-2"/>
          <w:sz w:val="18"/>
          <w:lang w:val="fr-FR"/>
        </w:rPr>
        <w:t>ième session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 xml:space="preserve"> tenue à Genève le 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2</w:t>
      </w:r>
      <w:r w:rsidR="00012DAF">
        <w:rPr>
          <w:rFonts w:cs="Arial"/>
          <w:bCs/>
          <w:i/>
          <w:spacing w:val="-2"/>
          <w:sz w:val="18"/>
          <w:lang w:val="fr-FR"/>
        </w:rPr>
        <w:t> 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avril</w:t>
      </w:r>
      <w:r w:rsidR="00012DAF">
        <w:rPr>
          <w:rFonts w:cs="Arial"/>
          <w:bCs/>
          <w:i/>
          <w:spacing w:val="-2"/>
          <w:sz w:val="18"/>
          <w:lang w:val="fr-FR"/>
        </w:rPr>
        <w:t> 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20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09</w:t>
      </w:r>
      <w:r w:rsidR="007749A2" w:rsidRPr="00543E11">
        <w:rPr>
          <w:rFonts w:cs="Arial"/>
          <w:bCs/>
          <w:i/>
          <w:spacing w:val="-2"/>
          <w:sz w:val="18"/>
          <w:lang w:val="fr-FR"/>
        </w:rPr>
        <w:t>,</w:t>
      </w:r>
      <w:r w:rsidR="007749A2" w:rsidRPr="00543E11">
        <w:rPr>
          <w:rFonts w:cs="Arial"/>
          <w:bCs/>
          <w:i/>
          <w:spacing w:val="-2"/>
          <w:sz w:val="18"/>
          <w:lang w:val="fr-FR"/>
        </w:rPr>
        <w:br/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puis modifié par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 xml:space="preserve"> le</w:t>
      </w:r>
      <w:r w:rsidR="00012DAF">
        <w:rPr>
          <w:rFonts w:cs="Arial"/>
          <w:bCs/>
          <w:i/>
          <w:spacing w:val="-2"/>
          <w:sz w:val="18"/>
          <w:lang w:val="fr-FR"/>
        </w:rPr>
        <w:t> 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CAJ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 xml:space="preserve"> à sa soixante</w:t>
      </w:r>
      <w:r w:rsidR="00012DAF">
        <w:rPr>
          <w:rFonts w:cs="Arial"/>
          <w:bCs/>
          <w:i/>
          <w:spacing w:val="-2"/>
          <w:sz w:val="18"/>
          <w:lang w:val="fr-FR"/>
        </w:rPr>
        <w:t>-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cinqu</w:t>
      </w:r>
      <w:r w:rsidR="00012DAF">
        <w:rPr>
          <w:rFonts w:cs="Arial"/>
          <w:bCs/>
          <w:i/>
          <w:spacing w:val="-2"/>
          <w:sz w:val="18"/>
          <w:lang w:val="fr-FR"/>
        </w:rPr>
        <w:t>ième session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 xml:space="preserve"> </w:t>
      </w:r>
      <w:r w:rsidRPr="00543E11">
        <w:rPr>
          <w:rFonts w:cs="Arial"/>
          <w:bCs/>
          <w:i/>
          <w:spacing w:val="-2"/>
          <w:sz w:val="18"/>
          <w:lang w:val="fr-FR"/>
        </w:rPr>
        <w:t xml:space="preserve">tenue 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à Genève le 2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1</w:t>
      </w:r>
      <w:r w:rsidR="00012DAF">
        <w:rPr>
          <w:rFonts w:cs="Arial"/>
          <w:bCs/>
          <w:i/>
          <w:spacing w:val="-2"/>
          <w:sz w:val="18"/>
          <w:lang w:val="fr-FR"/>
        </w:rPr>
        <w:t> 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mars</w:t>
      </w:r>
      <w:r w:rsidR="00012DAF">
        <w:rPr>
          <w:rFonts w:cs="Arial"/>
          <w:bCs/>
          <w:i/>
          <w:spacing w:val="-2"/>
          <w:sz w:val="18"/>
          <w:lang w:val="fr-FR"/>
        </w:rPr>
        <w:t> 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20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12</w:t>
      </w:r>
      <w:r w:rsidR="007749A2" w:rsidRPr="00543E11">
        <w:rPr>
          <w:rFonts w:cs="Arial"/>
          <w:bCs/>
          <w:i/>
          <w:spacing w:val="-2"/>
          <w:sz w:val="18"/>
          <w:lang w:val="fr-FR"/>
        </w:rPr>
        <w:t>,</w:t>
      </w:r>
      <w:r w:rsidR="007749A2" w:rsidRPr="00543E11">
        <w:rPr>
          <w:rFonts w:cs="Arial"/>
          <w:bCs/>
          <w:i/>
          <w:spacing w:val="-2"/>
          <w:sz w:val="18"/>
          <w:lang w:val="fr-FR"/>
        </w:rPr>
        <w:br/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à sa soixante</w:t>
      </w:r>
      <w:r w:rsidR="00012DAF">
        <w:rPr>
          <w:rFonts w:cs="Arial"/>
          <w:bCs/>
          <w:i/>
          <w:spacing w:val="-2"/>
          <w:sz w:val="18"/>
          <w:lang w:val="fr-FR"/>
        </w:rPr>
        <w:t>-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huit</w:t>
      </w:r>
      <w:r w:rsidR="00012DAF">
        <w:rPr>
          <w:rFonts w:cs="Arial"/>
          <w:bCs/>
          <w:i/>
          <w:spacing w:val="-2"/>
          <w:sz w:val="18"/>
          <w:lang w:val="fr-FR"/>
        </w:rPr>
        <w:t>ième session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 xml:space="preserve"> tenue à Genève le 2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1</w:t>
      </w:r>
      <w:r w:rsidR="00012DAF">
        <w:rPr>
          <w:rFonts w:cs="Arial"/>
          <w:bCs/>
          <w:i/>
          <w:spacing w:val="-2"/>
          <w:sz w:val="18"/>
          <w:lang w:val="fr-FR"/>
        </w:rPr>
        <w:t> 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octobre</w:t>
      </w:r>
      <w:r w:rsidR="00012DAF">
        <w:rPr>
          <w:rFonts w:cs="Arial"/>
          <w:bCs/>
          <w:i/>
          <w:spacing w:val="-2"/>
          <w:sz w:val="18"/>
          <w:lang w:val="fr-FR"/>
        </w:rPr>
        <w:t> </w:t>
      </w:r>
      <w:r w:rsidR="00012DAF" w:rsidRPr="00543E11">
        <w:rPr>
          <w:rFonts w:cs="Arial"/>
          <w:bCs/>
          <w:i/>
          <w:spacing w:val="-2"/>
          <w:sz w:val="18"/>
          <w:lang w:val="fr-FR"/>
        </w:rPr>
        <w:t>20</w:t>
      </w:r>
      <w:r w:rsidR="00C15240" w:rsidRPr="00543E11">
        <w:rPr>
          <w:rFonts w:cs="Arial"/>
          <w:bCs/>
          <w:i/>
          <w:spacing w:val="-2"/>
          <w:sz w:val="18"/>
          <w:lang w:val="fr-FR"/>
        </w:rPr>
        <w:t>13 et</w:t>
      </w:r>
      <w:r w:rsidRPr="00543E11">
        <w:rPr>
          <w:bCs/>
          <w:i/>
          <w:sz w:val="18"/>
          <w:lang w:val="fr-FR"/>
        </w:rPr>
        <w:br/>
        <w:t>à</w:t>
      </w:r>
      <w:r w:rsidR="00C15240" w:rsidRPr="00543E11">
        <w:rPr>
          <w:bCs/>
          <w:i/>
          <w:sz w:val="18"/>
          <w:lang w:val="fr-FR"/>
        </w:rPr>
        <w:t xml:space="preserve"> sa soixante</w:t>
      </w:r>
      <w:r w:rsidR="00012DAF">
        <w:rPr>
          <w:bCs/>
          <w:i/>
          <w:sz w:val="18"/>
          <w:lang w:val="fr-FR"/>
        </w:rPr>
        <w:t>-</w:t>
      </w:r>
      <w:r w:rsidR="00C15240" w:rsidRPr="00543E11">
        <w:rPr>
          <w:bCs/>
          <w:i/>
          <w:sz w:val="18"/>
          <w:lang w:val="fr-FR"/>
        </w:rPr>
        <w:t>seiz</w:t>
      </w:r>
      <w:r w:rsidR="00012DAF">
        <w:rPr>
          <w:bCs/>
          <w:i/>
          <w:sz w:val="18"/>
          <w:lang w:val="fr-FR"/>
        </w:rPr>
        <w:t>ième session</w:t>
      </w:r>
      <w:r w:rsidR="00C15240" w:rsidRPr="00543E11">
        <w:rPr>
          <w:bCs/>
          <w:i/>
          <w:sz w:val="18"/>
          <w:lang w:val="fr-FR"/>
        </w:rPr>
        <w:t xml:space="preserve"> tenue à Genève le 3</w:t>
      </w:r>
      <w:r w:rsidR="00012DAF" w:rsidRPr="00543E11">
        <w:rPr>
          <w:bCs/>
          <w:i/>
          <w:sz w:val="18"/>
          <w:lang w:val="fr-FR"/>
        </w:rPr>
        <w:t>0</w:t>
      </w:r>
      <w:r w:rsidR="00012DAF">
        <w:rPr>
          <w:bCs/>
          <w:i/>
          <w:sz w:val="18"/>
          <w:lang w:val="fr-FR"/>
        </w:rPr>
        <w:t> </w:t>
      </w:r>
      <w:r w:rsidR="00012DAF" w:rsidRPr="00543E11">
        <w:rPr>
          <w:bCs/>
          <w:i/>
          <w:sz w:val="18"/>
          <w:lang w:val="fr-FR"/>
        </w:rPr>
        <w:t>octobre</w:t>
      </w:r>
      <w:r w:rsidR="00012DAF">
        <w:rPr>
          <w:bCs/>
          <w:i/>
          <w:sz w:val="18"/>
          <w:lang w:val="fr-FR"/>
        </w:rPr>
        <w:t> </w:t>
      </w:r>
      <w:r w:rsidR="00012DAF" w:rsidRPr="00543E11">
        <w:rPr>
          <w:bCs/>
          <w:i/>
          <w:sz w:val="18"/>
          <w:lang w:val="fr-FR"/>
        </w:rPr>
        <w:t>20</w:t>
      </w:r>
      <w:r w:rsidR="00C15240" w:rsidRPr="00543E11">
        <w:rPr>
          <w:bCs/>
          <w:i/>
          <w:sz w:val="18"/>
          <w:lang w:val="fr-FR"/>
        </w:rPr>
        <w:t>19</w:t>
      </w:r>
    </w:p>
    <w:p w14:paraId="150F997E" w14:textId="77777777" w:rsidR="00835891" w:rsidRDefault="00835891" w:rsidP="007749A2">
      <w:pPr>
        <w:rPr>
          <w:bCs/>
          <w:lang w:val="fr-FR"/>
        </w:rPr>
      </w:pPr>
    </w:p>
    <w:p w14:paraId="5B6E5913" w14:textId="77777777" w:rsidR="00835891" w:rsidRDefault="007749A2" w:rsidP="004949EF">
      <w:pPr>
        <w:rPr>
          <w:bCs/>
          <w:i/>
          <w:iCs/>
          <w:lang w:val="fr-FR"/>
        </w:rPr>
      </w:pPr>
      <w:r w:rsidRPr="00543E11">
        <w:rPr>
          <w:bCs/>
          <w:i/>
          <w:iCs/>
          <w:lang w:val="fr-FR"/>
        </w:rPr>
        <w:t>1.</w:t>
      </w:r>
      <w:r w:rsidRPr="00543E11">
        <w:rPr>
          <w:bCs/>
          <w:i/>
          <w:iCs/>
          <w:lang w:val="fr-FR"/>
        </w:rPr>
        <w:tab/>
      </w:r>
      <w:r w:rsidR="004949EF" w:rsidRPr="00543E11">
        <w:rPr>
          <w:bCs/>
          <w:i/>
          <w:iCs/>
          <w:lang w:val="fr-FR"/>
        </w:rPr>
        <w:t>Titre de la base de données sur les variétés végétales</w:t>
      </w:r>
    </w:p>
    <w:p w14:paraId="335C0E09" w14:textId="77777777" w:rsidR="00835891" w:rsidRDefault="00835891" w:rsidP="007749A2">
      <w:pPr>
        <w:rPr>
          <w:bCs/>
          <w:lang w:val="fr-FR"/>
        </w:rPr>
      </w:pPr>
    </w:p>
    <w:p w14:paraId="46AAA5DF" w14:textId="77777777" w:rsidR="00835891" w:rsidRDefault="004949EF" w:rsidP="004949EF">
      <w:pPr>
        <w:rPr>
          <w:bCs/>
          <w:lang w:val="fr-FR"/>
        </w:rPr>
      </w:pPr>
      <w:r w:rsidRPr="00543E11">
        <w:rPr>
          <w:bCs/>
          <w:lang w:val="fr-FR"/>
        </w:rPr>
        <w:t xml:space="preserve">Le nom de la base de données sur les variétés végétales est la “base de données PLUTO”, (PLUTO = </w:t>
      </w:r>
      <w:r w:rsidRPr="00543E11">
        <w:rPr>
          <w:b/>
          <w:bCs/>
          <w:lang w:val="fr-FR"/>
        </w:rPr>
        <w:t>PL</w:t>
      </w:r>
      <w:r w:rsidRPr="00543E11">
        <w:rPr>
          <w:bCs/>
          <w:lang w:val="fr-FR"/>
        </w:rPr>
        <w:t xml:space="preserve">ant varieties in the </w:t>
      </w:r>
      <w:r w:rsidRPr="00543E11">
        <w:rPr>
          <w:b/>
          <w:bCs/>
          <w:lang w:val="fr-FR"/>
        </w:rPr>
        <w:t>U</w:t>
      </w:r>
      <w:r w:rsidRPr="00543E11">
        <w:rPr>
          <w:bCs/>
          <w:lang w:val="fr-FR"/>
        </w:rPr>
        <w:t>POV system</w:t>
      </w:r>
      <w:r w:rsidR="00370A79">
        <w:rPr>
          <w:bCs/>
          <w:lang w:val="fr-FR"/>
        </w:rPr>
        <w:t> </w:t>
      </w:r>
      <w:r w:rsidRPr="00543E11">
        <w:rPr>
          <w:bCs/>
          <w:lang w:val="fr-FR"/>
        </w:rPr>
        <w:t xml:space="preserve">: </w:t>
      </w:r>
      <w:r w:rsidRPr="00543E11">
        <w:rPr>
          <w:b/>
          <w:bCs/>
          <w:lang w:val="fr-FR"/>
        </w:rPr>
        <w:t>T</w:t>
      </w:r>
      <w:r w:rsidRPr="00543E11">
        <w:rPr>
          <w:bCs/>
          <w:lang w:val="fr-FR"/>
        </w:rPr>
        <w:t xml:space="preserve">he </w:t>
      </w:r>
      <w:r w:rsidRPr="00543E11">
        <w:rPr>
          <w:b/>
          <w:bCs/>
          <w:lang w:val="fr-FR"/>
        </w:rPr>
        <w:t>O</w:t>
      </w:r>
      <w:r w:rsidRPr="00543E11">
        <w:rPr>
          <w:bCs/>
          <w:lang w:val="fr-FR"/>
        </w:rPr>
        <w:t>mnibus).</w:t>
      </w:r>
    </w:p>
    <w:p w14:paraId="1BAA236C" w14:textId="77777777" w:rsidR="00835891" w:rsidRDefault="00835891" w:rsidP="007749A2">
      <w:pPr>
        <w:rPr>
          <w:bCs/>
          <w:lang w:val="fr-FR"/>
        </w:rPr>
      </w:pPr>
    </w:p>
    <w:p w14:paraId="691D9DAE" w14:textId="77777777" w:rsidR="00835891" w:rsidRDefault="00835891" w:rsidP="007749A2">
      <w:pPr>
        <w:rPr>
          <w:bCs/>
          <w:lang w:val="fr-FR"/>
        </w:rPr>
      </w:pPr>
    </w:p>
    <w:p w14:paraId="49EB86FA" w14:textId="77777777" w:rsidR="00835891" w:rsidRDefault="004949EF" w:rsidP="004949EF">
      <w:pPr>
        <w:rPr>
          <w:bCs/>
          <w:i/>
          <w:iCs/>
          <w:lang w:val="fr-FR"/>
        </w:rPr>
      </w:pPr>
      <w:r w:rsidRPr="00543E11">
        <w:rPr>
          <w:bCs/>
          <w:i/>
          <w:iCs/>
          <w:lang w:val="fr-FR"/>
        </w:rPr>
        <w:t>2.</w:t>
      </w:r>
      <w:r w:rsidRPr="00543E11">
        <w:rPr>
          <w:bCs/>
          <w:i/>
          <w:iCs/>
          <w:lang w:val="fr-FR"/>
        </w:rPr>
        <w:tab/>
        <w:t>Fourniture d</w:t>
      </w:r>
      <w:r w:rsidR="00012DAF">
        <w:rPr>
          <w:bCs/>
          <w:i/>
          <w:iCs/>
          <w:lang w:val="fr-FR"/>
        </w:rPr>
        <w:t>’</w:t>
      </w:r>
      <w:r w:rsidRPr="00543E11">
        <w:rPr>
          <w:bCs/>
          <w:i/>
          <w:iCs/>
          <w:lang w:val="fr-FR"/>
        </w:rPr>
        <w:t>une assistance aux contributeurs</w:t>
      </w:r>
    </w:p>
    <w:p w14:paraId="6BA606E6" w14:textId="77777777" w:rsidR="00835891" w:rsidRDefault="00835891" w:rsidP="007749A2">
      <w:pPr>
        <w:rPr>
          <w:bCs/>
          <w:i/>
          <w:iCs/>
          <w:lang w:val="fr-FR"/>
        </w:rPr>
      </w:pPr>
    </w:p>
    <w:p w14:paraId="1784C48A" w14:textId="77777777" w:rsidR="00835891" w:rsidRDefault="004949EF" w:rsidP="004949EF">
      <w:pPr>
        <w:rPr>
          <w:bCs/>
          <w:lang w:val="fr-FR"/>
        </w:rPr>
      </w:pPr>
      <w:r w:rsidRPr="00543E11">
        <w:rPr>
          <w:bCs/>
          <w:lang w:val="fr-FR"/>
        </w:rPr>
        <w:t>2.1</w:t>
      </w:r>
      <w:r w:rsidRPr="00543E11">
        <w:rPr>
          <w:bCs/>
          <w:lang w:val="fr-FR"/>
        </w:rPr>
        <w:tab/>
        <w:t>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administrateur de la base de données PLUTO</w:t>
      </w:r>
      <w:r w:rsidRPr="00543E11">
        <w:rPr>
          <w:rStyle w:val="FootnoteReference"/>
          <w:bCs/>
          <w:lang w:val="fr-FR"/>
        </w:rPr>
        <w:footnoteReference w:id="3"/>
      </w:r>
      <w:r w:rsidRPr="00543E11">
        <w:rPr>
          <w:bCs/>
          <w:lang w:val="fr-FR"/>
        </w:rPr>
        <w:t xml:space="preserve"> continuera de contacter tous les membres de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Union et les contributeurs à la base de données PLUTO qui n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apportent pas de données à la base de données PLUTO, ne les apportent pas régulièrement ou ne les assortissent pas de codes UPOV.</w:t>
      </w:r>
      <w:r w:rsidR="007749A2" w:rsidRPr="00543E11">
        <w:rPr>
          <w:bCs/>
          <w:lang w:val="fr-FR"/>
        </w:rPr>
        <w:t xml:space="preserve">  </w:t>
      </w:r>
      <w:r w:rsidRPr="00543E11">
        <w:rPr>
          <w:bCs/>
          <w:lang w:val="fr-FR"/>
        </w:rPr>
        <w:t>Dans chaque cas,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administrateur les invitera à décrire le type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assistance qui leur permettrait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apporter régulièrement des données complètes à la base de données PLUTO.</w:t>
      </w:r>
    </w:p>
    <w:p w14:paraId="5B74B334" w14:textId="77777777" w:rsidR="00835891" w:rsidRDefault="00835891" w:rsidP="007749A2">
      <w:pPr>
        <w:rPr>
          <w:bCs/>
          <w:lang w:val="fr-FR"/>
        </w:rPr>
      </w:pPr>
    </w:p>
    <w:p w14:paraId="08DB932D" w14:textId="77777777" w:rsidR="00835891" w:rsidRDefault="004949EF" w:rsidP="004949EF">
      <w:pPr>
        <w:rPr>
          <w:bCs/>
          <w:lang w:val="fr-FR"/>
        </w:rPr>
      </w:pPr>
      <w:r w:rsidRPr="00543E11">
        <w:rPr>
          <w:bCs/>
          <w:lang w:val="fr-FR"/>
        </w:rPr>
        <w:t>2.2</w:t>
      </w:r>
      <w:r w:rsidRPr="00543E11">
        <w:rPr>
          <w:bCs/>
          <w:lang w:val="fr-FR"/>
        </w:rPr>
        <w:tab/>
        <w:t>Pour répondre aux besoins définis par les membres de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Union et les contributeurs à la base de données dans le cadre de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 xml:space="preserve">activité décrite au </w:t>
      </w:r>
      <w:r w:rsidR="00012DAF" w:rsidRPr="00543E11">
        <w:rPr>
          <w:bCs/>
          <w:lang w:val="fr-FR"/>
        </w:rPr>
        <w:t>paragraphe</w:t>
      </w:r>
      <w:r w:rsidR="00012DAF">
        <w:rPr>
          <w:bCs/>
          <w:lang w:val="fr-FR"/>
        </w:rPr>
        <w:t> </w:t>
      </w:r>
      <w:r w:rsidR="00012DAF" w:rsidRPr="00543E11">
        <w:rPr>
          <w:bCs/>
          <w:lang w:val="fr-FR"/>
        </w:rPr>
        <w:t>2</w:t>
      </w:r>
      <w:r w:rsidRPr="00543E11">
        <w:rPr>
          <w:bCs/>
          <w:lang w:val="fr-FR"/>
        </w:rPr>
        <w:t>.1,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administrateur de la base de données PLUTO s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efforcera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élaborer des solutions pour chacun des contributeurs à la base de données.</w:t>
      </w:r>
    </w:p>
    <w:p w14:paraId="6AA9C7BD" w14:textId="77777777" w:rsidR="00835891" w:rsidRDefault="00835891" w:rsidP="007749A2">
      <w:pPr>
        <w:rPr>
          <w:bCs/>
          <w:lang w:val="fr-FR"/>
        </w:rPr>
      </w:pPr>
    </w:p>
    <w:p w14:paraId="27FA4279" w14:textId="77777777" w:rsidR="00835891" w:rsidRDefault="004949EF" w:rsidP="004949EF">
      <w:pPr>
        <w:rPr>
          <w:bCs/>
          <w:lang w:val="fr-FR"/>
        </w:rPr>
      </w:pPr>
      <w:r w:rsidRPr="00543E11">
        <w:rPr>
          <w:bCs/>
          <w:lang w:val="fr-FR"/>
        </w:rPr>
        <w:t>2.3</w:t>
      </w:r>
      <w:r w:rsidRPr="00543E11">
        <w:rPr>
          <w:bCs/>
          <w:lang w:val="fr-FR"/>
        </w:rPr>
        <w:tab/>
        <w:t>Un rapport annuel de la situation sera présenté au Comité administratif et juridique (CAJ) et au Comité technique (TC).</w:t>
      </w:r>
    </w:p>
    <w:p w14:paraId="46D4E17E" w14:textId="77777777" w:rsidR="00835891" w:rsidRDefault="00835891" w:rsidP="007749A2">
      <w:pPr>
        <w:rPr>
          <w:bCs/>
          <w:lang w:val="fr-FR"/>
        </w:rPr>
      </w:pPr>
    </w:p>
    <w:p w14:paraId="4F2B0DAD" w14:textId="77777777" w:rsidR="00835891" w:rsidRDefault="004949EF" w:rsidP="004949EF">
      <w:pPr>
        <w:rPr>
          <w:lang w:val="fr-FR"/>
        </w:rPr>
      </w:pPr>
      <w:r w:rsidRPr="00543E11">
        <w:rPr>
          <w:lang w:val="fr-FR"/>
        </w:rPr>
        <w:t>2.4</w:t>
      </w:r>
      <w:r w:rsidRPr="00543E11">
        <w:rPr>
          <w:lang w:val="fr-FR"/>
        </w:rPr>
        <w:tab/>
        <w:t>S</w:t>
      </w:r>
      <w:r w:rsidR="00012DAF">
        <w:rPr>
          <w:lang w:val="fr-FR"/>
        </w:rPr>
        <w:t>’</w:t>
      </w:r>
      <w:r w:rsidRPr="00543E11">
        <w:rPr>
          <w:lang w:val="fr-FR"/>
        </w:rPr>
        <w:t>agissant de l</w:t>
      </w:r>
      <w:r w:rsidR="00012DAF">
        <w:rPr>
          <w:lang w:val="fr-FR"/>
        </w:rPr>
        <w:t>’</w:t>
      </w:r>
      <w:r w:rsidRPr="00543E11">
        <w:rPr>
          <w:lang w:val="fr-FR"/>
        </w:rPr>
        <w:t>assistance qui sera fournie aux contributeurs, la “Mention de réserve et avertissement de caractère général” de la base de données PLUTO indique que “[…] Tous les contributeurs à la base de données PLUTO sont responsables de l</w:t>
      </w:r>
      <w:r w:rsidR="00012DAF">
        <w:rPr>
          <w:lang w:val="fr-FR"/>
        </w:rPr>
        <w:t>’</w:t>
      </w:r>
      <w:r w:rsidRPr="00543E11">
        <w:rPr>
          <w:lang w:val="fr-FR"/>
        </w:rPr>
        <w:t>exactitude et de l</w:t>
      </w:r>
      <w:r w:rsidR="00012DAF">
        <w:rPr>
          <w:lang w:val="fr-FR"/>
        </w:rPr>
        <w:t>’</w:t>
      </w:r>
      <w:r w:rsidRPr="00543E11">
        <w:rPr>
          <w:lang w:val="fr-FR"/>
        </w:rPr>
        <w:t>exhaustivité des données qu</w:t>
      </w:r>
      <w:r w:rsidR="00012DAF">
        <w:rPr>
          <w:lang w:val="fr-FR"/>
        </w:rPr>
        <w:t>’</w:t>
      </w:r>
      <w:r w:rsidRPr="00543E11">
        <w:rPr>
          <w:lang w:val="fr-FR"/>
        </w:rPr>
        <w:t>ils fournissent […]”.</w:t>
      </w:r>
      <w:r w:rsidR="007749A2" w:rsidRPr="00543E11">
        <w:rPr>
          <w:lang w:val="fr-FR"/>
        </w:rPr>
        <w:t xml:space="preserve"> </w:t>
      </w:r>
      <w:r w:rsidR="00CF1DEE" w:rsidRPr="00543E11">
        <w:rPr>
          <w:lang w:val="fr-FR"/>
        </w:rPr>
        <w:t xml:space="preserve"> </w:t>
      </w:r>
      <w:r w:rsidR="007749A2" w:rsidRPr="00543E11">
        <w:rPr>
          <w:lang w:val="fr-FR"/>
        </w:rPr>
        <w:t xml:space="preserve">[…]”.  </w:t>
      </w:r>
      <w:r w:rsidRPr="00543E11">
        <w:rPr>
          <w:lang w:val="fr-FR"/>
        </w:rPr>
        <w:t>Partant, dans les cas où une assistance est fournie à un contributeur, celui</w:t>
      </w:r>
      <w:r w:rsidR="00012DAF">
        <w:rPr>
          <w:lang w:val="fr-FR"/>
        </w:rPr>
        <w:t>-</w:t>
      </w:r>
      <w:r w:rsidRPr="00543E11">
        <w:rPr>
          <w:lang w:val="fr-FR"/>
        </w:rPr>
        <w:t>là reste responsable de l</w:t>
      </w:r>
      <w:r w:rsidR="00012DAF">
        <w:rPr>
          <w:lang w:val="fr-FR"/>
        </w:rPr>
        <w:t>’</w:t>
      </w:r>
      <w:r w:rsidRPr="00543E11">
        <w:rPr>
          <w:lang w:val="fr-FR"/>
        </w:rPr>
        <w:t>exactitude et de l</w:t>
      </w:r>
      <w:r w:rsidR="00012DAF">
        <w:rPr>
          <w:lang w:val="fr-FR"/>
        </w:rPr>
        <w:t>’</w:t>
      </w:r>
      <w:r w:rsidRPr="00543E11">
        <w:rPr>
          <w:lang w:val="fr-FR"/>
        </w:rPr>
        <w:t>exhaustivité des données.</w:t>
      </w:r>
      <w:r w:rsidR="007749A2" w:rsidRPr="00543E11">
        <w:rPr>
          <w:lang w:val="fr-FR"/>
        </w:rPr>
        <w:t xml:space="preserve">  </w:t>
      </w:r>
      <w:r w:rsidRPr="00543E11">
        <w:rPr>
          <w:lang w:val="fr-FR"/>
        </w:rPr>
        <w:t>Lorsque le contributeur demande à l</w:t>
      </w:r>
      <w:r w:rsidR="00012DAF">
        <w:rPr>
          <w:lang w:val="fr-FR"/>
        </w:rPr>
        <w:t>’</w:t>
      </w:r>
      <w:r w:rsidRPr="00543E11">
        <w:rPr>
          <w:lang w:val="fr-FR"/>
        </w:rPr>
        <w:t>administrateur de la base de données PLUTO d</w:t>
      </w:r>
      <w:r w:rsidR="00012DAF">
        <w:rPr>
          <w:lang w:val="fr-FR"/>
        </w:rPr>
        <w:t>’</w:t>
      </w:r>
      <w:r w:rsidRPr="00543E11">
        <w:rPr>
          <w:lang w:val="fr-FR"/>
        </w:rPr>
        <w:t>attribuer des codes UPOV ou lorsqu</w:t>
      </w:r>
      <w:r w:rsidR="00012DAF">
        <w:rPr>
          <w:lang w:val="fr-FR"/>
        </w:rPr>
        <w:t>’</w:t>
      </w:r>
      <w:r w:rsidRPr="00543E11">
        <w:rPr>
          <w:lang w:val="fr-FR"/>
        </w:rPr>
        <w:t>il est approprié de modifier un code UPOV attribué par le contributeur, l</w:t>
      </w:r>
      <w:r w:rsidR="00012DAF">
        <w:rPr>
          <w:lang w:val="fr-FR"/>
        </w:rPr>
        <w:t>’</w:t>
      </w:r>
      <w:r w:rsidRPr="00543E11">
        <w:rPr>
          <w:lang w:val="fr-FR"/>
        </w:rPr>
        <w:t>administrateur de la base de données PLUTO soumet des propositions au contributeur pour approbation.</w:t>
      </w:r>
      <w:r w:rsidR="007749A2" w:rsidRPr="00543E11">
        <w:rPr>
          <w:lang w:val="fr-FR"/>
        </w:rPr>
        <w:t xml:space="preserve">  </w:t>
      </w:r>
      <w:r w:rsidRPr="00543E11">
        <w:rPr>
          <w:lang w:val="fr-FR"/>
        </w:rPr>
        <w:t>En l</w:t>
      </w:r>
      <w:r w:rsidR="00012DAF">
        <w:rPr>
          <w:lang w:val="fr-FR"/>
        </w:rPr>
        <w:t>’</w:t>
      </w:r>
      <w:r w:rsidRPr="00543E11">
        <w:rPr>
          <w:lang w:val="fr-FR"/>
        </w:rPr>
        <w:t>absence de réponses dans le délai imparti, les codes UPOV proposés sont utilisés dans la base de données PLUTO.</w:t>
      </w:r>
      <w:r w:rsidR="007749A2" w:rsidRPr="00543E11">
        <w:rPr>
          <w:lang w:val="fr-FR"/>
        </w:rPr>
        <w:t xml:space="preserve">  </w:t>
      </w:r>
      <w:r w:rsidRPr="00543E11">
        <w:rPr>
          <w:lang w:val="fr-FR"/>
        </w:rPr>
        <w:t>Lorsque le contributeur informe l</w:t>
      </w:r>
      <w:r w:rsidR="00012DAF">
        <w:rPr>
          <w:lang w:val="fr-FR"/>
        </w:rPr>
        <w:t>’</w:t>
      </w:r>
      <w:r w:rsidRPr="00543E11">
        <w:rPr>
          <w:lang w:val="fr-FR"/>
        </w:rPr>
        <w:t>administrateur de la base de données PLUTO qu</w:t>
      </w:r>
      <w:r w:rsidR="00012DAF">
        <w:rPr>
          <w:lang w:val="fr-FR"/>
        </w:rPr>
        <w:t>’</w:t>
      </w:r>
      <w:r w:rsidRPr="00543E11">
        <w:rPr>
          <w:lang w:val="fr-FR"/>
        </w:rPr>
        <w:t>une correction s</w:t>
      </w:r>
      <w:r w:rsidR="00012DAF">
        <w:rPr>
          <w:lang w:val="fr-FR"/>
        </w:rPr>
        <w:t>’</w:t>
      </w:r>
      <w:r w:rsidRPr="00543E11">
        <w:rPr>
          <w:lang w:val="fr-FR"/>
        </w:rPr>
        <w:t xml:space="preserve">impose, cette dernière est effectuée dès que possible, conformément à la </w:t>
      </w:r>
      <w:r w:rsidR="00012DAF" w:rsidRPr="00543E11">
        <w:rPr>
          <w:lang w:val="fr-FR"/>
        </w:rPr>
        <w:t>section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4</w:t>
      </w:r>
      <w:r w:rsidRPr="00543E11">
        <w:rPr>
          <w:lang w:val="fr-FR"/>
        </w:rPr>
        <w:t xml:space="preserve"> “Fréquence de la mise à jour des données”.</w:t>
      </w:r>
    </w:p>
    <w:p w14:paraId="41B881C9" w14:textId="77777777" w:rsidR="00835891" w:rsidRDefault="00835891" w:rsidP="007749A2">
      <w:pPr>
        <w:rPr>
          <w:bCs/>
          <w:lang w:val="fr-FR"/>
        </w:rPr>
      </w:pPr>
    </w:p>
    <w:p w14:paraId="5E57D0FD" w14:textId="77777777" w:rsidR="00835891" w:rsidRDefault="00835891" w:rsidP="007749A2">
      <w:pPr>
        <w:rPr>
          <w:bCs/>
          <w:lang w:val="fr-FR"/>
        </w:rPr>
      </w:pPr>
    </w:p>
    <w:p w14:paraId="1CF1FFB8" w14:textId="77777777" w:rsidR="00835891" w:rsidRDefault="007749A2" w:rsidP="00F55FA1">
      <w:pPr>
        <w:keepNext/>
        <w:rPr>
          <w:bCs/>
          <w:i/>
          <w:iCs/>
          <w:lang w:val="fr-FR"/>
        </w:rPr>
      </w:pPr>
      <w:r w:rsidRPr="00543E11">
        <w:rPr>
          <w:bCs/>
          <w:i/>
          <w:iCs/>
          <w:lang w:val="fr-FR"/>
        </w:rPr>
        <w:lastRenderedPageBreak/>
        <w:t>3.</w:t>
      </w:r>
      <w:r w:rsidRPr="00543E11">
        <w:rPr>
          <w:bCs/>
          <w:i/>
          <w:iCs/>
          <w:lang w:val="fr-FR"/>
        </w:rPr>
        <w:tab/>
      </w:r>
      <w:r w:rsidR="00F55FA1" w:rsidRPr="00543E11">
        <w:rPr>
          <w:bCs/>
          <w:i/>
          <w:iCs/>
          <w:lang w:val="fr-FR"/>
        </w:rPr>
        <w:t>Données à inclure dans la base de données PLUTO</w:t>
      </w:r>
    </w:p>
    <w:p w14:paraId="0AEBEBB9" w14:textId="77777777" w:rsidR="00835891" w:rsidRDefault="00835891" w:rsidP="007749A2">
      <w:pPr>
        <w:keepNext/>
        <w:rPr>
          <w:bCs/>
          <w:i/>
          <w:iCs/>
          <w:lang w:val="fr-FR"/>
        </w:rPr>
      </w:pPr>
    </w:p>
    <w:p w14:paraId="0B4B84C3" w14:textId="77777777" w:rsidR="00835891" w:rsidRDefault="00F55FA1" w:rsidP="00F55FA1">
      <w:pPr>
        <w:keepNext/>
        <w:ind w:left="567"/>
        <w:rPr>
          <w:bCs/>
          <w:i/>
          <w:iCs/>
          <w:lang w:val="fr-FR"/>
        </w:rPr>
      </w:pPr>
      <w:r w:rsidRPr="00543E11">
        <w:rPr>
          <w:bCs/>
          <w:iCs/>
          <w:lang w:val="fr-FR"/>
        </w:rPr>
        <w:t>3.</w:t>
      </w:r>
      <w:r w:rsidR="00D411F2" w:rsidRPr="00543E11">
        <w:rPr>
          <w:bCs/>
          <w:iCs/>
          <w:lang w:val="fr-FR"/>
        </w:rPr>
        <w:t>1</w:t>
      </w:r>
      <w:r w:rsidR="00D411F2" w:rsidRPr="00543E11">
        <w:rPr>
          <w:bCs/>
          <w:iCs/>
          <w:lang w:val="fr-FR"/>
        </w:rPr>
        <w:tab/>
      </w:r>
      <w:r w:rsidRPr="00543E11">
        <w:rPr>
          <w:bCs/>
          <w:i/>
          <w:iCs/>
          <w:lang w:val="fr-FR"/>
        </w:rPr>
        <w:t>Format des données</w:t>
      </w:r>
    </w:p>
    <w:p w14:paraId="6B30E0B0" w14:textId="77777777" w:rsidR="00835891" w:rsidRDefault="00835891" w:rsidP="007749A2">
      <w:pPr>
        <w:keepNext/>
        <w:rPr>
          <w:bCs/>
          <w:lang w:val="fr-FR"/>
        </w:rPr>
      </w:pPr>
    </w:p>
    <w:p w14:paraId="2D9F8B00" w14:textId="77777777" w:rsidR="00835891" w:rsidRDefault="00F55FA1" w:rsidP="00993823">
      <w:pPr>
        <w:keepNext/>
        <w:rPr>
          <w:bCs/>
          <w:spacing w:val="2"/>
          <w:lang w:val="fr-FR"/>
        </w:rPr>
      </w:pPr>
      <w:r w:rsidRPr="00543E11">
        <w:rPr>
          <w:bCs/>
          <w:spacing w:val="2"/>
          <w:lang w:val="fr-FR"/>
        </w:rPr>
        <w:t>3.1.1</w:t>
      </w:r>
      <w:r w:rsidRPr="00543E11">
        <w:rPr>
          <w:bCs/>
          <w:spacing w:val="2"/>
          <w:lang w:val="fr-FR"/>
        </w:rPr>
        <w:tab/>
        <w:t>Devraient notamment être acceptées pour les contributions à la base de données PLUTO</w:t>
      </w:r>
      <w:r w:rsidR="00012DAF">
        <w:rPr>
          <w:bCs/>
          <w:spacing w:val="2"/>
          <w:lang w:val="fr-FR"/>
        </w:rPr>
        <w:t> :</w:t>
      </w:r>
    </w:p>
    <w:p w14:paraId="5CA45611" w14:textId="77777777" w:rsidR="00835891" w:rsidRDefault="00835891" w:rsidP="00993823">
      <w:pPr>
        <w:keepNext/>
        <w:rPr>
          <w:bCs/>
          <w:sz w:val="16"/>
          <w:lang w:val="fr-FR"/>
        </w:rPr>
      </w:pPr>
    </w:p>
    <w:p w14:paraId="73B0BABA" w14:textId="77777777" w:rsidR="00835891" w:rsidRDefault="00F55FA1" w:rsidP="00F55FA1">
      <w:pPr>
        <w:spacing w:after="120"/>
        <w:ind w:left="567"/>
        <w:rPr>
          <w:bCs/>
          <w:lang w:val="fr-FR"/>
        </w:rPr>
      </w:pPr>
      <w:r w:rsidRPr="00543E11">
        <w:rPr>
          <w:bCs/>
          <w:lang w:val="fr-FR"/>
        </w:rPr>
        <w:t>a)</w:t>
      </w:r>
      <w:r w:rsidRPr="00543E11">
        <w:rPr>
          <w:bCs/>
          <w:lang w:val="fr-FR"/>
        </w:rPr>
        <w:tab/>
      </w:r>
      <w:r w:rsidR="00D411F2" w:rsidRPr="00543E11">
        <w:rPr>
          <w:bCs/>
          <w:lang w:val="fr-FR"/>
        </w:rPr>
        <w:t>les données au format XML</w:t>
      </w:r>
      <w:r w:rsidRPr="00543E11">
        <w:rPr>
          <w:bCs/>
          <w:lang w:val="fr-FR"/>
        </w:rPr>
        <w:t>;</w:t>
      </w:r>
    </w:p>
    <w:p w14:paraId="1B6036A6" w14:textId="77777777" w:rsidR="00835891" w:rsidRDefault="006B45EB" w:rsidP="006B45EB">
      <w:pPr>
        <w:spacing w:after="120"/>
        <w:ind w:left="567"/>
        <w:rPr>
          <w:bCs/>
          <w:lang w:val="fr-FR"/>
        </w:rPr>
      </w:pPr>
      <w:r w:rsidRPr="00543E11">
        <w:rPr>
          <w:bCs/>
          <w:lang w:val="fr-FR"/>
        </w:rPr>
        <w:t>b)</w:t>
      </w:r>
      <w:r w:rsidRPr="00543E11">
        <w:rPr>
          <w:bCs/>
          <w:lang w:val="fr-FR"/>
        </w:rPr>
        <w:tab/>
        <w:t>les données au format du tableur Excel ou en tableau Word;</w:t>
      </w:r>
    </w:p>
    <w:p w14:paraId="6008096A" w14:textId="77777777" w:rsidR="00835891" w:rsidRDefault="006B45EB" w:rsidP="006B45EB">
      <w:pPr>
        <w:spacing w:after="120"/>
        <w:ind w:left="567"/>
        <w:rPr>
          <w:bCs/>
          <w:lang w:val="fr-FR"/>
        </w:rPr>
      </w:pPr>
      <w:r w:rsidRPr="00543E11">
        <w:rPr>
          <w:bCs/>
          <w:lang w:val="fr-FR"/>
        </w:rPr>
        <w:t>c)</w:t>
      </w:r>
      <w:r w:rsidRPr="00543E11">
        <w:rPr>
          <w:bCs/>
          <w:lang w:val="fr-FR"/>
        </w:rPr>
        <w:tab/>
        <w:t>les données fournies au moyen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un formulaire Web en ligne;</w:t>
      </w:r>
    </w:p>
    <w:p w14:paraId="494EAC7D" w14:textId="77777777" w:rsidR="00835891" w:rsidRDefault="006B45EB" w:rsidP="006B45EB">
      <w:pPr>
        <w:ind w:left="567"/>
        <w:rPr>
          <w:bCs/>
          <w:lang w:val="fr-FR"/>
        </w:rPr>
      </w:pPr>
      <w:r w:rsidRPr="00543E11">
        <w:rPr>
          <w:bCs/>
          <w:lang w:val="fr-FR"/>
        </w:rPr>
        <w:t>d)</w:t>
      </w:r>
      <w:r w:rsidRPr="00543E11">
        <w:rPr>
          <w:bCs/>
          <w:lang w:val="fr-FR"/>
        </w:rPr>
        <w:tab/>
        <w:t>la possibilité pour les contributeurs de ne fournir que des données nouvelles ou modifiées.</w:t>
      </w:r>
    </w:p>
    <w:p w14:paraId="6A3C12F8" w14:textId="77777777" w:rsidR="00835891" w:rsidRDefault="00835891" w:rsidP="007749A2">
      <w:pPr>
        <w:ind w:left="567"/>
        <w:rPr>
          <w:bCs/>
          <w:lang w:val="fr-FR"/>
        </w:rPr>
      </w:pPr>
    </w:p>
    <w:p w14:paraId="1ECDDB9D" w14:textId="77777777" w:rsidR="00835891" w:rsidRDefault="006B45EB" w:rsidP="006B45EB">
      <w:pPr>
        <w:rPr>
          <w:bCs/>
          <w:lang w:val="fr-FR"/>
        </w:rPr>
      </w:pPr>
      <w:r w:rsidRPr="00543E11">
        <w:rPr>
          <w:bCs/>
          <w:lang w:val="fr-FR"/>
        </w:rPr>
        <w:t>3.1.2</w:t>
      </w:r>
      <w:r w:rsidRPr="00543E11">
        <w:rPr>
          <w:bCs/>
          <w:lang w:val="fr-FR"/>
        </w:rPr>
        <w:tab/>
        <w:t>Il convient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envisager, selon les besoins, une restructuration de certaines balises, par exemple lorsque certaines parties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un champ sont obligatoires et que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autres ne le sont pas.</w:t>
      </w:r>
    </w:p>
    <w:p w14:paraId="5A6EC683" w14:textId="77777777" w:rsidR="00835891" w:rsidRDefault="00835891" w:rsidP="007749A2">
      <w:pPr>
        <w:rPr>
          <w:bCs/>
          <w:lang w:val="fr-FR"/>
        </w:rPr>
      </w:pPr>
    </w:p>
    <w:p w14:paraId="4E52F01A" w14:textId="77777777" w:rsidR="00835891" w:rsidRDefault="006B45EB" w:rsidP="006B45EB">
      <w:pPr>
        <w:rPr>
          <w:rFonts w:cs="Arial"/>
          <w:bCs/>
          <w:lang w:val="fr-FR"/>
        </w:rPr>
      </w:pPr>
      <w:r w:rsidRPr="00543E11">
        <w:rPr>
          <w:rFonts w:cs="Arial"/>
          <w:bCs/>
          <w:lang w:val="fr-FR"/>
        </w:rPr>
        <w:t>3.1.3</w:t>
      </w:r>
      <w:r w:rsidRPr="00543E11">
        <w:rPr>
          <w:rFonts w:cs="Arial"/>
          <w:bCs/>
          <w:lang w:val="fr-FR"/>
        </w:rPr>
        <w:tab/>
        <w:t xml:space="preserve">Sous réserve des dispositions de la </w:t>
      </w:r>
      <w:r w:rsidR="00012DAF" w:rsidRPr="00543E11">
        <w:rPr>
          <w:rFonts w:cs="Arial"/>
          <w:bCs/>
          <w:lang w:val="fr-FR"/>
        </w:rPr>
        <w:t>section</w:t>
      </w:r>
      <w:r w:rsidR="00012DAF">
        <w:rPr>
          <w:rFonts w:cs="Arial"/>
          <w:bCs/>
          <w:lang w:val="fr-FR"/>
        </w:rPr>
        <w:t> </w:t>
      </w:r>
      <w:r w:rsidR="00012DAF" w:rsidRPr="00543E11">
        <w:rPr>
          <w:rFonts w:cs="Arial"/>
          <w:bCs/>
          <w:lang w:val="fr-FR"/>
        </w:rPr>
        <w:t>3</w:t>
      </w:r>
      <w:r w:rsidRPr="00543E11">
        <w:rPr>
          <w:rFonts w:cs="Arial"/>
          <w:bCs/>
          <w:lang w:val="fr-FR"/>
        </w:rPr>
        <w:t>.1.4, le jeu de caractères des données est le jeu de caractères ASCII [Code standard américain pour l</w:t>
      </w:r>
      <w:r w:rsidR="00012DAF">
        <w:rPr>
          <w:rFonts w:cs="Arial"/>
          <w:bCs/>
          <w:lang w:val="fr-FR"/>
        </w:rPr>
        <w:t>’</w:t>
      </w:r>
      <w:r w:rsidRPr="00543E11">
        <w:rPr>
          <w:rFonts w:cs="Arial"/>
          <w:bCs/>
          <w:lang w:val="fr-FR"/>
        </w:rPr>
        <w:t>échange d</w:t>
      </w:r>
      <w:r w:rsidR="00012DAF">
        <w:rPr>
          <w:rFonts w:cs="Arial"/>
          <w:bCs/>
          <w:lang w:val="fr-FR"/>
        </w:rPr>
        <w:t>’</w:t>
      </w:r>
      <w:r w:rsidRPr="00543E11">
        <w:rPr>
          <w:rFonts w:cs="Arial"/>
          <w:bCs/>
          <w:lang w:val="fr-FR"/>
        </w:rPr>
        <w:t>informations] étendu, tel qu</w:t>
      </w:r>
      <w:r w:rsidR="00012DAF">
        <w:rPr>
          <w:rFonts w:cs="Arial"/>
          <w:bCs/>
          <w:lang w:val="fr-FR"/>
        </w:rPr>
        <w:t>’</w:t>
      </w:r>
      <w:r w:rsidRPr="00543E11">
        <w:rPr>
          <w:rFonts w:cs="Arial"/>
          <w:bCs/>
          <w:lang w:val="fr-FR"/>
        </w:rPr>
        <w:t>il est défini dans la norme</w:t>
      </w:r>
      <w:r w:rsidR="00370A79">
        <w:rPr>
          <w:rFonts w:cs="Arial"/>
          <w:bCs/>
          <w:lang w:val="fr-FR"/>
        </w:rPr>
        <w:t> </w:t>
      </w:r>
      <w:r w:rsidRPr="00543E11">
        <w:rPr>
          <w:rFonts w:cs="Arial"/>
          <w:bCs/>
          <w:lang w:val="fr-FR"/>
        </w:rPr>
        <w:t>ISO/CEI [Organisation internationale de normalisation/Commission électrotechnique internationale] 8859</w:t>
      </w:r>
      <w:r w:rsidR="00012DAF">
        <w:rPr>
          <w:rFonts w:cs="Arial"/>
          <w:bCs/>
          <w:lang w:val="fr-FR"/>
        </w:rPr>
        <w:t>-</w:t>
      </w:r>
      <w:r w:rsidRPr="00543E11">
        <w:rPr>
          <w:rFonts w:cs="Arial"/>
          <w:bCs/>
          <w:lang w:val="fr-FR"/>
        </w:rPr>
        <w:t>1</w:t>
      </w:r>
      <w:r w:rsidR="00012DAF">
        <w:rPr>
          <w:rFonts w:cs="Arial"/>
          <w:bCs/>
          <w:lang w:val="fr-FR"/>
        </w:rPr>
        <w:t> :</w:t>
      </w:r>
      <w:r w:rsidRPr="00543E11">
        <w:rPr>
          <w:rFonts w:cs="Arial"/>
          <w:bCs/>
          <w:lang w:val="fr-FR"/>
        </w:rPr>
        <w:t xml:space="preserve"> 1998.</w:t>
      </w:r>
    </w:p>
    <w:p w14:paraId="5ED1FB0C" w14:textId="77777777" w:rsidR="00835891" w:rsidRDefault="00835891" w:rsidP="007749A2">
      <w:pPr>
        <w:rPr>
          <w:rFonts w:cs="Arial"/>
          <w:bCs/>
          <w:lang w:val="fr-FR"/>
        </w:rPr>
      </w:pPr>
    </w:p>
    <w:p w14:paraId="5BF84306" w14:textId="77777777" w:rsidR="00835891" w:rsidRDefault="006B45EB" w:rsidP="006B45EB">
      <w:pPr>
        <w:rPr>
          <w:rFonts w:cs="Arial"/>
          <w:bCs/>
          <w:lang w:val="fr-FR"/>
        </w:rPr>
      </w:pPr>
      <w:r w:rsidRPr="00543E11">
        <w:rPr>
          <w:rFonts w:cs="Arial"/>
          <w:bCs/>
          <w:lang w:val="fr-FR"/>
        </w:rPr>
        <w:t>3.1.4</w:t>
      </w:r>
      <w:r w:rsidRPr="00543E11">
        <w:rPr>
          <w:rFonts w:cs="Arial"/>
          <w:bCs/>
          <w:lang w:val="fr-FR"/>
        </w:rPr>
        <w:tab/>
        <w:t>En ce qui concerne les balises &lt;520&gt;, &lt;550&gt;, &lt;551&gt;, &lt;552&gt;, &lt;553&gt;, &lt;650&gt; &lt;651&gt;, &lt;652&gt;, &lt;750&gt;, &lt;751&gt;, &lt;752&gt;, &lt;753&gt;, &lt;760&gt;, &lt;950&gt; et &lt;960&gt;, les données doivent être fournies en format de transformation en Unicode à 8</w:t>
      </w:r>
      <w:r w:rsidR="006378A5">
        <w:rPr>
          <w:rFonts w:cs="Arial"/>
          <w:bCs/>
          <w:lang w:val="fr-FR"/>
        </w:rPr>
        <w:t> </w:t>
      </w:r>
      <w:r w:rsidRPr="00543E11">
        <w:rPr>
          <w:rFonts w:cs="Arial"/>
          <w:bCs/>
          <w:lang w:val="fr-FR"/>
        </w:rPr>
        <w:t>bits (UTF</w:t>
      </w:r>
      <w:r w:rsidR="00012DAF">
        <w:rPr>
          <w:rFonts w:cs="Arial"/>
          <w:bCs/>
          <w:lang w:val="fr-FR"/>
        </w:rPr>
        <w:t>-</w:t>
      </w:r>
      <w:r w:rsidRPr="00543E11">
        <w:rPr>
          <w:rFonts w:cs="Arial"/>
          <w:bCs/>
          <w:lang w:val="fr-FR"/>
        </w:rPr>
        <w:t>8).</w:t>
      </w:r>
    </w:p>
    <w:p w14:paraId="5E301FDC" w14:textId="77777777" w:rsidR="00835891" w:rsidRDefault="00835891" w:rsidP="007749A2">
      <w:pPr>
        <w:spacing w:line="360" w:lineRule="auto"/>
        <w:rPr>
          <w:bCs/>
          <w:lang w:val="fr-FR"/>
        </w:rPr>
      </w:pPr>
    </w:p>
    <w:p w14:paraId="64C51FE5" w14:textId="77777777" w:rsidR="00835891" w:rsidRDefault="006B45EB" w:rsidP="006B45EB">
      <w:pPr>
        <w:keepNext/>
        <w:ind w:left="567"/>
        <w:rPr>
          <w:bCs/>
          <w:i/>
          <w:iCs/>
          <w:lang w:val="fr-FR"/>
        </w:rPr>
      </w:pPr>
      <w:r w:rsidRPr="00543E11">
        <w:rPr>
          <w:bCs/>
          <w:iCs/>
          <w:lang w:val="fr-FR"/>
        </w:rPr>
        <w:t>3.2</w:t>
      </w:r>
      <w:r w:rsidRPr="00543E11">
        <w:rPr>
          <w:bCs/>
          <w:iCs/>
          <w:lang w:val="fr-FR"/>
        </w:rPr>
        <w:tab/>
      </w:r>
      <w:r w:rsidRPr="00543E11">
        <w:rPr>
          <w:bCs/>
          <w:i/>
          <w:iCs/>
          <w:lang w:val="fr-FR"/>
        </w:rPr>
        <w:t>Qualité et exhaustivité des données</w:t>
      </w:r>
    </w:p>
    <w:p w14:paraId="79658EB2" w14:textId="77777777" w:rsidR="00835891" w:rsidRDefault="00835891" w:rsidP="007749A2">
      <w:pPr>
        <w:keepNext/>
        <w:rPr>
          <w:bCs/>
          <w:lang w:val="fr-FR"/>
        </w:rPr>
      </w:pPr>
    </w:p>
    <w:p w14:paraId="189831A3" w14:textId="77777777" w:rsidR="00835891" w:rsidRDefault="006B45EB" w:rsidP="006B45EB">
      <w:pPr>
        <w:keepNext/>
        <w:rPr>
          <w:bCs/>
          <w:lang w:val="fr-FR"/>
        </w:rPr>
      </w:pPr>
      <w:r w:rsidRPr="00543E11">
        <w:rPr>
          <w:bCs/>
          <w:lang w:val="fr-FR"/>
        </w:rPr>
        <w:t>Il convient d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introduire les spécifications suivantes concernant les données dans la base de données PLUTO</w:t>
      </w:r>
      <w:r w:rsidR="00012DAF">
        <w:rPr>
          <w:bCs/>
          <w:lang w:val="fr-FR"/>
        </w:rPr>
        <w:t> :</w:t>
      </w:r>
    </w:p>
    <w:p w14:paraId="34AF5F23" w14:textId="48204231" w:rsidR="007749A2" w:rsidRPr="00543E11" w:rsidRDefault="007749A2" w:rsidP="007749A2">
      <w:pPr>
        <w:keepNext/>
        <w:ind w:left="567"/>
        <w:rPr>
          <w:bCs/>
          <w:lang w:val="fr-FR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9"/>
        <w:gridCol w:w="14"/>
        <w:gridCol w:w="2259"/>
        <w:gridCol w:w="9"/>
        <w:gridCol w:w="1635"/>
        <w:gridCol w:w="1985"/>
        <w:gridCol w:w="3419"/>
      </w:tblGrid>
      <w:tr w:rsidR="007749A2" w:rsidRPr="00635794" w14:paraId="503030FE" w14:textId="77777777" w:rsidTr="007F461B">
        <w:trPr>
          <w:cantSplit/>
          <w:tblHeader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noWrap/>
          </w:tcPr>
          <w:p w14:paraId="46E19988" w14:textId="6A36E362" w:rsidR="007749A2" w:rsidRPr="00543E11" w:rsidRDefault="006B45EB" w:rsidP="006B45EB">
            <w:pPr>
              <w:spacing w:before="60" w:after="60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u w:val="single"/>
                <w:lang w:val="fr-FR"/>
              </w:rPr>
              <w:t>Balise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noWrap/>
          </w:tcPr>
          <w:p w14:paraId="57CBCBC0" w14:textId="27E5255C" w:rsidR="007749A2" w:rsidRPr="00543E11" w:rsidRDefault="006B45EB" w:rsidP="006B45EB">
            <w:pPr>
              <w:spacing w:before="60" w:after="60"/>
              <w:jc w:val="left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u w:val="single"/>
                <w:lang w:val="fr-FR"/>
              </w:rPr>
              <w:t>Description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noWrap/>
          </w:tcPr>
          <w:p w14:paraId="40545A52" w14:textId="67EA7E29" w:rsidR="007749A2" w:rsidRPr="00543E11" w:rsidRDefault="006B45EB" w:rsidP="006B45EB">
            <w:pPr>
              <w:spacing w:before="60" w:after="60"/>
              <w:jc w:val="left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u w:val="single"/>
                <w:lang w:val="fr-FR"/>
              </w:rPr>
              <w:t>Statut actuel</w:t>
            </w:r>
            <w:r w:rsidR="007749A2" w:rsidRPr="00543E11">
              <w:rPr>
                <w:rFonts w:cs="Arial"/>
                <w:sz w:val="18"/>
                <w:szCs w:val="18"/>
                <w:u w:val="single"/>
                <w:lang w:val="fr-FR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F19BFE5" w14:textId="6E39F7CD" w:rsidR="007749A2" w:rsidRPr="00543E11" w:rsidRDefault="006B45EB" w:rsidP="006B45EB">
            <w:pPr>
              <w:tabs>
                <w:tab w:val="left" w:pos="386"/>
              </w:tabs>
              <w:spacing w:before="60" w:after="60"/>
              <w:jc w:val="left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u w:val="single"/>
                <w:lang w:val="fr-FR"/>
              </w:rPr>
              <w:t>Statut proposé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noWrap/>
          </w:tcPr>
          <w:p w14:paraId="19E3B8AB" w14:textId="316A41FD" w:rsidR="007749A2" w:rsidRPr="00543E11" w:rsidRDefault="006B45EB" w:rsidP="006B45EB">
            <w:pPr>
              <w:tabs>
                <w:tab w:val="left" w:pos="385"/>
              </w:tabs>
              <w:spacing w:before="60" w:after="60"/>
              <w:jc w:val="left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u w:val="single"/>
                <w:lang w:val="fr-FR"/>
              </w:rPr>
              <w:t>Modifications de la base de données demandées</w:t>
            </w:r>
          </w:p>
        </w:tc>
      </w:tr>
      <w:tr w:rsidR="007749A2" w:rsidRPr="00635794" w14:paraId="5446A575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D454F1" w14:textId="6E656443" w:rsidR="007749A2" w:rsidRPr="00543E11" w:rsidRDefault="006B45EB" w:rsidP="006B45EB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&lt;000&gt;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CB8521" w14:textId="27C1CB11" w:rsidR="007749A2" w:rsidRPr="00543E11" w:rsidRDefault="006B45EB" w:rsidP="006B45EB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Début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 et statut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</w:t>
            </w:r>
            <w:r w:rsidR="007749A2"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BF2C31" w14:textId="63E0D282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F082C" w14:textId="73AF0BB7" w:rsidR="007749A2" w:rsidRPr="00543E11" w:rsidRDefault="006B45EB" w:rsidP="006B45E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le début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 doit être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B97EEA" w14:textId="5C8B39F8" w:rsidR="007749A2" w:rsidRPr="00543E11" w:rsidRDefault="006B45EB" w:rsidP="006B45E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obligatoire, sous réserve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élaboration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un outil permettant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établir le statut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enregistrement (par comparaison avec la précédente communication de données) si celui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-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ci n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est pas requis</w:t>
            </w:r>
          </w:p>
        </w:tc>
      </w:tr>
      <w:tr w:rsidR="007749A2" w:rsidRPr="00635794" w14:paraId="0ED585F6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465A2A" w14:textId="74E4BC5C" w:rsidR="007749A2" w:rsidRPr="00543E11" w:rsidRDefault="006B45EB" w:rsidP="006B45EB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&lt;190&gt;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FDBCDF" w14:textId="553C25E6" w:rsidR="007749A2" w:rsidRPr="00543E11" w:rsidRDefault="006B45EB" w:rsidP="006B45EB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Pays ou organisation communiquant les informations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439905" w14:textId="6D37CD13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21EC5" w14:textId="0950C814" w:rsidR="007749A2" w:rsidRPr="00543E11" w:rsidRDefault="006B45EB" w:rsidP="006B45E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obligatoire</w:t>
            </w:r>
            <w:r w:rsidR="007749A2"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73501F" w14:textId="1C3ACDAF" w:rsidR="007749A2" w:rsidRPr="00543E11" w:rsidRDefault="006B45EB" w:rsidP="006B45E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comparer à la liste de codes</w:t>
            </w:r>
          </w:p>
        </w:tc>
      </w:tr>
      <w:tr w:rsidR="007749A2" w:rsidRPr="00635794" w14:paraId="3CDC3071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80F9E5" w14:textId="43224568" w:rsidR="007749A2" w:rsidRPr="00543E11" w:rsidRDefault="006B45EB" w:rsidP="006B45EB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&lt;010&gt;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EFFA3A0" w14:textId="66CA259A" w:rsidR="007749A2" w:rsidRPr="00543E11" w:rsidRDefault="006B45EB" w:rsidP="006B45EB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Type d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 et identifiant (de variété)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351E60" w14:textId="78500E7A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AF5E8" w14:textId="2782E6FF" w:rsidR="007749A2" w:rsidRPr="00543E11" w:rsidRDefault="006B45EB" w:rsidP="006B45E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les deux</w:t>
            </w:r>
            <w:r w:rsidR="00370A79">
              <w:rPr>
                <w:rFonts w:cs="Arial"/>
                <w:b/>
                <w:bCs/>
                <w:sz w:val="18"/>
                <w:szCs w:val="18"/>
                <w:lang w:val="fr-FR"/>
              </w:rPr>
              <w:t> 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sont obligatoires</w:t>
            </w:r>
            <w:r w:rsidR="007749A2"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E3FBE5" w14:textId="77777777" w:rsidR="00835891" w:rsidRDefault="006B45EB" w:rsidP="006B45E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le sens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expression “identifiant (de variété)” doit être éclairci au regard de la balise &lt;210&gt;;</w:t>
            </w:r>
          </w:p>
          <w:p w14:paraId="26E2391C" w14:textId="77777777" w:rsidR="00835891" w:rsidRDefault="006B45EB" w:rsidP="006B45E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déterminer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convient de conserver le type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enregistrement “BIL”;</w:t>
            </w:r>
          </w:p>
          <w:p w14:paraId="6A2587EB" w14:textId="63434606" w:rsidR="007749A2" w:rsidRPr="00543E11" w:rsidRDefault="006B45EB" w:rsidP="006B45E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contrôle de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comparer à la liste des types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enregistrement</w:t>
            </w:r>
          </w:p>
        </w:tc>
      </w:tr>
      <w:tr w:rsidR="007749A2" w:rsidRPr="00635794" w14:paraId="742E5338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3B325E" w14:textId="2519270C" w:rsidR="007749A2" w:rsidRPr="00543E11" w:rsidRDefault="006B45EB" w:rsidP="006B45EB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&lt;500&gt;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083FC1" w14:textId="31EE55CD" w:rsidR="007749A2" w:rsidRPr="00543E11" w:rsidRDefault="006B45EB" w:rsidP="006B45EB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Espèce – nom en latin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828F67" w14:textId="671BC12F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jusqu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à ce qu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un code UPOV ait été attribué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4366A" w14:textId="13809E6B" w:rsidR="007749A2" w:rsidRPr="00543E11" w:rsidRDefault="006B45EB" w:rsidP="006B45E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obligatoire (même si un code UPOV a été attribué)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8684BBD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38BED839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3B8913" w14:textId="6320A66C" w:rsidR="007749A2" w:rsidRPr="00543E11" w:rsidRDefault="006B45EB" w:rsidP="006B45EB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&lt;509&gt;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066FF2" w14:textId="1277B4C0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Espèce – nom commun en anglais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019325" w14:textId="57D0F0EF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si aucun nom commun n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est attribué dans la langue nationale (&lt;510&gt;)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76D293" w14:textId="19A29B3B" w:rsidR="007749A2" w:rsidRPr="00543E11" w:rsidRDefault="006B45EB" w:rsidP="006B45E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792CF6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4907A7B4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C79CA1E" w14:textId="370DE379" w:rsidR="007749A2" w:rsidRPr="00543E11" w:rsidRDefault="006B45EB" w:rsidP="006B45EB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&lt;510&gt;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4B9859" w14:textId="7D90CC48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Espèce – nom commun dans la langue nationale (autre que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anglais)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2051B1" w14:textId="2CFE5E0C" w:rsidR="007749A2" w:rsidRPr="00543E11" w:rsidRDefault="006B45EB" w:rsidP="006B45E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si aucun nom commun n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est attribué en anglais (&lt;509&gt;)</w:t>
            </w:r>
            <w:r w:rsidR="007749A2" w:rsidRPr="00543E11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EAD873" w14:textId="3E94B5D6" w:rsidR="007749A2" w:rsidRPr="00543E11" w:rsidRDefault="006B45EB" w:rsidP="006B45E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REQUIS si &lt;520&gt;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7EBC38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50DD207D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B98BDE" w14:textId="17BC1A38" w:rsidR="007749A2" w:rsidRPr="00543E11" w:rsidRDefault="00583333" w:rsidP="00583333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lastRenderedPageBreak/>
              <w:t>&lt;520&gt;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379791" w14:textId="5CC3F6B9" w:rsidR="007749A2" w:rsidRPr="00543E11" w:rsidRDefault="00583333" w:rsidP="00583333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Espèce – nom commun dans la langue nationale autre que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anglais en alphabet non romain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1BE804D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CCFBB" w14:textId="39AC34D2" w:rsidR="007749A2" w:rsidRPr="00543E11" w:rsidRDefault="00583333" w:rsidP="00583333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CA16E5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49764DB5" w14:textId="77777777" w:rsidTr="007F461B">
        <w:trPr>
          <w:cantSplit/>
        </w:trPr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343852" w14:textId="490BC408" w:rsidR="007749A2" w:rsidRPr="00543E11" w:rsidRDefault="00583333" w:rsidP="00583333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&lt;511&gt;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61849F" w14:textId="0F651981" w:rsidR="007749A2" w:rsidRPr="00543E11" w:rsidRDefault="00583333" w:rsidP="00583333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Espèce – Code taxonomique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UPOV</w:t>
            </w:r>
            <w:r w:rsidR="007749A2"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2991A3" w14:textId="5718CE25" w:rsidR="007749A2" w:rsidRPr="00543E11" w:rsidRDefault="00583333" w:rsidP="00583333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</w:t>
            </w:r>
            <w:r w:rsidR="007749A2" w:rsidRPr="00543E11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C51E2B" w14:textId="0AAF2D6D" w:rsidR="007749A2" w:rsidRPr="00543E11" w:rsidRDefault="00583333" w:rsidP="00583333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D4979F" w14:textId="77777777" w:rsidR="00835891" w:rsidRDefault="00583333" w:rsidP="00583333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administrateur de la base de données PLUTO doit fournir, à la demande, une assistance au contributeur pour attribuer des codes UPOV;</w:t>
            </w:r>
          </w:p>
          <w:p w14:paraId="6F9C6663" w14:textId="77777777" w:rsidR="00835891" w:rsidRDefault="00583333" w:rsidP="00583333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vérification de la qualité des 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les codes UPOV attribués doivent être comparés à la liste des codes UPOV;</w:t>
            </w:r>
          </w:p>
          <w:p w14:paraId="09096BB9" w14:textId="5EC967B5" w:rsidR="007749A2" w:rsidRPr="00543E11" w:rsidRDefault="00583333" w:rsidP="00583333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vérifier les attributions de codes UPOV qui semblent erronées (p. ex. un mauvais code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espèce)</w:t>
            </w:r>
          </w:p>
        </w:tc>
      </w:tr>
      <w:tr w:rsidR="007749A2" w:rsidRPr="00543E11" w14:paraId="5D945753" w14:textId="77777777" w:rsidTr="007F461B">
        <w:trPr>
          <w:cantSplit/>
        </w:trPr>
        <w:tc>
          <w:tcPr>
            <w:tcW w:w="99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8FE6C1" w14:textId="2AEE339B" w:rsidR="007749A2" w:rsidRPr="00543E11" w:rsidRDefault="00583333" w:rsidP="00583333">
            <w:pPr>
              <w:keepNext/>
              <w:tabs>
                <w:tab w:val="left" w:pos="386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DÉNOMINATIONS</w:t>
            </w:r>
          </w:p>
        </w:tc>
      </w:tr>
      <w:tr w:rsidR="007749A2" w:rsidRPr="00635794" w14:paraId="25832436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E6E37F" w14:textId="5FB39A16" w:rsidR="007749A2" w:rsidRPr="00543E11" w:rsidRDefault="00583333" w:rsidP="00583333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&lt;540&gt;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B23889" w14:textId="00536F2A" w:rsidR="007749A2" w:rsidRPr="00543E11" w:rsidRDefault="00583333" w:rsidP="00583333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Date + dénomination proposée, première apparition ou première saisie dans la base de données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2F987E" w14:textId="7F63468A" w:rsidR="007749A2" w:rsidRPr="00543E11" w:rsidRDefault="00583333" w:rsidP="00583333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n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y a pas de référence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obtenteur (&lt;600&gt;)</w:t>
            </w:r>
            <w:r w:rsidR="007749A2" w:rsidRPr="00543E11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5ADBE" w14:textId="77777777" w:rsidR="00835891" w:rsidRDefault="00583333" w:rsidP="00583333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i)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ab/>
              <w:t>il est obligatoire de renseigner les champs &lt;540&gt;, &lt;541&gt;, &lt;542&gt; ou &lt;543&gt; si le champ &lt;600&gt; n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est pas renseigné</w:t>
            </w:r>
          </w:p>
          <w:p w14:paraId="461C9B6E" w14:textId="77777777" w:rsidR="00835891" w:rsidRDefault="00583333" w:rsidP="00583333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la date n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est pas obligatoire</w:t>
            </w:r>
          </w:p>
          <w:p w14:paraId="03EF4207" w14:textId="0B47372E" w:rsidR="007749A2" w:rsidRPr="00543E11" w:rsidRDefault="007749A2" w:rsidP="00B624F7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iii) REQUI</w:t>
            </w:r>
            <w:r w:rsidR="00B624F7" w:rsidRPr="00543E11">
              <w:rPr>
                <w:rFonts w:cs="Arial"/>
                <w:sz w:val="18"/>
                <w:szCs w:val="18"/>
                <w:lang w:val="fr-FR"/>
              </w:rPr>
              <w:t>S si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&lt;550&gt;, &lt;551&gt;, &lt;552&gt; </w:t>
            </w:r>
            <w:r w:rsidR="00B624F7" w:rsidRPr="00543E11">
              <w:rPr>
                <w:rFonts w:cs="Arial"/>
                <w:sz w:val="18"/>
                <w:szCs w:val="18"/>
                <w:lang w:val="fr-FR"/>
              </w:rPr>
              <w:t>ou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&lt;553&gt; </w:t>
            </w:r>
            <w:r w:rsidR="00B624F7" w:rsidRPr="00543E11">
              <w:rPr>
                <w:rFonts w:cs="Arial"/>
                <w:sz w:val="18"/>
                <w:szCs w:val="18"/>
                <w:lang w:val="fr-FR"/>
              </w:rPr>
              <w:t>sont fournis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51D5C7" w14:textId="796BAA53" w:rsidR="007749A2" w:rsidRPr="00543E11" w:rsidRDefault="00583333" w:rsidP="00583333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i) </w:t>
            </w:r>
            <w:r w:rsidR="00B624F7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éclaircir le sens et renommer;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br/>
            </w:r>
            <w:r w:rsidRPr="00543E11">
              <w:rPr>
                <w:rFonts w:cs="Arial"/>
                <w:sz w:val="18"/>
                <w:szCs w:val="18"/>
                <w:lang w:val="fr-FR"/>
              </w:rPr>
              <w:br/>
              <w:t xml:space="preserve">ii) </w:t>
            </w:r>
            <w:r w:rsidR="00B624F7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</w:tc>
      </w:tr>
      <w:tr w:rsidR="007749A2" w:rsidRPr="00543E11" w14:paraId="1852630C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10FB44" w14:textId="4E2BE3B2" w:rsidR="007749A2" w:rsidRPr="00543E11" w:rsidRDefault="00583333" w:rsidP="00583333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&lt;550&gt;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D843CC4" w14:textId="41F1B8DE" w:rsidR="007749A2" w:rsidRPr="00543E11" w:rsidRDefault="00583333" w:rsidP="00583333">
            <w:pPr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Date + dénomination proposée, première apparition ou première saisie dans la base de données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1BF59B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AA234F" w14:textId="00A76361" w:rsidR="007749A2" w:rsidRPr="00543E11" w:rsidRDefault="00583333" w:rsidP="00583333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196C0A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1E212E16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AE8BAB" w14:textId="4922C58B" w:rsidR="007749A2" w:rsidRPr="00543E11" w:rsidRDefault="00B2762B" w:rsidP="00B2762B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&lt;541&gt;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30DD76" w14:textId="6C525FD3" w:rsidR="007749A2" w:rsidRPr="00543E11" w:rsidRDefault="00B2762B" w:rsidP="00B2762B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Date + dénomination proposée, publiée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7ACD681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DD627" w14:textId="5947494F" w:rsidR="007749A2" w:rsidRPr="00543E11" w:rsidRDefault="00B2762B" w:rsidP="00B2762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voir &lt;540&gt;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000D89" w14:textId="77777777" w:rsidR="00835891" w:rsidRDefault="00B2762B" w:rsidP="00B2762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i) 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éclaircir le sens et renommer;</w:t>
            </w:r>
          </w:p>
          <w:p w14:paraId="27A5C91D" w14:textId="52839BE2" w:rsidR="007749A2" w:rsidRPr="00543E11" w:rsidRDefault="00B2762B" w:rsidP="00B2762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</w:tc>
      </w:tr>
      <w:tr w:rsidR="007749A2" w:rsidRPr="00543E11" w14:paraId="442EADBF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F1BF94" w14:textId="57F87259" w:rsidR="007749A2" w:rsidRPr="00543E11" w:rsidRDefault="00B2762B" w:rsidP="00B2762B">
            <w:pPr>
              <w:spacing w:before="20" w:after="20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&lt;551&gt;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4F9CCE" w14:textId="5A6851FA" w:rsidR="007749A2" w:rsidRPr="00543E11" w:rsidRDefault="00B2762B" w:rsidP="00B2762B">
            <w:pPr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Date + dénomination proposée, publiée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3F7768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4B22F" w14:textId="1620A1E8" w:rsidR="007749A2" w:rsidRPr="00543E11" w:rsidRDefault="00B2762B" w:rsidP="00B2762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C4BA60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74D93677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CC4D0E" w14:textId="676F70C7" w:rsidR="007749A2" w:rsidRPr="00543E11" w:rsidRDefault="009D06DE" w:rsidP="009D06DE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&lt;542&gt;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B4F5AB" w14:textId="6F14E971" w:rsidR="007749A2" w:rsidRPr="00543E11" w:rsidRDefault="009D06DE" w:rsidP="009D06DE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Date + dénomination, approuvée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4163F6" w14:textId="411777FC" w:rsidR="007749A2" w:rsidRPr="00543E11" w:rsidRDefault="009D06DE" w:rsidP="009D06DE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si protégée ou inscrite au catalogue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488BF" w14:textId="15A12209" w:rsidR="007749A2" w:rsidRPr="00543E11" w:rsidRDefault="009D06DE" w:rsidP="009D06DE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sz w:val="18"/>
                <w:szCs w:val="18"/>
                <w:lang w:val="fr-FR"/>
              </w:rPr>
              <w:t>voir &lt;540&gt;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FD537A" w14:textId="77777777" w:rsidR="00835891" w:rsidRDefault="009D06DE" w:rsidP="009D06DE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éclaircir le sens et renommer;</w:t>
            </w:r>
          </w:p>
          <w:p w14:paraId="570F0FED" w14:textId="77777777" w:rsidR="00835891" w:rsidRDefault="009D06DE" w:rsidP="009D06DE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autoriser plus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une dénomination approuvée par variété (c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est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-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à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-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dire lorsqu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une dénomination a été approuvée mais qu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elle a ensuite été remplacée);</w:t>
            </w:r>
          </w:p>
          <w:p w14:paraId="0B206541" w14:textId="18783828" w:rsidR="007749A2" w:rsidRPr="00543E11" w:rsidRDefault="009D06DE" w:rsidP="009D06DE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</w:tc>
      </w:tr>
      <w:tr w:rsidR="007749A2" w:rsidRPr="00543E11" w14:paraId="3A8A98E5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0B7ADA" w14:textId="02456DA5" w:rsidR="007749A2" w:rsidRPr="00543E11" w:rsidRDefault="009D06DE" w:rsidP="009D06DE">
            <w:pPr>
              <w:spacing w:before="20" w:after="20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&lt;552&gt;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74CE57" w14:textId="2FC98E85" w:rsidR="007749A2" w:rsidRPr="00543E11" w:rsidRDefault="00BB2F2A" w:rsidP="00BB2F2A">
            <w:pPr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Date + dénomination approuvée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1CD4F1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20CC6" w14:textId="6A92491A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50DF12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3FCBAB6D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185DA2" w14:textId="2020BFEF" w:rsidR="007749A2" w:rsidRPr="00543E11" w:rsidRDefault="00BB2F2A" w:rsidP="00BB2F2A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&lt;543&gt;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CD04E4" w14:textId="60357BAB" w:rsidR="007749A2" w:rsidRPr="00543E11" w:rsidRDefault="00BB2F2A" w:rsidP="00BB2F2A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Date + dénomination, rejetée ou retirée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416E2D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2C9BE6" w14:textId="20035DB5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sz w:val="18"/>
                <w:szCs w:val="18"/>
                <w:lang w:val="fr-FR"/>
              </w:rPr>
              <w:t>voir &lt;540&gt;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3F8FCE" w14:textId="77777777" w:rsidR="00835891" w:rsidRDefault="00BB2F2A" w:rsidP="00BB2F2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i) 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éclaircir le sens et renommer;</w:t>
            </w:r>
          </w:p>
          <w:p w14:paraId="67F5124B" w14:textId="77E2D62E" w:rsidR="007749A2" w:rsidRPr="00543E11" w:rsidRDefault="00BB2F2A" w:rsidP="00BB2F2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</w:tc>
      </w:tr>
      <w:tr w:rsidR="007749A2" w:rsidRPr="00543E11" w14:paraId="6B3538B5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7C48D2" w14:textId="5638DE07" w:rsidR="007749A2" w:rsidRPr="00543E11" w:rsidRDefault="00BB2F2A" w:rsidP="00BB2F2A">
            <w:pPr>
              <w:spacing w:before="20" w:after="20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&lt;553&gt;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025A0F" w14:textId="105BFF88" w:rsidR="007749A2" w:rsidRPr="00543E11" w:rsidRDefault="00BB2F2A" w:rsidP="00BB2F2A">
            <w:pPr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Date + dénomination rejetée ou retirée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45CD03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6C494" w14:textId="36739753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404F77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7AE1E5AE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CD6599" w14:textId="4E3E0D25" w:rsidR="007749A2" w:rsidRPr="00543E11" w:rsidRDefault="00BB2F2A" w:rsidP="00BB2F2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lastRenderedPageBreak/>
              <w:t>&lt;600&gt;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BF8383" w14:textId="66229F1A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Référence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obtenteur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2505D8" w14:textId="517D1522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existe une référence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DED5C" w14:textId="7076F813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REQUIS si &lt;650&gt;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67BD9C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43C64BE3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354683" w14:textId="6C9920CF" w:rsidR="007749A2" w:rsidRPr="00543E11" w:rsidRDefault="00BB2F2A" w:rsidP="00BB2F2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&lt;650&gt;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DEE4A2" w14:textId="1C606C44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Référence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obtenteur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F5FAE9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7913C" w14:textId="39965A75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7BADC6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08D5FEDA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5A1DD4" w14:textId="41067A89" w:rsidR="007749A2" w:rsidRPr="00543E11" w:rsidRDefault="00BB2F2A" w:rsidP="00BB2F2A">
            <w:pPr>
              <w:keepNext/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&lt;601&gt;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372A1B" w14:textId="5A7B7098" w:rsidR="007749A2" w:rsidRPr="00543E11" w:rsidRDefault="00BB2F2A" w:rsidP="00BB2F2A">
            <w:pPr>
              <w:keepNext/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Synonyme de la dénomination de la variété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570A5A" w14:textId="77777777" w:rsidR="007749A2" w:rsidRPr="00543E11" w:rsidRDefault="007749A2" w:rsidP="007F461B">
            <w:pPr>
              <w:keepNext/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4EF8B" w14:textId="6C2B4EF9" w:rsidR="007749A2" w:rsidRPr="00543E11" w:rsidRDefault="00BB2F2A" w:rsidP="00BB2F2A">
            <w:pPr>
              <w:keepNext/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REQUIS si &lt;651&gt;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D68C6C" w14:textId="77777777" w:rsidR="007749A2" w:rsidRPr="00543E11" w:rsidRDefault="007749A2" w:rsidP="007F461B">
            <w:pPr>
              <w:keepNext/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25FD4F25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9EAF2A" w14:textId="3A4B6260" w:rsidR="007749A2" w:rsidRPr="00543E11" w:rsidRDefault="00BB2F2A" w:rsidP="00BB2F2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&lt;651&gt;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B29A0D" w14:textId="127588BD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Synonyme de dénomination de la variété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CCCBC9D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CAF59" w14:textId="574A82FF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8FBAC7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1A7C880B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D1F2D2" w14:textId="695470F1" w:rsidR="007749A2" w:rsidRPr="00543E11" w:rsidRDefault="00BB2F2A" w:rsidP="00BB2F2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&lt;602&gt;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5D147D" w14:textId="0EE0FDCF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Nom commercial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E7F414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8B66A0" w14:textId="200CA3DB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REQUIS si &lt;652&gt;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D84BE7B" w14:textId="77777777" w:rsidR="00835891" w:rsidRDefault="00BB2F2A" w:rsidP="00BB2F2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i) </w:t>
            </w:r>
            <w:r w:rsidR="00B624F7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éclaircir le sens</w:t>
            </w:r>
          </w:p>
          <w:p w14:paraId="76579F05" w14:textId="257CBDA9" w:rsidR="007749A2" w:rsidRPr="00543E11" w:rsidRDefault="00BB2F2A" w:rsidP="00BB2F2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ii) </w:t>
            </w:r>
            <w:r w:rsidR="00B624F7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permettre des entrées multiples</w:t>
            </w:r>
          </w:p>
        </w:tc>
      </w:tr>
      <w:tr w:rsidR="007749A2" w:rsidRPr="00543E11" w14:paraId="4143B3F8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7BBFF9" w14:textId="0D81B609" w:rsidR="007749A2" w:rsidRPr="00543E11" w:rsidRDefault="00BB2F2A" w:rsidP="00BB2F2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&lt;652&gt;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809337" w14:textId="06E7A2CD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Nom commercial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39C8411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346E8" w14:textId="55F403AB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441E1B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48899AA6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5C19D8" w14:textId="3EC48DF4" w:rsidR="007749A2" w:rsidRPr="00543E11" w:rsidRDefault="00BB2F2A" w:rsidP="00BB2F2A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&lt;210&gt;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584AC3" w14:textId="2B76ABFC" w:rsidR="007749A2" w:rsidRPr="00543E11" w:rsidRDefault="00BB2F2A" w:rsidP="00BB2F2A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Numéro de la demande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38E5C5" w14:textId="63291C54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existe une demande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D3829E" w14:textId="5843632C" w:rsidR="007749A2" w:rsidRPr="00543E11" w:rsidRDefault="00BB2F2A" w:rsidP="007F461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b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sz w:val="18"/>
                <w:szCs w:val="18"/>
                <w:lang w:val="fr-FR"/>
              </w:rPr>
              <w:t>il existe une demande</w:t>
            </w:r>
          </w:p>
        </w:tc>
        <w:tc>
          <w:tcPr>
            <w:tcW w:w="3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46CF40" w14:textId="5892682C" w:rsidR="007749A2" w:rsidRPr="00543E11" w:rsidRDefault="00BB2F2A" w:rsidP="00BB2F2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à examiner parallèlement à la balise &lt;010&gt;</w:t>
            </w:r>
          </w:p>
        </w:tc>
      </w:tr>
      <w:tr w:rsidR="00BB2F2A" w:rsidRPr="00635794" w14:paraId="1810B6FD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FEA852" w14:textId="1F076AAF" w:rsidR="00BB2F2A" w:rsidRPr="00543E11" w:rsidRDefault="00BB2F2A" w:rsidP="00BB2F2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&lt;220&gt;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8C3FB7" w14:textId="41DC8DB5" w:rsidR="00BB2F2A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Date de la demande ou de dépôt du dossier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74EE7F" w14:textId="3D2D81E5" w:rsidR="00BB2F2A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existe une demande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E85FC" w14:textId="7969B7AB" w:rsidR="00BB2F2A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sz w:val="18"/>
                <w:szCs w:val="18"/>
                <w:lang w:val="fr-FR"/>
              </w:rPr>
              <w:t>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96DFB3" w14:textId="5B2DF0B7" w:rsidR="00BB2F2A" w:rsidRPr="00543E11" w:rsidRDefault="00BB2F2A" w:rsidP="00BB2F2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explication à fournir si la balise &lt;220&gt; n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est pas complète</w:t>
            </w:r>
          </w:p>
        </w:tc>
      </w:tr>
      <w:tr w:rsidR="007749A2" w:rsidRPr="00543E11" w14:paraId="0767A358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48BD09" w14:textId="5E8107E1" w:rsidR="007749A2" w:rsidRPr="00543E11" w:rsidRDefault="00BB2F2A" w:rsidP="00BB2F2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&lt;400&gt;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88D3CC" w14:textId="64B67FAA" w:rsidR="007749A2" w:rsidRPr="00543E11" w:rsidRDefault="00BB2F2A" w:rsidP="00BB2F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Date de publication des informations concernant la demande (protection) ou le dépôt du dossier (inscription au catalogue)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31DE32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620FF" w14:textId="081D8AD9" w:rsidR="007749A2" w:rsidRPr="00543E11" w:rsidRDefault="00BB2F2A" w:rsidP="00BB2F2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ACCA1CB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313B55AC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DF21C18" w14:textId="405CAD49" w:rsidR="007749A2" w:rsidRPr="00543E11" w:rsidRDefault="00BB2F2A" w:rsidP="00BB2F2A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&lt;111&gt;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2C963E" w14:textId="5D89E767" w:rsidR="007749A2" w:rsidRPr="00543E11" w:rsidRDefault="002308DC" w:rsidP="002308DC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Numéro d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octroi (protection) ou d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 (inscription au catalogue)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8C93FB" w14:textId="4496B086" w:rsidR="007749A2" w:rsidRPr="00543E11" w:rsidRDefault="002308DC" w:rsidP="002308DC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existe une référence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DDEEA5" w14:textId="77777777" w:rsidR="00835891" w:rsidRDefault="002308DC" w:rsidP="002308DC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i)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ab/>
              <w:t>les champs &lt;111&gt; / &lt;151&gt; / &lt;610&gt; ou &lt;620&gt; doivent obligatoirement être renseignés si la demande est octroyée ou la variété inscrite au catalogue</w:t>
            </w:r>
          </w:p>
          <w:p w14:paraId="54B245E3" w14:textId="288C5677" w:rsidR="007749A2" w:rsidRPr="00543E11" w:rsidRDefault="002308DC" w:rsidP="002308DC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 la date n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est pas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4EA9B7" w14:textId="77777777" w:rsidR="00835891" w:rsidRDefault="002308DC" w:rsidP="002308DC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  <w:p w14:paraId="434E6311" w14:textId="1F18FA7F" w:rsidR="007749A2" w:rsidRPr="00543E11" w:rsidRDefault="002308DC" w:rsidP="002308DC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  <w:t>corriger toutes les incohérences éventuelles concernant le statut de la balise&lt;220&gt;</w:t>
            </w:r>
          </w:p>
        </w:tc>
      </w:tr>
      <w:tr w:rsidR="007749A2" w:rsidRPr="00635794" w14:paraId="1F82D846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5280CC" w14:textId="1DB058F4" w:rsidR="007749A2" w:rsidRPr="00543E11" w:rsidRDefault="002308DC" w:rsidP="002308DC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&lt;151&gt;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23FFBC" w14:textId="76A00814" w:rsidR="007749A2" w:rsidRPr="00543E11" w:rsidRDefault="002308DC" w:rsidP="002308DC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Date de publication des données concernant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octroi (protection) ou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 (inscription au catalogue)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1678CF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56C324" w14:textId="77777777" w:rsidR="00835891" w:rsidRDefault="002308DC" w:rsidP="002308DC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voir &lt;111&gt;</w:t>
            </w:r>
          </w:p>
          <w:p w14:paraId="0F3264E1" w14:textId="10D18137" w:rsidR="007749A2" w:rsidRPr="00543E11" w:rsidRDefault="007749A2" w:rsidP="007F461B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54CE81" w14:textId="1298A9DC" w:rsidR="007749A2" w:rsidRPr="00543E11" w:rsidRDefault="002308DC" w:rsidP="002308DC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</w:tc>
      </w:tr>
      <w:tr w:rsidR="007749A2" w:rsidRPr="00635794" w14:paraId="096060B5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AFABC0" w14:textId="6C9FADD6" w:rsidR="007749A2" w:rsidRPr="00543E11" w:rsidRDefault="002308DC" w:rsidP="002308DC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&lt;610&gt;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5CD909" w14:textId="4122CC31" w:rsidR="007749A2" w:rsidRPr="00543E11" w:rsidRDefault="002308DC" w:rsidP="002308DC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Date de début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octroi (protection) ou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 (inscription au catalogue)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FF2ADF" w14:textId="79D1DCB2" w:rsidR="007749A2" w:rsidRPr="00543E11" w:rsidRDefault="002308DC" w:rsidP="002308DC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existe une référence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1CAFD7" w14:textId="769D45DD" w:rsidR="007749A2" w:rsidRPr="00543E11" w:rsidRDefault="002308DC" w:rsidP="002308DC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sz w:val="18"/>
                <w:szCs w:val="18"/>
                <w:lang w:val="fr-FR"/>
              </w:rPr>
              <w:t>voir &lt;111&gt;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2B923F" w14:textId="77777777" w:rsidR="00835891" w:rsidRDefault="002308DC" w:rsidP="002308DC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i) </w:t>
            </w:r>
            <w:r w:rsidR="008E2566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  <w:p w14:paraId="79E961F8" w14:textId="2B8923B5" w:rsidR="007749A2" w:rsidRPr="00543E11" w:rsidRDefault="002308DC" w:rsidP="002308DC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ii) </w:t>
            </w:r>
            <w:r w:rsidR="008E2566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la date ne peut être antérieure à celle du champ &lt;220&gt;</w:t>
            </w:r>
          </w:p>
        </w:tc>
      </w:tr>
      <w:tr w:rsidR="007749A2" w:rsidRPr="00543E11" w14:paraId="21A9D3B3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6AABBC" w14:textId="15E17B5D" w:rsidR="007749A2" w:rsidRPr="00543E11" w:rsidRDefault="00611588" w:rsidP="00611588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&lt;620&gt;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4B3D0B" w14:textId="1CCA8A03" w:rsidR="007749A2" w:rsidRPr="00543E11" w:rsidRDefault="00611588" w:rsidP="00611588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Date de début du renouvellement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enregistrement (inscription au catalogue)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717821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A7F79" w14:textId="47D90586" w:rsidR="007749A2" w:rsidRPr="00543E11" w:rsidRDefault="00611588" w:rsidP="00611588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voir &lt;111&gt;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84E680" w14:textId="77777777" w:rsidR="00835891" w:rsidRDefault="00611588" w:rsidP="00611588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i) </w:t>
            </w:r>
            <w:r w:rsidR="008E2566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condition obligatoire au regard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éléments</w:t>
            </w:r>
          </w:p>
          <w:p w14:paraId="7197EA58" w14:textId="77777777" w:rsidR="00835891" w:rsidRDefault="004D6B75" w:rsidP="004D6B75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ii) </w:t>
            </w:r>
            <w:r w:rsidR="008E2566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vérification de la qualité des données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la date ne peut être antérieure à celle du champ &lt;610&gt;</w:t>
            </w:r>
          </w:p>
          <w:p w14:paraId="5E6D4981" w14:textId="518B8C73" w:rsidR="007749A2" w:rsidRPr="00543E11" w:rsidRDefault="004D6B75" w:rsidP="004D6B75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iii) </w:t>
            </w:r>
            <w:r w:rsidR="008E2566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éclaircir le sens</w:t>
            </w:r>
            <w:r w:rsidR="007749A2" w:rsidRPr="00543E11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749A2" w:rsidRPr="00543E11" w14:paraId="6F8856C6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2B3AD8" w14:textId="382A9DF5" w:rsidR="007749A2" w:rsidRPr="00543E11" w:rsidRDefault="00634F16" w:rsidP="00634F16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&lt;665&gt;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7D2885" w14:textId="56CD93D1" w:rsidR="007749A2" w:rsidRPr="00543E11" w:rsidRDefault="00634F16" w:rsidP="00634F16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Date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expiration calculée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8824B3" w14:textId="16210186" w:rsidR="007749A2" w:rsidRPr="00543E11" w:rsidRDefault="00634F16" w:rsidP="00634F16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en cas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octroi ou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inscription au catalogue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F4AB37" w14:textId="26CAA5D4" w:rsidR="007749A2" w:rsidRPr="00543E11" w:rsidRDefault="00634F16" w:rsidP="00634F16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591BB2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40A2CBD7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75E556" w14:textId="71201D52" w:rsidR="007749A2" w:rsidRPr="00543E11" w:rsidRDefault="00634F16" w:rsidP="00634F16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&lt;666&gt;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EBF460" w14:textId="1490BC51" w:rsidR="007749A2" w:rsidRPr="00543E11" w:rsidRDefault="00634F16" w:rsidP="00634F16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Type de date suivi de “date de fin”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0AE270" w14:textId="518E72FA" w:rsidR="007749A2" w:rsidRPr="00543E11" w:rsidRDefault="00634F16" w:rsidP="00634F16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existe une référence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9DBB2D" w14:textId="1BF1CD6F" w:rsidR="007749A2" w:rsidRPr="00543E11" w:rsidRDefault="00634F16" w:rsidP="00634F16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229B0A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0D094525" w14:textId="77777777" w:rsidTr="007F461B">
        <w:trPr>
          <w:cantSplit/>
        </w:trPr>
        <w:tc>
          <w:tcPr>
            <w:tcW w:w="99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72BEAA" w14:textId="7480521C" w:rsidR="007749A2" w:rsidRPr="00543E11" w:rsidRDefault="00634F16" w:rsidP="00634F16">
            <w:pPr>
              <w:keepNext/>
              <w:tabs>
                <w:tab w:val="left" w:pos="386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lastRenderedPageBreak/>
              <w:t>PARTIES CONCERNÉES</w:t>
            </w:r>
          </w:p>
        </w:tc>
      </w:tr>
      <w:tr w:rsidR="007749A2" w:rsidRPr="00635794" w14:paraId="41E52E05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AE5790" w14:textId="4ED826AE" w:rsidR="007749A2" w:rsidRPr="00543E11" w:rsidRDefault="00634F16" w:rsidP="00634F16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&lt;730&gt;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61EEDA" w14:textId="050FAC5F" w:rsidR="007749A2" w:rsidRPr="00543E11" w:rsidRDefault="00634F16" w:rsidP="00634F16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Nom du demandeur</w:t>
            </w:r>
            <w:r w:rsidR="007749A2"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14FC3B" w14:textId="364BABB0" w:rsidR="007749A2" w:rsidRPr="00543E11" w:rsidRDefault="00A1206C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</w:t>
            </w:r>
            <w:r w:rsidR="00C15240" w:rsidRPr="00543E11">
              <w:rPr>
                <w:rFonts w:cs="Arial"/>
                <w:sz w:val="18"/>
                <w:szCs w:val="18"/>
                <w:lang w:val="fr-FR"/>
              </w:rPr>
              <w:t xml:space="preserve">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="00C15240" w:rsidRPr="00543E11">
              <w:rPr>
                <w:rFonts w:cs="Arial"/>
                <w:sz w:val="18"/>
                <w:szCs w:val="18"/>
                <w:lang w:val="fr-FR"/>
              </w:rPr>
              <w:t>il existe une demande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D57DF" w14:textId="299263D8" w:rsidR="007749A2" w:rsidRPr="00543E11" w:rsidRDefault="00634F16" w:rsidP="00634F16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obligatoire si la demande existe ou</w:t>
            </w: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 xml:space="preserve"> REQUIS si &lt;750&gt;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C0EA31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4A4A07AD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2355F4" w14:textId="4A16A3E6" w:rsidR="007749A2" w:rsidRPr="00543E11" w:rsidRDefault="00634F16" w:rsidP="00634F16">
            <w:pPr>
              <w:spacing w:before="20" w:after="20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&lt;750&gt;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A526D7" w14:textId="29B8F223" w:rsidR="007749A2" w:rsidRPr="00543E11" w:rsidRDefault="00634F16" w:rsidP="00634F16">
            <w:pPr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Nom du demandeur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CFDE98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B5AEA" w14:textId="0218E106" w:rsidR="007749A2" w:rsidRPr="00543E11" w:rsidRDefault="00634F16" w:rsidP="00634F16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non obligatoire</w:t>
            </w:r>
            <w:r w:rsidR="007749A2" w:rsidRPr="00543E11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FB99DA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784E672C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155CA1" w14:textId="7A041CF5" w:rsidR="007749A2" w:rsidRPr="00543E11" w:rsidRDefault="00DD20AA" w:rsidP="00DD20AA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&lt;731&gt;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8F4BBA" w14:textId="5BDC7ABE" w:rsidR="007749A2" w:rsidRPr="00543E11" w:rsidRDefault="00DD20AA" w:rsidP="00DD20AA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Nom de l</w:t>
            </w:r>
            <w:r w:rsidR="00012DAF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obtenteur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590419" w14:textId="742A80AA" w:rsidR="007749A2" w:rsidRPr="00543E11" w:rsidRDefault="00DD20AA" w:rsidP="00DD20A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F11B7" w14:textId="275E770A" w:rsidR="007749A2" w:rsidRPr="00543E11" w:rsidRDefault="00DD20AA" w:rsidP="00DD20A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578321" w14:textId="51E2FB76" w:rsidR="007749A2" w:rsidRPr="00543E11" w:rsidRDefault="00DD20AA" w:rsidP="00DD20A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éclaircir le sens du terme “obtenteur” au regard du document</w:t>
            </w:r>
            <w:r w:rsidR="006378A5">
              <w:rPr>
                <w:rFonts w:cs="Arial"/>
                <w:sz w:val="18"/>
                <w:szCs w:val="18"/>
                <w:lang w:val="fr-FR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TGP/5 (voir &lt;733&gt;)</w:t>
            </w:r>
          </w:p>
        </w:tc>
      </w:tr>
      <w:tr w:rsidR="007749A2" w:rsidRPr="00543E11" w14:paraId="49EAC81C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D8E92F" w14:textId="3CE50F6A" w:rsidR="007749A2" w:rsidRPr="00543E11" w:rsidRDefault="00DD20AA" w:rsidP="00DD20AA">
            <w:pPr>
              <w:spacing w:before="20" w:after="20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&lt;751&gt;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76A6FD" w14:textId="0ABADF3B" w:rsidR="007749A2" w:rsidRPr="00543E11" w:rsidRDefault="00DD20AA" w:rsidP="00DD20AA">
            <w:pPr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Nom de l</w:t>
            </w:r>
            <w:r w:rsidR="00012DAF">
              <w:rPr>
                <w:rFonts w:cs="Arial"/>
                <w:bCs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obtenteur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F0F594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09F50D" w14:textId="0F24381E" w:rsidR="007749A2" w:rsidRPr="00543E11" w:rsidRDefault="00DD20AA" w:rsidP="00DD20A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0AB5BD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3EC9ACAD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0BB9B4" w14:textId="66769888" w:rsidR="007749A2" w:rsidRPr="00543E11" w:rsidRDefault="00DD20AA" w:rsidP="00DD20A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&lt;732&gt;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E01EF0" w14:textId="2492F64D" w:rsidR="007749A2" w:rsidRPr="00543E11" w:rsidRDefault="00DD20AA" w:rsidP="00DD20A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Nom du mainteneur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0F89EC" w14:textId="6B9E1580" w:rsidR="007749A2" w:rsidRPr="00543E11" w:rsidRDefault="00DD20AA" w:rsidP="00DD20A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il est inscrit sur la liste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2AE713" w14:textId="51BCE9DF" w:rsidR="007749A2" w:rsidRPr="00543E11" w:rsidRDefault="00DD20AA" w:rsidP="00DD20A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REQUIS si &lt;752&gt;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FEF6A31" w14:textId="1F3F8F2A" w:rsidR="007749A2" w:rsidRPr="00993823" w:rsidRDefault="00DD20AA" w:rsidP="00DD20A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993823">
              <w:rPr>
                <w:rFonts w:cs="Arial"/>
                <w:spacing w:val="-2"/>
                <w:sz w:val="18"/>
                <w:szCs w:val="18"/>
                <w:lang w:val="fr-FR"/>
              </w:rPr>
              <w:t>doit être accompagné de la date de début et de fin (le mainteneur peut changer)</w:t>
            </w:r>
          </w:p>
        </w:tc>
      </w:tr>
      <w:tr w:rsidR="007749A2" w:rsidRPr="00543E11" w14:paraId="4FCA210B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9F22F47" w14:textId="4D9948E6" w:rsidR="007749A2" w:rsidRPr="00543E11" w:rsidRDefault="00DD20AA" w:rsidP="00DD20A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&lt;752&gt;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0CAD1B" w14:textId="545BB9FC" w:rsidR="007749A2" w:rsidRPr="00543E11" w:rsidRDefault="00DD20AA" w:rsidP="00DD20A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Nom du mainteneur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59B760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CE486" w14:textId="428DE3C5" w:rsidR="007749A2" w:rsidRPr="00543E11" w:rsidRDefault="00DD20AA" w:rsidP="00DD20A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37ABE5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010037D0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8628D53" w14:textId="07455D48" w:rsidR="007749A2" w:rsidRPr="00543E11" w:rsidRDefault="00DD20AA" w:rsidP="00DD20AA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&lt;733&gt;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D45E6E" w14:textId="3B4320F7" w:rsidR="007749A2" w:rsidRPr="00543E11" w:rsidRDefault="00DD20AA" w:rsidP="00DD20AA">
            <w:pPr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bCs/>
                <w:sz w:val="18"/>
                <w:szCs w:val="18"/>
                <w:lang w:val="fr-FR"/>
              </w:rPr>
              <w:t>Nom du titulaire du titre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375B0E" w14:textId="591C8F07" w:rsidR="007749A2" w:rsidRPr="00543E11" w:rsidRDefault="00DD20AA" w:rsidP="00DD20A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obligatoire si la variété est protégée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D11A8" w14:textId="40D6878D" w:rsidR="007749A2" w:rsidRPr="00543E11" w:rsidRDefault="00DD20AA" w:rsidP="00DD20A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/>
                <w:sz w:val="18"/>
                <w:szCs w:val="18"/>
                <w:lang w:val="fr-FR"/>
              </w:rPr>
              <w:t>obligatoire si la variété est protégée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REQUIS si &lt;753&gt;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B6C89C" w14:textId="77777777" w:rsidR="00835891" w:rsidRDefault="00DD20AA" w:rsidP="00DD20A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i) </w:t>
            </w:r>
            <w:r w:rsidR="008E2566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éclaircir le sens du terme “titulaire du titre” au regard du document</w:t>
            </w:r>
            <w:r w:rsidR="006378A5">
              <w:rPr>
                <w:rFonts w:cs="Arial"/>
                <w:sz w:val="18"/>
                <w:szCs w:val="18"/>
                <w:lang w:val="fr-FR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TGP/5 (voir &lt;731&gt;)</w:t>
            </w:r>
          </w:p>
          <w:p w14:paraId="21ACE5FF" w14:textId="6C06389D" w:rsidR="007749A2" w:rsidRPr="00543E11" w:rsidRDefault="00DD20AA" w:rsidP="00DD20AA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ii) </w:t>
            </w:r>
            <w:r w:rsidR="008E2566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rFonts w:cs="Arial"/>
                <w:sz w:val="18"/>
                <w:szCs w:val="18"/>
                <w:lang w:val="fr-FR"/>
              </w:rPr>
              <w:t>doit être accompagné de la date de début et de fin (le mainteneur peut changer)</w:t>
            </w:r>
          </w:p>
        </w:tc>
      </w:tr>
      <w:tr w:rsidR="007749A2" w:rsidRPr="00543E11" w14:paraId="4261C0B7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69E7AE" w14:textId="63F31724" w:rsidR="007749A2" w:rsidRPr="00543E11" w:rsidRDefault="002B0E4A" w:rsidP="002B0E4A">
            <w:pPr>
              <w:spacing w:before="20" w:after="20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&lt;753&gt;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E9ABC4" w14:textId="438C5665" w:rsidR="007749A2" w:rsidRPr="00543E11" w:rsidRDefault="002B0E4A" w:rsidP="002B0E4A">
            <w:pPr>
              <w:spacing w:before="20" w:after="20"/>
              <w:jc w:val="left"/>
              <w:rPr>
                <w:rFonts w:cs="Arial"/>
                <w:bCs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bCs/>
                <w:sz w:val="18"/>
                <w:szCs w:val="18"/>
                <w:lang w:val="fr-FR"/>
              </w:rPr>
              <w:t>Nom du titulaire du titre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6F7454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CE7ABB" w14:textId="67CF1474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64724F6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1BAADACD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2B1408" w14:textId="120C4304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&lt;740&gt;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EAC51CA" w14:textId="19C81B1C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Type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 partie, suivi du nom de la partie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CABF40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7C050" w14:textId="75CC5B5A" w:rsidR="007749A2" w:rsidRPr="00543E11" w:rsidRDefault="008E2566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REQUIS si </w:t>
            </w:r>
            <w:r w:rsidR="002B0E4A" w:rsidRPr="00543E11">
              <w:rPr>
                <w:rFonts w:cs="Arial"/>
                <w:sz w:val="18"/>
                <w:szCs w:val="18"/>
                <w:lang w:val="fr-FR"/>
              </w:rPr>
              <w:t>&lt;760&gt;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396A2C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5DBC47EA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98A286" w14:textId="7F00B299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&lt;760&gt;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9F9D0F" w14:textId="12A92697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Type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 partie suivi du nom de la partie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5932FE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0645DE" w14:textId="3F1A598C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B31868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2AFD5297" w14:textId="77777777" w:rsidTr="007F461B">
        <w:trPr>
          <w:cantSplit/>
        </w:trPr>
        <w:tc>
          <w:tcPr>
            <w:tcW w:w="99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1FB8B2" w14:textId="1871BAF9" w:rsidR="007749A2" w:rsidRPr="00543E11" w:rsidRDefault="002B0E4A" w:rsidP="002B0E4A">
            <w:pPr>
              <w:tabs>
                <w:tab w:val="left" w:pos="386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INFORMATIONS SUR LES DEMANDES ÉQUIVALENTES DÉPOSÉES SUR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AUTRES TERRITOIRES</w:t>
            </w:r>
          </w:p>
        </w:tc>
      </w:tr>
      <w:tr w:rsidR="007749A2" w:rsidRPr="00543E11" w14:paraId="2E7BD14A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564119" w14:textId="367A3BC7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&lt;300&gt;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0C388B" w14:textId="5A81146C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Demande établissant la priorité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pays, type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enregistrement, date et numéro de la demande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E20BE2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E9958" w14:textId="1871A21C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7DA04F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6DDEE736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18CE83" w14:textId="20CFD938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&lt;310&gt;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B74E22" w14:textId="0A67EB14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Autres demandes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pays, type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enregistrement, date et numéro de la demande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3D4052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97F0D" w14:textId="2D1C7A7E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EBF9E6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5AC75609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58E9CC" w14:textId="4B32EDCD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&lt;320&gt;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D0DEF3B" w14:textId="6225281B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Autres pays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pays, dénomination si elle diffère de la dénomination indiquée dans la demande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9F8625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A1FDF" w14:textId="30870D12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D56D1B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1E8472BE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C3C7E13" w14:textId="0A44A48E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&lt;330&gt;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BD5A79" w14:textId="7EA16935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Autres pays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: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pays, référence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obtenteur si elle diffère de la référence indiquée dans la demande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4496F2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5F843A" w14:textId="2B87460E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607564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28C09428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32AEB3" w14:textId="6B5A7C34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&lt;900&gt;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64F466" w14:textId="60B5AEDE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Autres informations pertinentes (segments de phrase indexés)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00D20E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875D98" w14:textId="08CE8DA2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REQUIS si &lt;950&gt;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1E6976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3C31D9FE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009686" w14:textId="71EAD70A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&lt;950&gt;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9B8445" w14:textId="384D9EC6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Autres informations pertinentes (segments de phrase indexés)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2E32FD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711A4" w14:textId="50DB705B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D1C92A0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3B119D2E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84C541" w14:textId="31BF35BD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&lt;910&gt;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90429B" w14:textId="34ABEB20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Remarques (mots indexés)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57EEAD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6C4FCB" w14:textId="189EE335" w:rsidR="007749A2" w:rsidRPr="00543E11" w:rsidRDefault="002B0E4A" w:rsidP="002B0E4A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REQUIS si &lt;960&gt; a été attribué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3DFCA1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543E11" w14:paraId="0B0A5590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DC7CEBF" w14:textId="5831A31E" w:rsidR="007749A2" w:rsidRPr="00543E11" w:rsidRDefault="002B0E4A" w:rsidP="002B0E4A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&lt;960&gt;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53317A" w14:textId="123911F5" w:rsidR="007749A2" w:rsidRPr="00543E11" w:rsidRDefault="002B0E4A" w:rsidP="002B0E4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Remarques (mots indexés) en alphabet non romain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9E0916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F5CD2" w14:textId="4FB58727" w:rsidR="007749A2" w:rsidRPr="00543E11" w:rsidRDefault="006D3DEF" w:rsidP="006D3DEF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28B73C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35D1D030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8123D8" w14:textId="2672BCBA" w:rsidR="007749A2" w:rsidRPr="00543E11" w:rsidRDefault="006D3DEF" w:rsidP="006D3DEF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&lt;920&gt;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48E797" w14:textId="52659950" w:rsidR="007749A2" w:rsidRPr="00543E11" w:rsidRDefault="006D3DEF" w:rsidP="006D3DEF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Balises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éléments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information qui ont été modifiés depuis la dernière transmission (facultatif)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EE968B1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22A2A" w14:textId="2AB48620" w:rsidR="007749A2" w:rsidRPr="00543E11" w:rsidRDefault="006D3DEF" w:rsidP="006D3DEF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F85B42" w14:textId="565F66C4" w:rsidR="007749A2" w:rsidRPr="00543E11" w:rsidRDefault="006D3DEF" w:rsidP="006D3DEF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permettre de générer ces balises automatiquement (voir 2.1.1.a))</w:t>
            </w:r>
          </w:p>
        </w:tc>
      </w:tr>
      <w:tr w:rsidR="007749A2" w:rsidRPr="00543E11" w14:paraId="7AF49F9A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2C99C7" w14:textId="3571A094" w:rsidR="007749A2" w:rsidRPr="00543E11" w:rsidRDefault="006D3DEF" w:rsidP="006D3DEF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lastRenderedPageBreak/>
              <w:t>&lt;998&gt;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14470D" w14:textId="31349310" w:rsidR="007749A2" w:rsidRPr="00543E11" w:rsidRDefault="006D3DEF" w:rsidP="006D3DEF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FIG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F69CCE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A77EF" w14:textId="38A51C82" w:rsidR="007749A2" w:rsidRPr="00543E11" w:rsidRDefault="006D3DEF" w:rsidP="006D3DEF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07D148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7749A2" w:rsidRPr="00635794" w14:paraId="336E96A3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9BDF18" w14:textId="410225D1" w:rsidR="007749A2" w:rsidRPr="00543E11" w:rsidRDefault="006D3DEF" w:rsidP="006D3DEF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&lt;999&gt;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CA50D8" w14:textId="0181C2C1" w:rsidR="007749A2" w:rsidRPr="00543E11" w:rsidRDefault="006D3DEF" w:rsidP="006D3DEF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Identifiant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image (pour un usage futur)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8C3FFE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7FBEB9" w14:textId="5D82E0EA" w:rsidR="007749A2" w:rsidRPr="00543E11" w:rsidRDefault="006D3DEF" w:rsidP="006D3DEF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1C4BC0A" w14:textId="127B521F" w:rsidR="007749A2" w:rsidRPr="00543E11" w:rsidRDefault="006D3DEF" w:rsidP="006D3DEF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permettre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insérer un lien hypertexte vers une image (p.</w:t>
            </w:r>
            <w:r w:rsidR="00370A79">
              <w:rPr>
                <w:rFonts w:cs="Arial"/>
                <w:sz w:val="18"/>
                <w:szCs w:val="18"/>
                <w:lang w:val="fr-FR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ex.</w:t>
            </w:r>
            <w:r w:rsidR="00370A79">
              <w:rPr>
                <w:rFonts w:cs="Arial"/>
                <w:sz w:val="18"/>
                <w:szCs w:val="18"/>
                <w:lang w:val="fr-FR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sur la </w:t>
            </w:r>
            <w:r w:rsidR="00012DAF" w:rsidRPr="00543E11">
              <w:rPr>
                <w:rFonts w:cs="Arial"/>
                <w:sz w:val="18"/>
                <w:szCs w:val="18"/>
                <w:lang w:val="fr-FR"/>
              </w:rPr>
              <w:t>page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 </w:t>
            </w:r>
            <w:r w:rsidR="00012DAF" w:rsidRPr="00543E11">
              <w:rPr>
                <w:rFonts w:cs="Arial"/>
                <w:sz w:val="18"/>
                <w:szCs w:val="18"/>
                <w:lang w:val="fr-FR"/>
              </w:rPr>
              <w:t>W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eb d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un service)</w:t>
            </w:r>
          </w:p>
        </w:tc>
      </w:tr>
      <w:tr w:rsidR="007749A2" w:rsidRPr="00543E11" w14:paraId="6FAFE786" w14:textId="77777777" w:rsidTr="007F461B">
        <w:trPr>
          <w:cantSplit/>
        </w:trPr>
        <w:tc>
          <w:tcPr>
            <w:tcW w:w="99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95BE3D" w14:textId="49D03F67" w:rsidR="007749A2" w:rsidRPr="00543E11" w:rsidRDefault="006D3DEF" w:rsidP="006D3DEF">
            <w:pPr>
              <w:keepNext/>
              <w:tabs>
                <w:tab w:val="left" w:pos="386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DATES DE COMMERCIALISATION</w:t>
            </w:r>
          </w:p>
        </w:tc>
      </w:tr>
      <w:tr w:rsidR="007749A2" w:rsidRPr="00543E11" w14:paraId="05BAC02A" w14:textId="77777777" w:rsidTr="007F461B">
        <w:trPr>
          <w:cantSplit/>
        </w:trPr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51F6D1" w14:textId="6A30351F" w:rsidR="007749A2" w:rsidRPr="00543E11" w:rsidRDefault="006D3DEF" w:rsidP="006D3DEF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&lt;800&gt;</w:t>
            </w:r>
          </w:p>
        </w:tc>
        <w:tc>
          <w:tcPr>
            <w:tcW w:w="22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768292" w14:textId="1EC77EB9" w:rsidR="007749A2" w:rsidRPr="00543E11" w:rsidRDefault="006D3DEF" w:rsidP="006D3DEF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Dates de commercialisation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7C024A" w14:textId="77777777" w:rsidR="007749A2" w:rsidRPr="00543E11" w:rsidRDefault="007749A2" w:rsidP="007F461B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70B643" w14:textId="1193ED09" w:rsidR="007749A2" w:rsidRPr="00543E11" w:rsidRDefault="006D3DEF" w:rsidP="006D3DEF">
            <w:pPr>
              <w:tabs>
                <w:tab w:val="left" w:pos="386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non obligatoire</w:t>
            </w:r>
          </w:p>
        </w:tc>
        <w:tc>
          <w:tcPr>
            <w:tcW w:w="3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0CF90A" w14:textId="77777777" w:rsidR="007749A2" w:rsidRPr="00543E11" w:rsidRDefault="007749A2" w:rsidP="007F461B">
            <w:pPr>
              <w:tabs>
                <w:tab w:val="left" w:pos="38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103ADFF7" w14:textId="77777777" w:rsidR="00835891" w:rsidRDefault="00835891" w:rsidP="007749A2">
      <w:pPr>
        <w:spacing w:line="360" w:lineRule="auto"/>
        <w:ind w:left="567"/>
        <w:rPr>
          <w:bCs/>
          <w:lang w:val="fr-FR"/>
        </w:rPr>
      </w:pPr>
    </w:p>
    <w:p w14:paraId="76AE0C72" w14:textId="77777777" w:rsidR="00835891" w:rsidRDefault="006D3DEF" w:rsidP="006D3DEF">
      <w:pPr>
        <w:rPr>
          <w:rFonts w:cs="Arial"/>
          <w:lang w:val="fr-FR"/>
        </w:rPr>
      </w:pPr>
      <w:r w:rsidRPr="00543E11">
        <w:rPr>
          <w:rFonts w:cs="Arial"/>
          <w:lang w:val="fr-FR"/>
        </w:rPr>
        <w:t>&lt;800&gt; exemple</w:t>
      </w:r>
      <w:r w:rsidR="00012DAF">
        <w:rPr>
          <w:rFonts w:cs="Arial"/>
          <w:lang w:val="fr-FR"/>
        </w:rPr>
        <w:t> :</w:t>
      </w:r>
      <w:r w:rsidRPr="00543E11">
        <w:rPr>
          <w:rFonts w:cs="Arial"/>
          <w:lang w:val="fr-FR"/>
        </w:rPr>
        <w:t xml:space="preserve"> “AB CD 20120119</w:t>
      </w:r>
      <w:r w:rsidR="006378A5">
        <w:rPr>
          <w:rFonts w:cs="Arial"/>
          <w:lang w:val="fr-FR"/>
        </w:rPr>
        <w:t> </w:t>
      </w:r>
      <w:r w:rsidRPr="00543E11">
        <w:rPr>
          <w:rFonts w:cs="Arial"/>
          <w:lang w:val="fr-FR"/>
        </w:rPr>
        <w:t>statut de la source”</w:t>
      </w:r>
    </w:p>
    <w:p w14:paraId="0A0D5641" w14:textId="77777777" w:rsidR="00835891" w:rsidRDefault="007749A2" w:rsidP="006D3DEF">
      <w:pPr>
        <w:rPr>
          <w:rFonts w:cs="Arial"/>
          <w:lang w:val="fr-FR"/>
        </w:rPr>
      </w:pPr>
      <w:r w:rsidRPr="00543E11">
        <w:rPr>
          <w:rFonts w:cs="Arial"/>
          <w:lang w:val="fr-FR"/>
        </w:rPr>
        <w:tab/>
      </w:r>
      <w:r w:rsidRPr="00543E11">
        <w:rPr>
          <w:rFonts w:cs="Arial"/>
          <w:lang w:val="fr-FR"/>
        </w:rPr>
        <w:tab/>
      </w:r>
      <w:r w:rsidR="006D3DEF" w:rsidRPr="00543E11">
        <w:rPr>
          <w:rFonts w:cs="Arial"/>
          <w:lang w:val="fr-FR"/>
        </w:rPr>
        <w:t>ou “AB CD 2012</w:t>
      </w:r>
      <w:r w:rsidR="006378A5">
        <w:rPr>
          <w:rFonts w:cs="Arial"/>
          <w:lang w:val="fr-FR"/>
        </w:rPr>
        <w:t> </w:t>
      </w:r>
      <w:r w:rsidR="006D3DEF" w:rsidRPr="00543E11">
        <w:rPr>
          <w:rFonts w:cs="Arial"/>
          <w:lang w:val="fr-FR"/>
        </w:rPr>
        <w:t>statut de la source”</w:t>
      </w:r>
    </w:p>
    <w:p w14:paraId="3CB2B934" w14:textId="77777777" w:rsidR="00835891" w:rsidRDefault="00835891" w:rsidP="007749A2">
      <w:pPr>
        <w:spacing w:line="360" w:lineRule="auto"/>
        <w:ind w:left="567"/>
        <w:rPr>
          <w:bCs/>
          <w:lang w:val="fr-FR"/>
        </w:rPr>
      </w:pPr>
    </w:p>
    <w:p w14:paraId="25AED82D" w14:textId="77777777" w:rsidR="00835891" w:rsidRDefault="006D3DEF" w:rsidP="006D3DEF">
      <w:pPr>
        <w:keepNext/>
        <w:ind w:left="567"/>
        <w:rPr>
          <w:rFonts w:cs="Arial"/>
          <w:bCs/>
          <w:i/>
          <w:iCs/>
          <w:lang w:val="fr-FR"/>
        </w:rPr>
      </w:pPr>
      <w:r w:rsidRPr="00543E11">
        <w:rPr>
          <w:rFonts w:cs="Arial"/>
          <w:bCs/>
          <w:iCs/>
          <w:lang w:val="fr-FR"/>
        </w:rPr>
        <w:t>3.3</w:t>
      </w:r>
      <w:r w:rsidRPr="00543E11">
        <w:rPr>
          <w:rFonts w:cs="Arial"/>
          <w:bCs/>
          <w:iCs/>
          <w:lang w:val="fr-FR"/>
        </w:rPr>
        <w:tab/>
      </w:r>
      <w:r w:rsidRPr="00543E11">
        <w:rPr>
          <w:rFonts w:cs="Arial"/>
          <w:bCs/>
          <w:i/>
          <w:iCs/>
          <w:lang w:val="fr-FR"/>
        </w:rPr>
        <w:t>Éléments obligatoires et requis</w:t>
      </w:r>
    </w:p>
    <w:p w14:paraId="3FA7EA6C" w14:textId="77777777" w:rsidR="00835891" w:rsidRDefault="00835891" w:rsidP="007749A2">
      <w:pPr>
        <w:keepNext/>
        <w:ind w:left="567"/>
        <w:rPr>
          <w:bCs/>
          <w:lang w:val="fr-FR"/>
        </w:rPr>
      </w:pPr>
    </w:p>
    <w:p w14:paraId="4DEC39AB" w14:textId="77777777" w:rsidR="00835891" w:rsidRDefault="0001390F" w:rsidP="006D3DEF">
      <w:pPr>
        <w:rPr>
          <w:rFonts w:cs="Angsana New"/>
          <w:bCs/>
          <w:szCs w:val="24"/>
          <w:lang w:val="fr-FR" w:bidi="th-TH"/>
        </w:rPr>
      </w:pPr>
      <w:r w:rsidRPr="00543E11">
        <w:rPr>
          <w:rFonts w:cs="Angsana New"/>
          <w:bCs/>
          <w:szCs w:val="24"/>
          <w:lang w:val="fr-FR" w:bidi="th-TH"/>
        </w:rPr>
        <w:t>3.3.1</w:t>
      </w:r>
      <w:r w:rsidRPr="00543E11">
        <w:rPr>
          <w:rFonts w:cs="Angsana New"/>
          <w:bCs/>
          <w:szCs w:val="24"/>
          <w:lang w:val="fr-FR" w:bidi="th-TH"/>
        </w:rPr>
        <w:tab/>
      </w:r>
      <w:r w:rsidR="006D3DEF" w:rsidRPr="00543E11">
        <w:rPr>
          <w:rFonts w:cs="Angsana New"/>
          <w:bCs/>
          <w:szCs w:val="24"/>
          <w:lang w:val="fr-FR" w:bidi="th-TH"/>
        </w:rPr>
        <w:t>S</w:t>
      </w:r>
      <w:r w:rsidR="00012DAF">
        <w:rPr>
          <w:rFonts w:cs="Angsana New"/>
          <w:bCs/>
          <w:szCs w:val="24"/>
          <w:lang w:val="fr-FR" w:bidi="th-TH"/>
        </w:rPr>
        <w:t>’</w:t>
      </w:r>
      <w:r w:rsidR="006D3DEF" w:rsidRPr="00543E11">
        <w:rPr>
          <w:rFonts w:cs="Angsana New"/>
          <w:bCs/>
          <w:szCs w:val="24"/>
          <w:lang w:val="fr-FR" w:bidi="th-TH"/>
        </w:rPr>
        <w:t>agissant des éléments qualifiés d</w:t>
      </w:r>
      <w:r w:rsidR="00012DAF">
        <w:rPr>
          <w:rFonts w:cs="Angsana New"/>
          <w:bCs/>
          <w:szCs w:val="24"/>
          <w:lang w:val="fr-FR" w:bidi="th-TH"/>
        </w:rPr>
        <w:t>’</w:t>
      </w:r>
      <w:r w:rsidR="006D3DEF" w:rsidRPr="00543E11">
        <w:rPr>
          <w:rFonts w:cs="Angsana New"/>
          <w:bCs/>
          <w:szCs w:val="24"/>
          <w:lang w:val="fr-FR" w:bidi="th-TH"/>
        </w:rPr>
        <w:t xml:space="preserve">“obligatoires” à la </w:t>
      </w:r>
      <w:r w:rsidR="00012DAF" w:rsidRPr="00543E11">
        <w:rPr>
          <w:rFonts w:cs="Angsana New"/>
          <w:bCs/>
          <w:szCs w:val="24"/>
          <w:lang w:val="fr-FR" w:bidi="th-TH"/>
        </w:rPr>
        <w:t>section</w:t>
      </w:r>
      <w:r w:rsidR="00012DAF">
        <w:rPr>
          <w:rFonts w:cs="Angsana New"/>
          <w:bCs/>
          <w:szCs w:val="24"/>
          <w:lang w:val="fr-FR" w:bidi="th-TH"/>
        </w:rPr>
        <w:t> </w:t>
      </w:r>
      <w:r w:rsidR="00012DAF" w:rsidRPr="00543E11">
        <w:rPr>
          <w:rFonts w:cs="Angsana New"/>
          <w:bCs/>
          <w:szCs w:val="24"/>
          <w:lang w:val="fr-FR" w:bidi="th-TH"/>
        </w:rPr>
        <w:t>3</w:t>
      </w:r>
      <w:r w:rsidR="006D3DEF" w:rsidRPr="00543E11">
        <w:rPr>
          <w:rFonts w:cs="Angsana New"/>
          <w:bCs/>
          <w:szCs w:val="24"/>
          <w:lang w:val="fr-FR" w:bidi="th-TH"/>
        </w:rPr>
        <w:t>,2, les données ne seront pas exclues de la base de données PLUTO si ces éléments sont absents.</w:t>
      </w:r>
      <w:r w:rsidR="007749A2" w:rsidRPr="00543E11">
        <w:rPr>
          <w:rFonts w:cs="Angsana New"/>
          <w:bCs/>
          <w:szCs w:val="24"/>
          <w:lang w:val="fr-FR" w:bidi="th-TH"/>
        </w:rPr>
        <w:t xml:space="preserve">  </w:t>
      </w:r>
      <w:r w:rsidR="006D3DEF" w:rsidRPr="00543E11">
        <w:rPr>
          <w:rFonts w:cs="Angsana New"/>
          <w:bCs/>
          <w:szCs w:val="24"/>
          <w:lang w:val="fr-FR" w:bidi="th-TH"/>
        </w:rPr>
        <w:t>Toutefois, un rapport sur les éléments non conformes sera adressé au contributeur.</w:t>
      </w:r>
    </w:p>
    <w:p w14:paraId="7A6D2657" w14:textId="77777777" w:rsidR="00835891" w:rsidRDefault="00835891" w:rsidP="007749A2">
      <w:pPr>
        <w:rPr>
          <w:rFonts w:cs="Angsana New"/>
          <w:bCs/>
          <w:szCs w:val="24"/>
          <w:lang w:val="fr-FR" w:bidi="th-TH"/>
        </w:rPr>
      </w:pPr>
    </w:p>
    <w:p w14:paraId="5F2278AB" w14:textId="77777777" w:rsidR="00835891" w:rsidRDefault="0001390F" w:rsidP="006D3DEF">
      <w:pPr>
        <w:rPr>
          <w:rFonts w:cs="Angsana New"/>
          <w:bCs/>
          <w:szCs w:val="24"/>
          <w:lang w:val="fr-FR" w:bidi="th-TH"/>
        </w:rPr>
      </w:pPr>
      <w:r w:rsidRPr="00543E11">
        <w:rPr>
          <w:rFonts w:cs="Angsana New"/>
          <w:bCs/>
          <w:szCs w:val="24"/>
          <w:lang w:val="fr-FR" w:bidi="th-TH"/>
        </w:rPr>
        <w:t>3.3.2</w:t>
      </w:r>
      <w:r w:rsidRPr="00543E11">
        <w:rPr>
          <w:rFonts w:cs="Angsana New"/>
          <w:bCs/>
          <w:szCs w:val="24"/>
          <w:lang w:val="fr-FR" w:bidi="th-TH"/>
        </w:rPr>
        <w:tab/>
      </w:r>
      <w:r w:rsidR="006D3DEF" w:rsidRPr="00543E11">
        <w:rPr>
          <w:rFonts w:cs="Angsana New"/>
          <w:bCs/>
          <w:szCs w:val="24"/>
          <w:lang w:val="fr-FR" w:bidi="th-TH"/>
        </w:rPr>
        <w:t>Un résumé des éléments non conformes sera aussi adressé au</w:t>
      </w:r>
      <w:r w:rsidR="00012DAF">
        <w:rPr>
          <w:rFonts w:cs="Angsana New"/>
          <w:bCs/>
          <w:szCs w:val="24"/>
          <w:lang w:val="fr-FR" w:bidi="th-TH"/>
        </w:rPr>
        <w:t> TC</w:t>
      </w:r>
      <w:r w:rsidR="006D3DEF" w:rsidRPr="00543E11">
        <w:rPr>
          <w:rFonts w:cs="Angsana New"/>
          <w:bCs/>
          <w:szCs w:val="24"/>
          <w:lang w:val="fr-FR" w:bidi="th-TH"/>
        </w:rPr>
        <w:t xml:space="preserve"> et au CAJ chaque année.</w:t>
      </w:r>
    </w:p>
    <w:p w14:paraId="487C2EF5" w14:textId="77777777" w:rsidR="00835891" w:rsidRDefault="00835891" w:rsidP="007749A2">
      <w:pPr>
        <w:spacing w:line="360" w:lineRule="auto"/>
        <w:rPr>
          <w:bCs/>
          <w:lang w:val="fr-FR"/>
        </w:rPr>
      </w:pPr>
    </w:p>
    <w:p w14:paraId="417D58B6" w14:textId="77777777" w:rsidR="00835891" w:rsidRDefault="0001390F" w:rsidP="006D3DEF">
      <w:pPr>
        <w:rPr>
          <w:lang w:val="fr-FR"/>
        </w:rPr>
      </w:pPr>
      <w:r w:rsidRPr="00543E11">
        <w:rPr>
          <w:lang w:val="fr-FR"/>
        </w:rPr>
        <w:t>3.3.3</w:t>
      </w:r>
      <w:r w:rsidRPr="00543E11">
        <w:rPr>
          <w:lang w:val="fr-FR"/>
        </w:rPr>
        <w:tab/>
      </w:r>
      <w:r w:rsidR="006D3DEF" w:rsidRPr="00543E11">
        <w:rPr>
          <w:lang w:val="fr-FR"/>
        </w:rPr>
        <w:t>S</w:t>
      </w:r>
      <w:r w:rsidR="00012DAF">
        <w:rPr>
          <w:lang w:val="fr-FR"/>
        </w:rPr>
        <w:t>’</w:t>
      </w:r>
      <w:r w:rsidR="006D3DEF" w:rsidRPr="00543E11">
        <w:rPr>
          <w:lang w:val="fr-FR"/>
        </w:rPr>
        <w:t xml:space="preserve">agissant des éléments qualifiés de “REQUIS” à la </w:t>
      </w:r>
      <w:r w:rsidR="00012DAF" w:rsidRPr="00543E11">
        <w:rPr>
          <w:lang w:val="fr-FR"/>
        </w:rPr>
        <w:t>section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3</w:t>
      </w:r>
      <w:r w:rsidR="006D3DEF" w:rsidRPr="00543E11">
        <w:rPr>
          <w:lang w:val="fr-FR"/>
        </w:rPr>
        <w:t>,2, les données seront exclues de la base de données PLUTO si l</w:t>
      </w:r>
      <w:r w:rsidR="00012DAF">
        <w:rPr>
          <w:lang w:val="fr-FR"/>
        </w:rPr>
        <w:t>’</w:t>
      </w:r>
      <w:r w:rsidR="006D3DEF" w:rsidRPr="00543E11">
        <w:rPr>
          <w:lang w:val="fr-FR"/>
        </w:rPr>
        <w:t>élément requis est absent en alphabet latin</w:t>
      </w:r>
    </w:p>
    <w:p w14:paraId="00C103E1" w14:textId="77777777" w:rsidR="00835891" w:rsidRDefault="00835891" w:rsidP="007749A2">
      <w:pPr>
        <w:spacing w:line="360" w:lineRule="auto"/>
        <w:rPr>
          <w:bCs/>
          <w:lang w:val="fr-FR"/>
        </w:rPr>
      </w:pPr>
    </w:p>
    <w:p w14:paraId="3334628B" w14:textId="77777777" w:rsidR="00835891" w:rsidRDefault="006D3DEF" w:rsidP="006D3DEF">
      <w:pPr>
        <w:ind w:left="567"/>
        <w:rPr>
          <w:bCs/>
          <w:i/>
          <w:iCs/>
          <w:lang w:val="fr-FR"/>
        </w:rPr>
      </w:pPr>
      <w:r w:rsidRPr="00543E11">
        <w:rPr>
          <w:bCs/>
          <w:iCs/>
          <w:lang w:val="fr-FR"/>
        </w:rPr>
        <w:t xml:space="preserve">3.4 </w:t>
      </w:r>
      <w:r w:rsidRPr="00543E11">
        <w:rPr>
          <w:bCs/>
          <w:i/>
          <w:iCs/>
          <w:lang w:val="fr-FR"/>
        </w:rPr>
        <w:t>Dates de commercialisation</w:t>
      </w:r>
    </w:p>
    <w:p w14:paraId="7BB5308B" w14:textId="77777777" w:rsidR="00835891" w:rsidRDefault="00835891" w:rsidP="007749A2">
      <w:pPr>
        <w:ind w:left="567"/>
        <w:rPr>
          <w:bCs/>
          <w:i/>
          <w:iCs/>
          <w:lang w:val="fr-FR"/>
        </w:rPr>
      </w:pPr>
    </w:p>
    <w:p w14:paraId="2F67823A" w14:textId="77777777" w:rsidR="00835891" w:rsidRDefault="0001390F" w:rsidP="006D3DEF">
      <w:pPr>
        <w:rPr>
          <w:iCs/>
          <w:lang w:val="fr-FR"/>
        </w:rPr>
      </w:pPr>
      <w:r w:rsidRPr="00543E11">
        <w:rPr>
          <w:iCs/>
          <w:lang w:val="fr-FR"/>
        </w:rPr>
        <w:t>3.4.1</w:t>
      </w:r>
      <w:r w:rsidRPr="00543E11">
        <w:rPr>
          <w:iCs/>
          <w:lang w:val="fr-FR"/>
        </w:rPr>
        <w:tab/>
      </w:r>
      <w:r w:rsidR="006D3DEF" w:rsidRPr="00543E11">
        <w:rPr>
          <w:iCs/>
          <w:lang w:val="fr-FR"/>
        </w:rPr>
        <w:t>Un champ a été ajouté à la base de données PLUTO pour permettre de communiquer des informations sur les dates auxquelles une variété a été commercialisée pour la première fois sur le territoire de la demande et dans d</w:t>
      </w:r>
      <w:r w:rsidR="00012DAF">
        <w:rPr>
          <w:iCs/>
          <w:lang w:val="fr-FR"/>
        </w:rPr>
        <w:t>’</w:t>
      </w:r>
      <w:r w:rsidR="006D3DEF" w:rsidRPr="00543E11">
        <w:rPr>
          <w:iCs/>
          <w:lang w:val="fr-FR"/>
        </w:rPr>
        <w:t>autres territoires, de la manière suivante</w:t>
      </w:r>
      <w:r w:rsidR="00012DAF">
        <w:rPr>
          <w:iCs/>
          <w:lang w:val="fr-FR"/>
        </w:rPr>
        <w:t> :</w:t>
      </w:r>
    </w:p>
    <w:p w14:paraId="30FBACC9" w14:textId="77777777" w:rsidR="00835891" w:rsidRDefault="00835891" w:rsidP="007749A2">
      <w:pPr>
        <w:rPr>
          <w:i/>
          <w:iCs/>
          <w:lang w:val="fr-FR"/>
        </w:rPr>
      </w:pPr>
    </w:p>
    <w:p w14:paraId="6E27FC05" w14:textId="77777777" w:rsidR="00835891" w:rsidRDefault="006D3DEF" w:rsidP="006D3DEF">
      <w:pPr>
        <w:ind w:left="567"/>
        <w:rPr>
          <w:lang w:val="fr-FR"/>
        </w:rPr>
      </w:pPr>
      <w:r w:rsidRPr="00543E11">
        <w:rPr>
          <w:lang w:val="fr-FR"/>
        </w:rPr>
        <w:t>Entrée &lt;XXX&gt;</w:t>
      </w:r>
      <w:r w:rsidR="00012DAF">
        <w:rPr>
          <w:lang w:val="fr-FR"/>
        </w:rPr>
        <w:t> :</w:t>
      </w:r>
      <w:r w:rsidRPr="00543E11">
        <w:rPr>
          <w:lang w:val="fr-FR"/>
        </w:rPr>
        <w:t xml:space="preserve"> dates auxquelles une variété a été commercialisée pour la première fois sur le territoire de la demande et dans d</w:t>
      </w:r>
      <w:r w:rsidR="00012DAF">
        <w:rPr>
          <w:lang w:val="fr-FR"/>
        </w:rPr>
        <w:t>’</w:t>
      </w:r>
      <w:r w:rsidRPr="00543E11">
        <w:rPr>
          <w:lang w:val="fr-FR"/>
        </w:rPr>
        <w:t>autres territoires (non obligatoire)</w:t>
      </w:r>
    </w:p>
    <w:p w14:paraId="1313C0DF" w14:textId="422059F6" w:rsidR="007749A2" w:rsidRPr="00543E11" w:rsidRDefault="007749A2" w:rsidP="007749A2">
      <w:pPr>
        <w:rPr>
          <w:i/>
          <w:iCs/>
          <w:lang w:val="fr-FR"/>
        </w:rPr>
      </w:pPr>
    </w:p>
    <w:tbl>
      <w:tblPr>
        <w:tblW w:w="9195" w:type="dxa"/>
        <w:tblInd w:w="5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5"/>
        <w:gridCol w:w="4030"/>
      </w:tblGrid>
      <w:tr w:rsidR="007749A2" w:rsidRPr="00543E11" w14:paraId="246660EC" w14:textId="77777777" w:rsidTr="00FB5D32">
        <w:trPr>
          <w:cantSplit/>
          <w:tblHeader/>
        </w:trPr>
        <w:tc>
          <w:tcPr>
            <w:tcW w:w="5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AE215" w14:textId="77777777" w:rsidR="007749A2" w:rsidRPr="00543E11" w:rsidRDefault="007749A2" w:rsidP="007F461B">
            <w:pPr>
              <w:spacing w:before="40" w:after="40"/>
              <w:jc w:val="left"/>
              <w:rPr>
                <w:sz w:val="18"/>
                <w:szCs w:val="24"/>
                <w:lang w:val="fr-FR"/>
              </w:rPr>
            </w:pPr>
          </w:p>
        </w:tc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3202CE0" w14:textId="4B9C9A64" w:rsidR="007749A2" w:rsidRPr="00543E11" w:rsidRDefault="006D3DEF" w:rsidP="006D3DEF">
            <w:pPr>
              <w:spacing w:before="40" w:after="40"/>
              <w:jc w:val="left"/>
              <w:rPr>
                <w:sz w:val="18"/>
                <w:szCs w:val="24"/>
                <w:u w:val="single"/>
                <w:lang w:val="fr-FR"/>
              </w:rPr>
            </w:pPr>
            <w:r w:rsidRPr="00543E11">
              <w:rPr>
                <w:sz w:val="18"/>
                <w:szCs w:val="24"/>
                <w:u w:val="single"/>
                <w:lang w:val="fr-FR"/>
              </w:rPr>
              <w:t>Commentaire</w:t>
            </w:r>
          </w:p>
        </w:tc>
      </w:tr>
      <w:tr w:rsidR="006D3DEF" w:rsidRPr="00635794" w14:paraId="1E1AE6A5" w14:textId="77777777" w:rsidTr="007F461B">
        <w:trPr>
          <w:cantSplit/>
        </w:trPr>
        <w:tc>
          <w:tcPr>
            <w:tcW w:w="5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10585" w14:textId="05549DCB" w:rsidR="007749A2" w:rsidRPr="00543E11" w:rsidRDefault="006D3DEF" w:rsidP="006D3DEF">
            <w:pPr>
              <w:spacing w:before="40" w:after="40"/>
              <w:jc w:val="left"/>
              <w:rPr>
                <w:sz w:val="18"/>
                <w:szCs w:val="24"/>
                <w:lang w:val="fr-FR"/>
              </w:rPr>
            </w:pPr>
            <w:r w:rsidRPr="00543E11">
              <w:rPr>
                <w:sz w:val="18"/>
                <w:szCs w:val="24"/>
                <w:lang w:val="fr-FR"/>
              </w:rPr>
              <w:t>i)</w:t>
            </w:r>
            <w:r w:rsidRPr="00543E11">
              <w:rPr>
                <w:sz w:val="18"/>
                <w:szCs w:val="24"/>
                <w:lang w:val="fr-FR"/>
              </w:rPr>
              <w:tab/>
              <w:t>Service fournissant l</w:t>
            </w:r>
            <w:r w:rsidR="00012DAF">
              <w:rPr>
                <w:sz w:val="18"/>
                <w:szCs w:val="24"/>
                <w:lang w:val="fr-FR"/>
              </w:rPr>
              <w:t>’</w:t>
            </w:r>
            <w:r w:rsidRPr="00543E11">
              <w:rPr>
                <w:sz w:val="18"/>
                <w:szCs w:val="24"/>
                <w:lang w:val="fr-FR"/>
              </w:rPr>
              <w:t>information [suivante]</w:t>
            </w:r>
          </w:p>
        </w:tc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A5D733D" w14:textId="045BC691" w:rsidR="007749A2" w:rsidRPr="00543E11" w:rsidRDefault="006D3DEF" w:rsidP="006D3DEF">
            <w:pPr>
              <w:spacing w:before="40" w:after="40"/>
              <w:jc w:val="left"/>
              <w:rPr>
                <w:sz w:val="18"/>
                <w:szCs w:val="24"/>
                <w:lang w:val="fr-FR"/>
              </w:rPr>
            </w:pPr>
            <w:r w:rsidRPr="00543E11">
              <w:rPr>
                <w:sz w:val="18"/>
                <w:szCs w:val="24"/>
                <w:lang w:val="fr-FR"/>
              </w:rPr>
              <w:t>code ISO sur deux</w:t>
            </w:r>
            <w:r w:rsidR="00370A79">
              <w:rPr>
                <w:sz w:val="18"/>
                <w:szCs w:val="24"/>
                <w:lang w:val="fr-FR"/>
              </w:rPr>
              <w:t> </w:t>
            </w:r>
            <w:r w:rsidRPr="00543E11">
              <w:rPr>
                <w:sz w:val="18"/>
                <w:szCs w:val="24"/>
                <w:lang w:val="fr-FR"/>
              </w:rPr>
              <w:t>lettres</w:t>
            </w:r>
          </w:p>
        </w:tc>
      </w:tr>
      <w:tr w:rsidR="007749A2" w:rsidRPr="00635794" w14:paraId="7E73BFA4" w14:textId="77777777" w:rsidTr="007F461B">
        <w:trPr>
          <w:cantSplit/>
        </w:trPr>
        <w:tc>
          <w:tcPr>
            <w:tcW w:w="5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F089C" w14:textId="2BE8D2B4" w:rsidR="007749A2" w:rsidRPr="00543E11" w:rsidRDefault="006D3DEF" w:rsidP="006D3DEF">
            <w:pPr>
              <w:spacing w:before="40" w:after="40"/>
              <w:jc w:val="left"/>
              <w:rPr>
                <w:sz w:val="18"/>
                <w:lang w:val="fr-FR"/>
              </w:rPr>
            </w:pPr>
            <w:r w:rsidRPr="00543E11">
              <w:rPr>
                <w:sz w:val="18"/>
                <w:lang w:val="fr-FR"/>
              </w:rPr>
              <w:t>ii)</w:t>
            </w:r>
            <w:r w:rsidRPr="00543E11">
              <w:rPr>
                <w:sz w:val="18"/>
                <w:lang w:val="fr-FR"/>
              </w:rPr>
              <w:tab/>
              <w:t>Territoire de commercialisation</w:t>
            </w:r>
          </w:p>
        </w:tc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0C9F2C9" w14:textId="38D5E047" w:rsidR="007749A2" w:rsidRPr="00543E11" w:rsidRDefault="006D3DEF" w:rsidP="006D3DEF">
            <w:pPr>
              <w:spacing w:before="40" w:after="40"/>
              <w:jc w:val="left"/>
              <w:rPr>
                <w:sz w:val="18"/>
                <w:szCs w:val="24"/>
                <w:lang w:val="fr-FR"/>
              </w:rPr>
            </w:pPr>
            <w:r w:rsidRPr="00543E11">
              <w:rPr>
                <w:sz w:val="18"/>
                <w:szCs w:val="24"/>
                <w:lang w:val="fr-FR"/>
              </w:rPr>
              <w:t>code ISO sur deux</w:t>
            </w:r>
            <w:r w:rsidR="00370A79">
              <w:rPr>
                <w:sz w:val="18"/>
                <w:szCs w:val="24"/>
                <w:lang w:val="fr-FR"/>
              </w:rPr>
              <w:t> </w:t>
            </w:r>
            <w:r w:rsidRPr="00543E11">
              <w:rPr>
                <w:sz w:val="18"/>
                <w:szCs w:val="24"/>
                <w:lang w:val="fr-FR"/>
              </w:rPr>
              <w:t>lettres</w:t>
            </w:r>
          </w:p>
        </w:tc>
      </w:tr>
      <w:tr w:rsidR="007749A2" w:rsidRPr="00635794" w14:paraId="3B6BA0E1" w14:textId="77777777" w:rsidTr="007F461B">
        <w:trPr>
          <w:cantSplit/>
        </w:trPr>
        <w:tc>
          <w:tcPr>
            <w:tcW w:w="5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AEB40" w14:textId="77777777" w:rsidR="00835891" w:rsidRDefault="0001390F" w:rsidP="00BB770C">
            <w:pPr>
              <w:spacing w:before="40" w:after="40"/>
              <w:jc w:val="left"/>
              <w:rPr>
                <w:sz w:val="18"/>
                <w:lang w:val="fr-FR"/>
              </w:rPr>
            </w:pPr>
            <w:r w:rsidRPr="00543E11">
              <w:rPr>
                <w:sz w:val="18"/>
                <w:lang w:val="fr-FR"/>
              </w:rPr>
              <w:t>iii)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="00BB770C" w:rsidRPr="00543E11">
              <w:rPr>
                <w:sz w:val="18"/>
                <w:lang w:val="fr-FR"/>
              </w:rPr>
              <w:t>Date à laquelle la variété a été commercialisée* pour la première fois sur le territoire</w:t>
            </w:r>
          </w:p>
          <w:p w14:paraId="462BAEFF" w14:textId="0EFC3ADD" w:rsidR="007749A2" w:rsidRPr="00543E11" w:rsidRDefault="00BB770C" w:rsidP="00BB770C">
            <w:pPr>
              <w:spacing w:before="40" w:after="40"/>
              <w:jc w:val="left"/>
              <w:rPr>
                <w:sz w:val="18"/>
                <w:lang w:val="fr-FR"/>
              </w:rPr>
            </w:pPr>
            <w:r w:rsidRPr="00543E11">
              <w:rPr>
                <w:sz w:val="18"/>
                <w:lang w:val="fr-FR"/>
              </w:rPr>
              <w:t>(*L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expression “commercialisée” s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entend de ce qui est “vendu ou remis à des tiers d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une autre manière, par 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obtenteur ou avec son consentement, aux fins de 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exploitation de la variété” (</w:t>
            </w:r>
            <w:r w:rsidR="00012DAF" w:rsidRPr="00543E11">
              <w:rPr>
                <w:sz w:val="18"/>
                <w:lang w:val="fr-FR"/>
              </w:rPr>
              <w:t>article</w:t>
            </w:r>
            <w:r w:rsidR="00012DAF">
              <w:rPr>
                <w:sz w:val="18"/>
                <w:lang w:val="fr-FR"/>
              </w:rPr>
              <w:t> </w:t>
            </w:r>
            <w:r w:rsidR="00012DAF" w:rsidRPr="00543E11">
              <w:rPr>
                <w:sz w:val="18"/>
                <w:lang w:val="fr-FR"/>
              </w:rPr>
              <w:t>6</w:t>
            </w:r>
            <w:r w:rsidRPr="00543E11">
              <w:rPr>
                <w:sz w:val="18"/>
                <w:lang w:val="fr-FR"/>
              </w:rPr>
              <w:t>,1) de 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 xml:space="preserve">Acte </w:t>
            </w:r>
            <w:r w:rsidR="00012DAF" w:rsidRPr="00543E11">
              <w:rPr>
                <w:sz w:val="18"/>
                <w:lang w:val="fr-FR"/>
              </w:rPr>
              <w:t>de</w:t>
            </w:r>
            <w:r w:rsidR="00012DAF">
              <w:rPr>
                <w:sz w:val="18"/>
                <w:lang w:val="fr-FR"/>
              </w:rPr>
              <w:t> </w:t>
            </w:r>
            <w:r w:rsidR="00012DAF" w:rsidRPr="00543E11">
              <w:rPr>
                <w:sz w:val="18"/>
                <w:lang w:val="fr-FR"/>
              </w:rPr>
              <w:t>1991</w:t>
            </w:r>
            <w:r w:rsidRPr="00543E11">
              <w:rPr>
                <w:sz w:val="18"/>
                <w:lang w:val="fr-FR"/>
              </w:rPr>
              <w:t xml:space="preserve"> de la </w:t>
            </w:r>
            <w:r w:rsidR="00012DAF">
              <w:rPr>
                <w:sz w:val="18"/>
                <w:lang w:val="fr-FR"/>
              </w:rPr>
              <w:t>Convention UPOV</w:t>
            </w:r>
            <w:r w:rsidRPr="00543E11">
              <w:rPr>
                <w:sz w:val="18"/>
                <w:lang w:val="fr-FR"/>
              </w:rPr>
              <w:t>) ou “offert à la vente ou commercialisé avec le consentement de 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obtenteur” (</w:t>
            </w:r>
            <w:r w:rsidR="00012DAF" w:rsidRPr="00543E11">
              <w:rPr>
                <w:sz w:val="18"/>
                <w:lang w:val="fr-FR"/>
              </w:rPr>
              <w:t>article</w:t>
            </w:r>
            <w:r w:rsidR="00012DAF">
              <w:rPr>
                <w:sz w:val="18"/>
                <w:lang w:val="fr-FR"/>
              </w:rPr>
              <w:t> </w:t>
            </w:r>
            <w:r w:rsidR="00012DAF" w:rsidRPr="00543E11">
              <w:rPr>
                <w:sz w:val="18"/>
                <w:lang w:val="fr-FR"/>
              </w:rPr>
              <w:t>6</w:t>
            </w:r>
            <w:r w:rsidRPr="00543E11">
              <w:rPr>
                <w:sz w:val="18"/>
                <w:lang w:val="fr-FR"/>
              </w:rPr>
              <w:t>.1.b) de 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 xml:space="preserve">Acte </w:t>
            </w:r>
            <w:r w:rsidR="00012DAF" w:rsidRPr="00543E11">
              <w:rPr>
                <w:sz w:val="18"/>
                <w:lang w:val="fr-FR"/>
              </w:rPr>
              <w:t>de</w:t>
            </w:r>
            <w:r w:rsidR="00012DAF">
              <w:rPr>
                <w:sz w:val="18"/>
                <w:lang w:val="fr-FR"/>
              </w:rPr>
              <w:t> </w:t>
            </w:r>
            <w:r w:rsidR="00012DAF" w:rsidRPr="00543E11">
              <w:rPr>
                <w:sz w:val="18"/>
                <w:lang w:val="fr-FR"/>
              </w:rPr>
              <w:t>1978</w:t>
            </w:r>
            <w:r w:rsidRPr="00543E11">
              <w:rPr>
                <w:sz w:val="18"/>
                <w:lang w:val="fr-FR"/>
              </w:rPr>
              <w:t xml:space="preserve"> de la </w:t>
            </w:r>
            <w:r w:rsidR="00012DAF">
              <w:rPr>
                <w:sz w:val="18"/>
                <w:lang w:val="fr-FR"/>
              </w:rPr>
              <w:t>Convention UPOV</w:t>
            </w:r>
            <w:r w:rsidRPr="00543E11">
              <w:rPr>
                <w:sz w:val="18"/>
                <w:lang w:val="fr-FR"/>
              </w:rPr>
              <w:t>), selon la situation).</w:t>
            </w:r>
          </w:p>
        </w:tc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4E54A9A" w14:textId="1A64AD96" w:rsidR="007749A2" w:rsidRPr="00543E11" w:rsidRDefault="00BB770C" w:rsidP="00BB770C">
            <w:pPr>
              <w:spacing w:before="40" w:after="40"/>
              <w:jc w:val="left"/>
              <w:rPr>
                <w:sz w:val="18"/>
                <w:szCs w:val="24"/>
                <w:lang w:val="fr-FR"/>
              </w:rPr>
            </w:pPr>
            <w:r w:rsidRPr="00543E11">
              <w:rPr>
                <w:sz w:val="18"/>
                <w:szCs w:val="24"/>
                <w:lang w:val="fr-FR"/>
              </w:rPr>
              <w:t>date au format AAAA [MMJJ] (Année[MoisJour])</w:t>
            </w:r>
            <w:r w:rsidR="00012DAF">
              <w:rPr>
                <w:sz w:val="18"/>
                <w:szCs w:val="24"/>
                <w:lang w:val="fr-FR"/>
              </w:rPr>
              <w:t> :</w:t>
            </w:r>
            <w:r w:rsidRPr="00543E11">
              <w:rPr>
                <w:sz w:val="18"/>
                <w:szCs w:val="24"/>
                <w:lang w:val="fr-FR"/>
              </w:rPr>
              <w:t xml:space="preserve"> le mois et le jour ne seront pas obligatoires s</w:t>
            </w:r>
            <w:r w:rsidR="00012DAF">
              <w:rPr>
                <w:sz w:val="18"/>
                <w:szCs w:val="24"/>
                <w:lang w:val="fr-FR"/>
              </w:rPr>
              <w:t>’</w:t>
            </w:r>
            <w:r w:rsidRPr="00543E11">
              <w:rPr>
                <w:sz w:val="18"/>
                <w:szCs w:val="24"/>
                <w:lang w:val="fr-FR"/>
              </w:rPr>
              <w:t>ils ne sont pas disponibles</w:t>
            </w:r>
          </w:p>
        </w:tc>
      </w:tr>
      <w:tr w:rsidR="007749A2" w:rsidRPr="00635794" w14:paraId="57AC3398" w14:textId="77777777" w:rsidTr="007F461B">
        <w:trPr>
          <w:cantSplit/>
        </w:trPr>
        <w:tc>
          <w:tcPr>
            <w:tcW w:w="5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7B4A7" w14:textId="5243690C" w:rsidR="007749A2" w:rsidRPr="00543E11" w:rsidRDefault="00D07F6B" w:rsidP="00D07F6B">
            <w:pPr>
              <w:spacing w:before="40" w:after="40"/>
              <w:jc w:val="left"/>
              <w:rPr>
                <w:sz w:val="18"/>
                <w:lang w:val="fr-FR"/>
              </w:rPr>
            </w:pPr>
            <w:r w:rsidRPr="00543E11">
              <w:rPr>
                <w:sz w:val="18"/>
                <w:lang w:val="fr-FR"/>
              </w:rPr>
              <w:t>iv)</w:t>
            </w:r>
            <w:r w:rsidR="0001390F" w:rsidRPr="00543E11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01390F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sz w:val="18"/>
                <w:lang w:val="fr-FR"/>
              </w:rPr>
              <w:t>Origine de 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information</w:t>
            </w:r>
          </w:p>
        </w:tc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1AA2722" w14:textId="19302901" w:rsidR="007749A2" w:rsidRPr="00993823" w:rsidRDefault="00D07F6B" w:rsidP="00D07F6B">
            <w:pPr>
              <w:spacing w:before="40" w:after="40"/>
              <w:jc w:val="left"/>
              <w:rPr>
                <w:spacing w:val="-4"/>
                <w:sz w:val="18"/>
                <w:szCs w:val="24"/>
                <w:lang w:val="fr-FR"/>
              </w:rPr>
            </w:pPr>
            <w:r w:rsidRPr="00993823">
              <w:rPr>
                <w:spacing w:val="-4"/>
                <w:sz w:val="18"/>
                <w:szCs w:val="24"/>
                <w:lang w:val="fr-FR"/>
              </w:rPr>
              <w:t>obligatoire pour toute entrée dans le champ &lt;XXX&gt;</w:t>
            </w:r>
            <w:r w:rsidR="007749A2" w:rsidRPr="00993823">
              <w:rPr>
                <w:spacing w:val="-4"/>
                <w:sz w:val="18"/>
                <w:szCs w:val="24"/>
                <w:lang w:val="fr-FR"/>
              </w:rPr>
              <w:t xml:space="preserve"> </w:t>
            </w:r>
          </w:p>
        </w:tc>
      </w:tr>
      <w:tr w:rsidR="007749A2" w:rsidRPr="00635794" w14:paraId="08126609" w14:textId="77777777" w:rsidTr="007F461B">
        <w:trPr>
          <w:cantSplit/>
        </w:trPr>
        <w:tc>
          <w:tcPr>
            <w:tcW w:w="5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42BCF" w14:textId="4D6661BE" w:rsidR="007749A2" w:rsidRPr="00543E11" w:rsidRDefault="00D07F6B" w:rsidP="00D07F6B">
            <w:pPr>
              <w:spacing w:before="40" w:after="40"/>
              <w:jc w:val="left"/>
              <w:rPr>
                <w:sz w:val="18"/>
                <w:lang w:val="fr-FR"/>
              </w:rPr>
            </w:pPr>
            <w:r w:rsidRPr="00543E11">
              <w:rPr>
                <w:sz w:val="18"/>
                <w:lang w:val="fr-FR"/>
              </w:rPr>
              <w:t>v)</w:t>
            </w:r>
            <w:r w:rsidR="0001390F" w:rsidRPr="00543E11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01390F" w:rsidRPr="00543E11">
              <w:rPr>
                <w:rFonts w:cs="Arial"/>
                <w:sz w:val="18"/>
                <w:szCs w:val="18"/>
                <w:lang w:val="fr-FR"/>
              </w:rPr>
              <w:tab/>
            </w:r>
            <w:r w:rsidRPr="00543E11">
              <w:rPr>
                <w:sz w:val="18"/>
                <w:lang w:val="fr-FR"/>
              </w:rPr>
              <w:t>Statut de l</w:t>
            </w:r>
            <w:r w:rsidR="00012DAF">
              <w:rPr>
                <w:sz w:val="18"/>
                <w:lang w:val="fr-FR"/>
              </w:rPr>
              <w:t>’</w:t>
            </w:r>
            <w:r w:rsidRPr="00543E11">
              <w:rPr>
                <w:sz w:val="18"/>
                <w:lang w:val="fr-FR"/>
              </w:rPr>
              <w:t>information</w:t>
            </w:r>
          </w:p>
        </w:tc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9E6B533" w14:textId="77777777" w:rsidR="00835891" w:rsidRPr="00993823" w:rsidRDefault="00D07F6B" w:rsidP="00D07F6B">
            <w:pPr>
              <w:spacing w:before="40" w:after="40"/>
              <w:jc w:val="left"/>
              <w:rPr>
                <w:spacing w:val="-4"/>
                <w:sz w:val="18"/>
                <w:szCs w:val="24"/>
                <w:lang w:val="fr-FR"/>
              </w:rPr>
            </w:pPr>
            <w:r w:rsidRPr="00993823">
              <w:rPr>
                <w:spacing w:val="-4"/>
                <w:sz w:val="18"/>
                <w:szCs w:val="24"/>
                <w:lang w:val="fr-FR"/>
              </w:rPr>
              <w:t>obligatoire pour toute entrée dans le champ &lt;XXX&gt;</w:t>
            </w:r>
          </w:p>
          <w:p w14:paraId="38DCC22F" w14:textId="09CFF495" w:rsidR="007749A2" w:rsidRPr="00543E11" w:rsidRDefault="00D07F6B" w:rsidP="00D07F6B">
            <w:pPr>
              <w:spacing w:before="40" w:after="40"/>
              <w:jc w:val="left"/>
              <w:rPr>
                <w:sz w:val="18"/>
                <w:szCs w:val="24"/>
                <w:lang w:val="fr-FR"/>
              </w:rPr>
            </w:pPr>
            <w:r w:rsidRPr="00543E11">
              <w:rPr>
                <w:sz w:val="18"/>
                <w:szCs w:val="24"/>
                <w:lang w:val="fr-FR"/>
              </w:rPr>
              <w:t>(permet d</w:t>
            </w:r>
            <w:r w:rsidR="00012DAF">
              <w:rPr>
                <w:sz w:val="18"/>
                <w:szCs w:val="24"/>
                <w:lang w:val="fr-FR"/>
              </w:rPr>
              <w:t>’</w:t>
            </w:r>
            <w:r w:rsidRPr="00543E11">
              <w:rPr>
                <w:sz w:val="18"/>
                <w:szCs w:val="24"/>
                <w:lang w:val="fr-FR"/>
              </w:rPr>
              <w:t>insérer une explication ou une référence à une source contenant une explication (p.</w:t>
            </w:r>
            <w:r w:rsidR="00370A79">
              <w:rPr>
                <w:sz w:val="18"/>
                <w:szCs w:val="24"/>
                <w:lang w:val="fr-FR"/>
              </w:rPr>
              <w:t> </w:t>
            </w:r>
            <w:r w:rsidRPr="00543E11">
              <w:rPr>
                <w:sz w:val="18"/>
                <w:szCs w:val="24"/>
                <w:lang w:val="fr-FR"/>
              </w:rPr>
              <w:t>ex.</w:t>
            </w:r>
            <w:r w:rsidR="00370A79">
              <w:rPr>
                <w:sz w:val="18"/>
                <w:szCs w:val="24"/>
                <w:lang w:val="fr-FR"/>
              </w:rPr>
              <w:t> </w:t>
            </w:r>
            <w:r w:rsidRPr="00543E11">
              <w:rPr>
                <w:sz w:val="18"/>
                <w:szCs w:val="24"/>
                <w:lang w:val="fr-FR"/>
              </w:rPr>
              <w:t>le site</w:t>
            </w:r>
            <w:r w:rsidR="00370A79">
              <w:rPr>
                <w:sz w:val="18"/>
                <w:szCs w:val="24"/>
                <w:lang w:val="fr-FR"/>
              </w:rPr>
              <w:t> </w:t>
            </w:r>
            <w:r w:rsidRPr="00543E11">
              <w:rPr>
                <w:sz w:val="18"/>
                <w:szCs w:val="24"/>
                <w:lang w:val="fr-FR"/>
              </w:rPr>
              <w:t>Web du service communiquant les données pour cette entrée).</w:t>
            </w:r>
          </w:p>
        </w:tc>
      </w:tr>
      <w:tr w:rsidR="007749A2" w:rsidRPr="00635794" w14:paraId="44DFA96F" w14:textId="77777777" w:rsidTr="007F461B">
        <w:trPr>
          <w:cantSplit/>
        </w:trPr>
        <w:tc>
          <w:tcPr>
            <w:tcW w:w="5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11C65" w14:textId="471B5F45" w:rsidR="007749A2" w:rsidRPr="00543E11" w:rsidRDefault="00D07F6B" w:rsidP="00D07F6B">
            <w:pPr>
              <w:spacing w:before="40" w:after="40"/>
              <w:jc w:val="left"/>
              <w:rPr>
                <w:i/>
                <w:iCs/>
                <w:sz w:val="18"/>
                <w:szCs w:val="22"/>
                <w:lang w:val="fr-FR"/>
              </w:rPr>
            </w:pPr>
            <w:r w:rsidRPr="00543E11">
              <w:rPr>
                <w:i/>
                <w:iCs/>
                <w:sz w:val="18"/>
                <w:szCs w:val="22"/>
                <w:lang w:val="fr-FR"/>
              </w:rPr>
              <w:t>Note</w:t>
            </w:r>
            <w:r w:rsidR="00012DAF">
              <w:rPr>
                <w:i/>
                <w:iCs/>
                <w:sz w:val="18"/>
                <w:szCs w:val="22"/>
                <w:lang w:val="fr-FR"/>
              </w:rPr>
              <w:t> :</w:t>
            </w:r>
            <w:r w:rsidRPr="00543E11">
              <w:rPr>
                <w:i/>
                <w:iCs/>
                <w:sz w:val="18"/>
                <w:szCs w:val="22"/>
                <w:lang w:val="fr-FR"/>
              </w:rPr>
              <w:t xml:space="preserve"> pour une même demande, le service indiqué en i) pourrait saisir plus d</w:t>
            </w:r>
            <w:r w:rsidR="00012DAF">
              <w:rPr>
                <w:i/>
                <w:iCs/>
                <w:sz w:val="18"/>
                <w:szCs w:val="22"/>
                <w:lang w:val="fr-FR"/>
              </w:rPr>
              <w:t>’</w:t>
            </w:r>
            <w:r w:rsidRPr="00543E11">
              <w:rPr>
                <w:i/>
                <w:iCs/>
                <w:sz w:val="18"/>
                <w:szCs w:val="22"/>
                <w:lang w:val="fr-FR"/>
              </w:rPr>
              <w:t>une entrée concernant les éléments mentionnés de ii) à v).</w:t>
            </w:r>
            <w:r w:rsidR="007749A2" w:rsidRPr="00543E11">
              <w:rPr>
                <w:i/>
                <w:iCs/>
                <w:sz w:val="18"/>
                <w:szCs w:val="22"/>
                <w:lang w:val="fr-FR"/>
              </w:rPr>
              <w:t xml:space="preserve">  </w:t>
            </w:r>
            <w:r w:rsidRPr="00543E11">
              <w:rPr>
                <w:i/>
                <w:iCs/>
                <w:sz w:val="18"/>
                <w:szCs w:val="22"/>
                <w:lang w:val="fr-FR"/>
              </w:rPr>
              <w:t>Il pourrait notamment fournir des informations concernant la commercialisation “sur le territoire du pays de la demande” mais aussi “dans d</w:t>
            </w:r>
            <w:r w:rsidR="00012DAF">
              <w:rPr>
                <w:i/>
                <w:iCs/>
                <w:sz w:val="18"/>
                <w:szCs w:val="22"/>
                <w:lang w:val="fr-FR"/>
              </w:rPr>
              <w:t>’</w:t>
            </w:r>
            <w:r w:rsidRPr="00543E11">
              <w:rPr>
                <w:i/>
                <w:iCs/>
                <w:sz w:val="18"/>
                <w:szCs w:val="22"/>
                <w:lang w:val="fr-FR"/>
              </w:rPr>
              <w:t>autres territoires”.</w:t>
            </w:r>
            <w:r w:rsidR="007749A2" w:rsidRPr="00543E11">
              <w:rPr>
                <w:i/>
                <w:iCs/>
                <w:sz w:val="18"/>
                <w:szCs w:val="22"/>
                <w:lang w:val="fr-FR"/>
              </w:rPr>
              <w:t xml:space="preserve"> </w:t>
            </w:r>
            <w:r w:rsidR="00370A79">
              <w:rPr>
                <w:i/>
                <w:iCs/>
                <w:sz w:val="18"/>
                <w:szCs w:val="22"/>
                <w:lang w:val="fr-FR"/>
              </w:rPr>
              <w:t xml:space="preserve"> </w:t>
            </w:r>
          </w:p>
        </w:tc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B0B2038" w14:textId="77777777" w:rsidR="007749A2" w:rsidRPr="00543E11" w:rsidRDefault="007749A2" w:rsidP="007F461B">
            <w:pPr>
              <w:spacing w:before="40" w:after="40"/>
              <w:jc w:val="left"/>
              <w:rPr>
                <w:sz w:val="18"/>
                <w:szCs w:val="24"/>
                <w:lang w:val="fr-FR"/>
              </w:rPr>
            </w:pPr>
          </w:p>
        </w:tc>
      </w:tr>
    </w:tbl>
    <w:p w14:paraId="72C21A6D" w14:textId="77777777" w:rsidR="00835891" w:rsidRDefault="00835891" w:rsidP="007749A2">
      <w:pPr>
        <w:rPr>
          <w:lang w:val="fr-FR"/>
        </w:rPr>
      </w:pPr>
    </w:p>
    <w:p w14:paraId="18A8C7A9" w14:textId="77777777" w:rsidR="00835891" w:rsidRDefault="00D07F6B" w:rsidP="00993823">
      <w:pPr>
        <w:keepNext/>
        <w:rPr>
          <w:lang w:val="fr-FR"/>
        </w:rPr>
      </w:pPr>
      <w:r w:rsidRPr="00543E11">
        <w:rPr>
          <w:lang w:val="fr-FR"/>
        </w:rPr>
        <w:lastRenderedPageBreak/>
        <w:t xml:space="preserve">3.4.2 </w:t>
      </w:r>
      <w:r w:rsidR="0001390F" w:rsidRPr="00543E11">
        <w:rPr>
          <w:lang w:val="fr-FR"/>
        </w:rPr>
        <w:tab/>
      </w:r>
      <w:r w:rsidRPr="00543E11">
        <w:rPr>
          <w:lang w:val="fr-FR"/>
        </w:rPr>
        <w:t>La réserve suivante apparaîtra à côté du titre de l</w:t>
      </w:r>
      <w:r w:rsidR="00012DAF">
        <w:rPr>
          <w:lang w:val="fr-FR"/>
        </w:rPr>
        <w:t>’</w:t>
      </w:r>
      <w:r w:rsidRPr="00543E11">
        <w:rPr>
          <w:lang w:val="fr-FR"/>
        </w:rPr>
        <w:t>entrée dans la base de données</w:t>
      </w:r>
      <w:r w:rsidR="00012DAF">
        <w:rPr>
          <w:lang w:val="fr-FR"/>
        </w:rPr>
        <w:t> :</w:t>
      </w:r>
    </w:p>
    <w:p w14:paraId="1E005458" w14:textId="77777777" w:rsidR="00835891" w:rsidRDefault="00835891" w:rsidP="00993823">
      <w:pPr>
        <w:keepNext/>
        <w:rPr>
          <w:sz w:val="14"/>
          <w:lang w:val="fr-FR"/>
        </w:rPr>
      </w:pPr>
    </w:p>
    <w:p w14:paraId="47FB1E5B" w14:textId="77777777" w:rsidR="00835891" w:rsidRDefault="00D07F6B" w:rsidP="00D07F6B">
      <w:pPr>
        <w:ind w:left="567" w:right="567"/>
        <w:rPr>
          <w:i/>
          <w:sz w:val="18"/>
          <w:lang w:val="fr-FR"/>
        </w:rPr>
      </w:pPr>
      <w:r w:rsidRPr="00543E11">
        <w:rPr>
          <w:i/>
          <w:sz w:val="18"/>
          <w:lang w:val="fr-FR"/>
        </w:rPr>
        <w:t>“L</w:t>
      </w:r>
      <w:r w:rsidR="00012DAF">
        <w:rPr>
          <w:i/>
          <w:sz w:val="18"/>
          <w:lang w:val="fr-FR"/>
        </w:rPr>
        <w:t>’</w:t>
      </w:r>
      <w:r w:rsidRPr="00543E11">
        <w:rPr>
          <w:i/>
          <w:sz w:val="18"/>
          <w:lang w:val="fr-FR"/>
        </w:rPr>
        <w:t>absence d</w:t>
      </w:r>
      <w:r w:rsidR="00012DAF">
        <w:rPr>
          <w:i/>
          <w:sz w:val="18"/>
          <w:lang w:val="fr-FR"/>
        </w:rPr>
        <w:t>’</w:t>
      </w:r>
      <w:r w:rsidRPr="00543E11">
        <w:rPr>
          <w:i/>
          <w:sz w:val="18"/>
          <w:lang w:val="fr-FR"/>
        </w:rPr>
        <w:t>informations dans le champ [XXX] n</w:t>
      </w:r>
      <w:r w:rsidR="00012DAF">
        <w:rPr>
          <w:i/>
          <w:sz w:val="18"/>
          <w:lang w:val="fr-FR"/>
        </w:rPr>
        <w:t>’</w:t>
      </w:r>
      <w:r w:rsidRPr="00543E11">
        <w:rPr>
          <w:i/>
          <w:sz w:val="18"/>
          <w:lang w:val="fr-FR"/>
        </w:rPr>
        <w:t>indique pas que la variété n</w:t>
      </w:r>
      <w:r w:rsidR="00012DAF">
        <w:rPr>
          <w:i/>
          <w:sz w:val="18"/>
          <w:lang w:val="fr-FR"/>
        </w:rPr>
        <w:t>’</w:t>
      </w:r>
      <w:r w:rsidRPr="00543E11">
        <w:rPr>
          <w:i/>
          <w:sz w:val="18"/>
          <w:lang w:val="fr-FR"/>
        </w:rPr>
        <w:t>a pas été commercialisée.</w:t>
      </w:r>
      <w:r w:rsidR="007749A2" w:rsidRPr="00543E11">
        <w:rPr>
          <w:i/>
          <w:sz w:val="18"/>
          <w:lang w:val="fr-FR"/>
        </w:rPr>
        <w:t xml:space="preserve">  </w:t>
      </w:r>
      <w:r w:rsidRPr="00543E11">
        <w:rPr>
          <w:i/>
          <w:sz w:val="18"/>
          <w:lang w:val="fr-FR"/>
        </w:rPr>
        <w:t>Pour toute information communiquée, il convient de consulter son origine et son statut dans les champs “Origine de l</w:t>
      </w:r>
      <w:r w:rsidR="00012DAF">
        <w:rPr>
          <w:i/>
          <w:sz w:val="18"/>
          <w:lang w:val="fr-FR"/>
        </w:rPr>
        <w:t>’</w:t>
      </w:r>
      <w:r w:rsidRPr="00543E11">
        <w:rPr>
          <w:i/>
          <w:sz w:val="18"/>
          <w:lang w:val="fr-FR"/>
        </w:rPr>
        <w:t>information” et “Statut de l</w:t>
      </w:r>
      <w:r w:rsidR="00012DAF">
        <w:rPr>
          <w:i/>
          <w:sz w:val="18"/>
          <w:lang w:val="fr-FR"/>
        </w:rPr>
        <w:t>’</w:t>
      </w:r>
      <w:r w:rsidRPr="00543E11">
        <w:rPr>
          <w:i/>
          <w:sz w:val="18"/>
          <w:lang w:val="fr-FR"/>
        </w:rPr>
        <w:t>information”.</w:t>
      </w:r>
      <w:r w:rsidR="007749A2" w:rsidRPr="00543E11">
        <w:rPr>
          <w:i/>
          <w:sz w:val="18"/>
          <w:lang w:val="fr-FR"/>
        </w:rPr>
        <w:t xml:space="preserve">  </w:t>
      </w:r>
      <w:r w:rsidRPr="00543E11">
        <w:rPr>
          <w:i/>
          <w:sz w:val="18"/>
          <w:lang w:val="fr-FR"/>
        </w:rPr>
        <w:t>À cet égard, il convient aussi de noter que les informations fournies ne sont pas nécessairement exhaustives et précises.”</w:t>
      </w:r>
    </w:p>
    <w:p w14:paraId="07C863A7" w14:textId="77777777" w:rsidR="00835891" w:rsidRDefault="00835891" w:rsidP="007749A2">
      <w:pPr>
        <w:rPr>
          <w:i/>
          <w:iCs/>
          <w:lang w:val="fr-FR"/>
        </w:rPr>
      </w:pPr>
    </w:p>
    <w:p w14:paraId="2DA3A1EF" w14:textId="77777777" w:rsidR="00835891" w:rsidRDefault="00835891" w:rsidP="007749A2">
      <w:pPr>
        <w:rPr>
          <w:i/>
          <w:iCs/>
          <w:lang w:val="fr-FR"/>
        </w:rPr>
      </w:pPr>
    </w:p>
    <w:p w14:paraId="76E7FC1E" w14:textId="77777777" w:rsidR="00835891" w:rsidRDefault="00D07F6B" w:rsidP="00D07F6B">
      <w:pPr>
        <w:keepNext/>
        <w:rPr>
          <w:bCs/>
          <w:i/>
          <w:iCs/>
          <w:lang w:val="fr-FR"/>
        </w:rPr>
      </w:pPr>
      <w:r w:rsidRPr="00543E11">
        <w:rPr>
          <w:bCs/>
          <w:i/>
          <w:iCs/>
          <w:lang w:val="fr-FR"/>
        </w:rPr>
        <w:t>4.</w:t>
      </w:r>
      <w:r w:rsidRPr="00563CE1">
        <w:rPr>
          <w:i/>
          <w:lang w:val="fr-FR"/>
        </w:rPr>
        <w:t xml:space="preserve"> </w:t>
      </w:r>
      <w:r w:rsidR="00370A79">
        <w:rPr>
          <w:bCs/>
          <w:i/>
          <w:iCs/>
          <w:lang w:val="fr-FR"/>
        </w:rPr>
        <w:t xml:space="preserve"> </w:t>
      </w:r>
      <w:r w:rsidR="0001390F" w:rsidRPr="00543E11">
        <w:rPr>
          <w:bCs/>
          <w:iCs/>
          <w:lang w:val="fr-FR"/>
        </w:rPr>
        <w:tab/>
      </w:r>
      <w:r w:rsidRPr="00543E11">
        <w:rPr>
          <w:bCs/>
          <w:i/>
          <w:iCs/>
          <w:lang w:val="fr-FR"/>
        </w:rPr>
        <w:t>Fréquence de la communication des données</w:t>
      </w:r>
    </w:p>
    <w:p w14:paraId="3CC00050" w14:textId="77777777" w:rsidR="00835891" w:rsidRDefault="00835891" w:rsidP="007749A2">
      <w:pPr>
        <w:keepNext/>
        <w:rPr>
          <w:bCs/>
          <w:lang w:val="fr-FR"/>
        </w:rPr>
      </w:pPr>
    </w:p>
    <w:p w14:paraId="139CC5E8" w14:textId="77777777" w:rsidR="00835891" w:rsidRDefault="00D07F6B" w:rsidP="00D07F6B">
      <w:pPr>
        <w:rPr>
          <w:bCs/>
          <w:lang w:val="fr-FR"/>
        </w:rPr>
      </w:pPr>
      <w:r w:rsidRPr="00543E11">
        <w:rPr>
          <w:bCs/>
          <w:lang w:val="fr-FR"/>
        </w:rPr>
        <w:t>Les contributeurs seront encouragés à fournir des données dès que possible après leur publication par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(les) autorité(s) concernée(s).</w:t>
      </w:r>
      <w:r w:rsidR="007749A2" w:rsidRPr="00543E11">
        <w:rPr>
          <w:bCs/>
          <w:lang w:val="fr-FR"/>
        </w:rPr>
        <w:t xml:space="preserve">  </w:t>
      </w:r>
      <w:r w:rsidRPr="00543E11">
        <w:rPr>
          <w:bCs/>
          <w:lang w:val="fr-FR"/>
        </w:rPr>
        <w:t>La base de données PLUTO sera mise à jour avec de nouvelles données aussi rapidement que possible après leur réception, conformément à la procédure de téléchargement.</w:t>
      </w:r>
      <w:r w:rsidR="007749A2" w:rsidRPr="00543E11">
        <w:rPr>
          <w:bCs/>
          <w:lang w:val="fr-FR"/>
        </w:rPr>
        <w:t xml:space="preserve">  </w:t>
      </w:r>
      <w:r w:rsidRPr="00543E11">
        <w:rPr>
          <w:bCs/>
          <w:lang w:val="fr-FR"/>
        </w:rPr>
        <w:t>La base de données PLUTO peut, au besoin, être mise à jour à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aide de données corrigées, conformément à la procédure de téléchargement.</w:t>
      </w:r>
    </w:p>
    <w:p w14:paraId="00610FCE" w14:textId="77777777" w:rsidR="00835891" w:rsidRDefault="00835891" w:rsidP="007749A2">
      <w:pPr>
        <w:rPr>
          <w:bCs/>
          <w:lang w:val="fr-FR"/>
        </w:rPr>
      </w:pPr>
    </w:p>
    <w:p w14:paraId="26A7FFFE" w14:textId="77777777" w:rsidR="00835891" w:rsidRDefault="00835891" w:rsidP="007749A2">
      <w:pPr>
        <w:rPr>
          <w:bCs/>
          <w:lang w:val="fr-FR"/>
        </w:rPr>
      </w:pPr>
    </w:p>
    <w:p w14:paraId="2CD578D6" w14:textId="77777777" w:rsidR="00835891" w:rsidRDefault="00D07F6B" w:rsidP="00D07F6B">
      <w:pPr>
        <w:keepNext/>
        <w:rPr>
          <w:bCs/>
          <w:i/>
          <w:lang w:val="fr-FR"/>
        </w:rPr>
      </w:pPr>
      <w:r w:rsidRPr="00543E11">
        <w:rPr>
          <w:bCs/>
          <w:i/>
          <w:lang w:val="fr-FR"/>
        </w:rPr>
        <w:t>5.</w:t>
      </w:r>
      <w:r w:rsidRPr="00543E11">
        <w:rPr>
          <w:bCs/>
          <w:i/>
          <w:lang w:val="fr-FR"/>
        </w:rPr>
        <w:tab/>
        <w:t>Avertissement</w:t>
      </w:r>
    </w:p>
    <w:p w14:paraId="14897EF0" w14:textId="77777777" w:rsidR="00835891" w:rsidRDefault="00835891" w:rsidP="007749A2">
      <w:pPr>
        <w:keepNext/>
        <w:rPr>
          <w:bCs/>
          <w:lang w:val="fr-FR"/>
        </w:rPr>
      </w:pPr>
    </w:p>
    <w:p w14:paraId="5C0F38A4" w14:textId="77777777" w:rsidR="00835891" w:rsidRDefault="00D07F6B" w:rsidP="00D07F6B">
      <w:pPr>
        <w:keepNext/>
        <w:rPr>
          <w:bCs/>
          <w:lang w:val="fr-FR"/>
        </w:rPr>
      </w:pPr>
      <w:r w:rsidRPr="00543E11">
        <w:rPr>
          <w:bCs/>
          <w:lang w:val="fr-FR"/>
        </w:rPr>
        <w:t>5.1</w:t>
      </w:r>
      <w:r w:rsidRPr="00543E11">
        <w:rPr>
          <w:bCs/>
          <w:lang w:val="fr-FR"/>
        </w:rPr>
        <w:tab/>
        <w:t>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avertissement suivant figure sur la page PLUTO du site Web de 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UPOV</w:t>
      </w:r>
    </w:p>
    <w:p w14:paraId="4EFCC903" w14:textId="77777777" w:rsidR="00835891" w:rsidRDefault="00835891" w:rsidP="007749A2">
      <w:pPr>
        <w:keepNext/>
        <w:rPr>
          <w:bCs/>
          <w:lang w:val="fr-FR"/>
        </w:rPr>
      </w:pPr>
    </w:p>
    <w:p w14:paraId="071467A4" w14:textId="77777777" w:rsidR="00835891" w:rsidRDefault="00F04518" w:rsidP="00F04518">
      <w:pPr>
        <w:ind w:left="567" w:right="567"/>
        <w:rPr>
          <w:snapToGrid w:val="0"/>
          <w:sz w:val="18"/>
          <w:szCs w:val="18"/>
          <w:lang w:val="fr-FR"/>
        </w:rPr>
      </w:pPr>
      <w:r w:rsidRPr="00543E11">
        <w:rPr>
          <w:snapToGrid w:val="0"/>
          <w:sz w:val="18"/>
          <w:szCs w:val="18"/>
          <w:lang w:val="fr-FR"/>
        </w:rPr>
        <w:t>“Les données les plus récentes disponibles dans la base de données PLUTO datent de [jj/mm/aaaa].</w:t>
      </w:r>
    </w:p>
    <w:p w14:paraId="34D8B86C" w14:textId="77777777" w:rsidR="00835891" w:rsidRDefault="00835891" w:rsidP="007749A2">
      <w:pPr>
        <w:ind w:left="567" w:right="567"/>
        <w:rPr>
          <w:snapToGrid w:val="0"/>
          <w:sz w:val="18"/>
          <w:szCs w:val="18"/>
          <w:lang w:val="fr-FR"/>
        </w:rPr>
      </w:pPr>
    </w:p>
    <w:p w14:paraId="0B3FD893" w14:textId="77777777" w:rsidR="00835891" w:rsidRDefault="00F04518" w:rsidP="00F04518">
      <w:pPr>
        <w:ind w:left="567" w:right="567"/>
        <w:rPr>
          <w:snapToGrid w:val="0"/>
          <w:sz w:val="18"/>
          <w:szCs w:val="18"/>
          <w:lang w:val="fr-FR"/>
        </w:rPr>
      </w:pPr>
      <w:r w:rsidRPr="00543E11">
        <w:rPr>
          <w:snapToGrid w:val="0"/>
          <w:sz w:val="18"/>
          <w:szCs w:val="18"/>
          <w:lang w:val="fr-FR"/>
        </w:rPr>
        <w:t xml:space="preserve">“Pour continuer vers la </w:t>
      </w:r>
      <w:r w:rsidR="00012DAF" w:rsidRPr="00543E11">
        <w:rPr>
          <w:snapToGrid w:val="0"/>
          <w:sz w:val="18"/>
          <w:szCs w:val="18"/>
          <w:lang w:val="fr-FR"/>
        </w:rPr>
        <w:t>page</w:t>
      </w:r>
      <w:r w:rsidR="00012DAF">
        <w:rPr>
          <w:snapToGrid w:val="0"/>
          <w:sz w:val="18"/>
          <w:szCs w:val="18"/>
          <w:lang w:val="fr-FR"/>
        </w:rPr>
        <w:t> </w:t>
      </w:r>
      <w:r w:rsidR="00012DAF" w:rsidRPr="00543E11">
        <w:rPr>
          <w:snapToGrid w:val="0"/>
          <w:sz w:val="18"/>
          <w:szCs w:val="18"/>
          <w:lang w:val="fr-FR"/>
        </w:rPr>
        <w:t>P</w:t>
      </w:r>
      <w:r w:rsidRPr="00543E11">
        <w:rPr>
          <w:snapToGrid w:val="0"/>
          <w:sz w:val="18"/>
          <w:szCs w:val="18"/>
          <w:lang w:val="fr-FR"/>
        </w:rPr>
        <w:t>LUTO, vous devez d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abord prendre acte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avertissement suivant.</w:t>
      </w:r>
    </w:p>
    <w:p w14:paraId="2B644743" w14:textId="77777777" w:rsidR="00835891" w:rsidRDefault="00835891" w:rsidP="007749A2">
      <w:pPr>
        <w:ind w:left="567" w:right="567"/>
        <w:rPr>
          <w:snapToGrid w:val="0"/>
          <w:sz w:val="18"/>
          <w:szCs w:val="18"/>
          <w:lang w:val="fr-FR"/>
        </w:rPr>
      </w:pPr>
    </w:p>
    <w:p w14:paraId="66C01ECB" w14:textId="77777777" w:rsidR="00835891" w:rsidRDefault="00F04518" w:rsidP="00F04518">
      <w:pPr>
        <w:ind w:left="567" w:right="567"/>
        <w:rPr>
          <w:snapToGrid w:val="0"/>
          <w:spacing w:val="-2"/>
          <w:sz w:val="18"/>
          <w:szCs w:val="18"/>
          <w:lang w:val="fr-FR"/>
        </w:rPr>
      </w:pPr>
      <w:r w:rsidRPr="00543E11">
        <w:rPr>
          <w:snapToGrid w:val="0"/>
          <w:spacing w:val="-2"/>
          <w:sz w:val="18"/>
          <w:szCs w:val="18"/>
          <w:lang w:val="fr-FR"/>
        </w:rPr>
        <w:t>“Veuillez noter que les informations relatives aux droits d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>obtenteur figurant dans la base de données PLUTO n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>ont pas valeur de publication officielle par les services concernés.</w:t>
      </w:r>
      <w:r w:rsidR="007749A2" w:rsidRPr="00543E11">
        <w:rPr>
          <w:snapToGrid w:val="0"/>
          <w:spacing w:val="-2"/>
          <w:sz w:val="18"/>
          <w:szCs w:val="18"/>
          <w:lang w:val="fr-FR"/>
        </w:rPr>
        <w:t xml:space="preserve">  </w:t>
      </w:r>
      <w:r w:rsidRPr="00543E11">
        <w:rPr>
          <w:snapToGrid w:val="0"/>
          <w:spacing w:val="-2"/>
          <w:sz w:val="18"/>
          <w:szCs w:val="18"/>
          <w:lang w:val="fr-FR"/>
        </w:rPr>
        <w:t>Pour consulter les informations officielles ou obtenir des précisions sur le caractère et l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>exhaustivité des informations figurant dans la base de données PLUTO, veuillez vous mettre en rapport avec le service compétent, dont vous trouverez les coordonnées à l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 xml:space="preserve">adresse </w:t>
      </w:r>
      <w:hyperlink r:id="rId12" w:history="1">
        <w:r w:rsidRPr="00543E11">
          <w:rPr>
            <w:rStyle w:val="Hyperlink"/>
            <w:rFonts w:cs="Arial"/>
            <w:color w:val="auto"/>
            <w:sz w:val="18"/>
            <w:lang w:val="fr-FR"/>
          </w:rPr>
          <w:t>https://www.upov.int/members/fr/pvp_offices.html</w:t>
        </w:r>
      </w:hyperlink>
      <w:r w:rsidRPr="00543E11">
        <w:rPr>
          <w:snapToGrid w:val="0"/>
          <w:spacing w:val="-2"/>
          <w:sz w:val="18"/>
          <w:szCs w:val="18"/>
          <w:lang w:val="fr-FR"/>
        </w:rPr>
        <w:t>.</w:t>
      </w:r>
    </w:p>
    <w:p w14:paraId="736A3925" w14:textId="77777777" w:rsidR="00835891" w:rsidRDefault="00835891" w:rsidP="007749A2">
      <w:pPr>
        <w:ind w:left="567" w:right="567"/>
        <w:rPr>
          <w:snapToGrid w:val="0"/>
          <w:sz w:val="18"/>
          <w:szCs w:val="18"/>
          <w:lang w:val="fr-FR"/>
        </w:rPr>
      </w:pPr>
    </w:p>
    <w:p w14:paraId="411161EF" w14:textId="77777777" w:rsidR="00835891" w:rsidRDefault="00F04518" w:rsidP="00F04518">
      <w:pPr>
        <w:ind w:left="567" w:right="567"/>
        <w:rPr>
          <w:snapToGrid w:val="0"/>
          <w:sz w:val="18"/>
          <w:szCs w:val="18"/>
          <w:lang w:val="fr-FR"/>
        </w:rPr>
      </w:pPr>
      <w:r w:rsidRPr="00543E11">
        <w:rPr>
          <w:snapToGrid w:val="0"/>
          <w:sz w:val="18"/>
          <w:szCs w:val="18"/>
          <w:lang w:val="fr-FR"/>
        </w:rPr>
        <w:t>“Tous les contributeurs de la base de données PLUTO sont responsables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exactitude et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exhaustivité des données qu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ils fournissent.</w:t>
      </w:r>
      <w:r w:rsidR="007749A2" w:rsidRPr="00543E11">
        <w:rPr>
          <w:snapToGrid w:val="0"/>
          <w:sz w:val="18"/>
          <w:szCs w:val="18"/>
          <w:lang w:val="fr-FR"/>
        </w:rPr>
        <w:t xml:space="preserve">  </w:t>
      </w:r>
      <w:r w:rsidRPr="00543E11">
        <w:rPr>
          <w:snapToGrid w:val="0"/>
          <w:sz w:val="18"/>
          <w:szCs w:val="18"/>
          <w:lang w:val="fr-FR"/>
        </w:rPr>
        <w:t>Les utilisateurs sont particulièrement invités à noter que les membres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Union ne sont pas tenus de fournir des données pour la base de données PLUTO et que les membres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Union qui fournissent des données ne sont pas tenus d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en fournir pour toutes les rubriques.”</w:t>
      </w:r>
    </w:p>
    <w:p w14:paraId="52E6DA1A" w14:textId="77777777" w:rsidR="00835891" w:rsidRDefault="00835891" w:rsidP="007749A2">
      <w:pPr>
        <w:rPr>
          <w:bCs/>
          <w:lang w:val="fr-FR"/>
        </w:rPr>
      </w:pPr>
    </w:p>
    <w:p w14:paraId="18361525" w14:textId="77777777" w:rsidR="00835891" w:rsidRDefault="00F04518" w:rsidP="00F04518">
      <w:pPr>
        <w:rPr>
          <w:bCs/>
          <w:lang w:val="fr-FR"/>
        </w:rPr>
      </w:pPr>
      <w:r w:rsidRPr="00543E11">
        <w:rPr>
          <w:bCs/>
          <w:lang w:val="fr-FR"/>
        </w:rPr>
        <w:t xml:space="preserve">5.2 </w:t>
      </w:r>
      <w:r w:rsidR="0001390F" w:rsidRPr="00543E11">
        <w:rPr>
          <w:bCs/>
          <w:lang w:val="fr-FR"/>
        </w:rPr>
        <w:tab/>
      </w:r>
      <w:r w:rsidRPr="00543E11">
        <w:rPr>
          <w:bCs/>
          <w:lang w:val="fr-FR"/>
        </w:rPr>
        <w:t>L</w:t>
      </w:r>
      <w:r w:rsidR="00012DAF">
        <w:rPr>
          <w:bCs/>
          <w:lang w:val="fr-FR"/>
        </w:rPr>
        <w:t>’</w:t>
      </w:r>
      <w:r w:rsidRPr="00543E11">
        <w:rPr>
          <w:bCs/>
          <w:lang w:val="fr-FR"/>
        </w:rPr>
        <w:t>avertissement suivant figure sur les rapports produits par la base de données PLUTO</w:t>
      </w:r>
      <w:r w:rsidR="00012DAF">
        <w:rPr>
          <w:bCs/>
          <w:lang w:val="fr-FR"/>
        </w:rPr>
        <w:t> :</w:t>
      </w:r>
    </w:p>
    <w:p w14:paraId="6DD5DD38" w14:textId="77777777" w:rsidR="00835891" w:rsidRDefault="00835891" w:rsidP="007749A2">
      <w:pPr>
        <w:rPr>
          <w:bCs/>
          <w:lang w:val="fr-FR"/>
        </w:rPr>
      </w:pPr>
    </w:p>
    <w:p w14:paraId="1E7FF779" w14:textId="77777777" w:rsidR="00835891" w:rsidRDefault="00F04518" w:rsidP="00F04518">
      <w:pPr>
        <w:keepNext/>
        <w:ind w:left="567" w:right="567"/>
        <w:rPr>
          <w:rStyle w:val="Hyperlink"/>
          <w:snapToGrid w:val="0"/>
          <w:color w:val="auto"/>
          <w:sz w:val="18"/>
          <w:szCs w:val="18"/>
          <w:lang w:val="fr-FR"/>
        </w:rPr>
      </w:pPr>
      <w:r w:rsidRPr="00543E11">
        <w:rPr>
          <w:rStyle w:val="Hyperlink"/>
          <w:snapToGrid w:val="0"/>
          <w:color w:val="auto"/>
          <w:sz w:val="18"/>
          <w:szCs w:val="18"/>
          <w:u w:val="none"/>
          <w:lang w:val="fr-FR"/>
        </w:rPr>
        <w:t xml:space="preserve">“Les </w:t>
      </w:r>
      <w:hyperlink r:id="rId13" w:tgtFrame="_blank" w:history="1">
        <w:r w:rsidRPr="00543E11">
          <w:rPr>
            <w:rStyle w:val="Hyperlink"/>
            <w:rFonts w:cs="Arial"/>
            <w:color w:val="auto"/>
            <w:sz w:val="18"/>
            <w:lang w:val="fr-FR"/>
          </w:rPr>
          <w:t>données figurant dans le présent rapport ont été produites par la base de données PLUT</w:t>
        </w:r>
        <w:r w:rsidR="0001390F" w:rsidRPr="00543E11">
          <w:rPr>
            <w:rStyle w:val="Hyperlink"/>
            <w:rFonts w:cs="Arial"/>
            <w:color w:val="auto"/>
            <w:sz w:val="18"/>
            <w:lang w:val="fr-FR"/>
          </w:rPr>
          <w:t>O le [jj/mm/aaaa]</w:t>
        </w:r>
      </w:hyperlink>
      <w:r w:rsidRPr="00543E11">
        <w:rPr>
          <w:rStyle w:val="Hyperlink"/>
          <w:snapToGrid w:val="0"/>
          <w:color w:val="auto"/>
          <w:sz w:val="18"/>
          <w:szCs w:val="18"/>
          <w:u w:val="none"/>
          <w:lang w:val="fr-FR"/>
        </w:rPr>
        <w:t>.</w:t>
      </w:r>
    </w:p>
    <w:p w14:paraId="2E45ABA2" w14:textId="77777777" w:rsidR="00835891" w:rsidRDefault="00835891" w:rsidP="007749A2">
      <w:pPr>
        <w:keepNext/>
        <w:ind w:left="567" w:right="567"/>
        <w:rPr>
          <w:snapToGrid w:val="0"/>
          <w:sz w:val="18"/>
          <w:szCs w:val="18"/>
          <w:lang w:val="fr-FR"/>
        </w:rPr>
      </w:pPr>
    </w:p>
    <w:p w14:paraId="51BE0D56" w14:textId="77777777" w:rsidR="00835891" w:rsidRDefault="00F04518" w:rsidP="00F04518">
      <w:pPr>
        <w:ind w:left="567" w:right="567"/>
        <w:rPr>
          <w:snapToGrid w:val="0"/>
          <w:spacing w:val="-2"/>
          <w:sz w:val="18"/>
          <w:szCs w:val="18"/>
          <w:lang w:val="fr-FR"/>
        </w:rPr>
      </w:pPr>
      <w:r w:rsidRPr="00543E11">
        <w:rPr>
          <w:snapToGrid w:val="0"/>
          <w:spacing w:val="-2"/>
          <w:sz w:val="18"/>
          <w:szCs w:val="18"/>
          <w:lang w:val="fr-FR"/>
        </w:rPr>
        <w:t>“Veuillez noter que les informations relatives aux droits d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>obtenteur figurant dans la base de données PLUTO n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>ont pas valeur de publication officielle par les services concernés.</w:t>
      </w:r>
      <w:r w:rsidR="007749A2" w:rsidRPr="00543E11">
        <w:rPr>
          <w:snapToGrid w:val="0"/>
          <w:spacing w:val="-2"/>
          <w:sz w:val="18"/>
          <w:szCs w:val="18"/>
          <w:lang w:val="fr-FR"/>
        </w:rPr>
        <w:t xml:space="preserve"> </w:t>
      </w:r>
      <w:r w:rsidR="00370A79">
        <w:rPr>
          <w:snapToGrid w:val="0"/>
          <w:spacing w:val="-2"/>
          <w:sz w:val="18"/>
          <w:szCs w:val="18"/>
          <w:lang w:val="fr-FR"/>
        </w:rPr>
        <w:t xml:space="preserve"> </w:t>
      </w:r>
      <w:r w:rsidRPr="00543E11">
        <w:rPr>
          <w:snapToGrid w:val="0"/>
          <w:spacing w:val="-2"/>
          <w:sz w:val="18"/>
          <w:szCs w:val="18"/>
          <w:lang w:val="fr-FR"/>
        </w:rPr>
        <w:t>Pour consulter les informations officielles ou obtenir des précisions sur le caractère et l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>exhaustivité des informations figurant dans la base de données PLUTO, veuillez vous mettre en rapport avec le service compétent, dont vous trouverez les coordonnées à l</w:t>
      </w:r>
      <w:r w:rsidR="00012DAF">
        <w:rPr>
          <w:snapToGrid w:val="0"/>
          <w:spacing w:val="-2"/>
          <w:sz w:val="18"/>
          <w:szCs w:val="18"/>
          <w:lang w:val="fr-FR"/>
        </w:rPr>
        <w:t>’</w:t>
      </w:r>
      <w:r w:rsidRPr="00543E11">
        <w:rPr>
          <w:snapToGrid w:val="0"/>
          <w:spacing w:val="-2"/>
          <w:sz w:val="18"/>
          <w:szCs w:val="18"/>
          <w:lang w:val="fr-FR"/>
        </w:rPr>
        <w:t xml:space="preserve">adresse </w:t>
      </w:r>
      <w:hyperlink r:id="rId14" w:history="1">
        <w:r w:rsidRPr="00543E11">
          <w:rPr>
            <w:rStyle w:val="Hyperlink"/>
            <w:rFonts w:cs="Arial"/>
            <w:color w:val="auto"/>
            <w:sz w:val="18"/>
            <w:lang w:val="fr-FR"/>
          </w:rPr>
          <w:t>https://www.upov.int/members/fr/pvp_offices.html</w:t>
        </w:r>
      </w:hyperlink>
      <w:r w:rsidRPr="00543E11">
        <w:rPr>
          <w:snapToGrid w:val="0"/>
          <w:spacing w:val="-2"/>
          <w:sz w:val="18"/>
          <w:szCs w:val="18"/>
          <w:lang w:val="fr-FR"/>
        </w:rPr>
        <w:t>.</w:t>
      </w:r>
    </w:p>
    <w:p w14:paraId="03127F60" w14:textId="77777777" w:rsidR="00835891" w:rsidRDefault="00835891" w:rsidP="007749A2">
      <w:pPr>
        <w:ind w:left="567" w:right="567"/>
        <w:rPr>
          <w:snapToGrid w:val="0"/>
          <w:sz w:val="18"/>
          <w:szCs w:val="18"/>
          <w:lang w:val="fr-FR"/>
        </w:rPr>
      </w:pPr>
    </w:p>
    <w:p w14:paraId="4D470ECE" w14:textId="77777777" w:rsidR="00835891" w:rsidRDefault="006913AE" w:rsidP="006913AE">
      <w:pPr>
        <w:ind w:left="567" w:right="567"/>
        <w:rPr>
          <w:snapToGrid w:val="0"/>
          <w:sz w:val="18"/>
          <w:szCs w:val="18"/>
          <w:lang w:val="fr-FR"/>
        </w:rPr>
      </w:pPr>
      <w:r w:rsidRPr="00543E11">
        <w:rPr>
          <w:snapToGrid w:val="0"/>
          <w:sz w:val="18"/>
          <w:szCs w:val="18"/>
          <w:lang w:val="fr-FR"/>
        </w:rPr>
        <w:t>“Tous les contributeurs de la base de données PLUTO sont responsables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exactitude et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exhaustivité des données qu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ils fournissent.</w:t>
      </w:r>
      <w:r w:rsidR="007749A2" w:rsidRPr="00543E11">
        <w:rPr>
          <w:snapToGrid w:val="0"/>
          <w:sz w:val="18"/>
          <w:szCs w:val="18"/>
          <w:lang w:val="fr-FR"/>
        </w:rPr>
        <w:t xml:space="preserve">  </w:t>
      </w:r>
      <w:r w:rsidRPr="00543E11">
        <w:rPr>
          <w:snapToGrid w:val="0"/>
          <w:sz w:val="18"/>
          <w:szCs w:val="18"/>
          <w:lang w:val="fr-FR"/>
        </w:rPr>
        <w:t>Les utilisateurs sont particulièrement invités à noter que les membres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Union ne sont pas tenus de fournir des données pour la base de données PLUTO et que les membres de l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Union qui fournissent des données ne sont pas tenus d</w:t>
      </w:r>
      <w:r w:rsidR="00012DAF">
        <w:rPr>
          <w:snapToGrid w:val="0"/>
          <w:sz w:val="18"/>
          <w:szCs w:val="18"/>
          <w:lang w:val="fr-FR"/>
        </w:rPr>
        <w:t>’</w:t>
      </w:r>
      <w:r w:rsidRPr="00543E11">
        <w:rPr>
          <w:snapToGrid w:val="0"/>
          <w:sz w:val="18"/>
          <w:szCs w:val="18"/>
          <w:lang w:val="fr-FR"/>
        </w:rPr>
        <w:t>en fournir pour toutes les rubriques.”</w:t>
      </w:r>
    </w:p>
    <w:p w14:paraId="3A0FE228" w14:textId="77777777" w:rsidR="00835891" w:rsidRDefault="00835891" w:rsidP="007749A2">
      <w:pPr>
        <w:rPr>
          <w:bCs/>
          <w:lang w:val="fr-FR"/>
        </w:rPr>
      </w:pPr>
    </w:p>
    <w:p w14:paraId="0E63F2E6" w14:textId="77777777" w:rsidR="00835891" w:rsidRDefault="00835891" w:rsidP="007749A2">
      <w:pPr>
        <w:rPr>
          <w:bCs/>
          <w:lang w:val="fr-FR"/>
        </w:rPr>
      </w:pPr>
    </w:p>
    <w:p w14:paraId="200BE1B3" w14:textId="77777777" w:rsidR="00835891" w:rsidRDefault="006913AE" w:rsidP="006913AE">
      <w:pPr>
        <w:keepNext/>
        <w:rPr>
          <w:bCs/>
          <w:i/>
          <w:iCs/>
          <w:lang w:val="fr-FR"/>
        </w:rPr>
      </w:pPr>
      <w:r w:rsidRPr="00543E11">
        <w:rPr>
          <w:bCs/>
          <w:i/>
          <w:iCs/>
          <w:lang w:val="fr-FR"/>
        </w:rPr>
        <w:t>6.</w:t>
      </w:r>
      <w:r w:rsidRPr="00563CE1">
        <w:rPr>
          <w:i/>
          <w:lang w:val="fr-FR"/>
        </w:rPr>
        <w:t xml:space="preserve"> </w:t>
      </w:r>
      <w:r w:rsidR="00370A79">
        <w:rPr>
          <w:bCs/>
          <w:i/>
          <w:iCs/>
          <w:lang w:val="fr-FR"/>
        </w:rPr>
        <w:t xml:space="preserve"> </w:t>
      </w:r>
      <w:r w:rsidR="0001390F" w:rsidRPr="00543E11">
        <w:rPr>
          <w:bCs/>
          <w:iCs/>
          <w:lang w:val="fr-FR"/>
        </w:rPr>
        <w:tab/>
      </w:r>
      <w:r w:rsidRPr="00543E11">
        <w:rPr>
          <w:bCs/>
          <w:i/>
          <w:iCs/>
          <w:lang w:val="fr-FR"/>
        </w:rPr>
        <w:t>Interface de recherche commune</w:t>
      </w:r>
    </w:p>
    <w:p w14:paraId="02DE60E1" w14:textId="77777777" w:rsidR="00835891" w:rsidRDefault="00835891" w:rsidP="007749A2">
      <w:pPr>
        <w:keepNext/>
        <w:rPr>
          <w:bCs/>
          <w:i/>
          <w:iCs/>
          <w:lang w:val="fr-FR"/>
        </w:rPr>
      </w:pPr>
    </w:p>
    <w:p w14:paraId="6C3EEF4D" w14:textId="77777777" w:rsidR="00835891" w:rsidRDefault="00AE246C" w:rsidP="006913AE">
      <w:pPr>
        <w:rPr>
          <w:bCs/>
          <w:lang w:val="fr-FR"/>
        </w:rPr>
      </w:pPr>
      <w:r w:rsidRPr="00543E11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10594" wp14:editId="4B4BF75D">
                <wp:simplePos x="0" y="0"/>
                <wp:positionH relativeFrom="column">
                  <wp:posOffset>4225925</wp:posOffset>
                </wp:positionH>
                <wp:positionV relativeFrom="paragraph">
                  <wp:posOffset>754380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C064C" w14:textId="48227084" w:rsidR="00635794" w:rsidRPr="00A1206C" w:rsidRDefault="00635794" w:rsidP="006913AE">
                            <w:pPr>
                              <w:ind w:right="53"/>
                              <w:jc w:val="right"/>
                              <w:rPr>
                                <w:rFonts w:cs="Arial"/>
                                <w:lang w:val="fr-FR"/>
                              </w:rPr>
                            </w:pPr>
                            <w:r w:rsidRPr="00A1206C">
                              <w:rPr>
                                <w:rFonts w:cs="Arial"/>
                                <w:lang w:val="fr-FR"/>
                              </w:rPr>
                              <w:t>[L’annexe II suit]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105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2.75pt;margin-top:59.4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CWXS+C3wAAAAsBAAAP&#10;AAAAAAAAAAAAAAAAAAgFAABkcnMvZG93bnJldi54bWxQSwUGAAAAAAQABADzAAAAFAYAAAAA&#10;" o:allowincell="f" filled="f" stroked="f">
                <v:textbox inset="0,0,0,0">
                  <w:txbxContent>
                    <w:p w14:paraId="250C064C" w14:textId="48227084" w:rsidR="00635794" w:rsidRPr="00A1206C" w:rsidRDefault="00635794" w:rsidP="006913AE">
                      <w:pPr>
                        <w:ind w:right="53"/>
                        <w:jc w:val="right"/>
                        <w:rPr>
                          <w:rFonts w:cs="Arial"/>
                          <w:lang w:val="fr-FR"/>
                        </w:rPr>
                      </w:pPr>
                      <w:r w:rsidRPr="00A1206C">
                        <w:rPr>
                          <w:rFonts w:cs="Arial"/>
                          <w:lang w:val="fr-FR"/>
                        </w:rPr>
                        <w:t>[L’annexe II suit]</w:t>
                      </w:r>
                    </w:p>
                  </w:txbxContent>
                </v:textbox>
              </v:shape>
            </w:pict>
          </mc:Fallback>
        </mc:AlternateContent>
      </w:r>
      <w:r w:rsidR="006913AE" w:rsidRPr="00543E11">
        <w:rPr>
          <w:bCs/>
          <w:lang w:val="fr-FR"/>
        </w:rPr>
        <w:t>Un rapport sur les éléments nouveaux relatifs à l</w:t>
      </w:r>
      <w:r w:rsidR="00012DAF">
        <w:rPr>
          <w:bCs/>
          <w:lang w:val="fr-FR"/>
        </w:rPr>
        <w:t>’</w:t>
      </w:r>
      <w:r w:rsidR="006913AE" w:rsidRPr="00543E11">
        <w:rPr>
          <w:bCs/>
          <w:lang w:val="fr-FR"/>
        </w:rPr>
        <w:t>élaboration d</w:t>
      </w:r>
      <w:r w:rsidR="00012DAF">
        <w:rPr>
          <w:bCs/>
          <w:lang w:val="fr-FR"/>
        </w:rPr>
        <w:t>’</w:t>
      </w:r>
      <w:r w:rsidR="006913AE" w:rsidRPr="00543E11">
        <w:rPr>
          <w:bCs/>
          <w:lang w:val="fr-FR"/>
        </w:rPr>
        <w:t>une interface de recherche commune sera présenté au</w:t>
      </w:r>
      <w:r w:rsidR="00012DAF">
        <w:rPr>
          <w:bCs/>
          <w:lang w:val="fr-FR"/>
        </w:rPr>
        <w:t> TC</w:t>
      </w:r>
      <w:r w:rsidR="006913AE" w:rsidRPr="00543E11">
        <w:rPr>
          <w:bCs/>
          <w:lang w:val="fr-FR"/>
        </w:rPr>
        <w:t xml:space="preserve"> et au CAJ.</w:t>
      </w:r>
      <w:r w:rsidR="007749A2" w:rsidRPr="00543E11">
        <w:rPr>
          <w:bCs/>
          <w:lang w:val="fr-FR"/>
        </w:rPr>
        <w:t xml:space="preserve">  </w:t>
      </w:r>
      <w:r w:rsidR="006913AE" w:rsidRPr="00543E11">
        <w:rPr>
          <w:bCs/>
          <w:lang w:val="fr-FR"/>
        </w:rPr>
        <w:t>Toute proposition relative à cette interface sera soumise au</w:t>
      </w:r>
      <w:r w:rsidR="00012DAF">
        <w:rPr>
          <w:bCs/>
          <w:lang w:val="fr-FR"/>
        </w:rPr>
        <w:t> TC</w:t>
      </w:r>
      <w:r w:rsidR="006913AE" w:rsidRPr="00543E11">
        <w:rPr>
          <w:bCs/>
          <w:lang w:val="fr-FR"/>
        </w:rPr>
        <w:t xml:space="preserve"> et au CAJ pour examen.</w:t>
      </w:r>
    </w:p>
    <w:p w14:paraId="090C5419" w14:textId="28374AD7" w:rsidR="00AE246C" w:rsidRPr="00543E11" w:rsidRDefault="00AE246C" w:rsidP="007749A2">
      <w:pPr>
        <w:rPr>
          <w:bCs/>
          <w:lang w:val="fr-FR"/>
        </w:rPr>
        <w:sectPr w:rsidR="00AE246C" w:rsidRPr="00543E11" w:rsidSect="007F46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456F3B9B" w14:textId="77777777" w:rsidR="00835891" w:rsidRDefault="00835891" w:rsidP="005B30B7">
      <w:pPr>
        <w:jc w:val="center"/>
        <w:rPr>
          <w:rFonts w:eastAsiaTheme="minorEastAsia" w:cs="Arial"/>
          <w:lang w:val="fr-FR"/>
        </w:rPr>
      </w:pPr>
    </w:p>
    <w:p w14:paraId="7C6B7F0E" w14:textId="77777777" w:rsidR="00835891" w:rsidRDefault="006913AE" w:rsidP="006913AE">
      <w:pPr>
        <w:jc w:val="center"/>
        <w:rPr>
          <w:rFonts w:eastAsiaTheme="minorEastAsia" w:cs="Arial"/>
          <w:lang w:val="fr-FR"/>
        </w:rPr>
      </w:pPr>
      <w:r w:rsidRPr="00543E11">
        <w:rPr>
          <w:rFonts w:eastAsiaTheme="minorEastAsia" w:cs="Arial"/>
          <w:lang w:val="fr-FR"/>
        </w:rPr>
        <w:t>RAPPORT SUR LES DONNÉES APPORTÉES À LA BASE DE DONNÉES SUR LES VARIÉTÉS VÉGÉTALES PAR LES MEMBRES DE L</w:t>
      </w:r>
      <w:r w:rsidR="00012DAF">
        <w:rPr>
          <w:rFonts w:eastAsiaTheme="minorEastAsia" w:cs="Arial"/>
          <w:lang w:val="fr-FR"/>
        </w:rPr>
        <w:t>’</w:t>
      </w:r>
      <w:r w:rsidRPr="00543E11">
        <w:rPr>
          <w:rFonts w:eastAsiaTheme="minorEastAsia" w:cs="Arial"/>
          <w:lang w:val="fr-FR"/>
        </w:rPr>
        <w:t>UNION ET D</w:t>
      </w:r>
      <w:r w:rsidR="00012DAF">
        <w:rPr>
          <w:rFonts w:eastAsiaTheme="minorEastAsia" w:cs="Arial"/>
          <w:lang w:val="fr-FR"/>
        </w:rPr>
        <w:t>’</w:t>
      </w:r>
      <w:r w:rsidRPr="00543E11">
        <w:rPr>
          <w:rFonts w:eastAsiaTheme="minorEastAsia" w:cs="Arial"/>
          <w:lang w:val="fr-FR"/>
        </w:rPr>
        <w:t>AUTRES CONTRIBUTEURS ET L</w:t>
      </w:r>
      <w:r w:rsidR="00012DAF">
        <w:rPr>
          <w:rFonts w:eastAsiaTheme="minorEastAsia" w:cs="Arial"/>
          <w:lang w:val="fr-FR"/>
        </w:rPr>
        <w:t>’</w:t>
      </w:r>
      <w:r w:rsidRPr="00543E11">
        <w:rPr>
          <w:rFonts w:eastAsiaTheme="minorEastAsia" w:cs="Arial"/>
          <w:lang w:val="fr-FR"/>
        </w:rPr>
        <w:t>ASSISTANCE À L</w:t>
      </w:r>
      <w:r w:rsidR="00012DAF">
        <w:rPr>
          <w:rFonts w:eastAsiaTheme="minorEastAsia" w:cs="Arial"/>
          <w:lang w:val="fr-FR"/>
        </w:rPr>
        <w:t>’</w:t>
      </w:r>
      <w:r w:rsidRPr="00543E11">
        <w:rPr>
          <w:rFonts w:eastAsiaTheme="minorEastAsia" w:cs="Arial"/>
          <w:lang w:val="fr-FR"/>
        </w:rPr>
        <w:t>APPORT DE DONNÉES</w:t>
      </w:r>
    </w:p>
    <w:p w14:paraId="6E1F717D" w14:textId="574E9308" w:rsidR="005B30B7" w:rsidRPr="00543E11" w:rsidRDefault="005B30B7" w:rsidP="005B30B7">
      <w:pPr>
        <w:jc w:val="center"/>
        <w:rPr>
          <w:rFonts w:eastAsiaTheme="minorEastAsia" w:cs="Arial"/>
          <w:lang w:val="fr-FR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998"/>
        <w:gridCol w:w="1020"/>
        <w:gridCol w:w="1020"/>
        <w:gridCol w:w="1020"/>
        <w:gridCol w:w="1020"/>
        <w:gridCol w:w="1020"/>
        <w:gridCol w:w="1559"/>
      </w:tblGrid>
      <w:tr w:rsidR="00543E11" w:rsidRPr="00635794" w14:paraId="56655E16" w14:textId="77777777" w:rsidTr="003E46F9">
        <w:trPr>
          <w:cantSplit/>
          <w:tblHeader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51C2FE" w14:textId="1ACFAB79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Contributeurs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B26A69" w14:textId="1F674B62" w:rsidR="007F0DF7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Nombre de demandes de droits d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’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 xml:space="preserve">obtenteur </w:t>
            </w:r>
            <w:r w:rsidR="00012DAF" w:rsidRPr="00543E11">
              <w:rPr>
                <w:rFonts w:eastAsiaTheme="minorEastAsia" w:cs="Arial"/>
                <w:sz w:val="16"/>
                <w:szCs w:val="16"/>
                <w:lang w:val="fr-FR"/>
              </w:rPr>
              <w:t>en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 </w:t>
            </w:r>
            <w:r w:rsidR="00012DAF" w:rsidRPr="00543E11">
              <w:rPr>
                <w:rFonts w:eastAsiaTheme="minorEastAsia" w:cs="Arial"/>
                <w:sz w:val="16"/>
                <w:szCs w:val="16"/>
                <w:lang w:val="fr-FR"/>
              </w:rPr>
              <w:t>2018</w:t>
            </w:r>
            <w:r w:rsidRPr="00543E11">
              <w:rPr>
                <w:rStyle w:val="FootnoteReference"/>
                <w:rFonts w:eastAsiaTheme="minorEastAsia" w:cs="Arial"/>
                <w:sz w:val="16"/>
                <w:szCs w:val="16"/>
                <w:lang w:val="fr-FR"/>
              </w:rPr>
              <w:footnoteReference w:id="4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A8F358" w14:textId="7F302161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Nouveaux apports de données à PLUTO en 2015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4F75" w14:textId="72DAE028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Nouveaux apports de données à PLUTO en 2016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D12932" w14:textId="4AD2DEFF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Nouveaux apports de données à PLUTO en 2017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6605E" w14:textId="3724B760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Nouveaux apports de données à PLUTO en 2018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4BE411" w14:textId="5FFAAEC3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Nouveaux apports de données à PLUTO en 2019</w:t>
            </w:r>
            <w:r w:rsidR="00E933CF" w:rsidRPr="00543E11">
              <w:rPr>
                <w:rFonts w:eastAsiaTheme="minorEastAsia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794BFF" w14:textId="12B6029E" w:rsidR="00E933CF" w:rsidRPr="00543E11" w:rsidRDefault="00C15240" w:rsidP="00C15240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 xml:space="preserve">Nouveaux apports de données à PLUTO </w:t>
            </w:r>
            <w:r w:rsidR="00012DAF" w:rsidRPr="00543E11">
              <w:rPr>
                <w:rFonts w:eastAsiaTheme="minorEastAsia" w:cs="Arial"/>
                <w:sz w:val="16"/>
                <w:szCs w:val="16"/>
                <w:lang w:val="fr-FR"/>
              </w:rPr>
              <w:t>en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 </w:t>
            </w:r>
            <w:r w:rsidR="00012DAF" w:rsidRPr="00543E11">
              <w:rPr>
                <w:rFonts w:eastAsiaTheme="minorEastAsia" w:cs="Arial"/>
                <w:sz w:val="16"/>
                <w:szCs w:val="16"/>
                <w:lang w:val="fr-FR"/>
              </w:rPr>
              <w:t>2020</w:t>
            </w:r>
            <w:r w:rsidR="00B66AEF" w:rsidRPr="00543E11">
              <w:rPr>
                <w:rFonts w:eastAsiaTheme="minorEastAsia" w:cs="Arial"/>
                <w:sz w:val="16"/>
                <w:szCs w:val="16"/>
                <w:lang w:val="fr-FR"/>
              </w:rPr>
              <w:t xml:space="preserve"> (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au 2</w:t>
            </w:r>
            <w:r w:rsidR="00012DAF"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 </w:t>
            </w:r>
            <w:r w:rsidR="00012DAF" w:rsidRPr="00543E11">
              <w:rPr>
                <w:rFonts w:eastAsiaTheme="minorEastAsia" w:cs="Arial"/>
                <w:sz w:val="16"/>
                <w:szCs w:val="16"/>
                <w:lang w:val="fr-FR"/>
              </w:rPr>
              <w:t>août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 </w:t>
            </w:r>
            <w:r w:rsidR="00012DAF" w:rsidRPr="00543E11">
              <w:rPr>
                <w:rFonts w:eastAsiaTheme="minorEastAsia" w:cs="Arial"/>
                <w:sz w:val="16"/>
                <w:szCs w:val="16"/>
                <w:lang w:val="fr-FR"/>
              </w:rPr>
              <w:t>20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20</w:t>
            </w:r>
            <w:r w:rsidR="00B66AEF" w:rsidRPr="00543E11">
              <w:rPr>
                <w:rFonts w:eastAsiaTheme="minorEastAsia" w:cs="Arial"/>
                <w:sz w:val="16"/>
                <w:szCs w:val="16"/>
                <w:lang w:val="fr-FR"/>
              </w:rPr>
              <w:t>)</w:t>
            </w:r>
          </w:p>
        </w:tc>
      </w:tr>
      <w:tr w:rsidR="00572624" w:rsidRPr="00543E11" w14:paraId="370CBFEB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082080FE" w14:textId="169ACF54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998" w:type="dxa"/>
            <w:shd w:val="clear" w:color="auto" w:fill="FFFFFF" w:themeFill="background1"/>
          </w:tcPr>
          <w:p w14:paraId="62013669" w14:textId="4C108083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286</w:t>
            </w:r>
          </w:p>
        </w:tc>
        <w:tc>
          <w:tcPr>
            <w:tcW w:w="1020" w:type="dxa"/>
            <w:shd w:val="clear" w:color="auto" w:fill="auto"/>
          </w:tcPr>
          <w:p w14:paraId="63914571" w14:textId="301F07DE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5721DE16" w14:textId="317DA72A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4951CA42" w14:textId="3C82D617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</w:tcPr>
          <w:p w14:paraId="61C91EC4" w14:textId="025C1669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</w:tcPr>
          <w:p w14:paraId="7BAE2868" w14:textId="21D47CC2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559" w:type="dxa"/>
          </w:tcPr>
          <w:p w14:paraId="63510A80" w14:textId="6FC2E44F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087B6484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392E7E13" w14:textId="3A290852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998" w:type="dxa"/>
            <w:shd w:val="clear" w:color="auto" w:fill="FFFFFF" w:themeFill="background1"/>
          </w:tcPr>
          <w:p w14:paraId="47A76EDA" w14:textId="3557D1E8" w:rsidR="00E933CF" w:rsidRPr="00543E11" w:rsidRDefault="006913AE" w:rsidP="006913AE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shd w:val="clear" w:color="auto" w:fill="auto"/>
          </w:tcPr>
          <w:p w14:paraId="7D5473C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2BEA067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4C07AC9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FFFFFF" w:themeFill="background1"/>
          </w:tcPr>
          <w:p w14:paraId="5D7626F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18C22F2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</w:tcPr>
          <w:p w14:paraId="6C976E9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3249AE76" w14:textId="77777777" w:rsidTr="004A273F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31FB0D" w14:textId="77777777" w:rsidR="00572624" w:rsidRPr="00543E11" w:rsidRDefault="00572624" w:rsidP="004A273F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78F831" w14:textId="77777777" w:rsidR="00572624" w:rsidRPr="00543E11" w:rsidRDefault="00572624" w:rsidP="004A273F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D63ACE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9AC3DC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588C49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0AC3A8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00D6AD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389219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</w:tr>
      <w:tr w:rsidR="00E933CF" w:rsidRPr="00543E11" w14:paraId="4E2DB6D4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00CBC997" w14:textId="5116489C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998" w:type="dxa"/>
            <w:shd w:val="clear" w:color="auto" w:fill="FFFFFF" w:themeFill="background1"/>
          </w:tcPr>
          <w:p w14:paraId="25014AB9" w14:textId="60632EE1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329</w:t>
            </w:r>
          </w:p>
        </w:tc>
        <w:tc>
          <w:tcPr>
            <w:tcW w:w="1020" w:type="dxa"/>
            <w:shd w:val="clear" w:color="auto" w:fill="auto"/>
          </w:tcPr>
          <w:p w14:paraId="3D9C5CC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329FD46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38A586D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FFFFFF" w:themeFill="background1"/>
          </w:tcPr>
          <w:p w14:paraId="4132716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4736001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559" w:type="dxa"/>
          </w:tcPr>
          <w:p w14:paraId="7DAF6E77" w14:textId="591B7715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933CF" w:rsidRPr="00543E11" w14:paraId="48217C9E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8BE590" w14:textId="0974C77B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F2BD59" w14:textId="580A5EA7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384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256D8B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8C4FF6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888111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03F83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E57436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C1C14C" w14:textId="19922CBB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18</w:t>
            </w:r>
          </w:p>
        </w:tc>
      </w:tr>
      <w:tr w:rsidR="00E933CF" w:rsidRPr="00543E11" w14:paraId="0030C54A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B6848D" w14:textId="034C87A0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*Autriche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07F62E" w14:textId="77777777" w:rsidR="00E933CF" w:rsidRPr="00543E11" w:rsidRDefault="00E933CF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7C1E3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9F5C0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9B2A2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ADD6D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16DAE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D9AF8E" w14:textId="78B70617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</w:tr>
      <w:tr w:rsidR="00E933CF" w:rsidRPr="00543E11" w14:paraId="38C1E54D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0D4E2B" w14:textId="581E29C0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7CC0DC" w14:textId="67470205" w:rsidR="003D618C" w:rsidRPr="00543E11" w:rsidRDefault="006913AE" w:rsidP="006913AE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1BFF75B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254A7E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4B942D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247409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285200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2B1B4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55705089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698DD" w14:textId="3BFE02B5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A2FA41" w14:textId="20DE229B" w:rsidR="00E933CF" w:rsidRPr="00543E11" w:rsidRDefault="00050BB5" w:rsidP="000308E8">
            <w:pPr>
              <w:tabs>
                <w:tab w:val="left" w:pos="417"/>
              </w:tabs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E674A4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B999A1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EBA268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665A4C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46FFB2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02E74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1FBBFF74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CE7042" w14:textId="72BBD58D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*Belgique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B581AD" w14:textId="04E26A68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3C7A5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2DAFF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5AE6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C0FE3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E43D9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1AE47B" w14:textId="58CCAE61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</w:tr>
      <w:tr w:rsidR="00E933CF" w:rsidRPr="00543E11" w14:paraId="7907E9B8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0A43C489" w14:textId="1FCBD16C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Bolivie (État plurinational de)</w:t>
            </w:r>
          </w:p>
        </w:tc>
        <w:tc>
          <w:tcPr>
            <w:tcW w:w="998" w:type="dxa"/>
            <w:shd w:val="clear" w:color="auto" w:fill="FFFFFF" w:themeFill="background1"/>
          </w:tcPr>
          <w:p w14:paraId="64D76281" w14:textId="7D18BFF0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35EAEB8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105B16E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118B5D5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2A89756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7669C83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</w:tcPr>
          <w:p w14:paraId="53337B2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36AA6776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3F9E2949" w14:textId="65A72022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Bosnie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Herzégovine</w:t>
            </w:r>
          </w:p>
        </w:tc>
        <w:tc>
          <w:tcPr>
            <w:tcW w:w="998" w:type="dxa"/>
            <w:shd w:val="clear" w:color="auto" w:fill="FFFFFF" w:themeFill="background1"/>
          </w:tcPr>
          <w:p w14:paraId="31A2AFA9" w14:textId="5F411472" w:rsidR="00E933CF" w:rsidRPr="00543E11" w:rsidRDefault="006913AE" w:rsidP="006913AE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shd w:val="clear" w:color="auto" w:fill="auto"/>
          </w:tcPr>
          <w:p w14:paraId="4939AD94" w14:textId="1EC40758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</w:tcPr>
          <w:p w14:paraId="44C4CFAC" w14:textId="2CC2AC7D" w:rsidR="00E933CF" w:rsidRPr="00543E11" w:rsidRDefault="006913AE" w:rsidP="006913AE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</w:tcPr>
          <w:p w14:paraId="4D5FC93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6EB6DA4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77E0E8C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</w:tcPr>
          <w:p w14:paraId="0A4FE90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5A49B754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4FF821" w14:textId="7D12E45D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EED0CC" w14:textId="3988682D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327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4CCEE8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4E7E21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ED9BB3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0EB0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2762E0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D0E0B8" w14:textId="1D0DA47F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</w:tr>
      <w:tr w:rsidR="00E933CF" w:rsidRPr="00543E11" w14:paraId="004F8994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590AEC1A" w14:textId="2E93E1AF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*Bulgarie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13109271" w14:textId="41116847" w:rsidR="00E933CF" w:rsidRPr="00543E11" w:rsidRDefault="00050BB5" w:rsidP="00555707">
            <w:pPr>
              <w:tabs>
                <w:tab w:val="left" w:pos="417"/>
              </w:tabs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18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7DCEA93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7C3F0E6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A187AD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82D092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2C4295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725C66" w14:textId="3F18F8EE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</w:tr>
      <w:tr w:rsidR="00E933CF" w:rsidRPr="00543E11" w14:paraId="149953B7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065DA20D" w14:textId="35B2EED8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998" w:type="dxa"/>
            <w:shd w:val="clear" w:color="auto" w:fill="FFFFFF" w:themeFill="background1"/>
          </w:tcPr>
          <w:p w14:paraId="511E7170" w14:textId="53DA5524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330</w:t>
            </w:r>
          </w:p>
        </w:tc>
        <w:tc>
          <w:tcPr>
            <w:tcW w:w="1020" w:type="dxa"/>
            <w:shd w:val="clear" w:color="auto" w:fill="auto"/>
          </w:tcPr>
          <w:p w14:paraId="17F2BE0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</w:tcPr>
          <w:p w14:paraId="5671BCA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</w:tcPr>
          <w:p w14:paraId="646055B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shd w:val="clear" w:color="auto" w:fill="FFFFFF" w:themeFill="background1"/>
          </w:tcPr>
          <w:p w14:paraId="5EC667D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</w:t>
            </w:r>
          </w:p>
        </w:tc>
        <w:tc>
          <w:tcPr>
            <w:tcW w:w="1020" w:type="dxa"/>
          </w:tcPr>
          <w:p w14:paraId="7C8B5D3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559" w:type="dxa"/>
          </w:tcPr>
          <w:p w14:paraId="09837E84" w14:textId="451F2677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</w:tr>
      <w:tr w:rsidR="00E933CF" w:rsidRPr="00543E11" w14:paraId="49857B63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2D4B13" w14:textId="336F51B6" w:rsidR="00E933CF" w:rsidRPr="00543E11" w:rsidRDefault="006913AE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60F90" w14:textId="7A012EC0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2AFE43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0D3418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386150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0F1A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5A44EA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6AC145" w14:textId="1F0D5395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</w:tr>
      <w:tr w:rsidR="00E933CF" w:rsidRPr="00543E11" w14:paraId="639F0F54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20DB609B" w14:textId="371297C5" w:rsidR="00E933CF" w:rsidRPr="00543E11" w:rsidRDefault="006913AE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998" w:type="dxa"/>
            <w:shd w:val="clear" w:color="auto" w:fill="FFFFFF" w:themeFill="background1"/>
          </w:tcPr>
          <w:p w14:paraId="1B15D368" w14:textId="0B698D22" w:rsidR="00D2076C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  <w:r w:rsidR="00B66AEF" w:rsidRPr="00543E11">
              <w:rPr>
                <w:rFonts w:eastAsiaTheme="minorEastAsia" w:cs="Arial"/>
                <w:sz w:val="16"/>
                <w:szCs w:val="16"/>
                <w:lang w:val="fr-FR"/>
              </w:rPr>
              <w:t>,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760</w:t>
            </w:r>
          </w:p>
        </w:tc>
        <w:tc>
          <w:tcPr>
            <w:tcW w:w="1020" w:type="dxa"/>
            <w:shd w:val="clear" w:color="auto" w:fill="auto"/>
          </w:tcPr>
          <w:p w14:paraId="2F5BFFF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</w:tcPr>
          <w:p w14:paraId="77788A7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6665C7B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shd w:val="clear" w:color="auto" w:fill="FFFFFF" w:themeFill="background1"/>
          </w:tcPr>
          <w:p w14:paraId="69AC478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11418DF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559" w:type="dxa"/>
          </w:tcPr>
          <w:p w14:paraId="1AEF265A" w14:textId="71106222" w:rsidR="00E933CF" w:rsidRPr="00543E11" w:rsidRDefault="008C3447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1F689FF6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BF20A" w14:textId="0E51ADC7" w:rsidR="00E933CF" w:rsidRPr="00543E11" w:rsidRDefault="006913AE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215263" w14:textId="271201BD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168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06250E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6C62C1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B976D5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98C4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98319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B2B8C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03C687EF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D7437" w14:textId="12C78411" w:rsidR="00E933CF" w:rsidRPr="00543E11" w:rsidRDefault="00E933CF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Costa</w:t>
            </w:r>
            <w:r w:rsidR="00370A79">
              <w:rPr>
                <w:rFonts w:eastAsiaTheme="minorEastAsia" w:cs="Arial"/>
                <w:sz w:val="16"/>
                <w:szCs w:val="16"/>
                <w:lang w:val="fr-FR"/>
              </w:rPr>
              <w:t> 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Rica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F01F45" w14:textId="78D97B56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DEC8A3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67FF66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61D197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61B8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93BFB1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1B84E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69217837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599285" w14:textId="50CAC96F" w:rsidR="00E933CF" w:rsidRPr="00543E11" w:rsidRDefault="00D41105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="006913AE" w:rsidRPr="00543E11">
              <w:rPr>
                <w:rFonts w:eastAsiaTheme="minorEastAsia"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56E915" w14:textId="57F23A30" w:rsidR="00E933CF" w:rsidRPr="00543E11" w:rsidRDefault="00D2076C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38B2B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2C88C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87BE3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98225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6B04F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AAD7B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933CF" w:rsidRPr="00543E11" w14:paraId="0BA43766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CF695D" w14:textId="0564E22A" w:rsidR="00E933CF" w:rsidRPr="00543E11" w:rsidRDefault="00D41105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="00E933CF" w:rsidRPr="00543E11">
              <w:rPr>
                <w:rFonts w:eastAsiaTheme="minorEastAsia" w:cs="Arial"/>
                <w:sz w:val="16"/>
                <w:szCs w:val="16"/>
                <w:lang w:val="fr-FR"/>
              </w:rPr>
              <w:t>D</w:t>
            </w:r>
            <w:r w:rsidR="006913AE" w:rsidRPr="00543E11">
              <w:rPr>
                <w:rFonts w:eastAsiaTheme="minorEastAsia" w:cs="Arial"/>
                <w:sz w:val="16"/>
                <w:szCs w:val="16"/>
                <w:lang w:val="fr-FR"/>
              </w:rPr>
              <w:t>a</w:t>
            </w:r>
            <w:r w:rsidR="00E933CF" w:rsidRPr="00543E11">
              <w:rPr>
                <w:rFonts w:eastAsiaTheme="minorEastAsia" w:cs="Arial"/>
                <w:sz w:val="16"/>
                <w:szCs w:val="16"/>
                <w:lang w:val="fr-FR"/>
              </w:rPr>
              <w:t>n</w:t>
            </w:r>
            <w:r w:rsidR="006913AE" w:rsidRPr="00543E11">
              <w:rPr>
                <w:rFonts w:eastAsiaTheme="minorEastAsia" w:cs="Arial"/>
                <w:sz w:val="16"/>
                <w:szCs w:val="16"/>
                <w:lang w:val="fr-FR"/>
              </w:rPr>
              <w:t>e</w:t>
            </w:r>
            <w:r w:rsidR="00E933CF" w:rsidRPr="00543E11">
              <w:rPr>
                <w:rFonts w:eastAsiaTheme="minorEastAsia" w:cs="Arial"/>
                <w:sz w:val="16"/>
                <w:szCs w:val="16"/>
                <w:lang w:val="fr-FR"/>
              </w:rPr>
              <w:t>mark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09E82E" w14:textId="7FA8D51C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1D0CE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5E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08F34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6A3C9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A35D7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45C506" w14:textId="24699507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</w:tr>
      <w:tr w:rsidR="00E933CF" w:rsidRPr="00543E11" w14:paraId="661D9886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9C1166" w14:textId="1264B8F4" w:rsidR="00E933CF" w:rsidRPr="00543E11" w:rsidRDefault="006913AE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545E6F" w14:textId="49C77959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FB77CC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D3A977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BD188C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9C88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B0FF69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747E4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45E9B589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384C97" w14:textId="7E580D4C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*Espagne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DEFDD2" w14:textId="130327FB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BC2745" w14:textId="7B2175F6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3B74EF" w14:textId="4DB75DE5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01B9C2" w14:textId="0E99FA07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402584" w14:textId="44199E3B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EBEADB" w14:textId="25D82669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9DAC5A" w14:textId="70464FFA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</w:tr>
      <w:tr w:rsidR="00E933CF" w:rsidRPr="00543E11" w14:paraId="2E5B5533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713D00" w14:textId="29C0CCE0" w:rsidR="00E933CF" w:rsidRPr="00543E11" w:rsidRDefault="00D41105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="006913AE" w:rsidRPr="00543E11">
              <w:rPr>
                <w:rFonts w:eastAsiaTheme="minorEastAsia"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3DE731" w14:textId="04872B65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DB138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87E10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D0A6F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A2B21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9609B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FFC5F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</w:tr>
      <w:tr w:rsidR="00572624" w:rsidRPr="00543E11" w14:paraId="41127B2F" w14:textId="77777777" w:rsidTr="004A273F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B51BA" w14:textId="1E25CC60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États</w:t>
            </w:r>
            <w:r>
              <w:rPr>
                <w:rFonts w:eastAsiaTheme="minorEastAsia" w:cs="Arial"/>
                <w:sz w:val="16"/>
                <w:szCs w:val="16"/>
                <w:lang w:val="fr-FR" w:eastAsia="ja-JP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Unis d</w:t>
            </w:r>
            <w:r>
              <w:rPr>
                <w:rFonts w:eastAsiaTheme="minorEastAsia" w:cs="Arial"/>
                <w:sz w:val="16"/>
                <w:szCs w:val="16"/>
                <w:lang w:val="fr-FR" w:eastAsia="ja-JP"/>
              </w:rPr>
              <w:t>’</w:t>
            </w: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Amérique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1B4594" w14:textId="2B1E52B9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1 609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4B492617" w14:textId="45584080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17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0472CB3" w14:textId="65AF384D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8AC1E4" w14:textId="0E0FDEF5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3D3320" w14:textId="11E90F95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1DF30AA" w14:textId="350791E9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5A9BA9" w14:textId="7E7555C2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</w:tr>
      <w:tr w:rsidR="00572624" w:rsidRPr="00543E11" w14:paraId="1AF155CF" w14:textId="77777777" w:rsidTr="004A273F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40A399" w14:textId="77777777" w:rsidR="00572624" w:rsidRPr="00543E11" w:rsidRDefault="00572624" w:rsidP="004A273F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103BD" w14:textId="77777777" w:rsidR="00572624" w:rsidRPr="00543E11" w:rsidRDefault="00572624" w:rsidP="004A273F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780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B895DB9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DD69E8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C34D21B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6D3412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735D58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D0EBC2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079ECAC7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263B42" w14:textId="49A424DC" w:rsidR="00E933CF" w:rsidRPr="00543E11" w:rsidRDefault="00D41105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="00E933CF" w:rsidRPr="00543E11">
              <w:rPr>
                <w:rFonts w:eastAsiaTheme="minorEastAsia" w:cs="Arial"/>
                <w:sz w:val="16"/>
                <w:szCs w:val="16"/>
                <w:lang w:val="fr-FR"/>
              </w:rPr>
              <w:t>Finland</w:t>
            </w:r>
            <w:r w:rsidR="006913AE" w:rsidRPr="00543E11">
              <w:rPr>
                <w:rFonts w:eastAsiaTheme="minorEastAsia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BC143D" w14:textId="030A8D5A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614A0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615DD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59A12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890B4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83352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9C05F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</w:tr>
      <w:tr w:rsidR="00E933CF" w:rsidRPr="00543E11" w14:paraId="375359A8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D5DE2D" w14:textId="3FDBCEE5" w:rsidR="00E933CF" w:rsidRPr="00543E11" w:rsidRDefault="00D41105" w:rsidP="000308E8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="00E933CF" w:rsidRPr="00543E11">
              <w:rPr>
                <w:rFonts w:eastAsiaTheme="minorEastAsia"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B952CB" w14:textId="46DD564A" w:rsidR="00E933CF" w:rsidRPr="00543E11" w:rsidRDefault="00050BB5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AA05B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A9503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77EE1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F55EC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41557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780B39" w14:textId="5076838E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</w:tr>
      <w:tr w:rsidR="00E933CF" w:rsidRPr="00543E11" w14:paraId="5A4078A6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3549B" w14:textId="5E08CC08" w:rsidR="00E933CF" w:rsidRPr="00543E11" w:rsidRDefault="006913AE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1783A" w14:textId="34442F40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99E329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506DB4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3176E0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54C6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BB0CBE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8C525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6DF5C14F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B3DA94" w14:textId="34882664" w:rsidR="00E933CF" w:rsidRPr="00543E11" w:rsidRDefault="00D41105" w:rsidP="006913AE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="00E933CF" w:rsidRPr="00543E11">
              <w:rPr>
                <w:rFonts w:eastAsiaTheme="minorEastAsia" w:cs="Arial"/>
                <w:sz w:val="16"/>
                <w:szCs w:val="16"/>
                <w:lang w:val="fr-FR"/>
              </w:rPr>
              <w:t>H</w:t>
            </w:r>
            <w:r w:rsidR="006913AE" w:rsidRPr="00543E11">
              <w:rPr>
                <w:rFonts w:eastAsiaTheme="minorEastAsia" w:cs="Arial"/>
                <w:sz w:val="16"/>
                <w:szCs w:val="16"/>
                <w:lang w:val="fr-FR"/>
              </w:rPr>
              <w:t>ongrie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D543CC" w14:textId="36422EA9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96AF6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D377B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A40F4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EAFD5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06F28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93677B" w14:textId="51E533A5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</w:tr>
      <w:tr w:rsidR="00572624" w:rsidRPr="00543E11" w14:paraId="22F8EEAC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05D5A2" w14:textId="12C55D38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E16AE9" w14:textId="6A76D798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CF5C49" w14:textId="02292C80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144F16" w14:textId="1AB22BE1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2ACE7E" w14:textId="765936E8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4086E5" w14:textId="227003C5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83F834" w14:textId="37972113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D5A3C7" w14:textId="197D5E29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</w:tr>
      <w:tr w:rsidR="00572624" w:rsidRPr="00543E11" w14:paraId="0E9A47B1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5568258E" w14:textId="04283194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*Islande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1775956D" w14:textId="1502BA9C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4F2431A" w14:textId="24BD9CDC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2D050161" w14:textId="19376184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412C446" w14:textId="7CA4C444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F0089B2" w14:textId="580A5133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62AF4A74" w14:textId="1ED9EBF8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9C82758" w14:textId="293E45CA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19885B72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2418C7" w14:textId="5895FE86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D792AA" w14:textId="6954F490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7224DB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A0C23A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EC14E2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12C9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78ED6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378F7C" w14:textId="580F21BB" w:rsidR="00E933CF" w:rsidRPr="00543E11" w:rsidRDefault="00857EE3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508389A8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1F28DE43" w14:textId="7580BE52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*Italie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7DE36C81" w14:textId="7B372CE6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8C68B9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3E6347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01768DF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C304DE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2429CB0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25F63C6" w14:textId="599D5499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</w:tr>
      <w:tr w:rsidR="00E933CF" w:rsidRPr="00543E11" w14:paraId="6A355437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4CD11" w14:textId="4776AB43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BF99E" w14:textId="0EC265AC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880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A23E03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D5D723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4F2EEA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AA4F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5723A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FF463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933CF" w:rsidRPr="00543E11" w14:paraId="76D8997D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CB094" w14:textId="5D387B5B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3ED524" w14:textId="0472D009" w:rsidR="00E933CF" w:rsidRPr="00543E11" w:rsidRDefault="00A86C57" w:rsidP="00A86C57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683827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E311ED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7A0C5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E38D38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516CA8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64DF5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0BEBFB61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6E8559E7" w14:textId="1D1706CB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998" w:type="dxa"/>
            <w:shd w:val="clear" w:color="auto" w:fill="FFFFFF" w:themeFill="background1"/>
          </w:tcPr>
          <w:p w14:paraId="0CD6D8C0" w14:textId="3A84BD1E" w:rsidR="00E933CF" w:rsidRPr="00543E11" w:rsidRDefault="00A86C57" w:rsidP="00A86C57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shd w:val="clear" w:color="auto" w:fill="auto"/>
          </w:tcPr>
          <w:p w14:paraId="2945EB8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7A69999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403555B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5926726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32FF84E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</w:tcPr>
          <w:p w14:paraId="0F996CB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41AF2280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75E60" w14:textId="5E306C5F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C742C" w14:textId="0D8A922A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65519A0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68E8A1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554206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76C8C1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A46A1A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B3401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710BBDE5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CB6868" w14:textId="2FB63CE3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*Lettonie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714ACD" w14:textId="181604EA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4F7F6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D75FA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7E076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EDC90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4746D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74E89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1194D6E7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81009C" w14:textId="23E02FBE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*Lituanie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015BC7" w14:textId="1FC74C91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2ACBD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DADC5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4391E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42244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75FF2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CA225C" w14:textId="5324F84E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</w:tr>
      <w:tr w:rsidR="00572624" w:rsidRPr="00543E11" w14:paraId="5FE9B17D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7E16D9F3" w14:textId="5F9CB4D7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lastRenderedPageBreak/>
              <w:t>Macédoine du Nord</w:t>
            </w:r>
          </w:p>
        </w:tc>
        <w:tc>
          <w:tcPr>
            <w:tcW w:w="998" w:type="dxa"/>
            <w:shd w:val="clear" w:color="auto" w:fill="FFFFFF" w:themeFill="background1"/>
          </w:tcPr>
          <w:p w14:paraId="4DB42840" w14:textId="19D27499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shd w:val="clear" w:color="auto" w:fill="auto"/>
          </w:tcPr>
          <w:p w14:paraId="13790B86" w14:textId="39CFD8EA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25BBD937" w14:textId="75C15FD9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3288DC09" w14:textId="1686F5AE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FFFFFF" w:themeFill="background1"/>
          </w:tcPr>
          <w:p w14:paraId="476E22EE" w14:textId="528BD2C6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673EE03F" w14:textId="5921E978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</w:tcPr>
          <w:p w14:paraId="722DBE47" w14:textId="05067DE2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316750B8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3A1D29F4" w14:textId="49740BE9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998" w:type="dxa"/>
            <w:shd w:val="clear" w:color="auto" w:fill="FFFFFF" w:themeFill="background1"/>
          </w:tcPr>
          <w:p w14:paraId="0BDF35EF" w14:textId="03F9B4A7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109</w:t>
            </w:r>
          </w:p>
        </w:tc>
        <w:tc>
          <w:tcPr>
            <w:tcW w:w="1020" w:type="dxa"/>
            <w:shd w:val="clear" w:color="auto" w:fill="auto"/>
          </w:tcPr>
          <w:p w14:paraId="0D24BF75" w14:textId="1D941754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</w:tcPr>
          <w:p w14:paraId="55D1B6BB" w14:textId="554FAEE2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695C0BDB" w14:textId="6CF4E4DF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FFFFFF" w:themeFill="background1"/>
          </w:tcPr>
          <w:p w14:paraId="0B3FCE4B" w14:textId="09FD37E0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29D9BEC8" w14:textId="52553F66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559" w:type="dxa"/>
          </w:tcPr>
          <w:p w14:paraId="2178C697" w14:textId="2B6E20A5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41C5D2FC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1605073B" w14:textId="36632E93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998" w:type="dxa"/>
            <w:shd w:val="clear" w:color="auto" w:fill="FFFFFF" w:themeFill="background1"/>
          </w:tcPr>
          <w:p w14:paraId="59F31575" w14:textId="3BD11C0F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308</w:t>
            </w:r>
          </w:p>
        </w:tc>
        <w:tc>
          <w:tcPr>
            <w:tcW w:w="1020" w:type="dxa"/>
            <w:shd w:val="clear" w:color="auto" w:fill="auto"/>
          </w:tcPr>
          <w:p w14:paraId="5D8B1E1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</w:tcPr>
          <w:p w14:paraId="3D0E4A7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</w:tcPr>
          <w:p w14:paraId="684BCFE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shd w:val="clear" w:color="auto" w:fill="FFFFFF" w:themeFill="background1"/>
          </w:tcPr>
          <w:p w14:paraId="3F74E4B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</w:tcPr>
          <w:p w14:paraId="0276C84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559" w:type="dxa"/>
          </w:tcPr>
          <w:p w14:paraId="21EDFB13" w14:textId="115B9E77" w:rsidR="00E933CF" w:rsidRPr="00543E11" w:rsidRDefault="008C3447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26FA02C5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BD82D" w14:textId="63EDD8FA" w:rsidR="00E933CF" w:rsidRPr="00543E11" w:rsidRDefault="00A86C57" w:rsidP="00A86C57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Monténégro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E10CE3" w14:textId="0F1EF6BD" w:rsidR="00E933CF" w:rsidRPr="00543E11" w:rsidRDefault="00A86C57" w:rsidP="00A86C57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63B858C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2337F6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CAA439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F0D1A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3A7B1A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56760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3BB9CA23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DFECAD" w14:textId="7C2A1C3B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Nouvelle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Zélande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87549C" w14:textId="1794C6D3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112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2C59B2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DDB64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1A79C5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56C7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4BE767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D42C71" w14:textId="26C2C308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</w:tr>
      <w:tr w:rsidR="00E933CF" w:rsidRPr="00543E11" w14:paraId="503CB04E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C6772" w14:textId="74796F7C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696C3C" w14:textId="77777777" w:rsidR="00E933CF" w:rsidRPr="00543E11" w:rsidRDefault="00E933CF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16A224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FB0ACA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7DCF78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1118C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1F0C4F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C016E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235B6A09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9020F8" w14:textId="71FE7D9A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*Norvège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4DC427" w14:textId="419C5ACE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6AE1F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6B736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36485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825EB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77768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0BFFA6" w14:textId="0916B448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933CF" w:rsidRPr="00543E11" w14:paraId="7A6A0F4F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FF8FF3" w14:textId="53F28FF0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4204FD" w14:textId="6374D0BD" w:rsidR="00E933CF" w:rsidRPr="00543E11" w:rsidRDefault="000010F4" w:rsidP="000010F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EC6421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6E2409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0D4278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5FD8E5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B4A2B5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6EA2D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1BAABBC2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277148" w14:textId="313A8050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Organisation africaine de la propriété intellectuelle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1B065" w14:textId="2C594B84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748F959" w14:textId="78B2C13F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9278F7" w14:textId="7CAC73DC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F3766F6" w14:textId="7EE5C75D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B75ACED" w14:textId="501E3225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C77FDD3" w14:textId="31769CEB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518010" w14:textId="2E6EB74B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4CB0148D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161F7B" w14:textId="7F1DF90A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C28C6C" w14:textId="3BE7EC5E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E91E3CD" w14:textId="4B63B62D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DDCFDC5" w14:textId="4B50C8FE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20067A7" w14:textId="753BA0A5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953987" w14:textId="0B8EDB1F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BCCAAEF" w14:textId="0278ED70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C68A30" w14:textId="74398580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06349415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A378B" w14:textId="6889F301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1B46D" w14:textId="2654559F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FC386C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B16373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E51184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81DAA8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5238FC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4F888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66C02946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21AD98" w14:textId="5E8A2DA8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D5866" w14:textId="0C6584DD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4005333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28A5AD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0CC854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211EE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AC3DC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CB6A7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0C88BD21" w14:textId="77777777" w:rsidTr="004A273F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59C4C19F" w14:textId="77777777" w:rsidR="00572624" w:rsidRPr="00543E11" w:rsidRDefault="00572624" w:rsidP="004A273F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*Pays</w:t>
            </w:r>
            <w:r>
              <w:rPr>
                <w:rFonts w:eastAsiaTheme="minorEastAsia" w:cs="Arial"/>
                <w:sz w:val="16"/>
                <w:szCs w:val="16"/>
                <w:lang w:val="fr-FR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Bas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6C44E4D3" w14:textId="77777777" w:rsidR="00572624" w:rsidRPr="00543E11" w:rsidRDefault="00572624" w:rsidP="004A273F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792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2A0B5A5B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0961786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69112793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52281F92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685016D4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88A758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</w:tr>
      <w:tr w:rsidR="00E933CF" w:rsidRPr="00543E11" w14:paraId="6B629754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FC5EA8" w14:textId="6D8FF46E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85962" w14:textId="2DA6CC6E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119ABF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0E5FDE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249D64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EB32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A1B64C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4F4D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47505189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545193" w14:textId="75A747E2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*Pologne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CA4925" w14:textId="72FD7000" w:rsidR="003E4BBA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64FAF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FDA12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1BA4C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8CC00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AEC72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1BB08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</w:tr>
      <w:tr w:rsidR="00E933CF" w:rsidRPr="00543E11" w14:paraId="7FA30185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6F54BF78" w14:textId="50BA3074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*Portugal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21426278" w14:textId="7FBE9A3F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0AC8637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49BDBB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2A47CF8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FF1005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7BA6564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748D1BD" w14:textId="4D0F0748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</w:tr>
      <w:tr w:rsidR="00E933CF" w:rsidRPr="00543E11" w14:paraId="53C589E4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7E3E8F" w14:textId="1CC693FB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32B583" w14:textId="4E30529B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765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256A39F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73E3DE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9D98ED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4A030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64235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AC0EEE" w14:textId="641CBEED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933CF" w:rsidRPr="00543E11" w14:paraId="6CE80360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7C9F7" w14:textId="3699E827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1BF647" w14:textId="2EDDD78E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0C3CAB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24404C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6771DC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BE47F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DAC18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404D72" w14:textId="54AC4094" w:rsidR="00E933CF" w:rsidRPr="00543E11" w:rsidRDefault="008C3447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518EC39D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B9B50" w14:textId="519B0D2F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61F3DA" w14:textId="4455A58E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</w:t>
            </w:r>
            <w:r>
              <w:rPr>
                <w:rFonts w:eastAsiaTheme="minorEastAsia" w:cs="Arial"/>
                <w:sz w:val="16"/>
                <w:szCs w:val="16"/>
                <w:lang w:val="fr-FR"/>
              </w:rPr>
              <w:t>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AD4B6FB" w14:textId="24BD1E7E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7C8B49" w14:textId="06477C74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DF829A9" w14:textId="7F7E15D9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336CD" w14:textId="23193060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D3A1A6E" w14:textId="1861A72C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14E480" w14:textId="755703B8" w:rsidR="00572624" w:rsidRPr="00543E11" w:rsidRDefault="00572624" w:rsidP="00572624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70A9CABA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69A37180" w14:textId="59B8F989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3E46278C" w14:textId="2849D3EA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2467FCDA" w14:textId="33537500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45C0C9D" w14:textId="23BC554C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A5CBF93" w14:textId="0B21055A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732E2A63" w14:textId="0CD6FEC7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D1D1CD0" w14:textId="2EF8CACC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0E73359" w14:textId="1988B7EC" w:rsidR="00572624" w:rsidRPr="00543E11" w:rsidRDefault="00572624" w:rsidP="00572624">
            <w:pPr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</w:tr>
      <w:tr w:rsidR="00572624" w:rsidRPr="00543E11" w14:paraId="744F3BFA" w14:textId="77777777" w:rsidTr="004A273F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2E5F8868" w14:textId="77777777" w:rsidR="00572624" w:rsidRPr="00543E11" w:rsidRDefault="00572624" w:rsidP="004A273F">
            <w:pPr>
              <w:jc w:val="left"/>
              <w:rPr>
                <w:rFonts w:eastAsiaTheme="minorEastAsia" w:cs="Arial"/>
                <w:sz w:val="16"/>
                <w:szCs w:val="16"/>
                <w:lang w:val="fr-FR" w:eastAsia="ja-JP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République</w:t>
            </w:r>
            <w:r>
              <w:rPr>
                <w:rFonts w:eastAsiaTheme="minorEastAsia" w:cs="Arial"/>
                <w:sz w:val="16"/>
                <w:szCs w:val="16"/>
                <w:lang w:val="fr-FR" w:eastAsia="ja-JP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 w:eastAsia="ja-JP"/>
              </w:rPr>
              <w:t>Unie de Tanzanie</w:t>
            </w:r>
          </w:p>
        </w:tc>
        <w:tc>
          <w:tcPr>
            <w:tcW w:w="998" w:type="dxa"/>
            <w:shd w:val="clear" w:color="auto" w:fill="FFFFFF" w:themeFill="background1"/>
          </w:tcPr>
          <w:p w14:paraId="2200C0B2" w14:textId="77777777" w:rsidR="00572624" w:rsidRPr="00543E11" w:rsidRDefault="00572624" w:rsidP="004A273F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11ED2803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5224A92C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637ACBA8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78E3E197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59525DD5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</w:tcPr>
          <w:p w14:paraId="47E69782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4A080B3C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1BD6688C" w14:textId="7C35CD0F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*Roumanie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0B758147" w14:textId="0FA334DC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5ED4009" w14:textId="77777777" w:rsidR="00E933CF" w:rsidRPr="00543E11" w:rsidRDefault="00E933CF" w:rsidP="000308E8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iCs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69BE586F" w14:textId="77777777" w:rsidR="00E933CF" w:rsidRPr="00543E11" w:rsidRDefault="00E933CF" w:rsidP="000308E8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iCs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65378E2" w14:textId="77777777" w:rsidR="00E933CF" w:rsidRPr="00543E11" w:rsidRDefault="00E933CF" w:rsidP="000308E8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iCs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0B5158C9" w14:textId="77777777" w:rsidR="00E933CF" w:rsidRPr="00543E11" w:rsidRDefault="00E933CF" w:rsidP="000308E8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iCs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AC7D2F6" w14:textId="77777777" w:rsidR="00E933CF" w:rsidRPr="00543E11" w:rsidRDefault="00E933CF" w:rsidP="000308E8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iCs/>
                <w:sz w:val="16"/>
                <w:szCs w:val="16"/>
                <w:lang w:val="fr-FR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EF50D31" w14:textId="14726B31" w:rsidR="00E933CF" w:rsidRPr="00543E11" w:rsidRDefault="00795644" w:rsidP="000308E8">
            <w:pPr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iCs/>
                <w:sz w:val="16"/>
                <w:szCs w:val="16"/>
                <w:lang w:val="fr-FR"/>
              </w:rPr>
              <w:t>3</w:t>
            </w:r>
          </w:p>
        </w:tc>
      </w:tr>
      <w:tr w:rsidR="00572624" w:rsidRPr="00543E11" w14:paraId="04E36059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1D4DEA61" w14:textId="6CC1C44E" w:rsidR="00572624" w:rsidRPr="00543E11" w:rsidRDefault="00572624" w:rsidP="0057262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*Royaume</w:t>
            </w:r>
            <w:r>
              <w:rPr>
                <w:rFonts w:eastAsiaTheme="minorEastAsia" w:cs="Arial"/>
                <w:sz w:val="16"/>
                <w:szCs w:val="16"/>
                <w:lang w:val="fr-FR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Uni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512543A9" w14:textId="6094D8C6" w:rsidR="00572624" w:rsidRPr="00543E11" w:rsidRDefault="00572624" w:rsidP="0057262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328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DA17B9F" w14:textId="494D0842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57103257" w14:textId="2B42AE22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23681A8F" w14:textId="381F263E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6BCFA974" w14:textId="1E0AF4D6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8A4A840" w14:textId="255F8731" w:rsidR="00572624" w:rsidRPr="00543E11" w:rsidRDefault="00572624" w:rsidP="00572624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FD7624F" w14:textId="5CD22749" w:rsidR="00572624" w:rsidRPr="00543E11" w:rsidRDefault="00572624" w:rsidP="00572624">
            <w:pPr>
              <w:jc w:val="center"/>
              <w:rPr>
                <w:rFonts w:eastAsiaTheme="minorEastAsia" w:cs="Arial"/>
                <w:iCs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</w:tr>
      <w:tr w:rsidR="00E933CF" w:rsidRPr="00543E11" w14:paraId="58DA4D2F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0BAAC0" w14:textId="17077A6B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25EE5" w14:textId="5526B07F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1C1F4B3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7943BA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CC1D0B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FA10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F80EF5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69E09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933CF" w:rsidRPr="00543E11" w14:paraId="7F6A4403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CFEABA" w14:textId="090824D0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6CB591" w14:textId="484DED40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D7E46E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072F3D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017CD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51EEFA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EDC2E8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F1197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2EAC65EA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353B" w14:textId="4D873C33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*Slovaquie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6E1F1" w14:textId="70939D6B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D6954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2A47A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0C5AC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02DD6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F4AE3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CBEF69" w14:textId="2E848DEC" w:rsidR="00E933CF" w:rsidRPr="00543E11" w:rsidRDefault="008C3447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</w:tr>
      <w:tr w:rsidR="00E933CF" w:rsidRPr="00543E11" w14:paraId="74465819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26CE8286" w14:textId="5E23E71C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*Slovénie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5B721137" w14:textId="44E7C127" w:rsidR="00E933CF" w:rsidRPr="00543E11" w:rsidRDefault="000010F4" w:rsidP="000010F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20B503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710EA4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6EF97F2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748F428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6F7DC3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DC89D45" w14:textId="43714C9A" w:rsidR="00E933CF" w:rsidRPr="00543E11" w:rsidRDefault="008C3447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933CF" w:rsidRPr="00543E11" w14:paraId="6C53BAF4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D73849" w14:textId="426AAE37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*Suède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972548" w14:textId="77777777" w:rsidR="00E933CF" w:rsidRPr="00543E11" w:rsidRDefault="00E933CF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7E100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3A94D9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6CFF4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8B2F3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9E8587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75694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</w:tr>
      <w:tr w:rsidR="00E933CF" w:rsidRPr="00543E11" w14:paraId="68A21F77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380266" w14:textId="023206C3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*Suisse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C0E249" w14:textId="04CEBA5E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B6058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FFD5F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BFC26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922F0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2212A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336477" w14:textId="36832837" w:rsidR="00E933CF" w:rsidRPr="00543E11" w:rsidRDefault="00795644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</w:tr>
      <w:tr w:rsidR="00E933CF" w:rsidRPr="00543E11" w14:paraId="47207FA0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9E0A33" w14:textId="09ED4712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Trinité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et</w:t>
            </w:r>
            <w:r w:rsidR="00012DAF">
              <w:rPr>
                <w:rFonts w:eastAsiaTheme="minorEastAsia" w:cs="Arial"/>
                <w:sz w:val="16"/>
                <w:szCs w:val="16"/>
                <w:lang w:val="fr-FR"/>
              </w:rPr>
              <w:t>-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Tobago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FA0490" w14:textId="1E3642BC" w:rsidR="00E933CF" w:rsidRPr="00543E11" w:rsidRDefault="000010F4" w:rsidP="000010F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358E17C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733E75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3DF21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C7CD97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CAE4DF0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F0EF7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4F6597E6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D0892" w14:textId="59E23320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CEB504" w14:textId="09D059AE" w:rsidR="00E933CF" w:rsidRPr="00543E11" w:rsidRDefault="00167407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D03041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7C1A61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B0D032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D3E46A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928846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6D1FB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1EE2BC32" w14:textId="77777777" w:rsidTr="00555707">
        <w:trPr>
          <w:cantSplit/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07814127" w14:textId="01D101FF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*Turquie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04AD2C8B" w14:textId="190D1E29" w:rsidR="00E933CF" w:rsidRPr="00543E11" w:rsidRDefault="0010453C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178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02928CE4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B33C9B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CCF395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54D8B69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18E1D13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2314D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544EBC73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5A7FF6" w14:textId="0F5D6810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BEA3D" w14:textId="3FB4503D" w:rsidR="00E933CF" w:rsidRPr="00543E11" w:rsidRDefault="000010F4" w:rsidP="000010F4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1 575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4A86195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8665F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0025BE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8D202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216A96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6E4B61" w14:textId="7C6FB5BD" w:rsidR="00E933CF" w:rsidRPr="00543E11" w:rsidRDefault="008C3447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572624" w:rsidRPr="00543E11" w14:paraId="5D66FC8A" w14:textId="77777777" w:rsidTr="004A273F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39A707" w14:textId="77777777" w:rsidR="00572624" w:rsidRPr="00543E11" w:rsidRDefault="00572624" w:rsidP="004A273F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vertAlign w:val="superscript"/>
                <w:lang w:val="fr-FR"/>
              </w:rPr>
              <w:t>*</w:t>
            </w: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C98BD6" w14:textId="77777777" w:rsidR="00572624" w:rsidRPr="00543E11" w:rsidRDefault="00572624" w:rsidP="004A273F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3,554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0677D9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3070E8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87382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242C8C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CDED66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19232C" w14:textId="77777777" w:rsidR="00572624" w:rsidRPr="00543E11" w:rsidRDefault="00572624" w:rsidP="004A273F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5</w:t>
            </w:r>
          </w:p>
        </w:tc>
      </w:tr>
      <w:tr w:rsidR="00E933CF" w:rsidRPr="00543E11" w14:paraId="16989F24" w14:textId="77777777" w:rsidTr="00555707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5EA5F" w14:textId="5E1016E1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D120E" w14:textId="05A556BB" w:rsidR="00E933CF" w:rsidRPr="00543E11" w:rsidRDefault="0010453C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48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22EA913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BD25EB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088B453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7ABB2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A6BA44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895BEF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46F6B820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7282684F" w14:textId="36871ACE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Viet Nam</w:t>
            </w:r>
          </w:p>
        </w:tc>
        <w:tc>
          <w:tcPr>
            <w:tcW w:w="998" w:type="dxa"/>
            <w:shd w:val="clear" w:color="auto" w:fill="FFFFFF" w:themeFill="background1"/>
          </w:tcPr>
          <w:p w14:paraId="0FE89A69" w14:textId="2BE07481" w:rsidR="00E933CF" w:rsidRPr="00543E11" w:rsidRDefault="0010453C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242</w:t>
            </w:r>
          </w:p>
        </w:tc>
        <w:tc>
          <w:tcPr>
            <w:tcW w:w="1020" w:type="dxa"/>
            <w:shd w:val="clear" w:color="auto" w:fill="auto"/>
          </w:tcPr>
          <w:p w14:paraId="69785D6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49A4E9A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56A56BD6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2326D05A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2313DDD8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559" w:type="dxa"/>
          </w:tcPr>
          <w:p w14:paraId="4C327671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</w:tr>
      <w:tr w:rsidR="00E933CF" w:rsidRPr="00543E11" w14:paraId="6FD973D3" w14:textId="77777777" w:rsidTr="00555707">
        <w:trPr>
          <w:cantSplit/>
          <w:jc w:val="center"/>
        </w:trPr>
        <w:tc>
          <w:tcPr>
            <w:tcW w:w="2268" w:type="dxa"/>
            <w:shd w:val="clear" w:color="auto" w:fill="FFFFFF" w:themeFill="background1"/>
          </w:tcPr>
          <w:p w14:paraId="02026CC2" w14:textId="278361CF" w:rsidR="00E933CF" w:rsidRPr="00543E11" w:rsidRDefault="000010F4" w:rsidP="000010F4">
            <w:pPr>
              <w:jc w:val="left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OCDE</w:t>
            </w:r>
          </w:p>
        </w:tc>
        <w:tc>
          <w:tcPr>
            <w:tcW w:w="998" w:type="dxa"/>
            <w:shd w:val="clear" w:color="auto" w:fill="FFFFFF" w:themeFill="background1"/>
          </w:tcPr>
          <w:p w14:paraId="32130CBE" w14:textId="18434132" w:rsidR="00E933CF" w:rsidRPr="00543E11" w:rsidRDefault="00012DAF" w:rsidP="000308E8">
            <w:pPr>
              <w:ind w:right="284"/>
              <w:jc w:val="right"/>
              <w:rPr>
                <w:rFonts w:eastAsiaTheme="minorEastAsia" w:cs="Arial"/>
                <w:sz w:val="16"/>
                <w:szCs w:val="16"/>
                <w:lang w:val="fr-FR"/>
              </w:rPr>
            </w:pPr>
            <w:r>
              <w:rPr>
                <w:rFonts w:eastAsiaTheme="minorEastAsia" w:cs="Arial"/>
                <w:sz w:val="16"/>
                <w:szCs w:val="16"/>
                <w:lang w:val="fr-FR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FDCACB2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020" w:type="dxa"/>
          </w:tcPr>
          <w:p w14:paraId="6FD9E0B5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</w:tcPr>
          <w:p w14:paraId="148E7ADD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</w:tcPr>
          <w:p w14:paraId="390C348C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020" w:type="dxa"/>
          </w:tcPr>
          <w:p w14:paraId="2448A48B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1559" w:type="dxa"/>
          </w:tcPr>
          <w:p w14:paraId="11DD3F7E" w14:textId="77777777" w:rsidR="00E933CF" w:rsidRPr="00543E11" w:rsidRDefault="00E933CF" w:rsidP="000308E8">
            <w:pPr>
              <w:jc w:val="center"/>
              <w:rPr>
                <w:rFonts w:eastAsiaTheme="minorEastAsia" w:cs="Arial"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sz w:val="16"/>
                <w:szCs w:val="16"/>
                <w:lang w:val="fr-FR"/>
              </w:rPr>
              <w:t>1</w:t>
            </w:r>
          </w:p>
        </w:tc>
      </w:tr>
      <w:tr w:rsidR="00E460D5" w:rsidRPr="00543E11" w14:paraId="4BECD5D3" w14:textId="77777777" w:rsidTr="003E46F9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3C378CDD" w14:textId="621981AD" w:rsidR="00E460D5" w:rsidRPr="00543E11" w:rsidRDefault="000010F4" w:rsidP="000010F4">
            <w:pPr>
              <w:jc w:val="left"/>
              <w:rPr>
                <w:rStyle w:val="FootnoteReference"/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Total</w:t>
            </w:r>
          </w:p>
        </w:tc>
        <w:tc>
          <w:tcPr>
            <w:tcW w:w="998" w:type="dxa"/>
          </w:tcPr>
          <w:p w14:paraId="3A23DF4A" w14:textId="3B3F83CE" w:rsidR="00E460D5" w:rsidRPr="00543E11" w:rsidRDefault="000010F4" w:rsidP="000010F4">
            <w:pPr>
              <w:ind w:right="284"/>
              <w:jc w:val="right"/>
              <w:rPr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20 031</w:t>
            </w:r>
          </w:p>
        </w:tc>
        <w:tc>
          <w:tcPr>
            <w:tcW w:w="1020" w:type="dxa"/>
            <w:shd w:val="clear" w:color="auto" w:fill="auto"/>
          </w:tcPr>
          <w:p w14:paraId="0D39EE08" w14:textId="2EC96346" w:rsidR="00E460D5" w:rsidRPr="00543E11" w:rsidRDefault="00E460D5" w:rsidP="000308E8">
            <w:pPr>
              <w:jc w:val="center"/>
              <w:rPr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245</w:t>
            </w:r>
          </w:p>
        </w:tc>
        <w:tc>
          <w:tcPr>
            <w:tcW w:w="1020" w:type="dxa"/>
          </w:tcPr>
          <w:p w14:paraId="026D5BB6" w14:textId="3906B8F9" w:rsidR="00E460D5" w:rsidRPr="00543E11" w:rsidRDefault="00E460D5" w:rsidP="000308E8">
            <w:pPr>
              <w:jc w:val="center"/>
              <w:rPr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260</w:t>
            </w:r>
          </w:p>
        </w:tc>
        <w:tc>
          <w:tcPr>
            <w:tcW w:w="1020" w:type="dxa"/>
          </w:tcPr>
          <w:p w14:paraId="38640E70" w14:textId="482EA4F9" w:rsidR="00E460D5" w:rsidRPr="00543E11" w:rsidRDefault="00E460D5" w:rsidP="000308E8">
            <w:pPr>
              <w:jc w:val="center"/>
              <w:rPr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222</w:t>
            </w:r>
          </w:p>
        </w:tc>
        <w:tc>
          <w:tcPr>
            <w:tcW w:w="1020" w:type="dxa"/>
          </w:tcPr>
          <w:p w14:paraId="718AB6CE" w14:textId="36A3C7C9" w:rsidR="00E460D5" w:rsidRPr="00543E11" w:rsidRDefault="00E460D5" w:rsidP="000308E8">
            <w:pPr>
              <w:jc w:val="center"/>
              <w:rPr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248</w:t>
            </w:r>
          </w:p>
        </w:tc>
        <w:tc>
          <w:tcPr>
            <w:tcW w:w="1020" w:type="dxa"/>
          </w:tcPr>
          <w:p w14:paraId="7193DEB1" w14:textId="15BC6A7E" w:rsidR="00E460D5" w:rsidRPr="00543E11" w:rsidRDefault="00E460D5" w:rsidP="000308E8">
            <w:pPr>
              <w:jc w:val="center"/>
              <w:rPr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327</w:t>
            </w:r>
          </w:p>
        </w:tc>
        <w:tc>
          <w:tcPr>
            <w:tcW w:w="1559" w:type="dxa"/>
          </w:tcPr>
          <w:p w14:paraId="50D30ED5" w14:textId="1C73A1E3" w:rsidR="008C3447" w:rsidRPr="00543E11" w:rsidRDefault="008C3447" w:rsidP="000308E8">
            <w:pPr>
              <w:jc w:val="center"/>
              <w:rPr>
                <w:rFonts w:eastAsiaTheme="minorEastAsia" w:cs="Arial"/>
                <w:b/>
                <w:sz w:val="16"/>
                <w:szCs w:val="16"/>
                <w:lang w:val="fr-FR"/>
              </w:rPr>
            </w:pPr>
            <w:r w:rsidRPr="00543E11">
              <w:rPr>
                <w:rFonts w:eastAsiaTheme="minorEastAsia" w:cs="Arial"/>
                <w:b/>
                <w:sz w:val="16"/>
                <w:szCs w:val="16"/>
                <w:lang w:val="fr-FR"/>
              </w:rPr>
              <w:t>162</w:t>
            </w:r>
          </w:p>
        </w:tc>
      </w:tr>
    </w:tbl>
    <w:p w14:paraId="42F64488" w14:textId="77777777" w:rsidR="00835891" w:rsidRDefault="00835891" w:rsidP="00F40F85">
      <w:pPr>
        <w:rPr>
          <w:lang w:val="fr-FR"/>
        </w:rPr>
      </w:pPr>
    </w:p>
    <w:p w14:paraId="6D3A2CFA" w14:textId="5ABAEE3F" w:rsidR="005B30B7" w:rsidRPr="00543E11" w:rsidRDefault="00453E1C" w:rsidP="00453E1C">
      <w:pPr>
        <w:jc w:val="right"/>
        <w:rPr>
          <w:rFonts w:eastAsiaTheme="minorEastAsia"/>
          <w:snapToGrid w:val="0"/>
          <w:lang w:val="fr-FR" w:eastAsia="ja-JP"/>
        </w:rPr>
        <w:sectPr w:rsidR="005B30B7" w:rsidRPr="00543E11" w:rsidSect="00076E11">
          <w:headerReference w:type="default" r:id="rId21"/>
          <w:headerReference w:type="first" r:id="rId22"/>
          <w:footnotePr>
            <w:numFmt w:val="chicago"/>
          </w:footnotePr>
          <w:pgSz w:w="11907" w:h="16840" w:code="9"/>
          <w:pgMar w:top="510" w:right="1134" w:bottom="1021" w:left="1134" w:header="510" w:footer="567" w:gutter="0"/>
          <w:pgNumType w:start="1"/>
          <w:cols w:space="720"/>
          <w:titlePg/>
        </w:sectPr>
      </w:pPr>
      <w:r w:rsidRPr="00543E1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7928DD" wp14:editId="1FDBDE43">
                <wp:simplePos x="0" y="0"/>
                <wp:positionH relativeFrom="column">
                  <wp:posOffset>4293870</wp:posOffset>
                </wp:positionH>
                <wp:positionV relativeFrom="paragraph">
                  <wp:posOffset>224790</wp:posOffset>
                </wp:positionV>
                <wp:extent cx="1920875" cy="167640"/>
                <wp:effectExtent l="0" t="0" r="317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67ADB" w14:textId="60DD8DB0" w:rsidR="00635794" w:rsidRPr="00A1206C" w:rsidRDefault="00635794" w:rsidP="000010F4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A1206C">
                              <w:rPr>
                                <w:rFonts w:cs="Arial"/>
                              </w:rPr>
                              <w:t>[L’appendice suit]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28DD" id="_x0000_s1027" type="#_x0000_t202" style="position:absolute;left:0;text-align:left;margin-left:338.1pt;margin-top:17.7pt;width:151.2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MNsAIAALA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" o:allowincell="f" filled="f" stroked="f">
                <v:textbox inset="0,0,0,0">
                  <w:txbxContent>
                    <w:p w14:paraId="1C367ADB" w14:textId="60DD8DB0" w:rsidR="00635794" w:rsidRPr="00A1206C" w:rsidRDefault="00635794" w:rsidP="000010F4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A1206C">
                        <w:rPr>
                          <w:rFonts w:cs="Arial"/>
                        </w:rPr>
                        <w:t>[L’appendice suit]</w:t>
                      </w:r>
                    </w:p>
                  </w:txbxContent>
                </v:textbox>
              </v:shape>
            </w:pict>
          </mc:Fallback>
        </mc:AlternateContent>
      </w:r>
    </w:p>
    <w:p w14:paraId="7CAFE666" w14:textId="77777777" w:rsidR="00835891" w:rsidRDefault="00835891" w:rsidP="005B30B7">
      <w:pPr>
        <w:jc w:val="center"/>
        <w:rPr>
          <w:rFonts w:eastAsiaTheme="minorEastAsia"/>
          <w:caps/>
          <w:lang w:val="fr-FR" w:eastAsia="ja-JP"/>
        </w:rPr>
      </w:pPr>
    </w:p>
    <w:p w14:paraId="0625193F" w14:textId="77777777" w:rsidR="00835891" w:rsidRDefault="00701CAD" w:rsidP="005B30B7">
      <w:pPr>
        <w:jc w:val="center"/>
        <w:rPr>
          <w:rFonts w:eastAsiaTheme="minorEastAsia"/>
          <w:caps/>
          <w:lang w:val="fr-FR" w:eastAsia="ja-JP"/>
        </w:rPr>
      </w:pPr>
      <w:r w:rsidRPr="00543E11">
        <w:rPr>
          <w:rFonts w:eastAsiaTheme="minorEastAsia"/>
          <w:caps/>
          <w:lang w:val="fr-FR" w:eastAsia="ja-JP"/>
        </w:rPr>
        <w:t>APPENDI</w:t>
      </w:r>
      <w:r w:rsidR="00C15240" w:rsidRPr="00543E11">
        <w:rPr>
          <w:rFonts w:eastAsiaTheme="minorEastAsia"/>
          <w:caps/>
          <w:lang w:val="fr-FR" w:eastAsia="ja-JP"/>
        </w:rPr>
        <w:t>CE</w:t>
      </w:r>
    </w:p>
    <w:p w14:paraId="584627E8" w14:textId="77777777" w:rsidR="00835891" w:rsidRDefault="00835891" w:rsidP="005B30B7">
      <w:pPr>
        <w:jc w:val="center"/>
        <w:rPr>
          <w:rFonts w:eastAsiaTheme="minorEastAsia"/>
          <w:caps/>
          <w:lang w:val="fr-FR" w:eastAsia="ja-JP"/>
        </w:rPr>
      </w:pPr>
    </w:p>
    <w:p w14:paraId="400FFBA7" w14:textId="77777777" w:rsidR="00835891" w:rsidRDefault="003840B1" w:rsidP="003840B1">
      <w:pPr>
        <w:jc w:val="center"/>
        <w:rPr>
          <w:rFonts w:eastAsiaTheme="minorEastAsia"/>
          <w:snapToGrid w:val="0"/>
          <w:lang w:val="fr-FR" w:eastAsia="ja-JP"/>
        </w:rPr>
      </w:pPr>
      <w:r w:rsidRPr="00543E11">
        <w:rPr>
          <w:rFonts w:eastAsiaTheme="minorEastAsia"/>
          <w:snapToGrid w:val="0"/>
          <w:lang w:val="fr-FR" w:eastAsia="ja-JP"/>
        </w:rPr>
        <w:t>CONTENU DE LA BASE DE DONNÉES PLUTO</w:t>
      </w:r>
    </w:p>
    <w:p w14:paraId="40361E6B" w14:textId="77777777" w:rsidR="00835891" w:rsidRDefault="00835891" w:rsidP="005B30B7">
      <w:pPr>
        <w:jc w:val="center"/>
        <w:rPr>
          <w:rFonts w:eastAsiaTheme="minorEastAsia"/>
          <w:snapToGrid w:val="0"/>
          <w:lang w:val="fr-FR"/>
        </w:rPr>
      </w:pPr>
    </w:p>
    <w:p w14:paraId="7B24E2A2" w14:textId="77777777" w:rsidR="005B30B7" w:rsidRPr="00543E11" w:rsidRDefault="005B30B7" w:rsidP="005B30B7">
      <w:pPr>
        <w:jc w:val="right"/>
        <w:rPr>
          <w:rFonts w:eastAsiaTheme="minorEastAsia"/>
          <w:snapToGrid w:val="0"/>
          <w:lang w:val="fr-FR"/>
        </w:rPr>
      </w:pPr>
    </w:p>
    <w:tbl>
      <w:tblPr>
        <w:tblStyle w:val="TableGrid"/>
        <w:tblW w:w="10263" w:type="dxa"/>
        <w:jc w:val="center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592"/>
        <w:gridCol w:w="992"/>
        <w:gridCol w:w="993"/>
        <w:gridCol w:w="992"/>
        <w:gridCol w:w="992"/>
        <w:gridCol w:w="1418"/>
      </w:tblGrid>
      <w:tr w:rsidR="00453E1C" w:rsidRPr="00543E11" w14:paraId="6570402C" w14:textId="77777777" w:rsidTr="00B2591A">
        <w:trPr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5117597C" w14:textId="77777777" w:rsidR="00453E1C" w:rsidRPr="00543E11" w:rsidRDefault="00453E1C" w:rsidP="007F461B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4592" w:type="dxa"/>
            <w:vMerge w:val="restart"/>
            <w:shd w:val="clear" w:color="auto" w:fill="D9D9D9" w:themeFill="background1" w:themeFillShade="D9"/>
            <w:vAlign w:val="center"/>
          </w:tcPr>
          <w:p w14:paraId="07D0D4F9" w14:textId="77777777" w:rsidR="00453E1C" w:rsidRPr="00543E11" w:rsidRDefault="00453E1C" w:rsidP="007F461B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71870FA6" w14:textId="4B15258A" w:rsidR="00453E1C" w:rsidRPr="00543E11" w:rsidRDefault="003840B1" w:rsidP="003840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Année</w:t>
            </w:r>
          </w:p>
        </w:tc>
      </w:tr>
      <w:tr w:rsidR="00543E11" w:rsidRPr="00543E11" w14:paraId="03C70E45" w14:textId="77777777" w:rsidTr="00B2591A">
        <w:trPr>
          <w:jc w:val="center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1E5AD557" w14:textId="77777777" w:rsidR="00795644" w:rsidRPr="00543E11" w:rsidRDefault="00795644" w:rsidP="00795644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4592" w:type="dxa"/>
            <w:vMerge/>
            <w:shd w:val="clear" w:color="auto" w:fill="D9D9D9" w:themeFill="background1" w:themeFillShade="D9"/>
            <w:vAlign w:val="center"/>
          </w:tcPr>
          <w:p w14:paraId="1DB74007" w14:textId="77777777" w:rsidR="00795644" w:rsidRPr="00543E11" w:rsidRDefault="00795644" w:rsidP="00795644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2002B8" w14:textId="77777777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2016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9150CD5" w14:textId="77777777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2017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9A25DE" w14:textId="77777777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AB6B00" w14:textId="77777777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2019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349F10" w14:textId="42D4420F" w:rsidR="00795644" w:rsidRPr="00543E11" w:rsidRDefault="00795644" w:rsidP="001440E0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6"/>
                <w:szCs w:val="18"/>
                <w:lang w:val="fr-FR" w:eastAsia="ja-JP"/>
              </w:rPr>
              <w:t>2020</w:t>
            </w:r>
            <w:r w:rsidRPr="00543E11">
              <w:rPr>
                <w:rFonts w:cs="Arial"/>
                <w:sz w:val="16"/>
                <w:szCs w:val="18"/>
                <w:lang w:val="fr-FR" w:eastAsia="ja-JP"/>
              </w:rPr>
              <w:br/>
              <w:t>(</w:t>
            </w:r>
            <w:r w:rsidR="001440E0" w:rsidRPr="00543E11">
              <w:rPr>
                <w:rFonts w:cs="Arial"/>
                <w:sz w:val="16"/>
                <w:szCs w:val="18"/>
                <w:lang w:val="fr-FR" w:eastAsia="ja-JP"/>
              </w:rPr>
              <w:t>au 2</w:t>
            </w:r>
            <w:r w:rsidR="00012DAF" w:rsidRPr="00543E11">
              <w:rPr>
                <w:rFonts w:cs="Arial"/>
                <w:sz w:val="16"/>
                <w:szCs w:val="18"/>
                <w:lang w:val="fr-FR" w:eastAsia="ja-JP"/>
              </w:rPr>
              <w:t>1</w:t>
            </w:r>
            <w:r w:rsidR="00012DAF">
              <w:rPr>
                <w:rFonts w:cs="Arial"/>
                <w:sz w:val="16"/>
                <w:szCs w:val="18"/>
                <w:lang w:val="fr-FR" w:eastAsia="ja-JP"/>
              </w:rPr>
              <w:t> </w:t>
            </w:r>
            <w:r w:rsidR="00012DAF" w:rsidRPr="00543E11">
              <w:rPr>
                <w:rFonts w:cs="Arial"/>
                <w:sz w:val="16"/>
                <w:szCs w:val="18"/>
                <w:lang w:val="fr-FR" w:eastAsia="ja-JP"/>
              </w:rPr>
              <w:t>août</w:t>
            </w:r>
            <w:r w:rsidR="00012DAF">
              <w:rPr>
                <w:rFonts w:cs="Arial"/>
                <w:sz w:val="16"/>
                <w:szCs w:val="18"/>
                <w:lang w:val="fr-FR" w:eastAsia="ja-JP"/>
              </w:rPr>
              <w:t> </w:t>
            </w:r>
            <w:r w:rsidR="00012DAF" w:rsidRPr="00543E11">
              <w:rPr>
                <w:rFonts w:cs="Arial"/>
                <w:sz w:val="16"/>
                <w:szCs w:val="18"/>
                <w:lang w:val="fr-FR" w:eastAsia="ja-JP"/>
              </w:rPr>
              <w:t>20</w:t>
            </w:r>
            <w:r w:rsidRPr="00543E11">
              <w:rPr>
                <w:rFonts w:cs="Arial"/>
                <w:sz w:val="16"/>
                <w:szCs w:val="18"/>
                <w:lang w:val="fr-FR" w:eastAsia="ja-JP"/>
              </w:rPr>
              <w:t>20)</w:t>
            </w:r>
          </w:p>
        </w:tc>
      </w:tr>
      <w:tr w:rsidR="00795644" w:rsidRPr="00543E11" w14:paraId="1DBE7A1E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67B1E4C" w14:textId="77777777" w:rsidR="00795644" w:rsidRPr="00543E11" w:rsidRDefault="00795644" w:rsidP="00795644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3C460A0C" w14:textId="0EB194B8" w:rsidR="00795644" w:rsidRPr="00543E11" w:rsidRDefault="003840B1" w:rsidP="003840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Nombre de membres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UPOV ayant contribué à la base de données PLUTO pour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année</w:t>
            </w:r>
            <w:r w:rsidR="006378A5">
              <w:rPr>
                <w:rFonts w:cs="Arial"/>
                <w:sz w:val="18"/>
                <w:szCs w:val="18"/>
                <w:lang w:val="fr-FR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indiquée</w:t>
            </w:r>
            <w:r w:rsidRPr="00543E11">
              <w:rPr>
                <w:rFonts w:cs="Arial"/>
                <w:sz w:val="18"/>
                <w:szCs w:val="18"/>
                <w:vertAlign w:val="superscript"/>
                <w:lang w:val="fr-FR"/>
              </w:rPr>
              <w:t>1</w:t>
            </w:r>
          </w:p>
        </w:tc>
        <w:tc>
          <w:tcPr>
            <w:tcW w:w="992" w:type="dxa"/>
            <w:vAlign w:val="center"/>
          </w:tcPr>
          <w:p w14:paraId="65FC504A" w14:textId="2E00D9FF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1103C" w14:textId="5D0C3F40" w:rsidR="00795644" w:rsidRPr="00543E11" w:rsidRDefault="00795644" w:rsidP="00795644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56</w:t>
            </w:r>
          </w:p>
        </w:tc>
        <w:tc>
          <w:tcPr>
            <w:tcW w:w="992" w:type="dxa"/>
            <w:vAlign w:val="center"/>
          </w:tcPr>
          <w:p w14:paraId="0CF8901D" w14:textId="05116F0D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53</w:t>
            </w:r>
          </w:p>
        </w:tc>
        <w:tc>
          <w:tcPr>
            <w:tcW w:w="992" w:type="dxa"/>
            <w:vAlign w:val="center"/>
          </w:tcPr>
          <w:p w14:paraId="36BD527F" w14:textId="1F113637" w:rsidR="00795644" w:rsidRPr="00543E11" w:rsidRDefault="00795644" w:rsidP="00795644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49</w:t>
            </w:r>
          </w:p>
        </w:tc>
        <w:tc>
          <w:tcPr>
            <w:tcW w:w="1418" w:type="dxa"/>
            <w:vAlign w:val="center"/>
          </w:tcPr>
          <w:p w14:paraId="1812A130" w14:textId="45D5E088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6"/>
                <w:szCs w:val="18"/>
                <w:lang w:val="fr-FR" w:eastAsia="ja-JP"/>
              </w:rPr>
              <w:t>37</w:t>
            </w:r>
          </w:p>
        </w:tc>
      </w:tr>
      <w:tr w:rsidR="00795644" w:rsidRPr="00543E11" w14:paraId="609506B1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F5F95E9" w14:textId="77777777" w:rsidR="00795644" w:rsidRPr="00543E11" w:rsidRDefault="00795644" w:rsidP="00795644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0106CA4A" w14:textId="06336365" w:rsidR="00795644" w:rsidRPr="00543E11" w:rsidRDefault="003840B1" w:rsidP="003840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Pourcentage de membres de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UPOV ayant contribué à la base de données PLUTO pour l</w:t>
            </w:r>
            <w:r w:rsidR="00012DAF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/>
              </w:rPr>
              <w:t>année indiquée</w:t>
            </w:r>
          </w:p>
        </w:tc>
        <w:tc>
          <w:tcPr>
            <w:tcW w:w="992" w:type="dxa"/>
            <w:vAlign w:val="center"/>
          </w:tcPr>
          <w:p w14:paraId="7C8B26A9" w14:textId="11CF8083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/>
              </w:rPr>
              <w:t>78%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720EE" w14:textId="4D1BE496" w:rsidR="00795644" w:rsidRPr="00543E11" w:rsidRDefault="00795644" w:rsidP="00795644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73%</w:t>
            </w:r>
          </w:p>
        </w:tc>
        <w:tc>
          <w:tcPr>
            <w:tcW w:w="992" w:type="dxa"/>
            <w:vAlign w:val="center"/>
          </w:tcPr>
          <w:p w14:paraId="0696E8F6" w14:textId="27D231F6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69%</w:t>
            </w:r>
          </w:p>
        </w:tc>
        <w:tc>
          <w:tcPr>
            <w:tcW w:w="992" w:type="dxa"/>
            <w:vAlign w:val="center"/>
          </w:tcPr>
          <w:p w14:paraId="6673D612" w14:textId="31BD2FD7" w:rsidR="00795644" w:rsidRPr="00543E11" w:rsidRDefault="00795644" w:rsidP="00795644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64%</w:t>
            </w:r>
          </w:p>
        </w:tc>
        <w:tc>
          <w:tcPr>
            <w:tcW w:w="1418" w:type="dxa"/>
            <w:vAlign w:val="center"/>
          </w:tcPr>
          <w:p w14:paraId="04E8586D" w14:textId="3F461C6C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6"/>
                <w:szCs w:val="18"/>
                <w:lang w:val="fr-FR" w:eastAsia="ja-JP"/>
              </w:rPr>
              <w:t>48%</w:t>
            </w:r>
          </w:p>
        </w:tc>
      </w:tr>
      <w:tr w:rsidR="00795644" w:rsidRPr="00543E11" w14:paraId="347ACC49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02E9DE0" w14:textId="77777777" w:rsidR="00795644" w:rsidRPr="00543E11" w:rsidRDefault="00795644" w:rsidP="00A95449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A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76B7198" w14:textId="0CFFA3EA" w:rsidR="00795644" w:rsidRPr="00543E11" w:rsidRDefault="00C111E0" w:rsidP="00C111E0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Nombre total de demandes de protection des obtentions végétales</w:t>
            </w:r>
            <w:r w:rsidR="00795644" w:rsidRPr="00543E11">
              <w:rPr>
                <w:rFonts w:cs="Arial"/>
                <w:sz w:val="18"/>
                <w:szCs w:val="18"/>
                <w:lang w:val="fr-FR" w:eastAsia="ja-JP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FF1982D" w14:textId="3344436B" w:rsidR="00795644" w:rsidRPr="00543E11" w:rsidRDefault="00C111E0" w:rsidP="00C111E0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16 455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7ECE2" w14:textId="4724081E" w:rsidR="00795644" w:rsidRPr="00543E11" w:rsidRDefault="00C111E0" w:rsidP="00C111E0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18 306</w:t>
            </w:r>
          </w:p>
        </w:tc>
        <w:tc>
          <w:tcPr>
            <w:tcW w:w="992" w:type="dxa"/>
            <w:vAlign w:val="center"/>
          </w:tcPr>
          <w:p w14:paraId="77F78193" w14:textId="08020686" w:rsidR="00795644" w:rsidRPr="00543E11" w:rsidRDefault="00543E11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20 </w:t>
            </w:r>
            <w:r w:rsidR="00795644" w:rsidRPr="00543E11">
              <w:rPr>
                <w:rFonts w:cs="Arial"/>
                <w:sz w:val="18"/>
                <w:szCs w:val="18"/>
                <w:lang w:val="fr-FR" w:eastAsia="ja-JP"/>
              </w:rPr>
              <w:t>031</w:t>
            </w:r>
            <w:r w:rsidR="00795644" w:rsidRPr="00543E11">
              <w:rPr>
                <w:rFonts w:cs="Arial"/>
                <w:sz w:val="16"/>
                <w:szCs w:val="18"/>
                <w:vertAlign w:val="superscript"/>
                <w:lang w:val="fr-FR" w:eastAsia="ja-JP"/>
              </w:rPr>
              <w:t>2</w:t>
            </w:r>
          </w:p>
        </w:tc>
        <w:tc>
          <w:tcPr>
            <w:tcW w:w="992" w:type="dxa"/>
            <w:vAlign w:val="center"/>
          </w:tcPr>
          <w:p w14:paraId="6D32DEAF" w14:textId="4A363D61" w:rsidR="00795644" w:rsidRPr="00543E11" w:rsidRDefault="00795644" w:rsidP="00F73188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</w:t>
            </w:r>
            <w:r w:rsidR="00F73188" w:rsidRPr="00543E11">
              <w:rPr>
                <w:rFonts w:cs="Arial"/>
                <w:sz w:val="18"/>
                <w:szCs w:val="18"/>
                <w:lang w:val="fr-FR" w:eastAsia="ja-JP"/>
              </w:rPr>
              <w:t>.d.</w:t>
            </w:r>
          </w:p>
        </w:tc>
        <w:tc>
          <w:tcPr>
            <w:tcW w:w="1418" w:type="dxa"/>
            <w:vAlign w:val="center"/>
          </w:tcPr>
          <w:p w14:paraId="5395CA32" w14:textId="2BD4F8F2" w:rsidR="00795644" w:rsidRPr="00543E11" w:rsidRDefault="00F73188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</w:tr>
      <w:tr w:rsidR="00795644" w:rsidRPr="00543E11" w14:paraId="01811606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5FBEA7A" w14:textId="77777777" w:rsidR="00795644" w:rsidRPr="00543E11" w:rsidRDefault="00795644" w:rsidP="00A95449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B</w:t>
            </w:r>
          </w:p>
        </w:tc>
        <w:tc>
          <w:tcPr>
            <w:tcW w:w="4592" w:type="dxa"/>
            <w:shd w:val="clear" w:color="auto" w:fill="FFFFFF" w:themeFill="background1"/>
          </w:tcPr>
          <w:p w14:paraId="0C5F41FC" w14:textId="016E2D5F" w:rsidR="00795644" w:rsidRPr="00543E11" w:rsidRDefault="002D371D" w:rsidP="002D371D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Nombre de demandes de protection des obtentions végétales émanant des contributeurs à la base de données PLUTO pour l</w:t>
            </w:r>
            <w:r w:rsidR="00012DAF">
              <w:rPr>
                <w:rFonts w:cs="Arial"/>
                <w:sz w:val="18"/>
                <w:szCs w:val="18"/>
                <w:lang w:val="fr-FR" w:eastAsia="ja-JP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 w:eastAsia="ja-JP"/>
              </w:rPr>
              <w:t>année</w:t>
            </w:r>
            <w:r w:rsidR="006378A5">
              <w:rPr>
                <w:rFonts w:cs="Arial"/>
                <w:sz w:val="18"/>
                <w:szCs w:val="18"/>
                <w:lang w:val="fr-FR" w:eastAsia="ja-JP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 w:eastAsia="ja-JP"/>
              </w:rPr>
              <w:t>indiquée</w:t>
            </w:r>
            <w:r w:rsidRPr="00543E11">
              <w:rPr>
                <w:rFonts w:cs="Arial"/>
                <w:sz w:val="18"/>
                <w:szCs w:val="18"/>
                <w:vertAlign w:val="superscript"/>
                <w:lang w:val="fr-FR" w:eastAsia="ja-JP"/>
              </w:rPr>
              <w:t xml:space="preserve">1,2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731718" w14:textId="6CE35D23" w:rsidR="00795644" w:rsidRPr="00543E11" w:rsidRDefault="002D371D" w:rsidP="002D371D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16 624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49D68E" w14:textId="36D72AAF" w:rsidR="00795644" w:rsidRPr="00543E11" w:rsidRDefault="002D371D" w:rsidP="002D371D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17 334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8A91A" w14:textId="7F8DDF2F" w:rsidR="00795644" w:rsidRPr="00543E11" w:rsidRDefault="002D371D" w:rsidP="002D371D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19 646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3C2809" w14:textId="1E1C210A" w:rsidR="00795644" w:rsidRPr="00543E11" w:rsidRDefault="00F73188" w:rsidP="00795644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D8A6BB" w14:textId="6B564FA3" w:rsidR="00795644" w:rsidRPr="00543E11" w:rsidRDefault="00F73188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</w:tr>
      <w:tr w:rsidR="00795644" w:rsidRPr="00543E11" w14:paraId="5CD30CB8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0369F99" w14:textId="77777777" w:rsidR="00795644" w:rsidRPr="00543E11" w:rsidRDefault="00795644" w:rsidP="00A95449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C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A958BFF" w14:textId="1F716275" w:rsidR="00795644" w:rsidRPr="00543E11" w:rsidRDefault="002D371D" w:rsidP="002D371D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Pourcentage de demandes de protection des obtentions végétales émanant des contributeurs à la base de données PLUTO pour l</w:t>
            </w:r>
            <w:r w:rsidR="00012DAF">
              <w:rPr>
                <w:rFonts w:cs="Arial"/>
                <w:sz w:val="18"/>
                <w:szCs w:val="18"/>
                <w:lang w:val="fr-FR" w:eastAsia="ja-JP"/>
              </w:rPr>
              <w:t>’</w:t>
            </w:r>
            <w:r w:rsidRPr="00543E11">
              <w:rPr>
                <w:rFonts w:cs="Arial"/>
                <w:sz w:val="18"/>
                <w:szCs w:val="18"/>
                <w:lang w:val="fr-FR" w:eastAsia="ja-JP"/>
              </w:rPr>
              <w:t>année indiquée (B/A)</w:t>
            </w:r>
          </w:p>
        </w:tc>
        <w:tc>
          <w:tcPr>
            <w:tcW w:w="992" w:type="dxa"/>
            <w:vAlign w:val="center"/>
          </w:tcPr>
          <w:p w14:paraId="36288BA8" w14:textId="77777777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98%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27396" w14:textId="77777777" w:rsidR="00795644" w:rsidRPr="00543E11" w:rsidRDefault="00795644" w:rsidP="00795644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95%</w:t>
            </w:r>
          </w:p>
        </w:tc>
        <w:tc>
          <w:tcPr>
            <w:tcW w:w="992" w:type="dxa"/>
            <w:vAlign w:val="center"/>
          </w:tcPr>
          <w:p w14:paraId="43992D3D" w14:textId="1D04A44D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98%</w:t>
            </w:r>
          </w:p>
        </w:tc>
        <w:tc>
          <w:tcPr>
            <w:tcW w:w="992" w:type="dxa"/>
            <w:vAlign w:val="center"/>
          </w:tcPr>
          <w:p w14:paraId="66695EA4" w14:textId="3CDD693E" w:rsidR="00795644" w:rsidRPr="00543E11" w:rsidRDefault="00F73188" w:rsidP="00795644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  <w:tc>
          <w:tcPr>
            <w:tcW w:w="1418" w:type="dxa"/>
            <w:vAlign w:val="center"/>
          </w:tcPr>
          <w:p w14:paraId="73609F7A" w14:textId="1A8E6DD2" w:rsidR="00795644" w:rsidRPr="00543E11" w:rsidRDefault="00F73188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</w:tr>
      <w:tr w:rsidR="00795644" w:rsidRPr="00543E11" w14:paraId="6CF21D75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79BE35C" w14:textId="77777777" w:rsidR="00795644" w:rsidRPr="00543E11" w:rsidRDefault="00795644" w:rsidP="00A95449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D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26E0535" w14:textId="7E57F642" w:rsidR="00795644" w:rsidRPr="00543E11" w:rsidRDefault="002D371D" w:rsidP="002D371D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Nombre de demandes de protection des obtentions végétales figurant dans la base de données</w:t>
            </w:r>
            <w:r w:rsidR="006378A5">
              <w:rPr>
                <w:rFonts w:cs="Arial"/>
                <w:sz w:val="18"/>
                <w:szCs w:val="18"/>
                <w:lang w:val="fr-FR" w:eastAsia="ja-JP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 w:eastAsia="ja-JP"/>
              </w:rPr>
              <w:t>PLUTO</w:t>
            </w:r>
            <w:r w:rsidRPr="00543E11">
              <w:rPr>
                <w:rFonts w:cs="Arial"/>
                <w:sz w:val="18"/>
                <w:szCs w:val="18"/>
                <w:vertAlign w:val="superscript"/>
                <w:lang w:val="fr-FR" w:eastAsia="ja-JP"/>
              </w:rPr>
              <w:t>3</w:t>
            </w:r>
            <w:r w:rsidR="00795644" w:rsidRPr="00543E11">
              <w:rPr>
                <w:rFonts w:cs="Arial"/>
                <w:sz w:val="18"/>
                <w:szCs w:val="18"/>
                <w:lang w:val="fr-FR" w:eastAsia="ja-JP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1CA9259" w14:textId="5DCC8D8C" w:rsidR="00795644" w:rsidRPr="00543E11" w:rsidRDefault="002D371D" w:rsidP="002D371D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12 659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D6735" w14:textId="4C208CC2" w:rsidR="00795644" w:rsidRPr="00543E11" w:rsidRDefault="002D371D" w:rsidP="002D371D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13 057</w:t>
            </w:r>
          </w:p>
        </w:tc>
        <w:tc>
          <w:tcPr>
            <w:tcW w:w="992" w:type="dxa"/>
            <w:vAlign w:val="center"/>
          </w:tcPr>
          <w:p w14:paraId="314D0DEF" w14:textId="60DF1352" w:rsidR="00795644" w:rsidRPr="00543E11" w:rsidRDefault="002D371D" w:rsidP="002D371D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12 157</w:t>
            </w:r>
          </w:p>
        </w:tc>
        <w:tc>
          <w:tcPr>
            <w:tcW w:w="992" w:type="dxa"/>
            <w:vAlign w:val="center"/>
          </w:tcPr>
          <w:p w14:paraId="741C4DB5" w14:textId="71BEF584" w:rsidR="00795644" w:rsidRPr="00543E11" w:rsidRDefault="002D371D" w:rsidP="002D371D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9 231</w:t>
            </w:r>
          </w:p>
        </w:tc>
        <w:tc>
          <w:tcPr>
            <w:tcW w:w="1418" w:type="dxa"/>
            <w:vAlign w:val="center"/>
          </w:tcPr>
          <w:p w14:paraId="7CDE0852" w14:textId="033A1D8E" w:rsidR="00795644" w:rsidRPr="00543E11" w:rsidRDefault="002D371D" w:rsidP="002D371D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2 204</w:t>
            </w:r>
          </w:p>
        </w:tc>
      </w:tr>
      <w:tr w:rsidR="00795644" w:rsidRPr="00543E11" w14:paraId="7F1BD16B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F611275" w14:textId="77777777" w:rsidR="00795644" w:rsidRPr="00543E11" w:rsidRDefault="00795644" w:rsidP="00A95449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E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A0DDD35" w14:textId="53209A05" w:rsidR="00795644" w:rsidRPr="00543E11" w:rsidRDefault="002D371D" w:rsidP="002D371D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Pourcentage de demandes de protection des obtentions végétales figurant dans la base de données PLUTO (D/A)</w:t>
            </w:r>
          </w:p>
        </w:tc>
        <w:tc>
          <w:tcPr>
            <w:tcW w:w="992" w:type="dxa"/>
            <w:vAlign w:val="center"/>
          </w:tcPr>
          <w:p w14:paraId="30EC17C4" w14:textId="77777777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75%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8880D" w14:textId="77777777" w:rsidR="00795644" w:rsidRPr="00543E11" w:rsidRDefault="00795644" w:rsidP="00795644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69%</w:t>
            </w:r>
          </w:p>
        </w:tc>
        <w:tc>
          <w:tcPr>
            <w:tcW w:w="992" w:type="dxa"/>
            <w:vAlign w:val="center"/>
          </w:tcPr>
          <w:p w14:paraId="1B68505D" w14:textId="23BF04FE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61%</w:t>
            </w:r>
          </w:p>
        </w:tc>
        <w:tc>
          <w:tcPr>
            <w:tcW w:w="992" w:type="dxa"/>
            <w:vAlign w:val="center"/>
          </w:tcPr>
          <w:p w14:paraId="0BDFBA28" w14:textId="6B793A9D" w:rsidR="00795644" w:rsidRPr="00543E11" w:rsidRDefault="00F73188" w:rsidP="00795644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  <w:tc>
          <w:tcPr>
            <w:tcW w:w="1418" w:type="dxa"/>
            <w:vAlign w:val="center"/>
          </w:tcPr>
          <w:p w14:paraId="20F5571E" w14:textId="5BE0CE82" w:rsidR="00795644" w:rsidRPr="00543E11" w:rsidRDefault="00F73188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</w:tr>
      <w:tr w:rsidR="00795644" w:rsidRPr="00543E11" w14:paraId="192846CA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CB1F877" w14:textId="77777777" w:rsidR="00795644" w:rsidRPr="00543E11" w:rsidRDefault="00795644" w:rsidP="00795644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2295B4A4" w14:textId="07382176" w:rsidR="00795644" w:rsidRPr="00543E11" w:rsidRDefault="002D371D" w:rsidP="002D371D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Nombre de nouveaux apports de données à la base de données</w:t>
            </w:r>
            <w:r w:rsidR="006378A5">
              <w:rPr>
                <w:rFonts w:cs="Arial"/>
                <w:sz w:val="18"/>
                <w:szCs w:val="18"/>
                <w:lang w:val="fr-FR" w:eastAsia="ja-JP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 w:eastAsia="ja-JP"/>
              </w:rPr>
              <w:t>PLUTO</w:t>
            </w:r>
            <w:r w:rsidRPr="00543E11">
              <w:rPr>
                <w:rFonts w:cs="Arial"/>
                <w:sz w:val="18"/>
                <w:szCs w:val="18"/>
                <w:vertAlign w:val="superscript"/>
                <w:lang w:val="fr-FR" w:eastAsia="ja-JP"/>
              </w:rPr>
              <w:t>4</w:t>
            </w:r>
          </w:p>
        </w:tc>
        <w:tc>
          <w:tcPr>
            <w:tcW w:w="992" w:type="dxa"/>
            <w:vAlign w:val="center"/>
          </w:tcPr>
          <w:p w14:paraId="643FAF06" w14:textId="0B3D445A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A62E6" w14:textId="18EE9F82" w:rsidR="00795644" w:rsidRPr="00543E11" w:rsidRDefault="00795644" w:rsidP="00795644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222</w:t>
            </w:r>
          </w:p>
        </w:tc>
        <w:tc>
          <w:tcPr>
            <w:tcW w:w="992" w:type="dxa"/>
            <w:vAlign w:val="center"/>
          </w:tcPr>
          <w:p w14:paraId="47211D12" w14:textId="60392877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248</w:t>
            </w:r>
          </w:p>
        </w:tc>
        <w:tc>
          <w:tcPr>
            <w:tcW w:w="992" w:type="dxa"/>
            <w:vAlign w:val="center"/>
          </w:tcPr>
          <w:p w14:paraId="5C651DC5" w14:textId="1FB0AB23" w:rsidR="00795644" w:rsidRPr="00543E11" w:rsidRDefault="00795644" w:rsidP="00795644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327</w:t>
            </w:r>
          </w:p>
        </w:tc>
        <w:tc>
          <w:tcPr>
            <w:tcW w:w="1418" w:type="dxa"/>
            <w:vAlign w:val="center"/>
          </w:tcPr>
          <w:p w14:paraId="2E33ED6D" w14:textId="5A72C068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6"/>
                <w:szCs w:val="18"/>
                <w:lang w:val="fr-FR" w:eastAsia="ja-JP"/>
              </w:rPr>
              <w:t>161</w:t>
            </w:r>
          </w:p>
        </w:tc>
      </w:tr>
      <w:tr w:rsidR="00795644" w:rsidRPr="00543E11" w14:paraId="54BCD1BD" w14:textId="77777777" w:rsidTr="00B66AE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A16B265" w14:textId="77777777" w:rsidR="00795644" w:rsidRPr="00543E11" w:rsidRDefault="00795644" w:rsidP="00795644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23C69539" w14:textId="307237E9" w:rsidR="00795644" w:rsidRPr="00543E11" w:rsidRDefault="002D371D" w:rsidP="002D371D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Nombre de mises à jour de la base de données</w:t>
            </w:r>
            <w:r w:rsidR="006378A5">
              <w:rPr>
                <w:rFonts w:cs="Arial"/>
                <w:sz w:val="18"/>
                <w:szCs w:val="18"/>
                <w:lang w:val="fr-FR" w:eastAsia="ja-JP"/>
              </w:rPr>
              <w:t> </w:t>
            </w:r>
            <w:r w:rsidRPr="00543E11">
              <w:rPr>
                <w:rFonts w:cs="Arial"/>
                <w:sz w:val="18"/>
                <w:szCs w:val="18"/>
                <w:lang w:val="fr-FR" w:eastAsia="ja-JP"/>
              </w:rPr>
              <w:t>PLUTO</w:t>
            </w:r>
            <w:r w:rsidRPr="00543E11">
              <w:rPr>
                <w:rFonts w:cs="Arial"/>
                <w:sz w:val="18"/>
                <w:szCs w:val="18"/>
                <w:vertAlign w:val="superscript"/>
                <w:lang w:val="fr-FR" w:eastAsia="ja-JP"/>
              </w:rPr>
              <w:t>5</w:t>
            </w:r>
          </w:p>
        </w:tc>
        <w:tc>
          <w:tcPr>
            <w:tcW w:w="992" w:type="dxa"/>
            <w:vAlign w:val="center"/>
          </w:tcPr>
          <w:p w14:paraId="14577EF5" w14:textId="43A28CC9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E28E9" w14:textId="52716ED2" w:rsidR="00795644" w:rsidRPr="00543E11" w:rsidRDefault="00795644" w:rsidP="00795644">
            <w:pPr>
              <w:ind w:right="-12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93</w:t>
            </w:r>
          </w:p>
        </w:tc>
        <w:tc>
          <w:tcPr>
            <w:tcW w:w="992" w:type="dxa"/>
            <w:vAlign w:val="center"/>
          </w:tcPr>
          <w:p w14:paraId="63645D6A" w14:textId="2BB86B9E" w:rsidR="00795644" w:rsidRPr="00543E11" w:rsidDel="00FE4EDD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104</w:t>
            </w:r>
          </w:p>
        </w:tc>
        <w:tc>
          <w:tcPr>
            <w:tcW w:w="992" w:type="dxa"/>
            <w:vAlign w:val="center"/>
          </w:tcPr>
          <w:p w14:paraId="1C60A592" w14:textId="0BFB2136" w:rsidR="00795644" w:rsidRPr="00543E11" w:rsidRDefault="00795644" w:rsidP="00795644">
            <w:pPr>
              <w:ind w:right="-90"/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8"/>
                <w:szCs w:val="18"/>
                <w:lang w:val="fr-FR" w:eastAsia="ja-JP"/>
              </w:rPr>
              <w:t>107</w:t>
            </w:r>
          </w:p>
        </w:tc>
        <w:tc>
          <w:tcPr>
            <w:tcW w:w="1418" w:type="dxa"/>
            <w:vAlign w:val="center"/>
          </w:tcPr>
          <w:p w14:paraId="42BC8165" w14:textId="284D3E20" w:rsidR="00795644" w:rsidRPr="00543E11" w:rsidRDefault="00795644" w:rsidP="00795644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543E11">
              <w:rPr>
                <w:rFonts w:cs="Arial"/>
                <w:sz w:val="16"/>
                <w:szCs w:val="18"/>
                <w:lang w:val="fr-FR" w:eastAsia="ja-JP"/>
              </w:rPr>
              <w:t>63</w:t>
            </w:r>
          </w:p>
        </w:tc>
      </w:tr>
    </w:tbl>
    <w:p w14:paraId="7739C629" w14:textId="77777777" w:rsidR="00835891" w:rsidRDefault="00835891" w:rsidP="005B30B7">
      <w:pPr>
        <w:jc w:val="left"/>
        <w:rPr>
          <w:rFonts w:eastAsiaTheme="minorEastAsia" w:cs="Arial"/>
          <w:sz w:val="16"/>
          <w:szCs w:val="16"/>
          <w:lang w:val="fr-FR" w:eastAsia="ja-JP"/>
        </w:rPr>
      </w:pPr>
    </w:p>
    <w:p w14:paraId="43D1717D" w14:textId="77777777" w:rsidR="00835891" w:rsidRDefault="002D371D" w:rsidP="002D371D">
      <w:pPr>
        <w:ind w:left="567" w:hanging="283"/>
        <w:jc w:val="left"/>
        <w:rPr>
          <w:rFonts w:eastAsiaTheme="minorEastAsia" w:cs="Arial"/>
          <w:sz w:val="16"/>
          <w:szCs w:val="16"/>
          <w:lang w:val="fr-FR" w:eastAsia="ja-JP"/>
        </w:rPr>
      </w:pPr>
      <w:r w:rsidRPr="00543E11">
        <w:rPr>
          <w:rFonts w:eastAsiaTheme="minorEastAsia" w:cs="Arial"/>
          <w:sz w:val="16"/>
          <w:szCs w:val="16"/>
          <w:lang w:val="fr-FR" w:eastAsia="ja-JP"/>
        </w:rPr>
        <w:t>Note</w:t>
      </w:r>
      <w:r w:rsidR="00012DAF">
        <w:rPr>
          <w:rFonts w:eastAsiaTheme="minorEastAsia" w:cs="Arial"/>
          <w:sz w:val="16"/>
          <w:szCs w:val="16"/>
          <w:lang w:val="fr-FR" w:eastAsia="ja-JP"/>
        </w:rPr>
        <w:t> :</w:t>
      </w:r>
    </w:p>
    <w:p w14:paraId="56A8AA9C" w14:textId="77777777" w:rsidR="00835891" w:rsidRDefault="002D371D" w:rsidP="002D371D">
      <w:pPr>
        <w:ind w:left="567" w:hanging="283"/>
        <w:jc w:val="left"/>
        <w:rPr>
          <w:rFonts w:eastAsiaTheme="minorEastAsia" w:cs="Arial"/>
          <w:sz w:val="16"/>
          <w:szCs w:val="16"/>
          <w:lang w:val="fr-FR" w:eastAsia="ja-JP"/>
        </w:rPr>
      </w:pPr>
      <w:r w:rsidRPr="00543E11">
        <w:rPr>
          <w:rFonts w:eastAsiaTheme="minorEastAsia" w:cs="Arial"/>
          <w:sz w:val="16"/>
          <w:szCs w:val="16"/>
          <w:lang w:val="fr-FR" w:eastAsia="ja-JP"/>
        </w:rPr>
        <w:t>1.</w:t>
      </w:r>
      <w:r w:rsidR="00543E11" w:rsidRPr="00543E11">
        <w:rPr>
          <w:rFonts w:eastAsiaTheme="minorEastAsia" w:cs="Arial"/>
          <w:sz w:val="16"/>
          <w:szCs w:val="16"/>
          <w:lang w:val="fr-FR" w:eastAsia="ja-JP"/>
        </w:rPr>
        <w:tab/>
      </w:r>
      <w:r w:rsidRPr="00543E11">
        <w:rPr>
          <w:rFonts w:eastAsiaTheme="minorEastAsia" w:cs="Arial"/>
          <w:sz w:val="16"/>
          <w:szCs w:val="16"/>
          <w:lang w:val="fr-FR" w:eastAsia="ja-JP"/>
        </w:rPr>
        <w:t>Les contributeurs fournissent des données pour les années précédentes.</w:t>
      </w:r>
      <w:r w:rsidR="005B30B7" w:rsidRPr="00543E11">
        <w:rPr>
          <w:rFonts w:eastAsiaTheme="minorEastAsia" w:cs="Arial"/>
          <w:sz w:val="16"/>
          <w:szCs w:val="16"/>
          <w:lang w:val="fr-FR" w:eastAsia="ja-JP"/>
        </w:rPr>
        <w:t xml:space="preserve"> </w:t>
      </w:r>
      <w:r w:rsidR="000308E8" w:rsidRPr="00543E11">
        <w:rPr>
          <w:rFonts w:eastAsiaTheme="minorEastAsia" w:cs="Arial"/>
          <w:sz w:val="16"/>
          <w:szCs w:val="16"/>
          <w:lang w:val="fr-FR" w:eastAsia="ja-JP"/>
        </w:rPr>
        <w:t xml:space="preserve"> </w:t>
      </w:r>
      <w:r w:rsidRPr="00543E11">
        <w:rPr>
          <w:rFonts w:eastAsiaTheme="minorEastAsia" w:cs="Arial"/>
          <w:sz w:val="16"/>
          <w:szCs w:val="16"/>
          <w:lang w:val="fr-FR" w:eastAsia="ja-JP"/>
        </w:rPr>
        <w:t xml:space="preserve">Par conséquent, un contributeur fournissant des données 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en</w:t>
      </w:r>
      <w:r w:rsidR="00012DAF">
        <w:rPr>
          <w:rFonts w:eastAsiaTheme="minorEastAsia" w:cs="Arial"/>
          <w:sz w:val="16"/>
          <w:szCs w:val="16"/>
          <w:lang w:val="fr-FR" w:eastAsia="ja-JP"/>
        </w:rPr>
        <w:t> 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2017</w:t>
      </w:r>
      <w:r w:rsidRPr="00543E11">
        <w:rPr>
          <w:rFonts w:eastAsiaTheme="minorEastAsia" w:cs="Arial"/>
          <w:sz w:val="16"/>
          <w:szCs w:val="16"/>
          <w:lang w:val="fr-FR" w:eastAsia="ja-JP"/>
        </w:rPr>
        <w:t xml:space="preserve">, par exemple, sera considéré comme ayant fourni des données 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pour</w:t>
      </w:r>
      <w:r w:rsidR="00012DAF">
        <w:rPr>
          <w:rFonts w:eastAsiaTheme="minorEastAsia" w:cs="Arial"/>
          <w:sz w:val="16"/>
          <w:szCs w:val="16"/>
          <w:lang w:val="fr-FR" w:eastAsia="ja-JP"/>
        </w:rPr>
        <w:t> 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2015</w:t>
      </w:r>
      <w:r w:rsidRPr="00543E11">
        <w:rPr>
          <w:rFonts w:eastAsiaTheme="minorEastAsia" w:cs="Arial"/>
          <w:sz w:val="16"/>
          <w:szCs w:val="16"/>
          <w:lang w:val="fr-FR" w:eastAsia="ja-JP"/>
        </w:rPr>
        <w:t>, 2016 et 2017.</w:t>
      </w:r>
    </w:p>
    <w:p w14:paraId="3CA44CF9" w14:textId="77777777" w:rsidR="00835891" w:rsidRDefault="002D371D" w:rsidP="002D371D">
      <w:pPr>
        <w:ind w:left="567" w:hanging="283"/>
        <w:jc w:val="left"/>
        <w:rPr>
          <w:rFonts w:eastAsiaTheme="minorEastAsia" w:cs="Arial"/>
          <w:sz w:val="16"/>
          <w:szCs w:val="16"/>
          <w:lang w:val="fr-FR" w:eastAsia="ja-JP"/>
        </w:rPr>
      </w:pPr>
      <w:r w:rsidRPr="00543E11">
        <w:rPr>
          <w:rFonts w:eastAsiaTheme="minorEastAsia" w:cs="Arial"/>
          <w:sz w:val="16"/>
          <w:szCs w:val="16"/>
          <w:lang w:val="fr-FR" w:eastAsia="ja-JP"/>
        </w:rPr>
        <w:t xml:space="preserve">2. </w:t>
      </w:r>
      <w:r w:rsidR="00370A79">
        <w:rPr>
          <w:rFonts w:eastAsiaTheme="minorEastAsia" w:cs="Arial"/>
          <w:sz w:val="16"/>
          <w:szCs w:val="16"/>
          <w:lang w:val="fr-FR" w:eastAsia="ja-JP"/>
        </w:rPr>
        <w:t xml:space="preserve"> </w:t>
      </w:r>
      <w:r w:rsidR="00543E11" w:rsidRPr="00543E11">
        <w:rPr>
          <w:rFonts w:eastAsiaTheme="minorEastAsia" w:cs="Arial"/>
          <w:sz w:val="16"/>
          <w:szCs w:val="16"/>
          <w:lang w:val="fr-FR" w:eastAsia="ja-JP"/>
        </w:rPr>
        <w:tab/>
      </w:r>
      <w:r w:rsidRPr="00543E11">
        <w:rPr>
          <w:rFonts w:eastAsiaTheme="minorEastAsia" w:cs="Arial"/>
          <w:sz w:val="16"/>
          <w:szCs w:val="16"/>
          <w:lang w:val="fr-FR" w:eastAsia="ja-JP"/>
        </w:rPr>
        <w:t>Voir le document</w:t>
      </w:r>
      <w:r w:rsidR="006378A5">
        <w:rPr>
          <w:rFonts w:eastAsiaTheme="minorEastAsia" w:cs="Arial"/>
          <w:sz w:val="16"/>
          <w:szCs w:val="16"/>
          <w:lang w:val="fr-FR" w:eastAsia="ja-JP"/>
        </w:rPr>
        <w:t> </w:t>
      </w:r>
      <w:r w:rsidRPr="00543E11">
        <w:rPr>
          <w:rFonts w:eastAsiaTheme="minorEastAsia" w:cs="Arial"/>
          <w:sz w:val="16"/>
          <w:szCs w:val="16"/>
          <w:lang w:val="fr-FR" w:eastAsia="ja-JP"/>
        </w:rPr>
        <w:t>C/53/INF/7 “Statistiques sur la protection des obtentions végétales pour la pério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de</w:t>
      </w:r>
      <w:r w:rsidR="00012DAF">
        <w:rPr>
          <w:rFonts w:eastAsiaTheme="minorEastAsia" w:cs="Arial"/>
          <w:sz w:val="16"/>
          <w:szCs w:val="16"/>
          <w:lang w:val="fr-FR" w:eastAsia="ja-JP"/>
        </w:rPr>
        <w:t> 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2014</w:t>
      </w:r>
      <w:r w:rsidR="00012DAF">
        <w:rPr>
          <w:rFonts w:eastAsiaTheme="minorEastAsia" w:cs="Arial"/>
          <w:sz w:val="16"/>
          <w:szCs w:val="16"/>
          <w:lang w:val="fr-FR" w:eastAsia="ja-JP"/>
        </w:rPr>
        <w:t>-</w:t>
      </w:r>
      <w:r w:rsidRPr="00543E11">
        <w:rPr>
          <w:rFonts w:eastAsiaTheme="minorEastAsia" w:cs="Arial"/>
          <w:sz w:val="16"/>
          <w:szCs w:val="16"/>
          <w:lang w:val="fr-FR" w:eastAsia="ja-JP"/>
        </w:rPr>
        <w:t>2018”.</w:t>
      </w:r>
    </w:p>
    <w:p w14:paraId="08114CAB" w14:textId="40F27222" w:rsidR="00835891" w:rsidRDefault="002D371D" w:rsidP="002D371D">
      <w:pPr>
        <w:ind w:left="567" w:hanging="283"/>
        <w:jc w:val="left"/>
        <w:rPr>
          <w:rFonts w:eastAsiaTheme="minorEastAsia" w:cs="Arial"/>
          <w:sz w:val="16"/>
          <w:szCs w:val="16"/>
          <w:lang w:val="fr-FR" w:eastAsia="ja-JP"/>
        </w:rPr>
      </w:pPr>
      <w:r w:rsidRPr="00543E11">
        <w:rPr>
          <w:rFonts w:eastAsiaTheme="minorEastAsia" w:cs="Arial"/>
          <w:sz w:val="16"/>
          <w:szCs w:val="16"/>
          <w:lang w:val="fr-FR" w:eastAsia="ja-JP"/>
        </w:rPr>
        <w:t>3.</w:t>
      </w:r>
      <w:r w:rsidR="00543E11" w:rsidRPr="00543E11">
        <w:rPr>
          <w:rFonts w:eastAsiaTheme="minorEastAsia" w:cs="Arial"/>
          <w:sz w:val="16"/>
          <w:szCs w:val="16"/>
          <w:lang w:val="fr-FR" w:eastAsia="ja-JP"/>
        </w:rPr>
        <w:tab/>
      </w:r>
      <w:r w:rsidRPr="00543E11">
        <w:rPr>
          <w:rFonts w:eastAsiaTheme="minorEastAsia" w:cs="Arial"/>
          <w:sz w:val="16"/>
          <w:szCs w:val="16"/>
          <w:lang w:val="fr-FR" w:eastAsia="ja-JP"/>
        </w:rPr>
        <w:t>Statut de l</w:t>
      </w:r>
      <w:r w:rsidR="00012DAF">
        <w:rPr>
          <w:rFonts w:eastAsiaTheme="minorEastAsia" w:cs="Arial"/>
          <w:sz w:val="16"/>
          <w:szCs w:val="16"/>
          <w:lang w:val="fr-FR" w:eastAsia="ja-JP"/>
        </w:rPr>
        <w:t>’</w:t>
      </w:r>
      <w:r w:rsidRPr="00543E11">
        <w:rPr>
          <w:rFonts w:eastAsiaTheme="minorEastAsia" w:cs="Arial"/>
          <w:sz w:val="16"/>
          <w:szCs w:val="16"/>
          <w:lang w:val="fr-FR" w:eastAsia="ja-JP"/>
        </w:rPr>
        <w:t>information dans la base de données PLUTO au 2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1</w:t>
      </w:r>
      <w:r w:rsidR="00012DAF">
        <w:rPr>
          <w:rFonts w:eastAsiaTheme="minorEastAsia" w:cs="Arial"/>
          <w:sz w:val="16"/>
          <w:szCs w:val="16"/>
          <w:lang w:val="fr-FR" w:eastAsia="ja-JP"/>
        </w:rPr>
        <w:t> 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août</w:t>
      </w:r>
      <w:r w:rsidR="00012DAF">
        <w:rPr>
          <w:rFonts w:eastAsiaTheme="minorEastAsia" w:cs="Arial"/>
          <w:sz w:val="16"/>
          <w:szCs w:val="16"/>
          <w:lang w:val="fr-FR" w:eastAsia="ja-JP"/>
        </w:rPr>
        <w:t> 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20</w:t>
      </w:r>
      <w:r w:rsidRPr="00543E11">
        <w:rPr>
          <w:rFonts w:eastAsiaTheme="minorEastAsia" w:cs="Arial"/>
          <w:sz w:val="16"/>
          <w:szCs w:val="16"/>
          <w:lang w:val="fr-FR" w:eastAsia="ja-JP"/>
        </w:rPr>
        <w:t>20</w:t>
      </w:r>
      <w:r w:rsidR="00F06B86">
        <w:rPr>
          <w:rFonts w:eastAsiaTheme="minorEastAsia" w:cs="Arial"/>
          <w:sz w:val="16"/>
          <w:szCs w:val="16"/>
          <w:lang w:val="fr-FR" w:eastAsia="ja-JP"/>
        </w:rPr>
        <w:t>.</w:t>
      </w:r>
    </w:p>
    <w:p w14:paraId="79293A32" w14:textId="77777777" w:rsidR="00835891" w:rsidRDefault="002D371D" w:rsidP="002D371D">
      <w:pPr>
        <w:ind w:left="567" w:hanging="283"/>
        <w:jc w:val="left"/>
        <w:rPr>
          <w:rFonts w:eastAsiaTheme="minorEastAsia" w:cs="Arial"/>
          <w:sz w:val="16"/>
          <w:szCs w:val="16"/>
          <w:lang w:val="fr-FR" w:eastAsia="ja-JP"/>
        </w:rPr>
      </w:pPr>
      <w:r w:rsidRPr="00543E11">
        <w:rPr>
          <w:rFonts w:eastAsiaTheme="minorEastAsia" w:cs="Arial"/>
          <w:sz w:val="16"/>
          <w:szCs w:val="16"/>
          <w:lang w:val="fr-FR" w:eastAsia="ja-JP"/>
        </w:rPr>
        <w:t>4.</w:t>
      </w:r>
      <w:r w:rsidR="00370A79">
        <w:rPr>
          <w:rFonts w:eastAsiaTheme="minorEastAsia" w:cs="Arial"/>
          <w:sz w:val="16"/>
          <w:szCs w:val="16"/>
          <w:lang w:val="fr-FR" w:eastAsia="ja-JP"/>
        </w:rPr>
        <w:t xml:space="preserve"> </w:t>
      </w:r>
      <w:r w:rsidRPr="00543E11">
        <w:rPr>
          <w:rFonts w:eastAsiaTheme="minorEastAsia" w:cs="Arial"/>
          <w:sz w:val="16"/>
          <w:szCs w:val="16"/>
          <w:lang w:val="fr-FR" w:eastAsia="ja-JP"/>
        </w:rPr>
        <w:t xml:space="preserve"> </w:t>
      </w:r>
      <w:r w:rsidR="00543E11" w:rsidRPr="00543E11">
        <w:rPr>
          <w:rFonts w:eastAsiaTheme="minorEastAsia" w:cs="Arial"/>
          <w:sz w:val="16"/>
          <w:szCs w:val="16"/>
          <w:lang w:val="fr-FR" w:eastAsia="ja-JP"/>
        </w:rPr>
        <w:tab/>
      </w:r>
      <w:r w:rsidRPr="00543E11">
        <w:rPr>
          <w:rFonts w:eastAsiaTheme="minorEastAsia" w:cs="Arial"/>
          <w:sz w:val="16"/>
          <w:szCs w:val="16"/>
          <w:lang w:val="fr-FR" w:eastAsia="ja-JP"/>
        </w:rPr>
        <w:t>Voir le document</w:t>
      </w:r>
      <w:r w:rsidR="006378A5">
        <w:rPr>
          <w:rFonts w:eastAsiaTheme="minorEastAsia" w:cs="Arial"/>
          <w:sz w:val="16"/>
          <w:szCs w:val="16"/>
          <w:lang w:val="fr-FR" w:eastAsia="ja-JP"/>
        </w:rPr>
        <w:t> </w:t>
      </w:r>
      <w:r w:rsidRPr="00543E11">
        <w:rPr>
          <w:rFonts w:eastAsiaTheme="minorEastAsia" w:cs="Arial"/>
          <w:sz w:val="16"/>
          <w:szCs w:val="16"/>
          <w:lang w:val="fr-FR" w:eastAsia="ja-JP"/>
        </w:rPr>
        <w:t xml:space="preserve">CAJ/77/8, le tableau principal figurant à 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annexe</w:t>
      </w:r>
      <w:r w:rsidR="00012DAF">
        <w:rPr>
          <w:rFonts w:eastAsiaTheme="minorEastAsia" w:cs="Arial"/>
          <w:sz w:val="16"/>
          <w:szCs w:val="16"/>
          <w:lang w:val="fr-FR" w:eastAsia="ja-JP"/>
        </w:rPr>
        <w:t> </w:t>
      </w:r>
      <w:r w:rsidR="00012DAF" w:rsidRPr="00543E11">
        <w:rPr>
          <w:rFonts w:eastAsiaTheme="minorEastAsia" w:cs="Arial"/>
          <w:sz w:val="16"/>
          <w:szCs w:val="16"/>
          <w:lang w:val="fr-FR" w:eastAsia="ja-JP"/>
        </w:rPr>
        <w:t>I</w:t>
      </w:r>
      <w:r w:rsidRPr="00543E11">
        <w:rPr>
          <w:rFonts w:eastAsiaTheme="minorEastAsia" w:cs="Arial"/>
          <w:sz w:val="16"/>
          <w:szCs w:val="16"/>
          <w:lang w:val="fr-FR" w:eastAsia="ja-JP"/>
        </w:rPr>
        <w:t>I, pour le nombre de contributions par contributeur.</w:t>
      </w:r>
    </w:p>
    <w:p w14:paraId="537CB761" w14:textId="77777777" w:rsidR="00835891" w:rsidRDefault="002D371D" w:rsidP="002D371D">
      <w:pPr>
        <w:ind w:left="567" w:hanging="283"/>
        <w:jc w:val="left"/>
        <w:rPr>
          <w:rFonts w:eastAsiaTheme="minorEastAsia" w:cs="Arial"/>
          <w:spacing w:val="2"/>
          <w:sz w:val="16"/>
          <w:szCs w:val="16"/>
          <w:lang w:val="fr-FR" w:eastAsia="ja-JP"/>
        </w:rPr>
      </w:pPr>
      <w:r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5.</w:t>
      </w:r>
      <w:r w:rsidR="00370A79">
        <w:rPr>
          <w:rFonts w:eastAsiaTheme="minorEastAsia" w:cs="Arial"/>
          <w:spacing w:val="2"/>
          <w:sz w:val="16"/>
          <w:szCs w:val="16"/>
          <w:lang w:val="fr-FR" w:eastAsia="ja-JP"/>
        </w:rPr>
        <w:t xml:space="preserve"> </w:t>
      </w:r>
      <w:r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 xml:space="preserve"> </w:t>
      </w:r>
      <w:r w:rsidR="00543E11"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ab/>
      </w:r>
      <w:r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Ce nombre est utilisé pour indiquer la fréquence de mise à jour de la base de données PLUTO avec de nouvelles données.</w:t>
      </w:r>
      <w:r w:rsidR="00B66AEF"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 xml:space="preserve">  </w:t>
      </w:r>
      <w:r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La base PLUTO est mise à jour une fois par jour si de nouvelles contributions sont reçues.</w:t>
      </w:r>
      <w:r w:rsidR="00B66AEF"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 xml:space="preserve">  </w:t>
      </w:r>
      <w:r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Si plusieurs contributions sont reçues le même jour, l</w:t>
      </w:r>
      <w:r w:rsidR="00012DAF">
        <w:rPr>
          <w:rFonts w:eastAsiaTheme="minorEastAsia" w:cs="Arial"/>
          <w:spacing w:val="2"/>
          <w:sz w:val="16"/>
          <w:szCs w:val="16"/>
          <w:lang w:val="fr-FR" w:eastAsia="ja-JP"/>
        </w:rPr>
        <w:t>’</w:t>
      </w:r>
      <w:r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ensemble de ces contributions seront comptabilisées comme une seule et même mise à jour.</w:t>
      </w:r>
      <w:r w:rsidR="00A95449"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 xml:space="preserve">  </w:t>
      </w:r>
      <w:r w:rsidR="00012DAF"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Depuis</w:t>
      </w:r>
      <w:r w:rsidR="00012DAF">
        <w:rPr>
          <w:rFonts w:eastAsiaTheme="minorEastAsia" w:cs="Arial"/>
          <w:spacing w:val="2"/>
          <w:sz w:val="16"/>
          <w:szCs w:val="16"/>
          <w:lang w:val="fr-FR" w:eastAsia="ja-JP"/>
        </w:rPr>
        <w:t> </w:t>
      </w:r>
      <w:r w:rsidR="00012DAF"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2020</w:t>
      </w:r>
      <w:r w:rsidRPr="00543E11">
        <w:rPr>
          <w:rFonts w:eastAsiaTheme="minorEastAsia" w:cs="Arial"/>
          <w:spacing w:val="2"/>
          <w:sz w:val="16"/>
          <w:szCs w:val="16"/>
          <w:lang w:val="fr-FR" w:eastAsia="ja-JP"/>
        </w:rPr>
        <w:t>, les mises à jour dues à des problèmes techniques ne sont pas prises en compte.</w:t>
      </w:r>
    </w:p>
    <w:p w14:paraId="7293D41C" w14:textId="77777777" w:rsidR="00835891" w:rsidRDefault="00835891" w:rsidP="005B30B7">
      <w:pPr>
        <w:rPr>
          <w:rFonts w:eastAsiaTheme="minorEastAsia"/>
          <w:lang w:val="fr-FR" w:eastAsia="ja-JP"/>
        </w:rPr>
      </w:pPr>
    </w:p>
    <w:p w14:paraId="4139AB32" w14:textId="77777777" w:rsidR="00835891" w:rsidRDefault="002D371D" w:rsidP="002D371D">
      <w:pPr>
        <w:rPr>
          <w:rFonts w:eastAsiaTheme="minorEastAsia"/>
          <w:lang w:val="fr-FR" w:eastAsia="ja-JP"/>
        </w:rPr>
      </w:pPr>
      <w:r w:rsidRPr="00543E11">
        <w:rPr>
          <w:rFonts w:eastAsiaTheme="minorEastAsia"/>
          <w:lang w:val="fr-FR" w:eastAsia="ja-JP"/>
        </w:rPr>
        <w:t>La ligne “C” donne une indication de l</w:t>
      </w:r>
      <w:r w:rsidR="00012DAF">
        <w:rPr>
          <w:rFonts w:eastAsiaTheme="minorEastAsia"/>
          <w:lang w:val="fr-FR" w:eastAsia="ja-JP"/>
        </w:rPr>
        <w:t>’</w:t>
      </w:r>
      <w:r w:rsidRPr="00543E11">
        <w:rPr>
          <w:rFonts w:eastAsiaTheme="minorEastAsia"/>
          <w:lang w:val="fr-FR" w:eastAsia="ja-JP"/>
        </w:rPr>
        <w:t>exhaustivité “théorique” de la base de données PLUTO sur la base des données fournies par les membres de l</w:t>
      </w:r>
      <w:r w:rsidR="00012DAF">
        <w:rPr>
          <w:rFonts w:eastAsiaTheme="minorEastAsia"/>
          <w:lang w:val="fr-FR" w:eastAsia="ja-JP"/>
        </w:rPr>
        <w:t>’</w:t>
      </w:r>
      <w:r w:rsidRPr="00543E11">
        <w:rPr>
          <w:rFonts w:eastAsiaTheme="minorEastAsia"/>
          <w:lang w:val="fr-FR" w:eastAsia="ja-JP"/>
        </w:rPr>
        <w:t>UPOV apportant des données.</w:t>
      </w:r>
    </w:p>
    <w:p w14:paraId="5C6966E4" w14:textId="77777777" w:rsidR="00835891" w:rsidRDefault="00835891" w:rsidP="005B30B7">
      <w:pPr>
        <w:rPr>
          <w:rFonts w:eastAsiaTheme="minorEastAsia"/>
          <w:lang w:val="fr-FR" w:eastAsia="ja-JP"/>
        </w:rPr>
      </w:pPr>
    </w:p>
    <w:p w14:paraId="731ACB2A" w14:textId="77777777" w:rsidR="00835891" w:rsidRDefault="002D371D" w:rsidP="002D371D">
      <w:pPr>
        <w:rPr>
          <w:rFonts w:eastAsiaTheme="minorEastAsia"/>
          <w:lang w:val="fr-FR" w:eastAsia="ja-JP"/>
        </w:rPr>
      </w:pPr>
      <w:r w:rsidRPr="00543E11">
        <w:rPr>
          <w:rFonts w:eastAsiaTheme="minorEastAsia"/>
          <w:lang w:val="fr-FR" w:eastAsia="ja-JP"/>
        </w:rPr>
        <w:t>La ligne “E” donne une indication de l</w:t>
      </w:r>
      <w:r w:rsidR="00012DAF">
        <w:rPr>
          <w:rFonts w:eastAsiaTheme="minorEastAsia"/>
          <w:lang w:val="fr-FR" w:eastAsia="ja-JP"/>
        </w:rPr>
        <w:t>’</w:t>
      </w:r>
      <w:r w:rsidRPr="00543E11">
        <w:rPr>
          <w:rFonts w:eastAsiaTheme="minorEastAsia"/>
          <w:lang w:val="fr-FR" w:eastAsia="ja-JP"/>
        </w:rPr>
        <w:t>exhaustivité réelle des données figurant dans la base de données PLUTO, en tenant compte des éléments suivants</w:t>
      </w:r>
      <w:r w:rsidR="00012DAF">
        <w:rPr>
          <w:rFonts w:eastAsiaTheme="minorEastAsia"/>
          <w:lang w:val="fr-FR" w:eastAsia="ja-JP"/>
        </w:rPr>
        <w:t> :</w:t>
      </w:r>
    </w:p>
    <w:p w14:paraId="68DAFD41" w14:textId="77777777" w:rsidR="00835891" w:rsidRDefault="002D371D" w:rsidP="002D371D">
      <w:pPr>
        <w:tabs>
          <w:tab w:val="left" w:pos="851"/>
        </w:tabs>
        <w:ind w:firstLine="426"/>
        <w:rPr>
          <w:rFonts w:eastAsiaTheme="minorEastAsia"/>
          <w:lang w:val="fr-FR" w:eastAsia="ja-JP"/>
        </w:rPr>
      </w:pPr>
      <w:r w:rsidRPr="00543E11">
        <w:rPr>
          <w:rFonts w:eastAsiaTheme="minorEastAsia"/>
          <w:lang w:val="fr-FR" w:eastAsia="ja-JP"/>
        </w:rPr>
        <w:t xml:space="preserve">i) </w:t>
      </w:r>
      <w:r w:rsidR="00543E11" w:rsidRPr="00543E11">
        <w:rPr>
          <w:rFonts w:eastAsiaTheme="minorEastAsia"/>
          <w:lang w:val="fr-FR" w:eastAsia="ja-JP"/>
        </w:rPr>
        <w:tab/>
      </w:r>
      <w:r w:rsidRPr="00543E11">
        <w:rPr>
          <w:rFonts w:eastAsiaTheme="minorEastAsia"/>
          <w:lang w:val="fr-FR" w:eastAsia="ja-JP"/>
        </w:rPr>
        <w:t>les membres de l</w:t>
      </w:r>
      <w:r w:rsidR="00012DAF">
        <w:rPr>
          <w:rFonts w:eastAsiaTheme="minorEastAsia"/>
          <w:lang w:val="fr-FR" w:eastAsia="ja-JP"/>
        </w:rPr>
        <w:t>’</w:t>
      </w:r>
      <w:r w:rsidRPr="00543E11">
        <w:rPr>
          <w:rFonts w:eastAsiaTheme="minorEastAsia"/>
          <w:lang w:val="fr-FR" w:eastAsia="ja-JP"/>
        </w:rPr>
        <w:t>UPOV qui ne contribuent pas à la base de données PLUTO, et</w:t>
      </w:r>
    </w:p>
    <w:p w14:paraId="122E8007" w14:textId="77777777" w:rsidR="00835891" w:rsidRDefault="002D371D" w:rsidP="002D371D">
      <w:pPr>
        <w:tabs>
          <w:tab w:val="left" w:pos="851"/>
        </w:tabs>
        <w:ind w:firstLine="426"/>
        <w:rPr>
          <w:rFonts w:eastAsiaTheme="minorEastAsia"/>
          <w:lang w:val="fr-FR" w:eastAsia="ja-JP"/>
        </w:rPr>
      </w:pPr>
      <w:r w:rsidRPr="00543E11">
        <w:rPr>
          <w:rFonts w:eastAsiaTheme="minorEastAsia"/>
          <w:lang w:val="fr-FR" w:eastAsia="ja-JP"/>
        </w:rPr>
        <w:t xml:space="preserve">ii) </w:t>
      </w:r>
      <w:r w:rsidR="00543E11" w:rsidRPr="00543E11">
        <w:rPr>
          <w:rFonts w:eastAsiaTheme="minorEastAsia"/>
          <w:lang w:val="fr-FR" w:eastAsia="ja-JP"/>
        </w:rPr>
        <w:tab/>
      </w:r>
      <w:r w:rsidRPr="00543E11">
        <w:rPr>
          <w:rFonts w:eastAsiaTheme="minorEastAsia"/>
          <w:lang w:val="fr-FR" w:eastAsia="ja-JP"/>
        </w:rPr>
        <w:t>les contributeurs qui n</w:t>
      </w:r>
      <w:r w:rsidR="00012DAF">
        <w:rPr>
          <w:rFonts w:eastAsiaTheme="minorEastAsia"/>
          <w:lang w:val="fr-FR" w:eastAsia="ja-JP"/>
        </w:rPr>
        <w:t>’</w:t>
      </w:r>
      <w:r w:rsidRPr="00543E11">
        <w:rPr>
          <w:rFonts w:eastAsiaTheme="minorEastAsia"/>
          <w:lang w:val="fr-FR" w:eastAsia="ja-JP"/>
        </w:rPr>
        <w:t>ont pas fourni de données complètes.</w:t>
      </w:r>
    </w:p>
    <w:p w14:paraId="1CF2553A" w14:textId="77777777" w:rsidR="00835891" w:rsidRDefault="00835891" w:rsidP="005B30B7">
      <w:pPr>
        <w:jc w:val="left"/>
        <w:rPr>
          <w:rFonts w:eastAsiaTheme="minorEastAsia" w:cs="Arial"/>
          <w:lang w:val="fr-FR" w:eastAsia="ja-JP"/>
        </w:rPr>
      </w:pPr>
    </w:p>
    <w:p w14:paraId="17BC4CE4" w14:textId="77777777" w:rsidR="00835891" w:rsidRDefault="00835891" w:rsidP="005B30B7">
      <w:pPr>
        <w:jc w:val="left"/>
        <w:rPr>
          <w:rFonts w:eastAsiaTheme="minorEastAsia" w:cs="Arial"/>
          <w:lang w:val="fr-FR" w:eastAsia="ja-JP"/>
        </w:rPr>
      </w:pPr>
    </w:p>
    <w:p w14:paraId="2DDE90DC" w14:textId="77777777" w:rsidR="00835891" w:rsidRDefault="00835891" w:rsidP="005B30B7">
      <w:pPr>
        <w:jc w:val="left"/>
        <w:rPr>
          <w:rFonts w:eastAsiaTheme="minorEastAsia" w:cs="Arial"/>
          <w:lang w:val="fr-FR" w:eastAsia="ja-JP"/>
        </w:rPr>
      </w:pPr>
    </w:p>
    <w:p w14:paraId="08CAAB36" w14:textId="77777777" w:rsidR="00835891" w:rsidRDefault="002D371D" w:rsidP="002D371D">
      <w:pPr>
        <w:jc w:val="right"/>
        <w:rPr>
          <w:lang w:val="fr-FR"/>
        </w:rPr>
      </w:pPr>
      <w:r w:rsidRPr="00543E11">
        <w:rPr>
          <w:lang w:val="fr-FR"/>
        </w:rPr>
        <w:t>[Fin de l</w:t>
      </w:r>
      <w:r w:rsidR="00012DAF">
        <w:rPr>
          <w:lang w:val="fr-FR"/>
        </w:rPr>
        <w:t>’</w:t>
      </w:r>
      <w:r w:rsidR="00012DAF" w:rsidRPr="00543E11">
        <w:rPr>
          <w:lang w:val="fr-FR"/>
        </w:rPr>
        <w:t>annexe</w:t>
      </w:r>
      <w:r w:rsidR="00012DAF">
        <w:rPr>
          <w:lang w:val="fr-FR"/>
        </w:rPr>
        <w:t> </w:t>
      </w:r>
      <w:r w:rsidR="00012DAF" w:rsidRPr="00543E11">
        <w:rPr>
          <w:lang w:val="fr-FR"/>
        </w:rPr>
        <w:t>I</w:t>
      </w:r>
      <w:r w:rsidRPr="00543E11">
        <w:rPr>
          <w:lang w:val="fr-FR"/>
        </w:rPr>
        <w:t>I et du document]</w:t>
      </w:r>
    </w:p>
    <w:p w14:paraId="6216DC28" w14:textId="77777777" w:rsidR="00835891" w:rsidRDefault="00835891" w:rsidP="005B30B7">
      <w:pPr>
        <w:jc w:val="right"/>
        <w:rPr>
          <w:lang w:val="fr-FR"/>
        </w:rPr>
      </w:pPr>
    </w:p>
    <w:p w14:paraId="2208C473" w14:textId="77777777" w:rsidR="00835891" w:rsidRDefault="00835891" w:rsidP="005B30B7">
      <w:pPr>
        <w:jc w:val="right"/>
        <w:rPr>
          <w:lang w:val="fr-FR"/>
        </w:rPr>
      </w:pPr>
    </w:p>
    <w:p w14:paraId="00D88610" w14:textId="06EDF32D" w:rsidR="007749A2" w:rsidRPr="00543E11" w:rsidRDefault="007749A2" w:rsidP="005B30B7">
      <w:pPr>
        <w:jc w:val="right"/>
        <w:rPr>
          <w:lang w:val="fr-FR"/>
        </w:rPr>
      </w:pPr>
    </w:p>
    <w:sectPr w:rsidR="007749A2" w:rsidRPr="00543E11" w:rsidSect="00906DD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CB6BA" w14:textId="77777777" w:rsidR="00635794" w:rsidRDefault="00635794" w:rsidP="006655D3">
      <w:r>
        <w:separator/>
      </w:r>
    </w:p>
    <w:p w14:paraId="1FEAEDD1" w14:textId="77777777" w:rsidR="00635794" w:rsidRDefault="00635794" w:rsidP="006655D3"/>
    <w:p w14:paraId="12B2224D" w14:textId="77777777" w:rsidR="00635794" w:rsidRDefault="00635794" w:rsidP="006655D3"/>
  </w:endnote>
  <w:endnote w:type="continuationSeparator" w:id="0">
    <w:p w14:paraId="1C46F910" w14:textId="77777777" w:rsidR="00635794" w:rsidRDefault="00635794" w:rsidP="006655D3">
      <w:r>
        <w:separator/>
      </w:r>
    </w:p>
    <w:p w14:paraId="69CD9627" w14:textId="77777777" w:rsidR="00635794" w:rsidRPr="00294751" w:rsidRDefault="0063579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F0650FB" w14:textId="77777777" w:rsidR="00635794" w:rsidRPr="00294751" w:rsidRDefault="00635794" w:rsidP="006655D3">
      <w:pPr>
        <w:rPr>
          <w:lang w:val="fr-FR"/>
        </w:rPr>
      </w:pPr>
    </w:p>
    <w:p w14:paraId="005D5580" w14:textId="77777777" w:rsidR="00635794" w:rsidRPr="00294751" w:rsidRDefault="00635794" w:rsidP="006655D3">
      <w:pPr>
        <w:rPr>
          <w:lang w:val="fr-FR"/>
        </w:rPr>
      </w:pPr>
    </w:p>
  </w:endnote>
  <w:endnote w:type="continuationNotice" w:id="1">
    <w:p w14:paraId="4B9D94DC" w14:textId="77777777" w:rsidR="00635794" w:rsidRPr="00294751" w:rsidRDefault="0063579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764870E" w14:textId="77777777" w:rsidR="00635794" w:rsidRPr="00294751" w:rsidRDefault="00635794" w:rsidP="006655D3">
      <w:pPr>
        <w:rPr>
          <w:lang w:val="fr-FR"/>
        </w:rPr>
      </w:pPr>
    </w:p>
    <w:p w14:paraId="669E0CE9" w14:textId="77777777" w:rsidR="00635794" w:rsidRPr="00294751" w:rsidRDefault="0063579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DDDE" w14:textId="77777777" w:rsidR="00635794" w:rsidRDefault="00635794" w:rsidP="004C6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C545" w14:textId="77F6FBE4" w:rsidR="00635794" w:rsidRDefault="00635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590" w14:textId="212F6BE9" w:rsidR="00635794" w:rsidRDefault="006357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66D9" w14:textId="77777777" w:rsidR="00635794" w:rsidRDefault="00635794" w:rsidP="004C62D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 wp14:anchorId="0A021641" wp14:editId="0D1C6CE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BB132" w14:textId="77777777" w:rsidR="00635794" w:rsidRDefault="00635794" w:rsidP="0035233C">
                          <w:pPr>
                            <w:jc w:val="center"/>
                          </w:pPr>
                          <w:r w:rsidRPr="0035233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21641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0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2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0pJYrVqNH6Zv2w+pKW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gnyD3uhN1C8os4GkGZUxGq+qPDuJbPunhkcDtzEgXd3+CklILfQWZRswXz/077HIyXo&#10;pWSPw5ZT+23HjKBE3ijs5mmSphjWhUU6mgxxYY49m2OP2tVXgCwkIbtgeryTvVkaqB/xXZj7W9HF&#10;FMe7c+p688q1TwC+K1zM5wGE86iZW6qV5n17e87XzSMzums7h2zeQj+WLPvQfS3Wq6VgvnNQVqE1&#10;Pc8tq92c4CwHTbp3xz8Wx+uAensd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nMdO2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310BB132" w14:textId="77777777" w:rsidR="00E04FD2" w:rsidRDefault="00E04FD2" w:rsidP="0035233C">
                    <w:pPr>
                      <w:jc w:val="center"/>
                    </w:pPr>
                    <w:r w:rsidRPr="0035233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F033" w14:textId="77777777" w:rsidR="00635794" w:rsidRDefault="00635794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 wp14:anchorId="168B3AC8" wp14:editId="765AC21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F16250" w14:textId="77777777" w:rsidR="00635794" w:rsidRDefault="00635794" w:rsidP="0035233C">
                          <w:pPr>
                            <w:jc w:val="center"/>
                          </w:pPr>
                          <w:r w:rsidRPr="0035233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B3AC8"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1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4dqg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5sA4d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29F16250" w14:textId="77777777" w:rsidR="00E04FD2" w:rsidRDefault="00E04FD2" w:rsidP="0035233C">
                    <w:pPr>
                      <w:jc w:val="center"/>
                    </w:pPr>
                    <w:r w:rsidRPr="0035233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7530" w14:textId="77777777" w:rsidR="00635794" w:rsidRDefault="00635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41DE" w14:textId="77777777" w:rsidR="00635794" w:rsidRDefault="00635794" w:rsidP="00D42C99">
      <w:pPr>
        <w:spacing w:before="120"/>
      </w:pPr>
      <w:r>
        <w:separator/>
      </w:r>
    </w:p>
  </w:footnote>
  <w:footnote w:type="continuationSeparator" w:id="0">
    <w:p w14:paraId="4017CF14" w14:textId="77777777" w:rsidR="00635794" w:rsidRDefault="00635794" w:rsidP="006655D3">
      <w:r w:rsidRPr="00D54F5B">
        <w:separator/>
      </w:r>
    </w:p>
    <w:p w14:paraId="6C6FFD1E" w14:textId="77777777" w:rsidR="00635794" w:rsidRDefault="00635794" w:rsidP="006655D3"/>
    <w:p w14:paraId="1F4E5359" w14:textId="77777777" w:rsidR="00635794" w:rsidRPr="00D54F5B" w:rsidRDefault="00635794" w:rsidP="00D54F5B">
      <w:pPr>
        <w:jc w:val="left"/>
      </w:pPr>
    </w:p>
    <w:p w14:paraId="1AE04318" w14:textId="77777777" w:rsidR="00635794" w:rsidRDefault="00635794"/>
  </w:footnote>
  <w:footnote w:type="continuationNotice" w:id="1">
    <w:p w14:paraId="04719FBA" w14:textId="77777777" w:rsidR="00635794" w:rsidRPr="00AB530F" w:rsidRDefault="00635794" w:rsidP="00AB530F">
      <w:pPr>
        <w:pStyle w:val="Footer"/>
      </w:pPr>
    </w:p>
  </w:footnote>
  <w:footnote w:id="2">
    <w:p w14:paraId="2ED2EADE" w14:textId="766F9164" w:rsidR="00635794" w:rsidRPr="00A1206C" w:rsidRDefault="00635794">
      <w:pPr>
        <w:pStyle w:val="FootnoteText"/>
        <w:rPr>
          <w:lang w:val="fr-FR"/>
        </w:rPr>
      </w:pPr>
      <w:r w:rsidRPr="00A1206C">
        <w:rPr>
          <w:rStyle w:val="FootnoteReference"/>
          <w:lang w:val="fr-FR"/>
        </w:rPr>
        <w:footnoteRef/>
      </w:r>
      <w:r w:rsidRPr="00A1206C">
        <w:rPr>
          <w:lang w:val="fr-FR"/>
        </w:rPr>
        <w:t xml:space="preserve"> </w:t>
      </w:r>
      <w:r w:rsidRPr="00A1206C">
        <w:rPr>
          <w:lang w:val="fr-FR"/>
        </w:rPr>
        <w:tab/>
        <w:t>À sa soixante</w:t>
      </w:r>
      <w:r>
        <w:rPr>
          <w:lang w:val="fr-FR"/>
        </w:rPr>
        <w:t>-</w:t>
      </w:r>
      <w:r w:rsidRPr="00A1206C">
        <w:rPr>
          <w:lang w:val="fr-FR"/>
        </w:rPr>
        <w:t>seiz</w:t>
      </w:r>
      <w:r>
        <w:rPr>
          <w:lang w:val="fr-FR"/>
        </w:rPr>
        <w:t>ième session</w:t>
      </w:r>
      <w:r w:rsidRPr="00A1206C">
        <w:rPr>
          <w:lang w:val="fr-FR"/>
        </w:rPr>
        <w:t xml:space="preserve"> tenue à Genève le 29</w:t>
      </w:r>
      <w:r>
        <w:rPr>
          <w:lang w:val="fr-FR"/>
        </w:rPr>
        <w:t> </w:t>
      </w:r>
      <w:r w:rsidRPr="00A1206C">
        <w:rPr>
          <w:lang w:val="fr-FR"/>
        </w:rPr>
        <w:t>octobre</w:t>
      </w:r>
      <w:r>
        <w:rPr>
          <w:lang w:val="fr-FR"/>
        </w:rPr>
        <w:t> </w:t>
      </w:r>
      <w:r w:rsidRPr="00A1206C">
        <w:rPr>
          <w:lang w:val="fr-FR"/>
        </w:rPr>
        <w:t>2008, le Comité consultatif a approuvé un accord entre l</w:t>
      </w:r>
      <w:r>
        <w:rPr>
          <w:lang w:val="fr-FR"/>
        </w:rPr>
        <w:t>’</w:t>
      </w:r>
      <w:r w:rsidRPr="00A1206C">
        <w:rPr>
          <w:lang w:val="fr-FR"/>
        </w:rPr>
        <w:t>UPOV et l</w:t>
      </w:r>
      <w:r>
        <w:rPr>
          <w:lang w:val="fr-FR"/>
        </w:rPr>
        <w:t>’</w:t>
      </w:r>
      <w:r w:rsidRPr="00A1206C">
        <w:rPr>
          <w:lang w:val="fr-FR"/>
        </w:rPr>
        <w:t>Organisation Mondiale de la Propriété Intellectuelle (OMPI) (accord UPOV</w:t>
      </w:r>
      <w:r>
        <w:rPr>
          <w:lang w:val="fr-FR"/>
        </w:rPr>
        <w:t>-</w:t>
      </w:r>
      <w:r w:rsidRPr="00A1206C">
        <w:rPr>
          <w:lang w:val="fr-FR"/>
        </w:rPr>
        <w:t>OMPI) concernant la base de données UPOV sur les variétés végétales, comme suit</w:t>
      </w:r>
      <w:r>
        <w:rPr>
          <w:lang w:val="fr-FR"/>
        </w:rPr>
        <w:t> :</w:t>
      </w:r>
    </w:p>
    <w:p w14:paraId="325D0AF4" w14:textId="1509733A" w:rsidR="00635794" w:rsidRDefault="00635794">
      <w:pPr>
        <w:pStyle w:val="FootnoteText"/>
        <w:rPr>
          <w:lang w:val="fr-FR"/>
        </w:rPr>
      </w:pPr>
      <w:r>
        <w:rPr>
          <w:lang w:val="fr-FR"/>
        </w:rPr>
        <w:t>“a)</w:t>
      </w:r>
      <w:r>
        <w:rPr>
          <w:lang w:val="fr-FR"/>
        </w:rPr>
        <w:tab/>
      </w:r>
      <w:r w:rsidRPr="00A1206C">
        <w:rPr>
          <w:lang w:val="fr-FR"/>
        </w:rPr>
        <w:t>L</w:t>
      </w:r>
      <w:r>
        <w:rPr>
          <w:lang w:val="fr-FR"/>
        </w:rPr>
        <w:t>’</w:t>
      </w:r>
      <w:r w:rsidRPr="00A1206C">
        <w:rPr>
          <w:lang w:val="fr-FR"/>
        </w:rPr>
        <w:t>OMPI procède à la compilation des données pour l</w:t>
      </w:r>
      <w:r>
        <w:rPr>
          <w:lang w:val="fr-FR"/>
        </w:rPr>
        <w:t>’</w:t>
      </w:r>
      <w:r w:rsidRPr="00A1206C">
        <w:rPr>
          <w:lang w:val="fr-FR"/>
        </w:rPr>
        <w:t>UPOV</w:t>
      </w:r>
      <w:r>
        <w:rPr>
          <w:lang w:val="fr-FR"/>
        </w:rPr>
        <w:t>-</w:t>
      </w:r>
      <w:r w:rsidRPr="00A1206C">
        <w:rPr>
          <w:lang w:val="fr-FR"/>
        </w:rPr>
        <w:t>ROM et fournit l</w:t>
      </w:r>
      <w:r>
        <w:rPr>
          <w:lang w:val="fr-FR"/>
        </w:rPr>
        <w:t>’</w:t>
      </w:r>
      <w:r w:rsidRPr="00A1206C">
        <w:rPr>
          <w:lang w:val="fr-FR"/>
        </w:rPr>
        <w:t>assistance nécessaire à l</w:t>
      </w:r>
      <w:r>
        <w:rPr>
          <w:lang w:val="fr-FR"/>
        </w:rPr>
        <w:t>’</w:t>
      </w:r>
      <w:r w:rsidRPr="00A1206C">
        <w:rPr>
          <w:lang w:val="fr-FR"/>
        </w:rPr>
        <w:t>exécution du programme d</w:t>
      </w:r>
      <w:r>
        <w:rPr>
          <w:lang w:val="fr-FR"/>
        </w:rPr>
        <w:t>’</w:t>
      </w:r>
      <w:r w:rsidRPr="00A1206C">
        <w:rPr>
          <w:lang w:val="fr-FR"/>
        </w:rPr>
        <w:t>améliorations concernant, en particulier, la possibilité de recevoir des données destinées à l</w:t>
      </w:r>
      <w:r>
        <w:rPr>
          <w:lang w:val="fr-FR"/>
        </w:rPr>
        <w:t>’</w:t>
      </w:r>
      <w:r w:rsidRPr="00A1206C">
        <w:rPr>
          <w:lang w:val="fr-FR"/>
        </w:rPr>
        <w:t>UPOV</w:t>
      </w:r>
      <w:r>
        <w:rPr>
          <w:lang w:val="fr-FR"/>
        </w:rPr>
        <w:t>-</w:t>
      </w:r>
      <w:r w:rsidRPr="00A1206C">
        <w:rPr>
          <w:lang w:val="fr-FR"/>
        </w:rPr>
        <w:t>ROM sous différents formats et apporte une aide pour l</w:t>
      </w:r>
      <w:r>
        <w:rPr>
          <w:lang w:val="fr-FR"/>
        </w:rPr>
        <w:t>’</w:t>
      </w:r>
      <w:r w:rsidRPr="00A1206C">
        <w:rPr>
          <w:lang w:val="fr-FR"/>
        </w:rPr>
        <w:t>attribution d</w:t>
      </w:r>
      <w:r>
        <w:rPr>
          <w:lang w:val="fr-FR"/>
        </w:rPr>
        <w:t>’</w:t>
      </w:r>
      <w:r w:rsidRPr="00A1206C">
        <w:rPr>
          <w:lang w:val="fr-FR"/>
        </w:rPr>
        <w:t>un code UPOV à toutes les entrées (voir documents</w:t>
      </w:r>
      <w:r>
        <w:rPr>
          <w:lang w:val="fr-FR"/>
        </w:rPr>
        <w:t> </w:t>
      </w:r>
      <w:r w:rsidRPr="00A1206C">
        <w:rPr>
          <w:lang w:val="fr-FR"/>
        </w:rPr>
        <w:t>CAJ/57/6, paragraphes</w:t>
      </w:r>
      <w:r>
        <w:rPr>
          <w:lang w:val="fr-FR"/>
        </w:rPr>
        <w:t> </w:t>
      </w:r>
      <w:r w:rsidRPr="00A1206C">
        <w:rPr>
          <w:lang w:val="fr-FR"/>
        </w:rPr>
        <w:t>3 et 8 et</w:t>
      </w:r>
      <w:r>
        <w:rPr>
          <w:lang w:val="fr-FR"/>
        </w:rPr>
        <w:t> TC</w:t>
      </w:r>
      <w:r w:rsidRPr="00A1206C">
        <w:rPr>
          <w:lang w:val="fr-FR"/>
        </w:rPr>
        <w:t>/44/6, paragraphes</w:t>
      </w:r>
      <w:r>
        <w:rPr>
          <w:lang w:val="fr-FR"/>
        </w:rPr>
        <w:t> </w:t>
      </w:r>
      <w:r w:rsidRPr="00A1206C">
        <w:rPr>
          <w:lang w:val="fr-FR"/>
        </w:rPr>
        <w:t>12 à 17).  En outre, l</w:t>
      </w:r>
      <w:r>
        <w:rPr>
          <w:lang w:val="fr-FR"/>
        </w:rPr>
        <w:t>’</w:t>
      </w:r>
      <w:r w:rsidRPr="00A1206C">
        <w:rPr>
          <w:lang w:val="fr-FR"/>
        </w:rPr>
        <w:t>OMPI s</w:t>
      </w:r>
      <w:r>
        <w:rPr>
          <w:lang w:val="fr-FR"/>
        </w:rPr>
        <w:t>’</w:t>
      </w:r>
      <w:r w:rsidRPr="00A1206C">
        <w:rPr>
          <w:lang w:val="fr-FR"/>
        </w:rPr>
        <w:t>emploiera à élaborer une version conçue pour l</w:t>
      </w:r>
      <w:r>
        <w:rPr>
          <w:lang w:val="fr-FR"/>
        </w:rPr>
        <w:t>’</w:t>
      </w:r>
      <w:r w:rsidRPr="00A1206C">
        <w:rPr>
          <w:lang w:val="fr-FR"/>
        </w:rPr>
        <w:t>Internet de la base de données de l</w:t>
      </w:r>
      <w:r>
        <w:rPr>
          <w:lang w:val="fr-FR"/>
        </w:rPr>
        <w:t>’</w:t>
      </w:r>
      <w:r w:rsidRPr="00A1206C">
        <w:rPr>
          <w:lang w:val="fr-FR"/>
        </w:rPr>
        <w:t>UPOV sur les variétés végétales et à se doter d</w:t>
      </w:r>
      <w:r>
        <w:rPr>
          <w:lang w:val="fr-FR"/>
        </w:rPr>
        <w:t>’</w:t>
      </w:r>
      <w:r w:rsidRPr="00A1206C">
        <w:rPr>
          <w:lang w:val="fr-FR"/>
        </w:rPr>
        <w:t>un moyen de créer des versions sur CD</w:t>
      </w:r>
      <w:r>
        <w:rPr>
          <w:lang w:val="fr-FR"/>
        </w:rPr>
        <w:t>-</w:t>
      </w:r>
      <w:r w:rsidRPr="00A1206C">
        <w:rPr>
          <w:lang w:val="fr-FR"/>
        </w:rPr>
        <w:t>ROM de cette base de données, et fournira l</w:t>
      </w:r>
      <w:r>
        <w:rPr>
          <w:lang w:val="fr-FR"/>
        </w:rPr>
        <w:t>’</w:t>
      </w:r>
      <w:r w:rsidRPr="00A1206C">
        <w:rPr>
          <w:lang w:val="fr-FR"/>
        </w:rPr>
        <w:t>appui technique nécessaire en ce qui concerne l</w:t>
      </w:r>
      <w:r>
        <w:rPr>
          <w:lang w:val="fr-FR"/>
        </w:rPr>
        <w:t>’</w:t>
      </w:r>
      <w:r w:rsidRPr="00A1206C">
        <w:rPr>
          <w:lang w:val="fr-FR"/>
        </w:rPr>
        <w:t>élaboration d</w:t>
      </w:r>
      <w:r>
        <w:rPr>
          <w:lang w:val="fr-FR"/>
        </w:rPr>
        <w:t>’</w:t>
      </w:r>
      <w:r w:rsidRPr="00A1206C">
        <w:rPr>
          <w:lang w:val="fr-FR"/>
        </w:rPr>
        <w:t>une interface de recherche commune (voir les paragraphes</w:t>
      </w:r>
      <w:r>
        <w:rPr>
          <w:lang w:val="fr-FR"/>
        </w:rPr>
        <w:t> </w:t>
      </w:r>
      <w:r w:rsidRPr="00A1206C">
        <w:rPr>
          <w:lang w:val="fr-FR"/>
        </w:rPr>
        <w:t>18 à 21 du document</w:t>
      </w:r>
      <w:r>
        <w:rPr>
          <w:lang w:val="fr-FR"/>
        </w:rPr>
        <w:t> </w:t>
      </w:r>
      <w:r w:rsidRPr="00A1206C">
        <w:rPr>
          <w:lang w:val="fr-FR"/>
        </w:rPr>
        <w:t>CAJ/57/6 et les paragraphes</w:t>
      </w:r>
      <w:r>
        <w:rPr>
          <w:lang w:val="fr-FR"/>
        </w:rPr>
        <w:t> </w:t>
      </w:r>
      <w:r w:rsidRPr="00A1206C">
        <w:rPr>
          <w:lang w:val="fr-FR"/>
        </w:rPr>
        <w:t>27 à 30 du document</w:t>
      </w:r>
      <w:r>
        <w:rPr>
          <w:lang w:val="fr-FR"/>
        </w:rPr>
        <w:t> TC</w:t>
      </w:r>
      <w:r w:rsidRPr="00A1206C">
        <w:rPr>
          <w:lang w:val="fr-FR"/>
        </w:rPr>
        <w:t>/44/6).</w:t>
      </w:r>
    </w:p>
    <w:p w14:paraId="37172EF6" w14:textId="260C52C5" w:rsidR="00635794" w:rsidRPr="00A1206C" w:rsidRDefault="00635794">
      <w:pPr>
        <w:pStyle w:val="FootnoteText"/>
        <w:rPr>
          <w:lang w:val="fr-FR"/>
        </w:rPr>
      </w:pPr>
      <w:r>
        <w:rPr>
          <w:lang w:val="fr-FR"/>
        </w:rPr>
        <w:t>“b)</w:t>
      </w:r>
      <w:r>
        <w:rPr>
          <w:lang w:val="fr-FR"/>
        </w:rPr>
        <w:tab/>
      </w:r>
      <w:r w:rsidRPr="00A1206C">
        <w:rPr>
          <w:lang w:val="fr-FR"/>
        </w:rPr>
        <w:t>L</w:t>
      </w:r>
      <w:r>
        <w:rPr>
          <w:lang w:val="fr-FR"/>
        </w:rPr>
        <w:t>’</w:t>
      </w:r>
      <w:r w:rsidRPr="00A1206C">
        <w:rPr>
          <w:lang w:val="fr-FR"/>
        </w:rPr>
        <w:t>UPOV accepte que les données figurant dans la base de données UPOV</w:t>
      </w:r>
      <w:r>
        <w:rPr>
          <w:lang w:val="fr-FR"/>
        </w:rPr>
        <w:t>-</w:t>
      </w:r>
      <w:r w:rsidRPr="00A1206C">
        <w:rPr>
          <w:lang w:val="fr-FR"/>
        </w:rPr>
        <w:t>ROM sur les variétés végétales puissent être intégrées au service de recherche Patentscope® de l</w:t>
      </w:r>
      <w:r>
        <w:rPr>
          <w:lang w:val="fr-FR"/>
        </w:rPr>
        <w:t>’</w:t>
      </w:r>
      <w:r w:rsidRPr="00A1206C">
        <w:rPr>
          <w:lang w:val="fr-FR"/>
        </w:rPr>
        <w:t>OMPI.  En ce qui concerne les données communiquées par des parties autres que les membres de l</w:t>
      </w:r>
      <w:r>
        <w:rPr>
          <w:lang w:val="fr-FR"/>
        </w:rPr>
        <w:t>’</w:t>
      </w:r>
      <w:r w:rsidRPr="00A1206C">
        <w:rPr>
          <w:lang w:val="fr-FR"/>
        </w:rPr>
        <w:t>Union (par exemple, l</w:t>
      </w:r>
      <w:r>
        <w:rPr>
          <w:lang w:val="fr-FR"/>
        </w:rPr>
        <w:t>’</w:t>
      </w:r>
      <w:r w:rsidRPr="00A1206C">
        <w:rPr>
          <w:lang w:val="fr-FR"/>
        </w:rPr>
        <w:t>Organisation de coopération et de développement économiques (OCDE)), l</w:t>
      </w:r>
      <w:r>
        <w:rPr>
          <w:lang w:val="fr-FR"/>
        </w:rPr>
        <w:t>’</w:t>
      </w:r>
      <w:r w:rsidRPr="00A1206C">
        <w:rPr>
          <w:lang w:val="fr-FR"/>
        </w:rPr>
        <w:t>autorisation d</w:t>
      </w:r>
      <w:r>
        <w:rPr>
          <w:lang w:val="fr-FR"/>
        </w:rPr>
        <w:t>’</w:t>
      </w:r>
      <w:r w:rsidRPr="00A1206C">
        <w:rPr>
          <w:lang w:val="fr-FR"/>
        </w:rPr>
        <w:t>utiliser les données dans le service de recherche Patentscope® de l</w:t>
      </w:r>
      <w:r>
        <w:rPr>
          <w:lang w:val="fr-FR"/>
        </w:rPr>
        <w:t>’</w:t>
      </w:r>
      <w:r w:rsidRPr="00A1206C">
        <w:rPr>
          <w:lang w:val="fr-FR"/>
        </w:rPr>
        <w:t>OMPI relèvera des parties concernées”.</w:t>
      </w:r>
    </w:p>
  </w:footnote>
  <w:footnote w:id="3">
    <w:p w14:paraId="7F44E2D2" w14:textId="6C1FFC84" w:rsidR="00635794" w:rsidRPr="00A1206C" w:rsidRDefault="00635794" w:rsidP="004949EF">
      <w:pPr>
        <w:pStyle w:val="FootnoteText"/>
        <w:rPr>
          <w:lang w:val="fr-FR"/>
        </w:rPr>
      </w:pPr>
      <w:r w:rsidRPr="00A1206C">
        <w:rPr>
          <w:rStyle w:val="FootnoteReference"/>
          <w:lang w:val="fr-FR"/>
        </w:rPr>
        <w:footnoteRef/>
      </w:r>
      <w:r w:rsidRPr="00A1206C">
        <w:rPr>
          <w:lang w:val="fr-FR"/>
        </w:rPr>
        <w:t xml:space="preserve"> </w:t>
      </w:r>
      <w:r w:rsidRPr="00A1206C">
        <w:rPr>
          <w:lang w:val="fr-FR"/>
        </w:rPr>
        <w:tab/>
        <w:t>À sa soixante</w:t>
      </w:r>
      <w:r>
        <w:rPr>
          <w:lang w:val="fr-FR"/>
        </w:rPr>
        <w:t>-</w:t>
      </w:r>
      <w:r w:rsidRPr="00A1206C">
        <w:rPr>
          <w:lang w:val="fr-FR"/>
        </w:rPr>
        <w:t>seiz</w:t>
      </w:r>
      <w:r>
        <w:rPr>
          <w:lang w:val="fr-FR"/>
        </w:rPr>
        <w:t>ième session</w:t>
      </w:r>
      <w:r w:rsidRPr="00A1206C">
        <w:rPr>
          <w:lang w:val="fr-FR"/>
        </w:rPr>
        <w:t xml:space="preserve"> tenue à Genève le 29</w:t>
      </w:r>
      <w:r>
        <w:rPr>
          <w:lang w:val="fr-FR"/>
        </w:rPr>
        <w:t> </w:t>
      </w:r>
      <w:r w:rsidRPr="00A1206C">
        <w:rPr>
          <w:lang w:val="fr-FR"/>
        </w:rPr>
        <w:t>octobre</w:t>
      </w:r>
      <w:r>
        <w:rPr>
          <w:lang w:val="fr-FR"/>
        </w:rPr>
        <w:t> </w:t>
      </w:r>
      <w:r w:rsidRPr="00A1206C">
        <w:rPr>
          <w:lang w:val="fr-FR"/>
        </w:rPr>
        <w:t>2008, le Comité consultatif a approuvé un accord entre l</w:t>
      </w:r>
      <w:r>
        <w:rPr>
          <w:lang w:val="fr-FR"/>
        </w:rPr>
        <w:t>’</w:t>
      </w:r>
      <w:r w:rsidRPr="00A1206C">
        <w:rPr>
          <w:lang w:val="fr-FR"/>
        </w:rPr>
        <w:t>UPOV et l</w:t>
      </w:r>
      <w:r>
        <w:rPr>
          <w:lang w:val="fr-FR"/>
        </w:rPr>
        <w:t>’</w:t>
      </w:r>
      <w:r w:rsidRPr="00A1206C">
        <w:rPr>
          <w:lang w:val="fr-FR"/>
        </w:rPr>
        <w:t>Organisation Mondiale de la Propriété Intellectuelle (OMPI) (accord UPOV</w:t>
      </w:r>
      <w:r>
        <w:rPr>
          <w:lang w:val="fr-FR"/>
        </w:rPr>
        <w:t>-</w:t>
      </w:r>
      <w:r w:rsidRPr="00A1206C">
        <w:rPr>
          <w:lang w:val="fr-FR"/>
        </w:rPr>
        <w:t>OMPI) concernant la base de données UPOV sur les variétés végétales, comme suit</w:t>
      </w:r>
      <w:r>
        <w:rPr>
          <w:lang w:val="fr-FR"/>
        </w:rPr>
        <w:t> :</w:t>
      </w:r>
    </w:p>
    <w:p w14:paraId="0085FBA8" w14:textId="71A59D73" w:rsidR="00635794" w:rsidRDefault="00635794" w:rsidP="00583333">
      <w:pPr>
        <w:pStyle w:val="FootnoteText"/>
        <w:rPr>
          <w:lang w:val="fr-FR"/>
        </w:rPr>
      </w:pPr>
      <w:r>
        <w:rPr>
          <w:lang w:val="fr-FR"/>
        </w:rPr>
        <w:t>“a)</w:t>
      </w:r>
      <w:r>
        <w:rPr>
          <w:lang w:val="fr-FR"/>
        </w:rPr>
        <w:tab/>
      </w:r>
      <w:r w:rsidRPr="00A1206C">
        <w:rPr>
          <w:lang w:val="fr-FR"/>
        </w:rPr>
        <w:t>L</w:t>
      </w:r>
      <w:r>
        <w:rPr>
          <w:lang w:val="fr-FR"/>
        </w:rPr>
        <w:t>’</w:t>
      </w:r>
      <w:r w:rsidRPr="00A1206C">
        <w:rPr>
          <w:lang w:val="fr-FR"/>
        </w:rPr>
        <w:t>OMPI procède à la compilation des données pour l</w:t>
      </w:r>
      <w:r>
        <w:rPr>
          <w:lang w:val="fr-FR"/>
        </w:rPr>
        <w:t>’</w:t>
      </w:r>
      <w:r w:rsidRPr="00A1206C">
        <w:rPr>
          <w:lang w:val="fr-FR"/>
        </w:rPr>
        <w:t>UPOV</w:t>
      </w:r>
      <w:r>
        <w:rPr>
          <w:lang w:val="fr-FR"/>
        </w:rPr>
        <w:t>-</w:t>
      </w:r>
      <w:r w:rsidRPr="00A1206C">
        <w:rPr>
          <w:lang w:val="fr-FR"/>
        </w:rPr>
        <w:t>ROM et fournit l</w:t>
      </w:r>
      <w:r>
        <w:rPr>
          <w:lang w:val="fr-FR"/>
        </w:rPr>
        <w:t>’</w:t>
      </w:r>
      <w:r w:rsidRPr="00A1206C">
        <w:rPr>
          <w:lang w:val="fr-FR"/>
        </w:rPr>
        <w:t>assistance nécessaire à l</w:t>
      </w:r>
      <w:r>
        <w:rPr>
          <w:lang w:val="fr-FR"/>
        </w:rPr>
        <w:t>’</w:t>
      </w:r>
      <w:r w:rsidRPr="00A1206C">
        <w:rPr>
          <w:lang w:val="fr-FR"/>
        </w:rPr>
        <w:t>exécution du programme d</w:t>
      </w:r>
      <w:r>
        <w:rPr>
          <w:lang w:val="fr-FR"/>
        </w:rPr>
        <w:t>’</w:t>
      </w:r>
      <w:r w:rsidRPr="00A1206C">
        <w:rPr>
          <w:lang w:val="fr-FR"/>
        </w:rPr>
        <w:t>améliorations concernant, en particulier, la possibilité de recevoir des données destinées à l</w:t>
      </w:r>
      <w:r>
        <w:rPr>
          <w:lang w:val="fr-FR"/>
        </w:rPr>
        <w:t>’</w:t>
      </w:r>
      <w:r w:rsidRPr="00A1206C">
        <w:rPr>
          <w:lang w:val="fr-FR"/>
        </w:rPr>
        <w:t>UPOV</w:t>
      </w:r>
      <w:r>
        <w:rPr>
          <w:lang w:val="fr-FR"/>
        </w:rPr>
        <w:t>-</w:t>
      </w:r>
      <w:r w:rsidRPr="00A1206C">
        <w:rPr>
          <w:lang w:val="fr-FR"/>
        </w:rPr>
        <w:t>ROM sous différents formats et apporte une aide pour l</w:t>
      </w:r>
      <w:r>
        <w:rPr>
          <w:lang w:val="fr-FR"/>
        </w:rPr>
        <w:t>’</w:t>
      </w:r>
      <w:r w:rsidRPr="00A1206C">
        <w:rPr>
          <w:lang w:val="fr-FR"/>
        </w:rPr>
        <w:t>attribution d</w:t>
      </w:r>
      <w:r>
        <w:rPr>
          <w:lang w:val="fr-FR"/>
        </w:rPr>
        <w:t>’</w:t>
      </w:r>
      <w:r w:rsidRPr="00A1206C">
        <w:rPr>
          <w:lang w:val="fr-FR"/>
        </w:rPr>
        <w:t>un code UPOV à toutes les entrées (voir documents</w:t>
      </w:r>
      <w:r>
        <w:rPr>
          <w:lang w:val="fr-FR"/>
        </w:rPr>
        <w:t> </w:t>
      </w:r>
      <w:r w:rsidRPr="00A1206C">
        <w:rPr>
          <w:lang w:val="fr-FR"/>
        </w:rPr>
        <w:t>CAJ/57/6, paragraphes</w:t>
      </w:r>
      <w:r>
        <w:rPr>
          <w:lang w:val="fr-FR"/>
        </w:rPr>
        <w:t> </w:t>
      </w:r>
      <w:r w:rsidRPr="00A1206C">
        <w:rPr>
          <w:lang w:val="fr-FR"/>
        </w:rPr>
        <w:t>3 et 8 et</w:t>
      </w:r>
      <w:r>
        <w:rPr>
          <w:lang w:val="fr-FR"/>
        </w:rPr>
        <w:t> TC</w:t>
      </w:r>
      <w:r w:rsidRPr="00A1206C">
        <w:rPr>
          <w:lang w:val="fr-FR"/>
        </w:rPr>
        <w:t>/44/6, paragraphes</w:t>
      </w:r>
      <w:r>
        <w:rPr>
          <w:lang w:val="fr-FR"/>
        </w:rPr>
        <w:t> </w:t>
      </w:r>
      <w:r w:rsidRPr="00A1206C">
        <w:rPr>
          <w:lang w:val="fr-FR"/>
        </w:rPr>
        <w:t>12 et 17).  En outre, l</w:t>
      </w:r>
      <w:r>
        <w:rPr>
          <w:lang w:val="fr-FR"/>
        </w:rPr>
        <w:t>’</w:t>
      </w:r>
      <w:r w:rsidRPr="00A1206C">
        <w:rPr>
          <w:lang w:val="fr-FR"/>
        </w:rPr>
        <w:t>OMPI s</w:t>
      </w:r>
      <w:r>
        <w:rPr>
          <w:lang w:val="fr-FR"/>
        </w:rPr>
        <w:t>’</w:t>
      </w:r>
      <w:r w:rsidRPr="00A1206C">
        <w:rPr>
          <w:lang w:val="fr-FR"/>
        </w:rPr>
        <w:t>emploiera à élaborer une version conçue pour l</w:t>
      </w:r>
      <w:r>
        <w:rPr>
          <w:lang w:val="fr-FR"/>
        </w:rPr>
        <w:t>’</w:t>
      </w:r>
      <w:r w:rsidRPr="00A1206C">
        <w:rPr>
          <w:lang w:val="fr-FR"/>
        </w:rPr>
        <w:t>Internet de la base de données de l</w:t>
      </w:r>
      <w:r>
        <w:rPr>
          <w:lang w:val="fr-FR"/>
        </w:rPr>
        <w:t>’</w:t>
      </w:r>
      <w:r w:rsidRPr="00A1206C">
        <w:rPr>
          <w:lang w:val="fr-FR"/>
        </w:rPr>
        <w:t>UPOV sur les variétés végétales et à se doter d</w:t>
      </w:r>
      <w:r>
        <w:rPr>
          <w:lang w:val="fr-FR"/>
        </w:rPr>
        <w:t>’</w:t>
      </w:r>
      <w:r w:rsidRPr="00A1206C">
        <w:rPr>
          <w:lang w:val="fr-FR"/>
        </w:rPr>
        <w:t>un moyen de créer des versions sur CD</w:t>
      </w:r>
      <w:r>
        <w:rPr>
          <w:lang w:val="fr-FR"/>
        </w:rPr>
        <w:t>-</w:t>
      </w:r>
      <w:r w:rsidRPr="00A1206C">
        <w:rPr>
          <w:lang w:val="fr-FR"/>
        </w:rPr>
        <w:t>ROM de cette base de données, et fournira l</w:t>
      </w:r>
      <w:r>
        <w:rPr>
          <w:lang w:val="fr-FR"/>
        </w:rPr>
        <w:t>’</w:t>
      </w:r>
      <w:r w:rsidRPr="00A1206C">
        <w:rPr>
          <w:lang w:val="fr-FR"/>
        </w:rPr>
        <w:t>appui technique nécessaire en ce qui concerne l</w:t>
      </w:r>
      <w:r>
        <w:rPr>
          <w:lang w:val="fr-FR"/>
        </w:rPr>
        <w:t>’</w:t>
      </w:r>
      <w:r w:rsidRPr="00A1206C">
        <w:rPr>
          <w:lang w:val="fr-FR"/>
        </w:rPr>
        <w:t>élaboration d</w:t>
      </w:r>
      <w:r>
        <w:rPr>
          <w:lang w:val="fr-FR"/>
        </w:rPr>
        <w:t>’</w:t>
      </w:r>
      <w:r w:rsidRPr="00A1206C">
        <w:rPr>
          <w:lang w:val="fr-FR"/>
        </w:rPr>
        <w:t>une interface de recherche commune (voir les paragraphes</w:t>
      </w:r>
      <w:r>
        <w:rPr>
          <w:lang w:val="fr-FR"/>
        </w:rPr>
        <w:t> </w:t>
      </w:r>
      <w:r w:rsidRPr="00A1206C">
        <w:rPr>
          <w:lang w:val="fr-FR"/>
        </w:rPr>
        <w:t>18 à 21 du document</w:t>
      </w:r>
      <w:r>
        <w:rPr>
          <w:lang w:val="fr-FR"/>
        </w:rPr>
        <w:t> </w:t>
      </w:r>
      <w:r w:rsidRPr="00A1206C">
        <w:rPr>
          <w:lang w:val="fr-FR"/>
        </w:rPr>
        <w:t>CAJ/57/6 et les paragraphes</w:t>
      </w:r>
      <w:r>
        <w:rPr>
          <w:lang w:val="fr-FR"/>
        </w:rPr>
        <w:t> </w:t>
      </w:r>
      <w:r w:rsidRPr="00A1206C">
        <w:rPr>
          <w:lang w:val="fr-FR"/>
        </w:rPr>
        <w:t>27 à 30 du document</w:t>
      </w:r>
      <w:r>
        <w:rPr>
          <w:lang w:val="fr-FR"/>
        </w:rPr>
        <w:t> TC</w:t>
      </w:r>
      <w:r w:rsidRPr="00A1206C">
        <w:rPr>
          <w:lang w:val="fr-FR"/>
        </w:rPr>
        <w:t>/44/6).</w:t>
      </w:r>
    </w:p>
    <w:p w14:paraId="4E17296E" w14:textId="1EC0AAC1" w:rsidR="00635794" w:rsidRPr="00A1206C" w:rsidRDefault="00635794" w:rsidP="00583333">
      <w:pPr>
        <w:pStyle w:val="FootnoteText"/>
        <w:rPr>
          <w:lang w:val="fr-FR"/>
        </w:rPr>
      </w:pPr>
      <w:r>
        <w:rPr>
          <w:lang w:val="fr-FR"/>
        </w:rPr>
        <w:t>“b)</w:t>
      </w:r>
      <w:r>
        <w:rPr>
          <w:lang w:val="fr-FR"/>
        </w:rPr>
        <w:tab/>
      </w:r>
      <w:r w:rsidRPr="00A1206C">
        <w:rPr>
          <w:lang w:val="fr-FR"/>
        </w:rPr>
        <w:t>L</w:t>
      </w:r>
      <w:r>
        <w:rPr>
          <w:lang w:val="fr-FR"/>
        </w:rPr>
        <w:t>’</w:t>
      </w:r>
      <w:r w:rsidRPr="00A1206C">
        <w:rPr>
          <w:lang w:val="fr-FR"/>
        </w:rPr>
        <w:t>UPOV accepte que les données figurant dans la base de données UPOV</w:t>
      </w:r>
      <w:r>
        <w:rPr>
          <w:lang w:val="fr-FR"/>
        </w:rPr>
        <w:t>-</w:t>
      </w:r>
      <w:r w:rsidRPr="00A1206C">
        <w:rPr>
          <w:lang w:val="fr-FR"/>
        </w:rPr>
        <w:t>ROM sur les variétés végétales puissent être intégrées au service de recherche Patentscope® de l</w:t>
      </w:r>
      <w:r>
        <w:rPr>
          <w:lang w:val="fr-FR"/>
        </w:rPr>
        <w:t>’</w:t>
      </w:r>
      <w:r w:rsidRPr="00A1206C">
        <w:rPr>
          <w:lang w:val="fr-FR"/>
        </w:rPr>
        <w:t>OMPI.  En ce qui concerne les données communiquées par des parties autres que les membres de l</w:t>
      </w:r>
      <w:r>
        <w:rPr>
          <w:lang w:val="fr-FR"/>
        </w:rPr>
        <w:t>’</w:t>
      </w:r>
      <w:r w:rsidRPr="00A1206C">
        <w:rPr>
          <w:lang w:val="fr-FR"/>
        </w:rPr>
        <w:t>Union (par exemple, l</w:t>
      </w:r>
      <w:r>
        <w:rPr>
          <w:lang w:val="fr-FR"/>
        </w:rPr>
        <w:t>’</w:t>
      </w:r>
      <w:r w:rsidRPr="00A1206C">
        <w:rPr>
          <w:lang w:val="fr-FR"/>
        </w:rPr>
        <w:t>Organisation de coopération et de développement économiques (OCDE)), l</w:t>
      </w:r>
      <w:r>
        <w:rPr>
          <w:lang w:val="fr-FR"/>
        </w:rPr>
        <w:t>’</w:t>
      </w:r>
      <w:r w:rsidRPr="00A1206C">
        <w:rPr>
          <w:lang w:val="fr-FR"/>
        </w:rPr>
        <w:t>autorisation d</w:t>
      </w:r>
      <w:r>
        <w:rPr>
          <w:lang w:val="fr-FR"/>
        </w:rPr>
        <w:t>’</w:t>
      </w:r>
      <w:r w:rsidRPr="00A1206C">
        <w:rPr>
          <w:lang w:val="fr-FR"/>
        </w:rPr>
        <w:t>utiliser les données dans le service de recherche Patentscope® de l</w:t>
      </w:r>
      <w:r>
        <w:rPr>
          <w:lang w:val="fr-FR"/>
        </w:rPr>
        <w:t>’</w:t>
      </w:r>
      <w:r w:rsidRPr="00A1206C">
        <w:rPr>
          <w:lang w:val="fr-FR"/>
        </w:rPr>
        <w:t>OMPI relèvera des parties concernées”.</w:t>
      </w:r>
    </w:p>
  </w:footnote>
  <w:footnote w:id="4">
    <w:p w14:paraId="48FFDD1F" w14:textId="2BA4828E" w:rsidR="00635794" w:rsidRPr="00A1206C" w:rsidRDefault="00635794" w:rsidP="006913AE">
      <w:pPr>
        <w:pStyle w:val="FootnoteText"/>
        <w:rPr>
          <w:lang w:val="fr-FR"/>
        </w:rPr>
      </w:pPr>
      <w:r w:rsidRPr="00A1206C">
        <w:rPr>
          <w:rStyle w:val="FootnoteReference"/>
          <w:lang w:val="fr-FR"/>
        </w:rPr>
        <w:footnoteRef/>
      </w:r>
      <w:r w:rsidRPr="00A1206C">
        <w:rPr>
          <w:lang w:val="fr-FR"/>
        </w:rPr>
        <w:t xml:space="preserve"> </w:t>
      </w:r>
      <w:r w:rsidRPr="00A1206C">
        <w:rPr>
          <w:lang w:val="fr-FR"/>
        </w:rPr>
        <w:tab/>
        <w:t>Voir le document</w:t>
      </w:r>
      <w:r>
        <w:rPr>
          <w:lang w:val="fr-FR"/>
        </w:rPr>
        <w:t> </w:t>
      </w:r>
      <w:r w:rsidRPr="00A1206C">
        <w:rPr>
          <w:lang w:val="fr-FR"/>
        </w:rPr>
        <w:t>C/53/INF/7.</w:t>
      </w:r>
    </w:p>
    <w:p w14:paraId="784F858F" w14:textId="62752F11" w:rsidR="00635794" w:rsidRPr="00A1206C" w:rsidRDefault="00635794" w:rsidP="00543E11">
      <w:pPr>
        <w:pStyle w:val="FootnoteText"/>
        <w:rPr>
          <w:lang w:val="fr-FR"/>
        </w:rPr>
      </w:pPr>
      <w:r w:rsidRPr="00A1206C">
        <w:rPr>
          <w:rStyle w:val="FootnoteReference"/>
          <w:highlight w:val="lightGray"/>
          <w:lang w:val="fr-FR"/>
        </w:rPr>
        <w:sym w:font="Symbol" w:char="F02A"/>
      </w:r>
      <w:r w:rsidRPr="00A1206C">
        <w:rPr>
          <w:highlight w:val="lightGray"/>
          <w:lang w:val="fr-FR"/>
        </w:rPr>
        <w:tab/>
        <w:t>Données fournies par l</w:t>
      </w:r>
      <w:r>
        <w:rPr>
          <w:highlight w:val="lightGray"/>
          <w:lang w:val="fr-FR"/>
        </w:rPr>
        <w:t>’</w:t>
      </w:r>
      <w:r w:rsidRPr="00A1206C">
        <w:rPr>
          <w:highlight w:val="lightGray"/>
          <w:lang w:val="fr-FR"/>
        </w:rPr>
        <w:t>OCVV.</w:t>
      </w:r>
    </w:p>
    <w:p w14:paraId="145FF386" w14:textId="77777777" w:rsidR="00635794" w:rsidRPr="00A1206C" w:rsidRDefault="00635794" w:rsidP="006913AE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49426" w14:textId="77777777" w:rsidR="00635794" w:rsidRPr="00C5280D" w:rsidRDefault="00635794" w:rsidP="004C62D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646D42DB" wp14:editId="4EAAAD5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45AD1" w14:textId="77777777" w:rsidR="00635794" w:rsidRDefault="00635794" w:rsidP="0035233C">
                          <w:pPr>
                            <w:jc w:val="center"/>
                          </w:pPr>
                          <w:r w:rsidRPr="0035233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42DB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8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20745AD1" w14:textId="77777777" w:rsidR="00635794" w:rsidRDefault="00635794" w:rsidP="0035233C">
                    <w:pPr>
                      <w:jc w:val="center"/>
                    </w:pPr>
                    <w:r w:rsidRPr="0035233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CAJ/77/8</w:t>
    </w:r>
  </w:p>
  <w:p w14:paraId="4DF45F27" w14:textId="049EA199" w:rsidR="00635794" w:rsidRPr="00C5280D" w:rsidRDefault="00635794" w:rsidP="004C62D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2F343D8" w14:textId="77777777" w:rsidR="00635794" w:rsidRPr="00C5280D" w:rsidRDefault="00635794" w:rsidP="004C62DB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8D367" w14:textId="545E051D" w:rsidR="00635794" w:rsidRPr="00455A1B" w:rsidRDefault="00635794" w:rsidP="007F461B">
    <w:pPr>
      <w:jc w:val="center"/>
      <w:rPr>
        <w:lang w:val="fr-FR"/>
      </w:rPr>
    </w:pPr>
    <w:r>
      <w:rPr>
        <w:lang w:val="fr-FR"/>
      </w:rPr>
      <w:t>CAJ/77/8</w:t>
    </w:r>
  </w:p>
  <w:p w14:paraId="7AB2FB91" w14:textId="77777777" w:rsidR="00635794" w:rsidRPr="00455A1B" w:rsidRDefault="00635794" w:rsidP="007F461B">
    <w:pPr>
      <w:jc w:val="center"/>
      <w:rPr>
        <w:lang w:val="fr-FR"/>
      </w:rPr>
    </w:pPr>
  </w:p>
  <w:p w14:paraId="3F69F21F" w14:textId="7DB0C3FC" w:rsidR="00635794" w:rsidRPr="00455A1B" w:rsidRDefault="00635794" w:rsidP="007F461B">
    <w:pPr>
      <w:jc w:val="center"/>
      <w:rPr>
        <w:lang w:val="fr-FR"/>
      </w:rPr>
    </w:pPr>
    <w:r w:rsidRPr="00455A1B">
      <w:rPr>
        <w:lang w:val="fr-FR"/>
      </w:rPr>
      <w:t>ANNEX</w:t>
    </w:r>
    <w:r>
      <w:rPr>
        <w:lang w:val="fr-FR"/>
      </w:rPr>
      <w:t>E II</w:t>
    </w:r>
  </w:p>
  <w:p w14:paraId="5E7A6042" w14:textId="77777777" w:rsidR="00635794" w:rsidRDefault="00635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8BCC" w14:textId="77777777" w:rsidR="00635794" w:rsidRPr="00C5280D" w:rsidRDefault="006357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CAJ/77/8</w:t>
    </w:r>
  </w:p>
  <w:p w14:paraId="2C02DCCA" w14:textId="17B350B7" w:rsidR="00635794" w:rsidRPr="00C5280D" w:rsidRDefault="00635794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E2D04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04DCF665" w14:textId="77777777" w:rsidR="00635794" w:rsidRPr="00C5280D" w:rsidRDefault="00635794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52422" w14:textId="2D47D784" w:rsidR="00635794" w:rsidRPr="00455A1B" w:rsidRDefault="00635794" w:rsidP="004C62DB">
    <w:pPr>
      <w:jc w:val="center"/>
      <w:rPr>
        <w:lang w:val="fr-FR"/>
      </w:rPr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76BF18B8" wp14:editId="1C2451A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8E9A97" w14:textId="77777777" w:rsidR="00635794" w:rsidRDefault="00635794" w:rsidP="0035233C">
                          <w:pPr>
                            <w:jc w:val="center"/>
                          </w:pPr>
                          <w:r w:rsidRPr="0035233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F18B8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9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rkqQ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Vr5e6E3ULyizgaQZlTEar6o8O4ls+6eGRwO3MSBd3f4KSUgt9BZlGzBfP/TvscjJeil&#10;ZI/DllP7bceMoETeKOzmaZKmGNaFRTqaDHFhjj2bY4/a1VeALCQhu2B6vJO9WRqoH/FdmPtb0cUU&#10;x7tz6nrzyrVPAL4rXMznAYTzqJlbqpXmfXt7ztfNIzO6azuHbN5CP5Ys+9B9LdarpWC+c1BWoTU9&#10;zy2r3ZzgLAdNunfHPxbH64B6ex1nv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ODOquSpAgAAZQ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1C8E9A97" w14:textId="77777777" w:rsidR="00635794" w:rsidRDefault="00635794" w:rsidP="0035233C">
                    <w:pPr>
                      <w:jc w:val="center"/>
                    </w:pPr>
                    <w:r w:rsidRPr="0035233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fr-FR"/>
      </w:rPr>
      <w:t>CAJ/77/8</w:t>
    </w:r>
  </w:p>
  <w:p w14:paraId="04D80260" w14:textId="55A1089C" w:rsidR="00635794" w:rsidRPr="00455A1B" w:rsidRDefault="00635794" w:rsidP="004C62DB">
    <w:pPr>
      <w:jc w:val="center"/>
      <w:rPr>
        <w:rFonts w:eastAsiaTheme="minorEastAsia"/>
      </w:rPr>
    </w:pPr>
    <w:r w:rsidRPr="00455A1B">
      <w:rPr>
        <w:rFonts w:eastAsiaTheme="minorEastAsia"/>
      </w:rPr>
      <w:t>Annex</w:t>
    </w:r>
    <w:r>
      <w:rPr>
        <w:rFonts w:eastAsiaTheme="minorEastAsia"/>
      </w:rPr>
      <w:t xml:space="preserve"> II</w:t>
    </w:r>
    <w:r w:rsidRPr="00455A1B">
      <w:rPr>
        <w:rFonts w:eastAsiaTheme="minorEastAsia"/>
      </w:rPr>
      <w:t xml:space="preserve">, page </w:t>
    </w:r>
    <w:r w:rsidRPr="00455A1B">
      <w:rPr>
        <w:rFonts w:eastAsiaTheme="minorEastAsia"/>
      </w:rPr>
      <w:fldChar w:fldCharType="begin"/>
    </w:r>
    <w:r w:rsidRPr="00455A1B">
      <w:rPr>
        <w:rFonts w:eastAsiaTheme="minorEastAsia"/>
      </w:rPr>
      <w:instrText xml:space="preserve"> PAGE </w:instrText>
    </w:r>
    <w:r w:rsidRPr="00455A1B">
      <w:rPr>
        <w:rFonts w:eastAsiaTheme="minorEastAsia"/>
      </w:rPr>
      <w:fldChar w:fldCharType="separate"/>
    </w:r>
    <w:r>
      <w:rPr>
        <w:rFonts w:eastAsiaTheme="minorEastAsia"/>
        <w:noProof/>
      </w:rPr>
      <w:t>2</w:t>
    </w:r>
    <w:r w:rsidRPr="00455A1B">
      <w:rPr>
        <w:rFonts w:eastAsiaTheme="minorEastAsia"/>
      </w:rPr>
      <w:fldChar w:fldCharType="end"/>
    </w:r>
  </w:p>
  <w:p w14:paraId="6DDFBE11" w14:textId="77777777" w:rsidR="00635794" w:rsidRPr="00596722" w:rsidRDefault="00635794" w:rsidP="004C62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A85D" w14:textId="4E92C378" w:rsidR="00635794" w:rsidRPr="00455A1B" w:rsidRDefault="00635794" w:rsidP="007F461B">
    <w:pPr>
      <w:jc w:val="center"/>
      <w:rPr>
        <w:lang w:val="fr-FR"/>
      </w:rPr>
    </w:pPr>
    <w:r>
      <w:rPr>
        <w:lang w:val="fr-FR"/>
      </w:rPr>
      <w:t>CAJ/77/8</w:t>
    </w:r>
  </w:p>
  <w:p w14:paraId="23C9EBA0" w14:textId="44E36E30" w:rsidR="00635794" w:rsidRPr="00455A1B" w:rsidRDefault="00635794" w:rsidP="007F461B">
    <w:pPr>
      <w:jc w:val="center"/>
      <w:rPr>
        <w:rFonts w:eastAsiaTheme="minorEastAsia"/>
      </w:rPr>
    </w:pPr>
    <w:r w:rsidRPr="00455A1B">
      <w:rPr>
        <w:rFonts w:eastAsiaTheme="minorEastAsia"/>
      </w:rPr>
      <w:t>Annex</w:t>
    </w:r>
    <w:r>
      <w:rPr>
        <w:rFonts w:eastAsiaTheme="minorEastAsia"/>
      </w:rPr>
      <w:t>e I</w:t>
    </w:r>
    <w:r w:rsidRPr="00455A1B">
      <w:rPr>
        <w:rFonts w:eastAsiaTheme="minorEastAsia"/>
      </w:rPr>
      <w:t xml:space="preserve">, page </w:t>
    </w:r>
    <w:r w:rsidRPr="00455A1B">
      <w:rPr>
        <w:rFonts w:eastAsiaTheme="minorEastAsia"/>
      </w:rPr>
      <w:fldChar w:fldCharType="begin"/>
    </w:r>
    <w:r w:rsidRPr="00455A1B">
      <w:rPr>
        <w:rFonts w:eastAsiaTheme="minorEastAsia"/>
      </w:rPr>
      <w:instrText xml:space="preserve"> PAGE </w:instrText>
    </w:r>
    <w:r w:rsidRPr="00455A1B">
      <w:rPr>
        <w:rFonts w:eastAsiaTheme="minorEastAsia"/>
      </w:rPr>
      <w:fldChar w:fldCharType="separate"/>
    </w:r>
    <w:r w:rsidR="003E2D04">
      <w:rPr>
        <w:rFonts w:eastAsiaTheme="minorEastAsia"/>
        <w:noProof/>
      </w:rPr>
      <w:t>2</w:t>
    </w:r>
    <w:r w:rsidRPr="00455A1B">
      <w:rPr>
        <w:rFonts w:eastAsiaTheme="minorEastAsia"/>
      </w:rPr>
      <w:fldChar w:fldCharType="end"/>
    </w:r>
  </w:p>
  <w:p w14:paraId="14612C13" w14:textId="77777777" w:rsidR="00635794" w:rsidRPr="00596722" w:rsidRDefault="00635794" w:rsidP="007F46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F46F" w14:textId="1165ECE5" w:rsidR="00635794" w:rsidRPr="00455A1B" w:rsidRDefault="00635794" w:rsidP="007F461B">
    <w:pPr>
      <w:jc w:val="center"/>
      <w:rPr>
        <w:lang w:val="fr-FR"/>
      </w:rPr>
    </w:pPr>
    <w:r>
      <w:rPr>
        <w:lang w:val="fr-FR"/>
      </w:rPr>
      <w:t>CAJ/77/8</w:t>
    </w:r>
  </w:p>
  <w:p w14:paraId="1C2526FC" w14:textId="77777777" w:rsidR="00635794" w:rsidRPr="00455A1B" w:rsidRDefault="00635794" w:rsidP="007F461B">
    <w:pPr>
      <w:jc w:val="center"/>
      <w:rPr>
        <w:lang w:val="fr-FR"/>
      </w:rPr>
    </w:pPr>
  </w:p>
  <w:p w14:paraId="58555129" w14:textId="28E2A2A9" w:rsidR="00635794" w:rsidRPr="00455A1B" w:rsidRDefault="00635794" w:rsidP="007F461B">
    <w:pPr>
      <w:jc w:val="center"/>
      <w:rPr>
        <w:lang w:val="fr-FR"/>
      </w:rPr>
    </w:pPr>
    <w:r w:rsidRPr="00455A1B">
      <w:rPr>
        <w:lang w:val="fr-FR"/>
      </w:rPr>
      <w:t>ANNEX</w:t>
    </w:r>
    <w:r>
      <w:rPr>
        <w:lang w:val="fr-FR"/>
      </w:rPr>
      <w:t>E I</w:t>
    </w:r>
  </w:p>
  <w:p w14:paraId="5C1773E6" w14:textId="3FD893BA" w:rsidR="00635794" w:rsidRDefault="00635794">
    <w:pPr>
      <w:pStyle w:val="Header"/>
    </w:pPr>
  </w:p>
  <w:p w14:paraId="56E6447D" w14:textId="51994F12" w:rsidR="00635794" w:rsidRDefault="006357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1972" w14:textId="7476965F" w:rsidR="00635794" w:rsidRDefault="00635794" w:rsidP="007F461B">
    <w:pPr>
      <w:jc w:val="center"/>
      <w:rPr>
        <w:lang w:val="fr-FR"/>
      </w:rPr>
    </w:pPr>
    <w:r>
      <w:rPr>
        <w:lang w:val="fr-FR"/>
      </w:rPr>
      <w:t>CAJ/77/8</w:t>
    </w:r>
  </w:p>
  <w:p w14:paraId="754AAB49" w14:textId="44D449DA" w:rsidR="00635794" w:rsidRDefault="00635794" w:rsidP="007F461B">
    <w:pPr>
      <w:pStyle w:val="Header"/>
    </w:pPr>
    <w:r>
      <w:t xml:space="preserve">Annexe II, page </w:t>
    </w:r>
    <w:r>
      <w:fldChar w:fldCharType="begin"/>
    </w:r>
    <w:r>
      <w:instrText xml:space="preserve"> PAGE   \* MERGEFORMAT </w:instrText>
    </w:r>
    <w:r>
      <w:fldChar w:fldCharType="separate"/>
    </w:r>
    <w:r w:rsidR="00F06B86">
      <w:rPr>
        <w:noProof/>
      </w:rPr>
      <w:t>2</w:t>
    </w:r>
    <w:r>
      <w:rPr>
        <w:noProof/>
      </w:rPr>
      <w:fldChar w:fldCharType="end"/>
    </w:r>
  </w:p>
  <w:p w14:paraId="711E7F9A" w14:textId="77777777" w:rsidR="00635794" w:rsidRPr="00596722" w:rsidRDefault="00635794" w:rsidP="007F461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E618" w14:textId="680B0200" w:rsidR="00635794" w:rsidRPr="00455A1B" w:rsidRDefault="00635794" w:rsidP="007F461B">
    <w:pPr>
      <w:jc w:val="center"/>
      <w:rPr>
        <w:lang w:val="fr-FR"/>
      </w:rPr>
    </w:pPr>
    <w:r>
      <w:rPr>
        <w:lang w:val="fr-FR"/>
      </w:rPr>
      <w:t>CAJ/77/8</w:t>
    </w:r>
  </w:p>
  <w:p w14:paraId="50DEEA14" w14:textId="77777777" w:rsidR="00635794" w:rsidRPr="00455A1B" w:rsidRDefault="00635794" w:rsidP="007F461B">
    <w:pPr>
      <w:jc w:val="center"/>
      <w:rPr>
        <w:lang w:val="fr-FR"/>
      </w:rPr>
    </w:pPr>
  </w:p>
  <w:p w14:paraId="12C6E66C" w14:textId="40374CE4" w:rsidR="00635794" w:rsidRPr="00455A1B" w:rsidRDefault="00635794" w:rsidP="007F461B">
    <w:pPr>
      <w:jc w:val="center"/>
      <w:rPr>
        <w:lang w:val="fr-FR"/>
      </w:rPr>
    </w:pPr>
    <w:r w:rsidRPr="00455A1B">
      <w:rPr>
        <w:lang w:val="fr-FR"/>
      </w:rPr>
      <w:t>ANNEX</w:t>
    </w:r>
    <w:r>
      <w:rPr>
        <w:lang w:val="fr-FR"/>
      </w:rPr>
      <w:t>E II</w:t>
    </w:r>
  </w:p>
  <w:p w14:paraId="738278F3" w14:textId="77777777" w:rsidR="00635794" w:rsidRDefault="0063579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9A7B" w14:textId="2834B95F" w:rsidR="00635794" w:rsidRPr="00455A1B" w:rsidRDefault="00635794" w:rsidP="004C62DB">
    <w:pPr>
      <w:jc w:val="center"/>
      <w:rPr>
        <w:lang w:val="fr-FR"/>
      </w:rPr>
    </w:pPr>
    <w:r>
      <w:rPr>
        <w:lang w:val="fr-FR"/>
      </w:rPr>
      <w:t>CAJ/77/8</w:t>
    </w:r>
  </w:p>
  <w:p w14:paraId="1B7E1ECD" w14:textId="77777777" w:rsidR="00635794" w:rsidRPr="00455A1B" w:rsidRDefault="00635794" w:rsidP="004C62DB">
    <w:pPr>
      <w:jc w:val="center"/>
      <w:rPr>
        <w:rFonts w:eastAsiaTheme="minorEastAsia"/>
      </w:rPr>
    </w:pPr>
    <w:r w:rsidRPr="00455A1B">
      <w:rPr>
        <w:rFonts w:eastAsiaTheme="minorEastAsia"/>
      </w:rPr>
      <w:t>Annex</w:t>
    </w:r>
    <w:r>
      <w:rPr>
        <w:rFonts w:eastAsiaTheme="minorEastAsia"/>
      </w:rPr>
      <w:t xml:space="preserve"> II</w:t>
    </w:r>
    <w:r w:rsidRPr="00455A1B">
      <w:rPr>
        <w:rFonts w:eastAsiaTheme="minorEastAsia"/>
      </w:rPr>
      <w:t xml:space="preserve">, page </w:t>
    </w:r>
    <w:r w:rsidRPr="00455A1B">
      <w:rPr>
        <w:rFonts w:eastAsiaTheme="minorEastAsia"/>
      </w:rPr>
      <w:fldChar w:fldCharType="begin"/>
    </w:r>
    <w:r w:rsidRPr="00455A1B">
      <w:rPr>
        <w:rFonts w:eastAsiaTheme="minorEastAsia"/>
      </w:rPr>
      <w:instrText xml:space="preserve"> PAGE </w:instrText>
    </w:r>
    <w:r w:rsidRPr="00455A1B">
      <w:rPr>
        <w:rFonts w:eastAsiaTheme="minorEastAsia"/>
      </w:rPr>
      <w:fldChar w:fldCharType="separate"/>
    </w:r>
    <w:r>
      <w:rPr>
        <w:rFonts w:eastAsiaTheme="minorEastAsia"/>
        <w:noProof/>
      </w:rPr>
      <w:t>4</w:t>
    </w:r>
    <w:r w:rsidRPr="00455A1B">
      <w:rPr>
        <w:rFonts w:eastAsiaTheme="minorEastAsia"/>
      </w:rPr>
      <w:fldChar w:fldCharType="end"/>
    </w:r>
  </w:p>
  <w:p w14:paraId="50706834" w14:textId="77777777" w:rsidR="00635794" w:rsidRPr="00596722" w:rsidRDefault="00635794" w:rsidP="004C62D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2532" w14:textId="7B91CB7F" w:rsidR="00635794" w:rsidRPr="00455A1B" w:rsidRDefault="00635794" w:rsidP="007F461B">
    <w:pPr>
      <w:jc w:val="center"/>
      <w:rPr>
        <w:lang w:val="fr-FR"/>
      </w:rPr>
    </w:pPr>
    <w:r>
      <w:rPr>
        <w:lang w:val="fr-FR"/>
      </w:rPr>
      <w:t>CAJ/77/8</w:t>
    </w:r>
  </w:p>
  <w:p w14:paraId="6B36B991" w14:textId="5CCE1BEC" w:rsidR="00635794" w:rsidRPr="00455A1B" w:rsidRDefault="00635794" w:rsidP="007F461B">
    <w:pPr>
      <w:jc w:val="center"/>
      <w:rPr>
        <w:rFonts w:eastAsiaTheme="minorEastAsia"/>
      </w:rPr>
    </w:pPr>
    <w:r w:rsidRPr="00455A1B">
      <w:rPr>
        <w:rFonts w:eastAsiaTheme="minorEastAsia"/>
      </w:rPr>
      <w:t>Annex</w:t>
    </w:r>
    <w:r>
      <w:rPr>
        <w:rFonts w:eastAsiaTheme="minorEastAsia"/>
      </w:rPr>
      <w:t>e II</w:t>
    </w:r>
    <w:r w:rsidRPr="00455A1B">
      <w:rPr>
        <w:rFonts w:eastAsiaTheme="minorEastAsia"/>
      </w:rPr>
      <w:t xml:space="preserve">, page </w:t>
    </w:r>
    <w:r w:rsidRPr="00455A1B">
      <w:rPr>
        <w:rFonts w:eastAsiaTheme="minorEastAsia"/>
      </w:rPr>
      <w:fldChar w:fldCharType="begin"/>
    </w:r>
    <w:r w:rsidRPr="00455A1B">
      <w:rPr>
        <w:rFonts w:eastAsiaTheme="minorEastAsia"/>
      </w:rPr>
      <w:instrText xml:space="preserve"> PAGE </w:instrText>
    </w:r>
    <w:r w:rsidRPr="00455A1B">
      <w:rPr>
        <w:rFonts w:eastAsiaTheme="minorEastAsia"/>
      </w:rPr>
      <w:fldChar w:fldCharType="separate"/>
    </w:r>
    <w:r>
      <w:rPr>
        <w:rFonts w:eastAsiaTheme="minorEastAsia"/>
        <w:noProof/>
      </w:rPr>
      <w:t>4</w:t>
    </w:r>
    <w:r w:rsidRPr="00455A1B">
      <w:rPr>
        <w:rFonts w:eastAsiaTheme="minorEastAsia"/>
      </w:rPr>
      <w:fldChar w:fldCharType="end"/>
    </w:r>
  </w:p>
  <w:p w14:paraId="2D79D7AD" w14:textId="77777777" w:rsidR="00635794" w:rsidRPr="00596722" w:rsidRDefault="00635794" w:rsidP="007F4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4F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C7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4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65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8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0F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6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F4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2"/>
      <w:numFmt w:val="lowerLetter"/>
      <w:lvlText w:val="(%1)"/>
      <w:lvlJc w:val="left"/>
      <w:pPr>
        <w:ind w:left="1173" w:hanging="534"/>
      </w:pPr>
      <w:rPr>
        <w:rFonts w:ascii="Arial" w:hAnsi="Arial" w:cs="Arial"/>
        <w:b w:val="0"/>
        <w:bCs w:val="0"/>
        <w:spacing w:val="-1"/>
        <w:w w:val="99"/>
        <w:sz w:val="19"/>
        <w:szCs w:val="19"/>
      </w:rPr>
    </w:lvl>
    <w:lvl w:ilvl="1">
      <w:start w:val="1"/>
      <w:numFmt w:val="lowerRoman"/>
      <w:lvlText w:val="(%2)"/>
      <w:lvlJc w:val="left"/>
      <w:pPr>
        <w:ind w:left="640" w:hanging="534"/>
      </w:pPr>
      <w:rPr>
        <w:rFonts w:ascii="Arial" w:hAnsi="Arial" w:cs="Arial"/>
        <w:b w:val="0"/>
        <w:bCs w:val="0"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2080" w:hanging="534"/>
      </w:pPr>
    </w:lvl>
    <w:lvl w:ilvl="3">
      <w:numFmt w:val="bullet"/>
      <w:lvlText w:val="•"/>
      <w:lvlJc w:val="left"/>
      <w:pPr>
        <w:ind w:left="2980" w:hanging="534"/>
      </w:pPr>
    </w:lvl>
    <w:lvl w:ilvl="4">
      <w:numFmt w:val="bullet"/>
      <w:lvlText w:val="•"/>
      <w:lvlJc w:val="left"/>
      <w:pPr>
        <w:ind w:left="3880" w:hanging="534"/>
      </w:pPr>
    </w:lvl>
    <w:lvl w:ilvl="5">
      <w:numFmt w:val="bullet"/>
      <w:lvlText w:val="•"/>
      <w:lvlJc w:val="left"/>
      <w:pPr>
        <w:ind w:left="4780" w:hanging="534"/>
      </w:pPr>
    </w:lvl>
    <w:lvl w:ilvl="6">
      <w:numFmt w:val="bullet"/>
      <w:lvlText w:val="•"/>
      <w:lvlJc w:val="left"/>
      <w:pPr>
        <w:ind w:left="5680" w:hanging="534"/>
      </w:pPr>
    </w:lvl>
    <w:lvl w:ilvl="7">
      <w:numFmt w:val="bullet"/>
      <w:lvlText w:val="•"/>
      <w:lvlJc w:val="left"/>
      <w:pPr>
        <w:ind w:left="6580" w:hanging="534"/>
      </w:pPr>
    </w:lvl>
    <w:lvl w:ilvl="8">
      <w:numFmt w:val="bullet"/>
      <w:lvlText w:val="•"/>
      <w:lvlJc w:val="left"/>
      <w:pPr>
        <w:ind w:left="7480" w:hanging="534"/>
      </w:pPr>
    </w:lvl>
  </w:abstractNum>
  <w:abstractNum w:abstractNumId="11" w15:restartNumberingAfterBreak="0">
    <w:nsid w:val="00A9070A"/>
    <w:multiLevelType w:val="hybridMultilevel"/>
    <w:tmpl w:val="9976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F93D3D"/>
    <w:multiLevelType w:val="multilevel"/>
    <w:tmpl w:val="FDD8E402"/>
    <w:lvl w:ilvl="0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3" w15:restartNumberingAfterBreak="0">
    <w:nsid w:val="075163F8"/>
    <w:multiLevelType w:val="hybridMultilevel"/>
    <w:tmpl w:val="3DD8D15E"/>
    <w:lvl w:ilvl="0" w:tplc="EAB84B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8E27CE5"/>
    <w:multiLevelType w:val="hybridMultilevel"/>
    <w:tmpl w:val="69A2E80C"/>
    <w:lvl w:ilvl="0" w:tplc="FDC4D268">
      <w:start w:val="1"/>
      <w:numFmt w:val="lowerRoman"/>
      <w:lvlText w:val="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0B7776A8"/>
    <w:multiLevelType w:val="hybridMultilevel"/>
    <w:tmpl w:val="BD82BF58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9190603"/>
    <w:multiLevelType w:val="hybridMultilevel"/>
    <w:tmpl w:val="FDD8E402"/>
    <w:lvl w:ilvl="0" w:tplc="A1DABF6A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7" w15:restartNumberingAfterBreak="0">
    <w:nsid w:val="1C3B443B"/>
    <w:multiLevelType w:val="hybridMultilevel"/>
    <w:tmpl w:val="8D80049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1F5665F9"/>
    <w:multiLevelType w:val="hybridMultilevel"/>
    <w:tmpl w:val="D17AF25E"/>
    <w:lvl w:ilvl="0" w:tplc="BBA0815A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9" w15:restartNumberingAfterBreak="0">
    <w:nsid w:val="1F8E42FA"/>
    <w:multiLevelType w:val="hybridMultilevel"/>
    <w:tmpl w:val="8100633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361B26"/>
    <w:multiLevelType w:val="hybridMultilevel"/>
    <w:tmpl w:val="9280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41A44"/>
    <w:multiLevelType w:val="hybridMultilevel"/>
    <w:tmpl w:val="933A97D8"/>
    <w:lvl w:ilvl="0" w:tplc="5C5A7036">
      <w:start w:val="1"/>
      <w:numFmt w:val="bullet"/>
      <w:lvlText w:val="◦"/>
      <w:lvlJc w:val="left"/>
      <w:pPr>
        <w:ind w:left="1713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07FC9"/>
    <w:multiLevelType w:val="hybridMultilevel"/>
    <w:tmpl w:val="5C522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BF6E0C"/>
    <w:multiLevelType w:val="hybridMultilevel"/>
    <w:tmpl w:val="71788E30"/>
    <w:lvl w:ilvl="0" w:tplc="951835C6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4CFB7EA2"/>
    <w:multiLevelType w:val="multilevel"/>
    <w:tmpl w:val="A07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3E40696"/>
    <w:multiLevelType w:val="hybridMultilevel"/>
    <w:tmpl w:val="8CD2E71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C68D8"/>
    <w:multiLevelType w:val="multilevel"/>
    <w:tmpl w:val="8CD2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26F6B"/>
    <w:multiLevelType w:val="hybridMultilevel"/>
    <w:tmpl w:val="647070EC"/>
    <w:lvl w:ilvl="0" w:tplc="5DA4D914">
      <w:start w:val="1"/>
      <w:numFmt w:val="lowerLetter"/>
      <w:lvlText w:val="(%1)"/>
      <w:lvlJc w:val="left"/>
      <w:pPr>
        <w:ind w:left="1137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495F64"/>
    <w:multiLevelType w:val="hybridMultilevel"/>
    <w:tmpl w:val="3B827AA2"/>
    <w:lvl w:ilvl="0" w:tplc="00B2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2" w15:restartNumberingAfterBreak="0">
    <w:nsid w:val="66A33A09"/>
    <w:multiLevelType w:val="hybridMultilevel"/>
    <w:tmpl w:val="4C8C16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765E"/>
    <w:multiLevelType w:val="hybridMultilevel"/>
    <w:tmpl w:val="71CE833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56FD6"/>
    <w:multiLevelType w:val="hybridMultilevel"/>
    <w:tmpl w:val="9A508AF6"/>
    <w:lvl w:ilvl="0" w:tplc="CC6E369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E097F2F"/>
    <w:multiLevelType w:val="hybridMultilevel"/>
    <w:tmpl w:val="C002956A"/>
    <w:lvl w:ilvl="0" w:tplc="53B25BB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34"/>
  </w:num>
  <w:num w:numId="15">
    <w:abstractNumId w:val="33"/>
  </w:num>
  <w:num w:numId="16">
    <w:abstractNumId w:val="19"/>
  </w:num>
  <w:num w:numId="17">
    <w:abstractNumId w:val="36"/>
  </w:num>
  <w:num w:numId="18">
    <w:abstractNumId w:val="28"/>
  </w:num>
  <w:num w:numId="19">
    <w:abstractNumId w:val="17"/>
  </w:num>
  <w:num w:numId="20">
    <w:abstractNumId w:val="30"/>
  </w:num>
  <w:num w:numId="21">
    <w:abstractNumId w:val="13"/>
  </w:num>
  <w:num w:numId="22">
    <w:abstractNumId w:val="15"/>
  </w:num>
  <w:num w:numId="23">
    <w:abstractNumId w:val="25"/>
  </w:num>
  <w:num w:numId="24">
    <w:abstractNumId w:val="18"/>
  </w:num>
  <w:num w:numId="25">
    <w:abstractNumId w:val="26"/>
  </w:num>
  <w:num w:numId="26">
    <w:abstractNumId w:val="23"/>
  </w:num>
  <w:num w:numId="27">
    <w:abstractNumId w:val="27"/>
  </w:num>
  <w:num w:numId="28">
    <w:abstractNumId w:val="11"/>
  </w:num>
  <w:num w:numId="29">
    <w:abstractNumId w:val="20"/>
  </w:num>
  <w:num w:numId="30">
    <w:abstractNumId w:val="16"/>
  </w:num>
  <w:num w:numId="31">
    <w:abstractNumId w:val="12"/>
  </w:num>
  <w:num w:numId="32">
    <w:abstractNumId w:val="22"/>
  </w:num>
  <w:num w:numId="33">
    <w:abstractNumId w:val="29"/>
  </w:num>
  <w:num w:numId="34">
    <w:abstractNumId w:val="24"/>
  </w:num>
  <w:num w:numId="35">
    <w:abstractNumId w:val="21"/>
  </w:num>
  <w:num w:numId="36">
    <w:abstractNumId w:val="1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1C365A"/>
    <w:rsid w:val="000010F4"/>
    <w:rsid w:val="00002D2F"/>
    <w:rsid w:val="00010CF3"/>
    <w:rsid w:val="00011E27"/>
    <w:rsid w:val="00012DAF"/>
    <w:rsid w:val="000132E2"/>
    <w:rsid w:val="0001390F"/>
    <w:rsid w:val="000148BC"/>
    <w:rsid w:val="00024AB8"/>
    <w:rsid w:val="00030854"/>
    <w:rsid w:val="000308E8"/>
    <w:rsid w:val="00036028"/>
    <w:rsid w:val="00041F0D"/>
    <w:rsid w:val="000431B7"/>
    <w:rsid w:val="00044642"/>
    <w:rsid w:val="000446B9"/>
    <w:rsid w:val="0004596A"/>
    <w:rsid w:val="00047E21"/>
    <w:rsid w:val="00050BB5"/>
    <w:rsid w:val="00050E16"/>
    <w:rsid w:val="00053456"/>
    <w:rsid w:val="00063F22"/>
    <w:rsid w:val="000754F4"/>
    <w:rsid w:val="00076E11"/>
    <w:rsid w:val="00082D01"/>
    <w:rsid w:val="00085505"/>
    <w:rsid w:val="0009480B"/>
    <w:rsid w:val="000A283A"/>
    <w:rsid w:val="000C4E25"/>
    <w:rsid w:val="000C7021"/>
    <w:rsid w:val="000D6BBC"/>
    <w:rsid w:val="000D7780"/>
    <w:rsid w:val="000E5D57"/>
    <w:rsid w:val="000E636A"/>
    <w:rsid w:val="000F2F11"/>
    <w:rsid w:val="0010453C"/>
    <w:rsid w:val="00105929"/>
    <w:rsid w:val="00110BED"/>
    <w:rsid w:val="00110C36"/>
    <w:rsid w:val="001131D5"/>
    <w:rsid w:val="00115BCD"/>
    <w:rsid w:val="00133612"/>
    <w:rsid w:val="00141DB8"/>
    <w:rsid w:val="001440E0"/>
    <w:rsid w:val="00157989"/>
    <w:rsid w:val="001631B7"/>
    <w:rsid w:val="00166C4F"/>
    <w:rsid w:val="00167407"/>
    <w:rsid w:val="00172084"/>
    <w:rsid w:val="0017474A"/>
    <w:rsid w:val="001758C6"/>
    <w:rsid w:val="0017763C"/>
    <w:rsid w:val="00182B99"/>
    <w:rsid w:val="001C1525"/>
    <w:rsid w:val="001C365A"/>
    <w:rsid w:val="001D5700"/>
    <w:rsid w:val="001E7688"/>
    <w:rsid w:val="001F7576"/>
    <w:rsid w:val="00204E73"/>
    <w:rsid w:val="0021332C"/>
    <w:rsid w:val="00213982"/>
    <w:rsid w:val="002308DC"/>
    <w:rsid w:val="0024416D"/>
    <w:rsid w:val="00257045"/>
    <w:rsid w:val="00271911"/>
    <w:rsid w:val="00276C7C"/>
    <w:rsid w:val="002800A0"/>
    <w:rsid w:val="002801B3"/>
    <w:rsid w:val="00281060"/>
    <w:rsid w:val="00285DF8"/>
    <w:rsid w:val="002940E8"/>
    <w:rsid w:val="00294751"/>
    <w:rsid w:val="002948EB"/>
    <w:rsid w:val="00297AD6"/>
    <w:rsid w:val="002A06AF"/>
    <w:rsid w:val="002A0D59"/>
    <w:rsid w:val="002A2067"/>
    <w:rsid w:val="002A6E50"/>
    <w:rsid w:val="002B0E4A"/>
    <w:rsid w:val="002B4298"/>
    <w:rsid w:val="002B7A36"/>
    <w:rsid w:val="002C256A"/>
    <w:rsid w:val="002C76E4"/>
    <w:rsid w:val="002D371D"/>
    <w:rsid w:val="002E170F"/>
    <w:rsid w:val="002E3CC6"/>
    <w:rsid w:val="00302E0D"/>
    <w:rsid w:val="00305A7F"/>
    <w:rsid w:val="003152FE"/>
    <w:rsid w:val="00316614"/>
    <w:rsid w:val="003213CB"/>
    <w:rsid w:val="00327436"/>
    <w:rsid w:val="00344BD6"/>
    <w:rsid w:val="0035233C"/>
    <w:rsid w:val="0035528D"/>
    <w:rsid w:val="00361821"/>
    <w:rsid w:val="00361E9E"/>
    <w:rsid w:val="00370075"/>
    <w:rsid w:val="00370A79"/>
    <w:rsid w:val="00376178"/>
    <w:rsid w:val="003820AB"/>
    <w:rsid w:val="003840B1"/>
    <w:rsid w:val="00391B0A"/>
    <w:rsid w:val="003A43EF"/>
    <w:rsid w:val="003B2F09"/>
    <w:rsid w:val="003B3EA9"/>
    <w:rsid w:val="003C7FBE"/>
    <w:rsid w:val="003D227C"/>
    <w:rsid w:val="003D2B4D"/>
    <w:rsid w:val="003D618C"/>
    <w:rsid w:val="003D6F05"/>
    <w:rsid w:val="003E05F7"/>
    <w:rsid w:val="003E2D04"/>
    <w:rsid w:val="003E46F9"/>
    <w:rsid w:val="003E4BBA"/>
    <w:rsid w:val="004073B1"/>
    <w:rsid w:val="00407EAE"/>
    <w:rsid w:val="0041706C"/>
    <w:rsid w:val="00423365"/>
    <w:rsid w:val="00444A88"/>
    <w:rsid w:val="00453E1C"/>
    <w:rsid w:val="00454191"/>
    <w:rsid w:val="004545D5"/>
    <w:rsid w:val="0046444F"/>
    <w:rsid w:val="00474DA4"/>
    <w:rsid w:val="00476B4D"/>
    <w:rsid w:val="004805FA"/>
    <w:rsid w:val="004935D2"/>
    <w:rsid w:val="0049418E"/>
    <w:rsid w:val="004949EF"/>
    <w:rsid w:val="004B1215"/>
    <w:rsid w:val="004C62DB"/>
    <w:rsid w:val="004D047D"/>
    <w:rsid w:val="004D247B"/>
    <w:rsid w:val="004D5DB5"/>
    <w:rsid w:val="004D6B75"/>
    <w:rsid w:val="004E56B7"/>
    <w:rsid w:val="004F1E9E"/>
    <w:rsid w:val="004F305A"/>
    <w:rsid w:val="004F6779"/>
    <w:rsid w:val="00500B4E"/>
    <w:rsid w:val="00512164"/>
    <w:rsid w:val="00520297"/>
    <w:rsid w:val="005338F9"/>
    <w:rsid w:val="0054281C"/>
    <w:rsid w:val="00543E11"/>
    <w:rsid w:val="00544581"/>
    <w:rsid w:val="0055268D"/>
    <w:rsid w:val="0055365F"/>
    <w:rsid w:val="00554DFA"/>
    <w:rsid w:val="00555707"/>
    <w:rsid w:val="00563CE1"/>
    <w:rsid w:val="00564D66"/>
    <w:rsid w:val="00572624"/>
    <w:rsid w:val="00576BE4"/>
    <w:rsid w:val="005779DB"/>
    <w:rsid w:val="00583333"/>
    <w:rsid w:val="00592631"/>
    <w:rsid w:val="005A400A"/>
    <w:rsid w:val="005B0053"/>
    <w:rsid w:val="005B0156"/>
    <w:rsid w:val="005B30B7"/>
    <w:rsid w:val="005E3627"/>
    <w:rsid w:val="005F34E7"/>
    <w:rsid w:val="005F6F82"/>
    <w:rsid w:val="005F7B92"/>
    <w:rsid w:val="00602FDB"/>
    <w:rsid w:val="00611588"/>
    <w:rsid w:val="00612379"/>
    <w:rsid w:val="006153B6"/>
    <w:rsid w:val="0061555F"/>
    <w:rsid w:val="00627C05"/>
    <w:rsid w:val="0063152B"/>
    <w:rsid w:val="00634F16"/>
    <w:rsid w:val="00635794"/>
    <w:rsid w:val="006365B2"/>
    <w:rsid w:val="00636CA6"/>
    <w:rsid w:val="006378A5"/>
    <w:rsid w:val="00641200"/>
    <w:rsid w:val="00641D95"/>
    <w:rsid w:val="00645CA8"/>
    <w:rsid w:val="00652470"/>
    <w:rsid w:val="00652931"/>
    <w:rsid w:val="00657F5B"/>
    <w:rsid w:val="00664C46"/>
    <w:rsid w:val="00665559"/>
    <w:rsid w:val="006655D3"/>
    <w:rsid w:val="00667404"/>
    <w:rsid w:val="00672164"/>
    <w:rsid w:val="00682819"/>
    <w:rsid w:val="00687EB4"/>
    <w:rsid w:val="006913AE"/>
    <w:rsid w:val="00695C56"/>
    <w:rsid w:val="006A5CDE"/>
    <w:rsid w:val="006A644A"/>
    <w:rsid w:val="006B17D2"/>
    <w:rsid w:val="006B1973"/>
    <w:rsid w:val="006B45EB"/>
    <w:rsid w:val="006C224E"/>
    <w:rsid w:val="006D3DEF"/>
    <w:rsid w:val="006D780A"/>
    <w:rsid w:val="00701CAD"/>
    <w:rsid w:val="00705841"/>
    <w:rsid w:val="0071271E"/>
    <w:rsid w:val="00730939"/>
    <w:rsid w:val="00732DEC"/>
    <w:rsid w:val="00735BD5"/>
    <w:rsid w:val="007451EC"/>
    <w:rsid w:val="00751613"/>
    <w:rsid w:val="00753EE9"/>
    <w:rsid w:val="007556F6"/>
    <w:rsid w:val="00757666"/>
    <w:rsid w:val="00760EEF"/>
    <w:rsid w:val="007749A2"/>
    <w:rsid w:val="00777EE5"/>
    <w:rsid w:val="00784836"/>
    <w:rsid w:val="00784FD0"/>
    <w:rsid w:val="0079023E"/>
    <w:rsid w:val="00795644"/>
    <w:rsid w:val="007A2854"/>
    <w:rsid w:val="007A2C55"/>
    <w:rsid w:val="007B2F29"/>
    <w:rsid w:val="007B7639"/>
    <w:rsid w:val="007C1D92"/>
    <w:rsid w:val="007C31E6"/>
    <w:rsid w:val="007C4CB9"/>
    <w:rsid w:val="007D0672"/>
    <w:rsid w:val="007D0B9D"/>
    <w:rsid w:val="007D19B0"/>
    <w:rsid w:val="007D2C45"/>
    <w:rsid w:val="007F0DF7"/>
    <w:rsid w:val="007F461B"/>
    <w:rsid w:val="007F498F"/>
    <w:rsid w:val="0080679D"/>
    <w:rsid w:val="00807427"/>
    <w:rsid w:val="008108B0"/>
    <w:rsid w:val="00811B20"/>
    <w:rsid w:val="008124F3"/>
    <w:rsid w:val="00812609"/>
    <w:rsid w:val="008211B5"/>
    <w:rsid w:val="0082296E"/>
    <w:rsid w:val="00824099"/>
    <w:rsid w:val="00824E10"/>
    <w:rsid w:val="00826A3F"/>
    <w:rsid w:val="00826E28"/>
    <w:rsid w:val="00835891"/>
    <w:rsid w:val="00846D7C"/>
    <w:rsid w:val="00855B69"/>
    <w:rsid w:val="00857490"/>
    <w:rsid w:val="00857EE3"/>
    <w:rsid w:val="00867AC1"/>
    <w:rsid w:val="00870347"/>
    <w:rsid w:val="00874E1D"/>
    <w:rsid w:val="00890B7F"/>
    <w:rsid w:val="00890DF8"/>
    <w:rsid w:val="008915CC"/>
    <w:rsid w:val="00894372"/>
    <w:rsid w:val="008A5334"/>
    <w:rsid w:val="008A743F"/>
    <w:rsid w:val="008C0970"/>
    <w:rsid w:val="008C3447"/>
    <w:rsid w:val="008C6381"/>
    <w:rsid w:val="008D0BC5"/>
    <w:rsid w:val="008D2CF7"/>
    <w:rsid w:val="008E2566"/>
    <w:rsid w:val="008E382E"/>
    <w:rsid w:val="008F7B9A"/>
    <w:rsid w:val="00900C26"/>
    <w:rsid w:val="0090197F"/>
    <w:rsid w:val="00903264"/>
    <w:rsid w:val="00906DDC"/>
    <w:rsid w:val="0091053F"/>
    <w:rsid w:val="00914406"/>
    <w:rsid w:val="0092313F"/>
    <w:rsid w:val="00934E09"/>
    <w:rsid w:val="00936253"/>
    <w:rsid w:val="00940D46"/>
    <w:rsid w:val="00952DD4"/>
    <w:rsid w:val="00965AE7"/>
    <w:rsid w:val="00970FED"/>
    <w:rsid w:val="009916D7"/>
    <w:rsid w:val="00992D82"/>
    <w:rsid w:val="00993823"/>
    <w:rsid w:val="00997029"/>
    <w:rsid w:val="009A6265"/>
    <w:rsid w:val="009A7339"/>
    <w:rsid w:val="009B440E"/>
    <w:rsid w:val="009D06DE"/>
    <w:rsid w:val="009D690D"/>
    <w:rsid w:val="009E65B6"/>
    <w:rsid w:val="009E6F3A"/>
    <w:rsid w:val="009F77CF"/>
    <w:rsid w:val="00A1206C"/>
    <w:rsid w:val="00A17287"/>
    <w:rsid w:val="00A24C10"/>
    <w:rsid w:val="00A31884"/>
    <w:rsid w:val="00A32D2B"/>
    <w:rsid w:val="00A33372"/>
    <w:rsid w:val="00A42AC3"/>
    <w:rsid w:val="00A430CF"/>
    <w:rsid w:val="00A450B5"/>
    <w:rsid w:val="00A54309"/>
    <w:rsid w:val="00A66359"/>
    <w:rsid w:val="00A8026C"/>
    <w:rsid w:val="00A80F2A"/>
    <w:rsid w:val="00A82E54"/>
    <w:rsid w:val="00A839BD"/>
    <w:rsid w:val="00A86C57"/>
    <w:rsid w:val="00A95449"/>
    <w:rsid w:val="00AB2B93"/>
    <w:rsid w:val="00AB4C72"/>
    <w:rsid w:val="00AB530F"/>
    <w:rsid w:val="00AB7E5B"/>
    <w:rsid w:val="00AC2883"/>
    <w:rsid w:val="00AC34E8"/>
    <w:rsid w:val="00AD198A"/>
    <w:rsid w:val="00AE0EF1"/>
    <w:rsid w:val="00AE246C"/>
    <w:rsid w:val="00AE2937"/>
    <w:rsid w:val="00AF09E6"/>
    <w:rsid w:val="00B07301"/>
    <w:rsid w:val="00B11F3E"/>
    <w:rsid w:val="00B224DE"/>
    <w:rsid w:val="00B2591A"/>
    <w:rsid w:val="00B2762B"/>
    <w:rsid w:val="00B324D4"/>
    <w:rsid w:val="00B33ABF"/>
    <w:rsid w:val="00B35A29"/>
    <w:rsid w:val="00B44CE4"/>
    <w:rsid w:val="00B46575"/>
    <w:rsid w:val="00B54F9D"/>
    <w:rsid w:val="00B60ADB"/>
    <w:rsid w:val="00B61777"/>
    <w:rsid w:val="00B622E6"/>
    <w:rsid w:val="00B624F7"/>
    <w:rsid w:val="00B647A1"/>
    <w:rsid w:val="00B66AEF"/>
    <w:rsid w:val="00B84BBD"/>
    <w:rsid w:val="00BA43FB"/>
    <w:rsid w:val="00BA5DB7"/>
    <w:rsid w:val="00BB2F2A"/>
    <w:rsid w:val="00BB4C07"/>
    <w:rsid w:val="00BB770C"/>
    <w:rsid w:val="00BC127D"/>
    <w:rsid w:val="00BC1FE6"/>
    <w:rsid w:val="00BE15A2"/>
    <w:rsid w:val="00BF15D6"/>
    <w:rsid w:val="00BF300E"/>
    <w:rsid w:val="00C061B6"/>
    <w:rsid w:val="00C111E0"/>
    <w:rsid w:val="00C15240"/>
    <w:rsid w:val="00C17F32"/>
    <w:rsid w:val="00C2446C"/>
    <w:rsid w:val="00C36AE5"/>
    <w:rsid w:val="00C41F17"/>
    <w:rsid w:val="00C527FA"/>
    <w:rsid w:val="00C5280D"/>
    <w:rsid w:val="00C53EB3"/>
    <w:rsid w:val="00C5791C"/>
    <w:rsid w:val="00C61672"/>
    <w:rsid w:val="00C66290"/>
    <w:rsid w:val="00C71B86"/>
    <w:rsid w:val="00C72B7A"/>
    <w:rsid w:val="00C80FA1"/>
    <w:rsid w:val="00C938E9"/>
    <w:rsid w:val="00C973F2"/>
    <w:rsid w:val="00CA304C"/>
    <w:rsid w:val="00CA774A"/>
    <w:rsid w:val="00CB3783"/>
    <w:rsid w:val="00CC11B0"/>
    <w:rsid w:val="00CC2841"/>
    <w:rsid w:val="00CC5771"/>
    <w:rsid w:val="00CE5800"/>
    <w:rsid w:val="00CF1330"/>
    <w:rsid w:val="00CF1DEE"/>
    <w:rsid w:val="00CF7E36"/>
    <w:rsid w:val="00D07F6B"/>
    <w:rsid w:val="00D10176"/>
    <w:rsid w:val="00D2076C"/>
    <w:rsid w:val="00D3708D"/>
    <w:rsid w:val="00D40426"/>
    <w:rsid w:val="00D41105"/>
    <w:rsid w:val="00D411F2"/>
    <w:rsid w:val="00D42C99"/>
    <w:rsid w:val="00D54F5B"/>
    <w:rsid w:val="00D5799A"/>
    <w:rsid w:val="00D57C96"/>
    <w:rsid w:val="00D57D18"/>
    <w:rsid w:val="00D71497"/>
    <w:rsid w:val="00D91203"/>
    <w:rsid w:val="00D95174"/>
    <w:rsid w:val="00D963DB"/>
    <w:rsid w:val="00D97433"/>
    <w:rsid w:val="00DA287C"/>
    <w:rsid w:val="00DA4973"/>
    <w:rsid w:val="00DA6F36"/>
    <w:rsid w:val="00DB35C7"/>
    <w:rsid w:val="00DB565B"/>
    <w:rsid w:val="00DB596E"/>
    <w:rsid w:val="00DB7773"/>
    <w:rsid w:val="00DC00EA"/>
    <w:rsid w:val="00DC3802"/>
    <w:rsid w:val="00DD20AA"/>
    <w:rsid w:val="00DD6208"/>
    <w:rsid w:val="00DE0479"/>
    <w:rsid w:val="00E01489"/>
    <w:rsid w:val="00E04FD2"/>
    <w:rsid w:val="00E07D87"/>
    <w:rsid w:val="00E21E4F"/>
    <w:rsid w:val="00E249C8"/>
    <w:rsid w:val="00E276B6"/>
    <w:rsid w:val="00E32F7E"/>
    <w:rsid w:val="00E460D5"/>
    <w:rsid w:val="00E5267B"/>
    <w:rsid w:val="00E55644"/>
    <w:rsid w:val="00E559F0"/>
    <w:rsid w:val="00E63C0E"/>
    <w:rsid w:val="00E65247"/>
    <w:rsid w:val="00E72D49"/>
    <w:rsid w:val="00E7593C"/>
    <w:rsid w:val="00E7678A"/>
    <w:rsid w:val="00E77C40"/>
    <w:rsid w:val="00E933CF"/>
    <w:rsid w:val="00E935F1"/>
    <w:rsid w:val="00E941D4"/>
    <w:rsid w:val="00E94A81"/>
    <w:rsid w:val="00EA1FFB"/>
    <w:rsid w:val="00EB048E"/>
    <w:rsid w:val="00EB4E9C"/>
    <w:rsid w:val="00EB52F6"/>
    <w:rsid w:val="00EB706A"/>
    <w:rsid w:val="00ED0DA6"/>
    <w:rsid w:val="00EE0116"/>
    <w:rsid w:val="00EE34DF"/>
    <w:rsid w:val="00EF2F89"/>
    <w:rsid w:val="00F03E98"/>
    <w:rsid w:val="00F04518"/>
    <w:rsid w:val="00F06B86"/>
    <w:rsid w:val="00F1237A"/>
    <w:rsid w:val="00F15020"/>
    <w:rsid w:val="00F1650C"/>
    <w:rsid w:val="00F22CBD"/>
    <w:rsid w:val="00F272F1"/>
    <w:rsid w:val="00F31412"/>
    <w:rsid w:val="00F40F85"/>
    <w:rsid w:val="00F45372"/>
    <w:rsid w:val="00F55FA1"/>
    <w:rsid w:val="00F560F7"/>
    <w:rsid w:val="00F6334D"/>
    <w:rsid w:val="00F63599"/>
    <w:rsid w:val="00F720F0"/>
    <w:rsid w:val="00F73188"/>
    <w:rsid w:val="00F81778"/>
    <w:rsid w:val="00FA021C"/>
    <w:rsid w:val="00FA33D1"/>
    <w:rsid w:val="00FA49AB"/>
    <w:rsid w:val="00FB0202"/>
    <w:rsid w:val="00FB5D32"/>
    <w:rsid w:val="00FC5696"/>
    <w:rsid w:val="00FD5572"/>
    <w:rsid w:val="00FE39C7"/>
    <w:rsid w:val="00FE4EDD"/>
    <w:rsid w:val="00FF4D07"/>
    <w:rsid w:val="00FF625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CBA5CD"/>
  <w15:docId w15:val="{790593C7-5584-40C2-8C8E-8AB47E6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826E28"/>
    <w:pPr>
      <w:keepNext/>
      <w:jc w:val="both"/>
      <w:outlineLvl w:val="0"/>
    </w:pPr>
    <w:rPr>
      <w:rFonts w:ascii="Arial" w:hAnsi="Arial"/>
      <w:caps/>
      <w:noProof/>
      <w:lang w:val="fr-FR"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5B30B7"/>
    <w:pPr>
      <w:jc w:val="left"/>
      <w:outlineLvl w:val="5"/>
    </w:pPr>
    <w:rPr>
      <w:rFonts w:ascii="Times New Roman" w:eastAsia="MS Mincho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916D7"/>
    <w:pPr>
      <w:spacing w:before="60"/>
      <w:ind w:left="567" w:hanging="285"/>
      <w:jc w:val="both"/>
    </w:pPr>
    <w:rPr>
      <w:rFonts w:ascii="Arial" w:hAnsi="Arial"/>
      <w:spacing w:val="-4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qFormat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9916D7"/>
    <w:rPr>
      <w:rFonts w:ascii="Arial" w:hAnsi="Arial"/>
      <w:spacing w:val="-4"/>
      <w:sz w:val="16"/>
    </w:rPr>
  </w:style>
  <w:style w:type="character" w:customStyle="1" w:styleId="BodyTextChar">
    <w:name w:val="Body Text Char"/>
    <w:basedOn w:val="DefaultParagraphFont"/>
    <w:link w:val="BodyText"/>
    <w:rsid w:val="00CE580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E5800"/>
    <w:pPr>
      <w:autoSpaceDE w:val="0"/>
      <w:autoSpaceDN w:val="0"/>
      <w:adjustRightInd w:val="0"/>
      <w:ind w:left="640" w:right="103" w:firstLine="533"/>
    </w:pPr>
    <w:rPr>
      <w:rFonts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B30B7"/>
    <w:rPr>
      <w:rFonts w:eastAsia="MS Mincho"/>
      <w:sz w:val="24"/>
    </w:rPr>
  </w:style>
  <w:style w:type="character" w:customStyle="1" w:styleId="Heading1Char">
    <w:name w:val="Heading 1 Char"/>
    <w:basedOn w:val="DefaultParagraphFont"/>
    <w:link w:val="Heading1"/>
    <w:rsid w:val="00826E28"/>
    <w:rPr>
      <w:rFonts w:ascii="Arial" w:hAnsi="Arial"/>
      <w:caps/>
      <w:noProof/>
      <w:lang w:val="fr-FR"/>
    </w:rPr>
  </w:style>
  <w:style w:type="character" w:customStyle="1" w:styleId="Heading2Char">
    <w:name w:val="Heading 2 Char"/>
    <w:basedOn w:val="DefaultParagraphFont"/>
    <w:link w:val="Heading2"/>
    <w:rsid w:val="005B30B7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5B30B7"/>
    <w:rPr>
      <w:rFonts w:ascii="Arial" w:hAnsi="Arial"/>
      <w:lang w:val="fr-FR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5B30B7"/>
    <w:pPr>
      <w:ind w:left="1589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5B30B7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original">
    <w:name w:val="Style Doc_original"/>
    <w:basedOn w:val="Docoriginal"/>
    <w:link w:val="StyleDocoriginalChar"/>
    <w:rsid w:val="005B30B7"/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5B30B7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5B30B7"/>
  </w:style>
  <w:style w:type="numbering" w:customStyle="1" w:styleId="NoList11">
    <w:name w:val="No List11"/>
    <w:next w:val="NoList"/>
    <w:uiPriority w:val="99"/>
    <w:semiHidden/>
    <w:unhideWhenUsed/>
    <w:rsid w:val="005B30B7"/>
  </w:style>
  <w:style w:type="paragraph" w:customStyle="1" w:styleId="Sessiontwp">
    <w:name w:val="Session_twp"/>
    <w:basedOn w:val="Normal"/>
    <w:next w:val="Normal"/>
    <w:qFormat/>
    <w:rsid w:val="005B30B7"/>
    <w:rPr>
      <w:rFonts w:eastAsiaTheme="minorEastAsia"/>
      <w:b/>
    </w:rPr>
  </w:style>
  <w:style w:type="paragraph" w:customStyle="1" w:styleId="Sessiontwpplacedate">
    <w:name w:val="Session_twp_place_date"/>
    <w:basedOn w:val="Normal"/>
    <w:next w:val="Normal"/>
    <w:qFormat/>
    <w:rsid w:val="005B30B7"/>
    <w:rPr>
      <w:rFonts w:eastAsiaTheme="minorEastAsia"/>
    </w:rPr>
  </w:style>
  <w:style w:type="numbering" w:customStyle="1" w:styleId="NoList111">
    <w:name w:val="No List111"/>
    <w:next w:val="NoList"/>
    <w:uiPriority w:val="99"/>
    <w:semiHidden/>
    <w:unhideWhenUsed/>
    <w:rsid w:val="005B30B7"/>
  </w:style>
  <w:style w:type="character" w:customStyle="1" w:styleId="Heading3Char">
    <w:name w:val="Heading 3 Char"/>
    <w:basedOn w:val="DefaultParagraphFont"/>
    <w:link w:val="Heading3"/>
    <w:rsid w:val="005B30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B30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5B30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5B30B7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B30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B30B7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5B30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B30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B30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B30B7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B30B7"/>
    <w:rPr>
      <w:rFonts w:ascii="Arial" w:hAnsi="Arial"/>
      <w:b/>
      <w:sz w:val="22"/>
    </w:rPr>
  </w:style>
  <w:style w:type="character" w:customStyle="1" w:styleId="StyleDocoriginalNotBold1">
    <w:name w:val="Style Doc_original + Not Bold1"/>
    <w:basedOn w:val="DefaultParagraphFont"/>
    <w:rsid w:val="005B30B7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5B30B7"/>
    <w:pPr>
      <w:spacing w:before="0" w:line="280" w:lineRule="exact"/>
      <w:ind w:left="1589"/>
      <w:contextualSpacing w:val="0"/>
      <w:jc w:val="both"/>
    </w:pPr>
    <w:rPr>
      <w:rFonts w:eastAsia="MS Mincho"/>
      <w:sz w:val="2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B30B7"/>
    <w:pPr>
      <w:spacing w:before="0" w:line="280" w:lineRule="exact"/>
      <w:contextualSpacing w:val="0"/>
    </w:pPr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B30B7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5B30B7"/>
    <w:rPr>
      <w:rFonts w:ascii="Arial" w:hAnsi="Arial"/>
      <w:b/>
      <w:bCs/>
      <w:sz w:val="20"/>
      <w:lang w:val="en-US"/>
    </w:rPr>
  </w:style>
  <w:style w:type="paragraph" w:customStyle="1" w:styleId="Default">
    <w:name w:val="Default"/>
    <w:rsid w:val="005B30B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5B30B7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B30B7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rsid w:val="005B30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0B7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B30B7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B3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0B7"/>
    <w:rPr>
      <w:rFonts w:ascii="Arial" w:eastAsiaTheme="minorEastAsia" w:hAnsi="Arial"/>
      <w:b/>
      <w:bCs/>
    </w:rPr>
  </w:style>
  <w:style w:type="paragraph" w:customStyle="1" w:styleId="dec">
    <w:name w:val="dec"/>
    <w:basedOn w:val="Normal"/>
    <w:link w:val="decChar"/>
    <w:qFormat/>
    <w:rsid w:val="005B30B7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B30B7"/>
    <w:rPr>
      <w:rFonts w:ascii="Arial" w:eastAsiaTheme="minorEastAsia" w:hAnsi="Arial"/>
      <w:i/>
      <w:spacing w:val="-2"/>
    </w:rPr>
  </w:style>
  <w:style w:type="paragraph" w:styleId="Caption">
    <w:name w:val="caption"/>
    <w:basedOn w:val="Normal"/>
    <w:next w:val="Normal"/>
    <w:qFormat/>
    <w:rsid w:val="005B30B7"/>
    <w:pPr>
      <w:jc w:val="left"/>
    </w:pPr>
    <w:rPr>
      <w:rFonts w:ascii="Times New Roman" w:eastAsia="MS Mincho" w:hAnsi="Times New Roman"/>
      <w:b/>
      <w:bCs/>
    </w:rPr>
  </w:style>
  <w:style w:type="character" w:customStyle="1" w:styleId="CharChar19">
    <w:name w:val="Char Char19"/>
    <w:locked/>
    <w:rsid w:val="005B30B7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5B30B7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5B30B7"/>
    <w:pPr>
      <w:ind w:left="1134" w:right="-1" w:hanging="567"/>
    </w:pPr>
    <w:rPr>
      <w:rFonts w:ascii="Times New Roman" w:eastAsia="MS Mincho" w:hAnsi="Times New Roman"/>
      <w:sz w:val="24"/>
    </w:rPr>
  </w:style>
  <w:style w:type="paragraph" w:customStyle="1" w:styleId="indentpara">
    <w:name w:val="indentpara"/>
    <w:basedOn w:val="Normal"/>
    <w:rsid w:val="005B30B7"/>
    <w:pPr>
      <w:numPr>
        <w:numId w:val="14"/>
      </w:numPr>
    </w:pPr>
    <w:rPr>
      <w:rFonts w:ascii="Times New Roman" w:eastAsia="MS Mincho" w:hAnsi="Times New Roman"/>
      <w:sz w:val="24"/>
    </w:rPr>
  </w:style>
  <w:style w:type="paragraph" w:styleId="NormalWeb">
    <w:name w:val="Normal (Web)"/>
    <w:basedOn w:val="Normal"/>
    <w:rsid w:val="005B30B7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5B30B7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5B30B7"/>
    <w:pPr>
      <w:ind w:left="567"/>
      <w:jc w:val="left"/>
    </w:pPr>
    <w:rPr>
      <w:rFonts w:ascii="Times New Roman" w:eastAsia="MS Mincho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B30B7"/>
    <w:rPr>
      <w:rFonts w:eastAsia="MS Mincho"/>
      <w:sz w:val="24"/>
    </w:rPr>
  </w:style>
  <w:style w:type="paragraph" w:customStyle="1" w:styleId="Committee">
    <w:name w:val="Committee"/>
    <w:basedOn w:val="Normal"/>
    <w:rsid w:val="005B30B7"/>
    <w:pPr>
      <w:spacing w:after="300"/>
      <w:jc w:val="center"/>
    </w:pPr>
    <w:rPr>
      <w:rFonts w:eastAsia="MS Mincho"/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5B30B7"/>
    <w:pPr>
      <w:ind w:left="4536"/>
      <w:jc w:val="left"/>
    </w:pPr>
    <w:rPr>
      <w:rFonts w:ascii="Times New Roman" w:eastAsia="MS Mincho" w:hAnsi="Times New Roman"/>
      <w:i/>
      <w:sz w:val="24"/>
    </w:rPr>
  </w:style>
  <w:style w:type="paragraph" w:customStyle="1" w:styleId="Endofdocument">
    <w:name w:val="End of document"/>
    <w:basedOn w:val="Normal"/>
    <w:rsid w:val="005B30B7"/>
    <w:pPr>
      <w:ind w:left="4536"/>
      <w:jc w:val="center"/>
    </w:pPr>
    <w:rPr>
      <w:rFonts w:ascii="Times New Roman" w:eastAsia="MS Mincho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5B30B7"/>
    <w:pPr>
      <w:tabs>
        <w:tab w:val="center" w:pos="5000"/>
        <w:tab w:val="right" w:pos="9980"/>
      </w:tabs>
      <w:jc w:val="left"/>
    </w:pPr>
    <w:rPr>
      <w:rFonts w:ascii="Times New Roman" w:eastAsia="MS Mincho" w:hAnsi="Times New Roman"/>
      <w:sz w:val="24"/>
      <w:szCs w:val="24"/>
      <w:lang w:val="en-GB"/>
    </w:rPr>
  </w:style>
  <w:style w:type="character" w:styleId="FollowedHyperlink">
    <w:name w:val="FollowedHyperlink"/>
    <w:rsid w:val="005B30B7"/>
    <w:rPr>
      <w:rFonts w:cs="Times New Roman"/>
      <w:color w:val="800080"/>
      <w:u w:val="single"/>
    </w:rPr>
  </w:style>
  <w:style w:type="character" w:styleId="Emphasis">
    <w:name w:val="Emphasis"/>
    <w:qFormat/>
    <w:rsid w:val="005B30B7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5B30B7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5B30B7"/>
    <w:rPr>
      <w:rFonts w:ascii="Arial" w:hAnsi="Arial"/>
      <w:i/>
    </w:rPr>
  </w:style>
  <w:style w:type="table" w:styleId="TableGrid">
    <w:name w:val="Table Grid"/>
    <w:basedOn w:val="TableNormal"/>
    <w:rsid w:val="005B30B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5B30B7"/>
  </w:style>
  <w:style w:type="numbering" w:customStyle="1" w:styleId="NoList2">
    <w:name w:val="No List2"/>
    <w:next w:val="NoList"/>
    <w:uiPriority w:val="99"/>
    <w:semiHidden/>
    <w:unhideWhenUsed/>
    <w:rsid w:val="005B30B7"/>
  </w:style>
  <w:style w:type="numbering" w:customStyle="1" w:styleId="NoList12">
    <w:name w:val="No List12"/>
    <w:next w:val="NoList"/>
    <w:uiPriority w:val="99"/>
    <w:semiHidden/>
    <w:unhideWhenUsed/>
    <w:rsid w:val="005B30B7"/>
  </w:style>
  <w:style w:type="character" w:styleId="LineNumber">
    <w:name w:val="line number"/>
    <w:basedOn w:val="DefaultParagraphFont"/>
    <w:semiHidden/>
    <w:unhideWhenUsed/>
    <w:rsid w:val="005B30B7"/>
  </w:style>
  <w:style w:type="paragraph" w:styleId="Revision">
    <w:name w:val="Revision"/>
    <w:hidden/>
    <w:uiPriority w:val="99"/>
    <w:semiHidden/>
    <w:rsid w:val="0066555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pov.int/pluto/data/current.pdf" TargetMode="Externa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upov.int/members/en/pvp_offices.html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www.wipo.int/multimedia-video/upov/en/upov_pluto_webinar_30_6_2020.mp4" TargetMode="External"/><Relationship Id="rId14" Type="http://schemas.openxmlformats.org/officeDocument/2006/relationships/hyperlink" Target="http://www.upov.int/members/en/pvp_offices.html" TargetMode="Externa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22659-F731-427F-90BA-BC3FA08D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5366</Words>
  <Characters>30587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CAJ/77/8</vt:lpstr>
      <vt:lpstr>CAJ/77/8</vt:lpstr>
    </vt:vector>
  </TitlesOfParts>
  <Company>UPOV</Company>
  <LinksUpToDate>false</LinksUpToDate>
  <CharactersWithSpaces>35882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CAJ/77/8</dc:title>
  <dc:creator>SANTOS Carla Marina</dc:creator>
  <cp:keywords>FOR OFFICIAL USE ONLY</cp:keywords>
  <cp:lastModifiedBy>SANTOS Carla Marina</cp:lastModifiedBy>
  <cp:revision>4</cp:revision>
  <cp:lastPrinted>2016-11-22T15:41:00Z</cp:lastPrinted>
  <dcterms:created xsi:type="dcterms:W3CDTF">2020-09-30T08:35:00Z</dcterms:created>
  <dcterms:modified xsi:type="dcterms:W3CDTF">2020-10-02T15:21:00Z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db22f469-2fd8-4c89-97e5-f6779c8bd6e2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